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BE4768">
      <w:pPr>
        <w:ind w:firstLine="0" w:firstLineChars="0"/>
        <w:jc w:val="center"/>
        <w:rPr>
          <w:b/>
          <w:bCs/>
          <w:color w:val="auto"/>
          <w:sz w:val="32"/>
          <w:szCs w:val="32"/>
          <w:highlight w:val="none"/>
        </w:rPr>
      </w:pPr>
      <w:bookmarkStart w:id="0" w:name="_Toc13641"/>
      <w:bookmarkStart w:id="1" w:name="_Toc8593"/>
      <w:bookmarkStart w:id="2" w:name="_Toc2299"/>
      <w:bookmarkStart w:id="3" w:name="_Toc3320"/>
      <w:bookmarkStart w:id="4" w:name="_Toc481768443"/>
      <w:bookmarkStart w:id="5" w:name="_Toc481789482"/>
      <w:bookmarkStart w:id="6" w:name="_Toc19382"/>
      <w:bookmarkStart w:id="7" w:name="_Toc29193"/>
      <w:bookmarkStart w:id="8" w:name="_Toc7455"/>
      <w:bookmarkStart w:id="9" w:name="_Toc481768091"/>
      <w:bookmarkStart w:id="10" w:name="_Toc27855"/>
    </w:p>
    <w:p w14:paraId="1BC63574">
      <w:pPr>
        <w:ind w:firstLine="0" w:firstLineChars="0"/>
        <w:jc w:val="center"/>
        <w:rPr>
          <w:b/>
          <w:bCs/>
          <w:color w:val="auto"/>
          <w:sz w:val="32"/>
          <w:szCs w:val="32"/>
          <w:highlight w:val="none"/>
        </w:rPr>
      </w:pPr>
    </w:p>
    <w:p w14:paraId="1DFD605C">
      <w:pPr>
        <w:ind w:firstLine="0" w:firstLineChars="0"/>
        <w:jc w:val="center"/>
        <w:rPr>
          <w:b/>
          <w:bCs/>
          <w:color w:val="auto"/>
          <w:sz w:val="44"/>
          <w:szCs w:val="44"/>
          <w:highlight w:val="none"/>
        </w:rPr>
      </w:pPr>
      <w:r>
        <w:rPr>
          <w:b/>
          <w:bCs/>
          <w:color w:val="auto"/>
          <w:sz w:val="44"/>
          <w:szCs w:val="44"/>
          <w:highlight w:val="none"/>
        </w:rPr>
        <w:t>阿图什市环球矿业钒钛磁铁矿900万吨/年选矿厂建设项目</w:t>
      </w:r>
      <w:r>
        <w:rPr>
          <w:rFonts w:hint="eastAsia"/>
          <w:b/>
          <w:bCs/>
          <w:color w:val="auto"/>
          <w:sz w:val="44"/>
          <w:szCs w:val="44"/>
          <w:highlight w:val="none"/>
        </w:rPr>
        <w:t>（一期）</w:t>
      </w:r>
      <w:r>
        <w:rPr>
          <w:b/>
          <w:bCs/>
          <w:color w:val="auto"/>
          <w:sz w:val="44"/>
          <w:szCs w:val="44"/>
          <w:highlight w:val="none"/>
        </w:rPr>
        <w:t xml:space="preserve"> </w:t>
      </w:r>
    </w:p>
    <w:p w14:paraId="1C666C43">
      <w:pPr>
        <w:ind w:firstLine="0" w:firstLineChars="0"/>
        <w:jc w:val="center"/>
        <w:rPr>
          <w:b/>
          <w:color w:val="auto"/>
          <w:sz w:val="21"/>
          <w:szCs w:val="21"/>
          <w:highlight w:val="none"/>
        </w:rPr>
      </w:pPr>
    </w:p>
    <w:p w14:paraId="2053FAB8">
      <w:pPr>
        <w:spacing w:line="1000" w:lineRule="exact"/>
        <w:ind w:firstLine="0" w:firstLineChars="0"/>
        <w:jc w:val="center"/>
        <w:rPr>
          <w:color w:val="auto"/>
          <w:sz w:val="84"/>
          <w:szCs w:val="52"/>
          <w:highlight w:val="none"/>
        </w:rPr>
      </w:pPr>
      <w:r>
        <w:rPr>
          <w:b/>
          <w:color w:val="auto"/>
          <w:sz w:val="84"/>
          <w:szCs w:val="52"/>
          <w:highlight w:val="none"/>
        </w:rPr>
        <w:t>环境影响报告书</w:t>
      </w:r>
    </w:p>
    <w:p w14:paraId="50C6170C">
      <w:pPr>
        <w:spacing w:before="120" w:beforeLines="50" w:line="360" w:lineRule="auto"/>
        <w:ind w:firstLine="641"/>
        <w:jc w:val="center"/>
        <w:rPr>
          <w:b/>
          <w:color w:val="auto"/>
          <w:sz w:val="32"/>
          <w:szCs w:val="32"/>
          <w:highlight w:val="none"/>
        </w:rPr>
      </w:pPr>
    </w:p>
    <w:p w14:paraId="5A6EF5A8">
      <w:pPr>
        <w:spacing w:before="120" w:beforeLines="50" w:line="360" w:lineRule="auto"/>
        <w:ind w:firstLine="0" w:firstLineChars="0"/>
        <w:jc w:val="center"/>
        <w:rPr>
          <w:b/>
          <w:color w:val="auto"/>
          <w:sz w:val="32"/>
          <w:szCs w:val="32"/>
          <w:highlight w:val="none"/>
        </w:rPr>
      </w:pPr>
      <w:r>
        <w:rPr>
          <w:b/>
          <w:color w:val="auto"/>
          <w:sz w:val="32"/>
          <w:szCs w:val="32"/>
          <w:highlight w:val="none"/>
        </w:rPr>
        <w:t>建设规模：</w:t>
      </w:r>
      <w:r>
        <w:rPr>
          <w:rFonts w:hint="eastAsia"/>
          <w:b/>
          <w:color w:val="auto"/>
          <w:sz w:val="32"/>
          <w:szCs w:val="32"/>
          <w:highlight w:val="none"/>
          <w:lang w:val="en-US" w:eastAsia="zh-CN"/>
        </w:rPr>
        <w:t>580</w:t>
      </w:r>
      <w:r>
        <w:rPr>
          <w:b/>
          <w:color w:val="auto"/>
          <w:sz w:val="32"/>
          <w:szCs w:val="32"/>
          <w:highlight w:val="none"/>
        </w:rPr>
        <w:t>万t/a</w:t>
      </w:r>
    </w:p>
    <w:p w14:paraId="6DD3271D">
      <w:pPr>
        <w:spacing w:line="360" w:lineRule="auto"/>
        <w:ind w:firstLine="560"/>
        <w:jc w:val="center"/>
        <w:rPr>
          <w:color w:val="auto"/>
          <w:sz w:val="28"/>
          <w:highlight w:val="none"/>
        </w:rPr>
      </w:pPr>
    </w:p>
    <w:p w14:paraId="589071C1">
      <w:pPr>
        <w:spacing w:line="360" w:lineRule="auto"/>
        <w:ind w:firstLine="881"/>
        <w:rPr>
          <w:b/>
          <w:bCs/>
          <w:color w:val="auto"/>
          <w:sz w:val="44"/>
          <w:highlight w:val="none"/>
        </w:rPr>
      </w:pPr>
    </w:p>
    <w:p w14:paraId="3868DA72">
      <w:pPr>
        <w:spacing w:line="360" w:lineRule="auto"/>
        <w:ind w:firstLine="601"/>
        <w:jc w:val="center"/>
        <w:rPr>
          <w:b/>
          <w:color w:val="auto"/>
          <w:sz w:val="30"/>
          <w:highlight w:val="none"/>
        </w:rPr>
      </w:pPr>
    </w:p>
    <w:p w14:paraId="29911F62">
      <w:pPr>
        <w:spacing w:line="360" w:lineRule="auto"/>
        <w:ind w:firstLine="601"/>
        <w:jc w:val="center"/>
        <w:rPr>
          <w:b/>
          <w:color w:val="auto"/>
          <w:sz w:val="30"/>
          <w:highlight w:val="none"/>
        </w:rPr>
      </w:pPr>
    </w:p>
    <w:p w14:paraId="3F6DAF85">
      <w:pPr>
        <w:spacing w:line="360" w:lineRule="auto"/>
        <w:ind w:firstLine="601"/>
        <w:jc w:val="center"/>
        <w:rPr>
          <w:b/>
          <w:color w:val="auto"/>
          <w:sz w:val="30"/>
          <w:highlight w:val="none"/>
        </w:rPr>
      </w:pPr>
    </w:p>
    <w:p w14:paraId="6DF34EA4">
      <w:pPr>
        <w:spacing w:line="360" w:lineRule="auto"/>
        <w:ind w:firstLine="601"/>
        <w:jc w:val="center"/>
        <w:rPr>
          <w:b/>
          <w:color w:val="auto"/>
          <w:sz w:val="30"/>
          <w:highlight w:val="none"/>
        </w:rPr>
      </w:pPr>
    </w:p>
    <w:p w14:paraId="2A1CD4CD">
      <w:pPr>
        <w:spacing w:line="360" w:lineRule="auto"/>
        <w:ind w:firstLine="601"/>
        <w:jc w:val="center"/>
        <w:rPr>
          <w:b/>
          <w:color w:val="auto"/>
          <w:sz w:val="30"/>
          <w:highlight w:val="none"/>
        </w:rPr>
      </w:pPr>
    </w:p>
    <w:p w14:paraId="2F1C939E">
      <w:pPr>
        <w:spacing w:line="360" w:lineRule="auto"/>
        <w:ind w:firstLine="601"/>
        <w:jc w:val="center"/>
        <w:rPr>
          <w:b/>
          <w:color w:val="auto"/>
          <w:sz w:val="30"/>
          <w:highlight w:val="none"/>
        </w:rPr>
      </w:pPr>
    </w:p>
    <w:p w14:paraId="7657D163">
      <w:pPr>
        <w:spacing w:line="360" w:lineRule="auto"/>
        <w:ind w:firstLine="601"/>
        <w:jc w:val="center"/>
        <w:rPr>
          <w:b/>
          <w:color w:val="auto"/>
          <w:sz w:val="30"/>
          <w:highlight w:val="none"/>
        </w:rPr>
      </w:pPr>
    </w:p>
    <w:p w14:paraId="2208BDA0">
      <w:pPr>
        <w:spacing w:line="360" w:lineRule="auto"/>
        <w:ind w:firstLine="601"/>
        <w:jc w:val="center"/>
        <w:rPr>
          <w:b/>
          <w:color w:val="auto"/>
          <w:sz w:val="30"/>
          <w:highlight w:val="none"/>
        </w:rPr>
      </w:pPr>
    </w:p>
    <w:p w14:paraId="445F63F0">
      <w:pPr>
        <w:spacing w:line="360" w:lineRule="auto"/>
        <w:ind w:firstLine="601"/>
        <w:jc w:val="center"/>
        <w:rPr>
          <w:b/>
          <w:color w:val="auto"/>
          <w:sz w:val="30"/>
          <w:highlight w:val="none"/>
        </w:rPr>
      </w:pPr>
    </w:p>
    <w:p w14:paraId="1A89CC9A">
      <w:pPr>
        <w:spacing w:line="360" w:lineRule="auto"/>
        <w:ind w:firstLine="601"/>
        <w:jc w:val="center"/>
        <w:rPr>
          <w:b/>
          <w:color w:val="auto"/>
          <w:sz w:val="30"/>
          <w:highlight w:val="none"/>
        </w:rPr>
      </w:pPr>
    </w:p>
    <w:p w14:paraId="337ADE54">
      <w:pPr>
        <w:spacing w:line="360" w:lineRule="auto"/>
        <w:ind w:firstLine="601"/>
        <w:jc w:val="center"/>
        <w:rPr>
          <w:b/>
          <w:color w:val="auto"/>
          <w:sz w:val="30"/>
          <w:highlight w:val="none"/>
        </w:rPr>
      </w:pPr>
    </w:p>
    <w:p w14:paraId="0BB000B4">
      <w:pPr>
        <w:ind w:firstLine="1194" w:firstLineChars="398"/>
        <w:rPr>
          <w:bCs/>
          <w:color w:val="auto"/>
          <w:sz w:val="30"/>
          <w:szCs w:val="30"/>
          <w:highlight w:val="none"/>
        </w:rPr>
      </w:pPr>
      <w:r>
        <w:rPr>
          <w:bCs/>
          <w:color w:val="auto"/>
          <w:sz w:val="30"/>
          <w:szCs w:val="30"/>
          <w:highlight w:val="none"/>
        </w:rPr>
        <w:t>建设单位：</w:t>
      </w:r>
      <w:r>
        <w:rPr>
          <w:color w:val="auto"/>
          <w:sz w:val="30"/>
          <w:szCs w:val="30"/>
          <w:highlight w:val="none"/>
        </w:rPr>
        <w:t>阿图什市环球矿业有限公司</w:t>
      </w:r>
    </w:p>
    <w:p w14:paraId="7A17B81A">
      <w:pPr>
        <w:spacing w:line="360" w:lineRule="auto"/>
        <w:ind w:firstLine="0" w:firstLineChars="0"/>
        <w:jc w:val="center"/>
        <w:rPr>
          <w:color w:val="auto"/>
          <w:sz w:val="30"/>
          <w:szCs w:val="30"/>
          <w:highlight w:val="none"/>
        </w:rPr>
      </w:pPr>
      <w:r>
        <w:rPr>
          <w:color w:val="auto"/>
          <w:sz w:val="30"/>
          <w:szCs w:val="30"/>
          <w:highlight w:val="none"/>
        </w:rPr>
        <w:t>评价单位：新疆煤炭设计研究院有限责任公司</w:t>
      </w:r>
    </w:p>
    <w:p w14:paraId="7AFEBEEB">
      <w:pPr>
        <w:spacing w:line="360" w:lineRule="auto"/>
        <w:ind w:firstLine="0" w:firstLineChars="0"/>
        <w:jc w:val="center"/>
        <w:rPr>
          <w:b/>
          <w:bCs/>
          <w:color w:val="auto"/>
          <w:sz w:val="30"/>
          <w:szCs w:val="30"/>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3" w:bottom="1440" w:left="1803" w:header="1020" w:footer="992" w:gutter="0"/>
          <w:pgBorders>
            <w:top w:val="none" w:sz="0" w:space="0"/>
            <w:left w:val="none" w:sz="0" w:space="0"/>
            <w:bottom w:val="none" w:sz="0" w:space="0"/>
            <w:right w:val="none" w:sz="0" w:space="0"/>
          </w:pgBorders>
          <w:pgNumType w:fmt="upperRoman" w:start="1"/>
          <w:cols w:space="720" w:num="1"/>
          <w:docGrid w:linePitch="326" w:charSpace="0"/>
        </w:sectPr>
      </w:pPr>
      <w:r>
        <w:rPr>
          <w:b/>
          <w:bCs/>
          <w:color w:val="auto"/>
          <w:sz w:val="30"/>
          <w:szCs w:val="30"/>
          <w:highlight w:val="none"/>
        </w:rPr>
        <w:t>2026年</w:t>
      </w:r>
      <w:r>
        <w:rPr>
          <w:rFonts w:hint="eastAsia"/>
          <w:b/>
          <w:bCs/>
          <w:color w:val="auto"/>
          <w:sz w:val="30"/>
          <w:szCs w:val="30"/>
          <w:highlight w:val="none"/>
          <w:lang w:val="en-US" w:eastAsia="zh-CN"/>
        </w:rPr>
        <w:t>8</w:t>
      </w:r>
      <w:r>
        <w:rPr>
          <w:b/>
          <w:bCs/>
          <w:color w:val="auto"/>
          <w:sz w:val="30"/>
          <w:szCs w:val="30"/>
          <w:highlight w:val="none"/>
        </w:rPr>
        <w:t>月</w:t>
      </w:r>
    </w:p>
    <w:p w14:paraId="59A9E740">
      <w:pPr>
        <w:pStyle w:val="3"/>
        <w:ind w:firstLine="480"/>
        <w:jc w:val="center"/>
        <w:rPr>
          <w:color w:val="auto"/>
          <w:highlight w:val="none"/>
        </w:rPr>
      </w:pPr>
      <w:bookmarkStart w:id="11" w:name="_Toc53246996"/>
      <w:r>
        <w:rPr>
          <w:color w:val="auto"/>
          <w:highlight w:val="none"/>
        </w:rPr>
        <w:t>目</w:t>
      </w:r>
      <w:r>
        <w:rPr>
          <w:rFonts w:hint="eastAsia"/>
          <w:color w:val="auto"/>
          <w:highlight w:val="none"/>
        </w:rPr>
        <w:t xml:space="preserve">  </w:t>
      </w:r>
      <w:r>
        <w:rPr>
          <w:color w:val="auto"/>
          <w:highlight w:val="none"/>
        </w:rPr>
        <w:t>录</w:t>
      </w:r>
      <w:bookmarkEnd w:id="0"/>
      <w:bookmarkEnd w:id="1"/>
      <w:bookmarkEnd w:id="2"/>
      <w:bookmarkEnd w:id="3"/>
      <w:bookmarkEnd w:id="11"/>
    </w:p>
    <w:p w14:paraId="28DE7393">
      <w:pPr>
        <w:pStyle w:val="19"/>
        <w:tabs>
          <w:tab w:val="right" w:leader="dot" w:pos="8300"/>
        </w:tabs>
        <w:rPr>
          <w:color w:val="auto"/>
          <w:highlight w:val="none"/>
        </w:rPr>
      </w:pPr>
      <w:r>
        <w:rPr>
          <w:color w:val="auto"/>
          <w:highlight w:val="none"/>
        </w:rPr>
        <w:fldChar w:fldCharType="begin"/>
      </w:r>
      <w:r>
        <w:rPr>
          <w:color w:val="auto"/>
          <w:highlight w:val="none"/>
        </w:rPr>
        <w:instrText xml:space="preserve">TOC \o "1-2" \h \u </w:instrText>
      </w:r>
      <w:r>
        <w:rPr>
          <w:color w:val="auto"/>
          <w:highlight w:val="none"/>
        </w:rPr>
        <w:fldChar w:fldCharType="separate"/>
      </w:r>
      <w:r>
        <w:rPr>
          <w:color w:val="auto"/>
          <w:highlight w:val="none"/>
        </w:rPr>
        <w:fldChar w:fldCharType="begin"/>
      </w:r>
      <w:r>
        <w:rPr>
          <w:color w:val="auto"/>
          <w:highlight w:val="none"/>
        </w:rPr>
        <w:instrText xml:space="preserve"> HYPERLINK \l _Toc27201 </w:instrText>
      </w:r>
      <w:r>
        <w:rPr>
          <w:color w:val="auto"/>
          <w:highlight w:val="none"/>
        </w:rPr>
        <w:fldChar w:fldCharType="separate"/>
      </w:r>
      <w:r>
        <w:rPr>
          <w:rFonts w:hint="default" w:ascii="Times New Roman" w:hAnsi="Times New Roman" w:eastAsia="宋体" w:cs="Times New Roman"/>
          <w:bCs/>
          <w:color w:val="auto"/>
          <w:szCs w:val="32"/>
          <w:highlight w:val="none"/>
        </w:rPr>
        <w:t xml:space="preserve">1 </w:t>
      </w:r>
      <w:r>
        <w:rPr>
          <w:color w:val="auto"/>
          <w:highlight w:val="none"/>
        </w:rPr>
        <w:t>概述</w:t>
      </w:r>
      <w:r>
        <w:rPr>
          <w:color w:val="auto"/>
          <w:highlight w:val="none"/>
        </w:rPr>
        <w:tab/>
      </w:r>
      <w:r>
        <w:rPr>
          <w:color w:val="auto"/>
          <w:highlight w:val="none"/>
        </w:rPr>
        <w:fldChar w:fldCharType="begin"/>
      </w:r>
      <w:r>
        <w:rPr>
          <w:color w:val="auto"/>
          <w:highlight w:val="none"/>
        </w:rPr>
        <w:instrText xml:space="preserve"> PAGEREF _Toc27201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246F65E9">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_Toc5655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1.1 </w:t>
      </w:r>
      <w:r>
        <w:rPr>
          <w:rFonts w:hint="default"/>
          <w:color w:val="auto"/>
          <w:highlight w:val="none"/>
        </w:rPr>
        <w:t>建设项目背景</w:t>
      </w:r>
      <w:r>
        <w:rPr>
          <w:color w:val="auto"/>
          <w:highlight w:val="none"/>
        </w:rPr>
        <w:tab/>
      </w:r>
      <w:r>
        <w:rPr>
          <w:color w:val="auto"/>
          <w:highlight w:val="none"/>
        </w:rPr>
        <w:fldChar w:fldCharType="begin"/>
      </w:r>
      <w:r>
        <w:rPr>
          <w:color w:val="auto"/>
          <w:highlight w:val="none"/>
        </w:rPr>
        <w:instrText xml:space="preserve"> PAGEREF _Toc5655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1AC5485D">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_Toc27224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1.2 </w:t>
      </w:r>
      <w:r>
        <w:rPr>
          <w:rFonts w:hint="default"/>
          <w:color w:val="auto"/>
          <w:highlight w:val="none"/>
        </w:rPr>
        <w:t>环境影响评价的工作过程</w:t>
      </w:r>
      <w:r>
        <w:rPr>
          <w:color w:val="auto"/>
          <w:highlight w:val="none"/>
        </w:rPr>
        <w:tab/>
      </w:r>
      <w:r>
        <w:rPr>
          <w:color w:val="auto"/>
          <w:highlight w:val="none"/>
        </w:rPr>
        <w:fldChar w:fldCharType="begin"/>
      </w:r>
      <w:r>
        <w:rPr>
          <w:color w:val="auto"/>
          <w:highlight w:val="none"/>
        </w:rPr>
        <w:instrText xml:space="preserve"> PAGEREF _Toc27224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5997E7BC">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_Toc8188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1.3 </w:t>
      </w:r>
      <w:r>
        <w:rPr>
          <w:rFonts w:hint="default"/>
          <w:color w:val="auto"/>
          <w:highlight w:val="none"/>
        </w:rPr>
        <w:t>分析判定相关情况</w:t>
      </w:r>
      <w:r>
        <w:rPr>
          <w:color w:val="auto"/>
          <w:highlight w:val="none"/>
        </w:rPr>
        <w:tab/>
      </w:r>
      <w:r>
        <w:rPr>
          <w:color w:val="auto"/>
          <w:highlight w:val="none"/>
        </w:rPr>
        <w:fldChar w:fldCharType="begin"/>
      </w:r>
      <w:r>
        <w:rPr>
          <w:color w:val="auto"/>
          <w:highlight w:val="none"/>
        </w:rPr>
        <w:instrText xml:space="preserve"> PAGEREF _Toc8188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4649969A">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_Toc31431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1.4 </w:t>
      </w:r>
      <w:r>
        <w:rPr>
          <w:rFonts w:hint="default"/>
          <w:color w:val="auto"/>
          <w:highlight w:val="none"/>
        </w:rPr>
        <w:t>关注的主要环境问题及环境影响</w:t>
      </w:r>
      <w:r>
        <w:rPr>
          <w:color w:val="auto"/>
          <w:highlight w:val="none"/>
        </w:rPr>
        <w:tab/>
      </w:r>
      <w:r>
        <w:rPr>
          <w:color w:val="auto"/>
          <w:highlight w:val="none"/>
        </w:rPr>
        <w:fldChar w:fldCharType="begin"/>
      </w:r>
      <w:r>
        <w:rPr>
          <w:color w:val="auto"/>
          <w:highlight w:val="none"/>
        </w:rPr>
        <w:instrText xml:space="preserve"> PAGEREF _Toc31431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4BF4A2F1">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_Toc32368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1.5 </w:t>
      </w:r>
      <w:r>
        <w:rPr>
          <w:rFonts w:hint="default"/>
          <w:color w:val="auto"/>
          <w:highlight w:val="none"/>
        </w:rPr>
        <w:t>环境影响评价的主要结论</w:t>
      </w:r>
      <w:r>
        <w:rPr>
          <w:color w:val="auto"/>
          <w:highlight w:val="none"/>
        </w:rPr>
        <w:tab/>
      </w:r>
      <w:r>
        <w:rPr>
          <w:color w:val="auto"/>
          <w:highlight w:val="none"/>
        </w:rPr>
        <w:fldChar w:fldCharType="begin"/>
      </w:r>
      <w:r>
        <w:rPr>
          <w:color w:val="auto"/>
          <w:highlight w:val="none"/>
        </w:rPr>
        <w:instrText xml:space="preserve"> PAGEREF _Toc32368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4B6D2E97">
      <w:pPr>
        <w:pStyle w:val="19"/>
        <w:tabs>
          <w:tab w:val="right" w:leader="dot" w:pos="8300"/>
        </w:tabs>
        <w:rPr>
          <w:color w:val="auto"/>
          <w:highlight w:val="none"/>
        </w:rPr>
      </w:pPr>
      <w:r>
        <w:rPr>
          <w:color w:val="auto"/>
          <w:highlight w:val="none"/>
        </w:rPr>
        <w:fldChar w:fldCharType="begin"/>
      </w:r>
      <w:r>
        <w:rPr>
          <w:color w:val="auto"/>
          <w:highlight w:val="none"/>
        </w:rPr>
        <w:instrText xml:space="preserve"> HYPERLINK \l _Toc25037 </w:instrText>
      </w:r>
      <w:r>
        <w:rPr>
          <w:color w:val="auto"/>
          <w:highlight w:val="none"/>
        </w:rPr>
        <w:fldChar w:fldCharType="separate"/>
      </w:r>
      <w:r>
        <w:rPr>
          <w:rFonts w:hint="default" w:ascii="Times New Roman" w:hAnsi="Times New Roman" w:eastAsia="宋体" w:cs="Times New Roman"/>
          <w:bCs/>
          <w:color w:val="auto"/>
          <w:szCs w:val="32"/>
          <w:highlight w:val="none"/>
        </w:rPr>
        <w:t xml:space="preserve">2 </w:t>
      </w:r>
      <w:r>
        <w:rPr>
          <w:color w:val="auto"/>
          <w:highlight w:val="none"/>
        </w:rPr>
        <w:t>总则</w:t>
      </w:r>
      <w:r>
        <w:rPr>
          <w:color w:val="auto"/>
          <w:highlight w:val="none"/>
        </w:rPr>
        <w:tab/>
      </w:r>
      <w:r>
        <w:rPr>
          <w:color w:val="auto"/>
          <w:highlight w:val="none"/>
        </w:rPr>
        <w:fldChar w:fldCharType="begin"/>
      </w:r>
      <w:r>
        <w:rPr>
          <w:color w:val="auto"/>
          <w:highlight w:val="none"/>
        </w:rPr>
        <w:instrText xml:space="preserve"> PAGEREF _Toc25037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2E9CD6AF">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_Toc11612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2.1 </w:t>
      </w:r>
      <w:r>
        <w:rPr>
          <w:rFonts w:hint="default"/>
          <w:color w:val="auto"/>
          <w:highlight w:val="none"/>
        </w:rPr>
        <w:t>评价目的与指导思想</w:t>
      </w:r>
      <w:r>
        <w:rPr>
          <w:color w:val="auto"/>
          <w:highlight w:val="none"/>
        </w:rPr>
        <w:tab/>
      </w:r>
      <w:r>
        <w:rPr>
          <w:color w:val="auto"/>
          <w:highlight w:val="none"/>
        </w:rPr>
        <w:fldChar w:fldCharType="begin"/>
      </w:r>
      <w:r>
        <w:rPr>
          <w:color w:val="auto"/>
          <w:highlight w:val="none"/>
        </w:rPr>
        <w:instrText xml:space="preserve"> PAGEREF _Toc11612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62631F5A">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_Toc26540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2.2 </w:t>
      </w:r>
      <w:r>
        <w:rPr>
          <w:rFonts w:hint="default"/>
          <w:color w:val="auto"/>
          <w:highlight w:val="none"/>
        </w:rPr>
        <w:t>评价依据</w:t>
      </w:r>
      <w:r>
        <w:rPr>
          <w:color w:val="auto"/>
          <w:highlight w:val="none"/>
        </w:rPr>
        <w:tab/>
      </w:r>
      <w:r>
        <w:rPr>
          <w:color w:val="auto"/>
          <w:highlight w:val="none"/>
        </w:rPr>
        <w:fldChar w:fldCharType="begin"/>
      </w:r>
      <w:r>
        <w:rPr>
          <w:color w:val="auto"/>
          <w:highlight w:val="none"/>
        </w:rPr>
        <w:instrText xml:space="preserve"> PAGEREF _Toc26540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34A778A5">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_Toc10232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2.3 </w:t>
      </w:r>
      <w:r>
        <w:rPr>
          <w:rFonts w:hint="default"/>
          <w:color w:val="auto"/>
          <w:highlight w:val="none"/>
        </w:rPr>
        <w:t>评价因子识别及筛选</w:t>
      </w:r>
      <w:r>
        <w:rPr>
          <w:color w:val="auto"/>
          <w:highlight w:val="none"/>
        </w:rPr>
        <w:tab/>
      </w:r>
      <w:r>
        <w:rPr>
          <w:color w:val="auto"/>
          <w:highlight w:val="none"/>
        </w:rPr>
        <w:fldChar w:fldCharType="begin"/>
      </w:r>
      <w:r>
        <w:rPr>
          <w:color w:val="auto"/>
          <w:highlight w:val="none"/>
        </w:rPr>
        <w:instrText xml:space="preserve"> PAGEREF _Toc10232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3DBAE8F8">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_Toc1741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2.4 </w:t>
      </w:r>
      <w:r>
        <w:rPr>
          <w:rFonts w:hint="default"/>
          <w:color w:val="auto"/>
          <w:highlight w:val="none"/>
        </w:rPr>
        <w:t>环境功能区划及评价标准</w:t>
      </w:r>
      <w:r>
        <w:rPr>
          <w:color w:val="auto"/>
          <w:highlight w:val="none"/>
        </w:rPr>
        <w:tab/>
      </w:r>
      <w:r>
        <w:rPr>
          <w:color w:val="auto"/>
          <w:highlight w:val="none"/>
        </w:rPr>
        <w:fldChar w:fldCharType="begin"/>
      </w:r>
      <w:r>
        <w:rPr>
          <w:color w:val="auto"/>
          <w:highlight w:val="none"/>
        </w:rPr>
        <w:instrText xml:space="preserve"> PAGEREF _Toc1741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54AFBB8C">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_Toc720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2.5 </w:t>
      </w:r>
      <w:r>
        <w:rPr>
          <w:rFonts w:hint="default"/>
          <w:color w:val="auto"/>
          <w:highlight w:val="none"/>
        </w:rPr>
        <w:t>评价工作等级及范围</w:t>
      </w:r>
      <w:r>
        <w:rPr>
          <w:color w:val="auto"/>
          <w:highlight w:val="none"/>
        </w:rPr>
        <w:tab/>
      </w:r>
      <w:r>
        <w:rPr>
          <w:color w:val="auto"/>
          <w:highlight w:val="none"/>
        </w:rPr>
        <w:fldChar w:fldCharType="begin"/>
      </w:r>
      <w:r>
        <w:rPr>
          <w:color w:val="auto"/>
          <w:highlight w:val="none"/>
        </w:rPr>
        <w:instrText xml:space="preserve"> PAGEREF _Toc720 \h </w:instrText>
      </w:r>
      <w:r>
        <w:rPr>
          <w:color w:val="auto"/>
          <w:highlight w:val="none"/>
        </w:rPr>
        <w:fldChar w:fldCharType="separate"/>
      </w:r>
      <w:r>
        <w:rPr>
          <w:color w:val="auto"/>
          <w:highlight w:val="none"/>
        </w:rPr>
        <w:t>48</w:t>
      </w:r>
      <w:r>
        <w:rPr>
          <w:color w:val="auto"/>
          <w:highlight w:val="none"/>
        </w:rPr>
        <w:fldChar w:fldCharType="end"/>
      </w:r>
      <w:r>
        <w:rPr>
          <w:color w:val="auto"/>
          <w:highlight w:val="none"/>
        </w:rPr>
        <w:fldChar w:fldCharType="end"/>
      </w:r>
    </w:p>
    <w:p w14:paraId="6A66B745">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_Toc7731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2.6 </w:t>
      </w:r>
      <w:r>
        <w:rPr>
          <w:rFonts w:hint="default"/>
          <w:color w:val="auto"/>
          <w:highlight w:val="none"/>
        </w:rPr>
        <w:t>评价工作内容及重点</w:t>
      </w:r>
      <w:r>
        <w:rPr>
          <w:color w:val="auto"/>
          <w:highlight w:val="none"/>
        </w:rPr>
        <w:tab/>
      </w:r>
      <w:r>
        <w:rPr>
          <w:color w:val="auto"/>
          <w:highlight w:val="none"/>
        </w:rPr>
        <w:fldChar w:fldCharType="begin"/>
      </w:r>
      <w:r>
        <w:rPr>
          <w:color w:val="auto"/>
          <w:highlight w:val="none"/>
        </w:rPr>
        <w:instrText xml:space="preserve"> PAGEREF _Toc7731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2D01424C">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_Toc21240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2.7 </w:t>
      </w:r>
      <w:r>
        <w:rPr>
          <w:rFonts w:hint="default"/>
          <w:color w:val="auto"/>
          <w:highlight w:val="none"/>
        </w:rPr>
        <w:t>主要环境保护目标和环境敏感目标</w:t>
      </w:r>
      <w:r>
        <w:rPr>
          <w:color w:val="auto"/>
          <w:highlight w:val="none"/>
        </w:rPr>
        <w:tab/>
      </w:r>
      <w:r>
        <w:rPr>
          <w:color w:val="auto"/>
          <w:highlight w:val="none"/>
        </w:rPr>
        <w:fldChar w:fldCharType="begin"/>
      </w:r>
      <w:r>
        <w:rPr>
          <w:color w:val="auto"/>
          <w:highlight w:val="none"/>
        </w:rPr>
        <w:instrText xml:space="preserve"> PAGEREF _Toc21240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6B900966">
      <w:pPr>
        <w:pStyle w:val="19"/>
        <w:tabs>
          <w:tab w:val="right" w:leader="dot" w:pos="8300"/>
        </w:tabs>
        <w:rPr>
          <w:color w:val="auto"/>
          <w:highlight w:val="none"/>
        </w:rPr>
      </w:pPr>
      <w:r>
        <w:rPr>
          <w:color w:val="auto"/>
          <w:highlight w:val="none"/>
        </w:rPr>
        <w:fldChar w:fldCharType="begin"/>
      </w:r>
      <w:r>
        <w:rPr>
          <w:color w:val="auto"/>
          <w:highlight w:val="none"/>
        </w:rPr>
        <w:instrText xml:space="preserve"> HYPERLINK \l _Toc16464 </w:instrText>
      </w:r>
      <w:r>
        <w:rPr>
          <w:color w:val="auto"/>
          <w:highlight w:val="none"/>
        </w:rPr>
        <w:fldChar w:fldCharType="separate"/>
      </w:r>
      <w:r>
        <w:rPr>
          <w:rFonts w:hint="default" w:ascii="Times New Roman" w:hAnsi="Times New Roman" w:eastAsia="宋体" w:cs="Times New Roman"/>
          <w:bCs/>
          <w:color w:val="auto"/>
          <w:szCs w:val="32"/>
          <w:highlight w:val="none"/>
        </w:rPr>
        <w:t xml:space="preserve">3 </w:t>
      </w:r>
      <w:r>
        <w:rPr>
          <w:rFonts w:hint="eastAsia"/>
          <w:color w:val="auto"/>
          <w:highlight w:val="none"/>
        </w:rPr>
        <w:t>工程概况与工程分析</w:t>
      </w:r>
      <w:r>
        <w:rPr>
          <w:color w:val="auto"/>
          <w:highlight w:val="none"/>
        </w:rPr>
        <w:tab/>
      </w:r>
      <w:r>
        <w:rPr>
          <w:color w:val="auto"/>
          <w:highlight w:val="none"/>
        </w:rPr>
        <w:fldChar w:fldCharType="begin"/>
      </w:r>
      <w:r>
        <w:rPr>
          <w:color w:val="auto"/>
          <w:highlight w:val="none"/>
        </w:rPr>
        <w:instrText xml:space="preserve"> PAGEREF _Toc16464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2937E720">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_Toc13311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3.1 </w:t>
      </w:r>
      <w:r>
        <w:rPr>
          <w:rFonts w:hint="default"/>
          <w:color w:val="auto"/>
          <w:highlight w:val="none"/>
        </w:rPr>
        <w:t>现有工程概括</w:t>
      </w:r>
      <w:r>
        <w:rPr>
          <w:color w:val="auto"/>
          <w:highlight w:val="none"/>
        </w:rPr>
        <w:tab/>
      </w:r>
      <w:r>
        <w:rPr>
          <w:color w:val="auto"/>
          <w:highlight w:val="none"/>
        </w:rPr>
        <w:fldChar w:fldCharType="begin"/>
      </w:r>
      <w:r>
        <w:rPr>
          <w:color w:val="auto"/>
          <w:highlight w:val="none"/>
        </w:rPr>
        <w:instrText xml:space="preserve"> PAGEREF _Toc13311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25C4D36D">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_Toc18876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3.2 </w:t>
      </w:r>
      <w:r>
        <w:rPr>
          <w:rFonts w:hint="default"/>
          <w:color w:val="auto"/>
          <w:highlight w:val="none"/>
        </w:rPr>
        <w:t>改扩建工程</w:t>
      </w:r>
      <w:r>
        <w:rPr>
          <w:color w:val="auto"/>
          <w:highlight w:val="none"/>
        </w:rPr>
        <w:t>概况</w:t>
      </w:r>
      <w:r>
        <w:rPr>
          <w:color w:val="auto"/>
          <w:highlight w:val="none"/>
        </w:rPr>
        <w:tab/>
      </w:r>
      <w:r>
        <w:rPr>
          <w:color w:val="auto"/>
          <w:highlight w:val="none"/>
        </w:rPr>
        <w:fldChar w:fldCharType="begin"/>
      </w:r>
      <w:r>
        <w:rPr>
          <w:color w:val="auto"/>
          <w:highlight w:val="none"/>
        </w:rPr>
        <w:instrText xml:space="preserve"> PAGEREF _Toc18876 \h </w:instrText>
      </w:r>
      <w:r>
        <w:rPr>
          <w:color w:val="auto"/>
          <w:highlight w:val="none"/>
        </w:rPr>
        <w:fldChar w:fldCharType="separate"/>
      </w:r>
      <w:r>
        <w:rPr>
          <w:color w:val="auto"/>
          <w:highlight w:val="none"/>
        </w:rPr>
        <w:t>63</w:t>
      </w:r>
      <w:r>
        <w:rPr>
          <w:color w:val="auto"/>
          <w:highlight w:val="none"/>
        </w:rPr>
        <w:fldChar w:fldCharType="end"/>
      </w:r>
      <w:r>
        <w:rPr>
          <w:color w:val="auto"/>
          <w:highlight w:val="none"/>
        </w:rPr>
        <w:fldChar w:fldCharType="end"/>
      </w:r>
    </w:p>
    <w:p w14:paraId="670CDB32">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_Toc2654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3.3 </w:t>
      </w:r>
      <w:r>
        <w:rPr>
          <w:rFonts w:hint="default"/>
          <w:color w:val="auto"/>
          <w:highlight w:val="none"/>
        </w:rPr>
        <w:t>工程分析</w:t>
      </w:r>
      <w:r>
        <w:rPr>
          <w:color w:val="auto"/>
          <w:highlight w:val="none"/>
        </w:rPr>
        <w:tab/>
      </w:r>
      <w:r>
        <w:rPr>
          <w:color w:val="auto"/>
          <w:highlight w:val="none"/>
        </w:rPr>
        <w:fldChar w:fldCharType="begin"/>
      </w:r>
      <w:r>
        <w:rPr>
          <w:color w:val="auto"/>
          <w:highlight w:val="none"/>
        </w:rPr>
        <w:instrText xml:space="preserve"> PAGEREF _Toc2654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04208348">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_Toc1624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3.4 </w:t>
      </w:r>
      <w:r>
        <w:rPr>
          <w:rFonts w:hint="default"/>
          <w:color w:val="auto"/>
          <w:highlight w:val="none"/>
        </w:rPr>
        <w:t>污染源及污染物分析</w:t>
      </w:r>
      <w:r>
        <w:rPr>
          <w:color w:val="auto"/>
          <w:highlight w:val="none"/>
        </w:rPr>
        <w:tab/>
      </w:r>
      <w:r>
        <w:rPr>
          <w:color w:val="auto"/>
          <w:highlight w:val="none"/>
        </w:rPr>
        <w:fldChar w:fldCharType="begin"/>
      </w:r>
      <w:r>
        <w:rPr>
          <w:color w:val="auto"/>
          <w:highlight w:val="none"/>
        </w:rPr>
        <w:instrText xml:space="preserve"> PAGEREF _Toc1624 \h </w:instrText>
      </w:r>
      <w:r>
        <w:rPr>
          <w:color w:val="auto"/>
          <w:highlight w:val="none"/>
        </w:rPr>
        <w:fldChar w:fldCharType="separate"/>
      </w:r>
      <w:r>
        <w:rPr>
          <w:color w:val="auto"/>
          <w:highlight w:val="none"/>
        </w:rPr>
        <w:t>98</w:t>
      </w:r>
      <w:r>
        <w:rPr>
          <w:color w:val="auto"/>
          <w:highlight w:val="none"/>
        </w:rPr>
        <w:fldChar w:fldCharType="end"/>
      </w:r>
      <w:r>
        <w:rPr>
          <w:color w:val="auto"/>
          <w:highlight w:val="none"/>
        </w:rPr>
        <w:fldChar w:fldCharType="end"/>
      </w:r>
    </w:p>
    <w:p w14:paraId="644CF3E5">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_Toc20087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3.5 </w:t>
      </w:r>
      <w:r>
        <w:rPr>
          <w:rFonts w:hint="default"/>
          <w:color w:val="auto"/>
          <w:highlight w:val="none"/>
        </w:rPr>
        <w:t>总量控制</w:t>
      </w:r>
      <w:r>
        <w:rPr>
          <w:color w:val="auto"/>
          <w:highlight w:val="none"/>
        </w:rPr>
        <w:tab/>
      </w:r>
      <w:r>
        <w:rPr>
          <w:color w:val="auto"/>
          <w:highlight w:val="none"/>
        </w:rPr>
        <w:fldChar w:fldCharType="begin"/>
      </w:r>
      <w:r>
        <w:rPr>
          <w:color w:val="auto"/>
          <w:highlight w:val="none"/>
        </w:rPr>
        <w:instrText xml:space="preserve"> PAGEREF _Toc20087 \h </w:instrText>
      </w:r>
      <w:r>
        <w:rPr>
          <w:color w:val="auto"/>
          <w:highlight w:val="none"/>
        </w:rPr>
        <w:fldChar w:fldCharType="separate"/>
      </w:r>
      <w:r>
        <w:rPr>
          <w:color w:val="auto"/>
          <w:highlight w:val="none"/>
        </w:rPr>
        <w:t>121</w:t>
      </w:r>
      <w:r>
        <w:rPr>
          <w:color w:val="auto"/>
          <w:highlight w:val="none"/>
        </w:rPr>
        <w:fldChar w:fldCharType="end"/>
      </w:r>
      <w:r>
        <w:rPr>
          <w:color w:val="auto"/>
          <w:highlight w:val="none"/>
        </w:rPr>
        <w:fldChar w:fldCharType="end"/>
      </w:r>
    </w:p>
    <w:p w14:paraId="779BEDE5">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_Toc8424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3.6 </w:t>
      </w:r>
      <w:r>
        <w:rPr>
          <w:rFonts w:hint="default"/>
          <w:color w:val="auto"/>
          <w:highlight w:val="none"/>
        </w:rPr>
        <w:t>清洁生产</w:t>
      </w:r>
      <w:r>
        <w:rPr>
          <w:color w:val="auto"/>
          <w:highlight w:val="none"/>
        </w:rPr>
        <w:tab/>
      </w:r>
      <w:r>
        <w:rPr>
          <w:color w:val="auto"/>
          <w:highlight w:val="none"/>
        </w:rPr>
        <w:fldChar w:fldCharType="begin"/>
      </w:r>
      <w:r>
        <w:rPr>
          <w:color w:val="auto"/>
          <w:highlight w:val="none"/>
        </w:rPr>
        <w:instrText xml:space="preserve"> PAGEREF _Toc8424 \h </w:instrText>
      </w:r>
      <w:r>
        <w:rPr>
          <w:color w:val="auto"/>
          <w:highlight w:val="none"/>
        </w:rPr>
        <w:fldChar w:fldCharType="separate"/>
      </w:r>
      <w:r>
        <w:rPr>
          <w:color w:val="auto"/>
          <w:highlight w:val="none"/>
        </w:rPr>
        <w:t>122</w:t>
      </w:r>
      <w:r>
        <w:rPr>
          <w:color w:val="auto"/>
          <w:highlight w:val="none"/>
        </w:rPr>
        <w:fldChar w:fldCharType="end"/>
      </w:r>
      <w:r>
        <w:rPr>
          <w:color w:val="auto"/>
          <w:highlight w:val="none"/>
        </w:rPr>
        <w:fldChar w:fldCharType="end"/>
      </w:r>
    </w:p>
    <w:p w14:paraId="0583035D">
      <w:pPr>
        <w:pStyle w:val="19"/>
        <w:tabs>
          <w:tab w:val="right" w:leader="dot" w:pos="8300"/>
        </w:tabs>
        <w:rPr>
          <w:color w:val="auto"/>
          <w:highlight w:val="none"/>
        </w:rPr>
      </w:pPr>
      <w:r>
        <w:rPr>
          <w:color w:val="auto"/>
          <w:highlight w:val="none"/>
        </w:rPr>
        <w:fldChar w:fldCharType="begin"/>
      </w:r>
      <w:r>
        <w:rPr>
          <w:color w:val="auto"/>
          <w:highlight w:val="none"/>
        </w:rPr>
        <w:instrText xml:space="preserve"> HYPERLINK \l _Toc19544 </w:instrText>
      </w:r>
      <w:r>
        <w:rPr>
          <w:color w:val="auto"/>
          <w:highlight w:val="none"/>
        </w:rPr>
        <w:fldChar w:fldCharType="separate"/>
      </w:r>
      <w:r>
        <w:rPr>
          <w:rFonts w:hint="default" w:ascii="Times New Roman" w:hAnsi="Times New Roman" w:eastAsia="宋体" w:cs="Times New Roman"/>
          <w:bCs/>
          <w:color w:val="auto"/>
          <w:szCs w:val="32"/>
          <w:highlight w:val="none"/>
        </w:rPr>
        <w:t xml:space="preserve">4 </w:t>
      </w:r>
      <w:r>
        <w:rPr>
          <w:color w:val="auto"/>
          <w:highlight w:val="none"/>
        </w:rPr>
        <w:t>环境现状调查与评价</w:t>
      </w:r>
      <w:r>
        <w:rPr>
          <w:color w:val="auto"/>
          <w:highlight w:val="none"/>
        </w:rPr>
        <w:tab/>
      </w:r>
      <w:r>
        <w:rPr>
          <w:color w:val="auto"/>
          <w:highlight w:val="none"/>
        </w:rPr>
        <w:fldChar w:fldCharType="begin"/>
      </w:r>
      <w:r>
        <w:rPr>
          <w:color w:val="auto"/>
          <w:highlight w:val="none"/>
        </w:rPr>
        <w:instrText xml:space="preserve"> PAGEREF _Toc19544 \h </w:instrText>
      </w:r>
      <w:r>
        <w:rPr>
          <w:color w:val="auto"/>
          <w:highlight w:val="none"/>
        </w:rPr>
        <w:fldChar w:fldCharType="separate"/>
      </w:r>
      <w:r>
        <w:rPr>
          <w:color w:val="auto"/>
          <w:highlight w:val="none"/>
        </w:rPr>
        <w:t>127</w:t>
      </w:r>
      <w:r>
        <w:rPr>
          <w:color w:val="auto"/>
          <w:highlight w:val="none"/>
        </w:rPr>
        <w:fldChar w:fldCharType="end"/>
      </w:r>
      <w:r>
        <w:rPr>
          <w:color w:val="auto"/>
          <w:highlight w:val="none"/>
        </w:rPr>
        <w:fldChar w:fldCharType="end"/>
      </w:r>
    </w:p>
    <w:p w14:paraId="16017932">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_Toc14382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4.1 </w:t>
      </w:r>
      <w:r>
        <w:rPr>
          <w:rFonts w:hint="default"/>
          <w:color w:val="auto"/>
          <w:highlight w:val="none"/>
        </w:rPr>
        <w:t>自然环境概况</w:t>
      </w:r>
      <w:r>
        <w:rPr>
          <w:color w:val="auto"/>
          <w:highlight w:val="none"/>
        </w:rPr>
        <w:tab/>
      </w:r>
      <w:r>
        <w:rPr>
          <w:color w:val="auto"/>
          <w:highlight w:val="none"/>
        </w:rPr>
        <w:fldChar w:fldCharType="begin"/>
      </w:r>
      <w:r>
        <w:rPr>
          <w:color w:val="auto"/>
          <w:highlight w:val="none"/>
        </w:rPr>
        <w:instrText xml:space="preserve"> PAGEREF _Toc14382 \h </w:instrText>
      </w:r>
      <w:r>
        <w:rPr>
          <w:color w:val="auto"/>
          <w:highlight w:val="none"/>
        </w:rPr>
        <w:fldChar w:fldCharType="separate"/>
      </w:r>
      <w:r>
        <w:rPr>
          <w:color w:val="auto"/>
          <w:highlight w:val="none"/>
        </w:rPr>
        <w:t>127</w:t>
      </w:r>
      <w:r>
        <w:rPr>
          <w:color w:val="auto"/>
          <w:highlight w:val="none"/>
        </w:rPr>
        <w:fldChar w:fldCharType="end"/>
      </w:r>
      <w:r>
        <w:rPr>
          <w:color w:val="auto"/>
          <w:highlight w:val="none"/>
        </w:rPr>
        <w:fldChar w:fldCharType="end"/>
      </w:r>
    </w:p>
    <w:p w14:paraId="29D27BF8">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_Toc26343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4.2 </w:t>
      </w:r>
      <w:r>
        <w:rPr>
          <w:rFonts w:hint="default"/>
          <w:color w:val="auto"/>
          <w:highlight w:val="none"/>
        </w:rPr>
        <w:t>环境质量现状调查与评价</w:t>
      </w:r>
      <w:r>
        <w:rPr>
          <w:color w:val="auto"/>
          <w:highlight w:val="none"/>
        </w:rPr>
        <w:tab/>
      </w:r>
      <w:r>
        <w:rPr>
          <w:color w:val="auto"/>
          <w:highlight w:val="none"/>
        </w:rPr>
        <w:fldChar w:fldCharType="begin"/>
      </w:r>
      <w:r>
        <w:rPr>
          <w:color w:val="auto"/>
          <w:highlight w:val="none"/>
        </w:rPr>
        <w:instrText xml:space="preserve"> PAGEREF _Toc26343 \h </w:instrText>
      </w:r>
      <w:r>
        <w:rPr>
          <w:color w:val="auto"/>
          <w:highlight w:val="none"/>
        </w:rPr>
        <w:fldChar w:fldCharType="separate"/>
      </w:r>
      <w:r>
        <w:rPr>
          <w:color w:val="auto"/>
          <w:highlight w:val="none"/>
        </w:rPr>
        <w:t>129</w:t>
      </w:r>
      <w:r>
        <w:rPr>
          <w:color w:val="auto"/>
          <w:highlight w:val="none"/>
        </w:rPr>
        <w:fldChar w:fldCharType="end"/>
      </w:r>
      <w:r>
        <w:rPr>
          <w:color w:val="auto"/>
          <w:highlight w:val="none"/>
        </w:rPr>
        <w:fldChar w:fldCharType="end"/>
      </w:r>
    </w:p>
    <w:p w14:paraId="2729B443">
      <w:pPr>
        <w:pStyle w:val="19"/>
        <w:tabs>
          <w:tab w:val="right" w:leader="dot" w:pos="8300"/>
        </w:tabs>
        <w:rPr>
          <w:color w:val="auto"/>
          <w:highlight w:val="none"/>
        </w:rPr>
      </w:pPr>
      <w:r>
        <w:rPr>
          <w:color w:val="auto"/>
          <w:highlight w:val="none"/>
        </w:rPr>
        <w:fldChar w:fldCharType="begin"/>
      </w:r>
      <w:r>
        <w:rPr>
          <w:color w:val="auto"/>
          <w:highlight w:val="none"/>
        </w:rPr>
        <w:instrText xml:space="preserve"> HYPERLINK \l _Toc3582 </w:instrText>
      </w:r>
      <w:r>
        <w:rPr>
          <w:color w:val="auto"/>
          <w:highlight w:val="none"/>
        </w:rPr>
        <w:fldChar w:fldCharType="separate"/>
      </w:r>
      <w:r>
        <w:rPr>
          <w:rFonts w:hint="default" w:ascii="Times New Roman" w:hAnsi="Times New Roman" w:eastAsia="宋体" w:cs="Times New Roman"/>
          <w:bCs/>
          <w:color w:val="auto"/>
          <w:szCs w:val="32"/>
          <w:highlight w:val="none"/>
        </w:rPr>
        <w:t xml:space="preserve">5 </w:t>
      </w:r>
      <w:r>
        <w:rPr>
          <w:color w:val="auto"/>
          <w:highlight w:val="none"/>
        </w:rPr>
        <w:t>环境影响预测与评价</w:t>
      </w:r>
      <w:r>
        <w:rPr>
          <w:color w:val="auto"/>
          <w:highlight w:val="none"/>
        </w:rPr>
        <w:tab/>
      </w:r>
      <w:r>
        <w:rPr>
          <w:color w:val="auto"/>
          <w:highlight w:val="none"/>
        </w:rPr>
        <w:fldChar w:fldCharType="begin"/>
      </w:r>
      <w:r>
        <w:rPr>
          <w:color w:val="auto"/>
          <w:highlight w:val="none"/>
        </w:rPr>
        <w:instrText xml:space="preserve"> PAGEREF _Toc3582 \h </w:instrText>
      </w:r>
      <w:r>
        <w:rPr>
          <w:color w:val="auto"/>
          <w:highlight w:val="none"/>
        </w:rPr>
        <w:fldChar w:fldCharType="separate"/>
      </w:r>
      <w:r>
        <w:rPr>
          <w:color w:val="auto"/>
          <w:highlight w:val="none"/>
        </w:rPr>
        <w:t>149</w:t>
      </w:r>
      <w:r>
        <w:rPr>
          <w:color w:val="auto"/>
          <w:highlight w:val="none"/>
        </w:rPr>
        <w:fldChar w:fldCharType="end"/>
      </w:r>
      <w:r>
        <w:rPr>
          <w:color w:val="auto"/>
          <w:highlight w:val="none"/>
        </w:rPr>
        <w:fldChar w:fldCharType="end"/>
      </w:r>
    </w:p>
    <w:p w14:paraId="01552D0D">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_Toc8482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5.1 </w:t>
      </w:r>
      <w:r>
        <w:rPr>
          <w:rFonts w:hint="default"/>
          <w:color w:val="auto"/>
          <w:highlight w:val="none"/>
        </w:rPr>
        <w:t>施工期环境影响预测与评价</w:t>
      </w:r>
      <w:r>
        <w:rPr>
          <w:color w:val="auto"/>
          <w:highlight w:val="none"/>
        </w:rPr>
        <w:tab/>
      </w:r>
      <w:r>
        <w:rPr>
          <w:color w:val="auto"/>
          <w:highlight w:val="none"/>
        </w:rPr>
        <w:fldChar w:fldCharType="begin"/>
      </w:r>
      <w:r>
        <w:rPr>
          <w:color w:val="auto"/>
          <w:highlight w:val="none"/>
        </w:rPr>
        <w:instrText xml:space="preserve"> PAGEREF _Toc8482 \h </w:instrText>
      </w:r>
      <w:r>
        <w:rPr>
          <w:color w:val="auto"/>
          <w:highlight w:val="none"/>
        </w:rPr>
        <w:fldChar w:fldCharType="separate"/>
      </w:r>
      <w:r>
        <w:rPr>
          <w:color w:val="auto"/>
          <w:highlight w:val="none"/>
        </w:rPr>
        <w:t>149</w:t>
      </w:r>
      <w:r>
        <w:rPr>
          <w:color w:val="auto"/>
          <w:highlight w:val="none"/>
        </w:rPr>
        <w:fldChar w:fldCharType="end"/>
      </w:r>
      <w:r>
        <w:rPr>
          <w:color w:val="auto"/>
          <w:highlight w:val="none"/>
        </w:rPr>
        <w:fldChar w:fldCharType="end"/>
      </w:r>
    </w:p>
    <w:p w14:paraId="5487FD20">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_Toc10222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5.2 </w:t>
      </w:r>
      <w:r>
        <w:rPr>
          <w:rFonts w:hint="default"/>
          <w:color w:val="auto"/>
          <w:highlight w:val="none"/>
        </w:rPr>
        <w:t>运营期大气</w:t>
      </w:r>
      <w:r>
        <w:rPr>
          <w:rFonts w:hint="default"/>
          <w:color w:val="auto"/>
          <w:highlight w:val="none"/>
          <w:lang w:val="zh-CN"/>
        </w:rPr>
        <w:t>环境影响预测与评价</w:t>
      </w:r>
      <w:r>
        <w:rPr>
          <w:color w:val="auto"/>
          <w:highlight w:val="none"/>
        </w:rPr>
        <w:tab/>
      </w:r>
      <w:r>
        <w:rPr>
          <w:color w:val="auto"/>
          <w:highlight w:val="none"/>
        </w:rPr>
        <w:fldChar w:fldCharType="begin"/>
      </w:r>
      <w:r>
        <w:rPr>
          <w:color w:val="auto"/>
          <w:highlight w:val="none"/>
        </w:rPr>
        <w:instrText xml:space="preserve"> PAGEREF _Toc10222 \h </w:instrText>
      </w:r>
      <w:r>
        <w:rPr>
          <w:color w:val="auto"/>
          <w:highlight w:val="none"/>
        </w:rPr>
        <w:fldChar w:fldCharType="separate"/>
      </w:r>
      <w:r>
        <w:rPr>
          <w:color w:val="auto"/>
          <w:highlight w:val="none"/>
        </w:rPr>
        <w:t>158</w:t>
      </w:r>
      <w:r>
        <w:rPr>
          <w:color w:val="auto"/>
          <w:highlight w:val="none"/>
        </w:rPr>
        <w:fldChar w:fldCharType="end"/>
      </w:r>
      <w:r>
        <w:rPr>
          <w:color w:val="auto"/>
          <w:highlight w:val="none"/>
        </w:rPr>
        <w:fldChar w:fldCharType="end"/>
      </w:r>
    </w:p>
    <w:p w14:paraId="4855AB54">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_Toc1680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5.3 </w:t>
      </w:r>
      <w:r>
        <w:rPr>
          <w:rFonts w:hint="default"/>
          <w:color w:val="auto"/>
          <w:highlight w:val="none"/>
        </w:rPr>
        <w:t>运营期水</w:t>
      </w:r>
      <w:r>
        <w:rPr>
          <w:rFonts w:hint="default"/>
          <w:color w:val="auto"/>
          <w:highlight w:val="none"/>
          <w:lang w:val="zh-CN"/>
        </w:rPr>
        <w:t>环境影响预测与评价</w:t>
      </w:r>
      <w:r>
        <w:rPr>
          <w:color w:val="auto"/>
          <w:highlight w:val="none"/>
        </w:rPr>
        <w:tab/>
      </w:r>
      <w:r>
        <w:rPr>
          <w:color w:val="auto"/>
          <w:highlight w:val="none"/>
        </w:rPr>
        <w:fldChar w:fldCharType="begin"/>
      </w:r>
      <w:r>
        <w:rPr>
          <w:color w:val="auto"/>
          <w:highlight w:val="none"/>
        </w:rPr>
        <w:instrText xml:space="preserve"> PAGEREF _Toc1680 \h </w:instrText>
      </w:r>
      <w:r>
        <w:rPr>
          <w:color w:val="auto"/>
          <w:highlight w:val="none"/>
        </w:rPr>
        <w:fldChar w:fldCharType="separate"/>
      </w:r>
      <w:r>
        <w:rPr>
          <w:color w:val="auto"/>
          <w:highlight w:val="none"/>
        </w:rPr>
        <w:t>185</w:t>
      </w:r>
      <w:r>
        <w:rPr>
          <w:color w:val="auto"/>
          <w:highlight w:val="none"/>
        </w:rPr>
        <w:fldChar w:fldCharType="end"/>
      </w:r>
      <w:r>
        <w:rPr>
          <w:color w:val="auto"/>
          <w:highlight w:val="none"/>
        </w:rPr>
        <w:fldChar w:fldCharType="end"/>
      </w:r>
    </w:p>
    <w:p w14:paraId="54D851D7">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_Toc13965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5.4 </w:t>
      </w:r>
      <w:r>
        <w:rPr>
          <w:rFonts w:hint="default"/>
          <w:color w:val="auto"/>
          <w:highlight w:val="none"/>
        </w:rPr>
        <w:t>声环境影响预测与评价</w:t>
      </w:r>
      <w:r>
        <w:rPr>
          <w:color w:val="auto"/>
          <w:highlight w:val="none"/>
        </w:rPr>
        <w:tab/>
      </w:r>
      <w:r>
        <w:rPr>
          <w:color w:val="auto"/>
          <w:highlight w:val="none"/>
        </w:rPr>
        <w:fldChar w:fldCharType="begin"/>
      </w:r>
      <w:r>
        <w:rPr>
          <w:color w:val="auto"/>
          <w:highlight w:val="none"/>
        </w:rPr>
        <w:instrText xml:space="preserve"> PAGEREF _Toc13965 \h </w:instrText>
      </w:r>
      <w:r>
        <w:rPr>
          <w:color w:val="auto"/>
          <w:highlight w:val="none"/>
        </w:rPr>
        <w:fldChar w:fldCharType="separate"/>
      </w:r>
      <w:r>
        <w:rPr>
          <w:color w:val="auto"/>
          <w:highlight w:val="none"/>
        </w:rPr>
        <w:t>202</w:t>
      </w:r>
      <w:r>
        <w:rPr>
          <w:color w:val="auto"/>
          <w:highlight w:val="none"/>
        </w:rPr>
        <w:fldChar w:fldCharType="end"/>
      </w:r>
      <w:r>
        <w:rPr>
          <w:color w:val="auto"/>
          <w:highlight w:val="none"/>
        </w:rPr>
        <w:fldChar w:fldCharType="end"/>
      </w:r>
    </w:p>
    <w:p w14:paraId="0779BB92">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_Toc5149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5.5 </w:t>
      </w:r>
      <w:r>
        <w:rPr>
          <w:rFonts w:hint="default"/>
          <w:color w:val="auto"/>
          <w:highlight w:val="none"/>
        </w:rPr>
        <w:t>固体废物</w:t>
      </w:r>
      <w:r>
        <w:rPr>
          <w:rFonts w:hint="default"/>
          <w:color w:val="auto"/>
          <w:highlight w:val="none"/>
          <w:lang w:val="zh-CN"/>
        </w:rPr>
        <w:t>环境影响预测与评价</w:t>
      </w:r>
      <w:r>
        <w:rPr>
          <w:color w:val="auto"/>
          <w:highlight w:val="none"/>
        </w:rPr>
        <w:tab/>
      </w:r>
      <w:r>
        <w:rPr>
          <w:color w:val="auto"/>
          <w:highlight w:val="none"/>
        </w:rPr>
        <w:fldChar w:fldCharType="begin"/>
      </w:r>
      <w:r>
        <w:rPr>
          <w:color w:val="auto"/>
          <w:highlight w:val="none"/>
        </w:rPr>
        <w:instrText xml:space="preserve"> PAGEREF _Toc5149 \h </w:instrText>
      </w:r>
      <w:r>
        <w:rPr>
          <w:color w:val="auto"/>
          <w:highlight w:val="none"/>
        </w:rPr>
        <w:fldChar w:fldCharType="separate"/>
      </w:r>
      <w:r>
        <w:rPr>
          <w:color w:val="auto"/>
          <w:highlight w:val="none"/>
        </w:rPr>
        <w:t>207</w:t>
      </w:r>
      <w:r>
        <w:rPr>
          <w:color w:val="auto"/>
          <w:highlight w:val="none"/>
        </w:rPr>
        <w:fldChar w:fldCharType="end"/>
      </w:r>
      <w:r>
        <w:rPr>
          <w:color w:val="auto"/>
          <w:highlight w:val="none"/>
        </w:rPr>
        <w:fldChar w:fldCharType="end"/>
      </w:r>
    </w:p>
    <w:p w14:paraId="78DA97BA">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_Toc32581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5.6 </w:t>
      </w:r>
      <w:r>
        <w:rPr>
          <w:rFonts w:hint="default"/>
          <w:color w:val="auto"/>
          <w:highlight w:val="none"/>
        </w:rPr>
        <w:t>生态环境影响分析</w:t>
      </w:r>
      <w:r>
        <w:rPr>
          <w:color w:val="auto"/>
          <w:highlight w:val="none"/>
        </w:rPr>
        <w:tab/>
      </w:r>
      <w:r>
        <w:rPr>
          <w:color w:val="auto"/>
          <w:highlight w:val="none"/>
        </w:rPr>
        <w:fldChar w:fldCharType="begin"/>
      </w:r>
      <w:r>
        <w:rPr>
          <w:color w:val="auto"/>
          <w:highlight w:val="none"/>
        </w:rPr>
        <w:instrText xml:space="preserve"> PAGEREF _Toc32581 \h </w:instrText>
      </w:r>
      <w:r>
        <w:rPr>
          <w:color w:val="auto"/>
          <w:highlight w:val="none"/>
        </w:rPr>
        <w:fldChar w:fldCharType="separate"/>
      </w:r>
      <w:r>
        <w:rPr>
          <w:color w:val="auto"/>
          <w:highlight w:val="none"/>
        </w:rPr>
        <w:t>210</w:t>
      </w:r>
      <w:r>
        <w:rPr>
          <w:color w:val="auto"/>
          <w:highlight w:val="none"/>
        </w:rPr>
        <w:fldChar w:fldCharType="end"/>
      </w:r>
      <w:r>
        <w:rPr>
          <w:color w:val="auto"/>
          <w:highlight w:val="none"/>
        </w:rPr>
        <w:fldChar w:fldCharType="end"/>
      </w:r>
    </w:p>
    <w:p w14:paraId="172F398E">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_Toc3318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5.7 </w:t>
      </w:r>
      <w:r>
        <w:rPr>
          <w:rFonts w:hint="default"/>
          <w:color w:val="auto"/>
          <w:highlight w:val="none"/>
        </w:rPr>
        <w:t>土壤</w:t>
      </w:r>
      <w:r>
        <w:rPr>
          <w:rFonts w:hint="default"/>
          <w:color w:val="auto"/>
          <w:highlight w:val="none"/>
          <w:lang w:val="zh-CN"/>
        </w:rPr>
        <w:t>环境影响预测与评价</w:t>
      </w:r>
      <w:r>
        <w:rPr>
          <w:color w:val="auto"/>
          <w:highlight w:val="none"/>
        </w:rPr>
        <w:tab/>
      </w:r>
      <w:r>
        <w:rPr>
          <w:color w:val="auto"/>
          <w:highlight w:val="none"/>
        </w:rPr>
        <w:fldChar w:fldCharType="begin"/>
      </w:r>
      <w:r>
        <w:rPr>
          <w:color w:val="auto"/>
          <w:highlight w:val="none"/>
        </w:rPr>
        <w:instrText xml:space="preserve"> PAGEREF _Toc3318 \h </w:instrText>
      </w:r>
      <w:r>
        <w:rPr>
          <w:color w:val="auto"/>
          <w:highlight w:val="none"/>
        </w:rPr>
        <w:fldChar w:fldCharType="separate"/>
      </w:r>
      <w:r>
        <w:rPr>
          <w:color w:val="auto"/>
          <w:highlight w:val="none"/>
        </w:rPr>
        <w:t>216</w:t>
      </w:r>
      <w:r>
        <w:rPr>
          <w:color w:val="auto"/>
          <w:highlight w:val="none"/>
        </w:rPr>
        <w:fldChar w:fldCharType="end"/>
      </w:r>
      <w:r>
        <w:rPr>
          <w:color w:val="auto"/>
          <w:highlight w:val="none"/>
        </w:rPr>
        <w:fldChar w:fldCharType="end"/>
      </w:r>
    </w:p>
    <w:p w14:paraId="599426EB">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_Toc9811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5.8 </w:t>
      </w:r>
      <w:r>
        <w:rPr>
          <w:rFonts w:hint="default"/>
          <w:color w:val="auto"/>
          <w:highlight w:val="none"/>
        </w:rPr>
        <w:t>服务期满后</w:t>
      </w:r>
      <w:r>
        <w:rPr>
          <w:rFonts w:hint="default"/>
          <w:color w:val="auto"/>
          <w:highlight w:val="none"/>
          <w:lang w:val="zh-CN"/>
        </w:rPr>
        <w:t>环境影响预测与评价</w:t>
      </w:r>
      <w:r>
        <w:rPr>
          <w:color w:val="auto"/>
          <w:highlight w:val="none"/>
        </w:rPr>
        <w:tab/>
      </w:r>
      <w:r>
        <w:rPr>
          <w:color w:val="auto"/>
          <w:highlight w:val="none"/>
        </w:rPr>
        <w:fldChar w:fldCharType="begin"/>
      </w:r>
      <w:r>
        <w:rPr>
          <w:color w:val="auto"/>
          <w:highlight w:val="none"/>
        </w:rPr>
        <w:instrText xml:space="preserve"> PAGEREF _Toc9811 \h </w:instrText>
      </w:r>
      <w:r>
        <w:rPr>
          <w:color w:val="auto"/>
          <w:highlight w:val="none"/>
        </w:rPr>
        <w:fldChar w:fldCharType="separate"/>
      </w:r>
      <w:r>
        <w:rPr>
          <w:color w:val="auto"/>
          <w:highlight w:val="none"/>
        </w:rPr>
        <w:t>223</w:t>
      </w:r>
      <w:r>
        <w:rPr>
          <w:color w:val="auto"/>
          <w:highlight w:val="none"/>
        </w:rPr>
        <w:fldChar w:fldCharType="end"/>
      </w:r>
      <w:r>
        <w:rPr>
          <w:color w:val="auto"/>
          <w:highlight w:val="none"/>
        </w:rPr>
        <w:fldChar w:fldCharType="end"/>
      </w:r>
    </w:p>
    <w:p w14:paraId="1D2DD8D2">
      <w:pPr>
        <w:pStyle w:val="19"/>
        <w:tabs>
          <w:tab w:val="right" w:leader="dot" w:pos="8300"/>
        </w:tabs>
        <w:rPr>
          <w:color w:val="auto"/>
          <w:highlight w:val="none"/>
        </w:rPr>
      </w:pPr>
      <w:r>
        <w:rPr>
          <w:color w:val="auto"/>
          <w:highlight w:val="none"/>
        </w:rPr>
        <w:fldChar w:fldCharType="begin"/>
      </w:r>
      <w:r>
        <w:rPr>
          <w:color w:val="auto"/>
          <w:highlight w:val="none"/>
        </w:rPr>
        <w:instrText xml:space="preserve"> HYPERLINK \l _Toc17184 </w:instrText>
      </w:r>
      <w:r>
        <w:rPr>
          <w:color w:val="auto"/>
          <w:highlight w:val="none"/>
        </w:rPr>
        <w:fldChar w:fldCharType="separate"/>
      </w:r>
      <w:r>
        <w:rPr>
          <w:rFonts w:hint="default" w:ascii="Times New Roman" w:hAnsi="Times New Roman" w:eastAsia="宋体" w:cs="Times New Roman"/>
          <w:bCs/>
          <w:color w:val="auto"/>
          <w:szCs w:val="32"/>
          <w:highlight w:val="none"/>
        </w:rPr>
        <w:t xml:space="preserve">6 </w:t>
      </w:r>
      <w:r>
        <w:rPr>
          <w:bCs/>
          <w:color w:val="auto"/>
          <w:highlight w:val="none"/>
        </w:rPr>
        <w:t>环境风险评价</w:t>
      </w:r>
      <w:r>
        <w:rPr>
          <w:color w:val="auto"/>
          <w:highlight w:val="none"/>
        </w:rPr>
        <w:tab/>
      </w:r>
      <w:r>
        <w:rPr>
          <w:color w:val="auto"/>
          <w:highlight w:val="none"/>
        </w:rPr>
        <w:fldChar w:fldCharType="begin"/>
      </w:r>
      <w:r>
        <w:rPr>
          <w:color w:val="auto"/>
          <w:highlight w:val="none"/>
        </w:rPr>
        <w:instrText xml:space="preserve"> PAGEREF _Toc17184 \h </w:instrText>
      </w:r>
      <w:r>
        <w:rPr>
          <w:color w:val="auto"/>
          <w:highlight w:val="none"/>
        </w:rPr>
        <w:fldChar w:fldCharType="separate"/>
      </w:r>
      <w:r>
        <w:rPr>
          <w:color w:val="auto"/>
          <w:highlight w:val="none"/>
        </w:rPr>
        <w:t>225</w:t>
      </w:r>
      <w:r>
        <w:rPr>
          <w:color w:val="auto"/>
          <w:highlight w:val="none"/>
        </w:rPr>
        <w:fldChar w:fldCharType="end"/>
      </w:r>
      <w:r>
        <w:rPr>
          <w:color w:val="auto"/>
          <w:highlight w:val="none"/>
        </w:rPr>
        <w:fldChar w:fldCharType="end"/>
      </w:r>
    </w:p>
    <w:p w14:paraId="07213232">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_Toc24954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6.1 </w:t>
      </w:r>
      <w:r>
        <w:rPr>
          <w:rFonts w:hint="default"/>
          <w:color w:val="auto"/>
          <w:highlight w:val="none"/>
        </w:rPr>
        <w:t>环境风险评价原则</w:t>
      </w:r>
      <w:r>
        <w:rPr>
          <w:color w:val="auto"/>
          <w:highlight w:val="none"/>
        </w:rPr>
        <w:tab/>
      </w:r>
      <w:r>
        <w:rPr>
          <w:color w:val="auto"/>
          <w:highlight w:val="none"/>
        </w:rPr>
        <w:fldChar w:fldCharType="begin"/>
      </w:r>
      <w:r>
        <w:rPr>
          <w:color w:val="auto"/>
          <w:highlight w:val="none"/>
        </w:rPr>
        <w:instrText xml:space="preserve"> PAGEREF _Toc24954 \h </w:instrText>
      </w:r>
      <w:r>
        <w:rPr>
          <w:color w:val="auto"/>
          <w:highlight w:val="none"/>
        </w:rPr>
        <w:fldChar w:fldCharType="separate"/>
      </w:r>
      <w:r>
        <w:rPr>
          <w:color w:val="auto"/>
          <w:highlight w:val="none"/>
        </w:rPr>
        <w:t>225</w:t>
      </w:r>
      <w:r>
        <w:rPr>
          <w:color w:val="auto"/>
          <w:highlight w:val="none"/>
        </w:rPr>
        <w:fldChar w:fldCharType="end"/>
      </w:r>
      <w:r>
        <w:rPr>
          <w:color w:val="auto"/>
          <w:highlight w:val="none"/>
        </w:rPr>
        <w:fldChar w:fldCharType="end"/>
      </w:r>
    </w:p>
    <w:p w14:paraId="05520649">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_Toc23003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6.2 </w:t>
      </w:r>
      <w:r>
        <w:rPr>
          <w:rFonts w:hint="default"/>
          <w:color w:val="auto"/>
          <w:highlight w:val="none"/>
        </w:rPr>
        <w:t>评价工作程序</w:t>
      </w:r>
      <w:r>
        <w:rPr>
          <w:color w:val="auto"/>
          <w:highlight w:val="none"/>
        </w:rPr>
        <w:tab/>
      </w:r>
      <w:r>
        <w:rPr>
          <w:color w:val="auto"/>
          <w:highlight w:val="none"/>
        </w:rPr>
        <w:fldChar w:fldCharType="begin"/>
      </w:r>
      <w:r>
        <w:rPr>
          <w:color w:val="auto"/>
          <w:highlight w:val="none"/>
        </w:rPr>
        <w:instrText xml:space="preserve"> PAGEREF _Toc23003 \h </w:instrText>
      </w:r>
      <w:r>
        <w:rPr>
          <w:color w:val="auto"/>
          <w:highlight w:val="none"/>
        </w:rPr>
        <w:fldChar w:fldCharType="separate"/>
      </w:r>
      <w:r>
        <w:rPr>
          <w:color w:val="auto"/>
          <w:highlight w:val="none"/>
        </w:rPr>
        <w:t>225</w:t>
      </w:r>
      <w:r>
        <w:rPr>
          <w:color w:val="auto"/>
          <w:highlight w:val="none"/>
        </w:rPr>
        <w:fldChar w:fldCharType="end"/>
      </w:r>
      <w:r>
        <w:rPr>
          <w:color w:val="auto"/>
          <w:highlight w:val="none"/>
        </w:rPr>
        <w:fldChar w:fldCharType="end"/>
      </w:r>
    </w:p>
    <w:p w14:paraId="73DC0AE9">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_Toc8542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6.3 </w:t>
      </w:r>
      <w:r>
        <w:rPr>
          <w:rFonts w:hint="default"/>
          <w:color w:val="auto"/>
          <w:highlight w:val="none"/>
        </w:rPr>
        <w:t>风险调查</w:t>
      </w:r>
      <w:r>
        <w:rPr>
          <w:color w:val="auto"/>
          <w:highlight w:val="none"/>
        </w:rPr>
        <w:tab/>
      </w:r>
      <w:r>
        <w:rPr>
          <w:color w:val="auto"/>
          <w:highlight w:val="none"/>
        </w:rPr>
        <w:fldChar w:fldCharType="begin"/>
      </w:r>
      <w:r>
        <w:rPr>
          <w:color w:val="auto"/>
          <w:highlight w:val="none"/>
        </w:rPr>
        <w:instrText xml:space="preserve"> PAGEREF _Toc8542 \h </w:instrText>
      </w:r>
      <w:r>
        <w:rPr>
          <w:color w:val="auto"/>
          <w:highlight w:val="none"/>
        </w:rPr>
        <w:fldChar w:fldCharType="separate"/>
      </w:r>
      <w:r>
        <w:rPr>
          <w:color w:val="auto"/>
          <w:highlight w:val="none"/>
        </w:rPr>
        <w:t>225</w:t>
      </w:r>
      <w:r>
        <w:rPr>
          <w:color w:val="auto"/>
          <w:highlight w:val="none"/>
        </w:rPr>
        <w:fldChar w:fldCharType="end"/>
      </w:r>
      <w:r>
        <w:rPr>
          <w:color w:val="auto"/>
          <w:highlight w:val="none"/>
        </w:rPr>
        <w:fldChar w:fldCharType="end"/>
      </w:r>
    </w:p>
    <w:p w14:paraId="7B4DC7EA">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_Toc30738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6.4 </w:t>
      </w:r>
      <w:r>
        <w:rPr>
          <w:rFonts w:hint="default"/>
          <w:color w:val="auto"/>
          <w:highlight w:val="none"/>
        </w:rPr>
        <w:t>环境风险潜势初判</w:t>
      </w:r>
      <w:r>
        <w:rPr>
          <w:color w:val="auto"/>
          <w:highlight w:val="none"/>
        </w:rPr>
        <w:tab/>
      </w:r>
      <w:r>
        <w:rPr>
          <w:color w:val="auto"/>
          <w:highlight w:val="none"/>
        </w:rPr>
        <w:fldChar w:fldCharType="begin"/>
      </w:r>
      <w:r>
        <w:rPr>
          <w:color w:val="auto"/>
          <w:highlight w:val="none"/>
        </w:rPr>
        <w:instrText xml:space="preserve"> PAGEREF _Toc30738 \h </w:instrText>
      </w:r>
      <w:r>
        <w:rPr>
          <w:color w:val="auto"/>
          <w:highlight w:val="none"/>
        </w:rPr>
        <w:fldChar w:fldCharType="separate"/>
      </w:r>
      <w:r>
        <w:rPr>
          <w:color w:val="auto"/>
          <w:highlight w:val="none"/>
        </w:rPr>
        <w:t>228</w:t>
      </w:r>
      <w:r>
        <w:rPr>
          <w:color w:val="auto"/>
          <w:highlight w:val="none"/>
        </w:rPr>
        <w:fldChar w:fldCharType="end"/>
      </w:r>
      <w:r>
        <w:rPr>
          <w:color w:val="auto"/>
          <w:highlight w:val="none"/>
        </w:rPr>
        <w:fldChar w:fldCharType="end"/>
      </w:r>
    </w:p>
    <w:p w14:paraId="053B9505">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_Toc21357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6.5 </w:t>
      </w:r>
      <w:r>
        <w:rPr>
          <w:rFonts w:hint="default"/>
          <w:color w:val="auto"/>
          <w:highlight w:val="none"/>
        </w:rPr>
        <w:t>环境风险识别</w:t>
      </w:r>
      <w:r>
        <w:rPr>
          <w:color w:val="auto"/>
          <w:highlight w:val="none"/>
        </w:rPr>
        <w:tab/>
      </w:r>
      <w:r>
        <w:rPr>
          <w:color w:val="auto"/>
          <w:highlight w:val="none"/>
        </w:rPr>
        <w:fldChar w:fldCharType="begin"/>
      </w:r>
      <w:r>
        <w:rPr>
          <w:color w:val="auto"/>
          <w:highlight w:val="none"/>
        </w:rPr>
        <w:instrText xml:space="preserve"> PAGEREF _Toc21357 \h </w:instrText>
      </w:r>
      <w:r>
        <w:rPr>
          <w:color w:val="auto"/>
          <w:highlight w:val="none"/>
        </w:rPr>
        <w:fldChar w:fldCharType="separate"/>
      </w:r>
      <w:r>
        <w:rPr>
          <w:color w:val="auto"/>
          <w:highlight w:val="none"/>
        </w:rPr>
        <w:t>234</w:t>
      </w:r>
      <w:r>
        <w:rPr>
          <w:color w:val="auto"/>
          <w:highlight w:val="none"/>
        </w:rPr>
        <w:fldChar w:fldCharType="end"/>
      </w:r>
      <w:r>
        <w:rPr>
          <w:color w:val="auto"/>
          <w:highlight w:val="none"/>
        </w:rPr>
        <w:fldChar w:fldCharType="end"/>
      </w:r>
    </w:p>
    <w:p w14:paraId="1437D1F7">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_Toc24945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6.6 </w:t>
      </w:r>
      <w:r>
        <w:rPr>
          <w:rFonts w:hint="default"/>
          <w:color w:val="auto"/>
          <w:highlight w:val="none"/>
        </w:rPr>
        <w:t>环境风险</w:t>
      </w:r>
      <w:r>
        <w:rPr>
          <w:color w:val="auto"/>
          <w:highlight w:val="none"/>
        </w:rPr>
        <w:t>分析及防范措施</w:t>
      </w:r>
      <w:r>
        <w:rPr>
          <w:color w:val="auto"/>
          <w:highlight w:val="none"/>
        </w:rPr>
        <w:tab/>
      </w:r>
      <w:r>
        <w:rPr>
          <w:color w:val="auto"/>
          <w:highlight w:val="none"/>
        </w:rPr>
        <w:fldChar w:fldCharType="begin"/>
      </w:r>
      <w:r>
        <w:rPr>
          <w:color w:val="auto"/>
          <w:highlight w:val="none"/>
        </w:rPr>
        <w:instrText xml:space="preserve"> PAGEREF _Toc24945 \h </w:instrText>
      </w:r>
      <w:r>
        <w:rPr>
          <w:color w:val="auto"/>
          <w:highlight w:val="none"/>
        </w:rPr>
        <w:fldChar w:fldCharType="separate"/>
      </w:r>
      <w:r>
        <w:rPr>
          <w:color w:val="auto"/>
          <w:highlight w:val="none"/>
        </w:rPr>
        <w:t>235</w:t>
      </w:r>
      <w:r>
        <w:rPr>
          <w:color w:val="auto"/>
          <w:highlight w:val="none"/>
        </w:rPr>
        <w:fldChar w:fldCharType="end"/>
      </w:r>
      <w:r>
        <w:rPr>
          <w:color w:val="auto"/>
          <w:highlight w:val="none"/>
        </w:rPr>
        <w:fldChar w:fldCharType="end"/>
      </w:r>
    </w:p>
    <w:p w14:paraId="61665140">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_Toc185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6.7 </w:t>
      </w:r>
      <w:r>
        <w:rPr>
          <w:rFonts w:hint="default"/>
          <w:color w:val="auto"/>
          <w:highlight w:val="none"/>
        </w:rPr>
        <w:t>环境风险评价小结</w:t>
      </w:r>
      <w:r>
        <w:rPr>
          <w:color w:val="auto"/>
          <w:highlight w:val="none"/>
        </w:rPr>
        <w:tab/>
      </w:r>
      <w:r>
        <w:rPr>
          <w:color w:val="auto"/>
          <w:highlight w:val="none"/>
        </w:rPr>
        <w:fldChar w:fldCharType="begin"/>
      </w:r>
      <w:r>
        <w:rPr>
          <w:color w:val="auto"/>
          <w:highlight w:val="none"/>
        </w:rPr>
        <w:instrText xml:space="preserve"> PAGEREF _Toc185 \h </w:instrText>
      </w:r>
      <w:r>
        <w:rPr>
          <w:color w:val="auto"/>
          <w:highlight w:val="none"/>
        </w:rPr>
        <w:fldChar w:fldCharType="separate"/>
      </w:r>
      <w:r>
        <w:rPr>
          <w:color w:val="auto"/>
          <w:highlight w:val="none"/>
        </w:rPr>
        <w:t>245</w:t>
      </w:r>
      <w:r>
        <w:rPr>
          <w:color w:val="auto"/>
          <w:highlight w:val="none"/>
        </w:rPr>
        <w:fldChar w:fldCharType="end"/>
      </w:r>
      <w:r>
        <w:rPr>
          <w:color w:val="auto"/>
          <w:highlight w:val="none"/>
        </w:rPr>
        <w:fldChar w:fldCharType="end"/>
      </w:r>
    </w:p>
    <w:p w14:paraId="1E9CD156">
      <w:pPr>
        <w:pStyle w:val="19"/>
        <w:tabs>
          <w:tab w:val="right" w:leader="dot" w:pos="8300"/>
        </w:tabs>
        <w:rPr>
          <w:color w:val="auto"/>
          <w:highlight w:val="none"/>
        </w:rPr>
      </w:pPr>
      <w:r>
        <w:rPr>
          <w:color w:val="auto"/>
          <w:highlight w:val="none"/>
        </w:rPr>
        <w:fldChar w:fldCharType="begin"/>
      </w:r>
      <w:r>
        <w:rPr>
          <w:color w:val="auto"/>
          <w:highlight w:val="none"/>
        </w:rPr>
        <w:instrText xml:space="preserve"> HYPERLINK \l _Toc3162 </w:instrText>
      </w:r>
      <w:r>
        <w:rPr>
          <w:color w:val="auto"/>
          <w:highlight w:val="none"/>
        </w:rPr>
        <w:fldChar w:fldCharType="separate"/>
      </w:r>
      <w:r>
        <w:rPr>
          <w:rFonts w:hint="default" w:ascii="Times New Roman" w:hAnsi="Times New Roman" w:eastAsia="宋体" w:cs="Times New Roman"/>
          <w:bCs/>
          <w:color w:val="auto"/>
          <w:szCs w:val="32"/>
          <w:highlight w:val="none"/>
        </w:rPr>
        <w:t xml:space="preserve">7 </w:t>
      </w:r>
      <w:r>
        <w:rPr>
          <w:color w:val="auto"/>
          <w:highlight w:val="none"/>
        </w:rPr>
        <w:t>环境保护措施及其可行性论证</w:t>
      </w:r>
      <w:r>
        <w:rPr>
          <w:color w:val="auto"/>
          <w:highlight w:val="none"/>
        </w:rPr>
        <w:tab/>
      </w:r>
      <w:r>
        <w:rPr>
          <w:color w:val="auto"/>
          <w:highlight w:val="none"/>
        </w:rPr>
        <w:fldChar w:fldCharType="begin"/>
      </w:r>
      <w:r>
        <w:rPr>
          <w:color w:val="auto"/>
          <w:highlight w:val="none"/>
        </w:rPr>
        <w:instrText xml:space="preserve"> PAGEREF _Toc3162 \h </w:instrText>
      </w:r>
      <w:r>
        <w:rPr>
          <w:color w:val="auto"/>
          <w:highlight w:val="none"/>
        </w:rPr>
        <w:fldChar w:fldCharType="separate"/>
      </w:r>
      <w:r>
        <w:rPr>
          <w:color w:val="auto"/>
          <w:highlight w:val="none"/>
        </w:rPr>
        <w:t>248</w:t>
      </w:r>
      <w:r>
        <w:rPr>
          <w:color w:val="auto"/>
          <w:highlight w:val="none"/>
        </w:rPr>
        <w:fldChar w:fldCharType="end"/>
      </w:r>
      <w:r>
        <w:rPr>
          <w:color w:val="auto"/>
          <w:highlight w:val="none"/>
        </w:rPr>
        <w:fldChar w:fldCharType="end"/>
      </w:r>
    </w:p>
    <w:p w14:paraId="22D9D220">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_Toc7359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7.1 </w:t>
      </w:r>
      <w:r>
        <w:rPr>
          <w:rFonts w:hint="default"/>
          <w:color w:val="auto"/>
          <w:highlight w:val="none"/>
        </w:rPr>
        <w:t>施工期环境保护措施</w:t>
      </w:r>
      <w:r>
        <w:rPr>
          <w:color w:val="auto"/>
          <w:highlight w:val="none"/>
        </w:rPr>
        <w:tab/>
      </w:r>
      <w:r>
        <w:rPr>
          <w:color w:val="auto"/>
          <w:highlight w:val="none"/>
        </w:rPr>
        <w:fldChar w:fldCharType="begin"/>
      </w:r>
      <w:r>
        <w:rPr>
          <w:color w:val="auto"/>
          <w:highlight w:val="none"/>
        </w:rPr>
        <w:instrText xml:space="preserve"> PAGEREF _Toc7359 \h </w:instrText>
      </w:r>
      <w:r>
        <w:rPr>
          <w:color w:val="auto"/>
          <w:highlight w:val="none"/>
        </w:rPr>
        <w:fldChar w:fldCharType="separate"/>
      </w:r>
      <w:r>
        <w:rPr>
          <w:color w:val="auto"/>
          <w:highlight w:val="none"/>
        </w:rPr>
        <w:t>248</w:t>
      </w:r>
      <w:r>
        <w:rPr>
          <w:color w:val="auto"/>
          <w:highlight w:val="none"/>
        </w:rPr>
        <w:fldChar w:fldCharType="end"/>
      </w:r>
      <w:r>
        <w:rPr>
          <w:color w:val="auto"/>
          <w:highlight w:val="none"/>
        </w:rPr>
        <w:fldChar w:fldCharType="end"/>
      </w:r>
    </w:p>
    <w:p w14:paraId="12EA856A">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_Toc17065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7.2 </w:t>
      </w:r>
      <w:r>
        <w:rPr>
          <w:rFonts w:hint="default"/>
          <w:color w:val="auto"/>
          <w:highlight w:val="none"/>
        </w:rPr>
        <w:t>运营期环境保护措施及其可行性分析</w:t>
      </w:r>
      <w:r>
        <w:rPr>
          <w:color w:val="auto"/>
          <w:highlight w:val="none"/>
        </w:rPr>
        <w:tab/>
      </w:r>
      <w:r>
        <w:rPr>
          <w:color w:val="auto"/>
          <w:highlight w:val="none"/>
        </w:rPr>
        <w:fldChar w:fldCharType="begin"/>
      </w:r>
      <w:r>
        <w:rPr>
          <w:color w:val="auto"/>
          <w:highlight w:val="none"/>
        </w:rPr>
        <w:instrText xml:space="preserve"> PAGEREF _Toc17065 \h </w:instrText>
      </w:r>
      <w:r>
        <w:rPr>
          <w:color w:val="auto"/>
          <w:highlight w:val="none"/>
        </w:rPr>
        <w:fldChar w:fldCharType="separate"/>
      </w:r>
      <w:r>
        <w:rPr>
          <w:color w:val="auto"/>
          <w:highlight w:val="none"/>
        </w:rPr>
        <w:t>252</w:t>
      </w:r>
      <w:r>
        <w:rPr>
          <w:color w:val="auto"/>
          <w:highlight w:val="none"/>
        </w:rPr>
        <w:fldChar w:fldCharType="end"/>
      </w:r>
      <w:r>
        <w:rPr>
          <w:color w:val="auto"/>
          <w:highlight w:val="none"/>
        </w:rPr>
        <w:fldChar w:fldCharType="end"/>
      </w:r>
    </w:p>
    <w:p w14:paraId="05DA483E">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_Toc14541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7.3 </w:t>
      </w:r>
      <w:r>
        <w:rPr>
          <w:rFonts w:hint="default"/>
          <w:color w:val="auto"/>
          <w:highlight w:val="none"/>
        </w:rPr>
        <w:t>服务期满后的生态恢复措施</w:t>
      </w:r>
      <w:r>
        <w:rPr>
          <w:color w:val="auto"/>
          <w:highlight w:val="none"/>
        </w:rPr>
        <w:tab/>
      </w:r>
      <w:r>
        <w:rPr>
          <w:color w:val="auto"/>
          <w:highlight w:val="none"/>
        </w:rPr>
        <w:fldChar w:fldCharType="begin"/>
      </w:r>
      <w:r>
        <w:rPr>
          <w:color w:val="auto"/>
          <w:highlight w:val="none"/>
        </w:rPr>
        <w:instrText xml:space="preserve"> PAGEREF _Toc14541 \h </w:instrText>
      </w:r>
      <w:r>
        <w:rPr>
          <w:color w:val="auto"/>
          <w:highlight w:val="none"/>
        </w:rPr>
        <w:fldChar w:fldCharType="separate"/>
      </w:r>
      <w:r>
        <w:rPr>
          <w:color w:val="auto"/>
          <w:highlight w:val="none"/>
        </w:rPr>
        <w:t>267</w:t>
      </w:r>
      <w:r>
        <w:rPr>
          <w:color w:val="auto"/>
          <w:highlight w:val="none"/>
        </w:rPr>
        <w:fldChar w:fldCharType="end"/>
      </w:r>
      <w:r>
        <w:rPr>
          <w:color w:val="auto"/>
          <w:highlight w:val="none"/>
        </w:rPr>
        <w:fldChar w:fldCharType="end"/>
      </w:r>
    </w:p>
    <w:p w14:paraId="4199E7EB">
      <w:pPr>
        <w:pStyle w:val="19"/>
        <w:tabs>
          <w:tab w:val="right" w:leader="dot" w:pos="8300"/>
        </w:tabs>
        <w:rPr>
          <w:color w:val="auto"/>
          <w:highlight w:val="none"/>
        </w:rPr>
      </w:pPr>
      <w:r>
        <w:rPr>
          <w:color w:val="auto"/>
          <w:highlight w:val="none"/>
        </w:rPr>
        <w:fldChar w:fldCharType="begin"/>
      </w:r>
      <w:r>
        <w:rPr>
          <w:color w:val="auto"/>
          <w:highlight w:val="none"/>
        </w:rPr>
        <w:instrText xml:space="preserve"> HYPERLINK \l _Toc5928 </w:instrText>
      </w:r>
      <w:r>
        <w:rPr>
          <w:color w:val="auto"/>
          <w:highlight w:val="none"/>
        </w:rPr>
        <w:fldChar w:fldCharType="separate"/>
      </w:r>
      <w:r>
        <w:rPr>
          <w:rFonts w:hint="default" w:ascii="Times New Roman" w:hAnsi="Times New Roman" w:eastAsia="宋体" w:cs="Times New Roman"/>
          <w:bCs/>
          <w:color w:val="auto"/>
          <w:szCs w:val="32"/>
          <w:highlight w:val="none"/>
        </w:rPr>
        <w:t xml:space="preserve">8 </w:t>
      </w:r>
      <w:r>
        <w:rPr>
          <w:color w:val="auto"/>
          <w:highlight w:val="none"/>
        </w:rPr>
        <w:t>环境影响经济损益分析</w:t>
      </w:r>
      <w:r>
        <w:rPr>
          <w:color w:val="auto"/>
          <w:highlight w:val="none"/>
        </w:rPr>
        <w:tab/>
      </w:r>
      <w:r>
        <w:rPr>
          <w:color w:val="auto"/>
          <w:highlight w:val="none"/>
        </w:rPr>
        <w:fldChar w:fldCharType="begin"/>
      </w:r>
      <w:r>
        <w:rPr>
          <w:color w:val="auto"/>
          <w:highlight w:val="none"/>
        </w:rPr>
        <w:instrText xml:space="preserve"> PAGEREF _Toc5928 \h </w:instrText>
      </w:r>
      <w:r>
        <w:rPr>
          <w:color w:val="auto"/>
          <w:highlight w:val="none"/>
        </w:rPr>
        <w:fldChar w:fldCharType="separate"/>
      </w:r>
      <w:r>
        <w:rPr>
          <w:color w:val="auto"/>
          <w:highlight w:val="none"/>
        </w:rPr>
        <w:t>269</w:t>
      </w:r>
      <w:r>
        <w:rPr>
          <w:color w:val="auto"/>
          <w:highlight w:val="none"/>
        </w:rPr>
        <w:fldChar w:fldCharType="end"/>
      </w:r>
      <w:r>
        <w:rPr>
          <w:color w:val="auto"/>
          <w:highlight w:val="none"/>
        </w:rPr>
        <w:fldChar w:fldCharType="end"/>
      </w:r>
    </w:p>
    <w:p w14:paraId="1F5512CC">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_Toc4214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8.1 </w:t>
      </w:r>
      <w:r>
        <w:rPr>
          <w:rFonts w:hint="default"/>
          <w:color w:val="auto"/>
          <w:highlight w:val="none"/>
        </w:rPr>
        <w:t>经济效益分析</w:t>
      </w:r>
      <w:r>
        <w:rPr>
          <w:color w:val="auto"/>
          <w:highlight w:val="none"/>
        </w:rPr>
        <w:tab/>
      </w:r>
      <w:r>
        <w:rPr>
          <w:color w:val="auto"/>
          <w:highlight w:val="none"/>
        </w:rPr>
        <w:fldChar w:fldCharType="begin"/>
      </w:r>
      <w:r>
        <w:rPr>
          <w:color w:val="auto"/>
          <w:highlight w:val="none"/>
        </w:rPr>
        <w:instrText xml:space="preserve"> PAGEREF _Toc4214 \h </w:instrText>
      </w:r>
      <w:r>
        <w:rPr>
          <w:color w:val="auto"/>
          <w:highlight w:val="none"/>
        </w:rPr>
        <w:fldChar w:fldCharType="separate"/>
      </w:r>
      <w:r>
        <w:rPr>
          <w:color w:val="auto"/>
          <w:highlight w:val="none"/>
        </w:rPr>
        <w:t>269</w:t>
      </w:r>
      <w:r>
        <w:rPr>
          <w:color w:val="auto"/>
          <w:highlight w:val="none"/>
        </w:rPr>
        <w:fldChar w:fldCharType="end"/>
      </w:r>
      <w:r>
        <w:rPr>
          <w:color w:val="auto"/>
          <w:highlight w:val="none"/>
        </w:rPr>
        <w:fldChar w:fldCharType="end"/>
      </w:r>
    </w:p>
    <w:p w14:paraId="52CC1613">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_Toc9056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8.2 </w:t>
      </w:r>
      <w:r>
        <w:rPr>
          <w:rFonts w:hint="default"/>
          <w:color w:val="auto"/>
          <w:highlight w:val="none"/>
        </w:rPr>
        <w:t>社会效益分析</w:t>
      </w:r>
      <w:r>
        <w:rPr>
          <w:color w:val="auto"/>
          <w:highlight w:val="none"/>
        </w:rPr>
        <w:tab/>
      </w:r>
      <w:r>
        <w:rPr>
          <w:color w:val="auto"/>
          <w:highlight w:val="none"/>
        </w:rPr>
        <w:fldChar w:fldCharType="begin"/>
      </w:r>
      <w:r>
        <w:rPr>
          <w:color w:val="auto"/>
          <w:highlight w:val="none"/>
        </w:rPr>
        <w:instrText xml:space="preserve"> PAGEREF _Toc9056 \h </w:instrText>
      </w:r>
      <w:r>
        <w:rPr>
          <w:color w:val="auto"/>
          <w:highlight w:val="none"/>
        </w:rPr>
        <w:fldChar w:fldCharType="separate"/>
      </w:r>
      <w:r>
        <w:rPr>
          <w:color w:val="auto"/>
          <w:highlight w:val="none"/>
        </w:rPr>
        <w:t>269</w:t>
      </w:r>
      <w:r>
        <w:rPr>
          <w:color w:val="auto"/>
          <w:highlight w:val="none"/>
        </w:rPr>
        <w:fldChar w:fldCharType="end"/>
      </w:r>
      <w:r>
        <w:rPr>
          <w:color w:val="auto"/>
          <w:highlight w:val="none"/>
        </w:rPr>
        <w:fldChar w:fldCharType="end"/>
      </w:r>
    </w:p>
    <w:p w14:paraId="424318E8">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_Toc31313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8.3 </w:t>
      </w:r>
      <w:r>
        <w:rPr>
          <w:rFonts w:hint="default"/>
          <w:color w:val="auto"/>
          <w:highlight w:val="none"/>
        </w:rPr>
        <w:t>项目环境效益分析</w:t>
      </w:r>
      <w:r>
        <w:rPr>
          <w:color w:val="auto"/>
          <w:highlight w:val="none"/>
        </w:rPr>
        <w:tab/>
      </w:r>
      <w:r>
        <w:rPr>
          <w:color w:val="auto"/>
          <w:highlight w:val="none"/>
        </w:rPr>
        <w:fldChar w:fldCharType="begin"/>
      </w:r>
      <w:r>
        <w:rPr>
          <w:color w:val="auto"/>
          <w:highlight w:val="none"/>
        </w:rPr>
        <w:instrText xml:space="preserve"> PAGEREF _Toc31313 \h </w:instrText>
      </w:r>
      <w:r>
        <w:rPr>
          <w:color w:val="auto"/>
          <w:highlight w:val="none"/>
        </w:rPr>
        <w:fldChar w:fldCharType="separate"/>
      </w:r>
      <w:r>
        <w:rPr>
          <w:color w:val="auto"/>
          <w:highlight w:val="none"/>
        </w:rPr>
        <w:t>269</w:t>
      </w:r>
      <w:r>
        <w:rPr>
          <w:color w:val="auto"/>
          <w:highlight w:val="none"/>
        </w:rPr>
        <w:fldChar w:fldCharType="end"/>
      </w:r>
      <w:r>
        <w:rPr>
          <w:color w:val="auto"/>
          <w:highlight w:val="none"/>
        </w:rPr>
        <w:fldChar w:fldCharType="end"/>
      </w:r>
    </w:p>
    <w:p w14:paraId="0DB92905">
      <w:pPr>
        <w:pStyle w:val="19"/>
        <w:tabs>
          <w:tab w:val="right" w:leader="dot" w:pos="8300"/>
        </w:tabs>
        <w:rPr>
          <w:color w:val="auto"/>
          <w:highlight w:val="none"/>
        </w:rPr>
      </w:pPr>
      <w:r>
        <w:rPr>
          <w:color w:val="auto"/>
          <w:highlight w:val="none"/>
        </w:rPr>
        <w:fldChar w:fldCharType="begin"/>
      </w:r>
      <w:r>
        <w:rPr>
          <w:color w:val="auto"/>
          <w:highlight w:val="none"/>
        </w:rPr>
        <w:instrText xml:space="preserve"> HYPERLINK \l _Toc25055 </w:instrText>
      </w:r>
      <w:r>
        <w:rPr>
          <w:color w:val="auto"/>
          <w:highlight w:val="none"/>
        </w:rPr>
        <w:fldChar w:fldCharType="separate"/>
      </w:r>
      <w:r>
        <w:rPr>
          <w:rFonts w:hint="default" w:ascii="Times New Roman" w:hAnsi="Times New Roman" w:eastAsia="宋体" w:cs="Times New Roman"/>
          <w:bCs/>
          <w:color w:val="auto"/>
          <w:szCs w:val="32"/>
          <w:highlight w:val="none"/>
        </w:rPr>
        <w:t xml:space="preserve">9 </w:t>
      </w:r>
      <w:r>
        <w:rPr>
          <w:color w:val="auto"/>
          <w:highlight w:val="none"/>
        </w:rPr>
        <w:t>环境管理与监测计划</w:t>
      </w:r>
      <w:r>
        <w:rPr>
          <w:color w:val="auto"/>
          <w:highlight w:val="none"/>
        </w:rPr>
        <w:tab/>
      </w:r>
      <w:r>
        <w:rPr>
          <w:color w:val="auto"/>
          <w:highlight w:val="none"/>
        </w:rPr>
        <w:fldChar w:fldCharType="begin"/>
      </w:r>
      <w:r>
        <w:rPr>
          <w:color w:val="auto"/>
          <w:highlight w:val="none"/>
        </w:rPr>
        <w:instrText xml:space="preserve"> PAGEREF _Toc25055 \h </w:instrText>
      </w:r>
      <w:r>
        <w:rPr>
          <w:color w:val="auto"/>
          <w:highlight w:val="none"/>
        </w:rPr>
        <w:fldChar w:fldCharType="separate"/>
      </w:r>
      <w:r>
        <w:rPr>
          <w:color w:val="auto"/>
          <w:highlight w:val="none"/>
        </w:rPr>
        <w:t>271</w:t>
      </w:r>
      <w:r>
        <w:rPr>
          <w:color w:val="auto"/>
          <w:highlight w:val="none"/>
        </w:rPr>
        <w:fldChar w:fldCharType="end"/>
      </w:r>
      <w:r>
        <w:rPr>
          <w:color w:val="auto"/>
          <w:highlight w:val="none"/>
        </w:rPr>
        <w:fldChar w:fldCharType="end"/>
      </w:r>
    </w:p>
    <w:p w14:paraId="56B67845">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_Toc21445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9.1 </w:t>
      </w:r>
      <w:r>
        <w:rPr>
          <w:rFonts w:hint="default"/>
          <w:color w:val="auto"/>
          <w:highlight w:val="none"/>
        </w:rPr>
        <w:t>环境管理</w:t>
      </w:r>
      <w:r>
        <w:rPr>
          <w:color w:val="auto"/>
          <w:highlight w:val="none"/>
        </w:rPr>
        <w:tab/>
      </w:r>
      <w:r>
        <w:rPr>
          <w:color w:val="auto"/>
          <w:highlight w:val="none"/>
        </w:rPr>
        <w:fldChar w:fldCharType="begin"/>
      </w:r>
      <w:r>
        <w:rPr>
          <w:color w:val="auto"/>
          <w:highlight w:val="none"/>
        </w:rPr>
        <w:instrText xml:space="preserve"> PAGEREF _Toc21445 \h </w:instrText>
      </w:r>
      <w:r>
        <w:rPr>
          <w:color w:val="auto"/>
          <w:highlight w:val="none"/>
        </w:rPr>
        <w:fldChar w:fldCharType="separate"/>
      </w:r>
      <w:r>
        <w:rPr>
          <w:color w:val="auto"/>
          <w:highlight w:val="none"/>
        </w:rPr>
        <w:t>271</w:t>
      </w:r>
      <w:r>
        <w:rPr>
          <w:color w:val="auto"/>
          <w:highlight w:val="none"/>
        </w:rPr>
        <w:fldChar w:fldCharType="end"/>
      </w:r>
      <w:r>
        <w:rPr>
          <w:color w:val="auto"/>
          <w:highlight w:val="none"/>
        </w:rPr>
        <w:fldChar w:fldCharType="end"/>
      </w:r>
    </w:p>
    <w:p w14:paraId="6A06CDE3">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_Toc31570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9.2 </w:t>
      </w:r>
      <w:r>
        <w:rPr>
          <w:rFonts w:hint="default"/>
          <w:color w:val="auto"/>
          <w:highlight w:val="none"/>
        </w:rPr>
        <w:t>环境监测计划</w:t>
      </w:r>
      <w:r>
        <w:rPr>
          <w:color w:val="auto"/>
          <w:highlight w:val="none"/>
        </w:rPr>
        <w:tab/>
      </w:r>
      <w:r>
        <w:rPr>
          <w:color w:val="auto"/>
          <w:highlight w:val="none"/>
        </w:rPr>
        <w:fldChar w:fldCharType="begin"/>
      </w:r>
      <w:r>
        <w:rPr>
          <w:color w:val="auto"/>
          <w:highlight w:val="none"/>
        </w:rPr>
        <w:instrText xml:space="preserve"> PAGEREF _Toc31570 \h </w:instrText>
      </w:r>
      <w:r>
        <w:rPr>
          <w:color w:val="auto"/>
          <w:highlight w:val="none"/>
        </w:rPr>
        <w:fldChar w:fldCharType="separate"/>
      </w:r>
      <w:r>
        <w:rPr>
          <w:color w:val="auto"/>
          <w:highlight w:val="none"/>
        </w:rPr>
        <w:t>277</w:t>
      </w:r>
      <w:r>
        <w:rPr>
          <w:color w:val="auto"/>
          <w:highlight w:val="none"/>
        </w:rPr>
        <w:fldChar w:fldCharType="end"/>
      </w:r>
      <w:r>
        <w:rPr>
          <w:color w:val="auto"/>
          <w:highlight w:val="none"/>
        </w:rPr>
        <w:fldChar w:fldCharType="end"/>
      </w:r>
    </w:p>
    <w:p w14:paraId="722FB52D">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_Toc26659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9.3 </w:t>
      </w:r>
      <w:r>
        <w:rPr>
          <w:color w:val="auto"/>
          <w:highlight w:val="none"/>
        </w:rPr>
        <w:t>环境保护</w:t>
      </w:r>
      <w:r>
        <w:rPr>
          <w:rFonts w:hint="default"/>
          <w:color w:val="auto"/>
          <w:highlight w:val="none"/>
        </w:rPr>
        <w:t>竣工验收</w:t>
      </w:r>
      <w:r>
        <w:rPr>
          <w:color w:val="auto"/>
          <w:highlight w:val="none"/>
        </w:rPr>
        <w:tab/>
      </w:r>
      <w:r>
        <w:rPr>
          <w:color w:val="auto"/>
          <w:highlight w:val="none"/>
        </w:rPr>
        <w:fldChar w:fldCharType="begin"/>
      </w:r>
      <w:r>
        <w:rPr>
          <w:color w:val="auto"/>
          <w:highlight w:val="none"/>
        </w:rPr>
        <w:instrText xml:space="preserve"> PAGEREF _Toc26659 \h </w:instrText>
      </w:r>
      <w:r>
        <w:rPr>
          <w:color w:val="auto"/>
          <w:highlight w:val="none"/>
        </w:rPr>
        <w:fldChar w:fldCharType="separate"/>
      </w:r>
      <w:r>
        <w:rPr>
          <w:color w:val="auto"/>
          <w:highlight w:val="none"/>
        </w:rPr>
        <w:t>279</w:t>
      </w:r>
      <w:r>
        <w:rPr>
          <w:color w:val="auto"/>
          <w:highlight w:val="none"/>
        </w:rPr>
        <w:fldChar w:fldCharType="end"/>
      </w:r>
      <w:r>
        <w:rPr>
          <w:color w:val="auto"/>
          <w:highlight w:val="none"/>
        </w:rPr>
        <w:fldChar w:fldCharType="end"/>
      </w:r>
    </w:p>
    <w:p w14:paraId="71CC5DB0">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_Toc9654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9.4 </w:t>
      </w:r>
      <w:r>
        <w:rPr>
          <w:rFonts w:hint="default"/>
          <w:color w:val="auto"/>
          <w:highlight w:val="none"/>
        </w:rPr>
        <w:t>污染</w:t>
      </w:r>
      <w:r>
        <w:rPr>
          <w:color w:val="auto"/>
          <w:highlight w:val="none"/>
        </w:rPr>
        <w:t>物</w:t>
      </w:r>
      <w:r>
        <w:rPr>
          <w:rFonts w:hint="default"/>
          <w:color w:val="auto"/>
          <w:highlight w:val="none"/>
        </w:rPr>
        <w:t>排放清单</w:t>
      </w:r>
      <w:r>
        <w:rPr>
          <w:color w:val="auto"/>
          <w:highlight w:val="none"/>
        </w:rPr>
        <w:tab/>
      </w:r>
      <w:r>
        <w:rPr>
          <w:color w:val="auto"/>
          <w:highlight w:val="none"/>
        </w:rPr>
        <w:fldChar w:fldCharType="begin"/>
      </w:r>
      <w:r>
        <w:rPr>
          <w:color w:val="auto"/>
          <w:highlight w:val="none"/>
        </w:rPr>
        <w:instrText xml:space="preserve"> PAGEREF _Toc9654 \h </w:instrText>
      </w:r>
      <w:r>
        <w:rPr>
          <w:color w:val="auto"/>
          <w:highlight w:val="none"/>
        </w:rPr>
        <w:fldChar w:fldCharType="separate"/>
      </w:r>
      <w:r>
        <w:rPr>
          <w:color w:val="auto"/>
          <w:highlight w:val="none"/>
        </w:rPr>
        <w:t>281</w:t>
      </w:r>
      <w:r>
        <w:rPr>
          <w:color w:val="auto"/>
          <w:highlight w:val="none"/>
        </w:rPr>
        <w:fldChar w:fldCharType="end"/>
      </w:r>
      <w:r>
        <w:rPr>
          <w:color w:val="auto"/>
          <w:highlight w:val="none"/>
        </w:rPr>
        <w:fldChar w:fldCharType="end"/>
      </w:r>
    </w:p>
    <w:p w14:paraId="7CD5052D">
      <w:pPr>
        <w:pStyle w:val="19"/>
        <w:tabs>
          <w:tab w:val="right" w:leader="dot" w:pos="8300"/>
        </w:tabs>
        <w:rPr>
          <w:color w:val="auto"/>
          <w:highlight w:val="none"/>
        </w:rPr>
      </w:pPr>
      <w:r>
        <w:rPr>
          <w:color w:val="auto"/>
          <w:highlight w:val="none"/>
        </w:rPr>
        <w:fldChar w:fldCharType="begin"/>
      </w:r>
      <w:r>
        <w:rPr>
          <w:color w:val="auto"/>
          <w:highlight w:val="none"/>
        </w:rPr>
        <w:instrText xml:space="preserve"> HYPERLINK \l _Toc5531 </w:instrText>
      </w:r>
      <w:r>
        <w:rPr>
          <w:color w:val="auto"/>
          <w:highlight w:val="none"/>
        </w:rPr>
        <w:fldChar w:fldCharType="separate"/>
      </w:r>
      <w:r>
        <w:rPr>
          <w:rFonts w:hint="default" w:ascii="Times New Roman" w:hAnsi="Times New Roman" w:eastAsia="宋体" w:cs="Times New Roman"/>
          <w:bCs/>
          <w:color w:val="auto"/>
          <w:szCs w:val="32"/>
          <w:highlight w:val="none"/>
        </w:rPr>
        <w:t xml:space="preserve">10 </w:t>
      </w:r>
      <w:r>
        <w:rPr>
          <w:color w:val="auto"/>
          <w:highlight w:val="none"/>
        </w:rPr>
        <w:t>环境影响评价结论</w:t>
      </w:r>
      <w:r>
        <w:rPr>
          <w:color w:val="auto"/>
          <w:highlight w:val="none"/>
        </w:rPr>
        <w:tab/>
      </w:r>
      <w:r>
        <w:rPr>
          <w:color w:val="auto"/>
          <w:highlight w:val="none"/>
        </w:rPr>
        <w:fldChar w:fldCharType="begin"/>
      </w:r>
      <w:r>
        <w:rPr>
          <w:color w:val="auto"/>
          <w:highlight w:val="none"/>
        </w:rPr>
        <w:instrText xml:space="preserve"> PAGEREF _Toc5531 \h </w:instrText>
      </w:r>
      <w:r>
        <w:rPr>
          <w:color w:val="auto"/>
          <w:highlight w:val="none"/>
        </w:rPr>
        <w:fldChar w:fldCharType="separate"/>
      </w:r>
      <w:r>
        <w:rPr>
          <w:color w:val="auto"/>
          <w:highlight w:val="none"/>
        </w:rPr>
        <w:t>285</w:t>
      </w:r>
      <w:r>
        <w:rPr>
          <w:color w:val="auto"/>
          <w:highlight w:val="none"/>
        </w:rPr>
        <w:fldChar w:fldCharType="end"/>
      </w:r>
      <w:r>
        <w:rPr>
          <w:color w:val="auto"/>
          <w:highlight w:val="none"/>
        </w:rPr>
        <w:fldChar w:fldCharType="end"/>
      </w:r>
    </w:p>
    <w:p w14:paraId="0E638714">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_Toc28158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10.1 </w:t>
      </w:r>
      <w:r>
        <w:rPr>
          <w:rFonts w:hint="default"/>
          <w:color w:val="auto"/>
          <w:highlight w:val="none"/>
        </w:rPr>
        <w:t>项目概况</w:t>
      </w:r>
      <w:r>
        <w:rPr>
          <w:color w:val="auto"/>
          <w:highlight w:val="none"/>
        </w:rPr>
        <w:tab/>
      </w:r>
      <w:r>
        <w:rPr>
          <w:color w:val="auto"/>
          <w:highlight w:val="none"/>
        </w:rPr>
        <w:fldChar w:fldCharType="begin"/>
      </w:r>
      <w:r>
        <w:rPr>
          <w:color w:val="auto"/>
          <w:highlight w:val="none"/>
        </w:rPr>
        <w:instrText xml:space="preserve"> PAGEREF _Toc28158 \h </w:instrText>
      </w:r>
      <w:r>
        <w:rPr>
          <w:color w:val="auto"/>
          <w:highlight w:val="none"/>
        </w:rPr>
        <w:fldChar w:fldCharType="separate"/>
      </w:r>
      <w:r>
        <w:rPr>
          <w:color w:val="auto"/>
          <w:highlight w:val="none"/>
        </w:rPr>
        <w:t>285</w:t>
      </w:r>
      <w:r>
        <w:rPr>
          <w:color w:val="auto"/>
          <w:highlight w:val="none"/>
        </w:rPr>
        <w:fldChar w:fldCharType="end"/>
      </w:r>
      <w:r>
        <w:rPr>
          <w:color w:val="auto"/>
          <w:highlight w:val="none"/>
        </w:rPr>
        <w:fldChar w:fldCharType="end"/>
      </w:r>
    </w:p>
    <w:p w14:paraId="04C3EBF0">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_Toc18129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10.2 </w:t>
      </w:r>
      <w:r>
        <w:rPr>
          <w:rFonts w:hint="default"/>
          <w:color w:val="auto"/>
          <w:highlight w:val="none"/>
        </w:rPr>
        <w:t>环境质量现状</w:t>
      </w:r>
      <w:r>
        <w:rPr>
          <w:color w:val="auto"/>
          <w:highlight w:val="none"/>
        </w:rPr>
        <w:tab/>
      </w:r>
      <w:r>
        <w:rPr>
          <w:color w:val="auto"/>
          <w:highlight w:val="none"/>
        </w:rPr>
        <w:fldChar w:fldCharType="begin"/>
      </w:r>
      <w:r>
        <w:rPr>
          <w:color w:val="auto"/>
          <w:highlight w:val="none"/>
        </w:rPr>
        <w:instrText xml:space="preserve"> PAGEREF _Toc18129 \h </w:instrText>
      </w:r>
      <w:r>
        <w:rPr>
          <w:color w:val="auto"/>
          <w:highlight w:val="none"/>
        </w:rPr>
        <w:fldChar w:fldCharType="separate"/>
      </w:r>
      <w:r>
        <w:rPr>
          <w:color w:val="auto"/>
          <w:highlight w:val="none"/>
        </w:rPr>
        <w:t>285</w:t>
      </w:r>
      <w:r>
        <w:rPr>
          <w:color w:val="auto"/>
          <w:highlight w:val="none"/>
        </w:rPr>
        <w:fldChar w:fldCharType="end"/>
      </w:r>
      <w:r>
        <w:rPr>
          <w:color w:val="auto"/>
          <w:highlight w:val="none"/>
        </w:rPr>
        <w:fldChar w:fldCharType="end"/>
      </w:r>
    </w:p>
    <w:p w14:paraId="6F68787F">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_Toc18385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10.3 </w:t>
      </w:r>
      <w:r>
        <w:rPr>
          <w:rFonts w:hint="default"/>
          <w:color w:val="auto"/>
          <w:highlight w:val="none"/>
        </w:rPr>
        <w:t>环境影响及保护措施</w:t>
      </w:r>
      <w:r>
        <w:rPr>
          <w:color w:val="auto"/>
          <w:highlight w:val="none"/>
        </w:rPr>
        <w:tab/>
      </w:r>
      <w:r>
        <w:rPr>
          <w:color w:val="auto"/>
          <w:highlight w:val="none"/>
        </w:rPr>
        <w:fldChar w:fldCharType="begin"/>
      </w:r>
      <w:r>
        <w:rPr>
          <w:color w:val="auto"/>
          <w:highlight w:val="none"/>
        </w:rPr>
        <w:instrText xml:space="preserve"> PAGEREF _Toc18385 \h </w:instrText>
      </w:r>
      <w:r>
        <w:rPr>
          <w:color w:val="auto"/>
          <w:highlight w:val="none"/>
        </w:rPr>
        <w:fldChar w:fldCharType="separate"/>
      </w:r>
      <w:r>
        <w:rPr>
          <w:color w:val="auto"/>
          <w:highlight w:val="none"/>
        </w:rPr>
        <w:t>286</w:t>
      </w:r>
      <w:r>
        <w:rPr>
          <w:color w:val="auto"/>
          <w:highlight w:val="none"/>
        </w:rPr>
        <w:fldChar w:fldCharType="end"/>
      </w:r>
      <w:r>
        <w:rPr>
          <w:color w:val="auto"/>
          <w:highlight w:val="none"/>
        </w:rPr>
        <w:fldChar w:fldCharType="end"/>
      </w:r>
    </w:p>
    <w:p w14:paraId="3553878A">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_Toc19994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10.4 </w:t>
      </w:r>
      <w:r>
        <w:rPr>
          <w:rFonts w:hint="default"/>
          <w:color w:val="auto"/>
          <w:highlight w:val="none"/>
        </w:rPr>
        <w:t>清洁生产</w:t>
      </w:r>
      <w:r>
        <w:rPr>
          <w:color w:val="auto"/>
          <w:highlight w:val="none"/>
        </w:rPr>
        <w:tab/>
      </w:r>
      <w:r>
        <w:rPr>
          <w:color w:val="auto"/>
          <w:highlight w:val="none"/>
        </w:rPr>
        <w:fldChar w:fldCharType="begin"/>
      </w:r>
      <w:r>
        <w:rPr>
          <w:color w:val="auto"/>
          <w:highlight w:val="none"/>
        </w:rPr>
        <w:instrText xml:space="preserve"> PAGEREF _Toc19994 \h </w:instrText>
      </w:r>
      <w:r>
        <w:rPr>
          <w:color w:val="auto"/>
          <w:highlight w:val="none"/>
        </w:rPr>
        <w:fldChar w:fldCharType="separate"/>
      </w:r>
      <w:r>
        <w:rPr>
          <w:color w:val="auto"/>
          <w:highlight w:val="none"/>
        </w:rPr>
        <w:t>287</w:t>
      </w:r>
      <w:r>
        <w:rPr>
          <w:color w:val="auto"/>
          <w:highlight w:val="none"/>
        </w:rPr>
        <w:fldChar w:fldCharType="end"/>
      </w:r>
      <w:r>
        <w:rPr>
          <w:color w:val="auto"/>
          <w:highlight w:val="none"/>
        </w:rPr>
        <w:fldChar w:fldCharType="end"/>
      </w:r>
    </w:p>
    <w:p w14:paraId="1A576270">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_Toc23632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10.5 </w:t>
      </w:r>
      <w:r>
        <w:rPr>
          <w:rFonts w:hint="default"/>
          <w:color w:val="auto"/>
          <w:highlight w:val="none"/>
        </w:rPr>
        <w:t>总量控制</w:t>
      </w:r>
      <w:r>
        <w:rPr>
          <w:color w:val="auto"/>
          <w:highlight w:val="none"/>
        </w:rPr>
        <w:tab/>
      </w:r>
      <w:r>
        <w:rPr>
          <w:color w:val="auto"/>
          <w:highlight w:val="none"/>
        </w:rPr>
        <w:fldChar w:fldCharType="begin"/>
      </w:r>
      <w:r>
        <w:rPr>
          <w:color w:val="auto"/>
          <w:highlight w:val="none"/>
        </w:rPr>
        <w:instrText xml:space="preserve"> PAGEREF _Toc23632 \h </w:instrText>
      </w:r>
      <w:r>
        <w:rPr>
          <w:color w:val="auto"/>
          <w:highlight w:val="none"/>
        </w:rPr>
        <w:fldChar w:fldCharType="separate"/>
      </w:r>
      <w:r>
        <w:rPr>
          <w:color w:val="auto"/>
          <w:highlight w:val="none"/>
        </w:rPr>
        <w:t>287</w:t>
      </w:r>
      <w:r>
        <w:rPr>
          <w:color w:val="auto"/>
          <w:highlight w:val="none"/>
        </w:rPr>
        <w:fldChar w:fldCharType="end"/>
      </w:r>
      <w:r>
        <w:rPr>
          <w:color w:val="auto"/>
          <w:highlight w:val="none"/>
        </w:rPr>
        <w:fldChar w:fldCharType="end"/>
      </w:r>
    </w:p>
    <w:p w14:paraId="6A962562">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_Toc22446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10.6 </w:t>
      </w:r>
      <w:r>
        <w:rPr>
          <w:rFonts w:hint="default"/>
          <w:color w:val="auto"/>
          <w:highlight w:val="none"/>
        </w:rPr>
        <w:t>公众参与工作情况</w:t>
      </w:r>
      <w:r>
        <w:rPr>
          <w:color w:val="auto"/>
          <w:highlight w:val="none"/>
        </w:rPr>
        <w:tab/>
      </w:r>
      <w:r>
        <w:rPr>
          <w:color w:val="auto"/>
          <w:highlight w:val="none"/>
        </w:rPr>
        <w:fldChar w:fldCharType="begin"/>
      </w:r>
      <w:r>
        <w:rPr>
          <w:color w:val="auto"/>
          <w:highlight w:val="none"/>
        </w:rPr>
        <w:instrText xml:space="preserve"> PAGEREF _Toc22446 \h </w:instrText>
      </w:r>
      <w:r>
        <w:rPr>
          <w:color w:val="auto"/>
          <w:highlight w:val="none"/>
        </w:rPr>
        <w:fldChar w:fldCharType="separate"/>
      </w:r>
      <w:r>
        <w:rPr>
          <w:color w:val="auto"/>
          <w:highlight w:val="none"/>
        </w:rPr>
        <w:t>288</w:t>
      </w:r>
      <w:r>
        <w:rPr>
          <w:color w:val="auto"/>
          <w:highlight w:val="none"/>
        </w:rPr>
        <w:fldChar w:fldCharType="end"/>
      </w:r>
      <w:r>
        <w:rPr>
          <w:color w:val="auto"/>
          <w:highlight w:val="none"/>
        </w:rPr>
        <w:fldChar w:fldCharType="end"/>
      </w:r>
    </w:p>
    <w:p w14:paraId="148A0035">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_Toc6152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10.7 </w:t>
      </w:r>
      <w:r>
        <w:rPr>
          <w:rFonts w:hint="default"/>
          <w:color w:val="auto"/>
          <w:highlight w:val="none"/>
        </w:rPr>
        <w:t>综合评价结论</w:t>
      </w:r>
      <w:r>
        <w:rPr>
          <w:color w:val="auto"/>
          <w:highlight w:val="none"/>
        </w:rPr>
        <w:tab/>
      </w:r>
      <w:r>
        <w:rPr>
          <w:color w:val="auto"/>
          <w:highlight w:val="none"/>
        </w:rPr>
        <w:fldChar w:fldCharType="begin"/>
      </w:r>
      <w:r>
        <w:rPr>
          <w:color w:val="auto"/>
          <w:highlight w:val="none"/>
        </w:rPr>
        <w:instrText xml:space="preserve"> PAGEREF _Toc6152 \h </w:instrText>
      </w:r>
      <w:r>
        <w:rPr>
          <w:color w:val="auto"/>
          <w:highlight w:val="none"/>
        </w:rPr>
        <w:fldChar w:fldCharType="separate"/>
      </w:r>
      <w:r>
        <w:rPr>
          <w:color w:val="auto"/>
          <w:highlight w:val="none"/>
        </w:rPr>
        <w:t>288</w:t>
      </w:r>
      <w:r>
        <w:rPr>
          <w:color w:val="auto"/>
          <w:highlight w:val="none"/>
        </w:rPr>
        <w:fldChar w:fldCharType="end"/>
      </w:r>
      <w:r>
        <w:rPr>
          <w:color w:val="auto"/>
          <w:highlight w:val="none"/>
        </w:rPr>
        <w:fldChar w:fldCharType="end"/>
      </w:r>
    </w:p>
    <w:p w14:paraId="42B043D0">
      <w:pPr>
        <w:pStyle w:val="21"/>
        <w:tabs>
          <w:tab w:val="right" w:leader="dot" w:pos="8300"/>
        </w:tabs>
        <w:rPr>
          <w:color w:val="auto"/>
          <w:highlight w:val="none"/>
        </w:rPr>
      </w:pPr>
      <w:r>
        <w:rPr>
          <w:color w:val="auto"/>
          <w:highlight w:val="none"/>
        </w:rPr>
        <w:fldChar w:fldCharType="begin"/>
      </w:r>
      <w:r>
        <w:rPr>
          <w:color w:val="auto"/>
          <w:highlight w:val="none"/>
        </w:rPr>
        <w:instrText xml:space="preserve"> HYPERLINK \l _Toc4684 </w:instrText>
      </w:r>
      <w:r>
        <w:rPr>
          <w:color w:val="auto"/>
          <w:highlight w:val="none"/>
        </w:rPr>
        <w:fldChar w:fldCharType="separate"/>
      </w:r>
      <w:r>
        <w:rPr>
          <w:rFonts w:hint="default" w:ascii="Times New Roman" w:hAnsi="Times New Roman" w:eastAsia="宋体" w:cs="Times New Roman"/>
          <w:bCs/>
          <w:color w:val="auto"/>
          <w:szCs w:val="30"/>
          <w:highlight w:val="none"/>
        </w:rPr>
        <w:t xml:space="preserve">10.8 </w:t>
      </w:r>
      <w:r>
        <w:rPr>
          <w:rFonts w:hint="default"/>
          <w:color w:val="auto"/>
          <w:highlight w:val="none"/>
        </w:rPr>
        <w:t>建议及要求</w:t>
      </w:r>
      <w:r>
        <w:rPr>
          <w:color w:val="auto"/>
          <w:highlight w:val="none"/>
        </w:rPr>
        <w:tab/>
      </w:r>
      <w:r>
        <w:rPr>
          <w:color w:val="auto"/>
          <w:highlight w:val="none"/>
        </w:rPr>
        <w:fldChar w:fldCharType="begin"/>
      </w:r>
      <w:r>
        <w:rPr>
          <w:color w:val="auto"/>
          <w:highlight w:val="none"/>
        </w:rPr>
        <w:instrText xml:space="preserve"> PAGEREF _Toc4684 \h </w:instrText>
      </w:r>
      <w:r>
        <w:rPr>
          <w:color w:val="auto"/>
          <w:highlight w:val="none"/>
        </w:rPr>
        <w:fldChar w:fldCharType="separate"/>
      </w:r>
      <w:r>
        <w:rPr>
          <w:color w:val="auto"/>
          <w:highlight w:val="none"/>
        </w:rPr>
        <w:t>288</w:t>
      </w:r>
      <w:r>
        <w:rPr>
          <w:color w:val="auto"/>
          <w:highlight w:val="none"/>
        </w:rPr>
        <w:fldChar w:fldCharType="end"/>
      </w:r>
      <w:r>
        <w:rPr>
          <w:color w:val="auto"/>
          <w:highlight w:val="none"/>
        </w:rPr>
        <w:fldChar w:fldCharType="end"/>
      </w:r>
    </w:p>
    <w:p w14:paraId="486498A1">
      <w:pPr>
        <w:pStyle w:val="3"/>
        <w:ind w:firstLine="480"/>
        <w:rPr>
          <w:color w:val="auto"/>
          <w:highlight w:val="none"/>
        </w:rPr>
        <w:sectPr>
          <w:headerReference r:id="rId11" w:type="default"/>
          <w:footerReference r:id="rId12" w:type="default"/>
          <w:pgSz w:w="11906" w:h="16838"/>
          <w:pgMar w:top="1440" w:right="1803" w:bottom="1440" w:left="1803" w:header="1020" w:footer="992" w:gutter="0"/>
          <w:pgBorders>
            <w:top w:val="none" w:sz="0" w:space="0"/>
            <w:left w:val="none" w:sz="0" w:space="0"/>
            <w:bottom w:val="none" w:sz="0" w:space="0"/>
            <w:right w:val="none" w:sz="0" w:space="0"/>
          </w:pgBorders>
          <w:pgNumType w:fmt="upperRoman" w:start="1"/>
          <w:cols w:space="720" w:num="1"/>
          <w:docGrid w:linePitch="326" w:charSpace="0"/>
        </w:sectPr>
      </w:pPr>
      <w:r>
        <w:rPr>
          <w:color w:val="auto"/>
          <w:highlight w:val="none"/>
        </w:rPr>
        <w:fldChar w:fldCharType="end"/>
      </w:r>
    </w:p>
    <w:bookmarkEnd w:id="4"/>
    <w:bookmarkEnd w:id="5"/>
    <w:bookmarkEnd w:id="6"/>
    <w:bookmarkEnd w:id="7"/>
    <w:bookmarkEnd w:id="8"/>
    <w:bookmarkEnd w:id="9"/>
    <w:bookmarkEnd w:id="10"/>
    <w:p w14:paraId="56402F54">
      <w:pPr>
        <w:pStyle w:val="38"/>
        <w:rPr>
          <w:color w:val="auto"/>
          <w:highlight w:val="none"/>
        </w:rPr>
      </w:pPr>
      <w:bookmarkStart w:id="12" w:name="_Toc10120"/>
      <w:bookmarkStart w:id="13" w:name="_Toc27201"/>
      <w:r>
        <w:rPr>
          <w:color w:val="auto"/>
          <w:highlight w:val="none"/>
        </w:rPr>
        <w:t>概述</w:t>
      </w:r>
      <w:bookmarkEnd w:id="12"/>
      <w:bookmarkEnd w:id="13"/>
    </w:p>
    <w:p w14:paraId="7764975C">
      <w:pPr>
        <w:pStyle w:val="39"/>
        <w:rPr>
          <w:rFonts w:hint="default"/>
          <w:color w:val="auto"/>
          <w:highlight w:val="none"/>
        </w:rPr>
      </w:pPr>
      <w:bookmarkStart w:id="14" w:name="_Toc13465"/>
      <w:bookmarkStart w:id="15" w:name="_Toc14909"/>
      <w:bookmarkStart w:id="16" w:name="_Toc12306"/>
      <w:bookmarkStart w:id="17" w:name="_Toc28397"/>
      <w:bookmarkStart w:id="18" w:name="_Toc3830"/>
      <w:bookmarkStart w:id="19" w:name="_Toc25319"/>
      <w:bookmarkStart w:id="20" w:name="_Toc5655"/>
      <w:bookmarkStart w:id="21" w:name="_Toc14105"/>
      <w:bookmarkStart w:id="22" w:name="_Toc14057"/>
      <w:bookmarkStart w:id="23" w:name="_Toc9772"/>
      <w:bookmarkStart w:id="24" w:name="_Toc19729"/>
      <w:r>
        <w:rPr>
          <w:rFonts w:hint="default"/>
          <w:color w:val="auto"/>
          <w:highlight w:val="none"/>
        </w:rPr>
        <w:t>建设项目背景</w:t>
      </w:r>
      <w:bookmarkEnd w:id="14"/>
      <w:bookmarkEnd w:id="15"/>
      <w:bookmarkEnd w:id="16"/>
      <w:bookmarkEnd w:id="17"/>
      <w:bookmarkEnd w:id="18"/>
      <w:bookmarkEnd w:id="19"/>
      <w:bookmarkEnd w:id="20"/>
      <w:bookmarkEnd w:id="21"/>
      <w:bookmarkEnd w:id="22"/>
      <w:bookmarkEnd w:id="23"/>
      <w:bookmarkEnd w:id="24"/>
    </w:p>
    <w:p w14:paraId="690F8933">
      <w:pPr>
        <w:pStyle w:val="3"/>
        <w:ind w:firstLine="480"/>
        <w:rPr>
          <w:color w:val="auto"/>
          <w:highlight w:val="none"/>
        </w:rPr>
      </w:pPr>
      <w:r>
        <w:rPr>
          <w:color w:val="auto"/>
          <w:highlight w:val="none"/>
        </w:rPr>
        <w:t>阿图什市环球矿业钒钛磁铁矿900万吨/年选矿厂</w:t>
      </w:r>
      <w:r>
        <w:rPr>
          <w:rFonts w:hint="eastAsia"/>
          <w:color w:val="auto"/>
          <w:highlight w:val="none"/>
          <w:lang w:eastAsia="zh-CN"/>
        </w:rPr>
        <w:t>（一期）</w:t>
      </w:r>
      <w:r>
        <w:rPr>
          <w:rFonts w:hint="eastAsia"/>
          <w:color w:val="auto"/>
          <w:highlight w:val="none"/>
        </w:rPr>
        <w:t>（以下简称“本项目”）</w:t>
      </w:r>
      <w:r>
        <w:rPr>
          <w:color w:val="auto"/>
          <w:highlight w:val="none"/>
        </w:rPr>
        <w:t>位于阿图什市区北东46°方位直距59km处</w:t>
      </w:r>
      <w:r>
        <w:rPr>
          <w:rFonts w:hint="eastAsia"/>
          <w:color w:val="auto"/>
          <w:highlight w:val="none"/>
        </w:rPr>
        <w:t>，</w:t>
      </w:r>
      <w:r>
        <w:rPr>
          <w:color w:val="auto"/>
          <w:highlight w:val="none"/>
        </w:rPr>
        <w:t>尾矿库位于</w:t>
      </w:r>
      <w:r>
        <w:rPr>
          <w:rFonts w:hint="eastAsia"/>
          <w:color w:val="auto"/>
          <w:highlight w:val="none"/>
        </w:rPr>
        <w:t>选矿</w:t>
      </w:r>
      <w:r>
        <w:rPr>
          <w:color w:val="auto"/>
          <w:highlight w:val="none"/>
        </w:rPr>
        <w:t>厂西北南侧8km处沟谷内</w:t>
      </w:r>
      <w:r>
        <w:rPr>
          <w:rFonts w:hint="eastAsia"/>
          <w:color w:val="auto"/>
          <w:highlight w:val="none"/>
        </w:rPr>
        <w:t>，</w:t>
      </w:r>
      <w:r>
        <w:rPr>
          <w:color w:val="auto"/>
          <w:highlight w:val="none"/>
        </w:rPr>
        <w:t>行政区划</w:t>
      </w:r>
      <w:r>
        <w:rPr>
          <w:rFonts w:hint="eastAsia"/>
          <w:color w:val="auto"/>
          <w:highlight w:val="none"/>
        </w:rPr>
        <w:t>隶</w:t>
      </w:r>
      <w:r>
        <w:rPr>
          <w:color w:val="auto"/>
          <w:highlight w:val="none"/>
        </w:rPr>
        <w:t>属阿图什市管辖。</w:t>
      </w:r>
    </w:p>
    <w:p w14:paraId="140F4F35">
      <w:pPr>
        <w:pStyle w:val="3"/>
        <w:ind w:firstLine="480"/>
        <w:rPr>
          <w:color w:val="auto"/>
          <w:highlight w:val="none"/>
        </w:rPr>
      </w:pPr>
      <w:r>
        <w:rPr>
          <w:rFonts w:hint="eastAsia"/>
          <w:color w:val="auto"/>
          <w:highlight w:val="none"/>
        </w:rPr>
        <w:t>本项目为</w:t>
      </w:r>
      <w:r>
        <w:rPr>
          <w:rFonts w:hint="eastAsia"/>
          <w:color w:val="auto"/>
          <w:highlight w:val="none"/>
          <w:lang w:eastAsia="zh-CN"/>
        </w:rPr>
        <w:t>阿图什市环球矿业有限公司</w:t>
      </w:r>
      <w:r>
        <w:rPr>
          <w:color w:val="auto"/>
          <w:highlight w:val="none"/>
        </w:rPr>
        <w:t>自有矿山</w:t>
      </w:r>
      <w:r>
        <w:rPr>
          <w:rFonts w:hint="eastAsia"/>
          <w:color w:val="auto"/>
          <w:highlight w:val="none"/>
        </w:rPr>
        <w:t>新疆阿图什市托斯莫铁矿配套建设的选矿厂，属于改扩建工程</w:t>
      </w:r>
      <w:r>
        <w:rPr>
          <w:rFonts w:hint="eastAsia"/>
          <w:color w:val="auto"/>
          <w:highlight w:val="none"/>
          <w:lang w:eastAsia="zh-CN"/>
        </w:rPr>
        <w:t>，配套建设的尾矿库为新建</w:t>
      </w:r>
      <w:r>
        <w:rPr>
          <w:rFonts w:hint="eastAsia"/>
          <w:color w:val="auto"/>
          <w:highlight w:val="none"/>
        </w:rPr>
        <w:t>。原有项目于2011年3月11日以</w:t>
      </w:r>
      <w:r>
        <w:rPr>
          <w:color w:val="auto"/>
          <w:highlight w:val="none"/>
        </w:rPr>
        <w:t>新环评价函</w:t>
      </w:r>
      <w:r>
        <w:rPr>
          <w:rFonts w:hint="eastAsia"/>
          <w:color w:val="auto"/>
          <w:highlight w:val="none"/>
        </w:rPr>
        <w:t>〔2011〕186号取得了《关于阿图什市环球矿业有限公司20万t/a铁选矿厂环境影响报告书的批复》，2013年12月建成，克州环境监测站于2014年12月10日编制完成了《新疆阿图什环球矿业投资有限责任公司铁选矿厂项目竣工环境保护验收调查报告》，且通过了</w:t>
      </w:r>
      <w:r>
        <w:rPr>
          <w:rFonts w:hint="eastAsia"/>
          <w:color w:val="auto"/>
          <w:highlight w:val="none"/>
          <w:lang w:eastAsia="zh-CN"/>
        </w:rPr>
        <w:t>原</w:t>
      </w:r>
      <w:r>
        <w:rPr>
          <w:rFonts w:hint="eastAsia"/>
          <w:color w:val="auto"/>
          <w:highlight w:val="none"/>
        </w:rPr>
        <w:t>克州环保局对该项目竣工环境保护验收。于2024年6月开始停产</w:t>
      </w:r>
      <w:r>
        <w:rPr>
          <w:rFonts w:hint="eastAsia"/>
          <w:color w:val="auto"/>
          <w:highlight w:val="none"/>
          <w:lang w:eastAsia="zh-CN"/>
        </w:rPr>
        <w:t>，进行</w:t>
      </w:r>
      <w:r>
        <w:rPr>
          <w:rFonts w:hint="eastAsia"/>
          <w:color w:val="auto"/>
          <w:highlight w:val="none"/>
        </w:rPr>
        <w:t>了900万吨的改扩建工程。</w:t>
      </w:r>
    </w:p>
    <w:p w14:paraId="2A5E6A63">
      <w:pPr>
        <w:pStyle w:val="3"/>
        <w:ind w:firstLine="480"/>
        <w:rPr>
          <w:color w:val="auto"/>
          <w:highlight w:val="none"/>
        </w:rPr>
      </w:pPr>
      <w:r>
        <w:rPr>
          <w:rFonts w:hint="eastAsia"/>
          <w:color w:val="auto"/>
          <w:highlight w:val="none"/>
        </w:rPr>
        <w:t>扩建后本项目设计总生产规模900万t/a，其中一期580万t/a生产线，二期320万t/a生产线。产品方案为铁精矿和钛精矿。选矿厂一期铁精粉年产量为30.14万t，钛精粉年产量为15.87万t；选矿厂二期铁精粉年产量为16.63万t，钛精粉年产量为8.75万t。</w:t>
      </w:r>
    </w:p>
    <w:p w14:paraId="0C6FCB41">
      <w:pPr>
        <w:pStyle w:val="3"/>
        <w:ind w:firstLine="480"/>
        <w:rPr>
          <w:color w:val="auto"/>
          <w:highlight w:val="none"/>
        </w:rPr>
      </w:pPr>
      <w:r>
        <w:rPr>
          <w:rFonts w:hint="eastAsia"/>
          <w:color w:val="auto"/>
          <w:highlight w:val="none"/>
        </w:rPr>
        <w:t>本项目主要建设选矿厂、尾矿库以及选矿厂至尾矿库的皮带运输廊道。生产烘干热源采用生物质炉窑，办公生活区锅炉利用生物质炉窑余热。选矿废水采用闭路循环设施、生活污水处理后全部回用，不外排。尾矿经选矿厂内的干排脱水筛一体机脱水后，前期利用现有道路采用公路运输，后期采用皮带运输至新建尾矿库。</w:t>
      </w:r>
      <w:r>
        <w:rPr>
          <w:color w:val="auto"/>
          <w:highlight w:val="none"/>
        </w:rPr>
        <w:t>本项目总投资为</w:t>
      </w:r>
      <w:r>
        <w:rPr>
          <w:rFonts w:hint="eastAsia"/>
          <w:color w:val="auto"/>
          <w:highlight w:val="none"/>
        </w:rPr>
        <w:t>68118</w:t>
      </w:r>
      <w:r>
        <w:rPr>
          <w:color w:val="auto"/>
          <w:highlight w:val="none"/>
        </w:rPr>
        <w:t>万元，其中环保投资为</w:t>
      </w:r>
      <w:r>
        <w:rPr>
          <w:rFonts w:hint="eastAsia"/>
          <w:color w:val="auto"/>
          <w:highlight w:val="none"/>
          <w:lang w:val="en-US" w:eastAsia="zh-CN"/>
        </w:rPr>
        <w:t>6446.6</w:t>
      </w:r>
      <w:r>
        <w:rPr>
          <w:color w:val="auto"/>
          <w:highlight w:val="none"/>
        </w:rPr>
        <w:t>万元，占总投资的</w:t>
      </w:r>
      <w:r>
        <w:rPr>
          <w:rFonts w:hint="eastAsia"/>
          <w:color w:val="auto"/>
          <w:highlight w:val="none"/>
          <w:lang w:val="en-US" w:eastAsia="zh-CN"/>
        </w:rPr>
        <w:t>9.46</w:t>
      </w:r>
      <w:r>
        <w:rPr>
          <w:color w:val="auto"/>
          <w:highlight w:val="none"/>
        </w:rPr>
        <w:t>%。</w:t>
      </w:r>
    </w:p>
    <w:p w14:paraId="68E98984">
      <w:pPr>
        <w:pStyle w:val="3"/>
        <w:ind w:firstLine="480"/>
        <w:rPr>
          <w:color w:val="auto"/>
          <w:highlight w:val="none"/>
        </w:rPr>
      </w:pPr>
      <w:r>
        <w:rPr>
          <w:color w:val="auto"/>
          <w:highlight w:val="none"/>
        </w:rPr>
        <w:t>本项目20</w:t>
      </w:r>
      <w:r>
        <w:rPr>
          <w:rFonts w:hint="eastAsia"/>
          <w:color w:val="auto"/>
          <w:highlight w:val="none"/>
        </w:rPr>
        <w:t>24</w:t>
      </w:r>
      <w:r>
        <w:rPr>
          <w:color w:val="auto"/>
          <w:highlight w:val="none"/>
        </w:rPr>
        <w:t>年</w:t>
      </w:r>
      <w:r>
        <w:rPr>
          <w:rFonts w:hint="eastAsia"/>
          <w:color w:val="auto"/>
          <w:highlight w:val="none"/>
        </w:rPr>
        <w:t>7</w:t>
      </w:r>
      <w:r>
        <w:rPr>
          <w:color w:val="auto"/>
          <w:highlight w:val="none"/>
        </w:rPr>
        <w:t>月开工建设，为</w:t>
      </w:r>
      <w:r>
        <w:rPr>
          <w:rFonts w:hint="eastAsia"/>
          <w:color w:val="auto"/>
          <w:highlight w:val="none"/>
        </w:rPr>
        <w:t>“</w:t>
      </w:r>
      <w:r>
        <w:rPr>
          <w:color w:val="auto"/>
          <w:highlight w:val="none"/>
        </w:rPr>
        <w:t>未批先建</w:t>
      </w:r>
      <w:r>
        <w:rPr>
          <w:rFonts w:hint="eastAsia"/>
          <w:color w:val="auto"/>
          <w:highlight w:val="none"/>
        </w:rPr>
        <w:t>”</w:t>
      </w:r>
      <w:r>
        <w:rPr>
          <w:color w:val="auto"/>
          <w:highlight w:val="none"/>
        </w:rPr>
        <w:t>项目</w:t>
      </w:r>
      <w:r>
        <w:rPr>
          <w:rFonts w:hint="eastAsia"/>
          <w:color w:val="auto"/>
          <w:highlight w:val="none"/>
        </w:rPr>
        <w:t>。</w:t>
      </w:r>
      <w:r>
        <w:rPr>
          <w:color w:val="auto"/>
          <w:highlight w:val="none"/>
        </w:rPr>
        <w:t>20</w:t>
      </w:r>
      <w:r>
        <w:rPr>
          <w:rFonts w:hint="eastAsia"/>
          <w:color w:val="auto"/>
          <w:highlight w:val="none"/>
        </w:rPr>
        <w:t>26</w:t>
      </w:r>
      <w:r>
        <w:rPr>
          <w:color w:val="auto"/>
          <w:highlight w:val="none"/>
        </w:rPr>
        <w:t>年</w:t>
      </w:r>
      <w:r>
        <w:rPr>
          <w:rFonts w:hint="eastAsia"/>
          <w:color w:val="auto"/>
          <w:highlight w:val="none"/>
        </w:rPr>
        <w:t>3</w:t>
      </w:r>
      <w:r>
        <w:rPr>
          <w:color w:val="auto"/>
          <w:highlight w:val="none"/>
        </w:rPr>
        <w:t>月</w:t>
      </w:r>
      <w:r>
        <w:rPr>
          <w:rFonts w:hint="eastAsia"/>
          <w:color w:val="auto"/>
          <w:highlight w:val="none"/>
        </w:rPr>
        <w:t>26</w:t>
      </w:r>
      <w:r>
        <w:rPr>
          <w:color w:val="auto"/>
          <w:highlight w:val="none"/>
        </w:rPr>
        <w:t>日，克孜勒苏柯尔克孜自治州生态环境局</w:t>
      </w:r>
      <w:r>
        <w:rPr>
          <w:rFonts w:hint="eastAsia"/>
          <w:color w:val="auto"/>
          <w:highlight w:val="none"/>
        </w:rPr>
        <w:t>以</w:t>
      </w:r>
      <w:r>
        <w:rPr>
          <w:color w:val="auto"/>
          <w:highlight w:val="none"/>
        </w:rPr>
        <w:t>克环罚</w:t>
      </w:r>
      <w:r>
        <w:rPr>
          <w:rFonts w:hint="eastAsia"/>
          <w:color w:val="auto"/>
          <w:highlight w:val="none"/>
        </w:rPr>
        <w:t>〔2026〕1号</w:t>
      </w:r>
      <w:r>
        <w:rPr>
          <w:color w:val="auto"/>
          <w:highlight w:val="none"/>
        </w:rPr>
        <w:t>文对</w:t>
      </w:r>
      <w:r>
        <w:rPr>
          <w:rFonts w:hint="eastAsia"/>
          <w:color w:val="auto"/>
          <w:highlight w:val="none"/>
        </w:rPr>
        <w:t>阿图什市环球矿业有限公司</w:t>
      </w:r>
      <w:r>
        <w:rPr>
          <w:color w:val="auto"/>
          <w:highlight w:val="none"/>
        </w:rPr>
        <w:t>擅自开工建设进行了行政处罚，处罚款</w:t>
      </w:r>
      <w:r>
        <w:rPr>
          <w:rFonts w:hint="eastAsia"/>
          <w:color w:val="auto"/>
          <w:highlight w:val="none"/>
        </w:rPr>
        <w:t>260.75</w:t>
      </w:r>
      <w:r>
        <w:rPr>
          <w:color w:val="auto"/>
          <w:highlight w:val="none"/>
        </w:rPr>
        <w:t>万元</w:t>
      </w:r>
      <w:r>
        <w:rPr>
          <w:rFonts w:hint="eastAsia"/>
          <w:color w:val="auto"/>
          <w:highlight w:val="none"/>
        </w:rPr>
        <w:t>；对阿图什市环球矿业有限公司相关负责人进行了罚款</w:t>
      </w:r>
      <w:r>
        <w:rPr>
          <w:color w:val="auto"/>
          <w:highlight w:val="none"/>
        </w:rPr>
        <w:t>。</w:t>
      </w:r>
      <w:r>
        <w:rPr>
          <w:rFonts w:hint="eastAsia"/>
          <w:color w:val="auto"/>
          <w:highlight w:val="none"/>
        </w:rPr>
        <w:t>2026年4月1日，阿图什市环球矿业有限公司及相关负责人已缴纳了罚款</w:t>
      </w:r>
      <w:r>
        <w:rPr>
          <w:color w:val="auto"/>
          <w:highlight w:val="none"/>
        </w:rPr>
        <w:t>。</w:t>
      </w:r>
    </w:p>
    <w:p w14:paraId="57EF1D12">
      <w:pPr>
        <w:pStyle w:val="3"/>
        <w:ind w:firstLine="480"/>
        <w:rPr>
          <w:rFonts w:hint="eastAsia"/>
          <w:color w:val="auto"/>
          <w:highlight w:val="none"/>
        </w:rPr>
      </w:pPr>
    </w:p>
    <w:p w14:paraId="437A75C0">
      <w:pPr>
        <w:pStyle w:val="3"/>
        <w:ind w:firstLine="480"/>
        <w:rPr>
          <w:rFonts w:hint="eastAsia"/>
          <w:color w:val="auto"/>
          <w:highlight w:val="none"/>
        </w:rPr>
      </w:pPr>
      <w:r>
        <w:rPr>
          <w:rFonts w:hint="eastAsia"/>
          <w:color w:val="auto"/>
          <w:highlight w:val="none"/>
        </w:rPr>
        <w:t>本项目备案规模为900万t/a</w:t>
      </w:r>
      <w:r>
        <w:rPr>
          <w:rFonts w:hint="eastAsia"/>
          <w:color w:val="auto"/>
          <w:highlight w:val="none"/>
          <w:lang w:eastAsia="zh-CN"/>
        </w:rPr>
        <w:t>选矿及尾矿库</w:t>
      </w:r>
      <w:r>
        <w:rPr>
          <w:rFonts w:hint="eastAsia"/>
          <w:color w:val="auto"/>
          <w:highlight w:val="none"/>
        </w:rPr>
        <w:t>，矿石原料来源于阿图什市环球矿业有限公司自有矿山——新疆阿图什市托斯莫铁矿，该矿可采矿石资源量11616.26万t，露天采矿生产能力580万t/a，服务年限20.03年，仅可满足一期选矿（580万t/a）生产需求；二期生产线（</w:t>
      </w:r>
      <w:r>
        <w:rPr>
          <w:rFonts w:hint="eastAsia"/>
          <w:color w:val="auto"/>
          <w:highlight w:val="none"/>
          <w:lang w:val="en-US" w:eastAsia="zh-CN"/>
        </w:rPr>
        <w:t>32</w:t>
      </w:r>
      <w:r>
        <w:rPr>
          <w:rFonts w:hint="eastAsia"/>
          <w:color w:val="auto"/>
          <w:highlight w:val="none"/>
        </w:rPr>
        <w:t>0万t/a）矿石来源为勘探区内其他矿区，目前尚</w:t>
      </w:r>
      <w:r>
        <w:rPr>
          <w:rFonts w:hint="eastAsia"/>
          <w:color w:val="auto"/>
          <w:highlight w:val="none"/>
          <w:lang w:eastAsia="zh-CN"/>
        </w:rPr>
        <w:t>处于</w:t>
      </w:r>
      <w:r>
        <w:rPr>
          <w:rFonts w:hint="eastAsia"/>
          <w:color w:val="auto"/>
          <w:highlight w:val="none"/>
        </w:rPr>
        <w:t>勘探阶段，暂无资源储量数据</w:t>
      </w:r>
      <w:r>
        <w:rPr>
          <w:rFonts w:hint="eastAsia"/>
          <w:color w:val="auto"/>
          <w:highlight w:val="none"/>
          <w:lang w:eastAsia="zh-CN"/>
        </w:rPr>
        <w:t>；</w:t>
      </w:r>
      <w:r>
        <w:rPr>
          <w:rFonts w:hint="eastAsia"/>
          <w:color w:val="auto"/>
          <w:highlight w:val="none"/>
        </w:rPr>
        <w:t>鉴于尾矿库容量仅可满足一期选矿工程尾矿排放需求</w:t>
      </w:r>
      <w:r>
        <w:rPr>
          <w:rFonts w:hint="eastAsia"/>
          <w:color w:val="auto"/>
          <w:highlight w:val="none"/>
          <w:lang w:eastAsia="zh-CN"/>
        </w:rPr>
        <w:t>，</w:t>
      </w:r>
      <w:r>
        <w:rPr>
          <w:rFonts w:hint="eastAsia"/>
          <w:color w:val="auto"/>
          <w:highlight w:val="none"/>
        </w:rPr>
        <w:t>本环评依据可研设计，仅对一期选矿及尾矿库进行评价</w:t>
      </w:r>
      <w:r>
        <w:rPr>
          <w:rFonts w:hint="eastAsia"/>
          <w:color w:val="auto"/>
          <w:highlight w:val="none"/>
          <w:lang w:eastAsia="zh-CN"/>
        </w:rPr>
        <w:t>，由于</w:t>
      </w:r>
      <w:r>
        <w:rPr>
          <w:rFonts w:hint="eastAsia"/>
          <w:color w:val="auto"/>
          <w:highlight w:val="none"/>
        </w:rPr>
        <w:t>本项目属</w:t>
      </w:r>
      <w:r>
        <w:rPr>
          <w:rFonts w:hint="eastAsia"/>
          <w:color w:val="auto"/>
          <w:highlight w:val="none"/>
          <w:lang w:eastAsia="zh-CN"/>
        </w:rPr>
        <w:t>“</w:t>
      </w:r>
      <w:r>
        <w:rPr>
          <w:rFonts w:hint="eastAsia"/>
          <w:color w:val="auto"/>
          <w:highlight w:val="none"/>
        </w:rPr>
        <w:t>未批先建</w:t>
      </w:r>
      <w:r>
        <w:rPr>
          <w:rFonts w:hint="eastAsia"/>
          <w:color w:val="auto"/>
          <w:highlight w:val="none"/>
          <w:lang w:eastAsia="zh-CN"/>
        </w:rPr>
        <w:t>”</w:t>
      </w:r>
      <w:r>
        <w:rPr>
          <w:rFonts w:hint="eastAsia"/>
          <w:color w:val="auto"/>
          <w:highlight w:val="none"/>
        </w:rPr>
        <w:t>，经现场调查，一期、二期地面建筑工程已同步</w:t>
      </w:r>
      <w:r>
        <w:rPr>
          <w:rFonts w:hint="eastAsia"/>
          <w:color w:val="auto"/>
          <w:highlight w:val="none"/>
          <w:lang w:eastAsia="zh-CN"/>
        </w:rPr>
        <w:t>开始建设</w:t>
      </w:r>
      <w:r>
        <w:rPr>
          <w:rFonts w:hint="eastAsia"/>
          <w:color w:val="auto"/>
          <w:highlight w:val="none"/>
        </w:rPr>
        <w:t>，本次评价据此</w:t>
      </w:r>
      <w:r>
        <w:rPr>
          <w:rFonts w:hint="eastAsia"/>
          <w:color w:val="auto"/>
          <w:highlight w:val="none"/>
          <w:lang w:eastAsia="zh-CN"/>
        </w:rPr>
        <w:t>将二期已建设地面</w:t>
      </w:r>
      <w:r>
        <w:rPr>
          <w:rFonts w:hint="eastAsia"/>
          <w:color w:val="auto"/>
          <w:highlight w:val="none"/>
        </w:rPr>
        <w:t>纳入选矿厂地面建筑工程评价内容</w:t>
      </w:r>
      <w:r>
        <w:rPr>
          <w:rFonts w:hint="eastAsia"/>
          <w:color w:val="auto"/>
          <w:highlight w:val="none"/>
          <w:lang w:eastAsia="zh-CN"/>
        </w:rPr>
        <w:t>；</w:t>
      </w:r>
      <w:r>
        <w:rPr>
          <w:rFonts w:hint="eastAsia"/>
          <w:color w:val="auto"/>
          <w:highlight w:val="none"/>
        </w:rPr>
        <w:t>待二期具备可靠矿石来源后，再另行开展二期选矿工程及配套尾矿库的环境影响评价。</w:t>
      </w:r>
    </w:p>
    <w:p w14:paraId="26EA0CBF">
      <w:pPr>
        <w:pStyle w:val="39"/>
        <w:rPr>
          <w:rFonts w:hint="default"/>
          <w:color w:val="auto"/>
          <w:highlight w:val="none"/>
        </w:rPr>
      </w:pPr>
      <w:bookmarkStart w:id="25" w:name="_Toc27224"/>
      <w:bookmarkStart w:id="26" w:name="_Toc474747826"/>
      <w:bookmarkStart w:id="27" w:name="_Toc4492"/>
      <w:bookmarkStart w:id="28" w:name="_Toc17548"/>
      <w:bookmarkStart w:id="29" w:name="_Toc3341"/>
      <w:bookmarkStart w:id="30" w:name="_Toc9164"/>
      <w:bookmarkStart w:id="31" w:name="_Toc2232"/>
      <w:bookmarkStart w:id="32" w:name="_Toc367"/>
      <w:bookmarkStart w:id="33" w:name="_Toc2628"/>
      <w:bookmarkStart w:id="34" w:name="_Toc31437"/>
      <w:bookmarkStart w:id="35" w:name="_Toc15218"/>
      <w:bookmarkStart w:id="36" w:name="_Toc332"/>
      <w:bookmarkStart w:id="37" w:name="_Toc4985"/>
      <w:bookmarkStart w:id="38" w:name="_Toc32451"/>
      <w:bookmarkStart w:id="39" w:name="_Toc7022"/>
      <w:bookmarkStart w:id="40" w:name="_Toc5676"/>
      <w:bookmarkStart w:id="41" w:name="_Toc29039"/>
      <w:bookmarkStart w:id="42" w:name="_Toc2276"/>
      <w:bookmarkStart w:id="43" w:name="_Toc28393"/>
      <w:bookmarkStart w:id="44" w:name="_Toc16543"/>
      <w:bookmarkStart w:id="45" w:name="_Toc26631"/>
      <w:bookmarkStart w:id="46" w:name="_Toc17632"/>
      <w:bookmarkStart w:id="47" w:name="_Toc30305"/>
      <w:bookmarkStart w:id="48" w:name="_Toc474747825"/>
      <w:bookmarkStart w:id="49" w:name="_Toc25659"/>
      <w:bookmarkStart w:id="50" w:name="_Toc12471"/>
      <w:r>
        <w:rPr>
          <w:rFonts w:hint="default"/>
          <w:color w:val="auto"/>
          <w:highlight w:val="none"/>
        </w:rPr>
        <w:t>环境影响评价的工作过程</w:t>
      </w:r>
      <w:bookmarkEnd w:id="25"/>
    </w:p>
    <w:p w14:paraId="4DABD7EA">
      <w:pPr>
        <w:pStyle w:val="3"/>
        <w:ind w:firstLine="480"/>
        <w:rPr>
          <w:color w:val="auto"/>
          <w:highlight w:val="none"/>
        </w:rPr>
      </w:pPr>
      <w:r>
        <w:rPr>
          <w:rFonts w:hint="eastAsia" w:ascii="Times New Roman" w:hAnsi="Times New Roman" w:eastAsia="华文中宋" w:cs="Times New Roman"/>
          <w:color w:val="auto"/>
          <w:kern w:val="2"/>
          <w:sz w:val="24"/>
          <w:szCs w:val="24"/>
          <w:highlight w:val="none"/>
          <w:lang w:val="en-US" w:eastAsia="zh-CN" w:bidi="ar"/>
        </w:rPr>
        <w:t>根据《中华人民共和国生态环境法典》和《建设项目环境保护管理条例》等法律、法规，本项目应进行环境影响评价工作。</w:t>
      </w:r>
      <w:r>
        <w:rPr>
          <w:color w:val="auto"/>
          <w:highlight w:val="none"/>
        </w:rPr>
        <w:t>202</w:t>
      </w:r>
      <w:r>
        <w:rPr>
          <w:rFonts w:hint="eastAsia"/>
          <w:color w:val="auto"/>
          <w:highlight w:val="none"/>
        </w:rPr>
        <w:t>6年5月12日，阿图什市环球矿业有限公司委托我公司承担该项目环境影响评价工作，并于</w:t>
      </w:r>
      <w:r>
        <w:rPr>
          <w:color w:val="auto"/>
          <w:highlight w:val="none"/>
        </w:rPr>
        <w:t>202</w:t>
      </w:r>
      <w:r>
        <w:rPr>
          <w:rFonts w:hint="eastAsia"/>
          <w:color w:val="auto"/>
          <w:highlight w:val="none"/>
          <w:lang w:val="en-US" w:eastAsia="zh-CN"/>
        </w:rPr>
        <w:t>6</w:t>
      </w:r>
      <w:r>
        <w:rPr>
          <w:rFonts w:hint="eastAsia"/>
          <w:color w:val="auto"/>
          <w:highlight w:val="none"/>
        </w:rPr>
        <w:t xml:space="preserve">年5月18日，在新疆维吾尔自治区生态环境保护产业协会网站进行了第一次信息公开。 </w:t>
      </w:r>
    </w:p>
    <w:p w14:paraId="6A240D20">
      <w:pPr>
        <w:pStyle w:val="3"/>
        <w:ind w:firstLine="480"/>
        <w:rPr>
          <w:color w:val="auto"/>
          <w:highlight w:val="none"/>
        </w:rPr>
      </w:pPr>
      <w:r>
        <w:rPr>
          <w:rFonts w:hint="eastAsia"/>
          <w:color w:val="auto"/>
          <w:highlight w:val="none"/>
        </w:rPr>
        <w:t>接受委托后，我公司组织各专业技术人员研究了工程设计及相关文件，进行初步工程分析后赴现场进行了实地踏勘和调查，并制定了工作方案；同时委托新疆锡水金山环境科技有限公司开展了环境质量现状监测，在此基础上编制完成了《阿图什市环球矿业钒钛磁铁矿900万吨/年选矿厂建设项目</w:t>
      </w:r>
      <w:r>
        <w:rPr>
          <w:rFonts w:hint="eastAsia"/>
          <w:color w:val="auto"/>
          <w:highlight w:val="none"/>
          <w:lang w:eastAsia="zh-CN"/>
        </w:rPr>
        <w:t>（</w:t>
      </w:r>
      <w:r>
        <w:rPr>
          <w:rFonts w:hint="eastAsia"/>
          <w:color w:val="auto"/>
          <w:highlight w:val="none"/>
          <w:lang w:val="en-US" w:eastAsia="zh-CN"/>
        </w:rPr>
        <w:t>一期</w:t>
      </w:r>
      <w:r>
        <w:rPr>
          <w:rFonts w:hint="eastAsia"/>
          <w:color w:val="auto"/>
          <w:highlight w:val="none"/>
          <w:lang w:val="en-US" w:eastAsia="zh-CN"/>
        </w:rPr>
        <w:t>）</w:t>
      </w:r>
      <w:r>
        <w:rPr>
          <w:rFonts w:hint="eastAsia"/>
          <w:color w:val="auto"/>
          <w:highlight w:val="none"/>
        </w:rPr>
        <w:t>环境影响报告书》。</w:t>
      </w:r>
    </w:p>
    <w:p w14:paraId="04186C8E">
      <w:pPr>
        <w:pStyle w:val="39"/>
        <w:rPr>
          <w:rFonts w:hint="default"/>
          <w:color w:val="auto"/>
          <w:highlight w:val="none"/>
        </w:rPr>
      </w:pPr>
      <w:bookmarkStart w:id="51" w:name="_Toc8188"/>
      <w:r>
        <w:rPr>
          <w:rFonts w:hint="default"/>
          <w:color w:val="auto"/>
          <w:highlight w:val="none"/>
        </w:rPr>
        <w:t>分析判定相关情况</w:t>
      </w:r>
      <w:bookmarkEnd w:id="26"/>
      <w:bookmarkEnd w:id="27"/>
      <w:bookmarkEnd w:id="28"/>
      <w:bookmarkEnd w:id="29"/>
      <w:bookmarkEnd w:id="30"/>
      <w:bookmarkEnd w:id="31"/>
      <w:bookmarkEnd w:id="32"/>
      <w:bookmarkEnd w:id="33"/>
      <w:bookmarkEnd w:id="34"/>
      <w:bookmarkEnd w:id="35"/>
      <w:bookmarkEnd w:id="36"/>
      <w:bookmarkEnd w:id="37"/>
      <w:bookmarkEnd w:id="38"/>
      <w:bookmarkEnd w:id="51"/>
    </w:p>
    <w:p w14:paraId="38093497">
      <w:pPr>
        <w:pStyle w:val="42"/>
        <w:rPr>
          <w:rFonts w:hint="default"/>
          <w:color w:val="auto"/>
          <w:highlight w:val="none"/>
        </w:rPr>
      </w:pPr>
      <w:bookmarkStart w:id="52" w:name="_Toc483733039"/>
      <w:r>
        <w:rPr>
          <w:rFonts w:hint="default"/>
          <w:color w:val="auto"/>
          <w:highlight w:val="none"/>
        </w:rPr>
        <w:t>与《产业结构调整指导目录（2024年本）》符合性分析</w:t>
      </w:r>
    </w:p>
    <w:p w14:paraId="243AA5A6">
      <w:pPr>
        <w:pStyle w:val="3"/>
        <w:ind w:firstLine="480"/>
        <w:rPr>
          <w:rFonts w:hint="eastAsia" w:eastAsia="华文中宋"/>
          <w:color w:val="auto"/>
          <w:highlight w:val="none"/>
          <w:lang w:eastAsia="zh-CN"/>
        </w:rPr>
      </w:pPr>
      <w:r>
        <w:rPr>
          <w:color w:val="auto"/>
          <w:highlight w:val="none"/>
        </w:rPr>
        <w:t>本</w:t>
      </w:r>
      <w:r>
        <w:rPr>
          <w:rFonts w:hint="eastAsia"/>
          <w:color w:val="auto"/>
          <w:highlight w:val="none"/>
        </w:rPr>
        <w:t>选矿厂设计总生产规模900万t/a，产品方案为铁精矿和钛精矿</w:t>
      </w:r>
      <w:r>
        <w:rPr>
          <w:color w:val="auto"/>
          <w:highlight w:val="none"/>
        </w:rPr>
        <w:t>，根据《产业结构调整指导目录（2024年本）》，不属于产业政策鼓励类、限制类、淘汰类，</w:t>
      </w:r>
      <w:r>
        <w:rPr>
          <w:rFonts w:hint="eastAsia"/>
          <w:color w:val="auto"/>
          <w:highlight w:val="none"/>
        </w:rPr>
        <w:t>根据国务院关于发布实施《促进产业结构调整暂行规定》的决定第三章产业结构调整指导目录第十三条“不属于鼓励类、限制类和淘汰类，且符合国家有关</w:t>
      </w:r>
      <w:r>
        <w:rPr>
          <w:rFonts w:hint="eastAsia"/>
          <w:color w:val="auto"/>
          <w:highlight w:val="none"/>
          <w:lang w:eastAsia="zh-CN"/>
        </w:rPr>
        <w:t>法律法规</w:t>
      </w:r>
      <w:r>
        <w:rPr>
          <w:rFonts w:hint="eastAsia"/>
          <w:color w:val="auto"/>
          <w:highlight w:val="none"/>
        </w:rPr>
        <w:t>和政策规定的，为允许类”</w:t>
      </w:r>
      <w:r>
        <w:rPr>
          <w:rFonts w:hint="eastAsia"/>
          <w:color w:val="auto"/>
          <w:highlight w:val="none"/>
          <w:lang w:eastAsia="zh-CN"/>
        </w:rPr>
        <w:t>，因此本项目属于允许类，符合</w:t>
      </w:r>
      <w:r>
        <w:rPr>
          <w:color w:val="auto"/>
          <w:highlight w:val="none"/>
        </w:rPr>
        <w:t>《产业结构调整指导目录（2024年本）》</w:t>
      </w:r>
      <w:r>
        <w:rPr>
          <w:rFonts w:hint="eastAsia"/>
          <w:color w:val="auto"/>
          <w:highlight w:val="none"/>
          <w:lang w:eastAsia="zh-CN"/>
        </w:rPr>
        <w:t>。</w:t>
      </w:r>
    </w:p>
    <w:p w14:paraId="5093F20B">
      <w:pPr>
        <w:pStyle w:val="3"/>
        <w:ind w:firstLine="480"/>
        <w:rPr>
          <w:color w:val="auto"/>
          <w:highlight w:val="none"/>
        </w:rPr>
      </w:pPr>
      <w:r>
        <w:rPr>
          <w:color w:val="auto"/>
          <w:highlight w:val="none"/>
        </w:rPr>
        <w:t>项目已取得阿图什市发展和改革委员会文件，备案</w:t>
      </w:r>
      <w:r>
        <w:rPr>
          <w:rFonts w:hint="eastAsia"/>
          <w:color w:val="auto"/>
          <w:highlight w:val="none"/>
        </w:rPr>
        <w:t>证</w:t>
      </w:r>
      <w:r>
        <w:rPr>
          <w:color w:val="auto"/>
          <w:highlight w:val="none"/>
        </w:rPr>
        <w:t>号：</w:t>
      </w:r>
      <w:r>
        <w:rPr>
          <w:rFonts w:hint="eastAsia"/>
          <w:color w:val="auto"/>
          <w:highlight w:val="none"/>
        </w:rPr>
        <w:t>2407222025653000000133</w:t>
      </w:r>
      <w:r>
        <w:rPr>
          <w:color w:val="auto"/>
          <w:highlight w:val="none"/>
        </w:rPr>
        <w:t>，见附件2。</w:t>
      </w:r>
    </w:p>
    <w:p w14:paraId="56B97838">
      <w:pPr>
        <w:pStyle w:val="42"/>
        <w:rPr>
          <w:rFonts w:hint="default"/>
          <w:color w:val="auto"/>
          <w:highlight w:val="none"/>
        </w:rPr>
      </w:pPr>
      <w:r>
        <w:rPr>
          <w:rFonts w:hint="default"/>
          <w:color w:val="auto"/>
          <w:highlight w:val="none"/>
        </w:rPr>
        <w:t>与《矿山生态环境保护与污染防治技术政策》（环发</w:t>
      </w:r>
      <w:r>
        <w:rPr>
          <w:color w:val="auto"/>
          <w:highlight w:val="none"/>
        </w:rPr>
        <w:t>〔2005〕109号</w:t>
      </w:r>
      <w:r>
        <w:rPr>
          <w:rFonts w:hint="default"/>
          <w:color w:val="auto"/>
          <w:highlight w:val="none"/>
        </w:rPr>
        <w:t>）符合性分析</w:t>
      </w:r>
    </w:p>
    <w:p w14:paraId="2445EF96">
      <w:pPr>
        <w:pStyle w:val="3"/>
        <w:ind w:firstLine="480"/>
        <w:rPr>
          <w:color w:val="auto"/>
          <w:highlight w:val="none"/>
        </w:rPr>
      </w:pPr>
      <w:r>
        <w:rPr>
          <w:color w:val="auto"/>
          <w:highlight w:val="none"/>
        </w:rPr>
        <w:t>本项目与《矿山生态环境保护与污染防治技术政策》符合性分析见表1.3-1。</w:t>
      </w:r>
    </w:p>
    <w:p w14:paraId="2A050EE8">
      <w:pPr>
        <w:pStyle w:val="40"/>
        <w:rPr>
          <w:color w:val="auto"/>
          <w:highlight w:val="none"/>
        </w:rPr>
      </w:pPr>
      <w:r>
        <w:rPr>
          <w:color w:val="auto"/>
          <w:highlight w:val="none"/>
        </w:rPr>
        <w:t>表1.3-1    本项目与《矿山生态环境保护与污染防治技术政策》符合性分析</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7"/>
        <w:gridCol w:w="773"/>
        <w:gridCol w:w="1116"/>
        <w:gridCol w:w="2470"/>
        <w:gridCol w:w="2579"/>
        <w:gridCol w:w="841"/>
      </w:tblGrid>
      <w:tr w14:paraId="2B9097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3" w:type="pct"/>
            <w:tcBorders>
              <w:tl2br w:val="nil"/>
              <w:tr2bl w:val="nil"/>
            </w:tcBorders>
            <w:vAlign w:val="center"/>
          </w:tcPr>
          <w:p w14:paraId="1F19A3B7">
            <w:pPr>
              <w:pStyle w:val="41"/>
              <w:widowControl w:val="0"/>
              <w:rPr>
                <w:color w:val="auto"/>
                <w:highlight w:val="none"/>
              </w:rPr>
            </w:pPr>
            <w:r>
              <w:rPr>
                <w:color w:val="auto"/>
                <w:highlight w:val="none"/>
              </w:rPr>
              <w:t>序号</w:t>
            </w:r>
          </w:p>
        </w:tc>
        <w:tc>
          <w:tcPr>
            <w:tcW w:w="2558" w:type="pct"/>
            <w:gridSpan w:val="3"/>
            <w:tcBorders>
              <w:tl2br w:val="nil"/>
              <w:tr2bl w:val="nil"/>
            </w:tcBorders>
            <w:vAlign w:val="center"/>
          </w:tcPr>
          <w:p w14:paraId="35AA5742">
            <w:pPr>
              <w:pStyle w:val="41"/>
              <w:widowControl w:val="0"/>
              <w:rPr>
                <w:color w:val="auto"/>
                <w:highlight w:val="none"/>
              </w:rPr>
            </w:pPr>
            <w:r>
              <w:rPr>
                <w:color w:val="auto"/>
                <w:highlight w:val="none"/>
              </w:rPr>
              <w:t>《矿山生态环境保护与污染防治技术政策》-选矿</w:t>
            </w:r>
          </w:p>
        </w:tc>
        <w:tc>
          <w:tcPr>
            <w:tcW w:w="1513" w:type="pct"/>
            <w:tcBorders>
              <w:tl2br w:val="nil"/>
              <w:tr2bl w:val="nil"/>
            </w:tcBorders>
            <w:vAlign w:val="center"/>
          </w:tcPr>
          <w:p w14:paraId="62E24628">
            <w:pPr>
              <w:pStyle w:val="41"/>
              <w:widowControl w:val="0"/>
              <w:rPr>
                <w:color w:val="auto"/>
                <w:highlight w:val="none"/>
              </w:rPr>
            </w:pPr>
            <w:r>
              <w:rPr>
                <w:color w:val="auto"/>
                <w:highlight w:val="none"/>
              </w:rPr>
              <w:t>本项目</w:t>
            </w:r>
          </w:p>
        </w:tc>
        <w:tc>
          <w:tcPr>
            <w:tcW w:w="494" w:type="pct"/>
            <w:tcBorders>
              <w:tl2br w:val="nil"/>
              <w:tr2bl w:val="nil"/>
            </w:tcBorders>
            <w:vAlign w:val="center"/>
          </w:tcPr>
          <w:p w14:paraId="1DAA5BCD">
            <w:pPr>
              <w:pStyle w:val="41"/>
              <w:widowControl w:val="0"/>
              <w:rPr>
                <w:color w:val="auto"/>
                <w:highlight w:val="none"/>
              </w:rPr>
            </w:pPr>
            <w:r>
              <w:rPr>
                <w:color w:val="auto"/>
                <w:highlight w:val="none"/>
              </w:rPr>
              <w:t>符合性</w:t>
            </w:r>
          </w:p>
        </w:tc>
      </w:tr>
      <w:tr w14:paraId="16A27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3" w:type="pct"/>
            <w:tcBorders>
              <w:tl2br w:val="nil"/>
              <w:tr2bl w:val="nil"/>
            </w:tcBorders>
            <w:vAlign w:val="center"/>
          </w:tcPr>
          <w:p w14:paraId="65053D31">
            <w:pPr>
              <w:pStyle w:val="41"/>
              <w:widowControl w:val="0"/>
              <w:rPr>
                <w:color w:val="auto"/>
                <w:highlight w:val="none"/>
              </w:rPr>
            </w:pPr>
            <w:r>
              <w:rPr>
                <w:color w:val="auto"/>
                <w:highlight w:val="none"/>
              </w:rPr>
              <w:t>1</w:t>
            </w:r>
          </w:p>
        </w:tc>
        <w:tc>
          <w:tcPr>
            <w:tcW w:w="454" w:type="pct"/>
            <w:vMerge w:val="restart"/>
            <w:tcBorders>
              <w:tl2br w:val="nil"/>
              <w:tr2bl w:val="nil"/>
            </w:tcBorders>
            <w:vAlign w:val="center"/>
          </w:tcPr>
          <w:p w14:paraId="15096D73">
            <w:pPr>
              <w:pStyle w:val="41"/>
              <w:widowControl w:val="0"/>
              <w:rPr>
                <w:color w:val="auto"/>
                <w:highlight w:val="none"/>
              </w:rPr>
            </w:pPr>
            <w:r>
              <w:rPr>
                <w:color w:val="auto"/>
                <w:highlight w:val="none"/>
              </w:rPr>
              <w:t>（1）鼓励采用的选矿技术</w:t>
            </w:r>
          </w:p>
        </w:tc>
        <w:tc>
          <w:tcPr>
            <w:tcW w:w="2104" w:type="pct"/>
            <w:gridSpan w:val="2"/>
            <w:tcBorders>
              <w:tl2br w:val="nil"/>
              <w:tr2bl w:val="nil"/>
            </w:tcBorders>
            <w:vAlign w:val="center"/>
          </w:tcPr>
          <w:p w14:paraId="25B896CB">
            <w:pPr>
              <w:pStyle w:val="41"/>
              <w:widowControl w:val="0"/>
              <w:rPr>
                <w:color w:val="auto"/>
                <w:highlight w:val="none"/>
              </w:rPr>
            </w:pPr>
            <w:r>
              <w:rPr>
                <w:rFonts w:hint="eastAsia"/>
                <w:color w:val="auto"/>
                <w:highlight w:val="none"/>
              </w:rPr>
              <w:t>①</w:t>
            </w:r>
            <w:r>
              <w:rPr>
                <w:color w:val="auto"/>
                <w:highlight w:val="none"/>
              </w:rPr>
              <w:t>开发推广高效无（低）毒的浮选新药剂产品</w:t>
            </w:r>
          </w:p>
        </w:tc>
        <w:tc>
          <w:tcPr>
            <w:tcW w:w="1513" w:type="pct"/>
            <w:tcBorders>
              <w:tl2br w:val="nil"/>
              <w:tr2bl w:val="nil"/>
            </w:tcBorders>
            <w:vAlign w:val="center"/>
          </w:tcPr>
          <w:p w14:paraId="357D9E32">
            <w:pPr>
              <w:pStyle w:val="41"/>
              <w:widowControl w:val="0"/>
              <w:rPr>
                <w:color w:val="auto"/>
                <w:highlight w:val="none"/>
              </w:rPr>
            </w:pPr>
            <w:r>
              <w:rPr>
                <w:rFonts w:hint="eastAsia"/>
                <w:color w:val="auto"/>
                <w:highlight w:val="none"/>
              </w:rPr>
              <w:t>本项目选矿工艺流程拟采用“破碎筛分干抛+磨选过滤+重选+烘干精选+尾矿干排”工艺，为物理选矿，不添加药剂。</w:t>
            </w:r>
          </w:p>
        </w:tc>
        <w:tc>
          <w:tcPr>
            <w:tcW w:w="494" w:type="pct"/>
            <w:tcBorders>
              <w:tl2br w:val="nil"/>
              <w:tr2bl w:val="nil"/>
            </w:tcBorders>
            <w:vAlign w:val="center"/>
          </w:tcPr>
          <w:p w14:paraId="2F2AC3B3">
            <w:pPr>
              <w:pStyle w:val="41"/>
              <w:widowControl w:val="0"/>
              <w:rPr>
                <w:color w:val="auto"/>
                <w:highlight w:val="none"/>
              </w:rPr>
            </w:pPr>
            <w:r>
              <w:rPr>
                <w:color w:val="auto"/>
                <w:highlight w:val="none"/>
              </w:rPr>
              <w:t>符合</w:t>
            </w:r>
          </w:p>
        </w:tc>
      </w:tr>
      <w:tr w14:paraId="5B3B68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3" w:type="pct"/>
            <w:tcBorders>
              <w:tl2br w:val="nil"/>
              <w:tr2bl w:val="nil"/>
            </w:tcBorders>
            <w:vAlign w:val="center"/>
          </w:tcPr>
          <w:p w14:paraId="7150E859">
            <w:pPr>
              <w:pStyle w:val="41"/>
              <w:widowControl w:val="0"/>
              <w:rPr>
                <w:color w:val="auto"/>
                <w:highlight w:val="none"/>
              </w:rPr>
            </w:pPr>
            <w:r>
              <w:rPr>
                <w:color w:val="auto"/>
                <w:highlight w:val="none"/>
              </w:rPr>
              <w:t>2</w:t>
            </w:r>
          </w:p>
        </w:tc>
        <w:tc>
          <w:tcPr>
            <w:tcW w:w="454" w:type="pct"/>
            <w:vMerge w:val="continue"/>
            <w:tcBorders>
              <w:tl2br w:val="nil"/>
              <w:tr2bl w:val="nil"/>
            </w:tcBorders>
            <w:vAlign w:val="center"/>
          </w:tcPr>
          <w:p w14:paraId="47EE8908">
            <w:pPr>
              <w:pStyle w:val="41"/>
              <w:widowControl w:val="0"/>
              <w:rPr>
                <w:color w:val="auto"/>
                <w:highlight w:val="none"/>
              </w:rPr>
            </w:pPr>
          </w:p>
        </w:tc>
        <w:tc>
          <w:tcPr>
            <w:tcW w:w="2104" w:type="pct"/>
            <w:gridSpan w:val="2"/>
            <w:tcBorders>
              <w:tl2br w:val="nil"/>
              <w:tr2bl w:val="nil"/>
            </w:tcBorders>
            <w:vAlign w:val="center"/>
          </w:tcPr>
          <w:p w14:paraId="250BC48F">
            <w:pPr>
              <w:pStyle w:val="41"/>
              <w:widowControl w:val="0"/>
              <w:rPr>
                <w:color w:val="auto"/>
                <w:highlight w:val="none"/>
              </w:rPr>
            </w:pPr>
            <w:r>
              <w:rPr>
                <w:rFonts w:hint="eastAsia"/>
                <w:color w:val="auto"/>
                <w:highlight w:val="none"/>
              </w:rPr>
              <w:t>②</w:t>
            </w:r>
            <w:r>
              <w:rPr>
                <w:color w:val="auto"/>
                <w:highlight w:val="none"/>
              </w:rPr>
              <w:t>在干旱缺水地区，宜推广干选工艺或节水型选矿工艺，如煤炭干选、大块干选抛尾等工艺技术</w:t>
            </w:r>
          </w:p>
        </w:tc>
        <w:tc>
          <w:tcPr>
            <w:tcW w:w="1513" w:type="pct"/>
            <w:tcBorders>
              <w:tl2br w:val="nil"/>
              <w:tr2bl w:val="nil"/>
            </w:tcBorders>
            <w:vAlign w:val="center"/>
          </w:tcPr>
          <w:p w14:paraId="4F8074D2">
            <w:pPr>
              <w:pStyle w:val="41"/>
              <w:widowControl w:val="0"/>
              <w:rPr>
                <w:color w:val="auto"/>
                <w:highlight w:val="none"/>
              </w:rPr>
            </w:pPr>
            <w:r>
              <w:rPr>
                <w:color w:val="auto"/>
                <w:highlight w:val="none"/>
              </w:rPr>
              <w:t>项目选矿废水</w:t>
            </w:r>
            <w:r>
              <w:rPr>
                <w:rFonts w:hint="eastAsia"/>
                <w:color w:val="auto"/>
                <w:highlight w:val="none"/>
              </w:rPr>
              <w:t>“</w:t>
            </w:r>
            <w:r>
              <w:rPr>
                <w:color w:val="auto"/>
                <w:highlight w:val="none"/>
              </w:rPr>
              <w:t>闭路循环</w:t>
            </w:r>
            <w:r>
              <w:rPr>
                <w:rFonts w:hint="eastAsia"/>
                <w:color w:val="auto"/>
                <w:highlight w:val="none"/>
              </w:rPr>
              <w:t>”</w:t>
            </w:r>
            <w:r>
              <w:rPr>
                <w:color w:val="auto"/>
                <w:highlight w:val="none"/>
              </w:rPr>
              <w:t>，回用于生产；生活污水经地埋式一体化生活污水处理设施处理达到</w:t>
            </w:r>
            <w:r>
              <w:rPr>
                <w:rFonts w:hint="eastAsia"/>
                <w:color w:val="auto"/>
                <w:highlight w:val="none"/>
                <w:lang w:eastAsia="zh-CN"/>
              </w:rPr>
              <w:t>《城市污水再生利用—城市杂用水水质》（GB/T18920-2020）</w:t>
            </w:r>
            <w:r>
              <w:rPr>
                <w:color w:val="auto"/>
                <w:highlight w:val="none"/>
              </w:rPr>
              <w:t>，</w:t>
            </w:r>
            <w:r>
              <w:rPr>
                <w:rFonts w:hint="eastAsia"/>
                <w:color w:val="auto"/>
                <w:highlight w:val="none"/>
              </w:rPr>
              <w:t>用于厂区绿化、洒水等</w:t>
            </w:r>
            <w:r>
              <w:rPr>
                <w:color w:val="auto"/>
                <w:highlight w:val="none"/>
              </w:rPr>
              <w:t>。</w:t>
            </w:r>
          </w:p>
        </w:tc>
        <w:tc>
          <w:tcPr>
            <w:tcW w:w="494" w:type="pct"/>
            <w:tcBorders>
              <w:tl2br w:val="nil"/>
              <w:tr2bl w:val="nil"/>
            </w:tcBorders>
            <w:vAlign w:val="center"/>
          </w:tcPr>
          <w:p w14:paraId="0E0E7216">
            <w:pPr>
              <w:pStyle w:val="41"/>
              <w:widowControl w:val="0"/>
              <w:rPr>
                <w:color w:val="auto"/>
                <w:highlight w:val="none"/>
              </w:rPr>
            </w:pPr>
            <w:r>
              <w:rPr>
                <w:color w:val="auto"/>
                <w:highlight w:val="none"/>
              </w:rPr>
              <w:t>符合</w:t>
            </w:r>
          </w:p>
        </w:tc>
      </w:tr>
      <w:tr w14:paraId="7BC593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433" w:type="pct"/>
            <w:tcBorders>
              <w:tl2br w:val="nil"/>
              <w:tr2bl w:val="nil"/>
            </w:tcBorders>
            <w:vAlign w:val="center"/>
          </w:tcPr>
          <w:p w14:paraId="112A53B1">
            <w:pPr>
              <w:pStyle w:val="41"/>
              <w:widowControl w:val="0"/>
              <w:rPr>
                <w:color w:val="auto"/>
                <w:highlight w:val="none"/>
              </w:rPr>
            </w:pPr>
            <w:r>
              <w:rPr>
                <w:color w:val="auto"/>
                <w:highlight w:val="none"/>
              </w:rPr>
              <w:t>3</w:t>
            </w:r>
          </w:p>
        </w:tc>
        <w:tc>
          <w:tcPr>
            <w:tcW w:w="454" w:type="pct"/>
            <w:vMerge w:val="continue"/>
            <w:tcBorders>
              <w:tl2br w:val="nil"/>
              <w:tr2bl w:val="nil"/>
            </w:tcBorders>
            <w:vAlign w:val="center"/>
          </w:tcPr>
          <w:p w14:paraId="1FD9674C">
            <w:pPr>
              <w:pStyle w:val="41"/>
              <w:widowControl w:val="0"/>
              <w:rPr>
                <w:color w:val="auto"/>
                <w:highlight w:val="none"/>
              </w:rPr>
            </w:pPr>
          </w:p>
        </w:tc>
        <w:tc>
          <w:tcPr>
            <w:tcW w:w="2104" w:type="pct"/>
            <w:gridSpan w:val="2"/>
            <w:tcBorders>
              <w:tl2br w:val="nil"/>
              <w:tr2bl w:val="nil"/>
            </w:tcBorders>
            <w:vAlign w:val="center"/>
          </w:tcPr>
          <w:p w14:paraId="725C98B6">
            <w:pPr>
              <w:pStyle w:val="41"/>
              <w:widowControl w:val="0"/>
              <w:rPr>
                <w:color w:val="auto"/>
                <w:highlight w:val="none"/>
              </w:rPr>
            </w:pPr>
            <w:r>
              <w:rPr>
                <w:rFonts w:hint="eastAsia"/>
                <w:color w:val="auto"/>
                <w:highlight w:val="none"/>
              </w:rPr>
              <w:t>③</w:t>
            </w:r>
            <w:r>
              <w:rPr>
                <w:color w:val="auto"/>
                <w:highlight w:val="none"/>
              </w:rPr>
              <w:t>推广高效脱硫降灰技术，有效去除和降低煤炭中的硫分和灰分</w:t>
            </w:r>
          </w:p>
        </w:tc>
        <w:tc>
          <w:tcPr>
            <w:tcW w:w="1513" w:type="pct"/>
            <w:tcBorders>
              <w:tl2br w:val="nil"/>
              <w:tr2bl w:val="nil"/>
            </w:tcBorders>
            <w:vAlign w:val="center"/>
          </w:tcPr>
          <w:p w14:paraId="655B709B">
            <w:pPr>
              <w:pStyle w:val="41"/>
              <w:widowControl w:val="0"/>
              <w:rPr>
                <w:color w:val="auto"/>
                <w:highlight w:val="none"/>
              </w:rPr>
            </w:pPr>
            <w:r>
              <w:rPr>
                <w:color w:val="auto"/>
                <w:highlight w:val="none"/>
              </w:rPr>
              <w:t>钛精矿烘干间建设2台</w:t>
            </w:r>
            <w:r>
              <w:rPr>
                <w:rFonts w:hint="eastAsia"/>
                <w:color w:val="auto"/>
                <w:highlight w:val="none"/>
              </w:rPr>
              <w:t>生物质炉窑</w:t>
            </w:r>
            <w:r>
              <w:rPr>
                <w:color w:val="auto"/>
                <w:highlight w:val="none"/>
              </w:rPr>
              <w:t>，废气治理设施采用</w:t>
            </w:r>
            <w:r>
              <w:rPr>
                <w:rFonts w:hint="eastAsia"/>
                <w:color w:val="auto"/>
                <w:highlight w:val="none"/>
              </w:rPr>
              <w:t>“</w:t>
            </w:r>
            <w:r>
              <w:rPr>
                <w:color w:val="auto"/>
                <w:highlight w:val="none"/>
              </w:rPr>
              <w:t>布袋除尘器+</w:t>
            </w:r>
            <w:r>
              <w:rPr>
                <w:rFonts w:hint="eastAsia"/>
                <w:color w:val="auto"/>
                <w:highlight w:val="none"/>
              </w:rPr>
              <w:t>双碱法</w:t>
            </w:r>
            <w:r>
              <w:rPr>
                <w:color w:val="auto"/>
                <w:highlight w:val="none"/>
              </w:rPr>
              <w:t>脱硫</w:t>
            </w:r>
            <w:r>
              <w:rPr>
                <w:rFonts w:hint="eastAsia"/>
                <w:color w:val="auto"/>
                <w:highlight w:val="none"/>
              </w:rPr>
              <w:t>”</w:t>
            </w:r>
            <w:r>
              <w:rPr>
                <w:color w:val="auto"/>
                <w:highlight w:val="none"/>
              </w:rPr>
              <w:t>处理达标后排放</w:t>
            </w:r>
            <w:r>
              <w:rPr>
                <w:rFonts w:hint="eastAsia"/>
                <w:color w:val="auto"/>
                <w:highlight w:val="none"/>
              </w:rPr>
              <w:t>。</w:t>
            </w:r>
          </w:p>
        </w:tc>
        <w:tc>
          <w:tcPr>
            <w:tcW w:w="494" w:type="pct"/>
            <w:tcBorders>
              <w:tl2br w:val="nil"/>
              <w:tr2bl w:val="nil"/>
            </w:tcBorders>
            <w:vAlign w:val="center"/>
          </w:tcPr>
          <w:p w14:paraId="7FFBD920">
            <w:pPr>
              <w:pStyle w:val="41"/>
              <w:widowControl w:val="0"/>
              <w:rPr>
                <w:color w:val="auto"/>
                <w:highlight w:val="none"/>
              </w:rPr>
            </w:pPr>
            <w:r>
              <w:rPr>
                <w:color w:val="auto"/>
                <w:highlight w:val="none"/>
              </w:rPr>
              <w:t>符合</w:t>
            </w:r>
          </w:p>
        </w:tc>
      </w:tr>
      <w:tr w14:paraId="08424A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14" w:hRule="atLeast"/>
          <w:jc w:val="center"/>
        </w:trPr>
        <w:tc>
          <w:tcPr>
            <w:tcW w:w="433" w:type="pct"/>
            <w:vMerge w:val="restart"/>
            <w:tcBorders>
              <w:tl2br w:val="nil"/>
              <w:tr2bl w:val="nil"/>
            </w:tcBorders>
            <w:vAlign w:val="center"/>
          </w:tcPr>
          <w:p w14:paraId="65AF6E3E">
            <w:pPr>
              <w:pStyle w:val="41"/>
              <w:widowControl w:val="0"/>
              <w:rPr>
                <w:color w:val="auto"/>
                <w:highlight w:val="none"/>
              </w:rPr>
            </w:pPr>
            <w:r>
              <w:rPr>
                <w:color w:val="auto"/>
                <w:highlight w:val="none"/>
              </w:rPr>
              <w:t>4</w:t>
            </w:r>
          </w:p>
        </w:tc>
        <w:tc>
          <w:tcPr>
            <w:tcW w:w="454" w:type="pct"/>
            <w:vMerge w:val="continue"/>
            <w:tcBorders>
              <w:tl2br w:val="nil"/>
              <w:tr2bl w:val="nil"/>
            </w:tcBorders>
            <w:vAlign w:val="center"/>
          </w:tcPr>
          <w:p w14:paraId="162538F0">
            <w:pPr>
              <w:pStyle w:val="41"/>
              <w:widowControl w:val="0"/>
              <w:rPr>
                <w:color w:val="auto"/>
                <w:highlight w:val="none"/>
              </w:rPr>
            </w:pPr>
          </w:p>
        </w:tc>
        <w:tc>
          <w:tcPr>
            <w:tcW w:w="2104" w:type="pct"/>
            <w:gridSpan w:val="2"/>
            <w:tcBorders>
              <w:tl2br w:val="nil"/>
              <w:tr2bl w:val="nil"/>
            </w:tcBorders>
            <w:vAlign w:val="center"/>
          </w:tcPr>
          <w:p w14:paraId="2D05FEB2">
            <w:pPr>
              <w:pStyle w:val="41"/>
              <w:widowControl w:val="0"/>
              <w:rPr>
                <w:color w:val="auto"/>
                <w:highlight w:val="none"/>
              </w:rPr>
            </w:pPr>
            <w:r>
              <w:rPr>
                <w:rFonts w:hint="eastAsia"/>
                <w:color w:val="auto"/>
                <w:highlight w:val="none"/>
              </w:rPr>
              <w:t>④</w:t>
            </w:r>
            <w:r>
              <w:rPr>
                <w:color w:val="auto"/>
                <w:highlight w:val="none"/>
              </w:rPr>
              <w:t>采用先进的洗选技术和设备，推广洁净煤技术，逐步降低直接销售、使用原煤的比率</w:t>
            </w:r>
          </w:p>
        </w:tc>
        <w:tc>
          <w:tcPr>
            <w:tcW w:w="1513" w:type="pct"/>
            <w:tcBorders>
              <w:tl2br w:val="nil"/>
              <w:tr2bl w:val="nil"/>
            </w:tcBorders>
            <w:vAlign w:val="center"/>
          </w:tcPr>
          <w:p w14:paraId="19C63A26">
            <w:pPr>
              <w:pStyle w:val="41"/>
              <w:widowControl w:val="0"/>
              <w:rPr>
                <w:color w:val="auto"/>
                <w:highlight w:val="none"/>
              </w:rPr>
            </w:pPr>
            <w:r>
              <w:rPr>
                <w:color w:val="auto"/>
                <w:highlight w:val="none"/>
              </w:rPr>
              <w:t>本项目选矿工艺采用</w:t>
            </w:r>
            <w:r>
              <w:rPr>
                <w:rFonts w:hint="eastAsia"/>
                <w:color w:val="auto"/>
                <w:highlight w:val="none"/>
              </w:rPr>
              <w:t>“破碎筛分干抛+磨选过滤+重选+烘干精选+尾矿干排”</w:t>
            </w:r>
            <w:r>
              <w:rPr>
                <w:color w:val="auto"/>
                <w:highlight w:val="none"/>
              </w:rPr>
              <w:t>工艺，为先进工艺技术</w:t>
            </w:r>
            <w:r>
              <w:rPr>
                <w:rFonts w:hint="eastAsia"/>
                <w:color w:val="auto"/>
                <w:highlight w:val="none"/>
              </w:rPr>
              <w:t>。</w:t>
            </w:r>
          </w:p>
        </w:tc>
        <w:tc>
          <w:tcPr>
            <w:tcW w:w="494" w:type="pct"/>
            <w:tcBorders>
              <w:tl2br w:val="nil"/>
              <w:tr2bl w:val="nil"/>
            </w:tcBorders>
            <w:vAlign w:val="center"/>
          </w:tcPr>
          <w:p w14:paraId="64B17E2C">
            <w:pPr>
              <w:pStyle w:val="41"/>
              <w:widowControl w:val="0"/>
              <w:rPr>
                <w:color w:val="auto"/>
                <w:highlight w:val="none"/>
              </w:rPr>
            </w:pPr>
            <w:r>
              <w:rPr>
                <w:color w:val="auto"/>
                <w:highlight w:val="none"/>
              </w:rPr>
              <w:t>符合</w:t>
            </w:r>
          </w:p>
        </w:tc>
      </w:tr>
      <w:tr w14:paraId="05F612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433" w:type="pct"/>
            <w:vMerge w:val="continue"/>
            <w:tcBorders>
              <w:tl2br w:val="nil"/>
              <w:tr2bl w:val="nil"/>
            </w:tcBorders>
            <w:vAlign w:val="center"/>
          </w:tcPr>
          <w:p w14:paraId="72416A58">
            <w:pPr>
              <w:pStyle w:val="41"/>
              <w:widowControl w:val="0"/>
              <w:rPr>
                <w:color w:val="auto"/>
                <w:highlight w:val="none"/>
              </w:rPr>
            </w:pPr>
          </w:p>
        </w:tc>
        <w:tc>
          <w:tcPr>
            <w:tcW w:w="454" w:type="pct"/>
            <w:vMerge w:val="continue"/>
            <w:tcBorders>
              <w:tl2br w:val="nil"/>
              <w:tr2bl w:val="nil"/>
            </w:tcBorders>
            <w:vAlign w:val="center"/>
          </w:tcPr>
          <w:p w14:paraId="5299A2A9">
            <w:pPr>
              <w:pStyle w:val="41"/>
              <w:widowControl w:val="0"/>
              <w:rPr>
                <w:color w:val="auto"/>
                <w:highlight w:val="none"/>
              </w:rPr>
            </w:pPr>
          </w:p>
        </w:tc>
        <w:tc>
          <w:tcPr>
            <w:tcW w:w="2104" w:type="pct"/>
            <w:gridSpan w:val="2"/>
            <w:tcBorders>
              <w:tl2br w:val="nil"/>
              <w:tr2bl w:val="nil"/>
            </w:tcBorders>
            <w:vAlign w:val="center"/>
          </w:tcPr>
          <w:p w14:paraId="6B020E6D">
            <w:pPr>
              <w:pStyle w:val="41"/>
              <w:widowControl w:val="0"/>
              <w:rPr>
                <w:color w:val="auto"/>
                <w:highlight w:val="none"/>
              </w:rPr>
            </w:pPr>
            <w:r>
              <w:rPr>
                <w:rFonts w:hint="eastAsia"/>
                <w:color w:val="auto"/>
                <w:highlight w:val="none"/>
              </w:rPr>
              <w:t>⑤</w:t>
            </w:r>
            <w:r>
              <w:rPr>
                <w:color w:val="auto"/>
                <w:highlight w:val="none"/>
              </w:rPr>
              <w:t>积极研究推广共、伴生矿产资源中有价元素的分离回收技术，为共、伴生矿产资源的深加工创造条件</w:t>
            </w:r>
          </w:p>
        </w:tc>
        <w:tc>
          <w:tcPr>
            <w:tcW w:w="1513" w:type="pct"/>
            <w:tcBorders>
              <w:tl2br w:val="nil"/>
              <w:tr2bl w:val="nil"/>
            </w:tcBorders>
            <w:vAlign w:val="center"/>
          </w:tcPr>
          <w:p w14:paraId="48F04E0E">
            <w:pPr>
              <w:pStyle w:val="41"/>
              <w:widowControl w:val="0"/>
              <w:rPr>
                <w:color w:val="auto"/>
                <w:highlight w:val="none"/>
              </w:rPr>
            </w:pPr>
            <w:r>
              <w:rPr>
                <w:rFonts w:hint="eastAsia"/>
                <w:color w:val="auto"/>
                <w:highlight w:val="none"/>
              </w:rPr>
              <w:t>矿床伴生矿产主要是TiO</w:t>
            </w:r>
            <w:r>
              <w:rPr>
                <w:rFonts w:hint="eastAsia"/>
                <w:color w:val="auto"/>
                <w:highlight w:val="none"/>
                <w:vertAlign w:val="subscript"/>
              </w:rPr>
              <w:t>2</w:t>
            </w:r>
            <w:r>
              <w:rPr>
                <w:rFonts w:hint="eastAsia"/>
                <w:color w:val="auto"/>
                <w:highlight w:val="none"/>
              </w:rPr>
              <w:t>，本项目进行了分离回收。</w:t>
            </w:r>
          </w:p>
        </w:tc>
        <w:tc>
          <w:tcPr>
            <w:tcW w:w="494" w:type="pct"/>
            <w:tcBorders>
              <w:tl2br w:val="nil"/>
              <w:tr2bl w:val="nil"/>
            </w:tcBorders>
            <w:vAlign w:val="center"/>
          </w:tcPr>
          <w:p w14:paraId="45EF3CA3">
            <w:pPr>
              <w:pStyle w:val="41"/>
              <w:widowControl w:val="0"/>
              <w:rPr>
                <w:color w:val="auto"/>
                <w:highlight w:val="none"/>
              </w:rPr>
            </w:pPr>
            <w:r>
              <w:rPr>
                <w:color w:val="auto"/>
                <w:highlight w:val="none"/>
              </w:rPr>
              <w:t>符合</w:t>
            </w:r>
          </w:p>
        </w:tc>
      </w:tr>
      <w:tr w14:paraId="438784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433" w:type="pct"/>
            <w:tcBorders>
              <w:tl2br w:val="nil"/>
              <w:tr2bl w:val="nil"/>
            </w:tcBorders>
            <w:vAlign w:val="center"/>
          </w:tcPr>
          <w:p w14:paraId="4C42F1E3">
            <w:pPr>
              <w:pStyle w:val="41"/>
              <w:widowControl w:val="0"/>
              <w:rPr>
                <w:color w:val="auto"/>
                <w:highlight w:val="none"/>
              </w:rPr>
            </w:pPr>
            <w:r>
              <w:rPr>
                <w:color w:val="auto"/>
                <w:highlight w:val="none"/>
              </w:rPr>
              <w:t>5</w:t>
            </w:r>
          </w:p>
        </w:tc>
        <w:tc>
          <w:tcPr>
            <w:tcW w:w="454" w:type="pct"/>
            <w:vMerge w:val="restart"/>
            <w:tcBorders>
              <w:tl2br w:val="nil"/>
              <w:tr2bl w:val="nil"/>
            </w:tcBorders>
            <w:vAlign w:val="center"/>
          </w:tcPr>
          <w:p w14:paraId="3F466EFA">
            <w:pPr>
              <w:pStyle w:val="41"/>
              <w:widowControl w:val="0"/>
              <w:rPr>
                <w:color w:val="auto"/>
                <w:highlight w:val="none"/>
              </w:rPr>
            </w:pPr>
            <w:r>
              <w:rPr>
                <w:color w:val="auto"/>
                <w:highlight w:val="none"/>
              </w:rPr>
              <w:t>（2）选矿废水、废气的处理</w:t>
            </w:r>
          </w:p>
        </w:tc>
        <w:tc>
          <w:tcPr>
            <w:tcW w:w="2104" w:type="pct"/>
            <w:gridSpan w:val="2"/>
            <w:vMerge w:val="restart"/>
            <w:tcBorders>
              <w:tl2br w:val="nil"/>
              <w:tr2bl w:val="nil"/>
            </w:tcBorders>
            <w:vAlign w:val="center"/>
          </w:tcPr>
          <w:p w14:paraId="0C1C3AAD">
            <w:pPr>
              <w:pStyle w:val="41"/>
              <w:widowControl w:val="0"/>
              <w:rPr>
                <w:color w:val="auto"/>
                <w:highlight w:val="none"/>
              </w:rPr>
            </w:pPr>
            <w:r>
              <w:rPr>
                <w:rFonts w:hint="eastAsia"/>
                <w:color w:val="auto"/>
                <w:highlight w:val="none"/>
              </w:rPr>
              <w:t>①</w:t>
            </w:r>
            <w:r>
              <w:rPr>
                <w:color w:val="auto"/>
                <w:highlight w:val="none"/>
              </w:rPr>
              <w:t>选矿废水（含尾矿库溢流水）应循环利用，力求实现闭路循环。未循环利用的部分应进行收集，处理达标后排放</w:t>
            </w:r>
          </w:p>
        </w:tc>
        <w:tc>
          <w:tcPr>
            <w:tcW w:w="1513" w:type="pct"/>
            <w:vMerge w:val="restart"/>
            <w:tcBorders>
              <w:tl2br w:val="nil"/>
              <w:tr2bl w:val="nil"/>
            </w:tcBorders>
            <w:vAlign w:val="center"/>
          </w:tcPr>
          <w:p w14:paraId="3203A7C2">
            <w:pPr>
              <w:pStyle w:val="41"/>
              <w:widowControl w:val="0"/>
              <w:rPr>
                <w:color w:val="auto"/>
                <w:highlight w:val="none"/>
              </w:rPr>
            </w:pPr>
            <w:r>
              <w:rPr>
                <w:color w:val="auto"/>
                <w:highlight w:val="none"/>
              </w:rPr>
              <w:t>项目选矿废水</w:t>
            </w:r>
            <w:r>
              <w:rPr>
                <w:rFonts w:hint="eastAsia"/>
                <w:color w:val="auto"/>
                <w:highlight w:val="none"/>
              </w:rPr>
              <w:t>实施“</w:t>
            </w:r>
            <w:r>
              <w:rPr>
                <w:color w:val="auto"/>
                <w:highlight w:val="none"/>
              </w:rPr>
              <w:t>闭路循环</w:t>
            </w:r>
            <w:r>
              <w:rPr>
                <w:rFonts w:hint="eastAsia"/>
                <w:color w:val="auto"/>
                <w:highlight w:val="none"/>
              </w:rPr>
              <w:t>”</w:t>
            </w:r>
            <w:r>
              <w:rPr>
                <w:color w:val="auto"/>
                <w:highlight w:val="none"/>
              </w:rPr>
              <w:t>，回用于生产</w:t>
            </w:r>
          </w:p>
        </w:tc>
        <w:tc>
          <w:tcPr>
            <w:tcW w:w="494" w:type="pct"/>
            <w:vMerge w:val="restart"/>
            <w:tcBorders>
              <w:tl2br w:val="nil"/>
              <w:tr2bl w:val="nil"/>
            </w:tcBorders>
            <w:vAlign w:val="center"/>
          </w:tcPr>
          <w:p w14:paraId="51479E0F">
            <w:pPr>
              <w:pStyle w:val="41"/>
              <w:widowControl w:val="0"/>
              <w:rPr>
                <w:color w:val="auto"/>
                <w:highlight w:val="none"/>
              </w:rPr>
            </w:pPr>
            <w:r>
              <w:rPr>
                <w:color w:val="auto"/>
                <w:highlight w:val="none"/>
              </w:rPr>
              <w:t>符合</w:t>
            </w:r>
          </w:p>
        </w:tc>
      </w:tr>
      <w:tr w14:paraId="218461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433" w:type="pct"/>
            <w:tcBorders>
              <w:tl2br w:val="nil"/>
              <w:tr2bl w:val="nil"/>
            </w:tcBorders>
            <w:vAlign w:val="center"/>
          </w:tcPr>
          <w:p w14:paraId="40F162A2">
            <w:pPr>
              <w:pStyle w:val="41"/>
              <w:widowControl w:val="0"/>
              <w:rPr>
                <w:color w:val="auto"/>
                <w:highlight w:val="none"/>
              </w:rPr>
            </w:pPr>
            <w:r>
              <w:rPr>
                <w:color w:val="auto"/>
                <w:highlight w:val="none"/>
              </w:rPr>
              <w:t>6</w:t>
            </w:r>
          </w:p>
        </w:tc>
        <w:tc>
          <w:tcPr>
            <w:tcW w:w="454" w:type="pct"/>
            <w:vMerge w:val="continue"/>
            <w:tcBorders>
              <w:tl2br w:val="nil"/>
              <w:tr2bl w:val="nil"/>
            </w:tcBorders>
            <w:vAlign w:val="center"/>
          </w:tcPr>
          <w:p w14:paraId="0761AA6F">
            <w:pPr>
              <w:pStyle w:val="41"/>
              <w:widowControl w:val="0"/>
              <w:rPr>
                <w:color w:val="auto"/>
                <w:highlight w:val="none"/>
              </w:rPr>
            </w:pPr>
          </w:p>
        </w:tc>
        <w:tc>
          <w:tcPr>
            <w:tcW w:w="2104" w:type="pct"/>
            <w:gridSpan w:val="2"/>
            <w:tcBorders>
              <w:tl2br w:val="nil"/>
              <w:tr2bl w:val="nil"/>
            </w:tcBorders>
            <w:vAlign w:val="center"/>
          </w:tcPr>
          <w:p w14:paraId="48D42609">
            <w:pPr>
              <w:pStyle w:val="41"/>
              <w:widowControl w:val="0"/>
              <w:rPr>
                <w:color w:val="auto"/>
                <w:highlight w:val="none"/>
              </w:rPr>
            </w:pPr>
            <w:r>
              <w:rPr>
                <w:rFonts w:hint="eastAsia"/>
                <w:color w:val="auto"/>
                <w:highlight w:val="none"/>
              </w:rPr>
              <w:t>②</w:t>
            </w:r>
            <w:r>
              <w:rPr>
                <w:color w:val="auto"/>
                <w:highlight w:val="none"/>
              </w:rPr>
              <w:t>研究推广含氰、含重金属选矿废水的高效处理工艺与技术</w:t>
            </w:r>
          </w:p>
        </w:tc>
        <w:tc>
          <w:tcPr>
            <w:tcW w:w="1513" w:type="pct"/>
            <w:tcBorders>
              <w:tl2br w:val="nil"/>
              <w:tr2bl w:val="nil"/>
            </w:tcBorders>
            <w:vAlign w:val="center"/>
          </w:tcPr>
          <w:p w14:paraId="0DC40C93">
            <w:pPr>
              <w:pStyle w:val="41"/>
              <w:widowControl w:val="0"/>
              <w:rPr>
                <w:color w:val="auto"/>
                <w:highlight w:val="none"/>
              </w:rPr>
            </w:pPr>
            <w:r>
              <w:rPr>
                <w:rFonts w:hint="eastAsia"/>
                <w:color w:val="auto"/>
                <w:highlight w:val="none"/>
              </w:rPr>
              <w:t>本项目选矿废水不含</w:t>
            </w:r>
            <w:r>
              <w:rPr>
                <w:color w:val="auto"/>
                <w:highlight w:val="none"/>
              </w:rPr>
              <w:t>氰</w:t>
            </w:r>
            <w:r>
              <w:rPr>
                <w:rFonts w:hint="eastAsia"/>
                <w:color w:val="auto"/>
                <w:highlight w:val="none"/>
                <w:lang w:eastAsia="zh-CN"/>
              </w:rPr>
              <w:t>、</w:t>
            </w:r>
            <w:r>
              <w:rPr>
                <w:color w:val="auto"/>
                <w:highlight w:val="none"/>
              </w:rPr>
              <w:t>重金属</w:t>
            </w:r>
            <w:r>
              <w:rPr>
                <w:rFonts w:hint="eastAsia"/>
                <w:color w:val="auto"/>
                <w:highlight w:val="none"/>
              </w:rPr>
              <w:t>，并且本项目选矿废水实现闭路循环，全部回用于生产。</w:t>
            </w:r>
          </w:p>
        </w:tc>
        <w:tc>
          <w:tcPr>
            <w:tcW w:w="494" w:type="pct"/>
            <w:tcBorders>
              <w:tl2br w:val="nil"/>
              <w:tr2bl w:val="nil"/>
            </w:tcBorders>
            <w:vAlign w:val="center"/>
          </w:tcPr>
          <w:p w14:paraId="35232D0F">
            <w:pPr>
              <w:pStyle w:val="41"/>
              <w:widowControl w:val="0"/>
              <w:rPr>
                <w:color w:val="auto"/>
                <w:highlight w:val="none"/>
              </w:rPr>
            </w:pPr>
            <w:r>
              <w:rPr>
                <w:color w:val="auto"/>
                <w:highlight w:val="none"/>
              </w:rPr>
              <w:t>符合</w:t>
            </w:r>
          </w:p>
        </w:tc>
      </w:tr>
      <w:tr w14:paraId="4F39AA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3" w:type="pct"/>
            <w:tcBorders>
              <w:tl2br w:val="nil"/>
              <w:tr2bl w:val="nil"/>
            </w:tcBorders>
            <w:vAlign w:val="center"/>
          </w:tcPr>
          <w:p w14:paraId="6E8F102B">
            <w:pPr>
              <w:pStyle w:val="41"/>
              <w:widowControl w:val="0"/>
              <w:rPr>
                <w:color w:val="auto"/>
                <w:highlight w:val="none"/>
              </w:rPr>
            </w:pPr>
            <w:r>
              <w:rPr>
                <w:color w:val="auto"/>
                <w:highlight w:val="none"/>
              </w:rPr>
              <w:t>7</w:t>
            </w:r>
          </w:p>
        </w:tc>
        <w:tc>
          <w:tcPr>
            <w:tcW w:w="454" w:type="pct"/>
            <w:vMerge w:val="continue"/>
            <w:tcBorders>
              <w:tl2br w:val="nil"/>
              <w:tr2bl w:val="nil"/>
            </w:tcBorders>
            <w:vAlign w:val="center"/>
          </w:tcPr>
          <w:p w14:paraId="016C3205">
            <w:pPr>
              <w:pStyle w:val="41"/>
              <w:widowControl w:val="0"/>
              <w:rPr>
                <w:color w:val="auto"/>
                <w:highlight w:val="none"/>
              </w:rPr>
            </w:pPr>
          </w:p>
        </w:tc>
        <w:tc>
          <w:tcPr>
            <w:tcW w:w="2104" w:type="pct"/>
            <w:gridSpan w:val="2"/>
            <w:tcBorders>
              <w:tl2br w:val="nil"/>
              <w:tr2bl w:val="nil"/>
            </w:tcBorders>
            <w:vAlign w:val="center"/>
          </w:tcPr>
          <w:p w14:paraId="2EC7889D">
            <w:pPr>
              <w:pStyle w:val="41"/>
              <w:widowControl w:val="0"/>
              <w:rPr>
                <w:color w:val="auto"/>
                <w:highlight w:val="none"/>
              </w:rPr>
            </w:pPr>
            <w:r>
              <w:rPr>
                <w:rFonts w:hint="eastAsia"/>
                <w:color w:val="auto"/>
                <w:highlight w:val="none"/>
              </w:rPr>
              <w:t>③</w:t>
            </w:r>
            <w:r>
              <w:rPr>
                <w:color w:val="auto"/>
                <w:highlight w:val="none"/>
              </w:rPr>
              <w:t>宜采用尘源密闭、局部抽风、安装除尘装置等措施，防治破碎、筛分等选矿作业中的粉尘污染</w:t>
            </w:r>
          </w:p>
        </w:tc>
        <w:tc>
          <w:tcPr>
            <w:tcW w:w="1513" w:type="pct"/>
            <w:tcBorders>
              <w:tl2br w:val="nil"/>
              <w:tr2bl w:val="nil"/>
            </w:tcBorders>
            <w:vAlign w:val="center"/>
          </w:tcPr>
          <w:p w14:paraId="37D0BB9D">
            <w:pPr>
              <w:pStyle w:val="41"/>
              <w:widowControl w:val="0"/>
              <w:rPr>
                <w:color w:val="auto"/>
                <w:highlight w:val="none"/>
              </w:rPr>
            </w:pPr>
            <w:r>
              <w:rPr>
                <w:rFonts w:hint="eastAsia"/>
                <w:color w:val="auto"/>
                <w:highlight w:val="none"/>
              </w:rPr>
              <w:t>本项目</w:t>
            </w:r>
            <w:r>
              <w:rPr>
                <w:color w:val="auto"/>
                <w:highlight w:val="none"/>
              </w:rPr>
              <w:t>破碎、筛分</w:t>
            </w:r>
            <w:r>
              <w:rPr>
                <w:rFonts w:hint="eastAsia"/>
                <w:color w:val="auto"/>
                <w:highlight w:val="none"/>
              </w:rPr>
              <w:t>均位于车间内，且车间</w:t>
            </w:r>
            <w:r>
              <w:rPr>
                <w:color w:val="auto"/>
                <w:highlight w:val="none"/>
              </w:rPr>
              <w:t>采用</w:t>
            </w:r>
            <w:r>
              <w:rPr>
                <w:rFonts w:hint="eastAsia"/>
                <w:color w:val="auto"/>
                <w:highlight w:val="none"/>
              </w:rPr>
              <w:t>“</w:t>
            </w:r>
            <w:r>
              <w:rPr>
                <w:color w:val="auto"/>
                <w:highlight w:val="none"/>
              </w:rPr>
              <w:t>集气罩+布袋除尘器</w:t>
            </w:r>
            <w:r>
              <w:rPr>
                <w:rFonts w:hint="eastAsia"/>
                <w:color w:val="auto"/>
                <w:highlight w:val="none"/>
              </w:rPr>
              <w:t>”等措施。</w:t>
            </w:r>
          </w:p>
        </w:tc>
        <w:tc>
          <w:tcPr>
            <w:tcW w:w="494" w:type="pct"/>
            <w:tcBorders>
              <w:tl2br w:val="nil"/>
              <w:tr2bl w:val="nil"/>
            </w:tcBorders>
            <w:vAlign w:val="center"/>
          </w:tcPr>
          <w:p w14:paraId="5DBA4D70">
            <w:pPr>
              <w:pStyle w:val="41"/>
              <w:widowControl w:val="0"/>
              <w:rPr>
                <w:color w:val="auto"/>
                <w:highlight w:val="none"/>
              </w:rPr>
            </w:pPr>
            <w:r>
              <w:rPr>
                <w:color w:val="auto"/>
                <w:highlight w:val="none"/>
              </w:rPr>
              <w:t>符合</w:t>
            </w:r>
          </w:p>
        </w:tc>
      </w:tr>
      <w:tr w14:paraId="300A0C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3" w:type="pct"/>
            <w:tcBorders>
              <w:tl2br w:val="nil"/>
              <w:tr2bl w:val="nil"/>
            </w:tcBorders>
            <w:vAlign w:val="center"/>
          </w:tcPr>
          <w:p w14:paraId="7246A23C">
            <w:pPr>
              <w:pStyle w:val="41"/>
              <w:widowControl w:val="0"/>
              <w:rPr>
                <w:color w:val="auto"/>
                <w:highlight w:val="none"/>
              </w:rPr>
            </w:pPr>
            <w:r>
              <w:rPr>
                <w:color w:val="auto"/>
                <w:highlight w:val="none"/>
              </w:rPr>
              <w:t>8</w:t>
            </w:r>
          </w:p>
        </w:tc>
        <w:tc>
          <w:tcPr>
            <w:tcW w:w="454" w:type="pct"/>
            <w:vMerge w:val="restart"/>
            <w:tcBorders>
              <w:tl2br w:val="nil"/>
              <w:tr2bl w:val="nil"/>
            </w:tcBorders>
            <w:vAlign w:val="center"/>
          </w:tcPr>
          <w:p w14:paraId="1ACAD155">
            <w:pPr>
              <w:pStyle w:val="41"/>
              <w:widowControl w:val="0"/>
              <w:rPr>
                <w:color w:val="auto"/>
                <w:highlight w:val="none"/>
              </w:rPr>
            </w:pPr>
            <w:r>
              <w:rPr>
                <w:color w:val="auto"/>
                <w:highlight w:val="none"/>
              </w:rPr>
              <w:t>（3）尾矿的贮存和综合利用</w:t>
            </w:r>
          </w:p>
        </w:tc>
        <w:tc>
          <w:tcPr>
            <w:tcW w:w="655" w:type="pct"/>
            <w:vMerge w:val="restart"/>
            <w:tcBorders>
              <w:tl2br w:val="nil"/>
              <w:tr2bl w:val="nil"/>
            </w:tcBorders>
            <w:vAlign w:val="center"/>
          </w:tcPr>
          <w:p w14:paraId="71CD7554">
            <w:pPr>
              <w:pStyle w:val="41"/>
              <w:widowControl w:val="0"/>
              <w:rPr>
                <w:color w:val="auto"/>
                <w:highlight w:val="none"/>
              </w:rPr>
            </w:pPr>
            <w:r>
              <w:rPr>
                <w:rFonts w:hint="eastAsia"/>
                <w:color w:val="auto"/>
                <w:highlight w:val="none"/>
              </w:rPr>
              <w:t>①</w:t>
            </w:r>
            <w:r>
              <w:rPr>
                <w:color w:val="auto"/>
                <w:highlight w:val="none"/>
              </w:rPr>
              <w:t>应建造专用的尾矿库，并采取措施防止尾矿库的二次环境污染及诱发次生地质灾害</w:t>
            </w:r>
          </w:p>
        </w:tc>
        <w:tc>
          <w:tcPr>
            <w:tcW w:w="1449" w:type="pct"/>
            <w:tcBorders>
              <w:tl2br w:val="nil"/>
              <w:tr2bl w:val="nil"/>
            </w:tcBorders>
            <w:vAlign w:val="center"/>
          </w:tcPr>
          <w:p w14:paraId="721B1458">
            <w:pPr>
              <w:pStyle w:val="41"/>
              <w:widowControl w:val="0"/>
              <w:rPr>
                <w:color w:val="auto"/>
                <w:highlight w:val="none"/>
              </w:rPr>
            </w:pPr>
            <w:r>
              <w:rPr>
                <w:color w:val="auto"/>
                <w:highlight w:val="none"/>
              </w:rPr>
              <w:t>a.采用防渗、集排水措施，防止尾矿库溢流水污染地表水和地下水</w:t>
            </w:r>
          </w:p>
        </w:tc>
        <w:tc>
          <w:tcPr>
            <w:tcW w:w="1513" w:type="pct"/>
            <w:tcBorders>
              <w:tl2br w:val="nil"/>
              <w:tr2bl w:val="nil"/>
            </w:tcBorders>
            <w:vAlign w:val="center"/>
          </w:tcPr>
          <w:p w14:paraId="13E8657D">
            <w:pPr>
              <w:pStyle w:val="41"/>
              <w:widowControl w:val="0"/>
              <w:rPr>
                <w:color w:val="auto"/>
                <w:highlight w:val="none"/>
              </w:rPr>
            </w:pPr>
            <w:r>
              <w:rPr>
                <w:rFonts w:hint="eastAsia"/>
                <w:color w:val="auto"/>
                <w:highlight w:val="none"/>
              </w:rPr>
              <w:t>本项目为干排，尾矿含水率18%，</w:t>
            </w:r>
            <w:r>
              <w:rPr>
                <w:color w:val="auto"/>
                <w:highlight w:val="none"/>
              </w:rPr>
              <w:t>尾矿库库区进行全防渗处理</w:t>
            </w:r>
          </w:p>
        </w:tc>
        <w:tc>
          <w:tcPr>
            <w:tcW w:w="494" w:type="pct"/>
            <w:tcBorders>
              <w:tl2br w:val="nil"/>
              <w:tr2bl w:val="nil"/>
            </w:tcBorders>
            <w:vAlign w:val="center"/>
          </w:tcPr>
          <w:p w14:paraId="558A2714">
            <w:pPr>
              <w:pStyle w:val="41"/>
              <w:widowControl w:val="0"/>
              <w:rPr>
                <w:color w:val="auto"/>
                <w:highlight w:val="none"/>
              </w:rPr>
            </w:pPr>
            <w:r>
              <w:rPr>
                <w:color w:val="auto"/>
                <w:highlight w:val="none"/>
              </w:rPr>
              <w:t>符合</w:t>
            </w:r>
          </w:p>
        </w:tc>
      </w:tr>
      <w:tr w14:paraId="7A9466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3" w:type="pct"/>
            <w:tcBorders>
              <w:tl2br w:val="nil"/>
              <w:tr2bl w:val="nil"/>
            </w:tcBorders>
            <w:vAlign w:val="center"/>
          </w:tcPr>
          <w:p w14:paraId="0C96E29D">
            <w:pPr>
              <w:pStyle w:val="41"/>
              <w:widowControl w:val="0"/>
              <w:rPr>
                <w:color w:val="auto"/>
                <w:highlight w:val="none"/>
              </w:rPr>
            </w:pPr>
            <w:r>
              <w:rPr>
                <w:color w:val="auto"/>
                <w:highlight w:val="none"/>
              </w:rPr>
              <w:t>9</w:t>
            </w:r>
          </w:p>
        </w:tc>
        <w:tc>
          <w:tcPr>
            <w:tcW w:w="454" w:type="pct"/>
            <w:vMerge w:val="continue"/>
            <w:tcBorders>
              <w:tl2br w:val="nil"/>
              <w:tr2bl w:val="nil"/>
            </w:tcBorders>
            <w:vAlign w:val="center"/>
          </w:tcPr>
          <w:p w14:paraId="13804681">
            <w:pPr>
              <w:pStyle w:val="41"/>
              <w:widowControl w:val="0"/>
              <w:rPr>
                <w:color w:val="auto"/>
                <w:highlight w:val="none"/>
              </w:rPr>
            </w:pPr>
          </w:p>
        </w:tc>
        <w:tc>
          <w:tcPr>
            <w:tcW w:w="655" w:type="pct"/>
            <w:vMerge w:val="continue"/>
            <w:tcBorders>
              <w:tl2br w:val="nil"/>
              <w:tr2bl w:val="nil"/>
            </w:tcBorders>
            <w:vAlign w:val="center"/>
          </w:tcPr>
          <w:p w14:paraId="3B1D6F72">
            <w:pPr>
              <w:pStyle w:val="41"/>
              <w:widowControl w:val="0"/>
              <w:rPr>
                <w:color w:val="auto"/>
                <w:highlight w:val="none"/>
              </w:rPr>
            </w:pPr>
          </w:p>
        </w:tc>
        <w:tc>
          <w:tcPr>
            <w:tcW w:w="1449" w:type="pct"/>
            <w:tcBorders>
              <w:tl2br w:val="nil"/>
              <w:tr2bl w:val="nil"/>
            </w:tcBorders>
            <w:vAlign w:val="center"/>
          </w:tcPr>
          <w:p w14:paraId="7349452C">
            <w:pPr>
              <w:pStyle w:val="41"/>
              <w:widowControl w:val="0"/>
              <w:rPr>
                <w:color w:val="auto"/>
                <w:highlight w:val="none"/>
              </w:rPr>
            </w:pPr>
            <w:r>
              <w:rPr>
                <w:color w:val="auto"/>
                <w:highlight w:val="none"/>
              </w:rPr>
              <w:t>b.尾矿库坝面、坝坡应采取种植植物和覆盖等措施，防止扬尘、滑坡和水土流失</w:t>
            </w:r>
          </w:p>
        </w:tc>
        <w:tc>
          <w:tcPr>
            <w:tcW w:w="1513" w:type="pct"/>
            <w:tcBorders>
              <w:tl2br w:val="nil"/>
              <w:tr2bl w:val="nil"/>
            </w:tcBorders>
            <w:vAlign w:val="center"/>
          </w:tcPr>
          <w:p w14:paraId="5CEFA43D">
            <w:pPr>
              <w:pStyle w:val="41"/>
              <w:widowControl w:val="0"/>
              <w:rPr>
                <w:color w:val="auto"/>
                <w:highlight w:val="none"/>
              </w:rPr>
            </w:pPr>
            <w:r>
              <w:rPr>
                <w:color w:val="auto"/>
                <w:highlight w:val="none"/>
              </w:rPr>
              <w:t>尾矿库除主体工程设置的拦洪排洪设施外，服务年限后对尾矿库进行土壤整治，覆土植被，恢复生态。对尾矿库回水利用，加强对尾矿库溢洪道、拦水坝溢洪道、排洪渠的疏导工作。并对设施的运行进行全方位监管，</w:t>
            </w:r>
            <w:r>
              <w:rPr>
                <w:rFonts w:hint="eastAsia"/>
                <w:color w:val="auto"/>
                <w:highlight w:val="none"/>
              </w:rPr>
              <w:t>加强</w:t>
            </w:r>
            <w:r>
              <w:rPr>
                <w:color w:val="auto"/>
                <w:highlight w:val="none"/>
              </w:rPr>
              <w:t>安全维护，严防事故造成危害</w:t>
            </w:r>
          </w:p>
        </w:tc>
        <w:tc>
          <w:tcPr>
            <w:tcW w:w="494" w:type="pct"/>
            <w:tcBorders>
              <w:tl2br w:val="nil"/>
              <w:tr2bl w:val="nil"/>
            </w:tcBorders>
            <w:vAlign w:val="center"/>
          </w:tcPr>
          <w:p w14:paraId="707CB0B8">
            <w:pPr>
              <w:pStyle w:val="41"/>
              <w:widowControl w:val="0"/>
              <w:rPr>
                <w:color w:val="auto"/>
                <w:highlight w:val="none"/>
              </w:rPr>
            </w:pPr>
            <w:r>
              <w:rPr>
                <w:color w:val="auto"/>
                <w:highlight w:val="none"/>
              </w:rPr>
              <w:t>符合</w:t>
            </w:r>
          </w:p>
        </w:tc>
      </w:tr>
      <w:tr w14:paraId="4B9FEC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3" w:type="pct"/>
            <w:tcBorders>
              <w:tl2br w:val="nil"/>
              <w:tr2bl w:val="nil"/>
            </w:tcBorders>
            <w:vAlign w:val="center"/>
          </w:tcPr>
          <w:p w14:paraId="2A32C60C">
            <w:pPr>
              <w:pStyle w:val="41"/>
              <w:widowControl w:val="0"/>
              <w:rPr>
                <w:color w:val="auto"/>
                <w:highlight w:val="none"/>
              </w:rPr>
            </w:pPr>
            <w:r>
              <w:rPr>
                <w:color w:val="auto"/>
                <w:highlight w:val="none"/>
              </w:rPr>
              <w:t>10</w:t>
            </w:r>
          </w:p>
        </w:tc>
        <w:tc>
          <w:tcPr>
            <w:tcW w:w="454" w:type="pct"/>
            <w:vMerge w:val="continue"/>
            <w:tcBorders>
              <w:tl2br w:val="nil"/>
              <w:tr2bl w:val="nil"/>
            </w:tcBorders>
            <w:vAlign w:val="center"/>
          </w:tcPr>
          <w:p w14:paraId="78E488CE">
            <w:pPr>
              <w:pStyle w:val="41"/>
              <w:widowControl w:val="0"/>
              <w:rPr>
                <w:color w:val="auto"/>
                <w:highlight w:val="none"/>
              </w:rPr>
            </w:pPr>
          </w:p>
        </w:tc>
        <w:tc>
          <w:tcPr>
            <w:tcW w:w="655" w:type="pct"/>
            <w:vMerge w:val="restart"/>
            <w:tcBorders>
              <w:tl2br w:val="nil"/>
              <w:tr2bl w:val="nil"/>
            </w:tcBorders>
            <w:vAlign w:val="center"/>
          </w:tcPr>
          <w:p w14:paraId="72614DDB">
            <w:pPr>
              <w:pStyle w:val="41"/>
              <w:widowControl w:val="0"/>
              <w:rPr>
                <w:color w:val="auto"/>
                <w:highlight w:val="none"/>
              </w:rPr>
            </w:pPr>
            <w:r>
              <w:rPr>
                <w:rFonts w:hint="eastAsia"/>
                <w:color w:val="auto"/>
                <w:highlight w:val="none"/>
              </w:rPr>
              <w:t>②</w:t>
            </w:r>
            <w:r>
              <w:rPr>
                <w:color w:val="auto"/>
                <w:highlight w:val="none"/>
              </w:rPr>
              <w:t>推广选矿固体废物的综合利用技术</w:t>
            </w:r>
          </w:p>
        </w:tc>
        <w:tc>
          <w:tcPr>
            <w:tcW w:w="1449" w:type="pct"/>
            <w:tcBorders>
              <w:tl2br w:val="nil"/>
              <w:tr2bl w:val="nil"/>
            </w:tcBorders>
            <w:vAlign w:val="center"/>
          </w:tcPr>
          <w:p w14:paraId="19F4B0B0">
            <w:pPr>
              <w:pStyle w:val="41"/>
              <w:widowControl w:val="0"/>
              <w:rPr>
                <w:color w:val="auto"/>
                <w:highlight w:val="none"/>
              </w:rPr>
            </w:pPr>
            <w:r>
              <w:rPr>
                <w:color w:val="auto"/>
                <w:highlight w:val="none"/>
              </w:rPr>
              <w:t>a.尾矿再选和共伴生矿物及有价元素的回收技术</w:t>
            </w:r>
          </w:p>
        </w:tc>
        <w:tc>
          <w:tcPr>
            <w:tcW w:w="1513" w:type="pct"/>
            <w:tcBorders>
              <w:tl2br w:val="nil"/>
              <w:tr2bl w:val="nil"/>
            </w:tcBorders>
            <w:vAlign w:val="center"/>
          </w:tcPr>
          <w:p w14:paraId="5B2B1997">
            <w:pPr>
              <w:pStyle w:val="41"/>
              <w:widowControl w:val="0"/>
              <w:rPr>
                <w:color w:val="auto"/>
                <w:highlight w:val="none"/>
              </w:rPr>
            </w:pPr>
            <w:r>
              <w:rPr>
                <w:color w:val="auto"/>
                <w:highlight w:val="none"/>
              </w:rPr>
              <w:t>/</w:t>
            </w:r>
          </w:p>
        </w:tc>
        <w:tc>
          <w:tcPr>
            <w:tcW w:w="494" w:type="pct"/>
            <w:tcBorders>
              <w:tl2br w:val="nil"/>
              <w:tr2bl w:val="nil"/>
            </w:tcBorders>
            <w:vAlign w:val="center"/>
          </w:tcPr>
          <w:p w14:paraId="1F81A4E7">
            <w:pPr>
              <w:pStyle w:val="41"/>
              <w:widowControl w:val="0"/>
              <w:rPr>
                <w:color w:val="auto"/>
                <w:highlight w:val="none"/>
              </w:rPr>
            </w:pPr>
            <w:r>
              <w:rPr>
                <w:color w:val="auto"/>
                <w:highlight w:val="none"/>
              </w:rPr>
              <w:t>/</w:t>
            </w:r>
          </w:p>
        </w:tc>
      </w:tr>
      <w:tr w14:paraId="01585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3" w:type="pct"/>
            <w:tcBorders>
              <w:tl2br w:val="nil"/>
              <w:tr2bl w:val="nil"/>
            </w:tcBorders>
            <w:vAlign w:val="center"/>
          </w:tcPr>
          <w:p w14:paraId="5149D8B0">
            <w:pPr>
              <w:pStyle w:val="41"/>
              <w:widowControl w:val="0"/>
              <w:rPr>
                <w:color w:val="auto"/>
                <w:highlight w:val="none"/>
              </w:rPr>
            </w:pPr>
            <w:r>
              <w:rPr>
                <w:color w:val="auto"/>
                <w:highlight w:val="none"/>
              </w:rPr>
              <w:t>11</w:t>
            </w:r>
          </w:p>
        </w:tc>
        <w:tc>
          <w:tcPr>
            <w:tcW w:w="454" w:type="pct"/>
            <w:vMerge w:val="continue"/>
            <w:tcBorders>
              <w:tl2br w:val="nil"/>
              <w:tr2bl w:val="nil"/>
            </w:tcBorders>
            <w:vAlign w:val="center"/>
          </w:tcPr>
          <w:p w14:paraId="190AC376">
            <w:pPr>
              <w:pStyle w:val="41"/>
              <w:widowControl w:val="0"/>
              <w:rPr>
                <w:color w:val="auto"/>
                <w:highlight w:val="none"/>
              </w:rPr>
            </w:pPr>
          </w:p>
        </w:tc>
        <w:tc>
          <w:tcPr>
            <w:tcW w:w="655" w:type="pct"/>
            <w:vMerge w:val="continue"/>
            <w:tcBorders>
              <w:tl2br w:val="nil"/>
              <w:tr2bl w:val="nil"/>
            </w:tcBorders>
            <w:vAlign w:val="center"/>
          </w:tcPr>
          <w:p w14:paraId="4CF95272">
            <w:pPr>
              <w:pStyle w:val="41"/>
              <w:widowControl w:val="0"/>
              <w:rPr>
                <w:color w:val="auto"/>
                <w:highlight w:val="none"/>
              </w:rPr>
            </w:pPr>
          </w:p>
        </w:tc>
        <w:tc>
          <w:tcPr>
            <w:tcW w:w="1449" w:type="pct"/>
            <w:tcBorders>
              <w:tl2br w:val="nil"/>
              <w:tr2bl w:val="nil"/>
            </w:tcBorders>
            <w:vAlign w:val="center"/>
          </w:tcPr>
          <w:p w14:paraId="13DCAB52">
            <w:pPr>
              <w:pStyle w:val="41"/>
              <w:widowControl w:val="0"/>
              <w:rPr>
                <w:color w:val="auto"/>
                <w:highlight w:val="none"/>
              </w:rPr>
            </w:pPr>
            <w:r>
              <w:rPr>
                <w:color w:val="auto"/>
                <w:highlight w:val="none"/>
              </w:rPr>
              <w:t>b.利用尾矿加工生产建筑材料及制品技术，如作水泥添加剂、尾矿制砖等</w:t>
            </w:r>
          </w:p>
        </w:tc>
        <w:tc>
          <w:tcPr>
            <w:tcW w:w="1513" w:type="pct"/>
            <w:tcBorders>
              <w:tl2br w:val="nil"/>
              <w:tr2bl w:val="nil"/>
            </w:tcBorders>
            <w:vAlign w:val="center"/>
          </w:tcPr>
          <w:p w14:paraId="13A51C58">
            <w:pPr>
              <w:pStyle w:val="41"/>
              <w:widowControl w:val="0"/>
              <w:rPr>
                <w:color w:val="auto"/>
                <w:highlight w:val="none"/>
              </w:rPr>
            </w:pPr>
            <w:r>
              <w:rPr>
                <w:color w:val="auto"/>
                <w:highlight w:val="none"/>
              </w:rPr>
              <w:t>项目后期采用部分尾矿进行筑坝</w:t>
            </w:r>
          </w:p>
        </w:tc>
        <w:tc>
          <w:tcPr>
            <w:tcW w:w="494" w:type="pct"/>
            <w:tcBorders>
              <w:tl2br w:val="nil"/>
              <w:tr2bl w:val="nil"/>
            </w:tcBorders>
            <w:vAlign w:val="center"/>
          </w:tcPr>
          <w:p w14:paraId="403D0E3F">
            <w:pPr>
              <w:pStyle w:val="41"/>
              <w:widowControl w:val="0"/>
              <w:rPr>
                <w:color w:val="auto"/>
                <w:highlight w:val="none"/>
              </w:rPr>
            </w:pPr>
            <w:r>
              <w:rPr>
                <w:color w:val="auto"/>
                <w:highlight w:val="none"/>
              </w:rPr>
              <w:t>符合</w:t>
            </w:r>
          </w:p>
        </w:tc>
      </w:tr>
      <w:tr w14:paraId="766E05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3" w:type="pct"/>
            <w:tcBorders>
              <w:tl2br w:val="nil"/>
              <w:tr2bl w:val="nil"/>
            </w:tcBorders>
            <w:vAlign w:val="center"/>
          </w:tcPr>
          <w:p w14:paraId="35D43922">
            <w:pPr>
              <w:pStyle w:val="41"/>
              <w:widowControl w:val="0"/>
              <w:rPr>
                <w:color w:val="auto"/>
                <w:highlight w:val="none"/>
              </w:rPr>
            </w:pPr>
            <w:r>
              <w:rPr>
                <w:color w:val="auto"/>
                <w:highlight w:val="none"/>
              </w:rPr>
              <w:t>12</w:t>
            </w:r>
          </w:p>
        </w:tc>
        <w:tc>
          <w:tcPr>
            <w:tcW w:w="454" w:type="pct"/>
            <w:vMerge w:val="continue"/>
            <w:tcBorders>
              <w:tl2br w:val="nil"/>
              <w:tr2bl w:val="nil"/>
            </w:tcBorders>
            <w:vAlign w:val="center"/>
          </w:tcPr>
          <w:p w14:paraId="29A09596">
            <w:pPr>
              <w:pStyle w:val="41"/>
              <w:widowControl w:val="0"/>
              <w:rPr>
                <w:color w:val="auto"/>
                <w:highlight w:val="none"/>
              </w:rPr>
            </w:pPr>
          </w:p>
        </w:tc>
        <w:tc>
          <w:tcPr>
            <w:tcW w:w="655" w:type="pct"/>
            <w:vMerge w:val="continue"/>
            <w:tcBorders>
              <w:tl2br w:val="nil"/>
              <w:tr2bl w:val="nil"/>
            </w:tcBorders>
            <w:vAlign w:val="center"/>
          </w:tcPr>
          <w:p w14:paraId="10975E55">
            <w:pPr>
              <w:pStyle w:val="41"/>
              <w:widowControl w:val="0"/>
              <w:rPr>
                <w:color w:val="auto"/>
                <w:highlight w:val="none"/>
              </w:rPr>
            </w:pPr>
          </w:p>
        </w:tc>
        <w:tc>
          <w:tcPr>
            <w:tcW w:w="1449" w:type="pct"/>
            <w:tcBorders>
              <w:tl2br w:val="nil"/>
              <w:tr2bl w:val="nil"/>
            </w:tcBorders>
            <w:vAlign w:val="center"/>
          </w:tcPr>
          <w:p w14:paraId="1A0A9742">
            <w:pPr>
              <w:pStyle w:val="41"/>
              <w:widowControl w:val="0"/>
              <w:rPr>
                <w:color w:val="auto"/>
                <w:highlight w:val="none"/>
              </w:rPr>
            </w:pPr>
            <w:r>
              <w:rPr>
                <w:color w:val="auto"/>
                <w:highlight w:val="none"/>
              </w:rPr>
              <w:t>c.推广利用尾矿、废石作充填料，充填采空区或塌陷地的工艺技术</w:t>
            </w:r>
          </w:p>
        </w:tc>
        <w:tc>
          <w:tcPr>
            <w:tcW w:w="1513" w:type="pct"/>
            <w:tcBorders>
              <w:tl2br w:val="nil"/>
              <w:tr2bl w:val="nil"/>
            </w:tcBorders>
            <w:vAlign w:val="center"/>
          </w:tcPr>
          <w:p w14:paraId="2359712E">
            <w:pPr>
              <w:pStyle w:val="41"/>
              <w:widowControl w:val="0"/>
              <w:rPr>
                <w:color w:val="auto"/>
                <w:highlight w:val="none"/>
              </w:rPr>
            </w:pPr>
            <w:r>
              <w:rPr>
                <w:color w:val="auto"/>
                <w:highlight w:val="none"/>
              </w:rPr>
              <w:t>项目后期采用部分尾矿进行筑坝</w:t>
            </w:r>
            <w:r>
              <w:rPr>
                <w:rFonts w:hint="eastAsia"/>
                <w:color w:val="auto"/>
                <w:highlight w:val="none"/>
              </w:rPr>
              <w:t>。</w:t>
            </w:r>
          </w:p>
        </w:tc>
        <w:tc>
          <w:tcPr>
            <w:tcW w:w="494" w:type="pct"/>
            <w:tcBorders>
              <w:tl2br w:val="nil"/>
              <w:tr2bl w:val="nil"/>
            </w:tcBorders>
            <w:vAlign w:val="center"/>
          </w:tcPr>
          <w:p w14:paraId="3957C003">
            <w:pPr>
              <w:pStyle w:val="41"/>
              <w:widowControl w:val="0"/>
              <w:rPr>
                <w:color w:val="auto"/>
                <w:highlight w:val="none"/>
              </w:rPr>
            </w:pPr>
            <w:r>
              <w:rPr>
                <w:color w:val="auto"/>
                <w:highlight w:val="none"/>
              </w:rPr>
              <w:t>符合</w:t>
            </w:r>
          </w:p>
        </w:tc>
      </w:tr>
      <w:tr w14:paraId="137CAD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3" w:type="pct"/>
            <w:tcBorders>
              <w:tl2br w:val="nil"/>
              <w:tr2bl w:val="nil"/>
            </w:tcBorders>
            <w:vAlign w:val="center"/>
          </w:tcPr>
          <w:p w14:paraId="75E1C46A">
            <w:pPr>
              <w:pStyle w:val="41"/>
              <w:widowControl w:val="0"/>
              <w:rPr>
                <w:color w:val="auto"/>
                <w:highlight w:val="none"/>
              </w:rPr>
            </w:pPr>
            <w:r>
              <w:rPr>
                <w:color w:val="auto"/>
                <w:highlight w:val="none"/>
              </w:rPr>
              <w:t>13</w:t>
            </w:r>
          </w:p>
        </w:tc>
        <w:tc>
          <w:tcPr>
            <w:tcW w:w="454" w:type="pct"/>
            <w:vMerge w:val="continue"/>
            <w:tcBorders>
              <w:tl2br w:val="nil"/>
              <w:tr2bl w:val="nil"/>
            </w:tcBorders>
            <w:vAlign w:val="center"/>
          </w:tcPr>
          <w:p w14:paraId="71391E33">
            <w:pPr>
              <w:pStyle w:val="41"/>
              <w:widowControl w:val="0"/>
              <w:rPr>
                <w:color w:val="auto"/>
                <w:highlight w:val="none"/>
              </w:rPr>
            </w:pPr>
          </w:p>
        </w:tc>
        <w:tc>
          <w:tcPr>
            <w:tcW w:w="655" w:type="pct"/>
            <w:vMerge w:val="continue"/>
            <w:tcBorders>
              <w:tl2br w:val="nil"/>
              <w:tr2bl w:val="nil"/>
            </w:tcBorders>
            <w:vAlign w:val="center"/>
          </w:tcPr>
          <w:p w14:paraId="374888EF">
            <w:pPr>
              <w:pStyle w:val="41"/>
              <w:widowControl w:val="0"/>
              <w:rPr>
                <w:color w:val="auto"/>
                <w:highlight w:val="none"/>
              </w:rPr>
            </w:pPr>
          </w:p>
        </w:tc>
        <w:tc>
          <w:tcPr>
            <w:tcW w:w="1449" w:type="pct"/>
            <w:tcBorders>
              <w:tl2br w:val="nil"/>
              <w:tr2bl w:val="nil"/>
            </w:tcBorders>
            <w:vAlign w:val="center"/>
          </w:tcPr>
          <w:p w14:paraId="74B9FCC8">
            <w:pPr>
              <w:pStyle w:val="41"/>
              <w:widowControl w:val="0"/>
              <w:rPr>
                <w:color w:val="auto"/>
                <w:highlight w:val="none"/>
              </w:rPr>
            </w:pPr>
            <w:r>
              <w:rPr>
                <w:color w:val="auto"/>
                <w:highlight w:val="none"/>
              </w:rPr>
              <w:t>d.利用选煤煤泥开发生物有机肥料技术</w:t>
            </w:r>
          </w:p>
        </w:tc>
        <w:tc>
          <w:tcPr>
            <w:tcW w:w="1513" w:type="pct"/>
            <w:tcBorders>
              <w:tl2br w:val="nil"/>
              <w:tr2bl w:val="nil"/>
            </w:tcBorders>
            <w:vAlign w:val="center"/>
          </w:tcPr>
          <w:p w14:paraId="1E237B32">
            <w:pPr>
              <w:pStyle w:val="41"/>
              <w:widowControl w:val="0"/>
              <w:rPr>
                <w:color w:val="auto"/>
                <w:highlight w:val="none"/>
              </w:rPr>
            </w:pPr>
            <w:r>
              <w:rPr>
                <w:color w:val="auto"/>
                <w:highlight w:val="none"/>
              </w:rPr>
              <w:t>/</w:t>
            </w:r>
          </w:p>
        </w:tc>
        <w:tc>
          <w:tcPr>
            <w:tcW w:w="494" w:type="pct"/>
            <w:tcBorders>
              <w:tl2br w:val="nil"/>
              <w:tr2bl w:val="nil"/>
            </w:tcBorders>
            <w:vAlign w:val="center"/>
          </w:tcPr>
          <w:p w14:paraId="5239EE6D">
            <w:pPr>
              <w:pStyle w:val="41"/>
              <w:widowControl w:val="0"/>
              <w:rPr>
                <w:color w:val="auto"/>
                <w:highlight w:val="none"/>
              </w:rPr>
            </w:pPr>
            <w:r>
              <w:rPr>
                <w:color w:val="auto"/>
                <w:highlight w:val="none"/>
              </w:rPr>
              <w:t>/</w:t>
            </w:r>
          </w:p>
        </w:tc>
      </w:tr>
    </w:tbl>
    <w:p w14:paraId="31171D86">
      <w:pPr>
        <w:pStyle w:val="42"/>
        <w:rPr>
          <w:rFonts w:hint="default"/>
          <w:color w:val="auto"/>
          <w:highlight w:val="none"/>
        </w:rPr>
      </w:pPr>
      <w:r>
        <w:rPr>
          <w:rFonts w:hint="default"/>
          <w:color w:val="auto"/>
          <w:highlight w:val="none"/>
        </w:rPr>
        <w:t>与《矿山生态环境保护与恢复治理技术规范（试行）》（HJ 651-2013）符合性分析</w:t>
      </w:r>
    </w:p>
    <w:p w14:paraId="5ED4641C">
      <w:pPr>
        <w:pStyle w:val="3"/>
        <w:ind w:firstLine="480"/>
        <w:rPr>
          <w:color w:val="auto"/>
          <w:highlight w:val="none"/>
        </w:rPr>
      </w:pPr>
      <w:r>
        <w:rPr>
          <w:color w:val="auto"/>
          <w:highlight w:val="none"/>
        </w:rPr>
        <w:t>本项目与矿山生态环境保护与污染防治技术政策符合性分析详见表1.3-2。</w:t>
      </w:r>
    </w:p>
    <w:p w14:paraId="15117C7D">
      <w:pPr>
        <w:pStyle w:val="40"/>
        <w:rPr>
          <w:color w:val="auto"/>
          <w:highlight w:val="none"/>
        </w:rPr>
      </w:pPr>
      <w:r>
        <w:rPr>
          <w:color w:val="auto"/>
          <w:highlight w:val="none"/>
        </w:rPr>
        <w:t>表1.3-2     项目与矿山生态环境保护与恢复治理技术规范符合性</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097"/>
        <w:gridCol w:w="3450"/>
        <w:gridCol w:w="969"/>
      </w:tblGrid>
      <w:tr w14:paraId="71C496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97" w:type="dxa"/>
            <w:tcBorders>
              <w:tl2br w:val="nil"/>
              <w:tr2bl w:val="nil"/>
            </w:tcBorders>
            <w:vAlign w:val="center"/>
          </w:tcPr>
          <w:p w14:paraId="5AE1739E">
            <w:pPr>
              <w:pStyle w:val="41"/>
              <w:rPr>
                <w:color w:val="auto"/>
                <w:highlight w:val="none"/>
              </w:rPr>
            </w:pPr>
            <w:r>
              <w:rPr>
                <w:color w:val="auto"/>
                <w:highlight w:val="none"/>
              </w:rPr>
              <w:t>政策要求</w:t>
            </w:r>
          </w:p>
        </w:tc>
        <w:tc>
          <w:tcPr>
            <w:tcW w:w="3450" w:type="dxa"/>
            <w:tcBorders>
              <w:tl2br w:val="nil"/>
              <w:tr2bl w:val="nil"/>
            </w:tcBorders>
            <w:vAlign w:val="center"/>
          </w:tcPr>
          <w:p w14:paraId="161D54AF">
            <w:pPr>
              <w:pStyle w:val="41"/>
              <w:rPr>
                <w:color w:val="auto"/>
                <w:highlight w:val="none"/>
              </w:rPr>
            </w:pPr>
            <w:r>
              <w:rPr>
                <w:color w:val="auto"/>
                <w:highlight w:val="none"/>
              </w:rPr>
              <w:t>本项目建设情况</w:t>
            </w:r>
          </w:p>
        </w:tc>
        <w:tc>
          <w:tcPr>
            <w:tcW w:w="969" w:type="dxa"/>
            <w:tcBorders>
              <w:tl2br w:val="nil"/>
              <w:tr2bl w:val="nil"/>
            </w:tcBorders>
            <w:vAlign w:val="center"/>
          </w:tcPr>
          <w:p w14:paraId="7E4680B5">
            <w:pPr>
              <w:pStyle w:val="41"/>
              <w:rPr>
                <w:color w:val="auto"/>
                <w:highlight w:val="none"/>
              </w:rPr>
            </w:pPr>
            <w:r>
              <w:rPr>
                <w:color w:val="auto"/>
                <w:highlight w:val="none"/>
              </w:rPr>
              <w:t>符合性</w:t>
            </w:r>
          </w:p>
        </w:tc>
      </w:tr>
      <w:tr w14:paraId="307D83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97" w:type="dxa"/>
            <w:tcBorders>
              <w:tl2br w:val="nil"/>
              <w:tr2bl w:val="nil"/>
            </w:tcBorders>
            <w:vAlign w:val="center"/>
          </w:tcPr>
          <w:p w14:paraId="1DC95C4F">
            <w:pPr>
              <w:pStyle w:val="41"/>
              <w:rPr>
                <w:color w:val="auto"/>
                <w:highlight w:val="none"/>
              </w:rPr>
            </w:pPr>
            <w:r>
              <w:rPr>
                <w:color w:val="auto"/>
                <w:highlight w:val="none"/>
              </w:rPr>
              <w:t>矿区专用道路用地应严格控制占地面积和范围。开挖路基及取弃土工程，均应根据道路施工进度有计划地进行表土剥离并保存，必要时应设置截排水沟、挡土墙等相应保护措施。矿区专用道路取弃土工程结束后，取弃土场应及时回填、整平、压实，并利用堆存的表土进行植被和景观恢复。矿区专用道路使用期间，有条件的地区应对道路两侧进行绿化。道路绿化应以乡土树（草）种为主，选择适应性强、防尘效果好、护坡功能强的</w:t>
            </w:r>
            <w:r>
              <w:rPr>
                <w:rFonts w:hint="eastAsia"/>
                <w:color w:val="auto"/>
                <w:highlight w:val="none"/>
              </w:rPr>
              <w:t>植物</w:t>
            </w:r>
            <w:r>
              <w:rPr>
                <w:color w:val="auto"/>
                <w:highlight w:val="none"/>
              </w:rPr>
              <w:t>。道路建设施工结束后，临时占地应及时恢复，与原有地貌和景观协调</w:t>
            </w:r>
            <w:r>
              <w:rPr>
                <w:rFonts w:hint="eastAsia"/>
                <w:color w:val="auto"/>
                <w:highlight w:val="none"/>
              </w:rPr>
              <w:t>。</w:t>
            </w:r>
          </w:p>
        </w:tc>
        <w:tc>
          <w:tcPr>
            <w:tcW w:w="3450" w:type="dxa"/>
            <w:tcBorders>
              <w:tl2br w:val="nil"/>
              <w:tr2bl w:val="nil"/>
            </w:tcBorders>
            <w:vAlign w:val="center"/>
          </w:tcPr>
          <w:p w14:paraId="50E6F32D">
            <w:pPr>
              <w:pStyle w:val="41"/>
              <w:rPr>
                <w:color w:val="auto"/>
                <w:highlight w:val="none"/>
              </w:rPr>
            </w:pPr>
            <w:r>
              <w:rPr>
                <w:color w:val="auto"/>
                <w:highlight w:val="none"/>
              </w:rPr>
              <w:t>本项目选厂道路严格控制施工范围，道路采取水稳层硬化措施，减少土壤扰动以防止水土流失。对施工临时堆放的土方，应采取防护措施，如加盖保护网、喷淋保湿等，防止扬尘污染。加强水土保护法制宣传，有关部门应积极主动加强水土保持执法管理，将其纳入依法办理的</w:t>
            </w:r>
            <w:r>
              <w:rPr>
                <w:rFonts w:hint="eastAsia"/>
                <w:color w:val="auto"/>
                <w:highlight w:val="none"/>
                <w:lang w:eastAsia="zh-CN"/>
              </w:rPr>
              <w:t>轨道</w:t>
            </w:r>
            <w:r>
              <w:rPr>
                <w:color w:val="auto"/>
                <w:highlight w:val="none"/>
              </w:rPr>
              <w:t>，对道路施工人员进行培训和教育，自觉保持水土保护植被，宣传保护生态环境的重要性</w:t>
            </w:r>
            <w:r>
              <w:rPr>
                <w:rFonts w:hint="eastAsia"/>
                <w:color w:val="auto"/>
                <w:highlight w:val="none"/>
              </w:rPr>
              <w:t>。</w:t>
            </w:r>
          </w:p>
        </w:tc>
        <w:tc>
          <w:tcPr>
            <w:tcW w:w="969" w:type="dxa"/>
            <w:tcBorders>
              <w:tl2br w:val="nil"/>
              <w:tr2bl w:val="nil"/>
            </w:tcBorders>
            <w:vAlign w:val="center"/>
          </w:tcPr>
          <w:p w14:paraId="470BF331">
            <w:pPr>
              <w:pStyle w:val="41"/>
              <w:rPr>
                <w:color w:val="auto"/>
                <w:highlight w:val="none"/>
              </w:rPr>
            </w:pPr>
            <w:r>
              <w:rPr>
                <w:color w:val="auto"/>
                <w:highlight w:val="none"/>
              </w:rPr>
              <w:t>符合</w:t>
            </w:r>
          </w:p>
        </w:tc>
      </w:tr>
      <w:tr w14:paraId="40889C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97" w:type="dxa"/>
            <w:tcBorders>
              <w:tl2br w:val="nil"/>
              <w:tr2bl w:val="nil"/>
            </w:tcBorders>
            <w:vAlign w:val="center"/>
          </w:tcPr>
          <w:p w14:paraId="5A2DAA5E">
            <w:pPr>
              <w:pStyle w:val="41"/>
              <w:rPr>
                <w:color w:val="auto"/>
                <w:highlight w:val="none"/>
              </w:rPr>
            </w:pPr>
            <w:r>
              <w:rPr>
                <w:color w:val="auto"/>
                <w:highlight w:val="none"/>
              </w:rPr>
              <w:t>选矿作业中所用设备应配备粉尘收集或降尘设施</w:t>
            </w:r>
          </w:p>
        </w:tc>
        <w:tc>
          <w:tcPr>
            <w:tcW w:w="3450" w:type="dxa"/>
            <w:tcBorders>
              <w:tl2br w:val="nil"/>
              <w:tr2bl w:val="nil"/>
            </w:tcBorders>
            <w:vAlign w:val="center"/>
          </w:tcPr>
          <w:p w14:paraId="24EDBDAE">
            <w:pPr>
              <w:pStyle w:val="41"/>
              <w:rPr>
                <w:color w:val="auto"/>
                <w:highlight w:val="none"/>
              </w:rPr>
            </w:pPr>
            <w:r>
              <w:rPr>
                <w:color w:val="auto"/>
                <w:highlight w:val="none"/>
              </w:rPr>
              <w:t>生产工艺废气采用</w:t>
            </w:r>
            <w:r>
              <w:rPr>
                <w:rFonts w:hint="eastAsia"/>
                <w:color w:val="auto"/>
                <w:highlight w:val="none"/>
              </w:rPr>
              <w:t>“</w:t>
            </w:r>
            <w:r>
              <w:rPr>
                <w:color w:val="auto"/>
                <w:highlight w:val="none"/>
              </w:rPr>
              <w:t>集气罩+布袋除尘器</w:t>
            </w:r>
            <w:r>
              <w:rPr>
                <w:rFonts w:hint="eastAsia"/>
                <w:color w:val="auto"/>
                <w:highlight w:val="none"/>
              </w:rPr>
              <w:t>”</w:t>
            </w:r>
            <w:r>
              <w:rPr>
                <w:color w:val="auto"/>
                <w:highlight w:val="none"/>
              </w:rPr>
              <w:t>，锅炉废气采用</w:t>
            </w:r>
            <w:r>
              <w:rPr>
                <w:rFonts w:hint="eastAsia"/>
                <w:color w:val="auto"/>
                <w:highlight w:val="none"/>
              </w:rPr>
              <w:t>“</w:t>
            </w:r>
            <w:r>
              <w:rPr>
                <w:color w:val="auto"/>
                <w:highlight w:val="none"/>
              </w:rPr>
              <w:t>布袋除尘器+</w:t>
            </w:r>
            <w:r>
              <w:rPr>
                <w:rFonts w:hint="eastAsia"/>
                <w:color w:val="auto"/>
                <w:highlight w:val="none"/>
              </w:rPr>
              <w:t>双碱法</w:t>
            </w:r>
            <w:r>
              <w:rPr>
                <w:color w:val="auto"/>
                <w:highlight w:val="none"/>
              </w:rPr>
              <w:t>脱硫</w:t>
            </w:r>
            <w:r>
              <w:rPr>
                <w:rFonts w:hint="eastAsia"/>
                <w:color w:val="auto"/>
                <w:highlight w:val="none"/>
              </w:rPr>
              <w:t>”</w:t>
            </w:r>
            <w:r>
              <w:rPr>
                <w:color w:val="auto"/>
                <w:highlight w:val="none"/>
              </w:rPr>
              <w:t>处置</w:t>
            </w:r>
            <w:r>
              <w:rPr>
                <w:rFonts w:hint="eastAsia"/>
                <w:color w:val="auto"/>
                <w:highlight w:val="none"/>
              </w:rPr>
              <w:t>。</w:t>
            </w:r>
          </w:p>
        </w:tc>
        <w:tc>
          <w:tcPr>
            <w:tcW w:w="969" w:type="dxa"/>
            <w:tcBorders>
              <w:tl2br w:val="nil"/>
              <w:tr2bl w:val="nil"/>
            </w:tcBorders>
            <w:vAlign w:val="center"/>
          </w:tcPr>
          <w:p w14:paraId="4F927468">
            <w:pPr>
              <w:pStyle w:val="41"/>
              <w:rPr>
                <w:color w:val="auto"/>
                <w:highlight w:val="none"/>
              </w:rPr>
            </w:pPr>
            <w:r>
              <w:rPr>
                <w:color w:val="auto"/>
                <w:highlight w:val="none"/>
              </w:rPr>
              <w:t>符合</w:t>
            </w:r>
          </w:p>
        </w:tc>
      </w:tr>
      <w:tr w14:paraId="7CBD12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97" w:type="dxa"/>
            <w:tcBorders>
              <w:tl2br w:val="nil"/>
              <w:tr2bl w:val="nil"/>
            </w:tcBorders>
            <w:vAlign w:val="center"/>
          </w:tcPr>
          <w:p w14:paraId="53E73D2C">
            <w:pPr>
              <w:pStyle w:val="41"/>
              <w:rPr>
                <w:color w:val="auto"/>
                <w:highlight w:val="none"/>
              </w:rPr>
            </w:pPr>
            <w:r>
              <w:rPr>
                <w:color w:val="auto"/>
                <w:highlight w:val="none"/>
              </w:rPr>
              <w:t>充分利用选矿废水和尾矿库废水，避免或减少废水外排</w:t>
            </w:r>
          </w:p>
        </w:tc>
        <w:tc>
          <w:tcPr>
            <w:tcW w:w="3450" w:type="dxa"/>
            <w:tcBorders>
              <w:tl2br w:val="nil"/>
              <w:tr2bl w:val="nil"/>
            </w:tcBorders>
            <w:vAlign w:val="center"/>
          </w:tcPr>
          <w:p w14:paraId="6922A6CF">
            <w:pPr>
              <w:pStyle w:val="41"/>
              <w:rPr>
                <w:color w:val="auto"/>
                <w:highlight w:val="none"/>
              </w:rPr>
            </w:pPr>
            <w:r>
              <w:rPr>
                <w:color w:val="auto"/>
                <w:highlight w:val="none"/>
              </w:rPr>
              <w:t>本项目选矿工序配备有相应防渗循环水池，生产用水循环使用</w:t>
            </w:r>
          </w:p>
        </w:tc>
        <w:tc>
          <w:tcPr>
            <w:tcW w:w="969" w:type="dxa"/>
            <w:tcBorders>
              <w:tl2br w:val="nil"/>
              <w:tr2bl w:val="nil"/>
            </w:tcBorders>
            <w:vAlign w:val="center"/>
          </w:tcPr>
          <w:p w14:paraId="71664DA1">
            <w:pPr>
              <w:pStyle w:val="41"/>
              <w:rPr>
                <w:color w:val="auto"/>
                <w:highlight w:val="none"/>
              </w:rPr>
            </w:pPr>
            <w:r>
              <w:rPr>
                <w:color w:val="auto"/>
                <w:highlight w:val="none"/>
              </w:rPr>
              <w:t>符合</w:t>
            </w:r>
          </w:p>
        </w:tc>
      </w:tr>
      <w:tr w14:paraId="002C49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4097" w:type="dxa"/>
            <w:tcBorders>
              <w:tl2br w:val="nil"/>
              <w:tr2bl w:val="nil"/>
            </w:tcBorders>
            <w:vAlign w:val="center"/>
          </w:tcPr>
          <w:p w14:paraId="7C6A3A3C">
            <w:pPr>
              <w:pStyle w:val="41"/>
              <w:rPr>
                <w:color w:val="auto"/>
                <w:highlight w:val="none"/>
              </w:rPr>
            </w:pPr>
            <w:r>
              <w:rPr>
                <w:color w:val="auto"/>
                <w:highlight w:val="none"/>
              </w:rPr>
              <w:t>尾矿库的排水、围挡、防渗、稳定等措施参照AQ2006执行</w:t>
            </w:r>
          </w:p>
        </w:tc>
        <w:tc>
          <w:tcPr>
            <w:tcW w:w="3450" w:type="dxa"/>
            <w:tcBorders>
              <w:tl2br w:val="nil"/>
              <w:tr2bl w:val="nil"/>
            </w:tcBorders>
            <w:vAlign w:val="center"/>
          </w:tcPr>
          <w:p w14:paraId="124914F3">
            <w:pPr>
              <w:pStyle w:val="41"/>
              <w:rPr>
                <w:color w:val="auto"/>
                <w:highlight w:val="none"/>
              </w:rPr>
            </w:pPr>
            <w:r>
              <w:rPr>
                <w:color w:val="auto"/>
                <w:highlight w:val="none"/>
              </w:rPr>
              <w:t>尾矿库防洪能力和尾矿坝稳定性满足规程要求</w:t>
            </w:r>
          </w:p>
        </w:tc>
        <w:tc>
          <w:tcPr>
            <w:tcW w:w="969" w:type="dxa"/>
            <w:tcBorders>
              <w:tl2br w:val="nil"/>
              <w:tr2bl w:val="nil"/>
            </w:tcBorders>
            <w:vAlign w:val="center"/>
          </w:tcPr>
          <w:p w14:paraId="18B55937">
            <w:pPr>
              <w:pStyle w:val="41"/>
              <w:rPr>
                <w:color w:val="auto"/>
                <w:highlight w:val="none"/>
              </w:rPr>
            </w:pPr>
            <w:r>
              <w:rPr>
                <w:color w:val="auto"/>
                <w:highlight w:val="none"/>
              </w:rPr>
              <w:t>符合</w:t>
            </w:r>
          </w:p>
        </w:tc>
      </w:tr>
      <w:tr w14:paraId="27DD4C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97" w:type="dxa"/>
            <w:tcBorders>
              <w:tl2br w:val="nil"/>
              <w:tr2bl w:val="nil"/>
            </w:tcBorders>
            <w:vAlign w:val="center"/>
          </w:tcPr>
          <w:p w14:paraId="3E0DA2E0">
            <w:pPr>
              <w:pStyle w:val="41"/>
              <w:rPr>
                <w:color w:val="auto"/>
                <w:highlight w:val="none"/>
              </w:rPr>
            </w:pPr>
            <w:r>
              <w:rPr>
                <w:color w:val="auto"/>
                <w:highlight w:val="none"/>
              </w:rPr>
              <w:t>尾矿库闭库后，坝体和坝内应视尾矿库所处地区气象条件、尾矿污染物毒性、植被恢复方式、土源情况进行不同厚度覆土，因地制宜进行植被恢复和综合利用。恢复植被的覆土厚度不低于10cm。位于干旱风沙区、不具备植被恢复条件的尾矿库，应覆盖砂石等材料</w:t>
            </w:r>
          </w:p>
        </w:tc>
        <w:tc>
          <w:tcPr>
            <w:tcW w:w="3450" w:type="dxa"/>
            <w:tcBorders>
              <w:tl2br w:val="nil"/>
              <w:tr2bl w:val="nil"/>
            </w:tcBorders>
            <w:vAlign w:val="center"/>
          </w:tcPr>
          <w:p w14:paraId="2C2E3542">
            <w:pPr>
              <w:pStyle w:val="41"/>
              <w:rPr>
                <w:color w:val="auto"/>
                <w:highlight w:val="none"/>
              </w:rPr>
            </w:pPr>
            <w:r>
              <w:rPr>
                <w:color w:val="auto"/>
                <w:highlight w:val="none"/>
              </w:rPr>
              <w:t>闭库后应加强监督检查与管理。观测设施应继续维持正常运转；坝体稳定性不足的采取削坡、压坡、降低浸润线等措施；坝面</w:t>
            </w:r>
            <w:r>
              <w:rPr>
                <w:rFonts w:hint="eastAsia"/>
                <w:color w:val="auto"/>
                <w:highlight w:val="none"/>
              </w:rPr>
              <w:t>设置</w:t>
            </w:r>
            <w:r>
              <w:rPr>
                <w:color w:val="auto"/>
                <w:highlight w:val="none"/>
              </w:rPr>
              <w:t>排水沟、坝肩截水沟等。闭库后尾矿库占用区域应分期绿化。</w:t>
            </w:r>
          </w:p>
        </w:tc>
        <w:tc>
          <w:tcPr>
            <w:tcW w:w="969" w:type="dxa"/>
            <w:tcBorders>
              <w:tl2br w:val="nil"/>
              <w:tr2bl w:val="nil"/>
            </w:tcBorders>
            <w:vAlign w:val="center"/>
          </w:tcPr>
          <w:p w14:paraId="03BDEA97">
            <w:pPr>
              <w:pStyle w:val="41"/>
              <w:rPr>
                <w:color w:val="auto"/>
                <w:highlight w:val="none"/>
              </w:rPr>
            </w:pPr>
            <w:r>
              <w:rPr>
                <w:color w:val="auto"/>
                <w:highlight w:val="none"/>
              </w:rPr>
              <w:t>符合</w:t>
            </w:r>
          </w:p>
        </w:tc>
      </w:tr>
    </w:tbl>
    <w:p w14:paraId="6FCD3D7D">
      <w:pPr>
        <w:pStyle w:val="3"/>
        <w:ind w:firstLine="480"/>
        <w:rPr>
          <w:color w:val="auto"/>
          <w:highlight w:val="none"/>
        </w:rPr>
      </w:pPr>
      <w:r>
        <w:rPr>
          <w:color w:val="auto"/>
          <w:highlight w:val="none"/>
        </w:rPr>
        <w:t>本项目符合《矿山生态环境保护与恢复治理技术规范（试行）》（HJ 651-2013）政策要求。</w:t>
      </w:r>
    </w:p>
    <w:p w14:paraId="2FBCE6F0">
      <w:pPr>
        <w:pStyle w:val="42"/>
        <w:rPr>
          <w:rFonts w:hint="default"/>
          <w:color w:val="auto"/>
          <w:highlight w:val="none"/>
        </w:rPr>
      </w:pPr>
      <w:r>
        <w:rPr>
          <w:rFonts w:hint="default"/>
          <w:color w:val="auto"/>
          <w:highlight w:val="none"/>
        </w:rPr>
        <w:t>与《尾矿污染环境防治管理办法》符合性分析</w:t>
      </w:r>
    </w:p>
    <w:p w14:paraId="7CF448D8">
      <w:pPr>
        <w:pStyle w:val="3"/>
        <w:ind w:firstLine="480"/>
        <w:rPr>
          <w:color w:val="auto"/>
          <w:highlight w:val="none"/>
        </w:rPr>
      </w:pPr>
      <w:r>
        <w:rPr>
          <w:rFonts w:hint="eastAsia"/>
          <w:color w:val="auto"/>
          <w:highlight w:val="none"/>
        </w:rPr>
        <w:t>本项目与《尾矿污染环境防治管理办法》</w:t>
      </w:r>
      <w:r>
        <w:rPr>
          <w:rFonts w:hint="eastAsia"/>
          <w:color w:val="auto"/>
          <w:highlight w:val="none"/>
          <w:lang w:eastAsia="zh-CN"/>
        </w:rPr>
        <w:t>的相符</w:t>
      </w:r>
      <w:r>
        <w:rPr>
          <w:rFonts w:hint="eastAsia"/>
          <w:color w:val="auto"/>
          <w:highlight w:val="none"/>
        </w:rPr>
        <w:t>性详见下表。</w:t>
      </w:r>
    </w:p>
    <w:p w14:paraId="429B877F">
      <w:pPr>
        <w:pStyle w:val="40"/>
        <w:rPr>
          <w:color w:val="auto"/>
          <w:highlight w:val="none"/>
        </w:rPr>
      </w:pPr>
      <w:r>
        <w:rPr>
          <w:color w:val="auto"/>
          <w:highlight w:val="none"/>
        </w:rPr>
        <w:t>表</w:t>
      </w:r>
      <w:r>
        <w:rPr>
          <w:rFonts w:hint="eastAsia"/>
          <w:color w:val="auto"/>
          <w:highlight w:val="none"/>
        </w:rPr>
        <w:t>1.3-3</w:t>
      </w:r>
      <w:r>
        <w:rPr>
          <w:color w:val="auto"/>
          <w:highlight w:val="none"/>
        </w:rPr>
        <w:t xml:space="preserve"> </w:t>
      </w:r>
      <w:r>
        <w:rPr>
          <w:rFonts w:hint="eastAsia"/>
          <w:color w:val="auto"/>
          <w:highlight w:val="none"/>
        </w:rPr>
        <w:t xml:space="preserve">           与尾矿污染环境防治管理办法符合性分析</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15"/>
        <w:gridCol w:w="4617"/>
        <w:gridCol w:w="2695"/>
        <w:gridCol w:w="686"/>
      </w:tblGrid>
      <w:tr w14:paraId="2F7E56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13" w:type="pct"/>
            <w:gridSpan w:val="2"/>
            <w:tcBorders>
              <w:tl2br w:val="nil"/>
              <w:tr2bl w:val="nil"/>
            </w:tcBorders>
            <w:vAlign w:val="center"/>
          </w:tcPr>
          <w:p w14:paraId="63A9E4E2">
            <w:pPr>
              <w:pStyle w:val="41"/>
              <w:rPr>
                <w:color w:val="auto"/>
                <w:highlight w:val="none"/>
              </w:rPr>
            </w:pPr>
            <w:r>
              <w:rPr>
                <w:color w:val="auto"/>
                <w:highlight w:val="none"/>
              </w:rPr>
              <w:t>政策要求</w:t>
            </w:r>
          </w:p>
        </w:tc>
        <w:tc>
          <w:tcPr>
            <w:tcW w:w="1583" w:type="pct"/>
            <w:tcBorders>
              <w:tl2br w:val="nil"/>
              <w:tr2bl w:val="nil"/>
            </w:tcBorders>
            <w:vAlign w:val="center"/>
          </w:tcPr>
          <w:p w14:paraId="07BE9277">
            <w:pPr>
              <w:pStyle w:val="41"/>
              <w:rPr>
                <w:color w:val="auto"/>
                <w:highlight w:val="none"/>
              </w:rPr>
            </w:pPr>
            <w:r>
              <w:rPr>
                <w:color w:val="auto"/>
                <w:highlight w:val="none"/>
              </w:rPr>
              <w:t>项目情况</w:t>
            </w:r>
          </w:p>
        </w:tc>
        <w:tc>
          <w:tcPr>
            <w:tcW w:w="403" w:type="pct"/>
            <w:tcBorders>
              <w:tl2br w:val="nil"/>
              <w:tr2bl w:val="nil"/>
            </w:tcBorders>
            <w:vAlign w:val="center"/>
          </w:tcPr>
          <w:p w14:paraId="350582F9">
            <w:pPr>
              <w:pStyle w:val="41"/>
              <w:rPr>
                <w:color w:val="auto"/>
                <w:highlight w:val="none"/>
              </w:rPr>
            </w:pPr>
            <w:r>
              <w:rPr>
                <w:rFonts w:hint="eastAsia"/>
                <w:color w:val="auto"/>
                <w:highlight w:val="none"/>
              </w:rPr>
              <w:t>符合性</w:t>
            </w:r>
          </w:p>
        </w:tc>
      </w:tr>
      <w:tr w14:paraId="5D97AB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2" w:type="pct"/>
            <w:vMerge w:val="restart"/>
            <w:tcBorders>
              <w:tl2br w:val="nil"/>
              <w:tr2bl w:val="nil"/>
            </w:tcBorders>
            <w:vAlign w:val="center"/>
          </w:tcPr>
          <w:p w14:paraId="1CCC80F3">
            <w:pPr>
              <w:pStyle w:val="41"/>
              <w:rPr>
                <w:color w:val="auto"/>
                <w:highlight w:val="none"/>
              </w:rPr>
            </w:pPr>
            <w:r>
              <w:rPr>
                <w:rFonts w:hint="eastAsia"/>
                <w:color w:val="auto"/>
                <w:highlight w:val="none"/>
              </w:rPr>
              <w:t>污染防治</w:t>
            </w:r>
          </w:p>
        </w:tc>
        <w:tc>
          <w:tcPr>
            <w:tcW w:w="2710" w:type="pct"/>
            <w:tcBorders>
              <w:tl2br w:val="nil"/>
              <w:tr2bl w:val="nil"/>
            </w:tcBorders>
            <w:vAlign w:val="center"/>
          </w:tcPr>
          <w:p w14:paraId="6C7BB68D">
            <w:pPr>
              <w:pStyle w:val="41"/>
              <w:rPr>
                <w:color w:val="auto"/>
                <w:highlight w:val="none"/>
              </w:rPr>
            </w:pPr>
            <w:r>
              <w:rPr>
                <w:color w:val="auto"/>
                <w:highlight w:val="none"/>
              </w:rPr>
              <w:t>第六条产生尾矿的单位应当建立健全尾矿产生、贮存、运输、综合利用等全过程的污染防治责任制度，确定承担污染防治工作的部门和专职技术人员，明确单位负责人和相关人员的责任。</w:t>
            </w:r>
          </w:p>
        </w:tc>
        <w:tc>
          <w:tcPr>
            <w:tcW w:w="1583" w:type="pct"/>
            <w:tcBorders>
              <w:tl2br w:val="nil"/>
              <w:tr2bl w:val="nil"/>
            </w:tcBorders>
            <w:vAlign w:val="center"/>
          </w:tcPr>
          <w:p w14:paraId="61173BFA">
            <w:pPr>
              <w:pStyle w:val="41"/>
              <w:rPr>
                <w:color w:val="auto"/>
                <w:highlight w:val="none"/>
              </w:rPr>
            </w:pPr>
            <w:r>
              <w:rPr>
                <w:rFonts w:hint="eastAsia"/>
                <w:color w:val="auto"/>
                <w:highlight w:val="none"/>
              </w:rPr>
              <w:t>建设单位制定了尾矿库的相关管理制度，责任落实到部门和个人，严格做好尾矿库的污染防治工作；同时也落实到第一责任人。</w:t>
            </w:r>
          </w:p>
        </w:tc>
        <w:tc>
          <w:tcPr>
            <w:tcW w:w="403" w:type="pct"/>
            <w:tcBorders>
              <w:tl2br w:val="nil"/>
              <w:tr2bl w:val="nil"/>
            </w:tcBorders>
            <w:vAlign w:val="center"/>
          </w:tcPr>
          <w:p w14:paraId="5364D04B">
            <w:pPr>
              <w:pStyle w:val="41"/>
              <w:rPr>
                <w:color w:val="auto"/>
                <w:highlight w:val="none"/>
              </w:rPr>
            </w:pPr>
            <w:r>
              <w:rPr>
                <w:rFonts w:hint="eastAsia"/>
                <w:color w:val="auto"/>
                <w:highlight w:val="none"/>
              </w:rPr>
              <w:t>符合</w:t>
            </w:r>
          </w:p>
        </w:tc>
      </w:tr>
      <w:tr w14:paraId="1EBA7D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2" w:type="pct"/>
            <w:vMerge w:val="continue"/>
            <w:tcBorders>
              <w:tl2br w:val="nil"/>
              <w:tr2bl w:val="nil"/>
            </w:tcBorders>
            <w:vAlign w:val="center"/>
          </w:tcPr>
          <w:p w14:paraId="1E95A14B">
            <w:pPr>
              <w:pStyle w:val="41"/>
              <w:rPr>
                <w:color w:val="auto"/>
                <w:highlight w:val="none"/>
              </w:rPr>
            </w:pPr>
          </w:p>
        </w:tc>
        <w:tc>
          <w:tcPr>
            <w:tcW w:w="2710" w:type="pct"/>
            <w:tcBorders>
              <w:tl2br w:val="nil"/>
              <w:tr2bl w:val="nil"/>
            </w:tcBorders>
            <w:vAlign w:val="center"/>
          </w:tcPr>
          <w:p w14:paraId="6D598EEA">
            <w:pPr>
              <w:pStyle w:val="41"/>
              <w:rPr>
                <w:color w:val="auto"/>
                <w:highlight w:val="none"/>
              </w:rPr>
            </w:pPr>
            <w:r>
              <w:rPr>
                <w:color w:val="auto"/>
                <w:highlight w:val="none"/>
              </w:rPr>
              <w:t>第七条产生尾矿的单位和尾矿库运营、管理单位应当建立尾矿环境管理台账。</w:t>
            </w:r>
          </w:p>
          <w:p w14:paraId="1FCC8A97">
            <w:pPr>
              <w:pStyle w:val="41"/>
              <w:rPr>
                <w:color w:val="auto"/>
                <w:highlight w:val="none"/>
              </w:rPr>
            </w:pPr>
            <w:r>
              <w:rPr>
                <w:color w:val="auto"/>
                <w:highlight w:val="none"/>
              </w:rPr>
              <w:t>产生尾矿的单位应当在尾矿环境管理台账中如实记录生产运营中产生尾矿的种类、数量、流向、贮存、综合利用等信息；尾矿库运营、管理单位应当在尾矿环境管理台账中如实记录尾矿库的污染防治设施建设和运行情况、环境监测情况、污染隐患排查治理情况、突发环境事件应急预案及其落实情况等信息。</w:t>
            </w:r>
          </w:p>
          <w:p w14:paraId="04ED85C5">
            <w:pPr>
              <w:pStyle w:val="41"/>
              <w:rPr>
                <w:color w:val="auto"/>
                <w:highlight w:val="none"/>
              </w:rPr>
            </w:pPr>
            <w:r>
              <w:rPr>
                <w:color w:val="auto"/>
                <w:highlight w:val="none"/>
              </w:rPr>
              <w:t>尾矿环境管理台账保存期限不得少于五年，其中尾矿库运营、管理单位的环境管理台账信息应当永久保存。</w:t>
            </w:r>
          </w:p>
        </w:tc>
        <w:tc>
          <w:tcPr>
            <w:tcW w:w="1583" w:type="pct"/>
            <w:tcBorders>
              <w:tl2br w:val="nil"/>
              <w:tr2bl w:val="nil"/>
            </w:tcBorders>
            <w:vAlign w:val="center"/>
          </w:tcPr>
          <w:p w14:paraId="273191E9">
            <w:pPr>
              <w:pStyle w:val="41"/>
              <w:rPr>
                <w:color w:val="auto"/>
                <w:highlight w:val="none"/>
              </w:rPr>
            </w:pPr>
            <w:r>
              <w:rPr>
                <w:rFonts w:hint="eastAsia"/>
                <w:color w:val="auto"/>
                <w:highlight w:val="none"/>
              </w:rPr>
              <w:t>项目尾矿库在建成投入运营前，设置专人负责尾矿库的管理和维护工作，同时制定管理台账，详细记录尾矿的运行台账，并将记录台账由专人保管，同时要求管理台账留存至少5年。</w:t>
            </w:r>
          </w:p>
        </w:tc>
        <w:tc>
          <w:tcPr>
            <w:tcW w:w="403" w:type="pct"/>
            <w:tcBorders>
              <w:tl2br w:val="nil"/>
              <w:tr2bl w:val="nil"/>
            </w:tcBorders>
            <w:vAlign w:val="center"/>
          </w:tcPr>
          <w:p w14:paraId="33B76C17">
            <w:pPr>
              <w:pStyle w:val="41"/>
              <w:rPr>
                <w:color w:val="auto"/>
                <w:highlight w:val="none"/>
              </w:rPr>
            </w:pPr>
            <w:r>
              <w:rPr>
                <w:rFonts w:hint="eastAsia"/>
                <w:color w:val="auto"/>
                <w:highlight w:val="none"/>
              </w:rPr>
              <w:t>符合</w:t>
            </w:r>
          </w:p>
        </w:tc>
      </w:tr>
      <w:tr w14:paraId="31991E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2" w:type="pct"/>
            <w:vMerge w:val="continue"/>
            <w:tcBorders>
              <w:tl2br w:val="nil"/>
              <w:tr2bl w:val="nil"/>
            </w:tcBorders>
            <w:vAlign w:val="center"/>
          </w:tcPr>
          <w:p w14:paraId="735B6B1A">
            <w:pPr>
              <w:pStyle w:val="41"/>
              <w:rPr>
                <w:color w:val="auto"/>
                <w:highlight w:val="none"/>
              </w:rPr>
            </w:pPr>
          </w:p>
        </w:tc>
        <w:tc>
          <w:tcPr>
            <w:tcW w:w="2710" w:type="pct"/>
            <w:tcBorders>
              <w:tl2br w:val="nil"/>
              <w:tr2bl w:val="nil"/>
            </w:tcBorders>
            <w:vAlign w:val="center"/>
          </w:tcPr>
          <w:p w14:paraId="1528C46D">
            <w:pPr>
              <w:pStyle w:val="41"/>
              <w:rPr>
                <w:color w:val="auto"/>
                <w:highlight w:val="none"/>
              </w:rPr>
            </w:pPr>
            <w:r>
              <w:rPr>
                <w:color w:val="auto"/>
                <w:highlight w:val="none"/>
              </w:rPr>
              <w:t>第九条新建、改建、扩建尾矿库的，应当依法进行环境影响评价，并遵守国家有关建设项目环境保护管理的规定，落实尾矿污染防治的措施。</w:t>
            </w:r>
          </w:p>
          <w:p w14:paraId="5804465D">
            <w:pPr>
              <w:pStyle w:val="41"/>
              <w:rPr>
                <w:color w:val="auto"/>
                <w:highlight w:val="none"/>
              </w:rPr>
            </w:pPr>
            <w:r>
              <w:rPr>
                <w:color w:val="auto"/>
                <w:highlight w:val="none"/>
              </w:rPr>
              <w:t>尾矿库选址，应当符合生态环境保护有关法律法规和强制性标准要求。禁止在生态保护红线区域、永久基本农田集中区域、河道湖泊行洪区和其他需要特别保护的区域内建设尾矿库以及其他贮存尾矿的场所。</w:t>
            </w:r>
          </w:p>
        </w:tc>
        <w:tc>
          <w:tcPr>
            <w:tcW w:w="1583" w:type="pct"/>
            <w:tcBorders>
              <w:tl2br w:val="nil"/>
              <w:tr2bl w:val="nil"/>
            </w:tcBorders>
            <w:vAlign w:val="center"/>
          </w:tcPr>
          <w:p w14:paraId="370C438A">
            <w:pPr>
              <w:pStyle w:val="41"/>
              <w:rPr>
                <w:color w:val="auto"/>
                <w:highlight w:val="none"/>
              </w:rPr>
            </w:pPr>
            <w:r>
              <w:rPr>
                <w:rFonts w:hint="eastAsia"/>
                <w:color w:val="auto"/>
                <w:highlight w:val="none"/>
              </w:rPr>
              <w:t>①本项目新建1座尾矿库，严格按照相关要求，委托环评咨询单位开展环境影响评价工作，同时按照相关污染防治要求配套建设粉尘收集和治理设施、污废水收集和处置装置。</w:t>
            </w:r>
            <w:r>
              <w:rPr>
                <w:rFonts w:hint="eastAsia"/>
                <w:color w:val="auto"/>
                <w:highlight w:val="none"/>
              </w:rPr>
              <w:br w:type="textWrapping"/>
            </w:r>
            <w:r>
              <w:rPr>
                <w:rFonts w:hint="eastAsia"/>
                <w:color w:val="auto"/>
                <w:highlight w:val="none"/>
              </w:rPr>
              <w:t>②项目尾矿库的选址符合《新疆维吾尔自治区重点行业生态环境准入条件（2024年）》关于尾矿库的选址要求。</w:t>
            </w:r>
          </w:p>
        </w:tc>
        <w:tc>
          <w:tcPr>
            <w:tcW w:w="403" w:type="pct"/>
            <w:tcBorders>
              <w:tl2br w:val="nil"/>
              <w:tr2bl w:val="nil"/>
            </w:tcBorders>
            <w:vAlign w:val="center"/>
          </w:tcPr>
          <w:p w14:paraId="6C87D23B">
            <w:pPr>
              <w:pStyle w:val="41"/>
              <w:rPr>
                <w:color w:val="auto"/>
                <w:highlight w:val="none"/>
              </w:rPr>
            </w:pPr>
            <w:r>
              <w:rPr>
                <w:rFonts w:hint="eastAsia"/>
                <w:color w:val="auto"/>
                <w:highlight w:val="none"/>
              </w:rPr>
              <w:t>符合</w:t>
            </w:r>
          </w:p>
        </w:tc>
      </w:tr>
      <w:tr w14:paraId="31D78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2" w:type="pct"/>
            <w:vMerge w:val="continue"/>
            <w:tcBorders>
              <w:tl2br w:val="nil"/>
              <w:tr2bl w:val="nil"/>
            </w:tcBorders>
            <w:vAlign w:val="center"/>
          </w:tcPr>
          <w:p w14:paraId="5A2521F7">
            <w:pPr>
              <w:pStyle w:val="41"/>
              <w:rPr>
                <w:color w:val="auto"/>
                <w:highlight w:val="none"/>
              </w:rPr>
            </w:pPr>
          </w:p>
        </w:tc>
        <w:tc>
          <w:tcPr>
            <w:tcW w:w="2710" w:type="pct"/>
            <w:tcBorders>
              <w:tl2br w:val="nil"/>
              <w:tr2bl w:val="nil"/>
            </w:tcBorders>
            <w:vAlign w:val="center"/>
          </w:tcPr>
          <w:p w14:paraId="5D94DBFE">
            <w:pPr>
              <w:pStyle w:val="41"/>
              <w:rPr>
                <w:color w:val="auto"/>
                <w:highlight w:val="none"/>
              </w:rPr>
            </w:pPr>
            <w:r>
              <w:rPr>
                <w:color w:val="auto"/>
                <w:highlight w:val="none"/>
              </w:rPr>
              <w:t>第十条新建、改建、扩建尾矿库的，应当根据国家有关规定和尾矿库实际情况，配套建设防渗、渗滤液收集、废水处理、环境监测、环境应急等污染防治设施。</w:t>
            </w:r>
          </w:p>
        </w:tc>
        <w:tc>
          <w:tcPr>
            <w:tcW w:w="1583" w:type="pct"/>
            <w:tcBorders>
              <w:tl2br w:val="nil"/>
              <w:tr2bl w:val="nil"/>
            </w:tcBorders>
            <w:vAlign w:val="center"/>
          </w:tcPr>
          <w:p w14:paraId="32C88241">
            <w:pPr>
              <w:pStyle w:val="41"/>
              <w:rPr>
                <w:color w:val="auto"/>
                <w:highlight w:val="none"/>
              </w:rPr>
            </w:pPr>
            <w:r>
              <w:rPr>
                <w:rFonts w:hint="eastAsia"/>
                <w:color w:val="auto"/>
                <w:highlight w:val="none"/>
              </w:rPr>
              <w:t>①本项目生产废水集中收集，经沉淀澄清处理后回用于生产不外排。</w:t>
            </w:r>
            <w:r>
              <w:rPr>
                <w:rFonts w:hint="eastAsia"/>
                <w:color w:val="auto"/>
                <w:highlight w:val="none"/>
              </w:rPr>
              <w:br w:type="textWrapping"/>
            </w:r>
            <w:r>
              <w:rPr>
                <w:rFonts w:hint="eastAsia"/>
                <w:color w:val="auto"/>
                <w:highlight w:val="none"/>
              </w:rPr>
              <w:t>②项目按照相关要求对尾矿库全库区进行防渗，同时按照要求在尾矿库设有在线监测设施等。</w:t>
            </w:r>
          </w:p>
        </w:tc>
        <w:tc>
          <w:tcPr>
            <w:tcW w:w="403" w:type="pct"/>
            <w:tcBorders>
              <w:tl2br w:val="nil"/>
              <w:tr2bl w:val="nil"/>
            </w:tcBorders>
            <w:vAlign w:val="center"/>
          </w:tcPr>
          <w:p w14:paraId="5139CF6E">
            <w:pPr>
              <w:pStyle w:val="41"/>
              <w:rPr>
                <w:color w:val="auto"/>
                <w:highlight w:val="none"/>
              </w:rPr>
            </w:pPr>
            <w:r>
              <w:rPr>
                <w:rFonts w:hint="eastAsia"/>
                <w:color w:val="auto"/>
                <w:highlight w:val="none"/>
              </w:rPr>
              <w:t>符合</w:t>
            </w:r>
          </w:p>
        </w:tc>
      </w:tr>
      <w:tr w14:paraId="3EA9EB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2" w:type="pct"/>
            <w:vMerge w:val="continue"/>
            <w:tcBorders>
              <w:tl2br w:val="nil"/>
              <w:tr2bl w:val="nil"/>
            </w:tcBorders>
            <w:vAlign w:val="center"/>
          </w:tcPr>
          <w:p w14:paraId="33FB79E8">
            <w:pPr>
              <w:pStyle w:val="41"/>
              <w:rPr>
                <w:color w:val="auto"/>
                <w:highlight w:val="none"/>
              </w:rPr>
            </w:pPr>
          </w:p>
        </w:tc>
        <w:tc>
          <w:tcPr>
            <w:tcW w:w="2710" w:type="pct"/>
            <w:tcBorders>
              <w:tl2br w:val="nil"/>
              <w:tr2bl w:val="nil"/>
            </w:tcBorders>
            <w:vAlign w:val="center"/>
          </w:tcPr>
          <w:p w14:paraId="51807D64">
            <w:pPr>
              <w:pStyle w:val="41"/>
              <w:rPr>
                <w:color w:val="auto"/>
                <w:highlight w:val="none"/>
              </w:rPr>
            </w:pPr>
            <w:r>
              <w:rPr>
                <w:color w:val="auto"/>
                <w:highlight w:val="none"/>
              </w:rPr>
              <w:t>第十一条尾矿库防渗设施的设计和建设，应当充分考虑地质、水文等条件，并符合相应尾矿属性类别管理要求。</w:t>
            </w:r>
          </w:p>
          <w:p w14:paraId="49574370">
            <w:pPr>
              <w:pStyle w:val="41"/>
              <w:rPr>
                <w:color w:val="auto"/>
                <w:highlight w:val="none"/>
              </w:rPr>
            </w:pPr>
            <w:r>
              <w:rPr>
                <w:color w:val="auto"/>
                <w:highlight w:val="none"/>
              </w:rPr>
              <w:t>尾矿库配套的渗滤液收集池、回水池、环境应急事故池等设施的防渗要求应当不低于该尾矿库的防渗要求，并设置防漫流设施。</w:t>
            </w:r>
          </w:p>
        </w:tc>
        <w:tc>
          <w:tcPr>
            <w:tcW w:w="1583" w:type="pct"/>
            <w:tcBorders>
              <w:tl2br w:val="nil"/>
              <w:tr2bl w:val="nil"/>
            </w:tcBorders>
            <w:vAlign w:val="center"/>
          </w:tcPr>
          <w:p w14:paraId="33C2FEEC">
            <w:pPr>
              <w:pStyle w:val="41"/>
              <w:rPr>
                <w:color w:val="auto"/>
                <w:highlight w:val="none"/>
              </w:rPr>
            </w:pPr>
            <w:r>
              <w:rPr>
                <w:rFonts w:hint="eastAsia"/>
                <w:color w:val="auto"/>
                <w:highlight w:val="none"/>
              </w:rPr>
              <w:t>项目尾矿库建有配套的渗滤液收集设施，其防渗等级与尾矿库的防渗一致，严格按照要求做好配套设施的防渗工作。</w:t>
            </w:r>
          </w:p>
        </w:tc>
        <w:tc>
          <w:tcPr>
            <w:tcW w:w="403" w:type="pct"/>
            <w:tcBorders>
              <w:tl2br w:val="nil"/>
              <w:tr2bl w:val="nil"/>
            </w:tcBorders>
            <w:vAlign w:val="center"/>
          </w:tcPr>
          <w:p w14:paraId="5ABA7867">
            <w:pPr>
              <w:pStyle w:val="41"/>
              <w:rPr>
                <w:color w:val="auto"/>
                <w:highlight w:val="none"/>
              </w:rPr>
            </w:pPr>
            <w:r>
              <w:rPr>
                <w:rFonts w:hint="eastAsia"/>
                <w:color w:val="auto"/>
                <w:highlight w:val="none"/>
              </w:rPr>
              <w:t>符合</w:t>
            </w:r>
          </w:p>
        </w:tc>
      </w:tr>
      <w:tr w14:paraId="42D7F0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2" w:type="pct"/>
            <w:vMerge w:val="continue"/>
            <w:tcBorders>
              <w:tl2br w:val="nil"/>
              <w:tr2bl w:val="nil"/>
            </w:tcBorders>
            <w:vAlign w:val="center"/>
          </w:tcPr>
          <w:p w14:paraId="17A921D7">
            <w:pPr>
              <w:pStyle w:val="41"/>
              <w:rPr>
                <w:color w:val="auto"/>
                <w:highlight w:val="none"/>
              </w:rPr>
            </w:pPr>
          </w:p>
        </w:tc>
        <w:tc>
          <w:tcPr>
            <w:tcW w:w="2710" w:type="pct"/>
            <w:tcBorders>
              <w:tl2br w:val="nil"/>
              <w:tr2bl w:val="nil"/>
            </w:tcBorders>
            <w:vAlign w:val="center"/>
          </w:tcPr>
          <w:p w14:paraId="4E83E97B">
            <w:pPr>
              <w:pStyle w:val="41"/>
              <w:rPr>
                <w:color w:val="auto"/>
                <w:highlight w:val="none"/>
              </w:rPr>
            </w:pPr>
            <w:r>
              <w:rPr>
                <w:color w:val="auto"/>
                <w:highlight w:val="none"/>
              </w:rPr>
              <w:t>第十二条新建尾矿库的排尾管道、回水管道应当避免穿越农田、河流、湖泊；确需穿越的，应当建设管沟、套管等设施，防止渗漏造成环境污染。</w:t>
            </w:r>
          </w:p>
        </w:tc>
        <w:tc>
          <w:tcPr>
            <w:tcW w:w="1583" w:type="pct"/>
            <w:tcBorders>
              <w:tl2br w:val="nil"/>
              <w:tr2bl w:val="nil"/>
            </w:tcBorders>
            <w:vAlign w:val="center"/>
          </w:tcPr>
          <w:p w14:paraId="35A0EC40">
            <w:pPr>
              <w:pStyle w:val="41"/>
              <w:rPr>
                <w:color w:val="auto"/>
                <w:highlight w:val="none"/>
              </w:rPr>
            </w:pPr>
            <w:r>
              <w:rPr>
                <w:rFonts w:hint="eastAsia"/>
                <w:color w:val="auto"/>
                <w:highlight w:val="none"/>
              </w:rPr>
              <w:t>本项目尾矿在选矿厂内经脱水后经皮带干排至尾矿库，并且运输皮带不会穿越农田、河流、湖泊。</w:t>
            </w:r>
          </w:p>
        </w:tc>
        <w:tc>
          <w:tcPr>
            <w:tcW w:w="403" w:type="pct"/>
            <w:tcBorders>
              <w:tl2br w:val="nil"/>
              <w:tr2bl w:val="nil"/>
            </w:tcBorders>
            <w:vAlign w:val="center"/>
          </w:tcPr>
          <w:p w14:paraId="7994218C">
            <w:pPr>
              <w:pStyle w:val="41"/>
              <w:rPr>
                <w:color w:val="auto"/>
                <w:highlight w:val="none"/>
              </w:rPr>
            </w:pPr>
            <w:r>
              <w:rPr>
                <w:rFonts w:hint="eastAsia"/>
                <w:color w:val="auto"/>
                <w:highlight w:val="none"/>
              </w:rPr>
              <w:t>符合</w:t>
            </w:r>
          </w:p>
        </w:tc>
      </w:tr>
      <w:tr w14:paraId="02F25B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2" w:type="pct"/>
            <w:vMerge w:val="continue"/>
            <w:tcBorders>
              <w:tl2br w:val="nil"/>
              <w:tr2bl w:val="nil"/>
            </w:tcBorders>
            <w:vAlign w:val="center"/>
          </w:tcPr>
          <w:p w14:paraId="71433BC5">
            <w:pPr>
              <w:pStyle w:val="41"/>
              <w:rPr>
                <w:color w:val="auto"/>
                <w:highlight w:val="none"/>
              </w:rPr>
            </w:pPr>
          </w:p>
        </w:tc>
        <w:tc>
          <w:tcPr>
            <w:tcW w:w="2710" w:type="pct"/>
            <w:tcBorders>
              <w:tl2br w:val="nil"/>
              <w:tr2bl w:val="nil"/>
            </w:tcBorders>
            <w:vAlign w:val="center"/>
          </w:tcPr>
          <w:p w14:paraId="3B58D5D3">
            <w:pPr>
              <w:pStyle w:val="41"/>
              <w:rPr>
                <w:color w:val="auto"/>
                <w:highlight w:val="none"/>
              </w:rPr>
            </w:pPr>
            <w:r>
              <w:rPr>
                <w:color w:val="auto"/>
                <w:highlight w:val="none"/>
              </w:rPr>
              <w:t>第十四条依法实行排污许可管理的产生尾矿的单位，应当申请取得排污许可证或者填报排污登记表，按照排污许可管理的规定排放尾矿及污染物，并落实相关环境管理要求。</w:t>
            </w:r>
          </w:p>
        </w:tc>
        <w:tc>
          <w:tcPr>
            <w:tcW w:w="1583" w:type="pct"/>
            <w:tcBorders>
              <w:tl2br w:val="nil"/>
              <w:tr2bl w:val="nil"/>
            </w:tcBorders>
            <w:vAlign w:val="center"/>
          </w:tcPr>
          <w:p w14:paraId="5A0FD0CC">
            <w:pPr>
              <w:pStyle w:val="41"/>
              <w:rPr>
                <w:color w:val="auto"/>
                <w:highlight w:val="none"/>
              </w:rPr>
            </w:pPr>
            <w:r>
              <w:rPr>
                <w:rFonts w:hint="eastAsia"/>
                <w:color w:val="auto"/>
                <w:highlight w:val="none"/>
              </w:rPr>
              <w:t>待本项目取得环评批复后，建成投产前，建设单位应依法填报申领排污许可证，并按照排污的要求落实相关的环境管理要求。</w:t>
            </w:r>
          </w:p>
        </w:tc>
        <w:tc>
          <w:tcPr>
            <w:tcW w:w="403" w:type="pct"/>
            <w:tcBorders>
              <w:tl2br w:val="nil"/>
              <w:tr2bl w:val="nil"/>
            </w:tcBorders>
            <w:vAlign w:val="center"/>
          </w:tcPr>
          <w:p w14:paraId="2BCA1773">
            <w:pPr>
              <w:pStyle w:val="41"/>
              <w:rPr>
                <w:color w:val="auto"/>
                <w:highlight w:val="none"/>
              </w:rPr>
            </w:pPr>
            <w:r>
              <w:rPr>
                <w:rFonts w:hint="eastAsia"/>
                <w:color w:val="auto"/>
                <w:highlight w:val="none"/>
              </w:rPr>
              <w:t>符合</w:t>
            </w:r>
          </w:p>
        </w:tc>
      </w:tr>
      <w:tr w14:paraId="49B188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2" w:type="pct"/>
            <w:vMerge w:val="continue"/>
            <w:tcBorders>
              <w:tl2br w:val="nil"/>
              <w:tr2bl w:val="nil"/>
            </w:tcBorders>
            <w:vAlign w:val="center"/>
          </w:tcPr>
          <w:p w14:paraId="26AC938B">
            <w:pPr>
              <w:pStyle w:val="41"/>
              <w:rPr>
                <w:color w:val="auto"/>
                <w:highlight w:val="none"/>
              </w:rPr>
            </w:pPr>
          </w:p>
        </w:tc>
        <w:tc>
          <w:tcPr>
            <w:tcW w:w="2710" w:type="pct"/>
            <w:tcBorders>
              <w:tl2br w:val="nil"/>
              <w:tr2bl w:val="nil"/>
            </w:tcBorders>
            <w:vAlign w:val="center"/>
          </w:tcPr>
          <w:p w14:paraId="45A4F9C4">
            <w:pPr>
              <w:pStyle w:val="41"/>
              <w:rPr>
                <w:color w:val="auto"/>
                <w:highlight w:val="none"/>
              </w:rPr>
            </w:pPr>
            <w:r>
              <w:rPr>
                <w:color w:val="auto"/>
                <w:highlight w:val="none"/>
              </w:rPr>
              <w:t>第十五条尾矿库运营、管理单位应当采取防扬散、防流失、防渗漏或者其他防止污染环境的措施，加强对尾矿库污染防治设施的管理和维护，保证其正常运行和使用，防止尾矿污染环境。</w:t>
            </w:r>
          </w:p>
        </w:tc>
        <w:tc>
          <w:tcPr>
            <w:tcW w:w="1583" w:type="pct"/>
            <w:tcBorders>
              <w:tl2br w:val="nil"/>
              <w:tr2bl w:val="nil"/>
            </w:tcBorders>
            <w:vAlign w:val="center"/>
          </w:tcPr>
          <w:p w14:paraId="650E9C82">
            <w:pPr>
              <w:pStyle w:val="41"/>
              <w:rPr>
                <w:color w:val="auto"/>
                <w:highlight w:val="none"/>
              </w:rPr>
            </w:pPr>
            <w:r>
              <w:rPr>
                <w:rFonts w:hint="eastAsia"/>
                <w:color w:val="auto"/>
                <w:highlight w:val="none"/>
              </w:rPr>
              <w:t>①建设单位按照相关要求对尾矿库的全库区进行防渗，同时加装在线监测设施。</w:t>
            </w:r>
            <w:r>
              <w:rPr>
                <w:rFonts w:hint="eastAsia"/>
                <w:color w:val="auto"/>
                <w:highlight w:val="none"/>
              </w:rPr>
              <w:br w:type="textWrapping"/>
            </w:r>
            <w:r>
              <w:rPr>
                <w:rFonts w:hint="eastAsia"/>
                <w:color w:val="auto"/>
                <w:highlight w:val="none"/>
              </w:rPr>
              <w:t>②建设单位在尾矿库及周边设置洒水降尘设施，定期对库区进行洒水降尘，在退役后按照相关的要求进行生态恢复，减轻对项目区及周边环境的影响。</w:t>
            </w:r>
          </w:p>
        </w:tc>
        <w:tc>
          <w:tcPr>
            <w:tcW w:w="403" w:type="pct"/>
            <w:tcBorders>
              <w:tl2br w:val="nil"/>
              <w:tr2bl w:val="nil"/>
            </w:tcBorders>
            <w:vAlign w:val="center"/>
          </w:tcPr>
          <w:p w14:paraId="7C970BED">
            <w:pPr>
              <w:pStyle w:val="41"/>
              <w:rPr>
                <w:color w:val="auto"/>
                <w:highlight w:val="none"/>
              </w:rPr>
            </w:pPr>
            <w:r>
              <w:rPr>
                <w:rFonts w:hint="eastAsia"/>
                <w:color w:val="auto"/>
                <w:highlight w:val="none"/>
              </w:rPr>
              <w:t>符合</w:t>
            </w:r>
          </w:p>
        </w:tc>
      </w:tr>
      <w:tr w14:paraId="5EA6A0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2" w:type="pct"/>
            <w:vMerge w:val="continue"/>
            <w:tcBorders>
              <w:tl2br w:val="nil"/>
              <w:tr2bl w:val="nil"/>
            </w:tcBorders>
            <w:vAlign w:val="center"/>
          </w:tcPr>
          <w:p w14:paraId="3ABEEA71">
            <w:pPr>
              <w:pStyle w:val="41"/>
              <w:rPr>
                <w:color w:val="auto"/>
                <w:highlight w:val="none"/>
              </w:rPr>
            </w:pPr>
          </w:p>
        </w:tc>
        <w:tc>
          <w:tcPr>
            <w:tcW w:w="2710" w:type="pct"/>
            <w:tcBorders>
              <w:tl2br w:val="nil"/>
              <w:tr2bl w:val="nil"/>
            </w:tcBorders>
            <w:vAlign w:val="center"/>
          </w:tcPr>
          <w:p w14:paraId="4934D634">
            <w:pPr>
              <w:pStyle w:val="41"/>
              <w:rPr>
                <w:color w:val="auto"/>
                <w:highlight w:val="none"/>
              </w:rPr>
            </w:pPr>
            <w:r>
              <w:rPr>
                <w:color w:val="auto"/>
                <w:highlight w:val="none"/>
              </w:rPr>
              <w:t>第十六条尾矿库运营、管理单位应当采取库面抑尘、边坡绿化等措施防止扬尘污染，美化环境。</w:t>
            </w:r>
          </w:p>
        </w:tc>
        <w:tc>
          <w:tcPr>
            <w:tcW w:w="1583" w:type="pct"/>
            <w:tcBorders>
              <w:tl2br w:val="nil"/>
              <w:tr2bl w:val="nil"/>
            </w:tcBorders>
            <w:vAlign w:val="center"/>
          </w:tcPr>
          <w:p w14:paraId="0B0A6AFA">
            <w:pPr>
              <w:pStyle w:val="41"/>
              <w:rPr>
                <w:color w:val="auto"/>
                <w:highlight w:val="none"/>
              </w:rPr>
            </w:pPr>
            <w:r>
              <w:rPr>
                <w:rFonts w:hint="eastAsia"/>
                <w:color w:val="auto"/>
                <w:highlight w:val="none"/>
              </w:rPr>
              <w:t>①项目在尾矿库及周边设置洒水降尘设施，定期对其进行洒水降尘。</w:t>
            </w:r>
            <w:r>
              <w:rPr>
                <w:rFonts w:hint="eastAsia"/>
                <w:color w:val="auto"/>
                <w:highlight w:val="none"/>
              </w:rPr>
              <w:br w:type="textWrapping"/>
            </w:r>
            <w:r>
              <w:rPr>
                <w:rFonts w:hint="eastAsia"/>
                <w:color w:val="auto"/>
                <w:highlight w:val="none"/>
              </w:rPr>
              <w:t>②按照要求对尾矿库进行生态恢复，减少裸露库区风蚀扬尘对周边环境的影响。</w:t>
            </w:r>
          </w:p>
        </w:tc>
        <w:tc>
          <w:tcPr>
            <w:tcW w:w="403" w:type="pct"/>
            <w:tcBorders>
              <w:tl2br w:val="nil"/>
              <w:tr2bl w:val="nil"/>
            </w:tcBorders>
            <w:vAlign w:val="center"/>
          </w:tcPr>
          <w:p w14:paraId="29B6A362">
            <w:pPr>
              <w:pStyle w:val="41"/>
              <w:rPr>
                <w:color w:val="auto"/>
                <w:highlight w:val="none"/>
              </w:rPr>
            </w:pPr>
            <w:r>
              <w:rPr>
                <w:rFonts w:hint="eastAsia"/>
                <w:color w:val="auto"/>
                <w:highlight w:val="none"/>
              </w:rPr>
              <w:t>符合</w:t>
            </w:r>
          </w:p>
        </w:tc>
      </w:tr>
      <w:tr w14:paraId="12CE61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2" w:type="pct"/>
            <w:vMerge w:val="continue"/>
            <w:tcBorders>
              <w:tl2br w:val="nil"/>
              <w:tr2bl w:val="nil"/>
            </w:tcBorders>
            <w:vAlign w:val="center"/>
          </w:tcPr>
          <w:p w14:paraId="396EB78F">
            <w:pPr>
              <w:pStyle w:val="41"/>
              <w:rPr>
                <w:color w:val="auto"/>
                <w:highlight w:val="none"/>
              </w:rPr>
            </w:pPr>
          </w:p>
        </w:tc>
        <w:tc>
          <w:tcPr>
            <w:tcW w:w="2710" w:type="pct"/>
            <w:tcBorders>
              <w:tl2br w:val="nil"/>
              <w:tr2bl w:val="nil"/>
            </w:tcBorders>
            <w:vAlign w:val="center"/>
          </w:tcPr>
          <w:p w14:paraId="6784B0F4">
            <w:pPr>
              <w:pStyle w:val="41"/>
              <w:rPr>
                <w:color w:val="auto"/>
                <w:highlight w:val="none"/>
              </w:rPr>
            </w:pPr>
            <w:r>
              <w:rPr>
                <w:color w:val="auto"/>
                <w:highlight w:val="none"/>
              </w:rPr>
              <w:t>第十七条尾矿水应当优先返回选矿工艺使用；向环境排放的，应当符合国家和地方污染物排放标准，不得与尾矿库外的雨水混合排放，并按照有关规定设置污染物排放口，设立标志，依法安装流量计和视频监控。</w:t>
            </w:r>
          </w:p>
          <w:p w14:paraId="68856FD5">
            <w:pPr>
              <w:pStyle w:val="41"/>
              <w:rPr>
                <w:color w:val="auto"/>
                <w:highlight w:val="none"/>
              </w:rPr>
            </w:pPr>
            <w:r>
              <w:rPr>
                <w:color w:val="auto"/>
                <w:highlight w:val="none"/>
              </w:rPr>
              <w:t>污染物排放口的流量计监测记录保存期限不得少于五年，视频监控记录保存期限不得少于三个</w:t>
            </w:r>
            <w:r>
              <w:rPr>
                <w:rFonts w:hint="eastAsia"/>
                <w:color w:val="auto"/>
                <w:highlight w:val="none"/>
                <w:lang w:eastAsia="zh-CN"/>
              </w:rPr>
              <w:t>月。</w:t>
            </w:r>
          </w:p>
        </w:tc>
        <w:tc>
          <w:tcPr>
            <w:tcW w:w="1583" w:type="pct"/>
            <w:tcBorders>
              <w:tl2br w:val="nil"/>
              <w:tr2bl w:val="nil"/>
            </w:tcBorders>
            <w:vAlign w:val="center"/>
          </w:tcPr>
          <w:p w14:paraId="62202D7F">
            <w:pPr>
              <w:pStyle w:val="41"/>
              <w:rPr>
                <w:color w:val="auto"/>
                <w:highlight w:val="none"/>
              </w:rPr>
            </w:pPr>
            <w:r>
              <w:rPr>
                <w:rFonts w:hint="eastAsia"/>
                <w:color w:val="auto"/>
                <w:highlight w:val="none"/>
              </w:rPr>
              <w:t>①本项目生产废水集中排入尾矿库内，经沉淀澄清处理后回用于生产不外排。</w:t>
            </w:r>
            <w:r>
              <w:rPr>
                <w:rFonts w:hint="eastAsia"/>
                <w:color w:val="auto"/>
                <w:highlight w:val="none"/>
              </w:rPr>
              <w:br w:type="textWrapping"/>
            </w:r>
            <w:r>
              <w:rPr>
                <w:rFonts w:hint="eastAsia"/>
                <w:color w:val="auto"/>
                <w:highlight w:val="none"/>
              </w:rPr>
              <w:t>②项目在选矿厂废水总排口加装流量计，同时设置专人负责记录相关的流量，要求相关记录资料保存至少三个月。</w:t>
            </w:r>
          </w:p>
        </w:tc>
        <w:tc>
          <w:tcPr>
            <w:tcW w:w="403" w:type="pct"/>
            <w:tcBorders>
              <w:tl2br w:val="nil"/>
              <w:tr2bl w:val="nil"/>
            </w:tcBorders>
            <w:vAlign w:val="center"/>
          </w:tcPr>
          <w:p w14:paraId="077E494A">
            <w:pPr>
              <w:pStyle w:val="41"/>
              <w:rPr>
                <w:color w:val="auto"/>
                <w:highlight w:val="none"/>
              </w:rPr>
            </w:pPr>
            <w:r>
              <w:rPr>
                <w:rFonts w:hint="eastAsia"/>
                <w:color w:val="auto"/>
                <w:highlight w:val="none"/>
              </w:rPr>
              <w:t>符合</w:t>
            </w:r>
          </w:p>
        </w:tc>
      </w:tr>
      <w:tr w14:paraId="73302E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2" w:type="pct"/>
            <w:vMerge w:val="continue"/>
            <w:tcBorders>
              <w:tl2br w:val="nil"/>
              <w:tr2bl w:val="nil"/>
            </w:tcBorders>
            <w:vAlign w:val="center"/>
          </w:tcPr>
          <w:p w14:paraId="128A6E48">
            <w:pPr>
              <w:pStyle w:val="41"/>
              <w:rPr>
                <w:color w:val="auto"/>
                <w:highlight w:val="none"/>
              </w:rPr>
            </w:pPr>
          </w:p>
        </w:tc>
        <w:tc>
          <w:tcPr>
            <w:tcW w:w="2710" w:type="pct"/>
            <w:tcBorders>
              <w:tl2br w:val="nil"/>
              <w:tr2bl w:val="nil"/>
            </w:tcBorders>
            <w:vAlign w:val="center"/>
          </w:tcPr>
          <w:p w14:paraId="63B58936">
            <w:pPr>
              <w:pStyle w:val="41"/>
              <w:rPr>
                <w:color w:val="auto"/>
                <w:highlight w:val="none"/>
              </w:rPr>
            </w:pPr>
            <w:r>
              <w:rPr>
                <w:color w:val="auto"/>
                <w:highlight w:val="none"/>
              </w:rPr>
              <w:t>第十八条尾矿库运营、管理单位应当按照国家有关标准和规范，建设地下水水质监测井。</w:t>
            </w:r>
          </w:p>
          <w:p w14:paraId="465DBA47">
            <w:pPr>
              <w:pStyle w:val="41"/>
              <w:rPr>
                <w:color w:val="auto"/>
                <w:highlight w:val="none"/>
              </w:rPr>
            </w:pPr>
            <w:r>
              <w:rPr>
                <w:color w:val="auto"/>
                <w:highlight w:val="none"/>
              </w:rPr>
              <w:t>尾矿库上游、下游和可能出现污染扩散的尾矿库周边区域，应当设置地下水水质监测井。</w:t>
            </w:r>
          </w:p>
        </w:tc>
        <w:tc>
          <w:tcPr>
            <w:tcW w:w="1583" w:type="pct"/>
            <w:tcBorders>
              <w:tl2br w:val="nil"/>
              <w:tr2bl w:val="nil"/>
            </w:tcBorders>
            <w:vAlign w:val="center"/>
          </w:tcPr>
          <w:p w14:paraId="14C01195">
            <w:pPr>
              <w:pStyle w:val="41"/>
              <w:rPr>
                <w:color w:val="auto"/>
                <w:highlight w:val="none"/>
              </w:rPr>
            </w:pPr>
            <w:r>
              <w:rPr>
                <w:rFonts w:hint="eastAsia"/>
                <w:color w:val="auto"/>
                <w:highlight w:val="none"/>
              </w:rPr>
              <w:t>建设单位按照相关规定和要求在</w:t>
            </w:r>
            <w:r>
              <w:rPr>
                <w:color w:val="auto"/>
                <w:highlight w:val="none"/>
              </w:rPr>
              <w:t>尾矿库上游、下游和可能出现污染扩散的尾矿库周边区域</w:t>
            </w:r>
            <w:r>
              <w:rPr>
                <w:rFonts w:hint="eastAsia"/>
                <w:color w:val="auto"/>
                <w:highlight w:val="none"/>
              </w:rPr>
              <w:t>设置地下水监测井，并委托专业的监测单位对其水质进行监测。</w:t>
            </w:r>
          </w:p>
        </w:tc>
        <w:tc>
          <w:tcPr>
            <w:tcW w:w="403" w:type="pct"/>
            <w:tcBorders>
              <w:tl2br w:val="nil"/>
              <w:tr2bl w:val="nil"/>
            </w:tcBorders>
            <w:vAlign w:val="center"/>
          </w:tcPr>
          <w:p w14:paraId="276F482A">
            <w:pPr>
              <w:pStyle w:val="41"/>
              <w:rPr>
                <w:color w:val="auto"/>
                <w:highlight w:val="none"/>
              </w:rPr>
            </w:pPr>
            <w:r>
              <w:rPr>
                <w:rFonts w:hint="eastAsia"/>
                <w:color w:val="auto"/>
                <w:highlight w:val="none"/>
              </w:rPr>
              <w:t>符合</w:t>
            </w:r>
          </w:p>
        </w:tc>
      </w:tr>
      <w:tr w14:paraId="789522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2" w:type="pct"/>
            <w:vMerge w:val="continue"/>
            <w:tcBorders>
              <w:tl2br w:val="nil"/>
              <w:tr2bl w:val="nil"/>
            </w:tcBorders>
            <w:vAlign w:val="center"/>
          </w:tcPr>
          <w:p w14:paraId="1A6A3F0A">
            <w:pPr>
              <w:pStyle w:val="41"/>
              <w:rPr>
                <w:color w:val="auto"/>
                <w:highlight w:val="none"/>
              </w:rPr>
            </w:pPr>
          </w:p>
        </w:tc>
        <w:tc>
          <w:tcPr>
            <w:tcW w:w="2710" w:type="pct"/>
            <w:tcBorders>
              <w:tl2br w:val="nil"/>
              <w:tr2bl w:val="nil"/>
            </w:tcBorders>
            <w:vAlign w:val="center"/>
          </w:tcPr>
          <w:p w14:paraId="79011FB2">
            <w:pPr>
              <w:pStyle w:val="41"/>
              <w:rPr>
                <w:color w:val="auto"/>
                <w:highlight w:val="none"/>
              </w:rPr>
            </w:pPr>
            <w:r>
              <w:rPr>
                <w:color w:val="auto"/>
                <w:highlight w:val="none"/>
              </w:rPr>
              <w:t>第二十条尾矿库运营、管理单位应当建立健全尾矿库污染隐患排查治理制度，组织开展尾矿库污染隐患排查治理；发现污染隐患的，应当制定整改方案，及时采取措施消除隐患。</w:t>
            </w:r>
          </w:p>
          <w:p w14:paraId="3B29F14A">
            <w:pPr>
              <w:pStyle w:val="41"/>
              <w:rPr>
                <w:color w:val="auto"/>
                <w:highlight w:val="none"/>
              </w:rPr>
            </w:pPr>
            <w:r>
              <w:rPr>
                <w:color w:val="auto"/>
                <w:highlight w:val="none"/>
              </w:rPr>
              <w:t>尾矿库运营、管理单位应当于每年汛期前至少开展一次全面的污染隐患排查。</w:t>
            </w:r>
          </w:p>
        </w:tc>
        <w:tc>
          <w:tcPr>
            <w:tcW w:w="1583" w:type="pct"/>
            <w:tcBorders>
              <w:tl2br w:val="nil"/>
              <w:tr2bl w:val="nil"/>
            </w:tcBorders>
            <w:vAlign w:val="center"/>
          </w:tcPr>
          <w:p w14:paraId="531A8703">
            <w:pPr>
              <w:pStyle w:val="41"/>
              <w:rPr>
                <w:color w:val="auto"/>
                <w:highlight w:val="none"/>
              </w:rPr>
            </w:pPr>
            <w:r>
              <w:rPr>
                <w:rFonts w:hint="eastAsia"/>
                <w:color w:val="auto"/>
                <w:highlight w:val="none"/>
              </w:rPr>
              <w:t>①建设单位制定了关于尾矿库</w:t>
            </w:r>
            <w:r>
              <w:rPr>
                <w:color w:val="auto"/>
                <w:highlight w:val="none"/>
              </w:rPr>
              <w:t>污染隐患排查治理制度</w:t>
            </w:r>
            <w:r>
              <w:rPr>
                <w:rFonts w:hint="eastAsia"/>
                <w:color w:val="auto"/>
                <w:highlight w:val="none"/>
              </w:rPr>
              <w:t>和奖罚考核制度，同时将相关责任落实到部门和个人。</w:t>
            </w:r>
            <w:r>
              <w:rPr>
                <w:rFonts w:hint="eastAsia"/>
                <w:color w:val="auto"/>
                <w:highlight w:val="none"/>
              </w:rPr>
              <w:br w:type="textWrapping"/>
            </w:r>
            <w:r>
              <w:rPr>
                <w:rFonts w:hint="eastAsia"/>
                <w:color w:val="auto"/>
                <w:highlight w:val="none"/>
              </w:rPr>
              <w:t>②建设单位定期对尾矿库进行巡检，一旦</w:t>
            </w:r>
            <w:r>
              <w:rPr>
                <w:color w:val="auto"/>
                <w:highlight w:val="none"/>
              </w:rPr>
              <w:t>发现污染隐患的</w:t>
            </w:r>
            <w:r>
              <w:rPr>
                <w:rFonts w:hint="eastAsia"/>
                <w:color w:val="auto"/>
                <w:highlight w:val="none"/>
              </w:rPr>
              <w:t>，则第一时间采取措施予以妥善处置；在每年汛期前对整个项目进行全面的隐患排查。</w:t>
            </w:r>
          </w:p>
        </w:tc>
        <w:tc>
          <w:tcPr>
            <w:tcW w:w="403" w:type="pct"/>
            <w:tcBorders>
              <w:tl2br w:val="nil"/>
              <w:tr2bl w:val="nil"/>
            </w:tcBorders>
            <w:vAlign w:val="center"/>
          </w:tcPr>
          <w:p w14:paraId="3BBA63D8">
            <w:pPr>
              <w:pStyle w:val="41"/>
              <w:rPr>
                <w:color w:val="auto"/>
                <w:highlight w:val="none"/>
              </w:rPr>
            </w:pPr>
            <w:r>
              <w:rPr>
                <w:rFonts w:hint="eastAsia"/>
                <w:color w:val="auto"/>
                <w:highlight w:val="none"/>
              </w:rPr>
              <w:t>符合</w:t>
            </w:r>
          </w:p>
        </w:tc>
      </w:tr>
      <w:tr w14:paraId="31005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2" w:type="pct"/>
            <w:vMerge w:val="continue"/>
            <w:tcBorders>
              <w:tl2br w:val="nil"/>
              <w:tr2bl w:val="nil"/>
            </w:tcBorders>
            <w:vAlign w:val="center"/>
          </w:tcPr>
          <w:p w14:paraId="0C5C115C">
            <w:pPr>
              <w:pStyle w:val="41"/>
              <w:rPr>
                <w:color w:val="auto"/>
                <w:highlight w:val="none"/>
              </w:rPr>
            </w:pPr>
          </w:p>
        </w:tc>
        <w:tc>
          <w:tcPr>
            <w:tcW w:w="2710" w:type="pct"/>
            <w:tcBorders>
              <w:tl2br w:val="nil"/>
              <w:tr2bl w:val="nil"/>
            </w:tcBorders>
            <w:vAlign w:val="center"/>
          </w:tcPr>
          <w:p w14:paraId="4312B37D">
            <w:pPr>
              <w:pStyle w:val="41"/>
              <w:rPr>
                <w:color w:val="auto"/>
                <w:highlight w:val="none"/>
              </w:rPr>
            </w:pPr>
            <w:r>
              <w:rPr>
                <w:color w:val="auto"/>
                <w:highlight w:val="none"/>
              </w:rPr>
              <w:t>第二十二条尾矿库运营、管理单位应当按照国务院生态环境主管部门有关规定，开展尾矿库突发环境事件风险评估，编制、修订、备案尾矿库突发环境事件应急预案，建设并完善环境风险防控与应急设施，储备环境应急物资，定期组织开展尾矿库突发环境事件应急演练。</w:t>
            </w:r>
          </w:p>
        </w:tc>
        <w:tc>
          <w:tcPr>
            <w:tcW w:w="1583" w:type="pct"/>
            <w:tcBorders>
              <w:tl2br w:val="nil"/>
              <w:tr2bl w:val="nil"/>
            </w:tcBorders>
            <w:vAlign w:val="center"/>
          </w:tcPr>
          <w:p w14:paraId="3F7C9DAC">
            <w:pPr>
              <w:pStyle w:val="41"/>
              <w:rPr>
                <w:color w:val="auto"/>
                <w:highlight w:val="none"/>
              </w:rPr>
            </w:pPr>
            <w:r>
              <w:rPr>
                <w:rFonts w:hint="eastAsia"/>
                <w:color w:val="auto"/>
                <w:highlight w:val="none"/>
              </w:rPr>
              <w:t>项目取得环评批复、建成投产前，按照要求组织人员编制关于本项目尾矿库的突发环境事件的应急处置预案，并到当地生态环境部门备案，组建应急抢修救援队伍，购置应急物资，定期组织员工学习和演练。</w:t>
            </w:r>
          </w:p>
        </w:tc>
        <w:tc>
          <w:tcPr>
            <w:tcW w:w="403" w:type="pct"/>
            <w:tcBorders>
              <w:tl2br w:val="nil"/>
              <w:tr2bl w:val="nil"/>
            </w:tcBorders>
            <w:vAlign w:val="center"/>
          </w:tcPr>
          <w:p w14:paraId="2AB9B277">
            <w:pPr>
              <w:pStyle w:val="41"/>
              <w:rPr>
                <w:color w:val="auto"/>
                <w:highlight w:val="none"/>
              </w:rPr>
            </w:pPr>
            <w:r>
              <w:rPr>
                <w:rFonts w:hint="eastAsia"/>
                <w:color w:val="auto"/>
                <w:highlight w:val="none"/>
              </w:rPr>
              <w:t>符合</w:t>
            </w:r>
          </w:p>
        </w:tc>
      </w:tr>
    </w:tbl>
    <w:p w14:paraId="75183CB3">
      <w:pPr>
        <w:pStyle w:val="3"/>
        <w:ind w:firstLine="480"/>
        <w:rPr>
          <w:color w:val="auto"/>
          <w:highlight w:val="none"/>
        </w:rPr>
      </w:pPr>
      <w:r>
        <w:rPr>
          <w:color w:val="auto"/>
          <w:highlight w:val="none"/>
        </w:rPr>
        <w:t>综上所述，本项目尾矿库的建设符合《尾矿污染环境防治</w:t>
      </w:r>
      <w:r>
        <w:rPr>
          <w:rFonts w:hint="eastAsia"/>
          <w:color w:val="auto"/>
          <w:highlight w:val="none"/>
        </w:rPr>
        <w:t>管理办法》</w:t>
      </w:r>
      <w:r>
        <w:rPr>
          <w:color w:val="auto"/>
          <w:highlight w:val="none"/>
        </w:rPr>
        <w:t>规定的相关要求。</w:t>
      </w:r>
    </w:p>
    <w:p w14:paraId="3DDD9AF6">
      <w:pPr>
        <w:pStyle w:val="42"/>
        <w:rPr>
          <w:rFonts w:hint="default"/>
          <w:color w:val="auto"/>
          <w:highlight w:val="none"/>
        </w:rPr>
      </w:pPr>
      <w:r>
        <w:rPr>
          <w:rFonts w:hint="default"/>
          <w:color w:val="auto"/>
          <w:highlight w:val="none"/>
        </w:rPr>
        <w:t>与《关于印发防范化解尾矿库安全风险工作方案的通知》（应急〔2020〕15号）符合性分析</w:t>
      </w:r>
    </w:p>
    <w:p w14:paraId="798E93A0">
      <w:pPr>
        <w:pStyle w:val="3"/>
        <w:ind w:firstLine="480"/>
        <w:rPr>
          <w:color w:val="auto"/>
          <w:highlight w:val="none"/>
        </w:rPr>
      </w:pPr>
      <w:r>
        <w:rPr>
          <w:rFonts w:hint="eastAsia"/>
          <w:color w:val="auto"/>
          <w:highlight w:val="none"/>
        </w:rPr>
        <w:t>本项目与《关于印发防范化解尾矿库安全风险工作方案的通知》（应急〔2020〕15号）相符性详见下表。</w:t>
      </w:r>
    </w:p>
    <w:p w14:paraId="6DC24D2B">
      <w:pPr>
        <w:pStyle w:val="40"/>
        <w:rPr>
          <w:color w:val="auto"/>
          <w:highlight w:val="none"/>
        </w:rPr>
      </w:pPr>
      <w:r>
        <w:rPr>
          <w:color w:val="auto"/>
          <w:highlight w:val="none"/>
        </w:rPr>
        <w:t>表</w:t>
      </w:r>
      <w:r>
        <w:rPr>
          <w:rFonts w:hint="eastAsia"/>
          <w:color w:val="auto"/>
          <w:highlight w:val="none"/>
        </w:rPr>
        <w:t>1.3</w:t>
      </w:r>
      <w:r>
        <w:rPr>
          <w:color w:val="auto"/>
          <w:highlight w:val="none"/>
        </w:rPr>
        <w:t>-</w:t>
      </w:r>
      <w:r>
        <w:rPr>
          <w:rFonts w:hint="eastAsia"/>
          <w:color w:val="auto"/>
          <w:highlight w:val="none"/>
        </w:rPr>
        <w:t>4</w:t>
      </w:r>
      <w:r>
        <w:rPr>
          <w:color w:val="auto"/>
          <w:highlight w:val="none"/>
        </w:rPr>
        <w:t xml:space="preserve"> </w:t>
      </w:r>
      <w:r>
        <w:rPr>
          <w:rFonts w:hint="eastAsia"/>
          <w:color w:val="auto"/>
          <w:highlight w:val="none"/>
        </w:rPr>
        <w:t xml:space="preserve">     与</w:t>
      </w:r>
      <w:r>
        <w:rPr>
          <w:rFonts w:hint="eastAsia"/>
          <w:color w:val="auto"/>
          <w:highlight w:val="none"/>
          <w:lang w:eastAsia="zh-CN"/>
        </w:rPr>
        <w:t>《关于印发防范化解尾矿库安全风险工作方案的通知》</w:t>
      </w:r>
      <w:r>
        <w:rPr>
          <w:rFonts w:hint="eastAsia"/>
          <w:color w:val="auto"/>
          <w:highlight w:val="none"/>
        </w:rPr>
        <w:t>符合性分析</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23"/>
        <w:gridCol w:w="4709"/>
        <w:gridCol w:w="2695"/>
        <w:gridCol w:w="686"/>
      </w:tblGrid>
      <w:tr w14:paraId="238B4C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13" w:type="pct"/>
            <w:gridSpan w:val="2"/>
            <w:tcBorders>
              <w:tl2br w:val="nil"/>
              <w:tr2bl w:val="nil"/>
            </w:tcBorders>
            <w:vAlign w:val="center"/>
          </w:tcPr>
          <w:p w14:paraId="52176820">
            <w:pPr>
              <w:pStyle w:val="41"/>
              <w:rPr>
                <w:color w:val="auto"/>
                <w:highlight w:val="none"/>
              </w:rPr>
            </w:pPr>
            <w:r>
              <w:rPr>
                <w:color w:val="auto"/>
                <w:highlight w:val="none"/>
              </w:rPr>
              <w:t>政策要求</w:t>
            </w:r>
          </w:p>
        </w:tc>
        <w:tc>
          <w:tcPr>
            <w:tcW w:w="1583" w:type="pct"/>
            <w:tcBorders>
              <w:tl2br w:val="nil"/>
              <w:tr2bl w:val="nil"/>
            </w:tcBorders>
            <w:vAlign w:val="center"/>
          </w:tcPr>
          <w:p w14:paraId="6702770E">
            <w:pPr>
              <w:pStyle w:val="41"/>
              <w:rPr>
                <w:color w:val="auto"/>
                <w:highlight w:val="none"/>
              </w:rPr>
            </w:pPr>
            <w:r>
              <w:rPr>
                <w:color w:val="auto"/>
                <w:highlight w:val="none"/>
              </w:rPr>
              <w:t>项目情况</w:t>
            </w:r>
          </w:p>
        </w:tc>
        <w:tc>
          <w:tcPr>
            <w:tcW w:w="403" w:type="pct"/>
            <w:tcBorders>
              <w:tl2br w:val="nil"/>
              <w:tr2bl w:val="nil"/>
            </w:tcBorders>
            <w:vAlign w:val="center"/>
          </w:tcPr>
          <w:p w14:paraId="649E2F59">
            <w:pPr>
              <w:pStyle w:val="41"/>
              <w:rPr>
                <w:color w:val="auto"/>
                <w:highlight w:val="none"/>
              </w:rPr>
            </w:pPr>
            <w:r>
              <w:rPr>
                <w:rFonts w:hint="eastAsia"/>
                <w:color w:val="auto"/>
                <w:highlight w:val="none"/>
              </w:rPr>
              <w:t>符合性</w:t>
            </w:r>
          </w:p>
        </w:tc>
      </w:tr>
      <w:tr w14:paraId="5F4157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48" w:type="pct"/>
            <w:vMerge w:val="restart"/>
            <w:tcBorders>
              <w:tl2br w:val="nil"/>
              <w:tr2bl w:val="nil"/>
            </w:tcBorders>
            <w:vAlign w:val="center"/>
          </w:tcPr>
          <w:p w14:paraId="31FB70E1">
            <w:pPr>
              <w:pStyle w:val="41"/>
              <w:rPr>
                <w:color w:val="auto"/>
                <w:highlight w:val="none"/>
              </w:rPr>
            </w:pPr>
            <w:r>
              <w:rPr>
                <w:color w:val="auto"/>
                <w:highlight w:val="none"/>
              </w:rPr>
              <w:t>强化源头准入，严格控制尾矿库数量</w:t>
            </w:r>
          </w:p>
        </w:tc>
        <w:tc>
          <w:tcPr>
            <w:tcW w:w="2764" w:type="pct"/>
            <w:tcBorders>
              <w:tl2br w:val="nil"/>
              <w:tr2bl w:val="nil"/>
            </w:tcBorders>
            <w:vAlign w:val="center"/>
          </w:tcPr>
          <w:p w14:paraId="16263D16">
            <w:pPr>
              <w:pStyle w:val="41"/>
              <w:rPr>
                <w:color w:val="auto"/>
                <w:highlight w:val="none"/>
              </w:rPr>
            </w:pPr>
            <w:r>
              <w:rPr>
                <w:color w:val="auto"/>
                <w:highlight w:val="none"/>
              </w:rPr>
              <w:t>1.严格实行总量控制。各省（自治区、直辖市）要结合本地区国民经济和社会发展规划、土地利用、安全生产、水土保持和生态环境保护等要求，采取等量或减量置换等政策措施对本地区尾矿库实施总量控制，自2020年起，在保证紧缺和战略性矿产矿山正常建设开发的前提下，尾矿库数量原则上只减不增。</w:t>
            </w:r>
          </w:p>
        </w:tc>
        <w:tc>
          <w:tcPr>
            <w:tcW w:w="1583" w:type="pct"/>
            <w:tcBorders>
              <w:tl2br w:val="nil"/>
              <w:tr2bl w:val="nil"/>
            </w:tcBorders>
            <w:vAlign w:val="center"/>
          </w:tcPr>
          <w:p w14:paraId="54022432">
            <w:pPr>
              <w:pStyle w:val="41"/>
              <w:rPr>
                <w:color w:val="auto"/>
                <w:highlight w:val="none"/>
              </w:rPr>
            </w:pPr>
            <w:r>
              <w:rPr>
                <w:rFonts w:hint="eastAsia"/>
                <w:color w:val="auto"/>
                <w:highlight w:val="none"/>
              </w:rPr>
              <w:t>本项目为阿图什市环球矿业有限公司新疆阿图什市托斯莫铁矿配套的工程</w:t>
            </w:r>
            <w:r>
              <w:rPr>
                <w:color w:val="auto"/>
                <w:highlight w:val="none"/>
              </w:rPr>
              <w:t>，</w:t>
            </w:r>
            <w:r>
              <w:rPr>
                <w:rFonts w:hint="eastAsia"/>
                <w:color w:val="auto"/>
                <w:highlight w:val="none"/>
              </w:rPr>
              <w:t>建设单位将</w:t>
            </w:r>
            <w:r>
              <w:rPr>
                <w:color w:val="auto"/>
                <w:highlight w:val="none"/>
              </w:rPr>
              <w:t>严格按照</w:t>
            </w:r>
            <w:r>
              <w:rPr>
                <w:rFonts w:hint="eastAsia"/>
                <w:color w:val="auto"/>
                <w:highlight w:val="none"/>
                <w:lang w:eastAsia="zh-CN"/>
              </w:rPr>
              <w:t>相关</w:t>
            </w:r>
            <w:r>
              <w:rPr>
                <w:color w:val="auto"/>
                <w:highlight w:val="none"/>
              </w:rPr>
              <w:t>规定，依法取得相关的政府批文。</w:t>
            </w:r>
          </w:p>
        </w:tc>
        <w:tc>
          <w:tcPr>
            <w:tcW w:w="403" w:type="pct"/>
            <w:tcBorders>
              <w:tl2br w:val="nil"/>
              <w:tr2bl w:val="nil"/>
            </w:tcBorders>
            <w:vAlign w:val="center"/>
          </w:tcPr>
          <w:p w14:paraId="71337CA2">
            <w:pPr>
              <w:pStyle w:val="41"/>
              <w:rPr>
                <w:color w:val="auto"/>
                <w:highlight w:val="none"/>
              </w:rPr>
            </w:pPr>
            <w:r>
              <w:rPr>
                <w:color w:val="auto"/>
                <w:highlight w:val="none"/>
              </w:rPr>
              <w:t>符合</w:t>
            </w:r>
          </w:p>
        </w:tc>
      </w:tr>
      <w:tr w14:paraId="261D06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48" w:type="pct"/>
            <w:vMerge w:val="continue"/>
            <w:tcBorders>
              <w:tl2br w:val="nil"/>
              <w:tr2bl w:val="nil"/>
            </w:tcBorders>
            <w:vAlign w:val="center"/>
          </w:tcPr>
          <w:p w14:paraId="68BFEA62">
            <w:pPr>
              <w:pStyle w:val="41"/>
              <w:rPr>
                <w:color w:val="auto"/>
                <w:highlight w:val="none"/>
              </w:rPr>
            </w:pPr>
          </w:p>
        </w:tc>
        <w:tc>
          <w:tcPr>
            <w:tcW w:w="2764" w:type="pct"/>
            <w:tcBorders>
              <w:tl2br w:val="nil"/>
              <w:tr2bl w:val="nil"/>
            </w:tcBorders>
            <w:vAlign w:val="center"/>
          </w:tcPr>
          <w:p w14:paraId="258FACA3">
            <w:pPr>
              <w:pStyle w:val="41"/>
              <w:rPr>
                <w:color w:val="auto"/>
                <w:highlight w:val="none"/>
              </w:rPr>
            </w:pPr>
            <w:r>
              <w:rPr>
                <w:color w:val="auto"/>
                <w:highlight w:val="none"/>
              </w:rPr>
              <w:t>2.严格准入条件审查。鼓励新开发矿山项目优先利用现有尾矿库；确需配套新建尾矿库的，严格新建尾矿库项目立项、项目选址、河道保护、安全生产、生态环境保护等方面的审查，对于不符合产业总体布局、国土空间规划、河道保护、安全生产、水土保持、生态环境保护等国家有关法律法规、标准和政策要求的，一律不予批准。严格控制新建独立选矿厂尾矿库，严禁新建</w:t>
            </w:r>
            <w:r>
              <w:rPr>
                <w:rFonts w:hint="eastAsia"/>
                <w:color w:val="auto"/>
                <w:highlight w:val="none"/>
              </w:rPr>
              <w:t>“</w:t>
            </w:r>
            <w:r>
              <w:rPr>
                <w:color w:val="auto"/>
                <w:highlight w:val="none"/>
              </w:rPr>
              <w:t>头顶库</w:t>
            </w:r>
            <w:r>
              <w:rPr>
                <w:rFonts w:hint="eastAsia"/>
                <w:color w:val="auto"/>
                <w:highlight w:val="none"/>
              </w:rPr>
              <w:t>”</w:t>
            </w:r>
            <w:r>
              <w:rPr>
                <w:color w:val="auto"/>
                <w:highlight w:val="none"/>
              </w:rPr>
              <w:t>、总坝高超过200米的尾矿库，严禁在距离长江和黄河干流岸线3公里、重要支流岸线1公里范围内新（改、扩）建尾矿库，新建四等、五等尾矿库必须采用一次建坝方式。</w:t>
            </w:r>
          </w:p>
        </w:tc>
        <w:tc>
          <w:tcPr>
            <w:tcW w:w="1583" w:type="pct"/>
            <w:tcBorders>
              <w:tl2br w:val="nil"/>
              <w:tr2bl w:val="nil"/>
            </w:tcBorders>
            <w:vAlign w:val="center"/>
          </w:tcPr>
          <w:p w14:paraId="13DEA66F">
            <w:pPr>
              <w:pStyle w:val="41"/>
              <w:rPr>
                <w:color w:val="auto"/>
                <w:highlight w:val="none"/>
              </w:rPr>
            </w:pPr>
            <w:r>
              <w:rPr>
                <w:rFonts w:hint="eastAsia"/>
                <w:color w:val="auto"/>
                <w:highlight w:val="none"/>
              </w:rPr>
              <w:t>本项目周边无可利用的尾矿库，本次配套新建尾矿库，已进行了备案；本项目选址符合</w:t>
            </w:r>
            <w:r>
              <w:rPr>
                <w:color w:val="auto"/>
                <w:highlight w:val="none"/>
              </w:rPr>
              <w:t>产业总体布局、国土空间规划、河道保护、安全生产、水土保持、生态环境保护等国家有关法律法规、标准和政策要求</w:t>
            </w:r>
            <w:r>
              <w:rPr>
                <w:rFonts w:hint="eastAsia"/>
                <w:color w:val="auto"/>
                <w:highlight w:val="none"/>
              </w:rPr>
              <w:t>；尾矿总坝高115.0m，设计尾矿库等别为二等。</w:t>
            </w:r>
            <w:r>
              <w:rPr>
                <w:color w:val="auto"/>
                <w:highlight w:val="none"/>
              </w:rPr>
              <w:t>尾矿库下游1公里范围内</w:t>
            </w:r>
            <w:r>
              <w:rPr>
                <w:rFonts w:hint="eastAsia"/>
                <w:color w:val="auto"/>
                <w:highlight w:val="none"/>
              </w:rPr>
              <w:t>无</w:t>
            </w:r>
            <w:r>
              <w:rPr>
                <w:color w:val="auto"/>
                <w:highlight w:val="none"/>
              </w:rPr>
              <w:t>居民区、工矿企业、集贸市场、休闲健身娱乐广场等人员密集场所。</w:t>
            </w:r>
            <w:r>
              <w:rPr>
                <w:color w:val="auto"/>
                <w:highlight w:val="none"/>
              </w:rPr>
              <w:br w:type="textWrapping"/>
            </w:r>
          </w:p>
        </w:tc>
        <w:tc>
          <w:tcPr>
            <w:tcW w:w="403" w:type="pct"/>
            <w:tcBorders>
              <w:tl2br w:val="nil"/>
              <w:tr2bl w:val="nil"/>
            </w:tcBorders>
            <w:vAlign w:val="center"/>
          </w:tcPr>
          <w:p w14:paraId="5FA3B329">
            <w:pPr>
              <w:pStyle w:val="41"/>
              <w:rPr>
                <w:color w:val="auto"/>
                <w:highlight w:val="none"/>
              </w:rPr>
            </w:pPr>
            <w:r>
              <w:rPr>
                <w:color w:val="auto"/>
                <w:highlight w:val="none"/>
              </w:rPr>
              <w:t>符合</w:t>
            </w:r>
          </w:p>
        </w:tc>
      </w:tr>
      <w:tr w14:paraId="7D037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48" w:type="pct"/>
            <w:vMerge w:val="continue"/>
            <w:tcBorders>
              <w:tl2br w:val="nil"/>
              <w:tr2bl w:val="nil"/>
            </w:tcBorders>
            <w:vAlign w:val="center"/>
          </w:tcPr>
          <w:p w14:paraId="42944D6B">
            <w:pPr>
              <w:pStyle w:val="41"/>
              <w:rPr>
                <w:color w:val="auto"/>
                <w:highlight w:val="none"/>
              </w:rPr>
            </w:pPr>
          </w:p>
        </w:tc>
        <w:tc>
          <w:tcPr>
            <w:tcW w:w="2764" w:type="pct"/>
            <w:tcBorders>
              <w:tl2br w:val="nil"/>
              <w:tr2bl w:val="nil"/>
            </w:tcBorders>
            <w:vAlign w:val="center"/>
          </w:tcPr>
          <w:p w14:paraId="4E6AD02C">
            <w:pPr>
              <w:pStyle w:val="41"/>
              <w:rPr>
                <w:color w:val="auto"/>
                <w:highlight w:val="none"/>
              </w:rPr>
            </w:pPr>
            <w:r>
              <w:rPr>
                <w:color w:val="auto"/>
                <w:highlight w:val="none"/>
              </w:rPr>
              <w:t>3.严格控制加高扩容。各有关部门要严格尾矿库加高扩容工程项目行政审批，强化尾矿库加高扩容项目工程勘察、安全评价、水土保持、环境影响评价、工程设计、施工监理等工作，凡不满足国家有关法律法规、标准和政策要求的，一律不予批准。严禁审批“头顶库”、运行状况与设计不符的尾矿库加高扩容项目。</w:t>
            </w:r>
          </w:p>
        </w:tc>
        <w:tc>
          <w:tcPr>
            <w:tcW w:w="1583" w:type="pct"/>
            <w:tcBorders>
              <w:tl2br w:val="nil"/>
              <w:tr2bl w:val="nil"/>
            </w:tcBorders>
            <w:vAlign w:val="center"/>
          </w:tcPr>
          <w:p w14:paraId="72C0FAB4">
            <w:pPr>
              <w:pStyle w:val="41"/>
              <w:rPr>
                <w:color w:val="auto"/>
                <w:highlight w:val="none"/>
              </w:rPr>
            </w:pPr>
            <w:r>
              <w:rPr>
                <w:color w:val="auto"/>
                <w:highlight w:val="none"/>
              </w:rPr>
              <w:t>本项目新建尾矿库，不属于对尾矿库加高扩容。</w:t>
            </w:r>
          </w:p>
        </w:tc>
        <w:tc>
          <w:tcPr>
            <w:tcW w:w="403" w:type="pct"/>
            <w:tcBorders>
              <w:tl2br w:val="nil"/>
              <w:tr2bl w:val="nil"/>
            </w:tcBorders>
            <w:vAlign w:val="center"/>
          </w:tcPr>
          <w:p w14:paraId="705EB99C">
            <w:pPr>
              <w:pStyle w:val="41"/>
              <w:rPr>
                <w:color w:val="auto"/>
                <w:highlight w:val="none"/>
              </w:rPr>
            </w:pPr>
            <w:r>
              <w:rPr>
                <w:color w:val="auto"/>
                <w:highlight w:val="none"/>
              </w:rPr>
              <w:t>符合</w:t>
            </w:r>
          </w:p>
        </w:tc>
      </w:tr>
      <w:tr w14:paraId="7F57AF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48" w:type="pct"/>
            <w:vMerge w:val="restart"/>
            <w:tcBorders>
              <w:tl2br w:val="nil"/>
              <w:tr2bl w:val="nil"/>
            </w:tcBorders>
            <w:vAlign w:val="center"/>
          </w:tcPr>
          <w:p w14:paraId="08F93968">
            <w:pPr>
              <w:pStyle w:val="41"/>
              <w:rPr>
                <w:color w:val="auto"/>
                <w:highlight w:val="none"/>
              </w:rPr>
            </w:pPr>
            <w:r>
              <w:rPr>
                <w:color w:val="auto"/>
                <w:highlight w:val="none"/>
              </w:rPr>
              <w:t>强化责任落实，有效管控尾矿库安全风险</w:t>
            </w:r>
          </w:p>
        </w:tc>
        <w:tc>
          <w:tcPr>
            <w:tcW w:w="2764" w:type="pct"/>
            <w:tcBorders>
              <w:tl2br w:val="nil"/>
              <w:tr2bl w:val="nil"/>
            </w:tcBorders>
            <w:vAlign w:val="center"/>
          </w:tcPr>
          <w:p w14:paraId="5C1C0EBD">
            <w:pPr>
              <w:pStyle w:val="41"/>
              <w:rPr>
                <w:color w:val="auto"/>
                <w:highlight w:val="none"/>
              </w:rPr>
            </w:pPr>
            <w:r>
              <w:rPr>
                <w:color w:val="auto"/>
                <w:highlight w:val="none"/>
              </w:rPr>
              <w:t>1.全面评估管控尾矿库安全风险。尾矿库企业要构建源头辨识、过程控制、持续改进、全员参与的安全风险管控体系。强化尾矿库安全风险动态评估，制定有针对性的安全风险管控措施，编制安全风险管控方案，明确落实各项管控措施的责任部门和责任人，确保安全风险管控措施有效实施，确保尾矿库安全风险始终处于受控状态。尽量降低库内水位，确保尾矿库干滩长度、安全超高、调洪库容、浸润线埋深等主要运行参数及排洪系统始终满足设计要求。</w:t>
            </w:r>
          </w:p>
        </w:tc>
        <w:tc>
          <w:tcPr>
            <w:tcW w:w="1583" w:type="pct"/>
            <w:tcBorders>
              <w:tl2br w:val="nil"/>
              <w:tr2bl w:val="nil"/>
            </w:tcBorders>
            <w:vAlign w:val="center"/>
          </w:tcPr>
          <w:p w14:paraId="3B6E5F33">
            <w:pPr>
              <w:pStyle w:val="41"/>
              <w:rPr>
                <w:color w:val="auto"/>
                <w:highlight w:val="none"/>
              </w:rPr>
            </w:pPr>
            <w:r>
              <w:rPr>
                <w:color w:val="auto"/>
                <w:highlight w:val="none"/>
              </w:rPr>
              <w:t>①项目按照要求组建应急抢险和救援队伍，同时购置必要的</w:t>
            </w:r>
            <w:r>
              <w:rPr>
                <w:rFonts w:hint="eastAsia"/>
                <w:color w:val="auto"/>
                <w:highlight w:val="none"/>
              </w:rPr>
              <w:t>应急救援</w:t>
            </w:r>
            <w:r>
              <w:rPr>
                <w:color w:val="auto"/>
                <w:highlight w:val="none"/>
              </w:rPr>
              <w:t>设施与物资。</w:t>
            </w:r>
            <w:r>
              <w:rPr>
                <w:color w:val="auto"/>
                <w:highlight w:val="none"/>
              </w:rPr>
              <w:br w:type="textWrapping"/>
            </w:r>
            <w:r>
              <w:rPr>
                <w:color w:val="auto"/>
                <w:highlight w:val="none"/>
              </w:rPr>
              <w:t>②建设单位制定安全生产管理责任制，要求责任落实到个人，做好安全生产。</w:t>
            </w:r>
            <w:r>
              <w:rPr>
                <w:color w:val="auto"/>
                <w:highlight w:val="none"/>
              </w:rPr>
              <w:br w:type="textWrapping"/>
            </w:r>
            <w:r>
              <w:rPr>
                <w:color w:val="auto"/>
                <w:highlight w:val="none"/>
              </w:rPr>
              <w:t>③建设单位按照相关要求对尾矿库设</w:t>
            </w:r>
            <w:r>
              <w:rPr>
                <w:rFonts w:hint="eastAsia"/>
                <w:color w:val="auto"/>
                <w:highlight w:val="none"/>
              </w:rPr>
              <w:t>有</w:t>
            </w:r>
            <w:r>
              <w:rPr>
                <w:color w:val="auto"/>
                <w:highlight w:val="none"/>
              </w:rPr>
              <w:t>在线监测设施，</w:t>
            </w:r>
            <w:r>
              <w:rPr>
                <w:rFonts w:hint="eastAsia"/>
                <w:color w:val="auto"/>
                <w:highlight w:val="none"/>
              </w:rPr>
              <w:t>同时由</w:t>
            </w:r>
            <w:r>
              <w:rPr>
                <w:color w:val="auto"/>
                <w:highlight w:val="none"/>
              </w:rPr>
              <w:t>专人负责尾矿</w:t>
            </w:r>
            <w:r>
              <w:rPr>
                <w:rFonts w:hint="eastAsia"/>
                <w:color w:val="auto"/>
                <w:highlight w:val="none"/>
              </w:rPr>
              <w:t>库</w:t>
            </w:r>
            <w:r>
              <w:rPr>
                <w:color w:val="auto"/>
                <w:highlight w:val="none"/>
              </w:rPr>
              <w:t>的管理和运行工作。</w:t>
            </w:r>
          </w:p>
        </w:tc>
        <w:tc>
          <w:tcPr>
            <w:tcW w:w="403" w:type="pct"/>
            <w:tcBorders>
              <w:tl2br w:val="nil"/>
              <w:tr2bl w:val="nil"/>
            </w:tcBorders>
            <w:vAlign w:val="center"/>
          </w:tcPr>
          <w:p w14:paraId="1446E8A5">
            <w:pPr>
              <w:pStyle w:val="41"/>
              <w:rPr>
                <w:color w:val="auto"/>
                <w:highlight w:val="none"/>
              </w:rPr>
            </w:pPr>
            <w:r>
              <w:rPr>
                <w:color w:val="auto"/>
                <w:highlight w:val="none"/>
              </w:rPr>
              <w:t>符合</w:t>
            </w:r>
          </w:p>
        </w:tc>
      </w:tr>
      <w:tr w14:paraId="5046E7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48" w:type="pct"/>
            <w:vMerge w:val="continue"/>
            <w:tcBorders>
              <w:tl2br w:val="nil"/>
              <w:tr2bl w:val="nil"/>
            </w:tcBorders>
            <w:vAlign w:val="center"/>
          </w:tcPr>
          <w:p w14:paraId="61F485C2">
            <w:pPr>
              <w:pStyle w:val="41"/>
              <w:rPr>
                <w:color w:val="auto"/>
                <w:highlight w:val="none"/>
              </w:rPr>
            </w:pPr>
          </w:p>
        </w:tc>
        <w:tc>
          <w:tcPr>
            <w:tcW w:w="2764" w:type="pct"/>
            <w:tcBorders>
              <w:tl2br w:val="nil"/>
              <w:tr2bl w:val="nil"/>
            </w:tcBorders>
            <w:vAlign w:val="center"/>
          </w:tcPr>
          <w:p w14:paraId="7CBC4F98">
            <w:pPr>
              <w:pStyle w:val="41"/>
              <w:rPr>
                <w:color w:val="auto"/>
                <w:highlight w:val="none"/>
              </w:rPr>
            </w:pPr>
            <w:r>
              <w:rPr>
                <w:color w:val="auto"/>
                <w:highlight w:val="none"/>
              </w:rPr>
              <w:t>2.着力防范化解“头顶库”安全风险。尾矿库下游1公里范围内不得新设置居民区、工矿企业、集贸市场、休闲健身娱乐广场等人员密集场所。</w:t>
            </w:r>
          </w:p>
        </w:tc>
        <w:tc>
          <w:tcPr>
            <w:tcW w:w="1583" w:type="pct"/>
            <w:tcBorders>
              <w:tl2br w:val="nil"/>
              <w:tr2bl w:val="nil"/>
            </w:tcBorders>
            <w:vAlign w:val="center"/>
          </w:tcPr>
          <w:p w14:paraId="5F467E8A">
            <w:pPr>
              <w:pStyle w:val="41"/>
              <w:rPr>
                <w:color w:val="auto"/>
                <w:highlight w:val="none"/>
              </w:rPr>
            </w:pPr>
            <w:r>
              <w:rPr>
                <w:color w:val="auto"/>
                <w:highlight w:val="none"/>
              </w:rPr>
              <w:t>本项目拟建尾矿库下游1公里</w:t>
            </w:r>
            <w:r>
              <w:rPr>
                <w:rFonts w:hint="eastAsia"/>
                <w:color w:val="auto"/>
                <w:highlight w:val="none"/>
              </w:rPr>
              <w:t>范围</w:t>
            </w:r>
            <w:r>
              <w:rPr>
                <w:color w:val="auto"/>
                <w:highlight w:val="none"/>
              </w:rPr>
              <w:t>内无居民或重要设施，所以本项目拟建尾矿库不属于“头顶库”。</w:t>
            </w:r>
          </w:p>
        </w:tc>
        <w:tc>
          <w:tcPr>
            <w:tcW w:w="403" w:type="pct"/>
            <w:tcBorders>
              <w:tl2br w:val="nil"/>
              <w:tr2bl w:val="nil"/>
            </w:tcBorders>
            <w:vAlign w:val="center"/>
          </w:tcPr>
          <w:p w14:paraId="2E716BF2">
            <w:pPr>
              <w:pStyle w:val="41"/>
              <w:rPr>
                <w:color w:val="auto"/>
                <w:highlight w:val="none"/>
              </w:rPr>
            </w:pPr>
            <w:r>
              <w:rPr>
                <w:color w:val="auto"/>
                <w:highlight w:val="none"/>
              </w:rPr>
              <w:t>符合</w:t>
            </w:r>
          </w:p>
        </w:tc>
      </w:tr>
      <w:tr w14:paraId="030733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48" w:type="pct"/>
            <w:vMerge w:val="continue"/>
            <w:tcBorders>
              <w:tl2br w:val="nil"/>
              <w:tr2bl w:val="nil"/>
            </w:tcBorders>
            <w:vAlign w:val="center"/>
          </w:tcPr>
          <w:p w14:paraId="4B280EA5">
            <w:pPr>
              <w:pStyle w:val="41"/>
              <w:rPr>
                <w:color w:val="auto"/>
                <w:highlight w:val="none"/>
              </w:rPr>
            </w:pPr>
          </w:p>
        </w:tc>
        <w:tc>
          <w:tcPr>
            <w:tcW w:w="2764" w:type="pct"/>
            <w:tcBorders>
              <w:tl2br w:val="nil"/>
              <w:tr2bl w:val="nil"/>
            </w:tcBorders>
            <w:vAlign w:val="center"/>
          </w:tcPr>
          <w:p w14:paraId="5AC69A92">
            <w:pPr>
              <w:pStyle w:val="41"/>
              <w:rPr>
                <w:color w:val="auto"/>
                <w:highlight w:val="none"/>
              </w:rPr>
            </w:pPr>
            <w:r>
              <w:rPr>
                <w:color w:val="auto"/>
                <w:highlight w:val="none"/>
              </w:rPr>
              <w:t>3.建立完善尾矿库安全风险监测预警机制。尾矿库企业要建立完善在线安全监测系统，并确保有效运行。到2022年6月底前，湿排尾矿库要实现对坝体位移、浸润线、库水位等的在线监测和重要部位的视频监控，干式堆存尾矿库要实现对坝体表面位移的在线监测。</w:t>
            </w:r>
          </w:p>
        </w:tc>
        <w:tc>
          <w:tcPr>
            <w:tcW w:w="1583" w:type="pct"/>
            <w:tcBorders>
              <w:tl2br w:val="nil"/>
              <w:tr2bl w:val="nil"/>
            </w:tcBorders>
            <w:vAlign w:val="center"/>
          </w:tcPr>
          <w:p w14:paraId="1024A996">
            <w:pPr>
              <w:pStyle w:val="41"/>
              <w:rPr>
                <w:color w:val="auto"/>
                <w:highlight w:val="none"/>
              </w:rPr>
            </w:pPr>
            <w:r>
              <w:rPr>
                <w:color w:val="auto"/>
                <w:highlight w:val="none"/>
              </w:rPr>
              <w:t>建设单位按照相关要求对尾矿库设</w:t>
            </w:r>
            <w:r>
              <w:rPr>
                <w:rFonts w:hint="eastAsia"/>
                <w:color w:val="auto"/>
                <w:highlight w:val="none"/>
              </w:rPr>
              <w:t>有</w:t>
            </w:r>
            <w:r>
              <w:rPr>
                <w:color w:val="auto"/>
                <w:highlight w:val="none"/>
              </w:rPr>
              <w:t>在线监测设施，</w:t>
            </w:r>
            <w:r>
              <w:rPr>
                <w:rFonts w:hint="eastAsia"/>
                <w:color w:val="auto"/>
                <w:highlight w:val="none"/>
              </w:rPr>
              <w:t>同时由</w:t>
            </w:r>
            <w:r>
              <w:rPr>
                <w:color w:val="auto"/>
                <w:highlight w:val="none"/>
              </w:rPr>
              <w:t>专人负责尾矿</w:t>
            </w:r>
            <w:r>
              <w:rPr>
                <w:rFonts w:hint="eastAsia"/>
                <w:color w:val="auto"/>
                <w:highlight w:val="none"/>
              </w:rPr>
              <w:t>库</w:t>
            </w:r>
            <w:r>
              <w:rPr>
                <w:color w:val="auto"/>
                <w:highlight w:val="none"/>
              </w:rPr>
              <w:t>的管理和运行工作。</w:t>
            </w:r>
          </w:p>
        </w:tc>
        <w:tc>
          <w:tcPr>
            <w:tcW w:w="403" w:type="pct"/>
            <w:tcBorders>
              <w:tl2br w:val="nil"/>
              <w:tr2bl w:val="nil"/>
            </w:tcBorders>
            <w:vAlign w:val="center"/>
          </w:tcPr>
          <w:p w14:paraId="698A8B19">
            <w:pPr>
              <w:pStyle w:val="41"/>
              <w:rPr>
                <w:color w:val="auto"/>
                <w:highlight w:val="none"/>
              </w:rPr>
            </w:pPr>
            <w:r>
              <w:rPr>
                <w:color w:val="auto"/>
                <w:highlight w:val="none"/>
              </w:rPr>
              <w:t>符合</w:t>
            </w:r>
          </w:p>
        </w:tc>
      </w:tr>
      <w:tr w14:paraId="4F8B0E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48" w:type="pct"/>
            <w:vMerge w:val="continue"/>
            <w:tcBorders>
              <w:tl2br w:val="nil"/>
              <w:tr2bl w:val="nil"/>
            </w:tcBorders>
            <w:vAlign w:val="center"/>
          </w:tcPr>
          <w:p w14:paraId="46499B13">
            <w:pPr>
              <w:pStyle w:val="41"/>
              <w:rPr>
                <w:color w:val="auto"/>
                <w:highlight w:val="none"/>
              </w:rPr>
            </w:pPr>
          </w:p>
        </w:tc>
        <w:tc>
          <w:tcPr>
            <w:tcW w:w="2764" w:type="pct"/>
            <w:tcBorders>
              <w:tl2br w:val="nil"/>
              <w:tr2bl w:val="nil"/>
            </w:tcBorders>
            <w:vAlign w:val="center"/>
          </w:tcPr>
          <w:p w14:paraId="10CEF529">
            <w:pPr>
              <w:pStyle w:val="41"/>
              <w:rPr>
                <w:color w:val="auto"/>
                <w:highlight w:val="none"/>
              </w:rPr>
            </w:pPr>
            <w:r>
              <w:rPr>
                <w:color w:val="auto"/>
                <w:highlight w:val="none"/>
              </w:rPr>
              <w:t>4.完善尾矿库应急管理机制。尾矿库企业要切实完善溃坝、漫顶、排洪设施损毁等事故专项应急预案、环境应急预案和现场处置方案，并向从业人员和下游居民公布，在下游居民区建立应急警报系统，储备必要的应急救援器材、设备和物资，确保上坝道路、通信、供电及照明线路可靠和畅通。严格执行应急值班、专人巡查和事故信息报告制度，确保一旦发生险情，立即启动应急预案并迅速报告。</w:t>
            </w:r>
          </w:p>
        </w:tc>
        <w:tc>
          <w:tcPr>
            <w:tcW w:w="1583" w:type="pct"/>
            <w:tcBorders>
              <w:tl2br w:val="nil"/>
              <w:tr2bl w:val="nil"/>
            </w:tcBorders>
            <w:vAlign w:val="center"/>
          </w:tcPr>
          <w:p w14:paraId="6E9FD46C">
            <w:pPr>
              <w:pStyle w:val="41"/>
              <w:rPr>
                <w:color w:val="auto"/>
                <w:highlight w:val="none"/>
              </w:rPr>
            </w:pPr>
            <w:r>
              <w:rPr>
                <w:color w:val="auto"/>
                <w:highlight w:val="none"/>
              </w:rPr>
              <w:t>①建设单位委托专业单位编制安全生产和突发环境事件的应急处置预案，同时在安监、生态环境部门等备案。</w:t>
            </w:r>
            <w:r>
              <w:rPr>
                <w:color w:val="auto"/>
                <w:highlight w:val="none"/>
              </w:rPr>
              <w:br w:type="textWrapping"/>
            </w:r>
            <w:r>
              <w:rPr>
                <w:color w:val="auto"/>
                <w:highlight w:val="none"/>
              </w:rPr>
              <w:t>②项目建成后，建设单位按照相关要求购置必要的应急救援物资和设施，同时组建应急救援队伍。</w:t>
            </w:r>
          </w:p>
        </w:tc>
        <w:tc>
          <w:tcPr>
            <w:tcW w:w="403" w:type="pct"/>
            <w:tcBorders>
              <w:tl2br w:val="nil"/>
              <w:tr2bl w:val="nil"/>
            </w:tcBorders>
            <w:vAlign w:val="center"/>
          </w:tcPr>
          <w:p w14:paraId="04A52BB9">
            <w:pPr>
              <w:pStyle w:val="41"/>
              <w:rPr>
                <w:color w:val="auto"/>
                <w:highlight w:val="none"/>
              </w:rPr>
            </w:pPr>
            <w:r>
              <w:rPr>
                <w:color w:val="auto"/>
                <w:highlight w:val="none"/>
              </w:rPr>
              <w:t>符合</w:t>
            </w:r>
          </w:p>
        </w:tc>
      </w:tr>
    </w:tbl>
    <w:p w14:paraId="24BF0513">
      <w:pPr>
        <w:pStyle w:val="3"/>
        <w:ind w:firstLine="480"/>
        <w:rPr>
          <w:color w:val="auto"/>
          <w:highlight w:val="none"/>
        </w:rPr>
      </w:pPr>
      <w:r>
        <w:rPr>
          <w:color w:val="auto"/>
          <w:highlight w:val="none"/>
        </w:rPr>
        <w:t>综上所述，本项目拟建项目尾矿库符合《防范化解尾矿库安全风险工作方案》的准入条件。</w:t>
      </w:r>
    </w:p>
    <w:p w14:paraId="4F3277E7">
      <w:pPr>
        <w:pStyle w:val="42"/>
        <w:rPr>
          <w:rFonts w:hint="default"/>
          <w:color w:val="auto"/>
          <w:highlight w:val="none"/>
        </w:rPr>
      </w:pPr>
      <w:r>
        <w:rPr>
          <w:rFonts w:hint="default"/>
          <w:color w:val="auto"/>
          <w:highlight w:val="none"/>
        </w:rPr>
        <w:t>与《关于进一步加强尾矿库监督管理工作的指导意见》符合性分析</w:t>
      </w:r>
    </w:p>
    <w:p w14:paraId="5E2EB621">
      <w:pPr>
        <w:pStyle w:val="3"/>
        <w:ind w:firstLine="480"/>
        <w:rPr>
          <w:color w:val="auto"/>
          <w:highlight w:val="none"/>
        </w:rPr>
      </w:pPr>
      <w:r>
        <w:rPr>
          <w:rFonts w:hint="eastAsia"/>
          <w:color w:val="auto"/>
          <w:highlight w:val="none"/>
        </w:rPr>
        <w:t>本项目与《关于进一步加强尾矿库监督管理工作的指导意见》相符性详见下表。</w:t>
      </w:r>
    </w:p>
    <w:p w14:paraId="410DE854">
      <w:pPr>
        <w:pStyle w:val="40"/>
        <w:rPr>
          <w:color w:val="auto"/>
          <w:highlight w:val="none"/>
        </w:rPr>
      </w:pPr>
      <w:r>
        <w:rPr>
          <w:color w:val="auto"/>
          <w:highlight w:val="none"/>
        </w:rPr>
        <w:t>表</w:t>
      </w:r>
      <w:r>
        <w:rPr>
          <w:rFonts w:hint="eastAsia"/>
          <w:color w:val="auto"/>
          <w:highlight w:val="none"/>
        </w:rPr>
        <w:t>1.3</w:t>
      </w:r>
      <w:r>
        <w:rPr>
          <w:color w:val="auto"/>
          <w:highlight w:val="none"/>
        </w:rPr>
        <w:t>-</w:t>
      </w:r>
      <w:r>
        <w:rPr>
          <w:rFonts w:hint="eastAsia"/>
          <w:color w:val="auto"/>
          <w:highlight w:val="none"/>
        </w:rPr>
        <w:t>5</w:t>
      </w:r>
      <w:r>
        <w:rPr>
          <w:color w:val="auto"/>
          <w:highlight w:val="none"/>
        </w:rPr>
        <w:t xml:space="preserve"> </w:t>
      </w:r>
      <w:r>
        <w:rPr>
          <w:rFonts w:hint="eastAsia"/>
          <w:color w:val="auto"/>
          <w:highlight w:val="none"/>
        </w:rPr>
        <w:t xml:space="preserve">     与</w:t>
      </w:r>
      <w:r>
        <w:rPr>
          <w:rFonts w:hint="eastAsia"/>
          <w:color w:val="auto"/>
          <w:highlight w:val="none"/>
          <w:lang w:eastAsia="zh-CN"/>
        </w:rPr>
        <w:t>《关于进一步加强尾矿库监督管理工作的指导意见》</w:t>
      </w:r>
      <w:r>
        <w:rPr>
          <w:rFonts w:hint="eastAsia"/>
          <w:color w:val="auto"/>
          <w:highlight w:val="none"/>
        </w:rPr>
        <w:t>符合性分析</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3"/>
        <w:gridCol w:w="4469"/>
        <w:gridCol w:w="2695"/>
        <w:gridCol w:w="686"/>
      </w:tblGrid>
      <w:tr w14:paraId="55B3AD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13" w:type="pct"/>
            <w:gridSpan w:val="2"/>
            <w:tcBorders>
              <w:tl2br w:val="nil"/>
              <w:tr2bl w:val="nil"/>
            </w:tcBorders>
            <w:vAlign w:val="center"/>
          </w:tcPr>
          <w:p w14:paraId="4D96BE46">
            <w:pPr>
              <w:pStyle w:val="41"/>
              <w:rPr>
                <w:color w:val="auto"/>
                <w:highlight w:val="none"/>
              </w:rPr>
            </w:pPr>
            <w:r>
              <w:rPr>
                <w:color w:val="auto"/>
                <w:highlight w:val="none"/>
              </w:rPr>
              <w:t>政策要求</w:t>
            </w:r>
          </w:p>
        </w:tc>
        <w:tc>
          <w:tcPr>
            <w:tcW w:w="1583" w:type="pct"/>
            <w:tcBorders>
              <w:tl2br w:val="nil"/>
              <w:tr2bl w:val="nil"/>
            </w:tcBorders>
            <w:vAlign w:val="center"/>
          </w:tcPr>
          <w:p w14:paraId="2B0E6284">
            <w:pPr>
              <w:pStyle w:val="41"/>
              <w:rPr>
                <w:color w:val="auto"/>
                <w:highlight w:val="none"/>
              </w:rPr>
            </w:pPr>
            <w:r>
              <w:rPr>
                <w:color w:val="auto"/>
                <w:highlight w:val="none"/>
              </w:rPr>
              <w:t>项目情况</w:t>
            </w:r>
          </w:p>
        </w:tc>
        <w:tc>
          <w:tcPr>
            <w:tcW w:w="403" w:type="pct"/>
            <w:tcBorders>
              <w:tl2br w:val="nil"/>
              <w:tr2bl w:val="nil"/>
            </w:tcBorders>
            <w:vAlign w:val="center"/>
          </w:tcPr>
          <w:p w14:paraId="61E628AF">
            <w:pPr>
              <w:pStyle w:val="41"/>
              <w:rPr>
                <w:color w:val="auto"/>
                <w:highlight w:val="none"/>
              </w:rPr>
            </w:pPr>
            <w:r>
              <w:rPr>
                <w:rFonts w:hint="eastAsia"/>
                <w:color w:val="auto"/>
                <w:highlight w:val="none"/>
              </w:rPr>
              <w:t>符合性</w:t>
            </w:r>
          </w:p>
        </w:tc>
      </w:tr>
      <w:tr w14:paraId="06AF67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89" w:type="pct"/>
            <w:vMerge w:val="restart"/>
            <w:tcBorders>
              <w:tl2br w:val="nil"/>
              <w:tr2bl w:val="nil"/>
            </w:tcBorders>
            <w:vAlign w:val="center"/>
          </w:tcPr>
          <w:p w14:paraId="690FE424">
            <w:pPr>
              <w:pStyle w:val="41"/>
              <w:rPr>
                <w:color w:val="auto"/>
                <w:highlight w:val="none"/>
              </w:rPr>
            </w:pPr>
            <w:r>
              <w:rPr>
                <w:color w:val="auto"/>
                <w:highlight w:val="none"/>
              </w:rPr>
              <w:t>总体要求和目标任务</w:t>
            </w:r>
          </w:p>
        </w:tc>
        <w:tc>
          <w:tcPr>
            <w:tcW w:w="2623" w:type="pct"/>
            <w:tcBorders>
              <w:tl2br w:val="nil"/>
              <w:tr2bl w:val="nil"/>
            </w:tcBorders>
            <w:vAlign w:val="center"/>
          </w:tcPr>
          <w:p w14:paraId="21B01ADD">
            <w:pPr>
              <w:pStyle w:val="41"/>
              <w:rPr>
                <w:color w:val="auto"/>
                <w:highlight w:val="none"/>
              </w:rPr>
            </w:pPr>
            <w:r>
              <w:rPr>
                <w:color w:val="auto"/>
                <w:highlight w:val="none"/>
              </w:rPr>
              <w:t>（一）总体要求。深入贯彻落实科学发展观，坚持“安全第一、预防为主、综合治理”的方针，牢固树立以人为本、节约发展、清洁发展、安全发展、可持续发展的科学理念，全面贯彻落实国务院《通知</w:t>
            </w:r>
            <w:r>
              <w:rPr>
                <w:rFonts w:hint="eastAsia"/>
                <w:color w:val="auto"/>
                <w:highlight w:val="none"/>
              </w:rPr>
              <w:t>》《</w:t>
            </w:r>
            <w:r>
              <w:rPr>
                <w:color w:val="auto"/>
                <w:highlight w:val="none"/>
              </w:rPr>
              <w:t>意见》和有关法律法规、文件规定，以推动尾矿库企业科学发展，有效防范和遏制生产安全事故和次生突发环境事件发生、构建尾矿库监督管理工作长效机制为目标，进一步明确职责，强化措施，严把尾矿库安全、环保准入关，切实加强尾矿库日常管理、监督、隐患排查治理，以及尾矿综合利用等各项工作，积极采用先进科技手段，提高尾矿库本质安全水平，努力实现全国尾矿库安全、环保状况持续稳定好转。</w:t>
            </w:r>
          </w:p>
        </w:tc>
        <w:tc>
          <w:tcPr>
            <w:tcW w:w="1583" w:type="pct"/>
            <w:tcBorders>
              <w:tl2br w:val="nil"/>
              <w:tr2bl w:val="nil"/>
            </w:tcBorders>
            <w:vAlign w:val="center"/>
          </w:tcPr>
          <w:p w14:paraId="7C034555">
            <w:pPr>
              <w:pStyle w:val="41"/>
              <w:rPr>
                <w:color w:val="auto"/>
                <w:highlight w:val="none"/>
              </w:rPr>
            </w:pPr>
            <w:r>
              <w:rPr>
                <w:color w:val="auto"/>
                <w:highlight w:val="none"/>
              </w:rPr>
              <w:t>①</w:t>
            </w:r>
            <w:r>
              <w:rPr>
                <w:rFonts w:hint="eastAsia"/>
                <w:color w:val="auto"/>
                <w:highlight w:val="none"/>
                <w:lang w:eastAsia="zh-CN"/>
              </w:rPr>
              <w:t>项目</w:t>
            </w:r>
            <w:r>
              <w:rPr>
                <w:color w:val="auto"/>
                <w:highlight w:val="none"/>
              </w:rPr>
              <w:t>深入贯彻落实科学发展观，坚持</w:t>
            </w:r>
            <w:r>
              <w:rPr>
                <w:rFonts w:hint="eastAsia"/>
                <w:color w:val="auto"/>
                <w:highlight w:val="none"/>
              </w:rPr>
              <w:t>“</w:t>
            </w:r>
            <w:r>
              <w:rPr>
                <w:color w:val="auto"/>
                <w:highlight w:val="none"/>
              </w:rPr>
              <w:t>安全第一、预防为主、综合治理</w:t>
            </w:r>
            <w:r>
              <w:rPr>
                <w:rFonts w:hint="eastAsia"/>
                <w:color w:val="auto"/>
                <w:highlight w:val="none"/>
              </w:rPr>
              <w:t>”</w:t>
            </w:r>
            <w:r>
              <w:rPr>
                <w:color w:val="auto"/>
                <w:highlight w:val="none"/>
              </w:rPr>
              <w:t>的方针，同时制定相关的管理制度和应急预案，按照要求购置必要的应急物资，与相关政府部门建立应急</w:t>
            </w:r>
            <w:r>
              <w:rPr>
                <w:rFonts w:hint="eastAsia"/>
                <w:color w:val="auto"/>
                <w:highlight w:val="none"/>
                <w:lang w:eastAsia="zh-CN"/>
              </w:rPr>
              <w:t>联动机制</w:t>
            </w:r>
            <w:r>
              <w:rPr>
                <w:color w:val="auto"/>
                <w:highlight w:val="none"/>
              </w:rPr>
              <w:t>，做好尾矿库的运行和管理工作。</w:t>
            </w:r>
            <w:r>
              <w:rPr>
                <w:color w:val="auto"/>
                <w:highlight w:val="none"/>
              </w:rPr>
              <w:br w:type="textWrapping"/>
            </w:r>
            <w:r>
              <w:rPr>
                <w:color w:val="auto"/>
                <w:highlight w:val="none"/>
              </w:rPr>
              <w:t>②</w:t>
            </w:r>
            <w:r>
              <w:rPr>
                <w:rFonts w:hint="eastAsia"/>
                <w:color w:val="auto"/>
                <w:highlight w:val="none"/>
              </w:rPr>
              <w:t>建设单位设置专人负责尾矿库的运行和管理工作，定期对尾矿库进行巡检；同时定期组织对尾矿库进行全面隐患排查，一旦发现隐患则第一时间予以解决和处置，保证尾矿库正常平稳运行。</w:t>
            </w:r>
          </w:p>
        </w:tc>
        <w:tc>
          <w:tcPr>
            <w:tcW w:w="403" w:type="pct"/>
            <w:tcBorders>
              <w:tl2br w:val="nil"/>
              <w:tr2bl w:val="nil"/>
            </w:tcBorders>
            <w:vAlign w:val="center"/>
          </w:tcPr>
          <w:p w14:paraId="2487BECC">
            <w:pPr>
              <w:pStyle w:val="41"/>
              <w:rPr>
                <w:color w:val="auto"/>
                <w:highlight w:val="none"/>
              </w:rPr>
            </w:pPr>
            <w:r>
              <w:rPr>
                <w:rFonts w:hint="eastAsia"/>
                <w:color w:val="auto"/>
                <w:highlight w:val="none"/>
              </w:rPr>
              <w:t>符合</w:t>
            </w:r>
          </w:p>
        </w:tc>
      </w:tr>
      <w:tr w14:paraId="154D5B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89" w:type="pct"/>
            <w:vMerge w:val="continue"/>
            <w:tcBorders>
              <w:tl2br w:val="nil"/>
              <w:tr2bl w:val="nil"/>
            </w:tcBorders>
            <w:vAlign w:val="center"/>
          </w:tcPr>
          <w:p w14:paraId="122C5A8A">
            <w:pPr>
              <w:pStyle w:val="41"/>
              <w:rPr>
                <w:color w:val="auto"/>
                <w:highlight w:val="none"/>
              </w:rPr>
            </w:pPr>
          </w:p>
        </w:tc>
        <w:tc>
          <w:tcPr>
            <w:tcW w:w="2623" w:type="pct"/>
            <w:tcBorders>
              <w:tl2br w:val="nil"/>
              <w:tr2bl w:val="nil"/>
            </w:tcBorders>
            <w:vAlign w:val="center"/>
          </w:tcPr>
          <w:p w14:paraId="4A9A2A89">
            <w:pPr>
              <w:pStyle w:val="41"/>
              <w:rPr>
                <w:color w:val="auto"/>
                <w:highlight w:val="none"/>
              </w:rPr>
            </w:pPr>
            <w:r>
              <w:rPr>
                <w:color w:val="auto"/>
                <w:highlight w:val="none"/>
              </w:rPr>
              <w:t>（二）目标任务。进一步强化落实监督管理职责，扎实推进尾矿库专项整治行动，依法严厉打击或取缔关闭非法生产和不具备安全生产条件、严重污染环境的尾矿库，建立完善尾矿库隐患排查治理长效机制，及时治理危库、险库，将病库数量控制在已取证尾矿库总量的5％以内，杜绝出现新的无主管单位的尾矿库。全面推进尾矿库安全生产标准化建设，2013年底前，生产运行尾矿库全部达到安全生产标准化三级以上（含三级）。加快建设尾矿库管理国家级平台，实现对尾矿库的动态管理，建立尾矿库</w:t>
            </w:r>
            <w:r>
              <w:rPr>
                <w:rFonts w:hint="eastAsia"/>
                <w:color w:val="auto"/>
                <w:highlight w:val="none"/>
              </w:rPr>
              <w:t>“</w:t>
            </w:r>
            <w:r>
              <w:rPr>
                <w:color w:val="auto"/>
                <w:highlight w:val="none"/>
              </w:rPr>
              <w:t>天地一体化</w:t>
            </w:r>
            <w:r>
              <w:rPr>
                <w:rFonts w:hint="eastAsia"/>
                <w:color w:val="auto"/>
                <w:highlight w:val="none"/>
              </w:rPr>
              <w:t>”</w:t>
            </w:r>
            <w:r>
              <w:rPr>
                <w:color w:val="auto"/>
                <w:highlight w:val="none"/>
              </w:rPr>
              <w:t>监控体系。大力推进尾矿库先进适用技术的应用及研发，积极引导各地区和尾矿库企业应用在线监测、尾矿充填和干式排尾等先进适用技术，到2013年底三等及三等以上在用尾矿库在线监测率达到100％。加快尾矿综合利用，加强政策引导和资金支持，积极推进尾矿综合利用项目的实施。</w:t>
            </w:r>
          </w:p>
        </w:tc>
        <w:tc>
          <w:tcPr>
            <w:tcW w:w="1583" w:type="pct"/>
            <w:tcBorders>
              <w:tl2br w:val="nil"/>
              <w:tr2bl w:val="nil"/>
            </w:tcBorders>
            <w:vAlign w:val="center"/>
          </w:tcPr>
          <w:p w14:paraId="175EB1C6">
            <w:pPr>
              <w:pStyle w:val="41"/>
              <w:rPr>
                <w:color w:val="auto"/>
                <w:highlight w:val="none"/>
              </w:rPr>
            </w:pPr>
            <w:r>
              <w:rPr>
                <w:rFonts w:hint="eastAsia"/>
                <w:color w:val="auto"/>
                <w:highlight w:val="none"/>
              </w:rPr>
              <w:t>①本项目尾矿库为新建项目</w:t>
            </w:r>
            <w:r>
              <w:rPr>
                <w:rFonts w:hint="eastAsia"/>
                <w:color w:val="auto"/>
                <w:highlight w:val="none"/>
                <w:lang w:eastAsia="zh-CN"/>
              </w:rPr>
              <w:t>，</w:t>
            </w:r>
            <w:r>
              <w:rPr>
                <w:rFonts w:hint="eastAsia"/>
                <w:color w:val="auto"/>
                <w:highlight w:val="none"/>
              </w:rPr>
              <w:t>严格按照相关规定和要求，建有在线监测设施，同时建立完善的监管系统。</w:t>
            </w:r>
            <w:r>
              <w:rPr>
                <w:rFonts w:hint="eastAsia"/>
                <w:color w:val="auto"/>
                <w:highlight w:val="none"/>
              </w:rPr>
              <w:br w:type="textWrapping"/>
            </w:r>
            <w:r>
              <w:rPr>
                <w:rFonts w:hint="eastAsia"/>
                <w:color w:val="auto"/>
                <w:highlight w:val="none"/>
              </w:rPr>
              <w:t>②项目采用先进的选矿工艺，提高钛铁矿资源的回收率，减少尾矿的排放量，同时在初选过程中产生的固废集中收集外售给周边砂石料厂进行综合利用，使尾矿资源化、减量化。</w:t>
            </w:r>
          </w:p>
        </w:tc>
        <w:tc>
          <w:tcPr>
            <w:tcW w:w="403" w:type="pct"/>
            <w:tcBorders>
              <w:tl2br w:val="nil"/>
              <w:tr2bl w:val="nil"/>
            </w:tcBorders>
            <w:vAlign w:val="center"/>
          </w:tcPr>
          <w:p w14:paraId="26D6B0E7">
            <w:pPr>
              <w:pStyle w:val="41"/>
              <w:rPr>
                <w:color w:val="auto"/>
                <w:highlight w:val="none"/>
              </w:rPr>
            </w:pPr>
            <w:r>
              <w:rPr>
                <w:rFonts w:hint="eastAsia"/>
                <w:color w:val="auto"/>
                <w:highlight w:val="none"/>
              </w:rPr>
              <w:t>符合</w:t>
            </w:r>
          </w:p>
        </w:tc>
      </w:tr>
      <w:tr w14:paraId="2DC367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89" w:type="pct"/>
            <w:vMerge w:val="restart"/>
            <w:tcBorders>
              <w:tl2br w:val="nil"/>
              <w:tr2bl w:val="nil"/>
            </w:tcBorders>
            <w:vAlign w:val="center"/>
          </w:tcPr>
          <w:p w14:paraId="53C383F8">
            <w:pPr>
              <w:pStyle w:val="41"/>
              <w:rPr>
                <w:color w:val="auto"/>
                <w:highlight w:val="none"/>
              </w:rPr>
            </w:pPr>
            <w:r>
              <w:rPr>
                <w:color w:val="auto"/>
                <w:highlight w:val="none"/>
              </w:rPr>
              <w:t>加强监管、严格准入，全面提升尾矿库监督管理工作科学化水平</w:t>
            </w:r>
          </w:p>
        </w:tc>
        <w:tc>
          <w:tcPr>
            <w:tcW w:w="2623" w:type="pct"/>
            <w:tcBorders>
              <w:tl2br w:val="nil"/>
              <w:tr2bl w:val="nil"/>
            </w:tcBorders>
            <w:vAlign w:val="center"/>
          </w:tcPr>
          <w:p w14:paraId="0EAAA5CD">
            <w:pPr>
              <w:pStyle w:val="41"/>
              <w:rPr>
                <w:color w:val="auto"/>
                <w:highlight w:val="none"/>
              </w:rPr>
            </w:pPr>
            <w:r>
              <w:rPr>
                <w:color w:val="auto"/>
                <w:highlight w:val="none"/>
              </w:rPr>
              <w:t>（一）持续深化尾矿库专项整治行动。各有关部门要切实加强对尾矿库专项整治行动的组织领导，健全完善尾矿库监督管理体制机制，坚决依法严厉打击或取缔关闭非法生产和不具备安全生产条件、严重污染环境的尾矿库，加大对无主管单位尾矿库的整治力度，及时治理危、险库。要进一步督促尾矿库企业切实落实尾矿库管理主体责任，健全完善尾矿库安全、环保管理制度，加强技术和现场管理，排查消除尾矿库重大隐患，有效监控运行情况。同时，要维护尾矿库企业的合法生产经营秩序，严厉打击偷盗破坏尾矿库安全监测设施、环保设施和应急救援物资的行为。</w:t>
            </w:r>
          </w:p>
        </w:tc>
        <w:tc>
          <w:tcPr>
            <w:tcW w:w="1583" w:type="pct"/>
            <w:tcBorders>
              <w:tl2br w:val="nil"/>
              <w:tr2bl w:val="nil"/>
            </w:tcBorders>
            <w:vAlign w:val="center"/>
          </w:tcPr>
          <w:p w14:paraId="43A761BE">
            <w:pPr>
              <w:pStyle w:val="41"/>
              <w:rPr>
                <w:color w:val="auto"/>
                <w:highlight w:val="none"/>
              </w:rPr>
            </w:pPr>
            <w:r>
              <w:rPr>
                <w:rFonts w:hint="eastAsia"/>
                <w:color w:val="auto"/>
                <w:highlight w:val="none"/>
              </w:rPr>
              <w:t>项目严格按照相关的规定和要求，制定了各项安全、污染防治、环境保护管理等制度，同时组织编制应急预案，购置必要的应急物资，组建应急救援队伍。</w:t>
            </w:r>
          </w:p>
        </w:tc>
        <w:tc>
          <w:tcPr>
            <w:tcW w:w="403" w:type="pct"/>
            <w:tcBorders>
              <w:tl2br w:val="nil"/>
              <w:tr2bl w:val="nil"/>
            </w:tcBorders>
            <w:vAlign w:val="center"/>
          </w:tcPr>
          <w:p w14:paraId="075D9FAD">
            <w:pPr>
              <w:pStyle w:val="41"/>
              <w:rPr>
                <w:color w:val="auto"/>
                <w:highlight w:val="none"/>
              </w:rPr>
            </w:pPr>
            <w:r>
              <w:rPr>
                <w:rFonts w:hint="eastAsia"/>
                <w:color w:val="auto"/>
                <w:highlight w:val="none"/>
              </w:rPr>
              <w:t>符合</w:t>
            </w:r>
          </w:p>
        </w:tc>
      </w:tr>
      <w:tr w14:paraId="056DB4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89" w:type="pct"/>
            <w:vMerge w:val="continue"/>
            <w:tcBorders>
              <w:tl2br w:val="nil"/>
              <w:tr2bl w:val="nil"/>
            </w:tcBorders>
            <w:vAlign w:val="center"/>
          </w:tcPr>
          <w:p w14:paraId="3C6CF153">
            <w:pPr>
              <w:pStyle w:val="41"/>
              <w:rPr>
                <w:color w:val="auto"/>
                <w:highlight w:val="none"/>
              </w:rPr>
            </w:pPr>
          </w:p>
        </w:tc>
        <w:tc>
          <w:tcPr>
            <w:tcW w:w="2623" w:type="pct"/>
            <w:tcBorders>
              <w:tl2br w:val="nil"/>
              <w:tr2bl w:val="nil"/>
            </w:tcBorders>
            <w:vAlign w:val="center"/>
          </w:tcPr>
          <w:p w14:paraId="3A72CDB3">
            <w:pPr>
              <w:pStyle w:val="41"/>
              <w:rPr>
                <w:color w:val="auto"/>
                <w:highlight w:val="none"/>
              </w:rPr>
            </w:pPr>
            <w:r>
              <w:rPr>
                <w:color w:val="auto"/>
                <w:highlight w:val="none"/>
              </w:rPr>
              <w:t>（二）严格尾矿库建设项目行政许可工作。严把安全、环保准入关，严格控制新建尾矿库、独立选矿厂建设项目，尤其是库容小于100万立方米、服务年限少于5年的尾矿库建设项目。严格审查尾矿库建设用地条件，不符合土地利用总体规划的，一律不予办理建设用地手续，并依法取缔关闭无证占地非法生产的企业。2011年3月5日《土地复垦条例》实施前已经办理建设用地手续，目前继续使用的尾矿库，造成土地毁损的，土地复垦义务人应当按照规定补充编制土地复垦方案。新建尾矿库的土地复垦义务人应当在办理建设用地申请或相关手续时，随有关报批材料报送土地复垦方案。同时，土地复垦义务人应当将土地复垦费用列入生产成本或建设项目总投资。新建尾矿库必须严格执行环境影响评价制度，并按照环评审批要求修建配套的污染防治设施，未经审批许可不得擅自开工建设，未经环保验收不得投入运行或使用。严格安全许可制度，新建金属非金属地下矿山必须对能否采用充填采矿法进行论证并优先推行充填采矿法，新建四、五等尾矿库应当优先采用一次性筑坝方式；对于达不到安全生产条件的，一律不予颁发安全生产许可证。在已建成尾矿库的上游、下游建设生产、生活设施的建设项目，应当经过当地政府相关部门审查同意，未履行相关手续的，由政府组织拆除违规建设的设施。</w:t>
            </w:r>
          </w:p>
        </w:tc>
        <w:tc>
          <w:tcPr>
            <w:tcW w:w="1583" w:type="pct"/>
            <w:tcBorders>
              <w:tl2br w:val="nil"/>
              <w:tr2bl w:val="nil"/>
            </w:tcBorders>
            <w:vAlign w:val="center"/>
          </w:tcPr>
          <w:p w14:paraId="614A2FFB">
            <w:pPr>
              <w:pStyle w:val="41"/>
              <w:rPr>
                <w:color w:val="auto"/>
                <w:highlight w:val="none"/>
              </w:rPr>
            </w:pPr>
            <w:r>
              <w:rPr>
                <w:rFonts w:hint="eastAsia"/>
                <w:color w:val="auto"/>
                <w:highlight w:val="none"/>
              </w:rPr>
              <w:t>①本项目尾矿库总库容4223.61万m</w:t>
            </w:r>
            <w:r>
              <w:rPr>
                <w:rFonts w:hint="eastAsia"/>
                <w:color w:val="auto"/>
                <w:highlight w:val="none"/>
                <w:vertAlign w:val="superscript"/>
              </w:rPr>
              <w:t>3</w:t>
            </w:r>
            <w:r>
              <w:rPr>
                <w:rFonts w:hint="eastAsia"/>
                <w:color w:val="auto"/>
                <w:highlight w:val="none"/>
              </w:rPr>
              <w:t>，有效库容3801.25万m</w:t>
            </w:r>
            <w:r>
              <w:rPr>
                <w:rFonts w:hint="eastAsia"/>
                <w:color w:val="auto"/>
                <w:highlight w:val="none"/>
                <w:vertAlign w:val="superscript"/>
              </w:rPr>
              <w:t>3</w:t>
            </w:r>
            <w:r>
              <w:rPr>
                <w:rFonts w:hint="eastAsia"/>
                <w:color w:val="auto"/>
                <w:highlight w:val="none"/>
              </w:rPr>
              <w:t>，服务年限20.14年，满足关于尾矿库最低服务年限和库容的要求。</w:t>
            </w:r>
            <w:r>
              <w:rPr>
                <w:rFonts w:hint="eastAsia"/>
                <w:color w:val="auto"/>
                <w:highlight w:val="none"/>
              </w:rPr>
              <w:br w:type="textWrapping"/>
            </w:r>
            <w:r>
              <w:rPr>
                <w:rFonts w:hint="eastAsia"/>
                <w:color w:val="auto"/>
                <w:highlight w:val="none"/>
              </w:rPr>
              <w:t>②项目在建设过程中占用草场，建设单位按照相关要求</w:t>
            </w:r>
            <w:r>
              <w:rPr>
                <w:rFonts w:hint="eastAsia"/>
                <w:color w:val="auto"/>
                <w:highlight w:val="none"/>
                <w:lang w:eastAsia="zh-CN"/>
              </w:rPr>
              <w:t>正在</w:t>
            </w:r>
            <w:r>
              <w:rPr>
                <w:rFonts w:hint="eastAsia"/>
                <w:color w:val="auto"/>
                <w:highlight w:val="none"/>
              </w:rPr>
              <w:t>办理征占用的手续。</w:t>
            </w:r>
          </w:p>
          <w:p w14:paraId="761F95DC">
            <w:pPr>
              <w:pStyle w:val="41"/>
              <w:rPr>
                <w:color w:val="auto"/>
                <w:highlight w:val="none"/>
              </w:rPr>
            </w:pPr>
            <w:r>
              <w:rPr>
                <w:rFonts w:hint="eastAsia"/>
                <w:color w:val="auto"/>
                <w:highlight w:val="none"/>
              </w:rPr>
              <w:t>③项目严格按照相关规定，不取得环评批复不得开工建设，不通过环保竣工验收</w:t>
            </w:r>
            <w:r>
              <w:rPr>
                <w:rFonts w:hint="eastAsia"/>
                <w:color w:val="auto"/>
                <w:highlight w:val="none"/>
                <w:lang w:eastAsia="zh-CN"/>
              </w:rPr>
              <w:t>不得</w:t>
            </w:r>
            <w:r>
              <w:rPr>
                <w:rFonts w:hint="eastAsia"/>
                <w:color w:val="auto"/>
                <w:highlight w:val="none"/>
              </w:rPr>
              <w:t>投入运营。</w:t>
            </w:r>
            <w:r>
              <w:rPr>
                <w:rFonts w:hint="eastAsia"/>
                <w:color w:val="auto"/>
                <w:highlight w:val="none"/>
              </w:rPr>
              <w:br w:type="textWrapping"/>
            </w:r>
            <w:r>
              <w:rPr>
                <w:rFonts w:hint="eastAsia"/>
                <w:color w:val="auto"/>
                <w:highlight w:val="none"/>
              </w:rPr>
              <w:t>④项目将初选产生的固废集中收集外售给周边砂石料厂进行综合利用，使固废减量化、资源化。</w:t>
            </w:r>
          </w:p>
        </w:tc>
        <w:tc>
          <w:tcPr>
            <w:tcW w:w="403" w:type="pct"/>
            <w:tcBorders>
              <w:tl2br w:val="nil"/>
              <w:tr2bl w:val="nil"/>
            </w:tcBorders>
            <w:vAlign w:val="center"/>
          </w:tcPr>
          <w:p w14:paraId="34C5056B">
            <w:pPr>
              <w:pStyle w:val="41"/>
              <w:rPr>
                <w:color w:val="auto"/>
                <w:highlight w:val="none"/>
              </w:rPr>
            </w:pPr>
            <w:r>
              <w:rPr>
                <w:rFonts w:hint="eastAsia"/>
                <w:color w:val="auto"/>
                <w:highlight w:val="none"/>
              </w:rPr>
              <w:t>符合</w:t>
            </w:r>
          </w:p>
        </w:tc>
      </w:tr>
      <w:tr w14:paraId="12CB13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89" w:type="pct"/>
            <w:vMerge w:val="continue"/>
            <w:tcBorders>
              <w:tl2br w:val="nil"/>
              <w:tr2bl w:val="nil"/>
            </w:tcBorders>
            <w:vAlign w:val="center"/>
          </w:tcPr>
          <w:p w14:paraId="5CAB1DC1">
            <w:pPr>
              <w:pStyle w:val="41"/>
              <w:rPr>
                <w:color w:val="auto"/>
                <w:highlight w:val="none"/>
              </w:rPr>
            </w:pPr>
          </w:p>
        </w:tc>
        <w:tc>
          <w:tcPr>
            <w:tcW w:w="2623" w:type="pct"/>
            <w:tcBorders>
              <w:tl2br w:val="nil"/>
              <w:tr2bl w:val="nil"/>
            </w:tcBorders>
            <w:vAlign w:val="center"/>
          </w:tcPr>
          <w:p w14:paraId="2BA153E6">
            <w:pPr>
              <w:pStyle w:val="41"/>
              <w:rPr>
                <w:color w:val="auto"/>
                <w:highlight w:val="none"/>
              </w:rPr>
            </w:pPr>
            <w:r>
              <w:rPr>
                <w:color w:val="auto"/>
                <w:highlight w:val="none"/>
              </w:rPr>
              <w:t>（三）严格落实安全、环保设施</w:t>
            </w:r>
            <w:r>
              <w:rPr>
                <w:rFonts w:hint="eastAsia"/>
                <w:color w:val="auto"/>
                <w:highlight w:val="none"/>
              </w:rPr>
              <w:t>“</w:t>
            </w:r>
            <w:r>
              <w:rPr>
                <w:color w:val="auto"/>
                <w:highlight w:val="none"/>
              </w:rPr>
              <w:t>三同时</w:t>
            </w:r>
            <w:r>
              <w:rPr>
                <w:rFonts w:hint="eastAsia"/>
                <w:color w:val="auto"/>
                <w:highlight w:val="none"/>
              </w:rPr>
              <w:t>”</w:t>
            </w:r>
            <w:r>
              <w:rPr>
                <w:color w:val="auto"/>
                <w:highlight w:val="none"/>
              </w:rPr>
              <w:t>审查制度。各有关部门要对新建、改建、扩建尾矿库执行严格的环评准入和安全、环保设施</w:t>
            </w:r>
            <w:r>
              <w:rPr>
                <w:rFonts w:hint="eastAsia"/>
                <w:color w:val="auto"/>
                <w:highlight w:val="none"/>
              </w:rPr>
              <w:t>“</w:t>
            </w:r>
            <w:r>
              <w:rPr>
                <w:color w:val="auto"/>
                <w:highlight w:val="none"/>
              </w:rPr>
              <w:t>三同时</w:t>
            </w:r>
            <w:r>
              <w:rPr>
                <w:rFonts w:hint="eastAsia"/>
                <w:color w:val="auto"/>
                <w:highlight w:val="none"/>
              </w:rPr>
              <w:t>”</w:t>
            </w:r>
            <w:r>
              <w:rPr>
                <w:color w:val="auto"/>
                <w:highlight w:val="none"/>
              </w:rPr>
              <w:t>制度，严格执行技术规范，加强源头治理。对未执行尾矿库建设项目环境影响评价制度和环保设施</w:t>
            </w:r>
            <w:r>
              <w:rPr>
                <w:rFonts w:hint="eastAsia"/>
                <w:color w:val="auto"/>
                <w:highlight w:val="none"/>
              </w:rPr>
              <w:t>“</w:t>
            </w:r>
            <w:r>
              <w:rPr>
                <w:color w:val="auto"/>
                <w:highlight w:val="none"/>
              </w:rPr>
              <w:t>三同时</w:t>
            </w:r>
            <w:r>
              <w:rPr>
                <w:rFonts w:hint="eastAsia"/>
                <w:color w:val="auto"/>
                <w:highlight w:val="none"/>
              </w:rPr>
              <w:t>”</w:t>
            </w:r>
            <w:r>
              <w:rPr>
                <w:color w:val="auto"/>
                <w:highlight w:val="none"/>
              </w:rPr>
              <w:t>制度，以及自2005年2月以后未执行尾矿库建设项目安全设施</w:t>
            </w:r>
            <w:r>
              <w:rPr>
                <w:rFonts w:hint="eastAsia"/>
                <w:color w:val="auto"/>
                <w:highlight w:val="none"/>
              </w:rPr>
              <w:t>“</w:t>
            </w:r>
            <w:r>
              <w:rPr>
                <w:color w:val="auto"/>
                <w:highlight w:val="none"/>
              </w:rPr>
              <w:t>三同时</w:t>
            </w:r>
            <w:r>
              <w:rPr>
                <w:rFonts w:hint="eastAsia"/>
                <w:color w:val="auto"/>
                <w:highlight w:val="none"/>
              </w:rPr>
              <w:t>”</w:t>
            </w:r>
            <w:r>
              <w:rPr>
                <w:color w:val="auto"/>
                <w:highlight w:val="none"/>
              </w:rPr>
              <w:t>制度的，要责令其限期补办相关手续，并依法进行处罚。对达不到安全环保要求的尾矿库，要责令其限期整改和治理，经整改和治理仍达不到要求的，要依法予以关闭停用。</w:t>
            </w:r>
          </w:p>
        </w:tc>
        <w:tc>
          <w:tcPr>
            <w:tcW w:w="1583" w:type="pct"/>
            <w:tcBorders>
              <w:tl2br w:val="nil"/>
              <w:tr2bl w:val="nil"/>
            </w:tcBorders>
            <w:vAlign w:val="center"/>
          </w:tcPr>
          <w:p w14:paraId="671C6FC6">
            <w:pPr>
              <w:pStyle w:val="41"/>
              <w:rPr>
                <w:color w:val="auto"/>
                <w:highlight w:val="none"/>
              </w:rPr>
            </w:pPr>
            <w:r>
              <w:rPr>
                <w:rFonts w:hint="eastAsia"/>
                <w:color w:val="auto"/>
                <w:highlight w:val="none"/>
              </w:rPr>
              <w:t>项目严格按照相关规定和要求，委托相关单位办理环保、安全等相关手续，不取得相关手续不得开工建设。</w:t>
            </w:r>
          </w:p>
        </w:tc>
        <w:tc>
          <w:tcPr>
            <w:tcW w:w="403" w:type="pct"/>
            <w:tcBorders>
              <w:tl2br w:val="nil"/>
              <w:tr2bl w:val="nil"/>
            </w:tcBorders>
            <w:vAlign w:val="center"/>
          </w:tcPr>
          <w:p w14:paraId="48F8FB3C">
            <w:pPr>
              <w:pStyle w:val="41"/>
              <w:rPr>
                <w:color w:val="auto"/>
                <w:highlight w:val="none"/>
              </w:rPr>
            </w:pPr>
            <w:r>
              <w:rPr>
                <w:rFonts w:hint="eastAsia"/>
                <w:color w:val="auto"/>
                <w:highlight w:val="none"/>
              </w:rPr>
              <w:t>符合</w:t>
            </w:r>
          </w:p>
        </w:tc>
      </w:tr>
      <w:tr w14:paraId="3FE56A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89" w:type="pct"/>
            <w:vMerge w:val="continue"/>
            <w:tcBorders>
              <w:tl2br w:val="nil"/>
              <w:tr2bl w:val="nil"/>
            </w:tcBorders>
            <w:vAlign w:val="center"/>
          </w:tcPr>
          <w:p w14:paraId="13C17642">
            <w:pPr>
              <w:pStyle w:val="41"/>
              <w:rPr>
                <w:color w:val="auto"/>
                <w:highlight w:val="none"/>
              </w:rPr>
            </w:pPr>
          </w:p>
        </w:tc>
        <w:tc>
          <w:tcPr>
            <w:tcW w:w="2623" w:type="pct"/>
            <w:tcBorders>
              <w:tl2br w:val="nil"/>
              <w:tr2bl w:val="nil"/>
            </w:tcBorders>
            <w:vAlign w:val="center"/>
          </w:tcPr>
          <w:p w14:paraId="7FE27CB7">
            <w:pPr>
              <w:pStyle w:val="41"/>
              <w:rPr>
                <w:color w:val="auto"/>
                <w:highlight w:val="none"/>
              </w:rPr>
            </w:pPr>
            <w:r>
              <w:rPr>
                <w:color w:val="auto"/>
                <w:highlight w:val="none"/>
              </w:rPr>
              <w:t>（四）加强对尾矿库企业的日常监督检查和隐患排查治理的督促指导。要进一步加强对尾矿库企业的监督管理，督促检查有关地区及企业严格执行尾矿库相关</w:t>
            </w:r>
            <w:r>
              <w:rPr>
                <w:rFonts w:hint="eastAsia"/>
                <w:color w:val="auto"/>
                <w:highlight w:val="none"/>
                <w:lang w:eastAsia="zh-CN"/>
              </w:rPr>
              <w:t>法律法规</w:t>
            </w:r>
            <w:r>
              <w:rPr>
                <w:color w:val="auto"/>
                <w:highlight w:val="none"/>
              </w:rPr>
              <w:t>和标准，建立完善尾矿库基本情况数据库。要督促尾矿库企业开展隐患排查，采取联合执法等有效方式对企业排查隐患情况进行督查。要加强对尾矿库排污申报的登记管理，对污染环境的尾矿库责令停止使用、限期治理，或提请当地县级以上人民政府依法实施关闭。对发生尾矿库生产安全事故和环境污染事件的企业，要依法进行严肃查处。要加强对尾矿库中介服务机构的监督管理，发现存在弄虚作假、服务质量问题的中介服务机构，要依法进行查处，对情节严重的要吊销相关证照。要督促尾矿库企业编制完善事故应急预案和评审备案，并定期组织演练。</w:t>
            </w:r>
          </w:p>
        </w:tc>
        <w:tc>
          <w:tcPr>
            <w:tcW w:w="1583" w:type="pct"/>
            <w:tcBorders>
              <w:tl2br w:val="nil"/>
              <w:tr2bl w:val="nil"/>
            </w:tcBorders>
            <w:vAlign w:val="center"/>
          </w:tcPr>
          <w:p w14:paraId="2ED78845">
            <w:pPr>
              <w:pStyle w:val="41"/>
              <w:rPr>
                <w:color w:val="auto"/>
                <w:highlight w:val="none"/>
              </w:rPr>
            </w:pPr>
            <w:r>
              <w:rPr>
                <w:rFonts w:hint="eastAsia"/>
                <w:color w:val="auto"/>
                <w:highlight w:val="none"/>
              </w:rPr>
              <w:t>①在项目尾矿库投入使用后，严格按照相关规定和要求，设置专人负责尾矿库的管理和运行工作，详细记录尾矿库的运行工况及相关信息。定期组织对尾矿库的隐患进行排查，同时发现问题及时进行</w:t>
            </w:r>
            <w:r>
              <w:rPr>
                <w:rFonts w:hint="eastAsia"/>
                <w:color w:val="auto"/>
                <w:highlight w:val="none"/>
                <w:lang w:eastAsia="zh-CN"/>
              </w:rPr>
              <w:t>整改</w:t>
            </w:r>
            <w:r>
              <w:rPr>
                <w:rFonts w:hint="eastAsia"/>
                <w:color w:val="auto"/>
                <w:highlight w:val="none"/>
              </w:rPr>
              <w:t>，彻底消除影响安全运行的隐患。</w:t>
            </w:r>
            <w:r>
              <w:rPr>
                <w:rFonts w:hint="eastAsia"/>
                <w:color w:val="auto"/>
                <w:highlight w:val="none"/>
              </w:rPr>
              <w:br w:type="textWrapping"/>
            </w:r>
            <w:r>
              <w:rPr>
                <w:rFonts w:hint="eastAsia"/>
                <w:color w:val="auto"/>
                <w:highlight w:val="none"/>
              </w:rPr>
              <w:t>②组织人力编制应急预案，购置必要的应急物资，组建应急队伍，定期演练和学习，加强应急队伍应对突发事件的处置能力。</w:t>
            </w:r>
          </w:p>
        </w:tc>
        <w:tc>
          <w:tcPr>
            <w:tcW w:w="403" w:type="pct"/>
            <w:tcBorders>
              <w:tl2br w:val="nil"/>
              <w:tr2bl w:val="nil"/>
            </w:tcBorders>
            <w:vAlign w:val="center"/>
          </w:tcPr>
          <w:p w14:paraId="1D93886C">
            <w:pPr>
              <w:pStyle w:val="41"/>
              <w:rPr>
                <w:color w:val="auto"/>
                <w:highlight w:val="none"/>
              </w:rPr>
            </w:pPr>
            <w:r>
              <w:rPr>
                <w:rFonts w:hint="eastAsia"/>
                <w:color w:val="auto"/>
                <w:highlight w:val="none"/>
              </w:rPr>
              <w:t>符合</w:t>
            </w:r>
          </w:p>
        </w:tc>
      </w:tr>
      <w:tr w14:paraId="062C54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89" w:type="pct"/>
            <w:vMerge w:val="continue"/>
            <w:tcBorders>
              <w:tl2br w:val="nil"/>
              <w:tr2bl w:val="nil"/>
            </w:tcBorders>
            <w:vAlign w:val="center"/>
          </w:tcPr>
          <w:p w14:paraId="5F2FE315">
            <w:pPr>
              <w:pStyle w:val="41"/>
              <w:rPr>
                <w:color w:val="auto"/>
                <w:highlight w:val="none"/>
              </w:rPr>
            </w:pPr>
          </w:p>
        </w:tc>
        <w:tc>
          <w:tcPr>
            <w:tcW w:w="2623" w:type="pct"/>
            <w:tcBorders>
              <w:tl2br w:val="nil"/>
              <w:tr2bl w:val="nil"/>
            </w:tcBorders>
            <w:vAlign w:val="center"/>
          </w:tcPr>
          <w:p w14:paraId="4B278B86">
            <w:pPr>
              <w:pStyle w:val="41"/>
              <w:rPr>
                <w:color w:val="auto"/>
                <w:highlight w:val="none"/>
              </w:rPr>
            </w:pPr>
            <w:r>
              <w:rPr>
                <w:color w:val="auto"/>
                <w:highlight w:val="none"/>
              </w:rPr>
              <w:t>（五）实施清洁生产，大力推进尾矿综合利用工作。要加大政策支持引导力度，鼓励引导相关企业实施清洁生产，开发应用资源利用率高、污染产生量少的选矿工艺技术，有效减少含有毒有害物尾矿及污染物的排放。要按照《国家发展改革委关于印发</w:t>
            </w:r>
            <w:r>
              <w:rPr>
                <w:rFonts w:hint="eastAsia"/>
                <w:color w:val="auto"/>
                <w:highlight w:val="none"/>
              </w:rPr>
              <w:t>“</w:t>
            </w:r>
            <w:r>
              <w:rPr>
                <w:color w:val="auto"/>
                <w:highlight w:val="none"/>
              </w:rPr>
              <w:t>十二五</w:t>
            </w:r>
            <w:r>
              <w:rPr>
                <w:rFonts w:hint="eastAsia"/>
                <w:color w:val="auto"/>
                <w:highlight w:val="none"/>
              </w:rPr>
              <w:t>”</w:t>
            </w:r>
            <w:r>
              <w:rPr>
                <w:color w:val="auto"/>
                <w:highlight w:val="none"/>
              </w:rPr>
              <w:t>资源综合利用指导意见和大宗固体废物综合利用方案的通知》（发改环资〔2011〕2919号）、《金属尾矿综合利用专项规划（2010－2015年）》（工信部联〔2010〕174号）、《关于印发〈大宗工业固体废物综合利用〉</w:t>
            </w:r>
            <w:r>
              <w:rPr>
                <w:rFonts w:hint="eastAsia"/>
                <w:color w:val="auto"/>
                <w:highlight w:val="none"/>
              </w:rPr>
              <w:t>“</w:t>
            </w:r>
            <w:r>
              <w:rPr>
                <w:color w:val="auto"/>
                <w:highlight w:val="none"/>
              </w:rPr>
              <w:t>十二五</w:t>
            </w:r>
            <w:r>
              <w:rPr>
                <w:rFonts w:hint="eastAsia"/>
                <w:color w:val="auto"/>
                <w:highlight w:val="none"/>
              </w:rPr>
              <w:t>”</w:t>
            </w:r>
            <w:r>
              <w:rPr>
                <w:color w:val="auto"/>
                <w:highlight w:val="none"/>
              </w:rPr>
              <w:t>规划的通知》（工信部规〔2011〕600号）要求，积极开展尾矿综合利用，加快尾矿综合利用示范基地建设，重点扶持和培育一批尾矿综合利用骨干企业，实现尾矿变废为宝，有效缓解尾矿堆存所带来的环境污染和安全隐患。要切实加强对尾矿综合利用的监督管理，督促尾矿库企业严格按照设计进行尾矿回采，并加强尾矿回采期间日常安全管理和检查，严防对尾矿坝安全和周边环境造成影响。要进一步做好尾矿资源调查，建立尾矿资源综合利用信息网络平台，开展尾矿综合利用技术研究，研究制定尾矿综合利用专项扶持政策。要尽快启动并全面实施尾矿综合利用示范项目。</w:t>
            </w:r>
          </w:p>
        </w:tc>
        <w:tc>
          <w:tcPr>
            <w:tcW w:w="1583" w:type="pct"/>
            <w:tcBorders>
              <w:tl2br w:val="nil"/>
              <w:tr2bl w:val="nil"/>
            </w:tcBorders>
            <w:vAlign w:val="center"/>
          </w:tcPr>
          <w:p w14:paraId="472066ED">
            <w:pPr>
              <w:pStyle w:val="41"/>
              <w:rPr>
                <w:color w:val="auto"/>
                <w:highlight w:val="none"/>
              </w:rPr>
            </w:pPr>
            <w:r>
              <w:rPr>
                <w:rFonts w:hint="eastAsia"/>
                <w:color w:val="auto"/>
                <w:highlight w:val="none"/>
              </w:rPr>
              <w:t>①项目采用先进设施，大力推进清洁生产，节能降耗，提高生产效率，降低能耗。</w:t>
            </w:r>
            <w:r>
              <w:rPr>
                <w:rFonts w:hint="eastAsia"/>
                <w:color w:val="auto"/>
                <w:highlight w:val="none"/>
              </w:rPr>
              <w:br w:type="textWrapping"/>
            </w:r>
            <w:r>
              <w:rPr>
                <w:rFonts w:hint="eastAsia"/>
                <w:color w:val="auto"/>
                <w:highlight w:val="none"/>
              </w:rPr>
              <w:t>②采用先进的选矿工艺，提高钛铁矿资源的</w:t>
            </w:r>
            <w:r>
              <w:rPr>
                <w:rFonts w:hint="eastAsia"/>
                <w:color w:val="auto"/>
                <w:highlight w:val="none"/>
                <w:lang w:eastAsia="zh-CN"/>
              </w:rPr>
              <w:t>回收率</w:t>
            </w:r>
            <w:r>
              <w:rPr>
                <w:rFonts w:hint="eastAsia"/>
                <w:color w:val="auto"/>
                <w:highlight w:val="none"/>
              </w:rPr>
              <w:t>，减少尾矿的排放量，同时将初选产生的固废集中收集外售给周边砂石料厂进行综合利用，使固废减量化、资源化。</w:t>
            </w:r>
          </w:p>
        </w:tc>
        <w:tc>
          <w:tcPr>
            <w:tcW w:w="403" w:type="pct"/>
            <w:tcBorders>
              <w:tl2br w:val="nil"/>
              <w:tr2bl w:val="nil"/>
            </w:tcBorders>
            <w:vAlign w:val="center"/>
          </w:tcPr>
          <w:p w14:paraId="4119645F">
            <w:pPr>
              <w:pStyle w:val="41"/>
              <w:rPr>
                <w:color w:val="auto"/>
                <w:highlight w:val="none"/>
              </w:rPr>
            </w:pPr>
            <w:r>
              <w:rPr>
                <w:rFonts w:hint="eastAsia"/>
                <w:color w:val="auto"/>
                <w:highlight w:val="none"/>
              </w:rPr>
              <w:t>符合</w:t>
            </w:r>
          </w:p>
        </w:tc>
      </w:tr>
      <w:tr w14:paraId="57722F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89" w:type="pct"/>
            <w:vMerge w:val="continue"/>
            <w:tcBorders>
              <w:tl2br w:val="nil"/>
              <w:tr2bl w:val="nil"/>
            </w:tcBorders>
            <w:vAlign w:val="center"/>
          </w:tcPr>
          <w:p w14:paraId="6DC2B55A">
            <w:pPr>
              <w:pStyle w:val="41"/>
              <w:rPr>
                <w:color w:val="auto"/>
                <w:highlight w:val="none"/>
              </w:rPr>
            </w:pPr>
          </w:p>
        </w:tc>
        <w:tc>
          <w:tcPr>
            <w:tcW w:w="2623" w:type="pct"/>
            <w:tcBorders>
              <w:tl2br w:val="nil"/>
              <w:tr2bl w:val="nil"/>
            </w:tcBorders>
            <w:vAlign w:val="center"/>
          </w:tcPr>
          <w:p w14:paraId="61B432CE">
            <w:pPr>
              <w:pStyle w:val="41"/>
              <w:rPr>
                <w:color w:val="auto"/>
                <w:highlight w:val="none"/>
              </w:rPr>
            </w:pPr>
            <w:r>
              <w:rPr>
                <w:color w:val="auto"/>
                <w:highlight w:val="none"/>
              </w:rPr>
              <w:t>（六）大力推进尾矿库先进适用技术的应用及研发。要积极引导各地区和尾矿库企业应用在线监测、尾矿充填和干式排尾等先进适用技术，力争在2013年底前，三等以上（含三等）及有关重点在用尾矿库全部实现在线监测，逐步建立</w:t>
            </w:r>
            <w:r>
              <w:rPr>
                <w:rFonts w:hint="eastAsia"/>
                <w:color w:val="auto"/>
                <w:highlight w:val="none"/>
              </w:rPr>
              <w:t>“</w:t>
            </w:r>
            <w:r>
              <w:rPr>
                <w:color w:val="auto"/>
                <w:highlight w:val="none"/>
              </w:rPr>
              <w:t>天地一体化</w:t>
            </w:r>
            <w:r>
              <w:rPr>
                <w:rFonts w:hint="eastAsia"/>
                <w:color w:val="auto"/>
                <w:highlight w:val="none"/>
              </w:rPr>
              <w:t>”</w:t>
            </w:r>
            <w:r>
              <w:rPr>
                <w:color w:val="auto"/>
                <w:highlight w:val="none"/>
              </w:rPr>
              <w:t>监控体系。要积极推动各地区和尾矿库企业加大科技投入，进一步改善尾矿库建设和生产的工艺、技术、装备、设施，鼓励采用一次性筑坝方式建设尾矿库。要进一步重视尾矿库安全、环保科研工作，针对极端气候条件和尾矿库安全、环保面临的现实难题，加大自主研发创新工作力度，不断提高尾矿库安全环境科技保障水平。</w:t>
            </w:r>
          </w:p>
        </w:tc>
        <w:tc>
          <w:tcPr>
            <w:tcW w:w="1583" w:type="pct"/>
            <w:tcBorders>
              <w:tl2br w:val="nil"/>
              <w:tr2bl w:val="nil"/>
            </w:tcBorders>
            <w:vAlign w:val="center"/>
          </w:tcPr>
          <w:p w14:paraId="590E0571">
            <w:pPr>
              <w:pStyle w:val="41"/>
              <w:rPr>
                <w:color w:val="auto"/>
                <w:highlight w:val="none"/>
              </w:rPr>
            </w:pPr>
            <w:r>
              <w:rPr>
                <w:color w:val="auto"/>
                <w:highlight w:val="none"/>
              </w:rPr>
              <w:t>①项目采用先进的选矿工艺，提高钛铁矿资源的回收率，减少尾矿的排放量；同时将</w:t>
            </w:r>
            <w:r>
              <w:rPr>
                <w:rFonts w:hint="eastAsia"/>
                <w:color w:val="auto"/>
                <w:highlight w:val="none"/>
              </w:rPr>
              <w:t>初选</w:t>
            </w:r>
            <w:r>
              <w:rPr>
                <w:color w:val="auto"/>
                <w:highlight w:val="none"/>
              </w:rPr>
              <w:t>产生的固废集中收集外售给周边砂石料</w:t>
            </w:r>
            <w:r>
              <w:rPr>
                <w:rFonts w:hint="eastAsia"/>
                <w:color w:val="auto"/>
                <w:highlight w:val="none"/>
              </w:rPr>
              <w:t>厂</w:t>
            </w:r>
            <w:r>
              <w:rPr>
                <w:color w:val="auto"/>
                <w:highlight w:val="none"/>
              </w:rPr>
              <w:t>进行综合利用，使固废资源化、减量化。</w:t>
            </w:r>
            <w:r>
              <w:rPr>
                <w:color w:val="auto"/>
                <w:highlight w:val="none"/>
              </w:rPr>
              <w:br w:type="textWrapping"/>
            </w:r>
            <w:r>
              <w:rPr>
                <w:color w:val="auto"/>
                <w:highlight w:val="none"/>
              </w:rPr>
              <w:t>②项目严格按照相关要求对尾矿库设置在线监控设施，构建监控系统，实时对尾矿库的运行进行监管。</w:t>
            </w:r>
          </w:p>
          <w:p w14:paraId="09F39C84">
            <w:pPr>
              <w:pStyle w:val="41"/>
              <w:rPr>
                <w:color w:val="auto"/>
                <w:highlight w:val="none"/>
              </w:rPr>
            </w:pPr>
            <w:r>
              <w:rPr>
                <w:color w:val="auto"/>
                <w:highlight w:val="none"/>
              </w:rPr>
              <w:t>③</w:t>
            </w:r>
            <w:r>
              <w:rPr>
                <w:rFonts w:hint="eastAsia"/>
                <w:color w:val="auto"/>
                <w:highlight w:val="none"/>
              </w:rPr>
              <w:t>项目在生产期间，不断探索、研究</w:t>
            </w:r>
            <w:r>
              <w:rPr>
                <w:rFonts w:hint="eastAsia"/>
                <w:color w:val="auto"/>
                <w:highlight w:val="none"/>
                <w:lang w:eastAsia="zh-CN"/>
              </w:rPr>
              <w:t>如何</w:t>
            </w:r>
            <w:r>
              <w:rPr>
                <w:rFonts w:hint="eastAsia"/>
                <w:color w:val="auto"/>
                <w:highlight w:val="none"/>
              </w:rPr>
              <w:t>提高尾矿的利用率，减少尾矿的排放量。</w:t>
            </w:r>
          </w:p>
        </w:tc>
        <w:tc>
          <w:tcPr>
            <w:tcW w:w="403" w:type="pct"/>
            <w:tcBorders>
              <w:tl2br w:val="nil"/>
              <w:tr2bl w:val="nil"/>
            </w:tcBorders>
            <w:vAlign w:val="center"/>
          </w:tcPr>
          <w:p w14:paraId="61C82CF9">
            <w:pPr>
              <w:pStyle w:val="41"/>
              <w:rPr>
                <w:color w:val="auto"/>
                <w:highlight w:val="none"/>
              </w:rPr>
            </w:pPr>
            <w:r>
              <w:rPr>
                <w:rFonts w:hint="eastAsia"/>
                <w:color w:val="auto"/>
                <w:highlight w:val="none"/>
              </w:rPr>
              <w:t>符合</w:t>
            </w:r>
          </w:p>
        </w:tc>
      </w:tr>
      <w:tr w14:paraId="108DCD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89" w:type="pct"/>
            <w:vMerge w:val="continue"/>
            <w:tcBorders>
              <w:tl2br w:val="nil"/>
              <w:tr2bl w:val="nil"/>
            </w:tcBorders>
            <w:vAlign w:val="center"/>
          </w:tcPr>
          <w:p w14:paraId="52845426">
            <w:pPr>
              <w:pStyle w:val="41"/>
              <w:rPr>
                <w:color w:val="auto"/>
                <w:highlight w:val="none"/>
              </w:rPr>
            </w:pPr>
          </w:p>
        </w:tc>
        <w:tc>
          <w:tcPr>
            <w:tcW w:w="2623" w:type="pct"/>
            <w:tcBorders>
              <w:tl2br w:val="nil"/>
              <w:tr2bl w:val="nil"/>
            </w:tcBorders>
            <w:vAlign w:val="center"/>
          </w:tcPr>
          <w:p w14:paraId="399D1FC1">
            <w:pPr>
              <w:pStyle w:val="41"/>
              <w:rPr>
                <w:color w:val="auto"/>
                <w:highlight w:val="none"/>
              </w:rPr>
            </w:pPr>
            <w:r>
              <w:rPr>
                <w:color w:val="auto"/>
                <w:highlight w:val="none"/>
              </w:rPr>
              <w:t>（七）严格闭库程序</w:t>
            </w:r>
            <w:r>
              <w:rPr>
                <w:rFonts w:hint="eastAsia"/>
                <w:color w:val="auto"/>
                <w:highlight w:val="none"/>
                <w:lang w:eastAsia="zh-CN"/>
              </w:rPr>
              <w:t>，加强对</w:t>
            </w:r>
            <w:r>
              <w:rPr>
                <w:color w:val="auto"/>
                <w:highlight w:val="none"/>
              </w:rPr>
              <w:t>闭库尾矿库的监督管理。各地区和各有关部门要督促尾矿库企业严格履行尾矿库闭库手续，落实闭库后的管理责任，严把闭库工程安全、环保设施设计审查和竣工验收关。对解散或者关闭破产的生产经营单位已关闭或者停用尾矿库，其管理工作由生产经营单位出资人或其上级主管单位负责；无上级主管单位或者出资人不明确的，由县级以上人民政府指定管理单位。尾矿库运行到设计最终标高或者不再进行排尾作业的，应当在一年内完成闭库。凡不对停用尾矿库进行闭库治理的尾矿库企业，应按照《土地复垦条例》第十八条规定缴纳土地复垦费</w:t>
            </w:r>
            <w:r>
              <w:rPr>
                <w:rFonts w:hint="eastAsia"/>
                <w:color w:val="auto"/>
                <w:highlight w:val="none"/>
                <w:lang w:eastAsia="zh-CN"/>
              </w:rPr>
              <w:t>。</w:t>
            </w:r>
            <w:r>
              <w:rPr>
                <w:color w:val="auto"/>
                <w:highlight w:val="none"/>
              </w:rPr>
              <w:t>有关部门不得为其办理新增项目的核准备案，不得批准环保和安全手续。尾矿库闭库后，土地复垦义务人应严格按照土地复垦方案要求完成土地复垦义务，并及时向项目所在地国土资源部门申请验收。国土资源部门要监督用地单位及时将土地复垦为耕地、林地或园地等农用地，交还给原农村集体经济组织使用。同时，要加强对已闭库尾矿库地质灾害防治管理工作的监督管理。</w:t>
            </w:r>
          </w:p>
        </w:tc>
        <w:tc>
          <w:tcPr>
            <w:tcW w:w="1583" w:type="pct"/>
            <w:tcBorders>
              <w:tl2br w:val="nil"/>
              <w:tr2bl w:val="nil"/>
            </w:tcBorders>
            <w:vAlign w:val="center"/>
          </w:tcPr>
          <w:p w14:paraId="5BD802CF">
            <w:pPr>
              <w:pStyle w:val="41"/>
              <w:rPr>
                <w:color w:val="auto"/>
                <w:highlight w:val="none"/>
              </w:rPr>
            </w:pPr>
            <w:r>
              <w:rPr>
                <w:color w:val="auto"/>
                <w:highlight w:val="none"/>
              </w:rPr>
              <w:t>①</w:t>
            </w:r>
            <w:r>
              <w:rPr>
                <w:rFonts w:hint="eastAsia"/>
                <w:color w:val="auto"/>
                <w:highlight w:val="none"/>
              </w:rPr>
              <w:t>项目</w:t>
            </w:r>
            <w:r>
              <w:rPr>
                <w:rFonts w:hint="eastAsia"/>
                <w:color w:val="auto"/>
                <w:highlight w:val="none"/>
                <w:lang w:eastAsia="zh-CN"/>
              </w:rPr>
              <w:t>应设置</w:t>
            </w:r>
            <w:r>
              <w:rPr>
                <w:rFonts w:hint="eastAsia"/>
                <w:color w:val="auto"/>
                <w:highlight w:val="none"/>
              </w:rPr>
              <w:t>专人和管理部门负责尾矿库的运行和管理工作。在尾矿库闭库后，</w:t>
            </w:r>
            <w:r>
              <w:rPr>
                <w:rFonts w:hint="eastAsia"/>
                <w:color w:val="auto"/>
                <w:highlight w:val="none"/>
                <w:lang w:eastAsia="zh-CN"/>
              </w:rPr>
              <w:t>应按照</w:t>
            </w:r>
            <w:r>
              <w:rPr>
                <w:rFonts w:hint="eastAsia"/>
                <w:color w:val="auto"/>
                <w:highlight w:val="none"/>
              </w:rPr>
              <w:t>相关要求对尾矿库进行生态恢复治理。</w:t>
            </w:r>
            <w:r>
              <w:rPr>
                <w:rFonts w:hint="eastAsia"/>
                <w:color w:val="auto"/>
                <w:highlight w:val="none"/>
              </w:rPr>
              <w:br w:type="textWrapping"/>
            </w:r>
            <w:r>
              <w:rPr>
                <w:color w:val="auto"/>
                <w:highlight w:val="none"/>
              </w:rPr>
              <w:t>②</w:t>
            </w:r>
            <w:r>
              <w:rPr>
                <w:rFonts w:hint="eastAsia"/>
                <w:color w:val="auto"/>
                <w:highlight w:val="none"/>
              </w:rPr>
              <w:t>项目</w:t>
            </w:r>
            <w:r>
              <w:rPr>
                <w:rFonts w:hint="eastAsia"/>
                <w:color w:val="auto"/>
                <w:highlight w:val="none"/>
                <w:lang w:eastAsia="zh-CN"/>
              </w:rPr>
              <w:t>应按照</w:t>
            </w:r>
            <w:r>
              <w:rPr>
                <w:rFonts w:hint="eastAsia"/>
                <w:color w:val="auto"/>
                <w:highlight w:val="none"/>
              </w:rPr>
              <w:t>相关规定和要求，做好尾矿库闭库的生态恢复治理工作，</w:t>
            </w:r>
            <w:r>
              <w:rPr>
                <w:rFonts w:hint="eastAsia"/>
                <w:color w:val="auto"/>
                <w:highlight w:val="none"/>
                <w:lang w:eastAsia="zh-CN"/>
              </w:rPr>
              <w:t>同时</w:t>
            </w:r>
            <w:r>
              <w:rPr>
                <w:rFonts w:hint="eastAsia"/>
                <w:color w:val="auto"/>
                <w:highlight w:val="none"/>
              </w:rPr>
              <w:t>按照要求</w:t>
            </w:r>
            <w:r>
              <w:rPr>
                <w:rFonts w:hint="eastAsia"/>
                <w:color w:val="auto"/>
                <w:highlight w:val="none"/>
                <w:lang w:eastAsia="zh-CN"/>
              </w:rPr>
              <w:t>对土地进行</w:t>
            </w:r>
            <w:r>
              <w:rPr>
                <w:rFonts w:hint="eastAsia"/>
                <w:color w:val="auto"/>
                <w:highlight w:val="none"/>
              </w:rPr>
              <w:t>复垦。</w:t>
            </w:r>
          </w:p>
        </w:tc>
        <w:tc>
          <w:tcPr>
            <w:tcW w:w="403" w:type="pct"/>
            <w:tcBorders>
              <w:tl2br w:val="nil"/>
              <w:tr2bl w:val="nil"/>
            </w:tcBorders>
            <w:vAlign w:val="center"/>
          </w:tcPr>
          <w:p w14:paraId="08F094EC">
            <w:pPr>
              <w:pStyle w:val="41"/>
              <w:rPr>
                <w:color w:val="auto"/>
                <w:highlight w:val="none"/>
              </w:rPr>
            </w:pPr>
            <w:r>
              <w:rPr>
                <w:rFonts w:hint="eastAsia"/>
                <w:color w:val="auto"/>
                <w:highlight w:val="none"/>
              </w:rPr>
              <w:t>符合</w:t>
            </w:r>
          </w:p>
        </w:tc>
      </w:tr>
    </w:tbl>
    <w:p w14:paraId="2B0E57BE">
      <w:pPr>
        <w:pStyle w:val="3"/>
        <w:ind w:firstLine="480"/>
        <w:rPr>
          <w:color w:val="auto"/>
          <w:highlight w:val="none"/>
        </w:rPr>
      </w:pPr>
      <w:r>
        <w:rPr>
          <w:rFonts w:hint="eastAsia"/>
          <w:color w:val="auto"/>
          <w:highlight w:val="none"/>
        </w:rPr>
        <w:t>由上表可知，项目的建设符合《关于进一步加强尾矿库监督管理工作的指导意见》的相关要求。</w:t>
      </w:r>
    </w:p>
    <w:p w14:paraId="6048CDA4">
      <w:pPr>
        <w:pStyle w:val="42"/>
        <w:rPr>
          <w:rFonts w:hint="default"/>
          <w:color w:val="auto"/>
          <w:highlight w:val="none"/>
        </w:rPr>
      </w:pPr>
      <w:r>
        <w:rPr>
          <w:rFonts w:hint="default"/>
          <w:color w:val="auto"/>
          <w:highlight w:val="none"/>
        </w:rPr>
        <w:t xml:space="preserve"> 与</w:t>
      </w:r>
      <w:r>
        <w:rPr>
          <w:color w:val="auto"/>
          <w:highlight w:val="none"/>
        </w:rPr>
        <w:t>《尾矿库安全规程》（GB39496-2020）等规范</w:t>
      </w:r>
      <w:r>
        <w:rPr>
          <w:rFonts w:hint="default"/>
          <w:color w:val="auto"/>
          <w:highlight w:val="none"/>
        </w:rPr>
        <w:t>相符性</w:t>
      </w:r>
    </w:p>
    <w:p w14:paraId="64060091">
      <w:pPr>
        <w:pStyle w:val="3"/>
        <w:ind w:firstLine="480"/>
        <w:rPr>
          <w:color w:val="auto"/>
          <w:highlight w:val="none"/>
        </w:rPr>
      </w:pPr>
      <w:r>
        <w:rPr>
          <w:rFonts w:hint="eastAsia"/>
          <w:color w:val="auto"/>
          <w:highlight w:val="none"/>
        </w:rPr>
        <w:t>本项目尾矿库选址与</w:t>
      </w:r>
      <w:r>
        <w:rPr>
          <w:color w:val="auto"/>
          <w:highlight w:val="none"/>
        </w:rPr>
        <w:t>《尾矿设施设计规范》（GB50863-2013）</w:t>
      </w:r>
      <w:r>
        <w:rPr>
          <w:rFonts w:hint="eastAsia"/>
          <w:color w:val="auto"/>
          <w:highlight w:val="none"/>
        </w:rPr>
        <w:t>、</w:t>
      </w:r>
      <w:r>
        <w:rPr>
          <w:color w:val="auto"/>
          <w:highlight w:val="none"/>
        </w:rPr>
        <w:t>《尾矿库安全技术规程》（AQ2006-2005）</w:t>
      </w:r>
      <w:r>
        <w:rPr>
          <w:rFonts w:hint="eastAsia"/>
          <w:color w:val="auto"/>
          <w:highlight w:val="none"/>
        </w:rPr>
        <w:t>及《一般工业固体废物贮存和填埋污染控制标准》（GB18599-2020）相符性详见下表。</w:t>
      </w:r>
    </w:p>
    <w:p w14:paraId="55509B68">
      <w:pPr>
        <w:pStyle w:val="40"/>
        <w:rPr>
          <w:color w:val="auto"/>
          <w:highlight w:val="none"/>
        </w:rPr>
      </w:pPr>
      <w:r>
        <w:rPr>
          <w:color w:val="auto"/>
          <w:highlight w:val="none"/>
        </w:rPr>
        <w:t>表</w:t>
      </w:r>
      <w:r>
        <w:rPr>
          <w:rFonts w:hint="eastAsia"/>
          <w:color w:val="auto"/>
          <w:highlight w:val="none"/>
        </w:rPr>
        <w:t>1.3-6</w:t>
      </w:r>
      <w:r>
        <w:rPr>
          <w:color w:val="auto"/>
          <w:highlight w:val="none"/>
        </w:rPr>
        <w:t xml:space="preserve">   </w:t>
      </w:r>
      <w:r>
        <w:rPr>
          <w:rFonts w:hint="eastAsia"/>
          <w:color w:val="auto"/>
          <w:highlight w:val="none"/>
        </w:rPr>
        <w:t xml:space="preserve">           </w:t>
      </w:r>
      <w:r>
        <w:rPr>
          <w:color w:val="auto"/>
          <w:highlight w:val="none"/>
        </w:rPr>
        <w:t xml:space="preserve"> 尾矿库选址合理性分析一览表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33"/>
        <w:gridCol w:w="2139"/>
        <w:gridCol w:w="2050"/>
        <w:gridCol w:w="2563"/>
        <w:gridCol w:w="1331"/>
      </w:tblGrid>
      <w:tr w14:paraId="0D65D7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tcBorders>
              <w:tl2br w:val="nil"/>
              <w:tr2bl w:val="nil"/>
            </w:tcBorders>
            <w:vAlign w:val="center"/>
          </w:tcPr>
          <w:p w14:paraId="1066D1BB">
            <w:pPr>
              <w:pStyle w:val="41"/>
              <w:rPr>
                <w:color w:val="auto"/>
                <w:highlight w:val="none"/>
              </w:rPr>
            </w:pPr>
            <w:r>
              <w:rPr>
                <w:color w:val="auto"/>
                <w:highlight w:val="none"/>
              </w:rPr>
              <w:t>序号</w:t>
            </w:r>
          </w:p>
        </w:tc>
        <w:tc>
          <w:tcPr>
            <w:tcW w:w="1255" w:type="pct"/>
            <w:tcBorders>
              <w:tl2br w:val="nil"/>
              <w:tr2bl w:val="nil"/>
            </w:tcBorders>
            <w:vAlign w:val="center"/>
          </w:tcPr>
          <w:p w14:paraId="5388AA74">
            <w:pPr>
              <w:pStyle w:val="41"/>
              <w:rPr>
                <w:color w:val="auto"/>
                <w:highlight w:val="none"/>
              </w:rPr>
            </w:pPr>
            <w:r>
              <w:rPr>
                <w:color w:val="auto"/>
                <w:highlight w:val="none"/>
              </w:rPr>
              <w:t>《尾矿设施设计规范》（GB50863-2013）</w:t>
            </w:r>
          </w:p>
        </w:tc>
        <w:tc>
          <w:tcPr>
            <w:tcW w:w="1203" w:type="pct"/>
            <w:tcBorders>
              <w:tl2br w:val="nil"/>
              <w:tr2bl w:val="nil"/>
            </w:tcBorders>
            <w:vAlign w:val="center"/>
          </w:tcPr>
          <w:p w14:paraId="3D0014D5">
            <w:pPr>
              <w:pStyle w:val="41"/>
              <w:rPr>
                <w:color w:val="auto"/>
                <w:highlight w:val="none"/>
              </w:rPr>
            </w:pPr>
            <w:r>
              <w:rPr>
                <w:color w:val="auto"/>
                <w:highlight w:val="none"/>
              </w:rPr>
              <w:t>《尾矿库安全技术规程》（AQ2006-2005）</w:t>
            </w:r>
          </w:p>
        </w:tc>
        <w:tc>
          <w:tcPr>
            <w:tcW w:w="1504" w:type="pct"/>
            <w:tcBorders>
              <w:tl2br w:val="nil"/>
              <w:tr2bl w:val="nil"/>
            </w:tcBorders>
            <w:vAlign w:val="center"/>
          </w:tcPr>
          <w:p w14:paraId="472C1069">
            <w:pPr>
              <w:pStyle w:val="41"/>
              <w:rPr>
                <w:color w:val="auto"/>
                <w:highlight w:val="none"/>
              </w:rPr>
            </w:pPr>
            <w:r>
              <w:rPr>
                <w:color w:val="auto"/>
                <w:highlight w:val="none"/>
              </w:rPr>
              <w:t>《一般工业固体废物贮存和填埋污染控制标准》（GB18599-2020）</w:t>
            </w:r>
          </w:p>
        </w:tc>
        <w:tc>
          <w:tcPr>
            <w:tcW w:w="781" w:type="pct"/>
            <w:tcBorders>
              <w:tl2br w:val="nil"/>
              <w:tr2bl w:val="nil"/>
            </w:tcBorders>
            <w:vAlign w:val="center"/>
          </w:tcPr>
          <w:p w14:paraId="007E6E9B">
            <w:pPr>
              <w:pStyle w:val="41"/>
              <w:rPr>
                <w:color w:val="auto"/>
                <w:highlight w:val="none"/>
              </w:rPr>
            </w:pPr>
            <w:r>
              <w:rPr>
                <w:color w:val="auto"/>
                <w:highlight w:val="none"/>
              </w:rPr>
              <w:t>本项目</w:t>
            </w:r>
          </w:p>
        </w:tc>
      </w:tr>
      <w:tr w14:paraId="2866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tcBorders>
              <w:tl2br w:val="nil"/>
              <w:tr2bl w:val="nil"/>
            </w:tcBorders>
            <w:vAlign w:val="center"/>
          </w:tcPr>
          <w:p w14:paraId="17033D2A">
            <w:pPr>
              <w:pStyle w:val="41"/>
              <w:rPr>
                <w:color w:val="auto"/>
                <w:highlight w:val="none"/>
              </w:rPr>
            </w:pPr>
            <w:r>
              <w:rPr>
                <w:color w:val="auto"/>
                <w:highlight w:val="none"/>
              </w:rPr>
              <w:t>1</w:t>
            </w:r>
          </w:p>
        </w:tc>
        <w:tc>
          <w:tcPr>
            <w:tcW w:w="1255" w:type="pct"/>
            <w:tcBorders>
              <w:tl2br w:val="nil"/>
              <w:tr2bl w:val="nil"/>
            </w:tcBorders>
            <w:vAlign w:val="center"/>
          </w:tcPr>
          <w:p w14:paraId="724E2C57">
            <w:pPr>
              <w:pStyle w:val="41"/>
              <w:rPr>
                <w:color w:val="auto"/>
                <w:highlight w:val="none"/>
              </w:rPr>
            </w:pPr>
            <w:r>
              <w:rPr>
                <w:color w:val="auto"/>
                <w:highlight w:val="none"/>
              </w:rPr>
              <w:t>不宜位于工业企业、大型水源地、水产基地和</w:t>
            </w:r>
            <w:r>
              <w:rPr>
                <w:rFonts w:hint="eastAsia"/>
                <w:color w:val="auto"/>
                <w:highlight w:val="none"/>
              </w:rPr>
              <w:t>大型</w:t>
            </w:r>
            <w:r>
              <w:rPr>
                <w:color w:val="auto"/>
                <w:highlight w:val="none"/>
              </w:rPr>
              <w:t>居民区的上游</w:t>
            </w:r>
            <w:r>
              <w:rPr>
                <w:rFonts w:hint="eastAsia"/>
                <w:color w:val="auto"/>
                <w:highlight w:val="none"/>
              </w:rPr>
              <w:t>。</w:t>
            </w:r>
          </w:p>
        </w:tc>
        <w:tc>
          <w:tcPr>
            <w:tcW w:w="1203" w:type="pct"/>
            <w:tcBorders>
              <w:tl2br w:val="nil"/>
              <w:tr2bl w:val="nil"/>
            </w:tcBorders>
            <w:vAlign w:val="center"/>
          </w:tcPr>
          <w:p w14:paraId="3C07F104">
            <w:pPr>
              <w:pStyle w:val="41"/>
              <w:rPr>
                <w:color w:val="auto"/>
                <w:highlight w:val="none"/>
              </w:rPr>
            </w:pPr>
            <w:r>
              <w:rPr>
                <w:color w:val="auto"/>
                <w:highlight w:val="none"/>
              </w:rPr>
              <w:t>不宜位于工矿企业、大型水源地、水产基地和大型居民区上游</w:t>
            </w:r>
            <w:r>
              <w:rPr>
                <w:rFonts w:hint="eastAsia"/>
                <w:color w:val="auto"/>
                <w:highlight w:val="none"/>
              </w:rPr>
              <w:t>。</w:t>
            </w:r>
          </w:p>
        </w:tc>
        <w:tc>
          <w:tcPr>
            <w:tcW w:w="1504" w:type="pct"/>
            <w:tcBorders>
              <w:tl2br w:val="nil"/>
              <w:tr2bl w:val="nil"/>
            </w:tcBorders>
            <w:vAlign w:val="center"/>
          </w:tcPr>
          <w:p w14:paraId="17B5FBCD">
            <w:pPr>
              <w:pStyle w:val="41"/>
              <w:rPr>
                <w:color w:val="auto"/>
                <w:highlight w:val="none"/>
              </w:rPr>
            </w:pPr>
            <w:r>
              <w:rPr>
                <w:color w:val="auto"/>
                <w:highlight w:val="none"/>
              </w:rPr>
              <w:t>贮存场、填埋场不得选在生态保护红线区域、永久基本农田集中区域和其他需要特别保护的区域内。</w:t>
            </w:r>
          </w:p>
        </w:tc>
        <w:tc>
          <w:tcPr>
            <w:tcW w:w="781" w:type="pct"/>
            <w:tcBorders>
              <w:tl2br w:val="nil"/>
              <w:tr2bl w:val="nil"/>
            </w:tcBorders>
            <w:vAlign w:val="center"/>
          </w:tcPr>
          <w:p w14:paraId="3B8996AE">
            <w:pPr>
              <w:pStyle w:val="41"/>
              <w:rPr>
                <w:color w:val="auto"/>
                <w:highlight w:val="none"/>
              </w:rPr>
            </w:pPr>
            <w:r>
              <w:rPr>
                <w:color w:val="auto"/>
                <w:highlight w:val="none"/>
              </w:rPr>
              <w:t>本项目未建设在工矿企业及水源地、居民区等敏感点</w:t>
            </w:r>
            <w:r>
              <w:rPr>
                <w:rFonts w:hint="eastAsia"/>
                <w:color w:val="auto"/>
                <w:highlight w:val="none"/>
              </w:rPr>
              <w:t>。</w:t>
            </w:r>
          </w:p>
        </w:tc>
      </w:tr>
      <w:tr w14:paraId="28BF4A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tcBorders>
              <w:tl2br w:val="nil"/>
              <w:tr2bl w:val="nil"/>
            </w:tcBorders>
            <w:vAlign w:val="center"/>
          </w:tcPr>
          <w:p w14:paraId="78E408E5">
            <w:pPr>
              <w:pStyle w:val="41"/>
              <w:rPr>
                <w:color w:val="auto"/>
                <w:highlight w:val="none"/>
              </w:rPr>
            </w:pPr>
            <w:r>
              <w:rPr>
                <w:color w:val="auto"/>
                <w:highlight w:val="none"/>
              </w:rPr>
              <w:t>2</w:t>
            </w:r>
          </w:p>
        </w:tc>
        <w:tc>
          <w:tcPr>
            <w:tcW w:w="1255" w:type="pct"/>
            <w:tcBorders>
              <w:tl2br w:val="nil"/>
              <w:tr2bl w:val="nil"/>
            </w:tcBorders>
            <w:vAlign w:val="center"/>
          </w:tcPr>
          <w:p w14:paraId="5F363EC9">
            <w:pPr>
              <w:pStyle w:val="41"/>
              <w:rPr>
                <w:color w:val="auto"/>
                <w:highlight w:val="none"/>
              </w:rPr>
            </w:pPr>
            <w:r>
              <w:rPr>
                <w:color w:val="auto"/>
                <w:highlight w:val="none"/>
              </w:rPr>
              <w:t>不应位于全国和省</w:t>
            </w:r>
          </w:p>
          <w:p w14:paraId="3F13A021">
            <w:pPr>
              <w:pStyle w:val="41"/>
              <w:rPr>
                <w:color w:val="auto"/>
                <w:highlight w:val="none"/>
              </w:rPr>
            </w:pPr>
            <w:r>
              <w:rPr>
                <w:color w:val="auto"/>
                <w:highlight w:val="none"/>
              </w:rPr>
              <w:t>重点保护名胜古迹</w:t>
            </w:r>
          </w:p>
          <w:p w14:paraId="6EF2D62C">
            <w:pPr>
              <w:pStyle w:val="41"/>
              <w:rPr>
                <w:color w:val="auto"/>
                <w:highlight w:val="none"/>
              </w:rPr>
            </w:pPr>
            <w:r>
              <w:rPr>
                <w:color w:val="auto"/>
                <w:highlight w:val="none"/>
              </w:rPr>
              <w:t>上游</w:t>
            </w:r>
            <w:r>
              <w:rPr>
                <w:rFonts w:hint="eastAsia"/>
                <w:color w:val="auto"/>
                <w:highlight w:val="none"/>
              </w:rPr>
              <w:t>。</w:t>
            </w:r>
          </w:p>
        </w:tc>
        <w:tc>
          <w:tcPr>
            <w:tcW w:w="1203" w:type="pct"/>
            <w:tcBorders>
              <w:tl2br w:val="nil"/>
              <w:tr2bl w:val="nil"/>
            </w:tcBorders>
            <w:vAlign w:val="center"/>
          </w:tcPr>
          <w:p w14:paraId="750F3B0F">
            <w:pPr>
              <w:pStyle w:val="41"/>
              <w:rPr>
                <w:color w:val="auto"/>
                <w:highlight w:val="none"/>
              </w:rPr>
            </w:pPr>
            <w:r>
              <w:rPr>
                <w:color w:val="auto"/>
                <w:highlight w:val="none"/>
              </w:rPr>
              <w:t>不应位于全国和省重点保护名胜古迹的上游</w:t>
            </w:r>
          </w:p>
        </w:tc>
        <w:tc>
          <w:tcPr>
            <w:tcW w:w="1504" w:type="pct"/>
            <w:tcBorders>
              <w:tl2br w:val="nil"/>
              <w:tr2bl w:val="nil"/>
            </w:tcBorders>
            <w:vAlign w:val="center"/>
          </w:tcPr>
          <w:p w14:paraId="6459B000">
            <w:pPr>
              <w:pStyle w:val="41"/>
              <w:rPr>
                <w:color w:val="auto"/>
                <w:highlight w:val="none"/>
              </w:rPr>
            </w:pPr>
          </w:p>
        </w:tc>
        <w:tc>
          <w:tcPr>
            <w:tcW w:w="781" w:type="pct"/>
            <w:tcBorders>
              <w:tl2br w:val="nil"/>
              <w:tr2bl w:val="nil"/>
            </w:tcBorders>
            <w:vAlign w:val="center"/>
          </w:tcPr>
          <w:p w14:paraId="5FC1CC16">
            <w:pPr>
              <w:pStyle w:val="41"/>
              <w:rPr>
                <w:color w:val="auto"/>
                <w:highlight w:val="none"/>
              </w:rPr>
            </w:pPr>
            <w:r>
              <w:rPr>
                <w:rFonts w:hint="eastAsia"/>
                <w:color w:val="auto"/>
                <w:highlight w:val="none"/>
              </w:rPr>
              <w:t>项目不在</w:t>
            </w:r>
            <w:r>
              <w:rPr>
                <w:color w:val="auto"/>
                <w:highlight w:val="none"/>
              </w:rPr>
              <w:t>自然保护区、风景名胜区等敏感区</w:t>
            </w:r>
            <w:r>
              <w:rPr>
                <w:rFonts w:hint="eastAsia"/>
                <w:color w:val="auto"/>
                <w:highlight w:val="none"/>
              </w:rPr>
              <w:t>。</w:t>
            </w:r>
          </w:p>
        </w:tc>
      </w:tr>
      <w:tr w14:paraId="3C265A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tcBorders>
              <w:tl2br w:val="nil"/>
              <w:tr2bl w:val="nil"/>
            </w:tcBorders>
            <w:vAlign w:val="center"/>
          </w:tcPr>
          <w:p w14:paraId="4DA92A67">
            <w:pPr>
              <w:pStyle w:val="41"/>
              <w:rPr>
                <w:color w:val="auto"/>
                <w:highlight w:val="none"/>
              </w:rPr>
            </w:pPr>
            <w:r>
              <w:rPr>
                <w:color w:val="auto"/>
                <w:highlight w:val="none"/>
              </w:rPr>
              <w:t>3</w:t>
            </w:r>
          </w:p>
        </w:tc>
        <w:tc>
          <w:tcPr>
            <w:tcW w:w="1255" w:type="pct"/>
            <w:tcBorders>
              <w:tl2br w:val="nil"/>
              <w:tr2bl w:val="nil"/>
            </w:tcBorders>
            <w:vAlign w:val="center"/>
          </w:tcPr>
          <w:p w14:paraId="6DCC8AE1">
            <w:pPr>
              <w:pStyle w:val="41"/>
              <w:rPr>
                <w:color w:val="auto"/>
                <w:highlight w:val="none"/>
              </w:rPr>
            </w:pPr>
            <w:r>
              <w:rPr>
                <w:color w:val="auto"/>
                <w:highlight w:val="none"/>
              </w:rPr>
              <w:t>工程、水文地质条件</w:t>
            </w:r>
          </w:p>
          <w:p w14:paraId="5AF8D54B">
            <w:pPr>
              <w:pStyle w:val="41"/>
              <w:rPr>
                <w:color w:val="auto"/>
                <w:highlight w:val="none"/>
              </w:rPr>
            </w:pPr>
            <w:r>
              <w:rPr>
                <w:color w:val="auto"/>
                <w:highlight w:val="none"/>
              </w:rPr>
              <w:t>好</w:t>
            </w:r>
            <w:r>
              <w:rPr>
                <w:rFonts w:hint="eastAsia"/>
                <w:color w:val="auto"/>
                <w:highlight w:val="none"/>
              </w:rPr>
              <w:t>。</w:t>
            </w:r>
          </w:p>
        </w:tc>
        <w:tc>
          <w:tcPr>
            <w:tcW w:w="1203" w:type="pct"/>
            <w:tcBorders>
              <w:tl2br w:val="nil"/>
              <w:tr2bl w:val="nil"/>
            </w:tcBorders>
            <w:vAlign w:val="center"/>
          </w:tcPr>
          <w:p w14:paraId="171B8C52">
            <w:pPr>
              <w:pStyle w:val="41"/>
              <w:rPr>
                <w:color w:val="auto"/>
                <w:highlight w:val="none"/>
              </w:rPr>
            </w:pPr>
            <w:r>
              <w:rPr>
                <w:color w:val="auto"/>
                <w:highlight w:val="none"/>
              </w:rPr>
              <w:t>应避开地质构造复杂、不良地质现象严重区域</w:t>
            </w:r>
            <w:r>
              <w:rPr>
                <w:rFonts w:hint="eastAsia"/>
                <w:color w:val="auto"/>
                <w:highlight w:val="none"/>
              </w:rPr>
              <w:t>。</w:t>
            </w:r>
          </w:p>
        </w:tc>
        <w:tc>
          <w:tcPr>
            <w:tcW w:w="1504" w:type="pct"/>
            <w:tcBorders>
              <w:tl2br w:val="nil"/>
              <w:tr2bl w:val="nil"/>
            </w:tcBorders>
            <w:vAlign w:val="center"/>
          </w:tcPr>
          <w:p w14:paraId="16E2D2C0">
            <w:pPr>
              <w:pStyle w:val="41"/>
              <w:rPr>
                <w:color w:val="auto"/>
                <w:highlight w:val="none"/>
              </w:rPr>
            </w:pPr>
            <w:r>
              <w:rPr>
                <w:rFonts w:hint="eastAsia"/>
                <w:color w:val="auto"/>
                <w:highlight w:val="none"/>
              </w:rPr>
              <w:t>贮存场、填埋场应避开活动断层、溶洞区、天然滑坡或泥石流影响区以及湿地等区域。</w:t>
            </w:r>
          </w:p>
        </w:tc>
        <w:tc>
          <w:tcPr>
            <w:tcW w:w="781" w:type="pct"/>
            <w:tcBorders>
              <w:tl2br w:val="nil"/>
              <w:tr2bl w:val="nil"/>
            </w:tcBorders>
            <w:vAlign w:val="center"/>
          </w:tcPr>
          <w:p w14:paraId="16BBC2A1">
            <w:pPr>
              <w:pStyle w:val="41"/>
              <w:rPr>
                <w:color w:val="auto"/>
                <w:highlight w:val="none"/>
              </w:rPr>
            </w:pPr>
            <w:r>
              <w:rPr>
                <w:color w:val="auto"/>
                <w:highlight w:val="none"/>
              </w:rPr>
              <w:t>项目区无滑坡、崩塌、泥石流、溶洞等不良地质现象存在</w:t>
            </w:r>
            <w:r>
              <w:rPr>
                <w:rFonts w:hint="eastAsia"/>
                <w:color w:val="auto"/>
                <w:highlight w:val="none"/>
              </w:rPr>
              <w:t>。</w:t>
            </w:r>
          </w:p>
        </w:tc>
      </w:tr>
      <w:tr w14:paraId="3AB1E7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tcBorders>
              <w:tl2br w:val="nil"/>
              <w:tr2bl w:val="nil"/>
            </w:tcBorders>
            <w:vAlign w:val="center"/>
          </w:tcPr>
          <w:p w14:paraId="2675584A">
            <w:pPr>
              <w:pStyle w:val="41"/>
              <w:rPr>
                <w:color w:val="auto"/>
                <w:highlight w:val="none"/>
              </w:rPr>
            </w:pPr>
            <w:r>
              <w:rPr>
                <w:color w:val="auto"/>
                <w:highlight w:val="none"/>
              </w:rPr>
              <w:t>4</w:t>
            </w:r>
          </w:p>
        </w:tc>
        <w:tc>
          <w:tcPr>
            <w:tcW w:w="1255" w:type="pct"/>
            <w:tcBorders>
              <w:tl2br w:val="nil"/>
              <w:tr2bl w:val="nil"/>
            </w:tcBorders>
            <w:vAlign w:val="center"/>
          </w:tcPr>
          <w:p w14:paraId="7EC8DA1B">
            <w:pPr>
              <w:pStyle w:val="41"/>
              <w:rPr>
                <w:color w:val="auto"/>
                <w:highlight w:val="none"/>
              </w:rPr>
            </w:pPr>
            <w:r>
              <w:rPr>
                <w:color w:val="auto"/>
                <w:highlight w:val="none"/>
              </w:rPr>
              <w:t>不宜位于有开采价</w:t>
            </w:r>
          </w:p>
          <w:p w14:paraId="7A644C18">
            <w:pPr>
              <w:pStyle w:val="41"/>
              <w:rPr>
                <w:color w:val="auto"/>
                <w:highlight w:val="none"/>
              </w:rPr>
            </w:pPr>
            <w:r>
              <w:rPr>
                <w:color w:val="auto"/>
                <w:highlight w:val="none"/>
              </w:rPr>
              <w:t>值的矿床上面</w:t>
            </w:r>
            <w:r>
              <w:rPr>
                <w:rFonts w:hint="eastAsia"/>
                <w:color w:val="auto"/>
                <w:highlight w:val="none"/>
              </w:rPr>
              <w:t>。</w:t>
            </w:r>
          </w:p>
        </w:tc>
        <w:tc>
          <w:tcPr>
            <w:tcW w:w="1203" w:type="pct"/>
            <w:tcBorders>
              <w:tl2br w:val="nil"/>
              <w:tr2bl w:val="nil"/>
            </w:tcBorders>
            <w:vAlign w:val="center"/>
          </w:tcPr>
          <w:p w14:paraId="74C83285">
            <w:pPr>
              <w:pStyle w:val="41"/>
              <w:rPr>
                <w:color w:val="auto"/>
                <w:highlight w:val="none"/>
              </w:rPr>
            </w:pPr>
            <w:r>
              <w:rPr>
                <w:color w:val="auto"/>
                <w:highlight w:val="none"/>
              </w:rPr>
              <w:t>不宜位于有开采价值的矿床上面</w:t>
            </w:r>
            <w:r>
              <w:rPr>
                <w:rFonts w:hint="eastAsia"/>
                <w:color w:val="auto"/>
                <w:highlight w:val="none"/>
              </w:rPr>
              <w:t>。</w:t>
            </w:r>
          </w:p>
        </w:tc>
        <w:tc>
          <w:tcPr>
            <w:tcW w:w="1504" w:type="pct"/>
            <w:tcBorders>
              <w:tl2br w:val="nil"/>
              <w:tr2bl w:val="nil"/>
            </w:tcBorders>
            <w:vAlign w:val="center"/>
          </w:tcPr>
          <w:p w14:paraId="3F47179F">
            <w:pPr>
              <w:pStyle w:val="41"/>
              <w:rPr>
                <w:color w:val="auto"/>
                <w:highlight w:val="none"/>
              </w:rPr>
            </w:pPr>
            <w:r>
              <w:rPr>
                <w:color w:val="auto"/>
                <w:highlight w:val="none"/>
              </w:rPr>
              <w:t>/</w:t>
            </w:r>
          </w:p>
        </w:tc>
        <w:tc>
          <w:tcPr>
            <w:tcW w:w="781" w:type="pct"/>
            <w:tcBorders>
              <w:tl2br w:val="nil"/>
              <w:tr2bl w:val="nil"/>
            </w:tcBorders>
            <w:vAlign w:val="center"/>
          </w:tcPr>
          <w:p w14:paraId="2561F99E">
            <w:pPr>
              <w:pStyle w:val="41"/>
              <w:rPr>
                <w:color w:val="auto"/>
                <w:highlight w:val="none"/>
              </w:rPr>
            </w:pPr>
            <w:r>
              <w:rPr>
                <w:color w:val="auto"/>
                <w:highlight w:val="none"/>
              </w:rPr>
              <w:t>项目区无压覆矿场</w:t>
            </w:r>
            <w:r>
              <w:rPr>
                <w:rFonts w:hint="eastAsia"/>
                <w:color w:val="auto"/>
                <w:highlight w:val="none"/>
              </w:rPr>
              <w:t>。</w:t>
            </w:r>
          </w:p>
        </w:tc>
      </w:tr>
      <w:tr w14:paraId="42EA95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tcBorders>
              <w:tl2br w:val="nil"/>
              <w:tr2bl w:val="nil"/>
            </w:tcBorders>
            <w:vAlign w:val="center"/>
          </w:tcPr>
          <w:p w14:paraId="560A45A7">
            <w:pPr>
              <w:pStyle w:val="41"/>
              <w:rPr>
                <w:color w:val="auto"/>
                <w:highlight w:val="none"/>
              </w:rPr>
            </w:pPr>
            <w:r>
              <w:rPr>
                <w:color w:val="auto"/>
                <w:highlight w:val="none"/>
              </w:rPr>
              <w:t>5</w:t>
            </w:r>
          </w:p>
        </w:tc>
        <w:tc>
          <w:tcPr>
            <w:tcW w:w="1255" w:type="pct"/>
            <w:tcBorders>
              <w:tl2br w:val="nil"/>
              <w:tr2bl w:val="nil"/>
            </w:tcBorders>
            <w:vAlign w:val="center"/>
          </w:tcPr>
          <w:p w14:paraId="631F0E0E">
            <w:pPr>
              <w:pStyle w:val="41"/>
              <w:rPr>
                <w:color w:val="auto"/>
                <w:highlight w:val="none"/>
              </w:rPr>
            </w:pPr>
            <w:r>
              <w:rPr>
                <w:color w:val="auto"/>
                <w:highlight w:val="none"/>
              </w:rPr>
              <w:t>汇水面积小，有足够</w:t>
            </w:r>
          </w:p>
          <w:p w14:paraId="396B08A0">
            <w:pPr>
              <w:pStyle w:val="41"/>
              <w:rPr>
                <w:color w:val="auto"/>
                <w:highlight w:val="none"/>
              </w:rPr>
            </w:pPr>
            <w:r>
              <w:rPr>
                <w:color w:val="auto"/>
                <w:highlight w:val="none"/>
              </w:rPr>
              <w:t>库容和初、终期库长</w:t>
            </w:r>
            <w:r>
              <w:rPr>
                <w:rFonts w:hint="eastAsia"/>
                <w:color w:val="auto"/>
                <w:highlight w:val="none"/>
              </w:rPr>
              <w:t>。</w:t>
            </w:r>
          </w:p>
        </w:tc>
        <w:tc>
          <w:tcPr>
            <w:tcW w:w="1203" w:type="pct"/>
            <w:tcBorders>
              <w:tl2br w:val="nil"/>
              <w:tr2bl w:val="nil"/>
            </w:tcBorders>
            <w:vAlign w:val="center"/>
          </w:tcPr>
          <w:p w14:paraId="5A36BE49">
            <w:pPr>
              <w:pStyle w:val="41"/>
              <w:rPr>
                <w:color w:val="auto"/>
                <w:highlight w:val="none"/>
              </w:rPr>
            </w:pPr>
            <w:r>
              <w:rPr>
                <w:color w:val="auto"/>
                <w:highlight w:val="none"/>
              </w:rPr>
              <w:t>汇水面积小，有足够的库容和初、终期库长</w:t>
            </w:r>
            <w:r>
              <w:rPr>
                <w:rFonts w:hint="eastAsia"/>
                <w:color w:val="auto"/>
                <w:highlight w:val="none"/>
              </w:rPr>
              <w:t>。</w:t>
            </w:r>
          </w:p>
        </w:tc>
        <w:tc>
          <w:tcPr>
            <w:tcW w:w="1504" w:type="pct"/>
            <w:tcBorders>
              <w:tl2br w:val="nil"/>
              <w:tr2bl w:val="nil"/>
            </w:tcBorders>
            <w:vAlign w:val="center"/>
          </w:tcPr>
          <w:p w14:paraId="012EE066">
            <w:pPr>
              <w:pStyle w:val="41"/>
              <w:rPr>
                <w:color w:val="auto"/>
                <w:highlight w:val="none"/>
              </w:rPr>
            </w:pPr>
            <w:r>
              <w:rPr>
                <w:color w:val="auto"/>
                <w:highlight w:val="none"/>
              </w:rPr>
              <w:t>/</w:t>
            </w:r>
          </w:p>
        </w:tc>
        <w:tc>
          <w:tcPr>
            <w:tcW w:w="781" w:type="pct"/>
            <w:tcBorders>
              <w:tl2br w:val="nil"/>
              <w:tr2bl w:val="nil"/>
            </w:tcBorders>
            <w:vAlign w:val="center"/>
          </w:tcPr>
          <w:p w14:paraId="7E634F6A">
            <w:pPr>
              <w:pStyle w:val="41"/>
              <w:rPr>
                <w:color w:val="auto"/>
                <w:highlight w:val="none"/>
              </w:rPr>
            </w:pPr>
            <w:r>
              <w:rPr>
                <w:color w:val="auto"/>
                <w:highlight w:val="none"/>
              </w:rPr>
              <w:t>汇水面积不大，库容能满足选矿厂排放量，服务年限</w:t>
            </w:r>
            <w:r>
              <w:rPr>
                <w:rFonts w:hint="eastAsia"/>
                <w:color w:val="auto"/>
                <w:highlight w:val="none"/>
                <w:lang w:val="en-US" w:eastAsia="zh-CN"/>
              </w:rPr>
              <w:t>20.14</w:t>
            </w:r>
            <w:r>
              <w:rPr>
                <w:color w:val="auto"/>
                <w:highlight w:val="none"/>
              </w:rPr>
              <w:t>a</w:t>
            </w:r>
            <w:r>
              <w:rPr>
                <w:rFonts w:hint="eastAsia"/>
                <w:color w:val="auto"/>
                <w:highlight w:val="none"/>
              </w:rPr>
              <w:t>。</w:t>
            </w:r>
          </w:p>
        </w:tc>
      </w:tr>
      <w:tr w14:paraId="7AA82F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tcBorders>
              <w:tl2br w:val="nil"/>
              <w:tr2bl w:val="nil"/>
            </w:tcBorders>
            <w:vAlign w:val="center"/>
          </w:tcPr>
          <w:p w14:paraId="3C7E4467">
            <w:pPr>
              <w:pStyle w:val="41"/>
              <w:rPr>
                <w:color w:val="auto"/>
                <w:highlight w:val="none"/>
              </w:rPr>
            </w:pPr>
            <w:r>
              <w:rPr>
                <w:color w:val="auto"/>
                <w:highlight w:val="none"/>
              </w:rPr>
              <w:t>6</w:t>
            </w:r>
          </w:p>
        </w:tc>
        <w:tc>
          <w:tcPr>
            <w:tcW w:w="1255" w:type="pct"/>
            <w:tcBorders>
              <w:tl2br w:val="nil"/>
              <w:tr2bl w:val="nil"/>
            </w:tcBorders>
            <w:vAlign w:val="center"/>
          </w:tcPr>
          <w:p w14:paraId="531302BA">
            <w:pPr>
              <w:pStyle w:val="41"/>
              <w:rPr>
                <w:color w:val="auto"/>
                <w:highlight w:val="none"/>
              </w:rPr>
            </w:pPr>
            <w:r>
              <w:rPr>
                <w:color w:val="auto"/>
                <w:highlight w:val="none"/>
              </w:rPr>
              <w:t>不宜位于大居民区</w:t>
            </w:r>
          </w:p>
          <w:p w14:paraId="1B5C7536">
            <w:pPr>
              <w:pStyle w:val="41"/>
              <w:rPr>
                <w:color w:val="auto"/>
                <w:highlight w:val="none"/>
              </w:rPr>
            </w:pPr>
            <w:r>
              <w:rPr>
                <w:color w:val="auto"/>
                <w:highlight w:val="none"/>
              </w:rPr>
              <w:t>及厂区最大频率风</w:t>
            </w:r>
          </w:p>
          <w:p w14:paraId="450951B6">
            <w:pPr>
              <w:pStyle w:val="41"/>
              <w:rPr>
                <w:color w:val="auto"/>
                <w:highlight w:val="none"/>
              </w:rPr>
            </w:pPr>
            <w:r>
              <w:rPr>
                <w:color w:val="auto"/>
                <w:highlight w:val="none"/>
              </w:rPr>
              <w:t>向的上风侧</w:t>
            </w:r>
          </w:p>
        </w:tc>
        <w:tc>
          <w:tcPr>
            <w:tcW w:w="1203" w:type="pct"/>
            <w:tcBorders>
              <w:tl2br w:val="nil"/>
              <w:tr2bl w:val="nil"/>
            </w:tcBorders>
            <w:vAlign w:val="center"/>
          </w:tcPr>
          <w:p w14:paraId="11909CB2">
            <w:pPr>
              <w:pStyle w:val="41"/>
              <w:rPr>
                <w:color w:val="auto"/>
                <w:highlight w:val="none"/>
              </w:rPr>
            </w:pPr>
            <w:r>
              <w:rPr>
                <w:color w:val="auto"/>
                <w:highlight w:val="none"/>
              </w:rPr>
              <w:t>/</w:t>
            </w:r>
          </w:p>
        </w:tc>
        <w:tc>
          <w:tcPr>
            <w:tcW w:w="1504" w:type="pct"/>
            <w:tcBorders>
              <w:tl2br w:val="nil"/>
              <w:tr2bl w:val="nil"/>
            </w:tcBorders>
            <w:vAlign w:val="center"/>
          </w:tcPr>
          <w:p w14:paraId="73D80984">
            <w:pPr>
              <w:pStyle w:val="41"/>
              <w:rPr>
                <w:color w:val="auto"/>
                <w:highlight w:val="none"/>
              </w:rPr>
            </w:pPr>
            <w:r>
              <w:rPr>
                <w:color w:val="auto"/>
                <w:highlight w:val="none"/>
              </w:rPr>
              <w:t>应选在工业区和居民集中区主导风向下风侧，厂界距居民集中区500m外</w:t>
            </w:r>
          </w:p>
        </w:tc>
        <w:tc>
          <w:tcPr>
            <w:tcW w:w="781" w:type="pct"/>
            <w:tcBorders>
              <w:tl2br w:val="nil"/>
              <w:tr2bl w:val="nil"/>
            </w:tcBorders>
            <w:vAlign w:val="center"/>
          </w:tcPr>
          <w:p w14:paraId="41F1F747">
            <w:pPr>
              <w:pStyle w:val="41"/>
              <w:rPr>
                <w:color w:val="auto"/>
                <w:highlight w:val="none"/>
              </w:rPr>
            </w:pPr>
            <w:r>
              <w:rPr>
                <w:color w:val="auto"/>
                <w:highlight w:val="none"/>
              </w:rPr>
              <w:t>项目区周边1km范围内无大型居民区；尾矿库不在选厂主导风向最大风频上风向</w:t>
            </w:r>
            <w:r>
              <w:rPr>
                <w:rFonts w:hint="eastAsia"/>
                <w:color w:val="auto"/>
                <w:highlight w:val="none"/>
              </w:rPr>
              <w:t>。</w:t>
            </w:r>
          </w:p>
        </w:tc>
      </w:tr>
      <w:tr w14:paraId="1F2CE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tcBorders>
              <w:tl2br w:val="nil"/>
              <w:tr2bl w:val="nil"/>
            </w:tcBorders>
            <w:vAlign w:val="center"/>
          </w:tcPr>
          <w:p w14:paraId="21218114">
            <w:pPr>
              <w:pStyle w:val="41"/>
              <w:rPr>
                <w:color w:val="auto"/>
                <w:highlight w:val="none"/>
              </w:rPr>
            </w:pPr>
            <w:r>
              <w:rPr>
                <w:color w:val="auto"/>
                <w:highlight w:val="none"/>
              </w:rPr>
              <w:t>7</w:t>
            </w:r>
          </w:p>
        </w:tc>
        <w:tc>
          <w:tcPr>
            <w:tcW w:w="1255" w:type="pct"/>
            <w:tcBorders>
              <w:tl2br w:val="nil"/>
              <w:tr2bl w:val="nil"/>
            </w:tcBorders>
            <w:vAlign w:val="center"/>
          </w:tcPr>
          <w:p w14:paraId="1D61AC37">
            <w:pPr>
              <w:pStyle w:val="41"/>
              <w:rPr>
                <w:color w:val="auto"/>
                <w:highlight w:val="none"/>
              </w:rPr>
            </w:pPr>
            <w:r>
              <w:rPr>
                <w:color w:val="auto"/>
                <w:highlight w:val="none"/>
              </w:rPr>
              <w:t>筑坝工程最小，生产</w:t>
            </w:r>
          </w:p>
          <w:p w14:paraId="47188C8D">
            <w:pPr>
              <w:pStyle w:val="41"/>
              <w:rPr>
                <w:color w:val="auto"/>
                <w:highlight w:val="none"/>
              </w:rPr>
            </w:pPr>
            <w:r>
              <w:rPr>
                <w:color w:val="auto"/>
                <w:highlight w:val="none"/>
              </w:rPr>
              <w:t>管理方便</w:t>
            </w:r>
          </w:p>
        </w:tc>
        <w:tc>
          <w:tcPr>
            <w:tcW w:w="1203" w:type="pct"/>
            <w:tcBorders>
              <w:tl2br w:val="nil"/>
              <w:tr2bl w:val="nil"/>
            </w:tcBorders>
            <w:vAlign w:val="center"/>
          </w:tcPr>
          <w:p w14:paraId="13D4DD82">
            <w:pPr>
              <w:pStyle w:val="41"/>
              <w:rPr>
                <w:color w:val="auto"/>
                <w:highlight w:val="none"/>
              </w:rPr>
            </w:pPr>
            <w:r>
              <w:rPr>
                <w:color w:val="auto"/>
                <w:highlight w:val="none"/>
              </w:rPr>
              <w:t>/</w:t>
            </w:r>
          </w:p>
        </w:tc>
        <w:tc>
          <w:tcPr>
            <w:tcW w:w="1504" w:type="pct"/>
            <w:tcBorders>
              <w:tl2br w:val="nil"/>
              <w:tr2bl w:val="nil"/>
            </w:tcBorders>
            <w:vAlign w:val="center"/>
          </w:tcPr>
          <w:p w14:paraId="6842875C">
            <w:pPr>
              <w:pStyle w:val="41"/>
              <w:rPr>
                <w:color w:val="auto"/>
                <w:highlight w:val="none"/>
              </w:rPr>
            </w:pPr>
            <w:r>
              <w:rPr>
                <w:color w:val="auto"/>
                <w:highlight w:val="none"/>
              </w:rPr>
              <w:t>/</w:t>
            </w:r>
          </w:p>
        </w:tc>
        <w:tc>
          <w:tcPr>
            <w:tcW w:w="781" w:type="pct"/>
            <w:tcBorders>
              <w:tl2br w:val="nil"/>
              <w:tr2bl w:val="nil"/>
            </w:tcBorders>
            <w:vAlign w:val="center"/>
          </w:tcPr>
          <w:p w14:paraId="5B4FCB08">
            <w:pPr>
              <w:pStyle w:val="41"/>
              <w:rPr>
                <w:color w:val="auto"/>
                <w:highlight w:val="none"/>
              </w:rPr>
            </w:pPr>
            <w:r>
              <w:rPr>
                <w:color w:val="auto"/>
                <w:highlight w:val="none"/>
              </w:rPr>
              <w:t>距离选厂较近，生产管理较为方便</w:t>
            </w:r>
            <w:r>
              <w:rPr>
                <w:rFonts w:hint="eastAsia"/>
                <w:color w:val="auto"/>
                <w:highlight w:val="none"/>
              </w:rPr>
              <w:t>。</w:t>
            </w:r>
          </w:p>
        </w:tc>
      </w:tr>
      <w:tr w14:paraId="624388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tcBorders>
              <w:tl2br w:val="nil"/>
              <w:tr2bl w:val="nil"/>
            </w:tcBorders>
            <w:vAlign w:val="center"/>
          </w:tcPr>
          <w:p w14:paraId="17A7AC7F">
            <w:pPr>
              <w:pStyle w:val="41"/>
              <w:rPr>
                <w:color w:val="auto"/>
                <w:highlight w:val="none"/>
              </w:rPr>
            </w:pPr>
            <w:r>
              <w:rPr>
                <w:color w:val="auto"/>
                <w:highlight w:val="none"/>
              </w:rPr>
              <w:t>8</w:t>
            </w:r>
          </w:p>
        </w:tc>
        <w:tc>
          <w:tcPr>
            <w:tcW w:w="1255" w:type="pct"/>
            <w:tcBorders>
              <w:tl2br w:val="nil"/>
              <w:tr2bl w:val="nil"/>
            </w:tcBorders>
            <w:vAlign w:val="center"/>
          </w:tcPr>
          <w:p w14:paraId="169148C6">
            <w:pPr>
              <w:pStyle w:val="41"/>
              <w:rPr>
                <w:color w:val="auto"/>
                <w:highlight w:val="none"/>
              </w:rPr>
            </w:pPr>
            <w:r>
              <w:rPr>
                <w:color w:val="auto"/>
                <w:highlight w:val="none"/>
              </w:rPr>
              <w:t>不迁或少迁村庄</w:t>
            </w:r>
          </w:p>
        </w:tc>
        <w:tc>
          <w:tcPr>
            <w:tcW w:w="1203" w:type="pct"/>
            <w:tcBorders>
              <w:tl2br w:val="nil"/>
              <w:tr2bl w:val="nil"/>
            </w:tcBorders>
            <w:vAlign w:val="center"/>
          </w:tcPr>
          <w:p w14:paraId="5EA19617">
            <w:pPr>
              <w:pStyle w:val="41"/>
              <w:rPr>
                <w:color w:val="auto"/>
                <w:highlight w:val="none"/>
              </w:rPr>
            </w:pPr>
            <w:r>
              <w:rPr>
                <w:color w:val="auto"/>
                <w:highlight w:val="none"/>
              </w:rPr>
              <w:t>/</w:t>
            </w:r>
          </w:p>
        </w:tc>
        <w:tc>
          <w:tcPr>
            <w:tcW w:w="1504" w:type="pct"/>
            <w:tcBorders>
              <w:tl2br w:val="nil"/>
              <w:tr2bl w:val="nil"/>
            </w:tcBorders>
            <w:vAlign w:val="center"/>
          </w:tcPr>
          <w:p w14:paraId="7807D91A">
            <w:pPr>
              <w:pStyle w:val="41"/>
              <w:rPr>
                <w:color w:val="auto"/>
                <w:highlight w:val="none"/>
              </w:rPr>
            </w:pPr>
            <w:r>
              <w:rPr>
                <w:color w:val="auto"/>
                <w:highlight w:val="none"/>
              </w:rPr>
              <w:t>/</w:t>
            </w:r>
          </w:p>
        </w:tc>
        <w:tc>
          <w:tcPr>
            <w:tcW w:w="781" w:type="pct"/>
            <w:tcBorders>
              <w:tl2br w:val="nil"/>
              <w:tr2bl w:val="nil"/>
            </w:tcBorders>
            <w:vAlign w:val="center"/>
          </w:tcPr>
          <w:p w14:paraId="6020B819">
            <w:pPr>
              <w:pStyle w:val="41"/>
              <w:rPr>
                <w:color w:val="auto"/>
                <w:highlight w:val="none"/>
              </w:rPr>
            </w:pPr>
            <w:r>
              <w:rPr>
                <w:color w:val="auto"/>
                <w:highlight w:val="none"/>
              </w:rPr>
              <w:t>不迁村庄</w:t>
            </w:r>
            <w:r>
              <w:rPr>
                <w:rFonts w:hint="eastAsia"/>
                <w:color w:val="auto"/>
                <w:highlight w:val="none"/>
              </w:rPr>
              <w:t>。</w:t>
            </w:r>
          </w:p>
        </w:tc>
      </w:tr>
      <w:tr w14:paraId="0C8B5E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tcBorders>
              <w:tl2br w:val="nil"/>
              <w:tr2bl w:val="nil"/>
            </w:tcBorders>
            <w:vAlign w:val="center"/>
          </w:tcPr>
          <w:p w14:paraId="53D676CC">
            <w:pPr>
              <w:pStyle w:val="41"/>
              <w:rPr>
                <w:color w:val="auto"/>
                <w:highlight w:val="none"/>
              </w:rPr>
            </w:pPr>
            <w:r>
              <w:rPr>
                <w:color w:val="auto"/>
                <w:highlight w:val="none"/>
              </w:rPr>
              <w:t>9</w:t>
            </w:r>
          </w:p>
        </w:tc>
        <w:tc>
          <w:tcPr>
            <w:tcW w:w="1255" w:type="pct"/>
            <w:tcBorders>
              <w:tl2br w:val="nil"/>
              <w:tr2bl w:val="nil"/>
            </w:tcBorders>
            <w:vAlign w:val="center"/>
          </w:tcPr>
          <w:p w14:paraId="659853D6">
            <w:pPr>
              <w:pStyle w:val="41"/>
              <w:rPr>
                <w:color w:val="auto"/>
                <w:highlight w:val="none"/>
              </w:rPr>
            </w:pPr>
            <w:r>
              <w:rPr>
                <w:color w:val="auto"/>
                <w:highlight w:val="none"/>
              </w:rPr>
              <w:t>尾矿输送距离短，能</w:t>
            </w:r>
          </w:p>
          <w:p w14:paraId="1FD52FE1">
            <w:pPr>
              <w:pStyle w:val="41"/>
              <w:rPr>
                <w:color w:val="auto"/>
                <w:highlight w:val="none"/>
              </w:rPr>
            </w:pPr>
            <w:r>
              <w:rPr>
                <w:color w:val="auto"/>
                <w:highlight w:val="none"/>
              </w:rPr>
              <w:t>自流或扬尘小</w:t>
            </w:r>
          </w:p>
        </w:tc>
        <w:tc>
          <w:tcPr>
            <w:tcW w:w="1203" w:type="pct"/>
            <w:tcBorders>
              <w:tl2br w:val="nil"/>
              <w:tr2bl w:val="nil"/>
            </w:tcBorders>
            <w:vAlign w:val="center"/>
          </w:tcPr>
          <w:p w14:paraId="509A9D3C">
            <w:pPr>
              <w:pStyle w:val="41"/>
              <w:rPr>
                <w:color w:val="auto"/>
                <w:highlight w:val="none"/>
              </w:rPr>
            </w:pPr>
            <w:r>
              <w:rPr>
                <w:color w:val="auto"/>
                <w:highlight w:val="none"/>
              </w:rPr>
              <w:t>/</w:t>
            </w:r>
          </w:p>
        </w:tc>
        <w:tc>
          <w:tcPr>
            <w:tcW w:w="1504" w:type="pct"/>
            <w:tcBorders>
              <w:tl2br w:val="nil"/>
              <w:tr2bl w:val="nil"/>
            </w:tcBorders>
            <w:vAlign w:val="center"/>
          </w:tcPr>
          <w:p w14:paraId="568EE01C">
            <w:pPr>
              <w:pStyle w:val="41"/>
              <w:rPr>
                <w:color w:val="auto"/>
                <w:highlight w:val="none"/>
              </w:rPr>
            </w:pPr>
            <w:r>
              <w:rPr>
                <w:color w:val="auto"/>
                <w:highlight w:val="none"/>
              </w:rPr>
              <w:t>/</w:t>
            </w:r>
          </w:p>
        </w:tc>
        <w:tc>
          <w:tcPr>
            <w:tcW w:w="781" w:type="pct"/>
            <w:tcBorders>
              <w:tl2br w:val="nil"/>
              <w:tr2bl w:val="nil"/>
            </w:tcBorders>
            <w:vAlign w:val="center"/>
          </w:tcPr>
          <w:p w14:paraId="42387FCB">
            <w:pPr>
              <w:pStyle w:val="41"/>
              <w:rPr>
                <w:color w:val="auto"/>
                <w:highlight w:val="none"/>
              </w:rPr>
            </w:pPr>
            <w:r>
              <w:rPr>
                <w:color w:val="auto"/>
                <w:highlight w:val="none"/>
              </w:rPr>
              <w:t>尾矿输送为</w:t>
            </w:r>
            <w:r>
              <w:rPr>
                <w:rFonts w:hint="eastAsia"/>
                <w:color w:val="auto"/>
                <w:highlight w:val="none"/>
                <w:lang w:eastAsia="zh-CN"/>
              </w:rPr>
              <w:t>皮带</w:t>
            </w:r>
            <w:r>
              <w:rPr>
                <w:color w:val="auto"/>
                <w:highlight w:val="none"/>
              </w:rPr>
              <w:t>输送，扬尘量很小，输送直线距离约</w:t>
            </w:r>
            <w:r>
              <w:rPr>
                <w:rFonts w:hint="eastAsia"/>
                <w:color w:val="auto"/>
                <w:highlight w:val="none"/>
                <w:lang w:val="en-US" w:eastAsia="zh-CN"/>
              </w:rPr>
              <w:t>7k</w:t>
            </w:r>
            <w:r>
              <w:rPr>
                <w:color w:val="auto"/>
                <w:highlight w:val="none"/>
              </w:rPr>
              <w:t>m</w:t>
            </w:r>
            <w:r>
              <w:rPr>
                <w:rFonts w:hint="eastAsia"/>
                <w:color w:val="auto"/>
                <w:highlight w:val="none"/>
              </w:rPr>
              <w:t>。</w:t>
            </w:r>
          </w:p>
        </w:tc>
      </w:tr>
      <w:tr w14:paraId="1690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tcBorders>
              <w:tl2br w:val="nil"/>
              <w:tr2bl w:val="nil"/>
            </w:tcBorders>
            <w:vAlign w:val="center"/>
          </w:tcPr>
          <w:p w14:paraId="59B9C55D">
            <w:pPr>
              <w:pStyle w:val="41"/>
              <w:rPr>
                <w:color w:val="auto"/>
                <w:highlight w:val="none"/>
              </w:rPr>
            </w:pPr>
            <w:r>
              <w:rPr>
                <w:color w:val="auto"/>
                <w:highlight w:val="none"/>
              </w:rPr>
              <w:t>10</w:t>
            </w:r>
          </w:p>
        </w:tc>
        <w:tc>
          <w:tcPr>
            <w:tcW w:w="1255" w:type="pct"/>
            <w:tcBorders>
              <w:tl2br w:val="nil"/>
              <w:tr2bl w:val="nil"/>
            </w:tcBorders>
            <w:vAlign w:val="center"/>
          </w:tcPr>
          <w:p w14:paraId="46D56530">
            <w:pPr>
              <w:pStyle w:val="41"/>
              <w:rPr>
                <w:color w:val="auto"/>
                <w:highlight w:val="none"/>
              </w:rPr>
            </w:pPr>
            <w:r>
              <w:rPr>
                <w:color w:val="auto"/>
                <w:highlight w:val="none"/>
              </w:rPr>
              <w:t>/</w:t>
            </w:r>
          </w:p>
        </w:tc>
        <w:tc>
          <w:tcPr>
            <w:tcW w:w="1203" w:type="pct"/>
            <w:tcBorders>
              <w:tl2br w:val="nil"/>
              <w:tr2bl w:val="nil"/>
            </w:tcBorders>
            <w:vAlign w:val="center"/>
          </w:tcPr>
          <w:p w14:paraId="0397CB91">
            <w:pPr>
              <w:pStyle w:val="41"/>
              <w:rPr>
                <w:color w:val="auto"/>
                <w:highlight w:val="none"/>
              </w:rPr>
            </w:pPr>
            <w:r>
              <w:rPr>
                <w:color w:val="auto"/>
                <w:highlight w:val="none"/>
              </w:rPr>
              <w:t>/</w:t>
            </w:r>
          </w:p>
        </w:tc>
        <w:tc>
          <w:tcPr>
            <w:tcW w:w="1504" w:type="pct"/>
            <w:tcBorders>
              <w:tl2br w:val="nil"/>
              <w:tr2bl w:val="nil"/>
            </w:tcBorders>
            <w:vAlign w:val="center"/>
          </w:tcPr>
          <w:p w14:paraId="71692714">
            <w:pPr>
              <w:pStyle w:val="41"/>
              <w:rPr>
                <w:color w:val="auto"/>
                <w:highlight w:val="none"/>
              </w:rPr>
            </w:pPr>
            <w:r>
              <w:rPr>
                <w:color w:val="auto"/>
                <w:highlight w:val="none"/>
              </w:rPr>
              <w:t>禁止选在江河、湖泊、水库最高水位线以下的滩地和洪泛区</w:t>
            </w:r>
            <w:r>
              <w:rPr>
                <w:rFonts w:hint="eastAsia"/>
                <w:color w:val="auto"/>
                <w:highlight w:val="none"/>
              </w:rPr>
              <w:t>。</w:t>
            </w:r>
          </w:p>
        </w:tc>
        <w:tc>
          <w:tcPr>
            <w:tcW w:w="781" w:type="pct"/>
            <w:tcBorders>
              <w:tl2br w:val="nil"/>
              <w:tr2bl w:val="nil"/>
            </w:tcBorders>
            <w:vAlign w:val="center"/>
          </w:tcPr>
          <w:p w14:paraId="6A0D2D50">
            <w:pPr>
              <w:pStyle w:val="41"/>
              <w:rPr>
                <w:color w:val="auto"/>
                <w:highlight w:val="none"/>
              </w:rPr>
            </w:pPr>
            <w:r>
              <w:rPr>
                <w:rFonts w:hint="eastAsia"/>
                <w:color w:val="auto"/>
                <w:highlight w:val="none"/>
              </w:rPr>
              <w:t>尾矿库选址不在河流最高水位线以下的滩地和洪泛区。</w:t>
            </w:r>
          </w:p>
        </w:tc>
      </w:tr>
      <w:tr w14:paraId="30881C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tcBorders>
              <w:tl2br w:val="nil"/>
              <w:tr2bl w:val="nil"/>
            </w:tcBorders>
            <w:vAlign w:val="center"/>
          </w:tcPr>
          <w:p w14:paraId="388414CF">
            <w:pPr>
              <w:pStyle w:val="41"/>
              <w:rPr>
                <w:color w:val="auto"/>
                <w:highlight w:val="none"/>
              </w:rPr>
            </w:pPr>
            <w:r>
              <w:rPr>
                <w:color w:val="auto"/>
                <w:highlight w:val="none"/>
              </w:rPr>
              <w:t>11</w:t>
            </w:r>
          </w:p>
        </w:tc>
        <w:tc>
          <w:tcPr>
            <w:tcW w:w="1255" w:type="pct"/>
            <w:tcBorders>
              <w:tl2br w:val="nil"/>
              <w:tr2bl w:val="nil"/>
            </w:tcBorders>
            <w:vAlign w:val="center"/>
          </w:tcPr>
          <w:p w14:paraId="3E1F218A">
            <w:pPr>
              <w:pStyle w:val="41"/>
              <w:rPr>
                <w:color w:val="auto"/>
                <w:highlight w:val="none"/>
              </w:rPr>
            </w:pPr>
            <w:r>
              <w:rPr>
                <w:color w:val="auto"/>
                <w:highlight w:val="none"/>
              </w:rPr>
              <w:t>/</w:t>
            </w:r>
          </w:p>
        </w:tc>
        <w:tc>
          <w:tcPr>
            <w:tcW w:w="1203" w:type="pct"/>
            <w:tcBorders>
              <w:tl2br w:val="nil"/>
              <w:tr2bl w:val="nil"/>
            </w:tcBorders>
            <w:vAlign w:val="center"/>
          </w:tcPr>
          <w:p w14:paraId="4B568AE4">
            <w:pPr>
              <w:pStyle w:val="41"/>
              <w:rPr>
                <w:color w:val="auto"/>
                <w:highlight w:val="none"/>
              </w:rPr>
            </w:pPr>
            <w:r>
              <w:rPr>
                <w:color w:val="auto"/>
                <w:highlight w:val="none"/>
              </w:rPr>
              <w:t>/</w:t>
            </w:r>
          </w:p>
        </w:tc>
        <w:tc>
          <w:tcPr>
            <w:tcW w:w="1504" w:type="pct"/>
            <w:tcBorders>
              <w:tl2br w:val="nil"/>
              <w:tr2bl w:val="nil"/>
            </w:tcBorders>
            <w:vAlign w:val="center"/>
          </w:tcPr>
          <w:p w14:paraId="521B2BE9">
            <w:pPr>
              <w:pStyle w:val="41"/>
              <w:rPr>
                <w:color w:val="auto"/>
                <w:highlight w:val="none"/>
              </w:rPr>
            </w:pPr>
            <w:r>
              <w:rPr>
                <w:color w:val="auto"/>
                <w:highlight w:val="none"/>
              </w:rPr>
              <w:t>应符合当地城乡建设总体规划要求</w:t>
            </w:r>
            <w:r>
              <w:rPr>
                <w:rFonts w:hint="eastAsia"/>
                <w:color w:val="auto"/>
                <w:highlight w:val="none"/>
              </w:rPr>
              <w:t>。</w:t>
            </w:r>
          </w:p>
        </w:tc>
        <w:tc>
          <w:tcPr>
            <w:tcW w:w="781" w:type="pct"/>
            <w:tcBorders>
              <w:tl2br w:val="nil"/>
              <w:tr2bl w:val="nil"/>
            </w:tcBorders>
            <w:vAlign w:val="center"/>
          </w:tcPr>
          <w:p w14:paraId="777076BD">
            <w:pPr>
              <w:pStyle w:val="41"/>
              <w:rPr>
                <w:color w:val="auto"/>
                <w:highlight w:val="none"/>
              </w:rPr>
            </w:pPr>
            <w:r>
              <w:rPr>
                <w:color w:val="auto"/>
                <w:highlight w:val="none"/>
              </w:rPr>
              <w:t>符合当地规划</w:t>
            </w:r>
            <w:r>
              <w:rPr>
                <w:rFonts w:hint="eastAsia"/>
                <w:color w:val="auto"/>
                <w:highlight w:val="none"/>
              </w:rPr>
              <w:t>。</w:t>
            </w:r>
          </w:p>
        </w:tc>
      </w:tr>
    </w:tbl>
    <w:p w14:paraId="70B98335">
      <w:pPr>
        <w:pStyle w:val="3"/>
        <w:ind w:firstLine="480"/>
        <w:rPr>
          <w:rFonts w:hint="eastAsia"/>
          <w:color w:val="auto"/>
          <w:highlight w:val="none"/>
        </w:rPr>
      </w:pPr>
      <w:r>
        <w:rPr>
          <w:rFonts w:hint="eastAsia"/>
          <w:color w:val="auto"/>
          <w:highlight w:val="none"/>
        </w:rPr>
        <w:t>综上，本项目尾矿库选址及建设符合</w:t>
      </w:r>
      <w:r>
        <w:rPr>
          <w:color w:val="auto"/>
          <w:highlight w:val="none"/>
        </w:rPr>
        <w:t>《尾矿设施设计规范》（GB50863-2013）</w:t>
      </w:r>
      <w:r>
        <w:rPr>
          <w:rFonts w:hint="eastAsia"/>
          <w:color w:val="auto"/>
          <w:highlight w:val="none"/>
        </w:rPr>
        <w:t>、</w:t>
      </w:r>
      <w:r>
        <w:rPr>
          <w:color w:val="auto"/>
          <w:highlight w:val="none"/>
        </w:rPr>
        <w:t>《尾矿库安全技术规程》（AQ2006-2005）</w:t>
      </w:r>
      <w:r>
        <w:rPr>
          <w:rFonts w:hint="eastAsia"/>
          <w:color w:val="auto"/>
          <w:highlight w:val="none"/>
        </w:rPr>
        <w:t>及《一般工业固体废物贮存和填埋污染控制标准》（GB18599-2020）中的相关要求。</w:t>
      </w:r>
    </w:p>
    <w:p w14:paraId="17EB7102">
      <w:pPr>
        <w:pStyle w:val="42"/>
        <w:rPr>
          <w:rFonts w:hint="default"/>
          <w:color w:val="auto"/>
          <w:highlight w:val="none"/>
        </w:rPr>
      </w:pPr>
      <w:r>
        <w:rPr>
          <w:color w:val="auto"/>
          <w:highlight w:val="none"/>
        </w:rPr>
        <w:t>与《关于“十四五”大宗固体废弃物综合利用的指导意见》符合性分析</w:t>
      </w:r>
    </w:p>
    <w:p w14:paraId="098946E4">
      <w:pPr>
        <w:pStyle w:val="3"/>
        <w:ind w:firstLine="480"/>
        <w:rPr>
          <w:rFonts w:hint="eastAsia"/>
          <w:color w:val="auto"/>
          <w:highlight w:val="none"/>
        </w:rPr>
      </w:pPr>
      <w:r>
        <w:rPr>
          <w:color w:val="auto"/>
          <w:highlight w:val="none"/>
        </w:rPr>
        <w:t>《</w:t>
      </w:r>
      <w:r>
        <w:rPr>
          <w:rFonts w:hint="eastAsia"/>
          <w:color w:val="auto"/>
          <w:highlight w:val="none"/>
        </w:rPr>
        <w:t>关于“十四五”大宗固体废弃物综合利用的指导意见</w:t>
      </w:r>
      <w:r>
        <w:rPr>
          <w:color w:val="auto"/>
          <w:highlight w:val="none"/>
        </w:rPr>
        <w:t>》</w:t>
      </w:r>
      <w:r>
        <w:rPr>
          <w:rFonts w:hint="eastAsia"/>
          <w:color w:val="auto"/>
          <w:highlight w:val="none"/>
        </w:rPr>
        <w:t>（发改环资〔2021〕381号）</w:t>
      </w:r>
      <w:r>
        <w:rPr>
          <w:rFonts w:hint="eastAsia"/>
          <w:color w:val="auto"/>
          <w:highlight w:val="none"/>
          <w:lang w:eastAsia="zh-CN"/>
        </w:rPr>
        <w:t>要求</w:t>
      </w:r>
      <w:r>
        <w:rPr>
          <w:rFonts w:hint="eastAsia"/>
          <w:color w:val="auto"/>
          <w:highlight w:val="none"/>
        </w:rPr>
        <w:t>：</w:t>
      </w:r>
    </w:p>
    <w:p w14:paraId="7731AE70">
      <w:pPr>
        <w:pStyle w:val="3"/>
        <w:ind w:firstLine="480"/>
        <w:rPr>
          <w:color w:val="auto"/>
          <w:highlight w:val="none"/>
        </w:rPr>
      </w:pPr>
      <w:r>
        <w:rPr>
          <w:color w:val="auto"/>
          <w:highlight w:val="none"/>
        </w:rPr>
        <w:t>（十二）推进产废行业绿色转型，实现源头减量。开展产废行业绿色设计，在生产过</w:t>
      </w:r>
      <w:r>
        <w:rPr>
          <w:rFonts w:hint="eastAsia"/>
          <w:color w:val="auto"/>
          <w:highlight w:val="none"/>
        </w:rPr>
        <w:t>程中</w:t>
      </w:r>
      <w:r>
        <w:rPr>
          <w:color w:val="auto"/>
          <w:highlight w:val="none"/>
        </w:rPr>
        <w:t>充分考虑后续综合利用环节，切实从源头削减大宗固废。大力发展绿色矿业，推广应用</w:t>
      </w:r>
      <w:r>
        <w:rPr>
          <w:rFonts w:hint="eastAsia"/>
          <w:color w:val="auto"/>
          <w:highlight w:val="none"/>
        </w:rPr>
        <w:t>矸</w:t>
      </w:r>
      <w:r>
        <w:rPr>
          <w:color w:val="auto"/>
          <w:highlight w:val="none"/>
        </w:rPr>
        <w:t>石不出井模式，鼓励采矿企业利用尾矿、共伴生矿填充采空区、治理塌陷区，推动实现尾矿就地消纳。开展能源、冶金、化工等重点行业绿色化改造，不断优化工艺流程、改进技术装备，降低大宗固废产生强度。推动</w:t>
      </w:r>
      <w:r>
        <w:rPr>
          <w:rFonts w:hint="eastAsia"/>
          <w:color w:val="auto"/>
          <w:highlight w:val="none"/>
        </w:rPr>
        <w:t>煤矸石</w:t>
      </w:r>
      <w:r>
        <w:rPr>
          <w:color w:val="auto"/>
          <w:highlight w:val="none"/>
        </w:rPr>
        <w:t>、尾矿、钢铁渣等大宗固废产生过程自消纳，推动提升磷石膏、赤泥等复杂难用大宗固废净化处理水平，为综合利用创造条件。在工程建设领域推行绿色施工，推广废弃路面材料和拆除垃圾原地再生利用，实施建筑垃圾分类管理、源头减量和资源化利用。</w:t>
      </w:r>
    </w:p>
    <w:p w14:paraId="4AA9CB9C">
      <w:pPr>
        <w:pStyle w:val="3"/>
        <w:ind w:firstLine="480"/>
        <w:rPr>
          <w:color w:val="auto"/>
          <w:highlight w:val="none"/>
        </w:rPr>
      </w:pPr>
      <w:r>
        <w:rPr>
          <w:color w:val="auto"/>
          <w:highlight w:val="none"/>
        </w:rPr>
        <w:t>（十四）强化大宗固废规范处置，守住环境底线。加强大宗固废贮存及处置管理，强化主体责任，推动建设符合有关国家标准的贮存设施，实现安全分类存放，杜绝混排混堆。统筹兼顾大宗固废增量消纳和存量治理，加大重点流域和重点区域大宗固废的综合整治力度，健全环保长效监督管理制度。</w:t>
      </w:r>
    </w:p>
    <w:p w14:paraId="39D3D15D">
      <w:pPr>
        <w:pStyle w:val="3"/>
        <w:ind w:firstLine="480"/>
        <w:rPr>
          <w:rFonts w:hint="eastAsia"/>
          <w:color w:val="auto"/>
          <w:highlight w:val="none"/>
          <w:lang w:eastAsia="zh-CN"/>
        </w:rPr>
      </w:pPr>
      <w:r>
        <w:rPr>
          <w:rFonts w:hint="eastAsia"/>
          <w:color w:val="auto"/>
          <w:highlight w:val="none"/>
        </w:rPr>
        <w:t>本项目为钒钛磁铁矿配套建设的选矿、尾矿库项目；选矿废石运往采坑排土场暂存，可回填露天采坑；生物质炉渣作为土壤改良剂用于矿区生态恢复治理；尾矿后期经皮带输送至尾矿库。本项目</w:t>
      </w:r>
      <w:r>
        <w:rPr>
          <w:rFonts w:hint="eastAsia"/>
          <w:color w:val="auto"/>
          <w:highlight w:val="none"/>
          <w:lang w:eastAsia="zh-CN"/>
        </w:rPr>
        <w:t>符合</w:t>
      </w:r>
      <w:r>
        <w:rPr>
          <w:color w:val="auto"/>
          <w:highlight w:val="none"/>
        </w:rPr>
        <w:t>《</w:t>
      </w:r>
      <w:r>
        <w:rPr>
          <w:rFonts w:hint="eastAsia"/>
          <w:color w:val="auto"/>
          <w:highlight w:val="none"/>
        </w:rPr>
        <w:t>关于“十四五”大宗固体废弃物综合利用的指导意见</w:t>
      </w:r>
      <w:r>
        <w:rPr>
          <w:color w:val="auto"/>
          <w:highlight w:val="none"/>
        </w:rPr>
        <w:t>》</w:t>
      </w:r>
      <w:r>
        <w:rPr>
          <w:rFonts w:hint="eastAsia"/>
          <w:color w:val="auto"/>
          <w:highlight w:val="none"/>
        </w:rPr>
        <w:t>（发改环资〔2021〕381号）</w:t>
      </w:r>
      <w:r>
        <w:rPr>
          <w:rFonts w:hint="eastAsia"/>
          <w:color w:val="auto"/>
          <w:highlight w:val="none"/>
          <w:lang w:eastAsia="zh-CN"/>
        </w:rPr>
        <w:t>要求。</w:t>
      </w:r>
    </w:p>
    <w:p w14:paraId="3A9C7032">
      <w:pPr>
        <w:pStyle w:val="42"/>
        <w:rPr>
          <w:rFonts w:hint="eastAsia"/>
          <w:color w:val="auto"/>
          <w:highlight w:val="none"/>
        </w:rPr>
      </w:pPr>
      <w:r>
        <w:rPr>
          <w:rFonts w:hint="eastAsia"/>
          <w:color w:val="auto"/>
          <w:highlight w:val="none"/>
          <w:lang w:eastAsia="zh-CN"/>
        </w:rPr>
        <w:t>与</w:t>
      </w:r>
      <w:r>
        <w:rPr>
          <w:rFonts w:hint="eastAsia"/>
          <w:color w:val="auto"/>
          <w:highlight w:val="none"/>
        </w:rPr>
        <w:t>《固体废物综合治理行动计划</w:t>
      </w:r>
      <w:r>
        <w:rPr>
          <w:rFonts w:hint="eastAsia"/>
          <w:color w:val="auto"/>
          <w:highlight w:val="none"/>
          <w:lang w:eastAsia="zh-CN"/>
        </w:rPr>
        <w:t>》</w:t>
      </w:r>
      <w:r>
        <w:rPr>
          <w:rFonts w:hint="eastAsia"/>
          <w:color w:val="auto"/>
          <w:highlight w:val="none"/>
        </w:rPr>
        <w:t>（国发〔2025〕14号）</w:t>
      </w:r>
      <w:r>
        <w:rPr>
          <w:rFonts w:hint="eastAsia"/>
          <w:color w:val="auto"/>
          <w:highlight w:val="none"/>
          <w:lang w:eastAsia="zh-CN"/>
        </w:rPr>
        <w:t>符合性分析</w:t>
      </w:r>
    </w:p>
    <w:p w14:paraId="4B049FB6">
      <w:pPr>
        <w:pStyle w:val="3"/>
        <w:ind w:firstLine="480"/>
        <w:rPr>
          <w:rFonts w:hint="eastAsia"/>
          <w:color w:val="auto"/>
          <w:highlight w:val="none"/>
          <w:lang w:eastAsia="zh-CN"/>
        </w:rPr>
      </w:pPr>
      <w:r>
        <w:rPr>
          <w:rFonts w:hint="eastAsia"/>
          <w:color w:val="auto"/>
          <w:highlight w:val="none"/>
          <w:lang w:eastAsia="zh-CN"/>
        </w:rPr>
        <w:t>《固体废物综合治理行动计划》要求：（一）加强工业固体废物源头减量。推动重有色金属矿采选一体化建设，促进尾矿就近充填回填，原则上不再批准建设无自建矿山、无配套尾矿利用处置设施的选矿项目。（四）加强工业固体废物规范化管理。推行工业固体废物分类收集贮存，防范混堆混排。禁止向生活垃圾收集设施中投放工业固体废物。严格执行工业固体废物、危险废物跨省转移审批制度。规范各类企业危险废物收集管理。（十）提升全过程无害化水平。加强大宗工业固体废物无害化预处理，降低贮存填埋量和环境污染风险。因地制宜确定生活垃圾处理方式，合理布局建设生活垃圾焚烧处理设施，鼓励在确保安全稳定运行前提下，协同处置城镇污水处理厂污泥和工业固体废物。</w:t>
      </w:r>
    </w:p>
    <w:p w14:paraId="348AE782">
      <w:pPr>
        <w:pStyle w:val="3"/>
        <w:ind w:firstLine="480"/>
        <w:rPr>
          <w:rFonts w:hint="eastAsia"/>
          <w:color w:val="auto"/>
          <w:highlight w:val="none"/>
          <w:lang w:eastAsia="zh-CN"/>
        </w:rPr>
      </w:pPr>
      <w:r>
        <w:rPr>
          <w:rFonts w:hint="eastAsia"/>
          <w:color w:val="auto"/>
          <w:highlight w:val="none"/>
          <w:lang w:eastAsia="zh-CN"/>
        </w:rPr>
        <w:t>本项目为阿图什市环球矿业钒钛磁铁矿配套建设的选矿厂，本项目配套建设尾矿库；本项目排放废石运往采矿排土场暂时堆存后期回填采坑进行矿区生态恢复；尾矿经脱水后运往尾矿库进行堆存；生活垃圾运往周边生活垃圾填埋场进行处置；危废经收集后委托有资质的单位进行处置。综上所述，本项目建设符合《固体废物综合治理行动计划》相关要求。</w:t>
      </w:r>
    </w:p>
    <w:p w14:paraId="7D218CD6">
      <w:pPr>
        <w:pStyle w:val="42"/>
        <w:rPr>
          <w:rFonts w:hint="default"/>
          <w:color w:val="auto"/>
          <w:highlight w:val="none"/>
        </w:rPr>
      </w:pPr>
      <w:r>
        <w:rPr>
          <w:rFonts w:hint="default"/>
          <w:color w:val="auto"/>
          <w:highlight w:val="none"/>
        </w:rPr>
        <w:t>与《关于加强涉重金属行业污染防控的意见》符合性分析</w:t>
      </w:r>
    </w:p>
    <w:p w14:paraId="5432CB3B">
      <w:pPr>
        <w:pStyle w:val="3"/>
        <w:ind w:firstLine="480"/>
        <w:rPr>
          <w:color w:val="auto"/>
          <w:highlight w:val="none"/>
        </w:rPr>
      </w:pPr>
      <w:r>
        <w:rPr>
          <w:rFonts w:hint="eastAsia"/>
          <w:color w:val="auto"/>
          <w:highlight w:val="none"/>
        </w:rPr>
        <w:t>根据生态环境部《关于加强涉重金属行业污染防控的意见》（环土壤〔2018〕22号）中严格环境准入要求：新、改、扩建涉重金属重点行业建设项目必须遵循重点重金属污染物排放“减量置换”或“等量替换”的原则。应在本省（区、市）行政区域内有明确具体的重金属污染物排放总量来源。无明确具体总量来源的，各级环保部门不得批准相关环境影响评价文件。</w:t>
      </w:r>
    </w:p>
    <w:p w14:paraId="6E7D3D5E">
      <w:pPr>
        <w:pStyle w:val="3"/>
        <w:ind w:firstLine="480"/>
        <w:rPr>
          <w:color w:val="auto"/>
          <w:highlight w:val="none"/>
        </w:rPr>
      </w:pPr>
      <w:r>
        <w:rPr>
          <w:rFonts w:hint="eastAsia"/>
          <w:color w:val="auto"/>
          <w:highlight w:val="none"/>
        </w:rPr>
        <w:t>本项目位于</w:t>
      </w:r>
      <w:r>
        <w:rPr>
          <w:color w:val="auto"/>
          <w:highlight w:val="none"/>
        </w:rPr>
        <w:t>阿图什市区北东46°方位</w:t>
      </w:r>
      <w:r>
        <w:rPr>
          <w:rFonts w:hint="eastAsia"/>
          <w:color w:val="auto"/>
          <w:highlight w:val="none"/>
        </w:rPr>
        <w:t>，不属于重金属重点污染物特别排放限值区域；本项目属于钛磁铁矿选矿项目，不属于有色金属采选、重有色金属冶炼等重金属污染重点行业。本项目为阿图什市环球矿业有限公司新疆阿图什市托斯莫铁矿配套的选矿厂，利用该矿的钒钛磁铁矿通过磨矿－弱磁分选磁铁矿－重选等得到钛精粉和铁精粉。在选矿过程中，将初选产生的废石运往采矿项目的排土场进行堆放，后期可回填采坑；项目磁选产生的尾矿属于第I类一般工业固体废物，重金属含量非常低，由</w:t>
      </w:r>
      <w:r>
        <w:rPr>
          <w:rFonts w:hint="eastAsia"/>
          <w:color w:val="auto"/>
          <w:highlight w:val="none"/>
          <w:lang w:eastAsia="zh-CN"/>
        </w:rPr>
        <w:t>皮带</w:t>
      </w:r>
      <w:r>
        <w:rPr>
          <w:rFonts w:hint="eastAsia"/>
          <w:color w:val="auto"/>
          <w:highlight w:val="none"/>
        </w:rPr>
        <w:t>送至尾矿库进行堆存。</w:t>
      </w:r>
    </w:p>
    <w:p w14:paraId="04C4FC76">
      <w:pPr>
        <w:pStyle w:val="3"/>
        <w:ind w:firstLine="480"/>
        <w:rPr>
          <w:color w:val="auto"/>
          <w:highlight w:val="none"/>
        </w:rPr>
      </w:pPr>
      <w:r>
        <w:rPr>
          <w:rFonts w:hint="eastAsia"/>
          <w:color w:val="auto"/>
          <w:highlight w:val="none"/>
        </w:rPr>
        <w:t>综上，本项目符合《关于加强涉重金属行业污染防控的意见》（环土壤〔2018〕22号）相关要求。</w:t>
      </w:r>
    </w:p>
    <w:p w14:paraId="3EE515EE">
      <w:pPr>
        <w:pStyle w:val="42"/>
        <w:rPr>
          <w:rFonts w:hint="default"/>
          <w:color w:val="auto"/>
          <w:highlight w:val="none"/>
        </w:rPr>
      </w:pPr>
      <w:r>
        <w:rPr>
          <w:rFonts w:hint="default"/>
          <w:color w:val="auto"/>
          <w:highlight w:val="none"/>
        </w:rPr>
        <w:t>与《关于印发新疆维吾尔自治区加强涉重金属行业污染防控工作方案的通知》符合性分析</w:t>
      </w:r>
    </w:p>
    <w:p w14:paraId="529C3F1D">
      <w:pPr>
        <w:pStyle w:val="3"/>
        <w:ind w:firstLine="480"/>
        <w:rPr>
          <w:color w:val="auto"/>
          <w:highlight w:val="none"/>
        </w:rPr>
      </w:pPr>
      <w:r>
        <w:rPr>
          <w:rFonts w:hint="eastAsia"/>
          <w:color w:val="auto"/>
          <w:highlight w:val="none"/>
        </w:rPr>
        <w:t>根据《关于印发〈新疆维吾尔自治区加强涉重金属行业污染防控工作方案〉的通知》，重点重金属污染物：重点防控的重金属污染物是</w:t>
      </w:r>
      <w:r>
        <w:rPr>
          <w:rFonts w:hint="eastAsia"/>
          <w:b/>
          <w:bCs/>
          <w:color w:val="auto"/>
          <w:highlight w:val="none"/>
        </w:rPr>
        <w:t>铅、汞、镉、铬、砷和锑</w:t>
      </w:r>
      <w:r>
        <w:rPr>
          <w:rFonts w:hint="eastAsia"/>
          <w:color w:val="auto"/>
          <w:highlight w:val="none"/>
        </w:rPr>
        <w:t>，</w:t>
      </w:r>
      <w:r>
        <w:rPr>
          <w:rFonts w:hint="eastAsia"/>
          <w:b/>
          <w:bCs/>
          <w:color w:val="auto"/>
          <w:highlight w:val="none"/>
        </w:rPr>
        <w:t>并对铅、汞、镉、铬和砷五种重点重金属污染物排放量实施总量控制。</w:t>
      </w:r>
    </w:p>
    <w:p w14:paraId="7FCAA39F">
      <w:pPr>
        <w:pStyle w:val="3"/>
        <w:ind w:firstLine="480"/>
        <w:rPr>
          <w:color w:val="auto"/>
          <w:highlight w:val="none"/>
        </w:rPr>
      </w:pPr>
      <w:r>
        <w:rPr>
          <w:rFonts w:hint="eastAsia"/>
          <w:color w:val="auto"/>
          <w:highlight w:val="none"/>
        </w:rPr>
        <w:t>重点行业：包括</w:t>
      </w:r>
      <w:r>
        <w:rPr>
          <w:rFonts w:hint="eastAsia"/>
          <w:b/>
          <w:bCs/>
          <w:color w:val="auto"/>
          <w:highlight w:val="none"/>
        </w:rPr>
        <w:t>重有色金属矿采选业（铜、铅锌、镍钴、锡、锑和汞矿采选）</w:t>
      </w:r>
      <w:r>
        <w:rPr>
          <w:rFonts w:hint="eastAsia"/>
          <w:color w:val="auto"/>
          <w:highlight w:val="none"/>
        </w:rPr>
        <w:t>、重有色金属冶炼业（铜、铅</w:t>
      </w:r>
      <w:r>
        <w:rPr>
          <w:rFonts w:hint="eastAsia"/>
          <w:color w:val="auto"/>
          <w:highlight w:val="none"/>
          <w:lang w:eastAsia="zh-CN"/>
        </w:rPr>
        <w:t>、</w:t>
      </w:r>
      <w:r>
        <w:rPr>
          <w:rFonts w:hint="eastAsia"/>
          <w:color w:val="auto"/>
          <w:highlight w:val="none"/>
        </w:rPr>
        <w:t>锌、镍钴、锡、锑和汞冶炼）、铅蓄电池制造业、电镀行业、化学原料及化学制品制造业（电石法（聚）氯乙烯制造、铬盐制造、以工业固体废物为原料的锌无机化合物工业）以及皮革鞣制加工业等6个行业。</w:t>
      </w:r>
    </w:p>
    <w:p w14:paraId="796A0A77">
      <w:pPr>
        <w:pStyle w:val="3"/>
        <w:rPr>
          <w:rFonts w:hint="eastAsia"/>
          <w:color w:val="auto"/>
          <w:highlight w:val="none"/>
        </w:rPr>
      </w:pPr>
      <w:r>
        <w:rPr>
          <w:rFonts w:hint="eastAsia"/>
          <w:color w:val="auto"/>
          <w:highlight w:val="none"/>
        </w:rPr>
        <w:t>本项目为阿图什市环球矿业有限公司新疆阿图什市托斯莫铁矿配套的选矿厂，利用该矿的钒钛磁铁矿通过磨矿－弱磁分选磁铁矿－重选等</w:t>
      </w:r>
      <w:r>
        <w:rPr>
          <w:rFonts w:hint="eastAsia"/>
          <w:color w:val="auto"/>
          <w:highlight w:val="none"/>
          <w:lang w:eastAsia="zh-CN"/>
        </w:rPr>
        <w:t>物理方式</w:t>
      </w:r>
      <w:r>
        <w:rPr>
          <w:rFonts w:hint="eastAsia"/>
          <w:color w:val="auto"/>
          <w:highlight w:val="none"/>
        </w:rPr>
        <w:t>得到钛精粉和铁精粉，</w:t>
      </w:r>
      <w:r>
        <w:rPr>
          <w:rFonts w:hint="eastAsia"/>
          <w:color w:val="auto"/>
          <w:highlight w:val="none"/>
          <w:lang w:eastAsia="zh-CN"/>
        </w:rPr>
        <w:t>原矿石中虽含有“铅（</w:t>
      </w:r>
      <w:r>
        <w:rPr>
          <w:rFonts w:hint="eastAsia"/>
          <w:color w:val="auto"/>
          <w:highlight w:val="none"/>
          <w:lang w:val="en-US" w:eastAsia="zh-CN"/>
        </w:rPr>
        <w:t>0.003%</w:t>
      </w:r>
      <w:r>
        <w:rPr>
          <w:rFonts w:hint="eastAsia"/>
          <w:color w:val="auto"/>
          <w:highlight w:val="none"/>
          <w:lang w:eastAsia="zh-CN"/>
        </w:rPr>
        <w:t>）</w:t>
      </w:r>
      <w:r>
        <w:rPr>
          <w:rFonts w:hint="eastAsia"/>
          <w:color w:val="auto"/>
          <w:highlight w:val="none"/>
          <w:lang w:eastAsia="zh-CN"/>
        </w:rPr>
        <w:t>、镍</w:t>
      </w:r>
      <w:r>
        <w:rPr>
          <w:rFonts w:hint="eastAsia"/>
          <w:color w:val="auto"/>
          <w:highlight w:val="none"/>
          <w:lang w:eastAsia="zh-CN"/>
        </w:rPr>
        <w:t>（</w:t>
      </w:r>
      <w:r>
        <w:rPr>
          <w:rFonts w:hint="eastAsia"/>
          <w:color w:val="auto"/>
          <w:highlight w:val="none"/>
          <w:lang w:val="en-US" w:eastAsia="zh-CN"/>
        </w:rPr>
        <w:t>0.009%</w:t>
      </w:r>
      <w:r>
        <w:rPr>
          <w:rFonts w:hint="eastAsia"/>
          <w:color w:val="auto"/>
          <w:highlight w:val="none"/>
          <w:lang w:eastAsia="zh-CN"/>
        </w:rPr>
        <w:t>）</w:t>
      </w:r>
      <w:r>
        <w:rPr>
          <w:rFonts w:hint="eastAsia"/>
          <w:color w:val="auto"/>
          <w:highlight w:val="none"/>
          <w:lang w:eastAsia="zh-CN"/>
        </w:rPr>
        <w:t>、钴</w:t>
      </w:r>
      <w:r>
        <w:rPr>
          <w:rFonts w:hint="eastAsia"/>
          <w:color w:val="auto"/>
          <w:highlight w:val="none"/>
          <w:lang w:eastAsia="zh-CN"/>
        </w:rPr>
        <w:t>（</w:t>
      </w:r>
      <w:r>
        <w:rPr>
          <w:rFonts w:hint="eastAsia"/>
          <w:color w:val="auto"/>
          <w:highlight w:val="none"/>
          <w:lang w:val="en-US" w:eastAsia="zh-CN"/>
        </w:rPr>
        <w:t>0.006%</w:t>
      </w:r>
      <w:r>
        <w:rPr>
          <w:rFonts w:hint="eastAsia"/>
          <w:color w:val="auto"/>
          <w:highlight w:val="none"/>
          <w:lang w:eastAsia="zh-CN"/>
        </w:rPr>
        <w:t>）</w:t>
      </w:r>
      <w:r>
        <w:rPr>
          <w:rFonts w:hint="eastAsia"/>
          <w:color w:val="auto"/>
          <w:highlight w:val="none"/>
          <w:lang w:eastAsia="zh-CN"/>
        </w:rPr>
        <w:t>”等重金属，但其含量较低，</w:t>
      </w:r>
      <w:r>
        <w:rPr>
          <w:rFonts w:hint="eastAsia"/>
          <w:color w:val="auto"/>
          <w:highlight w:val="none"/>
        </w:rPr>
        <w:t>项目废气执行</w:t>
      </w:r>
      <w:r>
        <w:rPr>
          <w:rFonts w:hint="eastAsia"/>
          <w:color w:val="auto"/>
          <w:highlight w:val="none"/>
          <w:lang w:val="en-US" w:eastAsia="zh-CN"/>
        </w:rPr>
        <w:t>的</w:t>
      </w:r>
      <w:r>
        <w:rPr>
          <w:color w:val="auto"/>
          <w:highlight w:val="none"/>
        </w:rPr>
        <w:t>《铁矿采选工业污染物排放标准》（GB28661-2012）</w:t>
      </w:r>
      <w:r>
        <w:rPr>
          <w:rFonts w:hint="eastAsia"/>
          <w:color w:val="auto"/>
          <w:highlight w:val="none"/>
        </w:rPr>
        <w:t>以及《排放源统计调查产排污核算方法和系数手册》中，大气污染因子为颗粒物，不涉及</w:t>
      </w:r>
      <w:r>
        <w:rPr>
          <w:rFonts w:hint="eastAsia"/>
          <w:color w:val="auto"/>
          <w:highlight w:val="none"/>
          <w:lang w:eastAsia="zh-CN"/>
        </w:rPr>
        <w:t>“铅”</w:t>
      </w:r>
      <w:r>
        <w:rPr>
          <w:rFonts w:hint="eastAsia"/>
          <w:color w:val="auto"/>
          <w:highlight w:val="none"/>
        </w:rPr>
        <w:t>。综上，项目不需设置重金属污染总量控制指标。</w:t>
      </w:r>
    </w:p>
    <w:p w14:paraId="2E88FA10">
      <w:pPr>
        <w:pStyle w:val="3"/>
        <w:ind w:firstLine="480"/>
        <w:rPr>
          <w:color w:val="auto"/>
          <w:highlight w:val="none"/>
        </w:rPr>
      </w:pPr>
      <w:r>
        <w:rPr>
          <w:rFonts w:hint="eastAsia"/>
          <w:color w:val="auto"/>
          <w:highlight w:val="none"/>
        </w:rPr>
        <w:t>综上，本项目的建设符合《关于印发新疆维吾尔自治区加强涉重金属行业污染防控工作方案的通知》相关要求。</w:t>
      </w:r>
    </w:p>
    <w:p w14:paraId="07FD2F76">
      <w:pPr>
        <w:pStyle w:val="42"/>
        <w:rPr>
          <w:rFonts w:hint="default"/>
          <w:color w:val="auto"/>
          <w:highlight w:val="none"/>
        </w:rPr>
      </w:pPr>
      <w:r>
        <w:rPr>
          <w:rFonts w:hint="default"/>
          <w:color w:val="auto"/>
          <w:highlight w:val="none"/>
        </w:rPr>
        <w:t>与</w:t>
      </w:r>
      <w:r>
        <w:rPr>
          <w:rFonts w:hint="eastAsia"/>
          <w:color w:val="auto"/>
          <w:highlight w:val="none"/>
          <w:lang w:eastAsia="zh-CN"/>
        </w:rPr>
        <w:t>《新疆维吾尔自治区2025年空气质量持续改善行动实施方案</w:t>
      </w:r>
      <w:r>
        <w:rPr>
          <w:rFonts w:hint="eastAsia"/>
          <w:color w:val="auto"/>
          <w:highlight w:val="none"/>
          <w:lang w:eastAsia="zh-CN"/>
        </w:rPr>
        <w:t>》和</w:t>
      </w:r>
      <w:r>
        <w:rPr>
          <w:rFonts w:hint="eastAsia"/>
          <w:color w:val="auto"/>
          <w:highlight w:val="none"/>
          <w:lang w:eastAsia="zh-CN"/>
        </w:rPr>
        <w:t>《新疆维吾尔自治区大气污染防治条例》</w:t>
      </w:r>
      <w:r>
        <w:rPr>
          <w:rFonts w:hint="default"/>
          <w:color w:val="auto"/>
          <w:highlight w:val="none"/>
        </w:rPr>
        <w:t>符合性分析</w:t>
      </w:r>
    </w:p>
    <w:p w14:paraId="0E8E24EC">
      <w:pPr>
        <w:pStyle w:val="3"/>
        <w:ind w:firstLine="480"/>
        <w:rPr>
          <w:color w:val="auto"/>
          <w:highlight w:val="none"/>
        </w:rPr>
      </w:pPr>
      <w:r>
        <w:rPr>
          <w:rFonts w:hint="eastAsia"/>
          <w:color w:val="auto"/>
          <w:highlight w:val="none"/>
          <w:lang w:eastAsia="zh-CN"/>
        </w:rPr>
        <w:t>《新疆维吾尔自治区2025年空气质量持续改善行动实施方案》</w:t>
      </w:r>
      <w:r>
        <w:rPr>
          <w:color w:val="auto"/>
          <w:highlight w:val="none"/>
        </w:rPr>
        <w:t>中：</w:t>
      </w:r>
    </w:p>
    <w:p w14:paraId="33A36686">
      <w:pPr>
        <w:pStyle w:val="3"/>
        <w:ind w:firstLine="480"/>
        <w:rPr>
          <w:color w:val="auto"/>
          <w:highlight w:val="none"/>
        </w:rPr>
      </w:pPr>
      <w:r>
        <w:rPr>
          <w:rFonts w:hint="eastAsia"/>
          <w:color w:val="auto"/>
          <w:highlight w:val="none"/>
        </w:rPr>
        <w:t>（一）坚决遏制高耗能、高排放、低水平项目盲目上马。新改扩建项目严格落实国家和自治区产业规划、产业政策、生态环境分区管控方案、规划环评、项目环评、节能审查、产能置换、重点污染物总量控制、污染物排放区域削减、碳排放达峰目标等相关要求，原则上采用清洁运输方式，达到能效标杆水平、环保绩效A级水平。涉及产能置换的项目，被置换产能及设备关停后，新建项目方可投产。</w:t>
      </w:r>
    </w:p>
    <w:p w14:paraId="15040678">
      <w:pPr>
        <w:pStyle w:val="3"/>
        <w:ind w:firstLine="480"/>
        <w:rPr>
          <w:rFonts w:hint="eastAsia"/>
          <w:color w:val="auto"/>
          <w:highlight w:val="none"/>
        </w:rPr>
      </w:pPr>
      <w:r>
        <w:rPr>
          <w:rFonts w:hint="eastAsia"/>
          <w:color w:val="auto"/>
          <w:highlight w:val="none"/>
        </w:rPr>
        <w:t>（六）持续开展燃煤锅炉综合整治。县级及以上城市建成区原则上不再新建35蒸吨/小时及以下燃煤锅炉。到2025年，基本淘汰10蒸吨/小时及以下的燃煤锅炉，联防联控区基本淘汰65蒸吨/小时以下的燃煤锅炉；基本完成65蒸吨/小时及以上燃煤锅炉超低排放改造，联防联控区2024年完成。实施煤电机组“三改联动”，推动煤电向基础性、支撑性、调节性电源转型，鼓励拆小建大等容量替代。充分发挥30万千瓦及以上热电联产电厂的供热能力，关停或整合其供热半径15公里范围内的燃煤锅炉和落后燃煤小热电机组（含自备电厂）。</w:t>
      </w:r>
    </w:p>
    <w:p w14:paraId="78D7FE50">
      <w:pPr>
        <w:pStyle w:val="3"/>
        <w:ind w:firstLine="480"/>
        <w:rPr>
          <w:rFonts w:hint="eastAsia"/>
          <w:color w:val="auto"/>
          <w:highlight w:val="none"/>
        </w:rPr>
      </w:pPr>
      <w:r>
        <w:rPr>
          <w:rFonts w:hint="eastAsia"/>
          <w:color w:val="auto"/>
          <w:highlight w:val="none"/>
        </w:rPr>
        <w:t>（七）持续推进工业炉窑清洁能源替代。有序推进以电代煤，稳妥推进以气代煤。联防联控区原则上不再新增燃料类煤气发生炉，新改扩建加热炉、热处理炉、干燥炉、熔化炉原则上采用清洁低碳能源；安全稳妥推进使用高污染燃料的工业炉窑改用工业余热、电能、天然气等；燃料类煤气发生炉实行清洁能源替代，或因地制宜采取园区（集群）集中供气、分散使用方式；逐步淘汰固定床间歇式煤气发生炉。</w:t>
      </w:r>
    </w:p>
    <w:p w14:paraId="759D35BF">
      <w:pPr>
        <w:pStyle w:val="3"/>
        <w:ind w:firstLine="480"/>
        <w:rPr>
          <w:rFonts w:hint="eastAsia"/>
          <w:color w:val="auto"/>
          <w:highlight w:val="none"/>
        </w:rPr>
      </w:pPr>
      <w:r>
        <w:rPr>
          <w:rFonts w:hint="eastAsia"/>
          <w:color w:val="auto"/>
          <w:highlight w:val="none"/>
        </w:rPr>
        <w:t>（九）优化货物运输结构。大宗货物中长距离运输优先采用铁路运输，短距离运输优先采用封闭式皮带廊道或新能源车辆。到2025年，全区铁路货运量比2020年增长10%左右，煤炭主产区煤炭和焦炭铁路中长距离运输（运距500公里以上）比例力争达到60</w:t>
      </w:r>
      <w:r>
        <w:rPr>
          <w:rFonts w:hint="eastAsia"/>
          <w:color w:val="auto"/>
          <w:highlight w:val="none"/>
          <w:lang w:eastAsia="zh-CN"/>
        </w:rPr>
        <w:t>%</w:t>
      </w:r>
      <w:r>
        <w:rPr>
          <w:rFonts w:hint="eastAsia"/>
          <w:color w:val="auto"/>
          <w:highlight w:val="none"/>
        </w:rPr>
        <w:t>。加强铁路专用线和联运转运衔接设施建设，对城市铁路场站进行适货化改造，充分发挥既有线路效能。新建及迁建大宗货物年运量150万吨以上的物流园区、工矿企业及储煤基地，具备条件的原则上要接入铁路专用线或管道。</w:t>
      </w:r>
    </w:p>
    <w:p w14:paraId="3427E04B">
      <w:pPr>
        <w:pStyle w:val="3"/>
        <w:ind w:firstLine="480"/>
        <w:rPr>
          <w:rFonts w:hint="eastAsia"/>
          <w:color w:val="auto"/>
          <w:highlight w:val="none"/>
        </w:rPr>
      </w:pPr>
      <w:r>
        <w:rPr>
          <w:rFonts w:hint="eastAsia"/>
          <w:color w:val="auto"/>
          <w:highlight w:val="none"/>
        </w:rPr>
        <w:t>（十三）持续强化扬尘污染综合管控。施工场地严格落实“六个百分百”要求。扬尘污染防治费用纳入工程造价，3000m2及以上建筑工地安装视频监控并接入当地监管平台。道路、水务等长距离线性工程实行分段施工。城市建成区主次干道机械化清扫率达到80%。加强城市及周边公共裸地、物料堆场等易产尘区域抑尘管理。到2025年，装配式建筑占新建建筑面积比例达到30%。</w:t>
      </w:r>
    </w:p>
    <w:p w14:paraId="1D7FDBF8">
      <w:pPr>
        <w:pStyle w:val="3"/>
        <w:ind w:firstLine="480"/>
        <w:rPr>
          <w:rFonts w:hint="eastAsia"/>
          <w:color w:val="auto"/>
          <w:highlight w:val="none"/>
        </w:rPr>
      </w:pPr>
      <w:r>
        <w:rPr>
          <w:rFonts w:hint="eastAsia"/>
          <w:color w:val="auto"/>
          <w:highlight w:val="none"/>
        </w:rPr>
        <w:t>（十四）推进矿山生态环境综合整治。根据安全生产、水土保持、生态环境等要求，新建矿山按照绿色矿山标准规划、设计、建设和运行管理，鼓励同步建设铁路专用线或采用其他清洁运输方式；推进生产矿山绿色矿山建设，依法关闭限期整改仍不达标矿山。沙化土地范围内矿产资源开发建设项目加强防沙治沙工作。</w:t>
      </w:r>
    </w:p>
    <w:p w14:paraId="6BDC31F7">
      <w:pPr>
        <w:pStyle w:val="3"/>
        <w:ind w:firstLine="480"/>
        <w:rPr>
          <w:rFonts w:hint="eastAsia"/>
          <w:color w:val="auto"/>
          <w:highlight w:val="none"/>
        </w:rPr>
      </w:pPr>
      <w:r>
        <w:rPr>
          <w:color w:val="auto"/>
          <w:highlight w:val="none"/>
        </w:rPr>
        <w:t>《</w:t>
      </w:r>
      <w:r>
        <w:rPr>
          <w:rFonts w:hint="eastAsia"/>
          <w:color w:val="auto"/>
          <w:highlight w:val="none"/>
          <w:lang w:eastAsia="zh-CN"/>
        </w:rPr>
        <w:t>新疆维吾尔自治区大气污染防治条例</w:t>
      </w:r>
      <w:r>
        <w:rPr>
          <w:color w:val="auto"/>
          <w:highlight w:val="none"/>
        </w:rPr>
        <w:t>》</w:t>
      </w:r>
      <w:r>
        <w:rPr>
          <w:rFonts w:hint="eastAsia"/>
          <w:color w:val="auto"/>
          <w:highlight w:val="none"/>
          <w:lang w:eastAsia="zh-CN"/>
        </w:rPr>
        <w:t>第十六条规定：</w:t>
      </w:r>
      <w:r>
        <w:rPr>
          <w:rFonts w:hint="eastAsia"/>
          <w:color w:val="auto"/>
          <w:highlight w:val="none"/>
        </w:rPr>
        <w:t>自治区对大气污染物实行排污许可管理制度。向大气排放污染物的排污单位，应当按照国家和自治区的规定，设置大气污染物排放口，并明确其标志。第十八条向大气排放污染物的企业事业单位和其他生产经营者，应当按照国家有关规定和监测规范，自行或者委托有资质的监测机构监测大气污染物排放情况，并保存原始监测数据记录。第十九条任何单位和个人不得篡改、伪造监测数据。不得侵占、损毁、干扰或者擅自移动、改变、拆除、闲置和停运大气环境质量监测设施和大气污染物排放自动监测设备。第四十四条矿山开采产生的废石、废渣、泥土等应当堆放到专门存放地，并采取围挡、设置防尘网或者防尘布等防尘措施；施工便道应当硬化。</w:t>
      </w:r>
    </w:p>
    <w:p w14:paraId="2FE1AD45">
      <w:pPr>
        <w:pStyle w:val="3"/>
        <w:ind w:firstLine="480"/>
        <w:rPr>
          <w:color w:val="auto"/>
          <w:highlight w:val="none"/>
        </w:rPr>
      </w:pPr>
      <w:r>
        <w:rPr>
          <w:color w:val="auto"/>
          <w:highlight w:val="none"/>
        </w:rPr>
        <w:t>本项目不位于城市建成区，建设2台</w:t>
      </w:r>
      <w:r>
        <w:rPr>
          <w:rFonts w:hint="eastAsia"/>
          <w:color w:val="auto"/>
          <w:highlight w:val="none"/>
        </w:rPr>
        <w:t>生物质炉窑</w:t>
      </w:r>
      <w:r>
        <w:rPr>
          <w:color w:val="auto"/>
          <w:highlight w:val="none"/>
        </w:rPr>
        <w:t>，用于生产烘干提供热风。废气治理设施采用</w:t>
      </w:r>
      <w:r>
        <w:rPr>
          <w:rFonts w:hint="eastAsia"/>
          <w:color w:val="auto"/>
          <w:highlight w:val="none"/>
        </w:rPr>
        <w:t>“</w:t>
      </w:r>
      <w:r>
        <w:rPr>
          <w:color w:val="auto"/>
          <w:highlight w:val="none"/>
        </w:rPr>
        <w:t>布袋除尘+</w:t>
      </w:r>
      <w:r>
        <w:rPr>
          <w:rFonts w:hint="eastAsia"/>
          <w:color w:val="auto"/>
          <w:highlight w:val="none"/>
        </w:rPr>
        <w:t>双碱法脱硫”</w:t>
      </w:r>
      <w:r>
        <w:rPr>
          <w:color w:val="auto"/>
          <w:highlight w:val="none"/>
        </w:rPr>
        <w:t>处理达标后排放，项目建设符合</w:t>
      </w:r>
      <w:r>
        <w:rPr>
          <w:rFonts w:hint="eastAsia"/>
          <w:color w:val="auto"/>
          <w:highlight w:val="none"/>
          <w:lang w:eastAsia="zh-CN"/>
        </w:rPr>
        <w:t>《新疆维吾尔自治区2025年空气质量持续改善行动实施方案》</w:t>
      </w:r>
      <w:r>
        <w:rPr>
          <w:rFonts w:hint="eastAsia"/>
          <w:color w:val="auto"/>
          <w:highlight w:val="none"/>
        </w:rPr>
        <w:t>和</w:t>
      </w:r>
      <w:r>
        <w:rPr>
          <w:color w:val="auto"/>
          <w:highlight w:val="none"/>
        </w:rPr>
        <w:t>《</w:t>
      </w:r>
      <w:r>
        <w:rPr>
          <w:rFonts w:hint="eastAsia"/>
          <w:color w:val="auto"/>
          <w:highlight w:val="none"/>
          <w:lang w:eastAsia="zh-CN"/>
        </w:rPr>
        <w:t>新疆维吾尔自治区大气污染防治条例</w:t>
      </w:r>
      <w:r>
        <w:rPr>
          <w:color w:val="auto"/>
          <w:highlight w:val="none"/>
        </w:rPr>
        <w:t>》（新政发〔2014〕35号</w:t>
      </w:r>
      <w:r>
        <w:rPr>
          <w:rFonts w:hint="eastAsia"/>
          <w:color w:val="auto"/>
          <w:highlight w:val="none"/>
          <w:lang w:eastAsia="zh-CN"/>
        </w:rPr>
        <w:t>）</w:t>
      </w:r>
      <w:r>
        <w:rPr>
          <w:color w:val="auto"/>
          <w:highlight w:val="none"/>
        </w:rPr>
        <w:t>。</w:t>
      </w:r>
    </w:p>
    <w:p w14:paraId="2BE1EC75">
      <w:pPr>
        <w:pStyle w:val="42"/>
        <w:rPr>
          <w:rFonts w:hint="default"/>
          <w:color w:val="auto"/>
          <w:highlight w:val="none"/>
        </w:rPr>
      </w:pPr>
      <w:r>
        <w:rPr>
          <w:rFonts w:hint="default"/>
          <w:color w:val="auto"/>
          <w:highlight w:val="none"/>
        </w:rPr>
        <w:t xml:space="preserve"> 与《</w:t>
      </w:r>
      <w:r>
        <w:rPr>
          <w:rFonts w:hint="eastAsia"/>
          <w:color w:val="auto"/>
          <w:highlight w:val="none"/>
          <w:lang w:eastAsia="zh-CN"/>
        </w:rPr>
        <w:t>新疆维吾尔自治区国民经济和社会发展第十五个五年规划纲要</w:t>
      </w:r>
      <w:r>
        <w:rPr>
          <w:rFonts w:hint="default"/>
          <w:color w:val="auto"/>
          <w:highlight w:val="none"/>
        </w:rPr>
        <w:t>》符合性分析</w:t>
      </w:r>
    </w:p>
    <w:p w14:paraId="1539058B">
      <w:pPr>
        <w:pStyle w:val="3"/>
        <w:ind w:firstLine="480"/>
        <w:rPr>
          <w:color w:val="auto"/>
          <w:highlight w:val="none"/>
        </w:rPr>
      </w:pPr>
      <w:r>
        <w:rPr>
          <w:color w:val="auto"/>
          <w:highlight w:val="none"/>
        </w:rPr>
        <w:t>根据《</w:t>
      </w:r>
      <w:r>
        <w:rPr>
          <w:rFonts w:hint="eastAsia"/>
          <w:color w:val="auto"/>
          <w:highlight w:val="none"/>
          <w:lang w:eastAsia="zh-CN"/>
        </w:rPr>
        <w:t>新疆维吾尔自治区国民经济和社会发展第十五个五年规划纲要</w:t>
      </w:r>
      <w:r>
        <w:rPr>
          <w:color w:val="auto"/>
          <w:highlight w:val="none"/>
        </w:rPr>
        <w:t>》中</w:t>
      </w:r>
      <w:r>
        <w:rPr>
          <w:rFonts w:hint="eastAsia"/>
          <w:color w:val="auto"/>
          <w:highlight w:val="none"/>
          <w:lang w:eastAsia="zh-CN"/>
        </w:rPr>
        <w:t>的内容</w:t>
      </w:r>
      <w:r>
        <w:rPr>
          <w:color w:val="auto"/>
          <w:highlight w:val="none"/>
        </w:rPr>
        <w:t>：</w:t>
      </w:r>
      <w:r>
        <w:rPr>
          <w:rFonts w:hint="eastAsia"/>
          <w:color w:val="auto"/>
          <w:highlight w:val="none"/>
          <w:lang w:eastAsia="zh-CN"/>
        </w:rPr>
        <w:t>坚持把发展经济的着力点放在实体经济上</w:t>
      </w:r>
      <w:r>
        <w:rPr>
          <w:color w:val="auto"/>
          <w:highlight w:val="none"/>
        </w:rPr>
        <w:t>，深化工业供给侧结构性改革，推动工业强基增效和转型升级，全面提升新型工业化发展水平。</w:t>
      </w:r>
    </w:p>
    <w:p w14:paraId="47967273">
      <w:pPr>
        <w:pStyle w:val="3"/>
        <w:ind w:firstLine="480"/>
        <w:rPr>
          <w:color w:val="auto"/>
          <w:highlight w:val="none"/>
        </w:rPr>
      </w:pPr>
      <w:r>
        <w:rPr>
          <w:color w:val="auto"/>
          <w:highlight w:val="none"/>
        </w:rPr>
        <w:t>积极发展有色工业。推进铝、铜、镍、镁等有色金属下游产业链延伸，培育铜镍、铜铝、铜镁、硅铝、铍铜等合金产业，推动汽车、铁路、航天、航海等行业应用有色新材料，打造全国重要的有色金属产业基地，加快发展新材料产业。积极发展硅基、铝基、碳基、锆基、铜基、钛基、稀有金属、化工、生物基等新材料及复合新材料、前沿新材料，提升新材料产业集群和产业协同效应。</w:t>
      </w:r>
    </w:p>
    <w:p w14:paraId="71B16E28">
      <w:pPr>
        <w:pStyle w:val="3"/>
        <w:ind w:firstLine="480"/>
        <w:rPr>
          <w:color w:val="auto"/>
          <w:highlight w:val="none"/>
        </w:rPr>
      </w:pPr>
      <w:r>
        <w:rPr>
          <w:color w:val="auto"/>
          <w:highlight w:val="none"/>
        </w:rPr>
        <w:t>按照</w:t>
      </w:r>
      <w:r>
        <w:rPr>
          <w:rFonts w:hint="eastAsia"/>
          <w:color w:val="auto"/>
          <w:highlight w:val="none"/>
        </w:rPr>
        <w:t>“</w:t>
      </w:r>
      <w:r>
        <w:rPr>
          <w:color w:val="auto"/>
          <w:highlight w:val="none"/>
        </w:rPr>
        <w:t>深化北疆东疆，加快南疆勘查</w:t>
      </w:r>
      <w:r>
        <w:rPr>
          <w:rFonts w:hint="eastAsia"/>
          <w:color w:val="auto"/>
          <w:highlight w:val="none"/>
        </w:rPr>
        <w:t>”</w:t>
      </w:r>
      <w:r>
        <w:rPr>
          <w:color w:val="auto"/>
          <w:highlight w:val="none"/>
        </w:rPr>
        <w:t>的总体思路，开展重点成矿区带地质调查和矿产勘查，做好矿产资源开发利用储备。贯彻新发展理念，建设绿色矿山，实现可持续发展。</w:t>
      </w:r>
    </w:p>
    <w:p w14:paraId="3EDBE034">
      <w:pPr>
        <w:pStyle w:val="3"/>
        <w:ind w:firstLine="480"/>
        <w:rPr>
          <w:color w:val="auto"/>
          <w:highlight w:val="none"/>
        </w:rPr>
      </w:pPr>
      <w:r>
        <w:rPr>
          <w:color w:val="auto"/>
          <w:highlight w:val="none"/>
        </w:rPr>
        <w:t>本工程为选矿厂建设项目，符合《</w:t>
      </w:r>
      <w:r>
        <w:rPr>
          <w:rFonts w:hint="eastAsia"/>
          <w:color w:val="auto"/>
          <w:highlight w:val="none"/>
          <w:lang w:eastAsia="zh-CN"/>
        </w:rPr>
        <w:t>新疆维吾尔自治区国民经济和社会发展第十五个五年规划纲要</w:t>
      </w:r>
      <w:r>
        <w:rPr>
          <w:color w:val="auto"/>
          <w:highlight w:val="none"/>
        </w:rPr>
        <w:t>》相关内容。</w:t>
      </w:r>
    </w:p>
    <w:p w14:paraId="1435057B">
      <w:pPr>
        <w:pStyle w:val="42"/>
        <w:rPr>
          <w:rFonts w:hint="default"/>
          <w:color w:val="auto"/>
          <w:highlight w:val="none"/>
        </w:rPr>
      </w:pPr>
      <w:bookmarkStart w:id="53" w:name="_Toc483733042"/>
      <w:r>
        <w:rPr>
          <w:rFonts w:hint="default"/>
          <w:color w:val="auto"/>
          <w:highlight w:val="none"/>
        </w:rPr>
        <w:t>与《新疆维吾尔自治区主体功能区规划》符合性分析</w:t>
      </w:r>
      <w:bookmarkEnd w:id="53"/>
    </w:p>
    <w:p w14:paraId="51200A50">
      <w:pPr>
        <w:pStyle w:val="3"/>
        <w:ind w:firstLine="480"/>
        <w:rPr>
          <w:color w:val="auto"/>
          <w:highlight w:val="none"/>
        </w:rPr>
      </w:pPr>
      <w:r>
        <w:rPr>
          <w:rFonts w:hint="eastAsia"/>
          <w:color w:val="auto"/>
          <w:highlight w:val="none"/>
        </w:rPr>
        <w:t>本项目位于</w:t>
      </w:r>
      <w:r>
        <w:rPr>
          <w:color w:val="auto"/>
          <w:highlight w:val="none"/>
        </w:rPr>
        <w:t>阿图什市区北东46°方位，行政区划隶属阿图什市管辖。</w:t>
      </w:r>
      <w:r>
        <w:rPr>
          <w:rFonts w:hint="eastAsia"/>
          <w:color w:val="auto"/>
          <w:highlight w:val="none"/>
        </w:rPr>
        <w:t xml:space="preserve">根据 </w:t>
      </w:r>
      <w:r>
        <w:rPr>
          <w:color w:val="auto"/>
          <w:highlight w:val="none"/>
        </w:rPr>
        <w:t>《新疆维吾尔自治区主体功能区规划》</w:t>
      </w:r>
      <w:r>
        <w:rPr>
          <w:rFonts w:hint="eastAsia"/>
          <w:color w:val="auto"/>
          <w:highlight w:val="none"/>
        </w:rPr>
        <w:t>，本项目所在区域位于</w:t>
      </w:r>
      <w:r>
        <w:rPr>
          <w:color w:val="auto"/>
          <w:highlight w:val="none"/>
        </w:rPr>
        <w:t>新疆重点生态功能区</w:t>
      </w:r>
      <w:r>
        <w:rPr>
          <w:rFonts w:hint="eastAsia"/>
          <w:color w:val="auto"/>
          <w:highlight w:val="none"/>
        </w:rPr>
        <w:t>中的</w:t>
      </w:r>
      <w:r>
        <w:rPr>
          <w:color w:val="auto"/>
          <w:highlight w:val="none"/>
        </w:rPr>
        <w:t>塔里木盆地西北部荒漠生态功能区</w:t>
      </w:r>
      <w:r>
        <w:rPr>
          <w:rFonts w:hint="eastAsia"/>
          <w:color w:val="auto"/>
          <w:highlight w:val="none"/>
        </w:rPr>
        <w:t>，属于限制开发区域，主要</w:t>
      </w:r>
      <w:r>
        <w:rPr>
          <w:color w:val="auto"/>
          <w:highlight w:val="none"/>
        </w:rPr>
        <w:t>为防风固沙型生态功能区</w:t>
      </w:r>
      <w:r>
        <w:rPr>
          <w:rFonts w:hint="eastAsia"/>
          <w:color w:val="auto"/>
          <w:highlight w:val="none"/>
        </w:rPr>
        <w:t>。防风固沙</w:t>
      </w:r>
      <w:r>
        <w:rPr>
          <w:color w:val="auto"/>
          <w:highlight w:val="none"/>
        </w:rPr>
        <w:t>综合评价</w:t>
      </w:r>
      <w:r>
        <w:rPr>
          <w:rFonts w:hint="eastAsia"/>
          <w:color w:val="auto"/>
          <w:highlight w:val="none"/>
        </w:rPr>
        <w:t>：</w:t>
      </w:r>
      <w:r>
        <w:rPr>
          <w:color w:val="auto"/>
          <w:highlight w:val="none"/>
        </w:rPr>
        <w:t>气候极端干旱，荒漠植被及胡杨林破坏严重，水源蒸发损失严重，油气开发污染环境，土壤环境质量下降。发展方向</w:t>
      </w:r>
      <w:r>
        <w:rPr>
          <w:rFonts w:hint="eastAsia"/>
          <w:color w:val="auto"/>
          <w:highlight w:val="none"/>
        </w:rPr>
        <w:t>：</w:t>
      </w:r>
      <w:r>
        <w:rPr>
          <w:color w:val="auto"/>
          <w:highlight w:val="none"/>
        </w:rPr>
        <w:t>保护荒漠植被、保护荒漠河岸林、保护农田土壤环境质量。</w:t>
      </w:r>
    </w:p>
    <w:p w14:paraId="5538759B">
      <w:pPr>
        <w:pStyle w:val="3"/>
        <w:ind w:firstLine="480"/>
        <w:rPr>
          <w:color w:val="auto"/>
          <w:highlight w:val="none"/>
        </w:rPr>
      </w:pPr>
      <w:r>
        <w:rPr>
          <w:rFonts w:hint="eastAsia"/>
          <w:color w:val="auto"/>
          <w:highlight w:val="none"/>
          <w:lang w:eastAsia="zh-CN"/>
        </w:rPr>
        <w:t>选矿厂在原有场地基础上扩建，新增占地均为裸地，</w:t>
      </w:r>
      <w:r>
        <w:rPr>
          <w:rFonts w:hint="eastAsia"/>
          <w:color w:val="auto"/>
          <w:highlight w:val="none"/>
        </w:rPr>
        <w:t>尾矿库及线性工程占地类型主要为砾石戈壁稀疏荒漠植被，地表覆盖度低，</w:t>
      </w:r>
      <w:r>
        <w:rPr>
          <w:rFonts w:hint="eastAsia"/>
          <w:color w:val="auto"/>
          <w:highlight w:val="none"/>
          <w:lang w:eastAsia="zh-CN"/>
        </w:rPr>
        <w:t>施工尽量控制在占地范围内，并且在施工过程中采取了环境保护及水土保持措施，</w:t>
      </w:r>
      <w:r>
        <w:rPr>
          <w:rFonts w:hint="eastAsia"/>
          <w:color w:val="auto"/>
          <w:highlight w:val="none"/>
        </w:rPr>
        <w:t>并且随着项目建设人工绿化，可增加区域植被覆盖度。因此，</w:t>
      </w:r>
      <w:r>
        <w:rPr>
          <w:color w:val="auto"/>
          <w:highlight w:val="none"/>
        </w:rPr>
        <w:t>本项目</w:t>
      </w:r>
      <w:r>
        <w:rPr>
          <w:rFonts w:hint="eastAsia"/>
          <w:color w:val="auto"/>
          <w:highlight w:val="none"/>
        </w:rPr>
        <w:t>符合</w:t>
      </w:r>
      <w:r>
        <w:rPr>
          <w:color w:val="auto"/>
          <w:highlight w:val="none"/>
        </w:rPr>
        <w:t>《新疆维吾尔自治区主体功能区规划》中的相关要求。</w:t>
      </w:r>
    </w:p>
    <w:p w14:paraId="72048D47">
      <w:pPr>
        <w:pStyle w:val="42"/>
        <w:rPr>
          <w:rFonts w:hint="default"/>
          <w:color w:val="auto"/>
          <w:highlight w:val="none"/>
        </w:rPr>
      </w:pPr>
      <w:r>
        <w:rPr>
          <w:rFonts w:hint="default"/>
          <w:color w:val="auto"/>
          <w:highlight w:val="none"/>
        </w:rPr>
        <w:t>与《新疆维吾尔自治区环境保护条例》（修订）符合性分析</w:t>
      </w:r>
    </w:p>
    <w:p w14:paraId="33ACD20F">
      <w:pPr>
        <w:pStyle w:val="3"/>
        <w:ind w:firstLine="480"/>
        <w:rPr>
          <w:color w:val="auto"/>
          <w:highlight w:val="none"/>
        </w:rPr>
      </w:pPr>
      <w:r>
        <w:rPr>
          <w:color w:val="auto"/>
          <w:highlight w:val="none"/>
        </w:rPr>
        <w:t>《新疆维吾尔自治区环境保护条例》（修订）</w:t>
      </w:r>
      <w:r>
        <w:rPr>
          <w:rFonts w:hint="eastAsia"/>
          <w:color w:val="auto"/>
          <w:highlight w:val="none"/>
        </w:rPr>
        <w:t>：</w:t>
      </w:r>
    </w:p>
    <w:p w14:paraId="08034745">
      <w:pPr>
        <w:pStyle w:val="3"/>
        <w:ind w:firstLine="480"/>
        <w:rPr>
          <w:color w:val="auto"/>
          <w:highlight w:val="none"/>
        </w:rPr>
      </w:pPr>
      <w:r>
        <w:rPr>
          <w:color w:val="auto"/>
          <w:highlight w:val="none"/>
        </w:rPr>
        <w:t>第三十条</w:t>
      </w:r>
      <w:r>
        <w:rPr>
          <w:rFonts w:hint="eastAsia"/>
          <w:color w:val="auto"/>
          <w:highlight w:val="none"/>
          <w:lang w:val="en-US" w:eastAsia="zh-CN"/>
        </w:rPr>
        <w:t xml:space="preserve">  </w:t>
      </w:r>
      <w:r>
        <w:rPr>
          <w:color w:val="auto"/>
          <w:highlight w:val="none"/>
        </w:rPr>
        <w:t>任何单位和个人不得在水源涵养区、饮用水水源保护区内和河流、湖泊、水库周围建设重化工、涉重金属等工业污染项目；对已建成的工业污染项目，当地人民政府应当组织限期搬迁。</w:t>
      </w:r>
    </w:p>
    <w:p w14:paraId="00D1CFED">
      <w:pPr>
        <w:pStyle w:val="3"/>
        <w:ind w:firstLine="480"/>
        <w:rPr>
          <w:color w:val="auto"/>
          <w:highlight w:val="none"/>
        </w:rPr>
      </w:pPr>
      <w:r>
        <w:rPr>
          <w:color w:val="auto"/>
          <w:highlight w:val="none"/>
        </w:rPr>
        <w:t>第四十三条  排放污染物的企业事业单位和其他生产经营者应当依法取得排污许可证。</w:t>
      </w:r>
    </w:p>
    <w:p w14:paraId="0C2270DF">
      <w:pPr>
        <w:pStyle w:val="3"/>
        <w:ind w:firstLine="480"/>
        <w:rPr>
          <w:color w:val="auto"/>
          <w:highlight w:val="none"/>
        </w:rPr>
      </w:pPr>
      <w:r>
        <w:rPr>
          <w:color w:val="auto"/>
          <w:highlight w:val="none"/>
        </w:rPr>
        <w:t>排放污染物应当符合国家或者自治区规定的污染物排放标准和重点污染物总量控制指标。</w:t>
      </w:r>
    </w:p>
    <w:p w14:paraId="2050D037">
      <w:pPr>
        <w:pStyle w:val="3"/>
        <w:ind w:firstLine="480"/>
        <w:rPr>
          <w:color w:val="auto"/>
          <w:highlight w:val="none"/>
        </w:rPr>
      </w:pPr>
      <w:r>
        <w:rPr>
          <w:color w:val="auto"/>
          <w:highlight w:val="none"/>
        </w:rPr>
        <w:t>第四十四条  企业事业单位应当履行下列环境保护工作责任：</w:t>
      </w:r>
    </w:p>
    <w:p w14:paraId="57508B9C">
      <w:pPr>
        <w:pStyle w:val="3"/>
        <w:ind w:firstLine="480"/>
        <w:rPr>
          <w:color w:val="auto"/>
          <w:highlight w:val="none"/>
        </w:rPr>
      </w:pPr>
      <w:r>
        <w:rPr>
          <w:color w:val="auto"/>
          <w:highlight w:val="none"/>
        </w:rPr>
        <w:t>（一）建立并落实环境保护责任制，明确单位负责人和相关人员的环境保护责任；（二）建立内部环境保护工作机构或者确定环境保护工作人员；（三）制定完善内部环境保护管理制度、污染防治设施操作规程；（四）保证生产环节符合环境保护法律法规和技术规范的要求，保障污染防治设施正常运行；（五）建立环境保护工作档案；（六）建立健全环境应急和环境风险防范机制，及时消除环境安全隐患；（七）其他应当履行的环境保护工作责任。</w:t>
      </w:r>
    </w:p>
    <w:p w14:paraId="4808B5A7">
      <w:pPr>
        <w:pStyle w:val="3"/>
        <w:ind w:firstLine="480"/>
        <w:rPr>
          <w:color w:val="auto"/>
          <w:highlight w:val="none"/>
        </w:rPr>
      </w:pPr>
      <w:r>
        <w:rPr>
          <w:color w:val="auto"/>
          <w:highlight w:val="none"/>
        </w:rPr>
        <w:t>第五十条  建设项目的环境保护设施，应当与主体工程同时设计、同时施工、同时投入使用。</w:t>
      </w:r>
    </w:p>
    <w:p w14:paraId="112D9EE3">
      <w:pPr>
        <w:pStyle w:val="3"/>
        <w:ind w:firstLine="480"/>
        <w:rPr>
          <w:color w:val="auto"/>
          <w:highlight w:val="none"/>
        </w:rPr>
      </w:pPr>
      <w:r>
        <w:rPr>
          <w:rFonts w:hint="eastAsia"/>
          <w:color w:val="auto"/>
          <w:highlight w:val="none"/>
        </w:rPr>
        <w:t>本项目不属于</w:t>
      </w:r>
      <w:r>
        <w:rPr>
          <w:color w:val="auto"/>
          <w:highlight w:val="none"/>
        </w:rPr>
        <w:t>建设重化工、涉重金属等工业污染项目</w:t>
      </w:r>
      <w:r>
        <w:rPr>
          <w:rFonts w:hint="eastAsia"/>
          <w:color w:val="auto"/>
          <w:highlight w:val="none"/>
        </w:rPr>
        <w:t>，并且本项目不在</w:t>
      </w:r>
      <w:r>
        <w:rPr>
          <w:color w:val="auto"/>
          <w:highlight w:val="none"/>
        </w:rPr>
        <w:t>水源涵养区、饮用水水源保护区内和河流、湖泊、水库周围</w:t>
      </w:r>
      <w:r>
        <w:rPr>
          <w:rFonts w:hint="eastAsia"/>
          <w:color w:val="auto"/>
          <w:highlight w:val="none"/>
        </w:rPr>
        <w:t>；待本项目取得环评批复后，建成投产前，建设单位应依法填报申领排污许可证，并按照排污的要求落实相关的环境管理要求；本项目</w:t>
      </w:r>
      <w:r>
        <w:rPr>
          <w:rFonts w:hint="eastAsia"/>
          <w:color w:val="auto"/>
          <w:highlight w:val="none"/>
          <w:lang w:eastAsia="zh-CN"/>
        </w:rPr>
        <w:t>建立</w:t>
      </w:r>
      <w:r>
        <w:rPr>
          <w:rFonts w:hint="eastAsia"/>
          <w:color w:val="auto"/>
          <w:highlight w:val="none"/>
        </w:rPr>
        <w:t>并落实环境保护责任制；</w:t>
      </w:r>
      <w:r>
        <w:rPr>
          <w:color w:val="auto"/>
          <w:highlight w:val="none"/>
        </w:rPr>
        <w:t>本项目20</w:t>
      </w:r>
      <w:r>
        <w:rPr>
          <w:rFonts w:hint="eastAsia"/>
          <w:color w:val="auto"/>
          <w:highlight w:val="none"/>
        </w:rPr>
        <w:t>24</w:t>
      </w:r>
      <w:r>
        <w:rPr>
          <w:color w:val="auto"/>
          <w:highlight w:val="none"/>
        </w:rPr>
        <w:t>年</w:t>
      </w:r>
      <w:r>
        <w:rPr>
          <w:rFonts w:hint="eastAsia"/>
          <w:color w:val="auto"/>
          <w:highlight w:val="none"/>
        </w:rPr>
        <w:t>7</w:t>
      </w:r>
      <w:r>
        <w:rPr>
          <w:color w:val="auto"/>
          <w:highlight w:val="none"/>
        </w:rPr>
        <w:t>月开工建设，为</w:t>
      </w:r>
      <w:r>
        <w:rPr>
          <w:rFonts w:hint="eastAsia"/>
          <w:color w:val="auto"/>
          <w:highlight w:val="none"/>
        </w:rPr>
        <w:t>“</w:t>
      </w:r>
      <w:r>
        <w:rPr>
          <w:color w:val="auto"/>
          <w:highlight w:val="none"/>
        </w:rPr>
        <w:t>未批先建</w:t>
      </w:r>
      <w:r>
        <w:rPr>
          <w:rFonts w:hint="eastAsia"/>
          <w:color w:val="auto"/>
          <w:highlight w:val="none"/>
        </w:rPr>
        <w:t>”</w:t>
      </w:r>
      <w:r>
        <w:rPr>
          <w:color w:val="auto"/>
          <w:highlight w:val="none"/>
        </w:rPr>
        <w:t>项目</w:t>
      </w:r>
      <w:r>
        <w:rPr>
          <w:rFonts w:hint="eastAsia"/>
          <w:color w:val="auto"/>
          <w:highlight w:val="none"/>
        </w:rPr>
        <w:t>。</w:t>
      </w:r>
      <w:r>
        <w:rPr>
          <w:color w:val="auto"/>
          <w:highlight w:val="none"/>
        </w:rPr>
        <w:t>克州生态环境局对擅自开工建设进行了行政处罚，</w:t>
      </w:r>
      <w:r>
        <w:rPr>
          <w:rFonts w:hint="eastAsia"/>
          <w:color w:val="auto"/>
          <w:highlight w:val="none"/>
        </w:rPr>
        <w:t>阿图什市环球矿业有限公司及相关负责人已缴纳了罚款</w:t>
      </w:r>
      <w:r>
        <w:rPr>
          <w:color w:val="auto"/>
          <w:highlight w:val="none"/>
        </w:rPr>
        <w:t>。</w:t>
      </w:r>
      <w:r>
        <w:rPr>
          <w:rFonts w:hint="eastAsia"/>
          <w:color w:val="auto"/>
          <w:highlight w:val="none"/>
        </w:rPr>
        <w:t>本项目目前在停产过程中，正在办理相关环评手续。因此，</w:t>
      </w:r>
      <w:r>
        <w:rPr>
          <w:rFonts w:hint="eastAsia"/>
          <w:color w:val="auto"/>
          <w:highlight w:val="none"/>
          <w:lang w:eastAsia="zh-CN"/>
        </w:rPr>
        <w:t>整改后</w:t>
      </w:r>
      <w:r>
        <w:rPr>
          <w:rFonts w:hint="eastAsia"/>
          <w:color w:val="auto"/>
          <w:highlight w:val="none"/>
        </w:rPr>
        <w:t>基本符合</w:t>
      </w:r>
      <w:r>
        <w:rPr>
          <w:color w:val="auto"/>
          <w:highlight w:val="none"/>
        </w:rPr>
        <w:t>《新疆维吾尔自治区环境保护条例》（修订）</w:t>
      </w:r>
      <w:r>
        <w:rPr>
          <w:rFonts w:hint="eastAsia"/>
          <w:color w:val="auto"/>
          <w:highlight w:val="none"/>
        </w:rPr>
        <w:t>中相关要求。</w:t>
      </w:r>
    </w:p>
    <w:p w14:paraId="1E352E6D">
      <w:pPr>
        <w:pStyle w:val="42"/>
        <w:rPr>
          <w:rFonts w:hint="default"/>
          <w:color w:val="auto"/>
          <w:highlight w:val="none"/>
        </w:rPr>
      </w:pPr>
      <w:r>
        <w:rPr>
          <w:rFonts w:hint="default"/>
          <w:color w:val="auto"/>
          <w:highlight w:val="none"/>
        </w:rPr>
        <w:t>与《新疆维吾尔自治区矿产资源总体规划（2021</w:t>
      </w:r>
      <w:r>
        <w:rPr>
          <w:rFonts w:hint="eastAsia"/>
          <w:color w:val="auto"/>
          <w:highlight w:val="none"/>
          <w:lang w:eastAsia="zh-CN"/>
        </w:rPr>
        <w:t>—</w:t>
      </w:r>
      <w:r>
        <w:rPr>
          <w:rFonts w:hint="default"/>
          <w:color w:val="auto"/>
          <w:highlight w:val="none"/>
        </w:rPr>
        <w:t>2025年）》符合性分析</w:t>
      </w:r>
    </w:p>
    <w:p w14:paraId="7942DBC5">
      <w:pPr>
        <w:pStyle w:val="3"/>
        <w:ind w:firstLine="480"/>
        <w:rPr>
          <w:color w:val="auto"/>
          <w:highlight w:val="none"/>
        </w:rPr>
      </w:pPr>
      <w:r>
        <w:rPr>
          <w:color w:val="auto"/>
          <w:highlight w:val="none"/>
        </w:rPr>
        <w:t>根据《新疆维吾尔自治区矿产资源总体规划（2021</w:t>
      </w:r>
      <w:r>
        <w:rPr>
          <w:rFonts w:hint="eastAsia"/>
          <w:color w:val="auto"/>
          <w:highlight w:val="none"/>
          <w:lang w:eastAsia="zh-CN"/>
        </w:rPr>
        <w:t>—</w:t>
      </w:r>
      <w:r>
        <w:rPr>
          <w:color w:val="auto"/>
          <w:highlight w:val="none"/>
        </w:rPr>
        <w:t>2025年）》，依据矿产资源分布特点及勘查开发利用现状，按照</w:t>
      </w:r>
      <w:r>
        <w:rPr>
          <w:rFonts w:hint="eastAsia"/>
          <w:color w:val="auto"/>
          <w:highlight w:val="none"/>
        </w:rPr>
        <w:t>“</w:t>
      </w:r>
      <w:r>
        <w:rPr>
          <w:color w:val="auto"/>
          <w:highlight w:val="none"/>
        </w:rPr>
        <w:t>深化北疆东疆，加快南疆勘查开发</w:t>
      </w:r>
      <w:r>
        <w:rPr>
          <w:rFonts w:hint="eastAsia"/>
          <w:color w:val="auto"/>
          <w:highlight w:val="none"/>
        </w:rPr>
        <w:t>”</w:t>
      </w:r>
      <w:r>
        <w:rPr>
          <w:color w:val="auto"/>
          <w:highlight w:val="none"/>
        </w:rPr>
        <w:t>的总体思路，划分环准噶尔、环塔里木、阿尔泰、东准噶尔、西准噶尔、东天山、西天山、西南天山、西昆仑、东昆仑</w:t>
      </w:r>
      <w:r>
        <w:rPr>
          <w:rFonts w:hint="eastAsia"/>
          <w:color w:val="auto"/>
          <w:highlight w:val="none"/>
          <w:lang w:eastAsia="zh-CN"/>
        </w:rPr>
        <w:t>—</w:t>
      </w:r>
      <w:r>
        <w:rPr>
          <w:color w:val="auto"/>
          <w:highlight w:val="none"/>
        </w:rPr>
        <w:t>阿尔金等</w:t>
      </w:r>
      <w:r>
        <w:rPr>
          <w:rFonts w:hint="eastAsia"/>
          <w:color w:val="auto"/>
          <w:highlight w:val="none"/>
        </w:rPr>
        <w:t>“</w:t>
      </w:r>
      <w:r>
        <w:rPr>
          <w:color w:val="auto"/>
          <w:highlight w:val="none"/>
        </w:rPr>
        <w:t>两环八带</w:t>
      </w:r>
      <w:r>
        <w:rPr>
          <w:rFonts w:hint="eastAsia"/>
          <w:color w:val="auto"/>
          <w:highlight w:val="none"/>
        </w:rPr>
        <w:t>”</w:t>
      </w:r>
      <w:r>
        <w:rPr>
          <w:color w:val="auto"/>
          <w:highlight w:val="none"/>
        </w:rPr>
        <w:t>十个勘查开发区。</w:t>
      </w:r>
    </w:p>
    <w:p w14:paraId="3BD305FE">
      <w:pPr>
        <w:pStyle w:val="3"/>
        <w:ind w:firstLine="480"/>
        <w:rPr>
          <w:color w:val="auto"/>
          <w:highlight w:val="none"/>
        </w:rPr>
      </w:pPr>
      <w:r>
        <w:rPr>
          <w:color w:val="auto"/>
          <w:highlight w:val="none"/>
        </w:rPr>
        <w:t>-</w:t>
      </w:r>
      <w:r>
        <w:rPr>
          <w:rFonts w:hint="eastAsia"/>
          <w:color w:val="auto"/>
          <w:highlight w:val="none"/>
          <w:lang w:eastAsia="zh-CN"/>
        </w:rPr>
        <w:t>——</w:t>
      </w:r>
      <w:r>
        <w:rPr>
          <w:color w:val="auto"/>
          <w:highlight w:val="none"/>
        </w:rPr>
        <w:t>西南天山黑色、有色及贵金属勘查开发区。以</w:t>
      </w:r>
      <w:r>
        <w:rPr>
          <w:b/>
          <w:bCs/>
          <w:color w:val="auto"/>
          <w:highlight w:val="none"/>
        </w:rPr>
        <w:t>铁、</w:t>
      </w:r>
      <w:r>
        <w:rPr>
          <w:color w:val="auto"/>
          <w:highlight w:val="none"/>
        </w:rPr>
        <w:t>铜、铅、锌、金矿等矿产资源勘查开发为主，兼顾稀有金属勘查。加大铜、铅锌找矿力度，提交铜资源量30万吨。重点建设巴楚县瓦吉尔塔格钒钛磁铁矿、乌恰县乌拉根铅锌矿、萨热克铜矿、萨瓦亚尔顿金矿等矿山，提高开发利用水平，为克州铜铅锌开发利用深加工产业提供资源保障，加快乌恰县绿色矿业发展示范区建设。</w:t>
      </w:r>
    </w:p>
    <w:p w14:paraId="2999AC81">
      <w:pPr>
        <w:pStyle w:val="3"/>
        <w:ind w:firstLine="480"/>
        <w:rPr>
          <w:color w:val="auto"/>
          <w:highlight w:val="none"/>
        </w:rPr>
      </w:pPr>
      <w:r>
        <w:rPr>
          <w:color w:val="auto"/>
          <w:highlight w:val="none"/>
        </w:rPr>
        <w:t>-</w:t>
      </w:r>
      <w:r>
        <w:rPr>
          <w:rFonts w:hint="eastAsia"/>
          <w:color w:val="auto"/>
          <w:highlight w:val="none"/>
          <w:lang w:eastAsia="zh-CN"/>
        </w:rPr>
        <w:t>——</w:t>
      </w:r>
      <w:r>
        <w:rPr>
          <w:b/>
          <w:bCs/>
          <w:color w:val="auto"/>
          <w:highlight w:val="none"/>
        </w:rPr>
        <w:t>重点勘查开采矿种</w:t>
      </w:r>
      <w:r>
        <w:rPr>
          <w:color w:val="auto"/>
          <w:highlight w:val="none"/>
        </w:rPr>
        <w:t>：石油、天然气、页岩气、煤层气、煤、地热等能源矿产，</w:t>
      </w:r>
      <w:r>
        <w:rPr>
          <w:b/>
          <w:bCs/>
          <w:color w:val="auto"/>
          <w:highlight w:val="none"/>
        </w:rPr>
        <w:t>铁、</w:t>
      </w:r>
      <w:r>
        <w:rPr>
          <w:color w:val="auto"/>
          <w:highlight w:val="none"/>
        </w:rPr>
        <w:t>铬、锰、铜、镍、钴、铅锌、金、锂、铍、</w:t>
      </w:r>
      <w:r>
        <w:rPr>
          <w:b/>
          <w:bCs/>
          <w:color w:val="auto"/>
          <w:highlight w:val="none"/>
        </w:rPr>
        <w:t>钒、钛等金属矿产</w:t>
      </w:r>
      <w:r>
        <w:rPr>
          <w:color w:val="auto"/>
          <w:highlight w:val="none"/>
        </w:rPr>
        <w:t>以及钾盐、萤石、硅质原料等非金属矿产。</w:t>
      </w:r>
    </w:p>
    <w:p w14:paraId="077B926E">
      <w:pPr>
        <w:pStyle w:val="3"/>
        <w:ind w:firstLine="480"/>
        <w:rPr>
          <w:color w:val="auto"/>
          <w:highlight w:val="none"/>
        </w:rPr>
      </w:pPr>
      <w:r>
        <w:rPr>
          <w:color w:val="auto"/>
          <w:highlight w:val="none"/>
        </w:rPr>
        <w:t>本项目位于克孜勒苏柯尔克孜自治州阿图什市，位于西南天山山脉南部，处于《新疆维吾尔自治区矿产资源总体规划（2021</w:t>
      </w:r>
      <w:r>
        <w:rPr>
          <w:rFonts w:hint="eastAsia"/>
          <w:color w:val="auto"/>
          <w:highlight w:val="none"/>
          <w:lang w:eastAsia="zh-CN"/>
        </w:rPr>
        <w:t>—</w:t>
      </w:r>
      <w:r>
        <w:rPr>
          <w:color w:val="auto"/>
          <w:highlight w:val="none"/>
        </w:rPr>
        <w:t>2025年）》划定的西南天山黑色、有色及贵金属勘查开发区</w:t>
      </w:r>
      <w:r>
        <w:rPr>
          <w:rFonts w:hint="eastAsia"/>
          <w:color w:val="auto"/>
          <w:highlight w:val="none"/>
          <w:lang w:eastAsia="zh-CN"/>
        </w:rPr>
        <w:t>，为</w:t>
      </w:r>
      <w:r>
        <w:rPr>
          <w:rFonts w:hint="eastAsia"/>
          <w:color w:val="auto"/>
          <w:highlight w:val="none"/>
        </w:rPr>
        <w:t>阿图什市环球矿业钒钛磁铁矿</w:t>
      </w:r>
      <w:r>
        <w:rPr>
          <w:rFonts w:hint="eastAsia"/>
          <w:color w:val="auto"/>
          <w:highlight w:val="none"/>
          <w:lang w:eastAsia="zh-CN"/>
        </w:rPr>
        <w:t>配套建设的选矿厂、尾矿库，</w:t>
      </w:r>
      <w:r>
        <w:rPr>
          <w:rFonts w:hint="eastAsia"/>
          <w:color w:val="auto"/>
          <w:highlight w:val="none"/>
        </w:rPr>
        <w:t>产品为铁精粉和钛精粉</w:t>
      </w:r>
      <w:r>
        <w:rPr>
          <w:color w:val="auto"/>
          <w:highlight w:val="none"/>
        </w:rPr>
        <w:t>，本项目符合《新疆维吾尔自治区矿产资源总体规划（2021</w:t>
      </w:r>
      <w:r>
        <w:rPr>
          <w:rFonts w:hint="eastAsia"/>
          <w:color w:val="auto"/>
          <w:highlight w:val="none"/>
          <w:lang w:eastAsia="zh-CN"/>
        </w:rPr>
        <w:t>—</w:t>
      </w:r>
      <w:r>
        <w:rPr>
          <w:color w:val="auto"/>
          <w:highlight w:val="none"/>
        </w:rPr>
        <w:t>2025年）》的相关要求。</w:t>
      </w:r>
    </w:p>
    <w:p w14:paraId="2AAD36F7">
      <w:pPr>
        <w:pStyle w:val="42"/>
        <w:rPr>
          <w:rFonts w:hint="default"/>
          <w:color w:val="auto"/>
          <w:highlight w:val="none"/>
        </w:rPr>
      </w:pPr>
      <w:r>
        <w:rPr>
          <w:rFonts w:hint="default"/>
          <w:color w:val="auto"/>
          <w:highlight w:val="none"/>
        </w:rPr>
        <w:t>与《关于</w:t>
      </w:r>
      <w:r>
        <w:rPr>
          <w:rFonts w:hint="eastAsia"/>
          <w:color w:val="auto"/>
          <w:highlight w:val="none"/>
          <w:lang w:eastAsia="zh-CN"/>
        </w:rPr>
        <w:t>〈</w:t>
      </w:r>
      <w:r>
        <w:rPr>
          <w:rFonts w:hint="default"/>
          <w:color w:val="auto"/>
          <w:highlight w:val="none"/>
        </w:rPr>
        <w:t>新疆维吾尔自治区矿产资源总体规划（2021</w:t>
      </w:r>
      <w:r>
        <w:rPr>
          <w:rFonts w:hint="eastAsia"/>
          <w:color w:val="auto"/>
          <w:highlight w:val="none"/>
          <w:lang w:eastAsia="zh-CN"/>
        </w:rPr>
        <w:t>—</w:t>
      </w:r>
      <w:r>
        <w:rPr>
          <w:rFonts w:hint="default"/>
          <w:color w:val="auto"/>
          <w:highlight w:val="none"/>
        </w:rPr>
        <w:t>2025年）环境影响报告书</w:t>
      </w:r>
      <w:r>
        <w:rPr>
          <w:rFonts w:hint="eastAsia"/>
          <w:color w:val="auto"/>
          <w:highlight w:val="none"/>
          <w:lang w:eastAsia="zh-CN"/>
        </w:rPr>
        <w:t>〉</w:t>
      </w:r>
      <w:r>
        <w:rPr>
          <w:rFonts w:hint="default"/>
          <w:color w:val="auto"/>
          <w:highlight w:val="none"/>
        </w:rPr>
        <w:t>的审查意见》符合性</w:t>
      </w:r>
    </w:p>
    <w:p w14:paraId="522273A0">
      <w:pPr>
        <w:pStyle w:val="3"/>
        <w:ind w:firstLine="480"/>
        <w:rPr>
          <w:color w:val="auto"/>
          <w:highlight w:val="none"/>
        </w:rPr>
      </w:pPr>
      <w:r>
        <w:rPr>
          <w:color w:val="auto"/>
          <w:highlight w:val="none"/>
        </w:rPr>
        <w:t>根据2022年5月19日中华人民共和国生态环境部发布的《关于</w:t>
      </w:r>
      <w:r>
        <w:rPr>
          <w:rFonts w:hint="eastAsia"/>
          <w:color w:val="auto"/>
          <w:highlight w:val="none"/>
          <w:lang w:eastAsia="zh-CN"/>
        </w:rPr>
        <w:t>〈</w:t>
      </w:r>
      <w:r>
        <w:rPr>
          <w:color w:val="auto"/>
          <w:highlight w:val="none"/>
        </w:rPr>
        <w:t>新疆维吾尔自治区矿产资源总体规划（2021</w:t>
      </w:r>
      <w:r>
        <w:rPr>
          <w:rFonts w:hint="eastAsia"/>
          <w:color w:val="auto"/>
          <w:highlight w:val="none"/>
        </w:rPr>
        <w:t>—</w:t>
      </w:r>
      <w:r>
        <w:rPr>
          <w:color w:val="auto"/>
          <w:highlight w:val="none"/>
        </w:rPr>
        <w:t>2025年）环境影响报告书</w:t>
      </w:r>
      <w:r>
        <w:rPr>
          <w:rFonts w:hint="eastAsia"/>
          <w:color w:val="auto"/>
          <w:highlight w:val="none"/>
          <w:lang w:eastAsia="zh-CN"/>
        </w:rPr>
        <w:t>〉</w:t>
      </w:r>
      <w:r>
        <w:rPr>
          <w:color w:val="auto"/>
          <w:highlight w:val="none"/>
        </w:rPr>
        <w:t>的审查意见》（环审</w:t>
      </w:r>
      <w:r>
        <w:rPr>
          <w:rFonts w:hint="eastAsia"/>
          <w:color w:val="auto"/>
          <w:highlight w:val="none"/>
        </w:rPr>
        <w:t>〔2022〕124号</w:t>
      </w:r>
      <w:r>
        <w:rPr>
          <w:color w:val="auto"/>
          <w:highlight w:val="none"/>
        </w:rPr>
        <w:t>）中对矿山开采的相关要求，本项目与其相符性见下表。</w:t>
      </w:r>
    </w:p>
    <w:p w14:paraId="0EBAAF6C">
      <w:pPr>
        <w:pStyle w:val="40"/>
        <w:rPr>
          <w:color w:val="auto"/>
          <w:highlight w:val="none"/>
        </w:rPr>
      </w:pPr>
      <w:r>
        <w:rPr>
          <w:color w:val="auto"/>
          <w:highlight w:val="none"/>
        </w:rPr>
        <w:t>表</w:t>
      </w:r>
      <w:r>
        <w:rPr>
          <w:rFonts w:hint="eastAsia"/>
          <w:color w:val="auto"/>
          <w:highlight w:val="none"/>
        </w:rPr>
        <w:t>1.3</w:t>
      </w:r>
      <w:r>
        <w:rPr>
          <w:color w:val="auto"/>
          <w:highlight w:val="none"/>
        </w:rPr>
        <w:t>-</w:t>
      </w:r>
      <w:r>
        <w:rPr>
          <w:rFonts w:hint="eastAsia"/>
          <w:color w:val="auto"/>
          <w:highlight w:val="none"/>
        </w:rPr>
        <w:t>8</w:t>
      </w:r>
      <w:r>
        <w:rPr>
          <w:color w:val="auto"/>
          <w:highlight w:val="none"/>
        </w:rPr>
        <w:t xml:space="preserve"> </w:t>
      </w:r>
      <w:r>
        <w:rPr>
          <w:rFonts w:hint="eastAsia"/>
          <w:color w:val="auto"/>
          <w:highlight w:val="none"/>
        </w:rPr>
        <w:t xml:space="preserve">         与矿产资源规划审查意见符合性分析一览表</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936"/>
        <w:gridCol w:w="2890"/>
        <w:gridCol w:w="687"/>
      </w:tblGrid>
      <w:tr w14:paraId="4EEBDF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898" w:type="pct"/>
            <w:tcBorders>
              <w:tl2br w:val="nil"/>
              <w:tr2bl w:val="nil"/>
            </w:tcBorders>
            <w:vAlign w:val="center"/>
          </w:tcPr>
          <w:p w14:paraId="2AE88419">
            <w:pPr>
              <w:pStyle w:val="41"/>
              <w:rPr>
                <w:color w:val="auto"/>
                <w:highlight w:val="none"/>
              </w:rPr>
            </w:pPr>
            <w:r>
              <w:rPr>
                <w:rFonts w:hint="eastAsia"/>
                <w:color w:val="auto"/>
                <w:highlight w:val="none"/>
              </w:rPr>
              <w:t>规划要求</w:t>
            </w:r>
          </w:p>
        </w:tc>
        <w:tc>
          <w:tcPr>
            <w:tcW w:w="1697" w:type="pct"/>
            <w:tcBorders>
              <w:tl2br w:val="nil"/>
              <w:tr2bl w:val="nil"/>
            </w:tcBorders>
            <w:vAlign w:val="center"/>
          </w:tcPr>
          <w:p w14:paraId="35207FF6">
            <w:pPr>
              <w:pStyle w:val="41"/>
              <w:rPr>
                <w:color w:val="auto"/>
                <w:highlight w:val="none"/>
              </w:rPr>
            </w:pPr>
            <w:r>
              <w:rPr>
                <w:color w:val="auto"/>
                <w:highlight w:val="none"/>
              </w:rPr>
              <w:t>项目情况</w:t>
            </w:r>
          </w:p>
        </w:tc>
        <w:tc>
          <w:tcPr>
            <w:tcW w:w="403" w:type="pct"/>
            <w:tcBorders>
              <w:tl2br w:val="nil"/>
              <w:tr2bl w:val="nil"/>
            </w:tcBorders>
            <w:vAlign w:val="center"/>
          </w:tcPr>
          <w:p w14:paraId="3AD9C1C8">
            <w:pPr>
              <w:pStyle w:val="41"/>
              <w:rPr>
                <w:color w:val="auto"/>
                <w:highlight w:val="none"/>
              </w:rPr>
            </w:pPr>
            <w:r>
              <w:rPr>
                <w:rFonts w:hint="eastAsia"/>
                <w:color w:val="auto"/>
                <w:highlight w:val="none"/>
              </w:rPr>
              <w:t>符合性</w:t>
            </w:r>
          </w:p>
        </w:tc>
      </w:tr>
      <w:tr w14:paraId="6816B0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898" w:type="pct"/>
            <w:tcBorders>
              <w:tl2br w:val="nil"/>
              <w:tr2bl w:val="nil"/>
            </w:tcBorders>
            <w:vAlign w:val="center"/>
          </w:tcPr>
          <w:p w14:paraId="49DA2921">
            <w:pPr>
              <w:pStyle w:val="41"/>
              <w:rPr>
                <w:color w:val="auto"/>
                <w:highlight w:val="none"/>
              </w:rPr>
            </w:pPr>
            <w:r>
              <w:rPr>
                <w:rFonts w:hint="eastAsia"/>
                <w:color w:val="auto"/>
                <w:highlight w:val="none"/>
              </w:rPr>
              <w:t>（一）坚持生态优先、绿色发展。坚持以习近平生态文明思想为指导，严格落实绿水青山就是金山银山理念，立足于生态系统稳定和生态环境质量改善，处理好生态环境保护与矿产资源开发的关系，合理控制矿产资源开发规模与强度，不得占用依法应当禁止开发的区域，优先避让生态环境敏感区域。进一步强化《规划》的生态环境保护总体要求，将细化后的绿色开发、生态修复等相关目标、指标作为《规划》实施的硬约束。《规划》应严格执行国家矿产资源合理开发利用“三率”（即开采回采率选矿回收率、综合利用率）相关要求，确保全区矿山整体“三率”水平达标率达到85%以上。优化并落实绿色矿山建设标准体系，到规划期末，全区大中型固体生产矿山基本达到绿色矿山建设水平。应进一步合理确定布局、规模、结构和开发时序，采取严格的生态保护和修复措施，确保优化后的《规划》符合绿色发展要求，推动生态环境保护与矿产资源开发目标同步实现。</w:t>
            </w:r>
          </w:p>
        </w:tc>
        <w:tc>
          <w:tcPr>
            <w:tcW w:w="1697" w:type="pct"/>
            <w:tcBorders>
              <w:tl2br w:val="nil"/>
              <w:tr2bl w:val="nil"/>
            </w:tcBorders>
            <w:vAlign w:val="center"/>
          </w:tcPr>
          <w:p w14:paraId="5168C488">
            <w:pPr>
              <w:pStyle w:val="41"/>
              <w:rPr>
                <w:color w:val="auto"/>
                <w:highlight w:val="none"/>
              </w:rPr>
            </w:pPr>
            <w:r>
              <w:rPr>
                <w:color w:val="auto"/>
                <w:highlight w:val="none"/>
              </w:rPr>
              <w:t>选矿厂不在禁止开发的区域，已避让生态环境敏感区。项目严格按照绿色矿山建设标准体系执行，在选矿过程中产生的生态环境、土地等破坏，按照</w:t>
            </w:r>
            <w:r>
              <w:rPr>
                <w:rFonts w:hint="eastAsia"/>
                <w:color w:val="auto"/>
                <w:highlight w:val="none"/>
              </w:rPr>
              <w:t>“</w:t>
            </w:r>
            <w:r>
              <w:rPr>
                <w:color w:val="auto"/>
                <w:highlight w:val="none"/>
              </w:rPr>
              <w:t>边开采，边治理</w:t>
            </w:r>
            <w:r>
              <w:rPr>
                <w:rFonts w:hint="eastAsia"/>
                <w:color w:val="auto"/>
                <w:highlight w:val="none"/>
              </w:rPr>
              <w:t>”</w:t>
            </w:r>
            <w:r>
              <w:rPr>
                <w:color w:val="auto"/>
                <w:highlight w:val="none"/>
              </w:rPr>
              <w:t>的方针，严格落实选矿厂和尾矿库的生态环境保护和恢复治理方案。</w:t>
            </w:r>
          </w:p>
        </w:tc>
        <w:tc>
          <w:tcPr>
            <w:tcW w:w="403" w:type="pct"/>
            <w:tcBorders>
              <w:tl2br w:val="nil"/>
              <w:tr2bl w:val="nil"/>
            </w:tcBorders>
            <w:vAlign w:val="center"/>
          </w:tcPr>
          <w:p w14:paraId="3B4884AD">
            <w:pPr>
              <w:pStyle w:val="41"/>
              <w:rPr>
                <w:color w:val="auto"/>
                <w:highlight w:val="none"/>
              </w:rPr>
            </w:pPr>
            <w:r>
              <w:rPr>
                <w:rFonts w:hint="eastAsia"/>
                <w:color w:val="auto"/>
                <w:highlight w:val="none"/>
              </w:rPr>
              <w:t>符合</w:t>
            </w:r>
          </w:p>
        </w:tc>
      </w:tr>
      <w:tr w14:paraId="6F2DF5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898" w:type="pct"/>
            <w:tcBorders>
              <w:tl2br w:val="nil"/>
              <w:tr2bl w:val="nil"/>
            </w:tcBorders>
            <w:vAlign w:val="center"/>
          </w:tcPr>
          <w:p w14:paraId="4980B511">
            <w:pPr>
              <w:pStyle w:val="41"/>
              <w:rPr>
                <w:color w:val="auto"/>
                <w:highlight w:val="none"/>
              </w:rPr>
            </w:pPr>
            <w:r>
              <w:rPr>
                <w:rFonts w:hint="eastAsia"/>
                <w:color w:val="auto"/>
                <w:highlight w:val="none"/>
              </w:rPr>
              <w:t>（二）严格保护生态空间，优化《规划》布局。将生态保护红线作为保障和维护区域生态安全的底线，应进一步优化矿业权设置和空间布局，依法依规对生态空间实施严格保护。与生态保护红线存在空间重叠的6个能源资源基地、24个国家规划矿区、22个重点勘查区、32个重点开采区等，后续设置矿业权时，应进一步优化布局，确保满足生态保护红线管控要求。与大气环境优先保护区（自然保护区、森林公园、世界遗产地等）存在空间重叠的90个勘查规划区块、25个开采规划区块，以及与水环境优先保护区存在空间重叠的462个勘查规划区块、153个开采规划区块和与农用地优先保护区存在空间重叠的28个勘查规划区块、8个开采规划区块等，后续设置矿业权时，应进一步优化布局、强化管控措施，确保满足生态环境分区管控及相关环境保护要求。</w:t>
            </w:r>
          </w:p>
        </w:tc>
        <w:tc>
          <w:tcPr>
            <w:tcW w:w="1697" w:type="pct"/>
            <w:tcBorders>
              <w:tl2br w:val="nil"/>
              <w:tr2bl w:val="nil"/>
            </w:tcBorders>
            <w:vAlign w:val="center"/>
          </w:tcPr>
          <w:p w14:paraId="69AF39D2">
            <w:pPr>
              <w:pStyle w:val="41"/>
              <w:rPr>
                <w:color w:val="auto"/>
                <w:highlight w:val="none"/>
              </w:rPr>
            </w:pPr>
            <w:r>
              <w:rPr>
                <w:color w:val="auto"/>
                <w:highlight w:val="none"/>
              </w:rPr>
              <w:t>本项目不占用生态保护红线区，不在禁止开发的区域。本次环评要求建设单位严格按照本次评价提出的环境保护措施进行建设，确保满足生态环境分区管控及相关环境保护要求。</w:t>
            </w:r>
          </w:p>
        </w:tc>
        <w:tc>
          <w:tcPr>
            <w:tcW w:w="403" w:type="pct"/>
            <w:tcBorders>
              <w:tl2br w:val="nil"/>
              <w:tr2bl w:val="nil"/>
            </w:tcBorders>
            <w:vAlign w:val="center"/>
          </w:tcPr>
          <w:p w14:paraId="024A15AB">
            <w:pPr>
              <w:pStyle w:val="41"/>
              <w:rPr>
                <w:color w:val="auto"/>
                <w:highlight w:val="none"/>
              </w:rPr>
            </w:pPr>
            <w:r>
              <w:rPr>
                <w:rFonts w:hint="eastAsia"/>
                <w:color w:val="auto"/>
                <w:highlight w:val="none"/>
              </w:rPr>
              <w:t>符合</w:t>
            </w:r>
          </w:p>
        </w:tc>
      </w:tr>
      <w:tr w14:paraId="2E7E7A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898" w:type="pct"/>
            <w:tcBorders>
              <w:tl2br w:val="nil"/>
              <w:tr2bl w:val="nil"/>
            </w:tcBorders>
            <w:vAlign w:val="center"/>
          </w:tcPr>
          <w:p w14:paraId="5132C193">
            <w:pPr>
              <w:pStyle w:val="41"/>
              <w:rPr>
                <w:color w:val="auto"/>
                <w:highlight w:val="none"/>
              </w:rPr>
            </w:pPr>
            <w:r>
              <w:rPr>
                <w:rFonts w:hint="eastAsia"/>
                <w:color w:val="auto"/>
                <w:highlight w:val="none"/>
              </w:rPr>
              <w:t>（三）严格产业准入，合理控制矿山开采种类和规模。严格落实《规划》提出的重点矿种矿山最低开采规模准入要求；进一步控制矿山总数，提高大中型矿山比例，加大低效产能压减、无效产能腾退力度，逐步关闭退出安全隐患突出、生态环境问题明显、违法违规问题多的“小弱散”矿山和未达到最低生产规模的矿山。禁止开采砷和放射性等有毒有害物质超过规定标准的煤炭，以及砂铁、汞、可耕地砖瓦用粘土等矿产；限制开采硫铁矿、砖瓦用粘土等矿产；严格控制开采钨、稀土等特定保护性矿产。严格尾矿库的新建和管理，确保符合相关要求。</w:t>
            </w:r>
          </w:p>
        </w:tc>
        <w:tc>
          <w:tcPr>
            <w:tcW w:w="1697" w:type="pct"/>
            <w:tcBorders>
              <w:tl2br w:val="nil"/>
              <w:tr2bl w:val="nil"/>
            </w:tcBorders>
            <w:vAlign w:val="center"/>
          </w:tcPr>
          <w:p w14:paraId="23390596">
            <w:pPr>
              <w:pStyle w:val="41"/>
              <w:rPr>
                <w:color w:val="auto"/>
                <w:highlight w:val="none"/>
              </w:rPr>
            </w:pPr>
            <w:r>
              <w:rPr>
                <w:color w:val="auto"/>
                <w:highlight w:val="none"/>
              </w:rPr>
              <w:t>本项目为</w:t>
            </w:r>
            <w:r>
              <w:rPr>
                <w:rFonts w:hint="eastAsia"/>
                <w:color w:val="auto"/>
                <w:highlight w:val="none"/>
              </w:rPr>
              <w:t>铁钛</w:t>
            </w:r>
            <w:r>
              <w:rPr>
                <w:color w:val="auto"/>
                <w:highlight w:val="none"/>
              </w:rPr>
              <w:t>矿选矿项目，选矿规模为</w:t>
            </w:r>
            <w:r>
              <w:rPr>
                <w:rFonts w:hint="eastAsia"/>
                <w:color w:val="auto"/>
                <w:highlight w:val="none"/>
                <w:lang w:val="en-US" w:eastAsia="zh-CN"/>
              </w:rPr>
              <w:t>580</w:t>
            </w:r>
            <w:r>
              <w:rPr>
                <w:color w:val="auto"/>
                <w:highlight w:val="none"/>
              </w:rPr>
              <w:t>万吨/年，选矿规模和年限均符合准入要求。</w:t>
            </w:r>
            <w:r>
              <w:rPr>
                <w:rFonts w:hint="eastAsia"/>
                <w:color w:val="auto"/>
                <w:highlight w:val="none"/>
              </w:rPr>
              <w:t>本项目尾矿、原矿中铀系、钾系、钍系、镭系单个核素活度浓度均远低于1Bq/g。</w:t>
            </w:r>
          </w:p>
        </w:tc>
        <w:tc>
          <w:tcPr>
            <w:tcW w:w="403" w:type="pct"/>
            <w:tcBorders>
              <w:tl2br w:val="nil"/>
              <w:tr2bl w:val="nil"/>
            </w:tcBorders>
            <w:vAlign w:val="center"/>
          </w:tcPr>
          <w:p w14:paraId="5D981585">
            <w:pPr>
              <w:pStyle w:val="41"/>
              <w:rPr>
                <w:color w:val="auto"/>
                <w:highlight w:val="none"/>
              </w:rPr>
            </w:pPr>
            <w:r>
              <w:rPr>
                <w:rFonts w:hint="eastAsia"/>
                <w:color w:val="auto"/>
                <w:highlight w:val="none"/>
              </w:rPr>
              <w:t>符合</w:t>
            </w:r>
          </w:p>
        </w:tc>
      </w:tr>
      <w:tr w14:paraId="071DCB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898" w:type="pct"/>
            <w:tcBorders>
              <w:tl2br w:val="nil"/>
              <w:tr2bl w:val="nil"/>
            </w:tcBorders>
            <w:vAlign w:val="center"/>
          </w:tcPr>
          <w:p w14:paraId="453B56AF">
            <w:pPr>
              <w:pStyle w:val="41"/>
              <w:rPr>
                <w:color w:val="auto"/>
                <w:highlight w:val="none"/>
              </w:rPr>
            </w:pPr>
            <w:r>
              <w:rPr>
                <w:rFonts w:hint="eastAsia"/>
                <w:color w:val="auto"/>
                <w:highlight w:val="none"/>
              </w:rPr>
              <w:t>（四）严格环境准入，保护区域生态功能。按照新疆维吾尔自治区生态环境分区管控方案、生态环境保护规划等新要求，与大气环境优先保护区、水环境优先保护区、农用地优先保护区等存在空间重叠的现有矿业权、勘查规划区块、开采规划区块，应严格执行相应管控要求，控制勘查、开采活动范围和强度，严格执行绿色勘查、开采及矿山环境生态保护修复相关要求，确保生态系统结构和主要功能不受破坏。严格控制涉及生物多样性保护优先区域、国家重点生态功能区、国家重要生态功能区、水源涵养区、水土流失重点防治区等区域矿产资源开发活动，并采取相应保护措施，防止加剧对重点生态功能区的不良环境影响。</w:t>
            </w:r>
          </w:p>
        </w:tc>
        <w:tc>
          <w:tcPr>
            <w:tcW w:w="1697" w:type="pct"/>
            <w:tcBorders>
              <w:tl2br w:val="nil"/>
              <w:tr2bl w:val="nil"/>
            </w:tcBorders>
            <w:vAlign w:val="center"/>
          </w:tcPr>
          <w:p w14:paraId="1079437B">
            <w:pPr>
              <w:pStyle w:val="41"/>
              <w:rPr>
                <w:color w:val="auto"/>
                <w:highlight w:val="none"/>
              </w:rPr>
            </w:pPr>
            <w:r>
              <w:rPr>
                <w:color w:val="auto"/>
                <w:highlight w:val="none"/>
              </w:rPr>
              <w:t>本项目为</w:t>
            </w:r>
            <w:r>
              <w:rPr>
                <w:rFonts w:hint="eastAsia"/>
                <w:color w:val="auto"/>
                <w:highlight w:val="none"/>
              </w:rPr>
              <w:t>铁钛</w:t>
            </w:r>
            <w:r>
              <w:rPr>
                <w:color w:val="auto"/>
                <w:highlight w:val="none"/>
              </w:rPr>
              <w:t>矿选矿项目，满足自治区重点行业生态环境准入条件。严格按照绿色矿山建设标准体系执行，在选矿过程中产生的生态环境、土地等破坏，按照</w:t>
            </w:r>
            <w:r>
              <w:rPr>
                <w:rFonts w:hint="eastAsia"/>
                <w:color w:val="auto"/>
                <w:highlight w:val="none"/>
              </w:rPr>
              <w:t>“</w:t>
            </w:r>
            <w:r>
              <w:rPr>
                <w:color w:val="auto"/>
                <w:highlight w:val="none"/>
              </w:rPr>
              <w:t>边开采，边治理</w:t>
            </w:r>
            <w:r>
              <w:rPr>
                <w:rFonts w:hint="eastAsia"/>
                <w:color w:val="auto"/>
                <w:highlight w:val="none"/>
              </w:rPr>
              <w:t>”</w:t>
            </w:r>
            <w:r>
              <w:rPr>
                <w:color w:val="auto"/>
                <w:highlight w:val="none"/>
              </w:rPr>
              <w:t>的方针，严格落实生态环境治理恢复方案。</w:t>
            </w:r>
          </w:p>
        </w:tc>
        <w:tc>
          <w:tcPr>
            <w:tcW w:w="403" w:type="pct"/>
            <w:tcBorders>
              <w:tl2br w:val="nil"/>
              <w:tr2bl w:val="nil"/>
            </w:tcBorders>
            <w:vAlign w:val="center"/>
          </w:tcPr>
          <w:p w14:paraId="171E793D">
            <w:pPr>
              <w:pStyle w:val="41"/>
              <w:rPr>
                <w:color w:val="auto"/>
                <w:highlight w:val="none"/>
              </w:rPr>
            </w:pPr>
            <w:r>
              <w:rPr>
                <w:rFonts w:hint="eastAsia"/>
                <w:color w:val="auto"/>
                <w:highlight w:val="none"/>
              </w:rPr>
              <w:t>符合</w:t>
            </w:r>
          </w:p>
        </w:tc>
      </w:tr>
      <w:tr w14:paraId="30D07E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939" w:type="dxa"/>
            <w:tcBorders>
              <w:tl2br w:val="nil"/>
              <w:tr2bl w:val="nil"/>
            </w:tcBorders>
            <w:vAlign w:val="center"/>
          </w:tcPr>
          <w:p w14:paraId="1D125CF5">
            <w:pPr>
              <w:pStyle w:val="41"/>
              <w:rPr>
                <w:color w:val="auto"/>
                <w:highlight w:val="none"/>
              </w:rPr>
            </w:pPr>
            <w:r>
              <w:rPr>
                <w:rFonts w:hint="eastAsia"/>
                <w:color w:val="auto"/>
                <w:highlight w:val="none"/>
              </w:rPr>
              <w:t>（五）加强矿山生态修复和环境治理。结合区域生态环境质量改善目标和主要生态环境问题，分区域、分矿种确定矿山生态修复和环境治理总体要求，将目标任务分解细化到具体矿区、矿山，确保“十四五”规划期矿山生态修复治理面积不低于11000公顷。重视关闭矿山及历史遗留矿山的生态环境问题，明确污染治理、生态修复的任务、要求和完成时限。对可能造成重金属污染等环境问题的矿区，进一步优化开发方式，推进结构调整，加大治理投入。</w:t>
            </w:r>
          </w:p>
        </w:tc>
        <w:tc>
          <w:tcPr>
            <w:tcW w:w="2892" w:type="dxa"/>
            <w:tcBorders>
              <w:tl2br w:val="nil"/>
              <w:tr2bl w:val="nil"/>
            </w:tcBorders>
            <w:vAlign w:val="center"/>
          </w:tcPr>
          <w:p w14:paraId="6484F19A">
            <w:pPr>
              <w:pStyle w:val="41"/>
              <w:rPr>
                <w:color w:val="auto"/>
                <w:highlight w:val="none"/>
              </w:rPr>
            </w:pPr>
            <w:r>
              <w:rPr>
                <w:color w:val="auto"/>
                <w:highlight w:val="none"/>
              </w:rPr>
              <w:t>严格按照绿色矿山建设标准体系执行，在选矿过程中产生的生态环境、土地等破坏，按照</w:t>
            </w:r>
            <w:r>
              <w:rPr>
                <w:rFonts w:hint="eastAsia"/>
                <w:color w:val="auto"/>
                <w:highlight w:val="none"/>
              </w:rPr>
              <w:t>“</w:t>
            </w:r>
            <w:r>
              <w:rPr>
                <w:color w:val="auto"/>
                <w:highlight w:val="none"/>
              </w:rPr>
              <w:t>边开采，边治理”的方针，严格落实选矿厂和尾矿库的生态环境治理恢复方案。</w:t>
            </w:r>
          </w:p>
        </w:tc>
        <w:tc>
          <w:tcPr>
            <w:tcW w:w="403" w:type="pct"/>
            <w:tcBorders>
              <w:tl2br w:val="nil"/>
              <w:tr2bl w:val="nil"/>
            </w:tcBorders>
            <w:vAlign w:val="center"/>
          </w:tcPr>
          <w:p w14:paraId="5B358F8A">
            <w:pPr>
              <w:pStyle w:val="41"/>
              <w:rPr>
                <w:color w:val="auto"/>
                <w:highlight w:val="none"/>
              </w:rPr>
            </w:pPr>
            <w:r>
              <w:rPr>
                <w:rFonts w:hint="eastAsia"/>
                <w:color w:val="auto"/>
                <w:highlight w:val="none"/>
              </w:rPr>
              <w:t>符合</w:t>
            </w:r>
          </w:p>
        </w:tc>
      </w:tr>
      <w:tr w14:paraId="684EA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939" w:type="dxa"/>
            <w:tcBorders>
              <w:tl2br w:val="nil"/>
              <w:tr2bl w:val="nil"/>
            </w:tcBorders>
            <w:vAlign w:val="center"/>
          </w:tcPr>
          <w:p w14:paraId="499FED67">
            <w:pPr>
              <w:pStyle w:val="41"/>
              <w:rPr>
                <w:color w:val="auto"/>
                <w:highlight w:val="none"/>
              </w:rPr>
            </w:pPr>
            <w:r>
              <w:rPr>
                <w:rFonts w:hint="eastAsia"/>
                <w:color w:val="auto"/>
                <w:highlight w:val="none"/>
              </w:rPr>
              <w:t>（六）加强生态环境保护监测和预警。结合生态保护、饮用水水源保护区及水环境功能区水质保护及改善要求、土壤污染防治目标等，推进重点矿区建立生态、地表水、地下水、土壤等环境要素的长期监测监控体系，明确责任主体、强化资金保障，其中，在用尾矿库100%安装在线监测装置</w:t>
            </w:r>
            <w:r>
              <w:rPr>
                <w:rFonts w:hint="eastAsia"/>
                <w:color w:val="auto"/>
                <w:highlight w:val="none"/>
                <w:lang w:eastAsia="zh-CN"/>
              </w:rPr>
              <w:t>；</w:t>
            </w:r>
            <w:r>
              <w:rPr>
                <w:rFonts w:hint="eastAsia"/>
                <w:color w:val="auto"/>
                <w:highlight w:val="none"/>
              </w:rPr>
              <w:t>组织开展主要矿种集中开采区域生态修复效果评估，并根据监测和评估结果增加和优化必要的保护措施。针对地表水环境及土壤环境累积影响、地下水环境质量下降、生态退化等情形，建立预警机制。</w:t>
            </w:r>
          </w:p>
        </w:tc>
        <w:tc>
          <w:tcPr>
            <w:tcW w:w="2892" w:type="dxa"/>
            <w:tcBorders>
              <w:tl2br w:val="nil"/>
              <w:tr2bl w:val="nil"/>
            </w:tcBorders>
            <w:vAlign w:val="center"/>
          </w:tcPr>
          <w:p w14:paraId="176371B2">
            <w:pPr>
              <w:pStyle w:val="41"/>
              <w:rPr>
                <w:color w:val="auto"/>
                <w:highlight w:val="none"/>
              </w:rPr>
            </w:pPr>
            <w:r>
              <w:rPr>
                <w:color w:val="auto"/>
                <w:highlight w:val="none"/>
              </w:rPr>
              <w:t>本项目为</w:t>
            </w:r>
            <w:r>
              <w:rPr>
                <w:rFonts w:hint="eastAsia"/>
                <w:color w:val="auto"/>
                <w:highlight w:val="none"/>
              </w:rPr>
              <w:t>铁钛</w:t>
            </w:r>
            <w:r>
              <w:rPr>
                <w:color w:val="auto"/>
                <w:highlight w:val="none"/>
              </w:rPr>
              <w:t>矿选矿项目，建设单位应委托具有资质的第三方监测机构承担环境监测工作，严格落实本次评价及隐患治理中的各项环境风险防范措施</w:t>
            </w:r>
            <w:r>
              <w:rPr>
                <w:rFonts w:hint="eastAsia"/>
                <w:color w:val="auto"/>
                <w:highlight w:val="none"/>
                <w:lang w:eastAsia="zh-CN"/>
              </w:rPr>
              <w:t>，</w:t>
            </w:r>
            <w:r>
              <w:rPr>
                <w:color w:val="auto"/>
                <w:highlight w:val="none"/>
              </w:rPr>
              <w:t>强化和完善环境风险应急预案并持续改进。</w:t>
            </w:r>
          </w:p>
        </w:tc>
        <w:tc>
          <w:tcPr>
            <w:tcW w:w="403" w:type="pct"/>
            <w:tcBorders>
              <w:tl2br w:val="nil"/>
              <w:tr2bl w:val="nil"/>
            </w:tcBorders>
            <w:vAlign w:val="center"/>
          </w:tcPr>
          <w:p w14:paraId="5D0D7501">
            <w:pPr>
              <w:pStyle w:val="41"/>
              <w:rPr>
                <w:color w:val="auto"/>
                <w:highlight w:val="none"/>
              </w:rPr>
            </w:pPr>
            <w:r>
              <w:rPr>
                <w:rFonts w:hint="eastAsia"/>
                <w:color w:val="auto"/>
                <w:highlight w:val="none"/>
              </w:rPr>
              <w:t>符合</w:t>
            </w:r>
          </w:p>
        </w:tc>
      </w:tr>
    </w:tbl>
    <w:p w14:paraId="2BB040A9">
      <w:pPr>
        <w:pStyle w:val="3"/>
        <w:ind w:firstLine="480"/>
        <w:rPr>
          <w:color w:val="auto"/>
          <w:highlight w:val="none"/>
        </w:rPr>
      </w:pPr>
      <w:r>
        <w:rPr>
          <w:color w:val="auto"/>
          <w:highlight w:val="none"/>
        </w:rPr>
        <w:t>综上，本项目符合《新疆维吾尔自治区矿产资源总体规划（2021</w:t>
      </w:r>
      <w:r>
        <w:rPr>
          <w:rFonts w:hint="eastAsia"/>
          <w:color w:val="auto"/>
          <w:highlight w:val="none"/>
          <w:lang w:eastAsia="zh-CN"/>
        </w:rPr>
        <w:t>—</w:t>
      </w:r>
      <w:r>
        <w:rPr>
          <w:color w:val="auto"/>
          <w:highlight w:val="none"/>
        </w:rPr>
        <w:t>2025年）</w:t>
      </w:r>
      <w:r>
        <w:rPr>
          <w:rFonts w:hint="eastAsia"/>
          <w:color w:val="auto"/>
          <w:highlight w:val="none"/>
          <w:lang w:eastAsia="zh-CN"/>
        </w:rPr>
        <w:t>》和</w:t>
      </w:r>
      <w:r>
        <w:rPr>
          <w:color w:val="auto"/>
          <w:highlight w:val="none"/>
        </w:rPr>
        <w:t>规划审查意见的相关要求。</w:t>
      </w:r>
    </w:p>
    <w:p w14:paraId="23AD6299">
      <w:pPr>
        <w:pStyle w:val="42"/>
        <w:rPr>
          <w:rFonts w:hint="default"/>
          <w:color w:val="auto"/>
          <w:highlight w:val="none"/>
        </w:rPr>
      </w:pPr>
      <w:r>
        <w:rPr>
          <w:rFonts w:hint="default"/>
          <w:color w:val="auto"/>
          <w:highlight w:val="none"/>
        </w:rPr>
        <w:t>与《新疆生态环境保护“十四五”规划》符合性分析</w:t>
      </w:r>
    </w:p>
    <w:p w14:paraId="4DAC3AD5">
      <w:pPr>
        <w:pStyle w:val="3"/>
        <w:ind w:firstLine="480"/>
        <w:rPr>
          <w:color w:val="auto"/>
          <w:highlight w:val="none"/>
        </w:rPr>
      </w:pPr>
      <w:r>
        <w:rPr>
          <w:color w:val="auto"/>
          <w:highlight w:val="none"/>
        </w:rPr>
        <w:t>根据2022年1月14日新疆维吾尔自治区人民政府发布的《新疆生态环境保护</w:t>
      </w:r>
      <w:r>
        <w:rPr>
          <w:rFonts w:hint="eastAsia"/>
          <w:color w:val="auto"/>
          <w:highlight w:val="none"/>
        </w:rPr>
        <w:t>“</w:t>
      </w:r>
      <w:r>
        <w:rPr>
          <w:color w:val="auto"/>
          <w:highlight w:val="none"/>
        </w:rPr>
        <w:t>十四五</w:t>
      </w:r>
      <w:r>
        <w:rPr>
          <w:rFonts w:hint="eastAsia"/>
          <w:color w:val="auto"/>
          <w:highlight w:val="none"/>
        </w:rPr>
        <w:t>”</w:t>
      </w:r>
      <w:r>
        <w:rPr>
          <w:color w:val="auto"/>
          <w:highlight w:val="none"/>
        </w:rPr>
        <w:t>规划》中的相关要求，本项目与其相符性见表1.3-</w:t>
      </w:r>
      <w:r>
        <w:rPr>
          <w:rFonts w:hint="eastAsia"/>
          <w:color w:val="auto"/>
          <w:highlight w:val="none"/>
        </w:rPr>
        <w:t>9</w:t>
      </w:r>
      <w:r>
        <w:rPr>
          <w:color w:val="auto"/>
          <w:highlight w:val="none"/>
        </w:rPr>
        <w:t>。</w:t>
      </w:r>
    </w:p>
    <w:p w14:paraId="6359E082">
      <w:pPr>
        <w:pStyle w:val="40"/>
        <w:rPr>
          <w:color w:val="auto"/>
          <w:highlight w:val="none"/>
        </w:rPr>
      </w:pPr>
      <w:r>
        <w:rPr>
          <w:color w:val="auto"/>
          <w:highlight w:val="none"/>
        </w:rPr>
        <w:t>表1.3-</w:t>
      </w:r>
      <w:r>
        <w:rPr>
          <w:rFonts w:hint="eastAsia"/>
          <w:color w:val="auto"/>
          <w:highlight w:val="none"/>
        </w:rPr>
        <w:t>9</w:t>
      </w:r>
      <w:r>
        <w:rPr>
          <w:color w:val="auto"/>
          <w:highlight w:val="none"/>
        </w:rPr>
        <w:t xml:space="preserve">    与《新疆生态环境保护“十四五”规划》符合性分析表</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250"/>
        <w:gridCol w:w="2577"/>
        <w:gridCol w:w="686"/>
      </w:tblGrid>
      <w:tr w14:paraId="5B2CD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83" w:type="pct"/>
            <w:tcBorders>
              <w:tl2br w:val="nil"/>
              <w:tr2bl w:val="nil"/>
            </w:tcBorders>
            <w:vAlign w:val="center"/>
          </w:tcPr>
          <w:p w14:paraId="0A06C0FC">
            <w:pPr>
              <w:pStyle w:val="41"/>
              <w:rPr>
                <w:color w:val="auto"/>
                <w:highlight w:val="none"/>
              </w:rPr>
            </w:pPr>
            <w:r>
              <w:rPr>
                <w:color w:val="auto"/>
                <w:highlight w:val="none"/>
              </w:rPr>
              <w:t>《新疆生态环境保护“十四五”规划》要求</w:t>
            </w:r>
          </w:p>
        </w:tc>
        <w:tc>
          <w:tcPr>
            <w:tcW w:w="1513" w:type="pct"/>
            <w:tcBorders>
              <w:tl2br w:val="nil"/>
              <w:tr2bl w:val="nil"/>
            </w:tcBorders>
            <w:vAlign w:val="center"/>
          </w:tcPr>
          <w:p w14:paraId="40262A49">
            <w:pPr>
              <w:pStyle w:val="41"/>
              <w:rPr>
                <w:color w:val="auto"/>
                <w:highlight w:val="none"/>
              </w:rPr>
            </w:pPr>
            <w:r>
              <w:rPr>
                <w:color w:val="auto"/>
                <w:highlight w:val="none"/>
              </w:rPr>
              <w:t>项目情况</w:t>
            </w:r>
          </w:p>
        </w:tc>
        <w:tc>
          <w:tcPr>
            <w:tcW w:w="403" w:type="pct"/>
            <w:tcBorders>
              <w:tl2br w:val="nil"/>
              <w:tr2bl w:val="nil"/>
            </w:tcBorders>
            <w:vAlign w:val="center"/>
          </w:tcPr>
          <w:p w14:paraId="133108D7">
            <w:pPr>
              <w:pStyle w:val="41"/>
              <w:rPr>
                <w:color w:val="auto"/>
                <w:highlight w:val="none"/>
              </w:rPr>
            </w:pPr>
            <w:r>
              <w:rPr>
                <w:rFonts w:hint="eastAsia"/>
                <w:color w:val="auto"/>
                <w:highlight w:val="none"/>
              </w:rPr>
              <w:t>符合性</w:t>
            </w:r>
          </w:p>
        </w:tc>
      </w:tr>
      <w:tr w14:paraId="31E5D5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83" w:type="pct"/>
            <w:tcBorders>
              <w:tl2br w:val="nil"/>
              <w:tr2bl w:val="nil"/>
            </w:tcBorders>
            <w:vAlign w:val="center"/>
          </w:tcPr>
          <w:p w14:paraId="632DBC3F">
            <w:pPr>
              <w:pStyle w:val="41"/>
              <w:rPr>
                <w:color w:val="auto"/>
                <w:highlight w:val="none"/>
              </w:rPr>
            </w:pPr>
            <w:r>
              <w:rPr>
                <w:color w:val="auto"/>
                <w:highlight w:val="none"/>
              </w:rPr>
              <w:t>第三章第一节完善绿色发展机制</w:t>
            </w:r>
          </w:p>
          <w:p w14:paraId="6C9B9FDD">
            <w:pPr>
              <w:pStyle w:val="41"/>
              <w:rPr>
                <w:color w:val="auto"/>
                <w:highlight w:val="none"/>
              </w:rPr>
            </w:pPr>
            <w:r>
              <w:rPr>
                <w:color w:val="auto"/>
                <w:highlight w:val="none"/>
              </w:rPr>
              <w:t>实施最严格的生态保护制度。坚决遏制</w:t>
            </w:r>
            <w:r>
              <w:rPr>
                <w:rFonts w:hint="eastAsia"/>
                <w:color w:val="auto"/>
                <w:highlight w:val="none"/>
              </w:rPr>
              <w:t>“</w:t>
            </w:r>
            <w:r>
              <w:rPr>
                <w:color w:val="auto"/>
                <w:highlight w:val="none"/>
              </w:rPr>
              <w:t>两高”项目盲目发展，严格执行能源、矿产资源开发自治区人民政府</w:t>
            </w:r>
            <w:r>
              <w:rPr>
                <w:rFonts w:hint="eastAsia"/>
                <w:color w:val="auto"/>
                <w:highlight w:val="none"/>
              </w:rPr>
              <w:t>“</w:t>
            </w:r>
            <w:r>
              <w:rPr>
                <w:color w:val="auto"/>
                <w:highlight w:val="none"/>
              </w:rPr>
              <w:t>一支笔”审批制度</w:t>
            </w:r>
            <w:r>
              <w:rPr>
                <w:rFonts w:hint="eastAsia"/>
                <w:color w:val="auto"/>
                <w:highlight w:val="none"/>
                <w:lang w:eastAsia="zh-CN"/>
              </w:rPr>
              <w:t>和</w:t>
            </w:r>
            <w:r>
              <w:rPr>
                <w:color w:val="auto"/>
                <w:highlight w:val="none"/>
              </w:rPr>
              <w:t>环境保护</w:t>
            </w:r>
            <w:r>
              <w:rPr>
                <w:rFonts w:hint="eastAsia"/>
                <w:color w:val="auto"/>
                <w:highlight w:val="none"/>
              </w:rPr>
              <w:t>“</w:t>
            </w:r>
            <w:r>
              <w:rPr>
                <w:color w:val="auto"/>
                <w:highlight w:val="none"/>
              </w:rPr>
              <w:t>一票否决”制度，落实</w:t>
            </w:r>
            <w:r>
              <w:rPr>
                <w:rFonts w:hint="eastAsia"/>
                <w:color w:val="auto"/>
                <w:highlight w:val="none"/>
              </w:rPr>
              <w:t>“</w:t>
            </w:r>
            <w:r>
              <w:rPr>
                <w:color w:val="auto"/>
                <w:highlight w:val="none"/>
              </w:rPr>
              <w:t>三线一单”生态环境分区管控要求，守住生态保护红线、环境质量底线和资源利用上线，实施生态环境准入清单管控。落实最严格的水资源管理制度，科学确定水资源承载能力，严格实行区域用水总量和强度控制，强化节水约束性指标管理。强化地下水超采治理。</w:t>
            </w:r>
          </w:p>
          <w:p w14:paraId="2950DF77">
            <w:pPr>
              <w:pStyle w:val="41"/>
              <w:rPr>
                <w:color w:val="auto"/>
                <w:highlight w:val="none"/>
              </w:rPr>
            </w:pPr>
            <w:r>
              <w:rPr>
                <w:color w:val="auto"/>
                <w:highlight w:val="none"/>
              </w:rPr>
              <w:t>健全国土空间开发保护制度。完善国土空间规划体系，划定并严格落实</w:t>
            </w:r>
            <w:r>
              <w:rPr>
                <w:rFonts w:hint="eastAsia"/>
                <w:color w:val="auto"/>
                <w:highlight w:val="none"/>
              </w:rPr>
              <w:t>“</w:t>
            </w:r>
            <w:r>
              <w:rPr>
                <w:color w:val="auto"/>
                <w:highlight w:val="none"/>
              </w:rPr>
              <w:t>三区三线”，明晰生态、农业、城镇三类空间及生态保护红线、永久基本农田、城镇开发边界三条控制线，持续优化城市化地区、农产品产区、生态功能区布局。合理确定新增建设用地规模，严格控制建设项目土地使用标准，提高资源利用效率。强化国土空间用途管制，对国土空间分级分类实施管控，推动形成优势互补、绿色低碳、高质量发展的区域经济布局。严格落实国家绿色产业指导目录标准，依法依规把好土地审批供应关，加强建设用地准入监管。全面推进绿色矿山建设，规范绿色矿山第三方评估，推广矿产资源节约与综合利用先进技术。</w:t>
            </w:r>
          </w:p>
        </w:tc>
        <w:tc>
          <w:tcPr>
            <w:tcW w:w="1513" w:type="pct"/>
            <w:tcBorders>
              <w:tl2br w:val="nil"/>
              <w:tr2bl w:val="nil"/>
            </w:tcBorders>
            <w:vAlign w:val="center"/>
          </w:tcPr>
          <w:p w14:paraId="1E99AD93">
            <w:pPr>
              <w:pStyle w:val="41"/>
              <w:rPr>
                <w:color w:val="auto"/>
                <w:highlight w:val="none"/>
              </w:rPr>
            </w:pPr>
            <w:r>
              <w:rPr>
                <w:color w:val="auto"/>
                <w:highlight w:val="none"/>
              </w:rPr>
              <w:t>①本项目不在生态保护红线区内，符合</w:t>
            </w:r>
            <w:r>
              <w:rPr>
                <w:rFonts w:hint="eastAsia"/>
                <w:color w:val="auto"/>
                <w:highlight w:val="none"/>
              </w:rPr>
              <w:t>“</w:t>
            </w:r>
            <w:r>
              <w:rPr>
                <w:color w:val="auto"/>
                <w:highlight w:val="none"/>
              </w:rPr>
              <w:t>三线一单</w:t>
            </w:r>
            <w:r>
              <w:rPr>
                <w:rFonts w:hint="eastAsia"/>
                <w:color w:val="auto"/>
                <w:highlight w:val="none"/>
                <w:lang w:eastAsia="zh-CN"/>
              </w:rPr>
              <w:t>”</w:t>
            </w:r>
            <w:r>
              <w:rPr>
                <w:color w:val="auto"/>
                <w:highlight w:val="none"/>
              </w:rPr>
              <w:t>准入要求。项目区及周边1km范围内无自然村落及基本农田，符合</w:t>
            </w:r>
            <w:r>
              <w:rPr>
                <w:rFonts w:hint="eastAsia"/>
                <w:color w:val="auto"/>
                <w:highlight w:val="none"/>
              </w:rPr>
              <w:t>“</w:t>
            </w:r>
            <w:r>
              <w:rPr>
                <w:color w:val="auto"/>
                <w:highlight w:val="none"/>
              </w:rPr>
              <w:t>三区三线</w:t>
            </w:r>
            <w:r>
              <w:rPr>
                <w:rFonts w:hint="eastAsia"/>
                <w:color w:val="auto"/>
                <w:highlight w:val="none"/>
                <w:lang w:eastAsia="zh-CN"/>
              </w:rPr>
              <w:t>”</w:t>
            </w:r>
            <w:r>
              <w:rPr>
                <w:color w:val="auto"/>
                <w:highlight w:val="none"/>
              </w:rPr>
              <w:t>要求。</w:t>
            </w:r>
            <w:r>
              <w:rPr>
                <w:color w:val="auto"/>
                <w:highlight w:val="none"/>
              </w:rPr>
              <w:br w:type="textWrapping"/>
            </w:r>
            <w:r>
              <w:rPr>
                <w:color w:val="auto"/>
                <w:highlight w:val="none"/>
              </w:rPr>
              <w:t>②本项目生产和生活办公用水</w:t>
            </w:r>
            <w:r>
              <w:rPr>
                <w:rFonts w:hint="eastAsia"/>
                <w:color w:val="auto"/>
                <w:highlight w:val="none"/>
                <w:lang w:eastAsia="zh-CN"/>
              </w:rPr>
              <w:t>利用现有</w:t>
            </w:r>
            <w:r>
              <w:rPr>
                <w:rFonts w:hint="eastAsia"/>
                <w:color w:val="auto"/>
                <w:highlight w:val="none"/>
                <w:lang w:val="en-US" w:eastAsia="zh-CN"/>
              </w:rPr>
              <w:t>2眼机井取水，已办理取水许可</w:t>
            </w:r>
            <w:r>
              <w:rPr>
                <w:color w:val="auto"/>
                <w:highlight w:val="none"/>
              </w:rPr>
              <w:t>。本项目选矿工程工艺废水全部回用于生产，生活污水由一体化污水处理设备处理后用于项目区及周边草地和荒漠绿化等综合利用，不外排。</w:t>
            </w:r>
            <w:r>
              <w:rPr>
                <w:color w:val="auto"/>
                <w:highlight w:val="none"/>
              </w:rPr>
              <w:br w:type="textWrapping"/>
            </w:r>
            <w:r>
              <w:rPr>
                <w:color w:val="auto"/>
                <w:highlight w:val="none"/>
              </w:rPr>
              <w:t>③项目将初选产生的固废集中收集外售给砂石料厂进行综合利用，使固废资源化、减量化，符合环境质量底线和资源利用上线。</w:t>
            </w:r>
          </w:p>
        </w:tc>
        <w:tc>
          <w:tcPr>
            <w:tcW w:w="403" w:type="pct"/>
            <w:tcBorders>
              <w:tl2br w:val="nil"/>
              <w:tr2bl w:val="nil"/>
            </w:tcBorders>
            <w:vAlign w:val="center"/>
          </w:tcPr>
          <w:p w14:paraId="08A4B5F9">
            <w:pPr>
              <w:pStyle w:val="41"/>
              <w:rPr>
                <w:color w:val="auto"/>
                <w:highlight w:val="none"/>
              </w:rPr>
            </w:pPr>
            <w:r>
              <w:rPr>
                <w:color w:val="auto"/>
                <w:highlight w:val="none"/>
              </w:rPr>
              <w:t>符合</w:t>
            </w:r>
          </w:p>
        </w:tc>
      </w:tr>
      <w:tr w14:paraId="1DD2CF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83" w:type="pct"/>
            <w:tcBorders>
              <w:tl2br w:val="nil"/>
              <w:tr2bl w:val="nil"/>
            </w:tcBorders>
            <w:vAlign w:val="center"/>
          </w:tcPr>
          <w:p w14:paraId="593EF9C9">
            <w:pPr>
              <w:pStyle w:val="41"/>
              <w:rPr>
                <w:color w:val="auto"/>
                <w:highlight w:val="none"/>
              </w:rPr>
            </w:pPr>
            <w:r>
              <w:rPr>
                <w:color w:val="auto"/>
                <w:highlight w:val="none"/>
              </w:rPr>
              <w:t>第四章第一节推进二氧化碳排放达峰行动</w:t>
            </w:r>
          </w:p>
          <w:p w14:paraId="60017340">
            <w:pPr>
              <w:pStyle w:val="41"/>
              <w:rPr>
                <w:color w:val="auto"/>
                <w:highlight w:val="none"/>
              </w:rPr>
            </w:pPr>
            <w:r>
              <w:rPr>
                <w:color w:val="auto"/>
                <w:highlight w:val="none"/>
              </w:rPr>
              <w:t>积极开展二氧化碳达峰行动。推动落实</w:t>
            </w:r>
            <w:r>
              <w:rPr>
                <w:rFonts w:hint="eastAsia"/>
                <w:color w:val="auto"/>
                <w:highlight w:val="none"/>
              </w:rPr>
              <w:t>“</w:t>
            </w:r>
            <w:r>
              <w:rPr>
                <w:color w:val="auto"/>
                <w:highlight w:val="none"/>
              </w:rPr>
              <w:t>碳达峰十大行动”，加强对高耗能、高排放的</w:t>
            </w:r>
            <w:r>
              <w:rPr>
                <w:rFonts w:hint="eastAsia"/>
                <w:color w:val="auto"/>
                <w:highlight w:val="none"/>
              </w:rPr>
              <w:t>“</w:t>
            </w:r>
            <w:r>
              <w:rPr>
                <w:color w:val="auto"/>
                <w:highlight w:val="none"/>
              </w:rPr>
              <w:t>两高”项目源头管控，鼓励能源、工业、交通和建筑等领域制定达峰专项行动方案，推动钢铁、建材、有色、化工、电力、煤炭等重点行业制定二氧化碳达峰目标，确定达峰路径。探索开展重点行业企业碳排放对标行动。</w:t>
            </w:r>
          </w:p>
        </w:tc>
        <w:tc>
          <w:tcPr>
            <w:tcW w:w="1513" w:type="pct"/>
            <w:tcBorders>
              <w:tl2br w:val="nil"/>
              <w:tr2bl w:val="nil"/>
            </w:tcBorders>
            <w:vAlign w:val="center"/>
          </w:tcPr>
          <w:p w14:paraId="32AF5949">
            <w:pPr>
              <w:pStyle w:val="41"/>
              <w:rPr>
                <w:color w:val="auto"/>
                <w:highlight w:val="none"/>
              </w:rPr>
            </w:pPr>
            <w:r>
              <w:rPr>
                <w:color w:val="auto"/>
                <w:highlight w:val="none"/>
              </w:rPr>
              <w:t>本项目不属于高耗能、高排放的</w:t>
            </w:r>
            <w:r>
              <w:rPr>
                <w:rFonts w:hint="eastAsia"/>
                <w:color w:val="auto"/>
                <w:highlight w:val="none"/>
              </w:rPr>
              <w:t>“</w:t>
            </w:r>
            <w:r>
              <w:rPr>
                <w:color w:val="auto"/>
                <w:highlight w:val="none"/>
              </w:rPr>
              <w:t>两高”项目。企业积极采用高效</w:t>
            </w:r>
            <w:r>
              <w:rPr>
                <w:rFonts w:hint="eastAsia"/>
                <w:color w:val="auto"/>
                <w:highlight w:val="none"/>
              </w:rPr>
              <w:t>率、</w:t>
            </w:r>
            <w:r>
              <w:rPr>
                <w:color w:val="auto"/>
                <w:highlight w:val="none"/>
              </w:rPr>
              <w:t>低耗能的</w:t>
            </w:r>
            <w:r>
              <w:rPr>
                <w:rFonts w:hint="eastAsia"/>
                <w:color w:val="auto"/>
                <w:highlight w:val="none"/>
              </w:rPr>
              <w:t>设施</w:t>
            </w:r>
            <w:r>
              <w:rPr>
                <w:color w:val="auto"/>
                <w:highlight w:val="none"/>
              </w:rPr>
              <w:t>设备，采用先进生产技术降低单位能耗。</w:t>
            </w:r>
            <w:r>
              <w:rPr>
                <w:rFonts w:hint="eastAsia"/>
                <w:color w:val="auto"/>
                <w:highlight w:val="none"/>
              </w:rPr>
              <w:t>项目冬季采用</w:t>
            </w:r>
            <w:r>
              <w:rPr>
                <w:rFonts w:hint="eastAsia"/>
                <w:color w:val="auto"/>
                <w:highlight w:val="none"/>
                <w:lang w:eastAsia="zh-CN"/>
              </w:rPr>
              <w:t>生物质窑炉</w:t>
            </w:r>
            <w:r>
              <w:rPr>
                <w:rFonts w:hint="eastAsia"/>
                <w:color w:val="auto"/>
                <w:highlight w:val="none"/>
              </w:rPr>
              <w:t>供暖。</w:t>
            </w:r>
          </w:p>
        </w:tc>
        <w:tc>
          <w:tcPr>
            <w:tcW w:w="403" w:type="pct"/>
            <w:tcBorders>
              <w:tl2br w:val="nil"/>
              <w:tr2bl w:val="nil"/>
            </w:tcBorders>
            <w:vAlign w:val="center"/>
          </w:tcPr>
          <w:p w14:paraId="0C0102BD">
            <w:pPr>
              <w:pStyle w:val="41"/>
              <w:rPr>
                <w:color w:val="auto"/>
                <w:highlight w:val="none"/>
              </w:rPr>
            </w:pPr>
            <w:r>
              <w:rPr>
                <w:color w:val="auto"/>
                <w:highlight w:val="none"/>
              </w:rPr>
              <w:t>符合</w:t>
            </w:r>
          </w:p>
        </w:tc>
      </w:tr>
      <w:tr w14:paraId="17511B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83" w:type="pct"/>
            <w:tcBorders>
              <w:tl2br w:val="nil"/>
              <w:tr2bl w:val="nil"/>
            </w:tcBorders>
            <w:vAlign w:val="center"/>
          </w:tcPr>
          <w:p w14:paraId="3B6F15E0">
            <w:pPr>
              <w:pStyle w:val="41"/>
              <w:rPr>
                <w:color w:val="auto"/>
                <w:highlight w:val="none"/>
              </w:rPr>
            </w:pPr>
            <w:r>
              <w:rPr>
                <w:color w:val="auto"/>
                <w:highlight w:val="none"/>
              </w:rPr>
              <w:t>第六章第二节持续深化水污染治理</w:t>
            </w:r>
          </w:p>
          <w:p w14:paraId="2FA70AF1">
            <w:pPr>
              <w:pStyle w:val="41"/>
              <w:rPr>
                <w:color w:val="auto"/>
                <w:highlight w:val="none"/>
              </w:rPr>
            </w:pPr>
            <w:r>
              <w:rPr>
                <w:color w:val="auto"/>
                <w:highlight w:val="none"/>
              </w:rPr>
              <w:t>加大入河排污口排查整治。持续加大河湖整治力度，确保水环境质量只能更好、不能变坏，持续削减化学需氧量和氨氮等主要水污染物排放总量。开展排污口排查溯源工作，逐一明确入河排污口责任主体。按照</w:t>
            </w:r>
            <w:r>
              <w:rPr>
                <w:rFonts w:hint="eastAsia"/>
                <w:color w:val="auto"/>
                <w:highlight w:val="none"/>
              </w:rPr>
              <w:t>“</w:t>
            </w:r>
            <w:r>
              <w:rPr>
                <w:color w:val="auto"/>
                <w:highlight w:val="none"/>
              </w:rPr>
              <w:t>取缔一批、合并一批、规范一批”要求，实施入河排污口分类整治。到2025年底前，完成所有排污口排查，基本完成相关排污口整治。</w:t>
            </w:r>
          </w:p>
          <w:p w14:paraId="365B8DDA">
            <w:pPr>
              <w:pStyle w:val="41"/>
              <w:rPr>
                <w:color w:val="auto"/>
                <w:highlight w:val="none"/>
              </w:rPr>
            </w:pPr>
            <w:r>
              <w:rPr>
                <w:color w:val="auto"/>
                <w:highlight w:val="none"/>
              </w:rPr>
              <w:t>加强工业污染防治。推动重点行业、重点企业绿色发展，严格落实水污染物排放标准和排污许可制度。加强农副食品加工、化工、印染、棉浆粕、粘胶纤维、制糖等企业综合治理和清洁化改造。支持企业积极实施节水技术改造，加强工业园区污水集中处理设施运行管理，加快再生水回用设施建设，提升园区水资源循环利用水平。</w:t>
            </w:r>
          </w:p>
        </w:tc>
        <w:tc>
          <w:tcPr>
            <w:tcW w:w="1513" w:type="pct"/>
            <w:tcBorders>
              <w:tl2br w:val="nil"/>
              <w:tr2bl w:val="nil"/>
            </w:tcBorders>
            <w:vAlign w:val="center"/>
          </w:tcPr>
          <w:p w14:paraId="715DB6EA">
            <w:pPr>
              <w:pStyle w:val="41"/>
              <w:rPr>
                <w:color w:val="auto"/>
                <w:highlight w:val="none"/>
              </w:rPr>
            </w:pPr>
            <w:r>
              <w:rPr>
                <w:color w:val="auto"/>
                <w:highlight w:val="none"/>
              </w:rPr>
              <w:t>本项目施工期和运营期生产废水循环使用不外排；生活污水经处理达标后用于周边绿化</w:t>
            </w:r>
            <w:r>
              <w:rPr>
                <w:rFonts w:hint="eastAsia"/>
                <w:color w:val="auto"/>
                <w:highlight w:val="none"/>
              </w:rPr>
              <w:t>等</w:t>
            </w:r>
            <w:r>
              <w:rPr>
                <w:color w:val="auto"/>
                <w:highlight w:val="none"/>
              </w:rPr>
              <w:t>进行综合利用。报告书针对生活污水给出了污染物排放标准。</w:t>
            </w:r>
          </w:p>
        </w:tc>
        <w:tc>
          <w:tcPr>
            <w:tcW w:w="403" w:type="pct"/>
            <w:tcBorders>
              <w:tl2br w:val="nil"/>
              <w:tr2bl w:val="nil"/>
            </w:tcBorders>
            <w:vAlign w:val="center"/>
          </w:tcPr>
          <w:p w14:paraId="333F1D3A">
            <w:pPr>
              <w:pStyle w:val="41"/>
              <w:rPr>
                <w:color w:val="auto"/>
                <w:highlight w:val="none"/>
              </w:rPr>
            </w:pPr>
            <w:r>
              <w:rPr>
                <w:color w:val="auto"/>
                <w:highlight w:val="none"/>
              </w:rPr>
              <w:t>符合</w:t>
            </w:r>
          </w:p>
        </w:tc>
      </w:tr>
      <w:tr w14:paraId="282285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83" w:type="pct"/>
            <w:tcBorders>
              <w:tl2br w:val="nil"/>
              <w:tr2bl w:val="nil"/>
            </w:tcBorders>
            <w:vAlign w:val="center"/>
          </w:tcPr>
          <w:p w14:paraId="1D951663">
            <w:pPr>
              <w:pStyle w:val="41"/>
              <w:rPr>
                <w:color w:val="auto"/>
                <w:highlight w:val="none"/>
              </w:rPr>
            </w:pPr>
            <w:r>
              <w:rPr>
                <w:color w:val="auto"/>
                <w:highlight w:val="none"/>
              </w:rPr>
              <w:t>第七章第一节加强土壤和地下水污染协同防控</w:t>
            </w:r>
          </w:p>
          <w:p w14:paraId="7B8890E1">
            <w:pPr>
              <w:pStyle w:val="41"/>
              <w:rPr>
                <w:color w:val="auto"/>
                <w:highlight w:val="none"/>
              </w:rPr>
            </w:pPr>
            <w:r>
              <w:rPr>
                <w:color w:val="auto"/>
                <w:highlight w:val="none"/>
              </w:rPr>
              <w:t>加强国土空间布局管控。将土壤污染调查成果纳入国土空间规划</w:t>
            </w:r>
            <w:r>
              <w:rPr>
                <w:rFonts w:hint="eastAsia"/>
                <w:color w:val="auto"/>
                <w:highlight w:val="none"/>
              </w:rPr>
              <w:t>“</w:t>
            </w:r>
            <w:r>
              <w:rPr>
                <w:color w:val="auto"/>
                <w:highlight w:val="none"/>
              </w:rPr>
              <w:t>一张图”，根据土壤污染状况合理规划土地用途。永久基本农田集中区域禁止规划新建可能造成土壤污染的建设项目。</w:t>
            </w:r>
          </w:p>
          <w:p w14:paraId="412AFB6E">
            <w:pPr>
              <w:pStyle w:val="41"/>
              <w:rPr>
                <w:color w:val="auto"/>
                <w:highlight w:val="none"/>
              </w:rPr>
            </w:pPr>
            <w:r>
              <w:rPr>
                <w:color w:val="auto"/>
                <w:highlight w:val="none"/>
              </w:rPr>
              <w:t>涉及有毒有害物质可能造成土壤污染的新（改、扩）建项目，提出并落实土壤和地下水污染防治要求。加强地下水型饮用水水源补给区保护。</w:t>
            </w:r>
          </w:p>
          <w:p w14:paraId="28FC6FD2">
            <w:pPr>
              <w:pStyle w:val="41"/>
              <w:rPr>
                <w:color w:val="auto"/>
                <w:highlight w:val="none"/>
              </w:rPr>
            </w:pPr>
            <w:r>
              <w:rPr>
                <w:color w:val="auto"/>
                <w:highlight w:val="none"/>
              </w:rPr>
              <w:t>防范工矿企业土壤污染。结合重点行业企业用地土壤污染状况调查成果，完善土壤污染重点监管单位名录，探索建立地下水污染重点监管单位名录，在排污许可证中载明土壤和地下水污染防治要求。鼓励土壤污染重点监管单位实施提标改造。定期对土壤污染重点监管单位和地下水污染重点监管单位周边土壤、地下水开展监测。督促重点行业企业定期开展土壤及地下水环境自行监测、污染隐患排查。</w:t>
            </w:r>
          </w:p>
          <w:p w14:paraId="775AA25A">
            <w:pPr>
              <w:pStyle w:val="41"/>
              <w:rPr>
                <w:color w:val="auto"/>
                <w:highlight w:val="none"/>
              </w:rPr>
            </w:pPr>
            <w:r>
              <w:rPr>
                <w:color w:val="auto"/>
                <w:highlight w:val="none"/>
              </w:rPr>
              <w:t>强化重点区域地下水环境风险管控。对化学品生产企业、工业集聚区、尾矿库、矿山开采区、危险废物处置场、垃圾填埋场等地下水污染源及周边区域，逐步开展地下水环境状况调查评估，加强风险管控。到2023年，完成一批以化工产业为主导的工业集聚区和危险废物处置场地下水环境状况调查评估；到2025年，完成一批其他污染源地下水环境状况调查评估。探索建立报废矿井、钻井清单，推进封井回填工作。</w:t>
            </w:r>
          </w:p>
        </w:tc>
        <w:tc>
          <w:tcPr>
            <w:tcW w:w="1513" w:type="pct"/>
            <w:tcBorders>
              <w:tl2br w:val="nil"/>
              <w:tr2bl w:val="nil"/>
            </w:tcBorders>
            <w:vAlign w:val="center"/>
          </w:tcPr>
          <w:p w14:paraId="6B135971">
            <w:pPr>
              <w:pStyle w:val="41"/>
              <w:rPr>
                <w:color w:val="auto"/>
                <w:highlight w:val="none"/>
              </w:rPr>
            </w:pPr>
            <w:r>
              <w:rPr>
                <w:color w:val="auto"/>
                <w:highlight w:val="none"/>
              </w:rPr>
              <w:t>本项目严格按照土壤环境影响评价等级的相关要求和规定，对项目区及周边的土壤进行了现状监测，根据监测报告可知，项目区及周边土壤环境质量现状较好。正常工况下，项目运营</w:t>
            </w:r>
            <w:r>
              <w:rPr>
                <w:rFonts w:hint="eastAsia"/>
                <w:color w:val="auto"/>
                <w:highlight w:val="none"/>
              </w:rPr>
              <w:t>期</w:t>
            </w:r>
            <w:r>
              <w:rPr>
                <w:color w:val="auto"/>
                <w:highlight w:val="none"/>
              </w:rPr>
              <w:t>对区域土壤环境污染影响较小。报告书给出了土壤环境监测计划，要求建设单位委托有相关资质的单位按监测计划定期开展土壤环境</w:t>
            </w:r>
            <w:r>
              <w:rPr>
                <w:rFonts w:hint="eastAsia"/>
                <w:color w:val="auto"/>
                <w:highlight w:val="none"/>
              </w:rPr>
              <w:t>现状</w:t>
            </w:r>
            <w:r>
              <w:rPr>
                <w:color w:val="auto"/>
                <w:highlight w:val="none"/>
              </w:rPr>
              <w:t>监测。</w:t>
            </w:r>
          </w:p>
        </w:tc>
        <w:tc>
          <w:tcPr>
            <w:tcW w:w="403" w:type="pct"/>
            <w:tcBorders>
              <w:tl2br w:val="nil"/>
              <w:tr2bl w:val="nil"/>
            </w:tcBorders>
            <w:vAlign w:val="center"/>
          </w:tcPr>
          <w:p w14:paraId="605B42E7">
            <w:pPr>
              <w:pStyle w:val="41"/>
              <w:rPr>
                <w:color w:val="auto"/>
                <w:highlight w:val="none"/>
              </w:rPr>
            </w:pPr>
            <w:r>
              <w:rPr>
                <w:color w:val="auto"/>
                <w:highlight w:val="none"/>
              </w:rPr>
              <w:t>符合</w:t>
            </w:r>
          </w:p>
        </w:tc>
      </w:tr>
      <w:tr w14:paraId="794995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83" w:type="pct"/>
            <w:tcBorders>
              <w:tl2br w:val="nil"/>
              <w:tr2bl w:val="nil"/>
            </w:tcBorders>
            <w:vAlign w:val="center"/>
          </w:tcPr>
          <w:p w14:paraId="4F6F8EBF">
            <w:pPr>
              <w:pStyle w:val="41"/>
              <w:rPr>
                <w:color w:val="auto"/>
                <w:highlight w:val="none"/>
              </w:rPr>
            </w:pPr>
            <w:r>
              <w:rPr>
                <w:color w:val="auto"/>
                <w:highlight w:val="none"/>
              </w:rPr>
              <w:t>第十章第二节强化重金属及尾矿库风险防控</w:t>
            </w:r>
          </w:p>
          <w:p w14:paraId="05C41F1D">
            <w:pPr>
              <w:pStyle w:val="41"/>
              <w:rPr>
                <w:color w:val="auto"/>
                <w:highlight w:val="none"/>
              </w:rPr>
            </w:pPr>
            <w:r>
              <w:rPr>
                <w:color w:val="auto"/>
                <w:highlight w:val="none"/>
              </w:rPr>
              <w:t>持续推进重点区域重金属减排。健全全口径涉重金属重点行业企业清单，依法依规纳入重点排污单位名录，深入推进有色金属等重点行业重金属污染治理，严格落实重金属污染防治措施和环境监测制度，富蕴县、鄯善县、莎车县等区域严格执行重金属重点污染物特别排放限值。严格涉重金属企业环境准入管理，在重金属超标、排放量大的重点区域，涉重金属重点行业新（改、扩）建项目实施重金属排放量</w:t>
            </w:r>
            <w:r>
              <w:rPr>
                <w:rFonts w:hint="eastAsia"/>
                <w:color w:val="auto"/>
                <w:highlight w:val="none"/>
              </w:rPr>
              <w:t>“</w:t>
            </w:r>
            <w:r>
              <w:rPr>
                <w:color w:val="auto"/>
                <w:highlight w:val="none"/>
              </w:rPr>
              <w:t>等量替代”或</w:t>
            </w:r>
            <w:r>
              <w:rPr>
                <w:rFonts w:hint="eastAsia"/>
                <w:color w:val="auto"/>
                <w:highlight w:val="none"/>
              </w:rPr>
              <w:t>“</w:t>
            </w:r>
            <w:r>
              <w:rPr>
                <w:color w:val="auto"/>
                <w:highlight w:val="none"/>
              </w:rPr>
              <w:t>减量替代”，实施分级分类管控。以结构调整、升级改造和深度治理为主要手段，推动实施一批重金属减排工程，持续减少重金属污染物排放。</w:t>
            </w:r>
          </w:p>
          <w:p w14:paraId="4FEA5A53">
            <w:pPr>
              <w:pStyle w:val="41"/>
              <w:rPr>
                <w:color w:val="auto"/>
                <w:highlight w:val="none"/>
              </w:rPr>
            </w:pPr>
            <w:r>
              <w:rPr>
                <w:color w:val="auto"/>
                <w:highlight w:val="none"/>
              </w:rPr>
              <w:t>加强重点行业重金属污染综合治理。加大有色金属行业企业生产工艺提升改造力度，加快锌冶炼、铜冶炼企业工艺升级改造。耕地周边铅锌铜冶炼企业执行颗粒物和重点重金属污染物特别排放限值。探索开展铅、镉的全生命周期环境管理。</w:t>
            </w:r>
          </w:p>
          <w:p w14:paraId="6C98043B">
            <w:pPr>
              <w:pStyle w:val="41"/>
              <w:rPr>
                <w:color w:val="auto"/>
                <w:highlight w:val="none"/>
              </w:rPr>
            </w:pPr>
            <w:r>
              <w:rPr>
                <w:color w:val="auto"/>
                <w:highlight w:val="none"/>
              </w:rPr>
              <w:t>开展尾矿污染治理。建立尾矿库分级分类环境管理制度，加强尾矿库环境风险隐患排查治理。严格新（改、扩）建尾矿库环境准入，开展伊犁河、额尔齐斯河、额敏河流域尾矿库污染治理。实施矿井涌水、废渣风险管控与治理工程，坚持</w:t>
            </w:r>
            <w:r>
              <w:rPr>
                <w:rFonts w:hint="eastAsia"/>
                <w:color w:val="auto"/>
                <w:highlight w:val="none"/>
              </w:rPr>
              <w:t>“</w:t>
            </w:r>
            <w:r>
              <w:rPr>
                <w:color w:val="auto"/>
                <w:highlight w:val="none"/>
              </w:rPr>
              <w:t>一矿一策”，因地制宜推进一批重点尾矿库污染治理。</w:t>
            </w:r>
          </w:p>
          <w:p w14:paraId="28F76D47">
            <w:pPr>
              <w:pStyle w:val="41"/>
              <w:rPr>
                <w:color w:val="auto"/>
                <w:highlight w:val="none"/>
              </w:rPr>
            </w:pPr>
            <w:r>
              <w:rPr>
                <w:color w:val="auto"/>
                <w:highlight w:val="none"/>
              </w:rPr>
              <w:t>第五节强化环境风险预警防控与应急加强环境风险预警防控。加强涉危险废物企业、涉重金属企业、化工园区、集中式饮用水水源地及重点流域环境风险调查评估，实施分类分级风险管控，协同推进重点区域、流域生态环境污染综合防治、风险防控与生态修复，形成一批生态环境综合整治和风险防控示范工程，在环境高风险领域建立环境污染强制责任保险制度。推动重要水源地水质在线生物预警系统建设。</w:t>
            </w:r>
          </w:p>
          <w:p w14:paraId="37280DDE">
            <w:pPr>
              <w:pStyle w:val="41"/>
              <w:rPr>
                <w:color w:val="auto"/>
                <w:highlight w:val="none"/>
              </w:rPr>
            </w:pPr>
            <w:r>
              <w:rPr>
                <w:color w:val="auto"/>
                <w:highlight w:val="none"/>
              </w:rPr>
              <w:t>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513" w:type="pct"/>
            <w:tcBorders>
              <w:tl2br w:val="nil"/>
              <w:tr2bl w:val="nil"/>
            </w:tcBorders>
            <w:vAlign w:val="center"/>
          </w:tcPr>
          <w:p w14:paraId="16A8C5A8">
            <w:pPr>
              <w:pStyle w:val="41"/>
              <w:rPr>
                <w:color w:val="auto"/>
                <w:highlight w:val="none"/>
              </w:rPr>
            </w:pPr>
            <w:r>
              <w:rPr>
                <w:color w:val="auto"/>
                <w:highlight w:val="none"/>
              </w:rPr>
              <w:t>本项目为钛铁矿选矿工程，运营期大气污染物为颗粒物，不排放重金属污染物，因此无需申请重金属排放总量控制</w:t>
            </w:r>
            <w:r>
              <w:rPr>
                <w:rFonts w:hint="eastAsia"/>
                <w:color w:val="auto"/>
                <w:highlight w:val="none"/>
                <w:lang w:eastAsia="zh-CN"/>
              </w:rPr>
              <w:t>；本项目生产热源采用的生物质锅炉，因此</w:t>
            </w:r>
            <w:r>
              <w:rPr>
                <w:color w:val="auto"/>
                <w:highlight w:val="none"/>
              </w:rPr>
              <w:t>建设单位应</w:t>
            </w:r>
            <w:r>
              <w:rPr>
                <w:rFonts w:hint="eastAsia"/>
                <w:color w:val="auto"/>
                <w:highlight w:val="none"/>
              </w:rPr>
              <w:t>按照</w:t>
            </w:r>
            <w:r>
              <w:rPr>
                <w:color w:val="auto"/>
                <w:highlight w:val="none"/>
              </w:rPr>
              <w:t>要求办理排污许可证，运营期按照排污许可证要求进行排放。建设单位应编制《突发环境事件应急预案》，并在当地管理部门备案。与周边企业和管理部门建立应急联动，定期组织员工开展预案演练，以便应对突发环境风险事故时能够采取及时、正确、有效的应急措施，降低事故影响。</w:t>
            </w:r>
          </w:p>
        </w:tc>
        <w:tc>
          <w:tcPr>
            <w:tcW w:w="403" w:type="pct"/>
            <w:tcBorders>
              <w:tl2br w:val="nil"/>
              <w:tr2bl w:val="nil"/>
            </w:tcBorders>
            <w:vAlign w:val="center"/>
          </w:tcPr>
          <w:p w14:paraId="63B386DC">
            <w:pPr>
              <w:pStyle w:val="41"/>
              <w:rPr>
                <w:color w:val="auto"/>
                <w:highlight w:val="none"/>
              </w:rPr>
            </w:pPr>
            <w:r>
              <w:rPr>
                <w:color w:val="auto"/>
                <w:highlight w:val="none"/>
              </w:rPr>
              <w:t>符合</w:t>
            </w:r>
          </w:p>
        </w:tc>
      </w:tr>
    </w:tbl>
    <w:p w14:paraId="16E788C9">
      <w:pPr>
        <w:pStyle w:val="3"/>
        <w:ind w:firstLine="480"/>
        <w:rPr>
          <w:color w:val="auto"/>
          <w:highlight w:val="none"/>
        </w:rPr>
      </w:pPr>
      <w:r>
        <w:rPr>
          <w:color w:val="auto"/>
          <w:highlight w:val="none"/>
        </w:rPr>
        <w:t>综上，本项目的建设符合《新疆生态环境保护</w:t>
      </w:r>
      <w:r>
        <w:rPr>
          <w:rFonts w:hint="eastAsia"/>
          <w:color w:val="auto"/>
          <w:highlight w:val="none"/>
        </w:rPr>
        <w:t>“</w:t>
      </w:r>
      <w:r>
        <w:rPr>
          <w:color w:val="auto"/>
          <w:highlight w:val="none"/>
        </w:rPr>
        <w:t>十四五”规划》中的相关要求。</w:t>
      </w:r>
    </w:p>
    <w:p w14:paraId="01751ECB">
      <w:pPr>
        <w:pStyle w:val="42"/>
        <w:rPr>
          <w:rFonts w:hint="default"/>
          <w:color w:val="auto"/>
          <w:highlight w:val="none"/>
        </w:rPr>
      </w:pPr>
      <w:r>
        <w:rPr>
          <w:rFonts w:hint="default"/>
          <w:color w:val="auto"/>
          <w:highlight w:val="none"/>
        </w:rPr>
        <w:t>与《新疆维吾尔自治区重点行业生态环境准入条件（2024年）》符合性分析</w:t>
      </w:r>
    </w:p>
    <w:p w14:paraId="459AF1C2">
      <w:pPr>
        <w:pStyle w:val="3"/>
        <w:ind w:firstLine="480"/>
        <w:rPr>
          <w:color w:val="auto"/>
          <w:highlight w:val="none"/>
        </w:rPr>
      </w:pPr>
      <w:r>
        <w:rPr>
          <w:color w:val="auto"/>
          <w:highlight w:val="none"/>
        </w:rPr>
        <w:t>本项目与环境准入条件的符合性分析见表1.3-</w:t>
      </w:r>
      <w:r>
        <w:rPr>
          <w:rFonts w:hint="eastAsia"/>
          <w:color w:val="auto"/>
          <w:highlight w:val="none"/>
        </w:rPr>
        <w:t>1</w:t>
      </w:r>
      <w:r>
        <w:rPr>
          <w:rFonts w:hint="eastAsia"/>
          <w:color w:val="auto"/>
          <w:highlight w:val="none"/>
          <w:lang w:val="en-US" w:eastAsia="zh-CN"/>
        </w:rPr>
        <w:t>0</w:t>
      </w:r>
      <w:r>
        <w:rPr>
          <w:color w:val="auto"/>
          <w:highlight w:val="none"/>
        </w:rPr>
        <w:t>。</w:t>
      </w:r>
    </w:p>
    <w:p w14:paraId="3FBC6219">
      <w:pPr>
        <w:pStyle w:val="40"/>
        <w:rPr>
          <w:color w:val="auto"/>
          <w:highlight w:val="none"/>
        </w:rPr>
      </w:pPr>
      <w:r>
        <w:rPr>
          <w:color w:val="auto"/>
          <w:highlight w:val="none"/>
        </w:rPr>
        <w:t>表1.3-</w:t>
      </w:r>
      <w:r>
        <w:rPr>
          <w:rFonts w:hint="eastAsia"/>
          <w:color w:val="auto"/>
          <w:highlight w:val="none"/>
        </w:rPr>
        <w:t>1</w:t>
      </w:r>
      <w:r>
        <w:rPr>
          <w:rFonts w:hint="eastAsia"/>
          <w:color w:val="auto"/>
          <w:highlight w:val="none"/>
          <w:lang w:val="en-US" w:eastAsia="zh-CN"/>
        </w:rPr>
        <w:t>0</w:t>
      </w:r>
      <w:r>
        <w:rPr>
          <w:color w:val="auto"/>
          <w:highlight w:val="none"/>
        </w:rPr>
        <w:t xml:space="preserve">    本项目与环境准入条件符合性分析表</w:t>
      </w:r>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81"/>
        <w:gridCol w:w="4778"/>
        <w:gridCol w:w="2275"/>
        <w:gridCol w:w="882"/>
      </w:tblGrid>
      <w:tr w14:paraId="637B75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359" w:type="dxa"/>
            <w:gridSpan w:val="2"/>
            <w:tcBorders>
              <w:tl2br w:val="nil"/>
              <w:tr2bl w:val="nil"/>
            </w:tcBorders>
            <w:vAlign w:val="center"/>
          </w:tcPr>
          <w:p w14:paraId="406F1ACA">
            <w:pPr>
              <w:pStyle w:val="41"/>
              <w:widowControl w:val="0"/>
              <w:rPr>
                <w:color w:val="auto"/>
                <w:highlight w:val="none"/>
              </w:rPr>
            </w:pPr>
            <w:r>
              <w:rPr>
                <w:rFonts w:hint="eastAsia"/>
                <w:color w:val="auto"/>
                <w:highlight w:val="none"/>
              </w:rPr>
              <w:t>准入条件要求</w:t>
            </w:r>
          </w:p>
        </w:tc>
        <w:tc>
          <w:tcPr>
            <w:tcW w:w="2275" w:type="dxa"/>
            <w:tcBorders>
              <w:tl2br w:val="nil"/>
              <w:tr2bl w:val="nil"/>
            </w:tcBorders>
            <w:vAlign w:val="center"/>
          </w:tcPr>
          <w:p w14:paraId="195C9962">
            <w:pPr>
              <w:pStyle w:val="41"/>
              <w:widowControl w:val="0"/>
              <w:rPr>
                <w:color w:val="auto"/>
                <w:highlight w:val="none"/>
              </w:rPr>
            </w:pPr>
            <w:r>
              <w:rPr>
                <w:color w:val="auto"/>
                <w:highlight w:val="none"/>
              </w:rPr>
              <w:t>本项目</w:t>
            </w:r>
          </w:p>
        </w:tc>
        <w:tc>
          <w:tcPr>
            <w:tcW w:w="882" w:type="dxa"/>
            <w:tcBorders>
              <w:tl2br w:val="nil"/>
              <w:tr2bl w:val="nil"/>
            </w:tcBorders>
            <w:vAlign w:val="center"/>
          </w:tcPr>
          <w:p w14:paraId="0FA97387">
            <w:pPr>
              <w:pStyle w:val="41"/>
              <w:widowControl w:val="0"/>
              <w:rPr>
                <w:color w:val="auto"/>
                <w:highlight w:val="none"/>
              </w:rPr>
            </w:pPr>
            <w:r>
              <w:rPr>
                <w:color w:val="auto"/>
                <w:highlight w:val="none"/>
              </w:rPr>
              <w:t>符合性</w:t>
            </w:r>
          </w:p>
        </w:tc>
      </w:tr>
      <w:tr w14:paraId="562F7E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Borders>
              <w:tl2br w:val="nil"/>
              <w:tr2bl w:val="nil"/>
            </w:tcBorders>
            <w:vAlign w:val="center"/>
          </w:tcPr>
          <w:p w14:paraId="01655E9C">
            <w:pPr>
              <w:pStyle w:val="41"/>
              <w:widowControl w:val="0"/>
              <w:rPr>
                <w:color w:val="auto"/>
                <w:highlight w:val="none"/>
              </w:rPr>
            </w:pPr>
            <w:r>
              <w:rPr>
                <w:rFonts w:hint="eastAsia"/>
                <w:color w:val="auto"/>
                <w:highlight w:val="none"/>
              </w:rPr>
              <w:t>选址与空间布局</w:t>
            </w:r>
          </w:p>
        </w:tc>
        <w:tc>
          <w:tcPr>
            <w:tcW w:w="4778" w:type="dxa"/>
            <w:tcBorders>
              <w:tl2br w:val="nil"/>
              <w:tr2bl w:val="nil"/>
            </w:tcBorders>
            <w:vAlign w:val="center"/>
          </w:tcPr>
          <w:p w14:paraId="31C68B18">
            <w:pPr>
              <w:pStyle w:val="41"/>
              <w:widowControl w:val="0"/>
              <w:rPr>
                <w:color w:val="auto"/>
                <w:highlight w:val="none"/>
              </w:rPr>
            </w:pPr>
            <w:r>
              <w:rPr>
                <w:rFonts w:hint="eastAsia"/>
                <w:color w:val="auto"/>
                <w:highlight w:val="none"/>
              </w:rPr>
              <w:t>1.铁路、高速公路、国道、省道等重要交通干线两侧200米范围以内（其中，禁止在铁路、国道、省道两侧的直观可视范围内进行露天开采），重要工业区、大型水利工程设施、城镇市政工程设施所在区域，军事管理区、机场、国防工程设施圈定的区域，居民聚集区1千米以内，伊犁河、额尔齐斯河等重点河流源头区，国家及自治区划定的重点流域Ⅰ、Ⅱ类和有饮用水取水口的Ⅲ类水体上游岸边1千米以内、其他Ⅲ类水体岸边200米以内，原则上不得建设涉及汞、镉、铬、铅、砷等重有色金属矿采选的工业场地、露天矿或尾矿库。存在山体等阻隔地形或建设人工地下水阻隔设施和严格防尘措施的，可适当放宽距离要求，具体根据专业机构论证结论确定。其他水体根据矿产资源开发利用结论和环境影响评价结论管控。</w:t>
            </w:r>
          </w:p>
        </w:tc>
        <w:tc>
          <w:tcPr>
            <w:tcW w:w="2275" w:type="dxa"/>
            <w:tcBorders>
              <w:tl2br w:val="nil"/>
              <w:tr2bl w:val="nil"/>
            </w:tcBorders>
            <w:vAlign w:val="center"/>
          </w:tcPr>
          <w:p w14:paraId="5F1522E7">
            <w:pPr>
              <w:pStyle w:val="41"/>
              <w:widowControl w:val="0"/>
              <w:rPr>
                <w:color w:val="auto"/>
                <w:highlight w:val="none"/>
              </w:rPr>
            </w:pPr>
            <w:r>
              <w:rPr>
                <w:rFonts w:hint="eastAsia"/>
                <w:color w:val="auto"/>
                <w:highlight w:val="none"/>
              </w:rPr>
              <w:t>本项目为铁、钛选矿厂，不涉及汞、镉、铬、铅、砷等重有色金属矿采选；尾矿库周边1km范围内无地表水体。</w:t>
            </w:r>
          </w:p>
        </w:tc>
        <w:tc>
          <w:tcPr>
            <w:tcW w:w="882" w:type="dxa"/>
            <w:tcBorders>
              <w:tl2br w:val="nil"/>
              <w:tr2bl w:val="nil"/>
            </w:tcBorders>
            <w:vAlign w:val="center"/>
          </w:tcPr>
          <w:p w14:paraId="0D48E262">
            <w:pPr>
              <w:pStyle w:val="41"/>
              <w:widowControl w:val="0"/>
              <w:rPr>
                <w:color w:val="auto"/>
                <w:highlight w:val="none"/>
              </w:rPr>
            </w:pPr>
            <w:r>
              <w:rPr>
                <w:rFonts w:hint="eastAsia"/>
                <w:color w:val="auto"/>
                <w:highlight w:val="none"/>
              </w:rPr>
              <w:t>符合</w:t>
            </w:r>
          </w:p>
        </w:tc>
      </w:tr>
      <w:tr w14:paraId="47FB72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7D0B7A3A">
            <w:pPr>
              <w:pStyle w:val="41"/>
              <w:widowControl w:val="0"/>
              <w:rPr>
                <w:color w:val="auto"/>
                <w:highlight w:val="none"/>
              </w:rPr>
            </w:pPr>
          </w:p>
        </w:tc>
        <w:tc>
          <w:tcPr>
            <w:tcW w:w="4778" w:type="dxa"/>
            <w:tcBorders>
              <w:tl2br w:val="nil"/>
              <w:tr2bl w:val="nil"/>
            </w:tcBorders>
            <w:vAlign w:val="center"/>
          </w:tcPr>
          <w:p w14:paraId="052EF551">
            <w:pPr>
              <w:pStyle w:val="41"/>
              <w:widowControl w:val="0"/>
              <w:rPr>
                <w:color w:val="auto"/>
                <w:highlight w:val="none"/>
              </w:rPr>
            </w:pPr>
            <w:r>
              <w:rPr>
                <w:rFonts w:hint="eastAsia"/>
                <w:color w:val="auto"/>
                <w:highlight w:val="none"/>
              </w:rPr>
              <w:t>2.尾矿库按《选矿厂尾矿设施设计规范》（ZBJ1）、《尾矿库安全监督管理规定》《尾矿库安全规程》（GB39496）、《关于印发〈尾矿库环境应急管理工作指南（试行）〉的通知》（环办〔2010〕138号）、《防范化解尾矿库安全风险工作方案》（应急〔2020〕15号）、《尾矿污染环境防治管理办法》（中华人民共和国生态环境部令第26号）、《尾矿库环境风险评估技术导则（试行）》（HJ740）等要求进行选址、建设、运行和闭库。</w:t>
            </w:r>
          </w:p>
        </w:tc>
        <w:tc>
          <w:tcPr>
            <w:tcW w:w="2275" w:type="dxa"/>
            <w:tcBorders>
              <w:tl2br w:val="nil"/>
              <w:tr2bl w:val="nil"/>
            </w:tcBorders>
            <w:vAlign w:val="center"/>
          </w:tcPr>
          <w:p w14:paraId="722B3995">
            <w:pPr>
              <w:pStyle w:val="41"/>
              <w:widowControl w:val="0"/>
              <w:rPr>
                <w:color w:val="auto"/>
                <w:highlight w:val="none"/>
              </w:rPr>
            </w:pPr>
            <w:r>
              <w:rPr>
                <w:rFonts w:hint="eastAsia"/>
                <w:color w:val="auto"/>
                <w:highlight w:val="none"/>
              </w:rPr>
              <w:t>本项目尾矿设计均按《选矿厂尾矿设施设计规范》（ZBJ1）、《尾矿库安全监督管理规定》《尾矿库安全规程》（GB39496）、《关于印发〈尾矿库环境应急管理工作指南（试行）〉的通知》《防范化解尾矿库安全风险工作方案》《尾矿污染环境防治管理办法》等设计</w:t>
            </w:r>
          </w:p>
        </w:tc>
        <w:tc>
          <w:tcPr>
            <w:tcW w:w="882" w:type="dxa"/>
            <w:tcBorders>
              <w:tl2br w:val="nil"/>
              <w:tr2bl w:val="nil"/>
            </w:tcBorders>
            <w:vAlign w:val="center"/>
          </w:tcPr>
          <w:p w14:paraId="005FA55D">
            <w:pPr>
              <w:pStyle w:val="41"/>
              <w:widowControl w:val="0"/>
              <w:rPr>
                <w:color w:val="auto"/>
                <w:highlight w:val="none"/>
              </w:rPr>
            </w:pPr>
            <w:r>
              <w:rPr>
                <w:rFonts w:hint="eastAsia"/>
                <w:color w:val="auto"/>
                <w:highlight w:val="none"/>
              </w:rPr>
              <w:t>符合</w:t>
            </w:r>
          </w:p>
        </w:tc>
      </w:tr>
      <w:tr w14:paraId="0C16F5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7D9BDD57">
            <w:pPr>
              <w:pStyle w:val="41"/>
              <w:widowControl w:val="0"/>
              <w:rPr>
                <w:color w:val="auto"/>
                <w:highlight w:val="none"/>
              </w:rPr>
            </w:pPr>
          </w:p>
        </w:tc>
        <w:tc>
          <w:tcPr>
            <w:tcW w:w="4778" w:type="dxa"/>
            <w:tcBorders>
              <w:tl2br w:val="nil"/>
              <w:tr2bl w:val="nil"/>
            </w:tcBorders>
            <w:vAlign w:val="center"/>
          </w:tcPr>
          <w:p w14:paraId="6E1E6331">
            <w:pPr>
              <w:pStyle w:val="41"/>
              <w:widowControl w:val="0"/>
              <w:rPr>
                <w:color w:val="auto"/>
                <w:highlight w:val="none"/>
              </w:rPr>
            </w:pPr>
            <w:r>
              <w:rPr>
                <w:rFonts w:hint="eastAsia"/>
                <w:color w:val="auto"/>
                <w:highlight w:val="none"/>
              </w:rPr>
              <w:t>3.废石堆场及尾矿库选址应达到《一般工业固体废物贮存和填埋污染控制标准》（GB18599）要求，对不明确是否具有危险特性的尾矿砂，应当按照国家规定的危险废物鉴别标准和鉴别方法进行鉴别，经鉴别属于危险废物的按危险废物依法依规管理，其贮存设施应符合《危险废物贮存污染控制标准》（GB18597）。</w:t>
            </w:r>
          </w:p>
        </w:tc>
        <w:tc>
          <w:tcPr>
            <w:tcW w:w="2275" w:type="dxa"/>
            <w:tcBorders>
              <w:tl2br w:val="nil"/>
              <w:tr2bl w:val="nil"/>
            </w:tcBorders>
            <w:vAlign w:val="center"/>
          </w:tcPr>
          <w:p w14:paraId="09B72554">
            <w:pPr>
              <w:pStyle w:val="41"/>
              <w:widowControl w:val="0"/>
              <w:rPr>
                <w:color w:val="auto"/>
                <w:highlight w:val="none"/>
              </w:rPr>
            </w:pPr>
            <w:r>
              <w:rPr>
                <w:rFonts w:hint="eastAsia"/>
                <w:color w:val="auto"/>
                <w:highlight w:val="none"/>
              </w:rPr>
              <w:t>本项目废石运往采矿排土场堆放；本项目尾矿为一般工业固体废物，且尾矿库选址符合《一般工业固体废物贮存和填埋污染控制标准》（GB18599）要求建设。</w:t>
            </w:r>
          </w:p>
        </w:tc>
        <w:tc>
          <w:tcPr>
            <w:tcW w:w="882" w:type="dxa"/>
            <w:tcBorders>
              <w:tl2br w:val="nil"/>
              <w:tr2bl w:val="nil"/>
            </w:tcBorders>
            <w:vAlign w:val="center"/>
          </w:tcPr>
          <w:p w14:paraId="4B0A7698">
            <w:pPr>
              <w:pStyle w:val="41"/>
              <w:widowControl w:val="0"/>
              <w:rPr>
                <w:color w:val="auto"/>
                <w:highlight w:val="none"/>
              </w:rPr>
            </w:pPr>
            <w:r>
              <w:rPr>
                <w:rFonts w:hint="eastAsia"/>
                <w:color w:val="auto"/>
                <w:highlight w:val="none"/>
              </w:rPr>
              <w:t>符合</w:t>
            </w:r>
          </w:p>
        </w:tc>
      </w:tr>
      <w:tr w14:paraId="7C0BBF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Borders>
              <w:tl2br w:val="nil"/>
              <w:tr2bl w:val="nil"/>
            </w:tcBorders>
            <w:vAlign w:val="center"/>
          </w:tcPr>
          <w:p w14:paraId="6B094821">
            <w:pPr>
              <w:pStyle w:val="41"/>
              <w:widowControl w:val="0"/>
              <w:rPr>
                <w:color w:val="auto"/>
                <w:highlight w:val="none"/>
              </w:rPr>
            </w:pPr>
            <w:r>
              <w:rPr>
                <w:rFonts w:hint="eastAsia"/>
                <w:color w:val="auto"/>
                <w:highlight w:val="none"/>
              </w:rPr>
              <w:t>污染防治与环境影响</w:t>
            </w:r>
          </w:p>
        </w:tc>
        <w:tc>
          <w:tcPr>
            <w:tcW w:w="4778" w:type="dxa"/>
            <w:tcBorders>
              <w:tl2br w:val="nil"/>
              <w:tr2bl w:val="nil"/>
            </w:tcBorders>
            <w:vAlign w:val="center"/>
          </w:tcPr>
          <w:p w14:paraId="6546DE25">
            <w:pPr>
              <w:pStyle w:val="41"/>
              <w:widowControl w:val="0"/>
              <w:rPr>
                <w:color w:val="auto"/>
                <w:highlight w:val="none"/>
              </w:rPr>
            </w:pPr>
            <w:r>
              <w:rPr>
                <w:rFonts w:hint="eastAsia"/>
                <w:color w:val="auto"/>
                <w:highlight w:val="none"/>
              </w:rPr>
              <w:t>1.铝矿采选执行《铝工业污染物排放标准》（GB25465），铅锌矿采选执行《铅、锌工业污染物排放标准》（GB25466），铜镍矿采选执行《铜、镍、钴工业污染物排放标准》（GB25467），稀土矿采选执行《稀土工业污染物排放标准》（GB26451），铁矿采选执行《铁矿采选工业污染物排放标准》（GB28661），钒矿采选执行《钒工业污染物排放标准》（GB26452），镁、钛矿采选执行《镁、钛工业污染物排放标准》（GB25468）。</w:t>
            </w:r>
          </w:p>
        </w:tc>
        <w:tc>
          <w:tcPr>
            <w:tcW w:w="2275" w:type="dxa"/>
            <w:tcBorders>
              <w:tl2br w:val="nil"/>
              <w:tr2bl w:val="nil"/>
            </w:tcBorders>
            <w:vAlign w:val="center"/>
          </w:tcPr>
          <w:p w14:paraId="217F7344">
            <w:pPr>
              <w:pStyle w:val="41"/>
              <w:widowControl w:val="0"/>
              <w:rPr>
                <w:color w:val="auto"/>
                <w:highlight w:val="none"/>
              </w:rPr>
            </w:pPr>
            <w:r>
              <w:rPr>
                <w:rFonts w:hint="eastAsia"/>
                <w:color w:val="auto"/>
                <w:highlight w:val="none"/>
              </w:rPr>
              <w:t>本项目执行《铁矿采选工业污染物排放标准》（GB28661）。</w:t>
            </w:r>
          </w:p>
        </w:tc>
        <w:tc>
          <w:tcPr>
            <w:tcW w:w="882" w:type="dxa"/>
            <w:tcBorders>
              <w:tl2br w:val="nil"/>
              <w:tr2bl w:val="nil"/>
            </w:tcBorders>
            <w:vAlign w:val="center"/>
          </w:tcPr>
          <w:p w14:paraId="4F70F6B7">
            <w:pPr>
              <w:pStyle w:val="41"/>
              <w:widowControl w:val="0"/>
              <w:rPr>
                <w:color w:val="auto"/>
                <w:highlight w:val="none"/>
              </w:rPr>
            </w:pPr>
            <w:r>
              <w:rPr>
                <w:rFonts w:hint="eastAsia"/>
                <w:color w:val="auto"/>
                <w:highlight w:val="none"/>
              </w:rPr>
              <w:t>符合</w:t>
            </w:r>
          </w:p>
        </w:tc>
      </w:tr>
      <w:tr w14:paraId="1BB537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65FED57D">
            <w:pPr>
              <w:pStyle w:val="41"/>
              <w:widowControl w:val="0"/>
              <w:rPr>
                <w:color w:val="auto"/>
                <w:highlight w:val="none"/>
              </w:rPr>
            </w:pPr>
          </w:p>
        </w:tc>
        <w:tc>
          <w:tcPr>
            <w:tcW w:w="4778" w:type="dxa"/>
            <w:tcBorders>
              <w:tl2br w:val="nil"/>
              <w:tr2bl w:val="nil"/>
            </w:tcBorders>
            <w:vAlign w:val="center"/>
          </w:tcPr>
          <w:p w14:paraId="6D62C0AB">
            <w:pPr>
              <w:pStyle w:val="41"/>
              <w:widowControl w:val="0"/>
              <w:rPr>
                <w:color w:val="auto"/>
                <w:highlight w:val="none"/>
              </w:rPr>
            </w:pPr>
            <w:r>
              <w:rPr>
                <w:rFonts w:hint="eastAsia"/>
                <w:color w:val="auto"/>
                <w:highlight w:val="none"/>
              </w:rPr>
              <w:t>2.矿井涌水、矿坑涌水、选矿废水应优先用于生产工艺、降尘、绿化等，废水综合利用率应达到相关综合利用标准要求。采选废水排放有行业标准的应达到行业标准要求，无行业标准的应达到《污水综合排放标准》（GB8978）要求。生活污水处理达标后尽量综合利用，边远矿区的生活污水排放和综合利用可参照《农村生活污水处理排放标准》（DB6</w:t>
            </w:r>
            <w:r>
              <w:rPr>
                <w:color w:val="auto"/>
                <w:highlight w:val="none"/>
              </w:rPr>
              <w:t>5</w:t>
            </w:r>
            <w:r>
              <w:rPr>
                <w:rFonts w:hint="eastAsia"/>
                <w:color w:val="auto"/>
                <w:highlight w:val="none"/>
              </w:rPr>
              <w:t>/4275）要求管控。</w:t>
            </w:r>
          </w:p>
        </w:tc>
        <w:tc>
          <w:tcPr>
            <w:tcW w:w="2275" w:type="dxa"/>
            <w:tcBorders>
              <w:tl2br w:val="nil"/>
              <w:tr2bl w:val="nil"/>
            </w:tcBorders>
            <w:vAlign w:val="center"/>
          </w:tcPr>
          <w:p w14:paraId="0F8276A1">
            <w:pPr>
              <w:pStyle w:val="41"/>
              <w:widowControl w:val="0"/>
              <w:rPr>
                <w:color w:val="auto"/>
                <w:highlight w:val="none"/>
              </w:rPr>
            </w:pPr>
            <w:r>
              <w:rPr>
                <w:rFonts w:hint="eastAsia"/>
                <w:color w:val="auto"/>
                <w:highlight w:val="none"/>
              </w:rPr>
              <w:t>本项目选矿废水采用闭路循环设施，生活污水经处理后满足</w:t>
            </w:r>
            <w:r>
              <w:rPr>
                <w:rFonts w:hint="eastAsia"/>
                <w:color w:val="auto"/>
                <w:highlight w:val="none"/>
                <w:lang w:eastAsia="zh-CN"/>
              </w:rPr>
              <w:t>《城市污水再生利用—城市杂用水水质》（GB/T18920-2020）</w:t>
            </w:r>
            <w:r>
              <w:rPr>
                <w:rFonts w:hint="eastAsia"/>
                <w:color w:val="auto"/>
                <w:highlight w:val="none"/>
              </w:rPr>
              <w:t>全部综合利用。</w:t>
            </w:r>
          </w:p>
        </w:tc>
        <w:tc>
          <w:tcPr>
            <w:tcW w:w="882" w:type="dxa"/>
            <w:tcBorders>
              <w:tl2br w:val="nil"/>
              <w:tr2bl w:val="nil"/>
            </w:tcBorders>
            <w:vAlign w:val="center"/>
          </w:tcPr>
          <w:p w14:paraId="48DFE831">
            <w:pPr>
              <w:pStyle w:val="41"/>
              <w:widowControl w:val="0"/>
              <w:rPr>
                <w:color w:val="auto"/>
                <w:highlight w:val="none"/>
              </w:rPr>
            </w:pPr>
            <w:r>
              <w:rPr>
                <w:rFonts w:hint="eastAsia"/>
                <w:color w:val="auto"/>
                <w:highlight w:val="none"/>
              </w:rPr>
              <w:t>符合</w:t>
            </w:r>
          </w:p>
        </w:tc>
      </w:tr>
      <w:tr w14:paraId="07E3CA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665EA047">
            <w:pPr>
              <w:pStyle w:val="41"/>
              <w:widowControl w:val="0"/>
              <w:rPr>
                <w:color w:val="auto"/>
                <w:highlight w:val="none"/>
              </w:rPr>
            </w:pPr>
          </w:p>
        </w:tc>
        <w:tc>
          <w:tcPr>
            <w:tcW w:w="4778" w:type="dxa"/>
            <w:tcBorders>
              <w:tl2br w:val="nil"/>
              <w:tr2bl w:val="nil"/>
            </w:tcBorders>
            <w:vAlign w:val="center"/>
          </w:tcPr>
          <w:p w14:paraId="78BDB125">
            <w:pPr>
              <w:pStyle w:val="41"/>
              <w:widowControl w:val="0"/>
              <w:rPr>
                <w:color w:val="auto"/>
                <w:highlight w:val="none"/>
              </w:rPr>
            </w:pPr>
            <w:r>
              <w:rPr>
                <w:rFonts w:hint="eastAsia"/>
                <w:color w:val="auto"/>
                <w:highlight w:val="none"/>
              </w:rPr>
              <w:t>3.采选活动矿石转运、破碎、筛分等粉尘产生工序，应配备抑尘、除尘设备，除尘效率不低于99%，有效控制无组织粉尘排放。采选矿各环节废气排放有行业标准的应达到行业标准要求，无行业标准的应达到《大气污染物综合排放标准》（GB16297）要求。</w:t>
            </w:r>
          </w:p>
        </w:tc>
        <w:tc>
          <w:tcPr>
            <w:tcW w:w="2275" w:type="dxa"/>
            <w:tcBorders>
              <w:tl2br w:val="nil"/>
              <w:tr2bl w:val="nil"/>
            </w:tcBorders>
            <w:vAlign w:val="center"/>
          </w:tcPr>
          <w:p w14:paraId="5A74DBE5">
            <w:pPr>
              <w:pStyle w:val="41"/>
              <w:widowControl w:val="0"/>
              <w:rPr>
                <w:color w:val="auto"/>
                <w:highlight w:val="none"/>
              </w:rPr>
            </w:pPr>
            <w:r>
              <w:rPr>
                <w:rFonts w:hint="eastAsia"/>
                <w:color w:val="auto"/>
                <w:highlight w:val="none"/>
              </w:rPr>
              <w:t>本项目矿石转运采取苫盖措施；破碎、筛分粉尘采用“</w:t>
            </w:r>
            <w:r>
              <w:rPr>
                <w:color w:val="auto"/>
                <w:highlight w:val="none"/>
              </w:rPr>
              <w:t>集气罩+布袋除尘器</w:t>
            </w:r>
            <w:r>
              <w:rPr>
                <w:rFonts w:hint="eastAsia"/>
                <w:color w:val="auto"/>
                <w:highlight w:val="none"/>
              </w:rPr>
              <w:t>”</w:t>
            </w:r>
            <w:r>
              <w:rPr>
                <w:color w:val="auto"/>
                <w:highlight w:val="none"/>
              </w:rPr>
              <w:t>，</w:t>
            </w:r>
            <w:r>
              <w:rPr>
                <w:rFonts w:hint="eastAsia"/>
                <w:color w:val="auto"/>
                <w:highlight w:val="none"/>
              </w:rPr>
              <w:t>除尘效率达到99%，满足《铁矿采选工业污染物排放标准》（GB28661）。</w:t>
            </w:r>
          </w:p>
        </w:tc>
        <w:tc>
          <w:tcPr>
            <w:tcW w:w="882" w:type="dxa"/>
            <w:tcBorders>
              <w:tl2br w:val="nil"/>
              <w:tr2bl w:val="nil"/>
            </w:tcBorders>
            <w:vAlign w:val="center"/>
          </w:tcPr>
          <w:p w14:paraId="664EDCD7">
            <w:pPr>
              <w:pStyle w:val="41"/>
              <w:widowControl w:val="0"/>
              <w:rPr>
                <w:color w:val="auto"/>
                <w:highlight w:val="none"/>
              </w:rPr>
            </w:pPr>
            <w:r>
              <w:rPr>
                <w:rFonts w:hint="eastAsia"/>
                <w:color w:val="auto"/>
                <w:highlight w:val="none"/>
              </w:rPr>
              <w:t>符合</w:t>
            </w:r>
          </w:p>
        </w:tc>
      </w:tr>
      <w:tr w14:paraId="67A1F3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01289D14">
            <w:pPr>
              <w:pStyle w:val="41"/>
              <w:widowControl w:val="0"/>
              <w:rPr>
                <w:color w:val="auto"/>
                <w:highlight w:val="none"/>
              </w:rPr>
            </w:pPr>
          </w:p>
        </w:tc>
        <w:tc>
          <w:tcPr>
            <w:tcW w:w="4778" w:type="dxa"/>
            <w:tcBorders>
              <w:tl2br w:val="nil"/>
              <w:tr2bl w:val="nil"/>
            </w:tcBorders>
            <w:vAlign w:val="center"/>
          </w:tcPr>
          <w:p w14:paraId="37BDD177">
            <w:pPr>
              <w:pStyle w:val="41"/>
              <w:widowControl w:val="0"/>
              <w:rPr>
                <w:color w:val="auto"/>
                <w:highlight w:val="none"/>
              </w:rPr>
            </w:pPr>
            <w:r>
              <w:rPr>
                <w:rFonts w:hint="eastAsia"/>
                <w:color w:val="auto"/>
                <w:highlight w:val="none"/>
              </w:rPr>
              <w:t>4.噪声排放执行《工业企业厂界环境噪声排放标准》（GB12348）。</w:t>
            </w:r>
          </w:p>
        </w:tc>
        <w:tc>
          <w:tcPr>
            <w:tcW w:w="2275" w:type="dxa"/>
            <w:tcBorders>
              <w:tl2br w:val="nil"/>
              <w:tr2bl w:val="nil"/>
            </w:tcBorders>
            <w:vAlign w:val="center"/>
          </w:tcPr>
          <w:p w14:paraId="1F8FC183">
            <w:pPr>
              <w:pStyle w:val="41"/>
              <w:widowControl w:val="0"/>
              <w:rPr>
                <w:color w:val="auto"/>
                <w:highlight w:val="none"/>
              </w:rPr>
            </w:pPr>
            <w:r>
              <w:rPr>
                <w:rFonts w:hint="eastAsia"/>
                <w:color w:val="auto"/>
                <w:highlight w:val="none"/>
              </w:rPr>
              <w:t>厂界噪声执行《工业企业厂界环境噪声排放标准》中的</w:t>
            </w:r>
            <w:r>
              <w:rPr>
                <w:rFonts w:hint="eastAsia"/>
                <w:color w:val="auto"/>
                <w:highlight w:val="none"/>
                <w:lang w:val="en-US" w:eastAsia="zh-CN"/>
              </w:rPr>
              <w:t>2</w:t>
            </w:r>
            <w:r>
              <w:rPr>
                <w:rFonts w:hint="eastAsia"/>
                <w:color w:val="auto"/>
                <w:highlight w:val="none"/>
              </w:rPr>
              <w:t>类限制。</w:t>
            </w:r>
          </w:p>
        </w:tc>
        <w:tc>
          <w:tcPr>
            <w:tcW w:w="882" w:type="dxa"/>
            <w:tcBorders>
              <w:tl2br w:val="nil"/>
              <w:tr2bl w:val="nil"/>
            </w:tcBorders>
            <w:vAlign w:val="center"/>
          </w:tcPr>
          <w:p w14:paraId="631F0D60">
            <w:pPr>
              <w:pStyle w:val="41"/>
              <w:widowControl w:val="0"/>
              <w:rPr>
                <w:color w:val="auto"/>
                <w:highlight w:val="none"/>
              </w:rPr>
            </w:pPr>
            <w:r>
              <w:rPr>
                <w:rFonts w:hint="eastAsia"/>
                <w:color w:val="auto"/>
                <w:highlight w:val="none"/>
              </w:rPr>
              <w:t>符合</w:t>
            </w:r>
          </w:p>
        </w:tc>
      </w:tr>
      <w:tr w14:paraId="12639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16766DBE">
            <w:pPr>
              <w:pStyle w:val="41"/>
              <w:widowControl w:val="0"/>
              <w:rPr>
                <w:color w:val="auto"/>
                <w:highlight w:val="none"/>
              </w:rPr>
            </w:pPr>
          </w:p>
        </w:tc>
        <w:tc>
          <w:tcPr>
            <w:tcW w:w="4778" w:type="dxa"/>
            <w:tcBorders>
              <w:tl2br w:val="nil"/>
              <w:tr2bl w:val="nil"/>
            </w:tcBorders>
            <w:vAlign w:val="center"/>
          </w:tcPr>
          <w:p w14:paraId="469A4A00">
            <w:pPr>
              <w:pStyle w:val="41"/>
              <w:widowControl w:val="0"/>
              <w:rPr>
                <w:color w:val="auto"/>
                <w:highlight w:val="none"/>
              </w:rPr>
            </w:pPr>
            <w:r>
              <w:rPr>
                <w:rFonts w:hint="eastAsia"/>
                <w:color w:val="auto"/>
                <w:highlight w:val="none"/>
              </w:rPr>
              <w:t>5.鼓励对废石、尾矿砂进行多途径综合利用，因地制宜选择合理的综合利用方式，提高综合利用率，其处置与综合利用应符合国家及行业相关标准和规范要求。废石和尾矿砂应根据《一般工业固体废物贮存和填埋污染控制标准》（GB18599）进行管理，属危险废物的按危险废物相关要求依法依规进行管理，其贮存设施应符合《危险废物贮存污染控制标准》（GB18597）。生活垃圾实现100%无害化处置。</w:t>
            </w:r>
          </w:p>
        </w:tc>
        <w:tc>
          <w:tcPr>
            <w:tcW w:w="2275" w:type="dxa"/>
            <w:tcBorders>
              <w:tl2br w:val="nil"/>
              <w:tr2bl w:val="nil"/>
            </w:tcBorders>
            <w:vAlign w:val="center"/>
          </w:tcPr>
          <w:p w14:paraId="1DA479CE">
            <w:pPr>
              <w:pStyle w:val="41"/>
              <w:widowControl w:val="0"/>
              <w:rPr>
                <w:color w:val="auto"/>
                <w:highlight w:val="none"/>
              </w:rPr>
            </w:pPr>
            <w:r>
              <w:rPr>
                <w:rFonts w:hint="eastAsia"/>
                <w:color w:val="auto"/>
                <w:highlight w:val="none"/>
              </w:rPr>
              <w:t>本项目废石和尾矿砂为一般工业固废，全部按照《一般工业固体废物贮存和填埋污染控制标准》（</w:t>
            </w:r>
            <w:r>
              <w:rPr>
                <w:rFonts w:hint="eastAsia"/>
                <w:color w:val="auto"/>
                <w:highlight w:val="none"/>
                <w:lang w:eastAsia="zh-CN"/>
              </w:rPr>
              <w:t>GB 18599</w:t>
            </w:r>
            <w:r>
              <w:rPr>
                <w:rFonts w:hint="eastAsia"/>
                <w:color w:val="auto"/>
                <w:highlight w:val="none"/>
              </w:rPr>
              <w:t>）进行管理。</w:t>
            </w:r>
          </w:p>
        </w:tc>
        <w:tc>
          <w:tcPr>
            <w:tcW w:w="882" w:type="dxa"/>
            <w:tcBorders>
              <w:tl2br w:val="nil"/>
              <w:tr2bl w:val="nil"/>
            </w:tcBorders>
            <w:vAlign w:val="center"/>
          </w:tcPr>
          <w:p w14:paraId="21E74E92">
            <w:pPr>
              <w:pStyle w:val="41"/>
              <w:widowControl w:val="0"/>
              <w:rPr>
                <w:color w:val="auto"/>
                <w:highlight w:val="none"/>
              </w:rPr>
            </w:pPr>
            <w:r>
              <w:rPr>
                <w:rFonts w:hint="eastAsia"/>
                <w:color w:val="auto"/>
                <w:highlight w:val="none"/>
              </w:rPr>
              <w:t>符合</w:t>
            </w:r>
          </w:p>
        </w:tc>
      </w:tr>
    </w:tbl>
    <w:p w14:paraId="32D83028">
      <w:pPr>
        <w:pStyle w:val="3"/>
        <w:ind w:firstLine="480"/>
        <w:rPr>
          <w:color w:val="auto"/>
          <w:highlight w:val="none"/>
        </w:rPr>
      </w:pPr>
      <w:r>
        <w:rPr>
          <w:color w:val="auto"/>
          <w:highlight w:val="none"/>
        </w:rPr>
        <w:t>综上，本项目符合《新疆维吾尔自治区重点行业生态环境准入条件（2024年）》</w:t>
      </w:r>
      <w:r>
        <w:rPr>
          <w:rFonts w:hint="eastAsia"/>
          <w:color w:val="auto"/>
          <w:highlight w:val="none"/>
        </w:rPr>
        <w:t>中</w:t>
      </w:r>
      <w:r>
        <w:rPr>
          <w:color w:val="auto"/>
          <w:highlight w:val="none"/>
        </w:rPr>
        <w:t>关于金属矿采选行业的相关要求。</w:t>
      </w:r>
    </w:p>
    <w:p w14:paraId="4B774D14">
      <w:pPr>
        <w:pStyle w:val="42"/>
        <w:rPr>
          <w:rFonts w:hint="default"/>
          <w:color w:val="auto"/>
          <w:highlight w:val="none"/>
        </w:rPr>
      </w:pPr>
      <w:r>
        <w:rPr>
          <w:rFonts w:hint="default"/>
          <w:color w:val="auto"/>
          <w:highlight w:val="none"/>
        </w:rPr>
        <w:t>与《</w:t>
      </w:r>
      <w:r>
        <w:rPr>
          <w:rFonts w:hint="eastAsia"/>
          <w:color w:val="auto"/>
          <w:highlight w:val="none"/>
          <w:lang w:eastAsia="zh-CN"/>
        </w:rPr>
        <w:t>克孜勒苏柯尔克孜自治州国民经济和社会发展第十五个五年规划纲要</w:t>
      </w:r>
      <w:r>
        <w:rPr>
          <w:rFonts w:hint="default"/>
          <w:color w:val="auto"/>
          <w:highlight w:val="none"/>
        </w:rPr>
        <w:t>》符合性分析</w:t>
      </w:r>
    </w:p>
    <w:p w14:paraId="3AD4CBBD">
      <w:pPr>
        <w:pStyle w:val="3"/>
        <w:ind w:firstLine="480"/>
        <w:rPr>
          <w:color w:val="auto"/>
          <w:highlight w:val="none"/>
        </w:rPr>
      </w:pPr>
      <w:r>
        <w:rPr>
          <w:color w:val="auto"/>
          <w:highlight w:val="none"/>
        </w:rPr>
        <w:t>根据《</w:t>
      </w:r>
      <w:r>
        <w:rPr>
          <w:rFonts w:hint="eastAsia"/>
          <w:color w:val="auto"/>
          <w:highlight w:val="none"/>
          <w:lang w:eastAsia="zh-CN"/>
        </w:rPr>
        <w:t>克孜勒苏柯尔克孜自治州国民经济和社会发展第十五个五年规划纲要</w:t>
      </w:r>
      <w:r>
        <w:rPr>
          <w:color w:val="auto"/>
          <w:highlight w:val="none"/>
        </w:rPr>
        <w:t>》：</w:t>
      </w:r>
    </w:p>
    <w:p w14:paraId="78A390E5">
      <w:pPr>
        <w:pStyle w:val="3"/>
        <w:keepNext w:val="0"/>
        <w:keepLines w:val="0"/>
        <w:widowControl/>
        <w:suppressLineNumbers w:val="0"/>
        <w:shd w:val="clear" w:fill="FFFFFF"/>
        <w:ind w:firstLine="480"/>
        <w:rPr>
          <w:rFonts w:ascii="Times New Roman" w:hAnsi="Times New Roman" w:eastAsia="华文中宋" w:cs="Times New Roman"/>
          <w:b w:val="0"/>
          <w:bCs w:val="0"/>
          <w:i w:val="0"/>
          <w:iCs w:val="0"/>
          <w:caps w:val="0"/>
          <w:color w:val="auto"/>
          <w:spacing w:val="0"/>
          <w:sz w:val="24"/>
          <w:szCs w:val="24"/>
          <w:highlight w:val="none"/>
        </w:rPr>
      </w:pPr>
      <w:r>
        <w:rPr>
          <w:rStyle w:val="27"/>
          <w:rFonts w:hint="default" w:ascii="Times New Roman" w:hAnsi="Times New Roman" w:eastAsia="华文中宋" w:cs="Times New Roman"/>
          <w:b w:val="0"/>
          <w:bCs w:val="0"/>
          <w:i w:val="0"/>
          <w:iCs w:val="0"/>
          <w:caps w:val="0"/>
          <w:color w:val="auto"/>
          <w:spacing w:val="0"/>
          <w:sz w:val="24"/>
          <w:szCs w:val="24"/>
          <w:highlight w:val="none"/>
          <w:shd w:val="clear" w:fill="FFFFFF"/>
        </w:rPr>
        <w:t>第四章  积极融入全国能源资源战略保障基地建设建设特色优势现代化产业体系</w:t>
      </w:r>
    </w:p>
    <w:p w14:paraId="68931E88">
      <w:pPr>
        <w:pStyle w:val="3"/>
        <w:keepNext w:val="0"/>
        <w:keepLines w:val="0"/>
        <w:widowControl/>
        <w:suppressLineNumbers w:val="0"/>
        <w:shd w:val="clear" w:fill="FFFFFF"/>
        <w:ind w:firstLine="480"/>
        <w:rPr>
          <w:rFonts w:ascii="Times New Roman" w:hAnsi="Times New Roman" w:eastAsia="华文中宋" w:cs="Times New Roman"/>
          <w:b w:val="0"/>
          <w:bCs w:val="0"/>
          <w:i w:val="0"/>
          <w:iCs w:val="0"/>
          <w:caps w:val="0"/>
          <w:color w:val="auto"/>
          <w:spacing w:val="0"/>
          <w:sz w:val="24"/>
          <w:szCs w:val="24"/>
          <w:highlight w:val="none"/>
        </w:rPr>
      </w:pPr>
      <w:r>
        <w:rPr>
          <w:rFonts w:hint="default" w:ascii="Times New Roman" w:hAnsi="Times New Roman" w:eastAsia="华文中宋" w:cs="Times New Roman"/>
          <w:b w:val="0"/>
          <w:bCs w:val="0"/>
          <w:i w:val="0"/>
          <w:iCs w:val="0"/>
          <w:caps w:val="0"/>
          <w:color w:val="auto"/>
          <w:spacing w:val="0"/>
          <w:sz w:val="24"/>
          <w:szCs w:val="24"/>
          <w:highlight w:val="none"/>
          <w:shd w:val="clear" w:fill="FFFFFF"/>
        </w:rPr>
        <w:t>第二节  大力发展绿色矿业及加工产业</w:t>
      </w:r>
    </w:p>
    <w:p w14:paraId="2C019358">
      <w:pPr>
        <w:pStyle w:val="3"/>
        <w:ind w:firstLine="480"/>
        <w:rPr>
          <w:color w:val="auto"/>
          <w:highlight w:val="none"/>
        </w:rPr>
      </w:pPr>
      <w:r>
        <w:rPr>
          <w:rFonts w:hint="eastAsia"/>
          <w:b/>
          <w:bCs/>
          <w:color w:val="auto"/>
          <w:highlight w:val="none"/>
        </w:rPr>
        <w:t>加大六大优势矿产资源开发和精深加工力度。</w:t>
      </w:r>
      <w:r>
        <w:rPr>
          <w:rFonts w:hint="eastAsia"/>
          <w:color w:val="auto"/>
          <w:highlight w:val="none"/>
        </w:rPr>
        <w:t>优化矿产资源开发布局，</w:t>
      </w:r>
      <w:r>
        <w:rPr>
          <w:rFonts w:hint="eastAsia"/>
          <w:b/>
          <w:bCs/>
          <w:color w:val="auto"/>
          <w:highlight w:val="none"/>
        </w:rPr>
        <w:t>加快培育乌恰铅锌黄金铜、阿图什钒钛</w:t>
      </w:r>
      <w:r>
        <w:rPr>
          <w:rFonts w:hint="eastAsia"/>
          <w:color w:val="auto"/>
          <w:highlight w:val="none"/>
        </w:rPr>
        <w:t>、阿克陶锰铁黄金、阿合奇铜黄金等产业集群，大力推进矿产资源采选冶产业升级改造，不断提高冶炼加工能力。加快推动矿产资源建链延链补链，延伸发展锰基、锌基、铜基、钒基、钛基、铁基、硅基、镁基等优质新材料，重点发展锌合金、铜材、还原铁、特钢、钛材、钛白粉、新能源电池材料等高附加值产品，全面构建绿色矿业全产业链发展格局。</w:t>
      </w:r>
    </w:p>
    <w:p w14:paraId="26FACC7B">
      <w:pPr>
        <w:pStyle w:val="3"/>
        <w:ind w:firstLine="480"/>
        <w:rPr>
          <w:color w:val="auto"/>
          <w:highlight w:val="none"/>
        </w:rPr>
      </w:pPr>
      <w:r>
        <w:rPr>
          <w:color w:val="auto"/>
          <w:highlight w:val="none"/>
        </w:rPr>
        <w:t>本项目为</w:t>
      </w:r>
      <w:r>
        <w:rPr>
          <w:rFonts w:hint="eastAsia"/>
          <w:color w:val="auto"/>
          <w:highlight w:val="none"/>
        </w:rPr>
        <w:t>阿图什市环球矿业钒钛磁铁矿</w:t>
      </w:r>
      <w:r>
        <w:rPr>
          <w:rFonts w:hint="eastAsia"/>
          <w:color w:val="auto"/>
          <w:highlight w:val="none"/>
          <w:lang w:eastAsia="zh-CN"/>
        </w:rPr>
        <w:t>配套建设的</w:t>
      </w:r>
      <w:r>
        <w:rPr>
          <w:color w:val="auto"/>
          <w:highlight w:val="none"/>
        </w:rPr>
        <w:t>选矿工程，符合《</w:t>
      </w:r>
      <w:r>
        <w:rPr>
          <w:rFonts w:hint="eastAsia"/>
          <w:color w:val="auto"/>
          <w:highlight w:val="none"/>
          <w:lang w:eastAsia="zh-CN"/>
        </w:rPr>
        <w:t>克孜勒苏柯尔克孜自治州国民经济和社会发展第十五个五年规划纲要</w:t>
      </w:r>
      <w:r>
        <w:rPr>
          <w:color w:val="auto"/>
          <w:highlight w:val="none"/>
        </w:rPr>
        <w:t>》。</w:t>
      </w:r>
    </w:p>
    <w:p w14:paraId="7E835FA6">
      <w:pPr>
        <w:pStyle w:val="42"/>
        <w:rPr>
          <w:rFonts w:hint="default"/>
          <w:color w:val="auto"/>
          <w:highlight w:val="none"/>
        </w:rPr>
      </w:pPr>
      <w:r>
        <w:rPr>
          <w:rFonts w:hint="default"/>
          <w:color w:val="auto"/>
          <w:highlight w:val="none"/>
        </w:rPr>
        <w:t>与《阿图什市国民经济和社会发展第十四个五年规划和2035年远景目标纲要》符合性分析</w:t>
      </w:r>
    </w:p>
    <w:p w14:paraId="10F962C3">
      <w:pPr>
        <w:pStyle w:val="3"/>
        <w:ind w:firstLine="480"/>
        <w:rPr>
          <w:color w:val="auto"/>
          <w:highlight w:val="none"/>
        </w:rPr>
      </w:pPr>
      <w:r>
        <w:rPr>
          <w:color w:val="auto"/>
          <w:highlight w:val="none"/>
        </w:rPr>
        <w:t>第五章 坚持工业强市，构建现代产业体系</w:t>
      </w:r>
    </w:p>
    <w:p w14:paraId="4A4E8544">
      <w:pPr>
        <w:pStyle w:val="3"/>
        <w:ind w:firstLine="480"/>
        <w:rPr>
          <w:color w:val="auto"/>
          <w:highlight w:val="none"/>
        </w:rPr>
      </w:pPr>
      <w:r>
        <w:rPr>
          <w:color w:val="auto"/>
          <w:highlight w:val="none"/>
        </w:rPr>
        <w:t>坚持把发展经济的着力点放在实体经济上，坚定不移走新型工业化道路，加快推进传统产业向中高端迈进，积极发展</w:t>
      </w:r>
      <w:r>
        <w:rPr>
          <w:rFonts w:hint="eastAsia"/>
          <w:color w:val="auto"/>
          <w:highlight w:val="none"/>
        </w:rPr>
        <w:t>战略性新兴产业</w:t>
      </w:r>
      <w:r>
        <w:rPr>
          <w:color w:val="auto"/>
          <w:highlight w:val="none"/>
        </w:rPr>
        <w:t>，大力发展劳动密集型产业，努力提升新型工业化发展水平和核心竞争力。</w:t>
      </w:r>
    </w:p>
    <w:p w14:paraId="415B64E9">
      <w:pPr>
        <w:pStyle w:val="3"/>
        <w:ind w:firstLine="480"/>
        <w:rPr>
          <w:color w:val="auto"/>
          <w:highlight w:val="none"/>
        </w:rPr>
      </w:pPr>
      <w:r>
        <w:rPr>
          <w:color w:val="auto"/>
          <w:highlight w:val="none"/>
        </w:rPr>
        <w:t>第一节 做大做强做优工业产业</w:t>
      </w:r>
    </w:p>
    <w:p w14:paraId="6A3B0500">
      <w:pPr>
        <w:pStyle w:val="3"/>
        <w:ind w:firstLine="480"/>
        <w:rPr>
          <w:color w:val="auto"/>
          <w:highlight w:val="none"/>
        </w:rPr>
      </w:pPr>
      <w:r>
        <w:rPr>
          <w:color w:val="auto"/>
          <w:highlight w:val="none"/>
        </w:rPr>
        <w:t>加大矿产资源勘探开发力度，加快铁、钒、钛、铜、铅、锌等资源密集型产业发展，重点发展黑色金属冶炼、有色金属、新型建材、清洁能源、纺织服装、装备制造、消费电子、馕、农副产品加工等产业，不断延伸产业链、提升价值链，推动工业经济高质量发展。</w:t>
      </w:r>
    </w:p>
    <w:p w14:paraId="753BC057">
      <w:pPr>
        <w:pStyle w:val="3"/>
        <w:ind w:firstLine="480"/>
        <w:rPr>
          <w:color w:val="auto"/>
          <w:highlight w:val="none"/>
        </w:rPr>
      </w:pPr>
      <w:r>
        <w:rPr>
          <w:color w:val="auto"/>
          <w:highlight w:val="none"/>
        </w:rPr>
        <w:t>本项目为钛铁矿选矿工程，符合《阿图什市国民经济和社会发展第十四个五年规划和2035年远景目标纲要》。</w:t>
      </w:r>
    </w:p>
    <w:p w14:paraId="104EC6AA">
      <w:pPr>
        <w:pStyle w:val="42"/>
        <w:rPr>
          <w:rFonts w:hint="default"/>
          <w:color w:val="auto"/>
          <w:highlight w:val="none"/>
        </w:rPr>
      </w:pPr>
      <w:r>
        <w:rPr>
          <w:rFonts w:hint="default"/>
          <w:color w:val="auto"/>
          <w:highlight w:val="none"/>
        </w:rPr>
        <w:t>与《新疆维吾尔自治区克孜勒苏柯尔克孜自治州矿产资源总体规划（2021</w:t>
      </w:r>
      <w:r>
        <w:rPr>
          <w:color w:val="auto"/>
          <w:highlight w:val="none"/>
        </w:rPr>
        <w:t>—</w:t>
      </w:r>
      <w:r>
        <w:rPr>
          <w:rFonts w:hint="default"/>
          <w:color w:val="auto"/>
          <w:highlight w:val="none"/>
        </w:rPr>
        <w:t>2025年）》符合性分析</w:t>
      </w:r>
    </w:p>
    <w:p w14:paraId="39282161">
      <w:pPr>
        <w:pStyle w:val="3"/>
        <w:ind w:firstLine="480"/>
        <w:rPr>
          <w:color w:val="auto"/>
          <w:highlight w:val="none"/>
        </w:rPr>
      </w:pPr>
      <w:r>
        <w:rPr>
          <w:color w:val="auto"/>
          <w:highlight w:val="none"/>
        </w:rPr>
        <w:t>根据《新疆维吾尔自治区克孜勒苏柯尔克孜自治州矿产资源总体规划（2021</w:t>
      </w:r>
      <w:r>
        <w:rPr>
          <w:rFonts w:hint="eastAsia"/>
          <w:color w:val="auto"/>
          <w:highlight w:val="none"/>
        </w:rPr>
        <w:t>—</w:t>
      </w:r>
      <w:r>
        <w:rPr>
          <w:color w:val="auto"/>
          <w:highlight w:val="none"/>
        </w:rPr>
        <w:t>2025年）》：</w:t>
      </w:r>
    </w:p>
    <w:p w14:paraId="539553DD">
      <w:pPr>
        <w:pStyle w:val="3"/>
        <w:ind w:firstLine="480"/>
        <w:rPr>
          <w:color w:val="auto"/>
          <w:highlight w:val="none"/>
        </w:rPr>
      </w:pPr>
      <w:r>
        <w:rPr>
          <w:color w:val="auto"/>
          <w:highlight w:val="none"/>
        </w:rPr>
        <w:t>--重要矿种勘查开发方向</w:t>
      </w:r>
    </w:p>
    <w:p w14:paraId="22BF2605">
      <w:pPr>
        <w:pStyle w:val="3"/>
        <w:ind w:firstLine="480"/>
        <w:rPr>
          <w:color w:val="auto"/>
          <w:highlight w:val="none"/>
        </w:rPr>
      </w:pPr>
      <w:r>
        <w:rPr>
          <w:color w:val="auto"/>
          <w:highlight w:val="none"/>
        </w:rPr>
        <w:t>落实国家和自治区能源资源安全战略，结合克州实际，市场需求、环境影响程度等要素，合理确定克州优越矿种，重点矿种、限制矿种和禁止矿种。</w:t>
      </w:r>
    </w:p>
    <w:p w14:paraId="1A225467">
      <w:pPr>
        <w:pStyle w:val="3"/>
        <w:ind w:firstLine="480"/>
        <w:rPr>
          <w:color w:val="auto"/>
          <w:highlight w:val="none"/>
        </w:rPr>
      </w:pPr>
      <w:r>
        <w:rPr>
          <w:b/>
          <w:bCs/>
          <w:color w:val="auto"/>
          <w:highlight w:val="none"/>
        </w:rPr>
        <w:t>重点勘查开采矿种</w:t>
      </w:r>
      <w:r>
        <w:rPr>
          <w:color w:val="auto"/>
          <w:highlight w:val="none"/>
        </w:rPr>
        <w:t>：主要有石油、天然气、页岩气、煤、地热等能源矿产；</w:t>
      </w:r>
      <w:r>
        <w:rPr>
          <w:b/>
          <w:bCs/>
          <w:color w:val="auto"/>
          <w:highlight w:val="none"/>
        </w:rPr>
        <w:t>铁、</w:t>
      </w:r>
      <w:r>
        <w:rPr>
          <w:color w:val="auto"/>
          <w:highlight w:val="none"/>
        </w:rPr>
        <w:t>钒、</w:t>
      </w:r>
      <w:r>
        <w:rPr>
          <w:b/>
          <w:bCs/>
          <w:color w:val="auto"/>
          <w:highlight w:val="none"/>
        </w:rPr>
        <w:t>钛、</w:t>
      </w:r>
      <w:r>
        <w:rPr>
          <w:color w:val="auto"/>
          <w:highlight w:val="none"/>
        </w:rPr>
        <w:t>铬、锰、铜、铅锌、钨、金、铌、钽、铍、锂等金属矿产；石膏、石灰石、大理岩、萤石、石英岩、玄武岩、饰面用花岗岩及宝玉石等非金属矿产；矿泉水、地下水等水气矿产。</w:t>
      </w:r>
    </w:p>
    <w:p w14:paraId="320CAAF1">
      <w:pPr>
        <w:pStyle w:val="3"/>
        <w:ind w:firstLine="480"/>
        <w:rPr>
          <w:color w:val="auto"/>
          <w:highlight w:val="none"/>
        </w:rPr>
      </w:pPr>
      <w:r>
        <w:rPr>
          <w:b/>
          <w:bCs/>
          <w:color w:val="auto"/>
          <w:highlight w:val="none"/>
        </w:rPr>
        <w:t>限制开采矿种：</w:t>
      </w:r>
      <w:r>
        <w:rPr>
          <w:color w:val="auto"/>
          <w:highlight w:val="none"/>
        </w:rPr>
        <w:t>硫铁矿、砖瓦用粘土等矿产，严格控制钨、稀土等特定保护性开采矿产。严禁新设非共伴生硫铁矿开采项目，</w:t>
      </w:r>
      <w:r>
        <w:rPr>
          <w:rFonts w:hint="eastAsia"/>
          <w:color w:val="auto"/>
          <w:highlight w:val="none"/>
        </w:rPr>
        <w:t>“</w:t>
      </w:r>
      <w:r>
        <w:rPr>
          <w:color w:val="auto"/>
          <w:highlight w:val="none"/>
        </w:rPr>
        <w:t>限粘”县市禁止新设砖瓦用粘土采矿权。限制开采矿种，除严格矿业权人准入条件外，应论证资源供需形势，对开采总量进行调控，同时严格资源环境承载力论证，保护环境。合理控制保护性开采矿种开采强度。</w:t>
      </w:r>
    </w:p>
    <w:p w14:paraId="2B06A9E2">
      <w:pPr>
        <w:pStyle w:val="3"/>
        <w:ind w:firstLine="480"/>
        <w:rPr>
          <w:color w:val="auto"/>
          <w:highlight w:val="none"/>
        </w:rPr>
      </w:pPr>
      <w:r>
        <w:rPr>
          <w:b/>
          <w:bCs/>
          <w:color w:val="auto"/>
          <w:highlight w:val="none"/>
        </w:rPr>
        <w:t>禁止勘查开采矿种：</w:t>
      </w:r>
      <w:r>
        <w:rPr>
          <w:color w:val="auto"/>
          <w:highlight w:val="none"/>
        </w:rPr>
        <w:t>为可耕地砖瓦用粘土、灰分大于40%或含硫大于3%的煤以及砂金、砂铁等。</w:t>
      </w:r>
    </w:p>
    <w:p w14:paraId="39AFFDC5">
      <w:pPr>
        <w:pStyle w:val="3"/>
        <w:ind w:firstLine="480"/>
        <w:rPr>
          <w:color w:val="auto"/>
          <w:highlight w:val="none"/>
        </w:rPr>
      </w:pPr>
      <w:r>
        <w:rPr>
          <w:color w:val="auto"/>
          <w:highlight w:val="none"/>
        </w:rPr>
        <w:t>-</w:t>
      </w:r>
      <w:r>
        <w:rPr>
          <w:rFonts w:hint="eastAsia"/>
          <w:color w:val="auto"/>
          <w:highlight w:val="none"/>
        </w:rPr>
        <w:t>－</w:t>
      </w:r>
      <w:r>
        <w:rPr>
          <w:color w:val="auto"/>
          <w:highlight w:val="none"/>
        </w:rPr>
        <w:t>矿产资源产业化重点发展区域</w:t>
      </w:r>
    </w:p>
    <w:p w14:paraId="2FA75106">
      <w:pPr>
        <w:pStyle w:val="3"/>
        <w:ind w:firstLine="480"/>
        <w:rPr>
          <w:color w:val="auto"/>
          <w:highlight w:val="none"/>
        </w:rPr>
      </w:pPr>
      <w:r>
        <w:rPr>
          <w:color w:val="auto"/>
          <w:highlight w:val="none"/>
        </w:rPr>
        <w:t>坚持矿产资源开发与资源环境承载力相匹配，做好与国家和自治区区域发展战略及主体功能区的衔接，加强国土空间三条控制线内矿业活动管控。落实生态环境准入清单，严格矿产资源开发禁止和限制的环境准入要求。坚守环境质量底线，加强矿产资源开发管控，合理调控克州矿产资源开发利用总量，提高矿产资源利用效率。优化资源勘查开发布局见表1.3-</w:t>
      </w:r>
      <w:r>
        <w:rPr>
          <w:rFonts w:hint="eastAsia"/>
          <w:color w:val="auto"/>
          <w:highlight w:val="none"/>
        </w:rPr>
        <w:t>1</w:t>
      </w:r>
      <w:r>
        <w:rPr>
          <w:rFonts w:hint="eastAsia"/>
          <w:color w:val="auto"/>
          <w:highlight w:val="none"/>
          <w:lang w:val="en-US" w:eastAsia="zh-CN"/>
        </w:rPr>
        <w:t>1</w:t>
      </w:r>
      <w:r>
        <w:rPr>
          <w:color w:val="auto"/>
          <w:highlight w:val="none"/>
        </w:rPr>
        <w:t>。</w:t>
      </w:r>
    </w:p>
    <w:p w14:paraId="40DC2095">
      <w:pPr>
        <w:pStyle w:val="40"/>
        <w:rPr>
          <w:color w:val="auto"/>
          <w:highlight w:val="none"/>
        </w:rPr>
      </w:pPr>
      <w:r>
        <w:rPr>
          <w:color w:val="auto"/>
          <w:highlight w:val="none"/>
        </w:rPr>
        <w:t>表1.3-</w:t>
      </w:r>
      <w:r>
        <w:rPr>
          <w:rFonts w:hint="eastAsia"/>
          <w:color w:val="auto"/>
          <w:highlight w:val="none"/>
        </w:rPr>
        <w:t>1</w:t>
      </w:r>
      <w:r>
        <w:rPr>
          <w:rFonts w:hint="eastAsia"/>
          <w:color w:val="auto"/>
          <w:highlight w:val="none"/>
          <w:lang w:val="en-US" w:eastAsia="zh-CN"/>
        </w:rPr>
        <w:t>1</w:t>
      </w:r>
      <w:r>
        <w:rPr>
          <w:color w:val="auto"/>
          <w:highlight w:val="none"/>
        </w:rPr>
        <w:t xml:space="preserve">     优化资源勘查开发布局</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2269"/>
        <w:gridCol w:w="2460"/>
        <w:gridCol w:w="2838"/>
      </w:tblGrid>
      <w:tr w14:paraId="79066B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89" w:type="pct"/>
            <w:gridSpan w:val="2"/>
            <w:tcBorders>
              <w:tl2br w:val="nil"/>
              <w:tr2bl w:val="nil"/>
            </w:tcBorders>
            <w:vAlign w:val="center"/>
          </w:tcPr>
          <w:p w14:paraId="57DABFF5">
            <w:pPr>
              <w:pStyle w:val="41"/>
              <w:widowControl w:val="0"/>
              <w:rPr>
                <w:color w:val="auto"/>
                <w:highlight w:val="none"/>
              </w:rPr>
            </w:pPr>
            <w:r>
              <w:rPr>
                <w:color w:val="auto"/>
                <w:highlight w:val="none"/>
              </w:rPr>
              <w:t>名称</w:t>
            </w:r>
          </w:p>
        </w:tc>
        <w:tc>
          <w:tcPr>
            <w:tcW w:w="1444" w:type="pct"/>
            <w:tcBorders>
              <w:tl2br w:val="nil"/>
              <w:tr2bl w:val="nil"/>
            </w:tcBorders>
            <w:vAlign w:val="center"/>
          </w:tcPr>
          <w:p w14:paraId="7E02ECF2">
            <w:pPr>
              <w:pStyle w:val="41"/>
              <w:widowControl w:val="0"/>
              <w:rPr>
                <w:color w:val="auto"/>
                <w:highlight w:val="none"/>
              </w:rPr>
            </w:pPr>
            <w:r>
              <w:rPr>
                <w:color w:val="auto"/>
                <w:highlight w:val="none"/>
              </w:rPr>
              <w:t>涉及行政区</w:t>
            </w:r>
          </w:p>
        </w:tc>
        <w:tc>
          <w:tcPr>
            <w:tcW w:w="1666" w:type="pct"/>
            <w:tcBorders>
              <w:tl2br w:val="nil"/>
              <w:tr2bl w:val="nil"/>
            </w:tcBorders>
            <w:vAlign w:val="center"/>
          </w:tcPr>
          <w:p w14:paraId="5149030A">
            <w:pPr>
              <w:pStyle w:val="41"/>
              <w:widowControl w:val="0"/>
              <w:rPr>
                <w:color w:val="auto"/>
                <w:highlight w:val="none"/>
              </w:rPr>
            </w:pPr>
            <w:r>
              <w:rPr>
                <w:color w:val="auto"/>
                <w:highlight w:val="none"/>
              </w:rPr>
              <w:t>勘查开发矿种</w:t>
            </w:r>
          </w:p>
        </w:tc>
      </w:tr>
      <w:tr w14:paraId="3B30D7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7" w:type="pct"/>
            <w:tcBorders>
              <w:tl2br w:val="nil"/>
              <w:tr2bl w:val="nil"/>
            </w:tcBorders>
            <w:vAlign w:val="center"/>
          </w:tcPr>
          <w:p w14:paraId="065DABE9">
            <w:pPr>
              <w:pStyle w:val="41"/>
              <w:widowControl w:val="0"/>
              <w:rPr>
                <w:color w:val="auto"/>
                <w:highlight w:val="none"/>
              </w:rPr>
            </w:pPr>
            <w:r>
              <w:rPr>
                <w:color w:val="auto"/>
                <w:highlight w:val="none"/>
              </w:rPr>
              <w:t>一环</w:t>
            </w:r>
          </w:p>
        </w:tc>
        <w:tc>
          <w:tcPr>
            <w:tcW w:w="1332" w:type="pct"/>
            <w:tcBorders>
              <w:tl2br w:val="nil"/>
              <w:tr2bl w:val="nil"/>
            </w:tcBorders>
            <w:vAlign w:val="center"/>
          </w:tcPr>
          <w:p w14:paraId="5298B806">
            <w:pPr>
              <w:pStyle w:val="41"/>
              <w:widowControl w:val="0"/>
              <w:rPr>
                <w:color w:val="auto"/>
                <w:highlight w:val="none"/>
              </w:rPr>
            </w:pPr>
            <w:r>
              <w:rPr>
                <w:color w:val="auto"/>
                <w:highlight w:val="none"/>
              </w:rPr>
              <w:t>环塔里木能源资源勘查开发区</w:t>
            </w:r>
          </w:p>
        </w:tc>
        <w:tc>
          <w:tcPr>
            <w:tcW w:w="1444" w:type="pct"/>
            <w:tcBorders>
              <w:tl2br w:val="nil"/>
              <w:tr2bl w:val="nil"/>
            </w:tcBorders>
            <w:vAlign w:val="center"/>
          </w:tcPr>
          <w:p w14:paraId="47D8A8BA">
            <w:pPr>
              <w:pStyle w:val="41"/>
              <w:widowControl w:val="0"/>
              <w:rPr>
                <w:color w:val="auto"/>
                <w:highlight w:val="none"/>
              </w:rPr>
            </w:pPr>
            <w:r>
              <w:rPr>
                <w:color w:val="auto"/>
                <w:highlight w:val="none"/>
              </w:rPr>
              <w:t>阿图什市、阿克陶县、乌恰县、阿合奇县</w:t>
            </w:r>
          </w:p>
        </w:tc>
        <w:tc>
          <w:tcPr>
            <w:tcW w:w="1666" w:type="pct"/>
            <w:tcBorders>
              <w:tl2br w:val="nil"/>
              <w:tr2bl w:val="nil"/>
            </w:tcBorders>
            <w:vAlign w:val="center"/>
          </w:tcPr>
          <w:p w14:paraId="5DCDCCA6">
            <w:pPr>
              <w:pStyle w:val="41"/>
              <w:widowControl w:val="0"/>
              <w:rPr>
                <w:color w:val="auto"/>
                <w:highlight w:val="none"/>
              </w:rPr>
            </w:pPr>
            <w:r>
              <w:rPr>
                <w:color w:val="auto"/>
                <w:highlight w:val="none"/>
              </w:rPr>
              <w:t>重点石油、天然气，兼顾石膏、石灰岩、石盐矿</w:t>
            </w:r>
          </w:p>
        </w:tc>
      </w:tr>
      <w:tr w14:paraId="47C5D2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7" w:type="pct"/>
            <w:vMerge w:val="restart"/>
            <w:tcBorders>
              <w:tl2br w:val="nil"/>
              <w:tr2bl w:val="nil"/>
            </w:tcBorders>
            <w:vAlign w:val="center"/>
          </w:tcPr>
          <w:p w14:paraId="5BC4F8EA">
            <w:pPr>
              <w:pStyle w:val="41"/>
              <w:widowControl w:val="0"/>
              <w:rPr>
                <w:color w:val="auto"/>
                <w:highlight w:val="none"/>
              </w:rPr>
            </w:pPr>
            <w:r>
              <w:rPr>
                <w:color w:val="auto"/>
                <w:highlight w:val="none"/>
              </w:rPr>
              <w:t>二带</w:t>
            </w:r>
          </w:p>
        </w:tc>
        <w:tc>
          <w:tcPr>
            <w:tcW w:w="1332" w:type="pct"/>
            <w:tcBorders>
              <w:tl2br w:val="nil"/>
              <w:tr2bl w:val="nil"/>
            </w:tcBorders>
            <w:vAlign w:val="center"/>
          </w:tcPr>
          <w:p w14:paraId="2E8E0911">
            <w:pPr>
              <w:pStyle w:val="41"/>
              <w:widowControl w:val="0"/>
              <w:rPr>
                <w:color w:val="auto"/>
                <w:highlight w:val="none"/>
              </w:rPr>
            </w:pPr>
            <w:r>
              <w:rPr>
                <w:color w:val="auto"/>
                <w:highlight w:val="none"/>
              </w:rPr>
              <w:t>西南天山黑色有色贵金属勘查开发区</w:t>
            </w:r>
          </w:p>
        </w:tc>
        <w:tc>
          <w:tcPr>
            <w:tcW w:w="1444" w:type="pct"/>
            <w:tcBorders>
              <w:tl2br w:val="nil"/>
              <w:tr2bl w:val="nil"/>
            </w:tcBorders>
            <w:vAlign w:val="center"/>
          </w:tcPr>
          <w:p w14:paraId="19FEA5C6">
            <w:pPr>
              <w:pStyle w:val="41"/>
              <w:widowControl w:val="0"/>
              <w:rPr>
                <w:color w:val="auto"/>
                <w:highlight w:val="none"/>
              </w:rPr>
            </w:pPr>
            <w:r>
              <w:rPr>
                <w:b/>
                <w:bCs/>
                <w:color w:val="auto"/>
                <w:highlight w:val="none"/>
              </w:rPr>
              <w:t>阿图什市、</w:t>
            </w:r>
            <w:r>
              <w:rPr>
                <w:color w:val="auto"/>
                <w:highlight w:val="none"/>
              </w:rPr>
              <w:t>乌恰县、阿合奇县</w:t>
            </w:r>
          </w:p>
        </w:tc>
        <w:tc>
          <w:tcPr>
            <w:tcW w:w="1666" w:type="pct"/>
            <w:tcBorders>
              <w:tl2br w:val="nil"/>
              <w:tr2bl w:val="nil"/>
            </w:tcBorders>
            <w:vAlign w:val="center"/>
          </w:tcPr>
          <w:p w14:paraId="592A532D">
            <w:pPr>
              <w:pStyle w:val="41"/>
              <w:widowControl w:val="0"/>
              <w:rPr>
                <w:color w:val="auto"/>
                <w:highlight w:val="none"/>
              </w:rPr>
            </w:pPr>
            <w:r>
              <w:rPr>
                <w:color w:val="auto"/>
                <w:highlight w:val="none"/>
              </w:rPr>
              <w:t>重点金、</w:t>
            </w:r>
            <w:r>
              <w:rPr>
                <w:b/>
                <w:bCs/>
                <w:color w:val="auto"/>
                <w:highlight w:val="none"/>
              </w:rPr>
              <w:t>铁、</w:t>
            </w:r>
            <w:r>
              <w:rPr>
                <w:color w:val="auto"/>
                <w:highlight w:val="none"/>
              </w:rPr>
              <w:t>铜、铅、锌矿，兼顾钒、</w:t>
            </w:r>
            <w:r>
              <w:rPr>
                <w:b/>
                <w:bCs/>
                <w:color w:val="auto"/>
                <w:highlight w:val="none"/>
              </w:rPr>
              <w:t>钛、</w:t>
            </w:r>
            <w:r>
              <w:rPr>
                <w:color w:val="auto"/>
                <w:highlight w:val="none"/>
              </w:rPr>
              <w:t>锡等</w:t>
            </w:r>
          </w:p>
        </w:tc>
      </w:tr>
      <w:tr w14:paraId="325128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7" w:type="pct"/>
            <w:vMerge w:val="continue"/>
            <w:tcBorders>
              <w:tl2br w:val="nil"/>
              <w:tr2bl w:val="nil"/>
            </w:tcBorders>
            <w:vAlign w:val="center"/>
          </w:tcPr>
          <w:p w14:paraId="0B2FC47D">
            <w:pPr>
              <w:pStyle w:val="41"/>
              <w:widowControl w:val="0"/>
              <w:rPr>
                <w:color w:val="auto"/>
                <w:highlight w:val="none"/>
              </w:rPr>
            </w:pPr>
          </w:p>
        </w:tc>
        <w:tc>
          <w:tcPr>
            <w:tcW w:w="1332" w:type="pct"/>
            <w:tcBorders>
              <w:tl2br w:val="nil"/>
              <w:tr2bl w:val="nil"/>
            </w:tcBorders>
            <w:vAlign w:val="center"/>
          </w:tcPr>
          <w:p w14:paraId="4291A522">
            <w:pPr>
              <w:pStyle w:val="41"/>
              <w:widowControl w:val="0"/>
              <w:rPr>
                <w:color w:val="auto"/>
                <w:highlight w:val="none"/>
              </w:rPr>
            </w:pPr>
            <w:r>
              <w:rPr>
                <w:color w:val="auto"/>
                <w:highlight w:val="none"/>
              </w:rPr>
              <w:t>西昆仑黑色有色稀有金属勘查开发区</w:t>
            </w:r>
          </w:p>
        </w:tc>
        <w:tc>
          <w:tcPr>
            <w:tcW w:w="1444" w:type="pct"/>
            <w:tcBorders>
              <w:tl2br w:val="nil"/>
              <w:tr2bl w:val="nil"/>
            </w:tcBorders>
            <w:vAlign w:val="center"/>
          </w:tcPr>
          <w:p w14:paraId="6878EC41">
            <w:pPr>
              <w:pStyle w:val="41"/>
              <w:widowControl w:val="0"/>
              <w:rPr>
                <w:color w:val="auto"/>
                <w:highlight w:val="none"/>
              </w:rPr>
            </w:pPr>
            <w:r>
              <w:rPr>
                <w:color w:val="auto"/>
                <w:highlight w:val="none"/>
              </w:rPr>
              <w:t>阿克陶县、乌恰县</w:t>
            </w:r>
          </w:p>
        </w:tc>
        <w:tc>
          <w:tcPr>
            <w:tcW w:w="1666" w:type="pct"/>
            <w:tcBorders>
              <w:tl2br w:val="nil"/>
              <w:tr2bl w:val="nil"/>
            </w:tcBorders>
            <w:vAlign w:val="center"/>
          </w:tcPr>
          <w:p w14:paraId="020C70D4">
            <w:pPr>
              <w:pStyle w:val="41"/>
              <w:widowControl w:val="0"/>
              <w:rPr>
                <w:color w:val="auto"/>
                <w:highlight w:val="none"/>
              </w:rPr>
            </w:pPr>
            <w:r>
              <w:rPr>
                <w:color w:val="auto"/>
                <w:highlight w:val="none"/>
              </w:rPr>
              <w:t>重点铁、铜、铅、锌、金矿，兼顾矿泉水、地热等</w:t>
            </w:r>
          </w:p>
        </w:tc>
      </w:tr>
    </w:tbl>
    <w:p w14:paraId="6E7CDC17">
      <w:pPr>
        <w:pStyle w:val="3"/>
        <w:ind w:firstLine="480"/>
        <w:rPr>
          <w:color w:val="auto"/>
          <w:highlight w:val="none"/>
        </w:rPr>
      </w:pPr>
      <w:r>
        <w:rPr>
          <w:color w:val="auto"/>
          <w:highlight w:val="none"/>
        </w:rPr>
        <w:t>本项目位于克孜勒苏柯尔克孜自治州阿图什市西南天山黑色有色贵金属勘查开发区</w:t>
      </w:r>
      <w:r>
        <w:rPr>
          <w:rFonts w:hint="eastAsia"/>
          <w:color w:val="auto"/>
          <w:highlight w:val="none"/>
          <w:lang w:eastAsia="zh-CN"/>
        </w:rPr>
        <w:t>，为</w:t>
      </w:r>
      <w:r>
        <w:rPr>
          <w:rFonts w:hint="eastAsia"/>
          <w:color w:val="auto"/>
          <w:highlight w:val="none"/>
        </w:rPr>
        <w:t>阿图什市环球矿业钒钛磁铁矿</w:t>
      </w:r>
      <w:r>
        <w:rPr>
          <w:rFonts w:hint="eastAsia"/>
          <w:color w:val="auto"/>
          <w:highlight w:val="none"/>
          <w:lang w:eastAsia="zh-CN"/>
        </w:rPr>
        <w:t>配套建设的选矿厂、尾矿库，属于重点</w:t>
      </w:r>
      <w:r>
        <w:rPr>
          <w:rFonts w:hint="eastAsia"/>
          <w:b w:val="0"/>
          <w:bCs w:val="0"/>
          <w:color w:val="auto"/>
          <w:highlight w:val="none"/>
          <w:lang w:eastAsia="zh-CN"/>
        </w:rPr>
        <w:t>勘察</w:t>
      </w:r>
      <w:r>
        <w:rPr>
          <w:b w:val="0"/>
          <w:bCs w:val="0"/>
          <w:color w:val="auto"/>
          <w:highlight w:val="none"/>
        </w:rPr>
        <w:t>铁、钛</w:t>
      </w:r>
      <w:r>
        <w:rPr>
          <w:rFonts w:hint="eastAsia"/>
          <w:b w:val="0"/>
          <w:bCs w:val="0"/>
          <w:color w:val="auto"/>
          <w:highlight w:val="none"/>
          <w:lang w:eastAsia="zh-CN"/>
        </w:rPr>
        <w:t>矿中配套建设项目</w:t>
      </w:r>
      <w:r>
        <w:rPr>
          <w:rFonts w:hint="eastAsia"/>
          <w:b w:val="0"/>
          <w:bCs w:val="0"/>
          <w:color w:val="auto"/>
          <w:highlight w:val="none"/>
          <w:lang w:eastAsia="zh-CN"/>
        </w:rPr>
        <w:t>。</w:t>
      </w:r>
      <w:r>
        <w:rPr>
          <w:color w:val="auto"/>
          <w:highlight w:val="none"/>
        </w:rPr>
        <w:t>综上，本项目符合《新疆维吾尔自治区克孜勒苏柯尔克孜自治州矿产资源总体规划（2021</w:t>
      </w:r>
      <w:r>
        <w:rPr>
          <w:rFonts w:hint="eastAsia"/>
          <w:color w:val="auto"/>
          <w:highlight w:val="none"/>
        </w:rPr>
        <w:t>—</w:t>
      </w:r>
      <w:r>
        <w:rPr>
          <w:color w:val="auto"/>
          <w:highlight w:val="none"/>
        </w:rPr>
        <w:t>2025年）》的相关要求。</w:t>
      </w:r>
    </w:p>
    <w:bookmarkEnd w:id="52"/>
    <w:p w14:paraId="3D5F0DD6">
      <w:pPr>
        <w:pStyle w:val="42"/>
        <w:rPr>
          <w:rFonts w:hint="default"/>
          <w:color w:val="auto"/>
          <w:highlight w:val="none"/>
        </w:rPr>
      </w:pPr>
      <w:r>
        <w:rPr>
          <w:rFonts w:hint="default"/>
          <w:color w:val="auto"/>
          <w:highlight w:val="none"/>
        </w:rPr>
        <w:t>与生态环境分区</w:t>
      </w:r>
      <w:r>
        <w:rPr>
          <w:color w:val="auto"/>
          <w:highlight w:val="none"/>
        </w:rPr>
        <w:t>管控方案</w:t>
      </w:r>
      <w:r>
        <w:rPr>
          <w:rFonts w:hint="default"/>
          <w:color w:val="auto"/>
          <w:highlight w:val="none"/>
        </w:rPr>
        <w:t>符合性分析</w:t>
      </w:r>
    </w:p>
    <w:p w14:paraId="02A2A928">
      <w:pPr>
        <w:pStyle w:val="3"/>
        <w:ind w:firstLine="480"/>
        <w:rPr>
          <w:color w:val="auto"/>
          <w:highlight w:val="none"/>
        </w:rPr>
        <w:sectPr>
          <w:footerReference r:id="rId13" w:type="default"/>
          <w:pgSz w:w="11906" w:h="16838"/>
          <w:pgMar w:top="1440" w:right="1803" w:bottom="1440" w:left="1803" w:header="1020" w:footer="992" w:gutter="0"/>
          <w:pgBorders>
            <w:top w:val="none" w:sz="0" w:space="0"/>
            <w:left w:val="none" w:sz="0" w:space="0"/>
            <w:bottom w:val="none" w:sz="0" w:space="0"/>
            <w:right w:val="none" w:sz="0" w:space="0"/>
          </w:pgBorders>
          <w:pgNumType w:start="1"/>
          <w:cols w:space="720" w:num="1"/>
          <w:docGrid w:type="lines" w:linePitch="332" w:charSpace="0"/>
        </w:sectPr>
      </w:pPr>
    </w:p>
    <w:p w14:paraId="354011EA">
      <w:pPr>
        <w:pStyle w:val="43"/>
        <w:rPr>
          <w:color w:val="auto"/>
          <w:highlight w:val="none"/>
        </w:rPr>
      </w:pPr>
      <w:r>
        <w:rPr>
          <w:color w:val="auto"/>
          <w:highlight w:val="none"/>
        </w:rPr>
        <w:t>与</w:t>
      </w:r>
      <w:r>
        <w:rPr>
          <w:rFonts w:hint="eastAsia"/>
          <w:color w:val="auto"/>
          <w:highlight w:val="none"/>
        </w:rPr>
        <w:t>《新疆维吾尔自治区生态环境分区管控动态更新成果》的通知，新环环评发发〔2024〕157号</w:t>
      </w:r>
      <w:r>
        <w:rPr>
          <w:color w:val="auto"/>
          <w:highlight w:val="none"/>
        </w:rPr>
        <w:t>符合性分析</w:t>
      </w:r>
    </w:p>
    <w:p w14:paraId="75FC0231">
      <w:pPr>
        <w:pStyle w:val="3"/>
        <w:ind w:firstLine="480"/>
        <w:rPr>
          <w:color w:val="auto"/>
          <w:highlight w:val="none"/>
        </w:rPr>
      </w:pPr>
      <w:r>
        <w:rPr>
          <w:rFonts w:hint="eastAsia"/>
          <w:color w:val="auto"/>
          <w:highlight w:val="none"/>
        </w:rPr>
        <w:t>本项目与自治区生态环境分区管控要求符合性详见下表。</w:t>
      </w:r>
    </w:p>
    <w:p w14:paraId="5FED0DE1">
      <w:pPr>
        <w:pStyle w:val="40"/>
        <w:rPr>
          <w:color w:val="auto"/>
          <w:highlight w:val="none"/>
        </w:rPr>
      </w:pPr>
      <w:r>
        <w:rPr>
          <w:rFonts w:hint="eastAsia"/>
          <w:color w:val="auto"/>
          <w:highlight w:val="none"/>
        </w:rPr>
        <w:t>表1.3-12     与</w:t>
      </w:r>
      <w:r>
        <w:rPr>
          <w:color w:val="auto"/>
          <w:highlight w:val="none"/>
        </w:rPr>
        <w:t>新疆维吾尔自治区生态环境分区管控总体</w:t>
      </w:r>
      <w:r>
        <w:rPr>
          <w:rFonts w:hint="eastAsia"/>
          <w:color w:val="auto"/>
          <w:highlight w:val="none"/>
        </w:rPr>
        <w:t>要求符合性分析</w:t>
      </w:r>
    </w:p>
    <w:tbl>
      <w:tblPr>
        <w:tblStyle w:val="45"/>
        <w:tblW w:w="5151"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388"/>
        <w:gridCol w:w="773"/>
        <w:gridCol w:w="8206"/>
        <w:gridCol w:w="3728"/>
        <w:gridCol w:w="1315"/>
      </w:tblGrid>
      <w:tr w14:paraId="34C6DBF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403" w:type="pct"/>
            <w:gridSpan w:val="2"/>
            <w:tcBorders>
              <w:tl2br w:val="nil"/>
              <w:tr2bl w:val="nil"/>
            </w:tcBorders>
            <w:vAlign w:val="center"/>
          </w:tcPr>
          <w:p w14:paraId="243A6926">
            <w:pPr>
              <w:pStyle w:val="41"/>
              <w:rPr>
                <w:color w:val="auto"/>
                <w:highlight w:val="none"/>
              </w:rPr>
            </w:pPr>
            <w:r>
              <w:rPr>
                <w:color w:val="auto"/>
                <w:highlight w:val="none"/>
              </w:rPr>
              <w:t>管控维度</w:t>
            </w:r>
          </w:p>
        </w:tc>
        <w:tc>
          <w:tcPr>
            <w:tcW w:w="2846" w:type="pct"/>
            <w:tcBorders>
              <w:tl2br w:val="nil"/>
              <w:tr2bl w:val="nil"/>
            </w:tcBorders>
            <w:vAlign w:val="center"/>
          </w:tcPr>
          <w:p w14:paraId="6FE0ACAB">
            <w:pPr>
              <w:pStyle w:val="41"/>
              <w:rPr>
                <w:color w:val="auto"/>
                <w:highlight w:val="none"/>
              </w:rPr>
            </w:pPr>
            <w:r>
              <w:rPr>
                <w:color w:val="auto"/>
                <w:highlight w:val="none"/>
              </w:rPr>
              <w:t>管控要求</w:t>
            </w:r>
          </w:p>
        </w:tc>
        <w:tc>
          <w:tcPr>
            <w:tcW w:w="1293" w:type="pct"/>
            <w:tcBorders>
              <w:tl2br w:val="nil"/>
              <w:tr2bl w:val="nil"/>
            </w:tcBorders>
            <w:vAlign w:val="center"/>
          </w:tcPr>
          <w:p w14:paraId="194D2278">
            <w:pPr>
              <w:pStyle w:val="41"/>
              <w:rPr>
                <w:color w:val="auto"/>
                <w:highlight w:val="none"/>
              </w:rPr>
            </w:pPr>
            <w:r>
              <w:rPr>
                <w:rFonts w:hint="eastAsia"/>
                <w:color w:val="auto"/>
                <w:highlight w:val="none"/>
              </w:rPr>
              <w:t>本项目</w:t>
            </w:r>
          </w:p>
        </w:tc>
        <w:tc>
          <w:tcPr>
            <w:tcW w:w="456" w:type="pct"/>
            <w:tcBorders>
              <w:tl2br w:val="nil"/>
              <w:tr2bl w:val="nil"/>
            </w:tcBorders>
            <w:vAlign w:val="center"/>
          </w:tcPr>
          <w:p w14:paraId="3F30234B">
            <w:pPr>
              <w:pStyle w:val="41"/>
              <w:rPr>
                <w:color w:val="auto"/>
                <w:highlight w:val="none"/>
              </w:rPr>
            </w:pPr>
            <w:r>
              <w:rPr>
                <w:rFonts w:hint="eastAsia"/>
                <w:color w:val="auto"/>
                <w:highlight w:val="none"/>
              </w:rPr>
              <w:t>符合性</w:t>
            </w:r>
          </w:p>
        </w:tc>
      </w:tr>
      <w:tr w14:paraId="54652E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135" w:type="pct"/>
            <w:vMerge w:val="restart"/>
            <w:tcBorders>
              <w:tl2br w:val="nil"/>
              <w:tr2bl w:val="nil"/>
            </w:tcBorders>
            <w:vAlign w:val="center"/>
          </w:tcPr>
          <w:p w14:paraId="4BF0BBBD">
            <w:pPr>
              <w:pStyle w:val="41"/>
              <w:rPr>
                <w:color w:val="auto"/>
                <w:highlight w:val="none"/>
              </w:rPr>
            </w:pPr>
            <w:r>
              <w:rPr>
                <w:color w:val="auto"/>
                <w:highlight w:val="none"/>
              </w:rPr>
              <w:t>A1空 间布局约束</w:t>
            </w:r>
          </w:p>
        </w:tc>
        <w:tc>
          <w:tcPr>
            <w:tcW w:w="268" w:type="pct"/>
            <w:vMerge w:val="restart"/>
            <w:tcBorders>
              <w:tl2br w:val="nil"/>
              <w:tr2bl w:val="nil"/>
            </w:tcBorders>
            <w:vAlign w:val="center"/>
          </w:tcPr>
          <w:p w14:paraId="6D5F1FEB">
            <w:pPr>
              <w:pStyle w:val="41"/>
              <w:rPr>
                <w:color w:val="auto"/>
                <w:highlight w:val="none"/>
              </w:rPr>
            </w:pPr>
            <w:r>
              <w:rPr>
                <w:color w:val="auto"/>
                <w:highlight w:val="none"/>
              </w:rPr>
              <w:t>A1.1禁止开发建设的 活动</w:t>
            </w:r>
          </w:p>
        </w:tc>
        <w:tc>
          <w:tcPr>
            <w:tcW w:w="2846" w:type="pct"/>
            <w:tcBorders>
              <w:tl2br w:val="nil"/>
              <w:tr2bl w:val="nil"/>
            </w:tcBorders>
            <w:vAlign w:val="center"/>
          </w:tcPr>
          <w:p w14:paraId="7558678A">
            <w:pPr>
              <w:pStyle w:val="41"/>
              <w:rPr>
                <w:color w:val="auto"/>
                <w:highlight w:val="none"/>
              </w:rPr>
            </w:pPr>
            <w:r>
              <w:rPr>
                <w:color w:val="auto"/>
                <w:highlight w:val="none"/>
              </w:rPr>
              <w:t>禁止新建、扩建《产业结构调整指导目录</w:t>
            </w:r>
            <w:r>
              <w:rPr>
                <w:rFonts w:hint="eastAsia"/>
                <w:color w:val="auto"/>
                <w:highlight w:val="none"/>
              </w:rPr>
              <w:t>（</w:t>
            </w:r>
            <w:r>
              <w:rPr>
                <w:color w:val="auto"/>
                <w:highlight w:val="none"/>
              </w:rPr>
              <w:t>2024年本</w:t>
            </w:r>
            <w:r>
              <w:rPr>
                <w:rFonts w:hint="eastAsia"/>
                <w:color w:val="auto"/>
                <w:highlight w:val="none"/>
              </w:rPr>
              <w:t>）</w:t>
            </w:r>
            <w:r>
              <w:rPr>
                <w:color w:val="auto"/>
                <w:highlight w:val="none"/>
              </w:rPr>
              <w:t>》中淘汰类项目。禁止引入《市场准入负面清单</w:t>
            </w:r>
            <w:r>
              <w:rPr>
                <w:rFonts w:hint="eastAsia"/>
                <w:color w:val="auto"/>
                <w:highlight w:val="none"/>
              </w:rPr>
              <w:t>（</w:t>
            </w:r>
            <w:r>
              <w:rPr>
                <w:color w:val="auto"/>
                <w:highlight w:val="none"/>
              </w:rPr>
              <w:t>2022年版</w:t>
            </w:r>
            <w:r>
              <w:rPr>
                <w:rFonts w:hint="eastAsia"/>
                <w:color w:val="auto"/>
                <w:highlight w:val="none"/>
              </w:rPr>
              <w:t>）</w:t>
            </w:r>
            <w:r>
              <w:rPr>
                <w:color w:val="auto"/>
                <w:highlight w:val="none"/>
              </w:rPr>
              <w:t>》禁止准入类事项。</w:t>
            </w:r>
          </w:p>
        </w:tc>
        <w:tc>
          <w:tcPr>
            <w:tcW w:w="1293" w:type="pct"/>
            <w:tcBorders>
              <w:tl2br w:val="nil"/>
              <w:tr2bl w:val="nil"/>
            </w:tcBorders>
            <w:vAlign w:val="center"/>
          </w:tcPr>
          <w:p w14:paraId="5B890BFF">
            <w:pPr>
              <w:pStyle w:val="41"/>
              <w:rPr>
                <w:color w:val="auto"/>
                <w:highlight w:val="none"/>
              </w:rPr>
            </w:pPr>
            <w:r>
              <w:rPr>
                <w:rFonts w:hint="eastAsia"/>
                <w:color w:val="auto"/>
                <w:highlight w:val="none"/>
              </w:rPr>
              <w:t>产品方案为铁精矿和钛精矿</w:t>
            </w:r>
            <w:r>
              <w:rPr>
                <w:color w:val="auto"/>
                <w:highlight w:val="none"/>
              </w:rPr>
              <w:t>，不属于产业政策鼓励类、限制类、淘汰类</w:t>
            </w:r>
            <w:r>
              <w:rPr>
                <w:rFonts w:hint="eastAsia"/>
                <w:color w:val="auto"/>
                <w:highlight w:val="none"/>
              </w:rPr>
              <w:t>；也不属于</w:t>
            </w:r>
            <w:r>
              <w:rPr>
                <w:color w:val="auto"/>
                <w:highlight w:val="none"/>
              </w:rPr>
              <w:t>《市场准入负面清单</w:t>
            </w:r>
            <w:r>
              <w:rPr>
                <w:rFonts w:hint="eastAsia"/>
                <w:color w:val="auto"/>
                <w:highlight w:val="none"/>
              </w:rPr>
              <w:t>（</w:t>
            </w:r>
            <w:r>
              <w:rPr>
                <w:color w:val="auto"/>
                <w:highlight w:val="none"/>
              </w:rPr>
              <w:t>2022年版</w:t>
            </w:r>
            <w:r>
              <w:rPr>
                <w:rFonts w:hint="eastAsia"/>
                <w:color w:val="auto"/>
                <w:highlight w:val="none"/>
              </w:rPr>
              <w:t>）</w:t>
            </w:r>
            <w:r>
              <w:rPr>
                <w:color w:val="auto"/>
                <w:highlight w:val="none"/>
              </w:rPr>
              <w:t>》禁止准入</w:t>
            </w:r>
            <w:r>
              <w:rPr>
                <w:rFonts w:hint="eastAsia"/>
                <w:color w:val="auto"/>
                <w:highlight w:val="none"/>
              </w:rPr>
              <w:t>类项。</w:t>
            </w:r>
          </w:p>
        </w:tc>
        <w:tc>
          <w:tcPr>
            <w:tcW w:w="456" w:type="pct"/>
            <w:tcBorders>
              <w:tl2br w:val="nil"/>
              <w:tr2bl w:val="nil"/>
            </w:tcBorders>
            <w:vAlign w:val="center"/>
          </w:tcPr>
          <w:p w14:paraId="339E2103">
            <w:pPr>
              <w:pStyle w:val="41"/>
              <w:rPr>
                <w:color w:val="auto"/>
                <w:highlight w:val="none"/>
              </w:rPr>
            </w:pPr>
            <w:r>
              <w:rPr>
                <w:rFonts w:hint="eastAsia"/>
                <w:color w:val="auto"/>
                <w:highlight w:val="none"/>
              </w:rPr>
              <w:t>符合</w:t>
            </w:r>
          </w:p>
        </w:tc>
      </w:tr>
      <w:tr w14:paraId="400228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135" w:type="pct"/>
            <w:vMerge w:val="continue"/>
            <w:tcBorders>
              <w:tl2br w:val="nil"/>
              <w:tr2bl w:val="nil"/>
            </w:tcBorders>
            <w:vAlign w:val="center"/>
          </w:tcPr>
          <w:p w14:paraId="48BE9014">
            <w:pPr>
              <w:pStyle w:val="41"/>
              <w:rPr>
                <w:color w:val="auto"/>
                <w:highlight w:val="none"/>
              </w:rPr>
            </w:pPr>
          </w:p>
        </w:tc>
        <w:tc>
          <w:tcPr>
            <w:tcW w:w="268" w:type="pct"/>
            <w:vMerge w:val="continue"/>
            <w:tcBorders>
              <w:tl2br w:val="nil"/>
              <w:tr2bl w:val="nil"/>
            </w:tcBorders>
            <w:vAlign w:val="center"/>
          </w:tcPr>
          <w:p w14:paraId="51AA286E">
            <w:pPr>
              <w:pStyle w:val="41"/>
              <w:rPr>
                <w:color w:val="auto"/>
                <w:highlight w:val="none"/>
              </w:rPr>
            </w:pPr>
          </w:p>
        </w:tc>
        <w:tc>
          <w:tcPr>
            <w:tcW w:w="2846" w:type="pct"/>
            <w:tcBorders>
              <w:tl2br w:val="nil"/>
              <w:tr2bl w:val="nil"/>
            </w:tcBorders>
            <w:vAlign w:val="center"/>
          </w:tcPr>
          <w:p w14:paraId="07DDE3A6">
            <w:pPr>
              <w:pStyle w:val="41"/>
              <w:rPr>
                <w:color w:val="auto"/>
                <w:highlight w:val="none"/>
              </w:rPr>
            </w:pPr>
            <w:r>
              <w:rPr>
                <w:color w:val="auto"/>
                <w:highlight w:val="none"/>
              </w:rPr>
              <w:t>〔A1.1-2〕禁止建设不符合国家和自治区环境保护标准的项目。</w:t>
            </w:r>
          </w:p>
        </w:tc>
        <w:tc>
          <w:tcPr>
            <w:tcW w:w="1293" w:type="pct"/>
            <w:tcBorders>
              <w:tl2br w:val="nil"/>
              <w:tr2bl w:val="nil"/>
            </w:tcBorders>
            <w:vAlign w:val="center"/>
          </w:tcPr>
          <w:p w14:paraId="6673090E">
            <w:pPr>
              <w:pStyle w:val="41"/>
              <w:rPr>
                <w:color w:val="auto"/>
                <w:highlight w:val="none"/>
              </w:rPr>
            </w:pPr>
            <w:r>
              <w:rPr>
                <w:rFonts w:hint="eastAsia"/>
                <w:color w:val="auto"/>
                <w:highlight w:val="none"/>
              </w:rPr>
              <w:t>本项目符合</w:t>
            </w:r>
            <w:r>
              <w:rPr>
                <w:color w:val="auto"/>
                <w:highlight w:val="none"/>
              </w:rPr>
              <w:t>国家和自治区环境保护标准</w:t>
            </w:r>
            <w:r>
              <w:rPr>
                <w:rFonts w:hint="eastAsia"/>
                <w:color w:val="auto"/>
                <w:highlight w:val="none"/>
              </w:rPr>
              <w:t>。</w:t>
            </w:r>
          </w:p>
        </w:tc>
        <w:tc>
          <w:tcPr>
            <w:tcW w:w="456" w:type="pct"/>
            <w:tcBorders>
              <w:tl2br w:val="nil"/>
              <w:tr2bl w:val="nil"/>
            </w:tcBorders>
            <w:vAlign w:val="center"/>
          </w:tcPr>
          <w:p w14:paraId="662F4F4D">
            <w:pPr>
              <w:pStyle w:val="41"/>
              <w:rPr>
                <w:color w:val="auto"/>
                <w:highlight w:val="none"/>
              </w:rPr>
            </w:pPr>
            <w:r>
              <w:rPr>
                <w:rFonts w:hint="eastAsia"/>
                <w:color w:val="auto"/>
                <w:highlight w:val="none"/>
              </w:rPr>
              <w:t>符合</w:t>
            </w:r>
          </w:p>
        </w:tc>
      </w:tr>
      <w:tr w14:paraId="22F310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5" w:type="pct"/>
            <w:vMerge w:val="continue"/>
            <w:tcBorders>
              <w:tl2br w:val="nil"/>
              <w:tr2bl w:val="nil"/>
            </w:tcBorders>
            <w:vAlign w:val="center"/>
          </w:tcPr>
          <w:p w14:paraId="2DD57CD8">
            <w:pPr>
              <w:pStyle w:val="41"/>
              <w:rPr>
                <w:color w:val="auto"/>
                <w:highlight w:val="none"/>
              </w:rPr>
            </w:pPr>
          </w:p>
        </w:tc>
        <w:tc>
          <w:tcPr>
            <w:tcW w:w="268" w:type="pct"/>
            <w:vMerge w:val="restart"/>
            <w:tcBorders>
              <w:tl2br w:val="nil"/>
              <w:tr2bl w:val="nil"/>
            </w:tcBorders>
            <w:vAlign w:val="center"/>
          </w:tcPr>
          <w:p w14:paraId="72233A7D">
            <w:pPr>
              <w:pStyle w:val="41"/>
              <w:rPr>
                <w:color w:val="auto"/>
                <w:highlight w:val="none"/>
              </w:rPr>
            </w:pPr>
            <w:r>
              <w:rPr>
                <w:color w:val="auto"/>
                <w:highlight w:val="none"/>
              </w:rPr>
              <w:t>A1.2限制开发建设的活动</w:t>
            </w:r>
          </w:p>
        </w:tc>
        <w:tc>
          <w:tcPr>
            <w:tcW w:w="2846" w:type="pct"/>
            <w:tcBorders>
              <w:tl2br w:val="nil"/>
              <w:tr2bl w:val="nil"/>
            </w:tcBorders>
            <w:vAlign w:val="center"/>
          </w:tcPr>
          <w:p w14:paraId="4C87CD50">
            <w:pPr>
              <w:pStyle w:val="41"/>
              <w:rPr>
                <w:color w:val="auto"/>
                <w:highlight w:val="none"/>
              </w:rPr>
            </w:pPr>
            <w:r>
              <w:rPr>
                <w:color w:val="auto"/>
                <w:highlight w:val="none"/>
              </w:rPr>
              <w:t>〔A1.2-1〕严格控制缺水地区、水污染严重区域和敏感区域高耗水、高污染行业发展。</w:t>
            </w:r>
          </w:p>
        </w:tc>
        <w:tc>
          <w:tcPr>
            <w:tcW w:w="1293" w:type="pct"/>
            <w:tcBorders>
              <w:tl2br w:val="nil"/>
              <w:tr2bl w:val="nil"/>
            </w:tcBorders>
            <w:vAlign w:val="center"/>
          </w:tcPr>
          <w:p w14:paraId="10DC524D">
            <w:pPr>
              <w:pStyle w:val="41"/>
              <w:rPr>
                <w:color w:val="auto"/>
                <w:highlight w:val="none"/>
              </w:rPr>
            </w:pPr>
            <w:r>
              <w:rPr>
                <w:rFonts w:hint="eastAsia"/>
                <w:color w:val="auto"/>
                <w:highlight w:val="none"/>
              </w:rPr>
              <w:t>本项目不属于</w:t>
            </w:r>
            <w:r>
              <w:rPr>
                <w:color w:val="auto"/>
                <w:highlight w:val="none"/>
              </w:rPr>
              <w:t>高耗水、高污染行业</w:t>
            </w:r>
            <w:r>
              <w:rPr>
                <w:rFonts w:hint="eastAsia"/>
                <w:color w:val="auto"/>
                <w:highlight w:val="none"/>
              </w:rPr>
              <w:t>。</w:t>
            </w:r>
          </w:p>
        </w:tc>
        <w:tc>
          <w:tcPr>
            <w:tcW w:w="456" w:type="pct"/>
            <w:tcBorders>
              <w:tl2br w:val="nil"/>
              <w:tr2bl w:val="nil"/>
            </w:tcBorders>
            <w:vAlign w:val="center"/>
          </w:tcPr>
          <w:p w14:paraId="6F4E1E73">
            <w:pPr>
              <w:pStyle w:val="41"/>
              <w:rPr>
                <w:color w:val="auto"/>
                <w:highlight w:val="none"/>
              </w:rPr>
            </w:pPr>
            <w:r>
              <w:rPr>
                <w:rFonts w:hint="eastAsia"/>
                <w:color w:val="auto"/>
                <w:highlight w:val="none"/>
              </w:rPr>
              <w:t>符合</w:t>
            </w:r>
          </w:p>
        </w:tc>
      </w:tr>
      <w:tr w14:paraId="6E9C53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135" w:type="pct"/>
            <w:vMerge w:val="continue"/>
            <w:tcBorders>
              <w:tl2br w:val="nil"/>
              <w:tr2bl w:val="nil"/>
            </w:tcBorders>
            <w:vAlign w:val="center"/>
          </w:tcPr>
          <w:p w14:paraId="61D649AC">
            <w:pPr>
              <w:pStyle w:val="41"/>
              <w:rPr>
                <w:color w:val="auto"/>
                <w:highlight w:val="none"/>
              </w:rPr>
            </w:pPr>
          </w:p>
        </w:tc>
        <w:tc>
          <w:tcPr>
            <w:tcW w:w="268" w:type="pct"/>
            <w:vMerge w:val="continue"/>
            <w:tcBorders>
              <w:tl2br w:val="nil"/>
              <w:tr2bl w:val="nil"/>
            </w:tcBorders>
            <w:vAlign w:val="center"/>
          </w:tcPr>
          <w:p w14:paraId="74D546F7">
            <w:pPr>
              <w:pStyle w:val="41"/>
              <w:rPr>
                <w:color w:val="auto"/>
                <w:highlight w:val="none"/>
              </w:rPr>
            </w:pPr>
          </w:p>
        </w:tc>
        <w:tc>
          <w:tcPr>
            <w:tcW w:w="2846" w:type="pct"/>
            <w:tcBorders>
              <w:tl2br w:val="nil"/>
              <w:tr2bl w:val="nil"/>
            </w:tcBorders>
            <w:vAlign w:val="center"/>
          </w:tcPr>
          <w:p w14:paraId="351058C2">
            <w:pPr>
              <w:pStyle w:val="41"/>
              <w:rPr>
                <w:color w:val="auto"/>
                <w:highlight w:val="none"/>
              </w:rPr>
            </w:pPr>
            <w:r>
              <w:rPr>
                <w:color w:val="auto"/>
                <w:highlight w:val="none"/>
              </w:rPr>
              <w:t>〔A1.2-2〕建设项目用地原则上不得占用永久基本农田，确需占用永久基本农田的建设项目须符合《中华人民共和国基本农田保护条例》中相关要求，占用耕地、林地或草地的建设项目须按照国家、自治区相关补偿要求进行补偿。</w:t>
            </w:r>
          </w:p>
        </w:tc>
        <w:tc>
          <w:tcPr>
            <w:tcW w:w="1293" w:type="pct"/>
            <w:tcBorders>
              <w:tl2br w:val="nil"/>
              <w:tr2bl w:val="nil"/>
            </w:tcBorders>
            <w:vAlign w:val="center"/>
          </w:tcPr>
          <w:p w14:paraId="4F29DB06">
            <w:pPr>
              <w:pStyle w:val="41"/>
              <w:rPr>
                <w:color w:val="auto"/>
                <w:highlight w:val="none"/>
              </w:rPr>
            </w:pPr>
            <w:r>
              <w:rPr>
                <w:rFonts w:hint="eastAsia"/>
                <w:color w:val="auto"/>
                <w:highlight w:val="none"/>
              </w:rPr>
              <w:t>本项目占地范围内不涉及基本农田。</w:t>
            </w:r>
          </w:p>
        </w:tc>
        <w:tc>
          <w:tcPr>
            <w:tcW w:w="456" w:type="pct"/>
            <w:tcBorders>
              <w:tl2br w:val="nil"/>
              <w:tr2bl w:val="nil"/>
            </w:tcBorders>
            <w:vAlign w:val="center"/>
          </w:tcPr>
          <w:p w14:paraId="13C45923">
            <w:pPr>
              <w:pStyle w:val="41"/>
              <w:rPr>
                <w:color w:val="auto"/>
                <w:highlight w:val="none"/>
              </w:rPr>
            </w:pPr>
            <w:r>
              <w:rPr>
                <w:rFonts w:hint="eastAsia"/>
                <w:color w:val="auto"/>
                <w:highlight w:val="none"/>
              </w:rPr>
              <w:t>符合</w:t>
            </w:r>
          </w:p>
        </w:tc>
      </w:tr>
      <w:tr w14:paraId="757DB4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135" w:type="pct"/>
            <w:vMerge w:val="continue"/>
            <w:tcBorders>
              <w:tl2br w:val="nil"/>
              <w:tr2bl w:val="nil"/>
            </w:tcBorders>
            <w:vAlign w:val="center"/>
          </w:tcPr>
          <w:p w14:paraId="7E2A2009">
            <w:pPr>
              <w:pStyle w:val="41"/>
              <w:rPr>
                <w:color w:val="auto"/>
                <w:highlight w:val="none"/>
              </w:rPr>
            </w:pPr>
          </w:p>
        </w:tc>
        <w:tc>
          <w:tcPr>
            <w:tcW w:w="268" w:type="pct"/>
            <w:vMerge w:val="continue"/>
            <w:tcBorders>
              <w:tl2br w:val="nil"/>
              <w:tr2bl w:val="nil"/>
            </w:tcBorders>
            <w:vAlign w:val="center"/>
          </w:tcPr>
          <w:p w14:paraId="311BFA13">
            <w:pPr>
              <w:pStyle w:val="41"/>
              <w:rPr>
                <w:color w:val="auto"/>
                <w:highlight w:val="none"/>
              </w:rPr>
            </w:pPr>
          </w:p>
        </w:tc>
        <w:tc>
          <w:tcPr>
            <w:tcW w:w="2846" w:type="pct"/>
            <w:tcBorders>
              <w:tl2br w:val="nil"/>
              <w:tr2bl w:val="nil"/>
            </w:tcBorders>
            <w:vAlign w:val="center"/>
          </w:tcPr>
          <w:p w14:paraId="195567AC">
            <w:pPr>
              <w:pStyle w:val="41"/>
              <w:rPr>
                <w:color w:val="auto"/>
                <w:highlight w:val="none"/>
              </w:rPr>
            </w:pPr>
            <w:r>
              <w:rPr>
                <w:color w:val="auto"/>
                <w:highlight w:val="none"/>
              </w:rPr>
              <w:t>〔A1.2-4〕严格控制建设项目占用湿地。因国家和自治区重点建设工程、基础设施建设，以及重点公益性项目建设，确需占用湿地的，应当按照有关</w:t>
            </w:r>
            <w:r>
              <w:rPr>
                <w:rFonts w:hint="eastAsia"/>
                <w:color w:val="auto"/>
                <w:highlight w:val="none"/>
              </w:rPr>
              <w:t>法律法规</w:t>
            </w:r>
            <w:r>
              <w:rPr>
                <w:color w:val="auto"/>
                <w:highlight w:val="none"/>
              </w:rPr>
              <w:t>规定的权限和程序办理批准手续。</w:t>
            </w:r>
          </w:p>
        </w:tc>
        <w:tc>
          <w:tcPr>
            <w:tcW w:w="1293" w:type="pct"/>
            <w:tcBorders>
              <w:tl2br w:val="nil"/>
              <w:tr2bl w:val="nil"/>
            </w:tcBorders>
            <w:vAlign w:val="center"/>
          </w:tcPr>
          <w:p w14:paraId="7C76F0DF">
            <w:pPr>
              <w:pStyle w:val="41"/>
              <w:rPr>
                <w:color w:val="auto"/>
                <w:highlight w:val="none"/>
              </w:rPr>
            </w:pPr>
            <w:r>
              <w:rPr>
                <w:rFonts w:hint="eastAsia"/>
                <w:color w:val="auto"/>
                <w:highlight w:val="none"/>
              </w:rPr>
              <w:t>本项目不占用湿地。</w:t>
            </w:r>
          </w:p>
        </w:tc>
        <w:tc>
          <w:tcPr>
            <w:tcW w:w="456" w:type="pct"/>
            <w:tcBorders>
              <w:tl2br w:val="nil"/>
              <w:tr2bl w:val="nil"/>
            </w:tcBorders>
            <w:vAlign w:val="center"/>
          </w:tcPr>
          <w:p w14:paraId="7A038E79">
            <w:pPr>
              <w:pStyle w:val="41"/>
              <w:rPr>
                <w:color w:val="auto"/>
                <w:highlight w:val="none"/>
              </w:rPr>
            </w:pPr>
            <w:r>
              <w:rPr>
                <w:rFonts w:hint="eastAsia"/>
                <w:color w:val="auto"/>
                <w:highlight w:val="none"/>
              </w:rPr>
              <w:t>符合</w:t>
            </w:r>
          </w:p>
        </w:tc>
      </w:tr>
      <w:tr w14:paraId="58A137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135" w:type="pct"/>
            <w:vMerge w:val="continue"/>
            <w:tcBorders>
              <w:tl2br w:val="nil"/>
              <w:tr2bl w:val="nil"/>
            </w:tcBorders>
            <w:vAlign w:val="center"/>
          </w:tcPr>
          <w:p w14:paraId="728A9496">
            <w:pPr>
              <w:pStyle w:val="41"/>
              <w:rPr>
                <w:color w:val="auto"/>
                <w:highlight w:val="none"/>
              </w:rPr>
            </w:pPr>
          </w:p>
        </w:tc>
        <w:tc>
          <w:tcPr>
            <w:tcW w:w="268" w:type="pct"/>
            <w:vMerge w:val="continue"/>
            <w:tcBorders>
              <w:tl2br w:val="nil"/>
              <w:tr2bl w:val="nil"/>
            </w:tcBorders>
            <w:vAlign w:val="center"/>
          </w:tcPr>
          <w:p w14:paraId="4973430A">
            <w:pPr>
              <w:pStyle w:val="41"/>
              <w:rPr>
                <w:color w:val="auto"/>
                <w:highlight w:val="none"/>
              </w:rPr>
            </w:pPr>
          </w:p>
        </w:tc>
        <w:tc>
          <w:tcPr>
            <w:tcW w:w="2846" w:type="pct"/>
            <w:tcBorders>
              <w:tl2br w:val="nil"/>
              <w:tr2bl w:val="nil"/>
            </w:tcBorders>
            <w:vAlign w:val="center"/>
          </w:tcPr>
          <w:p w14:paraId="65DFBCE8">
            <w:pPr>
              <w:pStyle w:val="41"/>
              <w:rPr>
                <w:color w:val="auto"/>
                <w:highlight w:val="none"/>
              </w:rPr>
            </w:pPr>
            <w:r>
              <w:rPr>
                <w:color w:val="auto"/>
                <w:highlight w:val="none"/>
              </w:rPr>
              <w:t>〔A1.2-5〕严格管控自然保护地范围内非生态活动，稳妥推进核心区内居民、耕地有序退出，矿权依法依规退出。</w:t>
            </w:r>
          </w:p>
        </w:tc>
        <w:tc>
          <w:tcPr>
            <w:tcW w:w="1293" w:type="pct"/>
            <w:tcBorders>
              <w:tl2br w:val="nil"/>
              <w:tr2bl w:val="nil"/>
            </w:tcBorders>
            <w:vAlign w:val="center"/>
          </w:tcPr>
          <w:p w14:paraId="535F0E29">
            <w:pPr>
              <w:pStyle w:val="41"/>
              <w:rPr>
                <w:color w:val="auto"/>
                <w:highlight w:val="none"/>
              </w:rPr>
            </w:pPr>
            <w:r>
              <w:rPr>
                <w:rFonts w:hint="eastAsia"/>
                <w:color w:val="auto"/>
                <w:highlight w:val="none"/>
              </w:rPr>
              <w:t>本项目不在自然保护地范围内。</w:t>
            </w:r>
          </w:p>
        </w:tc>
        <w:tc>
          <w:tcPr>
            <w:tcW w:w="456" w:type="pct"/>
            <w:tcBorders>
              <w:tl2br w:val="nil"/>
              <w:tr2bl w:val="nil"/>
            </w:tcBorders>
            <w:vAlign w:val="center"/>
          </w:tcPr>
          <w:p w14:paraId="00AF1ABB">
            <w:pPr>
              <w:pStyle w:val="41"/>
              <w:rPr>
                <w:color w:val="auto"/>
                <w:highlight w:val="none"/>
              </w:rPr>
            </w:pPr>
            <w:r>
              <w:rPr>
                <w:rFonts w:hint="eastAsia"/>
                <w:color w:val="auto"/>
                <w:highlight w:val="none"/>
              </w:rPr>
              <w:t>符合</w:t>
            </w:r>
          </w:p>
        </w:tc>
      </w:tr>
      <w:tr w14:paraId="54B9A6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135" w:type="pct"/>
            <w:vMerge w:val="continue"/>
            <w:tcBorders>
              <w:tl2br w:val="nil"/>
              <w:tr2bl w:val="nil"/>
            </w:tcBorders>
            <w:vAlign w:val="center"/>
          </w:tcPr>
          <w:p w14:paraId="3BDFB7BD">
            <w:pPr>
              <w:pStyle w:val="41"/>
              <w:rPr>
                <w:color w:val="auto"/>
                <w:highlight w:val="none"/>
              </w:rPr>
            </w:pPr>
          </w:p>
        </w:tc>
        <w:tc>
          <w:tcPr>
            <w:tcW w:w="268" w:type="pct"/>
            <w:vMerge w:val="restart"/>
            <w:tcBorders>
              <w:tl2br w:val="nil"/>
              <w:tr2bl w:val="nil"/>
            </w:tcBorders>
            <w:vAlign w:val="center"/>
          </w:tcPr>
          <w:p w14:paraId="10989EF6">
            <w:pPr>
              <w:pStyle w:val="41"/>
              <w:rPr>
                <w:color w:val="auto"/>
                <w:highlight w:val="none"/>
              </w:rPr>
            </w:pPr>
            <w:r>
              <w:rPr>
                <w:color w:val="auto"/>
                <w:highlight w:val="none"/>
              </w:rPr>
              <w:t>A1.3不符合空间布局要求活动的退出要求</w:t>
            </w:r>
          </w:p>
        </w:tc>
        <w:tc>
          <w:tcPr>
            <w:tcW w:w="2846" w:type="pct"/>
            <w:tcBorders>
              <w:tl2br w:val="nil"/>
              <w:tr2bl w:val="nil"/>
            </w:tcBorders>
            <w:vAlign w:val="center"/>
          </w:tcPr>
          <w:p w14:paraId="4A16F9EA">
            <w:pPr>
              <w:pStyle w:val="41"/>
              <w:rPr>
                <w:color w:val="auto"/>
                <w:highlight w:val="none"/>
              </w:rPr>
            </w:pPr>
            <w:r>
              <w:rPr>
                <w:color w:val="auto"/>
                <w:highlight w:val="none"/>
              </w:rPr>
              <w:t>〔A1.3-1〕任何单位和个人不得在水源涵养区、饮用水水源保护区内和河流、湖泊、水库周围建设重化工、涉重金属等工业污染项目；对已建成的工业污染项目，当地人民政府应当组织限期搬迁。</w:t>
            </w:r>
          </w:p>
        </w:tc>
        <w:tc>
          <w:tcPr>
            <w:tcW w:w="1293" w:type="pct"/>
            <w:tcBorders>
              <w:tl2br w:val="nil"/>
              <w:tr2bl w:val="nil"/>
            </w:tcBorders>
            <w:vAlign w:val="center"/>
          </w:tcPr>
          <w:p w14:paraId="6E7E68D6">
            <w:pPr>
              <w:pStyle w:val="41"/>
              <w:rPr>
                <w:color w:val="auto"/>
                <w:highlight w:val="none"/>
              </w:rPr>
            </w:pPr>
            <w:r>
              <w:rPr>
                <w:rFonts w:hint="eastAsia"/>
                <w:color w:val="auto"/>
                <w:highlight w:val="none"/>
              </w:rPr>
              <w:t>本项目周边1km范围无在</w:t>
            </w:r>
            <w:r>
              <w:rPr>
                <w:color w:val="auto"/>
                <w:highlight w:val="none"/>
              </w:rPr>
              <w:t>水源涵养区、饮用水水源保护区内和河流、湖泊、水库</w:t>
            </w:r>
            <w:r>
              <w:rPr>
                <w:rFonts w:hint="eastAsia"/>
                <w:color w:val="auto"/>
                <w:highlight w:val="none"/>
              </w:rPr>
              <w:t>等，并且本项目不属于</w:t>
            </w:r>
            <w:r>
              <w:rPr>
                <w:color w:val="auto"/>
                <w:highlight w:val="none"/>
              </w:rPr>
              <w:t>重化工、涉重金属等工业污染项目</w:t>
            </w:r>
            <w:r>
              <w:rPr>
                <w:rFonts w:hint="eastAsia"/>
                <w:color w:val="auto"/>
                <w:highlight w:val="none"/>
              </w:rPr>
              <w:t>。</w:t>
            </w:r>
          </w:p>
        </w:tc>
        <w:tc>
          <w:tcPr>
            <w:tcW w:w="456" w:type="pct"/>
            <w:tcBorders>
              <w:tl2br w:val="nil"/>
              <w:tr2bl w:val="nil"/>
            </w:tcBorders>
            <w:vAlign w:val="center"/>
          </w:tcPr>
          <w:p w14:paraId="0288C9FD">
            <w:pPr>
              <w:pStyle w:val="41"/>
              <w:rPr>
                <w:color w:val="auto"/>
                <w:highlight w:val="none"/>
              </w:rPr>
            </w:pPr>
            <w:r>
              <w:rPr>
                <w:rFonts w:hint="eastAsia"/>
                <w:color w:val="auto"/>
                <w:highlight w:val="none"/>
              </w:rPr>
              <w:t>符合</w:t>
            </w:r>
          </w:p>
        </w:tc>
      </w:tr>
      <w:tr w14:paraId="7A6CA23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135" w:type="pct"/>
            <w:vMerge w:val="continue"/>
            <w:tcBorders>
              <w:tl2br w:val="nil"/>
              <w:tr2bl w:val="nil"/>
            </w:tcBorders>
            <w:vAlign w:val="center"/>
          </w:tcPr>
          <w:p w14:paraId="712CFAE9">
            <w:pPr>
              <w:pStyle w:val="41"/>
              <w:rPr>
                <w:color w:val="auto"/>
                <w:highlight w:val="none"/>
              </w:rPr>
            </w:pPr>
          </w:p>
        </w:tc>
        <w:tc>
          <w:tcPr>
            <w:tcW w:w="268" w:type="pct"/>
            <w:vMerge w:val="continue"/>
            <w:tcBorders>
              <w:tl2br w:val="nil"/>
              <w:tr2bl w:val="nil"/>
            </w:tcBorders>
            <w:vAlign w:val="center"/>
          </w:tcPr>
          <w:p w14:paraId="65A2BCEB">
            <w:pPr>
              <w:pStyle w:val="41"/>
              <w:rPr>
                <w:color w:val="auto"/>
                <w:highlight w:val="none"/>
              </w:rPr>
            </w:pPr>
          </w:p>
        </w:tc>
        <w:tc>
          <w:tcPr>
            <w:tcW w:w="2846" w:type="pct"/>
            <w:tcBorders>
              <w:tl2br w:val="nil"/>
              <w:tr2bl w:val="nil"/>
            </w:tcBorders>
            <w:vAlign w:val="center"/>
          </w:tcPr>
          <w:p w14:paraId="2F368260">
            <w:pPr>
              <w:pStyle w:val="41"/>
              <w:rPr>
                <w:color w:val="auto"/>
                <w:highlight w:val="none"/>
              </w:rPr>
            </w:pPr>
            <w:r>
              <w:rPr>
                <w:color w:val="auto"/>
                <w:highlight w:val="none"/>
              </w:rPr>
              <w:t>〔A1.3-2〕对不符合国家产业政策、严重污染水环境的生产项目全部予以取缔。</w:t>
            </w:r>
          </w:p>
        </w:tc>
        <w:tc>
          <w:tcPr>
            <w:tcW w:w="1293" w:type="pct"/>
            <w:tcBorders>
              <w:tl2br w:val="nil"/>
              <w:tr2bl w:val="nil"/>
            </w:tcBorders>
            <w:vAlign w:val="center"/>
          </w:tcPr>
          <w:p w14:paraId="59347224">
            <w:pPr>
              <w:pStyle w:val="41"/>
              <w:rPr>
                <w:color w:val="auto"/>
                <w:highlight w:val="none"/>
              </w:rPr>
            </w:pPr>
            <w:r>
              <w:rPr>
                <w:rFonts w:hint="eastAsia"/>
                <w:color w:val="auto"/>
                <w:highlight w:val="none"/>
              </w:rPr>
              <w:t>本项目符合国家产业政策，且本项目生产废水循环利用，生活污水经处理后进行综合利用，均不外排。</w:t>
            </w:r>
          </w:p>
        </w:tc>
        <w:tc>
          <w:tcPr>
            <w:tcW w:w="456" w:type="pct"/>
            <w:tcBorders>
              <w:tl2br w:val="nil"/>
              <w:tr2bl w:val="nil"/>
            </w:tcBorders>
            <w:vAlign w:val="center"/>
          </w:tcPr>
          <w:p w14:paraId="4C0BC40A">
            <w:pPr>
              <w:pStyle w:val="41"/>
              <w:rPr>
                <w:color w:val="auto"/>
                <w:highlight w:val="none"/>
              </w:rPr>
            </w:pPr>
            <w:r>
              <w:rPr>
                <w:rFonts w:hint="eastAsia"/>
                <w:color w:val="auto"/>
                <w:highlight w:val="none"/>
              </w:rPr>
              <w:t>符合</w:t>
            </w:r>
          </w:p>
        </w:tc>
      </w:tr>
      <w:tr w14:paraId="025C7D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135" w:type="pct"/>
            <w:vMerge w:val="continue"/>
            <w:tcBorders>
              <w:tl2br w:val="nil"/>
              <w:tr2bl w:val="nil"/>
            </w:tcBorders>
            <w:vAlign w:val="center"/>
          </w:tcPr>
          <w:p w14:paraId="349868CE">
            <w:pPr>
              <w:pStyle w:val="41"/>
              <w:rPr>
                <w:color w:val="auto"/>
                <w:highlight w:val="none"/>
              </w:rPr>
            </w:pPr>
          </w:p>
        </w:tc>
        <w:tc>
          <w:tcPr>
            <w:tcW w:w="268" w:type="pct"/>
            <w:tcBorders>
              <w:tl2br w:val="nil"/>
              <w:tr2bl w:val="nil"/>
            </w:tcBorders>
            <w:vAlign w:val="center"/>
          </w:tcPr>
          <w:p w14:paraId="55F989AA">
            <w:pPr>
              <w:pStyle w:val="41"/>
              <w:rPr>
                <w:color w:val="auto"/>
                <w:highlight w:val="none"/>
              </w:rPr>
            </w:pPr>
            <w:r>
              <w:rPr>
                <w:color w:val="auto"/>
                <w:highlight w:val="none"/>
              </w:rPr>
              <w:t>A1.4其它布局要求</w:t>
            </w:r>
          </w:p>
        </w:tc>
        <w:tc>
          <w:tcPr>
            <w:tcW w:w="2846" w:type="pct"/>
            <w:tcBorders>
              <w:tl2br w:val="nil"/>
              <w:tr2bl w:val="nil"/>
            </w:tcBorders>
            <w:vAlign w:val="center"/>
          </w:tcPr>
          <w:p w14:paraId="61232F00">
            <w:pPr>
              <w:pStyle w:val="41"/>
              <w:rPr>
                <w:color w:val="auto"/>
                <w:highlight w:val="none"/>
              </w:rPr>
            </w:pPr>
            <w:r>
              <w:rPr>
                <w:color w:val="auto"/>
                <w:highlight w:val="none"/>
              </w:rPr>
              <w:t>〔A1.4-1〕一切开发建设活动应符合国家、自治区主体功能区规划、</w:t>
            </w:r>
          </w:p>
          <w:p w14:paraId="1DCEF096">
            <w:pPr>
              <w:pStyle w:val="41"/>
              <w:rPr>
                <w:color w:val="auto"/>
                <w:highlight w:val="none"/>
              </w:rPr>
            </w:pPr>
            <w:r>
              <w:rPr>
                <w:color w:val="auto"/>
                <w:highlight w:val="none"/>
              </w:rPr>
              <w:t>自治区和各地颁布实施的生态环境功能区划、国民经济发展规划、产业发展规划、国土空间规划等相关规划及重点生态功能区负面清单要求，符合区域或产业规划环评要求。</w:t>
            </w:r>
          </w:p>
        </w:tc>
        <w:tc>
          <w:tcPr>
            <w:tcW w:w="1293" w:type="pct"/>
            <w:tcBorders>
              <w:tl2br w:val="nil"/>
              <w:tr2bl w:val="nil"/>
            </w:tcBorders>
            <w:vAlign w:val="center"/>
          </w:tcPr>
          <w:p w14:paraId="26F07F50">
            <w:pPr>
              <w:pStyle w:val="41"/>
              <w:rPr>
                <w:color w:val="auto"/>
                <w:highlight w:val="none"/>
              </w:rPr>
            </w:pPr>
            <w:r>
              <w:rPr>
                <w:rFonts w:hint="eastAsia"/>
                <w:color w:val="auto"/>
                <w:highlight w:val="none"/>
              </w:rPr>
              <w:t>本项目符合国</w:t>
            </w:r>
            <w:r>
              <w:rPr>
                <w:color w:val="auto"/>
                <w:highlight w:val="none"/>
              </w:rPr>
              <w:t>家、自治区主体功能区规划、自治区和各地颁布实施的生态环境功能区划、国民经济发展规划、产业发展规划、国土空间规划等相关规划</w:t>
            </w:r>
            <w:r>
              <w:rPr>
                <w:rFonts w:hint="eastAsia"/>
                <w:color w:val="auto"/>
                <w:highlight w:val="none"/>
              </w:rPr>
              <w:t>。不属于</w:t>
            </w:r>
            <w:r>
              <w:rPr>
                <w:color w:val="auto"/>
                <w:highlight w:val="none"/>
              </w:rPr>
              <w:t>重点生态功能区负面清单</w:t>
            </w:r>
            <w:r>
              <w:rPr>
                <w:rFonts w:hint="eastAsia"/>
                <w:color w:val="auto"/>
                <w:highlight w:val="none"/>
              </w:rPr>
              <w:t>所列项目。</w:t>
            </w:r>
          </w:p>
        </w:tc>
        <w:tc>
          <w:tcPr>
            <w:tcW w:w="456" w:type="pct"/>
            <w:tcBorders>
              <w:tl2br w:val="nil"/>
              <w:tr2bl w:val="nil"/>
            </w:tcBorders>
            <w:vAlign w:val="center"/>
          </w:tcPr>
          <w:p w14:paraId="7350EB36">
            <w:pPr>
              <w:pStyle w:val="41"/>
              <w:rPr>
                <w:color w:val="auto"/>
                <w:highlight w:val="none"/>
              </w:rPr>
            </w:pPr>
            <w:r>
              <w:rPr>
                <w:rFonts w:hint="eastAsia"/>
                <w:color w:val="auto"/>
                <w:highlight w:val="none"/>
              </w:rPr>
              <w:t>符合</w:t>
            </w:r>
          </w:p>
        </w:tc>
      </w:tr>
      <w:tr w14:paraId="4C8625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135" w:type="pct"/>
            <w:tcBorders>
              <w:tl2br w:val="nil"/>
              <w:tr2bl w:val="nil"/>
            </w:tcBorders>
            <w:vAlign w:val="center"/>
          </w:tcPr>
          <w:p w14:paraId="31583BD3">
            <w:pPr>
              <w:pStyle w:val="41"/>
              <w:rPr>
                <w:color w:val="auto"/>
                <w:highlight w:val="none"/>
              </w:rPr>
            </w:pPr>
            <w:r>
              <w:rPr>
                <w:color w:val="auto"/>
                <w:highlight w:val="none"/>
              </w:rPr>
              <w:t>A2污染物排放管控</w:t>
            </w:r>
          </w:p>
        </w:tc>
        <w:tc>
          <w:tcPr>
            <w:tcW w:w="268" w:type="pct"/>
            <w:tcBorders>
              <w:tl2br w:val="nil"/>
              <w:tr2bl w:val="nil"/>
            </w:tcBorders>
            <w:vAlign w:val="center"/>
          </w:tcPr>
          <w:p w14:paraId="20FBED1E">
            <w:pPr>
              <w:pStyle w:val="41"/>
              <w:rPr>
                <w:color w:val="auto"/>
                <w:highlight w:val="none"/>
              </w:rPr>
            </w:pPr>
            <w:r>
              <w:rPr>
                <w:color w:val="auto"/>
                <w:highlight w:val="none"/>
              </w:rPr>
              <w:t>A2.1污染物削减/替代要求</w:t>
            </w:r>
          </w:p>
        </w:tc>
        <w:tc>
          <w:tcPr>
            <w:tcW w:w="2846" w:type="pct"/>
            <w:tcBorders>
              <w:tl2br w:val="nil"/>
              <w:tr2bl w:val="nil"/>
            </w:tcBorders>
            <w:vAlign w:val="center"/>
          </w:tcPr>
          <w:p w14:paraId="7BC44BBF">
            <w:pPr>
              <w:pStyle w:val="41"/>
              <w:rPr>
                <w:color w:val="auto"/>
                <w:highlight w:val="none"/>
              </w:rPr>
            </w:pPr>
            <w:r>
              <w:rPr>
                <w:color w:val="auto"/>
                <w:highlight w:val="none"/>
              </w:rPr>
              <w:t>〔A2.1-1〕新、改、扩建重点行业建设项目应符合“三线一单”、产业政策、区域环评、规划环评和行业环境准入管控要求。重点区域的新、改、扩建重点行业建设项目应遵循重点重金属污染物排放“减量替代”原则。</w:t>
            </w:r>
          </w:p>
        </w:tc>
        <w:tc>
          <w:tcPr>
            <w:tcW w:w="1293" w:type="pct"/>
            <w:tcBorders>
              <w:tl2br w:val="nil"/>
              <w:tr2bl w:val="nil"/>
            </w:tcBorders>
            <w:vAlign w:val="center"/>
          </w:tcPr>
          <w:p w14:paraId="349AD2E7">
            <w:pPr>
              <w:pStyle w:val="41"/>
              <w:rPr>
                <w:color w:val="auto"/>
                <w:highlight w:val="none"/>
              </w:rPr>
            </w:pPr>
            <w:r>
              <w:rPr>
                <w:rFonts w:hint="eastAsia"/>
                <w:color w:val="auto"/>
                <w:highlight w:val="none"/>
              </w:rPr>
              <w:t>本项目符合分区管控、产业政策、自治区准入条件等相关要求。本项目位于阿图什，不属于重点区域。</w:t>
            </w:r>
          </w:p>
        </w:tc>
        <w:tc>
          <w:tcPr>
            <w:tcW w:w="456" w:type="pct"/>
            <w:tcBorders>
              <w:tl2br w:val="nil"/>
              <w:tr2bl w:val="nil"/>
            </w:tcBorders>
            <w:vAlign w:val="center"/>
          </w:tcPr>
          <w:p w14:paraId="3299ACC7">
            <w:pPr>
              <w:pStyle w:val="41"/>
              <w:rPr>
                <w:color w:val="auto"/>
                <w:highlight w:val="none"/>
              </w:rPr>
            </w:pPr>
            <w:r>
              <w:rPr>
                <w:rFonts w:hint="eastAsia"/>
                <w:color w:val="auto"/>
                <w:highlight w:val="none"/>
              </w:rPr>
              <w:t>符合</w:t>
            </w:r>
          </w:p>
        </w:tc>
      </w:tr>
      <w:tr w14:paraId="310FF80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135" w:type="pct"/>
            <w:vMerge w:val="restart"/>
            <w:tcBorders>
              <w:tl2br w:val="nil"/>
              <w:tr2bl w:val="nil"/>
            </w:tcBorders>
            <w:vAlign w:val="center"/>
          </w:tcPr>
          <w:p w14:paraId="515416CF">
            <w:pPr>
              <w:pStyle w:val="41"/>
              <w:rPr>
                <w:color w:val="auto"/>
                <w:highlight w:val="none"/>
              </w:rPr>
            </w:pPr>
          </w:p>
          <w:p w14:paraId="21FBDB9E">
            <w:pPr>
              <w:pStyle w:val="41"/>
              <w:rPr>
                <w:color w:val="auto"/>
                <w:highlight w:val="none"/>
              </w:rPr>
            </w:pPr>
            <w:r>
              <w:rPr>
                <w:color w:val="auto"/>
                <w:highlight w:val="none"/>
              </w:rPr>
              <w:t>A3环境风险防控</w:t>
            </w:r>
          </w:p>
        </w:tc>
        <w:tc>
          <w:tcPr>
            <w:tcW w:w="268" w:type="pct"/>
            <w:tcBorders>
              <w:tl2br w:val="nil"/>
              <w:tr2bl w:val="nil"/>
            </w:tcBorders>
            <w:vAlign w:val="center"/>
          </w:tcPr>
          <w:p w14:paraId="5624FCC3">
            <w:pPr>
              <w:pStyle w:val="41"/>
              <w:rPr>
                <w:color w:val="auto"/>
                <w:highlight w:val="none"/>
              </w:rPr>
            </w:pPr>
            <w:r>
              <w:rPr>
                <w:color w:val="auto"/>
                <w:highlight w:val="none"/>
              </w:rPr>
              <w:t>A3.1人居环境要求</w:t>
            </w:r>
          </w:p>
        </w:tc>
        <w:tc>
          <w:tcPr>
            <w:tcW w:w="2846" w:type="pct"/>
            <w:tcBorders>
              <w:tl2br w:val="nil"/>
              <w:tr2bl w:val="nil"/>
            </w:tcBorders>
            <w:vAlign w:val="center"/>
          </w:tcPr>
          <w:p w14:paraId="64019FCD">
            <w:pPr>
              <w:pStyle w:val="41"/>
              <w:rPr>
                <w:color w:val="auto"/>
                <w:highlight w:val="none"/>
              </w:rPr>
            </w:pPr>
            <w:r>
              <w:rPr>
                <w:color w:val="auto"/>
                <w:highlight w:val="none"/>
              </w:rPr>
              <w:t>〔A3.1-2〕对跨国境河流、涉及县级及以上集中式饮用水水源地的河流、其他重要环境敏感目标的河流，建立健全流域上下游突发水污染事件</w:t>
            </w:r>
            <w:r>
              <w:rPr>
                <w:rFonts w:hint="eastAsia"/>
                <w:color w:val="auto"/>
                <w:highlight w:val="none"/>
                <w:lang w:eastAsia="zh-CN"/>
              </w:rPr>
              <w:t>联防联控机制</w:t>
            </w:r>
            <w:r>
              <w:rPr>
                <w:color w:val="auto"/>
                <w:highlight w:val="none"/>
              </w:rPr>
              <w:t>，建立流域环境应急基础信息动态更新长效机制，绘制全流域</w:t>
            </w:r>
            <w:r>
              <w:rPr>
                <w:rFonts w:hint="eastAsia"/>
                <w:color w:val="auto"/>
                <w:highlight w:val="none"/>
              </w:rPr>
              <w:t>“</w:t>
            </w:r>
            <w:r>
              <w:rPr>
                <w:color w:val="auto"/>
                <w:highlight w:val="none"/>
              </w:rPr>
              <w:t>一河一策一图</w:t>
            </w:r>
            <w:r>
              <w:rPr>
                <w:rFonts w:hint="eastAsia"/>
                <w:color w:val="auto"/>
                <w:highlight w:val="none"/>
              </w:rPr>
              <w:t>”</w:t>
            </w:r>
            <w:r>
              <w:rPr>
                <w:color w:val="auto"/>
                <w:highlight w:val="none"/>
              </w:rPr>
              <w:t>。建立健全跨部门、跨区域的环境应急协调联动处置机制，强化流域上下游、兵地各部门协调，实施联合监测、联合执法、应急联动、信息共享，形成</w:t>
            </w:r>
            <w:r>
              <w:rPr>
                <w:rFonts w:hint="eastAsia"/>
                <w:color w:val="auto"/>
                <w:highlight w:val="none"/>
              </w:rPr>
              <w:t>“</w:t>
            </w:r>
            <w:r>
              <w:rPr>
                <w:color w:val="auto"/>
                <w:highlight w:val="none"/>
              </w:rPr>
              <w:t>政府引导、多元联动、社会参与、专业救援</w:t>
            </w:r>
            <w:r>
              <w:rPr>
                <w:rFonts w:hint="eastAsia"/>
                <w:color w:val="auto"/>
                <w:highlight w:val="none"/>
              </w:rPr>
              <w:t>”</w:t>
            </w:r>
            <w:r>
              <w:rPr>
                <w:color w:val="auto"/>
                <w:highlight w:val="none"/>
              </w:rPr>
              <w:t>的环境应急处置机制，持续开展应急综合演练，实现从被动应对到主动防控的重大转变。加强流域突发水环境事件应急能力建设，提升应急响应水平，加强监测预警、拦污控污、信息通报、协同处置、基础保障等工作，防范重大生态环境风险，坚决守住生态环境安全底线。</w:t>
            </w:r>
          </w:p>
        </w:tc>
        <w:tc>
          <w:tcPr>
            <w:tcW w:w="1293" w:type="pct"/>
            <w:tcBorders>
              <w:tl2br w:val="nil"/>
              <w:tr2bl w:val="nil"/>
            </w:tcBorders>
            <w:vAlign w:val="center"/>
          </w:tcPr>
          <w:p w14:paraId="2D5C68F2">
            <w:pPr>
              <w:pStyle w:val="41"/>
              <w:rPr>
                <w:color w:val="auto"/>
                <w:highlight w:val="none"/>
              </w:rPr>
            </w:pPr>
            <w:r>
              <w:rPr>
                <w:rFonts w:hint="eastAsia"/>
                <w:color w:val="auto"/>
                <w:highlight w:val="none"/>
              </w:rPr>
              <w:t>本项目不涉及</w:t>
            </w:r>
            <w:r>
              <w:rPr>
                <w:color w:val="auto"/>
                <w:highlight w:val="none"/>
              </w:rPr>
              <w:t>跨国境河流、涉及县级及以上集中式饮用水水源地的河流、其他重要环境敏感目标的河流</w:t>
            </w:r>
            <w:r>
              <w:rPr>
                <w:rFonts w:hint="eastAsia"/>
                <w:color w:val="auto"/>
                <w:highlight w:val="none"/>
              </w:rPr>
              <w:t>。</w:t>
            </w:r>
          </w:p>
        </w:tc>
        <w:tc>
          <w:tcPr>
            <w:tcW w:w="456" w:type="pct"/>
            <w:tcBorders>
              <w:tl2br w:val="nil"/>
              <w:tr2bl w:val="nil"/>
            </w:tcBorders>
            <w:vAlign w:val="center"/>
          </w:tcPr>
          <w:p w14:paraId="4D32CDDA">
            <w:pPr>
              <w:pStyle w:val="41"/>
              <w:rPr>
                <w:color w:val="auto"/>
                <w:highlight w:val="none"/>
              </w:rPr>
            </w:pPr>
            <w:r>
              <w:rPr>
                <w:rFonts w:hint="eastAsia"/>
                <w:color w:val="auto"/>
                <w:highlight w:val="none"/>
              </w:rPr>
              <w:t>符合</w:t>
            </w:r>
          </w:p>
        </w:tc>
      </w:tr>
      <w:tr w14:paraId="24FB1AC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35" w:type="pct"/>
            <w:vMerge w:val="continue"/>
            <w:tcBorders>
              <w:tl2br w:val="nil"/>
              <w:tr2bl w:val="nil"/>
            </w:tcBorders>
            <w:vAlign w:val="center"/>
          </w:tcPr>
          <w:p w14:paraId="4CAB7B49">
            <w:pPr>
              <w:pStyle w:val="41"/>
              <w:rPr>
                <w:color w:val="auto"/>
                <w:highlight w:val="none"/>
              </w:rPr>
            </w:pPr>
          </w:p>
        </w:tc>
        <w:tc>
          <w:tcPr>
            <w:tcW w:w="268" w:type="pct"/>
            <w:tcBorders>
              <w:tl2br w:val="nil"/>
              <w:tr2bl w:val="nil"/>
            </w:tcBorders>
            <w:vAlign w:val="center"/>
          </w:tcPr>
          <w:p w14:paraId="69A58FAF">
            <w:pPr>
              <w:pStyle w:val="41"/>
              <w:rPr>
                <w:color w:val="auto"/>
                <w:highlight w:val="none"/>
              </w:rPr>
            </w:pPr>
            <w:r>
              <w:rPr>
                <w:color w:val="auto"/>
                <w:highlight w:val="none"/>
              </w:rPr>
              <w:t>A3.2联防联控要求</w:t>
            </w:r>
          </w:p>
        </w:tc>
        <w:tc>
          <w:tcPr>
            <w:tcW w:w="2846" w:type="pct"/>
            <w:tcBorders>
              <w:top w:val="single" w:color="auto" w:sz="4" w:space="0"/>
              <w:tl2br w:val="nil"/>
              <w:tr2bl w:val="nil"/>
            </w:tcBorders>
            <w:shd w:val="clear" w:color="auto" w:fill="auto"/>
            <w:vAlign w:val="center"/>
          </w:tcPr>
          <w:p w14:paraId="0F86298F">
            <w:pPr>
              <w:pStyle w:val="41"/>
              <w:rPr>
                <w:color w:val="auto"/>
                <w:highlight w:val="none"/>
              </w:rPr>
            </w:pPr>
            <w:r>
              <w:rPr>
                <w:color w:val="auto"/>
                <w:highlight w:val="none"/>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293" w:type="pct"/>
            <w:tcBorders>
              <w:top w:val="single" w:color="auto" w:sz="4" w:space="0"/>
              <w:tl2br w:val="nil"/>
              <w:tr2bl w:val="nil"/>
            </w:tcBorders>
            <w:shd w:val="clear" w:color="auto" w:fill="auto"/>
            <w:vAlign w:val="center"/>
          </w:tcPr>
          <w:p w14:paraId="28F50587">
            <w:pPr>
              <w:pStyle w:val="41"/>
              <w:rPr>
                <w:color w:val="auto"/>
                <w:highlight w:val="none"/>
              </w:rPr>
            </w:pPr>
            <w:r>
              <w:rPr>
                <w:rFonts w:hint="eastAsia"/>
                <w:color w:val="auto"/>
                <w:highlight w:val="none"/>
              </w:rPr>
              <w:t>本项目编制</w:t>
            </w:r>
            <w:r>
              <w:rPr>
                <w:color w:val="auto"/>
                <w:highlight w:val="none"/>
              </w:rPr>
              <w:t>环境应急预案</w:t>
            </w:r>
            <w:r>
              <w:rPr>
                <w:rFonts w:hint="eastAsia"/>
                <w:color w:val="auto"/>
                <w:highlight w:val="none"/>
              </w:rPr>
              <w:t>；</w:t>
            </w:r>
            <w:r>
              <w:rPr>
                <w:color w:val="auto"/>
                <w:highlight w:val="none"/>
              </w:rPr>
              <w:t>定期开展应急演练，增强实战能力</w:t>
            </w:r>
            <w:r>
              <w:rPr>
                <w:rFonts w:hint="eastAsia"/>
                <w:color w:val="auto"/>
                <w:highlight w:val="none"/>
              </w:rPr>
              <w:t>。</w:t>
            </w:r>
          </w:p>
        </w:tc>
        <w:tc>
          <w:tcPr>
            <w:tcW w:w="456" w:type="pct"/>
            <w:tcBorders>
              <w:top w:val="single" w:color="auto" w:sz="4" w:space="0"/>
              <w:tl2br w:val="nil"/>
              <w:tr2bl w:val="nil"/>
            </w:tcBorders>
            <w:shd w:val="clear" w:color="auto" w:fill="auto"/>
            <w:vAlign w:val="center"/>
          </w:tcPr>
          <w:p w14:paraId="5AE1D6D2">
            <w:pPr>
              <w:pStyle w:val="41"/>
              <w:rPr>
                <w:color w:val="auto"/>
                <w:highlight w:val="none"/>
              </w:rPr>
            </w:pPr>
            <w:r>
              <w:rPr>
                <w:rFonts w:hint="eastAsia"/>
                <w:color w:val="auto"/>
                <w:highlight w:val="none"/>
              </w:rPr>
              <w:t>符合</w:t>
            </w:r>
          </w:p>
        </w:tc>
      </w:tr>
      <w:tr w14:paraId="381A016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50" w:hRule="atLeast"/>
          <w:jc w:val="center"/>
        </w:trPr>
        <w:tc>
          <w:tcPr>
            <w:tcW w:w="135" w:type="pct"/>
            <w:vMerge w:val="restart"/>
            <w:tcBorders>
              <w:tl2br w:val="nil"/>
              <w:tr2bl w:val="nil"/>
            </w:tcBorders>
            <w:vAlign w:val="center"/>
          </w:tcPr>
          <w:p w14:paraId="503EC14C">
            <w:pPr>
              <w:pStyle w:val="41"/>
              <w:rPr>
                <w:color w:val="auto"/>
                <w:highlight w:val="none"/>
              </w:rPr>
            </w:pPr>
            <w:r>
              <w:rPr>
                <w:color w:val="auto"/>
                <w:highlight w:val="none"/>
              </w:rPr>
              <w:t>A4资源利用要求</w:t>
            </w:r>
          </w:p>
        </w:tc>
        <w:tc>
          <w:tcPr>
            <w:tcW w:w="268" w:type="pct"/>
            <w:tcBorders>
              <w:tl2br w:val="nil"/>
              <w:tr2bl w:val="nil"/>
            </w:tcBorders>
            <w:vAlign w:val="center"/>
          </w:tcPr>
          <w:p w14:paraId="128A5043">
            <w:pPr>
              <w:pStyle w:val="41"/>
              <w:rPr>
                <w:color w:val="auto"/>
                <w:highlight w:val="none"/>
              </w:rPr>
            </w:pPr>
            <w:r>
              <w:rPr>
                <w:color w:val="auto"/>
                <w:highlight w:val="none"/>
              </w:rPr>
              <w:t>A4.1水资源</w:t>
            </w:r>
          </w:p>
        </w:tc>
        <w:tc>
          <w:tcPr>
            <w:tcW w:w="2846" w:type="pct"/>
            <w:tcBorders>
              <w:tl2br w:val="nil"/>
              <w:tr2bl w:val="nil"/>
            </w:tcBorders>
            <w:vAlign w:val="center"/>
          </w:tcPr>
          <w:p w14:paraId="5F35D109">
            <w:pPr>
              <w:pStyle w:val="41"/>
              <w:rPr>
                <w:color w:val="auto"/>
                <w:highlight w:val="none"/>
              </w:rPr>
            </w:pPr>
            <w:r>
              <w:rPr>
                <w:color w:val="auto"/>
                <w:highlight w:val="none"/>
              </w:rPr>
              <w:t>〔A4.1-4〕地下水资源利用实行总量控制和水位控制。取用地下水资源，应当按照国家和自治区有关规定申请取水许可。地下水利用应当以浅层地下水为主。</w:t>
            </w:r>
          </w:p>
        </w:tc>
        <w:tc>
          <w:tcPr>
            <w:tcW w:w="1293" w:type="pct"/>
            <w:tcBorders>
              <w:tl2br w:val="nil"/>
              <w:tr2bl w:val="nil"/>
            </w:tcBorders>
            <w:vAlign w:val="center"/>
          </w:tcPr>
          <w:p w14:paraId="2EA1370A">
            <w:pPr>
              <w:pStyle w:val="41"/>
              <w:rPr>
                <w:color w:val="auto"/>
                <w:highlight w:val="none"/>
              </w:rPr>
            </w:pPr>
            <w:r>
              <w:rPr>
                <w:rFonts w:hint="eastAsia"/>
                <w:color w:val="auto"/>
                <w:highlight w:val="none"/>
              </w:rPr>
              <w:t>本项目已取得取水许可。</w:t>
            </w:r>
          </w:p>
        </w:tc>
        <w:tc>
          <w:tcPr>
            <w:tcW w:w="456" w:type="pct"/>
            <w:tcBorders>
              <w:tl2br w:val="nil"/>
              <w:tr2bl w:val="nil"/>
            </w:tcBorders>
            <w:vAlign w:val="center"/>
          </w:tcPr>
          <w:p w14:paraId="79C93C44">
            <w:pPr>
              <w:pStyle w:val="41"/>
              <w:rPr>
                <w:color w:val="auto"/>
                <w:highlight w:val="none"/>
              </w:rPr>
            </w:pPr>
            <w:r>
              <w:rPr>
                <w:rFonts w:hint="eastAsia"/>
                <w:color w:val="auto"/>
                <w:highlight w:val="none"/>
              </w:rPr>
              <w:t>符合</w:t>
            </w:r>
          </w:p>
        </w:tc>
      </w:tr>
      <w:tr w14:paraId="29A487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135" w:type="pct"/>
            <w:vMerge w:val="continue"/>
            <w:tcBorders>
              <w:tl2br w:val="nil"/>
              <w:tr2bl w:val="nil"/>
            </w:tcBorders>
            <w:vAlign w:val="center"/>
          </w:tcPr>
          <w:p w14:paraId="58B49A44">
            <w:pPr>
              <w:pStyle w:val="41"/>
              <w:rPr>
                <w:color w:val="auto"/>
                <w:highlight w:val="none"/>
              </w:rPr>
            </w:pPr>
          </w:p>
        </w:tc>
        <w:tc>
          <w:tcPr>
            <w:tcW w:w="268" w:type="pct"/>
            <w:tcBorders>
              <w:tl2br w:val="nil"/>
              <w:tr2bl w:val="nil"/>
            </w:tcBorders>
            <w:vAlign w:val="center"/>
          </w:tcPr>
          <w:p w14:paraId="238F1858">
            <w:pPr>
              <w:pStyle w:val="41"/>
              <w:rPr>
                <w:color w:val="auto"/>
                <w:highlight w:val="none"/>
              </w:rPr>
            </w:pPr>
            <w:r>
              <w:rPr>
                <w:color w:val="auto"/>
                <w:highlight w:val="none"/>
              </w:rPr>
              <w:t>A4.2土地资源</w:t>
            </w:r>
          </w:p>
        </w:tc>
        <w:tc>
          <w:tcPr>
            <w:tcW w:w="2846" w:type="pct"/>
            <w:tcBorders>
              <w:tl2br w:val="nil"/>
              <w:tr2bl w:val="nil"/>
            </w:tcBorders>
            <w:vAlign w:val="center"/>
          </w:tcPr>
          <w:p w14:paraId="43A5A230">
            <w:pPr>
              <w:pStyle w:val="41"/>
              <w:rPr>
                <w:color w:val="auto"/>
                <w:highlight w:val="none"/>
              </w:rPr>
            </w:pPr>
            <w:r>
              <w:rPr>
                <w:color w:val="auto"/>
                <w:highlight w:val="none"/>
              </w:rPr>
              <w:t>〔A4.2-1〕土地资源上线指标控制在最终批复的国土空间规划控制指标内。</w:t>
            </w:r>
          </w:p>
        </w:tc>
        <w:tc>
          <w:tcPr>
            <w:tcW w:w="1293" w:type="pct"/>
            <w:tcBorders>
              <w:tl2br w:val="nil"/>
              <w:tr2bl w:val="nil"/>
            </w:tcBorders>
            <w:vAlign w:val="center"/>
          </w:tcPr>
          <w:p w14:paraId="444BEA72">
            <w:pPr>
              <w:pStyle w:val="41"/>
              <w:rPr>
                <w:rFonts w:hint="eastAsia" w:eastAsia="华文中宋"/>
                <w:color w:val="auto"/>
                <w:highlight w:val="none"/>
                <w:lang w:eastAsia="zh-CN"/>
              </w:rPr>
            </w:pPr>
            <w:r>
              <w:rPr>
                <w:rFonts w:hint="eastAsia"/>
                <w:color w:val="auto"/>
                <w:highlight w:val="none"/>
              </w:rPr>
              <w:t>本项目已取得用地手续许可证</w:t>
            </w:r>
            <w:r>
              <w:rPr>
                <w:rFonts w:hint="eastAsia"/>
                <w:color w:val="auto"/>
                <w:highlight w:val="none"/>
                <w:lang w:eastAsia="zh-CN"/>
              </w:rPr>
              <w:t>。</w:t>
            </w:r>
          </w:p>
        </w:tc>
        <w:tc>
          <w:tcPr>
            <w:tcW w:w="456" w:type="pct"/>
            <w:tcBorders>
              <w:tl2br w:val="nil"/>
              <w:tr2bl w:val="nil"/>
            </w:tcBorders>
            <w:vAlign w:val="center"/>
          </w:tcPr>
          <w:p w14:paraId="2F6DFD8B">
            <w:pPr>
              <w:pStyle w:val="41"/>
              <w:rPr>
                <w:color w:val="auto"/>
                <w:highlight w:val="none"/>
              </w:rPr>
            </w:pPr>
            <w:r>
              <w:rPr>
                <w:rFonts w:hint="eastAsia"/>
                <w:color w:val="auto"/>
                <w:highlight w:val="none"/>
              </w:rPr>
              <w:t>符合</w:t>
            </w:r>
          </w:p>
        </w:tc>
      </w:tr>
      <w:tr w14:paraId="4AF2CE2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135" w:type="pct"/>
            <w:vMerge w:val="continue"/>
            <w:tcBorders>
              <w:tl2br w:val="nil"/>
              <w:tr2bl w:val="nil"/>
            </w:tcBorders>
            <w:vAlign w:val="center"/>
          </w:tcPr>
          <w:p w14:paraId="27DECBFB">
            <w:pPr>
              <w:pStyle w:val="41"/>
              <w:rPr>
                <w:color w:val="auto"/>
                <w:highlight w:val="none"/>
              </w:rPr>
            </w:pPr>
          </w:p>
        </w:tc>
        <w:tc>
          <w:tcPr>
            <w:tcW w:w="268" w:type="pct"/>
            <w:tcBorders>
              <w:tl2br w:val="nil"/>
              <w:tr2bl w:val="nil"/>
            </w:tcBorders>
            <w:vAlign w:val="center"/>
          </w:tcPr>
          <w:p w14:paraId="29441B20">
            <w:pPr>
              <w:pStyle w:val="41"/>
              <w:rPr>
                <w:color w:val="auto"/>
                <w:highlight w:val="none"/>
              </w:rPr>
            </w:pPr>
            <w:r>
              <w:rPr>
                <w:color w:val="auto"/>
                <w:highlight w:val="none"/>
              </w:rPr>
              <w:t>A4.3能源利用</w:t>
            </w:r>
          </w:p>
        </w:tc>
        <w:tc>
          <w:tcPr>
            <w:tcW w:w="2846" w:type="pct"/>
            <w:tcBorders>
              <w:tl2br w:val="nil"/>
              <w:tr2bl w:val="nil"/>
            </w:tcBorders>
            <w:vAlign w:val="center"/>
          </w:tcPr>
          <w:p w14:paraId="34D16448">
            <w:pPr>
              <w:pStyle w:val="41"/>
              <w:rPr>
                <w:color w:val="auto"/>
                <w:highlight w:val="none"/>
              </w:rPr>
            </w:pPr>
            <w:r>
              <w:rPr>
                <w:color w:val="auto"/>
                <w:highlight w:val="none"/>
              </w:rPr>
              <w:t>〔A4.3-4〕鼓励使用清洁能源或电厂热力、工业余热等替代锅炉、炉窑燃料用煤。</w:t>
            </w:r>
          </w:p>
        </w:tc>
        <w:tc>
          <w:tcPr>
            <w:tcW w:w="1293" w:type="pct"/>
            <w:tcBorders>
              <w:tl2br w:val="nil"/>
              <w:tr2bl w:val="nil"/>
            </w:tcBorders>
            <w:vAlign w:val="center"/>
          </w:tcPr>
          <w:p w14:paraId="6000E6D6">
            <w:pPr>
              <w:pStyle w:val="41"/>
              <w:rPr>
                <w:color w:val="auto"/>
                <w:highlight w:val="none"/>
              </w:rPr>
            </w:pPr>
            <w:r>
              <w:rPr>
                <w:rFonts w:hint="eastAsia"/>
                <w:color w:val="auto"/>
                <w:highlight w:val="none"/>
              </w:rPr>
              <w:t>本项目热源为生物质炉窑，并配套建设脱硫、除尘设施。</w:t>
            </w:r>
          </w:p>
        </w:tc>
        <w:tc>
          <w:tcPr>
            <w:tcW w:w="456" w:type="pct"/>
            <w:tcBorders>
              <w:tl2br w:val="nil"/>
              <w:tr2bl w:val="nil"/>
            </w:tcBorders>
            <w:vAlign w:val="center"/>
          </w:tcPr>
          <w:p w14:paraId="1DA480ED">
            <w:pPr>
              <w:pStyle w:val="41"/>
              <w:rPr>
                <w:color w:val="auto"/>
                <w:highlight w:val="none"/>
              </w:rPr>
            </w:pPr>
            <w:r>
              <w:rPr>
                <w:rFonts w:hint="eastAsia"/>
                <w:color w:val="auto"/>
                <w:highlight w:val="none"/>
              </w:rPr>
              <w:t>符合</w:t>
            </w:r>
          </w:p>
        </w:tc>
      </w:tr>
      <w:tr w14:paraId="6D7354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135" w:type="pct"/>
            <w:vMerge w:val="continue"/>
            <w:tcBorders>
              <w:tl2br w:val="nil"/>
              <w:tr2bl w:val="nil"/>
            </w:tcBorders>
            <w:vAlign w:val="center"/>
          </w:tcPr>
          <w:p w14:paraId="5FDA8D25">
            <w:pPr>
              <w:pStyle w:val="41"/>
              <w:rPr>
                <w:color w:val="auto"/>
                <w:highlight w:val="none"/>
              </w:rPr>
            </w:pPr>
          </w:p>
        </w:tc>
        <w:tc>
          <w:tcPr>
            <w:tcW w:w="268" w:type="pct"/>
            <w:tcBorders>
              <w:tl2br w:val="nil"/>
              <w:tr2bl w:val="nil"/>
            </w:tcBorders>
            <w:vAlign w:val="center"/>
          </w:tcPr>
          <w:p w14:paraId="5E65B761">
            <w:pPr>
              <w:pStyle w:val="41"/>
              <w:rPr>
                <w:color w:val="auto"/>
                <w:highlight w:val="none"/>
              </w:rPr>
            </w:pPr>
            <w:r>
              <w:rPr>
                <w:color w:val="auto"/>
                <w:highlight w:val="none"/>
              </w:rPr>
              <w:t>A4.4禁燃区要求</w:t>
            </w:r>
          </w:p>
        </w:tc>
        <w:tc>
          <w:tcPr>
            <w:tcW w:w="2846" w:type="pct"/>
            <w:tcBorders>
              <w:tl2br w:val="nil"/>
              <w:tr2bl w:val="nil"/>
            </w:tcBorders>
            <w:vAlign w:val="center"/>
          </w:tcPr>
          <w:p w14:paraId="7F38F680">
            <w:pPr>
              <w:pStyle w:val="41"/>
              <w:rPr>
                <w:color w:val="auto"/>
                <w:highlight w:val="none"/>
              </w:rPr>
            </w:pPr>
            <w:r>
              <w:rPr>
                <w:color w:val="auto"/>
                <w:highlight w:val="none"/>
              </w:rPr>
              <w:t>〔A4.4-1〕在禁燃区内，禁止销售、燃用高污染燃料；禁止新建、扩建燃用高污染燃料的设施。已建成的，应当在规定期限内改用清洁能源。</w:t>
            </w:r>
          </w:p>
        </w:tc>
        <w:tc>
          <w:tcPr>
            <w:tcW w:w="1293" w:type="pct"/>
            <w:tcBorders>
              <w:tl2br w:val="nil"/>
              <w:tr2bl w:val="nil"/>
            </w:tcBorders>
            <w:vAlign w:val="center"/>
          </w:tcPr>
          <w:p w14:paraId="47558CC7">
            <w:pPr>
              <w:pStyle w:val="41"/>
              <w:rPr>
                <w:color w:val="auto"/>
                <w:highlight w:val="none"/>
              </w:rPr>
            </w:pPr>
            <w:r>
              <w:rPr>
                <w:rFonts w:hint="eastAsia"/>
                <w:color w:val="auto"/>
                <w:highlight w:val="none"/>
              </w:rPr>
              <w:t>本项目不属于禁燃区且热源为生物质炉窑，并配套建设脱硫、除尘设施。</w:t>
            </w:r>
          </w:p>
        </w:tc>
        <w:tc>
          <w:tcPr>
            <w:tcW w:w="456" w:type="pct"/>
            <w:tcBorders>
              <w:tl2br w:val="nil"/>
              <w:tr2bl w:val="nil"/>
            </w:tcBorders>
            <w:vAlign w:val="center"/>
          </w:tcPr>
          <w:p w14:paraId="380686EF">
            <w:pPr>
              <w:pStyle w:val="41"/>
              <w:rPr>
                <w:color w:val="auto"/>
                <w:highlight w:val="none"/>
              </w:rPr>
            </w:pPr>
            <w:r>
              <w:rPr>
                <w:rFonts w:hint="eastAsia"/>
                <w:color w:val="auto"/>
                <w:highlight w:val="none"/>
              </w:rPr>
              <w:t>符合</w:t>
            </w:r>
          </w:p>
        </w:tc>
      </w:tr>
      <w:tr w14:paraId="526E2E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135" w:type="pct"/>
            <w:vMerge w:val="continue"/>
            <w:tcBorders>
              <w:tl2br w:val="nil"/>
              <w:tr2bl w:val="nil"/>
            </w:tcBorders>
            <w:vAlign w:val="center"/>
          </w:tcPr>
          <w:p w14:paraId="7C6DEB51">
            <w:pPr>
              <w:pStyle w:val="41"/>
              <w:rPr>
                <w:color w:val="auto"/>
                <w:highlight w:val="none"/>
              </w:rPr>
            </w:pPr>
          </w:p>
        </w:tc>
        <w:tc>
          <w:tcPr>
            <w:tcW w:w="268" w:type="pct"/>
            <w:vMerge w:val="restart"/>
            <w:tcBorders>
              <w:tl2br w:val="nil"/>
              <w:tr2bl w:val="nil"/>
            </w:tcBorders>
            <w:vAlign w:val="center"/>
          </w:tcPr>
          <w:p w14:paraId="1FE97119">
            <w:pPr>
              <w:pStyle w:val="41"/>
              <w:rPr>
                <w:color w:val="auto"/>
                <w:highlight w:val="none"/>
              </w:rPr>
            </w:pPr>
            <w:r>
              <w:rPr>
                <w:color w:val="auto"/>
                <w:highlight w:val="none"/>
              </w:rPr>
              <w:t>A4.5资源综合利用</w:t>
            </w:r>
          </w:p>
          <w:p w14:paraId="0D6FFE93">
            <w:pPr>
              <w:pStyle w:val="41"/>
              <w:rPr>
                <w:color w:val="auto"/>
                <w:highlight w:val="none"/>
              </w:rPr>
            </w:pPr>
          </w:p>
        </w:tc>
        <w:tc>
          <w:tcPr>
            <w:tcW w:w="2846" w:type="pct"/>
            <w:tcBorders>
              <w:tl2br w:val="nil"/>
              <w:tr2bl w:val="nil"/>
            </w:tcBorders>
            <w:vAlign w:val="center"/>
          </w:tcPr>
          <w:p w14:paraId="59A48A7F">
            <w:pPr>
              <w:pStyle w:val="41"/>
              <w:rPr>
                <w:color w:val="auto"/>
                <w:highlight w:val="none"/>
              </w:rPr>
            </w:pPr>
            <w:r>
              <w:rPr>
                <w:color w:val="auto"/>
                <w:highlight w:val="none"/>
              </w:rPr>
              <w:t>〔A4.5-1〕加强固体废物源头减量、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企业</w:t>
            </w:r>
            <w:r>
              <w:rPr>
                <w:rFonts w:hint="eastAsia"/>
                <w:color w:val="auto"/>
                <w:highlight w:val="none"/>
              </w:rPr>
              <w:t>“</w:t>
            </w:r>
            <w:r>
              <w:rPr>
                <w:color w:val="auto"/>
                <w:highlight w:val="none"/>
              </w:rPr>
              <w:t>逆向回收</w:t>
            </w:r>
            <w:r>
              <w:rPr>
                <w:rFonts w:hint="eastAsia"/>
                <w:color w:val="auto"/>
                <w:highlight w:val="none"/>
              </w:rPr>
              <w:t>”</w:t>
            </w:r>
            <w:r>
              <w:rPr>
                <w:color w:val="auto"/>
                <w:highlight w:val="none"/>
              </w:rPr>
              <w:t>等模式。以尾矿和共伴生矿、煤研石、炉渣、粉煤灰、脱硫石膏、冶炼渣、建筑垃圾等为重点，持续推进固体废物综合利用和环境整治，不断提高大宗固体废物资源化利用水平。推行生活垃圾分类，加快建设县</w:t>
            </w:r>
            <w:r>
              <w:rPr>
                <w:rFonts w:hint="eastAsia"/>
                <w:color w:val="auto"/>
                <w:highlight w:val="none"/>
              </w:rPr>
              <w:t>（</w:t>
            </w:r>
            <w:r>
              <w:rPr>
                <w:color w:val="auto"/>
                <w:highlight w:val="none"/>
              </w:rPr>
              <w:t>市</w:t>
            </w:r>
            <w:r>
              <w:rPr>
                <w:rFonts w:hint="eastAsia"/>
                <w:color w:val="auto"/>
                <w:highlight w:val="none"/>
              </w:rPr>
              <w:t>）</w:t>
            </w:r>
            <w:r>
              <w:rPr>
                <w:color w:val="auto"/>
                <w:highlight w:val="none"/>
              </w:rPr>
              <w:t>生活垃圾处理设施，到2025年，全疆城市生活垃圾无害化处理率达到99%以上。</w:t>
            </w:r>
          </w:p>
        </w:tc>
        <w:tc>
          <w:tcPr>
            <w:tcW w:w="1293" w:type="pct"/>
            <w:tcBorders>
              <w:tl2br w:val="nil"/>
              <w:tr2bl w:val="nil"/>
            </w:tcBorders>
            <w:vAlign w:val="center"/>
          </w:tcPr>
          <w:p w14:paraId="18620FBE">
            <w:pPr>
              <w:pStyle w:val="41"/>
              <w:rPr>
                <w:color w:val="auto"/>
                <w:highlight w:val="none"/>
              </w:rPr>
            </w:pPr>
            <w:r>
              <w:rPr>
                <w:color w:val="auto"/>
                <w:highlight w:val="none"/>
              </w:rPr>
              <w:t>生活垃圾集中收集定期</w:t>
            </w:r>
            <w:r>
              <w:rPr>
                <w:rFonts w:hint="eastAsia"/>
                <w:color w:val="auto"/>
                <w:highlight w:val="none"/>
              </w:rPr>
              <w:t>清</w:t>
            </w:r>
            <w:r>
              <w:rPr>
                <w:color w:val="auto"/>
                <w:highlight w:val="none"/>
              </w:rPr>
              <w:t>运至哈拉峻乡谢依提村垃圾场填埋处理</w:t>
            </w:r>
            <w:r>
              <w:rPr>
                <w:rFonts w:hint="eastAsia"/>
                <w:color w:val="auto"/>
                <w:highlight w:val="none"/>
              </w:rPr>
              <w:t>；废石运往采坑排土场暂存，后期回填采坑；尾矿经脱水后运往尾矿库安全处置。</w:t>
            </w:r>
          </w:p>
        </w:tc>
        <w:tc>
          <w:tcPr>
            <w:tcW w:w="456" w:type="pct"/>
            <w:tcBorders>
              <w:tl2br w:val="nil"/>
              <w:tr2bl w:val="nil"/>
            </w:tcBorders>
            <w:vAlign w:val="center"/>
          </w:tcPr>
          <w:p w14:paraId="0502AB31">
            <w:pPr>
              <w:pStyle w:val="41"/>
              <w:rPr>
                <w:color w:val="auto"/>
                <w:highlight w:val="none"/>
              </w:rPr>
            </w:pPr>
            <w:r>
              <w:rPr>
                <w:rFonts w:hint="eastAsia"/>
                <w:color w:val="auto"/>
                <w:highlight w:val="none"/>
              </w:rPr>
              <w:t>符合</w:t>
            </w:r>
          </w:p>
        </w:tc>
      </w:tr>
      <w:tr w14:paraId="7E366C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135" w:type="pct"/>
            <w:vMerge w:val="continue"/>
            <w:tcBorders>
              <w:tl2br w:val="nil"/>
              <w:tr2bl w:val="nil"/>
            </w:tcBorders>
            <w:vAlign w:val="center"/>
          </w:tcPr>
          <w:p w14:paraId="680DCF51">
            <w:pPr>
              <w:pStyle w:val="41"/>
              <w:rPr>
                <w:color w:val="auto"/>
                <w:highlight w:val="none"/>
              </w:rPr>
            </w:pPr>
          </w:p>
        </w:tc>
        <w:tc>
          <w:tcPr>
            <w:tcW w:w="268" w:type="pct"/>
            <w:vMerge w:val="continue"/>
            <w:tcBorders>
              <w:tl2br w:val="nil"/>
              <w:tr2bl w:val="nil"/>
            </w:tcBorders>
            <w:vAlign w:val="center"/>
          </w:tcPr>
          <w:p w14:paraId="74D738BB">
            <w:pPr>
              <w:pStyle w:val="41"/>
              <w:rPr>
                <w:color w:val="auto"/>
                <w:highlight w:val="none"/>
              </w:rPr>
            </w:pPr>
          </w:p>
        </w:tc>
        <w:tc>
          <w:tcPr>
            <w:tcW w:w="2846" w:type="pct"/>
            <w:tcBorders>
              <w:tl2br w:val="nil"/>
              <w:tr2bl w:val="nil"/>
            </w:tcBorders>
            <w:vAlign w:val="center"/>
          </w:tcPr>
          <w:p w14:paraId="7FA843C2">
            <w:pPr>
              <w:pStyle w:val="41"/>
              <w:rPr>
                <w:color w:val="auto"/>
                <w:highlight w:val="none"/>
              </w:rPr>
            </w:pPr>
            <w:r>
              <w:rPr>
                <w:color w:val="auto"/>
                <w:highlight w:val="none"/>
              </w:rPr>
              <w:t>〔A4.5-3〕结合工业领域减污降碳要求，加快探索钢铁、有色、化工、建材等重点行业工业固体废物减量化路径，全面推行清洁生产。全面推进绿色矿山、“无废”矿区建设，推广尾矿等大宗工业固体废物环境友好型井下充填回填，减少尾矿库贮存量。推动大宗工业固体废物在提取有价组分、生产建材、筑路、生态修复、土壤治理等领域的规模化利用。</w:t>
            </w:r>
          </w:p>
        </w:tc>
        <w:tc>
          <w:tcPr>
            <w:tcW w:w="1293" w:type="pct"/>
            <w:tcBorders>
              <w:tl2br w:val="nil"/>
              <w:tr2bl w:val="nil"/>
            </w:tcBorders>
            <w:vAlign w:val="center"/>
          </w:tcPr>
          <w:p w14:paraId="753C63FB">
            <w:pPr>
              <w:pStyle w:val="41"/>
              <w:rPr>
                <w:color w:val="auto"/>
                <w:highlight w:val="none"/>
              </w:rPr>
            </w:pPr>
            <w:r>
              <w:rPr>
                <w:color w:val="auto"/>
                <w:highlight w:val="none"/>
              </w:rPr>
              <w:t>生活垃圾集中收集定期</w:t>
            </w:r>
            <w:r>
              <w:rPr>
                <w:rFonts w:hint="eastAsia"/>
                <w:color w:val="auto"/>
                <w:highlight w:val="none"/>
              </w:rPr>
              <w:t>清</w:t>
            </w:r>
            <w:r>
              <w:rPr>
                <w:color w:val="auto"/>
                <w:highlight w:val="none"/>
              </w:rPr>
              <w:t>运至哈拉峻乡谢依提村垃圾场填埋处理</w:t>
            </w:r>
            <w:r>
              <w:rPr>
                <w:rFonts w:hint="eastAsia"/>
                <w:color w:val="auto"/>
                <w:highlight w:val="none"/>
              </w:rPr>
              <w:t>；废石运往采坑排土场暂存，后期回填采坑；尾矿经脱水后运往尾矿库安全处置。</w:t>
            </w:r>
          </w:p>
        </w:tc>
        <w:tc>
          <w:tcPr>
            <w:tcW w:w="456" w:type="pct"/>
            <w:tcBorders>
              <w:tl2br w:val="nil"/>
              <w:tr2bl w:val="nil"/>
            </w:tcBorders>
            <w:vAlign w:val="center"/>
          </w:tcPr>
          <w:p w14:paraId="28D493CA">
            <w:pPr>
              <w:pStyle w:val="41"/>
              <w:rPr>
                <w:color w:val="auto"/>
                <w:highlight w:val="none"/>
              </w:rPr>
            </w:pPr>
            <w:r>
              <w:rPr>
                <w:rFonts w:hint="eastAsia"/>
                <w:color w:val="auto"/>
                <w:highlight w:val="none"/>
              </w:rPr>
              <w:t>符合</w:t>
            </w:r>
          </w:p>
        </w:tc>
      </w:tr>
    </w:tbl>
    <w:p w14:paraId="08F6B65A">
      <w:pPr>
        <w:pStyle w:val="3"/>
        <w:ind w:firstLine="480"/>
        <w:rPr>
          <w:color w:val="auto"/>
          <w:highlight w:val="none"/>
        </w:rPr>
        <w:sectPr>
          <w:pgSz w:w="16838" w:h="11906" w:orient="landscape"/>
          <w:pgMar w:top="1803" w:right="1440" w:bottom="1803" w:left="1440" w:header="1020" w:footer="992" w:gutter="0"/>
          <w:pgBorders>
            <w:top w:val="none" w:sz="0" w:space="0"/>
            <w:left w:val="none" w:sz="0" w:space="0"/>
            <w:bottom w:val="none" w:sz="0" w:space="0"/>
            <w:right w:val="none" w:sz="0" w:space="0"/>
          </w:pgBorders>
          <w:cols w:space="720" w:num="1"/>
          <w:docGrid w:type="lines" w:linePitch="332" w:charSpace="0"/>
        </w:sectPr>
      </w:pPr>
    </w:p>
    <w:p w14:paraId="7BBE61F3">
      <w:pPr>
        <w:pStyle w:val="43"/>
        <w:rPr>
          <w:color w:val="auto"/>
          <w:highlight w:val="none"/>
        </w:rPr>
      </w:pPr>
      <w:r>
        <w:rPr>
          <w:color w:val="auto"/>
          <w:highlight w:val="none"/>
        </w:rPr>
        <w:t>与</w:t>
      </w:r>
      <w:r>
        <w:rPr>
          <w:rFonts w:hint="eastAsia"/>
          <w:color w:val="auto"/>
          <w:highlight w:val="none"/>
        </w:rPr>
        <w:t>《克孜勒苏柯尔克孜自治州生态环境分区管控方案动态更新成果》</w:t>
      </w:r>
      <w:r>
        <w:rPr>
          <w:color w:val="auto"/>
          <w:highlight w:val="none"/>
        </w:rPr>
        <w:t>符合性分析</w:t>
      </w:r>
    </w:p>
    <w:p w14:paraId="51C09D83">
      <w:pPr>
        <w:pStyle w:val="3"/>
        <w:ind w:firstLine="480"/>
        <w:rPr>
          <w:rFonts w:hint="eastAsia" w:eastAsia="华文中宋"/>
          <w:color w:val="auto"/>
          <w:highlight w:val="none"/>
          <w:lang w:eastAsia="zh-CN"/>
        </w:rPr>
      </w:pPr>
      <w:r>
        <w:rPr>
          <w:color w:val="auto"/>
          <w:highlight w:val="none"/>
        </w:rPr>
        <w:t>根据动态更新成果，</w:t>
      </w:r>
      <w:r>
        <w:rPr>
          <w:rFonts w:hint="eastAsia"/>
          <w:color w:val="auto"/>
          <w:highlight w:val="none"/>
        </w:rPr>
        <w:t>本项目</w:t>
      </w:r>
      <w:r>
        <w:rPr>
          <w:color w:val="auto"/>
          <w:highlight w:val="none"/>
        </w:rPr>
        <w:t>涉及</w:t>
      </w:r>
      <w:r>
        <w:rPr>
          <w:rFonts w:hint="eastAsia"/>
          <w:color w:val="auto"/>
          <w:highlight w:val="none"/>
        </w:rPr>
        <w:t>2</w:t>
      </w:r>
      <w:r>
        <w:rPr>
          <w:color w:val="auto"/>
          <w:highlight w:val="none"/>
        </w:rPr>
        <w:t>个管控单元，分别为</w:t>
      </w:r>
      <w:r>
        <w:rPr>
          <w:rFonts w:hint="eastAsia"/>
          <w:color w:val="auto"/>
          <w:highlight w:val="none"/>
        </w:rPr>
        <w:t>优先-阿图什一般生态空间</w:t>
      </w:r>
      <w:r>
        <w:rPr>
          <w:color w:val="auto"/>
          <w:highlight w:val="none"/>
        </w:rPr>
        <w:t>（ZH65</w:t>
      </w:r>
      <w:r>
        <w:rPr>
          <w:rFonts w:hint="eastAsia"/>
          <w:color w:val="auto"/>
          <w:highlight w:val="none"/>
        </w:rPr>
        <w:t>300110004</w:t>
      </w:r>
      <w:r>
        <w:rPr>
          <w:color w:val="auto"/>
          <w:highlight w:val="none"/>
        </w:rPr>
        <w:t>）</w:t>
      </w:r>
      <w:r>
        <w:rPr>
          <w:rFonts w:hint="eastAsia"/>
          <w:color w:val="auto"/>
          <w:highlight w:val="none"/>
        </w:rPr>
        <w:t>、一般-阿图什一般管控单元</w:t>
      </w:r>
      <w:r>
        <w:rPr>
          <w:color w:val="auto"/>
          <w:highlight w:val="none"/>
        </w:rPr>
        <w:t>（ZH65</w:t>
      </w:r>
      <w:r>
        <w:rPr>
          <w:rFonts w:hint="eastAsia"/>
          <w:color w:val="auto"/>
          <w:highlight w:val="none"/>
        </w:rPr>
        <w:t>300130001</w:t>
      </w:r>
      <w:r>
        <w:rPr>
          <w:color w:val="auto"/>
          <w:highlight w:val="none"/>
        </w:rPr>
        <w:t>）</w:t>
      </w:r>
      <w:r>
        <w:rPr>
          <w:rFonts w:hint="eastAsia"/>
          <w:color w:val="auto"/>
          <w:highlight w:val="none"/>
          <w:lang w:eastAsia="zh-CN"/>
        </w:rPr>
        <w:t>。</w:t>
      </w:r>
    </w:p>
    <w:p w14:paraId="65679CB4">
      <w:pPr>
        <w:pStyle w:val="3"/>
        <w:ind w:firstLine="480"/>
        <w:rPr>
          <w:color w:val="auto"/>
          <w:highlight w:val="none"/>
        </w:rPr>
      </w:pPr>
      <w:r>
        <w:rPr>
          <w:rFonts w:hint="eastAsia"/>
          <w:color w:val="auto"/>
          <w:highlight w:val="none"/>
        </w:rPr>
        <w:t>与</w:t>
      </w:r>
      <w:r>
        <w:rPr>
          <w:color w:val="auto"/>
          <w:highlight w:val="none"/>
        </w:rPr>
        <w:t>克州环境管控单元分布图</w:t>
      </w:r>
      <w:r>
        <w:rPr>
          <w:rFonts w:hint="eastAsia"/>
          <w:color w:val="auto"/>
          <w:highlight w:val="none"/>
        </w:rPr>
        <w:t>位置关系</w:t>
      </w:r>
      <w:r>
        <w:rPr>
          <w:color w:val="auto"/>
          <w:highlight w:val="none"/>
        </w:rPr>
        <w:t>见图1.3-</w:t>
      </w:r>
      <w:r>
        <w:rPr>
          <w:rFonts w:hint="eastAsia"/>
          <w:color w:val="auto"/>
          <w:highlight w:val="none"/>
        </w:rPr>
        <w:t>1</w:t>
      </w:r>
      <w:r>
        <w:rPr>
          <w:color w:val="auto"/>
          <w:highlight w:val="none"/>
        </w:rPr>
        <w:t>。</w:t>
      </w:r>
    </w:p>
    <w:p w14:paraId="52F397BB">
      <w:pPr>
        <w:pStyle w:val="40"/>
        <w:rPr>
          <w:color w:val="auto"/>
          <w:highlight w:val="none"/>
        </w:rPr>
      </w:pPr>
      <w:r>
        <w:rPr>
          <w:color w:val="auto"/>
          <w:highlight w:val="none"/>
        </w:rPr>
        <w:t>表1.3-</w:t>
      </w:r>
      <w:r>
        <w:rPr>
          <w:rFonts w:hint="eastAsia"/>
          <w:color w:val="auto"/>
          <w:highlight w:val="none"/>
        </w:rPr>
        <w:t>13</w:t>
      </w:r>
      <w:r>
        <w:rPr>
          <w:color w:val="auto"/>
          <w:highlight w:val="none"/>
        </w:rPr>
        <w:t xml:space="preserve">   本项目与</w:t>
      </w:r>
      <w:r>
        <w:rPr>
          <w:rFonts w:hint="eastAsia"/>
          <w:color w:val="auto"/>
          <w:highlight w:val="none"/>
        </w:rPr>
        <w:t>《克孜勒苏柯尔克孜自治州生态环境分区管控方案动态更新成果》</w:t>
      </w:r>
      <w:r>
        <w:rPr>
          <w:color w:val="auto"/>
          <w:highlight w:val="none"/>
        </w:rPr>
        <w:t>符合性分析</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87"/>
        <w:gridCol w:w="1015"/>
        <w:gridCol w:w="4379"/>
        <w:gridCol w:w="6188"/>
        <w:gridCol w:w="905"/>
      </w:tblGrid>
      <w:tr w14:paraId="69F189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595" w:type="pct"/>
            <w:tcBorders>
              <w:tl2br w:val="nil"/>
              <w:tr2bl w:val="nil"/>
            </w:tcBorders>
            <w:vAlign w:val="center"/>
          </w:tcPr>
          <w:p w14:paraId="6610C1D0">
            <w:pPr>
              <w:pStyle w:val="41"/>
              <w:rPr>
                <w:color w:val="auto"/>
                <w:highlight w:val="none"/>
              </w:rPr>
            </w:pPr>
            <w:r>
              <w:rPr>
                <w:color w:val="auto"/>
                <w:highlight w:val="none"/>
              </w:rPr>
              <w:t>环境管控单元</w:t>
            </w:r>
          </w:p>
        </w:tc>
        <w:tc>
          <w:tcPr>
            <w:tcW w:w="1902" w:type="pct"/>
            <w:gridSpan w:val="2"/>
            <w:tcBorders>
              <w:tl2br w:val="nil"/>
              <w:tr2bl w:val="nil"/>
            </w:tcBorders>
            <w:vAlign w:val="center"/>
          </w:tcPr>
          <w:p w14:paraId="2BE84372">
            <w:pPr>
              <w:pStyle w:val="41"/>
              <w:rPr>
                <w:color w:val="auto"/>
                <w:highlight w:val="none"/>
              </w:rPr>
            </w:pPr>
            <w:r>
              <w:rPr>
                <w:color w:val="auto"/>
                <w:highlight w:val="none"/>
              </w:rPr>
              <w:t>管控要求</w:t>
            </w:r>
          </w:p>
        </w:tc>
        <w:tc>
          <w:tcPr>
            <w:tcW w:w="2182" w:type="pct"/>
            <w:tcBorders>
              <w:tl2br w:val="nil"/>
              <w:tr2bl w:val="nil"/>
            </w:tcBorders>
            <w:vAlign w:val="center"/>
          </w:tcPr>
          <w:p w14:paraId="08704210">
            <w:pPr>
              <w:pStyle w:val="41"/>
              <w:rPr>
                <w:color w:val="auto"/>
                <w:highlight w:val="none"/>
              </w:rPr>
            </w:pPr>
            <w:r>
              <w:rPr>
                <w:rFonts w:hint="eastAsia"/>
                <w:color w:val="auto"/>
                <w:highlight w:val="none"/>
              </w:rPr>
              <w:t>本项目</w:t>
            </w:r>
          </w:p>
        </w:tc>
        <w:tc>
          <w:tcPr>
            <w:tcW w:w="319" w:type="pct"/>
            <w:tcBorders>
              <w:tl2br w:val="nil"/>
              <w:tr2bl w:val="nil"/>
            </w:tcBorders>
            <w:vAlign w:val="center"/>
          </w:tcPr>
          <w:p w14:paraId="55A30487">
            <w:pPr>
              <w:pStyle w:val="41"/>
              <w:rPr>
                <w:color w:val="auto"/>
                <w:highlight w:val="none"/>
              </w:rPr>
            </w:pPr>
            <w:r>
              <w:rPr>
                <w:rFonts w:hint="eastAsia"/>
                <w:color w:val="auto"/>
                <w:highlight w:val="none"/>
              </w:rPr>
              <w:t>符合性</w:t>
            </w:r>
          </w:p>
        </w:tc>
      </w:tr>
      <w:tr w14:paraId="7280D6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595" w:type="pct"/>
            <w:tcBorders>
              <w:tl2br w:val="nil"/>
              <w:tr2bl w:val="nil"/>
            </w:tcBorders>
            <w:vAlign w:val="center"/>
          </w:tcPr>
          <w:p w14:paraId="7222D783">
            <w:pPr>
              <w:pStyle w:val="41"/>
              <w:rPr>
                <w:color w:val="auto"/>
                <w:highlight w:val="none"/>
              </w:rPr>
            </w:pPr>
            <w:r>
              <w:rPr>
                <w:color w:val="auto"/>
                <w:highlight w:val="none"/>
              </w:rPr>
              <w:t>ZH</w:t>
            </w:r>
            <w:r>
              <w:rPr>
                <w:rFonts w:hint="eastAsia"/>
                <w:color w:val="auto"/>
                <w:highlight w:val="none"/>
              </w:rPr>
              <w:t>65300110004</w:t>
            </w:r>
          </w:p>
        </w:tc>
        <w:tc>
          <w:tcPr>
            <w:tcW w:w="358" w:type="pct"/>
            <w:tcBorders>
              <w:tl2br w:val="nil"/>
              <w:tr2bl w:val="nil"/>
            </w:tcBorders>
            <w:vAlign w:val="center"/>
          </w:tcPr>
          <w:p w14:paraId="3DB2B41A">
            <w:pPr>
              <w:pStyle w:val="41"/>
              <w:rPr>
                <w:color w:val="auto"/>
                <w:highlight w:val="none"/>
              </w:rPr>
            </w:pPr>
            <w:r>
              <w:rPr>
                <w:color w:val="auto"/>
                <w:highlight w:val="none"/>
              </w:rPr>
              <w:t>空间布局约束</w:t>
            </w:r>
          </w:p>
        </w:tc>
        <w:tc>
          <w:tcPr>
            <w:tcW w:w="1544" w:type="pct"/>
            <w:tcBorders>
              <w:tl2br w:val="nil"/>
              <w:tr2bl w:val="nil"/>
            </w:tcBorders>
            <w:vAlign w:val="center"/>
          </w:tcPr>
          <w:p w14:paraId="0BB41880">
            <w:pPr>
              <w:pStyle w:val="41"/>
              <w:rPr>
                <w:color w:val="auto"/>
                <w:highlight w:val="none"/>
              </w:rPr>
            </w:pPr>
            <w:r>
              <w:rPr>
                <w:color w:val="auto"/>
                <w:highlight w:val="none"/>
              </w:rPr>
              <w:t>执行优先保护单元中一般生态空间总体管控要求、水土流失极敏感和敏感区、防风固沙型功能极重要和重要区、生物多样性维护型功能极重要和重要区关于空间布局约束的准入要求。</w:t>
            </w:r>
          </w:p>
        </w:tc>
        <w:tc>
          <w:tcPr>
            <w:tcW w:w="2182" w:type="pct"/>
            <w:tcBorders>
              <w:tl2br w:val="nil"/>
              <w:tr2bl w:val="nil"/>
            </w:tcBorders>
            <w:vAlign w:val="center"/>
          </w:tcPr>
          <w:p w14:paraId="171C8BD1">
            <w:pPr>
              <w:pStyle w:val="41"/>
              <w:rPr>
                <w:color w:val="auto"/>
                <w:highlight w:val="none"/>
              </w:rPr>
            </w:pPr>
            <w:r>
              <w:rPr>
                <w:rFonts w:hint="eastAsia"/>
                <w:color w:val="auto"/>
                <w:highlight w:val="none"/>
              </w:rPr>
              <w:t>本项目为尾矿库及选矿厂建设，不涉及取土、挖砂、采石；本项目占地内不涉及农田，在选矿厂内实施人工植被的绿化；选矿厂、尾矿库范围内均无</w:t>
            </w:r>
            <w:r>
              <w:rPr>
                <w:color w:val="auto"/>
                <w:highlight w:val="none"/>
              </w:rPr>
              <w:t>重要物种栖息地</w:t>
            </w:r>
            <w:r>
              <w:rPr>
                <w:rFonts w:hint="eastAsia"/>
                <w:color w:val="auto"/>
                <w:highlight w:val="none"/>
              </w:rPr>
              <w:t>；本环评要求施工人员</w:t>
            </w:r>
            <w:r>
              <w:rPr>
                <w:color w:val="auto"/>
                <w:highlight w:val="none"/>
              </w:rPr>
              <w:t>禁止对野生动植物进行滥捕滥采</w:t>
            </w:r>
            <w:r>
              <w:rPr>
                <w:rFonts w:hint="eastAsia"/>
                <w:color w:val="auto"/>
                <w:highlight w:val="none"/>
              </w:rPr>
              <w:t>。</w:t>
            </w:r>
          </w:p>
        </w:tc>
        <w:tc>
          <w:tcPr>
            <w:tcW w:w="319" w:type="pct"/>
            <w:tcBorders>
              <w:tl2br w:val="nil"/>
              <w:tr2bl w:val="nil"/>
            </w:tcBorders>
            <w:vAlign w:val="center"/>
          </w:tcPr>
          <w:p w14:paraId="3D2C95EF">
            <w:pPr>
              <w:pStyle w:val="41"/>
              <w:rPr>
                <w:color w:val="auto"/>
                <w:highlight w:val="none"/>
              </w:rPr>
            </w:pPr>
            <w:r>
              <w:rPr>
                <w:rFonts w:hint="eastAsia"/>
                <w:color w:val="auto"/>
                <w:highlight w:val="none"/>
              </w:rPr>
              <w:t>符合</w:t>
            </w:r>
          </w:p>
        </w:tc>
      </w:tr>
      <w:tr w14:paraId="70EA9A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595" w:type="pct"/>
            <w:vMerge w:val="restart"/>
            <w:tcBorders>
              <w:tl2br w:val="nil"/>
              <w:tr2bl w:val="nil"/>
            </w:tcBorders>
            <w:vAlign w:val="center"/>
          </w:tcPr>
          <w:p w14:paraId="53BE5729">
            <w:pPr>
              <w:pStyle w:val="41"/>
              <w:rPr>
                <w:color w:val="auto"/>
                <w:highlight w:val="none"/>
              </w:rPr>
            </w:pPr>
            <w:r>
              <w:rPr>
                <w:color w:val="auto"/>
                <w:highlight w:val="none"/>
              </w:rPr>
              <w:t>ZH</w:t>
            </w:r>
            <w:r>
              <w:rPr>
                <w:rFonts w:hint="eastAsia"/>
                <w:color w:val="auto"/>
                <w:highlight w:val="none"/>
              </w:rPr>
              <w:t>65300130001</w:t>
            </w:r>
          </w:p>
        </w:tc>
        <w:tc>
          <w:tcPr>
            <w:tcW w:w="358" w:type="pct"/>
            <w:tcBorders>
              <w:tl2br w:val="nil"/>
              <w:tr2bl w:val="nil"/>
            </w:tcBorders>
            <w:vAlign w:val="center"/>
          </w:tcPr>
          <w:p w14:paraId="48229922">
            <w:pPr>
              <w:pStyle w:val="41"/>
              <w:rPr>
                <w:color w:val="auto"/>
                <w:highlight w:val="none"/>
              </w:rPr>
            </w:pPr>
            <w:r>
              <w:rPr>
                <w:color w:val="auto"/>
                <w:highlight w:val="none"/>
              </w:rPr>
              <w:t>空间布局约束</w:t>
            </w:r>
          </w:p>
        </w:tc>
        <w:tc>
          <w:tcPr>
            <w:tcW w:w="1544" w:type="pct"/>
            <w:tcBorders>
              <w:tl2br w:val="nil"/>
              <w:tr2bl w:val="nil"/>
            </w:tcBorders>
            <w:vAlign w:val="center"/>
          </w:tcPr>
          <w:p w14:paraId="72599400">
            <w:pPr>
              <w:pStyle w:val="41"/>
              <w:rPr>
                <w:color w:val="auto"/>
                <w:highlight w:val="none"/>
              </w:rPr>
            </w:pPr>
            <w:r>
              <w:rPr>
                <w:color w:val="auto"/>
                <w:highlight w:val="none"/>
              </w:rPr>
              <w:t>执行自治州总体管控要求、一般管控单元分类管控要求中关于空间布局约束的准入要求。</w:t>
            </w:r>
          </w:p>
        </w:tc>
        <w:tc>
          <w:tcPr>
            <w:tcW w:w="2182" w:type="pct"/>
            <w:tcBorders>
              <w:tl2br w:val="nil"/>
              <w:tr2bl w:val="nil"/>
            </w:tcBorders>
            <w:vAlign w:val="center"/>
          </w:tcPr>
          <w:p w14:paraId="718FBE5B">
            <w:pPr>
              <w:pStyle w:val="41"/>
              <w:rPr>
                <w:color w:val="auto"/>
                <w:highlight w:val="none"/>
              </w:rPr>
            </w:pPr>
            <w:r>
              <w:rPr>
                <w:rFonts w:hint="eastAsia"/>
                <w:color w:val="auto"/>
                <w:highlight w:val="none"/>
              </w:rPr>
              <w:t>本选矿厂产品方案为铁精矿和钛精矿，不</w:t>
            </w:r>
            <w:r>
              <w:rPr>
                <w:color w:val="auto"/>
                <w:highlight w:val="none"/>
              </w:rPr>
              <w:t>涉及一类重金属、持久性有机污染物排放</w:t>
            </w:r>
            <w:r>
              <w:rPr>
                <w:rFonts w:hint="eastAsia"/>
                <w:color w:val="auto"/>
                <w:highlight w:val="none"/>
              </w:rPr>
              <w:t>；不属于</w:t>
            </w:r>
            <w:r>
              <w:rPr>
                <w:color w:val="auto"/>
                <w:highlight w:val="none"/>
              </w:rPr>
              <w:t>高污染、高耗能、涉及有毒有害气体排放的企业</w:t>
            </w:r>
            <w:r>
              <w:rPr>
                <w:rFonts w:hint="eastAsia"/>
                <w:color w:val="auto"/>
                <w:highlight w:val="none"/>
              </w:rPr>
              <w:t>；在生活区</w:t>
            </w:r>
            <w:r>
              <w:rPr>
                <w:color w:val="auto"/>
                <w:highlight w:val="none"/>
              </w:rPr>
              <w:t>设置防护绿化隔离带</w:t>
            </w:r>
            <w:r>
              <w:rPr>
                <w:rFonts w:hint="eastAsia"/>
                <w:color w:val="auto"/>
                <w:highlight w:val="none"/>
              </w:rPr>
              <w:t>；评价范围内不涉及基本农田。</w:t>
            </w:r>
          </w:p>
        </w:tc>
        <w:tc>
          <w:tcPr>
            <w:tcW w:w="319" w:type="pct"/>
            <w:tcBorders>
              <w:tl2br w:val="nil"/>
              <w:tr2bl w:val="nil"/>
            </w:tcBorders>
            <w:vAlign w:val="center"/>
          </w:tcPr>
          <w:p w14:paraId="32869ABA">
            <w:pPr>
              <w:pStyle w:val="41"/>
              <w:rPr>
                <w:color w:val="auto"/>
                <w:highlight w:val="none"/>
              </w:rPr>
            </w:pPr>
            <w:r>
              <w:rPr>
                <w:rFonts w:hint="eastAsia"/>
                <w:color w:val="auto"/>
                <w:highlight w:val="none"/>
              </w:rPr>
              <w:t>符合</w:t>
            </w:r>
          </w:p>
        </w:tc>
      </w:tr>
      <w:tr w14:paraId="0637C2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595" w:type="pct"/>
            <w:vMerge w:val="continue"/>
            <w:tcBorders>
              <w:tl2br w:val="nil"/>
              <w:tr2bl w:val="nil"/>
            </w:tcBorders>
            <w:vAlign w:val="center"/>
          </w:tcPr>
          <w:p w14:paraId="73298A8F">
            <w:pPr>
              <w:pStyle w:val="41"/>
              <w:rPr>
                <w:color w:val="auto"/>
                <w:highlight w:val="none"/>
              </w:rPr>
            </w:pPr>
          </w:p>
        </w:tc>
        <w:tc>
          <w:tcPr>
            <w:tcW w:w="358" w:type="pct"/>
            <w:tcBorders>
              <w:tl2br w:val="nil"/>
              <w:tr2bl w:val="nil"/>
            </w:tcBorders>
            <w:vAlign w:val="center"/>
          </w:tcPr>
          <w:p w14:paraId="1BB58477">
            <w:pPr>
              <w:pStyle w:val="41"/>
              <w:rPr>
                <w:color w:val="auto"/>
                <w:highlight w:val="none"/>
              </w:rPr>
            </w:pPr>
            <w:r>
              <w:rPr>
                <w:color w:val="auto"/>
                <w:highlight w:val="none"/>
              </w:rPr>
              <w:t>污染物排放管控</w:t>
            </w:r>
          </w:p>
        </w:tc>
        <w:tc>
          <w:tcPr>
            <w:tcW w:w="1544" w:type="pct"/>
            <w:tcBorders>
              <w:tl2br w:val="nil"/>
              <w:tr2bl w:val="nil"/>
            </w:tcBorders>
            <w:vAlign w:val="center"/>
          </w:tcPr>
          <w:p w14:paraId="1DA78E18">
            <w:pPr>
              <w:pStyle w:val="41"/>
              <w:rPr>
                <w:color w:val="auto"/>
                <w:highlight w:val="none"/>
              </w:rPr>
            </w:pPr>
            <w:r>
              <w:rPr>
                <w:color w:val="auto"/>
                <w:highlight w:val="none"/>
              </w:rPr>
              <w:t>执行自治州总体管控要求、一般管控单元分类管控要求中关于污染物排放管控的准入要求。</w:t>
            </w:r>
          </w:p>
        </w:tc>
        <w:tc>
          <w:tcPr>
            <w:tcW w:w="2182" w:type="pct"/>
            <w:tcBorders>
              <w:tl2br w:val="nil"/>
              <w:tr2bl w:val="nil"/>
            </w:tcBorders>
            <w:vAlign w:val="center"/>
          </w:tcPr>
          <w:p w14:paraId="4002DF6C">
            <w:pPr>
              <w:pStyle w:val="41"/>
              <w:rPr>
                <w:color w:val="auto"/>
                <w:highlight w:val="none"/>
              </w:rPr>
            </w:pPr>
            <w:r>
              <w:rPr>
                <w:rFonts w:hint="eastAsia"/>
                <w:color w:val="auto"/>
                <w:highlight w:val="none"/>
              </w:rPr>
              <w:t>本项目</w:t>
            </w:r>
            <w:r>
              <w:rPr>
                <w:color w:val="auto"/>
                <w:highlight w:val="none"/>
              </w:rPr>
              <w:t>推行绿色低碳建筑</w:t>
            </w:r>
            <w:r>
              <w:rPr>
                <w:rFonts w:hint="eastAsia"/>
                <w:color w:val="auto"/>
                <w:highlight w:val="none"/>
              </w:rPr>
              <w:t>；施工过程中采用洒水降尘等扬尘综合治理，环评要求</w:t>
            </w:r>
            <w:r>
              <w:rPr>
                <w:color w:val="auto"/>
                <w:highlight w:val="none"/>
              </w:rPr>
              <w:t>道路</w:t>
            </w:r>
            <w:r>
              <w:rPr>
                <w:rFonts w:hint="eastAsia"/>
                <w:color w:val="auto"/>
                <w:highlight w:val="none"/>
              </w:rPr>
              <w:t>定期、</w:t>
            </w:r>
            <w:r>
              <w:rPr>
                <w:color w:val="auto"/>
                <w:highlight w:val="none"/>
              </w:rPr>
              <w:t>洒水抑尘</w:t>
            </w:r>
            <w:r>
              <w:rPr>
                <w:rFonts w:hint="eastAsia"/>
                <w:color w:val="auto"/>
                <w:highlight w:val="none"/>
              </w:rPr>
              <w:t>；待本项目取得环评批复后，建成投产前，建设单位应依法填报申领排污许可证，并按照排污的要求落实相关的环境管理要求；</w:t>
            </w:r>
          </w:p>
        </w:tc>
        <w:tc>
          <w:tcPr>
            <w:tcW w:w="319" w:type="pct"/>
            <w:tcBorders>
              <w:tl2br w:val="nil"/>
              <w:tr2bl w:val="nil"/>
            </w:tcBorders>
            <w:vAlign w:val="center"/>
          </w:tcPr>
          <w:p w14:paraId="49420E9F">
            <w:pPr>
              <w:pStyle w:val="41"/>
              <w:rPr>
                <w:color w:val="auto"/>
                <w:highlight w:val="none"/>
              </w:rPr>
            </w:pPr>
            <w:r>
              <w:rPr>
                <w:rFonts w:hint="eastAsia"/>
                <w:color w:val="auto"/>
                <w:highlight w:val="none"/>
              </w:rPr>
              <w:t>符合</w:t>
            </w:r>
          </w:p>
        </w:tc>
      </w:tr>
      <w:tr w14:paraId="4AA9FF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595" w:type="pct"/>
            <w:vMerge w:val="continue"/>
            <w:tcBorders>
              <w:tl2br w:val="nil"/>
              <w:tr2bl w:val="nil"/>
            </w:tcBorders>
            <w:vAlign w:val="center"/>
          </w:tcPr>
          <w:p w14:paraId="24211F14">
            <w:pPr>
              <w:pStyle w:val="41"/>
              <w:rPr>
                <w:color w:val="auto"/>
                <w:highlight w:val="none"/>
              </w:rPr>
            </w:pPr>
          </w:p>
        </w:tc>
        <w:tc>
          <w:tcPr>
            <w:tcW w:w="358" w:type="pct"/>
            <w:tcBorders>
              <w:tl2br w:val="nil"/>
              <w:tr2bl w:val="nil"/>
            </w:tcBorders>
            <w:vAlign w:val="center"/>
          </w:tcPr>
          <w:p w14:paraId="25B1F6DE">
            <w:pPr>
              <w:pStyle w:val="41"/>
              <w:rPr>
                <w:color w:val="auto"/>
                <w:highlight w:val="none"/>
              </w:rPr>
            </w:pPr>
            <w:r>
              <w:rPr>
                <w:color w:val="auto"/>
                <w:highlight w:val="none"/>
              </w:rPr>
              <w:t>环境风险防控</w:t>
            </w:r>
          </w:p>
        </w:tc>
        <w:tc>
          <w:tcPr>
            <w:tcW w:w="1544" w:type="pct"/>
            <w:tcBorders>
              <w:tl2br w:val="nil"/>
              <w:tr2bl w:val="nil"/>
            </w:tcBorders>
            <w:vAlign w:val="center"/>
          </w:tcPr>
          <w:p w14:paraId="375869C2">
            <w:pPr>
              <w:pStyle w:val="41"/>
              <w:rPr>
                <w:color w:val="auto"/>
                <w:highlight w:val="none"/>
              </w:rPr>
            </w:pPr>
            <w:r>
              <w:rPr>
                <w:color w:val="auto"/>
                <w:highlight w:val="none"/>
              </w:rPr>
              <w:t>执行自治州总体管控要求、一般管控单元分类管控要求中关于环境风险防控的准入要求。</w:t>
            </w:r>
          </w:p>
        </w:tc>
        <w:tc>
          <w:tcPr>
            <w:tcW w:w="2182" w:type="pct"/>
            <w:tcBorders>
              <w:tl2br w:val="nil"/>
              <w:tr2bl w:val="nil"/>
            </w:tcBorders>
            <w:vAlign w:val="center"/>
          </w:tcPr>
          <w:p w14:paraId="55DDF96A">
            <w:pPr>
              <w:pStyle w:val="41"/>
              <w:rPr>
                <w:color w:val="auto"/>
                <w:highlight w:val="none"/>
              </w:rPr>
            </w:pPr>
            <w:r>
              <w:rPr>
                <w:rFonts w:hint="eastAsia"/>
                <w:color w:val="auto"/>
                <w:highlight w:val="none"/>
              </w:rPr>
              <w:t>本项目原矿为钒钛磁铁矿，产品方案为铁精矿和钛精矿。不属于</w:t>
            </w:r>
            <w:r>
              <w:rPr>
                <w:color w:val="auto"/>
                <w:highlight w:val="none"/>
              </w:rPr>
              <w:t>涉重点管控新污染物企事业单位</w:t>
            </w:r>
            <w:r>
              <w:rPr>
                <w:rFonts w:hint="eastAsia"/>
                <w:color w:val="auto"/>
                <w:highlight w:val="none"/>
              </w:rPr>
              <w:t>；项目取得环评批复、建成投产前，按照要求组织人员编制关于本项目尾矿库的突发环境事件的应急处置预案，并到当地生态环境部门备案，组建应急抢修救援队伍，购置应急物资，定期组织员工学习和演练。</w:t>
            </w:r>
          </w:p>
        </w:tc>
        <w:tc>
          <w:tcPr>
            <w:tcW w:w="319" w:type="pct"/>
            <w:tcBorders>
              <w:tl2br w:val="nil"/>
              <w:tr2bl w:val="nil"/>
            </w:tcBorders>
            <w:vAlign w:val="center"/>
          </w:tcPr>
          <w:p w14:paraId="3FB62B5A">
            <w:pPr>
              <w:pStyle w:val="41"/>
              <w:rPr>
                <w:color w:val="auto"/>
                <w:highlight w:val="none"/>
              </w:rPr>
            </w:pPr>
            <w:r>
              <w:rPr>
                <w:rFonts w:hint="eastAsia"/>
                <w:color w:val="auto"/>
                <w:highlight w:val="none"/>
              </w:rPr>
              <w:t>符合</w:t>
            </w:r>
          </w:p>
        </w:tc>
      </w:tr>
      <w:tr w14:paraId="45B6A6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595" w:type="pct"/>
            <w:vMerge w:val="continue"/>
            <w:tcBorders>
              <w:tl2br w:val="nil"/>
              <w:tr2bl w:val="nil"/>
            </w:tcBorders>
            <w:vAlign w:val="center"/>
          </w:tcPr>
          <w:p w14:paraId="76B5E97F">
            <w:pPr>
              <w:pStyle w:val="41"/>
              <w:rPr>
                <w:color w:val="auto"/>
                <w:highlight w:val="none"/>
              </w:rPr>
            </w:pPr>
          </w:p>
        </w:tc>
        <w:tc>
          <w:tcPr>
            <w:tcW w:w="358" w:type="pct"/>
            <w:tcBorders>
              <w:tl2br w:val="nil"/>
              <w:tr2bl w:val="nil"/>
            </w:tcBorders>
            <w:vAlign w:val="center"/>
          </w:tcPr>
          <w:p w14:paraId="3BCBAA1E">
            <w:pPr>
              <w:pStyle w:val="41"/>
              <w:rPr>
                <w:color w:val="auto"/>
                <w:highlight w:val="none"/>
              </w:rPr>
            </w:pPr>
            <w:r>
              <w:rPr>
                <w:color w:val="auto"/>
                <w:highlight w:val="none"/>
              </w:rPr>
              <w:t>资源利用效率</w:t>
            </w:r>
          </w:p>
        </w:tc>
        <w:tc>
          <w:tcPr>
            <w:tcW w:w="1544" w:type="pct"/>
            <w:tcBorders>
              <w:tl2br w:val="nil"/>
              <w:tr2bl w:val="nil"/>
            </w:tcBorders>
            <w:vAlign w:val="center"/>
          </w:tcPr>
          <w:p w14:paraId="0F4A19D7">
            <w:pPr>
              <w:pStyle w:val="41"/>
              <w:rPr>
                <w:color w:val="auto"/>
                <w:highlight w:val="none"/>
              </w:rPr>
            </w:pPr>
            <w:r>
              <w:rPr>
                <w:color w:val="auto"/>
                <w:highlight w:val="none"/>
              </w:rPr>
              <w:t>执行自治州总体管控要求、一般管控单元分类管控要求中关于资源利用效率的准入要求。</w:t>
            </w:r>
          </w:p>
        </w:tc>
        <w:tc>
          <w:tcPr>
            <w:tcW w:w="2182" w:type="pct"/>
            <w:tcBorders>
              <w:tl2br w:val="nil"/>
              <w:tr2bl w:val="nil"/>
            </w:tcBorders>
            <w:vAlign w:val="center"/>
          </w:tcPr>
          <w:p w14:paraId="28CE17E3">
            <w:pPr>
              <w:pStyle w:val="41"/>
              <w:rPr>
                <w:color w:val="auto"/>
                <w:highlight w:val="none"/>
              </w:rPr>
            </w:pPr>
            <w:r>
              <w:rPr>
                <w:rFonts w:hint="eastAsia"/>
                <w:color w:val="auto"/>
                <w:highlight w:val="none"/>
              </w:rPr>
              <w:t>选矿废水采用闭路循环设施、生活污水处理后全部回用，不外排。</w:t>
            </w:r>
          </w:p>
        </w:tc>
        <w:tc>
          <w:tcPr>
            <w:tcW w:w="319" w:type="pct"/>
            <w:tcBorders>
              <w:tl2br w:val="nil"/>
              <w:tr2bl w:val="nil"/>
            </w:tcBorders>
            <w:vAlign w:val="center"/>
          </w:tcPr>
          <w:p w14:paraId="05771D96">
            <w:pPr>
              <w:pStyle w:val="41"/>
              <w:rPr>
                <w:color w:val="auto"/>
                <w:highlight w:val="none"/>
              </w:rPr>
            </w:pPr>
            <w:r>
              <w:rPr>
                <w:rFonts w:hint="eastAsia"/>
                <w:color w:val="auto"/>
                <w:highlight w:val="none"/>
              </w:rPr>
              <w:t>符合</w:t>
            </w:r>
          </w:p>
        </w:tc>
      </w:tr>
    </w:tbl>
    <w:p w14:paraId="0B2C1593">
      <w:pPr>
        <w:pStyle w:val="3"/>
        <w:ind w:firstLine="480"/>
        <w:rPr>
          <w:color w:val="auto"/>
          <w:highlight w:val="none"/>
        </w:rPr>
      </w:pPr>
      <w:r>
        <w:rPr>
          <w:color w:val="auto"/>
          <w:highlight w:val="none"/>
        </w:rPr>
        <w:t>由表1.3-</w:t>
      </w:r>
      <w:r>
        <w:rPr>
          <w:rFonts w:hint="eastAsia"/>
          <w:color w:val="auto"/>
          <w:highlight w:val="none"/>
          <w:lang w:val="en-US" w:eastAsia="zh-CN"/>
        </w:rPr>
        <w:t>13</w:t>
      </w:r>
      <w:r>
        <w:rPr>
          <w:color w:val="auto"/>
          <w:highlight w:val="none"/>
        </w:rPr>
        <w:t>分析，本工程建设符合《克孜勒苏柯尔克孜自治州“三线一单”生态环境分区管控方案》文件要求。</w:t>
      </w:r>
    </w:p>
    <w:p w14:paraId="35445F1A">
      <w:pPr>
        <w:pStyle w:val="3"/>
        <w:ind w:firstLine="480"/>
        <w:rPr>
          <w:color w:val="auto"/>
          <w:highlight w:val="none"/>
        </w:rPr>
      </w:pPr>
    </w:p>
    <w:p w14:paraId="1B0132DA">
      <w:pPr>
        <w:pStyle w:val="3"/>
        <w:ind w:firstLine="480"/>
        <w:rPr>
          <w:color w:val="auto"/>
          <w:highlight w:val="none"/>
        </w:rPr>
      </w:pPr>
    </w:p>
    <w:p w14:paraId="180896D6">
      <w:pPr>
        <w:pStyle w:val="3"/>
        <w:ind w:firstLine="480"/>
        <w:rPr>
          <w:color w:val="auto"/>
          <w:highlight w:val="none"/>
        </w:rPr>
        <w:sectPr>
          <w:pgSz w:w="16838" w:h="11906" w:orient="landscape"/>
          <w:pgMar w:top="1803" w:right="1440" w:bottom="1803" w:left="1440" w:header="1020" w:footer="992" w:gutter="0"/>
          <w:pgBorders>
            <w:top w:val="none" w:sz="0" w:space="0"/>
            <w:left w:val="none" w:sz="0" w:space="0"/>
            <w:bottom w:val="none" w:sz="0" w:space="0"/>
            <w:right w:val="none" w:sz="0" w:space="0"/>
          </w:pgBorders>
          <w:cols w:space="720" w:num="1"/>
          <w:docGrid w:type="lines" w:linePitch="332" w:charSpace="0"/>
        </w:sectPr>
      </w:pPr>
    </w:p>
    <w:bookmarkEnd w:id="39"/>
    <w:bookmarkEnd w:id="40"/>
    <w:bookmarkEnd w:id="41"/>
    <w:bookmarkEnd w:id="42"/>
    <w:bookmarkEnd w:id="43"/>
    <w:bookmarkEnd w:id="44"/>
    <w:bookmarkEnd w:id="45"/>
    <w:bookmarkEnd w:id="46"/>
    <w:bookmarkEnd w:id="47"/>
    <w:bookmarkEnd w:id="48"/>
    <w:bookmarkEnd w:id="49"/>
    <w:bookmarkEnd w:id="50"/>
    <w:p w14:paraId="1C8F47B7">
      <w:pPr>
        <w:pStyle w:val="39"/>
        <w:rPr>
          <w:rFonts w:hint="default"/>
          <w:color w:val="auto"/>
          <w:highlight w:val="none"/>
        </w:rPr>
      </w:pPr>
      <w:bookmarkStart w:id="54" w:name="_Toc16259"/>
      <w:bookmarkStart w:id="55" w:name="_Toc24163"/>
      <w:bookmarkStart w:id="56" w:name="_Toc15822"/>
      <w:bookmarkStart w:id="57" w:name="_Toc31431"/>
      <w:bookmarkStart w:id="58" w:name="_Toc30192"/>
      <w:bookmarkStart w:id="59" w:name="_Toc15055"/>
      <w:bookmarkStart w:id="60" w:name="_Toc29683"/>
      <w:bookmarkStart w:id="61" w:name="_Toc12441"/>
      <w:bookmarkStart w:id="62" w:name="_Toc26998"/>
      <w:bookmarkStart w:id="63" w:name="_Toc13620"/>
      <w:bookmarkStart w:id="64" w:name="_Toc31144"/>
      <w:bookmarkStart w:id="65" w:name="_Toc474747827"/>
      <w:bookmarkStart w:id="66" w:name="_Toc7319"/>
      <w:bookmarkStart w:id="67" w:name="_Toc32425"/>
      <w:r>
        <w:rPr>
          <w:rFonts w:hint="default"/>
          <w:color w:val="auto"/>
          <w:highlight w:val="none"/>
        </w:rPr>
        <w:t>关注的主要环境问题及环境影响</w:t>
      </w:r>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3FBF0542">
      <w:pPr>
        <w:pStyle w:val="3"/>
        <w:ind w:firstLine="480"/>
        <w:rPr>
          <w:color w:val="auto"/>
          <w:highlight w:val="none"/>
        </w:rPr>
      </w:pPr>
      <w:r>
        <w:rPr>
          <w:rFonts w:hint="eastAsia"/>
          <w:color w:val="auto"/>
          <w:highlight w:val="none"/>
        </w:rPr>
        <w:t xml:space="preserve">本项目评价范围内不涉及自然保护区、风景名胜区、饮用水水源保护区、自然公园、天然林、公益林、基本草原、生态保护红线、城镇开发边界等重要环境敏感区，也不涉及村庄、居民饮用水井及具有供水意义的含水层以及地表水体。 </w:t>
      </w:r>
    </w:p>
    <w:p w14:paraId="1E397D49">
      <w:pPr>
        <w:pStyle w:val="3"/>
        <w:ind w:firstLine="480"/>
        <w:rPr>
          <w:color w:val="auto"/>
          <w:highlight w:val="none"/>
        </w:rPr>
      </w:pPr>
      <w:r>
        <w:rPr>
          <w:color w:val="auto"/>
          <w:highlight w:val="none"/>
        </w:rPr>
        <w:t>评价重点关注：本项目建设以废气、废水、固废排放为主要污染特征，其大气污染物处理措施是否合理、生产废水闭路循环可行性、生活废水处理及排放去向、固废处置可行性等是减少项目建设对外环境污染的重点关注问题。还需重视项目施工及运营引发的环境影响能否满足区域环境功能，采取的污染防治措施能否保证各项污染物达标排放，项目环境风险是否可以接受</w:t>
      </w:r>
      <w:r>
        <w:rPr>
          <w:rFonts w:hint="eastAsia"/>
          <w:color w:val="auto"/>
          <w:highlight w:val="none"/>
        </w:rPr>
        <w:t>，</w:t>
      </w:r>
      <w:r>
        <w:rPr>
          <w:color w:val="auto"/>
          <w:highlight w:val="none"/>
        </w:rPr>
        <w:t>提出本</w:t>
      </w:r>
      <w:r>
        <w:rPr>
          <w:rFonts w:hint="eastAsia"/>
          <w:color w:val="auto"/>
          <w:highlight w:val="none"/>
        </w:rPr>
        <w:t>项目“</w:t>
      </w:r>
      <w:r>
        <w:rPr>
          <w:color w:val="auto"/>
          <w:highlight w:val="none"/>
        </w:rPr>
        <w:t>以新带老</w:t>
      </w:r>
      <w:r>
        <w:rPr>
          <w:rFonts w:hint="eastAsia"/>
          <w:color w:val="auto"/>
          <w:highlight w:val="none"/>
        </w:rPr>
        <w:t>”</w:t>
      </w:r>
      <w:r>
        <w:rPr>
          <w:color w:val="auto"/>
          <w:highlight w:val="none"/>
        </w:rPr>
        <w:t>等措施。</w:t>
      </w:r>
    </w:p>
    <w:p w14:paraId="1E8817DD">
      <w:pPr>
        <w:pStyle w:val="39"/>
        <w:rPr>
          <w:rFonts w:hint="default"/>
          <w:color w:val="auto"/>
          <w:highlight w:val="none"/>
        </w:rPr>
      </w:pPr>
      <w:bookmarkStart w:id="68" w:name="_Toc28101"/>
      <w:bookmarkStart w:id="69" w:name="_Toc32368"/>
      <w:bookmarkStart w:id="70" w:name="_Toc474747828"/>
      <w:bookmarkStart w:id="71" w:name="_Toc4855"/>
      <w:bookmarkStart w:id="72" w:name="_Toc4582"/>
      <w:bookmarkStart w:id="73" w:name="_Toc925"/>
      <w:bookmarkStart w:id="74" w:name="_Toc19395"/>
      <w:bookmarkStart w:id="75" w:name="_Toc6513"/>
      <w:bookmarkStart w:id="76" w:name="_Toc1063"/>
      <w:bookmarkStart w:id="77" w:name="_Toc28331"/>
      <w:bookmarkStart w:id="78" w:name="_Toc6812"/>
      <w:bookmarkStart w:id="79" w:name="_Toc7381"/>
      <w:bookmarkStart w:id="80" w:name="_Toc12723"/>
      <w:r>
        <w:rPr>
          <w:rFonts w:hint="default"/>
          <w:color w:val="auto"/>
          <w:highlight w:val="none"/>
        </w:rPr>
        <w:t>环境影响评价的主要结论</w:t>
      </w:r>
      <w:bookmarkEnd w:id="68"/>
      <w:bookmarkEnd w:id="69"/>
      <w:bookmarkEnd w:id="70"/>
      <w:bookmarkEnd w:id="71"/>
      <w:bookmarkEnd w:id="72"/>
      <w:bookmarkEnd w:id="73"/>
      <w:bookmarkEnd w:id="74"/>
      <w:bookmarkEnd w:id="75"/>
      <w:bookmarkEnd w:id="76"/>
      <w:bookmarkEnd w:id="77"/>
      <w:bookmarkEnd w:id="78"/>
      <w:bookmarkEnd w:id="79"/>
      <w:bookmarkEnd w:id="80"/>
    </w:p>
    <w:p w14:paraId="6608318E">
      <w:pPr>
        <w:pStyle w:val="3"/>
        <w:ind w:firstLine="480"/>
        <w:rPr>
          <w:color w:val="auto"/>
          <w:highlight w:val="none"/>
        </w:rPr>
      </w:pPr>
      <w:r>
        <w:rPr>
          <w:color w:val="auto"/>
          <w:highlight w:val="none"/>
        </w:rPr>
        <w:t>本项目为生产规模</w:t>
      </w:r>
      <w:r>
        <w:rPr>
          <w:rFonts w:hint="eastAsia"/>
          <w:color w:val="auto"/>
          <w:highlight w:val="none"/>
        </w:rPr>
        <w:t>900</w:t>
      </w:r>
      <w:r>
        <w:rPr>
          <w:color w:val="auto"/>
          <w:highlight w:val="none"/>
        </w:rPr>
        <w:t>万t/</w:t>
      </w:r>
      <w:r>
        <w:rPr>
          <w:rFonts w:hint="eastAsia"/>
          <w:color w:val="auto"/>
          <w:highlight w:val="none"/>
          <w:lang w:val="en-US" w:eastAsia="zh-CN"/>
        </w:rPr>
        <w:t>a</w:t>
      </w:r>
      <w:r>
        <w:rPr>
          <w:color w:val="auto"/>
          <w:highlight w:val="none"/>
        </w:rPr>
        <w:t>钛铁矿选矿厂工程，根据《国民经济行业分类》（GB/T4754-2017），本项目属于黑色金属矿采选业（B0810）；根据《建设项目环境影响评价分类管理名录》，本项目属于</w:t>
      </w:r>
      <w:r>
        <w:rPr>
          <w:rFonts w:hint="eastAsia"/>
          <w:color w:val="auto"/>
          <w:highlight w:val="none"/>
        </w:rPr>
        <w:t>“</w:t>
      </w:r>
      <w:r>
        <w:rPr>
          <w:color w:val="auto"/>
          <w:highlight w:val="none"/>
        </w:rPr>
        <w:t>四十三、黑色金属矿采选业</w:t>
      </w:r>
      <w:r>
        <w:rPr>
          <w:rFonts w:hint="eastAsia"/>
          <w:color w:val="auto"/>
          <w:highlight w:val="none"/>
        </w:rPr>
        <w:t>”</w:t>
      </w:r>
      <w:r>
        <w:rPr>
          <w:color w:val="auto"/>
          <w:highlight w:val="none"/>
        </w:rPr>
        <w:t>；根据《产业结构调整指导目录（2024年本）》，不属于产业政策鼓励类、限制类、淘汰类，视为允许类，本项目的建设符合国家产业政策。选址及污染治理措施符合《新疆维吾尔自治区重点行业生态环境准入条件（2024年）》和《矿山生态环境保护与污染防治技术政策》（环发〔2005〕109号）。</w:t>
      </w:r>
    </w:p>
    <w:p w14:paraId="6361FE3C">
      <w:pPr>
        <w:pStyle w:val="3"/>
        <w:ind w:firstLine="480"/>
        <w:rPr>
          <w:color w:val="auto"/>
          <w:highlight w:val="none"/>
        </w:rPr>
      </w:pPr>
      <w:r>
        <w:rPr>
          <w:rFonts w:hint="eastAsia"/>
          <w:color w:val="auto"/>
          <w:highlight w:val="none"/>
        </w:rPr>
        <w:t>原矿汽车运输采取苫盖</w:t>
      </w:r>
      <w:r>
        <w:rPr>
          <w:color w:val="auto"/>
          <w:highlight w:val="none"/>
        </w:rPr>
        <w:t>，</w:t>
      </w:r>
      <w:r>
        <w:rPr>
          <w:rFonts w:hint="eastAsia"/>
          <w:color w:val="auto"/>
          <w:highlight w:val="none"/>
        </w:rPr>
        <w:t>各车间采用</w:t>
      </w:r>
      <w:r>
        <w:rPr>
          <w:color w:val="auto"/>
          <w:highlight w:val="none"/>
        </w:rPr>
        <w:t>皮带走廊运输；建筑物采暖供热为</w:t>
      </w:r>
      <w:r>
        <w:rPr>
          <w:rFonts w:hint="eastAsia"/>
          <w:color w:val="auto"/>
          <w:highlight w:val="none"/>
        </w:rPr>
        <w:t>生物质炉窑，并配套建设除尘脱硫设施</w:t>
      </w:r>
      <w:r>
        <w:rPr>
          <w:color w:val="auto"/>
          <w:highlight w:val="none"/>
        </w:rPr>
        <w:t>；</w:t>
      </w:r>
      <w:r>
        <w:rPr>
          <w:rFonts w:hint="eastAsia"/>
          <w:color w:val="auto"/>
          <w:highlight w:val="none"/>
        </w:rPr>
        <w:t>选矿废水</w:t>
      </w:r>
      <w:r>
        <w:rPr>
          <w:color w:val="auto"/>
          <w:highlight w:val="none"/>
        </w:rPr>
        <w:t>和生活污水经处理后全部回用；</w:t>
      </w:r>
      <w:r>
        <w:rPr>
          <w:rFonts w:hint="eastAsia"/>
          <w:color w:val="auto"/>
          <w:highlight w:val="none"/>
        </w:rPr>
        <w:t>废石</w:t>
      </w:r>
      <w:r>
        <w:rPr>
          <w:color w:val="auto"/>
          <w:highlight w:val="none"/>
        </w:rPr>
        <w:t>全部运至外排土场处置，</w:t>
      </w:r>
      <w:r>
        <w:rPr>
          <w:rFonts w:hint="eastAsia"/>
          <w:color w:val="auto"/>
          <w:highlight w:val="none"/>
        </w:rPr>
        <w:t>尾矿经皮带运输至尾矿库</w:t>
      </w:r>
      <w:r>
        <w:rPr>
          <w:color w:val="auto"/>
          <w:highlight w:val="none"/>
        </w:rPr>
        <w:t>。</w:t>
      </w:r>
      <w:r>
        <w:rPr>
          <w:rFonts w:hint="eastAsia"/>
          <w:color w:val="auto"/>
          <w:highlight w:val="none"/>
        </w:rPr>
        <w:t>尾矿库</w:t>
      </w:r>
      <w:r>
        <w:rPr>
          <w:color w:val="auto"/>
          <w:highlight w:val="none"/>
        </w:rPr>
        <w:t>封场后主要采取</w:t>
      </w:r>
      <w:r>
        <w:rPr>
          <w:rFonts w:hint="eastAsia"/>
          <w:color w:val="auto"/>
          <w:highlight w:val="none"/>
        </w:rPr>
        <w:t>矿石</w:t>
      </w:r>
      <w:r>
        <w:rPr>
          <w:color w:val="auto"/>
          <w:highlight w:val="none"/>
        </w:rPr>
        <w:t>压盖的措施，减少扬尘污染。在采取设计和评价提出的污染防治、生态保护、环境风险防范等措施后，项目自身对环境的污染可降到当地环境能够容许的程度，对生态环境影响控制在可接受范围以内。项目建设可实现环境效益、社会效益和经济效益的统一，符合国家产业政策和环境保护政策要求。从环保角度而言，项目建设可行。</w:t>
      </w:r>
    </w:p>
    <w:p w14:paraId="416321FB">
      <w:pPr>
        <w:pStyle w:val="3"/>
        <w:ind w:firstLine="480"/>
        <w:rPr>
          <w:color w:val="auto"/>
          <w:highlight w:val="none"/>
        </w:rPr>
      </w:pPr>
    </w:p>
    <w:p w14:paraId="131B8064">
      <w:pPr>
        <w:pStyle w:val="38"/>
        <w:rPr>
          <w:color w:val="auto"/>
          <w:highlight w:val="none"/>
        </w:rPr>
      </w:pPr>
      <w:bookmarkStart w:id="81" w:name="_Toc25037"/>
      <w:bookmarkStart w:id="82" w:name="_Toc22416"/>
      <w:r>
        <w:rPr>
          <w:color w:val="auto"/>
          <w:highlight w:val="none"/>
        </w:rPr>
        <w:t>总则</w:t>
      </w:r>
      <w:bookmarkEnd w:id="81"/>
      <w:bookmarkEnd w:id="82"/>
    </w:p>
    <w:p w14:paraId="21192684">
      <w:pPr>
        <w:pStyle w:val="39"/>
        <w:rPr>
          <w:rFonts w:hint="default"/>
          <w:color w:val="auto"/>
          <w:highlight w:val="none"/>
        </w:rPr>
      </w:pPr>
      <w:bookmarkStart w:id="83" w:name="_Toc356403995"/>
      <w:bookmarkStart w:id="84" w:name="_Toc208896968"/>
      <w:bookmarkStart w:id="85" w:name="_Toc211353923"/>
      <w:bookmarkStart w:id="86" w:name="_Toc358185899"/>
      <w:bookmarkStart w:id="87" w:name="_Toc30925"/>
      <w:bookmarkStart w:id="88" w:name="_Toc320176174"/>
      <w:bookmarkStart w:id="89" w:name="_Toc302400290"/>
      <w:bookmarkStart w:id="90" w:name="_Toc244344543"/>
      <w:bookmarkStart w:id="91" w:name="_Toc481789484"/>
      <w:bookmarkStart w:id="92" w:name="_Toc199302604"/>
      <w:bookmarkStart w:id="93" w:name="_Toc428964837"/>
      <w:bookmarkStart w:id="94" w:name="_Toc198982193"/>
      <w:bookmarkStart w:id="95" w:name="_Toc11612"/>
      <w:bookmarkStart w:id="96" w:name="_Toc324157821"/>
      <w:bookmarkStart w:id="97" w:name="_Toc208918201"/>
      <w:bookmarkStart w:id="98" w:name="_Toc471925956"/>
      <w:bookmarkStart w:id="99" w:name="_Toc481768445"/>
      <w:bookmarkStart w:id="100" w:name="_Toc17185"/>
      <w:bookmarkStart w:id="101" w:name="_Toc391050942"/>
      <w:bookmarkStart w:id="102" w:name="_Toc2062"/>
      <w:bookmarkStart w:id="103" w:name="_Toc19390"/>
      <w:bookmarkStart w:id="104" w:name="_Toc20645"/>
      <w:bookmarkStart w:id="105" w:name="_Toc205547869"/>
      <w:bookmarkStart w:id="106" w:name="_Toc357506041"/>
      <w:bookmarkStart w:id="107" w:name="_Toc209786666"/>
      <w:bookmarkStart w:id="108" w:name="_Toc332293485"/>
      <w:bookmarkStart w:id="109" w:name="_Toc481768093"/>
      <w:bookmarkStart w:id="110" w:name="_Toc395712418"/>
      <w:bookmarkStart w:id="111" w:name="_Toc404006506"/>
      <w:r>
        <w:rPr>
          <w:rFonts w:hint="default"/>
          <w:color w:val="auto"/>
          <w:highlight w:val="none"/>
        </w:rPr>
        <w:t>评价目的与指导思想</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5CE7538B">
      <w:pPr>
        <w:pStyle w:val="42"/>
        <w:rPr>
          <w:rFonts w:hint="default"/>
          <w:color w:val="auto"/>
          <w:highlight w:val="none"/>
        </w:rPr>
      </w:pPr>
      <w:r>
        <w:rPr>
          <w:rFonts w:hint="default"/>
          <w:color w:val="auto"/>
          <w:highlight w:val="none"/>
        </w:rPr>
        <w:t>评价目的</w:t>
      </w:r>
    </w:p>
    <w:p w14:paraId="317CE12D">
      <w:pPr>
        <w:pStyle w:val="3"/>
        <w:ind w:firstLine="480"/>
        <w:rPr>
          <w:color w:val="auto"/>
          <w:highlight w:val="none"/>
        </w:rPr>
      </w:pPr>
      <w:r>
        <w:rPr>
          <w:color w:val="auto"/>
          <w:highlight w:val="none"/>
        </w:rPr>
        <w:t>（1）通过实地调查、现状监测、收集并分析当地环境质量现状资料，了解项目所在地的自然环境情况及特点，掌握项目区域的环境质量和生态环境现状。</w:t>
      </w:r>
    </w:p>
    <w:p w14:paraId="1ED7417C">
      <w:pPr>
        <w:pStyle w:val="3"/>
        <w:ind w:firstLine="480"/>
        <w:rPr>
          <w:color w:val="auto"/>
          <w:highlight w:val="none"/>
        </w:rPr>
      </w:pPr>
      <w:r>
        <w:rPr>
          <w:color w:val="auto"/>
          <w:highlight w:val="none"/>
        </w:rPr>
        <w:t>（2）通过工程分析，明确本项目施工期、运营期主要污染源及污染物种类、源强、排放强度、排放方式及排放去向，分析环境污染的影响特征，预测和评价本项目施工期、运营期对环境的影响程度，提出相应的污染防治和生态保护措施，并对其进行论证。</w:t>
      </w:r>
    </w:p>
    <w:p w14:paraId="42F7E61F">
      <w:pPr>
        <w:pStyle w:val="3"/>
        <w:ind w:firstLine="480"/>
        <w:rPr>
          <w:color w:val="auto"/>
          <w:highlight w:val="none"/>
        </w:rPr>
      </w:pPr>
      <w:r>
        <w:rPr>
          <w:color w:val="auto"/>
          <w:highlight w:val="none"/>
        </w:rPr>
        <w:t>（3）论述拟采取的环境保护措施的技术可行性、经济合理性、长期稳定运行和达标排放的可靠性、满足环境质量改善和排污许可要求的可行性、生态保护和恢复效果的可达性，并针对存在的问题，提出各个生产阶段不同的、有针对性的、切实可行的环保措施和建议。</w:t>
      </w:r>
    </w:p>
    <w:p w14:paraId="3B441651">
      <w:pPr>
        <w:pStyle w:val="3"/>
        <w:ind w:firstLine="480"/>
        <w:rPr>
          <w:color w:val="auto"/>
          <w:highlight w:val="none"/>
        </w:rPr>
      </w:pPr>
      <w:r>
        <w:rPr>
          <w:color w:val="auto"/>
          <w:highlight w:val="none"/>
        </w:rPr>
        <w:t>（4）分析本项目可能存在的事故隐患，预测风险事故可能产生的环境影响程度，提出环境风险防范措施。</w:t>
      </w:r>
    </w:p>
    <w:p w14:paraId="3E190036">
      <w:pPr>
        <w:pStyle w:val="3"/>
        <w:ind w:firstLine="480"/>
        <w:rPr>
          <w:color w:val="auto"/>
          <w:highlight w:val="none"/>
        </w:rPr>
      </w:pPr>
      <w:r>
        <w:rPr>
          <w:color w:val="auto"/>
          <w:highlight w:val="none"/>
        </w:rPr>
        <w:t>（5）根据国家和地方现行的环境法规、政策和预测评价结果，说明项目的环境可行性，为环境管理提供科学依据。</w:t>
      </w:r>
    </w:p>
    <w:p w14:paraId="6029E8D6">
      <w:pPr>
        <w:pStyle w:val="42"/>
        <w:rPr>
          <w:rFonts w:hint="default"/>
          <w:color w:val="auto"/>
          <w:highlight w:val="none"/>
        </w:rPr>
      </w:pPr>
      <w:r>
        <w:rPr>
          <w:rFonts w:hint="default"/>
          <w:color w:val="auto"/>
          <w:highlight w:val="none"/>
        </w:rPr>
        <w:t>评价原则</w:t>
      </w:r>
    </w:p>
    <w:p w14:paraId="42D6560C">
      <w:pPr>
        <w:pStyle w:val="3"/>
        <w:ind w:firstLine="480"/>
        <w:rPr>
          <w:color w:val="auto"/>
          <w:highlight w:val="none"/>
        </w:rPr>
      </w:pPr>
      <w:r>
        <w:rPr>
          <w:color w:val="auto"/>
          <w:highlight w:val="none"/>
        </w:rPr>
        <w:t>突出环境影响评价的源头预防作用，坚持保护和改善环境质量。</w:t>
      </w:r>
    </w:p>
    <w:p w14:paraId="33AFF150">
      <w:pPr>
        <w:pStyle w:val="3"/>
        <w:ind w:firstLine="480"/>
        <w:rPr>
          <w:color w:val="auto"/>
          <w:highlight w:val="none"/>
        </w:rPr>
      </w:pPr>
      <w:r>
        <w:rPr>
          <w:color w:val="auto"/>
          <w:highlight w:val="none"/>
        </w:rPr>
        <w:t>a）依法评价</w:t>
      </w:r>
    </w:p>
    <w:p w14:paraId="7FC95390">
      <w:pPr>
        <w:pStyle w:val="3"/>
        <w:ind w:firstLine="480"/>
        <w:rPr>
          <w:color w:val="auto"/>
          <w:highlight w:val="none"/>
        </w:rPr>
      </w:pPr>
      <w:r>
        <w:rPr>
          <w:color w:val="auto"/>
          <w:highlight w:val="none"/>
        </w:rPr>
        <w:t>贯彻执行我国环境保护相关法律法规、标准、政策和规划等，优化项目建设，服务环境管理。</w:t>
      </w:r>
    </w:p>
    <w:p w14:paraId="6997C2C8">
      <w:pPr>
        <w:pStyle w:val="3"/>
        <w:ind w:firstLine="480"/>
        <w:rPr>
          <w:color w:val="auto"/>
          <w:highlight w:val="none"/>
        </w:rPr>
      </w:pPr>
      <w:r>
        <w:rPr>
          <w:color w:val="auto"/>
          <w:highlight w:val="none"/>
        </w:rPr>
        <w:t>b）科学评价</w:t>
      </w:r>
    </w:p>
    <w:p w14:paraId="7E185C14">
      <w:pPr>
        <w:pStyle w:val="3"/>
        <w:ind w:firstLine="480"/>
        <w:rPr>
          <w:color w:val="auto"/>
          <w:highlight w:val="none"/>
        </w:rPr>
      </w:pPr>
      <w:r>
        <w:rPr>
          <w:color w:val="auto"/>
          <w:highlight w:val="none"/>
        </w:rPr>
        <w:t>规范环境影响评价方法，科学分析项目建设对环境质量的影响。</w:t>
      </w:r>
    </w:p>
    <w:p w14:paraId="07915AEA">
      <w:pPr>
        <w:pStyle w:val="3"/>
        <w:ind w:firstLine="480"/>
        <w:rPr>
          <w:color w:val="auto"/>
          <w:highlight w:val="none"/>
        </w:rPr>
      </w:pPr>
      <w:r>
        <w:rPr>
          <w:color w:val="auto"/>
          <w:highlight w:val="none"/>
        </w:rPr>
        <w:t>c）突出重点</w:t>
      </w:r>
    </w:p>
    <w:p w14:paraId="6E5968FE">
      <w:pPr>
        <w:pStyle w:val="3"/>
        <w:ind w:firstLine="480"/>
        <w:rPr>
          <w:color w:val="auto"/>
          <w:highlight w:val="none"/>
        </w:rPr>
      </w:pPr>
      <w:r>
        <w:rPr>
          <w:color w:val="auto"/>
          <w:highlight w:val="none"/>
        </w:rPr>
        <w:t>根据建设项目的工程内容及其特点，明确与环境要素间的作用效应关系，根据规划环境影响评价结论和审查意见，充分利用符合时效的数据资料及成果，对建设项目主要环境影响予以重点分析和评价。</w:t>
      </w:r>
    </w:p>
    <w:p w14:paraId="771DDBFF">
      <w:pPr>
        <w:pStyle w:val="39"/>
        <w:rPr>
          <w:rFonts w:hint="default"/>
          <w:color w:val="auto"/>
          <w:highlight w:val="none"/>
        </w:rPr>
      </w:pPr>
      <w:bookmarkStart w:id="112" w:name="_Toc428964838"/>
      <w:bookmarkStart w:id="113" w:name="_Toc481789485"/>
      <w:bookmarkStart w:id="114" w:name="_Toc1320"/>
      <w:bookmarkStart w:id="115" w:name="_Toc915"/>
      <w:bookmarkStart w:id="116" w:name="_Toc7024"/>
      <w:bookmarkStart w:id="117" w:name="_Toc481768446"/>
      <w:bookmarkStart w:id="118" w:name="_Toc471925957"/>
      <w:bookmarkStart w:id="119" w:name="_Toc481768094"/>
      <w:bookmarkStart w:id="120" w:name="_Toc10627"/>
      <w:bookmarkStart w:id="121" w:name="_Toc404006507"/>
      <w:bookmarkStart w:id="122" w:name="_Toc27029"/>
      <w:bookmarkStart w:id="123" w:name="_Toc26540"/>
      <w:r>
        <w:rPr>
          <w:rFonts w:hint="default"/>
          <w:color w:val="auto"/>
          <w:highlight w:val="none"/>
        </w:rPr>
        <w:t>评价依据</w:t>
      </w:r>
      <w:bookmarkEnd w:id="112"/>
      <w:bookmarkEnd w:id="113"/>
      <w:bookmarkEnd w:id="114"/>
      <w:bookmarkEnd w:id="115"/>
      <w:bookmarkEnd w:id="116"/>
      <w:bookmarkEnd w:id="117"/>
      <w:bookmarkEnd w:id="118"/>
      <w:bookmarkEnd w:id="119"/>
      <w:bookmarkEnd w:id="120"/>
      <w:bookmarkEnd w:id="121"/>
      <w:bookmarkEnd w:id="122"/>
      <w:bookmarkEnd w:id="123"/>
    </w:p>
    <w:p w14:paraId="4F8DAC10">
      <w:pPr>
        <w:pStyle w:val="42"/>
        <w:rPr>
          <w:rFonts w:hint="default"/>
          <w:color w:val="auto"/>
          <w:highlight w:val="none"/>
        </w:rPr>
      </w:pPr>
      <w:r>
        <w:rPr>
          <w:rFonts w:hint="default"/>
          <w:color w:val="auto"/>
          <w:highlight w:val="none"/>
        </w:rPr>
        <w:t>法律</w:t>
      </w:r>
    </w:p>
    <w:p w14:paraId="21F91DE2">
      <w:pPr>
        <w:pStyle w:val="3"/>
        <w:numPr>
          <w:ilvl w:val="0"/>
          <w:numId w:val="6"/>
        </w:numPr>
        <w:ind w:firstLine="480"/>
        <w:rPr>
          <w:color w:val="auto"/>
          <w:highlight w:val="none"/>
        </w:rPr>
      </w:pPr>
      <w:r>
        <w:rPr>
          <w:rFonts w:hint="eastAsia"/>
          <w:color w:val="auto"/>
          <w:highlight w:val="none"/>
          <w:lang w:eastAsia="zh-CN"/>
        </w:rPr>
        <w:t>《</w:t>
      </w:r>
      <w:r>
        <w:rPr>
          <w:rFonts w:hint="eastAsia"/>
          <w:color w:val="auto"/>
          <w:highlight w:val="none"/>
        </w:rPr>
        <w:t>中华人民共和国生态环境法典</w:t>
      </w:r>
      <w:r>
        <w:rPr>
          <w:rFonts w:hint="eastAsia"/>
          <w:color w:val="auto"/>
          <w:highlight w:val="none"/>
          <w:lang w:eastAsia="zh-CN"/>
        </w:rPr>
        <w:t>》，2026年8月15日起施行；</w:t>
      </w:r>
    </w:p>
    <w:p w14:paraId="74213AD9">
      <w:pPr>
        <w:pStyle w:val="3"/>
        <w:numPr>
          <w:ilvl w:val="0"/>
          <w:numId w:val="6"/>
        </w:numPr>
        <w:ind w:firstLine="480"/>
        <w:rPr>
          <w:color w:val="auto"/>
          <w:highlight w:val="none"/>
        </w:rPr>
      </w:pPr>
      <w:r>
        <w:rPr>
          <w:color w:val="auto"/>
          <w:highlight w:val="none"/>
        </w:rPr>
        <w:t>《中华人民共和国节约能源法》（修正），2018年10月26日起施行；</w:t>
      </w:r>
    </w:p>
    <w:p w14:paraId="36B157DD">
      <w:pPr>
        <w:pStyle w:val="3"/>
        <w:numPr>
          <w:ilvl w:val="0"/>
          <w:numId w:val="6"/>
        </w:numPr>
        <w:ind w:firstLine="480"/>
        <w:rPr>
          <w:color w:val="auto"/>
          <w:highlight w:val="none"/>
        </w:rPr>
      </w:pPr>
      <w:r>
        <w:rPr>
          <w:color w:val="auto"/>
          <w:highlight w:val="none"/>
        </w:rPr>
        <w:t>《中华人民共和国防沙治沙法》（修订），2018年10月26日起施行；</w:t>
      </w:r>
    </w:p>
    <w:p w14:paraId="4C8492E6">
      <w:pPr>
        <w:pStyle w:val="3"/>
        <w:numPr>
          <w:ilvl w:val="0"/>
          <w:numId w:val="6"/>
        </w:numPr>
        <w:ind w:firstLine="480"/>
        <w:rPr>
          <w:color w:val="auto"/>
          <w:highlight w:val="none"/>
        </w:rPr>
      </w:pPr>
      <w:r>
        <w:rPr>
          <w:color w:val="auto"/>
          <w:highlight w:val="none"/>
        </w:rPr>
        <w:t>《中华人民共和国水土保持法》，20</w:t>
      </w:r>
      <w:r>
        <w:rPr>
          <w:rFonts w:hint="eastAsia"/>
          <w:color w:val="auto"/>
          <w:highlight w:val="none"/>
        </w:rPr>
        <w:t>11</w:t>
      </w:r>
      <w:r>
        <w:rPr>
          <w:color w:val="auto"/>
          <w:highlight w:val="none"/>
        </w:rPr>
        <w:t>年3月</w:t>
      </w:r>
      <w:r>
        <w:rPr>
          <w:rFonts w:hint="eastAsia"/>
          <w:color w:val="auto"/>
          <w:highlight w:val="none"/>
        </w:rPr>
        <w:t>1</w:t>
      </w:r>
      <w:r>
        <w:rPr>
          <w:color w:val="auto"/>
          <w:highlight w:val="none"/>
        </w:rPr>
        <w:t>日起施行；</w:t>
      </w:r>
    </w:p>
    <w:p w14:paraId="150464B0">
      <w:pPr>
        <w:pStyle w:val="3"/>
        <w:numPr>
          <w:ilvl w:val="0"/>
          <w:numId w:val="6"/>
        </w:numPr>
        <w:ind w:firstLine="480"/>
        <w:rPr>
          <w:color w:val="auto"/>
          <w:highlight w:val="none"/>
        </w:rPr>
      </w:pPr>
      <w:r>
        <w:rPr>
          <w:color w:val="auto"/>
          <w:highlight w:val="none"/>
        </w:rPr>
        <w:t>《中华人民共和国水法》（修订），2016年7月1日起施行；</w:t>
      </w:r>
    </w:p>
    <w:p w14:paraId="64977353">
      <w:pPr>
        <w:pStyle w:val="3"/>
        <w:numPr>
          <w:ilvl w:val="0"/>
          <w:numId w:val="6"/>
        </w:numPr>
        <w:ind w:firstLine="480"/>
        <w:rPr>
          <w:color w:val="auto"/>
          <w:highlight w:val="none"/>
        </w:rPr>
      </w:pPr>
      <w:r>
        <w:rPr>
          <w:color w:val="auto"/>
          <w:highlight w:val="none"/>
        </w:rPr>
        <w:t>《中华人民共和国草原法》，2021年2月18日起施行；</w:t>
      </w:r>
    </w:p>
    <w:p w14:paraId="21302A9E">
      <w:pPr>
        <w:pStyle w:val="3"/>
        <w:numPr>
          <w:ilvl w:val="0"/>
          <w:numId w:val="6"/>
        </w:numPr>
        <w:ind w:firstLine="480"/>
        <w:rPr>
          <w:color w:val="auto"/>
          <w:highlight w:val="none"/>
        </w:rPr>
      </w:pPr>
      <w:r>
        <w:rPr>
          <w:color w:val="auto"/>
          <w:highlight w:val="none"/>
        </w:rPr>
        <w:t>《中华人民共和国森林法》（修订），2020年7月1日起施行；</w:t>
      </w:r>
    </w:p>
    <w:p w14:paraId="4FDFC5B7">
      <w:pPr>
        <w:pStyle w:val="3"/>
        <w:numPr>
          <w:ilvl w:val="0"/>
          <w:numId w:val="6"/>
        </w:numPr>
        <w:ind w:firstLine="480"/>
        <w:rPr>
          <w:color w:val="auto"/>
          <w:highlight w:val="none"/>
        </w:rPr>
      </w:pPr>
      <w:r>
        <w:rPr>
          <w:color w:val="auto"/>
          <w:highlight w:val="none"/>
        </w:rPr>
        <w:t>《中华人民共和国土地管理法》（修改），2020年1月1日起施行；</w:t>
      </w:r>
    </w:p>
    <w:p w14:paraId="56B0E0E9">
      <w:pPr>
        <w:pStyle w:val="3"/>
        <w:numPr>
          <w:ilvl w:val="0"/>
          <w:numId w:val="6"/>
        </w:numPr>
        <w:ind w:firstLine="480"/>
        <w:rPr>
          <w:color w:val="auto"/>
          <w:highlight w:val="none"/>
        </w:rPr>
      </w:pPr>
      <w:r>
        <w:rPr>
          <w:color w:val="auto"/>
          <w:highlight w:val="none"/>
        </w:rPr>
        <w:t>《中华人民共和国野生动物保护法（修正案）》，2023年5月1日起施行；</w:t>
      </w:r>
    </w:p>
    <w:p w14:paraId="5AB125E8">
      <w:pPr>
        <w:pStyle w:val="3"/>
        <w:numPr>
          <w:ilvl w:val="0"/>
          <w:numId w:val="6"/>
        </w:numPr>
        <w:ind w:firstLine="480"/>
        <w:rPr>
          <w:color w:val="auto"/>
          <w:highlight w:val="none"/>
        </w:rPr>
      </w:pPr>
      <w:r>
        <w:rPr>
          <w:color w:val="auto"/>
          <w:highlight w:val="none"/>
        </w:rPr>
        <w:t>《中华人民共和国文物保护法》（2017修正），2015年4月24日起施行；</w:t>
      </w:r>
    </w:p>
    <w:p w14:paraId="59081843">
      <w:pPr>
        <w:pStyle w:val="3"/>
        <w:numPr>
          <w:ilvl w:val="0"/>
          <w:numId w:val="6"/>
        </w:numPr>
        <w:ind w:firstLine="480"/>
        <w:rPr>
          <w:color w:val="auto"/>
          <w:highlight w:val="none"/>
        </w:rPr>
      </w:pPr>
      <w:r>
        <w:rPr>
          <w:color w:val="auto"/>
          <w:highlight w:val="none"/>
        </w:rPr>
        <w:t>《中华人民共和国矿产资源法》，2025年7月1日起施行；</w:t>
      </w:r>
    </w:p>
    <w:p w14:paraId="26979A28">
      <w:pPr>
        <w:pStyle w:val="3"/>
        <w:numPr>
          <w:ilvl w:val="0"/>
          <w:numId w:val="6"/>
        </w:numPr>
        <w:ind w:firstLine="480"/>
        <w:rPr>
          <w:color w:val="auto"/>
          <w:highlight w:val="none"/>
        </w:rPr>
      </w:pPr>
      <w:r>
        <w:rPr>
          <w:color w:val="auto"/>
          <w:highlight w:val="none"/>
        </w:rPr>
        <w:t>《中华人民共和国湿地保护法》，2022年6月1日起施行。</w:t>
      </w:r>
    </w:p>
    <w:p w14:paraId="2101C5E0">
      <w:pPr>
        <w:pStyle w:val="3"/>
        <w:numPr>
          <w:ilvl w:val="0"/>
          <w:numId w:val="6"/>
        </w:numPr>
        <w:ind w:firstLine="480"/>
        <w:rPr>
          <w:color w:val="auto"/>
          <w:highlight w:val="none"/>
        </w:rPr>
      </w:pPr>
      <w:r>
        <w:rPr>
          <w:rFonts w:hint="eastAsia"/>
          <w:color w:val="auto"/>
          <w:highlight w:val="none"/>
        </w:rPr>
        <w:t>《</w:t>
      </w:r>
      <w:r>
        <w:rPr>
          <w:color w:val="auto"/>
          <w:highlight w:val="none"/>
        </w:rPr>
        <w:t>中华人民共和国能源法</w:t>
      </w:r>
      <w:r>
        <w:rPr>
          <w:rFonts w:hint="eastAsia"/>
          <w:color w:val="auto"/>
          <w:highlight w:val="none"/>
        </w:rPr>
        <w:t>》，2025年1月1日起施行；</w:t>
      </w:r>
    </w:p>
    <w:p w14:paraId="5C10F7F1">
      <w:pPr>
        <w:pStyle w:val="42"/>
        <w:rPr>
          <w:rFonts w:hint="default"/>
          <w:color w:val="auto"/>
          <w:highlight w:val="none"/>
        </w:rPr>
      </w:pPr>
      <w:r>
        <w:rPr>
          <w:color w:val="auto"/>
          <w:highlight w:val="none"/>
        </w:rPr>
        <w:t>行政</w:t>
      </w:r>
      <w:r>
        <w:rPr>
          <w:rFonts w:hint="default"/>
          <w:color w:val="auto"/>
          <w:highlight w:val="none"/>
        </w:rPr>
        <w:t>法规</w:t>
      </w:r>
    </w:p>
    <w:p w14:paraId="1204C307">
      <w:pPr>
        <w:pStyle w:val="3"/>
        <w:numPr>
          <w:ilvl w:val="0"/>
          <w:numId w:val="7"/>
        </w:numPr>
        <w:ind w:firstLine="480"/>
        <w:rPr>
          <w:color w:val="auto"/>
          <w:highlight w:val="none"/>
        </w:rPr>
      </w:pPr>
      <w:r>
        <w:rPr>
          <w:color w:val="auto"/>
          <w:highlight w:val="none"/>
        </w:rPr>
        <w:t>《建设项目环境保护管理条例》（国务院令第682号，2017年7月16日）；</w:t>
      </w:r>
    </w:p>
    <w:p w14:paraId="5BBA9B4A">
      <w:pPr>
        <w:pStyle w:val="3"/>
        <w:numPr>
          <w:ilvl w:val="0"/>
          <w:numId w:val="7"/>
        </w:numPr>
        <w:ind w:firstLine="480"/>
        <w:rPr>
          <w:color w:val="auto"/>
          <w:highlight w:val="none"/>
        </w:rPr>
      </w:pPr>
      <w:r>
        <w:rPr>
          <w:color w:val="auto"/>
          <w:highlight w:val="none"/>
        </w:rPr>
        <w:t>《土地复垦条例》（国务院令第592号，2011年3月5日）；</w:t>
      </w:r>
    </w:p>
    <w:p w14:paraId="20E4451E">
      <w:pPr>
        <w:pStyle w:val="3"/>
        <w:numPr>
          <w:ilvl w:val="0"/>
          <w:numId w:val="7"/>
        </w:numPr>
        <w:ind w:firstLine="480"/>
        <w:rPr>
          <w:color w:val="auto"/>
          <w:highlight w:val="none"/>
        </w:rPr>
      </w:pPr>
      <w:r>
        <w:rPr>
          <w:color w:val="auto"/>
          <w:highlight w:val="none"/>
        </w:rPr>
        <w:t>《土地复垦条例实施办法》（2013年3月1日）；</w:t>
      </w:r>
    </w:p>
    <w:p w14:paraId="703C6491">
      <w:pPr>
        <w:pStyle w:val="3"/>
        <w:numPr>
          <w:ilvl w:val="0"/>
          <w:numId w:val="7"/>
        </w:numPr>
        <w:ind w:firstLine="480"/>
        <w:rPr>
          <w:color w:val="auto"/>
          <w:highlight w:val="none"/>
        </w:rPr>
      </w:pPr>
      <w:r>
        <w:rPr>
          <w:color w:val="auto"/>
          <w:highlight w:val="none"/>
        </w:rPr>
        <w:t>《建设项目环境影响评价分类管理名录》（</w:t>
      </w:r>
      <w:r>
        <w:rPr>
          <w:rFonts w:hint="eastAsia"/>
          <w:color w:val="auto"/>
          <w:highlight w:val="none"/>
          <w:lang w:eastAsia="zh-CN"/>
        </w:rPr>
        <w:t>生态环境</w:t>
      </w:r>
      <w:r>
        <w:rPr>
          <w:color w:val="auto"/>
          <w:highlight w:val="none"/>
        </w:rPr>
        <w:t>部令第44号，2021年1月1日）；</w:t>
      </w:r>
    </w:p>
    <w:p w14:paraId="57EAF241">
      <w:pPr>
        <w:pStyle w:val="3"/>
        <w:numPr>
          <w:ilvl w:val="0"/>
          <w:numId w:val="7"/>
        </w:numPr>
        <w:ind w:firstLine="480"/>
        <w:rPr>
          <w:color w:val="auto"/>
          <w:highlight w:val="none"/>
        </w:rPr>
      </w:pPr>
      <w:r>
        <w:rPr>
          <w:color w:val="auto"/>
          <w:highlight w:val="none"/>
        </w:rPr>
        <w:t>《环境影响评价公众参与办法》（2019年1月1日）；</w:t>
      </w:r>
    </w:p>
    <w:p w14:paraId="6B5C90E3">
      <w:pPr>
        <w:pStyle w:val="3"/>
        <w:numPr>
          <w:ilvl w:val="0"/>
          <w:numId w:val="7"/>
        </w:numPr>
        <w:ind w:firstLine="480"/>
        <w:rPr>
          <w:color w:val="auto"/>
          <w:highlight w:val="none"/>
        </w:rPr>
      </w:pPr>
      <w:r>
        <w:rPr>
          <w:color w:val="auto"/>
          <w:highlight w:val="none"/>
        </w:rPr>
        <w:t>《产业结构调整指导目录（2024年本）》；</w:t>
      </w:r>
    </w:p>
    <w:p w14:paraId="592F362C">
      <w:pPr>
        <w:pStyle w:val="3"/>
        <w:numPr>
          <w:ilvl w:val="0"/>
          <w:numId w:val="7"/>
        </w:numPr>
        <w:ind w:firstLine="480"/>
        <w:rPr>
          <w:color w:val="auto"/>
          <w:highlight w:val="none"/>
        </w:rPr>
      </w:pPr>
      <w:r>
        <w:rPr>
          <w:rFonts w:hint="eastAsia"/>
          <w:color w:val="auto"/>
          <w:highlight w:val="none"/>
          <w:lang w:eastAsia="zh-CN"/>
        </w:rPr>
        <w:t>《中共中央 国务院</w:t>
      </w:r>
      <w:r>
        <w:rPr>
          <w:color w:val="auto"/>
          <w:highlight w:val="none"/>
        </w:rPr>
        <w:t>关于深入打好污染防治攻坚战的意见》（2021年11月2日）；</w:t>
      </w:r>
    </w:p>
    <w:p w14:paraId="033E0A6F">
      <w:pPr>
        <w:pStyle w:val="3"/>
        <w:numPr>
          <w:ilvl w:val="0"/>
          <w:numId w:val="7"/>
        </w:numPr>
        <w:ind w:firstLine="480"/>
        <w:rPr>
          <w:color w:val="auto"/>
          <w:highlight w:val="none"/>
        </w:rPr>
      </w:pPr>
      <w:r>
        <w:rPr>
          <w:color w:val="auto"/>
          <w:highlight w:val="none"/>
        </w:rPr>
        <w:t>《工矿用地土壤环境管理办法（试行）》（生态环境部令3号，2018.8.1）；</w:t>
      </w:r>
    </w:p>
    <w:p w14:paraId="7E22ECA2">
      <w:pPr>
        <w:pStyle w:val="3"/>
        <w:numPr>
          <w:ilvl w:val="0"/>
          <w:numId w:val="7"/>
        </w:numPr>
        <w:ind w:firstLine="480"/>
        <w:rPr>
          <w:color w:val="auto"/>
          <w:highlight w:val="none"/>
        </w:rPr>
      </w:pPr>
      <w:r>
        <w:rPr>
          <w:color w:val="auto"/>
          <w:highlight w:val="none"/>
        </w:rPr>
        <w:t>《关于进一步加强环境影响评价管理防范环境风险的通知》（环发〔2012〕77号）；</w:t>
      </w:r>
    </w:p>
    <w:p w14:paraId="1CDCF86B">
      <w:pPr>
        <w:pStyle w:val="3"/>
        <w:numPr>
          <w:ilvl w:val="0"/>
          <w:numId w:val="7"/>
        </w:numPr>
        <w:ind w:firstLine="480"/>
        <w:rPr>
          <w:color w:val="auto"/>
          <w:highlight w:val="none"/>
        </w:rPr>
      </w:pPr>
      <w:r>
        <w:rPr>
          <w:color w:val="auto"/>
          <w:highlight w:val="none"/>
        </w:rPr>
        <w:t>《关于进一步加强建设项目环境保护管理工作的通知》（环发〔2001〕19号）；</w:t>
      </w:r>
    </w:p>
    <w:p w14:paraId="6432EB20">
      <w:pPr>
        <w:pStyle w:val="3"/>
        <w:numPr>
          <w:ilvl w:val="0"/>
          <w:numId w:val="7"/>
        </w:numPr>
        <w:ind w:firstLine="480"/>
        <w:rPr>
          <w:color w:val="auto"/>
          <w:highlight w:val="none"/>
        </w:rPr>
      </w:pPr>
      <w:r>
        <w:rPr>
          <w:color w:val="auto"/>
          <w:highlight w:val="none"/>
        </w:rPr>
        <w:t>《关于以改善环境质量为核心加强环境影响评价管理的通知》（环环评〔2016〕150号）；</w:t>
      </w:r>
    </w:p>
    <w:p w14:paraId="107304B1">
      <w:pPr>
        <w:pStyle w:val="3"/>
        <w:numPr>
          <w:ilvl w:val="0"/>
          <w:numId w:val="7"/>
        </w:numPr>
        <w:ind w:firstLine="480"/>
        <w:rPr>
          <w:color w:val="auto"/>
          <w:highlight w:val="none"/>
        </w:rPr>
      </w:pPr>
      <w:r>
        <w:rPr>
          <w:color w:val="auto"/>
          <w:highlight w:val="none"/>
        </w:rPr>
        <w:t>《关于印发防范化解尾矿库安全风险工作方案的通知应急》（〔2020〕15号）；</w:t>
      </w:r>
    </w:p>
    <w:p w14:paraId="2787BA84">
      <w:pPr>
        <w:pStyle w:val="3"/>
        <w:numPr>
          <w:ilvl w:val="0"/>
          <w:numId w:val="7"/>
        </w:numPr>
        <w:ind w:firstLine="480"/>
        <w:rPr>
          <w:color w:val="auto"/>
          <w:highlight w:val="none"/>
        </w:rPr>
      </w:pPr>
      <w:r>
        <w:rPr>
          <w:color w:val="auto"/>
          <w:highlight w:val="none"/>
        </w:rPr>
        <w:t>《国务院关于印发〈空气质量持续改善行动计划〉的通知》（国发〔2023〕24号）；</w:t>
      </w:r>
    </w:p>
    <w:p w14:paraId="1D0B26FB">
      <w:pPr>
        <w:pStyle w:val="3"/>
        <w:numPr>
          <w:ilvl w:val="0"/>
          <w:numId w:val="7"/>
        </w:numPr>
        <w:ind w:firstLine="480"/>
        <w:rPr>
          <w:color w:val="auto"/>
          <w:highlight w:val="none"/>
        </w:rPr>
      </w:pPr>
      <w:r>
        <w:rPr>
          <w:color w:val="auto"/>
          <w:highlight w:val="none"/>
        </w:rPr>
        <w:t>《企业事业单位环境信息公开办法》（环境保护部第31号）。</w:t>
      </w:r>
    </w:p>
    <w:p w14:paraId="506BA3FC">
      <w:pPr>
        <w:pStyle w:val="3"/>
        <w:numPr>
          <w:ilvl w:val="0"/>
          <w:numId w:val="7"/>
        </w:numPr>
        <w:ind w:firstLine="480"/>
        <w:rPr>
          <w:color w:val="auto"/>
          <w:highlight w:val="none"/>
        </w:rPr>
      </w:pPr>
      <w:r>
        <w:rPr>
          <w:rFonts w:hint="eastAsia"/>
          <w:color w:val="auto"/>
          <w:highlight w:val="none"/>
        </w:rPr>
        <w:t>《固体废物综合治理行动计划》</w:t>
      </w:r>
      <w:r>
        <w:rPr>
          <w:rFonts w:hint="eastAsia"/>
          <w:color w:val="auto"/>
          <w:highlight w:val="none"/>
          <w:lang w:eastAsia="zh-CN"/>
        </w:rPr>
        <w:t>（</w:t>
      </w:r>
      <w:r>
        <w:rPr>
          <w:rFonts w:hint="eastAsia"/>
          <w:color w:val="auto"/>
          <w:highlight w:val="none"/>
        </w:rPr>
        <w:t>国发〔2025〕14号</w:t>
      </w:r>
      <w:r>
        <w:rPr>
          <w:rFonts w:hint="eastAsia"/>
          <w:color w:val="auto"/>
          <w:highlight w:val="none"/>
          <w:lang w:eastAsia="zh-CN"/>
        </w:rPr>
        <w:t>），</w:t>
      </w:r>
      <w:r>
        <w:rPr>
          <w:rFonts w:hint="eastAsia"/>
          <w:color w:val="auto"/>
          <w:highlight w:val="none"/>
          <w:lang w:val="en-US" w:eastAsia="zh-CN"/>
        </w:rPr>
        <w:t>2025年12月27日。</w:t>
      </w:r>
      <w:r>
        <w:rPr>
          <w:rFonts w:hint="eastAsia"/>
          <w:color w:val="auto"/>
          <w:highlight w:val="none"/>
        </w:rPr>
        <w:t>  </w:t>
      </w:r>
    </w:p>
    <w:p w14:paraId="4FE33A88">
      <w:pPr>
        <w:pStyle w:val="42"/>
        <w:rPr>
          <w:rFonts w:hint="default"/>
          <w:color w:val="auto"/>
          <w:highlight w:val="none"/>
        </w:rPr>
      </w:pPr>
      <w:r>
        <w:rPr>
          <w:rFonts w:hint="default"/>
          <w:color w:val="auto"/>
          <w:highlight w:val="none"/>
        </w:rPr>
        <w:t>地方性法规、规章</w:t>
      </w:r>
    </w:p>
    <w:p w14:paraId="5B495AF5">
      <w:pPr>
        <w:pStyle w:val="3"/>
        <w:numPr>
          <w:ilvl w:val="0"/>
          <w:numId w:val="8"/>
        </w:numPr>
        <w:ind w:firstLine="480"/>
        <w:rPr>
          <w:color w:val="auto"/>
          <w:highlight w:val="none"/>
        </w:rPr>
      </w:pPr>
      <w:r>
        <w:rPr>
          <w:color w:val="auto"/>
          <w:highlight w:val="none"/>
        </w:rPr>
        <w:t>新疆维吾尔自治区人民政府《新疆维吾尔自治区土壤污染防治工作方案》，新政发〔2017〕25号；</w:t>
      </w:r>
    </w:p>
    <w:p w14:paraId="283343E5">
      <w:pPr>
        <w:pStyle w:val="3"/>
        <w:numPr>
          <w:ilvl w:val="0"/>
          <w:numId w:val="8"/>
        </w:numPr>
        <w:ind w:firstLine="480"/>
        <w:rPr>
          <w:color w:val="auto"/>
          <w:highlight w:val="none"/>
        </w:rPr>
      </w:pPr>
      <w:r>
        <w:rPr>
          <w:color w:val="auto"/>
          <w:highlight w:val="none"/>
        </w:rPr>
        <w:t>《关于印发</w:t>
      </w:r>
      <w:r>
        <w:rPr>
          <w:rFonts w:hint="eastAsia"/>
          <w:color w:val="auto"/>
          <w:highlight w:val="none"/>
          <w:lang w:eastAsia="zh-CN"/>
        </w:rPr>
        <w:t>新疆维吾尔自治区级</w:t>
      </w:r>
      <w:r>
        <w:rPr>
          <w:color w:val="auto"/>
          <w:highlight w:val="none"/>
        </w:rPr>
        <w:t>水土流失重点预防区和重点治理区复核划分成果的通知》</w:t>
      </w:r>
      <w:r>
        <w:rPr>
          <w:rFonts w:hint="eastAsia"/>
          <w:color w:val="auto"/>
          <w:highlight w:val="none"/>
        </w:rPr>
        <w:t>，</w:t>
      </w:r>
      <w:r>
        <w:rPr>
          <w:color w:val="auto"/>
          <w:highlight w:val="none"/>
        </w:rPr>
        <w:t>（新水水保〔2019〕4号）；</w:t>
      </w:r>
    </w:p>
    <w:p w14:paraId="51C06854">
      <w:pPr>
        <w:pStyle w:val="3"/>
        <w:numPr>
          <w:ilvl w:val="0"/>
          <w:numId w:val="8"/>
        </w:numPr>
        <w:ind w:firstLine="480"/>
        <w:rPr>
          <w:color w:val="auto"/>
          <w:highlight w:val="none"/>
        </w:rPr>
      </w:pPr>
      <w:r>
        <w:rPr>
          <w:color w:val="auto"/>
          <w:highlight w:val="none"/>
        </w:rPr>
        <w:t>《国家发展改革委关于支持新疆产业健康发展的若干意见》</w:t>
      </w:r>
      <w:r>
        <w:rPr>
          <w:rFonts w:hint="eastAsia"/>
          <w:color w:val="auto"/>
          <w:highlight w:val="none"/>
        </w:rPr>
        <w:t>，</w:t>
      </w:r>
      <w:r>
        <w:rPr>
          <w:color w:val="auto"/>
          <w:highlight w:val="none"/>
        </w:rPr>
        <w:t>（发改产业〔2012〕1177号）；</w:t>
      </w:r>
    </w:p>
    <w:p w14:paraId="119AACA9">
      <w:pPr>
        <w:pStyle w:val="3"/>
        <w:numPr>
          <w:ilvl w:val="0"/>
          <w:numId w:val="8"/>
        </w:numPr>
        <w:ind w:firstLine="480"/>
        <w:rPr>
          <w:color w:val="auto"/>
          <w:highlight w:val="none"/>
        </w:rPr>
      </w:pPr>
      <w:r>
        <w:rPr>
          <w:color w:val="auto"/>
          <w:highlight w:val="none"/>
        </w:rPr>
        <w:t>《新疆国家重点保护野生动物名录》新疆维吾尔自治区林业和草原局，新疆维吾尔自治区农业农村厅，2021-7-28；</w:t>
      </w:r>
    </w:p>
    <w:p w14:paraId="75DE9034">
      <w:pPr>
        <w:pStyle w:val="3"/>
        <w:numPr>
          <w:ilvl w:val="0"/>
          <w:numId w:val="8"/>
        </w:numPr>
        <w:ind w:firstLine="480"/>
        <w:rPr>
          <w:color w:val="auto"/>
          <w:highlight w:val="none"/>
        </w:rPr>
      </w:pPr>
      <w:r>
        <w:rPr>
          <w:color w:val="auto"/>
          <w:highlight w:val="none"/>
        </w:rPr>
        <w:t>《新疆维吾尔自治区重点保护野生动物名录（修订）》</w:t>
      </w:r>
      <w:r>
        <w:rPr>
          <w:rFonts w:hint="eastAsia"/>
          <w:color w:val="auto"/>
          <w:highlight w:val="none"/>
        </w:rPr>
        <w:t>，</w:t>
      </w:r>
      <w:r>
        <w:rPr>
          <w:color w:val="auto"/>
          <w:highlight w:val="none"/>
        </w:rPr>
        <w:t>（新政发〔2022〕75号）新疆维吾尔自治区人民政府办公厅，2022-9-18；</w:t>
      </w:r>
    </w:p>
    <w:p w14:paraId="764F1FA9">
      <w:pPr>
        <w:pStyle w:val="3"/>
        <w:numPr>
          <w:ilvl w:val="0"/>
          <w:numId w:val="8"/>
        </w:numPr>
        <w:ind w:firstLine="480"/>
        <w:rPr>
          <w:color w:val="auto"/>
          <w:highlight w:val="none"/>
        </w:rPr>
      </w:pPr>
      <w:r>
        <w:rPr>
          <w:color w:val="auto"/>
          <w:highlight w:val="none"/>
        </w:rPr>
        <w:t>《新疆维吾尔自治区防沙治沙若干规定》（新疆维吾尔自治区人民政府，1996-11-8）；</w:t>
      </w:r>
    </w:p>
    <w:p w14:paraId="30DD7F4F">
      <w:pPr>
        <w:pStyle w:val="3"/>
        <w:numPr>
          <w:ilvl w:val="0"/>
          <w:numId w:val="8"/>
        </w:numPr>
        <w:ind w:firstLine="480"/>
        <w:rPr>
          <w:color w:val="auto"/>
          <w:highlight w:val="none"/>
        </w:rPr>
      </w:pPr>
      <w:r>
        <w:rPr>
          <w:color w:val="auto"/>
          <w:highlight w:val="none"/>
        </w:rPr>
        <w:t>《新疆维吾尔自治区重点行业生态环境准入条件（2024年）》，新疆维吾尔自治区生态环境厅，2024.6；</w:t>
      </w:r>
    </w:p>
    <w:p w14:paraId="3C69D0B1">
      <w:pPr>
        <w:pStyle w:val="3"/>
        <w:numPr>
          <w:ilvl w:val="0"/>
          <w:numId w:val="8"/>
        </w:numPr>
        <w:ind w:firstLine="480"/>
        <w:rPr>
          <w:color w:val="auto"/>
          <w:highlight w:val="none"/>
        </w:rPr>
      </w:pPr>
      <w:r>
        <w:rPr>
          <w:rFonts w:hint="eastAsia"/>
          <w:color w:val="auto"/>
          <w:highlight w:val="none"/>
        </w:rPr>
        <w:t>关于印发《〈新疆维吾尔自治区重点行业生态环境准入条件（2024年）〉部分条目说明》的通知（〔2026〕28号），</w:t>
      </w:r>
      <w:r>
        <w:rPr>
          <w:color w:val="auto"/>
          <w:highlight w:val="none"/>
        </w:rPr>
        <w:t>新疆维吾尔自治区生态环境厅，202</w:t>
      </w:r>
      <w:r>
        <w:rPr>
          <w:rFonts w:hint="eastAsia"/>
          <w:color w:val="auto"/>
          <w:highlight w:val="none"/>
        </w:rPr>
        <w:t>6</w:t>
      </w:r>
      <w:r>
        <w:rPr>
          <w:color w:val="auto"/>
          <w:highlight w:val="none"/>
        </w:rPr>
        <w:t>.</w:t>
      </w:r>
      <w:r>
        <w:rPr>
          <w:rFonts w:hint="eastAsia"/>
          <w:color w:val="auto"/>
          <w:highlight w:val="none"/>
        </w:rPr>
        <w:t>5.26</w:t>
      </w:r>
      <w:r>
        <w:rPr>
          <w:color w:val="auto"/>
          <w:highlight w:val="none"/>
        </w:rPr>
        <w:t>；</w:t>
      </w:r>
    </w:p>
    <w:p w14:paraId="4277EBB8">
      <w:pPr>
        <w:pStyle w:val="3"/>
        <w:numPr>
          <w:ilvl w:val="0"/>
          <w:numId w:val="8"/>
        </w:numPr>
        <w:ind w:firstLine="480"/>
        <w:rPr>
          <w:color w:val="auto"/>
          <w:highlight w:val="none"/>
        </w:rPr>
      </w:pPr>
      <w:r>
        <w:rPr>
          <w:rFonts w:hint="eastAsia"/>
          <w:color w:val="auto"/>
          <w:highlight w:val="none"/>
        </w:rPr>
        <w:t>关于印发《新疆维吾尔自治区生态环境分区管控动态更新成果》的通知</w:t>
      </w:r>
      <w:r>
        <w:rPr>
          <w:color w:val="auto"/>
          <w:highlight w:val="none"/>
        </w:rPr>
        <w:t>，新</w:t>
      </w:r>
      <w:r>
        <w:rPr>
          <w:rFonts w:hint="eastAsia"/>
          <w:color w:val="auto"/>
          <w:highlight w:val="none"/>
        </w:rPr>
        <w:t>环环评发</w:t>
      </w:r>
      <w:r>
        <w:rPr>
          <w:color w:val="auto"/>
          <w:highlight w:val="none"/>
        </w:rPr>
        <w:t>〔202</w:t>
      </w:r>
      <w:r>
        <w:rPr>
          <w:rFonts w:hint="eastAsia"/>
          <w:color w:val="auto"/>
          <w:highlight w:val="none"/>
        </w:rPr>
        <w:t>4</w:t>
      </w:r>
      <w:r>
        <w:rPr>
          <w:color w:val="auto"/>
          <w:highlight w:val="none"/>
        </w:rPr>
        <w:t>〕</w:t>
      </w:r>
      <w:r>
        <w:rPr>
          <w:rFonts w:hint="eastAsia"/>
          <w:color w:val="auto"/>
          <w:highlight w:val="none"/>
        </w:rPr>
        <w:t>157</w:t>
      </w:r>
      <w:r>
        <w:rPr>
          <w:color w:val="auto"/>
          <w:highlight w:val="none"/>
        </w:rPr>
        <w:t>号；</w:t>
      </w:r>
    </w:p>
    <w:p w14:paraId="0D9ACE62">
      <w:pPr>
        <w:pStyle w:val="3"/>
        <w:numPr>
          <w:ilvl w:val="0"/>
          <w:numId w:val="8"/>
        </w:numPr>
        <w:ind w:firstLine="480"/>
        <w:rPr>
          <w:color w:val="auto"/>
          <w:highlight w:val="none"/>
        </w:rPr>
      </w:pPr>
      <w:r>
        <w:rPr>
          <w:color w:val="auto"/>
          <w:highlight w:val="none"/>
        </w:rPr>
        <w:t>《新疆维吾尔自治区大气污染防治条例》，2019</w:t>
      </w:r>
      <w:r>
        <w:rPr>
          <w:rFonts w:hint="eastAsia"/>
          <w:color w:val="auto"/>
          <w:highlight w:val="none"/>
        </w:rPr>
        <w:t>-</w:t>
      </w:r>
      <w:r>
        <w:rPr>
          <w:color w:val="auto"/>
          <w:highlight w:val="none"/>
        </w:rPr>
        <w:t>1</w:t>
      </w:r>
      <w:r>
        <w:rPr>
          <w:rFonts w:hint="eastAsia"/>
          <w:color w:val="auto"/>
          <w:highlight w:val="none"/>
        </w:rPr>
        <w:t>-</w:t>
      </w:r>
      <w:r>
        <w:rPr>
          <w:color w:val="auto"/>
          <w:highlight w:val="none"/>
        </w:rPr>
        <w:t>1；</w:t>
      </w:r>
    </w:p>
    <w:p w14:paraId="06EC4598">
      <w:pPr>
        <w:pStyle w:val="3"/>
        <w:numPr>
          <w:ilvl w:val="0"/>
          <w:numId w:val="8"/>
        </w:numPr>
        <w:ind w:firstLine="480"/>
        <w:rPr>
          <w:color w:val="auto"/>
          <w:highlight w:val="none"/>
        </w:rPr>
      </w:pPr>
      <w:r>
        <w:rPr>
          <w:color w:val="auto"/>
          <w:highlight w:val="none"/>
        </w:rPr>
        <w:t>《新疆维吾尔自治区〈关于深入打好污染防治攻坚战的实施方案〉》2022年7月；</w:t>
      </w:r>
    </w:p>
    <w:p w14:paraId="31369057">
      <w:pPr>
        <w:pStyle w:val="3"/>
        <w:numPr>
          <w:ilvl w:val="0"/>
          <w:numId w:val="8"/>
        </w:numPr>
        <w:ind w:firstLine="480"/>
        <w:rPr>
          <w:color w:val="auto"/>
          <w:highlight w:val="none"/>
        </w:rPr>
      </w:pPr>
      <w:r>
        <w:rPr>
          <w:color w:val="auto"/>
          <w:highlight w:val="none"/>
        </w:rPr>
        <w:t>《克孜勒苏柯尔克孜自治州生态环境分区管控方案动态更新成果》</w:t>
      </w:r>
      <w:r>
        <w:rPr>
          <w:rFonts w:hint="eastAsia"/>
          <w:color w:val="auto"/>
          <w:highlight w:val="none"/>
        </w:rPr>
        <w:t>。</w:t>
      </w:r>
    </w:p>
    <w:p w14:paraId="154C3552">
      <w:pPr>
        <w:pStyle w:val="42"/>
        <w:rPr>
          <w:rFonts w:hint="default"/>
          <w:color w:val="auto"/>
          <w:highlight w:val="none"/>
        </w:rPr>
      </w:pPr>
      <w:r>
        <w:rPr>
          <w:rFonts w:hint="default"/>
          <w:color w:val="auto"/>
          <w:highlight w:val="none"/>
        </w:rPr>
        <w:t>相关规划</w:t>
      </w:r>
    </w:p>
    <w:p w14:paraId="27A64ADB">
      <w:pPr>
        <w:pStyle w:val="3"/>
        <w:numPr>
          <w:ilvl w:val="0"/>
          <w:numId w:val="9"/>
        </w:numPr>
        <w:ind w:firstLine="480"/>
        <w:rPr>
          <w:color w:val="auto"/>
          <w:highlight w:val="none"/>
        </w:rPr>
      </w:pPr>
      <w:r>
        <w:rPr>
          <w:color w:val="auto"/>
          <w:highlight w:val="none"/>
        </w:rPr>
        <w:t>《新疆生态环境保护“十四五”规划》（2021年12月24日）；</w:t>
      </w:r>
    </w:p>
    <w:p w14:paraId="319272A6">
      <w:pPr>
        <w:pStyle w:val="3"/>
        <w:numPr>
          <w:ilvl w:val="0"/>
          <w:numId w:val="9"/>
        </w:numPr>
        <w:ind w:firstLine="480"/>
        <w:rPr>
          <w:color w:val="auto"/>
          <w:highlight w:val="none"/>
        </w:rPr>
      </w:pPr>
      <w:r>
        <w:rPr>
          <w:color w:val="auto"/>
          <w:highlight w:val="none"/>
        </w:rPr>
        <w:t>《新疆维吾尔自治区生态功能区划》（2005年7月4日）；</w:t>
      </w:r>
    </w:p>
    <w:p w14:paraId="5A4521E5">
      <w:pPr>
        <w:pStyle w:val="3"/>
        <w:numPr>
          <w:ilvl w:val="0"/>
          <w:numId w:val="9"/>
        </w:numPr>
        <w:ind w:firstLine="480"/>
        <w:rPr>
          <w:color w:val="auto"/>
          <w:highlight w:val="none"/>
        </w:rPr>
      </w:pPr>
      <w:r>
        <w:rPr>
          <w:color w:val="auto"/>
          <w:highlight w:val="none"/>
        </w:rPr>
        <w:t>《新疆维吾尔自治区主体功能区</w:t>
      </w:r>
      <w:r>
        <w:rPr>
          <w:rFonts w:hint="eastAsia"/>
          <w:color w:val="auto"/>
          <w:highlight w:val="none"/>
          <w:lang w:eastAsia="zh-CN"/>
        </w:rPr>
        <w:t>规划</w:t>
      </w:r>
      <w:r>
        <w:rPr>
          <w:color w:val="auto"/>
          <w:highlight w:val="none"/>
        </w:rPr>
        <w:t>》（2013年6月20日）；</w:t>
      </w:r>
    </w:p>
    <w:p w14:paraId="293234FF">
      <w:pPr>
        <w:pStyle w:val="3"/>
        <w:numPr>
          <w:ilvl w:val="0"/>
          <w:numId w:val="9"/>
        </w:numPr>
        <w:ind w:firstLine="480"/>
        <w:rPr>
          <w:color w:val="auto"/>
          <w:highlight w:val="none"/>
        </w:rPr>
      </w:pPr>
      <w:r>
        <w:rPr>
          <w:color w:val="auto"/>
          <w:highlight w:val="none"/>
        </w:rPr>
        <w:t>《新疆维吾尔自治区水环境功能区划》（新疆维吾尔自治区人民政府，新政函〔2002〕194号文，2002年11月16日发布）；</w:t>
      </w:r>
    </w:p>
    <w:p w14:paraId="0627D635">
      <w:pPr>
        <w:pStyle w:val="3"/>
        <w:numPr>
          <w:ilvl w:val="0"/>
          <w:numId w:val="9"/>
        </w:numPr>
        <w:ind w:firstLine="480"/>
        <w:rPr>
          <w:color w:val="auto"/>
          <w:highlight w:val="none"/>
        </w:rPr>
      </w:pPr>
      <w:r>
        <w:rPr>
          <w:color w:val="auto"/>
          <w:highlight w:val="none"/>
        </w:rPr>
        <w:t>《</w:t>
      </w:r>
      <w:r>
        <w:rPr>
          <w:rFonts w:hint="eastAsia"/>
          <w:color w:val="auto"/>
          <w:highlight w:val="none"/>
          <w:lang w:eastAsia="zh-CN"/>
        </w:rPr>
        <w:t>新疆维吾尔自治区国民经济和社会发展第十五个五年规划纲要</w:t>
      </w:r>
      <w:r>
        <w:rPr>
          <w:color w:val="auto"/>
          <w:highlight w:val="none"/>
        </w:rPr>
        <w:t>》（202</w:t>
      </w:r>
      <w:r>
        <w:rPr>
          <w:rFonts w:hint="eastAsia"/>
          <w:color w:val="auto"/>
          <w:highlight w:val="none"/>
          <w:lang w:eastAsia="zh-CN"/>
        </w:rPr>
        <w:t>6</w:t>
      </w:r>
      <w:r>
        <w:rPr>
          <w:color w:val="auto"/>
          <w:highlight w:val="none"/>
        </w:rPr>
        <w:t>年</w:t>
      </w:r>
      <w:r>
        <w:rPr>
          <w:rFonts w:hint="eastAsia"/>
          <w:color w:val="auto"/>
          <w:highlight w:val="none"/>
          <w:lang w:eastAsia="zh-CN"/>
        </w:rPr>
        <w:t>3</w:t>
      </w:r>
      <w:r>
        <w:rPr>
          <w:color w:val="auto"/>
          <w:highlight w:val="none"/>
        </w:rPr>
        <w:t>月</w:t>
      </w:r>
      <w:r>
        <w:rPr>
          <w:rFonts w:hint="eastAsia"/>
          <w:color w:val="auto"/>
          <w:highlight w:val="none"/>
          <w:lang w:eastAsia="zh-CN"/>
        </w:rPr>
        <w:t>2</w:t>
      </w:r>
      <w:r>
        <w:rPr>
          <w:rFonts w:hint="eastAsia"/>
          <w:color w:val="auto"/>
          <w:highlight w:val="none"/>
          <w:lang w:val="en-US" w:eastAsia="zh-CN"/>
        </w:rPr>
        <w:t>6</w:t>
      </w:r>
      <w:r>
        <w:rPr>
          <w:color w:val="auto"/>
          <w:highlight w:val="none"/>
        </w:rPr>
        <w:t>日）；</w:t>
      </w:r>
    </w:p>
    <w:p w14:paraId="4151723D">
      <w:pPr>
        <w:pStyle w:val="3"/>
        <w:numPr>
          <w:ilvl w:val="0"/>
          <w:numId w:val="9"/>
        </w:numPr>
        <w:ind w:firstLine="480"/>
        <w:rPr>
          <w:color w:val="auto"/>
          <w:highlight w:val="none"/>
        </w:rPr>
      </w:pPr>
      <w:r>
        <w:rPr>
          <w:color w:val="auto"/>
          <w:highlight w:val="none"/>
        </w:rPr>
        <w:t>《</w:t>
      </w:r>
      <w:r>
        <w:rPr>
          <w:rFonts w:hint="eastAsia"/>
          <w:color w:val="auto"/>
          <w:highlight w:val="none"/>
          <w:lang w:eastAsia="zh-CN"/>
        </w:rPr>
        <w:t>克孜勒苏柯尔克孜自治州国民经济和社会发展第十五个五年规划纲要</w:t>
      </w:r>
      <w:r>
        <w:rPr>
          <w:color w:val="auto"/>
          <w:highlight w:val="none"/>
        </w:rPr>
        <w:t>》；</w:t>
      </w:r>
    </w:p>
    <w:p w14:paraId="6C9876D5">
      <w:pPr>
        <w:pStyle w:val="3"/>
        <w:numPr>
          <w:ilvl w:val="0"/>
          <w:numId w:val="9"/>
        </w:numPr>
        <w:ind w:firstLine="480"/>
        <w:rPr>
          <w:color w:val="auto"/>
          <w:highlight w:val="none"/>
        </w:rPr>
      </w:pPr>
      <w:r>
        <w:rPr>
          <w:color w:val="auto"/>
          <w:highlight w:val="none"/>
        </w:rPr>
        <w:t>《阿图什市国民经济和社会发展第十四个五年规划和2035年远景目标纲要》；</w:t>
      </w:r>
    </w:p>
    <w:p w14:paraId="3013C011">
      <w:pPr>
        <w:pStyle w:val="3"/>
        <w:numPr>
          <w:ilvl w:val="0"/>
          <w:numId w:val="9"/>
        </w:numPr>
        <w:ind w:firstLine="480"/>
        <w:rPr>
          <w:color w:val="auto"/>
          <w:highlight w:val="none"/>
        </w:rPr>
      </w:pPr>
      <w:r>
        <w:rPr>
          <w:color w:val="auto"/>
          <w:highlight w:val="none"/>
        </w:rPr>
        <w:t>《新疆维吾尔自治区矿产资源总体规划（2021</w:t>
      </w:r>
      <w:r>
        <w:rPr>
          <w:rFonts w:hint="eastAsia"/>
          <w:color w:val="auto"/>
          <w:highlight w:val="none"/>
        </w:rPr>
        <w:t>—</w:t>
      </w:r>
      <w:r>
        <w:rPr>
          <w:color w:val="auto"/>
          <w:highlight w:val="none"/>
        </w:rPr>
        <w:t>2025年）》；</w:t>
      </w:r>
    </w:p>
    <w:p w14:paraId="00BC1B3B">
      <w:pPr>
        <w:pStyle w:val="3"/>
        <w:numPr>
          <w:ilvl w:val="0"/>
          <w:numId w:val="9"/>
        </w:numPr>
        <w:ind w:firstLine="480"/>
        <w:rPr>
          <w:color w:val="auto"/>
          <w:highlight w:val="none"/>
        </w:rPr>
      </w:pPr>
      <w:r>
        <w:rPr>
          <w:color w:val="auto"/>
          <w:highlight w:val="none"/>
        </w:rPr>
        <w:t>《新疆维吾尔自治区克孜勒苏柯尔克孜自治州矿产资源总体规划（2021</w:t>
      </w:r>
      <w:r>
        <w:rPr>
          <w:rFonts w:hint="eastAsia"/>
          <w:color w:val="auto"/>
          <w:highlight w:val="none"/>
          <w:lang w:eastAsia="zh-CN"/>
        </w:rPr>
        <w:t>—</w:t>
      </w:r>
      <w:r>
        <w:rPr>
          <w:color w:val="auto"/>
          <w:highlight w:val="none"/>
        </w:rPr>
        <w:t>2025年）》。</w:t>
      </w:r>
    </w:p>
    <w:p w14:paraId="4B6D4BBF">
      <w:pPr>
        <w:pStyle w:val="42"/>
        <w:rPr>
          <w:rFonts w:hint="default"/>
          <w:color w:val="auto"/>
          <w:highlight w:val="none"/>
        </w:rPr>
      </w:pPr>
      <w:r>
        <w:rPr>
          <w:rFonts w:hint="default"/>
          <w:color w:val="auto"/>
          <w:highlight w:val="none"/>
        </w:rPr>
        <w:t>评价导则</w:t>
      </w:r>
    </w:p>
    <w:p w14:paraId="3AFFC9C3">
      <w:pPr>
        <w:pStyle w:val="3"/>
        <w:numPr>
          <w:ilvl w:val="0"/>
          <w:numId w:val="10"/>
        </w:numPr>
        <w:ind w:firstLine="480"/>
        <w:rPr>
          <w:color w:val="auto"/>
          <w:highlight w:val="none"/>
        </w:rPr>
      </w:pPr>
      <w:r>
        <w:rPr>
          <w:color w:val="auto"/>
          <w:highlight w:val="none"/>
        </w:rPr>
        <w:t>《建设项目环境影响评价技术导则 总纲》（HJ2.1-2016）；</w:t>
      </w:r>
    </w:p>
    <w:p w14:paraId="01EC07F3">
      <w:pPr>
        <w:pStyle w:val="3"/>
        <w:numPr>
          <w:ilvl w:val="0"/>
          <w:numId w:val="10"/>
        </w:numPr>
        <w:ind w:firstLine="480"/>
        <w:rPr>
          <w:color w:val="auto"/>
          <w:highlight w:val="none"/>
        </w:rPr>
      </w:pPr>
      <w:r>
        <w:rPr>
          <w:color w:val="auto"/>
          <w:highlight w:val="none"/>
        </w:rPr>
        <w:t>《环境影响评价技术导则 大气环境》（HJ2.2-2018）；</w:t>
      </w:r>
    </w:p>
    <w:p w14:paraId="56F99B0A">
      <w:pPr>
        <w:pStyle w:val="3"/>
        <w:numPr>
          <w:ilvl w:val="0"/>
          <w:numId w:val="10"/>
        </w:numPr>
        <w:ind w:firstLine="480"/>
        <w:rPr>
          <w:color w:val="auto"/>
          <w:highlight w:val="none"/>
        </w:rPr>
      </w:pPr>
      <w:r>
        <w:rPr>
          <w:color w:val="auto"/>
          <w:highlight w:val="none"/>
        </w:rPr>
        <w:t>《环境影响评价技术导则 地表水环境》（HJ2.3-2018）；</w:t>
      </w:r>
    </w:p>
    <w:p w14:paraId="40BDBD74">
      <w:pPr>
        <w:pStyle w:val="3"/>
        <w:numPr>
          <w:ilvl w:val="0"/>
          <w:numId w:val="10"/>
        </w:numPr>
        <w:ind w:firstLine="480"/>
        <w:rPr>
          <w:color w:val="auto"/>
          <w:highlight w:val="none"/>
        </w:rPr>
      </w:pPr>
      <w:r>
        <w:rPr>
          <w:color w:val="auto"/>
          <w:highlight w:val="none"/>
        </w:rPr>
        <w:t>《环境影响评价技术导则 声环境》（HJ2.4-2021）；</w:t>
      </w:r>
    </w:p>
    <w:p w14:paraId="4A19EE6C">
      <w:pPr>
        <w:pStyle w:val="3"/>
        <w:numPr>
          <w:ilvl w:val="0"/>
          <w:numId w:val="10"/>
        </w:numPr>
        <w:ind w:firstLine="480"/>
        <w:rPr>
          <w:color w:val="auto"/>
          <w:highlight w:val="none"/>
        </w:rPr>
      </w:pPr>
      <w:r>
        <w:rPr>
          <w:color w:val="auto"/>
          <w:highlight w:val="none"/>
        </w:rPr>
        <w:t>《环境影响评价技术导则 地下水环境》（HJ610-2016）；</w:t>
      </w:r>
    </w:p>
    <w:p w14:paraId="5FDC728F">
      <w:pPr>
        <w:pStyle w:val="3"/>
        <w:numPr>
          <w:ilvl w:val="0"/>
          <w:numId w:val="10"/>
        </w:numPr>
        <w:ind w:firstLine="480"/>
        <w:rPr>
          <w:color w:val="auto"/>
          <w:highlight w:val="none"/>
        </w:rPr>
      </w:pPr>
      <w:r>
        <w:rPr>
          <w:color w:val="auto"/>
          <w:highlight w:val="none"/>
        </w:rPr>
        <w:t>《环境影响评价技术导则 生态影响》（HJ19-2022）；</w:t>
      </w:r>
    </w:p>
    <w:p w14:paraId="2723C32C">
      <w:pPr>
        <w:pStyle w:val="3"/>
        <w:numPr>
          <w:ilvl w:val="0"/>
          <w:numId w:val="10"/>
        </w:numPr>
        <w:ind w:firstLine="480"/>
        <w:rPr>
          <w:color w:val="auto"/>
          <w:highlight w:val="none"/>
        </w:rPr>
      </w:pPr>
      <w:r>
        <w:rPr>
          <w:color w:val="auto"/>
          <w:highlight w:val="none"/>
        </w:rPr>
        <w:t>《建设项目环境风险评价技术导则》（HJ169-2018）；</w:t>
      </w:r>
    </w:p>
    <w:p w14:paraId="2203460E">
      <w:pPr>
        <w:pStyle w:val="3"/>
        <w:numPr>
          <w:ilvl w:val="0"/>
          <w:numId w:val="10"/>
        </w:numPr>
        <w:ind w:firstLine="480"/>
        <w:rPr>
          <w:color w:val="auto"/>
          <w:highlight w:val="none"/>
        </w:rPr>
      </w:pPr>
      <w:r>
        <w:rPr>
          <w:color w:val="auto"/>
          <w:highlight w:val="none"/>
        </w:rPr>
        <w:t>《生态环境状况评价技术规范》（HJ192-2015）；</w:t>
      </w:r>
    </w:p>
    <w:p w14:paraId="72A33D1B">
      <w:pPr>
        <w:pStyle w:val="3"/>
        <w:numPr>
          <w:ilvl w:val="0"/>
          <w:numId w:val="10"/>
        </w:numPr>
        <w:ind w:firstLine="480"/>
        <w:rPr>
          <w:color w:val="auto"/>
          <w:highlight w:val="none"/>
        </w:rPr>
      </w:pPr>
      <w:r>
        <w:rPr>
          <w:color w:val="auto"/>
          <w:highlight w:val="none"/>
        </w:rPr>
        <w:t>《</w:t>
      </w:r>
      <w:r>
        <w:rPr>
          <w:rFonts w:hint="eastAsia"/>
          <w:color w:val="auto"/>
          <w:highlight w:val="none"/>
          <w:lang w:eastAsia="zh-CN"/>
        </w:rPr>
        <w:t>生产</w:t>
      </w:r>
      <w:r>
        <w:rPr>
          <w:color w:val="auto"/>
          <w:highlight w:val="none"/>
        </w:rPr>
        <w:t>建设项目水土保持技术</w:t>
      </w:r>
      <w:r>
        <w:rPr>
          <w:rFonts w:hint="eastAsia"/>
          <w:color w:val="auto"/>
          <w:highlight w:val="none"/>
          <w:lang w:eastAsia="zh-CN"/>
        </w:rPr>
        <w:t>标准</w:t>
      </w:r>
      <w:r>
        <w:rPr>
          <w:color w:val="auto"/>
          <w:highlight w:val="none"/>
        </w:rPr>
        <w:t>》（GB50433-20</w:t>
      </w:r>
      <w:r>
        <w:rPr>
          <w:rFonts w:hint="eastAsia"/>
          <w:color w:val="auto"/>
          <w:highlight w:val="none"/>
          <w:lang w:val="en-US" w:eastAsia="zh-CN"/>
        </w:rPr>
        <w:t>1</w:t>
      </w:r>
      <w:r>
        <w:rPr>
          <w:color w:val="auto"/>
          <w:highlight w:val="none"/>
        </w:rPr>
        <w:t>8）；</w:t>
      </w:r>
    </w:p>
    <w:p w14:paraId="7B6C3395">
      <w:pPr>
        <w:pStyle w:val="3"/>
        <w:numPr>
          <w:ilvl w:val="0"/>
          <w:numId w:val="10"/>
        </w:numPr>
        <w:ind w:firstLine="480"/>
        <w:rPr>
          <w:color w:val="auto"/>
          <w:highlight w:val="none"/>
        </w:rPr>
      </w:pPr>
      <w:r>
        <w:rPr>
          <w:color w:val="auto"/>
          <w:highlight w:val="none"/>
        </w:rPr>
        <w:t>《</w:t>
      </w:r>
      <w:r>
        <w:rPr>
          <w:rFonts w:hint="eastAsia"/>
          <w:color w:val="auto"/>
          <w:highlight w:val="none"/>
          <w:lang w:eastAsia="zh-CN"/>
        </w:rPr>
        <w:t>生产</w:t>
      </w:r>
      <w:r>
        <w:rPr>
          <w:color w:val="auto"/>
          <w:highlight w:val="none"/>
        </w:rPr>
        <w:t>建设项目水土流失防治标准》（GB50434-20</w:t>
      </w:r>
      <w:r>
        <w:rPr>
          <w:rFonts w:hint="eastAsia"/>
          <w:color w:val="auto"/>
          <w:highlight w:val="none"/>
          <w:lang w:val="en-US" w:eastAsia="zh-CN"/>
        </w:rPr>
        <w:t>1</w:t>
      </w:r>
      <w:r>
        <w:rPr>
          <w:color w:val="auto"/>
          <w:highlight w:val="none"/>
        </w:rPr>
        <w:t>8）；</w:t>
      </w:r>
    </w:p>
    <w:p w14:paraId="0103E839">
      <w:pPr>
        <w:pStyle w:val="3"/>
        <w:numPr>
          <w:ilvl w:val="0"/>
          <w:numId w:val="10"/>
        </w:numPr>
        <w:ind w:firstLine="480"/>
        <w:rPr>
          <w:color w:val="auto"/>
          <w:highlight w:val="none"/>
        </w:rPr>
      </w:pPr>
      <w:r>
        <w:rPr>
          <w:color w:val="auto"/>
          <w:highlight w:val="none"/>
        </w:rPr>
        <w:t>《土地复垦质量控制标准》（TD/T1036-2013）；</w:t>
      </w:r>
    </w:p>
    <w:p w14:paraId="0DF08763">
      <w:pPr>
        <w:pStyle w:val="3"/>
        <w:numPr>
          <w:ilvl w:val="0"/>
          <w:numId w:val="10"/>
        </w:numPr>
        <w:ind w:firstLine="480"/>
        <w:rPr>
          <w:color w:val="auto"/>
          <w:highlight w:val="none"/>
        </w:rPr>
      </w:pPr>
      <w:r>
        <w:rPr>
          <w:color w:val="auto"/>
          <w:highlight w:val="none"/>
        </w:rPr>
        <w:t>《尾矿库安全技术规程》（AQ2006-2020）；</w:t>
      </w:r>
    </w:p>
    <w:p w14:paraId="5F8688AD">
      <w:pPr>
        <w:pStyle w:val="3"/>
        <w:numPr>
          <w:ilvl w:val="0"/>
          <w:numId w:val="10"/>
        </w:numPr>
        <w:ind w:firstLine="480"/>
        <w:rPr>
          <w:color w:val="auto"/>
          <w:highlight w:val="none"/>
        </w:rPr>
      </w:pPr>
      <w:r>
        <w:rPr>
          <w:color w:val="auto"/>
          <w:highlight w:val="none"/>
        </w:rPr>
        <w:t>《水土保持综合治理技术规范》（GB16453.1～16453.6-2011）；</w:t>
      </w:r>
    </w:p>
    <w:p w14:paraId="47364487">
      <w:pPr>
        <w:pStyle w:val="3"/>
        <w:numPr>
          <w:ilvl w:val="0"/>
          <w:numId w:val="10"/>
        </w:numPr>
        <w:ind w:firstLine="480"/>
        <w:rPr>
          <w:color w:val="auto"/>
          <w:highlight w:val="none"/>
        </w:rPr>
      </w:pPr>
      <w:r>
        <w:rPr>
          <w:color w:val="auto"/>
          <w:highlight w:val="none"/>
        </w:rPr>
        <w:t>《尾矿库环境风险评估技术导则（试行）》（HJ740-2015）；</w:t>
      </w:r>
    </w:p>
    <w:p w14:paraId="07EFD1F4">
      <w:pPr>
        <w:pStyle w:val="3"/>
        <w:numPr>
          <w:ilvl w:val="0"/>
          <w:numId w:val="10"/>
        </w:numPr>
        <w:ind w:firstLine="480"/>
        <w:rPr>
          <w:color w:val="auto"/>
          <w:highlight w:val="none"/>
        </w:rPr>
      </w:pPr>
      <w:r>
        <w:rPr>
          <w:color w:val="auto"/>
          <w:highlight w:val="none"/>
        </w:rPr>
        <w:t>《尾矿库环境应急预案编制指南》；</w:t>
      </w:r>
    </w:p>
    <w:p w14:paraId="16562821">
      <w:pPr>
        <w:pStyle w:val="3"/>
        <w:numPr>
          <w:ilvl w:val="0"/>
          <w:numId w:val="10"/>
        </w:numPr>
        <w:ind w:firstLine="480"/>
        <w:rPr>
          <w:color w:val="auto"/>
          <w:highlight w:val="none"/>
        </w:rPr>
      </w:pPr>
      <w:r>
        <w:rPr>
          <w:color w:val="auto"/>
          <w:highlight w:val="none"/>
        </w:rPr>
        <w:t>《尾矿设施设计规范》（GB50863-2013）；</w:t>
      </w:r>
    </w:p>
    <w:p w14:paraId="024E2D18">
      <w:pPr>
        <w:pStyle w:val="3"/>
        <w:numPr>
          <w:ilvl w:val="0"/>
          <w:numId w:val="10"/>
        </w:numPr>
        <w:ind w:firstLine="480"/>
        <w:rPr>
          <w:color w:val="auto"/>
          <w:highlight w:val="none"/>
        </w:rPr>
      </w:pPr>
      <w:r>
        <w:rPr>
          <w:color w:val="auto"/>
          <w:highlight w:val="none"/>
        </w:rPr>
        <w:t>《尾矿设施施工及验收规范》（GB50864-2013）；</w:t>
      </w:r>
    </w:p>
    <w:p w14:paraId="0C24A08D">
      <w:pPr>
        <w:pStyle w:val="3"/>
        <w:numPr>
          <w:ilvl w:val="0"/>
          <w:numId w:val="10"/>
        </w:numPr>
        <w:ind w:firstLine="480"/>
        <w:rPr>
          <w:color w:val="auto"/>
          <w:highlight w:val="none"/>
        </w:rPr>
      </w:pPr>
      <w:r>
        <w:rPr>
          <w:color w:val="auto"/>
          <w:highlight w:val="none"/>
        </w:rPr>
        <w:t>《尾矿库安全监测技术规范》（AQ2030-2010）；</w:t>
      </w:r>
    </w:p>
    <w:p w14:paraId="743008DB">
      <w:pPr>
        <w:pStyle w:val="3"/>
        <w:numPr>
          <w:ilvl w:val="0"/>
          <w:numId w:val="10"/>
        </w:numPr>
        <w:ind w:firstLine="480"/>
        <w:rPr>
          <w:color w:val="auto"/>
          <w:highlight w:val="none"/>
        </w:rPr>
      </w:pPr>
      <w:r>
        <w:rPr>
          <w:color w:val="auto"/>
          <w:highlight w:val="none"/>
        </w:rPr>
        <w:t>《尾矿库污染隐患排查治理工作指南（试行）》；</w:t>
      </w:r>
    </w:p>
    <w:p w14:paraId="71D09CE7">
      <w:pPr>
        <w:pStyle w:val="3"/>
        <w:numPr>
          <w:ilvl w:val="0"/>
          <w:numId w:val="10"/>
        </w:numPr>
        <w:ind w:firstLine="480"/>
        <w:rPr>
          <w:color w:val="auto"/>
          <w:highlight w:val="none"/>
        </w:rPr>
      </w:pPr>
      <w:r>
        <w:rPr>
          <w:color w:val="auto"/>
          <w:highlight w:val="none"/>
        </w:rPr>
        <w:t>《尾矿库环境应急管理工作指南（试行）》；</w:t>
      </w:r>
    </w:p>
    <w:p w14:paraId="6B203570">
      <w:pPr>
        <w:pStyle w:val="3"/>
        <w:numPr>
          <w:ilvl w:val="0"/>
          <w:numId w:val="10"/>
        </w:numPr>
        <w:ind w:firstLine="480"/>
        <w:rPr>
          <w:color w:val="auto"/>
          <w:highlight w:val="none"/>
        </w:rPr>
      </w:pPr>
      <w:r>
        <w:rPr>
          <w:color w:val="auto"/>
          <w:highlight w:val="none"/>
        </w:rPr>
        <w:t>《工业企业土壤和地下水自行监测技术指南（试行）》（HJ1209-2021）；</w:t>
      </w:r>
    </w:p>
    <w:p w14:paraId="4DAEFCB4">
      <w:pPr>
        <w:pStyle w:val="3"/>
        <w:numPr>
          <w:ilvl w:val="0"/>
          <w:numId w:val="10"/>
        </w:numPr>
        <w:ind w:firstLine="480"/>
        <w:rPr>
          <w:color w:val="auto"/>
          <w:highlight w:val="none"/>
        </w:rPr>
      </w:pPr>
      <w:r>
        <w:rPr>
          <w:color w:val="auto"/>
          <w:highlight w:val="none"/>
        </w:rPr>
        <w:t>《矿山生态环境保护与恢复治理技术规范</w:t>
      </w:r>
      <w:r>
        <w:rPr>
          <w:rFonts w:hint="eastAsia"/>
          <w:color w:val="auto"/>
          <w:highlight w:val="none"/>
          <w:lang w:eastAsia="zh-CN"/>
        </w:rPr>
        <w:t>（试行）</w:t>
      </w:r>
      <w:r>
        <w:rPr>
          <w:color w:val="auto"/>
          <w:highlight w:val="none"/>
        </w:rPr>
        <w:t>》（HJ651-2013）；</w:t>
      </w:r>
    </w:p>
    <w:p w14:paraId="4D215856">
      <w:pPr>
        <w:pStyle w:val="3"/>
        <w:numPr>
          <w:ilvl w:val="0"/>
          <w:numId w:val="10"/>
        </w:numPr>
        <w:ind w:firstLine="480"/>
        <w:rPr>
          <w:color w:val="auto"/>
          <w:highlight w:val="none"/>
        </w:rPr>
      </w:pPr>
      <w:r>
        <w:rPr>
          <w:color w:val="auto"/>
          <w:highlight w:val="none"/>
        </w:rPr>
        <w:t>《清洁生产标准 铁矿采选业》（HJ/T294-2006）；</w:t>
      </w:r>
    </w:p>
    <w:p w14:paraId="1346B802">
      <w:pPr>
        <w:pStyle w:val="3"/>
        <w:numPr>
          <w:ilvl w:val="0"/>
          <w:numId w:val="10"/>
        </w:numPr>
        <w:ind w:firstLine="480"/>
        <w:rPr>
          <w:color w:val="auto"/>
          <w:highlight w:val="none"/>
        </w:rPr>
      </w:pPr>
      <w:r>
        <w:rPr>
          <w:color w:val="auto"/>
          <w:highlight w:val="none"/>
        </w:rPr>
        <w:t>《危险废物管理计划和管理台账制定技术导则》（HJ 1259-2022）；</w:t>
      </w:r>
    </w:p>
    <w:p w14:paraId="1B0DD342">
      <w:pPr>
        <w:pStyle w:val="3"/>
        <w:numPr>
          <w:ilvl w:val="0"/>
          <w:numId w:val="10"/>
        </w:numPr>
        <w:ind w:firstLine="480"/>
        <w:rPr>
          <w:color w:val="auto"/>
          <w:highlight w:val="none"/>
        </w:rPr>
      </w:pPr>
      <w:r>
        <w:rPr>
          <w:color w:val="auto"/>
          <w:highlight w:val="none"/>
        </w:rPr>
        <w:t>《工业锅炉烟气治理工程技术规范》（HJ 462-2021）；</w:t>
      </w:r>
    </w:p>
    <w:p w14:paraId="7C6E5D18">
      <w:pPr>
        <w:pStyle w:val="3"/>
        <w:numPr>
          <w:ilvl w:val="0"/>
          <w:numId w:val="10"/>
        </w:numPr>
        <w:ind w:firstLine="480"/>
        <w:rPr>
          <w:color w:val="auto"/>
          <w:highlight w:val="none"/>
        </w:rPr>
      </w:pPr>
      <w:r>
        <w:rPr>
          <w:color w:val="auto"/>
          <w:highlight w:val="none"/>
        </w:rPr>
        <w:t>《排污许可证申请与核发技术规范 锅炉》（HJ953-2018）；</w:t>
      </w:r>
    </w:p>
    <w:p w14:paraId="30F664EB">
      <w:pPr>
        <w:pStyle w:val="3"/>
        <w:numPr>
          <w:ilvl w:val="0"/>
          <w:numId w:val="10"/>
        </w:numPr>
        <w:ind w:firstLine="480"/>
        <w:rPr>
          <w:color w:val="auto"/>
          <w:highlight w:val="none"/>
        </w:rPr>
      </w:pPr>
      <w:r>
        <w:rPr>
          <w:color w:val="auto"/>
          <w:highlight w:val="none"/>
        </w:rPr>
        <w:t>《污染源源强核算技术指南 锅炉》（HJ991-2018）；</w:t>
      </w:r>
    </w:p>
    <w:p w14:paraId="778A674E">
      <w:pPr>
        <w:pStyle w:val="3"/>
        <w:numPr>
          <w:ilvl w:val="0"/>
          <w:numId w:val="10"/>
        </w:numPr>
        <w:ind w:firstLine="480"/>
        <w:rPr>
          <w:color w:val="auto"/>
          <w:highlight w:val="none"/>
        </w:rPr>
      </w:pPr>
      <w:r>
        <w:rPr>
          <w:color w:val="auto"/>
          <w:highlight w:val="none"/>
        </w:rPr>
        <w:t>《排污许可证申请与核发技术规范 工业噪声》（HJ1301-2023）。</w:t>
      </w:r>
    </w:p>
    <w:p w14:paraId="13AA16AC">
      <w:pPr>
        <w:pStyle w:val="42"/>
        <w:rPr>
          <w:rFonts w:hint="default"/>
          <w:color w:val="auto"/>
          <w:highlight w:val="none"/>
        </w:rPr>
      </w:pPr>
      <w:r>
        <w:rPr>
          <w:rFonts w:hint="default"/>
          <w:color w:val="auto"/>
          <w:highlight w:val="none"/>
        </w:rPr>
        <w:t>其他</w:t>
      </w:r>
    </w:p>
    <w:p w14:paraId="7F34775B">
      <w:pPr>
        <w:pStyle w:val="3"/>
        <w:numPr>
          <w:ilvl w:val="0"/>
          <w:numId w:val="11"/>
        </w:numPr>
        <w:ind w:firstLine="480"/>
        <w:rPr>
          <w:color w:val="auto"/>
          <w:highlight w:val="none"/>
        </w:rPr>
      </w:pPr>
      <w:r>
        <w:rPr>
          <w:rFonts w:hint="eastAsia"/>
          <w:color w:val="auto"/>
          <w:highlight w:val="none"/>
        </w:rPr>
        <w:t>《阿图什市环球矿业钒钛磁铁矿900万吨/年选矿厂建设项目初步设计（代可行性研究报告）》；</w:t>
      </w:r>
    </w:p>
    <w:p w14:paraId="1AD3EB14">
      <w:pPr>
        <w:pStyle w:val="3"/>
        <w:numPr>
          <w:ilvl w:val="0"/>
          <w:numId w:val="11"/>
        </w:numPr>
        <w:ind w:firstLine="480"/>
        <w:rPr>
          <w:color w:val="auto"/>
          <w:highlight w:val="none"/>
        </w:rPr>
      </w:pPr>
      <w:r>
        <w:rPr>
          <w:rFonts w:hint="eastAsia"/>
          <w:color w:val="auto"/>
          <w:highlight w:val="none"/>
        </w:rPr>
        <w:t>《</w:t>
      </w:r>
      <w:r>
        <w:rPr>
          <w:color w:val="auto"/>
          <w:highlight w:val="none"/>
        </w:rPr>
        <w:t>环球矿业托斯莫铁矿区选厂配套新建尾矿库工程可行性研究报告</w:t>
      </w:r>
      <w:r>
        <w:rPr>
          <w:rFonts w:hint="eastAsia"/>
          <w:color w:val="auto"/>
          <w:highlight w:val="none"/>
        </w:rPr>
        <w:t>》，</w:t>
      </w:r>
      <w:r>
        <w:rPr>
          <w:color w:val="auto"/>
          <w:highlight w:val="none"/>
        </w:rPr>
        <w:t>中国有色金属工业西安勘察设计研究院有限公司</w:t>
      </w:r>
      <w:r>
        <w:rPr>
          <w:rFonts w:hint="eastAsia"/>
          <w:color w:val="auto"/>
          <w:highlight w:val="none"/>
        </w:rPr>
        <w:t>；</w:t>
      </w:r>
    </w:p>
    <w:p w14:paraId="4EEE0C0C">
      <w:pPr>
        <w:pStyle w:val="3"/>
        <w:numPr>
          <w:ilvl w:val="0"/>
          <w:numId w:val="11"/>
        </w:numPr>
        <w:ind w:firstLine="480"/>
        <w:rPr>
          <w:color w:val="auto"/>
          <w:highlight w:val="none"/>
        </w:rPr>
      </w:pPr>
      <w:r>
        <w:rPr>
          <w:rFonts w:hint="eastAsia"/>
          <w:color w:val="auto"/>
          <w:highlight w:val="none"/>
        </w:rPr>
        <w:t>《</w:t>
      </w:r>
      <w:r>
        <w:rPr>
          <w:color w:val="auto"/>
          <w:highlight w:val="none"/>
        </w:rPr>
        <w:t>阿图什市环球矿业钒钛磁铁矿900万吨/年选矿厂建设项目水资源论证报告书</w:t>
      </w:r>
      <w:r>
        <w:rPr>
          <w:rFonts w:hint="eastAsia"/>
          <w:color w:val="auto"/>
          <w:highlight w:val="none"/>
        </w:rPr>
        <w:t>》，新疆灏瀚清源工程设计咨询有限公司。</w:t>
      </w:r>
    </w:p>
    <w:p w14:paraId="1D510187">
      <w:pPr>
        <w:pStyle w:val="3"/>
        <w:numPr>
          <w:ilvl w:val="0"/>
          <w:numId w:val="11"/>
        </w:numPr>
        <w:ind w:firstLine="480"/>
        <w:rPr>
          <w:color w:val="auto"/>
          <w:highlight w:val="none"/>
        </w:rPr>
      </w:pPr>
      <w:r>
        <w:rPr>
          <w:rFonts w:hint="eastAsia"/>
          <w:color w:val="auto"/>
          <w:highlight w:val="none"/>
        </w:rPr>
        <w:t>《</w:t>
      </w:r>
      <w:r>
        <w:rPr>
          <w:color w:val="auto"/>
          <w:highlight w:val="none"/>
        </w:rPr>
        <w:t>新疆阿图什环球矿业投资有限责任公司铁选厂竣工环境保护验收监测报告</w:t>
      </w:r>
      <w:r>
        <w:rPr>
          <w:rFonts w:hint="eastAsia"/>
          <w:color w:val="auto"/>
          <w:highlight w:val="none"/>
        </w:rPr>
        <w:t>》（</w:t>
      </w:r>
      <w:r>
        <w:rPr>
          <w:color w:val="auto"/>
          <w:highlight w:val="none"/>
        </w:rPr>
        <w:t>克环验监字</w:t>
      </w:r>
      <w:r>
        <w:rPr>
          <w:rFonts w:hint="eastAsia"/>
          <w:color w:val="auto"/>
          <w:highlight w:val="none"/>
          <w:lang w:eastAsia="zh-CN"/>
        </w:rPr>
        <w:t>〔2014〕26号</w:t>
      </w:r>
      <w:r>
        <w:rPr>
          <w:rFonts w:hint="eastAsia"/>
          <w:color w:val="auto"/>
          <w:highlight w:val="none"/>
        </w:rPr>
        <w:t>）；</w:t>
      </w:r>
    </w:p>
    <w:p w14:paraId="47B4515D">
      <w:pPr>
        <w:pStyle w:val="3"/>
        <w:numPr>
          <w:ilvl w:val="0"/>
          <w:numId w:val="11"/>
        </w:numPr>
        <w:ind w:firstLine="480"/>
        <w:rPr>
          <w:color w:val="auto"/>
          <w:highlight w:val="none"/>
        </w:rPr>
      </w:pPr>
      <w:r>
        <w:rPr>
          <w:color w:val="auto"/>
          <w:highlight w:val="none"/>
        </w:rPr>
        <w:t>《关于阿图什市环球矿业有限公司20万t/a铁选矿厂环境影响报告书的批复》</w:t>
      </w:r>
      <w:r>
        <w:rPr>
          <w:rFonts w:hint="eastAsia"/>
          <w:color w:val="auto"/>
          <w:highlight w:val="none"/>
        </w:rPr>
        <w:t>（</w:t>
      </w:r>
      <w:r>
        <w:rPr>
          <w:color w:val="auto"/>
          <w:highlight w:val="none"/>
        </w:rPr>
        <w:t>新环评价函</w:t>
      </w:r>
      <w:r>
        <w:rPr>
          <w:rFonts w:hint="eastAsia"/>
          <w:color w:val="auto"/>
          <w:highlight w:val="none"/>
          <w:lang w:eastAsia="zh-CN"/>
        </w:rPr>
        <w:t>〔2011〕186号</w:t>
      </w:r>
      <w:r>
        <w:rPr>
          <w:rFonts w:hint="eastAsia"/>
          <w:color w:val="auto"/>
          <w:highlight w:val="none"/>
        </w:rPr>
        <w:t>）。</w:t>
      </w:r>
    </w:p>
    <w:p w14:paraId="6BA234E6">
      <w:pPr>
        <w:pStyle w:val="39"/>
        <w:rPr>
          <w:rFonts w:hint="default"/>
          <w:color w:val="auto"/>
          <w:highlight w:val="none"/>
        </w:rPr>
      </w:pPr>
      <w:bookmarkStart w:id="124" w:name="_Toc18077"/>
      <w:bookmarkStart w:id="125" w:name="_Toc12200"/>
      <w:bookmarkStart w:id="126" w:name="_Toc6534"/>
      <w:bookmarkStart w:id="127" w:name="_Toc10232"/>
      <w:bookmarkStart w:id="128" w:name="_Toc27682"/>
      <w:bookmarkStart w:id="129" w:name="_Toc13114"/>
      <w:bookmarkStart w:id="130" w:name="_Toc30072"/>
      <w:bookmarkStart w:id="131" w:name="_Toc9662"/>
      <w:bookmarkStart w:id="132" w:name="_Toc1507"/>
      <w:bookmarkStart w:id="133" w:name="_Toc28116"/>
      <w:bookmarkStart w:id="134" w:name="_Toc13343"/>
      <w:bookmarkStart w:id="135" w:name="_Toc356403997"/>
      <w:bookmarkStart w:id="136" w:name="_Toc358185901"/>
      <w:bookmarkStart w:id="137" w:name="_Toc1412"/>
      <w:bookmarkStart w:id="138" w:name="_Toc12831"/>
      <w:bookmarkStart w:id="139" w:name="_Toc391050944"/>
      <w:bookmarkStart w:id="140" w:name="_Toc14742"/>
      <w:bookmarkStart w:id="141" w:name="_Toc481768095"/>
      <w:bookmarkStart w:id="142" w:name="_Toc428964839"/>
      <w:bookmarkStart w:id="143" w:name="_Toc481768447"/>
      <w:bookmarkStart w:id="144" w:name="_Toc395712419"/>
      <w:bookmarkStart w:id="145" w:name="_Toc28413"/>
      <w:bookmarkStart w:id="146" w:name="_Toc481789486"/>
      <w:bookmarkStart w:id="147" w:name="_Toc404006508"/>
      <w:bookmarkStart w:id="148" w:name="_Toc357506043"/>
      <w:bookmarkStart w:id="149" w:name="_Toc471925958"/>
      <w:r>
        <w:rPr>
          <w:rFonts w:hint="default"/>
          <w:color w:val="auto"/>
          <w:highlight w:val="none"/>
        </w:rPr>
        <w:t>评价因子识别及筛选</w:t>
      </w:r>
      <w:bookmarkEnd w:id="124"/>
      <w:bookmarkEnd w:id="125"/>
      <w:bookmarkEnd w:id="126"/>
      <w:bookmarkEnd w:id="127"/>
      <w:bookmarkEnd w:id="128"/>
      <w:bookmarkEnd w:id="129"/>
      <w:bookmarkEnd w:id="130"/>
      <w:bookmarkEnd w:id="131"/>
      <w:bookmarkEnd w:id="132"/>
      <w:bookmarkEnd w:id="133"/>
      <w:bookmarkEnd w:id="134"/>
    </w:p>
    <w:p w14:paraId="48D44CC5">
      <w:pPr>
        <w:pStyle w:val="42"/>
        <w:rPr>
          <w:rFonts w:hint="default"/>
          <w:color w:val="auto"/>
          <w:highlight w:val="none"/>
        </w:rPr>
      </w:pPr>
      <w:bookmarkStart w:id="150" w:name="_Toc8082"/>
      <w:bookmarkStart w:id="151" w:name="_Toc5447"/>
      <w:bookmarkStart w:id="152" w:name="_Toc8897"/>
      <w:bookmarkStart w:id="153" w:name="_Toc19754"/>
      <w:bookmarkStart w:id="154" w:name="_Toc1207"/>
      <w:r>
        <w:rPr>
          <w:rFonts w:hint="default"/>
          <w:color w:val="auto"/>
          <w:highlight w:val="none"/>
        </w:rPr>
        <w:t>环境影响因素识别</w:t>
      </w:r>
      <w:bookmarkEnd w:id="150"/>
      <w:bookmarkEnd w:id="151"/>
      <w:bookmarkEnd w:id="152"/>
      <w:bookmarkEnd w:id="153"/>
      <w:bookmarkEnd w:id="154"/>
    </w:p>
    <w:p w14:paraId="13920D17">
      <w:pPr>
        <w:pStyle w:val="3"/>
        <w:ind w:firstLine="480"/>
        <w:rPr>
          <w:color w:val="auto"/>
          <w:highlight w:val="none"/>
        </w:rPr>
      </w:pPr>
      <w:r>
        <w:rPr>
          <w:color w:val="auto"/>
          <w:highlight w:val="none"/>
        </w:rPr>
        <w:t>经过对本项目生产工艺和污染物排放特征分析及对周围环境状况的调查，采用矩阵法对可能受本项目影响的环境要素进行识别筛选。</w:t>
      </w:r>
    </w:p>
    <w:p w14:paraId="650CF7EE">
      <w:pPr>
        <w:pStyle w:val="3"/>
        <w:ind w:firstLine="480"/>
        <w:rPr>
          <w:color w:val="auto"/>
          <w:highlight w:val="none"/>
        </w:rPr>
      </w:pPr>
      <w:r>
        <w:rPr>
          <w:color w:val="auto"/>
          <w:highlight w:val="none"/>
        </w:rPr>
        <w:t>项目环境影响因素识别见表2.3-1。</w:t>
      </w:r>
    </w:p>
    <w:p w14:paraId="3D9057BA">
      <w:pPr>
        <w:pStyle w:val="40"/>
        <w:spacing w:before="24" w:after="24"/>
        <w:rPr>
          <w:color w:val="auto"/>
          <w:highlight w:val="none"/>
        </w:rPr>
      </w:pPr>
      <w:r>
        <w:rPr>
          <w:color w:val="auto"/>
          <w:highlight w:val="none"/>
        </w:rPr>
        <w:t>表2.3-1</w:t>
      </w:r>
      <w:r>
        <w:rPr>
          <w:rFonts w:hint="eastAsia"/>
          <w:color w:val="auto"/>
          <w:highlight w:val="none"/>
        </w:rPr>
        <w:t xml:space="preserve">       </w:t>
      </w:r>
      <w:r>
        <w:rPr>
          <w:color w:val="auto"/>
          <w:highlight w:val="none"/>
        </w:rPr>
        <w:t>主要环境影响因素识别表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937"/>
        <w:gridCol w:w="762"/>
        <w:gridCol w:w="426"/>
        <w:gridCol w:w="609"/>
        <w:gridCol w:w="620"/>
        <w:gridCol w:w="642"/>
        <w:gridCol w:w="916"/>
        <w:gridCol w:w="763"/>
        <w:gridCol w:w="601"/>
        <w:gridCol w:w="795"/>
        <w:gridCol w:w="771"/>
      </w:tblGrid>
      <w:tr w14:paraId="258239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6" w:type="pct"/>
            <w:vMerge w:val="restart"/>
            <w:tcBorders>
              <w:tl2br w:val="nil"/>
              <w:tr2bl w:val="nil"/>
            </w:tcBorders>
            <w:vAlign w:val="center"/>
          </w:tcPr>
          <w:p w14:paraId="6582547B">
            <w:pPr>
              <w:pStyle w:val="41"/>
              <w:rPr>
                <w:color w:val="auto"/>
                <w:highlight w:val="none"/>
              </w:rPr>
            </w:pPr>
            <w:r>
              <w:rPr>
                <w:color w:val="auto"/>
                <w:highlight w:val="none"/>
              </w:rPr>
              <w:t>评价时段</w:t>
            </w:r>
          </w:p>
        </w:tc>
        <w:tc>
          <w:tcPr>
            <w:tcW w:w="554" w:type="pct"/>
            <w:vMerge w:val="restart"/>
            <w:tcBorders>
              <w:tl2br w:val="nil"/>
              <w:tr2bl w:val="nil"/>
            </w:tcBorders>
            <w:vAlign w:val="center"/>
          </w:tcPr>
          <w:p w14:paraId="53EFF1B0">
            <w:pPr>
              <w:pStyle w:val="41"/>
              <w:rPr>
                <w:color w:val="auto"/>
                <w:highlight w:val="none"/>
              </w:rPr>
            </w:pPr>
            <w:r>
              <w:rPr>
                <w:color w:val="auto"/>
                <w:highlight w:val="none"/>
              </w:rPr>
              <w:t>污染因素</w:t>
            </w:r>
          </w:p>
        </w:tc>
        <w:tc>
          <w:tcPr>
            <w:tcW w:w="4049" w:type="pct"/>
            <w:gridSpan w:val="10"/>
            <w:tcBorders>
              <w:tl2br w:val="nil"/>
              <w:tr2bl w:val="nil"/>
            </w:tcBorders>
            <w:vAlign w:val="center"/>
          </w:tcPr>
          <w:p w14:paraId="3717C235">
            <w:pPr>
              <w:pStyle w:val="41"/>
              <w:rPr>
                <w:color w:val="auto"/>
                <w:highlight w:val="none"/>
              </w:rPr>
            </w:pPr>
            <w:r>
              <w:rPr>
                <w:color w:val="auto"/>
                <w:highlight w:val="none"/>
              </w:rPr>
              <w:t>环境要素</w:t>
            </w:r>
          </w:p>
        </w:tc>
      </w:tr>
      <w:tr w14:paraId="7D9F59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6" w:type="pct"/>
            <w:vMerge w:val="continue"/>
            <w:tcBorders>
              <w:tl2br w:val="nil"/>
              <w:tr2bl w:val="nil"/>
            </w:tcBorders>
            <w:vAlign w:val="center"/>
          </w:tcPr>
          <w:p w14:paraId="0FF24ECB">
            <w:pPr>
              <w:pStyle w:val="41"/>
              <w:rPr>
                <w:color w:val="auto"/>
                <w:highlight w:val="none"/>
              </w:rPr>
            </w:pPr>
          </w:p>
        </w:tc>
        <w:tc>
          <w:tcPr>
            <w:tcW w:w="554" w:type="pct"/>
            <w:vMerge w:val="continue"/>
            <w:tcBorders>
              <w:tl2br w:val="nil"/>
              <w:tr2bl w:val="nil"/>
            </w:tcBorders>
            <w:vAlign w:val="center"/>
          </w:tcPr>
          <w:p w14:paraId="5DC5791E">
            <w:pPr>
              <w:pStyle w:val="41"/>
              <w:rPr>
                <w:color w:val="auto"/>
                <w:highlight w:val="none"/>
              </w:rPr>
            </w:pPr>
          </w:p>
        </w:tc>
        <w:tc>
          <w:tcPr>
            <w:tcW w:w="451" w:type="pct"/>
            <w:vMerge w:val="restart"/>
            <w:tcBorders>
              <w:tl2br w:val="nil"/>
              <w:tr2bl w:val="nil"/>
            </w:tcBorders>
            <w:vAlign w:val="center"/>
          </w:tcPr>
          <w:p w14:paraId="7BC456A7">
            <w:pPr>
              <w:pStyle w:val="41"/>
              <w:rPr>
                <w:color w:val="auto"/>
                <w:highlight w:val="none"/>
              </w:rPr>
            </w:pPr>
            <w:r>
              <w:rPr>
                <w:color w:val="auto"/>
                <w:highlight w:val="none"/>
              </w:rPr>
              <w:t>环境空气</w:t>
            </w:r>
          </w:p>
        </w:tc>
        <w:tc>
          <w:tcPr>
            <w:tcW w:w="217" w:type="pct"/>
            <w:vMerge w:val="restart"/>
            <w:tcBorders>
              <w:tl2br w:val="nil"/>
              <w:tr2bl w:val="nil"/>
            </w:tcBorders>
            <w:vAlign w:val="center"/>
          </w:tcPr>
          <w:p w14:paraId="363D2DF1">
            <w:pPr>
              <w:pStyle w:val="41"/>
              <w:rPr>
                <w:color w:val="auto"/>
                <w:highlight w:val="none"/>
              </w:rPr>
            </w:pPr>
            <w:r>
              <w:rPr>
                <w:color w:val="auto"/>
                <w:highlight w:val="none"/>
              </w:rPr>
              <w:t>地表水</w:t>
            </w:r>
          </w:p>
        </w:tc>
        <w:tc>
          <w:tcPr>
            <w:tcW w:w="361" w:type="pct"/>
            <w:vMerge w:val="restart"/>
            <w:tcBorders>
              <w:tl2br w:val="nil"/>
              <w:tr2bl w:val="nil"/>
            </w:tcBorders>
            <w:vAlign w:val="center"/>
          </w:tcPr>
          <w:p w14:paraId="64185855">
            <w:pPr>
              <w:pStyle w:val="41"/>
              <w:rPr>
                <w:color w:val="auto"/>
                <w:highlight w:val="none"/>
              </w:rPr>
            </w:pPr>
            <w:r>
              <w:rPr>
                <w:color w:val="auto"/>
                <w:highlight w:val="none"/>
              </w:rPr>
              <w:t>地下水</w:t>
            </w:r>
          </w:p>
        </w:tc>
        <w:tc>
          <w:tcPr>
            <w:tcW w:w="367" w:type="pct"/>
            <w:vMerge w:val="restart"/>
            <w:tcBorders>
              <w:tl2br w:val="nil"/>
              <w:tr2bl w:val="nil"/>
            </w:tcBorders>
            <w:vAlign w:val="center"/>
          </w:tcPr>
          <w:p w14:paraId="1501904B">
            <w:pPr>
              <w:pStyle w:val="41"/>
              <w:rPr>
                <w:color w:val="auto"/>
                <w:highlight w:val="none"/>
              </w:rPr>
            </w:pPr>
            <w:r>
              <w:rPr>
                <w:color w:val="auto"/>
                <w:highlight w:val="none"/>
              </w:rPr>
              <w:t>声环境</w:t>
            </w:r>
          </w:p>
        </w:tc>
        <w:tc>
          <w:tcPr>
            <w:tcW w:w="2198" w:type="pct"/>
            <w:gridSpan w:val="5"/>
            <w:tcBorders>
              <w:tl2br w:val="nil"/>
              <w:tr2bl w:val="nil"/>
            </w:tcBorders>
            <w:vAlign w:val="center"/>
          </w:tcPr>
          <w:p w14:paraId="780957CC">
            <w:pPr>
              <w:pStyle w:val="41"/>
              <w:rPr>
                <w:color w:val="auto"/>
                <w:highlight w:val="none"/>
              </w:rPr>
            </w:pPr>
            <w:r>
              <w:rPr>
                <w:color w:val="auto"/>
                <w:highlight w:val="none"/>
              </w:rPr>
              <w:t>生态</w:t>
            </w:r>
          </w:p>
        </w:tc>
        <w:tc>
          <w:tcPr>
            <w:tcW w:w="451" w:type="pct"/>
            <w:vMerge w:val="restart"/>
            <w:tcBorders>
              <w:tl2br w:val="nil"/>
              <w:tr2bl w:val="nil"/>
            </w:tcBorders>
            <w:vAlign w:val="center"/>
          </w:tcPr>
          <w:p w14:paraId="197A230D">
            <w:pPr>
              <w:pStyle w:val="41"/>
              <w:rPr>
                <w:color w:val="auto"/>
                <w:highlight w:val="none"/>
              </w:rPr>
            </w:pPr>
            <w:r>
              <w:rPr>
                <w:color w:val="auto"/>
                <w:highlight w:val="none"/>
              </w:rPr>
              <w:t>环境风险</w:t>
            </w:r>
          </w:p>
        </w:tc>
      </w:tr>
      <w:tr w14:paraId="5786E7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6" w:type="pct"/>
            <w:vMerge w:val="continue"/>
            <w:tcBorders>
              <w:tl2br w:val="nil"/>
              <w:tr2bl w:val="nil"/>
            </w:tcBorders>
            <w:vAlign w:val="center"/>
          </w:tcPr>
          <w:p w14:paraId="653D4568">
            <w:pPr>
              <w:pStyle w:val="41"/>
              <w:rPr>
                <w:color w:val="auto"/>
                <w:highlight w:val="none"/>
              </w:rPr>
            </w:pPr>
          </w:p>
        </w:tc>
        <w:tc>
          <w:tcPr>
            <w:tcW w:w="554" w:type="pct"/>
            <w:vMerge w:val="continue"/>
            <w:tcBorders>
              <w:tl2br w:val="nil"/>
              <w:tr2bl w:val="nil"/>
            </w:tcBorders>
            <w:vAlign w:val="center"/>
          </w:tcPr>
          <w:p w14:paraId="7A9C8650">
            <w:pPr>
              <w:pStyle w:val="41"/>
              <w:rPr>
                <w:color w:val="auto"/>
                <w:highlight w:val="none"/>
              </w:rPr>
            </w:pPr>
          </w:p>
        </w:tc>
        <w:tc>
          <w:tcPr>
            <w:tcW w:w="451" w:type="pct"/>
            <w:vMerge w:val="continue"/>
            <w:tcBorders>
              <w:tl2br w:val="nil"/>
              <w:tr2bl w:val="nil"/>
            </w:tcBorders>
            <w:vAlign w:val="center"/>
          </w:tcPr>
          <w:p w14:paraId="61D99B9A">
            <w:pPr>
              <w:pStyle w:val="41"/>
              <w:rPr>
                <w:color w:val="auto"/>
                <w:highlight w:val="none"/>
              </w:rPr>
            </w:pPr>
          </w:p>
        </w:tc>
        <w:tc>
          <w:tcPr>
            <w:tcW w:w="217" w:type="pct"/>
            <w:vMerge w:val="continue"/>
            <w:tcBorders>
              <w:tl2br w:val="nil"/>
              <w:tr2bl w:val="nil"/>
            </w:tcBorders>
            <w:vAlign w:val="center"/>
          </w:tcPr>
          <w:p w14:paraId="74335C8D">
            <w:pPr>
              <w:pStyle w:val="41"/>
              <w:rPr>
                <w:color w:val="auto"/>
                <w:highlight w:val="none"/>
              </w:rPr>
            </w:pPr>
          </w:p>
        </w:tc>
        <w:tc>
          <w:tcPr>
            <w:tcW w:w="361" w:type="pct"/>
            <w:vMerge w:val="continue"/>
            <w:tcBorders>
              <w:tl2br w:val="nil"/>
              <w:tr2bl w:val="nil"/>
            </w:tcBorders>
            <w:vAlign w:val="center"/>
          </w:tcPr>
          <w:p w14:paraId="717285DB">
            <w:pPr>
              <w:pStyle w:val="41"/>
              <w:rPr>
                <w:color w:val="auto"/>
                <w:highlight w:val="none"/>
              </w:rPr>
            </w:pPr>
          </w:p>
        </w:tc>
        <w:tc>
          <w:tcPr>
            <w:tcW w:w="367" w:type="pct"/>
            <w:vMerge w:val="continue"/>
            <w:tcBorders>
              <w:tl2br w:val="nil"/>
              <w:tr2bl w:val="nil"/>
            </w:tcBorders>
            <w:vAlign w:val="center"/>
          </w:tcPr>
          <w:p w14:paraId="51860D7B">
            <w:pPr>
              <w:pStyle w:val="41"/>
              <w:rPr>
                <w:color w:val="auto"/>
                <w:highlight w:val="none"/>
              </w:rPr>
            </w:pPr>
          </w:p>
        </w:tc>
        <w:tc>
          <w:tcPr>
            <w:tcW w:w="380" w:type="pct"/>
            <w:tcBorders>
              <w:tl2br w:val="nil"/>
              <w:tr2bl w:val="nil"/>
            </w:tcBorders>
            <w:vAlign w:val="center"/>
          </w:tcPr>
          <w:p w14:paraId="1EC00951">
            <w:pPr>
              <w:pStyle w:val="41"/>
              <w:rPr>
                <w:color w:val="auto"/>
                <w:highlight w:val="none"/>
              </w:rPr>
            </w:pPr>
            <w:r>
              <w:rPr>
                <w:color w:val="auto"/>
                <w:highlight w:val="none"/>
              </w:rPr>
              <w:t>植被</w:t>
            </w:r>
          </w:p>
        </w:tc>
        <w:tc>
          <w:tcPr>
            <w:tcW w:w="541" w:type="pct"/>
            <w:tcBorders>
              <w:tl2br w:val="nil"/>
              <w:tr2bl w:val="nil"/>
            </w:tcBorders>
            <w:vAlign w:val="center"/>
          </w:tcPr>
          <w:p w14:paraId="483235E7">
            <w:pPr>
              <w:pStyle w:val="41"/>
              <w:rPr>
                <w:color w:val="auto"/>
                <w:highlight w:val="none"/>
              </w:rPr>
            </w:pPr>
            <w:r>
              <w:rPr>
                <w:color w:val="auto"/>
                <w:highlight w:val="none"/>
              </w:rPr>
              <w:t>土壤或土地利用</w:t>
            </w:r>
          </w:p>
        </w:tc>
        <w:tc>
          <w:tcPr>
            <w:tcW w:w="451" w:type="pct"/>
            <w:tcBorders>
              <w:tl2br w:val="nil"/>
              <w:tr2bl w:val="nil"/>
            </w:tcBorders>
            <w:vAlign w:val="center"/>
          </w:tcPr>
          <w:p w14:paraId="494AB1B7">
            <w:pPr>
              <w:pStyle w:val="41"/>
              <w:rPr>
                <w:color w:val="auto"/>
                <w:highlight w:val="none"/>
              </w:rPr>
            </w:pPr>
            <w:r>
              <w:rPr>
                <w:color w:val="auto"/>
                <w:highlight w:val="none"/>
              </w:rPr>
              <w:t>水土流失</w:t>
            </w:r>
          </w:p>
        </w:tc>
        <w:tc>
          <w:tcPr>
            <w:tcW w:w="356" w:type="pct"/>
            <w:tcBorders>
              <w:tl2br w:val="nil"/>
              <w:tr2bl w:val="nil"/>
            </w:tcBorders>
            <w:vAlign w:val="center"/>
          </w:tcPr>
          <w:p w14:paraId="5190884E">
            <w:pPr>
              <w:pStyle w:val="41"/>
              <w:rPr>
                <w:color w:val="auto"/>
                <w:highlight w:val="none"/>
              </w:rPr>
            </w:pPr>
            <w:r>
              <w:rPr>
                <w:color w:val="auto"/>
                <w:highlight w:val="none"/>
              </w:rPr>
              <w:t>自然</w:t>
            </w:r>
          </w:p>
          <w:p w14:paraId="30C9F579">
            <w:pPr>
              <w:pStyle w:val="41"/>
              <w:rPr>
                <w:color w:val="auto"/>
                <w:highlight w:val="none"/>
              </w:rPr>
            </w:pPr>
            <w:r>
              <w:rPr>
                <w:color w:val="auto"/>
                <w:highlight w:val="none"/>
              </w:rPr>
              <w:t>景观</w:t>
            </w:r>
          </w:p>
        </w:tc>
        <w:tc>
          <w:tcPr>
            <w:tcW w:w="468" w:type="pct"/>
            <w:tcBorders>
              <w:tl2br w:val="nil"/>
              <w:tr2bl w:val="nil"/>
            </w:tcBorders>
            <w:vAlign w:val="center"/>
          </w:tcPr>
          <w:p w14:paraId="4EDAF454">
            <w:pPr>
              <w:pStyle w:val="41"/>
              <w:rPr>
                <w:color w:val="auto"/>
                <w:highlight w:val="none"/>
              </w:rPr>
            </w:pPr>
            <w:r>
              <w:rPr>
                <w:color w:val="auto"/>
                <w:highlight w:val="none"/>
              </w:rPr>
              <w:t>野生生物</w:t>
            </w:r>
          </w:p>
        </w:tc>
        <w:tc>
          <w:tcPr>
            <w:tcW w:w="451" w:type="pct"/>
            <w:vMerge w:val="continue"/>
            <w:tcBorders>
              <w:tl2br w:val="nil"/>
              <w:tr2bl w:val="nil"/>
            </w:tcBorders>
            <w:vAlign w:val="center"/>
          </w:tcPr>
          <w:p w14:paraId="40DC1E65">
            <w:pPr>
              <w:pStyle w:val="41"/>
              <w:rPr>
                <w:color w:val="auto"/>
                <w:highlight w:val="none"/>
              </w:rPr>
            </w:pPr>
          </w:p>
        </w:tc>
      </w:tr>
      <w:tr w14:paraId="4795DB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6" w:type="pct"/>
            <w:vMerge w:val="restart"/>
            <w:tcBorders>
              <w:tl2br w:val="nil"/>
              <w:tr2bl w:val="nil"/>
            </w:tcBorders>
            <w:vAlign w:val="center"/>
          </w:tcPr>
          <w:p w14:paraId="6D6824AB">
            <w:pPr>
              <w:pStyle w:val="41"/>
              <w:rPr>
                <w:color w:val="auto"/>
                <w:highlight w:val="none"/>
              </w:rPr>
            </w:pPr>
            <w:r>
              <w:rPr>
                <w:color w:val="auto"/>
                <w:highlight w:val="none"/>
              </w:rPr>
              <w:t>施</w:t>
            </w:r>
          </w:p>
          <w:p w14:paraId="4F53B48C">
            <w:pPr>
              <w:pStyle w:val="41"/>
              <w:rPr>
                <w:color w:val="auto"/>
                <w:highlight w:val="none"/>
              </w:rPr>
            </w:pPr>
            <w:r>
              <w:rPr>
                <w:color w:val="auto"/>
                <w:highlight w:val="none"/>
              </w:rPr>
              <w:t>工</w:t>
            </w:r>
          </w:p>
          <w:p w14:paraId="59424596">
            <w:pPr>
              <w:pStyle w:val="41"/>
              <w:rPr>
                <w:color w:val="auto"/>
                <w:highlight w:val="none"/>
              </w:rPr>
            </w:pPr>
            <w:r>
              <w:rPr>
                <w:color w:val="auto"/>
                <w:highlight w:val="none"/>
              </w:rPr>
              <w:t>期</w:t>
            </w:r>
          </w:p>
        </w:tc>
        <w:tc>
          <w:tcPr>
            <w:tcW w:w="554" w:type="pct"/>
            <w:tcBorders>
              <w:tl2br w:val="nil"/>
              <w:tr2bl w:val="nil"/>
            </w:tcBorders>
            <w:vAlign w:val="center"/>
          </w:tcPr>
          <w:p w14:paraId="5E746674">
            <w:pPr>
              <w:pStyle w:val="41"/>
              <w:rPr>
                <w:color w:val="auto"/>
                <w:highlight w:val="none"/>
              </w:rPr>
            </w:pPr>
            <w:r>
              <w:rPr>
                <w:color w:val="auto"/>
                <w:highlight w:val="none"/>
              </w:rPr>
              <w:t>土建工程土地平整</w:t>
            </w:r>
          </w:p>
        </w:tc>
        <w:tc>
          <w:tcPr>
            <w:tcW w:w="451" w:type="pct"/>
            <w:tcBorders>
              <w:tl2br w:val="nil"/>
              <w:tr2bl w:val="nil"/>
            </w:tcBorders>
            <w:vAlign w:val="center"/>
          </w:tcPr>
          <w:p w14:paraId="328B5D9D">
            <w:pPr>
              <w:pStyle w:val="41"/>
              <w:rPr>
                <w:color w:val="auto"/>
                <w:highlight w:val="none"/>
              </w:rPr>
            </w:pPr>
            <w:r>
              <w:rPr>
                <w:color w:val="auto"/>
                <w:highlight w:val="none"/>
              </w:rPr>
              <w:t>-1D</w:t>
            </w:r>
          </w:p>
        </w:tc>
        <w:tc>
          <w:tcPr>
            <w:tcW w:w="217" w:type="pct"/>
            <w:tcBorders>
              <w:tl2br w:val="nil"/>
              <w:tr2bl w:val="nil"/>
            </w:tcBorders>
            <w:vAlign w:val="center"/>
          </w:tcPr>
          <w:p w14:paraId="279311F9">
            <w:pPr>
              <w:pStyle w:val="41"/>
              <w:rPr>
                <w:color w:val="auto"/>
                <w:highlight w:val="none"/>
              </w:rPr>
            </w:pPr>
          </w:p>
        </w:tc>
        <w:tc>
          <w:tcPr>
            <w:tcW w:w="361" w:type="pct"/>
            <w:tcBorders>
              <w:tl2br w:val="nil"/>
              <w:tr2bl w:val="nil"/>
            </w:tcBorders>
            <w:vAlign w:val="center"/>
          </w:tcPr>
          <w:p w14:paraId="5025514D">
            <w:pPr>
              <w:pStyle w:val="41"/>
              <w:rPr>
                <w:color w:val="auto"/>
                <w:highlight w:val="none"/>
              </w:rPr>
            </w:pPr>
          </w:p>
        </w:tc>
        <w:tc>
          <w:tcPr>
            <w:tcW w:w="367" w:type="pct"/>
            <w:tcBorders>
              <w:tl2br w:val="nil"/>
              <w:tr2bl w:val="nil"/>
            </w:tcBorders>
            <w:vAlign w:val="center"/>
          </w:tcPr>
          <w:p w14:paraId="42ACDAA1">
            <w:pPr>
              <w:pStyle w:val="41"/>
              <w:rPr>
                <w:color w:val="auto"/>
                <w:highlight w:val="none"/>
              </w:rPr>
            </w:pPr>
            <w:r>
              <w:rPr>
                <w:color w:val="auto"/>
                <w:highlight w:val="none"/>
              </w:rPr>
              <w:t>-1D</w:t>
            </w:r>
          </w:p>
        </w:tc>
        <w:tc>
          <w:tcPr>
            <w:tcW w:w="380" w:type="pct"/>
            <w:tcBorders>
              <w:tl2br w:val="nil"/>
              <w:tr2bl w:val="nil"/>
            </w:tcBorders>
            <w:vAlign w:val="center"/>
          </w:tcPr>
          <w:p w14:paraId="7C4C1C4A">
            <w:pPr>
              <w:pStyle w:val="41"/>
              <w:rPr>
                <w:color w:val="auto"/>
                <w:highlight w:val="none"/>
              </w:rPr>
            </w:pPr>
            <w:r>
              <w:rPr>
                <w:color w:val="auto"/>
                <w:highlight w:val="none"/>
              </w:rPr>
              <w:t>-1D</w:t>
            </w:r>
          </w:p>
        </w:tc>
        <w:tc>
          <w:tcPr>
            <w:tcW w:w="541" w:type="pct"/>
            <w:tcBorders>
              <w:tl2br w:val="nil"/>
              <w:tr2bl w:val="nil"/>
            </w:tcBorders>
            <w:vAlign w:val="center"/>
          </w:tcPr>
          <w:p w14:paraId="0EE63FDE">
            <w:pPr>
              <w:pStyle w:val="41"/>
              <w:rPr>
                <w:color w:val="auto"/>
                <w:highlight w:val="none"/>
              </w:rPr>
            </w:pPr>
            <w:r>
              <w:rPr>
                <w:color w:val="auto"/>
                <w:highlight w:val="none"/>
              </w:rPr>
              <w:t>-1D</w:t>
            </w:r>
          </w:p>
        </w:tc>
        <w:tc>
          <w:tcPr>
            <w:tcW w:w="451" w:type="pct"/>
            <w:tcBorders>
              <w:tl2br w:val="nil"/>
              <w:tr2bl w:val="nil"/>
            </w:tcBorders>
            <w:vAlign w:val="center"/>
          </w:tcPr>
          <w:p w14:paraId="322CDA3A">
            <w:pPr>
              <w:pStyle w:val="41"/>
              <w:rPr>
                <w:color w:val="auto"/>
                <w:highlight w:val="none"/>
              </w:rPr>
            </w:pPr>
            <w:r>
              <w:rPr>
                <w:color w:val="auto"/>
                <w:highlight w:val="none"/>
              </w:rPr>
              <w:t>-2D</w:t>
            </w:r>
          </w:p>
        </w:tc>
        <w:tc>
          <w:tcPr>
            <w:tcW w:w="356" w:type="pct"/>
            <w:tcBorders>
              <w:tl2br w:val="nil"/>
              <w:tr2bl w:val="nil"/>
            </w:tcBorders>
            <w:vAlign w:val="center"/>
          </w:tcPr>
          <w:p w14:paraId="7DBCADD8">
            <w:pPr>
              <w:pStyle w:val="41"/>
              <w:rPr>
                <w:color w:val="auto"/>
                <w:highlight w:val="none"/>
              </w:rPr>
            </w:pPr>
            <w:r>
              <w:rPr>
                <w:color w:val="auto"/>
                <w:highlight w:val="none"/>
              </w:rPr>
              <w:t>-1D</w:t>
            </w:r>
          </w:p>
        </w:tc>
        <w:tc>
          <w:tcPr>
            <w:tcW w:w="468" w:type="pct"/>
            <w:tcBorders>
              <w:tl2br w:val="nil"/>
              <w:tr2bl w:val="nil"/>
            </w:tcBorders>
            <w:vAlign w:val="center"/>
          </w:tcPr>
          <w:p w14:paraId="4A664250">
            <w:pPr>
              <w:pStyle w:val="41"/>
              <w:rPr>
                <w:color w:val="auto"/>
                <w:highlight w:val="none"/>
              </w:rPr>
            </w:pPr>
            <w:r>
              <w:rPr>
                <w:color w:val="auto"/>
                <w:highlight w:val="none"/>
              </w:rPr>
              <w:t>-1D</w:t>
            </w:r>
          </w:p>
        </w:tc>
        <w:tc>
          <w:tcPr>
            <w:tcW w:w="451" w:type="pct"/>
            <w:tcBorders>
              <w:tl2br w:val="nil"/>
              <w:tr2bl w:val="nil"/>
            </w:tcBorders>
            <w:vAlign w:val="center"/>
          </w:tcPr>
          <w:p w14:paraId="500AC0DE">
            <w:pPr>
              <w:pStyle w:val="41"/>
              <w:rPr>
                <w:color w:val="auto"/>
                <w:highlight w:val="none"/>
              </w:rPr>
            </w:pPr>
          </w:p>
        </w:tc>
      </w:tr>
      <w:tr w14:paraId="1D0059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6" w:type="pct"/>
            <w:vMerge w:val="continue"/>
            <w:tcBorders>
              <w:tl2br w:val="nil"/>
              <w:tr2bl w:val="nil"/>
            </w:tcBorders>
            <w:vAlign w:val="center"/>
          </w:tcPr>
          <w:p w14:paraId="5B0998A4">
            <w:pPr>
              <w:pStyle w:val="41"/>
              <w:rPr>
                <w:color w:val="auto"/>
                <w:highlight w:val="none"/>
              </w:rPr>
            </w:pPr>
          </w:p>
        </w:tc>
        <w:tc>
          <w:tcPr>
            <w:tcW w:w="554" w:type="pct"/>
            <w:tcBorders>
              <w:tl2br w:val="nil"/>
              <w:tr2bl w:val="nil"/>
            </w:tcBorders>
            <w:vAlign w:val="center"/>
          </w:tcPr>
          <w:p w14:paraId="1A31BCB9">
            <w:pPr>
              <w:pStyle w:val="41"/>
              <w:rPr>
                <w:color w:val="auto"/>
                <w:highlight w:val="none"/>
              </w:rPr>
            </w:pPr>
            <w:r>
              <w:rPr>
                <w:color w:val="auto"/>
                <w:highlight w:val="none"/>
              </w:rPr>
              <w:t>物料运输</w:t>
            </w:r>
          </w:p>
        </w:tc>
        <w:tc>
          <w:tcPr>
            <w:tcW w:w="451" w:type="pct"/>
            <w:tcBorders>
              <w:tl2br w:val="nil"/>
              <w:tr2bl w:val="nil"/>
            </w:tcBorders>
            <w:vAlign w:val="center"/>
          </w:tcPr>
          <w:p w14:paraId="0121C354">
            <w:pPr>
              <w:pStyle w:val="41"/>
              <w:rPr>
                <w:color w:val="auto"/>
                <w:highlight w:val="none"/>
              </w:rPr>
            </w:pPr>
            <w:r>
              <w:rPr>
                <w:color w:val="auto"/>
                <w:highlight w:val="none"/>
              </w:rPr>
              <w:t>-1D</w:t>
            </w:r>
          </w:p>
        </w:tc>
        <w:tc>
          <w:tcPr>
            <w:tcW w:w="217" w:type="pct"/>
            <w:tcBorders>
              <w:tl2br w:val="nil"/>
              <w:tr2bl w:val="nil"/>
            </w:tcBorders>
            <w:vAlign w:val="center"/>
          </w:tcPr>
          <w:p w14:paraId="074F10E3">
            <w:pPr>
              <w:pStyle w:val="41"/>
              <w:rPr>
                <w:color w:val="auto"/>
                <w:highlight w:val="none"/>
              </w:rPr>
            </w:pPr>
          </w:p>
        </w:tc>
        <w:tc>
          <w:tcPr>
            <w:tcW w:w="361" w:type="pct"/>
            <w:tcBorders>
              <w:tl2br w:val="nil"/>
              <w:tr2bl w:val="nil"/>
            </w:tcBorders>
            <w:vAlign w:val="center"/>
          </w:tcPr>
          <w:p w14:paraId="7F477DBF">
            <w:pPr>
              <w:pStyle w:val="41"/>
              <w:rPr>
                <w:color w:val="auto"/>
                <w:highlight w:val="none"/>
              </w:rPr>
            </w:pPr>
          </w:p>
        </w:tc>
        <w:tc>
          <w:tcPr>
            <w:tcW w:w="367" w:type="pct"/>
            <w:tcBorders>
              <w:tl2br w:val="nil"/>
              <w:tr2bl w:val="nil"/>
            </w:tcBorders>
            <w:vAlign w:val="center"/>
          </w:tcPr>
          <w:p w14:paraId="74B0174F">
            <w:pPr>
              <w:pStyle w:val="41"/>
              <w:rPr>
                <w:color w:val="auto"/>
                <w:highlight w:val="none"/>
              </w:rPr>
            </w:pPr>
            <w:r>
              <w:rPr>
                <w:color w:val="auto"/>
                <w:highlight w:val="none"/>
              </w:rPr>
              <w:t>-1D</w:t>
            </w:r>
          </w:p>
        </w:tc>
        <w:tc>
          <w:tcPr>
            <w:tcW w:w="380" w:type="pct"/>
            <w:tcBorders>
              <w:tl2br w:val="nil"/>
              <w:tr2bl w:val="nil"/>
            </w:tcBorders>
            <w:vAlign w:val="center"/>
          </w:tcPr>
          <w:p w14:paraId="227B3128">
            <w:pPr>
              <w:pStyle w:val="41"/>
              <w:rPr>
                <w:color w:val="auto"/>
                <w:highlight w:val="none"/>
              </w:rPr>
            </w:pPr>
          </w:p>
        </w:tc>
        <w:tc>
          <w:tcPr>
            <w:tcW w:w="541" w:type="pct"/>
            <w:tcBorders>
              <w:tl2br w:val="nil"/>
              <w:tr2bl w:val="nil"/>
            </w:tcBorders>
            <w:vAlign w:val="center"/>
          </w:tcPr>
          <w:p w14:paraId="6B197DF5">
            <w:pPr>
              <w:pStyle w:val="41"/>
              <w:rPr>
                <w:color w:val="auto"/>
                <w:highlight w:val="none"/>
              </w:rPr>
            </w:pPr>
          </w:p>
        </w:tc>
        <w:tc>
          <w:tcPr>
            <w:tcW w:w="451" w:type="pct"/>
            <w:tcBorders>
              <w:tl2br w:val="nil"/>
              <w:tr2bl w:val="nil"/>
            </w:tcBorders>
            <w:vAlign w:val="center"/>
          </w:tcPr>
          <w:p w14:paraId="4C020335">
            <w:pPr>
              <w:pStyle w:val="41"/>
              <w:rPr>
                <w:color w:val="auto"/>
                <w:highlight w:val="none"/>
              </w:rPr>
            </w:pPr>
          </w:p>
        </w:tc>
        <w:tc>
          <w:tcPr>
            <w:tcW w:w="356" w:type="pct"/>
            <w:tcBorders>
              <w:tl2br w:val="nil"/>
              <w:tr2bl w:val="nil"/>
            </w:tcBorders>
            <w:vAlign w:val="center"/>
          </w:tcPr>
          <w:p w14:paraId="0441F4FB">
            <w:pPr>
              <w:pStyle w:val="41"/>
              <w:rPr>
                <w:color w:val="auto"/>
                <w:highlight w:val="none"/>
              </w:rPr>
            </w:pPr>
          </w:p>
        </w:tc>
        <w:tc>
          <w:tcPr>
            <w:tcW w:w="468" w:type="pct"/>
            <w:tcBorders>
              <w:tl2br w:val="nil"/>
              <w:tr2bl w:val="nil"/>
            </w:tcBorders>
            <w:vAlign w:val="center"/>
          </w:tcPr>
          <w:p w14:paraId="715FE3CC">
            <w:pPr>
              <w:pStyle w:val="41"/>
              <w:rPr>
                <w:color w:val="auto"/>
                <w:highlight w:val="none"/>
              </w:rPr>
            </w:pPr>
            <w:r>
              <w:rPr>
                <w:color w:val="auto"/>
                <w:highlight w:val="none"/>
              </w:rPr>
              <w:t>-1D</w:t>
            </w:r>
          </w:p>
        </w:tc>
        <w:tc>
          <w:tcPr>
            <w:tcW w:w="451" w:type="pct"/>
            <w:tcBorders>
              <w:tl2br w:val="nil"/>
              <w:tr2bl w:val="nil"/>
            </w:tcBorders>
            <w:vAlign w:val="center"/>
          </w:tcPr>
          <w:p w14:paraId="06B3062B">
            <w:pPr>
              <w:pStyle w:val="41"/>
              <w:rPr>
                <w:color w:val="auto"/>
                <w:highlight w:val="none"/>
              </w:rPr>
            </w:pPr>
          </w:p>
        </w:tc>
      </w:tr>
      <w:tr w14:paraId="4752B6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6" w:type="pct"/>
            <w:vMerge w:val="continue"/>
            <w:tcBorders>
              <w:tl2br w:val="nil"/>
              <w:tr2bl w:val="nil"/>
            </w:tcBorders>
            <w:vAlign w:val="center"/>
          </w:tcPr>
          <w:p w14:paraId="316C6D26">
            <w:pPr>
              <w:pStyle w:val="41"/>
              <w:rPr>
                <w:color w:val="auto"/>
                <w:highlight w:val="none"/>
              </w:rPr>
            </w:pPr>
          </w:p>
        </w:tc>
        <w:tc>
          <w:tcPr>
            <w:tcW w:w="554" w:type="pct"/>
            <w:tcBorders>
              <w:tl2br w:val="nil"/>
              <w:tr2bl w:val="nil"/>
            </w:tcBorders>
            <w:vAlign w:val="center"/>
          </w:tcPr>
          <w:p w14:paraId="27A42B8A">
            <w:pPr>
              <w:pStyle w:val="41"/>
              <w:rPr>
                <w:color w:val="auto"/>
                <w:highlight w:val="none"/>
              </w:rPr>
            </w:pPr>
            <w:r>
              <w:rPr>
                <w:color w:val="auto"/>
                <w:highlight w:val="none"/>
              </w:rPr>
              <w:t>施工安装</w:t>
            </w:r>
          </w:p>
        </w:tc>
        <w:tc>
          <w:tcPr>
            <w:tcW w:w="451" w:type="pct"/>
            <w:tcBorders>
              <w:tl2br w:val="nil"/>
              <w:tr2bl w:val="nil"/>
            </w:tcBorders>
            <w:vAlign w:val="center"/>
          </w:tcPr>
          <w:p w14:paraId="602713B7">
            <w:pPr>
              <w:pStyle w:val="41"/>
              <w:rPr>
                <w:color w:val="auto"/>
                <w:highlight w:val="none"/>
              </w:rPr>
            </w:pPr>
            <w:r>
              <w:rPr>
                <w:color w:val="auto"/>
                <w:highlight w:val="none"/>
              </w:rPr>
              <w:t>-1D</w:t>
            </w:r>
          </w:p>
        </w:tc>
        <w:tc>
          <w:tcPr>
            <w:tcW w:w="217" w:type="pct"/>
            <w:tcBorders>
              <w:tl2br w:val="nil"/>
              <w:tr2bl w:val="nil"/>
            </w:tcBorders>
            <w:vAlign w:val="center"/>
          </w:tcPr>
          <w:p w14:paraId="562C315D">
            <w:pPr>
              <w:pStyle w:val="41"/>
              <w:rPr>
                <w:color w:val="auto"/>
                <w:highlight w:val="none"/>
              </w:rPr>
            </w:pPr>
          </w:p>
        </w:tc>
        <w:tc>
          <w:tcPr>
            <w:tcW w:w="361" w:type="pct"/>
            <w:tcBorders>
              <w:tl2br w:val="nil"/>
              <w:tr2bl w:val="nil"/>
            </w:tcBorders>
            <w:vAlign w:val="center"/>
          </w:tcPr>
          <w:p w14:paraId="786EAD79">
            <w:pPr>
              <w:pStyle w:val="41"/>
              <w:rPr>
                <w:color w:val="auto"/>
                <w:highlight w:val="none"/>
              </w:rPr>
            </w:pPr>
          </w:p>
        </w:tc>
        <w:tc>
          <w:tcPr>
            <w:tcW w:w="367" w:type="pct"/>
            <w:tcBorders>
              <w:tl2br w:val="nil"/>
              <w:tr2bl w:val="nil"/>
            </w:tcBorders>
            <w:vAlign w:val="center"/>
          </w:tcPr>
          <w:p w14:paraId="4902025A">
            <w:pPr>
              <w:pStyle w:val="41"/>
              <w:rPr>
                <w:color w:val="auto"/>
                <w:highlight w:val="none"/>
              </w:rPr>
            </w:pPr>
            <w:r>
              <w:rPr>
                <w:color w:val="auto"/>
                <w:highlight w:val="none"/>
              </w:rPr>
              <w:t>-1D</w:t>
            </w:r>
          </w:p>
        </w:tc>
        <w:tc>
          <w:tcPr>
            <w:tcW w:w="380" w:type="pct"/>
            <w:tcBorders>
              <w:tl2br w:val="nil"/>
              <w:tr2bl w:val="nil"/>
            </w:tcBorders>
            <w:vAlign w:val="center"/>
          </w:tcPr>
          <w:p w14:paraId="6D211939">
            <w:pPr>
              <w:pStyle w:val="41"/>
              <w:rPr>
                <w:color w:val="auto"/>
                <w:highlight w:val="none"/>
              </w:rPr>
            </w:pPr>
          </w:p>
        </w:tc>
        <w:tc>
          <w:tcPr>
            <w:tcW w:w="541" w:type="pct"/>
            <w:tcBorders>
              <w:tl2br w:val="nil"/>
              <w:tr2bl w:val="nil"/>
            </w:tcBorders>
            <w:vAlign w:val="center"/>
          </w:tcPr>
          <w:p w14:paraId="29D19A71">
            <w:pPr>
              <w:pStyle w:val="41"/>
              <w:rPr>
                <w:color w:val="auto"/>
                <w:highlight w:val="none"/>
              </w:rPr>
            </w:pPr>
          </w:p>
        </w:tc>
        <w:tc>
          <w:tcPr>
            <w:tcW w:w="451" w:type="pct"/>
            <w:tcBorders>
              <w:tl2br w:val="nil"/>
              <w:tr2bl w:val="nil"/>
            </w:tcBorders>
            <w:vAlign w:val="center"/>
          </w:tcPr>
          <w:p w14:paraId="691EA8E8">
            <w:pPr>
              <w:pStyle w:val="41"/>
              <w:rPr>
                <w:color w:val="auto"/>
                <w:highlight w:val="none"/>
              </w:rPr>
            </w:pPr>
          </w:p>
        </w:tc>
        <w:tc>
          <w:tcPr>
            <w:tcW w:w="356" w:type="pct"/>
            <w:tcBorders>
              <w:tl2br w:val="nil"/>
              <w:tr2bl w:val="nil"/>
            </w:tcBorders>
            <w:vAlign w:val="center"/>
          </w:tcPr>
          <w:p w14:paraId="5842AD89">
            <w:pPr>
              <w:pStyle w:val="41"/>
              <w:rPr>
                <w:color w:val="auto"/>
                <w:highlight w:val="none"/>
              </w:rPr>
            </w:pPr>
            <w:r>
              <w:rPr>
                <w:color w:val="auto"/>
                <w:highlight w:val="none"/>
              </w:rPr>
              <w:t>-1D</w:t>
            </w:r>
          </w:p>
        </w:tc>
        <w:tc>
          <w:tcPr>
            <w:tcW w:w="468" w:type="pct"/>
            <w:tcBorders>
              <w:tl2br w:val="nil"/>
              <w:tr2bl w:val="nil"/>
            </w:tcBorders>
            <w:vAlign w:val="center"/>
          </w:tcPr>
          <w:p w14:paraId="11085822">
            <w:pPr>
              <w:pStyle w:val="41"/>
              <w:rPr>
                <w:color w:val="auto"/>
                <w:highlight w:val="none"/>
              </w:rPr>
            </w:pPr>
            <w:r>
              <w:rPr>
                <w:color w:val="auto"/>
                <w:highlight w:val="none"/>
              </w:rPr>
              <w:t>-1D</w:t>
            </w:r>
          </w:p>
        </w:tc>
        <w:tc>
          <w:tcPr>
            <w:tcW w:w="451" w:type="pct"/>
            <w:tcBorders>
              <w:tl2br w:val="nil"/>
              <w:tr2bl w:val="nil"/>
            </w:tcBorders>
            <w:vAlign w:val="center"/>
          </w:tcPr>
          <w:p w14:paraId="0829D165">
            <w:pPr>
              <w:pStyle w:val="41"/>
              <w:rPr>
                <w:color w:val="auto"/>
                <w:highlight w:val="none"/>
              </w:rPr>
            </w:pPr>
          </w:p>
        </w:tc>
      </w:tr>
      <w:tr w14:paraId="03A39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6" w:type="pct"/>
            <w:vMerge w:val="restart"/>
            <w:tcBorders>
              <w:tl2br w:val="nil"/>
              <w:tr2bl w:val="nil"/>
            </w:tcBorders>
            <w:vAlign w:val="center"/>
          </w:tcPr>
          <w:p w14:paraId="4B27B089">
            <w:pPr>
              <w:pStyle w:val="41"/>
              <w:rPr>
                <w:color w:val="auto"/>
                <w:highlight w:val="none"/>
              </w:rPr>
            </w:pPr>
            <w:r>
              <w:rPr>
                <w:color w:val="auto"/>
                <w:highlight w:val="none"/>
              </w:rPr>
              <w:t>运</w:t>
            </w:r>
          </w:p>
          <w:p w14:paraId="4CAC6371">
            <w:pPr>
              <w:pStyle w:val="41"/>
              <w:rPr>
                <w:color w:val="auto"/>
                <w:highlight w:val="none"/>
              </w:rPr>
            </w:pPr>
            <w:r>
              <w:rPr>
                <w:color w:val="auto"/>
                <w:highlight w:val="none"/>
              </w:rPr>
              <w:t>营</w:t>
            </w:r>
          </w:p>
          <w:p w14:paraId="0C6FC091">
            <w:pPr>
              <w:pStyle w:val="41"/>
              <w:rPr>
                <w:color w:val="auto"/>
                <w:highlight w:val="none"/>
              </w:rPr>
            </w:pPr>
            <w:r>
              <w:rPr>
                <w:color w:val="auto"/>
                <w:highlight w:val="none"/>
              </w:rPr>
              <w:t>期</w:t>
            </w:r>
          </w:p>
        </w:tc>
        <w:tc>
          <w:tcPr>
            <w:tcW w:w="554" w:type="pct"/>
            <w:tcBorders>
              <w:tl2br w:val="nil"/>
              <w:tr2bl w:val="nil"/>
            </w:tcBorders>
            <w:vAlign w:val="center"/>
          </w:tcPr>
          <w:p w14:paraId="363B3E56">
            <w:pPr>
              <w:pStyle w:val="41"/>
              <w:rPr>
                <w:color w:val="auto"/>
                <w:highlight w:val="none"/>
              </w:rPr>
            </w:pPr>
            <w:r>
              <w:rPr>
                <w:color w:val="auto"/>
                <w:highlight w:val="none"/>
              </w:rPr>
              <w:t>原料/成品运输</w:t>
            </w:r>
          </w:p>
        </w:tc>
        <w:tc>
          <w:tcPr>
            <w:tcW w:w="451" w:type="pct"/>
            <w:tcBorders>
              <w:tl2br w:val="nil"/>
              <w:tr2bl w:val="nil"/>
            </w:tcBorders>
            <w:vAlign w:val="center"/>
          </w:tcPr>
          <w:p w14:paraId="19D343E8">
            <w:pPr>
              <w:pStyle w:val="41"/>
              <w:rPr>
                <w:color w:val="auto"/>
                <w:highlight w:val="none"/>
              </w:rPr>
            </w:pPr>
            <w:r>
              <w:rPr>
                <w:color w:val="auto"/>
                <w:highlight w:val="none"/>
              </w:rPr>
              <w:t>-1C</w:t>
            </w:r>
          </w:p>
        </w:tc>
        <w:tc>
          <w:tcPr>
            <w:tcW w:w="217" w:type="pct"/>
            <w:tcBorders>
              <w:tl2br w:val="nil"/>
              <w:tr2bl w:val="nil"/>
            </w:tcBorders>
            <w:vAlign w:val="center"/>
          </w:tcPr>
          <w:p w14:paraId="58E0ECE1">
            <w:pPr>
              <w:pStyle w:val="41"/>
              <w:rPr>
                <w:color w:val="auto"/>
                <w:highlight w:val="none"/>
              </w:rPr>
            </w:pPr>
          </w:p>
        </w:tc>
        <w:tc>
          <w:tcPr>
            <w:tcW w:w="361" w:type="pct"/>
            <w:tcBorders>
              <w:tl2br w:val="nil"/>
              <w:tr2bl w:val="nil"/>
            </w:tcBorders>
            <w:vAlign w:val="center"/>
          </w:tcPr>
          <w:p w14:paraId="47EC4629">
            <w:pPr>
              <w:pStyle w:val="41"/>
              <w:rPr>
                <w:color w:val="auto"/>
                <w:highlight w:val="none"/>
              </w:rPr>
            </w:pPr>
          </w:p>
        </w:tc>
        <w:tc>
          <w:tcPr>
            <w:tcW w:w="367" w:type="pct"/>
            <w:tcBorders>
              <w:tl2br w:val="nil"/>
              <w:tr2bl w:val="nil"/>
            </w:tcBorders>
            <w:vAlign w:val="center"/>
          </w:tcPr>
          <w:p w14:paraId="4E4C653D">
            <w:pPr>
              <w:pStyle w:val="41"/>
              <w:rPr>
                <w:color w:val="auto"/>
                <w:highlight w:val="none"/>
              </w:rPr>
            </w:pPr>
            <w:r>
              <w:rPr>
                <w:color w:val="auto"/>
                <w:highlight w:val="none"/>
              </w:rPr>
              <w:t>-1D</w:t>
            </w:r>
          </w:p>
        </w:tc>
        <w:tc>
          <w:tcPr>
            <w:tcW w:w="380" w:type="pct"/>
            <w:tcBorders>
              <w:tl2br w:val="nil"/>
              <w:tr2bl w:val="nil"/>
            </w:tcBorders>
            <w:vAlign w:val="center"/>
          </w:tcPr>
          <w:p w14:paraId="63D4C6E6">
            <w:pPr>
              <w:pStyle w:val="41"/>
              <w:rPr>
                <w:color w:val="auto"/>
                <w:highlight w:val="none"/>
              </w:rPr>
            </w:pPr>
            <w:r>
              <w:rPr>
                <w:color w:val="auto"/>
                <w:highlight w:val="none"/>
              </w:rPr>
              <w:t>-1D</w:t>
            </w:r>
          </w:p>
        </w:tc>
        <w:tc>
          <w:tcPr>
            <w:tcW w:w="541" w:type="pct"/>
            <w:tcBorders>
              <w:tl2br w:val="nil"/>
              <w:tr2bl w:val="nil"/>
            </w:tcBorders>
            <w:vAlign w:val="center"/>
          </w:tcPr>
          <w:p w14:paraId="74DF5B6A">
            <w:pPr>
              <w:pStyle w:val="41"/>
              <w:rPr>
                <w:color w:val="auto"/>
                <w:highlight w:val="none"/>
              </w:rPr>
            </w:pPr>
          </w:p>
        </w:tc>
        <w:tc>
          <w:tcPr>
            <w:tcW w:w="451" w:type="pct"/>
            <w:tcBorders>
              <w:tl2br w:val="nil"/>
              <w:tr2bl w:val="nil"/>
            </w:tcBorders>
            <w:vAlign w:val="center"/>
          </w:tcPr>
          <w:p w14:paraId="37C2E6FF">
            <w:pPr>
              <w:pStyle w:val="41"/>
              <w:rPr>
                <w:color w:val="auto"/>
                <w:highlight w:val="none"/>
              </w:rPr>
            </w:pPr>
          </w:p>
        </w:tc>
        <w:tc>
          <w:tcPr>
            <w:tcW w:w="356" w:type="pct"/>
            <w:tcBorders>
              <w:tl2br w:val="nil"/>
              <w:tr2bl w:val="nil"/>
            </w:tcBorders>
            <w:vAlign w:val="center"/>
          </w:tcPr>
          <w:p w14:paraId="4B249748">
            <w:pPr>
              <w:pStyle w:val="41"/>
              <w:rPr>
                <w:color w:val="auto"/>
                <w:highlight w:val="none"/>
              </w:rPr>
            </w:pPr>
          </w:p>
        </w:tc>
        <w:tc>
          <w:tcPr>
            <w:tcW w:w="468" w:type="pct"/>
            <w:tcBorders>
              <w:tl2br w:val="nil"/>
              <w:tr2bl w:val="nil"/>
            </w:tcBorders>
            <w:vAlign w:val="center"/>
          </w:tcPr>
          <w:p w14:paraId="55CC8C68">
            <w:pPr>
              <w:pStyle w:val="41"/>
              <w:rPr>
                <w:color w:val="auto"/>
                <w:highlight w:val="none"/>
              </w:rPr>
            </w:pPr>
          </w:p>
        </w:tc>
        <w:tc>
          <w:tcPr>
            <w:tcW w:w="451" w:type="pct"/>
            <w:tcBorders>
              <w:tl2br w:val="nil"/>
              <w:tr2bl w:val="nil"/>
            </w:tcBorders>
            <w:vAlign w:val="center"/>
          </w:tcPr>
          <w:p w14:paraId="23335729">
            <w:pPr>
              <w:pStyle w:val="41"/>
              <w:rPr>
                <w:color w:val="auto"/>
                <w:highlight w:val="none"/>
              </w:rPr>
            </w:pPr>
            <w:r>
              <w:rPr>
                <w:color w:val="auto"/>
                <w:highlight w:val="none"/>
              </w:rPr>
              <w:t>-1C</w:t>
            </w:r>
          </w:p>
        </w:tc>
      </w:tr>
      <w:tr w14:paraId="212283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6" w:type="pct"/>
            <w:vMerge w:val="continue"/>
            <w:tcBorders>
              <w:tl2br w:val="nil"/>
              <w:tr2bl w:val="nil"/>
            </w:tcBorders>
            <w:vAlign w:val="center"/>
          </w:tcPr>
          <w:p w14:paraId="34EC02E0">
            <w:pPr>
              <w:pStyle w:val="41"/>
              <w:rPr>
                <w:color w:val="auto"/>
                <w:highlight w:val="none"/>
              </w:rPr>
            </w:pPr>
          </w:p>
        </w:tc>
        <w:tc>
          <w:tcPr>
            <w:tcW w:w="554" w:type="pct"/>
            <w:tcBorders>
              <w:tl2br w:val="nil"/>
              <w:tr2bl w:val="nil"/>
            </w:tcBorders>
            <w:vAlign w:val="center"/>
          </w:tcPr>
          <w:p w14:paraId="5D372CEE">
            <w:pPr>
              <w:pStyle w:val="41"/>
              <w:rPr>
                <w:color w:val="auto"/>
                <w:highlight w:val="none"/>
              </w:rPr>
            </w:pPr>
            <w:r>
              <w:rPr>
                <w:color w:val="auto"/>
                <w:highlight w:val="none"/>
              </w:rPr>
              <w:t>废气排放</w:t>
            </w:r>
          </w:p>
        </w:tc>
        <w:tc>
          <w:tcPr>
            <w:tcW w:w="451" w:type="pct"/>
            <w:tcBorders>
              <w:tl2br w:val="nil"/>
              <w:tr2bl w:val="nil"/>
            </w:tcBorders>
            <w:vAlign w:val="center"/>
          </w:tcPr>
          <w:p w14:paraId="28C39355">
            <w:pPr>
              <w:pStyle w:val="41"/>
              <w:rPr>
                <w:color w:val="auto"/>
                <w:highlight w:val="none"/>
              </w:rPr>
            </w:pPr>
            <w:r>
              <w:rPr>
                <w:color w:val="auto"/>
                <w:highlight w:val="none"/>
              </w:rPr>
              <w:t>-2C</w:t>
            </w:r>
          </w:p>
        </w:tc>
        <w:tc>
          <w:tcPr>
            <w:tcW w:w="217" w:type="pct"/>
            <w:tcBorders>
              <w:tl2br w:val="nil"/>
              <w:tr2bl w:val="nil"/>
            </w:tcBorders>
            <w:vAlign w:val="center"/>
          </w:tcPr>
          <w:p w14:paraId="71F7FACB">
            <w:pPr>
              <w:pStyle w:val="41"/>
              <w:rPr>
                <w:color w:val="auto"/>
                <w:highlight w:val="none"/>
              </w:rPr>
            </w:pPr>
          </w:p>
        </w:tc>
        <w:tc>
          <w:tcPr>
            <w:tcW w:w="361" w:type="pct"/>
            <w:tcBorders>
              <w:tl2br w:val="nil"/>
              <w:tr2bl w:val="nil"/>
            </w:tcBorders>
            <w:vAlign w:val="center"/>
          </w:tcPr>
          <w:p w14:paraId="515D328F">
            <w:pPr>
              <w:pStyle w:val="41"/>
              <w:rPr>
                <w:color w:val="auto"/>
                <w:highlight w:val="none"/>
              </w:rPr>
            </w:pPr>
          </w:p>
        </w:tc>
        <w:tc>
          <w:tcPr>
            <w:tcW w:w="367" w:type="pct"/>
            <w:tcBorders>
              <w:tl2br w:val="nil"/>
              <w:tr2bl w:val="nil"/>
            </w:tcBorders>
            <w:vAlign w:val="center"/>
          </w:tcPr>
          <w:p w14:paraId="7F6978AE">
            <w:pPr>
              <w:pStyle w:val="41"/>
              <w:rPr>
                <w:color w:val="auto"/>
                <w:highlight w:val="none"/>
              </w:rPr>
            </w:pPr>
          </w:p>
        </w:tc>
        <w:tc>
          <w:tcPr>
            <w:tcW w:w="380" w:type="pct"/>
            <w:tcBorders>
              <w:tl2br w:val="nil"/>
              <w:tr2bl w:val="nil"/>
            </w:tcBorders>
            <w:vAlign w:val="center"/>
          </w:tcPr>
          <w:p w14:paraId="0C479829">
            <w:pPr>
              <w:pStyle w:val="41"/>
              <w:rPr>
                <w:color w:val="auto"/>
                <w:highlight w:val="none"/>
              </w:rPr>
            </w:pPr>
            <w:r>
              <w:rPr>
                <w:color w:val="auto"/>
                <w:highlight w:val="none"/>
              </w:rPr>
              <w:t>-1D</w:t>
            </w:r>
          </w:p>
        </w:tc>
        <w:tc>
          <w:tcPr>
            <w:tcW w:w="541" w:type="pct"/>
            <w:tcBorders>
              <w:tl2br w:val="nil"/>
              <w:tr2bl w:val="nil"/>
            </w:tcBorders>
            <w:vAlign w:val="center"/>
          </w:tcPr>
          <w:p w14:paraId="31A51491">
            <w:pPr>
              <w:pStyle w:val="41"/>
              <w:rPr>
                <w:color w:val="auto"/>
                <w:highlight w:val="none"/>
              </w:rPr>
            </w:pPr>
          </w:p>
        </w:tc>
        <w:tc>
          <w:tcPr>
            <w:tcW w:w="451" w:type="pct"/>
            <w:tcBorders>
              <w:tl2br w:val="nil"/>
              <w:tr2bl w:val="nil"/>
            </w:tcBorders>
            <w:vAlign w:val="center"/>
          </w:tcPr>
          <w:p w14:paraId="2512D6F1">
            <w:pPr>
              <w:pStyle w:val="41"/>
              <w:rPr>
                <w:color w:val="auto"/>
                <w:highlight w:val="none"/>
              </w:rPr>
            </w:pPr>
          </w:p>
        </w:tc>
        <w:tc>
          <w:tcPr>
            <w:tcW w:w="356" w:type="pct"/>
            <w:tcBorders>
              <w:tl2br w:val="nil"/>
              <w:tr2bl w:val="nil"/>
            </w:tcBorders>
            <w:vAlign w:val="center"/>
          </w:tcPr>
          <w:p w14:paraId="5ECCB457">
            <w:pPr>
              <w:pStyle w:val="41"/>
              <w:rPr>
                <w:color w:val="auto"/>
                <w:highlight w:val="none"/>
              </w:rPr>
            </w:pPr>
          </w:p>
        </w:tc>
        <w:tc>
          <w:tcPr>
            <w:tcW w:w="468" w:type="pct"/>
            <w:tcBorders>
              <w:tl2br w:val="nil"/>
              <w:tr2bl w:val="nil"/>
            </w:tcBorders>
            <w:vAlign w:val="center"/>
          </w:tcPr>
          <w:p w14:paraId="6E2F50CF">
            <w:pPr>
              <w:pStyle w:val="41"/>
              <w:rPr>
                <w:color w:val="auto"/>
                <w:highlight w:val="none"/>
              </w:rPr>
            </w:pPr>
          </w:p>
        </w:tc>
        <w:tc>
          <w:tcPr>
            <w:tcW w:w="451" w:type="pct"/>
            <w:tcBorders>
              <w:tl2br w:val="nil"/>
              <w:tr2bl w:val="nil"/>
            </w:tcBorders>
            <w:vAlign w:val="center"/>
          </w:tcPr>
          <w:p w14:paraId="283C01EC">
            <w:pPr>
              <w:pStyle w:val="41"/>
              <w:rPr>
                <w:color w:val="auto"/>
                <w:highlight w:val="none"/>
              </w:rPr>
            </w:pPr>
            <w:r>
              <w:rPr>
                <w:color w:val="auto"/>
                <w:highlight w:val="none"/>
              </w:rPr>
              <w:t>-1D</w:t>
            </w:r>
          </w:p>
        </w:tc>
      </w:tr>
      <w:tr w14:paraId="57983E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6" w:type="pct"/>
            <w:vMerge w:val="continue"/>
            <w:tcBorders>
              <w:tl2br w:val="nil"/>
              <w:tr2bl w:val="nil"/>
            </w:tcBorders>
            <w:vAlign w:val="center"/>
          </w:tcPr>
          <w:p w14:paraId="4426BA0B">
            <w:pPr>
              <w:pStyle w:val="41"/>
              <w:rPr>
                <w:color w:val="auto"/>
                <w:highlight w:val="none"/>
              </w:rPr>
            </w:pPr>
          </w:p>
        </w:tc>
        <w:tc>
          <w:tcPr>
            <w:tcW w:w="554" w:type="pct"/>
            <w:tcBorders>
              <w:tl2br w:val="nil"/>
              <w:tr2bl w:val="nil"/>
            </w:tcBorders>
            <w:vAlign w:val="center"/>
          </w:tcPr>
          <w:p w14:paraId="1CBC13C9">
            <w:pPr>
              <w:pStyle w:val="41"/>
              <w:rPr>
                <w:color w:val="auto"/>
                <w:highlight w:val="none"/>
              </w:rPr>
            </w:pPr>
            <w:r>
              <w:rPr>
                <w:color w:val="auto"/>
                <w:highlight w:val="none"/>
              </w:rPr>
              <w:t>废水排放</w:t>
            </w:r>
          </w:p>
        </w:tc>
        <w:tc>
          <w:tcPr>
            <w:tcW w:w="451" w:type="pct"/>
            <w:tcBorders>
              <w:tl2br w:val="nil"/>
              <w:tr2bl w:val="nil"/>
            </w:tcBorders>
            <w:vAlign w:val="center"/>
          </w:tcPr>
          <w:p w14:paraId="764FCD0C">
            <w:pPr>
              <w:pStyle w:val="41"/>
              <w:rPr>
                <w:color w:val="auto"/>
                <w:highlight w:val="none"/>
              </w:rPr>
            </w:pPr>
          </w:p>
        </w:tc>
        <w:tc>
          <w:tcPr>
            <w:tcW w:w="217" w:type="pct"/>
            <w:tcBorders>
              <w:tl2br w:val="nil"/>
              <w:tr2bl w:val="nil"/>
            </w:tcBorders>
            <w:vAlign w:val="center"/>
          </w:tcPr>
          <w:p w14:paraId="6E7A4D0D">
            <w:pPr>
              <w:pStyle w:val="41"/>
              <w:rPr>
                <w:color w:val="auto"/>
                <w:highlight w:val="none"/>
              </w:rPr>
            </w:pPr>
          </w:p>
        </w:tc>
        <w:tc>
          <w:tcPr>
            <w:tcW w:w="361" w:type="pct"/>
            <w:tcBorders>
              <w:tl2br w:val="nil"/>
              <w:tr2bl w:val="nil"/>
            </w:tcBorders>
            <w:vAlign w:val="center"/>
          </w:tcPr>
          <w:p w14:paraId="64EAEA20">
            <w:pPr>
              <w:pStyle w:val="41"/>
              <w:rPr>
                <w:color w:val="auto"/>
                <w:highlight w:val="none"/>
              </w:rPr>
            </w:pPr>
            <w:r>
              <w:rPr>
                <w:color w:val="auto"/>
                <w:highlight w:val="none"/>
              </w:rPr>
              <w:t>-1C</w:t>
            </w:r>
          </w:p>
        </w:tc>
        <w:tc>
          <w:tcPr>
            <w:tcW w:w="367" w:type="pct"/>
            <w:tcBorders>
              <w:tl2br w:val="nil"/>
              <w:tr2bl w:val="nil"/>
            </w:tcBorders>
            <w:vAlign w:val="center"/>
          </w:tcPr>
          <w:p w14:paraId="2324B7F3">
            <w:pPr>
              <w:pStyle w:val="41"/>
              <w:rPr>
                <w:color w:val="auto"/>
                <w:highlight w:val="none"/>
              </w:rPr>
            </w:pPr>
          </w:p>
        </w:tc>
        <w:tc>
          <w:tcPr>
            <w:tcW w:w="380" w:type="pct"/>
            <w:tcBorders>
              <w:tl2br w:val="nil"/>
              <w:tr2bl w:val="nil"/>
            </w:tcBorders>
            <w:vAlign w:val="center"/>
          </w:tcPr>
          <w:p w14:paraId="52B1B573">
            <w:pPr>
              <w:pStyle w:val="41"/>
              <w:rPr>
                <w:color w:val="auto"/>
                <w:highlight w:val="none"/>
              </w:rPr>
            </w:pPr>
          </w:p>
        </w:tc>
        <w:tc>
          <w:tcPr>
            <w:tcW w:w="541" w:type="pct"/>
            <w:tcBorders>
              <w:tl2br w:val="nil"/>
              <w:tr2bl w:val="nil"/>
            </w:tcBorders>
            <w:vAlign w:val="center"/>
          </w:tcPr>
          <w:p w14:paraId="068AE442">
            <w:pPr>
              <w:pStyle w:val="41"/>
              <w:rPr>
                <w:color w:val="auto"/>
                <w:highlight w:val="none"/>
              </w:rPr>
            </w:pPr>
          </w:p>
        </w:tc>
        <w:tc>
          <w:tcPr>
            <w:tcW w:w="451" w:type="pct"/>
            <w:tcBorders>
              <w:tl2br w:val="nil"/>
              <w:tr2bl w:val="nil"/>
            </w:tcBorders>
            <w:vAlign w:val="center"/>
          </w:tcPr>
          <w:p w14:paraId="19636589">
            <w:pPr>
              <w:pStyle w:val="41"/>
              <w:rPr>
                <w:color w:val="auto"/>
                <w:highlight w:val="none"/>
              </w:rPr>
            </w:pPr>
          </w:p>
        </w:tc>
        <w:tc>
          <w:tcPr>
            <w:tcW w:w="356" w:type="pct"/>
            <w:tcBorders>
              <w:tl2br w:val="nil"/>
              <w:tr2bl w:val="nil"/>
            </w:tcBorders>
            <w:vAlign w:val="center"/>
          </w:tcPr>
          <w:p w14:paraId="153AFD08">
            <w:pPr>
              <w:pStyle w:val="41"/>
              <w:rPr>
                <w:color w:val="auto"/>
                <w:highlight w:val="none"/>
              </w:rPr>
            </w:pPr>
          </w:p>
        </w:tc>
        <w:tc>
          <w:tcPr>
            <w:tcW w:w="468" w:type="pct"/>
            <w:tcBorders>
              <w:tl2br w:val="nil"/>
              <w:tr2bl w:val="nil"/>
            </w:tcBorders>
            <w:vAlign w:val="center"/>
          </w:tcPr>
          <w:p w14:paraId="1309E198">
            <w:pPr>
              <w:pStyle w:val="41"/>
              <w:rPr>
                <w:color w:val="auto"/>
                <w:highlight w:val="none"/>
              </w:rPr>
            </w:pPr>
          </w:p>
        </w:tc>
        <w:tc>
          <w:tcPr>
            <w:tcW w:w="451" w:type="pct"/>
            <w:tcBorders>
              <w:tl2br w:val="nil"/>
              <w:tr2bl w:val="nil"/>
            </w:tcBorders>
            <w:vAlign w:val="center"/>
          </w:tcPr>
          <w:p w14:paraId="7D2034D8">
            <w:pPr>
              <w:pStyle w:val="41"/>
              <w:rPr>
                <w:color w:val="auto"/>
                <w:highlight w:val="none"/>
              </w:rPr>
            </w:pPr>
            <w:r>
              <w:rPr>
                <w:color w:val="auto"/>
                <w:highlight w:val="none"/>
              </w:rPr>
              <w:t>-1D</w:t>
            </w:r>
          </w:p>
        </w:tc>
      </w:tr>
      <w:tr w14:paraId="7C3514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6" w:type="pct"/>
            <w:vMerge w:val="continue"/>
            <w:tcBorders>
              <w:tl2br w:val="nil"/>
              <w:tr2bl w:val="nil"/>
            </w:tcBorders>
            <w:vAlign w:val="center"/>
          </w:tcPr>
          <w:p w14:paraId="0698F9CA">
            <w:pPr>
              <w:pStyle w:val="41"/>
              <w:rPr>
                <w:color w:val="auto"/>
                <w:highlight w:val="none"/>
              </w:rPr>
            </w:pPr>
          </w:p>
        </w:tc>
        <w:tc>
          <w:tcPr>
            <w:tcW w:w="554" w:type="pct"/>
            <w:tcBorders>
              <w:tl2br w:val="nil"/>
              <w:tr2bl w:val="nil"/>
            </w:tcBorders>
            <w:vAlign w:val="center"/>
          </w:tcPr>
          <w:p w14:paraId="35B37A5F">
            <w:pPr>
              <w:pStyle w:val="41"/>
              <w:rPr>
                <w:color w:val="auto"/>
                <w:highlight w:val="none"/>
              </w:rPr>
            </w:pPr>
            <w:r>
              <w:rPr>
                <w:color w:val="auto"/>
                <w:highlight w:val="none"/>
              </w:rPr>
              <w:t>噪声排放</w:t>
            </w:r>
          </w:p>
        </w:tc>
        <w:tc>
          <w:tcPr>
            <w:tcW w:w="451" w:type="pct"/>
            <w:tcBorders>
              <w:tl2br w:val="nil"/>
              <w:tr2bl w:val="nil"/>
            </w:tcBorders>
            <w:vAlign w:val="center"/>
          </w:tcPr>
          <w:p w14:paraId="416A6CFF">
            <w:pPr>
              <w:pStyle w:val="41"/>
              <w:rPr>
                <w:color w:val="auto"/>
                <w:highlight w:val="none"/>
              </w:rPr>
            </w:pPr>
          </w:p>
        </w:tc>
        <w:tc>
          <w:tcPr>
            <w:tcW w:w="217" w:type="pct"/>
            <w:tcBorders>
              <w:tl2br w:val="nil"/>
              <w:tr2bl w:val="nil"/>
            </w:tcBorders>
            <w:vAlign w:val="center"/>
          </w:tcPr>
          <w:p w14:paraId="2AE44E5A">
            <w:pPr>
              <w:pStyle w:val="41"/>
              <w:rPr>
                <w:color w:val="auto"/>
                <w:highlight w:val="none"/>
              </w:rPr>
            </w:pPr>
          </w:p>
        </w:tc>
        <w:tc>
          <w:tcPr>
            <w:tcW w:w="361" w:type="pct"/>
            <w:tcBorders>
              <w:tl2br w:val="nil"/>
              <w:tr2bl w:val="nil"/>
            </w:tcBorders>
            <w:vAlign w:val="center"/>
          </w:tcPr>
          <w:p w14:paraId="139E92C3">
            <w:pPr>
              <w:pStyle w:val="41"/>
              <w:rPr>
                <w:color w:val="auto"/>
                <w:highlight w:val="none"/>
              </w:rPr>
            </w:pPr>
          </w:p>
        </w:tc>
        <w:tc>
          <w:tcPr>
            <w:tcW w:w="367" w:type="pct"/>
            <w:tcBorders>
              <w:tl2br w:val="nil"/>
              <w:tr2bl w:val="nil"/>
            </w:tcBorders>
            <w:vAlign w:val="center"/>
          </w:tcPr>
          <w:p w14:paraId="457101EE">
            <w:pPr>
              <w:pStyle w:val="41"/>
              <w:rPr>
                <w:color w:val="auto"/>
                <w:highlight w:val="none"/>
              </w:rPr>
            </w:pPr>
            <w:r>
              <w:rPr>
                <w:color w:val="auto"/>
                <w:highlight w:val="none"/>
              </w:rPr>
              <w:t>-1C</w:t>
            </w:r>
          </w:p>
        </w:tc>
        <w:tc>
          <w:tcPr>
            <w:tcW w:w="380" w:type="pct"/>
            <w:tcBorders>
              <w:tl2br w:val="nil"/>
              <w:tr2bl w:val="nil"/>
            </w:tcBorders>
            <w:vAlign w:val="center"/>
          </w:tcPr>
          <w:p w14:paraId="1B63DF0E">
            <w:pPr>
              <w:pStyle w:val="41"/>
              <w:rPr>
                <w:color w:val="auto"/>
                <w:highlight w:val="none"/>
              </w:rPr>
            </w:pPr>
          </w:p>
        </w:tc>
        <w:tc>
          <w:tcPr>
            <w:tcW w:w="541" w:type="pct"/>
            <w:tcBorders>
              <w:tl2br w:val="nil"/>
              <w:tr2bl w:val="nil"/>
            </w:tcBorders>
            <w:vAlign w:val="center"/>
          </w:tcPr>
          <w:p w14:paraId="6170DC86">
            <w:pPr>
              <w:pStyle w:val="41"/>
              <w:rPr>
                <w:color w:val="auto"/>
                <w:highlight w:val="none"/>
              </w:rPr>
            </w:pPr>
          </w:p>
        </w:tc>
        <w:tc>
          <w:tcPr>
            <w:tcW w:w="451" w:type="pct"/>
            <w:tcBorders>
              <w:tl2br w:val="nil"/>
              <w:tr2bl w:val="nil"/>
            </w:tcBorders>
            <w:vAlign w:val="center"/>
          </w:tcPr>
          <w:p w14:paraId="41C8E29C">
            <w:pPr>
              <w:pStyle w:val="41"/>
              <w:rPr>
                <w:color w:val="auto"/>
                <w:highlight w:val="none"/>
              </w:rPr>
            </w:pPr>
          </w:p>
        </w:tc>
        <w:tc>
          <w:tcPr>
            <w:tcW w:w="356" w:type="pct"/>
            <w:tcBorders>
              <w:tl2br w:val="nil"/>
              <w:tr2bl w:val="nil"/>
            </w:tcBorders>
            <w:vAlign w:val="center"/>
          </w:tcPr>
          <w:p w14:paraId="52AA6405">
            <w:pPr>
              <w:pStyle w:val="41"/>
              <w:rPr>
                <w:color w:val="auto"/>
                <w:highlight w:val="none"/>
              </w:rPr>
            </w:pPr>
          </w:p>
        </w:tc>
        <w:tc>
          <w:tcPr>
            <w:tcW w:w="468" w:type="pct"/>
            <w:tcBorders>
              <w:tl2br w:val="nil"/>
              <w:tr2bl w:val="nil"/>
            </w:tcBorders>
            <w:vAlign w:val="center"/>
          </w:tcPr>
          <w:p w14:paraId="6DCBFC7D">
            <w:pPr>
              <w:pStyle w:val="41"/>
              <w:rPr>
                <w:color w:val="auto"/>
                <w:highlight w:val="none"/>
              </w:rPr>
            </w:pPr>
            <w:r>
              <w:rPr>
                <w:color w:val="auto"/>
                <w:highlight w:val="none"/>
              </w:rPr>
              <w:t>-1C</w:t>
            </w:r>
          </w:p>
        </w:tc>
        <w:tc>
          <w:tcPr>
            <w:tcW w:w="451" w:type="pct"/>
            <w:tcBorders>
              <w:tl2br w:val="nil"/>
              <w:tr2bl w:val="nil"/>
            </w:tcBorders>
            <w:vAlign w:val="center"/>
          </w:tcPr>
          <w:p w14:paraId="45A23E19">
            <w:pPr>
              <w:pStyle w:val="41"/>
              <w:rPr>
                <w:color w:val="auto"/>
                <w:highlight w:val="none"/>
              </w:rPr>
            </w:pPr>
          </w:p>
        </w:tc>
      </w:tr>
      <w:tr w14:paraId="31374E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96" w:type="pct"/>
            <w:vMerge w:val="continue"/>
            <w:tcBorders>
              <w:tl2br w:val="nil"/>
              <w:tr2bl w:val="nil"/>
            </w:tcBorders>
            <w:vAlign w:val="center"/>
          </w:tcPr>
          <w:p w14:paraId="1B522808">
            <w:pPr>
              <w:pStyle w:val="41"/>
              <w:rPr>
                <w:color w:val="auto"/>
                <w:highlight w:val="none"/>
              </w:rPr>
            </w:pPr>
          </w:p>
        </w:tc>
        <w:tc>
          <w:tcPr>
            <w:tcW w:w="554" w:type="pct"/>
            <w:tcBorders>
              <w:tl2br w:val="nil"/>
              <w:tr2bl w:val="nil"/>
            </w:tcBorders>
            <w:vAlign w:val="center"/>
          </w:tcPr>
          <w:p w14:paraId="39D68011">
            <w:pPr>
              <w:pStyle w:val="41"/>
              <w:rPr>
                <w:color w:val="auto"/>
                <w:highlight w:val="none"/>
              </w:rPr>
            </w:pPr>
            <w:r>
              <w:rPr>
                <w:color w:val="auto"/>
                <w:highlight w:val="none"/>
              </w:rPr>
              <w:t>固废处置</w:t>
            </w:r>
          </w:p>
        </w:tc>
        <w:tc>
          <w:tcPr>
            <w:tcW w:w="451" w:type="pct"/>
            <w:tcBorders>
              <w:tl2br w:val="nil"/>
              <w:tr2bl w:val="nil"/>
            </w:tcBorders>
            <w:vAlign w:val="center"/>
          </w:tcPr>
          <w:p w14:paraId="74FBD8C0">
            <w:pPr>
              <w:pStyle w:val="41"/>
              <w:rPr>
                <w:color w:val="auto"/>
                <w:highlight w:val="none"/>
              </w:rPr>
            </w:pPr>
            <w:r>
              <w:rPr>
                <w:color w:val="auto"/>
                <w:highlight w:val="none"/>
              </w:rPr>
              <w:t>-1C</w:t>
            </w:r>
          </w:p>
        </w:tc>
        <w:tc>
          <w:tcPr>
            <w:tcW w:w="217" w:type="pct"/>
            <w:tcBorders>
              <w:tl2br w:val="nil"/>
              <w:tr2bl w:val="nil"/>
            </w:tcBorders>
            <w:vAlign w:val="center"/>
          </w:tcPr>
          <w:p w14:paraId="7CB73003">
            <w:pPr>
              <w:pStyle w:val="41"/>
              <w:rPr>
                <w:color w:val="auto"/>
                <w:highlight w:val="none"/>
              </w:rPr>
            </w:pPr>
          </w:p>
        </w:tc>
        <w:tc>
          <w:tcPr>
            <w:tcW w:w="361" w:type="pct"/>
            <w:tcBorders>
              <w:tl2br w:val="nil"/>
              <w:tr2bl w:val="nil"/>
            </w:tcBorders>
            <w:vAlign w:val="center"/>
          </w:tcPr>
          <w:p w14:paraId="1AB9E372">
            <w:pPr>
              <w:pStyle w:val="41"/>
              <w:rPr>
                <w:color w:val="auto"/>
                <w:highlight w:val="none"/>
              </w:rPr>
            </w:pPr>
            <w:r>
              <w:rPr>
                <w:color w:val="auto"/>
                <w:highlight w:val="none"/>
              </w:rPr>
              <w:t>-1C</w:t>
            </w:r>
          </w:p>
        </w:tc>
        <w:tc>
          <w:tcPr>
            <w:tcW w:w="367" w:type="pct"/>
            <w:tcBorders>
              <w:tl2br w:val="nil"/>
              <w:tr2bl w:val="nil"/>
            </w:tcBorders>
            <w:vAlign w:val="center"/>
          </w:tcPr>
          <w:p w14:paraId="685745BB">
            <w:pPr>
              <w:pStyle w:val="41"/>
              <w:rPr>
                <w:color w:val="auto"/>
                <w:highlight w:val="none"/>
              </w:rPr>
            </w:pPr>
          </w:p>
        </w:tc>
        <w:tc>
          <w:tcPr>
            <w:tcW w:w="380" w:type="pct"/>
            <w:tcBorders>
              <w:tl2br w:val="nil"/>
              <w:tr2bl w:val="nil"/>
            </w:tcBorders>
            <w:vAlign w:val="center"/>
          </w:tcPr>
          <w:p w14:paraId="771B1569">
            <w:pPr>
              <w:pStyle w:val="41"/>
              <w:rPr>
                <w:color w:val="auto"/>
                <w:highlight w:val="none"/>
              </w:rPr>
            </w:pPr>
            <w:r>
              <w:rPr>
                <w:color w:val="auto"/>
                <w:highlight w:val="none"/>
              </w:rPr>
              <w:t>-1C</w:t>
            </w:r>
          </w:p>
        </w:tc>
        <w:tc>
          <w:tcPr>
            <w:tcW w:w="541" w:type="pct"/>
            <w:tcBorders>
              <w:tl2br w:val="nil"/>
              <w:tr2bl w:val="nil"/>
            </w:tcBorders>
            <w:vAlign w:val="center"/>
          </w:tcPr>
          <w:p w14:paraId="65114E5C">
            <w:pPr>
              <w:pStyle w:val="41"/>
              <w:rPr>
                <w:color w:val="auto"/>
                <w:highlight w:val="none"/>
              </w:rPr>
            </w:pPr>
            <w:r>
              <w:rPr>
                <w:color w:val="auto"/>
                <w:highlight w:val="none"/>
              </w:rPr>
              <w:t>-2C</w:t>
            </w:r>
          </w:p>
        </w:tc>
        <w:tc>
          <w:tcPr>
            <w:tcW w:w="451" w:type="pct"/>
            <w:tcBorders>
              <w:tl2br w:val="nil"/>
              <w:tr2bl w:val="nil"/>
            </w:tcBorders>
            <w:vAlign w:val="center"/>
          </w:tcPr>
          <w:p w14:paraId="63F80AF1">
            <w:pPr>
              <w:pStyle w:val="41"/>
              <w:rPr>
                <w:color w:val="auto"/>
                <w:highlight w:val="none"/>
              </w:rPr>
            </w:pPr>
            <w:r>
              <w:rPr>
                <w:color w:val="auto"/>
                <w:highlight w:val="none"/>
              </w:rPr>
              <w:t>-1C</w:t>
            </w:r>
          </w:p>
        </w:tc>
        <w:tc>
          <w:tcPr>
            <w:tcW w:w="356" w:type="pct"/>
            <w:tcBorders>
              <w:tl2br w:val="nil"/>
              <w:tr2bl w:val="nil"/>
            </w:tcBorders>
            <w:vAlign w:val="center"/>
          </w:tcPr>
          <w:p w14:paraId="3DC8B27E">
            <w:pPr>
              <w:pStyle w:val="41"/>
              <w:rPr>
                <w:color w:val="auto"/>
                <w:highlight w:val="none"/>
              </w:rPr>
            </w:pPr>
            <w:r>
              <w:rPr>
                <w:color w:val="auto"/>
                <w:highlight w:val="none"/>
              </w:rPr>
              <w:t>-1C</w:t>
            </w:r>
          </w:p>
        </w:tc>
        <w:tc>
          <w:tcPr>
            <w:tcW w:w="468" w:type="pct"/>
            <w:tcBorders>
              <w:tl2br w:val="nil"/>
              <w:tr2bl w:val="nil"/>
            </w:tcBorders>
            <w:vAlign w:val="center"/>
          </w:tcPr>
          <w:p w14:paraId="577457AD">
            <w:pPr>
              <w:pStyle w:val="41"/>
              <w:rPr>
                <w:color w:val="auto"/>
                <w:highlight w:val="none"/>
              </w:rPr>
            </w:pPr>
          </w:p>
        </w:tc>
        <w:tc>
          <w:tcPr>
            <w:tcW w:w="451" w:type="pct"/>
            <w:tcBorders>
              <w:tl2br w:val="nil"/>
              <w:tr2bl w:val="nil"/>
            </w:tcBorders>
            <w:vAlign w:val="center"/>
          </w:tcPr>
          <w:p w14:paraId="255461C3">
            <w:pPr>
              <w:pStyle w:val="41"/>
              <w:rPr>
                <w:color w:val="auto"/>
                <w:highlight w:val="none"/>
              </w:rPr>
            </w:pPr>
            <w:r>
              <w:rPr>
                <w:color w:val="auto"/>
                <w:highlight w:val="none"/>
              </w:rPr>
              <w:t>-1C</w:t>
            </w:r>
          </w:p>
        </w:tc>
      </w:tr>
      <w:tr w14:paraId="5BD6E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6" w:type="pct"/>
            <w:tcBorders>
              <w:tl2br w:val="nil"/>
              <w:tr2bl w:val="nil"/>
            </w:tcBorders>
            <w:vAlign w:val="center"/>
          </w:tcPr>
          <w:p w14:paraId="31CA99F4">
            <w:pPr>
              <w:pStyle w:val="41"/>
              <w:rPr>
                <w:color w:val="auto"/>
                <w:highlight w:val="none"/>
              </w:rPr>
            </w:pPr>
            <w:r>
              <w:rPr>
                <w:color w:val="auto"/>
                <w:highlight w:val="none"/>
              </w:rPr>
              <w:t>退</w:t>
            </w:r>
          </w:p>
          <w:p w14:paraId="4480F43E">
            <w:pPr>
              <w:pStyle w:val="41"/>
              <w:rPr>
                <w:color w:val="auto"/>
                <w:highlight w:val="none"/>
              </w:rPr>
            </w:pPr>
            <w:r>
              <w:rPr>
                <w:color w:val="auto"/>
                <w:highlight w:val="none"/>
              </w:rPr>
              <w:t>役</w:t>
            </w:r>
          </w:p>
          <w:p w14:paraId="2226B6C2">
            <w:pPr>
              <w:pStyle w:val="41"/>
              <w:rPr>
                <w:color w:val="auto"/>
                <w:highlight w:val="none"/>
              </w:rPr>
            </w:pPr>
            <w:r>
              <w:rPr>
                <w:color w:val="auto"/>
                <w:highlight w:val="none"/>
              </w:rPr>
              <w:t>期</w:t>
            </w:r>
          </w:p>
        </w:tc>
        <w:tc>
          <w:tcPr>
            <w:tcW w:w="554" w:type="pct"/>
            <w:tcBorders>
              <w:tl2br w:val="nil"/>
              <w:tr2bl w:val="nil"/>
            </w:tcBorders>
            <w:vAlign w:val="center"/>
          </w:tcPr>
          <w:p w14:paraId="423DE7D9">
            <w:pPr>
              <w:pStyle w:val="41"/>
              <w:rPr>
                <w:color w:val="auto"/>
                <w:highlight w:val="none"/>
              </w:rPr>
            </w:pPr>
            <w:r>
              <w:rPr>
                <w:color w:val="auto"/>
                <w:highlight w:val="none"/>
              </w:rPr>
              <w:t>生态恢复</w:t>
            </w:r>
          </w:p>
        </w:tc>
        <w:tc>
          <w:tcPr>
            <w:tcW w:w="451" w:type="pct"/>
            <w:tcBorders>
              <w:tl2br w:val="nil"/>
              <w:tr2bl w:val="nil"/>
            </w:tcBorders>
            <w:vAlign w:val="center"/>
          </w:tcPr>
          <w:p w14:paraId="5BF45296">
            <w:pPr>
              <w:pStyle w:val="41"/>
              <w:rPr>
                <w:color w:val="auto"/>
                <w:highlight w:val="none"/>
              </w:rPr>
            </w:pPr>
          </w:p>
        </w:tc>
        <w:tc>
          <w:tcPr>
            <w:tcW w:w="217" w:type="pct"/>
            <w:tcBorders>
              <w:tl2br w:val="nil"/>
              <w:tr2bl w:val="nil"/>
            </w:tcBorders>
            <w:vAlign w:val="center"/>
          </w:tcPr>
          <w:p w14:paraId="47112DC4">
            <w:pPr>
              <w:pStyle w:val="41"/>
              <w:rPr>
                <w:color w:val="auto"/>
                <w:highlight w:val="none"/>
              </w:rPr>
            </w:pPr>
          </w:p>
        </w:tc>
        <w:tc>
          <w:tcPr>
            <w:tcW w:w="361" w:type="pct"/>
            <w:tcBorders>
              <w:tl2br w:val="nil"/>
              <w:tr2bl w:val="nil"/>
            </w:tcBorders>
            <w:vAlign w:val="center"/>
          </w:tcPr>
          <w:p w14:paraId="791599E8">
            <w:pPr>
              <w:pStyle w:val="41"/>
              <w:rPr>
                <w:color w:val="auto"/>
                <w:highlight w:val="none"/>
              </w:rPr>
            </w:pPr>
          </w:p>
        </w:tc>
        <w:tc>
          <w:tcPr>
            <w:tcW w:w="367" w:type="pct"/>
            <w:tcBorders>
              <w:tl2br w:val="nil"/>
              <w:tr2bl w:val="nil"/>
            </w:tcBorders>
            <w:vAlign w:val="center"/>
          </w:tcPr>
          <w:p w14:paraId="4CBE5417">
            <w:pPr>
              <w:pStyle w:val="41"/>
              <w:rPr>
                <w:color w:val="auto"/>
                <w:highlight w:val="none"/>
              </w:rPr>
            </w:pPr>
          </w:p>
        </w:tc>
        <w:tc>
          <w:tcPr>
            <w:tcW w:w="380" w:type="pct"/>
            <w:tcBorders>
              <w:tl2br w:val="nil"/>
              <w:tr2bl w:val="nil"/>
            </w:tcBorders>
            <w:vAlign w:val="center"/>
          </w:tcPr>
          <w:p w14:paraId="3CACC51B">
            <w:pPr>
              <w:pStyle w:val="41"/>
              <w:rPr>
                <w:color w:val="auto"/>
                <w:highlight w:val="none"/>
              </w:rPr>
            </w:pPr>
            <w:r>
              <w:rPr>
                <w:color w:val="auto"/>
                <w:highlight w:val="none"/>
              </w:rPr>
              <w:t>+2C</w:t>
            </w:r>
          </w:p>
        </w:tc>
        <w:tc>
          <w:tcPr>
            <w:tcW w:w="541" w:type="pct"/>
            <w:tcBorders>
              <w:tl2br w:val="nil"/>
              <w:tr2bl w:val="nil"/>
            </w:tcBorders>
            <w:vAlign w:val="center"/>
          </w:tcPr>
          <w:p w14:paraId="4B1272FA">
            <w:pPr>
              <w:pStyle w:val="41"/>
              <w:rPr>
                <w:color w:val="auto"/>
                <w:highlight w:val="none"/>
              </w:rPr>
            </w:pPr>
            <w:r>
              <w:rPr>
                <w:color w:val="auto"/>
                <w:highlight w:val="none"/>
              </w:rPr>
              <w:t>+2C</w:t>
            </w:r>
          </w:p>
        </w:tc>
        <w:tc>
          <w:tcPr>
            <w:tcW w:w="451" w:type="pct"/>
            <w:tcBorders>
              <w:tl2br w:val="nil"/>
              <w:tr2bl w:val="nil"/>
            </w:tcBorders>
            <w:vAlign w:val="center"/>
          </w:tcPr>
          <w:p w14:paraId="1DD1B651">
            <w:pPr>
              <w:pStyle w:val="41"/>
              <w:rPr>
                <w:color w:val="auto"/>
                <w:highlight w:val="none"/>
              </w:rPr>
            </w:pPr>
          </w:p>
        </w:tc>
        <w:tc>
          <w:tcPr>
            <w:tcW w:w="356" w:type="pct"/>
            <w:tcBorders>
              <w:tl2br w:val="nil"/>
              <w:tr2bl w:val="nil"/>
            </w:tcBorders>
            <w:vAlign w:val="center"/>
          </w:tcPr>
          <w:p w14:paraId="114BFE92">
            <w:pPr>
              <w:pStyle w:val="41"/>
              <w:rPr>
                <w:color w:val="auto"/>
                <w:highlight w:val="none"/>
              </w:rPr>
            </w:pPr>
          </w:p>
        </w:tc>
        <w:tc>
          <w:tcPr>
            <w:tcW w:w="468" w:type="pct"/>
            <w:tcBorders>
              <w:tl2br w:val="nil"/>
              <w:tr2bl w:val="nil"/>
            </w:tcBorders>
            <w:vAlign w:val="center"/>
          </w:tcPr>
          <w:p w14:paraId="2B71E2E9">
            <w:pPr>
              <w:pStyle w:val="41"/>
              <w:rPr>
                <w:color w:val="auto"/>
                <w:highlight w:val="none"/>
              </w:rPr>
            </w:pPr>
            <w:r>
              <w:rPr>
                <w:color w:val="auto"/>
                <w:highlight w:val="none"/>
              </w:rPr>
              <w:t>+1C</w:t>
            </w:r>
          </w:p>
        </w:tc>
        <w:tc>
          <w:tcPr>
            <w:tcW w:w="451" w:type="pct"/>
            <w:tcBorders>
              <w:tl2br w:val="nil"/>
              <w:tr2bl w:val="nil"/>
            </w:tcBorders>
            <w:vAlign w:val="center"/>
          </w:tcPr>
          <w:p w14:paraId="4B1ABD24">
            <w:pPr>
              <w:pStyle w:val="41"/>
              <w:rPr>
                <w:color w:val="auto"/>
                <w:highlight w:val="none"/>
              </w:rPr>
            </w:pPr>
          </w:p>
        </w:tc>
      </w:tr>
      <w:tr w14:paraId="401109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12"/>
            <w:tcBorders>
              <w:tl2br w:val="nil"/>
              <w:tr2bl w:val="nil"/>
            </w:tcBorders>
            <w:vAlign w:val="center"/>
          </w:tcPr>
          <w:p w14:paraId="5E4CB6E3">
            <w:pPr>
              <w:pStyle w:val="41"/>
              <w:rPr>
                <w:color w:val="auto"/>
                <w:highlight w:val="none"/>
              </w:rPr>
            </w:pPr>
            <w:r>
              <w:rPr>
                <w:color w:val="auto"/>
                <w:highlight w:val="none"/>
              </w:rPr>
              <w:t>备注：1、表中“＋”表示有利影响，“－”表示不利影响；2、表中数字表示影响的相对程度，“1”表示影响较小，“2”表示影响中等，“3”表示影响较大；3、表中“D”表示短期影响，“C”表示长期影响。</w:t>
            </w:r>
          </w:p>
        </w:tc>
      </w:tr>
    </w:tbl>
    <w:p w14:paraId="68B176BA">
      <w:pPr>
        <w:pStyle w:val="42"/>
        <w:rPr>
          <w:rFonts w:hint="default"/>
          <w:color w:val="auto"/>
          <w:highlight w:val="none"/>
        </w:rPr>
      </w:pPr>
      <w:bookmarkStart w:id="155" w:name="_Toc11606"/>
      <w:bookmarkStart w:id="156" w:name="_Toc31497"/>
      <w:bookmarkStart w:id="157" w:name="_Toc24816"/>
      <w:bookmarkStart w:id="158" w:name="_Toc26910"/>
      <w:bookmarkStart w:id="159" w:name="_Toc5739"/>
      <w:r>
        <w:rPr>
          <w:rFonts w:hint="default"/>
          <w:color w:val="auto"/>
          <w:highlight w:val="none"/>
        </w:rPr>
        <w:t>主要污染因子筛选</w:t>
      </w:r>
      <w:bookmarkEnd w:id="155"/>
      <w:bookmarkEnd w:id="156"/>
      <w:bookmarkEnd w:id="157"/>
      <w:bookmarkEnd w:id="158"/>
      <w:bookmarkEnd w:id="159"/>
    </w:p>
    <w:p w14:paraId="7B24B06F">
      <w:pPr>
        <w:pStyle w:val="3"/>
        <w:ind w:firstLine="480"/>
        <w:rPr>
          <w:color w:val="auto"/>
          <w:highlight w:val="none"/>
        </w:rPr>
      </w:pPr>
      <w:r>
        <w:rPr>
          <w:color w:val="auto"/>
          <w:highlight w:val="none"/>
        </w:rPr>
        <w:t>根据项目特点、污染物排放特征及所在地区环境质量状况，将最终对环境影响较大的污染因子作为主要污染因子，见表2.3-2。</w:t>
      </w:r>
    </w:p>
    <w:p w14:paraId="6D8D1ACB">
      <w:pPr>
        <w:pStyle w:val="40"/>
        <w:spacing w:before="24" w:after="24"/>
        <w:rPr>
          <w:color w:val="auto"/>
          <w:highlight w:val="none"/>
        </w:rPr>
      </w:pPr>
      <w:r>
        <w:rPr>
          <w:color w:val="auto"/>
          <w:highlight w:val="none"/>
        </w:rPr>
        <w:t>表2.3-2</w:t>
      </w:r>
      <w:r>
        <w:rPr>
          <w:rFonts w:hint="eastAsia"/>
          <w:color w:val="auto"/>
          <w:highlight w:val="none"/>
        </w:rPr>
        <w:t xml:space="preserve">      </w:t>
      </w:r>
      <w:r>
        <w:rPr>
          <w:color w:val="auto"/>
          <w:highlight w:val="none"/>
        </w:rPr>
        <w:t>本项目主要污染因子识别</w:t>
      </w:r>
    </w:p>
    <w:tbl>
      <w:tblPr>
        <w:tblStyle w:val="25"/>
        <w:tblW w:w="5003"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373"/>
        <w:gridCol w:w="4019"/>
        <w:gridCol w:w="2937"/>
      </w:tblGrid>
      <w:tr w14:paraId="3497A8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1369" w:type="dxa"/>
            <w:tcBorders>
              <w:tl2br w:val="nil"/>
              <w:tr2bl w:val="nil"/>
            </w:tcBorders>
            <w:vAlign w:val="center"/>
          </w:tcPr>
          <w:p w14:paraId="5949DC60">
            <w:pPr>
              <w:pStyle w:val="41"/>
              <w:rPr>
                <w:color w:val="auto"/>
                <w:highlight w:val="none"/>
              </w:rPr>
            </w:pPr>
            <w:r>
              <w:rPr>
                <w:color w:val="auto"/>
                <w:highlight w:val="none"/>
              </w:rPr>
              <w:t>环境要素</w:t>
            </w:r>
          </w:p>
        </w:tc>
        <w:tc>
          <w:tcPr>
            <w:tcW w:w="4008" w:type="dxa"/>
            <w:tcBorders>
              <w:tl2br w:val="nil"/>
              <w:tr2bl w:val="nil"/>
            </w:tcBorders>
            <w:vAlign w:val="center"/>
          </w:tcPr>
          <w:p w14:paraId="019827D2">
            <w:pPr>
              <w:pStyle w:val="41"/>
              <w:rPr>
                <w:color w:val="auto"/>
                <w:highlight w:val="none"/>
              </w:rPr>
            </w:pPr>
            <w:r>
              <w:rPr>
                <w:color w:val="auto"/>
                <w:highlight w:val="none"/>
              </w:rPr>
              <w:t>现状评价因子</w:t>
            </w:r>
          </w:p>
        </w:tc>
        <w:tc>
          <w:tcPr>
            <w:tcW w:w="2929" w:type="dxa"/>
            <w:tcBorders>
              <w:tl2br w:val="nil"/>
              <w:tr2bl w:val="nil"/>
            </w:tcBorders>
            <w:vAlign w:val="center"/>
          </w:tcPr>
          <w:p w14:paraId="453C47B4">
            <w:pPr>
              <w:pStyle w:val="41"/>
              <w:rPr>
                <w:color w:val="auto"/>
                <w:highlight w:val="none"/>
              </w:rPr>
            </w:pPr>
            <w:r>
              <w:rPr>
                <w:color w:val="auto"/>
                <w:highlight w:val="none"/>
              </w:rPr>
              <w:t>影响评价因子</w:t>
            </w:r>
          </w:p>
        </w:tc>
      </w:tr>
      <w:tr w14:paraId="23799F5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1369" w:type="dxa"/>
            <w:tcBorders>
              <w:tl2br w:val="nil"/>
              <w:tr2bl w:val="nil"/>
            </w:tcBorders>
            <w:vAlign w:val="center"/>
          </w:tcPr>
          <w:p w14:paraId="39364835">
            <w:pPr>
              <w:pStyle w:val="41"/>
              <w:rPr>
                <w:color w:val="auto"/>
                <w:highlight w:val="none"/>
              </w:rPr>
            </w:pPr>
            <w:r>
              <w:rPr>
                <w:color w:val="auto"/>
                <w:highlight w:val="none"/>
              </w:rPr>
              <w:t>环境空气</w:t>
            </w:r>
          </w:p>
        </w:tc>
        <w:tc>
          <w:tcPr>
            <w:tcW w:w="4008" w:type="dxa"/>
            <w:tcBorders>
              <w:tl2br w:val="nil"/>
              <w:tr2bl w:val="nil"/>
            </w:tcBorders>
            <w:vAlign w:val="center"/>
          </w:tcPr>
          <w:p w14:paraId="727CE0E2">
            <w:pPr>
              <w:pStyle w:val="41"/>
              <w:rPr>
                <w:color w:val="auto"/>
                <w:highlight w:val="none"/>
              </w:rPr>
            </w:pPr>
            <w:r>
              <w:rPr>
                <w:color w:val="auto"/>
                <w:highlight w:val="none"/>
              </w:rPr>
              <w:t>SO</w:t>
            </w:r>
            <w:r>
              <w:rPr>
                <w:color w:val="auto"/>
                <w:highlight w:val="none"/>
                <w:vertAlign w:val="subscript"/>
              </w:rPr>
              <w:t>2</w:t>
            </w:r>
            <w:r>
              <w:rPr>
                <w:color w:val="auto"/>
                <w:highlight w:val="none"/>
              </w:rPr>
              <w:t>、NO</w:t>
            </w:r>
            <w:r>
              <w:rPr>
                <w:color w:val="auto"/>
                <w:highlight w:val="none"/>
                <w:vertAlign w:val="subscript"/>
              </w:rPr>
              <w:t>2</w:t>
            </w:r>
            <w:r>
              <w:rPr>
                <w:color w:val="auto"/>
                <w:highlight w:val="none"/>
              </w:rPr>
              <w:t>、PM</w:t>
            </w:r>
            <w:r>
              <w:rPr>
                <w:color w:val="auto"/>
                <w:highlight w:val="none"/>
                <w:vertAlign w:val="subscript"/>
              </w:rPr>
              <w:t>10</w:t>
            </w:r>
            <w:r>
              <w:rPr>
                <w:color w:val="auto"/>
                <w:highlight w:val="none"/>
              </w:rPr>
              <w:t>、PM</w:t>
            </w:r>
            <w:r>
              <w:rPr>
                <w:color w:val="auto"/>
                <w:highlight w:val="none"/>
                <w:vertAlign w:val="subscript"/>
              </w:rPr>
              <w:t>2.5</w:t>
            </w:r>
            <w:r>
              <w:rPr>
                <w:color w:val="auto"/>
                <w:highlight w:val="none"/>
              </w:rPr>
              <w:t>、CO、O</w:t>
            </w:r>
            <w:r>
              <w:rPr>
                <w:color w:val="auto"/>
                <w:highlight w:val="none"/>
                <w:vertAlign w:val="subscript"/>
              </w:rPr>
              <w:t>3</w:t>
            </w:r>
            <w:r>
              <w:rPr>
                <w:color w:val="auto"/>
                <w:highlight w:val="none"/>
              </w:rPr>
              <w:t>、TSP、</w:t>
            </w:r>
          </w:p>
        </w:tc>
        <w:tc>
          <w:tcPr>
            <w:tcW w:w="2929" w:type="dxa"/>
            <w:tcBorders>
              <w:tl2br w:val="nil"/>
              <w:tr2bl w:val="nil"/>
            </w:tcBorders>
            <w:vAlign w:val="center"/>
          </w:tcPr>
          <w:p w14:paraId="3BCC30D1">
            <w:pPr>
              <w:pStyle w:val="41"/>
              <w:rPr>
                <w:rFonts w:hint="default" w:eastAsia="华文中宋"/>
                <w:color w:val="auto"/>
                <w:highlight w:val="none"/>
                <w:lang w:val="en-US" w:eastAsia="zh-CN"/>
              </w:rPr>
            </w:pPr>
            <w:r>
              <w:rPr>
                <w:color w:val="auto"/>
                <w:highlight w:val="none"/>
              </w:rPr>
              <w:t>二氧化硫、氮氧化物、颗粒物</w:t>
            </w:r>
            <w:r>
              <w:rPr>
                <w:rFonts w:hint="eastAsia"/>
                <w:color w:val="auto"/>
                <w:highlight w:val="none"/>
                <w:lang w:eastAsia="zh-CN"/>
              </w:rPr>
              <w:t>、</w:t>
            </w:r>
            <w:r>
              <w:rPr>
                <w:color w:val="auto"/>
                <w:highlight w:val="none"/>
              </w:rPr>
              <w:t>PM</w:t>
            </w:r>
            <w:r>
              <w:rPr>
                <w:rFonts w:hint="eastAsia"/>
                <w:color w:val="auto"/>
                <w:highlight w:val="none"/>
                <w:vertAlign w:val="subscript"/>
                <w:lang w:val="en-US" w:eastAsia="zh-CN"/>
              </w:rPr>
              <w:t>10</w:t>
            </w:r>
          </w:p>
        </w:tc>
      </w:tr>
      <w:tr w14:paraId="39B9A4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1369" w:type="dxa"/>
            <w:tcBorders>
              <w:tl2br w:val="nil"/>
              <w:tr2bl w:val="nil"/>
            </w:tcBorders>
            <w:vAlign w:val="center"/>
          </w:tcPr>
          <w:p w14:paraId="0BE379AC">
            <w:pPr>
              <w:pStyle w:val="41"/>
              <w:rPr>
                <w:color w:val="auto"/>
                <w:highlight w:val="none"/>
              </w:rPr>
            </w:pPr>
            <w:r>
              <w:rPr>
                <w:color w:val="auto"/>
                <w:highlight w:val="none"/>
              </w:rPr>
              <w:t>地下水环境</w:t>
            </w:r>
          </w:p>
        </w:tc>
        <w:tc>
          <w:tcPr>
            <w:tcW w:w="4008" w:type="dxa"/>
            <w:tcBorders>
              <w:tl2br w:val="nil"/>
              <w:tr2bl w:val="nil"/>
            </w:tcBorders>
            <w:vAlign w:val="center"/>
          </w:tcPr>
          <w:p w14:paraId="30BF6884">
            <w:pPr>
              <w:pStyle w:val="41"/>
              <w:rPr>
                <w:color w:val="auto"/>
                <w:highlight w:val="none"/>
              </w:rPr>
            </w:pPr>
            <w:r>
              <w:rPr>
                <w:color w:val="auto"/>
                <w:highlight w:val="none"/>
              </w:rPr>
              <w:t>pH、硝酸盐氮、氰化物、氟化物、亚硝酸盐氮、钙和镁总量（总硬度）、溶解性总固体、挥发酚、氨氮、六价铬、汞、铁、锰、铜、砷、锌、镉、铅、耗氧量、K</w:t>
            </w:r>
            <w:r>
              <w:rPr>
                <w:color w:val="auto"/>
                <w:highlight w:val="none"/>
                <w:vertAlign w:val="superscript"/>
              </w:rPr>
              <w:t>+</w:t>
            </w:r>
            <w:r>
              <w:rPr>
                <w:color w:val="auto"/>
                <w:highlight w:val="none"/>
              </w:rPr>
              <w:t>、Ca</w:t>
            </w:r>
            <w:r>
              <w:rPr>
                <w:color w:val="auto"/>
                <w:highlight w:val="none"/>
                <w:vertAlign w:val="superscript"/>
              </w:rPr>
              <w:t>2+</w:t>
            </w:r>
            <w:r>
              <w:rPr>
                <w:color w:val="auto"/>
                <w:highlight w:val="none"/>
              </w:rPr>
              <w:t>、Na</w:t>
            </w:r>
            <w:r>
              <w:rPr>
                <w:color w:val="auto"/>
                <w:highlight w:val="none"/>
                <w:vertAlign w:val="superscript"/>
              </w:rPr>
              <w:t>+</w:t>
            </w:r>
            <w:r>
              <w:rPr>
                <w:color w:val="auto"/>
                <w:highlight w:val="none"/>
              </w:rPr>
              <w:t>、Mg</w:t>
            </w:r>
            <w:r>
              <w:rPr>
                <w:color w:val="auto"/>
                <w:highlight w:val="none"/>
                <w:vertAlign w:val="superscript"/>
              </w:rPr>
              <w:t>2+</w:t>
            </w:r>
            <w:r>
              <w:rPr>
                <w:color w:val="auto"/>
                <w:highlight w:val="none"/>
              </w:rPr>
              <w:t>、SO</w:t>
            </w:r>
            <w:r>
              <w:rPr>
                <w:color w:val="auto"/>
                <w:highlight w:val="none"/>
                <w:vertAlign w:val="subscript"/>
              </w:rPr>
              <w:t>4</w:t>
            </w:r>
            <w:r>
              <w:rPr>
                <w:color w:val="auto"/>
                <w:highlight w:val="none"/>
                <w:vertAlign w:val="superscript"/>
              </w:rPr>
              <w:t>2-</w:t>
            </w:r>
            <w:r>
              <w:rPr>
                <w:color w:val="auto"/>
                <w:highlight w:val="none"/>
              </w:rPr>
              <w:t>、Cl</w:t>
            </w:r>
            <w:r>
              <w:rPr>
                <w:color w:val="auto"/>
                <w:highlight w:val="none"/>
                <w:vertAlign w:val="superscript"/>
              </w:rPr>
              <w:t>-</w:t>
            </w:r>
            <w:r>
              <w:rPr>
                <w:color w:val="auto"/>
                <w:highlight w:val="none"/>
              </w:rPr>
              <w:t>、碳酸根、重碳酸根、</w:t>
            </w:r>
          </w:p>
          <w:p w14:paraId="3A197029">
            <w:pPr>
              <w:pStyle w:val="41"/>
              <w:rPr>
                <w:color w:val="auto"/>
                <w:highlight w:val="none"/>
              </w:rPr>
            </w:pPr>
            <w:r>
              <w:rPr>
                <w:color w:val="auto"/>
                <w:highlight w:val="none"/>
              </w:rPr>
              <w:t>硫化物等</w:t>
            </w:r>
          </w:p>
        </w:tc>
        <w:tc>
          <w:tcPr>
            <w:tcW w:w="2929" w:type="dxa"/>
            <w:tcBorders>
              <w:tl2br w:val="nil"/>
              <w:tr2bl w:val="nil"/>
            </w:tcBorders>
            <w:vAlign w:val="center"/>
          </w:tcPr>
          <w:p w14:paraId="7CF0B76C">
            <w:pPr>
              <w:pStyle w:val="41"/>
              <w:rPr>
                <w:rFonts w:hint="eastAsia" w:eastAsia="华文中宋"/>
                <w:color w:val="auto"/>
                <w:highlight w:val="none"/>
                <w:lang w:eastAsia="zh-CN"/>
              </w:rPr>
            </w:pPr>
            <w:r>
              <w:rPr>
                <w:rFonts w:hint="eastAsia"/>
                <w:color w:val="auto"/>
                <w:highlight w:val="none"/>
                <w:lang w:eastAsia="zh-CN"/>
              </w:rPr>
              <w:t>铅、镍</w:t>
            </w:r>
            <w:r>
              <w:rPr>
                <w:rFonts w:hint="eastAsia"/>
                <w:color w:val="auto"/>
                <w:highlight w:val="none"/>
                <w:lang w:eastAsia="zh-CN"/>
              </w:rPr>
              <w:t>、钒、钛、钴、铬。</w:t>
            </w:r>
          </w:p>
        </w:tc>
      </w:tr>
      <w:tr w14:paraId="1D36BA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1369" w:type="dxa"/>
            <w:tcBorders>
              <w:tl2br w:val="nil"/>
              <w:tr2bl w:val="nil"/>
            </w:tcBorders>
            <w:vAlign w:val="center"/>
          </w:tcPr>
          <w:p w14:paraId="21FA85F4">
            <w:pPr>
              <w:pStyle w:val="41"/>
              <w:rPr>
                <w:color w:val="auto"/>
                <w:highlight w:val="none"/>
              </w:rPr>
            </w:pPr>
            <w:r>
              <w:rPr>
                <w:color w:val="auto"/>
                <w:highlight w:val="none"/>
              </w:rPr>
              <w:t>噪声</w:t>
            </w:r>
          </w:p>
        </w:tc>
        <w:tc>
          <w:tcPr>
            <w:tcW w:w="4008" w:type="dxa"/>
            <w:tcBorders>
              <w:tl2br w:val="nil"/>
              <w:tr2bl w:val="nil"/>
            </w:tcBorders>
            <w:vAlign w:val="center"/>
          </w:tcPr>
          <w:p w14:paraId="22F19C89">
            <w:pPr>
              <w:pStyle w:val="41"/>
              <w:rPr>
                <w:color w:val="auto"/>
                <w:highlight w:val="none"/>
              </w:rPr>
            </w:pPr>
            <w:r>
              <w:rPr>
                <w:color w:val="auto"/>
                <w:highlight w:val="none"/>
              </w:rPr>
              <w:t>连续等效A声级</w:t>
            </w:r>
          </w:p>
        </w:tc>
        <w:tc>
          <w:tcPr>
            <w:tcW w:w="2929" w:type="dxa"/>
            <w:tcBorders>
              <w:tl2br w:val="nil"/>
              <w:tr2bl w:val="nil"/>
            </w:tcBorders>
            <w:vAlign w:val="center"/>
          </w:tcPr>
          <w:p w14:paraId="2A0F04C5">
            <w:pPr>
              <w:pStyle w:val="41"/>
              <w:rPr>
                <w:color w:val="auto"/>
                <w:highlight w:val="none"/>
              </w:rPr>
            </w:pPr>
            <w:r>
              <w:rPr>
                <w:color w:val="auto"/>
                <w:highlight w:val="none"/>
              </w:rPr>
              <w:t>连续等效A声级</w:t>
            </w:r>
          </w:p>
        </w:tc>
      </w:tr>
      <w:tr w14:paraId="582F47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1369" w:type="dxa"/>
            <w:tcBorders>
              <w:tl2br w:val="nil"/>
              <w:tr2bl w:val="nil"/>
            </w:tcBorders>
            <w:vAlign w:val="center"/>
          </w:tcPr>
          <w:p w14:paraId="57A19942">
            <w:pPr>
              <w:pStyle w:val="41"/>
              <w:rPr>
                <w:color w:val="auto"/>
                <w:highlight w:val="none"/>
              </w:rPr>
            </w:pPr>
            <w:r>
              <w:rPr>
                <w:color w:val="auto"/>
                <w:highlight w:val="none"/>
              </w:rPr>
              <w:t>固体废物</w:t>
            </w:r>
          </w:p>
        </w:tc>
        <w:tc>
          <w:tcPr>
            <w:tcW w:w="4008" w:type="dxa"/>
            <w:tcBorders>
              <w:tl2br w:val="nil"/>
              <w:tr2bl w:val="nil"/>
            </w:tcBorders>
            <w:vAlign w:val="center"/>
          </w:tcPr>
          <w:p w14:paraId="6D8167B8">
            <w:pPr>
              <w:pStyle w:val="41"/>
              <w:rPr>
                <w:color w:val="auto"/>
                <w:highlight w:val="none"/>
              </w:rPr>
            </w:pPr>
            <w:r>
              <w:rPr>
                <w:color w:val="auto"/>
                <w:highlight w:val="none"/>
              </w:rPr>
              <w:t>/</w:t>
            </w:r>
          </w:p>
        </w:tc>
        <w:tc>
          <w:tcPr>
            <w:tcW w:w="2929" w:type="dxa"/>
            <w:tcBorders>
              <w:tl2br w:val="nil"/>
              <w:tr2bl w:val="nil"/>
            </w:tcBorders>
            <w:vAlign w:val="center"/>
          </w:tcPr>
          <w:p w14:paraId="1874E985">
            <w:pPr>
              <w:pStyle w:val="41"/>
              <w:rPr>
                <w:color w:val="auto"/>
                <w:highlight w:val="none"/>
              </w:rPr>
            </w:pPr>
            <w:r>
              <w:rPr>
                <w:color w:val="auto"/>
                <w:highlight w:val="none"/>
              </w:rPr>
              <w:t>尾矿、废石、废矿物油、</w:t>
            </w:r>
            <w:r>
              <w:rPr>
                <w:rFonts w:hint="eastAsia"/>
                <w:color w:val="auto"/>
                <w:highlight w:val="none"/>
              </w:rPr>
              <w:t>炉灰渣、脱硫石膏</w:t>
            </w:r>
            <w:r>
              <w:rPr>
                <w:color w:val="auto"/>
                <w:highlight w:val="none"/>
              </w:rPr>
              <w:t>、生活垃圾等</w:t>
            </w:r>
          </w:p>
        </w:tc>
      </w:tr>
      <w:tr w14:paraId="2D9131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1369" w:type="dxa"/>
            <w:tcBorders>
              <w:tl2br w:val="nil"/>
              <w:tr2bl w:val="nil"/>
            </w:tcBorders>
            <w:vAlign w:val="center"/>
          </w:tcPr>
          <w:p w14:paraId="28D86A20">
            <w:pPr>
              <w:pStyle w:val="41"/>
              <w:rPr>
                <w:color w:val="auto"/>
                <w:highlight w:val="none"/>
              </w:rPr>
            </w:pPr>
            <w:r>
              <w:rPr>
                <w:color w:val="auto"/>
                <w:highlight w:val="none"/>
              </w:rPr>
              <w:t>土壤环境</w:t>
            </w:r>
          </w:p>
        </w:tc>
        <w:tc>
          <w:tcPr>
            <w:tcW w:w="4008" w:type="dxa"/>
            <w:tcBorders>
              <w:tl2br w:val="nil"/>
              <w:tr2bl w:val="nil"/>
            </w:tcBorders>
            <w:vAlign w:val="center"/>
          </w:tcPr>
          <w:p w14:paraId="116C242C">
            <w:pPr>
              <w:pStyle w:val="41"/>
              <w:rPr>
                <w:color w:val="auto"/>
                <w:highlight w:val="none"/>
              </w:rPr>
            </w:pPr>
            <w:r>
              <w:rPr>
                <w:color w:val="auto"/>
                <w:highlight w:val="none"/>
              </w:rPr>
              <w:t>pH、砷、汞、镉、铅、镍、锌等</w:t>
            </w:r>
          </w:p>
        </w:tc>
        <w:tc>
          <w:tcPr>
            <w:tcW w:w="2929" w:type="dxa"/>
            <w:tcBorders>
              <w:tl2br w:val="nil"/>
              <w:tr2bl w:val="nil"/>
            </w:tcBorders>
            <w:vAlign w:val="center"/>
          </w:tcPr>
          <w:p w14:paraId="7CB45797">
            <w:pPr>
              <w:pStyle w:val="41"/>
              <w:rPr>
                <w:rFonts w:hint="eastAsia" w:eastAsia="华文中宋"/>
                <w:color w:val="auto"/>
                <w:highlight w:val="none"/>
                <w:lang w:eastAsia="zh-CN"/>
              </w:rPr>
            </w:pPr>
            <w:r>
              <w:rPr>
                <w:rFonts w:hint="eastAsia"/>
                <w:color w:val="auto"/>
                <w:highlight w:val="none"/>
                <w:lang w:eastAsia="zh-CN"/>
              </w:rPr>
              <w:t>铅、镍、锌</w:t>
            </w:r>
            <w:r>
              <w:rPr>
                <w:rFonts w:hint="eastAsia"/>
                <w:color w:val="auto"/>
                <w:highlight w:val="none"/>
                <w:lang w:eastAsia="zh-CN"/>
              </w:rPr>
              <w:t>、钒、钛、钴、铬</w:t>
            </w:r>
          </w:p>
        </w:tc>
      </w:tr>
      <w:tr w14:paraId="7001DC4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1369" w:type="dxa"/>
            <w:tcBorders>
              <w:tl2br w:val="nil"/>
              <w:tr2bl w:val="nil"/>
            </w:tcBorders>
            <w:vAlign w:val="center"/>
          </w:tcPr>
          <w:p w14:paraId="36163014">
            <w:pPr>
              <w:pStyle w:val="41"/>
              <w:rPr>
                <w:color w:val="auto"/>
                <w:highlight w:val="none"/>
              </w:rPr>
            </w:pPr>
            <w:r>
              <w:rPr>
                <w:color w:val="auto"/>
                <w:highlight w:val="none"/>
              </w:rPr>
              <w:t>环境风险</w:t>
            </w:r>
          </w:p>
        </w:tc>
        <w:tc>
          <w:tcPr>
            <w:tcW w:w="4008" w:type="dxa"/>
            <w:tcBorders>
              <w:tl2br w:val="nil"/>
              <w:tr2bl w:val="nil"/>
            </w:tcBorders>
            <w:vAlign w:val="center"/>
          </w:tcPr>
          <w:p w14:paraId="0C3F437D">
            <w:pPr>
              <w:pStyle w:val="41"/>
              <w:rPr>
                <w:color w:val="auto"/>
                <w:highlight w:val="none"/>
              </w:rPr>
            </w:pPr>
            <w:r>
              <w:rPr>
                <w:color w:val="auto"/>
                <w:highlight w:val="none"/>
              </w:rPr>
              <w:t>/</w:t>
            </w:r>
          </w:p>
        </w:tc>
        <w:tc>
          <w:tcPr>
            <w:tcW w:w="2929" w:type="dxa"/>
            <w:tcBorders>
              <w:tl2br w:val="nil"/>
              <w:tr2bl w:val="nil"/>
            </w:tcBorders>
            <w:vAlign w:val="center"/>
          </w:tcPr>
          <w:p w14:paraId="720CCC2D">
            <w:pPr>
              <w:pStyle w:val="41"/>
              <w:rPr>
                <w:color w:val="auto"/>
                <w:highlight w:val="none"/>
              </w:rPr>
            </w:pPr>
            <w:r>
              <w:rPr>
                <w:color w:val="auto"/>
                <w:highlight w:val="none"/>
              </w:rPr>
              <w:t>尾矿库溃坝、渗漏、管道破裂</w:t>
            </w:r>
            <w:r>
              <w:rPr>
                <w:rFonts w:hint="eastAsia"/>
                <w:color w:val="auto"/>
                <w:highlight w:val="none"/>
                <w:lang w:eastAsia="zh-CN"/>
              </w:rPr>
              <w:t>、</w:t>
            </w:r>
            <w:r>
              <w:rPr>
                <w:color w:val="auto"/>
                <w:highlight w:val="none"/>
              </w:rPr>
              <w:t>泄漏事故</w:t>
            </w:r>
          </w:p>
        </w:tc>
      </w:tr>
      <w:tr w14:paraId="2E38DA9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1369" w:type="dxa"/>
            <w:tcBorders>
              <w:tl2br w:val="nil"/>
              <w:tr2bl w:val="nil"/>
            </w:tcBorders>
            <w:vAlign w:val="center"/>
          </w:tcPr>
          <w:p w14:paraId="126C4213">
            <w:pPr>
              <w:pStyle w:val="41"/>
              <w:rPr>
                <w:color w:val="auto"/>
                <w:highlight w:val="none"/>
              </w:rPr>
            </w:pPr>
            <w:r>
              <w:rPr>
                <w:color w:val="auto"/>
                <w:highlight w:val="none"/>
              </w:rPr>
              <w:t>生态环境</w:t>
            </w:r>
          </w:p>
        </w:tc>
        <w:tc>
          <w:tcPr>
            <w:tcW w:w="4008" w:type="dxa"/>
            <w:tcBorders>
              <w:tl2br w:val="nil"/>
              <w:tr2bl w:val="nil"/>
            </w:tcBorders>
            <w:vAlign w:val="center"/>
          </w:tcPr>
          <w:p w14:paraId="5E2F81E2">
            <w:pPr>
              <w:pStyle w:val="41"/>
              <w:rPr>
                <w:color w:val="auto"/>
                <w:highlight w:val="none"/>
              </w:rPr>
            </w:pPr>
            <w:r>
              <w:rPr>
                <w:color w:val="auto"/>
                <w:highlight w:val="none"/>
                <w:lang w:val="zh-CN"/>
              </w:rPr>
              <w:t>植被类型、土壤类型、土地利用现状</w:t>
            </w:r>
          </w:p>
        </w:tc>
        <w:tc>
          <w:tcPr>
            <w:tcW w:w="2929" w:type="dxa"/>
            <w:tcBorders>
              <w:tl2br w:val="nil"/>
              <w:tr2bl w:val="nil"/>
            </w:tcBorders>
            <w:vAlign w:val="center"/>
          </w:tcPr>
          <w:p w14:paraId="5F9690AB">
            <w:pPr>
              <w:pStyle w:val="41"/>
              <w:rPr>
                <w:color w:val="auto"/>
                <w:highlight w:val="none"/>
              </w:rPr>
            </w:pPr>
            <w:r>
              <w:rPr>
                <w:color w:val="auto"/>
                <w:highlight w:val="none"/>
                <w:lang w:val="zh-CN"/>
              </w:rPr>
              <w:t>植被破坏、土地硬化、景观环境、水土流失等</w:t>
            </w:r>
          </w:p>
        </w:tc>
      </w:tr>
    </w:tbl>
    <w:p w14:paraId="5626D754">
      <w:pPr>
        <w:pStyle w:val="39"/>
        <w:rPr>
          <w:rFonts w:hint="default"/>
          <w:color w:val="auto"/>
          <w:highlight w:val="none"/>
        </w:rPr>
      </w:pPr>
      <w:bookmarkStart w:id="160" w:name="_Toc4108"/>
      <w:bookmarkStart w:id="161" w:name="_Toc1741"/>
      <w:r>
        <w:rPr>
          <w:rFonts w:hint="default"/>
          <w:color w:val="auto"/>
          <w:highlight w:val="none"/>
        </w:rPr>
        <w:t>环境功能区划及评价标准</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60"/>
      <w:bookmarkEnd w:id="161"/>
    </w:p>
    <w:p w14:paraId="2B1F90C0">
      <w:pPr>
        <w:pStyle w:val="42"/>
        <w:rPr>
          <w:rFonts w:hint="default"/>
          <w:color w:val="auto"/>
          <w:highlight w:val="none"/>
        </w:rPr>
      </w:pPr>
      <w:r>
        <w:rPr>
          <w:rFonts w:hint="default"/>
          <w:color w:val="auto"/>
          <w:highlight w:val="none"/>
        </w:rPr>
        <w:t>环境功能区划</w:t>
      </w:r>
    </w:p>
    <w:p w14:paraId="7500EA6B">
      <w:pPr>
        <w:pStyle w:val="3"/>
        <w:ind w:firstLine="480"/>
        <w:rPr>
          <w:color w:val="auto"/>
          <w:highlight w:val="none"/>
        </w:rPr>
      </w:pPr>
      <w:r>
        <w:rPr>
          <w:color w:val="auto"/>
          <w:highlight w:val="none"/>
        </w:rPr>
        <w:t>（1）环境空气</w:t>
      </w:r>
    </w:p>
    <w:p w14:paraId="3F2DEE74">
      <w:pPr>
        <w:pStyle w:val="3"/>
        <w:ind w:firstLine="480"/>
        <w:rPr>
          <w:color w:val="auto"/>
          <w:highlight w:val="none"/>
        </w:rPr>
      </w:pPr>
      <w:r>
        <w:rPr>
          <w:color w:val="auto"/>
          <w:highlight w:val="none"/>
        </w:rPr>
        <w:t>根据《新疆维吾尔自治区环境空气质量功能区划》，项目所在地环境空气为二类区。</w:t>
      </w:r>
    </w:p>
    <w:p w14:paraId="60219B0D">
      <w:pPr>
        <w:pStyle w:val="3"/>
        <w:ind w:firstLine="480"/>
        <w:rPr>
          <w:color w:val="auto"/>
          <w:highlight w:val="none"/>
        </w:rPr>
      </w:pPr>
      <w:r>
        <w:rPr>
          <w:color w:val="auto"/>
          <w:highlight w:val="none"/>
        </w:rPr>
        <w:t>（2）水环境</w:t>
      </w:r>
    </w:p>
    <w:p w14:paraId="0446236F">
      <w:pPr>
        <w:pStyle w:val="3"/>
        <w:ind w:firstLine="480"/>
        <w:rPr>
          <w:color w:val="auto"/>
          <w:highlight w:val="none"/>
        </w:rPr>
      </w:pPr>
      <w:r>
        <w:rPr>
          <w:color w:val="auto"/>
          <w:highlight w:val="none"/>
        </w:rPr>
        <w:t>项目区域地下水属于《地下水质量标准》（GB/T14848-2017）Ⅲ类功能区。</w:t>
      </w:r>
    </w:p>
    <w:p w14:paraId="11CA0769">
      <w:pPr>
        <w:pStyle w:val="3"/>
        <w:ind w:firstLine="480"/>
        <w:rPr>
          <w:color w:val="auto"/>
          <w:highlight w:val="none"/>
        </w:rPr>
      </w:pPr>
      <w:r>
        <w:rPr>
          <w:color w:val="auto"/>
          <w:highlight w:val="none"/>
        </w:rPr>
        <w:t>（3）地表水功能区划</w:t>
      </w:r>
    </w:p>
    <w:p w14:paraId="0E8AEF76">
      <w:pPr>
        <w:pStyle w:val="3"/>
        <w:ind w:firstLine="480"/>
        <w:rPr>
          <w:color w:val="auto"/>
          <w:highlight w:val="none"/>
        </w:rPr>
      </w:pPr>
      <w:r>
        <w:rPr>
          <w:rFonts w:hint="eastAsia"/>
          <w:color w:val="auto"/>
          <w:highlight w:val="none"/>
        </w:rPr>
        <w:t>项目区内无地表水体，距离项目区最近的地表水体为</w:t>
      </w:r>
      <w:r>
        <w:rPr>
          <w:color w:val="auto"/>
          <w:highlight w:val="none"/>
        </w:rPr>
        <w:t>项目区西南侧</w:t>
      </w:r>
      <w:r>
        <w:rPr>
          <w:rFonts w:hint="eastAsia"/>
          <w:color w:val="auto"/>
          <w:highlight w:val="none"/>
        </w:rPr>
        <w:t>0.5</w:t>
      </w:r>
      <w:r>
        <w:rPr>
          <w:color w:val="auto"/>
          <w:highlight w:val="none"/>
        </w:rPr>
        <w:t>km为阿亚克苏洪木河，未列入《新疆维吾尔自治区水功能区划</w:t>
      </w:r>
      <w:r>
        <w:rPr>
          <w:rFonts w:hint="eastAsia"/>
          <w:color w:val="auto"/>
          <w:highlight w:val="none"/>
          <w:lang w:eastAsia="zh-CN"/>
        </w:rPr>
        <w:t>》《</w:t>
      </w:r>
      <w:r>
        <w:rPr>
          <w:color w:val="auto"/>
          <w:highlight w:val="none"/>
        </w:rPr>
        <w:t>新疆水环境功能区划》。</w:t>
      </w:r>
      <w:r>
        <w:rPr>
          <w:rFonts w:hint="eastAsia"/>
          <w:color w:val="auto"/>
          <w:highlight w:val="none"/>
        </w:rPr>
        <w:t>根据原有环评报告，该河执行</w:t>
      </w:r>
      <w:r>
        <w:rPr>
          <w:color w:val="auto"/>
          <w:highlight w:val="none"/>
        </w:rPr>
        <w:t>《地表水环境质量标准》（GB3838-2002）Ⅱ类标准。</w:t>
      </w:r>
    </w:p>
    <w:p w14:paraId="03112AB5">
      <w:pPr>
        <w:pStyle w:val="3"/>
        <w:ind w:firstLine="480"/>
        <w:rPr>
          <w:color w:val="auto"/>
          <w:highlight w:val="none"/>
        </w:rPr>
      </w:pPr>
      <w:r>
        <w:rPr>
          <w:color w:val="auto"/>
          <w:highlight w:val="none"/>
        </w:rPr>
        <w:t>（</w:t>
      </w:r>
      <w:r>
        <w:rPr>
          <w:rFonts w:hint="eastAsia"/>
          <w:color w:val="auto"/>
          <w:highlight w:val="none"/>
          <w:lang w:val="en-US" w:eastAsia="zh-CN"/>
        </w:rPr>
        <w:t>4</w:t>
      </w:r>
      <w:r>
        <w:rPr>
          <w:color w:val="auto"/>
          <w:highlight w:val="none"/>
        </w:rPr>
        <w:t>）声环境</w:t>
      </w:r>
    </w:p>
    <w:p w14:paraId="44A01501">
      <w:pPr>
        <w:pStyle w:val="3"/>
        <w:ind w:firstLine="480"/>
        <w:rPr>
          <w:color w:val="auto"/>
          <w:highlight w:val="none"/>
        </w:rPr>
      </w:pPr>
      <w:r>
        <w:rPr>
          <w:rFonts w:hint="eastAsia"/>
          <w:color w:val="auto"/>
          <w:highlight w:val="none"/>
        </w:rPr>
        <w:t>项目周围200m范围内无声环境敏感目标，根据《声环境功能区划分技术规范》（GB/T15190-2014）以及《声环境质量标准》（GB3096-2008），判定项目所在区域属于</w:t>
      </w:r>
      <w:r>
        <w:rPr>
          <w:rFonts w:hint="eastAsia"/>
          <w:color w:val="auto"/>
          <w:highlight w:val="none"/>
          <w:lang w:val="en-US" w:eastAsia="zh-CN"/>
        </w:rPr>
        <w:t>3</w:t>
      </w:r>
      <w:r>
        <w:rPr>
          <w:rFonts w:hint="eastAsia"/>
          <w:color w:val="auto"/>
          <w:highlight w:val="none"/>
        </w:rPr>
        <w:t>类功能区。</w:t>
      </w:r>
    </w:p>
    <w:p w14:paraId="4C52AA7F">
      <w:pPr>
        <w:pStyle w:val="3"/>
        <w:ind w:firstLine="480"/>
        <w:rPr>
          <w:color w:val="auto"/>
          <w:highlight w:val="none"/>
        </w:rPr>
      </w:pPr>
      <w:r>
        <w:rPr>
          <w:color w:val="auto"/>
          <w:highlight w:val="none"/>
        </w:rPr>
        <w:t>（</w:t>
      </w:r>
      <w:r>
        <w:rPr>
          <w:rFonts w:hint="eastAsia"/>
          <w:color w:val="auto"/>
          <w:highlight w:val="none"/>
          <w:lang w:val="en-US" w:eastAsia="zh-CN"/>
        </w:rPr>
        <w:t>5</w:t>
      </w:r>
      <w:r>
        <w:rPr>
          <w:color w:val="auto"/>
          <w:highlight w:val="none"/>
        </w:rPr>
        <w:t>）</w:t>
      </w:r>
      <w:r>
        <w:rPr>
          <w:rFonts w:hint="eastAsia"/>
          <w:color w:val="auto"/>
          <w:highlight w:val="none"/>
        </w:rPr>
        <w:t>生态</w:t>
      </w:r>
      <w:r>
        <w:rPr>
          <w:color w:val="auto"/>
          <w:highlight w:val="none"/>
        </w:rPr>
        <w:t>环境功能区划</w:t>
      </w:r>
      <w:r>
        <w:rPr>
          <w:rFonts w:hint="eastAsia"/>
          <w:color w:val="auto"/>
          <w:highlight w:val="none"/>
        </w:rPr>
        <w:t>及主体功能区规划</w:t>
      </w:r>
    </w:p>
    <w:p w14:paraId="1A63A088">
      <w:pPr>
        <w:pStyle w:val="3"/>
        <w:ind w:firstLine="480"/>
        <w:rPr>
          <w:color w:val="auto"/>
          <w:highlight w:val="none"/>
          <w:lang w:val="zh-CN"/>
        </w:rPr>
      </w:pPr>
      <w:r>
        <w:rPr>
          <w:color w:val="auto"/>
          <w:highlight w:val="none"/>
          <w:lang w:val="zh-CN"/>
        </w:rPr>
        <w:t>根据《新疆生态功能区划》，项目所在地属于</w:t>
      </w:r>
      <w:r>
        <w:rPr>
          <w:color w:val="auto"/>
          <w:highlight w:val="none"/>
        </w:rPr>
        <w:t>Ⅲ</w:t>
      </w:r>
      <w:r>
        <w:rPr>
          <w:color w:val="auto"/>
          <w:highlight w:val="none"/>
          <w:lang w:val="zh-CN"/>
        </w:rPr>
        <w:t>天山山地温性草原、森林生态区，</w:t>
      </w:r>
      <w:r>
        <w:rPr>
          <w:color w:val="auto"/>
          <w:highlight w:val="none"/>
        </w:rPr>
        <w:t>Ⅲ</w:t>
      </w:r>
      <w:r>
        <w:rPr>
          <w:color w:val="auto"/>
          <w:highlight w:val="none"/>
          <w:vertAlign w:val="subscript"/>
        </w:rPr>
        <w:t>3</w:t>
      </w:r>
      <w:r>
        <w:rPr>
          <w:color w:val="auto"/>
          <w:highlight w:val="none"/>
          <w:lang w:val="zh-CN"/>
        </w:rPr>
        <w:t>天山南坡草原牧业、绿洲农业生态亚区，</w:t>
      </w:r>
      <w:r>
        <w:rPr>
          <w:rFonts w:hint="eastAsia"/>
          <w:color w:val="auto"/>
          <w:highlight w:val="none"/>
          <w:lang w:val="zh-CN"/>
        </w:rPr>
        <w:t>39．天山南坡西段荒漠草原水土流失敏感生态功能区</w:t>
      </w:r>
      <w:r>
        <w:rPr>
          <w:color w:val="auto"/>
          <w:highlight w:val="none"/>
          <w:lang w:val="zh-CN"/>
        </w:rPr>
        <w:t>。</w:t>
      </w:r>
    </w:p>
    <w:p w14:paraId="7B124570">
      <w:pPr>
        <w:pStyle w:val="3"/>
        <w:ind w:firstLine="480"/>
        <w:rPr>
          <w:color w:val="auto"/>
          <w:highlight w:val="none"/>
          <w:lang w:val="zh-CN"/>
        </w:rPr>
      </w:pPr>
      <w:r>
        <w:rPr>
          <w:color w:val="auto"/>
          <w:highlight w:val="none"/>
          <w:lang w:val="zh-CN"/>
        </w:rPr>
        <w:t>根据《新疆维吾尔自治区主体功能区规划》，本项目所在区域位于新疆重点生态功能区中的塔里木盆地西北部荒漠生态功能区。</w:t>
      </w:r>
    </w:p>
    <w:p w14:paraId="06FED732">
      <w:pPr>
        <w:pStyle w:val="42"/>
        <w:rPr>
          <w:rFonts w:hint="default"/>
          <w:color w:val="auto"/>
          <w:highlight w:val="none"/>
        </w:rPr>
      </w:pPr>
      <w:r>
        <w:rPr>
          <w:rFonts w:hint="default"/>
          <w:color w:val="auto"/>
          <w:highlight w:val="none"/>
        </w:rPr>
        <w:t>环境质量标准</w:t>
      </w:r>
    </w:p>
    <w:p w14:paraId="7992563A">
      <w:pPr>
        <w:pStyle w:val="3"/>
        <w:ind w:firstLine="480"/>
        <w:rPr>
          <w:color w:val="auto"/>
          <w:highlight w:val="none"/>
        </w:rPr>
      </w:pPr>
      <w:r>
        <w:rPr>
          <w:rFonts w:hint="eastAsia"/>
          <w:color w:val="auto"/>
          <w:highlight w:val="none"/>
        </w:rPr>
        <w:t>（1）环境空气</w:t>
      </w:r>
    </w:p>
    <w:p w14:paraId="7E02F0B1">
      <w:pPr>
        <w:pStyle w:val="3"/>
        <w:ind w:firstLine="480"/>
        <w:rPr>
          <w:color w:val="auto"/>
          <w:highlight w:val="none"/>
        </w:rPr>
      </w:pPr>
      <w:r>
        <w:rPr>
          <w:color w:val="auto"/>
          <w:highlight w:val="none"/>
        </w:rPr>
        <w:t>建设项目位于环境空气二类功能区，环境空气污染物基本</w:t>
      </w:r>
      <w:r>
        <w:rPr>
          <w:rFonts w:hint="eastAsia"/>
          <w:color w:val="auto"/>
          <w:highlight w:val="none"/>
        </w:rPr>
        <w:t>因子</w:t>
      </w:r>
      <w:r>
        <w:rPr>
          <w:color w:val="auto"/>
          <w:highlight w:val="none"/>
        </w:rPr>
        <w:t>执行</w:t>
      </w:r>
      <w:r>
        <w:rPr>
          <w:rFonts w:hint="eastAsia"/>
          <w:color w:val="auto"/>
          <w:highlight w:val="none"/>
        </w:rPr>
        <w:t>《环境空气质量标准》（GB3095-2026）过渡阶段二级标准限值</w:t>
      </w:r>
      <w:r>
        <w:rPr>
          <w:color w:val="auto"/>
          <w:highlight w:val="none"/>
        </w:rPr>
        <w:t>，具体详见</w:t>
      </w:r>
      <w:r>
        <w:rPr>
          <w:rFonts w:hint="eastAsia"/>
          <w:color w:val="auto"/>
          <w:highlight w:val="none"/>
        </w:rPr>
        <w:t>下</w:t>
      </w:r>
      <w:r>
        <w:rPr>
          <w:color w:val="auto"/>
          <w:highlight w:val="none"/>
        </w:rPr>
        <w:t>表</w:t>
      </w:r>
      <w:r>
        <w:rPr>
          <w:rFonts w:hint="eastAsia"/>
          <w:color w:val="auto"/>
          <w:highlight w:val="none"/>
        </w:rPr>
        <w:t>：</w:t>
      </w:r>
    </w:p>
    <w:p w14:paraId="51D8BFCB">
      <w:pPr>
        <w:pStyle w:val="40"/>
        <w:spacing w:before="24" w:after="24"/>
        <w:rPr>
          <w:color w:val="auto"/>
          <w:highlight w:val="none"/>
        </w:rPr>
      </w:pPr>
      <w:r>
        <w:rPr>
          <w:color w:val="auto"/>
          <w:highlight w:val="none"/>
        </w:rPr>
        <w:t>表</w:t>
      </w:r>
      <w:r>
        <w:rPr>
          <w:rFonts w:hint="eastAsia"/>
          <w:color w:val="auto"/>
          <w:highlight w:val="none"/>
        </w:rPr>
        <w:t>2.4-1    大气</w:t>
      </w:r>
      <w:r>
        <w:rPr>
          <w:color w:val="auto"/>
          <w:highlight w:val="none"/>
        </w:rPr>
        <w:t>环境质量标准</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65"/>
        <w:gridCol w:w="1210"/>
        <w:gridCol w:w="1598"/>
        <w:gridCol w:w="1281"/>
        <w:gridCol w:w="3053"/>
      </w:tblGrid>
      <w:tr w14:paraId="002EFD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 w:hRule="atLeast"/>
          <w:tblHeader/>
          <w:jc w:val="center"/>
        </w:trPr>
        <w:tc>
          <w:tcPr>
            <w:tcW w:w="802" w:type="pct"/>
            <w:tcBorders>
              <w:tl2br w:val="nil"/>
              <w:tr2bl w:val="nil"/>
            </w:tcBorders>
            <w:vAlign w:val="center"/>
          </w:tcPr>
          <w:p w14:paraId="0342B494">
            <w:pPr>
              <w:pStyle w:val="41"/>
              <w:rPr>
                <w:color w:val="auto"/>
                <w:highlight w:val="none"/>
              </w:rPr>
            </w:pPr>
            <w:r>
              <w:rPr>
                <w:rFonts w:hint="eastAsia"/>
                <w:color w:val="auto"/>
                <w:highlight w:val="none"/>
              </w:rPr>
              <w:t>污染物名称</w:t>
            </w:r>
          </w:p>
        </w:tc>
        <w:tc>
          <w:tcPr>
            <w:tcW w:w="711" w:type="pct"/>
            <w:tcBorders>
              <w:tl2br w:val="nil"/>
              <w:tr2bl w:val="nil"/>
            </w:tcBorders>
            <w:vAlign w:val="center"/>
          </w:tcPr>
          <w:p w14:paraId="31163F79">
            <w:pPr>
              <w:pStyle w:val="41"/>
              <w:rPr>
                <w:color w:val="auto"/>
                <w:highlight w:val="none"/>
              </w:rPr>
            </w:pPr>
            <w:r>
              <w:rPr>
                <w:rFonts w:hint="eastAsia"/>
                <w:color w:val="auto"/>
                <w:highlight w:val="none"/>
              </w:rPr>
              <w:t>单位</w:t>
            </w:r>
          </w:p>
        </w:tc>
        <w:tc>
          <w:tcPr>
            <w:tcW w:w="939" w:type="pct"/>
            <w:tcBorders>
              <w:tl2br w:val="nil"/>
              <w:tr2bl w:val="nil"/>
            </w:tcBorders>
            <w:vAlign w:val="center"/>
          </w:tcPr>
          <w:p w14:paraId="3D8DD728">
            <w:pPr>
              <w:pStyle w:val="41"/>
              <w:rPr>
                <w:color w:val="auto"/>
                <w:highlight w:val="none"/>
              </w:rPr>
            </w:pPr>
            <w:r>
              <w:rPr>
                <w:rFonts w:hint="eastAsia"/>
                <w:color w:val="auto"/>
                <w:highlight w:val="none"/>
              </w:rPr>
              <w:t>取值时间</w:t>
            </w:r>
          </w:p>
        </w:tc>
        <w:tc>
          <w:tcPr>
            <w:tcW w:w="753" w:type="pct"/>
            <w:tcBorders>
              <w:tl2br w:val="nil"/>
              <w:tr2bl w:val="nil"/>
            </w:tcBorders>
            <w:vAlign w:val="center"/>
          </w:tcPr>
          <w:p w14:paraId="0583EDFB">
            <w:pPr>
              <w:pStyle w:val="41"/>
              <w:rPr>
                <w:color w:val="auto"/>
                <w:highlight w:val="none"/>
              </w:rPr>
            </w:pPr>
            <w:r>
              <w:rPr>
                <w:color w:val="auto"/>
                <w:highlight w:val="none"/>
              </w:rPr>
              <w:t>标准</w:t>
            </w:r>
            <w:r>
              <w:rPr>
                <w:rFonts w:hint="eastAsia"/>
                <w:color w:val="auto"/>
                <w:highlight w:val="none"/>
              </w:rPr>
              <w:t>值</w:t>
            </w:r>
          </w:p>
        </w:tc>
        <w:tc>
          <w:tcPr>
            <w:tcW w:w="1794" w:type="pct"/>
            <w:tcBorders>
              <w:tl2br w:val="nil"/>
              <w:tr2bl w:val="nil"/>
            </w:tcBorders>
            <w:vAlign w:val="center"/>
          </w:tcPr>
          <w:p w14:paraId="314D5E7F">
            <w:pPr>
              <w:pStyle w:val="41"/>
              <w:rPr>
                <w:color w:val="auto"/>
                <w:highlight w:val="none"/>
              </w:rPr>
            </w:pPr>
            <w:r>
              <w:rPr>
                <w:rFonts w:hint="eastAsia"/>
                <w:color w:val="auto"/>
                <w:highlight w:val="none"/>
              </w:rPr>
              <w:t>标准来源</w:t>
            </w:r>
          </w:p>
        </w:tc>
      </w:tr>
      <w:tr w14:paraId="778180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802" w:type="pct"/>
            <w:vMerge w:val="restart"/>
            <w:tcBorders>
              <w:tl2br w:val="nil"/>
              <w:tr2bl w:val="nil"/>
            </w:tcBorders>
            <w:vAlign w:val="center"/>
          </w:tcPr>
          <w:p w14:paraId="25B9A5DC">
            <w:pPr>
              <w:pStyle w:val="41"/>
              <w:rPr>
                <w:color w:val="auto"/>
                <w:highlight w:val="none"/>
              </w:rPr>
            </w:pPr>
            <w:r>
              <w:rPr>
                <w:rFonts w:hint="eastAsia"/>
                <w:color w:val="auto"/>
                <w:highlight w:val="none"/>
              </w:rPr>
              <w:t>SO</w:t>
            </w:r>
            <w:r>
              <w:rPr>
                <w:rFonts w:hint="eastAsia"/>
                <w:color w:val="auto"/>
                <w:highlight w:val="none"/>
                <w:vertAlign w:val="subscript"/>
              </w:rPr>
              <w:t>2</w:t>
            </w:r>
          </w:p>
        </w:tc>
        <w:tc>
          <w:tcPr>
            <w:tcW w:w="711" w:type="pct"/>
            <w:vMerge w:val="restart"/>
            <w:tcBorders>
              <w:tl2br w:val="nil"/>
              <w:tr2bl w:val="nil"/>
            </w:tcBorders>
            <w:vAlign w:val="center"/>
          </w:tcPr>
          <w:p w14:paraId="5E1CA5B0">
            <w:pPr>
              <w:pStyle w:val="41"/>
              <w:rPr>
                <w:color w:val="auto"/>
                <w:highlight w:val="none"/>
              </w:rPr>
            </w:pPr>
            <w:r>
              <w:rPr>
                <w:color w:val="auto"/>
                <w:highlight w:val="none"/>
              </w:rPr>
              <w:t>μg/m</w:t>
            </w:r>
            <w:r>
              <w:rPr>
                <w:color w:val="auto"/>
                <w:highlight w:val="none"/>
                <w:vertAlign w:val="superscript"/>
              </w:rPr>
              <w:t>3</w:t>
            </w:r>
          </w:p>
        </w:tc>
        <w:tc>
          <w:tcPr>
            <w:tcW w:w="939" w:type="pct"/>
            <w:tcBorders>
              <w:tl2br w:val="nil"/>
              <w:tr2bl w:val="nil"/>
            </w:tcBorders>
            <w:vAlign w:val="center"/>
          </w:tcPr>
          <w:p w14:paraId="0C0D4514">
            <w:pPr>
              <w:pStyle w:val="41"/>
              <w:rPr>
                <w:color w:val="auto"/>
                <w:highlight w:val="none"/>
              </w:rPr>
            </w:pPr>
            <w:r>
              <w:rPr>
                <w:rFonts w:hint="eastAsia"/>
                <w:color w:val="auto"/>
                <w:highlight w:val="none"/>
              </w:rPr>
              <w:t>年平均</w:t>
            </w:r>
          </w:p>
        </w:tc>
        <w:tc>
          <w:tcPr>
            <w:tcW w:w="753" w:type="pct"/>
            <w:tcBorders>
              <w:tl2br w:val="nil"/>
              <w:tr2bl w:val="nil"/>
            </w:tcBorders>
            <w:vAlign w:val="center"/>
          </w:tcPr>
          <w:p w14:paraId="741FD892">
            <w:pPr>
              <w:pStyle w:val="41"/>
              <w:rPr>
                <w:color w:val="auto"/>
                <w:highlight w:val="none"/>
              </w:rPr>
            </w:pPr>
            <w:r>
              <w:rPr>
                <w:rFonts w:hint="eastAsia"/>
                <w:color w:val="auto"/>
                <w:highlight w:val="none"/>
              </w:rPr>
              <w:t>60</w:t>
            </w:r>
          </w:p>
        </w:tc>
        <w:tc>
          <w:tcPr>
            <w:tcW w:w="1794" w:type="pct"/>
            <w:vMerge w:val="restart"/>
            <w:tcBorders>
              <w:tl2br w:val="nil"/>
              <w:tr2bl w:val="nil"/>
            </w:tcBorders>
            <w:vAlign w:val="center"/>
          </w:tcPr>
          <w:p w14:paraId="04C43DBF">
            <w:pPr>
              <w:pStyle w:val="41"/>
              <w:rPr>
                <w:color w:val="auto"/>
                <w:highlight w:val="none"/>
              </w:rPr>
            </w:pPr>
            <w:r>
              <w:rPr>
                <w:rFonts w:hint="eastAsia"/>
                <w:color w:val="auto"/>
                <w:highlight w:val="none"/>
              </w:rPr>
              <w:t>《环境空气质量标准》（GB3095-2026）过渡阶段二级标准</w:t>
            </w:r>
          </w:p>
        </w:tc>
      </w:tr>
      <w:tr w14:paraId="545E69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802" w:type="pct"/>
            <w:vMerge w:val="continue"/>
            <w:tcBorders>
              <w:tl2br w:val="nil"/>
              <w:tr2bl w:val="nil"/>
            </w:tcBorders>
            <w:vAlign w:val="center"/>
          </w:tcPr>
          <w:p w14:paraId="3E3196AE">
            <w:pPr>
              <w:pStyle w:val="41"/>
              <w:rPr>
                <w:color w:val="auto"/>
                <w:highlight w:val="none"/>
              </w:rPr>
            </w:pPr>
          </w:p>
        </w:tc>
        <w:tc>
          <w:tcPr>
            <w:tcW w:w="711" w:type="pct"/>
            <w:vMerge w:val="continue"/>
            <w:tcBorders>
              <w:tl2br w:val="nil"/>
              <w:tr2bl w:val="nil"/>
            </w:tcBorders>
            <w:vAlign w:val="center"/>
          </w:tcPr>
          <w:p w14:paraId="0F6E6F8D">
            <w:pPr>
              <w:pStyle w:val="41"/>
              <w:rPr>
                <w:color w:val="auto"/>
                <w:highlight w:val="none"/>
              </w:rPr>
            </w:pPr>
          </w:p>
        </w:tc>
        <w:tc>
          <w:tcPr>
            <w:tcW w:w="939" w:type="pct"/>
            <w:tcBorders>
              <w:tl2br w:val="nil"/>
              <w:tr2bl w:val="nil"/>
            </w:tcBorders>
            <w:vAlign w:val="center"/>
          </w:tcPr>
          <w:p w14:paraId="1ABA1BA3">
            <w:pPr>
              <w:pStyle w:val="41"/>
              <w:rPr>
                <w:color w:val="auto"/>
                <w:highlight w:val="none"/>
              </w:rPr>
            </w:pPr>
            <w:r>
              <w:rPr>
                <w:rFonts w:hint="eastAsia"/>
                <w:color w:val="auto"/>
                <w:highlight w:val="none"/>
              </w:rPr>
              <w:t>24h平均</w:t>
            </w:r>
          </w:p>
        </w:tc>
        <w:tc>
          <w:tcPr>
            <w:tcW w:w="753" w:type="pct"/>
            <w:tcBorders>
              <w:tl2br w:val="nil"/>
              <w:tr2bl w:val="nil"/>
            </w:tcBorders>
            <w:vAlign w:val="center"/>
          </w:tcPr>
          <w:p w14:paraId="70C30485">
            <w:pPr>
              <w:pStyle w:val="41"/>
              <w:rPr>
                <w:color w:val="auto"/>
                <w:highlight w:val="none"/>
              </w:rPr>
            </w:pPr>
            <w:r>
              <w:rPr>
                <w:rFonts w:hint="eastAsia"/>
                <w:color w:val="auto"/>
                <w:highlight w:val="none"/>
              </w:rPr>
              <w:t>150</w:t>
            </w:r>
          </w:p>
        </w:tc>
        <w:tc>
          <w:tcPr>
            <w:tcW w:w="1794" w:type="pct"/>
            <w:vMerge w:val="continue"/>
            <w:tcBorders>
              <w:tl2br w:val="nil"/>
              <w:tr2bl w:val="nil"/>
            </w:tcBorders>
            <w:vAlign w:val="center"/>
          </w:tcPr>
          <w:p w14:paraId="04914706">
            <w:pPr>
              <w:pStyle w:val="41"/>
              <w:rPr>
                <w:color w:val="auto"/>
                <w:highlight w:val="none"/>
              </w:rPr>
            </w:pPr>
          </w:p>
        </w:tc>
      </w:tr>
      <w:tr w14:paraId="0B4B66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802" w:type="pct"/>
            <w:vMerge w:val="continue"/>
            <w:tcBorders>
              <w:tl2br w:val="nil"/>
              <w:tr2bl w:val="nil"/>
            </w:tcBorders>
            <w:vAlign w:val="center"/>
          </w:tcPr>
          <w:p w14:paraId="45004A6D">
            <w:pPr>
              <w:pStyle w:val="41"/>
              <w:rPr>
                <w:color w:val="auto"/>
                <w:highlight w:val="none"/>
              </w:rPr>
            </w:pPr>
          </w:p>
        </w:tc>
        <w:tc>
          <w:tcPr>
            <w:tcW w:w="711" w:type="pct"/>
            <w:vMerge w:val="continue"/>
            <w:tcBorders>
              <w:tl2br w:val="nil"/>
              <w:tr2bl w:val="nil"/>
            </w:tcBorders>
            <w:vAlign w:val="center"/>
          </w:tcPr>
          <w:p w14:paraId="373415C9">
            <w:pPr>
              <w:pStyle w:val="41"/>
              <w:rPr>
                <w:color w:val="auto"/>
                <w:highlight w:val="none"/>
              </w:rPr>
            </w:pPr>
          </w:p>
        </w:tc>
        <w:tc>
          <w:tcPr>
            <w:tcW w:w="939" w:type="pct"/>
            <w:tcBorders>
              <w:tl2br w:val="nil"/>
              <w:tr2bl w:val="nil"/>
            </w:tcBorders>
            <w:vAlign w:val="center"/>
          </w:tcPr>
          <w:p w14:paraId="64347FDB">
            <w:pPr>
              <w:pStyle w:val="41"/>
              <w:rPr>
                <w:color w:val="auto"/>
                <w:highlight w:val="none"/>
              </w:rPr>
            </w:pPr>
            <w:r>
              <w:rPr>
                <w:rFonts w:hint="eastAsia"/>
                <w:color w:val="auto"/>
                <w:highlight w:val="none"/>
              </w:rPr>
              <w:t>1h平均</w:t>
            </w:r>
          </w:p>
        </w:tc>
        <w:tc>
          <w:tcPr>
            <w:tcW w:w="753" w:type="pct"/>
            <w:tcBorders>
              <w:tl2br w:val="nil"/>
              <w:tr2bl w:val="nil"/>
            </w:tcBorders>
            <w:vAlign w:val="center"/>
          </w:tcPr>
          <w:p w14:paraId="4D19EB78">
            <w:pPr>
              <w:pStyle w:val="41"/>
              <w:rPr>
                <w:color w:val="auto"/>
                <w:highlight w:val="none"/>
              </w:rPr>
            </w:pPr>
            <w:r>
              <w:rPr>
                <w:rFonts w:hint="eastAsia"/>
                <w:color w:val="auto"/>
                <w:highlight w:val="none"/>
              </w:rPr>
              <w:t>500</w:t>
            </w:r>
          </w:p>
        </w:tc>
        <w:tc>
          <w:tcPr>
            <w:tcW w:w="1794" w:type="pct"/>
            <w:vMerge w:val="continue"/>
            <w:tcBorders>
              <w:tl2br w:val="nil"/>
              <w:tr2bl w:val="nil"/>
            </w:tcBorders>
            <w:vAlign w:val="center"/>
          </w:tcPr>
          <w:p w14:paraId="766B3E8C">
            <w:pPr>
              <w:pStyle w:val="41"/>
              <w:rPr>
                <w:color w:val="auto"/>
                <w:highlight w:val="none"/>
              </w:rPr>
            </w:pPr>
          </w:p>
        </w:tc>
      </w:tr>
      <w:tr w14:paraId="02142F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802" w:type="pct"/>
            <w:vMerge w:val="restart"/>
            <w:tcBorders>
              <w:tl2br w:val="nil"/>
              <w:tr2bl w:val="nil"/>
            </w:tcBorders>
            <w:vAlign w:val="center"/>
          </w:tcPr>
          <w:p w14:paraId="66A98257">
            <w:pPr>
              <w:pStyle w:val="41"/>
              <w:rPr>
                <w:color w:val="auto"/>
                <w:highlight w:val="none"/>
              </w:rPr>
            </w:pPr>
            <w:r>
              <w:rPr>
                <w:rFonts w:hint="eastAsia"/>
                <w:color w:val="auto"/>
                <w:highlight w:val="none"/>
              </w:rPr>
              <w:t>NO</w:t>
            </w:r>
            <w:r>
              <w:rPr>
                <w:rFonts w:hint="eastAsia"/>
                <w:color w:val="auto"/>
                <w:highlight w:val="none"/>
                <w:vertAlign w:val="subscript"/>
              </w:rPr>
              <w:t>2</w:t>
            </w:r>
          </w:p>
        </w:tc>
        <w:tc>
          <w:tcPr>
            <w:tcW w:w="711" w:type="pct"/>
            <w:vMerge w:val="restart"/>
            <w:tcBorders>
              <w:tl2br w:val="nil"/>
              <w:tr2bl w:val="nil"/>
            </w:tcBorders>
            <w:vAlign w:val="center"/>
          </w:tcPr>
          <w:p w14:paraId="0FFA2504">
            <w:pPr>
              <w:pStyle w:val="41"/>
              <w:rPr>
                <w:color w:val="auto"/>
                <w:highlight w:val="none"/>
              </w:rPr>
            </w:pPr>
            <w:r>
              <w:rPr>
                <w:color w:val="auto"/>
                <w:highlight w:val="none"/>
              </w:rPr>
              <w:t>μg/m</w:t>
            </w:r>
            <w:r>
              <w:rPr>
                <w:color w:val="auto"/>
                <w:highlight w:val="none"/>
                <w:vertAlign w:val="superscript"/>
              </w:rPr>
              <w:t>3</w:t>
            </w:r>
          </w:p>
        </w:tc>
        <w:tc>
          <w:tcPr>
            <w:tcW w:w="939" w:type="pct"/>
            <w:tcBorders>
              <w:tl2br w:val="nil"/>
              <w:tr2bl w:val="nil"/>
            </w:tcBorders>
            <w:vAlign w:val="center"/>
          </w:tcPr>
          <w:p w14:paraId="0A6AC307">
            <w:pPr>
              <w:pStyle w:val="41"/>
              <w:rPr>
                <w:color w:val="auto"/>
                <w:highlight w:val="none"/>
              </w:rPr>
            </w:pPr>
            <w:r>
              <w:rPr>
                <w:rFonts w:hint="eastAsia"/>
                <w:color w:val="auto"/>
                <w:highlight w:val="none"/>
              </w:rPr>
              <w:t>年平均</w:t>
            </w:r>
          </w:p>
        </w:tc>
        <w:tc>
          <w:tcPr>
            <w:tcW w:w="753" w:type="pct"/>
            <w:tcBorders>
              <w:tl2br w:val="nil"/>
              <w:tr2bl w:val="nil"/>
            </w:tcBorders>
            <w:vAlign w:val="center"/>
          </w:tcPr>
          <w:p w14:paraId="3CC89C57">
            <w:pPr>
              <w:pStyle w:val="41"/>
              <w:rPr>
                <w:color w:val="auto"/>
                <w:highlight w:val="none"/>
              </w:rPr>
            </w:pPr>
            <w:r>
              <w:rPr>
                <w:rFonts w:hint="eastAsia"/>
                <w:color w:val="auto"/>
                <w:highlight w:val="none"/>
              </w:rPr>
              <w:t>40</w:t>
            </w:r>
          </w:p>
        </w:tc>
        <w:tc>
          <w:tcPr>
            <w:tcW w:w="1794" w:type="pct"/>
            <w:vMerge w:val="continue"/>
            <w:tcBorders>
              <w:tl2br w:val="nil"/>
              <w:tr2bl w:val="nil"/>
            </w:tcBorders>
            <w:vAlign w:val="center"/>
          </w:tcPr>
          <w:p w14:paraId="7722834E">
            <w:pPr>
              <w:pStyle w:val="41"/>
              <w:rPr>
                <w:color w:val="auto"/>
                <w:highlight w:val="none"/>
              </w:rPr>
            </w:pPr>
          </w:p>
        </w:tc>
      </w:tr>
      <w:tr w14:paraId="39A5C0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802" w:type="pct"/>
            <w:vMerge w:val="continue"/>
            <w:tcBorders>
              <w:tl2br w:val="nil"/>
              <w:tr2bl w:val="nil"/>
            </w:tcBorders>
            <w:vAlign w:val="center"/>
          </w:tcPr>
          <w:p w14:paraId="5B5D5518">
            <w:pPr>
              <w:pStyle w:val="41"/>
              <w:rPr>
                <w:color w:val="auto"/>
                <w:highlight w:val="none"/>
              </w:rPr>
            </w:pPr>
          </w:p>
        </w:tc>
        <w:tc>
          <w:tcPr>
            <w:tcW w:w="711" w:type="pct"/>
            <w:vMerge w:val="continue"/>
            <w:tcBorders>
              <w:tl2br w:val="nil"/>
              <w:tr2bl w:val="nil"/>
            </w:tcBorders>
            <w:vAlign w:val="center"/>
          </w:tcPr>
          <w:p w14:paraId="269657FC">
            <w:pPr>
              <w:pStyle w:val="41"/>
              <w:rPr>
                <w:color w:val="auto"/>
                <w:highlight w:val="none"/>
              </w:rPr>
            </w:pPr>
          </w:p>
        </w:tc>
        <w:tc>
          <w:tcPr>
            <w:tcW w:w="939" w:type="pct"/>
            <w:tcBorders>
              <w:tl2br w:val="nil"/>
              <w:tr2bl w:val="nil"/>
            </w:tcBorders>
            <w:vAlign w:val="center"/>
          </w:tcPr>
          <w:p w14:paraId="70BA15FE">
            <w:pPr>
              <w:pStyle w:val="41"/>
              <w:rPr>
                <w:color w:val="auto"/>
                <w:highlight w:val="none"/>
              </w:rPr>
            </w:pPr>
            <w:r>
              <w:rPr>
                <w:rFonts w:hint="eastAsia"/>
                <w:color w:val="auto"/>
                <w:highlight w:val="none"/>
              </w:rPr>
              <w:t>24h平均</w:t>
            </w:r>
          </w:p>
        </w:tc>
        <w:tc>
          <w:tcPr>
            <w:tcW w:w="753" w:type="pct"/>
            <w:tcBorders>
              <w:tl2br w:val="nil"/>
              <w:tr2bl w:val="nil"/>
            </w:tcBorders>
            <w:vAlign w:val="center"/>
          </w:tcPr>
          <w:p w14:paraId="2DEA9B00">
            <w:pPr>
              <w:pStyle w:val="41"/>
              <w:rPr>
                <w:color w:val="auto"/>
                <w:highlight w:val="none"/>
              </w:rPr>
            </w:pPr>
            <w:r>
              <w:rPr>
                <w:rFonts w:hint="eastAsia"/>
                <w:color w:val="auto"/>
                <w:highlight w:val="none"/>
              </w:rPr>
              <w:t>80</w:t>
            </w:r>
          </w:p>
        </w:tc>
        <w:tc>
          <w:tcPr>
            <w:tcW w:w="1794" w:type="pct"/>
            <w:vMerge w:val="continue"/>
            <w:tcBorders>
              <w:tl2br w:val="nil"/>
              <w:tr2bl w:val="nil"/>
            </w:tcBorders>
            <w:vAlign w:val="center"/>
          </w:tcPr>
          <w:p w14:paraId="1C490DDE">
            <w:pPr>
              <w:pStyle w:val="41"/>
              <w:rPr>
                <w:color w:val="auto"/>
                <w:highlight w:val="none"/>
              </w:rPr>
            </w:pPr>
          </w:p>
        </w:tc>
      </w:tr>
      <w:tr w14:paraId="0BFFB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802" w:type="pct"/>
            <w:vMerge w:val="continue"/>
            <w:tcBorders>
              <w:tl2br w:val="nil"/>
              <w:tr2bl w:val="nil"/>
            </w:tcBorders>
            <w:vAlign w:val="center"/>
          </w:tcPr>
          <w:p w14:paraId="26D0700C">
            <w:pPr>
              <w:pStyle w:val="41"/>
              <w:rPr>
                <w:color w:val="auto"/>
                <w:highlight w:val="none"/>
              </w:rPr>
            </w:pPr>
          </w:p>
        </w:tc>
        <w:tc>
          <w:tcPr>
            <w:tcW w:w="711" w:type="pct"/>
            <w:vMerge w:val="continue"/>
            <w:tcBorders>
              <w:tl2br w:val="nil"/>
              <w:tr2bl w:val="nil"/>
            </w:tcBorders>
            <w:vAlign w:val="center"/>
          </w:tcPr>
          <w:p w14:paraId="256736CE">
            <w:pPr>
              <w:pStyle w:val="41"/>
              <w:rPr>
                <w:color w:val="auto"/>
                <w:highlight w:val="none"/>
              </w:rPr>
            </w:pPr>
          </w:p>
        </w:tc>
        <w:tc>
          <w:tcPr>
            <w:tcW w:w="939" w:type="pct"/>
            <w:tcBorders>
              <w:tl2br w:val="nil"/>
              <w:tr2bl w:val="nil"/>
            </w:tcBorders>
            <w:vAlign w:val="center"/>
          </w:tcPr>
          <w:p w14:paraId="03AE4A64">
            <w:pPr>
              <w:pStyle w:val="41"/>
              <w:rPr>
                <w:color w:val="auto"/>
                <w:highlight w:val="none"/>
              </w:rPr>
            </w:pPr>
            <w:r>
              <w:rPr>
                <w:rFonts w:hint="eastAsia"/>
                <w:color w:val="auto"/>
                <w:highlight w:val="none"/>
              </w:rPr>
              <w:t>1h平均</w:t>
            </w:r>
          </w:p>
        </w:tc>
        <w:tc>
          <w:tcPr>
            <w:tcW w:w="753" w:type="pct"/>
            <w:tcBorders>
              <w:tl2br w:val="nil"/>
              <w:tr2bl w:val="nil"/>
            </w:tcBorders>
            <w:vAlign w:val="center"/>
          </w:tcPr>
          <w:p w14:paraId="506891BA">
            <w:pPr>
              <w:pStyle w:val="41"/>
              <w:rPr>
                <w:color w:val="auto"/>
                <w:highlight w:val="none"/>
              </w:rPr>
            </w:pPr>
            <w:r>
              <w:rPr>
                <w:rFonts w:hint="eastAsia"/>
                <w:color w:val="auto"/>
                <w:highlight w:val="none"/>
              </w:rPr>
              <w:t>200</w:t>
            </w:r>
          </w:p>
        </w:tc>
        <w:tc>
          <w:tcPr>
            <w:tcW w:w="1794" w:type="pct"/>
            <w:vMerge w:val="continue"/>
            <w:tcBorders>
              <w:tl2br w:val="nil"/>
              <w:tr2bl w:val="nil"/>
            </w:tcBorders>
            <w:vAlign w:val="center"/>
          </w:tcPr>
          <w:p w14:paraId="56AB7DA3">
            <w:pPr>
              <w:pStyle w:val="41"/>
              <w:rPr>
                <w:color w:val="auto"/>
                <w:highlight w:val="none"/>
              </w:rPr>
            </w:pPr>
          </w:p>
        </w:tc>
      </w:tr>
      <w:tr w14:paraId="4BAE0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802" w:type="pct"/>
            <w:vMerge w:val="restart"/>
            <w:tcBorders>
              <w:tl2br w:val="nil"/>
              <w:tr2bl w:val="nil"/>
            </w:tcBorders>
            <w:vAlign w:val="center"/>
          </w:tcPr>
          <w:p w14:paraId="6B9EB46B">
            <w:pPr>
              <w:pStyle w:val="41"/>
              <w:rPr>
                <w:color w:val="auto"/>
                <w:highlight w:val="none"/>
              </w:rPr>
            </w:pPr>
            <w:r>
              <w:rPr>
                <w:rFonts w:hint="eastAsia"/>
                <w:color w:val="auto"/>
                <w:highlight w:val="none"/>
              </w:rPr>
              <w:t>CO</w:t>
            </w:r>
          </w:p>
        </w:tc>
        <w:tc>
          <w:tcPr>
            <w:tcW w:w="711" w:type="pct"/>
            <w:vMerge w:val="restart"/>
            <w:tcBorders>
              <w:tl2br w:val="nil"/>
              <w:tr2bl w:val="nil"/>
            </w:tcBorders>
            <w:vAlign w:val="center"/>
          </w:tcPr>
          <w:p w14:paraId="427C6282">
            <w:pPr>
              <w:pStyle w:val="41"/>
              <w:rPr>
                <w:color w:val="auto"/>
                <w:highlight w:val="none"/>
              </w:rPr>
            </w:pPr>
            <w:r>
              <w:rPr>
                <w:color w:val="auto"/>
                <w:highlight w:val="none"/>
              </w:rPr>
              <w:t>mg/m</w:t>
            </w:r>
            <w:r>
              <w:rPr>
                <w:color w:val="auto"/>
                <w:highlight w:val="none"/>
                <w:vertAlign w:val="superscript"/>
              </w:rPr>
              <w:t>3</w:t>
            </w:r>
          </w:p>
        </w:tc>
        <w:tc>
          <w:tcPr>
            <w:tcW w:w="939" w:type="pct"/>
            <w:tcBorders>
              <w:tl2br w:val="nil"/>
              <w:tr2bl w:val="nil"/>
            </w:tcBorders>
            <w:vAlign w:val="center"/>
          </w:tcPr>
          <w:p w14:paraId="38DBF5F6">
            <w:pPr>
              <w:pStyle w:val="41"/>
              <w:rPr>
                <w:color w:val="auto"/>
                <w:highlight w:val="none"/>
              </w:rPr>
            </w:pPr>
            <w:r>
              <w:rPr>
                <w:rFonts w:hint="eastAsia"/>
                <w:color w:val="auto"/>
                <w:highlight w:val="none"/>
              </w:rPr>
              <w:t>24h平均</w:t>
            </w:r>
          </w:p>
        </w:tc>
        <w:tc>
          <w:tcPr>
            <w:tcW w:w="753" w:type="pct"/>
            <w:tcBorders>
              <w:tl2br w:val="nil"/>
              <w:tr2bl w:val="nil"/>
            </w:tcBorders>
            <w:vAlign w:val="center"/>
          </w:tcPr>
          <w:p w14:paraId="6977A4F3">
            <w:pPr>
              <w:pStyle w:val="41"/>
              <w:rPr>
                <w:color w:val="auto"/>
                <w:highlight w:val="none"/>
              </w:rPr>
            </w:pPr>
            <w:r>
              <w:rPr>
                <w:rFonts w:hint="eastAsia"/>
                <w:color w:val="auto"/>
                <w:highlight w:val="none"/>
              </w:rPr>
              <w:t>4</w:t>
            </w:r>
          </w:p>
        </w:tc>
        <w:tc>
          <w:tcPr>
            <w:tcW w:w="1794" w:type="pct"/>
            <w:vMerge w:val="continue"/>
            <w:tcBorders>
              <w:tl2br w:val="nil"/>
              <w:tr2bl w:val="nil"/>
            </w:tcBorders>
            <w:vAlign w:val="center"/>
          </w:tcPr>
          <w:p w14:paraId="2DFFDC2A">
            <w:pPr>
              <w:pStyle w:val="41"/>
              <w:rPr>
                <w:color w:val="auto"/>
                <w:highlight w:val="none"/>
              </w:rPr>
            </w:pPr>
          </w:p>
        </w:tc>
      </w:tr>
      <w:tr w14:paraId="4C8544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802" w:type="pct"/>
            <w:vMerge w:val="continue"/>
            <w:tcBorders>
              <w:tl2br w:val="nil"/>
              <w:tr2bl w:val="nil"/>
            </w:tcBorders>
            <w:vAlign w:val="center"/>
          </w:tcPr>
          <w:p w14:paraId="6D7FB886">
            <w:pPr>
              <w:pStyle w:val="41"/>
              <w:rPr>
                <w:color w:val="auto"/>
                <w:highlight w:val="none"/>
              </w:rPr>
            </w:pPr>
          </w:p>
        </w:tc>
        <w:tc>
          <w:tcPr>
            <w:tcW w:w="711" w:type="pct"/>
            <w:vMerge w:val="continue"/>
            <w:tcBorders>
              <w:tl2br w:val="nil"/>
              <w:tr2bl w:val="nil"/>
            </w:tcBorders>
            <w:vAlign w:val="center"/>
          </w:tcPr>
          <w:p w14:paraId="57D6CF22">
            <w:pPr>
              <w:pStyle w:val="41"/>
              <w:rPr>
                <w:color w:val="auto"/>
                <w:highlight w:val="none"/>
              </w:rPr>
            </w:pPr>
          </w:p>
        </w:tc>
        <w:tc>
          <w:tcPr>
            <w:tcW w:w="939" w:type="pct"/>
            <w:tcBorders>
              <w:tl2br w:val="nil"/>
              <w:tr2bl w:val="nil"/>
            </w:tcBorders>
            <w:vAlign w:val="center"/>
          </w:tcPr>
          <w:p w14:paraId="66D53F43">
            <w:pPr>
              <w:pStyle w:val="41"/>
              <w:rPr>
                <w:color w:val="auto"/>
                <w:highlight w:val="none"/>
              </w:rPr>
            </w:pPr>
            <w:r>
              <w:rPr>
                <w:rFonts w:hint="eastAsia"/>
                <w:color w:val="auto"/>
                <w:highlight w:val="none"/>
              </w:rPr>
              <w:t>1h平均</w:t>
            </w:r>
          </w:p>
        </w:tc>
        <w:tc>
          <w:tcPr>
            <w:tcW w:w="753" w:type="pct"/>
            <w:tcBorders>
              <w:tl2br w:val="nil"/>
              <w:tr2bl w:val="nil"/>
            </w:tcBorders>
            <w:vAlign w:val="center"/>
          </w:tcPr>
          <w:p w14:paraId="1DE8ED78">
            <w:pPr>
              <w:pStyle w:val="41"/>
              <w:rPr>
                <w:color w:val="auto"/>
                <w:highlight w:val="none"/>
              </w:rPr>
            </w:pPr>
            <w:r>
              <w:rPr>
                <w:rFonts w:hint="eastAsia"/>
                <w:color w:val="auto"/>
                <w:highlight w:val="none"/>
              </w:rPr>
              <w:t>10</w:t>
            </w:r>
          </w:p>
        </w:tc>
        <w:tc>
          <w:tcPr>
            <w:tcW w:w="1794" w:type="pct"/>
            <w:vMerge w:val="continue"/>
            <w:tcBorders>
              <w:tl2br w:val="nil"/>
              <w:tr2bl w:val="nil"/>
            </w:tcBorders>
            <w:vAlign w:val="center"/>
          </w:tcPr>
          <w:p w14:paraId="0BEADF4D">
            <w:pPr>
              <w:pStyle w:val="41"/>
              <w:rPr>
                <w:color w:val="auto"/>
                <w:highlight w:val="none"/>
              </w:rPr>
            </w:pPr>
          </w:p>
        </w:tc>
      </w:tr>
      <w:tr w14:paraId="17EB8B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802" w:type="pct"/>
            <w:vMerge w:val="restart"/>
            <w:tcBorders>
              <w:tl2br w:val="nil"/>
              <w:tr2bl w:val="nil"/>
            </w:tcBorders>
            <w:vAlign w:val="center"/>
          </w:tcPr>
          <w:p w14:paraId="2F93271D">
            <w:pPr>
              <w:pStyle w:val="41"/>
              <w:rPr>
                <w:color w:val="auto"/>
                <w:highlight w:val="none"/>
              </w:rPr>
            </w:pPr>
            <w:r>
              <w:rPr>
                <w:rFonts w:hint="eastAsia"/>
                <w:color w:val="auto"/>
                <w:highlight w:val="none"/>
              </w:rPr>
              <w:t>O</w:t>
            </w:r>
            <w:r>
              <w:rPr>
                <w:rFonts w:hint="eastAsia"/>
                <w:color w:val="auto"/>
                <w:highlight w:val="none"/>
                <w:vertAlign w:val="subscript"/>
              </w:rPr>
              <w:t>3</w:t>
            </w:r>
          </w:p>
        </w:tc>
        <w:tc>
          <w:tcPr>
            <w:tcW w:w="711" w:type="pct"/>
            <w:vMerge w:val="restart"/>
            <w:tcBorders>
              <w:tl2br w:val="nil"/>
              <w:tr2bl w:val="nil"/>
            </w:tcBorders>
            <w:vAlign w:val="center"/>
          </w:tcPr>
          <w:p w14:paraId="3B5052CF">
            <w:pPr>
              <w:pStyle w:val="41"/>
              <w:rPr>
                <w:color w:val="auto"/>
                <w:highlight w:val="none"/>
              </w:rPr>
            </w:pPr>
            <w:r>
              <w:rPr>
                <w:color w:val="auto"/>
                <w:highlight w:val="none"/>
              </w:rPr>
              <w:t>μg/m</w:t>
            </w:r>
            <w:r>
              <w:rPr>
                <w:color w:val="auto"/>
                <w:highlight w:val="none"/>
                <w:vertAlign w:val="superscript"/>
              </w:rPr>
              <w:t>3</w:t>
            </w:r>
          </w:p>
        </w:tc>
        <w:tc>
          <w:tcPr>
            <w:tcW w:w="939" w:type="pct"/>
            <w:tcBorders>
              <w:tl2br w:val="nil"/>
              <w:tr2bl w:val="nil"/>
            </w:tcBorders>
            <w:vAlign w:val="center"/>
          </w:tcPr>
          <w:p w14:paraId="1385AFC9">
            <w:pPr>
              <w:pStyle w:val="41"/>
              <w:rPr>
                <w:color w:val="auto"/>
                <w:highlight w:val="none"/>
              </w:rPr>
            </w:pPr>
            <w:r>
              <w:rPr>
                <w:rFonts w:hint="eastAsia"/>
                <w:color w:val="auto"/>
                <w:highlight w:val="none"/>
              </w:rPr>
              <w:t>日最大8h平均</w:t>
            </w:r>
          </w:p>
        </w:tc>
        <w:tc>
          <w:tcPr>
            <w:tcW w:w="753" w:type="pct"/>
            <w:tcBorders>
              <w:tl2br w:val="nil"/>
              <w:tr2bl w:val="nil"/>
            </w:tcBorders>
            <w:vAlign w:val="center"/>
          </w:tcPr>
          <w:p w14:paraId="0AB56AAB">
            <w:pPr>
              <w:pStyle w:val="41"/>
              <w:rPr>
                <w:color w:val="auto"/>
                <w:highlight w:val="none"/>
              </w:rPr>
            </w:pPr>
            <w:r>
              <w:rPr>
                <w:rFonts w:hint="eastAsia"/>
                <w:color w:val="auto"/>
                <w:highlight w:val="none"/>
              </w:rPr>
              <w:t>160</w:t>
            </w:r>
          </w:p>
        </w:tc>
        <w:tc>
          <w:tcPr>
            <w:tcW w:w="1794" w:type="pct"/>
            <w:vMerge w:val="continue"/>
            <w:tcBorders>
              <w:tl2br w:val="nil"/>
              <w:tr2bl w:val="nil"/>
            </w:tcBorders>
            <w:vAlign w:val="center"/>
          </w:tcPr>
          <w:p w14:paraId="6CC9E1E2">
            <w:pPr>
              <w:pStyle w:val="41"/>
              <w:rPr>
                <w:color w:val="auto"/>
                <w:highlight w:val="none"/>
              </w:rPr>
            </w:pPr>
          </w:p>
        </w:tc>
      </w:tr>
      <w:tr w14:paraId="7206A1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802" w:type="pct"/>
            <w:vMerge w:val="continue"/>
            <w:tcBorders>
              <w:tl2br w:val="nil"/>
              <w:tr2bl w:val="nil"/>
            </w:tcBorders>
            <w:vAlign w:val="center"/>
          </w:tcPr>
          <w:p w14:paraId="42420D39">
            <w:pPr>
              <w:pStyle w:val="41"/>
              <w:rPr>
                <w:color w:val="auto"/>
                <w:highlight w:val="none"/>
              </w:rPr>
            </w:pPr>
          </w:p>
        </w:tc>
        <w:tc>
          <w:tcPr>
            <w:tcW w:w="711" w:type="pct"/>
            <w:vMerge w:val="continue"/>
            <w:tcBorders>
              <w:tl2br w:val="nil"/>
              <w:tr2bl w:val="nil"/>
            </w:tcBorders>
            <w:vAlign w:val="center"/>
          </w:tcPr>
          <w:p w14:paraId="7B021095">
            <w:pPr>
              <w:pStyle w:val="41"/>
              <w:rPr>
                <w:color w:val="auto"/>
                <w:highlight w:val="none"/>
              </w:rPr>
            </w:pPr>
          </w:p>
        </w:tc>
        <w:tc>
          <w:tcPr>
            <w:tcW w:w="939" w:type="pct"/>
            <w:tcBorders>
              <w:tl2br w:val="nil"/>
              <w:tr2bl w:val="nil"/>
            </w:tcBorders>
            <w:vAlign w:val="center"/>
          </w:tcPr>
          <w:p w14:paraId="19430BE8">
            <w:pPr>
              <w:pStyle w:val="41"/>
              <w:rPr>
                <w:color w:val="auto"/>
                <w:highlight w:val="none"/>
              </w:rPr>
            </w:pPr>
            <w:r>
              <w:rPr>
                <w:rFonts w:hint="eastAsia"/>
                <w:color w:val="auto"/>
                <w:highlight w:val="none"/>
              </w:rPr>
              <w:t>1h平均</w:t>
            </w:r>
          </w:p>
        </w:tc>
        <w:tc>
          <w:tcPr>
            <w:tcW w:w="753" w:type="pct"/>
            <w:tcBorders>
              <w:tl2br w:val="nil"/>
              <w:tr2bl w:val="nil"/>
            </w:tcBorders>
            <w:vAlign w:val="center"/>
          </w:tcPr>
          <w:p w14:paraId="3C2C8CC9">
            <w:pPr>
              <w:pStyle w:val="41"/>
              <w:rPr>
                <w:color w:val="auto"/>
                <w:highlight w:val="none"/>
              </w:rPr>
            </w:pPr>
            <w:r>
              <w:rPr>
                <w:rFonts w:hint="eastAsia"/>
                <w:color w:val="auto"/>
                <w:highlight w:val="none"/>
              </w:rPr>
              <w:t>200</w:t>
            </w:r>
          </w:p>
        </w:tc>
        <w:tc>
          <w:tcPr>
            <w:tcW w:w="1794" w:type="pct"/>
            <w:vMerge w:val="continue"/>
            <w:tcBorders>
              <w:tl2br w:val="nil"/>
              <w:tr2bl w:val="nil"/>
            </w:tcBorders>
            <w:vAlign w:val="center"/>
          </w:tcPr>
          <w:p w14:paraId="1421DC21">
            <w:pPr>
              <w:pStyle w:val="41"/>
              <w:rPr>
                <w:color w:val="auto"/>
                <w:highlight w:val="none"/>
              </w:rPr>
            </w:pPr>
          </w:p>
        </w:tc>
      </w:tr>
      <w:tr w14:paraId="1998BB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802" w:type="pct"/>
            <w:vMerge w:val="restart"/>
            <w:tcBorders>
              <w:tl2br w:val="nil"/>
              <w:tr2bl w:val="nil"/>
            </w:tcBorders>
            <w:vAlign w:val="center"/>
          </w:tcPr>
          <w:p w14:paraId="035D3902">
            <w:pPr>
              <w:pStyle w:val="41"/>
              <w:rPr>
                <w:color w:val="auto"/>
                <w:highlight w:val="none"/>
              </w:rPr>
            </w:pPr>
            <w:r>
              <w:rPr>
                <w:rFonts w:hint="eastAsia"/>
                <w:color w:val="auto"/>
                <w:highlight w:val="none"/>
              </w:rPr>
              <w:t>PM</w:t>
            </w:r>
            <w:r>
              <w:rPr>
                <w:rFonts w:hint="eastAsia"/>
                <w:color w:val="auto"/>
                <w:highlight w:val="none"/>
                <w:vertAlign w:val="subscript"/>
              </w:rPr>
              <w:t>10</w:t>
            </w:r>
          </w:p>
        </w:tc>
        <w:tc>
          <w:tcPr>
            <w:tcW w:w="711" w:type="pct"/>
            <w:vMerge w:val="restart"/>
            <w:tcBorders>
              <w:tl2br w:val="nil"/>
              <w:tr2bl w:val="nil"/>
            </w:tcBorders>
            <w:vAlign w:val="center"/>
          </w:tcPr>
          <w:p w14:paraId="2A60A7B8">
            <w:pPr>
              <w:pStyle w:val="41"/>
              <w:rPr>
                <w:color w:val="auto"/>
                <w:highlight w:val="none"/>
              </w:rPr>
            </w:pPr>
            <w:r>
              <w:rPr>
                <w:color w:val="auto"/>
                <w:highlight w:val="none"/>
              </w:rPr>
              <w:t>μg/m</w:t>
            </w:r>
            <w:r>
              <w:rPr>
                <w:color w:val="auto"/>
                <w:highlight w:val="none"/>
                <w:vertAlign w:val="superscript"/>
              </w:rPr>
              <w:t>3</w:t>
            </w:r>
          </w:p>
        </w:tc>
        <w:tc>
          <w:tcPr>
            <w:tcW w:w="939" w:type="pct"/>
            <w:tcBorders>
              <w:tl2br w:val="nil"/>
              <w:tr2bl w:val="nil"/>
            </w:tcBorders>
            <w:vAlign w:val="center"/>
          </w:tcPr>
          <w:p w14:paraId="590EF4D7">
            <w:pPr>
              <w:pStyle w:val="41"/>
              <w:rPr>
                <w:color w:val="auto"/>
                <w:highlight w:val="none"/>
              </w:rPr>
            </w:pPr>
            <w:r>
              <w:rPr>
                <w:rFonts w:hint="eastAsia"/>
                <w:color w:val="auto"/>
                <w:highlight w:val="none"/>
              </w:rPr>
              <w:t>年平均</w:t>
            </w:r>
          </w:p>
        </w:tc>
        <w:tc>
          <w:tcPr>
            <w:tcW w:w="753" w:type="pct"/>
            <w:tcBorders>
              <w:tl2br w:val="nil"/>
              <w:tr2bl w:val="nil"/>
            </w:tcBorders>
            <w:vAlign w:val="center"/>
          </w:tcPr>
          <w:p w14:paraId="2DD3C262">
            <w:pPr>
              <w:pStyle w:val="41"/>
              <w:rPr>
                <w:color w:val="auto"/>
                <w:highlight w:val="none"/>
              </w:rPr>
            </w:pPr>
            <w:r>
              <w:rPr>
                <w:rFonts w:hint="eastAsia"/>
                <w:color w:val="auto"/>
                <w:highlight w:val="none"/>
              </w:rPr>
              <w:t>60</w:t>
            </w:r>
          </w:p>
        </w:tc>
        <w:tc>
          <w:tcPr>
            <w:tcW w:w="1794" w:type="pct"/>
            <w:vMerge w:val="continue"/>
            <w:tcBorders>
              <w:tl2br w:val="nil"/>
              <w:tr2bl w:val="nil"/>
            </w:tcBorders>
            <w:vAlign w:val="center"/>
          </w:tcPr>
          <w:p w14:paraId="2FD5011E">
            <w:pPr>
              <w:pStyle w:val="41"/>
              <w:rPr>
                <w:color w:val="auto"/>
                <w:highlight w:val="none"/>
              </w:rPr>
            </w:pPr>
          </w:p>
        </w:tc>
      </w:tr>
      <w:tr w14:paraId="3D1364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802" w:type="pct"/>
            <w:vMerge w:val="continue"/>
            <w:tcBorders>
              <w:tl2br w:val="nil"/>
              <w:tr2bl w:val="nil"/>
            </w:tcBorders>
            <w:vAlign w:val="center"/>
          </w:tcPr>
          <w:p w14:paraId="1366DAFD">
            <w:pPr>
              <w:pStyle w:val="41"/>
              <w:rPr>
                <w:color w:val="auto"/>
                <w:highlight w:val="none"/>
              </w:rPr>
            </w:pPr>
          </w:p>
        </w:tc>
        <w:tc>
          <w:tcPr>
            <w:tcW w:w="711" w:type="pct"/>
            <w:vMerge w:val="continue"/>
            <w:tcBorders>
              <w:tl2br w:val="nil"/>
              <w:tr2bl w:val="nil"/>
            </w:tcBorders>
            <w:vAlign w:val="center"/>
          </w:tcPr>
          <w:p w14:paraId="6BEBDE85">
            <w:pPr>
              <w:pStyle w:val="41"/>
              <w:rPr>
                <w:color w:val="auto"/>
                <w:highlight w:val="none"/>
              </w:rPr>
            </w:pPr>
          </w:p>
        </w:tc>
        <w:tc>
          <w:tcPr>
            <w:tcW w:w="939" w:type="pct"/>
            <w:tcBorders>
              <w:tl2br w:val="nil"/>
              <w:tr2bl w:val="nil"/>
            </w:tcBorders>
            <w:vAlign w:val="center"/>
          </w:tcPr>
          <w:p w14:paraId="52C48083">
            <w:pPr>
              <w:pStyle w:val="41"/>
              <w:rPr>
                <w:color w:val="auto"/>
                <w:highlight w:val="none"/>
              </w:rPr>
            </w:pPr>
            <w:r>
              <w:rPr>
                <w:rFonts w:hint="eastAsia"/>
                <w:color w:val="auto"/>
                <w:highlight w:val="none"/>
              </w:rPr>
              <w:t>24h平均</w:t>
            </w:r>
          </w:p>
        </w:tc>
        <w:tc>
          <w:tcPr>
            <w:tcW w:w="753" w:type="pct"/>
            <w:tcBorders>
              <w:tl2br w:val="nil"/>
              <w:tr2bl w:val="nil"/>
            </w:tcBorders>
            <w:vAlign w:val="center"/>
          </w:tcPr>
          <w:p w14:paraId="57830684">
            <w:pPr>
              <w:pStyle w:val="41"/>
              <w:rPr>
                <w:color w:val="auto"/>
                <w:highlight w:val="none"/>
              </w:rPr>
            </w:pPr>
            <w:r>
              <w:rPr>
                <w:rFonts w:hint="eastAsia"/>
                <w:color w:val="auto"/>
                <w:highlight w:val="none"/>
              </w:rPr>
              <w:t>120</w:t>
            </w:r>
          </w:p>
        </w:tc>
        <w:tc>
          <w:tcPr>
            <w:tcW w:w="1794" w:type="pct"/>
            <w:vMerge w:val="continue"/>
            <w:tcBorders>
              <w:tl2br w:val="nil"/>
              <w:tr2bl w:val="nil"/>
            </w:tcBorders>
            <w:vAlign w:val="center"/>
          </w:tcPr>
          <w:p w14:paraId="589DE97E">
            <w:pPr>
              <w:pStyle w:val="41"/>
              <w:rPr>
                <w:color w:val="auto"/>
                <w:highlight w:val="none"/>
              </w:rPr>
            </w:pPr>
          </w:p>
        </w:tc>
      </w:tr>
      <w:tr w14:paraId="4C828E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802" w:type="pct"/>
            <w:vMerge w:val="restart"/>
            <w:tcBorders>
              <w:tl2br w:val="nil"/>
              <w:tr2bl w:val="nil"/>
            </w:tcBorders>
            <w:vAlign w:val="center"/>
          </w:tcPr>
          <w:p w14:paraId="2BF272C2">
            <w:pPr>
              <w:pStyle w:val="41"/>
              <w:rPr>
                <w:color w:val="auto"/>
                <w:highlight w:val="none"/>
              </w:rPr>
            </w:pPr>
            <w:r>
              <w:rPr>
                <w:rFonts w:hint="eastAsia"/>
                <w:color w:val="auto"/>
                <w:highlight w:val="none"/>
              </w:rPr>
              <w:t>PM</w:t>
            </w:r>
            <w:r>
              <w:rPr>
                <w:rFonts w:hint="eastAsia"/>
                <w:color w:val="auto"/>
                <w:highlight w:val="none"/>
                <w:vertAlign w:val="subscript"/>
              </w:rPr>
              <w:t>2.5</w:t>
            </w:r>
          </w:p>
        </w:tc>
        <w:tc>
          <w:tcPr>
            <w:tcW w:w="711" w:type="pct"/>
            <w:vMerge w:val="restart"/>
            <w:tcBorders>
              <w:tl2br w:val="nil"/>
              <w:tr2bl w:val="nil"/>
            </w:tcBorders>
            <w:vAlign w:val="center"/>
          </w:tcPr>
          <w:p w14:paraId="0F29581E">
            <w:pPr>
              <w:pStyle w:val="41"/>
              <w:rPr>
                <w:color w:val="auto"/>
                <w:highlight w:val="none"/>
              </w:rPr>
            </w:pPr>
            <w:r>
              <w:rPr>
                <w:color w:val="auto"/>
                <w:highlight w:val="none"/>
              </w:rPr>
              <w:t>μg/m</w:t>
            </w:r>
            <w:r>
              <w:rPr>
                <w:color w:val="auto"/>
                <w:highlight w:val="none"/>
                <w:vertAlign w:val="superscript"/>
              </w:rPr>
              <w:t>3</w:t>
            </w:r>
          </w:p>
        </w:tc>
        <w:tc>
          <w:tcPr>
            <w:tcW w:w="939" w:type="pct"/>
            <w:tcBorders>
              <w:tl2br w:val="nil"/>
              <w:tr2bl w:val="nil"/>
            </w:tcBorders>
            <w:vAlign w:val="center"/>
          </w:tcPr>
          <w:p w14:paraId="40262FFE">
            <w:pPr>
              <w:pStyle w:val="41"/>
              <w:rPr>
                <w:color w:val="auto"/>
                <w:highlight w:val="none"/>
              </w:rPr>
            </w:pPr>
            <w:r>
              <w:rPr>
                <w:rFonts w:hint="eastAsia"/>
                <w:color w:val="auto"/>
                <w:highlight w:val="none"/>
              </w:rPr>
              <w:t>年平均</w:t>
            </w:r>
          </w:p>
        </w:tc>
        <w:tc>
          <w:tcPr>
            <w:tcW w:w="753" w:type="pct"/>
            <w:tcBorders>
              <w:tl2br w:val="nil"/>
              <w:tr2bl w:val="nil"/>
            </w:tcBorders>
            <w:vAlign w:val="center"/>
          </w:tcPr>
          <w:p w14:paraId="140C0CDA">
            <w:pPr>
              <w:pStyle w:val="41"/>
              <w:rPr>
                <w:color w:val="auto"/>
                <w:highlight w:val="none"/>
              </w:rPr>
            </w:pPr>
            <w:r>
              <w:rPr>
                <w:rFonts w:hint="eastAsia"/>
                <w:color w:val="auto"/>
                <w:highlight w:val="none"/>
              </w:rPr>
              <w:t>30</w:t>
            </w:r>
          </w:p>
        </w:tc>
        <w:tc>
          <w:tcPr>
            <w:tcW w:w="1794" w:type="pct"/>
            <w:vMerge w:val="continue"/>
            <w:tcBorders>
              <w:tl2br w:val="nil"/>
              <w:tr2bl w:val="nil"/>
            </w:tcBorders>
            <w:vAlign w:val="center"/>
          </w:tcPr>
          <w:p w14:paraId="2D55B80D">
            <w:pPr>
              <w:pStyle w:val="41"/>
              <w:rPr>
                <w:color w:val="auto"/>
                <w:highlight w:val="none"/>
              </w:rPr>
            </w:pPr>
          </w:p>
        </w:tc>
      </w:tr>
      <w:tr w14:paraId="256EED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802" w:type="pct"/>
            <w:vMerge w:val="continue"/>
            <w:tcBorders>
              <w:tl2br w:val="nil"/>
              <w:tr2bl w:val="nil"/>
            </w:tcBorders>
            <w:vAlign w:val="center"/>
          </w:tcPr>
          <w:p w14:paraId="47A89FBF">
            <w:pPr>
              <w:pStyle w:val="41"/>
              <w:rPr>
                <w:color w:val="auto"/>
                <w:highlight w:val="none"/>
              </w:rPr>
            </w:pPr>
          </w:p>
        </w:tc>
        <w:tc>
          <w:tcPr>
            <w:tcW w:w="711" w:type="pct"/>
            <w:vMerge w:val="continue"/>
            <w:tcBorders>
              <w:tl2br w:val="nil"/>
              <w:tr2bl w:val="nil"/>
            </w:tcBorders>
            <w:vAlign w:val="center"/>
          </w:tcPr>
          <w:p w14:paraId="2B0549DD">
            <w:pPr>
              <w:pStyle w:val="41"/>
              <w:rPr>
                <w:color w:val="auto"/>
                <w:highlight w:val="none"/>
              </w:rPr>
            </w:pPr>
          </w:p>
        </w:tc>
        <w:tc>
          <w:tcPr>
            <w:tcW w:w="939" w:type="pct"/>
            <w:tcBorders>
              <w:tl2br w:val="nil"/>
              <w:tr2bl w:val="nil"/>
            </w:tcBorders>
            <w:vAlign w:val="center"/>
          </w:tcPr>
          <w:p w14:paraId="04EF7735">
            <w:pPr>
              <w:pStyle w:val="41"/>
              <w:rPr>
                <w:color w:val="auto"/>
                <w:highlight w:val="none"/>
              </w:rPr>
            </w:pPr>
            <w:r>
              <w:rPr>
                <w:rFonts w:hint="eastAsia"/>
                <w:color w:val="auto"/>
                <w:highlight w:val="none"/>
              </w:rPr>
              <w:t>24h平均</w:t>
            </w:r>
          </w:p>
        </w:tc>
        <w:tc>
          <w:tcPr>
            <w:tcW w:w="753" w:type="pct"/>
            <w:tcBorders>
              <w:tl2br w:val="nil"/>
              <w:tr2bl w:val="nil"/>
            </w:tcBorders>
            <w:vAlign w:val="center"/>
          </w:tcPr>
          <w:p w14:paraId="71BCF083">
            <w:pPr>
              <w:pStyle w:val="41"/>
              <w:rPr>
                <w:color w:val="auto"/>
                <w:highlight w:val="none"/>
              </w:rPr>
            </w:pPr>
            <w:r>
              <w:rPr>
                <w:rFonts w:hint="eastAsia"/>
                <w:color w:val="auto"/>
                <w:highlight w:val="none"/>
              </w:rPr>
              <w:t>60</w:t>
            </w:r>
          </w:p>
        </w:tc>
        <w:tc>
          <w:tcPr>
            <w:tcW w:w="1794" w:type="pct"/>
            <w:vMerge w:val="continue"/>
            <w:tcBorders>
              <w:tl2br w:val="nil"/>
              <w:tr2bl w:val="nil"/>
            </w:tcBorders>
            <w:vAlign w:val="center"/>
          </w:tcPr>
          <w:p w14:paraId="7863BDA2">
            <w:pPr>
              <w:pStyle w:val="41"/>
              <w:rPr>
                <w:color w:val="auto"/>
                <w:highlight w:val="none"/>
              </w:rPr>
            </w:pPr>
          </w:p>
        </w:tc>
      </w:tr>
      <w:tr w14:paraId="3DBB80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802" w:type="pct"/>
            <w:vMerge w:val="restart"/>
            <w:tcBorders>
              <w:tl2br w:val="nil"/>
              <w:tr2bl w:val="nil"/>
            </w:tcBorders>
            <w:vAlign w:val="center"/>
          </w:tcPr>
          <w:p w14:paraId="2B949F7D">
            <w:pPr>
              <w:pStyle w:val="41"/>
              <w:rPr>
                <w:color w:val="auto"/>
                <w:highlight w:val="none"/>
              </w:rPr>
            </w:pPr>
            <w:r>
              <w:rPr>
                <w:rFonts w:hint="eastAsia"/>
                <w:color w:val="auto"/>
                <w:highlight w:val="none"/>
              </w:rPr>
              <w:t>TSP</w:t>
            </w:r>
          </w:p>
        </w:tc>
        <w:tc>
          <w:tcPr>
            <w:tcW w:w="711" w:type="pct"/>
            <w:vMerge w:val="restart"/>
            <w:tcBorders>
              <w:tl2br w:val="nil"/>
              <w:tr2bl w:val="nil"/>
            </w:tcBorders>
            <w:vAlign w:val="center"/>
          </w:tcPr>
          <w:p w14:paraId="7FB759AB">
            <w:pPr>
              <w:pStyle w:val="41"/>
              <w:rPr>
                <w:color w:val="auto"/>
                <w:highlight w:val="none"/>
              </w:rPr>
            </w:pPr>
            <w:r>
              <w:rPr>
                <w:color w:val="auto"/>
                <w:highlight w:val="none"/>
              </w:rPr>
              <w:t>μg/m</w:t>
            </w:r>
            <w:r>
              <w:rPr>
                <w:color w:val="auto"/>
                <w:highlight w:val="none"/>
                <w:vertAlign w:val="superscript"/>
              </w:rPr>
              <w:t>3</w:t>
            </w:r>
          </w:p>
        </w:tc>
        <w:tc>
          <w:tcPr>
            <w:tcW w:w="939" w:type="pct"/>
            <w:tcBorders>
              <w:tl2br w:val="nil"/>
              <w:tr2bl w:val="nil"/>
            </w:tcBorders>
            <w:vAlign w:val="center"/>
          </w:tcPr>
          <w:p w14:paraId="37F7FE77">
            <w:pPr>
              <w:pStyle w:val="41"/>
              <w:rPr>
                <w:color w:val="auto"/>
                <w:highlight w:val="none"/>
              </w:rPr>
            </w:pPr>
            <w:r>
              <w:rPr>
                <w:rFonts w:hint="eastAsia"/>
                <w:color w:val="auto"/>
                <w:highlight w:val="none"/>
              </w:rPr>
              <w:t>年平均</w:t>
            </w:r>
          </w:p>
        </w:tc>
        <w:tc>
          <w:tcPr>
            <w:tcW w:w="753" w:type="pct"/>
            <w:tcBorders>
              <w:tl2br w:val="nil"/>
              <w:tr2bl w:val="nil"/>
            </w:tcBorders>
            <w:vAlign w:val="center"/>
          </w:tcPr>
          <w:p w14:paraId="3FE9F31F">
            <w:pPr>
              <w:pStyle w:val="41"/>
              <w:rPr>
                <w:color w:val="auto"/>
                <w:highlight w:val="none"/>
              </w:rPr>
            </w:pPr>
            <w:r>
              <w:rPr>
                <w:rFonts w:hint="eastAsia"/>
                <w:color w:val="auto"/>
                <w:highlight w:val="none"/>
              </w:rPr>
              <w:t>200</w:t>
            </w:r>
          </w:p>
        </w:tc>
        <w:tc>
          <w:tcPr>
            <w:tcW w:w="1794" w:type="pct"/>
            <w:vMerge w:val="restart"/>
            <w:tcBorders>
              <w:tl2br w:val="nil"/>
              <w:tr2bl w:val="nil"/>
            </w:tcBorders>
            <w:vAlign w:val="center"/>
          </w:tcPr>
          <w:p w14:paraId="0D20C894">
            <w:pPr>
              <w:pStyle w:val="41"/>
              <w:rPr>
                <w:color w:val="auto"/>
                <w:highlight w:val="none"/>
              </w:rPr>
            </w:pPr>
            <w:r>
              <w:rPr>
                <w:rFonts w:hint="eastAsia"/>
                <w:color w:val="auto"/>
                <w:highlight w:val="none"/>
              </w:rPr>
              <w:t>《环境空气质量标准》（GB3095-2026）二级标准</w:t>
            </w:r>
          </w:p>
        </w:tc>
      </w:tr>
      <w:tr w14:paraId="6EC7BE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802" w:type="pct"/>
            <w:vMerge w:val="continue"/>
            <w:tcBorders>
              <w:tl2br w:val="nil"/>
              <w:tr2bl w:val="nil"/>
            </w:tcBorders>
            <w:vAlign w:val="center"/>
          </w:tcPr>
          <w:p w14:paraId="5D4AEFAE">
            <w:pPr>
              <w:pStyle w:val="41"/>
              <w:rPr>
                <w:color w:val="auto"/>
                <w:highlight w:val="none"/>
              </w:rPr>
            </w:pPr>
          </w:p>
        </w:tc>
        <w:tc>
          <w:tcPr>
            <w:tcW w:w="711" w:type="pct"/>
            <w:vMerge w:val="continue"/>
            <w:tcBorders>
              <w:tl2br w:val="nil"/>
              <w:tr2bl w:val="nil"/>
            </w:tcBorders>
            <w:vAlign w:val="center"/>
          </w:tcPr>
          <w:p w14:paraId="1ED9C0CD">
            <w:pPr>
              <w:pStyle w:val="41"/>
              <w:rPr>
                <w:color w:val="auto"/>
                <w:highlight w:val="none"/>
              </w:rPr>
            </w:pPr>
          </w:p>
        </w:tc>
        <w:tc>
          <w:tcPr>
            <w:tcW w:w="939" w:type="pct"/>
            <w:tcBorders>
              <w:tl2br w:val="nil"/>
              <w:tr2bl w:val="nil"/>
            </w:tcBorders>
            <w:vAlign w:val="center"/>
          </w:tcPr>
          <w:p w14:paraId="22C6431A">
            <w:pPr>
              <w:pStyle w:val="41"/>
              <w:rPr>
                <w:color w:val="auto"/>
                <w:highlight w:val="none"/>
              </w:rPr>
            </w:pPr>
            <w:r>
              <w:rPr>
                <w:rFonts w:hint="eastAsia"/>
                <w:color w:val="auto"/>
                <w:highlight w:val="none"/>
              </w:rPr>
              <w:t>24h平均</w:t>
            </w:r>
          </w:p>
        </w:tc>
        <w:tc>
          <w:tcPr>
            <w:tcW w:w="753" w:type="pct"/>
            <w:tcBorders>
              <w:tl2br w:val="nil"/>
              <w:tr2bl w:val="nil"/>
            </w:tcBorders>
            <w:vAlign w:val="center"/>
          </w:tcPr>
          <w:p w14:paraId="2B0912FD">
            <w:pPr>
              <w:pStyle w:val="41"/>
              <w:rPr>
                <w:color w:val="auto"/>
                <w:highlight w:val="none"/>
              </w:rPr>
            </w:pPr>
            <w:r>
              <w:rPr>
                <w:rFonts w:hint="eastAsia"/>
                <w:color w:val="auto"/>
                <w:highlight w:val="none"/>
              </w:rPr>
              <w:t>300</w:t>
            </w:r>
          </w:p>
        </w:tc>
        <w:tc>
          <w:tcPr>
            <w:tcW w:w="1794" w:type="pct"/>
            <w:vMerge w:val="continue"/>
            <w:tcBorders>
              <w:tl2br w:val="nil"/>
              <w:tr2bl w:val="nil"/>
            </w:tcBorders>
            <w:vAlign w:val="center"/>
          </w:tcPr>
          <w:p w14:paraId="162A45E2">
            <w:pPr>
              <w:pStyle w:val="41"/>
              <w:rPr>
                <w:color w:val="auto"/>
                <w:highlight w:val="none"/>
              </w:rPr>
            </w:pPr>
          </w:p>
        </w:tc>
      </w:tr>
    </w:tbl>
    <w:p w14:paraId="7FD0EA1A">
      <w:pPr>
        <w:pStyle w:val="3"/>
        <w:ind w:firstLine="480"/>
        <w:rPr>
          <w:color w:val="auto"/>
          <w:highlight w:val="none"/>
        </w:rPr>
      </w:pPr>
      <w:r>
        <w:rPr>
          <w:rFonts w:hint="eastAsia"/>
          <w:color w:val="auto"/>
          <w:highlight w:val="none"/>
        </w:rPr>
        <w:t>（2）地表水</w:t>
      </w:r>
    </w:p>
    <w:p w14:paraId="0CB1DB10">
      <w:pPr>
        <w:pStyle w:val="3"/>
        <w:ind w:firstLine="480"/>
        <w:rPr>
          <w:color w:val="auto"/>
          <w:highlight w:val="none"/>
        </w:rPr>
      </w:pPr>
      <w:r>
        <w:rPr>
          <w:color w:val="auto"/>
          <w:highlight w:val="none"/>
        </w:rPr>
        <w:t>地表水环境执行《地表水环境质量标准》</w:t>
      </w:r>
      <w:r>
        <w:rPr>
          <w:rFonts w:hint="eastAsia"/>
          <w:color w:val="auto"/>
          <w:highlight w:val="none"/>
          <w:lang w:eastAsia="zh-CN"/>
        </w:rPr>
        <w:t>（</w:t>
      </w:r>
      <w:r>
        <w:rPr>
          <w:color w:val="auto"/>
          <w:highlight w:val="none"/>
        </w:rPr>
        <w:t>GB3838-2002</w:t>
      </w:r>
      <w:r>
        <w:rPr>
          <w:rFonts w:hint="eastAsia"/>
          <w:color w:val="auto"/>
          <w:highlight w:val="none"/>
          <w:lang w:eastAsia="zh-CN"/>
        </w:rPr>
        <w:t>）</w:t>
      </w:r>
      <w:r>
        <w:rPr>
          <w:color w:val="auto"/>
          <w:highlight w:val="none"/>
        </w:rPr>
        <w:t>中Ⅱ类标准，具体详见</w:t>
      </w:r>
      <w:r>
        <w:rPr>
          <w:rFonts w:hint="eastAsia"/>
          <w:color w:val="auto"/>
          <w:highlight w:val="none"/>
        </w:rPr>
        <w:t>下</w:t>
      </w:r>
      <w:r>
        <w:rPr>
          <w:color w:val="auto"/>
          <w:highlight w:val="none"/>
        </w:rPr>
        <w:t>表</w:t>
      </w:r>
      <w:r>
        <w:rPr>
          <w:rFonts w:hint="eastAsia"/>
          <w:color w:val="auto"/>
          <w:highlight w:val="none"/>
        </w:rPr>
        <w:t>：</w:t>
      </w:r>
    </w:p>
    <w:p w14:paraId="1E2DB2C8">
      <w:pPr>
        <w:pStyle w:val="40"/>
        <w:spacing w:before="24" w:after="24"/>
        <w:rPr>
          <w:color w:val="auto"/>
          <w:highlight w:val="none"/>
        </w:rPr>
      </w:pPr>
      <w:r>
        <w:rPr>
          <w:color w:val="auto"/>
          <w:highlight w:val="none"/>
        </w:rPr>
        <w:t>表2.4-</w:t>
      </w:r>
      <w:r>
        <w:rPr>
          <w:rFonts w:hint="eastAsia"/>
          <w:color w:val="auto"/>
          <w:highlight w:val="none"/>
        </w:rPr>
        <w:t>2</w:t>
      </w:r>
      <w:r>
        <w:rPr>
          <w:color w:val="auto"/>
          <w:highlight w:val="none"/>
        </w:rPr>
        <w:t xml:space="preserve">     《地表水环境质量标准》</w:t>
      </w:r>
      <w:r>
        <w:rPr>
          <w:rFonts w:hint="eastAsia"/>
          <w:color w:val="auto"/>
          <w:highlight w:val="none"/>
          <w:lang w:eastAsia="zh-CN"/>
        </w:rPr>
        <w:t>（</w:t>
      </w:r>
      <w:r>
        <w:rPr>
          <w:color w:val="auto"/>
          <w:highlight w:val="none"/>
        </w:rPr>
        <w:t>GB3838-2002</w:t>
      </w:r>
      <w:r>
        <w:rPr>
          <w:rFonts w:hint="eastAsia"/>
          <w:color w:val="auto"/>
          <w:highlight w:val="none"/>
          <w:lang w:eastAsia="zh-CN"/>
        </w:rPr>
        <w:t>）</w:t>
      </w:r>
      <w:r>
        <w:rPr>
          <w:color w:val="auto"/>
          <w:highlight w:val="none"/>
        </w:rPr>
        <w:t>Ⅱ类标准单位：mg/L</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3"/>
        <w:gridCol w:w="2003"/>
        <w:gridCol w:w="1144"/>
        <w:gridCol w:w="787"/>
        <w:gridCol w:w="2084"/>
        <w:gridCol w:w="1621"/>
      </w:tblGrid>
      <w:tr w14:paraId="763062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jc w:val="center"/>
        </w:trPr>
        <w:tc>
          <w:tcPr>
            <w:tcW w:w="883" w:type="dxa"/>
            <w:vAlign w:val="center"/>
          </w:tcPr>
          <w:p w14:paraId="5A305E73">
            <w:pPr>
              <w:pStyle w:val="41"/>
              <w:rPr>
                <w:color w:val="auto"/>
                <w:highlight w:val="none"/>
              </w:rPr>
            </w:pPr>
            <w:r>
              <w:rPr>
                <w:color w:val="auto"/>
                <w:highlight w:val="none"/>
              </w:rPr>
              <w:t>序号</w:t>
            </w:r>
          </w:p>
        </w:tc>
        <w:tc>
          <w:tcPr>
            <w:tcW w:w="2003" w:type="dxa"/>
            <w:vAlign w:val="center"/>
          </w:tcPr>
          <w:p w14:paraId="0CA439AC">
            <w:pPr>
              <w:pStyle w:val="41"/>
              <w:rPr>
                <w:color w:val="auto"/>
                <w:highlight w:val="none"/>
              </w:rPr>
            </w:pPr>
            <w:r>
              <w:rPr>
                <w:color w:val="auto"/>
                <w:highlight w:val="none"/>
              </w:rPr>
              <w:t>项目</w:t>
            </w:r>
          </w:p>
        </w:tc>
        <w:tc>
          <w:tcPr>
            <w:tcW w:w="1144" w:type="dxa"/>
            <w:vAlign w:val="center"/>
          </w:tcPr>
          <w:p w14:paraId="13453170">
            <w:pPr>
              <w:pStyle w:val="41"/>
              <w:rPr>
                <w:color w:val="auto"/>
                <w:highlight w:val="none"/>
              </w:rPr>
            </w:pPr>
            <w:r>
              <w:rPr>
                <w:color w:val="auto"/>
                <w:highlight w:val="none"/>
              </w:rPr>
              <w:t>标准</w:t>
            </w:r>
          </w:p>
        </w:tc>
        <w:tc>
          <w:tcPr>
            <w:tcW w:w="787" w:type="dxa"/>
            <w:vAlign w:val="center"/>
          </w:tcPr>
          <w:p w14:paraId="608640C5">
            <w:pPr>
              <w:pStyle w:val="41"/>
              <w:rPr>
                <w:color w:val="auto"/>
                <w:highlight w:val="none"/>
              </w:rPr>
            </w:pPr>
            <w:r>
              <w:rPr>
                <w:color w:val="auto"/>
                <w:highlight w:val="none"/>
              </w:rPr>
              <w:t>序号</w:t>
            </w:r>
          </w:p>
        </w:tc>
        <w:tc>
          <w:tcPr>
            <w:tcW w:w="2084" w:type="dxa"/>
            <w:vAlign w:val="center"/>
          </w:tcPr>
          <w:p w14:paraId="196FB06B">
            <w:pPr>
              <w:pStyle w:val="41"/>
              <w:rPr>
                <w:color w:val="auto"/>
                <w:highlight w:val="none"/>
              </w:rPr>
            </w:pPr>
            <w:r>
              <w:rPr>
                <w:color w:val="auto"/>
                <w:highlight w:val="none"/>
              </w:rPr>
              <w:t>项目</w:t>
            </w:r>
          </w:p>
        </w:tc>
        <w:tc>
          <w:tcPr>
            <w:tcW w:w="1621" w:type="dxa"/>
            <w:vAlign w:val="center"/>
          </w:tcPr>
          <w:p w14:paraId="6CCFAD18">
            <w:pPr>
              <w:pStyle w:val="41"/>
              <w:rPr>
                <w:color w:val="auto"/>
                <w:highlight w:val="none"/>
              </w:rPr>
            </w:pPr>
            <w:r>
              <w:rPr>
                <w:color w:val="auto"/>
                <w:highlight w:val="none"/>
              </w:rPr>
              <w:t>标准</w:t>
            </w:r>
          </w:p>
        </w:tc>
      </w:tr>
      <w:tr w14:paraId="04097D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883" w:type="dxa"/>
            <w:vAlign w:val="center"/>
          </w:tcPr>
          <w:p w14:paraId="3947B6A9">
            <w:pPr>
              <w:pStyle w:val="41"/>
              <w:rPr>
                <w:color w:val="auto"/>
                <w:highlight w:val="none"/>
              </w:rPr>
            </w:pPr>
            <w:r>
              <w:rPr>
                <w:color w:val="auto"/>
                <w:highlight w:val="none"/>
              </w:rPr>
              <w:t>1</w:t>
            </w:r>
          </w:p>
        </w:tc>
        <w:tc>
          <w:tcPr>
            <w:tcW w:w="2003" w:type="dxa"/>
            <w:vAlign w:val="center"/>
          </w:tcPr>
          <w:p w14:paraId="0F374372">
            <w:pPr>
              <w:pStyle w:val="41"/>
              <w:rPr>
                <w:color w:val="auto"/>
                <w:highlight w:val="none"/>
              </w:rPr>
            </w:pPr>
            <w:r>
              <w:rPr>
                <w:color w:val="auto"/>
                <w:highlight w:val="none"/>
              </w:rPr>
              <w:t>pH</w:t>
            </w:r>
          </w:p>
        </w:tc>
        <w:tc>
          <w:tcPr>
            <w:tcW w:w="1144" w:type="dxa"/>
            <w:vAlign w:val="center"/>
          </w:tcPr>
          <w:p w14:paraId="56231BEB">
            <w:pPr>
              <w:pStyle w:val="41"/>
              <w:rPr>
                <w:color w:val="auto"/>
                <w:highlight w:val="none"/>
              </w:rPr>
            </w:pPr>
            <w:r>
              <w:rPr>
                <w:color w:val="auto"/>
                <w:highlight w:val="none"/>
              </w:rPr>
              <w:t>6</w:t>
            </w:r>
            <w:r>
              <w:rPr>
                <w:rFonts w:hint="eastAsia"/>
                <w:color w:val="auto"/>
                <w:highlight w:val="none"/>
                <w:lang w:eastAsia="zh-CN"/>
              </w:rPr>
              <w:t>~</w:t>
            </w:r>
            <w:r>
              <w:rPr>
                <w:color w:val="auto"/>
                <w:highlight w:val="none"/>
              </w:rPr>
              <w:t>9</w:t>
            </w:r>
          </w:p>
        </w:tc>
        <w:tc>
          <w:tcPr>
            <w:tcW w:w="787" w:type="dxa"/>
            <w:vAlign w:val="center"/>
          </w:tcPr>
          <w:p w14:paraId="1BF2E65B">
            <w:pPr>
              <w:pStyle w:val="41"/>
              <w:rPr>
                <w:color w:val="auto"/>
                <w:highlight w:val="none"/>
              </w:rPr>
            </w:pPr>
            <w:r>
              <w:rPr>
                <w:color w:val="auto"/>
                <w:highlight w:val="none"/>
              </w:rPr>
              <w:t>13</w:t>
            </w:r>
          </w:p>
        </w:tc>
        <w:tc>
          <w:tcPr>
            <w:tcW w:w="2084" w:type="dxa"/>
            <w:vAlign w:val="center"/>
          </w:tcPr>
          <w:p w14:paraId="507BFEAF">
            <w:pPr>
              <w:pStyle w:val="41"/>
              <w:rPr>
                <w:color w:val="auto"/>
                <w:highlight w:val="none"/>
              </w:rPr>
            </w:pPr>
            <w:r>
              <w:rPr>
                <w:color w:val="auto"/>
                <w:highlight w:val="none"/>
              </w:rPr>
              <w:t>铅</w:t>
            </w:r>
          </w:p>
        </w:tc>
        <w:tc>
          <w:tcPr>
            <w:tcW w:w="1621" w:type="dxa"/>
            <w:vAlign w:val="center"/>
          </w:tcPr>
          <w:p w14:paraId="3FE6604F">
            <w:pPr>
              <w:pStyle w:val="41"/>
              <w:rPr>
                <w:color w:val="auto"/>
                <w:highlight w:val="none"/>
              </w:rPr>
            </w:pPr>
            <w:r>
              <w:rPr>
                <w:color w:val="auto"/>
                <w:highlight w:val="none"/>
              </w:rPr>
              <w:t>≤0.05</w:t>
            </w:r>
          </w:p>
        </w:tc>
      </w:tr>
      <w:tr w14:paraId="26970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83" w:type="dxa"/>
            <w:vAlign w:val="center"/>
          </w:tcPr>
          <w:p w14:paraId="7B18110A">
            <w:pPr>
              <w:pStyle w:val="41"/>
              <w:rPr>
                <w:color w:val="auto"/>
                <w:highlight w:val="none"/>
              </w:rPr>
            </w:pPr>
            <w:r>
              <w:rPr>
                <w:color w:val="auto"/>
                <w:highlight w:val="none"/>
              </w:rPr>
              <w:t>2</w:t>
            </w:r>
          </w:p>
        </w:tc>
        <w:tc>
          <w:tcPr>
            <w:tcW w:w="2003" w:type="dxa"/>
            <w:vAlign w:val="center"/>
          </w:tcPr>
          <w:p w14:paraId="65529D53">
            <w:pPr>
              <w:pStyle w:val="41"/>
              <w:rPr>
                <w:color w:val="auto"/>
                <w:highlight w:val="none"/>
              </w:rPr>
            </w:pPr>
            <w:r>
              <w:rPr>
                <w:color w:val="auto"/>
                <w:highlight w:val="none"/>
              </w:rPr>
              <w:t>挥发酚</w:t>
            </w:r>
          </w:p>
        </w:tc>
        <w:tc>
          <w:tcPr>
            <w:tcW w:w="1144" w:type="dxa"/>
            <w:vAlign w:val="center"/>
          </w:tcPr>
          <w:p w14:paraId="2D6A5A30">
            <w:pPr>
              <w:pStyle w:val="41"/>
              <w:rPr>
                <w:color w:val="auto"/>
                <w:highlight w:val="none"/>
              </w:rPr>
            </w:pPr>
            <w:r>
              <w:rPr>
                <w:color w:val="auto"/>
                <w:highlight w:val="none"/>
              </w:rPr>
              <w:t>≤0.002</w:t>
            </w:r>
          </w:p>
        </w:tc>
        <w:tc>
          <w:tcPr>
            <w:tcW w:w="787" w:type="dxa"/>
            <w:vAlign w:val="center"/>
          </w:tcPr>
          <w:p w14:paraId="64129F87">
            <w:pPr>
              <w:pStyle w:val="41"/>
              <w:rPr>
                <w:color w:val="auto"/>
                <w:highlight w:val="none"/>
              </w:rPr>
            </w:pPr>
            <w:r>
              <w:rPr>
                <w:color w:val="auto"/>
                <w:highlight w:val="none"/>
              </w:rPr>
              <w:t>14</w:t>
            </w:r>
          </w:p>
        </w:tc>
        <w:tc>
          <w:tcPr>
            <w:tcW w:w="2084" w:type="dxa"/>
            <w:vAlign w:val="center"/>
          </w:tcPr>
          <w:p w14:paraId="397EF1CF">
            <w:pPr>
              <w:pStyle w:val="41"/>
              <w:rPr>
                <w:color w:val="auto"/>
                <w:highlight w:val="none"/>
              </w:rPr>
            </w:pPr>
            <w:r>
              <w:rPr>
                <w:color w:val="auto"/>
                <w:highlight w:val="none"/>
              </w:rPr>
              <w:t>硫化物</w:t>
            </w:r>
          </w:p>
        </w:tc>
        <w:tc>
          <w:tcPr>
            <w:tcW w:w="1621" w:type="dxa"/>
            <w:vAlign w:val="center"/>
          </w:tcPr>
          <w:p w14:paraId="560F5E07">
            <w:pPr>
              <w:pStyle w:val="41"/>
              <w:rPr>
                <w:color w:val="auto"/>
                <w:highlight w:val="none"/>
              </w:rPr>
            </w:pPr>
            <w:r>
              <w:rPr>
                <w:color w:val="auto"/>
                <w:highlight w:val="none"/>
              </w:rPr>
              <w:t>≤0.1</w:t>
            </w:r>
          </w:p>
        </w:tc>
      </w:tr>
      <w:tr w14:paraId="0A8A0A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83" w:type="dxa"/>
            <w:vAlign w:val="center"/>
          </w:tcPr>
          <w:p w14:paraId="0ABA692D">
            <w:pPr>
              <w:pStyle w:val="41"/>
              <w:rPr>
                <w:color w:val="auto"/>
                <w:highlight w:val="none"/>
              </w:rPr>
            </w:pPr>
            <w:r>
              <w:rPr>
                <w:color w:val="auto"/>
                <w:highlight w:val="none"/>
              </w:rPr>
              <w:t>3</w:t>
            </w:r>
          </w:p>
        </w:tc>
        <w:tc>
          <w:tcPr>
            <w:tcW w:w="2003" w:type="dxa"/>
            <w:vAlign w:val="center"/>
          </w:tcPr>
          <w:p w14:paraId="2C6191E1">
            <w:pPr>
              <w:pStyle w:val="41"/>
              <w:rPr>
                <w:color w:val="auto"/>
                <w:highlight w:val="none"/>
              </w:rPr>
            </w:pPr>
            <w:r>
              <w:rPr>
                <w:color w:val="auto"/>
                <w:highlight w:val="none"/>
              </w:rPr>
              <w:t>氟化物</w:t>
            </w:r>
          </w:p>
        </w:tc>
        <w:tc>
          <w:tcPr>
            <w:tcW w:w="1144" w:type="dxa"/>
            <w:vAlign w:val="center"/>
          </w:tcPr>
          <w:p w14:paraId="362636DC">
            <w:pPr>
              <w:pStyle w:val="41"/>
              <w:rPr>
                <w:color w:val="auto"/>
                <w:highlight w:val="none"/>
              </w:rPr>
            </w:pPr>
            <w:r>
              <w:rPr>
                <w:color w:val="auto"/>
                <w:highlight w:val="none"/>
              </w:rPr>
              <w:t>≤1.0</w:t>
            </w:r>
          </w:p>
        </w:tc>
        <w:tc>
          <w:tcPr>
            <w:tcW w:w="787" w:type="dxa"/>
            <w:vAlign w:val="center"/>
          </w:tcPr>
          <w:p w14:paraId="731372C1">
            <w:pPr>
              <w:pStyle w:val="41"/>
              <w:rPr>
                <w:color w:val="auto"/>
                <w:highlight w:val="none"/>
              </w:rPr>
            </w:pPr>
            <w:r>
              <w:rPr>
                <w:color w:val="auto"/>
                <w:highlight w:val="none"/>
              </w:rPr>
              <w:t>15</w:t>
            </w:r>
          </w:p>
        </w:tc>
        <w:tc>
          <w:tcPr>
            <w:tcW w:w="2084" w:type="dxa"/>
            <w:vAlign w:val="center"/>
          </w:tcPr>
          <w:p w14:paraId="4C265857">
            <w:pPr>
              <w:pStyle w:val="41"/>
              <w:rPr>
                <w:color w:val="auto"/>
                <w:highlight w:val="none"/>
              </w:rPr>
            </w:pPr>
            <w:r>
              <w:rPr>
                <w:color w:val="auto"/>
                <w:highlight w:val="none"/>
              </w:rPr>
              <w:t>硫酸盐</w:t>
            </w:r>
          </w:p>
        </w:tc>
        <w:tc>
          <w:tcPr>
            <w:tcW w:w="1621" w:type="dxa"/>
            <w:vAlign w:val="center"/>
          </w:tcPr>
          <w:p w14:paraId="7617CFC1">
            <w:pPr>
              <w:pStyle w:val="41"/>
              <w:rPr>
                <w:color w:val="auto"/>
                <w:highlight w:val="none"/>
              </w:rPr>
            </w:pPr>
            <w:r>
              <w:rPr>
                <w:color w:val="auto"/>
                <w:highlight w:val="none"/>
              </w:rPr>
              <w:t>250</w:t>
            </w:r>
          </w:p>
        </w:tc>
      </w:tr>
      <w:tr w14:paraId="1AF16D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83" w:type="dxa"/>
            <w:vAlign w:val="center"/>
          </w:tcPr>
          <w:p w14:paraId="6CB87C96">
            <w:pPr>
              <w:pStyle w:val="41"/>
              <w:rPr>
                <w:color w:val="auto"/>
                <w:highlight w:val="none"/>
              </w:rPr>
            </w:pPr>
            <w:r>
              <w:rPr>
                <w:color w:val="auto"/>
                <w:highlight w:val="none"/>
              </w:rPr>
              <w:t>4</w:t>
            </w:r>
          </w:p>
        </w:tc>
        <w:tc>
          <w:tcPr>
            <w:tcW w:w="2003" w:type="dxa"/>
            <w:vAlign w:val="center"/>
          </w:tcPr>
          <w:p w14:paraId="7C9074EF">
            <w:pPr>
              <w:pStyle w:val="41"/>
              <w:rPr>
                <w:color w:val="auto"/>
                <w:highlight w:val="none"/>
              </w:rPr>
            </w:pPr>
            <w:r>
              <w:rPr>
                <w:color w:val="auto"/>
                <w:highlight w:val="none"/>
              </w:rPr>
              <w:t>氨氮</w:t>
            </w:r>
          </w:p>
        </w:tc>
        <w:tc>
          <w:tcPr>
            <w:tcW w:w="1144" w:type="dxa"/>
            <w:vAlign w:val="center"/>
          </w:tcPr>
          <w:p w14:paraId="4CE2EB23">
            <w:pPr>
              <w:pStyle w:val="41"/>
              <w:rPr>
                <w:color w:val="auto"/>
                <w:highlight w:val="none"/>
              </w:rPr>
            </w:pPr>
            <w:r>
              <w:rPr>
                <w:color w:val="auto"/>
                <w:highlight w:val="none"/>
              </w:rPr>
              <w:t>≤0.5</w:t>
            </w:r>
          </w:p>
        </w:tc>
        <w:tc>
          <w:tcPr>
            <w:tcW w:w="787" w:type="dxa"/>
            <w:vAlign w:val="center"/>
          </w:tcPr>
          <w:p w14:paraId="3863705D">
            <w:pPr>
              <w:pStyle w:val="41"/>
              <w:rPr>
                <w:color w:val="auto"/>
                <w:highlight w:val="none"/>
              </w:rPr>
            </w:pPr>
            <w:r>
              <w:rPr>
                <w:color w:val="auto"/>
                <w:highlight w:val="none"/>
              </w:rPr>
              <w:t>16</w:t>
            </w:r>
          </w:p>
        </w:tc>
        <w:tc>
          <w:tcPr>
            <w:tcW w:w="2084" w:type="dxa"/>
            <w:vAlign w:val="center"/>
          </w:tcPr>
          <w:p w14:paraId="59DA60AC">
            <w:pPr>
              <w:pStyle w:val="41"/>
              <w:rPr>
                <w:color w:val="auto"/>
                <w:highlight w:val="none"/>
              </w:rPr>
            </w:pPr>
            <w:r>
              <w:rPr>
                <w:color w:val="auto"/>
                <w:highlight w:val="none"/>
              </w:rPr>
              <w:t>高锰酸盐指数</w:t>
            </w:r>
          </w:p>
        </w:tc>
        <w:tc>
          <w:tcPr>
            <w:tcW w:w="1621" w:type="dxa"/>
            <w:vAlign w:val="center"/>
          </w:tcPr>
          <w:p w14:paraId="29BB8BDD">
            <w:pPr>
              <w:pStyle w:val="41"/>
              <w:rPr>
                <w:color w:val="auto"/>
                <w:highlight w:val="none"/>
              </w:rPr>
            </w:pPr>
            <w:r>
              <w:rPr>
                <w:color w:val="auto"/>
                <w:highlight w:val="none"/>
              </w:rPr>
              <w:t>≤4</w:t>
            </w:r>
          </w:p>
        </w:tc>
      </w:tr>
      <w:tr w14:paraId="32F9BD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83" w:type="dxa"/>
            <w:vAlign w:val="center"/>
          </w:tcPr>
          <w:p w14:paraId="3B124834">
            <w:pPr>
              <w:pStyle w:val="41"/>
              <w:rPr>
                <w:color w:val="auto"/>
                <w:highlight w:val="none"/>
              </w:rPr>
            </w:pPr>
            <w:r>
              <w:rPr>
                <w:color w:val="auto"/>
                <w:highlight w:val="none"/>
              </w:rPr>
              <w:t>5</w:t>
            </w:r>
          </w:p>
        </w:tc>
        <w:tc>
          <w:tcPr>
            <w:tcW w:w="2003" w:type="dxa"/>
            <w:vAlign w:val="center"/>
          </w:tcPr>
          <w:p w14:paraId="4768D472">
            <w:pPr>
              <w:pStyle w:val="41"/>
              <w:rPr>
                <w:color w:val="auto"/>
                <w:highlight w:val="none"/>
              </w:rPr>
            </w:pPr>
            <w:r>
              <w:rPr>
                <w:color w:val="auto"/>
                <w:highlight w:val="none"/>
              </w:rPr>
              <w:t>石油类</w:t>
            </w:r>
          </w:p>
        </w:tc>
        <w:tc>
          <w:tcPr>
            <w:tcW w:w="1144" w:type="dxa"/>
            <w:vAlign w:val="center"/>
          </w:tcPr>
          <w:p w14:paraId="1BAB064A">
            <w:pPr>
              <w:pStyle w:val="41"/>
              <w:rPr>
                <w:color w:val="auto"/>
                <w:highlight w:val="none"/>
              </w:rPr>
            </w:pPr>
            <w:r>
              <w:rPr>
                <w:color w:val="auto"/>
                <w:highlight w:val="none"/>
              </w:rPr>
              <w:t>≤0.05</w:t>
            </w:r>
          </w:p>
        </w:tc>
        <w:tc>
          <w:tcPr>
            <w:tcW w:w="787" w:type="dxa"/>
            <w:vAlign w:val="center"/>
          </w:tcPr>
          <w:p w14:paraId="0B1CF571">
            <w:pPr>
              <w:pStyle w:val="41"/>
              <w:rPr>
                <w:color w:val="auto"/>
                <w:highlight w:val="none"/>
              </w:rPr>
            </w:pPr>
            <w:r>
              <w:rPr>
                <w:color w:val="auto"/>
                <w:highlight w:val="none"/>
              </w:rPr>
              <w:t>17</w:t>
            </w:r>
          </w:p>
        </w:tc>
        <w:tc>
          <w:tcPr>
            <w:tcW w:w="2084" w:type="dxa"/>
            <w:vAlign w:val="center"/>
          </w:tcPr>
          <w:p w14:paraId="71009822">
            <w:pPr>
              <w:pStyle w:val="41"/>
              <w:rPr>
                <w:color w:val="auto"/>
                <w:highlight w:val="none"/>
              </w:rPr>
            </w:pPr>
            <w:r>
              <w:rPr>
                <w:color w:val="auto"/>
                <w:highlight w:val="none"/>
              </w:rPr>
              <w:t>六价铬</w:t>
            </w:r>
          </w:p>
        </w:tc>
        <w:tc>
          <w:tcPr>
            <w:tcW w:w="1621" w:type="dxa"/>
            <w:vAlign w:val="center"/>
          </w:tcPr>
          <w:p w14:paraId="3ED9575F">
            <w:pPr>
              <w:pStyle w:val="41"/>
              <w:rPr>
                <w:color w:val="auto"/>
                <w:highlight w:val="none"/>
              </w:rPr>
            </w:pPr>
            <w:r>
              <w:rPr>
                <w:color w:val="auto"/>
                <w:highlight w:val="none"/>
              </w:rPr>
              <w:t>≤0.05</w:t>
            </w:r>
          </w:p>
        </w:tc>
      </w:tr>
      <w:tr w14:paraId="433147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83" w:type="dxa"/>
            <w:vAlign w:val="center"/>
          </w:tcPr>
          <w:p w14:paraId="31ED0629">
            <w:pPr>
              <w:pStyle w:val="41"/>
              <w:rPr>
                <w:color w:val="auto"/>
                <w:highlight w:val="none"/>
              </w:rPr>
            </w:pPr>
            <w:r>
              <w:rPr>
                <w:color w:val="auto"/>
                <w:highlight w:val="none"/>
              </w:rPr>
              <w:t>6</w:t>
            </w:r>
          </w:p>
        </w:tc>
        <w:tc>
          <w:tcPr>
            <w:tcW w:w="2003" w:type="dxa"/>
            <w:vAlign w:val="center"/>
          </w:tcPr>
          <w:p w14:paraId="6D12149B">
            <w:pPr>
              <w:pStyle w:val="41"/>
              <w:rPr>
                <w:color w:val="auto"/>
                <w:highlight w:val="none"/>
              </w:rPr>
            </w:pPr>
            <w:r>
              <w:rPr>
                <w:color w:val="auto"/>
                <w:highlight w:val="none"/>
              </w:rPr>
              <w:t>化学需氧量</w:t>
            </w:r>
          </w:p>
        </w:tc>
        <w:tc>
          <w:tcPr>
            <w:tcW w:w="1144" w:type="dxa"/>
            <w:vAlign w:val="center"/>
          </w:tcPr>
          <w:p w14:paraId="69AD639C">
            <w:pPr>
              <w:pStyle w:val="41"/>
              <w:rPr>
                <w:color w:val="auto"/>
                <w:highlight w:val="none"/>
              </w:rPr>
            </w:pPr>
            <w:r>
              <w:rPr>
                <w:color w:val="auto"/>
                <w:highlight w:val="none"/>
              </w:rPr>
              <w:t>≤15</w:t>
            </w:r>
          </w:p>
        </w:tc>
        <w:tc>
          <w:tcPr>
            <w:tcW w:w="787" w:type="dxa"/>
            <w:vAlign w:val="center"/>
          </w:tcPr>
          <w:p w14:paraId="3BD347B1">
            <w:pPr>
              <w:pStyle w:val="41"/>
              <w:rPr>
                <w:color w:val="auto"/>
                <w:highlight w:val="none"/>
              </w:rPr>
            </w:pPr>
            <w:r>
              <w:rPr>
                <w:color w:val="auto"/>
                <w:highlight w:val="none"/>
              </w:rPr>
              <w:t>18</w:t>
            </w:r>
          </w:p>
        </w:tc>
        <w:tc>
          <w:tcPr>
            <w:tcW w:w="2084" w:type="dxa"/>
            <w:vAlign w:val="center"/>
          </w:tcPr>
          <w:p w14:paraId="337219FB">
            <w:pPr>
              <w:pStyle w:val="41"/>
              <w:rPr>
                <w:color w:val="auto"/>
                <w:highlight w:val="none"/>
              </w:rPr>
            </w:pPr>
            <w:r>
              <w:rPr>
                <w:color w:val="auto"/>
                <w:highlight w:val="none"/>
              </w:rPr>
              <w:t>溶解氧</w:t>
            </w:r>
          </w:p>
        </w:tc>
        <w:tc>
          <w:tcPr>
            <w:tcW w:w="1621" w:type="dxa"/>
            <w:vAlign w:val="center"/>
          </w:tcPr>
          <w:p w14:paraId="3B5B935E">
            <w:pPr>
              <w:pStyle w:val="41"/>
              <w:rPr>
                <w:color w:val="auto"/>
                <w:highlight w:val="none"/>
              </w:rPr>
            </w:pPr>
            <w:r>
              <w:rPr>
                <w:color w:val="auto"/>
                <w:highlight w:val="none"/>
              </w:rPr>
              <w:t>≥6</w:t>
            </w:r>
          </w:p>
        </w:tc>
      </w:tr>
      <w:tr w14:paraId="3FB52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83" w:type="dxa"/>
            <w:vAlign w:val="center"/>
          </w:tcPr>
          <w:p w14:paraId="548474DE">
            <w:pPr>
              <w:pStyle w:val="41"/>
              <w:rPr>
                <w:color w:val="auto"/>
                <w:highlight w:val="none"/>
              </w:rPr>
            </w:pPr>
            <w:r>
              <w:rPr>
                <w:color w:val="auto"/>
                <w:highlight w:val="none"/>
              </w:rPr>
              <w:t>7</w:t>
            </w:r>
          </w:p>
        </w:tc>
        <w:tc>
          <w:tcPr>
            <w:tcW w:w="2003" w:type="dxa"/>
            <w:vAlign w:val="center"/>
          </w:tcPr>
          <w:p w14:paraId="78845B96">
            <w:pPr>
              <w:pStyle w:val="41"/>
              <w:rPr>
                <w:color w:val="auto"/>
                <w:highlight w:val="none"/>
              </w:rPr>
            </w:pPr>
            <w:r>
              <w:rPr>
                <w:color w:val="auto"/>
                <w:highlight w:val="none"/>
              </w:rPr>
              <w:t>五日生化需氧量</w:t>
            </w:r>
          </w:p>
        </w:tc>
        <w:tc>
          <w:tcPr>
            <w:tcW w:w="1144" w:type="dxa"/>
            <w:vAlign w:val="center"/>
          </w:tcPr>
          <w:p w14:paraId="08BA7BC3">
            <w:pPr>
              <w:pStyle w:val="41"/>
              <w:rPr>
                <w:color w:val="auto"/>
                <w:highlight w:val="none"/>
              </w:rPr>
            </w:pPr>
            <w:r>
              <w:rPr>
                <w:color w:val="auto"/>
                <w:highlight w:val="none"/>
              </w:rPr>
              <w:t>≤3</w:t>
            </w:r>
          </w:p>
        </w:tc>
        <w:tc>
          <w:tcPr>
            <w:tcW w:w="787" w:type="dxa"/>
            <w:vAlign w:val="center"/>
          </w:tcPr>
          <w:p w14:paraId="752A9B76">
            <w:pPr>
              <w:pStyle w:val="41"/>
              <w:rPr>
                <w:color w:val="auto"/>
                <w:highlight w:val="none"/>
              </w:rPr>
            </w:pPr>
            <w:r>
              <w:rPr>
                <w:color w:val="auto"/>
                <w:highlight w:val="none"/>
              </w:rPr>
              <w:t>19</w:t>
            </w:r>
          </w:p>
        </w:tc>
        <w:tc>
          <w:tcPr>
            <w:tcW w:w="2084" w:type="dxa"/>
            <w:vAlign w:val="center"/>
          </w:tcPr>
          <w:p w14:paraId="7E9B03D6">
            <w:pPr>
              <w:pStyle w:val="41"/>
              <w:rPr>
                <w:color w:val="auto"/>
                <w:highlight w:val="none"/>
              </w:rPr>
            </w:pPr>
            <w:r>
              <w:rPr>
                <w:color w:val="auto"/>
                <w:highlight w:val="none"/>
              </w:rPr>
              <w:t>氰化物</w:t>
            </w:r>
          </w:p>
        </w:tc>
        <w:tc>
          <w:tcPr>
            <w:tcW w:w="1621" w:type="dxa"/>
            <w:vAlign w:val="center"/>
          </w:tcPr>
          <w:p w14:paraId="1BEF2041">
            <w:pPr>
              <w:pStyle w:val="41"/>
              <w:rPr>
                <w:color w:val="auto"/>
                <w:highlight w:val="none"/>
              </w:rPr>
            </w:pPr>
            <w:r>
              <w:rPr>
                <w:color w:val="auto"/>
                <w:highlight w:val="none"/>
              </w:rPr>
              <w:t>≤0.05</w:t>
            </w:r>
          </w:p>
        </w:tc>
      </w:tr>
      <w:tr w14:paraId="035FAA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83" w:type="dxa"/>
            <w:vAlign w:val="center"/>
          </w:tcPr>
          <w:p w14:paraId="247F4170">
            <w:pPr>
              <w:pStyle w:val="41"/>
              <w:rPr>
                <w:color w:val="auto"/>
                <w:highlight w:val="none"/>
              </w:rPr>
            </w:pPr>
            <w:r>
              <w:rPr>
                <w:color w:val="auto"/>
                <w:highlight w:val="none"/>
              </w:rPr>
              <w:t>8</w:t>
            </w:r>
          </w:p>
        </w:tc>
        <w:tc>
          <w:tcPr>
            <w:tcW w:w="2003" w:type="dxa"/>
            <w:vAlign w:val="center"/>
          </w:tcPr>
          <w:p w14:paraId="40FE2AB2">
            <w:pPr>
              <w:pStyle w:val="41"/>
              <w:rPr>
                <w:color w:val="auto"/>
                <w:highlight w:val="none"/>
              </w:rPr>
            </w:pPr>
            <w:r>
              <w:rPr>
                <w:color w:val="auto"/>
                <w:highlight w:val="none"/>
              </w:rPr>
              <w:t>砷</w:t>
            </w:r>
          </w:p>
        </w:tc>
        <w:tc>
          <w:tcPr>
            <w:tcW w:w="1144" w:type="dxa"/>
            <w:vAlign w:val="center"/>
          </w:tcPr>
          <w:p w14:paraId="71B8D3AA">
            <w:pPr>
              <w:pStyle w:val="41"/>
              <w:rPr>
                <w:color w:val="auto"/>
                <w:highlight w:val="none"/>
              </w:rPr>
            </w:pPr>
            <w:r>
              <w:rPr>
                <w:color w:val="auto"/>
                <w:highlight w:val="none"/>
              </w:rPr>
              <w:t>≤0.05</w:t>
            </w:r>
          </w:p>
        </w:tc>
        <w:tc>
          <w:tcPr>
            <w:tcW w:w="787" w:type="dxa"/>
            <w:vAlign w:val="center"/>
          </w:tcPr>
          <w:p w14:paraId="5A9D1B44">
            <w:pPr>
              <w:pStyle w:val="41"/>
              <w:rPr>
                <w:color w:val="auto"/>
                <w:highlight w:val="none"/>
              </w:rPr>
            </w:pPr>
            <w:r>
              <w:rPr>
                <w:color w:val="auto"/>
                <w:highlight w:val="none"/>
              </w:rPr>
              <w:t>20</w:t>
            </w:r>
          </w:p>
        </w:tc>
        <w:tc>
          <w:tcPr>
            <w:tcW w:w="2084" w:type="dxa"/>
            <w:vAlign w:val="center"/>
          </w:tcPr>
          <w:p w14:paraId="582BD8F1">
            <w:pPr>
              <w:pStyle w:val="41"/>
              <w:rPr>
                <w:color w:val="auto"/>
                <w:highlight w:val="none"/>
              </w:rPr>
            </w:pPr>
            <w:r>
              <w:rPr>
                <w:color w:val="auto"/>
                <w:highlight w:val="none"/>
              </w:rPr>
              <w:t>总磷</w:t>
            </w:r>
          </w:p>
        </w:tc>
        <w:tc>
          <w:tcPr>
            <w:tcW w:w="1621" w:type="dxa"/>
            <w:vAlign w:val="center"/>
          </w:tcPr>
          <w:p w14:paraId="252E7C34">
            <w:pPr>
              <w:pStyle w:val="41"/>
              <w:rPr>
                <w:color w:val="auto"/>
                <w:highlight w:val="none"/>
              </w:rPr>
            </w:pPr>
            <w:r>
              <w:rPr>
                <w:color w:val="auto"/>
                <w:highlight w:val="none"/>
              </w:rPr>
              <w:t>≤0.1</w:t>
            </w:r>
          </w:p>
        </w:tc>
      </w:tr>
      <w:tr w14:paraId="1A0CB1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83" w:type="dxa"/>
            <w:vAlign w:val="center"/>
          </w:tcPr>
          <w:p w14:paraId="082B91B2">
            <w:pPr>
              <w:pStyle w:val="41"/>
              <w:rPr>
                <w:color w:val="auto"/>
                <w:highlight w:val="none"/>
              </w:rPr>
            </w:pPr>
            <w:r>
              <w:rPr>
                <w:color w:val="auto"/>
                <w:highlight w:val="none"/>
              </w:rPr>
              <w:t>9</w:t>
            </w:r>
          </w:p>
        </w:tc>
        <w:tc>
          <w:tcPr>
            <w:tcW w:w="2003" w:type="dxa"/>
            <w:vAlign w:val="center"/>
          </w:tcPr>
          <w:p w14:paraId="0A811B3B">
            <w:pPr>
              <w:pStyle w:val="41"/>
              <w:rPr>
                <w:color w:val="auto"/>
                <w:highlight w:val="none"/>
              </w:rPr>
            </w:pPr>
            <w:r>
              <w:rPr>
                <w:color w:val="auto"/>
                <w:highlight w:val="none"/>
              </w:rPr>
              <w:t>汞</w:t>
            </w:r>
          </w:p>
        </w:tc>
        <w:tc>
          <w:tcPr>
            <w:tcW w:w="1144" w:type="dxa"/>
            <w:vAlign w:val="center"/>
          </w:tcPr>
          <w:p w14:paraId="15FE5771">
            <w:pPr>
              <w:pStyle w:val="41"/>
              <w:rPr>
                <w:color w:val="auto"/>
                <w:highlight w:val="none"/>
              </w:rPr>
            </w:pPr>
            <w:r>
              <w:rPr>
                <w:color w:val="auto"/>
                <w:highlight w:val="none"/>
              </w:rPr>
              <w:t>≤0.00005</w:t>
            </w:r>
          </w:p>
        </w:tc>
        <w:tc>
          <w:tcPr>
            <w:tcW w:w="787" w:type="dxa"/>
            <w:vAlign w:val="center"/>
          </w:tcPr>
          <w:p w14:paraId="596D3595">
            <w:pPr>
              <w:pStyle w:val="41"/>
              <w:rPr>
                <w:color w:val="auto"/>
                <w:highlight w:val="none"/>
              </w:rPr>
            </w:pPr>
            <w:r>
              <w:rPr>
                <w:color w:val="auto"/>
                <w:highlight w:val="none"/>
              </w:rPr>
              <w:t>21</w:t>
            </w:r>
          </w:p>
        </w:tc>
        <w:tc>
          <w:tcPr>
            <w:tcW w:w="2084" w:type="dxa"/>
            <w:vAlign w:val="center"/>
          </w:tcPr>
          <w:p w14:paraId="4DAD836C">
            <w:pPr>
              <w:pStyle w:val="41"/>
              <w:rPr>
                <w:color w:val="auto"/>
                <w:highlight w:val="none"/>
              </w:rPr>
            </w:pPr>
            <w:r>
              <w:rPr>
                <w:color w:val="auto"/>
                <w:highlight w:val="none"/>
              </w:rPr>
              <w:t>氯化物</w:t>
            </w:r>
          </w:p>
        </w:tc>
        <w:tc>
          <w:tcPr>
            <w:tcW w:w="1621" w:type="dxa"/>
            <w:vAlign w:val="center"/>
          </w:tcPr>
          <w:p w14:paraId="1497AE76">
            <w:pPr>
              <w:pStyle w:val="41"/>
              <w:rPr>
                <w:color w:val="auto"/>
                <w:highlight w:val="none"/>
              </w:rPr>
            </w:pPr>
            <w:r>
              <w:rPr>
                <w:color w:val="auto"/>
                <w:highlight w:val="none"/>
              </w:rPr>
              <w:t>250</w:t>
            </w:r>
          </w:p>
        </w:tc>
      </w:tr>
      <w:tr w14:paraId="0D0A21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83" w:type="dxa"/>
            <w:vAlign w:val="center"/>
          </w:tcPr>
          <w:p w14:paraId="740BADCC">
            <w:pPr>
              <w:pStyle w:val="41"/>
              <w:rPr>
                <w:color w:val="auto"/>
                <w:highlight w:val="none"/>
              </w:rPr>
            </w:pPr>
            <w:r>
              <w:rPr>
                <w:color w:val="auto"/>
                <w:highlight w:val="none"/>
              </w:rPr>
              <w:t>10</w:t>
            </w:r>
          </w:p>
        </w:tc>
        <w:tc>
          <w:tcPr>
            <w:tcW w:w="2003" w:type="dxa"/>
            <w:vAlign w:val="center"/>
          </w:tcPr>
          <w:p w14:paraId="7F175AE6">
            <w:pPr>
              <w:pStyle w:val="41"/>
              <w:rPr>
                <w:color w:val="auto"/>
                <w:highlight w:val="none"/>
              </w:rPr>
            </w:pPr>
            <w:r>
              <w:rPr>
                <w:color w:val="auto"/>
                <w:highlight w:val="none"/>
              </w:rPr>
              <w:t>锌</w:t>
            </w:r>
          </w:p>
        </w:tc>
        <w:tc>
          <w:tcPr>
            <w:tcW w:w="1144" w:type="dxa"/>
            <w:vAlign w:val="center"/>
          </w:tcPr>
          <w:p w14:paraId="3E072A0F">
            <w:pPr>
              <w:pStyle w:val="41"/>
              <w:rPr>
                <w:color w:val="auto"/>
                <w:highlight w:val="none"/>
              </w:rPr>
            </w:pPr>
            <w:r>
              <w:rPr>
                <w:color w:val="auto"/>
                <w:highlight w:val="none"/>
              </w:rPr>
              <w:t>≤1.0</w:t>
            </w:r>
          </w:p>
        </w:tc>
        <w:tc>
          <w:tcPr>
            <w:tcW w:w="787" w:type="dxa"/>
            <w:vAlign w:val="center"/>
          </w:tcPr>
          <w:p w14:paraId="33E548B5">
            <w:pPr>
              <w:pStyle w:val="41"/>
              <w:rPr>
                <w:color w:val="auto"/>
                <w:highlight w:val="none"/>
              </w:rPr>
            </w:pPr>
            <w:r>
              <w:rPr>
                <w:color w:val="auto"/>
                <w:highlight w:val="none"/>
              </w:rPr>
              <w:t>22</w:t>
            </w:r>
          </w:p>
        </w:tc>
        <w:tc>
          <w:tcPr>
            <w:tcW w:w="2084" w:type="dxa"/>
            <w:vAlign w:val="center"/>
          </w:tcPr>
          <w:p w14:paraId="7E2317A0">
            <w:pPr>
              <w:pStyle w:val="41"/>
              <w:rPr>
                <w:color w:val="auto"/>
                <w:highlight w:val="none"/>
              </w:rPr>
            </w:pPr>
            <w:r>
              <w:rPr>
                <w:color w:val="auto"/>
                <w:highlight w:val="none"/>
              </w:rPr>
              <w:t>阴离子表面活性剂</w:t>
            </w:r>
          </w:p>
        </w:tc>
        <w:tc>
          <w:tcPr>
            <w:tcW w:w="1621" w:type="dxa"/>
            <w:vAlign w:val="center"/>
          </w:tcPr>
          <w:p w14:paraId="234E4718">
            <w:pPr>
              <w:pStyle w:val="41"/>
              <w:rPr>
                <w:color w:val="auto"/>
                <w:highlight w:val="none"/>
              </w:rPr>
            </w:pPr>
            <w:r>
              <w:rPr>
                <w:color w:val="auto"/>
                <w:highlight w:val="none"/>
              </w:rPr>
              <w:t>≤0.2</w:t>
            </w:r>
          </w:p>
        </w:tc>
      </w:tr>
      <w:tr w14:paraId="4D370E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83" w:type="dxa"/>
            <w:vAlign w:val="center"/>
          </w:tcPr>
          <w:p w14:paraId="58C0D878">
            <w:pPr>
              <w:pStyle w:val="41"/>
              <w:rPr>
                <w:color w:val="auto"/>
                <w:highlight w:val="none"/>
              </w:rPr>
            </w:pPr>
            <w:r>
              <w:rPr>
                <w:color w:val="auto"/>
                <w:highlight w:val="none"/>
              </w:rPr>
              <w:t>11</w:t>
            </w:r>
          </w:p>
        </w:tc>
        <w:tc>
          <w:tcPr>
            <w:tcW w:w="2003" w:type="dxa"/>
            <w:vAlign w:val="center"/>
          </w:tcPr>
          <w:p w14:paraId="793D699A">
            <w:pPr>
              <w:pStyle w:val="41"/>
              <w:rPr>
                <w:color w:val="auto"/>
                <w:highlight w:val="none"/>
              </w:rPr>
            </w:pPr>
            <w:r>
              <w:rPr>
                <w:color w:val="auto"/>
                <w:highlight w:val="none"/>
              </w:rPr>
              <w:t>镉</w:t>
            </w:r>
          </w:p>
        </w:tc>
        <w:tc>
          <w:tcPr>
            <w:tcW w:w="1144" w:type="dxa"/>
            <w:vAlign w:val="center"/>
          </w:tcPr>
          <w:p w14:paraId="44093C5F">
            <w:pPr>
              <w:pStyle w:val="41"/>
              <w:rPr>
                <w:color w:val="auto"/>
                <w:highlight w:val="none"/>
              </w:rPr>
            </w:pPr>
            <w:r>
              <w:rPr>
                <w:color w:val="auto"/>
                <w:highlight w:val="none"/>
              </w:rPr>
              <w:t>≤0.005</w:t>
            </w:r>
          </w:p>
        </w:tc>
        <w:tc>
          <w:tcPr>
            <w:tcW w:w="787" w:type="dxa"/>
            <w:vAlign w:val="center"/>
          </w:tcPr>
          <w:p w14:paraId="315DD311">
            <w:pPr>
              <w:pStyle w:val="41"/>
              <w:rPr>
                <w:color w:val="auto"/>
                <w:highlight w:val="none"/>
              </w:rPr>
            </w:pPr>
            <w:r>
              <w:rPr>
                <w:color w:val="auto"/>
                <w:highlight w:val="none"/>
              </w:rPr>
              <w:t>23</w:t>
            </w:r>
          </w:p>
        </w:tc>
        <w:tc>
          <w:tcPr>
            <w:tcW w:w="2084" w:type="dxa"/>
            <w:vAlign w:val="center"/>
          </w:tcPr>
          <w:p w14:paraId="777702BF">
            <w:pPr>
              <w:pStyle w:val="41"/>
              <w:rPr>
                <w:color w:val="auto"/>
                <w:highlight w:val="none"/>
              </w:rPr>
            </w:pPr>
            <w:r>
              <w:rPr>
                <w:color w:val="auto"/>
                <w:highlight w:val="none"/>
              </w:rPr>
              <w:t>粪大肠菌群</w:t>
            </w:r>
          </w:p>
        </w:tc>
        <w:tc>
          <w:tcPr>
            <w:tcW w:w="1621" w:type="dxa"/>
            <w:vAlign w:val="center"/>
          </w:tcPr>
          <w:p w14:paraId="2BB155D8">
            <w:pPr>
              <w:pStyle w:val="41"/>
              <w:rPr>
                <w:color w:val="auto"/>
                <w:highlight w:val="none"/>
              </w:rPr>
            </w:pPr>
            <w:r>
              <w:rPr>
                <w:color w:val="auto"/>
                <w:highlight w:val="none"/>
              </w:rPr>
              <w:t>≤2000</w:t>
            </w:r>
            <w:r>
              <w:rPr>
                <w:rFonts w:hint="eastAsia"/>
                <w:color w:val="auto"/>
                <w:highlight w:val="none"/>
              </w:rPr>
              <w:t>（个/L）</w:t>
            </w:r>
          </w:p>
        </w:tc>
      </w:tr>
      <w:tr w14:paraId="0A2DE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83" w:type="dxa"/>
            <w:vAlign w:val="center"/>
          </w:tcPr>
          <w:p w14:paraId="542390C5">
            <w:pPr>
              <w:pStyle w:val="41"/>
              <w:rPr>
                <w:color w:val="auto"/>
                <w:highlight w:val="none"/>
              </w:rPr>
            </w:pPr>
            <w:r>
              <w:rPr>
                <w:color w:val="auto"/>
                <w:highlight w:val="none"/>
              </w:rPr>
              <w:t>12</w:t>
            </w:r>
          </w:p>
        </w:tc>
        <w:tc>
          <w:tcPr>
            <w:tcW w:w="2003" w:type="dxa"/>
            <w:vAlign w:val="center"/>
          </w:tcPr>
          <w:p w14:paraId="7375B34D">
            <w:pPr>
              <w:pStyle w:val="41"/>
              <w:rPr>
                <w:color w:val="auto"/>
                <w:highlight w:val="none"/>
              </w:rPr>
            </w:pPr>
            <w:r>
              <w:rPr>
                <w:color w:val="auto"/>
                <w:highlight w:val="none"/>
              </w:rPr>
              <w:t>铜</w:t>
            </w:r>
          </w:p>
        </w:tc>
        <w:tc>
          <w:tcPr>
            <w:tcW w:w="1144" w:type="dxa"/>
            <w:vAlign w:val="center"/>
          </w:tcPr>
          <w:p w14:paraId="056C73BB">
            <w:pPr>
              <w:pStyle w:val="41"/>
              <w:rPr>
                <w:color w:val="auto"/>
                <w:highlight w:val="none"/>
              </w:rPr>
            </w:pPr>
            <w:r>
              <w:rPr>
                <w:color w:val="auto"/>
                <w:highlight w:val="none"/>
              </w:rPr>
              <w:t>≤1.0</w:t>
            </w:r>
          </w:p>
        </w:tc>
        <w:tc>
          <w:tcPr>
            <w:tcW w:w="787" w:type="dxa"/>
            <w:vAlign w:val="center"/>
          </w:tcPr>
          <w:p w14:paraId="2CA08FFF">
            <w:pPr>
              <w:pStyle w:val="41"/>
              <w:rPr>
                <w:color w:val="auto"/>
                <w:highlight w:val="none"/>
              </w:rPr>
            </w:pPr>
          </w:p>
        </w:tc>
        <w:tc>
          <w:tcPr>
            <w:tcW w:w="2084" w:type="dxa"/>
            <w:vAlign w:val="center"/>
          </w:tcPr>
          <w:p w14:paraId="26C0F2EB">
            <w:pPr>
              <w:pStyle w:val="41"/>
              <w:rPr>
                <w:color w:val="auto"/>
                <w:highlight w:val="none"/>
              </w:rPr>
            </w:pPr>
          </w:p>
        </w:tc>
        <w:tc>
          <w:tcPr>
            <w:tcW w:w="1621" w:type="dxa"/>
            <w:vAlign w:val="center"/>
          </w:tcPr>
          <w:p w14:paraId="5333ED93">
            <w:pPr>
              <w:pStyle w:val="41"/>
              <w:rPr>
                <w:color w:val="auto"/>
                <w:highlight w:val="none"/>
              </w:rPr>
            </w:pPr>
          </w:p>
        </w:tc>
      </w:tr>
    </w:tbl>
    <w:p w14:paraId="1F56602D">
      <w:pPr>
        <w:pStyle w:val="3"/>
        <w:ind w:firstLine="480"/>
        <w:rPr>
          <w:color w:val="auto"/>
          <w:highlight w:val="none"/>
        </w:rPr>
      </w:pPr>
      <w:r>
        <w:rPr>
          <w:rFonts w:hint="eastAsia"/>
          <w:color w:val="auto"/>
          <w:highlight w:val="none"/>
        </w:rPr>
        <w:t>（3）地下水环境</w:t>
      </w:r>
    </w:p>
    <w:p w14:paraId="4FB44EC0">
      <w:pPr>
        <w:pStyle w:val="3"/>
        <w:ind w:firstLine="480"/>
        <w:rPr>
          <w:color w:val="auto"/>
          <w:highlight w:val="none"/>
        </w:rPr>
      </w:pPr>
      <w:r>
        <w:rPr>
          <w:rFonts w:hint="eastAsia"/>
          <w:color w:val="auto"/>
          <w:highlight w:val="none"/>
        </w:rPr>
        <w:t>项目所在区域地下水执行《地下水质量标准》（GB/T14848-2017）</w:t>
      </w:r>
      <w:r>
        <w:rPr>
          <w:color w:val="auto"/>
          <w:highlight w:val="none"/>
        </w:rPr>
        <w:t>Ⅲ</w:t>
      </w:r>
      <w:r>
        <w:rPr>
          <w:rFonts w:hint="eastAsia"/>
          <w:color w:val="auto"/>
          <w:highlight w:val="none"/>
        </w:rPr>
        <w:t>类标准，具体如下：</w:t>
      </w:r>
    </w:p>
    <w:p w14:paraId="533E02A0">
      <w:pPr>
        <w:pStyle w:val="40"/>
        <w:spacing w:before="24" w:after="24"/>
        <w:rPr>
          <w:color w:val="auto"/>
          <w:highlight w:val="none"/>
        </w:rPr>
      </w:pPr>
      <w:r>
        <w:rPr>
          <w:color w:val="auto"/>
          <w:highlight w:val="none"/>
        </w:rPr>
        <w:t>表</w:t>
      </w:r>
      <w:r>
        <w:rPr>
          <w:rFonts w:hint="eastAsia"/>
          <w:color w:val="auto"/>
          <w:highlight w:val="none"/>
        </w:rPr>
        <w:t>2.4-3    地下水</w:t>
      </w:r>
      <w:r>
        <w:rPr>
          <w:color w:val="auto"/>
          <w:highlight w:val="none"/>
        </w:rPr>
        <w:t>质量标准</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2038"/>
        <w:gridCol w:w="1616"/>
        <w:gridCol w:w="1230"/>
        <w:gridCol w:w="2154"/>
      </w:tblGrid>
      <w:tr w14:paraId="37F84E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tcBorders>
              <w:tl2br w:val="nil"/>
              <w:tr2bl w:val="nil"/>
            </w:tcBorders>
            <w:vAlign w:val="center"/>
          </w:tcPr>
          <w:p w14:paraId="0CF79D07">
            <w:pPr>
              <w:pStyle w:val="41"/>
              <w:rPr>
                <w:color w:val="auto"/>
                <w:highlight w:val="none"/>
              </w:rPr>
            </w:pPr>
            <w:r>
              <w:rPr>
                <w:rFonts w:hint="eastAsia"/>
                <w:color w:val="auto"/>
                <w:highlight w:val="none"/>
              </w:rPr>
              <w:t>类别</w:t>
            </w:r>
          </w:p>
        </w:tc>
        <w:tc>
          <w:tcPr>
            <w:tcW w:w="1197" w:type="pct"/>
            <w:tcBorders>
              <w:tl2br w:val="nil"/>
              <w:tr2bl w:val="nil"/>
            </w:tcBorders>
            <w:vAlign w:val="center"/>
          </w:tcPr>
          <w:p w14:paraId="124FD469">
            <w:pPr>
              <w:pStyle w:val="41"/>
              <w:rPr>
                <w:color w:val="auto"/>
                <w:highlight w:val="none"/>
              </w:rPr>
            </w:pPr>
            <w:r>
              <w:rPr>
                <w:rFonts w:hint="eastAsia"/>
                <w:color w:val="auto"/>
                <w:highlight w:val="none"/>
              </w:rPr>
              <w:t>污染物名称</w:t>
            </w:r>
          </w:p>
        </w:tc>
        <w:tc>
          <w:tcPr>
            <w:tcW w:w="950" w:type="pct"/>
            <w:tcBorders>
              <w:tl2br w:val="nil"/>
              <w:tr2bl w:val="nil"/>
            </w:tcBorders>
            <w:vAlign w:val="center"/>
          </w:tcPr>
          <w:p w14:paraId="1B9482D5">
            <w:pPr>
              <w:pStyle w:val="41"/>
              <w:rPr>
                <w:color w:val="auto"/>
                <w:highlight w:val="none"/>
              </w:rPr>
            </w:pPr>
            <w:r>
              <w:rPr>
                <w:rFonts w:hint="eastAsia"/>
                <w:color w:val="auto"/>
                <w:highlight w:val="none"/>
              </w:rPr>
              <w:t>单位</w:t>
            </w:r>
          </w:p>
        </w:tc>
        <w:tc>
          <w:tcPr>
            <w:tcW w:w="723" w:type="pct"/>
            <w:tcBorders>
              <w:tl2br w:val="nil"/>
              <w:tr2bl w:val="nil"/>
            </w:tcBorders>
            <w:vAlign w:val="center"/>
          </w:tcPr>
          <w:p w14:paraId="2B6BF22F">
            <w:pPr>
              <w:pStyle w:val="41"/>
              <w:rPr>
                <w:color w:val="auto"/>
                <w:highlight w:val="none"/>
              </w:rPr>
            </w:pPr>
            <w:r>
              <w:rPr>
                <w:color w:val="auto"/>
                <w:highlight w:val="none"/>
              </w:rPr>
              <w:t>标准</w:t>
            </w:r>
            <w:r>
              <w:rPr>
                <w:rFonts w:hint="eastAsia"/>
                <w:color w:val="auto"/>
                <w:highlight w:val="none"/>
              </w:rPr>
              <w:t>值</w:t>
            </w:r>
          </w:p>
        </w:tc>
        <w:tc>
          <w:tcPr>
            <w:tcW w:w="1265" w:type="pct"/>
            <w:tcBorders>
              <w:tl2br w:val="nil"/>
              <w:tr2bl w:val="nil"/>
            </w:tcBorders>
            <w:vAlign w:val="center"/>
          </w:tcPr>
          <w:p w14:paraId="6736AF84">
            <w:pPr>
              <w:pStyle w:val="41"/>
              <w:rPr>
                <w:color w:val="auto"/>
                <w:highlight w:val="none"/>
              </w:rPr>
            </w:pPr>
            <w:r>
              <w:rPr>
                <w:rFonts w:hint="eastAsia"/>
                <w:color w:val="auto"/>
                <w:highlight w:val="none"/>
              </w:rPr>
              <w:t>标准来源</w:t>
            </w:r>
          </w:p>
        </w:tc>
      </w:tr>
      <w:tr w14:paraId="4FA15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restart"/>
            <w:tcBorders>
              <w:tl2br w:val="nil"/>
              <w:tr2bl w:val="nil"/>
            </w:tcBorders>
            <w:vAlign w:val="center"/>
          </w:tcPr>
          <w:p w14:paraId="4BF6746A">
            <w:pPr>
              <w:pStyle w:val="41"/>
              <w:rPr>
                <w:color w:val="auto"/>
                <w:highlight w:val="none"/>
              </w:rPr>
            </w:pPr>
            <w:r>
              <w:rPr>
                <w:rFonts w:hint="eastAsia"/>
                <w:color w:val="auto"/>
                <w:highlight w:val="none"/>
              </w:rPr>
              <w:t>基本因子</w:t>
            </w:r>
          </w:p>
        </w:tc>
        <w:tc>
          <w:tcPr>
            <w:tcW w:w="1197" w:type="pct"/>
            <w:tcBorders>
              <w:tl2br w:val="nil"/>
              <w:tr2bl w:val="nil"/>
            </w:tcBorders>
            <w:vAlign w:val="center"/>
          </w:tcPr>
          <w:p w14:paraId="48DCD136">
            <w:pPr>
              <w:pStyle w:val="41"/>
              <w:rPr>
                <w:color w:val="auto"/>
                <w:highlight w:val="none"/>
              </w:rPr>
            </w:pPr>
            <w:r>
              <w:rPr>
                <w:rFonts w:hint="eastAsia"/>
                <w:color w:val="auto"/>
                <w:highlight w:val="none"/>
              </w:rPr>
              <w:t>总大肠菌群</w:t>
            </w:r>
          </w:p>
        </w:tc>
        <w:tc>
          <w:tcPr>
            <w:tcW w:w="950" w:type="pct"/>
            <w:tcBorders>
              <w:tl2br w:val="nil"/>
              <w:tr2bl w:val="nil"/>
            </w:tcBorders>
            <w:vAlign w:val="center"/>
          </w:tcPr>
          <w:p w14:paraId="5A52E220">
            <w:pPr>
              <w:pStyle w:val="41"/>
              <w:rPr>
                <w:color w:val="auto"/>
                <w:highlight w:val="none"/>
              </w:rPr>
            </w:pPr>
            <w:r>
              <w:rPr>
                <w:color w:val="auto"/>
                <w:highlight w:val="none"/>
              </w:rPr>
              <w:t>MPNb/100mL或CFUc/100mL</w:t>
            </w:r>
          </w:p>
        </w:tc>
        <w:tc>
          <w:tcPr>
            <w:tcW w:w="723" w:type="pct"/>
            <w:tcBorders>
              <w:tl2br w:val="nil"/>
              <w:tr2bl w:val="nil"/>
            </w:tcBorders>
            <w:vAlign w:val="center"/>
          </w:tcPr>
          <w:p w14:paraId="38B9D9D7">
            <w:pPr>
              <w:pStyle w:val="41"/>
              <w:rPr>
                <w:color w:val="auto"/>
                <w:highlight w:val="none"/>
              </w:rPr>
            </w:pPr>
            <w:r>
              <w:rPr>
                <w:color w:val="auto"/>
                <w:highlight w:val="none"/>
              </w:rPr>
              <w:t>≤</w:t>
            </w:r>
            <w:r>
              <w:rPr>
                <w:rFonts w:hint="eastAsia"/>
                <w:color w:val="auto"/>
                <w:highlight w:val="none"/>
              </w:rPr>
              <w:t>3.0</w:t>
            </w:r>
          </w:p>
        </w:tc>
        <w:tc>
          <w:tcPr>
            <w:tcW w:w="1265" w:type="pct"/>
            <w:vMerge w:val="restart"/>
            <w:tcBorders>
              <w:tl2br w:val="nil"/>
              <w:tr2bl w:val="nil"/>
            </w:tcBorders>
            <w:vAlign w:val="center"/>
          </w:tcPr>
          <w:p w14:paraId="4CE6DC61">
            <w:pPr>
              <w:pStyle w:val="41"/>
              <w:rPr>
                <w:color w:val="auto"/>
                <w:highlight w:val="none"/>
              </w:rPr>
            </w:pPr>
            <w:r>
              <w:rPr>
                <w:color w:val="auto"/>
                <w:highlight w:val="none"/>
              </w:rPr>
              <w:t>《地下水质量标准》（</w:t>
            </w:r>
            <w:r>
              <w:rPr>
                <w:rFonts w:hint="eastAsia"/>
                <w:color w:val="auto"/>
                <w:highlight w:val="none"/>
              </w:rPr>
              <w:t>GB</w:t>
            </w:r>
            <w:r>
              <w:rPr>
                <w:color w:val="auto"/>
                <w:highlight w:val="none"/>
              </w:rPr>
              <w:t>/T14848-2017）Ⅲ</w:t>
            </w:r>
            <w:r>
              <w:rPr>
                <w:rFonts w:hint="eastAsia"/>
                <w:color w:val="auto"/>
                <w:highlight w:val="none"/>
              </w:rPr>
              <w:t>类标准</w:t>
            </w:r>
          </w:p>
        </w:tc>
      </w:tr>
      <w:tr w14:paraId="50CFDF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7B66384B">
            <w:pPr>
              <w:pStyle w:val="41"/>
              <w:rPr>
                <w:color w:val="auto"/>
                <w:highlight w:val="none"/>
              </w:rPr>
            </w:pPr>
          </w:p>
        </w:tc>
        <w:tc>
          <w:tcPr>
            <w:tcW w:w="1197" w:type="pct"/>
            <w:tcBorders>
              <w:tl2br w:val="nil"/>
              <w:tr2bl w:val="nil"/>
            </w:tcBorders>
            <w:vAlign w:val="center"/>
          </w:tcPr>
          <w:p w14:paraId="1B8AA1BD">
            <w:pPr>
              <w:pStyle w:val="41"/>
              <w:rPr>
                <w:color w:val="auto"/>
                <w:highlight w:val="none"/>
              </w:rPr>
            </w:pPr>
            <w:r>
              <w:rPr>
                <w:rFonts w:hint="eastAsia"/>
                <w:color w:val="auto"/>
                <w:highlight w:val="none"/>
              </w:rPr>
              <w:t>阴离子表面活性剂</w:t>
            </w:r>
          </w:p>
        </w:tc>
        <w:tc>
          <w:tcPr>
            <w:tcW w:w="950" w:type="pct"/>
            <w:tcBorders>
              <w:tl2br w:val="nil"/>
              <w:tr2bl w:val="nil"/>
            </w:tcBorders>
            <w:vAlign w:val="center"/>
          </w:tcPr>
          <w:p w14:paraId="306B9951">
            <w:pPr>
              <w:pStyle w:val="41"/>
              <w:rPr>
                <w:color w:val="auto"/>
                <w:highlight w:val="none"/>
              </w:rPr>
            </w:pPr>
            <w:r>
              <w:rPr>
                <w:rFonts w:hint="eastAsia"/>
                <w:color w:val="auto"/>
                <w:highlight w:val="none"/>
              </w:rPr>
              <w:t>mg/L</w:t>
            </w:r>
          </w:p>
        </w:tc>
        <w:tc>
          <w:tcPr>
            <w:tcW w:w="723" w:type="pct"/>
            <w:tcBorders>
              <w:tl2br w:val="nil"/>
              <w:tr2bl w:val="nil"/>
            </w:tcBorders>
            <w:vAlign w:val="center"/>
          </w:tcPr>
          <w:p w14:paraId="2AE5811C">
            <w:pPr>
              <w:pStyle w:val="41"/>
              <w:rPr>
                <w:color w:val="auto"/>
                <w:highlight w:val="none"/>
              </w:rPr>
            </w:pPr>
            <w:r>
              <w:rPr>
                <w:color w:val="auto"/>
                <w:highlight w:val="none"/>
              </w:rPr>
              <w:t>≤</w:t>
            </w:r>
            <w:r>
              <w:rPr>
                <w:rFonts w:hint="eastAsia"/>
                <w:color w:val="auto"/>
                <w:highlight w:val="none"/>
              </w:rPr>
              <w:t>0.3</w:t>
            </w:r>
          </w:p>
        </w:tc>
        <w:tc>
          <w:tcPr>
            <w:tcW w:w="1265" w:type="pct"/>
            <w:vMerge w:val="continue"/>
            <w:tcBorders>
              <w:tl2br w:val="nil"/>
              <w:tr2bl w:val="nil"/>
            </w:tcBorders>
            <w:vAlign w:val="center"/>
          </w:tcPr>
          <w:p w14:paraId="4196C9FE">
            <w:pPr>
              <w:pStyle w:val="41"/>
              <w:rPr>
                <w:color w:val="auto"/>
                <w:highlight w:val="none"/>
              </w:rPr>
            </w:pPr>
          </w:p>
        </w:tc>
      </w:tr>
      <w:tr w14:paraId="665F91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51B6787E">
            <w:pPr>
              <w:pStyle w:val="41"/>
              <w:rPr>
                <w:color w:val="auto"/>
                <w:highlight w:val="none"/>
              </w:rPr>
            </w:pPr>
          </w:p>
        </w:tc>
        <w:tc>
          <w:tcPr>
            <w:tcW w:w="1197" w:type="pct"/>
            <w:tcBorders>
              <w:tl2br w:val="nil"/>
              <w:tr2bl w:val="nil"/>
            </w:tcBorders>
            <w:vAlign w:val="center"/>
          </w:tcPr>
          <w:p w14:paraId="60396CB6">
            <w:pPr>
              <w:pStyle w:val="41"/>
              <w:rPr>
                <w:color w:val="auto"/>
                <w:highlight w:val="none"/>
              </w:rPr>
            </w:pPr>
            <w:r>
              <w:rPr>
                <w:rFonts w:hint="eastAsia"/>
                <w:color w:val="auto"/>
                <w:highlight w:val="none"/>
              </w:rPr>
              <w:t>硝酸盐</w:t>
            </w:r>
          </w:p>
        </w:tc>
        <w:tc>
          <w:tcPr>
            <w:tcW w:w="950" w:type="pct"/>
            <w:tcBorders>
              <w:tl2br w:val="nil"/>
              <w:tr2bl w:val="nil"/>
            </w:tcBorders>
            <w:vAlign w:val="center"/>
          </w:tcPr>
          <w:p w14:paraId="160C7463">
            <w:pPr>
              <w:pStyle w:val="41"/>
              <w:rPr>
                <w:color w:val="auto"/>
                <w:highlight w:val="none"/>
              </w:rPr>
            </w:pPr>
            <w:r>
              <w:rPr>
                <w:color w:val="auto"/>
                <w:highlight w:val="none"/>
              </w:rPr>
              <w:t>mg/L</w:t>
            </w:r>
          </w:p>
        </w:tc>
        <w:tc>
          <w:tcPr>
            <w:tcW w:w="723" w:type="pct"/>
            <w:tcBorders>
              <w:tl2br w:val="nil"/>
              <w:tr2bl w:val="nil"/>
            </w:tcBorders>
            <w:vAlign w:val="center"/>
          </w:tcPr>
          <w:p w14:paraId="76D9AD83">
            <w:pPr>
              <w:pStyle w:val="41"/>
              <w:rPr>
                <w:color w:val="auto"/>
                <w:highlight w:val="none"/>
              </w:rPr>
            </w:pPr>
            <w:r>
              <w:rPr>
                <w:color w:val="auto"/>
                <w:highlight w:val="none"/>
              </w:rPr>
              <w:t>≤</w:t>
            </w:r>
            <w:r>
              <w:rPr>
                <w:rFonts w:hint="eastAsia"/>
                <w:color w:val="auto"/>
                <w:highlight w:val="none"/>
              </w:rPr>
              <w:t>20.0</w:t>
            </w:r>
          </w:p>
        </w:tc>
        <w:tc>
          <w:tcPr>
            <w:tcW w:w="1265" w:type="pct"/>
            <w:vMerge w:val="continue"/>
            <w:tcBorders>
              <w:tl2br w:val="nil"/>
              <w:tr2bl w:val="nil"/>
            </w:tcBorders>
            <w:vAlign w:val="center"/>
          </w:tcPr>
          <w:p w14:paraId="17E27999">
            <w:pPr>
              <w:pStyle w:val="41"/>
              <w:rPr>
                <w:color w:val="auto"/>
                <w:highlight w:val="none"/>
              </w:rPr>
            </w:pPr>
          </w:p>
        </w:tc>
      </w:tr>
      <w:tr w14:paraId="694F26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7B6016E1">
            <w:pPr>
              <w:pStyle w:val="41"/>
              <w:rPr>
                <w:color w:val="auto"/>
                <w:highlight w:val="none"/>
              </w:rPr>
            </w:pPr>
          </w:p>
        </w:tc>
        <w:tc>
          <w:tcPr>
            <w:tcW w:w="1197" w:type="pct"/>
            <w:tcBorders>
              <w:tl2br w:val="nil"/>
              <w:tr2bl w:val="nil"/>
            </w:tcBorders>
            <w:vAlign w:val="center"/>
          </w:tcPr>
          <w:p w14:paraId="305AA036">
            <w:pPr>
              <w:pStyle w:val="41"/>
              <w:rPr>
                <w:color w:val="auto"/>
                <w:highlight w:val="none"/>
              </w:rPr>
            </w:pPr>
            <w:r>
              <w:rPr>
                <w:color w:val="auto"/>
                <w:highlight w:val="none"/>
              </w:rPr>
              <w:t>亚硝酸盐</w:t>
            </w:r>
          </w:p>
        </w:tc>
        <w:tc>
          <w:tcPr>
            <w:tcW w:w="950" w:type="pct"/>
            <w:tcBorders>
              <w:tl2br w:val="nil"/>
              <w:tr2bl w:val="nil"/>
            </w:tcBorders>
            <w:vAlign w:val="center"/>
          </w:tcPr>
          <w:p w14:paraId="1FC115CE">
            <w:pPr>
              <w:pStyle w:val="41"/>
              <w:rPr>
                <w:color w:val="auto"/>
                <w:highlight w:val="none"/>
              </w:rPr>
            </w:pPr>
            <w:r>
              <w:rPr>
                <w:color w:val="auto"/>
                <w:highlight w:val="none"/>
              </w:rPr>
              <w:t>mg/L</w:t>
            </w:r>
          </w:p>
        </w:tc>
        <w:tc>
          <w:tcPr>
            <w:tcW w:w="723" w:type="pct"/>
            <w:tcBorders>
              <w:tl2br w:val="nil"/>
              <w:tr2bl w:val="nil"/>
            </w:tcBorders>
            <w:vAlign w:val="center"/>
          </w:tcPr>
          <w:p w14:paraId="4D6E3FAD">
            <w:pPr>
              <w:pStyle w:val="41"/>
              <w:rPr>
                <w:color w:val="auto"/>
                <w:highlight w:val="none"/>
              </w:rPr>
            </w:pPr>
            <w:r>
              <w:rPr>
                <w:color w:val="auto"/>
                <w:highlight w:val="none"/>
              </w:rPr>
              <w:t>≤</w:t>
            </w:r>
            <w:r>
              <w:rPr>
                <w:rFonts w:hint="eastAsia"/>
                <w:color w:val="auto"/>
                <w:highlight w:val="none"/>
              </w:rPr>
              <w:t>1.00</w:t>
            </w:r>
          </w:p>
        </w:tc>
        <w:tc>
          <w:tcPr>
            <w:tcW w:w="1265" w:type="pct"/>
            <w:vMerge w:val="continue"/>
            <w:tcBorders>
              <w:tl2br w:val="nil"/>
              <w:tr2bl w:val="nil"/>
            </w:tcBorders>
            <w:vAlign w:val="center"/>
          </w:tcPr>
          <w:p w14:paraId="198DA066">
            <w:pPr>
              <w:pStyle w:val="41"/>
              <w:rPr>
                <w:color w:val="auto"/>
                <w:highlight w:val="none"/>
              </w:rPr>
            </w:pPr>
          </w:p>
        </w:tc>
      </w:tr>
      <w:tr w14:paraId="5654A6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1C8A6D9F">
            <w:pPr>
              <w:pStyle w:val="41"/>
              <w:rPr>
                <w:color w:val="auto"/>
                <w:highlight w:val="none"/>
              </w:rPr>
            </w:pPr>
          </w:p>
        </w:tc>
        <w:tc>
          <w:tcPr>
            <w:tcW w:w="1197" w:type="pct"/>
            <w:tcBorders>
              <w:tl2br w:val="nil"/>
              <w:tr2bl w:val="nil"/>
            </w:tcBorders>
            <w:vAlign w:val="center"/>
          </w:tcPr>
          <w:p w14:paraId="059C32E6">
            <w:pPr>
              <w:pStyle w:val="41"/>
              <w:rPr>
                <w:color w:val="auto"/>
                <w:highlight w:val="none"/>
              </w:rPr>
            </w:pPr>
            <w:r>
              <w:rPr>
                <w:color w:val="auto"/>
                <w:highlight w:val="none"/>
              </w:rPr>
              <w:t>挥发性酚类</w:t>
            </w:r>
          </w:p>
        </w:tc>
        <w:tc>
          <w:tcPr>
            <w:tcW w:w="950" w:type="pct"/>
            <w:tcBorders>
              <w:tl2br w:val="nil"/>
              <w:tr2bl w:val="nil"/>
            </w:tcBorders>
            <w:vAlign w:val="center"/>
          </w:tcPr>
          <w:p w14:paraId="545955A1">
            <w:pPr>
              <w:pStyle w:val="41"/>
              <w:rPr>
                <w:color w:val="auto"/>
                <w:highlight w:val="none"/>
              </w:rPr>
            </w:pPr>
            <w:r>
              <w:rPr>
                <w:color w:val="auto"/>
                <w:highlight w:val="none"/>
              </w:rPr>
              <w:t>mg/L</w:t>
            </w:r>
          </w:p>
        </w:tc>
        <w:tc>
          <w:tcPr>
            <w:tcW w:w="723" w:type="pct"/>
            <w:tcBorders>
              <w:tl2br w:val="nil"/>
              <w:tr2bl w:val="nil"/>
            </w:tcBorders>
            <w:vAlign w:val="center"/>
          </w:tcPr>
          <w:p w14:paraId="0236E48C">
            <w:pPr>
              <w:pStyle w:val="41"/>
              <w:rPr>
                <w:color w:val="auto"/>
                <w:highlight w:val="none"/>
              </w:rPr>
            </w:pPr>
            <w:r>
              <w:rPr>
                <w:color w:val="auto"/>
                <w:highlight w:val="none"/>
              </w:rPr>
              <w:t>≤0.00</w:t>
            </w:r>
            <w:r>
              <w:rPr>
                <w:rFonts w:hint="eastAsia"/>
                <w:color w:val="auto"/>
                <w:highlight w:val="none"/>
              </w:rPr>
              <w:t>2</w:t>
            </w:r>
          </w:p>
        </w:tc>
        <w:tc>
          <w:tcPr>
            <w:tcW w:w="1265" w:type="pct"/>
            <w:vMerge w:val="continue"/>
            <w:tcBorders>
              <w:tl2br w:val="nil"/>
              <w:tr2bl w:val="nil"/>
            </w:tcBorders>
            <w:vAlign w:val="center"/>
          </w:tcPr>
          <w:p w14:paraId="0EEA8749">
            <w:pPr>
              <w:pStyle w:val="41"/>
              <w:rPr>
                <w:color w:val="auto"/>
                <w:highlight w:val="none"/>
              </w:rPr>
            </w:pPr>
          </w:p>
        </w:tc>
      </w:tr>
      <w:tr w14:paraId="0F1239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087FC430">
            <w:pPr>
              <w:pStyle w:val="41"/>
              <w:rPr>
                <w:color w:val="auto"/>
                <w:highlight w:val="none"/>
              </w:rPr>
            </w:pPr>
          </w:p>
        </w:tc>
        <w:tc>
          <w:tcPr>
            <w:tcW w:w="1197" w:type="pct"/>
            <w:tcBorders>
              <w:tl2br w:val="nil"/>
              <w:tr2bl w:val="nil"/>
            </w:tcBorders>
            <w:vAlign w:val="center"/>
          </w:tcPr>
          <w:p w14:paraId="28961CF6">
            <w:pPr>
              <w:pStyle w:val="41"/>
              <w:rPr>
                <w:color w:val="auto"/>
                <w:highlight w:val="none"/>
              </w:rPr>
            </w:pPr>
            <w:r>
              <w:rPr>
                <w:color w:val="auto"/>
                <w:highlight w:val="none"/>
              </w:rPr>
              <w:t>铬（六价）</w:t>
            </w:r>
          </w:p>
        </w:tc>
        <w:tc>
          <w:tcPr>
            <w:tcW w:w="950" w:type="pct"/>
            <w:tcBorders>
              <w:tl2br w:val="nil"/>
              <w:tr2bl w:val="nil"/>
            </w:tcBorders>
            <w:vAlign w:val="center"/>
          </w:tcPr>
          <w:p w14:paraId="21E1D3B3">
            <w:pPr>
              <w:pStyle w:val="41"/>
              <w:rPr>
                <w:color w:val="auto"/>
                <w:highlight w:val="none"/>
              </w:rPr>
            </w:pPr>
            <w:r>
              <w:rPr>
                <w:color w:val="auto"/>
                <w:highlight w:val="none"/>
              </w:rPr>
              <w:t>mg/L</w:t>
            </w:r>
          </w:p>
        </w:tc>
        <w:tc>
          <w:tcPr>
            <w:tcW w:w="723" w:type="pct"/>
            <w:tcBorders>
              <w:tl2br w:val="nil"/>
              <w:tr2bl w:val="nil"/>
            </w:tcBorders>
            <w:vAlign w:val="center"/>
          </w:tcPr>
          <w:p w14:paraId="6F8334B2">
            <w:pPr>
              <w:pStyle w:val="41"/>
              <w:rPr>
                <w:color w:val="auto"/>
                <w:highlight w:val="none"/>
              </w:rPr>
            </w:pPr>
            <w:r>
              <w:rPr>
                <w:color w:val="auto"/>
                <w:highlight w:val="none"/>
              </w:rPr>
              <w:t>≤0.0</w:t>
            </w:r>
            <w:r>
              <w:rPr>
                <w:rFonts w:hint="eastAsia"/>
                <w:color w:val="auto"/>
                <w:highlight w:val="none"/>
              </w:rPr>
              <w:t>5</w:t>
            </w:r>
          </w:p>
        </w:tc>
        <w:tc>
          <w:tcPr>
            <w:tcW w:w="1265" w:type="pct"/>
            <w:vMerge w:val="continue"/>
            <w:tcBorders>
              <w:tl2br w:val="nil"/>
              <w:tr2bl w:val="nil"/>
            </w:tcBorders>
            <w:vAlign w:val="center"/>
          </w:tcPr>
          <w:p w14:paraId="1789731F">
            <w:pPr>
              <w:pStyle w:val="41"/>
              <w:rPr>
                <w:color w:val="auto"/>
                <w:highlight w:val="none"/>
              </w:rPr>
            </w:pPr>
          </w:p>
        </w:tc>
      </w:tr>
      <w:tr w14:paraId="47C7E7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4940BA54">
            <w:pPr>
              <w:pStyle w:val="41"/>
              <w:rPr>
                <w:color w:val="auto"/>
                <w:highlight w:val="none"/>
              </w:rPr>
            </w:pPr>
          </w:p>
        </w:tc>
        <w:tc>
          <w:tcPr>
            <w:tcW w:w="1197" w:type="pct"/>
            <w:tcBorders>
              <w:tl2br w:val="nil"/>
              <w:tr2bl w:val="nil"/>
            </w:tcBorders>
            <w:vAlign w:val="center"/>
          </w:tcPr>
          <w:p w14:paraId="5338F338">
            <w:pPr>
              <w:pStyle w:val="41"/>
              <w:rPr>
                <w:color w:val="auto"/>
                <w:highlight w:val="none"/>
              </w:rPr>
            </w:pPr>
            <w:r>
              <w:rPr>
                <w:color w:val="auto"/>
                <w:highlight w:val="none"/>
              </w:rPr>
              <w:t>锰</w:t>
            </w:r>
          </w:p>
        </w:tc>
        <w:tc>
          <w:tcPr>
            <w:tcW w:w="950" w:type="pct"/>
            <w:tcBorders>
              <w:tl2br w:val="nil"/>
              <w:tr2bl w:val="nil"/>
            </w:tcBorders>
            <w:vAlign w:val="center"/>
          </w:tcPr>
          <w:p w14:paraId="4AD788DB">
            <w:pPr>
              <w:pStyle w:val="41"/>
              <w:rPr>
                <w:color w:val="auto"/>
                <w:highlight w:val="none"/>
              </w:rPr>
            </w:pPr>
            <w:r>
              <w:rPr>
                <w:color w:val="auto"/>
                <w:highlight w:val="none"/>
              </w:rPr>
              <w:t>mg/L</w:t>
            </w:r>
          </w:p>
        </w:tc>
        <w:tc>
          <w:tcPr>
            <w:tcW w:w="723" w:type="pct"/>
            <w:tcBorders>
              <w:tl2br w:val="nil"/>
              <w:tr2bl w:val="nil"/>
            </w:tcBorders>
            <w:vAlign w:val="center"/>
          </w:tcPr>
          <w:p w14:paraId="49AA0769">
            <w:pPr>
              <w:pStyle w:val="41"/>
              <w:rPr>
                <w:color w:val="auto"/>
                <w:highlight w:val="none"/>
              </w:rPr>
            </w:pPr>
            <w:r>
              <w:rPr>
                <w:color w:val="auto"/>
                <w:highlight w:val="none"/>
              </w:rPr>
              <w:t>≤0.</w:t>
            </w:r>
            <w:r>
              <w:rPr>
                <w:rFonts w:hint="eastAsia"/>
                <w:color w:val="auto"/>
                <w:highlight w:val="none"/>
              </w:rPr>
              <w:t>10</w:t>
            </w:r>
          </w:p>
        </w:tc>
        <w:tc>
          <w:tcPr>
            <w:tcW w:w="1265" w:type="pct"/>
            <w:vMerge w:val="continue"/>
            <w:tcBorders>
              <w:tl2br w:val="nil"/>
              <w:tr2bl w:val="nil"/>
            </w:tcBorders>
            <w:vAlign w:val="center"/>
          </w:tcPr>
          <w:p w14:paraId="1AEB166C">
            <w:pPr>
              <w:pStyle w:val="41"/>
              <w:rPr>
                <w:color w:val="auto"/>
                <w:highlight w:val="none"/>
              </w:rPr>
            </w:pPr>
          </w:p>
        </w:tc>
      </w:tr>
      <w:tr w14:paraId="20C567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5B072C26">
            <w:pPr>
              <w:pStyle w:val="41"/>
              <w:rPr>
                <w:color w:val="auto"/>
                <w:highlight w:val="none"/>
              </w:rPr>
            </w:pPr>
          </w:p>
        </w:tc>
        <w:tc>
          <w:tcPr>
            <w:tcW w:w="1197" w:type="pct"/>
            <w:tcBorders>
              <w:tl2br w:val="nil"/>
              <w:tr2bl w:val="nil"/>
            </w:tcBorders>
            <w:vAlign w:val="center"/>
          </w:tcPr>
          <w:p w14:paraId="3D3593EF">
            <w:pPr>
              <w:pStyle w:val="41"/>
              <w:rPr>
                <w:color w:val="auto"/>
                <w:highlight w:val="none"/>
              </w:rPr>
            </w:pPr>
            <w:r>
              <w:rPr>
                <w:color w:val="auto"/>
                <w:highlight w:val="none"/>
              </w:rPr>
              <w:t>氯化物</w:t>
            </w:r>
          </w:p>
        </w:tc>
        <w:tc>
          <w:tcPr>
            <w:tcW w:w="950" w:type="pct"/>
            <w:tcBorders>
              <w:tl2br w:val="nil"/>
              <w:tr2bl w:val="nil"/>
            </w:tcBorders>
            <w:vAlign w:val="center"/>
          </w:tcPr>
          <w:p w14:paraId="4B790167">
            <w:pPr>
              <w:pStyle w:val="41"/>
              <w:rPr>
                <w:color w:val="auto"/>
                <w:highlight w:val="none"/>
              </w:rPr>
            </w:pPr>
            <w:r>
              <w:rPr>
                <w:color w:val="auto"/>
                <w:highlight w:val="none"/>
              </w:rPr>
              <w:t>mg/L</w:t>
            </w:r>
          </w:p>
        </w:tc>
        <w:tc>
          <w:tcPr>
            <w:tcW w:w="723" w:type="pct"/>
            <w:tcBorders>
              <w:tl2br w:val="nil"/>
              <w:tr2bl w:val="nil"/>
            </w:tcBorders>
            <w:vAlign w:val="center"/>
          </w:tcPr>
          <w:p w14:paraId="7C37B47D">
            <w:pPr>
              <w:pStyle w:val="41"/>
              <w:rPr>
                <w:color w:val="auto"/>
                <w:highlight w:val="none"/>
              </w:rPr>
            </w:pPr>
            <w:r>
              <w:rPr>
                <w:color w:val="auto"/>
                <w:highlight w:val="none"/>
              </w:rPr>
              <w:t>≤</w:t>
            </w:r>
            <w:r>
              <w:rPr>
                <w:rFonts w:hint="eastAsia"/>
                <w:color w:val="auto"/>
                <w:highlight w:val="none"/>
              </w:rPr>
              <w:t>250</w:t>
            </w:r>
          </w:p>
        </w:tc>
        <w:tc>
          <w:tcPr>
            <w:tcW w:w="1265" w:type="pct"/>
            <w:vMerge w:val="continue"/>
            <w:tcBorders>
              <w:tl2br w:val="nil"/>
              <w:tr2bl w:val="nil"/>
            </w:tcBorders>
            <w:vAlign w:val="center"/>
          </w:tcPr>
          <w:p w14:paraId="00142B15">
            <w:pPr>
              <w:pStyle w:val="41"/>
              <w:rPr>
                <w:color w:val="auto"/>
                <w:highlight w:val="none"/>
              </w:rPr>
            </w:pPr>
          </w:p>
        </w:tc>
      </w:tr>
      <w:tr w14:paraId="741C82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5030916A">
            <w:pPr>
              <w:pStyle w:val="41"/>
              <w:rPr>
                <w:color w:val="auto"/>
                <w:highlight w:val="none"/>
              </w:rPr>
            </w:pPr>
          </w:p>
        </w:tc>
        <w:tc>
          <w:tcPr>
            <w:tcW w:w="1197" w:type="pct"/>
            <w:tcBorders>
              <w:tl2br w:val="nil"/>
              <w:tr2bl w:val="nil"/>
            </w:tcBorders>
            <w:vAlign w:val="center"/>
          </w:tcPr>
          <w:p w14:paraId="72477E53">
            <w:pPr>
              <w:pStyle w:val="41"/>
              <w:rPr>
                <w:color w:val="auto"/>
                <w:highlight w:val="none"/>
              </w:rPr>
            </w:pPr>
            <w:r>
              <w:rPr>
                <w:color w:val="auto"/>
                <w:highlight w:val="none"/>
              </w:rPr>
              <w:t>氟</w:t>
            </w:r>
            <w:r>
              <w:rPr>
                <w:rFonts w:hint="eastAsia"/>
                <w:color w:val="auto"/>
                <w:highlight w:val="none"/>
              </w:rPr>
              <w:t>化物</w:t>
            </w:r>
          </w:p>
        </w:tc>
        <w:tc>
          <w:tcPr>
            <w:tcW w:w="950" w:type="pct"/>
            <w:tcBorders>
              <w:tl2br w:val="nil"/>
              <w:tr2bl w:val="nil"/>
            </w:tcBorders>
            <w:vAlign w:val="center"/>
          </w:tcPr>
          <w:p w14:paraId="3BC628CB">
            <w:pPr>
              <w:pStyle w:val="41"/>
              <w:rPr>
                <w:color w:val="auto"/>
                <w:highlight w:val="none"/>
              </w:rPr>
            </w:pPr>
            <w:r>
              <w:rPr>
                <w:color w:val="auto"/>
                <w:highlight w:val="none"/>
              </w:rPr>
              <w:t>mg/L</w:t>
            </w:r>
          </w:p>
        </w:tc>
        <w:tc>
          <w:tcPr>
            <w:tcW w:w="723" w:type="pct"/>
            <w:tcBorders>
              <w:tl2br w:val="nil"/>
              <w:tr2bl w:val="nil"/>
            </w:tcBorders>
            <w:vAlign w:val="center"/>
          </w:tcPr>
          <w:p w14:paraId="3C17CA4A">
            <w:pPr>
              <w:pStyle w:val="41"/>
              <w:rPr>
                <w:color w:val="auto"/>
                <w:highlight w:val="none"/>
              </w:rPr>
            </w:pPr>
            <w:r>
              <w:rPr>
                <w:color w:val="auto"/>
                <w:highlight w:val="none"/>
              </w:rPr>
              <w:t>≤1.0</w:t>
            </w:r>
          </w:p>
        </w:tc>
        <w:tc>
          <w:tcPr>
            <w:tcW w:w="1265" w:type="pct"/>
            <w:vMerge w:val="continue"/>
            <w:tcBorders>
              <w:tl2br w:val="nil"/>
              <w:tr2bl w:val="nil"/>
            </w:tcBorders>
            <w:vAlign w:val="center"/>
          </w:tcPr>
          <w:p w14:paraId="77B84ADA">
            <w:pPr>
              <w:pStyle w:val="41"/>
              <w:rPr>
                <w:color w:val="auto"/>
                <w:highlight w:val="none"/>
              </w:rPr>
            </w:pPr>
          </w:p>
        </w:tc>
      </w:tr>
      <w:tr w14:paraId="10AF3A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04C5A6B0">
            <w:pPr>
              <w:pStyle w:val="41"/>
              <w:rPr>
                <w:color w:val="auto"/>
                <w:highlight w:val="none"/>
              </w:rPr>
            </w:pPr>
          </w:p>
        </w:tc>
        <w:tc>
          <w:tcPr>
            <w:tcW w:w="1197" w:type="pct"/>
            <w:tcBorders>
              <w:tl2br w:val="nil"/>
              <w:tr2bl w:val="nil"/>
            </w:tcBorders>
            <w:vAlign w:val="center"/>
          </w:tcPr>
          <w:p w14:paraId="2D985BDF">
            <w:pPr>
              <w:pStyle w:val="41"/>
              <w:rPr>
                <w:color w:val="auto"/>
                <w:highlight w:val="none"/>
              </w:rPr>
            </w:pPr>
            <w:r>
              <w:rPr>
                <w:color w:val="auto"/>
                <w:highlight w:val="none"/>
              </w:rPr>
              <w:t>氰化物</w:t>
            </w:r>
          </w:p>
        </w:tc>
        <w:tc>
          <w:tcPr>
            <w:tcW w:w="950" w:type="pct"/>
            <w:tcBorders>
              <w:tl2br w:val="nil"/>
              <w:tr2bl w:val="nil"/>
            </w:tcBorders>
            <w:vAlign w:val="center"/>
          </w:tcPr>
          <w:p w14:paraId="49093AC0">
            <w:pPr>
              <w:pStyle w:val="41"/>
              <w:rPr>
                <w:color w:val="auto"/>
                <w:highlight w:val="none"/>
              </w:rPr>
            </w:pPr>
            <w:r>
              <w:rPr>
                <w:color w:val="auto"/>
                <w:highlight w:val="none"/>
              </w:rPr>
              <w:t>mg/L</w:t>
            </w:r>
          </w:p>
        </w:tc>
        <w:tc>
          <w:tcPr>
            <w:tcW w:w="723" w:type="pct"/>
            <w:tcBorders>
              <w:tl2br w:val="nil"/>
              <w:tr2bl w:val="nil"/>
            </w:tcBorders>
            <w:vAlign w:val="center"/>
          </w:tcPr>
          <w:p w14:paraId="021FAF32">
            <w:pPr>
              <w:pStyle w:val="41"/>
              <w:rPr>
                <w:color w:val="auto"/>
                <w:highlight w:val="none"/>
              </w:rPr>
            </w:pPr>
            <w:r>
              <w:rPr>
                <w:color w:val="auto"/>
                <w:highlight w:val="none"/>
              </w:rPr>
              <w:t>≤0.0</w:t>
            </w:r>
            <w:r>
              <w:rPr>
                <w:rFonts w:hint="eastAsia"/>
                <w:color w:val="auto"/>
                <w:highlight w:val="none"/>
              </w:rPr>
              <w:t>5</w:t>
            </w:r>
          </w:p>
        </w:tc>
        <w:tc>
          <w:tcPr>
            <w:tcW w:w="1265" w:type="pct"/>
            <w:vMerge w:val="continue"/>
            <w:tcBorders>
              <w:tl2br w:val="nil"/>
              <w:tr2bl w:val="nil"/>
            </w:tcBorders>
            <w:vAlign w:val="center"/>
          </w:tcPr>
          <w:p w14:paraId="1490C3AB">
            <w:pPr>
              <w:pStyle w:val="41"/>
              <w:rPr>
                <w:color w:val="auto"/>
                <w:highlight w:val="none"/>
              </w:rPr>
            </w:pPr>
          </w:p>
        </w:tc>
      </w:tr>
      <w:tr w14:paraId="3D9BC9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2D74BC11">
            <w:pPr>
              <w:pStyle w:val="41"/>
              <w:rPr>
                <w:color w:val="auto"/>
                <w:highlight w:val="none"/>
              </w:rPr>
            </w:pPr>
          </w:p>
        </w:tc>
        <w:tc>
          <w:tcPr>
            <w:tcW w:w="1197" w:type="pct"/>
            <w:tcBorders>
              <w:tl2br w:val="nil"/>
              <w:tr2bl w:val="nil"/>
            </w:tcBorders>
            <w:vAlign w:val="center"/>
          </w:tcPr>
          <w:p w14:paraId="725F9876">
            <w:pPr>
              <w:pStyle w:val="41"/>
              <w:rPr>
                <w:color w:val="auto"/>
                <w:highlight w:val="none"/>
              </w:rPr>
            </w:pPr>
            <w:r>
              <w:rPr>
                <w:color w:val="auto"/>
                <w:highlight w:val="none"/>
              </w:rPr>
              <w:t>细菌总数/菌落总数</w:t>
            </w:r>
          </w:p>
        </w:tc>
        <w:tc>
          <w:tcPr>
            <w:tcW w:w="950" w:type="pct"/>
            <w:tcBorders>
              <w:tl2br w:val="nil"/>
              <w:tr2bl w:val="nil"/>
            </w:tcBorders>
            <w:vAlign w:val="center"/>
          </w:tcPr>
          <w:p w14:paraId="5868E139">
            <w:pPr>
              <w:pStyle w:val="41"/>
              <w:rPr>
                <w:color w:val="auto"/>
                <w:highlight w:val="none"/>
              </w:rPr>
            </w:pPr>
            <w:r>
              <w:rPr>
                <w:color w:val="auto"/>
                <w:highlight w:val="none"/>
              </w:rPr>
              <w:t>CFU/mL</w:t>
            </w:r>
          </w:p>
        </w:tc>
        <w:tc>
          <w:tcPr>
            <w:tcW w:w="723" w:type="pct"/>
            <w:tcBorders>
              <w:tl2br w:val="nil"/>
              <w:tr2bl w:val="nil"/>
            </w:tcBorders>
            <w:vAlign w:val="center"/>
          </w:tcPr>
          <w:p w14:paraId="4A95395F">
            <w:pPr>
              <w:pStyle w:val="41"/>
              <w:rPr>
                <w:color w:val="auto"/>
                <w:highlight w:val="none"/>
              </w:rPr>
            </w:pPr>
            <w:r>
              <w:rPr>
                <w:color w:val="auto"/>
                <w:highlight w:val="none"/>
              </w:rPr>
              <w:t>≤100</w:t>
            </w:r>
          </w:p>
        </w:tc>
        <w:tc>
          <w:tcPr>
            <w:tcW w:w="1265" w:type="pct"/>
            <w:vMerge w:val="continue"/>
            <w:tcBorders>
              <w:tl2br w:val="nil"/>
              <w:tr2bl w:val="nil"/>
            </w:tcBorders>
            <w:vAlign w:val="center"/>
          </w:tcPr>
          <w:p w14:paraId="59C6E068">
            <w:pPr>
              <w:pStyle w:val="41"/>
              <w:rPr>
                <w:color w:val="auto"/>
                <w:highlight w:val="none"/>
              </w:rPr>
            </w:pPr>
          </w:p>
        </w:tc>
      </w:tr>
      <w:tr w14:paraId="0B3471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restart"/>
            <w:tcBorders>
              <w:tl2br w:val="nil"/>
              <w:tr2bl w:val="nil"/>
            </w:tcBorders>
            <w:vAlign w:val="center"/>
          </w:tcPr>
          <w:p w14:paraId="1C7BE3D1">
            <w:pPr>
              <w:pStyle w:val="41"/>
              <w:rPr>
                <w:color w:val="auto"/>
                <w:highlight w:val="none"/>
              </w:rPr>
            </w:pPr>
            <w:r>
              <w:rPr>
                <w:rFonts w:hint="eastAsia"/>
                <w:color w:val="auto"/>
                <w:highlight w:val="none"/>
              </w:rPr>
              <w:t>基本因子兼特征因子</w:t>
            </w:r>
          </w:p>
        </w:tc>
        <w:tc>
          <w:tcPr>
            <w:tcW w:w="1197" w:type="pct"/>
            <w:tcBorders>
              <w:tl2br w:val="nil"/>
              <w:tr2bl w:val="nil"/>
            </w:tcBorders>
            <w:vAlign w:val="center"/>
          </w:tcPr>
          <w:p w14:paraId="57DF8D56">
            <w:pPr>
              <w:pStyle w:val="41"/>
              <w:rPr>
                <w:color w:val="auto"/>
                <w:highlight w:val="none"/>
              </w:rPr>
            </w:pPr>
            <w:r>
              <w:rPr>
                <w:color w:val="auto"/>
                <w:highlight w:val="none"/>
              </w:rPr>
              <w:t>pH</w:t>
            </w:r>
          </w:p>
        </w:tc>
        <w:tc>
          <w:tcPr>
            <w:tcW w:w="950" w:type="pct"/>
            <w:tcBorders>
              <w:tl2br w:val="nil"/>
              <w:tr2bl w:val="nil"/>
            </w:tcBorders>
            <w:vAlign w:val="center"/>
          </w:tcPr>
          <w:p w14:paraId="363DEFDD">
            <w:pPr>
              <w:pStyle w:val="41"/>
              <w:rPr>
                <w:color w:val="auto"/>
                <w:highlight w:val="none"/>
              </w:rPr>
            </w:pPr>
            <w:r>
              <w:rPr>
                <w:rFonts w:hint="eastAsia"/>
                <w:color w:val="auto"/>
                <w:highlight w:val="none"/>
              </w:rPr>
              <w:t>无量纲</w:t>
            </w:r>
          </w:p>
        </w:tc>
        <w:tc>
          <w:tcPr>
            <w:tcW w:w="723" w:type="pct"/>
            <w:tcBorders>
              <w:tl2br w:val="nil"/>
              <w:tr2bl w:val="nil"/>
            </w:tcBorders>
            <w:vAlign w:val="center"/>
          </w:tcPr>
          <w:p w14:paraId="0127C00A">
            <w:pPr>
              <w:pStyle w:val="41"/>
              <w:rPr>
                <w:color w:val="auto"/>
                <w:highlight w:val="none"/>
              </w:rPr>
            </w:pPr>
            <w:r>
              <w:rPr>
                <w:color w:val="auto"/>
                <w:highlight w:val="none"/>
              </w:rPr>
              <w:t>6.5~8.5</w:t>
            </w:r>
          </w:p>
        </w:tc>
        <w:tc>
          <w:tcPr>
            <w:tcW w:w="1265" w:type="pct"/>
            <w:vMerge w:val="continue"/>
            <w:tcBorders>
              <w:tl2br w:val="nil"/>
              <w:tr2bl w:val="nil"/>
            </w:tcBorders>
            <w:vAlign w:val="center"/>
          </w:tcPr>
          <w:p w14:paraId="6CFEEF6F">
            <w:pPr>
              <w:pStyle w:val="41"/>
              <w:rPr>
                <w:color w:val="auto"/>
                <w:highlight w:val="none"/>
              </w:rPr>
            </w:pPr>
          </w:p>
        </w:tc>
      </w:tr>
      <w:tr w14:paraId="0062CC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75E6E0D4">
            <w:pPr>
              <w:pStyle w:val="41"/>
              <w:rPr>
                <w:color w:val="auto"/>
                <w:highlight w:val="none"/>
              </w:rPr>
            </w:pPr>
          </w:p>
        </w:tc>
        <w:tc>
          <w:tcPr>
            <w:tcW w:w="1197" w:type="pct"/>
            <w:tcBorders>
              <w:tl2br w:val="nil"/>
              <w:tr2bl w:val="nil"/>
            </w:tcBorders>
            <w:vAlign w:val="center"/>
          </w:tcPr>
          <w:p w14:paraId="354C0D2B">
            <w:pPr>
              <w:pStyle w:val="41"/>
              <w:rPr>
                <w:color w:val="auto"/>
                <w:highlight w:val="none"/>
              </w:rPr>
            </w:pPr>
            <w:r>
              <w:rPr>
                <w:color w:val="auto"/>
                <w:highlight w:val="none"/>
              </w:rPr>
              <w:t>耗氧量</w:t>
            </w:r>
          </w:p>
        </w:tc>
        <w:tc>
          <w:tcPr>
            <w:tcW w:w="950" w:type="pct"/>
            <w:tcBorders>
              <w:tl2br w:val="nil"/>
              <w:tr2bl w:val="nil"/>
            </w:tcBorders>
            <w:vAlign w:val="center"/>
          </w:tcPr>
          <w:p w14:paraId="41A1F0AE">
            <w:pPr>
              <w:pStyle w:val="41"/>
              <w:rPr>
                <w:color w:val="auto"/>
                <w:highlight w:val="none"/>
              </w:rPr>
            </w:pPr>
            <w:r>
              <w:rPr>
                <w:color w:val="auto"/>
                <w:highlight w:val="none"/>
              </w:rPr>
              <w:t>mg/L</w:t>
            </w:r>
          </w:p>
        </w:tc>
        <w:tc>
          <w:tcPr>
            <w:tcW w:w="723" w:type="pct"/>
            <w:tcBorders>
              <w:tl2br w:val="nil"/>
              <w:tr2bl w:val="nil"/>
            </w:tcBorders>
            <w:vAlign w:val="center"/>
          </w:tcPr>
          <w:p w14:paraId="7C9B16AD">
            <w:pPr>
              <w:pStyle w:val="41"/>
              <w:rPr>
                <w:color w:val="auto"/>
                <w:highlight w:val="none"/>
              </w:rPr>
            </w:pPr>
            <w:r>
              <w:rPr>
                <w:color w:val="auto"/>
                <w:highlight w:val="none"/>
              </w:rPr>
              <w:t>≤</w:t>
            </w:r>
            <w:r>
              <w:rPr>
                <w:rFonts w:hint="eastAsia"/>
                <w:color w:val="auto"/>
                <w:highlight w:val="none"/>
              </w:rPr>
              <w:t>3.0</w:t>
            </w:r>
          </w:p>
        </w:tc>
        <w:tc>
          <w:tcPr>
            <w:tcW w:w="1265" w:type="pct"/>
            <w:vMerge w:val="continue"/>
            <w:tcBorders>
              <w:tl2br w:val="nil"/>
              <w:tr2bl w:val="nil"/>
            </w:tcBorders>
            <w:vAlign w:val="center"/>
          </w:tcPr>
          <w:p w14:paraId="64C1F863">
            <w:pPr>
              <w:pStyle w:val="41"/>
              <w:rPr>
                <w:color w:val="auto"/>
                <w:highlight w:val="none"/>
              </w:rPr>
            </w:pPr>
          </w:p>
        </w:tc>
      </w:tr>
      <w:tr w14:paraId="36189B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694A337D">
            <w:pPr>
              <w:pStyle w:val="41"/>
              <w:rPr>
                <w:color w:val="auto"/>
                <w:highlight w:val="none"/>
              </w:rPr>
            </w:pPr>
          </w:p>
        </w:tc>
        <w:tc>
          <w:tcPr>
            <w:tcW w:w="1197" w:type="pct"/>
            <w:tcBorders>
              <w:tl2br w:val="nil"/>
              <w:tr2bl w:val="nil"/>
            </w:tcBorders>
            <w:vAlign w:val="center"/>
          </w:tcPr>
          <w:p w14:paraId="5EA628D6">
            <w:pPr>
              <w:pStyle w:val="41"/>
              <w:rPr>
                <w:color w:val="auto"/>
                <w:highlight w:val="none"/>
              </w:rPr>
            </w:pPr>
            <w:r>
              <w:rPr>
                <w:color w:val="auto"/>
                <w:highlight w:val="none"/>
              </w:rPr>
              <w:t>氨氮</w:t>
            </w:r>
          </w:p>
        </w:tc>
        <w:tc>
          <w:tcPr>
            <w:tcW w:w="950" w:type="pct"/>
            <w:tcBorders>
              <w:tl2br w:val="nil"/>
              <w:tr2bl w:val="nil"/>
            </w:tcBorders>
            <w:vAlign w:val="center"/>
          </w:tcPr>
          <w:p w14:paraId="27798D95">
            <w:pPr>
              <w:pStyle w:val="41"/>
              <w:rPr>
                <w:color w:val="auto"/>
                <w:highlight w:val="none"/>
              </w:rPr>
            </w:pPr>
            <w:r>
              <w:rPr>
                <w:color w:val="auto"/>
                <w:highlight w:val="none"/>
              </w:rPr>
              <w:t>mg/L</w:t>
            </w:r>
          </w:p>
        </w:tc>
        <w:tc>
          <w:tcPr>
            <w:tcW w:w="723" w:type="pct"/>
            <w:tcBorders>
              <w:tl2br w:val="nil"/>
              <w:tr2bl w:val="nil"/>
            </w:tcBorders>
            <w:vAlign w:val="center"/>
          </w:tcPr>
          <w:p w14:paraId="7D395FEC">
            <w:pPr>
              <w:pStyle w:val="41"/>
              <w:rPr>
                <w:color w:val="auto"/>
                <w:highlight w:val="none"/>
              </w:rPr>
            </w:pPr>
            <w:r>
              <w:rPr>
                <w:color w:val="auto"/>
                <w:highlight w:val="none"/>
              </w:rPr>
              <w:t>≤</w:t>
            </w:r>
            <w:r>
              <w:rPr>
                <w:rFonts w:hint="eastAsia"/>
                <w:color w:val="auto"/>
                <w:highlight w:val="none"/>
              </w:rPr>
              <w:t>0.50</w:t>
            </w:r>
          </w:p>
        </w:tc>
        <w:tc>
          <w:tcPr>
            <w:tcW w:w="1265" w:type="pct"/>
            <w:vMerge w:val="continue"/>
            <w:tcBorders>
              <w:tl2br w:val="nil"/>
              <w:tr2bl w:val="nil"/>
            </w:tcBorders>
            <w:vAlign w:val="center"/>
          </w:tcPr>
          <w:p w14:paraId="1D21D5ED">
            <w:pPr>
              <w:pStyle w:val="41"/>
              <w:rPr>
                <w:color w:val="auto"/>
                <w:highlight w:val="none"/>
              </w:rPr>
            </w:pPr>
          </w:p>
        </w:tc>
      </w:tr>
      <w:tr w14:paraId="002165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69208B62">
            <w:pPr>
              <w:pStyle w:val="41"/>
              <w:rPr>
                <w:color w:val="auto"/>
                <w:highlight w:val="none"/>
              </w:rPr>
            </w:pPr>
          </w:p>
        </w:tc>
        <w:tc>
          <w:tcPr>
            <w:tcW w:w="1197" w:type="pct"/>
            <w:tcBorders>
              <w:tl2br w:val="nil"/>
              <w:tr2bl w:val="nil"/>
            </w:tcBorders>
            <w:vAlign w:val="center"/>
          </w:tcPr>
          <w:p w14:paraId="2090127C">
            <w:pPr>
              <w:pStyle w:val="41"/>
              <w:rPr>
                <w:color w:val="auto"/>
                <w:highlight w:val="none"/>
              </w:rPr>
            </w:pPr>
            <w:r>
              <w:rPr>
                <w:color w:val="auto"/>
                <w:highlight w:val="none"/>
              </w:rPr>
              <w:t>砷</w:t>
            </w:r>
          </w:p>
        </w:tc>
        <w:tc>
          <w:tcPr>
            <w:tcW w:w="950" w:type="pct"/>
            <w:tcBorders>
              <w:tl2br w:val="nil"/>
              <w:tr2bl w:val="nil"/>
            </w:tcBorders>
            <w:vAlign w:val="center"/>
          </w:tcPr>
          <w:p w14:paraId="5221D764">
            <w:pPr>
              <w:pStyle w:val="41"/>
              <w:rPr>
                <w:color w:val="auto"/>
                <w:highlight w:val="none"/>
              </w:rPr>
            </w:pPr>
            <w:r>
              <w:rPr>
                <w:color w:val="auto"/>
                <w:highlight w:val="none"/>
              </w:rPr>
              <w:t>mg/L</w:t>
            </w:r>
          </w:p>
        </w:tc>
        <w:tc>
          <w:tcPr>
            <w:tcW w:w="723" w:type="pct"/>
            <w:tcBorders>
              <w:tl2br w:val="nil"/>
              <w:tr2bl w:val="nil"/>
            </w:tcBorders>
            <w:vAlign w:val="center"/>
          </w:tcPr>
          <w:p w14:paraId="775107F1">
            <w:pPr>
              <w:pStyle w:val="41"/>
              <w:rPr>
                <w:color w:val="auto"/>
                <w:highlight w:val="none"/>
              </w:rPr>
            </w:pPr>
            <w:r>
              <w:rPr>
                <w:color w:val="auto"/>
                <w:highlight w:val="none"/>
              </w:rPr>
              <w:t>≤0.01</w:t>
            </w:r>
          </w:p>
        </w:tc>
        <w:tc>
          <w:tcPr>
            <w:tcW w:w="1265" w:type="pct"/>
            <w:vMerge w:val="continue"/>
            <w:tcBorders>
              <w:tl2br w:val="nil"/>
              <w:tr2bl w:val="nil"/>
            </w:tcBorders>
            <w:vAlign w:val="center"/>
          </w:tcPr>
          <w:p w14:paraId="7AAAA8FA">
            <w:pPr>
              <w:pStyle w:val="41"/>
              <w:rPr>
                <w:color w:val="auto"/>
                <w:highlight w:val="none"/>
              </w:rPr>
            </w:pPr>
          </w:p>
        </w:tc>
      </w:tr>
      <w:tr w14:paraId="767E85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1C4186E6">
            <w:pPr>
              <w:pStyle w:val="41"/>
              <w:rPr>
                <w:color w:val="auto"/>
                <w:highlight w:val="none"/>
              </w:rPr>
            </w:pPr>
          </w:p>
        </w:tc>
        <w:tc>
          <w:tcPr>
            <w:tcW w:w="1197" w:type="pct"/>
            <w:tcBorders>
              <w:tl2br w:val="nil"/>
              <w:tr2bl w:val="nil"/>
            </w:tcBorders>
            <w:vAlign w:val="center"/>
          </w:tcPr>
          <w:p w14:paraId="18E0F3A2">
            <w:pPr>
              <w:pStyle w:val="41"/>
              <w:rPr>
                <w:color w:val="auto"/>
                <w:highlight w:val="none"/>
              </w:rPr>
            </w:pPr>
            <w:r>
              <w:rPr>
                <w:color w:val="auto"/>
                <w:highlight w:val="none"/>
              </w:rPr>
              <w:t>汞</w:t>
            </w:r>
          </w:p>
        </w:tc>
        <w:tc>
          <w:tcPr>
            <w:tcW w:w="950" w:type="pct"/>
            <w:tcBorders>
              <w:tl2br w:val="nil"/>
              <w:tr2bl w:val="nil"/>
            </w:tcBorders>
            <w:vAlign w:val="center"/>
          </w:tcPr>
          <w:p w14:paraId="08EF5A0F">
            <w:pPr>
              <w:pStyle w:val="41"/>
              <w:rPr>
                <w:color w:val="auto"/>
                <w:highlight w:val="none"/>
              </w:rPr>
            </w:pPr>
            <w:r>
              <w:rPr>
                <w:color w:val="auto"/>
                <w:highlight w:val="none"/>
              </w:rPr>
              <w:t>mg/L</w:t>
            </w:r>
          </w:p>
        </w:tc>
        <w:tc>
          <w:tcPr>
            <w:tcW w:w="723" w:type="pct"/>
            <w:tcBorders>
              <w:tl2br w:val="nil"/>
              <w:tr2bl w:val="nil"/>
            </w:tcBorders>
            <w:vAlign w:val="center"/>
          </w:tcPr>
          <w:p w14:paraId="615E9A82">
            <w:pPr>
              <w:pStyle w:val="41"/>
              <w:rPr>
                <w:color w:val="auto"/>
                <w:highlight w:val="none"/>
              </w:rPr>
            </w:pPr>
            <w:r>
              <w:rPr>
                <w:color w:val="auto"/>
                <w:highlight w:val="none"/>
              </w:rPr>
              <w:t>≤0.001</w:t>
            </w:r>
          </w:p>
        </w:tc>
        <w:tc>
          <w:tcPr>
            <w:tcW w:w="1265" w:type="pct"/>
            <w:vMerge w:val="continue"/>
            <w:tcBorders>
              <w:tl2br w:val="nil"/>
              <w:tr2bl w:val="nil"/>
            </w:tcBorders>
            <w:vAlign w:val="center"/>
          </w:tcPr>
          <w:p w14:paraId="055A5BC0">
            <w:pPr>
              <w:pStyle w:val="41"/>
              <w:rPr>
                <w:color w:val="auto"/>
                <w:highlight w:val="none"/>
              </w:rPr>
            </w:pPr>
          </w:p>
        </w:tc>
      </w:tr>
      <w:tr w14:paraId="5E99D7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6EC7100B">
            <w:pPr>
              <w:pStyle w:val="41"/>
              <w:rPr>
                <w:color w:val="auto"/>
                <w:highlight w:val="none"/>
              </w:rPr>
            </w:pPr>
          </w:p>
        </w:tc>
        <w:tc>
          <w:tcPr>
            <w:tcW w:w="1197" w:type="pct"/>
            <w:tcBorders>
              <w:tl2br w:val="nil"/>
              <w:tr2bl w:val="nil"/>
            </w:tcBorders>
            <w:vAlign w:val="center"/>
          </w:tcPr>
          <w:p w14:paraId="65BF5EF8">
            <w:pPr>
              <w:pStyle w:val="41"/>
              <w:rPr>
                <w:color w:val="auto"/>
                <w:highlight w:val="none"/>
              </w:rPr>
            </w:pPr>
            <w:r>
              <w:rPr>
                <w:color w:val="auto"/>
                <w:highlight w:val="none"/>
              </w:rPr>
              <w:t>总硬度</w:t>
            </w:r>
          </w:p>
        </w:tc>
        <w:tc>
          <w:tcPr>
            <w:tcW w:w="950" w:type="pct"/>
            <w:tcBorders>
              <w:tl2br w:val="nil"/>
              <w:tr2bl w:val="nil"/>
            </w:tcBorders>
            <w:vAlign w:val="center"/>
          </w:tcPr>
          <w:p w14:paraId="79AB3C5D">
            <w:pPr>
              <w:pStyle w:val="41"/>
              <w:rPr>
                <w:color w:val="auto"/>
                <w:highlight w:val="none"/>
              </w:rPr>
            </w:pPr>
            <w:r>
              <w:rPr>
                <w:color w:val="auto"/>
                <w:highlight w:val="none"/>
              </w:rPr>
              <w:t>mg/L</w:t>
            </w:r>
          </w:p>
        </w:tc>
        <w:tc>
          <w:tcPr>
            <w:tcW w:w="723" w:type="pct"/>
            <w:tcBorders>
              <w:tl2br w:val="nil"/>
              <w:tr2bl w:val="nil"/>
            </w:tcBorders>
            <w:vAlign w:val="center"/>
          </w:tcPr>
          <w:p w14:paraId="3937A7AF">
            <w:pPr>
              <w:pStyle w:val="41"/>
              <w:rPr>
                <w:color w:val="auto"/>
                <w:highlight w:val="none"/>
              </w:rPr>
            </w:pPr>
            <w:r>
              <w:rPr>
                <w:color w:val="auto"/>
                <w:highlight w:val="none"/>
              </w:rPr>
              <w:t>≤</w:t>
            </w:r>
            <w:r>
              <w:rPr>
                <w:rFonts w:hint="eastAsia"/>
                <w:color w:val="auto"/>
                <w:highlight w:val="none"/>
              </w:rPr>
              <w:t>450</w:t>
            </w:r>
          </w:p>
        </w:tc>
        <w:tc>
          <w:tcPr>
            <w:tcW w:w="1265" w:type="pct"/>
            <w:vMerge w:val="continue"/>
            <w:tcBorders>
              <w:tl2br w:val="nil"/>
              <w:tr2bl w:val="nil"/>
            </w:tcBorders>
            <w:vAlign w:val="center"/>
          </w:tcPr>
          <w:p w14:paraId="2728ADA2">
            <w:pPr>
              <w:pStyle w:val="41"/>
              <w:rPr>
                <w:color w:val="auto"/>
                <w:highlight w:val="none"/>
              </w:rPr>
            </w:pPr>
          </w:p>
        </w:tc>
      </w:tr>
      <w:tr w14:paraId="12999D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4EDFA897">
            <w:pPr>
              <w:pStyle w:val="41"/>
              <w:rPr>
                <w:color w:val="auto"/>
                <w:highlight w:val="none"/>
              </w:rPr>
            </w:pPr>
          </w:p>
        </w:tc>
        <w:tc>
          <w:tcPr>
            <w:tcW w:w="1197" w:type="pct"/>
            <w:tcBorders>
              <w:tl2br w:val="nil"/>
              <w:tr2bl w:val="nil"/>
            </w:tcBorders>
            <w:vAlign w:val="center"/>
          </w:tcPr>
          <w:p w14:paraId="7553963F">
            <w:pPr>
              <w:pStyle w:val="41"/>
              <w:rPr>
                <w:color w:val="auto"/>
                <w:highlight w:val="none"/>
              </w:rPr>
            </w:pPr>
            <w:r>
              <w:rPr>
                <w:color w:val="auto"/>
                <w:highlight w:val="none"/>
              </w:rPr>
              <w:t>铅</w:t>
            </w:r>
          </w:p>
        </w:tc>
        <w:tc>
          <w:tcPr>
            <w:tcW w:w="950" w:type="pct"/>
            <w:tcBorders>
              <w:tl2br w:val="nil"/>
              <w:tr2bl w:val="nil"/>
            </w:tcBorders>
            <w:vAlign w:val="center"/>
          </w:tcPr>
          <w:p w14:paraId="22B7F695">
            <w:pPr>
              <w:pStyle w:val="41"/>
              <w:rPr>
                <w:color w:val="auto"/>
                <w:highlight w:val="none"/>
              </w:rPr>
            </w:pPr>
            <w:r>
              <w:rPr>
                <w:color w:val="auto"/>
                <w:highlight w:val="none"/>
              </w:rPr>
              <w:t>mg/L</w:t>
            </w:r>
          </w:p>
        </w:tc>
        <w:tc>
          <w:tcPr>
            <w:tcW w:w="723" w:type="pct"/>
            <w:tcBorders>
              <w:tl2br w:val="nil"/>
              <w:tr2bl w:val="nil"/>
            </w:tcBorders>
            <w:vAlign w:val="center"/>
          </w:tcPr>
          <w:p w14:paraId="067B8A2C">
            <w:pPr>
              <w:pStyle w:val="41"/>
              <w:rPr>
                <w:color w:val="auto"/>
                <w:highlight w:val="none"/>
              </w:rPr>
            </w:pPr>
            <w:r>
              <w:rPr>
                <w:color w:val="auto"/>
                <w:highlight w:val="none"/>
              </w:rPr>
              <w:t>≤0.0</w:t>
            </w:r>
            <w:r>
              <w:rPr>
                <w:rFonts w:hint="eastAsia"/>
                <w:color w:val="auto"/>
                <w:highlight w:val="none"/>
              </w:rPr>
              <w:t>1</w:t>
            </w:r>
          </w:p>
        </w:tc>
        <w:tc>
          <w:tcPr>
            <w:tcW w:w="1265" w:type="pct"/>
            <w:vMerge w:val="continue"/>
            <w:tcBorders>
              <w:tl2br w:val="nil"/>
              <w:tr2bl w:val="nil"/>
            </w:tcBorders>
            <w:vAlign w:val="center"/>
          </w:tcPr>
          <w:p w14:paraId="4C707DDE">
            <w:pPr>
              <w:pStyle w:val="41"/>
              <w:rPr>
                <w:color w:val="auto"/>
                <w:highlight w:val="none"/>
              </w:rPr>
            </w:pPr>
          </w:p>
        </w:tc>
      </w:tr>
      <w:tr w14:paraId="285980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2A313294">
            <w:pPr>
              <w:pStyle w:val="41"/>
              <w:rPr>
                <w:color w:val="auto"/>
                <w:highlight w:val="none"/>
              </w:rPr>
            </w:pPr>
          </w:p>
        </w:tc>
        <w:tc>
          <w:tcPr>
            <w:tcW w:w="1197" w:type="pct"/>
            <w:tcBorders>
              <w:tl2br w:val="nil"/>
              <w:tr2bl w:val="nil"/>
            </w:tcBorders>
            <w:vAlign w:val="center"/>
          </w:tcPr>
          <w:p w14:paraId="3C6E2B50">
            <w:pPr>
              <w:pStyle w:val="41"/>
              <w:rPr>
                <w:color w:val="auto"/>
                <w:highlight w:val="none"/>
              </w:rPr>
            </w:pPr>
            <w:r>
              <w:rPr>
                <w:color w:val="auto"/>
                <w:highlight w:val="none"/>
              </w:rPr>
              <w:t>镉</w:t>
            </w:r>
          </w:p>
        </w:tc>
        <w:tc>
          <w:tcPr>
            <w:tcW w:w="950" w:type="pct"/>
            <w:tcBorders>
              <w:tl2br w:val="nil"/>
              <w:tr2bl w:val="nil"/>
            </w:tcBorders>
            <w:vAlign w:val="center"/>
          </w:tcPr>
          <w:p w14:paraId="698063D7">
            <w:pPr>
              <w:pStyle w:val="41"/>
              <w:rPr>
                <w:color w:val="auto"/>
                <w:highlight w:val="none"/>
              </w:rPr>
            </w:pPr>
            <w:r>
              <w:rPr>
                <w:color w:val="auto"/>
                <w:highlight w:val="none"/>
              </w:rPr>
              <w:t>mg/L</w:t>
            </w:r>
          </w:p>
        </w:tc>
        <w:tc>
          <w:tcPr>
            <w:tcW w:w="723" w:type="pct"/>
            <w:tcBorders>
              <w:tl2br w:val="nil"/>
              <w:tr2bl w:val="nil"/>
            </w:tcBorders>
            <w:vAlign w:val="center"/>
          </w:tcPr>
          <w:p w14:paraId="7D832FC1">
            <w:pPr>
              <w:pStyle w:val="41"/>
              <w:rPr>
                <w:color w:val="auto"/>
                <w:highlight w:val="none"/>
              </w:rPr>
            </w:pPr>
            <w:r>
              <w:rPr>
                <w:color w:val="auto"/>
                <w:highlight w:val="none"/>
              </w:rPr>
              <w:t>≤0.00</w:t>
            </w:r>
            <w:r>
              <w:rPr>
                <w:rFonts w:hint="eastAsia"/>
                <w:color w:val="auto"/>
                <w:highlight w:val="none"/>
              </w:rPr>
              <w:t>5</w:t>
            </w:r>
          </w:p>
        </w:tc>
        <w:tc>
          <w:tcPr>
            <w:tcW w:w="1265" w:type="pct"/>
            <w:vMerge w:val="continue"/>
            <w:tcBorders>
              <w:tl2br w:val="nil"/>
              <w:tr2bl w:val="nil"/>
            </w:tcBorders>
            <w:vAlign w:val="center"/>
          </w:tcPr>
          <w:p w14:paraId="2CCBFA99">
            <w:pPr>
              <w:pStyle w:val="41"/>
              <w:rPr>
                <w:color w:val="auto"/>
                <w:highlight w:val="none"/>
              </w:rPr>
            </w:pPr>
          </w:p>
        </w:tc>
      </w:tr>
      <w:tr w14:paraId="24D25C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0C99C15D">
            <w:pPr>
              <w:pStyle w:val="41"/>
              <w:rPr>
                <w:color w:val="auto"/>
                <w:highlight w:val="none"/>
              </w:rPr>
            </w:pPr>
          </w:p>
        </w:tc>
        <w:tc>
          <w:tcPr>
            <w:tcW w:w="1197" w:type="pct"/>
            <w:tcBorders>
              <w:tl2br w:val="nil"/>
              <w:tr2bl w:val="nil"/>
            </w:tcBorders>
            <w:vAlign w:val="center"/>
          </w:tcPr>
          <w:p w14:paraId="019BC369">
            <w:pPr>
              <w:pStyle w:val="41"/>
              <w:rPr>
                <w:color w:val="auto"/>
                <w:highlight w:val="none"/>
              </w:rPr>
            </w:pPr>
            <w:r>
              <w:rPr>
                <w:color w:val="auto"/>
                <w:highlight w:val="none"/>
              </w:rPr>
              <w:t>铁</w:t>
            </w:r>
          </w:p>
        </w:tc>
        <w:tc>
          <w:tcPr>
            <w:tcW w:w="950" w:type="pct"/>
            <w:tcBorders>
              <w:tl2br w:val="nil"/>
              <w:tr2bl w:val="nil"/>
            </w:tcBorders>
            <w:vAlign w:val="center"/>
          </w:tcPr>
          <w:p w14:paraId="4FA45694">
            <w:pPr>
              <w:pStyle w:val="41"/>
              <w:rPr>
                <w:color w:val="auto"/>
                <w:highlight w:val="none"/>
              </w:rPr>
            </w:pPr>
            <w:r>
              <w:rPr>
                <w:color w:val="auto"/>
                <w:highlight w:val="none"/>
              </w:rPr>
              <w:t>mg/L</w:t>
            </w:r>
          </w:p>
        </w:tc>
        <w:tc>
          <w:tcPr>
            <w:tcW w:w="723" w:type="pct"/>
            <w:tcBorders>
              <w:tl2br w:val="nil"/>
              <w:tr2bl w:val="nil"/>
            </w:tcBorders>
            <w:vAlign w:val="center"/>
          </w:tcPr>
          <w:p w14:paraId="6E9A57E3">
            <w:pPr>
              <w:pStyle w:val="41"/>
              <w:rPr>
                <w:color w:val="auto"/>
                <w:highlight w:val="none"/>
              </w:rPr>
            </w:pPr>
            <w:r>
              <w:rPr>
                <w:color w:val="auto"/>
                <w:highlight w:val="none"/>
              </w:rPr>
              <w:t>≤0.</w:t>
            </w:r>
            <w:r>
              <w:rPr>
                <w:rFonts w:hint="eastAsia"/>
                <w:color w:val="auto"/>
                <w:highlight w:val="none"/>
              </w:rPr>
              <w:t>3</w:t>
            </w:r>
          </w:p>
        </w:tc>
        <w:tc>
          <w:tcPr>
            <w:tcW w:w="1265" w:type="pct"/>
            <w:vMerge w:val="continue"/>
            <w:tcBorders>
              <w:tl2br w:val="nil"/>
              <w:tr2bl w:val="nil"/>
            </w:tcBorders>
            <w:vAlign w:val="center"/>
          </w:tcPr>
          <w:p w14:paraId="322A88E4">
            <w:pPr>
              <w:pStyle w:val="41"/>
              <w:rPr>
                <w:color w:val="auto"/>
                <w:highlight w:val="none"/>
              </w:rPr>
            </w:pPr>
          </w:p>
        </w:tc>
      </w:tr>
      <w:tr w14:paraId="2FAC72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35274A3F">
            <w:pPr>
              <w:pStyle w:val="41"/>
              <w:rPr>
                <w:color w:val="auto"/>
                <w:highlight w:val="none"/>
              </w:rPr>
            </w:pPr>
          </w:p>
        </w:tc>
        <w:tc>
          <w:tcPr>
            <w:tcW w:w="1197" w:type="pct"/>
            <w:tcBorders>
              <w:tl2br w:val="nil"/>
              <w:tr2bl w:val="nil"/>
            </w:tcBorders>
            <w:vAlign w:val="center"/>
          </w:tcPr>
          <w:p w14:paraId="3F581E31">
            <w:pPr>
              <w:pStyle w:val="41"/>
              <w:rPr>
                <w:color w:val="auto"/>
                <w:highlight w:val="none"/>
              </w:rPr>
            </w:pPr>
            <w:r>
              <w:rPr>
                <w:color w:val="auto"/>
                <w:highlight w:val="none"/>
              </w:rPr>
              <w:t>溶解性总固体</w:t>
            </w:r>
          </w:p>
        </w:tc>
        <w:tc>
          <w:tcPr>
            <w:tcW w:w="950" w:type="pct"/>
            <w:tcBorders>
              <w:tl2br w:val="nil"/>
              <w:tr2bl w:val="nil"/>
            </w:tcBorders>
            <w:vAlign w:val="center"/>
          </w:tcPr>
          <w:p w14:paraId="328B0655">
            <w:pPr>
              <w:pStyle w:val="41"/>
              <w:rPr>
                <w:color w:val="auto"/>
                <w:highlight w:val="none"/>
              </w:rPr>
            </w:pPr>
            <w:r>
              <w:rPr>
                <w:color w:val="auto"/>
                <w:highlight w:val="none"/>
              </w:rPr>
              <w:t>mg/L</w:t>
            </w:r>
          </w:p>
        </w:tc>
        <w:tc>
          <w:tcPr>
            <w:tcW w:w="723" w:type="pct"/>
            <w:tcBorders>
              <w:tl2br w:val="nil"/>
              <w:tr2bl w:val="nil"/>
            </w:tcBorders>
            <w:vAlign w:val="center"/>
          </w:tcPr>
          <w:p w14:paraId="1A7EBE20">
            <w:pPr>
              <w:pStyle w:val="41"/>
              <w:rPr>
                <w:color w:val="auto"/>
                <w:highlight w:val="none"/>
              </w:rPr>
            </w:pPr>
            <w:r>
              <w:rPr>
                <w:color w:val="auto"/>
                <w:highlight w:val="none"/>
              </w:rPr>
              <w:t>≤</w:t>
            </w:r>
            <w:r>
              <w:rPr>
                <w:rFonts w:hint="eastAsia"/>
                <w:color w:val="auto"/>
                <w:highlight w:val="none"/>
              </w:rPr>
              <w:t>1000</w:t>
            </w:r>
          </w:p>
        </w:tc>
        <w:tc>
          <w:tcPr>
            <w:tcW w:w="1265" w:type="pct"/>
            <w:vMerge w:val="continue"/>
            <w:tcBorders>
              <w:tl2br w:val="nil"/>
              <w:tr2bl w:val="nil"/>
            </w:tcBorders>
            <w:vAlign w:val="center"/>
          </w:tcPr>
          <w:p w14:paraId="0B50A3E6">
            <w:pPr>
              <w:pStyle w:val="41"/>
              <w:rPr>
                <w:color w:val="auto"/>
                <w:highlight w:val="none"/>
              </w:rPr>
            </w:pPr>
          </w:p>
        </w:tc>
      </w:tr>
      <w:tr w14:paraId="59C8B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05C3415B">
            <w:pPr>
              <w:pStyle w:val="41"/>
              <w:rPr>
                <w:color w:val="auto"/>
                <w:highlight w:val="none"/>
              </w:rPr>
            </w:pPr>
          </w:p>
        </w:tc>
        <w:tc>
          <w:tcPr>
            <w:tcW w:w="1197" w:type="pct"/>
            <w:tcBorders>
              <w:tl2br w:val="nil"/>
              <w:tr2bl w:val="nil"/>
            </w:tcBorders>
            <w:vAlign w:val="center"/>
          </w:tcPr>
          <w:p w14:paraId="2EAEE872">
            <w:pPr>
              <w:pStyle w:val="41"/>
              <w:rPr>
                <w:color w:val="auto"/>
                <w:highlight w:val="none"/>
              </w:rPr>
            </w:pPr>
            <w:r>
              <w:rPr>
                <w:color w:val="auto"/>
                <w:highlight w:val="none"/>
              </w:rPr>
              <w:t>硫酸盐</w:t>
            </w:r>
          </w:p>
        </w:tc>
        <w:tc>
          <w:tcPr>
            <w:tcW w:w="950" w:type="pct"/>
            <w:tcBorders>
              <w:tl2br w:val="nil"/>
              <w:tr2bl w:val="nil"/>
            </w:tcBorders>
            <w:vAlign w:val="center"/>
          </w:tcPr>
          <w:p w14:paraId="07183396">
            <w:pPr>
              <w:pStyle w:val="41"/>
              <w:rPr>
                <w:color w:val="auto"/>
                <w:highlight w:val="none"/>
              </w:rPr>
            </w:pPr>
            <w:r>
              <w:rPr>
                <w:color w:val="auto"/>
                <w:highlight w:val="none"/>
              </w:rPr>
              <w:t>mg/L</w:t>
            </w:r>
          </w:p>
        </w:tc>
        <w:tc>
          <w:tcPr>
            <w:tcW w:w="723" w:type="pct"/>
            <w:tcBorders>
              <w:tl2br w:val="nil"/>
              <w:tr2bl w:val="nil"/>
            </w:tcBorders>
            <w:vAlign w:val="center"/>
          </w:tcPr>
          <w:p w14:paraId="467FB09F">
            <w:pPr>
              <w:pStyle w:val="41"/>
              <w:rPr>
                <w:color w:val="auto"/>
                <w:highlight w:val="none"/>
              </w:rPr>
            </w:pPr>
            <w:r>
              <w:rPr>
                <w:color w:val="auto"/>
                <w:highlight w:val="none"/>
              </w:rPr>
              <w:t>≤</w:t>
            </w:r>
            <w:r>
              <w:rPr>
                <w:rFonts w:hint="eastAsia"/>
                <w:color w:val="auto"/>
                <w:highlight w:val="none"/>
              </w:rPr>
              <w:t>250</w:t>
            </w:r>
          </w:p>
        </w:tc>
        <w:tc>
          <w:tcPr>
            <w:tcW w:w="1265" w:type="pct"/>
            <w:vMerge w:val="continue"/>
            <w:tcBorders>
              <w:tl2br w:val="nil"/>
              <w:tr2bl w:val="nil"/>
            </w:tcBorders>
            <w:vAlign w:val="center"/>
          </w:tcPr>
          <w:p w14:paraId="2BA7A745">
            <w:pPr>
              <w:pStyle w:val="41"/>
              <w:rPr>
                <w:color w:val="auto"/>
                <w:highlight w:val="none"/>
              </w:rPr>
            </w:pPr>
          </w:p>
        </w:tc>
      </w:tr>
      <w:tr w14:paraId="723BA3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restart"/>
            <w:tcBorders>
              <w:tl2br w:val="nil"/>
              <w:tr2bl w:val="nil"/>
            </w:tcBorders>
            <w:vAlign w:val="center"/>
          </w:tcPr>
          <w:p w14:paraId="052B58B0">
            <w:pPr>
              <w:pStyle w:val="41"/>
              <w:rPr>
                <w:color w:val="auto"/>
                <w:highlight w:val="none"/>
              </w:rPr>
            </w:pPr>
            <w:r>
              <w:rPr>
                <w:rFonts w:hint="eastAsia"/>
                <w:color w:val="auto"/>
                <w:highlight w:val="none"/>
              </w:rPr>
              <w:t xml:space="preserve">特征因子 </w:t>
            </w:r>
          </w:p>
        </w:tc>
        <w:tc>
          <w:tcPr>
            <w:tcW w:w="1197" w:type="pct"/>
            <w:tcBorders>
              <w:tl2br w:val="nil"/>
              <w:tr2bl w:val="nil"/>
            </w:tcBorders>
            <w:vAlign w:val="center"/>
          </w:tcPr>
          <w:p w14:paraId="6AF609C3">
            <w:pPr>
              <w:pStyle w:val="41"/>
              <w:rPr>
                <w:color w:val="auto"/>
                <w:highlight w:val="none"/>
              </w:rPr>
            </w:pPr>
            <w:r>
              <w:rPr>
                <w:color w:val="auto"/>
                <w:highlight w:val="none"/>
              </w:rPr>
              <w:t>铜</w:t>
            </w:r>
          </w:p>
        </w:tc>
        <w:tc>
          <w:tcPr>
            <w:tcW w:w="950" w:type="pct"/>
            <w:tcBorders>
              <w:tl2br w:val="nil"/>
              <w:tr2bl w:val="nil"/>
            </w:tcBorders>
            <w:vAlign w:val="center"/>
          </w:tcPr>
          <w:p w14:paraId="7BE17606">
            <w:pPr>
              <w:pStyle w:val="41"/>
              <w:rPr>
                <w:color w:val="auto"/>
                <w:highlight w:val="none"/>
              </w:rPr>
            </w:pPr>
            <w:r>
              <w:rPr>
                <w:color w:val="auto"/>
                <w:highlight w:val="none"/>
              </w:rPr>
              <w:t>mg/L</w:t>
            </w:r>
          </w:p>
        </w:tc>
        <w:tc>
          <w:tcPr>
            <w:tcW w:w="723" w:type="pct"/>
            <w:tcBorders>
              <w:tl2br w:val="nil"/>
              <w:tr2bl w:val="nil"/>
            </w:tcBorders>
            <w:vAlign w:val="center"/>
          </w:tcPr>
          <w:p w14:paraId="1379AB82">
            <w:pPr>
              <w:pStyle w:val="41"/>
              <w:rPr>
                <w:color w:val="auto"/>
                <w:highlight w:val="none"/>
              </w:rPr>
            </w:pPr>
            <w:r>
              <w:rPr>
                <w:color w:val="auto"/>
                <w:highlight w:val="none"/>
              </w:rPr>
              <w:t>≤</w:t>
            </w:r>
            <w:r>
              <w:rPr>
                <w:rFonts w:hint="eastAsia"/>
                <w:color w:val="auto"/>
                <w:highlight w:val="none"/>
              </w:rPr>
              <w:t>1.00</w:t>
            </w:r>
          </w:p>
        </w:tc>
        <w:tc>
          <w:tcPr>
            <w:tcW w:w="1265" w:type="pct"/>
            <w:vMerge w:val="continue"/>
            <w:tcBorders>
              <w:tl2br w:val="nil"/>
              <w:tr2bl w:val="nil"/>
            </w:tcBorders>
            <w:vAlign w:val="center"/>
          </w:tcPr>
          <w:p w14:paraId="3DB56049">
            <w:pPr>
              <w:pStyle w:val="41"/>
              <w:rPr>
                <w:color w:val="auto"/>
                <w:highlight w:val="none"/>
              </w:rPr>
            </w:pPr>
          </w:p>
        </w:tc>
      </w:tr>
      <w:tr w14:paraId="4BE6C5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750F0815">
            <w:pPr>
              <w:pStyle w:val="41"/>
              <w:rPr>
                <w:color w:val="auto"/>
                <w:highlight w:val="none"/>
              </w:rPr>
            </w:pPr>
          </w:p>
        </w:tc>
        <w:tc>
          <w:tcPr>
            <w:tcW w:w="1197" w:type="pct"/>
            <w:tcBorders>
              <w:tl2br w:val="nil"/>
              <w:tr2bl w:val="nil"/>
            </w:tcBorders>
            <w:vAlign w:val="center"/>
          </w:tcPr>
          <w:p w14:paraId="5CB6127A">
            <w:pPr>
              <w:pStyle w:val="41"/>
              <w:rPr>
                <w:color w:val="auto"/>
                <w:highlight w:val="none"/>
              </w:rPr>
            </w:pPr>
            <w:r>
              <w:rPr>
                <w:color w:val="auto"/>
                <w:highlight w:val="none"/>
              </w:rPr>
              <w:t>锌</w:t>
            </w:r>
          </w:p>
        </w:tc>
        <w:tc>
          <w:tcPr>
            <w:tcW w:w="950" w:type="pct"/>
            <w:tcBorders>
              <w:tl2br w:val="nil"/>
              <w:tr2bl w:val="nil"/>
            </w:tcBorders>
            <w:vAlign w:val="center"/>
          </w:tcPr>
          <w:p w14:paraId="4FEFAE1B">
            <w:pPr>
              <w:pStyle w:val="41"/>
              <w:rPr>
                <w:color w:val="auto"/>
                <w:highlight w:val="none"/>
              </w:rPr>
            </w:pPr>
            <w:r>
              <w:rPr>
                <w:color w:val="auto"/>
                <w:highlight w:val="none"/>
              </w:rPr>
              <w:t>mg/L</w:t>
            </w:r>
          </w:p>
        </w:tc>
        <w:tc>
          <w:tcPr>
            <w:tcW w:w="723" w:type="pct"/>
            <w:tcBorders>
              <w:tl2br w:val="nil"/>
              <w:tr2bl w:val="nil"/>
            </w:tcBorders>
            <w:vAlign w:val="center"/>
          </w:tcPr>
          <w:p w14:paraId="38F72F34">
            <w:pPr>
              <w:pStyle w:val="41"/>
              <w:rPr>
                <w:color w:val="auto"/>
                <w:highlight w:val="none"/>
              </w:rPr>
            </w:pPr>
            <w:r>
              <w:rPr>
                <w:color w:val="auto"/>
                <w:highlight w:val="none"/>
              </w:rPr>
              <w:t>≤</w:t>
            </w:r>
            <w:r>
              <w:rPr>
                <w:rFonts w:hint="eastAsia"/>
                <w:color w:val="auto"/>
                <w:highlight w:val="none"/>
              </w:rPr>
              <w:t>1.00</w:t>
            </w:r>
          </w:p>
        </w:tc>
        <w:tc>
          <w:tcPr>
            <w:tcW w:w="1265" w:type="pct"/>
            <w:vMerge w:val="continue"/>
            <w:tcBorders>
              <w:tl2br w:val="nil"/>
              <w:tr2bl w:val="nil"/>
            </w:tcBorders>
            <w:vAlign w:val="center"/>
          </w:tcPr>
          <w:p w14:paraId="7DDABF38">
            <w:pPr>
              <w:pStyle w:val="41"/>
              <w:rPr>
                <w:color w:val="auto"/>
                <w:highlight w:val="none"/>
              </w:rPr>
            </w:pPr>
          </w:p>
        </w:tc>
      </w:tr>
      <w:tr w14:paraId="6598A7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6F3A3AE9">
            <w:pPr>
              <w:pStyle w:val="41"/>
              <w:rPr>
                <w:color w:val="auto"/>
                <w:highlight w:val="none"/>
              </w:rPr>
            </w:pPr>
          </w:p>
        </w:tc>
        <w:tc>
          <w:tcPr>
            <w:tcW w:w="1197" w:type="pct"/>
            <w:tcBorders>
              <w:tl2br w:val="nil"/>
              <w:tr2bl w:val="nil"/>
            </w:tcBorders>
            <w:vAlign w:val="center"/>
          </w:tcPr>
          <w:p w14:paraId="27F2FE46">
            <w:pPr>
              <w:pStyle w:val="41"/>
              <w:rPr>
                <w:color w:val="auto"/>
                <w:highlight w:val="none"/>
              </w:rPr>
            </w:pPr>
            <w:r>
              <w:rPr>
                <w:color w:val="auto"/>
                <w:highlight w:val="none"/>
              </w:rPr>
              <w:t>钴</w:t>
            </w:r>
          </w:p>
        </w:tc>
        <w:tc>
          <w:tcPr>
            <w:tcW w:w="950" w:type="pct"/>
            <w:tcBorders>
              <w:tl2br w:val="nil"/>
              <w:tr2bl w:val="nil"/>
            </w:tcBorders>
            <w:vAlign w:val="center"/>
          </w:tcPr>
          <w:p w14:paraId="30118033">
            <w:pPr>
              <w:pStyle w:val="41"/>
              <w:rPr>
                <w:color w:val="auto"/>
                <w:highlight w:val="none"/>
              </w:rPr>
            </w:pPr>
            <w:r>
              <w:rPr>
                <w:color w:val="auto"/>
                <w:highlight w:val="none"/>
              </w:rPr>
              <w:t>mg/L</w:t>
            </w:r>
          </w:p>
        </w:tc>
        <w:tc>
          <w:tcPr>
            <w:tcW w:w="723" w:type="pct"/>
            <w:tcBorders>
              <w:tl2br w:val="nil"/>
              <w:tr2bl w:val="nil"/>
            </w:tcBorders>
            <w:vAlign w:val="center"/>
          </w:tcPr>
          <w:p w14:paraId="2A6FE3EB">
            <w:pPr>
              <w:pStyle w:val="41"/>
              <w:rPr>
                <w:color w:val="auto"/>
                <w:highlight w:val="none"/>
              </w:rPr>
            </w:pPr>
            <w:r>
              <w:rPr>
                <w:color w:val="auto"/>
                <w:highlight w:val="none"/>
              </w:rPr>
              <w:t>≤</w:t>
            </w:r>
            <w:r>
              <w:rPr>
                <w:rFonts w:hint="eastAsia"/>
                <w:color w:val="auto"/>
                <w:highlight w:val="none"/>
              </w:rPr>
              <w:t>0.05</w:t>
            </w:r>
          </w:p>
        </w:tc>
        <w:tc>
          <w:tcPr>
            <w:tcW w:w="1265" w:type="pct"/>
            <w:vMerge w:val="continue"/>
            <w:tcBorders>
              <w:tl2br w:val="nil"/>
              <w:tr2bl w:val="nil"/>
            </w:tcBorders>
            <w:vAlign w:val="center"/>
          </w:tcPr>
          <w:p w14:paraId="21877B79">
            <w:pPr>
              <w:pStyle w:val="41"/>
              <w:rPr>
                <w:color w:val="auto"/>
                <w:highlight w:val="none"/>
              </w:rPr>
            </w:pPr>
          </w:p>
        </w:tc>
      </w:tr>
      <w:tr w14:paraId="43F498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2C560BDC">
            <w:pPr>
              <w:pStyle w:val="41"/>
              <w:rPr>
                <w:color w:val="auto"/>
                <w:highlight w:val="none"/>
              </w:rPr>
            </w:pPr>
          </w:p>
        </w:tc>
        <w:tc>
          <w:tcPr>
            <w:tcW w:w="1197" w:type="pct"/>
            <w:tcBorders>
              <w:tl2br w:val="nil"/>
              <w:tr2bl w:val="nil"/>
            </w:tcBorders>
            <w:vAlign w:val="center"/>
          </w:tcPr>
          <w:p w14:paraId="7C11D22E">
            <w:pPr>
              <w:pStyle w:val="41"/>
              <w:rPr>
                <w:color w:val="auto"/>
                <w:highlight w:val="none"/>
              </w:rPr>
            </w:pPr>
            <w:r>
              <w:rPr>
                <w:color w:val="auto"/>
                <w:highlight w:val="none"/>
              </w:rPr>
              <w:t>银</w:t>
            </w:r>
          </w:p>
        </w:tc>
        <w:tc>
          <w:tcPr>
            <w:tcW w:w="950" w:type="pct"/>
            <w:tcBorders>
              <w:tl2br w:val="nil"/>
              <w:tr2bl w:val="nil"/>
            </w:tcBorders>
            <w:vAlign w:val="center"/>
          </w:tcPr>
          <w:p w14:paraId="52B9380E">
            <w:pPr>
              <w:pStyle w:val="41"/>
              <w:rPr>
                <w:color w:val="auto"/>
                <w:highlight w:val="none"/>
              </w:rPr>
            </w:pPr>
            <w:r>
              <w:rPr>
                <w:color w:val="auto"/>
                <w:highlight w:val="none"/>
              </w:rPr>
              <w:t>mg/L</w:t>
            </w:r>
          </w:p>
        </w:tc>
        <w:tc>
          <w:tcPr>
            <w:tcW w:w="723" w:type="pct"/>
            <w:tcBorders>
              <w:tl2br w:val="nil"/>
              <w:tr2bl w:val="nil"/>
            </w:tcBorders>
            <w:vAlign w:val="center"/>
          </w:tcPr>
          <w:p w14:paraId="26A848FB">
            <w:pPr>
              <w:pStyle w:val="41"/>
              <w:rPr>
                <w:color w:val="auto"/>
                <w:highlight w:val="none"/>
              </w:rPr>
            </w:pPr>
            <w:r>
              <w:rPr>
                <w:color w:val="auto"/>
                <w:highlight w:val="none"/>
              </w:rPr>
              <w:t>≤</w:t>
            </w:r>
            <w:r>
              <w:rPr>
                <w:rFonts w:hint="eastAsia"/>
                <w:color w:val="auto"/>
                <w:highlight w:val="none"/>
              </w:rPr>
              <w:t>0.05</w:t>
            </w:r>
          </w:p>
        </w:tc>
        <w:tc>
          <w:tcPr>
            <w:tcW w:w="1265" w:type="pct"/>
            <w:vMerge w:val="continue"/>
            <w:tcBorders>
              <w:tl2br w:val="nil"/>
              <w:tr2bl w:val="nil"/>
            </w:tcBorders>
            <w:vAlign w:val="center"/>
          </w:tcPr>
          <w:p w14:paraId="21047B22">
            <w:pPr>
              <w:pStyle w:val="41"/>
              <w:rPr>
                <w:color w:val="auto"/>
                <w:highlight w:val="none"/>
              </w:rPr>
            </w:pPr>
          </w:p>
        </w:tc>
      </w:tr>
      <w:tr w14:paraId="031264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1996B4F6">
            <w:pPr>
              <w:pStyle w:val="41"/>
              <w:rPr>
                <w:color w:val="auto"/>
                <w:highlight w:val="none"/>
              </w:rPr>
            </w:pPr>
          </w:p>
        </w:tc>
        <w:tc>
          <w:tcPr>
            <w:tcW w:w="1197" w:type="pct"/>
            <w:tcBorders>
              <w:tl2br w:val="nil"/>
              <w:tr2bl w:val="nil"/>
            </w:tcBorders>
            <w:vAlign w:val="center"/>
          </w:tcPr>
          <w:p w14:paraId="45A8F598">
            <w:pPr>
              <w:pStyle w:val="41"/>
              <w:rPr>
                <w:color w:val="auto"/>
                <w:highlight w:val="none"/>
              </w:rPr>
            </w:pPr>
            <w:r>
              <w:rPr>
                <w:color w:val="auto"/>
                <w:highlight w:val="none"/>
              </w:rPr>
              <w:t>镍</w:t>
            </w:r>
          </w:p>
        </w:tc>
        <w:tc>
          <w:tcPr>
            <w:tcW w:w="950" w:type="pct"/>
            <w:tcBorders>
              <w:tl2br w:val="nil"/>
              <w:tr2bl w:val="nil"/>
            </w:tcBorders>
            <w:vAlign w:val="center"/>
          </w:tcPr>
          <w:p w14:paraId="7DE292D8">
            <w:pPr>
              <w:pStyle w:val="41"/>
              <w:rPr>
                <w:color w:val="auto"/>
                <w:highlight w:val="none"/>
              </w:rPr>
            </w:pPr>
            <w:r>
              <w:rPr>
                <w:color w:val="auto"/>
                <w:highlight w:val="none"/>
              </w:rPr>
              <w:t>mg/L</w:t>
            </w:r>
          </w:p>
        </w:tc>
        <w:tc>
          <w:tcPr>
            <w:tcW w:w="723" w:type="pct"/>
            <w:tcBorders>
              <w:tl2br w:val="nil"/>
              <w:tr2bl w:val="nil"/>
            </w:tcBorders>
            <w:vAlign w:val="center"/>
          </w:tcPr>
          <w:p w14:paraId="7828655F">
            <w:pPr>
              <w:pStyle w:val="41"/>
              <w:rPr>
                <w:color w:val="auto"/>
                <w:highlight w:val="none"/>
              </w:rPr>
            </w:pPr>
            <w:r>
              <w:rPr>
                <w:color w:val="auto"/>
                <w:highlight w:val="none"/>
              </w:rPr>
              <w:t>≤</w:t>
            </w:r>
            <w:r>
              <w:rPr>
                <w:rFonts w:hint="eastAsia"/>
                <w:color w:val="auto"/>
                <w:highlight w:val="none"/>
              </w:rPr>
              <w:t>0.02</w:t>
            </w:r>
          </w:p>
        </w:tc>
        <w:tc>
          <w:tcPr>
            <w:tcW w:w="1265" w:type="pct"/>
            <w:vMerge w:val="continue"/>
            <w:tcBorders>
              <w:tl2br w:val="nil"/>
              <w:tr2bl w:val="nil"/>
            </w:tcBorders>
            <w:vAlign w:val="center"/>
          </w:tcPr>
          <w:p w14:paraId="40C5E5EC">
            <w:pPr>
              <w:pStyle w:val="41"/>
              <w:rPr>
                <w:color w:val="auto"/>
                <w:highlight w:val="none"/>
              </w:rPr>
            </w:pPr>
          </w:p>
        </w:tc>
      </w:tr>
      <w:tr w14:paraId="5A42D4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restart"/>
            <w:tcBorders>
              <w:tl2br w:val="nil"/>
              <w:tr2bl w:val="nil"/>
            </w:tcBorders>
            <w:vAlign w:val="center"/>
          </w:tcPr>
          <w:p w14:paraId="73AD27CC">
            <w:pPr>
              <w:pStyle w:val="41"/>
              <w:rPr>
                <w:color w:val="auto"/>
                <w:highlight w:val="none"/>
              </w:rPr>
            </w:pPr>
            <w:r>
              <w:rPr>
                <w:rFonts w:hint="eastAsia"/>
                <w:color w:val="auto"/>
                <w:highlight w:val="none"/>
              </w:rPr>
              <w:t>八大离子</w:t>
            </w:r>
          </w:p>
        </w:tc>
        <w:tc>
          <w:tcPr>
            <w:tcW w:w="1197" w:type="pct"/>
            <w:tcBorders>
              <w:tl2br w:val="nil"/>
              <w:tr2bl w:val="nil"/>
            </w:tcBorders>
            <w:vAlign w:val="center"/>
          </w:tcPr>
          <w:p w14:paraId="54DCACFB">
            <w:pPr>
              <w:pStyle w:val="41"/>
              <w:rPr>
                <w:color w:val="auto"/>
                <w:highlight w:val="none"/>
              </w:rPr>
            </w:pPr>
            <w:r>
              <w:rPr>
                <w:rFonts w:hint="eastAsia"/>
                <w:color w:val="auto"/>
                <w:highlight w:val="none"/>
              </w:rPr>
              <w:t>K</w:t>
            </w:r>
            <w:r>
              <w:rPr>
                <w:rFonts w:hint="eastAsia"/>
                <w:color w:val="auto"/>
                <w:highlight w:val="none"/>
                <w:vertAlign w:val="superscript"/>
              </w:rPr>
              <w:t>+</w:t>
            </w:r>
          </w:p>
        </w:tc>
        <w:tc>
          <w:tcPr>
            <w:tcW w:w="950" w:type="pct"/>
            <w:tcBorders>
              <w:tl2br w:val="nil"/>
              <w:tr2bl w:val="nil"/>
            </w:tcBorders>
            <w:vAlign w:val="center"/>
          </w:tcPr>
          <w:p w14:paraId="30E4EAEE">
            <w:pPr>
              <w:pStyle w:val="41"/>
              <w:rPr>
                <w:color w:val="auto"/>
                <w:highlight w:val="none"/>
              </w:rPr>
            </w:pPr>
            <w:r>
              <w:rPr>
                <w:color w:val="auto"/>
                <w:highlight w:val="none"/>
              </w:rPr>
              <w:t>mg/L</w:t>
            </w:r>
          </w:p>
        </w:tc>
        <w:tc>
          <w:tcPr>
            <w:tcW w:w="723" w:type="pct"/>
            <w:vMerge w:val="restart"/>
            <w:tcBorders>
              <w:tl2br w:val="nil"/>
              <w:tr2bl w:val="nil"/>
            </w:tcBorders>
            <w:vAlign w:val="center"/>
          </w:tcPr>
          <w:p w14:paraId="59158CD1">
            <w:pPr>
              <w:pStyle w:val="41"/>
              <w:rPr>
                <w:color w:val="auto"/>
                <w:highlight w:val="none"/>
              </w:rPr>
            </w:pPr>
            <w:r>
              <w:rPr>
                <w:rFonts w:hint="eastAsia"/>
                <w:color w:val="auto"/>
                <w:highlight w:val="none"/>
              </w:rPr>
              <w:t>用于化学分析结果校核</w:t>
            </w:r>
          </w:p>
        </w:tc>
        <w:tc>
          <w:tcPr>
            <w:tcW w:w="1265" w:type="pct"/>
            <w:vMerge w:val="continue"/>
            <w:tcBorders>
              <w:tl2br w:val="nil"/>
              <w:tr2bl w:val="nil"/>
            </w:tcBorders>
            <w:vAlign w:val="center"/>
          </w:tcPr>
          <w:p w14:paraId="2AC81E65">
            <w:pPr>
              <w:pStyle w:val="41"/>
              <w:rPr>
                <w:color w:val="auto"/>
                <w:highlight w:val="none"/>
              </w:rPr>
            </w:pPr>
          </w:p>
        </w:tc>
      </w:tr>
      <w:tr w14:paraId="5782B5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50EB44BE">
            <w:pPr>
              <w:pStyle w:val="41"/>
              <w:rPr>
                <w:color w:val="auto"/>
                <w:highlight w:val="none"/>
              </w:rPr>
            </w:pPr>
          </w:p>
        </w:tc>
        <w:tc>
          <w:tcPr>
            <w:tcW w:w="1197" w:type="pct"/>
            <w:tcBorders>
              <w:tl2br w:val="nil"/>
              <w:tr2bl w:val="nil"/>
            </w:tcBorders>
            <w:vAlign w:val="center"/>
          </w:tcPr>
          <w:p w14:paraId="6CB91FA9">
            <w:pPr>
              <w:pStyle w:val="41"/>
              <w:rPr>
                <w:color w:val="auto"/>
                <w:highlight w:val="none"/>
              </w:rPr>
            </w:pPr>
            <w:r>
              <w:rPr>
                <w:rFonts w:hint="eastAsia"/>
                <w:color w:val="auto"/>
                <w:highlight w:val="none"/>
              </w:rPr>
              <w:t>Na</w:t>
            </w:r>
            <w:r>
              <w:rPr>
                <w:rFonts w:hint="eastAsia"/>
                <w:color w:val="auto"/>
                <w:highlight w:val="none"/>
                <w:vertAlign w:val="superscript"/>
              </w:rPr>
              <w:t>+</w:t>
            </w:r>
          </w:p>
        </w:tc>
        <w:tc>
          <w:tcPr>
            <w:tcW w:w="950" w:type="pct"/>
            <w:tcBorders>
              <w:tl2br w:val="nil"/>
              <w:tr2bl w:val="nil"/>
            </w:tcBorders>
            <w:vAlign w:val="center"/>
          </w:tcPr>
          <w:p w14:paraId="15009327">
            <w:pPr>
              <w:pStyle w:val="41"/>
              <w:rPr>
                <w:color w:val="auto"/>
                <w:highlight w:val="none"/>
              </w:rPr>
            </w:pPr>
            <w:r>
              <w:rPr>
                <w:color w:val="auto"/>
                <w:highlight w:val="none"/>
              </w:rPr>
              <w:t>mg/L</w:t>
            </w:r>
          </w:p>
        </w:tc>
        <w:tc>
          <w:tcPr>
            <w:tcW w:w="723" w:type="pct"/>
            <w:vMerge w:val="continue"/>
            <w:tcBorders>
              <w:tl2br w:val="nil"/>
              <w:tr2bl w:val="nil"/>
            </w:tcBorders>
            <w:vAlign w:val="center"/>
          </w:tcPr>
          <w:p w14:paraId="521A0347">
            <w:pPr>
              <w:pStyle w:val="41"/>
              <w:rPr>
                <w:color w:val="auto"/>
                <w:highlight w:val="none"/>
              </w:rPr>
            </w:pPr>
          </w:p>
        </w:tc>
        <w:tc>
          <w:tcPr>
            <w:tcW w:w="1265" w:type="pct"/>
            <w:vMerge w:val="continue"/>
            <w:tcBorders>
              <w:tl2br w:val="nil"/>
              <w:tr2bl w:val="nil"/>
            </w:tcBorders>
            <w:vAlign w:val="center"/>
          </w:tcPr>
          <w:p w14:paraId="4AFC98E7">
            <w:pPr>
              <w:pStyle w:val="41"/>
              <w:rPr>
                <w:color w:val="auto"/>
                <w:highlight w:val="none"/>
              </w:rPr>
            </w:pPr>
          </w:p>
        </w:tc>
      </w:tr>
      <w:tr w14:paraId="6C03DD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4C6C6DD6">
            <w:pPr>
              <w:pStyle w:val="41"/>
              <w:rPr>
                <w:color w:val="auto"/>
                <w:highlight w:val="none"/>
              </w:rPr>
            </w:pPr>
          </w:p>
        </w:tc>
        <w:tc>
          <w:tcPr>
            <w:tcW w:w="1197" w:type="pct"/>
            <w:tcBorders>
              <w:tl2br w:val="nil"/>
              <w:tr2bl w:val="nil"/>
            </w:tcBorders>
            <w:vAlign w:val="center"/>
          </w:tcPr>
          <w:p w14:paraId="76BE8E52">
            <w:pPr>
              <w:pStyle w:val="41"/>
              <w:rPr>
                <w:color w:val="auto"/>
                <w:highlight w:val="none"/>
              </w:rPr>
            </w:pPr>
            <w:r>
              <w:rPr>
                <w:rFonts w:hint="eastAsia"/>
                <w:color w:val="auto"/>
                <w:highlight w:val="none"/>
              </w:rPr>
              <w:t>Ca</w:t>
            </w:r>
            <w:r>
              <w:rPr>
                <w:rFonts w:hint="eastAsia"/>
                <w:color w:val="auto"/>
                <w:highlight w:val="none"/>
                <w:vertAlign w:val="superscript"/>
              </w:rPr>
              <w:t>2+</w:t>
            </w:r>
          </w:p>
        </w:tc>
        <w:tc>
          <w:tcPr>
            <w:tcW w:w="950" w:type="pct"/>
            <w:tcBorders>
              <w:tl2br w:val="nil"/>
              <w:tr2bl w:val="nil"/>
            </w:tcBorders>
            <w:vAlign w:val="center"/>
          </w:tcPr>
          <w:p w14:paraId="0766C8FE">
            <w:pPr>
              <w:pStyle w:val="41"/>
              <w:rPr>
                <w:color w:val="auto"/>
                <w:highlight w:val="none"/>
              </w:rPr>
            </w:pPr>
            <w:r>
              <w:rPr>
                <w:color w:val="auto"/>
                <w:highlight w:val="none"/>
              </w:rPr>
              <w:t>mg/L</w:t>
            </w:r>
          </w:p>
        </w:tc>
        <w:tc>
          <w:tcPr>
            <w:tcW w:w="723" w:type="pct"/>
            <w:vMerge w:val="continue"/>
            <w:tcBorders>
              <w:tl2br w:val="nil"/>
              <w:tr2bl w:val="nil"/>
            </w:tcBorders>
            <w:vAlign w:val="center"/>
          </w:tcPr>
          <w:p w14:paraId="0D396CA7">
            <w:pPr>
              <w:pStyle w:val="41"/>
              <w:rPr>
                <w:color w:val="auto"/>
                <w:highlight w:val="none"/>
              </w:rPr>
            </w:pPr>
          </w:p>
        </w:tc>
        <w:tc>
          <w:tcPr>
            <w:tcW w:w="1265" w:type="pct"/>
            <w:vMerge w:val="continue"/>
            <w:tcBorders>
              <w:tl2br w:val="nil"/>
              <w:tr2bl w:val="nil"/>
            </w:tcBorders>
            <w:vAlign w:val="center"/>
          </w:tcPr>
          <w:p w14:paraId="6F09F4DE">
            <w:pPr>
              <w:pStyle w:val="41"/>
              <w:rPr>
                <w:color w:val="auto"/>
                <w:highlight w:val="none"/>
              </w:rPr>
            </w:pPr>
          </w:p>
        </w:tc>
      </w:tr>
      <w:tr w14:paraId="5E7FB8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6B4E18DB">
            <w:pPr>
              <w:pStyle w:val="41"/>
              <w:rPr>
                <w:color w:val="auto"/>
                <w:highlight w:val="none"/>
              </w:rPr>
            </w:pPr>
          </w:p>
        </w:tc>
        <w:tc>
          <w:tcPr>
            <w:tcW w:w="1197" w:type="pct"/>
            <w:tcBorders>
              <w:tl2br w:val="nil"/>
              <w:tr2bl w:val="nil"/>
            </w:tcBorders>
            <w:vAlign w:val="center"/>
          </w:tcPr>
          <w:p w14:paraId="2E1C7ED3">
            <w:pPr>
              <w:pStyle w:val="41"/>
              <w:rPr>
                <w:color w:val="auto"/>
                <w:highlight w:val="none"/>
              </w:rPr>
            </w:pPr>
            <w:r>
              <w:rPr>
                <w:rFonts w:hint="eastAsia"/>
                <w:color w:val="auto"/>
                <w:highlight w:val="none"/>
              </w:rPr>
              <w:t>Mg</w:t>
            </w:r>
            <w:r>
              <w:rPr>
                <w:rFonts w:hint="eastAsia"/>
                <w:color w:val="auto"/>
                <w:highlight w:val="none"/>
                <w:vertAlign w:val="superscript"/>
              </w:rPr>
              <w:t>2+</w:t>
            </w:r>
          </w:p>
        </w:tc>
        <w:tc>
          <w:tcPr>
            <w:tcW w:w="950" w:type="pct"/>
            <w:tcBorders>
              <w:tl2br w:val="nil"/>
              <w:tr2bl w:val="nil"/>
            </w:tcBorders>
            <w:vAlign w:val="center"/>
          </w:tcPr>
          <w:p w14:paraId="163A2279">
            <w:pPr>
              <w:pStyle w:val="41"/>
              <w:rPr>
                <w:color w:val="auto"/>
                <w:highlight w:val="none"/>
              </w:rPr>
            </w:pPr>
            <w:r>
              <w:rPr>
                <w:color w:val="auto"/>
                <w:highlight w:val="none"/>
              </w:rPr>
              <w:t>mg/L</w:t>
            </w:r>
          </w:p>
        </w:tc>
        <w:tc>
          <w:tcPr>
            <w:tcW w:w="723" w:type="pct"/>
            <w:vMerge w:val="continue"/>
            <w:tcBorders>
              <w:tl2br w:val="nil"/>
              <w:tr2bl w:val="nil"/>
            </w:tcBorders>
            <w:vAlign w:val="center"/>
          </w:tcPr>
          <w:p w14:paraId="4F4929D0">
            <w:pPr>
              <w:pStyle w:val="41"/>
              <w:rPr>
                <w:color w:val="auto"/>
                <w:highlight w:val="none"/>
              </w:rPr>
            </w:pPr>
          </w:p>
        </w:tc>
        <w:tc>
          <w:tcPr>
            <w:tcW w:w="1265" w:type="pct"/>
            <w:vMerge w:val="continue"/>
            <w:tcBorders>
              <w:tl2br w:val="nil"/>
              <w:tr2bl w:val="nil"/>
            </w:tcBorders>
            <w:vAlign w:val="center"/>
          </w:tcPr>
          <w:p w14:paraId="44D5F0B2">
            <w:pPr>
              <w:pStyle w:val="41"/>
              <w:rPr>
                <w:color w:val="auto"/>
                <w:highlight w:val="none"/>
              </w:rPr>
            </w:pPr>
          </w:p>
        </w:tc>
      </w:tr>
      <w:tr w14:paraId="5676EE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64CB618F">
            <w:pPr>
              <w:pStyle w:val="41"/>
              <w:rPr>
                <w:color w:val="auto"/>
                <w:highlight w:val="none"/>
              </w:rPr>
            </w:pPr>
          </w:p>
        </w:tc>
        <w:tc>
          <w:tcPr>
            <w:tcW w:w="1197" w:type="pct"/>
            <w:tcBorders>
              <w:tl2br w:val="nil"/>
              <w:tr2bl w:val="nil"/>
            </w:tcBorders>
            <w:vAlign w:val="center"/>
          </w:tcPr>
          <w:p w14:paraId="696A98A4">
            <w:pPr>
              <w:pStyle w:val="41"/>
              <w:rPr>
                <w:color w:val="auto"/>
                <w:highlight w:val="none"/>
              </w:rPr>
            </w:pPr>
            <w:r>
              <w:rPr>
                <w:rFonts w:hint="eastAsia"/>
                <w:color w:val="auto"/>
                <w:highlight w:val="none"/>
              </w:rPr>
              <w:t>CO</w:t>
            </w:r>
            <w:r>
              <w:rPr>
                <w:rFonts w:hint="eastAsia"/>
                <w:color w:val="auto"/>
                <w:highlight w:val="none"/>
                <w:vertAlign w:val="subscript"/>
              </w:rPr>
              <w:t>3</w:t>
            </w:r>
            <w:r>
              <w:rPr>
                <w:rFonts w:hint="eastAsia"/>
                <w:color w:val="auto"/>
                <w:highlight w:val="none"/>
                <w:vertAlign w:val="superscript"/>
              </w:rPr>
              <w:t>2-</w:t>
            </w:r>
          </w:p>
        </w:tc>
        <w:tc>
          <w:tcPr>
            <w:tcW w:w="950" w:type="pct"/>
            <w:tcBorders>
              <w:tl2br w:val="nil"/>
              <w:tr2bl w:val="nil"/>
            </w:tcBorders>
            <w:vAlign w:val="center"/>
          </w:tcPr>
          <w:p w14:paraId="396EC8C9">
            <w:pPr>
              <w:pStyle w:val="41"/>
              <w:rPr>
                <w:color w:val="auto"/>
                <w:highlight w:val="none"/>
              </w:rPr>
            </w:pPr>
            <w:r>
              <w:rPr>
                <w:color w:val="auto"/>
                <w:highlight w:val="none"/>
              </w:rPr>
              <w:t>mg/L</w:t>
            </w:r>
          </w:p>
        </w:tc>
        <w:tc>
          <w:tcPr>
            <w:tcW w:w="723" w:type="pct"/>
            <w:vMerge w:val="continue"/>
            <w:tcBorders>
              <w:tl2br w:val="nil"/>
              <w:tr2bl w:val="nil"/>
            </w:tcBorders>
            <w:vAlign w:val="center"/>
          </w:tcPr>
          <w:p w14:paraId="6A198E80">
            <w:pPr>
              <w:pStyle w:val="41"/>
              <w:rPr>
                <w:color w:val="auto"/>
                <w:highlight w:val="none"/>
              </w:rPr>
            </w:pPr>
          </w:p>
        </w:tc>
        <w:tc>
          <w:tcPr>
            <w:tcW w:w="1265" w:type="pct"/>
            <w:vMerge w:val="continue"/>
            <w:tcBorders>
              <w:tl2br w:val="nil"/>
              <w:tr2bl w:val="nil"/>
            </w:tcBorders>
            <w:vAlign w:val="center"/>
          </w:tcPr>
          <w:p w14:paraId="717CA947">
            <w:pPr>
              <w:pStyle w:val="41"/>
              <w:rPr>
                <w:color w:val="auto"/>
                <w:highlight w:val="none"/>
              </w:rPr>
            </w:pPr>
          </w:p>
        </w:tc>
      </w:tr>
      <w:tr w14:paraId="0776A2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2BA47E39">
            <w:pPr>
              <w:pStyle w:val="41"/>
              <w:rPr>
                <w:color w:val="auto"/>
                <w:highlight w:val="none"/>
              </w:rPr>
            </w:pPr>
          </w:p>
        </w:tc>
        <w:tc>
          <w:tcPr>
            <w:tcW w:w="1197" w:type="pct"/>
            <w:tcBorders>
              <w:tl2br w:val="nil"/>
              <w:tr2bl w:val="nil"/>
            </w:tcBorders>
            <w:vAlign w:val="center"/>
          </w:tcPr>
          <w:p w14:paraId="608B08E7">
            <w:pPr>
              <w:pStyle w:val="41"/>
              <w:rPr>
                <w:color w:val="auto"/>
                <w:highlight w:val="none"/>
              </w:rPr>
            </w:pPr>
            <w:r>
              <w:rPr>
                <w:rFonts w:hint="eastAsia"/>
                <w:color w:val="auto"/>
                <w:highlight w:val="none"/>
              </w:rPr>
              <w:t>HCO</w:t>
            </w:r>
            <w:r>
              <w:rPr>
                <w:rFonts w:hint="eastAsia"/>
                <w:color w:val="auto"/>
                <w:highlight w:val="none"/>
                <w:vertAlign w:val="subscript"/>
              </w:rPr>
              <w:t>3</w:t>
            </w:r>
            <w:r>
              <w:rPr>
                <w:rFonts w:hint="eastAsia"/>
                <w:color w:val="auto"/>
                <w:highlight w:val="none"/>
              </w:rPr>
              <w:t>-</w:t>
            </w:r>
          </w:p>
        </w:tc>
        <w:tc>
          <w:tcPr>
            <w:tcW w:w="950" w:type="pct"/>
            <w:tcBorders>
              <w:tl2br w:val="nil"/>
              <w:tr2bl w:val="nil"/>
            </w:tcBorders>
            <w:vAlign w:val="center"/>
          </w:tcPr>
          <w:p w14:paraId="50E16899">
            <w:pPr>
              <w:pStyle w:val="41"/>
              <w:rPr>
                <w:color w:val="auto"/>
                <w:highlight w:val="none"/>
              </w:rPr>
            </w:pPr>
            <w:r>
              <w:rPr>
                <w:color w:val="auto"/>
                <w:highlight w:val="none"/>
              </w:rPr>
              <w:t>mg/L</w:t>
            </w:r>
          </w:p>
        </w:tc>
        <w:tc>
          <w:tcPr>
            <w:tcW w:w="723" w:type="pct"/>
            <w:vMerge w:val="continue"/>
            <w:tcBorders>
              <w:tl2br w:val="nil"/>
              <w:tr2bl w:val="nil"/>
            </w:tcBorders>
            <w:vAlign w:val="center"/>
          </w:tcPr>
          <w:p w14:paraId="727697E3">
            <w:pPr>
              <w:pStyle w:val="41"/>
              <w:rPr>
                <w:color w:val="auto"/>
                <w:highlight w:val="none"/>
              </w:rPr>
            </w:pPr>
          </w:p>
        </w:tc>
        <w:tc>
          <w:tcPr>
            <w:tcW w:w="1265" w:type="pct"/>
            <w:vMerge w:val="continue"/>
            <w:tcBorders>
              <w:tl2br w:val="nil"/>
              <w:tr2bl w:val="nil"/>
            </w:tcBorders>
            <w:vAlign w:val="center"/>
          </w:tcPr>
          <w:p w14:paraId="4AADC54B">
            <w:pPr>
              <w:pStyle w:val="41"/>
              <w:rPr>
                <w:color w:val="auto"/>
                <w:highlight w:val="none"/>
              </w:rPr>
            </w:pPr>
          </w:p>
        </w:tc>
      </w:tr>
      <w:tr w14:paraId="238C96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6D40AF7E">
            <w:pPr>
              <w:pStyle w:val="41"/>
              <w:rPr>
                <w:color w:val="auto"/>
                <w:highlight w:val="none"/>
              </w:rPr>
            </w:pPr>
          </w:p>
        </w:tc>
        <w:tc>
          <w:tcPr>
            <w:tcW w:w="1197" w:type="pct"/>
            <w:tcBorders>
              <w:tl2br w:val="nil"/>
              <w:tr2bl w:val="nil"/>
            </w:tcBorders>
            <w:vAlign w:val="center"/>
          </w:tcPr>
          <w:p w14:paraId="65995474">
            <w:pPr>
              <w:pStyle w:val="41"/>
              <w:rPr>
                <w:color w:val="auto"/>
                <w:highlight w:val="none"/>
              </w:rPr>
            </w:pPr>
            <w:r>
              <w:rPr>
                <w:rFonts w:hint="eastAsia"/>
                <w:color w:val="auto"/>
                <w:highlight w:val="none"/>
              </w:rPr>
              <w:t>Cl</w:t>
            </w:r>
            <w:r>
              <w:rPr>
                <w:rFonts w:hint="eastAsia"/>
                <w:color w:val="auto"/>
                <w:highlight w:val="none"/>
                <w:vertAlign w:val="superscript"/>
              </w:rPr>
              <w:t>-</w:t>
            </w:r>
          </w:p>
        </w:tc>
        <w:tc>
          <w:tcPr>
            <w:tcW w:w="950" w:type="pct"/>
            <w:tcBorders>
              <w:tl2br w:val="nil"/>
              <w:tr2bl w:val="nil"/>
            </w:tcBorders>
            <w:vAlign w:val="center"/>
          </w:tcPr>
          <w:p w14:paraId="4649E4B2">
            <w:pPr>
              <w:pStyle w:val="41"/>
              <w:rPr>
                <w:color w:val="auto"/>
                <w:highlight w:val="none"/>
              </w:rPr>
            </w:pPr>
            <w:r>
              <w:rPr>
                <w:color w:val="auto"/>
                <w:highlight w:val="none"/>
              </w:rPr>
              <w:t>mg/L</w:t>
            </w:r>
          </w:p>
        </w:tc>
        <w:tc>
          <w:tcPr>
            <w:tcW w:w="723" w:type="pct"/>
            <w:vMerge w:val="continue"/>
            <w:tcBorders>
              <w:tl2br w:val="nil"/>
              <w:tr2bl w:val="nil"/>
            </w:tcBorders>
            <w:vAlign w:val="center"/>
          </w:tcPr>
          <w:p w14:paraId="1BD7527D">
            <w:pPr>
              <w:pStyle w:val="41"/>
              <w:rPr>
                <w:color w:val="auto"/>
                <w:highlight w:val="none"/>
              </w:rPr>
            </w:pPr>
          </w:p>
        </w:tc>
        <w:tc>
          <w:tcPr>
            <w:tcW w:w="1265" w:type="pct"/>
            <w:vMerge w:val="continue"/>
            <w:tcBorders>
              <w:tl2br w:val="nil"/>
              <w:tr2bl w:val="nil"/>
            </w:tcBorders>
            <w:vAlign w:val="center"/>
          </w:tcPr>
          <w:p w14:paraId="2E844660">
            <w:pPr>
              <w:pStyle w:val="41"/>
              <w:rPr>
                <w:color w:val="auto"/>
                <w:highlight w:val="none"/>
              </w:rPr>
            </w:pPr>
          </w:p>
        </w:tc>
      </w:tr>
      <w:tr w14:paraId="0BDC7B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vMerge w:val="continue"/>
            <w:tcBorders>
              <w:tl2br w:val="nil"/>
              <w:tr2bl w:val="nil"/>
            </w:tcBorders>
            <w:vAlign w:val="center"/>
          </w:tcPr>
          <w:p w14:paraId="6384426C">
            <w:pPr>
              <w:pStyle w:val="41"/>
              <w:rPr>
                <w:color w:val="auto"/>
                <w:highlight w:val="none"/>
              </w:rPr>
            </w:pPr>
          </w:p>
        </w:tc>
        <w:tc>
          <w:tcPr>
            <w:tcW w:w="1197" w:type="pct"/>
            <w:tcBorders>
              <w:tl2br w:val="nil"/>
              <w:tr2bl w:val="nil"/>
            </w:tcBorders>
            <w:vAlign w:val="center"/>
          </w:tcPr>
          <w:p w14:paraId="63F51488">
            <w:pPr>
              <w:pStyle w:val="41"/>
              <w:rPr>
                <w:color w:val="auto"/>
                <w:highlight w:val="none"/>
              </w:rPr>
            </w:pPr>
            <w:r>
              <w:rPr>
                <w:rFonts w:hint="eastAsia"/>
                <w:color w:val="auto"/>
                <w:highlight w:val="none"/>
              </w:rPr>
              <w:t>SO</w:t>
            </w:r>
            <w:r>
              <w:rPr>
                <w:rFonts w:hint="eastAsia"/>
                <w:color w:val="auto"/>
                <w:highlight w:val="none"/>
                <w:vertAlign w:val="subscript"/>
              </w:rPr>
              <w:t>4</w:t>
            </w:r>
            <w:r>
              <w:rPr>
                <w:rFonts w:hint="eastAsia"/>
                <w:color w:val="auto"/>
                <w:highlight w:val="none"/>
                <w:vertAlign w:val="superscript"/>
              </w:rPr>
              <w:t>2-</w:t>
            </w:r>
          </w:p>
        </w:tc>
        <w:tc>
          <w:tcPr>
            <w:tcW w:w="950" w:type="pct"/>
            <w:tcBorders>
              <w:tl2br w:val="nil"/>
              <w:tr2bl w:val="nil"/>
            </w:tcBorders>
            <w:vAlign w:val="center"/>
          </w:tcPr>
          <w:p w14:paraId="4C218371">
            <w:pPr>
              <w:pStyle w:val="41"/>
              <w:rPr>
                <w:color w:val="auto"/>
                <w:highlight w:val="none"/>
              </w:rPr>
            </w:pPr>
            <w:r>
              <w:rPr>
                <w:color w:val="auto"/>
                <w:highlight w:val="none"/>
              </w:rPr>
              <w:t>mg/L</w:t>
            </w:r>
          </w:p>
        </w:tc>
        <w:tc>
          <w:tcPr>
            <w:tcW w:w="723" w:type="pct"/>
            <w:vMerge w:val="continue"/>
            <w:tcBorders>
              <w:tl2br w:val="nil"/>
              <w:tr2bl w:val="nil"/>
            </w:tcBorders>
            <w:vAlign w:val="center"/>
          </w:tcPr>
          <w:p w14:paraId="3CBC5E51">
            <w:pPr>
              <w:pStyle w:val="41"/>
              <w:rPr>
                <w:color w:val="auto"/>
                <w:highlight w:val="none"/>
              </w:rPr>
            </w:pPr>
          </w:p>
        </w:tc>
        <w:tc>
          <w:tcPr>
            <w:tcW w:w="1265" w:type="pct"/>
            <w:vMerge w:val="continue"/>
            <w:tcBorders>
              <w:tl2br w:val="nil"/>
              <w:tr2bl w:val="nil"/>
            </w:tcBorders>
            <w:vAlign w:val="center"/>
          </w:tcPr>
          <w:p w14:paraId="217B2238">
            <w:pPr>
              <w:pStyle w:val="41"/>
              <w:rPr>
                <w:color w:val="auto"/>
                <w:highlight w:val="none"/>
              </w:rPr>
            </w:pPr>
          </w:p>
        </w:tc>
      </w:tr>
    </w:tbl>
    <w:p w14:paraId="246EA6CC">
      <w:pPr>
        <w:pStyle w:val="3"/>
        <w:ind w:firstLine="480"/>
        <w:rPr>
          <w:color w:val="auto"/>
          <w:highlight w:val="none"/>
        </w:rPr>
      </w:pPr>
      <w:r>
        <w:rPr>
          <w:rFonts w:hint="eastAsia"/>
          <w:color w:val="auto"/>
          <w:highlight w:val="none"/>
        </w:rPr>
        <w:t>（4）土壤环境</w:t>
      </w:r>
    </w:p>
    <w:p w14:paraId="4401A917">
      <w:pPr>
        <w:pStyle w:val="3"/>
        <w:ind w:firstLine="480"/>
        <w:rPr>
          <w:color w:val="auto"/>
          <w:highlight w:val="none"/>
        </w:rPr>
      </w:pPr>
      <w:r>
        <w:rPr>
          <w:rFonts w:hint="eastAsia"/>
          <w:color w:val="auto"/>
          <w:highlight w:val="none"/>
        </w:rPr>
        <w:t>项目区及评价范围内土壤执行《土壤环境质量 建设用地土壤污染风险管控标准（试行）》（GB36600-2018）和《土壤环境质量 农用地土壤污染风险管控标准（试行）（GB 15618-2018》筛选值，具体如下：</w:t>
      </w:r>
    </w:p>
    <w:p w14:paraId="0EC0AE0D">
      <w:pPr>
        <w:pStyle w:val="40"/>
        <w:spacing w:before="24" w:after="24"/>
        <w:rPr>
          <w:color w:val="auto"/>
          <w:highlight w:val="none"/>
        </w:rPr>
      </w:pPr>
      <w:r>
        <w:rPr>
          <w:color w:val="auto"/>
          <w:highlight w:val="none"/>
        </w:rPr>
        <w:t>表</w:t>
      </w:r>
      <w:r>
        <w:rPr>
          <w:rFonts w:hint="eastAsia"/>
          <w:color w:val="auto"/>
          <w:highlight w:val="none"/>
        </w:rPr>
        <w:t>2.4-4    土壤环境质量 建设地土壤污染风险管控标准  单位：mg/kg</w:t>
      </w:r>
    </w:p>
    <w:tbl>
      <w:tblPr>
        <w:tblStyle w:val="25"/>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3"/>
        <w:gridCol w:w="2622"/>
        <w:gridCol w:w="2442"/>
        <w:gridCol w:w="2620"/>
      </w:tblGrid>
      <w:tr w14:paraId="4915BE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blHeader/>
        </w:trPr>
        <w:tc>
          <w:tcPr>
            <w:tcW w:w="484" w:type="pct"/>
            <w:tcBorders>
              <w:tl2br w:val="nil"/>
              <w:tr2bl w:val="nil"/>
            </w:tcBorders>
            <w:vAlign w:val="center"/>
          </w:tcPr>
          <w:p w14:paraId="10E1E245">
            <w:pPr>
              <w:pStyle w:val="41"/>
              <w:rPr>
                <w:color w:val="auto"/>
                <w:highlight w:val="none"/>
              </w:rPr>
            </w:pPr>
            <w:r>
              <w:rPr>
                <w:color w:val="auto"/>
                <w:highlight w:val="none"/>
              </w:rPr>
              <w:t>序号</w:t>
            </w:r>
          </w:p>
        </w:tc>
        <w:tc>
          <w:tcPr>
            <w:tcW w:w="1541" w:type="pct"/>
            <w:tcBorders>
              <w:tl2br w:val="nil"/>
              <w:tr2bl w:val="nil"/>
            </w:tcBorders>
            <w:vAlign w:val="center"/>
          </w:tcPr>
          <w:p w14:paraId="44B237B9">
            <w:pPr>
              <w:pStyle w:val="41"/>
              <w:rPr>
                <w:color w:val="auto"/>
                <w:highlight w:val="none"/>
              </w:rPr>
            </w:pPr>
            <w:r>
              <w:rPr>
                <w:color w:val="auto"/>
                <w:highlight w:val="none"/>
              </w:rPr>
              <w:t>污染物项目</w:t>
            </w:r>
          </w:p>
        </w:tc>
        <w:tc>
          <w:tcPr>
            <w:tcW w:w="1435" w:type="pct"/>
            <w:tcBorders>
              <w:tl2br w:val="nil"/>
              <w:tr2bl w:val="nil"/>
            </w:tcBorders>
            <w:vAlign w:val="center"/>
          </w:tcPr>
          <w:p w14:paraId="04109911">
            <w:pPr>
              <w:pStyle w:val="41"/>
              <w:rPr>
                <w:color w:val="auto"/>
                <w:highlight w:val="none"/>
              </w:rPr>
            </w:pPr>
            <w:r>
              <w:rPr>
                <w:rFonts w:hint="eastAsia"/>
                <w:color w:val="auto"/>
                <w:highlight w:val="none"/>
              </w:rPr>
              <w:t>CAS编号</w:t>
            </w:r>
          </w:p>
        </w:tc>
        <w:tc>
          <w:tcPr>
            <w:tcW w:w="1538" w:type="pct"/>
            <w:tcBorders>
              <w:tl2br w:val="nil"/>
              <w:tr2bl w:val="nil"/>
            </w:tcBorders>
            <w:vAlign w:val="center"/>
          </w:tcPr>
          <w:p w14:paraId="0BCCC106">
            <w:pPr>
              <w:pStyle w:val="41"/>
              <w:rPr>
                <w:color w:val="auto"/>
                <w:highlight w:val="none"/>
              </w:rPr>
            </w:pPr>
            <w:r>
              <w:rPr>
                <w:color w:val="auto"/>
                <w:highlight w:val="none"/>
              </w:rPr>
              <w:t>第二类用地筛选值</w:t>
            </w:r>
          </w:p>
        </w:tc>
      </w:tr>
      <w:tr w14:paraId="50DAC5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5000" w:type="pct"/>
            <w:gridSpan w:val="4"/>
            <w:tcBorders>
              <w:tl2br w:val="nil"/>
              <w:tr2bl w:val="nil"/>
            </w:tcBorders>
            <w:vAlign w:val="center"/>
          </w:tcPr>
          <w:p w14:paraId="622F6FA4">
            <w:pPr>
              <w:pStyle w:val="41"/>
              <w:rPr>
                <w:color w:val="auto"/>
                <w:highlight w:val="none"/>
              </w:rPr>
            </w:pPr>
            <w:r>
              <w:rPr>
                <w:color w:val="auto"/>
                <w:highlight w:val="none"/>
              </w:rPr>
              <w:t>重金属和无机物</w:t>
            </w:r>
          </w:p>
        </w:tc>
      </w:tr>
      <w:tr w14:paraId="65453A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73E0B15C">
            <w:pPr>
              <w:pStyle w:val="41"/>
              <w:rPr>
                <w:color w:val="auto"/>
                <w:highlight w:val="none"/>
              </w:rPr>
            </w:pPr>
            <w:r>
              <w:rPr>
                <w:color w:val="auto"/>
                <w:highlight w:val="none"/>
              </w:rPr>
              <w:t>1</w:t>
            </w:r>
          </w:p>
        </w:tc>
        <w:tc>
          <w:tcPr>
            <w:tcW w:w="1541" w:type="pct"/>
            <w:tcBorders>
              <w:tl2br w:val="nil"/>
              <w:tr2bl w:val="nil"/>
            </w:tcBorders>
            <w:vAlign w:val="center"/>
          </w:tcPr>
          <w:p w14:paraId="0E00FE20">
            <w:pPr>
              <w:pStyle w:val="41"/>
              <w:rPr>
                <w:color w:val="auto"/>
                <w:highlight w:val="none"/>
              </w:rPr>
            </w:pPr>
            <w:r>
              <w:rPr>
                <w:color w:val="auto"/>
                <w:highlight w:val="none"/>
              </w:rPr>
              <w:t>砷</w:t>
            </w:r>
          </w:p>
        </w:tc>
        <w:tc>
          <w:tcPr>
            <w:tcW w:w="1435" w:type="pct"/>
            <w:tcBorders>
              <w:tl2br w:val="nil"/>
              <w:tr2bl w:val="nil"/>
            </w:tcBorders>
            <w:vAlign w:val="center"/>
          </w:tcPr>
          <w:p w14:paraId="5721D416">
            <w:pPr>
              <w:pStyle w:val="41"/>
              <w:rPr>
                <w:color w:val="auto"/>
                <w:highlight w:val="none"/>
              </w:rPr>
            </w:pPr>
            <w:r>
              <w:rPr>
                <w:rFonts w:hint="eastAsia"/>
                <w:color w:val="auto"/>
                <w:highlight w:val="none"/>
              </w:rPr>
              <w:t>7440-38-2</w:t>
            </w:r>
          </w:p>
        </w:tc>
        <w:tc>
          <w:tcPr>
            <w:tcW w:w="1538" w:type="pct"/>
            <w:tcBorders>
              <w:tl2br w:val="nil"/>
              <w:tr2bl w:val="nil"/>
            </w:tcBorders>
            <w:vAlign w:val="center"/>
          </w:tcPr>
          <w:p w14:paraId="47D22E40">
            <w:pPr>
              <w:pStyle w:val="41"/>
              <w:rPr>
                <w:color w:val="auto"/>
                <w:highlight w:val="none"/>
              </w:rPr>
            </w:pPr>
            <w:r>
              <w:rPr>
                <w:color w:val="auto"/>
                <w:highlight w:val="none"/>
              </w:rPr>
              <w:t>60</w:t>
            </w:r>
          </w:p>
        </w:tc>
      </w:tr>
      <w:tr w14:paraId="46C77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2BDF0DAA">
            <w:pPr>
              <w:pStyle w:val="41"/>
              <w:rPr>
                <w:color w:val="auto"/>
                <w:highlight w:val="none"/>
              </w:rPr>
            </w:pPr>
            <w:r>
              <w:rPr>
                <w:color w:val="auto"/>
                <w:highlight w:val="none"/>
              </w:rPr>
              <w:t>2</w:t>
            </w:r>
          </w:p>
        </w:tc>
        <w:tc>
          <w:tcPr>
            <w:tcW w:w="1541" w:type="pct"/>
            <w:tcBorders>
              <w:tl2br w:val="nil"/>
              <w:tr2bl w:val="nil"/>
            </w:tcBorders>
            <w:vAlign w:val="center"/>
          </w:tcPr>
          <w:p w14:paraId="271BF0BA">
            <w:pPr>
              <w:pStyle w:val="41"/>
              <w:rPr>
                <w:color w:val="auto"/>
                <w:highlight w:val="none"/>
              </w:rPr>
            </w:pPr>
            <w:r>
              <w:rPr>
                <w:color w:val="auto"/>
                <w:highlight w:val="none"/>
              </w:rPr>
              <w:t>镉</w:t>
            </w:r>
          </w:p>
        </w:tc>
        <w:tc>
          <w:tcPr>
            <w:tcW w:w="1435" w:type="pct"/>
            <w:tcBorders>
              <w:tl2br w:val="nil"/>
              <w:tr2bl w:val="nil"/>
            </w:tcBorders>
            <w:vAlign w:val="center"/>
          </w:tcPr>
          <w:p w14:paraId="75EECB5C">
            <w:pPr>
              <w:pStyle w:val="41"/>
              <w:rPr>
                <w:color w:val="auto"/>
                <w:highlight w:val="none"/>
              </w:rPr>
            </w:pPr>
            <w:r>
              <w:rPr>
                <w:rFonts w:hint="eastAsia"/>
                <w:color w:val="auto"/>
                <w:highlight w:val="none"/>
              </w:rPr>
              <w:t>7440-43-9</w:t>
            </w:r>
          </w:p>
        </w:tc>
        <w:tc>
          <w:tcPr>
            <w:tcW w:w="1538" w:type="pct"/>
            <w:tcBorders>
              <w:tl2br w:val="nil"/>
              <w:tr2bl w:val="nil"/>
            </w:tcBorders>
            <w:vAlign w:val="center"/>
          </w:tcPr>
          <w:p w14:paraId="64FC86AD">
            <w:pPr>
              <w:pStyle w:val="41"/>
              <w:rPr>
                <w:color w:val="auto"/>
                <w:highlight w:val="none"/>
              </w:rPr>
            </w:pPr>
            <w:r>
              <w:rPr>
                <w:color w:val="auto"/>
                <w:highlight w:val="none"/>
              </w:rPr>
              <w:t>65</w:t>
            </w:r>
          </w:p>
        </w:tc>
      </w:tr>
      <w:tr w14:paraId="692F88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6D361136">
            <w:pPr>
              <w:pStyle w:val="41"/>
              <w:rPr>
                <w:color w:val="auto"/>
                <w:highlight w:val="none"/>
              </w:rPr>
            </w:pPr>
            <w:r>
              <w:rPr>
                <w:color w:val="auto"/>
                <w:highlight w:val="none"/>
              </w:rPr>
              <w:t>3</w:t>
            </w:r>
          </w:p>
        </w:tc>
        <w:tc>
          <w:tcPr>
            <w:tcW w:w="1541" w:type="pct"/>
            <w:tcBorders>
              <w:tl2br w:val="nil"/>
              <w:tr2bl w:val="nil"/>
            </w:tcBorders>
            <w:vAlign w:val="center"/>
          </w:tcPr>
          <w:p w14:paraId="4E3F2B58">
            <w:pPr>
              <w:pStyle w:val="41"/>
              <w:rPr>
                <w:color w:val="auto"/>
                <w:highlight w:val="none"/>
              </w:rPr>
            </w:pPr>
            <w:r>
              <w:rPr>
                <w:color w:val="auto"/>
                <w:highlight w:val="none"/>
              </w:rPr>
              <w:t>铬（六价）</w:t>
            </w:r>
          </w:p>
        </w:tc>
        <w:tc>
          <w:tcPr>
            <w:tcW w:w="1435" w:type="pct"/>
            <w:tcBorders>
              <w:tl2br w:val="nil"/>
              <w:tr2bl w:val="nil"/>
            </w:tcBorders>
            <w:vAlign w:val="center"/>
          </w:tcPr>
          <w:p w14:paraId="686EAA01">
            <w:pPr>
              <w:pStyle w:val="41"/>
              <w:rPr>
                <w:color w:val="auto"/>
                <w:highlight w:val="none"/>
              </w:rPr>
            </w:pPr>
            <w:r>
              <w:rPr>
                <w:rFonts w:hint="eastAsia"/>
                <w:color w:val="auto"/>
                <w:highlight w:val="none"/>
              </w:rPr>
              <w:t>18540-29-9</w:t>
            </w:r>
          </w:p>
        </w:tc>
        <w:tc>
          <w:tcPr>
            <w:tcW w:w="1538" w:type="pct"/>
            <w:tcBorders>
              <w:tl2br w:val="nil"/>
              <w:tr2bl w:val="nil"/>
            </w:tcBorders>
            <w:vAlign w:val="center"/>
          </w:tcPr>
          <w:p w14:paraId="787CDCCC">
            <w:pPr>
              <w:pStyle w:val="41"/>
              <w:rPr>
                <w:color w:val="auto"/>
                <w:highlight w:val="none"/>
              </w:rPr>
            </w:pPr>
            <w:r>
              <w:rPr>
                <w:color w:val="auto"/>
                <w:highlight w:val="none"/>
              </w:rPr>
              <w:t>5.7</w:t>
            </w:r>
          </w:p>
        </w:tc>
      </w:tr>
      <w:tr w14:paraId="57378D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5F9A42F6">
            <w:pPr>
              <w:pStyle w:val="41"/>
              <w:rPr>
                <w:color w:val="auto"/>
                <w:highlight w:val="none"/>
              </w:rPr>
            </w:pPr>
            <w:r>
              <w:rPr>
                <w:color w:val="auto"/>
                <w:highlight w:val="none"/>
              </w:rPr>
              <w:t>4</w:t>
            </w:r>
          </w:p>
        </w:tc>
        <w:tc>
          <w:tcPr>
            <w:tcW w:w="1541" w:type="pct"/>
            <w:tcBorders>
              <w:tl2br w:val="nil"/>
              <w:tr2bl w:val="nil"/>
            </w:tcBorders>
            <w:vAlign w:val="center"/>
          </w:tcPr>
          <w:p w14:paraId="3C07BE78">
            <w:pPr>
              <w:pStyle w:val="41"/>
              <w:rPr>
                <w:color w:val="auto"/>
                <w:highlight w:val="none"/>
              </w:rPr>
            </w:pPr>
            <w:r>
              <w:rPr>
                <w:color w:val="auto"/>
                <w:highlight w:val="none"/>
              </w:rPr>
              <w:t>铜</w:t>
            </w:r>
          </w:p>
        </w:tc>
        <w:tc>
          <w:tcPr>
            <w:tcW w:w="1435" w:type="pct"/>
            <w:tcBorders>
              <w:tl2br w:val="nil"/>
              <w:tr2bl w:val="nil"/>
            </w:tcBorders>
            <w:vAlign w:val="center"/>
          </w:tcPr>
          <w:p w14:paraId="1022D90A">
            <w:pPr>
              <w:pStyle w:val="41"/>
              <w:rPr>
                <w:color w:val="auto"/>
                <w:highlight w:val="none"/>
              </w:rPr>
            </w:pPr>
            <w:r>
              <w:rPr>
                <w:rFonts w:hint="eastAsia"/>
                <w:color w:val="auto"/>
                <w:highlight w:val="none"/>
              </w:rPr>
              <w:t>7440-50-8</w:t>
            </w:r>
          </w:p>
        </w:tc>
        <w:tc>
          <w:tcPr>
            <w:tcW w:w="1538" w:type="pct"/>
            <w:tcBorders>
              <w:tl2br w:val="nil"/>
              <w:tr2bl w:val="nil"/>
            </w:tcBorders>
            <w:vAlign w:val="center"/>
          </w:tcPr>
          <w:p w14:paraId="23ED0723">
            <w:pPr>
              <w:pStyle w:val="41"/>
              <w:rPr>
                <w:color w:val="auto"/>
                <w:highlight w:val="none"/>
              </w:rPr>
            </w:pPr>
            <w:r>
              <w:rPr>
                <w:color w:val="auto"/>
                <w:highlight w:val="none"/>
              </w:rPr>
              <w:t>18000</w:t>
            </w:r>
          </w:p>
        </w:tc>
      </w:tr>
      <w:tr w14:paraId="0B0DD0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093D3649">
            <w:pPr>
              <w:pStyle w:val="41"/>
              <w:rPr>
                <w:color w:val="auto"/>
                <w:highlight w:val="none"/>
              </w:rPr>
            </w:pPr>
            <w:r>
              <w:rPr>
                <w:color w:val="auto"/>
                <w:highlight w:val="none"/>
              </w:rPr>
              <w:t>5</w:t>
            </w:r>
          </w:p>
        </w:tc>
        <w:tc>
          <w:tcPr>
            <w:tcW w:w="1541" w:type="pct"/>
            <w:tcBorders>
              <w:tl2br w:val="nil"/>
              <w:tr2bl w:val="nil"/>
            </w:tcBorders>
            <w:vAlign w:val="center"/>
          </w:tcPr>
          <w:p w14:paraId="0C583184">
            <w:pPr>
              <w:pStyle w:val="41"/>
              <w:rPr>
                <w:color w:val="auto"/>
                <w:highlight w:val="none"/>
              </w:rPr>
            </w:pPr>
            <w:r>
              <w:rPr>
                <w:color w:val="auto"/>
                <w:highlight w:val="none"/>
              </w:rPr>
              <w:t>铅</w:t>
            </w:r>
          </w:p>
        </w:tc>
        <w:tc>
          <w:tcPr>
            <w:tcW w:w="1435" w:type="pct"/>
            <w:tcBorders>
              <w:tl2br w:val="nil"/>
              <w:tr2bl w:val="nil"/>
            </w:tcBorders>
            <w:vAlign w:val="center"/>
          </w:tcPr>
          <w:p w14:paraId="2E7041C3">
            <w:pPr>
              <w:pStyle w:val="41"/>
              <w:rPr>
                <w:color w:val="auto"/>
                <w:highlight w:val="none"/>
              </w:rPr>
            </w:pPr>
            <w:r>
              <w:rPr>
                <w:rFonts w:hint="eastAsia"/>
                <w:color w:val="auto"/>
                <w:highlight w:val="none"/>
              </w:rPr>
              <w:t>7439-92-1</w:t>
            </w:r>
          </w:p>
        </w:tc>
        <w:tc>
          <w:tcPr>
            <w:tcW w:w="1538" w:type="pct"/>
            <w:tcBorders>
              <w:tl2br w:val="nil"/>
              <w:tr2bl w:val="nil"/>
            </w:tcBorders>
            <w:vAlign w:val="center"/>
          </w:tcPr>
          <w:p w14:paraId="2397A125">
            <w:pPr>
              <w:pStyle w:val="41"/>
              <w:rPr>
                <w:color w:val="auto"/>
                <w:highlight w:val="none"/>
              </w:rPr>
            </w:pPr>
            <w:r>
              <w:rPr>
                <w:color w:val="auto"/>
                <w:highlight w:val="none"/>
              </w:rPr>
              <w:t>800</w:t>
            </w:r>
          </w:p>
        </w:tc>
      </w:tr>
      <w:tr w14:paraId="0C0FD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2C16B3B4">
            <w:pPr>
              <w:pStyle w:val="41"/>
              <w:rPr>
                <w:color w:val="auto"/>
                <w:highlight w:val="none"/>
              </w:rPr>
            </w:pPr>
            <w:r>
              <w:rPr>
                <w:color w:val="auto"/>
                <w:highlight w:val="none"/>
              </w:rPr>
              <w:t>6</w:t>
            </w:r>
          </w:p>
        </w:tc>
        <w:tc>
          <w:tcPr>
            <w:tcW w:w="1541" w:type="pct"/>
            <w:tcBorders>
              <w:tl2br w:val="nil"/>
              <w:tr2bl w:val="nil"/>
            </w:tcBorders>
            <w:vAlign w:val="center"/>
          </w:tcPr>
          <w:p w14:paraId="7DF8D2A9">
            <w:pPr>
              <w:pStyle w:val="41"/>
              <w:rPr>
                <w:color w:val="auto"/>
                <w:highlight w:val="none"/>
              </w:rPr>
            </w:pPr>
            <w:r>
              <w:rPr>
                <w:color w:val="auto"/>
                <w:highlight w:val="none"/>
              </w:rPr>
              <w:t>汞</w:t>
            </w:r>
          </w:p>
        </w:tc>
        <w:tc>
          <w:tcPr>
            <w:tcW w:w="1435" w:type="pct"/>
            <w:tcBorders>
              <w:tl2br w:val="nil"/>
              <w:tr2bl w:val="nil"/>
            </w:tcBorders>
            <w:vAlign w:val="center"/>
          </w:tcPr>
          <w:p w14:paraId="4DB6882B">
            <w:pPr>
              <w:pStyle w:val="41"/>
              <w:rPr>
                <w:color w:val="auto"/>
                <w:highlight w:val="none"/>
              </w:rPr>
            </w:pPr>
            <w:r>
              <w:rPr>
                <w:rFonts w:hint="eastAsia"/>
                <w:color w:val="auto"/>
                <w:highlight w:val="none"/>
              </w:rPr>
              <w:t>7439-97-6</w:t>
            </w:r>
          </w:p>
        </w:tc>
        <w:tc>
          <w:tcPr>
            <w:tcW w:w="1538" w:type="pct"/>
            <w:tcBorders>
              <w:tl2br w:val="nil"/>
              <w:tr2bl w:val="nil"/>
            </w:tcBorders>
            <w:vAlign w:val="center"/>
          </w:tcPr>
          <w:p w14:paraId="6E92AD50">
            <w:pPr>
              <w:pStyle w:val="41"/>
              <w:rPr>
                <w:color w:val="auto"/>
                <w:highlight w:val="none"/>
              </w:rPr>
            </w:pPr>
            <w:r>
              <w:rPr>
                <w:color w:val="auto"/>
                <w:highlight w:val="none"/>
              </w:rPr>
              <w:t>38</w:t>
            </w:r>
          </w:p>
        </w:tc>
      </w:tr>
      <w:tr w14:paraId="01A1C1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55FDA77D">
            <w:pPr>
              <w:pStyle w:val="41"/>
              <w:rPr>
                <w:color w:val="auto"/>
                <w:highlight w:val="none"/>
              </w:rPr>
            </w:pPr>
            <w:r>
              <w:rPr>
                <w:color w:val="auto"/>
                <w:highlight w:val="none"/>
              </w:rPr>
              <w:t>7</w:t>
            </w:r>
          </w:p>
        </w:tc>
        <w:tc>
          <w:tcPr>
            <w:tcW w:w="1541" w:type="pct"/>
            <w:tcBorders>
              <w:tl2br w:val="nil"/>
              <w:tr2bl w:val="nil"/>
            </w:tcBorders>
            <w:vAlign w:val="center"/>
          </w:tcPr>
          <w:p w14:paraId="7F0F3C46">
            <w:pPr>
              <w:pStyle w:val="41"/>
              <w:rPr>
                <w:color w:val="auto"/>
                <w:highlight w:val="none"/>
              </w:rPr>
            </w:pPr>
            <w:r>
              <w:rPr>
                <w:color w:val="auto"/>
                <w:highlight w:val="none"/>
              </w:rPr>
              <w:t>镍</w:t>
            </w:r>
          </w:p>
        </w:tc>
        <w:tc>
          <w:tcPr>
            <w:tcW w:w="1435" w:type="pct"/>
            <w:tcBorders>
              <w:tl2br w:val="nil"/>
              <w:tr2bl w:val="nil"/>
            </w:tcBorders>
            <w:vAlign w:val="center"/>
          </w:tcPr>
          <w:p w14:paraId="06884FC8">
            <w:pPr>
              <w:pStyle w:val="41"/>
              <w:rPr>
                <w:color w:val="auto"/>
                <w:highlight w:val="none"/>
              </w:rPr>
            </w:pPr>
            <w:r>
              <w:rPr>
                <w:rFonts w:hint="eastAsia"/>
                <w:color w:val="auto"/>
                <w:highlight w:val="none"/>
              </w:rPr>
              <w:t>7440-02-0</w:t>
            </w:r>
          </w:p>
        </w:tc>
        <w:tc>
          <w:tcPr>
            <w:tcW w:w="1538" w:type="pct"/>
            <w:tcBorders>
              <w:tl2br w:val="nil"/>
              <w:tr2bl w:val="nil"/>
            </w:tcBorders>
            <w:vAlign w:val="center"/>
          </w:tcPr>
          <w:p w14:paraId="366952FF">
            <w:pPr>
              <w:pStyle w:val="41"/>
              <w:rPr>
                <w:color w:val="auto"/>
                <w:highlight w:val="none"/>
              </w:rPr>
            </w:pPr>
            <w:r>
              <w:rPr>
                <w:color w:val="auto"/>
                <w:highlight w:val="none"/>
              </w:rPr>
              <w:t>900</w:t>
            </w:r>
          </w:p>
        </w:tc>
      </w:tr>
      <w:tr w14:paraId="2349E6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5000" w:type="pct"/>
            <w:gridSpan w:val="4"/>
            <w:tcBorders>
              <w:tl2br w:val="nil"/>
              <w:tr2bl w:val="nil"/>
            </w:tcBorders>
            <w:vAlign w:val="center"/>
          </w:tcPr>
          <w:p w14:paraId="359B5648">
            <w:pPr>
              <w:pStyle w:val="41"/>
              <w:rPr>
                <w:color w:val="auto"/>
                <w:highlight w:val="none"/>
              </w:rPr>
            </w:pPr>
            <w:r>
              <w:rPr>
                <w:color w:val="auto"/>
                <w:highlight w:val="none"/>
              </w:rPr>
              <w:t>挥发性有机物</w:t>
            </w:r>
          </w:p>
        </w:tc>
      </w:tr>
      <w:tr w14:paraId="4ABD95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65196924">
            <w:pPr>
              <w:pStyle w:val="41"/>
              <w:rPr>
                <w:color w:val="auto"/>
                <w:highlight w:val="none"/>
              </w:rPr>
            </w:pPr>
            <w:r>
              <w:rPr>
                <w:color w:val="auto"/>
                <w:highlight w:val="none"/>
              </w:rPr>
              <w:t>8</w:t>
            </w:r>
          </w:p>
        </w:tc>
        <w:tc>
          <w:tcPr>
            <w:tcW w:w="1541" w:type="pct"/>
            <w:tcBorders>
              <w:tl2br w:val="nil"/>
              <w:tr2bl w:val="nil"/>
            </w:tcBorders>
            <w:vAlign w:val="center"/>
          </w:tcPr>
          <w:p w14:paraId="1AE374DB">
            <w:pPr>
              <w:pStyle w:val="41"/>
              <w:rPr>
                <w:color w:val="auto"/>
                <w:highlight w:val="none"/>
              </w:rPr>
            </w:pPr>
            <w:r>
              <w:rPr>
                <w:color w:val="auto"/>
                <w:highlight w:val="none"/>
              </w:rPr>
              <w:t>四氯化碳</w:t>
            </w:r>
          </w:p>
        </w:tc>
        <w:tc>
          <w:tcPr>
            <w:tcW w:w="1435" w:type="pct"/>
            <w:tcBorders>
              <w:tl2br w:val="nil"/>
              <w:tr2bl w:val="nil"/>
            </w:tcBorders>
            <w:vAlign w:val="center"/>
          </w:tcPr>
          <w:p w14:paraId="2306A2D1">
            <w:pPr>
              <w:pStyle w:val="41"/>
              <w:rPr>
                <w:color w:val="auto"/>
                <w:highlight w:val="none"/>
              </w:rPr>
            </w:pPr>
            <w:r>
              <w:rPr>
                <w:rFonts w:hint="eastAsia"/>
                <w:color w:val="auto"/>
                <w:highlight w:val="none"/>
              </w:rPr>
              <w:t>53-23-5</w:t>
            </w:r>
          </w:p>
        </w:tc>
        <w:tc>
          <w:tcPr>
            <w:tcW w:w="1538" w:type="pct"/>
            <w:tcBorders>
              <w:tl2br w:val="nil"/>
              <w:tr2bl w:val="nil"/>
            </w:tcBorders>
            <w:vAlign w:val="center"/>
          </w:tcPr>
          <w:p w14:paraId="50A0FAAD">
            <w:pPr>
              <w:pStyle w:val="41"/>
              <w:rPr>
                <w:color w:val="auto"/>
                <w:highlight w:val="none"/>
              </w:rPr>
            </w:pPr>
            <w:r>
              <w:rPr>
                <w:color w:val="auto"/>
                <w:highlight w:val="none"/>
              </w:rPr>
              <w:t>2.8</w:t>
            </w:r>
          </w:p>
        </w:tc>
      </w:tr>
      <w:tr w14:paraId="6710C1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660A8FF2">
            <w:pPr>
              <w:pStyle w:val="41"/>
              <w:rPr>
                <w:color w:val="auto"/>
                <w:highlight w:val="none"/>
              </w:rPr>
            </w:pPr>
            <w:r>
              <w:rPr>
                <w:color w:val="auto"/>
                <w:highlight w:val="none"/>
              </w:rPr>
              <w:t>9</w:t>
            </w:r>
          </w:p>
        </w:tc>
        <w:tc>
          <w:tcPr>
            <w:tcW w:w="1541" w:type="pct"/>
            <w:tcBorders>
              <w:tl2br w:val="nil"/>
              <w:tr2bl w:val="nil"/>
            </w:tcBorders>
            <w:vAlign w:val="center"/>
          </w:tcPr>
          <w:p w14:paraId="3E411A6B">
            <w:pPr>
              <w:pStyle w:val="41"/>
              <w:rPr>
                <w:color w:val="auto"/>
                <w:highlight w:val="none"/>
              </w:rPr>
            </w:pPr>
            <w:r>
              <w:rPr>
                <w:color w:val="auto"/>
                <w:highlight w:val="none"/>
              </w:rPr>
              <w:t>氯仿</w:t>
            </w:r>
          </w:p>
        </w:tc>
        <w:tc>
          <w:tcPr>
            <w:tcW w:w="1435" w:type="pct"/>
            <w:tcBorders>
              <w:tl2br w:val="nil"/>
              <w:tr2bl w:val="nil"/>
            </w:tcBorders>
            <w:vAlign w:val="center"/>
          </w:tcPr>
          <w:p w14:paraId="629F5D1A">
            <w:pPr>
              <w:pStyle w:val="41"/>
              <w:rPr>
                <w:color w:val="auto"/>
                <w:highlight w:val="none"/>
              </w:rPr>
            </w:pPr>
            <w:r>
              <w:rPr>
                <w:rFonts w:hint="eastAsia"/>
                <w:color w:val="auto"/>
                <w:highlight w:val="none"/>
              </w:rPr>
              <w:t>67-66-3</w:t>
            </w:r>
          </w:p>
        </w:tc>
        <w:tc>
          <w:tcPr>
            <w:tcW w:w="1538" w:type="pct"/>
            <w:tcBorders>
              <w:tl2br w:val="nil"/>
              <w:tr2bl w:val="nil"/>
            </w:tcBorders>
            <w:vAlign w:val="center"/>
          </w:tcPr>
          <w:p w14:paraId="16C38D4F">
            <w:pPr>
              <w:pStyle w:val="41"/>
              <w:rPr>
                <w:color w:val="auto"/>
                <w:highlight w:val="none"/>
              </w:rPr>
            </w:pPr>
            <w:r>
              <w:rPr>
                <w:color w:val="auto"/>
                <w:highlight w:val="none"/>
              </w:rPr>
              <w:t>0.9</w:t>
            </w:r>
          </w:p>
        </w:tc>
      </w:tr>
      <w:tr w14:paraId="7401F1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08DD29DE">
            <w:pPr>
              <w:pStyle w:val="41"/>
              <w:rPr>
                <w:color w:val="auto"/>
                <w:highlight w:val="none"/>
              </w:rPr>
            </w:pPr>
            <w:r>
              <w:rPr>
                <w:color w:val="auto"/>
                <w:highlight w:val="none"/>
              </w:rPr>
              <w:t>10</w:t>
            </w:r>
          </w:p>
        </w:tc>
        <w:tc>
          <w:tcPr>
            <w:tcW w:w="1541" w:type="pct"/>
            <w:tcBorders>
              <w:tl2br w:val="nil"/>
              <w:tr2bl w:val="nil"/>
            </w:tcBorders>
            <w:vAlign w:val="center"/>
          </w:tcPr>
          <w:p w14:paraId="279BEA9D">
            <w:pPr>
              <w:pStyle w:val="41"/>
              <w:rPr>
                <w:color w:val="auto"/>
                <w:highlight w:val="none"/>
              </w:rPr>
            </w:pPr>
            <w:r>
              <w:rPr>
                <w:color w:val="auto"/>
                <w:highlight w:val="none"/>
              </w:rPr>
              <w:t>氯甲烷</w:t>
            </w:r>
          </w:p>
        </w:tc>
        <w:tc>
          <w:tcPr>
            <w:tcW w:w="1435" w:type="pct"/>
            <w:tcBorders>
              <w:tl2br w:val="nil"/>
              <w:tr2bl w:val="nil"/>
            </w:tcBorders>
            <w:vAlign w:val="center"/>
          </w:tcPr>
          <w:p w14:paraId="23844F05">
            <w:pPr>
              <w:pStyle w:val="41"/>
              <w:rPr>
                <w:color w:val="auto"/>
                <w:highlight w:val="none"/>
              </w:rPr>
            </w:pPr>
            <w:r>
              <w:rPr>
                <w:rFonts w:hint="eastAsia"/>
                <w:color w:val="auto"/>
                <w:highlight w:val="none"/>
              </w:rPr>
              <w:t>74-87-3</w:t>
            </w:r>
          </w:p>
        </w:tc>
        <w:tc>
          <w:tcPr>
            <w:tcW w:w="1538" w:type="pct"/>
            <w:tcBorders>
              <w:tl2br w:val="nil"/>
              <w:tr2bl w:val="nil"/>
            </w:tcBorders>
            <w:vAlign w:val="center"/>
          </w:tcPr>
          <w:p w14:paraId="25D83F52">
            <w:pPr>
              <w:pStyle w:val="41"/>
              <w:rPr>
                <w:color w:val="auto"/>
                <w:highlight w:val="none"/>
              </w:rPr>
            </w:pPr>
            <w:r>
              <w:rPr>
                <w:color w:val="auto"/>
                <w:highlight w:val="none"/>
              </w:rPr>
              <w:t>37</w:t>
            </w:r>
          </w:p>
        </w:tc>
      </w:tr>
      <w:tr w14:paraId="3E61B9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09A3243F">
            <w:pPr>
              <w:pStyle w:val="41"/>
              <w:rPr>
                <w:color w:val="auto"/>
                <w:highlight w:val="none"/>
              </w:rPr>
            </w:pPr>
            <w:r>
              <w:rPr>
                <w:color w:val="auto"/>
                <w:highlight w:val="none"/>
              </w:rPr>
              <w:t>11</w:t>
            </w:r>
          </w:p>
        </w:tc>
        <w:tc>
          <w:tcPr>
            <w:tcW w:w="1541" w:type="pct"/>
            <w:tcBorders>
              <w:tl2br w:val="nil"/>
              <w:tr2bl w:val="nil"/>
            </w:tcBorders>
            <w:vAlign w:val="center"/>
          </w:tcPr>
          <w:p w14:paraId="52B236DD">
            <w:pPr>
              <w:pStyle w:val="41"/>
              <w:rPr>
                <w:color w:val="auto"/>
                <w:highlight w:val="none"/>
              </w:rPr>
            </w:pPr>
            <w:r>
              <w:rPr>
                <w:color w:val="auto"/>
                <w:highlight w:val="none"/>
              </w:rPr>
              <w:t>1</w:t>
            </w:r>
            <w:r>
              <w:rPr>
                <w:rFonts w:hint="eastAsia"/>
                <w:color w:val="auto"/>
                <w:highlight w:val="none"/>
              </w:rPr>
              <w:t>,</w:t>
            </w:r>
            <w:r>
              <w:rPr>
                <w:color w:val="auto"/>
                <w:highlight w:val="none"/>
              </w:rPr>
              <w:t>1-二氯乙烷</w:t>
            </w:r>
          </w:p>
        </w:tc>
        <w:tc>
          <w:tcPr>
            <w:tcW w:w="1435" w:type="pct"/>
            <w:tcBorders>
              <w:tl2br w:val="nil"/>
              <w:tr2bl w:val="nil"/>
            </w:tcBorders>
            <w:vAlign w:val="center"/>
          </w:tcPr>
          <w:p w14:paraId="19EF9C0C">
            <w:pPr>
              <w:pStyle w:val="41"/>
              <w:rPr>
                <w:color w:val="auto"/>
                <w:highlight w:val="none"/>
              </w:rPr>
            </w:pPr>
            <w:r>
              <w:rPr>
                <w:rFonts w:hint="eastAsia"/>
                <w:color w:val="auto"/>
                <w:highlight w:val="none"/>
              </w:rPr>
              <w:t>74-34-3</w:t>
            </w:r>
          </w:p>
        </w:tc>
        <w:tc>
          <w:tcPr>
            <w:tcW w:w="1538" w:type="pct"/>
            <w:tcBorders>
              <w:tl2br w:val="nil"/>
              <w:tr2bl w:val="nil"/>
            </w:tcBorders>
            <w:vAlign w:val="center"/>
          </w:tcPr>
          <w:p w14:paraId="18423115">
            <w:pPr>
              <w:pStyle w:val="41"/>
              <w:rPr>
                <w:color w:val="auto"/>
                <w:highlight w:val="none"/>
              </w:rPr>
            </w:pPr>
            <w:r>
              <w:rPr>
                <w:color w:val="auto"/>
                <w:highlight w:val="none"/>
              </w:rPr>
              <w:t>9</w:t>
            </w:r>
          </w:p>
        </w:tc>
      </w:tr>
      <w:tr w14:paraId="43C1BA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4610EA3E">
            <w:pPr>
              <w:pStyle w:val="41"/>
              <w:rPr>
                <w:color w:val="auto"/>
                <w:highlight w:val="none"/>
              </w:rPr>
            </w:pPr>
            <w:r>
              <w:rPr>
                <w:color w:val="auto"/>
                <w:highlight w:val="none"/>
              </w:rPr>
              <w:t>12</w:t>
            </w:r>
          </w:p>
        </w:tc>
        <w:tc>
          <w:tcPr>
            <w:tcW w:w="1541" w:type="pct"/>
            <w:tcBorders>
              <w:tl2br w:val="nil"/>
              <w:tr2bl w:val="nil"/>
            </w:tcBorders>
            <w:vAlign w:val="center"/>
          </w:tcPr>
          <w:p w14:paraId="11F734FA">
            <w:pPr>
              <w:pStyle w:val="41"/>
              <w:rPr>
                <w:color w:val="auto"/>
                <w:highlight w:val="none"/>
              </w:rPr>
            </w:pPr>
            <w:r>
              <w:rPr>
                <w:color w:val="auto"/>
                <w:highlight w:val="none"/>
              </w:rPr>
              <w:t>1</w:t>
            </w:r>
            <w:r>
              <w:rPr>
                <w:rFonts w:hint="eastAsia"/>
                <w:color w:val="auto"/>
                <w:highlight w:val="none"/>
              </w:rPr>
              <w:t>,</w:t>
            </w:r>
            <w:r>
              <w:rPr>
                <w:color w:val="auto"/>
                <w:highlight w:val="none"/>
              </w:rPr>
              <w:t>2-二氯乙烷</w:t>
            </w:r>
          </w:p>
        </w:tc>
        <w:tc>
          <w:tcPr>
            <w:tcW w:w="1435" w:type="pct"/>
            <w:tcBorders>
              <w:tl2br w:val="nil"/>
              <w:tr2bl w:val="nil"/>
            </w:tcBorders>
            <w:vAlign w:val="center"/>
          </w:tcPr>
          <w:p w14:paraId="53B8163D">
            <w:pPr>
              <w:pStyle w:val="41"/>
              <w:rPr>
                <w:color w:val="auto"/>
                <w:highlight w:val="none"/>
              </w:rPr>
            </w:pPr>
            <w:r>
              <w:rPr>
                <w:rFonts w:hint="eastAsia"/>
                <w:color w:val="auto"/>
                <w:highlight w:val="none"/>
              </w:rPr>
              <w:t>107-06-2</w:t>
            </w:r>
          </w:p>
        </w:tc>
        <w:tc>
          <w:tcPr>
            <w:tcW w:w="1538" w:type="pct"/>
            <w:tcBorders>
              <w:tl2br w:val="nil"/>
              <w:tr2bl w:val="nil"/>
            </w:tcBorders>
            <w:vAlign w:val="center"/>
          </w:tcPr>
          <w:p w14:paraId="5839FD92">
            <w:pPr>
              <w:pStyle w:val="41"/>
              <w:rPr>
                <w:color w:val="auto"/>
                <w:highlight w:val="none"/>
              </w:rPr>
            </w:pPr>
            <w:r>
              <w:rPr>
                <w:color w:val="auto"/>
                <w:highlight w:val="none"/>
              </w:rPr>
              <w:t>5</w:t>
            </w:r>
          </w:p>
        </w:tc>
      </w:tr>
      <w:tr w14:paraId="5936D1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7A2E1893">
            <w:pPr>
              <w:pStyle w:val="41"/>
              <w:rPr>
                <w:color w:val="auto"/>
                <w:highlight w:val="none"/>
              </w:rPr>
            </w:pPr>
            <w:r>
              <w:rPr>
                <w:color w:val="auto"/>
                <w:highlight w:val="none"/>
              </w:rPr>
              <w:t>13</w:t>
            </w:r>
          </w:p>
        </w:tc>
        <w:tc>
          <w:tcPr>
            <w:tcW w:w="1541" w:type="pct"/>
            <w:tcBorders>
              <w:tl2br w:val="nil"/>
              <w:tr2bl w:val="nil"/>
            </w:tcBorders>
            <w:vAlign w:val="center"/>
          </w:tcPr>
          <w:p w14:paraId="5571BBDB">
            <w:pPr>
              <w:pStyle w:val="41"/>
              <w:rPr>
                <w:color w:val="auto"/>
                <w:highlight w:val="none"/>
              </w:rPr>
            </w:pPr>
            <w:r>
              <w:rPr>
                <w:color w:val="auto"/>
                <w:highlight w:val="none"/>
              </w:rPr>
              <w:t>1</w:t>
            </w:r>
            <w:r>
              <w:rPr>
                <w:rFonts w:hint="eastAsia"/>
                <w:color w:val="auto"/>
                <w:highlight w:val="none"/>
              </w:rPr>
              <w:t>,</w:t>
            </w:r>
            <w:r>
              <w:rPr>
                <w:color w:val="auto"/>
                <w:highlight w:val="none"/>
              </w:rPr>
              <w:t>1-二氯乙烯</w:t>
            </w:r>
          </w:p>
        </w:tc>
        <w:tc>
          <w:tcPr>
            <w:tcW w:w="1435" w:type="pct"/>
            <w:tcBorders>
              <w:tl2br w:val="nil"/>
              <w:tr2bl w:val="nil"/>
            </w:tcBorders>
            <w:vAlign w:val="center"/>
          </w:tcPr>
          <w:p w14:paraId="0740B587">
            <w:pPr>
              <w:pStyle w:val="41"/>
              <w:rPr>
                <w:color w:val="auto"/>
                <w:highlight w:val="none"/>
              </w:rPr>
            </w:pPr>
            <w:r>
              <w:rPr>
                <w:rFonts w:hint="eastAsia"/>
                <w:color w:val="auto"/>
                <w:highlight w:val="none"/>
              </w:rPr>
              <w:t>75-35-4</w:t>
            </w:r>
          </w:p>
        </w:tc>
        <w:tc>
          <w:tcPr>
            <w:tcW w:w="1538" w:type="pct"/>
            <w:tcBorders>
              <w:tl2br w:val="nil"/>
              <w:tr2bl w:val="nil"/>
            </w:tcBorders>
            <w:vAlign w:val="center"/>
          </w:tcPr>
          <w:p w14:paraId="58809DE9">
            <w:pPr>
              <w:pStyle w:val="41"/>
              <w:rPr>
                <w:color w:val="auto"/>
                <w:highlight w:val="none"/>
              </w:rPr>
            </w:pPr>
            <w:r>
              <w:rPr>
                <w:color w:val="auto"/>
                <w:highlight w:val="none"/>
              </w:rPr>
              <w:t>66</w:t>
            </w:r>
          </w:p>
        </w:tc>
      </w:tr>
      <w:tr w14:paraId="0F0CD7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270B58FF">
            <w:pPr>
              <w:pStyle w:val="41"/>
              <w:rPr>
                <w:color w:val="auto"/>
                <w:highlight w:val="none"/>
              </w:rPr>
            </w:pPr>
            <w:r>
              <w:rPr>
                <w:color w:val="auto"/>
                <w:highlight w:val="none"/>
              </w:rPr>
              <w:t>14</w:t>
            </w:r>
          </w:p>
        </w:tc>
        <w:tc>
          <w:tcPr>
            <w:tcW w:w="1541" w:type="pct"/>
            <w:tcBorders>
              <w:tl2br w:val="nil"/>
              <w:tr2bl w:val="nil"/>
            </w:tcBorders>
            <w:vAlign w:val="center"/>
          </w:tcPr>
          <w:p w14:paraId="7961F18B">
            <w:pPr>
              <w:pStyle w:val="41"/>
              <w:rPr>
                <w:color w:val="auto"/>
                <w:highlight w:val="none"/>
              </w:rPr>
            </w:pPr>
            <w:r>
              <w:rPr>
                <w:color w:val="auto"/>
                <w:highlight w:val="none"/>
              </w:rPr>
              <w:t>顺-1</w:t>
            </w:r>
            <w:r>
              <w:rPr>
                <w:rFonts w:hint="eastAsia"/>
                <w:color w:val="auto"/>
                <w:highlight w:val="none"/>
              </w:rPr>
              <w:t>,</w:t>
            </w:r>
            <w:r>
              <w:rPr>
                <w:color w:val="auto"/>
                <w:highlight w:val="none"/>
              </w:rPr>
              <w:t>2-二氯乙烯</w:t>
            </w:r>
          </w:p>
        </w:tc>
        <w:tc>
          <w:tcPr>
            <w:tcW w:w="1435" w:type="pct"/>
            <w:tcBorders>
              <w:tl2br w:val="nil"/>
              <w:tr2bl w:val="nil"/>
            </w:tcBorders>
            <w:vAlign w:val="center"/>
          </w:tcPr>
          <w:p w14:paraId="3D7C6991">
            <w:pPr>
              <w:pStyle w:val="41"/>
              <w:rPr>
                <w:color w:val="auto"/>
                <w:highlight w:val="none"/>
              </w:rPr>
            </w:pPr>
            <w:r>
              <w:rPr>
                <w:rFonts w:hint="eastAsia"/>
                <w:color w:val="auto"/>
                <w:highlight w:val="none"/>
              </w:rPr>
              <w:t>156-59-2</w:t>
            </w:r>
          </w:p>
        </w:tc>
        <w:tc>
          <w:tcPr>
            <w:tcW w:w="1538" w:type="pct"/>
            <w:tcBorders>
              <w:tl2br w:val="nil"/>
              <w:tr2bl w:val="nil"/>
            </w:tcBorders>
            <w:vAlign w:val="center"/>
          </w:tcPr>
          <w:p w14:paraId="68EAB41E">
            <w:pPr>
              <w:pStyle w:val="41"/>
              <w:rPr>
                <w:color w:val="auto"/>
                <w:highlight w:val="none"/>
              </w:rPr>
            </w:pPr>
            <w:r>
              <w:rPr>
                <w:color w:val="auto"/>
                <w:highlight w:val="none"/>
              </w:rPr>
              <w:t>596</w:t>
            </w:r>
          </w:p>
        </w:tc>
      </w:tr>
      <w:tr w14:paraId="153B3A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7AC4E162">
            <w:pPr>
              <w:pStyle w:val="41"/>
              <w:rPr>
                <w:color w:val="auto"/>
                <w:highlight w:val="none"/>
              </w:rPr>
            </w:pPr>
            <w:r>
              <w:rPr>
                <w:color w:val="auto"/>
                <w:highlight w:val="none"/>
              </w:rPr>
              <w:t>15</w:t>
            </w:r>
          </w:p>
        </w:tc>
        <w:tc>
          <w:tcPr>
            <w:tcW w:w="1541" w:type="pct"/>
            <w:tcBorders>
              <w:tl2br w:val="nil"/>
              <w:tr2bl w:val="nil"/>
            </w:tcBorders>
            <w:vAlign w:val="center"/>
          </w:tcPr>
          <w:p w14:paraId="6E076C94">
            <w:pPr>
              <w:pStyle w:val="41"/>
              <w:rPr>
                <w:color w:val="auto"/>
                <w:highlight w:val="none"/>
              </w:rPr>
            </w:pPr>
            <w:r>
              <w:rPr>
                <w:color w:val="auto"/>
                <w:highlight w:val="none"/>
              </w:rPr>
              <w:t>反-1</w:t>
            </w:r>
            <w:r>
              <w:rPr>
                <w:rFonts w:hint="eastAsia"/>
                <w:color w:val="auto"/>
                <w:highlight w:val="none"/>
              </w:rPr>
              <w:t>,</w:t>
            </w:r>
            <w:r>
              <w:rPr>
                <w:color w:val="auto"/>
                <w:highlight w:val="none"/>
              </w:rPr>
              <w:t>2-二氯乙烯</w:t>
            </w:r>
          </w:p>
        </w:tc>
        <w:tc>
          <w:tcPr>
            <w:tcW w:w="1435" w:type="pct"/>
            <w:tcBorders>
              <w:tl2br w:val="nil"/>
              <w:tr2bl w:val="nil"/>
            </w:tcBorders>
            <w:vAlign w:val="center"/>
          </w:tcPr>
          <w:p w14:paraId="2DDD4CE6">
            <w:pPr>
              <w:pStyle w:val="41"/>
              <w:rPr>
                <w:color w:val="auto"/>
                <w:highlight w:val="none"/>
              </w:rPr>
            </w:pPr>
            <w:r>
              <w:rPr>
                <w:rFonts w:hint="eastAsia"/>
                <w:color w:val="auto"/>
                <w:highlight w:val="none"/>
              </w:rPr>
              <w:t>156-60-5</w:t>
            </w:r>
          </w:p>
        </w:tc>
        <w:tc>
          <w:tcPr>
            <w:tcW w:w="1538" w:type="pct"/>
            <w:tcBorders>
              <w:tl2br w:val="nil"/>
              <w:tr2bl w:val="nil"/>
            </w:tcBorders>
            <w:vAlign w:val="center"/>
          </w:tcPr>
          <w:p w14:paraId="1DDBD305">
            <w:pPr>
              <w:pStyle w:val="41"/>
              <w:rPr>
                <w:color w:val="auto"/>
                <w:highlight w:val="none"/>
              </w:rPr>
            </w:pPr>
            <w:r>
              <w:rPr>
                <w:color w:val="auto"/>
                <w:highlight w:val="none"/>
              </w:rPr>
              <w:t>54</w:t>
            </w:r>
          </w:p>
        </w:tc>
      </w:tr>
      <w:tr w14:paraId="5C2010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1C4EE8AA">
            <w:pPr>
              <w:pStyle w:val="41"/>
              <w:rPr>
                <w:color w:val="auto"/>
                <w:highlight w:val="none"/>
              </w:rPr>
            </w:pPr>
            <w:r>
              <w:rPr>
                <w:color w:val="auto"/>
                <w:highlight w:val="none"/>
              </w:rPr>
              <w:t>16</w:t>
            </w:r>
          </w:p>
        </w:tc>
        <w:tc>
          <w:tcPr>
            <w:tcW w:w="1541" w:type="pct"/>
            <w:tcBorders>
              <w:tl2br w:val="nil"/>
              <w:tr2bl w:val="nil"/>
            </w:tcBorders>
            <w:vAlign w:val="center"/>
          </w:tcPr>
          <w:p w14:paraId="1A407F34">
            <w:pPr>
              <w:pStyle w:val="41"/>
              <w:rPr>
                <w:color w:val="auto"/>
                <w:highlight w:val="none"/>
              </w:rPr>
            </w:pPr>
            <w:r>
              <w:rPr>
                <w:color w:val="auto"/>
                <w:highlight w:val="none"/>
              </w:rPr>
              <w:t>二氯甲烷</w:t>
            </w:r>
          </w:p>
        </w:tc>
        <w:tc>
          <w:tcPr>
            <w:tcW w:w="1435" w:type="pct"/>
            <w:tcBorders>
              <w:tl2br w:val="nil"/>
              <w:tr2bl w:val="nil"/>
            </w:tcBorders>
            <w:vAlign w:val="center"/>
          </w:tcPr>
          <w:p w14:paraId="375C9F45">
            <w:pPr>
              <w:pStyle w:val="41"/>
              <w:rPr>
                <w:color w:val="auto"/>
                <w:highlight w:val="none"/>
              </w:rPr>
            </w:pPr>
            <w:r>
              <w:rPr>
                <w:rFonts w:hint="eastAsia"/>
                <w:color w:val="auto"/>
                <w:highlight w:val="none"/>
              </w:rPr>
              <w:t>75-09-2</w:t>
            </w:r>
          </w:p>
        </w:tc>
        <w:tc>
          <w:tcPr>
            <w:tcW w:w="1538" w:type="pct"/>
            <w:tcBorders>
              <w:tl2br w:val="nil"/>
              <w:tr2bl w:val="nil"/>
            </w:tcBorders>
            <w:vAlign w:val="center"/>
          </w:tcPr>
          <w:p w14:paraId="7756E870">
            <w:pPr>
              <w:pStyle w:val="41"/>
              <w:rPr>
                <w:color w:val="auto"/>
                <w:highlight w:val="none"/>
              </w:rPr>
            </w:pPr>
            <w:r>
              <w:rPr>
                <w:color w:val="auto"/>
                <w:highlight w:val="none"/>
              </w:rPr>
              <w:t>616</w:t>
            </w:r>
          </w:p>
        </w:tc>
      </w:tr>
      <w:tr w14:paraId="083F59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552F0CD5">
            <w:pPr>
              <w:pStyle w:val="41"/>
              <w:rPr>
                <w:color w:val="auto"/>
                <w:highlight w:val="none"/>
              </w:rPr>
            </w:pPr>
            <w:r>
              <w:rPr>
                <w:color w:val="auto"/>
                <w:highlight w:val="none"/>
              </w:rPr>
              <w:t>17</w:t>
            </w:r>
          </w:p>
        </w:tc>
        <w:tc>
          <w:tcPr>
            <w:tcW w:w="1541" w:type="pct"/>
            <w:tcBorders>
              <w:tl2br w:val="nil"/>
              <w:tr2bl w:val="nil"/>
            </w:tcBorders>
            <w:vAlign w:val="center"/>
          </w:tcPr>
          <w:p w14:paraId="090C2FFC">
            <w:pPr>
              <w:pStyle w:val="41"/>
              <w:rPr>
                <w:color w:val="auto"/>
                <w:highlight w:val="none"/>
              </w:rPr>
            </w:pPr>
            <w:r>
              <w:rPr>
                <w:color w:val="auto"/>
                <w:highlight w:val="none"/>
              </w:rPr>
              <w:t>1</w:t>
            </w:r>
            <w:r>
              <w:rPr>
                <w:rFonts w:hint="eastAsia"/>
                <w:color w:val="auto"/>
                <w:highlight w:val="none"/>
              </w:rPr>
              <w:t>,</w:t>
            </w:r>
            <w:r>
              <w:rPr>
                <w:color w:val="auto"/>
                <w:highlight w:val="none"/>
              </w:rPr>
              <w:t>2-二氯丙烷</w:t>
            </w:r>
          </w:p>
        </w:tc>
        <w:tc>
          <w:tcPr>
            <w:tcW w:w="1435" w:type="pct"/>
            <w:tcBorders>
              <w:tl2br w:val="nil"/>
              <w:tr2bl w:val="nil"/>
            </w:tcBorders>
            <w:vAlign w:val="center"/>
          </w:tcPr>
          <w:p w14:paraId="3399798A">
            <w:pPr>
              <w:pStyle w:val="41"/>
              <w:rPr>
                <w:color w:val="auto"/>
                <w:highlight w:val="none"/>
              </w:rPr>
            </w:pPr>
            <w:r>
              <w:rPr>
                <w:rFonts w:hint="eastAsia"/>
                <w:color w:val="auto"/>
                <w:highlight w:val="none"/>
              </w:rPr>
              <w:t>78-87-5</w:t>
            </w:r>
          </w:p>
        </w:tc>
        <w:tc>
          <w:tcPr>
            <w:tcW w:w="1538" w:type="pct"/>
            <w:tcBorders>
              <w:tl2br w:val="nil"/>
              <w:tr2bl w:val="nil"/>
            </w:tcBorders>
            <w:vAlign w:val="center"/>
          </w:tcPr>
          <w:p w14:paraId="21D8764E">
            <w:pPr>
              <w:pStyle w:val="41"/>
              <w:rPr>
                <w:color w:val="auto"/>
                <w:highlight w:val="none"/>
              </w:rPr>
            </w:pPr>
            <w:r>
              <w:rPr>
                <w:color w:val="auto"/>
                <w:highlight w:val="none"/>
              </w:rPr>
              <w:t>5</w:t>
            </w:r>
          </w:p>
        </w:tc>
      </w:tr>
      <w:tr w14:paraId="7060FA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015EB11D">
            <w:pPr>
              <w:pStyle w:val="41"/>
              <w:rPr>
                <w:color w:val="auto"/>
                <w:highlight w:val="none"/>
              </w:rPr>
            </w:pPr>
            <w:r>
              <w:rPr>
                <w:color w:val="auto"/>
                <w:highlight w:val="none"/>
              </w:rPr>
              <w:t>18</w:t>
            </w:r>
          </w:p>
        </w:tc>
        <w:tc>
          <w:tcPr>
            <w:tcW w:w="1541" w:type="pct"/>
            <w:tcBorders>
              <w:tl2br w:val="nil"/>
              <w:tr2bl w:val="nil"/>
            </w:tcBorders>
            <w:vAlign w:val="center"/>
          </w:tcPr>
          <w:p w14:paraId="28BD526B">
            <w:pPr>
              <w:pStyle w:val="41"/>
              <w:rPr>
                <w:color w:val="auto"/>
                <w:highlight w:val="none"/>
              </w:rPr>
            </w:pPr>
            <w:r>
              <w:rPr>
                <w:color w:val="auto"/>
                <w:highlight w:val="none"/>
              </w:rPr>
              <w:t>1</w:t>
            </w:r>
            <w:r>
              <w:rPr>
                <w:rFonts w:hint="eastAsia"/>
                <w:color w:val="auto"/>
                <w:highlight w:val="none"/>
              </w:rPr>
              <w:t>,</w:t>
            </w:r>
            <w:r>
              <w:rPr>
                <w:color w:val="auto"/>
                <w:highlight w:val="none"/>
              </w:rPr>
              <w:t>1</w:t>
            </w:r>
            <w:r>
              <w:rPr>
                <w:rFonts w:hint="eastAsia"/>
                <w:color w:val="auto"/>
                <w:highlight w:val="none"/>
              </w:rPr>
              <w:t>,</w:t>
            </w:r>
            <w:r>
              <w:rPr>
                <w:color w:val="auto"/>
                <w:highlight w:val="none"/>
              </w:rPr>
              <w:t>1</w:t>
            </w:r>
            <w:r>
              <w:rPr>
                <w:rFonts w:hint="eastAsia"/>
                <w:color w:val="auto"/>
                <w:highlight w:val="none"/>
              </w:rPr>
              <w:t>,</w:t>
            </w:r>
            <w:r>
              <w:rPr>
                <w:color w:val="auto"/>
                <w:highlight w:val="none"/>
              </w:rPr>
              <w:t>2-四氯乙烷</w:t>
            </w:r>
          </w:p>
        </w:tc>
        <w:tc>
          <w:tcPr>
            <w:tcW w:w="1435" w:type="pct"/>
            <w:tcBorders>
              <w:tl2br w:val="nil"/>
              <w:tr2bl w:val="nil"/>
            </w:tcBorders>
            <w:vAlign w:val="center"/>
          </w:tcPr>
          <w:p w14:paraId="020FA526">
            <w:pPr>
              <w:pStyle w:val="41"/>
              <w:rPr>
                <w:color w:val="auto"/>
                <w:highlight w:val="none"/>
              </w:rPr>
            </w:pPr>
            <w:r>
              <w:rPr>
                <w:rFonts w:hint="eastAsia"/>
                <w:color w:val="auto"/>
                <w:highlight w:val="none"/>
              </w:rPr>
              <w:t>630-20-6</w:t>
            </w:r>
          </w:p>
        </w:tc>
        <w:tc>
          <w:tcPr>
            <w:tcW w:w="1538" w:type="pct"/>
            <w:tcBorders>
              <w:tl2br w:val="nil"/>
              <w:tr2bl w:val="nil"/>
            </w:tcBorders>
            <w:vAlign w:val="center"/>
          </w:tcPr>
          <w:p w14:paraId="2D3F4C5B">
            <w:pPr>
              <w:pStyle w:val="41"/>
              <w:rPr>
                <w:color w:val="auto"/>
                <w:highlight w:val="none"/>
              </w:rPr>
            </w:pPr>
            <w:r>
              <w:rPr>
                <w:color w:val="auto"/>
                <w:highlight w:val="none"/>
              </w:rPr>
              <w:t>10</w:t>
            </w:r>
          </w:p>
        </w:tc>
      </w:tr>
      <w:tr w14:paraId="40CFEF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5388BBE5">
            <w:pPr>
              <w:pStyle w:val="41"/>
              <w:rPr>
                <w:color w:val="auto"/>
                <w:highlight w:val="none"/>
              </w:rPr>
            </w:pPr>
            <w:r>
              <w:rPr>
                <w:color w:val="auto"/>
                <w:highlight w:val="none"/>
              </w:rPr>
              <w:t>19</w:t>
            </w:r>
          </w:p>
        </w:tc>
        <w:tc>
          <w:tcPr>
            <w:tcW w:w="1541" w:type="pct"/>
            <w:tcBorders>
              <w:tl2br w:val="nil"/>
              <w:tr2bl w:val="nil"/>
            </w:tcBorders>
            <w:vAlign w:val="center"/>
          </w:tcPr>
          <w:p w14:paraId="3F9D207A">
            <w:pPr>
              <w:pStyle w:val="41"/>
              <w:rPr>
                <w:color w:val="auto"/>
                <w:highlight w:val="none"/>
              </w:rPr>
            </w:pPr>
            <w:r>
              <w:rPr>
                <w:color w:val="auto"/>
                <w:highlight w:val="none"/>
              </w:rPr>
              <w:t>1</w:t>
            </w:r>
            <w:r>
              <w:rPr>
                <w:rFonts w:hint="eastAsia"/>
                <w:color w:val="auto"/>
                <w:highlight w:val="none"/>
              </w:rPr>
              <w:t>,</w:t>
            </w:r>
            <w:r>
              <w:rPr>
                <w:color w:val="auto"/>
                <w:highlight w:val="none"/>
              </w:rPr>
              <w:t>1</w:t>
            </w:r>
            <w:r>
              <w:rPr>
                <w:rFonts w:hint="eastAsia"/>
                <w:color w:val="auto"/>
                <w:highlight w:val="none"/>
              </w:rPr>
              <w:t>,</w:t>
            </w:r>
            <w:r>
              <w:rPr>
                <w:color w:val="auto"/>
                <w:highlight w:val="none"/>
              </w:rPr>
              <w:t>2</w:t>
            </w:r>
            <w:r>
              <w:rPr>
                <w:rFonts w:hint="eastAsia"/>
                <w:color w:val="auto"/>
                <w:highlight w:val="none"/>
              </w:rPr>
              <w:t>,</w:t>
            </w:r>
            <w:r>
              <w:rPr>
                <w:color w:val="auto"/>
                <w:highlight w:val="none"/>
              </w:rPr>
              <w:t>2-四氯乙烷</w:t>
            </w:r>
          </w:p>
        </w:tc>
        <w:tc>
          <w:tcPr>
            <w:tcW w:w="1435" w:type="pct"/>
            <w:tcBorders>
              <w:tl2br w:val="nil"/>
              <w:tr2bl w:val="nil"/>
            </w:tcBorders>
            <w:vAlign w:val="center"/>
          </w:tcPr>
          <w:p w14:paraId="09F3AB76">
            <w:pPr>
              <w:pStyle w:val="41"/>
              <w:rPr>
                <w:color w:val="auto"/>
                <w:highlight w:val="none"/>
              </w:rPr>
            </w:pPr>
            <w:r>
              <w:rPr>
                <w:rFonts w:hint="eastAsia"/>
                <w:color w:val="auto"/>
                <w:highlight w:val="none"/>
              </w:rPr>
              <w:t>79-34-5</w:t>
            </w:r>
          </w:p>
        </w:tc>
        <w:tc>
          <w:tcPr>
            <w:tcW w:w="1538" w:type="pct"/>
            <w:tcBorders>
              <w:tl2br w:val="nil"/>
              <w:tr2bl w:val="nil"/>
            </w:tcBorders>
            <w:vAlign w:val="center"/>
          </w:tcPr>
          <w:p w14:paraId="640577C0">
            <w:pPr>
              <w:pStyle w:val="41"/>
              <w:rPr>
                <w:color w:val="auto"/>
                <w:highlight w:val="none"/>
              </w:rPr>
            </w:pPr>
            <w:r>
              <w:rPr>
                <w:color w:val="auto"/>
                <w:highlight w:val="none"/>
              </w:rPr>
              <w:t>6.8</w:t>
            </w:r>
          </w:p>
        </w:tc>
      </w:tr>
      <w:tr w14:paraId="31CC16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041820F7">
            <w:pPr>
              <w:pStyle w:val="41"/>
              <w:rPr>
                <w:color w:val="auto"/>
                <w:highlight w:val="none"/>
              </w:rPr>
            </w:pPr>
            <w:r>
              <w:rPr>
                <w:color w:val="auto"/>
                <w:highlight w:val="none"/>
              </w:rPr>
              <w:t>20</w:t>
            </w:r>
          </w:p>
        </w:tc>
        <w:tc>
          <w:tcPr>
            <w:tcW w:w="1541" w:type="pct"/>
            <w:tcBorders>
              <w:tl2br w:val="nil"/>
              <w:tr2bl w:val="nil"/>
            </w:tcBorders>
            <w:vAlign w:val="center"/>
          </w:tcPr>
          <w:p w14:paraId="2CB5685E">
            <w:pPr>
              <w:pStyle w:val="41"/>
              <w:rPr>
                <w:color w:val="auto"/>
                <w:highlight w:val="none"/>
              </w:rPr>
            </w:pPr>
            <w:r>
              <w:rPr>
                <w:color w:val="auto"/>
                <w:highlight w:val="none"/>
              </w:rPr>
              <w:t>四氯乙烯</w:t>
            </w:r>
          </w:p>
        </w:tc>
        <w:tc>
          <w:tcPr>
            <w:tcW w:w="1435" w:type="pct"/>
            <w:tcBorders>
              <w:tl2br w:val="nil"/>
              <w:tr2bl w:val="nil"/>
            </w:tcBorders>
            <w:vAlign w:val="center"/>
          </w:tcPr>
          <w:p w14:paraId="4671A04F">
            <w:pPr>
              <w:pStyle w:val="41"/>
              <w:rPr>
                <w:color w:val="auto"/>
                <w:highlight w:val="none"/>
              </w:rPr>
            </w:pPr>
            <w:r>
              <w:rPr>
                <w:rFonts w:hint="eastAsia"/>
                <w:color w:val="auto"/>
                <w:highlight w:val="none"/>
              </w:rPr>
              <w:t>127-18-4</w:t>
            </w:r>
          </w:p>
        </w:tc>
        <w:tc>
          <w:tcPr>
            <w:tcW w:w="1538" w:type="pct"/>
            <w:tcBorders>
              <w:tl2br w:val="nil"/>
              <w:tr2bl w:val="nil"/>
            </w:tcBorders>
            <w:vAlign w:val="center"/>
          </w:tcPr>
          <w:p w14:paraId="101FDF74">
            <w:pPr>
              <w:pStyle w:val="41"/>
              <w:rPr>
                <w:color w:val="auto"/>
                <w:highlight w:val="none"/>
              </w:rPr>
            </w:pPr>
            <w:r>
              <w:rPr>
                <w:color w:val="auto"/>
                <w:highlight w:val="none"/>
              </w:rPr>
              <w:t>53</w:t>
            </w:r>
          </w:p>
        </w:tc>
      </w:tr>
      <w:tr w14:paraId="037B2E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7D777B77">
            <w:pPr>
              <w:pStyle w:val="41"/>
              <w:rPr>
                <w:color w:val="auto"/>
                <w:highlight w:val="none"/>
              </w:rPr>
            </w:pPr>
            <w:r>
              <w:rPr>
                <w:color w:val="auto"/>
                <w:highlight w:val="none"/>
              </w:rPr>
              <w:t>21</w:t>
            </w:r>
          </w:p>
        </w:tc>
        <w:tc>
          <w:tcPr>
            <w:tcW w:w="1541" w:type="pct"/>
            <w:tcBorders>
              <w:tl2br w:val="nil"/>
              <w:tr2bl w:val="nil"/>
            </w:tcBorders>
            <w:vAlign w:val="center"/>
          </w:tcPr>
          <w:p w14:paraId="6BC876A5">
            <w:pPr>
              <w:pStyle w:val="41"/>
              <w:rPr>
                <w:color w:val="auto"/>
                <w:highlight w:val="none"/>
              </w:rPr>
            </w:pPr>
            <w:r>
              <w:rPr>
                <w:color w:val="auto"/>
                <w:highlight w:val="none"/>
              </w:rPr>
              <w:t>1</w:t>
            </w:r>
            <w:r>
              <w:rPr>
                <w:rFonts w:hint="eastAsia"/>
                <w:color w:val="auto"/>
                <w:highlight w:val="none"/>
              </w:rPr>
              <w:t>,</w:t>
            </w:r>
            <w:r>
              <w:rPr>
                <w:color w:val="auto"/>
                <w:highlight w:val="none"/>
              </w:rPr>
              <w:t>1</w:t>
            </w:r>
            <w:r>
              <w:rPr>
                <w:rFonts w:hint="eastAsia"/>
                <w:color w:val="auto"/>
                <w:highlight w:val="none"/>
              </w:rPr>
              <w:t>,</w:t>
            </w:r>
            <w:r>
              <w:rPr>
                <w:color w:val="auto"/>
                <w:highlight w:val="none"/>
              </w:rPr>
              <w:t>1-三氯乙烷</w:t>
            </w:r>
          </w:p>
        </w:tc>
        <w:tc>
          <w:tcPr>
            <w:tcW w:w="1435" w:type="pct"/>
            <w:tcBorders>
              <w:tl2br w:val="nil"/>
              <w:tr2bl w:val="nil"/>
            </w:tcBorders>
            <w:vAlign w:val="center"/>
          </w:tcPr>
          <w:p w14:paraId="047C7FDF">
            <w:pPr>
              <w:pStyle w:val="41"/>
              <w:rPr>
                <w:color w:val="auto"/>
                <w:highlight w:val="none"/>
              </w:rPr>
            </w:pPr>
            <w:r>
              <w:rPr>
                <w:rFonts w:hint="eastAsia"/>
                <w:color w:val="auto"/>
                <w:highlight w:val="none"/>
              </w:rPr>
              <w:t>71-55-6</w:t>
            </w:r>
          </w:p>
        </w:tc>
        <w:tc>
          <w:tcPr>
            <w:tcW w:w="1538" w:type="pct"/>
            <w:tcBorders>
              <w:tl2br w:val="nil"/>
              <w:tr2bl w:val="nil"/>
            </w:tcBorders>
            <w:vAlign w:val="center"/>
          </w:tcPr>
          <w:p w14:paraId="37423F17">
            <w:pPr>
              <w:pStyle w:val="41"/>
              <w:rPr>
                <w:color w:val="auto"/>
                <w:highlight w:val="none"/>
              </w:rPr>
            </w:pPr>
            <w:r>
              <w:rPr>
                <w:color w:val="auto"/>
                <w:highlight w:val="none"/>
              </w:rPr>
              <w:t>840</w:t>
            </w:r>
          </w:p>
        </w:tc>
      </w:tr>
      <w:tr w14:paraId="25D9F8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27A90485">
            <w:pPr>
              <w:pStyle w:val="41"/>
              <w:rPr>
                <w:color w:val="auto"/>
                <w:highlight w:val="none"/>
              </w:rPr>
            </w:pPr>
            <w:r>
              <w:rPr>
                <w:color w:val="auto"/>
                <w:highlight w:val="none"/>
              </w:rPr>
              <w:t>22</w:t>
            </w:r>
          </w:p>
        </w:tc>
        <w:tc>
          <w:tcPr>
            <w:tcW w:w="1541" w:type="pct"/>
            <w:tcBorders>
              <w:tl2br w:val="nil"/>
              <w:tr2bl w:val="nil"/>
            </w:tcBorders>
            <w:vAlign w:val="center"/>
          </w:tcPr>
          <w:p w14:paraId="1A1F248E">
            <w:pPr>
              <w:pStyle w:val="41"/>
              <w:rPr>
                <w:color w:val="auto"/>
                <w:highlight w:val="none"/>
              </w:rPr>
            </w:pPr>
            <w:r>
              <w:rPr>
                <w:color w:val="auto"/>
                <w:highlight w:val="none"/>
              </w:rPr>
              <w:t>1</w:t>
            </w:r>
            <w:r>
              <w:rPr>
                <w:rFonts w:hint="eastAsia"/>
                <w:color w:val="auto"/>
                <w:highlight w:val="none"/>
              </w:rPr>
              <w:t>,</w:t>
            </w:r>
            <w:r>
              <w:rPr>
                <w:color w:val="auto"/>
                <w:highlight w:val="none"/>
              </w:rPr>
              <w:t>1</w:t>
            </w:r>
            <w:r>
              <w:rPr>
                <w:rFonts w:hint="eastAsia"/>
                <w:color w:val="auto"/>
                <w:highlight w:val="none"/>
              </w:rPr>
              <w:t>,</w:t>
            </w:r>
            <w:r>
              <w:rPr>
                <w:color w:val="auto"/>
                <w:highlight w:val="none"/>
              </w:rPr>
              <w:t>2-三氯乙烷</w:t>
            </w:r>
          </w:p>
        </w:tc>
        <w:tc>
          <w:tcPr>
            <w:tcW w:w="1435" w:type="pct"/>
            <w:tcBorders>
              <w:tl2br w:val="nil"/>
              <w:tr2bl w:val="nil"/>
            </w:tcBorders>
            <w:vAlign w:val="center"/>
          </w:tcPr>
          <w:p w14:paraId="37CA24F1">
            <w:pPr>
              <w:pStyle w:val="41"/>
              <w:rPr>
                <w:color w:val="auto"/>
                <w:highlight w:val="none"/>
              </w:rPr>
            </w:pPr>
            <w:r>
              <w:rPr>
                <w:rFonts w:hint="eastAsia"/>
                <w:color w:val="auto"/>
                <w:highlight w:val="none"/>
              </w:rPr>
              <w:t>79-00-5</w:t>
            </w:r>
          </w:p>
        </w:tc>
        <w:tc>
          <w:tcPr>
            <w:tcW w:w="1538" w:type="pct"/>
            <w:tcBorders>
              <w:tl2br w:val="nil"/>
              <w:tr2bl w:val="nil"/>
            </w:tcBorders>
            <w:vAlign w:val="center"/>
          </w:tcPr>
          <w:p w14:paraId="60F804B8">
            <w:pPr>
              <w:pStyle w:val="41"/>
              <w:rPr>
                <w:color w:val="auto"/>
                <w:highlight w:val="none"/>
              </w:rPr>
            </w:pPr>
            <w:r>
              <w:rPr>
                <w:color w:val="auto"/>
                <w:highlight w:val="none"/>
              </w:rPr>
              <w:t>2.8</w:t>
            </w:r>
          </w:p>
        </w:tc>
      </w:tr>
      <w:tr w14:paraId="7E1057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361F821F">
            <w:pPr>
              <w:pStyle w:val="41"/>
              <w:rPr>
                <w:color w:val="auto"/>
                <w:highlight w:val="none"/>
              </w:rPr>
            </w:pPr>
            <w:r>
              <w:rPr>
                <w:color w:val="auto"/>
                <w:highlight w:val="none"/>
              </w:rPr>
              <w:t>23</w:t>
            </w:r>
          </w:p>
        </w:tc>
        <w:tc>
          <w:tcPr>
            <w:tcW w:w="1541" w:type="pct"/>
            <w:tcBorders>
              <w:tl2br w:val="nil"/>
              <w:tr2bl w:val="nil"/>
            </w:tcBorders>
            <w:vAlign w:val="center"/>
          </w:tcPr>
          <w:p w14:paraId="71CFB281">
            <w:pPr>
              <w:pStyle w:val="41"/>
              <w:rPr>
                <w:color w:val="auto"/>
                <w:highlight w:val="none"/>
              </w:rPr>
            </w:pPr>
            <w:r>
              <w:rPr>
                <w:color w:val="auto"/>
                <w:highlight w:val="none"/>
              </w:rPr>
              <w:t>三氯乙烯</w:t>
            </w:r>
          </w:p>
        </w:tc>
        <w:tc>
          <w:tcPr>
            <w:tcW w:w="1435" w:type="pct"/>
            <w:tcBorders>
              <w:tl2br w:val="nil"/>
              <w:tr2bl w:val="nil"/>
            </w:tcBorders>
            <w:vAlign w:val="center"/>
          </w:tcPr>
          <w:p w14:paraId="47FFF77F">
            <w:pPr>
              <w:pStyle w:val="41"/>
              <w:rPr>
                <w:color w:val="auto"/>
                <w:highlight w:val="none"/>
              </w:rPr>
            </w:pPr>
            <w:r>
              <w:rPr>
                <w:rFonts w:hint="eastAsia"/>
                <w:color w:val="auto"/>
                <w:highlight w:val="none"/>
              </w:rPr>
              <w:t>79-01-6</w:t>
            </w:r>
          </w:p>
        </w:tc>
        <w:tc>
          <w:tcPr>
            <w:tcW w:w="1538" w:type="pct"/>
            <w:tcBorders>
              <w:tl2br w:val="nil"/>
              <w:tr2bl w:val="nil"/>
            </w:tcBorders>
            <w:vAlign w:val="center"/>
          </w:tcPr>
          <w:p w14:paraId="41C6AE0F">
            <w:pPr>
              <w:pStyle w:val="41"/>
              <w:rPr>
                <w:color w:val="auto"/>
                <w:highlight w:val="none"/>
              </w:rPr>
            </w:pPr>
            <w:r>
              <w:rPr>
                <w:color w:val="auto"/>
                <w:highlight w:val="none"/>
              </w:rPr>
              <w:t>2.8</w:t>
            </w:r>
          </w:p>
        </w:tc>
      </w:tr>
      <w:tr w14:paraId="5F6CF0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53E6AE3C">
            <w:pPr>
              <w:pStyle w:val="41"/>
              <w:rPr>
                <w:color w:val="auto"/>
                <w:highlight w:val="none"/>
              </w:rPr>
            </w:pPr>
            <w:r>
              <w:rPr>
                <w:color w:val="auto"/>
                <w:highlight w:val="none"/>
              </w:rPr>
              <w:t>24</w:t>
            </w:r>
          </w:p>
        </w:tc>
        <w:tc>
          <w:tcPr>
            <w:tcW w:w="1541" w:type="pct"/>
            <w:tcBorders>
              <w:tl2br w:val="nil"/>
              <w:tr2bl w:val="nil"/>
            </w:tcBorders>
            <w:vAlign w:val="center"/>
          </w:tcPr>
          <w:p w14:paraId="53B70ACA">
            <w:pPr>
              <w:pStyle w:val="41"/>
              <w:rPr>
                <w:color w:val="auto"/>
                <w:highlight w:val="none"/>
              </w:rPr>
            </w:pPr>
            <w:r>
              <w:rPr>
                <w:color w:val="auto"/>
                <w:highlight w:val="none"/>
              </w:rPr>
              <w:t>1</w:t>
            </w:r>
            <w:r>
              <w:rPr>
                <w:rFonts w:hint="eastAsia"/>
                <w:color w:val="auto"/>
                <w:highlight w:val="none"/>
              </w:rPr>
              <w:t>,</w:t>
            </w:r>
            <w:r>
              <w:rPr>
                <w:color w:val="auto"/>
                <w:highlight w:val="none"/>
              </w:rPr>
              <w:t>2</w:t>
            </w:r>
            <w:r>
              <w:rPr>
                <w:rFonts w:hint="eastAsia"/>
                <w:color w:val="auto"/>
                <w:highlight w:val="none"/>
              </w:rPr>
              <w:t>,</w:t>
            </w:r>
            <w:r>
              <w:rPr>
                <w:color w:val="auto"/>
                <w:highlight w:val="none"/>
              </w:rPr>
              <w:t>3-三氯丙烷</w:t>
            </w:r>
          </w:p>
        </w:tc>
        <w:tc>
          <w:tcPr>
            <w:tcW w:w="1435" w:type="pct"/>
            <w:tcBorders>
              <w:tl2br w:val="nil"/>
              <w:tr2bl w:val="nil"/>
            </w:tcBorders>
            <w:vAlign w:val="center"/>
          </w:tcPr>
          <w:p w14:paraId="3025BCCD">
            <w:pPr>
              <w:pStyle w:val="41"/>
              <w:rPr>
                <w:color w:val="auto"/>
                <w:highlight w:val="none"/>
              </w:rPr>
            </w:pPr>
            <w:r>
              <w:rPr>
                <w:rFonts w:hint="eastAsia"/>
                <w:color w:val="auto"/>
                <w:highlight w:val="none"/>
              </w:rPr>
              <w:t>96-18-4</w:t>
            </w:r>
          </w:p>
        </w:tc>
        <w:tc>
          <w:tcPr>
            <w:tcW w:w="1538" w:type="pct"/>
            <w:tcBorders>
              <w:tl2br w:val="nil"/>
              <w:tr2bl w:val="nil"/>
            </w:tcBorders>
            <w:vAlign w:val="center"/>
          </w:tcPr>
          <w:p w14:paraId="32C8E103">
            <w:pPr>
              <w:pStyle w:val="41"/>
              <w:rPr>
                <w:color w:val="auto"/>
                <w:highlight w:val="none"/>
              </w:rPr>
            </w:pPr>
            <w:r>
              <w:rPr>
                <w:color w:val="auto"/>
                <w:highlight w:val="none"/>
              </w:rPr>
              <w:t>0.5</w:t>
            </w:r>
          </w:p>
        </w:tc>
      </w:tr>
      <w:tr w14:paraId="648CC3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71430DBF">
            <w:pPr>
              <w:pStyle w:val="41"/>
              <w:rPr>
                <w:color w:val="auto"/>
                <w:highlight w:val="none"/>
              </w:rPr>
            </w:pPr>
            <w:r>
              <w:rPr>
                <w:color w:val="auto"/>
                <w:highlight w:val="none"/>
              </w:rPr>
              <w:t>25</w:t>
            </w:r>
          </w:p>
        </w:tc>
        <w:tc>
          <w:tcPr>
            <w:tcW w:w="1541" w:type="pct"/>
            <w:tcBorders>
              <w:tl2br w:val="nil"/>
              <w:tr2bl w:val="nil"/>
            </w:tcBorders>
            <w:vAlign w:val="center"/>
          </w:tcPr>
          <w:p w14:paraId="34735A77">
            <w:pPr>
              <w:pStyle w:val="41"/>
              <w:rPr>
                <w:color w:val="auto"/>
                <w:highlight w:val="none"/>
              </w:rPr>
            </w:pPr>
            <w:r>
              <w:rPr>
                <w:color w:val="auto"/>
                <w:highlight w:val="none"/>
              </w:rPr>
              <w:t>氯乙烯</w:t>
            </w:r>
          </w:p>
        </w:tc>
        <w:tc>
          <w:tcPr>
            <w:tcW w:w="1435" w:type="pct"/>
            <w:tcBorders>
              <w:tl2br w:val="nil"/>
              <w:tr2bl w:val="nil"/>
            </w:tcBorders>
            <w:vAlign w:val="center"/>
          </w:tcPr>
          <w:p w14:paraId="4862474B">
            <w:pPr>
              <w:pStyle w:val="41"/>
              <w:rPr>
                <w:color w:val="auto"/>
                <w:highlight w:val="none"/>
              </w:rPr>
            </w:pPr>
            <w:r>
              <w:rPr>
                <w:rFonts w:hint="eastAsia"/>
                <w:color w:val="auto"/>
                <w:highlight w:val="none"/>
              </w:rPr>
              <w:t>75-01-4</w:t>
            </w:r>
          </w:p>
        </w:tc>
        <w:tc>
          <w:tcPr>
            <w:tcW w:w="1538" w:type="pct"/>
            <w:tcBorders>
              <w:tl2br w:val="nil"/>
              <w:tr2bl w:val="nil"/>
            </w:tcBorders>
            <w:vAlign w:val="center"/>
          </w:tcPr>
          <w:p w14:paraId="7D55EDB2">
            <w:pPr>
              <w:pStyle w:val="41"/>
              <w:rPr>
                <w:color w:val="auto"/>
                <w:highlight w:val="none"/>
              </w:rPr>
            </w:pPr>
            <w:r>
              <w:rPr>
                <w:color w:val="auto"/>
                <w:highlight w:val="none"/>
              </w:rPr>
              <w:t>0.43</w:t>
            </w:r>
          </w:p>
        </w:tc>
      </w:tr>
      <w:tr w14:paraId="3A872B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07396B47">
            <w:pPr>
              <w:pStyle w:val="41"/>
              <w:rPr>
                <w:color w:val="auto"/>
                <w:highlight w:val="none"/>
              </w:rPr>
            </w:pPr>
            <w:r>
              <w:rPr>
                <w:color w:val="auto"/>
                <w:highlight w:val="none"/>
              </w:rPr>
              <w:t>26</w:t>
            </w:r>
          </w:p>
        </w:tc>
        <w:tc>
          <w:tcPr>
            <w:tcW w:w="1541" w:type="pct"/>
            <w:tcBorders>
              <w:tl2br w:val="nil"/>
              <w:tr2bl w:val="nil"/>
            </w:tcBorders>
            <w:vAlign w:val="center"/>
          </w:tcPr>
          <w:p w14:paraId="40D54554">
            <w:pPr>
              <w:pStyle w:val="41"/>
              <w:rPr>
                <w:color w:val="auto"/>
                <w:highlight w:val="none"/>
              </w:rPr>
            </w:pPr>
            <w:r>
              <w:rPr>
                <w:color w:val="auto"/>
                <w:highlight w:val="none"/>
              </w:rPr>
              <w:t>苯</w:t>
            </w:r>
          </w:p>
        </w:tc>
        <w:tc>
          <w:tcPr>
            <w:tcW w:w="1435" w:type="pct"/>
            <w:tcBorders>
              <w:tl2br w:val="nil"/>
              <w:tr2bl w:val="nil"/>
            </w:tcBorders>
            <w:vAlign w:val="center"/>
          </w:tcPr>
          <w:p w14:paraId="50D18CBE">
            <w:pPr>
              <w:pStyle w:val="41"/>
              <w:rPr>
                <w:color w:val="auto"/>
                <w:highlight w:val="none"/>
              </w:rPr>
            </w:pPr>
            <w:r>
              <w:rPr>
                <w:rFonts w:hint="eastAsia"/>
                <w:color w:val="auto"/>
                <w:highlight w:val="none"/>
              </w:rPr>
              <w:t>71-43-2</w:t>
            </w:r>
          </w:p>
        </w:tc>
        <w:tc>
          <w:tcPr>
            <w:tcW w:w="1538" w:type="pct"/>
            <w:tcBorders>
              <w:tl2br w:val="nil"/>
              <w:tr2bl w:val="nil"/>
            </w:tcBorders>
            <w:vAlign w:val="center"/>
          </w:tcPr>
          <w:p w14:paraId="12113E13">
            <w:pPr>
              <w:pStyle w:val="41"/>
              <w:rPr>
                <w:color w:val="auto"/>
                <w:highlight w:val="none"/>
              </w:rPr>
            </w:pPr>
            <w:r>
              <w:rPr>
                <w:color w:val="auto"/>
                <w:highlight w:val="none"/>
              </w:rPr>
              <w:t>4</w:t>
            </w:r>
          </w:p>
        </w:tc>
      </w:tr>
      <w:tr w14:paraId="621FF5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6EA47932">
            <w:pPr>
              <w:pStyle w:val="41"/>
              <w:rPr>
                <w:color w:val="auto"/>
                <w:highlight w:val="none"/>
              </w:rPr>
            </w:pPr>
            <w:r>
              <w:rPr>
                <w:color w:val="auto"/>
                <w:highlight w:val="none"/>
              </w:rPr>
              <w:t>27</w:t>
            </w:r>
          </w:p>
        </w:tc>
        <w:tc>
          <w:tcPr>
            <w:tcW w:w="1541" w:type="pct"/>
            <w:tcBorders>
              <w:tl2br w:val="nil"/>
              <w:tr2bl w:val="nil"/>
            </w:tcBorders>
            <w:vAlign w:val="center"/>
          </w:tcPr>
          <w:p w14:paraId="36CA6714">
            <w:pPr>
              <w:pStyle w:val="41"/>
              <w:rPr>
                <w:color w:val="auto"/>
                <w:highlight w:val="none"/>
              </w:rPr>
            </w:pPr>
            <w:r>
              <w:rPr>
                <w:color w:val="auto"/>
                <w:highlight w:val="none"/>
              </w:rPr>
              <w:t>氯苯</w:t>
            </w:r>
          </w:p>
        </w:tc>
        <w:tc>
          <w:tcPr>
            <w:tcW w:w="1435" w:type="pct"/>
            <w:tcBorders>
              <w:tl2br w:val="nil"/>
              <w:tr2bl w:val="nil"/>
            </w:tcBorders>
            <w:vAlign w:val="center"/>
          </w:tcPr>
          <w:p w14:paraId="0DE1441C">
            <w:pPr>
              <w:pStyle w:val="41"/>
              <w:rPr>
                <w:color w:val="auto"/>
                <w:highlight w:val="none"/>
              </w:rPr>
            </w:pPr>
            <w:r>
              <w:rPr>
                <w:rFonts w:hint="eastAsia"/>
                <w:color w:val="auto"/>
                <w:highlight w:val="none"/>
              </w:rPr>
              <w:t>108-90-7</w:t>
            </w:r>
          </w:p>
        </w:tc>
        <w:tc>
          <w:tcPr>
            <w:tcW w:w="1538" w:type="pct"/>
            <w:tcBorders>
              <w:tl2br w:val="nil"/>
              <w:tr2bl w:val="nil"/>
            </w:tcBorders>
            <w:vAlign w:val="center"/>
          </w:tcPr>
          <w:p w14:paraId="15FE917C">
            <w:pPr>
              <w:pStyle w:val="41"/>
              <w:rPr>
                <w:color w:val="auto"/>
                <w:highlight w:val="none"/>
              </w:rPr>
            </w:pPr>
            <w:r>
              <w:rPr>
                <w:color w:val="auto"/>
                <w:highlight w:val="none"/>
              </w:rPr>
              <w:t>270</w:t>
            </w:r>
          </w:p>
        </w:tc>
      </w:tr>
      <w:tr w14:paraId="503582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7F09A820">
            <w:pPr>
              <w:pStyle w:val="41"/>
              <w:rPr>
                <w:color w:val="auto"/>
                <w:highlight w:val="none"/>
              </w:rPr>
            </w:pPr>
            <w:r>
              <w:rPr>
                <w:color w:val="auto"/>
                <w:highlight w:val="none"/>
              </w:rPr>
              <w:t>28</w:t>
            </w:r>
          </w:p>
        </w:tc>
        <w:tc>
          <w:tcPr>
            <w:tcW w:w="1541" w:type="pct"/>
            <w:tcBorders>
              <w:tl2br w:val="nil"/>
              <w:tr2bl w:val="nil"/>
            </w:tcBorders>
            <w:vAlign w:val="center"/>
          </w:tcPr>
          <w:p w14:paraId="3083C5BE">
            <w:pPr>
              <w:pStyle w:val="41"/>
              <w:rPr>
                <w:color w:val="auto"/>
                <w:highlight w:val="none"/>
              </w:rPr>
            </w:pPr>
            <w:r>
              <w:rPr>
                <w:color w:val="auto"/>
                <w:highlight w:val="none"/>
              </w:rPr>
              <w:t>1</w:t>
            </w:r>
            <w:r>
              <w:rPr>
                <w:rFonts w:hint="eastAsia"/>
                <w:color w:val="auto"/>
                <w:highlight w:val="none"/>
              </w:rPr>
              <w:t>,</w:t>
            </w:r>
            <w:r>
              <w:rPr>
                <w:color w:val="auto"/>
                <w:highlight w:val="none"/>
              </w:rPr>
              <w:t>2-二氯苯</w:t>
            </w:r>
          </w:p>
        </w:tc>
        <w:tc>
          <w:tcPr>
            <w:tcW w:w="1435" w:type="pct"/>
            <w:tcBorders>
              <w:tl2br w:val="nil"/>
              <w:tr2bl w:val="nil"/>
            </w:tcBorders>
            <w:vAlign w:val="center"/>
          </w:tcPr>
          <w:p w14:paraId="4A45D613">
            <w:pPr>
              <w:pStyle w:val="41"/>
              <w:rPr>
                <w:color w:val="auto"/>
                <w:highlight w:val="none"/>
              </w:rPr>
            </w:pPr>
            <w:r>
              <w:rPr>
                <w:rFonts w:hint="eastAsia"/>
                <w:color w:val="auto"/>
                <w:highlight w:val="none"/>
              </w:rPr>
              <w:t>95-50-1</w:t>
            </w:r>
          </w:p>
        </w:tc>
        <w:tc>
          <w:tcPr>
            <w:tcW w:w="1538" w:type="pct"/>
            <w:tcBorders>
              <w:tl2br w:val="nil"/>
              <w:tr2bl w:val="nil"/>
            </w:tcBorders>
            <w:vAlign w:val="center"/>
          </w:tcPr>
          <w:p w14:paraId="74327EC0">
            <w:pPr>
              <w:pStyle w:val="41"/>
              <w:rPr>
                <w:color w:val="auto"/>
                <w:highlight w:val="none"/>
              </w:rPr>
            </w:pPr>
            <w:r>
              <w:rPr>
                <w:color w:val="auto"/>
                <w:highlight w:val="none"/>
              </w:rPr>
              <w:t>560</w:t>
            </w:r>
          </w:p>
        </w:tc>
      </w:tr>
      <w:tr w14:paraId="69D99F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2FDCB1AF">
            <w:pPr>
              <w:pStyle w:val="41"/>
              <w:rPr>
                <w:color w:val="auto"/>
                <w:highlight w:val="none"/>
              </w:rPr>
            </w:pPr>
            <w:r>
              <w:rPr>
                <w:color w:val="auto"/>
                <w:highlight w:val="none"/>
              </w:rPr>
              <w:t>29</w:t>
            </w:r>
          </w:p>
        </w:tc>
        <w:tc>
          <w:tcPr>
            <w:tcW w:w="1541" w:type="pct"/>
            <w:tcBorders>
              <w:tl2br w:val="nil"/>
              <w:tr2bl w:val="nil"/>
            </w:tcBorders>
            <w:vAlign w:val="center"/>
          </w:tcPr>
          <w:p w14:paraId="40995519">
            <w:pPr>
              <w:pStyle w:val="41"/>
              <w:rPr>
                <w:color w:val="auto"/>
                <w:highlight w:val="none"/>
              </w:rPr>
            </w:pPr>
            <w:r>
              <w:rPr>
                <w:color w:val="auto"/>
                <w:highlight w:val="none"/>
              </w:rPr>
              <w:t>1</w:t>
            </w:r>
            <w:r>
              <w:rPr>
                <w:rFonts w:hint="eastAsia"/>
                <w:color w:val="auto"/>
                <w:highlight w:val="none"/>
              </w:rPr>
              <w:t>,</w:t>
            </w:r>
            <w:r>
              <w:rPr>
                <w:color w:val="auto"/>
                <w:highlight w:val="none"/>
              </w:rPr>
              <w:t>4-二氯苯</w:t>
            </w:r>
          </w:p>
        </w:tc>
        <w:tc>
          <w:tcPr>
            <w:tcW w:w="1435" w:type="pct"/>
            <w:tcBorders>
              <w:tl2br w:val="nil"/>
              <w:tr2bl w:val="nil"/>
            </w:tcBorders>
            <w:vAlign w:val="center"/>
          </w:tcPr>
          <w:p w14:paraId="556287B5">
            <w:pPr>
              <w:pStyle w:val="41"/>
              <w:rPr>
                <w:color w:val="auto"/>
                <w:highlight w:val="none"/>
              </w:rPr>
            </w:pPr>
            <w:r>
              <w:rPr>
                <w:rFonts w:hint="eastAsia"/>
                <w:color w:val="auto"/>
                <w:highlight w:val="none"/>
              </w:rPr>
              <w:t>106-46-7</w:t>
            </w:r>
          </w:p>
        </w:tc>
        <w:tc>
          <w:tcPr>
            <w:tcW w:w="1538" w:type="pct"/>
            <w:tcBorders>
              <w:tl2br w:val="nil"/>
              <w:tr2bl w:val="nil"/>
            </w:tcBorders>
            <w:vAlign w:val="center"/>
          </w:tcPr>
          <w:p w14:paraId="3FFD0C9C">
            <w:pPr>
              <w:pStyle w:val="41"/>
              <w:rPr>
                <w:color w:val="auto"/>
                <w:highlight w:val="none"/>
              </w:rPr>
            </w:pPr>
            <w:r>
              <w:rPr>
                <w:color w:val="auto"/>
                <w:highlight w:val="none"/>
              </w:rPr>
              <w:t>20</w:t>
            </w:r>
          </w:p>
        </w:tc>
      </w:tr>
      <w:tr w14:paraId="73E84B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5CB7A284">
            <w:pPr>
              <w:pStyle w:val="41"/>
              <w:rPr>
                <w:color w:val="auto"/>
                <w:highlight w:val="none"/>
              </w:rPr>
            </w:pPr>
            <w:r>
              <w:rPr>
                <w:color w:val="auto"/>
                <w:highlight w:val="none"/>
              </w:rPr>
              <w:t>30</w:t>
            </w:r>
          </w:p>
        </w:tc>
        <w:tc>
          <w:tcPr>
            <w:tcW w:w="1541" w:type="pct"/>
            <w:tcBorders>
              <w:tl2br w:val="nil"/>
              <w:tr2bl w:val="nil"/>
            </w:tcBorders>
            <w:vAlign w:val="center"/>
          </w:tcPr>
          <w:p w14:paraId="0BE29845">
            <w:pPr>
              <w:pStyle w:val="41"/>
              <w:rPr>
                <w:color w:val="auto"/>
                <w:highlight w:val="none"/>
              </w:rPr>
            </w:pPr>
            <w:r>
              <w:rPr>
                <w:color w:val="auto"/>
                <w:highlight w:val="none"/>
              </w:rPr>
              <w:t>乙苯</w:t>
            </w:r>
          </w:p>
        </w:tc>
        <w:tc>
          <w:tcPr>
            <w:tcW w:w="1435" w:type="pct"/>
            <w:tcBorders>
              <w:tl2br w:val="nil"/>
              <w:tr2bl w:val="nil"/>
            </w:tcBorders>
            <w:vAlign w:val="center"/>
          </w:tcPr>
          <w:p w14:paraId="0EF83B47">
            <w:pPr>
              <w:pStyle w:val="41"/>
              <w:rPr>
                <w:color w:val="auto"/>
                <w:highlight w:val="none"/>
              </w:rPr>
            </w:pPr>
            <w:r>
              <w:rPr>
                <w:rFonts w:hint="eastAsia"/>
                <w:color w:val="auto"/>
                <w:highlight w:val="none"/>
              </w:rPr>
              <w:t>100-41-4</w:t>
            </w:r>
          </w:p>
        </w:tc>
        <w:tc>
          <w:tcPr>
            <w:tcW w:w="1538" w:type="pct"/>
            <w:tcBorders>
              <w:tl2br w:val="nil"/>
              <w:tr2bl w:val="nil"/>
            </w:tcBorders>
            <w:vAlign w:val="center"/>
          </w:tcPr>
          <w:p w14:paraId="6406CCB6">
            <w:pPr>
              <w:pStyle w:val="41"/>
              <w:rPr>
                <w:color w:val="auto"/>
                <w:highlight w:val="none"/>
              </w:rPr>
            </w:pPr>
            <w:r>
              <w:rPr>
                <w:color w:val="auto"/>
                <w:highlight w:val="none"/>
              </w:rPr>
              <w:t>28</w:t>
            </w:r>
          </w:p>
        </w:tc>
      </w:tr>
      <w:tr w14:paraId="4BB252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31A9BCA6">
            <w:pPr>
              <w:pStyle w:val="41"/>
              <w:rPr>
                <w:color w:val="auto"/>
                <w:highlight w:val="none"/>
              </w:rPr>
            </w:pPr>
            <w:r>
              <w:rPr>
                <w:color w:val="auto"/>
                <w:highlight w:val="none"/>
              </w:rPr>
              <w:t>31</w:t>
            </w:r>
          </w:p>
        </w:tc>
        <w:tc>
          <w:tcPr>
            <w:tcW w:w="1541" w:type="pct"/>
            <w:tcBorders>
              <w:tl2br w:val="nil"/>
              <w:tr2bl w:val="nil"/>
            </w:tcBorders>
            <w:vAlign w:val="center"/>
          </w:tcPr>
          <w:p w14:paraId="57B6F476">
            <w:pPr>
              <w:pStyle w:val="41"/>
              <w:rPr>
                <w:color w:val="auto"/>
                <w:highlight w:val="none"/>
              </w:rPr>
            </w:pPr>
            <w:r>
              <w:rPr>
                <w:color w:val="auto"/>
                <w:highlight w:val="none"/>
              </w:rPr>
              <w:t>苯乙烯</w:t>
            </w:r>
          </w:p>
        </w:tc>
        <w:tc>
          <w:tcPr>
            <w:tcW w:w="1435" w:type="pct"/>
            <w:tcBorders>
              <w:tl2br w:val="nil"/>
              <w:tr2bl w:val="nil"/>
            </w:tcBorders>
            <w:vAlign w:val="center"/>
          </w:tcPr>
          <w:p w14:paraId="20CD29A3">
            <w:pPr>
              <w:pStyle w:val="41"/>
              <w:rPr>
                <w:color w:val="auto"/>
                <w:highlight w:val="none"/>
              </w:rPr>
            </w:pPr>
            <w:r>
              <w:rPr>
                <w:rFonts w:hint="eastAsia"/>
                <w:color w:val="auto"/>
                <w:highlight w:val="none"/>
              </w:rPr>
              <w:t>100-42-5</w:t>
            </w:r>
          </w:p>
        </w:tc>
        <w:tc>
          <w:tcPr>
            <w:tcW w:w="1538" w:type="pct"/>
            <w:tcBorders>
              <w:tl2br w:val="nil"/>
              <w:tr2bl w:val="nil"/>
            </w:tcBorders>
            <w:vAlign w:val="center"/>
          </w:tcPr>
          <w:p w14:paraId="79C312BA">
            <w:pPr>
              <w:pStyle w:val="41"/>
              <w:rPr>
                <w:color w:val="auto"/>
                <w:highlight w:val="none"/>
              </w:rPr>
            </w:pPr>
            <w:r>
              <w:rPr>
                <w:color w:val="auto"/>
                <w:highlight w:val="none"/>
              </w:rPr>
              <w:t>1290</w:t>
            </w:r>
          </w:p>
        </w:tc>
      </w:tr>
      <w:tr w14:paraId="2D8E01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1312AAD3">
            <w:pPr>
              <w:pStyle w:val="41"/>
              <w:rPr>
                <w:color w:val="auto"/>
                <w:highlight w:val="none"/>
              </w:rPr>
            </w:pPr>
            <w:r>
              <w:rPr>
                <w:color w:val="auto"/>
                <w:highlight w:val="none"/>
              </w:rPr>
              <w:t>32</w:t>
            </w:r>
          </w:p>
        </w:tc>
        <w:tc>
          <w:tcPr>
            <w:tcW w:w="1541" w:type="pct"/>
            <w:tcBorders>
              <w:tl2br w:val="nil"/>
              <w:tr2bl w:val="nil"/>
            </w:tcBorders>
            <w:vAlign w:val="center"/>
          </w:tcPr>
          <w:p w14:paraId="4E302357">
            <w:pPr>
              <w:pStyle w:val="41"/>
              <w:rPr>
                <w:color w:val="auto"/>
                <w:highlight w:val="none"/>
              </w:rPr>
            </w:pPr>
            <w:r>
              <w:rPr>
                <w:color w:val="auto"/>
                <w:highlight w:val="none"/>
              </w:rPr>
              <w:t>甲苯</w:t>
            </w:r>
          </w:p>
        </w:tc>
        <w:tc>
          <w:tcPr>
            <w:tcW w:w="1435" w:type="pct"/>
            <w:tcBorders>
              <w:tl2br w:val="nil"/>
              <w:tr2bl w:val="nil"/>
            </w:tcBorders>
            <w:vAlign w:val="center"/>
          </w:tcPr>
          <w:p w14:paraId="27C88D69">
            <w:pPr>
              <w:pStyle w:val="41"/>
              <w:rPr>
                <w:color w:val="auto"/>
                <w:highlight w:val="none"/>
              </w:rPr>
            </w:pPr>
            <w:r>
              <w:rPr>
                <w:rFonts w:hint="eastAsia"/>
                <w:color w:val="auto"/>
                <w:highlight w:val="none"/>
              </w:rPr>
              <w:t>108-88-3</w:t>
            </w:r>
          </w:p>
        </w:tc>
        <w:tc>
          <w:tcPr>
            <w:tcW w:w="1538" w:type="pct"/>
            <w:tcBorders>
              <w:tl2br w:val="nil"/>
              <w:tr2bl w:val="nil"/>
            </w:tcBorders>
            <w:vAlign w:val="center"/>
          </w:tcPr>
          <w:p w14:paraId="53E5AF96">
            <w:pPr>
              <w:pStyle w:val="41"/>
              <w:rPr>
                <w:color w:val="auto"/>
                <w:highlight w:val="none"/>
              </w:rPr>
            </w:pPr>
            <w:r>
              <w:rPr>
                <w:color w:val="auto"/>
                <w:highlight w:val="none"/>
              </w:rPr>
              <w:t>1200</w:t>
            </w:r>
          </w:p>
        </w:tc>
      </w:tr>
      <w:tr w14:paraId="7B667E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3BD8CC8C">
            <w:pPr>
              <w:pStyle w:val="41"/>
              <w:rPr>
                <w:color w:val="auto"/>
                <w:highlight w:val="none"/>
              </w:rPr>
            </w:pPr>
            <w:r>
              <w:rPr>
                <w:color w:val="auto"/>
                <w:highlight w:val="none"/>
              </w:rPr>
              <w:t>33</w:t>
            </w:r>
          </w:p>
        </w:tc>
        <w:tc>
          <w:tcPr>
            <w:tcW w:w="1541" w:type="pct"/>
            <w:tcBorders>
              <w:tl2br w:val="nil"/>
              <w:tr2bl w:val="nil"/>
            </w:tcBorders>
            <w:vAlign w:val="center"/>
          </w:tcPr>
          <w:p w14:paraId="072BE191">
            <w:pPr>
              <w:pStyle w:val="41"/>
              <w:rPr>
                <w:color w:val="auto"/>
                <w:highlight w:val="none"/>
              </w:rPr>
            </w:pPr>
            <w:r>
              <w:rPr>
                <w:color w:val="auto"/>
                <w:highlight w:val="none"/>
              </w:rPr>
              <w:t>间二甲苯+对二甲苯</w:t>
            </w:r>
          </w:p>
        </w:tc>
        <w:tc>
          <w:tcPr>
            <w:tcW w:w="1435" w:type="pct"/>
            <w:tcBorders>
              <w:tl2br w:val="nil"/>
              <w:tr2bl w:val="nil"/>
            </w:tcBorders>
            <w:vAlign w:val="center"/>
          </w:tcPr>
          <w:p w14:paraId="39792ED3">
            <w:pPr>
              <w:pStyle w:val="41"/>
              <w:rPr>
                <w:color w:val="auto"/>
                <w:highlight w:val="none"/>
              </w:rPr>
            </w:pPr>
            <w:r>
              <w:rPr>
                <w:rFonts w:hint="eastAsia"/>
                <w:color w:val="auto"/>
                <w:highlight w:val="none"/>
              </w:rPr>
              <w:t>108-38-3，106-42-3</w:t>
            </w:r>
          </w:p>
        </w:tc>
        <w:tc>
          <w:tcPr>
            <w:tcW w:w="1538" w:type="pct"/>
            <w:tcBorders>
              <w:tl2br w:val="nil"/>
              <w:tr2bl w:val="nil"/>
            </w:tcBorders>
            <w:vAlign w:val="center"/>
          </w:tcPr>
          <w:p w14:paraId="79062280">
            <w:pPr>
              <w:pStyle w:val="41"/>
              <w:rPr>
                <w:color w:val="auto"/>
                <w:highlight w:val="none"/>
              </w:rPr>
            </w:pPr>
            <w:r>
              <w:rPr>
                <w:color w:val="auto"/>
                <w:highlight w:val="none"/>
              </w:rPr>
              <w:t>570</w:t>
            </w:r>
          </w:p>
        </w:tc>
      </w:tr>
      <w:tr w14:paraId="363FD8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2601E573">
            <w:pPr>
              <w:pStyle w:val="41"/>
              <w:rPr>
                <w:color w:val="auto"/>
                <w:highlight w:val="none"/>
              </w:rPr>
            </w:pPr>
            <w:r>
              <w:rPr>
                <w:color w:val="auto"/>
                <w:highlight w:val="none"/>
              </w:rPr>
              <w:t>34</w:t>
            </w:r>
          </w:p>
        </w:tc>
        <w:tc>
          <w:tcPr>
            <w:tcW w:w="1541" w:type="pct"/>
            <w:tcBorders>
              <w:tl2br w:val="nil"/>
              <w:tr2bl w:val="nil"/>
            </w:tcBorders>
            <w:vAlign w:val="center"/>
          </w:tcPr>
          <w:p w14:paraId="31CC3370">
            <w:pPr>
              <w:pStyle w:val="41"/>
              <w:rPr>
                <w:color w:val="auto"/>
                <w:highlight w:val="none"/>
              </w:rPr>
            </w:pPr>
            <w:r>
              <w:rPr>
                <w:color w:val="auto"/>
                <w:highlight w:val="none"/>
              </w:rPr>
              <w:t>邻二甲苯</w:t>
            </w:r>
          </w:p>
        </w:tc>
        <w:tc>
          <w:tcPr>
            <w:tcW w:w="1435" w:type="pct"/>
            <w:tcBorders>
              <w:tl2br w:val="nil"/>
              <w:tr2bl w:val="nil"/>
            </w:tcBorders>
            <w:vAlign w:val="center"/>
          </w:tcPr>
          <w:p w14:paraId="01DE0E2F">
            <w:pPr>
              <w:pStyle w:val="41"/>
              <w:rPr>
                <w:color w:val="auto"/>
                <w:highlight w:val="none"/>
              </w:rPr>
            </w:pPr>
            <w:r>
              <w:rPr>
                <w:rFonts w:hint="eastAsia"/>
                <w:color w:val="auto"/>
                <w:highlight w:val="none"/>
              </w:rPr>
              <w:t>95-47-6</w:t>
            </w:r>
          </w:p>
        </w:tc>
        <w:tc>
          <w:tcPr>
            <w:tcW w:w="1538" w:type="pct"/>
            <w:tcBorders>
              <w:tl2br w:val="nil"/>
              <w:tr2bl w:val="nil"/>
            </w:tcBorders>
            <w:vAlign w:val="center"/>
          </w:tcPr>
          <w:p w14:paraId="3ED2C0EB">
            <w:pPr>
              <w:pStyle w:val="41"/>
              <w:rPr>
                <w:color w:val="auto"/>
                <w:highlight w:val="none"/>
              </w:rPr>
            </w:pPr>
            <w:r>
              <w:rPr>
                <w:color w:val="auto"/>
                <w:highlight w:val="none"/>
              </w:rPr>
              <w:t>640</w:t>
            </w:r>
          </w:p>
        </w:tc>
      </w:tr>
      <w:tr w14:paraId="35E8ED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5000" w:type="pct"/>
            <w:gridSpan w:val="4"/>
            <w:tcBorders>
              <w:tl2br w:val="nil"/>
              <w:tr2bl w:val="nil"/>
            </w:tcBorders>
            <w:vAlign w:val="center"/>
          </w:tcPr>
          <w:p w14:paraId="4A6C403B">
            <w:pPr>
              <w:pStyle w:val="41"/>
              <w:rPr>
                <w:color w:val="auto"/>
                <w:highlight w:val="none"/>
              </w:rPr>
            </w:pPr>
            <w:r>
              <w:rPr>
                <w:color w:val="auto"/>
                <w:highlight w:val="none"/>
              </w:rPr>
              <w:t>半挥发性有机物</w:t>
            </w:r>
          </w:p>
        </w:tc>
      </w:tr>
      <w:tr w14:paraId="76D369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43ED2291">
            <w:pPr>
              <w:pStyle w:val="41"/>
              <w:rPr>
                <w:color w:val="auto"/>
                <w:highlight w:val="none"/>
              </w:rPr>
            </w:pPr>
            <w:r>
              <w:rPr>
                <w:color w:val="auto"/>
                <w:highlight w:val="none"/>
              </w:rPr>
              <w:t>35</w:t>
            </w:r>
          </w:p>
        </w:tc>
        <w:tc>
          <w:tcPr>
            <w:tcW w:w="1541" w:type="pct"/>
            <w:tcBorders>
              <w:tl2br w:val="nil"/>
              <w:tr2bl w:val="nil"/>
            </w:tcBorders>
            <w:vAlign w:val="center"/>
          </w:tcPr>
          <w:p w14:paraId="7B53FC4C">
            <w:pPr>
              <w:pStyle w:val="41"/>
              <w:rPr>
                <w:color w:val="auto"/>
                <w:highlight w:val="none"/>
              </w:rPr>
            </w:pPr>
            <w:r>
              <w:rPr>
                <w:color w:val="auto"/>
                <w:highlight w:val="none"/>
              </w:rPr>
              <w:t>硝基苯</w:t>
            </w:r>
          </w:p>
        </w:tc>
        <w:tc>
          <w:tcPr>
            <w:tcW w:w="1435" w:type="pct"/>
            <w:tcBorders>
              <w:tl2br w:val="nil"/>
              <w:tr2bl w:val="nil"/>
            </w:tcBorders>
            <w:vAlign w:val="center"/>
          </w:tcPr>
          <w:p w14:paraId="6002F7D4">
            <w:pPr>
              <w:pStyle w:val="41"/>
              <w:rPr>
                <w:color w:val="auto"/>
                <w:highlight w:val="none"/>
              </w:rPr>
            </w:pPr>
            <w:r>
              <w:rPr>
                <w:rFonts w:hint="eastAsia"/>
                <w:color w:val="auto"/>
                <w:highlight w:val="none"/>
              </w:rPr>
              <w:t>98-95-3</w:t>
            </w:r>
          </w:p>
        </w:tc>
        <w:tc>
          <w:tcPr>
            <w:tcW w:w="1538" w:type="pct"/>
            <w:tcBorders>
              <w:tl2br w:val="nil"/>
              <w:tr2bl w:val="nil"/>
            </w:tcBorders>
            <w:vAlign w:val="center"/>
          </w:tcPr>
          <w:p w14:paraId="6CEA628B">
            <w:pPr>
              <w:pStyle w:val="41"/>
              <w:rPr>
                <w:color w:val="auto"/>
                <w:highlight w:val="none"/>
              </w:rPr>
            </w:pPr>
            <w:r>
              <w:rPr>
                <w:color w:val="auto"/>
                <w:highlight w:val="none"/>
              </w:rPr>
              <w:t>76</w:t>
            </w:r>
          </w:p>
        </w:tc>
      </w:tr>
      <w:tr w14:paraId="4073C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2778C44B">
            <w:pPr>
              <w:pStyle w:val="41"/>
              <w:rPr>
                <w:color w:val="auto"/>
                <w:highlight w:val="none"/>
              </w:rPr>
            </w:pPr>
            <w:r>
              <w:rPr>
                <w:color w:val="auto"/>
                <w:highlight w:val="none"/>
              </w:rPr>
              <w:t>36</w:t>
            </w:r>
          </w:p>
        </w:tc>
        <w:tc>
          <w:tcPr>
            <w:tcW w:w="1541" w:type="pct"/>
            <w:tcBorders>
              <w:tl2br w:val="nil"/>
              <w:tr2bl w:val="nil"/>
            </w:tcBorders>
            <w:vAlign w:val="center"/>
          </w:tcPr>
          <w:p w14:paraId="5F0F2C37">
            <w:pPr>
              <w:pStyle w:val="41"/>
              <w:rPr>
                <w:color w:val="auto"/>
                <w:highlight w:val="none"/>
              </w:rPr>
            </w:pPr>
            <w:r>
              <w:rPr>
                <w:color w:val="auto"/>
                <w:highlight w:val="none"/>
              </w:rPr>
              <w:t>苯胺</w:t>
            </w:r>
          </w:p>
        </w:tc>
        <w:tc>
          <w:tcPr>
            <w:tcW w:w="1435" w:type="pct"/>
            <w:tcBorders>
              <w:tl2br w:val="nil"/>
              <w:tr2bl w:val="nil"/>
            </w:tcBorders>
            <w:vAlign w:val="center"/>
          </w:tcPr>
          <w:p w14:paraId="642011F2">
            <w:pPr>
              <w:pStyle w:val="41"/>
              <w:rPr>
                <w:color w:val="auto"/>
                <w:highlight w:val="none"/>
              </w:rPr>
            </w:pPr>
            <w:r>
              <w:rPr>
                <w:rFonts w:hint="eastAsia"/>
                <w:color w:val="auto"/>
                <w:highlight w:val="none"/>
              </w:rPr>
              <w:t>62-53-3</w:t>
            </w:r>
          </w:p>
        </w:tc>
        <w:tc>
          <w:tcPr>
            <w:tcW w:w="1538" w:type="pct"/>
            <w:tcBorders>
              <w:tl2br w:val="nil"/>
              <w:tr2bl w:val="nil"/>
            </w:tcBorders>
            <w:vAlign w:val="center"/>
          </w:tcPr>
          <w:p w14:paraId="3D5D5432">
            <w:pPr>
              <w:pStyle w:val="41"/>
              <w:rPr>
                <w:color w:val="auto"/>
                <w:highlight w:val="none"/>
              </w:rPr>
            </w:pPr>
            <w:r>
              <w:rPr>
                <w:color w:val="auto"/>
                <w:highlight w:val="none"/>
              </w:rPr>
              <w:t>260</w:t>
            </w:r>
          </w:p>
        </w:tc>
      </w:tr>
      <w:tr w14:paraId="2D27B8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35EBD9A2">
            <w:pPr>
              <w:pStyle w:val="41"/>
              <w:rPr>
                <w:color w:val="auto"/>
                <w:highlight w:val="none"/>
              </w:rPr>
            </w:pPr>
            <w:r>
              <w:rPr>
                <w:color w:val="auto"/>
                <w:highlight w:val="none"/>
              </w:rPr>
              <w:t>37</w:t>
            </w:r>
          </w:p>
        </w:tc>
        <w:tc>
          <w:tcPr>
            <w:tcW w:w="1541" w:type="pct"/>
            <w:tcBorders>
              <w:tl2br w:val="nil"/>
              <w:tr2bl w:val="nil"/>
            </w:tcBorders>
            <w:vAlign w:val="center"/>
          </w:tcPr>
          <w:p w14:paraId="3408F2EB">
            <w:pPr>
              <w:pStyle w:val="41"/>
              <w:rPr>
                <w:color w:val="auto"/>
                <w:highlight w:val="none"/>
              </w:rPr>
            </w:pPr>
            <w:r>
              <w:rPr>
                <w:color w:val="auto"/>
                <w:highlight w:val="none"/>
              </w:rPr>
              <w:t>2-氯酚</w:t>
            </w:r>
          </w:p>
        </w:tc>
        <w:tc>
          <w:tcPr>
            <w:tcW w:w="1435" w:type="pct"/>
            <w:tcBorders>
              <w:tl2br w:val="nil"/>
              <w:tr2bl w:val="nil"/>
            </w:tcBorders>
            <w:vAlign w:val="center"/>
          </w:tcPr>
          <w:p w14:paraId="565BFDC2">
            <w:pPr>
              <w:pStyle w:val="41"/>
              <w:rPr>
                <w:color w:val="auto"/>
                <w:highlight w:val="none"/>
              </w:rPr>
            </w:pPr>
            <w:r>
              <w:rPr>
                <w:rFonts w:hint="eastAsia"/>
                <w:color w:val="auto"/>
                <w:highlight w:val="none"/>
              </w:rPr>
              <w:t>95-57-8</w:t>
            </w:r>
          </w:p>
        </w:tc>
        <w:tc>
          <w:tcPr>
            <w:tcW w:w="1538" w:type="pct"/>
            <w:tcBorders>
              <w:tl2br w:val="nil"/>
              <w:tr2bl w:val="nil"/>
            </w:tcBorders>
            <w:vAlign w:val="center"/>
          </w:tcPr>
          <w:p w14:paraId="2222D3E5">
            <w:pPr>
              <w:pStyle w:val="41"/>
              <w:rPr>
                <w:color w:val="auto"/>
                <w:highlight w:val="none"/>
              </w:rPr>
            </w:pPr>
            <w:r>
              <w:rPr>
                <w:color w:val="auto"/>
                <w:highlight w:val="none"/>
              </w:rPr>
              <w:t>2256</w:t>
            </w:r>
          </w:p>
        </w:tc>
      </w:tr>
      <w:tr w14:paraId="0B166A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67DFFA8C">
            <w:pPr>
              <w:pStyle w:val="41"/>
              <w:rPr>
                <w:color w:val="auto"/>
                <w:highlight w:val="none"/>
              </w:rPr>
            </w:pPr>
            <w:r>
              <w:rPr>
                <w:color w:val="auto"/>
                <w:highlight w:val="none"/>
              </w:rPr>
              <w:t>38</w:t>
            </w:r>
          </w:p>
        </w:tc>
        <w:tc>
          <w:tcPr>
            <w:tcW w:w="1541" w:type="pct"/>
            <w:tcBorders>
              <w:tl2br w:val="nil"/>
              <w:tr2bl w:val="nil"/>
            </w:tcBorders>
            <w:vAlign w:val="center"/>
          </w:tcPr>
          <w:p w14:paraId="169BBA55">
            <w:pPr>
              <w:pStyle w:val="41"/>
              <w:rPr>
                <w:color w:val="auto"/>
                <w:highlight w:val="none"/>
              </w:rPr>
            </w:pPr>
            <w:r>
              <w:rPr>
                <w:color w:val="auto"/>
                <w:highlight w:val="none"/>
              </w:rPr>
              <w:t>苯并</w:t>
            </w:r>
            <w:r>
              <w:rPr>
                <w:rFonts w:hint="eastAsia"/>
                <w:color w:val="auto"/>
                <w:highlight w:val="none"/>
              </w:rPr>
              <w:t>〔</w:t>
            </w:r>
            <w:r>
              <w:rPr>
                <w:color w:val="auto"/>
                <w:highlight w:val="none"/>
              </w:rPr>
              <w:t>a</w:t>
            </w:r>
            <w:r>
              <w:rPr>
                <w:rFonts w:hint="eastAsia"/>
                <w:color w:val="auto"/>
                <w:highlight w:val="none"/>
              </w:rPr>
              <w:t>〕</w:t>
            </w:r>
            <w:r>
              <w:rPr>
                <w:color w:val="auto"/>
                <w:highlight w:val="none"/>
              </w:rPr>
              <w:t>蒽</w:t>
            </w:r>
          </w:p>
        </w:tc>
        <w:tc>
          <w:tcPr>
            <w:tcW w:w="1435" w:type="pct"/>
            <w:tcBorders>
              <w:tl2br w:val="nil"/>
              <w:tr2bl w:val="nil"/>
            </w:tcBorders>
            <w:vAlign w:val="center"/>
          </w:tcPr>
          <w:p w14:paraId="6F4810D0">
            <w:pPr>
              <w:pStyle w:val="41"/>
              <w:rPr>
                <w:color w:val="auto"/>
                <w:highlight w:val="none"/>
              </w:rPr>
            </w:pPr>
            <w:r>
              <w:rPr>
                <w:rFonts w:hint="eastAsia"/>
                <w:color w:val="auto"/>
                <w:highlight w:val="none"/>
              </w:rPr>
              <w:t>56-55-3</w:t>
            </w:r>
          </w:p>
        </w:tc>
        <w:tc>
          <w:tcPr>
            <w:tcW w:w="1538" w:type="pct"/>
            <w:tcBorders>
              <w:tl2br w:val="nil"/>
              <w:tr2bl w:val="nil"/>
            </w:tcBorders>
            <w:vAlign w:val="center"/>
          </w:tcPr>
          <w:p w14:paraId="3AB9F5C5">
            <w:pPr>
              <w:pStyle w:val="41"/>
              <w:rPr>
                <w:color w:val="auto"/>
                <w:highlight w:val="none"/>
              </w:rPr>
            </w:pPr>
            <w:r>
              <w:rPr>
                <w:color w:val="auto"/>
                <w:highlight w:val="none"/>
              </w:rPr>
              <w:t>15</w:t>
            </w:r>
          </w:p>
        </w:tc>
      </w:tr>
      <w:tr w14:paraId="41907E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75F8B661">
            <w:pPr>
              <w:pStyle w:val="41"/>
              <w:rPr>
                <w:color w:val="auto"/>
                <w:highlight w:val="none"/>
              </w:rPr>
            </w:pPr>
            <w:r>
              <w:rPr>
                <w:color w:val="auto"/>
                <w:highlight w:val="none"/>
              </w:rPr>
              <w:t>39</w:t>
            </w:r>
          </w:p>
        </w:tc>
        <w:tc>
          <w:tcPr>
            <w:tcW w:w="1541" w:type="pct"/>
            <w:tcBorders>
              <w:tl2br w:val="nil"/>
              <w:tr2bl w:val="nil"/>
            </w:tcBorders>
            <w:vAlign w:val="center"/>
          </w:tcPr>
          <w:p w14:paraId="6179A019">
            <w:pPr>
              <w:pStyle w:val="41"/>
              <w:rPr>
                <w:color w:val="auto"/>
                <w:highlight w:val="none"/>
              </w:rPr>
            </w:pPr>
            <w:r>
              <w:rPr>
                <w:color w:val="auto"/>
                <w:highlight w:val="none"/>
              </w:rPr>
              <w:t>苯并</w:t>
            </w:r>
            <w:r>
              <w:rPr>
                <w:rFonts w:hint="eastAsia"/>
                <w:color w:val="auto"/>
                <w:highlight w:val="none"/>
              </w:rPr>
              <w:t>〔</w:t>
            </w:r>
            <w:r>
              <w:rPr>
                <w:color w:val="auto"/>
                <w:highlight w:val="none"/>
              </w:rPr>
              <w:t>a</w:t>
            </w:r>
            <w:r>
              <w:rPr>
                <w:rFonts w:hint="eastAsia"/>
                <w:color w:val="auto"/>
                <w:highlight w:val="none"/>
              </w:rPr>
              <w:t>〕</w:t>
            </w:r>
            <w:r>
              <w:rPr>
                <w:color w:val="auto"/>
                <w:highlight w:val="none"/>
              </w:rPr>
              <w:t>芘</w:t>
            </w:r>
          </w:p>
        </w:tc>
        <w:tc>
          <w:tcPr>
            <w:tcW w:w="1435" w:type="pct"/>
            <w:tcBorders>
              <w:tl2br w:val="nil"/>
              <w:tr2bl w:val="nil"/>
            </w:tcBorders>
            <w:vAlign w:val="center"/>
          </w:tcPr>
          <w:p w14:paraId="11FFB87A">
            <w:pPr>
              <w:pStyle w:val="41"/>
              <w:rPr>
                <w:color w:val="auto"/>
                <w:highlight w:val="none"/>
              </w:rPr>
            </w:pPr>
            <w:r>
              <w:rPr>
                <w:rFonts w:hint="eastAsia"/>
                <w:color w:val="auto"/>
                <w:highlight w:val="none"/>
              </w:rPr>
              <w:t>50-32-8</w:t>
            </w:r>
          </w:p>
        </w:tc>
        <w:tc>
          <w:tcPr>
            <w:tcW w:w="1538" w:type="pct"/>
            <w:tcBorders>
              <w:tl2br w:val="nil"/>
              <w:tr2bl w:val="nil"/>
            </w:tcBorders>
            <w:vAlign w:val="center"/>
          </w:tcPr>
          <w:p w14:paraId="1A54C82F">
            <w:pPr>
              <w:pStyle w:val="41"/>
              <w:rPr>
                <w:color w:val="auto"/>
                <w:highlight w:val="none"/>
              </w:rPr>
            </w:pPr>
            <w:r>
              <w:rPr>
                <w:color w:val="auto"/>
                <w:highlight w:val="none"/>
              </w:rPr>
              <w:t>1.5</w:t>
            </w:r>
          </w:p>
        </w:tc>
      </w:tr>
      <w:tr w14:paraId="3D9D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5F5E56FE">
            <w:pPr>
              <w:pStyle w:val="41"/>
              <w:rPr>
                <w:color w:val="auto"/>
                <w:highlight w:val="none"/>
              </w:rPr>
            </w:pPr>
            <w:r>
              <w:rPr>
                <w:color w:val="auto"/>
                <w:highlight w:val="none"/>
              </w:rPr>
              <w:t>40</w:t>
            </w:r>
          </w:p>
        </w:tc>
        <w:tc>
          <w:tcPr>
            <w:tcW w:w="1541" w:type="pct"/>
            <w:tcBorders>
              <w:tl2br w:val="nil"/>
              <w:tr2bl w:val="nil"/>
            </w:tcBorders>
            <w:vAlign w:val="center"/>
          </w:tcPr>
          <w:p w14:paraId="413C2F28">
            <w:pPr>
              <w:pStyle w:val="41"/>
              <w:rPr>
                <w:color w:val="auto"/>
                <w:highlight w:val="none"/>
              </w:rPr>
            </w:pPr>
            <w:r>
              <w:rPr>
                <w:color w:val="auto"/>
                <w:highlight w:val="none"/>
              </w:rPr>
              <w:t>苯并</w:t>
            </w:r>
            <w:r>
              <w:rPr>
                <w:rFonts w:hint="eastAsia"/>
                <w:color w:val="auto"/>
                <w:highlight w:val="none"/>
              </w:rPr>
              <w:t>〔</w:t>
            </w:r>
            <w:r>
              <w:rPr>
                <w:color w:val="auto"/>
                <w:highlight w:val="none"/>
              </w:rPr>
              <w:t>b</w:t>
            </w:r>
            <w:r>
              <w:rPr>
                <w:rFonts w:hint="eastAsia"/>
                <w:color w:val="auto"/>
                <w:highlight w:val="none"/>
              </w:rPr>
              <w:t>〕</w:t>
            </w:r>
            <w:r>
              <w:rPr>
                <w:color w:val="auto"/>
                <w:highlight w:val="none"/>
              </w:rPr>
              <w:t>荧蒽</w:t>
            </w:r>
          </w:p>
        </w:tc>
        <w:tc>
          <w:tcPr>
            <w:tcW w:w="1435" w:type="pct"/>
            <w:tcBorders>
              <w:tl2br w:val="nil"/>
              <w:tr2bl w:val="nil"/>
            </w:tcBorders>
            <w:vAlign w:val="center"/>
          </w:tcPr>
          <w:p w14:paraId="3CE9E60D">
            <w:pPr>
              <w:pStyle w:val="41"/>
              <w:rPr>
                <w:color w:val="auto"/>
                <w:highlight w:val="none"/>
              </w:rPr>
            </w:pPr>
            <w:r>
              <w:rPr>
                <w:rFonts w:hint="eastAsia"/>
                <w:color w:val="auto"/>
                <w:highlight w:val="none"/>
              </w:rPr>
              <w:t>205-9-2</w:t>
            </w:r>
          </w:p>
        </w:tc>
        <w:tc>
          <w:tcPr>
            <w:tcW w:w="1538" w:type="pct"/>
            <w:tcBorders>
              <w:tl2br w:val="nil"/>
              <w:tr2bl w:val="nil"/>
            </w:tcBorders>
            <w:vAlign w:val="center"/>
          </w:tcPr>
          <w:p w14:paraId="742B565D">
            <w:pPr>
              <w:pStyle w:val="41"/>
              <w:rPr>
                <w:color w:val="auto"/>
                <w:highlight w:val="none"/>
              </w:rPr>
            </w:pPr>
            <w:r>
              <w:rPr>
                <w:color w:val="auto"/>
                <w:highlight w:val="none"/>
              </w:rPr>
              <w:t>15</w:t>
            </w:r>
          </w:p>
        </w:tc>
      </w:tr>
      <w:tr w14:paraId="2B2B86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4FC3CE35">
            <w:pPr>
              <w:pStyle w:val="41"/>
              <w:rPr>
                <w:color w:val="auto"/>
                <w:highlight w:val="none"/>
              </w:rPr>
            </w:pPr>
            <w:r>
              <w:rPr>
                <w:color w:val="auto"/>
                <w:highlight w:val="none"/>
              </w:rPr>
              <w:t>41</w:t>
            </w:r>
          </w:p>
        </w:tc>
        <w:tc>
          <w:tcPr>
            <w:tcW w:w="1541" w:type="pct"/>
            <w:tcBorders>
              <w:tl2br w:val="nil"/>
              <w:tr2bl w:val="nil"/>
            </w:tcBorders>
            <w:vAlign w:val="center"/>
          </w:tcPr>
          <w:p w14:paraId="25CAB4CD">
            <w:pPr>
              <w:pStyle w:val="41"/>
              <w:rPr>
                <w:color w:val="auto"/>
                <w:highlight w:val="none"/>
              </w:rPr>
            </w:pPr>
            <w:r>
              <w:rPr>
                <w:color w:val="auto"/>
                <w:highlight w:val="none"/>
              </w:rPr>
              <w:t>苯并</w:t>
            </w:r>
            <w:r>
              <w:rPr>
                <w:rFonts w:hint="eastAsia"/>
                <w:color w:val="auto"/>
                <w:highlight w:val="none"/>
              </w:rPr>
              <w:t>〔</w:t>
            </w:r>
            <w:r>
              <w:rPr>
                <w:color w:val="auto"/>
                <w:highlight w:val="none"/>
              </w:rPr>
              <w:t>k</w:t>
            </w:r>
            <w:r>
              <w:rPr>
                <w:rFonts w:hint="eastAsia"/>
                <w:color w:val="auto"/>
                <w:highlight w:val="none"/>
              </w:rPr>
              <w:t>〕</w:t>
            </w:r>
            <w:r>
              <w:rPr>
                <w:color w:val="auto"/>
                <w:highlight w:val="none"/>
              </w:rPr>
              <w:t>荧蒽</w:t>
            </w:r>
          </w:p>
        </w:tc>
        <w:tc>
          <w:tcPr>
            <w:tcW w:w="1435" w:type="pct"/>
            <w:tcBorders>
              <w:tl2br w:val="nil"/>
              <w:tr2bl w:val="nil"/>
            </w:tcBorders>
            <w:vAlign w:val="center"/>
          </w:tcPr>
          <w:p w14:paraId="6C86E560">
            <w:pPr>
              <w:pStyle w:val="41"/>
              <w:rPr>
                <w:color w:val="auto"/>
                <w:highlight w:val="none"/>
              </w:rPr>
            </w:pPr>
            <w:r>
              <w:rPr>
                <w:rFonts w:hint="eastAsia"/>
                <w:color w:val="auto"/>
                <w:highlight w:val="none"/>
              </w:rPr>
              <w:t>207-08-9</w:t>
            </w:r>
          </w:p>
        </w:tc>
        <w:tc>
          <w:tcPr>
            <w:tcW w:w="1538" w:type="pct"/>
            <w:tcBorders>
              <w:tl2br w:val="nil"/>
              <w:tr2bl w:val="nil"/>
            </w:tcBorders>
            <w:vAlign w:val="center"/>
          </w:tcPr>
          <w:p w14:paraId="0E1A89F7">
            <w:pPr>
              <w:pStyle w:val="41"/>
              <w:rPr>
                <w:color w:val="auto"/>
                <w:highlight w:val="none"/>
              </w:rPr>
            </w:pPr>
            <w:r>
              <w:rPr>
                <w:color w:val="auto"/>
                <w:highlight w:val="none"/>
              </w:rPr>
              <w:t>151</w:t>
            </w:r>
          </w:p>
        </w:tc>
      </w:tr>
      <w:tr w14:paraId="1B2E69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3FCFBD56">
            <w:pPr>
              <w:pStyle w:val="41"/>
              <w:rPr>
                <w:color w:val="auto"/>
                <w:highlight w:val="none"/>
              </w:rPr>
            </w:pPr>
            <w:r>
              <w:rPr>
                <w:rFonts w:hint="eastAsia"/>
                <w:color w:val="auto"/>
                <w:highlight w:val="none"/>
              </w:rPr>
              <w:t>42</w:t>
            </w:r>
          </w:p>
        </w:tc>
        <w:tc>
          <w:tcPr>
            <w:tcW w:w="1541" w:type="pct"/>
            <w:tcBorders>
              <w:tl2br w:val="nil"/>
              <w:tr2bl w:val="nil"/>
            </w:tcBorders>
            <w:vAlign w:val="center"/>
          </w:tcPr>
          <w:p w14:paraId="1F9F749F">
            <w:pPr>
              <w:pStyle w:val="41"/>
              <w:rPr>
                <w:color w:val="auto"/>
                <w:highlight w:val="none"/>
              </w:rPr>
            </w:pPr>
            <w:r>
              <w:rPr>
                <w:color w:val="auto"/>
                <w:highlight w:val="none"/>
              </w:rPr>
              <w:t>䓛</w:t>
            </w:r>
          </w:p>
        </w:tc>
        <w:tc>
          <w:tcPr>
            <w:tcW w:w="1435" w:type="pct"/>
            <w:tcBorders>
              <w:tl2br w:val="nil"/>
              <w:tr2bl w:val="nil"/>
            </w:tcBorders>
            <w:vAlign w:val="center"/>
          </w:tcPr>
          <w:p w14:paraId="4349AC36">
            <w:pPr>
              <w:pStyle w:val="41"/>
              <w:rPr>
                <w:color w:val="auto"/>
                <w:highlight w:val="none"/>
              </w:rPr>
            </w:pPr>
            <w:r>
              <w:rPr>
                <w:rFonts w:hint="eastAsia"/>
                <w:color w:val="auto"/>
                <w:highlight w:val="none"/>
              </w:rPr>
              <w:t>218-01-9</w:t>
            </w:r>
          </w:p>
        </w:tc>
        <w:tc>
          <w:tcPr>
            <w:tcW w:w="1538" w:type="pct"/>
            <w:tcBorders>
              <w:tl2br w:val="nil"/>
              <w:tr2bl w:val="nil"/>
            </w:tcBorders>
            <w:vAlign w:val="center"/>
          </w:tcPr>
          <w:p w14:paraId="7C607326">
            <w:pPr>
              <w:pStyle w:val="41"/>
              <w:rPr>
                <w:color w:val="auto"/>
                <w:highlight w:val="none"/>
              </w:rPr>
            </w:pPr>
            <w:r>
              <w:rPr>
                <w:color w:val="auto"/>
                <w:highlight w:val="none"/>
              </w:rPr>
              <w:t>1293</w:t>
            </w:r>
          </w:p>
        </w:tc>
      </w:tr>
      <w:tr w14:paraId="5B6083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5E8C4E93">
            <w:pPr>
              <w:pStyle w:val="41"/>
              <w:rPr>
                <w:color w:val="auto"/>
                <w:highlight w:val="none"/>
              </w:rPr>
            </w:pPr>
            <w:r>
              <w:rPr>
                <w:rFonts w:hint="eastAsia"/>
                <w:color w:val="auto"/>
                <w:highlight w:val="none"/>
              </w:rPr>
              <w:t>43</w:t>
            </w:r>
          </w:p>
        </w:tc>
        <w:tc>
          <w:tcPr>
            <w:tcW w:w="1541" w:type="pct"/>
            <w:tcBorders>
              <w:tl2br w:val="nil"/>
              <w:tr2bl w:val="nil"/>
            </w:tcBorders>
            <w:vAlign w:val="center"/>
          </w:tcPr>
          <w:p w14:paraId="47AF5609">
            <w:pPr>
              <w:pStyle w:val="41"/>
              <w:rPr>
                <w:color w:val="auto"/>
                <w:highlight w:val="none"/>
              </w:rPr>
            </w:pPr>
            <w:r>
              <w:rPr>
                <w:color w:val="auto"/>
                <w:highlight w:val="none"/>
              </w:rPr>
              <w:t>二苯并</w:t>
            </w:r>
            <w:r>
              <w:rPr>
                <w:rFonts w:hint="eastAsia"/>
                <w:color w:val="auto"/>
                <w:highlight w:val="none"/>
              </w:rPr>
              <w:t>〔</w:t>
            </w:r>
            <w:r>
              <w:rPr>
                <w:color w:val="auto"/>
                <w:highlight w:val="none"/>
              </w:rPr>
              <w:t>a</w:t>
            </w:r>
            <w:r>
              <w:rPr>
                <w:rFonts w:hint="eastAsia"/>
                <w:color w:val="auto"/>
                <w:highlight w:val="none"/>
              </w:rPr>
              <w:t>,</w:t>
            </w:r>
            <w:r>
              <w:rPr>
                <w:color w:val="auto"/>
                <w:highlight w:val="none"/>
              </w:rPr>
              <w:t>h</w:t>
            </w:r>
            <w:r>
              <w:rPr>
                <w:rFonts w:hint="eastAsia"/>
                <w:color w:val="auto"/>
                <w:highlight w:val="none"/>
              </w:rPr>
              <w:t>〕</w:t>
            </w:r>
            <w:r>
              <w:rPr>
                <w:color w:val="auto"/>
                <w:highlight w:val="none"/>
              </w:rPr>
              <w:t>蒽</w:t>
            </w:r>
          </w:p>
        </w:tc>
        <w:tc>
          <w:tcPr>
            <w:tcW w:w="1435" w:type="pct"/>
            <w:tcBorders>
              <w:tl2br w:val="nil"/>
              <w:tr2bl w:val="nil"/>
            </w:tcBorders>
            <w:vAlign w:val="center"/>
          </w:tcPr>
          <w:p w14:paraId="2C84820B">
            <w:pPr>
              <w:pStyle w:val="41"/>
              <w:rPr>
                <w:color w:val="auto"/>
                <w:highlight w:val="none"/>
              </w:rPr>
            </w:pPr>
            <w:r>
              <w:rPr>
                <w:rFonts w:hint="eastAsia"/>
                <w:color w:val="auto"/>
                <w:highlight w:val="none"/>
              </w:rPr>
              <w:t>53-70-3</w:t>
            </w:r>
          </w:p>
        </w:tc>
        <w:tc>
          <w:tcPr>
            <w:tcW w:w="1538" w:type="pct"/>
            <w:tcBorders>
              <w:tl2br w:val="nil"/>
              <w:tr2bl w:val="nil"/>
            </w:tcBorders>
            <w:vAlign w:val="center"/>
          </w:tcPr>
          <w:p w14:paraId="727DB39D">
            <w:pPr>
              <w:pStyle w:val="41"/>
              <w:rPr>
                <w:color w:val="auto"/>
                <w:highlight w:val="none"/>
              </w:rPr>
            </w:pPr>
            <w:r>
              <w:rPr>
                <w:color w:val="auto"/>
                <w:highlight w:val="none"/>
              </w:rPr>
              <w:t>1.5</w:t>
            </w:r>
          </w:p>
        </w:tc>
      </w:tr>
      <w:tr w14:paraId="342F78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20941F0D">
            <w:pPr>
              <w:pStyle w:val="41"/>
              <w:rPr>
                <w:color w:val="auto"/>
                <w:highlight w:val="none"/>
              </w:rPr>
            </w:pPr>
            <w:r>
              <w:rPr>
                <w:rFonts w:hint="eastAsia"/>
                <w:color w:val="auto"/>
                <w:highlight w:val="none"/>
              </w:rPr>
              <w:t>44</w:t>
            </w:r>
          </w:p>
        </w:tc>
        <w:tc>
          <w:tcPr>
            <w:tcW w:w="1541" w:type="pct"/>
            <w:tcBorders>
              <w:tl2br w:val="nil"/>
              <w:tr2bl w:val="nil"/>
            </w:tcBorders>
            <w:vAlign w:val="center"/>
          </w:tcPr>
          <w:p w14:paraId="6D77EBD2">
            <w:pPr>
              <w:pStyle w:val="41"/>
              <w:rPr>
                <w:color w:val="auto"/>
                <w:highlight w:val="none"/>
              </w:rPr>
            </w:pPr>
            <w:r>
              <w:rPr>
                <w:color w:val="auto"/>
                <w:highlight w:val="none"/>
              </w:rPr>
              <w:t>茚并</w:t>
            </w:r>
            <w:r>
              <w:rPr>
                <w:rFonts w:hint="eastAsia"/>
                <w:color w:val="auto"/>
                <w:highlight w:val="none"/>
              </w:rPr>
              <w:t>〔</w:t>
            </w:r>
            <w:r>
              <w:rPr>
                <w:color w:val="auto"/>
                <w:highlight w:val="none"/>
              </w:rPr>
              <w:t>1</w:t>
            </w:r>
            <w:r>
              <w:rPr>
                <w:rFonts w:hint="eastAsia"/>
                <w:color w:val="auto"/>
                <w:highlight w:val="none"/>
              </w:rPr>
              <w:t>,</w:t>
            </w:r>
            <w:r>
              <w:rPr>
                <w:color w:val="auto"/>
                <w:highlight w:val="none"/>
              </w:rPr>
              <w:t>2</w:t>
            </w:r>
            <w:r>
              <w:rPr>
                <w:rFonts w:hint="eastAsia"/>
                <w:color w:val="auto"/>
                <w:highlight w:val="none"/>
              </w:rPr>
              <w:t>,</w:t>
            </w:r>
            <w:r>
              <w:rPr>
                <w:color w:val="auto"/>
                <w:highlight w:val="none"/>
              </w:rPr>
              <w:t>3</w:t>
            </w:r>
            <w:r>
              <w:rPr>
                <w:rFonts w:hint="eastAsia"/>
                <w:color w:val="auto"/>
                <w:highlight w:val="none"/>
              </w:rPr>
              <w:t>,</w:t>
            </w:r>
            <w:r>
              <w:rPr>
                <w:color w:val="auto"/>
                <w:highlight w:val="none"/>
              </w:rPr>
              <w:t>-cd</w:t>
            </w:r>
            <w:r>
              <w:rPr>
                <w:rFonts w:hint="eastAsia"/>
                <w:color w:val="auto"/>
                <w:highlight w:val="none"/>
              </w:rPr>
              <w:t>〕</w:t>
            </w:r>
            <w:r>
              <w:rPr>
                <w:color w:val="auto"/>
                <w:highlight w:val="none"/>
              </w:rPr>
              <w:t>芘</w:t>
            </w:r>
          </w:p>
        </w:tc>
        <w:tc>
          <w:tcPr>
            <w:tcW w:w="1435" w:type="pct"/>
            <w:tcBorders>
              <w:tl2br w:val="nil"/>
              <w:tr2bl w:val="nil"/>
            </w:tcBorders>
            <w:vAlign w:val="center"/>
          </w:tcPr>
          <w:p w14:paraId="2C9EB6AD">
            <w:pPr>
              <w:pStyle w:val="41"/>
              <w:rPr>
                <w:color w:val="auto"/>
                <w:highlight w:val="none"/>
              </w:rPr>
            </w:pPr>
            <w:r>
              <w:rPr>
                <w:rFonts w:hint="eastAsia"/>
                <w:color w:val="auto"/>
                <w:highlight w:val="none"/>
              </w:rPr>
              <w:t>193-39-5</w:t>
            </w:r>
          </w:p>
        </w:tc>
        <w:tc>
          <w:tcPr>
            <w:tcW w:w="1538" w:type="pct"/>
            <w:tcBorders>
              <w:tl2br w:val="nil"/>
              <w:tr2bl w:val="nil"/>
            </w:tcBorders>
            <w:vAlign w:val="center"/>
          </w:tcPr>
          <w:p w14:paraId="5FD2C72A">
            <w:pPr>
              <w:pStyle w:val="41"/>
              <w:rPr>
                <w:color w:val="auto"/>
                <w:highlight w:val="none"/>
              </w:rPr>
            </w:pPr>
            <w:r>
              <w:rPr>
                <w:color w:val="auto"/>
                <w:highlight w:val="none"/>
              </w:rPr>
              <w:t>15</w:t>
            </w:r>
          </w:p>
        </w:tc>
      </w:tr>
      <w:tr w14:paraId="02BAA0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1C311224">
            <w:pPr>
              <w:pStyle w:val="41"/>
              <w:rPr>
                <w:color w:val="auto"/>
                <w:highlight w:val="none"/>
              </w:rPr>
            </w:pPr>
            <w:r>
              <w:rPr>
                <w:rFonts w:hint="eastAsia"/>
                <w:color w:val="auto"/>
                <w:highlight w:val="none"/>
              </w:rPr>
              <w:t>45</w:t>
            </w:r>
          </w:p>
        </w:tc>
        <w:tc>
          <w:tcPr>
            <w:tcW w:w="1541" w:type="pct"/>
            <w:tcBorders>
              <w:tl2br w:val="nil"/>
              <w:tr2bl w:val="nil"/>
            </w:tcBorders>
            <w:vAlign w:val="center"/>
          </w:tcPr>
          <w:p w14:paraId="2191C326">
            <w:pPr>
              <w:pStyle w:val="41"/>
              <w:rPr>
                <w:color w:val="auto"/>
                <w:highlight w:val="none"/>
              </w:rPr>
            </w:pPr>
            <w:r>
              <w:rPr>
                <w:color w:val="auto"/>
                <w:highlight w:val="none"/>
              </w:rPr>
              <w:t>萘</w:t>
            </w:r>
          </w:p>
        </w:tc>
        <w:tc>
          <w:tcPr>
            <w:tcW w:w="1435" w:type="pct"/>
            <w:tcBorders>
              <w:tl2br w:val="nil"/>
              <w:tr2bl w:val="nil"/>
            </w:tcBorders>
            <w:vAlign w:val="center"/>
          </w:tcPr>
          <w:p w14:paraId="6FF85B00">
            <w:pPr>
              <w:pStyle w:val="41"/>
              <w:rPr>
                <w:color w:val="auto"/>
                <w:highlight w:val="none"/>
              </w:rPr>
            </w:pPr>
            <w:r>
              <w:rPr>
                <w:rFonts w:hint="eastAsia"/>
                <w:color w:val="auto"/>
                <w:highlight w:val="none"/>
              </w:rPr>
              <w:t>91-20-3</w:t>
            </w:r>
          </w:p>
        </w:tc>
        <w:tc>
          <w:tcPr>
            <w:tcW w:w="1538" w:type="pct"/>
            <w:tcBorders>
              <w:tl2br w:val="nil"/>
              <w:tr2bl w:val="nil"/>
            </w:tcBorders>
            <w:vAlign w:val="center"/>
          </w:tcPr>
          <w:p w14:paraId="25C7F2CE">
            <w:pPr>
              <w:pStyle w:val="41"/>
              <w:rPr>
                <w:color w:val="auto"/>
                <w:highlight w:val="none"/>
              </w:rPr>
            </w:pPr>
            <w:r>
              <w:rPr>
                <w:color w:val="auto"/>
                <w:highlight w:val="none"/>
              </w:rPr>
              <w:t>70</w:t>
            </w:r>
          </w:p>
        </w:tc>
      </w:tr>
      <w:tr w14:paraId="74D76A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5000" w:type="pct"/>
            <w:gridSpan w:val="4"/>
            <w:tcBorders>
              <w:tl2br w:val="nil"/>
              <w:tr2bl w:val="nil"/>
            </w:tcBorders>
            <w:vAlign w:val="center"/>
          </w:tcPr>
          <w:p w14:paraId="4CAF1C24">
            <w:pPr>
              <w:pStyle w:val="41"/>
              <w:rPr>
                <w:color w:val="auto"/>
                <w:highlight w:val="none"/>
              </w:rPr>
            </w:pPr>
            <w:r>
              <w:rPr>
                <w:rFonts w:hint="eastAsia"/>
                <w:color w:val="auto"/>
                <w:highlight w:val="none"/>
              </w:rPr>
              <w:t>其他</w:t>
            </w:r>
          </w:p>
        </w:tc>
      </w:tr>
      <w:tr w14:paraId="776A95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4" w:type="pct"/>
            <w:tcBorders>
              <w:tl2br w:val="nil"/>
              <w:tr2bl w:val="nil"/>
            </w:tcBorders>
            <w:vAlign w:val="center"/>
          </w:tcPr>
          <w:p w14:paraId="0727E24F">
            <w:pPr>
              <w:pStyle w:val="41"/>
              <w:rPr>
                <w:color w:val="auto"/>
                <w:highlight w:val="none"/>
              </w:rPr>
            </w:pPr>
            <w:r>
              <w:rPr>
                <w:rFonts w:hint="eastAsia"/>
                <w:color w:val="auto"/>
                <w:highlight w:val="none"/>
              </w:rPr>
              <w:t>46</w:t>
            </w:r>
          </w:p>
        </w:tc>
        <w:tc>
          <w:tcPr>
            <w:tcW w:w="1541" w:type="pct"/>
            <w:tcBorders>
              <w:tl2br w:val="nil"/>
              <w:tr2bl w:val="nil"/>
            </w:tcBorders>
            <w:vAlign w:val="center"/>
          </w:tcPr>
          <w:p w14:paraId="2021A2FA">
            <w:pPr>
              <w:pStyle w:val="41"/>
              <w:rPr>
                <w:color w:val="auto"/>
                <w:highlight w:val="none"/>
              </w:rPr>
            </w:pPr>
            <w:r>
              <w:rPr>
                <w:rFonts w:hint="eastAsia"/>
                <w:color w:val="auto"/>
                <w:highlight w:val="none"/>
              </w:rPr>
              <w:t>钴</w:t>
            </w:r>
          </w:p>
        </w:tc>
        <w:tc>
          <w:tcPr>
            <w:tcW w:w="1435" w:type="pct"/>
            <w:tcBorders>
              <w:tl2br w:val="nil"/>
              <w:tr2bl w:val="nil"/>
            </w:tcBorders>
            <w:vAlign w:val="center"/>
          </w:tcPr>
          <w:p w14:paraId="45762617">
            <w:pPr>
              <w:pStyle w:val="41"/>
              <w:rPr>
                <w:color w:val="auto"/>
                <w:highlight w:val="none"/>
              </w:rPr>
            </w:pPr>
            <w:r>
              <w:rPr>
                <w:rFonts w:hint="eastAsia"/>
                <w:color w:val="auto"/>
                <w:highlight w:val="none"/>
              </w:rPr>
              <w:t>7440-48-4</w:t>
            </w:r>
          </w:p>
        </w:tc>
        <w:tc>
          <w:tcPr>
            <w:tcW w:w="1538" w:type="pct"/>
            <w:tcBorders>
              <w:tl2br w:val="nil"/>
              <w:tr2bl w:val="nil"/>
            </w:tcBorders>
            <w:vAlign w:val="center"/>
          </w:tcPr>
          <w:p w14:paraId="60A00EF4">
            <w:pPr>
              <w:pStyle w:val="41"/>
              <w:rPr>
                <w:color w:val="auto"/>
                <w:highlight w:val="none"/>
              </w:rPr>
            </w:pPr>
            <w:r>
              <w:rPr>
                <w:rFonts w:hint="eastAsia"/>
                <w:color w:val="auto"/>
                <w:highlight w:val="none"/>
              </w:rPr>
              <w:t>70</w:t>
            </w:r>
          </w:p>
        </w:tc>
      </w:tr>
    </w:tbl>
    <w:p w14:paraId="56325B3F">
      <w:pPr>
        <w:pStyle w:val="40"/>
        <w:spacing w:before="24" w:after="24"/>
        <w:rPr>
          <w:rFonts w:eastAsia="华文中宋"/>
          <w:color w:val="auto"/>
          <w:highlight w:val="none"/>
        </w:rPr>
      </w:pPr>
      <w:r>
        <w:rPr>
          <w:rFonts w:eastAsia="华文中宋"/>
          <w:color w:val="auto"/>
          <w:highlight w:val="none"/>
        </w:rPr>
        <w:t>表</w:t>
      </w:r>
      <w:r>
        <w:rPr>
          <w:rFonts w:hint="eastAsia"/>
          <w:color w:val="auto"/>
          <w:highlight w:val="none"/>
          <w:lang w:val="en-US" w:eastAsia="zh-CN"/>
        </w:rPr>
        <w:t>2</w:t>
      </w:r>
      <w:r>
        <w:rPr>
          <w:rFonts w:eastAsia="华文中宋"/>
          <w:color w:val="auto"/>
          <w:highlight w:val="none"/>
        </w:rPr>
        <w:t>.4-5  《土壤环境质量农用地土壤污染风险管控标准》（GB15618-2018）筛选值标准</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52"/>
        <w:gridCol w:w="2822"/>
        <w:gridCol w:w="3436"/>
      </w:tblGrid>
      <w:tr w14:paraId="1EA9D3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323" w:type="pct"/>
            <w:noWrap w:val="0"/>
            <w:vAlign w:val="center"/>
          </w:tcPr>
          <w:p w14:paraId="7A5BDB26">
            <w:pPr>
              <w:pStyle w:val="41"/>
              <w:rPr>
                <w:color w:val="auto"/>
                <w:highlight w:val="none"/>
              </w:rPr>
            </w:pPr>
            <w:r>
              <w:rPr>
                <w:color w:val="auto"/>
                <w:highlight w:val="none"/>
              </w:rPr>
              <w:t>序号</w:t>
            </w:r>
          </w:p>
        </w:tc>
        <w:tc>
          <w:tcPr>
            <w:tcW w:w="1658" w:type="pct"/>
            <w:noWrap w:val="0"/>
            <w:vAlign w:val="center"/>
          </w:tcPr>
          <w:p w14:paraId="451ACB29">
            <w:pPr>
              <w:pStyle w:val="41"/>
              <w:rPr>
                <w:color w:val="auto"/>
                <w:highlight w:val="none"/>
              </w:rPr>
            </w:pPr>
            <w:r>
              <w:rPr>
                <w:color w:val="auto"/>
                <w:highlight w:val="none"/>
              </w:rPr>
              <w:t>污染物项目</w:t>
            </w:r>
          </w:p>
        </w:tc>
        <w:tc>
          <w:tcPr>
            <w:tcW w:w="2019" w:type="pct"/>
            <w:noWrap w:val="0"/>
            <w:vAlign w:val="center"/>
          </w:tcPr>
          <w:p w14:paraId="71EA016A">
            <w:pPr>
              <w:pStyle w:val="41"/>
              <w:rPr>
                <w:color w:val="auto"/>
                <w:highlight w:val="none"/>
              </w:rPr>
            </w:pPr>
            <w:r>
              <w:rPr>
                <w:color w:val="auto"/>
                <w:highlight w:val="none"/>
              </w:rPr>
              <w:t>风险筛选值（pH＞7.5）</w:t>
            </w:r>
          </w:p>
        </w:tc>
      </w:tr>
      <w:tr w14:paraId="2FAC2A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323" w:type="pct"/>
            <w:noWrap w:val="0"/>
            <w:vAlign w:val="center"/>
          </w:tcPr>
          <w:p w14:paraId="4697EEFD">
            <w:pPr>
              <w:pStyle w:val="41"/>
              <w:rPr>
                <w:color w:val="auto"/>
                <w:highlight w:val="none"/>
              </w:rPr>
            </w:pPr>
            <w:r>
              <w:rPr>
                <w:color w:val="auto"/>
                <w:highlight w:val="none"/>
              </w:rPr>
              <w:t>1</w:t>
            </w:r>
          </w:p>
        </w:tc>
        <w:tc>
          <w:tcPr>
            <w:tcW w:w="1658" w:type="pct"/>
            <w:noWrap w:val="0"/>
            <w:vAlign w:val="center"/>
          </w:tcPr>
          <w:p w14:paraId="351CD17F">
            <w:pPr>
              <w:pStyle w:val="41"/>
              <w:rPr>
                <w:color w:val="auto"/>
                <w:highlight w:val="none"/>
              </w:rPr>
            </w:pPr>
            <w:r>
              <w:rPr>
                <w:color w:val="auto"/>
                <w:highlight w:val="none"/>
              </w:rPr>
              <w:t>镉</w:t>
            </w:r>
          </w:p>
        </w:tc>
        <w:tc>
          <w:tcPr>
            <w:tcW w:w="2019" w:type="pct"/>
            <w:noWrap w:val="0"/>
            <w:vAlign w:val="center"/>
          </w:tcPr>
          <w:p w14:paraId="492D90C5">
            <w:pPr>
              <w:pStyle w:val="41"/>
              <w:rPr>
                <w:color w:val="auto"/>
                <w:highlight w:val="none"/>
              </w:rPr>
            </w:pPr>
            <w:r>
              <w:rPr>
                <w:color w:val="auto"/>
                <w:highlight w:val="none"/>
              </w:rPr>
              <w:t>0.6</w:t>
            </w:r>
          </w:p>
        </w:tc>
      </w:tr>
      <w:tr w14:paraId="587C59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323" w:type="pct"/>
            <w:noWrap w:val="0"/>
            <w:vAlign w:val="center"/>
          </w:tcPr>
          <w:p w14:paraId="43BAD181">
            <w:pPr>
              <w:pStyle w:val="41"/>
              <w:rPr>
                <w:color w:val="auto"/>
                <w:highlight w:val="none"/>
              </w:rPr>
            </w:pPr>
            <w:r>
              <w:rPr>
                <w:color w:val="auto"/>
                <w:highlight w:val="none"/>
              </w:rPr>
              <w:t>2</w:t>
            </w:r>
          </w:p>
        </w:tc>
        <w:tc>
          <w:tcPr>
            <w:tcW w:w="1658" w:type="pct"/>
            <w:noWrap w:val="0"/>
            <w:vAlign w:val="center"/>
          </w:tcPr>
          <w:p w14:paraId="6D29B92A">
            <w:pPr>
              <w:pStyle w:val="41"/>
              <w:rPr>
                <w:color w:val="auto"/>
                <w:highlight w:val="none"/>
              </w:rPr>
            </w:pPr>
            <w:r>
              <w:rPr>
                <w:color w:val="auto"/>
                <w:highlight w:val="none"/>
              </w:rPr>
              <w:t>汞</w:t>
            </w:r>
          </w:p>
        </w:tc>
        <w:tc>
          <w:tcPr>
            <w:tcW w:w="2019" w:type="pct"/>
            <w:noWrap w:val="0"/>
            <w:vAlign w:val="center"/>
          </w:tcPr>
          <w:p w14:paraId="60D51E5C">
            <w:pPr>
              <w:pStyle w:val="41"/>
              <w:rPr>
                <w:color w:val="auto"/>
                <w:highlight w:val="none"/>
              </w:rPr>
            </w:pPr>
            <w:r>
              <w:rPr>
                <w:color w:val="auto"/>
                <w:highlight w:val="none"/>
              </w:rPr>
              <w:t>3.4</w:t>
            </w:r>
          </w:p>
        </w:tc>
      </w:tr>
      <w:tr w14:paraId="2E4D48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323" w:type="pct"/>
            <w:noWrap w:val="0"/>
            <w:vAlign w:val="center"/>
          </w:tcPr>
          <w:p w14:paraId="25D2CB0C">
            <w:pPr>
              <w:pStyle w:val="41"/>
              <w:rPr>
                <w:color w:val="auto"/>
                <w:highlight w:val="none"/>
              </w:rPr>
            </w:pPr>
            <w:r>
              <w:rPr>
                <w:color w:val="auto"/>
                <w:highlight w:val="none"/>
              </w:rPr>
              <w:t>3</w:t>
            </w:r>
          </w:p>
        </w:tc>
        <w:tc>
          <w:tcPr>
            <w:tcW w:w="1658" w:type="pct"/>
            <w:noWrap w:val="0"/>
            <w:vAlign w:val="center"/>
          </w:tcPr>
          <w:p w14:paraId="174D34A4">
            <w:pPr>
              <w:pStyle w:val="41"/>
              <w:rPr>
                <w:color w:val="auto"/>
                <w:highlight w:val="none"/>
              </w:rPr>
            </w:pPr>
            <w:r>
              <w:rPr>
                <w:color w:val="auto"/>
                <w:highlight w:val="none"/>
              </w:rPr>
              <w:t>砷</w:t>
            </w:r>
          </w:p>
        </w:tc>
        <w:tc>
          <w:tcPr>
            <w:tcW w:w="2019" w:type="pct"/>
            <w:noWrap w:val="0"/>
            <w:vAlign w:val="center"/>
          </w:tcPr>
          <w:p w14:paraId="33EF7C6C">
            <w:pPr>
              <w:pStyle w:val="41"/>
              <w:rPr>
                <w:color w:val="auto"/>
                <w:highlight w:val="none"/>
              </w:rPr>
            </w:pPr>
            <w:r>
              <w:rPr>
                <w:color w:val="auto"/>
                <w:highlight w:val="none"/>
              </w:rPr>
              <w:t>25</w:t>
            </w:r>
          </w:p>
        </w:tc>
      </w:tr>
      <w:tr w14:paraId="339CB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323" w:type="pct"/>
            <w:noWrap w:val="0"/>
            <w:vAlign w:val="center"/>
          </w:tcPr>
          <w:p w14:paraId="141F2372">
            <w:pPr>
              <w:pStyle w:val="41"/>
              <w:rPr>
                <w:color w:val="auto"/>
                <w:highlight w:val="none"/>
              </w:rPr>
            </w:pPr>
            <w:r>
              <w:rPr>
                <w:color w:val="auto"/>
                <w:highlight w:val="none"/>
              </w:rPr>
              <w:t>4</w:t>
            </w:r>
          </w:p>
        </w:tc>
        <w:tc>
          <w:tcPr>
            <w:tcW w:w="1658" w:type="pct"/>
            <w:noWrap w:val="0"/>
            <w:vAlign w:val="center"/>
          </w:tcPr>
          <w:p w14:paraId="2A1AE139">
            <w:pPr>
              <w:pStyle w:val="41"/>
              <w:rPr>
                <w:color w:val="auto"/>
                <w:highlight w:val="none"/>
              </w:rPr>
            </w:pPr>
            <w:r>
              <w:rPr>
                <w:color w:val="auto"/>
                <w:highlight w:val="none"/>
              </w:rPr>
              <w:t>铅</w:t>
            </w:r>
          </w:p>
        </w:tc>
        <w:tc>
          <w:tcPr>
            <w:tcW w:w="2019" w:type="pct"/>
            <w:noWrap w:val="0"/>
            <w:vAlign w:val="center"/>
          </w:tcPr>
          <w:p w14:paraId="1F789080">
            <w:pPr>
              <w:pStyle w:val="41"/>
              <w:rPr>
                <w:color w:val="auto"/>
                <w:highlight w:val="none"/>
              </w:rPr>
            </w:pPr>
            <w:r>
              <w:rPr>
                <w:color w:val="auto"/>
                <w:highlight w:val="none"/>
              </w:rPr>
              <w:t>170</w:t>
            </w:r>
          </w:p>
        </w:tc>
      </w:tr>
      <w:tr w14:paraId="0EE880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323" w:type="pct"/>
            <w:noWrap w:val="0"/>
            <w:vAlign w:val="center"/>
          </w:tcPr>
          <w:p w14:paraId="3894CA38">
            <w:pPr>
              <w:pStyle w:val="41"/>
              <w:rPr>
                <w:color w:val="auto"/>
                <w:highlight w:val="none"/>
              </w:rPr>
            </w:pPr>
            <w:r>
              <w:rPr>
                <w:color w:val="auto"/>
                <w:highlight w:val="none"/>
              </w:rPr>
              <w:t>5</w:t>
            </w:r>
          </w:p>
        </w:tc>
        <w:tc>
          <w:tcPr>
            <w:tcW w:w="1658" w:type="pct"/>
            <w:noWrap w:val="0"/>
            <w:vAlign w:val="center"/>
          </w:tcPr>
          <w:p w14:paraId="4E8BDED9">
            <w:pPr>
              <w:pStyle w:val="41"/>
              <w:rPr>
                <w:color w:val="auto"/>
                <w:highlight w:val="none"/>
              </w:rPr>
            </w:pPr>
            <w:r>
              <w:rPr>
                <w:color w:val="auto"/>
                <w:highlight w:val="none"/>
              </w:rPr>
              <w:t>铬</w:t>
            </w:r>
          </w:p>
        </w:tc>
        <w:tc>
          <w:tcPr>
            <w:tcW w:w="2019" w:type="pct"/>
            <w:noWrap w:val="0"/>
            <w:vAlign w:val="center"/>
          </w:tcPr>
          <w:p w14:paraId="4D02E0B4">
            <w:pPr>
              <w:pStyle w:val="41"/>
              <w:rPr>
                <w:color w:val="auto"/>
                <w:highlight w:val="none"/>
              </w:rPr>
            </w:pPr>
            <w:r>
              <w:rPr>
                <w:color w:val="auto"/>
                <w:highlight w:val="none"/>
              </w:rPr>
              <w:t>250</w:t>
            </w:r>
          </w:p>
        </w:tc>
      </w:tr>
      <w:tr w14:paraId="3BDCCB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323" w:type="pct"/>
            <w:noWrap w:val="0"/>
            <w:vAlign w:val="center"/>
          </w:tcPr>
          <w:p w14:paraId="048AED90">
            <w:pPr>
              <w:pStyle w:val="41"/>
              <w:rPr>
                <w:color w:val="auto"/>
                <w:highlight w:val="none"/>
              </w:rPr>
            </w:pPr>
            <w:r>
              <w:rPr>
                <w:color w:val="auto"/>
                <w:highlight w:val="none"/>
              </w:rPr>
              <w:t>6</w:t>
            </w:r>
          </w:p>
        </w:tc>
        <w:tc>
          <w:tcPr>
            <w:tcW w:w="1658" w:type="pct"/>
            <w:noWrap w:val="0"/>
            <w:vAlign w:val="center"/>
          </w:tcPr>
          <w:p w14:paraId="5322CE3C">
            <w:pPr>
              <w:pStyle w:val="41"/>
              <w:rPr>
                <w:color w:val="auto"/>
                <w:highlight w:val="none"/>
              </w:rPr>
            </w:pPr>
            <w:r>
              <w:rPr>
                <w:color w:val="auto"/>
                <w:highlight w:val="none"/>
              </w:rPr>
              <w:t>铜</w:t>
            </w:r>
          </w:p>
        </w:tc>
        <w:tc>
          <w:tcPr>
            <w:tcW w:w="2019" w:type="pct"/>
            <w:noWrap w:val="0"/>
            <w:vAlign w:val="center"/>
          </w:tcPr>
          <w:p w14:paraId="21DA2135">
            <w:pPr>
              <w:pStyle w:val="41"/>
              <w:rPr>
                <w:color w:val="auto"/>
                <w:highlight w:val="none"/>
              </w:rPr>
            </w:pPr>
            <w:r>
              <w:rPr>
                <w:color w:val="auto"/>
                <w:highlight w:val="none"/>
              </w:rPr>
              <w:t>100</w:t>
            </w:r>
          </w:p>
        </w:tc>
      </w:tr>
      <w:tr w14:paraId="2FFB0B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323" w:type="pct"/>
            <w:noWrap w:val="0"/>
            <w:vAlign w:val="center"/>
          </w:tcPr>
          <w:p w14:paraId="3F465F3E">
            <w:pPr>
              <w:pStyle w:val="41"/>
              <w:rPr>
                <w:color w:val="auto"/>
                <w:highlight w:val="none"/>
              </w:rPr>
            </w:pPr>
            <w:r>
              <w:rPr>
                <w:color w:val="auto"/>
                <w:highlight w:val="none"/>
              </w:rPr>
              <w:t>7</w:t>
            </w:r>
          </w:p>
        </w:tc>
        <w:tc>
          <w:tcPr>
            <w:tcW w:w="1658" w:type="pct"/>
            <w:noWrap w:val="0"/>
            <w:vAlign w:val="center"/>
          </w:tcPr>
          <w:p w14:paraId="681A7A59">
            <w:pPr>
              <w:pStyle w:val="41"/>
              <w:rPr>
                <w:color w:val="auto"/>
                <w:highlight w:val="none"/>
              </w:rPr>
            </w:pPr>
            <w:r>
              <w:rPr>
                <w:color w:val="auto"/>
                <w:highlight w:val="none"/>
              </w:rPr>
              <w:t>镍</w:t>
            </w:r>
          </w:p>
        </w:tc>
        <w:tc>
          <w:tcPr>
            <w:tcW w:w="2019" w:type="pct"/>
            <w:noWrap w:val="0"/>
            <w:vAlign w:val="center"/>
          </w:tcPr>
          <w:p w14:paraId="70B52D8B">
            <w:pPr>
              <w:pStyle w:val="41"/>
              <w:rPr>
                <w:color w:val="auto"/>
                <w:highlight w:val="none"/>
              </w:rPr>
            </w:pPr>
            <w:r>
              <w:rPr>
                <w:color w:val="auto"/>
                <w:highlight w:val="none"/>
              </w:rPr>
              <w:t>190</w:t>
            </w:r>
          </w:p>
        </w:tc>
      </w:tr>
      <w:tr w14:paraId="02B916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323" w:type="pct"/>
            <w:noWrap w:val="0"/>
            <w:vAlign w:val="center"/>
          </w:tcPr>
          <w:p w14:paraId="541366E0">
            <w:pPr>
              <w:pStyle w:val="41"/>
              <w:rPr>
                <w:color w:val="auto"/>
                <w:highlight w:val="none"/>
              </w:rPr>
            </w:pPr>
            <w:r>
              <w:rPr>
                <w:color w:val="auto"/>
                <w:highlight w:val="none"/>
              </w:rPr>
              <w:t>8</w:t>
            </w:r>
          </w:p>
        </w:tc>
        <w:tc>
          <w:tcPr>
            <w:tcW w:w="1658" w:type="pct"/>
            <w:noWrap w:val="0"/>
            <w:vAlign w:val="center"/>
          </w:tcPr>
          <w:p w14:paraId="191C59F0">
            <w:pPr>
              <w:pStyle w:val="41"/>
              <w:rPr>
                <w:color w:val="auto"/>
                <w:highlight w:val="none"/>
              </w:rPr>
            </w:pPr>
            <w:r>
              <w:rPr>
                <w:color w:val="auto"/>
                <w:highlight w:val="none"/>
              </w:rPr>
              <w:t>锌</w:t>
            </w:r>
          </w:p>
        </w:tc>
        <w:tc>
          <w:tcPr>
            <w:tcW w:w="2019" w:type="pct"/>
            <w:noWrap w:val="0"/>
            <w:vAlign w:val="center"/>
          </w:tcPr>
          <w:p w14:paraId="1A540F6E">
            <w:pPr>
              <w:pStyle w:val="41"/>
              <w:rPr>
                <w:color w:val="auto"/>
                <w:highlight w:val="none"/>
              </w:rPr>
            </w:pPr>
            <w:r>
              <w:rPr>
                <w:color w:val="auto"/>
                <w:highlight w:val="none"/>
              </w:rPr>
              <w:t>300</w:t>
            </w:r>
          </w:p>
        </w:tc>
      </w:tr>
    </w:tbl>
    <w:p w14:paraId="4EEBFC88">
      <w:pPr>
        <w:pStyle w:val="3"/>
        <w:ind w:firstLine="480"/>
        <w:rPr>
          <w:color w:val="auto"/>
          <w:highlight w:val="none"/>
        </w:rPr>
      </w:pPr>
      <w:r>
        <w:rPr>
          <w:rFonts w:hint="eastAsia"/>
          <w:color w:val="auto"/>
          <w:highlight w:val="none"/>
        </w:rPr>
        <w:t>（5）声环境</w:t>
      </w:r>
    </w:p>
    <w:p w14:paraId="4E43D03C">
      <w:pPr>
        <w:pStyle w:val="3"/>
        <w:ind w:firstLine="480"/>
        <w:rPr>
          <w:color w:val="auto"/>
          <w:highlight w:val="none"/>
        </w:rPr>
      </w:pPr>
      <w:r>
        <w:rPr>
          <w:rFonts w:hint="eastAsia"/>
          <w:color w:val="auto"/>
          <w:highlight w:val="none"/>
        </w:rPr>
        <w:t>项目区及其周边区域执行《声环境质量标准》（GB3096-2008）</w:t>
      </w:r>
      <w:r>
        <w:rPr>
          <w:rFonts w:hint="eastAsia"/>
          <w:color w:val="auto"/>
          <w:highlight w:val="none"/>
          <w:lang w:val="en-US" w:eastAsia="zh-CN"/>
        </w:rPr>
        <w:t>3</w:t>
      </w:r>
      <w:r>
        <w:rPr>
          <w:rFonts w:hint="eastAsia"/>
          <w:color w:val="auto"/>
          <w:highlight w:val="none"/>
        </w:rPr>
        <w:t>类标准，具体如下：</w:t>
      </w:r>
    </w:p>
    <w:p w14:paraId="1A987E0B">
      <w:pPr>
        <w:pStyle w:val="40"/>
        <w:spacing w:before="24" w:after="24"/>
        <w:rPr>
          <w:color w:val="auto"/>
          <w:highlight w:val="none"/>
        </w:rPr>
      </w:pPr>
      <w:r>
        <w:rPr>
          <w:color w:val="auto"/>
          <w:highlight w:val="none"/>
        </w:rPr>
        <w:t>表</w:t>
      </w:r>
      <w:r>
        <w:rPr>
          <w:rFonts w:hint="eastAsia"/>
          <w:color w:val="auto"/>
          <w:highlight w:val="none"/>
        </w:rPr>
        <w:t>2.4-</w:t>
      </w:r>
      <w:r>
        <w:rPr>
          <w:rFonts w:hint="eastAsia"/>
          <w:color w:val="auto"/>
          <w:highlight w:val="none"/>
          <w:lang w:val="en-US" w:eastAsia="zh-CN"/>
        </w:rPr>
        <w:t>6</w:t>
      </w:r>
      <w:r>
        <w:rPr>
          <w:rFonts w:hint="eastAsia"/>
          <w:color w:val="auto"/>
          <w:highlight w:val="none"/>
        </w:rPr>
        <w:t xml:space="preserve">    声环境质量</w:t>
      </w:r>
      <w:r>
        <w:rPr>
          <w:color w:val="auto"/>
          <w:highlight w:val="none"/>
        </w:rPr>
        <w:t>标准</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2175"/>
        <w:gridCol w:w="793"/>
        <w:gridCol w:w="689"/>
        <w:gridCol w:w="640"/>
        <w:gridCol w:w="4108"/>
      </w:tblGrid>
      <w:tr w14:paraId="4BC9BF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227" w:hRule="atLeast"/>
          <w:tblHeader/>
          <w:jc w:val="center"/>
        </w:trPr>
        <w:tc>
          <w:tcPr>
            <w:tcW w:w="1292" w:type="pct"/>
            <w:vMerge w:val="restart"/>
            <w:tcBorders>
              <w:tl2br w:val="nil"/>
              <w:tr2bl w:val="nil"/>
            </w:tcBorders>
            <w:vAlign w:val="center"/>
          </w:tcPr>
          <w:p w14:paraId="67282337">
            <w:pPr>
              <w:pStyle w:val="41"/>
              <w:rPr>
                <w:color w:val="auto"/>
                <w:highlight w:val="none"/>
              </w:rPr>
            </w:pPr>
            <w:r>
              <w:rPr>
                <w:rFonts w:hint="eastAsia"/>
                <w:color w:val="auto"/>
                <w:highlight w:val="none"/>
              </w:rPr>
              <w:t>项目</w:t>
            </w:r>
          </w:p>
        </w:tc>
        <w:tc>
          <w:tcPr>
            <w:tcW w:w="472" w:type="pct"/>
            <w:vMerge w:val="restart"/>
            <w:tcBorders>
              <w:tl2br w:val="nil"/>
              <w:tr2bl w:val="nil"/>
            </w:tcBorders>
            <w:vAlign w:val="center"/>
          </w:tcPr>
          <w:p w14:paraId="09DBF02B">
            <w:pPr>
              <w:pStyle w:val="41"/>
              <w:rPr>
                <w:color w:val="auto"/>
                <w:highlight w:val="none"/>
              </w:rPr>
            </w:pPr>
            <w:r>
              <w:rPr>
                <w:rFonts w:hint="eastAsia"/>
                <w:color w:val="auto"/>
                <w:highlight w:val="none"/>
              </w:rPr>
              <w:t>单位</w:t>
            </w:r>
          </w:p>
        </w:tc>
        <w:tc>
          <w:tcPr>
            <w:tcW w:w="791" w:type="pct"/>
            <w:gridSpan w:val="2"/>
            <w:tcBorders>
              <w:tl2br w:val="nil"/>
              <w:tr2bl w:val="nil"/>
            </w:tcBorders>
            <w:vAlign w:val="center"/>
          </w:tcPr>
          <w:p w14:paraId="55994669">
            <w:pPr>
              <w:pStyle w:val="41"/>
              <w:rPr>
                <w:color w:val="auto"/>
                <w:highlight w:val="none"/>
              </w:rPr>
            </w:pPr>
            <w:r>
              <w:rPr>
                <w:rFonts w:hint="eastAsia"/>
                <w:color w:val="auto"/>
                <w:highlight w:val="none"/>
              </w:rPr>
              <w:t>标准值</w:t>
            </w:r>
          </w:p>
        </w:tc>
        <w:tc>
          <w:tcPr>
            <w:tcW w:w="2443" w:type="pct"/>
            <w:vMerge w:val="restart"/>
            <w:tcBorders>
              <w:tl2br w:val="nil"/>
              <w:tr2bl w:val="nil"/>
            </w:tcBorders>
            <w:vAlign w:val="center"/>
          </w:tcPr>
          <w:p w14:paraId="742F0B19">
            <w:pPr>
              <w:pStyle w:val="41"/>
              <w:rPr>
                <w:color w:val="auto"/>
                <w:highlight w:val="none"/>
              </w:rPr>
            </w:pPr>
            <w:r>
              <w:rPr>
                <w:rFonts w:hint="eastAsia"/>
                <w:color w:val="auto"/>
                <w:highlight w:val="none"/>
              </w:rPr>
              <w:t>标准来源</w:t>
            </w:r>
          </w:p>
        </w:tc>
      </w:tr>
      <w:tr w14:paraId="613DB3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227" w:hRule="atLeast"/>
          <w:tblHeader/>
          <w:jc w:val="center"/>
        </w:trPr>
        <w:tc>
          <w:tcPr>
            <w:tcW w:w="1292" w:type="pct"/>
            <w:vMerge w:val="continue"/>
            <w:tcBorders>
              <w:tl2br w:val="nil"/>
              <w:tr2bl w:val="nil"/>
            </w:tcBorders>
            <w:vAlign w:val="center"/>
          </w:tcPr>
          <w:p w14:paraId="15D5056D">
            <w:pPr>
              <w:pStyle w:val="41"/>
              <w:rPr>
                <w:color w:val="auto"/>
                <w:highlight w:val="none"/>
              </w:rPr>
            </w:pPr>
          </w:p>
        </w:tc>
        <w:tc>
          <w:tcPr>
            <w:tcW w:w="472" w:type="pct"/>
            <w:vMerge w:val="continue"/>
            <w:tcBorders>
              <w:tl2br w:val="nil"/>
              <w:tr2bl w:val="nil"/>
            </w:tcBorders>
            <w:vAlign w:val="center"/>
          </w:tcPr>
          <w:p w14:paraId="283DD2A8">
            <w:pPr>
              <w:pStyle w:val="41"/>
              <w:rPr>
                <w:color w:val="auto"/>
                <w:highlight w:val="none"/>
              </w:rPr>
            </w:pPr>
          </w:p>
        </w:tc>
        <w:tc>
          <w:tcPr>
            <w:tcW w:w="410" w:type="pct"/>
            <w:tcBorders>
              <w:tl2br w:val="nil"/>
              <w:tr2bl w:val="nil"/>
            </w:tcBorders>
            <w:vAlign w:val="center"/>
          </w:tcPr>
          <w:p w14:paraId="66C74960">
            <w:pPr>
              <w:pStyle w:val="41"/>
              <w:rPr>
                <w:color w:val="auto"/>
                <w:highlight w:val="none"/>
              </w:rPr>
            </w:pPr>
            <w:r>
              <w:rPr>
                <w:rFonts w:hint="eastAsia"/>
                <w:color w:val="auto"/>
                <w:highlight w:val="none"/>
              </w:rPr>
              <w:t>昼间</w:t>
            </w:r>
          </w:p>
        </w:tc>
        <w:tc>
          <w:tcPr>
            <w:tcW w:w="380" w:type="pct"/>
            <w:tcBorders>
              <w:tl2br w:val="nil"/>
              <w:tr2bl w:val="nil"/>
            </w:tcBorders>
            <w:vAlign w:val="center"/>
          </w:tcPr>
          <w:p w14:paraId="0656D99F">
            <w:pPr>
              <w:pStyle w:val="41"/>
              <w:rPr>
                <w:color w:val="auto"/>
                <w:highlight w:val="none"/>
              </w:rPr>
            </w:pPr>
            <w:r>
              <w:rPr>
                <w:rFonts w:hint="eastAsia"/>
                <w:color w:val="auto"/>
                <w:highlight w:val="none"/>
              </w:rPr>
              <w:t>夜间</w:t>
            </w:r>
          </w:p>
        </w:tc>
        <w:tc>
          <w:tcPr>
            <w:tcW w:w="2443" w:type="pct"/>
            <w:vMerge w:val="continue"/>
            <w:tcBorders>
              <w:tl2br w:val="nil"/>
              <w:tr2bl w:val="nil"/>
            </w:tcBorders>
            <w:vAlign w:val="center"/>
          </w:tcPr>
          <w:p w14:paraId="4CE751E6">
            <w:pPr>
              <w:pStyle w:val="41"/>
              <w:rPr>
                <w:color w:val="auto"/>
                <w:highlight w:val="none"/>
              </w:rPr>
            </w:pPr>
          </w:p>
        </w:tc>
      </w:tr>
      <w:tr w14:paraId="7B6E5A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227" w:hRule="atLeast"/>
          <w:jc w:val="center"/>
        </w:trPr>
        <w:tc>
          <w:tcPr>
            <w:tcW w:w="1292" w:type="pct"/>
            <w:tcBorders>
              <w:tl2br w:val="nil"/>
              <w:tr2bl w:val="nil"/>
            </w:tcBorders>
            <w:vAlign w:val="center"/>
          </w:tcPr>
          <w:p w14:paraId="1722ECDC">
            <w:pPr>
              <w:pStyle w:val="41"/>
              <w:rPr>
                <w:color w:val="auto"/>
                <w:highlight w:val="none"/>
              </w:rPr>
            </w:pPr>
            <w:r>
              <w:rPr>
                <w:rFonts w:hint="eastAsia"/>
                <w:color w:val="auto"/>
                <w:highlight w:val="none"/>
              </w:rPr>
              <w:t>项目所在区域</w:t>
            </w:r>
          </w:p>
        </w:tc>
        <w:tc>
          <w:tcPr>
            <w:tcW w:w="472" w:type="pct"/>
            <w:tcBorders>
              <w:tl2br w:val="nil"/>
              <w:tr2bl w:val="nil"/>
            </w:tcBorders>
            <w:vAlign w:val="center"/>
          </w:tcPr>
          <w:p w14:paraId="31E574D0">
            <w:pPr>
              <w:pStyle w:val="41"/>
              <w:rPr>
                <w:color w:val="auto"/>
                <w:highlight w:val="none"/>
              </w:rPr>
            </w:pPr>
            <w:r>
              <w:rPr>
                <w:rFonts w:hint="eastAsia"/>
                <w:color w:val="auto"/>
                <w:highlight w:val="none"/>
              </w:rPr>
              <w:t>dB（A</w:t>
            </w:r>
            <w:r>
              <w:rPr>
                <w:rFonts w:hint="eastAsia"/>
                <w:color w:val="auto"/>
                <w:highlight w:val="none"/>
                <w:lang w:eastAsia="zh-CN"/>
              </w:rPr>
              <w:t>)</w:t>
            </w:r>
          </w:p>
        </w:tc>
        <w:tc>
          <w:tcPr>
            <w:tcW w:w="410" w:type="pct"/>
            <w:tcBorders>
              <w:tl2br w:val="nil"/>
              <w:tr2bl w:val="nil"/>
            </w:tcBorders>
            <w:vAlign w:val="center"/>
          </w:tcPr>
          <w:p w14:paraId="4ABF0E94">
            <w:pPr>
              <w:pStyle w:val="41"/>
              <w:rPr>
                <w:rFonts w:hint="eastAsia" w:eastAsia="华文中宋"/>
                <w:color w:val="auto"/>
                <w:highlight w:val="none"/>
                <w:lang w:eastAsia="zh-CN"/>
              </w:rPr>
            </w:pPr>
            <w:r>
              <w:rPr>
                <w:rFonts w:hint="eastAsia"/>
                <w:color w:val="auto"/>
                <w:highlight w:val="none"/>
              </w:rPr>
              <w:t>6</w:t>
            </w:r>
            <w:r>
              <w:rPr>
                <w:rFonts w:hint="eastAsia"/>
                <w:color w:val="auto"/>
                <w:highlight w:val="none"/>
                <w:lang w:val="en-US" w:eastAsia="zh-CN"/>
              </w:rPr>
              <w:t>5</w:t>
            </w:r>
          </w:p>
        </w:tc>
        <w:tc>
          <w:tcPr>
            <w:tcW w:w="380" w:type="pct"/>
            <w:tcBorders>
              <w:tl2br w:val="nil"/>
              <w:tr2bl w:val="nil"/>
            </w:tcBorders>
            <w:vAlign w:val="center"/>
          </w:tcPr>
          <w:p w14:paraId="1E9F1464">
            <w:pPr>
              <w:pStyle w:val="41"/>
              <w:rPr>
                <w:rFonts w:hint="eastAsia" w:eastAsia="华文中宋"/>
                <w:color w:val="auto"/>
                <w:highlight w:val="none"/>
                <w:lang w:eastAsia="zh-CN"/>
              </w:rPr>
            </w:pPr>
            <w:r>
              <w:rPr>
                <w:rFonts w:hint="eastAsia"/>
                <w:color w:val="auto"/>
                <w:highlight w:val="none"/>
              </w:rPr>
              <w:t>5</w:t>
            </w:r>
            <w:r>
              <w:rPr>
                <w:rFonts w:hint="eastAsia"/>
                <w:color w:val="auto"/>
                <w:highlight w:val="none"/>
                <w:lang w:val="en-US" w:eastAsia="zh-CN"/>
              </w:rPr>
              <w:t>5</w:t>
            </w:r>
          </w:p>
        </w:tc>
        <w:tc>
          <w:tcPr>
            <w:tcW w:w="2443" w:type="pct"/>
            <w:tcBorders>
              <w:tl2br w:val="nil"/>
              <w:tr2bl w:val="nil"/>
            </w:tcBorders>
            <w:vAlign w:val="center"/>
          </w:tcPr>
          <w:p w14:paraId="57DE04E3">
            <w:pPr>
              <w:pStyle w:val="41"/>
              <w:rPr>
                <w:color w:val="auto"/>
                <w:highlight w:val="none"/>
              </w:rPr>
            </w:pPr>
            <w:r>
              <w:rPr>
                <w:rFonts w:hint="eastAsia"/>
                <w:color w:val="auto"/>
                <w:highlight w:val="none"/>
              </w:rPr>
              <w:t>《声环境质量标准》（GB3096-2008）</w:t>
            </w:r>
            <w:r>
              <w:rPr>
                <w:rFonts w:hint="eastAsia"/>
                <w:color w:val="auto"/>
                <w:highlight w:val="none"/>
                <w:lang w:val="en-US" w:eastAsia="zh-CN"/>
              </w:rPr>
              <w:t>3</w:t>
            </w:r>
            <w:r>
              <w:rPr>
                <w:rFonts w:hint="eastAsia"/>
                <w:color w:val="auto"/>
                <w:highlight w:val="none"/>
              </w:rPr>
              <w:t>类</w:t>
            </w:r>
          </w:p>
        </w:tc>
      </w:tr>
    </w:tbl>
    <w:p w14:paraId="53805EB0">
      <w:pPr>
        <w:pStyle w:val="42"/>
        <w:rPr>
          <w:rFonts w:hint="default"/>
          <w:color w:val="auto"/>
          <w:highlight w:val="none"/>
        </w:rPr>
      </w:pPr>
      <w:r>
        <w:rPr>
          <w:rFonts w:hint="default"/>
          <w:color w:val="auto"/>
          <w:highlight w:val="none"/>
        </w:rPr>
        <w:t>污染物排放标准</w:t>
      </w:r>
    </w:p>
    <w:p w14:paraId="7EBD5CED">
      <w:pPr>
        <w:pStyle w:val="3"/>
        <w:ind w:firstLine="480"/>
        <w:rPr>
          <w:color w:val="auto"/>
          <w:highlight w:val="none"/>
        </w:rPr>
      </w:pPr>
      <w:r>
        <w:rPr>
          <w:color w:val="auto"/>
          <w:highlight w:val="none"/>
        </w:rPr>
        <w:t>（1）废气</w:t>
      </w:r>
    </w:p>
    <w:p w14:paraId="41A2EBE1">
      <w:pPr>
        <w:pStyle w:val="3"/>
        <w:ind w:firstLine="480"/>
        <w:rPr>
          <w:color w:val="auto"/>
          <w:highlight w:val="none"/>
        </w:rPr>
      </w:pPr>
      <w:r>
        <w:rPr>
          <w:color w:val="auto"/>
          <w:highlight w:val="none"/>
        </w:rPr>
        <w:t>①工艺废气</w:t>
      </w:r>
    </w:p>
    <w:p w14:paraId="223FF347">
      <w:pPr>
        <w:pStyle w:val="3"/>
        <w:ind w:firstLine="480"/>
        <w:rPr>
          <w:color w:val="auto"/>
          <w:highlight w:val="none"/>
        </w:rPr>
      </w:pPr>
      <w:r>
        <w:rPr>
          <w:color w:val="auto"/>
          <w:highlight w:val="none"/>
        </w:rPr>
        <w:t>工艺废气标准限值见表2.4-</w:t>
      </w:r>
      <w:r>
        <w:rPr>
          <w:rFonts w:hint="eastAsia"/>
          <w:color w:val="auto"/>
          <w:highlight w:val="none"/>
          <w:lang w:val="en-US" w:eastAsia="zh-CN"/>
        </w:rPr>
        <w:t>7</w:t>
      </w:r>
      <w:r>
        <w:rPr>
          <w:color w:val="auto"/>
          <w:highlight w:val="none"/>
        </w:rPr>
        <w:t>。</w:t>
      </w:r>
    </w:p>
    <w:p w14:paraId="0A64AAC9">
      <w:pPr>
        <w:pStyle w:val="40"/>
        <w:spacing w:before="24" w:after="24"/>
        <w:rPr>
          <w:color w:val="auto"/>
          <w:highlight w:val="none"/>
        </w:rPr>
      </w:pPr>
      <w:r>
        <w:rPr>
          <w:color w:val="auto"/>
          <w:highlight w:val="none"/>
        </w:rPr>
        <w:t>表2.4-</w:t>
      </w:r>
      <w:r>
        <w:rPr>
          <w:rFonts w:hint="eastAsia"/>
          <w:color w:val="auto"/>
          <w:highlight w:val="none"/>
          <w:lang w:val="en-US" w:eastAsia="zh-CN"/>
        </w:rPr>
        <w:t>7</w:t>
      </w:r>
      <w:r>
        <w:rPr>
          <w:color w:val="auto"/>
          <w:highlight w:val="none"/>
        </w:rPr>
        <w:t xml:space="preserve">    铁矿采选工业大气污染物排放标准</w:t>
      </w:r>
    </w:p>
    <w:tbl>
      <w:tblPr>
        <w:tblStyle w:val="25"/>
        <w:tblW w:w="85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16"/>
        <w:gridCol w:w="1574"/>
        <w:gridCol w:w="2167"/>
        <w:gridCol w:w="3462"/>
      </w:tblGrid>
      <w:tr w14:paraId="3358CC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16" w:type="dxa"/>
            <w:tcBorders>
              <w:tl2br w:val="nil"/>
              <w:tr2bl w:val="nil"/>
            </w:tcBorders>
            <w:vAlign w:val="center"/>
          </w:tcPr>
          <w:p w14:paraId="52F89924">
            <w:pPr>
              <w:pStyle w:val="41"/>
              <w:rPr>
                <w:color w:val="auto"/>
                <w:highlight w:val="none"/>
                <w:lang w:val="zh-CN"/>
              </w:rPr>
            </w:pPr>
            <w:r>
              <w:rPr>
                <w:color w:val="auto"/>
                <w:highlight w:val="none"/>
                <w:lang w:val="zh-CN"/>
              </w:rPr>
              <w:t>污染源</w:t>
            </w:r>
          </w:p>
        </w:tc>
        <w:tc>
          <w:tcPr>
            <w:tcW w:w="1574" w:type="dxa"/>
            <w:tcBorders>
              <w:tl2br w:val="nil"/>
              <w:tr2bl w:val="nil"/>
            </w:tcBorders>
            <w:vAlign w:val="center"/>
          </w:tcPr>
          <w:p w14:paraId="2617D5CB">
            <w:pPr>
              <w:pStyle w:val="41"/>
              <w:rPr>
                <w:color w:val="auto"/>
                <w:highlight w:val="none"/>
                <w:lang w:val="zh-CN"/>
              </w:rPr>
            </w:pPr>
            <w:r>
              <w:rPr>
                <w:color w:val="auto"/>
                <w:highlight w:val="none"/>
                <w:lang w:val="zh-CN"/>
              </w:rPr>
              <w:t>污染物类型</w:t>
            </w:r>
          </w:p>
        </w:tc>
        <w:tc>
          <w:tcPr>
            <w:tcW w:w="2167" w:type="dxa"/>
            <w:tcBorders>
              <w:tl2br w:val="nil"/>
              <w:tr2bl w:val="nil"/>
            </w:tcBorders>
            <w:vAlign w:val="center"/>
          </w:tcPr>
          <w:p w14:paraId="7B718CCE">
            <w:pPr>
              <w:pStyle w:val="41"/>
              <w:rPr>
                <w:color w:val="auto"/>
                <w:highlight w:val="none"/>
                <w:lang w:val="zh-CN"/>
              </w:rPr>
            </w:pPr>
            <w:r>
              <w:rPr>
                <w:color w:val="auto"/>
                <w:highlight w:val="none"/>
              </w:rPr>
              <w:t>污染物排放浓度限值</w:t>
            </w:r>
          </w:p>
        </w:tc>
        <w:tc>
          <w:tcPr>
            <w:tcW w:w="3462" w:type="dxa"/>
            <w:tcBorders>
              <w:tl2br w:val="nil"/>
              <w:tr2bl w:val="nil"/>
            </w:tcBorders>
            <w:vAlign w:val="center"/>
          </w:tcPr>
          <w:p w14:paraId="4E33C6A7">
            <w:pPr>
              <w:pStyle w:val="41"/>
              <w:rPr>
                <w:color w:val="auto"/>
                <w:highlight w:val="none"/>
                <w:lang w:val="zh-CN"/>
              </w:rPr>
            </w:pPr>
            <w:r>
              <w:rPr>
                <w:color w:val="auto"/>
                <w:highlight w:val="none"/>
              </w:rPr>
              <w:t>标准来源</w:t>
            </w:r>
          </w:p>
        </w:tc>
      </w:tr>
      <w:tr w14:paraId="7FADB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16" w:type="dxa"/>
            <w:tcBorders>
              <w:tl2br w:val="nil"/>
              <w:tr2bl w:val="nil"/>
            </w:tcBorders>
            <w:vAlign w:val="center"/>
          </w:tcPr>
          <w:p w14:paraId="70A6A684">
            <w:pPr>
              <w:pStyle w:val="41"/>
              <w:rPr>
                <w:color w:val="auto"/>
                <w:highlight w:val="none"/>
                <w:lang w:val="zh-CN"/>
              </w:rPr>
            </w:pPr>
            <w:r>
              <w:rPr>
                <w:color w:val="auto"/>
                <w:highlight w:val="none"/>
                <w:lang w:val="zh-CN"/>
              </w:rPr>
              <w:t>有组织</w:t>
            </w:r>
          </w:p>
        </w:tc>
        <w:tc>
          <w:tcPr>
            <w:tcW w:w="1574" w:type="dxa"/>
            <w:tcBorders>
              <w:tl2br w:val="nil"/>
              <w:tr2bl w:val="nil"/>
            </w:tcBorders>
            <w:vAlign w:val="center"/>
          </w:tcPr>
          <w:p w14:paraId="444F1601">
            <w:pPr>
              <w:pStyle w:val="41"/>
              <w:rPr>
                <w:color w:val="auto"/>
                <w:highlight w:val="none"/>
                <w:lang w:val="zh-CN"/>
              </w:rPr>
            </w:pPr>
            <w:r>
              <w:rPr>
                <w:color w:val="auto"/>
                <w:highlight w:val="none"/>
                <w:lang w:val="zh-CN"/>
              </w:rPr>
              <w:t>颗粒物</w:t>
            </w:r>
          </w:p>
        </w:tc>
        <w:tc>
          <w:tcPr>
            <w:tcW w:w="2167" w:type="dxa"/>
            <w:tcBorders>
              <w:tl2br w:val="nil"/>
              <w:tr2bl w:val="nil"/>
            </w:tcBorders>
            <w:vAlign w:val="center"/>
          </w:tcPr>
          <w:p w14:paraId="290C0E8A">
            <w:pPr>
              <w:pStyle w:val="41"/>
              <w:rPr>
                <w:color w:val="auto"/>
                <w:highlight w:val="none"/>
              </w:rPr>
            </w:pPr>
            <w:r>
              <w:rPr>
                <w:color w:val="auto"/>
                <w:highlight w:val="none"/>
              </w:rPr>
              <w:t>20</w:t>
            </w:r>
            <w:r>
              <w:rPr>
                <w:color w:val="auto"/>
                <w:highlight w:val="none"/>
                <w:lang w:val="zh-CN"/>
              </w:rPr>
              <w:t>mg/m</w:t>
            </w:r>
            <w:r>
              <w:rPr>
                <w:color w:val="auto"/>
                <w:highlight w:val="none"/>
                <w:vertAlign w:val="superscript"/>
                <w:lang w:val="zh-CN"/>
              </w:rPr>
              <w:t>3</w:t>
            </w:r>
          </w:p>
        </w:tc>
        <w:tc>
          <w:tcPr>
            <w:tcW w:w="3462" w:type="dxa"/>
            <w:vMerge w:val="restart"/>
            <w:tcBorders>
              <w:tl2br w:val="nil"/>
              <w:tr2bl w:val="nil"/>
            </w:tcBorders>
            <w:vAlign w:val="center"/>
          </w:tcPr>
          <w:p w14:paraId="4E96865E">
            <w:pPr>
              <w:pStyle w:val="41"/>
              <w:rPr>
                <w:color w:val="auto"/>
                <w:highlight w:val="none"/>
              </w:rPr>
            </w:pPr>
            <w:r>
              <w:rPr>
                <w:color w:val="auto"/>
                <w:highlight w:val="none"/>
              </w:rPr>
              <w:t>《铁矿采选工业污染物排放标准》（GB28661-2012）</w:t>
            </w:r>
          </w:p>
        </w:tc>
      </w:tr>
      <w:tr w14:paraId="4B4FF5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16" w:type="dxa"/>
            <w:tcBorders>
              <w:tl2br w:val="nil"/>
              <w:tr2bl w:val="nil"/>
            </w:tcBorders>
            <w:vAlign w:val="center"/>
          </w:tcPr>
          <w:p w14:paraId="45DA1ED2">
            <w:pPr>
              <w:pStyle w:val="41"/>
              <w:rPr>
                <w:color w:val="auto"/>
                <w:highlight w:val="none"/>
              </w:rPr>
            </w:pPr>
            <w:r>
              <w:rPr>
                <w:color w:val="auto"/>
                <w:highlight w:val="none"/>
              </w:rPr>
              <w:t>无组织</w:t>
            </w:r>
          </w:p>
        </w:tc>
        <w:tc>
          <w:tcPr>
            <w:tcW w:w="1574" w:type="dxa"/>
            <w:tcBorders>
              <w:tl2br w:val="nil"/>
              <w:tr2bl w:val="nil"/>
            </w:tcBorders>
            <w:vAlign w:val="center"/>
          </w:tcPr>
          <w:p w14:paraId="5BDD29BE">
            <w:pPr>
              <w:pStyle w:val="41"/>
              <w:rPr>
                <w:color w:val="auto"/>
                <w:highlight w:val="none"/>
              </w:rPr>
            </w:pPr>
            <w:r>
              <w:rPr>
                <w:color w:val="auto"/>
                <w:highlight w:val="none"/>
              </w:rPr>
              <w:t>颗粒物</w:t>
            </w:r>
          </w:p>
        </w:tc>
        <w:tc>
          <w:tcPr>
            <w:tcW w:w="2167" w:type="dxa"/>
            <w:tcBorders>
              <w:tl2br w:val="nil"/>
              <w:tr2bl w:val="nil"/>
            </w:tcBorders>
            <w:vAlign w:val="center"/>
          </w:tcPr>
          <w:p w14:paraId="4E97347D">
            <w:pPr>
              <w:pStyle w:val="41"/>
              <w:rPr>
                <w:color w:val="auto"/>
                <w:highlight w:val="none"/>
              </w:rPr>
            </w:pPr>
            <w:r>
              <w:rPr>
                <w:color w:val="auto"/>
                <w:highlight w:val="none"/>
              </w:rPr>
              <w:t>1.0</w:t>
            </w:r>
            <w:r>
              <w:rPr>
                <w:color w:val="auto"/>
                <w:highlight w:val="none"/>
                <w:lang w:val="zh-CN"/>
              </w:rPr>
              <w:t>mg/m</w:t>
            </w:r>
            <w:r>
              <w:rPr>
                <w:color w:val="auto"/>
                <w:highlight w:val="none"/>
                <w:vertAlign w:val="superscript"/>
                <w:lang w:val="zh-CN"/>
              </w:rPr>
              <w:t>3</w:t>
            </w:r>
          </w:p>
        </w:tc>
        <w:tc>
          <w:tcPr>
            <w:tcW w:w="3462" w:type="dxa"/>
            <w:vMerge w:val="continue"/>
            <w:tcBorders>
              <w:tl2br w:val="nil"/>
              <w:tr2bl w:val="nil"/>
            </w:tcBorders>
            <w:vAlign w:val="center"/>
          </w:tcPr>
          <w:p w14:paraId="19C590C8">
            <w:pPr>
              <w:pStyle w:val="41"/>
              <w:rPr>
                <w:color w:val="auto"/>
                <w:highlight w:val="none"/>
              </w:rPr>
            </w:pPr>
          </w:p>
        </w:tc>
      </w:tr>
    </w:tbl>
    <w:p w14:paraId="5582E1CB">
      <w:pPr>
        <w:pStyle w:val="3"/>
        <w:ind w:firstLine="480"/>
        <w:rPr>
          <w:color w:val="auto"/>
          <w:highlight w:val="none"/>
        </w:rPr>
      </w:pPr>
      <w:r>
        <w:rPr>
          <w:color w:val="auto"/>
          <w:highlight w:val="none"/>
        </w:rPr>
        <w:t>②供热废气</w:t>
      </w:r>
    </w:p>
    <w:p w14:paraId="191CF986">
      <w:pPr>
        <w:pStyle w:val="3"/>
        <w:ind w:firstLine="480"/>
        <w:rPr>
          <w:color w:val="auto"/>
          <w:highlight w:val="none"/>
        </w:rPr>
      </w:pPr>
      <w:r>
        <w:rPr>
          <w:color w:val="auto"/>
          <w:highlight w:val="none"/>
        </w:rPr>
        <w:t>本项目建设2台</w:t>
      </w:r>
      <w:r>
        <w:rPr>
          <w:rFonts w:hint="eastAsia"/>
          <w:color w:val="auto"/>
          <w:highlight w:val="none"/>
        </w:rPr>
        <w:t>生物质炉窑</w:t>
      </w:r>
      <w:r>
        <w:rPr>
          <w:color w:val="auto"/>
          <w:highlight w:val="none"/>
        </w:rPr>
        <w:t>，用于生产烘干提供热风。生活区</w:t>
      </w:r>
      <w:r>
        <w:rPr>
          <w:rFonts w:hint="eastAsia"/>
          <w:color w:val="auto"/>
          <w:highlight w:val="none"/>
        </w:rPr>
        <w:t>利用锅炉余热</w:t>
      </w:r>
      <w:r>
        <w:rPr>
          <w:color w:val="auto"/>
          <w:highlight w:val="none"/>
        </w:rPr>
        <w:t>。生物质</w:t>
      </w:r>
      <w:r>
        <w:rPr>
          <w:rFonts w:hint="eastAsia"/>
          <w:color w:val="auto"/>
          <w:highlight w:val="none"/>
          <w:lang w:eastAsia="zh-CN"/>
        </w:rPr>
        <w:t>窑炉</w:t>
      </w:r>
      <w:r>
        <w:rPr>
          <w:color w:val="auto"/>
          <w:highlight w:val="none"/>
        </w:rPr>
        <w:t>烟气处理达标后共用一根</w:t>
      </w:r>
      <w:r>
        <w:rPr>
          <w:rFonts w:hint="eastAsia"/>
          <w:color w:val="auto"/>
          <w:highlight w:val="none"/>
        </w:rPr>
        <w:t>25</w:t>
      </w:r>
      <w:r>
        <w:rPr>
          <w:color w:val="auto"/>
          <w:highlight w:val="none"/>
        </w:rPr>
        <w:t>米高烟囱排放，故此，烟气排放标准执行《锅炉大气污染物排放标准》（GB13271-2014）。</w:t>
      </w:r>
    </w:p>
    <w:p w14:paraId="079D35D1">
      <w:pPr>
        <w:pStyle w:val="40"/>
        <w:spacing w:before="24" w:after="24"/>
        <w:rPr>
          <w:color w:val="auto"/>
          <w:highlight w:val="none"/>
        </w:rPr>
      </w:pPr>
      <w:r>
        <w:rPr>
          <w:color w:val="auto"/>
          <w:highlight w:val="none"/>
        </w:rPr>
        <w:t>表2.4-</w:t>
      </w:r>
      <w:r>
        <w:rPr>
          <w:rFonts w:hint="eastAsia"/>
          <w:color w:val="auto"/>
          <w:highlight w:val="none"/>
          <w:lang w:val="en-US" w:eastAsia="zh-CN"/>
        </w:rPr>
        <w:t>8</w:t>
      </w:r>
      <w:r>
        <w:rPr>
          <w:color w:val="auto"/>
          <w:highlight w:val="none"/>
        </w:rPr>
        <w:t xml:space="preserve">    新建锅炉大气污染物排放标准</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901"/>
        <w:gridCol w:w="2647"/>
        <w:gridCol w:w="2962"/>
      </w:tblGrid>
      <w:tr w14:paraId="0ABBE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704" w:type="pct"/>
            <w:tcBorders>
              <w:tl2br w:val="nil"/>
              <w:tr2bl w:val="nil"/>
            </w:tcBorders>
            <w:vAlign w:val="center"/>
          </w:tcPr>
          <w:p w14:paraId="352645E1">
            <w:pPr>
              <w:pStyle w:val="41"/>
              <w:widowControl w:val="0"/>
              <w:rPr>
                <w:color w:val="auto"/>
                <w:highlight w:val="none"/>
              </w:rPr>
            </w:pPr>
            <w:r>
              <w:rPr>
                <w:color w:val="auto"/>
                <w:highlight w:val="none"/>
              </w:rPr>
              <w:t>污染物项目</w:t>
            </w:r>
          </w:p>
        </w:tc>
        <w:tc>
          <w:tcPr>
            <w:tcW w:w="1555" w:type="pct"/>
            <w:tcBorders>
              <w:tl2br w:val="nil"/>
              <w:tr2bl w:val="nil"/>
            </w:tcBorders>
            <w:vAlign w:val="center"/>
          </w:tcPr>
          <w:p w14:paraId="18538FFF">
            <w:pPr>
              <w:pStyle w:val="41"/>
              <w:widowControl w:val="0"/>
              <w:rPr>
                <w:color w:val="auto"/>
                <w:highlight w:val="none"/>
              </w:rPr>
            </w:pPr>
            <w:r>
              <w:rPr>
                <w:color w:val="auto"/>
                <w:highlight w:val="none"/>
              </w:rPr>
              <w:t>燃煤锅炉限值（mg/m</w:t>
            </w:r>
            <w:r>
              <w:rPr>
                <w:color w:val="auto"/>
                <w:highlight w:val="none"/>
                <w:vertAlign w:val="superscript"/>
              </w:rPr>
              <w:t>3</w:t>
            </w:r>
            <w:r>
              <w:rPr>
                <w:color w:val="auto"/>
                <w:highlight w:val="none"/>
              </w:rPr>
              <w:t>）</w:t>
            </w:r>
          </w:p>
        </w:tc>
        <w:tc>
          <w:tcPr>
            <w:tcW w:w="1740" w:type="pct"/>
            <w:tcBorders>
              <w:tl2br w:val="nil"/>
              <w:tr2bl w:val="nil"/>
            </w:tcBorders>
            <w:vAlign w:val="center"/>
          </w:tcPr>
          <w:p w14:paraId="58C7F982">
            <w:pPr>
              <w:pStyle w:val="41"/>
              <w:widowControl w:val="0"/>
              <w:rPr>
                <w:color w:val="auto"/>
                <w:highlight w:val="none"/>
              </w:rPr>
            </w:pPr>
            <w:r>
              <w:rPr>
                <w:color w:val="auto"/>
                <w:highlight w:val="none"/>
              </w:rPr>
              <w:t>标准来源</w:t>
            </w:r>
          </w:p>
        </w:tc>
      </w:tr>
      <w:tr w14:paraId="2AE002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704" w:type="pct"/>
            <w:tcBorders>
              <w:tl2br w:val="nil"/>
              <w:tr2bl w:val="nil"/>
            </w:tcBorders>
            <w:vAlign w:val="center"/>
          </w:tcPr>
          <w:p w14:paraId="64E15634">
            <w:pPr>
              <w:pStyle w:val="41"/>
              <w:widowControl w:val="0"/>
              <w:rPr>
                <w:color w:val="auto"/>
                <w:highlight w:val="none"/>
              </w:rPr>
            </w:pPr>
            <w:r>
              <w:rPr>
                <w:color w:val="auto"/>
                <w:highlight w:val="none"/>
              </w:rPr>
              <w:t>颗粒物</w:t>
            </w:r>
          </w:p>
        </w:tc>
        <w:tc>
          <w:tcPr>
            <w:tcW w:w="1555" w:type="pct"/>
            <w:tcBorders>
              <w:tl2br w:val="nil"/>
              <w:tr2bl w:val="nil"/>
            </w:tcBorders>
          </w:tcPr>
          <w:p w14:paraId="33B4F204">
            <w:pPr>
              <w:pStyle w:val="41"/>
              <w:widowControl w:val="0"/>
              <w:rPr>
                <w:color w:val="auto"/>
                <w:highlight w:val="none"/>
              </w:rPr>
            </w:pPr>
            <w:r>
              <w:rPr>
                <w:color w:val="auto"/>
                <w:highlight w:val="none"/>
              </w:rPr>
              <w:t>50</w:t>
            </w:r>
          </w:p>
        </w:tc>
        <w:tc>
          <w:tcPr>
            <w:tcW w:w="1740" w:type="pct"/>
            <w:vMerge w:val="restart"/>
            <w:tcBorders>
              <w:tl2br w:val="nil"/>
              <w:tr2bl w:val="nil"/>
            </w:tcBorders>
            <w:vAlign w:val="center"/>
          </w:tcPr>
          <w:p w14:paraId="3FB55739">
            <w:pPr>
              <w:pStyle w:val="41"/>
              <w:widowControl w:val="0"/>
              <w:rPr>
                <w:color w:val="auto"/>
                <w:highlight w:val="none"/>
              </w:rPr>
            </w:pPr>
            <w:r>
              <w:rPr>
                <w:color w:val="auto"/>
                <w:highlight w:val="none"/>
              </w:rPr>
              <w:t>《锅炉大气污染物排放标准》（GB13271-2014）</w:t>
            </w:r>
          </w:p>
        </w:tc>
      </w:tr>
      <w:tr w14:paraId="14681B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704" w:type="pct"/>
            <w:tcBorders>
              <w:tl2br w:val="nil"/>
              <w:tr2bl w:val="nil"/>
            </w:tcBorders>
            <w:vAlign w:val="center"/>
          </w:tcPr>
          <w:p w14:paraId="6EC8AA9D">
            <w:pPr>
              <w:pStyle w:val="41"/>
              <w:widowControl w:val="0"/>
              <w:rPr>
                <w:color w:val="auto"/>
                <w:highlight w:val="none"/>
              </w:rPr>
            </w:pPr>
            <w:r>
              <w:rPr>
                <w:color w:val="auto"/>
                <w:highlight w:val="none"/>
              </w:rPr>
              <w:t>二氧化硫</w:t>
            </w:r>
          </w:p>
        </w:tc>
        <w:tc>
          <w:tcPr>
            <w:tcW w:w="1555" w:type="pct"/>
            <w:tcBorders>
              <w:tl2br w:val="nil"/>
              <w:tr2bl w:val="nil"/>
            </w:tcBorders>
            <w:vAlign w:val="center"/>
          </w:tcPr>
          <w:p w14:paraId="234645A5">
            <w:pPr>
              <w:pStyle w:val="41"/>
              <w:widowControl w:val="0"/>
              <w:rPr>
                <w:color w:val="auto"/>
                <w:highlight w:val="none"/>
              </w:rPr>
            </w:pPr>
            <w:r>
              <w:rPr>
                <w:color w:val="auto"/>
                <w:highlight w:val="none"/>
              </w:rPr>
              <w:t>300</w:t>
            </w:r>
          </w:p>
        </w:tc>
        <w:tc>
          <w:tcPr>
            <w:tcW w:w="1740" w:type="pct"/>
            <w:vMerge w:val="continue"/>
            <w:tcBorders>
              <w:tl2br w:val="nil"/>
              <w:tr2bl w:val="nil"/>
            </w:tcBorders>
            <w:vAlign w:val="center"/>
          </w:tcPr>
          <w:p w14:paraId="59EA811D">
            <w:pPr>
              <w:pStyle w:val="41"/>
              <w:widowControl w:val="0"/>
              <w:rPr>
                <w:color w:val="auto"/>
                <w:highlight w:val="none"/>
              </w:rPr>
            </w:pPr>
          </w:p>
        </w:tc>
      </w:tr>
      <w:tr w14:paraId="1664FA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704" w:type="pct"/>
            <w:tcBorders>
              <w:tl2br w:val="nil"/>
              <w:tr2bl w:val="nil"/>
            </w:tcBorders>
            <w:vAlign w:val="center"/>
          </w:tcPr>
          <w:p w14:paraId="7902B1F2">
            <w:pPr>
              <w:pStyle w:val="41"/>
              <w:widowControl w:val="0"/>
              <w:rPr>
                <w:color w:val="auto"/>
                <w:highlight w:val="none"/>
              </w:rPr>
            </w:pPr>
            <w:r>
              <w:rPr>
                <w:color w:val="auto"/>
                <w:highlight w:val="none"/>
              </w:rPr>
              <w:t>氮氧化物</w:t>
            </w:r>
          </w:p>
        </w:tc>
        <w:tc>
          <w:tcPr>
            <w:tcW w:w="1555" w:type="pct"/>
            <w:tcBorders>
              <w:tl2br w:val="nil"/>
              <w:tr2bl w:val="nil"/>
            </w:tcBorders>
            <w:vAlign w:val="center"/>
          </w:tcPr>
          <w:p w14:paraId="777192FD">
            <w:pPr>
              <w:pStyle w:val="41"/>
              <w:widowControl w:val="0"/>
              <w:rPr>
                <w:color w:val="auto"/>
                <w:highlight w:val="none"/>
              </w:rPr>
            </w:pPr>
            <w:r>
              <w:rPr>
                <w:color w:val="auto"/>
                <w:highlight w:val="none"/>
              </w:rPr>
              <w:t>300</w:t>
            </w:r>
          </w:p>
        </w:tc>
        <w:tc>
          <w:tcPr>
            <w:tcW w:w="1740" w:type="pct"/>
            <w:vMerge w:val="continue"/>
            <w:tcBorders>
              <w:tl2br w:val="nil"/>
              <w:tr2bl w:val="nil"/>
            </w:tcBorders>
            <w:vAlign w:val="center"/>
          </w:tcPr>
          <w:p w14:paraId="5B20DA56">
            <w:pPr>
              <w:pStyle w:val="41"/>
              <w:widowControl w:val="0"/>
              <w:rPr>
                <w:color w:val="auto"/>
                <w:highlight w:val="none"/>
              </w:rPr>
            </w:pPr>
          </w:p>
        </w:tc>
      </w:tr>
    </w:tbl>
    <w:p w14:paraId="3AF53620">
      <w:pPr>
        <w:pStyle w:val="3"/>
        <w:ind w:firstLine="480"/>
        <w:rPr>
          <w:color w:val="auto"/>
          <w:highlight w:val="none"/>
        </w:rPr>
      </w:pPr>
      <w:r>
        <w:rPr>
          <w:color w:val="auto"/>
          <w:highlight w:val="none"/>
        </w:rPr>
        <w:t>（2）废水</w:t>
      </w:r>
    </w:p>
    <w:p w14:paraId="6C2A4C4E">
      <w:pPr>
        <w:pStyle w:val="3"/>
        <w:ind w:firstLine="480"/>
        <w:rPr>
          <w:color w:val="auto"/>
          <w:highlight w:val="none"/>
        </w:rPr>
      </w:pPr>
      <w:r>
        <w:rPr>
          <w:color w:val="auto"/>
          <w:highlight w:val="none"/>
        </w:rPr>
        <w:t>项目生活污水经污水处理装置处理后，生活污水指标满足</w:t>
      </w:r>
      <w:r>
        <w:rPr>
          <w:rFonts w:hint="eastAsia"/>
          <w:color w:val="auto"/>
          <w:highlight w:val="none"/>
        </w:rPr>
        <w:t>《城市污水再生利用—城市杂用水水质》（GB/T18920-2020）</w:t>
      </w:r>
      <w:r>
        <w:rPr>
          <w:color w:val="auto"/>
          <w:highlight w:val="none"/>
        </w:rPr>
        <w:t>。</w:t>
      </w:r>
    </w:p>
    <w:p w14:paraId="2DBE2EA5">
      <w:pPr>
        <w:pStyle w:val="40"/>
        <w:spacing w:before="24" w:after="24"/>
        <w:rPr>
          <w:color w:val="auto"/>
          <w:highlight w:val="none"/>
        </w:rPr>
      </w:pPr>
      <w:r>
        <w:rPr>
          <w:color w:val="auto"/>
          <w:highlight w:val="none"/>
        </w:rPr>
        <w:t>表2.4-</w:t>
      </w:r>
      <w:r>
        <w:rPr>
          <w:rFonts w:hint="eastAsia"/>
          <w:color w:val="auto"/>
          <w:highlight w:val="none"/>
          <w:lang w:val="en-US" w:eastAsia="zh-CN"/>
        </w:rPr>
        <w:t>9</w:t>
      </w:r>
      <w:r>
        <w:rPr>
          <w:color w:val="auto"/>
          <w:highlight w:val="none"/>
        </w:rPr>
        <w:t xml:space="preserve">     《城市污水再生利用—城市杂用水水质》（GB/T18920-2020）</w:t>
      </w:r>
    </w:p>
    <w:tbl>
      <w:tblPr>
        <w:tblStyle w:val="25"/>
        <w:tblW w:w="488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690"/>
        <w:gridCol w:w="1717"/>
        <w:gridCol w:w="649"/>
        <w:gridCol w:w="1977"/>
        <w:gridCol w:w="1638"/>
      </w:tblGrid>
      <w:tr w14:paraId="430115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0" w:type="pct"/>
            <w:vAlign w:val="center"/>
          </w:tcPr>
          <w:p w14:paraId="74102F67">
            <w:pPr>
              <w:pStyle w:val="41"/>
              <w:rPr>
                <w:color w:val="auto"/>
                <w:highlight w:val="none"/>
              </w:rPr>
            </w:pPr>
            <w:r>
              <w:rPr>
                <w:color w:val="auto"/>
                <w:highlight w:val="none"/>
              </w:rPr>
              <w:t>序号</w:t>
            </w:r>
          </w:p>
        </w:tc>
        <w:tc>
          <w:tcPr>
            <w:tcW w:w="1015" w:type="pct"/>
            <w:vAlign w:val="center"/>
          </w:tcPr>
          <w:p w14:paraId="2BF77CDA">
            <w:pPr>
              <w:pStyle w:val="41"/>
              <w:rPr>
                <w:color w:val="auto"/>
                <w:highlight w:val="none"/>
              </w:rPr>
            </w:pPr>
            <w:r>
              <w:rPr>
                <w:color w:val="auto"/>
                <w:highlight w:val="none"/>
              </w:rPr>
              <w:t>项目</w:t>
            </w:r>
          </w:p>
        </w:tc>
        <w:tc>
          <w:tcPr>
            <w:tcW w:w="1032" w:type="pct"/>
            <w:vAlign w:val="center"/>
          </w:tcPr>
          <w:p w14:paraId="507D898A">
            <w:pPr>
              <w:pStyle w:val="41"/>
              <w:rPr>
                <w:color w:val="auto"/>
                <w:highlight w:val="none"/>
              </w:rPr>
            </w:pPr>
            <w:r>
              <w:rPr>
                <w:color w:val="auto"/>
                <w:highlight w:val="none"/>
              </w:rPr>
              <w:t>城市绿化、道路清扫、消防、建筑施工水质标准</w:t>
            </w:r>
          </w:p>
        </w:tc>
        <w:tc>
          <w:tcPr>
            <w:tcW w:w="390" w:type="pct"/>
            <w:vAlign w:val="center"/>
          </w:tcPr>
          <w:p w14:paraId="7B1264DF">
            <w:pPr>
              <w:pStyle w:val="41"/>
              <w:rPr>
                <w:color w:val="auto"/>
                <w:highlight w:val="none"/>
              </w:rPr>
            </w:pPr>
            <w:r>
              <w:rPr>
                <w:color w:val="auto"/>
                <w:highlight w:val="none"/>
              </w:rPr>
              <w:t>序号</w:t>
            </w:r>
          </w:p>
        </w:tc>
        <w:tc>
          <w:tcPr>
            <w:tcW w:w="1188" w:type="pct"/>
            <w:vAlign w:val="center"/>
          </w:tcPr>
          <w:p w14:paraId="0BB4B4E1">
            <w:pPr>
              <w:pStyle w:val="41"/>
              <w:rPr>
                <w:color w:val="auto"/>
                <w:highlight w:val="none"/>
              </w:rPr>
            </w:pPr>
            <w:r>
              <w:rPr>
                <w:color w:val="auto"/>
                <w:highlight w:val="none"/>
              </w:rPr>
              <w:t>项目</w:t>
            </w:r>
          </w:p>
        </w:tc>
        <w:tc>
          <w:tcPr>
            <w:tcW w:w="984" w:type="pct"/>
            <w:vAlign w:val="center"/>
          </w:tcPr>
          <w:p w14:paraId="2E8BC493">
            <w:pPr>
              <w:pStyle w:val="41"/>
              <w:rPr>
                <w:color w:val="auto"/>
                <w:highlight w:val="none"/>
              </w:rPr>
            </w:pPr>
            <w:r>
              <w:rPr>
                <w:color w:val="auto"/>
                <w:highlight w:val="none"/>
              </w:rPr>
              <w:t>城市绿化、道路清扫、消防、建筑施工水质标准</w:t>
            </w:r>
          </w:p>
        </w:tc>
      </w:tr>
      <w:tr w14:paraId="18D703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0" w:type="pct"/>
            <w:vAlign w:val="center"/>
          </w:tcPr>
          <w:p w14:paraId="1B901D96">
            <w:pPr>
              <w:pStyle w:val="41"/>
              <w:rPr>
                <w:color w:val="auto"/>
                <w:highlight w:val="none"/>
              </w:rPr>
            </w:pPr>
            <w:r>
              <w:rPr>
                <w:color w:val="auto"/>
                <w:highlight w:val="none"/>
              </w:rPr>
              <w:t>1</w:t>
            </w:r>
          </w:p>
        </w:tc>
        <w:tc>
          <w:tcPr>
            <w:tcW w:w="1015" w:type="pct"/>
            <w:vAlign w:val="center"/>
          </w:tcPr>
          <w:p w14:paraId="02CBC2E3">
            <w:pPr>
              <w:pStyle w:val="41"/>
              <w:rPr>
                <w:color w:val="auto"/>
                <w:highlight w:val="none"/>
              </w:rPr>
            </w:pPr>
            <w:r>
              <w:rPr>
                <w:color w:val="auto"/>
                <w:highlight w:val="none"/>
              </w:rPr>
              <w:t>pH</w:t>
            </w:r>
          </w:p>
        </w:tc>
        <w:tc>
          <w:tcPr>
            <w:tcW w:w="1032" w:type="pct"/>
            <w:vAlign w:val="center"/>
          </w:tcPr>
          <w:p w14:paraId="5E002534">
            <w:pPr>
              <w:pStyle w:val="41"/>
              <w:rPr>
                <w:color w:val="auto"/>
                <w:highlight w:val="none"/>
              </w:rPr>
            </w:pPr>
            <w:r>
              <w:rPr>
                <w:color w:val="auto"/>
                <w:highlight w:val="none"/>
              </w:rPr>
              <w:t>6.0</w:t>
            </w:r>
            <w:r>
              <w:rPr>
                <w:rFonts w:hint="eastAsia"/>
                <w:color w:val="auto"/>
                <w:highlight w:val="none"/>
                <w:lang w:eastAsia="zh-CN"/>
              </w:rPr>
              <w:t>~</w:t>
            </w:r>
            <w:r>
              <w:rPr>
                <w:color w:val="auto"/>
                <w:highlight w:val="none"/>
              </w:rPr>
              <w:t>9.0</w:t>
            </w:r>
          </w:p>
        </w:tc>
        <w:tc>
          <w:tcPr>
            <w:tcW w:w="390" w:type="pct"/>
            <w:vAlign w:val="center"/>
          </w:tcPr>
          <w:p w14:paraId="46A01236">
            <w:pPr>
              <w:pStyle w:val="41"/>
              <w:rPr>
                <w:color w:val="auto"/>
                <w:highlight w:val="none"/>
              </w:rPr>
            </w:pPr>
            <w:r>
              <w:rPr>
                <w:color w:val="auto"/>
                <w:highlight w:val="none"/>
              </w:rPr>
              <w:t>8</w:t>
            </w:r>
          </w:p>
        </w:tc>
        <w:tc>
          <w:tcPr>
            <w:tcW w:w="1188" w:type="pct"/>
            <w:vAlign w:val="center"/>
          </w:tcPr>
          <w:p w14:paraId="05E775B1">
            <w:pPr>
              <w:pStyle w:val="41"/>
              <w:rPr>
                <w:color w:val="auto"/>
                <w:highlight w:val="none"/>
              </w:rPr>
            </w:pPr>
            <w:r>
              <w:rPr>
                <w:color w:val="auto"/>
                <w:highlight w:val="none"/>
              </w:rPr>
              <w:t>溶解性总固体</w:t>
            </w:r>
          </w:p>
        </w:tc>
        <w:tc>
          <w:tcPr>
            <w:tcW w:w="984" w:type="pct"/>
            <w:vAlign w:val="center"/>
          </w:tcPr>
          <w:p w14:paraId="1B9AB323">
            <w:pPr>
              <w:pStyle w:val="41"/>
              <w:rPr>
                <w:color w:val="auto"/>
                <w:highlight w:val="none"/>
              </w:rPr>
            </w:pPr>
            <w:r>
              <w:rPr>
                <w:color w:val="auto"/>
                <w:highlight w:val="none"/>
              </w:rPr>
              <w:t>≤2000mg/L</w:t>
            </w:r>
          </w:p>
        </w:tc>
      </w:tr>
      <w:tr w14:paraId="2B1D94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0" w:type="pct"/>
            <w:vAlign w:val="center"/>
          </w:tcPr>
          <w:p w14:paraId="0BA0ED47">
            <w:pPr>
              <w:pStyle w:val="41"/>
              <w:rPr>
                <w:color w:val="auto"/>
                <w:highlight w:val="none"/>
              </w:rPr>
            </w:pPr>
            <w:r>
              <w:rPr>
                <w:color w:val="auto"/>
                <w:highlight w:val="none"/>
              </w:rPr>
              <w:t>2</w:t>
            </w:r>
          </w:p>
        </w:tc>
        <w:tc>
          <w:tcPr>
            <w:tcW w:w="1015" w:type="pct"/>
            <w:vAlign w:val="center"/>
          </w:tcPr>
          <w:p w14:paraId="37BB64CE">
            <w:pPr>
              <w:pStyle w:val="41"/>
              <w:rPr>
                <w:color w:val="auto"/>
                <w:highlight w:val="none"/>
              </w:rPr>
            </w:pPr>
            <w:r>
              <w:rPr>
                <w:color w:val="auto"/>
                <w:highlight w:val="none"/>
              </w:rPr>
              <w:t>色度（铂钴色度单位）</w:t>
            </w:r>
          </w:p>
        </w:tc>
        <w:tc>
          <w:tcPr>
            <w:tcW w:w="1032" w:type="pct"/>
            <w:vAlign w:val="center"/>
          </w:tcPr>
          <w:p w14:paraId="2B170C87">
            <w:pPr>
              <w:pStyle w:val="41"/>
              <w:rPr>
                <w:color w:val="auto"/>
                <w:highlight w:val="none"/>
              </w:rPr>
            </w:pPr>
            <w:r>
              <w:rPr>
                <w:color w:val="auto"/>
                <w:highlight w:val="none"/>
              </w:rPr>
              <w:t>≤30</w:t>
            </w:r>
          </w:p>
        </w:tc>
        <w:tc>
          <w:tcPr>
            <w:tcW w:w="390" w:type="pct"/>
            <w:vAlign w:val="center"/>
          </w:tcPr>
          <w:p w14:paraId="2E485AC8">
            <w:pPr>
              <w:pStyle w:val="41"/>
              <w:rPr>
                <w:color w:val="auto"/>
                <w:highlight w:val="none"/>
              </w:rPr>
            </w:pPr>
            <w:r>
              <w:rPr>
                <w:color w:val="auto"/>
                <w:highlight w:val="none"/>
              </w:rPr>
              <w:t>9</w:t>
            </w:r>
          </w:p>
        </w:tc>
        <w:tc>
          <w:tcPr>
            <w:tcW w:w="1188" w:type="pct"/>
            <w:vAlign w:val="center"/>
          </w:tcPr>
          <w:p w14:paraId="28CF65ED">
            <w:pPr>
              <w:pStyle w:val="41"/>
              <w:rPr>
                <w:color w:val="auto"/>
                <w:highlight w:val="none"/>
              </w:rPr>
            </w:pPr>
            <w:r>
              <w:rPr>
                <w:color w:val="auto"/>
                <w:highlight w:val="none"/>
              </w:rPr>
              <w:t>溶解氧</w:t>
            </w:r>
          </w:p>
        </w:tc>
        <w:tc>
          <w:tcPr>
            <w:tcW w:w="984" w:type="pct"/>
            <w:vAlign w:val="center"/>
          </w:tcPr>
          <w:p w14:paraId="37860293">
            <w:pPr>
              <w:pStyle w:val="41"/>
              <w:rPr>
                <w:color w:val="auto"/>
                <w:highlight w:val="none"/>
              </w:rPr>
            </w:pPr>
            <w:r>
              <w:rPr>
                <w:color w:val="auto"/>
                <w:highlight w:val="none"/>
              </w:rPr>
              <w:t>≥2.0mg/L</w:t>
            </w:r>
          </w:p>
        </w:tc>
      </w:tr>
      <w:tr w14:paraId="71CAF6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0" w:type="pct"/>
            <w:vAlign w:val="center"/>
          </w:tcPr>
          <w:p w14:paraId="28CB375B">
            <w:pPr>
              <w:pStyle w:val="41"/>
              <w:rPr>
                <w:color w:val="auto"/>
                <w:highlight w:val="none"/>
              </w:rPr>
            </w:pPr>
            <w:r>
              <w:rPr>
                <w:color w:val="auto"/>
                <w:highlight w:val="none"/>
              </w:rPr>
              <w:t>3</w:t>
            </w:r>
          </w:p>
        </w:tc>
        <w:tc>
          <w:tcPr>
            <w:tcW w:w="1015" w:type="pct"/>
            <w:vAlign w:val="center"/>
          </w:tcPr>
          <w:p w14:paraId="171754D6">
            <w:pPr>
              <w:pStyle w:val="41"/>
              <w:rPr>
                <w:color w:val="auto"/>
                <w:highlight w:val="none"/>
              </w:rPr>
            </w:pPr>
            <w:r>
              <w:rPr>
                <w:color w:val="auto"/>
                <w:highlight w:val="none"/>
              </w:rPr>
              <w:t>嗅</w:t>
            </w:r>
          </w:p>
        </w:tc>
        <w:tc>
          <w:tcPr>
            <w:tcW w:w="1032" w:type="pct"/>
            <w:vAlign w:val="center"/>
          </w:tcPr>
          <w:p w14:paraId="751E40C0">
            <w:pPr>
              <w:pStyle w:val="41"/>
              <w:rPr>
                <w:color w:val="auto"/>
                <w:highlight w:val="none"/>
              </w:rPr>
            </w:pPr>
            <w:r>
              <w:rPr>
                <w:color w:val="auto"/>
                <w:highlight w:val="none"/>
              </w:rPr>
              <w:t>无不快感</w:t>
            </w:r>
          </w:p>
        </w:tc>
        <w:tc>
          <w:tcPr>
            <w:tcW w:w="390" w:type="pct"/>
            <w:vAlign w:val="center"/>
          </w:tcPr>
          <w:p w14:paraId="24A6E9A2">
            <w:pPr>
              <w:pStyle w:val="41"/>
              <w:rPr>
                <w:color w:val="auto"/>
                <w:highlight w:val="none"/>
              </w:rPr>
            </w:pPr>
            <w:r>
              <w:rPr>
                <w:color w:val="auto"/>
                <w:highlight w:val="none"/>
              </w:rPr>
              <w:t>10</w:t>
            </w:r>
          </w:p>
        </w:tc>
        <w:tc>
          <w:tcPr>
            <w:tcW w:w="1188" w:type="pct"/>
            <w:vAlign w:val="center"/>
          </w:tcPr>
          <w:p w14:paraId="325DA446">
            <w:pPr>
              <w:pStyle w:val="41"/>
              <w:rPr>
                <w:color w:val="auto"/>
                <w:highlight w:val="none"/>
              </w:rPr>
            </w:pPr>
            <w:r>
              <w:rPr>
                <w:color w:val="auto"/>
                <w:highlight w:val="none"/>
              </w:rPr>
              <w:t>总氯</w:t>
            </w:r>
          </w:p>
        </w:tc>
        <w:tc>
          <w:tcPr>
            <w:tcW w:w="984" w:type="pct"/>
            <w:vAlign w:val="center"/>
          </w:tcPr>
          <w:p w14:paraId="4D73E2A7">
            <w:pPr>
              <w:pStyle w:val="41"/>
              <w:rPr>
                <w:color w:val="auto"/>
                <w:highlight w:val="none"/>
              </w:rPr>
            </w:pPr>
            <w:r>
              <w:rPr>
                <w:color w:val="auto"/>
                <w:highlight w:val="none"/>
              </w:rPr>
              <w:t>≥1.0mg/L（出厂），0.2mg/L（管网末端）</w:t>
            </w:r>
          </w:p>
        </w:tc>
      </w:tr>
      <w:tr w14:paraId="37823D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0" w:type="pct"/>
            <w:vAlign w:val="center"/>
          </w:tcPr>
          <w:p w14:paraId="1263A5A0">
            <w:pPr>
              <w:pStyle w:val="41"/>
              <w:rPr>
                <w:color w:val="auto"/>
                <w:highlight w:val="none"/>
              </w:rPr>
            </w:pPr>
            <w:r>
              <w:rPr>
                <w:color w:val="auto"/>
                <w:highlight w:val="none"/>
              </w:rPr>
              <w:t>4</w:t>
            </w:r>
          </w:p>
        </w:tc>
        <w:tc>
          <w:tcPr>
            <w:tcW w:w="1015" w:type="pct"/>
            <w:vAlign w:val="center"/>
          </w:tcPr>
          <w:p w14:paraId="13D5B4C8">
            <w:pPr>
              <w:pStyle w:val="41"/>
              <w:rPr>
                <w:color w:val="auto"/>
                <w:highlight w:val="none"/>
              </w:rPr>
            </w:pPr>
            <w:r>
              <w:rPr>
                <w:color w:val="auto"/>
                <w:highlight w:val="none"/>
              </w:rPr>
              <w:t>浊度（NTU）</w:t>
            </w:r>
          </w:p>
        </w:tc>
        <w:tc>
          <w:tcPr>
            <w:tcW w:w="1032" w:type="pct"/>
            <w:vAlign w:val="center"/>
          </w:tcPr>
          <w:p w14:paraId="08852557">
            <w:pPr>
              <w:pStyle w:val="41"/>
              <w:rPr>
                <w:color w:val="auto"/>
                <w:highlight w:val="none"/>
              </w:rPr>
            </w:pPr>
            <w:r>
              <w:rPr>
                <w:color w:val="auto"/>
                <w:highlight w:val="none"/>
              </w:rPr>
              <w:t>10</w:t>
            </w:r>
          </w:p>
        </w:tc>
        <w:tc>
          <w:tcPr>
            <w:tcW w:w="390" w:type="pct"/>
            <w:vAlign w:val="center"/>
          </w:tcPr>
          <w:p w14:paraId="76F6356C">
            <w:pPr>
              <w:pStyle w:val="41"/>
              <w:rPr>
                <w:color w:val="auto"/>
                <w:highlight w:val="none"/>
              </w:rPr>
            </w:pPr>
            <w:r>
              <w:rPr>
                <w:color w:val="auto"/>
                <w:highlight w:val="none"/>
              </w:rPr>
              <w:t>11</w:t>
            </w:r>
          </w:p>
        </w:tc>
        <w:tc>
          <w:tcPr>
            <w:tcW w:w="1188" w:type="pct"/>
            <w:vAlign w:val="center"/>
          </w:tcPr>
          <w:p w14:paraId="5E6C60A0">
            <w:pPr>
              <w:pStyle w:val="41"/>
              <w:rPr>
                <w:color w:val="auto"/>
                <w:highlight w:val="none"/>
              </w:rPr>
            </w:pPr>
            <w:r>
              <w:rPr>
                <w:color w:val="auto"/>
                <w:highlight w:val="none"/>
              </w:rPr>
              <w:t>大肠埃希氏菌（MPN/100mL）</w:t>
            </w:r>
          </w:p>
        </w:tc>
        <w:tc>
          <w:tcPr>
            <w:tcW w:w="984" w:type="pct"/>
            <w:vAlign w:val="center"/>
          </w:tcPr>
          <w:p w14:paraId="7EC3C5A5">
            <w:pPr>
              <w:pStyle w:val="41"/>
              <w:rPr>
                <w:color w:val="auto"/>
                <w:highlight w:val="none"/>
              </w:rPr>
            </w:pPr>
            <w:r>
              <w:rPr>
                <w:color w:val="auto"/>
                <w:highlight w:val="none"/>
              </w:rPr>
              <w:t>无</w:t>
            </w:r>
          </w:p>
        </w:tc>
      </w:tr>
      <w:tr w14:paraId="2CA3B3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0" w:type="pct"/>
            <w:vAlign w:val="center"/>
          </w:tcPr>
          <w:p w14:paraId="1A8CD328">
            <w:pPr>
              <w:pStyle w:val="41"/>
              <w:rPr>
                <w:color w:val="auto"/>
                <w:highlight w:val="none"/>
              </w:rPr>
            </w:pPr>
            <w:r>
              <w:rPr>
                <w:color w:val="auto"/>
                <w:highlight w:val="none"/>
              </w:rPr>
              <w:t>5</w:t>
            </w:r>
          </w:p>
        </w:tc>
        <w:tc>
          <w:tcPr>
            <w:tcW w:w="1015" w:type="pct"/>
            <w:vAlign w:val="center"/>
          </w:tcPr>
          <w:p w14:paraId="278D6705">
            <w:pPr>
              <w:pStyle w:val="41"/>
              <w:rPr>
                <w:color w:val="auto"/>
                <w:highlight w:val="none"/>
              </w:rPr>
            </w:pPr>
            <w:r>
              <w:rPr>
                <w:color w:val="auto"/>
                <w:highlight w:val="none"/>
              </w:rPr>
              <w:t>五日生化需氧量</w:t>
            </w:r>
          </w:p>
        </w:tc>
        <w:tc>
          <w:tcPr>
            <w:tcW w:w="1032" w:type="pct"/>
            <w:vAlign w:val="center"/>
          </w:tcPr>
          <w:p w14:paraId="76B5FB36">
            <w:pPr>
              <w:pStyle w:val="41"/>
              <w:rPr>
                <w:color w:val="auto"/>
                <w:highlight w:val="none"/>
              </w:rPr>
            </w:pPr>
            <w:r>
              <w:rPr>
                <w:color w:val="auto"/>
                <w:highlight w:val="none"/>
              </w:rPr>
              <w:t>≤10mg/L</w:t>
            </w:r>
          </w:p>
        </w:tc>
        <w:tc>
          <w:tcPr>
            <w:tcW w:w="390" w:type="pct"/>
            <w:vAlign w:val="center"/>
          </w:tcPr>
          <w:p w14:paraId="3E734300">
            <w:pPr>
              <w:pStyle w:val="41"/>
              <w:rPr>
                <w:color w:val="auto"/>
                <w:highlight w:val="none"/>
              </w:rPr>
            </w:pPr>
            <w:r>
              <w:rPr>
                <w:color w:val="auto"/>
                <w:highlight w:val="none"/>
              </w:rPr>
              <w:t>12</w:t>
            </w:r>
          </w:p>
        </w:tc>
        <w:tc>
          <w:tcPr>
            <w:tcW w:w="1188" w:type="pct"/>
            <w:vAlign w:val="center"/>
          </w:tcPr>
          <w:p w14:paraId="66DE1E8E">
            <w:pPr>
              <w:pStyle w:val="41"/>
              <w:rPr>
                <w:color w:val="auto"/>
                <w:highlight w:val="none"/>
              </w:rPr>
            </w:pPr>
            <w:r>
              <w:rPr>
                <w:color w:val="auto"/>
                <w:highlight w:val="none"/>
              </w:rPr>
              <w:t>氯化物（Cl</w:t>
            </w:r>
            <w:r>
              <w:rPr>
                <w:color w:val="auto"/>
                <w:highlight w:val="none"/>
                <w:vertAlign w:val="superscript"/>
              </w:rPr>
              <w:t>-</w:t>
            </w:r>
            <w:r>
              <w:rPr>
                <w:color w:val="auto"/>
                <w:highlight w:val="none"/>
              </w:rPr>
              <w:t>）</w:t>
            </w:r>
          </w:p>
        </w:tc>
        <w:tc>
          <w:tcPr>
            <w:tcW w:w="984" w:type="pct"/>
            <w:vAlign w:val="center"/>
          </w:tcPr>
          <w:p w14:paraId="72471954">
            <w:pPr>
              <w:pStyle w:val="41"/>
              <w:rPr>
                <w:color w:val="auto"/>
                <w:highlight w:val="none"/>
              </w:rPr>
            </w:pPr>
            <w:r>
              <w:rPr>
                <w:color w:val="auto"/>
                <w:highlight w:val="none"/>
              </w:rPr>
              <w:t>≤350</w:t>
            </w:r>
          </w:p>
        </w:tc>
      </w:tr>
      <w:tr w14:paraId="193B85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0" w:type="pct"/>
            <w:vAlign w:val="center"/>
          </w:tcPr>
          <w:p w14:paraId="1F24B667">
            <w:pPr>
              <w:pStyle w:val="41"/>
              <w:rPr>
                <w:color w:val="auto"/>
                <w:highlight w:val="none"/>
              </w:rPr>
            </w:pPr>
            <w:r>
              <w:rPr>
                <w:color w:val="auto"/>
                <w:highlight w:val="none"/>
              </w:rPr>
              <w:t>6</w:t>
            </w:r>
          </w:p>
        </w:tc>
        <w:tc>
          <w:tcPr>
            <w:tcW w:w="1015" w:type="pct"/>
            <w:vAlign w:val="center"/>
          </w:tcPr>
          <w:p w14:paraId="5E76490F">
            <w:pPr>
              <w:pStyle w:val="41"/>
              <w:rPr>
                <w:color w:val="auto"/>
                <w:highlight w:val="none"/>
              </w:rPr>
            </w:pPr>
            <w:r>
              <w:rPr>
                <w:color w:val="auto"/>
                <w:highlight w:val="none"/>
              </w:rPr>
              <w:t>氨氮</w:t>
            </w:r>
          </w:p>
        </w:tc>
        <w:tc>
          <w:tcPr>
            <w:tcW w:w="1032" w:type="pct"/>
            <w:vAlign w:val="center"/>
          </w:tcPr>
          <w:p w14:paraId="7ADDB4C3">
            <w:pPr>
              <w:pStyle w:val="41"/>
              <w:rPr>
                <w:color w:val="auto"/>
                <w:highlight w:val="none"/>
              </w:rPr>
            </w:pPr>
            <w:r>
              <w:rPr>
                <w:color w:val="auto"/>
                <w:highlight w:val="none"/>
              </w:rPr>
              <w:t>≤8mg/L</w:t>
            </w:r>
          </w:p>
        </w:tc>
        <w:tc>
          <w:tcPr>
            <w:tcW w:w="390" w:type="pct"/>
            <w:vAlign w:val="center"/>
          </w:tcPr>
          <w:p w14:paraId="266CA7C2">
            <w:pPr>
              <w:pStyle w:val="41"/>
              <w:rPr>
                <w:color w:val="auto"/>
                <w:highlight w:val="none"/>
              </w:rPr>
            </w:pPr>
            <w:r>
              <w:rPr>
                <w:color w:val="auto"/>
                <w:highlight w:val="none"/>
              </w:rPr>
              <w:t>13</w:t>
            </w:r>
          </w:p>
        </w:tc>
        <w:tc>
          <w:tcPr>
            <w:tcW w:w="1188" w:type="pct"/>
            <w:vAlign w:val="center"/>
          </w:tcPr>
          <w:p w14:paraId="316C8E53">
            <w:pPr>
              <w:pStyle w:val="41"/>
              <w:rPr>
                <w:color w:val="auto"/>
                <w:highlight w:val="none"/>
              </w:rPr>
            </w:pPr>
            <w:r>
              <w:rPr>
                <w:color w:val="auto"/>
                <w:highlight w:val="none"/>
              </w:rPr>
              <w:t>硫酸盐（SO</w:t>
            </w:r>
            <w:r>
              <w:rPr>
                <w:color w:val="auto"/>
                <w:highlight w:val="none"/>
                <w:vertAlign w:val="subscript"/>
              </w:rPr>
              <w:t>4</w:t>
            </w:r>
            <w:r>
              <w:rPr>
                <w:color w:val="auto"/>
                <w:highlight w:val="none"/>
                <w:vertAlign w:val="superscript"/>
              </w:rPr>
              <w:t>2-</w:t>
            </w:r>
            <w:r>
              <w:rPr>
                <w:color w:val="auto"/>
                <w:highlight w:val="none"/>
              </w:rPr>
              <w:t>）</w:t>
            </w:r>
          </w:p>
        </w:tc>
        <w:tc>
          <w:tcPr>
            <w:tcW w:w="984" w:type="pct"/>
            <w:vAlign w:val="center"/>
          </w:tcPr>
          <w:p w14:paraId="2C9CDF9E">
            <w:pPr>
              <w:pStyle w:val="41"/>
              <w:rPr>
                <w:color w:val="auto"/>
                <w:highlight w:val="none"/>
              </w:rPr>
            </w:pPr>
            <w:r>
              <w:rPr>
                <w:color w:val="auto"/>
                <w:highlight w:val="none"/>
              </w:rPr>
              <w:t>≤500</w:t>
            </w:r>
          </w:p>
        </w:tc>
      </w:tr>
      <w:tr w14:paraId="012F76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0" w:type="pct"/>
            <w:vAlign w:val="center"/>
          </w:tcPr>
          <w:p w14:paraId="1B80DFDA">
            <w:pPr>
              <w:pStyle w:val="41"/>
              <w:rPr>
                <w:color w:val="auto"/>
                <w:highlight w:val="none"/>
              </w:rPr>
            </w:pPr>
            <w:r>
              <w:rPr>
                <w:color w:val="auto"/>
                <w:highlight w:val="none"/>
              </w:rPr>
              <w:t>7</w:t>
            </w:r>
          </w:p>
        </w:tc>
        <w:tc>
          <w:tcPr>
            <w:tcW w:w="1015" w:type="pct"/>
            <w:vAlign w:val="center"/>
          </w:tcPr>
          <w:p w14:paraId="3A187A8C">
            <w:pPr>
              <w:pStyle w:val="41"/>
              <w:rPr>
                <w:color w:val="auto"/>
                <w:highlight w:val="none"/>
              </w:rPr>
            </w:pPr>
            <w:r>
              <w:rPr>
                <w:color w:val="auto"/>
                <w:highlight w:val="none"/>
              </w:rPr>
              <w:t>阴离子表面活性剂</w:t>
            </w:r>
          </w:p>
        </w:tc>
        <w:tc>
          <w:tcPr>
            <w:tcW w:w="1032" w:type="pct"/>
            <w:vAlign w:val="center"/>
          </w:tcPr>
          <w:p w14:paraId="58222A38">
            <w:pPr>
              <w:pStyle w:val="41"/>
              <w:rPr>
                <w:color w:val="auto"/>
                <w:highlight w:val="none"/>
              </w:rPr>
            </w:pPr>
            <w:r>
              <w:rPr>
                <w:color w:val="auto"/>
                <w:highlight w:val="none"/>
              </w:rPr>
              <w:t>≤0.5mg/L</w:t>
            </w:r>
          </w:p>
        </w:tc>
        <w:tc>
          <w:tcPr>
            <w:tcW w:w="390" w:type="pct"/>
            <w:vAlign w:val="center"/>
          </w:tcPr>
          <w:p w14:paraId="31BA8C9F">
            <w:pPr>
              <w:pStyle w:val="41"/>
              <w:rPr>
                <w:color w:val="auto"/>
                <w:highlight w:val="none"/>
              </w:rPr>
            </w:pPr>
          </w:p>
        </w:tc>
        <w:tc>
          <w:tcPr>
            <w:tcW w:w="1188" w:type="pct"/>
            <w:vAlign w:val="center"/>
          </w:tcPr>
          <w:p w14:paraId="5CB18747">
            <w:pPr>
              <w:pStyle w:val="41"/>
              <w:rPr>
                <w:color w:val="auto"/>
                <w:highlight w:val="none"/>
              </w:rPr>
            </w:pPr>
          </w:p>
        </w:tc>
        <w:tc>
          <w:tcPr>
            <w:tcW w:w="984" w:type="pct"/>
            <w:vAlign w:val="center"/>
          </w:tcPr>
          <w:p w14:paraId="219F8EA1">
            <w:pPr>
              <w:pStyle w:val="41"/>
              <w:rPr>
                <w:color w:val="auto"/>
                <w:highlight w:val="none"/>
              </w:rPr>
            </w:pPr>
          </w:p>
        </w:tc>
      </w:tr>
    </w:tbl>
    <w:p w14:paraId="2FDF1557">
      <w:pPr>
        <w:pStyle w:val="3"/>
        <w:ind w:firstLine="480"/>
        <w:rPr>
          <w:color w:val="auto"/>
          <w:highlight w:val="none"/>
        </w:rPr>
      </w:pPr>
      <w:r>
        <w:rPr>
          <w:color w:val="auto"/>
          <w:highlight w:val="none"/>
        </w:rPr>
        <w:t>（3）噪声</w:t>
      </w:r>
    </w:p>
    <w:p w14:paraId="1C42667A">
      <w:pPr>
        <w:pStyle w:val="3"/>
        <w:ind w:firstLine="480"/>
        <w:rPr>
          <w:color w:val="auto"/>
          <w:highlight w:val="none"/>
        </w:rPr>
      </w:pPr>
      <w:r>
        <w:rPr>
          <w:color w:val="auto"/>
          <w:highlight w:val="none"/>
        </w:rPr>
        <w:t>施工期噪声执行《</w:t>
      </w:r>
      <w:r>
        <w:rPr>
          <w:rFonts w:hint="eastAsia"/>
          <w:color w:val="auto"/>
          <w:highlight w:val="none"/>
        </w:rPr>
        <w:t>建筑施工噪声排放标准</w:t>
      </w:r>
      <w:r>
        <w:rPr>
          <w:color w:val="auto"/>
          <w:highlight w:val="none"/>
        </w:rPr>
        <w:t>》（GB12523-20</w:t>
      </w:r>
      <w:r>
        <w:rPr>
          <w:rFonts w:hint="eastAsia"/>
          <w:color w:val="auto"/>
          <w:highlight w:val="none"/>
        </w:rPr>
        <w:t>25</w:t>
      </w:r>
      <w:r>
        <w:rPr>
          <w:color w:val="auto"/>
          <w:highlight w:val="none"/>
        </w:rPr>
        <w:t>），见表2.4-</w:t>
      </w:r>
      <w:r>
        <w:rPr>
          <w:rFonts w:hint="eastAsia"/>
          <w:color w:val="auto"/>
          <w:highlight w:val="none"/>
        </w:rPr>
        <w:t>10</w:t>
      </w:r>
      <w:r>
        <w:rPr>
          <w:color w:val="auto"/>
          <w:highlight w:val="none"/>
        </w:rPr>
        <w:t>。</w:t>
      </w:r>
    </w:p>
    <w:p w14:paraId="3A620ED1">
      <w:pPr>
        <w:pStyle w:val="40"/>
        <w:spacing w:before="24" w:after="24"/>
        <w:rPr>
          <w:color w:val="auto"/>
          <w:highlight w:val="none"/>
        </w:rPr>
      </w:pPr>
      <w:bookmarkStart w:id="162" w:name="_Ref418282424"/>
      <w:r>
        <w:rPr>
          <w:color w:val="auto"/>
          <w:highlight w:val="none"/>
        </w:rPr>
        <w:t>表</w:t>
      </w:r>
      <w:bookmarkEnd w:id="162"/>
      <w:r>
        <w:rPr>
          <w:color w:val="auto"/>
          <w:highlight w:val="none"/>
        </w:rPr>
        <w:t>2.4-</w:t>
      </w:r>
      <w:r>
        <w:rPr>
          <w:rFonts w:hint="eastAsia"/>
          <w:color w:val="auto"/>
          <w:highlight w:val="none"/>
        </w:rPr>
        <w:t>10</w:t>
      </w:r>
      <w:r>
        <w:rPr>
          <w:color w:val="auto"/>
          <w:highlight w:val="none"/>
        </w:rPr>
        <w:t xml:space="preserve">    </w:t>
      </w:r>
      <w:r>
        <w:rPr>
          <w:rFonts w:hint="eastAsia"/>
          <w:color w:val="auto"/>
          <w:highlight w:val="none"/>
        </w:rPr>
        <w:t>建筑施工噪声排放标准</w:t>
      </w:r>
      <w:r>
        <w:rPr>
          <w:color w:val="auto"/>
          <w:highlight w:val="none"/>
        </w:rPr>
        <w:t xml:space="preserve">    单位：dB（A）</w:t>
      </w:r>
    </w:p>
    <w:tbl>
      <w:tblPr>
        <w:tblStyle w:val="25"/>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256"/>
        <w:gridCol w:w="4252"/>
      </w:tblGrid>
      <w:tr w14:paraId="11DBCA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1" w:type="pct"/>
            <w:tcBorders>
              <w:tl2br w:val="nil"/>
              <w:tr2bl w:val="nil"/>
            </w:tcBorders>
            <w:vAlign w:val="center"/>
          </w:tcPr>
          <w:p w14:paraId="5EDF401D">
            <w:pPr>
              <w:pStyle w:val="41"/>
              <w:rPr>
                <w:color w:val="auto"/>
                <w:highlight w:val="none"/>
              </w:rPr>
            </w:pPr>
            <w:r>
              <w:rPr>
                <w:color w:val="auto"/>
                <w:highlight w:val="none"/>
              </w:rPr>
              <w:t>昼间</w:t>
            </w:r>
          </w:p>
        </w:tc>
        <w:tc>
          <w:tcPr>
            <w:tcW w:w="2498" w:type="pct"/>
            <w:tcBorders>
              <w:tl2br w:val="nil"/>
              <w:tr2bl w:val="nil"/>
            </w:tcBorders>
            <w:vAlign w:val="center"/>
          </w:tcPr>
          <w:p w14:paraId="35AB90B9">
            <w:pPr>
              <w:pStyle w:val="41"/>
              <w:rPr>
                <w:color w:val="auto"/>
                <w:highlight w:val="none"/>
              </w:rPr>
            </w:pPr>
            <w:r>
              <w:rPr>
                <w:color w:val="auto"/>
                <w:highlight w:val="none"/>
              </w:rPr>
              <w:t>夜间</w:t>
            </w:r>
          </w:p>
        </w:tc>
      </w:tr>
      <w:tr w14:paraId="64C607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1" w:type="pct"/>
            <w:tcBorders>
              <w:tl2br w:val="nil"/>
              <w:tr2bl w:val="nil"/>
            </w:tcBorders>
            <w:vAlign w:val="center"/>
          </w:tcPr>
          <w:p w14:paraId="37E7BFF8">
            <w:pPr>
              <w:pStyle w:val="41"/>
              <w:rPr>
                <w:color w:val="auto"/>
                <w:highlight w:val="none"/>
              </w:rPr>
            </w:pPr>
            <w:r>
              <w:rPr>
                <w:color w:val="auto"/>
                <w:highlight w:val="none"/>
              </w:rPr>
              <w:t>70</w:t>
            </w:r>
          </w:p>
        </w:tc>
        <w:tc>
          <w:tcPr>
            <w:tcW w:w="2498" w:type="pct"/>
            <w:tcBorders>
              <w:tl2br w:val="nil"/>
              <w:tr2bl w:val="nil"/>
            </w:tcBorders>
            <w:vAlign w:val="center"/>
          </w:tcPr>
          <w:p w14:paraId="50BC5998">
            <w:pPr>
              <w:pStyle w:val="41"/>
              <w:rPr>
                <w:color w:val="auto"/>
                <w:highlight w:val="none"/>
              </w:rPr>
            </w:pPr>
            <w:r>
              <w:rPr>
                <w:color w:val="auto"/>
                <w:highlight w:val="none"/>
              </w:rPr>
              <w:t>55</w:t>
            </w:r>
          </w:p>
        </w:tc>
      </w:tr>
    </w:tbl>
    <w:p w14:paraId="1C1B30FE">
      <w:pPr>
        <w:pStyle w:val="3"/>
        <w:ind w:firstLine="480"/>
        <w:rPr>
          <w:color w:val="auto"/>
          <w:highlight w:val="none"/>
        </w:rPr>
      </w:pPr>
      <w:r>
        <w:rPr>
          <w:color w:val="auto"/>
          <w:highlight w:val="none"/>
        </w:rPr>
        <w:t>运营期厂界噪声执行《工业企业厂界环境噪声排放标准》（GB12348-2008）中</w:t>
      </w:r>
      <w:r>
        <w:rPr>
          <w:rFonts w:hint="eastAsia"/>
          <w:color w:val="auto"/>
          <w:highlight w:val="none"/>
          <w:lang w:val="en-US" w:eastAsia="zh-CN"/>
        </w:rPr>
        <w:t>3</w:t>
      </w:r>
      <w:r>
        <w:rPr>
          <w:color w:val="auto"/>
          <w:highlight w:val="none"/>
        </w:rPr>
        <w:t>类标准，见表2.4-</w:t>
      </w:r>
      <w:r>
        <w:rPr>
          <w:rFonts w:hint="eastAsia"/>
          <w:color w:val="auto"/>
          <w:highlight w:val="none"/>
        </w:rPr>
        <w:t>11</w:t>
      </w:r>
      <w:r>
        <w:rPr>
          <w:color w:val="auto"/>
          <w:highlight w:val="none"/>
        </w:rPr>
        <w:t>。</w:t>
      </w:r>
    </w:p>
    <w:p w14:paraId="5A33322D">
      <w:pPr>
        <w:pStyle w:val="40"/>
        <w:spacing w:before="24" w:after="24"/>
        <w:rPr>
          <w:color w:val="auto"/>
          <w:highlight w:val="none"/>
        </w:rPr>
      </w:pPr>
      <w:r>
        <w:rPr>
          <w:color w:val="auto"/>
          <w:highlight w:val="none"/>
        </w:rPr>
        <w:t>表2.4-</w:t>
      </w:r>
      <w:r>
        <w:rPr>
          <w:rFonts w:hint="eastAsia"/>
          <w:color w:val="auto"/>
          <w:highlight w:val="none"/>
        </w:rPr>
        <w:t>11</w:t>
      </w:r>
      <w:r>
        <w:rPr>
          <w:color w:val="auto"/>
          <w:highlight w:val="none"/>
        </w:rPr>
        <w:t xml:space="preserve">    工业企业厂界环境噪声排放标准    单位：dB（A）</w:t>
      </w:r>
    </w:p>
    <w:tbl>
      <w:tblPr>
        <w:tblStyle w:val="25"/>
        <w:tblW w:w="499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3020"/>
        <w:gridCol w:w="2630"/>
        <w:gridCol w:w="2672"/>
      </w:tblGrid>
      <w:tr w14:paraId="7B98AA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1814" w:type="pct"/>
            <w:vMerge w:val="restart"/>
            <w:tcBorders>
              <w:tl2br w:val="nil"/>
              <w:tr2bl w:val="nil"/>
            </w:tcBorders>
            <w:vAlign w:val="center"/>
          </w:tcPr>
          <w:p w14:paraId="7918C122">
            <w:pPr>
              <w:pStyle w:val="41"/>
              <w:rPr>
                <w:color w:val="auto"/>
                <w:highlight w:val="none"/>
              </w:rPr>
            </w:pPr>
            <w:r>
              <w:rPr>
                <w:color w:val="auto"/>
                <w:highlight w:val="none"/>
              </w:rPr>
              <w:t>声环境功能区类别</w:t>
            </w:r>
          </w:p>
        </w:tc>
        <w:tc>
          <w:tcPr>
            <w:tcW w:w="3185" w:type="pct"/>
            <w:gridSpan w:val="2"/>
            <w:tcBorders>
              <w:tl2br w:val="nil"/>
              <w:tr2bl w:val="nil"/>
            </w:tcBorders>
            <w:vAlign w:val="center"/>
          </w:tcPr>
          <w:p w14:paraId="45B63EEB">
            <w:pPr>
              <w:pStyle w:val="41"/>
              <w:rPr>
                <w:color w:val="auto"/>
                <w:highlight w:val="none"/>
              </w:rPr>
            </w:pPr>
            <w:r>
              <w:rPr>
                <w:color w:val="auto"/>
                <w:highlight w:val="none"/>
              </w:rPr>
              <w:t>时段</w:t>
            </w:r>
          </w:p>
        </w:tc>
      </w:tr>
      <w:tr w14:paraId="615F50B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1814" w:type="pct"/>
            <w:vMerge w:val="continue"/>
            <w:tcBorders>
              <w:tl2br w:val="nil"/>
              <w:tr2bl w:val="nil"/>
            </w:tcBorders>
            <w:vAlign w:val="center"/>
          </w:tcPr>
          <w:p w14:paraId="2AC223B3">
            <w:pPr>
              <w:pStyle w:val="41"/>
              <w:rPr>
                <w:color w:val="auto"/>
                <w:highlight w:val="none"/>
              </w:rPr>
            </w:pPr>
          </w:p>
        </w:tc>
        <w:tc>
          <w:tcPr>
            <w:tcW w:w="1580" w:type="pct"/>
            <w:tcBorders>
              <w:tl2br w:val="nil"/>
              <w:tr2bl w:val="nil"/>
            </w:tcBorders>
            <w:vAlign w:val="center"/>
          </w:tcPr>
          <w:p w14:paraId="74E060DE">
            <w:pPr>
              <w:pStyle w:val="41"/>
              <w:rPr>
                <w:color w:val="auto"/>
                <w:highlight w:val="none"/>
              </w:rPr>
            </w:pPr>
            <w:r>
              <w:rPr>
                <w:color w:val="auto"/>
                <w:highlight w:val="none"/>
              </w:rPr>
              <w:t>昼间</w:t>
            </w:r>
          </w:p>
        </w:tc>
        <w:tc>
          <w:tcPr>
            <w:tcW w:w="1605" w:type="pct"/>
            <w:tcBorders>
              <w:tl2br w:val="nil"/>
              <w:tr2bl w:val="nil"/>
            </w:tcBorders>
            <w:vAlign w:val="center"/>
          </w:tcPr>
          <w:p w14:paraId="5EF1127E">
            <w:pPr>
              <w:pStyle w:val="41"/>
              <w:rPr>
                <w:color w:val="auto"/>
                <w:highlight w:val="none"/>
              </w:rPr>
            </w:pPr>
            <w:r>
              <w:rPr>
                <w:color w:val="auto"/>
                <w:highlight w:val="none"/>
              </w:rPr>
              <w:t>夜间</w:t>
            </w:r>
          </w:p>
        </w:tc>
      </w:tr>
      <w:tr w14:paraId="033AD1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1814" w:type="pct"/>
            <w:tcBorders>
              <w:tl2br w:val="nil"/>
              <w:tr2bl w:val="nil"/>
            </w:tcBorders>
            <w:vAlign w:val="center"/>
          </w:tcPr>
          <w:p w14:paraId="20A7D692">
            <w:pPr>
              <w:pStyle w:val="41"/>
              <w:rPr>
                <w:color w:val="auto"/>
                <w:highlight w:val="none"/>
              </w:rPr>
            </w:pPr>
            <w:r>
              <w:rPr>
                <w:color w:val="auto"/>
                <w:highlight w:val="none"/>
              </w:rPr>
              <w:t>2类</w:t>
            </w:r>
          </w:p>
        </w:tc>
        <w:tc>
          <w:tcPr>
            <w:tcW w:w="1580" w:type="pct"/>
            <w:tcBorders>
              <w:tl2br w:val="nil"/>
              <w:tr2bl w:val="nil"/>
            </w:tcBorders>
            <w:vAlign w:val="center"/>
          </w:tcPr>
          <w:p w14:paraId="61DF55F6">
            <w:pPr>
              <w:pStyle w:val="41"/>
              <w:rPr>
                <w:rFonts w:hint="eastAsia" w:eastAsia="华文中宋"/>
                <w:color w:val="auto"/>
                <w:highlight w:val="none"/>
                <w:lang w:eastAsia="zh-CN"/>
              </w:rPr>
            </w:pPr>
            <w:r>
              <w:rPr>
                <w:color w:val="auto"/>
                <w:highlight w:val="none"/>
              </w:rPr>
              <w:t>6</w:t>
            </w:r>
            <w:r>
              <w:rPr>
                <w:rFonts w:hint="eastAsia"/>
                <w:color w:val="auto"/>
                <w:highlight w:val="none"/>
                <w:lang w:val="en-US" w:eastAsia="zh-CN"/>
              </w:rPr>
              <w:t>5</w:t>
            </w:r>
          </w:p>
        </w:tc>
        <w:tc>
          <w:tcPr>
            <w:tcW w:w="1605" w:type="pct"/>
            <w:tcBorders>
              <w:tl2br w:val="nil"/>
              <w:tr2bl w:val="nil"/>
            </w:tcBorders>
            <w:vAlign w:val="center"/>
          </w:tcPr>
          <w:p w14:paraId="4FF19DAD">
            <w:pPr>
              <w:pStyle w:val="41"/>
              <w:rPr>
                <w:rFonts w:hint="eastAsia" w:eastAsia="华文中宋"/>
                <w:color w:val="auto"/>
                <w:highlight w:val="none"/>
                <w:lang w:eastAsia="zh-CN"/>
              </w:rPr>
            </w:pPr>
            <w:r>
              <w:rPr>
                <w:color w:val="auto"/>
                <w:highlight w:val="none"/>
              </w:rPr>
              <w:t>5</w:t>
            </w:r>
            <w:r>
              <w:rPr>
                <w:rFonts w:hint="eastAsia"/>
                <w:color w:val="auto"/>
                <w:highlight w:val="none"/>
                <w:lang w:val="en-US" w:eastAsia="zh-CN"/>
              </w:rPr>
              <w:t>5</w:t>
            </w:r>
          </w:p>
        </w:tc>
      </w:tr>
    </w:tbl>
    <w:p w14:paraId="02836182">
      <w:pPr>
        <w:pStyle w:val="3"/>
        <w:ind w:firstLine="480"/>
        <w:rPr>
          <w:color w:val="auto"/>
          <w:highlight w:val="none"/>
        </w:rPr>
      </w:pPr>
      <w:r>
        <w:rPr>
          <w:color w:val="auto"/>
          <w:highlight w:val="none"/>
        </w:rPr>
        <w:t>（4）固体废弃物</w:t>
      </w:r>
    </w:p>
    <w:p w14:paraId="05407B72">
      <w:pPr>
        <w:pStyle w:val="3"/>
        <w:ind w:firstLine="480"/>
        <w:rPr>
          <w:color w:val="auto"/>
          <w:highlight w:val="none"/>
        </w:rPr>
      </w:pPr>
      <w:r>
        <w:rPr>
          <w:color w:val="auto"/>
          <w:highlight w:val="none"/>
        </w:rPr>
        <w:t>危险废物执行《危险废物贮存污染控制标准》（GB18597-2023）；一般固废执行《一般工业固体废物贮存和填埋污染控制标准》（GB18599-2020）</w:t>
      </w:r>
      <w:r>
        <w:rPr>
          <w:rFonts w:hint="eastAsia"/>
          <w:color w:val="auto"/>
          <w:highlight w:val="none"/>
          <w:lang w:eastAsia="zh-CN"/>
        </w:rPr>
        <w:t>中第 I 类一般工业固体废物</w:t>
      </w:r>
      <w:r>
        <w:rPr>
          <w:color w:val="auto"/>
          <w:highlight w:val="none"/>
        </w:rPr>
        <w:t>。</w:t>
      </w:r>
    </w:p>
    <w:p w14:paraId="351A50FC">
      <w:pPr>
        <w:pStyle w:val="3"/>
        <w:ind w:firstLine="480"/>
        <w:rPr>
          <w:rFonts w:hint="eastAsia"/>
          <w:color w:val="auto"/>
          <w:highlight w:val="none"/>
        </w:rPr>
      </w:pPr>
      <w:r>
        <w:rPr>
          <w:rFonts w:hint="eastAsia"/>
          <w:color w:val="auto"/>
          <w:highlight w:val="none"/>
        </w:rPr>
        <w:t>5.2.1 当天然基础层饱和渗透系数不大于1.0×10</w:t>
      </w:r>
      <w:r>
        <w:rPr>
          <w:rFonts w:hint="eastAsia"/>
          <w:color w:val="auto"/>
          <w:highlight w:val="none"/>
          <w:vertAlign w:val="superscript"/>
        </w:rPr>
        <w:t>-5</w:t>
      </w:r>
      <w:r>
        <w:rPr>
          <w:rFonts w:hint="eastAsia"/>
          <w:color w:val="auto"/>
          <w:highlight w:val="none"/>
        </w:rPr>
        <w:t>cm/s，且厚度不小于0.75m时，可以采用天然基础层作为防渗衬层。</w:t>
      </w:r>
    </w:p>
    <w:p w14:paraId="7FEE3CF4">
      <w:pPr>
        <w:pStyle w:val="3"/>
        <w:ind w:firstLine="480"/>
        <w:rPr>
          <w:color w:val="auto"/>
          <w:highlight w:val="none"/>
        </w:rPr>
      </w:pPr>
      <w:r>
        <w:rPr>
          <w:rFonts w:hint="eastAsia"/>
          <w:color w:val="auto"/>
          <w:highlight w:val="none"/>
        </w:rPr>
        <w:t>5.2.2当天然基础层不能满足5.2.1条防渗要求时，可采用改性压实粘土类衬层或具有同等以上隔水效力的其他材料防渗衬层，其防渗性能应至少相当于渗透系数为1.0×10</w:t>
      </w:r>
      <w:r>
        <w:rPr>
          <w:rFonts w:hint="eastAsia"/>
          <w:color w:val="auto"/>
          <w:highlight w:val="none"/>
          <w:vertAlign w:val="superscript"/>
        </w:rPr>
        <w:t>-5</w:t>
      </w:r>
      <w:r>
        <w:rPr>
          <w:rFonts w:hint="eastAsia"/>
          <w:color w:val="auto"/>
          <w:highlight w:val="none"/>
        </w:rPr>
        <w:t>cm/s且厚度为0.75m的天然基础层。</w:t>
      </w:r>
    </w:p>
    <w:p w14:paraId="15CC65E8">
      <w:pPr>
        <w:pStyle w:val="39"/>
        <w:rPr>
          <w:rFonts w:hint="default"/>
          <w:color w:val="auto"/>
          <w:highlight w:val="none"/>
        </w:rPr>
      </w:pPr>
      <w:bookmarkStart w:id="163" w:name="_Toc471925959"/>
      <w:bookmarkStart w:id="164" w:name="_Toc23370"/>
      <w:bookmarkStart w:id="165" w:name="_Toc481789487"/>
      <w:bookmarkStart w:id="166" w:name="_Toc208918204"/>
      <w:bookmarkStart w:id="167" w:name="_Toc404006509"/>
      <w:bookmarkStart w:id="168" w:name="_Toc481768448"/>
      <w:bookmarkStart w:id="169" w:name="_Toc320176177"/>
      <w:bookmarkStart w:id="170" w:name="_Toc9653"/>
      <w:bookmarkStart w:id="171" w:name="_Toc481768096"/>
      <w:bookmarkStart w:id="172" w:name="_Toc4799"/>
      <w:bookmarkStart w:id="173" w:name="_Toc211353926"/>
      <w:bookmarkStart w:id="174" w:name="_Toc357506044"/>
      <w:bookmarkStart w:id="175" w:name="_Toc720"/>
      <w:bookmarkStart w:id="176" w:name="_Toc244344546"/>
      <w:bookmarkStart w:id="177" w:name="_Toc358185902"/>
      <w:bookmarkStart w:id="178" w:name="_Toc208896971"/>
      <w:bookmarkStart w:id="179" w:name="_Toc395712420"/>
      <w:bookmarkStart w:id="180" w:name="_Toc356403998"/>
      <w:bookmarkStart w:id="181" w:name="_Toc4534"/>
      <w:bookmarkStart w:id="182" w:name="_Toc302400293"/>
      <w:bookmarkStart w:id="183" w:name="_Toc391050945"/>
      <w:bookmarkStart w:id="184" w:name="_Toc23124"/>
      <w:bookmarkStart w:id="185" w:name="_Toc324157824"/>
      <w:bookmarkStart w:id="186" w:name="_Toc332293488"/>
      <w:bookmarkStart w:id="187" w:name="_Toc209786669"/>
      <w:bookmarkStart w:id="188" w:name="_Toc428964840"/>
      <w:r>
        <w:rPr>
          <w:rFonts w:hint="default"/>
          <w:color w:val="auto"/>
          <w:highlight w:val="none"/>
        </w:rPr>
        <w:t>评价工作等级及范围</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5D6E288B">
      <w:pPr>
        <w:pStyle w:val="42"/>
        <w:rPr>
          <w:rFonts w:hint="default"/>
          <w:color w:val="auto"/>
          <w:highlight w:val="none"/>
        </w:rPr>
      </w:pPr>
      <w:r>
        <w:rPr>
          <w:rFonts w:hint="default"/>
          <w:color w:val="auto"/>
          <w:highlight w:val="none"/>
        </w:rPr>
        <w:t xml:space="preserve"> 环境空气</w:t>
      </w:r>
    </w:p>
    <w:p w14:paraId="66165684">
      <w:pPr>
        <w:pStyle w:val="3"/>
        <w:ind w:firstLine="480"/>
        <w:rPr>
          <w:color w:val="auto"/>
          <w:highlight w:val="none"/>
        </w:rPr>
      </w:pPr>
      <w:r>
        <w:rPr>
          <w:color w:val="auto"/>
          <w:highlight w:val="none"/>
        </w:rPr>
        <w:t>（1）判定依据</w:t>
      </w:r>
    </w:p>
    <w:p w14:paraId="0201EB69">
      <w:pPr>
        <w:pStyle w:val="3"/>
        <w:ind w:firstLine="480"/>
        <w:rPr>
          <w:color w:val="auto"/>
          <w:highlight w:val="none"/>
        </w:rPr>
      </w:pPr>
      <w:r>
        <w:rPr>
          <w:color w:val="auto"/>
          <w:highlight w:val="none"/>
        </w:rPr>
        <w:t>根据《环境影响评价技术导则 大气环境》（HJ2.2-2018）中的推荐模式AERSCREEN，选择粉尘作为主要污染物，计算粉尘的最大地面空气质量浓度占标率Pi（第i个污染物）</w:t>
      </w:r>
      <w:r>
        <w:rPr>
          <w:rFonts w:hint="eastAsia"/>
          <w:color w:val="auto"/>
          <w:highlight w:val="none"/>
        </w:rPr>
        <w:t>以</w:t>
      </w:r>
      <w:r>
        <w:rPr>
          <w:color w:val="auto"/>
          <w:highlight w:val="none"/>
        </w:rPr>
        <w:t>及第i个污染物的地面空气质量浓度达标值10%时所对应的最远距离D10%，其中Pi定义为：</w:t>
      </w:r>
    </w:p>
    <w:p w14:paraId="1EB0CC60">
      <w:pPr>
        <w:pStyle w:val="3"/>
        <w:ind w:firstLine="480"/>
        <w:rPr>
          <w:color w:val="auto"/>
          <w:highlight w:val="none"/>
        </w:rPr>
      </w:pPr>
      <w:r>
        <w:rPr>
          <w:color w:val="auto"/>
          <w:highlight w:val="none"/>
        </w:rPr>
        <w:t>Pi=Ci/Coi×100%</w:t>
      </w:r>
    </w:p>
    <w:p w14:paraId="7F9D3F50">
      <w:pPr>
        <w:pStyle w:val="3"/>
        <w:ind w:firstLine="480"/>
        <w:rPr>
          <w:color w:val="auto"/>
          <w:highlight w:val="none"/>
        </w:rPr>
      </w:pPr>
      <w:r>
        <w:rPr>
          <w:color w:val="auto"/>
          <w:highlight w:val="none"/>
        </w:rPr>
        <w:t>式中：Pi—第i个污染物的最大地面空气质量浓度占标率，%；</w:t>
      </w:r>
    </w:p>
    <w:p w14:paraId="4E92D8FF">
      <w:pPr>
        <w:pStyle w:val="3"/>
        <w:ind w:firstLine="480"/>
        <w:rPr>
          <w:color w:val="auto"/>
          <w:highlight w:val="none"/>
        </w:rPr>
      </w:pPr>
      <w:r>
        <w:rPr>
          <w:color w:val="auto"/>
          <w:highlight w:val="none"/>
        </w:rPr>
        <w:t xml:space="preserve">      Ci—采用估算模式计算出的第i个污染物的最大1h地面空气质量浓度，mg/m3；</w:t>
      </w:r>
    </w:p>
    <w:p w14:paraId="729B8F11">
      <w:pPr>
        <w:pStyle w:val="3"/>
        <w:ind w:firstLine="480"/>
        <w:rPr>
          <w:color w:val="auto"/>
          <w:highlight w:val="none"/>
        </w:rPr>
      </w:pPr>
      <w:r>
        <w:rPr>
          <w:color w:val="auto"/>
          <w:highlight w:val="none"/>
        </w:rPr>
        <w:t xml:space="preserve">      Coi—第i个污染物的环境空气质量标准，μg/m</w:t>
      </w:r>
      <w:r>
        <w:rPr>
          <w:color w:val="auto"/>
          <w:highlight w:val="none"/>
          <w:vertAlign w:val="superscript"/>
        </w:rPr>
        <w:t>3</w:t>
      </w:r>
      <w:r>
        <w:rPr>
          <w:color w:val="auto"/>
          <w:highlight w:val="none"/>
        </w:rPr>
        <w:t>；一般选用GB3095中1小时平均质量浓度的二级浓度限值。</w:t>
      </w:r>
    </w:p>
    <w:p w14:paraId="54CC769C">
      <w:pPr>
        <w:pStyle w:val="3"/>
        <w:ind w:firstLine="480"/>
        <w:rPr>
          <w:color w:val="auto"/>
          <w:highlight w:val="none"/>
        </w:rPr>
      </w:pPr>
      <w:r>
        <w:rPr>
          <w:color w:val="auto"/>
          <w:highlight w:val="none"/>
        </w:rPr>
        <w:t>大气环境影响评价工作等级判据见表2.5-1、2.5-2。</w:t>
      </w:r>
    </w:p>
    <w:p w14:paraId="6CA58791">
      <w:pPr>
        <w:pStyle w:val="40"/>
        <w:spacing w:before="24" w:after="24"/>
        <w:rPr>
          <w:color w:val="auto"/>
          <w:highlight w:val="none"/>
        </w:rPr>
      </w:pPr>
      <w:r>
        <w:rPr>
          <w:color w:val="auto"/>
          <w:highlight w:val="none"/>
        </w:rPr>
        <w:t>表2.5-1    大气环境影响评价工作等级</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48"/>
        <w:gridCol w:w="6559"/>
      </w:tblGrid>
      <w:tr w14:paraId="37AF18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3" w:hRule="atLeast"/>
          <w:jc w:val="center"/>
        </w:trPr>
        <w:tc>
          <w:tcPr>
            <w:tcW w:w="1145" w:type="pct"/>
            <w:tcBorders>
              <w:tl2br w:val="nil"/>
              <w:tr2bl w:val="nil"/>
            </w:tcBorders>
            <w:vAlign w:val="center"/>
          </w:tcPr>
          <w:p w14:paraId="254EAC8E">
            <w:pPr>
              <w:pStyle w:val="41"/>
              <w:rPr>
                <w:color w:val="auto"/>
                <w:highlight w:val="none"/>
              </w:rPr>
            </w:pPr>
            <w:r>
              <w:rPr>
                <w:color w:val="auto"/>
                <w:highlight w:val="none"/>
              </w:rPr>
              <w:t>评价工作等级</w:t>
            </w:r>
          </w:p>
        </w:tc>
        <w:tc>
          <w:tcPr>
            <w:tcW w:w="3854" w:type="pct"/>
            <w:tcBorders>
              <w:tl2br w:val="nil"/>
              <w:tr2bl w:val="nil"/>
            </w:tcBorders>
            <w:vAlign w:val="center"/>
          </w:tcPr>
          <w:p w14:paraId="563E8632">
            <w:pPr>
              <w:pStyle w:val="41"/>
              <w:rPr>
                <w:color w:val="auto"/>
                <w:highlight w:val="none"/>
              </w:rPr>
            </w:pPr>
            <w:r>
              <w:rPr>
                <w:color w:val="auto"/>
                <w:highlight w:val="none"/>
              </w:rPr>
              <w:t>评价工作分级判据</w:t>
            </w:r>
          </w:p>
        </w:tc>
      </w:tr>
      <w:tr w14:paraId="5024E3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45" w:type="pct"/>
            <w:tcBorders>
              <w:tl2br w:val="nil"/>
              <w:tr2bl w:val="nil"/>
            </w:tcBorders>
            <w:vAlign w:val="center"/>
          </w:tcPr>
          <w:p w14:paraId="53466659">
            <w:pPr>
              <w:pStyle w:val="41"/>
              <w:rPr>
                <w:color w:val="auto"/>
                <w:highlight w:val="none"/>
              </w:rPr>
            </w:pPr>
            <w:r>
              <w:rPr>
                <w:color w:val="auto"/>
                <w:highlight w:val="none"/>
              </w:rPr>
              <w:t>一级</w:t>
            </w:r>
          </w:p>
        </w:tc>
        <w:tc>
          <w:tcPr>
            <w:tcW w:w="3854" w:type="pct"/>
            <w:tcBorders>
              <w:tl2br w:val="nil"/>
              <w:tr2bl w:val="nil"/>
            </w:tcBorders>
            <w:vAlign w:val="center"/>
          </w:tcPr>
          <w:p w14:paraId="4ED157DF">
            <w:pPr>
              <w:pStyle w:val="41"/>
              <w:rPr>
                <w:color w:val="auto"/>
                <w:highlight w:val="none"/>
              </w:rPr>
            </w:pPr>
            <w:r>
              <w:rPr>
                <w:color w:val="auto"/>
                <w:highlight w:val="none"/>
              </w:rPr>
              <w:t>Pmax≥10%</w:t>
            </w:r>
          </w:p>
        </w:tc>
      </w:tr>
      <w:tr w14:paraId="062C54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45" w:type="pct"/>
            <w:tcBorders>
              <w:tl2br w:val="nil"/>
              <w:tr2bl w:val="nil"/>
            </w:tcBorders>
            <w:vAlign w:val="center"/>
          </w:tcPr>
          <w:p w14:paraId="3230B9EB">
            <w:pPr>
              <w:pStyle w:val="41"/>
              <w:rPr>
                <w:color w:val="auto"/>
                <w:highlight w:val="none"/>
              </w:rPr>
            </w:pPr>
            <w:r>
              <w:rPr>
                <w:color w:val="auto"/>
                <w:highlight w:val="none"/>
              </w:rPr>
              <w:t>二级</w:t>
            </w:r>
          </w:p>
        </w:tc>
        <w:tc>
          <w:tcPr>
            <w:tcW w:w="3854" w:type="pct"/>
            <w:tcBorders>
              <w:tl2br w:val="nil"/>
              <w:tr2bl w:val="nil"/>
            </w:tcBorders>
            <w:vAlign w:val="center"/>
          </w:tcPr>
          <w:p w14:paraId="12594803">
            <w:pPr>
              <w:pStyle w:val="41"/>
              <w:rPr>
                <w:color w:val="auto"/>
                <w:highlight w:val="none"/>
              </w:rPr>
            </w:pPr>
            <w:r>
              <w:rPr>
                <w:color w:val="auto"/>
                <w:highlight w:val="none"/>
              </w:rPr>
              <w:t>1%≤Pmax＜10%</w:t>
            </w:r>
          </w:p>
        </w:tc>
      </w:tr>
      <w:tr w14:paraId="174A8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45" w:type="pct"/>
            <w:tcBorders>
              <w:tl2br w:val="nil"/>
              <w:tr2bl w:val="nil"/>
            </w:tcBorders>
            <w:vAlign w:val="center"/>
          </w:tcPr>
          <w:p w14:paraId="6DA678A5">
            <w:pPr>
              <w:pStyle w:val="41"/>
              <w:rPr>
                <w:color w:val="auto"/>
                <w:highlight w:val="none"/>
              </w:rPr>
            </w:pPr>
            <w:r>
              <w:rPr>
                <w:color w:val="auto"/>
                <w:highlight w:val="none"/>
              </w:rPr>
              <w:t>三级</w:t>
            </w:r>
          </w:p>
        </w:tc>
        <w:tc>
          <w:tcPr>
            <w:tcW w:w="3854" w:type="pct"/>
            <w:tcBorders>
              <w:tl2br w:val="nil"/>
              <w:tr2bl w:val="nil"/>
            </w:tcBorders>
            <w:vAlign w:val="center"/>
          </w:tcPr>
          <w:p w14:paraId="266F4F86">
            <w:pPr>
              <w:pStyle w:val="41"/>
              <w:rPr>
                <w:color w:val="auto"/>
                <w:highlight w:val="none"/>
              </w:rPr>
            </w:pPr>
            <w:r>
              <w:rPr>
                <w:color w:val="auto"/>
                <w:highlight w:val="none"/>
              </w:rPr>
              <w:t>Pmax&lt;1%</w:t>
            </w:r>
          </w:p>
        </w:tc>
      </w:tr>
    </w:tbl>
    <w:p w14:paraId="21DBE2C1">
      <w:pPr>
        <w:pStyle w:val="3"/>
        <w:ind w:firstLine="480"/>
        <w:rPr>
          <w:color w:val="auto"/>
          <w:highlight w:val="none"/>
        </w:rPr>
      </w:pPr>
      <w:r>
        <w:rPr>
          <w:color w:val="auto"/>
          <w:highlight w:val="none"/>
        </w:rPr>
        <w:t>（2）采用数据及评价结果</w:t>
      </w:r>
    </w:p>
    <w:p w14:paraId="0B96C73B">
      <w:pPr>
        <w:pStyle w:val="3"/>
        <w:ind w:firstLine="480"/>
        <w:rPr>
          <w:color w:val="auto"/>
          <w:highlight w:val="none"/>
        </w:rPr>
      </w:pPr>
      <w:r>
        <w:rPr>
          <w:color w:val="auto"/>
          <w:highlight w:val="none"/>
        </w:rPr>
        <w:t>选取</w:t>
      </w:r>
      <w:r>
        <w:rPr>
          <w:rFonts w:hint="eastAsia"/>
          <w:color w:val="auto"/>
          <w:highlight w:val="none"/>
        </w:rPr>
        <w:t>滚轴筛车间、粗中碎车间、细碎车间、1号振动筛分车间、2号振动筛分车间、3号振动筛分车间、锅炉房、原矿堆场和尾矿库</w:t>
      </w:r>
      <w:r>
        <w:rPr>
          <w:color w:val="auto"/>
          <w:highlight w:val="none"/>
        </w:rPr>
        <w:t>进行预测，预测因子为PM</w:t>
      </w:r>
      <w:r>
        <w:rPr>
          <w:color w:val="auto"/>
          <w:highlight w:val="none"/>
          <w:vertAlign w:val="subscript"/>
        </w:rPr>
        <w:t>10</w:t>
      </w:r>
      <w:r>
        <w:rPr>
          <w:color w:val="auto"/>
          <w:highlight w:val="none"/>
        </w:rPr>
        <w:t>、TSP、SO</w:t>
      </w:r>
      <w:r>
        <w:rPr>
          <w:color w:val="auto"/>
          <w:highlight w:val="none"/>
          <w:vertAlign w:val="subscript"/>
        </w:rPr>
        <w:t>2</w:t>
      </w:r>
      <w:r>
        <w:rPr>
          <w:color w:val="auto"/>
          <w:highlight w:val="none"/>
        </w:rPr>
        <w:t>、NO</w:t>
      </w:r>
      <w:r>
        <w:rPr>
          <w:rFonts w:hint="eastAsia"/>
          <w:color w:val="auto"/>
          <w:highlight w:val="none"/>
          <w:vertAlign w:val="subscript"/>
        </w:rPr>
        <w:t>2</w:t>
      </w:r>
      <w:r>
        <w:rPr>
          <w:color w:val="auto"/>
          <w:highlight w:val="none"/>
        </w:rPr>
        <w:t>。本评价根据其排放污染物源强，利用导则推荐的估算模式AERSCREEN，对上述污染源进行预测，计算Pmax（Pi值中最大者）和D10%（占标率为10%时所对应的最远距离）。</w:t>
      </w:r>
    </w:p>
    <w:p w14:paraId="3265CFFE">
      <w:pPr>
        <w:pStyle w:val="40"/>
        <w:spacing w:before="24" w:after="24"/>
        <w:rPr>
          <w:color w:val="auto"/>
          <w:highlight w:val="none"/>
        </w:rPr>
      </w:pPr>
      <w:r>
        <w:rPr>
          <w:color w:val="auto"/>
          <w:highlight w:val="none"/>
        </w:rPr>
        <w:t>表2.5-2    估算模型参数表</w:t>
      </w:r>
    </w:p>
    <w:tbl>
      <w:tblPr>
        <w:tblStyle w:val="26"/>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264"/>
        <w:gridCol w:w="2052"/>
        <w:gridCol w:w="1196"/>
        <w:gridCol w:w="3995"/>
      </w:tblGrid>
      <w:tr w14:paraId="3C863AC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949" w:type="pct"/>
            <w:gridSpan w:val="2"/>
            <w:tcBorders>
              <w:tl2br w:val="nil"/>
              <w:tr2bl w:val="nil"/>
            </w:tcBorders>
            <w:vAlign w:val="center"/>
          </w:tcPr>
          <w:p w14:paraId="06E90789">
            <w:pPr>
              <w:pStyle w:val="41"/>
              <w:widowControl w:val="0"/>
              <w:rPr>
                <w:color w:val="auto"/>
                <w:highlight w:val="none"/>
              </w:rPr>
            </w:pPr>
            <w:r>
              <w:rPr>
                <w:rFonts w:hint="eastAsia"/>
                <w:color w:val="auto"/>
                <w:highlight w:val="none"/>
              </w:rPr>
              <w:t>参数</w:t>
            </w:r>
          </w:p>
        </w:tc>
        <w:tc>
          <w:tcPr>
            <w:tcW w:w="703" w:type="pct"/>
            <w:tcBorders>
              <w:tl2br w:val="nil"/>
              <w:tr2bl w:val="nil"/>
            </w:tcBorders>
            <w:vAlign w:val="center"/>
          </w:tcPr>
          <w:p w14:paraId="34D2D874">
            <w:pPr>
              <w:pStyle w:val="41"/>
              <w:widowControl w:val="0"/>
              <w:rPr>
                <w:color w:val="auto"/>
                <w:highlight w:val="none"/>
              </w:rPr>
            </w:pPr>
            <w:r>
              <w:rPr>
                <w:rFonts w:hint="eastAsia"/>
                <w:color w:val="auto"/>
                <w:highlight w:val="none"/>
              </w:rPr>
              <w:t>取值</w:t>
            </w:r>
          </w:p>
        </w:tc>
        <w:tc>
          <w:tcPr>
            <w:tcW w:w="2347" w:type="pct"/>
            <w:tcBorders>
              <w:tl2br w:val="nil"/>
              <w:tr2bl w:val="nil"/>
            </w:tcBorders>
            <w:vAlign w:val="center"/>
          </w:tcPr>
          <w:p w14:paraId="17C6B123">
            <w:pPr>
              <w:pStyle w:val="41"/>
              <w:widowControl w:val="0"/>
              <w:rPr>
                <w:color w:val="auto"/>
                <w:highlight w:val="none"/>
              </w:rPr>
            </w:pPr>
            <w:r>
              <w:rPr>
                <w:rFonts w:hint="eastAsia"/>
                <w:color w:val="auto"/>
                <w:highlight w:val="none"/>
              </w:rPr>
              <w:t>取值依据</w:t>
            </w:r>
          </w:p>
        </w:tc>
      </w:tr>
      <w:tr w14:paraId="30C905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43" w:type="pct"/>
            <w:vMerge w:val="restart"/>
            <w:tcBorders>
              <w:tl2br w:val="nil"/>
              <w:tr2bl w:val="nil"/>
            </w:tcBorders>
            <w:vAlign w:val="center"/>
          </w:tcPr>
          <w:p w14:paraId="0489741B">
            <w:pPr>
              <w:pStyle w:val="41"/>
              <w:widowControl w:val="0"/>
              <w:rPr>
                <w:color w:val="auto"/>
                <w:highlight w:val="none"/>
              </w:rPr>
            </w:pPr>
            <w:r>
              <w:rPr>
                <w:rFonts w:hint="eastAsia"/>
                <w:color w:val="auto"/>
                <w:highlight w:val="none"/>
              </w:rPr>
              <w:t>城市</w:t>
            </w:r>
            <w:r>
              <w:rPr>
                <w:color w:val="auto"/>
                <w:highlight w:val="none"/>
              </w:rPr>
              <w:t>/</w:t>
            </w:r>
            <w:r>
              <w:rPr>
                <w:rFonts w:hint="eastAsia"/>
                <w:color w:val="auto"/>
                <w:highlight w:val="none"/>
              </w:rPr>
              <w:t>农村选项</w:t>
            </w:r>
          </w:p>
        </w:tc>
        <w:tc>
          <w:tcPr>
            <w:tcW w:w="1206" w:type="pct"/>
            <w:tcBorders>
              <w:tl2br w:val="nil"/>
              <w:tr2bl w:val="nil"/>
            </w:tcBorders>
            <w:vAlign w:val="center"/>
          </w:tcPr>
          <w:p w14:paraId="2837EFCD">
            <w:pPr>
              <w:pStyle w:val="41"/>
              <w:widowControl w:val="0"/>
              <w:rPr>
                <w:color w:val="auto"/>
                <w:highlight w:val="none"/>
              </w:rPr>
            </w:pPr>
            <w:r>
              <w:rPr>
                <w:rFonts w:hint="eastAsia"/>
                <w:color w:val="auto"/>
                <w:highlight w:val="none"/>
              </w:rPr>
              <w:t>城市</w:t>
            </w:r>
            <w:r>
              <w:rPr>
                <w:color w:val="auto"/>
                <w:highlight w:val="none"/>
              </w:rPr>
              <w:t>/</w:t>
            </w:r>
            <w:r>
              <w:rPr>
                <w:rFonts w:hint="eastAsia"/>
                <w:color w:val="auto"/>
                <w:highlight w:val="none"/>
              </w:rPr>
              <w:t>农村</w:t>
            </w:r>
          </w:p>
        </w:tc>
        <w:tc>
          <w:tcPr>
            <w:tcW w:w="703" w:type="pct"/>
            <w:tcBorders>
              <w:tl2br w:val="nil"/>
              <w:tr2bl w:val="nil"/>
            </w:tcBorders>
            <w:vAlign w:val="center"/>
          </w:tcPr>
          <w:p w14:paraId="04F74399">
            <w:pPr>
              <w:pStyle w:val="41"/>
              <w:widowControl w:val="0"/>
              <w:rPr>
                <w:color w:val="auto"/>
                <w:highlight w:val="none"/>
              </w:rPr>
            </w:pPr>
            <w:r>
              <w:rPr>
                <w:rFonts w:hint="eastAsia"/>
                <w:color w:val="auto"/>
                <w:highlight w:val="none"/>
              </w:rPr>
              <w:t>农村</w:t>
            </w:r>
          </w:p>
        </w:tc>
        <w:tc>
          <w:tcPr>
            <w:tcW w:w="2347" w:type="pct"/>
            <w:tcBorders>
              <w:tl2br w:val="nil"/>
              <w:tr2bl w:val="nil"/>
            </w:tcBorders>
            <w:vAlign w:val="center"/>
          </w:tcPr>
          <w:p w14:paraId="1CE8F9EF">
            <w:pPr>
              <w:pStyle w:val="41"/>
              <w:widowControl w:val="0"/>
              <w:rPr>
                <w:color w:val="auto"/>
                <w:highlight w:val="none"/>
              </w:rPr>
            </w:pPr>
            <w:r>
              <w:rPr>
                <w:color w:val="auto"/>
                <w:highlight w:val="none"/>
              </w:rPr>
              <w:t>阿图什市区北东46°方位，直距59km处</w:t>
            </w:r>
            <w:r>
              <w:rPr>
                <w:rFonts w:hint="eastAsia"/>
                <w:color w:val="auto"/>
                <w:highlight w:val="none"/>
              </w:rPr>
              <w:t>，周边</w:t>
            </w:r>
            <w:r>
              <w:rPr>
                <w:color w:val="auto"/>
                <w:highlight w:val="none"/>
              </w:rPr>
              <w:t>3km</w:t>
            </w:r>
            <w:r>
              <w:rPr>
                <w:rFonts w:hint="eastAsia"/>
                <w:color w:val="auto"/>
                <w:highlight w:val="none"/>
              </w:rPr>
              <w:t>半径范围内均为空地</w:t>
            </w:r>
          </w:p>
        </w:tc>
      </w:tr>
      <w:tr w14:paraId="20F135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43" w:type="pct"/>
            <w:vMerge w:val="continue"/>
            <w:tcBorders>
              <w:tl2br w:val="nil"/>
              <w:tr2bl w:val="nil"/>
            </w:tcBorders>
            <w:vAlign w:val="center"/>
          </w:tcPr>
          <w:p w14:paraId="2AF3BAEB">
            <w:pPr>
              <w:pStyle w:val="41"/>
              <w:widowControl w:val="0"/>
              <w:rPr>
                <w:color w:val="auto"/>
                <w:highlight w:val="none"/>
              </w:rPr>
            </w:pPr>
          </w:p>
        </w:tc>
        <w:tc>
          <w:tcPr>
            <w:tcW w:w="1206" w:type="pct"/>
            <w:tcBorders>
              <w:tl2br w:val="nil"/>
              <w:tr2bl w:val="nil"/>
            </w:tcBorders>
            <w:vAlign w:val="center"/>
          </w:tcPr>
          <w:p w14:paraId="6356A0F6">
            <w:pPr>
              <w:pStyle w:val="41"/>
              <w:widowControl w:val="0"/>
              <w:rPr>
                <w:color w:val="auto"/>
                <w:highlight w:val="none"/>
              </w:rPr>
            </w:pPr>
            <w:r>
              <w:rPr>
                <w:rFonts w:hint="eastAsia"/>
                <w:color w:val="auto"/>
                <w:highlight w:val="none"/>
              </w:rPr>
              <w:t>人口数（城市人口数）</w:t>
            </w:r>
          </w:p>
        </w:tc>
        <w:tc>
          <w:tcPr>
            <w:tcW w:w="703" w:type="pct"/>
            <w:tcBorders>
              <w:tl2br w:val="nil"/>
              <w:tr2bl w:val="nil"/>
            </w:tcBorders>
            <w:vAlign w:val="center"/>
          </w:tcPr>
          <w:p w14:paraId="0D69E42C">
            <w:pPr>
              <w:pStyle w:val="41"/>
              <w:widowControl w:val="0"/>
              <w:rPr>
                <w:color w:val="auto"/>
                <w:highlight w:val="none"/>
              </w:rPr>
            </w:pPr>
            <w:r>
              <w:rPr>
                <w:rFonts w:hint="eastAsia"/>
                <w:color w:val="auto"/>
                <w:highlight w:val="none"/>
              </w:rPr>
              <w:t>/</w:t>
            </w:r>
          </w:p>
        </w:tc>
        <w:tc>
          <w:tcPr>
            <w:tcW w:w="2347" w:type="pct"/>
            <w:tcBorders>
              <w:tl2br w:val="nil"/>
              <w:tr2bl w:val="nil"/>
            </w:tcBorders>
            <w:vAlign w:val="center"/>
          </w:tcPr>
          <w:p w14:paraId="3263278E">
            <w:pPr>
              <w:pStyle w:val="41"/>
              <w:widowControl w:val="0"/>
              <w:rPr>
                <w:color w:val="auto"/>
                <w:highlight w:val="none"/>
              </w:rPr>
            </w:pPr>
            <w:r>
              <w:rPr>
                <w:rFonts w:hint="eastAsia"/>
                <w:color w:val="auto"/>
                <w:highlight w:val="none"/>
              </w:rPr>
              <w:t>大气导则附录</w:t>
            </w:r>
            <w:r>
              <w:rPr>
                <w:color w:val="auto"/>
                <w:highlight w:val="none"/>
              </w:rPr>
              <w:t>B</w:t>
            </w:r>
            <w:r>
              <w:rPr>
                <w:rFonts w:hint="eastAsia"/>
                <w:color w:val="auto"/>
                <w:highlight w:val="none"/>
              </w:rPr>
              <w:t>中</w:t>
            </w:r>
            <w:r>
              <w:rPr>
                <w:color w:val="auto"/>
                <w:highlight w:val="none"/>
              </w:rPr>
              <w:t xml:space="preserve">B6.1 </w:t>
            </w:r>
            <w:r>
              <w:rPr>
                <w:rFonts w:hint="eastAsia"/>
                <w:color w:val="auto"/>
                <w:highlight w:val="none"/>
              </w:rPr>
              <w:t>当选择城市时，城市人口数按项目所属城市实际人口或者规划的人口数输入</w:t>
            </w:r>
          </w:p>
        </w:tc>
      </w:tr>
      <w:tr w14:paraId="3192F72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949" w:type="pct"/>
            <w:gridSpan w:val="2"/>
            <w:tcBorders>
              <w:tl2br w:val="nil"/>
              <w:tr2bl w:val="nil"/>
            </w:tcBorders>
            <w:vAlign w:val="center"/>
          </w:tcPr>
          <w:p w14:paraId="60A10AB6">
            <w:pPr>
              <w:pStyle w:val="41"/>
              <w:widowControl w:val="0"/>
              <w:rPr>
                <w:color w:val="auto"/>
                <w:highlight w:val="none"/>
              </w:rPr>
            </w:pPr>
            <w:r>
              <w:rPr>
                <w:rFonts w:hint="eastAsia"/>
                <w:color w:val="auto"/>
                <w:highlight w:val="none"/>
              </w:rPr>
              <w:t>最高环境温度</w:t>
            </w:r>
          </w:p>
        </w:tc>
        <w:tc>
          <w:tcPr>
            <w:tcW w:w="703" w:type="pct"/>
            <w:tcBorders>
              <w:tl2br w:val="nil"/>
              <w:tr2bl w:val="nil"/>
            </w:tcBorders>
            <w:vAlign w:val="center"/>
          </w:tcPr>
          <w:p w14:paraId="1D24DECE">
            <w:pPr>
              <w:pStyle w:val="41"/>
              <w:widowControl w:val="0"/>
              <w:rPr>
                <w:color w:val="auto"/>
                <w:highlight w:val="none"/>
              </w:rPr>
            </w:pPr>
            <w:r>
              <w:rPr>
                <w:rFonts w:hint="eastAsia"/>
                <w:color w:val="auto"/>
                <w:highlight w:val="none"/>
              </w:rPr>
              <w:t>38℃</w:t>
            </w:r>
          </w:p>
        </w:tc>
        <w:tc>
          <w:tcPr>
            <w:tcW w:w="2347" w:type="pct"/>
            <w:tcBorders>
              <w:tl2br w:val="nil"/>
              <w:tr2bl w:val="nil"/>
            </w:tcBorders>
            <w:vAlign w:val="center"/>
          </w:tcPr>
          <w:p w14:paraId="2A8453E3">
            <w:pPr>
              <w:pStyle w:val="41"/>
              <w:widowControl w:val="0"/>
              <w:rPr>
                <w:color w:val="auto"/>
                <w:highlight w:val="none"/>
              </w:rPr>
            </w:pPr>
            <w:r>
              <w:rPr>
                <w:rFonts w:hint="eastAsia"/>
                <w:color w:val="auto"/>
                <w:highlight w:val="none"/>
              </w:rPr>
              <w:t>20年气象统计数据</w:t>
            </w:r>
          </w:p>
        </w:tc>
      </w:tr>
      <w:tr w14:paraId="7C7F04A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949" w:type="pct"/>
            <w:gridSpan w:val="2"/>
            <w:tcBorders>
              <w:tl2br w:val="nil"/>
              <w:tr2bl w:val="nil"/>
            </w:tcBorders>
            <w:vAlign w:val="center"/>
          </w:tcPr>
          <w:p w14:paraId="6E200B73">
            <w:pPr>
              <w:pStyle w:val="41"/>
              <w:widowControl w:val="0"/>
              <w:rPr>
                <w:color w:val="auto"/>
                <w:highlight w:val="none"/>
              </w:rPr>
            </w:pPr>
            <w:r>
              <w:rPr>
                <w:rFonts w:hint="eastAsia"/>
                <w:color w:val="auto"/>
                <w:highlight w:val="none"/>
              </w:rPr>
              <w:t>最低环境温度</w:t>
            </w:r>
          </w:p>
        </w:tc>
        <w:tc>
          <w:tcPr>
            <w:tcW w:w="703" w:type="pct"/>
            <w:tcBorders>
              <w:tl2br w:val="nil"/>
              <w:tr2bl w:val="nil"/>
            </w:tcBorders>
            <w:vAlign w:val="center"/>
          </w:tcPr>
          <w:p w14:paraId="5E641FC7">
            <w:pPr>
              <w:pStyle w:val="41"/>
              <w:widowControl w:val="0"/>
              <w:rPr>
                <w:color w:val="auto"/>
                <w:highlight w:val="none"/>
              </w:rPr>
            </w:pPr>
            <w:r>
              <w:rPr>
                <w:rFonts w:hint="eastAsia"/>
                <w:color w:val="auto"/>
                <w:highlight w:val="none"/>
              </w:rPr>
              <w:t>-20℃</w:t>
            </w:r>
          </w:p>
        </w:tc>
        <w:tc>
          <w:tcPr>
            <w:tcW w:w="2347" w:type="pct"/>
            <w:tcBorders>
              <w:tl2br w:val="nil"/>
              <w:tr2bl w:val="nil"/>
            </w:tcBorders>
            <w:vAlign w:val="center"/>
          </w:tcPr>
          <w:p w14:paraId="42240FCD">
            <w:pPr>
              <w:pStyle w:val="41"/>
              <w:widowControl w:val="0"/>
              <w:rPr>
                <w:color w:val="auto"/>
                <w:highlight w:val="none"/>
              </w:rPr>
            </w:pPr>
            <w:r>
              <w:rPr>
                <w:rFonts w:hint="eastAsia"/>
                <w:color w:val="auto"/>
                <w:highlight w:val="none"/>
              </w:rPr>
              <w:t>20年气象统计数据</w:t>
            </w:r>
          </w:p>
        </w:tc>
      </w:tr>
      <w:tr w14:paraId="63C9AC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949" w:type="pct"/>
            <w:gridSpan w:val="2"/>
            <w:tcBorders>
              <w:tl2br w:val="nil"/>
              <w:tr2bl w:val="nil"/>
            </w:tcBorders>
            <w:vAlign w:val="center"/>
          </w:tcPr>
          <w:p w14:paraId="2FE1C0E6">
            <w:pPr>
              <w:pStyle w:val="41"/>
              <w:widowControl w:val="0"/>
              <w:rPr>
                <w:color w:val="auto"/>
                <w:highlight w:val="none"/>
              </w:rPr>
            </w:pPr>
            <w:r>
              <w:rPr>
                <w:rFonts w:hint="eastAsia"/>
                <w:color w:val="auto"/>
                <w:highlight w:val="none"/>
              </w:rPr>
              <w:t>土地利用类型</w:t>
            </w:r>
          </w:p>
        </w:tc>
        <w:tc>
          <w:tcPr>
            <w:tcW w:w="1198" w:type="dxa"/>
            <w:tcBorders>
              <w:tl2br w:val="nil"/>
              <w:tr2bl w:val="nil"/>
            </w:tcBorders>
            <w:vAlign w:val="center"/>
          </w:tcPr>
          <w:p w14:paraId="02B20FC0">
            <w:pPr>
              <w:pStyle w:val="41"/>
              <w:widowControl w:val="0"/>
              <w:rPr>
                <w:color w:val="auto"/>
                <w:highlight w:val="none"/>
              </w:rPr>
            </w:pPr>
            <w:r>
              <w:rPr>
                <w:rFonts w:hint="eastAsia"/>
                <w:color w:val="auto"/>
                <w:highlight w:val="none"/>
              </w:rPr>
              <w:t>沙漠化荒地</w:t>
            </w:r>
          </w:p>
        </w:tc>
        <w:tc>
          <w:tcPr>
            <w:tcW w:w="4001" w:type="dxa"/>
            <w:tcBorders>
              <w:tl2br w:val="nil"/>
              <w:tr2bl w:val="nil"/>
            </w:tcBorders>
            <w:vAlign w:val="center"/>
          </w:tcPr>
          <w:p w14:paraId="0412E436">
            <w:pPr>
              <w:pStyle w:val="41"/>
              <w:widowControl w:val="0"/>
              <w:rPr>
                <w:color w:val="auto"/>
                <w:highlight w:val="none"/>
              </w:rPr>
            </w:pPr>
            <w:r>
              <w:rPr>
                <w:rFonts w:hint="eastAsia"/>
                <w:color w:val="auto"/>
                <w:highlight w:val="none"/>
              </w:rPr>
              <w:t>项目周边</w:t>
            </w:r>
            <w:r>
              <w:rPr>
                <w:color w:val="auto"/>
                <w:highlight w:val="none"/>
              </w:rPr>
              <w:t>3km</w:t>
            </w:r>
            <w:r>
              <w:rPr>
                <w:rFonts w:hint="eastAsia"/>
                <w:color w:val="auto"/>
                <w:highlight w:val="none"/>
              </w:rPr>
              <w:t>范围占地面积最大的土地类型为沙漠化荒地</w:t>
            </w:r>
          </w:p>
        </w:tc>
      </w:tr>
      <w:tr w14:paraId="09C984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949" w:type="pct"/>
            <w:gridSpan w:val="2"/>
            <w:tcBorders>
              <w:tl2br w:val="nil"/>
              <w:tr2bl w:val="nil"/>
            </w:tcBorders>
            <w:vAlign w:val="center"/>
          </w:tcPr>
          <w:p w14:paraId="4AEEAD1B">
            <w:pPr>
              <w:pStyle w:val="41"/>
              <w:widowControl w:val="0"/>
              <w:rPr>
                <w:color w:val="auto"/>
                <w:highlight w:val="none"/>
              </w:rPr>
            </w:pPr>
            <w:r>
              <w:rPr>
                <w:rFonts w:hint="eastAsia"/>
                <w:color w:val="auto"/>
                <w:highlight w:val="none"/>
              </w:rPr>
              <w:t>区域湿度条件</w:t>
            </w:r>
          </w:p>
        </w:tc>
        <w:tc>
          <w:tcPr>
            <w:tcW w:w="703" w:type="pct"/>
            <w:tcBorders>
              <w:tl2br w:val="nil"/>
              <w:tr2bl w:val="nil"/>
            </w:tcBorders>
            <w:vAlign w:val="center"/>
          </w:tcPr>
          <w:p w14:paraId="4173BF52">
            <w:pPr>
              <w:pStyle w:val="41"/>
              <w:widowControl w:val="0"/>
              <w:rPr>
                <w:color w:val="auto"/>
                <w:highlight w:val="none"/>
              </w:rPr>
            </w:pPr>
            <w:r>
              <w:rPr>
                <w:rFonts w:hint="eastAsia"/>
                <w:color w:val="auto"/>
                <w:highlight w:val="none"/>
              </w:rPr>
              <w:t>干旱区</w:t>
            </w:r>
          </w:p>
        </w:tc>
        <w:tc>
          <w:tcPr>
            <w:tcW w:w="2347" w:type="pct"/>
            <w:tcBorders>
              <w:tl2br w:val="nil"/>
              <w:tr2bl w:val="nil"/>
            </w:tcBorders>
            <w:vAlign w:val="center"/>
          </w:tcPr>
          <w:p w14:paraId="107F96D1">
            <w:pPr>
              <w:pStyle w:val="41"/>
              <w:widowControl w:val="0"/>
              <w:rPr>
                <w:color w:val="auto"/>
                <w:highlight w:val="none"/>
              </w:rPr>
            </w:pPr>
            <w:r>
              <w:rPr>
                <w:rFonts w:hint="eastAsia"/>
                <w:color w:val="auto"/>
                <w:highlight w:val="none"/>
              </w:rPr>
              <w:t>中国干湿地区划分</w:t>
            </w:r>
          </w:p>
        </w:tc>
      </w:tr>
      <w:tr w14:paraId="7CD11F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43" w:type="pct"/>
            <w:vMerge w:val="restart"/>
            <w:tcBorders>
              <w:tl2br w:val="nil"/>
              <w:tr2bl w:val="nil"/>
            </w:tcBorders>
            <w:vAlign w:val="center"/>
          </w:tcPr>
          <w:p w14:paraId="12E276AC">
            <w:pPr>
              <w:pStyle w:val="41"/>
              <w:widowControl w:val="0"/>
              <w:rPr>
                <w:color w:val="auto"/>
                <w:highlight w:val="none"/>
              </w:rPr>
            </w:pPr>
            <w:r>
              <w:rPr>
                <w:rFonts w:hint="eastAsia"/>
                <w:color w:val="auto"/>
                <w:highlight w:val="none"/>
              </w:rPr>
              <w:t>是否考虑地形</w:t>
            </w:r>
          </w:p>
        </w:tc>
        <w:tc>
          <w:tcPr>
            <w:tcW w:w="1206" w:type="pct"/>
            <w:tcBorders>
              <w:tl2br w:val="nil"/>
              <w:tr2bl w:val="nil"/>
            </w:tcBorders>
            <w:vAlign w:val="center"/>
          </w:tcPr>
          <w:p w14:paraId="14EF508C">
            <w:pPr>
              <w:pStyle w:val="41"/>
              <w:widowControl w:val="0"/>
              <w:rPr>
                <w:color w:val="auto"/>
                <w:highlight w:val="none"/>
              </w:rPr>
            </w:pPr>
            <w:r>
              <w:rPr>
                <w:rFonts w:hint="eastAsia"/>
                <w:color w:val="auto"/>
                <w:highlight w:val="none"/>
              </w:rPr>
              <w:t>考虑地形</w:t>
            </w:r>
          </w:p>
        </w:tc>
        <w:tc>
          <w:tcPr>
            <w:tcW w:w="703" w:type="pct"/>
            <w:tcBorders>
              <w:tl2br w:val="nil"/>
              <w:tr2bl w:val="nil"/>
            </w:tcBorders>
            <w:vAlign w:val="center"/>
          </w:tcPr>
          <w:p w14:paraId="3BF1B6D8">
            <w:pPr>
              <w:pStyle w:val="41"/>
              <w:widowControl w:val="0"/>
              <w:rPr>
                <w:color w:val="auto"/>
                <w:highlight w:val="none"/>
              </w:rPr>
            </w:pPr>
            <w:r>
              <w:rPr>
                <w:rFonts w:hint="eastAsia"/>
                <w:color w:val="auto"/>
                <w:highlight w:val="none"/>
              </w:rPr>
              <w:t>是</w:t>
            </w:r>
          </w:p>
        </w:tc>
        <w:tc>
          <w:tcPr>
            <w:tcW w:w="2347" w:type="pct"/>
            <w:tcBorders>
              <w:tl2br w:val="nil"/>
              <w:tr2bl w:val="nil"/>
            </w:tcBorders>
            <w:vAlign w:val="center"/>
          </w:tcPr>
          <w:p w14:paraId="430047D9">
            <w:pPr>
              <w:pStyle w:val="41"/>
              <w:widowControl w:val="0"/>
              <w:rPr>
                <w:color w:val="auto"/>
                <w:highlight w:val="none"/>
              </w:rPr>
            </w:pPr>
          </w:p>
        </w:tc>
      </w:tr>
      <w:tr w14:paraId="6BA832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43" w:type="pct"/>
            <w:vMerge w:val="continue"/>
            <w:tcBorders>
              <w:tl2br w:val="nil"/>
              <w:tr2bl w:val="nil"/>
            </w:tcBorders>
            <w:vAlign w:val="center"/>
          </w:tcPr>
          <w:p w14:paraId="7DABCF00">
            <w:pPr>
              <w:pStyle w:val="41"/>
              <w:widowControl w:val="0"/>
              <w:rPr>
                <w:color w:val="auto"/>
                <w:highlight w:val="none"/>
              </w:rPr>
            </w:pPr>
          </w:p>
        </w:tc>
        <w:tc>
          <w:tcPr>
            <w:tcW w:w="1206" w:type="pct"/>
            <w:tcBorders>
              <w:tl2br w:val="nil"/>
              <w:tr2bl w:val="nil"/>
            </w:tcBorders>
            <w:vAlign w:val="center"/>
          </w:tcPr>
          <w:p w14:paraId="43312C02">
            <w:pPr>
              <w:pStyle w:val="41"/>
              <w:widowControl w:val="0"/>
              <w:rPr>
                <w:color w:val="auto"/>
                <w:highlight w:val="none"/>
              </w:rPr>
            </w:pPr>
            <w:r>
              <w:rPr>
                <w:rFonts w:hint="eastAsia"/>
                <w:color w:val="auto"/>
                <w:highlight w:val="none"/>
              </w:rPr>
              <w:t>地形数据分辨率（</w:t>
            </w:r>
            <w:r>
              <w:rPr>
                <w:color w:val="auto"/>
                <w:highlight w:val="none"/>
              </w:rPr>
              <w:t>m</w:t>
            </w:r>
            <w:r>
              <w:rPr>
                <w:rFonts w:hint="eastAsia"/>
                <w:color w:val="auto"/>
                <w:highlight w:val="none"/>
              </w:rPr>
              <w:t>）</w:t>
            </w:r>
          </w:p>
        </w:tc>
        <w:tc>
          <w:tcPr>
            <w:tcW w:w="703" w:type="pct"/>
            <w:tcBorders>
              <w:tl2br w:val="nil"/>
              <w:tr2bl w:val="nil"/>
            </w:tcBorders>
            <w:vAlign w:val="center"/>
          </w:tcPr>
          <w:p w14:paraId="5072300D">
            <w:pPr>
              <w:pStyle w:val="41"/>
              <w:widowControl w:val="0"/>
              <w:rPr>
                <w:color w:val="auto"/>
                <w:highlight w:val="none"/>
              </w:rPr>
            </w:pPr>
            <w:r>
              <w:rPr>
                <w:rFonts w:hint="eastAsia"/>
                <w:color w:val="auto"/>
                <w:highlight w:val="none"/>
              </w:rPr>
              <w:t>90</w:t>
            </w:r>
          </w:p>
        </w:tc>
        <w:tc>
          <w:tcPr>
            <w:tcW w:w="2347" w:type="pct"/>
            <w:tcBorders>
              <w:tl2br w:val="nil"/>
              <w:tr2bl w:val="nil"/>
            </w:tcBorders>
            <w:vAlign w:val="center"/>
          </w:tcPr>
          <w:p w14:paraId="47AA4F12">
            <w:pPr>
              <w:pStyle w:val="41"/>
              <w:widowControl w:val="0"/>
              <w:rPr>
                <w:color w:val="auto"/>
                <w:highlight w:val="none"/>
              </w:rPr>
            </w:pPr>
          </w:p>
        </w:tc>
      </w:tr>
      <w:tr w14:paraId="747D58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43" w:type="pct"/>
            <w:vMerge w:val="restart"/>
            <w:tcBorders>
              <w:tl2br w:val="nil"/>
              <w:tr2bl w:val="nil"/>
            </w:tcBorders>
            <w:vAlign w:val="center"/>
          </w:tcPr>
          <w:p w14:paraId="2E9494EE">
            <w:pPr>
              <w:pStyle w:val="41"/>
              <w:widowControl w:val="0"/>
              <w:rPr>
                <w:color w:val="auto"/>
                <w:highlight w:val="none"/>
              </w:rPr>
            </w:pPr>
            <w:r>
              <w:rPr>
                <w:rFonts w:hint="eastAsia"/>
                <w:color w:val="auto"/>
                <w:highlight w:val="none"/>
              </w:rPr>
              <w:t>是否考虑岸线熏烟</w:t>
            </w:r>
          </w:p>
        </w:tc>
        <w:tc>
          <w:tcPr>
            <w:tcW w:w="1206" w:type="pct"/>
            <w:tcBorders>
              <w:tl2br w:val="nil"/>
              <w:tr2bl w:val="nil"/>
            </w:tcBorders>
            <w:vAlign w:val="center"/>
          </w:tcPr>
          <w:p w14:paraId="15224C80">
            <w:pPr>
              <w:pStyle w:val="41"/>
              <w:widowControl w:val="0"/>
              <w:rPr>
                <w:color w:val="auto"/>
                <w:highlight w:val="none"/>
              </w:rPr>
            </w:pPr>
            <w:r>
              <w:rPr>
                <w:rFonts w:hint="eastAsia"/>
                <w:color w:val="auto"/>
                <w:highlight w:val="none"/>
              </w:rPr>
              <w:t>考虑岸线熏烟</w:t>
            </w:r>
          </w:p>
        </w:tc>
        <w:tc>
          <w:tcPr>
            <w:tcW w:w="703" w:type="pct"/>
            <w:tcBorders>
              <w:tl2br w:val="nil"/>
              <w:tr2bl w:val="nil"/>
            </w:tcBorders>
            <w:vAlign w:val="center"/>
          </w:tcPr>
          <w:p w14:paraId="5FDD7C67">
            <w:pPr>
              <w:pStyle w:val="41"/>
              <w:widowControl w:val="0"/>
              <w:rPr>
                <w:color w:val="auto"/>
                <w:highlight w:val="none"/>
              </w:rPr>
            </w:pPr>
            <w:r>
              <w:rPr>
                <w:rFonts w:hint="eastAsia"/>
                <w:color w:val="auto"/>
                <w:highlight w:val="none"/>
              </w:rPr>
              <w:t>否</w:t>
            </w:r>
          </w:p>
        </w:tc>
        <w:tc>
          <w:tcPr>
            <w:tcW w:w="2347" w:type="pct"/>
            <w:tcBorders>
              <w:tl2br w:val="nil"/>
              <w:tr2bl w:val="nil"/>
            </w:tcBorders>
            <w:vAlign w:val="center"/>
          </w:tcPr>
          <w:p w14:paraId="4EFA5435">
            <w:pPr>
              <w:pStyle w:val="41"/>
              <w:widowControl w:val="0"/>
              <w:rPr>
                <w:color w:val="auto"/>
                <w:highlight w:val="none"/>
              </w:rPr>
            </w:pPr>
            <w:r>
              <w:rPr>
                <w:color w:val="auto"/>
                <w:highlight w:val="none"/>
              </w:rPr>
              <w:t>3km</w:t>
            </w:r>
            <w:r>
              <w:rPr>
                <w:rFonts w:hint="eastAsia"/>
                <w:color w:val="auto"/>
                <w:highlight w:val="none"/>
              </w:rPr>
              <w:t>范围内无大型水体</w:t>
            </w:r>
          </w:p>
        </w:tc>
      </w:tr>
      <w:tr w14:paraId="72FEC9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43" w:type="pct"/>
            <w:vMerge w:val="continue"/>
            <w:tcBorders>
              <w:tl2br w:val="nil"/>
              <w:tr2bl w:val="nil"/>
            </w:tcBorders>
            <w:vAlign w:val="center"/>
          </w:tcPr>
          <w:p w14:paraId="07B76D3B">
            <w:pPr>
              <w:pStyle w:val="41"/>
              <w:widowControl w:val="0"/>
              <w:rPr>
                <w:color w:val="auto"/>
                <w:highlight w:val="none"/>
              </w:rPr>
            </w:pPr>
          </w:p>
        </w:tc>
        <w:tc>
          <w:tcPr>
            <w:tcW w:w="1206" w:type="pct"/>
            <w:tcBorders>
              <w:tl2br w:val="nil"/>
              <w:tr2bl w:val="nil"/>
            </w:tcBorders>
            <w:vAlign w:val="center"/>
          </w:tcPr>
          <w:p w14:paraId="22E61321">
            <w:pPr>
              <w:pStyle w:val="41"/>
              <w:widowControl w:val="0"/>
              <w:rPr>
                <w:color w:val="auto"/>
                <w:highlight w:val="none"/>
              </w:rPr>
            </w:pPr>
            <w:r>
              <w:rPr>
                <w:rFonts w:hint="eastAsia"/>
                <w:color w:val="auto"/>
                <w:highlight w:val="none"/>
              </w:rPr>
              <w:t>岸线距离</w:t>
            </w:r>
            <w:r>
              <w:rPr>
                <w:color w:val="auto"/>
                <w:highlight w:val="none"/>
              </w:rPr>
              <w:t>/m</w:t>
            </w:r>
          </w:p>
        </w:tc>
        <w:tc>
          <w:tcPr>
            <w:tcW w:w="703" w:type="pct"/>
            <w:tcBorders>
              <w:tl2br w:val="nil"/>
              <w:tr2bl w:val="nil"/>
            </w:tcBorders>
            <w:vAlign w:val="center"/>
          </w:tcPr>
          <w:p w14:paraId="6F789048">
            <w:pPr>
              <w:pStyle w:val="41"/>
              <w:widowControl w:val="0"/>
              <w:rPr>
                <w:color w:val="auto"/>
                <w:highlight w:val="none"/>
              </w:rPr>
            </w:pPr>
            <w:r>
              <w:rPr>
                <w:rFonts w:hint="eastAsia"/>
                <w:color w:val="auto"/>
                <w:highlight w:val="none"/>
              </w:rPr>
              <w:t>/</w:t>
            </w:r>
          </w:p>
        </w:tc>
        <w:tc>
          <w:tcPr>
            <w:tcW w:w="2347" w:type="pct"/>
            <w:tcBorders>
              <w:tl2br w:val="nil"/>
              <w:tr2bl w:val="nil"/>
            </w:tcBorders>
            <w:vAlign w:val="center"/>
          </w:tcPr>
          <w:p w14:paraId="7F441C4E">
            <w:pPr>
              <w:pStyle w:val="41"/>
              <w:widowControl w:val="0"/>
              <w:rPr>
                <w:color w:val="auto"/>
                <w:highlight w:val="none"/>
              </w:rPr>
            </w:pPr>
          </w:p>
        </w:tc>
      </w:tr>
      <w:tr w14:paraId="431F49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43" w:type="pct"/>
            <w:vMerge w:val="continue"/>
            <w:tcBorders>
              <w:tl2br w:val="nil"/>
              <w:tr2bl w:val="nil"/>
            </w:tcBorders>
            <w:vAlign w:val="center"/>
          </w:tcPr>
          <w:p w14:paraId="3390CC36">
            <w:pPr>
              <w:pStyle w:val="41"/>
              <w:widowControl w:val="0"/>
              <w:rPr>
                <w:color w:val="auto"/>
                <w:highlight w:val="none"/>
              </w:rPr>
            </w:pPr>
          </w:p>
        </w:tc>
        <w:tc>
          <w:tcPr>
            <w:tcW w:w="1206" w:type="pct"/>
            <w:tcBorders>
              <w:tl2br w:val="nil"/>
              <w:tr2bl w:val="nil"/>
            </w:tcBorders>
            <w:vAlign w:val="center"/>
          </w:tcPr>
          <w:p w14:paraId="54F70E81">
            <w:pPr>
              <w:pStyle w:val="41"/>
              <w:widowControl w:val="0"/>
              <w:rPr>
                <w:color w:val="auto"/>
                <w:highlight w:val="none"/>
              </w:rPr>
            </w:pPr>
            <w:r>
              <w:rPr>
                <w:rFonts w:hint="eastAsia"/>
                <w:color w:val="auto"/>
                <w:highlight w:val="none"/>
              </w:rPr>
              <w:t>岸线方向</w:t>
            </w:r>
            <w:r>
              <w:rPr>
                <w:color w:val="auto"/>
                <w:highlight w:val="none"/>
              </w:rPr>
              <w:t>/°</w:t>
            </w:r>
          </w:p>
        </w:tc>
        <w:tc>
          <w:tcPr>
            <w:tcW w:w="703" w:type="pct"/>
            <w:tcBorders>
              <w:tl2br w:val="nil"/>
              <w:tr2bl w:val="nil"/>
            </w:tcBorders>
            <w:vAlign w:val="center"/>
          </w:tcPr>
          <w:p w14:paraId="24F4515E">
            <w:pPr>
              <w:pStyle w:val="41"/>
              <w:widowControl w:val="0"/>
              <w:rPr>
                <w:color w:val="auto"/>
                <w:highlight w:val="none"/>
              </w:rPr>
            </w:pPr>
            <w:r>
              <w:rPr>
                <w:rFonts w:hint="eastAsia"/>
                <w:color w:val="auto"/>
                <w:highlight w:val="none"/>
              </w:rPr>
              <w:t>/</w:t>
            </w:r>
          </w:p>
        </w:tc>
        <w:tc>
          <w:tcPr>
            <w:tcW w:w="2347" w:type="pct"/>
            <w:tcBorders>
              <w:tl2br w:val="nil"/>
              <w:tr2bl w:val="nil"/>
            </w:tcBorders>
            <w:vAlign w:val="center"/>
          </w:tcPr>
          <w:p w14:paraId="4BE24935">
            <w:pPr>
              <w:pStyle w:val="41"/>
              <w:widowControl w:val="0"/>
              <w:rPr>
                <w:color w:val="auto"/>
                <w:highlight w:val="none"/>
              </w:rPr>
            </w:pPr>
          </w:p>
        </w:tc>
      </w:tr>
      <w:tr w14:paraId="4412FF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4"/>
            <w:tcBorders>
              <w:tl2br w:val="nil"/>
              <w:tr2bl w:val="nil"/>
            </w:tcBorders>
            <w:vAlign w:val="center"/>
          </w:tcPr>
          <w:p w14:paraId="225C2563">
            <w:pPr>
              <w:pStyle w:val="41"/>
              <w:widowControl w:val="0"/>
              <w:rPr>
                <w:color w:val="auto"/>
                <w:highlight w:val="none"/>
              </w:rPr>
            </w:pPr>
            <w:r>
              <w:rPr>
                <w:rFonts w:hint="eastAsia"/>
                <w:color w:val="auto"/>
                <w:highlight w:val="none"/>
              </w:rPr>
              <w:t>备注：根据《环境影响评价技术导则</w:t>
            </w:r>
            <w:r>
              <w:rPr>
                <w:color w:val="auto"/>
                <w:highlight w:val="none"/>
              </w:rPr>
              <w:t xml:space="preserve"> </w:t>
            </w:r>
            <w:r>
              <w:rPr>
                <w:rFonts w:hint="eastAsia"/>
                <w:color w:val="auto"/>
                <w:highlight w:val="none"/>
              </w:rPr>
              <w:t>大气环境》（</w:t>
            </w:r>
            <w:r>
              <w:rPr>
                <w:color w:val="auto"/>
                <w:highlight w:val="none"/>
              </w:rPr>
              <w:t>HJ2.2-2018</w:t>
            </w:r>
            <w:r>
              <w:rPr>
                <w:rFonts w:hint="eastAsia"/>
                <w:color w:val="auto"/>
                <w:highlight w:val="none"/>
              </w:rPr>
              <w:t>）中附录</w:t>
            </w:r>
            <w:r>
              <w:rPr>
                <w:color w:val="auto"/>
                <w:highlight w:val="none"/>
              </w:rPr>
              <w:t>B</w:t>
            </w:r>
            <w:r>
              <w:rPr>
                <w:rFonts w:hint="eastAsia"/>
                <w:color w:val="auto"/>
                <w:highlight w:val="none"/>
              </w:rPr>
              <w:t>推荐模型参数及说明中模型技术设置“当项目周边</w:t>
            </w:r>
            <w:r>
              <w:rPr>
                <w:color w:val="auto"/>
                <w:highlight w:val="none"/>
              </w:rPr>
              <w:t>3km</w:t>
            </w:r>
            <w:r>
              <w:rPr>
                <w:rFonts w:hint="eastAsia"/>
                <w:color w:val="auto"/>
                <w:highlight w:val="none"/>
              </w:rPr>
              <w:t>范围内一半以上面积属于城市建成区或规划区时，选择城市，否则选择农村”</w:t>
            </w:r>
          </w:p>
        </w:tc>
      </w:tr>
    </w:tbl>
    <w:p w14:paraId="27CDEAD6">
      <w:pPr>
        <w:pStyle w:val="40"/>
        <w:spacing w:before="24" w:after="24"/>
        <w:rPr>
          <w:color w:val="auto"/>
          <w:highlight w:val="none"/>
        </w:rPr>
      </w:pPr>
      <w:r>
        <w:rPr>
          <w:color w:val="auto"/>
          <w:highlight w:val="none"/>
        </w:rPr>
        <w:t>表2.5-3    污染物最大落地浓度占标率统计表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2"/>
        <w:gridCol w:w="1480"/>
        <w:gridCol w:w="849"/>
        <w:gridCol w:w="961"/>
        <w:gridCol w:w="900"/>
        <w:gridCol w:w="960"/>
        <w:gridCol w:w="914"/>
        <w:gridCol w:w="1019"/>
        <w:gridCol w:w="885"/>
      </w:tblGrid>
      <w:tr w14:paraId="67FA98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8" w:type="pct"/>
            <w:tcBorders>
              <w:tl2br w:val="nil"/>
              <w:tr2bl w:val="nil"/>
            </w:tcBorders>
            <w:noWrap/>
            <w:vAlign w:val="center"/>
          </w:tcPr>
          <w:p w14:paraId="21B6D7EE">
            <w:pPr>
              <w:pStyle w:val="41"/>
              <w:rPr>
                <w:color w:val="auto"/>
                <w:highlight w:val="none"/>
              </w:rPr>
            </w:pPr>
            <w:r>
              <w:rPr>
                <w:color w:val="auto"/>
                <w:highlight w:val="none"/>
              </w:rPr>
              <w:t>序号</w:t>
            </w:r>
          </w:p>
        </w:tc>
        <w:tc>
          <w:tcPr>
            <w:tcW w:w="868" w:type="pct"/>
            <w:tcBorders>
              <w:tl2br w:val="nil"/>
              <w:tr2bl w:val="nil"/>
            </w:tcBorders>
            <w:noWrap/>
            <w:vAlign w:val="center"/>
          </w:tcPr>
          <w:p w14:paraId="7E86842C">
            <w:pPr>
              <w:pStyle w:val="41"/>
              <w:rPr>
                <w:color w:val="auto"/>
                <w:highlight w:val="none"/>
              </w:rPr>
            </w:pPr>
            <w:r>
              <w:rPr>
                <w:color w:val="auto"/>
                <w:highlight w:val="none"/>
              </w:rPr>
              <w:t>污染源名称</w:t>
            </w:r>
          </w:p>
        </w:tc>
        <w:tc>
          <w:tcPr>
            <w:tcW w:w="498" w:type="pct"/>
            <w:tcBorders>
              <w:tl2br w:val="nil"/>
              <w:tr2bl w:val="nil"/>
            </w:tcBorders>
            <w:noWrap/>
            <w:vAlign w:val="center"/>
          </w:tcPr>
          <w:p w14:paraId="09898D77">
            <w:pPr>
              <w:pStyle w:val="41"/>
              <w:rPr>
                <w:color w:val="auto"/>
                <w:highlight w:val="none"/>
              </w:rPr>
            </w:pPr>
            <w:r>
              <w:rPr>
                <w:color w:val="auto"/>
                <w:highlight w:val="none"/>
              </w:rPr>
              <w:t>方位角度(度)</w:t>
            </w:r>
          </w:p>
        </w:tc>
        <w:tc>
          <w:tcPr>
            <w:tcW w:w="564" w:type="pct"/>
            <w:tcBorders>
              <w:tl2br w:val="nil"/>
              <w:tr2bl w:val="nil"/>
            </w:tcBorders>
            <w:noWrap/>
            <w:vAlign w:val="center"/>
          </w:tcPr>
          <w:p w14:paraId="7D04BCE8">
            <w:pPr>
              <w:pStyle w:val="41"/>
              <w:rPr>
                <w:color w:val="auto"/>
                <w:highlight w:val="none"/>
              </w:rPr>
            </w:pPr>
            <w:r>
              <w:rPr>
                <w:color w:val="auto"/>
                <w:highlight w:val="none"/>
              </w:rPr>
              <w:t>离源距离(m</w:t>
            </w:r>
            <w:r>
              <w:rPr>
                <w:rFonts w:hint="eastAsia"/>
                <w:color w:val="auto"/>
                <w:highlight w:val="none"/>
                <w:lang w:eastAsia="zh-CN"/>
              </w:rPr>
              <w:t>）</w:t>
            </w:r>
          </w:p>
        </w:tc>
        <w:tc>
          <w:tcPr>
            <w:tcW w:w="528" w:type="pct"/>
            <w:tcBorders>
              <w:tl2br w:val="nil"/>
              <w:tr2bl w:val="nil"/>
            </w:tcBorders>
            <w:noWrap/>
            <w:vAlign w:val="center"/>
          </w:tcPr>
          <w:p w14:paraId="39D016B4">
            <w:pPr>
              <w:pStyle w:val="41"/>
              <w:rPr>
                <w:color w:val="auto"/>
                <w:highlight w:val="none"/>
              </w:rPr>
            </w:pPr>
            <w:r>
              <w:rPr>
                <w:color w:val="auto"/>
                <w:highlight w:val="none"/>
              </w:rPr>
              <w:t>相对源高</w:t>
            </w:r>
            <w:r>
              <w:rPr>
                <w:rFonts w:hint="eastAsia"/>
                <w:color w:val="auto"/>
                <w:highlight w:val="none"/>
                <w:lang w:eastAsia="zh-CN"/>
              </w:rPr>
              <w:t>（</w:t>
            </w:r>
            <w:r>
              <w:rPr>
                <w:color w:val="auto"/>
                <w:highlight w:val="none"/>
              </w:rPr>
              <w:t>m</w:t>
            </w:r>
            <w:r>
              <w:rPr>
                <w:rFonts w:hint="eastAsia"/>
                <w:color w:val="auto"/>
                <w:highlight w:val="none"/>
                <w:lang w:eastAsia="zh-CN"/>
              </w:rPr>
              <w:t>）</w:t>
            </w:r>
          </w:p>
        </w:tc>
        <w:tc>
          <w:tcPr>
            <w:tcW w:w="564" w:type="pct"/>
            <w:tcBorders>
              <w:tl2br w:val="nil"/>
              <w:tr2bl w:val="nil"/>
            </w:tcBorders>
            <w:noWrap/>
            <w:vAlign w:val="center"/>
          </w:tcPr>
          <w:p w14:paraId="7F03CC22">
            <w:pPr>
              <w:pStyle w:val="41"/>
              <w:rPr>
                <w:color w:val="auto"/>
                <w:highlight w:val="none"/>
              </w:rPr>
            </w:pPr>
            <w:r>
              <w:rPr>
                <w:color w:val="auto"/>
                <w:highlight w:val="none"/>
              </w:rPr>
              <w:t>SO</w:t>
            </w:r>
            <w:r>
              <w:rPr>
                <w:color w:val="auto"/>
                <w:highlight w:val="none"/>
                <w:vertAlign w:val="subscript"/>
              </w:rPr>
              <w:t>2</w:t>
            </w:r>
            <w:r>
              <w:rPr>
                <w:color w:val="auto"/>
                <w:highlight w:val="none"/>
              </w:rPr>
              <w:t>|</w:t>
            </w:r>
          </w:p>
          <w:p w14:paraId="4FBB1EE6">
            <w:pPr>
              <w:pStyle w:val="41"/>
              <w:rPr>
                <w:color w:val="auto"/>
                <w:highlight w:val="none"/>
              </w:rPr>
            </w:pPr>
            <w:r>
              <w:rPr>
                <w:color w:val="auto"/>
                <w:highlight w:val="none"/>
              </w:rPr>
              <w:t>D10(m)</w:t>
            </w:r>
          </w:p>
        </w:tc>
        <w:tc>
          <w:tcPr>
            <w:tcW w:w="537" w:type="pct"/>
            <w:tcBorders>
              <w:tl2br w:val="nil"/>
              <w:tr2bl w:val="nil"/>
            </w:tcBorders>
            <w:noWrap/>
            <w:vAlign w:val="center"/>
          </w:tcPr>
          <w:p w14:paraId="589D42C8">
            <w:pPr>
              <w:pStyle w:val="41"/>
              <w:rPr>
                <w:color w:val="auto"/>
                <w:highlight w:val="none"/>
              </w:rPr>
            </w:pPr>
            <w:r>
              <w:rPr>
                <w:color w:val="auto"/>
                <w:highlight w:val="none"/>
              </w:rPr>
              <w:t>NO</w:t>
            </w:r>
            <w:r>
              <w:rPr>
                <w:color w:val="auto"/>
                <w:highlight w:val="none"/>
                <w:vertAlign w:val="subscript"/>
              </w:rPr>
              <w:t>2</w:t>
            </w:r>
            <w:r>
              <w:rPr>
                <w:color w:val="auto"/>
                <w:highlight w:val="none"/>
              </w:rPr>
              <w:t>|</w:t>
            </w:r>
          </w:p>
          <w:p w14:paraId="2417DBB5">
            <w:pPr>
              <w:pStyle w:val="41"/>
              <w:rPr>
                <w:color w:val="auto"/>
                <w:highlight w:val="none"/>
              </w:rPr>
            </w:pPr>
            <w:r>
              <w:rPr>
                <w:color w:val="auto"/>
                <w:highlight w:val="none"/>
              </w:rPr>
              <w:t>D10(m)</w:t>
            </w:r>
          </w:p>
        </w:tc>
        <w:tc>
          <w:tcPr>
            <w:tcW w:w="599" w:type="pct"/>
            <w:tcBorders>
              <w:tl2br w:val="nil"/>
              <w:tr2bl w:val="nil"/>
            </w:tcBorders>
            <w:noWrap/>
            <w:vAlign w:val="center"/>
          </w:tcPr>
          <w:p w14:paraId="42547B8E">
            <w:pPr>
              <w:pStyle w:val="41"/>
              <w:rPr>
                <w:color w:val="auto"/>
                <w:highlight w:val="none"/>
              </w:rPr>
            </w:pPr>
            <w:r>
              <w:rPr>
                <w:color w:val="auto"/>
                <w:highlight w:val="none"/>
              </w:rPr>
              <w:t>TSP|</w:t>
            </w:r>
          </w:p>
          <w:p w14:paraId="3E14D765">
            <w:pPr>
              <w:pStyle w:val="41"/>
              <w:rPr>
                <w:color w:val="auto"/>
                <w:highlight w:val="none"/>
              </w:rPr>
            </w:pPr>
            <w:r>
              <w:rPr>
                <w:color w:val="auto"/>
                <w:highlight w:val="none"/>
              </w:rPr>
              <w:t>D10(m)</w:t>
            </w:r>
          </w:p>
        </w:tc>
        <w:tc>
          <w:tcPr>
            <w:tcW w:w="520" w:type="pct"/>
            <w:tcBorders>
              <w:tl2br w:val="nil"/>
              <w:tr2bl w:val="nil"/>
            </w:tcBorders>
            <w:noWrap/>
            <w:vAlign w:val="center"/>
          </w:tcPr>
          <w:p w14:paraId="40980B3E">
            <w:pPr>
              <w:pStyle w:val="41"/>
              <w:rPr>
                <w:color w:val="auto"/>
                <w:highlight w:val="none"/>
              </w:rPr>
            </w:pPr>
            <w:r>
              <w:rPr>
                <w:color w:val="auto"/>
                <w:highlight w:val="none"/>
              </w:rPr>
              <w:t>PM</w:t>
            </w:r>
            <w:r>
              <w:rPr>
                <w:color w:val="auto"/>
                <w:highlight w:val="none"/>
                <w:vertAlign w:val="subscript"/>
              </w:rPr>
              <w:t>10</w:t>
            </w:r>
            <w:r>
              <w:rPr>
                <w:color w:val="auto"/>
                <w:highlight w:val="none"/>
              </w:rPr>
              <w:t>|</w:t>
            </w:r>
          </w:p>
          <w:p w14:paraId="23F4234A">
            <w:pPr>
              <w:pStyle w:val="41"/>
              <w:rPr>
                <w:color w:val="auto"/>
                <w:highlight w:val="none"/>
              </w:rPr>
            </w:pPr>
            <w:r>
              <w:rPr>
                <w:color w:val="auto"/>
                <w:highlight w:val="none"/>
              </w:rPr>
              <w:t>D10(m)</w:t>
            </w:r>
          </w:p>
        </w:tc>
      </w:tr>
      <w:tr w14:paraId="2B28DB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8" w:type="pct"/>
            <w:tcBorders>
              <w:tl2br w:val="nil"/>
              <w:tr2bl w:val="nil"/>
            </w:tcBorders>
            <w:noWrap/>
            <w:vAlign w:val="center"/>
          </w:tcPr>
          <w:p w14:paraId="13BC9001">
            <w:pPr>
              <w:pStyle w:val="41"/>
              <w:rPr>
                <w:color w:val="auto"/>
                <w:highlight w:val="none"/>
              </w:rPr>
            </w:pPr>
            <w:r>
              <w:rPr>
                <w:color w:val="auto"/>
                <w:highlight w:val="none"/>
              </w:rPr>
              <w:t>1</w:t>
            </w:r>
          </w:p>
        </w:tc>
        <w:tc>
          <w:tcPr>
            <w:tcW w:w="868" w:type="pct"/>
            <w:tcBorders>
              <w:tl2br w:val="nil"/>
              <w:tr2bl w:val="nil"/>
            </w:tcBorders>
            <w:noWrap/>
            <w:vAlign w:val="center"/>
          </w:tcPr>
          <w:p w14:paraId="43ED4437">
            <w:pPr>
              <w:pStyle w:val="41"/>
              <w:rPr>
                <w:color w:val="auto"/>
                <w:highlight w:val="none"/>
              </w:rPr>
            </w:pPr>
            <w:r>
              <w:rPr>
                <w:rFonts w:hint="eastAsia"/>
                <w:color w:val="auto"/>
                <w:highlight w:val="none"/>
              </w:rPr>
              <w:t>滚轴筛车间</w:t>
            </w:r>
          </w:p>
        </w:tc>
        <w:tc>
          <w:tcPr>
            <w:tcW w:w="498" w:type="pct"/>
            <w:tcBorders>
              <w:tl2br w:val="nil"/>
              <w:tr2bl w:val="nil"/>
            </w:tcBorders>
            <w:noWrap/>
            <w:vAlign w:val="center"/>
          </w:tcPr>
          <w:p w14:paraId="005EC142">
            <w:pPr>
              <w:pStyle w:val="41"/>
              <w:rPr>
                <w:color w:val="auto"/>
                <w:highlight w:val="none"/>
              </w:rPr>
            </w:pPr>
            <w:r>
              <w:rPr>
                <w:color w:val="auto"/>
                <w:highlight w:val="none"/>
              </w:rPr>
              <w:t>--</w:t>
            </w:r>
          </w:p>
        </w:tc>
        <w:tc>
          <w:tcPr>
            <w:tcW w:w="564" w:type="pct"/>
            <w:tcBorders>
              <w:tl2br w:val="nil"/>
              <w:tr2bl w:val="nil"/>
            </w:tcBorders>
            <w:noWrap/>
            <w:vAlign w:val="center"/>
          </w:tcPr>
          <w:p w14:paraId="4E28BB32">
            <w:pPr>
              <w:pStyle w:val="41"/>
              <w:rPr>
                <w:color w:val="auto"/>
                <w:highlight w:val="none"/>
              </w:rPr>
            </w:pPr>
            <w:r>
              <w:rPr>
                <w:rFonts w:hint="eastAsia"/>
                <w:color w:val="auto"/>
                <w:highlight w:val="none"/>
              </w:rPr>
              <w:t>167</w:t>
            </w:r>
          </w:p>
        </w:tc>
        <w:tc>
          <w:tcPr>
            <w:tcW w:w="528" w:type="pct"/>
            <w:tcBorders>
              <w:tl2br w:val="nil"/>
              <w:tr2bl w:val="nil"/>
            </w:tcBorders>
            <w:noWrap/>
            <w:vAlign w:val="center"/>
          </w:tcPr>
          <w:p w14:paraId="0BA24C2E">
            <w:pPr>
              <w:pStyle w:val="41"/>
              <w:rPr>
                <w:color w:val="auto"/>
                <w:highlight w:val="none"/>
              </w:rPr>
            </w:pPr>
            <w:r>
              <w:rPr>
                <w:color w:val="auto"/>
                <w:highlight w:val="none"/>
              </w:rPr>
              <w:t>0</w:t>
            </w:r>
          </w:p>
        </w:tc>
        <w:tc>
          <w:tcPr>
            <w:tcW w:w="564" w:type="pct"/>
            <w:tcBorders>
              <w:tl2br w:val="nil"/>
              <w:tr2bl w:val="nil"/>
            </w:tcBorders>
            <w:noWrap/>
            <w:vAlign w:val="center"/>
          </w:tcPr>
          <w:p w14:paraId="6C51287F">
            <w:pPr>
              <w:pStyle w:val="41"/>
              <w:rPr>
                <w:color w:val="auto"/>
                <w:highlight w:val="none"/>
              </w:rPr>
            </w:pPr>
            <w:r>
              <w:rPr>
                <w:rFonts w:hint="eastAsia"/>
                <w:color w:val="auto"/>
                <w:highlight w:val="none"/>
              </w:rPr>
              <w:t>/</w:t>
            </w:r>
          </w:p>
        </w:tc>
        <w:tc>
          <w:tcPr>
            <w:tcW w:w="537" w:type="pct"/>
            <w:tcBorders>
              <w:tl2br w:val="nil"/>
              <w:tr2bl w:val="nil"/>
            </w:tcBorders>
            <w:noWrap/>
            <w:vAlign w:val="center"/>
          </w:tcPr>
          <w:p w14:paraId="008B7B4A">
            <w:pPr>
              <w:pStyle w:val="41"/>
              <w:rPr>
                <w:color w:val="auto"/>
                <w:highlight w:val="none"/>
              </w:rPr>
            </w:pPr>
            <w:r>
              <w:rPr>
                <w:rFonts w:hint="eastAsia"/>
                <w:color w:val="auto"/>
                <w:highlight w:val="none"/>
              </w:rPr>
              <w:t>/</w:t>
            </w:r>
          </w:p>
        </w:tc>
        <w:tc>
          <w:tcPr>
            <w:tcW w:w="599" w:type="pct"/>
            <w:tcBorders>
              <w:tl2br w:val="nil"/>
              <w:tr2bl w:val="nil"/>
            </w:tcBorders>
            <w:noWrap/>
            <w:vAlign w:val="center"/>
          </w:tcPr>
          <w:p w14:paraId="02056FC6">
            <w:pPr>
              <w:pStyle w:val="41"/>
              <w:rPr>
                <w:color w:val="auto"/>
                <w:highlight w:val="none"/>
              </w:rPr>
            </w:pPr>
            <w:r>
              <w:rPr>
                <w:rFonts w:hint="eastAsia"/>
                <w:color w:val="auto"/>
                <w:highlight w:val="none"/>
              </w:rPr>
              <w:t>/</w:t>
            </w:r>
          </w:p>
        </w:tc>
        <w:tc>
          <w:tcPr>
            <w:tcW w:w="520" w:type="pct"/>
            <w:tcBorders>
              <w:tl2br w:val="nil"/>
              <w:tr2bl w:val="nil"/>
            </w:tcBorders>
            <w:noWrap/>
            <w:vAlign w:val="center"/>
          </w:tcPr>
          <w:p w14:paraId="259DA0A7">
            <w:pPr>
              <w:pStyle w:val="41"/>
              <w:rPr>
                <w:color w:val="auto"/>
                <w:highlight w:val="none"/>
              </w:rPr>
            </w:pPr>
            <w:r>
              <w:rPr>
                <w:rFonts w:hint="eastAsia"/>
                <w:color w:val="auto"/>
                <w:highlight w:val="none"/>
              </w:rPr>
              <w:t>0.15</w:t>
            </w:r>
            <w:r>
              <w:rPr>
                <w:color w:val="auto"/>
                <w:highlight w:val="none"/>
              </w:rPr>
              <w:t>|0</w:t>
            </w:r>
          </w:p>
        </w:tc>
      </w:tr>
      <w:tr w14:paraId="66B91E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8" w:type="pct"/>
            <w:tcBorders>
              <w:tl2br w:val="nil"/>
              <w:tr2bl w:val="nil"/>
            </w:tcBorders>
            <w:noWrap/>
            <w:vAlign w:val="center"/>
          </w:tcPr>
          <w:p w14:paraId="597D8596">
            <w:pPr>
              <w:pStyle w:val="41"/>
              <w:rPr>
                <w:color w:val="auto"/>
                <w:highlight w:val="none"/>
              </w:rPr>
            </w:pPr>
            <w:r>
              <w:rPr>
                <w:color w:val="auto"/>
                <w:highlight w:val="none"/>
              </w:rPr>
              <w:t>2</w:t>
            </w:r>
          </w:p>
        </w:tc>
        <w:tc>
          <w:tcPr>
            <w:tcW w:w="868" w:type="pct"/>
            <w:tcBorders>
              <w:tl2br w:val="nil"/>
              <w:tr2bl w:val="nil"/>
            </w:tcBorders>
            <w:noWrap/>
            <w:vAlign w:val="center"/>
          </w:tcPr>
          <w:p w14:paraId="3F7ABD7F">
            <w:pPr>
              <w:pStyle w:val="41"/>
              <w:rPr>
                <w:color w:val="auto"/>
                <w:highlight w:val="none"/>
              </w:rPr>
            </w:pPr>
            <w:r>
              <w:rPr>
                <w:rFonts w:hint="eastAsia"/>
                <w:color w:val="auto"/>
                <w:highlight w:val="none"/>
              </w:rPr>
              <w:t>粗中碎车间</w:t>
            </w:r>
          </w:p>
        </w:tc>
        <w:tc>
          <w:tcPr>
            <w:tcW w:w="498" w:type="pct"/>
            <w:tcBorders>
              <w:tl2br w:val="nil"/>
              <w:tr2bl w:val="nil"/>
            </w:tcBorders>
            <w:noWrap/>
            <w:vAlign w:val="center"/>
          </w:tcPr>
          <w:p w14:paraId="62C485CE">
            <w:pPr>
              <w:pStyle w:val="41"/>
              <w:rPr>
                <w:color w:val="auto"/>
                <w:highlight w:val="none"/>
              </w:rPr>
            </w:pPr>
            <w:r>
              <w:rPr>
                <w:color w:val="auto"/>
                <w:highlight w:val="none"/>
              </w:rPr>
              <w:t>--</w:t>
            </w:r>
          </w:p>
        </w:tc>
        <w:tc>
          <w:tcPr>
            <w:tcW w:w="960" w:type="dxa"/>
            <w:tcBorders>
              <w:tl2br w:val="nil"/>
              <w:tr2bl w:val="nil"/>
            </w:tcBorders>
            <w:noWrap/>
            <w:vAlign w:val="center"/>
          </w:tcPr>
          <w:p w14:paraId="284E136B">
            <w:pPr>
              <w:pStyle w:val="41"/>
              <w:rPr>
                <w:color w:val="auto"/>
                <w:highlight w:val="none"/>
              </w:rPr>
            </w:pPr>
            <w:r>
              <w:rPr>
                <w:rFonts w:hint="eastAsia"/>
                <w:color w:val="auto"/>
                <w:highlight w:val="none"/>
              </w:rPr>
              <w:t>167</w:t>
            </w:r>
          </w:p>
        </w:tc>
        <w:tc>
          <w:tcPr>
            <w:tcW w:w="900" w:type="dxa"/>
            <w:tcBorders>
              <w:tl2br w:val="nil"/>
              <w:tr2bl w:val="nil"/>
            </w:tcBorders>
            <w:noWrap/>
            <w:vAlign w:val="center"/>
          </w:tcPr>
          <w:p w14:paraId="564BB2B5">
            <w:pPr>
              <w:pStyle w:val="41"/>
              <w:rPr>
                <w:color w:val="auto"/>
                <w:highlight w:val="none"/>
              </w:rPr>
            </w:pPr>
            <w:r>
              <w:rPr>
                <w:color w:val="auto"/>
                <w:highlight w:val="none"/>
              </w:rPr>
              <w:t>0</w:t>
            </w:r>
          </w:p>
        </w:tc>
        <w:tc>
          <w:tcPr>
            <w:tcW w:w="960" w:type="dxa"/>
            <w:tcBorders>
              <w:tl2br w:val="nil"/>
              <w:tr2bl w:val="nil"/>
            </w:tcBorders>
            <w:noWrap/>
            <w:vAlign w:val="center"/>
          </w:tcPr>
          <w:p w14:paraId="3113A47E">
            <w:pPr>
              <w:pStyle w:val="41"/>
              <w:rPr>
                <w:color w:val="auto"/>
                <w:highlight w:val="none"/>
              </w:rPr>
            </w:pPr>
            <w:r>
              <w:rPr>
                <w:rFonts w:hint="eastAsia"/>
                <w:color w:val="auto"/>
                <w:highlight w:val="none"/>
              </w:rPr>
              <w:t>/</w:t>
            </w:r>
          </w:p>
        </w:tc>
        <w:tc>
          <w:tcPr>
            <w:tcW w:w="915" w:type="dxa"/>
            <w:tcBorders>
              <w:tl2br w:val="nil"/>
              <w:tr2bl w:val="nil"/>
            </w:tcBorders>
            <w:noWrap/>
            <w:vAlign w:val="center"/>
          </w:tcPr>
          <w:p w14:paraId="599A4E56">
            <w:pPr>
              <w:pStyle w:val="41"/>
              <w:rPr>
                <w:color w:val="auto"/>
                <w:highlight w:val="none"/>
              </w:rPr>
            </w:pPr>
            <w:r>
              <w:rPr>
                <w:rFonts w:hint="eastAsia"/>
                <w:color w:val="auto"/>
                <w:highlight w:val="none"/>
              </w:rPr>
              <w:t>/</w:t>
            </w:r>
          </w:p>
        </w:tc>
        <w:tc>
          <w:tcPr>
            <w:tcW w:w="1020" w:type="dxa"/>
            <w:tcBorders>
              <w:tl2br w:val="nil"/>
              <w:tr2bl w:val="nil"/>
            </w:tcBorders>
            <w:noWrap/>
            <w:vAlign w:val="center"/>
          </w:tcPr>
          <w:p w14:paraId="0FBC2DE9">
            <w:pPr>
              <w:pStyle w:val="41"/>
              <w:rPr>
                <w:color w:val="auto"/>
                <w:highlight w:val="none"/>
              </w:rPr>
            </w:pPr>
            <w:r>
              <w:rPr>
                <w:rFonts w:hint="eastAsia"/>
                <w:color w:val="auto"/>
                <w:highlight w:val="none"/>
              </w:rPr>
              <w:t>/</w:t>
            </w:r>
          </w:p>
        </w:tc>
        <w:tc>
          <w:tcPr>
            <w:tcW w:w="886" w:type="dxa"/>
            <w:tcBorders>
              <w:tl2br w:val="nil"/>
              <w:tr2bl w:val="nil"/>
            </w:tcBorders>
            <w:noWrap/>
            <w:vAlign w:val="center"/>
          </w:tcPr>
          <w:p w14:paraId="4139F001">
            <w:pPr>
              <w:pStyle w:val="41"/>
              <w:rPr>
                <w:color w:val="auto"/>
                <w:highlight w:val="none"/>
              </w:rPr>
            </w:pPr>
            <w:r>
              <w:rPr>
                <w:rFonts w:hint="eastAsia"/>
                <w:color w:val="auto"/>
                <w:highlight w:val="none"/>
              </w:rPr>
              <w:t>0.15</w:t>
            </w:r>
            <w:r>
              <w:rPr>
                <w:color w:val="auto"/>
                <w:highlight w:val="none"/>
              </w:rPr>
              <w:t>|0</w:t>
            </w:r>
          </w:p>
        </w:tc>
      </w:tr>
      <w:tr w14:paraId="5218DA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8" w:type="pct"/>
            <w:tcBorders>
              <w:tl2br w:val="nil"/>
              <w:tr2bl w:val="nil"/>
            </w:tcBorders>
            <w:noWrap/>
            <w:vAlign w:val="center"/>
          </w:tcPr>
          <w:p w14:paraId="66C92B99">
            <w:pPr>
              <w:pStyle w:val="41"/>
              <w:rPr>
                <w:color w:val="auto"/>
                <w:highlight w:val="none"/>
              </w:rPr>
            </w:pPr>
            <w:r>
              <w:rPr>
                <w:color w:val="auto"/>
                <w:highlight w:val="none"/>
              </w:rPr>
              <w:t>3</w:t>
            </w:r>
          </w:p>
        </w:tc>
        <w:tc>
          <w:tcPr>
            <w:tcW w:w="868" w:type="pct"/>
            <w:tcBorders>
              <w:tl2br w:val="nil"/>
              <w:tr2bl w:val="nil"/>
            </w:tcBorders>
            <w:noWrap/>
            <w:vAlign w:val="center"/>
          </w:tcPr>
          <w:p w14:paraId="4E9A83F1">
            <w:pPr>
              <w:pStyle w:val="41"/>
              <w:rPr>
                <w:color w:val="auto"/>
                <w:highlight w:val="none"/>
              </w:rPr>
            </w:pPr>
            <w:r>
              <w:rPr>
                <w:rFonts w:hint="eastAsia"/>
                <w:color w:val="auto"/>
                <w:highlight w:val="none"/>
              </w:rPr>
              <w:t>细</w:t>
            </w:r>
            <w:r>
              <w:rPr>
                <w:color w:val="auto"/>
                <w:highlight w:val="none"/>
              </w:rPr>
              <w:t>碎车间</w:t>
            </w:r>
          </w:p>
        </w:tc>
        <w:tc>
          <w:tcPr>
            <w:tcW w:w="498" w:type="pct"/>
            <w:tcBorders>
              <w:tl2br w:val="nil"/>
              <w:tr2bl w:val="nil"/>
            </w:tcBorders>
            <w:noWrap/>
            <w:vAlign w:val="center"/>
          </w:tcPr>
          <w:p w14:paraId="18C49BF4">
            <w:pPr>
              <w:pStyle w:val="41"/>
              <w:rPr>
                <w:color w:val="auto"/>
                <w:highlight w:val="none"/>
              </w:rPr>
            </w:pPr>
            <w:r>
              <w:rPr>
                <w:color w:val="auto"/>
                <w:highlight w:val="none"/>
              </w:rPr>
              <w:t>--</w:t>
            </w:r>
          </w:p>
        </w:tc>
        <w:tc>
          <w:tcPr>
            <w:tcW w:w="960" w:type="dxa"/>
            <w:tcBorders>
              <w:tl2br w:val="nil"/>
              <w:tr2bl w:val="nil"/>
            </w:tcBorders>
            <w:noWrap/>
            <w:vAlign w:val="center"/>
          </w:tcPr>
          <w:p w14:paraId="499FAC97">
            <w:pPr>
              <w:pStyle w:val="41"/>
              <w:rPr>
                <w:color w:val="auto"/>
                <w:highlight w:val="none"/>
              </w:rPr>
            </w:pPr>
            <w:r>
              <w:rPr>
                <w:rFonts w:hint="eastAsia"/>
                <w:color w:val="auto"/>
                <w:highlight w:val="none"/>
              </w:rPr>
              <w:t>167</w:t>
            </w:r>
          </w:p>
        </w:tc>
        <w:tc>
          <w:tcPr>
            <w:tcW w:w="900" w:type="dxa"/>
            <w:tcBorders>
              <w:tl2br w:val="nil"/>
              <w:tr2bl w:val="nil"/>
            </w:tcBorders>
            <w:noWrap/>
            <w:vAlign w:val="center"/>
          </w:tcPr>
          <w:p w14:paraId="0DAD0B9A">
            <w:pPr>
              <w:pStyle w:val="41"/>
              <w:rPr>
                <w:color w:val="auto"/>
                <w:highlight w:val="none"/>
              </w:rPr>
            </w:pPr>
            <w:r>
              <w:rPr>
                <w:color w:val="auto"/>
                <w:highlight w:val="none"/>
              </w:rPr>
              <w:t>0</w:t>
            </w:r>
          </w:p>
        </w:tc>
        <w:tc>
          <w:tcPr>
            <w:tcW w:w="960" w:type="dxa"/>
            <w:tcBorders>
              <w:tl2br w:val="nil"/>
              <w:tr2bl w:val="nil"/>
            </w:tcBorders>
            <w:noWrap/>
            <w:vAlign w:val="center"/>
          </w:tcPr>
          <w:p w14:paraId="42A2D841">
            <w:pPr>
              <w:pStyle w:val="41"/>
              <w:rPr>
                <w:color w:val="auto"/>
                <w:highlight w:val="none"/>
              </w:rPr>
            </w:pPr>
            <w:r>
              <w:rPr>
                <w:rFonts w:hint="eastAsia"/>
                <w:color w:val="auto"/>
                <w:highlight w:val="none"/>
              </w:rPr>
              <w:t>/</w:t>
            </w:r>
          </w:p>
        </w:tc>
        <w:tc>
          <w:tcPr>
            <w:tcW w:w="915" w:type="dxa"/>
            <w:tcBorders>
              <w:tl2br w:val="nil"/>
              <w:tr2bl w:val="nil"/>
            </w:tcBorders>
            <w:noWrap/>
            <w:vAlign w:val="center"/>
          </w:tcPr>
          <w:p w14:paraId="7C4F1020">
            <w:pPr>
              <w:pStyle w:val="41"/>
              <w:rPr>
                <w:color w:val="auto"/>
                <w:highlight w:val="none"/>
              </w:rPr>
            </w:pPr>
            <w:r>
              <w:rPr>
                <w:rFonts w:hint="eastAsia"/>
                <w:color w:val="auto"/>
                <w:highlight w:val="none"/>
              </w:rPr>
              <w:t>/</w:t>
            </w:r>
          </w:p>
        </w:tc>
        <w:tc>
          <w:tcPr>
            <w:tcW w:w="1020" w:type="dxa"/>
            <w:tcBorders>
              <w:tl2br w:val="nil"/>
              <w:tr2bl w:val="nil"/>
            </w:tcBorders>
            <w:noWrap/>
            <w:vAlign w:val="center"/>
          </w:tcPr>
          <w:p w14:paraId="002A85A7">
            <w:pPr>
              <w:pStyle w:val="41"/>
              <w:rPr>
                <w:color w:val="auto"/>
                <w:highlight w:val="none"/>
              </w:rPr>
            </w:pPr>
            <w:r>
              <w:rPr>
                <w:rFonts w:hint="eastAsia"/>
                <w:color w:val="auto"/>
                <w:highlight w:val="none"/>
              </w:rPr>
              <w:t>/</w:t>
            </w:r>
          </w:p>
        </w:tc>
        <w:tc>
          <w:tcPr>
            <w:tcW w:w="886" w:type="dxa"/>
            <w:tcBorders>
              <w:tl2br w:val="nil"/>
              <w:tr2bl w:val="nil"/>
            </w:tcBorders>
            <w:noWrap/>
            <w:vAlign w:val="center"/>
          </w:tcPr>
          <w:p w14:paraId="7A560C0A">
            <w:pPr>
              <w:pStyle w:val="41"/>
              <w:rPr>
                <w:color w:val="auto"/>
                <w:highlight w:val="none"/>
              </w:rPr>
            </w:pPr>
            <w:r>
              <w:rPr>
                <w:rFonts w:hint="eastAsia"/>
                <w:color w:val="auto"/>
                <w:highlight w:val="none"/>
              </w:rPr>
              <w:t>0.15</w:t>
            </w:r>
            <w:r>
              <w:rPr>
                <w:color w:val="auto"/>
                <w:highlight w:val="none"/>
              </w:rPr>
              <w:t>|0</w:t>
            </w:r>
          </w:p>
        </w:tc>
      </w:tr>
      <w:tr w14:paraId="6D0209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8" w:type="pct"/>
            <w:tcBorders>
              <w:tl2br w:val="nil"/>
              <w:tr2bl w:val="nil"/>
            </w:tcBorders>
            <w:noWrap/>
            <w:vAlign w:val="center"/>
          </w:tcPr>
          <w:p w14:paraId="1E85A300">
            <w:pPr>
              <w:pStyle w:val="41"/>
              <w:rPr>
                <w:color w:val="auto"/>
                <w:highlight w:val="none"/>
              </w:rPr>
            </w:pPr>
            <w:r>
              <w:rPr>
                <w:color w:val="auto"/>
                <w:highlight w:val="none"/>
              </w:rPr>
              <w:t>4</w:t>
            </w:r>
          </w:p>
        </w:tc>
        <w:tc>
          <w:tcPr>
            <w:tcW w:w="868" w:type="pct"/>
            <w:tcBorders>
              <w:tl2br w:val="nil"/>
              <w:tr2bl w:val="nil"/>
            </w:tcBorders>
            <w:noWrap/>
            <w:vAlign w:val="center"/>
          </w:tcPr>
          <w:p w14:paraId="07CB04EE">
            <w:pPr>
              <w:pStyle w:val="41"/>
              <w:rPr>
                <w:color w:val="auto"/>
                <w:highlight w:val="none"/>
              </w:rPr>
            </w:pPr>
            <w:r>
              <w:rPr>
                <w:rFonts w:hint="eastAsia"/>
                <w:color w:val="auto"/>
                <w:highlight w:val="none"/>
              </w:rPr>
              <w:t>1号振动筛分车间</w:t>
            </w:r>
          </w:p>
        </w:tc>
        <w:tc>
          <w:tcPr>
            <w:tcW w:w="498" w:type="pct"/>
            <w:tcBorders>
              <w:tl2br w:val="nil"/>
              <w:tr2bl w:val="nil"/>
            </w:tcBorders>
            <w:noWrap/>
            <w:vAlign w:val="center"/>
          </w:tcPr>
          <w:p w14:paraId="1288CE58">
            <w:pPr>
              <w:pStyle w:val="41"/>
              <w:rPr>
                <w:color w:val="auto"/>
                <w:highlight w:val="none"/>
              </w:rPr>
            </w:pPr>
            <w:r>
              <w:rPr>
                <w:color w:val="auto"/>
                <w:highlight w:val="none"/>
              </w:rPr>
              <w:t>--</w:t>
            </w:r>
          </w:p>
        </w:tc>
        <w:tc>
          <w:tcPr>
            <w:tcW w:w="960" w:type="dxa"/>
            <w:tcBorders>
              <w:tl2br w:val="nil"/>
              <w:tr2bl w:val="nil"/>
            </w:tcBorders>
            <w:noWrap/>
            <w:vAlign w:val="center"/>
          </w:tcPr>
          <w:p w14:paraId="2560BC12">
            <w:pPr>
              <w:pStyle w:val="41"/>
              <w:rPr>
                <w:color w:val="auto"/>
                <w:highlight w:val="none"/>
              </w:rPr>
            </w:pPr>
            <w:r>
              <w:rPr>
                <w:rFonts w:hint="eastAsia"/>
                <w:color w:val="auto"/>
                <w:highlight w:val="none"/>
              </w:rPr>
              <w:t>167</w:t>
            </w:r>
          </w:p>
        </w:tc>
        <w:tc>
          <w:tcPr>
            <w:tcW w:w="900" w:type="dxa"/>
            <w:tcBorders>
              <w:tl2br w:val="nil"/>
              <w:tr2bl w:val="nil"/>
            </w:tcBorders>
            <w:noWrap/>
            <w:vAlign w:val="center"/>
          </w:tcPr>
          <w:p w14:paraId="0B1BB790">
            <w:pPr>
              <w:pStyle w:val="41"/>
              <w:rPr>
                <w:color w:val="auto"/>
                <w:highlight w:val="none"/>
              </w:rPr>
            </w:pPr>
            <w:r>
              <w:rPr>
                <w:color w:val="auto"/>
                <w:highlight w:val="none"/>
              </w:rPr>
              <w:t>0</w:t>
            </w:r>
          </w:p>
        </w:tc>
        <w:tc>
          <w:tcPr>
            <w:tcW w:w="960" w:type="dxa"/>
            <w:tcBorders>
              <w:tl2br w:val="nil"/>
              <w:tr2bl w:val="nil"/>
            </w:tcBorders>
            <w:noWrap/>
            <w:vAlign w:val="center"/>
          </w:tcPr>
          <w:p w14:paraId="415DCB8E">
            <w:pPr>
              <w:pStyle w:val="41"/>
              <w:rPr>
                <w:color w:val="auto"/>
                <w:highlight w:val="none"/>
              </w:rPr>
            </w:pPr>
            <w:r>
              <w:rPr>
                <w:rFonts w:hint="eastAsia"/>
                <w:color w:val="auto"/>
                <w:highlight w:val="none"/>
              </w:rPr>
              <w:t>/</w:t>
            </w:r>
          </w:p>
        </w:tc>
        <w:tc>
          <w:tcPr>
            <w:tcW w:w="915" w:type="dxa"/>
            <w:tcBorders>
              <w:tl2br w:val="nil"/>
              <w:tr2bl w:val="nil"/>
            </w:tcBorders>
            <w:noWrap/>
            <w:vAlign w:val="center"/>
          </w:tcPr>
          <w:p w14:paraId="4656E1EC">
            <w:pPr>
              <w:pStyle w:val="41"/>
              <w:rPr>
                <w:color w:val="auto"/>
                <w:highlight w:val="none"/>
              </w:rPr>
            </w:pPr>
            <w:r>
              <w:rPr>
                <w:rFonts w:hint="eastAsia"/>
                <w:color w:val="auto"/>
                <w:highlight w:val="none"/>
              </w:rPr>
              <w:t>/</w:t>
            </w:r>
          </w:p>
        </w:tc>
        <w:tc>
          <w:tcPr>
            <w:tcW w:w="1020" w:type="dxa"/>
            <w:tcBorders>
              <w:tl2br w:val="nil"/>
              <w:tr2bl w:val="nil"/>
            </w:tcBorders>
            <w:noWrap/>
            <w:vAlign w:val="center"/>
          </w:tcPr>
          <w:p w14:paraId="0E2604B0">
            <w:pPr>
              <w:pStyle w:val="41"/>
              <w:rPr>
                <w:color w:val="auto"/>
                <w:highlight w:val="none"/>
              </w:rPr>
            </w:pPr>
            <w:r>
              <w:rPr>
                <w:rFonts w:hint="eastAsia"/>
                <w:color w:val="auto"/>
                <w:highlight w:val="none"/>
              </w:rPr>
              <w:t>/</w:t>
            </w:r>
          </w:p>
        </w:tc>
        <w:tc>
          <w:tcPr>
            <w:tcW w:w="886" w:type="dxa"/>
            <w:tcBorders>
              <w:tl2br w:val="nil"/>
              <w:tr2bl w:val="nil"/>
            </w:tcBorders>
            <w:noWrap/>
            <w:vAlign w:val="center"/>
          </w:tcPr>
          <w:p w14:paraId="638E8144">
            <w:pPr>
              <w:pStyle w:val="41"/>
              <w:rPr>
                <w:color w:val="auto"/>
                <w:highlight w:val="none"/>
              </w:rPr>
            </w:pPr>
            <w:r>
              <w:rPr>
                <w:rFonts w:hint="eastAsia"/>
                <w:color w:val="auto"/>
                <w:highlight w:val="none"/>
              </w:rPr>
              <w:t>0.15</w:t>
            </w:r>
            <w:r>
              <w:rPr>
                <w:color w:val="auto"/>
                <w:highlight w:val="none"/>
              </w:rPr>
              <w:t>|0</w:t>
            </w:r>
          </w:p>
        </w:tc>
      </w:tr>
      <w:tr w14:paraId="65A56C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8" w:type="pct"/>
            <w:tcBorders>
              <w:tl2br w:val="nil"/>
              <w:tr2bl w:val="nil"/>
            </w:tcBorders>
            <w:noWrap/>
            <w:vAlign w:val="center"/>
          </w:tcPr>
          <w:p w14:paraId="023E3612">
            <w:pPr>
              <w:pStyle w:val="41"/>
              <w:rPr>
                <w:color w:val="auto"/>
                <w:highlight w:val="none"/>
              </w:rPr>
            </w:pPr>
            <w:r>
              <w:rPr>
                <w:color w:val="auto"/>
                <w:highlight w:val="none"/>
              </w:rPr>
              <w:t>5</w:t>
            </w:r>
          </w:p>
        </w:tc>
        <w:tc>
          <w:tcPr>
            <w:tcW w:w="868" w:type="pct"/>
            <w:tcBorders>
              <w:tl2br w:val="nil"/>
              <w:tr2bl w:val="nil"/>
            </w:tcBorders>
            <w:noWrap/>
            <w:vAlign w:val="center"/>
          </w:tcPr>
          <w:p w14:paraId="27AD001F">
            <w:pPr>
              <w:pStyle w:val="41"/>
              <w:rPr>
                <w:color w:val="auto"/>
                <w:highlight w:val="none"/>
              </w:rPr>
            </w:pPr>
            <w:r>
              <w:rPr>
                <w:rFonts w:hint="eastAsia"/>
                <w:color w:val="auto"/>
                <w:highlight w:val="none"/>
              </w:rPr>
              <w:t>2号振动筛分车间</w:t>
            </w:r>
          </w:p>
        </w:tc>
        <w:tc>
          <w:tcPr>
            <w:tcW w:w="498" w:type="pct"/>
            <w:tcBorders>
              <w:tl2br w:val="nil"/>
              <w:tr2bl w:val="nil"/>
            </w:tcBorders>
            <w:noWrap/>
            <w:vAlign w:val="center"/>
          </w:tcPr>
          <w:p w14:paraId="32EA65DA">
            <w:pPr>
              <w:pStyle w:val="41"/>
              <w:rPr>
                <w:color w:val="auto"/>
                <w:highlight w:val="none"/>
              </w:rPr>
            </w:pPr>
            <w:r>
              <w:rPr>
                <w:color w:val="auto"/>
                <w:highlight w:val="none"/>
              </w:rPr>
              <w:t>--</w:t>
            </w:r>
          </w:p>
        </w:tc>
        <w:tc>
          <w:tcPr>
            <w:tcW w:w="960" w:type="dxa"/>
            <w:tcBorders>
              <w:tl2br w:val="nil"/>
              <w:tr2bl w:val="nil"/>
            </w:tcBorders>
            <w:noWrap/>
            <w:vAlign w:val="center"/>
          </w:tcPr>
          <w:p w14:paraId="65523CB3">
            <w:pPr>
              <w:pStyle w:val="41"/>
              <w:rPr>
                <w:color w:val="auto"/>
                <w:highlight w:val="none"/>
              </w:rPr>
            </w:pPr>
            <w:r>
              <w:rPr>
                <w:rFonts w:hint="eastAsia"/>
                <w:color w:val="auto"/>
                <w:highlight w:val="none"/>
              </w:rPr>
              <w:t>167</w:t>
            </w:r>
          </w:p>
        </w:tc>
        <w:tc>
          <w:tcPr>
            <w:tcW w:w="900" w:type="dxa"/>
            <w:tcBorders>
              <w:tl2br w:val="nil"/>
              <w:tr2bl w:val="nil"/>
            </w:tcBorders>
            <w:noWrap/>
            <w:vAlign w:val="center"/>
          </w:tcPr>
          <w:p w14:paraId="1EEF9D6F">
            <w:pPr>
              <w:pStyle w:val="41"/>
              <w:rPr>
                <w:color w:val="auto"/>
                <w:highlight w:val="none"/>
              </w:rPr>
            </w:pPr>
            <w:r>
              <w:rPr>
                <w:color w:val="auto"/>
                <w:highlight w:val="none"/>
              </w:rPr>
              <w:t>0</w:t>
            </w:r>
          </w:p>
        </w:tc>
        <w:tc>
          <w:tcPr>
            <w:tcW w:w="960" w:type="dxa"/>
            <w:tcBorders>
              <w:tl2br w:val="nil"/>
              <w:tr2bl w:val="nil"/>
            </w:tcBorders>
            <w:noWrap/>
            <w:vAlign w:val="center"/>
          </w:tcPr>
          <w:p w14:paraId="69776F35">
            <w:pPr>
              <w:pStyle w:val="41"/>
              <w:rPr>
                <w:color w:val="auto"/>
                <w:highlight w:val="none"/>
              </w:rPr>
            </w:pPr>
            <w:r>
              <w:rPr>
                <w:rFonts w:hint="eastAsia"/>
                <w:color w:val="auto"/>
                <w:highlight w:val="none"/>
              </w:rPr>
              <w:t>/</w:t>
            </w:r>
          </w:p>
        </w:tc>
        <w:tc>
          <w:tcPr>
            <w:tcW w:w="915" w:type="dxa"/>
            <w:tcBorders>
              <w:tl2br w:val="nil"/>
              <w:tr2bl w:val="nil"/>
            </w:tcBorders>
            <w:noWrap/>
            <w:vAlign w:val="center"/>
          </w:tcPr>
          <w:p w14:paraId="25F233D3">
            <w:pPr>
              <w:pStyle w:val="41"/>
              <w:rPr>
                <w:color w:val="auto"/>
                <w:highlight w:val="none"/>
              </w:rPr>
            </w:pPr>
            <w:r>
              <w:rPr>
                <w:rFonts w:hint="eastAsia"/>
                <w:color w:val="auto"/>
                <w:highlight w:val="none"/>
              </w:rPr>
              <w:t>/</w:t>
            </w:r>
          </w:p>
        </w:tc>
        <w:tc>
          <w:tcPr>
            <w:tcW w:w="1020" w:type="dxa"/>
            <w:tcBorders>
              <w:tl2br w:val="nil"/>
              <w:tr2bl w:val="nil"/>
            </w:tcBorders>
            <w:noWrap/>
            <w:vAlign w:val="center"/>
          </w:tcPr>
          <w:p w14:paraId="57BAEAE3">
            <w:pPr>
              <w:pStyle w:val="41"/>
              <w:rPr>
                <w:color w:val="auto"/>
                <w:highlight w:val="none"/>
              </w:rPr>
            </w:pPr>
            <w:r>
              <w:rPr>
                <w:rFonts w:hint="eastAsia"/>
                <w:color w:val="auto"/>
                <w:highlight w:val="none"/>
              </w:rPr>
              <w:t>/</w:t>
            </w:r>
          </w:p>
        </w:tc>
        <w:tc>
          <w:tcPr>
            <w:tcW w:w="886" w:type="dxa"/>
            <w:tcBorders>
              <w:tl2br w:val="nil"/>
              <w:tr2bl w:val="nil"/>
            </w:tcBorders>
            <w:noWrap/>
            <w:vAlign w:val="center"/>
          </w:tcPr>
          <w:p w14:paraId="38D1DA03">
            <w:pPr>
              <w:pStyle w:val="41"/>
              <w:rPr>
                <w:color w:val="auto"/>
                <w:highlight w:val="none"/>
              </w:rPr>
            </w:pPr>
            <w:r>
              <w:rPr>
                <w:rFonts w:hint="eastAsia"/>
                <w:color w:val="auto"/>
                <w:highlight w:val="none"/>
              </w:rPr>
              <w:t>0.15</w:t>
            </w:r>
            <w:r>
              <w:rPr>
                <w:color w:val="auto"/>
                <w:highlight w:val="none"/>
              </w:rPr>
              <w:t>|0</w:t>
            </w:r>
          </w:p>
        </w:tc>
      </w:tr>
      <w:tr w14:paraId="3CF979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8" w:type="pct"/>
            <w:tcBorders>
              <w:tl2br w:val="nil"/>
              <w:tr2bl w:val="nil"/>
            </w:tcBorders>
            <w:noWrap/>
            <w:vAlign w:val="center"/>
          </w:tcPr>
          <w:p w14:paraId="164E814E">
            <w:pPr>
              <w:pStyle w:val="41"/>
              <w:rPr>
                <w:color w:val="auto"/>
                <w:highlight w:val="none"/>
              </w:rPr>
            </w:pPr>
            <w:r>
              <w:rPr>
                <w:color w:val="auto"/>
                <w:highlight w:val="none"/>
              </w:rPr>
              <w:t>6</w:t>
            </w:r>
          </w:p>
        </w:tc>
        <w:tc>
          <w:tcPr>
            <w:tcW w:w="868" w:type="pct"/>
            <w:tcBorders>
              <w:tl2br w:val="nil"/>
              <w:tr2bl w:val="nil"/>
            </w:tcBorders>
            <w:noWrap/>
            <w:vAlign w:val="center"/>
          </w:tcPr>
          <w:p w14:paraId="5CC33C17">
            <w:pPr>
              <w:pStyle w:val="41"/>
              <w:rPr>
                <w:color w:val="auto"/>
                <w:highlight w:val="none"/>
              </w:rPr>
            </w:pPr>
            <w:r>
              <w:rPr>
                <w:rFonts w:hint="eastAsia"/>
                <w:color w:val="auto"/>
                <w:highlight w:val="none"/>
              </w:rPr>
              <w:t>3号振动筛分车间</w:t>
            </w:r>
          </w:p>
        </w:tc>
        <w:tc>
          <w:tcPr>
            <w:tcW w:w="498" w:type="pct"/>
            <w:tcBorders>
              <w:tl2br w:val="nil"/>
              <w:tr2bl w:val="nil"/>
            </w:tcBorders>
            <w:noWrap/>
            <w:vAlign w:val="center"/>
          </w:tcPr>
          <w:p w14:paraId="48E52562">
            <w:pPr>
              <w:pStyle w:val="41"/>
              <w:rPr>
                <w:color w:val="auto"/>
                <w:highlight w:val="none"/>
              </w:rPr>
            </w:pPr>
            <w:r>
              <w:rPr>
                <w:color w:val="auto"/>
                <w:highlight w:val="none"/>
              </w:rPr>
              <w:t>--</w:t>
            </w:r>
          </w:p>
        </w:tc>
        <w:tc>
          <w:tcPr>
            <w:tcW w:w="960" w:type="dxa"/>
            <w:tcBorders>
              <w:tl2br w:val="nil"/>
              <w:tr2bl w:val="nil"/>
            </w:tcBorders>
            <w:noWrap/>
            <w:vAlign w:val="center"/>
          </w:tcPr>
          <w:p w14:paraId="19D7F114">
            <w:pPr>
              <w:pStyle w:val="41"/>
              <w:rPr>
                <w:color w:val="auto"/>
                <w:highlight w:val="none"/>
              </w:rPr>
            </w:pPr>
            <w:r>
              <w:rPr>
                <w:rFonts w:hint="eastAsia"/>
                <w:color w:val="auto"/>
                <w:highlight w:val="none"/>
              </w:rPr>
              <w:t>167</w:t>
            </w:r>
          </w:p>
        </w:tc>
        <w:tc>
          <w:tcPr>
            <w:tcW w:w="900" w:type="dxa"/>
            <w:tcBorders>
              <w:tl2br w:val="nil"/>
              <w:tr2bl w:val="nil"/>
            </w:tcBorders>
            <w:noWrap/>
            <w:vAlign w:val="center"/>
          </w:tcPr>
          <w:p w14:paraId="0C4842E4">
            <w:pPr>
              <w:pStyle w:val="41"/>
              <w:rPr>
                <w:color w:val="auto"/>
                <w:highlight w:val="none"/>
              </w:rPr>
            </w:pPr>
            <w:r>
              <w:rPr>
                <w:color w:val="auto"/>
                <w:highlight w:val="none"/>
              </w:rPr>
              <w:t>0</w:t>
            </w:r>
          </w:p>
        </w:tc>
        <w:tc>
          <w:tcPr>
            <w:tcW w:w="960" w:type="dxa"/>
            <w:tcBorders>
              <w:tl2br w:val="nil"/>
              <w:tr2bl w:val="nil"/>
            </w:tcBorders>
            <w:noWrap/>
            <w:vAlign w:val="center"/>
          </w:tcPr>
          <w:p w14:paraId="4B3AE843">
            <w:pPr>
              <w:pStyle w:val="41"/>
              <w:rPr>
                <w:color w:val="auto"/>
                <w:highlight w:val="none"/>
              </w:rPr>
            </w:pPr>
            <w:r>
              <w:rPr>
                <w:rFonts w:hint="eastAsia"/>
                <w:color w:val="auto"/>
                <w:highlight w:val="none"/>
              </w:rPr>
              <w:t>/</w:t>
            </w:r>
          </w:p>
        </w:tc>
        <w:tc>
          <w:tcPr>
            <w:tcW w:w="915" w:type="dxa"/>
            <w:tcBorders>
              <w:tl2br w:val="nil"/>
              <w:tr2bl w:val="nil"/>
            </w:tcBorders>
            <w:noWrap/>
            <w:vAlign w:val="center"/>
          </w:tcPr>
          <w:p w14:paraId="2DED3E76">
            <w:pPr>
              <w:pStyle w:val="41"/>
              <w:rPr>
                <w:color w:val="auto"/>
                <w:highlight w:val="none"/>
              </w:rPr>
            </w:pPr>
            <w:r>
              <w:rPr>
                <w:rFonts w:hint="eastAsia"/>
                <w:color w:val="auto"/>
                <w:highlight w:val="none"/>
              </w:rPr>
              <w:t>/</w:t>
            </w:r>
          </w:p>
        </w:tc>
        <w:tc>
          <w:tcPr>
            <w:tcW w:w="1020" w:type="dxa"/>
            <w:tcBorders>
              <w:tl2br w:val="nil"/>
              <w:tr2bl w:val="nil"/>
            </w:tcBorders>
            <w:noWrap/>
            <w:vAlign w:val="center"/>
          </w:tcPr>
          <w:p w14:paraId="018212D5">
            <w:pPr>
              <w:pStyle w:val="41"/>
              <w:rPr>
                <w:color w:val="auto"/>
                <w:highlight w:val="none"/>
              </w:rPr>
            </w:pPr>
            <w:r>
              <w:rPr>
                <w:rFonts w:hint="eastAsia"/>
                <w:color w:val="auto"/>
                <w:highlight w:val="none"/>
              </w:rPr>
              <w:t>/</w:t>
            </w:r>
          </w:p>
        </w:tc>
        <w:tc>
          <w:tcPr>
            <w:tcW w:w="886" w:type="dxa"/>
            <w:tcBorders>
              <w:tl2br w:val="nil"/>
              <w:tr2bl w:val="nil"/>
            </w:tcBorders>
            <w:noWrap/>
            <w:vAlign w:val="center"/>
          </w:tcPr>
          <w:p w14:paraId="7619204F">
            <w:pPr>
              <w:pStyle w:val="41"/>
              <w:rPr>
                <w:color w:val="auto"/>
                <w:highlight w:val="none"/>
              </w:rPr>
            </w:pPr>
            <w:r>
              <w:rPr>
                <w:rFonts w:hint="eastAsia"/>
                <w:color w:val="auto"/>
                <w:highlight w:val="none"/>
              </w:rPr>
              <w:t>0.15</w:t>
            </w:r>
            <w:r>
              <w:rPr>
                <w:color w:val="auto"/>
                <w:highlight w:val="none"/>
              </w:rPr>
              <w:t>|0</w:t>
            </w:r>
          </w:p>
        </w:tc>
      </w:tr>
      <w:tr w14:paraId="2CB30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8" w:type="pct"/>
            <w:tcBorders>
              <w:tl2br w:val="nil"/>
              <w:tr2bl w:val="nil"/>
            </w:tcBorders>
            <w:noWrap/>
            <w:vAlign w:val="center"/>
          </w:tcPr>
          <w:p w14:paraId="49C933D3">
            <w:pPr>
              <w:pStyle w:val="41"/>
              <w:rPr>
                <w:color w:val="auto"/>
                <w:highlight w:val="none"/>
              </w:rPr>
            </w:pPr>
            <w:r>
              <w:rPr>
                <w:color w:val="auto"/>
                <w:highlight w:val="none"/>
              </w:rPr>
              <w:t>7</w:t>
            </w:r>
          </w:p>
        </w:tc>
        <w:tc>
          <w:tcPr>
            <w:tcW w:w="868" w:type="pct"/>
            <w:tcBorders>
              <w:tl2br w:val="nil"/>
              <w:tr2bl w:val="nil"/>
            </w:tcBorders>
            <w:noWrap/>
            <w:vAlign w:val="center"/>
          </w:tcPr>
          <w:p w14:paraId="46D614D9">
            <w:pPr>
              <w:pStyle w:val="41"/>
              <w:rPr>
                <w:color w:val="auto"/>
                <w:highlight w:val="none"/>
              </w:rPr>
            </w:pPr>
            <w:r>
              <w:rPr>
                <w:rFonts w:hint="eastAsia"/>
                <w:color w:val="auto"/>
                <w:highlight w:val="none"/>
              </w:rPr>
              <w:t>干抛磁选车间</w:t>
            </w:r>
          </w:p>
        </w:tc>
        <w:tc>
          <w:tcPr>
            <w:tcW w:w="498" w:type="pct"/>
            <w:tcBorders>
              <w:tl2br w:val="nil"/>
              <w:tr2bl w:val="nil"/>
            </w:tcBorders>
            <w:noWrap/>
            <w:vAlign w:val="center"/>
          </w:tcPr>
          <w:p w14:paraId="1DEA9197">
            <w:pPr>
              <w:pStyle w:val="41"/>
              <w:rPr>
                <w:color w:val="auto"/>
                <w:highlight w:val="none"/>
              </w:rPr>
            </w:pPr>
            <w:r>
              <w:rPr>
                <w:color w:val="auto"/>
                <w:highlight w:val="none"/>
              </w:rPr>
              <w:t>--</w:t>
            </w:r>
          </w:p>
        </w:tc>
        <w:tc>
          <w:tcPr>
            <w:tcW w:w="564" w:type="pct"/>
            <w:tcBorders>
              <w:tl2br w:val="nil"/>
              <w:tr2bl w:val="nil"/>
            </w:tcBorders>
            <w:noWrap/>
            <w:vAlign w:val="center"/>
          </w:tcPr>
          <w:p w14:paraId="4AE00FA4">
            <w:pPr>
              <w:pStyle w:val="41"/>
              <w:rPr>
                <w:color w:val="auto"/>
                <w:highlight w:val="none"/>
              </w:rPr>
            </w:pPr>
            <w:r>
              <w:rPr>
                <w:rFonts w:hint="eastAsia"/>
                <w:color w:val="auto"/>
                <w:highlight w:val="none"/>
              </w:rPr>
              <w:t>284</w:t>
            </w:r>
          </w:p>
        </w:tc>
        <w:tc>
          <w:tcPr>
            <w:tcW w:w="528" w:type="pct"/>
            <w:tcBorders>
              <w:tl2br w:val="nil"/>
              <w:tr2bl w:val="nil"/>
            </w:tcBorders>
            <w:noWrap/>
            <w:vAlign w:val="center"/>
          </w:tcPr>
          <w:p w14:paraId="10C4F2DA">
            <w:pPr>
              <w:pStyle w:val="41"/>
              <w:rPr>
                <w:color w:val="auto"/>
                <w:highlight w:val="none"/>
              </w:rPr>
            </w:pPr>
            <w:r>
              <w:rPr>
                <w:color w:val="auto"/>
                <w:highlight w:val="none"/>
              </w:rPr>
              <w:t>0</w:t>
            </w:r>
          </w:p>
        </w:tc>
        <w:tc>
          <w:tcPr>
            <w:tcW w:w="564" w:type="pct"/>
            <w:tcBorders>
              <w:tl2br w:val="nil"/>
              <w:tr2bl w:val="nil"/>
            </w:tcBorders>
            <w:noWrap/>
            <w:vAlign w:val="center"/>
          </w:tcPr>
          <w:p w14:paraId="6EA55ABA">
            <w:pPr>
              <w:pStyle w:val="41"/>
              <w:rPr>
                <w:color w:val="auto"/>
                <w:highlight w:val="none"/>
              </w:rPr>
            </w:pPr>
            <w:r>
              <w:rPr>
                <w:rFonts w:hint="eastAsia"/>
                <w:color w:val="auto"/>
                <w:highlight w:val="none"/>
              </w:rPr>
              <w:t>/</w:t>
            </w:r>
          </w:p>
        </w:tc>
        <w:tc>
          <w:tcPr>
            <w:tcW w:w="537" w:type="pct"/>
            <w:tcBorders>
              <w:tl2br w:val="nil"/>
              <w:tr2bl w:val="nil"/>
            </w:tcBorders>
            <w:noWrap/>
            <w:vAlign w:val="center"/>
          </w:tcPr>
          <w:p w14:paraId="589680FD">
            <w:pPr>
              <w:pStyle w:val="41"/>
              <w:rPr>
                <w:color w:val="auto"/>
                <w:highlight w:val="none"/>
              </w:rPr>
            </w:pPr>
            <w:r>
              <w:rPr>
                <w:rFonts w:hint="eastAsia"/>
                <w:color w:val="auto"/>
                <w:highlight w:val="none"/>
              </w:rPr>
              <w:t>/</w:t>
            </w:r>
          </w:p>
        </w:tc>
        <w:tc>
          <w:tcPr>
            <w:tcW w:w="599" w:type="pct"/>
            <w:tcBorders>
              <w:tl2br w:val="nil"/>
              <w:tr2bl w:val="nil"/>
            </w:tcBorders>
            <w:noWrap/>
            <w:vAlign w:val="center"/>
          </w:tcPr>
          <w:p w14:paraId="20DF47A6">
            <w:pPr>
              <w:pStyle w:val="41"/>
              <w:rPr>
                <w:color w:val="auto"/>
                <w:highlight w:val="none"/>
              </w:rPr>
            </w:pPr>
            <w:r>
              <w:rPr>
                <w:rFonts w:hint="eastAsia"/>
                <w:color w:val="auto"/>
                <w:highlight w:val="none"/>
              </w:rPr>
              <w:t>/</w:t>
            </w:r>
          </w:p>
        </w:tc>
        <w:tc>
          <w:tcPr>
            <w:tcW w:w="520" w:type="pct"/>
            <w:tcBorders>
              <w:tl2br w:val="nil"/>
              <w:tr2bl w:val="nil"/>
            </w:tcBorders>
            <w:noWrap/>
            <w:vAlign w:val="center"/>
          </w:tcPr>
          <w:p w14:paraId="30CC67B3">
            <w:pPr>
              <w:pStyle w:val="41"/>
              <w:rPr>
                <w:color w:val="auto"/>
                <w:highlight w:val="none"/>
              </w:rPr>
            </w:pPr>
            <w:r>
              <w:rPr>
                <w:rFonts w:hint="eastAsia"/>
                <w:color w:val="auto"/>
                <w:highlight w:val="none"/>
              </w:rPr>
              <w:t>1.04</w:t>
            </w:r>
            <w:r>
              <w:rPr>
                <w:color w:val="auto"/>
                <w:highlight w:val="none"/>
              </w:rPr>
              <w:t>|0</w:t>
            </w:r>
          </w:p>
        </w:tc>
      </w:tr>
      <w:tr w14:paraId="379A9A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8" w:type="pct"/>
            <w:tcBorders>
              <w:tl2br w:val="nil"/>
              <w:tr2bl w:val="nil"/>
            </w:tcBorders>
            <w:noWrap/>
            <w:vAlign w:val="center"/>
          </w:tcPr>
          <w:p w14:paraId="6A37D8E4">
            <w:pPr>
              <w:pStyle w:val="41"/>
              <w:rPr>
                <w:color w:val="auto"/>
                <w:highlight w:val="none"/>
              </w:rPr>
            </w:pPr>
            <w:r>
              <w:rPr>
                <w:rFonts w:hint="eastAsia"/>
                <w:color w:val="auto"/>
                <w:highlight w:val="none"/>
              </w:rPr>
              <w:t>8</w:t>
            </w:r>
          </w:p>
        </w:tc>
        <w:tc>
          <w:tcPr>
            <w:tcW w:w="868" w:type="pct"/>
            <w:tcBorders>
              <w:tl2br w:val="nil"/>
              <w:tr2bl w:val="nil"/>
            </w:tcBorders>
            <w:noWrap/>
            <w:vAlign w:val="center"/>
          </w:tcPr>
          <w:p w14:paraId="7B889DA2">
            <w:pPr>
              <w:pStyle w:val="41"/>
              <w:rPr>
                <w:color w:val="auto"/>
                <w:highlight w:val="none"/>
              </w:rPr>
            </w:pPr>
            <w:r>
              <w:rPr>
                <w:rFonts w:hint="eastAsia"/>
                <w:color w:val="auto"/>
                <w:highlight w:val="none"/>
              </w:rPr>
              <w:t>生物质炉窑</w:t>
            </w:r>
          </w:p>
        </w:tc>
        <w:tc>
          <w:tcPr>
            <w:tcW w:w="498" w:type="pct"/>
            <w:tcBorders>
              <w:tl2br w:val="nil"/>
              <w:tr2bl w:val="nil"/>
            </w:tcBorders>
            <w:noWrap/>
            <w:vAlign w:val="center"/>
          </w:tcPr>
          <w:p w14:paraId="431444E4">
            <w:pPr>
              <w:pStyle w:val="41"/>
              <w:rPr>
                <w:color w:val="auto"/>
                <w:highlight w:val="none"/>
              </w:rPr>
            </w:pPr>
            <w:r>
              <w:rPr>
                <w:color w:val="auto"/>
                <w:highlight w:val="none"/>
              </w:rPr>
              <w:t>--</w:t>
            </w:r>
          </w:p>
        </w:tc>
        <w:tc>
          <w:tcPr>
            <w:tcW w:w="564" w:type="pct"/>
            <w:tcBorders>
              <w:tl2br w:val="nil"/>
              <w:tr2bl w:val="nil"/>
            </w:tcBorders>
            <w:noWrap/>
            <w:vAlign w:val="center"/>
          </w:tcPr>
          <w:p w14:paraId="7BA3AE2D">
            <w:pPr>
              <w:pStyle w:val="41"/>
              <w:rPr>
                <w:color w:val="auto"/>
                <w:highlight w:val="none"/>
              </w:rPr>
            </w:pPr>
            <w:r>
              <w:rPr>
                <w:rFonts w:hint="eastAsia"/>
                <w:color w:val="auto"/>
                <w:highlight w:val="none"/>
              </w:rPr>
              <w:t>39</w:t>
            </w:r>
          </w:p>
        </w:tc>
        <w:tc>
          <w:tcPr>
            <w:tcW w:w="528" w:type="pct"/>
            <w:tcBorders>
              <w:tl2br w:val="nil"/>
              <w:tr2bl w:val="nil"/>
            </w:tcBorders>
            <w:noWrap/>
            <w:vAlign w:val="center"/>
          </w:tcPr>
          <w:p w14:paraId="515DDBE6">
            <w:pPr>
              <w:pStyle w:val="41"/>
              <w:rPr>
                <w:color w:val="auto"/>
                <w:highlight w:val="none"/>
              </w:rPr>
            </w:pPr>
            <w:r>
              <w:rPr>
                <w:color w:val="auto"/>
                <w:highlight w:val="none"/>
              </w:rPr>
              <w:t>0</w:t>
            </w:r>
          </w:p>
        </w:tc>
        <w:tc>
          <w:tcPr>
            <w:tcW w:w="564" w:type="pct"/>
            <w:tcBorders>
              <w:tl2br w:val="nil"/>
              <w:tr2bl w:val="nil"/>
            </w:tcBorders>
            <w:noWrap/>
            <w:vAlign w:val="center"/>
          </w:tcPr>
          <w:p w14:paraId="18C9E198">
            <w:pPr>
              <w:pStyle w:val="41"/>
              <w:rPr>
                <w:color w:val="auto"/>
                <w:highlight w:val="none"/>
              </w:rPr>
            </w:pPr>
            <w:r>
              <w:rPr>
                <w:rFonts w:hint="eastAsia"/>
                <w:color w:val="auto"/>
                <w:highlight w:val="none"/>
              </w:rPr>
              <w:t>1.04</w:t>
            </w:r>
            <w:r>
              <w:rPr>
                <w:color w:val="auto"/>
                <w:highlight w:val="none"/>
              </w:rPr>
              <w:t>|0</w:t>
            </w:r>
          </w:p>
        </w:tc>
        <w:tc>
          <w:tcPr>
            <w:tcW w:w="537" w:type="pct"/>
            <w:tcBorders>
              <w:tl2br w:val="nil"/>
              <w:tr2bl w:val="nil"/>
            </w:tcBorders>
            <w:noWrap/>
            <w:vAlign w:val="center"/>
          </w:tcPr>
          <w:p w14:paraId="13E0524C">
            <w:pPr>
              <w:pStyle w:val="41"/>
              <w:rPr>
                <w:color w:val="auto"/>
                <w:highlight w:val="none"/>
              </w:rPr>
            </w:pPr>
            <w:r>
              <w:rPr>
                <w:rFonts w:hint="eastAsia"/>
                <w:color w:val="auto"/>
                <w:highlight w:val="none"/>
              </w:rPr>
              <w:t>3.33</w:t>
            </w:r>
            <w:r>
              <w:rPr>
                <w:color w:val="auto"/>
                <w:highlight w:val="none"/>
              </w:rPr>
              <w:t>|</w:t>
            </w:r>
            <w:r>
              <w:rPr>
                <w:rFonts w:hint="eastAsia"/>
                <w:color w:val="auto"/>
                <w:highlight w:val="none"/>
              </w:rPr>
              <w:t>0</w:t>
            </w:r>
          </w:p>
        </w:tc>
        <w:tc>
          <w:tcPr>
            <w:tcW w:w="599" w:type="pct"/>
            <w:tcBorders>
              <w:tl2br w:val="nil"/>
              <w:tr2bl w:val="nil"/>
            </w:tcBorders>
            <w:noWrap/>
            <w:vAlign w:val="center"/>
          </w:tcPr>
          <w:p w14:paraId="1FC1EB6D">
            <w:pPr>
              <w:pStyle w:val="41"/>
              <w:rPr>
                <w:color w:val="auto"/>
                <w:highlight w:val="none"/>
              </w:rPr>
            </w:pPr>
            <w:r>
              <w:rPr>
                <w:rFonts w:hint="eastAsia"/>
                <w:color w:val="auto"/>
                <w:highlight w:val="none"/>
              </w:rPr>
              <w:t>/</w:t>
            </w:r>
          </w:p>
        </w:tc>
        <w:tc>
          <w:tcPr>
            <w:tcW w:w="520" w:type="pct"/>
            <w:tcBorders>
              <w:tl2br w:val="nil"/>
              <w:tr2bl w:val="nil"/>
            </w:tcBorders>
            <w:noWrap/>
            <w:vAlign w:val="center"/>
          </w:tcPr>
          <w:p w14:paraId="6D7188D1">
            <w:pPr>
              <w:pStyle w:val="41"/>
              <w:rPr>
                <w:color w:val="auto"/>
                <w:highlight w:val="none"/>
              </w:rPr>
            </w:pPr>
            <w:r>
              <w:rPr>
                <w:color w:val="auto"/>
                <w:highlight w:val="none"/>
              </w:rPr>
              <w:t>0.</w:t>
            </w:r>
            <w:r>
              <w:rPr>
                <w:rFonts w:hint="eastAsia"/>
                <w:color w:val="auto"/>
                <w:highlight w:val="none"/>
              </w:rPr>
              <w:t>01</w:t>
            </w:r>
            <w:r>
              <w:rPr>
                <w:color w:val="auto"/>
                <w:highlight w:val="none"/>
              </w:rPr>
              <w:t>|0</w:t>
            </w:r>
          </w:p>
        </w:tc>
      </w:tr>
      <w:tr w14:paraId="3E61F3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8" w:type="pct"/>
            <w:tcBorders>
              <w:tl2br w:val="nil"/>
              <w:tr2bl w:val="nil"/>
            </w:tcBorders>
            <w:noWrap/>
            <w:vAlign w:val="center"/>
          </w:tcPr>
          <w:p w14:paraId="41150D16">
            <w:pPr>
              <w:pStyle w:val="41"/>
              <w:rPr>
                <w:color w:val="auto"/>
                <w:highlight w:val="none"/>
              </w:rPr>
            </w:pPr>
            <w:r>
              <w:rPr>
                <w:rFonts w:hint="eastAsia"/>
                <w:color w:val="auto"/>
                <w:highlight w:val="none"/>
              </w:rPr>
              <w:t>9</w:t>
            </w:r>
          </w:p>
        </w:tc>
        <w:tc>
          <w:tcPr>
            <w:tcW w:w="868" w:type="pct"/>
            <w:tcBorders>
              <w:tl2br w:val="nil"/>
              <w:tr2bl w:val="nil"/>
            </w:tcBorders>
            <w:noWrap/>
            <w:vAlign w:val="center"/>
          </w:tcPr>
          <w:p w14:paraId="5FA3E473">
            <w:pPr>
              <w:pStyle w:val="41"/>
              <w:rPr>
                <w:color w:val="auto"/>
                <w:highlight w:val="none"/>
              </w:rPr>
            </w:pPr>
            <w:r>
              <w:rPr>
                <w:color w:val="auto"/>
                <w:highlight w:val="none"/>
              </w:rPr>
              <w:t>原矿堆场</w:t>
            </w:r>
          </w:p>
        </w:tc>
        <w:tc>
          <w:tcPr>
            <w:tcW w:w="498" w:type="pct"/>
            <w:tcBorders>
              <w:tl2br w:val="nil"/>
              <w:tr2bl w:val="nil"/>
            </w:tcBorders>
            <w:noWrap/>
            <w:vAlign w:val="center"/>
          </w:tcPr>
          <w:p w14:paraId="2D7FF95A">
            <w:pPr>
              <w:pStyle w:val="41"/>
              <w:rPr>
                <w:color w:val="auto"/>
                <w:highlight w:val="none"/>
              </w:rPr>
            </w:pPr>
            <w:r>
              <w:rPr>
                <w:color w:val="auto"/>
                <w:highlight w:val="none"/>
              </w:rPr>
              <w:t>--</w:t>
            </w:r>
          </w:p>
        </w:tc>
        <w:tc>
          <w:tcPr>
            <w:tcW w:w="564" w:type="pct"/>
            <w:tcBorders>
              <w:tl2br w:val="nil"/>
              <w:tr2bl w:val="nil"/>
            </w:tcBorders>
            <w:noWrap/>
            <w:vAlign w:val="center"/>
          </w:tcPr>
          <w:p w14:paraId="218DC8EA">
            <w:pPr>
              <w:pStyle w:val="41"/>
              <w:rPr>
                <w:color w:val="auto"/>
                <w:highlight w:val="none"/>
              </w:rPr>
            </w:pPr>
            <w:r>
              <w:rPr>
                <w:rFonts w:hint="eastAsia"/>
                <w:color w:val="auto"/>
                <w:highlight w:val="none"/>
              </w:rPr>
              <w:t>91</w:t>
            </w:r>
          </w:p>
        </w:tc>
        <w:tc>
          <w:tcPr>
            <w:tcW w:w="528" w:type="pct"/>
            <w:tcBorders>
              <w:tl2br w:val="nil"/>
              <w:tr2bl w:val="nil"/>
            </w:tcBorders>
            <w:noWrap/>
            <w:vAlign w:val="center"/>
          </w:tcPr>
          <w:p w14:paraId="57617CF7">
            <w:pPr>
              <w:pStyle w:val="41"/>
              <w:rPr>
                <w:color w:val="auto"/>
                <w:highlight w:val="none"/>
              </w:rPr>
            </w:pPr>
            <w:r>
              <w:rPr>
                <w:color w:val="auto"/>
                <w:highlight w:val="none"/>
              </w:rPr>
              <w:t>0</w:t>
            </w:r>
          </w:p>
        </w:tc>
        <w:tc>
          <w:tcPr>
            <w:tcW w:w="564" w:type="pct"/>
            <w:tcBorders>
              <w:tl2br w:val="nil"/>
              <w:tr2bl w:val="nil"/>
            </w:tcBorders>
            <w:noWrap/>
            <w:vAlign w:val="center"/>
          </w:tcPr>
          <w:p w14:paraId="52040644">
            <w:pPr>
              <w:pStyle w:val="41"/>
              <w:rPr>
                <w:color w:val="auto"/>
                <w:highlight w:val="none"/>
              </w:rPr>
            </w:pPr>
            <w:r>
              <w:rPr>
                <w:rFonts w:hint="eastAsia"/>
                <w:color w:val="auto"/>
                <w:highlight w:val="none"/>
              </w:rPr>
              <w:t>/</w:t>
            </w:r>
          </w:p>
        </w:tc>
        <w:tc>
          <w:tcPr>
            <w:tcW w:w="537" w:type="pct"/>
            <w:tcBorders>
              <w:tl2br w:val="nil"/>
              <w:tr2bl w:val="nil"/>
            </w:tcBorders>
            <w:noWrap/>
            <w:vAlign w:val="center"/>
          </w:tcPr>
          <w:p w14:paraId="7F71462D">
            <w:pPr>
              <w:pStyle w:val="41"/>
              <w:rPr>
                <w:color w:val="auto"/>
                <w:highlight w:val="none"/>
              </w:rPr>
            </w:pPr>
            <w:r>
              <w:rPr>
                <w:rFonts w:hint="eastAsia"/>
                <w:color w:val="auto"/>
                <w:highlight w:val="none"/>
              </w:rPr>
              <w:t>/</w:t>
            </w:r>
          </w:p>
        </w:tc>
        <w:tc>
          <w:tcPr>
            <w:tcW w:w="599" w:type="pct"/>
            <w:tcBorders>
              <w:tl2br w:val="nil"/>
              <w:tr2bl w:val="nil"/>
            </w:tcBorders>
            <w:noWrap/>
            <w:vAlign w:val="center"/>
          </w:tcPr>
          <w:p w14:paraId="379E26A2">
            <w:pPr>
              <w:pStyle w:val="41"/>
              <w:rPr>
                <w:color w:val="auto"/>
                <w:highlight w:val="none"/>
              </w:rPr>
            </w:pPr>
            <w:r>
              <w:rPr>
                <w:rFonts w:hint="eastAsia"/>
                <w:color w:val="auto"/>
                <w:highlight w:val="none"/>
              </w:rPr>
              <w:t>9.43</w:t>
            </w:r>
            <w:r>
              <w:rPr>
                <w:color w:val="auto"/>
                <w:highlight w:val="none"/>
              </w:rPr>
              <w:t>|0</w:t>
            </w:r>
          </w:p>
        </w:tc>
        <w:tc>
          <w:tcPr>
            <w:tcW w:w="520" w:type="pct"/>
            <w:tcBorders>
              <w:tl2br w:val="nil"/>
              <w:tr2bl w:val="nil"/>
            </w:tcBorders>
            <w:noWrap/>
            <w:vAlign w:val="center"/>
          </w:tcPr>
          <w:p w14:paraId="493CD91C">
            <w:pPr>
              <w:pStyle w:val="41"/>
              <w:rPr>
                <w:color w:val="auto"/>
                <w:highlight w:val="none"/>
              </w:rPr>
            </w:pPr>
            <w:r>
              <w:rPr>
                <w:rFonts w:hint="eastAsia"/>
                <w:color w:val="auto"/>
                <w:highlight w:val="none"/>
              </w:rPr>
              <w:t>/</w:t>
            </w:r>
          </w:p>
        </w:tc>
      </w:tr>
      <w:tr w14:paraId="4FE3EA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8" w:type="pct"/>
            <w:tcBorders>
              <w:tl2br w:val="nil"/>
              <w:tr2bl w:val="nil"/>
            </w:tcBorders>
            <w:noWrap/>
            <w:vAlign w:val="center"/>
          </w:tcPr>
          <w:p w14:paraId="4EBC8256">
            <w:pPr>
              <w:pStyle w:val="41"/>
              <w:rPr>
                <w:color w:val="auto"/>
                <w:highlight w:val="none"/>
              </w:rPr>
            </w:pPr>
            <w:r>
              <w:rPr>
                <w:rFonts w:hint="eastAsia"/>
                <w:color w:val="auto"/>
                <w:highlight w:val="none"/>
              </w:rPr>
              <w:t>10</w:t>
            </w:r>
          </w:p>
        </w:tc>
        <w:tc>
          <w:tcPr>
            <w:tcW w:w="868" w:type="pct"/>
            <w:tcBorders>
              <w:tl2br w:val="nil"/>
              <w:tr2bl w:val="nil"/>
            </w:tcBorders>
            <w:noWrap/>
            <w:vAlign w:val="center"/>
          </w:tcPr>
          <w:p w14:paraId="30E0F2A9">
            <w:pPr>
              <w:pStyle w:val="41"/>
              <w:rPr>
                <w:color w:val="auto"/>
                <w:highlight w:val="none"/>
              </w:rPr>
            </w:pPr>
            <w:r>
              <w:rPr>
                <w:color w:val="auto"/>
                <w:highlight w:val="none"/>
              </w:rPr>
              <w:t>尾矿库</w:t>
            </w:r>
          </w:p>
        </w:tc>
        <w:tc>
          <w:tcPr>
            <w:tcW w:w="498" w:type="pct"/>
            <w:tcBorders>
              <w:tl2br w:val="nil"/>
              <w:tr2bl w:val="nil"/>
            </w:tcBorders>
            <w:noWrap/>
            <w:vAlign w:val="center"/>
          </w:tcPr>
          <w:p w14:paraId="40CA19EE">
            <w:pPr>
              <w:pStyle w:val="41"/>
              <w:rPr>
                <w:color w:val="auto"/>
                <w:highlight w:val="none"/>
              </w:rPr>
            </w:pPr>
            <w:r>
              <w:rPr>
                <w:color w:val="auto"/>
                <w:highlight w:val="none"/>
              </w:rPr>
              <w:t>--</w:t>
            </w:r>
          </w:p>
        </w:tc>
        <w:tc>
          <w:tcPr>
            <w:tcW w:w="564" w:type="pct"/>
            <w:tcBorders>
              <w:tl2br w:val="nil"/>
              <w:tr2bl w:val="nil"/>
            </w:tcBorders>
            <w:noWrap/>
            <w:vAlign w:val="center"/>
          </w:tcPr>
          <w:p w14:paraId="2451A5D1">
            <w:pPr>
              <w:pStyle w:val="41"/>
              <w:rPr>
                <w:color w:val="auto"/>
                <w:highlight w:val="none"/>
              </w:rPr>
            </w:pPr>
            <w:r>
              <w:rPr>
                <w:rFonts w:hint="eastAsia"/>
                <w:color w:val="auto"/>
                <w:highlight w:val="none"/>
              </w:rPr>
              <w:t>875</w:t>
            </w:r>
          </w:p>
        </w:tc>
        <w:tc>
          <w:tcPr>
            <w:tcW w:w="528" w:type="pct"/>
            <w:tcBorders>
              <w:tl2br w:val="nil"/>
              <w:tr2bl w:val="nil"/>
            </w:tcBorders>
            <w:noWrap/>
            <w:vAlign w:val="center"/>
          </w:tcPr>
          <w:p w14:paraId="6B52FB0B">
            <w:pPr>
              <w:pStyle w:val="41"/>
              <w:rPr>
                <w:color w:val="auto"/>
                <w:highlight w:val="none"/>
              </w:rPr>
            </w:pPr>
            <w:r>
              <w:rPr>
                <w:color w:val="auto"/>
                <w:highlight w:val="none"/>
              </w:rPr>
              <w:t>0</w:t>
            </w:r>
          </w:p>
        </w:tc>
        <w:tc>
          <w:tcPr>
            <w:tcW w:w="564" w:type="pct"/>
            <w:tcBorders>
              <w:tl2br w:val="nil"/>
              <w:tr2bl w:val="nil"/>
            </w:tcBorders>
            <w:noWrap/>
            <w:vAlign w:val="center"/>
          </w:tcPr>
          <w:p w14:paraId="6975D712">
            <w:pPr>
              <w:pStyle w:val="41"/>
              <w:rPr>
                <w:color w:val="auto"/>
                <w:highlight w:val="none"/>
              </w:rPr>
            </w:pPr>
            <w:r>
              <w:rPr>
                <w:rFonts w:hint="eastAsia"/>
                <w:color w:val="auto"/>
                <w:highlight w:val="none"/>
              </w:rPr>
              <w:t>/</w:t>
            </w:r>
          </w:p>
        </w:tc>
        <w:tc>
          <w:tcPr>
            <w:tcW w:w="537" w:type="pct"/>
            <w:tcBorders>
              <w:tl2br w:val="nil"/>
              <w:tr2bl w:val="nil"/>
            </w:tcBorders>
            <w:noWrap/>
            <w:vAlign w:val="center"/>
          </w:tcPr>
          <w:p w14:paraId="68C8B3F7">
            <w:pPr>
              <w:pStyle w:val="41"/>
              <w:rPr>
                <w:color w:val="auto"/>
                <w:highlight w:val="none"/>
              </w:rPr>
            </w:pPr>
            <w:r>
              <w:rPr>
                <w:rFonts w:hint="eastAsia"/>
                <w:color w:val="auto"/>
                <w:highlight w:val="none"/>
              </w:rPr>
              <w:t>/</w:t>
            </w:r>
          </w:p>
        </w:tc>
        <w:tc>
          <w:tcPr>
            <w:tcW w:w="599" w:type="pct"/>
            <w:tcBorders>
              <w:tl2br w:val="nil"/>
              <w:tr2bl w:val="nil"/>
            </w:tcBorders>
            <w:noWrap/>
            <w:vAlign w:val="center"/>
          </w:tcPr>
          <w:p w14:paraId="76ACF02E">
            <w:pPr>
              <w:pStyle w:val="41"/>
              <w:rPr>
                <w:color w:val="auto"/>
                <w:highlight w:val="none"/>
              </w:rPr>
            </w:pPr>
            <w:r>
              <w:rPr>
                <w:rFonts w:hint="eastAsia"/>
                <w:color w:val="auto"/>
                <w:highlight w:val="none"/>
              </w:rPr>
              <w:t>2.36</w:t>
            </w:r>
            <w:r>
              <w:rPr>
                <w:color w:val="auto"/>
                <w:highlight w:val="none"/>
              </w:rPr>
              <w:t>|0</w:t>
            </w:r>
          </w:p>
        </w:tc>
        <w:tc>
          <w:tcPr>
            <w:tcW w:w="520" w:type="pct"/>
            <w:tcBorders>
              <w:tl2br w:val="nil"/>
              <w:tr2bl w:val="nil"/>
            </w:tcBorders>
            <w:noWrap/>
            <w:vAlign w:val="center"/>
          </w:tcPr>
          <w:p w14:paraId="638712AA">
            <w:pPr>
              <w:pStyle w:val="41"/>
              <w:rPr>
                <w:color w:val="auto"/>
                <w:highlight w:val="none"/>
              </w:rPr>
            </w:pPr>
            <w:r>
              <w:rPr>
                <w:rFonts w:hint="eastAsia"/>
                <w:color w:val="auto"/>
                <w:highlight w:val="none"/>
              </w:rPr>
              <w:t>/</w:t>
            </w:r>
          </w:p>
        </w:tc>
      </w:tr>
    </w:tbl>
    <w:p w14:paraId="75AD31C0">
      <w:pPr>
        <w:pStyle w:val="3"/>
        <w:ind w:firstLine="480"/>
        <w:rPr>
          <w:color w:val="auto"/>
          <w:highlight w:val="none"/>
        </w:rPr>
      </w:pPr>
      <w:r>
        <w:rPr>
          <w:color w:val="auto"/>
          <w:highlight w:val="none"/>
        </w:rPr>
        <w:t>根据表2.5-3评价工作分级判据，由计算结果可知，对周边大气环境影响主要来自</w:t>
      </w:r>
      <w:r>
        <w:rPr>
          <w:rFonts w:hint="eastAsia"/>
          <w:color w:val="auto"/>
          <w:highlight w:val="none"/>
        </w:rPr>
        <w:t>尾矿库</w:t>
      </w:r>
      <w:r>
        <w:rPr>
          <w:color w:val="auto"/>
          <w:highlight w:val="none"/>
        </w:rPr>
        <w:t>，Pmax为</w:t>
      </w:r>
      <w:r>
        <w:rPr>
          <w:rFonts w:hint="eastAsia"/>
          <w:color w:val="auto"/>
          <w:highlight w:val="none"/>
        </w:rPr>
        <w:t>9.43</w:t>
      </w:r>
      <w:r>
        <w:rPr>
          <w:color w:val="auto"/>
          <w:highlight w:val="none"/>
        </w:rPr>
        <w:t>%，</w:t>
      </w:r>
      <w:r>
        <w:rPr>
          <w:rFonts w:hint="eastAsia"/>
          <w:color w:val="auto"/>
          <w:highlight w:val="none"/>
        </w:rPr>
        <w:t>小</w:t>
      </w:r>
      <w:r>
        <w:rPr>
          <w:color w:val="auto"/>
          <w:highlight w:val="none"/>
        </w:rPr>
        <w:t>于10%，按《环境影响评价技术导则 大气环境》（HJ2.2-2018）规定，确定本次大气环境评价工作等级为</w:t>
      </w:r>
      <w:r>
        <w:rPr>
          <w:rFonts w:hint="eastAsia"/>
          <w:color w:val="auto"/>
          <w:highlight w:val="none"/>
        </w:rPr>
        <w:t>二</w:t>
      </w:r>
      <w:r>
        <w:rPr>
          <w:color w:val="auto"/>
          <w:highlight w:val="none"/>
        </w:rPr>
        <w:t>级。</w:t>
      </w:r>
    </w:p>
    <w:p w14:paraId="105A77FB">
      <w:pPr>
        <w:pStyle w:val="3"/>
        <w:ind w:firstLine="480"/>
        <w:rPr>
          <w:color w:val="auto"/>
          <w:highlight w:val="none"/>
        </w:rPr>
      </w:pPr>
      <w:r>
        <w:rPr>
          <w:color w:val="auto"/>
          <w:highlight w:val="none"/>
        </w:rPr>
        <w:t>（3）大气评价范围</w:t>
      </w:r>
    </w:p>
    <w:p w14:paraId="79B99AF1">
      <w:pPr>
        <w:pStyle w:val="3"/>
        <w:ind w:firstLine="480"/>
        <w:rPr>
          <w:color w:val="auto"/>
          <w:highlight w:val="none"/>
        </w:rPr>
      </w:pPr>
      <w:r>
        <w:rPr>
          <w:color w:val="auto"/>
          <w:highlight w:val="none"/>
        </w:rPr>
        <w:t>本项目大气评价范围为以厂址</w:t>
      </w:r>
      <w:r>
        <w:rPr>
          <w:rFonts w:hint="eastAsia"/>
          <w:color w:val="auto"/>
          <w:highlight w:val="none"/>
        </w:rPr>
        <w:t>和尾矿库</w:t>
      </w:r>
      <w:r>
        <w:rPr>
          <w:color w:val="auto"/>
          <w:highlight w:val="none"/>
        </w:rPr>
        <w:t>为中心，外扩边长5km的矩形区域。</w:t>
      </w:r>
    </w:p>
    <w:p w14:paraId="607A09AF">
      <w:pPr>
        <w:pStyle w:val="42"/>
        <w:rPr>
          <w:rFonts w:hint="default"/>
          <w:color w:val="auto"/>
          <w:highlight w:val="none"/>
        </w:rPr>
      </w:pPr>
      <w:bookmarkStart w:id="189" w:name="_Toc438481348"/>
      <w:r>
        <w:rPr>
          <w:rFonts w:hint="default"/>
          <w:color w:val="auto"/>
          <w:highlight w:val="none"/>
        </w:rPr>
        <w:t>水环境</w:t>
      </w:r>
      <w:bookmarkEnd w:id="189"/>
    </w:p>
    <w:p w14:paraId="44D25B69">
      <w:pPr>
        <w:pStyle w:val="43"/>
        <w:rPr>
          <w:color w:val="auto"/>
          <w:highlight w:val="none"/>
        </w:rPr>
      </w:pPr>
      <w:r>
        <w:rPr>
          <w:color w:val="auto"/>
          <w:highlight w:val="none"/>
        </w:rPr>
        <w:t xml:space="preserve"> 地表水</w:t>
      </w:r>
    </w:p>
    <w:p w14:paraId="5509A701">
      <w:pPr>
        <w:pStyle w:val="3"/>
        <w:ind w:firstLine="480"/>
        <w:rPr>
          <w:color w:val="auto"/>
          <w:highlight w:val="none"/>
        </w:rPr>
      </w:pPr>
      <w:r>
        <w:rPr>
          <w:color w:val="auto"/>
          <w:highlight w:val="none"/>
        </w:rPr>
        <w:t>本项目选矿废水</w:t>
      </w:r>
      <w:r>
        <w:rPr>
          <w:rFonts w:hint="eastAsia"/>
          <w:color w:val="auto"/>
          <w:highlight w:val="none"/>
        </w:rPr>
        <w:t>“</w:t>
      </w:r>
      <w:r>
        <w:rPr>
          <w:color w:val="auto"/>
          <w:highlight w:val="none"/>
        </w:rPr>
        <w:t>闭路循环</w:t>
      </w:r>
      <w:r>
        <w:rPr>
          <w:rFonts w:hint="eastAsia"/>
          <w:color w:val="auto"/>
          <w:highlight w:val="none"/>
        </w:rPr>
        <w:t>”</w:t>
      </w:r>
      <w:r>
        <w:rPr>
          <w:color w:val="auto"/>
          <w:highlight w:val="none"/>
        </w:rPr>
        <w:t>，回用于生产；项目生活污水经污水处理装置处理后，生活污水指标满足</w:t>
      </w:r>
      <w:r>
        <w:rPr>
          <w:rFonts w:hint="eastAsia"/>
          <w:color w:val="auto"/>
          <w:highlight w:val="none"/>
        </w:rPr>
        <w:t>《城市污水再生利用城市杂用水水质》（GB/T 18920-2020）中的城市绿化、道路清扫、消防、建筑施工限值</w:t>
      </w:r>
      <w:r>
        <w:rPr>
          <w:color w:val="auto"/>
          <w:highlight w:val="none"/>
        </w:rPr>
        <w:t>。</w:t>
      </w:r>
    </w:p>
    <w:p w14:paraId="6E58C5B9">
      <w:pPr>
        <w:pStyle w:val="3"/>
        <w:ind w:firstLine="480"/>
        <w:rPr>
          <w:color w:val="auto"/>
          <w:highlight w:val="none"/>
        </w:rPr>
      </w:pPr>
      <w:r>
        <w:rPr>
          <w:color w:val="auto"/>
          <w:highlight w:val="none"/>
        </w:rPr>
        <w:t>根据《环境影响评价技术导则 地表水环境》（HJ2.3-2018）中相关规定，本项目为水污染影响型建设项目，不排放废水，地表水评价等级判定见表2.5-4。</w:t>
      </w:r>
    </w:p>
    <w:p w14:paraId="5EA64DC8">
      <w:pPr>
        <w:pStyle w:val="40"/>
        <w:spacing w:before="24" w:after="24"/>
        <w:rPr>
          <w:color w:val="auto"/>
          <w:highlight w:val="none"/>
        </w:rPr>
      </w:pPr>
      <w:r>
        <w:rPr>
          <w:color w:val="auto"/>
          <w:highlight w:val="none"/>
        </w:rPr>
        <w:t>表2.5-4    水污染影响型建设项目评价等级判定</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1788"/>
        <w:gridCol w:w="5733"/>
      </w:tblGrid>
      <w:tr w14:paraId="6E83D0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1" w:type="dxa"/>
            <w:vMerge w:val="restart"/>
            <w:tcBorders>
              <w:tl2br w:val="nil"/>
              <w:tr2bl w:val="nil"/>
            </w:tcBorders>
            <w:vAlign w:val="center"/>
          </w:tcPr>
          <w:p w14:paraId="2D02CA00">
            <w:pPr>
              <w:pStyle w:val="41"/>
              <w:rPr>
                <w:color w:val="auto"/>
                <w:highlight w:val="none"/>
              </w:rPr>
            </w:pPr>
            <w:r>
              <w:rPr>
                <w:color w:val="auto"/>
                <w:highlight w:val="none"/>
              </w:rPr>
              <w:t>评价等级</w:t>
            </w:r>
          </w:p>
        </w:tc>
        <w:tc>
          <w:tcPr>
            <w:tcW w:w="7521" w:type="dxa"/>
            <w:gridSpan w:val="2"/>
            <w:tcBorders>
              <w:tl2br w:val="nil"/>
              <w:tr2bl w:val="nil"/>
            </w:tcBorders>
            <w:vAlign w:val="center"/>
          </w:tcPr>
          <w:p w14:paraId="5F0C1B65">
            <w:pPr>
              <w:pStyle w:val="41"/>
              <w:rPr>
                <w:color w:val="auto"/>
                <w:highlight w:val="none"/>
              </w:rPr>
            </w:pPr>
            <w:r>
              <w:rPr>
                <w:color w:val="auto"/>
                <w:highlight w:val="none"/>
              </w:rPr>
              <w:t>判定依据</w:t>
            </w:r>
          </w:p>
        </w:tc>
      </w:tr>
      <w:tr w14:paraId="25CC14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1" w:type="dxa"/>
            <w:vMerge w:val="continue"/>
            <w:tcBorders>
              <w:tl2br w:val="nil"/>
              <w:tr2bl w:val="nil"/>
            </w:tcBorders>
            <w:vAlign w:val="center"/>
          </w:tcPr>
          <w:p w14:paraId="51ED2906">
            <w:pPr>
              <w:pStyle w:val="41"/>
              <w:rPr>
                <w:color w:val="auto"/>
                <w:highlight w:val="none"/>
              </w:rPr>
            </w:pPr>
          </w:p>
        </w:tc>
        <w:tc>
          <w:tcPr>
            <w:tcW w:w="1788" w:type="dxa"/>
            <w:tcBorders>
              <w:tl2br w:val="nil"/>
              <w:tr2bl w:val="nil"/>
            </w:tcBorders>
            <w:vAlign w:val="center"/>
          </w:tcPr>
          <w:p w14:paraId="124BB701">
            <w:pPr>
              <w:pStyle w:val="41"/>
              <w:rPr>
                <w:color w:val="auto"/>
                <w:highlight w:val="none"/>
              </w:rPr>
            </w:pPr>
            <w:r>
              <w:rPr>
                <w:color w:val="auto"/>
                <w:highlight w:val="none"/>
              </w:rPr>
              <w:t>排放方式</w:t>
            </w:r>
          </w:p>
        </w:tc>
        <w:tc>
          <w:tcPr>
            <w:tcW w:w="5733" w:type="dxa"/>
            <w:tcBorders>
              <w:tl2br w:val="nil"/>
              <w:tr2bl w:val="nil"/>
            </w:tcBorders>
            <w:vAlign w:val="center"/>
          </w:tcPr>
          <w:p w14:paraId="7DB86372">
            <w:pPr>
              <w:pStyle w:val="41"/>
              <w:rPr>
                <w:color w:val="auto"/>
                <w:highlight w:val="none"/>
              </w:rPr>
            </w:pPr>
            <w:r>
              <w:rPr>
                <w:color w:val="auto"/>
                <w:highlight w:val="none"/>
              </w:rPr>
              <w:t>废水排放量（m</w:t>
            </w:r>
            <w:r>
              <w:rPr>
                <w:color w:val="auto"/>
                <w:highlight w:val="none"/>
                <w:vertAlign w:val="superscript"/>
              </w:rPr>
              <w:t>3</w:t>
            </w:r>
            <w:r>
              <w:rPr>
                <w:color w:val="auto"/>
                <w:highlight w:val="none"/>
              </w:rPr>
              <w:t>/d）；水污染物当量数W/（无量纲）</w:t>
            </w:r>
          </w:p>
        </w:tc>
      </w:tr>
      <w:tr w14:paraId="09A3AB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1" w:type="dxa"/>
            <w:tcBorders>
              <w:tl2br w:val="nil"/>
              <w:tr2bl w:val="nil"/>
            </w:tcBorders>
            <w:vAlign w:val="center"/>
          </w:tcPr>
          <w:p w14:paraId="213D8D70">
            <w:pPr>
              <w:pStyle w:val="41"/>
              <w:rPr>
                <w:color w:val="auto"/>
                <w:highlight w:val="none"/>
              </w:rPr>
            </w:pPr>
            <w:r>
              <w:rPr>
                <w:color w:val="auto"/>
                <w:highlight w:val="none"/>
              </w:rPr>
              <w:t>一级</w:t>
            </w:r>
          </w:p>
        </w:tc>
        <w:tc>
          <w:tcPr>
            <w:tcW w:w="1788" w:type="dxa"/>
            <w:tcBorders>
              <w:tl2br w:val="nil"/>
              <w:tr2bl w:val="nil"/>
            </w:tcBorders>
            <w:vAlign w:val="center"/>
          </w:tcPr>
          <w:p w14:paraId="5167D335">
            <w:pPr>
              <w:pStyle w:val="41"/>
              <w:rPr>
                <w:color w:val="auto"/>
                <w:highlight w:val="none"/>
              </w:rPr>
            </w:pPr>
            <w:r>
              <w:rPr>
                <w:color w:val="auto"/>
                <w:highlight w:val="none"/>
              </w:rPr>
              <w:t>直接排放</w:t>
            </w:r>
          </w:p>
        </w:tc>
        <w:tc>
          <w:tcPr>
            <w:tcW w:w="5733" w:type="dxa"/>
            <w:tcBorders>
              <w:tl2br w:val="nil"/>
              <w:tr2bl w:val="nil"/>
            </w:tcBorders>
            <w:vAlign w:val="center"/>
          </w:tcPr>
          <w:p w14:paraId="171E8A13">
            <w:pPr>
              <w:pStyle w:val="41"/>
              <w:rPr>
                <w:color w:val="auto"/>
                <w:highlight w:val="none"/>
              </w:rPr>
            </w:pPr>
            <w:r>
              <w:rPr>
                <w:color w:val="auto"/>
                <w:highlight w:val="none"/>
              </w:rPr>
              <w:t>Q≥20000或W≥600000</w:t>
            </w:r>
          </w:p>
        </w:tc>
      </w:tr>
      <w:tr w14:paraId="4478D7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1" w:type="dxa"/>
            <w:tcBorders>
              <w:tl2br w:val="nil"/>
              <w:tr2bl w:val="nil"/>
            </w:tcBorders>
            <w:vAlign w:val="center"/>
          </w:tcPr>
          <w:p w14:paraId="66E436BA">
            <w:pPr>
              <w:pStyle w:val="41"/>
              <w:rPr>
                <w:color w:val="auto"/>
                <w:highlight w:val="none"/>
              </w:rPr>
            </w:pPr>
            <w:r>
              <w:rPr>
                <w:color w:val="auto"/>
                <w:highlight w:val="none"/>
              </w:rPr>
              <w:t>二级</w:t>
            </w:r>
          </w:p>
        </w:tc>
        <w:tc>
          <w:tcPr>
            <w:tcW w:w="1788" w:type="dxa"/>
            <w:tcBorders>
              <w:tl2br w:val="nil"/>
              <w:tr2bl w:val="nil"/>
            </w:tcBorders>
            <w:vAlign w:val="center"/>
          </w:tcPr>
          <w:p w14:paraId="5C1476F4">
            <w:pPr>
              <w:pStyle w:val="41"/>
              <w:rPr>
                <w:color w:val="auto"/>
                <w:highlight w:val="none"/>
              </w:rPr>
            </w:pPr>
            <w:r>
              <w:rPr>
                <w:color w:val="auto"/>
                <w:highlight w:val="none"/>
              </w:rPr>
              <w:t>直接排放</w:t>
            </w:r>
          </w:p>
        </w:tc>
        <w:tc>
          <w:tcPr>
            <w:tcW w:w="5733" w:type="dxa"/>
            <w:tcBorders>
              <w:tl2br w:val="nil"/>
              <w:tr2bl w:val="nil"/>
            </w:tcBorders>
            <w:vAlign w:val="center"/>
          </w:tcPr>
          <w:p w14:paraId="1824525F">
            <w:pPr>
              <w:pStyle w:val="41"/>
              <w:rPr>
                <w:color w:val="auto"/>
                <w:highlight w:val="none"/>
              </w:rPr>
            </w:pPr>
            <w:r>
              <w:rPr>
                <w:color w:val="auto"/>
                <w:highlight w:val="none"/>
              </w:rPr>
              <w:t>其他</w:t>
            </w:r>
          </w:p>
        </w:tc>
      </w:tr>
      <w:tr w14:paraId="2F81E2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1" w:type="dxa"/>
            <w:tcBorders>
              <w:tl2br w:val="nil"/>
              <w:tr2bl w:val="nil"/>
            </w:tcBorders>
            <w:vAlign w:val="center"/>
          </w:tcPr>
          <w:p w14:paraId="6AE7DE03">
            <w:pPr>
              <w:pStyle w:val="41"/>
              <w:rPr>
                <w:color w:val="auto"/>
                <w:highlight w:val="none"/>
              </w:rPr>
            </w:pPr>
            <w:r>
              <w:rPr>
                <w:color w:val="auto"/>
                <w:highlight w:val="none"/>
              </w:rPr>
              <w:t>三级A</w:t>
            </w:r>
          </w:p>
        </w:tc>
        <w:tc>
          <w:tcPr>
            <w:tcW w:w="1788" w:type="dxa"/>
            <w:tcBorders>
              <w:tl2br w:val="nil"/>
              <w:tr2bl w:val="nil"/>
            </w:tcBorders>
            <w:vAlign w:val="center"/>
          </w:tcPr>
          <w:p w14:paraId="5C3D18C4">
            <w:pPr>
              <w:pStyle w:val="41"/>
              <w:rPr>
                <w:color w:val="auto"/>
                <w:highlight w:val="none"/>
              </w:rPr>
            </w:pPr>
            <w:r>
              <w:rPr>
                <w:color w:val="auto"/>
                <w:highlight w:val="none"/>
              </w:rPr>
              <w:t>直接排放</w:t>
            </w:r>
          </w:p>
        </w:tc>
        <w:tc>
          <w:tcPr>
            <w:tcW w:w="5733" w:type="dxa"/>
            <w:tcBorders>
              <w:tl2br w:val="nil"/>
              <w:tr2bl w:val="nil"/>
            </w:tcBorders>
            <w:vAlign w:val="center"/>
          </w:tcPr>
          <w:p w14:paraId="2EEC04D3">
            <w:pPr>
              <w:pStyle w:val="41"/>
              <w:rPr>
                <w:color w:val="auto"/>
                <w:highlight w:val="none"/>
              </w:rPr>
            </w:pPr>
            <w:r>
              <w:rPr>
                <w:color w:val="auto"/>
                <w:highlight w:val="none"/>
              </w:rPr>
              <w:t>Q&lt;200或W&lt;6000</w:t>
            </w:r>
          </w:p>
        </w:tc>
      </w:tr>
      <w:tr w14:paraId="5CBD2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1" w:type="dxa"/>
            <w:tcBorders>
              <w:tl2br w:val="nil"/>
              <w:tr2bl w:val="nil"/>
            </w:tcBorders>
            <w:vAlign w:val="center"/>
          </w:tcPr>
          <w:p w14:paraId="24DC20A6">
            <w:pPr>
              <w:pStyle w:val="41"/>
              <w:rPr>
                <w:color w:val="auto"/>
                <w:highlight w:val="none"/>
              </w:rPr>
            </w:pPr>
            <w:r>
              <w:rPr>
                <w:color w:val="auto"/>
                <w:highlight w:val="none"/>
              </w:rPr>
              <w:t>三级B</w:t>
            </w:r>
          </w:p>
        </w:tc>
        <w:tc>
          <w:tcPr>
            <w:tcW w:w="1788" w:type="dxa"/>
            <w:tcBorders>
              <w:tl2br w:val="nil"/>
              <w:tr2bl w:val="nil"/>
            </w:tcBorders>
            <w:vAlign w:val="center"/>
          </w:tcPr>
          <w:p w14:paraId="2BDD3E59">
            <w:pPr>
              <w:pStyle w:val="41"/>
              <w:rPr>
                <w:color w:val="auto"/>
                <w:highlight w:val="none"/>
              </w:rPr>
            </w:pPr>
            <w:r>
              <w:rPr>
                <w:color w:val="auto"/>
                <w:highlight w:val="none"/>
              </w:rPr>
              <w:t>间接排放</w:t>
            </w:r>
          </w:p>
        </w:tc>
        <w:tc>
          <w:tcPr>
            <w:tcW w:w="5733" w:type="dxa"/>
            <w:tcBorders>
              <w:tl2br w:val="nil"/>
              <w:tr2bl w:val="nil"/>
            </w:tcBorders>
            <w:vAlign w:val="center"/>
          </w:tcPr>
          <w:p w14:paraId="61AD9F17">
            <w:pPr>
              <w:pStyle w:val="41"/>
              <w:rPr>
                <w:color w:val="auto"/>
                <w:highlight w:val="none"/>
              </w:rPr>
            </w:pPr>
            <w:r>
              <w:rPr>
                <w:color w:val="auto"/>
                <w:highlight w:val="none"/>
              </w:rPr>
              <w:t>/</w:t>
            </w:r>
          </w:p>
        </w:tc>
      </w:tr>
      <w:tr w14:paraId="3357AC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82" w:type="dxa"/>
            <w:gridSpan w:val="3"/>
            <w:tcBorders>
              <w:tl2br w:val="nil"/>
              <w:tr2bl w:val="nil"/>
            </w:tcBorders>
          </w:tcPr>
          <w:p w14:paraId="60D3AB18">
            <w:pPr>
              <w:pStyle w:val="41"/>
              <w:rPr>
                <w:color w:val="auto"/>
                <w:highlight w:val="none"/>
              </w:rPr>
            </w:pPr>
            <w:r>
              <w:rPr>
                <w:color w:val="auto"/>
                <w:highlight w:val="none"/>
              </w:rPr>
              <w:t>注：建设项目生产工艺中有废水产生，但作为回水利用，不排放到外环境的，按三级B评价</w:t>
            </w:r>
          </w:p>
        </w:tc>
      </w:tr>
    </w:tbl>
    <w:p w14:paraId="456E9EF8">
      <w:pPr>
        <w:pStyle w:val="3"/>
        <w:ind w:firstLine="480"/>
        <w:rPr>
          <w:color w:val="auto"/>
          <w:highlight w:val="none"/>
        </w:rPr>
      </w:pPr>
      <w:r>
        <w:rPr>
          <w:color w:val="auto"/>
          <w:highlight w:val="none"/>
        </w:rPr>
        <w:t>项目无直接排放到外环境中的废水，根据《环境影响评价技术导则 地表水环境》（HJ2.3-2018）中5.2.2.2 规定本项目地表水评价等级为三级B，进行污水处理工艺及达标废水综合利用方案的可行性分析。</w:t>
      </w:r>
    </w:p>
    <w:p w14:paraId="3FD56C8E">
      <w:pPr>
        <w:pStyle w:val="43"/>
        <w:rPr>
          <w:color w:val="auto"/>
          <w:highlight w:val="none"/>
        </w:rPr>
      </w:pPr>
      <w:r>
        <w:rPr>
          <w:color w:val="auto"/>
          <w:highlight w:val="none"/>
        </w:rPr>
        <w:t>地下水</w:t>
      </w:r>
    </w:p>
    <w:p w14:paraId="79B262F7">
      <w:pPr>
        <w:pStyle w:val="3"/>
        <w:ind w:firstLine="480"/>
        <w:rPr>
          <w:color w:val="auto"/>
          <w:highlight w:val="none"/>
        </w:rPr>
      </w:pPr>
      <w:r>
        <w:rPr>
          <w:color w:val="auto"/>
          <w:highlight w:val="none"/>
        </w:rPr>
        <w:t>本项目建设内容包括选矿厂、尾矿库，根据《环境影响评价技术导则</w:t>
      </w:r>
      <w:r>
        <w:rPr>
          <w:rFonts w:hint="eastAsia"/>
          <w:color w:val="auto"/>
          <w:highlight w:val="none"/>
          <w:lang w:eastAsia="zh-CN"/>
        </w:rPr>
        <w:t>－</w:t>
      </w:r>
      <w:r>
        <w:rPr>
          <w:color w:val="auto"/>
          <w:highlight w:val="none"/>
        </w:rPr>
        <w:t>地下水环境》（HJ610-2016）中附录A，尾矿库为I类项目，选矿厂为Ⅱ类项目。由于项目场地不位于集中式饮用水水源（包括已建成的在用、备用、应急水源地，在建和规划的饮用水水源）准保护区、除集中式饮用水水源以外的国家或地方政府设定的与地下水环境相关的其他保护区内，不属于地下水环境敏感区，依据《环境影响评价技术导则</w:t>
      </w:r>
      <w:r>
        <w:rPr>
          <w:rFonts w:hint="eastAsia"/>
          <w:color w:val="auto"/>
          <w:highlight w:val="none"/>
          <w:lang w:eastAsia="zh-CN"/>
        </w:rPr>
        <w:t>－</w:t>
      </w:r>
      <w:r>
        <w:rPr>
          <w:color w:val="auto"/>
          <w:highlight w:val="none"/>
        </w:rPr>
        <w:t>地下水环境》（HJ610-2016）中的地下水环境敏感程度分级表及建设项目评价工作等级分级表（表2.5-5、表2.5-6），</w:t>
      </w:r>
      <w:r>
        <w:rPr>
          <w:rFonts w:hint="eastAsia"/>
          <w:color w:val="auto"/>
          <w:highlight w:val="none"/>
          <w:lang w:val="en-US" w:eastAsia="zh-CN"/>
        </w:rPr>
        <w:t>选矿厂地下水评价等级为三级，尾矿库地下水评价等级为二级</w:t>
      </w:r>
      <w:r>
        <w:rPr>
          <w:color w:val="auto"/>
          <w:highlight w:val="none"/>
        </w:rPr>
        <w:t>。</w:t>
      </w:r>
    </w:p>
    <w:p w14:paraId="4B8BA6B3">
      <w:pPr>
        <w:pStyle w:val="40"/>
        <w:spacing w:before="24" w:after="24"/>
        <w:rPr>
          <w:color w:val="auto"/>
          <w:highlight w:val="none"/>
        </w:rPr>
      </w:pPr>
      <w:r>
        <w:rPr>
          <w:color w:val="auto"/>
          <w:highlight w:val="none"/>
          <w:lang w:val="zh-CN"/>
        </w:rPr>
        <w:t>表2.</w:t>
      </w:r>
      <w:r>
        <w:rPr>
          <w:color w:val="auto"/>
          <w:highlight w:val="none"/>
        </w:rPr>
        <w:t>5-5</w:t>
      </w:r>
      <w:r>
        <w:rPr>
          <w:color w:val="auto"/>
          <w:highlight w:val="none"/>
          <w:lang w:val="zh-CN"/>
        </w:rPr>
        <w:t xml:space="preserve"> </w:t>
      </w:r>
      <w:r>
        <w:rPr>
          <w:color w:val="auto"/>
          <w:highlight w:val="none"/>
        </w:rPr>
        <w:t xml:space="preserve">  </w:t>
      </w:r>
      <w:r>
        <w:rPr>
          <w:color w:val="auto"/>
          <w:highlight w:val="none"/>
          <w:lang w:val="zh-CN"/>
        </w:rPr>
        <w:t xml:space="preserve"> 地下水环境敏感程度分级</w:t>
      </w:r>
    </w:p>
    <w:tbl>
      <w:tblPr>
        <w:tblStyle w:val="25"/>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5"/>
        <w:gridCol w:w="7683"/>
      </w:tblGrid>
      <w:tr w14:paraId="4527B0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485" w:type="pct"/>
            <w:tcBorders>
              <w:tl2br w:val="nil"/>
              <w:tr2bl w:val="nil"/>
            </w:tcBorders>
            <w:vAlign w:val="center"/>
          </w:tcPr>
          <w:p w14:paraId="4786FC5D">
            <w:pPr>
              <w:pStyle w:val="41"/>
              <w:rPr>
                <w:color w:val="auto"/>
                <w:highlight w:val="none"/>
              </w:rPr>
            </w:pPr>
            <w:r>
              <w:rPr>
                <w:color w:val="auto"/>
                <w:highlight w:val="none"/>
              </w:rPr>
              <w:t>分级</w:t>
            </w:r>
          </w:p>
        </w:tc>
        <w:tc>
          <w:tcPr>
            <w:tcW w:w="4514" w:type="pct"/>
            <w:tcBorders>
              <w:tl2br w:val="nil"/>
              <w:tr2bl w:val="nil"/>
            </w:tcBorders>
            <w:vAlign w:val="center"/>
          </w:tcPr>
          <w:p w14:paraId="208C65BC">
            <w:pPr>
              <w:pStyle w:val="41"/>
              <w:rPr>
                <w:color w:val="auto"/>
                <w:highlight w:val="none"/>
              </w:rPr>
            </w:pPr>
            <w:r>
              <w:rPr>
                <w:color w:val="auto"/>
                <w:highlight w:val="none"/>
              </w:rPr>
              <w:t>项目场地的地下水环境敏感特征</w:t>
            </w:r>
          </w:p>
        </w:tc>
      </w:tr>
      <w:tr w14:paraId="3E6E76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99" w:hRule="atLeast"/>
          <w:jc w:val="center"/>
        </w:trPr>
        <w:tc>
          <w:tcPr>
            <w:tcW w:w="485" w:type="pct"/>
            <w:tcBorders>
              <w:tl2br w:val="nil"/>
              <w:tr2bl w:val="nil"/>
            </w:tcBorders>
            <w:vAlign w:val="center"/>
          </w:tcPr>
          <w:p w14:paraId="1EBDD5FE">
            <w:pPr>
              <w:pStyle w:val="41"/>
              <w:rPr>
                <w:color w:val="auto"/>
                <w:highlight w:val="none"/>
              </w:rPr>
            </w:pPr>
            <w:r>
              <w:rPr>
                <w:color w:val="auto"/>
                <w:highlight w:val="none"/>
              </w:rPr>
              <w:t>敏感</w:t>
            </w:r>
          </w:p>
        </w:tc>
        <w:tc>
          <w:tcPr>
            <w:tcW w:w="4514" w:type="pct"/>
            <w:tcBorders>
              <w:tl2br w:val="nil"/>
              <w:tr2bl w:val="nil"/>
            </w:tcBorders>
            <w:vAlign w:val="center"/>
          </w:tcPr>
          <w:p w14:paraId="73C74351">
            <w:pPr>
              <w:pStyle w:val="41"/>
              <w:rPr>
                <w:color w:val="auto"/>
                <w:highlight w:val="none"/>
              </w:rPr>
            </w:pPr>
            <w:r>
              <w:rPr>
                <w:color w:val="auto"/>
                <w:highlight w:val="none"/>
              </w:rPr>
              <w:t>集中式饮用水水源（包括已建成的在用、备用、应急水源地，在建和规划的饮用水水源）准保护区；除集中式饮用水水源以外的国家或地方政府设定的与地下水环境</w:t>
            </w:r>
            <w:r>
              <w:rPr>
                <w:rFonts w:hint="eastAsia"/>
                <w:color w:val="auto"/>
                <w:highlight w:val="none"/>
                <w:lang w:eastAsia="zh-CN"/>
              </w:rPr>
              <w:t>相关的其他</w:t>
            </w:r>
            <w:r>
              <w:rPr>
                <w:color w:val="auto"/>
                <w:highlight w:val="none"/>
              </w:rPr>
              <w:t>保护区，如热水、矿泉水、温泉等特殊地下水资源保护区。</w:t>
            </w:r>
          </w:p>
        </w:tc>
      </w:tr>
      <w:tr w14:paraId="2A96A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84" w:hRule="atLeast"/>
          <w:jc w:val="center"/>
        </w:trPr>
        <w:tc>
          <w:tcPr>
            <w:tcW w:w="485" w:type="pct"/>
            <w:tcBorders>
              <w:tl2br w:val="nil"/>
              <w:tr2bl w:val="nil"/>
            </w:tcBorders>
            <w:vAlign w:val="center"/>
          </w:tcPr>
          <w:p w14:paraId="2ECAEB2A">
            <w:pPr>
              <w:pStyle w:val="41"/>
              <w:rPr>
                <w:color w:val="auto"/>
                <w:highlight w:val="none"/>
              </w:rPr>
            </w:pPr>
            <w:r>
              <w:rPr>
                <w:color w:val="auto"/>
                <w:highlight w:val="none"/>
              </w:rPr>
              <w:t>较敏感</w:t>
            </w:r>
          </w:p>
        </w:tc>
        <w:tc>
          <w:tcPr>
            <w:tcW w:w="4514" w:type="pct"/>
            <w:tcBorders>
              <w:tl2br w:val="nil"/>
              <w:tr2bl w:val="nil"/>
            </w:tcBorders>
            <w:vAlign w:val="center"/>
          </w:tcPr>
          <w:p w14:paraId="39AC85D2">
            <w:pPr>
              <w:pStyle w:val="41"/>
              <w:rPr>
                <w:color w:val="auto"/>
                <w:highlight w:val="none"/>
              </w:rPr>
            </w:pPr>
            <w:r>
              <w:rPr>
                <w:color w:val="auto"/>
                <w:highlight w:val="none"/>
              </w:rPr>
              <w:t>集中式饮用水水源（包括已建成的在用、备用、应急水源，在建和规划的饮用水水源）准保护区以外的补给径流区；未划定准保护区的集中式饮用水水源，其保护区以外的补给径流区；分散式饮用水水源地；特殊地下水资源（矿泉水、温泉等）保护区以外的分布区等</w:t>
            </w:r>
            <w:r>
              <w:rPr>
                <w:rFonts w:hint="eastAsia"/>
                <w:color w:val="auto"/>
                <w:highlight w:val="none"/>
                <w:lang w:eastAsia="zh-CN"/>
              </w:rPr>
              <w:t>其他未</w:t>
            </w:r>
            <w:r>
              <w:rPr>
                <w:color w:val="auto"/>
                <w:highlight w:val="none"/>
              </w:rPr>
              <w:t>列入上述敏感分级的环境敏感区。</w:t>
            </w:r>
          </w:p>
        </w:tc>
      </w:tr>
      <w:tr w14:paraId="1F658F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485" w:type="pct"/>
            <w:tcBorders>
              <w:tl2br w:val="nil"/>
              <w:tr2bl w:val="nil"/>
            </w:tcBorders>
            <w:vAlign w:val="center"/>
          </w:tcPr>
          <w:p w14:paraId="6FC93CFC">
            <w:pPr>
              <w:pStyle w:val="41"/>
              <w:rPr>
                <w:color w:val="auto"/>
                <w:highlight w:val="none"/>
              </w:rPr>
            </w:pPr>
            <w:r>
              <w:rPr>
                <w:color w:val="auto"/>
                <w:highlight w:val="none"/>
              </w:rPr>
              <w:t>不敏感</w:t>
            </w:r>
          </w:p>
        </w:tc>
        <w:tc>
          <w:tcPr>
            <w:tcW w:w="4514" w:type="pct"/>
            <w:tcBorders>
              <w:tl2br w:val="nil"/>
              <w:tr2bl w:val="nil"/>
            </w:tcBorders>
            <w:vAlign w:val="center"/>
          </w:tcPr>
          <w:p w14:paraId="16358CC1">
            <w:pPr>
              <w:pStyle w:val="41"/>
              <w:rPr>
                <w:color w:val="auto"/>
                <w:highlight w:val="none"/>
              </w:rPr>
            </w:pPr>
            <w:r>
              <w:rPr>
                <w:color w:val="auto"/>
                <w:highlight w:val="none"/>
              </w:rPr>
              <w:t>上述地区之外的其它地区。</w:t>
            </w:r>
          </w:p>
        </w:tc>
      </w:tr>
      <w:tr w14:paraId="0320E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00" w:type="pct"/>
            <w:gridSpan w:val="2"/>
            <w:tcBorders>
              <w:tl2br w:val="nil"/>
              <w:tr2bl w:val="nil"/>
            </w:tcBorders>
            <w:vAlign w:val="center"/>
          </w:tcPr>
          <w:p w14:paraId="16457EDF">
            <w:pPr>
              <w:pStyle w:val="41"/>
              <w:rPr>
                <w:color w:val="auto"/>
                <w:highlight w:val="none"/>
              </w:rPr>
            </w:pPr>
            <w:r>
              <w:rPr>
                <w:color w:val="auto"/>
                <w:highlight w:val="none"/>
              </w:rPr>
              <w:t>注：“环境敏感区”是指《建设项目环境影响评价分类管理名录》中所界定的涉及地下水的环境敏感区。</w:t>
            </w:r>
          </w:p>
        </w:tc>
      </w:tr>
    </w:tbl>
    <w:p w14:paraId="210F93E5">
      <w:pPr>
        <w:pStyle w:val="40"/>
        <w:spacing w:before="24" w:after="24"/>
        <w:rPr>
          <w:color w:val="auto"/>
          <w:highlight w:val="none"/>
        </w:rPr>
      </w:pPr>
      <w:r>
        <w:rPr>
          <w:color w:val="auto"/>
          <w:highlight w:val="none"/>
          <w:lang w:val="zh-CN"/>
        </w:rPr>
        <w:t>表2.</w:t>
      </w:r>
      <w:r>
        <w:rPr>
          <w:color w:val="auto"/>
          <w:highlight w:val="none"/>
        </w:rPr>
        <w:t xml:space="preserve">5-6    </w:t>
      </w:r>
      <w:r>
        <w:rPr>
          <w:color w:val="auto"/>
          <w:highlight w:val="none"/>
          <w:lang w:val="zh-CN"/>
        </w:rPr>
        <w:t>评价区地下水环境影响评价工作等级划分</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783"/>
        <w:gridCol w:w="1908"/>
        <w:gridCol w:w="1908"/>
        <w:gridCol w:w="1908"/>
      </w:tblGrid>
      <w:tr w14:paraId="6412FB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1635" w:type="pct"/>
            <w:tcBorders>
              <w:tl2br w:val="nil"/>
              <w:tr2bl w:val="nil"/>
            </w:tcBorders>
          </w:tcPr>
          <w:p w14:paraId="6DA96CDE">
            <w:pPr>
              <w:pStyle w:val="41"/>
              <w:rPr>
                <w:color w:val="auto"/>
                <w:highlight w:val="none"/>
              </w:rPr>
            </w:pPr>
            <w:r>
              <w:rPr>
                <w:color w:val="auto"/>
                <w:highlight w:val="none"/>
              </w:rPr>
              <w:t>项目类别</w:t>
            </w:r>
          </w:p>
          <w:p w14:paraId="17C265BB">
            <w:pPr>
              <w:pStyle w:val="41"/>
              <w:rPr>
                <w:color w:val="auto"/>
                <w:highlight w:val="none"/>
              </w:rPr>
            </w:pPr>
            <w:r>
              <w:rPr>
                <w:color w:val="auto"/>
                <w:highlight w:val="none"/>
              </w:rPr>
              <w:t>环境敏感程度</w:t>
            </w:r>
          </w:p>
        </w:tc>
        <w:tc>
          <w:tcPr>
            <w:tcW w:w="1121" w:type="pct"/>
            <w:tcBorders>
              <w:tl2br w:val="nil"/>
              <w:tr2bl w:val="nil"/>
            </w:tcBorders>
            <w:vAlign w:val="center"/>
          </w:tcPr>
          <w:p w14:paraId="17C56BC3">
            <w:pPr>
              <w:pStyle w:val="41"/>
              <w:rPr>
                <w:color w:val="auto"/>
                <w:highlight w:val="none"/>
              </w:rPr>
            </w:pPr>
            <w:r>
              <w:rPr>
                <w:color w:val="auto"/>
                <w:highlight w:val="none"/>
              </w:rPr>
              <w:t>I类项目</w:t>
            </w:r>
          </w:p>
        </w:tc>
        <w:tc>
          <w:tcPr>
            <w:tcW w:w="1121" w:type="pct"/>
            <w:tcBorders>
              <w:tl2br w:val="nil"/>
              <w:tr2bl w:val="nil"/>
            </w:tcBorders>
            <w:vAlign w:val="center"/>
          </w:tcPr>
          <w:p w14:paraId="0BC3CD7E">
            <w:pPr>
              <w:pStyle w:val="41"/>
              <w:rPr>
                <w:color w:val="auto"/>
                <w:highlight w:val="none"/>
              </w:rPr>
            </w:pPr>
            <w:r>
              <w:rPr>
                <w:color w:val="auto"/>
                <w:highlight w:val="none"/>
              </w:rPr>
              <w:t>Ⅱ类项目</w:t>
            </w:r>
          </w:p>
        </w:tc>
        <w:tc>
          <w:tcPr>
            <w:tcW w:w="1121" w:type="pct"/>
            <w:tcBorders>
              <w:tl2br w:val="nil"/>
              <w:tr2bl w:val="nil"/>
            </w:tcBorders>
            <w:vAlign w:val="center"/>
          </w:tcPr>
          <w:p w14:paraId="71AF1058">
            <w:pPr>
              <w:pStyle w:val="41"/>
              <w:rPr>
                <w:color w:val="auto"/>
                <w:highlight w:val="none"/>
              </w:rPr>
            </w:pPr>
            <w:r>
              <w:rPr>
                <w:rFonts w:hint="eastAsia"/>
                <w:color w:val="auto"/>
                <w:highlight w:val="none"/>
                <w:lang w:eastAsia="zh-CN"/>
              </w:rPr>
              <w:t>Ⅲ类</w:t>
            </w:r>
            <w:r>
              <w:rPr>
                <w:color w:val="auto"/>
                <w:highlight w:val="none"/>
              </w:rPr>
              <w:t>项目</w:t>
            </w:r>
          </w:p>
        </w:tc>
      </w:tr>
      <w:tr w14:paraId="6C48FF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35" w:type="pct"/>
            <w:tcBorders>
              <w:tl2br w:val="nil"/>
              <w:tr2bl w:val="nil"/>
            </w:tcBorders>
            <w:vAlign w:val="center"/>
          </w:tcPr>
          <w:p w14:paraId="473F9236">
            <w:pPr>
              <w:pStyle w:val="41"/>
              <w:rPr>
                <w:color w:val="auto"/>
                <w:highlight w:val="none"/>
              </w:rPr>
            </w:pPr>
            <w:r>
              <w:rPr>
                <w:color w:val="auto"/>
                <w:highlight w:val="none"/>
              </w:rPr>
              <w:t>敏感</w:t>
            </w:r>
          </w:p>
        </w:tc>
        <w:tc>
          <w:tcPr>
            <w:tcW w:w="1121" w:type="pct"/>
            <w:tcBorders>
              <w:tl2br w:val="nil"/>
              <w:tr2bl w:val="nil"/>
            </w:tcBorders>
            <w:vAlign w:val="center"/>
          </w:tcPr>
          <w:p w14:paraId="6CD90844">
            <w:pPr>
              <w:pStyle w:val="41"/>
              <w:rPr>
                <w:color w:val="auto"/>
                <w:highlight w:val="none"/>
              </w:rPr>
            </w:pPr>
            <w:r>
              <w:rPr>
                <w:color w:val="auto"/>
                <w:highlight w:val="none"/>
              </w:rPr>
              <w:t>一</w:t>
            </w:r>
          </w:p>
        </w:tc>
        <w:tc>
          <w:tcPr>
            <w:tcW w:w="1121" w:type="pct"/>
            <w:tcBorders>
              <w:tl2br w:val="nil"/>
              <w:tr2bl w:val="nil"/>
            </w:tcBorders>
            <w:vAlign w:val="center"/>
          </w:tcPr>
          <w:p w14:paraId="5D1F130F">
            <w:pPr>
              <w:pStyle w:val="41"/>
              <w:rPr>
                <w:color w:val="auto"/>
                <w:highlight w:val="none"/>
              </w:rPr>
            </w:pPr>
            <w:r>
              <w:rPr>
                <w:color w:val="auto"/>
                <w:highlight w:val="none"/>
              </w:rPr>
              <w:t>一</w:t>
            </w:r>
          </w:p>
        </w:tc>
        <w:tc>
          <w:tcPr>
            <w:tcW w:w="1121" w:type="pct"/>
            <w:tcBorders>
              <w:tl2br w:val="nil"/>
              <w:tr2bl w:val="nil"/>
            </w:tcBorders>
            <w:vAlign w:val="center"/>
          </w:tcPr>
          <w:p w14:paraId="0C2B181E">
            <w:pPr>
              <w:pStyle w:val="41"/>
              <w:rPr>
                <w:color w:val="auto"/>
                <w:highlight w:val="none"/>
              </w:rPr>
            </w:pPr>
            <w:r>
              <w:rPr>
                <w:color w:val="auto"/>
                <w:highlight w:val="none"/>
              </w:rPr>
              <w:t>二</w:t>
            </w:r>
          </w:p>
        </w:tc>
      </w:tr>
      <w:tr w14:paraId="51CCF0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35" w:type="pct"/>
            <w:tcBorders>
              <w:tl2br w:val="nil"/>
              <w:tr2bl w:val="nil"/>
            </w:tcBorders>
            <w:vAlign w:val="center"/>
          </w:tcPr>
          <w:p w14:paraId="477BF235">
            <w:pPr>
              <w:pStyle w:val="41"/>
              <w:rPr>
                <w:color w:val="auto"/>
                <w:highlight w:val="none"/>
              </w:rPr>
            </w:pPr>
            <w:r>
              <w:rPr>
                <w:color w:val="auto"/>
                <w:highlight w:val="none"/>
              </w:rPr>
              <w:t>较敏感</w:t>
            </w:r>
          </w:p>
        </w:tc>
        <w:tc>
          <w:tcPr>
            <w:tcW w:w="1121" w:type="pct"/>
            <w:tcBorders>
              <w:tl2br w:val="nil"/>
              <w:tr2bl w:val="nil"/>
            </w:tcBorders>
            <w:vAlign w:val="center"/>
          </w:tcPr>
          <w:p w14:paraId="7907AD99">
            <w:pPr>
              <w:pStyle w:val="41"/>
              <w:rPr>
                <w:color w:val="auto"/>
                <w:highlight w:val="none"/>
              </w:rPr>
            </w:pPr>
            <w:r>
              <w:rPr>
                <w:color w:val="auto"/>
                <w:highlight w:val="none"/>
              </w:rPr>
              <w:t>一</w:t>
            </w:r>
          </w:p>
        </w:tc>
        <w:tc>
          <w:tcPr>
            <w:tcW w:w="1121" w:type="pct"/>
            <w:tcBorders>
              <w:tl2br w:val="nil"/>
              <w:tr2bl w:val="nil"/>
            </w:tcBorders>
            <w:vAlign w:val="center"/>
          </w:tcPr>
          <w:p w14:paraId="369BB853">
            <w:pPr>
              <w:pStyle w:val="41"/>
              <w:rPr>
                <w:color w:val="auto"/>
                <w:highlight w:val="none"/>
              </w:rPr>
            </w:pPr>
            <w:r>
              <w:rPr>
                <w:color w:val="auto"/>
                <w:highlight w:val="none"/>
              </w:rPr>
              <w:t>二</w:t>
            </w:r>
          </w:p>
        </w:tc>
        <w:tc>
          <w:tcPr>
            <w:tcW w:w="1121" w:type="pct"/>
            <w:tcBorders>
              <w:tl2br w:val="nil"/>
              <w:tr2bl w:val="nil"/>
            </w:tcBorders>
            <w:vAlign w:val="center"/>
          </w:tcPr>
          <w:p w14:paraId="0EFB17CE">
            <w:pPr>
              <w:pStyle w:val="41"/>
              <w:rPr>
                <w:color w:val="auto"/>
                <w:highlight w:val="none"/>
              </w:rPr>
            </w:pPr>
            <w:r>
              <w:rPr>
                <w:color w:val="auto"/>
                <w:highlight w:val="none"/>
              </w:rPr>
              <w:t>三</w:t>
            </w:r>
          </w:p>
        </w:tc>
      </w:tr>
      <w:tr w14:paraId="5BEA84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35" w:type="pct"/>
            <w:tcBorders>
              <w:tl2br w:val="nil"/>
              <w:tr2bl w:val="nil"/>
            </w:tcBorders>
            <w:vAlign w:val="center"/>
          </w:tcPr>
          <w:p w14:paraId="3E34822C">
            <w:pPr>
              <w:pStyle w:val="41"/>
              <w:rPr>
                <w:color w:val="auto"/>
                <w:highlight w:val="none"/>
              </w:rPr>
            </w:pPr>
            <w:r>
              <w:rPr>
                <w:color w:val="auto"/>
                <w:highlight w:val="none"/>
              </w:rPr>
              <w:t>不敏感</w:t>
            </w:r>
          </w:p>
        </w:tc>
        <w:tc>
          <w:tcPr>
            <w:tcW w:w="1121" w:type="pct"/>
            <w:tcBorders>
              <w:tl2br w:val="nil"/>
              <w:tr2bl w:val="nil"/>
            </w:tcBorders>
            <w:vAlign w:val="center"/>
          </w:tcPr>
          <w:p w14:paraId="7F72B9FB">
            <w:pPr>
              <w:pStyle w:val="41"/>
              <w:rPr>
                <w:color w:val="auto"/>
                <w:highlight w:val="none"/>
              </w:rPr>
            </w:pPr>
            <w:r>
              <w:rPr>
                <w:color w:val="auto"/>
                <w:highlight w:val="none"/>
              </w:rPr>
              <w:t>二</w:t>
            </w:r>
          </w:p>
        </w:tc>
        <w:tc>
          <w:tcPr>
            <w:tcW w:w="1121" w:type="pct"/>
            <w:tcBorders>
              <w:tl2br w:val="nil"/>
              <w:tr2bl w:val="nil"/>
            </w:tcBorders>
            <w:vAlign w:val="center"/>
          </w:tcPr>
          <w:p w14:paraId="6F55D6E1">
            <w:pPr>
              <w:pStyle w:val="41"/>
              <w:rPr>
                <w:color w:val="auto"/>
                <w:highlight w:val="none"/>
              </w:rPr>
            </w:pPr>
            <w:r>
              <w:rPr>
                <w:color w:val="auto"/>
                <w:highlight w:val="none"/>
              </w:rPr>
              <w:t>三</w:t>
            </w:r>
          </w:p>
        </w:tc>
        <w:tc>
          <w:tcPr>
            <w:tcW w:w="1121" w:type="pct"/>
            <w:tcBorders>
              <w:tl2br w:val="nil"/>
              <w:tr2bl w:val="nil"/>
            </w:tcBorders>
            <w:vAlign w:val="center"/>
          </w:tcPr>
          <w:p w14:paraId="4B2169F4">
            <w:pPr>
              <w:pStyle w:val="41"/>
              <w:rPr>
                <w:color w:val="auto"/>
                <w:highlight w:val="none"/>
              </w:rPr>
            </w:pPr>
            <w:r>
              <w:rPr>
                <w:color w:val="auto"/>
                <w:highlight w:val="none"/>
              </w:rPr>
              <w:t>三</w:t>
            </w:r>
          </w:p>
        </w:tc>
      </w:tr>
    </w:tbl>
    <w:p w14:paraId="4EFCC576">
      <w:pPr>
        <w:pStyle w:val="3"/>
        <w:ind w:firstLine="480"/>
        <w:rPr>
          <w:color w:val="auto"/>
          <w:highlight w:val="none"/>
        </w:rPr>
      </w:pPr>
      <w:r>
        <w:rPr>
          <w:color w:val="auto"/>
          <w:highlight w:val="none"/>
        </w:rPr>
        <w:t>（4）地下水评价范围</w:t>
      </w:r>
    </w:p>
    <w:p w14:paraId="465B392F">
      <w:pPr>
        <w:pStyle w:val="3"/>
        <w:ind w:firstLine="480"/>
        <w:rPr>
          <w:color w:val="auto"/>
          <w:highlight w:val="none"/>
        </w:rPr>
      </w:pPr>
      <w:r>
        <w:rPr>
          <w:color w:val="auto"/>
          <w:highlight w:val="none"/>
        </w:rPr>
        <w:t>根据《环境影响评价技术导则 地下水环境》（HJ610-2016），本项目地下水评价等级为二级。确定评价范围以工程区为中心向四周外延，沿工程区域地下水流向由</w:t>
      </w:r>
      <w:r>
        <w:rPr>
          <w:rFonts w:hint="eastAsia"/>
          <w:color w:val="auto"/>
          <w:highlight w:val="none"/>
        </w:rPr>
        <w:t>北向南</w:t>
      </w:r>
      <w:r>
        <w:rPr>
          <w:color w:val="auto"/>
          <w:highlight w:val="none"/>
        </w:rPr>
        <w:t>布置。根据查表法（HJ610-2016中表3），</w:t>
      </w:r>
      <w:r>
        <w:rPr>
          <w:color w:val="auto"/>
          <w:highlight w:val="none"/>
        </w:rPr>
        <w:t>本次</w:t>
      </w:r>
      <w:r>
        <w:rPr>
          <w:rFonts w:hint="eastAsia"/>
          <w:color w:val="auto"/>
          <w:highlight w:val="none"/>
          <w:lang w:val="en-US" w:eastAsia="zh-CN"/>
        </w:rPr>
        <w:t>分别</w:t>
      </w:r>
      <w:r>
        <w:rPr>
          <w:color w:val="auto"/>
          <w:highlight w:val="none"/>
        </w:rPr>
        <w:t>在选矿厂、尾矿库场区上游取1000m，两侧取1000m，下游取1500m</w:t>
      </w:r>
      <w:r>
        <w:rPr>
          <w:rFonts w:hint="eastAsia"/>
          <w:color w:val="auto"/>
          <w:highlight w:val="none"/>
          <w:lang w:val="en-US" w:eastAsia="zh-CN"/>
        </w:rPr>
        <w:t>作为选矿厂、尾矿库评价范围</w:t>
      </w:r>
      <w:r>
        <w:rPr>
          <w:color w:val="auto"/>
          <w:highlight w:val="none"/>
        </w:rPr>
        <w:t>。</w:t>
      </w:r>
      <w:r>
        <w:rPr>
          <w:rFonts w:hint="eastAsia"/>
          <w:color w:val="auto"/>
          <w:highlight w:val="none"/>
        </w:rPr>
        <w:t>本项目</w:t>
      </w:r>
      <w:r>
        <w:rPr>
          <w:rFonts w:hint="eastAsia"/>
          <w:color w:val="auto"/>
          <w:highlight w:val="none"/>
          <w:lang w:val="en-US" w:eastAsia="zh-CN"/>
        </w:rPr>
        <w:t>选矿厂、尾矿库</w:t>
      </w:r>
      <w:r>
        <w:rPr>
          <w:color w:val="auto"/>
          <w:highlight w:val="none"/>
        </w:rPr>
        <w:t>地下水环境现状调查评价范围</w:t>
      </w:r>
      <w:r>
        <w:rPr>
          <w:rFonts w:hint="eastAsia"/>
          <w:color w:val="auto"/>
          <w:highlight w:val="none"/>
          <w:lang w:val="en-US" w:eastAsia="zh-CN"/>
        </w:rPr>
        <w:t>分别为9.89</w:t>
      </w:r>
      <w:r>
        <w:rPr>
          <w:color w:val="auto"/>
          <w:highlight w:val="none"/>
        </w:rPr>
        <w:t>km</w:t>
      </w:r>
      <w:r>
        <w:rPr>
          <w:rFonts w:hint="eastAsia"/>
          <w:color w:val="auto"/>
          <w:highlight w:val="none"/>
          <w:vertAlign w:val="superscript"/>
        </w:rPr>
        <w:t>2</w:t>
      </w:r>
      <w:r>
        <w:rPr>
          <w:rFonts w:hint="eastAsia"/>
          <w:color w:val="auto"/>
          <w:highlight w:val="none"/>
          <w:lang w:eastAsia="zh-CN"/>
        </w:rPr>
        <w:t>、</w:t>
      </w:r>
      <w:r>
        <w:rPr>
          <w:rFonts w:hint="eastAsia"/>
          <w:color w:val="auto"/>
          <w:highlight w:val="none"/>
          <w:lang w:val="en-US" w:eastAsia="zh-CN"/>
        </w:rPr>
        <w:t>9.95</w:t>
      </w:r>
      <w:r>
        <w:rPr>
          <w:color w:val="auto"/>
          <w:highlight w:val="none"/>
        </w:rPr>
        <w:t>km</w:t>
      </w:r>
      <w:r>
        <w:rPr>
          <w:rFonts w:hint="eastAsia"/>
          <w:color w:val="auto"/>
          <w:highlight w:val="none"/>
          <w:vertAlign w:val="superscript"/>
        </w:rPr>
        <w:t>2</w:t>
      </w:r>
      <w:r>
        <w:rPr>
          <w:rFonts w:hint="eastAsia"/>
          <w:color w:val="auto"/>
          <w:highlight w:val="none"/>
          <w:lang w:eastAsia="zh-CN"/>
        </w:rPr>
        <w:t>。</w:t>
      </w:r>
      <w:r>
        <w:rPr>
          <w:color w:val="auto"/>
          <w:highlight w:val="none"/>
        </w:rPr>
        <w:t>评价范围能反映项目区及影响区地下水环境的基本状况，可以满足项目建设工程地下水环境影响评价的需要。</w:t>
      </w:r>
    </w:p>
    <w:p w14:paraId="1A7F449E">
      <w:pPr>
        <w:pStyle w:val="42"/>
        <w:rPr>
          <w:rFonts w:hint="default"/>
          <w:color w:val="auto"/>
          <w:highlight w:val="none"/>
        </w:rPr>
      </w:pPr>
      <w:bookmarkStart w:id="190" w:name="_Toc198982208"/>
      <w:r>
        <w:rPr>
          <w:rFonts w:hint="default"/>
          <w:color w:val="auto"/>
          <w:highlight w:val="none"/>
        </w:rPr>
        <w:t>生态环境</w:t>
      </w:r>
    </w:p>
    <w:bookmarkEnd w:id="190"/>
    <w:p w14:paraId="1F782775">
      <w:pPr>
        <w:pStyle w:val="3"/>
        <w:ind w:firstLine="480"/>
        <w:rPr>
          <w:color w:val="auto"/>
          <w:highlight w:val="none"/>
        </w:rPr>
      </w:pPr>
      <w:bookmarkStart w:id="191" w:name="_Toc198982209"/>
      <w:r>
        <w:rPr>
          <w:color w:val="auto"/>
          <w:highlight w:val="none"/>
        </w:rPr>
        <w:t>（1）评价等级</w:t>
      </w:r>
    </w:p>
    <w:p w14:paraId="5F8E86F9">
      <w:pPr>
        <w:pStyle w:val="3"/>
        <w:ind w:firstLine="480"/>
        <w:rPr>
          <w:color w:val="auto"/>
          <w:highlight w:val="none"/>
        </w:rPr>
      </w:pPr>
      <w:r>
        <w:rPr>
          <w:color w:val="auto"/>
          <w:highlight w:val="none"/>
        </w:rPr>
        <w:t>依据《环境影响评价技术导则生态环境》</w:t>
      </w:r>
      <w:r>
        <w:rPr>
          <w:rFonts w:hint="eastAsia"/>
          <w:color w:val="auto"/>
          <w:highlight w:val="none"/>
          <w:lang w:eastAsia="zh-CN"/>
        </w:rPr>
        <w:t>（</w:t>
      </w:r>
      <w:r>
        <w:rPr>
          <w:color w:val="auto"/>
          <w:highlight w:val="none"/>
        </w:rPr>
        <w:t>HJ19-2022</w:t>
      </w:r>
      <w:r>
        <w:rPr>
          <w:rFonts w:hint="eastAsia"/>
          <w:color w:val="auto"/>
          <w:highlight w:val="none"/>
          <w:lang w:eastAsia="zh-CN"/>
        </w:rPr>
        <w:t>）</w:t>
      </w:r>
      <w:r>
        <w:rPr>
          <w:color w:val="auto"/>
          <w:highlight w:val="none"/>
        </w:rPr>
        <w:t>，生态影响评价工作等级按表2.5-</w:t>
      </w:r>
      <w:r>
        <w:rPr>
          <w:rFonts w:hint="eastAsia"/>
          <w:color w:val="auto"/>
          <w:highlight w:val="none"/>
        </w:rPr>
        <w:t>7</w:t>
      </w:r>
      <w:r>
        <w:rPr>
          <w:color w:val="auto"/>
          <w:highlight w:val="none"/>
        </w:rPr>
        <w:t>判别，根据各单项影响因子判定，本项目评价等级应为</w:t>
      </w:r>
      <w:r>
        <w:rPr>
          <w:rFonts w:hint="eastAsia"/>
          <w:color w:val="auto"/>
          <w:highlight w:val="none"/>
        </w:rPr>
        <w:t>三</w:t>
      </w:r>
      <w:r>
        <w:rPr>
          <w:color w:val="auto"/>
          <w:highlight w:val="none"/>
        </w:rPr>
        <w:t>级。</w:t>
      </w:r>
    </w:p>
    <w:p w14:paraId="79DCE5A1">
      <w:pPr>
        <w:pStyle w:val="40"/>
        <w:spacing w:before="24" w:after="24"/>
        <w:rPr>
          <w:color w:val="auto"/>
          <w:highlight w:val="none"/>
        </w:rPr>
      </w:pPr>
      <w:r>
        <w:rPr>
          <w:color w:val="auto"/>
          <w:highlight w:val="none"/>
        </w:rPr>
        <w:t>表2.5-</w:t>
      </w:r>
      <w:r>
        <w:rPr>
          <w:rFonts w:hint="eastAsia"/>
          <w:color w:val="auto"/>
          <w:highlight w:val="none"/>
        </w:rPr>
        <w:t>7</w:t>
      </w:r>
      <w:r>
        <w:rPr>
          <w:color w:val="auto"/>
          <w:highlight w:val="none"/>
        </w:rPr>
        <w:t xml:space="preserve">     生态环境评价工作等级判别表</w:t>
      </w:r>
    </w:p>
    <w:tbl>
      <w:tblPr>
        <w:tblStyle w:val="25"/>
        <w:tblW w:w="85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236"/>
        <w:gridCol w:w="3261"/>
        <w:gridCol w:w="1025"/>
      </w:tblGrid>
      <w:tr w14:paraId="63FD38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36" w:type="dxa"/>
            <w:vAlign w:val="center"/>
          </w:tcPr>
          <w:p w14:paraId="2A625643">
            <w:pPr>
              <w:pStyle w:val="41"/>
              <w:rPr>
                <w:color w:val="auto"/>
                <w:highlight w:val="none"/>
              </w:rPr>
            </w:pPr>
            <w:r>
              <w:rPr>
                <w:color w:val="auto"/>
                <w:highlight w:val="none"/>
              </w:rPr>
              <w:t>判定依据</w:t>
            </w:r>
          </w:p>
        </w:tc>
        <w:tc>
          <w:tcPr>
            <w:tcW w:w="3261" w:type="dxa"/>
            <w:vAlign w:val="center"/>
          </w:tcPr>
          <w:p w14:paraId="19941D16">
            <w:pPr>
              <w:pStyle w:val="41"/>
              <w:rPr>
                <w:color w:val="auto"/>
                <w:highlight w:val="none"/>
              </w:rPr>
            </w:pPr>
            <w:r>
              <w:rPr>
                <w:color w:val="auto"/>
                <w:highlight w:val="none"/>
              </w:rPr>
              <w:t>本项目与判定依据关系</w:t>
            </w:r>
          </w:p>
        </w:tc>
        <w:tc>
          <w:tcPr>
            <w:tcW w:w="1025" w:type="dxa"/>
            <w:vAlign w:val="center"/>
          </w:tcPr>
          <w:p w14:paraId="622C992D">
            <w:pPr>
              <w:pStyle w:val="41"/>
              <w:rPr>
                <w:color w:val="auto"/>
                <w:highlight w:val="none"/>
              </w:rPr>
            </w:pPr>
            <w:r>
              <w:rPr>
                <w:color w:val="auto"/>
                <w:highlight w:val="none"/>
              </w:rPr>
              <w:t>本项目评价等级</w:t>
            </w:r>
          </w:p>
        </w:tc>
      </w:tr>
      <w:tr w14:paraId="3F72B4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36" w:type="dxa"/>
            <w:vAlign w:val="center"/>
          </w:tcPr>
          <w:p w14:paraId="046A88B7">
            <w:pPr>
              <w:pStyle w:val="41"/>
              <w:rPr>
                <w:color w:val="auto"/>
                <w:highlight w:val="none"/>
              </w:rPr>
            </w:pPr>
            <w:r>
              <w:rPr>
                <w:color w:val="auto"/>
                <w:highlight w:val="none"/>
              </w:rPr>
              <w:t>a）涉及国家公园、自然保护区、世界自然遗产、重要生境时，评价等级为一级；</w:t>
            </w:r>
          </w:p>
        </w:tc>
        <w:tc>
          <w:tcPr>
            <w:tcW w:w="3261" w:type="dxa"/>
            <w:vAlign w:val="center"/>
          </w:tcPr>
          <w:p w14:paraId="060B832A">
            <w:pPr>
              <w:pStyle w:val="41"/>
              <w:rPr>
                <w:color w:val="auto"/>
                <w:highlight w:val="none"/>
              </w:rPr>
            </w:pPr>
            <w:r>
              <w:rPr>
                <w:color w:val="auto"/>
                <w:highlight w:val="none"/>
              </w:rPr>
              <w:t>本项目不涉及国家公园、自然保护区、世界自然遗产、重要生境。</w:t>
            </w:r>
          </w:p>
        </w:tc>
        <w:tc>
          <w:tcPr>
            <w:tcW w:w="1025" w:type="dxa"/>
            <w:vMerge w:val="restart"/>
            <w:vAlign w:val="center"/>
          </w:tcPr>
          <w:p w14:paraId="02B39BF5">
            <w:pPr>
              <w:pStyle w:val="41"/>
              <w:rPr>
                <w:color w:val="auto"/>
                <w:highlight w:val="none"/>
              </w:rPr>
            </w:pPr>
            <w:r>
              <w:rPr>
                <w:color w:val="auto"/>
                <w:highlight w:val="none"/>
              </w:rPr>
              <w:t>因此，本项目生态评价等级为</w:t>
            </w:r>
            <w:r>
              <w:rPr>
                <w:rFonts w:hint="eastAsia"/>
                <w:color w:val="auto"/>
                <w:highlight w:val="none"/>
              </w:rPr>
              <w:t>三</w:t>
            </w:r>
            <w:r>
              <w:rPr>
                <w:color w:val="auto"/>
                <w:highlight w:val="none"/>
              </w:rPr>
              <w:t>级。</w:t>
            </w:r>
          </w:p>
        </w:tc>
      </w:tr>
      <w:tr w14:paraId="78F451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36" w:type="dxa"/>
            <w:vAlign w:val="center"/>
          </w:tcPr>
          <w:p w14:paraId="2E793E69">
            <w:pPr>
              <w:pStyle w:val="41"/>
              <w:rPr>
                <w:color w:val="auto"/>
                <w:highlight w:val="none"/>
              </w:rPr>
            </w:pPr>
            <w:r>
              <w:rPr>
                <w:color w:val="auto"/>
                <w:highlight w:val="none"/>
              </w:rPr>
              <w:t>b）涉及自然公园时，评价等级为二级；</w:t>
            </w:r>
          </w:p>
        </w:tc>
        <w:tc>
          <w:tcPr>
            <w:tcW w:w="3261" w:type="dxa"/>
            <w:vAlign w:val="center"/>
          </w:tcPr>
          <w:p w14:paraId="7C5C201A">
            <w:pPr>
              <w:pStyle w:val="41"/>
              <w:rPr>
                <w:color w:val="auto"/>
                <w:highlight w:val="none"/>
              </w:rPr>
            </w:pPr>
            <w:r>
              <w:rPr>
                <w:color w:val="auto"/>
                <w:highlight w:val="none"/>
              </w:rPr>
              <w:t>不涉及自然公园。</w:t>
            </w:r>
          </w:p>
        </w:tc>
        <w:tc>
          <w:tcPr>
            <w:tcW w:w="1025" w:type="dxa"/>
            <w:vMerge w:val="continue"/>
            <w:vAlign w:val="center"/>
          </w:tcPr>
          <w:p w14:paraId="75487D1A">
            <w:pPr>
              <w:pStyle w:val="41"/>
              <w:rPr>
                <w:color w:val="auto"/>
                <w:highlight w:val="none"/>
              </w:rPr>
            </w:pPr>
          </w:p>
        </w:tc>
      </w:tr>
      <w:tr w14:paraId="6B235D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36" w:type="dxa"/>
            <w:vAlign w:val="center"/>
          </w:tcPr>
          <w:p w14:paraId="4FF2C29E">
            <w:pPr>
              <w:pStyle w:val="41"/>
              <w:rPr>
                <w:color w:val="auto"/>
                <w:highlight w:val="none"/>
              </w:rPr>
            </w:pPr>
            <w:r>
              <w:rPr>
                <w:color w:val="auto"/>
                <w:highlight w:val="none"/>
              </w:rPr>
              <w:t>c） 涉及生态保护红线时，评价等级不低于二级；</w:t>
            </w:r>
          </w:p>
        </w:tc>
        <w:tc>
          <w:tcPr>
            <w:tcW w:w="3261" w:type="dxa"/>
            <w:vAlign w:val="center"/>
          </w:tcPr>
          <w:p w14:paraId="2F211A91">
            <w:pPr>
              <w:pStyle w:val="41"/>
              <w:rPr>
                <w:color w:val="auto"/>
                <w:highlight w:val="none"/>
              </w:rPr>
            </w:pPr>
            <w:r>
              <w:rPr>
                <w:color w:val="auto"/>
                <w:highlight w:val="none"/>
              </w:rPr>
              <w:t>不涉生态保护红线；</w:t>
            </w:r>
          </w:p>
        </w:tc>
        <w:tc>
          <w:tcPr>
            <w:tcW w:w="1025" w:type="dxa"/>
            <w:vMerge w:val="continue"/>
            <w:vAlign w:val="center"/>
          </w:tcPr>
          <w:p w14:paraId="2404E71F">
            <w:pPr>
              <w:pStyle w:val="41"/>
              <w:rPr>
                <w:color w:val="auto"/>
                <w:highlight w:val="none"/>
              </w:rPr>
            </w:pPr>
          </w:p>
        </w:tc>
      </w:tr>
      <w:tr w14:paraId="35B13F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36" w:type="dxa"/>
            <w:vAlign w:val="center"/>
          </w:tcPr>
          <w:p w14:paraId="46D2CE54">
            <w:pPr>
              <w:pStyle w:val="41"/>
              <w:rPr>
                <w:color w:val="auto"/>
                <w:highlight w:val="none"/>
              </w:rPr>
            </w:pPr>
            <w:r>
              <w:rPr>
                <w:color w:val="auto"/>
                <w:highlight w:val="none"/>
              </w:rPr>
              <w:t>e） 根据 HJ 610、HJ 964 判断地下水水位或土壤影响范围内分布有天然林、公益林、湿地等生态保护目标的建设项目，生态影响评价等级不低于二级；</w:t>
            </w:r>
          </w:p>
        </w:tc>
        <w:tc>
          <w:tcPr>
            <w:tcW w:w="3261" w:type="dxa"/>
            <w:vAlign w:val="center"/>
          </w:tcPr>
          <w:p w14:paraId="2042375F">
            <w:pPr>
              <w:pStyle w:val="41"/>
              <w:rPr>
                <w:color w:val="auto"/>
                <w:highlight w:val="none"/>
              </w:rPr>
            </w:pPr>
            <w:r>
              <w:rPr>
                <w:color w:val="auto"/>
                <w:highlight w:val="none"/>
              </w:rPr>
              <w:t>评价范围内</w:t>
            </w:r>
            <w:r>
              <w:rPr>
                <w:rFonts w:hint="eastAsia"/>
                <w:color w:val="auto"/>
                <w:highlight w:val="none"/>
              </w:rPr>
              <w:t>没有</w:t>
            </w:r>
            <w:r>
              <w:rPr>
                <w:color w:val="auto"/>
                <w:highlight w:val="none"/>
              </w:rPr>
              <w:t>国家二级公益林</w:t>
            </w:r>
            <w:r>
              <w:rPr>
                <w:rFonts w:hint="eastAsia"/>
                <w:color w:val="auto"/>
                <w:highlight w:val="none"/>
              </w:rPr>
              <w:t>。</w:t>
            </w:r>
          </w:p>
        </w:tc>
        <w:tc>
          <w:tcPr>
            <w:tcW w:w="1025" w:type="dxa"/>
            <w:vMerge w:val="continue"/>
            <w:vAlign w:val="center"/>
          </w:tcPr>
          <w:p w14:paraId="2752FC99">
            <w:pPr>
              <w:pStyle w:val="41"/>
              <w:rPr>
                <w:color w:val="auto"/>
                <w:highlight w:val="none"/>
              </w:rPr>
            </w:pPr>
          </w:p>
        </w:tc>
      </w:tr>
      <w:tr w14:paraId="148998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36" w:type="dxa"/>
            <w:vAlign w:val="center"/>
          </w:tcPr>
          <w:p w14:paraId="6BD20AD2">
            <w:pPr>
              <w:pStyle w:val="41"/>
              <w:rPr>
                <w:color w:val="auto"/>
                <w:highlight w:val="none"/>
              </w:rPr>
            </w:pPr>
            <w:r>
              <w:rPr>
                <w:color w:val="auto"/>
                <w:highlight w:val="none"/>
              </w:rPr>
              <w:t>d）根据 HJ 2.3 判断属于水文要素影响型且地表水评价等级不低于二级的建设项目，生态影响评价等级不低于二级；</w:t>
            </w:r>
          </w:p>
        </w:tc>
        <w:tc>
          <w:tcPr>
            <w:tcW w:w="3261" w:type="dxa"/>
            <w:vAlign w:val="center"/>
          </w:tcPr>
          <w:p w14:paraId="73F61A30">
            <w:pPr>
              <w:pStyle w:val="41"/>
              <w:rPr>
                <w:color w:val="auto"/>
                <w:highlight w:val="none"/>
              </w:rPr>
            </w:pPr>
            <w:r>
              <w:rPr>
                <w:color w:val="auto"/>
                <w:highlight w:val="none"/>
              </w:rPr>
              <w:t>本项目不属于水文要素影响型，</w:t>
            </w:r>
            <w:r>
              <w:rPr>
                <w:rFonts w:hint="eastAsia"/>
                <w:color w:val="auto"/>
                <w:highlight w:val="none"/>
              </w:rPr>
              <w:t>且</w:t>
            </w:r>
            <w:r>
              <w:rPr>
                <w:color w:val="auto"/>
                <w:highlight w:val="none"/>
              </w:rPr>
              <w:t>地表水评价等级为三级；</w:t>
            </w:r>
          </w:p>
        </w:tc>
        <w:tc>
          <w:tcPr>
            <w:tcW w:w="1025" w:type="dxa"/>
            <w:vMerge w:val="continue"/>
            <w:vAlign w:val="center"/>
          </w:tcPr>
          <w:p w14:paraId="4357A60A">
            <w:pPr>
              <w:pStyle w:val="41"/>
              <w:rPr>
                <w:color w:val="auto"/>
                <w:highlight w:val="none"/>
              </w:rPr>
            </w:pPr>
          </w:p>
        </w:tc>
      </w:tr>
      <w:tr w14:paraId="028EF8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36" w:type="dxa"/>
            <w:vAlign w:val="center"/>
          </w:tcPr>
          <w:p w14:paraId="7DA03902">
            <w:pPr>
              <w:pStyle w:val="41"/>
              <w:rPr>
                <w:color w:val="auto"/>
                <w:highlight w:val="none"/>
              </w:rPr>
            </w:pPr>
            <w:r>
              <w:rPr>
                <w:color w:val="auto"/>
                <w:highlight w:val="none"/>
              </w:rPr>
              <w:t>f）当工程占地规模大于20km2时（包括永久和临时占用陆域和水域），评价等级不低于二级；改扩建项目的占地范围以新增占地（包括陆域和水域）确定；</w:t>
            </w:r>
          </w:p>
        </w:tc>
        <w:tc>
          <w:tcPr>
            <w:tcW w:w="3261" w:type="dxa"/>
            <w:vAlign w:val="center"/>
          </w:tcPr>
          <w:p w14:paraId="06B7FE30">
            <w:pPr>
              <w:pStyle w:val="41"/>
              <w:rPr>
                <w:color w:val="auto"/>
                <w:highlight w:val="none"/>
              </w:rPr>
            </w:pPr>
            <w:r>
              <w:rPr>
                <w:color w:val="auto"/>
                <w:highlight w:val="none"/>
              </w:rPr>
              <w:t>本项目总占地面积</w:t>
            </w:r>
            <w:r>
              <w:rPr>
                <w:rFonts w:hint="eastAsia"/>
                <w:color w:val="auto"/>
                <w:highlight w:val="none"/>
              </w:rPr>
              <w:t>143.738</w:t>
            </w:r>
            <w:r>
              <w:rPr>
                <w:color w:val="auto"/>
                <w:highlight w:val="none"/>
              </w:rPr>
              <w:t>hm</w:t>
            </w:r>
            <w:r>
              <w:rPr>
                <w:color w:val="auto"/>
                <w:highlight w:val="none"/>
                <w:vertAlign w:val="superscript"/>
              </w:rPr>
              <w:t>2</w:t>
            </w:r>
            <w:r>
              <w:rPr>
                <w:rFonts w:hint="eastAsia"/>
                <w:color w:val="auto"/>
                <w:highlight w:val="none"/>
              </w:rPr>
              <w:t>（1.437km</w:t>
            </w:r>
            <w:r>
              <w:rPr>
                <w:rFonts w:hint="eastAsia"/>
                <w:color w:val="auto"/>
                <w:highlight w:val="none"/>
                <w:vertAlign w:val="superscript"/>
              </w:rPr>
              <w:t>2</w:t>
            </w:r>
            <w:r>
              <w:rPr>
                <w:rFonts w:hint="eastAsia"/>
                <w:color w:val="auto"/>
                <w:highlight w:val="none"/>
              </w:rPr>
              <w:t>），</w:t>
            </w:r>
            <w:r>
              <w:rPr>
                <w:color w:val="auto"/>
                <w:highlight w:val="none"/>
              </w:rPr>
              <w:t>本项目占地规模小于20km</w:t>
            </w:r>
            <w:r>
              <w:rPr>
                <w:color w:val="auto"/>
                <w:highlight w:val="none"/>
                <w:vertAlign w:val="superscript"/>
              </w:rPr>
              <w:t>2</w:t>
            </w:r>
            <w:r>
              <w:rPr>
                <w:color w:val="auto"/>
                <w:highlight w:val="none"/>
              </w:rPr>
              <w:t>。</w:t>
            </w:r>
          </w:p>
        </w:tc>
        <w:tc>
          <w:tcPr>
            <w:tcW w:w="1025" w:type="dxa"/>
            <w:vMerge w:val="continue"/>
            <w:vAlign w:val="center"/>
          </w:tcPr>
          <w:p w14:paraId="5B9F1FAC">
            <w:pPr>
              <w:pStyle w:val="41"/>
              <w:rPr>
                <w:color w:val="auto"/>
                <w:highlight w:val="none"/>
              </w:rPr>
            </w:pPr>
          </w:p>
        </w:tc>
      </w:tr>
      <w:tr w14:paraId="3FCDC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36" w:type="dxa"/>
            <w:vAlign w:val="center"/>
          </w:tcPr>
          <w:p w14:paraId="41CFF500">
            <w:pPr>
              <w:pStyle w:val="41"/>
              <w:rPr>
                <w:color w:val="auto"/>
                <w:highlight w:val="none"/>
              </w:rPr>
            </w:pPr>
            <w:r>
              <w:rPr>
                <w:color w:val="auto"/>
                <w:highlight w:val="none"/>
              </w:rPr>
              <w:t>g）除本条 a）、b）、c）、 d）、e）、f）以外的情况，评价等级为三级；</w:t>
            </w:r>
          </w:p>
        </w:tc>
        <w:tc>
          <w:tcPr>
            <w:tcW w:w="3261" w:type="dxa"/>
            <w:vAlign w:val="center"/>
          </w:tcPr>
          <w:p w14:paraId="61F6E3C2">
            <w:pPr>
              <w:pStyle w:val="41"/>
              <w:rPr>
                <w:color w:val="auto"/>
                <w:highlight w:val="none"/>
              </w:rPr>
            </w:pPr>
            <w:r>
              <w:rPr>
                <w:rFonts w:hint="eastAsia"/>
                <w:color w:val="auto"/>
                <w:highlight w:val="none"/>
              </w:rPr>
              <w:t>不</w:t>
            </w:r>
            <w:r>
              <w:rPr>
                <w:color w:val="auto"/>
                <w:highlight w:val="none"/>
              </w:rPr>
              <w:t>属于</w:t>
            </w:r>
            <w:r>
              <w:rPr>
                <w:rFonts w:hint="eastAsia"/>
                <w:color w:val="auto"/>
                <w:highlight w:val="none"/>
              </w:rPr>
              <w:t>a、b、c、d、e、f</w:t>
            </w:r>
            <w:r>
              <w:rPr>
                <w:color w:val="auto"/>
                <w:highlight w:val="none"/>
              </w:rPr>
              <w:t>）所列情况，因此本项目评价等级为</w:t>
            </w:r>
            <w:r>
              <w:rPr>
                <w:rFonts w:hint="eastAsia"/>
                <w:color w:val="auto"/>
                <w:highlight w:val="none"/>
              </w:rPr>
              <w:t>三</w:t>
            </w:r>
            <w:r>
              <w:rPr>
                <w:color w:val="auto"/>
                <w:highlight w:val="none"/>
              </w:rPr>
              <w:t>级。</w:t>
            </w:r>
          </w:p>
        </w:tc>
        <w:tc>
          <w:tcPr>
            <w:tcW w:w="1025" w:type="dxa"/>
            <w:vMerge w:val="continue"/>
            <w:vAlign w:val="center"/>
          </w:tcPr>
          <w:p w14:paraId="578C6364">
            <w:pPr>
              <w:pStyle w:val="41"/>
              <w:rPr>
                <w:color w:val="auto"/>
                <w:highlight w:val="none"/>
              </w:rPr>
            </w:pPr>
          </w:p>
        </w:tc>
      </w:tr>
      <w:tr w14:paraId="36B9B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36" w:type="dxa"/>
            <w:vAlign w:val="center"/>
          </w:tcPr>
          <w:p w14:paraId="69644B4F">
            <w:pPr>
              <w:pStyle w:val="41"/>
              <w:rPr>
                <w:color w:val="auto"/>
                <w:highlight w:val="none"/>
              </w:rPr>
            </w:pPr>
            <w:r>
              <w:rPr>
                <w:color w:val="auto"/>
                <w:highlight w:val="none"/>
              </w:rPr>
              <w:t>6.1.3建设项目涉及经论证对保护生物多样性具有重要意义的区域时，可适当上调评价等级。6.1.4建设项目同时涉及陆生、水生生态影响时，可针对陆生生态、水生生态分别判定评价等级。6.1.5在矿山开采可能导致矿区土地利用类型明显改变，或拦河闸坝建设可能明显改变水文情势等情况下，评价等级应上调一级。 6.1.6线性工程可分段确定评价等级。线性工程地下穿越或地表跨越生态敏感区，在生态敏感区范围内无永久、临时占地时，评价等级可下调一级。</w:t>
            </w:r>
          </w:p>
        </w:tc>
        <w:tc>
          <w:tcPr>
            <w:tcW w:w="3261" w:type="dxa"/>
            <w:vAlign w:val="center"/>
          </w:tcPr>
          <w:p w14:paraId="47A9FEF9">
            <w:pPr>
              <w:pStyle w:val="41"/>
              <w:rPr>
                <w:color w:val="auto"/>
                <w:highlight w:val="none"/>
              </w:rPr>
            </w:pPr>
            <w:r>
              <w:rPr>
                <w:rFonts w:hint="eastAsia"/>
                <w:color w:val="auto"/>
                <w:highlight w:val="none"/>
              </w:rPr>
              <w:t>本项目为选矿及尾矿</w:t>
            </w:r>
          </w:p>
        </w:tc>
        <w:tc>
          <w:tcPr>
            <w:tcW w:w="1025" w:type="dxa"/>
            <w:vMerge w:val="continue"/>
            <w:vAlign w:val="center"/>
          </w:tcPr>
          <w:p w14:paraId="5FA77829">
            <w:pPr>
              <w:pStyle w:val="41"/>
              <w:rPr>
                <w:color w:val="auto"/>
                <w:highlight w:val="none"/>
              </w:rPr>
            </w:pPr>
          </w:p>
        </w:tc>
      </w:tr>
    </w:tbl>
    <w:p w14:paraId="0DC94312">
      <w:pPr>
        <w:pStyle w:val="3"/>
        <w:ind w:firstLine="480"/>
        <w:rPr>
          <w:color w:val="auto"/>
          <w:highlight w:val="none"/>
        </w:rPr>
      </w:pPr>
      <w:r>
        <w:rPr>
          <w:color w:val="auto"/>
          <w:highlight w:val="none"/>
        </w:rPr>
        <w:t>（2）评价范围</w:t>
      </w:r>
    </w:p>
    <w:p w14:paraId="7D1EB25F">
      <w:pPr>
        <w:pStyle w:val="3"/>
        <w:ind w:firstLine="480"/>
        <w:rPr>
          <w:color w:val="auto"/>
          <w:highlight w:val="none"/>
        </w:rPr>
      </w:pPr>
      <w:r>
        <w:rPr>
          <w:rFonts w:hint="eastAsia"/>
          <w:color w:val="auto"/>
          <w:highlight w:val="none"/>
        </w:rPr>
        <w:t>选矿厂、尾矿库</w:t>
      </w:r>
      <w:r>
        <w:rPr>
          <w:color w:val="auto"/>
          <w:highlight w:val="none"/>
        </w:rPr>
        <w:t>评价范围定在以项目区边界为基础，外扩500m</w:t>
      </w:r>
      <w:r>
        <w:rPr>
          <w:rFonts w:hint="eastAsia"/>
          <w:color w:val="auto"/>
          <w:highlight w:val="none"/>
        </w:rPr>
        <w:t>；尾矿运输道路</w:t>
      </w:r>
      <w:r>
        <w:rPr>
          <w:rFonts w:hint="eastAsia"/>
          <w:color w:val="auto"/>
          <w:highlight w:val="none"/>
          <w:lang w:eastAsia="zh-CN"/>
        </w:rPr>
        <w:t>以</w:t>
      </w:r>
      <w:r>
        <w:rPr>
          <w:rFonts w:hint="eastAsia"/>
          <w:color w:val="auto"/>
          <w:highlight w:val="none"/>
        </w:rPr>
        <w:t>线路中心线向两侧外延300m为评价范围</w:t>
      </w:r>
      <w:r>
        <w:rPr>
          <w:color w:val="auto"/>
          <w:highlight w:val="none"/>
        </w:rPr>
        <w:t>。</w:t>
      </w:r>
    </w:p>
    <w:p w14:paraId="1DADE67E">
      <w:pPr>
        <w:pStyle w:val="42"/>
        <w:rPr>
          <w:rFonts w:hint="default"/>
          <w:color w:val="auto"/>
          <w:highlight w:val="none"/>
        </w:rPr>
      </w:pPr>
      <w:r>
        <w:rPr>
          <w:rFonts w:hint="default"/>
          <w:color w:val="auto"/>
          <w:highlight w:val="none"/>
        </w:rPr>
        <w:t xml:space="preserve"> 声环境</w:t>
      </w:r>
      <w:bookmarkEnd w:id="191"/>
    </w:p>
    <w:p w14:paraId="33702C8B">
      <w:pPr>
        <w:pStyle w:val="3"/>
        <w:ind w:firstLine="480"/>
        <w:rPr>
          <w:color w:val="auto"/>
          <w:highlight w:val="none"/>
        </w:rPr>
      </w:pPr>
      <w:r>
        <w:rPr>
          <w:color w:val="auto"/>
          <w:highlight w:val="none"/>
        </w:rPr>
        <w:t>（1）评价等级</w:t>
      </w:r>
    </w:p>
    <w:p w14:paraId="71698FE2">
      <w:pPr>
        <w:pStyle w:val="3"/>
        <w:ind w:firstLine="480"/>
        <w:rPr>
          <w:color w:val="auto"/>
          <w:highlight w:val="none"/>
        </w:rPr>
      </w:pPr>
      <w:r>
        <w:rPr>
          <w:color w:val="auto"/>
          <w:highlight w:val="none"/>
        </w:rPr>
        <w:t>项目所在区域为《声环境质量标准》（GB3096-2008）2类区，项目建设前后噪声级增加3～5dB（A），评价范围内无声环境保护目标，根据《环境影响评价技术导则 声环境》（HJ2.4-2021），判定声环境评价工作等级为二级。声环境评价等级判定依据见表2.</w:t>
      </w:r>
      <w:r>
        <w:rPr>
          <w:rFonts w:hint="eastAsia"/>
          <w:color w:val="auto"/>
          <w:highlight w:val="none"/>
        </w:rPr>
        <w:t>5</w:t>
      </w:r>
      <w:r>
        <w:rPr>
          <w:color w:val="auto"/>
          <w:highlight w:val="none"/>
        </w:rPr>
        <w:t>-</w:t>
      </w:r>
      <w:r>
        <w:rPr>
          <w:rFonts w:hint="eastAsia"/>
          <w:color w:val="auto"/>
          <w:highlight w:val="none"/>
        </w:rPr>
        <w:t>8</w:t>
      </w:r>
      <w:r>
        <w:rPr>
          <w:color w:val="auto"/>
          <w:highlight w:val="none"/>
        </w:rPr>
        <w:t>。</w:t>
      </w:r>
    </w:p>
    <w:p w14:paraId="79C1C490">
      <w:pPr>
        <w:pStyle w:val="40"/>
        <w:spacing w:before="24" w:after="24"/>
        <w:rPr>
          <w:color w:val="auto"/>
          <w:highlight w:val="none"/>
        </w:rPr>
      </w:pPr>
      <w:r>
        <w:rPr>
          <w:color w:val="auto"/>
          <w:highlight w:val="none"/>
        </w:rPr>
        <w:t>表2.5-8   声环境评价工作等级判定依据</w:t>
      </w: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68"/>
        <w:gridCol w:w="1658"/>
        <w:gridCol w:w="3156"/>
        <w:gridCol w:w="2128"/>
      </w:tblGrid>
      <w:tr w14:paraId="7288BB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71" w:type="dxa"/>
            <w:tcBorders>
              <w:tl2br w:val="nil"/>
              <w:tr2bl w:val="nil"/>
            </w:tcBorders>
            <w:vAlign w:val="center"/>
          </w:tcPr>
          <w:p w14:paraId="199EC512">
            <w:pPr>
              <w:pStyle w:val="41"/>
              <w:widowControl w:val="0"/>
              <w:rPr>
                <w:color w:val="auto"/>
                <w:highlight w:val="none"/>
              </w:rPr>
            </w:pPr>
            <w:r>
              <w:rPr>
                <w:color w:val="auto"/>
                <w:highlight w:val="none"/>
              </w:rPr>
              <w:t>评价等级判别依据</w:t>
            </w:r>
          </w:p>
        </w:tc>
        <w:tc>
          <w:tcPr>
            <w:tcW w:w="1660" w:type="dxa"/>
            <w:tcBorders>
              <w:tl2br w:val="nil"/>
              <w:tr2bl w:val="nil"/>
            </w:tcBorders>
            <w:vAlign w:val="center"/>
          </w:tcPr>
          <w:p w14:paraId="7AFB07A5">
            <w:pPr>
              <w:pStyle w:val="41"/>
              <w:widowControl w:val="0"/>
              <w:rPr>
                <w:color w:val="auto"/>
                <w:highlight w:val="none"/>
              </w:rPr>
            </w:pPr>
            <w:r>
              <w:rPr>
                <w:color w:val="auto"/>
                <w:highlight w:val="none"/>
              </w:rPr>
              <w:t>声环境功能区类别</w:t>
            </w:r>
          </w:p>
        </w:tc>
        <w:tc>
          <w:tcPr>
            <w:tcW w:w="3160" w:type="dxa"/>
            <w:tcBorders>
              <w:tl2br w:val="nil"/>
              <w:tr2bl w:val="nil"/>
            </w:tcBorders>
            <w:vAlign w:val="center"/>
          </w:tcPr>
          <w:p w14:paraId="0B61496B">
            <w:pPr>
              <w:pStyle w:val="41"/>
              <w:widowControl w:val="0"/>
              <w:rPr>
                <w:color w:val="auto"/>
                <w:highlight w:val="none"/>
              </w:rPr>
            </w:pPr>
            <w:r>
              <w:rPr>
                <w:color w:val="auto"/>
                <w:highlight w:val="none"/>
              </w:rPr>
              <w:t>项目建设前后评价范围内敏感目标噪声级增高量</w:t>
            </w:r>
          </w:p>
        </w:tc>
        <w:tc>
          <w:tcPr>
            <w:tcW w:w="2131" w:type="dxa"/>
            <w:tcBorders>
              <w:tl2br w:val="nil"/>
              <w:tr2bl w:val="nil"/>
            </w:tcBorders>
            <w:vAlign w:val="center"/>
          </w:tcPr>
          <w:p w14:paraId="2E4A46BE">
            <w:pPr>
              <w:pStyle w:val="41"/>
              <w:widowControl w:val="0"/>
              <w:rPr>
                <w:color w:val="auto"/>
                <w:highlight w:val="none"/>
              </w:rPr>
            </w:pPr>
            <w:r>
              <w:rPr>
                <w:color w:val="auto"/>
                <w:highlight w:val="none"/>
              </w:rPr>
              <w:t>受噪声影响范围内的人口数量</w:t>
            </w:r>
          </w:p>
        </w:tc>
      </w:tr>
      <w:tr w14:paraId="09FD8D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71" w:type="dxa"/>
            <w:tcBorders>
              <w:tl2br w:val="nil"/>
              <w:tr2bl w:val="nil"/>
            </w:tcBorders>
            <w:vAlign w:val="center"/>
          </w:tcPr>
          <w:p w14:paraId="029558E2">
            <w:pPr>
              <w:pStyle w:val="41"/>
              <w:widowControl w:val="0"/>
              <w:rPr>
                <w:color w:val="auto"/>
                <w:highlight w:val="none"/>
              </w:rPr>
            </w:pPr>
            <w:r>
              <w:rPr>
                <w:color w:val="auto"/>
                <w:highlight w:val="none"/>
              </w:rPr>
              <w:t>一级评价</w:t>
            </w:r>
          </w:p>
        </w:tc>
        <w:tc>
          <w:tcPr>
            <w:tcW w:w="1660" w:type="dxa"/>
            <w:tcBorders>
              <w:tl2br w:val="nil"/>
              <w:tr2bl w:val="nil"/>
            </w:tcBorders>
            <w:vAlign w:val="center"/>
          </w:tcPr>
          <w:p w14:paraId="367F9903">
            <w:pPr>
              <w:pStyle w:val="41"/>
              <w:widowControl w:val="0"/>
              <w:rPr>
                <w:color w:val="auto"/>
                <w:highlight w:val="none"/>
              </w:rPr>
            </w:pPr>
            <w:r>
              <w:rPr>
                <w:color w:val="auto"/>
                <w:highlight w:val="none"/>
              </w:rPr>
              <w:t>0类</w:t>
            </w:r>
          </w:p>
        </w:tc>
        <w:tc>
          <w:tcPr>
            <w:tcW w:w="3160" w:type="dxa"/>
            <w:tcBorders>
              <w:tl2br w:val="nil"/>
              <w:tr2bl w:val="nil"/>
            </w:tcBorders>
            <w:vAlign w:val="center"/>
          </w:tcPr>
          <w:p w14:paraId="581DE9CC">
            <w:pPr>
              <w:pStyle w:val="41"/>
              <w:widowControl w:val="0"/>
              <w:rPr>
                <w:color w:val="auto"/>
                <w:highlight w:val="none"/>
              </w:rPr>
            </w:pPr>
            <w:r>
              <w:rPr>
                <w:color w:val="auto"/>
                <w:highlight w:val="none"/>
              </w:rPr>
              <w:t>大于5dB（A）[不含5dB（A）]</w:t>
            </w:r>
          </w:p>
        </w:tc>
        <w:tc>
          <w:tcPr>
            <w:tcW w:w="2131" w:type="dxa"/>
            <w:tcBorders>
              <w:tl2br w:val="nil"/>
              <w:tr2bl w:val="nil"/>
            </w:tcBorders>
            <w:vAlign w:val="center"/>
          </w:tcPr>
          <w:p w14:paraId="0E9F228F">
            <w:pPr>
              <w:pStyle w:val="41"/>
              <w:widowControl w:val="0"/>
              <w:rPr>
                <w:color w:val="auto"/>
                <w:highlight w:val="none"/>
              </w:rPr>
            </w:pPr>
            <w:r>
              <w:rPr>
                <w:color w:val="auto"/>
                <w:highlight w:val="none"/>
              </w:rPr>
              <w:t>显著增多</w:t>
            </w:r>
          </w:p>
        </w:tc>
      </w:tr>
      <w:tr w14:paraId="456C84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71" w:type="dxa"/>
            <w:tcBorders>
              <w:tl2br w:val="nil"/>
              <w:tr2bl w:val="nil"/>
            </w:tcBorders>
            <w:vAlign w:val="center"/>
          </w:tcPr>
          <w:p w14:paraId="5F2C76F9">
            <w:pPr>
              <w:pStyle w:val="41"/>
              <w:widowControl w:val="0"/>
              <w:rPr>
                <w:color w:val="auto"/>
                <w:highlight w:val="none"/>
              </w:rPr>
            </w:pPr>
            <w:r>
              <w:rPr>
                <w:color w:val="auto"/>
                <w:highlight w:val="none"/>
              </w:rPr>
              <w:t>二级评价</w:t>
            </w:r>
          </w:p>
        </w:tc>
        <w:tc>
          <w:tcPr>
            <w:tcW w:w="1660" w:type="dxa"/>
            <w:tcBorders>
              <w:tl2br w:val="nil"/>
              <w:tr2bl w:val="nil"/>
            </w:tcBorders>
            <w:vAlign w:val="center"/>
          </w:tcPr>
          <w:p w14:paraId="47DD07FF">
            <w:pPr>
              <w:pStyle w:val="41"/>
              <w:widowControl w:val="0"/>
              <w:rPr>
                <w:color w:val="auto"/>
                <w:highlight w:val="none"/>
              </w:rPr>
            </w:pPr>
            <w:r>
              <w:rPr>
                <w:color w:val="auto"/>
                <w:highlight w:val="none"/>
              </w:rPr>
              <w:t>1类、2类</w:t>
            </w:r>
          </w:p>
        </w:tc>
        <w:tc>
          <w:tcPr>
            <w:tcW w:w="3160" w:type="dxa"/>
            <w:tcBorders>
              <w:tl2br w:val="nil"/>
              <w:tr2bl w:val="nil"/>
            </w:tcBorders>
            <w:vAlign w:val="center"/>
          </w:tcPr>
          <w:p w14:paraId="05889DCD">
            <w:pPr>
              <w:pStyle w:val="41"/>
              <w:widowControl w:val="0"/>
              <w:rPr>
                <w:color w:val="auto"/>
                <w:highlight w:val="none"/>
              </w:rPr>
            </w:pPr>
            <w:r>
              <w:rPr>
                <w:color w:val="auto"/>
                <w:highlight w:val="none"/>
              </w:rPr>
              <w:t>3~5dB（A）[含5dB（A）]</w:t>
            </w:r>
          </w:p>
        </w:tc>
        <w:tc>
          <w:tcPr>
            <w:tcW w:w="2131" w:type="dxa"/>
            <w:tcBorders>
              <w:tl2br w:val="nil"/>
              <w:tr2bl w:val="nil"/>
            </w:tcBorders>
            <w:vAlign w:val="center"/>
          </w:tcPr>
          <w:p w14:paraId="651A84FB">
            <w:pPr>
              <w:pStyle w:val="41"/>
              <w:widowControl w:val="0"/>
              <w:rPr>
                <w:color w:val="auto"/>
                <w:highlight w:val="none"/>
              </w:rPr>
            </w:pPr>
            <w:r>
              <w:rPr>
                <w:color w:val="auto"/>
                <w:highlight w:val="none"/>
              </w:rPr>
              <w:t>增加较多</w:t>
            </w:r>
          </w:p>
        </w:tc>
      </w:tr>
      <w:tr w14:paraId="309258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71" w:type="dxa"/>
            <w:tcBorders>
              <w:tl2br w:val="nil"/>
              <w:tr2bl w:val="nil"/>
            </w:tcBorders>
            <w:vAlign w:val="center"/>
          </w:tcPr>
          <w:p w14:paraId="6F1B4B44">
            <w:pPr>
              <w:pStyle w:val="41"/>
              <w:widowControl w:val="0"/>
              <w:rPr>
                <w:color w:val="auto"/>
                <w:highlight w:val="none"/>
              </w:rPr>
            </w:pPr>
            <w:r>
              <w:rPr>
                <w:color w:val="auto"/>
                <w:highlight w:val="none"/>
              </w:rPr>
              <w:t>三级评价</w:t>
            </w:r>
          </w:p>
        </w:tc>
        <w:tc>
          <w:tcPr>
            <w:tcW w:w="1660" w:type="dxa"/>
            <w:tcBorders>
              <w:tl2br w:val="nil"/>
              <w:tr2bl w:val="nil"/>
            </w:tcBorders>
            <w:vAlign w:val="center"/>
          </w:tcPr>
          <w:p w14:paraId="052367BE">
            <w:pPr>
              <w:pStyle w:val="41"/>
              <w:widowControl w:val="0"/>
              <w:rPr>
                <w:color w:val="auto"/>
                <w:highlight w:val="none"/>
              </w:rPr>
            </w:pPr>
            <w:r>
              <w:rPr>
                <w:color w:val="auto"/>
                <w:highlight w:val="none"/>
              </w:rPr>
              <w:t>3类、4类</w:t>
            </w:r>
          </w:p>
        </w:tc>
        <w:tc>
          <w:tcPr>
            <w:tcW w:w="3160" w:type="dxa"/>
            <w:tcBorders>
              <w:tl2br w:val="nil"/>
              <w:tr2bl w:val="nil"/>
            </w:tcBorders>
            <w:vAlign w:val="center"/>
          </w:tcPr>
          <w:p w14:paraId="3A4F9733">
            <w:pPr>
              <w:pStyle w:val="41"/>
              <w:widowControl w:val="0"/>
              <w:rPr>
                <w:color w:val="auto"/>
                <w:highlight w:val="none"/>
              </w:rPr>
            </w:pPr>
            <w:r>
              <w:rPr>
                <w:color w:val="auto"/>
                <w:highlight w:val="none"/>
              </w:rPr>
              <w:t>小于3dB（A）[不含3dB（A）]</w:t>
            </w:r>
          </w:p>
        </w:tc>
        <w:tc>
          <w:tcPr>
            <w:tcW w:w="2131" w:type="dxa"/>
            <w:tcBorders>
              <w:tl2br w:val="nil"/>
              <w:tr2bl w:val="nil"/>
            </w:tcBorders>
            <w:vAlign w:val="center"/>
          </w:tcPr>
          <w:p w14:paraId="1A685BB1">
            <w:pPr>
              <w:pStyle w:val="41"/>
              <w:widowControl w:val="0"/>
              <w:rPr>
                <w:color w:val="auto"/>
                <w:highlight w:val="none"/>
              </w:rPr>
            </w:pPr>
            <w:r>
              <w:rPr>
                <w:color w:val="auto"/>
                <w:highlight w:val="none"/>
              </w:rPr>
              <w:t>变化不大</w:t>
            </w:r>
          </w:p>
        </w:tc>
      </w:tr>
    </w:tbl>
    <w:p w14:paraId="7965F049">
      <w:pPr>
        <w:pStyle w:val="3"/>
        <w:ind w:firstLine="480"/>
        <w:rPr>
          <w:color w:val="auto"/>
          <w:highlight w:val="none"/>
        </w:rPr>
      </w:pPr>
      <w:r>
        <w:rPr>
          <w:color w:val="auto"/>
          <w:highlight w:val="none"/>
        </w:rPr>
        <w:t>（2）评价范围</w:t>
      </w:r>
    </w:p>
    <w:p w14:paraId="56C020B9">
      <w:pPr>
        <w:pStyle w:val="3"/>
        <w:ind w:firstLine="480"/>
        <w:rPr>
          <w:color w:val="auto"/>
          <w:highlight w:val="none"/>
        </w:rPr>
      </w:pPr>
      <w:r>
        <w:rPr>
          <w:color w:val="auto"/>
          <w:highlight w:val="none"/>
        </w:rPr>
        <w:t>项目声环境评价等级为二级，根据《环境影响评价技术导则 声环境》（HJ2.4-2021）确定本项目声环境评价范围为</w:t>
      </w:r>
      <w:r>
        <w:rPr>
          <w:rFonts w:hint="eastAsia"/>
          <w:color w:val="auto"/>
          <w:highlight w:val="none"/>
          <w:lang w:eastAsia="zh-CN"/>
        </w:rPr>
        <w:t>厂界</w:t>
      </w:r>
      <w:r>
        <w:rPr>
          <w:color w:val="auto"/>
          <w:highlight w:val="none"/>
        </w:rPr>
        <w:t>外和道路两侧200m区域。</w:t>
      </w:r>
    </w:p>
    <w:p w14:paraId="23B42AF5">
      <w:pPr>
        <w:pStyle w:val="42"/>
        <w:rPr>
          <w:rFonts w:hint="default"/>
          <w:color w:val="auto"/>
          <w:highlight w:val="none"/>
        </w:rPr>
      </w:pPr>
      <w:r>
        <w:rPr>
          <w:rFonts w:hint="default"/>
          <w:color w:val="auto"/>
          <w:highlight w:val="none"/>
        </w:rPr>
        <w:t>环境风险</w:t>
      </w:r>
    </w:p>
    <w:p w14:paraId="51E0B2FF">
      <w:pPr>
        <w:pStyle w:val="3"/>
        <w:ind w:firstLine="480"/>
        <w:rPr>
          <w:color w:val="auto"/>
          <w:highlight w:val="none"/>
        </w:rPr>
      </w:pPr>
      <w:bookmarkStart w:id="192" w:name="_Toc395712421"/>
      <w:bookmarkStart w:id="193" w:name="_Toc357506045"/>
      <w:bookmarkStart w:id="194" w:name="_Toc356403999"/>
      <w:bookmarkStart w:id="195" w:name="_Toc358185903"/>
      <w:bookmarkStart w:id="196" w:name="_Toc334109885"/>
      <w:bookmarkStart w:id="197" w:name="_Toc391050946"/>
      <w:r>
        <w:rPr>
          <w:color w:val="auto"/>
          <w:highlight w:val="none"/>
        </w:rPr>
        <w:t>（1）</w:t>
      </w:r>
      <w:r>
        <w:rPr>
          <w:rFonts w:hint="eastAsia"/>
          <w:color w:val="auto"/>
          <w:highlight w:val="none"/>
        </w:rPr>
        <w:t>选矿厂</w:t>
      </w:r>
    </w:p>
    <w:p w14:paraId="343FD11B">
      <w:pPr>
        <w:pStyle w:val="3"/>
        <w:ind w:firstLine="480"/>
        <w:rPr>
          <w:color w:val="auto"/>
          <w:highlight w:val="none"/>
        </w:rPr>
      </w:pPr>
      <w:r>
        <w:rPr>
          <w:color w:val="auto"/>
          <w:highlight w:val="none"/>
        </w:rPr>
        <w:t>根据《建设项目环境风险评价技术导则》（HJ169-2018），建设项目涉及的物质及工艺系统危险性和所在地的环境敏感性确定环境风险潜势，按照表2.5-</w:t>
      </w:r>
      <w:r>
        <w:rPr>
          <w:rFonts w:hint="eastAsia"/>
          <w:color w:val="auto"/>
          <w:highlight w:val="none"/>
        </w:rPr>
        <w:t>9</w:t>
      </w:r>
      <w:r>
        <w:rPr>
          <w:color w:val="auto"/>
          <w:highlight w:val="none"/>
        </w:rPr>
        <w:t>确定评价工作等级。风险潜势为Ⅳ及以上，进行一级评价；风险潜势为Ⅲ，进行二级评价；风险潜势为Ⅱ，进行三级评价；风险潜势为Ⅰ，可开展简单分析。</w:t>
      </w:r>
    </w:p>
    <w:p w14:paraId="0F45C4F0">
      <w:pPr>
        <w:pStyle w:val="40"/>
        <w:spacing w:before="24" w:after="24"/>
        <w:rPr>
          <w:color w:val="auto"/>
          <w:highlight w:val="none"/>
        </w:rPr>
      </w:pPr>
      <w:r>
        <w:rPr>
          <w:color w:val="auto"/>
          <w:highlight w:val="none"/>
        </w:rPr>
        <w:t>表2.5-</w:t>
      </w:r>
      <w:r>
        <w:rPr>
          <w:rFonts w:hint="eastAsia"/>
          <w:color w:val="auto"/>
          <w:highlight w:val="none"/>
        </w:rPr>
        <w:t>9</w:t>
      </w:r>
      <w:r>
        <w:rPr>
          <w:color w:val="auto"/>
          <w:highlight w:val="none"/>
        </w:rPr>
        <w:t xml:space="preserve">    评价工作等级划分</w:t>
      </w:r>
    </w:p>
    <w:tbl>
      <w:tblPr>
        <w:tblStyle w:val="25"/>
        <w:tblW w:w="85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71"/>
        <w:gridCol w:w="1671"/>
        <w:gridCol w:w="1636"/>
        <w:gridCol w:w="1680"/>
        <w:gridCol w:w="1661"/>
      </w:tblGrid>
      <w:tr w14:paraId="5FA51A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 w:hRule="atLeast"/>
          <w:jc w:val="center"/>
        </w:trPr>
        <w:tc>
          <w:tcPr>
            <w:tcW w:w="1871" w:type="dxa"/>
            <w:tcBorders>
              <w:tl2br w:val="nil"/>
              <w:tr2bl w:val="nil"/>
            </w:tcBorders>
            <w:vAlign w:val="center"/>
          </w:tcPr>
          <w:p w14:paraId="02A0F3A6">
            <w:pPr>
              <w:pStyle w:val="41"/>
              <w:rPr>
                <w:color w:val="auto"/>
                <w:highlight w:val="none"/>
              </w:rPr>
            </w:pPr>
            <w:r>
              <w:rPr>
                <w:color w:val="auto"/>
                <w:highlight w:val="none"/>
              </w:rPr>
              <w:t>环境风险潜势</w:t>
            </w:r>
          </w:p>
        </w:tc>
        <w:tc>
          <w:tcPr>
            <w:tcW w:w="1671" w:type="dxa"/>
            <w:tcBorders>
              <w:tl2br w:val="nil"/>
              <w:tr2bl w:val="nil"/>
            </w:tcBorders>
            <w:vAlign w:val="center"/>
          </w:tcPr>
          <w:p w14:paraId="73AFCD37">
            <w:pPr>
              <w:pStyle w:val="41"/>
              <w:rPr>
                <w:color w:val="auto"/>
                <w:highlight w:val="none"/>
              </w:rPr>
            </w:pPr>
            <w:r>
              <w:rPr>
                <w:color w:val="auto"/>
                <w:highlight w:val="none"/>
              </w:rPr>
              <w:t>Ⅳ、Ⅳ+</w:t>
            </w:r>
          </w:p>
        </w:tc>
        <w:tc>
          <w:tcPr>
            <w:tcW w:w="1636" w:type="dxa"/>
            <w:tcBorders>
              <w:tl2br w:val="nil"/>
              <w:tr2bl w:val="nil"/>
            </w:tcBorders>
            <w:vAlign w:val="center"/>
          </w:tcPr>
          <w:p w14:paraId="3A60B3BD">
            <w:pPr>
              <w:pStyle w:val="41"/>
              <w:rPr>
                <w:color w:val="auto"/>
                <w:highlight w:val="none"/>
              </w:rPr>
            </w:pPr>
            <w:r>
              <w:rPr>
                <w:color w:val="auto"/>
                <w:highlight w:val="none"/>
              </w:rPr>
              <w:t>Ⅲ</w:t>
            </w:r>
          </w:p>
        </w:tc>
        <w:tc>
          <w:tcPr>
            <w:tcW w:w="1680" w:type="dxa"/>
            <w:tcBorders>
              <w:tl2br w:val="nil"/>
              <w:tr2bl w:val="nil"/>
            </w:tcBorders>
            <w:vAlign w:val="center"/>
          </w:tcPr>
          <w:p w14:paraId="2ADC34B3">
            <w:pPr>
              <w:pStyle w:val="41"/>
              <w:rPr>
                <w:color w:val="auto"/>
                <w:highlight w:val="none"/>
              </w:rPr>
            </w:pPr>
            <w:r>
              <w:rPr>
                <w:color w:val="auto"/>
                <w:highlight w:val="none"/>
              </w:rPr>
              <w:t>Ⅱ</w:t>
            </w:r>
          </w:p>
        </w:tc>
        <w:tc>
          <w:tcPr>
            <w:tcW w:w="1661" w:type="dxa"/>
            <w:tcBorders>
              <w:tl2br w:val="nil"/>
              <w:tr2bl w:val="nil"/>
            </w:tcBorders>
            <w:vAlign w:val="center"/>
          </w:tcPr>
          <w:p w14:paraId="5CDE851A">
            <w:pPr>
              <w:pStyle w:val="41"/>
              <w:rPr>
                <w:color w:val="auto"/>
                <w:highlight w:val="none"/>
              </w:rPr>
            </w:pPr>
            <w:r>
              <w:rPr>
                <w:color w:val="auto"/>
                <w:highlight w:val="none"/>
              </w:rPr>
              <w:t>Ⅰ</w:t>
            </w:r>
          </w:p>
        </w:tc>
      </w:tr>
      <w:tr w14:paraId="1B4984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 w:hRule="atLeast"/>
          <w:jc w:val="center"/>
        </w:trPr>
        <w:tc>
          <w:tcPr>
            <w:tcW w:w="1871" w:type="dxa"/>
            <w:tcBorders>
              <w:tl2br w:val="nil"/>
              <w:tr2bl w:val="nil"/>
            </w:tcBorders>
            <w:vAlign w:val="center"/>
          </w:tcPr>
          <w:p w14:paraId="5BFB4058">
            <w:pPr>
              <w:pStyle w:val="41"/>
              <w:rPr>
                <w:color w:val="auto"/>
                <w:highlight w:val="none"/>
              </w:rPr>
            </w:pPr>
            <w:r>
              <w:rPr>
                <w:color w:val="auto"/>
                <w:highlight w:val="none"/>
              </w:rPr>
              <w:t>评价工作等级</w:t>
            </w:r>
          </w:p>
        </w:tc>
        <w:tc>
          <w:tcPr>
            <w:tcW w:w="1671" w:type="dxa"/>
            <w:tcBorders>
              <w:tl2br w:val="nil"/>
              <w:tr2bl w:val="nil"/>
            </w:tcBorders>
            <w:vAlign w:val="center"/>
          </w:tcPr>
          <w:p w14:paraId="50E0501A">
            <w:pPr>
              <w:pStyle w:val="41"/>
              <w:rPr>
                <w:color w:val="auto"/>
                <w:highlight w:val="none"/>
              </w:rPr>
            </w:pPr>
            <w:r>
              <w:rPr>
                <w:color w:val="auto"/>
                <w:highlight w:val="none"/>
              </w:rPr>
              <w:t>一</w:t>
            </w:r>
          </w:p>
        </w:tc>
        <w:tc>
          <w:tcPr>
            <w:tcW w:w="1636" w:type="dxa"/>
            <w:tcBorders>
              <w:tl2br w:val="nil"/>
              <w:tr2bl w:val="nil"/>
            </w:tcBorders>
            <w:vAlign w:val="center"/>
          </w:tcPr>
          <w:p w14:paraId="486DD102">
            <w:pPr>
              <w:pStyle w:val="41"/>
              <w:rPr>
                <w:color w:val="auto"/>
                <w:highlight w:val="none"/>
              </w:rPr>
            </w:pPr>
            <w:r>
              <w:rPr>
                <w:color w:val="auto"/>
                <w:highlight w:val="none"/>
              </w:rPr>
              <w:t>二</w:t>
            </w:r>
          </w:p>
        </w:tc>
        <w:tc>
          <w:tcPr>
            <w:tcW w:w="1680" w:type="dxa"/>
            <w:tcBorders>
              <w:tl2br w:val="nil"/>
              <w:tr2bl w:val="nil"/>
            </w:tcBorders>
            <w:vAlign w:val="center"/>
          </w:tcPr>
          <w:p w14:paraId="37F81238">
            <w:pPr>
              <w:pStyle w:val="41"/>
              <w:rPr>
                <w:color w:val="auto"/>
                <w:highlight w:val="none"/>
              </w:rPr>
            </w:pPr>
            <w:r>
              <w:rPr>
                <w:color w:val="auto"/>
                <w:highlight w:val="none"/>
              </w:rPr>
              <w:t>三</w:t>
            </w:r>
          </w:p>
        </w:tc>
        <w:tc>
          <w:tcPr>
            <w:tcW w:w="1661" w:type="dxa"/>
            <w:tcBorders>
              <w:tl2br w:val="nil"/>
              <w:tr2bl w:val="nil"/>
            </w:tcBorders>
            <w:vAlign w:val="center"/>
          </w:tcPr>
          <w:p w14:paraId="42DFB5AD">
            <w:pPr>
              <w:pStyle w:val="41"/>
              <w:rPr>
                <w:color w:val="auto"/>
                <w:highlight w:val="none"/>
              </w:rPr>
            </w:pPr>
            <w:r>
              <w:rPr>
                <w:color w:val="auto"/>
                <w:highlight w:val="none"/>
              </w:rPr>
              <w:t>简单分析a</w:t>
            </w:r>
          </w:p>
        </w:tc>
      </w:tr>
      <w:tr w14:paraId="7D0C7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 w:hRule="atLeast"/>
          <w:jc w:val="center"/>
        </w:trPr>
        <w:tc>
          <w:tcPr>
            <w:tcW w:w="8519" w:type="dxa"/>
            <w:gridSpan w:val="5"/>
            <w:tcBorders>
              <w:tl2br w:val="nil"/>
              <w:tr2bl w:val="nil"/>
            </w:tcBorders>
            <w:vAlign w:val="center"/>
          </w:tcPr>
          <w:p w14:paraId="6E7441C8">
            <w:pPr>
              <w:pStyle w:val="41"/>
              <w:rPr>
                <w:color w:val="auto"/>
                <w:highlight w:val="none"/>
              </w:rPr>
            </w:pPr>
            <w:r>
              <w:rPr>
                <w:color w:val="auto"/>
                <w:highlight w:val="none"/>
              </w:rPr>
              <w:t>a是相对于详细评价工作内容而言，在描述危险物质、环境影响途径、环境危害后果、风险防范措施等方面给出定性的说明。</w:t>
            </w:r>
          </w:p>
        </w:tc>
      </w:tr>
    </w:tbl>
    <w:p w14:paraId="62C1DA00">
      <w:pPr>
        <w:pStyle w:val="3"/>
        <w:ind w:firstLine="480"/>
        <w:rPr>
          <w:color w:val="auto"/>
          <w:highlight w:val="none"/>
        </w:rPr>
      </w:pPr>
      <w:r>
        <w:rPr>
          <w:color w:val="auto"/>
          <w:highlight w:val="none"/>
        </w:rPr>
        <w:t>项目选矿厂Q=0.01</w:t>
      </w:r>
      <w:r>
        <w:rPr>
          <w:rFonts w:hint="eastAsia"/>
          <w:color w:val="auto"/>
          <w:highlight w:val="none"/>
        </w:rPr>
        <w:t>86</w:t>
      </w:r>
      <w:r>
        <w:rPr>
          <w:color w:val="auto"/>
          <w:highlight w:val="none"/>
        </w:rPr>
        <w:t>&lt;1，环境风险潜势Ⅰ类，仅需简单评价分析。</w:t>
      </w:r>
    </w:p>
    <w:p w14:paraId="41D51E92">
      <w:pPr>
        <w:pStyle w:val="3"/>
        <w:ind w:firstLine="480"/>
        <w:rPr>
          <w:color w:val="auto"/>
          <w:highlight w:val="none"/>
        </w:rPr>
      </w:pPr>
      <w:r>
        <w:rPr>
          <w:rFonts w:hint="eastAsia"/>
          <w:color w:val="auto"/>
          <w:highlight w:val="none"/>
        </w:rPr>
        <w:t>（2）</w:t>
      </w:r>
      <w:r>
        <w:rPr>
          <w:color w:val="auto"/>
          <w:highlight w:val="none"/>
        </w:rPr>
        <w:t>尾矿库</w:t>
      </w:r>
    </w:p>
    <w:p w14:paraId="2802A873">
      <w:pPr>
        <w:pStyle w:val="3"/>
        <w:ind w:firstLine="480"/>
        <w:rPr>
          <w:color w:val="auto"/>
          <w:highlight w:val="none"/>
        </w:rPr>
      </w:pPr>
      <w:r>
        <w:rPr>
          <w:color w:val="auto"/>
          <w:highlight w:val="none"/>
        </w:rPr>
        <w:t>尾矿库风险参照《尾矿库环境风险评估技术导则（试行）》（HJ740-2015）对项目环境风险等级进行评估</w:t>
      </w:r>
      <w:r>
        <w:rPr>
          <w:rFonts w:hint="eastAsia"/>
          <w:color w:val="auto"/>
          <w:highlight w:val="none"/>
        </w:rPr>
        <w:t>，确定本次尾矿库环境风险等级为一般（H2S3R3）。</w:t>
      </w:r>
    </w:p>
    <w:p w14:paraId="0904FC5A">
      <w:pPr>
        <w:pStyle w:val="3"/>
        <w:ind w:firstLine="480"/>
        <w:rPr>
          <w:color w:val="auto"/>
          <w:highlight w:val="none"/>
        </w:rPr>
      </w:pPr>
      <w:r>
        <w:rPr>
          <w:color w:val="auto"/>
          <w:highlight w:val="none"/>
        </w:rPr>
        <w:t>（</w:t>
      </w:r>
      <w:r>
        <w:rPr>
          <w:rFonts w:hint="eastAsia"/>
          <w:color w:val="auto"/>
          <w:highlight w:val="none"/>
          <w:lang w:val="en-US" w:eastAsia="zh-CN"/>
        </w:rPr>
        <w:t>3</w:t>
      </w:r>
      <w:r>
        <w:rPr>
          <w:color w:val="auto"/>
          <w:highlight w:val="none"/>
        </w:rPr>
        <w:t>）评价范围</w:t>
      </w:r>
    </w:p>
    <w:p w14:paraId="1F51C17E">
      <w:pPr>
        <w:pStyle w:val="3"/>
        <w:ind w:firstLine="480"/>
        <w:rPr>
          <w:color w:val="auto"/>
          <w:highlight w:val="none"/>
        </w:rPr>
      </w:pPr>
      <w:r>
        <w:rPr>
          <w:color w:val="auto"/>
          <w:highlight w:val="none"/>
        </w:rPr>
        <w:t>根据《建设项目环境风险评价技术导则》（HJ 169-2018），</w:t>
      </w:r>
      <w:r>
        <w:rPr>
          <w:rFonts w:hint="eastAsia"/>
          <w:color w:val="auto"/>
          <w:highlight w:val="none"/>
        </w:rPr>
        <w:t>选矿厂为简单分析，不设置评价范围。</w:t>
      </w:r>
    </w:p>
    <w:p w14:paraId="1E78CC7A">
      <w:pPr>
        <w:pStyle w:val="3"/>
        <w:ind w:firstLine="480"/>
        <w:rPr>
          <w:color w:val="auto"/>
          <w:highlight w:val="none"/>
        </w:rPr>
      </w:pPr>
      <w:r>
        <w:rPr>
          <w:color w:val="auto"/>
          <w:highlight w:val="none"/>
        </w:rPr>
        <w:t>项目尾矿库主要的环境风险为尾矿库溃坝风险，因此环境风险评价范围为尾矿库及尾矿库下游不小于80倍坝高（</w:t>
      </w:r>
      <w:r>
        <w:rPr>
          <w:rFonts w:hint="eastAsia"/>
          <w:color w:val="auto"/>
          <w:highlight w:val="none"/>
        </w:rPr>
        <w:t>115</w:t>
      </w:r>
      <w:r>
        <w:rPr>
          <w:color w:val="auto"/>
          <w:highlight w:val="none"/>
        </w:rPr>
        <w:t>m），即尾矿库及下游</w:t>
      </w:r>
      <w:r>
        <w:rPr>
          <w:rFonts w:hint="eastAsia"/>
          <w:color w:val="auto"/>
          <w:highlight w:val="none"/>
        </w:rPr>
        <w:t>9.2</w:t>
      </w:r>
      <w:r>
        <w:rPr>
          <w:color w:val="auto"/>
          <w:highlight w:val="none"/>
        </w:rPr>
        <w:t>km范围的区域</w:t>
      </w:r>
      <w:r>
        <w:rPr>
          <w:rFonts w:hint="eastAsia"/>
          <w:color w:val="auto"/>
          <w:highlight w:val="none"/>
        </w:rPr>
        <w:t>。</w:t>
      </w:r>
    </w:p>
    <w:p w14:paraId="1B4925A9">
      <w:pPr>
        <w:pStyle w:val="42"/>
        <w:rPr>
          <w:rFonts w:hint="default"/>
          <w:color w:val="auto"/>
          <w:highlight w:val="none"/>
        </w:rPr>
      </w:pPr>
      <w:r>
        <w:rPr>
          <w:rFonts w:hint="default"/>
          <w:color w:val="auto"/>
          <w:highlight w:val="none"/>
        </w:rPr>
        <w:t>土壤环境</w:t>
      </w:r>
    </w:p>
    <w:p w14:paraId="603686DB">
      <w:pPr>
        <w:pStyle w:val="3"/>
        <w:ind w:firstLine="480"/>
        <w:rPr>
          <w:color w:val="auto"/>
          <w:highlight w:val="none"/>
        </w:rPr>
      </w:pPr>
      <w:r>
        <w:rPr>
          <w:color w:val="auto"/>
          <w:highlight w:val="none"/>
        </w:rPr>
        <w:t>（1）项目类别</w:t>
      </w:r>
    </w:p>
    <w:p w14:paraId="26E05DD2">
      <w:pPr>
        <w:pStyle w:val="3"/>
        <w:ind w:firstLine="480"/>
        <w:rPr>
          <w:color w:val="auto"/>
          <w:highlight w:val="none"/>
        </w:rPr>
      </w:pPr>
      <w:r>
        <w:rPr>
          <w:color w:val="auto"/>
          <w:highlight w:val="none"/>
        </w:rPr>
        <w:t>根据《环境影响评价技术导则土壤环境》（HJ964-2018）附录A土壤环境影响评价项目类别，本项目为Ⅰ类项目</w:t>
      </w:r>
      <w:r>
        <w:rPr>
          <w:rFonts w:hint="eastAsia"/>
          <w:color w:val="auto"/>
          <w:highlight w:val="none"/>
        </w:rPr>
        <w:t>“金属矿、石油、页岩油开采”</w:t>
      </w:r>
      <w:r>
        <w:rPr>
          <w:color w:val="auto"/>
          <w:highlight w:val="none"/>
        </w:rPr>
        <w:t>。</w:t>
      </w:r>
      <w:r>
        <w:rPr>
          <w:rFonts w:hint="eastAsia"/>
          <w:color w:val="auto"/>
          <w:highlight w:val="none"/>
        </w:rPr>
        <w:t>土壤环境影响类型为污染影响型。</w:t>
      </w:r>
    </w:p>
    <w:p w14:paraId="087C081A">
      <w:pPr>
        <w:pStyle w:val="3"/>
        <w:ind w:firstLine="480"/>
        <w:rPr>
          <w:color w:val="auto"/>
          <w:highlight w:val="none"/>
        </w:rPr>
      </w:pPr>
      <w:r>
        <w:rPr>
          <w:color w:val="auto"/>
          <w:highlight w:val="none"/>
        </w:rPr>
        <w:t>（2）土壤环境敏感程度</w:t>
      </w:r>
    </w:p>
    <w:p w14:paraId="194F7383">
      <w:pPr>
        <w:pStyle w:val="3"/>
        <w:ind w:firstLine="480"/>
        <w:rPr>
          <w:color w:val="auto"/>
          <w:highlight w:val="none"/>
        </w:rPr>
      </w:pPr>
      <w:r>
        <w:rPr>
          <w:color w:val="auto"/>
          <w:highlight w:val="none"/>
        </w:rPr>
        <w:t>本项目</w:t>
      </w:r>
      <w:r>
        <w:rPr>
          <w:rFonts w:hint="eastAsia"/>
          <w:color w:val="auto"/>
          <w:highlight w:val="none"/>
        </w:rPr>
        <w:t>周围主要为裸土地</w:t>
      </w:r>
      <w:r>
        <w:rPr>
          <w:color w:val="auto"/>
          <w:highlight w:val="none"/>
        </w:rPr>
        <w:t>，根据《环境影响评价技术导则 土壤环境（试行）》（HJ964-2018）中土壤环境污染影响型敏感程度分级规定，判定本项目的土壤环境敏感程度为</w:t>
      </w:r>
      <w:r>
        <w:rPr>
          <w:rFonts w:hint="eastAsia"/>
          <w:color w:val="auto"/>
          <w:highlight w:val="none"/>
        </w:rPr>
        <w:t>不</w:t>
      </w:r>
      <w:r>
        <w:rPr>
          <w:color w:val="auto"/>
          <w:highlight w:val="none"/>
        </w:rPr>
        <w:t>敏感，具体见表2.5-1</w:t>
      </w:r>
      <w:r>
        <w:rPr>
          <w:rFonts w:hint="eastAsia"/>
          <w:color w:val="auto"/>
          <w:highlight w:val="none"/>
        </w:rPr>
        <w:t>0</w:t>
      </w:r>
      <w:r>
        <w:rPr>
          <w:color w:val="auto"/>
          <w:highlight w:val="none"/>
        </w:rPr>
        <w:t>。</w:t>
      </w:r>
    </w:p>
    <w:p w14:paraId="180F268F">
      <w:pPr>
        <w:pStyle w:val="40"/>
        <w:spacing w:before="24" w:after="24"/>
        <w:rPr>
          <w:color w:val="auto"/>
          <w:highlight w:val="none"/>
        </w:rPr>
      </w:pPr>
      <w:r>
        <w:rPr>
          <w:color w:val="auto"/>
          <w:highlight w:val="none"/>
        </w:rPr>
        <w:t>表2.5-1</w:t>
      </w:r>
      <w:r>
        <w:rPr>
          <w:rFonts w:hint="eastAsia"/>
          <w:color w:val="auto"/>
          <w:highlight w:val="none"/>
        </w:rPr>
        <w:t>0</w:t>
      </w:r>
      <w:r>
        <w:rPr>
          <w:color w:val="auto"/>
          <w:highlight w:val="none"/>
        </w:rPr>
        <w:t xml:space="preserve">    污染影响型敏感程度分级表</w:t>
      </w:r>
    </w:p>
    <w:tbl>
      <w:tblPr>
        <w:tblStyle w:val="26"/>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7402"/>
      </w:tblGrid>
      <w:tr w14:paraId="5824EC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50" w:type="pct"/>
            <w:tcBorders>
              <w:tl2br w:val="nil"/>
              <w:tr2bl w:val="nil"/>
            </w:tcBorders>
            <w:vAlign w:val="center"/>
          </w:tcPr>
          <w:p w14:paraId="1846F7BF">
            <w:pPr>
              <w:pStyle w:val="41"/>
              <w:widowControl w:val="0"/>
              <w:rPr>
                <w:color w:val="auto"/>
                <w:highlight w:val="none"/>
              </w:rPr>
            </w:pPr>
            <w:r>
              <w:rPr>
                <w:color w:val="auto"/>
                <w:highlight w:val="none"/>
              </w:rPr>
              <w:t>敏感程度</w:t>
            </w:r>
          </w:p>
        </w:tc>
        <w:tc>
          <w:tcPr>
            <w:tcW w:w="4349" w:type="pct"/>
            <w:tcBorders>
              <w:tl2br w:val="nil"/>
              <w:tr2bl w:val="nil"/>
            </w:tcBorders>
            <w:vAlign w:val="center"/>
          </w:tcPr>
          <w:p w14:paraId="759B0BE9">
            <w:pPr>
              <w:pStyle w:val="41"/>
              <w:widowControl w:val="0"/>
              <w:rPr>
                <w:color w:val="auto"/>
                <w:highlight w:val="none"/>
              </w:rPr>
            </w:pPr>
            <w:r>
              <w:rPr>
                <w:color w:val="auto"/>
                <w:highlight w:val="none"/>
              </w:rPr>
              <w:t>判别依据</w:t>
            </w:r>
          </w:p>
        </w:tc>
      </w:tr>
      <w:tr w14:paraId="3C48AB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50" w:type="pct"/>
            <w:tcBorders>
              <w:tl2br w:val="nil"/>
              <w:tr2bl w:val="nil"/>
            </w:tcBorders>
            <w:vAlign w:val="center"/>
          </w:tcPr>
          <w:p w14:paraId="1B8AD73D">
            <w:pPr>
              <w:pStyle w:val="41"/>
              <w:widowControl w:val="0"/>
              <w:rPr>
                <w:color w:val="auto"/>
                <w:highlight w:val="none"/>
              </w:rPr>
            </w:pPr>
            <w:r>
              <w:rPr>
                <w:color w:val="auto"/>
                <w:highlight w:val="none"/>
              </w:rPr>
              <w:t>敏感</w:t>
            </w:r>
          </w:p>
        </w:tc>
        <w:tc>
          <w:tcPr>
            <w:tcW w:w="4349" w:type="pct"/>
            <w:tcBorders>
              <w:tl2br w:val="nil"/>
              <w:tr2bl w:val="nil"/>
            </w:tcBorders>
            <w:vAlign w:val="center"/>
          </w:tcPr>
          <w:p w14:paraId="387003A5">
            <w:pPr>
              <w:pStyle w:val="41"/>
              <w:widowControl w:val="0"/>
              <w:rPr>
                <w:color w:val="auto"/>
                <w:highlight w:val="none"/>
              </w:rPr>
            </w:pPr>
            <w:r>
              <w:rPr>
                <w:color w:val="auto"/>
                <w:highlight w:val="none"/>
              </w:rPr>
              <w:t>建设项目周边存在耕地、园地、牧草地、饮用水水源地或居民区、学校、医院、疗养院养老院等土壤环境敏感目标的</w:t>
            </w:r>
          </w:p>
        </w:tc>
      </w:tr>
      <w:tr w14:paraId="0CD7F3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50" w:type="pct"/>
            <w:tcBorders>
              <w:tl2br w:val="nil"/>
              <w:tr2bl w:val="nil"/>
            </w:tcBorders>
            <w:vAlign w:val="center"/>
          </w:tcPr>
          <w:p w14:paraId="4AE94B09">
            <w:pPr>
              <w:pStyle w:val="41"/>
              <w:widowControl w:val="0"/>
              <w:rPr>
                <w:color w:val="auto"/>
                <w:highlight w:val="none"/>
              </w:rPr>
            </w:pPr>
            <w:r>
              <w:rPr>
                <w:color w:val="auto"/>
                <w:highlight w:val="none"/>
              </w:rPr>
              <w:t>较敏感</w:t>
            </w:r>
          </w:p>
        </w:tc>
        <w:tc>
          <w:tcPr>
            <w:tcW w:w="4349" w:type="pct"/>
            <w:tcBorders>
              <w:tl2br w:val="nil"/>
              <w:tr2bl w:val="nil"/>
            </w:tcBorders>
            <w:vAlign w:val="center"/>
          </w:tcPr>
          <w:p w14:paraId="72F06ECF">
            <w:pPr>
              <w:pStyle w:val="41"/>
              <w:widowControl w:val="0"/>
              <w:rPr>
                <w:color w:val="auto"/>
                <w:highlight w:val="none"/>
              </w:rPr>
            </w:pPr>
            <w:r>
              <w:rPr>
                <w:color w:val="auto"/>
                <w:highlight w:val="none"/>
              </w:rPr>
              <w:t>建设项目周边存在其他土壤环境敏感目标的</w:t>
            </w:r>
          </w:p>
        </w:tc>
      </w:tr>
      <w:tr w14:paraId="5EF28B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50" w:type="pct"/>
            <w:tcBorders>
              <w:tl2br w:val="nil"/>
              <w:tr2bl w:val="nil"/>
            </w:tcBorders>
            <w:vAlign w:val="center"/>
          </w:tcPr>
          <w:p w14:paraId="53A69DD1">
            <w:pPr>
              <w:pStyle w:val="41"/>
              <w:widowControl w:val="0"/>
              <w:rPr>
                <w:color w:val="auto"/>
                <w:highlight w:val="none"/>
              </w:rPr>
            </w:pPr>
            <w:r>
              <w:rPr>
                <w:color w:val="auto"/>
                <w:highlight w:val="none"/>
              </w:rPr>
              <w:t>不敏感</w:t>
            </w:r>
          </w:p>
        </w:tc>
        <w:tc>
          <w:tcPr>
            <w:tcW w:w="4349" w:type="pct"/>
            <w:tcBorders>
              <w:tl2br w:val="nil"/>
              <w:tr2bl w:val="nil"/>
            </w:tcBorders>
            <w:vAlign w:val="center"/>
          </w:tcPr>
          <w:p w14:paraId="3A014CF8">
            <w:pPr>
              <w:pStyle w:val="41"/>
              <w:widowControl w:val="0"/>
              <w:rPr>
                <w:color w:val="auto"/>
                <w:highlight w:val="none"/>
              </w:rPr>
            </w:pPr>
            <w:r>
              <w:rPr>
                <w:color w:val="auto"/>
                <w:highlight w:val="none"/>
              </w:rPr>
              <w:t>其他情况</w:t>
            </w:r>
          </w:p>
        </w:tc>
      </w:tr>
    </w:tbl>
    <w:p w14:paraId="19CF4974">
      <w:pPr>
        <w:pStyle w:val="3"/>
        <w:ind w:firstLine="480"/>
        <w:rPr>
          <w:color w:val="auto"/>
          <w:highlight w:val="none"/>
        </w:rPr>
      </w:pPr>
      <w:r>
        <w:rPr>
          <w:color w:val="auto"/>
          <w:highlight w:val="none"/>
        </w:rPr>
        <w:t>（3）评价工作等级判定</w:t>
      </w:r>
    </w:p>
    <w:p w14:paraId="404194EC">
      <w:pPr>
        <w:pStyle w:val="3"/>
        <w:ind w:firstLine="480"/>
        <w:rPr>
          <w:color w:val="auto"/>
          <w:highlight w:val="none"/>
        </w:rPr>
      </w:pPr>
      <w:r>
        <w:rPr>
          <w:rFonts w:hint="eastAsia"/>
          <w:color w:val="auto"/>
          <w:highlight w:val="none"/>
        </w:rPr>
        <w:t>本项目选矿厂总用地面积39.388hm</w:t>
      </w:r>
      <w:r>
        <w:rPr>
          <w:rFonts w:hint="eastAsia"/>
          <w:color w:val="auto"/>
          <w:highlight w:val="none"/>
          <w:vertAlign w:val="superscript"/>
        </w:rPr>
        <w:t>2</w:t>
      </w:r>
      <w:r>
        <w:rPr>
          <w:rFonts w:hint="eastAsia"/>
          <w:color w:val="auto"/>
          <w:highlight w:val="none"/>
        </w:rPr>
        <w:t>，占地规模为中型（5~50hm</w:t>
      </w:r>
      <w:r>
        <w:rPr>
          <w:rFonts w:hint="eastAsia"/>
          <w:color w:val="auto"/>
          <w:highlight w:val="none"/>
          <w:vertAlign w:val="superscript"/>
        </w:rPr>
        <w:t>2</w:t>
      </w:r>
      <w:r>
        <w:rPr>
          <w:rFonts w:hint="eastAsia"/>
          <w:color w:val="auto"/>
          <w:highlight w:val="none"/>
        </w:rPr>
        <w:t>）；尾矿库区占地面积85.76hm</w:t>
      </w:r>
      <w:r>
        <w:rPr>
          <w:rFonts w:hint="eastAsia"/>
          <w:color w:val="auto"/>
          <w:highlight w:val="none"/>
          <w:vertAlign w:val="superscript"/>
        </w:rPr>
        <w:t>2</w:t>
      </w:r>
      <w:r>
        <w:rPr>
          <w:rFonts w:hint="eastAsia"/>
          <w:color w:val="auto"/>
          <w:highlight w:val="none"/>
        </w:rPr>
        <w:t>，占地规模为大型（≥50hm</w:t>
      </w:r>
      <w:r>
        <w:rPr>
          <w:rFonts w:hint="eastAsia"/>
          <w:color w:val="auto"/>
          <w:highlight w:val="none"/>
          <w:vertAlign w:val="superscript"/>
        </w:rPr>
        <w:t>2</w:t>
      </w:r>
      <w:r>
        <w:rPr>
          <w:rFonts w:hint="eastAsia"/>
          <w:color w:val="auto"/>
          <w:highlight w:val="none"/>
        </w:rPr>
        <w:t>）。</w:t>
      </w:r>
      <w:r>
        <w:rPr>
          <w:color w:val="auto"/>
          <w:highlight w:val="none"/>
        </w:rPr>
        <w:t>本项目</w:t>
      </w:r>
      <w:r>
        <w:rPr>
          <w:rFonts w:hint="eastAsia"/>
          <w:color w:val="auto"/>
          <w:highlight w:val="none"/>
        </w:rPr>
        <w:t>土壤</w:t>
      </w:r>
      <w:r>
        <w:rPr>
          <w:color w:val="auto"/>
          <w:highlight w:val="none"/>
        </w:rPr>
        <w:t>影响评价工作等级判定结果见表2.5-</w:t>
      </w:r>
      <w:r>
        <w:rPr>
          <w:rFonts w:hint="eastAsia"/>
          <w:color w:val="auto"/>
          <w:highlight w:val="none"/>
        </w:rPr>
        <w:t>11</w:t>
      </w:r>
      <w:r>
        <w:rPr>
          <w:color w:val="auto"/>
          <w:highlight w:val="none"/>
        </w:rPr>
        <w:t>。</w:t>
      </w:r>
    </w:p>
    <w:p w14:paraId="2EFAFAE7">
      <w:pPr>
        <w:pStyle w:val="40"/>
        <w:spacing w:before="24" w:after="24"/>
        <w:rPr>
          <w:color w:val="auto"/>
          <w:highlight w:val="none"/>
        </w:rPr>
      </w:pPr>
      <w:r>
        <w:rPr>
          <w:color w:val="auto"/>
          <w:highlight w:val="none"/>
        </w:rPr>
        <w:t>表2.5-</w:t>
      </w:r>
      <w:r>
        <w:rPr>
          <w:rFonts w:hint="eastAsia"/>
          <w:color w:val="auto"/>
          <w:highlight w:val="none"/>
        </w:rPr>
        <w:t>11</w:t>
      </w:r>
      <w:r>
        <w:rPr>
          <w:color w:val="auto"/>
          <w:highlight w:val="none"/>
        </w:rPr>
        <w:t xml:space="preserve">    污染影响型评价工作等级判定结果表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876"/>
        <w:gridCol w:w="737"/>
        <w:gridCol w:w="737"/>
        <w:gridCol w:w="737"/>
        <w:gridCol w:w="737"/>
        <w:gridCol w:w="737"/>
        <w:gridCol w:w="616"/>
        <w:gridCol w:w="714"/>
        <w:gridCol w:w="737"/>
        <w:gridCol w:w="745"/>
      </w:tblGrid>
      <w:tr w14:paraId="35A8ED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876" w:type="dxa"/>
            <w:vMerge w:val="restart"/>
            <w:vAlign w:val="center"/>
          </w:tcPr>
          <w:p w14:paraId="6D78293C">
            <w:pPr>
              <w:pStyle w:val="41"/>
              <w:rPr>
                <w:color w:val="auto"/>
                <w:highlight w:val="none"/>
              </w:rPr>
            </w:pPr>
            <w:r>
              <w:rPr>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374650</wp:posOffset>
                      </wp:positionH>
                      <wp:positionV relativeFrom="paragraph">
                        <wp:posOffset>33020</wp:posOffset>
                      </wp:positionV>
                      <wp:extent cx="755650" cy="600075"/>
                      <wp:effectExtent l="3175" t="3810" r="3175" b="5715"/>
                      <wp:wrapNone/>
                      <wp:docPr id="8" name="直接箭头连接符 8"/>
                      <wp:cNvGraphicFramePr/>
                      <a:graphic xmlns:a="http://schemas.openxmlformats.org/drawingml/2006/main">
                        <a:graphicData uri="http://schemas.microsoft.com/office/word/2010/wordprocessingShape">
                          <wps:wsp>
                            <wps:cNvCnPr>
                              <a:cxnSpLocks noChangeShapeType="1"/>
                            </wps:cNvCnPr>
                            <wps:spPr bwMode="auto">
                              <a:xfrm flipH="1" flipV="1">
                                <a:off x="0" y="0"/>
                                <a:ext cx="755650" cy="600075"/>
                              </a:xfrm>
                              <a:prstGeom prst="straightConnector1">
                                <a:avLst/>
                              </a:prstGeom>
                              <a:noFill/>
                              <a:ln w="6350">
                                <a:solidFill>
                                  <a:srgbClr val="000000"/>
                                </a:solidFill>
                                <a:round/>
                              </a:ln>
                              <a:effectLst/>
                            </wps:spPr>
                            <wps:bodyPr/>
                          </wps:wsp>
                        </a:graphicData>
                      </a:graphic>
                    </wp:anchor>
                  </w:drawing>
                </mc:Choice>
                <mc:Fallback>
                  <w:pict>
                    <v:shape id="_x0000_s1026" o:spid="_x0000_s1026" o:spt="32" type="#_x0000_t32" style="position:absolute;left:0pt;flip:x y;margin-left:29.5pt;margin-top:2.6pt;height:47.25pt;width:59.5pt;z-index:251661312;mso-width-relative:page;mso-height-relative:page;" filled="f" stroked="t" coordsize="21600,21600" o:gfxdata="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MDkiv1gAAAAcBAAAPAAAAAAAAAAEAIAAAACIAAABkcnMv&#10;ZG93bnJldi54bWxQSwECFAAUAAAACACHTuJAGarhuAUCAADkAwAADgAAAAAAAAABACAAAAAlAQAA&#10;ZHJzL2Uyb0RvYy54bWxQSwUGAAAAAAYABgBZAQAAnAUAAAAA&#10;">
                      <v:fill on="f" focussize="0,0"/>
                      <v:stroke weight="0.5pt" color="#000000" joinstyle="round"/>
                      <v:imagedata o:title=""/>
                      <o:lock v:ext="edit" aspectratio="f"/>
                    </v:shape>
                  </w:pict>
                </mc:Fallback>
              </mc:AlternateContent>
            </w:r>
            <w:r>
              <w:rPr>
                <w:color w:val="auto"/>
                <w:highlight w:val="none"/>
              </w:rPr>
              <w:t>占地规模</w:t>
            </w:r>
          </w:p>
          <w:p w14:paraId="35D2E147">
            <w:pPr>
              <w:pStyle w:val="41"/>
              <w:rPr>
                <w:color w:val="auto"/>
                <w:highlight w:val="none"/>
              </w:rPr>
            </w:pPr>
            <w:r>
              <w:rPr>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-33655</wp:posOffset>
                      </wp:positionH>
                      <wp:positionV relativeFrom="paragraph">
                        <wp:posOffset>145415</wp:posOffset>
                      </wp:positionV>
                      <wp:extent cx="1175385" cy="302260"/>
                      <wp:effectExtent l="1270" t="4445" r="4445" b="17145"/>
                      <wp:wrapNone/>
                      <wp:docPr id="3" name="直接箭头连接符 3"/>
                      <wp:cNvGraphicFramePr/>
                      <a:graphic xmlns:a="http://schemas.openxmlformats.org/drawingml/2006/main">
                        <a:graphicData uri="http://schemas.microsoft.com/office/word/2010/wordprocessingShape">
                          <wps:wsp>
                            <wps:cNvCnPr>
                              <a:cxnSpLocks noChangeShapeType="1"/>
                            </wps:cNvCnPr>
                            <wps:spPr bwMode="auto">
                              <a:xfrm flipH="1" flipV="1">
                                <a:off x="0" y="0"/>
                                <a:ext cx="1175385" cy="302260"/>
                              </a:xfrm>
                              <a:prstGeom prst="straightConnector1">
                                <a:avLst/>
                              </a:prstGeom>
                              <a:noFill/>
                              <a:ln w="6350">
                                <a:solidFill>
                                  <a:srgbClr val="000000"/>
                                </a:solidFill>
                                <a:round/>
                              </a:ln>
                              <a:effectLst/>
                            </wps:spPr>
                            <wps:bodyPr/>
                          </wps:wsp>
                        </a:graphicData>
                      </a:graphic>
                    </wp:anchor>
                  </w:drawing>
                </mc:Choice>
                <mc:Fallback>
                  <w:pict>
                    <v:shape id="_x0000_s1026" o:spid="_x0000_s1026" o:spt="32" type="#_x0000_t32" style="position:absolute;left:0pt;flip:x y;margin-left:-2.65pt;margin-top:11.45pt;height:23.8pt;width:92.55pt;z-index:251660288;mso-width-relative:page;mso-height-relative:page;" filled="f" stroked="t" coordsize="21600,21600" o:gfxdata="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cGSR9gAAAAIAQAADwAAAAAAAAABACAAAAAi&#10;AAAAZHJzL2Rvd25yZXYueG1sUEsBAhQAFAAAAAgAh07iQHsOZN8KAgAA5QMAAA4AAAAAAAAAAQAg&#10;AAAAJwEAAGRycy9lMm9Eb2MueG1sUEsFBgAAAAAGAAYAWQEAAKMFAAAAAA==&#10;">
                      <v:fill on="f" focussize="0,0"/>
                      <v:stroke weight="0.5pt" color="#000000" joinstyle="round"/>
                      <v:imagedata o:title=""/>
                      <o:lock v:ext="edit" aspectratio="f"/>
                    </v:shape>
                  </w:pict>
                </mc:Fallback>
              </mc:AlternateContent>
            </w:r>
            <w:r>
              <w:rPr>
                <w:color w:val="auto"/>
                <w:highlight w:val="none"/>
              </w:rPr>
              <w:t>评价工作等级</w:t>
            </w:r>
          </w:p>
          <w:p w14:paraId="76192BA5">
            <w:pPr>
              <w:pStyle w:val="41"/>
              <w:rPr>
                <w:color w:val="auto"/>
                <w:highlight w:val="none"/>
              </w:rPr>
            </w:pPr>
            <w:r>
              <w:rPr>
                <w:color w:val="auto"/>
                <w:highlight w:val="none"/>
              </w:rPr>
              <w:t>敏感程度</w:t>
            </w:r>
          </w:p>
        </w:tc>
        <w:tc>
          <w:tcPr>
            <w:tcW w:w="2211" w:type="dxa"/>
            <w:gridSpan w:val="3"/>
            <w:vAlign w:val="center"/>
          </w:tcPr>
          <w:p w14:paraId="3EAC4464">
            <w:pPr>
              <w:pStyle w:val="41"/>
              <w:rPr>
                <w:color w:val="auto"/>
                <w:highlight w:val="none"/>
              </w:rPr>
            </w:pPr>
            <w:r>
              <w:rPr>
                <w:color w:val="auto"/>
                <w:highlight w:val="none"/>
              </w:rPr>
              <w:t>Ⅰ类</w:t>
            </w:r>
          </w:p>
        </w:tc>
        <w:tc>
          <w:tcPr>
            <w:tcW w:w="2090" w:type="dxa"/>
            <w:gridSpan w:val="3"/>
            <w:vAlign w:val="center"/>
          </w:tcPr>
          <w:p w14:paraId="71C87615">
            <w:pPr>
              <w:pStyle w:val="41"/>
              <w:rPr>
                <w:color w:val="auto"/>
                <w:highlight w:val="none"/>
              </w:rPr>
            </w:pPr>
            <w:r>
              <w:rPr>
                <w:color w:val="auto"/>
                <w:highlight w:val="none"/>
              </w:rPr>
              <w:t>Ⅱ类</w:t>
            </w:r>
          </w:p>
        </w:tc>
        <w:tc>
          <w:tcPr>
            <w:tcW w:w="2196" w:type="dxa"/>
            <w:gridSpan w:val="3"/>
            <w:vAlign w:val="center"/>
          </w:tcPr>
          <w:p w14:paraId="326707F4">
            <w:pPr>
              <w:pStyle w:val="41"/>
              <w:rPr>
                <w:color w:val="auto"/>
                <w:highlight w:val="none"/>
              </w:rPr>
            </w:pPr>
            <w:r>
              <w:rPr>
                <w:color w:val="auto"/>
                <w:highlight w:val="none"/>
              </w:rPr>
              <w:t>Ⅲ类</w:t>
            </w:r>
          </w:p>
        </w:tc>
      </w:tr>
      <w:tr w14:paraId="4B701B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876" w:type="dxa"/>
            <w:vMerge w:val="continue"/>
            <w:vAlign w:val="center"/>
          </w:tcPr>
          <w:p w14:paraId="2C9C4FD7">
            <w:pPr>
              <w:pStyle w:val="41"/>
              <w:rPr>
                <w:color w:val="auto"/>
                <w:highlight w:val="none"/>
              </w:rPr>
            </w:pPr>
          </w:p>
        </w:tc>
        <w:tc>
          <w:tcPr>
            <w:tcW w:w="737" w:type="dxa"/>
            <w:vAlign w:val="center"/>
          </w:tcPr>
          <w:p w14:paraId="03AFC5B3">
            <w:pPr>
              <w:pStyle w:val="41"/>
              <w:rPr>
                <w:color w:val="auto"/>
                <w:highlight w:val="none"/>
              </w:rPr>
            </w:pPr>
            <w:r>
              <w:rPr>
                <w:color w:val="auto"/>
                <w:highlight w:val="none"/>
              </w:rPr>
              <w:t>大</w:t>
            </w:r>
          </w:p>
        </w:tc>
        <w:tc>
          <w:tcPr>
            <w:tcW w:w="737" w:type="dxa"/>
            <w:vAlign w:val="center"/>
          </w:tcPr>
          <w:p w14:paraId="0940084C">
            <w:pPr>
              <w:pStyle w:val="41"/>
              <w:rPr>
                <w:color w:val="auto"/>
                <w:highlight w:val="none"/>
              </w:rPr>
            </w:pPr>
            <w:r>
              <w:rPr>
                <w:color w:val="auto"/>
                <w:highlight w:val="none"/>
              </w:rPr>
              <w:t>中</w:t>
            </w:r>
          </w:p>
        </w:tc>
        <w:tc>
          <w:tcPr>
            <w:tcW w:w="737" w:type="dxa"/>
            <w:vAlign w:val="center"/>
          </w:tcPr>
          <w:p w14:paraId="788AFBC9">
            <w:pPr>
              <w:pStyle w:val="41"/>
              <w:rPr>
                <w:color w:val="auto"/>
                <w:highlight w:val="none"/>
              </w:rPr>
            </w:pPr>
            <w:r>
              <w:rPr>
                <w:color w:val="auto"/>
                <w:highlight w:val="none"/>
              </w:rPr>
              <w:t>小</w:t>
            </w:r>
          </w:p>
        </w:tc>
        <w:tc>
          <w:tcPr>
            <w:tcW w:w="737" w:type="dxa"/>
            <w:vAlign w:val="center"/>
          </w:tcPr>
          <w:p w14:paraId="06EA465C">
            <w:pPr>
              <w:pStyle w:val="41"/>
              <w:rPr>
                <w:color w:val="auto"/>
                <w:highlight w:val="none"/>
              </w:rPr>
            </w:pPr>
            <w:r>
              <w:rPr>
                <w:color w:val="auto"/>
                <w:highlight w:val="none"/>
              </w:rPr>
              <w:t>大</w:t>
            </w:r>
          </w:p>
        </w:tc>
        <w:tc>
          <w:tcPr>
            <w:tcW w:w="737" w:type="dxa"/>
            <w:vAlign w:val="center"/>
          </w:tcPr>
          <w:p w14:paraId="6499E01B">
            <w:pPr>
              <w:pStyle w:val="41"/>
              <w:rPr>
                <w:color w:val="auto"/>
                <w:highlight w:val="none"/>
              </w:rPr>
            </w:pPr>
            <w:r>
              <w:rPr>
                <w:color w:val="auto"/>
                <w:highlight w:val="none"/>
              </w:rPr>
              <w:t>中</w:t>
            </w:r>
          </w:p>
        </w:tc>
        <w:tc>
          <w:tcPr>
            <w:tcW w:w="616" w:type="dxa"/>
            <w:vAlign w:val="center"/>
          </w:tcPr>
          <w:p w14:paraId="7E375DD9">
            <w:pPr>
              <w:pStyle w:val="41"/>
              <w:rPr>
                <w:color w:val="auto"/>
                <w:highlight w:val="none"/>
              </w:rPr>
            </w:pPr>
            <w:r>
              <w:rPr>
                <w:color w:val="auto"/>
                <w:highlight w:val="none"/>
              </w:rPr>
              <w:t>小</w:t>
            </w:r>
          </w:p>
        </w:tc>
        <w:tc>
          <w:tcPr>
            <w:tcW w:w="714" w:type="dxa"/>
            <w:vAlign w:val="center"/>
          </w:tcPr>
          <w:p w14:paraId="2D183935">
            <w:pPr>
              <w:pStyle w:val="41"/>
              <w:rPr>
                <w:color w:val="auto"/>
                <w:highlight w:val="none"/>
              </w:rPr>
            </w:pPr>
            <w:r>
              <w:rPr>
                <w:color w:val="auto"/>
                <w:highlight w:val="none"/>
              </w:rPr>
              <w:t>大</w:t>
            </w:r>
          </w:p>
        </w:tc>
        <w:tc>
          <w:tcPr>
            <w:tcW w:w="737" w:type="dxa"/>
            <w:vAlign w:val="center"/>
          </w:tcPr>
          <w:p w14:paraId="155764F9">
            <w:pPr>
              <w:pStyle w:val="41"/>
              <w:rPr>
                <w:color w:val="auto"/>
                <w:highlight w:val="none"/>
              </w:rPr>
            </w:pPr>
            <w:r>
              <w:rPr>
                <w:color w:val="auto"/>
                <w:highlight w:val="none"/>
              </w:rPr>
              <w:t>中</w:t>
            </w:r>
          </w:p>
        </w:tc>
        <w:tc>
          <w:tcPr>
            <w:tcW w:w="745" w:type="dxa"/>
            <w:vAlign w:val="center"/>
          </w:tcPr>
          <w:p w14:paraId="54C95935">
            <w:pPr>
              <w:pStyle w:val="41"/>
              <w:rPr>
                <w:color w:val="auto"/>
                <w:highlight w:val="none"/>
              </w:rPr>
            </w:pPr>
            <w:r>
              <w:rPr>
                <w:color w:val="auto"/>
                <w:highlight w:val="none"/>
              </w:rPr>
              <w:t>小</w:t>
            </w:r>
          </w:p>
        </w:tc>
      </w:tr>
      <w:tr w14:paraId="7127F0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876" w:type="dxa"/>
            <w:vAlign w:val="center"/>
          </w:tcPr>
          <w:p w14:paraId="26D412AB">
            <w:pPr>
              <w:pStyle w:val="41"/>
              <w:rPr>
                <w:color w:val="auto"/>
                <w:highlight w:val="none"/>
              </w:rPr>
            </w:pPr>
            <w:r>
              <w:rPr>
                <w:color w:val="auto"/>
                <w:highlight w:val="none"/>
              </w:rPr>
              <w:t>敏感</w:t>
            </w:r>
          </w:p>
        </w:tc>
        <w:tc>
          <w:tcPr>
            <w:tcW w:w="737" w:type="dxa"/>
            <w:vAlign w:val="center"/>
          </w:tcPr>
          <w:p w14:paraId="30DCFEB7">
            <w:pPr>
              <w:pStyle w:val="41"/>
              <w:rPr>
                <w:color w:val="auto"/>
                <w:highlight w:val="none"/>
              </w:rPr>
            </w:pPr>
            <w:r>
              <w:rPr>
                <w:color w:val="auto"/>
                <w:highlight w:val="none"/>
              </w:rPr>
              <w:t>一级</w:t>
            </w:r>
          </w:p>
        </w:tc>
        <w:tc>
          <w:tcPr>
            <w:tcW w:w="737" w:type="dxa"/>
            <w:vAlign w:val="center"/>
          </w:tcPr>
          <w:p w14:paraId="29248F18">
            <w:pPr>
              <w:pStyle w:val="41"/>
              <w:rPr>
                <w:color w:val="auto"/>
                <w:highlight w:val="none"/>
              </w:rPr>
            </w:pPr>
            <w:r>
              <w:rPr>
                <w:color w:val="auto"/>
                <w:highlight w:val="none"/>
              </w:rPr>
              <w:t>一级</w:t>
            </w:r>
          </w:p>
        </w:tc>
        <w:tc>
          <w:tcPr>
            <w:tcW w:w="737" w:type="dxa"/>
            <w:vAlign w:val="center"/>
          </w:tcPr>
          <w:p w14:paraId="7A9252AC">
            <w:pPr>
              <w:pStyle w:val="41"/>
              <w:rPr>
                <w:color w:val="auto"/>
                <w:highlight w:val="none"/>
              </w:rPr>
            </w:pPr>
            <w:r>
              <w:rPr>
                <w:color w:val="auto"/>
                <w:highlight w:val="none"/>
              </w:rPr>
              <w:t>一级</w:t>
            </w:r>
          </w:p>
        </w:tc>
        <w:tc>
          <w:tcPr>
            <w:tcW w:w="737" w:type="dxa"/>
            <w:vAlign w:val="center"/>
          </w:tcPr>
          <w:p w14:paraId="5A7A9136">
            <w:pPr>
              <w:pStyle w:val="41"/>
              <w:rPr>
                <w:color w:val="auto"/>
                <w:highlight w:val="none"/>
              </w:rPr>
            </w:pPr>
            <w:r>
              <w:rPr>
                <w:color w:val="auto"/>
                <w:highlight w:val="none"/>
              </w:rPr>
              <w:t>二级</w:t>
            </w:r>
          </w:p>
        </w:tc>
        <w:tc>
          <w:tcPr>
            <w:tcW w:w="737" w:type="dxa"/>
            <w:vAlign w:val="center"/>
          </w:tcPr>
          <w:p w14:paraId="2B21A0DB">
            <w:pPr>
              <w:pStyle w:val="41"/>
              <w:rPr>
                <w:color w:val="auto"/>
                <w:highlight w:val="none"/>
              </w:rPr>
            </w:pPr>
            <w:r>
              <w:rPr>
                <w:color w:val="auto"/>
                <w:highlight w:val="none"/>
              </w:rPr>
              <w:t>二级</w:t>
            </w:r>
          </w:p>
        </w:tc>
        <w:tc>
          <w:tcPr>
            <w:tcW w:w="616" w:type="dxa"/>
            <w:vAlign w:val="center"/>
          </w:tcPr>
          <w:p w14:paraId="4424BC0A">
            <w:pPr>
              <w:pStyle w:val="41"/>
              <w:rPr>
                <w:color w:val="auto"/>
                <w:highlight w:val="none"/>
              </w:rPr>
            </w:pPr>
            <w:r>
              <w:rPr>
                <w:color w:val="auto"/>
                <w:highlight w:val="none"/>
              </w:rPr>
              <w:t>二级</w:t>
            </w:r>
          </w:p>
        </w:tc>
        <w:tc>
          <w:tcPr>
            <w:tcW w:w="714" w:type="dxa"/>
            <w:vAlign w:val="center"/>
          </w:tcPr>
          <w:p w14:paraId="504E943D">
            <w:pPr>
              <w:pStyle w:val="41"/>
              <w:rPr>
                <w:color w:val="auto"/>
                <w:highlight w:val="none"/>
              </w:rPr>
            </w:pPr>
            <w:r>
              <w:rPr>
                <w:color w:val="auto"/>
                <w:highlight w:val="none"/>
              </w:rPr>
              <w:t>三级</w:t>
            </w:r>
          </w:p>
        </w:tc>
        <w:tc>
          <w:tcPr>
            <w:tcW w:w="737" w:type="dxa"/>
            <w:vAlign w:val="center"/>
          </w:tcPr>
          <w:p w14:paraId="7199C25F">
            <w:pPr>
              <w:pStyle w:val="41"/>
              <w:rPr>
                <w:color w:val="auto"/>
                <w:highlight w:val="none"/>
              </w:rPr>
            </w:pPr>
            <w:r>
              <w:rPr>
                <w:color w:val="auto"/>
                <w:highlight w:val="none"/>
              </w:rPr>
              <w:t>三级</w:t>
            </w:r>
          </w:p>
        </w:tc>
        <w:tc>
          <w:tcPr>
            <w:tcW w:w="745" w:type="dxa"/>
            <w:vAlign w:val="center"/>
          </w:tcPr>
          <w:p w14:paraId="32C2AB07">
            <w:pPr>
              <w:pStyle w:val="41"/>
              <w:rPr>
                <w:color w:val="auto"/>
                <w:highlight w:val="none"/>
              </w:rPr>
            </w:pPr>
            <w:r>
              <w:rPr>
                <w:color w:val="auto"/>
                <w:highlight w:val="none"/>
              </w:rPr>
              <w:t>三级</w:t>
            </w:r>
          </w:p>
        </w:tc>
      </w:tr>
      <w:tr w14:paraId="51D868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876" w:type="dxa"/>
            <w:vAlign w:val="center"/>
          </w:tcPr>
          <w:p w14:paraId="243E767D">
            <w:pPr>
              <w:pStyle w:val="41"/>
              <w:rPr>
                <w:color w:val="auto"/>
                <w:highlight w:val="none"/>
              </w:rPr>
            </w:pPr>
            <w:r>
              <w:rPr>
                <w:color w:val="auto"/>
                <w:highlight w:val="none"/>
              </w:rPr>
              <w:t>较敏感</w:t>
            </w:r>
          </w:p>
        </w:tc>
        <w:tc>
          <w:tcPr>
            <w:tcW w:w="737" w:type="dxa"/>
            <w:vAlign w:val="center"/>
          </w:tcPr>
          <w:p w14:paraId="0B544F96">
            <w:pPr>
              <w:pStyle w:val="41"/>
              <w:rPr>
                <w:color w:val="auto"/>
                <w:highlight w:val="none"/>
              </w:rPr>
            </w:pPr>
            <w:r>
              <w:rPr>
                <w:color w:val="auto"/>
                <w:highlight w:val="none"/>
              </w:rPr>
              <w:t>一级</w:t>
            </w:r>
          </w:p>
        </w:tc>
        <w:tc>
          <w:tcPr>
            <w:tcW w:w="737" w:type="dxa"/>
            <w:vAlign w:val="center"/>
          </w:tcPr>
          <w:p w14:paraId="3C7DED7B">
            <w:pPr>
              <w:pStyle w:val="41"/>
              <w:rPr>
                <w:color w:val="auto"/>
                <w:highlight w:val="none"/>
              </w:rPr>
            </w:pPr>
            <w:r>
              <w:rPr>
                <w:color w:val="auto"/>
                <w:highlight w:val="none"/>
              </w:rPr>
              <w:t>一级</w:t>
            </w:r>
          </w:p>
        </w:tc>
        <w:tc>
          <w:tcPr>
            <w:tcW w:w="737" w:type="dxa"/>
            <w:vAlign w:val="center"/>
          </w:tcPr>
          <w:p w14:paraId="460C662B">
            <w:pPr>
              <w:pStyle w:val="41"/>
              <w:rPr>
                <w:color w:val="auto"/>
                <w:highlight w:val="none"/>
              </w:rPr>
            </w:pPr>
            <w:r>
              <w:rPr>
                <w:color w:val="auto"/>
                <w:highlight w:val="none"/>
              </w:rPr>
              <w:t>二级</w:t>
            </w:r>
          </w:p>
        </w:tc>
        <w:tc>
          <w:tcPr>
            <w:tcW w:w="737" w:type="dxa"/>
            <w:vAlign w:val="center"/>
          </w:tcPr>
          <w:p w14:paraId="64B85B55">
            <w:pPr>
              <w:pStyle w:val="41"/>
              <w:rPr>
                <w:color w:val="auto"/>
                <w:highlight w:val="none"/>
              </w:rPr>
            </w:pPr>
            <w:r>
              <w:rPr>
                <w:color w:val="auto"/>
                <w:highlight w:val="none"/>
              </w:rPr>
              <w:t>二级</w:t>
            </w:r>
          </w:p>
        </w:tc>
        <w:tc>
          <w:tcPr>
            <w:tcW w:w="737" w:type="dxa"/>
            <w:vAlign w:val="center"/>
          </w:tcPr>
          <w:p w14:paraId="0F94B24F">
            <w:pPr>
              <w:pStyle w:val="41"/>
              <w:rPr>
                <w:color w:val="auto"/>
                <w:highlight w:val="none"/>
              </w:rPr>
            </w:pPr>
            <w:r>
              <w:rPr>
                <w:color w:val="auto"/>
                <w:highlight w:val="none"/>
              </w:rPr>
              <w:t>二级</w:t>
            </w:r>
          </w:p>
        </w:tc>
        <w:tc>
          <w:tcPr>
            <w:tcW w:w="616" w:type="dxa"/>
            <w:vAlign w:val="center"/>
          </w:tcPr>
          <w:p w14:paraId="56893FCA">
            <w:pPr>
              <w:pStyle w:val="41"/>
              <w:rPr>
                <w:color w:val="auto"/>
                <w:highlight w:val="none"/>
              </w:rPr>
            </w:pPr>
            <w:r>
              <w:rPr>
                <w:color w:val="auto"/>
                <w:highlight w:val="none"/>
              </w:rPr>
              <w:t>三级</w:t>
            </w:r>
          </w:p>
        </w:tc>
        <w:tc>
          <w:tcPr>
            <w:tcW w:w="714" w:type="dxa"/>
            <w:vAlign w:val="center"/>
          </w:tcPr>
          <w:p w14:paraId="6A60FFF9">
            <w:pPr>
              <w:pStyle w:val="41"/>
              <w:rPr>
                <w:color w:val="auto"/>
                <w:highlight w:val="none"/>
              </w:rPr>
            </w:pPr>
            <w:r>
              <w:rPr>
                <w:color w:val="auto"/>
                <w:highlight w:val="none"/>
              </w:rPr>
              <w:t>三级</w:t>
            </w:r>
          </w:p>
        </w:tc>
        <w:tc>
          <w:tcPr>
            <w:tcW w:w="737" w:type="dxa"/>
            <w:vAlign w:val="center"/>
          </w:tcPr>
          <w:p w14:paraId="2648DA43">
            <w:pPr>
              <w:pStyle w:val="41"/>
              <w:rPr>
                <w:color w:val="auto"/>
                <w:highlight w:val="none"/>
              </w:rPr>
            </w:pPr>
            <w:r>
              <w:rPr>
                <w:color w:val="auto"/>
                <w:highlight w:val="none"/>
              </w:rPr>
              <w:t>三级</w:t>
            </w:r>
          </w:p>
        </w:tc>
        <w:tc>
          <w:tcPr>
            <w:tcW w:w="745" w:type="dxa"/>
            <w:vAlign w:val="center"/>
          </w:tcPr>
          <w:p w14:paraId="53E9F7E8">
            <w:pPr>
              <w:pStyle w:val="41"/>
              <w:rPr>
                <w:color w:val="auto"/>
                <w:highlight w:val="none"/>
              </w:rPr>
            </w:pPr>
            <w:r>
              <w:rPr>
                <w:color w:val="auto"/>
                <w:highlight w:val="none"/>
              </w:rPr>
              <w:t>-</w:t>
            </w:r>
          </w:p>
        </w:tc>
      </w:tr>
      <w:tr w14:paraId="09D01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876" w:type="dxa"/>
            <w:vAlign w:val="center"/>
          </w:tcPr>
          <w:p w14:paraId="7632D129">
            <w:pPr>
              <w:pStyle w:val="41"/>
              <w:rPr>
                <w:color w:val="auto"/>
                <w:highlight w:val="none"/>
              </w:rPr>
            </w:pPr>
            <w:r>
              <w:rPr>
                <w:color w:val="auto"/>
                <w:highlight w:val="none"/>
              </w:rPr>
              <w:t>不敏感</w:t>
            </w:r>
          </w:p>
        </w:tc>
        <w:tc>
          <w:tcPr>
            <w:tcW w:w="737" w:type="dxa"/>
            <w:vAlign w:val="center"/>
          </w:tcPr>
          <w:p w14:paraId="168F0895">
            <w:pPr>
              <w:pStyle w:val="41"/>
              <w:rPr>
                <w:color w:val="auto"/>
                <w:highlight w:val="none"/>
              </w:rPr>
            </w:pPr>
            <w:r>
              <w:rPr>
                <w:color w:val="auto"/>
                <w:highlight w:val="none"/>
              </w:rPr>
              <w:t>一级</w:t>
            </w:r>
          </w:p>
        </w:tc>
        <w:tc>
          <w:tcPr>
            <w:tcW w:w="737" w:type="dxa"/>
            <w:vAlign w:val="center"/>
          </w:tcPr>
          <w:p w14:paraId="08490B2F">
            <w:pPr>
              <w:pStyle w:val="41"/>
              <w:rPr>
                <w:color w:val="auto"/>
                <w:highlight w:val="none"/>
              </w:rPr>
            </w:pPr>
            <w:r>
              <w:rPr>
                <w:color w:val="auto"/>
                <w:highlight w:val="none"/>
              </w:rPr>
              <w:t>二级</w:t>
            </w:r>
          </w:p>
        </w:tc>
        <w:tc>
          <w:tcPr>
            <w:tcW w:w="737" w:type="dxa"/>
            <w:vAlign w:val="center"/>
          </w:tcPr>
          <w:p w14:paraId="753EAF63">
            <w:pPr>
              <w:pStyle w:val="41"/>
              <w:rPr>
                <w:color w:val="auto"/>
                <w:highlight w:val="none"/>
              </w:rPr>
            </w:pPr>
            <w:r>
              <w:rPr>
                <w:color w:val="auto"/>
                <w:highlight w:val="none"/>
              </w:rPr>
              <w:t>二级</w:t>
            </w:r>
          </w:p>
        </w:tc>
        <w:tc>
          <w:tcPr>
            <w:tcW w:w="737" w:type="dxa"/>
            <w:vAlign w:val="center"/>
          </w:tcPr>
          <w:p w14:paraId="00DB5457">
            <w:pPr>
              <w:pStyle w:val="41"/>
              <w:rPr>
                <w:color w:val="auto"/>
                <w:highlight w:val="none"/>
              </w:rPr>
            </w:pPr>
            <w:r>
              <w:rPr>
                <w:color w:val="auto"/>
                <w:highlight w:val="none"/>
              </w:rPr>
              <w:t>二级</w:t>
            </w:r>
          </w:p>
        </w:tc>
        <w:tc>
          <w:tcPr>
            <w:tcW w:w="737" w:type="dxa"/>
            <w:vAlign w:val="center"/>
          </w:tcPr>
          <w:p w14:paraId="793F4C51">
            <w:pPr>
              <w:pStyle w:val="41"/>
              <w:rPr>
                <w:color w:val="auto"/>
                <w:highlight w:val="none"/>
              </w:rPr>
            </w:pPr>
            <w:r>
              <w:rPr>
                <w:color w:val="auto"/>
                <w:highlight w:val="none"/>
              </w:rPr>
              <w:t>三级</w:t>
            </w:r>
          </w:p>
        </w:tc>
        <w:tc>
          <w:tcPr>
            <w:tcW w:w="616" w:type="dxa"/>
            <w:vAlign w:val="center"/>
          </w:tcPr>
          <w:p w14:paraId="0C5FC0E8">
            <w:pPr>
              <w:pStyle w:val="41"/>
              <w:rPr>
                <w:color w:val="auto"/>
                <w:highlight w:val="none"/>
              </w:rPr>
            </w:pPr>
            <w:r>
              <w:rPr>
                <w:color w:val="auto"/>
                <w:highlight w:val="none"/>
              </w:rPr>
              <w:t>三级</w:t>
            </w:r>
          </w:p>
        </w:tc>
        <w:tc>
          <w:tcPr>
            <w:tcW w:w="714" w:type="dxa"/>
            <w:vAlign w:val="center"/>
          </w:tcPr>
          <w:p w14:paraId="50783E80">
            <w:pPr>
              <w:pStyle w:val="41"/>
              <w:rPr>
                <w:color w:val="auto"/>
                <w:highlight w:val="none"/>
              </w:rPr>
            </w:pPr>
            <w:r>
              <w:rPr>
                <w:color w:val="auto"/>
                <w:highlight w:val="none"/>
              </w:rPr>
              <w:t>三级</w:t>
            </w:r>
          </w:p>
        </w:tc>
        <w:tc>
          <w:tcPr>
            <w:tcW w:w="737" w:type="dxa"/>
            <w:vAlign w:val="center"/>
          </w:tcPr>
          <w:p w14:paraId="30029383">
            <w:pPr>
              <w:pStyle w:val="41"/>
              <w:rPr>
                <w:color w:val="auto"/>
                <w:highlight w:val="none"/>
              </w:rPr>
            </w:pPr>
            <w:r>
              <w:rPr>
                <w:color w:val="auto"/>
                <w:highlight w:val="none"/>
              </w:rPr>
              <w:t>-</w:t>
            </w:r>
          </w:p>
        </w:tc>
        <w:tc>
          <w:tcPr>
            <w:tcW w:w="745" w:type="dxa"/>
            <w:vAlign w:val="center"/>
          </w:tcPr>
          <w:p w14:paraId="6DE1C85A">
            <w:pPr>
              <w:pStyle w:val="41"/>
              <w:rPr>
                <w:color w:val="auto"/>
                <w:highlight w:val="none"/>
              </w:rPr>
            </w:pPr>
            <w:r>
              <w:rPr>
                <w:color w:val="auto"/>
                <w:highlight w:val="none"/>
              </w:rPr>
              <w:t>-</w:t>
            </w:r>
          </w:p>
        </w:tc>
      </w:tr>
      <w:tr w14:paraId="416F50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8373" w:type="dxa"/>
            <w:gridSpan w:val="10"/>
            <w:vAlign w:val="center"/>
          </w:tcPr>
          <w:p w14:paraId="0EB49972">
            <w:pPr>
              <w:pStyle w:val="41"/>
              <w:rPr>
                <w:color w:val="auto"/>
                <w:highlight w:val="none"/>
              </w:rPr>
            </w:pPr>
            <w:r>
              <w:rPr>
                <w:color w:val="auto"/>
                <w:highlight w:val="none"/>
              </w:rPr>
              <w:t>注：“</w:t>
            </w:r>
            <w:r>
              <w:rPr>
                <w:rFonts w:hint="eastAsia"/>
                <w:color w:val="auto"/>
                <w:highlight w:val="none"/>
                <w:lang w:eastAsia="zh-CN"/>
              </w:rPr>
              <w:t>－</w:t>
            </w:r>
            <w:r>
              <w:rPr>
                <w:color w:val="auto"/>
                <w:highlight w:val="none"/>
              </w:rPr>
              <w:t>”表示可不开展土壤环境影响评价工作</w:t>
            </w:r>
          </w:p>
        </w:tc>
      </w:tr>
      <w:tr w14:paraId="548DCE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876" w:type="dxa"/>
          </w:tcPr>
          <w:p w14:paraId="66807BDF">
            <w:pPr>
              <w:pStyle w:val="41"/>
              <w:rPr>
                <w:color w:val="auto"/>
                <w:highlight w:val="none"/>
              </w:rPr>
            </w:pPr>
            <w:r>
              <w:rPr>
                <w:color w:val="auto"/>
                <w:highlight w:val="none"/>
              </w:rPr>
              <w:t>本项目</w:t>
            </w:r>
          </w:p>
        </w:tc>
        <w:tc>
          <w:tcPr>
            <w:tcW w:w="737" w:type="dxa"/>
          </w:tcPr>
          <w:p w14:paraId="6A1D09CD">
            <w:pPr>
              <w:pStyle w:val="41"/>
              <w:rPr>
                <w:color w:val="auto"/>
                <w:highlight w:val="none"/>
              </w:rPr>
            </w:pPr>
          </w:p>
        </w:tc>
        <w:tc>
          <w:tcPr>
            <w:tcW w:w="737" w:type="dxa"/>
          </w:tcPr>
          <w:p w14:paraId="770DFDF9">
            <w:pPr>
              <w:pStyle w:val="41"/>
              <w:rPr>
                <w:color w:val="auto"/>
                <w:highlight w:val="none"/>
              </w:rPr>
            </w:pPr>
          </w:p>
        </w:tc>
        <w:tc>
          <w:tcPr>
            <w:tcW w:w="737" w:type="dxa"/>
          </w:tcPr>
          <w:p w14:paraId="6ED52700">
            <w:pPr>
              <w:pStyle w:val="41"/>
              <w:rPr>
                <w:color w:val="auto"/>
                <w:highlight w:val="none"/>
              </w:rPr>
            </w:pPr>
          </w:p>
        </w:tc>
        <w:tc>
          <w:tcPr>
            <w:tcW w:w="737" w:type="dxa"/>
          </w:tcPr>
          <w:p w14:paraId="02461A6C">
            <w:pPr>
              <w:pStyle w:val="41"/>
              <w:rPr>
                <w:color w:val="auto"/>
                <w:highlight w:val="none"/>
              </w:rPr>
            </w:pPr>
          </w:p>
        </w:tc>
        <w:tc>
          <w:tcPr>
            <w:tcW w:w="737" w:type="dxa"/>
          </w:tcPr>
          <w:p w14:paraId="5670589B">
            <w:pPr>
              <w:pStyle w:val="41"/>
              <w:rPr>
                <w:color w:val="auto"/>
                <w:highlight w:val="none"/>
              </w:rPr>
            </w:pPr>
          </w:p>
        </w:tc>
        <w:tc>
          <w:tcPr>
            <w:tcW w:w="616" w:type="dxa"/>
          </w:tcPr>
          <w:p w14:paraId="2F041511">
            <w:pPr>
              <w:pStyle w:val="41"/>
              <w:rPr>
                <w:color w:val="auto"/>
                <w:highlight w:val="none"/>
              </w:rPr>
            </w:pPr>
          </w:p>
        </w:tc>
        <w:tc>
          <w:tcPr>
            <w:tcW w:w="714" w:type="dxa"/>
          </w:tcPr>
          <w:p w14:paraId="4AA90717">
            <w:pPr>
              <w:pStyle w:val="41"/>
              <w:rPr>
                <w:color w:val="auto"/>
                <w:highlight w:val="none"/>
              </w:rPr>
            </w:pPr>
          </w:p>
        </w:tc>
        <w:tc>
          <w:tcPr>
            <w:tcW w:w="737" w:type="dxa"/>
          </w:tcPr>
          <w:p w14:paraId="5181D5FF">
            <w:pPr>
              <w:pStyle w:val="41"/>
              <w:rPr>
                <w:color w:val="auto"/>
                <w:highlight w:val="none"/>
              </w:rPr>
            </w:pPr>
          </w:p>
        </w:tc>
        <w:tc>
          <w:tcPr>
            <w:tcW w:w="745" w:type="dxa"/>
          </w:tcPr>
          <w:p w14:paraId="7CFB6CE7">
            <w:pPr>
              <w:pStyle w:val="41"/>
              <w:rPr>
                <w:color w:val="auto"/>
                <w:highlight w:val="none"/>
              </w:rPr>
            </w:pPr>
          </w:p>
        </w:tc>
      </w:tr>
      <w:tr w14:paraId="2277EA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876" w:type="dxa"/>
          </w:tcPr>
          <w:p w14:paraId="5F467C68">
            <w:pPr>
              <w:pStyle w:val="41"/>
              <w:rPr>
                <w:color w:val="auto"/>
                <w:highlight w:val="none"/>
              </w:rPr>
            </w:pPr>
            <w:r>
              <w:rPr>
                <w:rFonts w:hint="eastAsia"/>
                <w:color w:val="auto"/>
                <w:highlight w:val="none"/>
              </w:rPr>
              <w:t>选矿厂</w:t>
            </w:r>
          </w:p>
        </w:tc>
        <w:tc>
          <w:tcPr>
            <w:tcW w:w="737" w:type="dxa"/>
          </w:tcPr>
          <w:p w14:paraId="2E1F867C">
            <w:pPr>
              <w:pStyle w:val="41"/>
              <w:rPr>
                <w:color w:val="auto"/>
                <w:highlight w:val="none"/>
              </w:rPr>
            </w:pPr>
          </w:p>
        </w:tc>
        <w:tc>
          <w:tcPr>
            <w:tcW w:w="737" w:type="dxa"/>
          </w:tcPr>
          <w:p w14:paraId="0A7721AF">
            <w:pPr>
              <w:pStyle w:val="41"/>
              <w:rPr>
                <w:color w:val="auto"/>
                <w:highlight w:val="none"/>
              </w:rPr>
            </w:pPr>
            <w:r>
              <w:rPr>
                <w:rFonts w:hint="eastAsia"/>
                <w:color w:val="auto"/>
                <w:highlight w:val="none"/>
              </w:rPr>
              <w:t>二级</w:t>
            </w:r>
          </w:p>
        </w:tc>
        <w:tc>
          <w:tcPr>
            <w:tcW w:w="737" w:type="dxa"/>
          </w:tcPr>
          <w:p w14:paraId="1753F9DD">
            <w:pPr>
              <w:pStyle w:val="41"/>
              <w:rPr>
                <w:color w:val="auto"/>
                <w:highlight w:val="none"/>
              </w:rPr>
            </w:pPr>
          </w:p>
        </w:tc>
        <w:tc>
          <w:tcPr>
            <w:tcW w:w="737" w:type="dxa"/>
          </w:tcPr>
          <w:p w14:paraId="0BA54B1C">
            <w:pPr>
              <w:pStyle w:val="41"/>
              <w:rPr>
                <w:color w:val="auto"/>
                <w:highlight w:val="none"/>
              </w:rPr>
            </w:pPr>
          </w:p>
        </w:tc>
        <w:tc>
          <w:tcPr>
            <w:tcW w:w="737" w:type="dxa"/>
          </w:tcPr>
          <w:p w14:paraId="5F3F3102">
            <w:pPr>
              <w:pStyle w:val="41"/>
              <w:rPr>
                <w:color w:val="auto"/>
                <w:highlight w:val="none"/>
              </w:rPr>
            </w:pPr>
          </w:p>
        </w:tc>
        <w:tc>
          <w:tcPr>
            <w:tcW w:w="616" w:type="dxa"/>
          </w:tcPr>
          <w:p w14:paraId="164810A4">
            <w:pPr>
              <w:pStyle w:val="41"/>
              <w:rPr>
                <w:color w:val="auto"/>
                <w:highlight w:val="none"/>
              </w:rPr>
            </w:pPr>
          </w:p>
        </w:tc>
        <w:tc>
          <w:tcPr>
            <w:tcW w:w="714" w:type="dxa"/>
          </w:tcPr>
          <w:p w14:paraId="65B3212B">
            <w:pPr>
              <w:pStyle w:val="41"/>
              <w:rPr>
                <w:color w:val="auto"/>
                <w:highlight w:val="none"/>
              </w:rPr>
            </w:pPr>
          </w:p>
        </w:tc>
        <w:tc>
          <w:tcPr>
            <w:tcW w:w="737" w:type="dxa"/>
          </w:tcPr>
          <w:p w14:paraId="240C544D">
            <w:pPr>
              <w:pStyle w:val="41"/>
              <w:rPr>
                <w:color w:val="auto"/>
                <w:highlight w:val="none"/>
              </w:rPr>
            </w:pPr>
          </w:p>
        </w:tc>
        <w:tc>
          <w:tcPr>
            <w:tcW w:w="745" w:type="dxa"/>
          </w:tcPr>
          <w:p w14:paraId="080AD41C">
            <w:pPr>
              <w:pStyle w:val="41"/>
              <w:rPr>
                <w:color w:val="auto"/>
                <w:highlight w:val="none"/>
              </w:rPr>
            </w:pPr>
          </w:p>
        </w:tc>
      </w:tr>
      <w:tr w14:paraId="3E8539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876" w:type="dxa"/>
          </w:tcPr>
          <w:p w14:paraId="6D6255F1">
            <w:pPr>
              <w:pStyle w:val="41"/>
              <w:rPr>
                <w:color w:val="auto"/>
                <w:highlight w:val="none"/>
              </w:rPr>
            </w:pPr>
            <w:r>
              <w:rPr>
                <w:rFonts w:hint="eastAsia"/>
                <w:color w:val="auto"/>
                <w:highlight w:val="none"/>
              </w:rPr>
              <w:t>尾矿库</w:t>
            </w:r>
          </w:p>
        </w:tc>
        <w:tc>
          <w:tcPr>
            <w:tcW w:w="737" w:type="dxa"/>
          </w:tcPr>
          <w:p w14:paraId="7087DD55">
            <w:pPr>
              <w:pStyle w:val="41"/>
              <w:rPr>
                <w:color w:val="auto"/>
                <w:highlight w:val="none"/>
              </w:rPr>
            </w:pPr>
            <w:r>
              <w:rPr>
                <w:rFonts w:hint="eastAsia"/>
                <w:color w:val="auto"/>
                <w:highlight w:val="none"/>
              </w:rPr>
              <w:t>一级</w:t>
            </w:r>
          </w:p>
        </w:tc>
        <w:tc>
          <w:tcPr>
            <w:tcW w:w="737" w:type="dxa"/>
          </w:tcPr>
          <w:p w14:paraId="2742FD8B">
            <w:pPr>
              <w:pStyle w:val="41"/>
              <w:rPr>
                <w:color w:val="auto"/>
                <w:highlight w:val="none"/>
              </w:rPr>
            </w:pPr>
          </w:p>
        </w:tc>
        <w:tc>
          <w:tcPr>
            <w:tcW w:w="737" w:type="dxa"/>
          </w:tcPr>
          <w:p w14:paraId="5005741E">
            <w:pPr>
              <w:pStyle w:val="41"/>
              <w:rPr>
                <w:color w:val="auto"/>
                <w:highlight w:val="none"/>
              </w:rPr>
            </w:pPr>
          </w:p>
        </w:tc>
        <w:tc>
          <w:tcPr>
            <w:tcW w:w="737" w:type="dxa"/>
          </w:tcPr>
          <w:p w14:paraId="7C448CB2">
            <w:pPr>
              <w:pStyle w:val="41"/>
              <w:rPr>
                <w:color w:val="auto"/>
                <w:highlight w:val="none"/>
              </w:rPr>
            </w:pPr>
          </w:p>
        </w:tc>
        <w:tc>
          <w:tcPr>
            <w:tcW w:w="737" w:type="dxa"/>
          </w:tcPr>
          <w:p w14:paraId="6CD674C8">
            <w:pPr>
              <w:pStyle w:val="41"/>
              <w:rPr>
                <w:color w:val="auto"/>
                <w:highlight w:val="none"/>
              </w:rPr>
            </w:pPr>
          </w:p>
        </w:tc>
        <w:tc>
          <w:tcPr>
            <w:tcW w:w="616" w:type="dxa"/>
          </w:tcPr>
          <w:p w14:paraId="7A4B210D">
            <w:pPr>
              <w:pStyle w:val="41"/>
              <w:rPr>
                <w:color w:val="auto"/>
                <w:highlight w:val="none"/>
              </w:rPr>
            </w:pPr>
          </w:p>
        </w:tc>
        <w:tc>
          <w:tcPr>
            <w:tcW w:w="714" w:type="dxa"/>
          </w:tcPr>
          <w:p w14:paraId="2F3FEE6E">
            <w:pPr>
              <w:pStyle w:val="41"/>
              <w:rPr>
                <w:color w:val="auto"/>
                <w:highlight w:val="none"/>
              </w:rPr>
            </w:pPr>
          </w:p>
        </w:tc>
        <w:tc>
          <w:tcPr>
            <w:tcW w:w="737" w:type="dxa"/>
          </w:tcPr>
          <w:p w14:paraId="42AAAB6E">
            <w:pPr>
              <w:pStyle w:val="41"/>
              <w:rPr>
                <w:color w:val="auto"/>
                <w:highlight w:val="none"/>
              </w:rPr>
            </w:pPr>
          </w:p>
        </w:tc>
        <w:tc>
          <w:tcPr>
            <w:tcW w:w="745" w:type="dxa"/>
          </w:tcPr>
          <w:p w14:paraId="287F8104">
            <w:pPr>
              <w:pStyle w:val="41"/>
              <w:rPr>
                <w:color w:val="auto"/>
                <w:highlight w:val="none"/>
              </w:rPr>
            </w:pPr>
          </w:p>
        </w:tc>
      </w:tr>
    </w:tbl>
    <w:p w14:paraId="17EB0703">
      <w:pPr>
        <w:pStyle w:val="3"/>
        <w:ind w:firstLine="480"/>
        <w:rPr>
          <w:color w:val="auto"/>
          <w:highlight w:val="none"/>
        </w:rPr>
      </w:pPr>
      <w:r>
        <w:rPr>
          <w:color w:val="auto"/>
          <w:highlight w:val="none"/>
        </w:rPr>
        <w:t>因此，确定本项目</w:t>
      </w:r>
      <w:r>
        <w:rPr>
          <w:rFonts w:hint="eastAsia"/>
          <w:color w:val="auto"/>
          <w:highlight w:val="none"/>
        </w:rPr>
        <w:t>尾矿库</w:t>
      </w:r>
      <w:r>
        <w:rPr>
          <w:color w:val="auto"/>
          <w:highlight w:val="none"/>
        </w:rPr>
        <w:t>土壤环境影响评价等级为一级</w:t>
      </w:r>
      <w:r>
        <w:rPr>
          <w:rFonts w:hint="eastAsia"/>
          <w:color w:val="auto"/>
          <w:highlight w:val="none"/>
        </w:rPr>
        <w:t>，选矿厂评价等级为二级</w:t>
      </w:r>
      <w:r>
        <w:rPr>
          <w:color w:val="auto"/>
          <w:highlight w:val="none"/>
        </w:rPr>
        <w:t>。</w:t>
      </w:r>
    </w:p>
    <w:p w14:paraId="2E78BCA8">
      <w:pPr>
        <w:pStyle w:val="3"/>
        <w:ind w:firstLine="480"/>
        <w:rPr>
          <w:color w:val="auto"/>
          <w:highlight w:val="none"/>
        </w:rPr>
      </w:pPr>
      <w:r>
        <w:rPr>
          <w:color w:val="auto"/>
          <w:highlight w:val="none"/>
        </w:rPr>
        <w:t>（2）评价范围</w:t>
      </w:r>
    </w:p>
    <w:p w14:paraId="68EA4635">
      <w:pPr>
        <w:pStyle w:val="3"/>
        <w:ind w:firstLine="480"/>
        <w:rPr>
          <w:color w:val="auto"/>
          <w:highlight w:val="none"/>
        </w:rPr>
      </w:pPr>
      <w:r>
        <w:rPr>
          <w:rFonts w:hint="eastAsia"/>
          <w:color w:val="auto"/>
          <w:highlight w:val="none"/>
        </w:rPr>
        <w:t>尾矿库评价范围为占地范围外1km范围，选矿厂为占地范围外0.2km范围外。</w:t>
      </w:r>
    </w:p>
    <w:p w14:paraId="7E943C89">
      <w:pPr>
        <w:pStyle w:val="39"/>
        <w:rPr>
          <w:rFonts w:hint="default"/>
          <w:color w:val="auto"/>
          <w:highlight w:val="none"/>
        </w:rPr>
      </w:pPr>
      <w:bookmarkStart w:id="198" w:name="_Toc29170"/>
      <w:bookmarkStart w:id="199" w:name="_Toc481789489"/>
      <w:bookmarkStart w:id="200" w:name="_Toc356404000"/>
      <w:bookmarkStart w:id="201" w:name="_Toc481768098"/>
      <w:bookmarkStart w:id="202" w:name="_Toc471925961"/>
      <w:bookmarkStart w:id="203" w:name="_Toc19085"/>
      <w:bookmarkStart w:id="204" w:name="_Toc11600"/>
      <w:bookmarkStart w:id="205" w:name="_Toc481768450"/>
      <w:bookmarkStart w:id="206" w:name="_Toc13436"/>
      <w:bookmarkStart w:id="207" w:name="_Toc391050947"/>
      <w:bookmarkStart w:id="208" w:name="_Toc395712422"/>
      <w:bookmarkStart w:id="209" w:name="_Toc404006511"/>
      <w:bookmarkStart w:id="210" w:name="_Toc357506046"/>
      <w:bookmarkStart w:id="211" w:name="_Toc26"/>
      <w:bookmarkStart w:id="212" w:name="_Toc7731"/>
      <w:bookmarkStart w:id="213" w:name="_Toc428964842"/>
      <w:bookmarkStart w:id="214" w:name="_Toc358185904"/>
      <w:r>
        <w:rPr>
          <w:rFonts w:hint="default"/>
          <w:color w:val="auto"/>
          <w:highlight w:val="none"/>
        </w:rPr>
        <w:t>评价工作内容及重点</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17E35972">
      <w:pPr>
        <w:pStyle w:val="42"/>
        <w:rPr>
          <w:rFonts w:hint="default"/>
          <w:color w:val="auto"/>
          <w:highlight w:val="none"/>
        </w:rPr>
      </w:pPr>
      <w:r>
        <w:rPr>
          <w:rFonts w:hint="default"/>
          <w:color w:val="auto"/>
          <w:highlight w:val="none"/>
        </w:rPr>
        <w:t>评价工作内容</w:t>
      </w:r>
    </w:p>
    <w:p w14:paraId="07EB1FB1">
      <w:pPr>
        <w:pStyle w:val="3"/>
        <w:ind w:firstLine="480"/>
        <w:rPr>
          <w:color w:val="auto"/>
          <w:highlight w:val="none"/>
        </w:rPr>
      </w:pPr>
      <w:r>
        <w:rPr>
          <w:color w:val="auto"/>
          <w:highlight w:val="none"/>
        </w:rPr>
        <w:t>采用资料收集、现场调查和监测，环境影响识别和筛选，分析本项目</w:t>
      </w:r>
      <w:r>
        <w:rPr>
          <w:rFonts w:hint="eastAsia"/>
          <w:color w:val="auto"/>
          <w:highlight w:val="none"/>
        </w:rPr>
        <w:t>评价</w:t>
      </w:r>
      <w:r>
        <w:rPr>
          <w:color w:val="auto"/>
          <w:highlight w:val="none"/>
        </w:rPr>
        <w:t>范围内自然环境、生态环境</w:t>
      </w:r>
      <w:r>
        <w:rPr>
          <w:rFonts w:hint="eastAsia"/>
          <w:color w:val="auto"/>
          <w:highlight w:val="none"/>
        </w:rPr>
        <w:t>、</w:t>
      </w:r>
      <w:r>
        <w:rPr>
          <w:color w:val="auto"/>
          <w:highlight w:val="none"/>
        </w:rPr>
        <w:t>大气环境</w:t>
      </w:r>
      <w:r>
        <w:rPr>
          <w:rFonts w:hint="eastAsia"/>
          <w:color w:val="auto"/>
          <w:highlight w:val="none"/>
        </w:rPr>
        <w:t>、</w:t>
      </w:r>
      <w:r>
        <w:rPr>
          <w:color w:val="auto"/>
          <w:highlight w:val="none"/>
        </w:rPr>
        <w:t>声环境</w:t>
      </w:r>
      <w:r>
        <w:rPr>
          <w:rFonts w:hint="eastAsia"/>
          <w:color w:val="auto"/>
          <w:highlight w:val="none"/>
        </w:rPr>
        <w:t>、</w:t>
      </w:r>
      <w:r>
        <w:rPr>
          <w:color w:val="auto"/>
          <w:highlight w:val="none"/>
        </w:rPr>
        <w:t>水环境等的影响，现状存在的问题及采取的措施，同时提出相应的污染防治措施、</w:t>
      </w:r>
      <w:r>
        <w:rPr>
          <w:rFonts w:hint="eastAsia"/>
          <w:color w:val="auto"/>
          <w:highlight w:val="none"/>
        </w:rPr>
        <w:t>“</w:t>
      </w:r>
      <w:r>
        <w:rPr>
          <w:color w:val="auto"/>
          <w:highlight w:val="none"/>
        </w:rPr>
        <w:t>以新带老</w:t>
      </w:r>
      <w:r>
        <w:rPr>
          <w:rFonts w:hint="eastAsia"/>
          <w:color w:val="auto"/>
          <w:highlight w:val="none"/>
        </w:rPr>
        <w:t>”</w:t>
      </w:r>
      <w:r>
        <w:rPr>
          <w:color w:val="auto"/>
          <w:highlight w:val="none"/>
        </w:rPr>
        <w:t>措施和生态保护的整治措施。</w:t>
      </w:r>
    </w:p>
    <w:p w14:paraId="622B8265">
      <w:pPr>
        <w:pStyle w:val="42"/>
        <w:rPr>
          <w:rFonts w:hint="default"/>
          <w:color w:val="auto"/>
          <w:highlight w:val="none"/>
        </w:rPr>
      </w:pPr>
      <w:r>
        <w:rPr>
          <w:rFonts w:hint="default"/>
          <w:color w:val="auto"/>
          <w:highlight w:val="none"/>
        </w:rPr>
        <w:t>评价重点</w:t>
      </w:r>
    </w:p>
    <w:p w14:paraId="3A364644">
      <w:pPr>
        <w:pStyle w:val="3"/>
        <w:ind w:firstLine="480"/>
        <w:rPr>
          <w:color w:val="auto"/>
          <w:highlight w:val="none"/>
        </w:rPr>
      </w:pPr>
      <w:r>
        <w:rPr>
          <w:color w:val="auto"/>
          <w:highlight w:val="none"/>
        </w:rPr>
        <w:t>根据工程所处区域的环境状况、工程分析以及环境影响因子识别和筛选结果，对生态环境、地下水环境、环境空气、声环境、固体废物等方面的影响进行评价和分析，其中对环境空气、地下水环境、固体废物进行重点评价，对</w:t>
      </w:r>
      <w:r>
        <w:rPr>
          <w:rFonts w:hint="eastAsia"/>
          <w:color w:val="auto"/>
          <w:highlight w:val="none"/>
          <w:lang w:eastAsia="zh-CN"/>
        </w:rPr>
        <w:t>其他专题</w:t>
      </w:r>
      <w:r>
        <w:rPr>
          <w:color w:val="auto"/>
          <w:highlight w:val="none"/>
        </w:rPr>
        <w:t>进行一般评价。</w:t>
      </w:r>
    </w:p>
    <w:p w14:paraId="4F3275EB">
      <w:pPr>
        <w:pStyle w:val="3"/>
        <w:ind w:firstLine="480"/>
        <w:rPr>
          <w:color w:val="auto"/>
          <w:highlight w:val="none"/>
        </w:rPr>
      </w:pPr>
      <w:r>
        <w:rPr>
          <w:color w:val="auto"/>
          <w:highlight w:val="none"/>
        </w:rPr>
        <w:t>评价重点关注：</w:t>
      </w:r>
      <w:r>
        <w:rPr>
          <w:rFonts w:hint="eastAsia"/>
          <w:color w:val="auto"/>
          <w:highlight w:val="none"/>
        </w:rPr>
        <w:t>尾矿库</w:t>
      </w:r>
      <w:r>
        <w:rPr>
          <w:color w:val="auto"/>
          <w:highlight w:val="none"/>
        </w:rPr>
        <w:t>建设对生态环境的破坏，力求提出切合当地实际的生态治理恢复措施；分析项目开发对水资源的影响，以资源综合利用为核心，提出本</w:t>
      </w:r>
      <w:r>
        <w:rPr>
          <w:rFonts w:hint="eastAsia"/>
          <w:color w:val="auto"/>
          <w:highlight w:val="none"/>
        </w:rPr>
        <w:t>项目</w:t>
      </w:r>
      <w:r>
        <w:rPr>
          <w:color w:val="auto"/>
          <w:highlight w:val="none"/>
        </w:rPr>
        <w:t>污废水处理复用方案、</w:t>
      </w:r>
      <w:r>
        <w:rPr>
          <w:rFonts w:hint="eastAsia"/>
          <w:color w:val="auto"/>
          <w:highlight w:val="none"/>
        </w:rPr>
        <w:t>“</w:t>
      </w:r>
      <w:r>
        <w:rPr>
          <w:color w:val="auto"/>
          <w:highlight w:val="none"/>
        </w:rPr>
        <w:t>以新带老</w:t>
      </w:r>
      <w:r>
        <w:rPr>
          <w:rFonts w:hint="eastAsia"/>
          <w:color w:val="auto"/>
          <w:highlight w:val="none"/>
        </w:rPr>
        <w:t>”</w:t>
      </w:r>
      <w:r>
        <w:rPr>
          <w:color w:val="auto"/>
          <w:highlight w:val="none"/>
        </w:rPr>
        <w:t>等措施</w:t>
      </w:r>
      <w:r>
        <w:rPr>
          <w:rFonts w:hint="eastAsia"/>
          <w:color w:val="auto"/>
          <w:highlight w:val="none"/>
        </w:rPr>
        <w:t>；</w:t>
      </w:r>
      <w:r>
        <w:rPr>
          <w:color w:val="auto"/>
          <w:highlight w:val="none"/>
        </w:rPr>
        <w:t>此外，针对</w:t>
      </w:r>
      <w:r>
        <w:rPr>
          <w:rFonts w:hint="eastAsia"/>
          <w:color w:val="auto"/>
          <w:highlight w:val="none"/>
        </w:rPr>
        <w:t>原矿及产品在</w:t>
      </w:r>
      <w:r>
        <w:rPr>
          <w:color w:val="auto"/>
          <w:highlight w:val="none"/>
        </w:rPr>
        <w:t>装、储、运过程中对项目区环境空气污染影响提出切实可行的防治措施。</w:t>
      </w:r>
    </w:p>
    <w:bookmarkEnd w:id="192"/>
    <w:bookmarkEnd w:id="193"/>
    <w:bookmarkEnd w:id="194"/>
    <w:bookmarkEnd w:id="195"/>
    <w:bookmarkEnd w:id="196"/>
    <w:bookmarkEnd w:id="197"/>
    <w:p w14:paraId="5DE2A2B1">
      <w:pPr>
        <w:pStyle w:val="39"/>
        <w:rPr>
          <w:rFonts w:hint="default"/>
          <w:color w:val="auto"/>
          <w:highlight w:val="none"/>
        </w:rPr>
      </w:pPr>
      <w:bookmarkStart w:id="215" w:name="_Toc21240"/>
      <w:bookmarkStart w:id="216" w:name="_Toc21827"/>
      <w:r>
        <w:rPr>
          <w:rFonts w:hint="default"/>
          <w:color w:val="auto"/>
          <w:highlight w:val="none"/>
        </w:rPr>
        <w:t>主要环境保护目标和环境敏感目标</w:t>
      </w:r>
      <w:bookmarkEnd w:id="215"/>
      <w:bookmarkEnd w:id="216"/>
    </w:p>
    <w:p w14:paraId="5A8856D6">
      <w:pPr>
        <w:pStyle w:val="3"/>
        <w:ind w:firstLine="480"/>
        <w:rPr>
          <w:color w:val="auto"/>
          <w:highlight w:val="none"/>
        </w:rPr>
      </w:pPr>
      <w:bookmarkStart w:id="217" w:name="_Toc356404002"/>
      <w:bookmarkStart w:id="218" w:name="_Toc244344549"/>
      <w:bookmarkStart w:id="219" w:name="_Toc428964844"/>
      <w:bookmarkStart w:id="220" w:name="_Toc332293491"/>
      <w:bookmarkStart w:id="221" w:name="_Toc357506048"/>
      <w:bookmarkStart w:id="222" w:name="_Toc404006513"/>
      <w:bookmarkStart w:id="223" w:name="_Toc481768452"/>
      <w:bookmarkStart w:id="224" w:name="_Toc320176180"/>
      <w:bookmarkStart w:id="225" w:name="_Toc481789491"/>
      <w:bookmarkStart w:id="226" w:name="_Toc471925963"/>
      <w:bookmarkStart w:id="227" w:name="_Toc358185906"/>
      <w:bookmarkStart w:id="228" w:name="_Toc481768100"/>
      <w:bookmarkStart w:id="229" w:name="_Toc324157827"/>
      <w:bookmarkStart w:id="230" w:name="_Toc302400296"/>
      <w:bookmarkStart w:id="231" w:name="_Toc395712424"/>
      <w:bookmarkStart w:id="232" w:name="_Toc391050949"/>
      <w:r>
        <w:rPr>
          <w:rFonts w:hint="eastAsia"/>
          <w:color w:val="auto"/>
          <w:highlight w:val="none"/>
        </w:rPr>
        <w:t>根据调查当地自然资源局、生态环境局等部门，结合现场踏勘，本项目区及周边无国土空间规划中划定的“三区三线”、国家公园、自然保护区、风景名胜区、世界自然遗产、重要生境、自然公园、公益林、湿地、饮用水水源保护区等环境敏感区。</w:t>
      </w:r>
    </w:p>
    <w:p w14:paraId="0DEB3344">
      <w:pPr>
        <w:pStyle w:val="3"/>
        <w:ind w:firstLine="480"/>
        <w:rPr>
          <w:color w:val="auto"/>
          <w:highlight w:val="none"/>
        </w:rPr>
      </w:pPr>
      <w:r>
        <w:rPr>
          <w:rFonts w:hint="eastAsia"/>
          <w:color w:val="auto"/>
          <w:highlight w:val="none"/>
        </w:rPr>
        <w:t>主要环境保护目标为评价范围内建设影响的野生动物、植被</w:t>
      </w:r>
      <w:r>
        <w:rPr>
          <w:rFonts w:hint="eastAsia"/>
          <w:color w:val="auto"/>
          <w:highlight w:val="none"/>
          <w:lang w:eastAsia="zh-CN"/>
        </w:rPr>
        <w:t>、土壤、</w:t>
      </w:r>
      <w:r>
        <w:rPr>
          <w:rFonts w:hint="eastAsia"/>
          <w:color w:val="auto"/>
          <w:highlight w:val="none"/>
        </w:rPr>
        <w:t>阿亚克苏洪木河</w:t>
      </w:r>
      <w:r>
        <w:rPr>
          <w:rFonts w:hint="eastAsia"/>
          <w:color w:val="auto"/>
          <w:highlight w:val="none"/>
          <w:lang w:eastAsia="zh-CN"/>
        </w:rPr>
        <w:t>。</w:t>
      </w:r>
      <w:r>
        <w:rPr>
          <w:color w:val="auto"/>
          <w:highlight w:val="none"/>
        </w:rPr>
        <w:t>环境保护目标汇总见表</w:t>
      </w:r>
      <w:r>
        <w:rPr>
          <w:rFonts w:hint="eastAsia"/>
          <w:color w:val="auto"/>
          <w:highlight w:val="none"/>
        </w:rPr>
        <w:t>2.7-1</w:t>
      </w:r>
      <w:r>
        <w:rPr>
          <w:color w:val="auto"/>
          <w:highlight w:val="none"/>
        </w:rPr>
        <w:t>，</w:t>
      </w:r>
      <w:r>
        <w:rPr>
          <w:rFonts w:hint="eastAsia"/>
          <w:color w:val="auto"/>
          <w:highlight w:val="none"/>
          <w:lang w:eastAsia="zh-CN"/>
        </w:rPr>
        <w:t>评价区</w:t>
      </w:r>
      <w:r>
        <w:rPr>
          <w:color w:val="auto"/>
          <w:highlight w:val="none"/>
        </w:rPr>
        <w:t>环境保护目标分布情况见图</w:t>
      </w:r>
      <w:r>
        <w:rPr>
          <w:rFonts w:hint="eastAsia"/>
          <w:color w:val="auto"/>
          <w:highlight w:val="none"/>
        </w:rPr>
        <w:t>2.7-1</w:t>
      </w:r>
      <w:r>
        <w:rPr>
          <w:color w:val="auto"/>
          <w:highlight w:val="none"/>
        </w:rPr>
        <w:t>。</w:t>
      </w:r>
    </w:p>
    <w:p w14:paraId="2E4B2D5E">
      <w:pPr>
        <w:pStyle w:val="3"/>
        <w:ind w:firstLine="480"/>
        <w:rPr>
          <w:color w:val="auto"/>
          <w:highlight w:val="none"/>
        </w:rPr>
      </w:pPr>
    </w:p>
    <w:p w14:paraId="131A7BF7">
      <w:pPr>
        <w:pStyle w:val="40"/>
        <w:spacing w:before="24" w:after="24"/>
        <w:rPr>
          <w:color w:val="auto"/>
          <w:highlight w:val="none"/>
        </w:rPr>
      </w:pPr>
      <w:bookmarkStart w:id="233" w:name="_Hlk159593300"/>
      <w:r>
        <w:rPr>
          <w:color w:val="auto"/>
          <w:highlight w:val="none"/>
        </w:rPr>
        <w:t xml:space="preserve"> 表</w:t>
      </w:r>
      <w:r>
        <w:rPr>
          <w:rFonts w:hint="eastAsia"/>
          <w:color w:val="auto"/>
          <w:highlight w:val="none"/>
        </w:rPr>
        <w:t>2.7-1</w:t>
      </w:r>
      <w:r>
        <w:rPr>
          <w:color w:val="auto"/>
          <w:highlight w:val="none"/>
        </w:rPr>
        <w:t xml:space="preserve">    </w:t>
      </w:r>
      <w:r>
        <w:rPr>
          <w:rFonts w:hint="eastAsia"/>
          <w:color w:val="auto"/>
          <w:highlight w:val="none"/>
          <w:lang w:eastAsia="zh-CN"/>
        </w:rPr>
        <w:t>评价区</w:t>
      </w:r>
      <w:r>
        <w:rPr>
          <w:color w:val="auto"/>
          <w:highlight w:val="none"/>
        </w:rPr>
        <w:t xml:space="preserve">环境保护目标一览表 </w:t>
      </w:r>
    </w:p>
    <w:tbl>
      <w:tblPr>
        <w:tblStyle w:val="25"/>
        <w:tblW w:w="85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60"/>
        <w:gridCol w:w="706"/>
        <w:gridCol w:w="849"/>
        <w:gridCol w:w="3403"/>
        <w:gridCol w:w="2604"/>
      </w:tblGrid>
      <w:tr w14:paraId="0CD75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blHeader/>
          <w:jc w:val="center"/>
        </w:trPr>
        <w:tc>
          <w:tcPr>
            <w:tcW w:w="960" w:type="dxa"/>
            <w:vAlign w:val="center"/>
          </w:tcPr>
          <w:p w14:paraId="7A127869">
            <w:pPr>
              <w:pStyle w:val="41"/>
              <w:rPr>
                <w:color w:val="auto"/>
                <w:highlight w:val="none"/>
              </w:rPr>
            </w:pPr>
            <w:r>
              <w:rPr>
                <w:rFonts w:hint="eastAsia"/>
                <w:color w:val="auto"/>
                <w:highlight w:val="none"/>
              </w:rPr>
              <w:t>环境要素</w:t>
            </w:r>
          </w:p>
        </w:tc>
        <w:tc>
          <w:tcPr>
            <w:tcW w:w="706" w:type="dxa"/>
            <w:vAlign w:val="center"/>
          </w:tcPr>
          <w:p w14:paraId="31A25180">
            <w:pPr>
              <w:pStyle w:val="41"/>
              <w:rPr>
                <w:color w:val="auto"/>
                <w:highlight w:val="none"/>
              </w:rPr>
            </w:pPr>
            <w:r>
              <w:rPr>
                <w:rFonts w:hint="eastAsia"/>
                <w:color w:val="auto"/>
                <w:highlight w:val="none"/>
              </w:rPr>
              <w:t>影响因素</w:t>
            </w:r>
          </w:p>
        </w:tc>
        <w:tc>
          <w:tcPr>
            <w:tcW w:w="849" w:type="dxa"/>
            <w:vAlign w:val="center"/>
          </w:tcPr>
          <w:p w14:paraId="3B1D70FE">
            <w:pPr>
              <w:pStyle w:val="41"/>
              <w:rPr>
                <w:color w:val="auto"/>
                <w:highlight w:val="none"/>
              </w:rPr>
            </w:pPr>
            <w:r>
              <w:rPr>
                <w:rFonts w:hint="eastAsia"/>
                <w:color w:val="auto"/>
                <w:highlight w:val="none"/>
              </w:rPr>
              <w:t>保护对象</w:t>
            </w:r>
          </w:p>
        </w:tc>
        <w:tc>
          <w:tcPr>
            <w:tcW w:w="3403" w:type="dxa"/>
            <w:vAlign w:val="center"/>
          </w:tcPr>
          <w:p w14:paraId="7384A3C6">
            <w:pPr>
              <w:pStyle w:val="41"/>
              <w:rPr>
                <w:color w:val="auto"/>
                <w:highlight w:val="none"/>
              </w:rPr>
            </w:pPr>
            <w:r>
              <w:rPr>
                <w:rFonts w:hint="eastAsia"/>
                <w:color w:val="auto"/>
                <w:highlight w:val="none"/>
              </w:rPr>
              <w:t>基本情况</w:t>
            </w:r>
          </w:p>
        </w:tc>
        <w:tc>
          <w:tcPr>
            <w:tcW w:w="2604" w:type="dxa"/>
            <w:vAlign w:val="center"/>
          </w:tcPr>
          <w:p w14:paraId="428BEB86">
            <w:pPr>
              <w:pStyle w:val="41"/>
              <w:rPr>
                <w:color w:val="auto"/>
                <w:highlight w:val="none"/>
              </w:rPr>
            </w:pPr>
            <w:r>
              <w:rPr>
                <w:rFonts w:hint="eastAsia"/>
                <w:color w:val="auto"/>
                <w:highlight w:val="none"/>
              </w:rPr>
              <w:t>保护要求</w:t>
            </w:r>
          </w:p>
        </w:tc>
      </w:tr>
      <w:tr w14:paraId="582F83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60" w:type="dxa"/>
            <w:vMerge w:val="restart"/>
            <w:vAlign w:val="center"/>
          </w:tcPr>
          <w:p w14:paraId="3B893032">
            <w:pPr>
              <w:pStyle w:val="41"/>
              <w:rPr>
                <w:color w:val="auto"/>
                <w:highlight w:val="none"/>
              </w:rPr>
            </w:pPr>
            <w:r>
              <w:rPr>
                <w:rFonts w:hint="eastAsia"/>
                <w:color w:val="auto"/>
                <w:highlight w:val="none"/>
              </w:rPr>
              <w:t>生态</w:t>
            </w:r>
          </w:p>
          <w:p w14:paraId="190ABBDE">
            <w:pPr>
              <w:pStyle w:val="41"/>
              <w:rPr>
                <w:color w:val="auto"/>
                <w:highlight w:val="none"/>
              </w:rPr>
            </w:pPr>
            <w:r>
              <w:rPr>
                <w:rFonts w:hint="eastAsia"/>
                <w:color w:val="auto"/>
                <w:highlight w:val="none"/>
              </w:rPr>
              <w:t>环境</w:t>
            </w:r>
          </w:p>
        </w:tc>
        <w:tc>
          <w:tcPr>
            <w:tcW w:w="706" w:type="dxa"/>
            <w:vMerge w:val="restart"/>
            <w:vAlign w:val="center"/>
          </w:tcPr>
          <w:p w14:paraId="4BD5F4FC">
            <w:pPr>
              <w:pStyle w:val="41"/>
              <w:rPr>
                <w:color w:val="auto"/>
                <w:highlight w:val="none"/>
              </w:rPr>
            </w:pPr>
            <w:r>
              <w:rPr>
                <w:rFonts w:hint="eastAsia"/>
                <w:color w:val="auto"/>
                <w:highlight w:val="none"/>
              </w:rPr>
              <w:t>占地</w:t>
            </w:r>
          </w:p>
        </w:tc>
        <w:tc>
          <w:tcPr>
            <w:tcW w:w="849" w:type="dxa"/>
            <w:vAlign w:val="center"/>
          </w:tcPr>
          <w:p w14:paraId="6A24505F">
            <w:pPr>
              <w:pStyle w:val="41"/>
              <w:rPr>
                <w:color w:val="auto"/>
                <w:highlight w:val="none"/>
              </w:rPr>
            </w:pPr>
            <w:r>
              <w:rPr>
                <w:rFonts w:hint="eastAsia"/>
                <w:color w:val="auto"/>
                <w:highlight w:val="none"/>
              </w:rPr>
              <w:t>植被</w:t>
            </w:r>
          </w:p>
        </w:tc>
        <w:tc>
          <w:tcPr>
            <w:tcW w:w="3403" w:type="dxa"/>
            <w:vAlign w:val="center"/>
          </w:tcPr>
          <w:p w14:paraId="0E2C2AC6">
            <w:pPr>
              <w:pStyle w:val="41"/>
              <w:rPr>
                <w:color w:val="auto"/>
                <w:highlight w:val="none"/>
              </w:rPr>
            </w:pPr>
            <w:r>
              <w:rPr>
                <w:rFonts w:hint="eastAsia"/>
                <w:color w:val="auto"/>
                <w:highlight w:val="none"/>
              </w:rPr>
              <w:t>占地范围内分布有部分草地</w:t>
            </w:r>
          </w:p>
        </w:tc>
        <w:tc>
          <w:tcPr>
            <w:tcW w:w="2604" w:type="dxa"/>
            <w:vAlign w:val="center"/>
          </w:tcPr>
          <w:p w14:paraId="4F71B4BC">
            <w:pPr>
              <w:pStyle w:val="41"/>
              <w:rPr>
                <w:color w:val="auto"/>
                <w:highlight w:val="none"/>
              </w:rPr>
            </w:pPr>
            <w:r>
              <w:rPr>
                <w:rFonts w:hint="eastAsia"/>
                <w:color w:val="auto"/>
                <w:highlight w:val="none"/>
              </w:rPr>
              <w:t>场地绿化系数20%</w:t>
            </w:r>
          </w:p>
        </w:tc>
      </w:tr>
      <w:tr w14:paraId="70DDE0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60" w:type="dxa"/>
            <w:vMerge w:val="continue"/>
            <w:vAlign w:val="center"/>
          </w:tcPr>
          <w:p w14:paraId="31C4C753">
            <w:pPr>
              <w:pStyle w:val="41"/>
              <w:rPr>
                <w:color w:val="auto"/>
                <w:highlight w:val="none"/>
              </w:rPr>
            </w:pPr>
          </w:p>
        </w:tc>
        <w:tc>
          <w:tcPr>
            <w:tcW w:w="706" w:type="dxa"/>
            <w:vMerge w:val="continue"/>
            <w:vAlign w:val="center"/>
          </w:tcPr>
          <w:p w14:paraId="651F76F1">
            <w:pPr>
              <w:pStyle w:val="41"/>
              <w:rPr>
                <w:color w:val="auto"/>
                <w:highlight w:val="none"/>
              </w:rPr>
            </w:pPr>
          </w:p>
        </w:tc>
        <w:tc>
          <w:tcPr>
            <w:tcW w:w="849" w:type="dxa"/>
            <w:vAlign w:val="center"/>
          </w:tcPr>
          <w:p w14:paraId="0322F9CF">
            <w:pPr>
              <w:pStyle w:val="41"/>
              <w:rPr>
                <w:color w:val="auto"/>
                <w:highlight w:val="none"/>
              </w:rPr>
            </w:pPr>
            <w:r>
              <w:rPr>
                <w:rFonts w:hint="eastAsia"/>
                <w:color w:val="auto"/>
                <w:highlight w:val="none"/>
              </w:rPr>
              <w:t>土壤</w:t>
            </w:r>
          </w:p>
        </w:tc>
        <w:tc>
          <w:tcPr>
            <w:tcW w:w="3403" w:type="dxa"/>
            <w:vAlign w:val="center"/>
          </w:tcPr>
          <w:p w14:paraId="6FD63025">
            <w:pPr>
              <w:pStyle w:val="41"/>
              <w:rPr>
                <w:color w:val="auto"/>
                <w:highlight w:val="none"/>
              </w:rPr>
            </w:pPr>
            <w:r>
              <w:rPr>
                <w:rFonts w:hint="eastAsia"/>
                <w:color w:val="auto"/>
                <w:highlight w:val="none"/>
              </w:rPr>
              <w:t>评价范围主要属中度侵蚀区，以水蚀为主</w:t>
            </w:r>
            <w:r>
              <w:rPr>
                <w:rFonts w:hint="eastAsia"/>
                <w:color w:val="auto"/>
                <w:highlight w:val="none"/>
                <w:lang w:eastAsia="zh-CN"/>
              </w:rPr>
              <w:t>，</w:t>
            </w:r>
          </w:p>
        </w:tc>
        <w:tc>
          <w:tcPr>
            <w:tcW w:w="2604" w:type="dxa"/>
            <w:vAlign w:val="center"/>
          </w:tcPr>
          <w:p w14:paraId="0701F342">
            <w:pPr>
              <w:pStyle w:val="41"/>
              <w:rPr>
                <w:color w:val="auto"/>
                <w:highlight w:val="none"/>
              </w:rPr>
            </w:pPr>
            <w:r>
              <w:rPr>
                <w:rFonts w:hint="eastAsia"/>
                <w:color w:val="auto"/>
                <w:highlight w:val="none"/>
              </w:rPr>
              <w:t>控制水土流失，减少土壤扰动，保护砾幕层</w:t>
            </w:r>
          </w:p>
        </w:tc>
      </w:tr>
      <w:tr w14:paraId="12143D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5" w:hRule="atLeast"/>
          <w:jc w:val="center"/>
        </w:trPr>
        <w:tc>
          <w:tcPr>
            <w:tcW w:w="960" w:type="dxa"/>
            <w:vMerge w:val="continue"/>
            <w:vAlign w:val="center"/>
          </w:tcPr>
          <w:p w14:paraId="4A011F87">
            <w:pPr>
              <w:pStyle w:val="41"/>
              <w:rPr>
                <w:color w:val="auto"/>
                <w:highlight w:val="none"/>
              </w:rPr>
            </w:pPr>
          </w:p>
        </w:tc>
        <w:tc>
          <w:tcPr>
            <w:tcW w:w="706" w:type="dxa"/>
            <w:vMerge w:val="continue"/>
            <w:vAlign w:val="center"/>
          </w:tcPr>
          <w:p w14:paraId="282349DF">
            <w:pPr>
              <w:pStyle w:val="41"/>
              <w:rPr>
                <w:color w:val="auto"/>
                <w:highlight w:val="none"/>
              </w:rPr>
            </w:pPr>
          </w:p>
        </w:tc>
        <w:tc>
          <w:tcPr>
            <w:tcW w:w="849" w:type="dxa"/>
            <w:vAlign w:val="center"/>
          </w:tcPr>
          <w:p w14:paraId="6CD5C2F4">
            <w:pPr>
              <w:pStyle w:val="41"/>
              <w:rPr>
                <w:color w:val="auto"/>
                <w:highlight w:val="none"/>
              </w:rPr>
            </w:pPr>
            <w:r>
              <w:rPr>
                <w:rFonts w:hint="eastAsia"/>
                <w:color w:val="auto"/>
                <w:highlight w:val="none"/>
              </w:rPr>
              <w:t>野生</w:t>
            </w:r>
          </w:p>
          <w:p w14:paraId="5FA50DC3">
            <w:pPr>
              <w:pStyle w:val="41"/>
              <w:rPr>
                <w:color w:val="auto"/>
                <w:highlight w:val="none"/>
              </w:rPr>
            </w:pPr>
            <w:r>
              <w:rPr>
                <w:rFonts w:hint="eastAsia"/>
                <w:color w:val="auto"/>
                <w:highlight w:val="none"/>
              </w:rPr>
              <w:t>动物</w:t>
            </w:r>
          </w:p>
        </w:tc>
        <w:tc>
          <w:tcPr>
            <w:tcW w:w="3403" w:type="dxa"/>
            <w:vAlign w:val="center"/>
          </w:tcPr>
          <w:p w14:paraId="5A0DED3F">
            <w:pPr>
              <w:pStyle w:val="41"/>
              <w:rPr>
                <w:color w:val="auto"/>
                <w:highlight w:val="none"/>
              </w:rPr>
            </w:pPr>
            <w:r>
              <w:rPr>
                <w:rFonts w:hint="eastAsia"/>
                <w:color w:val="auto"/>
                <w:highlight w:val="none"/>
              </w:rPr>
              <w:t>评价范围内野生动物啮齿类中以跳鼠科和沙鼠亚科为最典型。鸟类也以适应荒漠生活的种类为多，典型代表有大鸨、沙鸡、沙百灵等。</w:t>
            </w:r>
          </w:p>
        </w:tc>
        <w:tc>
          <w:tcPr>
            <w:tcW w:w="2604" w:type="dxa"/>
            <w:vAlign w:val="center"/>
          </w:tcPr>
          <w:p w14:paraId="635369F1">
            <w:pPr>
              <w:pStyle w:val="41"/>
              <w:rPr>
                <w:color w:val="auto"/>
                <w:highlight w:val="none"/>
              </w:rPr>
            </w:pPr>
            <w:r>
              <w:rPr>
                <w:rFonts w:hint="eastAsia"/>
                <w:color w:val="auto"/>
                <w:highlight w:val="none"/>
              </w:rPr>
              <w:t>减少人为活动对野生动物的干扰</w:t>
            </w:r>
          </w:p>
        </w:tc>
      </w:tr>
      <w:tr w14:paraId="38A2D2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74" w:hRule="atLeast"/>
          <w:jc w:val="center"/>
        </w:trPr>
        <w:tc>
          <w:tcPr>
            <w:tcW w:w="960" w:type="dxa"/>
            <w:vAlign w:val="center"/>
          </w:tcPr>
          <w:p w14:paraId="2D8880D7">
            <w:pPr>
              <w:pStyle w:val="41"/>
              <w:rPr>
                <w:color w:val="auto"/>
                <w:highlight w:val="none"/>
              </w:rPr>
            </w:pPr>
            <w:r>
              <w:rPr>
                <w:rFonts w:hint="eastAsia"/>
                <w:color w:val="auto"/>
                <w:highlight w:val="none"/>
              </w:rPr>
              <w:t>地下水环境</w:t>
            </w:r>
          </w:p>
        </w:tc>
        <w:tc>
          <w:tcPr>
            <w:tcW w:w="706" w:type="dxa"/>
            <w:vAlign w:val="center"/>
          </w:tcPr>
          <w:p w14:paraId="68C37F0F">
            <w:pPr>
              <w:pStyle w:val="41"/>
              <w:rPr>
                <w:color w:val="auto"/>
                <w:highlight w:val="none"/>
              </w:rPr>
            </w:pPr>
            <w:r>
              <w:rPr>
                <w:rFonts w:hint="eastAsia"/>
                <w:color w:val="auto"/>
                <w:highlight w:val="none"/>
              </w:rPr>
              <w:t>项目运营</w:t>
            </w:r>
          </w:p>
        </w:tc>
        <w:tc>
          <w:tcPr>
            <w:tcW w:w="849" w:type="dxa"/>
            <w:vAlign w:val="center"/>
          </w:tcPr>
          <w:p w14:paraId="2EEE632D">
            <w:pPr>
              <w:pStyle w:val="41"/>
              <w:rPr>
                <w:color w:val="auto"/>
                <w:highlight w:val="none"/>
              </w:rPr>
            </w:pPr>
            <w:r>
              <w:rPr>
                <w:rFonts w:hint="eastAsia"/>
                <w:color w:val="auto"/>
                <w:highlight w:val="none"/>
              </w:rPr>
              <w:t>项目区地下水</w:t>
            </w:r>
          </w:p>
        </w:tc>
        <w:tc>
          <w:tcPr>
            <w:tcW w:w="3403" w:type="dxa"/>
            <w:vAlign w:val="center"/>
          </w:tcPr>
          <w:p w14:paraId="0A5F9170">
            <w:pPr>
              <w:pStyle w:val="41"/>
              <w:rPr>
                <w:rFonts w:hint="eastAsia" w:eastAsia="华文中宋"/>
                <w:color w:val="auto"/>
                <w:highlight w:val="none"/>
                <w:lang w:eastAsia="zh-CN"/>
              </w:rPr>
            </w:pPr>
            <w:r>
              <w:rPr>
                <w:rFonts w:hint="eastAsia"/>
                <w:color w:val="auto"/>
                <w:highlight w:val="none"/>
                <w:lang w:eastAsia="zh-CN"/>
              </w:rPr>
              <w:t>选矿厂、尾矿库</w:t>
            </w:r>
            <w:r>
              <w:rPr>
                <w:rFonts w:hint="eastAsia"/>
                <w:color w:val="auto"/>
                <w:highlight w:val="none"/>
              </w:rPr>
              <w:t>第四系松散岩类孔隙水</w:t>
            </w:r>
            <w:r>
              <w:rPr>
                <w:rFonts w:hint="eastAsia"/>
                <w:color w:val="auto"/>
                <w:highlight w:val="none"/>
                <w:lang w:eastAsia="zh-CN"/>
              </w:rPr>
              <w:t>。</w:t>
            </w:r>
          </w:p>
        </w:tc>
        <w:tc>
          <w:tcPr>
            <w:tcW w:w="2604" w:type="dxa"/>
            <w:vAlign w:val="center"/>
          </w:tcPr>
          <w:p w14:paraId="0F5B323C">
            <w:pPr>
              <w:pStyle w:val="41"/>
              <w:rPr>
                <w:color w:val="auto"/>
                <w:highlight w:val="none"/>
              </w:rPr>
            </w:pPr>
            <w:r>
              <w:rPr>
                <w:rFonts w:hint="eastAsia"/>
                <w:color w:val="auto"/>
                <w:highlight w:val="none"/>
              </w:rPr>
              <w:t>执行《地下水质量标准（GB14848-2017）Ⅲ类标准</w:t>
            </w:r>
          </w:p>
        </w:tc>
      </w:tr>
      <w:tr w14:paraId="081CAA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74" w:hRule="atLeast"/>
          <w:jc w:val="center"/>
        </w:trPr>
        <w:tc>
          <w:tcPr>
            <w:tcW w:w="960" w:type="dxa"/>
            <w:vAlign w:val="center"/>
          </w:tcPr>
          <w:p w14:paraId="1CD2632A">
            <w:pPr>
              <w:pStyle w:val="41"/>
              <w:rPr>
                <w:rFonts w:hint="eastAsia" w:eastAsia="华文中宋"/>
                <w:color w:val="auto"/>
                <w:highlight w:val="none"/>
                <w:lang w:eastAsia="zh-CN"/>
              </w:rPr>
            </w:pPr>
            <w:r>
              <w:rPr>
                <w:rFonts w:hint="eastAsia"/>
                <w:color w:val="auto"/>
                <w:highlight w:val="none"/>
                <w:lang w:eastAsia="zh-CN"/>
              </w:rPr>
              <w:t>大气环境</w:t>
            </w:r>
          </w:p>
        </w:tc>
        <w:tc>
          <w:tcPr>
            <w:tcW w:w="706" w:type="dxa"/>
            <w:vAlign w:val="center"/>
          </w:tcPr>
          <w:p w14:paraId="22F63815">
            <w:pPr>
              <w:pStyle w:val="41"/>
              <w:rPr>
                <w:rFonts w:hint="eastAsia" w:eastAsia="华文中宋"/>
                <w:color w:val="auto"/>
                <w:highlight w:val="none"/>
                <w:lang w:eastAsia="zh-CN"/>
              </w:rPr>
            </w:pPr>
            <w:r>
              <w:rPr>
                <w:rFonts w:hint="eastAsia"/>
                <w:color w:val="auto"/>
                <w:highlight w:val="none"/>
                <w:lang w:eastAsia="zh-CN"/>
              </w:rPr>
              <w:t>项目运营</w:t>
            </w:r>
          </w:p>
        </w:tc>
        <w:tc>
          <w:tcPr>
            <w:tcW w:w="849" w:type="dxa"/>
            <w:vAlign w:val="center"/>
          </w:tcPr>
          <w:p w14:paraId="7CEA8217">
            <w:pPr>
              <w:pStyle w:val="41"/>
              <w:rPr>
                <w:rFonts w:hint="eastAsia"/>
                <w:color w:val="auto"/>
                <w:highlight w:val="none"/>
              </w:rPr>
            </w:pPr>
            <w:r>
              <w:rPr>
                <w:rFonts w:hint="default" w:ascii="Times New Roman" w:hAnsi="Times New Roman" w:eastAsia="华文中宋" w:cs="Times New Roman"/>
                <w:color w:val="auto"/>
                <w:kern w:val="0"/>
                <w:sz w:val="24"/>
                <w:highlight w:val="none"/>
                <w:lang w:eastAsia="zh-CN"/>
              </w:rPr>
              <w:t>哈拉峻乡</w:t>
            </w:r>
            <w:r>
              <w:rPr>
                <w:rFonts w:hint="default" w:ascii="Times New Roman" w:hAnsi="Times New Roman" w:eastAsia="华文中宋" w:cs="Times New Roman"/>
                <w:color w:val="auto"/>
                <w:kern w:val="0"/>
                <w:sz w:val="24"/>
                <w:highlight w:val="none"/>
                <w:lang w:val="en-US" w:eastAsia="zh-CN"/>
              </w:rPr>
              <w:t>阿亚克苏洪</w:t>
            </w:r>
            <w:r>
              <w:rPr>
                <w:rFonts w:hint="default" w:ascii="Times New Roman" w:hAnsi="Times New Roman" w:eastAsia="华文中宋" w:cs="Times New Roman"/>
                <w:color w:val="auto"/>
                <w:kern w:val="0"/>
                <w:sz w:val="24"/>
                <w:highlight w:val="none"/>
                <w:lang w:eastAsia="zh-CN"/>
              </w:rPr>
              <w:t>村</w:t>
            </w:r>
          </w:p>
        </w:tc>
        <w:tc>
          <w:tcPr>
            <w:tcW w:w="3403" w:type="dxa"/>
            <w:vAlign w:val="center"/>
          </w:tcPr>
          <w:p w14:paraId="3CB8B358">
            <w:pPr>
              <w:pStyle w:val="41"/>
              <w:rPr>
                <w:rFonts w:hint="default"/>
                <w:color w:val="auto"/>
                <w:highlight w:val="none"/>
                <w:lang w:val="en-US" w:eastAsia="zh-CN"/>
              </w:rPr>
            </w:pPr>
            <w:r>
              <w:rPr>
                <w:rFonts w:hint="eastAsia"/>
                <w:color w:val="auto"/>
                <w:highlight w:val="none"/>
                <w:lang w:eastAsia="zh-CN"/>
              </w:rPr>
              <w:t>位于项目区东南方直线距离约</w:t>
            </w:r>
            <w:r>
              <w:rPr>
                <w:rFonts w:hint="eastAsia"/>
                <w:color w:val="auto"/>
                <w:highlight w:val="none"/>
                <w:lang w:val="en-US" w:eastAsia="zh-CN"/>
              </w:rPr>
              <w:t>3km，现有101户558人常住人口。</w:t>
            </w:r>
          </w:p>
        </w:tc>
        <w:tc>
          <w:tcPr>
            <w:tcW w:w="2604" w:type="dxa"/>
            <w:vAlign w:val="center"/>
          </w:tcPr>
          <w:p w14:paraId="28DB0981">
            <w:pPr>
              <w:pStyle w:val="41"/>
              <w:rPr>
                <w:rFonts w:hint="eastAsia" w:eastAsia="华文中宋"/>
                <w:color w:val="auto"/>
                <w:highlight w:val="none"/>
                <w:lang w:eastAsia="zh-CN"/>
              </w:rPr>
            </w:pPr>
            <w:r>
              <w:rPr>
                <w:rFonts w:hint="eastAsia"/>
                <w:color w:val="auto"/>
                <w:highlight w:val="none"/>
              </w:rPr>
              <w:t>《环境空气质量标准》（GB3095-2026）过渡阶段二级标准限值</w:t>
            </w:r>
            <w:r>
              <w:rPr>
                <w:rFonts w:hint="eastAsia"/>
                <w:color w:val="auto"/>
                <w:highlight w:val="none"/>
                <w:lang w:eastAsia="zh-CN"/>
              </w:rPr>
              <w:t>。</w:t>
            </w:r>
          </w:p>
        </w:tc>
      </w:tr>
      <w:tr w14:paraId="07873F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blHeader/>
          <w:jc w:val="center"/>
        </w:trPr>
        <w:tc>
          <w:tcPr>
            <w:tcW w:w="960" w:type="dxa"/>
            <w:vAlign w:val="center"/>
          </w:tcPr>
          <w:p w14:paraId="5969ED9F">
            <w:pPr>
              <w:pStyle w:val="41"/>
              <w:rPr>
                <w:color w:val="auto"/>
                <w:highlight w:val="none"/>
              </w:rPr>
            </w:pPr>
            <w:r>
              <w:rPr>
                <w:rFonts w:hint="eastAsia"/>
                <w:color w:val="auto"/>
                <w:highlight w:val="none"/>
              </w:rPr>
              <w:t>地表水环境</w:t>
            </w:r>
          </w:p>
        </w:tc>
        <w:tc>
          <w:tcPr>
            <w:tcW w:w="706" w:type="dxa"/>
            <w:vAlign w:val="center"/>
          </w:tcPr>
          <w:p w14:paraId="4FCDC1F4">
            <w:pPr>
              <w:pStyle w:val="41"/>
              <w:rPr>
                <w:color w:val="auto"/>
                <w:highlight w:val="none"/>
              </w:rPr>
            </w:pPr>
            <w:r>
              <w:rPr>
                <w:rFonts w:hint="eastAsia"/>
                <w:color w:val="auto"/>
                <w:highlight w:val="none"/>
              </w:rPr>
              <w:t>事故排污</w:t>
            </w:r>
          </w:p>
        </w:tc>
        <w:tc>
          <w:tcPr>
            <w:tcW w:w="849" w:type="dxa"/>
            <w:vAlign w:val="center"/>
          </w:tcPr>
          <w:p w14:paraId="23969BA3">
            <w:pPr>
              <w:pStyle w:val="41"/>
              <w:rPr>
                <w:color w:val="auto"/>
                <w:highlight w:val="none"/>
              </w:rPr>
            </w:pPr>
            <w:r>
              <w:rPr>
                <w:color w:val="auto"/>
                <w:highlight w:val="none"/>
              </w:rPr>
              <w:t>阿亚克苏洪木河</w:t>
            </w:r>
          </w:p>
        </w:tc>
        <w:tc>
          <w:tcPr>
            <w:tcW w:w="3403" w:type="dxa"/>
            <w:vAlign w:val="center"/>
          </w:tcPr>
          <w:p w14:paraId="63DD8891">
            <w:pPr>
              <w:pStyle w:val="41"/>
              <w:rPr>
                <w:color w:val="auto"/>
                <w:highlight w:val="none"/>
              </w:rPr>
            </w:pPr>
            <w:r>
              <w:rPr>
                <w:rFonts w:hint="eastAsia"/>
                <w:color w:val="auto"/>
                <w:highlight w:val="none"/>
              </w:rPr>
              <w:t>项目区南部约500m。水环境功能区划为Ⅱ类。</w:t>
            </w:r>
          </w:p>
        </w:tc>
        <w:tc>
          <w:tcPr>
            <w:tcW w:w="2604" w:type="dxa"/>
            <w:vAlign w:val="center"/>
          </w:tcPr>
          <w:p w14:paraId="44CD0009">
            <w:pPr>
              <w:pStyle w:val="41"/>
              <w:rPr>
                <w:color w:val="auto"/>
                <w:highlight w:val="none"/>
              </w:rPr>
            </w:pPr>
            <w:r>
              <w:rPr>
                <w:rFonts w:hint="eastAsia"/>
                <w:color w:val="auto"/>
                <w:highlight w:val="none"/>
              </w:rPr>
              <w:t>执行《地表水环境质量标准》</w:t>
            </w:r>
            <w:r>
              <w:rPr>
                <w:rFonts w:hint="eastAsia"/>
                <w:color w:val="auto"/>
                <w:highlight w:val="none"/>
                <w:lang w:eastAsia="zh-CN"/>
              </w:rPr>
              <w:t>（</w:t>
            </w:r>
            <w:r>
              <w:rPr>
                <w:rFonts w:hint="eastAsia"/>
                <w:color w:val="auto"/>
                <w:highlight w:val="none"/>
              </w:rPr>
              <w:t>GB3838-2002)Ⅱ类标准。保证水量、水质不受影响，严禁排污废水</w:t>
            </w:r>
          </w:p>
        </w:tc>
      </w:tr>
      <w:tr w14:paraId="6E8E5F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6" w:hRule="atLeast"/>
          <w:jc w:val="center"/>
        </w:trPr>
        <w:tc>
          <w:tcPr>
            <w:tcW w:w="960" w:type="dxa"/>
            <w:vAlign w:val="center"/>
          </w:tcPr>
          <w:p w14:paraId="6A9DB560">
            <w:pPr>
              <w:pStyle w:val="41"/>
              <w:rPr>
                <w:color w:val="auto"/>
                <w:highlight w:val="none"/>
              </w:rPr>
            </w:pPr>
            <w:r>
              <w:rPr>
                <w:rFonts w:hint="eastAsia"/>
                <w:color w:val="auto"/>
                <w:highlight w:val="none"/>
              </w:rPr>
              <w:t>声环境</w:t>
            </w:r>
          </w:p>
        </w:tc>
        <w:tc>
          <w:tcPr>
            <w:tcW w:w="706" w:type="dxa"/>
            <w:vAlign w:val="center"/>
          </w:tcPr>
          <w:p w14:paraId="3F4403B5">
            <w:pPr>
              <w:pStyle w:val="41"/>
              <w:rPr>
                <w:color w:val="auto"/>
                <w:highlight w:val="none"/>
              </w:rPr>
            </w:pPr>
            <w:r>
              <w:rPr>
                <w:rFonts w:hint="eastAsia"/>
                <w:color w:val="auto"/>
                <w:highlight w:val="none"/>
              </w:rPr>
              <w:t>厂界噪声</w:t>
            </w:r>
          </w:p>
        </w:tc>
        <w:tc>
          <w:tcPr>
            <w:tcW w:w="849" w:type="dxa"/>
            <w:vAlign w:val="center"/>
          </w:tcPr>
          <w:p w14:paraId="2F4F1CCF">
            <w:pPr>
              <w:pStyle w:val="41"/>
              <w:rPr>
                <w:color w:val="auto"/>
                <w:highlight w:val="none"/>
              </w:rPr>
            </w:pPr>
            <w:r>
              <w:rPr>
                <w:rFonts w:hint="eastAsia"/>
                <w:color w:val="auto"/>
                <w:highlight w:val="none"/>
              </w:rPr>
              <w:t>——</w:t>
            </w:r>
          </w:p>
        </w:tc>
        <w:tc>
          <w:tcPr>
            <w:tcW w:w="3403" w:type="dxa"/>
            <w:vAlign w:val="center"/>
          </w:tcPr>
          <w:p w14:paraId="0910F3D0">
            <w:pPr>
              <w:pStyle w:val="41"/>
              <w:rPr>
                <w:color w:val="auto"/>
                <w:highlight w:val="none"/>
              </w:rPr>
            </w:pPr>
            <w:r>
              <w:rPr>
                <w:rFonts w:hint="eastAsia"/>
                <w:color w:val="auto"/>
                <w:highlight w:val="none"/>
              </w:rPr>
              <w:t>场地厂界外200m范围内无村庄及居民聚集区</w:t>
            </w:r>
          </w:p>
        </w:tc>
        <w:tc>
          <w:tcPr>
            <w:tcW w:w="2604" w:type="dxa"/>
            <w:vAlign w:val="center"/>
          </w:tcPr>
          <w:p w14:paraId="6A663865">
            <w:pPr>
              <w:pStyle w:val="41"/>
              <w:rPr>
                <w:color w:val="auto"/>
                <w:highlight w:val="none"/>
              </w:rPr>
            </w:pPr>
            <w:r>
              <w:rPr>
                <w:rFonts w:hint="eastAsia"/>
                <w:color w:val="auto"/>
                <w:highlight w:val="none"/>
              </w:rPr>
              <w:t>《声环境质量标准》（GB3096-2008）中的2类标准</w:t>
            </w:r>
          </w:p>
        </w:tc>
      </w:tr>
      <w:tr w14:paraId="598F92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6" w:hRule="atLeast"/>
          <w:jc w:val="center"/>
        </w:trPr>
        <w:tc>
          <w:tcPr>
            <w:tcW w:w="960" w:type="dxa"/>
            <w:vAlign w:val="center"/>
          </w:tcPr>
          <w:p w14:paraId="66F723F0">
            <w:pPr>
              <w:pStyle w:val="41"/>
              <w:rPr>
                <w:color w:val="auto"/>
                <w:highlight w:val="none"/>
              </w:rPr>
            </w:pPr>
            <w:r>
              <w:rPr>
                <w:rFonts w:hint="eastAsia"/>
                <w:color w:val="auto"/>
                <w:highlight w:val="none"/>
              </w:rPr>
              <w:t>土壤</w:t>
            </w:r>
          </w:p>
          <w:p w14:paraId="322A8BA0">
            <w:pPr>
              <w:pStyle w:val="41"/>
              <w:rPr>
                <w:color w:val="auto"/>
                <w:highlight w:val="none"/>
              </w:rPr>
            </w:pPr>
            <w:r>
              <w:rPr>
                <w:rFonts w:hint="eastAsia"/>
                <w:color w:val="auto"/>
                <w:highlight w:val="none"/>
              </w:rPr>
              <w:t>环境</w:t>
            </w:r>
          </w:p>
        </w:tc>
        <w:tc>
          <w:tcPr>
            <w:tcW w:w="706" w:type="dxa"/>
            <w:vAlign w:val="center"/>
          </w:tcPr>
          <w:p w14:paraId="253B4002">
            <w:pPr>
              <w:pStyle w:val="41"/>
              <w:rPr>
                <w:color w:val="auto"/>
                <w:highlight w:val="none"/>
              </w:rPr>
            </w:pPr>
            <w:r>
              <w:rPr>
                <w:rFonts w:hint="eastAsia"/>
                <w:color w:val="auto"/>
                <w:highlight w:val="none"/>
              </w:rPr>
              <w:t>事故排污</w:t>
            </w:r>
          </w:p>
        </w:tc>
        <w:tc>
          <w:tcPr>
            <w:tcW w:w="849" w:type="dxa"/>
            <w:vAlign w:val="center"/>
          </w:tcPr>
          <w:p w14:paraId="6D13601F">
            <w:pPr>
              <w:pStyle w:val="41"/>
              <w:rPr>
                <w:color w:val="auto"/>
                <w:highlight w:val="none"/>
              </w:rPr>
            </w:pPr>
            <w:r>
              <w:rPr>
                <w:rFonts w:hint="eastAsia"/>
                <w:color w:val="auto"/>
                <w:highlight w:val="none"/>
              </w:rPr>
              <w:t>土壤</w:t>
            </w:r>
          </w:p>
        </w:tc>
        <w:tc>
          <w:tcPr>
            <w:tcW w:w="3403" w:type="dxa"/>
            <w:vAlign w:val="center"/>
          </w:tcPr>
          <w:p w14:paraId="1B5B6579">
            <w:pPr>
              <w:pStyle w:val="41"/>
              <w:rPr>
                <w:color w:val="auto"/>
                <w:highlight w:val="none"/>
              </w:rPr>
            </w:pPr>
            <w:r>
              <w:rPr>
                <w:rFonts w:hint="eastAsia"/>
                <w:color w:val="auto"/>
                <w:highlight w:val="none"/>
              </w:rPr>
              <w:t>选矿厂、尾矿库评价范围内土壤类型为棕漠土</w:t>
            </w:r>
          </w:p>
        </w:tc>
        <w:tc>
          <w:tcPr>
            <w:tcW w:w="2604" w:type="dxa"/>
            <w:vAlign w:val="center"/>
          </w:tcPr>
          <w:p w14:paraId="1C508F21">
            <w:pPr>
              <w:pStyle w:val="41"/>
              <w:rPr>
                <w:color w:val="auto"/>
                <w:highlight w:val="none"/>
              </w:rPr>
            </w:pPr>
            <w:r>
              <w:rPr>
                <w:rFonts w:hint="eastAsia"/>
                <w:color w:val="auto"/>
                <w:highlight w:val="none"/>
              </w:rPr>
              <w:t>《土壤环境质量标准建设用地土壤污染风险管控标准》（GB36600-2018）中筛选值标准</w:t>
            </w:r>
          </w:p>
        </w:tc>
      </w:tr>
      <w:tr w14:paraId="21C92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6" w:hRule="atLeast"/>
          <w:jc w:val="center"/>
        </w:trPr>
        <w:tc>
          <w:tcPr>
            <w:tcW w:w="960" w:type="dxa"/>
            <w:vAlign w:val="center"/>
          </w:tcPr>
          <w:p w14:paraId="662D6CCB">
            <w:pPr>
              <w:pStyle w:val="41"/>
              <w:rPr>
                <w:rFonts w:hint="eastAsia" w:eastAsia="华文中宋"/>
                <w:color w:val="auto"/>
                <w:highlight w:val="none"/>
                <w:lang w:eastAsia="zh-CN"/>
              </w:rPr>
            </w:pPr>
            <w:r>
              <w:rPr>
                <w:rFonts w:hint="eastAsia"/>
                <w:color w:val="auto"/>
                <w:highlight w:val="none"/>
                <w:lang w:eastAsia="zh-CN"/>
              </w:rPr>
              <w:t>环境风险</w:t>
            </w:r>
          </w:p>
        </w:tc>
        <w:tc>
          <w:tcPr>
            <w:tcW w:w="706" w:type="dxa"/>
            <w:vAlign w:val="center"/>
          </w:tcPr>
          <w:p w14:paraId="1A7E14D2">
            <w:pPr>
              <w:pStyle w:val="41"/>
              <w:rPr>
                <w:rFonts w:hint="eastAsia" w:eastAsia="华文中宋"/>
                <w:color w:val="auto"/>
                <w:highlight w:val="none"/>
                <w:lang w:eastAsia="zh-CN"/>
              </w:rPr>
            </w:pPr>
            <w:r>
              <w:rPr>
                <w:rFonts w:hint="eastAsia"/>
                <w:color w:val="auto"/>
                <w:highlight w:val="none"/>
                <w:lang w:eastAsia="zh-CN"/>
              </w:rPr>
              <w:t>事故状态</w:t>
            </w:r>
          </w:p>
        </w:tc>
        <w:tc>
          <w:tcPr>
            <w:tcW w:w="849" w:type="dxa"/>
            <w:vAlign w:val="center"/>
          </w:tcPr>
          <w:p w14:paraId="22B30BC2">
            <w:pPr>
              <w:pStyle w:val="41"/>
              <w:rPr>
                <w:rFonts w:hint="eastAsia"/>
                <w:color w:val="auto"/>
                <w:highlight w:val="none"/>
              </w:rPr>
            </w:pPr>
            <w:r>
              <w:rPr>
                <w:color w:val="auto"/>
                <w:highlight w:val="none"/>
              </w:rPr>
              <w:t>阿亚克苏洪木河</w:t>
            </w:r>
          </w:p>
        </w:tc>
        <w:tc>
          <w:tcPr>
            <w:tcW w:w="3403" w:type="dxa"/>
            <w:vAlign w:val="center"/>
          </w:tcPr>
          <w:p w14:paraId="7A4E4458">
            <w:pPr>
              <w:pStyle w:val="41"/>
              <w:rPr>
                <w:rFonts w:hint="eastAsia" w:eastAsia="华文中宋"/>
                <w:color w:val="auto"/>
                <w:highlight w:val="none"/>
                <w:lang w:eastAsia="zh-CN"/>
              </w:rPr>
            </w:pPr>
            <w:r>
              <w:rPr>
                <w:rFonts w:hint="eastAsia"/>
                <w:color w:val="auto"/>
                <w:highlight w:val="none"/>
              </w:rPr>
              <w:t>尾矿库</w:t>
            </w:r>
            <w:r>
              <w:rPr>
                <w:rFonts w:hint="eastAsia"/>
                <w:color w:val="auto"/>
                <w:highlight w:val="none"/>
                <w:lang w:eastAsia="zh-CN"/>
              </w:rPr>
              <w:t>下游</w:t>
            </w:r>
            <w:r>
              <w:rPr>
                <w:color w:val="auto"/>
                <w:highlight w:val="none"/>
              </w:rPr>
              <w:t>阿亚克苏洪木河</w:t>
            </w:r>
            <w:r>
              <w:rPr>
                <w:rFonts w:hint="eastAsia"/>
                <w:color w:val="auto"/>
                <w:highlight w:val="none"/>
                <w:lang w:eastAsia="zh-CN"/>
              </w:rPr>
              <w:t>、植被、土壤环境等</w:t>
            </w:r>
          </w:p>
        </w:tc>
        <w:tc>
          <w:tcPr>
            <w:tcW w:w="2604" w:type="dxa"/>
            <w:vAlign w:val="center"/>
          </w:tcPr>
          <w:p w14:paraId="106319C9">
            <w:pPr>
              <w:pStyle w:val="41"/>
              <w:rPr>
                <w:rFonts w:hint="eastAsia"/>
                <w:color w:val="auto"/>
                <w:highlight w:val="none"/>
              </w:rPr>
            </w:pPr>
            <w:r>
              <w:rPr>
                <w:rFonts w:hint="eastAsia"/>
                <w:color w:val="auto"/>
                <w:highlight w:val="none"/>
              </w:rPr>
              <w:t>执行《地表水环境质量标准》</w:t>
            </w:r>
            <w:r>
              <w:rPr>
                <w:rFonts w:hint="eastAsia"/>
                <w:color w:val="auto"/>
                <w:highlight w:val="none"/>
                <w:lang w:eastAsia="zh-CN"/>
              </w:rPr>
              <w:t>（</w:t>
            </w:r>
            <w:r>
              <w:rPr>
                <w:rFonts w:hint="eastAsia"/>
                <w:color w:val="auto"/>
                <w:highlight w:val="none"/>
              </w:rPr>
              <w:t>GB3838-2002)Ⅱ类标准。</w:t>
            </w:r>
          </w:p>
        </w:tc>
      </w:tr>
    </w:tbl>
    <w:p w14:paraId="21EFAA2B">
      <w:pPr>
        <w:pStyle w:val="3"/>
        <w:ind w:firstLine="480"/>
        <w:rPr>
          <w:color w:val="auto"/>
          <w:highlight w:val="none"/>
        </w:rPr>
      </w:pPr>
    </w:p>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14:paraId="4CD7EB4A">
      <w:pPr>
        <w:pStyle w:val="38"/>
        <w:rPr>
          <w:color w:val="auto"/>
          <w:highlight w:val="none"/>
        </w:rPr>
      </w:pPr>
      <w:bookmarkStart w:id="234" w:name="_Toc16464"/>
      <w:bookmarkStart w:id="235" w:name="_Toc17459"/>
      <w:r>
        <w:rPr>
          <w:rFonts w:hint="eastAsia"/>
          <w:color w:val="auto"/>
          <w:highlight w:val="none"/>
        </w:rPr>
        <w:t>工程概况与工程分析</w:t>
      </w:r>
      <w:bookmarkEnd w:id="234"/>
      <w:bookmarkEnd w:id="235"/>
    </w:p>
    <w:p w14:paraId="126A4F20">
      <w:pPr>
        <w:pStyle w:val="39"/>
        <w:rPr>
          <w:rFonts w:hint="default"/>
          <w:color w:val="auto"/>
          <w:highlight w:val="none"/>
        </w:rPr>
      </w:pPr>
      <w:bookmarkStart w:id="236" w:name="_Toc13311"/>
      <w:bookmarkStart w:id="237" w:name="_Toc32235"/>
      <w:bookmarkStart w:id="238" w:name="_Toc12620"/>
      <w:r>
        <w:rPr>
          <w:rFonts w:hint="eastAsia"/>
          <w:color w:val="auto"/>
          <w:highlight w:val="none"/>
          <w:lang w:eastAsia="zh-CN"/>
        </w:rPr>
        <w:t>原有</w:t>
      </w:r>
      <w:r>
        <w:rPr>
          <w:rFonts w:hint="default"/>
          <w:color w:val="auto"/>
          <w:highlight w:val="none"/>
        </w:rPr>
        <w:t>工程</w:t>
      </w:r>
      <w:bookmarkEnd w:id="236"/>
      <w:bookmarkEnd w:id="237"/>
      <w:bookmarkEnd w:id="238"/>
      <w:r>
        <w:rPr>
          <w:rFonts w:hint="eastAsia"/>
          <w:color w:val="auto"/>
          <w:highlight w:val="none"/>
          <w:lang w:eastAsia="zh-CN"/>
        </w:rPr>
        <w:t>概况</w:t>
      </w:r>
    </w:p>
    <w:p w14:paraId="136A3EEB">
      <w:pPr>
        <w:pStyle w:val="42"/>
        <w:rPr>
          <w:rFonts w:hint="default"/>
          <w:color w:val="auto"/>
          <w:highlight w:val="none"/>
        </w:rPr>
      </w:pPr>
      <w:r>
        <w:rPr>
          <w:rFonts w:hint="eastAsia"/>
          <w:color w:val="auto"/>
          <w:highlight w:val="none"/>
          <w:lang w:eastAsia="zh-CN"/>
        </w:rPr>
        <w:t>原</w:t>
      </w:r>
      <w:r>
        <w:rPr>
          <w:rFonts w:hint="default"/>
          <w:color w:val="auto"/>
          <w:highlight w:val="none"/>
        </w:rPr>
        <w:t>有工程历史概况</w:t>
      </w:r>
    </w:p>
    <w:p w14:paraId="6DFC6B00">
      <w:pPr>
        <w:pStyle w:val="3"/>
        <w:ind w:firstLine="480"/>
        <w:rPr>
          <w:color w:val="auto"/>
          <w:highlight w:val="none"/>
        </w:rPr>
      </w:pPr>
      <w:r>
        <w:rPr>
          <w:rFonts w:hint="eastAsia"/>
          <w:color w:val="auto"/>
          <w:highlight w:val="none"/>
        </w:rPr>
        <w:t>原有项目于2011年3月11日以</w:t>
      </w:r>
      <w:r>
        <w:rPr>
          <w:color w:val="auto"/>
          <w:highlight w:val="none"/>
        </w:rPr>
        <w:t>新环评价函</w:t>
      </w:r>
      <w:r>
        <w:rPr>
          <w:rFonts w:hint="eastAsia"/>
          <w:color w:val="auto"/>
          <w:highlight w:val="none"/>
        </w:rPr>
        <w:t>〔2011〕186号取得了《关于阿图什市环球矿业有限公司20万t/a铁选矿厂环境影响报告书的批复》</w:t>
      </w:r>
      <w:r>
        <w:rPr>
          <w:rFonts w:hint="eastAsia"/>
          <w:color w:val="auto"/>
          <w:highlight w:val="none"/>
          <w:lang w:eastAsia="zh-CN"/>
        </w:rPr>
        <w:t>；</w:t>
      </w:r>
      <w:r>
        <w:rPr>
          <w:rFonts w:hint="eastAsia"/>
          <w:color w:val="auto"/>
          <w:highlight w:val="none"/>
        </w:rPr>
        <w:t>2013年12月建成，克州环境监测站于2014年12月10日编制完成了《新疆阿图什环球矿业投资有限责任公司铁选矿厂项目竣工环境保护验收调查报告》</w:t>
      </w:r>
      <w:r>
        <w:rPr>
          <w:rFonts w:hint="eastAsia"/>
          <w:color w:val="auto"/>
          <w:highlight w:val="none"/>
          <w:lang w:eastAsia="zh-CN"/>
        </w:rPr>
        <w:t>；</w:t>
      </w:r>
      <w:r>
        <w:rPr>
          <w:rFonts w:hint="eastAsia"/>
          <w:color w:val="auto"/>
          <w:highlight w:val="none"/>
          <w:lang w:val="en-US" w:eastAsia="zh-CN"/>
        </w:rPr>
        <w:t>2024年12月31日以</w:t>
      </w:r>
      <w:r>
        <w:rPr>
          <w:rFonts w:hint="eastAsia"/>
          <w:color w:val="auto"/>
          <w:highlight w:val="none"/>
        </w:rPr>
        <w:t>克环验字〔2014〕33号通过了克州环保局验收。</w:t>
      </w:r>
    </w:p>
    <w:p w14:paraId="07A1D098">
      <w:pPr>
        <w:pStyle w:val="3"/>
        <w:ind w:firstLine="480"/>
        <w:rPr>
          <w:color w:val="auto"/>
          <w:highlight w:val="none"/>
        </w:rPr>
      </w:pPr>
      <w:r>
        <w:rPr>
          <w:rFonts w:hint="eastAsia"/>
          <w:color w:val="auto"/>
          <w:highlight w:val="none"/>
        </w:rPr>
        <w:t>厂区总占地面积10hm</w:t>
      </w:r>
      <w:r>
        <w:rPr>
          <w:rFonts w:hint="eastAsia"/>
          <w:color w:val="auto"/>
          <w:highlight w:val="none"/>
          <w:vertAlign w:val="superscript"/>
        </w:rPr>
        <w:t>2</w:t>
      </w:r>
      <w:r>
        <w:rPr>
          <w:rFonts w:hint="eastAsia"/>
          <w:color w:val="auto"/>
          <w:highlight w:val="none"/>
        </w:rPr>
        <w:t>，设计年处理铁矿石20万吨，采用二段一闭路破碎、二段一闭路磨矿、湿式磁选生产工艺。</w:t>
      </w:r>
      <w:r>
        <w:rPr>
          <w:color w:val="auto"/>
          <w:highlight w:val="none"/>
        </w:rPr>
        <w:t>2014年5月建成年处理20万t铁矿石的选矿厂</w:t>
      </w:r>
      <w:r>
        <w:rPr>
          <w:rFonts w:hint="eastAsia"/>
          <w:color w:val="auto"/>
          <w:highlight w:val="none"/>
        </w:rPr>
        <w:t>，于2024年6月</w:t>
      </w:r>
      <w:r>
        <w:rPr>
          <w:rFonts w:hint="eastAsia"/>
          <w:color w:val="auto"/>
          <w:highlight w:val="none"/>
          <w:lang w:eastAsia="zh-CN"/>
        </w:rPr>
        <w:t>停产</w:t>
      </w:r>
      <w:r>
        <w:rPr>
          <w:rFonts w:hint="eastAsia"/>
          <w:color w:val="auto"/>
          <w:highlight w:val="none"/>
        </w:rPr>
        <w:t>开始</w:t>
      </w:r>
      <w:r>
        <w:rPr>
          <w:rFonts w:hint="eastAsia"/>
          <w:color w:val="auto"/>
          <w:highlight w:val="none"/>
          <w:lang w:eastAsia="zh-CN"/>
        </w:rPr>
        <w:t>改扩建</w:t>
      </w:r>
      <w:r>
        <w:rPr>
          <w:rFonts w:hint="eastAsia"/>
          <w:color w:val="auto"/>
          <w:highlight w:val="none"/>
        </w:rPr>
        <w:t>。</w:t>
      </w:r>
    </w:p>
    <w:p w14:paraId="297B91ED">
      <w:pPr>
        <w:pStyle w:val="42"/>
        <w:rPr>
          <w:rFonts w:hint="eastAsia"/>
          <w:color w:val="auto"/>
          <w:highlight w:val="none"/>
          <w:lang w:val="en-US" w:eastAsia="zh-CN"/>
        </w:rPr>
      </w:pPr>
      <w:r>
        <w:rPr>
          <w:rFonts w:hint="eastAsia"/>
          <w:color w:val="auto"/>
          <w:highlight w:val="none"/>
          <w:lang w:val="en-US" w:eastAsia="zh-CN"/>
        </w:rPr>
        <w:t>原有</w:t>
      </w:r>
      <w:r>
        <w:rPr>
          <w:rFonts w:hint="eastAsia"/>
          <w:color w:val="auto"/>
          <w:highlight w:val="none"/>
          <w:lang w:val="en-US" w:eastAsia="zh-CN"/>
        </w:rPr>
        <w:t>工程建设内容</w:t>
      </w:r>
    </w:p>
    <w:p w14:paraId="6ECB4A8C">
      <w:pPr>
        <w:pStyle w:val="43"/>
        <w:rPr>
          <w:rFonts w:hint="default"/>
          <w:color w:val="auto"/>
          <w:highlight w:val="none"/>
          <w:lang w:val="en-US" w:eastAsia="zh-CN"/>
        </w:rPr>
      </w:pPr>
      <w:r>
        <w:rPr>
          <w:rFonts w:hint="eastAsia"/>
          <w:color w:val="auto"/>
          <w:highlight w:val="none"/>
          <w:lang w:val="en-US" w:eastAsia="zh-CN"/>
        </w:rPr>
        <w:t>基本情况</w:t>
      </w:r>
    </w:p>
    <w:p w14:paraId="1715DF87">
      <w:pPr>
        <w:pStyle w:val="3"/>
        <w:ind w:firstLine="480"/>
        <w:rPr>
          <w:rFonts w:hint="default"/>
          <w:color w:val="auto"/>
          <w:highlight w:val="none"/>
          <w:lang w:val="en-US" w:eastAsia="zh-CN"/>
        </w:rPr>
      </w:pPr>
      <w:r>
        <w:rPr>
          <w:rFonts w:hint="default"/>
          <w:color w:val="auto"/>
          <w:highlight w:val="none"/>
          <w:lang w:val="en-US" w:eastAsia="zh-CN"/>
        </w:rPr>
        <w:t>项目名称：新疆阿图什环球矿业投资有限责任公司铁选矿厂项目</w:t>
      </w:r>
    </w:p>
    <w:p w14:paraId="780CA033">
      <w:pPr>
        <w:pStyle w:val="3"/>
        <w:ind w:firstLine="480"/>
        <w:rPr>
          <w:rFonts w:hint="default"/>
          <w:color w:val="auto"/>
          <w:highlight w:val="none"/>
          <w:lang w:val="en-US" w:eastAsia="zh-CN"/>
        </w:rPr>
      </w:pPr>
      <w:r>
        <w:rPr>
          <w:rFonts w:hint="default"/>
          <w:color w:val="auto"/>
          <w:highlight w:val="none"/>
          <w:lang w:val="en-US" w:eastAsia="zh-CN"/>
        </w:rPr>
        <w:t>建设性质：新建</w:t>
      </w:r>
    </w:p>
    <w:p w14:paraId="43F3ADAF">
      <w:pPr>
        <w:pStyle w:val="3"/>
        <w:ind w:firstLine="480"/>
        <w:rPr>
          <w:rFonts w:hint="default"/>
          <w:color w:val="auto"/>
          <w:highlight w:val="none"/>
          <w:lang w:val="en-US" w:eastAsia="zh-CN"/>
        </w:rPr>
      </w:pPr>
      <w:r>
        <w:rPr>
          <w:rFonts w:hint="default"/>
          <w:color w:val="auto"/>
          <w:highlight w:val="none"/>
          <w:lang w:val="en-US" w:eastAsia="zh-CN"/>
        </w:rPr>
        <w:t>建设规模：年处理原矿20万吨，年产铁精粉6.26万吨。</w:t>
      </w:r>
    </w:p>
    <w:p w14:paraId="27D6120C">
      <w:pPr>
        <w:pStyle w:val="3"/>
        <w:ind w:firstLine="480"/>
        <w:rPr>
          <w:rFonts w:hint="default"/>
          <w:color w:val="auto"/>
          <w:highlight w:val="none"/>
          <w:lang w:val="en-US" w:eastAsia="zh-CN"/>
        </w:rPr>
      </w:pPr>
      <w:r>
        <w:rPr>
          <w:rFonts w:hint="default"/>
          <w:color w:val="auto"/>
          <w:highlight w:val="none"/>
          <w:lang w:val="en-US" w:eastAsia="zh-CN"/>
        </w:rPr>
        <w:t>占地面积：10万m</w:t>
      </w:r>
      <w:r>
        <w:rPr>
          <w:rFonts w:hint="eastAsia"/>
          <w:color w:val="auto"/>
          <w:highlight w:val="none"/>
          <w:vertAlign w:val="superscript"/>
          <w:lang w:val="en-US" w:eastAsia="zh-CN"/>
        </w:rPr>
        <w:t>2</w:t>
      </w:r>
      <w:r>
        <w:rPr>
          <w:rFonts w:hint="default"/>
          <w:color w:val="auto"/>
          <w:highlight w:val="none"/>
          <w:lang w:val="en-US" w:eastAsia="zh-CN"/>
        </w:rPr>
        <w:t>。</w:t>
      </w:r>
    </w:p>
    <w:p w14:paraId="62ABC1DB">
      <w:pPr>
        <w:pStyle w:val="3"/>
        <w:ind w:firstLine="480"/>
        <w:rPr>
          <w:rFonts w:hint="default"/>
          <w:color w:val="auto"/>
          <w:highlight w:val="none"/>
          <w:lang w:val="en-US" w:eastAsia="zh-CN"/>
        </w:rPr>
      </w:pPr>
      <w:r>
        <w:rPr>
          <w:rFonts w:hint="default"/>
          <w:color w:val="auto"/>
          <w:highlight w:val="none"/>
          <w:lang w:val="en-US" w:eastAsia="zh-CN"/>
        </w:rPr>
        <w:t>全厂人数：120人。</w:t>
      </w:r>
    </w:p>
    <w:p w14:paraId="7689C2D0">
      <w:pPr>
        <w:pStyle w:val="3"/>
        <w:ind w:firstLine="480"/>
        <w:rPr>
          <w:rFonts w:hint="default"/>
          <w:color w:val="auto"/>
          <w:highlight w:val="none"/>
          <w:lang w:val="en-US" w:eastAsia="zh-CN"/>
        </w:rPr>
      </w:pPr>
      <w:r>
        <w:rPr>
          <w:rFonts w:hint="default"/>
          <w:color w:val="auto"/>
          <w:highlight w:val="none"/>
          <w:lang w:val="en-US" w:eastAsia="zh-CN"/>
        </w:rPr>
        <w:t>年运行时间：300天。</w:t>
      </w:r>
    </w:p>
    <w:p w14:paraId="3510FDCE">
      <w:pPr>
        <w:pStyle w:val="43"/>
        <w:rPr>
          <w:rFonts w:hint="default"/>
          <w:color w:val="auto"/>
          <w:highlight w:val="none"/>
          <w:lang w:val="en-US" w:eastAsia="zh-CN"/>
        </w:rPr>
      </w:pPr>
      <w:r>
        <w:rPr>
          <w:rFonts w:hint="eastAsia"/>
          <w:color w:val="auto"/>
          <w:highlight w:val="none"/>
          <w:lang w:val="en-US" w:eastAsia="zh-CN"/>
        </w:rPr>
        <w:t>建设内容</w:t>
      </w:r>
    </w:p>
    <w:p w14:paraId="697E12DB">
      <w:pPr>
        <w:pStyle w:val="3"/>
        <w:ind w:firstLine="480"/>
        <w:rPr>
          <w:rFonts w:hint="eastAsia"/>
          <w:color w:val="auto"/>
          <w:highlight w:val="none"/>
          <w:lang w:val="en-US" w:eastAsia="zh-CN"/>
        </w:rPr>
      </w:pPr>
      <w:r>
        <w:rPr>
          <w:rFonts w:hint="eastAsia"/>
          <w:color w:val="auto"/>
          <w:highlight w:val="none"/>
          <w:lang w:val="en-US" w:eastAsia="zh-CN"/>
        </w:rPr>
        <w:t>原有工程建设内容详见下表。</w:t>
      </w:r>
    </w:p>
    <w:p w14:paraId="06577665">
      <w:pPr>
        <w:pStyle w:val="54"/>
        <w:rPr>
          <w:rFonts w:hint="default"/>
          <w:b/>
          <w:bCs/>
          <w:color w:val="auto"/>
          <w:highlight w:val="none"/>
          <w:lang w:val="en-US" w:eastAsia="zh-CN"/>
        </w:rPr>
      </w:pPr>
      <w:r>
        <w:rPr>
          <w:rFonts w:hint="eastAsia"/>
          <w:b/>
          <w:bCs/>
          <w:color w:val="auto"/>
          <w:highlight w:val="none"/>
          <w:lang w:val="en-US" w:eastAsia="zh-CN"/>
        </w:rPr>
        <w:t>表3.1-1   原有工程建设内容</w:t>
      </w:r>
    </w:p>
    <w:tbl>
      <w:tblPr>
        <w:tblStyle w:val="25"/>
        <w:tblW w:w="832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019"/>
        <w:gridCol w:w="4924"/>
        <w:gridCol w:w="2381"/>
      </w:tblGrid>
      <w:tr w14:paraId="456E94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019" w:type="dxa"/>
            <w:tcBorders>
              <w:tl2br w:val="nil"/>
              <w:tr2bl w:val="nil"/>
            </w:tcBorders>
            <w:noWrap w:val="0"/>
            <w:vAlign w:val="center"/>
          </w:tcPr>
          <w:p w14:paraId="10B84978">
            <w:pPr>
              <w:pStyle w:val="41"/>
              <w:spacing w:before="0" w:line="240" w:lineRule="atLeast"/>
              <w:ind w:left="0" w:right="0"/>
              <w:rPr>
                <w:color w:val="auto"/>
                <w:highlight w:val="none"/>
              </w:rPr>
            </w:pPr>
            <w:r>
              <w:rPr>
                <w:color w:val="auto"/>
                <w:highlight w:val="none"/>
              </w:rPr>
              <w:t>项目组成</w:t>
            </w:r>
          </w:p>
        </w:tc>
        <w:tc>
          <w:tcPr>
            <w:tcW w:w="4924" w:type="dxa"/>
            <w:tcBorders>
              <w:tl2br w:val="nil"/>
              <w:tr2bl w:val="nil"/>
            </w:tcBorders>
            <w:noWrap w:val="0"/>
            <w:vAlign w:val="center"/>
          </w:tcPr>
          <w:p w14:paraId="030F9504">
            <w:pPr>
              <w:pStyle w:val="41"/>
              <w:spacing w:before="0" w:line="240" w:lineRule="atLeast"/>
              <w:ind w:left="0"/>
              <w:rPr>
                <w:color w:val="auto"/>
                <w:highlight w:val="none"/>
              </w:rPr>
            </w:pPr>
            <w:r>
              <w:rPr>
                <w:color w:val="auto"/>
                <w:highlight w:val="none"/>
              </w:rPr>
              <w:t>建设内容</w:t>
            </w:r>
          </w:p>
        </w:tc>
        <w:tc>
          <w:tcPr>
            <w:tcW w:w="2381" w:type="dxa"/>
            <w:tcBorders>
              <w:tl2br w:val="nil"/>
              <w:tr2bl w:val="nil"/>
            </w:tcBorders>
            <w:noWrap w:val="0"/>
            <w:vAlign w:val="center"/>
          </w:tcPr>
          <w:p w14:paraId="75308AC9">
            <w:pPr>
              <w:pStyle w:val="41"/>
              <w:spacing w:line="240" w:lineRule="atLeast"/>
              <w:rPr>
                <w:rFonts w:hint="eastAsia" w:eastAsia="华文中宋"/>
                <w:color w:val="auto"/>
                <w:highlight w:val="none"/>
                <w:lang w:eastAsia="zh-CN"/>
              </w:rPr>
            </w:pPr>
            <w:r>
              <w:rPr>
                <w:rFonts w:hint="eastAsia"/>
                <w:color w:val="auto"/>
                <w:highlight w:val="none"/>
                <w:lang w:eastAsia="zh-CN"/>
              </w:rPr>
              <w:t>现状情况</w:t>
            </w:r>
          </w:p>
        </w:tc>
      </w:tr>
      <w:tr w14:paraId="6E559E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019" w:type="dxa"/>
            <w:tcBorders>
              <w:tl2br w:val="nil"/>
              <w:tr2bl w:val="nil"/>
            </w:tcBorders>
            <w:noWrap w:val="0"/>
            <w:vAlign w:val="center"/>
          </w:tcPr>
          <w:p w14:paraId="1950243E">
            <w:pPr>
              <w:pStyle w:val="41"/>
              <w:spacing w:before="0" w:line="240" w:lineRule="atLeast"/>
              <w:ind w:left="0" w:right="0"/>
              <w:rPr>
                <w:color w:val="auto"/>
                <w:highlight w:val="none"/>
              </w:rPr>
            </w:pPr>
            <w:r>
              <w:rPr>
                <w:color w:val="auto"/>
                <w:highlight w:val="none"/>
              </w:rPr>
              <w:t>选矿场</w:t>
            </w:r>
          </w:p>
        </w:tc>
        <w:tc>
          <w:tcPr>
            <w:tcW w:w="4924" w:type="dxa"/>
            <w:tcBorders>
              <w:tl2br w:val="nil"/>
              <w:tr2bl w:val="nil"/>
            </w:tcBorders>
            <w:noWrap w:val="0"/>
            <w:vAlign w:val="center"/>
          </w:tcPr>
          <w:p w14:paraId="6AFF28C9">
            <w:pPr>
              <w:pStyle w:val="41"/>
              <w:spacing w:before="0" w:line="240" w:lineRule="atLeast"/>
              <w:ind w:left="0" w:right="0"/>
              <w:rPr>
                <w:color w:val="auto"/>
                <w:highlight w:val="none"/>
              </w:rPr>
            </w:pPr>
            <w:r>
              <w:rPr>
                <w:color w:val="auto"/>
                <w:highlight w:val="none"/>
              </w:rPr>
              <w:t>选矿场主要生产厂房有粉矿仓、粗碎车间、主厂房、带式输送机通廊、浓缩脱水间等组成</w:t>
            </w:r>
          </w:p>
        </w:tc>
        <w:tc>
          <w:tcPr>
            <w:tcW w:w="2381" w:type="dxa"/>
            <w:tcBorders>
              <w:tl2br w:val="nil"/>
              <w:tr2bl w:val="nil"/>
            </w:tcBorders>
            <w:noWrap w:val="0"/>
            <w:vAlign w:val="center"/>
          </w:tcPr>
          <w:p w14:paraId="09D44D24">
            <w:pPr>
              <w:pStyle w:val="41"/>
              <w:spacing w:line="240" w:lineRule="atLeast"/>
              <w:rPr>
                <w:rFonts w:hint="eastAsia" w:eastAsia="华文中宋"/>
                <w:color w:val="auto"/>
                <w:highlight w:val="none"/>
                <w:lang w:eastAsia="zh-CN"/>
              </w:rPr>
            </w:pPr>
            <w:r>
              <w:rPr>
                <w:rFonts w:hint="eastAsia"/>
                <w:color w:val="auto"/>
                <w:highlight w:val="none"/>
                <w:lang w:eastAsia="zh-CN"/>
              </w:rPr>
              <w:t>仅磨选车间利用，其余均已拆除进行扩建</w:t>
            </w:r>
          </w:p>
        </w:tc>
      </w:tr>
      <w:tr w14:paraId="042E77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019" w:type="dxa"/>
            <w:tcBorders>
              <w:tl2br w:val="nil"/>
              <w:tr2bl w:val="nil"/>
            </w:tcBorders>
            <w:noWrap w:val="0"/>
            <w:vAlign w:val="center"/>
          </w:tcPr>
          <w:p w14:paraId="483065FC">
            <w:pPr>
              <w:pStyle w:val="41"/>
              <w:spacing w:before="0" w:line="240" w:lineRule="atLeast"/>
              <w:ind w:left="0" w:right="0"/>
              <w:jc w:val="center"/>
              <w:rPr>
                <w:color w:val="auto"/>
                <w:highlight w:val="none"/>
              </w:rPr>
            </w:pPr>
            <w:r>
              <w:rPr>
                <w:color w:val="auto"/>
                <w:highlight w:val="none"/>
              </w:rPr>
              <w:t>办公生活区</w:t>
            </w:r>
          </w:p>
        </w:tc>
        <w:tc>
          <w:tcPr>
            <w:tcW w:w="4924" w:type="dxa"/>
            <w:tcBorders>
              <w:tl2br w:val="nil"/>
              <w:tr2bl w:val="nil"/>
            </w:tcBorders>
            <w:noWrap w:val="0"/>
            <w:vAlign w:val="center"/>
          </w:tcPr>
          <w:p w14:paraId="4E8CEF84">
            <w:pPr>
              <w:pStyle w:val="41"/>
              <w:spacing w:before="0" w:line="240" w:lineRule="atLeast"/>
              <w:ind w:left="0"/>
              <w:rPr>
                <w:color w:val="auto"/>
                <w:highlight w:val="none"/>
              </w:rPr>
            </w:pPr>
            <w:r>
              <w:rPr>
                <w:color w:val="auto"/>
                <w:highlight w:val="none"/>
              </w:rPr>
              <w:t>包括办公室、职工宿舍、配电室、机修车间、综合仓库、选厂锅炉房等设施</w:t>
            </w:r>
          </w:p>
        </w:tc>
        <w:tc>
          <w:tcPr>
            <w:tcW w:w="2381" w:type="dxa"/>
            <w:tcBorders>
              <w:tl2br w:val="nil"/>
              <w:tr2bl w:val="nil"/>
            </w:tcBorders>
            <w:noWrap w:val="0"/>
            <w:vAlign w:val="center"/>
          </w:tcPr>
          <w:p w14:paraId="45F297C8">
            <w:pPr>
              <w:pStyle w:val="41"/>
              <w:spacing w:line="240" w:lineRule="atLeast"/>
              <w:rPr>
                <w:color w:val="auto"/>
                <w:highlight w:val="none"/>
              </w:rPr>
            </w:pPr>
            <w:r>
              <w:rPr>
                <w:rFonts w:hint="eastAsia"/>
                <w:color w:val="auto"/>
                <w:highlight w:val="none"/>
                <w:lang w:eastAsia="zh-CN"/>
              </w:rPr>
              <w:t>均已拆除进行扩建</w:t>
            </w:r>
          </w:p>
        </w:tc>
      </w:tr>
      <w:tr w14:paraId="7DEBBF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019" w:type="dxa"/>
            <w:tcBorders>
              <w:tl2br w:val="nil"/>
              <w:tr2bl w:val="nil"/>
            </w:tcBorders>
            <w:noWrap w:val="0"/>
            <w:vAlign w:val="center"/>
          </w:tcPr>
          <w:p w14:paraId="4CD7E4B7">
            <w:pPr>
              <w:pStyle w:val="41"/>
              <w:spacing w:before="0" w:line="240" w:lineRule="atLeast"/>
              <w:ind w:left="0" w:right="0"/>
              <w:rPr>
                <w:color w:val="auto"/>
                <w:highlight w:val="none"/>
              </w:rPr>
            </w:pPr>
            <w:r>
              <w:rPr>
                <w:color w:val="auto"/>
                <w:highlight w:val="none"/>
              </w:rPr>
              <w:t>尾矿库</w:t>
            </w:r>
          </w:p>
        </w:tc>
        <w:tc>
          <w:tcPr>
            <w:tcW w:w="4924" w:type="dxa"/>
            <w:tcBorders>
              <w:tl2br w:val="nil"/>
              <w:tr2bl w:val="nil"/>
            </w:tcBorders>
            <w:noWrap w:val="0"/>
            <w:vAlign w:val="center"/>
          </w:tcPr>
          <w:p w14:paraId="3B15568B">
            <w:pPr>
              <w:pStyle w:val="41"/>
              <w:spacing w:before="0" w:line="240" w:lineRule="atLeast"/>
              <w:ind w:left="0"/>
              <w:rPr>
                <w:color w:val="auto"/>
                <w:highlight w:val="none"/>
              </w:rPr>
            </w:pPr>
            <w:r>
              <w:rPr>
                <w:color w:val="auto"/>
                <w:highlight w:val="none"/>
              </w:rPr>
              <w:t>尾矿库总库容为7.655万m³。</w:t>
            </w:r>
          </w:p>
        </w:tc>
        <w:tc>
          <w:tcPr>
            <w:tcW w:w="2381" w:type="dxa"/>
            <w:tcBorders>
              <w:tl2br w:val="nil"/>
              <w:tr2bl w:val="nil"/>
            </w:tcBorders>
            <w:noWrap w:val="0"/>
            <w:vAlign w:val="center"/>
          </w:tcPr>
          <w:p w14:paraId="45DB28E6">
            <w:pPr>
              <w:pStyle w:val="41"/>
              <w:spacing w:line="240" w:lineRule="atLeast"/>
              <w:rPr>
                <w:rFonts w:hint="eastAsia" w:eastAsia="华文中宋"/>
                <w:color w:val="auto"/>
                <w:highlight w:val="none"/>
                <w:lang w:eastAsia="zh-CN"/>
              </w:rPr>
            </w:pPr>
            <w:r>
              <w:rPr>
                <w:rFonts w:hint="eastAsia"/>
                <w:color w:val="auto"/>
                <w:highlight w:val="none"/>
                <w:lang w:eastAsia="zh-CN"/>
              </w:rPr>
              <w:t>已闭矿，正在办理闭矿手续</w:t>
            </w:r>
          </w:p>
        </w:tc>
      </w:tr>
      <w:tr w14:paraId="5803623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019" w:type="dxa"/>
            <w:tcBorders>
              <w:tl2br w:val="nil"/>
              <w:tr2bl w:val="nil"/>
            </w:tcBorders>
            <w:noWrap w:val="0"/>
            <w:vAlign w:val="center"/>
          </w:tcPr>
          <w:p w14:paraId="7FAEBA9D">
            <w:pPr>
              <w:pStyle w:val="41"/>
              <w:spacing w:before="0" w:line="240" w:lineRule="atLeast"/>
              <w:ind w:left="0" w:right="0"/>
              <w:rPr>
                <w:color w:val="auto"/>
                <w:highlight w:val="none"/>
              </w:rPr>
            </w:pPr>
            <w:r>
              <w:rPr>
                <w:color w:val="auto"/>
                <w:highlight w:val="none"/>
              </w:rPr>
              <w:t>道路区</w:t>
            </w:r>
          </w:p>
        </w:tc>
        <w:tc>
          <w:tcPr>
            <w:tcW w:w="4924" w:type="dxa"/>
            <w:tcBorders>
              <w:tl2br w:val="nil"/>
              <w:tr2bl w:val="nil"/>
            </w:tcBorders>
            <w:noWrap w:val="0"/>
            <w:vAlign w:val="center"/>
          </w:tcPr>
          <w:p w14:paraId="30E5BFB1">
            <w:pPr>
              <w:pStyle w:val="41"/>
              <w:spacing w:before="0" w:line="240" w:lineRule="atLeast"/>
              <w:ind w:left="0" w:right="0"/>
              <w:rPr>
                <w:color w:val="auto"/>
                <w:highlight w:val="none"/>
              </w:rPr>
            </w:pPr>
            <w:r>
              <w:rPr>
                <w:color w:val="auto"/>
                <w:highlight w:val="none"/>
              </w:rPr>
              <w:t>厂区内主干道路面净宽6.0m</w:t>
            </w:r>
            <w:r>
              <w:rPr>
                <w:rFonts w:hint="eastAsia"/>
                <w:color w:val="auto"/>
                <w:highlight w:val="none"/>
                <w:lang w:eastAsia="zh-CN"/>
              </w:rPr>
              <w:t>，</w:t>
            </w:r>
            <w:r>
              <w:rPr>
                <w:color w:val="auto"/>
                <w:highlight w:val="none"/>
              </w:rPr>
              <w:t>长度约400m</w:t>
            </w:r>
            <w:r>
              <w:rPr>
                <w:rFonts w:hint="eastAsia"/>
                <w:color w:val="auto"/>
                <w:highlight w:val="none"/>
                <w:lang w:eastAsia="zh-CN"/>
              </w:rPr>
              <w:t>；</w:t>
            </w:r>
            <w:r>
              <w:rPr>
                <w:color w:val="auto"/>
                <w:highlight w:val="none"/>
              </w:rPr>
              <w:t>厂区至尾矿坝道路，路面宽5.0m</w:t>
            </w:r>
            <w:r>
              <w:rPr>
                <w:rFonts w:hint="eastAsia"/>
                <w:color w:val="auto"/>
                <w:highlight w:val="none"/>
                <w:lang w:eastAsia="zh-CN"/>
              </w:rPr>
              <w:t>，</w:t>
            </w:r>
            <w:r>
              <w:rPr>
                <w:color w:val="auto"/>
                <w:highlight w:val="none"/>
              </w:rPr>
              <w:t>长度为320m</w:t>
            </w:r>
          </w:p>
        </w:tc>
        <w:tc>
          <w:tcPr>
            <w:tcW w:w="2381" w:type="dxa"/>
            <w:tcBorders>
              <w:tl2br w:val="nil"/>
              <w:tr2bl w:val="nil"/>
            </w:tcBorders>
            <w:noWrap w:val="0"/>
            <w:vAlign w:val="center"/>
          </w:tcPr>
          <w:p w14:paraId="40A04ED3">
            <w:pPr>
              <w:pStyle w:val="41"/>
              <w:spacing w:line="240" w:lineRule="atLeast"/>
              <w:rPr>
                <w:rFonts w:hint="eastAsia" w:eastAsia="华文中宋"/>
                <w:color w:val="auto"/>
                <w:highlight w:val="none"/>
                <w:lang w:eastAsia="zh-CN"/>
              </w:rPr>
            </w:pPr>
            <w:r>
              <w:rPr>
                <w:rFonts w:hint="eastAsia"/>
                <w:color w:val="auto"/>
                <w:highlight w:val="none"/>
                <w:lang w:eastAsia="zh-CN"/>
              </w:rPr>
              <w:t>原有利用</w:t>
            </w:r>
          </w:p>
        </w:tc>
      </w:tr>
      <w:tr w14:paraId="76305BA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019" w:type="dxa"/>
            <w:tcBorders>
              <w:tl2br w:val="nil"/>
              <w:tr2bl w:val="nil"/>
            </w:tcBorders>
            <w:noWrap w:val="0"/>
            <w:vAlign w:val="center"/>
          </w:tcPr>
          <w:p w14:paraId="799214CD">
            <w:pPr>
              <w:pStyle w:val="41"/>
              <w:spacing w:before="0" w:line="240" w:lineRule="atLeast"/>
              <w:ind w:left="0" w:right="0"/>
              <w:rPr>
                <w:color w:val="auto"/>
                <w:highlight w:val="none"/>
              </w:rPr>
            </w:pPr>
            <w:r>
              <w:rPr>
                <w:color w:val="auto"/>
                <w:highlight w:val="none"/>
              </w:rPr>
              <w:t>设施辅助</w:t>
            </w:r>
          </w:p>
        </w:tc>
        <w:tc>
          <w:tcPr>
            <w:tcW w:w="4924" w:type="dxa"/>
            <w:tcBorders>
              <w:tl2br w:val="nil"/>
              <w:tr2bl w:val="nil"/>
            </w:tcBorders>
            <w:noWrap w:val="0"/>
            <w:vAlign w:val="center"/>
          </w:tcPr>
          <w:p w14:paraId="08C6FC4B">
            <w:pPr>
              <w:pStyle w:val="41"/>
              <w:spacing w:before="0" w:line="240" w:lineRule="atLeast"/>
              <w:ind w:left="0"/>
              <w:rPr>
                <w:color w:val="auto"/>
                <w:highlight w:val="none"/>
              </w:rPr>
            </w:pPr>
            <w:r>
              <w:rPr>
                <w:color w:val="auto"/>
                <w:highlight w:val="none"/>
              </w:rPr>
              <w:t>包括尾矿库排水涵管、尾砂输送管道、供排水工程、供电工程等</w:t>
            </w:r>
          </w:p>
        </w:tc>
        <w:tc>
          <w:tcPr>
            <w:tcW w:w="2381" w:type="dxa"/>
            <w:tcBorders>
              <w:tl2br w:val="nil"/>
              <w:tr2bl w:val="nil"/>
            </w:tcBorders>
            <w:noWrap w:val="0"/>
            <w:vAlign w:val="center"/>
          </w:tcPr>
          <w:p w14:paraId="085D4849">
            <w:pPr>
              <w:pStyle w:val="41"/>
              <w:spacing w:line="240" w:lineRule="atLeast"/>
              <w:rPr>
                <w:rFonts w:hint="eastAsia" w:eastAsia="华文中宋"/>
                <w:color w:val="auto"/>
                <w:highlight w:val="none"/>
                <w:lang w:eastAsia="zh-CN"/>
              </w:rPr>
            </w:pPr>
            <w:r>
              <w:rPr>
                <w:color w:val="auto"/>
                <w:highlight w:val="none"/>
              </w:rPr>
              <w:t>供排水、供电工程</w:t>
            </w:r>
            <w:r>
              <w:rPr>
                <w:rFonts w:hint="eastAsia"/>
                <w:color w:val="auto"/>
                <w:highlight w:val="none"/>
                <w:lang w:eastAsia="zh-CN"/>
              </w:rPr>
              <w:t>利用，其余均已拆除。</w:t>
            </w:r>
          </w:p>
        </w:tc>
      </w:tr>
    </w:tbl>
    <w:p w14:paraId="65CC18C7">
      <w:pPr>
        <w:pStyle w:val="42"/>
        <w:rPr>
          <w:rFonts w:hint="default"/>
          <w:color w:val="auto"/>
          <w:highlight w:val="none"/>
        </w:rPr>
      </w:pPr>
      <w:bookmarkStart w:id="239" w:name="_Toc48932477"/>
      <w:r>
        <w:rPr>
          <w:rFonts w:hint="eastAsia"/>
          <w:color w:val="auto"/>
          <w:highlight w:val="none"/>
          <w:lang w:eastAsia="zh-CN"/>
        </w:rPr>
        <w:t>原有工程</w:t>
      </w:r>
      <w:r>
        <w:rPr>
          <w:rFonts w:hint="default"/>
          <w:color w:val="auto"/>
          <w:highlight w:val="none"/>
        </w:rPr>
        <w:t>建设项目过程回顾</w:t>
      </w:r>
      <w:bookmarkEnd w:id="239"/>
    </w:p>
    <w:p w14:paraId="61DF8805">
      <w:pPr>
        <w:pStyle w:val="3"/>
        <w:ind w:firstLine="480"/>
        <w:rPr>
          <w:color w:val="auto"/>
          <w:highlight w:val="none"/>
        </w:rPr>
      </w:pPr>
      <w:r>
        <w:rPr>
          <w:color w:val="auto"/>
          <w:highlight w:val="none"/>
        </w:rPr>
        <w:t>本次项目主要回顾建设项目环境影响评价、环境保护措施落实、环境保护设施竣工验收、环境监测情况等内容。</w:t>
      </w:r>
    </w:p>
    <w:p w14:paraId="57722013">
      <w:pPr>
        <w:pStyle w:val="3"/>
        <w:ind w:firstLine="480"/>
        <w:rPr>
          <w:color w:val="auto"/>
          <w:highlight w:val="none"/>
        </w:rPr>
      </w:pPr>
      <w:r>
        <w:rPr>
          <w:color w:val="auto"/>
          <w:highlight w:val="none"/>
        </w:rPr>
        <w:t>（1）环评批复落实情况</w:t>
      </w:r>
    </w:p>
    <w:p w14:paraId="50456732">
      <w:pPr>
        <w:pStyle w:val="3"/>
        <w:ind w:firstLine="480"/>
        <w:rPr>
          <w:color w:val="auto"/>
          <w:highlight w:val="none"/>
        </w:rPr>
      </w:pPr>
      <w:r>
        <w:rPr>
          <w:rFonts w:hint="eastAsia"/>
          <w:color w:val="auto"/>
          <w:highlight w:val="none"/>
        </w:rPr>
        <w:t>2011年3月11日以</w:t>
      </w:r>
      <w:r>
        <w:rPr>
          <w:color w:val="auto"/>
          <w:highlight w:val="none"/>
        </w:rPr>
        <w:t>新环评价函</w:t>
      </w:r>
      <w:r>
        <w:rPr>
          <w:rFonts w:hint="eastAsia"/>
          <w:color w:val="auto"/>
          <w:highlight w:val="none"/>
        </w:rPr>
        <w:t>〔2011〕186号取得了《关于阿图什市环球矿业有限公司20万t/a铁选矿厂环境影响报告书的批复》，由于项目建设完成至今时间比较久远，并且目前已停产进行改扩建工程，因改扩建工程的部分工程已进行了</w:t>
      </w:r>
      <w:r>
        <w:rPr>
          <w:rFonts w:hint="eastAsia"/>
          <w:color w:val="auto"/>
          <w:highlight w:val="none"/>
          <w:lang w:eastAsia="zh-CN"/>
        </w:rPr>
        <w:t>建设</w:t>
      </w:r>
      <w:r>
        <w:rPr>
          <w:rFonts w:hint="eastAsia"/>
          <w:color w:val="auto"/>
          <w:highlight w:val="none"/>
        </w:rPr>
        <w:t>，因此环评落实情况根据验收报告及结合实际情况进行分析。</w:t>
      </w:r>
    </w:p>
    <w:p w14:paraId="1194D164">
      <w:pPr>
        <w:pStyle w:val="40"/>
        <w:spacing w:before="24" w:after="24"/>
        <w:rPr>
          <w:color w:val="auto"/>
          <w:highlight w:val="none"/>
        </w:rPr>
      </w:pPr>
      <w:r>
        <w:rPr>
          <w:color w:val="auto"/>
          <w:highlight w:val="none"/>
        </w:rPr>
        <w:t>表</w:t>
      </w:r>
      <w:r>
        <w:rPr>
          <w:rFonts w:hint="eastAsia"/>
          <w:color w:val="auto"/>
          <w:highlight w:val="none"/>
        </w:rPr>
        <w:t>3</w:t>
      </w:r>
      <w:r>
        <w:rPr>
          <w:color w:val="auto"/>
          <w:highlight w:val="none"/>
        </w:rPr>
        <w:t>.1-1     环评及批复落实情况</w:t>
      </w:r>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41"/>
        <w:gridCol w:w="4079"/>
        <w:gridCol w:w="3048"/>
        <w:gridCol w:w="942"/>
      </w:tblGrid>
      <w:tr w14:paraId="7BA966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1531B635">
            <w:pPr>
              <w:pStyle w:val="41"/>
              <w:widowControl w:val="0"/>
              <w:rPr>
                <w:color w:val="auto"/>
                <w:highlight w:val="none"/>
              </w:rPr>
            </w:pPr>
            <w:r>
              <w:rPr>
                <w:rFonts w:hint="eastAsia"/>
                <w:color w:val="auto"/>
                <w:highlight w:val="none"/>
              </w:rPr>
              <w:t>序号</w:t>
            </w:r>
          </w:p>
        </w:tc>
        <w:tc>
          <w:tcPr>
            <w:tcW w:w="0" w:type="auto"/>
            <w:tcBorders>
              <w:tl2br w:val="nil"/>
              <w:tr2bl w:val="nil"/>
            </w:tcBorders>
            <w:vAlign w:val="center"/>
          </w:tcPr>
          <w:p w14:paraId="2F27D0AB">
            <w:pPr>
              <w:pStyle w:val="41"/>
              <w:widowControl w:val="0"/>
              <w:rPr>
                <w:color w:val="auto"/>
                <w:highlight w:val="none"/>
              </w:rPr>
            </w:pPr>
            <w:r>
              <w:rPr>
                <w:rFonts w:hint="eastAsia"/>
                <w:color w:val="auto"/>
                <w:highlight w:val="none"/>
              </w:rPr>
              <w:t>批复情况</w:t>
            </w:r>
          </w:p>
        </w:tc>
        <w:tc>
          <w:tcPr>
            <w:tcW w:w="3048" w:type="dxa"/>
            <w:tcBorders>
              <w:tl2br w:val="nil"/>
              <w:tr2bl w:val="nil"/>
            </w:tcBorders>
            <w:vAlign w:val="center"/>
          </w:tcPr>
          <w:p w14:paraId="257CF98E">
            <w:pPr>
              <w:pStyle w:val="41"/>
              <w:widowControl w:val="0"/>
              <w:rPr>
                <w:color w:val="auto"/>
                <w:highlight w:val="none"/>
              </w:rPr>
            </w:pPr>
            <w:r>
              <w:rPr>
                <w:rFonts w:hint="eastAsia"/>
                <w:color w:val="auto"/>
                <w:highlight w:val="none"/>
              </w:rPr>
              <w:t>实施情况</w:t>
            </w:r>
          </w:p>
        </w:tc>
        <w:tc>
          <w:tcPr>
            <w:tcW w:w="942" w:type="dxa"/>
            <w:tcBorders>
              <w:tl2br w:val="nil"/>
              <w:tr2bl w:val="nil"/>
            </w:tcBorders>
            <w:vAlign w:val="center"/>
          </w:tcPr>
          <w:p w14:paraId="467E705C">
            <w:pPr>
              <w:pStyle w:val="41"/>
              <w:widowControl w:val="0"/>
              <w:rPr>
                <w:color w:val="auto"/>
                <w:highlight w:val="none"/>
              </w:rPr>
            </w:pPr>
            <w:r>
              <w:rPr>
                <w:rFonts w:hint="eastAsia"/>
                <w:color w:val="auto"/>
                <w:highlight w:val="none"/>
              </w:rPr>
              <w:t>落实情况</w:t>
            </w:r>
          </w:p>
        </w:tc>
      </w:tr>
      <w:tr w14:paraId="31284A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2CE00100">
            <w:pPr>
              <w:pStyle w:val="41"/>
              <w:widowControl w:val="0"/>
              <w:rPr>
                <w:color w:val="auto"/>
                <w:highlight w:val="none"/>
              </w:rPr>
            </w:pPr>
            <w:r>
              <w:rPr>
                <w:rFonts w:hint="eastAsia"/>
                <w:color w:val="auto"/>
                <w:highlight w:val="none"/>
              </w:rPr>
              <w:t>1</w:t>
            </w:r>
          </w:p>
        </w:tc>
        <w:tc>
          <w:tcPr>
            <w:tcW w:w="0" w:type="auto"/>
            <w:tcBorders>
              <w:tl2br w:val="nil"/>
              <w:tr2bl w:val="nil"/>
            </w:tcBorders>
            <w:vAlign w:val="center"/>
          </w:tcPr>
          <w:p w14:paraId="28932CCD">
            <w:pPr>
              <w:pStyle w:val="41"/>
              <w:widowControl w:val="0"/>
              <w:rPr>
                <w:color w:val="auto"/>
                <w:highlight w:val="none"/>
              </w:rPr>
            </w:pPr>
            <w:r>
              <w:rPr>
                <w:color w:val="auto"/>
                <w:highlight w:val="none"/>
              </w:rPr>
              <w:t>加强施工期环境管理，明确有关环保责任，做好施工规划、组织工作。划定施工范围，尽可能减少占地，减少破坏植被，施工便道、材料堆放场等应尽量利用荒地、闲地，以保护有限的草地资源和脆弱的生态系统；妥善处置施工污水和建筑垃圾，有效控制扬尘和噪声污染；施工结束后，要及时清理现场，做好迹地恢复和水土流失防治工作。</w:t>
            </w:r>
          </w:p>
        </w:tc>
        <w:tc>
          <w:tcPr>
            <w:tcW w:w="3048" w:type="dxa"/>
            <w:tcBorders>
              <w:tl2br w:val="nil"/>
              <w:tr2bl w:val="nil"/>
            </w:tcBorders>
            <w:vAlign w:val="center"/>
          </w:tcPr>
          <w:p w14:paraId="312A791C">
            <w:pPr>
              <w:pStyle w:val="41"/>
              <w:widowControl w:val="0"/>
              <w:rPr>
                <w:color w:val="auto"/>
                <w:highlight w:val="none"/>
              </w:rPr>
            </w:pPr>
            <w:r>
              <w:rPr>
                <w:rFonts w:hint="eastAsia"/>
                <w:color w:val="auto"/>
                <w:highlight w:val="none"/>
              </w:rPr>
              <w:t>根据验收报告，在工程建设中坚持开发与生态保护并重的原则，在施工过程中注意物料转运与使用的管理，运输车辆能在固定的道路上行驶，施工完毕后对施工迹地进行了平整和清理，施工迹地基本得到了恢复，选厂工业场地及生活场区局部进行了硬化。</w:t>
            </w:r>
          </w:p>
        </w:tc>
        <w:tc>
          <w:tcPr>
            <w:tcW w:w="942" w:type="dxa"/>
            <w:tcBorders>
              <w:tl2br w:val="nil"/>
              <w:tr2bl w:val="nil"/>
            </w:tcBorders>
            <w:vAlign w:val="center"/>
          </w:tcPr>
          <w:p w14:paraId="4574E955">
            <w:pPr>
              <w:pStyle w:val="41"/>
              <w:widowControl w:val="0"/>
              <w:rPr>
                <w:color w:val="auto"/>
                <w:highlight w:val="none"/>
              </w:rPr>
            </w:pPr>
            <w:r>
              <w:rPr>
                <w:rFonts w:hint="eastAsia"/>
                <w:color w:val="auto"/>
                <w:highlight w:val="none"/>
              </w:rPr>
              <w:t>落实</w:t>
            </w:r>
          </w:p>
        </w:tc>
      </w:tr>
      <w:tr w14:paraId="7EB8F8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71C3D9C7">
            <w:pPr>
              <w:pStyle w:val="41"/>
              <w:widowControl w:val="0"/>
              <w:rPr>
                <w:color w:val="auto"/>
                <w:highlight w:val="none"/>
              </w:rPr>
            </w:pPr>
            <w:r>
              <w:rPr>
                <w:rFonts w:hint="eastAsia"/>
                <w:color w:val="auto"/>
                <w:highlight w:val="none"/>
              </w:rPr>
              <w:t>2</w:t>
            </w:r>
          </w:p>
        </w:tc>
        <w:tc>
          <w:tcPr>
            <w:tcW w:w="0" w:type="auto"/>
            <w:tcBorders>
              <w:tl2br w:val="nil"/>
              <w:tr2bl w:val="nil"/>
            </w:tcBorders>
            <w:vAlign w:val="center"/>
          </w:tcPr>
          <w:p w14:paraId="01869897">
            <w:pPr>
              <w:pStyle w:val="41"/>
              <w:widowControl w:val="0"/>
              <w:rPr>
                <w:color w:val="auto"/>
                <w:highlight w:val="none"/>
              </w:rPr>
            </w:pPr>
            <w:r>
              <w:rPr>
                <w:color w:val="auto"/>
                <w:highlight w:val="none"/>
              </w:rPr>
              <w:t>加强生产运行管理，做好扬尘、废气污染控制工作，落实厂区排放的粉尘、废气的环保治理措施。要求工作面和装卸点</w:t>
            </w:r>
            <w:r>
              <w:rPr>
                <w:rFonts w:hint="eastAsia"/>
                <w:color w:val="auto"/>
                <w:highlight w:val="none"/>
                <w:lang w:eastAsia="zh-CN"/>
              </w:rPr>
              <w:t>设置</w:t>
            </w:r>
            <w:r>
              <w:rPr>
                <w:color w:val="auto"/>
                <w:highlight w:val="none"/>
              </w:rPr>
              <w:t>洒水降尘措施；运输过程加盖篷布；破碎、筛分工段安装通风设施和袋式除尘器，处理后的颗粒物浓度须达到《大气污染物综合排放标准》</w:t>
            </w:r>
            <w:r>
              <w:rPr>
                <w:rFonts w:hint="eastAsia"/>
                <w:color w:val="auto"/>
                <w:highlight w:val="none"/>
              </w:rPr>
              <w:t>（</w:t>
            </w:r>
            <w:r>
              <w:rPr>
                <w:color w:val="auto"/>
                <w:highlight w:val="none"/>
              </w:rPr>
              <w:t>GB16297-1996</w:t>
            </w:r>
            <w:r>
              <w:rPr>
                <w:rFonts w:hint="eastAsia"/>
                <w:color w:val="auto"/>
                <w:highlight w:val="none"/>
              </w:rPr>
              <w:t>）</w:t>
            </w:r>
            <w:r>
              <w:rPr>
                <w:color w:val="auto"/>
                <w:highlight w:val="none"/>
              </w:rPr>
              <w:t>二级标准限值要求，经15m高排气筒排放；配备环保锅炉，经脱硫除尘处理后烟尘、SO₂、NO</w:t>
            </w:r>
            <w:r>
              <w:rPr>
                <w:rFonts w:hint="eastAsia"/>
                <w:color w:val="auto"/>
                <w:highlight w:val="none"/>
              </w:rPr>
              <w:t>2</w:t>
            </w:r>
            <w:r>
              <w:rPr>
                <w:color w:val="auto"/>
                <w:highlight w:val="none"/>
              </w:rPr>
              <w:t>排放浓度须达到《锅炉大气污染物排放标准》</w:t>
            </w:r>
            <w:r>
              <w:rPr>
                <w:rFonts w:hint="eastAsia"/>
                <w:color w:val="auto"/>
                <w:highlight w:val="none"/>
                <w:lang w:eastAsia="zh-CN"/>
              </w:rPr>
              <w:t>（</w:t>
            </w:r>
            <w:r>
              <w:rPr>
                <w:color w:val="auto"/>
                <w:highlight w:val="none"/>
              </w:rPr>
              <w:t>GB13271-2001</w:t>
            </w:r>
            <w:r>
              <w:rPr>
                <w:rFonts w:hint="eastAsia"/>
                <w:color w:val="auto"/>
                <w:highlight w:val="none"/>
                <w:lang w:eastAsia="zh-CN"/>
              </w:rPr>
              <w:t>）</w:t>
            </w:r>
            <w:r>
              <w:rPr>
                <w:color w:val="auto"/>
                <w:highlight w:val="none"/>
              </w:rPr>
              <w:t>中二类区Ⅱ时段标准，经30m高烟囱排放。</w:t>
            </w:r>
          </w:p>
        </w:tc>
        <w:tc>
          <w:tcPr>
            <w:tcW w:w="3048" w:type="dxa"/>
            <w:tcBorders>
              <w:tl2br w:val="nil"/>
              <w:tr2bl w:val="nil"/>
            </w:tcBorders>
            <w:vAlign w:val="center"/>
          </w:tcPr>
          <w:p w14:paraId="23987E8C">
            <w:pPr>
              <w:pStyle w:val="41"/>
              <w:widowControl w:val="0"/>
              <w:rPr>
                <w:color w:val="auto"/>
                <w:highlight w:val="none"/>
              </w:rPr>
            </w:pPr>
            <w:r>
              <w:rPr>
                <w:rFonts w:hint="eastAsia"/>
                <w:color w:val="auto"/>
                <w:highlight w:val="none"/>
              </w:rPr>
              <w:t>根据验收报告，</w:t>
            </w:r>
            <w:r>
              <w:rPr>
                <w:color w:val="auto"/>
                <w:highlight w:val="none"/>
              </w:rPr>
              <w:t>选矿厂燃煤锅炉废气排放没有超过《锅炉大气污</w:t>
            </w:r>
            <w:r>
              <w:rPr>
                <w:rFonts w:hint="eastAsia"/>
                <w:color w:val="auto"/>
                <w:highlight w:val="none"/>
                <w:lang w:eastAsia="zh-CN"/>
              </w:rPr>
              <w:t>染</w:t>
            </w:r>
            <w:r>
              <w:rPr>
                <w:color w:val="auto"/>
                <w:highlight w:val="none"/>
              </w:rPr>
              <w:t>物排放标准》</w:t>
            </w:r>
            <w:r>
              <w:rPr>
                <w:rFonts w:hint="eastAsia"/>
                <w:color w:val="auto"/>
                <w:highlight w:val="none"/>
                <w:lang w:eastAsia="zh-CN"/>
              </w:rPr>
              <w:t>（</w:t>
            </w:r>
            <w:r>
              <w:rPr>
                <w:color w:val="auto"/>
                <w:highlight w:val="none"/>
              </w:rPr>
              <w:t xml:space="preserve"> GB13271-2001</w:t>
            </w:r>
            <w:r>
              <w:rPr>
                <w:rFonts w:hint="eastAsia"/>
                <w:color w:val="auto"/>
                <w:highlight w:val="none"/>
                <w:lang w:eastAsia="zh-CN"/>
              </w:rPr>
              <w:t>）</w:t>
            </w:r>
            <w:r>
              <w:rPr>
                <w:color w:val="auto"/>
                <w:highlight w:val="none"/>
              </w:rPr>
              <w:t xml:space="preserve">  中的二类区Ⅱ时段标准最大排放</w:t>
            </w:r>
            <w:r>
              <w:rPr>
                <w:rFonts w:hint="eastAsia"/>
                <w:color w:val="auto"/>
                <w:highlight w:val="none"/>
                <w:lang w:eastAsia="zh-CN"/>
              </w:rPr>
              <w:t>浓度</w:t>
            </w:r>
            <w:r>
              <w:rPr>
                <w:color w:val="auto"/>
                <w:highlight w:val="none"/>
              </w:rPr>
              <w:t>。其排放量也符合环评报告和自治区环保厅有关总量控制的标准。</w:t>
            </w:r>
          </w:p>
          <w:p w14:paraId="2C3B8259">
            <w:pPr>
              <w:pStyle w:val="41"/>
              <w:widowControl w:val="0"/>
              <w:rPr>
                <w:color w:val="auto"/>
                <w:highlight w:val="none"/>
              </w:rPr>
            </w:pPr>
          </w:p>
        </w:tc>
        <w:tc>
          <w:tcPr>
            <w:tcW w:w="942" w:type="dxa"/>
            <w:tcBorders>
              <w:tl2br w:val="nil"/>
              <w:tr2bl w:val="nil"/>
            </w:tcBorders>
            <w:vAlign w:val="center"/>
          </w:tcPr>
          <w:p w14:paraId="02046C3C">
            <w:pPr>
              <w:pStyle w:val="41"/>
              <w:widowControl w:val="0"/>
              <w:rPr>
                <w:color w:val="auto"/>
                <w:highlight w:val="none"/>
              </w:rPr>
            </w:pPr>
            <w:r>
              <w:rPr>
                <w:rFonts w:hint="eastAsia"/>
                <w:color w:val="auto"/>
                <w:highlight w:val="none"/>
              </w:rPr>
              <w:t>落实</w:t>
            </w:r>
          </w:p>
        </w:tc>
      </w:tr>
      <w:tr w14:paraId="4B9A23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1912C56B">
            <w:pPr>
              <w:pStyle w:val="41"/>
              <w:widowControl w:val="0"/>
              <w:rPr>
                <w:color w:val="auto"/>
                <w:highlight w:val="none"/>
              </w:rPr>
            </w:pPr>
            <w:r>
              <w:rPr>
                <w:rFonts w:hint="eastAsia"/>
                <w:color w:val="auto"/>
                <w:highlight w:val="none"/>
              </w:rPr>
              <w:t>3</w:t>
            </w:r>
          </w:p>
        </w:tc>
        <w:tc>
          <w:tcPr>
            <w:tcW w:w="0" w:type="auto"/>
            <w:tcBorders>
              <w:tl2br w:val="nil"/>
              <w:tr2bl w:val="nil"/>
            </w:tcBorders>
            <w:vAlign w:val="center"/>
          </w:tcPr>
          <w:p w14:paraId="002C6315">
            <w:pPr>
              <w:pStyle w:val="41"/>
              <w:widowControl w:val="0"/>
              <w:rPr>
                <w:color w:val="auto"/>
                <w:highlight w:val="none"/>
              </w:rPr>
            </w:pPr>
            <w:r>
              <w:rPr>
                <w:color w:val="auto"/>
                <w:highlight w:val="none"/>
              </w:rPr>
              <w:t>按</w:t>
            </w:r>
            <w:r>
              <w:rPr>
                <w:rFonts w:hint="eastAsia"/>
                <w:color w:val="auto"/>
                <w:highlight w:val="none"/>
              </w:rPr>
              <w:t>“</w:t>
            </w:r>
            <w:r>
              <w:rPr>
                <w:color w:val="auto"/>
                <w:highlight w:val="none"/>
              </w:rPr>
              <w:t>清污分流、重复利用</w:t>
            </w:r>
            <w:r>
              <w:rPr>
                <w:rFonts w:hint="eastAsia"/>
                <w:color w:val="auto"/>
                <w:highlight w:val="none"/>
              </w:rPr>
              <w:t>”</w:t>
            </w:r>
            <w:r>
              <w:rPr>
                <w:color w:val="auto"/>
                <w:highlight w:val="none"/>
              </w:rPr>
              <w:t>的原则，积极落实各类废水综合利用途径。各生产单元排放的废水经管道排放至厂区内沉淀池处理后排入循环水池回用，尾矿浆由管道流至尾矿库自然沉淀，澄清水输至循环水高位水池，回用于生产，不外排；生活污水经地埋式一体化污水处理装置处理，出水水质须满足《污水综合排放标准》</w:t>
            </w:r>
            <w:r>
              <w:rPr>
                <w:rFonts w:hint="eastAsia"/>
                <w:color w:val="auto"/>
                <w:highlight w:val="none"/>
                <w:lang w:eastAsia="zh-CN"/>
              </w:rPr>
              <w:t>（</w:t>
            </w:r>
            <w:r>
              <w:rPr>
                <w:color w:val="auto"/>
                <w:highlight w:val="none"/>
              </w:rPr>
              <w:t>GB8978-1996</w:t>
            </w:r>
            <w:r>
              <w:rPr>
                <w:rFonts w:hint="eastAsia"/>
                <w:color w:val="auto"/>
                <w:highlight w:val="none"/>
                <w:lang w:eastAsia="zh-CN"/>
              </w:rPr>
              <w:t>）</w:t>
            </w:r>
            <w:r>
              <w:rPr>
                <w:color w:val="auto"/>
                <w:highlight w:val="none"/>
              </w:rPr>
              <w:t>二级标准，用于厂区绿化。</w:t>
            </w:r>
          </w:p>
        </w:tc>
        <w:tc>
          <w:tcPr>
            <w:tcW w:w="3048" w:type="dxa"/>
            <w:tcBorders>
              <w:tl2br w:val="nil"/>
              <w:tr2bl w:val="nil"/>
            </w:tcBorders>
            <w:vAlign w:val="center"/>
          </w:tcPr>
          <w:p w14:paraId="41E1BB80">
            <w:pPr>
              <w:pStyle w:val="41"/>
              <w:widowControl w:val="0"/>
              <w:rPr>
                <w:color w:val="auto"/>
                <w:highlight w:val="none"/>
              </w:rPr>
            </w:pPr>
            <w:r>
              <w:rPr>
                <w:rFonts w:hint="eastAsia"/>
                <w:color w:val="auto"/>
                <w:highlight w:val="none"/>
              </w:rPr>
              <w:t>根据验收，选矿厂生产废水在工艺内封闭循环利用；选矿厂生产废水部分被精矿带走及地面洒水降尘，剩余经沉淀后清水返回选矿厂循环利用，尾矿水通过管道输送至尾矿库，尾矿库设有回水池，所有水除蒸发、渗漏等损失外全部返回选矿厂生产工序进行利用。</w:t>
            </w:r>
          </w:p>
          <w:p w14:paraId="0BE2F10D">
            <w:pPr>
              <w:pStyle w:val="41"/>
              <w:widowControl w:val="0"/>
              <w:rPr>
                <w:color w:val="auto"/>
                <w:highlight w:val="none"/>
              </w:rPr>
            </w:pPr>
            <w:r>
              <w:rPr>
                <w:rFonts w:hint="eastAsia"/>
                <w:color w:val="auto"/>
                <w:highlight w:val="none"/>
              </w:rPr>
              <w:t>生活污水经地埋式一体化处理设施处理后进入选矿厂生产水池，用于</w:t>
            </w:r>
            <w:r>
              <w:rPr>
                <w:rFonts w:hint="eastAsia"/>
                <w:color w:val="auto"/>
                <w:highlight w:val="none"/>
                <w:lang w:eastAsia="zh-CN"/>
              </w:rPr>
              <w:t>厂区</w:t>
            </w:r>
            <w:r>
              <w:rPr>
                <w:rFonts w:hint="eastAsia"/>
                <w:color w:val="auto"/>
                <w:highlight w:val="none"/>
              </w:rPr>
              <w:t>绿化、洒水降尘及生产工序。经监测，经处理后的生活污水各项污染物指标均未超过《污水综合排放标准》</w:t>
            </w:r>
            <w:r>
              <w:rPr>
                <w:rFonts w:hint="eastAsia"/>
                <w:color w:val="auto"/>
                <w:highlight w:val="none"/>
                <w:lang w:eastAsia="zh-CN"/>
              </w:rPr>
              <w:t>（</w:t>
            </w:r>
            <w:r>
              <w:rPr>
                <w:rFonts w:hint="eastAsia"/>
                <w:color w:val="auto"/>
                <w:highlight w:val="none"/>
              </w:rPr>
              <w:t>GB8978-1996</w:t>
            </w:r>
            <w:r>
              <w:rPr>
                <w:rFonts w:hint="eastAsia"/>
                <w:color w:val="auto"/>
                <w:highlight w:val="none"/>
                <w:lang w:eastAsia="zh-CN"/>
              </w:rPr>
              <w:t>）</w:t>
            </w:r>
            <w:r>
              <w:rPr>
                <w:rFonts w:hint="eastAsia"/>
                <w:color w:val="auto"/>
                <w:highlight w:val="none"/>
              </w:rPr>
              <w:t>中的二级标准限值。</w:t>
            </w:r>
          </w:p>
        </w:tc>
        <w:tc>
          <w:tcPr>
            <w:tcW w:w="942" w:type="dxa"/>
            <w:tcBorders>
              <w:tl2br w:val="nil"/>
              <w:tr2bl w:val="nil"/>
            </w:tcBorders>
            <w:vAlign w:val="center"/>
          </w:tcPr>
          <w:p w14:paraId="1C462F88">
            <w:pPr>
              <w:pStyle w:val="41"/>
              <w:widowControl w:val="0"/>
              <w:rPr>
                <w:color w:val="auto"/>
                <w:highlight w:val="none"/>
              </w:rPr>
            </w:pPr>
            <w:r>
              <w:rPr>
                <w:rFonts w:hint="eastAsia"/>
                <w:color w:val="auto"/>
                <w:highlight w:val="none"/>
              </w:rPr>
              <w:t>落实</w:t>
            </w:r>
          </w:p>
        </w:tc>
      </w:tr>
      <w:tr w14:paraId="15141A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73522246">
            <w:pPr>
              <w:pStyle w:val="41"/>
              <w:widowControl w:val="0"/>
              <w:rPr>
                <w:color w:val="auto"/>
                <w:highlight w:val="none"/>
              </w:rPr>
            </w:pPr>
            <w:r>
              <w:rPr>
                <w:rFonts w:hint="eastAsia"/>
                <w:color w:val="auto"/>
                <w:highlight w:val="none"/>
              </w:rPr>
              <w:t>4</w:t>
            </w:r>
          </w:p>
        </w:tc>
        <w:tc>
          <w:tcPr>
            <w:tcW w:w="0" w:type="auto"/>
            <w:tcBorders>
              <w:tl2br w:val="nil"/>
              <w:tr2bl w:val="nil"/>
            </w:tcBorders>
            <w:vAlign w:val="center"/>
          </w:tcPr>
          <w:p w14:paraId="30F9B9A9">
            <w:pPr>
              <w:pStyle w:val="41"/>
              <w:widowControl w:val="0"/>
              <w:rPr>
                <w:color w:val="auto"/>
                <w:highlight w:val="none"/>
              </w:rPr>
            </w:pPr>
            <w:r>
              <w:rPr>
                <w:color w:val="auto"/>
                <w:highlight w:val="none"/>
              </w:rPr>
              <w:t>选矿厂产生的固体废物主要有尾矿渣、锅炉炉渣及少量的生活垃圾。尾矿排入尾矿库，原地封存；锅炉炉渣用于铺路；生活垃圾集中收集后，定期运至指定地点卫生填埋。</w:t>
            </w:r>
          </w:p>
        </w:tc>
        <w:tc>
          <w:tcPr>
            <w:tcW w:w="3048" w:type="dxa"/>
            <w:tcBorders>
              <w:tl2br w:val="nil"/>
              <w:tr2bl w:val="nil"/>
            </w:tcBorders>
            <w:vAlign w:val="center"/>
          </w:tcPr>
          <w:p w14:paraId="77546753">
            <w:pPr>
              <w:pStyle w:val="41"/>
              <w:widowControl w:val="0"/>
              <w:rPr>
                <w:color w:val="auto"/>
                <w:highlight w:val="none"/>
              </w:rPr>
            </w:pPr>
            <w:r>
              <w:rPr>
                <w:rFonts w:hint="eastAsia"/>
                <w:color w:val="auto"/>
                <w:highlight w:val="none"/>
              </w:rPr>
              <w:t>根据验收报告，</w:t>
            </w:r>
            <w:r>
              <w:rPr>
                <w:color w:val="auto"/>
                <w:highlight w:val="none"/>
              </w:rPr>
              <w:t>选厂输出的尾矿全部送至尾矿库存放；生活区设有垃圾池，</w:t>
            </w:r>
            <w:r>
              <w:rPr>
                <w:rFonts w:hint="eastAsia"/>
                <w:color w:val="auto"/>
                <w:highlight w:val="none"/>
                <w:lang w:eastAsia="zh-CN"/>
              </w:rPr>
              <w:t>定期将生活垃圾拉运往低洼处进行填埋；</w:t>
            </w:r>
            <w:r>
              <w:rPr>
                <w:color w:val="auto"/>
                <w:highlight w:val="none"/>
              </w:rPr>
              <w:t>炉渣用于铺路</w:t>
            </w:r>
            <w:r>
              <w:rPr>
                <w:rFonts w:hint="eastAsia"/>
                <w:color w:val="auto"/>
                <w:highlight w:val="none"/>
              </w:rPr>
              <w:t>。</w:t>
            </w:r>
          </w:p>
        </w:tc>
        <w:tc>
          <w:tcPr>
            <w:tcW w:w="942" w:type="dxa"/>
            <w:tcBorders>
              <w:tl2br w:val="nil"/>
              <w:tr2bl w:val="nil"/>
            </w:tcBorders>
            <w:vAlign w:val="center"/>
          </w:tcPr>
          <w:p w14:paraId="7C0CE0AC">
            <w:pPr>
              <w:pStyle w:val="41"/>
              <w:widowControl w:val="0"/>
              <w:rPr>
                <w:color w:val="auto"/>
                <w:highlight w:val="none"/>
              </w:rPr>
            </w:pPr>
            <w:r>
              <w:rPr>
                <w:rFonts w:hint="eastAsia"/>
                <w:color w:val="auto"/>
                <w:highlight w:val="none"/>
              </w:rPr>
              <w:t>落实</w:t>
            </w:r>
          </w:p>
        </w:tc>
      </w:tr>
      <w:tr w14:paraId="6FC40C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3F511460">
            <w:pPr>
              <w:pStyle w:val="41"/>
              <w:widowControl w:val="0"/>
              <w:rPr>
                <w:color w:val="auto"/>
                <w:highlight w:val="none"/>
              </w:rPr>
            </w:pPr>
            <w:r>
              <w:rPr>
                <w:rFonts w:hint="eastAsia"/>
                <w:color w:val="auto"/>
                <w:highlight w:val="none"/>
              </w:rPr>
              <w:t>5</w:t>
            </w:r>
          </w:p>
        </w:tc>
        <w:tc>
          <w:tcPr>
            <w:tcW w:w="0" w:type="auto"/>
            <w:tcBorders>
              <w:tl2br w:val="nil"/>
              <w:tr2bl w:val="nil"/>
            </w:tcBorders>
            <w:vAlign w:val="center"/>
          </w:tcPr>
          <w:p w14:paraId="24878E6E">
            <w:pPr>
              <w:pStyle w:val="41"/>
              <w:widowControl w:val="0"/>
              <w:rPr>
                <w:color w:val="auto"/>
                <w:highlight w:val="none"/>
              </w:rPr>
            </w:pPr>
            <w:r>
              <w:rPr>
                <w:color w:val="auto"/>
                <w:highlight w:val="none"/>
              </w:rPr>
              <w:t>优化厂区平面布局，选择低噪声设备，对高噪声设备采取加装消声器、密闭隔离、减震消音等措施</w:t>
            </w:r>
            <w:r>
              <w:rPr>
                <w:rFonts w:hint="eastAsia"/>
                <w:color w:val="auto"/>
                <w:highlight w:val="none"/>
                <w:lang w:eastAsia="zh-CN"/>
              </w:rPr>
              <w:t>，对</w:t>
            </w:r>
            <w:r>
              <w:rPr>
                <w:color w:val="auto"/>
                <w:highlight w:val="none"/>
              </w:rPr>
              <w:t>高噪声厂房车间周围采取绿化措施，确保厂界噪声符合《工业企业厂界环境噪声排放标准》</w:t>
            </w:r>
            <w:r>
              <w:rPr>
                <w:rFonts w:hint="eastAsia"/>
                <w:color w:val="auto"/>
                <w:highlight w:val="none"/>
                <w:lang w:eastAsia="zh-CN"/>
              </w:rPr>
              <w:t>（</w:t>
            </w:r>
            <w:r>
              <w:rPr>
                <w:color w:val="auto"/>
                <w:highlight w:val="none"/>
              </w:rPr>
              <w:t>GB12348-2008</w:t>
            </w:r>
            <w:r>
              <w:rPr>
                <w:rFonts w:hint="eastAsia"/>
                <w:color w:val="auto"/>
                <w:highlight w:val="none"/>
                <w:lang w:eastAsia="zh-CN"/>
              </w:rPr>
              <w:t>）</w:t>
            </w:r>
            <w:r>
              <w:rPr>
                <w:color w:val="auto"/>
                <w:highlight w:val="none"/>
              </w:rPr>
              <w:t>3类功能区标准要求。</w:t>
            </w:r>
          </w:p>
        </w:tc>
        <w:tc>
          <w:tcPr>
            <w:tcW w:w="3048" w:type="dxa"/>
            <w:tcBorders>
              <w:tl2br w:val="nil"/>
              <w:tr2bl w:val="nil"/>
            </w:tcBorders>
            <w:vAlign w:val="center"/>
          </w:tcPr>
          <w:p w14:paraId="7F6FC67B">
            <w:pPr>
              <w:pStyle w:val="41"/>
              <w:widowControl w:val="0"/>
              <w:rPr>
                <w:color w:val="auto"/>
                <w:highlight w:val="none"/>
              </w:rPr>
            </w:pPr>
            <w:r>
              <w:rPr>
                <w:color w:val="auto"/>
                <w:highlight w:val="none"/>
              </w:rPr>
              <w:t>生活区距选矿厂有一定距离</w:t>
            </w:r>
            <w:r>
              <w:rPr>
                <w:rFonts w:hint="eastAsia"/>
                <w:color w:val="auto"/>
                <w:highlight w:val="none"/>
              </w:rPr>
              <w:t>；经验收阶段监测，</w:t>
            </w:r>
            <w:r>
              <w:rPr>
                <w:color w:val="auto"/>
                <w:highlight w:val="none"/>
              </w:rPr>
              <w:t>选矿厂厂界噪声均未超过《工业企业厂界环境噪声排放标准》</w:t>
            </w:r>
            <w:r>
              <w:rPr>
                <w:rFonts w:hint="eastAsia"/>
                <w:color w:val="auto"/>
                <w:highlight w:val="none"/>
                <w:lang w:eastAsia="zh-CN"/>
              </w:rPr>
              <w:t>（</w:t>
            </w:r>
            <w:r>
              <w:rPr>
                <w:color w:val="auto"/>
                <w:highlight w:val="none"/>
              </w:rPr>
              <w:t xml:space="preserve"> GB12348-2008</w:t>
            </w:r>
            <w:r>
              <w:rPr>
                <w:rFonts w:hint="eastAsia"/>
                <w:color w:val="auto"/>
                <w:highlight w:val="none"/>
                <w:lang w:eastAsia="zh-CN"/>
              </w:rPr>
              <w:t>）</w:t>
            </w:r>
            <w:r>
              <w:rPr>
                <w:color w:val="auto"/>
                <w:highlight w:val="none"/>
              </w:rPr>
              <w:t xml:space="preserve"> 中的3类区标准限值</w:t>
            </w:r>
            <w:r>
              <w:rPr>
                <w:rFonts w:hint="eastAsia"/>
                <w:color w:val="auto"/>
                <w:highlight w:val="none"/>
              </w:rPr>
              <w:t>。</w:t>
            </w:r>
          </w:p>
        </w:tc>
        <w:tc>
          <w:tcPr>
            <w:tcW w:w="942" w:type="dxa"/>
            <w:tcBorders>
              <w:tl2br w:val="nil"/>
              <w:tr2bl w:val="nil"/>
            </w:tcBorders>
            <w:vAlign w:val="center"/>
          </w:tcPr>
          <w:p w14:paraId="7E1E698C">
            <w:pPr>
              <w:pStyle w:val="41"/>
              <w:widowControl w:val="0"/>
              <w:rPr>
                <w:color w:val="auto"/>
                <w:highlight w:val="none"/>
              </w:rPr>
            </w:pPr>
            <w:r>
              <w:rPr>
                <w:rFonts w:hint="eastAsia"/>
                <w:color w:val="auto"/>
                <w:highlight w:val="none"/>
              </w:rPr>
              <w:t>落实</w:t>
            </w:r>
          </w:p>
        </w:tc>
      </w:tr>
      <w:tr w14:paraId="18D18C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4F17F9B3">
            <w:pPr>
              <w:pStyle w:val="41"/>
              <w:widowControl w:val="0"/>
              <w:rPr>
                <w:color w:val="auto"/>
                <w:highlight w:val="none"/>
              </w:rPr>
            </w:pPr>
            <w:r>
              <w:rPr>
                <w:rFonts w:hint="eastAsia"/>
                <w:color w:val="auto"/>
                <w:highlight w:val="none"/>
              </w:rPr>
              <w:t>6</w:t>
            </w:r>
          </w:p>
        </w:tc>
        <w:tc>
          <w:tcPr>
            <w:tcW w:w="0" w:type="auto"/>
            <w:tcBorders>
              <w:tl2br w:val="nil"/>
              <w:tr2bl w:val="nil"/>
            </w:tcBorders>
            <w:vAlign w:val="center"/>
          </w:tcPr>
          <w:p w14:paraId="65D3363F">
            <w:pPr>
              <w:pStyle w:val="41"/>
              <w:widowControl w:val="0"/>
              <w:rPr>
                <w:color w:val="auto"/>
                <w:highlight w:val="none"/>
              </w:rPr>
            </w:pPr>
            <w:r>
              <w:rPr>
                <w:color w:val="auto"/>
                <w:highlight w:val="none"/>
              </w:rPr>
              <w:t>加强尾矿库的管理及维护，严格遵守《尾矿库安全管理规定</w:t>
            </w:r>
            <w:r>
              <w:rPr>
                <w:rFonts w:hint="eastAsia"/>
                <w:color w:val="auto"/>
                <w:highlight w:val="none"/>
                <w:lang w:eastAsia="zh-CN"/>
              </w:rPr>
              <w:t>》《</w:t>
            </w:r>
            <w:r>
              <w:rPr>
                <w:color w:val="auto"/>
                <w:highlight w:val="none"/>
              </w:rPr>
              <w:t>金属非金属矿山安全标准化规范尾矿库实施指南》及环发〔2006〕132号《关于防范尾矿库垮塌引发突发环境事件的通知》</w:t>
            </w:r>
            <w:r>
              <w:rPr>
                <w:rFonts w:hint="eastAsia"/>
                <w:color w:val="auto"/>
                <w:highlight w:val="none"/>
              </w:rPr>
              <w:t>，</w:t>
            </w:r>
            <w:r>
              <w:rPr>
                <w:color w:val="auto"/>
                <w:highlight w:val="none"/>
              </w:rPr>
              <w:t>注意加强尾矿库的定期观测，防患于未然，发现问题，及时解决。尾矿库选址应符合当地城镇总体规划要求，严格按照《尾矿库安全技术规程》和《一般工业固体废弃物贮存、处置场污染控制标准》要求执行，尾矿库服务期满后，应按照相关要求封场、覆土绿化。</w:t>
            </w:r>
          </w:p>
        </w:tc>
        <w:tc>
          <w:tcPr>
            <w:tcW w:w="3048" w:type="dxa"/>
            <w:tcBorders>
              <w:tl2br w:val="nil"/>
              <w:tr2bl w:val="nil"/>
            </w:tcBorders>
            <w:vAlign w:val="center"/>
          </w:tcPr>
          <w:p w14:paraId="72D4F024">
            <w:pPr>
              <w:pStyle w:val="41"/>
              <w:widowControl w:val="0"/>
              <w:rPr>
                <w:color w:val="auto"/>
                <w:highlight w:val="none"/>
              </w:rPr>
            </w:pPr>
            <w:r>
              <w:rPr>
                <w:rFonts w:hint="eastAsia"/>
                <w:color w:val="auto"/>
                <w:highlight w:val="none"/>
              </w:rPr>
              <w:t>尾矿库选址与环评批复位置一致，目前尾矿进行了封闭，目前还未进行覆土绿化。</w:t>
            </w:r>
          </w:p>
        </w:tc>
        <w:tc>
          <w:tcPr>
            <w:tcW w:w="942" w:type="dxa"/>
            <w:tcBorders>
              <w:tl2br w:val="nil"/>
              <w:tr2bl w:val="nil"/>
            </w:tcBorders>
            <w:vAlign w:val="center"/>
          </w:tcPr>
          <w:p w14:paraId="6E0D8C70">
            <w:pPr>
              <w:pStyle w:val="41"/>
              <w:widowControl w:val="0"/>
              <w:rPr>
                <w:color w:val="auto"/>
                <w:highlight w:val="none"/>
              </w:rPr>
            </w:pPr>
            <w:r>
              <w:rPr>
                <w:rFonts w:hint="eastAsia"/>
                <w:color w:val="auto"/>
                <w:highlight w:val="none"/>
              </w:rPr>
              <w:t>部分未落实</w:t>
            </w:r>
          </w:p>
        </w:tc>
      </w:tr>
      <w:tr w14:paraId="765284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39FAFB41">
            <w:pPr>
              <w:pStyle w:val="41"/>
              <w:widowControl w:val="0"/>
              <w:rPr>
                <w:color w:val="auto"/>
                <w:highlight w:val="none"/>
              </w:rPr>
            </w:pPr>
            <w:r>
              <w:rPr>
                <w:rFonts w:hint="eastAsia"/>
                <w:color w:val="auto"/>
                <w:highlight w:val="none"/>
              </w:rPr>
              <w:t>7</w:t>
            </w:r>
          </w:p>
        </w:tc>
        <w:tc>
          <w:tcPr>
            <w:tcW w:w="0" w:type="auto"/>
            <w:tcBorders>
              <w:tl2br w:val="nil"/>
              <w:tr2bl w:val="nil"/>
            </w:tcBorders>
            <w:vAlign w:val="center"/>
          </w:tcPr>
          <w:p w14:paraId="6C85B7D7">
            <w:pPr>
              <w:pStyle w:val="41"/>
              <w:widowControl w:val="0"/>
              <w:rPr>
                <w:color w:val="auto"/>
                <w:highlight w:val="none"/>
              </w:rPr>
            </w:pPr>
            <w:r>
              <w:rPr>
                <w:color w:val="auto"/>
                <w:highlight w:val="none"/>
              </w:rPr>
              <w:t>落实环评报告中提出的风险防范措施，制订严格的环保规章制度和完善的事故应急预案，并定期进行演练；严格操作规程，做好运行记录，定期检修生产设备、环保设施，发现隐患及时处理，避免事故发生，一旦发生事故应立即启动应急预案和应急监测程序。</w:t>
            </w:r>
          </w:p>
        </w:tc>
        <w:tc>
          <w:tcPr>
            <w:tcW w:w="3048" w:type="dxa"/>
            <w:tcBorders>
              <w:tl2br w:val="nil"/>
              <w:tr2bl w:val="nil"/>
            </w:tcBorders>
            <w:vAlign w:val="center"/>
          </w:tcPr>
          <w:p w14:paraId="60EA9B08">
            <w:pPr>
              <w:pStyle w:val="41"/>
              <w:widowControl w:val="0"/>
              <w:rPr>
                <w:color w:val="auto"/>
                <w:highlight w:val="none"/>
              </w:rPr>
            </w:pPr>
            <w:r>
              <w:rPr>
                <w:color w:val="auto"/>
                <w:highlight w:val="none"/>
              </w:rPr>
              <w:t>新疆阿图什环球矿业投资有限责任公司铁选矿厂尚没有</w:t>
            </w:r>
            <w:r>
              <w:rPr>
                <w:rFonts w:hint="eastAsia"/>
                <w:color w:val="auto"/>
                <w:highlight w:val="none"/>
                <w:lang w:eastAsia="zh-CN"/>
              </w:rPr>
              <w:t>制定</w:t>
            </w:r>
            <w:r>
              <w:rPr>
                <w:color w:val="auto"/>
                <w:highlight w:val="none"/>
              </w:rPr>
              <w:t>环境保护应急预案。</w:t>
            </w:r>
          </w:p>
        </w:tc>
        <w:tc>
          <w:tcPr>
            <w:tcW w:w="942" w:type="dxa"/>
            <w:tcBorders>
              <w:tl2br w:val="nil"/>
              <w:tr2bl w:val="nil"/>
            </w:tcBorders>
            <w:vAlign w:val="center"/>
          </w:tcPr>
          <w:p w14:paraId="234A595A">
            <w:pPr>
              <w:pStyle w:val="41"/>
              <w:widowControl w:val="0"/>
              <w:rPr>
                <w:color w:val="auto"/>
                <w:highlight w:val="none"/>
              </w:rPr>
            </w:pPr>
            <w:r>
              <w:rPr>
                <w:rFonts w:hint="eastAsia"/>
                <w:color w:val="auto"/>
                <w:highlight w:val="none"/>
                <w:lang w:eastAsia="zh-CN"/>
              </w:rPr>
              <w:t>未落实</w:t>
            </w:r>
          </w:p>
        </w:tc>
      </w:tr>
      <w:tr w14:paraId="079079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56A65C56">
            <w:pPr>
              <w:pStyle w:val="41"/>
              <w:widowControl w:val="0"/>
              <w:rPr>
                <w:color w:val="auto"/>
                <w:highlight w:val="none"/>
              </w:rPr>
            </w:pPr>
            <w:r>
              <w:rPr>
                <w:rFonts w:hint="eastAsia"/>
                <w:color w:val="auto"/>
                <w:highlight w:val="none"/>
              </w:rPr>
              <w:t>8</w:t>
            </w:r>
          </w:p>
        </w:tc>
        <w:tc>
          <w:tcPr>
            <w:tcW w:w="0" w:type="auto"/>
            <w:tcBorders>
              <w:tl2br w:val="nil"/>
              <w:tr2bl w:val="nil"/>
            </w:tcBorders>
            <w:vAlign w:val="center"/>
          </w:tcPr>
          <w:p w14:paraId="473137EB">
            <w:pPr>
              <w:pStyle w:val="41"/>
              <w:widowControl w:val="0"/>
              <w:rPr>
                <w:color w:val="auto"/>
                <w:highlight w:val="none"/>
              </w:rPr>
            </w:pPr>
            <w:r>
              <w:rPr>
                <w:color w:val="auto"/>
                <w:highlight w:val="none"/>
              </w:rPr>
              <w:t>积极开展清洁生产审核，降低单位产品水耗、能耗，逐步提高企业清洁生产水平，从源头减少污染物产生</w:t>
            </w:r>
            <w:r>
              <w:rPr>
                <w:rFonts w:hint="eastAsia"/>
                <w:color w:val="auto"/>
                <w:highlight w:val="none"/>
              </w:rPr>
              <w:t>。</w:t>
            </w:r>
          </w:p>
        </w:tc>
        <w:tc>
          <w:tcPr>
            <w:tcW w:w="3048" w:type="dxa"/>
            <w:tcBorders>
              <w:tl2br w:val="nil"/>
              <w:tr2bl w:val="nil"/>
            </w:tcBorders>
            <w:vAlign w:val="center"/>
          </w:tcPr>
          <w:p w14:paraId="463B02B2">
            <w:pPr>
              <w:pStyle w:val="41"/>
              <w:widowControl w:val="0"/>
              <w:rPr>
                <w:color w:val="auto"/>
                <w:highlight w:val="none"/>
              </w:rPr>
            </w:pPr>
            <w:r>
              <w:rPr>
                <w:color w:val="auto"/>
                <w:highlight w:val="none"/>
              </w:rPr>
              <w:t>项目清洁生产水平可达到国内同行业一般水平。</w:t>
            </w:r>
            <w:r>
              <w:rPr>
                <w:rFonts w:hint="eastAsia"/>
                <w:color w:val="auto"/>
                <w:highlight w:val="none"/>
              </w:rPr>
              <w:t>选矿废水循环利用，生活污水经处理后全部综合利用。</w:t>
            </w:r>
          </w:p>
        </w:tc>
        <w:tc>
          <w:tcPr>
            <w:tcW w:w="942" w:type="dxa"/>
            <w:tcBorders>
              <w:tl2br w:val="nil"/>
              <w:tr2bl w:val="nil"/>
            </w:tcBorders>
            <w:vAlign w:val="center"/>
          </w:tcPr>
          <w:p w14:paraId="60E335B6">
            <w:pPr>
              <w:pStyle w:val="41"/>
              <w:widowControl w:val="0"/>
              <w:rPr>
                <w:color w:val="auto"/>
                <w:highlight w:val="none"/>
              </w:rPr>
            </w:pPr>
            <w:r>
              <w:rPr>
                <w:rFonts w:hint="eastAsia"/>
                <w:color w:val="auto"/>
                <w:highlight w:val="none"/>
              </w:rPr>
              <w:t>落实</w:t>
            </w:r>
          </w:p>
        </w:tc>
      </w:tr>
    </w:tbl>
    <w:p w14:paraId="4C84DEE7">
      <w:pPr>
        <w:pStyle w:val="3"/>
        <w:ind w:firstLine="480"/>
        <w:rPr>
          <w:color w:val="auto"/>
          <w:highlight w:val="none"/>
        </w:rPr>
      </w:pPr>
      <w:r>
        <w:rPr>
          <w:color w:val="auto"/>
          <w:highlight w:val="none"/>
        </w:rPr>
        <w:t>（2）验收情况</w:t>
      </w:r>
    </w:p>
    <w:p w14:paraId="206828EC">
      <w:pPr>
        <w:pStyle w:val="3"/>
        <w:ind w:firstLine="480"/>
        <w:rPr>
          <w:rFonts w:hint="eastAsia"/>
          <w:color w:val="auto"/>
          <w:highlight w:val="none"/>
        </w:rPr>
      </w:pPr>
      <w:r>
        <w:rPr>
          <w:rFonts w:hint="eastAsia"/>
          <w:color w:val="auto"/>
          <w:highlight w:val="none"/>
        </w:rPr>
        <w:t>克州环境监测站于2014年12月10日编制完成了《</w:t>
      </w:r>
      <w:r>
        <w:rPr>
          <w:color w:val="auto"/>
          <w:highlight w:val="none"/>
        </w:rPr>
        <w:t>新疆阿图什环球矿业投资有限责任公司铁选厂竣工环境保护验收监测报告</w:t>
      </w:r>
      <w:r>
        <w:rPr>
          <w:rFonts w:hint="eastAsia"/>
          <w:color w:val="auto"/>
          <w:highlight w:val="none"/>
        </w:rPr>
        <w:t>》（</w:t>
      </w:r>
      <w:r>
        <w:rPr>
          <w:color w:val="auto"/>
          <w:highlight w:val="none"/>
        </w:rPr>
        <w:t>克环验监字</w:t>
      </w:r>
      <w:r>
        <w:rPr>
          <w:rFonts w:hint="eastAsia"/>
          <w:color w:val="auto"/>
          <w:highlight w:val="none"/>
          <w:lang w:eastAsia="zh-CN"/>
        </w:rPr>
        <w:t>〔2014〕26号</w:t>
      </w:r>
      <w:r>
        <w:rPr>
          <w:rFonts w:hint="eastAsia"/>
          <w:color w:val="auto"/>
          <w:highlight w:val="none"/>
        </w:rPr>
        <w:t>）。</w:t>
      </w:r>
    </w:p>
    <w:p w14:paraId="08F9E1C9">
      <w:pPr>
        <w:pStyle w:val="42"/>
        <w:bidi w:val="0"/>
        <w:rPr>
          <w:rFonts w:hint="default"/>
          <w:color w:val="auto"/>
          <w:highlight w:val="none"/>
        </w:rPr>
      </w:pPr>
      <w:r>
        <w:rPr>
          <w:rFonts w:hint="eastAsia"/>
          <w:color w:val="auto"/>
          <w:highlight w:val="none"/>
          <w:lang w:eastAsia="zh-CN"/>
        </w:rPr>
        <w:t>原有</w:t>
      </w:r>
      <w:r>
        <w:rPr>
          <w:rFonts w:hint="default"/>
          <w:color w:val="auto"/>
          <w:highlight w:val="none"/>
        </w:rPr>
        <w:t>工程</w:t>
      </w:r>
      <w:r>
        <w:rPr>
          <w:rFonts w:hint="eastAsia"/>
          <w:color w:val="auto"/>
          <w:highlight w:val="none"/>
          <w:lang w:eastAsia="zh-CN"/>
        </w:rPr>
        <w:t>环境影响</w:t>
      </w:r>
      <w:r>
        <w:rPr>
          <w:rFonts w:hint="default"/>
          <w:color w:val="auto"/>
          <w:highlight w:val="none"/>
        </w:rPr>
        <w:t>回顾性调查与评价</w:t>
      </w:r>
    </w:p>
    <w:p w14:paraId="6AE0DBD0">
      <w:pPr>
        <w:pStyle w:val="3"/>
        <w:ind w:firstLine="480"/>
        <w:rPr>
          <w:rFonts w:hint="eastAsia" w:ascii="Times New Roman" w:hAnsi="Times New Roman" w:eastAsia="华文中宋" w:cs="Times New Roman"/>
          <w:color w:val="auto"/>
          <w:highlight w:val="none"/>
        </w:rPr>
      </w:pPr>
      <w:r>
        <w:rPr>
          <w:rFonts w:hint="eastAsia" w:ascii="Times New Roman" w:hAnsi="Times New Roman" w:eastAsia="华文中宋" w:cs="Times New Roman"/>
          <w:color w:val="auto"/>
          <w:highlight w:val="none"/>
        </w:rPr>
        <w:t>原有工程年处理原矿20万吨，年产铁精粉6.26万吨。污染物主要为尾矿废水、生活污水等；</w:t>
      </w:r>
      <w:r>
        <w:rPr>
          <w:rFonts w:hint="eastAsia" w:ascii="Times New Roman" w:hAnsi="Times New Roman" w:cs="Times New Roman"/>
          <w:color w:val="auto"/>
          <w:highlight w:val="none"/>
          <w:lang w:eastAsia="zh-CN"/>
        </w:rPr>
        <w:t>选矿厂</w:t>
      </w:r>
      <w:r>
        <w:rPr>
          <w:rFonts w:hint="eastAsia" w:ascii="Times New Roman" w:hAnsi="Times New Roman" w:eastAsia="华文中宋" w:cs="Times New Roman"/>
          <w:color w:val="auto"/>
          <w:highlight w:val="none"/>
        </w:rPr>
        <w:t>生产过程中破碎产生的粉尘，采暖锅炉排放的烟尘、SO</w:t>
      </w:r>
      <w:r>
        <w:rPr>
          <w:rFonts w:hint="eastAsia" w:ascii="Times New Roman" w:hAnsi="Times New Roman" w:cs="Times New Roman"/>
          <w:color w:val="auto"/>
          <w:highlight w:val="none"/>
          <w:vertAlign w:val="subscript"/>
          <w:lang w:val="en-US" w:eastAsia="zh-CN"/>
        </w:rPr>
        <w:t>2</w:t>
      </w:r>
      <w:r>
        <w:rPr>
          <w:rFonts w:hint="eastAsia" w:ascii="Times New Roman" w:hAnsi="Times New Roman" w:eastAsia="华文中宋" w:cs="Times New Roman"/>
          <w:color w:val="auto"/>
          <w:highlight w:val="none"/>
        </w:rPr>
        <w:t>、NO</w:t>
      </w:r>
      <w:r>
        <w:rPr>
          <w:rFonts w:hint="eastAsia" w:ascii="Times New Roman" w:hAnsi="Times New Roman" w:cs="Times New Roman"/>
          <w:color w:val="auto"/>
          <w:highlight w:val="none"/>
          <w:vertAlign w:val="subscript"/>
          <w:lang w:val="en-US" w:eastAsia="zh-CN"/>
        </w:rPr>
        <w:t>2</w:t>
      </w:r>
      <w:r>
        <w:rPr>
          <w:rFonts w:hint="eastAsia" w:ascii="Times New Roman" w:hAnsi="Times New Roman" w:cs="Times New Roman"/>
          <w:color w:val="auto"/>
          <w:highlight w:val="none"/>
          <w:lang w:eastAsia="zh-CN"/>
        </w:rPr>
        <w:t>，</w:t>
      </w:r>
      <w:r>
        <w:rPr>
          <w:rFonts w:hint="eastAsia" w:ascii="Times New Roman" w:hAnsi="Times New Roman" w:eastAsia="华文中宋" w:cs="Times New Roman"/>
          <w:color w:val="auto"/>
          <w:highlight w:val="none"/>
        </w:rPr>
        <w:t>堆场、尾矿库产生的扬尘等；固体废物有尾矿、生活垃圾等；生产设备产生的噪声等。</w:t>
      </w:r>
    </w:p>
    <w:p w14:paraId="7594A96C">
      <w:pPr>
        <w:pStyle w:val="3"/>
        <w:ind w:firstLine="480"/>
        <w:rPr>
          <w:rFonts w:hint="eastAsia" w:ascii="Times New Roman" w:hAnsi="Times New Roman" w:eastAsia="华文中宋" w:cs="Times New Roman"/>
          <w:color w:val="auto"/>
          <w:highlight w:val="none"/>
        </w:rPr>
      </w:pPr>
      <w:r>
        <w:rPr>
          <w:rFonts w:hint="eastAsia" w:ascii="Times New Roman" w:hAnsi="Times New Roman" w:cs="Times New Roman"/>
          <w:color w:val="auto"/>
          <w:highlight w:val="none"/>
          <w:lang w:eastAsia="zh-CN"/>
        </w:rPr>
        <w:t>由于原有工程已于</w:t>
      </w:r>
      <w:r>
        <w:rPr>
          <w:rFonts w:hint="eastAsia"/>
          <w:color w:val="auto"/>
          <w:highlight w:val="none"/>
        </w:rPr>
        <w:t>2024年6月开始停产进行了</w:t>
      </w:r>
      <w:r>
        <w:rPr>
          <w:rFonts w:hint="eastAsia"/>
          <w:color w:val="auto"/>
          <w:highlight w:val="none"/>
          <w:lang w:val="en-US" w:eastAsia="zh-CN"/>
        </w:rPr>
        <w:t>580</w:t>
      </w:r>
      <w:r>
        <w:rPr>
          <w:rFonts w:hint="eastAsia"/>
          <w:color w:val="auto"/>
          <w:highlight w:val="none"/>
        </w:rPr>
        <w:t>万吨的改扩建工程</w:t>
      </w:r>
      <w:r>
        <w:rPr>
          <w:rFonts w:hint="eastAsia"/>
          <w:color w:val="auto"/>
          <w:highlight w:val="none"/>
          <w:lang w:eastAsia="zh-CN"/>
        </w:rPr>
        <w:t>，</w:t>
      </w:r>
      <w:r>
        <w:rPr>
          <w:rFonts w:hint="eastAsia"/>
          <w:color w:val="auto"/>
          <w:highlight w:val="none"/>
          <w:lang w:eastAsia="zh-CN"/>
        </w:rPr>
        <w:t>原有工程除磨选车间、供排水及供电工程利用，其余均已拆除。</w:t>
      </w:r>
      <w:r>
        <w:rPr>
          <w:rFonts w:hint="eastAsia"/>
          <w:color w:val="auto"/>
          <w:highlight w:val="none"/>
          <w:lang w:eastAsia="zh-CN"/>
        </w:rPr>
        <w:t>因此本次对原有工程回顾性分析主要根据原环评验收及现场勘查咨询进行分析</w:t>
      </w:r>
      <w:r>
        <w:rPr>
          <w:rFonts w:hint="eastAsia"/>
          <w:color w:val="auto"/>
          <w:highlight w:val="none"/>
        </w:rPr>
        <w:t>。</w:t>
      </w:r>
      <w:r>
        <w:rPr>
          <w:rFonts w:hint="eastAsia" w:ascii="Times New Roman" w:hAnsi="Times New Roman" w:eastAsia="华文中宋" w:cs="Times New Roman"/>
          <w:color w:val="auto"/>
          <w:highlight w:val="none"/>
        </w:rPr>
        <w:t>其具体情况分述如下：</w:t>
      </w:r>
    </w:p>
    <w:p w14:paraId="0F6B60DA">
      <w:pPr>
        <w:pStyle w:val="43"/>
        <w:bidi w:val="0"/>
        <w:rPr>
          <w:rFonts w:hint="default"/>
          <w:color w:val="auto"/>
          <w:highlight w:val="none"/>
        </w:rPr>
      </w:pPr>
      <w:r>
        <w:rPr>
          <w:rFonts w:hint="default"/>
          <w:color w:val="auto"/>
          <w:highlight w:val="none"/>
        </w:rPr>
        <w:t>大气环境影响回顾性评价</w:t>
      </w:r>
    </w:p>
    <w:p w14:paraId="13E01F76">
      <w:pPr>
        <w:pStyle w:val="3"/>
        <w:ind w:firstLine="48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1）废气污染</w:t>
      </w:r>
    </w:p>
    <w:p w14:paraId="5A2BABC3">
      <w:pPr>
        <w:pStyle w:val="3"/>
        <w:ind w:firstLine="480"/>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项目运营期间，大气污染源主要为</w:t>
      </w:r>
      <w:r>
        <w:rPr>
          <w:rFonts w:hint="eastAsia" w:cs="Times New Roman"/>
          <w:color w:val="auto"/>
          <w:highlight w:val="none"/>
          <w:lang w:eastAsia="zh-CN"/>
        </w:rPr>
        <w:t>原矿堆库</w:t>
      </w:r>
      <w:r>
        <w:rPr>
          <w:rFonts w:hint="eastAsia" w:ascii="Times New Roman" w:hAnsi="Times New Roman" w:cs="Times New Roman"/>
          <w:color w:val="auto"/>
          <w:highlight w:val="none"/>
          <w:lang w:eastAsia="zh-CN"/>
        </w:rPr>
        <w:t>及道路运输等产生的粉尘、选矿厂破碎、筛分工艺产生的粉尘等</w:t>
      </w:r>
      <w:r>
        <w:rPr>
          <w:rFonts w:hint="eastAsia" w:cs="Times New Roman"/>
          <w:color w:val="auto"/>
          <w:highlight w:val="none"/>
          <w:lang w:eastAsia="zh-CN"/>
        </w:rPr>
        <w:t>，均呈无组织排放</w:t>
      </w:r>
      <w:r>
        <w:rPr>
          <w:rFonts w:hint="eastAsia" w:ascii="Times New Roman" w:hAnsi="Times New Roman" w:cs="Times New Roman"/>
          <w:color w:val="auto"/>
          <w:highlight w:val="none"/>
          <w:lang w:eastAsia="zh-CN"/>
        </w:rPr>
        <w:t>。</w:t>
      </w:r>
    </w:p>
    <w:p w14:paraId="35466C6D">
      <w:pPr>
        <w:pStyle w:val="3"/>
        <w:ind w:firstLine="480"/>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经验收阶段监测结果表明，选矿厂厂界颗粒物无组织最大排放浓度未超过《铁矿采选工业污染物排放标准》（GB28661-2012</w:t>
      </w:r>
      <w:r>
        <w:rPr>
          <w:rFonts w:hint="eastAsia" w:cs="Times New Roman"/>
          <w:color w:val="auto"/>
          <w:highlight w:val="none"/>
          <w:lang w:eastAsia="zh-CN"/>
        </w:rPr>
        <w:t>）</w:t>
      </w:r>
      <w:r>
        <w:rPr>
          <w:rFonts w:hint="eastAsia" w:ascii="Times New Roman" w:hAnsi="Times New Roman" w:cs="Times New Roman"/>
          <w:color w:val="auto"/>
          <w:highlight w:val="none"/>
          <w:lang w:eastAsia="zh-CN"/>
        </w:rPr>
        <w:t xml:space="preserve"> 中表7企业边界浓度限值。</w:t>
      </w:r>
    </w:p>
    <w:p w14:paraId="1A6987FE">
      <w:pPr>
        <w:pStyle w:val="3"/>
        <w:ind w:firstLine="48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2）锅炉</w:t>
      </w:r>
    </w:p>
    <w:p w14:paraId="4962E5AB">
      <w:pPr>
        <w:pStyle w:val="3"/>
        <w:ind w:firstLine="480"/>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本项目安装0.7MW/h节能常压热水锅炉，供生产、生活冬季取暖。此锅炉自带除尘器，不具备脱硫效果。目前已拆除。</w:t>
      </w:r>
    </w:p>
    <w:p w14:paraId="4CA21C97">
      <w:pPr>
        <w:pStyle w:val="3"/>
        <w:ind w:firstLine="480"/>
        <w:rPr>
          <w:rFonts w:hint="default"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验收阶段</w:t>
      </w:r>
      <w:r>
        <w:rPr>
          <w:rFonts w:hint="default" w:ascii="Times New Roman" w:hAnsi="Times New Roman" w:cs="Times New Roman"/>
          <w:color w:val="auto"/>
          <w:highlight w:val="none"/>
          <w:lang w:eastAsia="zh-CN"/>
        </w:rPr>
        <w:t>监测结果表明，选矿厂燃煤锅炉废气排放没有超过《锅炉大气</w:t>
      </w:r>
      <w:r>
        <w:rPr>
          <w:rFonts w:hint="eastAsia" w:ascii="Times New Roman" w:hAnsi="Times New Roman" w:cs="Times New Roman"/>
          <w:color w:val="auto"/>
          <w:highlight w:val="none"/>
          <w:lang w:eastAsia="zh-CN"/>
        </w:rPr>
        <w:t>污染物排放标准</w:t>
      </w:r>
      <w:r>
        <w:rPr>
          <w:rFonts w:hint="default" w:ascii="Times New Roman" w:hAnsi="Times New Roman" w:cs="Times New Roman"/>
          <w:color w:val="auto"/>
          <w:highlight w:val="none"/>
          <w:lang w:eastAsia="zh-CN"/>
        </w:rPr>
        <w:t>》</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lang w:eastAsia="zh-CN"/>
        </w:rPr>
        <w:t>GB13271-2001</w:t>
      </w:r>
      <w:r>
        <w:rPr>
          <w:rFonts w:hint="eastAsia" w:cs="Times New Roman"/>
          <w:color w:val="auto"/>
          <w:highlight w:val="none"/>
          <w:lang w:eastAsia="zh-CN"/>
        </w:rPr>
        <w:t>）</w:t>
      </w:r>
      <w:r>
        <w:rPr>
          <w:rFonts w:hint="default" w:ascii="Times New Roman" w:hAnsi="Times New Roman" w:cs="Times New Roman"/>
          <w:color w:val="auto"/>
          <w:highlight w:val="none"/>
          <w:lang w:eastAsia="zh-CN"/>
        </w:rPr>
        <w:t xml:space="preserve"> 中的二类区Ⅱ时段标准最大排放</w:t>
      </w:r>
      <w:r>
        <w:rPr>
          <w:rFonts w:hint="eastAsia" w:ascii="Times New Roman" w:hAnsi="Times New Roman" w:cs="Times New Roman"/>
          <w:color w:val="auto"/>
          <w:highlight w:val="none"/>
          <w:lang w:eastAsia="zh-CN"/>
        </w:rPr>
        <w:t>浓度</w:t>
      </w:r>
      <w:r>
        <w:rPr>
          <w:rFonts w:hint="default" w:ascii="Times New Roman" w:hAnsi="Times New Roman" w:cs="Times New Roman"/>
          <w:color w:val="auto"/>
          <w:highlight w:val="none"/>
          <w:lang w:eastAsia="zh-CN"/>
        </w:rPr>
        <w:t>。其排放量也符合环评报告和自治区环保厅有关总量控制的标准。</w:t>
      </w:r>
    </w:p>
    <w:p w14:paraId="71E5C8DB">
      <w:pPr>
        <w:pStyle w:val="3"/>
        <w:ind w:firstLine="480"/>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根据原环评及批复文件，本项目污染物排放总量控制指标为S</w:t>
      </w:r>
      <w:r>
        <w:rPr>
          <w:rFonts w:hint="eastAsia" w:ascii="Times New Roman" w:hAnsi="Times New Roman" w:cs="Times New Roman"/>
          <w:color w:val="auto"/>
          <w:highlight w:val="none"/>
          <w:lang w:val="en-US" w:eastAsia="zh-CN"/>
        </w:rPr>
        <w:t>O</w:t>
      </w:r>
      <w:r>
        <w:rPr>
          <w:rFonts w:hint="eastAsia" w:ascii="Times New Roman" w:hAnsi="Times New Roman" w:cs="Times New Roman"/>
          <w:color w:val="auto"/>
          <w:highlight w:val="none"/>
          <w:vertAlign w:val="subscript"/>
          <w:lang w:val="en-US" w:eastAsia="zh-CN"/>
        </w:rPr>
        <w:t>2:</w:t>
      </w:r>
      <w:r>
        <w:rPr>
          <w:rFonts w:hint="eastAsia" w:ascii="Times New Roman" w:hAnsi="Times New Roman" w:cs="Times New Roman"/>
          <w:color w:val="auto"/>
          <w:highlight w:val="none"/>
          <w:lang w:eastAsia="zh-CN"/>
        </w:rPr>
        <w:t>7.7t/a、NO</w:t>
      </w:r>
      <w:r>
        <w:rPr>
          <w:rFonts w:hint="eastAsia" w:ascii="Times New Roman" w:hAnsi="Times New Roman" w:cs="Times New Roman"/>
          <w:color w:val="auto"/>
          <w:highlight w:val="none"/>
          <w:vertAlign w:val="subscript"/>
          <w:lang w:eastAsia="zh-CN"/>
        </w:rPr>
        <w:t>2:</w:t>
      </w:r>
      <w:r>
        <w:rPr>
          <w:rFonts w:hint="eastAsia" w:ascii="Times New Roman" w:hAnsi="Times New Roman" w:cs="Times New Roman"/>
          <w:color w:val="auto"/>
          <w:highlight w:val="none"/>
          <w:lang w:eastAsia="zh-CN"/>
        </w:rPr>
        <w:t>5.53t/a。根据调查，本项目未按照规定申请排污许可。</w:t>
      </w:r>
    </w:p>
    <w:p w14:paraId="60B6B347">
      <w:pPr>
        <w:pStyle w:val="43"/>
        <w:bidi w:val="0"/>
        <w:rPr>
          <w:rFonts w:hint="default"/>
          <w:color w:val="auto"/>
          <w:highlight w:val="none"/>
        </w:rPr>
      </w:pPr>
      <w:r>
        <w:rPr>
          <w:rFonts w:hint="default"/>
          <w:color w:val="auto"/>
          <w:highlight w:val="none"/>
        </w:rPr>
        <w:t>水环境</w:t>
      </w:r>
    </w:p>
    <w:p w14:paraId="43D01CF0">
      <w:pPr>
        <w:pStyle w:val="3"/>
        <w:rPr>
          <w:rFonts w:hint="default"/>
          <w:color w:val="auto"/>
          <w:highlight w:val="none"/>
        </w:rPr>
      </w:pPr>
      <w:r>
        <w:rPr>
          <w:rFonts w:hint="default"/>
          <w:color w:val="auto"/>
          <w:highlight w:val="none"/>
        </w:rPr>
        <w:t>选矿厂生产废水在工艺内循环利用，</w:t>
      </w:r>
      <w:r>
        <w:rPr>
          <w:rFonts w:hint="eastAsia"/>
          <w:color w:val="auto"/>
          <w:highlight w:val="none"/>
          <w:lang w:eastAsia="zh-CN"/>
        </w:rPr>
        <w:t>无</w:t>
      </w:r>
      <w:r>
        <w:rPr>
          <w:rFonts w:hint="default"/>
          <w:color w:val="auto"/>
          <w:highlight w:val="none"/>
        </w:rPr>
        <w:t>外排；精矿堆场进行了地面硬化，堆场四周有渗滤水回收地沟；精矿浆沉淀回用水池兼做选矿厂应急事故池，以防止事故状态下尾矿水外排。</w:t>
      </w:r>
    </w:p>
    <w:p w14:paraId="30A190C4">
      <w:pPr>
        <w:pStyle w:val="3"/>
        <w:rPr>
          <w:rFonts w:hint="default"/>
          <w:color w:val="auto"/>
          <w:highlight w:val="none"/>
        </w:rPr>
      </w:pPr>
      <w:r>
        <w:rPr>
          <w:rFonts w:hint="default"/>
          <w:color w:val="auto"/>
          <w:highlight w:val="none"/>
        </w:rPr>
        <w:t>办公生活区生活污水经地埋式生物接触氧化法处理后，全部用于生活区绿化。实际调查期间，每一天生活污水产生量7.8t/d。经</w:t>
      </w:r>
      <w:r>
        <w:rPr>
          <w:rFonts w:hint="eastAsia"/>
          <w:color w:val="auto"/>
          <w:highlight w:val="none"/>
          <w:lang w:eastAsia="zh-CN"/>
        </w:rPr>
        <w:t>验收阶段</w:t>
      </w:r>
      <w:r>
        <w:rPr>
          <w:rFonts w:hint="default"/>
          <w:color w:val="auto"/>
          <w:highlight w:val="none"/>
        </w:rPr>
        <w:t>监测，经沉淀处理后的生活污水各项污染物指标均未超过《污水综合排放标准》</w:t>
      </w:r>
      <w:r>
        <w:rPr>
          <w:rFonts w:hint="eastAsia"/>
          <w:color w:val="auto"/>
          <w:highlight w:val="none"/>
          <w:lang w:eastAsia="zh-CN"/>
        </w:rPr>
        <w:t>（</w:t>
      </w:r>
      <w:r>
        <w:rPr>
          <w:rFonts w:hint="default"/>
          <w:color w:val="auto"/>
          <w:highlight w:val="none"/>
        </w:rPr>
        <w:t>GB8978-1996</w:t>
      </w:r>
      <w:r>
        <w:rPr>
          <w:rFonts w:hint="eastAsia"/>
          <w:color w:val="auto"/>
          <w:highlight w:val="none"/>
          <w:lang w:eastAsia="zh-CN"/>
        </w:rPr>
        <w:t>）</w:t>
      </w:r>
      <w:r>
        <w:rPr>
          <w:rFonts w:hint="default"/>
          <w:color w:val="auto"/>
          <w:highlight w:val="none"/>
        </w:rPr>
        <w:t xml:space="preserve"> 中的二级标准限值。</w:t>
      </w:r>
    </w:p>
    <w:p w14:paraId="5965C443">
      <w:pPr>
        <w:pStyle w:val="43"/>
        <w:bidi w:val="0"/>
        <w:rPr>
          <w:rFonts w:hint="default"/>
          <w:color w:val="auto"/>
          <w:highlight w:val="none"/>
        </w:rPr>
      </w:pPr>
      <w:r>
        <w:rPr>
          <w:rFonts w:hint="default"/>
          <w:color w:val="auto"/>
          <w:highlight w:val="none"/>
        </w:rPr>
        <w:t>声环境</w:t>
      </w:r>
    </w:p>
    <w:p w14:paraId="1BD24F9D">
      <w:pPr>
        <w:pStyle w:val="3"/>
        <w:rPr>
          <w:rFonts w:hint="default"/>
          <w:color w:val="auto"/>
          <w:highlight w:val="none"/>
        </w:rPr>
      </w:pPr>
      <w:r>
        <w:rPr>
          <w:rFonts w:hint="default"/>
          <w:color w:val="auto"/>
          <w:highlight w:val="none"/>
        </w:rPr>
        <w:t>本项目运营期声环境影响主要是机械设备噪声，选矿厂的破碎机、球磨机、振动筛分机等选矿设备运行时产生的噪声。选矿厂设备采取隔音、减振、变频调速等措施，降低噪声</w:t>
      </w:r>
      <w:r>
        <w:rPr>
          <w:rFonts w:hint="eastAsia"/>
          <w:color w:val="auto"/>
          <w:highlight w:val="none"/>
          <w:lang w:eastAsia="zh-CN"/>
        </w:rPr>
        <w:t>；</w:t>
      </w:r>
      <w:r>
        <w:rPr>
          <w:rFonts w:hint="default"/>
          <w:color w:val="auto"/>
          <w:highlight w:val="none"/>
        </w:rPr>
        <w:t>生活区距选矿厂有一定距离，噪声源经衰减后对生活区影响不大。</w:t>
      </w:r>
    </w:p>
    <w:p w14:paraId="4EA139FA">
      <w:pPr>
        <w:pStyle w:val="3"/>
        <w:rPr>
          <w:rFonts w:hint="default"/>
          <w:color w:val="auto"/>
          <w:highlight w:val="none"/>
        </w:rPr>
      </w:pPr>
      <w:r>
        <w:rPr>
          <w:rFonts w:hint="default"/>
          <w:color w:val="auto"/>
          <w:highlight w:val="none"/>
        </w:rPr>
        <w:t>经</w:t>
      </w:r>
      <w:r>
        <w:rPr>
          <w:rFonts w:hint="eastAsia"/>
          <w:color w:val="auto"/>
          <w:highlight w:val="none"/>
          <w:lang w:eastAsia="zh-CN"/>
        </w:rPr>
        <w:t>验收阶段</w:t>
      </w:r>
      <w:r>
        <w:rPr>
          <w:rFonts w:hint="default"/>
          <w:color w:val="auto"/>
          <w:highlight w:val="none"/>
        </w:rPr>
        <w:t>监测，选矿厂厂界噪声均未超过《工业企业厂界环境噪声排放标准》</w:t>
      </w:r>
      <w:r>
        <w:rPr>
          <w:rFonts w:hint="eastAsia"/>
          <w:color w:val="auto"/>
          <w:highlight w:val="none"/>
          <w:lang w:eastAsia="zh-CN"/>
        </w:rPr>
        <w:t>（</w:t>
      </w:r>
      <w:r>
        <w:rPr>
          <w:rFonts w:hint="default"/>
          <w:color w:val="auto"/>
          <w:highlight w:val="none"/>
        </w:rPr>
        <w:t>GB12348-2008</w:t>
      </w:r>
      <w:r>
        <w:rPr>
          <w:rFonts w:hint="eastAsia"/>
          <w:color w:val="auto"/>
          <w:highlight w:val="none"/>
          <w:lang w:eastAsia="zh-CN"/>
        </w:rPr>
        <w:t>）</w:t>
      </w:r>
      <w:r>
        <w:rPr>
          <w:rFonts w:hint="default"/>
          <w:color w:val="auto"/>
          <w:highlight w:val="none"/>
        </w:rPr>
        <w:t xml:space="preserve"> 中的3类区标准限值。</w:t>
      </w:r>
    </w:p>
    <w:p w14:paraId="4ECF141F">
      <w:pPr>
        <w:pStyle w:val="43"/>
        <w:bidi w:val="0"/>
        <w:rPr>
          <w:rFonts w:hint="default"/>
          <w:color w:val="auto"/>
          <w:highlight w:val="none"/>
        </w:rPr>
      </w:pPr>
      <w:r>
        <w:rPr>
          <w:rFonts w:hint="default"/>
          <w:color w:val="auto"/>
          <w:highlight w:val="none"/>
        </w:rPr>
        <w:t>固体废物</w:t>
      </w:r>
    </w:p>
    <w:p w14:paraId="2F65280B">
      <w:pPr>
        <w:pStyle w:val="3"/>
        <w:rPr>
          <w:rFonts w:hint="eastAsia" w:ascii="Times New Roman" w:hAnsi="Times New Roman" w:cs="Times New Roman"/>
          <w:color w:val="auto"/>
          <w:highlight w:val="none"/>
          <w:lang w:eastAsia="zh-CN"/>
        </w:rPr>
      </w:pPr>
      <w:r>
        <w:rPr>
          <w:rFonts w:hint="default" w:ascii="Times New Roman" w:hAnsi="Times New Roman" w:eastAsia="华文中宋" w:cs="Times New Roman"/>
          <w:color w:val="auto"/>
          <w:highlight w:val="none"/>
        </w:rPr>
        <w:t>运营期固体废物主要有</w:t>
      </w:r>
      <w:r>
        <w:rPr>
          <w:rFonts w:hint="eastAsia" w:ascii="Times New Roman" w:hAnsi="Times New Roman" w:cs="Times New Roman"/>
          <w:color w:val="auto"/>
          <w:highlight w:val="none"/>
          <w:lang w:eastAsia="zh-CN"/>
        </w:rPr>
        <w:t>尾矿砂</w:t>
      </w:r>
      <w:r>
        <w:rPr>
          <w:rFonts w:hint="default" w:ascii="Times New Roman" w:hAnsi="Times New Roman" w:eastAsia="华文中宋" w:cs="Times New Roman"/>
          <w:color w:val="auto"/>
          <w:highlight w:val="none"/>
        </w:rPr>
        <w:t>、污泥</w:t>
      </w:r>
      <w:r>
        <w:rPr>
          <w:rFonts w:hint="eastAsia" w:ascii="Times New Roman" w:hAnsi="Times New Roman" w:cs="Times New Roman"/>
          <w:color w:val="auto"/>
          <w:highlight w:val="none"/>
          <w:lang w:eastAsia="zh-CN"/>
        </w:rPr>
        <w:t>、危险废物、锅炉炉渣</w:t>
      </w:r>
      <w:r>
        <w:rPr>
          <w:rFonts w:hint="default" w:ascii="Times New Roman" w:hAnsi="Times New Roman" w:eastAsia="华文中宋" w:cs="Times New Roman"/>
          <w:color w:val="auto"/>
          <w:highlight w:val="none"/>
        </w:rPr>
        <w:t>及生活垃圾</w:t>
      </w:r>
      <w:r>
        <w:rPr>
          <w:rFonts w:hint="eastAsia" w:ascii="Times New Roman" w:hAnsi="Times New Roman" w:cs="Times New Roman"/>
          <w:color w:val="auto"/>
          <w:highlight w:val="none"/>
          <w:lang w:eastAsia="zh-CN"/>
        </w:rPr>
        <w:t>。</w:t>
      </w:r>
    </w:p>
    <w:p w14:paraId="28FB9BF2">
      <w:pPr>
        <w:pStyle w:val="3"/>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根据调查，本项目选矿产生尾矿量约为</w:t>
      </w:r>
      <w:r>
        <w:rPr>
          <w:rFonts w:hint="eastAsia" w:ascii="Times New Roman" w:hAnsi="Times New Roman" w:cs="Times New Roman"/>
          <w:color w:val="auto"/>
          <w:highlight w:val="none"/>
          <w:lang w:val="en-US" w:eastAsia="zh-CN"/>
        </w:rPr>
        <w:t>17.74</w:t>
      </w:r>
      <w:r>
        <w:rPr>
          <w:rFonts w:hint="eastAsia" w:ascii="Times New Roman" w:hAnsi="Times New Roman" w:cs="Times New Roman"/>
          <w:color w:val="auto"/>
          <w:highlight w:val="none"/>
          <w:lang w:eastAsia="zh-CN"/>
        </w:rPr>
        <w:t>万t/a，生活垃圾产生量约为28t/a。选厂输出的尾矿全部送至尾矿库存放，目前尾矿库已闭库，正在办理闭库手续；生活区设有垃圾池，定期将生活垃圾拉运往低洼处进行填埋；锅炉炉渣用于铺路；生活污水处理站污泥与生活垃圾一并进行填埋；</w:t>
      </w:r>
      <w:r>
        <w:rPr>
          <w:color w:val="auto"/>
          <w:highlight w:val="none"/>
        </w:rPr>
        <w:t>本项目废机油集中收集，</w:t>
      </w:r>
      <w:r>
        <w:rPr>
          <w:rFonts w:hint="eastAsia"/>
          <w:color w:val="auto"/>
          <w:highlight w:val="none"/>
        </w:rPr>
        <w:t>暂存于现状</w:t>
      </w:r>
      <w:r>
        <w:rPr>
          <w:color w:val="auto"/>
          <w:highlight w:val="none"/>
        </w:rPr>
        <w:t>危废</w:t>
      </w:r>
      <w:r>
        <w:rPr>
          <w:rFonts w:hint="eastAsia"/>
          <w:color w:val="auto"/>
          <w:highlight w:val="none"/>
        </w:rPr>
        <w:t>贮存点</w:t>
      </w:r>
      <w:r>
        <w:rPr>
          <w:color w:val="auto"/>
          <w:highlight w:val="none"/>
        </w:rPr>
        <w:t>，定期委托相关有资质的克州天蓝蓝环保有限公司拉</w:t>
      </w:r>
      <w:r>
        <w:rPr>
          <w:rFonts w:hint="eastAsia"/>
          <w:color w:val="auto"/>
          <w:highlight w:val="none"/>
        </w:rPr>
        <w:t>运</w:t>
      </w:r>
      <w:r>
        <w:rPr>
          <w:color w:val="auto"/>
          <w:highlight w:val="none"/>
        </w:rPr>
        <w:t>处置</w:t>
      </w:r>
      <w:r>
        <w:rPr>
          <w:rFonts w:hint="eastAsia" w:ascii="Times New Roman" w:hAnsi="Times New Roman" w:cs="Times New Roman"/>
          <w:color w:val="auto"/>
          <w:highlight w:val="none"/>
          <w:lang w:eastAsia="zh-CN"/>
        </w:rPr>
        <w:t>。</w:t>
      </w:r>
    </w:p>
    <w:p w14:paraId="614033CD">
      <w:pPr>
        <w:ind w:firstLine="480"/>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项目现场调查未发现固体废物乱排现象，固体废物均得到合规处置。</w:t>
      </w:r>
    </w:p>
    <w:p w14:paraId="23E34038">
      <w:pPr>
        <w:pStyle w:val="43"/>
        <w:bidi w:val="0"/>
        <w:rPr>
          <w:rFonts w:hint="default"/>
          <w:color w:val="auto"/>
          <w:highlight w:val="none"/>
        </w:rPr>
      </w:pPr>
      <w:r>
        <w:rPr>
          <w:rFonts w:hint="default"/>
          <w:color w:val="auto"/>
          <w:highlight w:val="none"/>
        </w:rPr>
        <w:t>生态影响回顾评价</w:t>
      </w:r>
    </w:p>
    <w:p w14:paraId="5747A9DD">
      <w:pPr>
        <w:pStyle w:val="3"/>
        <w:rPr>
          <w:rFonts w:hint="eastAsia" w:ascii="Times New Roman" w:hAnsi="Times New Roman" w:cs="Times New Roman"/>
          <w:color w:val="auto"/>
          <w:kern w:val="0"/>
          <w:highlight w:val="none"/>
          <w:lang w:eastAsia="zh-CN" w:bidi="ar"/>
        </w:rPr>
      </w:pPr>
      <w:r>
        <w:rPr>
          <w:rFonts w:hint="eastAsia" w:ascii="Times New Roman" w:hAnsi="Times New Roman" w:cs="Times New Roman"/>
          <w:color w:val="auto"/>
          <w:kern w:val="0"/>
          <w:highlight w:val="none"/>
          <w:lang w:eastAsia="zh-CN" w:bidi="ar"/>
        </w:rPr>
        <w:t>据调查，本项目按照生态环境恢复重建工程总体布局要求，生态恢复主要采取了“以生物措施为主，工程措施为辅”的方式，其中生物措施主要包括：生活区道路两侧、房前屋后都进行了绿化，</w:t>
      </w:r>
      <w:r>
        <w:rPr>
          <w:color w:val="auto"/>
          <w:highlight w:val="none"/>
        </w:rPr>
        <w:t>栽培植物包括速生白蜡、金叶榆杆球、紫叶稠李、龙柏、桃、杏、海棠及月季等园林苗木</w:t>
      </w:r>
      <w:r>
        <w:rPr>
          <w:rFonts w:hint="eastAsia"/>
          <w:color w:val="auto"/>
          <w:highlight w:val="none"/>
          <w:lang w:eastAsia="zh-CN"/>
        </w:rPr>
        <w:t>；</w:t>
      </w:r>
      <w:r>
        <w:rPr>
          <w:rFonts w:hint="default" w:ascii="Times New Roman" w:hAnsi="Times New Roman" w:eastAsia="华文中宋" w:cs="Times New Roman"/>
          <w:color w:val="auto"/>
          <w:kern w:val="0"/>
          <w:highlight w:val="none"/>
          <w:lang w:bidi="ar"/>
        </w:rPr>
        <w:t>工程措施主要包括</w:t>
      </w:r>
      <w:r>
        <w:rPr>
          <w:rFonts w:hint="eastAsia" w:ascii="Times New Roman" w:hAnsi="Times New Roman" w:cs="Times New Roman"/>
          <w:color w:val="auto"/>
          <w:kern w:val="0"/>
          <w:highlight w:val="none"/>
          <w:lang w:eastAsia="zh-CN" w:bidi="ar"/>
        </w:rPr>
        <w:t>场地、道路进行了硬化，设置了</w:t>
      </w:r>
      <w:r>
        <w:rPr>
          <w:rFonts w:hint="default" w:ascii="Times New Roman" w:hAnsi="Times New Roman" w:eastAsia="华文中宋" w:cs="Times New Roman"/>
          <w:color w:val="auto"/>
          <w:kern w:val="0"/>
          <w:highlight w:val="none"/>
          <w:lang w:bidi="ar"/>
        </w:rPr>
        <w:t>排水沟等工程措施。</w:t>
      </w:r>
    </w:p>
    <w:p w14:paraId="04478833">
      <w:pPr>
        <w:pStyle w:val="43"/>
        <w:bidi w:val="0"/>
        <w:rPr>
          <w:rFonts w:hint="eastAsia"/>
          <w:color w:val="auto"/>
          <w:highlight w:val="none"/>
        </w:rPr>
      </w:pPr>
      <w:r>
        <w:rPr>
          <w:rFonts w:hint="default"/>
          <w:color w:val="auto"/>
          <w:highlight w:val="none"/>
        </w:rPr>
        <w:t>环境管理</w:t>
      </w:r>
    </w:p>
    <w:p w14:paraId="0486C166">
      <w:pPr>
        <w:keepNext w:val="0"/>
        <w:keepLines w:val="0"/>
        <w:pageBreakBefore w:val="0"/>
        <w:widowControl w:val="0"/>
        <w:kinsoku/>
        <w:wordWrap/>
        <w:overflowPunct/>
        <w:topLinePunct w:val="0"/>
        <w:autoSpaceDE/>
        <w:autoSpaceDN/>
        <w:bidi w:val="0"/>
        <w:adjustRightInd w:val="0"/>
        <w:snapToGrid/>
        <w:ind w:firstLine="480"/>
        <w:textAlignment w:val="auto"/>
        <w:rPr>
          <w:rFonts w:hint="default" w:ascii="Times New Roman" w:hAnsi="Times New Roman" w:eastAsia="华文中宋" w:cs="Times New Roman"/>
          <w:color w:val="auto"/>
          <w:highlight w:val="none"/>
        </w:rPr>
      </w:pPr>
      <w:r>
        <w:rPr>
          <w:rFonts w:hint="eastAsia"/>
          <w:color w:val="auto"/>
          <w:highlight w:val="none"/>
          <w:lang w:eastAsia="zh-CN"/>
        </w:rPr>
        <w:t>阿图什市环球矿业有限公司</w:t>
      </w:r>
      <w:r>
        <w:rPr>
          <w:rFonts w:hint="default" w:ascii="Times New Roman" w:hAnsi="Times New Roman" w:eastAsia="华文中宋" w:cs="Times New Roman"/>
          <w:color w:val="auto"/>
          <w:highlight w:val="none"/>
        </w:rPr>
        <w:t>制定了《</w:t>
      </w:r>
      <w:r>
        <w:rPr>
          <w:rFonts w:hint="eastAsia"/>
          <w:color w:val="auto"/>
          <w:highlight w:val="none"/>
          <w:lang w:eastAsia="zh-CN"/>
        </w:rPr>
        <w:t>阿图什市环球矿业有限公司</w:t>
      </w:r>
      <w:r>
        <w:rPr>
          <w:rFonts w:hint="default" w:ascii="Times New Roman" w:hAnsi="Times New Roman" w:eastAsia="华文中宋" w:cs="Times New Roman"/>
          <w:color w:val="auto"/>
          <w:highlight w:val="none"/>
        </w:rPr>
        <w:t>生态环境保护管理制度》</w:t>
      </w:r>
      <w:r>
        <w:rPr>
          <w:rFonts w:hint="eastAsia" w:ascii="Times New Roman" w:hAnsi="Times New Roman" w:cs="Times New Roman"/>
          <w:color w:val="auto"/>
          <w:highlight w:val="none"/>
          <w:lang w:eastAsia="zh-CN"/>
        </w:rPr>
        <w:t>，</w:t>
      </w:r>
      <w:r>
        <w:rPr>
          <w:rFonts w:hint="default" w:ascii="Times New Roman" w:hAnsi="Times New Roman" w:eastAsia="华文中宋" w:cs="Times New Roman"/>
          <w:color w:val="auto"/>
          <w:highlight w:val="none"/>
        </w:rPr>
        <w:t>成立</w:t>
      </w:r>
      <w:r>
        <w:rPr>
          <w:rFonts w:hint="eastAsia" w:ascii="Times New Roman" w:hAnsi="Times New Roman" w:cs="Times New Roman"/>
          <w:color w:val="auto"/>
          <w:highlight w:val="none"/>
          <w:lang w:eastAsia="zh-CN"/>
        </w:rPr>
        <w:t>了</w:t>
      </w:r>
      <w:r>
        <w:rPr>
          <w:rFonts w:hint="default" w:ascii="Times New Roman" w:hAnsi="Times New Roman" w:eastAsia="华文中宋" w:cs="Times New Roman"/>
          <w:color w:val="auto"/>
          <w:highlight w:val="none"/>
        </w:rPr>
        <w:t>生态环境保护工作领导小组，负责落实国家、地方和公司生态环境保护决策部署，统一领导生态环境保护工作。领导小组组长由总工程师担任。</w:t>
      </w:r>
    </w:p>
    <w:p w14:paraId="45424FAE">
      <w:pPr>
        <w:keepNext w:val="0"/>
        <w:keepLines w:val="0"/>
        <w:pageBreakBefore w:val="0"/>
        <w:widowControl w:val="0"/>
        <w:kinsoku/>
        <w:wordWrap/>
        <w:overflowPunct/>
        <w:topLinePunct w:val="0"/>
        <w:autoSpaceDE/>
        <w:autoSpaceDN/>
        <w:bidi w:val="0"/>
        <w:adjustRightInd w:val="0"/>
        <w:snapToGrid/>
        <w:ind w:firstLine="480"/>
        <w:textAlignment w:val="auto"/>
        <w:rPr>
          <w:rFonts w:hint="default" w:ascii="Times New Roman" w:hAnsi="Times New Roman" w:eastAsia="华文中宋" w:cs="Times New Roman"/>
          <w:color w:val="auto"/>
          <w:highlight w:val="none"/>
        </w:rPr>
      </w:pPr>
      <w:r>
        <w:rPr>
          <w:rFonts w:hint="eastAsia"/>
          <w:color w:val="auto"/>
          <w:highlight w:val="none"/>
          <w:lang w:eastAsia="zh-CN"/>
        </w:rPr>
        <w:t>阿图什市环球矿业有限公司</w:t>
      </w:r>
      <w:r>
        <w:rPr>
          <w:rFonts w:hint="default" w:ascii="Times New Roman" w:hAnsi="Times New Roman" w:eastAsia="华文中宋" w:cs="Times New Roman"/>
          <w:color w:val="auto"/>
          <w:highlight w:val="none"/>
        </w:rPr>
        <w:t>在建设与运营过程中，逐步健全了环境保护法律法规汇编、建设项目环境管理、污染防治设施运行管理、固体废弃物处置利用管理、环境安全隐患治理与风险管控、环境管理依法合规情况检查与整改等环境管理档案。</w:t>
      </w:r>
    </w:p>
    <w:p w14:paraId="481CB34F">
      <w:pPr>
        <w:keepNext w:val="0"/>
        <w:keepLines w:val="0"/>
        <w:pageBreakBefore w:val="0"/>
        <w:widowControl w:val="0"/>
        <w:kinsoku/>
        <w:wordWrap/>
        <w:overflowPunct/>
        <w:topLinePunct w:val="0"/>
        <w:autoSpaceDE/>
        <w:autoSpaceDN/>
        <w:bidi w:val="0"/>
        <w:adjustRightInd w:val="0"/>
        <w:snapToGrid/>
        <w:ind w:firstLine="480"/>
        <w:textAlignment w:val="auto"/>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办公生活区设置有档案室，配备兼职档案员负责所有资料的整理、归档和保管。并于近年完成电子档案系统建设，项目资料实现电子数据与纸质文件两种形式存档，提高了资料保存的安全性。</w:t>
      </w:r>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266"/>
        <w:gridCol w:w="3876"/>
      </w:tblGrid>
      <w:tr w14:paraId="587BC0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66B82761">
            <w:pPr>
              <w:pStyle w:val="13"/>
              <w:keepNext w:val="0"/>
              <w:keepLines w:val="0"/>
              <w:pageBreakBefore w:val="0"/>
              <w:widowControl w:val="0"/>
              <w:kinsoku/>
              <w:wordWrap/>
              <w:overflowPunct/>
              <w:topLinePunct w:val="0"/>
              <w:autoSpaceDE/>
              <w:autoSpaceDN/>
              <w:bidi w:val="0"/>
              <w:adjustRightInd w:val="0"/>
              <w:snapToGrid/>
              <w:spacing w:after="0" w:line="240" w:lineRule="atLeast"/>
              <w:ind w:firstLine="0" w:firstLineChars="0"/>
              <w:textAlignment w:val="auto"/>
              <w:rPr>
                <w:rFonts w:hint="eastAsia" w:ascii="Times New Roman" w:hAnsi="Times New Roman" w:eastAsia="华文中宋" w:cs="Times New Roman"/>
                <w:color w:val="auto"/>
                <w:highlight w:val="none"/>
                <w:vertAlign w:val="baseline"/>
                <w:lang w:eastAsia="zh-CN"/>
              </w:rPr>
            </w:pPr>
            <w:r>
              <w:rPr>
                <w:rFonts w:hint="eastAsia" w:ascii="Times New Roman" w:hAnsi="Times New Roman" w:eastAsia="华文中宋" w:cs="Times New Roman"/>
                <w:color w:val="auto"/>
                <w:highlight w:val="none"/>
                <w:vertAlign w:val="baseline"/>
                <w:lang w:eastAsia="zh-CN"/>
              </w:rPr>
              <w:drawing>
                <wp:inline distT="0" distB="0" distL="114300" distR="114300">
                  <wp:extent cx="2561590" cy="1730375"/>
                  <wp:effectExtent l="0" t="0" r="10160" b="3175"/>
                  <wp:docPr id="18" name="图片 18" descr="5108e78f6a07900a5e9bd2764df047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5108e78f6a07900a5e9bd2764df0479d"/>
                          <pic:cNvPicPr>
                            <a:picLocks noChangeAspect="1"/>
                          </pic:cNvPicPr>
                        </pic:nvPicPr>
                        <pic:blipFill>
                          <a:blip r:embed="rId24"/>
                          <a:stretch>
                            <a:fillRect/>
                          </a:stretch>
                        </pic:blipFill>
                        <pic:spPr>
                          <a:xfrm>
                            <a:off x="0" y="0"/>
                            <a:ext cx="2561590" cy="1730375"/>
                          </a:xfrm>
                          <a:prstGeom prst="rect">
                            <a:avLst/>
                          </a:prstGeom>
                        </pic:spPr>
                      </pic:pic>
                    </a:graphicData>
                  </a:graphic>
                </wp:inline>
              </w:drawing>
            </w:r>
          </w:p>
        </w:tc>
        <w:tc>
          <w:tcPr>
            <w:tcW w:w="0" w:type="auto"/>
            <w:tcBorders>
              <w:tl2br w:val="nil"/>
              <w:tr2bl w:val="nil"/>
            </w:tcBorders>
            <w:vAlign w:val="center"/>
          </w:tcPr>
          <w:p w14:paraId="0041BF27">
            <w:pPr>
              <w:pStyle w:val="13"/>
              <w:keepNext w:val="0"/>
              <w:keepLines w:val="0"/>
              <w:pageBreakBefore w:val="0"/>
              <w:widowControl w:val="0"/>
              <w:kinsoku/>
              <w:wordWrap/>
              <w:overflowPunct/>
              <w:topLinePunct w:val="0"/>
              <w:autoSpaceDE/>
              <w:autoSpaceDN/>
              <w:bidi w:val="0"/>
              <w:adjustRightInd w:val="0"/>
              <w:snapToGrid/>
              <w:spacing w:after="0" w:line="240" w:lineRule="atLeast"/>
              <w:ind w:firstLine="0" w:firstLineChars="0"/>
              <w:jc w:val="center"/>
              <w:textAlignment w:val="auto"/>
              <w:rPr>
                <w:rFonts w:hint="eastAsia" w:ascii="Times New Roman" w:hAnsi="Times New Roman" w:eastAsia="华文中宋" w:cs="Times New Roman"/>
                <w:color w:val="auto"/>
                <w:highlight w:val="none"/>
                <w:vertAlign w:val="baseline"/>
                <w:lang w:eastAsia="zh-CN"/>
              </w:rPr>
            </w:pPr>
            <w:r>
              <w:rPr>
                <w:rFonts w:hint="eastAsia" w:ascii="Times New Roman" w:hAnsi="Times New Roman" w:eastAsia="华文中宋" w:cs="Times New Roman"/>
                <w:color w:val="auto"/>
                <w:highlight w:val="none"/>
                <w:vertAlign w:val="baseline"/>
                <w:lang w:eastAsia="zh-CN"/>
              </w:rPr>
              <w:drawing>
                <wp:inline distT="0" distB="0" distL="114300" distR="114300">
                  <wp:extent cx="0" cy="0"/>
                  <wp:effectExtent l="0" t="0" r="0" b="0"/>
                  <wp:docPr id="29" name="图片 29" descr="28cc60b51478d859bd1ae315297a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28cc60b51478d859bd1ae315297a1187"/>
                          <pic:cNvPicPr>
                            <a:picLocks noChangeAspect="1"/>
                          </pic:cNvPicPr>
                        </pic:nvPicPr>
                        <pic:blipFill>
                          <a:blip r:embed="rId25"/>
                          <a:stretch>
                            <a:fillRect/>
                          </a:stretch>
                        </pic:blipFill>
                        <pic:spPr>
                          <a:xfrm>
                            <a:off x="0" y="0"/>
                            <a:ext cx="0" cy="0"/>
                          </a:xfrm>
                          <a:prstGeom prst="rect">
                            <a:avLst/>
                          </a:prstGeom>
                        </pic:spPr>
                      </pic:pic>
                    </a:graphicData>
                  </a:graphic>
                </wp:inline>
              </w:drawing>
            </w:r>
            <w:r>
              <w:rPr>
                <w:rFonts w:hint="eastAsia" w:ascii="Times New Roman" w:hAnsi="Times New Roman" w:eastAsia="华文中宋" w:cs="Times New Roman"/>
                <w:color w:val="auto"/>
                <w:highlight w:val="none"/>
                <w:vertAlign w:val="baseline"/>
                <w:lang w:eastAsia="zh-CN"/>
              </w:rPr>
              <w:drawing>
                <wp:inline distT="0" distB="0" distL="114300" distR="114300">
                  <wp:extent cx="0" cy="0"/>
                  <wp:effectExtent l="0" t="0" r="0" b="0"/>
                  <wp:docPr id="49" name="图片 49" descr="28cc60b51478d859bd1ae315297a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28cc60b51478d859bd1ae315297a1187"/>
                          <pic:cNvPicPr>
                            <a:picLocks noChangeAspect="1"/>
                          </pic:cNvPicPr>
                        </pic:nvPicPr>
                        <pic:blipFill>
                          <a:blip r:embed="rId25"/>
                          <a:stretch>
                            <a:fillRect/>
                          </a:stretch>
                        </pic:blipFill>
                        <pic:spPr>
                          <a:xfrm>
                            <a:off x="0" y="0"/>
                            <a:ext cx="0" cy="0"/>
                          </a:xfrm>
                          <a:prstGeom prst="rect">
                            <a:avLst/>
                          </a:prstGeom>
                        </pic:spPr>
                      </pic:pic>
                    </a:graphicData>
                  </a:graphic>
                </wp:inline>
              </w:drawing>
            </w:r>
            <w:r>
              <w:rPr>
                <w:rFonts w:hint="eastAsia" w:ascii="Times New Roman" w:hAnsi="Times New Roman" w:eastAsia="华文中宋" w:cs="Times New Roman"/>
                <w:color w:val="auto"/>
                <w:highlight w:val="none"/>
                <w:vertAlign w:val="baseline"/>
                <w:lang w:eastAsia="zh-CN"/>
              </w:rPr>
              <w:drawing>
                <wp:inline distT="0" distB="0" distL="114300" distR="114300">
                  <wp:extent cx="0" cy="0"/>
                  <wp:effectExtent l="0" t="0" r="0" b="0"/>
                  <wp:docPr id="50" name="图片 50" descr="28cc60b51478d859bd1ae315297a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28cc60b51478d859bd1ae315297a1187"/>
                          <pic:cNvPicPr>
                            <a:picLocks noChangeAspect="1"/>
                          </pic:cNvPicPr>
                        </pic:nvPicPr>
                        <pic:blipFill>
                          <a:blip r:embed="rId25"/>
                          <a:stretch>
                            <a:fillRect/>
                          </a:stretch>
                        </pic:blipFill>
                        <pic:spPr>
                          <a:xfrm>
                            <a:off x="0" y="0"/>
                            <a:ext cx="0" cy="0"/>
                          </a:xfrm>
                          <a:prstGeom prst="rect">
                            <a:avLst/>
                          </a:prstGeom>
                        </pic:spPr>
                      </pic:pic>
                    </a:graphicData>
                  </a:graphic>
                </wp:inline>
              </w:drawing>
            </w:r>
            <w:r>
              <w:rPr>
                <w:rFonts w:hint="eastAsia" w:ascii="Times New Roman" w:hAnsi="Times New Roman" w:eastAsia="华文中宋" w:cs="Times New Roman"/>
                <w:color w:val="auto"/>
                <w:highlight w:val="none"/>
                <w:vertAlign w:val="baseline"/>
                <w:lang w:eastAsia="zh-CN"/>
              </w:rPr>
              <w:drawing>
                <wp:inline distT="0" distB="0" distL="114300" distR="114300">
                  <wp:extent cx="2310765" cy="1811020"/>
                  <wp:effectExtent l="0" t="0" r="13335" b="17780"/>
                  <wp:docPr id="51" name="图片 51" descr="微信图片_20260708135239_44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微信图片_20260708135239_441_2"/>
                          <pic:cNvPicPr>
                            <a:picLocks noChangeAspect="1"/>
                          </pic:cNvPicPr>
                        </pic:nvPicPr>
                        <pic:blipFill>
                          <a:blip r:embed="rId25"/>
                          <a:stretch>
                            <a:fillRect/>
                          </a:stretch>
                        </pic:blipFill>
                        <pic:spPr>
                          <a:xfrm>
                            <a:off x="0" y="0"/>
                            <a:ext cx="2310765" cy="1811020"/>
                          </a:xfrm>
                          <a:prstGeom prst="rect">
                            <a:avLst/>
                          </a:prstGeom>
                        </pic:spPr>
                      </pic:pic>
                    </a:graphicData>
                  </a:graphic>
                </wp:inline>
              </w:drawing>
            </w:r>
          </w:p>
        </w:tc>
      </w:tr>
      <w:tr w14:paraId="58E34D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2"/>
            <w:tcBorders>
              <w:tl2br w:val="nil"/>
              <w:tr2bl w:val="nil"/>
            </w:tcBorders>
            <w:vAlign w:val="center"/>
          </w:tcPr>
          <w:p w14:paraId="327AD80B">
            <w:pPr>
              <w:pStyle w:val="13"/>
              <w:keepNext w:val="0"/>
              <w:keepLines w:val="0"/>
              <w:pageBreakBefore w:val="0"/>
              <w:widowControl w:val="0"/>
              <w:kinsoku/>
              <w:wordWrap/>
              <w:overflowPunct/>
              <w:topLinePunct w:val="0"/>
              <w:autoSpaceDE/>
              <w:autoSpaceDN/>
              <w:bidi w:val="0"/>
              <w:adjustRightInd w:val="0"/>
              <w:snapToGrid/>
              <w:spacing w:line="240" w:lineRule="atLeast"/>
              <w:ind w:firstLine="0" w:firstLineChars="0"/>
              <w:jc w:val="center"/>
              <w:textAlignment w:val="auto"/>
              <w:rPr>
                <w:rFonts w:hint="eastAsia" w:ascii="Times New Roman" w:hAnsi="Times New Roman" w:eastAsia="华文中宋" w:cs="Times New Roman"/>
                <w:color w:val="auto"/>
                <w:highlight w:val="none"/>
                <w:vertAlign w:val="baseline"/>
                <w:lang w:eastAsia="zh-CN"/>
              </w:rPr>
            </w:pPr>
            <w:r>
              <w:rPr>
                <w:rFonts w:hint="eastAsia" w:ascii="Times New Roman" w:hAnsi="Times New Roman" w:cs="Times New Roman"/>
                <w:color w:val="auto"/>
                <w:highlight w:val="none"/>
                <w:vertAlign w:val="baseline"/>
                <w:lang w:eastAsia="zh-CN"/>
              </w:rPr>
              <w:t>环境管理</w:t>
            </w:r>
          </w:p>
        </w:tc>
      </w:tr>
    </w:tbl>
    <w:p w14:paraId="0997ADD2">
      <w:pPr>
        <w:pStyle w:val="3"/>
        <w:rPr>
          <w:rFonts w:hint="eastAsia"/>
          <w:color w:val="auto"/>
          <w:highlight w:val="none"/>
        </w:rPr>
      </w:pPr>
      <w:r>
        <w:rPr>
          <w:rFonts w:hint="eastAsia"/>
          <w:color w:val="auto"/>
          <w:highlight w:val="none"/>
          <w:lang w:val="en-US" w:eastAsia="zh-CN"/>
        </w:rPr>
        <w:t>根据调查，本项目未对生活污水处理站进出口水质、厂界噪声、厂界无组织粉尘进行季度监测，本次环评要求，在后期对以上内容进行季度监测。</w:t>
      </w:r>
    </w:p>
    <w:p w14:paraId="0C6D82CB">
      <w:pPr>
        <w:pStyle w:val="43"/>
        <w:rPr>
          <w:color w:val="auto"/>
          <w:highlight w:val="none"/>
        </w:rPr>
      </w:pPr>
      <w:bookmarkStart w:id="240" w:name="_Toc23434"/>
      <w:bookmarkStart w:id="241" w:name="_Toc2457"/>
      <w:r>
        <w:rPr>
          <w:rFonts w:hint="eastAsia"/>
          <w:color w:val="auto"/>
          <w:highlight w:val="none"/>
          <w:lang w:eastAsia="zh-CN"/>
        </w:rPr>
        <w:t>原有</w:t>
      </w:r>
      <w:r>
        <w:rPr>
          <w:color w:val="auto"/>
          <w:highlight w:val="none"/>
        </w:rPr>
        <w:t>工程存在问题及</w:t>
      </w:r>
      <w:r>
        <w:rPr>
          <w:rFonts w:hint="eastAsia"/>
          <w:color w:val="auto"/>
          <w:highlight w:val="none"/>
        </w:rPr>
        <w:t>“</w:t>
      </w:r>
      <w:r>
        <w:rPr>
          <w:color w:val="auto"/>
          <w:highlight w:val="none"/>
        </w:rPr>
        <w:t>以新代老</w:t>
      </w:r>
      <w:r>
        <w:rPr>
          <w:rFonts w:hint="eastAsia"/>
          <w:color w:val="auto"/>
          <w:highlight w:val="none"/>
        </w:rPr>
        <w:t>”</w:t>
      </w:r>
      <w:r>
        <w:rPr>
          <w:color w:val="auto"/>
          <w:highlight w:val="none"/>
        </w:rPr>
        <w:t>措施</w:t>
      </w:r>
    </w:p>
    <w:p w14:paraId="102F7269">
      <w:pPr>
        <w:pStyle w:val="3"/>
        <w:ind w:firstLine="480"/>
        <w:rPr>
          <w:rFonts w:hint="default" w:eastAsia="华文中宋"/>
          <w:color w:val="auto"/>
          <w:highlight w:val="none"/>
          <w:lang w:val="en-US" w:eastAsia="zh-CN"/>
        </w:rPr>
      </w:pPr>
      <w:r>
        <w:rPr>
          <w:rFonts w:hint="eastAsia"/>
          <w:color w:val="auto"/>
          <w:highlight w:val="none"/>
          <w:lang w:eastAsia="zh-CN"/>
        </w:rPr>
        <w:t>（</w:t>
      </w:r>
      <w:r>
        <w:rPr>
          <w:rFonts w:hint="eastAsia"/>
          <w:color w:val="auto"/>
          <w:highlight w:val="none"/>
          <w:lang w:val="en-US" w:eastAsia="zh-CN"/>
        </w:rPr>
        <w:t>1）现有工程存在的问题</w:t>
      </w:r>
    </w:p>
    <w:p w14:paraId="12322036">
      <w:pPr>
        <w:pStyle w:val="3"/>
        <w:ind w:firstLine="480"/>
        <w:rPr>
          <w:rFonts w:hint="eastAsia"/>
          <w:color w:val="auto"/>
          <w:highlight w:val="none"/>
          <w:lang w:eastAsia="zh-CN"/>
        </w:rPr>
      </w:pPr>
      <w:r>
        <w:rPr>
          <w:rFonts w:hint="eastAsia"/>
          <w:color w:val="auto"/>
          <w:highlight w:val="none"/>
        </w:rPr>
        <w:t>由于改扩建工程已于2024年7月进行了开工建设，原有工程目</w:t>
      </w:r>
      <w:r>
        <w:rPr>
          <w:rFonts w:hint="eastAsia"/>
          <w:color w:val="auto"/>
          <w:highlight w:val="none"/>
          <w:lang w:eastAsia="zh-CN"/>
        </w:rPr>
        <w:t>前尚</w:t>
      </w:r>
      <w:r>
        <w:rPr>
          <w:rFonts w:hint="eastAsia"/>
          <w:color w:val="auto"/>
          <w:highlight w:val="none"/>
        </w:rPr>
        <w:t>未生产</w:t>
      </w:r>
      <w:r>
        <w:rPr>
          <w:rFonts w:hint="eastAsia"/>
          <w:color w:val="auto"/>
          <w:highlight w:val="none"/>
          <w:lang w:eastAsia="zh-CN"/>
        </w:rPr>
        <w:t>且</w:t>
      </w:r>
      <w:r>
        <w:rPr>
          <w:rFonts w:hint="eastAsia"/>
          <w:color w:val="auto"/>
          <w:highlight w:val="none"/>
        </w:rPr>
        <w:t>原有场地已因扩建工程的建设进行了扰动，本次根据调查</w:t>
      </w:r>
      <w:r>
        <w:rPr>
          <w:rFonts w:hint="eastAsia"/>
          <w:color w:val="auto"/>
          <w:highlight w:val="none"/>
          <w:lang w:eastAsia="zh-CN"/>
        </w:rPr>
        <w:t>现有工程存在的问题如下：</w:t>
      </w:r>
    </w:p>
    <w:p w14:paraId="26196692">
      <w:pPr>
        <w:pStyle w:val="3"/>
        <w:ind w:firstLine="480"/>
        <w:rPr>
          <w:rFonts w:hint="eastAsia"/>
          <w:color w:val="auto"/>
          <w:highlight w:val="none"/>
          <w:lang w:eastAsia="zh-CN"/>
        </w:rPr>
      </w:pPr>
      <w:r>
        <w:rPr>
          <w:rFonts w:hint="eastAsia" w:ascii="Times New Roman" w:hAnsi="Times New Roman" w:cs="Times New Roman"/>
          <w:color w:val="auto"/>
          <w:highlight w:val="none"/>
          <w:lang w:eastAsia="zh-CN"/>
        </w:rPr>
        <w:t>①根据原环评及批复文件，本项目污染物排放总量控制指标为S</w:t>
      </w:r>
      <w:r>
        <w:rPr>
          <w:rFonts w:hint="eastAsia" w:ascii="Times New Roman" w:hAnsi="Times New Roman" w:cs="Times New Roman"/>
          <w:color w:val="auto"/>
          <w:highlight w:val="none"/>
          <w:lang w:val="en-US" w:eastAsia="zh-CN"/>
        </w:rPr>
        <w:t>O</w:t>
      </w:r>
      <w:r>
        <w:rPr>
          <w:rFonts w:hint="eastAsia" w:ascii="Times New Roman" w:hAnsi="Times New Roman" w:cs="Times New Roman"/>
          <w:color w:val="auto"/>
          <w:highlight w:val="none"/>
          <w:vertAlign w:val="subscript"/>
          <w:lang w:val="en-US" w:eastAsia="zh-CN"/>
        </w:rPr>
        <w:t>2</w:t>
      </w:r>
      <w:r>
        <w:rPr>
          <w:rFonts w:hint="eastAsia" w:cs="Times New Roman"/>
          <w:color w:val="auto"/>
          <w:highlight w:val="none"/>
          <w:vertAlign w:val="subscript"/>
          <w:lang w:val="en-US" w:eastAsia="zh-CN"/>
        </w:rPr>
        <w:t>:</w:t>
      </w:r>
      <w:r>
        <w:rPr>
          <w:rFonts w:hint="eastAsia" w:ascii="Times New Roman" w:hAnsi="Times New Roman" w:cs="Times New Roman"/>
          <w:color w:val="auto"/>
          <w:highlight w:val="none"/>
          <w:lang w:eastAsia="zh-CN"/>
        </w:rPr>
        <w:t>7.7t/a、NO</w:t>
      </w:r>
      <w:r>
        <w:rPr>
          <w:rFonts w:hint="eastAsia" w:ascii="Times New Roman" w:hAnsi="Times New Roman" w:cs="Times New Roman"/>
          <w:color w:val="auto"/>
          <w:highlight w:val="none"/>
          <w:vertAlign w:val="subscript"/>
          <w:lang w:eastAsia="zh-CN"/>
        </w:rPr>
        <w:t>2</w:t>
      </w:r>
      <w:r>
        <w:rPr>
          <w:rFonts w:hint="eastAsia" w:cs="Times New Roman"/>
          <w:color w:val="auto"/>
          <w:highlight w:val="none"/>
          <w:vertAlign w:val="subscript"/>
          <w:lang w:eastAsia="zh-CN"/>
        </w:rPr>
        <w:t>:</w:t>
      </w:r>
      <w:r>
        <w:rPr>
          <w:rFonts w:hint="eastAsia" w:ascii="Times New Roman" w:hAnsi="Times New Roman" w:cs="Times New Roman"/>
          <w:color w:val="auto"/>
          <w:highlight w:val="none"/>
          <w:lang w:eastAsia="zh-CN"/>
        </w:rPr>
        <w:t>5.53t/a。根据调查，本项目未按照规定申请排污许可。</w:t>
      </w:r>
    </w:p>
    <w:p w14:paraId="3148F58B">
      <w:pPr>
        <w:pStyle w:val="3"/>
        <w:ind w:firstLine="480"/>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②生活区设有垃圾池，定期将生活垃圾、生活污水处理站污泥拉运往低洼处进行填埋</w:t>
      </w:r>
      <w:r>
        <w:rPr>
          <w:rFonts w:hint="eastAsia" w:cs="Times New Roman"/>
          <w:color w:val="auto"/>
          <w:highlight w:val="none"/>
          <w:lang w:eastAsia="zh-CN"/>
        </w:rPr>
        <w:t>，不符合环保要求</w:t>
      </w:r>
      <w:r>
        <w:rPr>
          <w:rFonts w:hint="eastAsia" w:ascii="Times New Roman" w:hAnsi="Times New Roman" w:cs="Times New Roman"/>
          <w:color w:val="auto"/>
          <w:highlight w:val="none"/>
          <w:lang w:eastAsia="zh-CN"/>
        </w:rPr>
        <w:t>；</w:t>
      </w:r>
    </w:p>
    <w:p w14:paraId="04C1DB8E">
      <w:pPr>
        <w:pStyle w:val="3"/>
        <w:ind w:firstLine="480"/>
        <w:rPr>
          <w:color w:val="auto"/>
          <w:highlight w:val="none"/>
        </w:rPr>
      </w:pPr>
      <w:r>
        <w:rPr>
          <w:rFonts w:hint="eastAsia" w:ascii="Times New Roman" w:hAnsi="Times New Roman" w:cs="Times New Roman"/>
          <w:color w:val="auto"/>
          <w:highlight w:val="none"/>
          <w:lang w:eastAsia="zh-CN"/>
        </w:rPr>
        <w:t>③</w:t>
      </w:r>
      <w:r>
        <w:rPr>
          <w:rFonts w:hint="eastAsia"/>
          <w:color w:val="auto"/>
          <w:highlight w:val="none"/>
          <w:lang w:val="en-US" w:eastAsia="zh-CN"/>
        </w:rPr>
        <w:t>根据调查，本项目未对生活污水处理站进出口水质、厂界噪声、厂界无组织粉尘进行季度监测；</w:t>
      </w:r>
    </w:p>
    <w:p w14:paraId="4685B488">
      <w:pPr>
        <w:pStyle w:val="3"/>
        <w:ind w:firstLine="480"/>
        <w:rPr>
          <w:rFonts w:hint="default"/>
          <w:color w:val="auto"/>
          <w:highlight w:val="none"/>
          <w:lang w:val="en-US" w:eastAsia="zh-CN"/>
        </w:rPr>
      </w:pPr>
      <w:r>
        <w:rPr>
          <w:rFonts w:hint="eastAsia"/>
          <w:color w:val="auto"/>
          <w:highlight w:val="none"/>
          <w:lang w:eastAsia="zh-CN"/>
        </w:rPr>
        <w:t>④未根据环评批复，编写突发环境事件应急预案；</w:t>
      </w:r>
    </w:p>
    <w:p w14:paraId="1E24826F">
      <w:pPr>
        <w:pStyle w:val="3"/>
        <w:ind w:firstLine="480"/>
        <w:rPr>
          <w:rFonts w:hint="eastAsia" w:eastAsia="华文中宋"/>
          <w:color w:val="auto"/>
          <w:highlight w:val="none"/>
          <w:lang w:eastAsia="zh-CN"/>
        </w:rPr>
      </w:pPr>
      <w:r>
        <w:rPr>
          <w:rFonts w:hint="eastAsia"/>
          <w:color w:val="auto"/>
          <w:highlight w:val="none"/>
          <w:lang w:eastAsia="zh-CN"/>
        </w:rPr>
        <w:t>⑤目前尾矿库服务期已满，但未</w:t>
      </w:r>
      <w:r>
        <w:rPr>
          <w:color w:val="auto"/>
          <w:highlight w:val="none"/>
        </w:rPr>
        <w:t>按《尾矿库闭库安全监督管理规定》</w:t>
      </w:r>
      <w:r>
        <w:rPr>
          <w:rFonts w:hint="eastAsia"/>
          <w:color w:val="auto"/>
          <w:highlight w:val="none"/>
          <w:lang w:eastAsia="zh-CN"/>
        </w:rPr>
        <w:t>进行闭库。</w:t>
      </w:r>
    </w:p>
    <w:p w14:paraId="31997830">
      <w:pPr>
        <w:pStyle w:val="3"/>
        <w:ind w:firstLine="480"/>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2）</w:t>
      </w:r>
      <w:r>
        <w:rPr>
          <w:rFonts w:hint="eastAsia" w:ascii="Times New Roman" w:hAnsi="Times New Roman" w:cs="Times New Roman"/>
          <w:color w:val="auto"/>
          <w:highlight w:val="none"/>
          <w:lang w:eastAsia="zh-CN"/>
        </w:rPr>
        <w:t>“以新代老”措施</w:t>
      </w:r>
    </w:p>
    <w:p w14:paraId="77F57BB9">
      <w:pPr>
        <w:pStyle w:val="3"/>
        <w:ind w:firstLine="480"/>
        <w:rPr>
          <w:rFonts w:hint="default"/>
          <w:color w:val="auto"/>
          <w:highlight w:val="none"/>
          <w:lang w:val="en-US" w:eastAsia="zh-CN"/>
        </w:rPr>
      </w:pPr>
      <w:r>
        <w:rPr>
          <w:rFonts w:hint="default"/>
          <w:color w:val="auto"/>
          <w:highlight w:val="none"/>
          <w:lang w:val="en-US" w:eastAsia="zh-CN"/>
        </w:rPr>
        <w:t>本次环评建议进一步完善以下工程：</w:t>
      </w:r>
    </w:p>
    <w:p w14:paraId="4A07B585">
      <w:pPr>
        <w:pStyle w:val="3"/>
        <w:ind w:firstLine="480"/>
        <w:rPr>
          <w:rFonts w:hint="default"/>
          <w:color w:val="auto"/>
          <w:highlight w:val="none"/>
          <w:lang w:val="en-US" w:eastAsia="zh-CN"/>
        </w:rPr>
      </w:pPr>
      <w:r>
        <w:rPr>
          <w:rFonts w:hint="eastAsia" w:ascii="Times New Roman" w:hAnsi="Times New Roman" w:cs="Times New Roman"/>
          <w:color w:val="auto"/>
          <w:highlight w:val="none"/>
          <w:lang w:eastAsia="zh-CN"/>
        </w:rPr>
        <w:t>①</w:t>
      </w:r>
      <w:r>
        <w:rPr>
          <w:rFonts w:hint="default"/>
          <w:color w:val="auto"/>
          <w:highlight w:val="none"/>
          <w:lang w:val="en-US" w:eastAsia="zh-CN"/>
        </w:rPr>
        <w:t>制定跟踪监测计划，定期对</w:t>
      </w:r>
      <w:r>
        <w:rPr>
          <w:rFonts w:hint="eastAsia"/>
          <w:color w:val="auto"/>
          <w:highlight w:val="none"/>
          <w:lang w:val="en-US" w:eastAsia="zh-CN"/>
        </w:rPr>
        <w:t>生活污水处理站进出口水质、厂界噪声、厂界无组织粉尘进行季度监测</w:t>
      </w:r>
      <w:r>
        <w:rPr>
          <w:rFonts w:hint="default"/>
          <w:color w:val="auto"/>
          <w:highlight w:val="none"/>
          <w:lang w:val="en-US" w:eastAsia="zh-CN"/>
        </w:rPr>
        <w:t>；</w:t>
      </w:r>
    </w:p>
    <w:p w14:paraId="39C927F0">
      <w:pPr>
        <w:pStyle w:val="3"/>
        <w:ind w:firstLine="480"/>
        <w:rPr>
          <w:rFonts w:hint="eastAsia"/>
          <w:color w:val="auto"/>
          <w:highlight w:val="none"/>
          <w:lang w:eastAsia="zh-CN"/>
        </w:rPr>
      </w:pPr>
      <w:r>
        <w:rPr>
          <w:rFonts w:hint="eastAsia" w:ascii="Times New Roman" w:hAnsi="Times New Roman" w:cs="Times New Roman"/>
          <w:color w:val="auto"/>
          <w:highlight w:val="none"/>
          <w:lang w:eastAsia="zh-CN"/>
        </w:rPr>
        <w:t>②生活垃圾集中收集后，</w:t>
      </w:r>
      <w:r>
        <w:rPr>
          <w:color w:val="auto"/>
          <w:highlight w:val="none"/>
        </w:rPr>
        <w:t>定期</w:t>
      </w:r>
      <w:r>
        <w:rPr>
          <w:rFonts w:hint="eastAsia"/>
          <w:color w:val="auto"/>
          <w:highlight w:val="none"/>
        </w:rPr>
        <w:t>清</w:t>
      </w:r>
      <w:r>
        <w:rPr>
          <w:color w:val="auto"/>
          <w:highlight w:val="none"/>
        </w:rPr>
        <w:t>运至哈拉峻乡谢依提村垃圾场填埋处理</w:t>
      </w:r>
      <w:r>
        <w:rPr>
          <w:rFonts w:hint="eastAsia"/>
          <w:color w:val="auto"/>
          <w:highlight w:val="none"/>
          <w:lang w:eastAsia="zh-CN"/>
        </w:rPr>
        <w:t>；</w:t>
      </w:r>
    </w:p>
    <w:p w14:paraId="170DC37E">
      <w:pPr>
        <w:pStyle w:val="3"/>
        <w:ind w:firstLine="480"/>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③本次环评要求，根据《排污许可管理条例》办理许可证。</w:t>
      </w:r>
    </w:p>
    <w:p w14:paraId="2ADA1B4C">
      <w:pPr>
        <w:pStyle w:val="3"/>
        <w:ind w:firstLine="480"/>
        <w:rPr>
          <w:rFonts w:hint="default"/>
          <w:color w:val="auto"/>
          <w:highlight w:val="none"/>
          <w:lang w:val="en-US" w:eastAsia="zh-CN"/>
        </w:rPr>
      </w:pPr>
      <w:r>
        <w:rPr>
          <w:rFonts w:hint="eastAsia"/>
          <w:color w:val="auto"/>
          <w:highlight w:val="none"/>
          <w:lang w:eastAsia="zh-CN"/>
        </w:rPr>
        <w:t>④项目经审批后，在项目投入生产前编制突发环境事件应急预案，并向当地生态环境部门备案；</w:t>
      </w:r>
    </w:p>
    <w:p w14:paraId="049AF227">
      <w:pPr>
        <w:pStyle w:val="3"/>
        <w:ind w:firstLine="480"/>
        <w:rPr>
          <w:rFonts w:hint="eastAsia" w:eastAsia="华文中宋"/>
          <w:color w:val="auto"/>
          <w:highlight w:val="none"/>
          <w:lang w:eastAsia="zh-CN"/>
        </w:rPr>
      </w:pPr>
      <w:r>
        <w:rPr>
          <w:rFonts w:hint="eastAsia"/>
          <w:color w:val="auto"/>
          <w:highlight w:val="none"/>
          <w:lang w:eastAsia="zh-CN"/>
        </w:rPr>
        <w:t>⑤建设单位应尽快</w:t>
      </w:r>
      <w:r>
        <w:rPr>
          <w:color w:val="auto"/>
          <w:highlight w:val="none"/>
        </w:rPr>
        <w:t>按</w:t>
      </w:r>
      <w:r>
        <w:rPr>
          <w:rFonts w:hint="eastAsia"/>
          <w:color w:val="auto"/>
          <w:highlight w:val="none"/>
          <w:lang w:eastAsia="zh-CN"/>
        </w:rPr>
        <w:t>照</w:t>
      </w:r>
      <w:r>
        <w:rPr>
          <w:color w:val="auto"/>
          <w:highlight w:val="none"/>
        </w:rPr>
        <w:t>《尾矿库闭库安全监督管理规定》</w:t>
      </w:r>
      <w:r>
        <w:rPr>
          <w:rFonts w:hint="eastAsia"/>
          <w:color w:val="auto"/>
          <w:highlight w:val="none"/>
          <w:lang w:eastAsia="zh-CN"/>
        </w:rPr>
        <w:t>要求进行闭库。</w:t>
      </w:r>
    </w:p>
    <w:p w14:paraId="13DAC0F0">
      <w:pPr>
        <w:pStyle w:val="3"/>
        <w:ind w:firstLine="480"/>
        <w:rPr>
          <w:rFonts w:hint="default"/>
          <w:color w:val="auto"/>
          <w:highlight w:val="none"/>
          <w:lang w:val="en-US" w:eastAsia="zh-CN"/>
        </w:rPr>
      </w:pPr>
      <w:r>
        <w:rPr>
          <w:rFonts w:hint="default"/>
          <w:color w:val="auto"/>
          <w:highlight w:val="none"/>
          <w:lang w:val="en-US" w:eastAsia="zh-CN"/>
        </w:rPr>
        <w:t>整改时限</w:t>
      </w:r>
      <w:r>
        <w:rPr>
          <w:rFonts w:hint="eastAsia"/>
          <w:color w:val="auto"/>
          <w:highlight w:val="none"/>
          <w:lang w:val="en-US" w:eastAsia="zh-CN"/>
        </w:rPr>
        <w:t>：</w:t>
      </w:r>
      <w:r>
        <w:rPr>
          <w:rFonts w:hint="default"/>
          <w:color w:val="auto"/>
          <w:highlight w:val="none"/>
          <w:lang w:val="en-US" w:eastAsia="zh-CN"/>
        </w:rPr>
        <w:t>在本次改扩建工程环评验收前完成整改，与改扩建工程一并验收。</w:t>
      </w:r>
    </w:p>
    <w:p w14:paraId="7C81B3B2">
      <w:pPr>
        <w:pStyle w:val="42"/>
        <w:rPr>
          <w:rFonts w:hint="default" w:ascii="Times New Roman" w:hAnsi="Times New Roman"/>
          <w:color w:val="auto"/>
          <w:highlight w:val="none"/>
          <w:lang w:val="en-US" w:eastAsia="zh-CN"/>
        </w:rPr>
      </w:pPr>
      <w:r>
        <w:rPr>
          <w:rFonts w:hint="default"/>
          <w:color w:val="auto"/>
          <w:highlight w:val="none"/>
          <w:lang w:val="en-US" w:eastAsia="zh-CN"/>
        </w:rPr>
        <w:t>“</w:t>
      </w:r>
      <w:r>
        <w:rPr>
          <w:rFonts w:hint="eastAsia"/>
          <w:color w:val="auto"/>
          <w:highlight w:val="none"/>
          <w:lang w:val="en-US" w:eastAsia="zh-CN"/>
        </w:rPr>
        <w:t>未批先建</w:t>
      </w:r>
      <w:r>
        <w:rPr>
          <w:rFonts w:hint="default"/>
          <w:color w:val="auto"/>
          <w:highlight w:val="none"/>
          <w:lang w:val="en-US" w:eastAsia="zh-CN"/>
        </w:rPr>
        <w:t>”</w:t>
      </w:r>
      <w:r>
        <w:rPr>
          <w:rFonts w:hint="default" w:ascii="Times New Roman" w:hAnsi="Times New Roman"/>
          <w:color w:val="auto"/>
          <w:highlight w:val="none"/>
          <w:lang w:val="en-US" w:eastAsia="zh-CN"/>
        </w:rPr>
        <w:t>工程概况</w:t>
      </w:r>
    </w:p>
    <w:p w14:paraId="2D399E17">
      <w:pPr>
        <w:pStyle w:val="3"/>
        <w:ind w:firstLine="480"/>
        <w:rPr>
          <w:color w:val="auto"/>
          <w:highlight w:val="none"/>
        </w:rPr>
      </w:pPr>
      <w:r>
        <w:rPr>
          <w:rFonts w:hint="eastAsia"/>
          <w:color w:val="auto"/>
          <w:highlight w:val="none"/>
        </w:rPr>
        <w:t>本项目于2024年7月开工建设，在未依法取得环境影响评价批准文件的情况下擅自开工建设，属于</w:t>
      </w:r>
      <w:r>
        <w:rPr>
          <w:rFonts w:hint="eastAsia"/>
          <w:color w:val="auto"/>
          <w:highlight w:val="none"/>
          <w:lang w:eastAsia="zh-CN"/>
        </w:rPr>
        <w:t>“</w:t>
      </w:r>
      <w:r>
        <w:rPr>
          <w:rFonts w:hint="eastAsia"/>
          <w:color w:val="auto"/>
          <w:highlight w:val="none"/>
        </w:rPr>
        <w:t>未批先建</w:t>
      </w:r>
      <w:r>
        <w:rPr>
          <w:rFonts w:hint="eastAsia"/>
          <w:color w:val="auto"/>
          <w:highlight w:val="none"/>
          <w:lang w:eastAsia="zh-CN"/>
        </w:rPr>
        <w:t>”</w:t>
      </w:r>
      <w:r>
        <w:rPr>
          <w:rFonts w:hint="eastAsia"/>
          <w:color w:val="auto"/>
          <w:highlight w:val="none"/>
        </w:rPr>
        <w:t>违法行为。2026年3月26日，克孜勒苏柯尔克孜自治州生态环境局以克环罚〔2026〕1号文对阿图什市环球矿业有限公司进行了行政处罚，处罚款260.75万元；同时对相关负责人进行了罚款处罚。2026年4月1日，阿图什市环球矿业有限公司及相关负责人已全额缴纳了罚款。</w:t>
      </w:r>
    </w:p>
    <w:p w14:paraId="2F5119B5">
      <w:pPr>
        <w:pStyle w:val="43"/>
        <w:rPr>
          <w:rFonts w:hint="default"/>
          <w:color w:val="auto"/>
          <w:highlight w:val="none"/>
          <w:lang w:val="en-US" w:eastAsia="zh-CN"/>
        </w:rPr>
      </w:pPr>
      <w:r>
        <w:rPr>
          <w:rFonts w:hint="default"/>
          <w:color w:val="auto"/>
          <w:highlight w:val="none"/>
          <w:lang w:val="en-US" w:eastAsia="zh-CN"/>
        </w:rPr>
        <w:t>扩建工程已建工程</w:t>
      </w:r>
      <w:r>
        <w:rPr>
          <w:rFonts w:hint="eastAsia"/>
          <w:color w:val="auto"/>
          <w:highlight w:val="none"/>
          <w:lang w:val="en-US" w:eastAsia="zh-CN"/>
        </w:rPr>
        <w:t>情况</w:t>
      </w:r>
    </w:p>
    <w:p w14:paraId="49245B9E">
      <w:pPr>
        <w:pStyle w:val="3"/>
        <w:ind w:firstLine="480"/>
        <w:rPr>
          <w:rFonts w:hint="eastAsia"/>
          <w:color w:val="auto"/>
          <w:highlight w:val="none"/>
          <w:lang w:val="en-US" w:eastAsia="zh-CN"/>
        </w:rPr>
      </w:pPr>
      <w:r>
        <w:rPr>
          <w:rFonts w:hint="eastAsia"/>
          <w:color w:val="auto"/>
          <w:highlight w:val="none"/>
          <w:lang w:val="en-US" w:eastAsia="zh-CN"/>
        </w:rPr>
        <w:t>根据现场调查，扩建工程尚未建设完成，目前已实施场地平整工程，并完成一期、二期车间主体框架搭建，其余建（构）筑物尚处于未建状态。</w:t>
      </w:r>
    </w:p>
    <w:p w14:paraId="06FFEE7C">
      <w:pPr>
        <w:pStyle w:val="43"/>
        <w:rPr>
          <w:rFonts w:hint="eastAsia" w:ascii="Times New Roman" w:hAnsi="Times New Roman" w:eastAsia="华文中宋" w:cstheme="minorBidi"/>
          <w:color w:val="auto"/>
          <w:sz w:val="24"/>
          <w:highlight w:val="none"/>
        </w:rPr>
      </w:pPr>
      <w:r>
        <w:rPr>
          <w:rFonts w:hint="eastAsia" w:cstheme="minorBidi"/>
          <w:color w:val="auto"/>
          <w:sz w:val="24"/>
          <w:highlight w:val="none"/>
          <w:lang w:eastAsia="zh-CN"/>
        </w:rPr>
        <w:t>“</w:t>
      </w:r>
      <w:r>
        <w:rPr>
          <w:rFonts w:hint="eastAsia" w:ascii="Times New Roman" w:hAnsi="Times New Roman" w:eastAsia="华文中宋" w:cstheme="minorBidi"/>
          <w:color w:val="auto"/>
          <w:sz w:val="24"/>
          <w:highlight w:val="none"/>
        </w:rPr>
        <w:t>未批先建</w:t>
      </w:r>
      <w:r>
        <w:rPr>
          <w:rFonts w:hint="eastAsia" w:cstheme="minorBidi"/>
          <w:color w:val="auto"/>
          <w:sz w:val="24"/>
          <w:highlight w:val="none"/>
          <w:lang w:eastAsia="zh-CN"/>
        </w:rPr>
        <w:t>”</w:t>
      </w:r>
      <w:r>
        <w:rPr>
          <w:rFonts w:hint="eastAsia" w:ascii="Times New Roman" w:hAnsi="Times New Roman" w:eastAsia="华文中宋" w:cstheme="minorBidi"/>
          <w:color w:val="auto"/>
          <w:sz w:val="24"/>
          <w:highlight w:val="none"/>
        </w:rPr>
        <w:t>环境损害评估及补救措施</w:t>
      </w:r>
    </w:p>
    <w:p w14:paraId="5B8192F8">
      <w:pPr>
        <w:pStyle w:val="3"/>
        <w:adjustRightInd w:val="0"/>
        <w:ind w:firstLine="480" w:firstLineChars="200"/>
        <w:rPr>
          <w:rFonts w:hint="default" w:ascii="Times New Roman" w:hAnsi="Times New Roman" w:eastAsia="华文中宋" w:cs="Times New Roman"/>
          <w:color w:val="auto"/>
          <w:sz w:val="24"/>
          <w:highlight w:val="none"/>
        </w:rPr>
      </w:pPr>
      <w:r>
        <w:rPr>
          <w:rFonts w:hint="eastAsia" w:cs="Times New Roman"/>
          <w:color w:val="auto"/>
          <w:sz w:val="24"/>
          <w:highlight w:val="none"/>
          <w:lang w:eastAsia="zh-CN"/>
        </w:rPr>
        <w:t>（</w:t>
      </w:r>
      <w:r>
        <w:rPr>
          <w:rFonts w:hint="eastAsia" w:cs="Times New Roman"/>
          <w:color w:val="auto"/>
          <w:sz w:val="24"/>
          <w:highlight w:val="none"/>
          <w:lang w:val="en-US" w:eastAsia="zh-CN"/>
        </w:rPr>
        <w:t>1）</w:t>
      </w:r>
      <w:r>
        <w:rPr>
          <w:rFonts w:hint="default" w:ascii="Times New Roman" w:hAnsi="Times New Roman" w:eastAsia="华文中宋" w:cs="Times New Roman"/>
          <w:color w:val="auto"/>
          <w:sz w:val="24"/>
          <w:highlight w:val="none"/>
        </w:rPr>
        <w:t>环境损害评估</w:t>
      </w:r>
    </w:p>
    <w:p w14:paraId="6CEEF8DC">
      <w:pPr>
        <w:pStyle w:val="3"/>
        <w:adjustRightInd w:val="0"/>
        <w:ind w:firstLine="480" w:firstLineChars="200"/>
        <w:rPr>
          <w:rFonts w:hint="default" w:ascii="Times New Roman" w:hAnsi="Times New Roman" w:eastAsia="华文中宋" w:cs="Times New Roman"/>
          <w:color w:val="auto"/>
          <w:sz w:val="24"/>
          <w:highlight w:val="none"/>
        </w:rPr>
      </w:pPr>
      <w:r>
        <w:rPr>
          <w:rFonts w:hint="eastAsia" w:cs="Times New Roman"/>
          <w:color w:val="auto"/>
          <w:sz w:val="24"/>
          <w:highlight w:val="none"/>
          <w:lang w:eastAsia="zh-CN"/>
        </w:rPr>
        <w:t>①</w:t>
      </w:r>
      <w:r>
        <w:rPr>
          <w:rFonts w:hint="default" w:ascii="Times New Roman" w:hAnsi="Times New Roman" w:eastAsia="华文中宋" w:cs="Times New Roman"/>
          <w:color w:val="auto"/>
          <w:sz w:val="24"/>
          <w:highlight w:val="none"/>
        </w:rPr>
        <w:t>大气环境损害</w:t>
      </w:r>
    </w:p>
    <w:p w14:paraId="26858334">
      <w:pPr>
        <w:pStyle w:val="3"/>
        <w:adjustRightInd w:val="0"/>
        <w:ind w:firstLine="480" w:firstLineChars="200"/>
        <w:rPr>
          <w:rFonts w:hint="default" w:ascii="Times New Roman" w:hAnsi="Times New Roman" w:eastAsia="华文中宋" w:cs="Times New Roman"/>
          <w:color w:val="auto"/>
          <w:sz w:val="24"/>
          <w:highlight w:val="none"/>
        </w:rPr>
      </w:pPr>
      <w:r>
        <w:rPr>
          <w:rFonts w:hint="default" w:ascii="Times New Roman" w:hAnsi="Times New Roman" w:eastAsia="华文中宋" w:cs="Times New Roman"/>
          <w:color w:val="auto"/>
          <w:sz w:val="24"/>
          <w:highlight w:val="none"/>
        </w:rPr>
        <w:t xml:space="preserve">建设期间施工扬尘对施工场地及周边约200m范围内大气环境造成了一定影响，主要表现为TSP浓度短期升高。但由于项目所在区域为裸岩石砾地，植被覆盖度低，自然本底扬尘本底值较高，且施工扬尘影响具有临时性，施工活动停止后影响可自然消除。经现场监测，施工场界外TSP浓度满足标准要求，大气环境损害程度较轻。 </w:t>
      </w:r>
    </w:p>
    <w:p w14:paraId="25D38A02">
      <w:pPr>
        <w:pStyle w:val="3"/>
        <w:adjustRightInd w:val="0"/>
        <w:ind w:firstLine="480" w:firstLineChars="200"/>
        <w:rPr>
          <w:rFonts w:hint="default" w:ascii="Times New Roman" w:hAnsi="Times New Roman" w:eastAsia="华文中宋" w:cs="Times New Roman"/>
          <w:color w:val="auto"/>
          <w:sz w:val="24"/>
          <w:highlight w:val="none"/>
        </w:rPr>
      </w:pPr>
      <w:r>
        <w:rPr>
          <w:rFonts w:hint="eastAsia" w:cs="Times New Roman"/>
          <w:color w:val="auto"/>
          <w:sz w:val="24"/>
          <w:highlight w:val="none"/>
          <w:lang w:eastAsia="zh-CN"/>
        </w:rPr>
        <w:t>②</w:t>
      </w:r>
      <w:r>
        <w:rPr>
          <w:rFonts w:hint="default" w:ascii="Times New Roman" w:hAnsi="Times New Roman" w:eastAsia="华文中宋" w:cs="Times New Roman"/>
          <w:color w:val="auto"/>
          <w:sz w:val="24"/>
          <w:highlight w:val="none"/>
        </w:rPr>
        <w:t>水环境损害</w:t>
      </w:r>
    </w:p>
    <w:p w14:paraId="60E48328">
      <w:pPr>
        <w:pStyle w:val="3"/>
        <w:adjustRightInd w:val="0"/>
        <w:ind w:firstLine="480" w:firstLineChars="200"/>
        <w:rPr>
          <w:rFonts w:hint="default" w:ascii="Times New Roman" w:hAnsi="Times New Roman" w:eastAsia="华文中宋" w:cs="Times New Roman"/>
          <w:color w:val="auto"/>
          <w:sz w:val="24"/>
          <w:highlight w:val="none"/>
        </w:rPr>
      </w:pPr>
      <w:r>
        <w:rPr>
          <w:rFonts w:hint="default" w:ascii="Times New Roman" w:hAnsi="Times New Roman" w:eastAsia="华文中宋" w:cs="Times New Roman"/>
          <w:color w:val="auto"/>
          <w:sz w:val="24"/>
          <w:highlight w:val="none"/>
        </w:rPr>
        <w:t>施工废水经沉淀处理后全部回用，生活污水经化粪池处理后用于</w:t>
      </w:r>
      <w:r>
        <w:rPr>
          <w:rFonts w:hint="eastAsia" w:cs="Times New Roman"/>
          <w:color w:val="auto"/>
          <w:sz w:val="24"/>
          <w:highlight w:val="none"/>
          <w:lang w:eastAsia="zh-CN"/>
        </w:rPr>
        <w:t>降尘洒水、</w:t>
      </w:r>
      <w:r>
        <w:rPr>
          <w:rFonts w:hint="default" w:ascii="Times New Roman" w:hAnsi="Times New Roman" w:eastAsia="华文中宋" w:cs="Times New Roman"/>
          <w:color w:val="auto"/>
          <w:sz w:val="24"/>
          <w:highlight w:val="none"/>
        </w:rPr>
        <w:t>绿化，均未外排。经监测，项目区周边地下水水质满足《地下水质量标准》（GB/T14848-2017）Ⅲ类标准要求。</w:t>
      </w:r>
    </w:p>
    <w:p w14:paraId="26E8A2E5">
      <w:pPr>
        <w:pStyle w:val="3"/>
        <w:ind w:firstLine="480"/>
        <w:rPr>
          <w:color w:val="auto"/>
          <w:highlight w:val="none"/>
        </w:rPr>
      </w:pPr>
      <w:r>
        <w:rPr>
          <w:rFonts w:hint="eastAsia"/>
          <w:color w:val="auto"/>
          <w:highlight w:val="none"/>
          <w:lang w:eastAsia="zh-CN"/>
        </w:rPr>
        <w:t>经监测，</w:t>
      </w:r>
      <w:r>
        <w:rPr>
          <w:rFonts w:hint="eastAsia"/>
          <w:color w:val="auto"/>
          <w:highlight w:val="none"/>
        </w:rPr>
        <w:t>项目区河流上游和下游总氮超标分别为</w:t>
      </w:r>
      <w:r>
        <w:rPr>
          <w:rFonts w:hint="eastAsia"/>
          <w:color w:val="auto"/>
          <w:highlight w:val="none"/>
          <w:lang w:val="en-US" w:eastAsia="zh-CN"/>
        </w:rPr>
        <w:t>0.44</w:t>
      </w:r>
      <w:r>
        <w:rPr>
          <w:rFonts w:hint="eastAsia"/>
          <w:color w:val="auto"/>
          <w:highlight w:val="none"/>
        </w:rPr>
        <w:t>倍、</w:t>
      </w:r>
      <w:r>
        <w:rPr>
          <w:rFonts w:hint="eastAsia"/>
          <w:color w:val="auto"/>
          <w:highlight w:val="none"/>
          <w:lang w:val="en-US" w:eastAsia="zh-CN"/>
        </w:rPr>
        <w:t>0.74</w:t>
      </w:r>
      <w:r>
        <w:rPr>
          <w:rFonts w:hint="eastAsia"/>
          <w:color w:val="auto"/>
          <w:highlight w:val="none"/>
        </w:rPr>
        <w:t>倍，其他监测指标均符合</w:t>
      </w:r>
      <w:r>
        <w:rPr>
          <w:color w:val="auto"/>
          <w:highlight w:val="none"/>
        </w:rPr>
        <w:t>《地表水环境质量标准》（GB3838-2002）Ⅱ类标准</w:t>
      </w:r>
      <w:r>
        <w:rPr>
          <w:rFonts w:hint="eastAsia"/>
          <w:color w:val="auto"/>
          <w:highlight w:val="none"/>
        </w:rPr>
        <w:t>，</w:t>
      </w:r>
      <w:r>
        <w:rPr>
          <w:rFonts w:hint="eastAsia"/>
          <w:color w:val="auto"/>
          <w:highlight w:val="none"/>
          <w:lang w:eastAsia="zh-CN"/>
        </w:rPr>
        <w:t>经现场调查，本项目建设生产废水、生活污水经处理后全部综合利用，无外排，下游监测点距离村庄（</w:t>
      </w:r>
      <w:r>
        <w:rPr>
          <w:rFonts w:hint="default" w:ascii="Times New Roman" w:hAnsi="Times New Roman" w:eastAsia="华文中宋" w:cs="Times New Roman"/>
          <w:color w:val="auto"/>
          <w:kern w:val="0"/>
          <w:sz w:val="24"/>
          <w:highlight w:val="none"/>
          <w:lang w:eastAsia="zh-CN"/>
        </w:rPr>
        <w:t>哈拉峻乡</w:t>
      </w:r>
      <w:r>
        <w:rPr>
          <w:rFonts w:hint="default" w:ascii="Times New Roman" w:hAnsi="Times New Roman" w:eastAsia="华文中宋" w:cs="Times New Roman"/>
          <w:color w:val="auto"/>
          <w:kern w:val="0"/>
          <w:sz w:val="24"/>
          <w:highlight w:val="none"/>
          <w:lang w:val="en-US" w:eastAsia="zh-CN"/>
        </w:rPr>
        <w:t>阿亚克苏洪</w:t>
      </w:r>
      <w:r>
        <w:rPr>
          <w:rFonts w:hint="default" w:ascii="Times New Roman" w:hAnsi="Times New Roman" w:eastAsia="华文中宋" w:cs="Times New Roman"/>
          <w:color w:val="auto"/>
          <w:kern w:val="0"/>
          <w:sz w:val="24"/>
          <w:highlight w:val="none"/>
          <w:lang w:eastAsia="zh-CN"/>
        </w:rPr>
        <w:t>村</w:t>
      </w:r>
      <w:r>
        <w:rPr>
          <w:rFonts w:hint="eastAsia"/>
          <w:color w:val="auto"/>
          <w:highlight w:val="none"/>
          <w:lang w:eastAsia="zh-CN"/>
        </w:rPr>
        <w:t>）较近，</w:t>
      </w:r>
      <w:r>
        <w:rPr>
          <w:color w:val="auto"/>
          <w:highlight w:val="none"/>
        </w:rPr>
        <w:t>总氮超标可能与</w:t>
      </w:r>
      <w:r>
        <w:rPr>
          <w:rFonts w:hint="eastAsia"/>
          <w:color w:val="auto"/>
          <w:highlight w:val="none"/>
          <w:lang w:eastAsia="zh-CN"/>
        </w:rPr>
        <w:t>项目区周边</w:t>
      </w:r>
      <w:r>
        <w:rPr>
          <w:color w:val="auto"/>
          <w:highlight w:val="none"/>
        </w:rPr>
        <w:t>放牧</w:t>
      </w:r>
      <w:r>
        <w:rPr>
          <w:rFonts w:hint="eastAsia"/>
          <w:color w:val="auto"/>
          <w:highlight w:val="none"/>
          <w:lang w:eastAsia="zh-CN"/>
        </w:rPr>
        <w:t>及村民</w:t>
      </w:r>
      <w:r>
        <w:rPr>
          <w:color w:val="auto"/>
          <w:highlight w:val="none"/>
        </w:rPr>
        <w:t>活动有关</w:t>
      </w:r>
      <w:r>
        <w:rPr>
          <w:rFonts w:hint="eastAsia"/>
          <w:color w:val="auto"/>
          <w:highlight w:val="none"/>
        </w:rPr>
        <w:t>。</w:t>
      </w:r>
    </w:p>
    <w:p w14:paraId="3E8D2726">
      <w:pPr>
        <w:pStyle w:val="3"/>
        <w:adjustRightInd w:val="0"/>
        <w:ind w:firstLine="480" w:firstLineChars="200"/>
        <w:rPr>
          <w:rFonts w:hint="default" w:ascii="Times New Roman" w:hAnsi="Times New Roman" w:eastAsia="华文中宋" w:cs="Times New Roman"/>
          <w:color w:val="auto"/>
          <w:sz w:val="24"/>
          <w:highlight w:val="none"/>
        </w:rPr>
      </w:pPr>
      <w:r>
        <w:rPr>
          <w:rFonts w:hint="eastAsia" w:cs="Times New Roman"/>
          <w:color w:val="auto"/>
          <w:sz w:val="24"/>
          <w:highlight w:val="none"/>
          <w:lang w:eastAsia="zh-CN"/>
        </w:rPr>
        <w:t>项目建设</w:t>
      </w:r>
      <w:r>
        <w:rPr>
          <w:rFonts w:hint="default" w:ascii="Times New Roman" w:hAnsi="Times New Roman" w:eastAsia="华文中宋" w:cs="Times New Roman"/>
          <w:color w:val="auto"/>
          <w:sz w:val="24"/>
          <w:highlight w:val="none"/>
        </w:rPr>
        <w:t>未对地表水体和地下水环境造成不利影响。</w:t>
      </w:r>
    </w:p>
    <w:p w14:paraId="64B23E90">
      <w:pPr>
        <w:pStyle w:val="3"/>
        <w:adjustRightInd w:val="0"/>
        <w:ind w:firstLine="480" w:firstLineChars="200"/>
        <w:rPr>
          <w:rFonts w:hint="default" w:ascii="Times New Roman" w:hAnsi="Times New Roman" w:eastAsia="华文中宋" w:cs="Times New Roman"/>
          <w:color w:val="auto"/>
          <w:sz w:val="24"/>
          <w:highlight w:val="none"/>
        </w:rPr>
      </w:pPr>
      <w:r>
        <w:rPr>
          <w:rFonts w:hint="eastAsia" w:cs="Times New Roman"/>
          <w:color w:val="auto"/>
          <w:sz w:val="24"/>
          <w:highlight w:val="none"/>
          <w:lang w:eastAsia="zh-CN"/>
        </w:rPr>
        <w:t>③</w:t>
      </w:r>
      <w:r>
        <w:rPr>
          <w:rFonts w:hint="default" w:ascii="Times New Roman" w:hAnsi="Times New Roman" w:eastAsia="华文中宋" w:cs="Times New Roman"/>
          <w:color w:val="auto"/>
          <w:sz w:val="24"/>
          <w:highlight w:val="none"/>
        </w:rPr>
        <w:t>土壤环境损害</w:t>
      </w:r>
    </w:p>
    <w:p w14:paraId="76E5C4E5">
      <w:pPr>
        <w:pStyle w:val="3"/>
        <w:adjustRightInd w:val="0"/>
        <w:ind w:firstLine="480" w:firstLineChars="200"/>
        <w:rPr>
          <w:rFonts w:hint="eastAsia" w:ascii="Times New Roman" w:hAnsi="Times New Roman" w:eastAsia="华文中宋" w:cs="Times New Roman"/>
          <w:color w:val="auto"/>
          <w:sz w:val="24"/>
          <w:highlight w:val="none"/>
        </w:rPr>
      </w:pPr>
      <w:r>
        <w:rPr>
          <w:rFonts w:hint="default" w:ascii="Times New Roman" w:hAnsi="Times New Roman" w:eastAsia="华文中宋" w:cs="Times New Roman"/>
          <w:color w:val="auto"/>
          <w:sz w:val="24"/>
          <w:highlight w:val="none"/>
        </w:rPr>
        <w:t>经第三方检测机构监测，</w:t>
      </w:r>
      <w:r>
        <w:rPr>
          <w:rFonts w:hint="eastAsia" w:cs="Times New Roman"/>
          <w:color w:val="auto"/>
          <w:sz w:val="24"/>
          <w:highlight w:val="none"/>
          <w:lang w:eastAsia="zh-CN"/>
        </w:rPr>
        <w:t>厂区</w:t>
      </w:r>
      <w:r>
        <w:rPr>
          <w:rFonts w:hint="default" w:ascii="Times New Roman" w:hAnsi="Times New Roman" w:eastAsia="华文中宋" w:cs="Times New Roman"/>
          <w:color w:val="auto"/>
          <w:sz w:val="24"/>
          <w:highlight w:val="none"/>
        </w:rPr>
        <w:t>内土壤各项指标均满足《土壤环境质量 建设用地土壤污染风险管控标准（试行）》（GB36600-2018）第二类用地风险筛选值要求</w:t>
      </w:r>
      <w:r>
        <w:rPr>
          <w:rFonts w:hint="eastAsia" w:cs="Times New Roman"/>
          <w:color w:val="auto"/>
          <w:sz w:val="24"/>
          <w:highlight w:val="none"/>
          <w:lang w:eastAsia="zh-CN"/>
        </w:rPr>
        <w:t>，项目建设未导致区域土壤环境的恶化。</w:t>
      </w:r>
    </w:p>
    <w:p w14:paraId="277DF5B5">
      <w:pPr>
        <w:pStyle w:val="3"/>
        <w:adjustRightInd w:val="0"/>
        <w:ind w:firstLine="480" w:firstLineChars="200"/>
        <w:rPr>
          <w:rFonts w:hint="default" w:ascii="Times New Roman" w:hAnsi="Times New Roman" w:eastAsia="华文中宋" w:cs="Times New Roman"/>
          <w:color w:val="auto"/>
          <w:sz w:val="24"/>
          <w:highlight w:val="none"/>
        </w:rPr>
      </w:pPr>
      <w:r>
        <w:rPr>
          <w:rFonts w:hint="eastAsia" w:cs="Times New Roman"/>
          <w:color w:val="auto"/>
          <w:sz w:val="24"/>
          <w:highlight w:val="none"/>
          <w:lang w:eastAsia="zh-CN"/>
        </w:rPr>
        <w:t>④</w:t>
      </w:r>
      <w:r>
        <w:rPr>
          <w:rFonts w:hint="default" w:ascii="Times New Roman" w:hAnsi="Times New Roman" w:eastAsia="华文中宋" w:cs="Times New Roman"/>
          <w:color w:val="auto"/>
          <w:sz w:val="24"/>
          <w:highlight w:val="none"/>
        </w:rPr>
        <w:t>生态环境损害</w:t>
      </w:r>
    </w:p>
    <w:p w14:paraId="6622A7AE">
      <w:pPr>
        <w:pStyle w:val="3"/>
        <w:adjustRightInd w:val="0"/>
        <w:ind w:firstLine="480" w:firstLineChars="200"/>
        <w:rPr>
          <w:rFonts w:hint="default" w:ascii="Times New Roman" w:hAnsi="Times New Roman" w:eastAsia="华文中宋" w:cs="Times New Roman"/>
          <w:color w:val="auto"/>
          <w:sz w:val="24"/>
          <w:highlight w:val="none"/>
        </w:rPr>
      </w:pPr>
      <w:r>
        <w:rPr>
          <w:rFonts w:hint="default" w:ascii="Times New Roman" w:hAnsi="Times New Roman" w:eastAsia="华文中宋" w:cs="Times New Roman"/>
          <w:color w:val="auto"/>
          <w:sz w:val="24"/>
          <w:highlight w:val="none"/>
        </w:rPr>
        <w:t>违法建设期间永久占地和临时占地共约</w:t>
      </w:r>
      <w:r>
        <w:rPr>
          <w:rFonts w:hint="eastAsia" w:cs="Times New Roman"/>
          <w:color w:val="auto"/>
          <w:sz w:val="24"/>
          <w:highlight w:val="none"/>
          <w:lang w:eastAsia="zh-CN"/>
        </w:rPr>
        <w:t>3</w:t>
      </w:r>
      <w:r>
        <w:rPr>
          <w:rFonts w:hint="eastAsia" w:cs="Times New Roman"/>
          <w:color w:val="auto"/>
          <w:sz w:val="24"/>
          <w:highlight w:val="none"/>
          <w:lang w:val="en-US" w:eastAsia="zh-CN"/>
        </w:rPr>
        <w:t>9.388</w:t>
      </w:r>
      <w:r>
        <w:rPr>
          <w:rFonts w:hint="default" w:ascii="Times New Roman" w:hAnsi="Times New Roman" w:eastAsia="华文中宋" w:cs="Times New Roman"/>
          <w:color w:val="auto"/>
          <w:sz w:val="24"/>
          <w:highlight w:val="none"/>
        </w:rPr>
        <w:t>hm</w:t>
      </w:r>
      <w:r>
        <w:rPr>
          <w:rFonts w:hint="eastAsia" w:cs="Times New Roman"/>
          <w:color w:val="auto"/>
          <w:sz w:val="24"/>
          <w:highlight w:val="none"/>
          <w:vertAlign w:val="superscript"/>
          <w:lang w:val="en-US" w:eastAsia="zh-CN"/>
        </w:rPr>
        <w:t>2</w:t>
      </w:r>
      <w:r>
        <w:rPr>
          <w:rFonts w:hint="default" w:ascii="Times New Roman" w:hAnsi="Times New Roman" w:eastAsia="华文中宋" w:cs="Times New Roman"/>
          <w:color w:val="auto"/>
          <w:sz w:val="24"/>
          <w:highlight w:val="none"/>
        </w:rPr>
        <w:t xml:space="preserve">，主要占用裸岩石砾地和工矿用地，原生植被覆盖度极低（约5%～10%），生物量损失较小。施工扰动造成局部地表植被破坏和水土流失，但影响范围有限、程度较轻。未发现施工活动对周边野生动植物造成显著不利影响。 </w:t>
      </w:r>
    </w:p>
    <w:p w14:paraId="6AD91980">
      <w:pPr>
        <w:pStyle w:val="3"/>
        <w:adjustRightInd w:val="0"/>
        <w:ind w:firstLine="480" w:firstLineChars="200"/>
        <w:rPr>
          <w:rFonts w:hint="default" w:ascii="Times New Roman" w:hAnsi="Times New Roman" w:eastAsia="华文中宋" w:cs="Times New Roman"/>
          <w:color w:val="auto"/>
          <w:sz w:val="24"/>
          <w:highlight w:val="none"/>
        </w:rPr>
      </w:pPr>
      <w:r>
        <w:rPr>
          <w:rFonts w:hint="eastAsia" w:cs="Times New Roman"/>
          <w:color w:val="auto"/>
          <w:sz w:val="24"/>
          <w:highlight w:val="none"/>
          <w:lang w:eastAsia="zh-CN"/>
        </w:rPr>
        <w:t>⑤</w:t>
      </w:r>
      <w:r>
        <w:rPr>
          <w:rFonts w:hint="default" w:ascii="Times New Roman" w:hAnsi="Times New Roman" w:eastAsia="华文中宋" w:cs="Times New Roman"/>
          <w:color w:val="auto"/>
          <w:sz w:val="24"/>
          <w:highlight w:val="none"/>
        </w:rPr>
        <w:t>声环境损害</w:t>
      </w:r>
    </w:p>
    <w:p w14:paraId="27335A67">
      <w:pPr>
        <w:pStyle w:val="3"/>
        <w:adjustRightInd w:val="0"/>
        <w:ind w:firstLine="480" w:firstLineChars="200"/>
        <w:rPr>
          <w:rFonts w:hint="default" w:ascii="Times New Roman" w:hAnsi="Times New Roman" w:eastAsia="华文中宋" w:cs="Times New Roman"/>
          <w:color w:val="auto"/>
          <w:sz w:val="24"/>
          <w:highlight w:val="none"/>
        </w:rPr>
      </w:pPr>
      <w:r>
        <w:rPr>
          <w:rFonts w:hint="default" w:ascii="Times New Roman" w:hAnsi="Times New Roman" w:eastAsia="华文中宋" w:cs="Times New Roman"/>
          <w:color w:val="auto"/>
          <w:sz w:val="24"/>
          <w:highlight w:val="none"/>
        </w:rPr>
        <w:t>施工噪声具有临时性和阶段性，经距离衰减后，施工场界噪声满足标准要求，未收到周边居民噪声投诉。声环境损害程度极轻。</w:t>
      </w:r>
    </w:p>
    <w:p w14:paraId="49BEFA52">
      <w:pPr>
        <w:pStyle w:val="3"/>
        <w:adjustRightInd w:val="0"/>
        <w:ind w:firstLine="480" w:firstLineChars="200"/>
        <w:rPr>
          <w:rFonts w:hint="default" w:ascii="Times New Roman" w:hAnsi="Times New Roman" w:eastAsia="华文中宋" w:cs="Times New Roman"/>
          <w:color w:val="auto"/>
          <w:sz w:val="24"/>
          <w:highlight w:val="none"/>
        </w:rPr>
      </w:pPr>
      <w:r>
        <w:rPr>
          <w:rFonts w:hint="default" w:ascii="Times New Roman" w:hAnsi="Times New Roman" w:eastAsia="华文中宋" w:cs="Times New Roman"/>
          <w:color w:val="auto"/>
          <w:sz w:val="24"/>
          <w:highlight w:val="none"/>
        </w:rPr>
        <w:t>本项目</w:t>
      </w:r>
      <w:r>
        <w:rPr>
          <w:rFonts w:hint="eastAsia" w:cs="Times New Roman"/>
          <w:color w:val="auto"/>
          <w:sz w:val="24"/>
          <w:highlight w:val="none"/>
          <w:lang w:eastAsia="zh-CN"/>
        </w:rPr>
        <w:t>“</w:t>
      </w:r>
      <w:r>
        <w:rPr>
          <w:rFonts w:hint="default" w:ascii="Times New Roman" w:hAnsi="Times New Roman" w:eastAsia="华文中宋" w:cs="Times New Roman"/>
          <w:color w:val="auto"/>
          <w:sz w:val="24"/>
          <w:highlight w:val="none"/>
        </w:rPr>
        <w:t>未批先建</w:t>
      </w:r>
      <w:r>
        <w:rPr>
          <w:rFonts w:hint="eastAsia" w:cs="Times New Roman"/>
          <w:color w:val="auto"/>
          <w:sz w:val="24"/>
          <w:highlight w:val="none"/>
          <w:lang w:eastAsia="zh-CN"/>
        </w:rPr>
        <w:t>”</w:t>
      </w:r>
      <w:r>
        <w:rPr>
          <w:rFonts w:hint="default" w:ascii="Times New Roman" w:hAnsi="Times New Roman" w:eastAsia="华文中宋" w:cs="Times New Roman"/>
          <w:color w:val="auto"/>
          <w:sz w:val="24"/>
          <w:highlight w:val="none"/>
        </w:rPr>
        <w:t>违法行为期间，由于项目尚处于施工建设阶段，未投入生产运营，主要环境影响为施工期临时性影响。经现场调查和第三方监测，施工活动对大气、水、土壤、生态和声环境的影响程度均较轻，未造成不可逆的环境损害。施工期间产生的环境影响大部分已在施工活动结束后自然恢复，剩余影响可通过实施生态破坏恢复整改方案予以消除。</w:t>
      </w:r>
    </w:p>
    <w:p w14:paraId="1D33E325">
      <w:pPr>
        <w:pStyle w:val="3"/>
        <w:adjustRightInd w:val="0"/>
        <w:ind w:firstLine="480" w:firstLineChars="200"/>
        <w:rPr>
          <w:rFonts w:hint="default" w:ascii="Times New Roman" w:hAnsi="Times New Roman" w:eastAsia="华文中宋" w:cs="Times New Roman"/>
          <w:color w:val="auto"/>
          <w:sz w:val="24"/>
          <w:highlight w:val="none"/>
        </w:rPr>
      </w:pPr>
      <w:r>
        <w:rPr>
          <w:rFonts w:hint="eastAsia" w:cs="Times New Roman"/>
          <w:color w:val="auto"/>
          <w:sz w:val="24"/>
          <w:highlight w:val="none"/>
          <w:lang w:eastAsia="zh-CN"/>
        </w:rPr>
        <w:t>（</w:t>
      </w:r>
      <w:r>
        <w:rPr>
          <w:rFonts w:hint="eastAsia" w:cs="Times New Roman"/>
          <w:color w:val="auto"/>
          <w:sz w:val="24"/>
          <w:highlight w:val="none"/>
          <w:lang w:val="en-US" w:eastAsia="zh-CN"/>
        </w:rPr>
        <w:t>2</w:t>
      </w:r>
      <w:r>
        <w:rPr>
          <w:rFonts w:hint="eastAsia" w:cs="Times New Roman"/>
          <w:color w:val="auto"/>
          <w:sz w:val="24"/>
          <w:highlight w:val="none"/>
          <w:lang w:eastAsia="zh-CN"/>
        </w:rPr>
        <w:t>）整改</w:t>
      </w:r>
      <w:r>
        <w:rPr>
          <w:rFonts w:hint="default" w:ascii="Times New Roman" w:hAnsi="Times New Roman" w:eastAsia="华文中宋" w:cs="Times New Roman"/>
          <w:color w:val="auto"/>
          <w:sz w:val="24"/>
          <w:highlight w:val="none"/>
        </w:rPr>
        <w:t>措施</w:t>
      </w:r>
    </w:p>
    <w:p w14:paraId="28051BFD">
      <w:pPr>
        <w:pStyle w:val="3"/>
        <w:adjustRightInd w:val="0"/>
        <w:ind w:firstLine="480" w:firstLineChars="200"/>
        <w:rPr>
          <w:rFonts w:hint="default" w:ascii="Times New Roman" w:hAnsi="Times New Roman" w:eastAsia="华文中宋" w:cs="Times New Roman"/>
          <w:color w:val="auto"/>
          <w:sz w:val="24"/>
          <w:highlight w:val="none"/>
          <w:lang w:val="en-US" w:eastAsia="zh-CN"/>
        </w:rPr>
      </w:pPr>
      <w:r>
        <w:rPr>
          <w:rFonts w:hint="eastAsia" w:cs="Times New Roman"/>
          <w:color w:val="auto"/>
          <w:sz w:val="24"/>
          <w:highlight w:val="none"/>
          <w:lang w:eastAsia="zh-CN"/>
        </w:rPr>
        <w:t>①</w:t>
      </w:r>
      <w:r>
        <w:rPr>
          <w:rFonts w:hint="default" w:ascii="Times New Roman" w:hAnsi="Times New Roman" w:eastAsia="华文中宋" w:cs="Times New Roman"/>
          <w:color w:val="auto"/>
          <w:sz w:val="24"/>
          <w:highlight w:val="none"/>
        </w:rPr>
        <w:t>行政处罚已执行</w:t>
      </w:r>
    </w:p>
    <w:p w14:paraId="40DC4B5C">
      <w:pPr>
        <w:pStyle w:val="3"/>
        <w:adjustRightInd w:val="0"/>
        <w:ind w:firstLine="480" w:firstLineChars="200"/>
        <w:rPr>
          <w:rFonts w:hint="default" w:ascii="Times New Roman" w:hAnsi="Times New Roman" w:eastAsia="华文中宋" w:cs="Times New Roman"/>
          <w:color w:val="auto"/>
          <w:sz w:val="24"/>
          <w:highlight w:val="none"/>
        </w:rPr>
      </w:pPr>
      <w:r>
        <w:rPr>
          <w:rFonts w:hint="default" w:ascii="Times New Roman" w:hAnsi="Times New Roman" w:eastAsia="华文中宋" w:cs="Times New Roman"/>
          <w:color w:val="auto"/>
          <w:sz w:val="24"/>
          <w:highlight w:val="none"/>
        </w:rPr>
        <w:t>建设单位已按克环罚〔2026〕1号文要求全额缴纳罚款260.75万元及相关负责人罚款，行政处罚已执行完毕。</w:t>
      </w:r>
    </w:p>
    <w:p w14:paraId="39641960">
      <w:pPr>
        <w:pStyle w:val="3"/>
        <w:adjustRightInd w:val="0"/>
        <w:ind w:firstLine="480" w:firstLineChars="200"/>
        <w:rPr>
          <w:rFonts w:hint="default" w:ascii="Times New Roman" w:hAnsi="Times New Roman" w:eastAsia="华文中宋" w:cs="Times New Roman"/>
          <w:color w:val="auto"/>
          <w:sz w:val="24"/>
          <w:highlight w:val="none"/>
        </w:rPr>
      </w:pPr>
      <w:r>
        <w:rPr>
          <w:rFonts w:hint="eastAsia" w:cs="Times New Roman"/>
          <w:color w:val="auto"/>
          <w:sz w:val="24"/>
          <w:highlight w:val="none"/>
          <w:lang w:eastAsia="zh-CN"/>
        </w:rPr>
        <w:t>②</w:t>
      </w:r>
      <w:r>
        <w:rPr>
          <w:rFonts w:hint="default" w:ascii="Times New Roman" w:hAnsi="Times New Roman" w:eastAsia="华文中宋" w:cs="Times New Roman"/>
          <w:color w:val="auto"/>
          <w:sz w:val="24"/>
          <w:highlight w:val="none"/>
        </w:rPr>
        <w:t>完善环保手续：</w:t>
      </w:r>
    </w:p>
    <w:p w14:paraId="2154B211">
      <w:pPr>
        <w:pStyle w:val="3"/>
        <w:adjustRightInd w:val="0"/>
        <w:ind w:firstLine="480" w:firstLineChars="200"/>
        <w:rPr>
          <w:rFonts w:hint="default" w:ascii="Times New Roman" w:hAnsi="Times New Roman" w:eastAsia="华文中宋" w:cs="Times New Roman"/>
          <w:color w:val="auto"/>
          <w:sz w:val="24"/>
          <w:highlight w:val="none"/>
        </w:rPr>
      </w:pPr>
      <w:r>
        <w:rPr>
          <w:rFonts w:hint="default" w:ascii="Times New Roman" w:hAnsi="Times New Roman" w:eastAsia="华文中宋" w:cs="Times New Roman"/>
          <w:color w:val="auto"/>
          <w:sz w:val="24"/>
          <w:highlight w:val="none"/>
        </w:rPr>
        <w:t>建设单位已主动补交环境影响评价文件，依法申请环评审批，纠正</w:t>
      </w:r>
      <w:r>
        <w:rPr>
          <w:rFonts w:hint="eastAsia" w:cs="Times New Roman"/>
          <w:color w:val="auto"/>
          <w:sz w:val="24"/>
          <w:highlight w:val="none"/>
          <w:lang w:eastAsia="zh-CN"/>
        </w:rPr>
        <w:t>“</w:t>
      </w:r>
      <w:r>
        <w:rPr>
          <w:rFonts w:hint="default" w:ascii="Times New Roman" w:hAnsi="Times New Roman" w:eastAsia="华文中宋" w:cs="Times New Roman"/>
          <w:color w:val="auto"/>
          <w:sz w:val="24"/>
          <w:highlight w:val="none"/>
        </w:rPr>
        <w:t>未批先建</w:t>
      </w:r>
      <w:r>
        <w:rPr>
          <w:rFonts w:hint="eastAsia" w:cs="Times New Roman"/>
          <w:color w:val="auto"/>
          <w:sz w:val="24"/>
          <w:highlight w:val="none"/>
          <w:lang w:eastAsia="zh-CN"/>
        </w:rPr>
        <w:t>”</w:t>
      </w:r>
      <w:r>
        <w:rPr>
          <w:rFonts w:hint="default" w:ascii="Times New Roman" w:hAnsi="Times New Roman" w:eastAsia="华文中宋" w:cs="Times New Roman"/>
          <w:color w:val="auto"/>
          <w:sz w:val="24"/>
          <w:highlight w:val="none"/>
        </w:rPr>
        <w:t xml:space="preserve">违法行为。 </w:t>
      </w:r>
    </w:p>
    <w:p w14:paraId="5269DACB">
      <w:pPr>
        <w:pStyle w:val="3"/>
        <w:adjustRightInd w:val="0"/>
        <w:ind w:firstLine="480" w:firstLineChars="200"/>
        <w:rPr>
          <w:rFonts w:hint="default" w:ascii="Times New Roman" w:hAnsi="Times New Roman" w:eastAsia="华文中宋" w:cs="Times New Roman"/>
          <w:color w:val="auto"/>
          <w:sz w:val="24"/>
          <w:highlight w:val="none"/>
        </w:rPr>
      </w:pPr>
      <w:r>
        <w:rPr>
          <w:rFonts w:hint="eastAsia" w:cs="Times New Roman"/>
          <w:color w:val="auto"/>
          <w:sz w:val="24"/>
          <w:highlight w:val="none"/>
          <w:lang w:eastAsia="zh-CN"/>
        </w:rPr>
        <w:t>③</w:t>
      </w:r>
      <w:r>
        <w:rPr>
          <w:rFonts w:hint="default" w:ascii="Times New Roman" w:hAnsi="Times New Roman" w:eastAsia="华文中宋" w:cs="Times New Roman"/>
          <w:color w:val="auto"/>
          <w:sz w:val="24"/>
          <w:highlight w:val="none"/>
        </w:rPr>
        <w:t>补建完善环保设施：</w:t>
      </w:r>
    </w:p>
    <w:p w14:paraId="34056E8B">
      <w:pPr>
        <w:pStyle w:val="3"/>
        <w:adjustRightInd w:val="0"/>
        <w:ind w:firstLine="480" w:firstLineChars="200"/>
        <w:rPr>
          <w:rFonts w:hint="default" w:ascii="Times New Roman" w:hAnsi="Times New Roman" w:eastAsia="华文中宋" w:cs="Times New Roman"/>
          <w:color w:val="auto"/>
          <w:sz w:val="24"/>
          <w:highlight w:val="none"/>
        </w:rPr>
      </w:pPr>
      <w:r>
        <w:rPr>
          <w:rFonts w:hint="default" w:ascii="Times New Roman" w:hAnsi="Times New Roman" w:eastAsia="华文中宋" w:cs="Times New Roman"/>
          <w:color w:val="auto"/>
          <w:sz w:val="24"/>
          <w:highlight w:val="none"/>
        </w:rPr>
        <w:t>按照</w:t>
      </w:r>
      <w:r>
        <w:rPr>
          <w:rFonts w:hint="eastAsia" w:cs="Times New Roman"/>
          <w:color w:val="auto"/>
          <w:sz w:val="24"/>
          <w:highlight w:val="none"/>
          <w:lang w:eastAsia="zh-CN"/>
        </w:rPr>
        <w:t>批复后的环评报告及批复文件，</w:t>
      </w:r>
      <w:r>
        <w:rPr>
          <w:rFonts w:hint="default" w:ascii="Times New Roman" w:hAnsi="Times New Roman" w:eastAsia="华文中宋" w:cs="Times New Roman"/>
          <w:color w:val="auto"/>
          <w:sz w:val="24"/>
          <w:highlight w:val="none"/>
        </w:rPr>
        <w:t>逐项落实环保设施补建和完善工作，确保施工期和运营期环保设施满足</w:t>
      </w:r>
      <w:r>
        <w:rPr>
          <w:rFonts w:hint="eastAsia" w:cs="Times New Roman"/>
          <w:color w:val="auto"/>
          <w:sz w:val="24"/>
          <w:highlight w:val="none"/>
          <w:lang w:eastAsia="zh-CN"/>
        </w:rPr>
        <w:t>“</w:t>
      </w:r>
      <w:r>
        <w:rPr>
          <w:rFonts w:hint="default" w:ascii="Times New Roman" w:hAnsi="Times New Roman" w:eastAsia="华文中宋" w:cs="Times New Roman"/>
          <w:color w:val="auto"/>
          <w:sz w:val="24"/>
          <w:highlight w:val="none"/>
        </w:rPr>
        <w:t>三同时</w:t>
      </w:r>
      <w:r>
        <w:rPr>
          <w:rFonts w:hint="eastAsia" w:cs="Times New Roman"/>
          <w:color w:val="auto"/>
          <w:sz w:val="24"/>
          <w:highlight w:val="none"/>
          <w:lang w:eastAsia="zh-CN"/>
        </w:rPr>
        <w:t>”</w:t>
      </w:r>
      <w:r>
        <w:rPr>
          <w:rFonts w:hint="default" w:ascii="Times New Roman" w:hAnsi="Times New Roman" w:eastAsia="华文中宋" w:cs="Times New Roman"/>
          <w:color w:val="auto"/>
          <w:sz w:val="24"/>
          <w:highlight w:val="none"/>
        </w:rPr>
        <w:t>要求。</w:t>
      </w:r>
    </w:p>
    <w:p w14:paraId="33206805">
      <w:pPr>
        <w:pStyle w:val="3"/>
        <w:adjustRightInd w:val="0"/>
        <w:ind w:firstLine="480" w:firstLineChars="200"/>
        <w:rPr>
          <w:rFonts w:hint="default" w:ascii="Times New Roman" w:hAnsi="Times New Roman" w:eastAsia="华文中宋" w:cs="Times New Roman"/>
          <w:color w:val="auto"/>
          <w:sz w:val="24"/>
          <w:highlight w:val="none"/>
        </w:rPr>
      </w:pPr>
      <w:r>
        <w:rPr>
          <w:rFonts w:hint="default" w:ascii="Times New Roman" w:hAnsi="Times New Roman" w:eastAsia="华文中宋" w:cs="Times New Roman"/>
          <w:color w:val="auto"/>
          <w:sz w:val="24"/>
          <w:highlight w:val="none"/>
        </w:rPr>
        <w:t>按照生态破坏恢复整改方案，对施工扰动区域进行植被恢复和水土保持治理，消除违法建设期间造成的生态破坏影响。</w:t>
      </w:r>
    </w:p>
    <w:p w14:paraId="6800A9F3">
      <w:pPr>
        <w:pStyle w:val="3"/>
        <w:adjustRightInd w:val="0"/>
        <w:ind w:firstLine="480" w:firstLineChars="200"/>
        <w:rPr>
          <w:rFonts w:hint="default" w:ascii="Times New Roman" w:hAnsi="Times New Roman" w:eastAsia="华文中宋" w:cs="Times New Roman"/>
          <w:color w:val="auto"/>
          <w:sz w:val="24"/>
          <w:highlight w:val="none"/>
        </w:rPr>
      </w:pPr>
      <w:r>
        <w:rPr>
          <w:rFonts w:hint="default" w:ascii="Times New Roman" w:hAnsi="Times New Roman" w:eastAsia="华文中宋" w:cs="Times New Roman"/>
          <w:color w:val="auto"/>
          <w:sz w:val="24"/>
          <w:highlight w:val="none"/>
        </w:rPr>
        <w:t>配备专职环保管理人员，建立施工期和运营期环境管理制度、监测制度和应急预案，确保项目后续建设和运营过程中的环境保护工作规范到位。</w:t>
      </w:r>
    </w:p>
    <w:p w14:paraId="56F6B9E1">
      <w:pPr>
        <w:pStyle w:val="39"/>
        <w:rPr>
          <w:rFonts w:hint="default"/>
          <w:color w:val="auto"/>
          <w:highlight w:val="none"/>
        </w:rPr>
      </w:pPr>
      <w:bookmarkStart w:id="242" w:name="_Toc18876"/>
      <w:r>
        <w:rPr>
          <w:rFonts w:hint="default"/>
          <w:color w:val="auto"/>
          <w:highlight w:val="none"/>
        </w:rPr>
        <w:t>改扩建工程</w:t>
      </w:r>
      <w:bookmarkEnd w:id="240"/>
      <w:r>
        <w:rPr>
          <w:color w:val="auto"/>
          <w:highlight w:val="none"/>
        </w:rPr>
        <w:t>概况</w:t>
      </w:r>
      <w:bookmarkEnd w:id="241"/>
      <w:bookmarkEnd w:id="242"/>
    </w:p>
    <w:p w14:paraId="5245C5E7">
      <w:pPr>
        <w:pStyle w:val="42"/>
        <w:rPr>
          <w:rFonts w:hint="default"/>
          <w:color w:val="auto"/>
          <w:highlight w:val="none"/>
        </w:rPr>
      </w:pPr>
      <w:r>
        <w:rPr>
          <w:rFonts w:hint="default"/>
          <w:color w:val="auto"/>
          <w:highlight w:val="none"/>
        </w:rPr>
        <w:t>项目基本情况</w:t>
      </w:r>
    </w:p>
    <w:p w14:paraId="59C60E9A">
      <w:pPr>
        <w:pStyle w:val="3"/>
        <w:ind w:firstLine="480"/>
        <w:rPr>
          <w:color w:val="auto"/>
          <w:highlight w:val="none"/>
        </w:rPr>
      </w:pPr>
      <w:r>
        <w:rPr>
          <w:color w:val="auto"/>
          <w:highlight w:val="none"/>
        </w:rPr>
        <w:t>项目名称：</w:t>
      </w:r>
      <w:r>
        <w:rPr>
          <w:rFonts w:hint="eastAsia"/>
          <w:color w:val="auto"/>
          <w:highlight w:val="none"/>
        </w:rPr>
        <w:t>阿图什市环球矿业钒钛磁铁矿900万吨/年选矿厂建设项目（一期）</w:t>
      </w:r>
      <w:r>
        <w:rPr>
          <w:color w:val="auto"/>
          <w:highlight w:val="none"/>
        </w:rPr>
        <w:t>。</w:t>
      </w:r>
    </w:p>
    <w:p w14:paraId="1E2B0210">
      <w:pPr>
        <w:pStyle w:val="3"/>
        <w:ind w:firstLine="480"/>
        <w:rPr>
          <w:color w:val="auto"/>
          <w:highlight w:val="none"/>
        </w:rPr>
      </w:pPr>
      <w:r>
        <w:rPr>
          <w:color w:val="auto"/>
          <w:highlight w:val="none"/>
        </w:rPr>
        <w:t>建设单位：</w:t>
      </w:r>
      <w:r>
        <w:rPr>
          <w:rFonts w:hint="eastAsia"/>
          <w:color w:val="auto"/>
          <w:highlight w:val="none"/>
        </w:rPr>
        <w:t>阿图什市环球矿业有限公司</w:t>
      </w:r>
      <w:r>
        <w:rPr>
          <w:color w:val="auto"/>
          <w:highlight w:val="none"/>
        </w:rPr>
        <w:t>。</w:t>
      </w:r>
    </w:p>
    <w:p w14:paraId="72FAEAAA">
      <w:pPr>
        <w:pStyle w:val="3"/>
        <w:ind w:firstLine="480"/>
        <w:rPr>
          <w:color w:val="auto"/>
          <w:highlight w:val="none"/>
        </w:rPr>
      </w:pPr>
      <w:r>
        <w:rPr>
          <w:rFonts w:hint="eastAsia"/>
          <w:color w:val="auto"/>
          <w:highlight w:val="none"/>
          <w:lang w:eastAsia="zh-CN"/>
        </w:rPr>
        <w:t>建设</w:t>
      </w:r>
      <w:r>
        <w:rPr>
          <w:color w:val="auto"/>
          <w:highlight w:val="none"/>
        </w:rPr>
        <w:t>性质：</w:t>
      </w:r>
      <w:r>
        <w:rPr>
          <w:rFonts w:hint="eastAsia"/>
          <w:color w:val="auto"/>
          <w:highlight w:val="none"/>
        </w:rPr>
        <w:t>选矿厂为改扩建、尾矿库为新建</w:t>
      </w:r>
      <w:r>
        <w:rPr>
          <w:color w:val="auto"/>
          <w:highlight w:val="none"/>
        </w:rPr>
        <w:t>。</w:t>
      </w:r>
    </w:p>
    <w:p w14:paraId="40721B8F">
      <w:pPr>
        <w:pStyle w:val="3"/>
        <w:ind w:firstLine="480"/>
        <w:rPr>
          <w:color w:val="auto"/>
          <w:highlight w:val="none"/>
        </w:rPr>
      </w:pPr>
      <w:r>
        <w:rPr>
          <w:color w:val="auto"/>
          <w:highlight w:val="none"/>
        </w:rPr>
        <w:t>建设地点：阿图什市环球矿业钒钛磁铁矿900万吨/年选矿厂位于阿图什市区北东46°方位直距59km处</w:t>
      </w:r>
      <w:r>
        <w:rPr>
          <w:rFonts w:hint="eastAsia"/>
          <w:color w:val="auto"/>
          <w:highlight w:val="none"/>
        </w:rPr>
        <w:t>，</w:t>
      </w:r>
      <w:r>
        <w:rPr>
          <w:color w:val="auto"/>
          <w:highlight w:val="none"/>
        </w:rPr>
        <w:t>尾矿库位于选厂西北南侧8km处沟谷内</w:t>
      </w:r>
      <w:r>
        <w:rPr>
          <w:rFonts w:hint="eastAsia"/>
          <w:color w:val="auto"/>
          <w:highlight w:val="none"/>
        </w:rPr>
        <w:t>，</w:t>
      </w:r>
      <w:r>
        <w:rPr>
          <w:color w:val="auto"/>
          <w:highlight w:val="none"/>
        </w:rPr>
        <w:t>行政区划</w:t>
      </w:r>
      <w:r>
        <w:rPr>
          <w:rFonts w:hint="eastAsia"/>
          <w:color w:val="auto"/>
          <w:highlight w:val="none"/>
          <w:lang w:eastAsia="zh-CN"/>
        </w:rPr>
        <w:t>隶</w:t>
      </w:r>
      <w:r>
        <w:rPr>
          <w:color w:val="auto"/>
          <w:highlight w:val="none"/>
        </w:rPr>
        <w:t>属阿图什市管辖。</w:t>
      </w:r>
      <w:r>
        <w:rPr>
          <w:rFonts w:hint="eastAsia"/>
          <w:color w:val="auto"/>
          <w:highlight w:val="none"/>
        </w:rPr>
        <w:t>选矿厂</w:t>
      </w:r>
      <w:r>
        <w:rPr>
          <w:color w:val="auto"/>
          <w:highlight w:val="none"/>
        </w:rPr>
        <w:t>中心点地理坐标E7</w:t>
      </w:r>
      <w:r>
        <w:rPr>
          <w:rFonts w:hint="eastAsia"/>
          <w:color w:val="auto"/>
          <w:highlight w:val="none"/>
        </w:rPr>
        <w:t>6</w:t>
      </w:r>
      <w:r>
        <w:rPr>
          <w:color w:val="auto"/>
          <w:highlight w:val="none"/>
        </w:rPr>
        <w:t>°3</w:t>
      </w:r>
      <w:r>
        <w:rPr>
          <w:rFonts w:hint="eastAsia"/>
          <w:color w:val="auto"/>
          <w:highlight w:val="none"/>
        </w:rPr>
        <w:t>6</w:t>
      </w:r>
      <w:r>
        <w:rPr>
          <w:color w:val="auto"/>
          <w:highlight w:val="none"/>
        </w:rPr>
        <w:t>'</w:t>
      </w:r>
      <w:r>
        <w:rPr>
          <w:rFonts w:hint="eastAsia"/>
          <w:color w:val="auto"/>
          <w:highlight w:val="none"/>
        </w:rPr>
        <w:t>22.35</w:t>
      </w:r>
      <w:r>
        <w:rPr>
          <w:color w:val="auto"/>
          <w:highlight w:val="none"/>
        </w:rPr>
        <w:t>"，N40°</w:t>
      </w:r>
      <w:r>
        <w:rPr>
          <w:rFonts w:hint="eastAsia"/>
          <w:color w:val="auto"/>
          <w:highlight w:val="none"/>
        </w:rPr>
        <w:t>4</w:t>
      </w:r>
      <w:r>
        <w:rPr>
          <w:color w:val="auto"/>
          <w:highlight w:val="none"/>
        </w:rPr>
        <w:t>'</w:t>
      </w:r>
      <w:r>
        <w:rPr>
          <w:rFonts w:hint="eastAsia"/>
          <w:color w:val="auto"/>
          <w:highlight w:val="none"/>
        </w:rPr>
        <w:t>20.3</w:t>
      </w:r>
      <w:r>
        <w:rPr>
          <w:rFonts w:hint="eastAsia"/>
          <w:color w:val="auto"/>
          <w:highlight w:val="none"/>
          <w:lang w:val="en-US" w:eastAsia="zh-CN"/>
        </w:rPr>
        <w:t>″</w:t>
      </w:r>
      <w:r>
        <w:rPr>
          <w:color w:val="auto"/>
          <w:highlight w:val="none"/>
        </w:rPr>
        <w:t>。</w:t>
      </w:r>
    </w:p>
    <w:p w14:paraId="46C92203">
      <w:pPr>
        <w:pStyle w:val="3"/>
        <w:ind w:firstLine="480"/>
        <w:rPr>
          <w:color w:val="auto"/>
          <w:highlight w:val="none"/>
        </w:rPr>
      </w:pPr>
      <w:r>
        <w:rPr>
          <w:color w:val="auto"/>
          <w:highlight w:val="none"/>
        </w:rPr>
        <w:t>生产规模：</w:t>
      </w:r>
      <w:r>
        <w:rPr>
          <w:rFonts w:hint="eastAsia"/>
          <w:color w:val="auto"/>
          <w:highlight w:val="none"/>
        </w:rPr>
        <w:t>选矿厂设计生产规模一期580万t/a生产线。产品方案为铁精矿和钛精矿。选矿厂一期铁精粉年产量为30.14万t，钛精粉年产量为15.87万t。</w:t>
      </w:r>
    </w:p>
    <w:p w14:paraId="2D2AAB0D">
      <w:pPr>
        <w:pStyle w:val="3"/>
        <w:ind w:firstLine="480"/>
        <w:rPr>
          <w:color w:val="auto"/>
          <w:highlight w:val="none"/>
        </w:rPr>
      </w:pPr>
      <w:r>
        <w:rPr>
          <w:rFonts w:hint="eastAsia"/>
          <w:color w:val="auto"/>
          <w:highlight w:val="none"/>
        </w:rPr>
        <w:t>尾矿库区占地面积85.76hm</w:t>
      </w:r>
      <w:r>
        <w:rPr>
          <w:rFonts w:hint="eastAsia"/>
          <w:color w:val="auto"/>
          <w:highlight w:val="none"/>
          <w:vertAlign w:val="superscript"/>
        </w:rPr>
        <w:t>2</w:t>
      </w:r>
      <w:r>
        <w:rPr>
          <w:rFonts w:hint="eastAsia"/>
          <w:color w:val="auto"/>
          <w:highlight w:val="none"/>
        </w:rPr>
        <w:t>；尾矿库设计初期坝坝顶标高1930.0m，坝高30m；堆积坝坝顶标高2015.0m，坝高85.0m；总坝高115.0m，总库容4223.61万m</w:t>
      </w:r>
      <w:r>
        <w:rPr>
          <w:rFonts w:hint="eastAsia"/>
          <w:color w:val="auto"/>
          <w:highlight w:val="none"/>
          <w:vertAlign w:val="superscript"/>
        </w:rPr>
        <w:t>3</w:t>
      </w:r>
      <w:r>
        <w:rPr>
          <w:rFonts w:hint="eastAsia"/>
          <w:color w:val="auto"/>
          <w:highlight w:val="none"/>
        </w:rPr>
        <w:t>，有效库容3801.25万m</w:t>
      </w:r>
      <w:r>
        <w:rPr>
          <w:rFonts w:hint="eastAsia"/>
          <w:color w:val="auto"/>
          <w:highlight w:val="none"/>
          <w:vertAlign w:val="superscript"/>
        </w:rPr>
        <w:t>3</w:t>
      </w:r>
      <w:r>
        <w:rPr>
          <w:rFonts w:hint="eastAsia"/>
          <w:color w:val="auto"/>
          <w:highlight w:val="none"/>
        </w:rPr>
        <w:t>，设计尾矿库等别为二等。</w:t>
      </w:r>
    </w:p>
    <w:p w14:paraId="2C4213BB">
      <w:pPr>
        <w:pStyle w:val="3"/>
        <w:ind w:firstLine="480"/>
        <w:rPr>
          <w:color w:val="auto"/>
          <w:highlight w:val="none"/>
        </w:rPr>
      </w:pPr>
      <w:r>
        <w:rPr>
          <w:rFonts w:hint="eastAsia"/>
          <w:color w:val="auto"/>
          <w:highlight w:val="none"/>
          <w:lang w:eastAsia="zh-CN"/>
        </w:rPr>
        <w:t>占地</w:t>
      </w:r>
      <w:r>
        <w:rPr>
          <w:color w:val="auto"/>
          <w:highlight w:val="none"/>
        </w:rPr>
        <w:t>面积：</w:t>
      </w:r>
      <w:r>
        <w:rPr>
          <w:rFonts w:hint="eastAsia"/>
          <w:color w:val="auto"/>
          <w:highlight w:val="none"/>
        </w:rPr>
        <w:t>选矿厂总用地面积39.388hm</w:t>
      </w:r>
      <w:r>
        <w:rPr>
          <w:rFonts w:hint="eastAsia"/>
          <w:color w:val="auto"/>
          <w:highlight w:val="none"/>
          <w:vertAlign w:val="superscript"/>
        </w:rPr>
        <w:t>2</w:t>
      </w:r>
      <w:r>
        <w:rPr>
          <w:rFonts w:hint="eastAsia"/>
          <w:color w:val="auto"/>
          <w:highlight w:val="none"/>
        </w:rPr>
        <w:t>（393875.36m</w:t>
      </w:r>
      <w:r>
        <w:rPr>
          <w:rFonts w:hint="eastAsia"/>
          <w:color w:val="auto"/>
          <w:highlight w:val="none"/>
          <w:vertAlign w:val="superscript"/>
        </w:rPr>
        <w:t>2</w:t>
      </w:r>
      <w:r>
        <w:rPr>
          <w:rFonts w:hint="eastAsia"/>
          <w:color w:val="auto"/>
          <w:highlight w:val="none"/>
        </w:rPr>
        <w:t>）</w:t>
      </w:r>
      <w:r>
        <w:rPr>
          <w:rFonts w:hint="eastAsia"/>
          <w:color w:val="auto"/>
          <w:highlight w:val="none"/>
          <w:lang w:eastAsia="zh-CN"/>
        </w:rPr>
        <w:t>；</w:t>
      </w:r>
      <w:r>
        <w:rPr>
          <w:rFonts w:hint="eastAsia"/>
          <w:color w:val="auto"/>
          <w:highlight w:val="none"/>
        </w:rPr>
        <w:t>尾矿库区占地面积85.76hm</w:t>
      </w:r>
      <w:r>
        <w:rPr>
          <w:rFonts w:hint="eastAsia"/>
          <w:color w:val="auto"/>
          <w:highlight w:val="none"/>
          <w:vertAlign w:val="superscript"/>
        </w:rPr>
        <w:t>2</w:t>
      </w:r>
      <w:r>
        <w:rPr>
          <w:rFonts w:hint="eastAsia"/>
          <w:color w:val="auto"/>
          <w:highlight w:val="none"/>
          <w:lang w:eastAsia="zh-CN"/>
        </w:rPr>
        <w:t>；</w:t>
      </w:r>
      <w:r>
        <w:rPr>
          <w:rFonts w:hint="eastAsia"/>
          <w:color w:val="auto"/>
          <w:highlight w:val="none"/>
        </w:rPr>
        <w:t>运输道路占地18.59hm</w:t>
      </w:r>
      <w:r>
        <w:rPr>
          <w:rFonts w:hint="eastAsia"/>
          <w:color w:val="auto"/>
          <w:highlight w:val="none"/>
          <w:vertAlign w:val="superscript"/>
        </w:rPr>
        <w:t>2</w:t>
      </w:r>
      <w:r>
        <w:rPr>
          <w:rFonts w:hint="eastAsia"/>
          <w:color w:val="auto"/>
          <w:highlight w:val="none"/>
        </w:rPr>
        <w:t>。</w:t>
      </w:r>
    </w:p>
    <w:p w14:paraId="7DFBA966">
      <w:pPr>
        <w:pStyle w:val="3"/>
        <w:ind w:firstLine="480"/>
        <w:rPr>
          <w:color w:val="auto"/>
          <w:highlight w:val="none"/>
        </w:rPr>
      </w:pPr>
      <w:r>
        <w:rPr>
          <w:color w:val="auto"/>
          <w:highlight w:val="none"/>
        </w:rPr>
        <w:t>劳动定员及工作制度</w:t>
      </w:r>
      <w:r>
        <w:rPr>
          <w:rFonts w:hint="eastAsia"/>
          <w:color w:val="auto"/>
          <w:highlight w:val="none"/>
        </w:rPr>
        <w:t>：年工作</w:t>
      </w:r>
      <w:r>
        <w:rPr>
          <w:color w:val="auto"/>
          <w:highlight w:val="none"/>
        </w:rPr>
        <w:t>300</w:t>
      </w:r>
      <w:r>
        <w:rPr>
          <w:rFonts w:hint="eastAsia"/>
          <w:color w:val="auto"/>
          <w:highlight w:val="none"/>
        </w:rPr>
        <w:t>天，每天</w:t>
      </w:r>
      <w:r>
        <w:rPr>
          <w:color w:val="auto"/>
          <w:highlight w:val="none"/>
        </w:rPr>
        <w:t>3</w:t>
      </w:r>
      <w:r>
        <w:rPr>
          <w:rFonts w:hint="eastAsia"/>
          <w:color w:val="auto"/>
          <w:highlight w:val="none"/>
        </w:rPr>
        <w:t>班，达到设计生产规模时的选矿厂劳动定员共需</w:t>
      </w:r>
      <w:r>
        <w:rPr>
          <w:color w:val="auto"/>
          <w:highlight w:val="none"/>
        </w:rPr>
        <w:t>287</w:t>
      </w:r>
      <w:r>
        <w:rPr>
          <w:rFonts w:hint="eastAsia"/>
          <w:color w:val="auto"/>
          <w:highlight w:val="none"/>
        </w:rPr>
        <w:t>人，尾矿库定员人数20人。</w:t>
      </w:r>
    </w:p>
    <w:p w14:paraId="3A9E9E4C">
      <w:pPr>
        <w:pStyle w:val="3"/>
        <w:ind w:firstLine="480"/>
        <w:rPr>
          <w:color w:val="auto"/>
          <w:highlight w:val="none"/>
        </w:rPr>
      </w:pPr>
      <w:r>
        <w:rPr>
          <w:color w:val="auto"/>
          <w:highlight w:val="none"/>
        </w:rPr>
        <w:t>投资估算：本项目总投资为</w:t>
      </w:r>
      <w:r>
        <w:rPr>
          <w:rFonts w:hint="eastAsia"/>
          <w:color w:val="auto"/>
          <w:highlight w:val="none"/>
        </w:rPr>
        <w:t>68118</w:t>
      </w:r>
      <w:r>
        <w:rPr>
          <w:color w:val="auto"/>
          <w:highlight w:val="none"/>
        </w:rPr>
        <w:t>万元，其中环保投资为</w:t>
      </w:r>
      <w:r>
        <w:rPr>
          <w:rFonts w:hint="eastAsia"/>
          <w:color w:val="auto"/>
          <w:highlight w:val="none"/>
          <w:lang w:val="en-US" w:eastAsia="zh-CN"/>
        </w:rPr>
        <w:t>6446.6</w:t>
      </w:r>
      <w:r>
        <w:rPr>
          <w:color w:val="auto"/>
          <w:highlight w:val="none"/>
        </w:rPr>
        <w:t>万元，占总投资的</w:t>
      </w:r>
      <w:r>
        <w:rPr>
          <w:rFonts w:hint="eastAsia"/>
          <w:color w:val="auto"/>
          <w:highlight w:val="none"/>
          <w:lang w:val="en-US" w:eastAsia="zh-CN"/>
        </w:rPr>
        <w:t>9.46</w:t>
      </w:r>
      <w:r>
        <w:rPr>
          <w:color w:val="auto"/>
          <w:highlight w:val="none"/>
        </w:rPr>
        <w:t>%。</w:t>
      </w:r>
    </w:p>
    <w:p w14:paraId="722BA758">
      <w:pPr>
        <w:pStyle w:val="42"/>
        <w:rPr>
          <w:rFonts w:hint="default"/>
          <w:color w:val="auto"/>
          <w:highlight w:val="none"/>
        </w:rPr>
      </w:pPr>
      <w:r>
        <w:rPr>
          <w:rFonts w:hint="default"/>
          <w:color w:val="auto"/>
          <w:highlight w:val="none"/>
        </w:rPr>
        <w:t xml:space="preserve"> </w:t>
      </w:r>
      <w:r>
        <w:rPr>
          <w:color w:val="auto"/>
          <w:highlight w:val="none"/>
        </w:rPr>
        <w:t>项目建设内容及规模</w:t>
      </w:r>
    </w:p>
    <w:p w14:paraId="7487C0C4">
      <w:pPr>
        <w:pStyle w:val="3"/>
        <w:ind w:firstLine="480"/>
        <w:rPr>
          <w:color w:val="auto"/>
          <w:highlight w:val="none"/>
        </w:rPr>
      </w:pPr>
      <w:r>
        <w:rPr>
          <w:color w:val="auto"/>
          <w:highlight w:val="none"/>
        </w:rPr>
        <w:t>本项目主要由主体工程（</w:t>
      </w:r>
      <w:r>
        <w:rPr>
          <w:rFonts w:hint="eastAsia"/>
          <w:color w:val="auto"/>
          <w:highlight w:val="none"/>
        </w:rPr>
        <w:t>选矿厂</w:t>
      </w:r>
      <w:r>
        <w:rPr>
          <w:color w:val="auto"/>
          <w:highlight w:val="none"/>
        </w:rPr>
        <w:t>工程</w:t>
      </w:r>
      <w:r>
        <w:rPr>
          <w:rFonts w:hint="eastAsia"/>
          <w:color w:val="auto"/>
          <w:highlight w:val="none"/>
        </w:rPr>
        <w:t>、尾矿库工程</w:t>
      </w:r>
      <w:r>
        <w:rPr>
          <w:color w:val="auto"/>
          <w:highlight w:val="none"/>
        </w:rPr>
        <w:t>）、辅助工程、公用工程、储运工程，环保工程及依托工程等组成。</w:t>
      </w:r>
    </w:p>
    <w:p w14:paraId="5BB148F7">
      <w:pPr>
        <w:pStyle w:val="3"/>
        <w:ind w:firstLine="480"/>
        <w:rPr>
          <w:rFonts w:hint="eastAsia"/>
          <w:color w:val="auto"/>
          <w:highlight w:val="none"/>
          <w:lang w:val="en-US" w:eastAsia="zh-CN"/>
        </w:rPr>
      </w:pPr>
      <w:r>
        <w:rPr>
          <w:rFonts w:hint="eastAsia"/>
          <w:color w:val="auto"/>
          <w:highlight w:val="none"/>
          <w:lang w:eastAsia="zh-CN"/>
        </w:rPr>
        <w:t>主体工程中一期工程建设设施全部为新建；二期工程中</w:t>
      </w:r>
      <w:r>
        <w:rPr>
          <w:rFonts w:hint="eastAsia"/>
          <w:color w:val="auto"/>
          <w:highlight w:val="none"/>
          <w:lang w:val="en-US" w:eastAsia="zh-CN"/>
        </w:rPr>
        <w:t>1号磨选过滤车间、1号重选车间、尾矿干排车间利用现有工程，其余均新建；公用工程依托现有；环保工程中生活污水处理设施、危废暂存点依托现有，其余均新建。</w:t>
      </w:r>
    </w:p>
    <w:p w14:paraId="0FBFBDBA">
      <w:pPr>
        <w:pStyle w:val="3"/>
        <w:ind w:firstLine="480"/>
        <w:rPr>
          <w:color w:val="auto"/>
          <w:highlight w:val="none"/>
        </w:rPr>
      </w:pPr>
      <w:r>
        <w:rPr>
          <w:color w:val="auto"/>
          <w:highlight w:val="none"/>
        </w:rPr>
        <w:t>建设项目组成见表</w:t>
      </w:r>
      <w:r>
        <w:rPr>
          <w:rFonts w:hint="eastAsia"/>
          <w:color w:val="auto"/>
          <w:highlight w:val="none"/>
        </w:rPr>
        <w:t>3.1-2</w:t>
      </w:r>
      <w:r>
        <w:rPr>
          <w:color w:val="auto"/>
          <w:highlight w:val="none"/>
        </w:rPr>
        <w:t>。</w:t>
      </w:r>
    </w:p>
    <w:p w14:paraId="49DE4BA2">
      <w:pPr>
        <w:pStyle w:val="3"/>
        <w:ind w:firstLine="480"/>
        <w:rPr>
          <w:color w:val="auto"/>
          <w:highlight w:val="none"/>
          <w:lang w:val="zh-CN"/>
        </w:rPr>
        <w:sectPr>
          <w:headerReference r:id="rId14" w:type="default"/>
          <w:footerReference r:id="rId15" w:type="default"/>
          <w:pgSz w:w="11900" w:h="16840"/>
          <w:pgMar w:top="1440" w:right="1803" w:bottom="1440" w:left="1803" w:header="1020" w:footer="673" w:gutter="0"/>
          <w:pgBorders>
            <w:top w:val="none" w:sz="0" w:space="0"/>
            <w:left w:val="none" w:sz="0" w:space="0"/>
            <w:bottom w:val="none" w:sz="0" w:space="0"/>
            <w:right w:val="none" w:sz="0" w:space="0"/>
          </w:pgBorders>
          <w:cols w:space="720" w:num="1"/>
          <w:docGrid w:linePitch="326" w:charSpace="0"/>
        </w:sectPr>
      </w:pPr>
    </w:p>
    <w:p w14:paraId="70084F21">
      <w:pPr>
        <w:pStyle w:val="40"/>
        <w:spacing w:before="24" w:after="24"/>
        <w:rPr>
          <w:color w:val="auto"/>
          <w:highlight w:val="none"/>
        </w:rPr>
      </w:pPr>
      <w:r>
        <w:rPr>
          <w:color w:val="auto"/>
          <w:highlight w:val="none"/>
          <w:lang w:val="zh-CN"/>
        </w:rPr>
        <w:t>表3.</w:t>
      </w:r>
      <w:r>
        <w:rPr>
          <w:rFonts w:hint="eastAsia"/>
          <w:color w:val="auto"/>
          <w:highlight w:val="none"/>
        </w:rPr>
        <w:t>2</w:t>
      </w:r>
      <w:r>
        <w:rPr>
          <w:color w:val="auto"/>
          <w:highlight w:val="none"/>
          <w:lang w:val="zh-CN"/>
        </w:rPr>
        <w:t>-</w:t>
      </w:r>
      <w:r>
        <w:rPr>
          <w:color w:val="auto"/>
          <w:highlight w:val="none"/>
        </w:rPr>
        <w:t>1</w:t>
      </w:r>
      <w:r>
        <w:rPr>
          <w:color w:val="auto"/>
          <w:highlight w:val="none"/>
          <w:lang w:val="zh-CN"/>
        </w:rPr>
        <w:t xml:space="preserve">    项目组成一览表</w:t>
      </w:r>
    </w:p>
    <w:tbl>
      <w:tblPr>
        <w:tblStyle w:val="25"/>
        <w:tblW w:w="485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38"/>
        <w:gridCol w:w="809"/>
        <w:gridCol w:w="1450"/>
        <w:gridCol w:w="9152"/>
        <w:gridCol w:w="1502"/>
      </w:tblGrid>
      <w:tr w14:paraId="731025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23" w:hRule="atLeast"/>
          <w:jc w:val="center"/>
        </w:trPr>
        <w:tc>
          <w:tcPr>
            <w:tcW w:w="305" w:type="pct"/>
            <w:tcBorders>
              <w:tl2br w:val="nil"/>
              <w:tr2bl w:val="nil"/>
            </w:tcBorders>
            <w:vAlign w:val="center"/>
          </w:tcPr>
          <w:p w14:paraId="09D0978F">
            <w:pPr>
              <w:pStyle w:val="41"/>
              <w:rPr>
                <w:color w:val="auto"/>
                <w:highlight w:val="none"/>
              </w:rPr>
            </w:pPr>
            <w:r>
              <w:rPr>
                <w:color w:val="auto"/>
                <w:highlight w:val="none"/>
              </w:rPr>
              <w:t>工程类别</w:t>
            </w:r>
          </w:p>
        </w:tc>
        <w:tc>
          <w:tcPr>
            <w:tcW w:w="821" w:type="pct"/>
            <w:gridSpan w:val="2"/>
            <w:tcBorders>
              <w:tl2br w:val="nil"/>
              <w:tr2bl w:val="nil"/>
            </w:tcBorders>
            <w:vAlign w:val="center"/>
          </w:tcPr>
          <w:p w14:paraId="2252F216">
            <w:pPr>
              <w:pStyle w:val="41"/>
              <w:rPr>
                <w:color w:val="auto"/>
                <w:highlight w:val="none"/>
              </w:rPr>
            </w:pPr>
            <w:r>
              <w:rPr>
                <w:rFonts w:hint="eastAsia"/>
                <w:color w:val="auto"/>
                <w:highlight w:val="none"/>
              </w:rPr>
              <w:t>项目名称</w:t>
            </w:r>
          </w:p>
          <w:p w14:paraId="631E051D">
            <w:pPr>
              <w:pStyle w:val="41"/>
              <w:rPr>
                <w:color w:val="auto"/>
                <w:highlight w:val="none"/>
              </w:rPr>
            </w:pPr>
          </w:p>
        </w:tc>
        <w:tc>
          <w:tcPr>
            <w:tcW w:w="3327" w:type="pct"/>
            <w:tcBorders>
              <w:tl2br w:val="nil"/>
              <w:tr2bl w:val="nil"/>
            </w:tcBorders>
            <w:vAlign w:val="center"/>
          </w:tcPr>
          <w:p w14:paraId="11B7228C">
            <w:pPr>
              <w:pStyle w:val="41"/>
              <w:rPr>
                <w:color w:val="auto"/>
                <w:highlight w:val="none"/>
              </w:rPr>
            </w:pPr>
            <w:r>
              <w:rPr>
                <w:color w:val="auto"/>
                <w:highlight w:val="none"/>
              </w:rPr>
              <w:t>工程内容</w:t>
            </w:r>
          </w:p>
        </w:tc>
        <w:tc>
          <w:tcPr>
            <w:tcW w:w="546" w:type="pct"/>
            <w:tcBorders>
              <w:tl2br w:val="nil"/>
              <w:tr2bl w:val="nil"/>
            </w:tcBorders>
            <w:vAlign w:val="center"/>
          </w:tcPr>
          <w:p w14:paraId="39B515BF">
            <w:pPr>
              <w:pStyle w:val="41"/>
              <w:rPr>
                <w:color w:val="auto"/>
                <w:highlight w:val="none"/>
              </w:rPr>
            </w:pPr>
            <w:r>
              <w:rPr>
                <w:color w:val="auto"/>
                <w:highlight w:val="none"/>
              </w:rPr>
              <w:t>备注</w:t>
            </w:r>
          </w:p>
        </w:tc>
      </w:tr>
      <w:tr w14:paraId="60552F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619" w:hRule="atLeast"/>
          <w:jc w:val="center"/>
        </w:trPr>
        <w:tc>
          <w:tcPr>
            <w:tcW w:w="305" w:type="pct"/>
            <w:vMerge w:val="restart"/>
            <w:tcBorders>
              <w:tl2br w:val="nil"/>
              <w:tr2bl w:val="nil"/>
            </w:tcBorders>
            <w:vAlign w:val="center"/>
          </w:tcPr>
          <w:p w14:paraId="4D85A0D3">
            <w:pPr>
              <w:pStyle w:val="41"/>
              <w:rPr>
                <w:color w:val="auto"/>
                <w:highlight w:val="none"/>
              </w:rPr>
            </w:pPr>
            <w:r>
              <w:rPr>
                <w:color w:val="auto"/>
                <w:highlight w:val="none"/>
              </w:rPr>
              <w:t>主体工程</w:t>
            </w:r>
          </w:p>
        </w:tc>
        <w:tc>
          <w:tcPr>
            <w:tcW w:w="294" w:type="pct"/>
            <w:vMerge w:val="restart"/>
            <w:tcBorders>
              <w:tl2br w:val="nil"/>
              <w:tr2bl w:val="nil"/>
            </w:tcBorders>
            <w:vAlign w:val="center"/>
          </w:tcPr>
          <w:p w14:paraId="1A77A994">
            <w:pPr>
              <w:pStyle w:val="41"/>
              <w:rPr>
                <w:rFonts w:hint="eastAsia" w:eastAsia="华文中宋"/>
                <w:color w:val="auto"/>
                <w:highlight w:val="none"/>
                <w:lang w:eastAsia="zh-CN"/>
              </w:rPr>
            </w:pPr>
            <w:r>
              <w:rPr>
                <w:rFonts w:hint="eastAsia"/>
                <w:color w:val="auto"/>
                <w:highlight w:val="none"/>
              </w:rPr>
              <w:t>选矿厂</w:t>
            </w:r>
            <w:r>
              <w:rPr>
                <w:rFonts w:hint="eastAsia"/>
                <w:color w:val="auto"/>
                <w:highlight w:val="none"/>
                <w:lang w:eastAsia="zh-CN"/>
              </w:rPr>
              <w:t>（一期）</w:t>
            </w:r>
          </w:p>
        </w:tc>
        <w:tc>
          <w:tcPr>
            <w:tcW w:w="527" w:type="pct"/>
            <w:tcBorders>
              <w:tl2br w:val="nil"/>
              <w:tr2bl w:val="nil"/>
            </w:tcBorders>
            <w:vAlign w:val="center"/>
          </w:tcPr>
          <w:p w14:paraId="7BB14DF5">
            <w:pPr>
              <w:pStyle w:val="41"/>
              <w:rPr>
                <w:color w:val="auto"/>
                <w:highlight w:val="none"/>
              </w:rPr>
            </w:pPr>
            <w:r>
              <w:rPr>
                <w:rFonts w:hint="eastAsia"/>
                <w:color w:val="auto"/>
                <w:highlight w:val="none"/>
              </w:rPr>
              <w:t>滚轴筛车间</w:t>
            </w:r>
          </w:p>
        </w:tc>
        <w:tc>
          <w:tcPr>
            <w:tcW w:w="3327" w:type="pct"/>
            <w:tcBorders>
              <w:tl2br w:val="nil"/>
              <w:tr2bl w:val="nil"/>
            </w:tcBorders>
            <w:vAlign w:val="center"/>
          </w:tcPr>
          <w:p w14:paraId="5C089CE0">
            <w:pPr>
              <w:pStyle w:val="41"/>
              <w:rPr>
                <w:color w:val="auto"/>
                <w:highlight w:val="none"/>
              </w:rPr>
            </w:pPr>
            <w:r>
              <w:rPr>
                <w:rFonts w:hint="eastAsia"/>
                <w:color w:val="auto"/>
                <w:highlight w:val="none"/>
                <w:lang w:eastAsia="zh-CN"/>
              </w:rPr>
              <w:t>占地面积</w:t>
            </w:r>
            <w:r>
              <w:rPr>
                <w:rFonts w:hint="default"/>
                <w:color w:val="auto"/>
                <w:highlight w:val="none"/>
                <w:lang w:val="en-US" w:eastAsia="zh-CN"/>
              </w:rPr>
              <w:t>368.82</w:t>
            </w:r>
            <w:r>
              <w:rPr>
                <w:rFonts w:hint="eastAsia"/>
                <w:color w:val="auto"/>
                <w:highlight w:val="none"/>
                <w:lang w:val="en-US" w:eastAsia="zh-CN"/>
              </w:rPr>
              <w:t>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rPr>
              <w:t>内布置一台链板喂料器和一台滚轴筛</w:t>
            </w:r>
            <w:r>
              <w:rPr>
                <w:rFonts w:hint="eastAsia"/>
                <w:color w:val="auto"/>
                <w:highlight w:val="none"/>
                <w:lang w:eastAsia="zh-CN"/>
              </w:rPr>
              <w:t>。</w:t>
            </w:r>
          </w:p>
        </w:tc>
        <w:tc>
          <w:tcPr>
            <w:tcW w:w="546" w:type="pct"/>
            <w:tcBorders>
              <w:tl2br w:val="nil"/>
              <w:tr2bl w:val="nil"/>
            </w:tcBorders>
            <w:vAlign w:val="center"/>
          </w:tcPr>
          <w:p w14:paraId="5177145E">
            <w:pPr>
              <w:pStyle w:val="41"/>
              <w:rPr>
                <w:rFonts w:hint="eastAsia" w:eastAsia="华文中宋"/>
                <w:color w:val="auto"/>
                <w:highlight w:val="none"/>
                <w:lang w:eastAsia="zh-CN"/>
              </w:rPr>
            </w:pPr>
            <w:r>
              <w:rPr>
                <w:color w:val="auto"/>
                <w:highlight w:val="none"/>
              </w:rPr>
              <w:t>新建</w:t>
            </w:r>
          </w:p>
        </w:tc>
      </w:tr>
      <w:tr w14:paraId="74767F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619" w:hRule="atLeast"/>
          <w:jc w:val="center"/>
        </w:trPr>
        <w:tc>
          <w:tcPr>
            <w:tcW w:w="305" w:type="pct"/>
            <w:vMerge w:val="continue"/>
            <w:tcBorders>
              <w:tl2br w:val="nil"/>
              <w:tr2bl w:val="nil"/>
            </w:tcBorders>
            <w:vAlign w:val="center"/>
          </w:tcPr>
          <w:p w14:paraId="4A6C9A56">
            <w:pPr>
              <w:pStyle w:val="41"/>
              <w:rPr>
                <w:color w:val="auto"/>
                <w:highlight w:val="none"/>
              </w:rPr>
            </w:pPr>
          </w:p>
        </w:tc>
        <w:tc>
          <w:tcPr>
            <w:tcW w:w="294" w:type="pct"/>
            <w:vMerge w:val="continue"/>
            <w:tcBorders>
              <w:tl2br w:val="nil"/>
              <w:tr2bl w:val="nil"/>
            </w:tcBorders>
            <w:vAlign w:val="center"/>
          </w:tcPr>
          <w:p w14:paraId="54C06387">
            <w:pPr>
              <w:pStyle w:val="41"/>
              <w:rPr>
                <w:color w:val="auto"/>
                <w:highlight w:val="none"/>
              </w:rPr>
            </w:pPr>
          </w:p>
        </w:tc>
        <w:tc>
          <w:tcPr>
            <w:tcW w:w="527" w:type="pct"/>
            <w:tcBorders>
              <w:tl2br w:val="nil"/>
              <w:tr2bl w:val="nil"/>
            </w:tcBorders>
            <w:vAlign w:val="center"/>
          </w:tcPr>
          <w:p w14:paraId="6C8A8A03">
            <w:pPr>
              <w:pStyle w:val="41"/>
              <w:rPr>
                <w:color w:val="auto"/>
                <w:highlight w:val="none"/>
              </w:rPr>
            </w:pPr>
            <w:r>
              <w:rPr>
                <w:rFonts w:hint="eastAsia"/>
                <w:color w:val="auto"/>
                <w:highlight w:val="none"/>
              </w:rPr>
              <w:t>粗/中碎车间</w:t>
            </w:r>
          </w:p>
        </w:tc>
        <w:tc>
          <w:tcPr>
            <w:tcW w:w="3327" w:type="pct"/>
            <w:tcBorders>
              <w:tl2br w:val="nil"/>
              <w:tr2bl w:val="nil"/>
            </w:tcBorders>
            <w:vAlign w:val="center"/>
          </w:tcPr>
          <w:p w14:paraId="7F282916">
            <w:pPr>
              <w:pStyle w:val="41"/>
              <w:rPr>
                <w:rFonts w:hint="eastAsia" w:eastAsia="华文中宋"/>
                <w:color w:val="auto"/>
                <w:highlight w:val="none"/>
                <w:lang w:eastAsia="zh-CN"/>
              </w:rPr>
            </w:pPr>
            <w:r>
              <w:rPr>
                <w:rFonts w:hint="eastAsia"/>
                <w:color w:val="auto"/>
                <w:highlight w:val="none"/>
                <w:lang w:eastAsia="zh-CN"/>
              </w:rPr>
              <w:t>占地面积</w:t>
            </w:r>
            <w:r>
              <w:rPr>
                <w:rFonts w:hint="eastAsia"/>
                <w:color w:val="auto"/>
                <w:highlight w:val="none"/>
                <w:lang w:val="en-US" w:eastAsia="zh-CN"/>
              </w:rPr>
              <w:t>320.82m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rPr>
              <w:t>布置于滚轴筛车间南侧，车间内布置一台颚式破碎机和一台圆锥破碎机</w:t>
            </w:r>
            <w:r>
              <w:rPr>
                <w:rFonts w:hint="eastAsia"/>
                <w:color w:val="auto"/>
                <w:highlight w:val="none"/>
                <w:lang w:eastAsia="zh-CN"/>
              </w:rPr>
              <w:t>。</w:t>
            </w:r>
          </w:p>
        </w:tc>
        <w:tc>
          <w:tcPr>
            <w:tcW w:w="546" w:type="pct"/>
            <w:tcBorders>
              <w:tl2br w:val="nil"/>
              <w:tr2bl w:val="nil"/>
            </w:tcBorders>
            <w:vAlign w:val="center"/>
          </w:tcPr>
          <w:p w14:paraId="4D354087">
            <w:pPr>
              <w:pStyle w:val="41"/>
              <w:rPr>
                <w:rFonts w:hint="eastAsia"/>
                <w:color w:val="auto"/>
                <w:highlight w:val="none"/>
              </w:rPr>
            </w:pPr>
            <w:r>
              <w:rPr>
                <w:color w:val="auto"/>
                <w:highlight w:val="none"/>
              </w:rPr>
              <w:t>新建</w:t>
            </w:r>
          </w:p>
        </w:tc>
      </w:tr>
      <w:tr w14:paraId="1D766D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619" w:hRule="atLeast"/>
          <w:jc w:val="center"/>
        </w:trPr>
        <w:tc>
          <w:tcPr>
            <w:tcW w:w="305" w:type="pct"/>
            <w:vMerge w:val="continue"/>
            <w:tcBorders>
              <w:tl2br w:val="nil"/>
              <w:tr2bl w:val="nil"/>
            </w:tcBorders>
            <w:vAlign w:val="center"/>
          </w:tcPr>
          <w:p w14:paraId="5174A595">
            <w:pPr>
              <w:pStyle w:val="41"/>
              <w:rPr>
                <w:rFonts w:hint="eastAsia"/>
                <w:color w:val="auto"/>
                <w:highlight w:val="none"/>
              </w:rPr>
            </w:pPr>
          </w:p>
        </w:tc>
        <w:tc>
          <w:tcPr>
            <w:tcW w:w="294" w:type="pct"/>
            <w:vMerge w:val="continue"/>
            <w:tcBorders>
              <w:tl2br w:val="nil"/>
              <w:tr2bl w:val="nil"/>
            </w:tcBorders>
            <w:vAlign w:val="center"/>
          </w:tcPr>
          <w:p w14:paraId="2322DF53">
            <w:pPr>
              <w:pStyle w:val="41"/>
              <w:rPr>
                <w:rFonts w:hint="eastAsia"/>
                <w:color w:val="auto"/>
                <w:highlight w:val="none"/>
              </w:rPr>
            </w:pPr>
          </w:p>
        </w:tc>
        <w:tc>
          <w:tcPr>
            <w:tcW w:w="527" w:type="pct"/>
            <w:tcBorders>
              <w:tl2br w:val="nil"/>
              <w:tr2bl w:val="nil"/>
            </w:tcBorders>
            <w:vAlign w:val="center"/>
          </w:tcPr>
          <w:p w14:paraId="28884F84">
            <w:pPr>
              <w:pStyle w:val="41"/>
              <w:rPr>
                <w:rFonts w:hint="eastAsia"/>
                <w:color w:val="auto"/>
                <w:highlight w:val="none"/>
              </w:rPr>
            </w:pPr>
            <w:r>
              <w:rPr>
                <w:rFonts w:hint="eastAsia"/>
                <w:color w:val="auto"/>
                <w:highlight w:val="none"/>
              </w:rPr>
              <w:t>1号振动筛分车间</w:t>
            </w:r>
          </w:p>
        </w:tc>
        <w:tc>
          <w:tcPr>
            <w:tcW w:w="3327" w:type="pct"/>
            <w:tcBorders>
              <w:tl2br w:val="nil"/>
              <w:tr2bl w:val="nil"/>
            </w:tcBorders>
            <w:vAlign w:val="center"/>
          </w:tcPr>
          <w:p w14:paraId="555540B5">
            <w:pPr>
              <w:pStyle w:val="41"/>
              <w:rPr>
                <w:rFonts w:hint="eastAsia" w:eastAsia="华文中宋"/>
                <w:color w:val="auto"/>
                <w:highlight w:val="none"/>
                <w:lang w:eastAsia="zh-CN"/>
              </w:rPr>
            </w:pPr>
            <w:r>
              <w:rPr>
                <w:rFonts w:hint="eastAsia"/>
                <w:color w:val="auto"/>
                <w:highlight w:val="none"/>
                <w:lang w:eastAsia="zh-CN"/>
              </w:rPr>
              <w:t>占地面积</w:t>
            </w:r>
            <w:r>
              <w:rPr>
                <w:rFonts w:hint="eastAsia"/>
                <w:color w:val="auto"/>
                <w:highlight w:val="none"/>
                <w:lang w:val="en-US" w:eastAsia="zh-CN"/>
              </w:rPr>
              <w:t>304m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rPr>
              <w:t>布置于滚轴筛车间东侧，车间内布置一台振动筛；缓冲料仓布置于粗/中碎车间东侧，由一座中碎缓冲料仓和两座细碎缓冲料仓组成</w:t>
            </w:r>
            <w:r>
              <w:rPr>
                <w:rFonts w:hint="eastAsia"/>
                <w:color w:val="auto"/>
                <w:highlight w:val="none"/>
                <w:lang w:eastAsia="zh-CN"/>
              </w:rPr>
              <w:t>，占地面积</w:t>
            </w:r>
            <w:r>
              <w:rPr>
                <w:rFonts w:hint="eastAsia"/>
                <w:color w:val="auto"/>
                <w:highlight w:val="none"/>
                <w:lang w:val="en-US" w:eastAsia="zh-CN"/>
              </w:rPr>
              <w:t>320.28m</w:t>
            </w:r>
            <w:r>
              <w:rPr>
                <w:rFonts w:hint="eastAsia"/>
                <w:color w:val="auto"/>
                <w:highlight w:val="none"/>
                <w:vertAlign w:val="superscript"/>
                <w:lang w:val="en-US" w:eastAsia="zh-CN"/>
              </w:rPr>
              <w:t>2</w:t>
            </w:r>
            <w:r>
              <w:rPr>
                <w:rFonts w:hint="eastAsia"/>
                <w:color w:val="auto"/>
                <w:highlight w:val="none"/>
              </w:rPr>
              <w:t>；</w:t>
            </w:r>
            <w:r>
              <w:rPr>
                <w:rFonts w:hint="eastAsia"/>
                <w:color w:val="auto"/>
                <w:highlight w:val="none"/>
                <w:lang w:eastAsia="zh-CN"/>
              </w:rPr>
              <w:t>占地面积</w:t>
            </w:r>
            <w:r>
              <w:rPr>
                <w:rFonts w:hint="eastAsia"/>
                <w:color w:val="auto"/>
                <w:highlight w:val="none"/>
                <w:lang w:val="en-US" w:eastAsia="zh-CN"/>
              </w:rPr>
              <w:t>195m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rPr>
              <w:t>细碎车间布置于缓冲料仓南侧，车间内布置两台锤式破碎机；</w:t>
            </w:r>
            <w:r>
              <w:rPr>
                <w:rFonts w:hint="eastAsia"/>
                <w:color w:val="auto"/>
                <w:highlight w:val="none"/>
                <w:lang w:eastAsia="zh-CN"/>
              </w:rPr>
              <w:t>占地面积</w:t>
            </w:r>
            <w:r>
              <w:rPr>
                <w:rFonts w:hint="eastAsia"/>
                <w:color w:val="auto"/>
                <w:highlight w:val="none"/>
                <w:lang w:val="en-US" w:eastAsia="zh-CN"/>
              </w:rPr>
              <w:t>304m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rPr>
              <w:t>2号振动筛分车间布置于粗/中碎车间南侧，车间内布置一台振动筛；3号振动筛分车间布置于2号振动筛分车间东南侧，</w:t>
            </w:r>
            <w:r>
              <w:rPr>
                <w:rFonts w:hint="eastAsia"/>
                <w:color w:val="auto"/>
                <w:highlight w:val="none"/>
                <w:lang w:eastAsia="zh-CN"/>
              </w:rPr>
              <w:t>占地面积</w:t>
            </w:r>
            <w:r>
              <w:rPr>
                <w:rFonts w:hint="eastAsia"/>
                <w:color w:val="auto"/>
                <w:highlight w:val="none"/>
                <w:lang w:val="en-US" w:eastAsia="zh-CN"/>
              </w:rPr>
              <w:t>304m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rPr>
              <w:t>车间内布置一台振动筛</w:t>
            </w:r>
            <w:r>
              <w:rPr>
                <w:rFonts w:hint="eastAsia"/>
                <w:color w:val="auto"/>
                <w:highlight w:val="none"/>
                <w:lang w:eastAsia="zh-CN"/>
              </w:rPr>
              <w:t>。</w:t>
            </w:r>
          </w:p>
        </w:tc>
        <w:tc>
          <w:tcPr>
            <w:tcW w:w="546" w:type="pct"/>
            <w:tcBorders>
              <w:tl2br w:val="nil"/>
              <w:tr2bl w:val="nil"/>
            </w:tcBorders>
            <w:vAlign w:val="center"/>
          </w:tcPr>
          <w:p w14:paraId="19808297">
            <w:pPr>
              <w:pStyle w:val="41"/>
              <w:rPr>
                <w:rFonts w:hint="eastAsia"/>
                <w:color w:val="auto"/>
                <w:highlight w:val="none"/>
              </w:rPr>
            </w:pPr>
            <w:r>
              <w:rPr>
                <w:color w:val="auto"/>
                <w:highlight w:val="none"/>
              </w:rPr>
              <w:t>新建</w:t>
            </w:r>
          </w:p>
        </w:tc>
      </w:tr>
      <w:tr w14:paraId="6F843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619" w:hRule="atLeast"/>
          <w:jc w:val="center"/>
        </w:trPr>
        <w:tc>
          <w:tcPr>
            <w:tcW w:w="305" w:type="pct"/>
            <w:vMerge w:val="continue"/>
            <w:tcBorders>
              <w:tl2br w:val="nil"/>
              <w:tr2bl w:val="nil"/>
            </w:tcBorders>
            <w:vAlign w:val="center"/>
          </w:tcPr>
          <w:p w14:paraId="683C60B9">
            <w:pPr>
              <w:pStyle w:val="41"/>
              <w:rPr>
                <w:rFonts w:hint="eastAsia"/>
                <w:color w:val="auto"/>
                <w:highlight w:val="none"/>
              </w:rPr>
            </w:pPr>
          </w:p>
        </w:tc>
        <w:tc>
          <w:tcPr>
            <w:tcW w:w="294" w:type="pct"/>
            <w:vMerge w:val="continue"/>
            <w:tcBorders>
              <w:tl2br w:val="nil"/>
              <w:tr2bl w:val="nil"/>
            </w:tcBorders>
            <w:vAlign w:val="center"/>
          </w:tcPr>
          <w:p w14:paraId="64E5C2FB">
            <w:pPr>
              <w:pStyle w:val="41"/>
              <w:rPr>
                <w:rFonts w:hint="eastAsia"/>
                <w:color w:val="auto"/>
                <w:highlight w:val="none"/>
              </w:rPr>
            </w:pPr>
          </w:p>
        </w:tc>
        <w:tc>
          <w:tcPr>
            <w:tcW w:w="527" w:type="pct"/>
            <w:tcBorders>
              <w:tl2br w:val="nil"/>
              <w:tr2bl w:val="nil"/>
            </w:tcBorders>
            <w:vAlign w:val="center"/>
          </w:tcPr>
          <w:p w14:paraId="672C5688">
            <w:pPr>
              <w:pStyle w:val="41"/>
              <w:rPr>
                <w:rFonts w:hint="eastAsia"/>
                <w:color w:val="auto"/>
                <w:highlight w:val="none"/>
              </w:rPr>
            </w:pPr>
            <w:r>
              <w:rPr>
                <w:rFonts w:hint="eastAsia"/>
                <w:color w:val="auto"/>
                <w:highlight w:val="none"/>
              </w:rPr>
              <w:t>干抛磁选车间</w:t>
            </w:r>
          </w:p>
        </w:tc>
        <w:tc>
          <w:tcPr>
            <w:tcW w:w="3327" w:type="pct"/>
            <w:tcBorders>
              <w:tl2br w:val="nil"/>
              <w:tr2bl w:val="nil"/>
            </w:tcBorders>
            <w:vAlign w:val="center"/>
          </w:tcPr>
          <w:p w14:paraId="123701C6">
            <w:pPr>
              <w:pStyle w:val="41"/>
              <w:rPr>
                <w:rFonts w:hint="eastAsia"/>
                <w:color w:val="auto"/>
                <w:highlight w:val="none"/>
              </w:rPr>
            </w:pPr>
            <w:r>
              <w:rPr>
                <w:rFonts w:hint="eastAsia"/>
                <w:color w:val="auto"/>
                <w:highlight w:val="none"/>
                <w:lang w:eastAsia="zh-CN"/>
              </w:rPr>
              <w:t>占地面积</w:t>
            </w:r>
            <w:r>
              <w:rPr>
                <w:rFonts w:hint="eastAsia"/>
                <w:color w:val="auto"/>
                <w:highlight w:val="none"/>
                <w:lang w:val="en-US" w:eastAsia="zh-CN"/>
              </w:rPr>
              <w:t>612.5m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rPr>
              <w:t>布置于3号振动筛分车间南侧，车间内布置8台干抛磁选机。</w:t>
            </w:r>
          </w:p>
        </w:tc>
        <w:tc>
          <w:tcPr>
            <w:tcW w:w="546" w:type="pct"/>
            <w:tcBorders>
              <w:tl2br w:val="nil"/>
              <w:tr2bl w:val="nil"/>
            </w:tcBorders>
            <w:vAlign w:val="center"/>
          </w:tcPr>
          <w:p w14:paraId="527D37F3">
            <w:pPr>
              <w:pStyle w:val="41"/>
              <w:rPr>
                <w:rFonts w:hint="eastAsia"/>
                <w:color w:val="auto"/>
                <w:highlight w:val="none"/>
              </w:rPr>
            </w:pPr>
            <w:r>
              <w:rPr>
                <w:color w:val="auto"/>
                <w:highlight w:val="none"/>
              </w:rPr>
              <w:t>新建</w:t>
            </w:r>
          </w:p>
        </w:tc>
      </w:tr>
      <w:tr w14:paraId="42DBA9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557" w:hRule="atLeast"/>
          <w:jc w:val="center"/>
        </w:trPr>
        <w:tc>
          <w:tcPr>
            <w:tcW w:w="305" w:type="pct"/>
            <w:vMerge w:val="continue"/>
            <w:tcBorders>
              <w:tl2br w:val="nil"/>
              <w:tr2bl w:val="nil"/>
            </w:tcBorders>
            <w:vAlign w:val="center"/>
          </w:tcPr>
          <w:p w14:paraId="3F0EAA36">
            <w:pPr>
              <w:pStyle w:val="41"/>
              <w:rPr>
                <w:color w:val="auto"/>
                <w:highlight w:val="none"/>
              </w:rPr>
            </w:pPr>
          </w:p>
        </w:tc>
        <w:tc>
          <w:tcPr>
            <w:tcW w:w="294" w:type="pct"/>
            <w:vMerge w:val="continue"/>
            <w:tcBorders>
              <w:tl2br w:val="nil"/>
              <w:tr2bl w:val="nil"/>
            </w:tcBorders>
            <w:vAlign w:val="center"/>
          </w:tcPr>
          <w:p w14:paraId="30A4BFF8">
            <w:pPr>
              <w:pStyle w:val="41"/>
              <w:rPr>
                <w:color w:val="auto"/>
                <w:highlight w:val="none"/>
              </w:rPr>
            </w:pPr>
          </w:p>
        </w:tc>
        <w:tc>
          <w:tcPr>
            <w:tcW w:w="527" w:type="pct"/>
            <w:tcBorders>
              <w:tl2br w:val="nil"/>
              <w:tr2bl w:val="nil"/>
            </w:tcBorders>
            <w:vAlign w:val="center"/>
          </w:tcPr>
          <w:p w14:paraId="3B656B94">
            <w:pPr>
              <w:pStyle w:val="41"/>
              <w:rPr>
                <w:rFonts w:hint="eastAsia" w:ascii="Times New Roman" w:hAnsi="Times New Roman" w:eastAsia="华文中宋" w:cstheme="minorBidi"/>
                <w:color w:val="auto"/>
                <w:sz w:val="21"/>
                <w:szCs w:val="21"/>
                <w:highlight w:val="none"/>
                <w:lang w:val="en-US" w:eastAsia="zh-CN" w:bidi="ar-SA"/>
              </w:rPr>
            </w:pPr>
            <w:r>
              <w:rPr>
                <w:rFonts w:hint="eastAsia"/>
                <w:color w:val="auto"/>
                <w:highlight w:val="none"/>
              </w:rPr>
              <w:t>磨选过滤车间</w:t>
            </w:r>
          </w:p>
        </w:tc>
        <w:tc>
          <w:tcPr>
            <w:tcW w:w="3327" w:type="pct"/>
            <w:tcBorders>
              <w:tl2br w:val="nil"/>
              <w:tr2bl w:val="nil"/>
            </w:tcBorders>
            <w:vAlign w:val="center"/>
          </w:tcPr>
          <w:p w14:paraId="01CF76C0">
            <w:pPr>
              <w:pStyle w:val="41"/>
              <w:rPr>
                <w:rFonts w:hint="eastAsia" w:ascii="Times New Roman" w:hAnsi="Times New Roman" w:eastAsia="华文中宋" w:cstheme="minorBidi"/>
                <w:color w:val="auto"/>
                <w:sz w:val="21"/>
                <w:szCs w:val="21"/>
                <w:highlight w:val="none"/>
                <w:lang w:val="en-US" w:eastAsia="zh-CN" w:bidi="ar-SA"/>
              </w:rPr>
            </w:pPr>
            <w:r>
              <w:rPr>
                <w:rFonts w:hint="eastAsia"/>
                <w:color w:val="auto"/>
                <w:highlight w:val="none"/>
                <w:lang w:eastAsia="zh-CN"/>
              </w:rPr>
              <w:t>占地面积</w:t>
            </w:r>
            <w:r>
              <w:rPr>
                <w:rFonts w:hint="eastAsia"/>
                <w:color w:val="auto"/>
                <w:highlight w:val="none"/>
                <w:lang w:val="en-US" w:eastAsia="zh-CN"/>
              </w:rPr>
              <w:t>2887.83m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lang w:val="en-US" w:eastAsia="zh-CN"/>
              </w:rPr>
              <w:t>车间内布置磨矿机、旋流器、磁选机、圆盘过滤机</w:t>
            </w:r>
            <w:r>
              <w:rPr>
                <w:rFonts w:hint="eastAsia"/>
                <w:color w:val="auto"/>
                <w:highlight w:val="none"/>
                <w:lang w:val="en-US" w:eastAsia="zh-CN"/>
              </w:rPr>
              <w:t>。</w:t>
            </w:r>
          </w:p>
        </w:tc>
        <w:tc>
          <w:tcPr>
            <w:tcW w:w="546" w:type="pct"/>
            <w:tcBorders>
              <w:tl2br w:val="nil"/>
              <w:tr2bl w:val="nil"/>
            </w:tcBorders>
            <w:vAlign w:val="center"/>
          </w:tcPr>
          <w:p w14:paraId="0F0B62D8">
            <w:pPr>
              <w:pStyle w:val="41"/>
              <w:rPr>
                <w:rFonts w:hint="eastAsia" w:ascii="Times New Roman" w:hAnsi="Times New Roman" w:eastAsia="华文中宋" w:cstheme="minorBidi"/>
                <w:color w:val="auto"/>
                <w:sz w:val="21"/>
                <w:szCs w:val="21"/>
                <w:highlight w:val="none"/>
                <w:lang w:val="en-US" w:eastAsia="zh-CN" w:bidi="ar-SA"/>
              </w:rPr>
            </w:pPr>
            <w:r>
              <w:rPr>
                <w:color w:val="auto"/>
                <w:highlight w:val="none"/>
              </w:rPr>
              <w:t>新建</w:t>
            </w:r>
          </w:p>
        </w:tc>
      </w:tr>
      <w:tr w14:paraId="36AF39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557" w:hRule="atLeast"/>
          <w:jc w:val="center"/>
        </w:trPr>
        <w:tc>
          <w:tcPr>
            <w:tcW w:w="305" w:type="pct"/>
            <w:vMerge w:val="continue"/>
            <w:tcBorders>
              <w:tl2br w:val="nil"/>
              <w:tr2bl w:val="nil"/>
            </w:tcBorders>
            <w:vAlign w:val="center"/>
          </w:tcPr>
          <w:p w14:paraId="2B40ADBB">
            <w:pPr>
              <w:pStyle w:val="41"/>
              <w:rPr>
                <w:color w:val="auto"/>
                <w:highlight w:val="none"/>
              </w:rPr>
            </w:pPr>
          </w:p>
        </w:tc>
        <w:tc>
          <w:tcPr>
            <w:tcW w:w="294" w:type="pct"/>
            <w:vMerge w:val="continue"/>
            <w:tcBorders>
              <w:tl2br w:val="nil"/>
              <w:tr2bl w:val="nil"/>
            </w:tcBorders>
            <w:vAlign w:val="center"/>
          </w:tcPr>
          <w:p w14:paraId="516BDFEE">
            <w:pPr>
              <w:pStyle w:val="41"/>
              <w:rPr>
                <w:color w:val="auto"/>
                <w:highlight w:val="none"/>
              </w:rPr>
            </w:pPr>
          </w:p>
        </w:tc>
        <w:tc>
          <w:tcPr>
            <w:tcW w:w="527" w:type="pct"/>
            <w:tcBorders>
              <w:tl2br w:val="nil"/>
              <w:tr2bl w:val="nil"/>
            </w:tcBorders>
            <w:vAlign w:val="center"/>
          </w:tcPr>
          <w:p w14:paraId="0B9A4884">
            <w:pPr>
              <w:pStyle w:val="41"/>
              <w:rPr>
                <w:rFonts w:hint="eastAsia" w:ascii="Times New Roman" w:hAnsi="Times New Roman" w:eastAsia="华文中宋" w:cstheme="minorBidi"/>
                <w:color w:val="auto"/>
                <w:sz w:val="21"/>
                <w:szCs w:val="21"/>
                <w:highlight w:val="none"/>
                <w:lang w:val="en-US" w:eastAsia="zh-CN" w:bidi="ar-SA"/>
              </w:rPr>
            </w:pPr>
            <w:r>
              <w:rPr>
                <w:rFonts w:hint="eastAsia"/>
                <w:color w:val="auto"/>
                <w:highlight w:val="none"/>
              </w:rPr>
              <w:t>烘干精选车间</w:t>
            </w:r>
          </w:p>
        </w:tc>
        <w:tc>
          <w:tcPr>
            <w:tcW w:w="3327" w:type="pct"/>
            <w:tcBorders>
              <w:tl2br w:val="nil"/>
              <w:tr2bl w:val="nil"/>
            </w:tcBorders>
            <w:vAlign w:val="center"/>
          </w:tcPr>
          <w:p w14:paraId="4C534C5D">
            <w:pPr>
              <w:pStyle w:val="41"/>
              <w:rPr>
                <w:rFonts w:hint="eastAsia" w:ascii="Times New Roman" w:hAnsi="Times New Roman" w:eastAsia="华文中宋" w:cstheme="minorBidi"/>
                <w:color w:val="auto"/>
                <w:sz w:val="21"/>
                <w:szCs w:val="21"/>
                <w:highlight w:val="none"/>
                <w:lang w:val="en-US" w:eastAsia="zh-CN" w:bidi="ar-SA"/>
              </w:rPr>
            </w:pPr>
            <w:r>
              <w:rPr>
                <w:rFonts w:hint="eastAsia"/>
                <w:color w:val="auto"/>
                <w:highlight w:val="none"/>
                <w:lang w:eastAsia="zh-CN"/>
              </w:rPr>
              <w:t>占地面积</w:t>
            </w:r>
            <w:r>
              <w:rPr>
                <w:rFonts w:hint="eastAsia"/>
                <w:color w:val="auto"/>
                <w:highlight w:val="none"/>
                <w:lang w:val="en-US" w:eastAsia="zh-CN"/>
              </w:rPr>
              <w:t>839.81m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lang w:val="en-US" w:eastAsia="zh-CN"/>
              </w:rPr>
              <w:t>车间内布置烘干炉、烘干滚筒、冷却滚筒、磁选机、皮带机等设备</w:t>
            </w:r>
            <w:r>
              <w:rPr>
                <w:rFonts w:hint="eastAsia"/>
                <w:color w:val="auto"/>
                <w:highlight w:val="none"/>
                <w:lang w:val="en-US" w:eastAsia="zh-CN"/>
              </w:rPr>
              <w:t>。</w:t>
            </w:r>
          </w:p>
        </w:tc>
        <w:tc>
          <w:tcPr>
            <w:tcW w:w="546" w:type="pct"/>
            <w:tcBorders>
              <w:tl2br w:val="nil"/>
              <w:tr2bl w:val="nil"/>
            </w:tcBorders>
            <w:vAlign w:val="center"/>
          </w:tcPr>
          <w:p w14:paraId="0B459C2A">
            <w:pPr>
              <w:pStyle w:val="41"/>
              <w:rPr>
                <w:rFonts w:hint="eastAsia" w:ascii="Times New Roman" w:hAnsi="Times New Roman" w:eastAsia="华文中宋" w:cstheme="minorBidi"/>
                <w:color w:val="auto"/>
                <w:sz w:val="21"/>
                <w:szCs w:val="21"/>
                <w:highlight w:val="none"/>
                <w:lang w:val="en-US" w:eastAsia="zh-CN" w:bidi="ar-SA"/>
              </w:rPr>
            </w:pPr>
            <w:r>
              <w:rPr>
                <w:color w:val="auto"/>
                <w:highlight w:val="none"/>
              </w:rPr>
              <w:t>新建</w:t>
            </w:r>
          </w:p>
        </w:tc>
      </w:tr>
      <w:tr w14:paraId="43D0CF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557" w:hRule="atLeast"/>
          <w:jc w:val="center"/>
        </w:trPr>
        <w:tc>
          <w:tcPr>
            <w:tcW w:w="305" w:type="pct"/>
            <w:vMerge w:val="continue"/>
            <w:tcBorders>
              <w:tl2br w:val="nil"/>
              <w:tr2bl w:val="nil"/>
            </w:tcBorders>
            <w:vAlign w:val="center"/>
          </w:tcPr>
          <w:p w14:paraId="015D1AD0">
            <w:pPr>
              <w:pStyle w:val="41"/>
              <w:rPr>
                <w:rFonts w:hint="eastAsia"/>
                <w:color w:val="auto"/>
                <w:highlight w:val="none"/>
              </w:rPr>
            </w:pPr>
          </w:p>
        </w:tc>
        <w:tc>
          <w:tcPr>
            <w:tcW w:w="294" w:type="pct"/>
            <w:vMerge w:val="continue"/>
            <w:tcBorders>
              <w:tl2br w:val="nil"/>
              <w:tr2bl w:val="nil"/>
            </w:tcBorders>
            <w:vAlign w:val="center"/>
          </w:tcPr>
          <w:p w14:paraId="60DC44A5">
            <w:pPr>
              <w:pStyle w:val="41"/>
              <w:rPr>
                <w:rFonts w:hint="eastAsia"/>
                <w:color w:val="auto"/>
                <w:highlight w:val="none"/>
              </w:rPr>
            </w:pPr>
          </w:p>
        </w:tc>
        <w:tc>
          <w:tcPr>
            <w:tcW w:w="527" w:type="pct"/>
            <w:tcBorders>
              <w:tl2br w:val="nil"/>
              <w:tr2bl w:val="nil"/>
            </w:tcBorders>
            <w:vAlign w:val="center"/>
          </w:tcPr>
          <w:p w14:paraId="244FB793">
            <w:pPr>
              <w:pStyle w:val="41"/>
              <w:rPr>
                <w:rFonts w:hint="eastAsia" w:ascii="Times New Roman" w:hAnsi="Times New Roman" w:eastAsia="华文中宋" w:cstheme="minorBidi"/>
                <w:color w:val="auto"/>
                <w:sz w:val="21"/>
                <w:szCs w:val="21"/>
                <w:highlight w:val="none"/>
                <w:lang w:val="en-US" w:eastAsia="zh-CN" w:bidi="ar-SA"/>
              </w:rPr>
            </w:pPr>
            <w:r>
              <w:rPr>
                <w:rFonts w:hint="eastAsia"/>
                <w:color w:val="auto"/>
                <w:highlight w:val="none"/>
              </w:rPr>
              <w:t>重选车间</w:t>
            </w:r>
          </w:p>
        </w:tc>
        <w:tc>
          <w:tcPr>
            <w:tcW w:w="3327" w:type="pct"/>
            <w:tcBorders>
              <w:tl2br w:val="nil"/>
              <w:tr2bl w:val="nil"/>
            </w:tcBorders>
            <w:vAlign w:val="center"/>
          </w:tcPr>
          <w:p w14:paraId="0C3B594C">
            <w:pPr>
              <w:pStyle w:val="41"/>
              <w:rPr>
                <w:rFonts w:hint="eastAsia" w:ascii="Times New Roman" w:hAnsi="Times New Roman" w:eastAsia="华文中宋" w:cstheme="minorBidi"/>
                <w:color w:val="auto"/>
                <w:sz w:val="21"/>
                <w:szCs w:val="21"/>
                <w:highlight w:val="none"/>
                <w:lang w:val="en-US" w:eastAsia="zh-CN" w:bidi="ar-SA"/>
              </w:rPr>
            </w:pPr>
            <w:r>
              <w:rPr>
                <w:rFonts w:hint="eastAsia"/>
                <w:color w:val="auto"/>
                <w:highlight w:val="none"/>
                <w:lang w:eastAsia="zh-CN"/>
              </w:rPr>
              <w:t>占地面积</w:t>
            </w:r>
            <w:r>
              <w:rPr>
                <w:rFonts w:hint="eastAsia"/>
                <w:color w:val="auto"/>
                <w:highlight w:val="none"/>
                <w:lang w:val="en-US" w:eastAsia="zh-CN"/>
              </w:rPr>
              <w:t>3423.74m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lang w:val="en-US" w:eastAsia="zh-CN"/>
              </w:rPr>
              <w:t>车间内布置螺旋溜槽及机泵设备</w:t>
            </w:r>
            <w:r>
              <w:rPr>
                <w:rFonts w:hint="eastAsia"/>
                <w:color w:val="auto"/>
                <w:highlight w:val="none"/>
                <w:lang w:val="en-US" w:eastAsia="zh-CN"/>
              </w:rPr>
              <w:t>。</w:t>
            </w:r>
          </w:p>
        </w:tc>
        <w:tc>
          <w:tcPr>
            <w:tcW w:w="546" w:type="pct"/>
            <w:tcBorders>
              <w:tl2br w:val="nil"/>
              <w:tr2bl w:val="nil"/>
            </w:tcBorders>
            <w:vAlign w:val="center"/>
          </w:tcPr>
          <w:p w14:paraId="2D825061">
            <w:pPr>
              <w:pStyle w:val="41"/>
              <w:rPr>
                <w:rFonts w:hint="eastAsia" w:ascii="Times New Roman" w:hAnsi="Times New Roman" w:eastAsia="华文中宋" w:cstheme="minorBidi"/>
                <w:color w:val="auto"/>
                <w:sz w:val="21"/>
                <w:szCs w:val="21"/>
                <w:highlight w:val="none"/>
                <w:lang w:val="en-US" w:eastAsia="zh-CN" w:bidi="ar-SA"/>
              </w:rPr>
            </w:pPr>
            <w:r>
              <w:rPr>
                <w:color w:val="auto"/>
                <w:highlight w:val="none"/>
              </w:rPr>
              <w:t>新建</w:t>
            </w:r>
          </w:p>
        </w:tc>
      </w:tr>
      <w:tr w14:paraId="62FBF9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557" w:hRule="atLeast"/>
          <w:jc w:val="center"/>
        </w:trPr>
        <w:tc>
          <w:tcPr>
            <w:tcW w:w="305" w:type="pct"/>
            <w:vMerge w:val="continue"/>
            <w:tcBorders>
              <w:tl2br w:val="nil"/>
              <w:tr2bl w:val="nil"/>
            </w:tcBorders>
            <w:vAlign w:val="center"/>
          </w:tcPr>
          <w:p w14:paraId="71A3F49B">
            <w:pPr>
              <w:pStyle w:val="41"/>
              <w:rPr>
                <w:rFonts w:hint="eastAsia"/>
                <w:color w:val="auto"/>
                <w:highlight w:val="none"/>
              </w:rPr>
            </w:pPr>
          </w:p>
        </w:tc>
        <w:tc>
          <w:tcPr>
            <w:tcW w:w="294" w:type="pct"/>
            <w:vMerge w:val="continue"/>
            <w:tcBorders>
              <w:tl2br w:val="nil"/>
              <w:tr2bl w:val="nil"/>
            </w:tcBorders>
            <w:vAlign w:val="center"/>
          </w:tcPr>
          <w:p w14:paraId="16FE3959">
            <w:pPr>
              <w:pStyle w:val="41"/>
              <w:rPr>
                <w:rFonts w:hint="eastAsia"/>
                <w:color w:val="auto"/>
                <w:highlight w:val="none"/>
              </w:rPr>
            </w:pPr>
          </w:p>
        </w:tc>
        <w:tc>
          <w:tcPr>
            <w:tcW w:w="527" w:type="pct"/>
            <w:tcBorders>
              <w:tl2br w:val="nil"/>
              <w:tr2bl w:val="nil"/>
            </w:tcBorders>
            <w:vAlign w:val="center"/>
          </w:tcPr>
          <w:p w14:paraId="56DAD67E">
            <w:pPr>
              <w:pStyle w:val="41"/>
              <w:rPr>
                <w:rFonts w:hint="eastAsia" w:ascii="Times New Roman" w:hAnsi="Times New Roman" w:eastAsia="华文中宋" w:cstheme="minorBidi"/>
                <w:color w:val="auto"/>
                <w:sz w:val="21"/>
                <w:szCs w:val="21"/>
                <w:highlight w:val="none"/>
                <w:lang w:val="en-US" w:eastAsia="zh-CN" w:bidi="ar-SA"/>
              </w:rPr>
            </w:pPr>
            <w:r>
              <w:rPr>
                <w:rFonts w:hint="eastAsia"/>
                <w:color w:val="auto"/>
                <w:highlight w:val="none"/>
              </w:rPr>
              <w:t>尾矿干排车间</w:t>
            </w:r>
          </w:p>
        </w:tc>
        <w:tc>
          <w:tcPr>
            <w:tcW w:w="3327" w:type="pct"/>
            <w:tcBorders>
              <w:tl2br w:val="nil"/>
              <w:tr2bl w:val="nil"/>
            </w:tcBorders>
            <w:vAlign w:val="center"/>
          </w:tcPr>
          <w:p w14:paraId="3118DA09">
            <w:pPr>
              <w:pStyle w:val="41"/>
              <w:rPr>
                <w:rFonts w:hint="default" w:ascii="Times New Roman" w:hAnsi="Times New Roman" w:eastAsia="华文中宋" w:cstheme="minorBidi"/>
                <w:color w:val="auto"/>
                <w:sz w:val="21"/>
                <w:szCs w:val="21"/>
                <w:highlight w:val="none"/>
                <w:lang w:val="en-US" w:eastAsia="zh-CN" w:bidi="ar-SA"/>
              </w:rPr>
            </w:pPr>
            <w:r>
              <w:rPr>
                <w:rFonts w:hint="eastAsia"/>
                <w:color w:val="auto"/>
                <w:highlight w:val="none"/>
                <w:lang w:eastAsia="zh-CN"/>
              </w:rPr>
              <w:t>占地面积</w:t>
            </w:r>
            <w:r>
              <w:rPr>
                <w:rFonts w:hint="eastAsia"/>
                <w:color w:val="auto"/>
                <w:highlight w:val="none"/>
                <w:lang w:val="en-US" w:eastAsia="zh-CN"/>
              </w:rPr>
              <w:t>1800m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lang w:val="en-US" w:eastAsia="zh-CN"/>
              </w:rPr>
              <w:t>车间内布置脱水筛、压滤机及两座耙式浓密机</w:t>
            </w:r>
            <w:r>
              <w:rPr>
                <w:rFonts w:hint="eastAsia"/>
                <w:color w:val="auto"/>
                <w:highlight w:val="none"/>
                <w:lang w:val="en-US" w:eastAsia="zh-CN"/>
              </w:rPr>
              <w:t>。</w:t>
            </w:r>
          </w:p>
        </w:tc>
        <w:tc>
          <w:tcPr>
            <w:tcW w:w="546" w:type="pct"/>
            <w:tcBorders>
              <w:tl2br w:val="nil"/>
              <w:tr2bl w:val="nil"/>
            </w:tcBorders>
            <w:vAlign w:val="center"/>
          </w:tcPr>
          <w:p w14:paraId="57860778">
            <w:pPr>
              <w:pStyle w:val="41"/>
              <w:rPr>
                <w:rFonts w:hint="eastAsia" w:ascii="Times New Roman" w:hAnsi="Times New Roman" w:eastAsia="华文中宋" w:cstheme="minorBidi"/>
                <w:color w:val="auto"/>
                <w:sz w:val="21"/>
                <w:szCs w:val="21"/>
                <w:highlight w:val="none"/>
                <w:lang w:val="en-US" w:eastAsia="zh-CN" w:bidi="ar-SA"/>
              </w:rPr>
            </w:pPr>
            <w:r>
              <w:rPr>
                <w:color w:val="auto"/>
                <w:highlight w:val="none"/>
              </w:rPr>
              <w:t>新建</w:t>
            </w:r>
          </w:p>
        </w:tc>
      </w:tr>
      <w:tr w14:paraId="3B9767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557" w:hRule="atLeast"/>
          <w:jc w:val="center"/>
        </w:trPr>
        <w:tc>
          <w:tcPr>
            <w:tcW w:w="305" w:type="pct"/>
            <w:vMerge w:val="continue"/>
            <w:tcBorders>
              <w:tl2br w:val="nil"/>
              <w:tr2bl w:val="nil"/>
            </w:tcBorders>
            <w:vAlign w:val="center"/>
          </w:tcPr>
          <w:p w14:paraId="219278D1">
            <w:pPr>
              <w:pStyle w:val="41"/>
              <w:rPr>
                <w:rFonts w:hint="eastAsia"/>
                <w:color w:val="auto"/>
                <w:highlight w:val="none"/>
              </w:rPr>
            </w:pPr>
          </w:p>
        </w:tc>
        <w:tc>
          <w:tcPr>
            <w:tcW w:w="294" w:type="pct"/>
            <w:vMerge w:val="restart"/>
            <w:tcBorders>
              <w:tl2br w:val="nil"/>
              <w:tr2bl w:val="nil"/>
            </w:tcBorders>
            <w:vAlign w:val="center"/>
          </w:tcPr>
          <w:p w14:paraId="1E624631">
            <w:pPr>
              <w:pStyle w:val="41"/>
              <w:rPr>
                <w:rFonts w:hint="eastAsia"/>
                <w:color w:val="auto"/>
                <w:highlight w:val="none"/>
              </w:rPr>
            </w:pPr>
            <w:r>
              <w:rPr>
                <w:rFonts w:hint="eastAsia"/>
                <w:color w:val="auto"/>
                <w:highlight w:val="none"/>
              </w:rPr>
              <w:t>选矿厂</w:t>
            </w:r>
            <w:r>
              <w:rPr>
                <w:rFonts w:hint="eastAsia"/>
                <w:color w:val="auto"/>
                <w:highlight w:val="none"/>
                <w:lang w:eastAsia="zh-CN"/>
              </w:rPr>
              <w:t>（二期）</w:t>
            </w:r>
          </w:p>
        </w:tc>
        <w:tc>
          <w:tcPr>
            <w:tcW w:w="527" w:type="pct"/>
            <w:tcBorders>
              <w:tl2br w:val="nil"/>
              <w:tr2bl w:val="nil"/>
            </w:tcBorders>
            <w:vAlign w:val="center"/>
          </w:tcPr>
          <w:p w14:paraId="6168F95B">
            <w:pPr>
              <w:pStyle w:val="41"/>
              <w:rPr>
                <w:rFonts w:hint="eastAsia"/>
                <w:color w:val="auto"/>
                <w:highlight w:val="none"/>
              </w:rPr>
            </w:pPr>
            <w:r>
              <w:rPr>
                <w:rFonts w:hint="eastAsia"/>
                <w:color w:val="auto"/>
                <w:highlight w:val="none"/>
              </w:rPr>
              <w:t>滚轴筛车间</w:t>
            </w:r>
          </w:p>
        </w:tc>
        <w:tc>
          <w:tcPr>
            <w:tcW w:w="3327" w:type="pct"/>
            <w:tcBorders>
              <w:tl2br w:val="nil"/>
              <w:tr2bl w:val="nil"/>
            </w:tcBorders>
            <w:vAlign w:val="center"/>
          </w:tcPr>
          <w:p w14:paraId="170892EA">
            <w:pPr>
              <w:pStyle w:val="41"/>
              <w:rPr>
                <w:rFonts w:hint="eastAsia"/>
                <w:color w:val="auto"/>
                <w:highlight w:val="none"/>
                <w:lang w:eastAsia="zh-CN"/>
              </w:rPr>
            </w:pPr>
            <w:r>
              <w:rPr>
                <w:rFonts w:hint="eastAsia"/>
                <w:color w:val="auto"/>
                <w:highlight w:val="none"/>
                <w:lang w:eastAsia="zh-CN"/>
              </w:rPr>
              <w:t>占地面积</w:t>
            </w:r>
            <w:r>
              <w:rPr>
                <w:rFonts w:hint="eastAsia"/>
                <w:color w:val="auto"/>
                <w:highlight w:val="none"/>
                <w:lang w:val="en-US" w:eastAsia="zh-CN"/>
              </w:rPr>
              <w:t>297m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lang w:val="en-US" w:eastAsia="zh-CN"/>
              </w:rPr>
              <w:t>滚轴筛车间内布置1台链板喂料器和1台滚轴筛</w:t>
            </w:r>
            <w:r>
              <w:rPr>
                <w:rFonts w:hint="eastAsia"/>
                <w:color w:val="auto"/>
                <w:highlight w:val="none"/>
                <w:lang w:eastAsia="zh-CN"/>
              </w:rPr>
              <w:t>。</w:t>
            </w:r>
          </w:p>
        </w:tc>
        <w:tc>
          <w:tcPr>
            <w:tcW w:w="546" w:type="pct"/>
            <w:tcBorders>
              <w:tl2br w:val="nil"/>
              <w:tr2bl w:val="nil"/>
            </w:tcBorders>
            <w:vAlign w:val="center"/>
          </w:tcPr>
          <w:p w14:paraId="37EB43EA">
            <w:pPr>
              <w:pStyle w:val="41"/>
              <w:rPr>
                <w:color w:val="auto"/>
                <w:highlight w:val="none"/>
              </w:rPr>
            </w:pPr>
            <w:r>
              <w:rPr>
                <w:color w:val="auto"/>
                <w:highlight w:val="none"/>
              </w:rPr>
              <w:t>新建</w:t>
            </w:r>
          </w:p>
        </w:tc>
      </w:tr>
      <w:tr w14:paraId="17E457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557" w:hRule="atLeast"/>
          <w:jc w:val="center"/>
        </w:trPr>
        <w:tc>
          <w:tcPr>
            <w:tcW w:w="305" w:type="pct"/>
            <w:vMerge w:val="continue"/>
            <w:tcBorders>
              <w:tl2br w:val="nil"/>
              <w:tr2bl w:val="nil"/>
            </w:tcBorders>
            <w:vAlign w:val="center"/>
          </w:tcPr>
          <w:p w14:paraId="5F8E70FE">
            <w:pPr>
              <w:pStyle w:val="41"/>
              <w:rPr>
                <w:rFonts w:hint="eastAsia"/>
                <w:color w:val="auto"/>
                <w:highlight w:val="none"/>
              </w:rPr>
            </w:pPr>
          </w:p>
        </w:tc>
        <w:tc>
          <w:tcPr>
            <w:tcW w:w="294" w:type="pct"/>
            <w:vMerge w:val="continue"/>
            <w:tcBorders>
              <w:tl2br w:val="nil"/>
              <w:tr2bl w:val="nil"/>
            </w:tcBorders>
            <w:vAlign w:val="center"/>
          </w:tcPr>
          <w:p w14:paraId="6A5D40C5">
            <w:pPr>
              <w:pStyle w:val="41"/>
              <w:rPr>
                <w:rFonts w:hint="eastAsia"/>
                <w:color w:val="auto"/>
                <w:highlight w:val="none"/>
              </w:rPr>
            </w:pPr>
          </w:p>
        </w:tc>
        <w:tc>
          <w:tcPr>
            <w:tcW w:w="527" w:type="pct"/>
            <w:tcBorders>
              <w:tl2br w:val="nil"/>
              <w:tr2bl w:val="nil"/>
            </w:tcBorders>
            <w:vAlign w:val="center"/>
          </w:tcPr>
          <w:p w14:paraId="3588F10D">
            <w:pPr>
              <w:pStyle w:val="41"/>
              <w:rPr>
                <w:rFonts w:hint="eastAsia"/>
                <w:color w:val="auto"/>
                <w:highlight w:val="none"/>
              </w:rPr>
            </w:pPr>
            <w:r>
              <w:rPr>
                <w:rFonts w:hint="eastAsia"/>
                <w:color w:val="auto"/>
                <w:highlight w:val="none"/>
              </w:rPr>
              <w:t>粗/中碎车间</w:t>
            </w:r>
          </w:p>
        </w:tc>
        <w:tc>
          <w:tcPr>
            <w:tcW w:w="3327" w:type="pct"/>
            <w:tcBorders>
              <w:tl2br w:val="nil"/>
              <w:tr2bl w:val="nil"/>
            </w:tcBorders>
            <w:vAlign w:val="center"/>
          </w:tcPr>
          <w:p w14:paraId="13EEB094">
            <w:pPr>
              <w:pStyle w:val="41"/>
              <w:rPr>
                <w:rFonts w:hint="eastAsia"/>
                <w:color w:val="auto"/>
                <w:highlight w:val="none"/>
                <w:lang w:eastAsia="zh-CN"/>
              </w:rPr>
            </w:pPr>
            <w:r>
              <w:rPr>
                <w:rFonts w:hint="eastAsia"/>
                <w:color w:val="auto"/>
                <w:highlight w:val="none"/>
                <w:lang w:val="en-US" w:eastAsia="zh-CN"/>
              </w:rPr>
              <w:t>1号粗碎车间布置于滚轴筛车间左下角，</w:t>
            </w:r>
            <w:r>
              <w:rPr>
                <w:rFonts w:hint="eastAsia"/>
                <w:color w:val="auto"/>
                <w:highlight w:val="none"/>
                <w:lang w:eastAsia="zh-CN"/>
              </w:rPr>
              <w:t>占地面积</w:t>
            </w:r>
            <w:r>
              <w:rPr>
                <w:rFonts w:hint="eastAsia"/>
                <w:color w:val="auto"/>
                <w:highlight w:val="none"/>
                <w:lang w:val="en-US" w:eastAsia="zh-CN"/>
              </w:rPr>
              <w:t>197.51m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lang w:val="en-US" w:eastAsia="zh-CN"/>
              </w:rPr>
              <w:t>车间内布置1台颚式破碎机</w:t>
            </w:r>
            <w:r>
              <w:rPr>
                <w:rFonts w:hint="eastAsia"/>
                <w:color w:val="auto"/>
                <w:highlight w:val="none"/>
                <w:lang w:eastAsia="zh-CN"/>
              </w:rPr>
              <w:t>。</w:t>
            </w:r>
          </w:p>
        </w:tc>
        <w:tc>
          <w:tcPr>
            <w:tcW w:w="546" w:type="pct"/>
            <w:tcBorders>
              <w:tl2br w:val="nil"/>
              <w:tr2bl w:val="nil"/>
            </w:tcBorders>
            <w:vAlign w:val="center"/>
          </w:tcPr>
          <w:p w14:paraId="1F466231">
            <w:pPr>
              <w:pStyle w:val="41"/>
              <w:rPr>
                <w:color w:val="auto"/>
                <w:highlight w:val="none"/>
              </w:rPr>
            </w:pPr>
            <w:r>
              <w:rPr>
                <w:color w:val="auto"/>
                <w:highlight w:val="none"/>
              </w:rPr>
              <w:t>新建</w:t>
            </w:r>
          </w:p>
        </w:tc>
      </w:tr>
      <w:tr w14:paraId="31902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557" w:hRule="atLeast"/>
          <w:jc w:val="center"/>
        </w:trPr>
        <w:tc>
          <w:tcPr>
            <w:tcW w:w="305" w:type="pct"/>
            <w:vMerge w:val="continue"/>
            <w:tcBorders>
              <w:tl2br w:val="nil"/>
              <w:tr2bl w:val="nil"/>
            </w:tcBorders>
            <w:vAlign w:val="center"/>
          </w:tcPr>
          <w:p w14:paraId="5889CBCA">
            <w:pPr>
              <w:pStyle w:val="41"/>
              <w:rPr>
                <w:rFonts w:hint="eastAsia"/>
                <w:color w:val="auto"/>
                <w:highlight w:val="none"/>
              </w:rPr>
            </w:pPr>
          </w:p>
        </w:tc>
        <w:tc>
          <w:tcPr>
            <w:tcW w:w="294" w:type="pct"/>
            <w:vMerge w:val="continue"/>
            <w:tcBorders>
              <w:tl2br w:val="nil"/>
              <w:tr2bl w:val="nil"/>
            </w:tcBorders>
            <w:vAlign w:val="center"/>
          </w:tcPr>
          <w:p w14:paraId="35008232">
            <w:pPr>
              <w:pStyle w:val="41"/>
              <w:rPr>
                <w:rFonts w:hint="eastAsia"/>
                <w:color w:val="auto"/>
                <w:highlight w:val="none"/>
              </w:rPr>
            </w:pPr>
          </w:p>
        </w:tc>
        <w:tc>
          <w:tcPr>
            <w:tcW w:w="527" w:type="pct"/>
            <w:tcBorders>
              <w:tl2br w:val="nil"/>
              <w:tr2bl w:val="nil"/>
            </w:tcBorders>
            <w:vAlign w:val="center"/>
          </w:tcPr>
          <w:p w14:paraId="2014D1EF">
            <w:pPr>
              <w:pStyle w:val="41"/>
              <w:rPr>
                <w:rFonts w:hint="eastAsia"/>
                <w:color w:val="auto"/>
                <w:highlight w:val="none"/>
              </w:rPr>
            </w:pPr>
            <w:r>
              <w:rPr>
                <w:rFonts w:hint="eastAsia"/>
                <w:color w:val="auto"/>
                <w:highlight w:val="none"/>
              </w:rPr>
              <w:t>1号振动筛分车间</w:t>
            </w:r>
          </w:p>
        </w:tc>
        <w:tc>
          <w:tcPr>
            <w:tcW w:w="3327" w:type="pct"/>
            <w:tcBorders>
              <w:tl2br w:val="nil"/>
              <w:tr2bl w:val="nil"/>
            </w:tcBorders>
            <w:vAlign w:val="center"/>
          </w:tcPr>
          <w:p w14:paraId="56F173D0">
            <w:pPr>
              <w:pStyle w:val="41"/>
              <w:rPr>
                <w:rFonts w:hint="eastAsia"/>
                <w:color w:val="auto"/>
                <w:highlight w:val="none"/>
                <w:lang w:eastAsia="zh-CN"/>
              </w:rPr>
            </w:pPr>
            <w:r>
              <w:rPr>
                <w:rFonts w:hint="eastAsia"/>
                <w:color w:val="auto"/>
                <w:highlight w:val="none"/>
                <w:lang w:val="en-US" w:eastAsia="zh-CN"/>
              </w:rPr>
              <w:t>2号粗/中碎车间布置于滚轴筛车间正下方，</w:t>
            </w:r>
            <w:r>
              <w:rPr>
                <w:rFonts w:hint="eastAsia"/>
                <w:color w:val="auto"/>
                <w:highlight w:val="none"/>
                <w:lang w:eastAsia="zh-CN"/>
              </w:rPr>
              <w:t>占地面积</w:t>
            </w:r>
            <w:r>
              <w:rPr>
                <w:rFonts w:hint="eastAsia"/>
                <w:color w:val="auto"/>
                <w:highlight w:val="none"/>
                <w:lang w:val="en-US" w:eastAsia="zh-CN"/>
              </w:rPr>
              <w:t>320.28m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lang w:val="en-US" w:eastAsia="zh-CN"/>
              </w:rPr>
              <w:t>车间内布置一台颚式破碎机和一台圆锥破碎机；1号直线筛车间布置于2号粗/中碎车间左下方，</w:t>
            </w:r>
            <w:r>
              <w:rPr>
                <w:rFonts w:hint="eastAsia"/>
                <w:color w:val="auto"/>
                <w:highlight w:val="none"/>
                <w:lang w:eastAsia="zh-CN"/>
              </w:rPr>
              <w:t>占地面积</w:t>
            </w:r>
            <w:r>
              <w:rPr>
                <w:rFonts w:hint="eastAsia"/>
                <w:color w:val="auto"/>
                <w:highlight w:val="none"/>
                <w:lang w:val="en-US" w:eastAsia="zh-CN"/>
              </w:rPr>
              <w:t>266m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lang w:val="en-US" w:eastAsia="zh-CN"/>
              </w:rPr>
              <w:t>车间内布置一台直线筛；2号细碎车间布置于缓冲料仓正下方，</w:t>
            </w:r>
            <w:r>
              <w:rPr>
                <w:rFonts w:hint="eastAsia"/>
                <w:color w:val="auto"/>
                <w:highlight w:val="none"/>
                <w:lang w:eastAsia="zh-CN"/>
              </w:rPr>
              <w:t>占地面积</w:t>
            </w:r>
            <w:r>
              <w:rPr>
                <w:rFonts w:hint="eastAsia"/>
                <w:color w:val="auto"/>
                <w:highlight w:val="none"/>
                <w:lang w:val="en-US" w:eastAsia="zh-CN"/>
              </w:rPr>
              <w:t>146.13m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lang w:val="en-US" w:eastAsia="zh-CN"/>
              </w:rPr>
              <w:t>车间内布置一台锤式破碎机；2号直线筛车间布置于1号直线筛车间下方，</w:t>
            </w:r>
            <w:r>
              <w:rPr>
                <w:rFonts w:hint="eastAsia"/>
                <w:color w:val="auto"/>
                <w:highlight w:val="none"/>
                <w:lang w:eastAsia="zh-CN"/>
              </w:rPr>
              <w:t>占地面积</w:t>
            </w:r>
            <w:r>
              <w:rPr>
                <w:rFonts w:hint="eastAsia"/>
                <w:color w:val="auto"/>
                <w:highlight w:val="none"/>
                <w:lang w:val="en-US" w:eastAsia="zh-CN"/>
              </w:rPr>
              <w:t>247m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lang w:val="en-US" w:eastAsia="zh-CN"/>
              </w:rPr>
              <w:t>车间内布置一台直线筛。</w:t>
            </w:r>
          </w:p>
        </w:tc>
        <w:tc>
          <w:tcPr>
            <w:tcW w:w="546" w:type="pct"/>
            <w:tcBorders>
              <w:tl2br w:val="nil"/>
              <w:tr2bl w:val="nil"/>
            </w:tcBorders>
            <w:vAlign w:val="center"/>
          </w:tcPr>
          <w:p w14:paraId="24DECBC1">
            <w:pPr>
              <w:pStyle w:val="41"/>
              <w:rPr>
                <w:color w:val="auto"/>
                <w:highlight w:val="none"/>
              </w:rPr>
            </w:pPr>
            <w:r>
              <w:rPr>
                <w:color w:val="auto"/>
                <w:highlight w:val="none"/>
              </w:rPr>
              <w:t>新建</w:t>
            </w:r>
          </w:p>
        </w:tc>
      </w:tr>
      <w:tr w14:paraId="47F954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557" w:hRule="atLeast"/>
          <w:jc w:val="center"/>
        </w:trPr>
        <w:tc>
          <w:tcPr>
            <w:tcW w:w="305" w:type="pct"/>
            <w:vMerge w:val="continue"/>
            <w:tcBorders>
              <w:tl2br w:val="nil"/>
              <w:tr2bl w:val="nil"/>
            </w:tcBorders>
            <w:vAlign w:val="center"/>
          </w:tcPr>
          <w:p w14:paraId="6690BA1C">
            <w:pPr>
              <w:pStyle w:val="41"/>
              <w:rPr>
                <w:rFonts w:hint="eastAsia"/>
                <w:color w:val="auto"/>
                <w:highlight w:val="none"/>
              </w:rPr>
            </w:pPr>
          </w:p>
        </w:tc>
        <w:tc>
          <w:tcPr>
            <w:tcW w:w="294" w:type="pct"/>
            <w:vMerge w:val="continue"/>
            <w:tcBorders>
              <w:tl2br w:val="nil"/>
              <w:tr2bl w:val="nil"/>
            </w:tcBorders>
            <w:vAlign w:val="center"/>
          </w:tcPr>
          <w:p w14:paraId="2FFD2A75">
            <w:pPr>
              <w:pStyle w:val="41"/>
              <w:rPr>
                <w:rFonts w:hint="eastAsia"/>
                <w:color w:val="auto"/>
                <w:highlight w:val="none"/>
              </w:rPr>
            </w:pPr>
          </w:p>
        </w:tc>
        <w:tc>
          <w:tcPr>
            <w:tcW w:w="527" w:type="pct"/>
            <w:tcBorders>
              <w:tl2br w:val="nil"/>
              <w:tr2bl w:val="nil"/>
            </w:tcBorders>
            <w:vAlign w:val="center"/>
          </w:tcPr>
          <w:p w14:paraId="3C9C0141">
            <w:pPr>
              <w:pStyle w:val="41"/>
              <w:rPr>
                <w:rFonts w:hint="eastAsia"/>
                <w:color w:val="auto"/>
                <w:highlight w:val="none"/>
              </w:rPr>
            </w:pPr>
            <w:r>
              <w:rPr>
                <w:rFonts w:hint="eastAsia"/>
                <w:color w:val="auto"/>
                <w:highlight w:val="none"/>
              </w:rPr>
              <w:t>干抛磁选车间</w:t>
            </w:r>
          </w:p>
        </w:tc>
        <w:tc>
          <w:tcPr>
            <w:tcW w:w="3327" w:type="pct"/>
            <w:tcBorders>
              <w:tl2br w:val="nil"/>
              <w:tr2bl w:val="nil"/>
            </w:tcBorders>
            <w:vAlign w:val="center"/>
          </w:tcPr>
          <w:p w14:paraId="6B66349B">
            <w:pPr>
              <w:pStyle w:val="41"/>
              <w:rPr>
                <w:rFonts w:hint="eastAsia"/>
                <w:color w:val="auto"/>
                <w:highlight w:val="none"/>
                <w:lang w:eastAsia="zh-CN"/>
              </w:rPr>
            </w:pPr>
            <w:r>
              <w:rPr>
                <w:rFonts w:hint="eastAsia"/>
                <w:color w:val="auto"/>
                <w:highlight w:val="none"/>
                <w:lang w:val="en-US" w:eastAsia="zh-CN"/>
              </w:rPr>
              <w:t>1号干抛磁选车间布置于1号细碎车间下方，车间内布置4台干抛磁选机；2号干抛磁选车间布置于1号干抛磁选车间右侧，车间内布置8台干抛磁选机</w:t>
            </w:r>
            <w:r>
              <w:rPr>
                <w:rFonts w:hint="eastAsia"/>
                <w:color w:val="auto"/>
                <w:highlight w:val="none"/>
              </w:rPr>
              <w:t>。</w:t>
            </w:r>
          </w:p>
        </w:tc>
        <w:tc>
          <w:tcPr>
            <w:tcW w:w="546" w:type="pct"/>
            <w:tcBorders>
              <w:tl2br w:val="nil"/>
              <w:tr2bl w:val="nil"/>
            </w:tcBorders>
            <w:vAlign w:val="center"/>
          </w:tcPr>
          <w:p w14:paraId="63DA8A3B">
            <w:pPr>
              <w:pStyle w:val="41"/>
              <w:rPr>
                <w:color w:val="auto"/>
                <w:highlight w:val="none"/>
              </w:rPr>
            </w:pPr>
            <w:r>
              <w:rPr>
                <w:color w:val="auto"/>
                <w:highlight w:val="none"/>
              </w:rPr>
              <w:t>新建</w:t>
            </w:r>
          </w:p>
        </w:tc>
      </w:tr>
      <w:tr w14:paraId="3F1C1A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557" w:hRule="atLeast"/>
          <w:jc w:val="center"/>
        </w:trPr>
        <w:tc>
          <w:tcPr>
            <w:tcW w:w="305" w:type="pct"/>
            <w:vMerge w:val="continue"/>
            <w:tcBorders>
              <w:tl2br w:val="nil"/>
              <w:tr2bl w:val="nil"/>
            </w:tcBorders>
            <w:vAlign w:val="center"/>
          </w:tcPr>
          <w:p w14:paraId="5920B516">
            <w:pPr>
              <w:pStyle w:val="41"/>
              <w:rPr>
                <w:rFonts w:hint="eastAsia"/>
                <w:color w:val="auto"/>
                <w:highlight w:val="none"/>
              </w:rPr>
            </w:pPr>
          </w:p>
        </w:tc>
        <w:tc>
          <w:tcPr>
            <w:tcW w:w="294" w:type="pct"/>
            <w:vMerge w:val="continue"/>
            <w:tcBorders>
              <w:tl2br w:val="nil"/>
              <w:tr2bl w:val="nil"/>
            </w:tcBorders>
            <w:vAlign w:val="center"/>
          </w:tcPr>
          <w:p w14:paraId="18F278E8">
            <w:pPr>
              <w:pStyle w:val="41"/>
              <w:rPr>
                <w:rFonts w:hint="eastAsia"/>
                <w:color w:val="auto"/>
                <w:highlight w:val="none"/>
              </w:rPr>
            </w:pPr>
          </w:p>
        </w:tc>
        <w:tc>
          <w:tcPr>
            <w:tcW w:w="527" w:type="pct"/>
            <w:tcBorders>
              <w:tl2br w:val="nil"/>
              <w:tr2bl w:val="nil"/>
            </w:tcBorders>
            <w:vAlign w:val="center"/>
          </w:tcPr>
          <w:p w14:paraId="191264E8">
            <w:pPr>
              <w:pStyle w:val="41"/>
              <w:rPr>
                <w:rFonts w:hint="eastAsia"/>
                <w:color w:val="auto"/>
                <w:highlight w:val="none"/>
              </w:rPr>
            </w:pPr>
            <w:r>
              <w:rPr>
                <w:rFonts w:hint="eastAsia"/>
                <w:color w:val="auto"/>
                <w:highlight w:val="none"/>
              </w:rPr>
              <w:t>磨选过滤车间</w:t>
            </w:r>
          </w:p>
        </w:tc>
        <w:tc>
          <w:tcPr>
            <w:tcW w:w="3327" w:type="pct"/>
            <w:tcBorders>
              <w:tl2br w:val="nil"/>
              <w:tr2bl w:val="nil"/>
            </w:tcBorders>
            <w:vAlign w:val="center"/>
          </w:tcPr>
          <w:p w14:paraId="534363B6">
            <w:pPr>
              <w:pStyle w:val="41"/>
              <w:rPr>
                <w:rFonts w:hint="eastAsia"/>
                <w:color w:val="auto"/>
                <w:highlight w:val="none"/>
                <w:lang w:eastAsia="zh-CN"/>
              </w:rPr>
            </w:pPr>
            <w:r>
              <w:rPr>
                <w:rFonts w:hint="default"/>
                <w:color w:val="auto"/>
                <w:highlight w:val="none"/>
                <w:lang w:val="en-US" w:eastAsia="zh-CN"/>
              </w:rPr>
              <w:t>1</w:t>
            </w:r>
            <w:r>
              <w:rPr>
                <w:color w:val="auto"/>
                <w:highlight w:val="none"/>
                <w:lang w:val="en-US" w:eastAsia="zh-CN"/>
              </w:rPr>
              <w:t>号磨选过滤车间</w:t>
            </w:r>
            <w:r>
              <w:rPr>
                <w:rFonts w:hint="eastAsia"/>
                <w:color w:val="auto"/>
                <w:highlight w:val="none"/>
                <w:lang w:eastAsia="zh-CN"/>
              </w:rPr>
              <w:t>占地面积</w:t>
            </w:r>
            <w:r>
              <w:rPr>
                <w:rFonts w:hint="eastAsia"/>
                <w:color w:val="auto"/>
                <w:highlight w:val="none"/>
                <w:lang w:val="en-US" w:eastAsia="zh-CN"/>
              </w:rPr>
              <w:t>1057.68m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lang w:val="en-US" w:eastAsia="zh-CN"/>
              </w:rPr>
              <w:t>2</w:t>
            </w:r>
            <w:r>
              <w:rPr>
                <w:color w:val="auto"/>
                <w:highlight w:val="none"/>
                <w:lang w:val="en-US" w:eastAsia="zh-CN"/>
              </w:rPr>
              <w:t>号磨选过滤车间</w:t>
            </w:r>
            <w:r>
              <w:rPr>
                <w:rFonts w:hint="eastAsia"/>
                <w:color w:val="auto"/>
                <w:highlight w:val="none"/>
                <w:lang w:eastAsia="zh-CN"/>
              </w:rPr>
              <w:t>占地面积</w:t>
            </w:r>
            <w:r>
              <w:rPr>
                <w:rFonts w:hint="eastAsia"/>
                <w:color w:val="auto"/>
                <w:highlight w:val="none"/>
                <w:lang w:val="en-US" w:eastAsia="zh-CN"/>
              </w:rPr>
              <w:t>1656.72m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lang w:val="en-US" w:eastAsia="zh-CN"/>
              </w:rPr>
              <w:t>车间内布置磨矿机、旋流器、磁选机、圆盘过滤机。</w:t>
            </w:r>
          </w:p>
        </w:tc>
        <w:tc>
          <w:tcPr>
            <w:tcW w:w="546" w:type="pct"/>
            <w:tcBorders>
              <w:tl2br w:val="nil"/>
              <w:tr2bl w:val="nil"/>
            </w:tcBorders>
            <w:vAlign w:val="center"/>
          </w:tcPr>
          <w:p w14:paraId="6B844706">
            <w:pPr>
              <w:pStyle w:val="41"/>
              <w:rPr>
                <w:color w:val="auto"/>
                <w:highlight w:val="none"/>
              </w:rPr>
            </w:pPr>
            <w:r>
              <w:rPr>
                <w:rFonts w:hint="eastAsia"/>
                <w:color w:val="auto"/>
                <w:highlight w:val="none"/>
                <w:lang w:eastAsia="zh-CN"/>
              </w:rPr>
              <w:t>1号车间依托原有，</w:t>
            </w:r>
            <w:r>
              <w:rPr>
                <w:rFonts w:hint="eastAsia"/>
                <w:color w:val="auto"/>
                <w:highlight w:val="none"/>
                <w:lang w:val="en-US" w:eastAsia="zh-CN"/>
              </w:rPr>
              <w:t>2号车间新建</w:t>
            </w:r>
          </w:p>
        </w:tc>
      </w:tr>
      <w:tr w14:paraId="0E263E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557" w:hRule="atLeast"/>
          <w:jc w:val="center"/>
        </w:trPr>
        <w:tc>
          <w:tcPr>
            <w:tcW w:w="305" w:type="pct"/>
            <w:vMerge w:val="continue"/>
            <w:tcBorders>
              <w:tl2br w:val="nil"/>
              <w:tr2bl w:val="nil"/>
            </w:tcBorders>
            <w:vAlign w:val="center"/>
          </w:tcPr>
          <w:p w14:paraId="3D8A3D99">
            <w:pPr>
              <w:pStyle w:val="41"/>
              <w:rPr>
                <w:rFonts w:hint="eastAsia"/>
                <w:color w:val="auto"/>
                <w:highlight w:val="none"/>
              </w:rPr>
            </w:pPr>
          </w:p>
        </w:tc>
        <w:tc>
          <w:tcPr>
            <w:tcW w:w="294" w:type="pct"/>
            <w:vMerge w:val="continue"/>
            <w:tcBorders>
              <w:tl2br w:val="nil"/>
              <w:tr2bl w:val="nil"/>
            </w:tcBorders>
            <w:vAlign w:val="center"/>
          </w:tcPr>
          <w:p w14:paraId="46FF4BB6">
            <w:pPr>
              <w:pStyle w:val="41"/>
              <w:rPr>
                <w:rFonts w:hint="eastAsia"/>
                <w:color w:val="auto"/>
                <w:highlight w:val="none"/>
              </w:rPr>
            </w:pPr>
          </w:p>
        </w:tc>
        <w:tc>
          <w:tcPr>
            <w:tcW w:w="527" w:type="pct"/>
            <w:tcBorders>
              <w:tl2br w:val="nil"/>
              <w:tr2bl w:val="nil"/>
            </w:tcBorders>
            <w:vAlign w:val="center"/>
          </w:tcPr>
          <w:p w14:paraId="61BFA9EF">
            <w:pPr>
              <w:pStyle w:val="41"/>
              <w:rPr>
                <w:rFonts w:hint="eastAsia"/>
                <w:color w:val="auto"/>
                <w:highlight w:val="none"/>
              </w:rPr>
            </w:pPr>
            <w:r>
              <w:rPr>
                <w:rFonts w:hint="eastAsia"/>
                <w:color w:val="auto"/>
                <w:highlight w:val="none"/>
              </w:rPr>
              <w:t>烘干精选车间</w:t>
            </w:r>
          </w:p>
        </w:tc>
        <w:tc>
          <w:tcPr>
            <w:tcW w:w="3327" w:type="pct"/>
            <w:tcBorders>
              <w:tl2br w:val="nil"/>
              <w:tr2bl w:val="nil"/>
            </w:tcBorders>
            <w:vAlign w:val="center"/>
          </w:tcPr>
          <w:p w14:paraId="644EDCD3">
            <w:pPr>
              <w:pStyle w:val="41"/>
              <w:rPr>
                <w:rFonts w:hint="eastAsia"/>
                <w:color w:val="auto"/>
                <w:highlight w:val="none"/>
                <w:lang w:eastAsia="zh-CN"/>
              </w:rPr>
            </w:pPr>
            <w:r>
              <w:rPr>
                <w:rFonts w:hint="default"/>
                <w:color w:val="auto"/>
                <w:highlight w:val="none"/>
                <w:lang w:val="en-US" w:eastAsia="zh-CN"/>
              </w:rPr>
              <w:t>1</w:t>
            </w:r>
            <w:r>
              <w:rPr>
                <w:color w:val="auto"/>
                <w:highlight w:val="none"/>
                <w:lang w:val="en-US" w:eastAsia="zh-CN"/>
              </w:rPr>
              <w:t>号烘干精选车间</w:t>
            </w:r>
            <w:r>
              <w:rPr>
                <w:rFonts w:hint="eastAsia"/>
                <w:color w:val="auto"/>
                <w:highlight w:val="none"/>
                <w:lang w:eastAsia="zh-CN"/>
              </w:rPr>
              <w:t>占地面积</w:t>
            </w:r>
            <w:r>
              <w:rPr>
                <w:rFonts w:hint="eastAsia"/>
                <w:color w:val="auto"/>
                <w:highlight w:val="none"/>
                <w:lang w:val="en-US" w:eastAsia="zh-CN"/>
              </w:rPr>
              <w:t>1624m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lang w:val="en-US" w:eastAsia="zh-CN"/>
              </w:rPr>
              <w:t>2</w:t>
            </w:r>
            <w:r>
              <w:rPr>
                <w:color w:val="auto"/>
                <w:highlight w:val="none"/>
                <w:lang w:val="en-US" w:eastAsia="zh-CN"/>
              </w:rPr>
              <w:t>号烘干精选车间</w:t>
            </w:r>
            <w:r>
              <w:rPr>
                <w:rFonts w:hint="eastAsia"/>
                <w:color w:val="auto"/>
                <w:highlight w:val="none"/>
                <w:lang w:eastAsia="zh-CN"/>
              </w:rPr>
              <w:t>占地面积</w:t>
            </w:r>
            <w:r>
              <w:rPr>
                <w:rFonts w:hint="eastAsia"/>
                <w:color w:val="auto"/>
                <w:highlight w:val="none"/>
                <w:lang w:val="en-US" w:eastAsia="zh-CN"/>
              </w:rPr>
              <w:t>1056m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lang w:val="en-US" w:eastAsia="zh-CN"/>
              </w:rPr>
              <w:t>车间内布置烘干炉、烘干滚筒、冷却滚筒、磁选机、皮带机等设备。</w:t>
            </w:r>
          </w:p>
        </w:tc>
        <w:tc>
          <w:tcPr>
            <w:tcW w:w="546" w:type="pct"/>
            <w:tcBorders>
              <w:tl2br w:val="nil"/>
              <w:tr2bl w:val="nil"/>
            </w:tcBorders>
            <w:vAlign w:val="center"/>
          </w:tcPr>
          <w:p w14:paraId="25285598">
            <w:pPr>
              <w:pStyle w:val="41"/>
              <w:rPr>
                <w:color w:val="auto"/>
                <w:highlight w:val="none"/>
              </w:rPr>
            </w:pPr>
            <w:r>
              <w:rPr>
                <w:color w:val="auto"/>
                <w:highlight w:val="none"/>
              </w:rPr>
              <w:t>新建</w:t>
            </w:r>
          </w:p>
        </w:tc>
      </w:tr>
      <w:tr w14:paraId="5E062B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557" w:hRule="atLeast"/>
          <w:jc w:val="center"/>
        </w:trPr>
        <w:tc>
          <w:tcPr>
            <w:tcW w:w="305" w:type="pct"/>
            <w:vMerge w:val="continue"/>
            <w:tcBorders>
              <w:tl2br w:val="nil"/>
              <w:tr2bl w:val="nil"/>
            </w:tcBorders>
            <w:vAlign w:val="center"/>
          </w:tcPr>
          <w:p w14:paraId="429513ED">
            <w:pPr>
              <w:pStyle w:val="41"/>
              <w:rPr>
                <w:rFonts w:hint="eastAsia"/>
                <w:color w:val="auto"/>
                <w:highlight w:val="none"/>
              </w:rPr>
            </w:pPr>
          </w:p>
        </w:tc>
        <w:tc>
          <w:tcPr>
            <w:tcW w:w="294" w:type="pct"/>
            <w:vMerge w:val="continue"/>
            <w:tcBorders>
              <w:tl2br w:val="nil"/>
              <w:tr2bl w:val="nil"/>
            </w:tcBorders>
            <w:vAlign w:val="center"/>
          </w:tcPr>
          <w:p w14:paraId="3D4F7905">
            <w:pPr>
              <w:pStyle w:val="41"/>
              <w:rPr>
                <w:rFonts w:hint="eastAsia"/>
                <w:color w:val="auto"/>
                <w:highlight w:val="none"/>
              </w:rPr>
            </w:pPr>
          </w:p>
        </w:tc>
        <w:tc>
          <w:tcPr>
            <w:tcW w:w="527" w:type="pct"/>
            <w:tcBorders>
              <w:tl2br w:val="nil"/>
              <w:tr2bl w:val="nil"/>
            </w:tcBorders>
            <w:vAlign w:val="center"/>
          </w:tcPr>
          <w:p w14:paraId="2662EF20">
            <w:pPr>
              <w:pStyle w:val="41"/>
              <w:rPr>
                <w:rFonts w:hint="eastAsia"/>
                <w:color w:val="auto"/>
                <w:highlight w:val="none"/>
              </w:rPr>
            </w:pPr>
            <w:r>
              <w:rPr>
                <w:rFonts w:hint="eastAsia"/>
                <w:color w:val="auto"/>
                <w:highlight w:val="none"/>
              </w:rPr>
              <w:t>重选车间</w:t>
            </w:r>
          </w:p>
        </w:tc>
        <w:tc>
          <w:tcPr>
            <w:tcW w:w="3327" w:type="pct"/>
            <w:tcBorders>
              <w:tl2br w:val="nil"/>
              <w:tr2bl w:val="nil"/>
            </w:tcBorders>
            <w:vAlign w:val="center"/>
          </w:tcPr>
          <w:p w14:paraId="44FA55E3">
            <w:pPr>
              <w:pStyle w:val="41"/>
              <w:rPr>
                <w:rFonts w:hint="eastAsia"/>
                <w:color w:val="auto"/>
                <w:highlight w:val="none"/>
                <w:lang w:eastAsia="zh-CN"/>
              </w:rPr>
            </w:pPr>
            <w:r>
              <w:rPr>
                <w:rFonts w:hint="default"/>
                <w:color w:val="auto"/>
                <w:highlight w:val="none"/>
                <w:lang w:val="en-US" w:eastAsia="zh-CN"/>
              </w:rPr>
              <w:t>1</w:t>
            </w:r>
            <w:r>
              <w:rPr>
                <w:color w:val="auto"/>
                <w:highlight w:val="none"/>
                <w:lang w:val="en-US" w:eastAsia="zh-CN"/>
              </w:rPr>
              <w:t>号重选车间</w:t>
            </w:r>
            <w:r>
              <w:rPr>
                <w:rFonts w:hint="eastAsia"/>
                <w:color w:val="auto"/>
                <w:highlight w:val="none"/>
                <w:lang w:eastAsia="zh-CN"/>
              </w:rPr>
              <w:t>占地面积</w:t>
            </w:r>
            <w:r>
              <w:rPr>
                <w:rFonts w:hint="eastAsia"/>
                <w:color w:val="auto"/>
                <w:highlight w:val="none"/>
                <w:lang w:val="en-US" w:eastAsia="zh-CN"/>
              </w:rPr>
              <w:t>812m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lang w:val="en-US" w:eastAsia="zh-CN"/>
              </w:rPr>
              <w:t>车间内布置螺旋溜槽和各类机泵设备；2</w:t>
            </w:r>
            <w:r>
              <w:rPr>
                <w:color w:val="auto"/>
                <w:highlight w:val="none"/>
                <w:lang w:val="en-US" w:eastAsia="zh-CN"/>
              </w:rPr>
              <w:t>号重选车间</w:t>
            </w:r>
            <w:r>
              <w:rPr>
                <w:rFonts w:hint="eastAsia"/>
                <w:color w:val="auto"/>
                <w:highlight w:val="none"/>
                <w:lang w:eastAsia="zh-CN"/>
              </w:rPr>
              <w:t>占地面积</w:t>
            </w:r>
            <w:r>
              <w:rPr>
                <w:rFonts w:hint="eastAsia"/>
                <w:color w:val="auto"/>
                <w:highlight w:val="none"/>
                <w:lang w:val="en-US" w:eastAsia="zh-CN"/>
              </w:rPr>
              <w:t>27221.51m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lang w:val="en-US" w:eastAsia="zh-CN"/>
              </w:rPr>
              <w:t>重选车间位于变电站西侧，车间内布置螺旋溜槽及各类机泵。</w:t>
            </w:r>
          </w:p>
        </w:tc>
        <w:tc>
          <w:tcPr>
            <w:tcW w:w="546" w:type="pct"/>
            <w:tcBorders>
              <w:tl2br w:val="nil"/>
              <w:tr2bl w:val="nil"/>
            </w:tcBorders>
            <w:vAlign w:val="center"/>
          </w:tcPr>
          <w:p w14:paraId="1CBF42C8">
            <w:pPr>
              <w:pStyle w:val="41"/>
              <w:rPr>
                <w:rFonts w:hint="default"/>
                <w:color w:val="auto"/>
                <w:highlight w:val="none"/>
              </w:rPr>
            </w:pPr>
            <w:r>
              <w:rPr>
                <w:rFonts w:hint="eastAsia"/>
                <w:color w:val="auto"/>
                <w:highlight w:val="none"/>
                <w:lang w:eastAsia="zh-CN"/>
              </w:rPr>
              <w:t>1号车间依托原有，</w:t>
            </w:r>
            <w:r>
              <w:rPr>
                <w:rFonts w:hint="eastAsia"/>
                <w:color w:val="auto"/>
                <w:highlight w:val="none"/>
                <w:lang w:val="en-US" w:eastAsia="zh-CN"/>
              </w:rPr>
              <w:t>2号车间新建</w:t>
            </w:r>
          </w:p>
        </w:tc>
      </w:tr>
      <w:tr w14:paraId="1EA8B7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557" w:hRule="atLeast"/>
          <w:jc w:val="center"/>
        </w:trPr>
        <w:tc>
          <w:tcPr>
            <w:tcW w:w="305" w:type="pct"/>
            <w:vMerge w:val="continue"/>
            <w:tcBorders>
              <w:tl2br w:val="nil"/>
              <w:tr2bl w:val="nil"/>
            </w:tcBorders>
            <w:vAlign w:val="center"/>
          </w:tcPr>
          <w:p w14:paraId="5CAA5B54">
            <w:pPr>
              <w:pStyle w:val="41"/>
              <w:rPr>
                <w:rFonts w:hint="eastAsia"/>
                <w:color w:val="auto"/>
                <w:highlight w:val="none"/>
              </w:rPr>
            </w:pPr>
          </w:p>
        </w:tc>
        <w:tc>
          <w:tcPr>
            <w:tcW w:w="294" w:type="pct"/>
            <w:vMerge w:val="continue"/>
            <w:tcBorders>
              <w:tl2br w:val="nil"/>
              <w:tr2bl w:val="nil"/>
            </w:tcBorders>
            <w:vAlign w:val="center"/>
          </w:tcPr>
          <w:p w14:paraId="6C424C7F">
            <w:pPr>
              <w:pStyle w:val="41"/>
              <w:rPr>
                <w:rFonts w:hint="eastAsia"/>
                <w:color w:val="auto"/>
                <w:highlight w:val="none"/>
              </w:rPr>
            </w:pPr>
          </w:p>
        </w:tc>
        <w:tc>
          <w:tcPr>
            <w:tcW w:w="527" w:type="pct"/>
            <w:tcBorders>
              <w:tl2br w:val="nil"/>
              <w:tr2bl w:val="nil"/>
            </w:tcBorders>
            <w:vAlign w:val="center"/>
          </w:tcPr>
          <w:p w14:paraId="03CDC0E1">
            <w:pPr>
              <w:pStyle w:val="41"/>
              <w:rPr>
                <w:rFonts w:hint="eastAsia"/>
                <w:color w:val="auto"/>
                <w:highlight w:val="none"/>
              </w:rPr>
            </w:pPr>
            <w:r>
              <w:rPr>
                <w:rFonts w:hint="eastAsia"/>
                <w:color w:val="auto"/>
                <w:highlight w:val="none"/>
              </w:rPr>
              <w:t>尾矿干排车间</w:t>
            </w:r>
          </w:p>
        </w:tc>
        <w:tc>
          <w:tcPr>
            <w:tcW w:w="3327" w:type="pct"/>
            <w:tcBorders>
              <w:tl2br w:val="nil"/>
              <w:tr2bl w:val="nil"/>
            </w:tcBorders>
            <w:vAlign w:val="center"/>
          </w:tcPr>
          <w:p w14:paraId="6262F4A9">
            <w:pPr>
              <w:pStyle w:val="41"/>
              <w:rPr>
                <w:rFonts w:hint="eastAsia"/>
                <w:color w:val="auto"/>
                <w:highlight w:val="none"/>
                <w:lang w:eastAsia="zh-CN"/>
              </w:rPr>
            </w:pPr>
            <w:r>
              <w:rPr>
                <w:rFonts w:hint="eastAsia"/>
                <w:color w:val="auto"/>
                <w:highlight w:val="none"/>
                <w:lang w:eastAsia="zh-CN"/>
              </w:rPr>
              <w:t>占地面积</w:t>
            </w:r>
            <w:r>
              <w:rPr>
                <w:rFonts w:hint="eastAsia"/>
                <w:color w:val="auto"/>
                <w:highlight w:val="none"/>
                <w:lang w:val="en-US" w:eastAsia="zh-CN"/>
              </w:rPr>
              <w:t>300m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lang w:val="en-US" w:eastAsia="zh-CN"/>
              </w:rPr>
              <w:t>尾矿干排车间位于2号烘干精选车间正南侧，车间内布置脱水筛。</w:t>
            </w:r>
          </w:p>
        </w:tc>
        <w:tc>
          <w:tcPr>
            <w:tcW w:w="546" w:type="pct"/>
            <w:tcBorders>
              <w:tl2br w:val="nil"/>
              <w:tr2bl w:val="nil"/>
            </w:tcBorders>
            <w:vAlign w:val="center"/>
          </w:tcPr>
          <w:p w14:paraId="7512F5E8">
            <w:pPr>
              <w:pStyle w:val="41"/>
              <w:rPr>
                <w:color w:val="auto"/>
                <w:highlight w:val="none"/>
              </w:rPr>
            </w:pPr>
            <w:r>
              <w:rPr>
                <w:rFonts w:hint="eastAsia"/>
                <w:color w:val="auto"/>
                <w:highlight w:val="none"/>
                <w:lang w:eastAsia="zh-CN"/>
              </w:rPr>
              <w:t>依托原有</w:t>
            </w:r>
          </w:p>
        </w:tc>
      </w:tr>
      <w:tr w14:paraId="190A00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23" w:hRule="atLeast"/>
          <w:jc w:val="center"/>
        </w:trPr>
        <w:tc>
          <w:tcPr>
            <w:tcW w:w="305" w:type="pct"/>
            <w:vMerge w:val="continue"/>
            <w:tcBorders>
              <w:tl2br w:val="nil"/>
              <w:tr2bl w:val="nil"/>
            </w:tcBorders>
            <w:vAlign w:val="center"/>
          </w:tcPr>
          <w:p w14:paraId="2E845681">
            <w:pPr>
              <w:pStyle w:val="41"/>
              <w:rPr>
                <w:color w:val="auto"/>
                <w:highlight w:val="none"/>
              </w:rPr>
            </w:pPr>
          </w:p>
        </w:tc>
        <w:tc>
          <w:tcPr>
            <w:tcW w:w="294" w:type="pct"/>
            <w:vMerge w:val="restart"/>
            <w:tcBorders>
              <w:tl2br w:val="nil"/>
              <w:tr2bl w:val="nil"/>
            </w:tcBorders>
            <w:vAlign w:val="center"/>
          </w:tcPr>
          <w:p w14:paraId="35F11020">
            <w:pPr>
              <w:pStyle w:val="41"/>
              <w:rPr>
                <w:rFonts w:hint="eastAsia" w:eastAsia="华文中宋"/>
                <w:color w:val="auto"/>
                <w:highlight w:val="none"/>
                <w:lang w:eastAsia="zh-CN"/>
              </w:rPr>
            </w:pPr>
            <w:r>
              <w:rPr>
                <w:color w:val="auto"/>
                <w:highlight w:val="none"/>
              </w:rPr>
              <w:t>尾矿库</w:t>
            </w:r>
            <w:r>
              <w:rPr>
                <w:rFonts w:hint="eastAsia"/>
                <w:color w:val="auto"/>
                <w:highlight w:val="none"/>
                <w:lang w:eastAsia="zh-CN"/>
              </w:rPr>
              <w:t>（一期）</w:t>
            </w:r>
          </w:p>
        </w:tc>
        <w:tc>
          <w:tcPr>
            <w:tcW w:w="527" w:type="pct"/>
            <w:tcBorders>
              <w:tl2br w:val="nil"/>
              <w:tr2bl w:val="nil"/>
            </w:tcBorders>
            <w:vAlign w:val="center"/>
          </w:tcPr>
          <w:p w14:paraId="7C0478AF">
            <w:pPr>
              <w:pStyle w:val="41"/>
              <w:rPr>
                <w:color w:val="auto"/>
                <w:highlight w:val="none"/>
              </w:rPr>
            </w:pPr>
            <w:r>
              <w:rPr>
                <w:color w:val="auto"/>
                <w:highlight w:val="none"/>
              </w:rPr>
              <w:t>尾矿库</w:t>
            </w:r>
          </w:p>
        </w:tc>
        <w:tc>
          <w:tcPr>
            <w:tcW w:w="3327" w:type="pct"/>
            <w:tcBorders>
              <w:tl2br w:val="nil"/>
              <w:tr2bl w:val="nil"/>
            </w:tcBorders>
            <w:vAlign w:val="center"/>
          </w:tcPr>
          <w:p w14:paraId="5296CDCE">
            <w:pPr>
              <w:pStyle w:val="41"/>
              <w:rPr>
                <w:color w:val="auto"/>
                <w:highlight w:val="none"/>
              </w:rPr>
            </w:pPr>
            <w:r>
              <w:rPr>
                <w:rFonts w:hint="eastAsia"/>
                <w:color w:val="auto"/>
                <w:highlight w:val="none"/>
              </w:rPr>
              <w:t>拟建尾矿库位于选厂西北南侧8km处沟谷内，干式尾矿库，采用库前式尾矿排矿筑坝法。设计初期坝坝顶标高1930.0m，坝高30m；堆积坝坝顶标高2015.0m，坝高85.0m；总坝高115.0m，总库容4223.61万m</w:t>
            </w:r>
            <w:r>
              <w:rPr>
                <w:rFonts w:hint="eastAsia"/>
                <w:color w:val="auto"/>
                <w:highlight w:val="none"/>
                <w:vertAlign w:val="superscript"/>
              </w:rPr>
              <w:t>3</w:t>
            </w:r>
            <w:r>
              <w:rPr>
                <w:rFonts w:hint="eastAsia"/>
                <w:color w:val="auto"/>
                <w:highlight w:val="none"/>
              </w:rPr>
              <w:t>，有效库容3801.25万m</w:t>
            </w:r>
            <w:r>
              <w:rPr>
                <w:rFonts w:hint="eastAsia"/>
                <w:color w:val="auto"/>
                <w:highlight w:val="none"/>
                <w:vertAlign w:val="superscript"/>
              </w:rPr>
              <w:t>3</w:t>
            </w:r>
            <w:r>
              <w:rPr>
                <w:rFonts w:hint="eastAsia"/>
                <w:color w:val="auto"/>
                <w:highlight w:val="none"/>
              </w:rPr>
              <w:t>，服务年限20.14年，设计尾矿库等别为二等，防洪标准为1000年一遇。</w:t>
            </w:r>
          </w:p>
        </w:tc>
        <w:tc>
          <w:tcPr>
            <w:tcW w:w="546" w:type="pct"/>
            <w:tcBorders>
              <w:tl2br w:val="nil"/>
              <w:tr2bl w:val="nil"/>
            </w:tcBorders>
            <w:vAlign w:val="center"/>
          </w:tcPr>
          <w:p w14:paraId="7E6237F7">
            <w:pPr>
              <w:pStyle w:val="41"/>
              <w:rPr>
                <w:color w:val="auto"/>
                <w:highlight w:val="none"/>
              </w:rPr>
            </w:pPr>
            <w:r>
              <w:rPr>
                <w:color w:val="auto"/>
                <w:highlight w:val="none"/>
              </w:rPr>
              <w:t>新建</w:t>
            </w:r>
          </w:p>
        </w:tc>
      </w:tr>
      <w:tr w14:paraId="42C3E7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23" w:hRule="atLeast"/>
          <w:jc w:val="center"/>
        </w:trPr>
        <w:tc>
          <w:tcPr>
            <w:tcW w:w="305" w:type="pct"/>
            <w:vMerge w:val="continue"/>
            <w:tcBorders>
              <w:tl2br w:val="nil"/>
              <w:tr2bl w:val="nil"/>
            </w:tcBorders>
            <w:vAlign w:val="center"/>
          </w:tcPr>
          <w:p w14:paraId="2FC805AC">
            <w:pPr>
              <w:pStyle w:val="41"/>
              <w:rPr>
                <w:color w:val="auto"/>
                <w:highlight w:val="none"/>
              </w:rPr>
            </w:pPr>
          </w:p>
        </w:tc>
        <w:tc>
          <w:tcPr>
            <w:tcW w:w="294" w:type="pct"/>
            <w:vMerge w:val="continue"/>
            <w:tcBorders>
              <w:tl2br w:val="nil"/>
              <w:tr2bl w:val="nil"/>
            </w:tcBorders>
            <w:vAlign w:val="center"/>
          </w:tcPr>
          <w:p w14:paraId="278E6CC1">
            <w:pPr>
              <w:pStyle w:val="41"/>
              <w:rPr>
                <w:color w:val="auto"/>
                <w:highlight w:val="none"/>
              </w:rPr>
            </w:pPr>
          </w:p>
        </w:tc>
        <w:tc>
          <w:tcPr>
            <w:tcW w:w="527" w:type="pct"/>
            <w:tcBorders>
              <w:tl2br w:val="nil"/>
              <w:tr2bl w:val="nil"/>
            </w:tcBorders>
            <w:vAlign w:val="center"/>
          </w:tcPr>
          <w:p w14:paraId="1DEEF6B7">
            <w:pPr>
              <w:pStyle w:val="41"/>
              <w:rPr>
                <w:color w:val="auto"/>
                <w:highlight w:val="none"/>
              </w:rPr>
            </w:pPr>
            <w:r>
              <w:rPr>
                <w:color w:val="auto"/>
                <w:highlight w:val="none"/>
              </w:rPr>
              <w:t>回水系统</w:t>
            </w:r>
          </w:p>
        </w:tc>
        <w:tc>
          <w:tcPr>
            <w:tcW w:w="3327" w:type="pct"/>
            <w:tcBorders>
              <w:tl2br w:val="nil"/>
              <w:tr2bl w:val="nil"/>
            </w:tcBorders>
            <w:vAlign w:val="center"/>
          </w:tcPr>
          <w:p w14:paraId="737B92B5">
            <w:pPr>
              <w:pStyle w:val="41"/>
              <w:rPr>
                <w:color w:val="auto"/>
                <w:highlight w:val="none"/>
              </w:rPr>
            </w:pPr>
            <w:r>
              <w:rPr>
                <w:color w:val="auto"/>
                <w:highlight w:val="none"/>
              </w:rPr>
              <w:t>设计范围内的尾矿回水仅为渗滤液回水。在尾矿库下游设置环保应急事故池兼做集渗池，用于收集渗滤液，</w:t>
            </w:r>
            <w:r>
              <w:rPr>
                <w:rFonts w:hint="eastAsia"/>
                <w:color w:val="auto"/>
                <w:highlight w:val="none"/>
              </w:rPr>
              <w:t>事故池布设于消力池出口，为塘状，顶宽85m，底宽65m，深5.0m，顶标高1901.5m，高出地面至少0.5m，周边采用土工膜+10cm厚喷锚混凝土防渗。有效容积28625m</w:t>
            </w:r>
            <w:r>
              <w:rPr>
                <w:rFonts w:hint="eastAsia"/>
                <w:color w:val="auto"/>
                <w:highlight w:val="none"/>
                <w:vertAlign w:val="superscript"/>
              </w:rPr>
              <w:t>3</w:t>
            </w:r>
            <w:r>
              <w:rPr>
                <w:rFonts w:hint="eastAsia"/>
                <w:color w:val="auto"/>
                <w:highlight w:val="none"/>
              </w:rPr>
              <w:t>。</w:t>
            </w:r>
          </w:p>
        </w:tc>
        <w:tc>
          <w:tcPr>
            <w:tcW w:w="546" w:type="pct"/>
            <w:tcBorders>
              <w:tl2br w:val="nil"/>
              <w:tr2bl w:val="nil"/>
            </w:tcBorders>
            <w:vAlign w:val="center"/>
          </w:tcPr>
          <w:p w14:paraId="66B82DDA">
            <w:pPr>
              <w:pStyle w:val="41"/>
              <w:rPr>
                <w:color w:val="auto"/>
                <w:highlight w:val="none"/>
              </w:rPr>
            </w:pPr>
            <w:r>
              <w:rPr>
                <w:color w:val="auto"/>
                <w:highlight w:val="none"/>
              </w:rPr>
              <w:t>新建</w:t>
            </w:r>
          </w:p>
        </w:tc>
      </w:tr>
      <w:tr w14:paraId="1512E6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23" w:hRule="atLeast"/>
          <w:jc w:val="center"/>
        </w:trPr>
        <w:tc>
          <w:tcPr>
            <w:tcW w:w="305" w:type="pct"/>
            <w:tcBorders>
              <w:tl2br w:val="nil"/>
              <w:tr2bl w:val="nil"/>
            </w:tcBorders>
            <w:vAlign w:val="center"/>
          </w:tcPr>
          <w:p w14:paraId="7082C16B">
            <w:pPr>
              <w:pStyle w:val="41"/>
              <w:rPr>
                <w:color w:val="auto"/>
                <w:highlight w:val="none"/>
              </w:rPr>
            </w:pPr>
            <w:r>
              <w:rPr>
                <w:color w:val="auto"/>
                <w:highlight w:val="none"/>
              </w:rPr>
              <w:t>辅助工程</w:t>
            </w:r>
          </w:p>
        </w:tc>
        <w:tc>
          <w:tcPr>
            <w:tcW w:w="821" w:type="pct"/>
            <w:gridSpan w:val="2"/>
            <w:tcBorders>
              <w:tl2br w:val="nil"/>
              <w:tr2bl w:val="nil"/>
            </w:tcBorders>
            <w:vAlign w:val="center"/>
          </w:tcPr>
          <w:p w14:paraId="634329D1">
            <w:pPr>
              <w:pStyle w:val="41"/>
              <w:rPr>
                <w:color w:val="auto"/>
                <w:highlight w:val="none"/>
              </w:rPr>
            </w:pPr>
            <w:r>
              <w:rPr>
                <w:color w:val="auto"/>
                <w:highlight w:val="none"/>
              </w:rPr>
              <w:t>办公生活区</w:t>
            </w:r>
          </w:p>
        </w:tc>
        <w:tc>
          <w:tcPr>
            <w:tcW w:w="3327" w:type="pct"/>
            <w:tcBorders>
              <w:tl2br w:val="nil"/>
              <w:tr2bl w:val="nil"/>
            </w:tcBorders>
            <w:vAlign w:val="center"/>
          </w:tcPr>
          <w:p w14:paraId="22A8322F">
            <w:pPr>
              <w:pStyle w:val="41"/>
              <w:rPr>
                <w:color w:val="auto"/>
                <w:highlight w:val="none"/>
              </w:rPr>
            </w:pPr>
            <w:r>
              <w:rPr>
                <w:rFonts w:hint="eastAsia"/>
                <w:color w:val="auto"/>
                <w:highlight w:val="none"/>
              </w:rPr>
              <w:t>办公生活区位于区域一，办公生活区由倒班宿舍、职工餐厅、辅助用房以及办公楼组成，办公生活区</w:t>
            </w:r>
            <w:r>
              <w:rPr>
                <w:color w:val="auto"/>
                <w:highlight w:val="none"/>
              </w:rPr>
              <w:t>总用地面积</w:t>
            </w:r>
            <w:r>
              <w:rPr>
                <w:rFonts w:hint="eastAsia"/>
                <w:color w:val="auto"/>
                <w:highlight w:val="none"/>
              </w:rPr>
              <w:t>22120.85</w:t>
            </w:r>
            <w:r>
              <w:rPr>
                <w:rFonts w:hint="eastAsia"/>
                <w:color w:val="auto"/>
                <w:highlight w:val="none"/>
                <w:lang w:val="en-US" w:eastAsia="zh-CN"/>
              </w:rPr>
              <w:t>m</w:t>
            </w:r>
            <w:r>
              <w:rPr>
                <w:rFonts w:hint="eastAsia"/>
                <w:color w:val="auto"/>
                <w:highlight w:val="none"/>
                <w:vertAlign w:val="superscript"/>
                <w:lang w:val="en-US" w:eastAsia="zh-CN"/>
              </w:rPr>
              <w:t>2</w:t>
            </w:r>
            <w:r>
              <w:rPr>
                <w:rFonts w:hint="eastAsia"/>
                <w:color w:val="auto"/>
                <w:highlight w:val="none"/>
                <w:lang w:eastAsia="zh-CN"/>
              </w:rPr>
              <w:t>。</w:t>
            </w:r>
          </w:p>
        </w:tc>
        <w:tc>
          <w:tcPr>
            <w:tcW w:w="546" w:type="pct"/>
            <w:tcBorders>
              <w:tl2br w:val="nil"/>
              <w:tr2bl w:val="nil"/>
            </w:tcBorders>
            <w:vAlign w:val="center"/>
          </w:tcPr>
          <w:p w14:paraId="299A0733">
            <w:pPr>
              <w:pStyle w:val="41"/>
              <w:rPr>
                <w:color w:val="auto"/>
                <w:highlight w:val="none"/>
              </w:rPr>
            </w:pPr>
            <w:r>
              <w:rPr>
                <w:rFonts w:hint="eastAsia"/>
                <w:color w:val="auto"/>
                <w:highlight w:val="none"/>
              </w:rPr>
              <w:t>依托</w:t>
            </w:r>
          </w:p>
        </w:tc>
      </w:tr>
      <w:tr w14:paraId="1A354D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23" w:hRule="atLeast"/>
          <w:jc w:val="center"/>
        </w:trPr>
        <w:tc>
          <w:tcPr>
            <w:tcW w:w="305" w:type="pct"/>
            <w:vMerge w:val="restart"/>
            <w:tcBorders>
              <w:tl2br w:val="nil"/>
              <w:tr2bl w:val="nil"/>
            </w:tcBorders>
            <w:vAlign w:val="center"/>
          </w:tcPr>
          <w:p w14:paraId="110E69DE">
            <w:pPr>
              <w:pStyle w:val="41"/>
              <w:rPr>
                <w:color w:val="auto"/>
                <w:highlight w:val="none"/>
              </w:rPr>
            </w:pPr>
            <w:r>
              <w:rPr>
                <w:color w:val="auto"/>
                <w:highlight w:val="none"/>
              </w:rPr>
              <w:t>公用工程</w:t>
            </w:r>
          </w:p>
        </w:tc>
        <w:tc>
          <w:tcPr>
            <w:tcW w:w="821" w:type="pct"/>
            <w:gridSpan w:val="2"/>
            <w:tcBorders>
              <w:tl2br w:val="nil"/>
              <w:tr2bl w:val="nil"/>
            </w:tcBorders>
            <w:vAlign w:val="center"/>
          </w:tcPr>
          <w:p w14:paraId="71001148">
            <w:pPr>
              <w:pStyle w:val="41"/>
              <w:rPr>
                <w:color w:val="auto"/>
                <w:highlight w:val="none"/>
              </w:rPr>
            </w:pPr>
            <w:r>
              <w:rPr>
                <w:color w:val="auto"/>
                <w:highlight w:val="none"/>
              </w:rPr>
              <w:t>给水工程</w:t>
            </w:r>
          </w:p>
        </w:tc>
        <w:tc>
          <w:tcPr>
            <w:tcW w:w="3327" w:type="pct"/>
            <w:tcBorders>
              <w:tl2br w:val="nil"/>
              <w:tr2bl w:val="nil"/>
            </w:tcBorders>
            <w:vAlign w:val="center"/>
          </w:tcPr>
          <w:p w14:paraId="2AA3FABB">
            <w:pPr>
              <w:pStyle w:val="41"/>
              <w:rPr>
                <w:color w:val="auto"/>
                <w:highlight w:val="none"/>
              </w:rPr>
            </w:pPr>
            <w:r>
              <w:rPr>
                <w:color w:val="auto"/>
                <w:highlight w:val="none"/>
              </w:rPr>
              <w:t>本项目选矿厂用水采用</w:t>
            </w:r>
            <w:r>
              <w:rPr>
                <w:rFonts w:hint="eastAsia"/>
                <w:color w:val="auto"/>
                <w:highlight w:val="none"/>
                <w:lang w:eastAsia="zh-CN"/>
              </w:rPr>
              <w:t>利用现有</w:t>
            </w:r>
            <w:r>
              <w:rPr>
                <w:color w:val="auto"/>
                <w:highlight w:val="none"/>
              </w:rPr>
              <w:t>2眼机井取水。</w:t>
            </w:r>
          </w:p>
        </w:tc>
        <w:tc>
          <w:tcPr>
            <w:tcW w:w="546" w:type="pct"/>
            <w:tcBorders>
              <w:tl2br w:val="nil"/>
              <w:tr2bl w:val="nil"/>
            </w:tcBorders>
            <w:vAlign w:val="center"/>
          </w:tcPr>
          <w:p w14:paraId="6FD6B045">
            <w:pPr>
              <w:pStyle w:val="41"/>
              <w:rPr>
                <w:color w:val="auto"/>
                <w:highlight w:val="none"/>
              </w:rPr>
            </w:pPr>
            <w:r>
              <w:rPr>
                <w:rFonts w:hint="eastAsia"/>
                <w:color w:val="auto"/>
                <w:highlight w:val="none"/>
              </w:rPr>
              <w:t>依托</w:t>
            </w:r>
          </w:p>
        </w:tc>
      </w:tr>
      <w:tr w14:paraId="1BBBF0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23" w:hRule="atLeast"/>
          <w:jc w:val="center"/>
        </w:trPr>
        <w:tc>
          <w:tcPr>
            <w:tcW w:w="305" w:type="pct"/>
            <w:vMerge w:val="continue"/>
            <w:tcBorders>
              <w:tl2br w:val="nil"/>
              <w:tr2bl w:val="nil"/>
            </w:tcBorders>
            <w:vAlign w:val="center"/>
          </w:tcPr>
          <w:p w14:paraId="09DF09AD">
            <w:pPr>
              <w:pStyle w:val="41"/>
              <w:rPr>
                <w:color w:val="auto"/>
                <w:highlight w:val="none"/>
              </w:rPr>
            </w:pPr>
          </w:p>
        </w:tc>
        <w:tc>
          <w:tcPr>
            <w:tcW w:w="821" w:type="pct"/>
            <w:gridSpan w:val="2"/>
            <w:tcBorders>
              <w:tl2br w:val="nil"/>
              <w:tr2bl w:val="nil"/>
            </w:tcBorders>
            <w:vAlign w:val="center"/>
          </w:tcPr>
          <w:p w14:paraId="4C82E027">
            <w:pPr>
              <w:pStyle w:val="41"/>
              <w:rPr>
                <w:color w:val="auto"/>
                <w:highlight w:val="none"/>
              </w:rPr>
            </w:pPr>
            <w:r>
              <w:rPr>
                <w:color w:val="auto"/>
                <w:highlight w:val="none"/>
              </w:rPr>
              <w:t>排水工程</w:t>
            </w:r>
          </w:p>
        </w:tc>
        <w:tc>
          <w:tcPr>
            <w:tcW w:w="3327" w:type="pct"/>
            <w:tcBorders>
              <w:tl2br w:val="nil"/>
              <w:tr2bl w:val="nil"/>
            </w:tcBorders>
            <w:vAlign w:val="center"/>
          </w:tcPr>
          <w:p w14:paraId="53DE1BBF">
            <w:pPr>
              <w:pStyle w:val="41"/>
              <w:rPr>
                <w:color w:val="auto"/>
                <w:highlight w:val="none"/>
              </w:rPr>
            </w:pPr>
            <w:r>
              <w:rPr>
                <w:color w:val="auto"/>
                <w:highlight w:val="none"/>
              </w:rPr>
              <w:t>选矿厂选矿工艺废水“闭路循环”，回用于生产；项目生活污水经污水处理装置处理后，生活污水指标满足</w:t>
            </w:r>
            <w:r>
              <w:rPr>
                <w:rFonts w:hint="eastAsia"/>
                <w:color w:val="auto"/>
                <w:highlight w:val="none"/>
                <w:lang w:eastAsia="zh-CN"/>
              </w:rPr>
              <w:t>《城市污水再生利用—城市杂用水水质》（GB/T18920-2020）</w:t>
            </w:r>
            <w:r>
              <w:rPr>
                <w:color w:val="auto"/>
                <w:highlight w:val="none"/>
              </w:rPr>
              <w:t>。</w:t>
            </w:r>
          </w:p>
        </w:tc>
        <w:tc>
          <w:tcPr>
            <w:tcW w:w="546" w:type="pct"/>
            <w:tcBorders>
              <w:tl2br w:val="nil"/>
              <w:tr2bl w:val="nil"/>
            </w:tcBorders>
            <w:vAlign w:val="center"/>
          </w:tcPr>
          <w:p w14:paraId="0ADB5797">
            <w:pPr>
              <w:pStyle w:val="41"/>
              <w:rPr>
                <w:color w:val="auto"/>
                <w:highlight w:val="none"/>
              </w:rPr>
            </w:pPr>
            <w:r>
              <w:rPr>
                <w:rFonts w:hint="eastAsia"/>
                <w:color w:val="auto"/>
                <w:highlight w:val="none"/>
              </w:rPr>
              <w:t>依托</w:t>
            </w:r>
          </w:p>
        </w:tc>
      </w:tr>
      <w:tr w14:paraId="6BC479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23" w:hRule="atLeast"/>
          <w:jc w:val="center"/>
        </w:trPr>
        <w:tc>
          <w:tcPr>
            <w:tcW w:w="305" w:type="pct"/>
            <w:vMerge w:val="continue"/>
            <w:tcBorders>
              <w:tl2br w:val="nil"/>
              <w:tr2bl w:val="nil"/>
            </w:tcBorders>
            <w:vAlign w:val="center"/>
          </w:tcPr>
          <w:p w14:paraId="13FBE000">
            <w:pPr>
              <w:pStyle w:val="41"/>
              <w:rPr>
                <w:color w:val="auto"/>
                <w:highlight w:val="none"/>
              </w:rPr>
            </w:pPr>
          </w:p>
        </w:tc>
        <w:tc>
          <w:tcPr>
            <w:tcW w:w="821" w:type="pct"/>
            <w:gridSpan w:val="2"/>
            <w:tcBorders>
              <w:tl2br w:val="nil"/>
              <w:tr2bl w:val="nil"/>
            </w:tcBorders>
            <w:vAlign w:val="center"/>
          </w:tcPr>
          <w:p w14:paraId="40CD2E4D">
            <w:pPr>
              <w:pStyle w:val="41"/>
              <w:rPr>
                <w:color w:val="auto"/>
                <w:highlight w:val="none"/>
              </w:rPr>
            </w:pPr>
            <w:r>
              <w:rPr>
                <w:color w:val="auto"/>
                <w:highlight w:val="none"/>
              </w:rPr>
              <w:t>供热工程</w:t>
            </w:r>
          </w:p>
        </w:tc>
        <w:tc>
          <w:tcPr>
            <w:tcW w:w="3327" w:type="pct"/>
            <w:tcBorders>
              <w:tl2br w:val="nil"/>
              <w:tr2bl w:val="nil"/>
            </w:tcBorders>
            <w:vAlign w:val="center"/>
          </w:tcPr>
          <w:p w14:paraId="1A7612B2">
            <w:pPr>
              <w:pStyle w:val="41"/>
              <w:rPr>
                <w:color w:val="auto"/>
                <w:highlight w:val="none"/>
              </w:rPr>
            </w:pPr>
            <w:r>
              <w:rPr>
                <w:color w:val="auto"/>
                <w:highlight w:val="none"/>
              </w:rPr>
              <w:t>生产区</w:t>
            </w:r>
            <w:r>
              <w:rPr>
                <w:rFonts w:hint="eastAsia"/>
                <w:color w:val="auto"/>
                <w:highlight w:val="none"/>
              </w:rPr>
              <w:t>：</w:t>
            </w:r>
            <w:r>
              <w:rPr>
                <w:color w:val="auto"/>
                <w:highlight w:val="none"/>
              </w:rPr>
              <w:t>建设2台生物质</w:t>
            </w:r>
            <w:r>
              <w:rPr>
                <w:rFonts w:hint="eastAsia"/>
                <w:color w:val="auto"/>
                <w:highlight w:val="none"/>
              </w:rPr>
              <w:t>窑炉</w:t>
            </w:r>
            <w:r>
              <w:rPr>
                <w:color w:val="auto"/>
                <w:highlight w:val="none"/>
              </w:rPr>
              <w:t>（一用一备），用于生产烘干提供热风。</w:t>
            </w:r>
          </w:p>
          <w:p w14:paraId="3EB7FE85">
            <w:pPr>
              <w:pStyle w:val="41"/>
              <w:rPr>
                <w:color w:val="auto"/>
                <w:highlight w:val="none"/>
              </w:rPr>
            </w:pPr>
            <w:r>
              <w:rPr>
                <w:color w:val="auto"/>
                <w:highlight w:val="none"/>
              </w:rPr>
              <w:t>生活区</w:t>
            </w:r>
            <w:r>
              <w:rPr>
                <w:rFonts w:hint="eastAsia"/>
                <w:color w:val="auto"/>
                <w:highlight w:val="none"/>
              </w:rPr>
              <w:t>：利用锅炉余热</w:t>
            </w:r>
            <w:r>
              <w:rPr>
                <w:color w:val="auto"/>
                <w:highlight w:val="none"/>
              </w:rPr>
              <w:t>。</w:t>
            </w:r>
          </w:p>
        </w:tc>
        <w:tc>
          <w:tcPr>
            <w:tcW w:w="546" w:type="pct"/>
            <w:tcBorders>
              <w:tl2br w:val="nil"/>
              <w:tr2bl w:val="nil"/>
            </w:tcBorders>
            <w:vAlign w:val="center"/>
          </w:tcPr>
          <w:p w14:paraId="33AC1593">
            <w:pPr>
              <w:pStyle w:val="41"/>
              <w:rPr>
                <w:color w:val="auto"/>
                <w:highlight w:val="none"/>
              </w:rPr>
            </w:pPr>
            <w:r>
              <w:rPr>
                <w:color w:val="auto"/>
                <w:highlight w:val="none"/>
              </w:rPr>
              <w:t>新建</w:t>
            </w:r>
          </w:p>
        </w:tc>
      </w:tr>
      <w:tr w14:paraId="4535A3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23" w:hRule="atLeast"/>
          <w:jc w:val="center"/>
        </w:trPr>
        <w:tc>
          <w:tcPr>
            <w:tcW w:w="305" w:type="pct"/>
            <w:vMerge w:val="continue"/>
            <w:tcBorders>
              <w:tl2br w:val="nil"/>
              <w:tr2bl w:val="nil"/>
            </w:tcBorders>
            <w:vAlign w:val="center"/>
          </w:tcPr>
          <w:p w14:paraId="6B722574">
            <w:pPr>
              <w:pStyle w:val="41"/>
              <w:rPr>
                <w:color w:val="auto"/>
                <w:highlight w:val="none"/>
              </w:rPr>
            </w:pPr>
          </w:p>
        </w:tc>
        <w:tc>
          <w:tcPr>
            <w:tcW w:w="821" w:type="pct"/>
            <w:gridSpan w:val="2"/>
            <w:tcBorders>
              <w:tl2br w:val="nil"/>
              <w:tr2bl w:val="nil"/>
            </w:tcBorders>
            <w:vAlign w:val="center"/>
          </w:tcPr>
          <w:p w14:paraId="1513C675">
            <w:pPr>
              <w:pStyle w:val="41"/>
              <w:rPr>
                <w:color w:val="auto"/>
                <w:highlight w:val="none"/>
              </w:rPr>
            </w:pPr>
            <w:r>
              <w:rPr>
                <w:color w:val="auto"/>
                <w:highlight w:val="none"/>
              </w:rPr>
              <w:t>供电工程</w:t>
            </w:r>
          </w:p>
        </w:tc>
        <w:tc>
          <w:tcPr>
            <w:tcW w:w="3327" w:type="pct"/>
            <w:tcBorders>
              <w:tl2br w:val="nil"/>
              <w:tr2bl w:val="nil"/>
            </w:tcBorders>
            <w:vAlign w:val="center"/>
          </w:tcPr>
          <w:p w14:paraId="32B13EF6">
            <w:pPr>
              <w:pStyle w:val="41"/>
              <w:rPr>
                <w:rFonts w:hint="eastAsia" w:eastAsia="华文中宋"/>
                <w:color w:val="auto"/>
                <w:highlight w:val="none"/>
                <w:lang w:eastAsia="zh-CN"/>
              </w:rPr>
            </w:pPr>
            <w:r>
              <w:rPr>
                <w:rFonts w:hint="eastAsia"/>
                <w:color w:val="auto"/>
                <w:highlight w:val="none"/>
              </w:rPr>
              <w:t>本项目外部供电电源引自距选厂45km处的哈拉峻110/35kV总变电站，以双回35kV架空线形式引至选厂，作为本项目的主供电电源</w:t>
            </w:r>
            <w:r>
              <w:rPr>
                <w:rFonts w:hint="eastAsia"/>
                <w:color w:val="auto"/>
                <w:highlight w:val="none"/>
                <w:lang w:eastAsia="zh-CN"/>
              </w:rPr>
              <w:t>。</w:t>
            </w:r>
          </w:p>
        </w:tc>
        <w:tc>
          <w:tcPr>
            <w:tcW w:w="546" w:type="pct"/>
            <w:tcBorders>
              <w:tl2br w:val="nil"/>
              <w:tr2bl w:val="nil"/>
            </w:tcBorders>
            <w:vAlign w:val="center"/>
          </w:tcPr>
          <w:p w14:paraId="54C92FA5">
            <w:pPr>
              <w:pStyle w:val="41"/>
              <w:rPr>
                <w:color w:val="auto"/>
                <w:highlight w:val="none"/>
              </w:rPr>
            </w:pPr>
            <w:r>
              <w:rPr>
                <w:rFonts w:hint="eastAsia"/>
                <w:color w:val="auto"/>
                <w:highlight w:val="none"/>
              </w:rPr>
              <w:t>依托</w:t>
            </w:r>
          </w:p>
        </w:tc>
      </w:tr>
      <w:tr w14:paraId="781236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305" w:type="pct"/>
            <w:vMerge w:val="restart"/>
            <w:tcBorders>
              <w:tl2br w:val="nil"/>
              <w:tr2bl w:val="nil"/>
            </w:tcBorders>
            <w:vAlign w:val="center"/>
          </w:tcPr>
          <w:p w14:paraId="35C7DE47">
            <w:pPr>
              <w:pStyle w:val="41"/>
              <w:rPr>
                <w:color w:val="auto"/>
                <w:highlight w:val="none"/>
              </w:rPr>
            </w:pPr>
            <w:r>
              <w:rPr>
                <w:color w:val="auto"/>
                <w:highlight w:val="none"/>
              </w:rPr>
              <w:t>储运工程</w:t>
            </w:r>
          </w:p>
        </w:tc>
        <w:tc>
          <w:tcPr>
            <w:tcW w:w="294" w:type="pct"/>
            <w:vMerge w:val="restart"/>
            <w:tcBorders>
              <w:tl2br w:val="nil"/>
              <w:tr2bl w:val="nil"/>
            </w:tcBorders>
            <w:vAlign w:val="center"/>
          </w:tcPr>
          <w:p w14:paraId="4FA720EF">
            <w:pPr>
              <w:pStyle w:val="41"/>
              <w:rPr>
                <w:rFonts w:hint="eastAsia"/>
                <w:color w:val="auto"/>
                <w:highlight w:val="none"/>
              </w:rPr>
            </w:pPr>
          </w:p>
          <w:p w14:paraId="52456156">
            <w:pPr>
              <w:pStyle w:val="41"/>
              <w:rPr>
                <w:color w:val="auto"/>
                <w:highlight w:val="none"/>
              </w:rPr>
            </w:pPr>
            <w:r>
              <w:rPr>
                <w:rFonts w:hint="eastAsia"/>
                <w:color w:val="auto"/>
                <w:highlight w:val="none"/>
                <w:lang w:eastAsia="zh-CN"/>
              </w:rPr>
              <w:t>一期</w:t>
            </w:r>
          </w:p>
          <w:p w14:paraId="08B10512">
            <w:pPr>
              <w:pStyle w:val="41"/>
              <w:rPr>
                <w:color w:val="auto"/>
                <w:highlight w:val="none"/>
              </w:rPr>
            </w:pPr>
          </w:p>
          <w:p w14:paraId="169F838A">
            <w:pPr>
              <w:pStyle w:val="41"/>
              <w:rPr>
                <w:color w:val="auto"/>
                <w:highlight w:val="none"/>
              </w:rPr>
            </w:pPr>
          </w:p>
        </w:tc>
        <w:tc>
          <w:tcPr>
            <w:tcW w:w="527" w:type="pct"/>
            <w:tcBorders>
              <w:tl2br w:val="nil"/>
              <w:tr2bl w:val="nil"/>
            </w:tcBorders>
            <w:vAlign w:val="center"/>
          </w:tcPr>
          <w:p w14:paraId="3477F98D">
            <w:pPr>
              <w:pStyle w:val="41"/>
              <w:rPr>
                <w:rFonts w:hint="eastAsia"/>
                <w:color w:val="auto"/>
                <w:highlight w:val="none"/>
              </w:rPr>
            </w:pPr>
            <w:r>
              <w:rPr>
                <w:rFonts w:hint="eastAsia"/>
                <w:color w:val="auto"/>
                <w:highlight w:val="none"/>
              </w:rPr>
              <w:t>原矿堆库</w:t>
            </w:r>
          </w:p>
        </w:tc>
        <w:tc>
          <w:tcPr>
            <w:tcW w:w="3327" w:type="pct"/>
            <w:tcBorders>
              <w:tl2br w:val="nil"/>
              <w:tr2bl w:val="nil"/>
            </w:tcBorders>
            <w:vAlign w:val="center"/>
          </w:tcPr>
          <w:p w14:paraId="59A7542E">
            <w:pPr>
              <w:pStyle w:val="41"/>
              <w:rPr>
                <w:color w:val="auto"/>
                <w:highlight w:val="none"/>
              </w:rPr>
            </w:pPr>
            <w:r>
              <w:rPr>
                <w:rFonts w:hint="eastAsia"/>
                <w:color w:val="auto"/>
                <w:highlight w:val="none"/>
              </w:rPr>
              <w:t>一期</w:t>
            </w:r>
            <w:r>
              <w:rPr>
                <w:rFonts w:hint="default"/>
                <w:color w:val="auto"/>
                <w:highlight w:val="none"/>
                <w:lang w:eastAsia="zh-CN"/>
              </w:rPr>
              <w:t>建筑</w:t>
            </w:r>
            <w:r>
              <w:rPr>
                <w:color w:val="auto"/>
                <w:highlight w:val="none"/>
              </w:rPr>
              <w:t>面积为1972m</w:t>
            </w:r>
            <w:r>
              <w:rPr>
                <w:color w:val="auto"/>
                <w:highlight w:val="none"/>
                <w:vertAlign w:val="baseline"/>
              </w:rPr>
              <w:t>2</w:t>
            </w:r>
            <w:r>
              <w:rPr>
                <w:rFonts w:hint="default"/>
                <w:color w:val="auto"/>
                <w:highlight w:val="none"/>
                <w:lang w:eastAsia="zh-CN"/>
              </w:rPr>
              <w:t>，</w:t>
            </w:r>
            <w:r>
              <w:rPr>
                <w:rFonts w:hint="default"/>
                <w:color w:val="auto"/>
                <w:highlight w:val="none"/>
                <w:lang w:val="en-US" w:eastAsia="zh-CN"/>
              </w:rPr>
              <w:t>最大储矿量10000m</w:t>
            </w:r>
            <w:r>
              <w:rPr>
                <w:rFonts w:hint="default"/>
                <w:color w:val="auto"/>
                <w:highlight w:val="none"/>
                <w:vertAlign w:val="superscript"/>
                <w:lang w:val="en-US" w:eastAsia="zh-CN"/>
              </w:rPr>
              <w:t>3</w:t>
            </w:r>
            <w:r>
              <w:rPr>
                <w:rFonts w:hint="default"/>
                <w:color w:val="auto"/>
                <w:highlight w:val="none"/>
                <w:lang w:val="en-US" w:eastAsia="zh-CN"/>
              </w:rPr>
              <w:t>，为钢结构。</w:t>
            </w:r>
          </w:p>
        </w:tc>
        <w:tc>
          <w:tcPr>
            <w:tcW w:w="546" w:type="pct"/>
            <w:tcBorders>
              <w:tl2br w:val="nil"/>
              <w:tr2bl w:val="nil"/>
            </w:tcBorders>
            <w:vAlign w:val="center"/>
          </w:tcPr>
          <w:p w14:paraId="03553D02">
            <w:pPr>
              <w:pStyle w:val="41"/>
              <w:rPr>
                <w:color w:val="auto"/>
                <w:highlight w:val="none"/>
              </w:rPr>
            </w:pPr>
            <w:r>
              <w:rPr>
                <w:color w:val="auto"/>
                <w:highlight w:val="none"/>
              </w:rPr>
              <w:t>新建</w:t>
            </w:r>
          </w:p>
        </w:tc>
      </w:tr>
      <w:tr w14:paraId="034524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305" w:type="pct"/>
            <w:vMerge w:val="continue"/>
            <w:tcBorders>
              <w:tl2br w:val="nil"/>
              <w:tr2bl w:val="nil"/>
            </w:tcBorders>
            <w:vAlign w:val="center"/>
          </w:tcPr>
          <w:p w14:paraId="6DC04AAC">
            <w:pPr>
              <w:pStyle w:val="41"/>
              <w:rPr>
                <w:color w:val="auto"/>
                <w:highlight w:val="none"/>
              </w:rPr>
            </w:pPr>
          </w:p>
        </w:tc>
        <w:tc>
          <w:tcPr>
            <w:tcW w:w="294" w:type="pct"/>
            <w:vMerge w:val="continue"/>
            <w:tcBorders>
              <w:tl2br w:val="nil"/>
              <w:tr2bl w:val="nil"/>
            </w:tcBorders>
            <w:vAlign w:val="center"/>
          </w:tcPr>
          <w:p w14:paraId="04FD985B">
            <w:pPr>
              <w:pStyle w:val="41"/>
              <w:rPr>
                <w:color w:val="auto"/>
                <w:highlight w:val="none"/>
              </w:rPr>
            </w:pPr>
          </w:p>
        </w:tc>
        <w:tc>
          <w:tcPr>
            <w:tcW w:w="527" w:type="pct"/>
            <w:tcBorders>
              <w:tl2br w:val="nil"/>
              <w:tr2bl w:val="nil"/>
            </w:tcBorders>
            <w:vAlign w:val="center"/>
          </w:tcPr>
          <w:p w14:paraId="11570B90">
            <w:pPr>
              <w:pStyle w:val="41"/>
              <w:rPr>
                <w:rFonts w:hint="eastAsia"/>
                <w:color w:val="auto"/>
                <w:highlight w:val="none"/>
              </w:rPr>
            </w:pPr>
            <w:r>
              <w:rPr>
                <w:rFonts w:hint="eastAsia"/>
                <w:color w:val="auto"/>
                <w:highlight w:val="none"/>
              </w:rPr>
              <w:t>干抛废石临时堆库</w:t>
            </w:r>
          </w:p>
        </w:tc>
        <w:tc>
          <w:tcPr>
            <w:tcW w:w="3327" w:type="pct"/>
            <w:tcBorders>
              <w:tl2br w:val="nil"/>
              <w:tr2bl w:val="nil"/>
            </w:tcBorders>
            <w:vAlign w:val="center"/>
          </w:tcPr>
          <w:p w14:paraId="0FCA95E1">
            <w:pPr>
              <w:pStyle w:val="41"/>
              <w:rPr>
                <w:color w:val="auto"/>
                <w:highlight w:val="none"/>
              </w:rPr>
            </w:pPr>
            <w:r>
              <w:rPr>
                <w:rFonts w:hint="eastAsia"/>
                <w:color w:val="auto"/>
                <w:highlight w:val="none"/>
              </w:rPr>
              <w:t>一期</w:t>
            </w:r>
            <w:r>
              <w:rPr>
                <w:rFonts w:hint="default"/>
                <w:color w:val="auto"/>
                <w:highlight w:val="none"/>
                <w:lang w:eastAsia="zh-CN"/>
              </w:rPr>
              <w:t>建筑</w:t>
            </w:r>
            <w:r>
              <w:rPr>
                <w:color w:val="auto"/>
                <w:highlight w:val="none"/>
              </w:rPr>
              <w:t>面积为2440m</w:t>
            </w:r>
            <w:r>
              <w:rPr>
                <w:color w:val="auto"/>
                <w:highlight w:val="none"/>
                <w:vertAlign w:val="superscript"/>
              </w:rPr>
              <w:t>2</w:t>
            </w:r>
            <w:r>
              <w:rPr>
                <w:rFonts w:hint="default"/>
                <w:color w:val="auto"/>
                <w:highlight w:val="none"/>
                <w:lang w:val="en-US" w:eastAsia="zh-CN"/>
              </w:rPr>
              <w:t>，最大储矿量10000m</w:t>
            </w:r>
            <w:r>
              <w:rPr>
                <w:rFonts w:hint="default"/>
                <w:color w:val="auto"/>
                <w:highlight w:val="none"/>
                <w:vertAlign w:val="superscript"/>
                <w:lang w:val="en-US" w:eastAsia="zh-CN"/>
              </w:rPr>
              <w:t>3</w:t>
            </w:r>
            <w:r>
              <w:rPr>
                <w:rFonts w:hint="eastAsia"/>
                <w:color w:val="auto"/>
                <w:highlight w:val="none"/>
                <w:lang w:val="en-US" w:eastAsia="zh-CN"/>
              </w:rPr>
              <w:t>。</w:t>
            </w:r>
          </w:p>
        </w:tc>
        <w:tc>
          <w:tcPr>
            <w:tcW w:w="546" w:type="pct"/>
            <w:tcBorders>
              <w:tl2br w:val="nil"/>
              <w:tr2bl w:val="nil"/>
            </w:tcBorders>
            <w:vAlign w:val="center"/>
          </w:tcPr>
          <w:p w14:paraId="69E4A2C4">
            <w:pPr>
              <w:pStyle w:val="41"/>
              <w:rPr>
                <w:color w:val="auto"/>
                <w:highlight w:val="none"/>
              </w:rPr>
            </w:pPr>
            <w:r>
              <w:rPr>
                <w:color w:val="auto"/>
                <w:highlight w:val="none"/>
              </w:rPr>
              <w:t>新建</w:t>
            </w:r>
          </w:p>
        </w:tc>
      </w:tr>
      <w:tr w14:paraId="407549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275" w:hRule="atLeast"/>
          <w:jc w:val="center"/>
        </w:trPr>
        <w:tc>
          <w:tcPr>
            <w:tcW w:w="305" w:type="pct"/>
            <w:vMerge w:val="continue"/>
            <w:tcBorders>
              <w:tl2br w:val="nil"/>
              <w:tr2bl w:val="nil"/>
            </w:tcBorders>
            <w:vAlign w:val="center"/>
          </w:tcPr>
          <w:p w14:paraId="7A698B87">
            <w:pPr>
              <w:pStyle w:val="41"/>
              <w:rPr>
                <w:color w:val="auto"/>
                <w:highlight w:val="none"/>
              </w:rPr>
            </w:pPr>
          </w:p>
        </w:tc>
        <w:tc>
          <w:tcPr>
            <w:tcW w:w="294" w:type="pct"/>
            <w:vMerge w:val="continue"/>
            <w:tcBorders>
              <w:tl2br w:val="nil"/>
              <w:tr2bl w:val="nil"/>
            </w:tcBorders>
            <w:vAlign w:val="center"/>
          </w:tcPr>
          <w:p w14:paraId="61D48099">
            <w:pPr>
              <w:pStyle w:val="41"/>
              <w:rPr>
                <w:color w:val="auto"/>
                <w:highlight w:val="none"/>
              </w:rPr>
            </w:pPr>
          </w:p>
        </w:tc>
        <w:tc>
          <w:tcPr>
            <w:tcW w:w="527" w:type="pct"/>
            <w:tcBorders>
              <w:tl2br w:val="nil"/>
              <w:tr2bl w:val="nil"/>
            </w:tcBorders>
            <w:vAlign w:val="center"/>
          </w:tcPr>
          <w:p w14:paraId="0FF1CD71">
            <w:pPr>
              <w:pStyle w:val="41"/>
              <w:rPr>
                <w:rFonts w:hint="eastAsia"/>
                <w:color w:val="auto"/>
                <w:highlight w:val="none"/>
              </w:rPr>
            </w:pPr>
            <w:r>
              <w:rPr>
                <w:rFonts w:hint="eastAsia"/>
                <w:color w:val="auto"/>
                <w:highlight w:val="none"/>
                <w:lang w:eastAsia="zh-CN"/>
              </w:rPr>
              <w:t>缓冲仓</w:t>
            </w:r>
          </w:p>
        </w:tc>
        <w:tc>
          <w:tcPr>
            <w:tcW w:w="3327" w:type="pct"/>
            <w:tcBorders>
              <w:tl2br w:val="nil"/>
              <w:tr2bl w:val="nil"/>
            </w:tcBorders>
            <w:vAlign w:val="center"/>
          </w:tcPr>
          <w:p w14:paraId="60E64A39">
            <w:pPr>
              <w:pStyle w:val="41"/>
              <w:rPr>
                <w:rFonts w:hint="eastAsia"/>
                <w:color w:val="auto"/>
                <w:highlight w:val="none"/>
              </w:rPr>
            </w:pPr>
            <w:r>
              <w:rPr>
                <w:rFonts w:hint="eastAsia"/>
                <w:color w:val="auto"/>
                <w:highlight w:val="none"/>
                <w:lang w:val="en-US" w:eastAsia="zh-CN"/>
              </w:rPr>
              <w:t>建设缓冲料仓三座，其中中碎料仓一座，细碎料仓两座，单仓最大储矿量200</w:t>
            </w:r>
            <w:r>
              <w:rPr>
                <w:rFonts w:hint="default"/>
                <w:color w:val="auto"/>
                <w:highlight w:val="none"/>
                <w:lang w:val="en-US" w:eastAsia="zh-CN"/>
              </w:rPr>
              <w:t>m</w:t>
            </w:r>
            <w:r>
              <w:rPr>
                <w:rFonts w:hint="default"/>
                <w:color w:val="auto"/>
                <w:highlight w:val="none"/>
                <w:vertAlign w:val="superscript"/>
                <w:lang w:val="en-US" w:eastAsia="zh-CN"/>
              </w:rPr>
              <w:t>3</w:t>
            </w:r>
            <w:r>
              <w:rPr>
                <w:rFonts w:hint="eastAsia"/>
                <w:color w:val="auto"/>
                <w:highlight w:val="none"/>
                <w:lang w:val="en-US" w:eastAsia="zh-CN"/>
              </w:rPr>
              <w:t>；</w:t>
            </w:r>
          </w:p>
        </w:tc>
        <w:tc>
          <w:tcPr>
            <w:tcW w:w="546" w:type="pct"/>
            <w:tcBorders>
              <w:tl2br w:val="nil"/>
              <w:tr2bl w:val="nil"/>
            </w:tcBorders>
            <w:vAlign w:val="center"/>
          </w:tcPr>
          <w:p w14:paraId="44D8159A">
            <w:pPr>
              <w:pStyle w:val="41"/>
              <w:rPr>
                <w:color w:val="auto"/>
                <w:highlight w:val="none"/>
              </w:rPr>
            </w:pPr>
          </w:p>
        </w:tc>
      </w:tr>
      <w:tr w14:paraId="577E34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5" w:type="pct"/>
            <w:vMerge w:val="continue"/>
            <w:tcBorders>
              <w:tl2br w:val="nil"/>
              <w:tr2bl w:val="nil"/>
            </w:tcBorders>
            <w:vAlign w:val="center"/>
          </w:tcPr>
          <w:p w14:paraId="47E9F28B">
            <w:pPr>
              <w:pStyle w:val="41"/>
              <w:rPr>
                <w:color w:val="auto"/>
                <w:highlight w:val="none"/>
              </w:rPr>
            </w:pPr>
          </w:p>
        </w:tc>
        <w:tc>
          <w:tcPr>
            <w:tcW w:w="294" w:type="pct"/>
            <w:vMerge w:val="continue"/>
            <w:tcBorders>
              <w:tl2br w:val="nil"/>
              <w:tr2bl w:val="nil"/>
            </w:tcBorders>
            <w:vAlign w:val="center"/>
          </w:tcPr>
          <w:p w14:paraId="7B3E3DB5">
            <w:pPr>
              <w:pStyle w:val="41"/>
              <w:rPr>
                <w:color w:val="auto"/>
                <w:highlight w:val="none"/>
              </w:rPr>
            </w:pPr>
          </w:p>
        </w:tc>
        <w:tc>
          <w:tcPr>
            <w:tcW w:w="527" w:type="pct"/>
            <w:tcBorders>
              <w:tl2br w:val="nil"/>
              <w:tr2bl w:val="nil"/>
            </w:tcBorders>
            <w:vAlign w:val="center"/>
          </w:tcPr>
          <w:p w14:paraId="3A5F9BA0">
            <w:pPr>
              <w:pStyle w:val="41"/>
              <w:rPr>
                <w:rFonts w:hint="eastAsia"/>
                <w:color w:val="auto"/>
                <w:highlight w:val="none"/>
              </w:rPr>
            </w:pPr>
            <w:r>
              <w:rPr>
                <w:rFonts w:hint="eastAsia"/>
                <w:color w:val="auto"/>
                <w:highlight w:val="none"/>
              </w:rPr>
              <w:t>铁精矿库</w:t>
            </w:r>
          </w:p>
        </w:tc>
        <w:tc>
          <w:tcPr>
            <w:tcW w:w="3327" w:type="pct"/>
            <w:tcBorders>
              <w:tl2br w:val="nil"/>
              <w:tr2bl w:val="nil"/>
            </w:tcBorders>
            <w:vAlign w:val="center"/>
          </w:tcPr>
          <w:p w14:paraId="1DD239AC">
            <w:pPr>
              <w:pStyle w:val="41"/>
              <w:rPr>
                <w:color w:val="auto"/>
                <w:highlight w:val="none"/>
              </w:rPr>
            </w:pPr>
            <w:r>
              <w:rPr>
                <w:rFonts w:hint="eastAsia"/>
                <w:color w:val="auto"/>
                <w:highlight w:val="none"/>
              </w:rPr>
              <w:t>一期</w:t>
            </w:r>
            <w:r>
              <w:rPr>
                <w:rFonts w:hint="default"/>
                <w:color w:val="auto"/>
                <w:highlight w:val="none"/>
                <w:lang w:eastAsia="zh-CN"/>
              </w:rPr>
              <w:t>建筑</w:t>
            </w:r>
            <w:r>
              <w:rPr>
                <w:color w:val="auto"/>
                <w:highlight w:val="none"/>
              </w:rPr>
              <w:t>面积为1800</w:t>
            </w:r>
            <w:r>
              <w:rPr>
                <w:color w:val="auto"/>
                <w:highlight w:val="none"/>
              </w:rPr>
              <w:t>m</w:t>
            </w:r>
            <w:r>
              <w:rPr>
                <w:color w:val="auto"/>
                <w:highlight w:val="none"/>
                <w:vertAlign w:val="superscript"/>
              </w:rPr>
              <w:t>2</w:t>
            </w:r>
            <w:r>
              <w:rPr>
                <w:rFonts w:hint="eastAsia"/>
                <w:color w:val="auto"/>
                <w:highlight w:val="none"/>
                <w:vertAlign w:val="baseline"/>
                <w:lang w:eastAsia="zh-CN"/>
              </w:rPr>
              <w:t>，</w:t>
            </w:r>
            <w:r>
              <w:rPr>
                <w:rFonts w:hint="default"/>
                <w:color w:val="auto"/>
                <w:highlight w:val="none"/>
                <w:lang w:val="en-US" w:eastAsia="zh-CN"/>
              </w:rPr>
              <w:t>最大储矿量10000m</w:t>
            </w:r>
            <w:r>
              <w:rPr>
                <w:rFonts w:hint="default"/>
                <w:color w:val="auto"/>
                <w:highlight w:val="none"/>
                <w:vertAlign w:val="superscript"/>
                <w:lang w:val="en-US" w:eastAsia="zh-CN"/>
              </w:rPr>
              <w:t>3</w:t>
            </w:r>
            <w:r>
              <w:rPr>
                <w:rFonts w:hint="eastAsia"/>
                <w:color w:val="auto"/>
                <w:highlight w:val="none"/>
                <w:lang w:val="en-US" w:eastAsia="zh-CN"/>
              </w:rPr>
              <w:t>。</w:t>
            </w:r>
          </w:p>
        </w:tc>
        <w:tc>
          <w:tcPr>
            <w:tcW w:w="546" w:type="pct"/>
            <w:tcBorders>
              <w:tl2br w:val="nil"/>
              <w:tr2bl w:val="nil"/>
            </w:tcBorders>
            <w:vAlign w:val="center"/>
          </w:tcPr>
          <w:p w14:paraId="24FB4B23">
            <w:pPr>
              <w:pStyle w:val="41"/>
              <w:rPr>
                <w:color w:val="auto"/>
                <w:highlight w:val="none"/>
              </w:rPr>
            </w:pPr>
            <w:r>
              <w:rPr>
                <w:color w:val="auto"/>
                <w:highlight w:val="none"/>
              </w:rPr>
              <w:t>新建</w:t>
            </w:r>
          </w:p>
        </w:tc>
      </w:tr>
      <w:tr w14:paraId="12CAB8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5" w:type="pct"/>
            <w:vMerge w:val="continue"/>
            <w:tcBorders>
              <w:tl2br w:val="nil"/>
              <w:tr2bl w:val="nil"/>
            </w:tcBorders>
            <w:vAlign w:val="center"/>
          </w:tcPr>
          <w:p w14:paraId="1FAD90EA">
            <w:pPr>
              <w:pStyle w:val="41"/>
              <w:rPr>
                <w:color w:val="auto"/>
                <w:highlight w:val="none"/>
              </w:rPr>
            </w:pPr>
          </w:p>
        </w:tc>
        <w:tc>
          <w:tcPr>
            <w:tcW w:w="294" w:type="pct"/>
            <w:vMerge w:val="continue"/>
            <w:tcBorders>
              <w:tl2br w:val="nil"/>
              <w:tr2bl w:val="nil"/>
            </w:tcBorders>
            <w:vAlign w:val="center"/>
          </w:tcPr>
          <w:p w14:paraId="609D22A5">
            <w:pPr>
              <w:pStyle w:val="41"/>
              <w:rPr>
                <w:color w:val="auto"/>
                <w:highlight w:val="none"/>
              </w:rPr>
            </w:pPr>
          </w:p>
        </w:tc>
        <w:tc>
          <w:tcPr>
            <w:tcW w:w="527" w:type="pct"/>
            <w:tcBorders>
              <w:tl2br w:val="nil"/>
              <w:tr2bl w:val="nil"/>
            </w:tcBorders>
            <w:vAlign w:val="center"/>
          </w:tcPr>
          <w:p w14:paraId="3EBE2F20">
            <w:pPr>
              <w:pStyle w:val="41"/>
              <w:rPr>
                <w:rFonts w:hint="eastAsia"/>
                <w:color w:val="auto"/>
                <w:highlight w:val="none"/>
              </w:rPr>
            </w:pPr>
            <w:r>
              <w:rPr>
                <w:rFonts w:hint="eastAsia"/>
                <w:color w:val="auto"/>
                <w:highlight w:val="none"/>
              </w:rPr>
              <w:t>钛精矿库</w:t>
            </w:r>
          </w:p>
        </w:tc>
        <w:tc>
          <w:tcPr>
            <w:tcW w:w="3327" w:type="pct"/>
            <w:tcBorders>
              <w:tl2br w:val="nil"/>
              <w:tr2bl w:val="nil"/>
            </w:tcBorders>
            <w:vAlign w:val="center"/>
          </w:tcPr>
          <w:p w14:paraId="311A677B">
            <w:pPr>
              <w:pStyle w:val="41"/>
              <w:rPr>
                <w:color w:val="auto"/>
                <w:highlight w:val="none"/>
              </w:rPr>
            </w:pPr>
            <w:r>
              <w:rPr>
                <w:rFonts w:hint="eastAsia"/>
                <w:color w:val="auto"/>
                <w:highlight w:val="none"/>
              </w:rPr>
              <w:t>一期</w:t>
            </w:r>
            <w:r>
              <w:rPr>
                <w:rFonts w:hint="default"/>
                <w:color w:val="auto"/>
                <w:highlight w:val="none"/>
                <w:lang w:eastAsia="zh-CN"/>
              </w:rPr>
              <w:t>建筑</w:t>
            </w:r>
            <w:r>
              <w:rPr>
                <w:color w:val="auto"/>
                <w:highlight w:val="none"/>
              </w:rPr>
              <w:t>面积为1643.88</w:t>
            </w:r>
            <w:r>
              <w:rPr>
                <w:color w:val="auto"/>
                <w:highlight w:val="none"/>
              </w:rPr>
              <w:t>m</w:t>
            </w:r>
            <w:r>
              <w:rPr>
                <w:color w:val="auto"/>
                <w:highlight w:val="none"/>
                <w:vertAlign w:val="superscript"/>
              </w:rPr>
              <w:t>2</w:t>
            </w:r>
            <w:r>
              <w:rPr>
                <w:rFonts w:hint="eastAsia"/>
                <w:color w:val="auto"/>
                <w:highlight w:val="none"/>
                <w:vertAlign w:val="baseline"/>
                <w:lang w:eastAsia="zh-CN"/>
              </w:rPr>
              <w:t>，</w:t>
            </w:r>
            <w:r>
              <w:rPr>
                <w:rFonts w:hint="default"/>
                <w:color w:val="auto"/>
                <w:highlight w:val="none"/>
                <w:lang w:val="en-US" w:eastAsia="zh-CN"/>
              </w:rPr>
              <w:t>最大储矿量6000m</w:t>
            </w:r>
            <w:r>
              <w:rPr>
                <w:rFonts w:hint="default"/>
                <w:color w:val="auto"/>
                <w:highlight w:val="none"/>
                <w:vertAlign w:val="superscript"/>
                <w:lang w:val="en-US" w:eastAsia="zh-CN"/>
              </w:rPr>
              <w:t>3</w:t>
            </w:r>
            <w:r>
              <w:rPr>
                <w:rFonts w:hint="eastAsia"/>
                <w:color w:val="auto"/>
                <w:highlight w:val="none"/>
                <w:lang w:val="en-US" w:eastAsia="zh-CN"/>
              </w:rPr>
              <w:t>。</w:t>
            </w:r>
          </w:p>
        </w:tc>
        <w:tc>
          <w:tcPr>
            <w:tcW w:w="546" w:type="pct"/>
            <w:tcBorders>
              <w:tl2br w:val="nil"/>
              <w:tr2bl w:val="nil"/>
            </w:tcBorders>
            <w:vAlign w:val="center"/>
          </w:tcPr>
          <w:p w14:paraId="47C95B92">
            <w:pPr>
              <w:pStyle w:val="41"/>
              <w:rPr>
                <w:color w:val="auto"/>
                <w:highlight w:val="none"/>
              </w:rPr>
            </w:pPr>
            <w:r>
              <w:rPr>
                <w:color w:val="auto"/>
                <w:highlight w:val="none"/>
              </w:rPr>
              <w:t>新建</w:t>
            </w:r>
          </w:p>
        </w:tc>
      </w:tr>
      <w:tr w14:paraId="34A7C5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5" w:type="pct"/>
            <w:vMerge w:val="continue"/>
            <w:tcBorders>
              <w:tl2br w:val="nil"/>
              <w:tr2bl w:val="nil"/>
            </w:tcBorders>
            <w:vAlign w:val="center"/>
          </w:tcPr>
          <w:p w14:paraId="5C5D7E82">
            <w:pPr>
              <w:pStyle w:val="41"/>
              <w:rPr>
                <w:color w:val="auto"/>
                <w:highlight w:val="none"/>
              </w:rPr>
            </w:pPr>
          </w:p>
        </w:tc>
        <w:tc>
          <w:tcPr>
            <w:tcW w:w="294" w:type="pct"/>
            <w:vMerge w:val="continue"/>
            <w:tcBorders>
              <w:tl2br w:val="nil"/>
              <w:tr2bl w:val="nil"/>
            </w:tcBorders>
            <w:vAlign w:val="center"/>
          </w:tcPr>
          <w:p w14:paraId="504FFB05">
            <w:pPr>
              <w:pStyle w:val="41"/>
              <w:rPr>
                <w:rFonts w:hint="eastAsia" w:eastAsia="华文中宋"/>
                <w:color w:val="auto"/>
                <w:highlight w:val="none"/>
                <w:lang w:eastAsia="zh-CN"/>
              </w:rPr>
            </w:pPr>
          </w:p>
        </w:tc>
        <w:tc>
          <w:tcPr>
            <w:tcW w:w="527" w:type="pct"/>
            <w:tcBorders>
              <w:tl2br w:val="nil"/>
              <w:tr2bl w:val="nil"/>
            </w:tcBorders>
            <w:vAlign w:val="center"/>
          </w:tcPr>
          <w:p w14:paraId="2B90CC07">
            <w:pPr>
              <w:pStyle w:val="41"/>
              <w:rPr>
                <w:rFonts w:hint="eastAsia"/>
                <w:color w:val="auto"/>
                <w:highlight w:val="none"/>
                <w:lang w:val="en-US" w:eastAsia="zh-CN"/>
              </w:rPr>
            </w:pPr>
            <w:r>
              <w:rPr>
                <w:rFonts w:hint="eastAsia"/>
                <w:color w:val="auto"/>
                <w:highlight w:val="none"/>
                <w:lang w:val="en-US" w:eastAsia="zh-CN"/>
              </w:rPr>
              <w:t>粉矿库</w:t>
            </w:r>
          </w:p>
        </w:tc>
        <w:tc>
          <w:tcPr>
            <w:tcW w:w="3327" w:type="pct"/>
            <w:tcBorders>
              <w:tl2br w:val="nil"/>
              <w:tr2bl w:val="nil"/>
            </w:tcBorders>
            <w:vAlign w:val="center"/>
          </w:tcPr>
          <w:p w14:paraId="6ABD78AE">
            <w:pPr>
              <w:pStyle w:val="41"/>
              <w:rPr>
                <w:rFonts w:hint="eastAsia"/>
                <w:color w:val="auto"/>
                <w:highlight w:val="none"/>
              </w:rPr>
            </w:pPr>
            <w:r>
              <w:rPr>
                <w:rFonts w:hint="default"/>
                <w:color w:val="auto"/>
                <w:highlight w:val="none"/>
                <w:lang w:eastAsia="zh-CN"/>
              </w:rPr>
              <w:t>建筑</w:t>
            </w:r>
            <w:r>
              <w:rPr>
                <w:color w:val="auto"/>
                <w:highlight w:val="none"/>
              </w:rPr>
              <w:t>面积为</w:t>
            </w:r>
            <w:r>
              <w:rPr>
                <w:rFonts w:hint="eastAsia"/>
                <w:color w:val="auto"/>
                <w:highlight w:val="none"/>
                <w:lang w:val="en-US" w:eastAsia="zh-CN"/>
              </w:rPr>
              <w:t>3200</w:t>
            </w:r>
            <w:r>
              <w:rPr>
                <w:color w:val="auto"/>
                <w:highlight w:val="none"/>
              </w:rPr>
              <w:t>m</w:t>
            </w:r>
            <w:r>
              <w:rPr>
                <w:color w:val="auto"/>
                <w:highlight w:val="none"/>
                <w:vertAlign w:val="superscript"/>
              </w:rPr>
              <w:t>2</w:t>
            </w:r>
            <w:r>
              <w:rPr>
                <w:rFonts w:hint="eastAsia"/>
                <w:color w:val="auto"/>
                <w:highlight w:val="none"/>
                <w:vertAlign w:val="baseline"/>
                <w:lang w:eastAsia="zh-CN"/>
              </w:rPr>
              <w:t>，</w:t>
            </w:r>
            <w:r>
              <w:rPr>
                <w:rFonts w:hint="eastAsia"/>
                <w:color w:val="auto"/>
                <w:highlight w:val="none"/>
                <w:lang w:val="en-US" w:eastAsia="zh-CN"/>
              </w:rPr>
              <w:t>最大储矿量13000</w:t>
            </w:r>
            <w:r>
              <w:rPr>
                <w:rFonts w:hint="default"/>
                <w:color w:val="auto"/>
                <w:highlight w:val="none"/>
                <w:lang w:val="en-US" w:eastAsia="zh-CN"/>
              </w:rPr>
              <w:t>m</w:t>
            </w:r>
            <w:r>
              <w:rPr>
                <w:rFonts w:hint="default"/>
                <w:color w:val="auto"/>
                <w:highlight w:val="none"/>
                <w:vertAlign w:val="superscript"/>
                <w:lang w:val="en-US" w:eastAsia="zh-CN"/>
              </w:rPr>
              <w:t>3</w:t>
            </w:r>
            <w:r>
              <w:rPr>
                <w:rFonts w:hint="eastAsia"/>
                <w:color w:val="auto"/>
                <w:highlight w:val="none"/>
                <w:lang w:val="en-US" w:eastAsia="zh-CN"/>
              </w:rPr>
              <w:t>。</w:t>
            </w:r>
          </w:p>
        </w:tc>
        <w:tc>
          <w:tcPr>
            <w:tcW w:w="546" w:type="pct"/>
            <w:tcBorders>
              <w:tl2br w:val="nil"/>
              <w:tr2bl w:val="nil"/>
            </w:tcBorders>
            <w:vAlign w:val="center"/>
          </w:tcPr>
          <w:p w14:paraId="00402A02">
            <w:pPr>
              <w:pStyle w:val="41"/>
              <w:rPr>
                <w:color w:val="auto"/>
                <w:highlight w:val="none"/>
              </w:rPr>
            </w:pPr>
            <w:r>
              <w:rPr>
                <w:color w:val="auto"/>
                <w:highlight w:val="none"/>
              </w:rPr>
              <w:t>新建</w:t>
            </w:r>
          </w:p>
        </w:tc>
      </w:tr>
      <w:tr w14:paraId="6E71B7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60" w:hRule="atLeast"/>
          <w:jc w:val="center"/>
        </w:trPr>
        <w:tc>
          <w:tcPr>
            <w:tcW w:w="305" w:type="pct"/>
            <w:vMerge w:val="continue"/>
            <w:tcBorders>
              <w:tl2br w:val="nil"/>
              <w:tr2bl w:val="nil"/>
            </w:tcBorders>
            <w:vAlign w:val="center"/>
          </w:tcPr>
          <w:p w14:paraId="3142DC03">
            <w:pPr>
              <w:pStyle w:val="41"/>
              <w:rPr>
                <w:color w:val="auto"/>
                <w:highlight w:val="none"/>
              </w:rPr>
            </w:pPr>
          </w:p>
        </w:tc>
        <w:tc>
          <w:tcPr>
            <w:tcW w:w="294" w:type="pct"/>
            <w:vMerge w:val="restart"/>
            <w:tcBorders>
              <w:tl2br w:val="nil"/>
              <w:tr2bl w:val="nil"/>
            </w:tcBorders>
            <w:vAlign w:val="center"/>
          </w:tcPr>
          <w:p w14:paraId="558EDE89">
            <w:pPr>
              <w:pStyle w:val="41"/>
              <w:rPr>
                <w:rFonts w:hint="eastAsia" w:eastAsia="华文中宋"/>
                <w:color w:val="auto"/>
                <w:highlight w:val="none"/>
                <w:lang w:eastAsia="zh-CN"/>
              </w:rPr>
            </w:pPr>
            <w:r>
              <w:rPr>
                <w:rFonts w:hint="eastAsia"/>
                <w:color w:val="auto"/>
                <w:highlight w:val="none"/>
                <w:lang w:eastAsia="zh-CN"/>
              </w:rPr>
              <w:t>二期</w:t>
            </w:r>
          </w:p>
        </w:tc>
        <w:tc>
          <w:tcPr>
            <w:tcW w:w="527" w:type="pct"/>
            <w:tcBorders>
              <w:tl2br w:val="nil"/>
              <w:tr2bl w:val="nil"/>
            </w:tcBorders>
            <w:vAlign w:val="center"/>
          </w:tcPr>
          <w:p w14:paraId="641BD418">
            <w:pPr>
              <w:pStyle w:val="41"/>
              <w:rPr>
                <w:rFonts w:hint="eastAsia"/>
                <w:color w:val="auto"/>
                <w:highlight w:val="none"/>
                <w:lang w:val="en-US" w:eastAsia="zh-CN"/>
              </w:rPr>
            </w:pPr>
            <w:r>
              <w:rPr>
                <w:rFonts w:hint="eastAsia"/>
                <w:color w:val="auto"/>
                <w:highlight w:val="none"/>
              </w:rPr>
              <w:t>原矿堆库</w:t>
            </w:r>
          </w:p>
        </w:tc>
        <w:tc>
          <w:tcPr>
            <w:tcW w:w="3327" w:type="pct"/>
            <w:tcBorders>
              <w:tl2br w:val="nil"/>
              <w:tr2bl w:val="nil"/>
            </w:tcBorders>
            <w:vAlign w:val="center"/>
          </w:tcPr>
          <w:p w14:paraId="04358CF9">
            <w:pPr>
              <w:pStyle w:val="41"/>
              <w:rPr>
                <w:rFonts w:hint="default"/>
                <w:color w:val="auto"/>
                <w:highlight w:val="none"/>
                <w:lang w:eastAsia="zh-CN"/>
              </w:rPr>
            </w:pPr>
            <w:r>
              <w:rPr>
                <w:rFonts w:hint="eastAsia" w:ascii="Times New Roman" w:hAnsi="Times New Roman"/>
                <w:color w:val="auto"/>
                <w:highlight w:val="none"/>
                <w:lang w:val="en-US" w:eastAsia="zh-CN"/>
              </w:rPr>
              <w:t>占地面积6920</w:t>
            </w:r>
            <w:r>
              <w:rPr>
                <w:color w:val="auto"/>
                <w:highlight w:val="none"/>
              </w:rPr>
              <w:t>m</w:t>
            </w:r>
            <w:r>
              <w:rPr>
                <w:color w:val="auto"/>
                <w:highlight w:val="none"/>
                <w:vertAlign w:val="superscript"/>
              </w:rPr>
              <w:t>2</w:t>
            </w:r>
            <w:r>
              <w:rPr>
                <w:rFonts w:hint="default"/>
                <w:color w:val="auto"/>
                <w:highlight w:val="none"/>
                <w:lang w:val="en-US" w:eastAsia="zh-CN"/>
              </w:rPr>
              <w:t>，最大储矿量30000m</w:t>
            </w:r>
            <w:r>
              <w:rPr>
                <w:rFonts w:hint="eastAsia" w:ascii="Times New Roman" w:hAnsi="Times New Roman"/>
                <w:color w:val="auto"/>
                <w:highlight w:val="none"/>
                <w:vertAlign w:val="superscript"/>
                <w:lang w:val="en-US" w:eastAsia="zh-CN"/>
              </w:rPr>
              <w:t>3</w:t>
            </w:r>
            <w:r>
              <w:rPr>
                <w:rFonts w:hint="eastAsia"/>
                <w:color w:val="auto"/>
                <w:highlight w:val="none"/>
                <w:lang w:val="en-US" w:eastAsia="zh-CN"/>
              </w:rPr>
              <w:t>。</w:t>
            </w:r>
          </w:p>
        </w:tc>
        <w:tc>
          <w:tcPr>
            <w:tcW w:w="546" w:type="pct"/>
            <w:tcBorders>
              <w:tl2br w:val="nil"/>
              <w:tr2bl w:val="nil"/>
            </w:tcBorders>
            <w:vAlign w:val="center"/>
          </w:tcPr>
          <w:p w14:paraId="5CE4FAEC">
            <w:pPr>
              <w:pStyle w:val="41"/>
              <w:rPr>
                <w:color w:val="auto"/>
                <w:highlight w:val="none"/>
              </w:rPr>
            </w:pPr>
            <w:r>
              <w:rPr>
                <w:color w:val="auto"/>
                <w:highlight w:val="none"/>
              </w:rPr>
              <w:t>新建</w:t>
            </w:r>
          </w:p>
        </w:tc>
      </w:tr>
      <w:tr w14:paraId="50A7BD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60" w:hRule="atLeast"/>
          <w:jc w:val="center"/>
        </w:trPr>
        <w:tc>
          <w:tcPr>
            <w:tcW w:w="305" w:type="pct"/>
            <w:vMerge w:val="continue"/>
            <w:tcBorders>
              <w:tl2br w:val="nil"/>
              <w:tr2bl w:val="nil"/>
            </w:tcBorders>
            <w:vAlign w:val="center"/>
          </w:tcPr>
          <w:p w14:paraId="63A52202">
            <w:pPr>
              <w:pStyle w:val="41"/>
              <w:rPr>
                <w:color w:val="auto"/>
                <w:highlight w:val="none"/>
              </w:rPr>
            </w:pPr>
          </w:p>
        </w:tc>
        <w:tc>
          <w:tcPr>
            <w:tcW w:w="294" w:type="pct"/>
            <w:vMerge w:val="continue"/>
            <w:tcBorders>
              <w:tl2br w:val="nil"/>
              <w:tr2bl w:val="nil"/>
            </w:tcBorders>
            <w:vAlign w:val="center"/>
          </w:tcPr>
          <w:p w14:paraId="43881A08">
            <w:pPr>
              <w:pStyle w:val="41"/>
              <w:rPr>
                <w:color w:val="auto"/>
                <w:highlight w:val="none"/>
              </w:rPr>
            </w:pPr>
          </w:p>
        </w:tc>
        <w:tc>
          <w:tcPr>
            <w:tcW w:w="527" w:type="pct"/>
            <w:tcBorders>
              <w:tl2br w:val="nil"/>
              <w:tr2bl w:val="nil"/>
            </w:tcBorders>
            <w:vAlign w:val="center"/>
          </w:tcPr>
          <w:p w14:paraId="101F16CC">
            <w:pPr>
              <w:pStyle w:val="41"/>
              <w:rPr>
                <w:rFonts w:hint="eastAsia"/>
                <w:color w:val="auto"/>
                <w:highlight w:val="none"/>
                <w:lang w:val="en-US" w:eastAsia="zh-CN"/>
              </w:rPr>
            </w:pPr>
            <w:r>
              <w:rPr>
                <w:rFonts w:hint="eastAsia"/>
                <w:color w:val="auto"/>
                <w:highlight w:val="none"/>
              </w:rPr>
              <w:t>干抛废石临时堆库</w:t>
            </w:r>
          </w:p>
        </w:tc>
        <w:tc>
          <w:tcPr>
            <w:tcW w:w="3327" w:type="pct"/>
            <w:tcBorders>
              <w:tl2br w:val="nil"/>
              <w:tr2bl w:val="nil"/>
            </w:tcBorders>
            <w:vAlign w:val="center"/>
          </w:tcPr>
          <w:p w14:paraId="28135B78">
            <w:pPr>
              <w:pStyle w:val="41"/>
              <w:rPr>
                <w:rFonts w:hint="default"/>
                <w:color w:val="auto"/>
                <w:highlight w:val="none"/>
                <w:lang w:val="en-US" w:eastAsia="zh-CN"/>
              </w:rPr>
            </w:pPr>
            <w:r>
              <w:rPr>
                <w:rFonts w:hint="default"/>
                <w:color w:val="auto"/>
                <w:highlight w:val="none"/>
                <w:lang w:val="en-US" w:eastAsia="zh-CN"/>
              </w:rPr>
              <w:t>干排尾矿临时堆场一座，最大储矿量12000</w:t>
            </w:r>
            <w:r>
              <w:rPr>
                <w:rFonts w:hint="default" w:ascii="Times New Roman" w:hAnsi="Times New Roman"/>
                <w:color w:val="auto"/>
                <w:highlight w:val="none"/>
                <w:lang w:val="en-US" w:eastAsia="zh-CN"/>
              </w:rPr>
              <w:t>m</w:t>
            </w:r>
            <w:r>
              <w:rPr>
                <w:rFonts w:hint="eastAsia" w:ascii="Times New Roman" w:hAnsi="Times New Roman"/>
                <w:color w:val="auto"/>
                <w:highlight w:val="none"/>
                <w:vertAlign w:val="superscript"/>
                <w:lang w:val="en-US" w:eastAsia="zh-CN"/>
              </w:rPr>
              <w:t>3</w:t>
            </w:r>
            <w:r>
              <w:rPr>
                <w:rFonts w:hint="eastAsia"/>
                <w:color w:val="auto"/>
                <w:highlight w:val="none"/>
                <w:lang w:val="en-US" w:eastAsia="zh-CN"/>
              </w:rPr>
              <w:t>。</w:t>
            </w:r>
          </w:p>
        </w:tc>
        <w:tc>
          <w:tcPr>
            <w:tcW w:w="546" w:type="pct"/>
            <w:tcBorders>
              <w:tl2br w:val="nil"/>
              <w:tr2bl w:val="nil"/>
            </w:tcBorders>
            <w:vAlign w:val="center"/>
          </w:tcPr>
          <w:p w14:paraId="603550A0">
            <w:pPr>
              <w:pStyle w:val="41"/>
              <w:rPr>
                <w:rFonts w:hint="eastAsia"/>
                <w:color w:val="auto"/>
                <w:highlight w:val="none"/>
                <w:lang w:val="en-US" w:eastAsia="zh-CN"/>
              </w:rPr>
            </w:pPr>
            <w:r>
              <w:rPr>
                <w:color w:val="auto"/>
                <w:highlight w:val="none"/>
              </w:rPr>
              <w:t>新建</w:t>
            </w:r>
          </w:p>
        </w:tc>
      </w:tr>
      <w:tr w14:paraId="722D5C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60" w:hRule="atLeast"/>
          <w:jc w:val="center"/>
        </w:trPr>
        <w:tc>
          <w:tcPr>
            <w:tcW w:w="305" w:type="pct"/>
            <w:vMerge w:val="continue"/>
            <w:tcBorders>
              <w:tl2br w:val="nil"/>
              <w:tr2bl w:val="nil"/>
            </w:tcBorders>
            <w:vAlign w:val="center"/>
          </w:tcPr>
          <w:p w14:paraId="799F7E26">
            <w:pPr>
              <w:pStyle w:val="41"/>
              <w:rPr>
                <w:color w:val="auto"/>
                <w:highlight w:val="none"/>
              </w:rPr>
            </w:pPr>
          </w:p>
        </w:tc>
        <w:tc>
          <w:tcPr>
            <w:tcW w:w="294" w:type="pct"/>
            <w:vMerge w:val="continue"/>
            <w:tcBorders>
              <w:tl2br w:val="nil"/>
              <w:tr2bl w:val="nil"/>
            </w:tcBorders>
            <w:vAlign w:val="center"/>
          </w:tcPr>
          <w:p w14:paraId="6079C2A3">
            <w:pPr>
              <w:pStyle w:val="41"/>
              <w:rPr>
                <w:color w:val="auto"/>
                <w:highlight w:val="none"/>
              </w:rPr>
            </w:pPr>
          </w:p>
        </w:tc>
        <w:tc>
          <w:tcPr>
            <w:tcW w:w="527" w:type="pct"/>
            <w:tcBorders>
              <w:tl2br w:val="nil"/>
              <w:tr2bl w:val="nil"/>
            </w:tcBorders>
            <w:vAlign w:val="center"/>
          </w:tcPr>
          <w:p w14:paraId="5786848A">
            <w:pPr>
              <w:pStyle w:val="41"/>
              <w:rPr>
                <w:rFonts w:hint="eastAsia" w:eastAsia="华文中宋"/>
                <w:color w:val="auto"/>
                <w:highlight w:val="none"/>
                <w:lang w:eastAsia="zh-CN"/>
              </w:rPr>
            </w:pPr>
            <w:r>
              <w:rPr>
                <w:rFonts w:hint="eastAsia"/>
                <w:color w:val="auto"/>
                <w:highlight w:val="none"/>
                <w:lang w:eastAsia="zh-CN"/>
              </w:rPr>
              <w:t>缓冲仓</w:t>
            </w:r>
          </w:p>
        </w:tc>
        <w:tc>
          <w:tcPr>
            <w:tcW w:w="3327" w:type="pct"/>
            <w:tcBorders>
              <w:tl2br w:val="nil"/>
              <w:tr2bl w:val="nil"/>
            </w:tcBorders>
            <w:vAlign w:val="center"/>
          </w:tcPr>
          <w:p w14:paraId="0A1D4B19">
            <w:pPr>
              <w:pStyle w:val="41"/>
              <w:rPr>
                <w:rFonts w:hint="default" w:ascii="Times New Roman" w:hAnsi="Times New Roman"/>
                <w:color w:val="auto"/>
                <w:highlight w:val="none"/>
                <w:lang w:val="en-US" w:eastAsia="zh-CN"/>
              </w:rPr>
            </w:pPr>
            <w:r>
              <w:rPr>
                <w:rFonts w:hint="eastAsia"/>
                <w:color w:val="auto"/>
                <w:highlight w:val="none"/>
                <w:lang w:val="en-US" w:eastAsia="zh-CN"/>
              </w:rPr>
              <w:t>建设缓冲料仓三座，其中中碎料仓一座，细碎料仓两座，单仓最大储矿量200</w:t>
            </w:r>
            <w:r>
              <w:rPr>
                <w:rFonts w:hint="default" w:ascii="Times New Roman" w:hAnsi="Times New Roman"/>
                <w:color w:val="auto"/>
                <w:highlight w:val="none"/>
                <w:lang w:val="en-US" w:eastAsia="zh-CN"/>
              </w:rPr>
              <w:t>m</w:t>
            </w:r>
            <w:r>
              <w:rPr>
                <w:rFonts w:hint="eastAsia" w:ascii="Times New Roman" w:hAnsi="Times New Roman"/>
                <w:color w:val="auto"/>
                <w:highlight w:val="none"/>
                <w:vertAlign w:val="superscript"/>
                <w:lang w:val="en-US" w:eastAsia="zh-CN"/>
              </w:rPr>
              <w:t>3</w:t>
            </w:r>
            <w:r>
              <w:rPr>
                <w:rFonts w:hint="eastAsia"/>
                <w:color w:val="auto"/>
                <w:highlight w:val="none"/>
                <w:lang w:val="en-US" w:eastAsia="zh-CN"/>
              </w:rPr>
              <w:t>。</w:t>
            </w:r>
          </w:p>
        </w:tc>
        <w:tc>
          <w:tcPr>
            <w:tcW w:w="546" w:type="pct"/>
            <w:tcBorders>
              <w:tl2br w:val="nil"/>
              <w:tr2bl w:val="nil"/>
            </w:tcBorders>
            <w:vAlign w:val="center"/>
          </w:tcPr>
          <w:p w14:paraId="249543D6">
            <w:pPr>
              <w:pStyle w:val="41"/>
              <w:rPr>
                <w:rFonts w:hint="eastAsia"/>
                <w:color w:val="auto"/>
                <w:highlight w:val="none"/>
                <w:lang w:val="en-US" w:eastAsia="zh-CN"/>
              </w:rPr>
            </w:pPr>
            <w:r>
              <w:rPr>
                <w:color w:val="auto"/>
                <w:highlight w:val="none"/>
              </w:rPr>
              <w:t>新建</w:t>
            </w:r>
          </w:p>
        </w:tc>
      </w:tr>
      <w:tr w14:paraId="651389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60" w:hRule="atLeast"/>
          <w:jc w:val="center"/>
        </w:trPr>
        <w:tc>
          <w:tcPr>
            <w:tcW w:w="305" w:type="pct"/>
            <w:vMerge w:val="continue"/>
            <w:tcBorders>
              <w:tl2br w:val="nil"/>
              <w:tr2bl w:val="nil"/>
            </w:tcBorders>
            <w:vAlign w:val="center"/>
          </w:tcPr>
          <w:p w14:paraId="3CF99F01">
            <w:pPr>
              <w:pStyle w:val="41"/>
              <w:rPr>
                <w:rFonts w:hint="eastAsia"/>
                <w:color w:val="auto"/>
                <w:highlight w:val="none"/>
                <w:lang w:val="en-US" w:eastAsia="zh-CN"/>
              </w:rPr>
            </w:pPr>
          </w:p>
        </w:tc>
        <w:tc>
          <w:tcPr>
            <w:tcW w:w="294" w:type="pct"/>
            <w:vMerge w:val="continue"/>
            <w:tcBorders>
              <w:tl2br w:val="nil"/>
              <w:tr2bl w:val="nil"/>
            </w:tcBorders>
            <w:vAlign w:val="center"/>
          </w:tcPr>
          <w:p w14:paraId="730198FA">
            <w:pPr>
              <w:pStyle w:val="41"/>
              <w:rPr>
                <w:rFonts w:hint="eastAsia"/>
                <w:color w:val="auto"/>
                <w:highlight w:val="none"/>
                <w:lang w:val="en-US" w:eastAsia="zh-CN"/>
              </w:rPr>
            </w:pPr>
          </w:p>
        </w:tc>
        <w:tc>
          <w:tcPr>
            <w:tcW w:w="527" w:type="pct"/>
            <w:tcBorders>
              <w:tl2br w:val="nil"/>
              <w:tr2bl w:val="nil"/>
            </w:tcBorders>
            <w:vAlign w:val="center"/>
          </w:tcPr>
          <w:p w14:paraId="148F48B6">
            <w:pPr>
              <w:pStyle w:val="41"/>
              <w:rPr>
                <w:rFonts w:hint="eastAsia"/>
                <w:color w:val="auto"/>
                <w:highlight w:val="none"/>
                <w:lang w:val="en-US" w:eastAsia="zh-CN"/>
              </w:rPr>
            </w:pPr>
            <w:r>
              <w:rPr>
                <w:rFonts w:hint="eastAsia"/>
                <w:color w:val="auto"/>
                <w:highlight w:val="none"/>
              </w:rPr>
              <w:t>铁精矿库</w:t>
            </w:r>
          </w:p>
        </w:tc>
        <w:tc>
          <w:tcPr>
            <w:tcW w:w="3327" w:type="pct"/>
            <w:tcBorders>
              <w:tl2br w:val="nil"/>
              <w:tr2bl w:val="nil"/>
            </w:tcBorders>
            <w:vAlign w:val="center"/>
          </w:tcPr>
          <w:p w14:paraId="3A086389">
            <w:pPr>
              <w:pStyle w:val="41"/>
              <w:rPr>
                <w:rFonts w:hint="default"/>
                <w:color w:val="auto"/>
                <w:highlight w:val="none"/>
                <w:lang w:val="en-US" w:eastAsia="zh-CN"/>
              </w:rPr>
            </w:pPr>
            <w:r>
              <w:rPr>
                <w:rFonts w:hint="default"/>
                <w:color w:val="auto"/>
                <w:highlight w:val="none"/>
                <w:lang w:val="en-US" w:eastAsia="zh-CN"/>
              </w:rPr>
              <w:t>铁精粉库一座，最大储矿量25000</w:t>
            </w:r>
            <w:r>
              <w:rPr>
                <w:rFonts w:hint="default" w:ascii="Times New Roman" w:hAnsi="Times New Roman"/>
                <w:color w:val="auto"/>
                <w:highlight w:val="none"/>
                <w:lang w:val="en-US" w:eastAsia="zh-CN"/>
              </w:rPr>
              <w:t>m</w:t>
            </w:r>
            <w:r>
              <w:rPr>
                <w:rFonts w:hint="eastAsia" w:ascii="Times New Roman" w:hAnsi="Times New Roman"/>
                <w:color w:val="auto"/>
                <w:highlight w:val="none"/>
                <w:vertAlign w:val="superscript"/>
                <w:lang w:val="en-US" w:eastAsia="zh-CN"/>
              </w:rPr>
              <w:t>3</w:t>
            </w:r>
            <w:r>
              <w:rPr>
                <w:rFonts w:hint="eastAsia"/>
                <w:color w:val="auto"/>
                <w:highlight w:val="none"/>
                <w:lang w:val="en-US" w:eastAsia="zh-CN"/>
              </w:rPr>
              <w:t>。</w:t>
            </w:r>
          </w:p>
        </w:tc>
        <w:tc>
          <w:tcPr>
            <w:tcW w:w="546" w:type="pct"/>
            <w:tcBorders>
              <w:tl2br w:val="nil"/>
              <w:tr2bl w:val="nil"/>
            </w:tcBorders>
            <w:vAlign w:val="center"/>
          </w:tcPr>
          <w:p w14:paraId="574D0246">
            <w:pPr>
              <w:pStyle w:val="41"/>
              <w:rPr>
                <w:rFonts w:hint="eastAsia"/>
                <w:color w:val="auto"/>
                <w:highlight w:val="none"/>
                <w:lang w:val="en-US" w:eastAsia="zh-CN"/>
              </w:rPr>
            </w:pPr>
            <w:r>
              <w:rPr>
                <w:color w:val="auto"/>
                <w:highlight w:val="none"/>
              </w:rPr>
              <w:t>新建</w:t>
            </w:r>
          </w:p>
        </w:tc>
      </w:tr>
      <w:tr w14:paraId="56BA5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60" w:hRule="atLeast"/>
          <w:jc w:val="center"/>
        </w:trPr>
        <w:tc>
          <w:tcPr>
            <w:tcW w:w="305" w:type="pct"/>
            <w:vMerge w:val="continue"/>
            <w:tcBorders>
              <w:tl2br w:val="nil"/>
              <w:tr2bl w:val="nil"/>
            </w:tcBorders>
            <w:vAlign w:val="center"/>
          </w:tcPr>
          <w:p w14:paraId="1534C138">
            <w:pPr>
              <w:pStyle w:val="41"/>
              <w:rPr>
                <w:rFonts w:hint="eastAsia"/>
                <w:color w:val="auto"/>
                <w:highlight w:val="none"/>
                <w:lang w:val="en-US" w:eastAsia="zh-CN"/>
              </w:rPr>
            </w:pPr>
          </w:p>
        </w:tc>
        <w:tc>
          <w:tcPr>
            <w:tcW w:w="294" w:type="pct"/>
            <w:vMerge w:val="continue"/>
            <w:tcBorders>
              <w:tl2br w:val="nil"/>
              <w:tr2bl w:val="nil"/>
            </w:tcBorders>
            <w:vAlign w:val="center"/>
          </w:tcPr>
          <w:p w14:paraId="32A45D17">
            <w:pPr>
              <w:pStyle w:val="41"/>
              <w:rPr>
                <w:rFonts w:hint="eastAsia"/>
                <w:color w:val="auto"/>
                <w:highlight w:val="none"/>
                <w:lang w:val="en-US" w:eastAsia="zh-CN"/>
              </w:rPr>
            </w:pPr>
          </w:p>
        </w:tc>
        <w:tc>
          <w:tcPr>
            <w:tcW w:w="527" w:type="pct"/>
            <w:tcBorders>
              <w:tl2br w:val="nil"/>
              <w:tr2bl w:val="nil"/>
            </w:tcBorders>
            <w:vAlign w:val="center"/>
          </w:tcPr>
          <w:p w14:paraId="716E7257">
            <w:pPr>
              <w:pStyle w:val="41"/>
              <w:rPr>
                <w:rFonts w:hint="eastAsia"/>
                <w:color w:val="auto"/>
                <w:highlight w:val="none"/>
                <w:lang w:val="en-US" w:eastAsia="zh-CN"/>
              </w:rPr>
            </w:pPr>
            <w:r>
              <w:rPr>
                <w:rFonts w:hint="eastAsia"/>
                <w:color w:val="auto"/>
                <w:highlight w:val="none"/>
              </w:rPr>
              <w:t>钛精矿库</w:t>
            </w:r>
          </w:p>
        </w:tc>
        <w:tc>
          <w:tcPr>
            <w:tcW w:w="3327" w:type="pct"/>
            <w:tcBorders>
              <w:tl2br w:val="nil"/>
              <w:tr2bl w:val="nil"/>
            </w:tcBorders>
            <w:vAlign w:val="center"/>
          </w:tcPr>
          <w:p w14:paraId="76EE0F7D">
            <w:pPr>
              <w:pStyle w:val="41"/>
              <w:rPr>
                <w:rFonts w:hint="default"/>
                <w:color w:val="auto"/>
                <w:highlight w:val="none"/>
                <w:lang w:val="en-US" w:eastAsia="zh-CN"/>
              </w:rPr>
            </w:pPr>
            <w:r>
              <w:rPr>
                <w:rFonts w:hint="default"/>
                <w:color w:val="auto"/>
                <w:highlight w:val="none"/>
                <w:lang w:val="en-US" w:eastAsia="zh-CN"/>
              </w:rPr>
              <w:t>钛精粉库一座，最大储矿量10000</w:t>
            </w:r>
            <w:r>
              <w:rPr>
                <w:rFonts w:hint="default" w:ascii="Times New Roman" w:hAnsi="Times New Roman"/>
                <w:color w:val="auto"/>
                <w:highlight w:val="none"/>
                <w:lang w:val="en-US" w:eastAsia="zh-CN"/>
              </w:rPr>
              <w:t>m</w:t>
            </w:r>
            <w:r>
              <w:rPr>
                <w:rFonts w:hint="eastAsia" w:ascii="Times New Roman" w:hAnsi="Times New Roman"/>
                <w:color w:val="auto"/>
                <w:highlight w:val="none"/>
                <w:vertAlign w:val="superscript"/>
                <w:lang w:val="en-US" w:eastAsia="zh-CN"/>
              </w:rPr>
              <w:t>3</w:t>
            </w:r>
            <w:r>
              <w:rPr>
                <w:rFonts w:hint="default"/>
                <w:color w:val="auto"/>
                <w:highlight w:val="none"/>
                <w:lang w:val="en-US" w:eastAsia="zh-CN"/>
              </w:rPr>
              <w:t>。</w:t>
            </w:r>
          </w:p>
        </w:tc>
        <w:tc>
          <w:tcPr>
            <w:tcW w:w="546" w:type="pct"/>
            <w:tcBorders>
              <w:tl2br w:val="nil"/>
              <w:tr2bl w:val="nil"/>
            </w:tcBorders>
            <w:vAlign w:val="center"/>
          </w:tcPr>
          <w:p w14:paraId="1E1F3660">
            <w:pPr>
              <w:pStyle w:val="41"/>
              <w:rPr>
                <w:rFonts w:hint="eastAsia"/>
                <w:color w:val="auto"/>
                <w:highlight w:val="none"/>
                <w:lang w:val="en-US" w:eastAsia="zh-CN"/>
              </w:rPr>
            </w:pPr>
            <w:r>
              <w:rPr>
                <w:color w:val="auto"/>
                <w:highlight w:val="none"/>
              </w:rPr>
              <w:t>新建</w:t>
            </w:r>
          </w:p>
        </w:tc>
      </w:tr>
      <w:tr w14:paraId="025D21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60" w:hRule="atLeast"/>
          <w:jc w:val="center"/>
        </w:trPr>
        <w:tc>
          <w:tcPr>
            <w:tcW w:w="305" w:type="pct"/>
            <w:vMerge w:val="continue"/>
            <w:tcBorders>
              <w:tl2br w:val="nil"/>
              <w:tr2bl w:val="nil"/>
            </w:tcBorders>
            <w:vAlign w:val="center"/>
          </w:tcPr>
          <w:p w14:paraId="774C83D9">
            <w:pPr>
              <w:pStyle w:val="41"/>
              <w:rPr>
                <w:rFonts w:hint="eastAsia"/>
                <w:color w:val="auto"/>
                <w:highlight w:val="none"/>
                <w:lang w:val="en-US" w:eastAsia="zh-CN"/>
              </w:rPr>
            </w:pPr>
          </w:p>
        </w:tc>
        <w:tc>
          <w:tcPr>
            <w:tcW w:w="294" w:type="pct"/>
            <w:vMerge w:val="continue"/>
            <w:tcBorders>
              <w:tl2br w:val="nil"/>
              <w:tr2bl w:val="nil"/>
            </w:tcBorders>
            <w:vAlign w:val="center"/>
          </w:tcPr>
          <w:p w14:paraId="5C803F7A">
            <w:pPr>
              <w:pStyle w:val="41"/>
              <w:rPr>
                <w:rFonts w:hint="eastAsia"/>
                <w:color w:val="auto"/>
                <w:highlight w:val="none"/>
                <w:lang w:val="en-US" w:eastAsia="zh-CN"/>
              </w:rPr>
            </w:pPr>
          </w:p>
        </w:tc>
        <w:tc>
          <w:tcPr>
            <w:tcW w:w="527" w:type="pct"/>
            <w:tcBorders>
              <w:tl2br w:val="nil"/>
              <w:tr2bl w:val="nil"/>
            </w:tcBorders>
            <w:vAlign w:val="center"/>
          </w:tcPr>
          <w:p w14:paraId="25A1ADB9">
            <w:pPr>
              <w:pStyle w:val="41"/>
              <w:rPr>
                <w:rFonts w:hint="eastAsia"/>
                <w:color w:val="auto"/>
                <w:highlight w:val="none"/>
                <w:lang w:val="en-US" w:eastAsia="zh-CN"/>
              </w:rPr>
            </w:pPr>
            <w:r>
              <w:rPr>
                <w:rFonts w:hint="eastAsia"/>
                <w:color w:val="auto"/>
                <w:highlight w:val="none"/>
                <w:lang w:val="en-US" w:eastAsia="zh-CN"/>
              </w:rPr>
              <w:t>粉矿库</w:t>
            </w:r>
          </w:p>
        </w:tc>
        <w:tc>
          <w:tcPr>
            <w:tcW w:w="3327" w:type="pct"/>
            <w:tcBorders>
              <w:tl2br w:val="nil"/>
              <w:tr2bl w:val="nil"/>
            </w:tcBorders>
            <w:vAlign w:val="center"/>
          </w:tcPr>
          <w:p w14:paraId="4E318B57">
            <w:pPr>
              <w:pStyle w:val="41"/>
              <w:rPr>
                <w:rFonts w:hint="default"/>
                <w:color w:val="auto"/>
                <w:highlight w:val="none"/>
                <w:lang w:val="en-US" w:eastAsia="zh-CN"/>
              </w:rPr>
            </w:pPr>
            <w:r>
              <w:rPr>
                <w:rFonts w:hint="default"/>
                <w:color w:val="auto"/>
                <w:highlight w:val="none"/>
                <w:lang w:val="en-US" w:eastAsia="zh-CN"/>
              </w:rPr>
              <w:t>大储矿量13000</w:t>
            </w:r>
            <w:r>
              <w:rPr>
                <w:rFonts w:hint="default" w:ascii="Times New Roman" w:hAnsi="Times New Roman"/>
                <w:color w:val="auto"/>
                <w:highlight w:val="none"/>
                <w:lang w:val="en-US" w:eastAsia="zh-CN"/>
              </w:rPr>
              <w:t>m</w:t>
            </w:r>
            <w:r>
              <w:rPr>
                <w:rFonts w:hint="eastAsia" w:ascii="Times New Roman" w:hAnsi="Times New Roman"/>
                <w:color w:val="auto"/>
                <w:highlight w:val="none"/>
                <w:vertAlign w:val="superscript"/>
                <w:lang w:val="en-US" w:eastAsia="zh-CN"/>
              </w:rPr>
              <w:t>3</w:t>
            </w:r>
            <w:r>
              <w:rPr>
                <w:rFonts w:hint="eastAsia"/>
                <w:color w:val="auto"/>
                <w:highlight w:val="none"/>
                <w:lang w:val="en-US" w:eastAsia="zh-CN"/>
              </w:rPr>
              <w:t>。</w:t>
            </w:r>
          </w:p>
        </w:tc>
        <w:tc>
          <w:tcPr>
            <w:tcW w:w="546" w:type="pct"/>
            <w:tcBorders>
              <w:tl2br w:val="nil"/>
              <w:tr2bl w:val="nil"/>
            </w:tcBorders>
            <w:vAlign w:val="center"/>
          </w:tcPr>
          <w:p w14:paraId="29825A7F">
            <w:pPr>
              <w:pStyle w:val="41"/>
              <w:rPr>
                <w:rFonts w:hint="eastAsia"/>
                <w:color w:val="auto"/>
                <w:highlight w:val="none"/>
                <w:lang w:val="en-US" w:eastAsia="zh-CN"/>
              </w:rPr>
            </w:pPr>
            <w:r>
              <w:rPr>
                <w:color w:val="auto"/>
                <w:highlight w:val="none"/>
              </w:rPr>
              <w:t>新建</w:t>
            </w:r>
          </w:p>
        </w:tc>
      </w:tr>
      <w:tr w14:paraId="7294EB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651" w:hRule="atLeast"/>
          <w:jc w:val="center"/>
        </w:trPr>
        <w:tc>
          <w:tcPr>
            <w:tcW w:w="305" w:type="pct"/>
            <w:vMerge w:val="continue"/>
            <w:tcBorders>
              <w:tl2br w:val="nil"/>
              <w:tr2bl w:val="nil"/>
            </w:tcBorders>
            <w:vAlign w:val="center"/>
          </w:tcPr>
          <w:p w14:paraId="5E766C5B">
            <w:pPr>
              <w:pStyle w:val="41"/>
              <w:rPr>
                <w:color w:val="auto"/>
                <w:highlight w:val="none"/>
              </w:rPr>
            </w:pPr>
          </w:p>
        </w:tc>
        <w:tc>
          <w:tcPr>
            <w:tcW w:w="294" w:type="pct"/>
            <w:vMerge w:val="restart"/>
            <w:tcBorders>
              <w:tl2br w:val="nil"/>
              <w:tr2bl w:val="nil"/>
            </w:tcBorders>
            <w:vAlign w:val="center"/>
          </w:tcPr>
          <w:p w14:paraId="059A611F">
            <w:pPr>
              <w:pStyle w:val="41"/>
              <w:rPr>
                <w:color w:val="auto"/>
                <w:highlight w:val="none"/>
              </w:rPr>
            </w:pPr>
            <w:r>
              <w:rPr>
                <w:color w:val="auto"/>
                <w:highlight w:val="none"/>
              </w:rPr>
              <w:t>道路工程</w:t>
            </w:r>
          </w:p>
        </w:tc>
        <w:tc>
          <w:tcPr>
            <w:tcW w:w="527" w:type="pct"/>
            <w:tcBorders>
              <w:tl2br w:val="nil"/>
              <w:tr2bl w:val="nil"/>
            </w:tcBorders>
            <w:vAlign w:val="center"/>
          </w:tcPr>
          <w:p w14:paraId="0E8CA58D">
            <w:pPr>
              <w:pStyle w:val="41"/>
              <w:rPr>
                <w:color w:val="auto"/>
                <w:highlight w:val="none"/>
              </w:rPr>
            </w:pPr>
            <w:r>
              <w:rPr>
                <w:rFonts w:hint="eastAsia"/>
                <w:color w:val="auto"/>
                <w:highlight w:val="none"/>
              </w:rPr>
              <w:t>选矿厂内部道路</w:t>
            </w:r>
          </w:p>
        </w:tc>
        <w:tc>
          <w:tcPr>
            <w:tcW w:w="3327" w:type="pct"/>
            <w:tcBorders>
              <w:tl2br w:val="nil"/>
              <w:tr2bl w:val="nil"/>
            </w:tcBorders>
            <w:vAlign w:val="center"/>
          </w:tcPr>
          <w:p w14:paraId="44B7CA0B">
            <w:pPr>
              <w:pStyle w:val="41"/>
              <w:rPr>
                <w:color w:val="auto"/>
                <w:highlight w:val="none"/>
              </w:rPr>
            </w:pPr>
            <w:r>
              <w:rPr>
                <w:color w:val="auto"/>
                <w:highlight w:val="none"/>
              </w:rPr>
              <w:t>本次新建厂内道路与外部道路连接。厂区道路修建双车道路面长度200m，公路型，路面宽度7m。路面采用泥结碎石路面，荷载等级汽车-20级。最小平曲线半径15m，最大纵坡度小于8%。</w:t>
            </w:r>
          </w:p>
        </w:tc>
        <w:tc>
          <w:tcPr>
            <w:tcW w:w="546" w:type="pct"/>
            <w:tcBorders>
              <w:tl2br w:val="nil"/>
              <w:tr2bl w:val="nil"/>
            </w:tcBorders>
            <w:vAlign w:val="center"/>
          </w:tcPr>
          <w:p w14:paraId="59CEEE32">
            <w:pPr>
              <w:pStyle w:val="41"/>
              <w:rPr>
                <w:color w:val="auto"/>
                <w:highlight w:val="none"/>
              </w:rPr>
            </w:pPr>
            <w:r>
              <w:rPr>
                <w:color w:val="auto"/>
                <w:highlight w:val="none"/>
              </w:rPr>
              <w:t>新建</w:t>
            </w:r>
          </w:p>
        </w:tc>
      </w:tr>
      <w:tr w14:paraId="326859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601" w:hRule="atLeast"/>
          <w:jc w:val="center"/>
        </w:trPr>
        <w:tc>
          <w:tcPr>
            <w:tcW w:w="305" w:type="pct"/>
            <w:vMerge w:val="continue"/>
            <w:tcBorders>
              <w:tl2br w:val="nil"/>
              <w:tr2bl w:val="nil"/>
            </w:tcBorders>
            <w:vAlign w:val="center"/>
          </w:tcPr>
          <w:p w14:paraId="560B1BDB">
            <w:pPr>
              <w:pStyle w:val="41"/>
              <w:rPr>
                <w:color w:val="auto"/>
                <w:highlight w:val="none"/>
              </w:rPr>
            </w:pPr>
          </w:p>
        </w:tc>
        <w:tc>
          <w:tcPr>
            <w:tcW w:w="294" w:type="pct"/>
            <w:vMerge w:val="continue"/>
            <w:tcBorders>
              <w:tl2br w:val="nil"/>
              <w:tr2bl w:val="nil"/>
            </w:tcBorders>
            <w:vAlign w:val="center"/>
          </w:tcPr>
          <w:p w14:paraId="03388664">
            <w:pPr>
              <w:pStyle w:val="41"/>
              <w:rPr>
                <w:color w:val="auto"/>
                <w:highlight w:val="none"/>
              </w:rPr>
            </w:pPr>
          </w:p>
        </w:tc>
        <w:tc>
          <w:tcPr>
            <w:tcW w:w="527" w:type="pct"/>
            <w:tcBorders>
              <w:tl2br w:val="nil"/>
              <w:tr2bl w:val="nil"/>
            </w:tcBorders>
            <w:vAlign w:val="center"/>
          </w:tcPr>
          <w:p w14:paraId="2A885809">
            <w:pPr>
              <w:pStyle w:val="41"/>
              <w:rPr>
                <w:color w:val="auto"/>
                <w:highlight w:val="none"/>
              </w:rPr>
            </w:pPr>
            <w:r>
              <w:rPr>
                <w:rFonts w:hint="eastAsia"/>
                <w:color w:val="auto"/>
                <w:highlight w:val="none"/>
              </w:rPr>
              <w:t>尾矿输送</w:t>
            </w:r>
          </w:p>
        </w:tc>
        <w:tc>
          <w:tcPr>
            <w:tcW w:w="3327" w:type="pct"/>
            <w:tcBorders>
              <w:tl2br w:val="nil"/>
              <w:tr2bl w:val="nil"/>
            </w:tcBorders>
            <w:vAlign w:val="center"/>
          </w:tcPr>
          <w:p w14:paraId="4BA62378">
            <w:pPr>
              <w:pStyle w:val="41"/>
              <w:rPr>
                <w:color w:val="auto"/>
                <w:highlight w:val="none"/>
              </w:rPr>
            </w:pPr>
            <w:r>
              <w:rPr>
                <w:rFonts w:hint="eastAsia"/>
                <w:color w:val="auto"/>
                <w:highlight w:val="none"/>
              </w:rPr>
              <w:t>尾矿经脱水后前期采用公路运输</w:t>
            </w:r>
            <w:r>
              <w:rPr>
                <w:rFonts w:hint="eastAsia"/>
                <w:color w:val="auto"/>
                <w:highlight w:val="none"/>
                <w:lang w:eastAsia="zh-CN"/>
              </w:rPr>
              <w:t>（依托现有道路）；</w:t>
            </w:r>
            <w:r>
              <w:rPr>
                <w:rFonts w:hint="eastAsia"/>
                <w:color w:val="auto"/>
                <w:highlight w:val="none"/>
              </w:rPr>
              <w:t>后期采用皮带运输系统，尾矿输送量302.00万t/a（合188.75万m</w:t>
            </w:r>
            <w:r>
              <w:rPr>
                <w:rFonts w:hint="eastAsia"/>
                <w:color w:val="auto"/>
                <w:highlight w:val="none"/>
                <w:vertAlign w:val="superscript"/>
              </w:rPr>
              <w:t>3</w:t>
            </w:r>
            <w:r>
              <w:rPr>
                <w:rFonts w:hint="eastAsia"/>
                <w:color w:val="auto"/>
                <w:highlight w:val="none"/>
              </w:rPr>
              <w:t>）</w:t>
            </w:r>
            <w:r>
              <w:rPr>
                <w:rFonts w:hint="eastAsia"/>
                <w:color w:val="auto"/>
                <w:highlight w:val="none"/>
                <w:lang w:eastAsia="zh-CN"/>
              </w:rPr>
              <w:t>，</w:t>
            </w:r>
            <w:r>
              <w:rPr>
                <w:rFonts w:hint="eastAsia"/>
                <w:color w:val="auto"/>
                <w:highlight w:val="none"/>
              </w:rPr>
              <w:t>运输</w:t>
            </w:r>
            <w:r>
              <w:rPr>
                <w:rFonts w:hint="eastAsia"/>
                <w:color w:val="auto"/>
                <w:highlight w:val="none"/>
                <w:lang w:val="en-US" w:eastAsia="zh-CN"/>
              </w:rPr>
              <w:t>皮带</w:t>
            </w:r>
            <w:r>
              <w:rPr>
                <w:rFonts w:hint="eastAsia"/>
                <w:color w:val="auto"/>
                <w:highlight w:val="none"/>
                <w:lang w:eastAsia="zh-CN"/>
              </w:rPr>
              <w:t>长</w:t>
            </w:r>
            <w:r>
              <w:rPr>
                <w:rFonts w:hint="eastAsia"/>
                <w:color w:val="auto"/>
                <w:highlight w:val="none"/>
                <w:lang w:val="en-US" w:eastAsia="zh-CN"/>
              </w:rPr>
              <w:t>7km</w:t>
            </w:r>
            <w:r>
              <w:rPr>
                <w:rFonts w:hint="eastAsia"/>
                <w:color w:val="auto"/>
                <w:highlight w:val="none"/>
              </w:rPr>
              <w:t>。</w:t>
            </w:r>
          </w:p>
        </w:tc>
        <w:tc>
          <w:tcPr>
            <w:tcW w:w="546" w:type="pct"/>
            <w:tcBorders>
              <w:tl2br w:val="nil"/>
              <w:tr2bl w:val="nil"/>
            </w:tcBorders>
            <w:vAlign w:val="center"/>
          </w:tcPr>
          <w:p w14:paraId="3FAB870A">
            <w:pPr>
              <w:pStyle w:val="41"/>
              <w:rPr>
                <w:color w:val="auto"/>
                <w:highlight w:val="none"/>
              </w:rPr>
            </w:pPr>
            <w:r>
              <w:rPr>
                <w:color w:val="auto"/>
                <w:highlight w:val="none"/>
              </w:rPr>
              <w:t>新建</w:t>
            </w:r>
          </w:p>
        </w:tc>
      </w:tr>
      <w:tr w14:paraId="7D6EF0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762" w:hRule="atLeast"/>
          <w:jc w:val="center"/>
        </w:trPr>
        <w:tc>
          <w:tcPr>
            <w:tcW w:w="305" w:type="pct"/>
            <w:vMerge w:val="restart"/>
            <w:tcBorders>
              <w:tl2br w:val="nil"/>
              <w:tr2bl w:val="nil"/>
            </w:tcBorders>
            <w:vAlign w:val="center"/>
          </w:tcPr>
          <w:p w14:paraId="6836FAE5">
            <w:pPr>
              <w:pStyle w:val="41"/>
              <w:rPr>
                <w:color w:val="auto"/>
                <w:highlight w:val="none"/>
              </w:rPr>
            </w:pPr>
            <w:r>
              <w:rPr>
                <w:color w:val="auto"/>
                <w:highlight w:val="none"/>
              </w:rPr>
              <w:t>环保工程</w:t>
            </w:r>
          </w:p>
        </w:tc>
        <w:tc>
          <w:tcPr>
            <w:tcW w:w="294" w:type="pct"/>
            <w:vMerge w:val="restart"/>
            <w:tcBorders>
              <w:tl2br w:val="nil"/>
              <w:tr2bl w:val="nil"/>
            </w:tcBorders>
            <w:vAlign w:val="center"/>
          </w:tcPr>
          <w:p w14:paraId="2044232C">
            <w:pPr>
              <w:pStyle w:val="41"/>
              <w:rPr>
                <w:color w:val="auto"/>
                <w:highlight w:val="none"/>
              </w:rPr>
            </w:pPr>
            <w:r>
              <w:rPr>
                <w:color w:val="auto"/>
                <w:highlight w:val="none"/>
              </w:rPr>
              <w:t>废气</w:t>
            </w:r>
          </w:p>
          <w:p w14:paraId="71060BC0">
            <w:pPr>
              <w:pStyle w:val="41"/>
              <w:rPr>
                <w:color w:val="auto"/>
                <w:highlight w:val="none"/>
              </w:rPr>
            </w:pPr>
          </w:p>
        </w:tc>
        <w:tc>
          <w:tcPr>
            <w:tcW w:w="527" w:type="pct"/>
            <w:tcBorders>
              <w:tl2br w:val="nil"/>
              <w:tr2bl w:val="nil"/>
            </w:tcBorders>
            <w:vAlign w:val="center"/>
          </w:tcPr>
          <w:p w14:paraId="0FFDAA82">
            <w:pPr>
              <w:pStyle w:val="41"/>
              <w:rPr>
                <w:color w:val="auto"/>
                <w:highlight w:val="none"/>
              </w:rPr>
            </w:pPr>
            <w:r>
              <w:rPr>
                <w:rFonts w:hint="eastAsia"/>
                <w:color w:val="auto"/>
                <w:highlight w:val="none"/>
              </w:rPr>
              <w:t>生产系统</w:t>
            </w:r>
          </w:p>
        </w:tc>
        <w:tc>
          <w:tcPr>
            <w:tcW w:w="3327" w:type="pct"/>
            <w:tcBorders>
              <w:tl2br w:val="nil"/>
              <w:tr2bl w:val="nil"/>
            </w:tcBorders>
            <w:vAlign w:val="center"/>
          </w:tcPr>
          <w:p w14:paraId="1182E41E">
            <w:pPr>
              <w:pStyle w:val="41"/>
              <w:rPr>
                <w:color w:val="auto"/>
                <w:highlight w:val="none"/>
              </w:rPr>
            </w:pPr>
            <w:r>
              <w:rPr>
                <w:color w:val="auto"/>
                <w:highlight w:val="none"/>
              </w:rPr>
              <w:t>生产车间封闭，各工艺设备间有封闭皮带通廊，车间设集气装置+布袋除尘器，除尘后经排气筒排放。</w:t>
            </w:r>
          </w:p>
        </w:tc>
        <w:tc>
          <w:tcPr>
            <w:tcW w:w="546" w:type="pct"/>
            <w:tcBorders>
              <w:tl2br w:val="nil"/>
              <w:tr2bl w:val="nil"/>
            </w:tcBorders>
            <w:vAlign w:val="center"/>
          </w:tcPr>
          <w:p w14:paraId="657610CA">
            <w:pPr>
              <w:pStyle w:val="41"/>
              <w:rPr>
                <w:color w:val="auto"/>
                <w:highlight w:val="none"/>
              </w:rPr>
            </w:pPr>
            <w:r>
              <w:rPr>
                <w:color w:val="auto"/>
                <w:highlight w:val="none"/>
              </w:rPr>
              <w:t>新建</w:t>
            </w:r>
          </w:p>
        </w:tc>
      </w:tr>
      <w:tr w14:paraId="6A1937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23" w:hRule="atLeast"/>
          <w:jc w:val="center"/>
        </w:trPr>
        <w:tc>
          <w:tcPr>
            <w:tcW w:w="305" w:type="pct"/>
            <w:vMerge w:val="continue"/>
            <w:tcBorders>
              <w:tl2br w:val="nil"/>
              <w:tr2bl w:val="nil"/>
            </w:tcBorders>
            <w:vAlign w:val="center"/>
          </w:tcPr>
          <w:p w14:paraId="240FED0E">
            <w:pPr>
              <w:pStyle w:val="41"/>
              <w:rPr>
                <w:color w:val="auto"/>
                <w:highlight w:val="none"/>
              </w:rPr>
            </w:pPr>
          </w:p>
        </w:tc>
        <w:tc>
          <w:tcPr>
            <w:tcW w:w="294" w:type="pct"/>
            <w:vMerge w:val="continue"/>
            <w:tcBorders>
              <w:tl2br w:val="nil"/>
              <w:tr2bl w:val="nil"/>
            </w:tcBorders>
            <w:vAlign w:val="center"/>
          </w:tcPr>
          <w:p w14:paraId="1205E7AA">
            <w:pPr>
              <w:pStyle w:val="41"/>
              <w:rPr>
                <w:color w:val="auto"/>
                <w:highlight w:val="none"/>
              </w:rPr>
            </w:pPr>
          </w:p>
        </w:tc>
        <w:tc>
          <w:tcPr>
            <w:tcW w:w="527" w:type="pct"/>
            <w:tcBorders>
              <w:tl2br w:val="nil"/>
              <w:tr2bl w:val="nil"/>
            </w:tcBorders>
            <w:vAlign w:val="center"/>
          </w:tcPr>
          <w:p w14:paraId="0795135E">
            <w:pPr>
              <w:pStyle w:val="41"/>
              <w:rPr>
                <w:color w:val="auto"/>
                <w:highlight w:val="none"/>
              </w:rPr>
            </w:pPr>
            <w:r>
              <w:rPr>
                <w:rFonts w:hint="eastAsia"/>
                <w:color w:val="auto"/>
                <w:highlight w:val="none"/>
              </w:rPr>
              <w:t>生物质炉窑</w:t>
            </w:r>
          </w:p>
        </w:tc>
        <w:tc>
          <w:tcPr>
            <w:tcW w:w="3327" w:type="pct"/>
            <w:tcBorders>
              <w:tl2br w:val="nil"/>
              <w:tr2bl w:val="nil"/>
            </w:tcBorders>
            <w:vAlign w:val="center"/>
          </w:tcPr>
          <w:p w14:paraId="7D14AFDF">
            <w:pPr>
              <w:pStyle w:val="41"/>
              <w:rPr>
                <w:color w:val="auto"/>
                <w:highlight w:val="none"/>
              </w:rPr>
            </w:pPr>
            <w:r>
              <w:rPr>
                <w:color w:val="auto"/>
                <w:highlight w:val="none"/>
              </w:rPr>
              <w:t>废气治理设施采用</w:t>
            </w:r>
            <w:r>
              <w:rPr>
                <w:rFonts w:hint="eastAsia"/>
                <w:color w:val="auto"/>
                <w:highlight w:val="none"/>
              </w:rPr>
              <w:t>“</w:t>
            </w:r>
            <w:r>
              <w:rPr>
                <w:color w:val="auto"/>
                <w:highlight w:val="none"/>
              </w:rPr>
              <w:t>布袋除尘器+</w:t>
            </w:r>
            <w:r>
              <w:rPr>
                <w:rFonts w:hint="eastAsia"/>
                <w:color w:val="auto"/>
                <w:highlight w:val="none"/>
              </w:rPr>
              <w:t>双碱法</w:t>
            </w:r>
            <w:r>
              <w:rPr>
                <w:color w:val="auto"/>
                <w:highlight w:val="none"/>
              </w:rPr>
              <w:t>脱硫</w:t>
            </w:r>
            <w:r>
              <w:rPr>
                <w:rFonts w:hint="eastAsia"/>
                <w:color w:val="auto"/>
                <w:highlight w:val="none"/>
              </w:rPr>
              <w:t>”</w:t>
            </w:r>
            <w:r>
              <w:rPr>
                <w:color w:val="auto"/>
                <w:highlight w:val="none"/>
              </w:rPr>
              <w:t>处理达标后排放</w:t>
            </w:r>
            <w:r>
              <w:rPr>
                <w:rFonts w:hint="eastAsia"/>
                <w:color w:val="auto"/>
                <w:highlight w:val="none"/>
              </w:rPr>
              <w:t>。</w:t>
            </w:r>
          </w:p>
        </w:tc>
        <w:tc>
          <w:tcPr>
            <w:tcW w:w="546" w:type="pct"/>
            <w:tcBorders>
              <w:tl2br w:val="nil"/>
              <w:tr2bl w:val="nil"/>
            </w:tcBorders>
            <w:vAlign w:val="center"/>
          </w:tcPr>
          <w:p w14:paraId="1DABFD18">
            <w:pPr>
              <w:pStyle w:val="41"/>
              <w:rPr>
                <w:color w:val="auto"/>
                <w:highlight w:val="none"/>
              </w:rPr>
            </w:pPr>
            <w:r>
              <w:rPr>
                <w:color w:val="auto"/>
                <w:highlight w:val="none"/>
              </w:rPr>
              <w:t>新建</w:t>
            </w:r>
          </w:p>
        </w:tc>
      </w:tr>
      <w:tr w14:paraId="6113D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23" w:hRule="atLeast"/>
          <w:jc w:val="center"/>
        </w:trPr>
        <w:tc>
          <w:tcPr>
            <w:tcW w:w="305" w:type="pct"/>
            <w:vMerge w:val="continue"/>
            <w:tcBorders>
              <w:tl2br w:val="nil"/>
              <w:tr2bl w:val="nil"/>
            </w:tcBorders>
            <w:vAlign w:val="center"/>
          </w:tcPr>
          <w:p w14:paraId="64768CB2">
            <w:pPr>
              <w:pStyle w:val="41"/>
              <w:rPr>
                <w:color w:val="auto"/>
                <w:highlight w:val="none"/>
              </w:rPr>
            </w:pPr>
          </w:p>
        </w:tc>
        <w:tc>
          <w:tcPr>
            <w:tcW w:w="294" w:type="pct"/>
            <w:vMerge w:val="continue"/>
            <w:tcBorders>
              <w:tl2br w:val="nil"/>
              <w:tr2bl w:val="nil"/>
            </w:tcBorders>
            <w:vAlign w:val="center"/>
          </w:tcPr>
          <w:p w14:paraId="330077A2">
            <w:pPr>
              <w:pStyle w:val="41"/>
              <w:rPr>
                <w:color w:val="auto"/>
                <w:highlight w:val="none"/>
              </w:rPr>
            </w:pPr>
          </w:p>
        </w:tc>
        <w:tc>
          <w:tcPr>
            <w:tcW w:w="527" w:type="pct"/>
            <w:tcBorders>
              <w:tl2br w:val="nil"/>
              <w:tr2bl w:val="nil"/>
            </w:tcBorders>
            <w:vAlign w:val="center"/>
          </w:tcPr>
          <w:p w14:paraId="33FA5C11">
            <w:pPr>
              <w:pStyle w:val="41"/>
              <w:rPr>
                <w:color w:val="auto"/>
                <w:highlight w:val="none"/>
              </w:rPr>
            </w:pPr>
            <w:r>
              <w:rPr>
                <w:rFonts w:hint="eastAsia"/>
                <w:color w:val="auto"/>
                <w:highlight w:val="none"/>
              </w:rPr>
              <w:t>尾矿库</w:t>
            </w:r>
          </w:p>
        </w:tc>
        <w:tc>
          <w:tcPr>
            <w:tcW w:w="3327" w:type="pct"/>
            <w:tcBorders>
              <w:tl2br w:val="nil"/>
              <w:tr2bl w:val="nil"/>
            </w:tcBorders>
            <w:vAlign w:val="center"/>
          </w:tcPr>
          <w:p w14:paraId="26AAC654">
            <w:pPr>
              <w:pStyle w:val="41"/>
              <w:rPr>
                <w:color w:val="auto"/>
                <w:highlight w:val="none"/>
              </w:rPr>
            </w:pPr>
            <w:r>
              <w:rPr>
                <w:color w:val="auto"/>
                <w:highlight w:val="none"/>
              </w:rPr>
              <w:t>保持尾矿沉积滩面的湿润，减少扬尘。</w:t>
            </w:r>
          </w:p>
        </w:tc>
        <w:tc>
          <w:tcPr>
            <w:tcW w:w="546" w:type="pct"/>
            <w:tcBorders>
              <w:tl2br w:val="nil"/>
              <w:tr2bl w:val="nil"/>
            </w:tcBorders>
            <w:vAlign w:val="center"/>
          </w:tcPr>
          <w:p w14:paraId="0087494E">
            <w:pPr>
              <w:pStyle w:val="41"/>
              <w:rPr>
                <w:color w:val="auto"/>
                <w:highlight w:val="none"/>
              </w:rPr>
            </w:pPr>
            <w:r>
              <w:rPr>
                <w:color w:val="auto"/>
                <w:highlight w:val="none"/>
              </w:rPr>
              <w:t>新建</w:t>
            </w:r>
          </w:p>
        </w:tc>
      </w:tr>
      <w:tr w14:paraId="64A914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23" w:hRule="atLeast"/>
          <w:jc w:val="center"/>
        </w:trPr>
        <w:tc>
          <w:tcPr>
            <w:tcW w:w="305" w:type="pct"/>
            <w:vMerge w:val="continue"/>
            <w:tcBorders>
              <w:tl2br w:val="nil"/>
              <w:tr2bl w:val="nil"/>
            </w:tcBorders>
            <w:vAlign w:val="center"/>
          </w:tcPr>
          <w:p w14:paraId="04E52267">
            <w:pPr>
              <w:pStyle w:val="41"/>
              <w:rPr>
                <w:color w:val="auto"/>
                <w:highlight w:val="none"/>
              </w:rPr>
            </w:pPr>
          </w:p>
        </w:tc>
        <w:tc>
          <w:tcPr>
            <w:tcW w:w="294" w:type="pct"/>
            <w:vMerge w:val="continue"/>
            <w:tcBorders>
              <w:tl2br w:val="nil"/>
              <w:tr2bl w:val="nil"/>
            </w:tcBorders>
            <w:vAlign w:val="center"/>
          </w:tcPr>
          <w:p w14:paraId="5301B255">
            <w:pPr>
              <w:pStyle w:val="41"/>
              <w:rPr>
                <w:color w:val="auto"/>
                <w:highlight w:val="none"/>
              </w:rPr>
            </w:pPr>
          </w:p>
        </w:tc>
        <w:tc>
          <w:tcPr>
            <w:tcW w:w="527" w:type="pct"/>
            <w:tcBorders>
              <w:tl2br w:val="nil"/>
              <w:tr2bl w:val="nil"/>
            </w:tcBorders>
            <w:vAlign w:val="center"/>
          </w:tcPr>
          <w:p w14:paraId="365C4619">
            <w:pPr>
              <w:pStyle w:val="41"/>
              <w:rPr>
                <w:rFonts w:hint="eastAsia" w:eastAsia="华文中宋"/>
                <w:color w:val="auto"/>
                <w:highlight w:val="none"/>
                <w:lang w:eastAsia="zh-CN"/>
              </w:rPr>
            </w:pPr>
            <w:r>
              <w:rPr>
                <w:rFonts w:hint="eastAsia"/>
                <w:color w:val="auto"/>
                <w:highlight w:val="none"/>
                <w:lang w:eastAsia="zh-CN"/>
              </w:rPr>
              <w:t>食堂油烟</w:t>
            </w:r>
          </w:p>
        </w:tc>
        <w:tc>
          <w:tcPr>
            <w:tcW w:w="3327" w:type="pct"/>
            <w:tcBorders>
              <w:tl2br w:val="nil"/>
              <w:tr2bl w:val="nil"/>
            </w:tcBorders>
            <w:vAlign w:val="center"/>
          </w:tcPr>
          <w:p w14:paraId="7A6D73A1">
            <w:pPr>
              <w:pStyle w:val="41"/>
              <w:rPr>
                <w:rFonts w:hint="eastAsia" w:eastAsia="华文中宋"/>
                <w:color w:val="auto"/>
                <w:highlight w:val="none"/>
                <w:lang w:eastAsia="zh-CN"/>
              </w:rPr>
            </w:pPr>
            <w:r>
              <w:rPr>
                <w:rFonts w:hint="eastAsia"/>
                <w:color w:val="auto"/>
                <w:highlight w:val="none"/>
                <w:lang w:eastAsia="zh-CN"/>
              </w:rPr>
              <w:t>安装油烟净化设备</w:t>
            </w:r>
          </w:p>
        </w:tc>
        <w:tc>
          <w:tcPr>
            <w:tcW w:w="546" w:type="pct"/>
            <w:tcBorders>
              <w:tl2br w:val="nil"/>
              <w:tr2bl w:val="nil"/>
            </w:tcBorders>
            <w:vAlign w:val="center"/>
          </w:tcPr>
          <w:p w14:paraId="033FA229">
            <w:pPr>
              <w:pStyle w:val="41"/>
              <w:rPr>
                <w:color w:val="auto"/>
                <w:highlight w:val="none"/>
              </w:rPr>
            </w:pPr>
            <w:r>
              <w:rPr>
                <w:color w:val="auto"/>
                <w:highlight w:val="none"/>
              </w:rPr>
              <w:t>新建</w:t>
            </w:r>
          </w:p>
        </w:tc>
      </w:tr>
      <w:tr w14:paraId="7D94E8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23" w:hRule="atLeast"/>
          <w:jc w:val="center"/>
        </w:trPr>
        <w:tc>
          <w:tcPr>
            <w:tcW w:w="305" w:type="pct"/>
            <w:vMerge w:val="continue"/>
            <w:tcBorders>
              <w:tl2br w:val="nil"/>
              <w:tr2bl w:val="nil"/>
            </w:tcBorders>
            <w:vAlign w:val="center"/>
          </w:tcPr>
          <w:p w14:paraId="35DF7690">
            <w:pPr>
              <w:pStyle w:val="41"/>
              <w:rPr>
                <w:color w:val="auto"/>
                <w:highlight w:val="none"/>
              </w:rPr>
            </w:pPr>
          </w:p>
        </w:tc>
        <w:tc>
          <w:tcPr>
            <w:tcW w:w="294" w:type="pct"/>
            <w:vMerge w:val="restart"/>
            <w:tcBorders>
              <w:tl2br w:val="nil"/>
              <w:tr2bl w:val="nil"/>
            </w:tcBorders>
            <w:vAlign w:val="center"/>
          </w:tcPr>
          <w:p w14:paraId="04C62DDE">
            <w:pPr>
              <w:pStyle w:val="41"/>
              <w:rPr>
                <w:color w:val="auto"/>
                <w:highlight w:val="none"/>
              </w:rPr>
            </w:pPr>
            <w:r>
              <w:rPr>
                <w:color w:val="auto"/>
                <w:highlight w:val="none"/>
              </w:rPr>
              <w:t>废水</w:t>
            </w:r>
          </w:p>
        </w:tc>
        <w:tc>
          <w:tcPr>
            <w:tcW w:w="527" w:type="pct"/>
            <w:tcBorders>
              <w:tl2br w:val="nil"/>
              <w:tr2bl w:val="nil"/>
            </w:tcBorders>
            <w:vAlign w:val="center"/>
          </w:tcPr>
          <w:p w14:paraId="41DA5984">
            <w:pPr>
              <w:pStyle w:val="41"/>
              <w:rPr>
                <w:color w:val="auto"/>
                <w:highlight w:val="none"/>
              </w:rPr>
            </w:pPr>
            <w:r>
              <w:rPr>
                <w:rFonts w:hint="eastAsia"/>
                <w:color w:val="auto"/>
                <w:highlight w:val="none"/>
              </w:rPr>
              <w:t>选矿废水</w:t>
            </w:r>
          </w:p>
        </w:tc>
        <w:tc>
          <w:tcPr>
            <w:tcW w:w="3327" w:type="pct"/>
            <w:tcBorders>
              <w:tl2br w:val="nil"/>
              <w:tr2bl w:val="nil"/>
            </w:tcBorders>
            <w:vAlign w:val="center"/>
          </w:tcPr>
          <w:p w14:paraId="70A8FBCF">
            <w:pPr>
              <w:pStyle w:val="41"/>
              <w:rPr>
                <w:color w:val="auto"/>
                <w:highlight w:val="none"/>
              </w:rPr>
            </w:pPr>
            <w:r>
              <w:rPr>
                <w:color w:val="auto"/>
                <w:highlight w:val="none"/>
              </w:rPr>
              <w:t>项目选矿废水经沉淀后全部排入防渗循环水池循环使用于磨矿工序。</w:t>
            </w:r>
          </w:p>
        </w:tc>
        <w:tc>
          <w:tcPr>
            <w:tcW w:w="546" w:type="pct"/>
            <w:tcBorders>
              <w:tl2br w:val="nil"/>
              <w:tr2bl w:val="nil"/>
            </w:tcBorders>
            <w:vAlign w:val="center"/>
          </w:tcPr>
          <w:p w14:paraId="1DD132C1">
            <w:pPr>
              <w:pStyle w:val="41"/>
              <w:rPr>
                <w:color w:val="auto"/>
                <w:highlight w:val="none"/>
              </w:rPr>
            </w:pPr>
            <w:r>
              <w:rPr>
                <w:color w:val="auto"/>
                <w:highlight w:val="none"/>
              </w:rPr>
              <w:t>新建</w:t>
            </w:r>
          </w:p>
        </w:tc>
      </w:tr>
      <w:tr w14:paraId="158406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23" w:hRule="atLeast"/>
          <w:jc w:val="center"/>
        </w:trPr>
        <w:tc>
          <w:tcPr>
            <w:tcW w:w="305" w:type="pct"/>
            <w:vMerge w:val="continue"/>
            <w:tcBorders>
              <w:tl2br w:val="nil"/>
              <w:tr2bl w:val="nil"/>
            </w:tcBorders>
            <w:vAlign w:val="center"/>
          </w:tcPr>
          <w:p w14:paraId="54958305">
            <w:pPr>
              <w:pStyle w:val="41"/>
              <w:rPr>
                <w:color w:val="auto"/>
                <w:highlight w:val="none"/>
              </w:rPr>
            </w:pPr>
          </w:p>
        </w:tc>
        <w:tc>
          <w:tcPr>
            <w:tcW w:w="294" w:type="pct"/>
            <w:vMerge w:val="continue"/>
            <w:tcBorders>
              <w:tl2br w:val="nil"/>
              <w:tr2bl w:val="nil"/>
            </w:tcBorders>
            <w:vAlign w:val="center"/>
          </w:tcPr>
          <w:p w14:paraId="06D03F0C">
            <w:pPr>
              <w:pStyle w:val="41"/>
              <w:rPr>
                <w:color w:val="auto"/>
                <w:highlight w:val="none"/>
              </w:rPr>
            </w:pPr>
          </w:p>
        </w:tc>
        <w:tc>
          <w:tcPr>
            <w:tcW w:w="527" w:type="pct"/>
            <w:tcBorders>
              <w:tl2br w:val="nil"/>
              <w:tr2bl w:val="nil"/>
            </w:tcBorders>
            <w:vAlign w:val="center"/>
          </w:tcPr>
          <w:p w14:paraId="7E0F55DE">
            <w:pPr>
              <w:pStyle w:val="41"/>
              <w:rPr>
                <w:color w:val="auto"/>
                <w:highlight w:val="none"/>
              </w:rPr>
            </w:pPr>
            <w:r>
              <w:rPr>
                <w:rFonts w:hint="eastAsia"/>
                <w:color w:val="auto"/>
                <w:highlight w:val="none"/>
              </w:rPr>
              <w:t>生活污水</w:t>
            </w:r>
          </w:p>
        </w:tc>
        <w:tc>
          <w:tcPr>
            <w:tcW w:w="3327" w:type="pct"/>
            <w:tcBorders>
              <w:tl2br w:val="nil"/>
              <w:tr2bl w:val="nil"/>
            </w:tcBorders>
            <w:vAlign w:val="center"/>
          </w:tcPr>
          <w:p w14:paraId="2D5E33CA">
            <w:pPr>
              <w:pStyle w:val="41"/>
              <w:rPr>
                <w:color w:val="auto"/>
                <w:highlight w:val="none"/>
              </w:rPr>
            </w:pPr>
            <w:r>
              <w:rPr>
                <w:color w:val="auto"/>
                <w:highlight w:val="none"/>
              </w:rPr>
              <w:t>地埋式一体化生活污水处理设施，生活污水指标满足</w:t>
            </w:r>
            <w:r>
              <w:rPr>
                <w:rFonts w:hint="eastAsia"/>
                <w:color w:val="auto"/>
                <w:highlight w:val="none"/>
                <w:lang w:eastAsia="zh-CN"/>
              </w:rPr>
              <w:t>《城市污水再生利用—城市杂用水水质》（GB/T18920-2020）</w:t>
            </w:r>
            <w:r>
              <w:rPr>
                <w:color w:val="auto"/>
                <w:highlight w:val="none"/>
              </w:rPr>
              <w:t>。</w:t>
            </w:r>
          </w:p>
        </w:tc>
        <w:tc>
          <w:tcPr>
            <w:tcW w:w="546" w:type="pct"/>
            <w:tcBorders>
              <w:tl2br w:val="nil"/>
              <w:tr2bl w:val="nil"/>
            </w:tcBorders>
            <w:vAlign w:val="center"/>
          </w:tcPr>
          <w:p w14:paraId="11F595E4">
            <w:pPr>
              <w:pStyle w:val="41"/>
              <w:rPr>
                <w:color w:val="auto"/>
                <w:highlight w:val="none"/>
              </w:rPr>
            </w:pPr>
            <w:r>
              <w:rPr>
                <w:rFonts w:hint="eastAsia"/>
                <w:color w:val="auto"/>
                <w:highlight w:val="none"/>
              </w:rPr>
              <w:t>依托</w:t>
            </w:r>
          </w:p>
        </w:tc>
      </w:tr>
      <w:tr w14:paraId="61CF8F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23" w:hRule="atLeast"/>
          <w:jc w:val="center"/>
        </w:trPr>
        <w:tc>
          <w:tcPr>
            <w:tcW w:w="305" w:type="pct"/>
            <w:vMerge w:val="continue"/>
            <w:tcBorders>
              <w:tl2br w:val="nil"/>
              <w:tr2bl w:val="nil"/>
            </w:tcBorders>
            <w:vAlign w:val="center"/>
          </w:tcPr>
          <w:p w14:paraId="04FCF878">
            <w:pPr>
              <w:pStyle w:val="41"/>
              <w:rPr>
                <w:color w:val="auto"/>
                <w:highlight w:val="none"/>
              </w:rPr>
            </w:pPr>
          </w:p>
        </w:tc>
        <w:tc>
          <w:tcPr>
            <w:tcW w:w="821" w:type="pct"/>
            <w:gridSpan w:val="2"/>
            <w:tcBorders>
              <w:tl2br w:val="nil"/>
              <w:tr2bl w:val="nil"/>
            </w:tcBorders>
            <w:vAlign w:val="center"/>
          </w:tcPr>
          <w:p w14:paraId="77D4B682">
            <w:pPr>
              <w:pStyle w:val="41"/>
              <w:rPr>
                <w:color w:val="auto"/>
                <w:highlight w:val="none"/>
              </w:rPr>
            </w:pPr>
            <w:r>
              <w:rPr>
                <w:color w:val="auto"/>
                <w:highlight w:val="none"/>
              </w:rPr>
              <w:t>噪声</w:t>
            </w:r>
          </w:p>
        </w:tc>
        <w:tc>
          <w:tcPr>
            <w:tcW w:w="3327" w:type="pct"/>
            <w:tcBorders>
              <w:tl2br w:val="nil"/>
              <w:tr2bl w:val="nil"/>
            </w:tcBorders>
            <w:vAlign w:val="center"/>
          </w:tcPr>
          <w:p w14:paraId="366A8BCB">
            <w:pPr>
              <w:pStyle w:val="41"/>
              <w:rPr>
                <w:color w:val="auto"/>
                <w:highlight w:val="none"/>
              </w:rPr>
            </w:pPr>
            <w:r>
              <w:rPr>
                <w:color w:val="auto"/>
                <w:highlight w:val="none"/>
              </w:rPr>
              <w:t>采用低噪声设备，选矿设备设置在车间内</w:t>
            </w:r>
            <w:r>
              <w:rPr>
                <w:rFonts w:hint="eastAsia"/>
                <w:color w:val="auto"/>
                <w:highlight w:val="none"/>
              </w:rPr>
              <w:t>，设备设减振基础等。</w:t>
            </w:r>
          </w:p>
          <w:p w14:paraId="3081BA3F">
            <w:pPr>
              <w:pStyle w:val="41"/>
              <w:rPr>
                <w:color w:val="auto"/>
                <w:highlight w:val="none"/>
              </w:rPr>
            </w:pPr>
            <w:r>
              <w:rPr>
                <w:color w:val="auto"/>
                <w:highlight w:val="none"/>
              </w:rPr>
              <w:t>隔声、减震。采用弹性支撑或弹性连接以减少振动。</w:t>
            </w:r>
          </w:p>
        </w:tc>
        <w:tc>
          <w:tcPr>
            <w:tcW w:w="546" w:type="pct"/>
            <w:tcBorders>
              <w:tl2br w:val="nil"/>
              <w:tr2bl w:val="nil"/>
            </w:tcBorders>
            <w:vAlign w:val="center"/>
          </w:tcPr>
          <w:p w14:paraId="7BD2D202">
            <w:pPr>
              <w:pStyle w:val="41"/>
              <w:rPr>
                <w:color w:val="auto"/>
                <w:highlight w:val="none"/>
              </w:rPr>
            </w:pPr>
            <w:r>
              <w:rPr>
                <w:color w:val="auto"/>
                <w:highlight w:val="none"/>
              </w:rPr>
              <w:t>新建</w:t>
            </w:r>
          </w:p>
        </w:tc>
      </w:tr>
      <w:tr w14:paraId="1DFA0B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514" w:hRule="atLeast"/>
          <w:jc w:val="center"/>
        </w:trPr>
        <w:tc>
          <w:tcPr>
            <w:tcW w:w="305" w:type="pct"/>
            <w:vMerge w:val="continue"/>
            <w:tcBorders>
              <w:tl2br w:val="nil"/>
              <w:tr2bl w:val="nil"/>
            </w:tcBorders>
            <w:vAlign w:val="center"/>
          </w:tcPr>
          <w:p w14:paraId="72CA069F">
            <w:pPr>
              <w:pStyle w:val="41"/>
              <w:rPr>
                <w:color w:val="auto"/>
                <w:highlight w:val="none"/>
              </w:rPr>
            </w:pPr>
          </w:p>
        </w:tc>
        <w:tc>
          <w:tcPr>
            <w:tcW w:w="294" w:type="pct"/>
            <w:vMerge w:val="restart"/>
            <w:tcBorders>
              <w:tl2br w:val="nil"/>
              <w:tr2bl w:val="nil"/>
            </w:tcBorders>
            <w:vAlign w:val="center"/>
          </w:tcPr>
          <w:p w14:paraId="4B6CEE1C">
            <w:pPr>
              <w:pStyle w:val="41"/>
              <w:rPr>
                <w:color w:val="auto"/>
                <w:highlight w:val="none"/>
              </w:rPr>
            </w:pPr>
            <w:r>
              <w:rPr>
                <w:color w:val="auto"/>
                <w:highlight w:val="none"/>
              </w:rPr>
              <w:t>固废</w:t>
            </w:r>
          </w:p>
        </w:tc>
        <w:tc>
          <w:tcPr>
            <w:tcW w:w="527" w:type="pct"/>
            <w:tcBorders>
              <w:tl2br w:val="nil"/>
              <w:tr2bl w:val="nil"/>
            </w:tcBorders>
            <w:vAlign w:val="center"/>
          </w:tcPr>
          <w:p w14:paraId="78AAD4BC">
            <w:pPr>
              <w:pStyle w:val="41"/>
              <w:rPr>
                <w:rFonts w:hint="eastAsia" w:eastAsia="华文中宋"/>
                <w:color w:val="auto"/>
                <w:highlight w:val="none"/>
                <w:lang w:eastAsia="zh-CN"/>
              </w:rPr>
            </w:pPr>
            <w:r>
              <w:rPr>
                <w:rFonts w:hint="eastAsia"/>
                <w:color w:val="auto"/>
                <w:highlight w:val="none"/>
                <w:lang w:eastAsia="zh-CN"/>
              </w:rPr>
              <w:t>一般固废</w:t>
            </w:r>
          </w:p>
        </w:tc>
        <w:tc>
          <w:tcPr>
            <w:tcW w:w="3327" w:type="pct"/>
            <w:tcBorders>
              <w:tl2br w:val="nil"/>
              <w:tr2bl w:val="nil"/>
            </w:tcBorders>
            <w:vAlign w:val="center"/>
          </w:tcPr>
          <w:p w14:paraId="2CF774D3">
            <w:pPr>
              <w:pStyle w:val="41"/>
              <w:rPr>
                <w:color w:val="auto"/>
                <w:highlight w:val="none"/>
              </w:rPr>
            </w:pPr>
            <w:r>
              <w:rPr>
                <w:color w:val="auto"/>
                <w:highlight w:val="none"/>
              </w:rPr>
              <w:t>项目产生的废石排至</w:t>
            </w:r>
            <w:r>
              <w:rPr>
                <w:rFonts w:hint="eastAsia"/>
                <w:color w:val="auto"/>
                <w:highlight w:val="none"/>
              </w:rPr>
              <w:t>采坑</w:t>
            </w:r>
            <w:r>
              <w:rPr>
                <w:color w:val="auto"/>
                <w:highlight w:val="none"/>
              </w:rPr>
              <w:t>排土场堆存</w:t>
            </w:r>
            <w:r>
              <w:rPr>
                <w:rFonts w:hint="eastAsia"/>
                <w:color w:val="auto"/>
                <w:highlight w:val="none"/>
              </w:rPr>
              <w:t>，</w:t>
            </w:r>
            <w:r>
              <w:rPr>
                <w:color w:val="auto"/>
                <w:highlight w:val="none"/>
              </w:rPr>
              <w:t>可回填矿山采坑；尾矿进入到尾矿缓冲槽，由泵输送浓缩型水力旋流器组，旋流器底流自流给入脱水筛，脱水筛筛上</w:t>
            </w:r>
            <w:r>
              <w:rPr>
                <w:rFonts w:hint="eastAsia"/>
                <w:color w:val="auto"/>
                <w:highlight w:val="none"/>
                <w:lang w:eastAsia="zh-CN"/>
              </w:rPr>
              <w:t>料</w:t>
            </w:r>
            <w:r>
              <w:rPr>
                <w:color w:val="auto"/>
                <w:highlight w:val="none"/>
              </w:rPr>
              <w:t>用皮带运至尾矿库；</w:t>
            </w:r>
            <w:r>
              <w:rPr>
                <w:rFonts w:hint="eastAsia"/>
                <w:color w:val="auto"/>
                <w:highlight w:val="none"/>
              </w:rPr>
              <w:t>生物质炉灰渣作为土壤改良剂用于</w:t>
            </w:r>
            <w:r>
              <w:rPr>
                <w:rFonts w:hint="eastAsia"/>
                <w:color w:val="auto"/>
                <w:highlight w:val="none"/>
                <w:lang w:eastAsia="zh-CN"/>
              </w:rPr>
              <w:t>项目区</w:t>
            </w:r>
            <w:r>
              <w:rPr>
                <w:rFonts w:hint="eastAsia"/>
                <w:color w:val="auto"/>
                <w:highlight w:val="none"/>
              </w:rPr>
              <w:t>生态恢复治理</w:t>
            </w:r>
            <w:r>
              <w:rPr>
                <w:rFonts w:hint="eastAsia"/>
                <w:color w:val="auto"/>
                <w:highlight w:val="none"/>
                <w:lang w:eastAsia="zh-CN"/>
              </w:rPr>
              <w:t>；脱硫石膏外售进行综合利用；</w:t>
            </w:r>
            <w:r>
              <w:rPr>
                <w:color w:val="auto"/>
                <w:highlight w:val="none"/>
              </w:rPr>
              <w:t>生活污水处理设施产生的底泥，用于厂区绿化带绿化肥料。</w:t>
            </w:r>
          </w:p>
        </w:tc>
        <w:tc>
          <w:tcPr>
            <w:tcW w:w="546" w:type="pct"/>
            <w:tcBorders>
              <w:tl2br w:val="nil"/>
              <w:tr2bl w:val="nil"/>
            </w:tcBorders>
            <w:vAlign w:val="center"/>
          </w:tcPr>
          <w:p w14:paraId="2C499586">
            <w:pPr>
              <w:pStyle w:val="41"/>
              <w:rPr>
                <w:color w:val="auto"/>
                <w:highlight w:val="none"/>
              </w:rPr>
            </w:pPr>
            <w:r>
              <w:rPr>
                <w:color w:val="auto"/>
                <w:highlight w:val="none"/>
              </w:rPr>
              <w:t>新建</w:t>
            </w:r>
          </w:p>
        </w:tc>
      </w:tr>
      <w:tr w14:paraId="4CBAEA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514" w:hRule="atLeast"/>
          <w:jc w:val="center"/>
        </w:trPr>
        <w:tc>
          <w:tcPr>
            <w:tcW w:w="305" w:type="pct"/>
            <w:vMerge w:val="continue"/>
            <w:tcBorders>
              <w:tl2br w:val="nil"/>
              <w:tr2bl w:val="nil"/>
            </w:tcBorders>
            <w:vAlign w:val="center"/>
          </w:tcPr>
          <w:p w14:paraId="45944AEE">
            <w:pPr>
              <w:pStyle w:val="41"/>
              <w:rPr>
                <w:color w:val="auto"/>
                <w:highlight w:val="none"/>
              </w:rPr>
            </w:pPr>
          </w:p>
        </w:tc>
        <w:tc>
          <w:tcPr>
            <w:tcW w:w="294" w:type="pct"/>
            <w:vMerge w:val="continue"/>
            <w:tcBorders>
              <w:tl2br w:val="nil"/>
              <w:tr2bl w:val="nil"/>
            </w:tcBorders>
            <w:vAlign w:val="center"/>
          </w:tcPr>
          <w:p w14:paraId="68D49B43">
            <w:pPr>
              <w:pStyle w:val="41"/>
              <w:rPr>
                <w:color w:val="auto"/>
                <w:highlight w:val="none"/>
              </w:rPr>
            </w:pPr>
          </w:p>
        </w:tc>
        <w:tc>
          <w:tcPr>
            <w:tcW w:w="527" w:type="pct"/>
            <w:tcBorders>
              <w:tl2br w:val="nil"/>
              <w:tr2bl w:val="nil"/>
            </w:tcBorders>
            <w:vAlign w:val="center"/>
          </w:tcPr>
          <w:p w14:paraId="3208644E">
            <w:pPr>
              <w:pStyle w:val="41"/>
              <w:rPr>
                <w:rFonts w:hint="eastAsia" w:eastAsia="华文中宋"/>
                <w:color w:val="auto"/>
                <w:highlight w:val="none"/>
                <w:lang w:eastAsia="zh-CN"/>
              </w:rPr>
            </w:pPr>
            <w:r>
              <w:rPr>
                <w:rFonts w:hint="eastAsia"/>
                <w:color w:val="auto"/>
                <w:highlight w:val="none"/>
                <w:lang w:eastAsia="zh-CN"/>
              </w:rPr>
              <w:t>危险固废</w:t>
            </w:r>
          </w:p>
        </w:tc>
        <w:tc>
          <w:tcPr>
            <w:tcW w:w="3327" w:type="pct"/>
            <w:tcBorders>
              <w:tl2br w:val="nil"/>
              <w:tr2bl w:val="nil"/>
            </w:tcBorders>
            <w:vAlign w:val="center"/>
          </w:tcPr>
          <w:p w14:paraId="3502E73D">
            <w:pPr>
              <w:pStyle w:val="41"/>
              <w:rPr>
                <w:color w:val="auto"/>
                <w:highlight w:val="none"/>
              </w:rPr>
            </w:pPr>
            <w:r>
              <w:rPr>
                <w:color w:val="auto"/>
                <w:highlight w:val="none"/>
              </w:rPr>
              <w:t>危险废物</w:t>
            </w:r>
            <w:r>
              <w:rPr>
                <w:rFonts w:hint="eastAsia"/>
                <w:color w:val="auto"/>
                <w:highlight w:val="none"/>
                <w:lang w:eastAsia="zh-CN"/>
              </w:rPr>
              <w:t>依托厂区现有</w:t>
            </w:r>
            <w:r>
              <w:rPr>
                <w:color w:val="auto"/>
                <w:highlight w:val="none"/>
              </w:rPr>
              <w:t>危险废物贮存点，</w:t>
            </w:r>
            <w:r>
              <w:rPr>
                <w:rFonts w:hint="eastAsia"/>
                <w:color w:val="auto"/>
                <w:highlight w:val="none"/>
                <w:lang w:eastAsia="zh-CN"/>
              </w:rPr>
              <w:t>委托</w:t>
            </w:r>
            <w:r>
              <w:rPr>
                <w:rFonts w:hint="eastAsia"/>
                <w:color w:val="auto"/>
                <w:highlight w:val="none"/>
              </w:rPr>
              <w:t>克州天蓝蓝环保有限公司拉运走处置</w:t>
            </w:r>
            <w:r>
              <w:rPr>
                <w:color w:val="auto"/>
                <w:highlight w:val="none"/>
              </w:rPr>
              <w:t>；</w:t>
            </w:r>
          </w:p>
        </w:tc>
        <w:tc>
          <w:tcPr>
            <w:tcW w:w="546" w:type="pct"/>
            <w:tcBorders>
              <w:tl2br w:val="nil"/>
              <w:tr2bl w:val="nil"/>
            </w:tcBorders>
            <w:vAlign w:val="center"/>
          </w:tcPr>
          <w:p w14:paraId="3E6917B1">
            <w:pPr>
              <w:pStyle w:val="41"/>
              <w:rPr>
                <w:rFonts w:hint="eastAsia" w:eastAsia="华文中宋"/>
                <w:color w:val="auto"/>
                <w:highlight w:val="none"/>
                <w:lang w:eastAsia="zh-CN"/>
              </w:rPr>
            </w:pPr>
            <w:r>
              <w:rPr>
                <w:rFonts w:hint="eastAsia"/>
                <w:color w:val="auto"/>
                <w:highlight w:val="none"/>
                <w:lang w:eastAsia="zh-CN"/>
              </w:rPr>
              <w:t>依托</w:t>
            </w:r>
          </w:p>
        </w:tc>
      </w:tr>
      <w:tr w14:paraId="4A0FAF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514" w:hRule="atLeast"/>
          <w:jc w:val="center"/>
        </w:trPr>
        <w:tc>
          <w:tcPr>
            <w:tcW w:w="305" w:type="pct"/>
            <w:vMerge w:val="continue"/>
            <w:tcBorders>
              <w:tl2br w:val="nil"/>
              <w:tr2bl w:val="nil"/>
            </w:tcBorders>
            <w:vAlign w:val="center"/>
          </w:tcPr>
          <w:p w14:paraId="66812904">
            <w:pPr>
              <w:pStyle w:val="41"/>
              <w:rPr>
                <w:color w:val="auto"/>
                <w:highlight w:val="none"/>
              </w:rPr>
            </w:pPr>
          </w:p>
        </w:tc>
        <w:tc>
          <w:tcPr>
            <w:tcW w:w="294" w:type="pct"/>
            <w:vMerge w:val="continue"/>
            <w:tcBorders>
              <w:tl2br w:val="nil"/>
              <w:tr2bl w:val="nil"/>
            </w:tcBorders>
            <w:vAlign w:val="center"/>
          </w:tcPr>
          <w:p w14:paraId="7A804D8C">
            <w:pPr>
              <w:pStyle w:val="41"/>
              <w:rPr>
                <w:color w:val="auto"/>
                <w:highlight w:val="none"/>
              </w:rPr>
            </w:pPr>
          </w:p>
        </w:tc>
        <w:tc>
          <w:tcPr>
            <w:tcW w:w="527" w:type="pct"/>
            <w:tcBorders>
              <w:tl2br w:val="nil"/>
              <w:tr2bl w:val="nil"/>
            </w:tcBorders>
            <w:vAlign w:val="center"/>
          </w:tcPr>
          <w:p w14:paraId="561171E2">
            <w:pPr>
              <w:pStyle w:val="41"/>
              <w:rPr>
                <w:rFonts w:hint="eastAsia" w:eastAsia="华文中宋"/>
                <w:color w:val="auto"/>
                <w:highlight w:val="none"/>
                <w:lang w:eastAsia="zh-CN"/>
              </w:rPr>
            </w:pPr>
            <w:r>
              <w:rPr>
                <w:rFonts w:hint="eastAsia"/>
                <w:color w:val="auto"/>
                <w:highlight w:val="none"/>
                <w:lang w:eastAsia="zh-CN"/>
              </w:rPr>
              <w:t>生活垃圾</w:t>
            </w:r>
          </w:p>
        </w:tc>
        <w:tc>
          <w:tcPr>
            <w:tcW w:w="3327" w:type="pct"/>
            <w:tcBorders>
              <w:tl2br w:val="nil"/>
              <w:tr2bl w:val="nil"/>
            </w:tcBorders>
            <w:vAlign w:val="center"/>
          </w:tcPr>
          <w:p w14:paraId="17B9D7FC">
            <w:pPr>
              <w:pStyle w:val="41"/>
              <w:rPr>
                <w:color w:val="auto"/>
                <w:highlight w:val="none"/>
              </w:rPr>
            </w:pPr>
            <w:r>
              <w:rPr>
                <w:color w:val="auto"/>
                <w:highlight w:val="none"/>
              </w:rPr>
              <w:t>生活垃圾集中收集后</w:t>
            </w:r>
            <w:r>
              <w:rPr>
                <w:rFonts w:hint="eastAsia"/>
                <w:color w:val="auto"/>
                <w:highlight w:val="none"/>
              </w:rPr>
              <w:t>送往哈拉峻乡谢依提村垃圾场填埋处理</w:t>
            </w:r>
            <w:r>
              <w:rPr>
                <w:color w:val="auto"/>
                <w:highlight w:val="none"/>
              </w:rPr>
              <w:t>处置；</w:t>
            </w:r>
          </w:p>
        </w:tc>
        <w:tc>
          <w:tcPr>
            <w:tcW w:w="546" w:type="pct"/>
            <w:tcBorders>
              <w:tl2br w:val="nil"/>
              <w:tr2bl w:val="nil"/>
            </w:tcBorders>
            <w:vAlign w:val="center"/>
          </w:tcPr>
          <w:p w14:paraId="4FB00890">
            <w:pPr>
              <w:pStyle w:val="41"/>
              <w:rPr>
                <w:rFonts w:hint="eastAsia" w:eastAsia="华文中宋"/>
                <w:color w:val="auto"/>
                <w:highlight w:val="none"/>
                <w:lang w:eastAsia="zh-CN"/>
              </w:rPr>
            </w:pPr>
            <w:r>
              <w:rPr>
                <w:rFonts w:hint="eastAsia"/>
                <w:color w:val="auto"/>
                <w:highlight w:val="none"/>
                <w:lang w:eastAsia="zh-CN"/>
              </w:rPr>
              <w:t>依托</w:t>
            </w:r>
          </w:p>
        </w:tc>
      </w:tr>
      <w:tr w14:paraId="5B9313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23" w:hRule="atLeast"/>
          <w:jc w:val="center"/>
        </w:trPr>
        <w:tc>
          <w:tcPr>
            <w:tcW w:w="305" w:type="pct"/>
            <w:vMerge w:val="continue"/>
            <w:tcBorders>
              <w:tl2br w:val="nil"/>
              <w:tr2bl w:val="nil"/>
            </w:tcBorders>
            <w:vAlign w:val="center"/>
          </w:tcPr>
          <w:p w14:paraId="1C96F9F9">
            <w:pPr>
              <w:pStyle w:val="41"/>
              <w:rPr>
                <w:color w:val="auto"/>
                <w:highlight w:val="none"/>
              </w:rPr>
            </w:pPr>
          </w:p>
        </w:tc>
        <w:tc>
          <w:tcPr>
            <w:tcW w:w="294" w:type="pct"/>
            <w:vMerge w:val="restart"/>
            <w:tcBorders>
              <w:tl2br w:val="nil"/>
              <w:tr2bl w:val="nil"/>
            </w:tcBorders>
            <w:vAlign w:val="center"/>
          </w:tcPr>
          <w:p w14:paraId="67009734">
            <w:pPr>
              <w:pStyle w:val="41"/>
              <w:rPr>
                <w:color w:val="auto"/>
                <w:highlight w:val="none"/>
              </w:rPr>
            </w:pPr>
            <w:r>
              <w:rPr>
                <w:rFonts w:hint="eastAsia"/>
                <w:color w:val="auto"/>
                <w:highlight w:val="none"/>
              </w:rPr>
              <w:t>风险防范措施</w:t>
            </w:r>
          </w:p>
        </w:tc>
        <w:tc>
          <w:tcPr>
            <w:tcW w:w="527" w:type="pct"/>
            <w:tcBorders>
              <w:tl2br w:val="nil"/>
              <w:tr2bl w:val="nil"/>
            </w:tcBorders>
            <w:vAlign w:val="center"/>
          </w:tcPr>
          <w:p w14:paraId="1CB58640">
            <w:pPr>
              <w:pStyle w:val="41"/>
              <w:rPr>
                <w:color w:val="auto"/>
                <w:highlight w:val="none"/>
              </w:rPr>
            </w:pPr>
            <w:r>
              <w:rPr>
                <w:rFonts w:hint="eastAsia"/>
                <w:color w:val="auto"/>
                <w:highlight w:val="none"/>
              </w:rPr>
              <w:t>尾矿库</w:t>
            </w:r>
          </w:p>
        </w:tc>
        <w:tc>
          <w:tcPr>
            <w:tcW w:w="3327" w:type="pct"/>
            <w:tcBorders>
              <w:tl2br w:val="nil"/>
              <w:tr2bl w:val="nil"/>
            </w:tcBorders>
            <w:vAlign w:val="center"/>
          </w:tcPr>
          <w:p w14:paraId="7AEC0F5A">
            <w:pPr>
              <w:pStyle w:val="41"/>
              <w:rPr>
                <w:color w:val="auto"/>
                <w:highlight w:val="none"/>
              </w:rPr>
            </w:pPr>
            <w:r>
              <w:rPr>
                <w:color w:val="auto"/>
                <w:highlight w:val="none"/>
              </w:rPr>
              <w:t>尾矿坝下游设置1座</w:t>
            </w:r>
            <w:r>
              <w:rPr>
                <w:rFonts w:hint="eastAsia"/>
                <w:color w:val="auto"/>
                <w:highlight w:val="none"/>
              </w:rPr>
              <w:t>28625</w:t>
            </w:r>
            <w:r>
              <w:rPr>
                <w:color w:val="auto"/>
                <w:highlight w:val="none"/>
              </w:rPr>
              <w:t>m</w:t>
            </w:r>
            <w:r>
              <w:rPr>
                <w:color w:val="auto"/>
                <w:highlight w:val="none"/>
                <w:vertAlign w:val="superscript"/>
              </w:rPr>
              <w:t>3</w:t>
            </w:r>
            <w:r>
              <w:rPr>
                <w:color w:val="auto"/>
                <w:highlight w:val="none"/>
              </w:rPr>
              <w:t>事故池</w:t>
            </w:r>
            <w:r>
              <w:rPr>
                <w:rFonts w:hint="eastAsia"/>
                <w:color w:val="auto"/>
                <w:highlight w:val="none"/>
              </w:rPr>
              <w:t>。</w:t>
            </w:r>
          </w:p>
        </w:tc>
        <w:tc>
          <w:tcPr>
            <w:tcW w:w="546" w:type="pct"/>
            <w:tcBorders>
              <w:tl2br w:val="nil"/>
              <w:tr2bl w:val="nil"/>
            </w:tcBorders>
            <w:vAlign w:val="center"/>
          </w:tcPr>
          <w:p w14:paraId="4D15E22F">
            <w:pPr>
              <w:pStyle w:val="41"/>
              <w:rPr>
                <w:rFonts w:hint="eastAsia" w:eastAsia="华文中宋"/>
                <w:color w:val="auto"/>
                <w:highlight w:val="none"/>
                <w:lang w:eastAsia="zh-CN"/>
              </w:rPr>
            </w:pPr>
            <w:r>
              <w:rPr>
                <w:color w:val="auto"/>
                <w:highlight w:val="none"/>
              </w:rPr>
              <w:t>新建</w:t>
            </w:r>
          </w:p>
        </w:tc>
      </w:tr>
      <w:tr w14:paraId="129038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After w:w="0" w:type="auto"/>
          <w:trHeight w:val="23" w:hRule="atLeast"/>
          <w:jc w:val="center"/>
        </w:trPr>
        <w:tc>
          <w:tcPr>
            <w:tcW w:w="305" w:type="pct"/>
            <w:vMerge w:val="continue"/>
            <w:tcBorders>
              <w:tl2br w:val="nil"/>
              <w:tr2bl w:val="nil"/>
            </w:tcBorders>
            <w:vAlign w:val="center"/>
          </w:tcPr>
          <w:p w14:paraId="346F0478">
            <w:pPr>
              <w:pStyle w:val="41"/>
              <w:rPr>
                <w:color w:val="auto"/>
                <w:highlight w:val="none"/>
              </w:rPr>
            </w:pPr>
          </w:p>
        </w:tc>
        <w:tc>
          <w:tcPr>
            <w:tcW w:w="294" w:type="pct"/>
            <w:vMerge w:val="continue"/>
            <w:tcBorders>
              <w:tl2br w:val="nil"/>
              <w:tr2bl w:val="nil"/>
            </w:tcBorders>
            <w:vAlign w:val="center"/>
          </w:tcPr>
          <w:p w14:paraId="220B45FD">
            <w:pPr>
              <w:pStyle w:val="41"/>
              <w:rPr>
                <w:color w:val="auto"/>
                <w:highlight w:val="none"/>
              </w:rPr>
            </w:pPr>
          </w:p>
        </w:tc>
        <w:tc>
          <w:tcPr>
            <w:tcW w:w="527" w:type="pct"/>
            <w:tcBorders>
              <w:tl2br w:val="nil"/>
              <w:tr2bl w:val="nil"/>
            </w:tcBorders>
            <w:vAlign w:val="center"/>
          </w:tcPr>
          <w:p w14:paraId="2588BEF2">
            <w:pPr>
              <w:pStyle w:val="41"/>
              <w:rPr>
                <w:color w:val="auto"/>
                <w:highlight w:val="none"/>
              </w:rPr>
            </w:pPr>
            <w:r>
              <w:rPr>
                <w:color w:val="auto"/>
                <w:highlight w:val="none"/>
              </w:rPr>
              <w:t>选矿厂</w:t>
            </w:r>
          </w:p>
        </w:tc>
        <w:tc>
          <w:tcPr>
            <w:tcW w:w="3327" w:type="pct"/>
            <w:tcBorders>
              <w:tl2br w:val="nil"/>
              <w:tr2bl w:val="nil"/>
            </w:tcBorders>
            <w:vAlign w:val="center"/>
          </w:tcPr>
          <w:p w14:paraId="0A12210F">
            <w:pPr>
              <w:pStyle w:val="41"/>
              <w:rPr>
                <w:color w:val="auto"/>
                <w:highlight w:val="none"/>
              </w:rPr>
            </w:pPr>
            <w:r>
              <w:rPr>
                <w:color w:val="auto"/>
                <w:highlight w:val="none"/>
              </w:rPr>
              <w:t>建设一座防渗</w:t>
            </w:r>
            <w:r>
              <w:rPr>
                <w:rFonts w:hint="eastAsia"/>
                <w:color w:val="auto"/>
                <w:highlight w:val="none"/>
                <w:lang w:eastAsia="zh-CN"/>
              </w:rPr>
              <w:t>事故池（</w:t>
            </w:r>
            <w:r>
              <w:rPr>
                <w:rFonts w:hint="eastAsia"/>
                <w:color w:val="auto"/>
                <w:highlight w:val="none"/>
                <w:lang w:val="en-US" w:eastAsia="zh-CN"/>
              </w:rPr>
              <w:t>250</w:t>
            </w:r>
            <w:r>
              <w:rPr>
                <w:color w:val="auto"/>
                <w:highlight w:val="none"/>
              </w:rPr>
              <w:t>m</w:t>
            </w:r>
            <w:r>
              <w:rPr>
                <w:color w:val="auto"/>
                <w:highlight w:val="none"/>
                <w:vertAlign w:val="superscript"/>
              </w:rPr>
              <w:t>3</w:t>
            </w:r>
            <w:r>
              <w:rPr>
                <w:rFonts w:hint="eastAsia"/>
                <w:color w:val="auto"/>
                <w:highlight w:val="none"/>
                <w:lang w:eastAsia="zh-CN"/>
              </w:rPr>
              <w:t>）</w:t>
            </w:r>
            <w:r>
              <w:rPr>
                <w:color w:val="auto"/>
                <w:highlight w:val="none"/>
              </w:rPr>
              <w:t>，用于收集事故状态下的尾矿浆及事故废水。</w:t>
            </w:r>
          </w:p>
        </w:tc>
        <w:tc>
          <w:tcPr>
            <w:tcW w:w="546" w:type="pct"/>
            <w:tcBorders>
              <w:tl2br w:val="nil"/>
              <w:tr2bl w:val="nil"/>
            </w:tcBorders>
            <w:vAlign w:val="center"/>
          </w:tcPr>
          <w:p w14:paraId="748AF970">
            <w:pPr>
              <w:pStyle w:val="41"/>
              <w:rPr>
                <w:rFonts w:hint="eastAsia" w:eastAsia="华文中宋"/>
                <w:color w:val="auto"/>
                <w:highlight w:val="none"/>
                <w:lang w:eastAsia="zh-CN"/>
              </w:rPr>
            </w:pPr>
            <w:r>
              <w:rPr>
                <w:color w:val="auto"/>
                <w:highlight w:val="none"/>
              </w:rPr>
              <w:t>新建</w:t>
            </w:r>
          </w:p>
        </w:tc>
      </w:tr>
    </w:tbl>
    <w:p w14:paraId="5DF32A95">
      <w:pPr>
        <w:pStyle w:val="3"/>
        <w:ind w:firstLine="0" w:firstLineChars="0"/>
        <w:rPr>
          <w:rFonts w:hint="eastAsia" w:eastAsia="华文中宋"/>
          <w:color w:val="auto"/>
          <w:highlight w:val="none"/>
          <w:lang w:eastAsia="zh-CN"/>
        </w:rPr>
        <w:sectPr>
          <w:pgSz w:w="16840" w:h="11900" w:orient="landscape"/>
          <w:pgMar w:top="1803" w:right="1440" w:bottom="1803" w:left="1440" w:header="1020" w:footer="675" w:gutter="0"/>
          <w:pgBorders>
            <w:top w:val="none" w:sz="0" w:space="0"/>
            <w:left w:val="none" w:sz="0" w:space="0"/>
            <w:bottom w:val="none" w:sz="0" w:space="0"/>
            <w:right w:val="none" w:sz="0" w:space="0"/>
          </w:pgBorders>
          <w:cols w:space="720" w:num="1"/>
          <w:docGrid w:linePitch="326" w:charSpace="0"/>
        </w:sectPr>
      </w:pPr>
      <w:bookmarkStart w:id="243" w:name="_Toc309715284"/>
    </w:p>
    <w:p w14:paraId="278ABCDA">
      <w:pPr>
        <w:pStyle w:val="42"/>
        <w:rPr>
          <w:rFonts w:hint="default"/>
          <w:color w:val="auto"/>
          <w:highlight w:val="none"/>
        </w:rPr>
      </w:pPr>
      <w:r>
        <w:rPr>
          <w:rFonts w:hint="default"/>
          <w:color w:val="auto"/>
          <w:highlight w:val="none"/>
        </w:rPr>
        <w:t>产品方案</w:t>
      </w:r>
    </w:p>
    <w:p w14:paraId="107BCBF1">
      <w:pPr>
        <w:pStyle w:val="3"/>
        <w:ind w:firstLine="480"/>
        <w:rPr>
          <w:color w:val="auto"/>
          <w:highlight w:val="none"/>
        </w:rPr>
      </w:pPr>
      <w:r>
        <w:rPr>
          <w:rFonts w:hint="eastAsia"/>
          <w:color w:val="auto"/>
          <w:highlight w:val="none"/>
        </w:rPr>
        <w:t>本项目产品方案为铁精矿和钛精矿。选矿厂一期年处理矿石量580万t/a，产品铁精粉（TFe品位56%，TiO</w:t>
      </w:r>
      <w:r>
        <w:rPr>
          <w:rFonts w:hint="eastAsia"/>
          <w:color w:val="auto"/>
          <w:highlight w:val="none"/>
          <w:vertAlign w:val="subscript"/>
        </w:rPr>
        <w:t>2</w:t>
      </w:r>
      <w:r>
        <w:rPr>
          <w:rFonts w:hint="eastAsia"/>
          <w:color w:val="auto"/>
          <w:highlight w:val="none"/>
        </w:rPr>
        <w:t>品位5.61%）年产量为30.14万t；钛精粉（TFe品位33.13%，TiO</w:t>
      </w:r>
      <w:r>
        <w:rPr>
          <w:rFonts w:hint="eastAsia"/>
          <w:color w:val="auto"/>
          <w:highlight w:val="none"/>
          <w:vertAlign w:val="subscript"/>
        </w:rPr>
        <w:t>2</w:t>
      </w:r>
      <w:r>
        <w:rPr>
          <w:rFonts w:hint="eastAsia"/>
          <w:color w:val="auto"/>
          <w:highlight w:val="none"/>
        </w:rPr>
        <w:t>品位46.50%）年产量为15.87万t。</w:t>
      </w:r>
    </w:p>
    <w:bookmarkEnd w:id="243"/>
    <w:p w14:paraId="784BA0BB">
      <w:pPr>
        <w:pStyle w:val="42"/>
        <w:rPr>
          <w:rFonts w:hint="default"/>
          <w:color w:val="auto"/>
          <w:highlight w:val="none"/>
        </w:rPr>
      </w:pPr>
      <w:r>
        <w:rPr>
          <w:rFonts w:hint="default"/>
          <w:color w:val="auto"/>
          <w:highlight w:val="none"/>
        </w:rPr>
        <w:t>总平面布置</w:t>
      </w:r>
    </w:p>
    <w:p w14:paraId="08623161">
      <w:pPr>
        <w:pStyle w:val="43"/>
        <w:rPr>
          <w:color w:val="auto"/>
          <w:highlight w:val="none"/>
        </w:rPr>
      </w:pPr>
      <w:r>
        <w:rPr>
          <w:rFonts w:hint="eastAsia"/>
          <w:color w:val="auto"/>
          <w:highlight w:val="none"/>
        </w:rPr>
        <w:t>选矿厂</w:t>
      </w:r>
      <w:r>
        <w:rPr>
          <w:color w:val="auto"/>
          <w:highlight w:val="none"/>
        </w:rPr>
        <w:t>总平面布置</w:t>
      </w:r>
    </w:p>
    <w:p w14:paraId="3A0D0B10">
      <w:pPr>
        <w:pStyle w:val="3"/>
        <w:ind w:firstLine="480"/>
        <w:rPr>
          <w:color w:val="auto"/>
          <w:highlight w:val="none"/>
        </w:rPr>
      </w:pPr>
      <w:r>
        <w:rPr>
          <w:color w:val="auto"/>
          <w:highlight w:val="none"/>
        </w:rPr>
        <w:t>本项目选矿厂分为预留生产用地、办公生活区以及生产区。总体布置大致分为四块区域：区域一是位于厂区西侧的预留生产用地及生活办公区；区域二是二期320万t/a磨选生产线，位于区域一东向；区域三是一期580万t/a生产线，位于二期320万t/a磨选生产线东北方向；区域四是二期320万t/a破碎筛分干选生产线，位于一期580万t/a生产线东北侧。各区域之间由厂区内道路相连，交通运输便利。</w:t>
      </w:r>
    </w:p>
    <w:p w14:paraId="216E40D4">
      <w:pPr>
        <w:pStyle w:val="3"/>
        <w:ind w:firstLine="480"/>
        <w:rPr>
          <w:color w:val="auto"/>
          <w:highlight w:val="none"/>
        </w:rPr>
      </w:pPr>
      <w:r>
        <w:rPr>
          <w:color w:val="auto"/>
          <w:highlight w:val="none"/>
        </w:rPr>
        <w:t>其中，区域一主要由办公生活区和预留生产用地组成，办公生活区由倒班宿舍、职工餐厅、辅助用房以及办公楼等组成；区域二主要由二期320万t/a磨选生产线的1/2号磨选过滤车间、1/2号重选车间、1/2号烘干精选车间、1/2号循环水池、铁精粉库、钛精粉库以及库房、机修间、乙炔室、氧气室和变电站组成；区域三主要由一期580万t/a生产线的破碎筛分系统、磨选过滤系统、重选系统、烘干精选系统以及尾矿干排系统组成；区域四则仅由二期320万t/a生产线的破碎筛分系统组成。</w:t>
      </w:r>
    </w:p>
    <w:p w14:paraId="1DB9BA97">
      <w:pPr>
        <w:pStyle w:val="43"/>
        <w:rPr>
          <w:color w:val="auto"/>
          <w:highlight w:val="none"/>
        </w:rPr>
      </w:pPr>
      <w:r>
        <w:rPr>
          <w:rFonts w:hint="eastAsia"/>
          <w:color w:val="auto"/>
          <w:highlight w:val="none"/>
        </w:rPr>
        <w:t>尾矿库</w:t>
      </w:r>
    </w:p>
    <w:p w14:paraId="793807D2">
      <w:pPr>
        <w:pStyle w:val="3"/>
        <w:ind w:firstLine="480"/>
        <w:rPr>
          <w:color w:val="auto"/>
          <w:highlight w:val="none"/>
        </w:rPr>
      </w:pPr>
      <w:r>
        <w:rPr>
          <w:color w:val="auto"/>
          <w:highlight w:val="none"/>
        </w:rPr>
        <w:t>本项目工业场地主要为值班室及应急物资库工业场地。值班室工业场地竖向采用平坡式布置，考虑布置在尾矿库右岸山包上，地面标高2021.0m。应急物资库布置于值班室南侧。各个场地周边采用单级放坡形式支护或挡墙支护，挖方石质边坡取1:0.5～1:0.75；土质边坡取1:1.0；填方边坡取1:1.5，多余土方用于绿化和修路。</w:t>
      </w:r>
    </w:p>
    <w:p w14:paraId="759102BD">
      <w:pPr>
        <w:pStyle w:val="3"/>
        <w:ind w:firstLine="480"/>
        <w:rPr>
          <w:color w:val="auto"/>
          <w:highlight w:val="none"/>
        </w:rPr>
      </w:pPr>
      <w:bookmarkStart w:id="244" w:name="_Toc7124"/>
      <w:bookmarkStart w:id="245" w:name="_Toc17509"/>
      <w:bookmarkStart w:id="246" w:name="_Toc19004"/>
      <w:r>
        <w:rPr>
          <w:color w:val="auto"/>
          <w:highlight w:val="none"/>
        </w:rPr>
        <w:t>本项目总平面图见图3.</w:t>
      </w:r>
      <w:r>
        <w:rPr>
          <w:rFonts w:hint="eastAsia"/>
          <w:color w:val="auto"/>
          <w:highlight w:val="none"/>
          <w:lang w:val="en-US" w:eastAsia="zh-CN"/>
        </w:rPr>
        <w:t>2</w:t>
      </w:r>
      <w:r>
        <w:rPr>
          <w:color w:val="auto"/>
          <w:highlight w:val="none"/>
        </w:rPr>
        <w:t>-1，选矿厂平面图见图3.</w:t>
      </w:r>
      <w:r>
        <w:rPr>
          <w:rFonts w:hint="eastAsia"/>
          <w:color w:val="auto"/>
          <w:highlight w:val="none"/>
          <w:lang w:val="en-US" w:eastAsia="zh-CN"/>
        </w:rPr>
        <w:t>2</w:t>
      </w:r>
      <w:r>
        <w:rPr>
          <w:color w:val="auto"/>
          <w:highlight w:val="none"/>
        </w:rPr>
        <w:t>-2、尾矿库平面图见图3.</w:t>
      </w:r>
      <w:r>
        <w:rPr>
          <w:rFonts w:hint="eastAsia"/>
          <w:color w:val="auto"/>
          <w:highlight w:val="none"/>
          <w:lang w:val="en-US" w:eastAsia="zh-CN"/>
        </w:rPr>
        <w:t>2</w:t>
      </w:r>
      <w:r>
        <w:rPr>
          <w:color w:val="auto"/>
          <w:highlight w:val="none"/>
        </w:rPr>
        <w:t>-</w:t>
      </w:r>
      <w:r>
        <w:rPr>
          <w:rFonts w:hint="eastAsia"/>
          <w:color w:val="auto"/>
          <w:highlight w:val="none"/>
        </w:rPr>
        <w:t>3</w:t>
      </w:r>
      <w:r>
        <w:rPr>
          <w:color w:val="auto"/>
          <w:highlight w:val="none"/>
        </w:rPr>
        <w:t>。</w:t>
      </w:r>
    </w:p>
    <w:bookmarkEnd w:id="244"/>
    <w:bookmarkEnd w:id="245"/>
    <w:bookmarkEnd w:id="246"/>
    <w:p w14:paraId="57230BD0">
      <w:pPr>
        <w:pStyle w:val="42"/>
        <w:rPr>
          <w:rFonts w:hint="default"/>
          <w:color w:val="auto"/>
          <w:highlight w:val="none"/>
        </w:rPr>
      </w:pPr>
      <w:r>
        <w:rPr>
          <w:rFonts w:hint="default"/>
          <w:color w:val="auto"/>
          <w:highlight w:val="none"/>
        </w:rPr>
        <w:t>原辅材料消耗</w:t>
      </w:r>
    </w:p>
    <w:p w14:paraId="76890DD7">
      <w:pPr>
        <w:pStyle w:val="43"/>
        <w:rPr>
          <w:color w:val="auto"/>
          <w:highlight w:val="none"/>
        </w:rPr>
      </w:pPr>
      <w:r>
        <w:rPr>
          <w:rFonts w:hint="eastAsia"/>
          <w:color w:val="auto"/>
          <w:highlight w:val="none"/>
        </w:rPr>
        <w:t>矿石来源</w:t>
      </w:r>
    </w:p>
    <w:p w14:paraId="02E4E4CC">
      <w:pPr>
        <w:pStyle w:val="3"/>
        <w:ind w:firstLine="480"/>
        <w:rPr>
          <w:rFonts w:hint="default" w:eastAsia="华文中宋"/>
          <w:color w:val="auto"/>
          <w:highlight w:val="none"/>
          <w:lang w:val="en-US" w:eastAsia="zh-CN"/>
        </w:rPr>
      </w:pPr>
      <w:bookmarkStart w:id="247" w:name="_Toc441581709"/>
      <w:bookmarkStart w:id="248" w:name="_Toc108109440"/>
      <w:bookmarkStart w:id="249" w:name="_Toc4958"/>
      <w:r>
        <w:rPr>
          <w:rFonts w:hint="eastAsia"/>
          <w:color w:val="auto"/>
          <w:highlight w:val="none"/>
        </w:rPr>
        <w:t>本项目选矿厂一期580万t/a生产线矿石原料来源为</w:t>
      </w:r>
      <w:r>
        <w:rPr>
          <w:rFonts w:hint="eastAsia"/>
          <w:color w:val="auto"/>
          <w:highlight w:val="none"/>
          <w:lang w:eastAsia="zh-CN"/>
        </w:rPr>
        <w:t>阿图什市环球矿业有限公司</w:t>
      </w:r>
      <w:r>
        <w:rPr>
          <w:rFonts w:hint="eastAsia"/>
          <w:color w:val="auto"/>
          <w:highlight w:val="none"/>
        </w:rPr>
        <w:t>自有矿山新疆阿图什市托斯莫铁矿，当前矿山可采出矿石资源量为11616.26万t，矿山露天采矿生产能力为580万t/a，服务年限20.03年，供本项目选矿一期生产线。</w:t>
      </w:r>
      <w:r>
        <w:rPr>
          <w:rFonts w:hint="eastAsia"/>
          <w:color w:val="auto"/>
          <w:highlight w:val="none"/>
          <w:lang w:eastAsia="zh-CN"/>
        </w:rPr>
        <w:t>该矿已于</w:t>
      </w:r>
      <w:r>
        <w:rPr>
          <w:rFonts w:hint="eastAsia"/>
          <w:color w:val="auto"/>
          <w:highlight w:val="none"/>
          <w:lang w:val="en-US" w:eastAsia="zh-CN"/>
        </w:rPr>
        <w:t>2025年12月取得自治区自然资源厅采矿许可证（见附件）。</w:t>
      </w:r>
    </w:p>
    <w:bookmarkEnd w:id="247"/>
    <w:bookmarkEnd w:id="248"/>
    <w:bookmarkEnd w:id="249"/>
    <w:p w14:paraId="222A2AF8">
      <w:pPr>
        <w:pStyle w:val="43"/>
        <w:rPr>
          <w:color w:val="auto"/>
          <w:highlight w:val="none"/>
        </w:rPr>
      </w:pPr>
      <w:bookmarkStart w:id="250" w:name="_Toc301168969"/>
      <w:r>
        <w:rPr>
          <w:color w:val="auto"/>
          <w:highlight w:val="none"/>
        </w:rPr>
        <w:t>矿石的化学成分</w:t>
      </w:r>
      <w:bookmarkEnd w:id="250"/>
    </w:p>
    <w:p w14:paraId="46BF432A">
      <w:pPr>
        <w:pStyle w:val="40"/>
        <w:spacing w:before="31" w:after="31"/>
        <w:rPr>
          <w:color w:val="auto"/>
          <w:highlight w:val="none"/>
        </w:rPr>
      </w:pPr>
      <w:r>
        <w:rPr>
          <w:rFonts w:hint="eastAsia"/>
          <w:color w:val="auto"/>
          <w:highlight w:val="none"/>
        </w:rPr>
        <w:t xml:space="preserve">表3.2-2 </w:t>
      </w:r>
      <w:r>
        <w:rPr>
          <w:rFonts w:hint="eastAsia"/>
          <w:color w:val="auto"/>
          <w:highlight w:val="none"/>
          <w:lang w:val="zh-CN"/>
        </w:rPr>
        <w:t>原矿光谱半定量分析结果</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2"/>
        <w:gridCol w:w="1164"/>
        <w:gridCol w:w="1164"/>
        <w:gridCol w:w="1335"/>
        <w:gridCol w:w="1335"/>
        <w:gridCol w:w="1162"/>
      </w:tblGrid>
      <w:tr w14:paraId="2D541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2" w:type="dxa"/>
            <w:tcBorders>
              <w:top w:val="single" w:color="auto" w:sz="12" w:space="0"/>
              <w:left w:val="single" w:color="auto" w:sz="12" w:space="0"/>
            </w:tcBorders>
            <w:vAlign w:val="center"/>
          </w:tcPr>
          <w:p w14:paraId="32806F49">
            <w:pPr>
              <w:pStyle w:val="41"/>
              <w:rPr>
                <w:color w:val="auto"/>
                <w:highlight w:val="none"/>
              </w:rPr>
            </w:pPr>
            <w:r>
              <w:rPr>
                <w:rFonts w:hint="eastAsia"/>
                <w:color w:val="auto"/>
                <w:highlight w:val="none"/>
              </w:rPr>
              <w:t>元素</w:t>
            </w:r>
          </w:p>
        </w:tc>
        <w:tc>
          <w:tcPr>
            <w:tcW w:w="1164" w:type="dxa"/>
            <w:tcBorders>
              <w:top w:val="single" w:color="auto" w:sz="12" w:space="0"/>
            </w:tcBorders>
            <w:vAlign w:val="center"/>
          </w:tcPr>
          <w:p w14:paraId="043A12DF">
            <w:pPr>
              <w:pStyle w:val="41"/>
              <w:rPr>
                <w:color w:val="auto"/>
                <w:highlight w:val="none"/>
              </w:rPr>
            </w:pPr>
            <w:r>
              <w:rPr>
                <w:rFonts w:hint="eastAsia"/>
                <w:color w:val="auto"/>
                <w:highlight w:val="none"/>
              </w:rPr>
              <w:t>Na</w:t>
            </w:r>
            <w:r>
              <w:rPr>
                <w:rFonts w:hint="eastAsia"/>
                <w:color w:val="auto"/>
                <w:highlight w:val="none"/>
                <w:vertAlign w:val="subscript"/>
              </w:rPr>
              <w:t>2</w:t>
            </w:r>
            <w:r>
              <w:rPr>
                <w:rFonts w:hint="eastAsia"/>
                <w:color w:val="auto"/>
                <w:highlight w:val="none"/>
              </w:rPr>
              <w:t>O</w:t>
            </w:r>
          </w:p>
        </w:tc>
        <w:tc>
          <w:tcPr>
            <w:tcW w:w="1164" w:type="dxa"/>
            <w:tcBorders>
              <w:top w:val="single" w:color="auto" w:sz="12" w:space="0"/>
            </w:tcBorders>
            <w:vAlign w:val="center"/>
          </w:tcPr>
          <w:p w14:paraId="42F2B633">
            <w:pPr>
              <w:pStyle w:val="41"/>
              <w:rPr>
                <w:color w:val="auto"/>
                <w:highlight w:val="none"/>
              </w:rPr>
            </w:pPr>
            <w:r>
              <w:rPr>
                <w:rFonts w:hint="eastAsia"/>
                <w:color w:val="auto"/>
                <w:highlight w:val="none"/>
              </w:rPr>
              <w:t>MgO</w:t>
            </w:r>
          </w:p>
        </w:tc>
        <w:tc>
          <w:tcPr>
            <w:tcW w:w="1335" w:type="dxa"/>
            <w:tcBorders>
              <w:top w:val="single" w:color="auto" w:sz="12" w:space="0"/>
            </w:tcBorders>
            <w:vAlign w:val="center"/>
          </w:tcPr>
          <w:p w14:paraId="74449D6A">
            <w:pPr>
              <w:pStyle w:val="41"/>
              <w:rPr>
                <w:color w:val="auto"/>
                <w:highlight w:val="none"/>
              </w:rPr>
            </w:pPr>
            <w:r>
              <w:rPr>
                <w:rFonts w:hint="eastAsia"/>
                <w:color w:val="auto"/>
                <w:highlight w:val="none"/>
              </w:rPr>
              <w:t>Al</w:t>
            </w:r>
            <w:r>
              <w:rPr>
                <w:rFonts w:hint="eastAsia"/>
                <w:color w:val="auto"/>
                <w:highlight w:val="none"/>
                <w:vertAlign w:val="subscript"/>
              </w:rPr>
              <w:t>2</w:t>
            </w:r>
            <w:r>
              <w:rPr>
                <w:rFonts w:hint="eastAsia"/>
                <w:color w:val="auto"/>
                <w:highlight w:val="none"/>
              </w:rPr>
              <w:t>O</w:t>
            </w:r>
            <w:r>
              <w:rPr>
                <w:rFonts w:hint="eastAsia"/>
                <w:color w:val="auto"/>
                <w:highlight w:val="none"/>
                <w:vertAlign w:val="subscript"/>
              </w:rPr>
              <w:t>3</w:t>
            </w:r>
          </w:p>
        </w:tc>
        <w:tc>
          <w:tcPr>
            <w:tcW w:w="1335" w:type="dxa"/>
            <w:tcBorders>
              <w:top w:val="single" w:color="auto" w:sz="12" w:space="0"/>
            </w:tcBorders>
            <w:vAlign w:val="center"/>
          </w:tcPr>
          <w:p w14:paraId="0757D203">
            <w:pPr>
              <w:pStyle w:val="41"/>
              <w:rPr>
                <w:color w:val="auto"/>
                <w:highlight w:val="none"/>
              </w:rPr>
            </w:pPr>
            <w:r>
              <w:rPr>
                <w:rFonts w:hint="eastAsia"/>
                <w:color w:val="auto"/>
                <w:highlight w:val="none"/>
              </w:rPr>
              <w:t>SiO</w:t>
            </w:r>
            <w:r>
              <w:rPr>
                <w:rFonts w:hint="eastAsia"/>
                <w:color w:val="auto"/>
                <w:highlight w:val="none"/>
                <w:vertAlign w:val="subscript"/>
              </w:rPr>
              <w:t>2</w:t>
            </w:r>
          </w:p>
        </w:tc>
        <w:tc>
          <w:tcPr>
            <w:tcW w:w="1162" w:type="dxa"/>
            <w:tcBorders>
              <w:top w:val="single" w:color="auto" w:sz="12" w:space="0"/>
              <w:right w:val="single" w:color="auto" w:sz="12" w:space="0"/>
            </w:tcBorders>
            <w:vAlign w:val="center"/>
          </w:tcPr>
          <w:p w14:paraId="4F208326">
            <w:pPr>
              <w:pStyle w:val="41"/>
              <w:rPr>
                <w:color w:val="auto"/>
                <w:highlight w:val="none"/>
              </w:rPr>
            </w:pPr>
            <w:r>
              <w:rPr>
                <w:rFonts w:hint="eastAsia"/>
                <w:color w:val="auto"/>
                <w:highlight w:val="none"/>
              </w:rPr>
              <w:t>P</w:t>
            </w:r>
            <w:r>
              <w:rPr>
                <w:rFonts w:hint="eastAsia"/>
                <w:color w:val="auto"/>
                <w:highlight w:val="none"/>
                <w:vertAlign w:val="subscript"/>
              </w:rPr>
              <w:t>2</w:t>
            </w:r>
            <w:r>
              <w:rPr>
                <w:rFonts w:hint="eastAsia"/>
                <w:color w:val="auto"/>
                <w:highlight w:val="none"/>
              </w:rPr>
              <w:t>O</w:t>
            </w:r>
            <w:r>
              <w:rPr>
                <w:rFonts w:hint="eastAsia"/>
                <w:color w:val="auto"/>
                <w:highlight w:val="none"/>
                <w:vertAlign w:val="subscript"/>
              </w:rPr>
              <w:t>5</w:t>
            </w:r>
          </w:p>
        </w:tc>
      </w:tr>
      <w:tr w14:paraId="5F1F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2" w:type="dxa"/>
            <w:tcBorders>
              <w:left w:val="single" w:color="auto" w:sz="12" w:space="0"/>
            </w:tcBorders>
            <w:vAlign w:val="center"/>
          </w:tcPr>
          <w:p w14:paraId="0ECD909C">
            <w:pPr>
              <w:pStyle w:val="41"/>
              <w:rPr>
                <w:color w:val="auto"/>
                <w:highlight w:val="none"/>
              </w:rPr>
            </w:pPr>
            <w:r>
              <w:rPr>
                <w:rFonts w:hint="eastAsia"/>
                <w:color w:val="auto"/>
                <w:highlight w:val="none"/>
              </w:rPr>
              <w:t>含量（%）</w:t>
            </w:r>
          </w:p>
        </w:tc>
        <w:tc>
          <w:tcPr>
            <w:tcW w:w="1164" w:type="dxa"/>
            <w:vAlign w:val="center"/>
          </w:tcPr>
          <w:p w14:paraId="7F3168B7">
            <w:pPr>
              <w:pStyle w:val="41"/>
              <w:rPr>
                <w:color w:val="auto"/>
                <w:highlight w:val="none"/>
              </w:rPr>
            </w:pPr>
            <w:r>
              <w:rPr>
                <w:rFonts w:hint="eastAsia"/>
                <w:color w:val="auto"/>
                <w:highlight w:val="none"/>
              </w:rPr>
              <w:t>3.75</w:t>
            </w:r>
          </w:p>
        </w:tc>
        <w:tc>
          <w:tcPr>
            <w:tcW w:w="1164" w:type="dxa"/>
            <w:vAlign w:val="center"/>
          </w:tcPr>
          <w:p w14:paraId="258B2F97">
            <w:pPr>
              <w:pStyle w:val="41"/>
              <w:rPr>
                <w:color w:val="auto"/>
                <w:highlight w:val="none"/>
              </w:rPr>
            </w:pPr>
            <w:r>
              <w:rPr>
                <w:rFonts w:hint="eastAsia"/>
                <w:color w:val="auto"/>
                <w:highlight w:val="none"/>
              </w:rPr>
              <w:t>4.04</w:t>
            </w:r>
          </w:p>
        </w:tc>
        <w:tc>
          <w:tcPr>
            <w:tcW w:w="1335" w:type="dxa"/>
            <w:vAlign w:val="center"/>
          </w:tcPr>
          <w:p w14:paraId="67AD781D">
            <w:pPr>
              <w:pStyle w:val="41"/>
              <w:rPr>
                <w:color w:val="auto"/>
                <w:highlight w:val="none"/>
              </w:rPr>
            </w:pPr>
            <w:r>
              <w:rPr>
                <w:rFonts w:hint="eastAsia"/>
                <w:color w:val="auto"/>
                <w:highlight w:val="none"/>
              </w:rPr>
              <w:t>19.16</w:t>
            </w:r>
          </w:p>
        </w:tc>
        <w:tc>
          <w:tcPr>
            <w:tcW w:w="1335" w:type="dxa"/>
            <w:vAlign w:val="center"/>
          </w:tcPr>
          <w:p w14:paraId="04E5DC96">
            <w:pPr>
              <w:pStyle w:val="41"/>
              <w:rPr>
                <w:color w:val="auto"/>
                <w:highlight w:val="none"/>
              </w:rPr>
            </w:pPr>
            <w:r>
              <w:rPr>
                <w:rFonts w:hint="eastAsia"/>
                <w:color w:val="auto"/>
                <w:highlight w:val="none"/>
              </w:rPr>
              <w:t>48.86</w:t>
            </w:r>
          </w:p>
        </w:tc>
        <w:tc>
          <w:tcPr>
            <w:tcW w:w="1162" w:type="dxa"/>
            <w:tcBorders>
              <w:right w:val="single" w:color="auto" w:sz="12" w:space="0"/>
            </w:tcBorders>
            <w:vAlign w:val="center"/>
          </w:tcPr>
          <w:p w14:paraId="014C1720">
            <w:pPr>
              <w:pStyle w:val="41"/>
              <w:rPr>
                <w:color w:val="auto"/>
                <w:highlight w:val="none"/>
              </w:rPr>
            </w:pPr>
            <w:r>
              <w:rPr>
                <w:rFonts w:hint="eastAsia"/>
                <w:color w:val="auto"/>
                <w:highlight w:val="none"/>
              </w:rPr>
              <w:t>1.35</w:t>
            </w:r>
          </w:p>
        </w:tc>
      </w:tr>
      <w:tr w14:paraId="2B5C3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2" w:type="dxa"/>
            <w:tcBorders>
              <w:left w:val="single" w:color="auto" w:sz="12" w:space="0"/>
            </w:tcBorders>
            <w:vAlign w:val="center"/>
          </w:tcPr>
          <w:p w14:paraId="635550BF">
            <w:pPr>
              <w:pStyle w:val="41"/>
              <w:rPr>
                <w:color w:val="auto"/>
                <w:highlight w:val="none"/>
              </w:rPr>
            </w:pPr>
            <w:r>
              <w:rPr>
                <w:rFonts w:hint="eastAsia"/>
                <w:color w:val="auto"/>
                <w:highlight w:val="none"/>
              </w:rPr>
              <w:t>元素</w:t>
            </w:r>
          </w:p>
        </w:tc>
        <w:tc>
          <w:tcPr>
            <w:tcW w:w="1164" w:type="dxa"/>
            <w:vAlign w:val="center"/>
          </w:tcPr>
          <w:p w14:paraId="5B07A134">
            <w:pPr>
              <w:pStyle w:val="41"/>
              <w:rPr>
                <w:color w:val="auto"/>
                <w:highlight w:val="none"/>
              </w:rPr>
            </w:pPr>
            <w:r>
              <w:rPr>
                <w:rFonts w:hint="eastAsia"/>
                <w:color w:val="auto"/>
                <w:highlight w:val="none"/>
              </w:rPr>
              <w:t>SO</w:t>
            </w:r>
            <w:r>
              <w:rPr>
                <w:rFonts w:hint="eastAsia"/>
                <w:color w:val="auto"/>
                <w:highlight w:val="none"/>
                <w:vertAlign w:val="subscript"/>
              </w:rPr>
              <w:t>3</w:t>
            </w:r>
          </w:p>
        </w:tc>
        <w:tc>
          <w:tcPr>
            <w:tcW w:w="1164" w:type="dxa"/>
            <w:vAlign w:val="center"/>
          </w:tcPr>
          <w:p w14:paraId="4EC01E5B">
            <w:pPr>
              <w:pStyle w:val="41"/>
              <w:rPr>
                <w:color w:val="auto"/>
                <w:highlight w:val="none"/>
              </w:rPr>
            </w:pPr>
            <w:r>
              <w:rPr>
                <w:rFonts w:hint="eastAsia"/>
                <w:color w:val="auto"/>
                <w:highlight w:val="none"/>
              </w:rPr>
              <w:t>Cl</w:t>
            </w:r>
          </w:p>
        </w:tc>
        <w:tc>
          <w:tcPr>
            <w:tcW w:w="1335" w:type="dxa"/>
            <w:vAlign w:val="center"/>
          </w:tcPr>
          <w:p w14:paraId="3B597A6D">
            <w:pPr>
              <w:pStyle w:val="41"/>
              <w:rPr>
                <w:color w:val="auto"/>
                <w:highlight w:val="none"/>
              </w:rPr>
            </w:pPr>
            <w:r>
              <w:rPr>
                <w:rFonts w:hint="eastAsia"/>
                <w:color w:val="auto"/>
                <w:highlight w:val="none"/>
              </w:rPr>
              <w:t>K2O</w:t>
            </w:r>
          </w:p>
        </w:tc>
        <w:tc>
          <w:tcPr>
            <w:tcW w:w="1335" w:type="dxa"/>
            <w:vAlign w:val="center"/>
          </w:tcPr>
          <w:p w14:paraId="72BA7A9E">
            <w:pPr>
              <w:pStyle w:val="41"/>
              <w:rPr>
                <w:color w:val="auto"/>
                <w:highlight w:val="none"/>
              </w:rPr>
            </w:pPr>
            <w:r>
              <w:rPr>
                <w:rFonts w:hint="eastAsia"/>
                <w:color w:val="auto"/>
                <w:highlight w:val="none"/>
              </w:rPr>
              <w:t>CaO</w:t>
            </w:r>
          </w:p>
        </w:tc>
        <w:tc>
          <w:tcPr>
            <w:tcW w:w="1162" w:type="dxa"/>
            <w:tcBorders>
              <w:right w:val="single" w:color="auto" w:sz="12" w:space="0"/>
            </w:tcBorders>
            <w:vAlign w:val="center"/>
          </w:tcPr>
          <w:p w14:paraId="76FEE320">
            <w:pPr>
              <w:pStyle w:val="41"/>
              <w:rPr>
                <w:color w:val="auto"/>
                <w:highlight w:val="none"/>
              </w:rPr>
            </w:pPr>
            <w:r>
              <w:rPr>
                <w:rFonts w:hint="eastAsia"/>
                <w:color w:val="auto"/>
                <w:highlight w:val="none"/>
              </w:rPr>
              <w:t>TiO</w:t>
            </w:r>
            <w:r>
              <w:rPr>
                <w:rFonts w:hint="eastAsia"/>
                <w:color w:val="auto"/>
                <w:highlight w:val="none"/>
                <w:vertAlign w:val="subscript"/>
              </w:rPr>
              <w:t>2</w:t>
            </w:r>
          </w:p>
        </w:tc>
      </w:tr>
      <w:tr w14:paraId="0ADC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2" w:type="dxa"/>
            <w:tcBorders>
              <w:left w:val="single" w:color="auto" w:sz="12" w:space="0"/>
            </w:tcBorders>
            <w:vAlign w:val="center"/>
          </w:tcPr>
          <w:p w14:paraId="0C23A049">
            <w:pPr>
              <w:pStyle w:val="41"/>
              <w:rPr>
                <w:color w:val="auto"/>
                <w:highlight w:val="none"/>
              </w:rPr>
            </w:pPr>
            <w:r>
              <w:rPr>
                <w:rFonts w:hint="eastAsia"/>
                <w:color w:val="auto"/>
                <w:highlight w:val="none"/>
              </w:rPr>
              <w:t>含量（%）</w:t>
            </w:r>
          </w:p>
        </w:tc>
        <w:tc>
          <w:tcPr>
            <w:tcW w:w="1164" w:type="dxa"/>
            <w:vAlign w:val="center"/>
          </w:tcPr>
          <w:p w14:paraId="4DC8C651">
            <w:pPr>
              <w:pStyle w:val="41"/>
              <w:rPr>
                <w:color w:val="auto"/>
                <w:highlight w:val="none"/>
              </w:rPr>
            </w:pPr>
            <w:r>
              <w:rPr>
                <w:rFonts w:hint="eastAsia"/>
                <w:color w:val="auto"/>
                <w:highlight w:val="none"/>
              </w:rPr>
              <w:t>0.11</w:t>
            </w:r>
          </w:p>
        </w:tc>
        <w:tc>
          <w:tcPr>
            <w:tcW w:w="1164" w:type="dxa"/>
            <w:vAlign w:val="center"/>
          </w:tcPr>
          <w:p w14:paraId="2A6CFB4D">
            <w:pPr>
              <w:pStyle w:val="41"/>
              <w:rPr>
                <w:color w:val="auto"/>
                <w:highlight w:val="none"/>
              </w:rPr>
            </w:pPr>
            <w:r>
              <w:rPr>
                <w:rFonts w:hint="eastAsia"/>
                <w:color w:val="auto"/>
                <w:highlight w:val="none"/>
              </w:rPr>
              <w:t>0.075</w:t>
            </w:r>
          </w:p>
        </w:tc>
        <w:tc>
          <w:tcPr>
            <w:tcW w:w="1335" w:type="dxa"/>
            <w:vAlign w:val="center"/>
          </w:tcPr>
          <w:p w14:paraId="31F185B3">
            <w:pPr>
              <w:pStyle w:val="41"/>
              <w:rPr>
                <w:color w:val="auto"/>
                <w:highlight w:val="none"/>
              </w:rPr>
            </w:pPr>
            <w:r>
              <w:rPr>
                <w:rFonts w:hint="eastAsia"/>
                <w:color w:val="auto"/>
                <w:highlight w:val="none"/>
              </w:rPr>
              <w:t>0.80</w:t>
            </w:r>
          </w:p>
        </w:tc>
        <w:tc>
          <w:tcPr>
            <w:tcW w:w="1335" w:type="dxa"/>
            <w:vAlign w:val="center"/>
          </w:tcPr>
          <w:p w14:paraId="19A2FDDE">
            <w:pPr>
              <w:pStyle w:val="41"/>
              <w:rPr>
                <w:color w:val="auto"/>
                <w:highlight w:val="none"/>
              </w:rPr>
            </w:pPr>
            <w:r>
              <w:rPr>
                <w:rFonts w:hint="eastAsia"/>
                <w:color w:val="auto"/>
                <w:highlight w:val="none"/>
              </w:rPr>
              <w:t>8.56</w:t>
            </w:r>
          </w:p>
        </w:tc>
        <w:tc>
          <w:tcPr>
            <w:tcW w:w="1162" w:type="dxa"/>
            <w:tcBorders>
              <w:right w:val="single" w:color="auto" w:sz="12" w:space="0"/>
            </w:tcBorders>
            <w:vAlign w:val="center"/>
          </w:tcPr>
          <w:p w14:paraId="1CF1FF53">
            <w:pPr>
              <w:pStyle w:val="41"/>
              <w:rPr>
                <w:color w:val="auto"/>
                <w:highlight w:val="none"/>
              </w:rPr>
            </w:pPr>
            <w:r>
              <w:rPr>
                <w:rFonts w:hint="eastAsia"/>
                <w:color w:val="auto"/>
                <w:highlight w:val="none"/>
              </w:rPr>
              <w:t>2.19</w:t>
            </w:r>
          </w:p>
        </w:tc>
      </w:tr>
      <w:tr w14:paraId="367A1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2" w:type="dxa"/>
            <w:tcBorders>
              <w:left w:val="single" w:color="auto" w:sz="12" w:space="0"/>
            </w:tcBorders>
            <w:vAlign w:val="center"/>
          </w:tcPr>
          <w:p w14:paraId="52ABA0EF">
            <w:pPr>
              <w:pStyle w:val="41"/>
              <w:rPr>
                <w:color w:val="auto"/>
                <w:highlight w:val="none"/>
              </w:rPr>
            </w:pPr>
            <w:r>
              <w:rPr>
                <w:rFonts w:hint="eastAsia"/>
                <w:color w:val="auto"/>
                <w:highlight w:val="none"/>
              </w:rPr>
              <w:t>元素</w:t>
            </w:r>
          </w:p>
        </w:tc>
        <w:tc>
          <w:tcPr>
            <w:tcW w:w="1164" w:type="dxa"/>
            <w:vAlign w:val="center"/>
          </w:tcPr>
          <w:p w14:paraId="1D49E2F1">
            <w:pPr>
              <w:pStyle w:val="41"/>
              <w:rPr>
                <w:color w:val="auto"/>
                <w:highlight w:val="none"/>
              </w:rPr>
            </w:pPr>
            <w:r>
              <w:rPr>
                <w:rFonts w:hint="eastAsia"/>
                <w:color w:val="auto"/>
                <w:highlight w:val="none"/>
              </w:rPr>
              <w:t>MnO</w:t>
            </w:r>
          </w:p>
        </w:tc>
        <w:tc>
          <w:tcPr>
            <w:tcW w:w="1164" w:type="dxa"/>
            <w:vAlign w:val="center"/>
          </w:tcPr>
          <w:p w14:paraId="36940387">
            <w:pPr>
              <w:pStyle w:val="41"/>
              <w:rPr>
                <w:color w:val="auto"/>
                <w:highlight w:val="none"/>
              </w:rPr>
            </w:pPr>
            <w:r>
              <w:rPr>
                <w:rFonts w:hint="eastAsia"/>
                <w:color w:val="auto"/>
                <w:highlight w:val="none"/>
              </w:rPr>
              <w:t>Fe</w:t>
            </w:r>
            <w:r>
              <w:rPr>
                <w:rFonts w:hint="eastAsia"/>
                <w:color w:val="auto"/>
                <w:highlight w:val="none"/>
                <w:vertAlign w:val="subscript"/>
              </w:rPr>
              <w:t>2</w:t>
            </w:r>
            <w:r>
              <w:rPr>
                <w:rFonts w:hint="eastAsia"/>
                <w:color w:val="auto"/>
                <w:highlight w:val="none"/>
              </w:rPr>
              <w:t>O</w:t>
            </w:r>
            <w:r>
              <w:rPr>
                <w:rFonts w:hint="eastAsia"/>
                <w:color w:val="auto"/>
                <w:highlight w:val="none"/>
                <w:vertAlign w:val="subscript"/>
              </w:rPr>
              <w:t>3</w:t>
            </w:r>
          </w:p>
        </w:tc>
        <w:tc>
          <w:tcPr>
            <w:tcW w:w="1335" w:type="dxa"/>
            <w:vAlign w:val="center"/>
          </w:tcPr>
          <w:p w14:paraId="675832EC">
            <w:pPr>
              <w:pStyle w:val="41"/>
              <w:rPr>
                <w:color w:val="auto"/>
                <w:highlight w:val="none"/>
              </w:rPr>
            </w:pPr>
            <w:r>
              <w:rPr>
                <w:rFonts w:hint="eastAsia"/>
                <w:color w:val="auto"/>
                <w:highlight w:val="none"/>
              </w:rPr>
              <w:t>Co</w:t>
            </w:r>
            <w:r>
              <w:rPr>
                <w:rFonts w:hint="eastAsia"/>
                <w:color w:val="auto"/>
                <w:highlight w:val="none"/>
                <w:vertAlign w:val="subscript"/>
              </w:rPr>
              <w:t>3</w:t>
            </w:r>
            <w:r>
              <w:rPr>
                <w:rFonts w:hint="eastAsia"/>
                <w:color w:val="auto"/>
                <w:highlight w:val="none"/>
              </w:rPr>
              <w:t>O</w:t>
            </w:r>
            <w:r>
              <w:rPr>
                <w:rFonts w:hint="eastAsia"/>
                <w:color w:val="auto"/>
                <w:highlight w:val="none"/>
                <w:vertAlign w:val="subscript"/>
              </w:rPr>
              <w:t>4</w:t>
            </w:r>
          </w:p>
        </w:tc>
        <w:tc>
          <w:tcPr>
            <w:tcW w:w="1335" w:type="dxa"/>
            <w:vAlign w:val="center"/>
          </w:tcPr>
          <w:p w14:paraId="3DA6829E">
            <w:pPr>
              <w:pStyle w:val="41"/>
              <w:rPr>
                <w:color w:val="auto"/>
                <w:highlight w:val="none"/>
              </w:rPr>
            </w:pPr>
            <w:r>
              <w:rPr>
                <w:rFonts w:hint="eastAsia"/>
                <w:color w:val="auto"/>
                <w:highlight w:val="none"/>
              </w:rPr>
              <w:t>NiO</w:t>
            </w:r>
          </w:p>
        </w:tc>
        <w:tc>
          <w:tcPr>
            <w:tcW w:w="1162" w:type="dxa"/>
            <w:tcBorders>
              <w:right w:val="single" w:color="auto" w:sz="12" w:space="0"/>
            </w:tcBorders>
            <w:vAlign w:val="center"/>
          </w:tcPr>
          <w:p w14:paraId="37EDBD0B">
            <w:pPr>
              <w:pStyle w:val="41"/>
              <w:rPr>
                <w:color w:val="auto"/>
                <w:highlight w:val="none"/>
              </w:rPr>
            </w:pPr>
            <w:r>
              <w:rPr>
                <w:rFonts w:hint="eastAsia"/>
                <w:color w:val="auto"/>
                <w:highlight w:val="none"/>
              </w:rPr>
              <w:t>CuO</w:t>
            </w:r>
          </w:p>
        </w:tc>
      </w:tr>
      <w:tr w14:paraId="4F0C5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2" w:type="dxa"/>
            <w:tcBorders>
              <w:left w:val="single" w:color="auto" w:sz="12" w:space="0"/>
            </w:tcBorders>
            <w:vAlign w:val="center"/>
          </w:tcPr>
          <w:p w14:paraId="054724E5">
            <w:pPr>
              <w:pStyle w:val="41"/>
              <w:rPr>
                <w:color w:val="auto"/>
                <w:highlight w:val="none"/>
              </w:rPr>
            </w:pPr>
            <w:r>
              <w:rPr>
                <w:rFonts w:hint="eastAsia"/>
                <w:color w:val="auto"/>
                <w:highlight w:val="none"/>
              </w:rPr>
              <w:t>含量（%）</w:t>
            </w:r>
          </w:p>
        </w:tc>
        <w:tc>
          <w:tcPr>
            <w:tcW w:w="1164" w:type="dxa"/>
            <w:vAlign w:val="center"/>
          </w:tcPr>
          <w:p w14:paraId="155F1E71">
            <w:pPr>
              <w:pStyle w:val="41"/>
              <w:rPr>
                <w:color w:val="auto"/>
                <w:highlight w:val="none"/>
              </w:rPr>
            </w:pPr>
            <w:r>
              <w:rPr>
                <w:rFonts w:hint="eastAsia"/>
                <w:color w:val="auto"/>
                <w:highlight w:val="none"/>
              </w:rPr>
              <w:t>0.12</w:t>
            </w:r>
          </w:p>
        </w:tc>
        <w:tc>
          <w:tcPr>
            <w:tcW w:w="1164" w:type="dxa"/>
            <w:vAlign w:val="center"/>
          </w:tcPr>
          <w:p w14:paraId="7D1F7FD5">
            <w:pPr>
              <w:pStyle w:val="41"/>
              <w:rPr>
                <w:color w:val="auto"/>
                <w:highlight w:val="none"/>
              </w:rPr>
            </w:pPr>
            <w:r>
              <w:rPr>
                <w:rFonts w:hint="eastAsia"/>
                <w:color w:val="auto"/>
                <w:highlight w:val="none"/>
              </w:rPr>
              <w:t>10.76</w:t>
            </w:r>
          </w:p>
        </w:tc>
        <w:tc>
          <w:tcPr>
            <w:tcW w:w="1335" w:type="dxa"/>
            <w:vAlign w:val="center"/>
          </w:tcPr>
          <w:p w14:paraId="3C7803B8">
            <w:pPr>
              <w:pStyle w:val="41"/>
              <w:rPr>
                <w:color w:val="auto"/>
                <w:highlight w:val="none"/>
              </w:rPr>
            </w:pPr>
            <w:r>
              <w:rPr>
                <w:rFonts w:hint="eastAsia"/>
                <w:color w:val="auto"/>
                <w:highlight w:val="none"/>
              </w:rPr>
              <w:t>0.019</w:t>
            </w:r>
          </w:p>
        </w:tc>
        <w:tc>
          <w:tcPr>
            <w:tcW w:w="1335" w:type="dxa"/>
            <w:vAlign w:val="center"/>
          </w:tcPr>
          <w:p w14:paraId="63336EB3">
            <w:pPr>
              <w:pStyle w:val="41"/>
              <w:rPr>
                <w:color w:val="auto"/>
                <w:highlight w:val="none"/>
              </w:rPr>
            </w:pPr>
            <w:r>
              <w:rPr>
                <w:rFonts w:hint="eastAsia"/>
                <w:color w:val="auto"/>
                <w:highlight w:val="none"/>
              </w:rPr>
              <w:t>0.009</w:t>
            </w:r>
          </w:p>
        </w:tc>
        <w:tc>
          <w:tcPr>
            <w:tcW w:w="1162" w:type="dxa"/>
            <w:tcBorders>
              <w:right w:val="single" w:color="auto" w:sz="12" w:space="0"/>
            </w:tcBorders>
            <w:vAlign w:val="center"/>
          </w:tcPr>
          <w:p w14:paraId="472AC675">
            <w:pPr>
              <w:pStyle w:val="41"/>
              <w:rPr>
                <w:color w:val="auto"/>
                <w:highlight w:val="none"/>
              </w:rPr>
            </w:pPr>
            <w:r>
              <w:rPr>
                <w:rFonts w:hint="eastAsia"/>
                <w:color w:val="auto"/>
                <w:highlight w:val="none"/>
              </w:rPr>
              <w:t>0.006</w:t>
            </w:r>
          </w:p>
        </w:tc>
      </w:tr>
      <w:tr w14:paraId="5ED2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2" w:type="dxa"/>
            <w:tcBorders>
              <w:left w:val="single" w:color="auto" w:sz="12" w:space="0"/>
            </w:tcBorders>
            <w:vAlign w:val="center"/>
          </w:tcPr>
          <w:p w14:paraId="26D4CD3F">
            <w:pPr>
              <w:pStyle w:val="41"/>
              <w:rPr>
                <w:color w:val="auto"/>
                <w:highlight w:val="none"/>
              </w:rPr>
            </w:pPr>
            <w:r>
              <w:rPr>
                <w:rFonts w:hint="eastAsia"/>
                <w:color w:val="auto"/>
                <w:highlight w:val="none"/>
              </w:rPr>
              <w:t>元素</w:t>
            </w:r>
          </w:p>
        </w:tc>
        <w:tc>
          <w:tcPr>
            <w:tcW w:w="1164" w:type="dxa"/>
            <w:vAlign w:val="center"/>
          </w:tcPr>
          <w:p w14:paraId="4CD2AA40">
            <w:pPr>
              <w:pStyle w:val="41"/>
              <w:rPr>
                <w:color w:val="auto"/>
                <w:highlight w:val="none"/>
              </w:rPr>
            </w:pPr>
            <w:r>
              <w:rPr>
                <w:rFonts w:hint="eastAsia"/>
                <w:color w:val="auto"/>
                <w:highlight w:val="none"/>
              </w:rPr>
              <w:t>ZnO</w:t>
            </w:r>
          </w:p>
        </w:tc>
        <w:tc>
          <w:tcPr>
            <w:tcW w:w="1164" w:type="dxa"/>
            <w:vAlign w:val="center"/>
          </w:tcPr>
          <w:p w14:paraId="48DA3436">
            <w:pPr>
              <w:pStyle w:val="41"/>
              <w:rPr>
                <w:color w:val="auto"/>
                <w:highlight w:val="none"/>
              </w:rPr>
            </w:pPr>
            <w:r>
              <w:rPr>
                <w:rFonts w:hint="eastAsia"/>
                <w:color w:val="auto"/>
                <w:highlight w:val="none"/>
              </w:rPr>
              <w:t>Ga</w:t>
            </w:r>
            <w:r>
              <w:rPr>
                <w:rFonts w:hint="eastAsia"/>
                <w:color w:val="auto"/>
                <w:highlight w:val="none"/>
                <w:vertAlign w:val="subscript"/>
              </w:rPr>
              <w:t>2</w:t>
            </w:r>
            <w:r>
              <w:rPr>
                <w:rFonts w:hint="eastAsia"/>
                <w:color w:val="auto"/>
                <w:highlight w:val="none"/>
              </w:rPr>
              <w:t>O</w:t>
            </w:r>
            <w:r>
              <w:rPr>
                <w:rFonts w:hint="eastAsia"/>
                <w:color w:val="auto"/>
                <w:highlight w:val="none"/>
                <w:vertAlign w:val="subscript"/>
              </w:rPr>
              <w:t>3</w:t>
            </w:r>
          </w:p>
        </w:tc>
        <w:tc>
          <w:tcPr>
            <w:tcW w:w="1335" w:type="dxa"/>
            <w:vAlign w:val="center"/>
          </w:tcPr>
          <w:p w14:paraId="7611E916">
            <w:pPr>
              <w:pStyle w:val="41"/>
              <w:rPr>
                <w:color w:val="auto"/>
                <w:highlight w:val="none"/>
              </w:rPr>
            </w:pPr>
            <w:r>
              <w:rPr>
                <w:rFonts w:hint="eastAsia"/>
                <w:color w:val="auto"/>
                <w:highlight w:val="none"/>
              </w:rPr>
              <w:t>Rb</w:t>
            </w:r>
            <w:r>
              <w:rPr>
                <w:rFonts w:hint="eastAsia"/>
                <w:color w:val="auto"/>
                <w:highlight w:val="none"/>
                <w:vertAlign w:val="subscript"/>
              </w:rPr>
              <w:t>2</w:t>
            </w:r>
            <w:r>
              <w:rPr>
                <w:rFonts w:hint="eastAsia"/>
                <w:color w:val="auto"/>
                <w:highlight w:val="none"/>
              </w:rPr>
              <w:t>O</w:t>
            </w:r>
          </w:p>
        </w:tc>
        <w:tc>
          <w:tcPr>
            <w:tcW w:w="1335" w:type="dxa"/>
            <w:vAlign w:val="center"/>
          </w:tcPr>
          <w:p w14:paraId="2827D94B">
            <w:pPr>
              <w:pStyle w:val="41"/>
              <w:rPr>
                <w:color w:val="auto"/>
                <w:highlight w:val="none"/>
              </w:rPr>
            </w:pPr>
            <w:r>
              <w:rPr>
                <w:rFonts w:hint="eastAsia"/>
                <w:color w:val="auto"/>
                <w:highlight w:val="none"/>
              </w:rPr>
              <w:t>SrO</w:t>
            </w:r>
          </w:p>
        </w:tc>
        <w:tc>
          <w:tcPr>
            <w:tcW w:w="1162" w:type="dxa"/>
            <w:tcBorders>
              <w:right w:val="single" w:color="auto" w:sz="12" w:space="0"/>
            </w:tcBorders>
            <w:vAlign w:val="center"/>
          </w:tcPr>
          <w:p w14:paraId="1BC7E618">
            <w:pPr>
              <w:pStyle w:val="41"/>
              <w:rPr>
                <w:color w:val="auto"/>
                <w:highlight w:val="none"/>
              </w:rPr>
            </w:pPr>
            <w:r>
              <w:rPr>
                <w:rFonts w:hint="eastAsia"/>
                <w:color w:val="auto"/>
                <w:highlight w:val="none"/>
              </w:rPr>
              <w:t>ZrO</w:t>
            </w:r>
            <w:r>
              <w:rPr>
                <w:rFonts w:hint="eastAsia"/>
                <w:color w:val="auto"/>
                <w:highlight w:val="none"/>
                <w:vertAlign w:val="subscript"/>
              </w:rPr>
              <w:t>2</w:t>
            </w:r>
          </w:p>
        </w:tc>
      </w:tr>
      <w:tr w14:paraId="3696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2" w:type="dxa"/>
            <w:tcBorders>
              <w:left w:val="single" w:color="auto" w:sz="12" w:space="0"/>
            </w:tcBorders>
            <w:vAlign w:val="center"/>
          </w:tcPr>
          <w:p w14:paraId="5B8210E5">
            <w:pPr>
              <w:pStyle w:val="41"/>
              <w:rPr>
                <w:color w:val="auto"/>
                <w:highlight w:val="none"/>
              </w:rPr>
            </w:pPr>
            <w:r>
              <w:rPr>
                <w:rFonts w:hint="eastAsia"/>
                <w:color w:val="auto"/>
                <w:highlight w:val="none"/>
              </w:rPr>
              <w:t>含量（%）</w:t>
            </w:r>
          </w:p>
        </w:tc>
        <w:tc>
          <w:tcPr>
            <w:tcW w:w="1164" w:type="dxa"/>
            <w:vAlign w:val="center"/>
          </w:tcPr>
          <w:p w14:paraId="27CEF7CF">
            <w:pPr>
              <w:pStyle w:val="41"/>
              <w:rPr>
                <w:color w:val="auto"/>
                <w:highlight w:val="none"/>
              </w:rPr>
            </w:pPr>
            <w:r>
              <w:rPr>
                <w:rFonts w:hint="eastAsia"/>
                <w:color w:val="auto"/>
                <w:highlight w:val="none"/>
              </w:rPr>
              <w:t>0.013</w:t>
            </w:r>
          </w:p>
        </w:tc>
        <w:tc>
          <w:tcPr>
            <w:tcW w:w="1164" w:type="dxa"/>
            <w:vAlign w:val="center"/>
          </w:tcPr>
          <w:p w14:paraId="4A059924">
            <w:pPr>
              <w:pStyle w:val="41"/>
              <w:rPr>
                <w:color w:val="auto"/>
                <w:highlight w:val="none"/>
              </w:rPr>
            </w:pPr>
            <w:r>
              <w:rPr>
                <w:rFonts w:hint="eastAsia"/>
                <w:color w:val="auto"/>
                <w:highlight w:val="none"/>
              </w:rPr>
              <w:t>0.003</w:t>
            </w:r>
          </w:p>
        </w:tc>
        <w:tc>
          <w:tcPr>
            <w:tcW w:w="1335" w:type="dxa"/>
            <w:vAlign w:val="center"/>
          </w:tcPr>
          <w:p w14:paraId="53D0C4DB">
            <w:pPr>
              <w:pStyle w:val="41"/>
              <w:rPr>
                <w:color w:val="auto"/>
                <w:highlight w:val="none"/>
              </w:rPr>
            </w:pPr>
            <w:r>
              <w:rPr>
                <w:rFonts w:hint="eastAsia"/>
                <w:color w:val="auto"/>
                <w:highlight w:val="none"/>
              </w:rPr>
              <w:t>0.003</w:t>
            </w:r>
          </w:p>
        </w:tc>
        <w:tc>
          <w:tcPr>
            <w:tcW w:w="1335" w:type="dxa"/>
            <w:vAlign w:val="center"/>
          </w:tcPr>
          <w:p w14:paraId="0B1CEA0A">
            <w:pPr>
              <w:pStyle w:val="41"/>
              <w:rPr>
                <w:color w:val="auto"/>
                <w:highlight w:val="none"/>
              </w:rPr>
            </w:pPr>
            <w:r>
              <w:rPr>
                <w:rFonts w:hint="eastAsia"/>
                <w:color w:val="auto"/>
                <w:highlight w:val="none"/>
              </w:rPr>
              <w:t>0.088</w:t>
            </w:r>
          </w:p>
        </w:tc>
        <w:tc>
          <w:tcPr>
            <w:tcW w:w="1162" w:type="dxa"/>
            <w:tcBorders>
              <w:right w:val="single" w:color="auto" w:sz="12" w:space="0"/>
            </w:tcBorders>
            <w:vAlign w:val="center"/>
          </w:tcPr>
          <w:p w14:paraId="6F4B4B5C">
            <w:pPr>
              <w:pStyle w:val="41"/>
              <w:rPr>
                <w:color w:val="auto"/>
                <w:highlight w:val="none"/>
              </w:rPr>
            </w:pPr>
            <w:r>
              <w:rPr>
                <w:rFonts w:hint="eastAsia"/>
                <w:color w:val="auto"/>
                <w:highlight w:val="none"/>
              </w:rPr>
              <w:t>0.025</w:t>
            </w:r>
          </w:p>
        </w:tc>
      </w:tr>
      <w:tr w14:paraId="7ABE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2" w:type="dxa"/>
            <w:tcBorders>
              <w:left w:val="single" w:color="auto" w:sz="12" w:space="0"/>
            </w:tcBorders>
            <w:vAlign w:val="center"/>
          </w:tcPr>
          <w:p w14:paraId="59ABC575">
            <w:pPr>
              <w:pStyle w:val="41"/>
              <w:rPr>
                <w:color w:val="auto"/>
                <w:highlight w:val="none"/>
              </w:rPr>
            </w:pPr>
            <w:r>
              <w:rPr>
                <w:rFonts w:hint="eastAsia"/>
                <w:color w:val="auto"/>
                <w:highlight w:val="none"/>
              </w:rPr>
              <w:t>元素</w:t>
            </w:r>
          </w:p>
        </w:tc>
        <w:tc>
          <w:tcPr>
            <w:tcW w:w="1164" w:type="dxa"/>
            <w:vAlign w:val="center"/>
          </w:tcPr>
          <w:p w14:paraId="2DC3113E">
            <w:pPr>
              <w:pStyle w:val="41"/>
              <w:rPr>
                <w:color w:val="auto"/>
                <w:highlight w:val="none"/>
              </w:rPr>
            </w:pPr>
            <w:r>
              <w:rPr>
                <w:rFonts w:hint="eastAsia"/>
                <w:color w:val="auto"/>
                <w:highlight w:val="none"/>
              </w:rPr>
              <w:t>Nb</w:t>
            </w:r>
            <w:r>
              <w:rPr>
                <w:rFonts w:hint="eastAsia"/>
                <w:color w:val="auto"/>
                <w:highlight w:val="none"/>
                <w:vertAlign w:val="subscript"/>
              </w:rPr>
              <w:t>2</w:t>
            </w:r>
            <w:r>
              <w:rPr>
                <w:rFonts w:hint="eastAsia"/>
                <w:color w:val="auto"/>
                <w:highlight w:val="none"/>
              </w:rPr>
              <w:t>O</w:t>
            </w:r>
            <w:r>
              <w:rPr>
                <w:rFonts w:hint="eastAsia"/>
                <w:color w:val="auto"/>
                <w:highlight w:val="none"/>
                <w:vertAlign w:val="subscript"/>
              </w:rPr>
              <w:t>5</w:t>
            </w:r>
          </w:p>
        </w:tc>
        <w:tc>
          <w:tcPr>
            <w:tcW w:w="1164" w:type="dxa"/>
            <w:vAlign w:val="center"/>
          </w:tcPr>
          <w:p w14:paraId="2F79350A">
            <w:pPr>
              <w:pStyle w:val="41"/>
              <w:rPr>
                <w:color w:val="auto"/>
                <w:highlight w:val="none"/>
              </w:rPr>
            </w:pPr>
            <w:r>
              <w:rPr>
                <w:rFonts w:hint="eastAsia"/>
                <w:color w:val="auto"/>
                <w:highlight w:val="none"/>
              </w:rPr>
              <w:t>PbO</w:t>
            </w:r>
          </w:p>
        </w:tc>
        <w:tc>
          <w:tcPr>
            <w:tcW w:w="1335" w:type="dxa"/>
            <w:vAlign w:val="center"/>
          </w:tcPr>
          <w:p w14:paraId="57F49F57">
            <w:pPr>
              <w:pStyle w:val="41"/>
              <w:rPr>
                <w:color w:val="auto"/>
                <w:highlight w:val="none"/>
              </w:rPr>
            </w:pPr>
          </w:p>
        </w:tc>
        <w:tc>
          <w:tcPr>
            <w:tcW w:w="1335" w:type="dxa"/>
            <w:vAlign w:val="center"/>
          </w:tcPr>
          <w:p w14:paraId="5E91BD39">
            <w:pPr>
              <w:pStyle w:val="41"/>
              <w:rPr>
                <w:color w:val="auto"/>
                <w:highlight w:val="none"/>
              </w:rPr>
            </w:pPr>
          </w:p>
        </w:tc>
        <w:tc>
          <w:tcPr>
            <w:tcW w:w="1162" w:type="dxa"/>
            <w:tcBorders>
              <w:right w:val="single" w:color="auto" w:sz="12" w:space="0"/>
            </w:tcBorders>
            <w:vAlign w:val="center"/>
          </w:tcPr>
          <w:p w14:paraId="18150DC6">
            <w:pPr>
              <w:pStyle w:val="41"/>
              <w:rPr>
                <w:color w:val="auto"/>
                <w:highlight w:val="none"/>
              </w:rPr>
            </w:pPr>
          </w:p>
        </w:tc>
      </w:tr>
      <w:tr w14:paraId="2CA6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2" w:type="dxa"/>
            <w:tcBorders>
              <w:left w:val="single" w:color="auto" w:sz="12" w:space="0"/>
              <w:bottom w:val="single" w:color="auto" w:sz="12" w:space="0"/>
            </w:tcBorders>
            <w:vAlign w:val="center"/>
          </w:tcPr>
          <w:p w14:paraId="6BA3C977">
            <w:pPr>
              <w:pStyle w:val="41"/>
              <w:rPr>
                <w:color w:val="auto"/>
                <w:highlight w:val="none"/>
              </w:rPr>
            </w:pPr>
            <w:r>
              <w:rPr>
                <w:rFonts w:hint="eastAsia"/>
                <w:color w:val="auto"/>
                <w:highlight w:val="none"/>
              </w:rPr>
              <w:t>含量（%）</w:t>
            </w:r>
          </w:p>
        </w:tc>
        <w:tc>
          <w:tcPr>
            <w:tcW w:w="1164" w:type="dxa"/>
            <w:tcBorders>
              <w:bottom w:val="single" w:color="auto" w:sz="12" w:space="0"/>
            </w:tcBorders>
            <w:vAlign w:val="center"/>
          </w:tcPr>
          <w:p w14:paraId="0574CFF2">
            <w:pPr>
              <w:pStyle w:val="41"/>
              <w:rPr>
                <w:color w:val="auto"/>
                <w:highlight w:val="none"/>
              </w:rPr>
            </w:pPr>
            <w:r>
              <w:rPr>
                <w:rFonts w:hint="eastAsia"/>
                <w:color w:val="auto"/>
                <w:highlight w:val="none"/>
              </w:rPr>
              <w:t>0.003</w:t>
            </w:r>
          </w:p>
        </w:tc>
        <w:tc>
          <w:tcPr>
            <w:tcW w:w="1164" w:type="dxa"/>
            <w:tcBorders>
              <w:bottom w:val="single" w:color="auto" w:sz="12" w:space="0"/>
            </w:tcBorders>
            <w:vAlign w:val="center"/>
          </w:tcPr>
          <w:p w14:paraId="6D5A382D">
            <w:pPr>
              <w:pStyle w:val="41"/>
              <w:rPr>
                <w:color w:val="auto"/>
                <w:highlight w:val="none"/>
              </w:rPr>
            </w:pPr>
            <w:r>
              <w:rPr>
                <w:rFonts w:hint="eastAsia"/>
                <w:color w:val="auto"/>
                <w:highlight w:val="none"/>
              </w:rPr>
              <w:t>0.003</w:t>
            </w:r>
          </w:p>
        </w:tc>
        <w:tc>
          <w:tcPr>
            <w:tcW w:w="1335" w:type="dxa"/>
            <w:tcBorders>
              <w:bottom w:val="single" w:color="auto" w:sz="12" w:space="0"/>
            </w:tcBorders>
            <w:vAlign w:val="center"/>
          </w:tcPr>
          <w:p w14:paraId="3929F834">
            <w:pPr>
              <w:pStyle w:val="41"/>
              <w:rPr>
                <w:color w:val="auto"/>
                <w:highlight w:val="none"/>
              </w:rPr>
            </w:pPr>
          </w:p>
        </w:tc>
        <w:tc>
          <w:tcPr>
            <w:tcW w:w="1335" w:type="dxa"/>
            <w:tcBorders>
              <w:bottom w:val="single" w:color="auto" w:sz="12" w:space="0"/>
            </w:tcBorders>
            <w:vAlign w:val="center"/>
          </w:tcPr>
          <w:p w14:paraId="1A23C56D">
            <w:pPr>
              <w:pStyle w:val="41"/>
              <w:rPr>
                <w:color w:val="auto"/>
                <w:highlight w:val="none"/>
              </w:rPr>
            </w:pPr>
          </w:p>
        </w:tc>
        <w:tc>
          <w:tcPr>
            <w:tcW w:w="1162" w:type="dxa"/>
            <w:tcBorders>
              <w:bottom w:val="single" w:color="auto" w:sz="12" w:space="0"/>
              <w:right w:val="single" w:color="auto" w:sz="12" w:space="0"/>
            </w:tcBorders>
            <w:vAlign w:val="center"/>
          </w:tcPr>
          <w:p w14:paraId="6959949A">
            <w:pPr>
              <w:pStyle w:val="41"/>
              <w:rPr>
                <w:color w:val="auto"/>
                <w:highlight w:val="none"/>
              </w:rPr>
            </w:pPr>
          </w:p>
        </w:tc>
      </w:tr>
    </w:tbl>
    <w:p w14:paraId="15075AC7">
      <w:pPr>
        <w:pStyle w:val="40"/>
        <w:spacing w:before="31" w:after="31"/>
        <w:rPr>
          <w:color w:val="auto"/>
          <w:highlight w:val="none"/>
        </w:rPr>
      </w:pPr>
      <w:r>
        <w:rPr>
          <w:rFonts w:hint="eastAsia"/>
          <w:color w:val="auto"/>
          <w:highlight w:val="none"/>
        </w:rPr>
        <w:t>表3.2-3</w:t>
      </w:r>
      <w:r>
        <w:rPr>
          <w:rFonts w:hint="eastAsia"/>
          <w:color w:val="auto"/>
          <w:highlight w:val="none"/>
          <w:lang w:val="en-US" w:eastAsia="zh-CN"/>
        </w:rPr>
        <w:t xml:space="preserve">   </w:t>
      </w:r>
      <w:r>
        <w:rPr>
          <w:rFonts w:hint="eastAsia"/>
          <w:color w:val="auto"/>
          <w:highlight w:val="none"/>
        </w:rPr>
        <w:t xml:space="preserve"> 原矿化学多项分析结果</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66"/>
        <w:gridCol w:w="1254"/>
        <w:gridCol w:w="1398"/>
        <w:gridCol w:w="1398"/>
        <w:gridCol w:w="1253"/>
        <w:gridCol w:w="1253"/>
      </w:tblGrid>
      <w:tr w14:paraId="00BD89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tcBorders>
              <w:tl2br w:val="nil"/>
              <w:tr2bl w:val="nil"/>
            </w:tcBorders>
            <w:vAlign w:val="center"/>
          </w:tcPr>
          <w:p w14:paraId="5632372B">
            <w:pPr>
              <w:pStyle w:val="41"/>
              <w:rPr>
                <w:color w:val="auto"/>
                <w:highlight w:val="none"/>
              </w:rPr>
            </w:pPr>
            <w:r>
              <w:rPr>
                <w:rFonts w:hint="eastAsia"/>
                <w:color w:val="auto"/>
                <w:highlight w:val="none"/>
              </w:rPr>
              <w:t>项目</w:t>
            </w:r>
          </w:p>
        </w:tc>
        <w:tc>
          <w:tcPr>
            <w:tcW w:w="1255" w:type="dxa"/>
            <w:tcBorders>
              <w:tl2br w:val="nil"/>
              <w:tr2bl w:val="nil"/>
            </w:tcBorders>
            <w:vAlign w:val="center"/>
          </w:tcPr>
          <w:p w14:paraId="5F7B5345">
            <w:pPr>
              <w:pStyle w:val="41"/>
              <w:rPr>
                <w:color w:val="auto"/>
                <w:highlight w:val="none"/>
              </w:rPr>
            </w:pPr>
            <w:r>
              <w:rPr>
                <w:rFonts w:hint="eastAsia"/>
                <w:color w:val="auto"/>
                <w:highlight w:val="none"/>
              </w:rPr>
              <w:t>TFe</w:t>
            </w:r>
          </w:p>
        </w:tc>
        <w:tc>
          <w:tcPr>
            <w:tcW w:w="1399" w:type="dxa"/>
            <w:tcBorders>
              <w:tl2br w:val="nil"/>
              <w:tr2bl w:val="nil"/>
            </w:tcBorders>
            <w:vAlign w:val="center"/>
          </w:tcPr>
          <w:p w14:paraId="1936786D">
            <w:pPr>
              <w:pStyle w:val="41"/>
              <w:rPr>
                <w:color w:val="auto"/>
                <w:highlight w:val="none"/>
              </w:rPr>
            </w:pPr>
            <w:r>
              <w:rPr>
                <w:rFonts w:hint="eastAsia"/>
                <w:color w:val="auto"/>
                <w:highlight w:val="none"/>
              </w:rPr>
              <w:t>TiO</w:t>
            </w:r>
            <w:r>
              <w:rPr>
                <w:rFonts w:hint="eastAsia"/>
                <w:color w:val="auto"/>
                <w:highlight w:val="none"/>
                <w:vertAlign w:val="subscript"/>
              </w:rPr>
              <w:t>2</w:t>
            </w:r>
          </w:p>
        </w:tc>
        <w:tc>
          <w:tcPr>
            <w:tcW w:w="1399" w:type="dxa"/>
            <w:tcBorders>
              <w:tl2br w:val="nil"/>
              <w:tr2bl w:val="nil"/>
            </w:tcBorders>
            <w:vAlign w:val="center"/>
          </w:tcPr>
          <w:p w14:paraId="59B6B8D3">
            <w:pPr>
              <w:pStyle w:val="41"/>
              <w:rPr>
                <w:color w:val="auto"/>
                <w:highlight w:val="none"/>
              </w:rPr>
            </w:pPr>
            <w:r>
              <w:rPr>
                <w:rFonts w:hint="eastAsia"/>
                <w:color w:val="auto"/>
                <w:highlight w:val="none"/>
              </w:rPr>
              <w:t>mFe</w:t>
            </w:r>
          </w:p>
        </w:tc>
        <w:tc>
          <w:tcPr>
            <w:tcW w:w="1254" w:type="dxa"/>
            <w:tcBorders>
              <w:tl2br w:val="nil"/>
              <w:tr2bl w:val="nil"/>
            </w:tcBorders>
            <w:vAlign w:val="center"/>
          </w:tcPr>
          <w:p w14:paraId="51DD5E94">
            <w:pPr>
              <w:pStyle w:val="41"/>
              <w:rPr>
                <w:color w:val="auto"/>
                <w:highlight w:val="none"/>
              </w:rPr>
            </w:pPr>
            <w:r>
              <w:rPr>
                <w:rFonts w:hint="eastAsia"/>
                <w:color w:val="auto"/>
                <w:highlight w:val="none"/>
              </w:rPr>
              <w:t>S</w:t>
            </w:r>
          </w:p>
        </w:tc>
        <w:tc>
          <w:tcPr>
            <w:tcW w:w="1254" w:type="dxa"/>
            <w:tcBorders>
              <w:tl2br w:val="nil"/>
              <w:tr2bl w:val="nil"/>
            </w:tcBorders>
            <w:vAlign w:val="center"/>
          </w:tcPr>
          <w:p w14:paraId="34822B22">
            <w:pPr>
              <w:pStyle w:val="41"/>
              <w:rPr>
                <w:color w:val="auto"/>
                <w:highlight w:val="none"/>
              </w:rPr>
            </w:pPr>
            <w:r>
              <w:rPr>
                <w:rFonts w:hint="eastAsia"/>
                <w:color w:val="auto"/>
                <w:highlight w:val="none"/>
              </w:rPr>
              <w:t>C</w:t>
            </w:r>
          </w:p>
        </w:tc>
      </w:tr>
      <w:tr w14:paraId="102D08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tcBorders>
              <w:tl2br w:val="nil"/>
              <w:tr2bl w:val="nil"/>
            </w:tcBorders>
            <w:vAlign w:val="center"/>
          </w:tcPr>
          <w:p w14:paraId="0247242F">
            <w:pPr>
              <w:pStyle w:val="41"/>
              <w:rPr>
                <w:color w:val="auto"/>
                <w:highlight w:val="none"/>
              </w:rPr>
            </w:pPr>
            <w:bookmarkStart w:id="251" w:name="OLE_LINK7" w:colFirst="1" w:colLast="5"/>
            <w:r>
              <w:rPr>
                <w:rFonts w:hint="eastAsia"/>
                <w:color w:val="auto"/>
                <w:highlight w:val="none"/>
              </w:rPr>
              <w:t>含量（%）</w:t>
            </w:r>
          </w:p>
        </w:tc>
        <w:tc>
          <w:tcPr>
            <w:tcW w:w="1255" w:type="dxa"/>
            <w:tcBorders>
              <w:tl2br w:val="nil"/>
              <w:tr2bl w:val="nil"/>
            </w:tcBorders>
            <w:vAlign w:val="center"/>
          </w:tcPr>
          <w:p w14:paraId="7E43E0EF">
            <w:pPr>
              <w:pStyle w:val="41"/>
              <w:rPr>
                <w:color w:val="auto"/>
                <w:highlight w:val="none"/>
              </w:rPr>
            </w:pPr>
            <w:r>
              <w:rPr>
                <w:rFonts w:hint="eastAsia"/>
                <w:color w:val="auto"/>
                <w:highlight w:val="none"/>
              </w:rPr>
              <w:t>9.62</w:t>
            </w:r>
          </w:p>
        </w:tc>
        <w:tc>
          <w:tcPr>
            <w:tcW w:w="1399" w:type="dxa"/>
            <w:tcBorders>
              <w:tl2br w:val="nil"/>
              <w:tr2bl w:val="nil"/>
            </w:tcBorders>
            <w:vAlign w:val="center"/>
          </w:tcPr>
          <w:p w14:paraId="0D192F91">
            <w:pPr>
              <w:pStyle w:val="41"/>
              <w:rPr>
                <w:color w:val="auto"/>
                <w:highlight w:val="none"/>
              </w:rPr>
            </w:pPr>
            <w:r>
              <w:rPr>
                <w:rFonts w:hint="eastAsia"/>
                <w:color w:val="auto"/>
                <w:highlight w:val="none"/>
              </w:rPr>
              <w:t>2.58</w:t>
            </w:r>
          </w:p>
        </w:tc>
        <w:tc>
          <w:tcPr>
            <w:tcW w:w="1399" w:type="dxa"/>
            <w:tcBorders>
              <w:tl2br w:val="nil"/>
              <w:tr2bl w:val="nil"/>
            </w:tcBorders>
            <w:vAlign w:val="center"/>
          </w:tcPr>
          <w:p w14:paraId="1A4286D9">
            <w:pPr>
              <w:pStyle w:val="41"/>
              <w:rPr>
                <w:color w:val="auto"/>
                <w:highlight w:val="none"/>
              </w:rPr>
            </w:pPr>
            <w:r>
              <w:rPr>
                <w:rFonts w:hint="eastAsia"/>
                <w:color w:val="auto"/>
                <w:highlight w:val="none"/>
              </w:rPr>
              <w:t>2.98</w:t>
            </w:r>
          </w:p>
        </w:tc>
        <w:tc>
          <w:tcPr>
            <w:tcW w:w="1254" w:type="dxa"/>
            <w:tcBorders>
              <w:tl2br w:val="nil"/>
              <w:tr2bl w:val="nil"/>
            </w:tcBorders>
            <w:vAlign w:val="center"/>
          </w:tcPr>
          <w:p w14:paraId="053BFD04">
            <w:pPr>
              <w:pStyle w:val="41"/>
              <w:rPr>
                <w:color w:val="auto"/>
                <w:highlight w:val="none"/>
              </w:rPr>
            </w:pPr>
            <w:r>
              <w:rPr>
                <w:rFonts w:hint="eastAsia"/>
                <w:color w:val="auto"/>
                <w:highlight w:val="none"/>
              </w:rPr>
              <w:t>0.028</w:t>
            </w:r>
          </w:p>
        </w:tc>
        <w:tc>
          <w:tcPr>
            <w:tcW w:w="1254" w:type="dxa"/>
            <w:tcBorders>
              <w:tl2br w:val="nil"/>
              <w:tr2bl w:val="nil"/>
            </w:tcBorders>
            <w:vAlign w:val="center"/>
          </w:tcPr>
          <w:p w14:paraId="69662F2F">
            <w:pPr>
              <w:pStyle w:val="41"/>
              <w:rPr>
                <w:color w:val="auto"/>
                <w:highlight w:val="none"/>
              </w:rPr>
            </w:pPr>
            <w:r>
              <w:rPr>
                <w:rFonts w:hint="eastAsia"/>
                <w:color w:val="auto"/>
                <w:highlight w:val="none"/>
              </w:rPr>
              <w:t>0.36</w:t>
            </w:r>
          </w:p>
        </w:tc>
      </w:tr>
      <w:bookmarkEnd w:id="251"/>
      <w:tr w14:paraId="75E8B5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tcBorders>
              <w:tl2br w:val="nil"/>
              <w:tr2bl w:val="nil"/>
            </w:tcBorders>
            <w:vAlign w:val="center"/>
          </w:tcPr>
          <w:p w14:paraId="2AB66095">
            <w:pPr>
              <w:pStyle w:val="41"/>
              <w:rPr>
                <w:color w:val="auto"/>
                <w:highlight w:val="none"/>
              </w:rPr>
            </w:pPr>
            <w:r>
              <w:rPr>
                <w:rFonts w:hint="eastAsia"/>
                <w:color w:val="auto"/>
                <w:highlight w:val="none"/>
              </w:rPr>
              <w:t>项目</w:t>
            </w:r>
          </w:p>
        </w:tc>
        <w:tc>
          <w:tcPr>
            <w:tcW w:w="1255" w:type="dxa"/>
            <w:tcBorders>
              <w:tl2br w:val="nil"/>
              <w:tr2bl w:val="nil"/>
            </w:tcBorders>
            <w:vAlign w:val="center"/>
          </w:tcPr>
          <w:p w14:paraId="31A40700">
            <w:pPr>
              <w:pStyle w:val="41"/>
              <w:rPr>
                <w:color w:val="auto"/>
                <w:highlight w:val="none"/>
              </w:rPr>
            </w:pPr>
            <w:r>
              <w:rPr>
                <w:rFonts w:hint="eastAsia"/>
                <w:color w:val="auto"/>
                <w:highlight w:val="none"/>
              </w:rPr>
              <w:t>V</w:t>
            </w:r>
            <w:r>
              <w:rPr>
                <w:rFonts w:hint="eastAsia"/>
                <w:color w:val="auto"/>
                <w:highlight w:val="none"/>
                <w:vertAlign w:val="subscript"/>
              </w:rPr>
              <w:t>2</w:t>
            </w:r>
            <w:r>
              <w:rPr>
                <w:rFonts w:hint="eastAsia"/>
                <w:color w:val="auto"/>
                <w:highlight w:val="none"/>
              </w:rPr>
              <w:t>O</w:t>
            </w:r>
            <w:r>
              <w:rPr>
                <w:rFonts w:hint="eastAsia"/>
                <w:color w:val="auto"/>
                <w:highlight w:val="none"/>
                <w:vertAlign w:val="subscript"/>
              </w:rPr>
              <w:t>5</w:t>
            </w:r>
          </w:p>
        </w:tc>
        <w:tc>
          <w:tcPr>
            <w:tcW w:w="1399" w:type="dxa"/>
            <w:tcBorders>
              <w:tl2br w:val="nil"/>
              <w:tr2bl w:val="nil"/>
            </w:tcBorders>
            <w:vAlign w:val="center"/>
          </w:tcPr>
          <w:p w14:paraId="7CAD60CA">
            <w:pPr>
              <w:pStyle w:val="41"/>
              <w:rPr>
                <w:color w:val="auto"/>
                <w:highlight w:val="none"/>
              </w:rPr>
            </w:pPr>
            <w:r>
              <w:rPr>
                <w:rFonts w:hint="eastAsia"/>
                <w:color w:val="auto"/>
                <w:highlight w:val="none"/>
              </w:rPr>
              <w:t>Li</w:t>
            </w:r>
            <w:r>
              <w:rPr>
                <w:rFonts w:hint="eastAsia"/>
                <w:color w:val="auto"/>
                <w:highlight w:val="none"/>
                <w:vertAlign w:val="subscript"/>
              </w:rPr>
              <w:t>2</w:t>
            </w:r>
            <w:r>
              <w:rPr>
                <w:rFonts w:hint="eastAsia"/>
                <w:color w:val="auto"/>
                <w:highlight w:val="none"/>
              </w:rPr>
              <w:t>O</w:t>
            </w:r>
          </w:p>
        </w:tc>
        <w:tc>
          <w:tcPr>
            <w:tcW w:w="1399" w:type="dxa"/>
            <w:tcBorders>
              <w:tl2br w:val="nil"/>
              <w:tr2bl w:val="nil"/>
            </w:tcBorders>
            <w:vAlign w:val="center"/>
          </w:tcPr>
          <w:p w14:paraId="226724C3">
            <w:pPr>
              <w:pStyle w:val="41"/>
              <w:rPr>
                <w:color w:val="auto"/>
                <w:highlight w:val="none"/>
              </w:rPr>
            </w:pPr>
            <w:r>
              <w:rPr>
                <w:rFonts w:hint="eastAsia"/>
                <w:color w:val="auto"/>
                <w:highlight w:val="none"/>
              </w:rPr>
              <w:t>SiO</w:t>
            </w:r>
            <w:r>
              <w:rPr>
                <w:rFonts w:hint="eastAsia"/>
                <w:color w:val="auto"/>
                <w:highlight w:val="none"/>
                <w:vertAlign w:val="subscript"/>
              </w:rPr>
              <w:t>2</w:t>
            </w:r>
          </w:p>
        </w:tc>
        <w:tc>
          <w:tcPr>
            <w:tcW w:w="1254" w:type="dxa"/>
            <w:tcBorders>
              <w:tl2br w:val="nil"/>
              <w:tr2bl w:val="nil"/>
            </w:tcBorders>
            <w:vAlign w:val="center"/>
          </w:tcPr>
          <w:p w14:paraId="69FA1E96">
            <w:pPr>
              <w:pStyle w:val="41"/>
              <w:rPr>
                <w:color w:val="auto"/>
                <w:highlight w:val="none"/>
              </w:rPr>
            </w:pPr>
            <w:r>
              <w:rPr>
                <w:rFonts w:hint="eastAsia"/>
                <w:color w:val="auto"/>
                <w:highlight w:val="none"/>
              </w:rPr>
              <w:t>Al</w:t>
            </w:r>
            <w:r>
              <w:rPr>
                <w:rFonts w:hint="eastAsia"/>
                <w:color w:val="auto"/>
                <w:highlight w:val="none"/>
                <w:vertAlign w:val="subscript"/>
              </w:rPr>
              <w:t>2</w:t>
            </w:r>
            <w:r>
              <w:rPr>
                <w:rFonts w:hint="eastAsia"/>
                <w:color w:val="auto"/>
                <w:highlight w:val="none"/>
              </w:rPr>
              <w:t>O</w:t>
            </w:r>
            <w:r>
              <w:rPr>
                <w:rFonts w:hint="eastAsia"/>
                <w:color w:val="auto"/>
                <w:highlight w:val="none"/>
                <w:vertAlign w:val="subscript"/>
              </w:rPr>
              <w:t>3</w:t>
            </w:r>
          </w:p>
        </w:tc>
        <w:tc>
          <w:tcPr>
            <w:tcW w:w="1254" w:type="dxa"/>
            <w:tcBorders>
              <w:tl2br w:val="nil"/>
              <w:tr2bl w:val="nil"/>
            </w:tcBorders>
            <w:vAlign w:val="center"/>
          </w:tcPr>
          <w:p w14:paraId="3B7440DA">
            <w:pPr>
              <w:pStyle w:val="41"/>
              <w:rPr>
                <w:color w:val="auto"/>
                <w:highlight w:val="none"/>
              </w:rPr>
            </w:pPr>
            <w:r>
              <w:rPr>
                <w:rFonts w:hint="eastAsia"/>
                <w:color w:val="auto"/>
                <w:highlight w:val="none"/>
              </w:rPr>
              <w:t>CaO</w:t>
            </w:r>
          </w:p>
        </w:tc>
      </w:tr>
      <w:tr w14:paraId="4767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tcBorders>
              <w:tl2br w:val="nil"/>
              <w:tr2bl w:val="nil"/>
            </w:tcBorders>
            <w:vAlign w:val="center"/>
          </w:tcPr>
          <w:p w14:paraId="7B801719">
            <w:pPr>
              <w:pStyle w:val="41"/>
              <w:rPr>
                <w:color w:val="auto"/>
                <w:highlight w:val="none"/>
              </w:rPr>
            </w:pPr>
            <w:bookmarkStart w:id="252" w:name="OLE_LINK8" w:colFirst="1" w:colLast="5"/>
            <w:r>
              <w:rPr>
                <w:rFonts w:hint="eastAsia"/>
                <w:color w:val="auto"/>
                <w:highlight w:val="none"/>
              </w:rPr>
              <w:t>含量（%）</w:t>
            </w:r>
          </w:p>
        </w:tc>
        <w:tc>
          <w:tcPr>
            <w:tcW w:w="1255" w:type="dxa"/>
            <w:tcBorders>
              <w:tl2br w:val="nil"/>
              <w:tr2bl w:val="nil"/>
            </w:tcBorders>
            <w:vAlign w:val="center"/>
          </w:tcPr>
          <w:p w14:paraId="7C0308E6">
            <w:pPr>
              <w:pStyle w:val="41"/>
              <w:rPr>
                <w:color w:val="auto"/>
                <w:highlight w:val="none"/>
              </w:rPr>
            </w:pPr>
            <w:r>
              <w:rPr>
                <w:rFonts w:hint="eastAsia"/>
                <w:color w:val="auto"/>
                <w:highlight w:val="none"/>
              </w:rPr>
              <w:t>0.028</w:t>
            </w:r>
          </w:p>
        </w:tc>
        <w:tc>
          <w:tcPr>
            <w:tcW w:w="1399" w:type="dxa"/>
            <w:tcBorders>
              <w:tl2br w:val="nil"/>
              <w:tr2bl w:val="nil"/>
            </w:tcBorders>
            <w:vAlign w:val="center"/>
          </w:tcPr>
          <w:p w14:paraId="1B795246">
            <w:pPr>
              <w:pStyle w:val="41"/>
              <w:rPr>
                <w:color w:val="auto"/>
                <w:highlight w:val="none"/>
              </w:rPr>
            </w:pPr>
            <w:r>
              <w:rPr>
                <w:rFonts w:hint="eastAsia"/>
                <w:color w:val="auto"/>
                <w:highlight w:val="none"/>
              </w:rPr>
              <w:t>0.0030</w:t>
            </w:r>
          </w:p>
        </w:tc>
        <w:tc>
          <w:tcPr>
            <w:tcW w:w="1399" w:type="dxa"/>
            <w:tcBorders>
              <w:tl2br w:val="nil"/>
              <w:tr2bl w:val="nil"/>
            </w:tcBorders>
            <w:vAlign w:val="center"/>
          </w:tcPr>
          <w:p w14:paraId="1855FE81">
            <w:pPr>
              <w:pStyle w:val="41"/>
              <w:rPr>
                <w:color w:val="auto"/>
                <w:highlight w:val="none"/>
              </w:rPr>
            </w:pPr>
            <w:r>
              <w:rPr>
                <w:rFonts w:hint="eastAsia"/>
                <w:color w:val="auto"/>
                <w:highlight w:val="none"/>
              </w:rPr>
              <w:t>46.11</w:t>
            </w:r>
          </w:p>
        </w:tc>
        <w:tc>
          <w:tcPr>
            <w:tcW w:w="1254" w:type="dxa"/>
            <w:tcBorders>
              <w:tl2br w:val="nil"/>
              <w:tr2bl w:val="nil"/>
            </w:tcBorders>
            <w:vAlign w:val="center"/>
          </w:tcPr>
          <w:p w14:paraId="361161BF">
            <w:pPr>
              <w:pStyle w:val="41"/>
              <w:rPr>
                <w:color w:val="auto"/>
                <w:highlight w:val="none"/>
              </w:rPr>
            </w:pPr>
            <w:r>
              <w:rPr>
                <w:rFonts w:hint="eastAsia"/>
                <w:color w:val="auto"/>
                <w:highlight w:val="none"/>
              </w:rPr>
              <w:t>16.87</w:t>
            </w:r>
          </w:p>
        </w:tc>
        <w:tc>
          <w:tcPr>
            <w:tcW w:w="1254" w:type="dxa"/>
            <w:tcBorders>
              <w:tl2br w:val="nil"/>
              <w:tr2bl w:val="nil"/>
            </w:tcBorders>
            <w:vAlign w:val="center"/>
          </w:tcPr>
          <w:p w14:paraId="53DFAFC8">
            <w:pPr>
              <w:pStyle w:val="41"/>
              <w:rPr>
                <w:color w:val="auto"/>
                <w:highlight w:val="none"/>
              </w:rPr>
            </w:pPr>
            <w:r>
              <w:rPr>
                <w:rFonts w:hint="eastAsia"/>
                <w:color w:val="auto"/>
                <w:highlight w:val="none"/>
              </w:rPr>
              <w:t>9.40</w:t>
            </w:r>
          </w:p>
        </w:tc>
      </w:tr>
      <w:bookmarkEnd w:id="252"/>
      <w:tr w14:paraId="20721C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tcBorders>
              <w:tl2br w:val="nil"/>
              <w:tr2bl w:val="nil"/>
            </w:tcBorders>
            <w:vAlign w:val="center"/>
          </w:tcPr>
          <w:p w14:paraId="65A1DFD0">
            <w:pPr>
              <w:pStyle w:val="41"/>
              <w:rPr>
                <w:color w:val="auto"/>
                <w:highlight w:val="none"/>
              </w:rPr>
            </w:pPr>
            <w:bookmarkStart w:id="253" w:name="OLE_LINK10" w:colFirst="4" w:colLast="5"/>
            <w:r>
              <w:rPr>
                <w:rFonts w:hint="eastAsia"/>
                <w:color w:val="auto"/>
                <w:highlight w:val="none"/>
              </w:rPr>
              <w:t>项目</w:t>
            </w:r>
          </w:p>
        </w:tc>
        <w:tc>
          <w:tcPr>
            <w:tcW w:w="1255" w:type="dxa"/>
            <w:tcBorders>
              <w:tl2br w:val="nil"/>
              <w:tr2bl w:val="nil"/>
            </w:tcBorders>
            <w:vAlign w:val="center"/>
          </w:tcPr>
          <w:p w14:paraId="0E14294C">
            <w:pPr>
              <w:pStyle w:val="41"/>
              <w:rPr>
                <w:color w:val="auto"/>
                <w:highlight w:val="none"/>
              </w:rPr>
            </w:pPr>
            <w:r>
              <w:rPr>
                <w:rFonts w:hint="eastAsia"/>
                <w:color w:val="auto"/>
                <w:highlight w:val="none"/>
              </w:rPr>
              <w:t>MgO</w:t>
            </w:r>
          </w:p>
        </w:tc>
        <w:tc>
          <w:tcPr>
            <w:tcW w:w="1399" w:type="dxa"/>
            <w:tcBorders>
              <w:tl2br w:val="nil"/>
              <w:tr2bl w:val="nil"/>
            </w:tcBorders>
            <w:vAlign w:val="center"/>
          </w:tcPr>
          <w:p w14:paraId="36811051">
            <w:pPr>
              <w:pStyle w:val="41"/>
              <w:rPr>
                <w:color w:val="auto"/>
                <w:highlight w:val="none"/>
              </w:rPr>
            </w:pPr>
            <w:r>
              <w:rPr>
                <w:rFonts w:hint="eastAsia"/>
                <w:color w:val="auto"/>
                <w:highlight w:val="none"/>
              </w:rPr>
              <w:t>K</w:t>
            </w:r>
            <w:r>
              <w:rPr>
                <w:rFonts w:hint="eastAsia"/>
                <w:color w:val="auto"/>
                <w:highlight w:val="none"/>
                <w:vertAlign w:val="subscript"/>
              </w:rPr>
              <w:t>2</w:t>
            </w:r>
            <w:r>
              <w:rPr>
                <w:rFonts w:hint="eastAsia"/>
                <w:color w:val="auto"/>
                <w:highlight w:val="none"/>
              </w:rPr>
              <w:t>O</w:t>
            </w:r>
          </w:p>
        </w:tc>
        <w:tc>
          <w:tcPr>
            <w:tcW w:w="1399" w:type="dxa"/>
            <w:tcBorders>
              <w:tl2br w:val="nil"/>
              <w:tr2bl w:val="nil"/>
            </w:tcBorders>
            <w:vAlign w:val="center"/>
          </w:tcPr>
          <w:p w14:paraId="105BC6C0">
            <w:pPr>
              <w:pStyle w:val="41"/>
              <w:rPr>
                <w:color w:val="auto"/>
                <w:highlight w:val="none"/>
              </w:rPr>
            </w:pPr>
            <w:r>
              <w:rPr>
                <w:rFonts w:hint="eastAsia"/>
                <w:color w:val="auto"/>
                <w:highlight w:val="none"/>
              </w:rPr>
              <w:t>Na</w:t>
            </w:r>
            <w:r>
              <w:rPr>
                <w:rFonts w:hint="eastAsia"/>
                <w:color w:val="auto"/>
                <w:highlight w:val="none"/>
                <w:vertAlign w:val="subscript"/>
              </w:rPr>
              <w:t>2</w:t>
            </w:r>
            <w:r>
              <w:rPr>
                <w:rFonts w:hint="eastAsia"/>
                <w:color w:val="auto"/>
                <w:highlight w:val="none"/>
              </w:rPr>
              <w:t>O</w:t>
            </w:r>
          </w:p>
        </w:tc>
        <w:tc>
          <w:tcPr>
            <w:tcW w:w="1254" w:type="dxa"/>
            <w:tcBorders>
              <w:tl2br w:val="nil"/>
              <w:tr2bl w:val="nil"/>
            </w:tcBorders>
            <w:vAlign w:val="center"/>
          </w:tcPr>
          <w:p w14:paraId="2BE466A1">
            <w:pPr>
              <w:pStyle w:val="41"/>
              <w:rPr>
                <w:color w:val="auto"/>
                <w:highlight w:val="none"/>
              </w:rPr>
            </w:pPr>
            <w:r>
              <w:rPr>
                <w:rFonts w:hint="eastAsia"/>
                <w:color w:val="auto"/>
                <w:highlight w:val="none"/>
              </w:rPr>
              <w:t>Au(10-6)</w:t>
            </w:r>
          </w:p>
        </w:tc>
        <w:tc>
          <w:tcPr>
            <w:tcW w:w="1254" w:type="dxa"/>
            <w:tcBorders>
              <w:tl2br w:val="nil"/>
              <w:tr2bl w:val="nil"/>
            </w:tcBorders>
            <w:vAlign w:val="center"/>
          </w:tcPr>
          <w:p w14:paraId="7441EEC6">
            <w:pPr>
              <w:pStyle w:val="41"/>
              <w:rPr>
                <w:color w:val="auto"/>
                <w:highlight w:val="none"/>
              </w:rPr>
            </w:pPr>
            <w:r>
              <w:rPr>
                <w:rFonts w:hint="eastAsia"/>
                <w:color w:val="auto"/>
                <w:highlight w:val="none"/>
              </w:rPr>
              <w:t>Ag(10-6)</w:t>
            </w:r>
          </w:p>
        </w:tc>
      </w:tr>
      <w:tr w14:paraId="5B2388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tcBorders>
              <w:tl2br w:val="nil"/>
              <w:tr2bl w:val="nil"/>
            </w:tcBorders>
            <w:vAlign w:val="center"/>
          </w:tcPr>
          <w:p w14:paraId="54B40E2F">
            <w:pPr>
              <w:pStyle w:val="41"/>
              <w:rPr>
                <w:color w:val="auto"/>
                <w:highlight w:val="none"/>
              </w:rPr>
            </w:pPr>
            <w:bookmarkStart w:id="254" w:name="OLE_LINK9" w:colFirst="1" w:colLast="3"/>
            <w:r>
              <w:rPr>
                <w:rFonts w:hint="eastAsia"/>
                <w:color w:val="auto"/>
                <w:highlight w:val="none"/>
              </w:rPr>
              <w:t>含量（%）</w:t>
            </w:r>
          </w:p>
        </w:tc>
        <w:tc>
          <w:tcPr>
            <w:tcW w:w="1255" w:type="dxa"/>
            <w:tcBorders>
              <w:tl2br w:val="nil"/>
              <w:tr2bl w:val="nil"/>
            </w:tcBorders>
            <w:vAlign w:val="center"/>
          </w:tcPr>
          <w:p w14:paraId="1A910FF8">
            <w:pPr>
              <w:pStyle w:val="41"/>
              <w:rPr>
                <w:color w:val="auto"/>
                <w:highlight w:val="none"/>
              </w:rPr>
            </w:pPr>
            <w:r>
              <w:rPr>
                <w:rFonts w:hint="eastAsia"/>
                <w:color w:val="auto"/>
                <w:highlight w:val="none"/>
              </w:rPr>
              <w:t>3.92</w:t>
            </w:r>
          </w:p>
        </w:tc>
        <w:tc>
          <w:tcPr>
            <w:tcW w:w="1399" w:type="dxa"/>
            <w:tcBorders>
              <w:tl2br w:val="nil"/>
              <w:tr2bl w:val="nil"/>
            </w:tcBorders>
            <w:vAlign w:val="center"/>
          </w:tcPr>
          <w:p w14:paraId="4A1E7057">
            <w:pPr>
              <w:pStyle w:val="41"/>
              <w:rPr>
                <w:color w:val="auto"/>
                <w:highlight w:val="none"/>
              </w:rPr>
            </w:pPr>
            <w:r>
              <w:rPr>
                <w:rFonts w:hint="eastAsia"/>
                <w:color w:val="auto"/>
                <w:highlight w:val="none"/>
              </w:rPr>
              <w:t>0.81</w:t>
            </w:r>
          </w:p>
        </w:tc>
        <w:tc>
          <w:tcPr>
            <w:tcW w:w="1399" w:type="dxa"/>
            <w:tcBorders>
              <w:tl2br w:val="nil"/>
              <w:tr2bl w:val="nil"/>
            </w:tcBorders>
            <w:vAlign w:val="center"/>
          </w:tcPr>
          <w:p w14:paraId="0CC88BE1">
            <w:pPr>
              <w:pStyle w:val="41"/>
              <w:rPr>
                <w:color w:val="auto"/>
                <w:highlight w:val="none"/>
              </w:rPr>
            </w:pPr>
            <w:r>
              <w:rPr>
                <w:rFonts w:hint="eastAsia"/>
                <w:color w:val="auto"/>
                <w:highlight w:val="none"/>
              </w:rPr>
              <w:t>3.67</w:t>
            </w:r>
          </w:p>
        </w:tc>
        <w:tc>
          <w:tcPr>
            <w:tcW w:w="1254" w:type="dxa"/>
            <w:tcBorders>
              <w:tl2br w:val="nil"/>
              <w:tr2bl w:val="nil"/>
            </w:tcBorders>
            <w:vAlign w:val="center"/>
          </w:tcPr>
          <w:p w14:paraId="04AAFB27">
            <w:pPr>
              <w:pStyle w:val="41"/>
              <w:rPr>
                <w:color w:val="auto"/>
                <w:highlight w:val="none"/>
              </w:rPr>
            </w:pPr>
            <w:r>
              <w:rPr>
                <w:rFonts w:hint="eastAsia"/>
                <w:color w:val="auto"/>
                <w:highlight w:val="none"/>
              </w:rPr>
              <w:t>0.016</w:t>
            </w:r>
          </w:p>
        </w:tc>
        <w:tc>
          <w:tcPr>
            <w:tcW w:w="1254" w:type="dxa"/>
            <w:tcBorders>
              <w:tl2br w:val="nil"/>
              <w:tr2bl w:val="nil"/>
            </w:tcBorders>
            <w:vAlign w:val="center"/>
          </w:tcPr>
          <w:p w14:paraId="2E71B46D">
            <w:pPr>
              <w:pStyle w:val="41"/>
              <w:rPr>
                <w:color w:val="auto"/>
                <w:highlight w:val="none"/>
              </w:rPr>
            </w:pPr>
            <w:r>
              <w:rPr>
                <w:rFonts w:hint="eastAsia"/>
                <w:color w:val="auto"/>
                <w:highlight w:val="none"/>
              </w:rPr>
              <w:t>0.15</w:t>
            </w:r>
          </w:p>
        </w:tc>
      </w:tr>
      <w:bookmarkEnd w:id="253"/>
      <w:bookmarkEnd w:id="254"/>
      <w:tr w14:paraId="17EBB4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tcBorders>
              <w:tl2br w:val="nil"/>
              <w:tr2bl w:val="nil"/>
            </w:tcBorders>
            <w:vAlign w:val="center"/>
          </w:tcPr>
          <w:p w14:paraId="7D32947F">
            <w:pPr>
              <w:pStyle w:val="41"/>
              <w:rPr>
                <w:color w:val="auto"/>
                <w:highlight w:val="none"/>
              </w:rPr>
            </w:pPr>
            <w:bookmarkStart w:id="255" w:name="OLE_LINK11" w:colFirst="0" w:colLast="3"/>
            <w:r>
              <w:rPr>
                <w:rFonts w:hint="eastAsia"/>
                <w:color w:val="auto"/>
                <w:highlight w:val="none"/>
              </w:rPr>
              <w:t>项目</w:t>
            </w:r>
          </w:p>
        </w:tc>
        <w:tc>
          <w:tcPr>
            <w:tcW w:w="1255" w:type="dxa"/>
            <w:tcBorders>
              <w:tl2br w:val="nil"/>
              <w:tr2bl w:val="nil"/>
            </w:tcBorders>
            <w:vAlign w:val="center"/>
          </w:tcPr>
          <w:p w14:paraId="1877C7FF">
            <w:pPr>
              <w:pStyle w:val="41"/>
              <w:rPr>
                <w:color w:val="auto"/>
                <w:highlight w:val="none"/>
              </w:rPr>
            </w:pPr>
            <w:r>
              <w:rPr>
                <w:rFonts w:hint="eastAsia"/>
                <w:color w:val="auto"/>
                <w:highlight w:val="none"/>
              </w:rPr>
              <w:t>P</w:t>
            </w:r>
          </w:p>
        </w:tc>
        <w:tc>
          <w:tcPr>
            <w:tcW w:w="1399" w:type="dxa"/>
            <w:tcBorders>
              <w:tl2br w:val="nil"/>
              <w:tr2bl w:val="nil"/>
            </w:tcBorders>
            <w:vAlign w:val="center"/>
          </w:tcPr>
          <w:p w14:paraId="46403EDA">
            <w:pPr>
              <w:pStyle w:val="41"/>
              <w:rPr>
                <w:color w:val="auto"/>
                <w:highlight w:val="none"/>
              </w:rPr>
            </w:pPr>
            <w:r>
              <w:rPr>
                <w:rFonts w:hint="eastAsia"/>
                <w:color w:val="auto"/>
                <w:highlight w:val="none"/>
              </w:rPr>
              <w:t>Mo</w:t>
            </w:r>
          </w:p>
        </w:tc>
        <w:tc>
          <w:tcPr>
            <w:tcW w:w="1399" w:type="dxa"/>
            <w:tcBorders>
              <w:tl2br w:val="nil"/>
              <w:tr2bl w:val="nil"/>
            </w:tcBorders>
            <w:vAlign w:val="center"/>
          </w:tcPr>
          <w:p w14:paraId="29B81A65">
            <w:pPr>
              <w:pStyle w:val="41"/>
              <w:rPr>
                <w:color w:val="auto"/>
                <w:highlight w:val="none"/>
              </w:rPr>
            </w:pPr>
            <w:r>
              <w:rPr>
                <w:rFonts w:hint="eastAsia"/>
                <w:color w:val="auto"/>
                <w:highlight w:val="none"/>
              </w:rPr>
              <w:t>Co</w:t>
            </w:r>
          </w:p>
        </w:tc>
        <w:tc>
          <w:tcPr>
            <w:tcW w:w="1254" w:type="dxa"/>
            <w:tcBorders>
              <w:tl2br w:val="nil"/>
              <w:tr2bl w:val="nil"/>
            </w:tcBorders>
            <w:vAlign w:val="center"/>
          </w:tcPr>
          <w:p w14:paraId="16D96F6F">
            <w:pPr>
              <w:pStyle w:val="41"/>
              <w:rPr>
                <w:color w:val="auto"/>
                <w:highlight w:val="none"/>
              </w:rPr>
            </w:pPr>
          </w:p>
        </w:tc>
        <w:tc>
          <w:tcPr>
            <w:tcW w:w="1254" w:type="dxa"/>
            <w:tcBorders>
              <w:tl2br w:val="nil"/>
              <w:tr2bl w:val="nil"/>
            </w:tcBorders>
            <w:vAlign w:val="center"/>
          </w:tcPr>
          <w:p w14:paraId="2E94A787">
            <w:pPr>
              <w:pStyle w:val="41"/>
              <w:rPr>
                <w:color w:val="auto"/>
                <w:highlight w:val="none"/>
              </w:rPr>
            </w:pPr>
          </w:p>
        </w:tc>
      </w:tr>
      <w:tr w14:paraId="0C0FA2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68" w:type="dxa"/>
            <w:tcBorders>
              <w:tl2br w:val="nil"/>
              <w:tr2bl w:val="nil"/>
            </w:tcBorders>
            <w:vAlign w:val="center"/>
          </w:tcPr>
          <w:p w14:paraId="487266B0">
            <w:pPr>
              <w:pStyle w:val="41"/>
              <w:rPr>
                <w:color w:val="auto"/>
                <w:highlight w:val="none"/>
              </w:rPr>
            </w:pPr>
            <w:r>
              <w:rPr>
                <w:rFonts w:hint="eastAsia"/>
                <w:color w:val="auto"/>
                <w:highlight w:val="none"/>
              </w:rPr>
              <w:t>含量（%）</w:t>
            </w:r>
          </w:p>
        </w:tc>
        <w:tc>
          <w:tcPr>
            <w:tcW w:w="1255" w:type="dxa"/>
            <w:tcBorders>
              <w:tl2br w:val="nil"/>
              <w:tr2bl w:val="nil"/>
            </w:tcBorders>
            <w:vAlign w:val="center"/>
          </w:tcPr>
          <w:p w14:paraId="67DA5C28">
            <w:pPr>
              <w:pStyle w:val="41"/>
              <w:rPr>
                <w:color w:val="auto"/>
                <w:highlight w:val="none"/>
              </w:rPr>
            </w:pPr>
            <w:r>
              <w:rPr>
                <w:rFonts w:hint="eastAsia"/>
                <w:color w:val="auto"/>
                <w:highlight w:val="none"/>
              </w:rPr>
              <w:t>0.37</w:t>
            </w:r>
          </w:p>
        </w:tc>
        <w:tc>
          <w:tcPr>
            <w:tcW w:w="1399" w:type="dxa"/>
            <w:tcBorders>
              <w:tl2br w:val="nil"/>
              <w:tr2bl w:val="nil"/>
            </w:tcBorders>
            <w:vAlign w:val="center"/>
          </w:tcPr>
          <w:p w14:paraId="3F0E4BCA">
            <w:pPr>
              <w:pStyle w:val="41"/>
              <w:rPr>
                <w:color w:val="auto"/>
                <w:highlight w:val="none"/>
              </w:rPr>
            </w:pPr>
            <w:r>
              <w:rPr>
                <w:rFonts w:hint="eastAsia"/>
                <w:color w:val="auto"/>
                <w:highlight w:val="none"/>
              </w:rPr>
              <w:t>0.0001</w:t>
            </w:r>
          </w:p>
        </w:tc>
        <w:tc>
          <w:tcPr>
            <w:tcW w:w="1399" w:type="dxa"/>
            <w:tcBorders>
              <w:tl2br w:val="nil"/>
              <w:tr2bl w:val="nil"/>
            </w:tcBorders>
            <w:vAlign w:val="center"/>
          </w:tcPr>
          <w:p w14:paraId="227E5562">
            <w:pPr>
              <w:pStyle w:val="41"/>
              <w:rPr>
                <w:color w:val="auto"/>
                <w:highlight w:val="none"/>
              </w:rPr>
            </w:pPr>
            <w:r>
              <w:rPr>
                <w:rFonts w:hint="eastAsia"/>
                <w:color w:val="auto"/>
                <w:highlight w:val="none"/>
              </w:rPr>
              <w:t>0.0038</w:t>
            </w:r>
          </w:p>
        </w:tc>
        <w:tc>
          <w:tcPr>
            <w:tcW w:w="1254" w:type="dxa"/>
            <w:tcBorders>
              <w:tl2br w:val="nil"/>
              <w:tr2bl w:val="nil"/>
            </w:tcBorders>
            <w:vAlign w:val="center"/>
          </w:tcPr>
          <w:p w14:paraId="639E51A3">
            <w:pPr>
              <w:pStyle w:val="41"/>
              <w:rPr>
                <w:color w:val="auto"/>
                <w:highlight w:val="none"/>
              </w:rPr>
            </w:pPr>
          </w:p>
        </w:tc>
        <w:tc>
          <w:tcPr>
            <w:tcW w:w="1254" w:type="dxa"/>
            <w:tcBorders>
              <w:tl2br w:val="nil"/>
              <w:tr2bl w:val="nil"/>
            </w:tcBorders>
            <w:vAlign w:val="center"/>
          </w:tcPr>
          <w:p w14:paraId="4BAECD87">
            <w:pPr>
              <w:pStyle w:val="41"/>
              <w:rPr>
                <w:color w:val="auto"/>
                <w:highlight w:val="none"/>
              </w:rPr>
            </w:pPr>
          </w:p>
        </w:tc>
      </w:tr>
      <w:bookmarkEnd w:id="255"/>
    </w:tbl>
    <w:p w14:paraId="4EE4E4B1">
      <w:pPr>
        <w:pStyle w:val="43"/>
        <w:rPr>
          <w:color w:val="auto"/>
          <w:highlight w:val="none"/>
        </w:rPr>
      </w:pPr>
      <w:r>
        <w:rPr>
          <w:rFonts w:hint="eastAsia"/>
          <w:color w:val="auto"/>
          <w:highlight w:val="none"/>
        </w:rPr>
        <w:t>原矿物相组成分析</w:t>
      </w:r>
    </w:p>
    <w:p w14:paraId="3E2634D1">
      <w:pPr>
        <w:pStyle w:val="40"/>
        <w:spacing w:before="31" w:after="31"/>
        <w:rPr>
          <w:color w:val="auto"/>
          <w:highlight w:val="none"/>
        </w:rPr>
      </w:pPr>
      <w:r>
        <w:rPr>
          <w:rFonts w:hint="eastAsia"/>
          <w:color w:val="auto"/>
          <w:highlight w:val="none"/>
        </w:rPr>
        <w:t xml:space="preserve">表3.2-4 </w:t>
      </w:r>
      <w:r>
        <w:rPr>
          <w:rFonts w:hint="eastAsia"/>
          <w:color w:val="auto"/>
          <w:highlight w:val="none"/>
          <w:lang w:val="en-US" w:eastAsia="zh-CN"/>
        </w:rPr>
        <w:t xml:space="preserve">   </w:t>
      </w:r>
      <w:r>
        <w:rPr>
          <w:rFonts w:hint="eastAsia"/>
          <w:color w:val="auto"/>
          <w:highlight w:val="none"/>
        </w:rPr>
        <w:t>原矿钛物相分析结果</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566"/>
        <w:gridCol w:w="1717"/>
        <w:gridCol w:w="1550"/>
        <w:gridCol w:w="1700"/>
        <w:gridCol w:w="729"/>
      </w:tblGrid>
      <w:tr w14:paraId="36B984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60" w:type="dxa"/>
            <w:tcBorders>
              <w:tl2br w:val="nil"/>
              <w:tr2bl w:val="nil"/>
            </w:tcBorders>
            <w:vAlign w:val="center"/>
          </w:tcPr>
          <w:p w14:paraId="5AC4F996">
            <w:pPr>
              <w:pStyle w:val="41"/>
              <w:rPr>
                <w:color w:val="auto"/>
                <w:highlight w:val="none"/>
              </w:rPr>
            </w:pPr>
            <w:r>
              <w:rPr>
                <w:rFonts w:hint="eastAsia"/>
                <w:color w:val="auto"/>
                <w:highlight w:val="none"/>
              </w:rPr>
              <w:t>项目</w:t>
            </w:r>
          </w:p>
        </w:tc>
        <w:tc>
          <w:tcPr>
            <w:tcW w:w="1566" w:type="dxa"/>
            <w:tcBorders>
              <w:tl2br w:val="nil"/>
              <w:tr2bl w:val="nil"/>
            </w:tcBorders>
            <w:vAlign w:val="center"/>
          </w:tcPr>
          <w:p w14:paraId="51A7CA28">
            <w:pPr>
              <w:pStyle w:val="41"/>
              <w:rPr>
                <w:color w:val="auto"/>
                <w:highlight w:val="none"/>
              </w:rPr>
            </w:pPr>
            <w:r>
              <w:rPr>
                <w:rFonts w:hint="eastAsia"/>
                <w:color w:val="auto"/>
                <w:highlight w:val="none"/>
              </w:rPr>
              <w:t>金红石中的钛</w:t>
            </w:r>
          </w:p>
        </w:tc>
        <w:tc>
          <w:tcPr>
            <w:tcW w:w="1717" w:type="dxa"/>
            <w:tcBorders>
              <w:tl2br w:val="nil"/>
              <w:tr2bl w:val="nil"/>
            </w:tcBorders>
            <w:vAlign w:val="center"/>
          </w:tcPr>
          <w:p w14:paraId="2D033221">
            <w:pPr>
              <w:pStyle w:val="41"/>
              <w:rPr>
                <w:color w:val="auto"/>
                <w:highlight w:val="none"/>
              </w:rPr>
            </w:pPr>
            <w:r>
              <w:rPr>
                <w:rFonts w:hint="eastAsia"/>
                <w:color w:val="auto"/>
                <w:highlight w:val="none"/>
              </w:rPr>
              <w:t>钛磁铁矿中的钛</w:t>
            </w:r>
          </w:p>
        </w:tc>
        <w:tc>
          <w:tcPr>
            <w:tcW w:w="1550" w:type="dxa"/>
            <w:tcBorders>
              <w:tl2br w:val="nil"/>
              <w:tr2bl w:val="nil"/>
            </w:tcBorders>
            <w:vAlign w:val="center"/>
          </w:tcPr>
          <w:p w14:paraId="6EA6EE68">
            <w:pPr>
              <w:pStyle w:val="41"/>
              <w:rPr>
                <w:color w:val="auto"/>
                <w:highlight w:val="none"/>
              </w:rPr>
            </w:pPr>
            <w:r>
              <w:rPr>
                <w:rFonts w:hint="eastAsia"/>
                <w:color w:val="auto"/>
                <w:highlight w:val="none"/>
              </w:rPr>
              <w:t>钛铁矿中的钛</w:t>
            </w:r>
          </w:p>
        </w:tc>
        <w:tc>
          <w:tcPr>
            <w:tcW w:w="1700" w:type="dxa"/>
            <w:tcBorders>
              <w:tl2br w:val="nil"/>
              <w:tr2bl w:val="nil"/>
            </w:tcBorders>
            <w:vAlign w:val="center"/>
          </w:tcPr>
          <w:p w14:paraId="1515047E">
            <w:pPr>
              <w:pStyle w:val="41"/>
              <w:rPr>
                <w:color w:val="auto"/>
                <w:highlight w:val="none"/>
              </w:rPr>
            </w:pPr>
            <w:r>
              <w:rPr>
                <w:rFonts w:hint="eastAsia"/>
                <w:color w:val="auto"/>
                <w:highlight w:val="none"/>
              </w:rPr>
              <w:t>榍石硅酸盐中钛</w:t>
            </w:r>
          </w:p>
        </w:tc>
        <w:tc>
          <w:tcPr>
            <w:tcW w:w="729" w:type="dxa"/>
            <w:tcBorders>
              <w:tl2br w:val="nil"/>
              <w:tr2bl w:val="nil"/>
            </w:tcBorders>
            <w:vAlign w:val="center"/>
          </w:tcPr>
          <w:p w14:paraId="625A2139">
            <w:pPr>
              <w:pStyle w:val="41"/>
              <w:rPr>
                <w:color w:val="auto"/>
                <w:highlight w:val="none"/>
              </w:rPr>
            </w:pPr>
            <w:r>
              <w:rPr>
                <w:rFonts w:hint="eastAsia"/>
                <w:color w:val="auto"/>
                <w:highlight w:val="none"/>
              </w:rPr>
              <w:t>合计</w:t>
            </w:r>
          </w:p>
        </w:tc>
      </w:tr>
      <w:tr w14:paraId="2BD7D4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60" w:type="dxa"/>
            <w:tcBorders>
              <w:tl2br w:val="nil"/>
              <w:tr2bl w:val="nil"/>
            </w:tcBorders>
            <w:vAlign w:val="center"/>
          </w:tcPr>
          <w:p w14:paraId="061E6D24">
            <w:pPr>
              <w:pStyle w:val="41"/>
              <w:rPr>
                <w:color w:val="auto"/>
                <w:highlight w:val="none"/>
              </w:rPr>
            </w:pPr>
            <w:bookmarkStart w:id="256" w:name="OLE_LINK12" w:colFirst="1" w:colLast="5"/>
            <w:r>
              <w:rPr>
                <w:rFonts w:hint="eastAsia"/>
                <w:color w:val="auto"/>
                <w:highlight w:val="none"/>
              </w:rPr>
              <w:t>含量（%）</w:t>
            </w:r>
          </w:p>
        </w:tc>
        <w:tc>
          <w:tcPr>
            <w:tcW w:w="1566" w:type="dxa"/>
            <w:tcBorders>
              <w:tl2br w:val="nil"/>
              <w:tr2bl w:val="nil"/>
            </w:tcBorders>
            <w:vAlign w:val="center"/>
          </w:tcPr>
          <w:p w14:paraId="584DAABC">
            <w:pPr>
              <w:pStyle w:val="41"/>
              <w:rPr>
                <w:color w:val="auto"/>
                <w:highlight w:val="none"/>
              </w:rPr>
            </w:pPr>
            <w:r>
              <w:rPr>
                <w:rFonts w:hint="eastAsia"/>
                <w:color w:val="auto"/>
                <w:highlight w:val="none"/>
              </w:rPr>
              <w:t>0.049</w:t>
            </w:r>
          </w:p>
        </w:tc>
        <w:tc>
          <w:tcPr>
            <w:tcW w:w="1717" w:type="dxa"/>
            <w:tcBorders>
              <w:tl2br w:val="nil"/>
              <w:tr2bl w:val="nil"/>
            </w:tcBorders>
            <w:vAlign w:val="center"/>
          </w:tcPr>
          <w:p w14:paraId="369BD207">
            <w:pPr>
              <w:pStyle w:val="41"/>
              <w:rPr>
                <w:color w:val="auto"/>
                <w:highlight w:val="none"/>
              </w:rPr>
            </w:pPr>
            <w:r>
              <w:rPr>
                <w:rFonts w:hint="eastAsia"/>
                <w:color w:val="auto"/>
                <w:highlight w:val="none"/>
              </w:rPr>
              <w:t>0.17</w:t>
            </w:r>
          </w:p>
        </w:tc>
        <w:tc>
          <w:tcPr>
            <w:tcW w:w="1550" w:type="dxa"/>
            <w:tcBorders>
              <w:tl2br w:val="nil"/>
              <w:tr2bl w:val="nil"/>
            </w:tcBorders>
            <w:vAlign w:val="center"/>
          </w:tcPr>
          <w:p w14:paraId="12D52752">
            <w:pPr>
              <w:pStyle w:val="41"/>
              <w:rPr>
                <w:color w:val="auto"/>
                <w:highlight w:val="none"/>
              </w:rPr>
            </w:pPr>
            <w:r>
              <w:rPr>
                <w:rFonts w:hint="eastAsia"/>
                <w:color w:val="auto"/>
                <w:highlight w:val="none"/>
              </w:rPr>
              <w:t>1.47</w:t>
            </w:r>
          </w:p>
        </w:tc>
        <w:tc>
          <w:tcPr>
            <w:tcW w:w="1700" w:type="dxa"/>
            <w:tcBorders>
              <w:tl2br w:val="nil"/>
              <w:tr2bl w:val="nil"/>
            </w:tcBorders>
            <w:vAlign w:val="center"/>
          </w:tcPr>
          <w:p w14:paraId="165220ED">
            <w:pPr>
              <w:pStyle w:val="41"/>
              <w:rPr>
                <w:color w:val="auto"/>
                <w:highlight w:val="none"/>
              </w:rPr>
            </w:pPr>
            <w:r>
              <w:rPr>
                <w:rFonts w:hint="eastAsia"/>
                <w:color w:val="auto"/>
                <w:highlight w:val="none"/>
              </w:rPr>
              <w:t>0.85</w:t>
            </w:r>
          </w:p>
        </w:tc>
        <w:tc>
          <w:tcPr>
            <w:tcW w:w="729" w:type="dxa"/>
            <w:tcBorders>
              <w:tl2br w:val="nil"/>
              <w:tr2bl w:val="nil"/>
            </w:tcBorders>
            <w:vAlign w:val="center"/>
          </w:tcPr>
          <w:p w14:paraId="67C5D70C">
            <w:pPr>
              <w:pStyle w:val="41"/>
              <w:rPr>
                <w:color w:val="auto"/>
                <w:highlight w:val="none"/>
              </w:rPr>
            </w:pPr>
            <w:r>
              <w:rPr>
                <w:rFonts w:hint="eastAsia"/>
                <w:color w:val="auto"/>
                <w:highlight w:val="none"/>
              </w:rPr>
              <w:t>2.539</w:t>
            </w:r>
          </w:p>
        </w:tc>
      </w:tr>
      <w:tr w14:paraId="33EC17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60" w:type="dxa"/>
            <w:tcBorders>
              <w:tl2br w:val="nil"/>
              <w:tr2bl w:val="nil"/>
            </w:tcBorders>
            <w:vAlign w:val="center"/>
          </w:tcPr>
          <w:p w14:paraId="1212710F">
            <w:pPr>
              <w:pStyle w:val="41"/>
              <w:rPr>
                <w:color w:val="auto"/>
                <w:highlight w:val="none"/>
              </w:rPr>
            </w:pPr>
            <w:r>
              <w:rPr>
                <w:rFonts w:hint="eastAsia"/>
                <w:color w:val="auto"/>
                <w:highlight w:val="none"/>
              </w:rPr>
              <w:t>分布率（%）</w:t>
            </w:r>
          </w:p>
        </w:tc>
        <w:tc>
          <w:tcPr>
            <w:tcW w:w="1566" w:type="dxa"/>
            <w:tcBorders>
              <w:tl2br w:val="nil"/>
              <w:tr2bl w:val="nil"/>
            </w:tcBorders>
            <w:vAlign w:val="center"/>
          </w:tcPr>
          <w:p w14:paraId="6888180D">
            <w:pPr>
              <w:pStyle w:val="41"/>
              <w:rPr>
                <w:color w:val="auto"/>
                <w:highlight w:val="none"/>
              </w:rPr>
            </w:pPr>
            <w:r>
              <w:rPr>
                <w:rFonts w:hint="eastAsia"/>
                <w:color w:val="auto"/>
                <w:highlight w:val="none"/>
              </w:rPr>
              <w:t>1.93</w:t>
            </w:r>
          </w:p>
        </w:tc>
        <w:tc>
          <w:tcPr>
            <w:tcW w:w="1717" w:type="dxa"/>
            <w:tcBorders>
              <w:tl2br w:val="nil"/>
              <w:tr2bl w:val="nil"/>
            </w:tcBorders>
            <w:vAlign w:val="center"/>
          </w:tcPr>
          <w:p w14:paraId="480F8F20">
            <w:pPr>
              <w:pStyle w:val="41"/>
              <w:rPr>
                <w:color w:val="auto"/>
                <w:highlight w:val="none"/>
              </w:rPr>
            </w:pPr>
            <w:r>
              <w:rPr>
                <w:rFonts w:hint="eastAsia"/>
                <w:color w:val="auto"/>
                <w:highlight w:val="none"/>
              </w:rPr>
              <w:t>6.70</w:t>
            </w:r>
          </w:p>
        </w:tc>
        <w:tc>
          <w:tcPr>
            <w:tcW w:w="1550" w:type="dxa"/>
            <w:tcBorders>
              <w:tl2br w:val="nil"/>
              <w:tr2bl w:val="nil"/>
            </w:tcBorders>
            <w:vAlign w:val="center"/>
          </w:tcPr>
          <w:p w14:paraId="17F2A7C1">
            <w:pPr>
              <w:pStyle w:val="41"/>
              <w:rPr>
                <w:color w:val="auto"/>
                <w:highlight w:val="none"/>
              </w:rPr>
            </w:pPr>
            <w:r>
              <w:rPr>
                <w:rFonts w:hint="eastAsia"/>
                <w:color w:val="auto"/>
                <w:highlight w:val="none"/>
              </w:rPr>
              <w:t>57.90</w:t>
            </w:r>
          </w:p>
        </w:tc>
        <w:tc>
          <w:tcPr>
            <w:tcW w:w="1700" w:type="dxa"/>
            <w:tcBorders>
              <w:tl2br w:val="nil"/>
              <w:tr2bl w:val="nil"/>
            </w:tcBorders>
            <w:vAlign w:val="center"/>
          </w:tcPr>
          <w:p w14:paraId="531A4485">
            <w:pPr>
              <w:pStyle w:val="41"/>
              <w:rPr>
                <w:color w:val="auto"/>
                <w:highlight w:val="none"/>
              </w:rPr>
            </w:pPr>
            <w:r>
              <w:rPr>
                <w:rFonts w:hint="eastAsia"/>
                <w:color w:val="auto"/>
                <w:highlight w:val="none"/>
              </w:rPr>
              <w:t>33.48</w:t>
            </w:r>
          </w:p>
        </w:tc>
        <w:tc>
          <w:tcPr>
            <w:tcW w:w="729" w:type="dxa"/>
            <w:tcBorders>
              <w:tl2br w:val="nil"/>
              <w:tr2bl w:val="nil"/>
            </w:tcBorders>
            <w:vAlign w:val="center"/>
          </w:tcPr>
          <w:p w14:paraId="31C37F01">
            <w:pPr>
              <w:pStyle w:val="41"/>
              <w:rPr>
                <w:color w:val="auto"/>
                <w:highlight w:val="none"/>
              </w:rPr>
            </w:pPr>
            <w:r>
              <w:rPr>
                <w:rFonts w:hint="eastAsia"/>
                <w:color w:val="auto"/>
                <w:highlight w:val="none"/>
              </w:rPr>
              <w:t>100</w:t>
            </w:r>
          </w:p>
        </w:tc>
      </w:tr>
      <w:bookmarkEnd w:id="256"/>
    </w:tbl>
    <w:p w14:paraId="03464821">
      <w:pPr>
        <w:pStyle w:val="40"/>
        <w:spacing w:before="31" w:after="31"/>
        <w:rPr>
          <w:color w:val="auto"/>
          <w:highlight w:val="none"/>
        </w:rPr>
      </w:pPr>
      <w:r>
        <w:rPr>
          <w:rFonts w:hint="eastAsia"/>
          <w:color w:val="auto"/>
          <w:highlight w:val="none"/>
        </w:rPr>
        <w:t xml:space="preserve">表3.2-5 </w:t>
      </w:r>
      <w:r>
        <w:rPr>
          <w:rFonts w:hint="eastAsia"/>
          <w:color w:val="auto"/>
          <w:highlight w:val="none"/>
          <w:lang w:val="en-US" w:eastAsia="zh-CN"/>
        </w:rPr>
        <w:t xml:space="preserve">   </w:t>
      </w:r>
      <w:r>
        <w:rPr>
          <w:rFonts w:hint="eastAsia"/>
          <w:color w:val="auto"/>
          <w:highlight w:val="none"/>
        </w:rPr>
        <w:t>原矿铁物相分析结果</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93"/>
        <w:gridCol w:w="1533"/>
        <w:gridCol w:w="1717"/>
        <w:gridCol w:w="1567"/>
        <w:gridCol w:w="1683"/>
        <w:gridCol w:w="729"/>
      </w:tblGrid>
      <w:tr w14:paraId="2D8454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tcBorders>
              <w:tl2br w:val="nil"/>
              <w:tr2bl w:val="nil"/>
            </w:tcBorders>
            <w:vAlign w:val="center"/>
          </w:tcPr>
          <w:p w14:paraId="3A49D016">
            <w:pPr>
              <w:pStyle w:val="41"/>
              <w:rPr>
                <w:color w:val="auto"/>
                <w:highlight w:val="none"/>
              </w:rPr>
            </w:pPr>
            <w:r>
              <w:rPr>
                <w:rFonts w:hint="eastAsia"/>
                <w:color w:val="auto"/>
                <w:highlight w:val="none"/>
              </w:rPr>
              <w:t>项目</w:t>
            </w:r>
          </w:p>
        </w:tc>
        <w:tc>
          <w:tcPr>
            <w:tcW w:w="1533" w:type="dxa"/>
            <w:tcBorders>
              <w:tl2br w:val="nil"/>
              <w:tr2bl w:val="nil"/>
            </w:tcBorders>
            <w:vAlign w:val="center"/>
          </w:tcPr>
          <w:p w14:paraId="3CC0BB61">
            <w:pPr>
              <w:pStyle w:val="41"/>
              <w:rPr>
                <w:color w:val="auto"/>
                <w:highlight w:val="none"/>
              </w:rPr>
            </w:pPr>
            <w:r>
              <w:rPr>
                <w:rFonts w:hint="eastAsia"/>
                <w:color w:val="auto"/>
                <w:highlight w:val="none"/>
              </w:rPr>
              <w:t>硫化物及碳酸盐中铁</w:t>
            </w:r>
          </w:p>
        </w:tc>
        <w:tc>
          <w:tcPr>
            <w:tcW w:w="1717" w:type="dxa"/>
            <w:tcBorders>
              <w:tl2br w:val="nil"/>
              <w:tr2bl w:val="nil"/>
            </w:tcBorders>
            <w:vAlign w:val="center"/>
          </w:tcPr>
          <w:p w14:paraId="48E14B7C">
            <w:pPr>
              <w:pStyle w:val="41"/>
              <w:rPr>
                <w:color w:val="auto"/>
                <w:highlight w:val="none"/>
              </w:rPr>
            </w:pPr>
            <w:r>
              <w:rPr>
                <w:rFonts w:hint="eastAsia"/>
                <w:color w:val="auto"/>
                <w:highlight w:val="none"/>
              </w:rPr>
              <w:t>磁铁矿、赤铁矿、褐铁矿中铁</w:t>
            </w:r>
          </w:p>
        </w:tc>
        <w:tc>
          <w:tcPr>
            <w:tcW w:w="1567" w:type="dxa"/>
            <w:tcBorders>
              <w:tl2br w:val="nil"/>
              <w:tr2bl w:val="nil"/>
            </w:tcBorders>
            <w:vAlign w:val="center"/>
          </w:tcPr>
          <w:p w14:paraId="0619A652">
            <w:pPr>
              <w:pStyle w:val="41"/>
              <w:rPr>
                <w:color w:val="auto"/>
                <w:highlight w:val="none"/>
              </w:rPr>
            </w:pPr>
            <w:r>
              <w:rPr>
                <w:rFonts w:hint="eastAsia"/>
                <w:color w:val="auto"/>
                <w:highlight w:val="none"/>
              </w:rPr>
              <w:t>钛铁矿中铁</w:t>
            </w:r>
          </w:p>
        </w:tc>
        <w:tc>
          <w:tcPr>
            <w:tcW w:w="1683" w:type="dxa"/>
            <w:tcBorders>
              <w:tl2br w:val="nil"/>
              <w:tr2bl w:val="nil"/>
            </w:tcBorders>
            <w:vAlign w:val="center"/>
          </w:tcPr>
          <w:p w14:paraId="210E5C33">
            <w:pPr>
              <w:pStyle w:val="41"/>
              <w:rPr>
                <w:color w:val="auto"/>
                <w:highlight w:val="none"/>
              </w:rPr>
            </w:pPr>
            <w:r>
              <w:rPr>
                <w:rFonts w:hint="eastAsia"/>
                <w:color w:val="auto"/>
                <w:highlight w:val="none"/>
              </w:rPr>
              <w:t>硅酸盐中铁</w:t>
            </w:r>
          </w:p>
        </w:tc>
        <w:tc>
          <w:tcPr>
            <w:tcW w:w="729" w:type="dxa"/>
            <w:tcBorders>
              <w:tl2br w:val="nil"/>
              <w:tr2bl w:val="nil"/>
            </w:tcBorders>
            <w:vAlign w:val="center"/>
          </w:tcPr>
          <w:p w14:paraId="3EF3E426">
            <w:pPr>
              <w:pStyle w:val="41"/>
              <w:rPr>
                <w:color w:val="auto"/>
                <w:highlight w:val="none"/>
              </w:rPr>
            </w:pPr>
            <w:r>
              <w:rPr>
                <w:rFonts w:hint="eastAsia"/>
                <w:color w:val="auto"/>
                <w:highlight w:val="none"/>
              </w:rPr>
              <w:t>合计</w:t>
            </w:r>
          </w:p>
        </w:tc>
      </w:tr>
      <w:tr w14:paraId="49C5B8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tcBorders>
              <w:tl2br w:val="nil"/>
              <w:tr2bl w:val="nil"/>
            </w:tcBorders>
            <w:vAlign w:val="center"/>
          </w:tcPr>
          <w:p w14:paraId="48ACA1C1">
            <w:pPr>
              <w:pStyle w:val="41"/>
              <w:rPr>
                <w:color w:val="auto"/>
                <w:highlight w:val="none"/>
              </w:rPr>
            </w:pPr>
            <w:r>
              <w:rPr>
                <w:rFonts w:hint="eastAsia"/>
                <w:color w:val="auto"/>
                <w:highlight w:val="none"/>
              </w:rPr>
              <w:t>含量（%）</w:t>
            </w:r>
          </w:p>
        </w:tc>
        <w:tc>
          <w:tcPr>
            <w:tcW w:w="1533" w:type="dxa"/>
            <w:tcBorders>
              <w:tl2br w:val="nil"/>
              <w:tr2bl w:val="nil"/>
            </w:tcBorders>
            <w:vAlign w:val="center"/>
          </w:tcPr>
          <w:p w14:paraId="21C63E9C">
            <w:pPr>
              <w:pStyle w:val="41"/>
              <w:rPr>
                <w:color w:val="auto"/>
                <w:highlight w:val="none"/>
              </w:rPr>
            </w:pPr>
            <w:r>
              <w:rPr>
                <w:rFonts w:hint="eastAsia"/>
                <w:color w:val="auto"/>
                <w:highlight w:val="none"/>
              </w:rPr>
              <w:t>0.53</w:t>
            </w:r>
          </w:p>
        </w:tc>
        <w:tc>
          <w:tcPr>
            <w:tcW w:w="1717" w:type="dxa"/>
            <w:tcBorders>
              <w:tl2br w:val="nil"/>
              <w:tr2bl w:val="nil"/>
            </w:tcBorders>
            <w:vAlign w:val="center"/>
          </w:tcPr>
          <w:p w14:paraId="4D5CA3D0">
            <w:pPr>
              <w:pStyle w:val="41"/>
              <w:rPr>
                <w:color w:val="auto"/>
                <w:highlight w:val="none"/>
              </w:rPr>
            </w:pPr>
            <w:r>
              <w:rPr>
                <w:rFonts w:hint="eastAsia"/>
                <w:color w:val="auto"/>
                <w:highlight w:val="none"/>
              </w:rPr>
              <w:t>3.05</w:t>
            </w:r>
          </w:p>
        </w:tc>
        <w:tc>
          <w:tcPr>
            <w:tcW w:w="1567" w:type="dxa"/>
            <w:tcBorders>
              <w:tl2br w:val="nil"/>
              <w:tr2bl w:val="nil"/>
            </w:tcBorders>
            <w:vAlign w:val="center"/>
          </w:tcPr>
          <w:p w14:paraId="760544CA">
            <w:pPr>
              <w:pStyle w:val="41"/>
              <w:rPr>
                <w:color w:val="auto"/>
                <w:highlight w:val="none"/>
              </w:rPr>
            </w:pPr>
            <w:r>
              <w:rPr>
                <w:rFonts w:hint="eastAsia"/>
                <w:color w:val="auto"/>
                <w:highlight w:val="none"/>
              </w:rPr>
              <w:t>1.05</w:t>
            </w:r>
          </w:p>
        </w:tc>
        <w:tc>
          <w:tcPr>
            <w:tcW w:w="1683" w:type="dxa"/>
            <w:tcBorders>
              <w:tl2br w:val="nil"/>
              <w:tr2bl w:val="nil"/>
            </w:tcBorders>
            <w:vAlign w:val="center"/>
          </w:tcPr>
          <w:p w14:paraId="432CFE9B">
            <w:pPr>
              <w:pStyle w:val="41"/>
              <w:rPr>
                <w:color w:val="auto"/>
                <w:highlight w:val="none"/>
              </w:rPr>
            </w:pPr>
            <w:r>
              <w:rPr>
                <w:rFonts w:hint="eastAsia"/>
                <w:color w:val="auto"/>
                <w:highlight w:val="none"/>
              </w:rPr>
              <w:t>5.01</w:t>
            </w:r>
          </w:p>
        </w:tc>
        <w:tc>
          <w:tcPr>
            <w:tcW w:w="729" w:type="dxa"/>
            <w:tcBorders>
              <w:tl2br w:val="nil"/>
              <w:tr2bl w:val="nil"/>
            </w:tcBorders>
            <w:vAlign w:val="center"/>
          </w:tcPr>
          <w:p w14:paraId="303058A6">
            <w:pPr>
              <w:pStyle w:val="41"/>
              <w:rPr>
                <w:color w:val="auto"/>
                <w:highlight w:val="none"/>
              </w:rPr>
            </w:pPr>
            <w:r>
              <w:rPr>
                <w:rFonts w:hint="eastAsia"/>
                <w:color w:val="auto"/>
                <w:highlight w:val="none"/>
              </w:rPr>
              <w:t>9.64</w:t>
            </w:r>
          </w:p>
        </w:tc>
      </w:tr>
      <w:tr w14:paraId="127792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tcBorders>
              <w:tl2br w:val="nil"/>
              <w:tr2bl w:val="nil"/>
            </w:tcBorders>
            <w:vAlign w:val="center"/>
          </w:tcPr>
          <w:p w14:paraId="41331CE6">
            <w:pPr>
              <w:pStyle w:val="41"/>
              <w:rPr>
                <w:color w:val="auto"/>
                <w:highlight w:val="none"/>
              </w:rPr>
            </w:pPr>
            <w:r>
              <w:rPr>
                <w:rFonts w:hint="eastAsia"/>
                <w:color w:val="auto"/>
                <w:highlight w:val="none"/>
              </w:rPr>
              <w:t>分布率（%）</w:t>
            </w:r>
          </w:p>
        </w:tc>
        <w:tc>
          <w:tcPr>
            <w:tcW w:w="1533" w:type="dxa"/>
            <w:tcBorders>
              <w:tl2br w:val="nil"/>
              <w:tr2bl w:val="nil"/>
            </w:tcBorders>
            <w:vAlign w:val="center"/>
          </w:tcPr>
          <w:p w14:paraId="60E86A49">
            <w:pPr>
              <w:pStyle w:val="41"/>
              <w:rPr>
                <w:color w:val="auto"/>
                <w:highlight w:val="none"/>
              </w:rPr>
            </w:pPr>
            <w:r>
              <w:rPr>
                <w:rFonts w:hint="eastAsia"/>
                <w:color w:val="auto"/>
                <w:highlight w:val="none"/>
              </w:rPr>
              <w:t>5.50</w:t>
            </w:r>
          </w:p>
        </w:tc>
        <w:tc>
          <w:tcPr>
            <w:tcW w:w="1717" w:type="dxa"/>
            <w:tcBorders>
              <w:tl2br w:val="nil"/>
              <w:tr2bl w:val="nil"/>
            </w:tcBorders>
            <w:vAlign w:val="center"/>
          </w:tcPr>
          <w:p w14:paraId="4F425E57">
            <w:pPr>
              <w:pStyle w:val="41"/>
              <w:rPr>
                <w:color w:val="auto"/>
                <w:highlight w:val="none"/>
              </w:rPr>
            </w:pPr>
            <w:r>
              <w:rPr>
                <w:rFonts w:hint="eastAsia"/>
                <w:color w:val="auto"/>
                <w:highlight w:val="none"/>
              </w:rPr>
              <w:t>31.64</w:t>
            </w:r>
          </w:p>
        </w:tc>
        <w:tc>
          <w:tcPr>
            <w:tcW w:w="1567" w:type="dxa"/>
            <w:tcBorders>
              <w:tl2br w:val="nil"/>
              <w:tr2bl w:val="nil"/>
            </w:tcBorders>
            <w:vAlign w:val="center"/>
          </w:tcPr>
          <w:p w14:paraId="402A180E">
            <w:pPr>
              <w:pStyle w:val="41"/>
              <w:rPr>
                <w:color w:val="auto"/>
                <w:highlight w:val="none"/>
              </w:rPr>
            </w:pPr>
            <w:r>
              <w:rPr>
                <w:rFonts w:hint="eastAsia"/>
                <w:color w:val="auto"/>
                <w:highlight w:val="none"/>
              </w:rPr>
              <w:t>10.89</w:t>
            </w:r>
          </w:p>
        </w:tc>
        <w:tc>
          <w:tcPr>
            <w:tcW w:w="1683" w:type="dxa"/>
            <w:tcBorders>
              <w:tl2br w:val="nil"/>
              <w:tr2bl w:val="nil"/>
            </w:tcBorders>
            <w:vAlign w:val="center"/>
          </w:tcPr>
          <w:p w14:paraId="29E9B2DE">
            <w:pPr>
              <w:pStyle w:val="41"/>
              <w:rPr>
                <w:color w:val="auto"/>
                <w:highlight w:val="none"/>
              </w:rPr>
            </w:pPr>
            <w:r>
              <w:rPr>
                <w:rFonts w:hint="eastAsia"/>
                <w:color w:val="auto"/>
                <w:highlight w:val="none"/>
              </w:rPr>
              <w:t>51.97</w:t>
            </w:r>
          </w:p>
        </w:tc>
        <w:tc>
          <w:tcPr>
            <w:tcW w:w="729" w:type="dxa"/>
            <w:tcBorders>
              <w:tl2br w:val="nil"/>
              <w:tr2bl w:val="nil"/>
            </w:tcBorders>
            <w:vAlign w:val="center"/>
          </w:tcPr>
          <w:p w14:paraId="057FCA11">
            <w:pPr>
              <w:pStyle w:val="41"/>
              <w:rPr>
                <w:color w:val="auto"/>
                <w:highlight w:val="none"/>
              </w:rPr>
            </w:pPr>
            <w:r>
              <w:rPr>
                <w:rFonts w:hint="eastAsia"/>
                <w:color w:val="auto"/>
                <w:highlight w:val="none"/>
              </w:rPr>
              <w:t>100</w:t>
            </w:r>
          </w:p>
        </w:tc>
      </w:tr>
    </w:tbl>
    <w:p w14:paraId="1036EFBA">
      <w:pPr>
        <w:pStyle w:val="43"/>
        <w:rPr>
          <w:color w:val="auto"/>
          <w:highlight w:val="none"/>
        </w:rPr>
      </w:pPr>
      <w:r>
        <w:rPr>
          <w:rFonts w:hint="eastAsia"/>
          <w:color w:val="auto"/>
          <w:highlight w:val="none"/>
        </w:rPr>
        <w:t>原矿粒度组成分析</w:t>
      </w:r>
    </w:p>
    <w:p w14:paraId="2697624D">
      <w:pPr>
        <w:pStyle w:val="40"/>
        <w:spacing w:before="31" w:after="31"/>
        <w:rPr>
          <w:color w:val="auto"/>
          <w:highlight w:val="none"/>
        </w:rPr>
      </w:pPr>
      <w:r>
        <w:rPr>
          <w:rFonts w:hint="eastAsia"/>
          <w:color w:val="auto"/>
          <w:highlight w:val="none"/>
        </w:rPr>
        <w:t xml:space="preserve">表3.2-6 </w:t>
      </w:r>
      <w:r>
        <w:rPr>
          <w:rFonts w:hint="eastAsia"/>
          <w:color w:val="auto"/>
          <w:highlight w:val="none"/>
          <w:lang w:val="en-US" w:eastAsia="zh-CN"/>
        </w:rPr>
        <w:t xml:space="preserve">   </w:t>
      </w:r>
      <w:r>
        <w:rPr>
          <w:rFonts w:hint="eastAsia"/>
          <w:color w:val="auto"/>
          <w:highlight w:val="none"/>
        </w:rPr>
        <w:t>原矿筛析结果（-2mm）</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43"/>
        <w:gridCol w:w="1352"/>
        <w:gridCol w:w="1357"/>
        <w:gridCol w:w="1358"/>
        <w:gridCol w:w="1358"/>
        <w:gridCol w:w="1354"/>
      </w:tblGrid>
      <w:tr w14:paraId="0AA52C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743" w:type="dxa"/>
            <w:vMerge w:val="restart"/>
            <w:tcBorders>
              <w:tl2br w:val="nil"/>
              <w:tr2bl w:val="nil"/>
            </w:tcBorders>
            <w:vAlign w:val="center"/>
          </w:tcPr>
          <w:p w14:paraId="18A2F280">
            <w:pPr>
              <w:pStyle w:val="41"/>
              <w:rPr>
                <w:color w:val="auto"/>
                <w:highlight w:val="none"/>
              </w:rPr>
            </w:pPr>
            <w:r>
              <w:rPr>
                <w:rFonts w:hint="eastAsia"/>
                <w:color w:val="auto"/>
                <w:highlight w:val="none"/>
              </w:rPr>
              <w:t>粒级（mm）</w:t>
            </w:r>
          </w:p>
        </w:tc>
        <w:tc>
          <w:tcPr>
            <w:tcW w:w="1352" w:type="dxa"/>
            <w:vMerge w:val="restart"/>
            <w:tcBorders>
              <w:tl2br w:val="nil"/>
              <w:tr2bl w:val="nil"/>
            </w:tcBorders>
            <w:vAlign w:val="center"/>
          </w:tcPr>
          <w:p w14:paraId="3E3DD9C3">
            <w:pPr>
              <w:pStyle w:val="41"/>
              <w:rPr>
                <w:color w:val="auto"/>
                <w:highlight w:val="none"/>
              </w:rPr>
            </w:pPr>
            <w:r>
              <w:rPr>
                <w:rFonts w:hint="eastAsia"/>
                <w:color w:val="auto"/>
                <w:highlight w:val="none"/>
              </w:rPr>
              <w:t>产率（%）</w:t>
            </w:r>
          </w:p>
        </w:tc>
        <w:tc>
          <w:tcPr>
            <w:tcW w:w="2715" w:type="dxa"/>
            <w:gridSpan w:val="2"/>
            <w:tcBorders>
              <w:tl2br w:val="nil"/>
              <w:tr2bl w:val="nil"/>
            </w:tcBorders>
            <w:vAlign w:val="center"/>
          </w:tcPr>
          <w:p w14:paraId="65D7EFB2">
            <w:pPr>
              <w:pStyle w:val="41"/>
              <w:rPr>
                <w:color w:val="auto"/>
                <w:highlight w:val="none"/>
              </w:rPr>
            </w:pPr>
            <w:r>
              <w:rPr>
                <w:rFonts w:hint="eastAsia"/>
                <w:color w:val="auto"/>
                <w:highlight w:val="none"/>
              </w:rPr>
              <w:t>品位（%）</w:t>
            </w:r>
          </w:p>
        </w:tc>
        <w:tc>
          <w:tcPr>
            <w:tcW w:w="2712" w:type="dxa"/>
            <w:gridSpan w:val="2"/>
            <w:tcBorders>
              <w:tl2br w:val="nil"/>
              <w:tr2bl w:val="nil"/>
            </w:tcBorders>
            <w:vAlign w:val="center"/>
          </w:tcPr>
          <w:p w14:paraId="2813620C">
            <w:pPr>
              <w:pStyle w:val="41"/>
              <w:rPr>
                <w:color w:val="auto"/>
                <w:highlight w:val="none"/>
              </w:rPr>
            </w:pPr>
            <w:r>
              <w:rPr>
                <w:rFonts w:hint="eastAsia"/>
                <w:color w:val="auto"/>
                <w:highlight w:val="none"/>
              </w:rPr>
              <w:t>分布率（%）</w:t>
            </w:r>
          </w:p>
        </w:tc>
      </w:tr>
      <w:tr w14:paraId="1933F5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743" w:type="dxa"/>
            <w:vMerge w:val="continue"/>
            <w:tcBorders>
              <w:tl2br w:val="nil"/>
              <w:tr2bl w:val="nil"/>
            </w:tcBorders>
            <w:vAlign w:val="center"/>
          </w:tcPr>
          <w:p w14:paraId="7DB437B1">
            <w:pPr>
              <w:pStyle w:val="41"/>
              <w:rPr>
                <w:color w:val="auto"/>
                <w:highlight w:val="none"/>
              </w:rPr>
            </w:pPr>
          </w:p>
        </w:tc>
        <w:tc>
          <w:tcPr>
            <w:tcW w:w="1352" w:type="dxa"/>
            <w:vMerge w:val="continue"/>
            <w:tcBorders>
              <w:tl2br w:val="nil"/>
              <w:tr2bl w:val="nil"/>
            </w:tcBorders>
            <w:vAlign w:val="center"/>
          </w:tcPr>
          <w:p w14:paraId="05C97A3D">
            <w:pPr>
              <w:pStyle w:val="41"/>
              <w:rPr>
                <w:color w:val="auto"/>
                <w:highlight w:val="none"/>
              </w:rPr>
            </w:pPr>
          </w:p>
        </w:tc>
        <w:tc>
          <w:tcPr>
            <w:tcW w:w="1357" w:type="dxa"/>
            <w:tcBorders>
              <w:tl2br w:val="nil"/>
              <w:tr2bl w:val="nil"/>
            </w:tcBorders>
            <w:vAlign w:val="center"/>
          </w:tcPr>
          <w:p w14:paraId="1D63303B">
            <w:pPr>
              <w:pStyle w:val="41"/>
              <w:rPr>
                <w:color w:val="auto"/>
                <w:highlight w:val="none"/>
              </w:rPr>
            </w:pPr>
            <w:r>
              <w:rPr>
                <w:rFonts w:hint="eastAsia"/>
                <w:color w:val="auto"/>
                <w:highlight w:val="none"/>
              </w:rPr>
              <w:t>TFe</w:t>
            </w:r>
          </w:p>
        </w:tc>
        <w:tc>
          <w:tcPr>
            <w:tcW w:w="1358" w:type="dxa"/>
            <w:tcBorders>
              <w:tl2br w:val="nil"/>
              <w:tr2bl w:val="nil"/>
            </w:tcBorders>
            <w:vAlign w:val="center"/>
          </w:tcPr>
          <w:p w14:paraId="013E1883">
            <w:pPr>
              <w:pStyle w:val="41"/>
              <w:rPr>
                <w:color w:val="auto"/>
                <w:highlight w:val="none"/>
              </w:rPr>
            </w:pPr>
            <w:r>
              <w:rPr>
                <w:rFonts w:hint="eastAsia"/>
                <w:color w:val="auto"/>
                <w:highlight w:val="none"/>
              </w:rPr>
              <w:t>TiO</w:t>
            </w:r>
            <w:r>
              <w:rPr>
                <w:rFonts w:hint="eastAsia"/>
                <w:color w:val="auto"/>
                <w:highlight w:val="none"/>
                <w:vertAlign w:val="subscript"/>
              </w:rPr>
              <w:t>2</w:t>
            </w:r>
          </w:p>
        </w:tc>
        <w:tc>
          <w:tcPr>
            <w:tcW w:w="1358" w:type="dxa"/>
            <w:tcBorders>
              <w:tl2br w:val="nil"/>
              <w:tr2bl w:val="nil"/>
            </w:tcBorders>
            <w:vAlign w:val="center"/>
          </w:tcPr>
          <w:p w14:paraId="463EFB3C">
            <w:pPr>
              <w:pStyle w:val="41"/>
              <w:rPr>
                <w:color w:val="auto"/>
                <w:highlight w:val="none"/>
              </w:rPr>
            </w:pPr>
            <w:r>
              <w:rPr>
                <w:rFonts w:hint="eastAsia"/>
                <w:color w:val="auto"/>
                <w:highlight w:val="none"/>
              </w:rPr>
              <w:t>TFe</w:t>
            </w:r>
          </w:p>
        </w:tc>
        <w:tc>
          <w:tcPr>
            <w:tcW w:w="1354" w:type="dxa"/>
            <w:tcBorders>
              <w:tl2br w:val="nil"/>
              <w:tr2bl w:val="nil"/>
            </w:tcBorders>
            <w:vAlign w:val="center"/>
          </w:tcPr>
          <w:p w14:paraId="7938F5A0">
            <w:pPr>
              <w:pStyle w:val="41"/>
              <w:rPr>
                <w:color w:val="auto"/>
                <w:highlight w:val="none"/>
              </w:rPr>
            </w:pPr>
            <w:r>
              <w:rPr>
                <w:rFonts w:hint="eastAsia"/>
                <w:color w:val="auto"/>
                <w:highlight w:val="none"/>
              </w:rPr>
              <w:t>TiO</w:t>
            </w:r>
            <w:r>
              <w:rPr>
                <w:rFonts w:hint="eastAsia"/>
                <w:color w:val="auto"/>
                <w:highlight w:val="none"/>
                <w:vertAlign w:val="subscript"/>
              </w:rPr>
              <w:t>2</w:t>
            </w:r>
          </w:p>
        </w:tc>
      </w:tr>
      <w:tr w14:paraId="236CBC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43" w:type="dxa"/>
            <w:tcBorders>
              <w:tl2br w:val="nil"/>
              <w:tr2bl w:val="nil"/>
            </w:tcBorders>
            <w:vAlign w:val="center"/>
          </w:tcPr>
          <w:p w14:paraId="796600E2">
            <w:pPr>
              <w:pStyle w:val="41"/>
              <w:rPr>
                <w:color w:val="auto"/>
                <w:highlight w:val="none"/>
              </w:rPr>
            </w:pPr>
            <w:bookmarkStart w:id="257" w:name="OLE_LINK13" w:colFirst="1" w:colLast="1"/>
            <w:bookmarkStart w:id="258" w:name="OLE_LINK14" w:colFirst="1" w:colLast="5"/>
            <w:r>
              <w:rPr>
                <w:rFonts w:hint="eastAsia"/>
                <w:color w:val="auto"/>
                <w:highlight w:val="none"/>
              </w:rPr>
              <w:t>﹢1</w:t>
            </w:r>
          </w:p>
        </w:tc>
        <w:tc>
          <w:tcPr>
            <w:tcW w:w="1352" w:type="dxa"/>
            <w:tcBorders>
              <w:tl2br w:val="nil"/>
              <w:tr2bl w:val="nil"/>
            </w:tcBorders>
            <w:vAlign w:val="center"/>
          </w:tcPr>
          <w:p w14:paraId="593CE007">
            <w:pPr>
              <w:pStyle w:val="41"/>
              <w:rPr>
                <w:color w:val="auto"/>
                <w:highlight w:val="none"/>
              </w:rPr>
            </w:pPr>
            <w:r>
              <w:rPr>
                <w:rFonts w:hint="eastAsia"/>
                <w:color w:val="auto"/>
                <w:highlight w:val="none"/>
              </w:rPr>
              <w:t>25.20</w:t>
            </w:r>
          </w:p>
        </w:tc>
        <w:tc>
          <w:tcPr>
            <w:tcW w:w="1357" w:type="dxa"/>
            <w:tcBorders>
              <w:tl2br w:val="nil"/>
              <w:tr2bl w:val="nil"/>
            </w:tcBorders>
            <w:vAlign w:val="center"/>
          </w:tcPr>
          <w:p w14:paraId="0F6B4530">
            <w:pPr>
              <w:pStyle w:val="41"/>
              <w:rPr>
                <w:color w:val="auto"/>
                <w:highlight w:val="none"/>
              </w:rPr>
            </w:pPr>
            <w:r>
              <w:rPr>
                <w:rFonts w:hint="eastAsia"/>
                <w:color w:val="auto"/>
                <w:highlight w:val="none"/>
              </w:rPr>
              <w:t>7.85</w:t>
            </w:r>
          </w:p>
        </w:tc>
        <w:tc>
          <w:tcPr>
            <w:tcW w:w="1358" w:type="dxa"/>
            <w:tcBorders>
              <w:tl2br w:val="nil"/>
              <w:tr2bl w:val="nil"/>
            </w:tcBorders>
            <w:vAlign w:val="center"/>
          </w:tcPr>
          <w:p w14:paraId="2149F158">
            <w:pPr>
              <w:pStyle w:val="41"/>
              <w:rPr>
                <w:color w:val="auto"/>
                <w:highlight w:val="none"/>
              </w:rPr>
            </w:pPr>
            <w:r>
              <w:rPr>
                <w:rFonts w:hint="eastAsia"/>
                <w:color w:val="auto"/>
                <w:highlight w:val="none"/>
              </w:rPr>
              <w:t>1.85</w:t>
            </w:r>
          </w:p>
        </w:tc>
        <w:tc>
          <w:tcPr>
            <w:tcW w:w="1358" w:type="dxa"/>
            <w:tcBorders>
              <w:tl2br w:val="nil"/>
              <w:tr2bl w:val="nil"/>
            </w:tcBorders>
            <w:vAlign w:val="center"/>
          </w:tcPr>
          <w:p w14:paraId="2CBC8B92">
            <w:pPr>
              <w:pStyle w:val="41"/>
              <w:rPr>
                <w:color w:val="auto"/>
                <w:highlight w:val="none"/>
              </w:rPr>
            </w:pPr>
            <w:r>
              <w:rPr>
                <w:rFonts w:hint="eastAsia"/>
                <w:color w:val="auto"/>
                <w:highlight w:val="none"/>
              </w:rPr>
              <w:t>20.61</w:t>
            </w:r>
          </w:p>
        </w:tc>
        <w:tc>
          <w:tcPr>
            <w:tcW w:w="1354" w:type="dxa"/>
            <w:tcBorders>
              <w:tl2br w:val="nil"/>
              <w:tr2bl w:val="nil"/>
            </w:tcBorders>
            <w:vAlign w:val="center"/>
          </w:tcPr>
          <w:p w14:paraId="58432845">
            <w:pPr>
              <w:pStyle w:val="41"/>
              <w:rPr>
                <w:color w:val="auto"/>
                <w:highlight w:val="none"/>
              </w:rPr>
            </w:pPr>
            <w:r>
              <w:rPr>
                <w:rFonts w:hint="eastAsia"/>
                <w:color w:val="auto"/>
                <w:highlight w:val="none"/>
              </w:rPr>
              <w:t>18.14</w:t>
            </w:r>
          </w:p>
        </w:tc>
      </w:tr>
      <w:tr w14:paraId="2A1FD0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43" w:type="dxa"/>
            <w:tcBorders>
              <w:tl2br w:val="nil"/>
              <w:tr2bl w:val="nil"/>
            </w:tcBorders>
            <w:vAlign w:val="center"/>
          </w:tcPr>
          <w:p w14:paraId="1D93E73B">
            <w:pPr>
              <w:pStyle w:val="41"/>
              <w:rPr>
                <w:color w:val="auto"/>
                <w:highlight w:val="none"/>
              </w:rPr>
            </w:pPr>
            <w:r>
              <w:rPr>
                <w:rFonts w:hint="eastAsia"/>
                <w:color w:val="auto"/>
                <w:highlight w:val="none"/>
              </w:rPr>
              <w:t>1-0.5</w:t>
            </w:r>
          </w:p>
        </w:tc>
        <w:tc>
          <w:tcPr>
            <w:tcW w:w="1352" w:type="dxa"/>
            <w:tcBorders>
              <w:tl2br w:val="nil"/>
              <w:tr2bl w:val="nil"/>
            </w:tcBorders>
            <w:vAlign w:val="center"/>
          </w:tcPr>
          <w:p w14:paraId="4E1A8558">
            <w:pPr>
              <w:pStyle w:val="41"/>
              <w:rPr>
                <w:color w:val="auto"/>
                <w:highlight w:val="none"/>
              </w:rPr>
            </w:pPr>
            <w:r>
              <w:rPr>
                <w:rFonts w:hint="eastAsia"/>
                <w:color w:val="auto"/>
                <w:highlight w:val="none"/>
              </w:rPr>
              <w:t>22.04</w:t>
            </w:r>
          </w:p>
        </w:tc>
        <w:tc>
          <w:tcPr>
            <w:tcW w:w="1357" w:type="dxa"/>
            <w:tcBorders>
              <w:tl2br w:val="nil"/>
              <w:tr2bl w:val="nil"/>
            </w:tcBorders>
            <w:vAlign w:val="center"/>
          </w:tcPr>
          <w:p w14:paraId="6A7A62AC">
            <w:pPr>
              <w:pStyle w:val="41"/>
              <w:rPr>
                <w:color w:val="auto"/>
                <w:highlight w:val="none"/>
              </w:rPr>
            </w:pPr>
            <w:r>
              <w:rPr>
                <w:rFonts w:hint="eastAsia"/>
                <w:color w:val="auto"/>
                <w:highlight w:val="none"/>
              </w:rPr>
              <w:t>9.58</w:t>
            </w:r>
          </w:p>
        </w:tc>
        <w:tc>
          <w:tcPr>
            <w:tcW w:w="1358" w:type="dxa"/>
            <w:tcBorders>
              <w:tl2br w:val="nil"/>
              <w:tr2bl w:val="nil"/>
            </w:tcBorders>
            <w:vAlign w:val="center"/>
          </w:tcPr>
          <w:p w14:paraId="74285B4A">
            <w:pPr>
              <w:pStyle w:val="41"/>
              <w:rPr>
                <w:color w:val="auto"/>
                <w:highlight w:val="none"/>
              </w:rPr>
            </w:pPr>
            <w:r>
              <w:rPr>
                <w:rFonts w:hint="eastAsia"/>
                <w:color w:val="auto"/>
                <w:highlight w:val="none"/>
              </w:rPr>
              <w:t>2.19</w:t>
            </w:r>
          </w:p>
        </w:tc>
        <w:tc>
          <w:tcPr>
            <w:tcW w:w="1358" w:type="dxa"/>
            <w:tcBorders>
              <w:tl2br w:val="nil"/>
              <w:tr2bl w:val="nil"/>
            </w:tcBorders>
            <w:vAlign w:val="center"/>
          </w:tcPr>
          <w:p w14:paraId="4B431AEC">
            <w:pPr>
              <w:pStyle w:val="41"/>
              <w:rPr>
                <w:color w:val="auto"/>
                <w:highlight w:val="none"/>
              </w:rPr>
            </w:pPr>
            <w:r>
              <w:rPr>
                <w:rFonts w:hint="eastAsia"/>
                <w:color w:val="auto"/>
                <w:highlight w:val="none"/>
              </w:rPr>
              <w:t>21.99</w:t>
            </w:r>
          </w:p>
        </w:tc>
        <w:tc>
          <w:tcPr>
            <w:tcW w:w="1354" w:type="dxa"/>
            <w:tcBorders>
              <w:tl2br w:val="nil"/>
              <w:tr2bl w:val="nil"/>
            </w:tcBorders>
            <w:vAlign w:val="center"/>
          </w:tcPr>
          <w:p w14:paraId="686C9F15">
            <w:pPr>
              <w:pStyle w:val="41"/>
              <w:rPr>
                <w:color w:val="auto"/>
                <w:highlight w:val="none"/>
              </w:rPr>
            </w:pPr>
            <w:r>
              <w:rPr>
                <w:rFonts w:hint="eastAsia"/>
                <w:color w:val="auto"/>
                <w:highlight w:val="none"/>
              </w:rPr>
              <w:t>18.78</w:t>
            </w:r>
          </w:p>
        </w:tc>
      </w:tr>
      <w:tr w14:paraId="37C2C6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43" w:type="dxa"/>
            <w:tcBorders>
              <w:tl2br w:val="nil"/>
              <w:tr2bl w:val="nil"/>
            </w:tcBorders>
            <w:vAlign w:val="center"/>
          </w:tcPr>
          <w:p w14:paraId="21824F9A">
            <w:pPr>
              <w:pStyle w:val="41"/>
              <w:rPr>
                <w:color w:val="auto"/>
                <w:highlight w:val="none"/>
              </w:rPr>
            </w:pPr>
            <w:r>
              <w:rPr>
                <w:rFonts w:hint="eastAsia"/>
                <w:color w:val="auto"/>
                <w:highlight w:val="none"/>
              </w:rPr>
              <w:t>0.5-0.3</w:t>
            </w:r>
          </w:p>
        </w:tc>
        <w:tc>
          <w:tcPr>
            <w:tcW w:w="1352" w:type="dxa"/>
            <w:tcBorders>
              <w:tl2br w:val="nil"/>
              <w:tr2bl w:val="nil"/>
            </w:tcBorders>
            <w:vAlign w:val="center"/>
          </w:tcPr>
          <w:p w14:paraId="1F348716">
            <w:pPr>
              <w:pStyle w:val="41"/>
              <w:rPr>
                <w:color w:val="auto"/>
                <w:highlight w:val="none"/>
              </w:rPr>
            </w:pPr>
            <w:r>
              <w:rPr>
                <w:rFonts w:hint="eastAsia"/>
                <w:color w:val="auto"/>
                <w:highlight w:val="none"/>
              </w:rPr>
              <w:t>16.34</w:t>
            </w:r>
          </w:p>
        </w:tc>
        <w:tc>
          <w:tcPr>
            <w:tcW w:w="1357" w:type="dxa"/>
            <w:tcBorders>
              <w:tl2br w:val="nil"/>
              <w:tr2bl w:val="nil"/>
            </w:tcBorders>
            <w:vAlign w:val="center"/>
          </w:tcPr>
          <w:p w14:paraId="3D2F1D0D">
            <w:pPr>
              <w:pStyle w:val="41"/>
              <w:rPr>
                <w:color w:val="auto"/>
                <w:highlight w:val="none"/>
              </w:rPr>
            </w:pPr>
            <w:r>
              <w:rPr>
                <w:rFonts w:hint="eastAsia"/>
                <w:color w:val="auto"/>
                <w:highlight w:val="none"/>
              </w:rPr>
              <w:t>11.52</w:t>
            </w:r>
          </w:p>
        </w:tc>
        <w:tc>
          <w:tcPr>
            <w:tcW w:w="1358" w:type="dxa"/>
            <w:tcBorders>
              <w:tl2br w:val="nil"/>
              <w:tr2bl w:val="nil"/>
            </w:tcBorders>
            <w:vAlign w:val="center"/>
          </w:tcPr>
          <w:p w14:paraId="537A4F31">
            <w:pPr>
              <w:pStyle w:val="41"/>
              <w:rPr>
                <w:color w:val="auto"/>
                <w:highlight w:val="none"/>
              </w:rPr>
            </w:pPr>
            <w:r>
              <w:rPr>
                <w:rFonts w:hint="eastAsia"/>
                <w:color w:val="auto"/>
                <w:highlight w:val="none"/>
              </w:rPr>
              <w:t>3.54</w:t>
            </w:r>
          </w:p>
        </w:tc>
        <w:tc>
          <w:tcPr>
            <w:tcW w:w="1358" w:type="dxa"/>
            <w:tcBorders>
              <w:tl2br w:val="nil"/>
              <w:tr2bl w:val="nil"/>
            </w:tcBorders>
            <w:vAlign w:val="center"/>
          </w:tcPr>
          <w:p w14:paraId="163CF1FB">
            <w:pPr>
              <w:pStyle w:val="41"/>
              <w:rPr>
                <w:color w:val="auto"/>
                <w:highlight w:val="none"/>
              </w:rPr>
            </w:pPr>
            <w:r>
              <w:rPr>
                <w:rFonts w:hint="eastAsia"/>
                <w:color w:val="auto"/>
                <w:highlight w:val="none"/>
              </w:rPr>
              <w:t>19.61</w:t>
            </w:r>
          </w:p>
        </w:tc>
        <w:tc>
          <w:tcPr>
            <w:tcW w:w="1354" w:type="dxa"/>
            <w:tcBorders>
              <w:tl2br w:val="nil"/>
              <w:tr2bl w:val="nil"/>
            </w:tcBorders>
            <w:vAlign w:val="center"/>
          </w:tcPr>
          <w:p w14:paraId="3B1BE23B">
            <w:pPr>
              <w:pStyle w:val="41"/>
              <w:rPr>
                <w:color w:val="auto"/>
                <w:highlight w:val="none"/>
              </w:rPr>
            </w:pPr>
            <w:r>
              <w:rPr>
                <w:rFonts w:hint="eastAsia"/>
                <w:color w:val="auto"/>
                <w:highlight w:val="none"/>
              </w:rPr>
              <w:t>22.51</w:t>
            </w:r>
          </w:p>
        </w:tc>
      </w:tr>
      <w:tr w14:paraId="727B8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43" w:type="dxa"/>
            <w:tcBorders>
              <w:tl2br w:val="nil"/>
              <w:tr2bl w:val="nil"/>
            </w:tcBorders>
            <w:vAlign w:val="center"/>
          </w:tcPr>
          <w:p w14:paraId="463996E5">
            <w:pPr>
              <w:pStyle w:val="41"/>
              <w:rPr>
                <w:color w:val="auto"/>
                <w:highlight w:val="none"/>
              </w:rPr>
            </w:pPr>
            <w:r>
              <w:rPr>
                <w:rFonts w:hint="eastAsia"/>
                <w:color w:val="auto"/>
                <w:highlight w:val="none"/>
              </w:rPr>
              <w:t>0.3-0.125</w:t>
            </w:r>
          </w:p>
        </w:tc>
        <w:tc>
          <w:tcPr>
            <w:tcW w:w="1352" w:type="dxa"/>
            <w:tcBorders>
              <w:tl2br w:val="nil"/>
              <w:tr2bl w:val="nil"/>
            </w:tcBorders>
            <w:vAlign w:val="center"/>
          </w:tcPr>
          <w:p w14:paraId="2A5EB445">
            <w:pPr>
              <w:pStyle w:val="41"/>
              <w:rPr>
                <w:color w:val="auto"/>
                <w:highlight w:val="none"/>
              </w:rPr>
            </w:pPr>
            <w:r>
              <w:rPr>
                <w:rFonts w:hint="eastAsia"/>
                <w:color w:val="auto"/>
                <w:highlight w:val="none"/>
              </w:rPr>
              <w:t>20.09</w:t>
            </w:r>
          </w:p>
        </w:tc>
        <w:tc>
          <w:tcPr>
            <w:tcW w:w="1357" w:type="dxa"/>
            <w:tcBorders>
              <w:tl2br w:val="nil"/>
              <w:tr2bl w:val="nil"/>
            </w:tcBorders>
            <w:vAlign w:val="center"/>
          </w:tcPr>
          <w:p w14:paraId="0E36962F">
            <w:pPr>
              <w:pStyle w:val="41"/>
              <w:rPr>
                <w:color w:val="auto"/>
                <w:highlight w:val="none"/>
              </w:rPr>
            </w:pPr>
            <w:r>
              <w:rPr>
                <w:rFonts w:hint="eastAsia"/>
                <w:color w:val="auto"/>
                <w:highlight w:val="none"/>
              </w:rPr>
              <w:t>10.12</w:t>
            </w:r>
          </w:p>
        </w:tc>
        <w:tc>
          <w:tcPr>
            <w:tcW w:w="1358" w:type="dxa"/>
            <w:tcBorders>
              <w:tl2br w:val="nil"/>
              <w:tr2bl w:val="nil"/>
            </w:tcBorders>
            <w:vAlign w:val="center"/>
          </w:tcPr>
          <w:p w14:paraId="5F2C37C1">
            <w:pPr>
              <w:pStyle w:val="41"/>
              <w:rPr>
                <w:color w:val="auto"/>
                <w:highlight w:val="none"/>
              </w:rPr>
            </w:pPr>
            <w:r>
              <w:rPr>
                <w:rFonts w:hint="eastAsia"/>
                <w:color w:val="auto"/>
                <w:highlight w:val="none"/>
              </w:rPr>
              <w:t>3.68</w:t>
            </w:r>
          </w:p>
        </w:tc>
        <w:tc>
          <w:tcPr>
            <w:tcW w:w="1358" w:type="dxa"/>
            <w:tcBorders>
              <w:tl2br w:val="nil"/>
              <w:tr2bl w:val="nil"/>
            </w:tcBorders>
            <w:vAlign w:val="center"/>
          </w:tcPr>
          <w:p w14:paraId="3E63C72C">
            <w:pPr>
              <w:pStyle w:val="41"/>
              <w:rPr>
                <w:color w:val="auto"/>
                <w:highlight w:val="none"/>
              </w:rPr>
            </w:pPr>
            <w:r>
              <w:rPr>
                <w:rFonts w:hint="eastAsia"/>
                <w:color w:val="auto"/>
                <w:highlight w:val="none"/>
              </w:rPr>
              <w:t>21.18</w:t>
            </w:r>
          </w:p>
        </w:tc>
        <w:tc>
          <w:tcPr>
            <w:tcW w:w="1354" w:type="dxa"/>
            <w:tcBorders>
              <w:tl2br w:val="nil"/>
              <w:tr2bl w:val="nil"/>
            </w:tcBorders>
            <w:vAlign w:val="center"/>
          </w:tcPr>
          <w:p w14:paraId="14DCB795">
            <w:pPr>
              <w:pStyle w:val="41"/>
              <w:rPr>
                <w:color w:val="auto"/>
                <w:highlight w:val="none"/>
              </w:rPr>
            </w:pPr>
            <w:r>
              <w:rPr>
                <w:rFonts w:hint="eastAsia"/>
                <w:color w:val="auto"/>
                <w:highlight w:val="none"/>
              </w:rPr>
              <w:t>28.77</w:t>
            </w:r>
          </w:p>
        </w:tc>
      </w:tr>
      <w:tr w14:paraId="0BD064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43" w:type="dxa"/>
            <w:tcBorders>
              <w:tl2br w:val="nil"/>
              <w:tr2bl w:val="nil"/>
            </w:tcBorders>
            <w:vAlign w:val="center"/>
          </w:tcPr>
          <w:p w14:paraId="07B8A133">
            <w:pPr>
              <w:pStyle w:val="41"/>
              <w:rPr>
                <w:color w:val="auto"/>
                <w:highlight w:val="none"/>
              </w:rPr>
            </w:pPr>
            <w:r>
              <w:rPr>
                <w:rFonts w:hint="eastAsia"/>
                <w:color w:val="auto"/>
                <w:highlight w:val="none"/>
              </w:rPr>
              <w:t>0.125-0.074</w:t>
            </w:r>
          </w:p>
        </w:tc>
        <w:tc>
          <w:tcPr>
            <w:tcW w:w="1352" w:type="dxa"/>
            <w:tcBorders>
              <w:tl2br w:val="nil"/>
              <w:tr2bl w:val="nil"/>
            </w:tcBorders>
            <w:vAlign w:val="center"/>
          </w:tcPr>
          <w:p w14:paraId="510CD59A">
            <w:pPr>
              <w:pStyle w:val="41"/>
              <w:rPr>
                <w:color w:val="auto"/>
                <w:highlight w:val="none"/>
              </w:rPr>
            </w:pPr>
            <w:r>
              <w:rPr>
                <w:rFonts w:hint="eastAsia"/>
                <w:color w:val="auto"/>
                <w:highlight w:val="none"/>
              </w:rPr>
              <w:t>6.53</w:t>
            </w:r>
          </w:p>
        </w:tc>
        <w:tc>
          <w:tcPr>
            <w:tcW w:w="1357" w:type="dxa"/>
            <w:tcBorders>
              <w:tl2br w:val="nil"/>
              <w:tr2bl w:val="nil"/>
            </w:tcBorders>
            <w:vAlign w:val="center"/>
          </w:tcPr>
          <w:p w14:paraId="746B57FF">
            <w:pPr>
              <w:pStyle w:val="41"/>
              <w:rPr>
                <w:color w:val="auto"/>
                <w:highlight w:val="none"/>
              </w:rPr>
            </w:pPr>
            <w:r>
              <w:rPr>
                <w:rFonts w:hint="eastAsia"/>
                <w:color w:val="auto"/>
                <w:highlight w:val="none"/>
              </w:rPr>
              <w:t>9.81</w:t>
            </w:r>
          </w:p>
        </w:tc>
        <w:tc>
          <w:tcPr>
            <w:tcW w:w="1358" w:type="dxa"/>
            <w:tcBorders>
              <w:tl2br w:val="nil"/>
              <w:tr2bl w:val="nil"/>
            </w:tcBorders>
            <w:vAlign w:val="center"/>
          </w:tcPr>
          <w:p w14:paraId="551BD6C9">
            <w:pPr>
              <w:pStyle w:val="41"/>
              <w:rPr>
                <w:color w:val="auto"/>
                <w:highlight w:val="none"/>
              </w:rPr>
            </w:pPr>
            <w:r>
              <w:rPr>
                <w:rFonts w:hint="eastAsia"/>
                <w:color w:val="auto"/>
                <w:highlight w:val="none"/>
              </w:rPr>
              <w:t>2.45</w:t>
            </w:r>
          </w:p>
        </w:tc>
        <w:tc>
          <w:tcPr>
            <w:tcW w:w="1358" w:type="dxa"/>
            <w:tcBorders>
              <w:tl2br w:val="nil"/>
              <w:tr2bl w:val="nil"/>
            </w:tcBorders>
            <w:vAlign w:val="center"/>
          </w:tcPr>
          <w:p w14:paraId="280BAE52">
            <w:pPr>
              <w:pStyle w:val="41"/>
              <w:rPr>
                <w:color w:val="auto"/>
                <w:highlight w:val="none"/>
              </w:rPr>
            </w:pPr>
            <w:r>
              <w:rPr>
                <w:rFonts w:hint="eastAsia"/>
                <w:color w:val="auto"/>
                <w:highlight w:val="none"/>
              </w:rPr>
              <w:t>6.67</w:t>
            </w:r>
          </w:p>
        </w:tc>
        <w:tc>
          <w:tcPr>
            <w:tcW w:w="1354" w:type="dxa"/>
            <w:tcBorders>
              <w:tl2br w:val="nil"/>
              <w:tr2bl w:val="nil"/>
            </w:tcBorders>
            <w:vAlign w:val="center"/>
          </w:tcPr>
          <w:p w14:paraId="632B3656">
            <w:pPr>
              <w:pStyle w:val="41"/>
              <w:rPr>
                <w:color w:val="auto"/>
                <w:highlight w:val="none"/>
              </w:rPr>
            </w:pPr>
            <w:r>
              <w:rPr>
                <w:rFonts w:hint="eastAsia"/>
                <w:color w:val="auto"/>
                <w:highlight w:val="none"/>
              </w:rPr>
              <w:t>6.23</w:t>
            </w:r>
          </w:p>
        </w:tc>
      </w:tr>
      <w:tr w14:paraId="234299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43" w:type="dxa"/>
            <w:tcBorders>
              <w:tl2br w:val="nil"/>
              <w:tr2bl w:val="nil"/>
            </w:tcBorders>
            <w:vAlign w:val="center"/>
          </w:tcPr>
          <w:p w14:paraId="549BF6C8">
            <w:pPr>
              <w:pStyle w:val="41"/>
              <w:rPr>
                <w:color w:val="auto"/>
                <w:highlight w:val="none"/>
              </w:rPr>
            </w:pPr>
            <w:r>
              <w:rPr>
                <w:rFonts w:hint="eastAsia"/>
                <w:color w:val="auto"/>
                <w:highlight w:val="none"/>
              </w:rPr>
              <w:t>0.074-0.045</w:t>
            </w:r>
          </w:p>
        </w:tc>
        <w:tc>
          <w:tcPr>
            <w:tcW w:w="1352" w:type="dxa"/>
            <w:tcBorders>
              <w:tl2br w:val="nil"/>
              <w:tr2bl w:val="nil"/>
            </w:tcBorders>
            <w:vAlign w:val="center"/>
          </w:tcPr>
          <w:p w14:paraId="7E57343D">
            <w:pPr>
              <w:pStyle w:val="41"/>
              <w:rPr>
                <w:color w:val="auto"/>
                <w:highlight w:val="none"/>
              </w:rPr>
            </w:pPr>
            <w:r>
              <w:rPr>
                <w:rFonts w:hint="eastAsia"/>
                <w:color w:val="auto"/>
                <w:highlight w:val="none"/>
              </w:rPr>
              <w:t>4.60</w:t>
            </w:r>
          </w:p>
        </w:tc>
        <w:tc>
          <w:tcPr>
            <w:tcW w:w="1357" w:type="dxa"/>
            <w:tcBorders>
              <w:tl2br w:val="nil"/>
              <w:tr2bl w:val="nil"/>
            </w:tcBorders>
            <w:vAlign w:val="center"/>
          </w:tcPr>
          <w:p w14:paraId="727C0357">
            <w:pPr>
              <w:pStyle w:val="41"/>
              <w:rPr>
                <w:color w:val="auto"/>
                <w:highlight w:val="none"/>
              </w:rPr>
            </w:pPr>
            <w:r>
              <w:rPr>
                <w:rFonts w:hint="eastAsia"/>
                <w:color w:val="auto"/>
                <w:highlight w:val="none"/>
              </w:rPr>
              <w:t>9.26</w:t>
            </w:r>
          </w:p>
        </w:tc>
        <w:tc>
          <w:tcPr>
            <w:tcW w:w="1358" w:type="dxa"/>
            <w:tcBorders>
              <w:tl2br w:val="nil"/>
              <w:tr2bl w:val="nil"/>
            </w:tcBorders>
            <w:vAlign w:val="center"/>
          </w:tcPr>
          <w:p w14:paraId="1A991220">
            <w:pPr>
              <w:pStyle w:val="41"/>
              <w:rPr>
                <w:color w:val="auto"/>
                <w:highlight w:val="none"/>
              </w:rPr>
            </w:pPr>
            <w:r>
              <w:rPr>
                <w:rFonts w:hint="eastAsia"/>
                <w:color w:val="auto"/>
                <w:highlight w:val="none"/>
              </w:rPr>
              <w:t>1.65</w:t>
            </w:r>
          </w:p>
        </w:tc>
        <w:tc>
          <w:tcPr>
            <w:tcW w:w="1358" w:type="dxa"/>
            <w:tcBorders>
              <w:tl2br w:val="nil"/>
              <w:tr2bl w:val="nil"/>
            </w:tcBorders>
            <w:vAlign w:val="center"/>
          </w:tcPr>
          <w:p w14:paraId="7D59104A">
            <w:pPr>
              <w:pStyle w:val="41"/>
              <w:rPr>
                <w:color w:val="auto"/>
                <w:highlight w:val="none"/>
              </w:rPr>
            </w:pPr>
            <w:r>
              <w:rPr>
                <w:rFonts w:hint="eastAsia"/>
                <w:color w:val="auto"/>
                <w:highlight w:val="none"/>
              </w:rPr>
              <w:t>4.44</w:t>
            </w:r>
          </w:p>
        </w:tc>
        <w:tc>
          <w:tcPr>
            <w:tcW w:w="1354" w:type="dxa"/>
            <w:tcBorders>
              <w:tl2br w:val="nil"/>
              <w:tr2bl w:val="nil"/>
            </w:tcBorders>
            <w:vAlign w:val="center"/>
          </w:tcPr>
          <w:p w14:paraId="5CD2EFB3">
            <w:pPr>
              <w:pStyle w:val="41"/>
              <w:rPr>
                <w:color w:val="auto"/>
                <w:highlight w:val="none"/>
              </w:rPr>
            </w:pPr>
            <w:r>
              <w:rPr>
                <w:rFonts w:hint="eastAsia"/>
                <w:color w:val="auto"/>
                <w:highlight w:val="none"/>
              </w:rPr>
              <w:t>2.95</w:t>
            </w:r>
          </w:p>
        </w:tc>
      </w:tr>
      <w:tr w14:paraId="4A293D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43" w:type="dxa"/>
            <w:tcBorders>
              <w:tl2br w:val="nil"/>
              <w:tr2bl w:val="nil"/>
            </w:tcBorders>
            <w:vAlign w:val="center"/>
          </w:tcPr>
          <w:p w14:paraId="4D188C50">
            <w:pPr>
              <w:pStyle w:val="41"/>
              <w:rPr>
                <w:color w:val="auto"/>
                <w:highlight w:val="none"/>
              </w:rPr>
            </w:pPr>
            <w:r>
              <w:rPr>
                <w:rFonts w:hint="eastAsia"/>
                <w:color w:val="auto"/>
                <w:highlight w:val="none"/>
              </w:rPr>
              <w:t>﹣0.045</w:t>
            </w:r>
          </w:p>
        </w:tc>
        <w:tc>
          <w:tcPr>
            <w:tcW w:w="1352" w:type="dxa"/>
            <w:tcBorders>
              <w:tl2br w:val="nil"/>
              <w:tr2bl w:val="nil"/>
            </w:tcBorders>
            <w:vAlign w:val="center"/>
          </w:tcPr>
          <w:p w14:paraId="41CBCA21">
            <w:pPr>
              <w:pStyle w:val="41"/>
              <w:rPr>
                <w:color w:val="auto"/>
                <w:highlight w:val="none"/>
              </w:rPr>
            </w:pPr>
            <w:r>
              <w:rPr>
                <w:rFonts w:hint="eastAsia"/>
                <w:color w:val="auto"/>
                <w:highlight w:val="none"/>
              </w:rPr>
              <w:t>5.20</w:t>
            </w:r>
          </w:p>
        </w:tc>
        <w:tc>
          <w:tcPr>
            <w:tcW w:w="1357" w:type="dxa"/>
            <w:tcBorders>
              <w:tl2br w:val="nil"/>
              <w:tr2bl w:val="nil"/>
            </w:tcBorders>
            <w:vAlign w:val="center"/>
          </w:tcPr>
          <w:p w14:paraId="42163180">
            <w:pPr>
              <w:pStyle w:val="41"/>
              <w:rPr>
                <w:color w:val="auto"/>
                <w:highlight w:val="none"/>
              </w:rPr>
            </w:pPr>
            <w:r>
              <w:rPr>
                <w:rFonts w:hint="eastAsia"/>
                <w:color w:val="auto"/>
                <w:highlight w:val="none"/>
              </w:rPr>
              <w:t>10.21</w:t>
            </w:r>
          </w:p>
        </w:tc>
        <w:tc>
          <w:tcPr>
            <w:tcW w:w="1358" w:type="dxa"/>
            <w:tcBorders>
              <w:tl2br w:val="nil"/>
              <w:tr2bl w:val="nil"/>
            </w:tcBorders>
            <w:vAlign w:val="center"/>
          </w:tcPr>
          <w:p w14:paraId="6875C959">
            <w:pPr>
              <w:pStyle w:val="41"/>
              <w:rPr>
                <w:color w:val="auto"/>
                <w:highlight w:val="none"/>
              </w:rPr>
            </w:pPr>
            <w:r>
              <w:rPr>
                <w:rFonts w:hint="eastAsia"/>
                <w:color w:val="auto"/>
                <w:highlight w:val="none"/>
              </w:rPr>
              <w:t>1.38</w:t>
            </w:r>
          </w:p>
        </w:tc>
        <w:tc>
          <w:tcPr>
            <w:tcW w:w="1358" w:type="dxa"/>
            <w:tcBorders>
              <w:tl2br w:val="nil"/>
              <w:tr2bl w:val="nil"/>
            </w:tcBorders>
            <w:vAlign w:val="center"/>
          </w:tcPr>
          <w:p w14:paraId="09BA50F9">
            <w:pPr>
              <w:pStyle w:val="41"/>
              <w:rPr>
                <w:color w:val="auto"/>
                <w:highlight w:val="none"/>
              </w:rPr>
            </w:pPr>
            <w:r>
              <w:rPr>
                <w:rFonts w:hint="eastAsia"/>
                <w:color w:val="auto"/>
                <w:highlight w:val="none"/>
              </w:rPr>
              <w:t>5.50</w:t>
            </w:r>
          </w:p>
        </w:tc>
        <w:tc>
          <w:tcPr>
            <w:tcW w:w="1354" w:type="dxa"/>
            <w:tcBorders>
              <w:tl2br w:val="nil"/>
              <w:tr2bl w:val="nil"/>
            </w:tcBorders>
            <w:vAlign w:val="center"/>
          </w:tcPr>
          <w:p w14:paraId="4BC11AAD">
            <w:pPr>
              <w:pStyle w:val="41"/>
              <w:rPr>
                <w:color w:val="auto"/>
                <w:highlight w:val="none"/>
              </w:rPr>
            </w:pPr>
            <w:r>
              <w:rPr>
                <w:rFonts w:hint="eastAsia"/>
                <w:color w:val="auto"/>
                <w:highlight w:val="none"/>
              </w:rPr>
              <w:t>2.62</w:t>
            </w:r>
          </w:p>
        </w:tc>
      </w:tr>
      <w:bookmarkEnd w:id="257"/>
      <w:tr w14:paraId="6E560F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43" w:type="dxa"/>
            <w:tcBorders>
              <w:tl2br w:val="nil"/>
              <w:tr2bl w:val="nil"/>
            </w:tcBorders>
            <w:vAlign w:val="center"/>
          </w:tcPr>
          <w:p w14:paraId="2B36E0B0">
            <w:pPr>
              <w:pStyle w:val="41"/>
              <w:rPr>
                <w:color w:val="auto"/>
                <w:highlight w:val="none"/>
              </w:rPr>
            </w:pPr>
            <w:r>
              <w:rPr>
                <w:rFonts w:hint="eastAsia"/>
                <w:color w:val="auto"/>
                <w:highlight w:val="none"/>
              </w:rPr>
              <w:t>合计</w:t>
            </w:r>
          </w:p>
        </w:tc>
        <w:tc>
          <w:tcPr>
            <w:tcW w:w="1352" w:type="dxa"/>
            <w:tcBorders>
              <w:tl2br w:val="nil"/>
              <w:tr2bl w:val="nil"/>
            </w:tcBorders>
            <w:vAlign w:val="center"/>
          </w:tcPr>
          <w:p w14:paraId="73568984">
            <w:pPr>
              <w:pStyle w:val="41"/>
              <w:rPr>
                <w:color w:val="auto"/>
                <w:highlight w:val="none"/>
              </w:rPr>
            </w:pPr>
            <w:r>
              <w:rPr>
                <w:rFonts w:hint="eastAsia"/>
                <w:color w:val="auto"/>
                <w:highlight w:val="none"/>
              </w:rPr>
              <w:t>100</w:t>
            </w:r>
          </w:p>
        </w:tc>
        <w:tc>
          <w:tcPr>
            <w:tcW w:w="1357" w:type="dxa"/>
            <w:tcBorders>
              <w:tl2br w:val="nil"/>
              <w:tr2bl w:val="nil"/>
            </w:tcBorders>
            <w:vAlign w:val="center"/>
          </w:tcPr>
          <w:p w14:paraId="59E67507">
            <w:pPr>
              <w:pStyle w:val="41"/>
              <w:rPr>
                <w:color w:val="auto"/>
                <w:highlight w:val="none"/>
              </w:rPr>
            </w:pPr>
            <w:r>
              <w:rPr>
                <w:rFonts w:hint="eastAsia"/>
                <w:color w:val="auto"/>
                <w:highlight w:val="none"/>
              </w:rPr>
              <w:t>9.60</w:t>
            </w:r>
          </w:p>
        </w:tc>
        <w:tc>
          <w:tcPr>
            <w:tcW w:w="1358" w:type="dxa"/>
            <w:tcBorders>
              <w:tl2br w:val="nil"/>
              <w:tr2bl w:val="nil"/>
            </w:tcBorders>
            <w:vAlign w:val="center"/>
          </w:tcPr>
          <w:p w14:paraId="792472EB">
            <w:pPr>
              <w:pStyle w:val="41"/>
              <w:rPr>
                <w:color w:val="auto"/>
                <w:highlight w:val="none"/>
              </w:rPr>
            </w:pPr>
            <w:r>
              <w:rPr>
                <w:rFonts w:hint="eastAsia"/>
                <w:color w:val="auto"/>
                <w:highlight w:val="none"/>
              </w:rPr>
              <w:t>2.57</w:t>
            </w:r>
          </w:p>
        </w:tc>
        <w:tc>
          <w:tcPr>
            <w:tcW w:w="1358" w:type="dxa"/>
            <w:tcBorders>
              <w:tl2br w:val="nil"/>
              <w:tr2bl w:val="nil"/>
            </w:tcBorders>
            <w:vAlign w:val="center"/>
          </w:tcPr>
          <w:p w14:paraId="0659985C">
            <w:pPr>
              <w:pStyle w:val="41"/>
              <w:rPr>
                <w:color w:val="auto"/>
                <w:highlight w:val="none"/>
              </w:rPr>
            </w:pPr>
            <w:r>
              <w:rPr>
                <w:rFonts w:hint="eastAsia"/>
                <w:color w:val="auto"/>
                <w:highlight w:val="none"/>
              </w:rPr>
              <w:t>100</w:t>
            </w:r>
          </w:p>
        </w:tc>
        <w:tc>
          <w:tcPr>
            <w:tcW w:w="1354" w:type="dxa"/>
            <w:tcBorders>
              <w:tl2br w:val="nil"/>
              <w:tr2bl w:val="nil"/>
            </w:tcBorders>
            <w:vAlign w:val="center"/>
          </w:tcPr>
          <w:p w14:paraId="3636C5FB">
            <w:pPr>
              <w:pStyle w:val="41"/>
              <w:rPr>
                <w:color w:val="auto"/>
                <w:highlight w:val="none"/>
              </w:rPr>
            </w:pPr>
            <w:r>
              <w:rPr>
                <w:rFonts w:hint="eastAsia"/>
                <w:color w:val="auto"/>
                <w:highlight w:val="none"/>
              </w:rPr>
              <w:t>100</w:t>
            </w:r>
          </w:p>
        </w:tc>
      </w:tr>
      <w:bookmarkEnd w:id="258"/>
    </w:tbl>
    <w:p w14:paraId="43859BC8">
      <w:pPr>
        <w:pStyle w:val="42"/>
        <w:rPr>
          <w:rFonts w:hint="default"/>
          <w:color w:val="auto"/>
          <w:highlight w:val="none"/>
        </w:rPr>
      </w:pPr>
      <w:bookmarkStart w:id="259" w:name="_Toc309715285"/>
      <w:r>
        <w:rPr>
          <w:rFonts w:hint="eastAsia"/>
          <w:color w:val="auto"/>
          <w:highlight w:val="none"/>
          <w:lang w:eastAsia="zh-CN"/>
        </w:rPr>
        <w:t>放射性监测分析</w:t>
      </w:r>
    </w:p>
    <w:p w14:paraId="38EDBA21">
      <w:pPr>
        <w:spacing w:line="500" w:lineRule="exact"/>
        <w:ind w:firstLine="480" w:firstLineChars="200"/>
        <w:jc w:val="both"/>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为了确定开发及利用过程中产品、尾渣的放射性污染水平，根据《矿产资源开发利用辐射环境监督管理名录》（环境部公告2020年54号），</w:t>
      </w:r>
      <w:r>
        <w:rPr>
          <w:rFonts w:hint="default" w:ascii="Times New Roman" w:hAnsi="Times New Roman" w:eastAsia="华文中宋" w:cs="Times New Roman"/>
          <w:snapToGrid w:val="0"/>
          <w:color w:val="auto"/>
          <w:kern w:val="0"/>
          <w:sz w:val="24"/>
          <w:szCs w:val="24"/>
          <w:highlight w:val="none"/>
        </w:rPr>
        <w:t>委托核工业二一六大队检测研究院于202</w:t>
      </w:r>
      <w:r>
        <w:rPr>
          <w:rFonts w:hint="eastAsia" w:ascii="Times New Roman" w:hAnsi="Times New Roman" w:cs="Times New Roman"/>
          <w:snapToGrid w:val="0"/>
          <w:color w:val="auto"/>
          <w:kern w:val="0"/>
          <w:sz w:val="24"/>
          <w:szCs w:val="24"/>
          <w:highlight w:val="none"/>
          <w:lang w:val="en-US" w:eastAsia="zh-CN"/>
        </w:rPr>
        <w:t>6</w:t>
      </w:r>
      <w:r>
        <w:rPr>
          <w:rFonts w:hint="default" w:ascii="Times New Roman" w:hAnsi="Times New Roman" w:eastAsia="华文中宋" w:cs="Times New Roman"/>
          <w:snapToGrid w:val="0"/>
          <w:color w:val="auto"/>
          <w:kern w:val="0"/>
          <w:sz w:val="24"/>
          <w:szCs w:val="24"/>
          <w:highlight w:val="none"/>
        </w:rPr>
        <w:t>年</w:t>
      </w:r>
      <w:r>
        <w:rPr>
          <w:rFonts w:hint="eastAsia" w:ascii="Times New Roman" w:hAnsi="Times New Roman" w:cs="Times New Roman"/>
          <w:snapToGrid w:val="0"/>
          <w:color w:val="auto"/>
          <w:kern w:val="0"/>
          <w:sz w:val="24"/>
          <w:szCs w:val="24"/>
          <w:highlight w:val="none"/>
          <w:lang w:val="en-US" w:eastAsia="zh-CN"/>
        </w:rPr>
        <w:t>4</w:t>
      </w:r>
      <w:r>
        <w:rPr>
          <w:rFonts w:hint="default" w:ascii="Times New Roman" w:hAnsi="Times New Roman" w:eastAsia="华文中宋" w:cs="Times New Roman"/>
          <w:snapToGrid w:val="0"/>
          <w:color w:val="auto"/>
          <w:kern w:val="0"/>
          <w:sz w:val="24"/>
          <w:szCs w:val="24"/>
          <w:highlight w:val="none"/>
        </w:rPr>
        <w:t>月对</w:t>
      </w:r>
      <w:r>
        <w:rPr>
          <w:rFonts w:hint="eastAsia" w:ascii="Times New Roman" w:hAnsi="Times New Roman" w:cs="Times New Roman"/>
          <w:snapToGrid w:val="0"/>
          <w:color w:val="auto"/>
          <w:kern w:val="0"/>
          <w:sz w:val="24"/>
          <w:szCs w:val="24"/>
          <w:highlight w:val="none"/>
          <w:lang w:eastAsia="zh-CN"/>
        </w:rPr>
        <w:t>本项目</w:t>
      </w:r>
      <w:r>
        <w:rPr>
          <w:rFonts w:hint="default" w:ascii="Times New Roman" w:hAnsi="Times New Roman" w:eastAsia="华文中宋" w:cs="Times New Roman"/>
          <w:snapToGrid w:val="0"/>
          <w:color w:val="auto"/>
          <w:kern w:val="0"/>
          <w:sz w:val="24"/>
          <w:szCs w:val="24"/>
          <w:highlight w:val="none"/>
          <w:lang w:eastAsia="zh-CN"/>
        </w:rPr>
        <w:t>的</w:t>
      </w:r>
      <w:r>
        <w:rPr>
          <w:rFonts w:hint="eastAsia" w:ascii="Times New Roman" w:hAnsi="Times New Roman" w:cs="Times New Roman"/>
          <w:snapToGrid w:val="0"/>
          <w:color w:val="auto"/>
          <w:kern w:val="0"/>
          <w:sz w:val="24"/>
          <w:szCs w:val="24"/>
          <w:highlight w:val="none"/>
          <w:lang w:eastAsia="zh-CN"/>
        </w:rPr>
        <w:t>原矿</w:t>
      </w:r>
      <w:r>
        <w:rPr>
          <w:rFonts w:hint="default" w:ascii="Times New Roman" w:hAnsi="Times New Roman" w:eastAsia="华文中宋" w:cs="Times New Roman"/>
          <w:snapToGrid w:val="0"/>
          <w:color w:val="auto"/>
          <w:kern w:val="0"/>
          <w:sz w:val="24"/>
          <w:szCs w:val="24"/>
          <w:highlight w:val="none"/>
        </w:rPr>
        <w:t>及</w:t>
      </w:r>
      <w:r>
        <w:rPr>
          <w:rFonts w:hint="eastAsia" w:ascii="Times New Roman" w:hAnsi="Times New Roman" w:cs="Times New Roman"/>
          <w:snapToGrid w:val="0"/>
          <w:color w:val="auto"/>
          <w:kern w:val="0"/>
          <w:sz w:val="24"/>
          <w:szCs w:val="24"/>
          <w:highlight w:val="none"/>
          <w:lang w:eastAsia="zh-CN"/>
        </w:rPr>
        <w:t>尾矿</w:t>
      </w:r>
      <w:r>
        <w:rPr>
          <w:rFonts w:hint="default" w:ascii="Times New Roman" w:hAnsi="Times New Roman" w:eastAsia="华文中宋" w:cs="Times New Roman"/>
          <w:snapToGrid w:val="0"/>
          <w:color w:val="auto"/>
          <w:kern w:val="0"/>
          <w:sz w:val="24"/>
          <w:szCs w:val="24"/>
          <w:highlight w:val="none"/>
        </w:rPr>
        <w:t>中铀系、</w:t>
      </w:r>
      <w:r>
        <w:rPr>
          <w:rFonts w:hint="eastAsia" w:ascii="Times New Roman" w:hAnsi="Times New Roman" w:cs="Times New Roman"/>
          <w:snapToGrid w:val="0"/>
          <w:color w:val="auto"/>
          <w:kern w:val="0"/>
          <w:sz w:val="24"/>
          <w:szCs w:val="24"/>
          <w:highlight w:val="none"/>
          <w:lang w:eastAsia="zh-CN"/>
        </w:rPr>
        <w:t>钾系、</w:t>
      </w:r>
      <w:r>
        <w:rPr>
          <w:rFonts w:hint="default" w:ascii="Times New Roman" w:hAnsi="Times New Roman" w:eastAsia="华文中宋" w:cs="Times New Roman"/>
          <w:snapToGrid w:val="0"/>
          <w:color w:val="auto"/>
          <w:kern w:val="0"/>
          <w:sz w:val="24"/>
          <w:szCs w:val="24"/>
          <w:highlight w:val="none"/>
        </w:rPr>
        <w:t>钍系、镭系核素活度浓度进行检测。</w:t>
      </w:r>
      <w:r>
        <w:rPr>
          <w:rFonts w:hint="default" w:ascii="Times New Roman" w:hAnsi="Times New Roman" w:eastAsia="华文中宋" w:cs="Times New Roman"/>
          <w:color w:val="auto"/>
          <w:highlight w:val="none"/>
        </w:rPr>
        <w:t>监测结果见表</w:t>
      </w:r>
      <w:r>
        <w:rPr>
          <w:rFonts w:hint="eastAsia" w:ascii="Times New Roman" w:hAnsi="Times New Roman" w:cs="Times New Roman"/>
          <w:color w:val="auto"/>
          <w:highlight w:val="none"/>
          <w:lang w:val="en-US" w:eastAsia="zh-CN"/>
        </w:rPr>
        <w:t>3.2</w:t>
      </w:r>
      <w:r>
        <w:rPr>
          <w:rFonts w:hint="default" w:ascii="Times New Roman" w:hAnsi="Times New Roman" w:eastAsia="华文中宋" w:cs="Times New Roman"/>
          <w:color w:val="auto"/>
          <w:highlight w:val="none"/>
        </w:rPr>
        <w:t>-</w:t>
      </w:r>
      <w:r>
        <w:rPr>
          <w:rFonts w:hint="eastAsia" w:ascii="Times New Roman" w:hAnsi="Times New Roman" w:cs="Times New Roman"/>
          <w:color w:val="auto"/>
          <w:highlight w:val="none"/>
          <w:lang w:val="en-US" w:eastAsia="zh-CN"/>
        </w:rPr>
        <w:t>7</w:t>
      </w:r>
      <w:r>
        <w:rPr>
          <w:rFonts w:hint="default" w:ascii="Times New Roman" w:hAnsi="Times New Roman" w:eastAsia="华文中宋" w:cs="Times New Roman"/>
          <w:color w:val="auto"/>
          <w:highlight w:val="none"/>
        </w:rPr>
        <w:t>。</w:t>
      </w:r>
    </w:p>
    <w:p w14:paraId="502EE799">
      <w:pPr>
        <w:spacing w:line="440" w:lineRule="exact"/>
        <w:ind w:firstLine="480" w:firstLineChars="200"/>
        <w:jc w:val="center"/>
        <w:rPr>
          <w:rFonts w:hint="default" w:ascii="Times New Roman" w:hAnsi="Times New Roman" w:eastAsia="华文中宋" w:cs="Times New Roman"/>
          <w:b/>
          <w:bCs/>
          <w:color w:val="auto"/>
          <w:szCs w:val="24"/>
          <w:highlight w:val="none"/>
        </w:rPr>
      </w:pPr>
      <w:r>
        <w:rPr>
          <w:rFonts w:hint="default" w:ascii="Times New Roman" w:hAnsi="Times New Roman" w:eastAsia="华文中宋" w:cs="Times New Roman"/>
          <w:b/>
          <w:bCs/>
          <w:color w:val="auto"/>
          <w:szCs w:val="24"/>
          <w:highlight w:val="none"/>
        </w:rPr>
        <w:t>表</w:t>
      </w:r>
      <w:r>
        <w:rPr>
          <w:rFonts w:hint="eastAsia" w:ascii="Times New Roman" w:hAnsi="Times New Roman" w:cs="Times New Roman"/>
          <w:b/>
          <w:bCs/>
          <w:color w:val="auto"/>
          <w:szCs w:val="24"/>
          <w:highlight w:val="none"/>
          <w:lang w:val="en-US" w:eastAsia="zh-CN"/>
        </w:rPr>
        <w:t>3</w:t>
      </w:r>
      <w:r>
        <w:rPr>
          <w:rFonts w:hint="default" w:ascii="Times New Roman" w:hAnsi="Times New Roman" w:eastAsia="华文中宋" w:cs="Times New Roman"/>
          <w:b/>
          <w:bCs/>
          <w:color w:val="auto"/>
          <w:szCs w:val="24"/>
          <w:highlight w:val="none"/>
        </w:rPr>
        <w:t>.</w:t>
      </w:r>
      <w:r>
        <w:rPr>
          <w:rFonts w:hint="eastAsia" w:ascii="Times New Roman" w:hAnsi="Times New Roman" w:cs="Times New Roman"/>
          <w:b/>
          <w:bCs/>
          <w:color w:val="auto"/>
          <w:szCs w:val="24"/>
          <w:highlight w:val="none"/>
          <w:lang w:val="en-US" w:eastAsia="zh-CN"/>
        </w:rPr>
        <w:t>2</w:t>
      </w:r>
      <w:r>
        <w:rPr>
          <w:rFonts w:hint="default" w:ascii="Times New Roman" w:hAnsi="Times New Roman" w:eastAsia="华文中宋" w:cs="Times New Roman"/>
          <w:b/>
          <w:bCs/>
          <w:color w:val="auto"/>
          <w:szCs w:val="24"/>
          <w:highlight w:val="none"/>
        </w:rPr>
        <w:t>-</w:t>
      </w:r>
      <w:r>
        <w:rPr>
          <w:rFonts w:hint="eastAsia" w:ascii="Times New Roman" w:hAnsi="Times New Roman" w:cs="Times New Roman"/>
          <w:b/>
          <w:bCs/>
          <w:color w:val="auto"/>
          <w:szCs w:val="24"/>
          <w:highlight w:val="none"/>
          <w:lang w:val="en-US" w:eastAsia="zh-CN"/>
        </w:rPr>
        <w:t>7</w:t>
      </w:r>
      <w:r>
        <w:rPr>
          <w:rFonts w:hint="default" w:ascii="Times New Roman" w:hAnsi="Times New Roman" w:eastAsia="华文中宋" w:cs="Times New Roman"/>
          <w:b/>
          <w:bCs/>
          <w:color w:val="auto"/>
          <w:szCs w:val="24"/>
          <w:highlight w:val="none"/>
          <w:lang w:val="en-US" w:eastAsia="zh-CN"/>
        </w:rPr>
        <w:t xml:space="preserve">    </w:t>
      </w:r>
      <w:r>
        <w:rPr>
          <w:rFonts w:hint="eastAsia" w:ascii="Times New Roman" w:hAnsi="Times New Roman" w:cs="Times New Roman"/>
          <w:b/>
          <w:bCs/>
          <w:color w:val="auto"/>
          <w:szCs w:val="24"/>
          <w:highlight w:val="none"/>
          <w:lang w:eastAsia="zh-CN"/>
        </w:rPr>
        <w:t>尾矿、原矿</w:t>
      </w:r>
      <w:r>
        <w:rPr>
          <w:rFonts w:hint="default" w:ascii="Times New Roman" w:hAnsi="Times New Roman" w:eastAsia="华文中宋" w:cs="Times New Roman"/>
          <w:b/>
          <w:bCs/>
          <w:color w:val="auto"/>
          <w:szCs w:val="24"/>
          <w:highlight w:val="none"/>
        </w:rPr>
        <w:t>核素活度浓度检测结果</w:t>
      </w:r>
      <w:r>
        <w:rPr>
          <w:rFonts w:hint="default" w:ascii="Times New Roman" w:hAnsi="Times New Roman" w:eastAsia="华文中宋" w:cs="Times New Roman"/>
          <w:b/>
          <w:bCs/>
          <w:color w:val="auto"/>
          <w:szCs w:val="24"/>
          <w:highlight w:val="none"/>
          <w:lang w:val="en-US" w:eastAsia="zh-CN"/>
        </w:rPr>
        <w:t xml:space="preserve">     </w:t>
      </w:r>
      <w:r>
        <w:rPr>
          <w:rFonts w:hint="default" w:ascii="Times New Roman" w:hAnsi="Times New Roman" w:eastAsia="华文中宋" w:cs="Times New Roman"/>
          <w:b/>
          <w:bCs/>
          <w:color w:val="auto"/>
          <w:szCs w:val="24"/>
          <w:highlight w:val="none"/>
        </w:rPr>
        <w:t>单位：Bq/g</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79"/>
        <w:gridCol w:w="1940"/>
        <w:gridCol w:w="1592"/>
        <w:gridCol w:w="1529"/>
        <w:gridCol w:w="1779"/>
      </w:tblGrid>
      <w:tr w14:paraId="696252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85" w:type="pct"/>
            <w:tcBorders>
              <w:tl2br w:val="nil"/>
              <w:tr2bl w:val="nil"/>
            </w:tcBorders>
            <w:vAlign w:val="center"/>
          </w:tcPr>
          <w:p w14:paraId="44613602">
            <w:pPr>
              <w:keepNext w:val="0"/>
              <w:keepLines w:val="0"/>
              <w:pageBreakBefore w:val="0"/>
              <w:widowControl w:val="0"/>
              <w:kinsoku/>
              <w:wordWrap/>
              <w:overflowPunct/>
              <w:topLinePunct w:val="0"/>
              <w:autoSpaceDE/>
              <w:autoSpaceDN/>
              <w:bidi w:val="0"/>
              <w:adjustRightInd w:val="0"/>
              <w:snapToGrid/>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rPr>
            </w:pPr>
            <w:r>
              <w:rPr>
                <w:rFonts w:hint="default" w:ascii="Times New Roman" w:hAnsi="Times New Roman" w:eastAsia="华文中宋" w:cs="Times New Roman"/>
                <w:color w:val="auto"/>
                <w:sz w:val="21"/>
                <w:szCs w:val="21"/>
                <w:highlight w:val="none"/>
              </w:rPr>
              <w:t>检测项目</w:t>
            </w:r>
          </w:p>
        </w:tc>
        <w:tc>
          <w:tcPr>
            <w:tcW w:w="1138" w:type="pct"/>
            <w:tcBorders>
              <w:tl2br w:val="nil"/>
              <w:tr2bl w:val="nil"/>
            </w:tcBorders>
            <w:vAlign w:val="center"/>
          </w:tcPr>
          <w:p w14:paraId="59026010">
            <w:pPr>
              <w:keepNext w:val="0"/>
              <w:keepLines w:val="0"/>
              <w:pageBreakBefore w:val="0"/>
              <w:widowControl w:val="0"/>
              <w:kinsoku/>
              <w:wordWrap/>
              <w:overflowPunct/>
              <w:topLinePunct w:val="0"/>
              <w:autoSpaceDE/>
              <w:autoSpaceDN/>
              <w:bidi w:val="0"/>
              <w:adjustRightInd w:val="0"/>
              <w:snapToGrid/>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rPr>
            </w:pPr>
            <w:r>
              <w:rPr>
                <w:rFonts w:hint="eastAsia" w:cs="Times New Roman"/>
                <w:bCs/>
                <w:color w:val="auto"/>
                <w:sz w:val="21"/>
                <w:szCs w:val="21"/>
                <w:highlight w:val="none"/>
                <w:lang w:val="en-US" w:eastAsia="zh-CN"/>
              </w:rPr>
              <w:t>尾矿</w:t>
            </w:r>
            <w:r>
              <w:rPr>
                <w:rFonts w:hint="eastAsia" w:ascii="Times New Roman" w:hAnsi="Times New Roman" w:cs="Times New Roman"/>
                <w:bCs/>
                <w:color w:val="auto"/>
                <w:sz w:val="21"/>
                <w:szCs w:val="21"/>
                <w:highlight w:val="none"/>
                <w:lang w:val="en-US" w:eastAsia="zh-CN"/>
              </w:rPr>
              <w:t>1</w:t>
            </w:r>
            <w:r>
              <w:rPr>
                <w:rFonts w:hint="eastAsia" w:ascii="Times New Roman" w:hAnsi="Times New Roman" w:cs="Times New Roman"/>
                <w:bCs/>
                <w:color w:val="auto"/>
                <w:sz w:val="21"/>
                <w:szCs w:val="21"/>
                <w:highlight w:val="none"/>
                <w:vertAlign w:val="superscript"/>
                <w:lang w:val="en-US" w:eastAsia="zh-CN"/>
              </w:rPr>
              <w:t>#</w:t>
            </w:r>
          </w:p>
        </w:tc>
        <w:tc>
          <w:tcPr>
            <w:tcW w:w="934" w:type="pct"/>
            <w:tcBorders>
              <w:tl2br w:val="nil"/>
              <w:tr2bl w:val="nil"/>
            </w:tcBorders>
            <w:vAlign w:val="center"/>
          </w:tcPr>
          <w:p w14:paraId="52EB2D52">
            <w:pPr>
              <w:keepNext w:val="0"/>
              <w:keepLines w:val="0"/>
              <w:pageBreakBefore w:val="0"/>
              <w:widowControl w:val="0"/>
              <w:kinsoku/>
              <w:wordWrap/>
              <w:overflowPunct/>
              <w:topLinePunct w:val="0"/>
              <w:autoSpaceDE/>
              <w:autoSpaceDN/>
              <w:bidi w:val="0"/>
              <w:adjustRightInd w:val="0"/>
              <w:snapToGrid/>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lang w:eastAsia="zh-CN"/>
              </w:rPr>
            </w:pPr>
            <w:r>
              <w:rPr>
                <w:rFonts w:hint="eastAsia" w:cs="Times New Roman"/>
                <w:bCs/>
                <w:color w:val="auto"/>
                <w:sz w:val="21"/>
                <w:szCs w:val="21"/>
                <w:highlight w:val="none"/>
                <w:lang w:val="en-US" w:eastAsia="zh-CN"/>
              </w:rPr>
              <w:t>原矿</w:t>
            </w:r>
            <w:r>
              <w:rPr>
                <w:rFonts w:hint="eastAsia" w:ascii="Times New Roman" w:hAnsi="Times New Roman" w:cs="Times New Roman"/>
                <w:bCs/>
                <w:color w:val="auto"/>
                <w:sz w:val="21"/>
                <w:szCs w:val="21"/>
                <w:highlight w:val="none"/>
                <w:lang w:val="en-US" w:eastAsia="zh-CN"/>
              </w:rPr>
              <w:t>2</w:t>
            </w:r>
            <w:r>
              <w:rPr>
                <w:rFonts w:hint="eastAsia" w:ascii="Times New Roman" w:hAnsi="Times New Roman" w:cs="Times New Roman"/>
                <w:bCs/>
                <w:color w:val="auto"/>
                <w:sz w:val="21"/>
                <w:szCs w:val="21"/>
                <w:highlight w:val="none"/>
                <w:vertAlign w:val="superscript"/>
                <w:lang w:val="en-US" w:eastAsia="zh-CN"/>
              </w:rPr>
              <w:t>#</w:t>
            </w:r>
          </w:p>
        </w:tc>
        <w:tc>
          <w:tcPr>
            <w:tcW w:w="897" w:type="pct"/>
            <w:tcBorders>
              <w:tl2br w:val="nil"/>
              <w:tr2bl w:val="nil"/>
            </w:tcBorders>
            <w:vAlign w:val="center"/>
          </w:tcPr>
          <w:p w14:paraId="72D0412C">
            <w:pPr>
              <w:keepNext w:val="0"/>
              <w:keepLines w:val="0"/>
              <w:pageBreakBefore w:val="0"/>
              <w:widowControl w:val="0"/>
              <w:kinsoku/>
              <w:wordWrap/>
              <w:overflowPunct/>
              <w:topLinePunct w:val="0"/>
              <w:autoSpaceDE/>
              <w:autoSpaceDN/>
              <w:bidi w:val="0"/>
              <w:adjustRightInd w:val="0"/>
              <w:snapToGrid/>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rPr>
            </w:pPr>
            <w:r>
              <w:rPr>
                <w:rFonts w:hint="default" w:ascii="Times New Roman" w:hAnsi="Times New Roman" w:eastAsia="华文中宋" w:cs="Times New Roman"/>
                <w:color w:val="auto"/>
                <w:sz w:val="21"/>
                <w:szCs w:val="21"/>
                <w:highlight w:val="none"/>
              </w:rPr>
              <w:t>标准</w:t>
            </w:r>
          </w:p>
        </w:tc>
        <w:tc>
          <w:tcPr>
            <w:tcW w:w="1044" w:type="pct"/>
            <w:tcBorders>
              <w:tl2br w:val="nil"/>
              <w:tr2bl w:val="nil"/>
            </w:tcBorders>
            <w:vAlign w:val="center"/>
          </w:tcPr>
          <w:p w14:paraId="70729D6D">
            <w:pPr>
              <w:keepNext w:val="0"/>
              <w:keepLines w:val="0"/>
              <w:pageBreakBefore w:val="0"/>
              <w:widowControl w:val="0"/>
              <w:kinsoku/>
              <w:wordWrap/>
              <w:overflowPunct/>
              <w:topLinePunct w:val="0"/>
              <w:autoSpaceDE/>
              <w:autoSpaceDN/>
              <w:bidi w:val="0"/>
              <w:adjustRightInd w:val="0"/>
              <w:snapToGrid/>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rPr>
            </w:pPr>
            <w:r>
              <w:rPr>
                <w:rFonts w:hint="default" w:ascii="Times New Roman" w:hAnsi="Times New Roman" w:eastAsia="华文中宋" w:cs="Times New Roman"/>
                <w:color w:val="auto"/>
                <w:sz w:val="21"/>
                <w:szCs w:val="21"/>
                <w:highlight w:val="none"/>
              </w:rPr>
              <w:t>是否超标</w:t>
            </w:r>
          </w:p>
        </w:tc>
      </w:tr>
      <w:tr w14:paraId="0A52C3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9" w:type="dxa"/>
            <w:tcBorders>
              <w:tl2br w:val="nil"/>
              <w:tr2bl w:val="nil"/>
            </w:tcBorders>
            <w:vAlign w:val="center"/>
          </w:tcPr>
          <w:p w14:paraId="0D0BFBCB">
            <w:pPr>
              <w:keepNext w:val="0"/>
              <w:keepLines w:val="0"/>
              <w:pageBreakBefore w:val="0"/>
              <w:kinsoku/>
              <w:wordWrap/>
              <w:overflowPunct/>
              <w:topLinePunct w:val="0"/>
              <w:autoSpaceDE/>
              <w:autoSpaceDN/>
              <w:bidi w:val="0"/>
              <w:spacing w:beforeAutospacing="0" w:afterAutospacing="0" w:line="240" w:lineRule="atLeast"/>
              <w:ind w:firstLine="0" w:firstLineChars="0"/>
              <w:jc w:val="center"/>
              <w:textAlignment w:val="auto"/>
              <w:rPr>
                <w:rFonts w:hint="default" w:ascii="Times New Roman" w:hAnsi="Times New Roman" w:eastAsia="华文中宋" w:cs="Times New Roman"/>
                <w:color w:val="auto"/>
                <w:sz w:val="21"/>
                <w:szCs w:val="21"/>
                <w:highlight w:val="none"/>
              </w:rPr>
            </w:pPr>
            <w:r>
              <w:rPr>
                <w:rFonts w:hint="eastAsia" w:cs="Times New Roman"/>
                <w:bCs/>
                <w:color w:val="auto"/>
                <w:kern w:val="0"/>
                <w:sz w:val="21"/>
                <w:szCs w:val="21"/>
                <w:highlight w:val="none"/>
                <w:lang w:val="en-US" w:eastAsia="zh-CN"/>
              </w:rPr>
              <w:t>*</w:t>
            </w:r>
            <w:r>
              <w:rPr>
                <w:rFonts w:hint="eastAsia" w:cs="Times New Roman"/>
                <w:bCs/>
                <w:color w:val="auto"/>
                <w:kern w:val="0"/>
                <w:sz w:val="21"/>
                <w:szCs w:val="21"/>
                <w:highlight w:val="none"/>
                <w:vertAlign w:val="superscript"/>
                <w:lang w:val="en-US" w:eastAsia="zh-CN"/>
              </w:rPr>
              <w:t>226</w:t>
            </w:r>
            <w:r>
              <w:rPr>
                <w:rFonts w:hint="eastAsia" w:cs="Times New Roman"/>
                <w:bCs/>
                <w:color w:val="auto"/>
                <w:kern w:val="0"/>
                <w:sz w:val="21"/>
                <w:szCs w:val="21"/>
                <w:highlight w:val="none"/>
                <w:lang w:val="en-US" w:eastAsia="zh-CN"/>
              </w:rPr>
              <w:t>Ra</w:t>
            </w:r>
          </w:p>
        </w:tc>
        <w:tc>
          <w:tcPr>
            <w:tcW w:w="1940" w:type="dxa"/>
            <w:tcBorders>
              <w:tl2br w:val="nil"/>
              <w:tr2bl w:val="nil"/>
            </w:tcBorders>
            <w:vAlign w:val="center"/>
          </w:tcPr>
          <w:p w14:paraId="2D1C924E">
            <w:pPr>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lang w:val="en-US"/>
              </w:rPr>
            </w:pPr>
            <w:r>
              <w:rPr>
                <w:rFonts w:hint="eastAsia" w:ascii="Times New Roman" w:hAnsi="Times New Roman" w:cs="Times New Roman"/>
                <w:bCs w:val="0"/>
                <w:color w:val="auto"/>
                <w:kern w:val="2"/>
                <w:sz w:val="21"/>
                <w:szCs w:val="21"/>
                <w:highlight w:val="none"/>
                <w:lang w:val="en-US" w:eastAsia="zh-CN" w:bidi="ar-SA"/>
              </w:rPr>
              <w:t>0.0189</w:t>
            </w:r>
          </w:p>
        </w:tc>
        <w:tc>
          <w:tcPr>
            <w:tcW w:w="1592" w:type="dxa"/>
            <w:tcBorders>
              <w:tl2br w:val="nil"/>
              <w:tr2bl w:val="nil"/>
            </w:tcBorders>
            <w:vAlign w:val="center"/>
          </w:tcPr>
          <w:p w14:paraId="6F2BD3ED">
            <w:pPr>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lang w:val="en-US" w:eastAsia="zh-CN"/>
              </w:rPr>
            </w:pPr>
            <w:r>
              <w:rPr>
                <w:rFonts w:hint="eastAsia" w:ascii="Times New Roman" w:hAnsi="Times New Roman" w:cs="Times New Roman"/>
                <w:bCs w:val="0"/>
                <w:color w:val="auto"/>
                <w:kern w:val="2"/>
                <w:sz w:val="21"/>
                <w:szCs w:val="21"/>
                <w:highlight w:val="none"/>
                <w:lang w:val="en-US" w:eastAsia="zh-CN" w:bidi="ar-SA"/>
              </w:rPr>
              <w:t>0.0104</w:t>
            </w:r>
          </w:p>
        </w:tc>
        <w:tc>
          <w:tcPr>
            <w:tcW w:w="897" w:type="pct"/>
            <w:tcBorders>
              <w:tl2br w:val="nil"/>
              <w:tr2bl w:val="nil"/>
            </w:tcBorders>
            <w:vAlign w:val="center"/>
          </w:tcPr>
          <w:p w14:paraId="6B8604C9">
            <w:pPr>
              <w:keepNext w:val="0"/>
              <w:keepLines w:val="0"/>
              <w:pageBreakBefore w:val="0"/>
              <w:widowControl w:val="0"/>
              <w:kinsoku/>
              <w:wordWrap/>
              <w:overflowPunct/>
              <w:topLinePunct w:val="0"/>
              <w:autoSpaceDE/>
              <w:autoSpaceDN/>
              <w:bidi w:val="0"/>
              <w:adjustRightInd w:val="0"/>
              <w:snapToGrid/>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rPr>
            </w:pPr>
            <w:r>
              <w:rPr>
                <w:rFonts w:hint="default" w:ascii="Times New Roman" w:hAnsi="Times New Roman" w:eastAsia="华文中宋" w:cs="Times New Roman"/>
                <w:color w:val="auto"/>
                <w:sz w:val="21"/>
                <w:szCs w:val="21"/>
                <w:highlight w:val="none"/>
              </w:rPr>
              <w:t>1</w:t>
            </w:r>
          </w:p>
        </w:tc>
        <w:tc>
          <w:tcPr>
            <w:tcW w:w="1044" w:type="pct"/>
            <w:tcBorders>
              <w:tl2br w:val="nil"/>
              <w:tr2bl w:val="nil"/>
            </w:tcBorders>
            <w:vAlign w:val="center"/>
          </w:tcPr>
          <w:p w14:paraId="488C3288">
            <w:pPr>
              <w:keepNext w:val="0"/>
              <w:keepLines w:val="0"/>
              <w:pageBreakBefore w:val="0"/>
              <w:widowControl w:val="0"/>
              <w:kinsoku/>
              <w:wordWrap/>
              <w:overflowPunct/>
              <w:topLinePunct w:val="0"/>
              <w:autoSpaceDE/>
              <w:autoSpaceDN/>
              <w:bidi w:val="0"/>
              <w:adjustRightInd w:val="0"/>
              <w:snapToGrid/>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rPr>
            </w:pPr>
            <w:r>
              <w:rPr>
                <w:rFonts w:hint="default" w:ascii="Times New Roman" w:hAnsi="Times New Roman" w:eastAsia="华文中宋" w:cs="Times New Roman"/>
                <w:color w:val="auto"/>
                <w:sz w:val="21"/>
                <w:szCs w:val="21"/>
                <w:highlight w:val="none"/>
              </w:rPr>
              <w:t>否</w:t>
            </w:r>
          </w:p>
        </w:tc>
      </w:tr>
      <w:tr w14:paraId="7023FC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9" w:type="dxa"/>
            <w:tcBorders>
              <w:tl2br w:val="nil"/>
              <w:tr2bl w:val="nil"/>
            </w:tcBorders>
            <w:vAlign w:val="center"/>
          </w:tcPr>
          <w:p w14:paraId="6E40E5F7">
            <w:pPr>
              <w:keepNext w:val="0"/>
              <w:keepLines w:val="0"/>
              <w:pageBreakBefore w:val="0"/>
              <w:kinsoku/>
              <w:wordWrap/>
              <w:overflowPunct/>
              <w:topLinePunct w:val="0"/>
              <w:autoSpaceDE/>
              <w:autoSpaceDN/>
              <w:bidi w:val="0"/>
              <w:spacing w:beforeAutospacing="0" w:afterAutospacing="0" w:line="240" w:lineRule="atLeast"/>
              <w:ind w:firstLine="0" w:firstLineChars="0"/>
              <w:jc w:val="center"/>
              <w:textAlignment w:val="auto"/>
              <w:rPr>
                <w:rFonts w:hint="default" w:ascii="Times New Roman" w:hAnsi="Times New Roman" w:eastAsia="华文中宋" w:cs="Times New Roman"/>
                <w:color w:val="auto"/>
                <w:sz w:val="21"/>
                <w:szCs w:val="21"/>
                <w:highlight w:val="none"/>
              </w:rPr>
            </w:pPr>
            <w:r>
              <w:rPr>
                <w:rFonts w:hint="eastAsia" w:ascii="Times New Roman" w:hAnsi="Times New Roman" w:eastAsia="宋体" w:cs="Times New Roman"/>
                <w:bCs/>
                <w:color w:val="auto"/>
                <w:kern w:val="0"/>
                <w:sz w:val="21"/>
                <w:szCs w:val="21"/>
                <w:highlight w:val="none"/>
                <w:lang w:val="en-US" w:eastAsia="zh-CN"/>
              </w:rPr>
              <w:t>*</w:t>
            </w:r>
            <w:r>
              <w:rPr>
                <w:rFonts w:hint="eastAsia" w:cs="Times New Roman"/>
                <w:bCs/>
                <w:color w:val="auto"/>
                <w:kern w:val="0"/>
                <w:sz w:val="21"/>
                <w:szCs w:val="21"/>
                <w:highlight w:val="none"/>
                <w:vertAlign w:val="superscript"/>
                <w:lang w:val="en-US" w:eastAsia="zh-CN"/>
              </w:rPr>
              <w:t>232</w:t>
            </w:r>
            <w:r>
              <w:rPr>
                <w:rFonts w:hint="eastAsia" w:cs="Times New Roman"/>
                <w:bCs/>
                <w:color w:val="auto"/>
                <w:kern w:val="0"/>
                <w:sz w:val="21"/>
                <w:szCs w:val="21"/>
                <w:highlight w:val="none"/>
                <w:lang w:val="en-US" w:eastAsia="zh-CN"/>
              </w:rPr>
              <w:t>Th</w:t>
            </w:r>
          </w:p>
        </w:tc>
        <w:tc>
          <w:tcPr>
            <w:tcW w:w="1940" w:type="dxa"/>
            <w:tcBorders>
              <w:tl2br w:val="nil"/>
              <w:tr2bl w:val="nil"/>
            </w:tcBorders>
            <w:vAlign w:val="center"/>
          </w:tcPr>
          <w:p w14:paraId="388D3B60">
            <w:pPr>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lang w:val="en-US"/>
              </w:rPr>
            </w:pPr>
            <w:r>
              <w:rPr>
                <w:rFonts w:hint="eastAsia" w:ascii="Times New Roman" w:hAnsi="Times New Roman" w:cs="Times New Roman"/>
                <w:bCs w:val="0"/>
                <w:color w:val="auto"/>
                <w:kern w:val="2"/>
                <w:sz w:val="21"/>
                <w:szCs w:val="21"/>
                <w:highlight w:val="none"/>
                <w:lang w:val="en-US" w:eastAsia="zh-CN" w:bidi="ar-SA"/>
              </w:rPr>
              <w:t>0.0318</w:t>
            </w:r>
          </w:p>
        </w:tc>
        <w:tc>
          <w:tcPr>
            <w:tcW w:w="1592" w:type="dxa"/>
            <w:tcBorders>
              <w:tl2br w:val="nil"/>
              <w:tr2bl w:val="nil"/>
            </w:tcBorders>
            <w:vAlign w:val="center"/>
          </w:tcPr>
          <w:p w14:paraId="06313E26">
            <w:pPr>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lang w:val="en-US" w:eastAsia="zh-CN"/>
              </w:rPr>
            </w:pPr>
            <w:r>
              <w:rPr>
                <w:rFonts w:hint="eastAsia" w:ascii="Times New Roman" w:hAnsi="Times New Roman" w:cs="Times New Roman"/>
                <w:bCs w:val="0"/>
                <w:color w:val="auto"/>
                <w:kern w:val="2"/>
                <w:sz w:val="21"/>
                <w:szCs w:val="21"/>
                <w:highlight w:val="none"/>
                <w:lang w:val="en-US" w:eastAsia="zh-CN" w:bidi="ar-SA"/>
              </w:rPr>
              <w:t>0.0</w:t>
            </w:r>
            <w:r>
              <w:rPr>
                <w:rFonts w:hint="default" w:ascii="Times New Roman" w:hAnsi="Times New Roman" w:eastAsia="华文中宋" w:cs="Times New Roman"/>
                <w:bCs w:val="0"/>
                <w:color w:val="auto"/>
                <w:kern w:val="2"/>
                <w:sz w:val="21"/>
                <w:szCs w:val="21"/>
                <w:highlight w:val="none"/>
                <w:lang w:val="en-US" w:eastAsia="zh-CN" w:bidi="ar-SA"/>
              </w:rPr>
              <w:t>119</w:t>
            </w:r>
          </w:p>
        </w:tc>
        <w:tc>
          <w:tcPr>
            <w:tcW w:w="897" w:type="pct"/>
            <w:tcBorders>
              <w:tl2br w:val="nil"/>
              <w:tr2bl w:val="nil"/>
            </w:tcBorders>
            <w:vAlign w:val="center"/>
          </w:tcPr>
          <w:p w14:paraId="6E05185E">
            <w:pPr>
              <w:keepNext w:val="0"/>
              <w:keepLines w:val="0"/>
              <w:pageBreakBefore w:val="0"/>
              <w:widowControl w:val="0"/>
              <w:kinsoku/>
              <w:wordWrap/>
              <w:overflowPunct/>
              <w:topLinePunct w:val="0"/>
              <w:autoSpaceDE/>
              <w:autoSpaceDN/>
              <w:bidi w:val="0"/>
              <w:adjustRightInd w:val="0"/>
              <w:snapToGrid/>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rPr>
            </w:pPr>
            <w:r>
              <w:rPr>
                <w:rFonts w:hint="default" w:ascii="Times New Roman" w:hAnsi="Times New Roman" w:eastAsia="华文中宋" w:cs="Times New Roman"/>
                <w:color w:val="auto"/>
                <w:sz w:val="21"/>
                <w:szCs w:val="21"/>
                <w:highlight w:val="none"/>
              </w:rPr>
              <w:t>1</w:t>
            </w:r>
          </w:p>
        </w:tc>
        <w:tc>
          <w:tcPr>
            <w:tcW w:w="1044" w:type="pct"/>
            <w:tcBorders>
              <w:tl2br w:val="nil"/>
              <w:tr2bl w:val="nil"/>
            </w:tcBorders>
            <w:vAlign w:val="center"/>
          </w:tcPr>
          <w:p w14:paraId="256C9235">
            <w:pPr>
              <w:keepNext w:val="0"/>
              <w:keepLines w:val="0"/>
              <w:pageBreakBefore w:val="0"/>
              <w:widowControl w:val="0"/>
              <w:kinsoku/>
              <w:wordWrap/>
              <w:overflowPunct/>
              <w:topLinePunct w:val="0"/>
              <w:autoSpaceDE/>
              <w:autoSpaceDN/>
              <w:bidi w:val="0"/>
              <w:adjustRightInd w:val="0"/>
              <w:snapToGrid/>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rPr>
            </w:pPr>
            <w:r>
              <w:rPr>
                <w:rFonts w:hint="default" w:ascii="Times New Roman" w:hAnsi="Times New Roman" w:eastAsia="华文中宋" w:cs="Times New Roman"/>
                <w:color w:val="auto"/>
                <w:sz w:val="21"/>
                <w:szCs w:val="21"/>
                <w:highlight w:val="none"/>
              </w:rPr>
              <w:t>否</w:t>
            </w:r>
          </w:p>
        </w:tc>
      </w:tr>
      <w:tr w14:paraId="24187B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679" w:type="dxa"/>
            <w:tcBorders>
              <w:tl2br w:val="nil"/>
              <w:tr2bl w:val="nil"/>
            </w:tcBorders>
            <w:vAlign w:val="center"/>
          </w:tcPr>
          <w:p w14:paraId="1D7F07DB">
            <w:pPr>
              <w:keepNext w:val="0"/>
              <w:keepLines w:val="0"/>
              <w:pageBreakBefore w:val="0"/>
              <w:kinsoku/>
              <w:wordWrap/>
              <w:overflowPunct/>
              <w:topLinePunct w:val="0"/>
              <w:autoSpaceDE/>
              <w:autoSpaceDN/>
              <w:bidi w:val="0"/>
              <w:spacing w:beforeAutospacing="0" w:afterAutospacing="0" w:line="240" w:lineRule="atLeast"/>
              <w:ind w:firstLine="0" w:firstLineChars="0"/>
              <w:jc w:val="center"/>
              <w:textAlignment w:val="auto"/>
              <w:rPr>
                <w:rFonts w:hint="default" w:ascii="Times New Roman" w:hAnsi="Times New Roman" w:eastAsia="华文中宋" w:cs="Times New Roman"/>
                <w:color w:val="auto"/>
                <w:sz w:val="21"/>
                <w:szCs w:val="21"/>
                <w:highlight w:val="none"/>
                <w:lang w:eastAsia="zh-CN"/>
              </w:rPr>
            </w:pPr>
            <w:r>
              <w:rPr>
                <w:rFonts w:hint="eastAsia" w:ascii="Times New Roman" w:hAnsi="Times New Roman" w:eastAsia="宋体" w:cs="Times New Roman"/>
                <w:bCs/>
                <w:color w:val="auto"/>
                <w:kern w:val="0"/>
                <w:sz w:val="21"/>
                <w:szCs w:val="21"/>
                <w:highlight w:val="none"/>
                <w:lang w:val="en-US" w:eastAsia="zh-CN"/>
              </w:rPr>
              <w:t>*</w:t>
            </w:r>
            <w:r>
              <w:rPr>
                <w:rFonts w:hint="eastAsia" w:cs="Times New Roman"/>
                <w:bCs/>
                <w:color w:val="auto"/>
                <w:kern w:val="0"/>
                <w:sz w:val="21"/>
                <w:szCs w:val="21"/>
                <w:highlight w:val="none"/>
                <w:vertAlign w:val="superscript"/>
                <w:lang w:val="en-US" w:eastAsia="zh-CN"/>
              </w:rPr>
              <w:t>40</w:t>
            </w:r>
            <w:r>
              <w:rPr>
                <w:rFonts w:hint="eastAsia" w:cs="Times New Roman"/>
                <w:bCs/>
                <w:color w:val="auto"/>
                <w:kern w:val="0"/>
                <w:sz w:val="21"/>
                <w:szCs w:val="21"/>
                <w:highlight w:val="none"/>
                <w:lang w:val="en-US" w:eastAsia="zh-CN"/>
              </w:rPr>
              <w:t>K</w:t>
            </w:r>
          </w:p>
        </w:tc>
        <w:tc>
          <w:tcPr>
            <w:tcW w:w="1940" w:type="dxa"/>
            <w:tcBorders>
              <w:tl2br w:val="nil"/>
              <w:tr2bl w:val="nil"/>
            </w:tcBorders>
            <w:vAlign w:val="center"/>
          </w:tcPr>
          <w:p w14:paraId="41821E8C">
            <w:pPr>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lang w:val="en-US" w:eastAsia="zh-CN"/>
              </w:rPr>
            </w:pPr>
            <w:r>
              <w:rPr>
                <w:rFonts w:hint="eastAsia" w:ascii="Times New Roman" w:hAnsi="Times New Roman" w:cs="Times New Roman"/>
                <w:bCs w:val="0"/>
                <w:color w:val="auto"/>
                <w:sz w:val="21"/>
                <w:szCs w:val="21"/>
                <w:highlight w:val="none"/>
                <w:lang w:val="en-US" w:eastAsia="zh-CN"/>
              </w:rPr>
              <w:t>0.398</w:t>
            </w:r>
          </w:p>
        </w:tc>
        <w:tc>
          <w:tcPr>
            <w:tcW w:w="1592" w:type="dxa"/>
            <w:tcBorders>
              <w:tl2br w:val="nil"/>
              <w:tr2bl w:val="nil"/>
            </w:tcBorders>
            <w:vAlign w:val="center"/>
          </w:tcPr>
          <w:p w14:paraId="36D63517">
            <w:pPr>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rPr>
            </w:pPr>
            <w:r>
              <w:rPr>
                <w:rFonts w:hint="eastAsia" w:ascii="Times New Roman" w:hAnsi="Times New Roman" w:cs="Times New Roman"/>
                <w:bCs w:val="0"/>
                <w:color w:val="auto"/>
                <w:sz w:val="21"/>
                <w:szCs w:val="21"/>
                <w:highlight w:val="none"/>
                <w:lang w:val="en-US" w:eastAsia="zh-CN"/>
              </w:rPr>
              <w:t>0.</w:t>
            </w:r>
            <w:r>
              <w:rPr>
                <w:rFonts w:hint="default" w:ascii="Times New Roman" w:hAnsi="Times New Roman" w:cs="Times New Roman"/>
                <w:bCs w:val="0"/>
                <w:color w:val="auto"/>
                <w:sz w:val="21"/>
                <w:szCs w:val="21"/>
                <w:highlight w:val="none"/>
                <w:lang w:val="en-US" w:eastAsia="zh-CN"/>
              </w:rPr>
              <w:t>244</w:t>
            </w:r>
          </w:p>
        </w:tc>
        <w:tc>
          <w:tcPr>
            <w:tcW w:w="897" w:type="pct"/>
            <w:tcBorders>
              <w:tl2br w:val="nil"/>
              <w:tr2bl w:val="nil"/>
            </w:tcBorders>
            <w:vAlign w:val="center"/>
          </w:tcPr>
          <w:p w14:paraId="58BC90B3">
            <w:pPr>
              <w:keepNext w:val="0"/>
              <w:keepLines w:val="0"/>
              <w:pageBreakBefore w:val="0"/>
              <w:widowControl w:val="0"/>
              <w:kinsoku/>
              <w:wordWrap/>
              <w:overflowPunct/>
              <w:topLinePunct w:val="0"/>
              <w:autoSpaceDE/>
              <w:autoSpaceDN/>
              <w:bidi w:val="0"/>
              <w:adjustRightInd w:val="0"/>
              <w:snapToGrid/>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rPr>
            </w:pPr>
            <w:r>
              <w:rPr>
                <w:rFonts w:hint="default" w:ascii="Times New Roman" w:hAnsi="Times New Roman" w:eastAsia="华文中宋" w:cs="Times New Roman"/>
                <w:color w:val="auto"/>
                <w:sz w:val="21"/>
                <w:szCs w:val="21"/>
                <w:highlight w:val="none"/>
              </w:rPr>
              <w:t>1</w:t>
            </w:r>
          </w:p>
        </w:tc>
        <w:tc>
          <w:tcPr>
            <w:tcW w:w="1044" w:type="pct"/>
            <w:tcBorders>
              <w:tl2br w:val="nil"/>
              <w:tr2bl w:val="nil"/>
            </w:tcBorders>
            <w:vAlign w:val="center"/>
          </w:tcPr>
          <w:p w14:paraId="5826F4D8">
            <w:pPr>
              <w:keepNext w:val="0"/>
              <w:keepLines w:val="0"/>
              <w:pageBreakBefore w:val="0"/>
              <w:widowControl w:val="0"/>
              <w:kinsoku/>
              <w:wordWrap/>
              <w:overflowPunct/>
              <w:topLinePunct w:val="0"/>
              <w:autoSpaceDE/>
              <w:autoSpaceDN/>
              <w:bidi w:val="0"/>
              <w:adjustRightInd w:val="0"/>
              <w:snapToGrid/>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rPr>
            </w:pPr>
            <w:r>
              <w:rPr>
                <w:rFonts w:hint="default" w:ascii="Times New Roman" w:hAnsi="Times New Roman" w:eastAsia="华文中宋" w:cs="Times New Roman"/>
                <w:color w:val="auto"/>
                <w:sz w:val="21"/>
                <w:szCs w:val="21"/>
                <w:highlight w:val="none"/>
              </w:rPr>
              <w:t>否</w:t>
            </w:r>
          </w:p>
        </w:tc>
      </w:tr>
      <w:tr w14:paraId="42C018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9" w:type="dxa"/>
            <w:tcBorders>
              <w:tl2br w:val="nil"/>
              <w:tr2bl w:val="nil"/>
            </w:tcBorders>
            <w:vAlign w:val="center"/>
          </w:tcPr>
          <w:p w14:paraId="0E9F00E6">
            <w:pPr>
              <w:keepNext w:val="0"/>
              <w:keepLines w:val="0"/>
              <w:pageBreakBefore w:val="0"/>
              <w:kinsoku/>
              <w:wordWrap/>
              <w:overflowPunct/>
              <w:topLinePunct w:val="0"/>
              <w:autoSpaceDE/>
              <w:autoSpaceDN/>
              <w:bidi w:val="0"/>
              <w:spacing w:beforeAutospacing="0" w:afterAutospacing="0" w:line="240" w:lineRule="atLeast"/>
              <w:ind w:firstLine="0" w:firstLineChars="0"/>
              <w:jc w:val="center"/>
              <w:textAlignment w:val="auto"/>
              <w:rPr>
                <w:rFonts w:hint="default" w:ascii="Times New Roman" w:hAnsi="Times New Roman" w:eastAsia="华文中宋" w:cs="Times New Roman"/>
                <w:color w:val="auto"/>
                <w:sz w:val="21"/>
                <w:szCs w:val="21"/>
                <w:highlight w:val="none"/>
              </w:rPr>
            </w:pPr>
            <w:r>
              <w:rPr>
                <w:rFonts w:hint="eastAsia" w:ascii="Times New Roman" w:hAnsi="Times New Roman" w:eastAsia="宋体" w:cs="Times New Roman"/>
                <w:bCs/>
                <w:color w:val="auto"/>
                <w:kern w:val="0"/>
                <w:sz w:val="21"/>
                <w:szCs w:val="21"/>
                <w:highlight w:val="none"/>
                <w:lang w:val="en-US" w:eastAsia="zh-CN"/>
              </w:rPr>
              <w:t>*</w:t>
            </w:r>
            <w:r>
              <w:rPr>
                <w:rFonts w:hint="eastAsia" w:cs="Times New Roman"/>
                <w:bCs/>
                <w:color w:val="auto"/>
                <w:kern w:val="0"/>
                <w:sz w:val="21"/>
                <w:szCs w:val="21"/>
                <w:highlight w:val="none"/>
                <w:vertAlign w:val="superscript"/>
                <w:lang w:val="en-US" w:eastAsia="zh-CN"/>
              </w:rPr>
              <w:t>238</w:t>
            </w:r>
            <w:r>
              <w:rPr>
                <w:rFonts w:hint="eastAsia" w:cs="Times New Roman"/>
                <w:bCs/>
                <w:color w:val="auto"/>
                <w:kern w:val="0"/>
                <w:sz w:val="21"/>
                <w:szCs w:val="21"/>
                <w:highlight w:val="none"/>
                <w:lang w:val="en-US" w:eastAsia="zh-CN"/>
              </w:rPr>
              <w:t>U</w:t>
            </w:r>
          </w:p>
        </w:tc>
        <w:tc>
          <w:tcPr>
            <w:tcW w:w="1940" w:type="dxa"/>
            <w:tcBorders>
              <w:tl2br w:val="nil"/>
              <w:tr2bl w:val="nil"/>
            </w:tcBorders>
            <w:vAlign w:val="center"/>
          </w:tcPr>
          <w:p w14:paraId="54DF2DC7">
            <w:pPr>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lang w:val="en-US" w:eastAsia="zh-CN"/>
              </w:rPr>
            </w:pPr>
            <w:r>
              <w:rPr>
                <w:rFonts w:hint="eastAsia" w:ascii="Times New Roman" w:hAnsi="Times New Roman" w:cs="Times New Roman"/>
                <w:bCs w:val="0"/>
                <w:color w:val="auto"/>
                <w:sz w:val="21"/>
                <w:szCs w:val="21"/>
                <w:highlight w:val="none"/>
                <w:lang w:val="en-US" w:eastAsia="zh-CN"/>
              </w:rPr>
              <w:t>0.0364</w:t>
            </w:r>
          </w:p>
        </w:tc>
        <w:tc>
          <w:tcPr>
            <w:tcW w:w="1592" w:type="dxa"/>
            <w:tcBorders>
              <w:tl2br w:val="nil"/>
              <w:tr2bl w:val="nil"/>
            </w:tcBorders>
            <w:vAlign w:val="center"/>
          </w:tcPr>
          <w:p w14:paraId="0302F7C7">
            <w:pPr>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lang w:val="en-US" w:eastAsia="zh-CN"/>
              </w:rPr>
            </w:pPr>
            <w:r>
              <w:rPr>
                <w:rFonts w:hint="default" w:ascii="Times New Roman" w:hAnsi="Times New Roman" w:cs="Times New Roman"/>
                <w:bCs w:val="0"/>
                <w:color w:val="auto"/>
                <w:sz w:val="21"/>
                <w:szCs w:val="21"/>
                <w:highlight w:val="none"/>
                <w:lang w:val="en-US" w:eastAsia="zh-CN"/>
              </w:rPr>
              <w:t>&lt;</w:t>
            </w:r>
            <w:r>
              <w:rPr>
                <w:rFonts w:hint="eastAsia" w:ascii="Times New Roman" w:hAnsi="Times New Roman" w:cs="Times New Roman"/>
                <w:bCs w:val="0"/>
                <w:color w:val="auto"/>
                <w:sz w:val="21"/>
                <w:szCs w:val="21"/>
                <w:highlight w:val="none"/>
                <w:lang w:val="en-US" w:eastAsia="zh-CN"/>
              </w:rPr>
              <w:t>0.00</w:t>
            </w:r>
            <w:r>
              <w:rPr>
                <w:rFonts w:hint="default" w:ascii="Times New Roman" w:hAnsi="Times New Roman" w:cs="Times New Roman"/>
                <w:bCs w:val="0"/>
                <w:color w:val="auto"/>
                <w:sz w:val="21"/>
                <w:szCs w:val="21"/>
                <w:highlight w:val="none"/>
                <w:lang w:val="en-US" w:eastAsia="zh-CN"/>
              </w:rPr>
              <w:t>76</w:t>
            </w:r>
          </w:p>
        </w:tc>
        <w:tc>
          <w:tcPr>
            <w:tcW w:w="897" w:type="pct"/>
            <w:tcBorders>
              <w:tl2br w:val="nil"/>
              <w:tr2bl w:val="nil"/>
            </w:tcBorders>
            <w:vAlign w:val="center"/>
          </w:tcPr>
          <w:p w14:paraId="457777EA">
            <w:pPr>
              <w:keepNext w:val="0"/>
              <w:keepLines w:val="0"/>
              <w:pageBreakBefore w:val="0"/>
              <w:widowControl w:val="0"/>
              <w:kinsoku/>
              <w:wordWrap/>
              <w:overflowPunct/>
              <w:topLinePunct w:val="0"/>
              <w:autoSpaceDE/>
              <w:autoSpaceDN/>
              <w:bidi w:val="0"/>
              <w:adjustRightInd w:val="0"/>
              <w:snapToGrid/>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rPr>
            </w:pPr>
            <w:r>
              <w:rPr>
                <w:rFonts w:hint="default" w:ascii="Times New Roman" w:hAnsi="Times New Roman" w:eastAsia="华文中宋" w:cs="Times New Roman"/>
                <w:color w:val="auto"/>
                <w:sz w:val="21"/>
                <w:szCs w:val="21"/>
                <w:highlight w:val="none"/>
              </w:rPr>
              <w:t>1</w:t>
            </w:r>
          </w:p>
        </w:tc>
        <w:tc>
          <w:tcPr>
            <w:tcW w:w="1044" w:type="pct"/>
            <w:tcBorders>
              <w:tl2br w:val="nil"/>
              <w:tr2bl w:val="nil"/>
            </w:tcBorders>
            <w:vAlign w:val="center"/>
          </w:tcPr>
          <w:p w14:paraId="03AC45FF">
            <w:pPr>
              <w:keepNext w:val="0"/>
              <w:keepLines w:val="0"/>
              <w:pageBreakBefore w:val="0"/>
              <w:widowControl w:val="0"/>
              <w:kinsoku/>
              <w:wordWrap/>
              <w:overflowPunct/>
              <w:topLinePunct w:val="0"/>
              <w:autoSpaceDE/>
              <w:autoSpaceDN/>
              <w:bidi w:val="0"/>
              <w:adjustRightInd w:val="0"/>
              <w:snapToGrid/>
              <w:spacing w:line="240" w:lineRule="atLeast"/>
              <w:ind w:firstLine="0" w:firstLineChars="0"/>
              <w:jc w:val="center"/>
              <w:textAlignment w:val="baseline"/>
              <w:rPr>
                <w:rFonts w:hint="default" w:ascii="Times New Roman" w:hAnsi="Times New Roman" w:eastAsia="华文中宋" w:cs="Times New Roman"/>
                <w:color w:val="auto"/>
                <w:sz w:val="21"/>
                <w:szCs w:val="21"/>
                <w:highlight w:val="none"/>
              </w:rPr>
            </w:pPr>
            <w:r>
              <w:rPr>
                <w:rFonts w:hint="default" w:ascii="Times New Roman" w:hAnsi="Times New Roman" w:eastAsia="华文中宋" w:cs="Times New Roman"/>
                <w:color w:val="auto"/>
                <w:sz w:val="21"/>
                <w:szCs w:val="21"/>
                <w:highlight w:val="none"/>
              </w:rPr>
              <w:t>否</w:t>
            </w:r>
          </w:p>
        </w:tc>
      </w:tr>
    </w:tbl>
    <w:p w14:paraId="2C0A69A9">
      <w:pPr>
        <w:pStyle w:val="3"/>
        <w:rPr>
          <w:rFonts w:hint="default"/>
          <w:color w:val="auto"/>
          <w:highlight w:val="none"/>
        </w:rPr>
      </w:pPr>
      <w:r>
        <w:rPr>
          <w:rFonts w:hint="default" w:ascii="Times New Roman" w:hAnsi="Times New Roman" w:eastAsia="华文中宋" w:cs="Times New Roman"/>
          <w:color w:val="auto"/>
          <w:highlight w:val="none"/>
        </w:rPr>
        <w:t>检测结果表明，</w:t>
      </w:r>
      <w:r>
        <w:rPr>
          <w:rFonts w:hint="eastAsia" w:cs="Times New Roman"/>
          <w:color w:val="auto"/>
          <w:highlight w:val="none"/>
          <w:lang w:eastAsia="zh-CN"/>
        </w:rPr>
        <w:t>本项目</w:t>
      </w:r>
      <w:r>
        <w:rPr>
          <w:rFonts w:hint="eastAsia" w:ascii="Times New Roman" w:hAnsi="Times New Roman" w:cs="Times New Roman"/>
          <w:color w:val="auto"/>
          <w:highlight w:val="none"/>
          <w:lang w:eastAsia="zh-CN"/>
        </w:rPr>
        <w:t>尾矿</w:t>
      </w:r>
      <w:r>
        <w:rPr>
          <w:rFonts w:hint="default" w:ascii="Times New Roman" w:hAnsi="Times New Roman" w:eastAsia="华文中宋" w:cs="Times New Roman"/>
          <w:color w:val="auto"/>
          <w:highlight w:val="none"/>
          <w:lang w:eastAsia="zh-CN"/>
        </w:rPr>
        <w:t>、</w:t>
      </w:r>
      <w:r>
        <w:rPr>
          <w:rFonts w:hint="eastAsia" w:ascii="Times New Roman" w:hAnsi="Times New Roman" w:cs="Times New Roman"/>
          <w:color w:val="auto"/>
          <w:highlight w:val="none"/>
          <w:lang w:eastAsia="zh-CN"/>
        </w:rPr>
        <w:t>原矿</w:t>
      </w:r>
      <w:r>
        <w:rPr>
          <w:rFonts w:hint="default" w:ascii="Times New Roman" w:hAnsi="Times New Roman" w:eastAsia="华文中宋" w:cs="Times New Roman"/>
          <w:color w:val="auto"/>
          <w:highlight w:val="none"/>
        </w:rPr>
        <w:t>中</w:t>
      </w:r>
      <w:r>
        <w:rPr>
          <w:rFonts w:hint="default" w:ascii="Times New Roman" w:hAnsi="Times New Roman" w:eastAsia="华文中宋" w:cs="Times New Roman"/>
          <w:snapToGrid w:val="0"/>
          <w:color w:val="auto"/>
          <w:kern w:val="0"/>
          <w:sz w:val="24"/>
          <w:szCs w:val="24"/>
          <w:highlight w:val="none"/>
        </w:rPr>
        <w:t>铀系、</w:t>
      </w:r>
      <w:r>
        <w:rPr>
          <w:rFonts w:hint="eastAsia" w:ascii="Times New Roman" w:hAnsi="Times New Roman" w:cs="Times New Roman"/>
          <w:snapToGrid w:val="0"/>
          <w:color w:val="auto"/>
          <w:kern w:val="0"/>
          <w:sz w:val="24"/>
          <w:szCs w:val="24"/>
          <w:highlight w:val="none"/>
          <w:lang w:eastAsia="zh-CN"/>
        </w:rPr>
        <w:t>钾系、</w:t>
      </w:r>
      <w:r>
        <w:rPr>
          <w:rFonts w:hint="default" w:ascii="Times New Roman" w:hAnsi="Times New Roman" w:eastAsia="华文中宋" w:cs="Times New Roman"/>
          <w:snapToGrid w:val="0"/>
          <w:color w:val="auto"/>
          <w:kern w:val="0"/>
          <w:sz w:val="24"/>
          <w:szCs w:val="24"/>
          <w:highlight w:val="none"/>
        </w:rPr>
        <w:t>钍系、镭系</w:t>
      </w:r>
      <w:r>
        <w:rPr>
          <w:rFonts w:hint="default" w:ascii="Times New Roman" w:hAnsi="Times New Roman" w:eastAsia="华文中宋" w:cs="Times New Roman"/>
          <w:color w:val="auto"/>
          <w:highlight w:val="none"/>
        </w:rPr>
        <w:t>单个核素活度浓度均远低于1Bq/g。</w:t>
      </w:r>
    </w:p>
    <w:p w14:paraId="76A6B287">
      <w:pPr>
        <w:pStyle w:val="42"/>
        <w:rPr>
          <w:rFonts w:hint="default"/>
          <w:color w:val="auto"/>
          <w:highlight w:val="none"/>
        </w:rPr>
      </w:pPr>
      <w:r>
        <w:rPr>
          <w:color w:val="auto"/>
          <w:highlight w:val="none"/>
        </w:rPr>
        <w:t>构建筑物</w:t>
      </w:r>
    </w:p>
    <w:p w14:paraId="741BE265">
      <w:pPr>
        <w:pStyle w:val="3"/>
        <w:ind w:firstLine="480"/>
        <w:rPr>
          <w:color w:val="auto"/>
          <w:highlight w:val="none"/>
        </w:rPr>
      </w:pPr>
      <w:r>
        <w:rPr>
          <w:rFonts w:hint="eastAsia"/>
          <w:color w:val="auto"/>
          <w:highlight w:val="none"/>
        </w:rPr>
        <w:t>选矿厂主要构建筑物详见下表。</w:t>
      </w:r>
    </w:p>
    <w:p w14:paraId="6CC9388C">
      <w:pPr>
        <w:pStyle w:val="40"/>
        <w:spacing w:before="31" w:after="31"/>
        <w:rPr>
          <w:rFonts w:hint="eastAsia"/>
          <w:color w:val="auto"/>
          <w:highlight w:val="none"/>
        </w:rPr>
      </w:pPr>
      <w:r>
        <w:rPr>
          <w:rFonts w:hint="eastAsia"/>
          <w:color w:val="auto"/>
          <w:highlight w:val="none"/>
        </w:rPr>
        <w:t>表3.2-</w:t>
      </w:r>
      <w:r>
        <w:rPr>
          <w:rFonts w:hint="eastAsia"/>
          <w:color w:val="auto"/>
          <w:highlight w:val="none"/>
          <w:lang w:val="en-US" w:eastAsia="zh-CN"/>
        </w:rPr>
        <w:t>8</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选矿厂构建筑物一览表</w:t>
      </w:r>
    </w:p>
    <w:tbl>
      <w:tblPr>
        <w:tblStyle w:val="25"/>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686"/>
        <w:gridCol w:w="2045"/>
        <w:gridCol w:w="1316"/>
        <w:gridCol w:w="1316"/>
        <w:gridCol w:w="1842"/>
        <w:gridCol w:w="1317"/>
      </w:tblGrid>
      <w:tr w14:paraId="2DC072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l2br w:val="nil"/>
              <w:tr2bl w:val="nil"/>
            </w:tcBorders>
            <w:shd w:val="clear" w:color="auto" w:fill="auto"/>
            <w:noWrap/>
            <w:vAlign w:val="center"/>
          </w:tcPr>
          <w:p w14:paraId="138A41C1">
            <w:pPr>
              <w:pStyle w:val="41"/>
              <w:bidi w:val="0"/>
              <w:rPr>
                <w:rFonts w:hint="eastAsia"/>
                <w:color w:val="auto"/>
                <w:highlight w:val="none"/>
              </w:rPr>
            </w:pPr>
            <w:r>
              <w:rPr>
                <w:rFonts w:hint="eastAsia"/>
                <w:color w:val="auto"/>
                <w:highlight w:val="none"/>
                <w:lang w:val="en-US" w:eastAsia="zh-CN"/>
              </w:rPr>
              <w:t>序号</w:t>
            </w:r>
          </w:p>
        </w:tc>
        <w:tc>
          <w:tcPr>
            <w:tcW w:w="0" w:type="auto"/>
            <w:tcBorders>
              <w:tl2br w:val="nil"/>
              <w:tr2bl w:val="nil"/>
            </w:tcBorders>
            <w:shd w:val="clear" w:color="auto" w:fill="auto"/>
            <w:noWrap/>
            <w:vAlign w:val="center"/>
          </w:tcPr>
          <w:p w14:paraId="7FB55EE3">
            <w:pPr>
              <w:pStyle w:val="41"/>
              <w:bidi w:val="0"/>
              <w:rPr>
                <w:rFonts w:hint="eastAsia"/>
                <w:color w:val="auto"/>
                <w:highlight w:val="none"/>
              </w:rPr>
            </w:pPr>
            <w:r>
              <w:rPr>
                <w:rFonts w:hint="eastAsia"/>
                <w:color w:val="auto"/>
                <w:highlight w:val="none"/>
                <w:lang w:val="en-US" w:eastAsia="zh-CN"/>
              </w:rPr>
              <w:t>车间名称</w:t>
            </w:r>
          </w:p>
        </w:tc>
        <w:tc>
          <w:tcPr>
            <w:tcW w:w="0" w:type="auto"/>
            <w:tcBorders>
              <w:tl2br w:val="nil"/>
              <w:tr2bl w:val="nil"/>
            </w:tcBorders>
            <w:shd w:val="clear" w:color="auto" w:fill="auto"/>
            <w:noWrap/>
            <w:vAlign w:val="center"/>
          </w:tcPr>
          <w:p w14:paraId="37301DCC">
            <w:pPr>
              <w:pStyle w:val="41"/>
              <w:bidi w:val="0"/>
              <w:rPr>
                <w:rFonts w:hint="eastAsia"/>
                <w:color w:val="auto"/>
                <w:highlight w:val="none"/>
              </w:rPr>
            </w:pPr>
            <w:r>
              <w:rPr>
                <w:rFonts w:hint="eastAsia"/>
                <w:color w:val="auto"/>
                <w:highlight w:val="none"/>
                <w:lang w:val="en-US" w:eastAsia="zh-CN"/>
              </w:rPr>
              <w:t>宽度（</w:t>
            </w:r>
            <w:r>
              <w:rPr>
                <w:color w:val="auto"/>
                <w:highlight w:val="none"/>
                <w:lang w:val="en-US" w:eastAsia="zh-CN"/>
              </w:rPr>
              <w:t>m）</w:t>
            </w:r>
          </w:p>
        </w:tc>
        <w:tc>
          <w:tcPr>
            <w:tcW w:w="0" w:type="auto"/>
            <w:tcBorders>
              <w:tl2br w:val="nil"/>
              <w:tr2bl w:val="nil"/>
            </w:tcBorders>
            <w:shd w:val="clear" w:color="auto" w:fill="auto"/>
            <w:noWrap/>
            <w:vAlign w:val="center"/>
          </w:tcPr>
          <w:p w14:paraId="575FD490">
            <w:pPr>
              <w:pStyle w:val="41"/>
              <w:bidi w:val="0"/>
              <w:rPr>
                <w:rFonts w:hint="eastAsia"/>
                <w:color w:val="auto"/>
                <w:highlight w:val="none"/>
              </w:rPr>
            </w:pPr>
            <w:r>
              <w:rPr>
                <w:rFonts w:hint="eastAsia"/>
                <w:color w:val="auto"/>
                <w:highlight w:val="none"/>
                <w:lang w:val="en-US" w:eastAsia="zh-CN"/>
              </w:rPr>
              <w:t>长度（</w:t>
            </w:r>
            <w:r>
              <w:rPr>
                <w:color w:val="auto"/>
                <w:highlight w:val="none"/>
                <w:lang w:val="en-US" w:eastAsia="zh-CN"/>
              </w:rPr>
              <w:t>m）</w:t>
            </w:r>
          </w:p>
        </w:tc>
        <w:tc>
          <w:tcPr>
            <w:tcW w:w="0" w:type="auto"/>
            <w:tcBorders>
              <w:tl2br w:val="nil"/>
              <w:tr2bl w:val="nil"/>
            </w:tcBorders>
            <w:shd w:val="clear" w:color="auto" w:fill="auto"/>
            <w:noWrap/>
            <w:vAlign w:val="center"/>
          </w:tcPr>
          <w:p w14:paraId="2B81AE66">
            <w:pPr>
              <w:pStyle w:val="41"/>
              <w:bidi w:val="0"/>
              <w:rPr>
                <w:rFonts w:hint="eastAsia"/>
                <w:color w:val="auto"/>
                <w:highlight w:val="none"/>
              </w:rPr>
            </w:pPr>
            <w:r>
              <w:rPr>
                <w:rFonts w:hint="eastAsia"/>
                <w:color w:val="auto"/>
                <w:highlight w:val="none"/>
                <w:lang w:val="en-US" w:eastAsia="zh-CN"/>
              </w:rPr>
              <w:t>占地面积（m</w:t>
            </w:r>
            <w:r>
              <w:rPr>
                <w:rFonts w:hint="eastAsia"/>
                <w:color w:val="auto"/>
                <w:highlight w:val="none"/>
                <w:vertAlign w:val="superscript"/>
                <w:lang w:val="en-US" w:eastAsia="zh-CN"/>
              </w:rPr>
              <w:t>2</w:t>
            </w:r>
            <w:r>
              <w:rPr>
                <w:rFonts w:hint="eastAsia"/>
                <w:color w:val="auto"/>
                <w:highlight w:val="none"/>
                <w:lang w:val="en-US" w:eastAsia="zh-CN"/>
              </w:rPr>
              <w:t>）</w:t>
            </w:r>
          </w:p>
        </w:tc>
        <w:tc>
          <w:tcPr>
            <w:tcW w:w="0" w:type="auto"/>
            <w:tcBorders>
              <w:tl2br w:val="nil"/>
              <w:tr2bl w:val="nil"/>
            </w:tcBorders>
            <w:shd w:val="clear" w:color="auto" w:fill="auto"/>
            <w:noWrap/>
            <w:vAlign w:val="center"/>
          </w:tcPr>
          <w:p w14:paraId="1CF3B657">
            <w:pPr>
              <w:pStyle w:val="41"/>
              <w:bidi w:val="0"/>
              <w:rPr>
                <w:rFonts w:hint="eastAsia"/>
                <w:color w:val="auto"/>
                <w:highlight w:val="none"/>
              </w:rPr>
            </w:pPr>
            <w:r>
              <w:rPr>
                <w:rFonts w:hint="eastAsia"/>
                <w:color w:val="auto"/>
                <w:highlight w:val="none"/>
                <w:lang w:val="en-US" w:eastAsia="zh-CN"/>
              </w:rPr>
              <w:t>高度（</w:t>
            </w:r>
            <w:r>
              <w:rPr>
                <w:color w:val="auto"/>
                <w:highlight w:val="none"/>
                <w:lang w:val="en-US" w:eastAsia="zh-CN"/>
              </w:rPr>
              <w:t>m）</w:t>
            </w:r>
          </w:p>
        </w:tc>
      </w:tr>
      <w:tr w14:paraId="3717EF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gridSpan w:val="6"/>
            <w:tcBorders>
              <w:tl2br w:val="nil"/>
              <w:tr2bl w:val="nil"/>
            </w:tcBorders>
            <w:shd w:val="clear" w:color="auto" w:fill="auto"/>
            <w:noWrap/>
            <w:vAlign w:val="center"/>
          </w:tcPr>
          <w:p w14:paraId="3D18E0B3">
            <w:pPr>
              <w:pStyle w:val="41"/>
              <w:bidi w:val="0"/>
              <w:spacing w:line="240" w:lineRule="atLeast"/>
              <w:rPr>
                <w:rFonts w:hint="eastAsia"/>
                <w:color w:val="auto"/>
                <w:highlight w:val="none"/>
              </w:rPr>
            </w:pPr>
            <w:r>
              <w:rPr>
                <w:rFonts w:hint="eastAsia"/>
                <w:b/>
                <w:bCs/>
                <w:color w:val="auto"/>
                <w:highlight w:val="none"/>
                <w:lang w:val="en-US" w:eastAsia="zh-CN"/>
              </w:rPr>
              <w:t>一期</w:t>
            </w:r>
            <w:r>
              <w:rPr>
                <w:b/>
                <w:bCs/>
                <w:color w:val="auto"/>
                <w:highlight w:val="none"/>
                <w:lang w:val="en-US" w:eastAsia="zh-CN"/>
              </w:rPr>
              <w:t>580万t/a生产线</w:t>
            </w:r>
          </w:p>
        </w:tc>
      </w:tr>
      <w:tr w14:paraId="5BD6A4E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1EF72A89">
            <w:pPr>
              <w:pStyle w:val="41"/>
              <w:bidi w:val="0"/>
              <w:rPr>
                <w:rFonts w:hint="default"/>
                <w:color w:val="auto"/>
                <w:highlight w:val="none"/>
              </w:rPr>
            </w:pPr>
            <w:r>
              <w:rPr>
                <w:rFonts w:hint="default"/>
                <w:color w:val="auto"/>
                <w:highlight w:val="none"/>
                <w:lang w:val="en-US" w:eastAsia="zh-CN"/>
              </w:rPr>
              <w:t>1</w:t>
            </w:r>
          </w:p>
        </w:tc>
        <w:tc>
          <w:tcPr>
            <w:tcW w:w="0" w:type="auto"/>
            <w:tcBorders>
              <w:tl2br w:val="nil"/>
              <w:tr2bl w:val="nil"/>
            </w:tcBorders>
            <w:shd w:val="clear" w:color="auto" w:fill="auto"/>
            <w:noWrap/>
            <w:vAlign w:val="center"/>
          </w:tcPr>
          <w:p w14:paraId="439C3E19">
            <w:pPr>
              <w:pStyle w:val="41"/>
              <w:bidi w:val="0"/>
              <w:rPr>
                <w:rFonts w:hint="eastAsia"/>
                <w:color w:val="auto"/>
                <w:highlight w:val="none"/>
              </w:rPr>
            </w:pPr>
            <w:r>
              <w:rPr>
                <w:rFonts w:hint="eastAsia"/>
                <w:color w:val="auto"/>
                <w:highlight w:val="none"/>
                <w:lang w:val="en-US" w:eastAsia="zh-CN"/>
              </w:rPr>
              <w:t>原矿堆库</w:t>
            </w:r>
          </w:p>
        </w:tc>
        <w:tc>
          <w:tcPr>
            <w:tcW w:w="0" w:type="auto"/>
            <w:tcBorders>
              <w:tl2br w:val="nil"/>
              <w:tr2bl w:val="nil"/>
            </w:tcBorders>
            <w:shd w:val="clear" w:color="auto" w:fill="auto"/>
            <w:noWrap/>
            <w:vAlign w:val="center"/>
          </w:tcPr>
          <w:p w14:paraId="7CBACD88">
            <w:pPr>
              <w:pStyle w:val="41"/>
              <w:bidi w:val="0"/>
              <w:rPr>
                <w:rFonts w:hint="default"/>
                <w:color w:val="auto"/>
                <w:highlight w:val="none"/>
              </w:rPr>
            </w:pPr>
            <w:r>
              <w:rPr>
                <w:rFonts w:hint="default"/>
                <w:color w:val="auto"/>
                <w:highlight w:val="none"/>
                <w:lang w:val="en-US" w:eastAsia="zh-CN"/>
              </w:rPr>
              <w:t>29</w:t>
            </w:r>
          </w:p>
        </w:tc>
        <w:tc>
          <w:tcPr>
            <w:tcW w:w="0" w:type="auto"/>
            <w:tcBorders>
              <w:tl2br w:val="nil"/>
              <w:tr2bl w:val="nil"/>
            </w:tcBorders>
            <w:shd w:val="clear" w:color="auto" w:fill="auto"/>
            <w:noWrap/>
            <w:vAlign w:val="center"/>
          </w:tcPr>
          <w:p w14:paraId="1481E1E8">
            <w:pPr>
              <w:pStyle w:val="41"/>
              <w:bidi w:val="0"/>
              <w:rPr>
                <w:rFonts w:hint="default"/>
                <w:color w:val="auto"/>
                <w:highlight w:val="none"/>
              </w:rPr>
            </w:pPr>
            <w:r>
              <w:rPr>
                <w:rFonts w:hint="default"/>
                <w:color w:val="auto"/>
                <w:highlight w:val="none"/>
                <w:lang w:val="en-US" w:eastAsia="zh-CN"/>
              </w:rPr>
              <w:t>68</w:t>
            </w:r>
          </w:p>
        </w:tc>
        <w:tc>
          <w:tcPr>
            <w:tcW w:w="0" w:type="auto"/>
            <w:tcBorders>
              <w:tl2br w:val="nil"/>
              <w:tr2bl w:val="nil"/>
            </w:tcBorders>
            <w:shd w:val="clear" w:color="auto" w:fill="auto"/>
            <w:noWrap/>
            <w:vAlign w:val="center"/>
          </w:tcPr>
          <w:p w14:paraId="2FE2C5F8">
            <w:pPr>
              <w:pStyle w:val="41"/>
              <w:bidi w:val="0"/>
              <w:rPr>
                <w:rFonts w:hint="default"/>
                <w:color w:val="auto"/>
                <w:highlight w:val="none"/>
              </w:rPr>
            </w:pPr>
            <w:r>
              <w:rPr>
                <w:rFonts w:hint="default"/>
                <w:color w:val="auto"/>
                <w:highlight w:val="none"/>
                <w:lang w:val="en-US" w:eastAsia="zh-CN"/>
              </w:rPr>
              <w:t>1972</w:t>
            </w:r>
          </w:p>
        </w:tc>
        <w:tc>
          <w:tcPr>
            <w:tcW w:w="0" w:type="auto"/>
            <w:tcBorders>
              <w:tl2br w:val="nil"/>
              <w:tr2bl w:val="nil"/>
            </w:tcBorders>
            <w:shd w:val="clear" w:color="auto" w:fill="auto"/>
            <w:noWrap/>
            <w:vAlign w:val="center"/>
          </w:tcPr>
          <w:p w14:paraId="09EFE019">
            <w:pPr>
              <w:pStyle w:val="41"/>
              <w:bidi w:val="0"/>
              <w:rPr>
                <w:rFonts w:hint="default"/>
                <w:color w:val="auto"/>
                <w:highlight w:val="none"/>
              </w:rPr>
            </w:pPr>
            <w:r>
              <w:rPr>
                <w:rFonts w:hint="default"/>
                <w:color w:val="auto"/>
                <w:highlight w:val="none"/>
                <w:lang w:val="en-US" w:eastAsia="zh-CN"/>
              </w:rPr>
              <w:t>10</w:t>
            </w:r>
          </w:p>
        </w:tc>
      </w:tr>
      <w:tr w14:paraId="051182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7EE58B5C">
            <w:pPr>
              <w:pStyle w:val="41"/>
              <w:bidi w:val="0"/>
              <w:rPr>
                <w:rFonts w:hint="default"/>
                <w:color w:val="auto"/>
                <w:highlight w:val="none"/>
              </w:rPr>
            </w:pPr>
            <w:r>
              <w:rPr>
                <w:rFonts w:hint="default"/>
                <w:color w:val="auto"/>
                <w:highlight w:val="none"/>
                <w:lang w:val="en-US" w:eastAsia="zh-CN"/>
              </w:rPr>
              <w:t>2</w:t>
            </w:r>
          </w:p>
        </w:tc>
        <w:tc>
          <w:tcPr>
            <w:tcW w:w="0" w:type="auto"/>
            <w:tcBorders>
              <w:tl2br w:val="nil"/>
              <w:tr2bl w:val="nil"/>
            </w:tcBorders>
            <w:shd w:val="clear" w:color="auto" w:fill="auto"/>
            <w:noWrap/>
            <w:vAlign w:val="center"/>
          </w:tcPr>
          <w:p w14:paraId="62B01AB3">
            <w:pPr>
              <w:pStyle w:val="41"/>
              <w:bidi w:val="0"/>
              <w:rPr>
                <w:rFonts w:hint="eastAsia"/>
                <w:color w:val="auto"/>
                <w:highlight w:val="none"/>
              </w:rPr>
            </w:pPr>
            <w:r>
              <w:rPr>
                <w:rFonts w:hint="eastAsia"/>
                <w:color w:val="auto"/>
                <w:highlight w:val="none"/>
                <w:lang w:val="en-US" w:eastAsia="zh-CN"/>
              </w:rPr>
              <w:t>滚轴筛车间</w:t>
            </w:r>
          </w:p>
        </w:tc>
        <w:tc>
          <w:tcPr>
            <w:tcW w:w="0" w:type="auto"/>
            <w:tcBorders>
              <w:tl2br w:val="nil"/>
              <w:tr2bl w:val="nil"/>
            </w:tcBorders>
            <w:shd w:val="clear" w:color="auto" w:fill="auto"/>
            <w:noWrap/>
            <w:vAlign w:val="center"/>
          </w:tcPr>
          <w:p w14:paraId="00A127FB">
            <w:pPr>
              <w:pStyle w:val="41"/>
              <w:bidi w:val="0"/>
              <w:rPr>
                <w:rFonts w:hint="default"/>
                <w:color w:val="auto"/>
                <w:highlight w:val="none"/>
              </w:rPr>
            </w:pPr>
            <w:r>
              <w:rPr>
                <w:rFonts w:hint="default"/>
                <w:color w:val="auto"/>
                <w:highlight w:val="none"/>
                <w:lang w:val="en-US" w:eastAsia="zh-CN"/>
              </w:rPr>
              <w:t>13.5</w:t>
            </w:r>
          </w:p>
        </w:tc>
        <w:tc>
          <w:tcPr>
            <w:tcW w:w="0" w:type="auto"/>
            <w:tcBorders>
              <w:tl2br w:val="nil"/>
              <w:tr2bl w:val="nil"/>
            </w:tcBorders>
            <w:shd w:val="clear" w:color="auto" w:fill="auto"/>
            <w:noWrap/>
            <w:vAlign w:val="center"/>
          </w:tcPr>
          <w:p w14:paraId="20264F5E">
            <w:pPr>
              <w:pStyle w:val="41"/>
              <w:bidi w:val="0"/>
              <w:rPr>
                <w:rFonts w:hint="default"/>
                <w:color w:val="auto"/>
                <w:highlight w:val="none"/>
              </w:rPr>
            </w:pPr>
            <w:r>
              <w:rPr>
                <w:rFonts w:hint="default"/>
                <w:color w:val="auto"/>
                <w:highlight w:val="none"/>
                <w:lang w:val="en-US" w:eastAsia="zh-CN"/>
              </w:rPr>
              <w:t>27.32</w:t>
            </w:r>
          </w:p>
        </w:tc>
        <w:tc>
          <w:tcPr>
            <w:tcW w:w="0" w:type="auto"/>
            <w:tcBorders>
              <w:tl2br w:val="nil"/>
              <w:tr2bl w:val="nil"/>
            </w:tcBorders>
            <w:shd w:val="clear" w:color="auto" w:fill="auto"/>
            <w:noWrap/>
            <w:vAlign w:val="center"/>
          </w:tcPr>
          <w:p w14:paraId="1BA08305">
            <w:pPr>
              <w:pStyle w:val="41"/>
              <w:bidi w:val="0"/>
              <w:rPr>
                <w:rFonts w:hint="default"/>
                <w:color w:val="auto"/>
                <w:highlight w:val="none"/>
              </w:rPr>
            </w:pPr>
            <w:r>
              <w:rPr>
                <w:rFonts w:hint="default"/>
                <w:color w:val="auto"/>
                <w:highlight w:val="none"/>
                <w:lang w:val="en-US" w:eastAsia="zh-CN"/>
              </w:rPr>
              <w:t>368.82</w:t>
            </w:r>
          </w:p>
        </w:tc>
        <w:tc>
          <w:tcPr>
            <w:tcW w:w="0" w:type="auto"/>
            <w:tcBorders>
              <w:tl2br w:val="nil"/>
              <w:tr2bl w:val="nil"/>
            </w:tcBorders>
            <w:shd w:val="clear" w:color="auto" w:fill="auto"/>
            <w:noWrap/>
            <w:vAlign w:val="center"/>
          </w:tcPr>
          <w:p w14:paraId="07F62B5B">
            <w:pPr>
              <w:pStyle w:val="41"/>
              <w:bidi w:val="0"/>
              <w:rPr>
                <w:rFonts w:hint="default"/>
                <w:color w:val="auto"/>
                <w:highlight w:val="none"/>
              </w:rPr>
            </w:pPr>
            <w:r>
              <w:rPr>
                <w:rFonts w:hint="default"/>
                <w:color w:val="auto"/>
                <w:highlight w:val="none"/>
                <w:lang w:val="en-US" w:eastAsia="zh-CN"/>
              </w:rPr>
              <w:t>12</w:t>
            </w:r>
          </w:p>
        </w:tc>
      </w:tr>
      <w:tr w14:paraId="1E77D2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7F6437A8">
            <w:pPr>
              <w:pStyle w:val="41"/>
              <w:bidi w:val="0"/>
              <w:rPr>
                <w:rFonts w:hint="default"/>
                <w:color w:val="auto"/>
                <w:highlight w:val="none"/>
              </w:rPr>
            </w:pPr>
            <w:r>
              <w:rPr>
                <w:rFonts w:hint="default"/>
                <w:color w:val="auto"/>
                <w:highlight w:val="none"/>
                <w:lang w:val="en-US" w:eastAsia="zh-CN"/>
              </w:rPr>
              <w:t>3</w:t>
            </w:r>
          </w:p>
        </w:tc>
        <w:tc>
          <w:tcPr>
            <w:tcW w:w="0" w:type="auto"/>
            <w:tcBorders>
              <w:tl2br w:val="nil"/>
              <w:tr2bl w:val="nil"/>
            </w:tcBorders>
            <w:shd w:val="clear" w:color="auto" w:fill="auto"/>
            <w:noWrap/>
            <w:vAlign w:val="center"/>
          </w:tcPr>
          <w:p w14:paraId="7D172721">
            <w:pPr>
              <w:pStyle w:val="41"/>
              <w:bidi w:val="0"/>
              <w:rPr>
                <w:rFonts w:hint="default"/>
                <w:color w:val="auto"/>
                <w:highlight w:val="none"/>
              </w:rPr>
            </w:pPr>
            <w:r>
              <w:rPr>
                <w:rFonts w:hint="default"/>
                <w:color w:val="auto"/>
                <w:highlight w:val="none"/>
                <w:lang w:val="en-US" w:eastAsia="zh-CN"/>
              </w:rPr>
              <w:t>1</w:t>
            </w:r>
            <w:r>
              <w:rPr>
                <w:color w:val="auto"/>
                <w:highlight w:val="none"/>
                <w:lang w:val="en-US" w:eastAsia="zh-CN"/>
              </w:rPr>
              <w:t>号振动筛分车间</w:t>
            </w:r>
          </w:p>
        </w:tc>
        <w:tc>
          <w:tcPr>
            <w:tcW w:w="0" w:type="auto"/>
            <w:tcBorders>
              <w:tl2br w:val="nil"/>
              <w:tr2bl w:val="nil"/>
            </w:tcBorders>
            <w:shd w:val="clear" w:color="auto" w:fill="auto"/>
            <w:noWrap/>
            <w:vAlign w:val="center"/>
          </w:tcPr>
          <w:p w14:paraId="27109803">
            <w:pPr>
              <w:pStyle w:val="41"/>
              <w:bidi w:val="0"/>
              <w:rPr>
                <w:rFonts w:hint="default"/>
                <w:color w:val="auto"/>
                <w:highlight w:val="none"/>
              </w:rPr>
            </w:pPr>
            <w:r>
              <w:rPr>
                <w:rFonts w:hint="default"/>
                <w:color w:val="auto"/>
                <w:highlight w:val="none"/>
                <w:lang w:val="en-US" w:eastAsia="zh-CN"/>
              </w:rPr>
              <w:t>16</w:t>
            </w:r>
          </w:p>
        </w:tc>
        <w:tc>
          <w:tcPr>
            <w:tcW w:w="0" w:type="auto"/>
            <w:tcBorders>
              <w:tl2br w:val="nil"/>
              <w:tr2bl w:val="nil"/>
            </w:tcBorders>
            <w:shd w:val="clear" w:color="auto" w:fill="auto"/>
            <w:noWrap/>
            <w:vAlign w:val="center"/>
          </w:tcPr>
          <w:p w14:paraId="075ACFE7">
            <w:pPr>
              <w:pStyle w:val="41"/>
              <w:bidi w:val="0"/>
              <w:rPr>
                <w:rFonts w:hint="default"/>
                <w:color w:val="auto"/>
                <w:highlight w:val="none"/>
              </w:rPr>
            </w:pPr>
            <w:r>
              <w:rPr>
                <w:rFonts w:hint="default"/>
                <w:color w:val="auto"/>
                <w:highlight w:val="none"/>
                <w:lang w:val="en-US" w:eastAsia="zh-CN"/>
              </w:rPr>
              <w:t>19</w:t>
            </w:r>
          </w:p>
        </w:tc>
        <w:tc>
          <w:tcPr>
            <w:tcW w:w="0" w:type="auto"/>
            <w:tcBorders>
              <w:tl2br w:val="nil"/>
              <w:tr2bl w:val="nil"/>
            </w:tcBorders>
            <w:shd w:val="clear" w:color="auto" w:fill="auto"/>
            <w:noWrap/>
            <w:vAlign w:val="center"/>
          </w:tcPr>
          <w:p w14:paraId="02B93864">
            <w:pPr>
              <w:pStyle w:val="41"/>
              <w:bidi w:val="0"/>
              <w:rPr>
                <w:rFonts w:hint="default"/>
                <w:color w:val="auto"/>
                <w:highlight w:val="none"/>
              </w:rPr>
            </w:pPr>
            <w:r>
              <w:rPr>
                <w:rFonts w:hint="default"/>
                <w:color w:val="auto"/>
                <w:highlight w:val="none"/>
                <w:lang w:val="en-US" w:eastAsia="zh-CN"/>
              </w:rPr>
              <w:t>304</w:t>
            </w:r>
          </w:p>
        </w:tc>
        <w:tc>
          <w:tcPr>
            <w:tcW w:w="0" w:type="auto"/>
            <w:tcBorders>
              <w:tl2br w:val="nil"/>
              <w:tr2bl w:val="nil"/>
            </w:tcBorders>
            <w:shd w:val="clear" w:color="auto" w:fill="auto"/>
            <w:noWrap/>
            <w:vAlign w:val="center"/>
          </w:tcPr>
          <w:p w14:paraId="5415819A">
            <w:pPr>
              <w:pStyle w:val="41"/>
              <w:bidi w:val="0"/>
              <w:rPr>
                <w:rFonts w:hint="default"/>
                <w:color w:val="auto"/>
                <w:highlight w:val="none"/>
              </w:rPr>
            </w:pPr>
            <w:r>
              <w:rPr>
                <w:rFonts w:hint="default"/>
                <w:color w:val="auto"/>
                <w:highlight w:val="none"/>
                <w:lang w:val="en-US" w:eastAsia="zh-CN"/>
              </w:rPr>
              <w:t>20</w:t>
            </w:r>
          </w:p>
        </w:tc>
      </w:tr>
      <w:tr w14:paraId="7F278D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1000DB06">
            <w:pPr>
              <w:pStyle w:val="41"/>
              <w:bidi w:val="0"/>
              <w:rPr>
                <w:rFonts w:hint="default"/>
                <w:color w:val="auto"/>
                <w:highlight w:val="none"/>
              </w:rPr>
            </w:pPr>
            <w:r>
              <w:rPr>
                <w:rFonts w:hint="default"/>
                <w:color w:val="auto"/>
                <w:highlight w:val="none"/>
                <w:lang w:val="en-US" w:eastAsia="zh-CN"/>
              </w:rPr>
              <w:t>4</w:t>
            </w:r>
          </w:p>
        </w:tc>
        <w:tc>
          <w:tcPr>
            <w:tcW w:w="0" w:type="auto"/>
            <w:tcBorders>
              <w:tl2br w:val="nil"/>
              <w:tr2bl w:val="nil"/>
            </w:tcBorders>
            <w:shd w:val="clear" w:color="auto" w:fill="auto"/>
            <w:noWrap/>
            <w:vAlign w:val="center"/>
          </w:tcPr>
          <w:p w14:paraId="483E25FC">
            <w:pPr>
              <w:pStyle w:val="41"/>
              <w:bidi w:val="0"/>
              <w:rPr>
                <w:rFonts w:hint="eastAsia"/>
                <w:color w:val="auto"/>
                <w:highlight w:val="none"/>
              </w:rPr>
            </w:pPr>
            <w:r>
              <w:rPr>
                <w:rFonts w:hint="eastAsia"/>
                <w:color w:val="auto"/>
                <w:highlight w:val="none"/>
                <w:lang w:val="en-US" w:eastAsia="zh-CN"/>
              </w:rPr>
              <w:t>缓冲料仓</w:t>
            </w:r>
          </w:p>
        </w:tc>
        <w:tc>
          <w:tcPr>
            <w:tcW w:w="0" w:type="auto"/>
            <w:tcBorders>
              <w:tl2br w:val="nil"/>
              <w:tr2bl w:val="nil"/>
            </w:tcBorders>
            <w:shd w:val="clear" w:color="auto" w:fill="auto"/>
            <w:noWrap/>
            <w:vAlign w:val="center"/>
          </w:tcPr>
          <w:p w14:paraId="4EA8D860">
            <w:pPr>
              <w:pStyle w:val="41"/>
              <w:bidi w:val="0"/>
              <w:rPr>
                <w:rFonts w:hint="default"/>
                <w:color w:val="auto"/>
                <w:highlight w:val="none"/>
              </w:rPr>
            </w:pPr>
            <w:r>
              <w:rPr>
                <w:rFonts w:hint="default"/>
                <w:color w:val="auto"/>
                <w:highlight w:val="none"/>
                <w:lang w:val="en-US" w:eastAsia="zh-CN"/>
              </w:rPr>
              <w:t>6</w:t>
            </w:r>
          </w:p>
        </w:tc>
        <w:tc>
          <w:tcPr>
            <w:tcW w:w="0" w:type="auto"/>
            <w:tcBorders>
              <w:tl2br w:val="nil"/>
              <w:tr2bl w:val="nil"/>
            </w:tcBorders>
            <w:shd w:val="clear" w:color="auto" w:fill="auto"/>
            <w:noWrap/>
            <w:vAlign w:val="center"/>
          </w:tcPr>
          <w:p w14:paraId="0DB469F4">
            <w:pPr>
              <w:pStyle w:val="41"/>
              <w:bidi w:val="0"/>
              <w:rPr>
                <w:rFonts w:hint="default"/>
                <w:color w:val="auto"/>
                <w:highlight w:val="none"/>
              </w:rPr>
            </w:pPr>
            <w:r>
              <w:rPr>
                <w:rFonts w:hint="default"/>
                <w:color w:val="auto"/>
                <w:highlight w:val="none"/>
                <w:lang w:val="en-US" w:eastAsia="zh-CN"/>
              </w:rPr>
              <w:t>16</w:t>
            </w:r>
          </w:p>
        </w:tc>
        <w:tc>
          <w:tcPr>
            <w:tcW w:w="0" w:type="auto"/>
            <w:tcBorders>
              <w:tl2br w:val="nil"/>
              <w:tr2bl w:val="nil"/>
            </w:tcBorders>
            <w:shd w:val="clear" w:color="auto" w:fill="auto"/>
            <w:noWrap/>
            <w:vAlign w:val="center"/>
          </w:tcPr>
          <w:p w14:paraId="5EBB4FF1">
            <w:pPr>
              <w:pStyle w:val="41"/>
              <w:bidi w:val="0"/>
              <w:rPr>
                <w:rFonts w:hint="default"/>
                <w:color w:val="auto"/>
                <w:highlight w:val="none"/>
              </w:rPr>
            </w:pPr>
            <w:r>
              <w:rPr>
                <w:rFonts w:hint="default"/>
                <w:color w:val="auto"/>
                <w:highlight w:val="none"/>
                <w:lang w:val="en-US" w:eastAsia="zh-CN"/>
              </w:rPr>
              <w:t>96</w:t>
            </w:r>
          </w:p>
        </w:tc>
        <w:tc>
          <w:tcPr>
            <w:tcW w:w="0" w:type="auto"/>
            <w:tcBorders>
              <w:tl2br w:val="nil"/>
              <w:tr2bl w:val="nil"/>
            </w:tcBorders>
            <w:shd w:val="clear" w:color="auto" w:fill="auto"/>
            <w:noWrap/>
            <w:vAlign w:val="center"/>
          </w:tcPr>
          <w:p w14:paraId="3E041BF1">
            <w:pPr>
              <w:pStyle w:val="41"/>
              <w:bidi w:val="0"/>
              <w:rPr>
                <w:rFonts w:hint="default"/>
                <w:color w:val="auto"/>
                <w:highlight w:val="none"/>
              </w:rPr>
            </w:pPr>
            <w:r>
              <w:rPr>
                <w:rFonts w:hint="default"/>
                <w:color w:val="auto"/>
                <w:highlight w:val="none"/>
                <w:lang w:val="en-US" w:eastAsia="zh-CN"/>
              </w:rPr>
              <w:t>15</w:t>
            </w:r>
          </w:p>
        </w:tc>
      </w:tr>
      <w:tr w14:paraId="028040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76079DE1">
            <w:pPr>
              <w:pStyle w:val="41"/>
              <w:bidi w:val="0"/>
              <w:rPr>
                <w:rFonts w:hint="default"/>
                <w:color w:val="auto"/>
                <w:highlight w:val="none"/>
              </w:rPr>
            </w:pPr>
            <w:r>
              <w:rPr>
                <w:rFonts w:hint="default"/>
                <w:color w:val="auto"/>
                <w:highlight w:val="none"/>
                <w:lang w:val="en-US" w:eastAsia="zh-CN"/>
              </w:rPr>
              <w:t>5</w:t>
            </w:r>
          </w:p>
        </w:tc>
        <w:tc>
          <w:tcPr>
            <w:tcW w:w="0" w:type="auto"/>
            <w:tcBorders>
              <w:tl2br w:val="nil"/>
              <w:tr2bl w:val="nil"/>
            </w:tcBorders>
            <w:shd w:val="clear" w:color="auto" w:fill="auto"/>
            <w:noWrap/>
            <w:vAlign w:val="center"/>
          </w:tcPr>
          <w:p w14:paraId="4CB7EE1E">
            <w:pPr>
              <w:pStyle w:val="41"/>
              <w:bidi w:val="0"/>
              <w:rPr>
                <w:rFonts w:hint="eastAsia"/>
                <w:color w:val="auto"/>
                <w:highlight w:val="none"/>
              </w:rPr>
            </w:pPr>
            <w:r>
              <w:rPr>
                <w:rFonts w:hint="eastAsia"/>
                <w:color w:val="auto"/>
                <w:highlight w:val="none"/>
                <w:lang w:val="en-US" w:eastAsia="zh-CN"/>
              </w:rPr>
              <w:t>粗</w:t>
            </w:r>
            <w:r>
              <w:rPr>
                <w:color w:val="auto"/>
                <w:highlight w:val="none"/>
                <w:lang w:val="en-US" w:eastAsia="zh-CN"/>
              </w:rPr>
              <w:t>/中碎车间</w:t>
            </w:r>
          </w:p>
        </w:tc>
        <w:tc>
          <w:tcPr>
            <w:tcW w:w="0" w:type="auto"/>
            <w:tcBorders>
              <w:tl2br w:val="nil"/>
              <w:tr2bl w:val="nil"/>
            </w:tcBorders>
            <w:shd w:val="clear" w:color="auto" w:fill="auto"/>
            <w:noWrap/>
            <w:vAlign w:val="center"/>
          </w:tcPr>
          <w:p w14:paraId="14FAECB1">
            <w:pPr>
              <w:pStyle w:val="41"/>
              <w:bidi w:val="0"/>
              <w:rPr>
                <w:rFonts w:hint="default"/>
                <w:color w:val="auto"/>
                <w:highlight w:val="none"/>
              </w:rPr>
            </w:pPr>
            <w:r>
              <w:rPr>
                <w:rFonts w:hint="default"/>
                <w:color w:val="auto"/>
                <w:highlight w:val="none"/>
                <w:lang w:val="en-US" w:eastAsia="zh-CN"/>
              </w:rPr>
              <w:t>11.6</w:t>
            </w:r>
          </w:p>
        </w:tc>
        <w:tc>
          <w:tcPr>
            <w:tcW w:w="0" w:type="auto"/>
            <w:tcBorders>
              <w:tl2br w:val="nil"/>
              <w:tr2bl w:val="nil"/>
            </w:tcBorders>
            <w:shd w:val="clear" w:color="auto" w:fill="auto"/>
            <w:noWrap/>
            <w:vAlign w:val="center"/>
          </w:tcPr>
          <w:p w14:paraId="2313D9EA">
            <w:pPr>
              <w:pStyle w:val="41"/>
              <w:bidi w:val="0"/>
              <w:rPr>
                <w:rFonts w:hint="default"/>
                <w:color w:val="auto"/>
                <w:highlight w:val="none"/>
              </w:rPr>
            </w:pPr>
            <w:r>
              <w:rPr>
                <w:rFonts w:hint="default"/>
                <w:color w:val="auto"/>
                <w:highlight w:val="none"/>
                <w:lang w:val="en-US" w:eastAsia="zh-CN"/>
              </w:rPr>
              <w:t>27.61</w:t>
            </w:r>
          </w:p>
        </w:tc>
        <w:tc>
          <w:tcPr>
            <w:tcW w:w="0" w:type="auto"/>
            <w:tcBorders>
              <w:tl2br w:val="nil"/>
              <w:tr2bl w:val="nil"/>
            </w:tcBorders>
            <w:shd w:val="clear" w:color="auto" w:fill="auto"/>
            <w:noWrap/>
            <w:vAlign w:val="center"/>
          </w:tcPr>
          <w:p w14:paraId="334222DB">
            <w:pPr>
              <w:pStyle w:val="41"/>
              <w:bidi w:val="0"/>
              <w:rPr>
                <w:rFonts w:hint="default"/>
                <w:color w:val="auto"/>
                <w:highlight w:val="none"/>
              </w:rPr>
            </w:pPr>
            <w:r>
              <w:rPr>
                <w:rFonts w:hint="default"/>
                <w:color w:val="auto"/>
                <w:highlight w:val="none"/>
                <w:lang w:val="en-US" w:eastAsia="zh-CN"/>
              </w:rPr>
              <w:t>320.28</w:t>
            </w:r>
          </w:p>
        </w:tc>
        <w:tc>
          <w:tcPr>
            <w:tcW w:w="0" w:type="auto"/>
            <w:tcBorders>
              <w:tl2br w:val="nil"/>
              <w:tr2bl w:val="nil"/>
            </w:tcBorders>
            <w:shd w:val="clear" w:color="auto" w:fill="auto"/>
            <w:noWrap/>
            <w:vAlign w:val="center"/>
          </w:tcPr>
          <w:p w14:paraId="470AA925">
            <w:pPr>
              <w:pStyle w:val="41"/>
              <w:bidi w:val="0"/>
              <w:rPr>
                <w:rFonts w:hint="default"/>
                <w:color w:val="auto"/>
                <w:highlight w:val="none"/>
              </w:rPr>
            </w:pPr>
            <w:r>
              <w:rPr>
                <w:rFonts w:hint="default"/>
                <w:color w:val="auto"/>
                <w:highlight w:val="none"/>
                <w:lang w:val="en-US" w:eastAsia="zh-CN"/>
              </w:rPr>
              <w:t>12</w:t>
            </w:r>
          </w:p>
        </w:tc>
      </w:tr>
      <w:tr w14:paraId="6F2761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3BCC0005">
            <w:pPr>
              <w:pStyle w:val="41"/>
              <w:bidi w:val="0"/>
              <w:rPr>
                <w:rFonts w:hint="default"/>
                <w:color w:val="auto"/>
                <w:highlight w:val="none"/>
              </w:rPr>
            </w:pPr>
            <w:r>
              <w:rPr>
                <w:rFonts w:hint="default"/>
                <w:color w:val="auto"/>
                <w:highlight w:val="none"/>
                <w:lang w:val="en-US" w:eastAsia="zh-CN"/>
              </w:rPr>
              <w:t>6</w:t>
            </w:r>
          </w:p>
        </w:tc>
        <w:tc>
          <w:tcPr>
            <w:tcW w:w="0" w:type="auto"/>
            <w:tcBorders>
              <w:tl2br w:val="nil"/>
              <w:tr2bl w:val="nil"/>
            </w:tcBorders>
            <w:shd w:val="clear" w:color="auto" w:fill="auto"/>
            <w:noWrap/>
            <w:vAlign w:val="center"/>
          </w:tcPr>
          <w:p w14:paraId="329B1DD5">
            <w:pPr>
              <w:pStyle w:val="41"/>
              <w:bidi w:val="0"/>
              <w:rPr>
                <w:rFonts w:hint="default"/>
                <w:color w:val="auto"/>
                <w:highlight w:val="none"/>
              </w:rPr>
            </w:pPr>
            <w:r>
              <w:rPr>
                <w:rFonts w:hint="default"/>
                <w:color w:val="auto"/>
                <w:highlight w:val="none"/>
                <w:lang w:val="en-US" w:eastAsia="zh-CN"/>
              </w:rPr>
              <w:t>2</w:t>
            </w:r>
            <w:r>
              <w:rPr>
                <w:color w:val="auto"/>
                <w:highlight w:val="none"/>
                <w:lang w:val="en-US" w:eastAsia="zh-CN"/>
              </w:rPr>
              <w:t>号振动筛分车间</w:t>
            </w:r>
          </w:p>
        </w:tc>
        <w:tc>
          <w:tcPr>
            <w:tcW w:w="0" w:type="auto"/>
            <w:tcBorders>
              <w:tl2br w:val="nil"/>
              <w:tr2bl w:val="nil"/>
            </w:tcBorders>
            <w:shd w:val="clear" w:color="auto" w:fill="auto"/>
            <w:noWrap/>
            <w:vAlign w:val="center"/>
          </w:tcPr>
          <w:p w14:paraId="106B53FF">
            <w:pPr>
              <w:pStyle w:val="41"/>
              <w:bidi w:val="0"/>
              <w:rPr>
                <w:rFonts w:hint="default"/>
                <w:color w:val="auto"/>
                <w:highlight w:val="none"/>
              </w:rPr>
            </w:pPr>
            <w:r>
              <w:rPr>
                <w:rFonts w:hint="default"/>
                <w:color w:val="auto"/>
                <w:highlight w:val="none"/>
                <w:lang w:val="en-US" w:eastAsia="zh-CN"/>
              </w:rPr>
              <w:t>16</w:t>
            </w:r>
          </w:p>
        </w:tc>
        <w:tc>
          <w:tcPr>
            <w:tcW w:w="0" w:type="auto"/>
            <w:tcBorders>
              <w:tl2br w:val="nil"/>
              <w:tr2bl w:val="nil"/>
            </w:tcBorders>
            <w:shd w:val="clear" w:color="auto" w:fill="auto"/>
            <w:noWrap/>
            <w:vAlign w:val="center"/>
          </w:tcPr>
          <w:p w14:paraId="6072681F">
            <w:pPr>
              <w:pStyle w:val="41"/>
              <w:bidi w:val="0"/>
              <w:rPr>
                <w:rFonts w:hint="default"/>
                <w:color w:val="auto"/>
                <w:highlight w:val="none"/>
              </w:rPr>
            </w:pPr>
            <w:r>
              <w:rPr>
                <w:rFonts w:hint="default"/>
                <w:color w:val="auto"/>
                <w:highlight w:val="none"/>
                <w:lang w:val="en-US" w:eastAsia="zh-CN"/>
              </w:rPr>
              <w:t>19</w:t>
            </w:r>
          </w:p>
        </w:tc>
        <w:tc>
          <w:tcPr>
            <w:tcW w:w="0" w:type="auto"/>
            <w:tcBorders>
              <w:tl2br w:val="nil"/>
              <w:tr2bl w:val="nil"/>
            </w:tcBorders>
            <w:shd w:val="clear" w:color="auto" w:fill="auto"/>
            <w:noWrap/>
            <w:vAlign w:val="center"/>
          </w:tcPr>
          <w:p w14:paraId="2A82C4C7">
            <w:pPr>
              <w:pStyle w:val="41"/>
              <w:bidi w:val="0"/>
              <w:rPr>
                <w:rFonts w:hint="default"/>
                <w:color w:val="auto"/>
                <w:highlight w:val="none"/>
              </w:rPr>
            </w:pPr>
            <w:r>
              <w:rPr>
                <w:rFonts w:hint="default"/>
                <w:color w:val="auto"/>
                <w:highlight w:val="none"/>
                <w:lang w:val="en-US" w:eastAsia="zh-CN"/>
              </w:rPr>
              <w:t>304</w:t>
            </w:r>
          </w:p>
        </w:tc>
        <w:tc>
          <w:tcPr>
            <w:tcW w:w="0" w:type="auto"/>
            <w:tcBorders>
              <w:tl2br w:val="nil"/>
              <w:tr2bl w:val="nil"/>
            </w:tcBorders>
            <w:shd w:val="clear" w:color="auto" w:fill="auto"/>
            <w:noWrap/>
            <w:vAlign w:val="center"/>
          </w:tcPr>
          <w:p w14:paraId="697C47C8">
            <w:pPr>
              <w:pStyle w:val="41"/>
              <w:bidi w:val="0"/>
              <w:rPr>
                <w:rFonts w:hint="default"/>
                <w:color w:val="auto"/>
                <w:highlight w:val="none"/>
              </w:rPr>
            </w:pPr>
            <w:r>
              <w:rPr>
                <w:rFonts w:hint="default"/>
                <w:color w:val="auto"/>
                <w:highlight w:val="none"/>
                <w:lang w:val="en-US" w:eastAsia="zh-CN"/>
              </w:rPr>
              <w:t>20</w:t>
            </w:r>
          </w:p>
        </w:tc>
      </w:tr>
      <w:tr w14:paraId="03D30F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634B6A77">
            <w:pPr>
              <w:pStyle w:val="41"/>
              <w:bidi w:val="0"/>
              <w:rPr>
                <w:rFonts w:hint="default"/>
                <w:color w:val="auto"/>
                <w:highlight w:val="none"/>
              </w:rPr>
            </w:pPr>
            <w:r>
              <w:rPr>
                <w:rFonts w:hint="default"/>
                <w:color w:val="auto"/>
                <w:highlight w:val="none"/>
                <w:lang w:val="en-US" w:eastAsia="zh-CN"/>
              </w:rPr>
              <w:t>7</w:t>
            </w:r>
          </w:p>
        </w:tc>
        <w:tc>
          <w:tcPr>
            <w:tcW w:w="0" w:type="auto"/>
            <w:tcBorders>
              <w:tl2br w:val="nil"/>
              <w:tr2bl w:val="nil"/>
            </w:tcBorders>
            <w:shd w:val="clear" w:color="auto" w:fill="auto"/>
            <w:noWrap/>
            <w:vAlign w:val="center"/>
          </w:tcPr>
          <w:p w14:paraId="3F7BFE16">
            <w:pPr>
              <w:pStyle w:val="41"/>
              <w:bidi w:val="0"/>
              <w:rPr>
                <w:rFonts w:hint="eastAsia"/>
                <w:color w:val="auto"/>
                <w:highlight w:val="none"/>
              </w:rPr>
            </w:pPr>
            <w:r>
              <w:rPr>
                <w:rFonts w:hint="eastAsia"/>
                <w:color w:val="auto"/>
                <w:highlight w:val="none"/>
                <w:lang w:val="en-US" w:eastAsia="zh-CN"/>
              </w:rPr>
              <w:t>细碎车间</w:t>
            </w:r>
          </w:p>
        </w:tc>
        <w:tc>
          <w:tcPr>
            <w:tcW w:w="0" w:type="auto"/>
            <w:tcBorders>
              <w:tl2br w:val="nil"/>
              <w:tr2bl w:val="nil"/>
            </w:tcBorders>
            <w:shd w:val="clear" w:color="auto" w:fill="auto"/>
            <w:noWrap/>
            <w:vAlign w:val="center"/>
          </w:tcPr>
          <w:p w14:paraId="502A2AF7">
            <w:pPr>
              <w:pStyle w:val="41"/>
              <w:bidi w:val="0"/>
              <w:rPr>
                <w:rFonts w:hint="default"/>
                <w:color w:val="auto"/>
                <w:highlight w:val="none"/>
              </w:rPr>
            </w:pPr>
            <w:r>
              <w:rPr>
                <w:rFonts w:hint="default"/>
                <w:color w:val="auto"/>
                <w:highlight w:val="none"/>
                <w:lang w:val="en-US" w:eastAsia="zh-CN"/>
              </w:rPr>
              <w:t>13</w:t>
            </w:r>
          </w:p>
        </w:tc>
        <w:tc>
          <w:tcPr>
            <w:tcW w:w="0" w:type="auto"/>
            <w:tcBorders>
              <w:tl2br w:val="nil"/>
              <w:tr2bl w:val="nil"/>
            </w:tcBorders>
            <w:shd w:val="clear" w:color="auto" w:fill="auto"/>
            <w:noWrap/>
            <w:vAlign w:val="center"/>
          </w:tcPr>
          <w:p w14:paraId="75587337">
            <w:pPr>
              <w:pStyle w:val="41"/>
              <w:bidi w:val="0"/>
              <w:rPr>
                <w:rFonts w:hint="default"/>
                <w:color w:val="auto"/>
                <w:highlight w:val="none"/>
              </w:rPr>
            </w:pPr>
            <w:r>
              <w:rPr>
                <w:rFonts w:hint="default"/>
                <w:color w:val="auto"/>
                <w:highlight w:val="none"/>
                <w:lang w:val="en-US" w:eastAsia="zh-CN"/>
              </w:rPr>
              <w:t>15</w:t>
            </w:r>
          </w:p>
        </w:tc>
        <w:tc>
          <w:tcPr>
            <w:tcW w:w="0" w:type="auto"/>
            <w:tcBorders>
              <w:tl2br w:val="nil"/>
              <w:tr2bl w:val="nil"/>
            </w:tcBorders>
            <w:shd w:val="clear" w:color="auto" w:fill="auto"/>
            <w:noWrap/>
            <w:vAlign w:val="center"/>
          </w:tcPr>
          <w:p w14:paraId="2AF4960D">
            <w:pPr>
              <w:pStyle w:val="41"/>
              <w:bidi w:val="0"/>
              <w:rPr>
                <w:rFonts w:hint="default"/>
                <w:color w:val="auto"/>
                <w:highlight w:val="none"/>
              </w:rPr>
            </w:pPr>
            <w:r>
              <w:rPr>
                <w:rFonts w:hint="default"/>
                <w:color w:val="auto"/>
                <w:highlight w:val="none"/>
                <w:lang w:val="en-US" w:eastAsia="zh-CN"/>
              </w:rPr>
              <w:t>195</w:t>
            </w:r>
          </w:p>
        </w:tc>
        <w:tc>
          <w:tcPr>
            <w:tcW w:w="0" w:type="auto"/>
            <w:tcBorders>
              <w:tl2br w:val="nil"/>
              <w:tr2bl w:val="nil"/>
            </w:tcBorders>
            <w:shd w:val="clear" w:color="auto" w:fill="auto"/>
            <w:noWrap/>
            <w:vAlign w:val="center"/>
          </w:tcPr>
          <w:p w14:paraId="480BF38A">
            <w:pPr>
              <w:pStyle w:val="41"/>
              <w:bidi w:val="0"/>
              <w:rPr>
                <w:rFonts w:hint="default"/>
                <w:color w:val="auto"/>
                <w:highlight w:val="none"/>
              </w:rPr>
            </w:pPr>
            <w:r>
              <w:rPr>
                <w:rFonts w:hint="default"/>
                <w:color w:val="auto"/>
                <w:highlight w:val="none"/>
                <w:lang w:val="en-US" w:eastAsia="zh-CN"/>
              </w:rPr>
              <w:t>12</w:t>
            </w:r>
          </w:p>
        </w:tc>
      </w:tr>
      <w:tr w14:paraId="42F38A0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190A164D">
            <w:pPr>
              <w:pStyle w:val="41"/>
              <w:bidi w:val="0"/>
              <w:rPr>
                <w:rFonts w:hint="default"/>
                <w:color w:val="auto"/>
                <w:highlight w:val="none"/>
              </w:rPr>
            </w:pPr>
            <w:r>
              <w:rPr>
                <w:rFonts w:hint="default"/>
                <w:color w:val="auto"/>
                <w:highlight w:val="none"/>
                <w:lang w:val="en-US" w:eastAsia="zh-CN"/>
              </w:rPr>
              <w:t>8</w:t>
            </w:r>
          </w:p>
        </w:tc>
        <w:tc>
          <w:tcPr>
            <w:tcW w:w="0" w:type="auto"/>
            <w:tcBorders>
              <w:tl2br w:val="nil"/>
              <w:tr2bl w:val="nil"/>
            </w:tcBorders>
            <w:shd w:val="clear" w:color="auto" w:fill="auto"/>
            <w:noWrap/>
            <w:vAlign w:val="center"/>
          </w:tcPr>
          <w:p w14:paraId="6D69250A">
            <w:pPr>
              <w:pStyle w:val="41"/>
              <w:bidi w:val="0"/>
              <w:rPr>
                <w:rFonts w:hint="default"/>
                <w:color w:val="auto"/>
                <w:highlight w:val="none"/>
              </w:rPr>
            </w:pPr>
            <w:r>
              <w:rPr>
                <w:rFonts w:hint="default"/>
                <w:color w:val="auto"/>
                <w:highlight w:val="none"/>
                <w:lang w:val="en-US" w:eastAsia="zh-CN"/>
              </w:rPr>
              <w:t>3</w:t>
            </w:r>
            <w:r>
              <w:rPr>
                <w:color w:val="auto"/>
                <w:highlight w:val="none"/>
                <w:lang w:val="en-US" w:eastAsia="zh-CN"/>
              </w:rPr>
              <w:t>号振动筛分车间</w:t>
            </w:r>
          </w:p>
        </w:tc>
        <w:tc>
          <w:tcPr>
            <w:tcW w:w="0" w:type="auto"/>
            <w:tcBorders>
              <w:tl2br w:val="nil"/>
              <w:tr2bl w:val="nil"/>
            </w:tcBorders>
            <w:shd w:val="clear" w:color="auto" w:fill="auto"/>
            <w:noWrap/>
            <w:vAlign w:val="center"/>
          </w:tcPr>
          <w:p w14:paraId="7CAC0A94">
            <w:pPr>
              <w:pStyle w:val="41"/>
              <w:bidi w:val="0"/>
              <w:rPr>
                <w:rFonts w:hint="default"/>
                <w:color w:val="auto"/>
                <w:highlight w:val="none"/>
              </w:rPr>
            </w:pPr>
            <w:r>
              <w:rPr>
                <w:rFonts w:hint="default"/>
                <w:color w:val="auto"/>
                <w:highlight w:val="none"/>
                <w:lang w:val="en-US" w:eastAsia="zh-CN"/>
              </w:rPr>
              <w:t>16</w:t>
            </w:r>
          </w:p>
        </w:tc>
        <w:tc>
          <w:tcPr>
            <w:tcW w:w="0" w:type="auto"/>
            <w:tcBorders>
              <w:tl2br w:val="nil"/>
              <w:tr2bl w:val="nil"/>
            </w:tcBorders>
            <w:shd w:val="clear" w:color="auto" w:fill="auto"/>
            <w:noWrap/>
            <w:vAlign w:val="center"/>
          </w:tcPr>
          <w:p w14:paraId="20680504">
            <w:pPr>
              <w:pStyle w:val="41"/>
              <w:bidi w:val="0"/>
              <w:rPr>
                <w:rFonts w:hint="default"/>
                <w:color w:val="auto"/>
                <w:highlight w:val="none"/>
              </w:rPr>
            </w:pPr>
            <w:r>
              <w:rPr>
                <w:rFonts w:hint="default"/>
                <w:color w:val="auto"/>
                <w:highlight w:val="none"/>
                <w:lang w:val="en-US" w:eastAsia="zh-CN"/>
              </w:rPr>
              <w:t>19</w:t>
            </w:r>
          </w:p>
        </w:tc>
        <w:tc>
          <w:tcPr>
            <w:tcW w:w="0" w:type="auto"/>
            <w:tcBorders>
              <w:tl2br w:val="nil"/>
              <w:tr2bl w:val="nil"/>
            </w:tcBorders>
            <w:shd w:val="clear" w:color="auto" w:fill="auto"/>
            <w:noWrap/>
            <w:vAlign w:val="center"/>
          </w:tcPr>
          <w:p w14:paraId="196DB057">
            <w:pPr>
              <w:pStyle w:val="41"/>
              <w:bidi w:val="0"/>
              <w:rPr>
                <w:rFonts w:hint="default"/>
                <w:color w:val="auto"/>
                <w:highlight w:val="none"/>
              </w:rPr>
            </w:pPr>
            <w:r>
              <w:rPr>
                <w:rFonts w:hint="default"/>
                <w:color w:val="auto"/>
                <w:highlight w:val="none"/>
                <w:lang w:val="en-US" w:eastAsia="zh-CN"/>
              </w:rPr>
              <w:t>304</w:t>
            </w:r>
          </w:p>
        </w:tc>
        <w:tc>
          <w:tcPr>
            <w:tcW w:w="0" w:type="auto"/>
            <w:tcBorders>
              <w:tl2br w:val="nil"/>
              <w:tr2bl w:val="nil"/>
            </w:tcBorders>
            <w:shd w:val="clear" w:color="auto" w:fill="auto"/>
            <w:noWrap/>
            <w:vAlign w:val="center"/>
          </w:tcPr>
          <w:p w14:paraId="1172569D">
            <w:pPr>
              <w:pStyle w:val="41"/>
              <w:bidi w:val="0"/>
              <w:rPr>
                <w:rFonts w:hint="default"/>
                <w:color w:val="auto"/>
                <w:highlight w:val="none"/>
              </w:rPr>
            </w:pPr>
            <w:r>
              <w:rPr>
                <w:rFonts w:hint="default"/>
                <w:color w:val="auto"/>
                <w:highlight w:val="none"/>
                <w:lang w:val="en-US" w:eastAsia="zh-CN"/>
              </w:rPr>
              <w:t>20</w:t>
            </w:r>
          </w:p>
        </w:tc>
      </w:tr>
      <w:tr w14:paraId="72B498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29998814">
            <w:pPr>
              <w:pStyle w:val="41"/>
              <w:bidi w:val="0"/>
              <w:rPr>
                <w:rFonts w:hint="default"/>
                <w:color w:val="auto"/>
                <w:highlight w:val="none"/>
              </w:rPr>
            </w:pPr>
            <w:r>
              <w:rPr>
                <w:rFonts w:hint="default"/>
                <w:color w:val="auto"/>
                <w:highlight w:val="none"/>
                <w:lang w:val="en-US" w:eastAsia="zh-CN"/>
              </w:rPr>
              <w:t>9</w:t>
            </w:r>
          </w:p>
        </w:tc>
        <w:tc>
          <w:tcPr>
            <w:tcW w:w="0" w:type="auto"/>
            <w:tcBorders>
              <w:tl2br w:val="nil"/>
              <w:tr2bl w:val="nil"/>
            </w:tcBorders>
            <w:shd w:val="clear" w:color="auto" w:fill="auto"/>
            <w:noWrap/>
            <w:vAlign w:val="center"/>
          </w:tcPr>
          <w:p w14:paraId="6F2C9B13">
            <w:pPr>
              <w:pStyle w:val="41"/>
              <w:bidi w:val="0"/>
              <w:rPr>
                <w:rFonts w:hint="eastAsia"/>
                <w:color w:val="auto"/>
                <w:highlight w:val="none"/>
              </w:rPr>
            </w:pPr>
            <w:r>
              <w:rPr>
                <w:rFonts w:hint="eastAsia"/>
                <w:color w:val="auto"/>
                <w:highlight w:val="none"/>
                <w:lang w:val="en-US" w:eastAsia="zh-CN"/>
              </w:rPr>
              <w:t>干抛磁选车间</w:t>
            </w:r>
          </w:p>
        </w:tc>
        <w:tc>
          <w:tcPr>
            <w:tcW w:w="0" w:type="auto"/>
            <w:tcBorders>
              <w:tl2br w:val="nil"/>
              <w:tr2bl w:val="nil"/>
            </w:tcBorders>
            <w:shd w:val="clear" w:color="auto" w:fill="auto"/>
            <w:noWrap/>
            <w:vAlign w:val="center"/>
          </w:tcPr>
          <w:p w14:paraId="28485E94">
            <w:pPr>
              <w:pStyle w:val="41"/>
              <w:bidi w:val="0"/>
              <w:rPr>
                <w:rFonts w:hint="default"/>
                <w:color w:val="auto"/>
                <w:highlight w:val="none"/>
              </w:rPr>
            </w:pPr>
            <w:r>
              <w:rPr>
                <w:rFonts w:hint="default"/>
                <w:color w:val="auto"/>
                <w:highlight w:val="none"/>
                <w:lang w:val="en-US" w:eastAsia="zh-CN"/>
              </w:rPr>
              <w:t>17.5</w:t>
            </w:r>
          </w:p>
        </w:tc>
        <w:tc>
          <w:tcPr>
            <w:tcW w:w="0" w:type="auto"/>
            <w:tcBorders>
              <w:tl2br w:val="nil"/>
              <w:tr2bl w:val="nil"/>
            </w:tcBorders>
            <w:shd w:val="clear" w:color="auto" w:fill="auto"/>
            <w:noWrap/>
            <w:vAlign w:val="center"/>
          </w:tcPr>
          <w:p w14:paraId="407207FA">
            <w:pPr>
              <w:pStyle w:val="41"/>
              <w:bidi w:val="0"/>
              <w:rPr>
                <w:rFonts w:hint="default"/>
                <w:color w:val="auto"/>
                <w:highlight w:val="none"/>
              </w:rPr>
            </w:pPr>
            <w:r>
              <w:rPr>
                <w:rFonts w:hint="default"/>
                <w:color w:val="auto"/>
                <w:highlight w:val="none"/>
                <w:lang w:val="en-US" w:eastAsia="zh-CN"/>
              </w:rPr>
              <w:t>35</w:t>
            </w:r>
          </w:p>
        </w:tc>
        <w:tc>
          <w:tcPr>
            <w:tcW w:w="0" w:type="auto"/>
            <w:tcBorders>
              <w:tl2br w:val="nil"/>
              <w:tr2bl w:val="nil"/>
            </w:tcBorders>
            <w:shd w:val="clear" w:color="auto" w:fill="auto"/>
            <w:noWrap/>
            <w:vAlign w:val="center"/>
          </w:tcPr>
          <w:p w14:paraId="2DB95979">
            <w:pPr>
              <w:pStyle w:val="41"/>
              <w:bidi w:val="0"/>
              <w:rPr>
                <w:rFonts w:hint="default"/>
                <w:color w:val="auto"/>
                <w:highlight w:val="none"/>
              </w:rPr>
            </w:pPr>
            <w:r>
              <w:rPr>
                <w:rFonts w:hint="default"/>
                <w:color w:val="auto"/>
                <w:highlight w:val="none"/>
                <w:lang w:val="en-US" w:eastAsia="zh-CN"/>
              </w:rPr>
              <w:t>612.5</w:t>
            </w:r>
          </w:p>
        </w:tc>
        <w:tc>
          <w:tcPr>
            <w:tcW w:w="0" w:type="auto"/>
            <w:tcBorders>
              <w:tl2br w:val="nil"/>
              <w:tr2bl w:val="nil"/>
            </w:tcBorders>
            <w:shd w:val="clear" w:color="auto" w:fill="auto"/>
            <w:noWrap/>
            <w:vAlign w:val="center"/>
          </w:tcPr>
          <w:p w14:paraId="55BE7176">
            <w:pPr>
              <w:pStyle w:val="41"/>
              <w:bidi w:val="0"/>
              <w:rPr>
                <w:rFonts w:hint="default"/>
                <w:color w:val="auto"/>
                <w:highlight w:val="none"/>
              </w:rPr>
            </w:pPr>
            <w:r>
              <w:rPr>
                <w:rFonts w:hint="default"/>
                <w:color w:val="auto"/>
                <w:highlight w:val="none"/>
                <w:lang w:val="en-US" w:eastAsia="zh-CN"/>
              </w:rPr>
              <w:t>26</w:t>
            </w:r>
          </w:p>
        </w:tc>
      </w:tr>
      <w:tr w14:paraId="29B929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3BCD321F">
            <w:pPr>
              <w:pStyle w:val="41"/>
              <w:bidi w:val="0"/>
              <w:rPr>
                <w:rFonts w:hint="default"/>
                <w:color w:val="auto"/>
                <w:highlight w:val="none"/>
              </w:rPr>
            </w:pPr>
            <w:r>
              <w:rPr>
                <w:rFonts w:hint="default"/>
                <w:color w:val="auto"/>
                <w:highlight w:val="none"/>
                <w:lang w:val="en-US" w:eastAsia="zh-CN"/>
              </w:rPr>
              <w:t>10</w:t>
            </w:r>
          </w:p>
        </w:tc>
        <w:tc>
          <w:tcPr>
            <w:tcW w:w="0" w:type="auto"/>
            <w:tcBorders>
              <w:tl2br w:val="nil"/>
              <w:tr2bl w:val="nil"/>
            </w:tcBorders>
            <w:shd w:val="clear" w:color="auto" w:fill="auto"/>
            <w:noWrap/>
            <w:vAlign w:val="center"/>
          </w:tcPr>
          <w:p w14:paraId="4D71DDD1">
            <w:pPr>
              <w:pStyle w:val="41"/>
              <w:bidi w:val="0"/>
              <w:rPr>
                <w:rFonts w:hint="eastAsia"/>
                <w:color w:val="auto"/>
                <w:highlight w:val="none"/>
              </w:rPr>
            </w:pPr>
            <w:r>
              <w:rPr>
                <w:rFonts w:hint="eastAsia"/>
                <w:color w:val="auto"/>
                <w:highlight w:val="none"/>
                <w:lang w:val="en-US" w:eastAsia="zh-CN"/>
              </w:rPr>
              <w:t>干抛尾矿临时堆库</w:t>
            </w:r>
          </w:p>
        </w:tc>
        <w:tc>
          <w:tcPr>
            <w:tcW w:w="0" w:type="auto"/>
            <w:tcBorders>
              <w:tl2br w:val="nil"/>
              <w:tr2bl w:val="nil"/>
            </w:tcBorders>
            <w:shd w:val="clear" w:color="auto" w:fill="auto"/>
            <w:noWrap/>
            <w:vAlign w:val="center"/>
          </w:tcPr>
          <w:p w14:paraId="0E8E851D">
            <w:pPr>
              <w:pStyle w:val="41"/>
              <w:bidi w:val="0"/>
              <w:rPr>
                <w:rFonts w:hint="default"/>
                <w:color w:val="auto"/>
                <w:highlight w:val="none"/>
              </w:rPr>
            </w:pPr>
            <w:r>
              <w:rPr>
                <w:rFonts w:hint="default"/>
                <w:color w:val="auto"/>
                <w:highlight w:val="none"/>
                <w:lang w:val="en-US" w:eastAsia="zh-CN"/>
              </w:rPr>
              <w:t>40</w:t>
            </w:r>
          </w:p>
        </w:tc>
        <w:tc>
          <w:tcPr>
            <w:tcW w:w="0" w:type="auto"/>
            <w:tcBorders>
              <w:tl2br w:val="nil"/>
              <w:tr2bl w:val="nil"/>
            </w:tcBorders>
            <w:shd w:val="clear" w:color="auto" w:fill="auto"/>
            <w:noWrap/>
            <w:vAlign w:val="center"/>
          </w:tcPr>
          <w:p w14:paraId="38D04181">
            <w:pPr>
              <w:pStyle w:val="41"/>
              <w:bidi w:val="0"/>
              <w:rPr>
                <w:rFonts w:hint="default"/>
                <w:color w:val="auto"/>
                <w:highlight w:val="none"/>
              </w:rPr>
            </w:pPr>
            <w:r>
              <w:rPr>
                <w:rFonts w:hint="default"/>
                <w:color w:val="auto"/>
                <w:highlight w:val="none"/>
                <w:lang w:val="en-US" w:eastAsia="zh-CN"/>
              </w:rPr>
              <w:t>61</w:t>
            </w:r>
          </w:p>
        </w:tc>
        <w:tc>
          <w:tcPr>
            <w:tcW w:w="0" w:type="auto"/>
            <w:tcBorders>
              <w:tl2br w:val="nil"/>
              <w:tr2bl w:val="nil"/>
            </w:tcBorders>
            <w:shd w:val="clear" w:color="auto" w:fill="auto"/>
            <w:noWrap/>
            <w:vAlign w:val="center"/>
          </w:tcPr>
          <w:p w14:paraId="45E5D478">
            <w:pPr>
              <w:pStyle w:val="41"/>
              <w:bidi w:val="0"/>
              <w:rPr>
                <w:rFonts w:hint="default"/>
                <w:color w:val="auto"/>
                <w:highlight w:val="none"/>
              </w:rPr>
            </w:pPr>
            <w:r>
              <w:rPr>
                <w:rFonts w:hint="default"/>
                <w:color w:val="auto"/>
                <w:highlight w:val="none"/>
                <w:lang w:val="en-US" w:eastAsia="zh-CN"/>
              </w:rPr>
              <w:t>2440</w:t>
            </w:r>
          </w:p>
        </w:tc>
        <w:tc>
          <w:tcPr>
            <w:tcW w:w="0" w:type="auto"/>
            <w:tcBorders>
              <w:tl2br w:val="nil"/>
              <w:tr2bl w:val="nil"/>
            </w:tcBorders>
            <w:shd w:val="clear" w:color="auto" w:fill="auto"/>
            <w:noWrap/>
            <w:vAlign w:val="center"/>
          </w:tcPr>
          <w:p w14:paraId="07A8647F">
            <w:pPr>
              <w:pStyle w:val="41"/>
              <w:bidi w:val="0"/>
              <w:rPr>
                <w:rFonts w:hint="default"/>
                <w:color w:val="auto"/>
                <w:highlight w:val="none"/>
              </w:rPr>
            </w:pPr>
            <w:r>
              <w:rPr>
                <w:rFonts w:hint="default"/>
                <w:color w:val="auto"/>
                <w:highlight w:val="none"/>
                <w:lang w:val="en-US" w:eastAsia="zh-CN"/>
              </w:rPr>
              <w:t>10</w:t>
            </w:r>
          </w:p>
        </w:tc>
      </w:tr>
      <w:tr w14:paraId="124050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618CCDA3">
            <w:pPr>
              <w:pStyle w:val="41"/>
              <w:bidi w:val="0"/>
              <w:rPr>
                <w:rFonts w:hint="default"/>
                <w:color w:val="auto"/>
                <w:highlight w:val="none"/>
              </w:rPr>
            </w:pPr>
            <w:r>
              <w:rPr>
                <w:rFonts w:hint="default"/>
                <w:color w:val="auto"/>
                <w:highlight w:val="none"/>
                <w:lang w:val="en-US" w:eastAsia="zh-CN"/>
              </w:rPr>
              <w:t>11</w:t>
            </w:r>
          </w:p>
        </w:tc>
        <w:tc>
          <w:tcPr>
            <w:tcW w:w="0" w:type="auto"/>
            <w:tcBorders>
              <w:tl2br w:val="nil"/>
              <w:tr2bl w:val="nil"/>
            </w:tcBorders>
            <w:shd w:val="clear" w:color="auto" w:fill="auto"/>
            <w:noWrap/>
            <w:vAlign w:val="center"/>
          </w:tcPr>
          <w:p w14:paraId="544FCAEC">
            <w:pPr>
              <w:pStyle w:val="41"/>
              <w:bidi w:val="0"/>
              <w:rPr>
                <w:rFonts w:hint="eastAsia"/>
                <w:color w:val="auto"/>
                <w:highlight w:val="none"/>
              </w:rPr>
            </w:pPr>
            <w:r>
              <w:rPr>
                <w:rFonts w:hint="eastAsia"/>
                <w:color w:val="auto"/>
                <w:highlight w:val="none"/>
                <w:lang w:val="en-US" w:eastAsia="zh-CN"/>
              </w:rPr>
              <w:t>粉矿库</w:t>
            </w:r>
          </w:p>
        </w:tc>
        <w:tc>
          <w:tcPr>
            <w:tcW w:w="0" w:type="auto"/>
            <w:tcBorders>
              <w:tl2br w:val="nil"/>
              <w:tr2bl w:val="nil"/>
            </w:tcBorders>
            <w:shd w:val="clear" w:color="auto" w:fill="auto"/>
            <w:noWrap/>
            <w:vAlign w:val="center"/>
          </w:tcPr>
          <w:p w14:paraId="31C6F2D8">
            <w:pPr>
              <w:pStyle w:val="41"/>
              <w:bidi w:val="0"/>
              <w:rPr>
                <w:rFonts w:hint="default"/>
                <w:color w:val="auto"/>
                <w:highlight w:val="none"/>
              </w:rPr>
            </w:pPr>
            <w:r>
              <w:rPr>
                <w:rFonts w:hint="default"/>
                <w:color w:val="auto"/>
                <w:highlight w:val="none"/>
                <w:lang w:val="en-US" w:eastAsia="zh-CN"/>
              </w:rPr>
              <w:t>40</w:t>
            </w:r>
          </w:p>
        </w:tc>
        <w:tc>
          <w:tcPr>
            <w:tcW w:w="0" w:type="auto"/>
            <w:tcBorders>
              <w:tl2br w:val="nil"/>
              <w:tr2bl w:val="nil"/>
            </w:tcBorders>
            <w:shd w:val="clear" w:color="auto" w:fill="auto"/>
            <w:noWrap/>
            <w:vAlign w:val="center"/>
          </w:tcPr>
          <w:p w14:paraId="400AC9A9">
            <w:pPr>
              <w:pStyle w:val="41"/>
              <w:bidi w:val="0"/>
              <w:rPr>
                <w:rFonts w:hint="default"/>
                <w:color w:val="auto"/>
                <w:highlight w:val="none"/>
              </w:rPr>
            </w:pPr>
            <w:r>
              <w:rPr>
                <w:rFonts w:hint="default"/>
                <w:color w:val="auto"/>
                <w:highlight w:val="none"/>
                <w:lang w:val="en-US" w:eastAsia="zh-CN"/>
              </w:rPr>
              <w:t>80</w:t>
            </w:r>
          </w:p>
        </w:tc>
        <w:tc>
          <w:tcPr>
            <w:tcW w:w="0" w:type="auto"/>
            <w:tcBorders>
              <w:tl2br w:val="nil"/>
              <w:tr2bl w:val="nil"/>
            </w:tcBorders>
            <w:shd w:val="clear" w:color="auto" w:fill="auto"/>
            <w:noWrap/>
            <w:vAlign w:val="center"/>
          </w:tcPr>
          <w:p w14:paraId="39EAB106">
            <w:pPr>
              <w:pStyle w:val="41"/>
              <w:bidi w:val="0"/>
              <w:rPr>
                <w:rFonts w:hint="default"/>
                <w:color w:val="auto"/>
                <w:highlight w:val="none"/>
              </w:rPr>
            </w:pPr>
            <w:r>
              <w:rPr>
                <w:rFonts w:hint="default"/>
                <w:color w:val="auto"/>
                <w:highlight w:val="none"/>
                <w:lang w:val="en-US" w:eastAsia="zh-CN"/>
              </w:rPr>
              <w:t>3200</w:t>
            </w:r>
          </w:p>
        </w:tc>
        <w:tc>
          <w:tcPr>
            <w:tcW w:w="0" w:type="auto"/>
            <w:tcBorders>
              <w:tl2br w:val="nil"/>
              <w:tr2bl w:val="nil"/>
            </w:tcBorders>
            <w:shd w:val="clear" w:color="auto" w:fill="auto"/>
            <w:noWrap/>
            <w:vAlign w:val="center"/>
          </w:tcPr>
          <w:p w14:paraId="09FEFB24">
            <w:pPr>
              <w:pStyle w:val="41"/>
              <w:bidi w:val="0"/>
              <w:rPr>
                <w:rFonts w:hint="default"/>
                <w:color w:val="auto"/>
                <w:highlight w:val="none"/>
              </w:rPr>
            </w:pPr>
            <w:r>
              <w:rPr>
                <w:rFonts w:hint="default"/>
                <w:color w:val="auto"/>
                <w:highlight w:val="none"/>
                <w:lang w:val="en-US" w:eastAsia="zh-CN"/>
              </w:rPr>
              <w:t>10</w:t>
            </w:r>
          </w:p>
        </w:tc>
      </w:tr>
      <w:tr w14:paraId="5B8E80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4F23C944">
            <w:pPr>
              <w:pStyle w:val="41"/>
              <w:bidi w:val="0"/>
              <w:rPr>
                <w:rFonts w:hint="default"/>
                <w:color w:val="auto"/>
                <w:highlight w:val="none"/>
              </w:rPr>
            </w:pPr>
            <w:r>
              <w:rPr>
                <w:rFonts w:hint="default"/>
                <w:color w:val="auto"/>
                <w:highlight w:val="none"/>
                <w:lang w:val="en-US" w:eastAsia="zh-CN"/>
              </w:rPr>
              <w:t>12</w:t>
            </w:r>
          </w:p>
        </w:tc>
        <w:tc>
          <w:tcPr>
            <w:tcW w:w="0" w:type="auto"/>
            <w:tcBorders>
              <w:tl2br w:val="nil"/>
              <w:tr2bl w:val="nil"/>
            </w:tcBorders>
            <w:shd w:val="clear" w:color="auto" w:fill="auto"/>
            <w:noWrap/>
            <w:vAlign w:val="center"/>
          </w:tcPr>
          <w:p w14:paraId="686DDC22">
            <w:pPr>
              <w:pStyle w:val="41"/>
              <w:bidi w:val="0"/>
              <w:rPr>
                <w:rFonts w:hint="eastAsia"/>
                <w:color w:val="auto"/>
                <w:highlight w:val="none"/>
              </w:rPr>
            </w:pPr>
            <w:r>
              <w:rPr>
                <w:rFonts w:hint="eastAsia"/>
                <w:color w:val="auto"/>
                <w:highlight w:val="none"/>
                <w:lang w:val="en-US" w:eastAsia="zh-CN"/>
              </w:rPr>
              <w:t>磨选过滤车间</w:t>
            </w:r>
          </w:p>
        </w:tc>
        <w:tc>
          <w:tcPr>
            <w:tcW w:w="0" w:type="auto"/>
            <w:tcBorders>
              <w:tl2br w:val="nil"/>
              <w:tr2bl w:val="nil"/>
            </w:tcBorders>
            <w:shd w:val="clear" w:color="auto" w:fill="auto"/>
            <w:noWrap/>
            <w:vAlign w:val="center"/>
          </w:tcPr>
          <w:p w14:paraId="29143997">
            <w:pPr>
              <w:pStyle w:val="41"/>
              <w:bidi w:val="0"/>
              <w:rPr>
                <w:rFonts w:hint="default"/>
                <w:color w:val="auto"/>
                <w:highlight w:val="none"/>
              </w:rPr>
            </w:pPr>
            <w:r>
              <w:rPr>
                <w:rFonts w:hint="default"/>
                <w:color w:val="auto"/>
                <w:highlight w:val="none"/>
                <w:lang w:val="en-US" w:eastAsia="zh-CN"/>
              </w:rPr>
              <w:t>48.88</w:t>
            </w:r>
          </w:p>
        </w:tc>
        <w:tc>
          <w:tcPr>
            <w:tcW w:w="0" w:type="auto"/>
            <w:tcBorders>
              <w:tl2br w:val="nil"/>
              <w:tr2bl w:val="nil"/>
            </w:tcBorders>
            <w:shd w:val="clear" w:color="auto" w:fill="auto"/>
            <w:noWrap/>
            <w:vAlign w:val="center"/>
          </w:tcPr>
          <w:p w14:paraId="0A99483B">
            <w:pPr>
              <w:pStyle w:val="41"/>
              <w:bidi w:val="0"/>
              <w:rPr>
                <w:rFonts w:hint="default"/>
                <w:color w:val="auto"/>
                <w:highlight w:val="none"/>
              </w:rPr>
            </w:pPr>
            <w:r>
              <w:rPr>
                <w:rFonts w:hint="default"/>
                <w:color w:val="auto"/>
                <w:highlight w:val="none"/>
                <w:lang w:val="en-US" w:eastAsia="zh-CN"/>
              </w:rPr>
              <w:t>59.08</w:t>
            </w:r>
          </w:p>
        </w:tc>
        <w:tc>
          <w:tcPr>
            <w:tcW w:w="0" w:type="auto"/>
            <w:tcBorders>
              <w:tl2br w:val="nil"/>
              <w:tr2bl w:val="nil"/>
            </w:tcBorders>
            <w:shd w:val="clear" w:color="auto" w:fill="auto"/>
            <w:noWrap/>
            <w:vAlign w:val="center"/>
          </w:tcPr>
          <w:p w14:paraId="03862135">
            <w:pPr>
              <w:pStyle w:val="41"/>
              <w:bidi w:val="0"/>
              <w:rPr>
                <w:rFonts w:hint="default"/>
                <w:color w:val="auto"/>
                <w:highlight w:val="none"/>
              </w:rPr>
            </w:pPr>
            <w:r>
              <w:rPr>
                <w:rFonts w:hint="default"/>
                <w:color w:val="auto"/>
                <w:highlight w:val="none"/>
                <w:lang w:val="en-US" w:eastAsia="zh-CN"/>
              </w:rPr>
              <w:t>2887.83</w:t>
            </w:r>
          </w:p>
        </w:tc>
        <w:tc>
          <w:tcPr>
            <w:tcW w:w="0" w:type="auto"/>
            <w:tcBorders>
              <w:tl2br w:val="nil"/>
              <w:tr2bl w:val="nil"/>
            </w:tcBorders>
            <w:shd w:val="clear" w:color="auto" w:fill="auto"/>
            <w:noWrap/>
            <w:vAlign w:val="center"/>
          </w:tcPr>
          <w:p w14:paraId="7F5DFEFF">
            <w:pPr>
              <w:pStyle w:val="41"/>
              <w:bidi w:val="0"/>
              <w:rPr>
                <w:rFonts w:hint="default"/>
                <w:color w:val="auto"/>
                <w:highlight w:val="none"/>
              </w:rPr>
            </w:pPr>
            <w:r>
              <w:rPr>
                <w:rFonts w:hint="default"/>
                <w:color w:val="auto"/>
                <w:highlight w:val="none"/>
                <w:lang w:val="en-US" w:eastAsia="zh-CN"/>
              </w:rPr>
              <w:t>27</w:t>
            </w:r>
          </w:p>
        </w:tc>
      </w:tr>
      <w:tr w14:paraId="79F28D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5B0C4859">
            <w:pPr>
              <w:pStyle w:val="41"/>
              <w:bidi w:val="0"/>
              <w:rPr>
                <w:rFonts w:hint="default"/>
                <w:color w:val="auto"/>
                <w:highlight w:val="none"/>
              </w:rPr>
            </w:pPr>
            <w:r>
              <w:rPr>
                <w:rFonts w:hint="default"/>
                <w:color w:val="auto"/>
                <w:highlight w:val="none"/>
                <w:lang w:val="en-US" w:eastAsia="zh-CN"/>
              </w:rPr>
              <w:t>13</w:t>
            </w:r>
          </w:p>
        </w:tc>
        <w:tc>
          <w:tcPr>
            <w:tcW w:w="0" w:type="auto"/>
            <w:tcBorders>
              <w:tl2br w:val="nil"/>
              <w:tr2bl w:val="nil"/>
            </w:tcBorders>
            <w:shd w:val="clear" w:color="auto" w:fill="auto"/>
            <w:noWrap/>
            <w:vAlign w:val="center"/>
          </w:tcPr>
          <w:p w14:paraId="3CF37ECC">
            <w:pPr>
              <w:pStyle w:val="41"/>
              <w:bidi w:val="0"/>
              <w:rPr>
                <w:rFonts w:hint="eastAsia"/>
                <w:color w:val="auto"/>
                <w:highlight w:val="none"/>
              </w:rPr>
            </w:pPr>
            <w:r>
              <w:rPr>
                <w:rFonts w:hint="eastAsia"/>
                <w:color w:val="auto"/>
                <w:highlight w:val="none"/>
                <w:lang w:val="en-US" w:eastAsia="zh-CN"/>
              </w:rPr>
              <w:t>铁精粉库</w:t>
            </w:r>
          </w:p>
        </w:tc>
        <w:tc>
          <w:tcPr>
            <w:tcW w:w="0" w:type="auto"/>
            <w:tcBorders>
              <w:tl2br w:val="nil"/>
              <w:tr2bl w:val="nil"/>
            </w:tcBorders>
            <w:shd w:val="clear" w:color="auto" w:fill="auto"/>
            <w:noWrap/>
            <w:vAlign w:val="center"/>
          </w:tcPr>
          <w:p w14:paraId="12E2B703">
            <w:pPr>
              <w:pStyle w:val="41"/>
              <w:bidi w:val="0"/>
              <w:rPr>
                <w:rFonts w:hint="default"/>
                <w:color w:val="auto"/>
                <w:highlight w:val="none"/>
              </w:rPr>
            </w:pPr>
            <w:r>
              <w:rPr>
                <w:rFonts w:hint="default"/>
                <w:color w:val="auto"/>
                <w:highlight w:val="none"/>
                <w:lang w:val="en-US" w:eastAsia="zh-CN"/>
              </w:rPr>
              <w:t>25</w:t>
            </w:r>
          </w:p>
        </w:tc>
        <w:tc>
          <w:tcPr>
            <w:tcW w:w="0" w:type="auto"/>
            <w:tcBorders>
              <w:tl2br w:val="nil"/>
              <w:tr2bl w:val="nil"/>
            </w:tcBorders>
            <w:shd w:val="clear" w:color="auto" w:fill="auto"/>
            <w:noWrap/>
            <w:vAlign w:val="center"/>
          </w:tcPr>
          <w:p w14:paraId="65CA0315">
            <w:pPr>
              <w:pStyle w:val="41"/>
              <w:bidi w:val="0"/>
              <w:rPr>
                <w:rFonts w:hint="default"/>
                <w:color w:val="auto"/>
                <w:highlight w:val="none"/>
              </w:rPr>
            </w:pPr>
            <w:r>
              <w:rPr>
                <w:rFonts w:hint="default"/>
                <w:color w:val="auto"/>
                <w:highlight w:val="none"/>
                <w:lang w:val="en-US" w:eastAsia="zh-CN"/>
              </w:rPr>
              <w:t>72</w:t>
            </w:r>
          </w:p>
        </w:tc>
        <w:tc>
          <w:tcPr>
            <w:tcW w:w="0" w:type="auto"/>
            <w:tcBorders>
              <w:tl2br w:val="nil"/>
              <w:tr2bl w:val="nil"/>
            </w:tcBorders>
            <w:shd w:val="clear" w:color="auto" w:fill="auto"/>
            <w:noWrap/>
            <w:vAlign w:val="center"/>
          </w:tcPr>
          <w:p w14:paraId="38A78F62">
            <w:pPr>
              <w:pStyle w:val="41"/>
              <w:bidi w:val="0"/>
              <w:rPr>
                <w:rFonts w:hint="default"/>
                <w:color w:val="auto"/>
                <w:highlight w:val="none"/>
              </w:rPr>
            </w:pPr>
            <w:r>
              <w:rPr>
                <w:rFonts w:hint="default"/>
                <w:color w:val="auto"/>
                <w:highlight w:val="none"/>
                <w:lang w:val="en-US" w:eastAsia="zh-CN"/>
              </w:rPr>
              <w:t>1800</w:t>
            </w:r>
          </w:p>
        </w:tc>
        <w:tc>
          <w:tcPr>
            <w:tcW w:w="0" w:type="auto"/>
            <w:tcBorders>
              <w:tl2br w:val="nil"/>
              <w:tr2bl w:val="nil"/>
            </w:tcBorders>
            <w:shd w:val="clear" w:color="auto" w:fill="auto"/>
            <w:noWrap/>
            <w:vAlign w:val="center"/>
          </w:tcPr>
          <w:p w14:paraId="3825B901">
            <w:pPr>
              <w:pStyle w:val="41"/>
              <w:bidi w:val="0"/>
              <w:rPr>
                <w:rFonts w:hint="default"/>
                <w:color w:val="auto"/>
                <w:highlight w:val="none"/>
              </w:rPr>
            </w:pPr>
            <w:r>
              <w:rPr>
                <w:rFonts w:hint="default"/>
                <w:color w:val="auto"/>
                <w:highlight w:val="none"/>
                <w:lang w:val="en-US" w:eastAsia="zh-CN"/>
              </w:rPr>
              <w:t>9</w:t>
            </w:r>
          </w:p>
        </w:tc>
      </w:tr>
      <w:tr w14:paraId="0472C3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1A144976">
            <w:pPr>
              <w:pStyle w:val="41"/>
              <w:bidi w:val="0"/>
              <w:rPr>
                <w:rFonts w:hint="default"/>
                <w:color w:val="auto"/>
                <w:highlight w:val="none"/>
              </w:rPr>
            </w:pPr>
            <w:r>
              <w:rPr>
                <w:rFonts w:hint="default"/>
                <w:color w:val="auto"/>
                <w:highlight w:val="none"/>
                <w:lang w:val="en-US" w:eastAsia="zh-CN"/>
              </w:rPr>
              <w:t>14</w:t>
            </w:r>
          </w:p>
        </w:tc>
        <w:tc>
          <w:tcPr>
            <w:tcW w:w="0" w:type="auto"/>
            <w:tcBorders>
              <w:tl2br w:val="nil"/>
              <w:tr2bl w:val="nil"/>
            </w:tcBorders>
            <w:shd w:val="clear" w:color="auto" w:fill="auto"/>
            <w:noWrap/>
            <w:vAlign w:val="center"/>
          </w:tcPr>
          <w:p w14:paraId="760FD1B2">
            <w:pPr>
              <w:pStyle w:val="41"/>
              <w:bidi w:val="0"/>
              <w:rPr>
                <w:rFonts w:hint="eastAsia"/>
                <w:color w:val="auto"/>
                <w:highlight w:val="none"/>
              </w:rPr>
            </w:pPr>
            <w:r>
              <w:rPr>
                <w:rFonts w:hint="eastAsia"/>
                <w:color w:val="auto"/>
                <w:highlight w:val="none"/>
                <w:lang w:val="en-US" w:eastAsia="zh-CN"/>
              </w:rPr>
              <w:t>重选车间</w:t>
            </w:r>
          </w:p>
        </w:tc>
        <w:tc>
          <w:tcPr>
            <w:tcW w:w="0" w:type="auto"/>
            <w:tcBorders>
              <w:tl2br w:val="nil"/>
              <w:tr2bl w:val="nil"/>
            </w:tcBorders>
            <w:shd w:val="clear" w:color="auto" w:fill="auto"/>
            <w:noWrap/>
            <w:vAlign w:val="center"/>
          </w:tcPr>
          <w:p w14:paraId="5F66218F">
            <w:pPr>
              <w:pStyle w:val="41"/>
              <w:bidi w:val="0"/>
              <w:rPr>
                <w:rFonts w:hint="default"/>
                <w:color w:val="auto"/>
                <w:highlight w:val="none"/>
              </w:rPr>
            </w:pPr>
            <w:r>
              <w:rPr>
                <w:rFonts w:hint="default"/>
                <w:color w:val="auto"/>
                <w:highlight w:val="none"/>
                <w:lang w:val="en-US" w:eastAsia="zh-CN"/>
              </w:rPr>
              <w:t>45.18</w:t>
            </w:r>
          </w:p>
        </w:tc>
        <w:tc>
          <w:tcPr>
            <w:tcW w:w="0" w:type="auto"/>
            <w:tcBorders>
              <w:tl2br w:val="nil"/>
              <w:tr2bl w:val="nil"/>
            </w:tcBorders>
            <w:shd w:val="clear" w:color="auto" w:fill="auto"/>
            <w:noWrap/>
            <w:vAlign w:val="center"/>
          </w:tcPr>
          <w:p w14:paraId="1B9861DE">
            <w:pPr>
              <w:pStyle w:val="41"/>
              <w:bidi w:val="0"/>
              <w:rPr>
                <w:rFonts w:hint="default"/>
                <w:color w:val="auto"/>
                <w:highlight w:val="none"/>
              </w:rPr>
            </w:pPr>
            <w:r>
              <w:rPr>
                <w:rFonts w:hint="default"/>
                <w:color w:val="auto"/>
                <w:highlight w:val="none"/>
                <w:lang w:val="en-US" w:eastAsia="zh-CN"/>
              </w:rPr>
              <w:t>75.78</w:t>
            </w:r>
          </w:p>
        </w:tc>
        <w:tc>
          <w:tcPr>
            <w:tcW w:w="0" w:type="auto"/>
            <w:tcBorders>
              <w:tl2br w:val="nil"/>
              <w:tr2bl w:val="nil"/>
            </w:tcBorders>
            <w:shd w:val="clear" w:color="auto" w:fill="auto"/>
            <w:noWrap/>
            <w:vAlign w:val="center"/>
          </w:tcPr>
          <w:p w14:paraId="492408BA">
            <w:pPr>
              <w:pStyle w:val="41"/>
              <w:bidi w:val="0"/>
              <w:rPr>
                <w:rFonts w:hint="default"/>
                <w:color w:val="auto"/>
                <w:highlight w:val="none"/>
              </w:rPr>
            </w:pPr>
            <w:r>
              <w:rPr>
                <w:rFonts w:hint="default"/>
                <w:color w:val="auto"/>
                <w:highlight w:val="none"/>
                <w:lang w:val="en-US" w:eastAsia="zh-CN"/>
              </w:rPr>
              <w:t>3423.74</w:t>
            </w:r>
          </w:p>
        </w:tc>
        <w:tc>
          <w:tcPr>
            <w:tcW w:w="0" w:type="auto"/>
            <w:tcBorders>
              <w:tl2br w:val="nil"/>
              <w:tr2bl w:val="nil"/>
            </w:tcBorders>
            <w:shd w:val="clear" w:color="auto" w:fill="auto"/>
            <w:noWrap/>
            <w:vAlign w:val="center"/>
          </w:tcPr>
          <w:p w14:paraId="1752185F">
            <w:pPr>
              <w:pStyle w:val="41"/>
              <w:bidi w:val="0"/>
              <w:rPr>
                <w:rFonts w:hint="default"/>
                <w:color w:val="auto"/>
                <w:highlight w:val="none"/>
              </w:rPr>
            </w:pPr>
            <w:r>
              <w:rPr>
                <w:rFonts w:hint="default"/>
                <w:color w:val="auto"/>
                <w:highlight w:val="none"/>
                <w:lang w:val="en-US" w:eastAsia="zh-CN"/>
              </w:rPr>
              <w:t>20.5</w:t>
            </w:r>
          </w:p>
        </w:tc>
      </w:tr>
      <w:tr w14:paraId="3814CB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7C5A3B86">
            <w:pPr>
              <w:pStyle w:val="41"/>
              <w:bidi w:val="0"/>
              <w:rPr>
                <w:rFonts w:hint="default"/>
                <w:color w:val="auto"/>
                <w:highlight w:val="none"/>
              </w:rPr>
            </w:pPr>
            <w:r>
              <w:rPr>
                <w:rFonts w:hint="default"/>
                <w:color w:val="auto"/>
                <w:highlight w:val="none"/>
                <w:lang w:val="en-US" w:eastAsia="zh-CN"/>
              </w:rPr>
              <w:t>15</w:t>
            </w:r>
          </w:p>
        </w:tc>
        <w:tc>
          <w:tcPr>
            <w:tcW w:w="0" w:type="auto"/>
            <w:tcBorders>
              <w:tl2br w:val="nil"/>
              <w:tr2bl w:val="nil"/>
            </w:tcBorders>
            <w:shd w:val="clear" w:color="auto" w:fill="auto"/>
            <w:noWrap/>
            <w:vAlign w:val="center"/>
          </w:tcPr>
          <w:p w14:paraId="19FF0436">
            <w:pPr>
              <w:pStyle w:val="41"/>
              <w:bidi w:val="0"/>
              <w:rPr>
                <w:rFonts w:hint="eastAsia"/>
                <w:color w:val="auto"/>
                <w:highlight w:val="none"/>
              </w:rPr>
            </w:pPr>
            <w:r>
              <w:rPr>
                <w:rFonts w:hint="eastAsia"/>
                <w:color w:val="auto"/>
                <w:highlight w:val="none"/>
                <w:lang w:val="en-US" w:eastAsia="zh-CN"/>
              </w:rPr>
              <w:t>钛中矿库</w:t>
            </w:r>
          </w:p>
        </w:tc>
        <w:tc>
          <w:tcPr>
            <w:tcW w:w="0" w:type="auto"/>
            <w:tcBorders>
              <w:tl2br w:val="nil"/>
              <w:tr2bl w:val="nil"/>
            </w:tcBorders>
            <w:shd w:val="clear" w:color="auto" w:fill="auto"/>
            <w:noWrap/>
            <w:vAlign w:val="center"/>
          </w:tcPr>
          <w:p w14:paraId="4BC7D46D">
            <w:pPr>
              <w:pStyle w:val="41"/>
              <w:bidi w:val="0"/>
              <w:rPr>
                <w:rFonts w:hint="default"/>
                <w:color w:val="auto"/>
                <w:highlight w:val="none"/>
              </w:rPr>
            </w:pPr>
            <w:r>
              <w:rPr>
                <w:rFonts w:hint="default"/>
                <w:color w:val="auto"/>
                <w:highlight w:val="none"/>
                <w:lang w:val="en-US" w:eastAsia="zh-CN"/>
              </w:rPr>
              <w:t>24.78</w:t>
            </w:r>
          </w:p>
        </w:tc>
        <w:tc>
          <w:tcPr>
            <w:tcW w:w="0" w:type="auto"/>
            <w:tcBorders>
              <w:tl2br w:val="nil"/>
              <w:tr2bl w:val="nil"/>
            </w:tcBorders>
            <w:shd w:val="clear" w:color="auto" w:fill="auto"/>
            <w:noWrap/>
            <w:vAlign w:val="center"/>
          </w:tcPr>
          <w:p w14:paraId="5F7EBD44">
            <w:pPr>
              <w:pStyle w:val="41"/>
              <w:bidi w:val="0"/>
              <w:rPr>
                <w:rFonts w:hint="default"/>
                <w:color w:val="auto"/>
                <w:highlight w:val="none"/>
              </w:rPr>
            </w:pPr>
            <w:r>
              <w:rPr>
                <w:rFonts w:hint="default"/>
                <w:color w:val="auto"/>
                <w:highlight w:val="none"/>
                <w:lang w:val="en-US" w:eastAsia="zh-CN"/>
              </w:rPr>
              <w:t>74.78</w:t>
            </w:r>
          </w:p>
        </w:tc>
        <w:tc>
          <w:tcPr>
            <w:tcW w:w="0" w:type="auto"/>
            <w:tcBorders>
              <w:tl2br w:val="nil"/>
              <w:tr2bl w:val="nil"/>
            </w:tcBorders>
            <w:shd w:val="clear" w:color="auto" w:fill="auto"/>
            <w:noWrap/>
            <w:vAlign w:val="center"/>
          </w:tcPr>
          <w:p w14:paraId="20EACA37">
            <w:pPr>
              <w:pStyle w:val="41"/>
              <w:bidi w:val="0"/>
              <w:rPr>
                <w:rFonts w:hint="default"/>
                <w:color w:val="auto"/>
                <w:highlight w:val="none"/>
              </w:rPr>
            </w:pPr>
            <w:r>
              <w:rPr>
                <w:rFonts w:hint="default"/>
                <w:color w:val="auto"/>
                <w:highlight w:val="none"/>
                <w:lang w:val="en-US" w:eastAsia="zh-CN"/>
              </w:rPr>
              <w:t>1853.05</w:t>
            </w:r>
          </w:p>
        </w:tc>
        <w:tc>
          <w:tcPr>
            <w:tcW w:w="0" w:type="auto"/>
            <w:tcBorders>
              <w:tl2br w:val="nil"/>
              <w:tr2bl w:val="nil"/>
            </w:tcBorders>
            <w:shd w:val="clear" w:color="auto" w:fill="auto"/>
            <w:noWrap/>
            <w:vAlign w:val="center"/>
          </w:tcPr>
          <w:p w14:paraId="05FA6CE3">
            <w:pPr>
              <w:pStyle w:val="41"/>
              <w:bidi w:val="0"/>
              <w:rPr>
                <w:rFonts w:hint="default"/>
                <w:color w:val="auto"/>
                <w:highlight w:val="none"/>
              </w:rPr>
            </w:pPr>
            <w:r>
              <w:rPr>
                <w:rFonts w:hint="default"/>
                <w:color w:val="auto"/>
                <w:highlight w:val="none"/>
                <w:lang w:val="en-US" w:eastAsia="zh-CN"/>
              </w:rPr>
              <w:t>9</w:t>
            </w:r>
          </w:p>
        </w:tc>
      </w:tr>
      <w:tr w14:paraId="31D4455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04EB83A1">
            <w:pPr>
              <w:pStyle w:val="41"/>
              <w:bidi w:val="0"/>
              <w:rPr>
                <w:rFonts w:hint="default"/>
                <w:color w:val="auto"/>
                <w:highlight w:val="none"/>
              </w:rPr>
            </w:pPr>
            <w:r>
              <w:rPr>
                <w:rFonts w:hint="default"/>
                <w:color w:val="auto"/>
                <w:highlight w:val="none"/>
                <w:lang w:val="en-US" w:eastAsia="zh-CN"/>
              </w:rPr>
              <w:t>16</w:t>
            </w:r>
          </w:p>
        </w:tc>
        <w:tc>
          <w:tcPr>
            <w:tcW w:w="0" w:type="auto"/>
            <w:tcBorders>
              <w:tl2br w:val="nil"/>
              <w:tr2bl w:val="nil"/>
            </w:tcBorders>
            <w:shd w:val="clear" w:color="auto" w:fill="auto"/>
            <w:noWrap/>
            <w:vAlign w:val="center"/>
          </w:tcPr>
          <w:p w14:paraId="73E4E687">
            <w:pPr>
              <w:pStyle w:val="41"/>
              <w:bidi w:val="0"/>
              <w:rPr>
                <w:rFonts w:hint="eastAsia"/>
                <w:color w:val="auto"/>
                <w:highlight w:val="none"/>
              </w:rPr>
            </w:pPr>
            <w:r>
              <w:rPr>
                <w:rFonts w:hint="eastAsia"/>
                <w:color w:val="auto"/>
                <w:highlight w:val="none"/>
                <w:lang w:val="en-US" w:eastAsia="zh-CN"/>
              </w:rPr>
              <w:t>烘干车间</w:t>
            </w:r>
          </w:p>
        </w:tc>
        <w:tc>
          <w:tcPr>
            <w:tcW w:w="0" w:type="auto"/>
            <w:tcBorders>
              <w:tl2br w:val="nil"/>
              <w:tr2bl w:val="nil"/>
            </w:tcBorders>
            <w:shd w:val="clear" w:color="auto" w:fill="auto"/>
            <w:noWrap/>
            <w:vAlign w:val="center"/>
          </w:tcPr>
          <w:p w14:paraId="1A713568">
            <w:pPr>
              <w:pStyle w:val="41"/>
              <w:bidi w:val="0"/>
              <w:rPr>
                <w:rFonts w:hint="default"/>
                <w:color w:val="auto"/>
                <w:highlight w:val="none"/>
              </w:rPr>
            </w:pPr>
            <w:r>
              <w:rPr>
                <w:rFonts w:hint="default"/>
                <w:color w:val="auto"/>
                <w:highlight w:val="none"/>
                <w:lang w:val="en-US" w:eastAsia="zh-CN"/>
              </w:rPr>
              <w:t>53.22</w:t>
            </w:r>
          </w:p>
        </w:tc>
        <w:tc>
          <w:tcPr>
            <w:tcW w:w="0" w:type="auto"/>
            <w:tcBorders>
              <w:tl2br w:val="nil"/>
              <w:tr2bl w:val="nil"/>
            </w:tcBorders>
            <w:shd w:val="clear" w:color="auto" w:fill="auto"/>
            <w:noWrap/>
            <w:vAlign w:val="center"/>
          </w:tcPr>
          <w:p w14:paraId="2362B629">
            <w:pPr>
              <w:pStyle w:val="41"/>
              <w:bidi w:val="0"/>
              <w:rPr>
                <w:rFonts w:hint="default"/>
                <w:color w:val="auto"/>
                <w:highlight w:val="none"/>
              </w:rPr>
            </w:pPr>
            <w:r>
              <w:rPr>
                <w:rFonts w:hint="default"/>
                <w:color w:val="auto"/>
                <w:highlight w:val="none"/>
                <w:lang w:val="en-US" w:eastAsia="zh-CN"/>
              </w:rPr>
              <w:t>15.78</w:t>
            </w:r>
          </w:p>
        </w:tc>
        <w:tc>
          <w:tcPr>
            <w:tcW w:w="0" w:type="auto"/>
            <w:tcBorders>
              <w:tl2br w:val="nil"/>
              <w:tr2bl w:val="nil"/>
            </w:tcBorders>
            <w:shd w:val="clear" w:color="auto" w:fill="auto"/>
            <w:noWrap/>
            <w:vAlign w:val="center"/>
          </w:tcPr>
          <w:p w14:paraId="776272F9">
            <w:pPr>
              <w:pStyle w:val="41"/>
              <w:bidi w:val="0"/>
              <w:rPr>
                <w:rFonts w:hint="default"/>
                <w:color w:val="auto"/>
                <w:highlight w:val="none"/>
              </w:rPr>
            </w:pPr>
            <w:r>
              <w:rPr>
                <w:rFonts w:hint="default"/>
                <w:color w:val="auto"/>
                <w:highlight w:val="none"/>
                <w:lang w:val="en-US" w:eastAsia="zh-CN"/>
              </w:rPr>
              <w:t>839.81</w:t>
            </w:r>
          </w:p>
        </w:tc>
        <w:tc>
          <w:tcPr>
            <w:tcW w:w="0" w:type="auto"/>
            <w:tcBorders>
              <w:tl2br w:val="nil"/>
              <w:tr2bl w:val="nil"/>
            </w:tcBorders>
            <w:shd w:val="clear" w:color="auto" w:fill="auto"/>
            <w:noWrap/>
            <w:vAlign w:val="center"/>
          </w:tcPr>
          <w:p w14:paraId="4DA167C5">
            <w:pPr>
              <w:pStyle w:val="41"/>
              <w:bidi w:val="0"/>
              <w:rPr>
                <w:rFonts w:hint="default"/>
                <w:color w:val="auto"/>
                <w:highlight w:val="none"/>
              </w:rPr>
            </w:pPr>
            <w:r>
              <w:rPr>
                <w:rFonts w:hint="default"/>
                <w:color w:val="auto"/>
                <w:highlight w:val="none"/>
                <w:lang w:val="en-US" w:eastAsia="zh-CN"/>
              </w:rPr>
              <w:t>9</w:t>
            </w:r>
          </w:p>
        </w:tc>
      </w:tr>
      <w:tr w14:paraId="1FB2EB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38E41F73">
            <w:pPr>
              <w:pStyle w:val="41"/>
              <w:bidi w:val="0"/>
              <w:rPr>
                <w:rFonts w:hint="default"/>
                <w:color w:val="auto"/>
                <w:highlight w:val="none"/>
              </w:rPr>
            </w:pPr>
            <w:r>
              <w:rPr>
                <w:rFonts w:hint="default"/>
                <w:color w:val="auto"/>
                <w:highlight w:val="none"/>
                <w:lang w:val="en-US" w:eastAsia="zh-CN"/>
              </w:rPr>
              <w:t>17</w:t>
            </w:r>
          </w:p>
        </w:tc>
        <w:tc>
          <w:tcPr>
            <w:tcW w:w="0" w:type="auto"/>
            <w:tcBorders>
              <w:tl2br w:val="nil"/>
              <w:tr2bl w:val="nil"/>
            </w:tcBorders>
            <w:shd w:val="clear" w:color="auto" w:fill="auto"/>
            <w:noWrap/>
            <w:vAlign w:val="center"/>
          </w:tcPr>
          <w:p w14:paraId="2B437750">
            <w:pPr>
              <w:pStyle w:val="41"/>
              <w:bidi w:val="0"/>
              <w:rPr>
                <w:rFonts w:hint="eastAsia"/>
                <w:color w:val="auto"/>
                <w:highlight w:val="none"/>
              </w:rPr>
            </w:pPr>
            <w:r>
              <w:rPr>
                <w:rFonts w:hint="eastAsia"/>
                <w:color w:val="auto"/>
                <w:highlight w:val="none"/>
                <w:lang w:val="en-US" w:eastAsia="zh-CN"/>
              </w:rPr>
              <w:t>精选车间</w:t>
            </w:r>
          </w:p>
        </w:tc>
        <w:tc>
          <w:tcPr>
            <w:tcW w:w="0" w:type="auto"/>
            <w:tcBorders>
              <w:tl2br w:val="nil"/>
              <w:tr2bl w:val="nil"/>
            </w:tcBorders>
            <w:shd w:val="clear" w:color="auto" w:fill="auto"/>
            <w:noWrap/>
            <w:vAlign w:val="center"/>
          </w:tcPr>
          <w:p w14:paraId="4C86F2E4">
            <w:pPr>
              <w:pStyle w:val="41"/>
              <w:bidi w:val="0"/>
              <w:rPr>
                <w:rFonts w:hint="default"/>
                <w:color w:val="auto"/>
                <w:highlight w:val="none"/>
              </w:rPr>
            </w:pPr>
            <w:r>
              <w:rPr>
                <w:rFonts w:hint="default"/>
                <w:color w:val="auto"/>
                <w:highlight w:val="none"/>
                <w:lang w:val="en-US" w:eastAsia="zh-CN"/>
              </w:rPr>
              <w:t>36.39</w:t>
            </w:r>
          </w:p>
        </w:tc>
        <w:tc>
          <w:tcPr>
            <w:tcW w:w="0" w:type="auto"/>
            <w:tcBorders>
              <w:tl2br w:val="nil"/>
              <w:tr2bl w:val="nil"/>
            </w:tcBorders>
            <w:shd w:val="clear" w:color="auto" w:fill="auto"/>
            <w:noWrap/>
            <w:vAlign w:val="center"/>
          </w:tcPr>
          <w:p w14:paraId="3724433E">
            <w:pPr>
              <w:pStyle w:val="41"/>
              <w:bidi w:val="0"/>
              <w:rPr>
                <w:rFonts w:hint="default"/>
                <w:color w:val="auto"/>
                <w:highlight w:val="none"/>
              </w:rPr>
            </w:pPr>
            <w:r>
              <w:rPr>
                <w:rFonts w:hint="default"/>
                <w:color w:val="auto"/>
                <w:highlight w:val="none"/>
                <w:lang w:val="en-US" w:eastAsia="zh-CN"/>
              </w:rPr>
              <w:t>38.78</w:t>
            </w:r>
          </w:p>
        </w:tc>
        <w:tc>
          <w:tcPr>
            <w:tcW w:w="0" w:type="auto"/>
            <w:tcBorders>
              <w:tl2br w:val="nil"/>
              <w:tr2bl w:val="nil"/>
            </w:tcBorders>
            <w:shd w:val="clear" w:color="auto" w:fill="auto"/>
            <w:noWrap/>
            <w:vAlign w:val="center"/>
          </w:tcPr>
          <w:p w14:paraId="301D481A">
            <w:pPr>
              <w:pStyle w:val="41"/>
              <w:bidi w:val="0"/>
              <w:rPr>
                <w:rFonts w:hint="default"/>
                <w:color w:val="auto"/>
                <w:highlight w:val="none"/>
              </w:rPr>
            </w:pPr>
            <w:r>
              <w:rPr>
                <w:rFonts w:hint="default"/>
                <w:color w:val="auto"/>
                <w:highlight w:val="none"/>
                <w:lang w:val="en-US" w:eastAsia="zh-CN"/>
              </w:rPr>
              <w:t>1411.2</w:t>
            </w:r>
          </w:p>
        </w:tc>
        <w:tc>
          <w:tcPr>
            <w:tcW w:w="0" w:type="auto"/>
            <w:tcBorders>
              <w:tl2br w:val="nil"/>
              <w:tr2bl w:val="nil"/>
            </w:tcBorders>
            <w:shd w:val="clear" w:color="auto" w:fill="auto"/>
            <w:noWrap/>
            <w:vAlign w:val="center"/>
          </w:tcPr>
          <w:p w14:paraId="69F5E4A3">
            <w:pPr>
              <w:pStyle w:val="41"/>
              <w:bidi w:val="0"/>
              <w:rPr>
                <w:rFonts w:hint="default"/>
                <w:color w:val="auto"/>
                <w:highlight w:val="none"/>
              </w:rPr>
            </w:pPr>
            <w:r>
              <w:rPr>
                <w:rFonts w:hint="default"/>
                <w:color w:val="auto"/>
                <w:highlight w:val="none"/>
                <w:lang w:val="en-US" w:eastAsia="zh-CN"/>
              </w:rPr>
              <w:t>9</w:t>
            </w:r>
          </w:p>
        </w:tc>
      </w:tr>
      <w:tr w14:paraId="023E9D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7566D2AF">
            <w:pPr>
              <w:pStyle w:val="41"/>
              <w:bidi w:val="0"/>
              <w:rPr>
                <w:rFonts w:hint="default"/>
                <w:color w:val="auto"/>
                <w:highlight w:val="none"/>
              </w:rPr>
            </w:pPr>
            <w:r>
              <w:rPr>
                <w:rFonts w:hint="default"/>
                <w:color w:val="auto"/>
                <w:highlight w:val="none"/>
                <w:lang w:val="en-US" w:eastAsia="zh-CN"/>
              </w:rPr>
              <w:t>18</w:t>
            </w:r>
          </w:p>
        </w:tc>
        <w:tc>
          <w:tcPr>
            <w:tcW w:w="0" w:type="auto"/>
            <w:tcBorders>
              <w:tl2br w:val="nil"/>
              <w:tr2bl w:val="nil"/>
            </w:tcBorders>
            <w:shd w:val="clear" w:color="auto" w:fill="auto"/>
            <w:noWrap/>
            <w:vAlign w:val="center"/>
          </w:tcPr>
          <w:p w14:paraId="253BA612">
            <w:pPr>
              <w:pStyle w:val="41"/>
              <w:bidi w:val="0"/>
              <w:rPr>
                <w:rFonts w:hint="eastAsia"/>
                <w:color w:val="auto"/>
                <w:highlight w:val="none"/>
              </w:rPr>
            </w:pPr>
            <w:r>
              <w:rPr>
                <w:rFonts w:hint="eastAsia"/>
                <w:color w:val="auto"/>
                <w:highlight w:val="none"/>
                <w:lang w:val="en-US" w:eastAsia="zh-CN"/>
              </w:rPr>
              <w:t>钛精矿库</w:t>
            </w:r>
          </w:p>
        </w:tc>
        <w:tc>
          <w:tcPr>
            <w:tcW w:w="0" w:type="auto"/>
            <w:tcBorders>
              <w:tl2br w:val="nil"/>
              <w:tr2bl w:val="nil"/>
            </w:tcBorders>
            <w:shd w:val="clear" w:color="auto" w:fill="auto"/>
            <w:noWrap/>
            <w:vAlign w:val="center"/>
          </w:tcPr>
          <w:p w14:paraId="2E2CFDA9">
            <w:pPr>
              <w:pStyle w:val="41"/>
              <w:bidi w:val="0"/>
              <w:rPr>
                <w:rFonts w:hint="default"/>
                <w:color w:val="auto"/>
                <w:highlight w:val="none"/>
              </w:rPr>
            </w:pPr>
            <w:r>
              <w:rPr>
                <w:rFonts w:hint="default"/>
                <w:color w:val="auto"/>
                <w:highlight w:val="none"/>
                <w:lang w:val="en-US" w:eastAsia="zh-CN"/>
              </w:rPr>
              <w:t>42.39</w:t>
            </w:r>
          </w:p>
        </w:tc>
        <w:tc>
          <w:tcPr>
            <w:tcW w:w="0" w:type="auto"/>
            <w:tcBorders>
              <w:tl2br w:val="nil"/>
              <w:tr2bl w:val="nil"/>
            </w:tcBorders>
            <w:shd w:val="clear" w:color="auto" w:fill="auto"/>
            <w:noWrap/>
            <w:vAlign w:val="center"/>
          </w:tcPr>
          <w:p w14:paraId="213946AE">
            <w:pPr>
              <w:pStyle w:val="41"/>
              <w:bidi w:val="0"/>
              <w:rPr>
                <w:rFonts w:hint="default"/>
                <w:color w:val="auto"/>
                <w:highlight w:val="none"/>
              </w:rPr>
            </w:pPr>
            <w:r>
              <w:rPr>
                <w:rFonts w:hint="default"/>
                <w:color w:val="auto"/>
                <w:highlight w:val="none"/>
                <w:lang w:val="en-US" w:eastAsia="zh-CN"/>
              </w:rPr>
              <w:t>38.78</w:t>
            </w:r>
          </w:p>
        </w:tc>
        <w:tc>
          <w:tcPr>
            <w:tcW w:w="0" w:type="auto"/>
            <w:tcBorders>
              <w:tl2br w:val="nil"/>
              <w:tr2bl w:val="nil"/>
            </w:tcBorders>
            <w:shd w:val="clear" w:color="auto" w:fill="auto"/>
            <w:noWrap/>
            <w:vAlign w:val="center"/>
          </w:tcPr>
          <w:p w14:paraId="0004C113">
            <w:pPr>
              <w:pStyle w:val="41"/>
              <w:bidi w:val="0"/>
              <w:rPr>
                <w:rFonts w:hint="default"/>
                <w:color w:val="auto"/>
                <w:highlight w:val="none"/>
              </w:rPr>
            </w:pPr>
            <w:r>
              <w:rPr>
                <w:rFonts w:hint="default"/>
                <w:color w:val="auto"/>
                <w:highlight w:val="none"/>
                <w:lang w:val="en-US" w:eastAsia="zh-CN"/>
              </w:rPr>
              <w:t>1643.88</w:t>
            </w:r>
          </w:p>
        </w:tc>
        <w:tc>
          <w:tcPr>
            <w:tcW w:w="0" w:type="auto"/>
            <w:tcBorders>
              <w:tl2br w:val="nil"/>
              <w:tr2bl w:val="nil"/>
            </w:tcBorders>
            <w:shd w:val="clear" w:color="auto" w:fill="auto"/>
            <w:noWrap/>
            <w:vAlign w:val="center"/>
          </w:tcPr>
          <w:p w14:paraId="3732D4CF">
            <w:pPr>
              <w:pStyle w:val="41"/>
              <w:bidi w:val="0"/>
              <w:rPr>
                <w:rFonts w:hint="default"/>
                <w:color w:val="auto"/>
                <w:highlight w:val="none"/>
              </w:rPr>
            </w:pPr>
            <w:r>
              <w:rPr>
                <w:rFonts w:hint="default"/>
                <w:color w:val="auto"/>
                <w:highlight w:val="none"/>
                <w:lang w:val="en-US" w:eastAsia="zh-CN"/>
              </w:rPr>
              <w:t>9</w:t>
            </w:r>
          </w:p>
        </w:tc>
      </w:tr>
      <w:tr w14:paraId="175BE2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1656C4D6">
            <w:pPr>
              <w:pStyle w:val="41"/>
              <w:bidi w:val="0"/>
              <w:rPr>
                <w:rFonts w:hint="default"/>
                <w:color w:val="auto"/>
                <w:highlight w:val="none"/>
              </w:rPr>
            </w:pPr>
            <w:r>
              <w:rPr>
                <w:rFonts w:hint="default"/>
                <w:color w:val="auto"/>
                <w:highlight w:val="none"/>
                <w:lang w:val="en-US" w:eastAsia="zh-CN"/>
              </w:rPr>
              <w:t>19</w:t>
            </w:r>
          </w:p>
        </w:tc>
        <w:tc>
          <w:tcPr>
            <w:tcW w:w="0" w:type="auto"/>
            <w:tcBorders>
              <w:tl2br w:val="nil"/>
              <w:tr2bl w:val="nil"/>
            </w:tcBorders>
            <w:shd w:val="clear" w:color="auto" w:fill="auto"/>
            <w:noWrap/>
            <w:vAlign w:val="center"/>
          </w:tcPr>
          <w:p w14:paraId="6724BBA3">
            <w:pPr>
              <w:pStyle w:val="41"/>
              <w:bidi w:val="0"/>
              <w:rPr>
                <w:rFonts w:hint="eastAsia"/>
                <w:color w:val="auto"/>
                <w:highlight w:val="none"/>
              </w:rPr>
            </w:pPr>
            <w:r>
              <w:rPr>
                <w:rFonts w:hint="eastAsia"/>
                <w:color w:val="auto"/>
                <w:highlight w:val="none"/>
                <w:lang w:val="en-US" w:eastAsia="zh-CN"/>
              </w:rPr>
              <w:t>一级斜板浓密机</w:t>
            </w:r>
          </w:p>
        </w:tc>
        <w:tc>
          <w:tcPr>
            <w:tcW w:w="0" w:type="auto"/>
            <w:tcBorders>
              <w:tl2br w:val="nil"/>
              <w:tr2bl w:val="nil"/>
            </w:tcBorders>
            <w:shd w:val="clear" w:color="auto" w:fill="auto"/>
            <w:noWrap/>
            <w:vAlign w:val="center"/>
          </w:tcPr>
          <w:p w14:paraId="63D90A00">
            <w:pPr>
              <w:pStyle w:val="41"/>
              <w:bidi w:val="0"/>
              <w:rPr>
                <w:rFonts w:hint="default"/>
                <w:color w:val="auto"/>
                <w:highlight w:val="none"/>
              </w:rPr>
            </w:pPr>
            <w:r>
              <w:rPr>
                <w:rFonts w:hint="default"/>
                <w:color w:val="auto"/>
                <w:highlight w:val="none"/>
                <w:lang w:val="en-US" w:eastAsia="zh-CN"/>
              </w:rPr>
              <w:t>8.5</w:t>
            </w:r>
          </w:p>
        </w:tc>
        <w:tc>
          <w:tcPr>
            <w:tcW w:w="0" w:type="auto"/>
            <w:tcBorders>
              <w:tl2br w:val="nil"/>
              <w:tr2bl w:val="nil"/>
            </w:tcBorders>
            <w:shd w:val="clear" w:color="auto" w:fill="auto"/>
            <w:noWrap/>
            <w:vAlign w:val="center"/>
          </w:tcPr>
          <w:p w14:paraId="4D1A3BFD">
            <w:pPr>
              <w:pStyle w:val="41"/>
              <w:bidi w:val="0"/>
              <w:rPr>
                <w:rFonts w:hint="default"/>
                <w:color w:val="auto"/>
                <w:highlight w:val="none"/>
              </w:rPr>
            </w:pPr>
            <w:r>
              <w:rPr>
                <w:rFonts w:hint="default"/>
                <w:color w:val="auto"/>
                <w:highlight w:val="none"/>
                <w:lang w:val="en-US" w:eastAsia="zh-CN"/>
              </w:rPr>
              <w:t>22</w:t>
            </w:r>
          </w:p>
        </w:tc>
        <w:tc>
          <w:tcPr>
            <w:tcW w:w="0" w:type="auto"/>
            <w:tcBorders>
              <w:tl2br w:val="nil"/>
              <w:tr2bl w:val="nil"/>
            </w:tcBorders>
            <w:shd w:val="clear" w:color="auto" w:fill="auto"/>
            <w:noWrap/>
            <w:vAlign w:val="center"/>
          </w:tcPr>
          <w:p w14:paraId="7F661E09">
            <w:pPr>
              <w:pStyle w:val="41"/>
              <w:bidi w:val="0"/>
              <w:rPr>
                <w:rFonts w:hint="default"/>
                <w:color w:val="auto"/>
                <w:highlight w:val="none"/>
              </w:rPr>
            </w:pPr>
            <w:r>
              <w:rPr>
                <w:rFonts w:hint="default"/>
                <w:color w:val="auto"/>
                <w:highlight w:val="none"/>
                <w:lang w:val="en-US" w:eastAsia="zh-CN"/>
              </w:rPr>
              <w:t>187</w:t>
            </w:r>
          </w:p>
        </w:tc>
        <w:tc>
          <w:tcPr>
            <w:tcW w:w="0" w:type="auto"/>
            <w:tcBorders>
              <w:tl2br w:val="nil"/>
              <w:tr2bl w:val="nil"/>
            </w:tcBorders>
            <w:shd w:val="clear" w:color="auto" w:fill="auto"/>
            <w:noWrap/>
            <w:vAlign w:val="center"/>
          </w:tcPr>
          <w:p w14:paraId="0EC00E63">
            <w:pPr>
              <w:pStyle w:val="41"/>
              <w:bidi w:val="0"/>
              <w:rPr>
                <w:rFonts w:hint="eastAsia"/>
                <w:color w:val="auto"/>
                <w:highlight w:val="none"/>
              </w:rPr>
            </w:pPr>
          </w:p>
        </w:tc>
      </w:tr>
      <w:tr w14:paraId="2B8F29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5553B758">
            <w:pPr>
              <w:pStyle w:val="41"/>
              <w:bidi w:val="0"/>
              <w:rPr>
                <w:rFonts w:hint="default"/>
                <w:color w:val="auto"/>
                <w:highlight w:val="none"/>
              </w:rPr>
            </w:pPr>
            <w:r>
              <w:rPr>
                <w:rFonts w:hint="default"/>
                <w:color w:val="auto"/>
                <w:highlight w:val="none"/>
                <w:lang w:val="en-US" w:eastAsia="zh-CN"/>
              </w:rPr>
              <w:t>20</w:t>
            </w:r>
          </w:p>
        </w:tc>
        <w:tc>
          <w:tcPr>
            <w:tcW w:w="0" w:type="auto"/>
            <w:tcBorders>
              <w:tl2br w:val="nil"/>
              <w:tr2bl w:val="nil"/>
            </w:tcBorders>
            <w:shd w:val="clear" w:color="auto" w:fill="auto"/>
            <w:noWrap/>
            <w:vAlign w:val="center"/>
          </w:tcPr>
          <w:p w14:paraId="2C89E1B6">
            <w:pPr>
              <w:pStyle w:val="41"/>
              <w:bidi w:val="0"/>
              <w:rPr>
                <w:rFonts w:hint="eastAsia"/>
                <w:color w:val="auto"/>
                <w:highlight w:val="none"/>
              </w:rPr>
            </w:pPr>
            <w:r>
              <w:rPr>
                <w:rFonts w:hint="eastAsia"/>
                <w:color w:val="auto"/>
                <w:highlight w:val="none"/>
                <w:lang w:val="en-US" w:eastAsia="zh-CN"/>
              </w:rPr>
              <w:t>循环水池</w:t>
            </w:r>
          </w:p>
        </w:tc>
        <w:tc>
          <w:tcPr>
            <w:tcW w:w="0" w:type="auto"/>
            <w:tcBorders>
              <w:tl2br w:val="nil"/>
              <w:tr2bl w:val="nil"/>
            </w:tcBorders>
            <w:shd w:val="clear" w:color="auto" w:fill="auto"/>
            <w:noWrap/>
            <w:vAlign w:val="center"/>
          </w:tcPr>
          <w:p w14:paraId="4FE3A455">
            <w:pPr>
              <w:pStyle w:val="41"/>
              <w:bidi w:val="0"/>
              <w:rPr>
                <w:rFonts w:hint="default"/>
                <w:color w:val="auto"/>
                <w:highlight w:val="none"/>
              </w:rPr>
            </w:pPr>
            <w:r>
              <w:rPr>
                <w:rFonts w:hint="default"/>
                <w:color w:val="auto"/>
                <w:highlight w:val="none"/>
                <w:lang w:val="en-US" w:eastAsia="zh-CN"/>
              </w:rPr>
              <w:t>22</w:t>
            </w:r>
          </w:p>
        </w:tc>
        <w:tc>
          <w:tcPr>
            <w:tcW w:w="0" w:type="auto"/>
            <w:tcBorders>
              <w:tl2br w:val="nil"/>
              <w:tr2bl w:val="nil"/>
            </w:tcBorders>
            <w:shd w:val="clear" w:color="auto" w:fill="auto"/>
            <w:noWrap/>
            <w:vAlign w:val="center"/>
          </w:tcPr>
          <w:p w14:paraId="05605089">
            <w:pPr>
              <w:pStyle w:val="41"/>
              <w:bidi w:val="0"/>
              <w:rPr>
                <w:rFonts w:hint="default"/>
                <w:color w:val="auto"/>
                <w:highlight w:val="none"/>
              </w:rPr>
            </w:pPr>
            <w:r>
              <w:rPr>
                <w:rFonts w:hint="default"/>
                <w:color w:val="auto"/>
                <w:highlight w:val="none"/>
                <w:lang w:val="en-US" w:eastAsia="zh-CN"/>
              </w:rPr>
              <w:t>25</w:t>
            </w:r>
          </w:p>
        </w:tc>
        <w:tc>
          <w:tcPr>
            <w:tcW w:w="0" w:type="auto"/>
            <w:tcBorders>
              <w:tl2br w:val="nil"/>
              <w:tr2bl w:val="nil"/>
            </w:tcBorders>
            <w:shd w:val="clear" w:color="auto" w:fill="auto"/>
            <w:noWrap/>
            <w:vAlign w:val="center"/>
          </w:tcPr>
          <w:p w14:paraId="3F4D7DA2">
            <w:pPr>
              <w:pStyle w:val="41"/>
              <w:bidi w:val="0"/>
              <w:rPr>
                <w:rFonts w:hint="default"/>
                <w:color w:val="auto"/>
                <w:highlight w:val="none"/>
              </w:rPr>
            </w:pPr>
            <w:r>
              <w:rPr>
                <w:rFonts w:hint="default"/>
                <w:color w:val="auto"/>
                <w:highlight w:val="none"/>
                <w:lang w:val="en-US" w:eastAsia="zh-CN"/>
              </w:rPr>
              <w:t>550</w:t>
            </w:r>
          </w:p>
        </w:tc>
        <w:tc>
          <w:tcPr>
            <w:tcW w:w="0" w:type="auto"/>
            <w:tcBorders>
              <w:tl2br w:val="nil"/>
              <w:tr2bl w:val="nil"/>
            </w:tcBorders>
            <w:shd w:val="clear" w:color="auto" w:fill="auto"/>
            <w:noWrap/>
            <w:vAlign w:val="center"/>
          </w:tcPr>
          <w:p w14:paraId="22F26F0A">
            <w:pPr>
              <w:pStyle w:val="41"/>
              <w:bidi w:val="0"/>
              <w:rPr>
                <w:rFonts w:hint="default"/>
                <w:color w:val="auto"/>
                <w:highlight w:val="none"/>
              </w:rPr>
            </w:pPr>
            <w:r>
              <w:rPr>
                <w:rFonts w:hint="default"/>
                <w:color w:val="auto"/>
                <w:highlight w:val="none"/>
                <w:lang w:val="en-US" w:eastAsia="zh-CN"/>
              </w:rPr>
              <w:t>-5</w:t>
            </w:r>
          </w:p>
        </w:tc>
      </w:tr>
      <w:tr w14:paraId="2625E2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4591F8D0">
            <w:pPr>
              <w:pStyle w:val="41"/>
              <w:bidi w:val="0"/>
              <w:rPr>
                <w:rFonts w:hint="default"/>
                <w:color w:val="auto"/>
                <w:highlight w:val="none"/>
              </w:rPr>
            </w:pPr>
            <w:r>
              <w:rPr>
                <w:rFonts w:hint="default"/>
                <w:color w:val="auto"/>
                <w:highlight w:val="none"/>
                <w:lang w:val="en-US" w:eastAsia="zh-CN"/>
              </w:rPr>
              <w:t>21</w:t>
            </w:r>
          </w:p>
        </w:tc>
        <w:tc>
          <w:tcPr>
            <w:tcW w:w="0" w:type="auto"/>
            <w:tcBorders>
              <w:tl2br w:val="nil"/>
              <w:tr2bl w:val="nil"/>
            </w:tcBorders>
            <w:shd w:val="clear" w:color="auto" w:fill="auto"/>
            <w:noWrap/>
            <w:vAlign w:val="center"/>
          </w:tcPr>
          <w:p w14:paraId="2EE902E5">
            <w:pPr>
              <w:pStyle w:val="41"/>
              <w:bidi w:val="0"/>
              <w:rPr>
                <w:rFonts w:hint="eastAsia"/>
                <w:color w:val="auto"/>
                <w:highlight w:val="none"/>
              </w:rPr>
            </w:pPr>
            <w:r>
              <w:rPr>
                <w:rFonts w:hint="eastAsia"/>
                <w:color w:val="auto"/>
                <w:highlight w:val="none"/>
                <w:lang w:val="en-US" w:eastAsia="zh-CN"/>
              </w:rPr>
              <w:t>二级斜板浓密机</w:t>
            </w:r>
          </w:p>
        </w:tc>
        <w:tc>
          <w:tcPr>
            <w:tcW w:w="0" w:type="auto"/>
            <w:tcBorders>
              <w:tl2br w:val="nil"/>
              <w:tr2bl w:val="nil"/>
            </w:tcBorders>
            <w:shd w:val="clear" w:color="auto" w:fill="auto"/>
            <w:noWrap/>
            <w:vAlign w:val="center"/>
          </w:tcPr>
          <w:p w14:paraId="670A0CCE">
            <w:pPr>
              <w:pStyle w:val="41"/>
              <w:bidi w:val="0"/>
              <w:rPr>
                <w:rFonts w:hint="default"/>
                <w:color w:val="auto"/>
                <w:highlight w:val="none"/>
              </w:rPr>
            </w:pPr>
            <w:r>
              <w:rPr>
                <w:rFonts w:hint="default"/>
                <w:color w:val="auto"/>
                <w:highlight w:val="none"/>
                <w:lang w:val="en-US" w:eastAsia="zh-CN"/>
              </w:rPr>
              <w:t>34</w:t>
            </w:r>
          </w:p>
        </w:tc>
        <w:tc>
          <w:tcPr>
            <w:tcW w:w="0" w:type="auto"/>
            <w:tcBorders>
              <w:tl2br w:val="nil"/>
              <w:tr2bl w:val="nil"/>
            </w:tcBorders>
            <w:shd w:val="clear" w:color="auto" w:fill="auto"/>
            <w:noWrap/>
            <w:vAlign w:val="center"/>
          </w:tcPr>
          <w:p w14:paraId="3384C986">
            <w:pPr>
              <w:pStyle w:val="41"/>
              <w:bidi w:val="0"/>
              <w:rPr>
                <w:rFonts w:hint="default"/>
                <w:color w:val="auto"/>
                <w:highlight w:val="none"/>
              </w:rPr>
            </w:pPr>
            <w:r>
              <w:rPr>
                <w:rFonts w:hint="default"/>
                <w:color w:val="auto"/>
                <w:highlight w:val="none"/>
                <w:lang w:val="en-US" w:eastAsia="zh-CN"/>
              </w:rPr>
              <w:t>33.5</w:t>
            </w:r>
          </w:p>
        </w:tc>
        <w:tc>
          <w:tcPr>
            <w:tcW w:w="0" w:type="auto"/>
            <w:tcBorders>
              <w:tl2br w:val="nil"/>
              <w:tr2bl w:val="nil"/>
            </w:tcBorders>
            <w:shd w:val="clear" w:color="auto" w:fill="auto"/>
            <w:noWrap/>
            <w:vAlign w:val="center"/>
          </w:tcPr>
          <w:p w14:paraId="764911E8">
            <w:pPr>
              <w:pStyle w:val="41"/>
              <w:bidi w:val="0"/>
              <w:rPr>
                <w:rFonts w:hint="default"/>
                <w:color w:val="auto"/>
                <w:highlight w:val="none"/>
              </w:rPr>
            </w:pPr>
            <w:r>
              <w:rPr>
                <w:rFonts w:hint="default"/>
                <w:color w:val="auto"/>
                <w:highlight w:val="none"/>
                <w:lang w:val="en-US" w:eastAsia="zh-CN"/>
              </w:rPr>
              <w:t>1139</w:t>
            </w:r>
          </w:p>
        </w:tc>
        <w:tc>
          <w:tcPr>
            <w:tcW w:w="0" w:type="auto"/>
            <w:tcBorders>
              <w:tl2br w:val="nil"/>
              <w:tr2bl w:val="nil"/>
            </w:tcBorders>
            <w:shd w:val="clear" w:color="auto" w:fill="auto"/>
            <w:noWrap/>
            <w:vAlign w:val="center"/>
          </w:tcPr>
          <w:p w14:paraId="1C73077B">
            <w:pPr>
              <w:pStyle w:val="41"/>
              <w:bidi w:val="0"/>
              <w:rPr>
                <w:rFonts w:hint="eastAsia"/>
                <w:color w:val="auto"/>
                <w:highlight w:val="none"/>
              </w:rPr>
            </w:pPr>
          </w:p>
        </w:tc>
      </w:tr>
      <w:tr w14:paraId="0A7F7C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249883D0">
            <w:pPr>
              <w:pStyle w:val="41"/>
              <w:bidi w:val="0"/>
              <w:rPr>
                <w:rFonts w:hint="default"/>
                <w:color w:val="auto"/>
                <w:highlight w:val="none"/>
              </w:rPr>
            </w:pPr>
            <w:r>
              <w:rPr>
                <w:rFonts w:hint="default"/>
                <w:color w:val="auto"/>
                <w:highlight w:val="none"/>
                <w:lang w:val="en-US" w:eastAsia="zh-CN"/>
              </w:rPr>
              <w:t>22</w:t>
            </w:r>
          </w:p>
        </w:tc>
        <w:tc>
          <w:tcPr>
            <w:tcW w:w="0" w:type="auto"/>
            <w:tcBorders>
              <w:tl2br w:val="nil"/>
              <w:tr2bl w:val="nil"/>
            </w:tcBorders>
            <w:shd w:val="clear" w:color="auto" w:fill="auto"/>
            <w:noWrap/>
            <w:vAlign w:val="center"/>
          </w:tcPr>
          <w:p w14:paraId="04FC02C5">
            <w:pPr>
              <w:pStyle w:val="41"/>
              <w:bidi w:val="0"/>
              <w:rPr>
                <w:rFonts w:hint="eastAsia"/>
                <w:color w:val="auto"/>
                <w:highlight w:val="none"/>
              </w:rPr>
            </w:pPr>
            <w:r>
              <w:rPr>
                <w:rFonts w:hint="eastAsia"/>
                <w:color w:val="auto"/>
                <w:highlight w:val="none"/>
                <w:lang w:val="en-US" w:eastAsia="zh-CN"/>
              </w:rPr>
              <w:t>尾矿干排车间</w:t>
            </w:r>
          </w:p>
        </w:tc>
        <w:tc>
          <w:tcPr>
            <w:tcW w:w="0" w:type="auto"/>
            <w:tcBorders>
              <w:tl2br w:val="nil"/>
              <w:tr2bl w:val="nil"/>
            </w:tcBorders>
            <w:shd w:val="clear" w:color="auto" w:fill="auto"/>
            <w:noWrap/>
            <w:vAlign w:val="center"/>
          </w:tcPr>
          <w:p w14:paraId="51DAF1F8">
            <w:pPr>
              <w:pStyle w:val="41"/>
              <w:bidi w:val="0"/>
              <w:rPr>
                <w:rFonts w:hint="default"/>
                <w:color w:val="auto"/>
                <w:highlight w:val="none"/>
              </w:rPr>
            </w:pPr>
            <w:r>
              <w:rPr>
                <w:rFonts w:hint="default"/>
                <w:color w:val="auto"/>
                <w:highlight w:val="none"/>
                <w:lang w:val="en-US" w:eastAsia="zh-CN"/>
              </w:rPr>
              <w:t>36</w:t>
            </w:r>
          </w:p>
        </w:tc>
        <w:tc>
          <w:tcPr>
            <w:tcW w:w="0" w:type="auto"/>
            <w:tcBorders>
              <w:tl2br w:val="nil"/>
              <w:tr2bl w:val="nil"/>
            </w:tcBorders>
            <w:shd w:val="clear" w:color="auto" w:fill="auto"/>
            <w:noWrap/>
            <w:vAlign w:val="center"/>
          </w:tcPr>
          <w:p w14:paraId="15A6836C">
            <w:pPr>
              <w:pStyle w:val="41"/>
              <w:bidi w:val="0"/>
              <w:rPr>
                <w:rFonts w:hint="default"/>
                <w:color w:val="auto"/>
                <w:highlight w:val="none"/>
              </w:rPr>
            </w:pPr>
            <w:r>
              <w:rPr>
                <w:rFonts w:hint="default"/>
                <w:color w:val="auto"/>
                <w:highlight w:val="none"/>
                <w:lang w:val="en-US" w:eastAsia="zh-CN"/>
              </w:rPr>
              <w:t>50</w:t>
            </w:r>
          </w:p>
        </w:tc>
        <w:tc>
          <w:tcPr>
            <w:tcW w:w="0" w:type="auto"/>
            <w:tcBorders>
              <w:tl2br w:val="nil"/>
              <w:tr2bl w:val="nil"/>
            </w:tcBorders>
            <w:shd w:val="clear" w:color="auto" w:fill="auto"/>
            <w:noWrap/>
            <w:vAlign w:val="center"/>
          </w:tcPr>
          <w:p w14:paraId="3DBD4807">
            <w:pPr>
              <w:pStyle w:val="41"/>
              <w:bidi w:val="0"/>
              <w:rPr>
                <w:rFonts w:hint="default"/>
                <w:color w:val="auto"/>
                <w:highlight w:val="none"/>
              </w:rPr>
            </w:pPr>
            <w:r>
              <w:rPr>
                <w:rFonts w:hint="default"/>
                <w:color w:val="auto"/>
                <w:highlight w:val="none"/>
                <w:lang w:val="en-US" w:eastAsia="zh-CN"/>
              </w:rPr>
              <w:t>1800</w:t>
            </w:r>
          </w:p>
        </w:tc>
        <w:tc>
          <w:tcPr>
            <w:tcW w:w="0" w:type="auto"/>
            <w:tcBorders>
              <w:tl2br w:val="nil"/>
              <w:tr2bl w:val="nil"/>
            </w:tcBorders>
            <w:shd w:val="clear" w:color="auto" w:fill="auto"/>
            <w:noWrap/>
            <w:vAlign w:val="center"/>
          </w:tcPr>
          <w:p w14:paraId="08176D93">
            <w:pPr>
              <w:pStyle w:val="41"/>
              <w:bidi w:val="0"/>
              <w:rPr>
                <w:rFonts w:hint="default"/>
                <w:color w:val="auto"/>
                <w:highlight w:val="none"/>
              </w:rPr>
            </w:pPr>
            <w:r>
              <w:rPr>
                <w:rFonts w:hint="default"/>
                <w:color w:val="auto"/>
                <w:highlight w:val="none"/>
                <w:lang w:val="en-US" w:eastAsia="zh-CN"/>
              </w:rPr>
              <w:t>12</w:t>
            </w:r>
          </w:p>
        </w:tc>
      </w:tr>
      <w:tr w14:paraId="784587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41A2A363">
            <w:pPr>
              <w:pStyle w:val="41"/>
              <w:bidi w:val="0"/>
              <w:rPr>
                <w:rFonts w:hint="default"/>
                <w:color w:val="auto"/>
                <w:highlight w:val="none"/>
              </w:rPr>
            </w:pPr>
            <w:r>
              <w:rPr>
                <w:rFonts w:hint="default"/>
                <w:color w:val="auto"/>
                <w:highlight w:val="none"/>
                <w:lang w:val="en-US" w:eastAsia="zh-CN"/>
              </w:rPr>
              <w:t>23</w:t>
            </w:r>
          </w:p>
        </w:tc>
        <w:tc>
          <w:tcPr>
            <w:tcW w:w="0" w:type="auto"/>
            <w:tcBorders>
              <w:tl2br w:val="nil"/>
              <w:tr2bl w:val="nil"/>
            </w:tcBorders>
            <w:shd w:val="clear" w:color="auto" w:fill="auto"/>
            <w:noWrap/>
            <w:vAlign w:val="center"/>
          </w:tcPr>
          <w:p w14:paraId="31913C88">
            <w:pPr>
              <w:pStyle w:val="41"/>
              <w:bidi w:val="0"/>
              <w:rPr>
                <w:rFonts w:hint="eastAsia"/>
                <w:color w:val="auto"/>
                <w:highlight w:val="none"/>
              </w:rPr>
            </w:pPr>
            <w:r>
              <w:rPr>
                <w:rFonts w:hint="eastAsia"/>
                <w:color w:val="auto"/>
                <w:highlight w:val="none"/>
                <w:lang w:val="en-US" w:eastAsia="zh-CN"/>
              </w:rPr>
              <w:t>耙式浓密机</w:t>
            </w:r>
          </w:p>
        </w:tc>
        <w:tc>
          <w:tcPr>
            <w:tcW w:w="0" w:type="auto"/>
            <w:tcBorders>
              <w:tl2br w:val="nil"/>
              <w:tr2bl w:val="nil"/>
            </w:tcBorders>
            <w:shd w:val="clear" w:color="auto" w:fill="auto"/>
            <w:noWrap/>
            <w:vAlign w:val="center"/>
          </w:tcPr>
          <w:p w14:paraId="432322B1">
            <w:pPr>
              <w:pStyle w:val="41"/>
              <w:bidi w:val="0"/>
              <w:rPr>
                <w:rFonts w:hint="default"/>
                <w:color w:val="auto"/>
                <w:highlight w:val="none"/>
              </w:rPr>
            </w:pPr>
            <w:r>
              <w:rPr>
                <w:rFonts w:hint="default"/>
                <w:color w:val="auto"/>
                <w:highlight w:val="none"/>
                <w:lang w:val="en-US" w:eastAsia="zh-CN"/>
              </w:rPr>
              <w:t>22</w:t>
            </w:r>
          </w:p>
        </w:tc>
        <w:tc>
          <w:tcPr>
            <w:tcW w:w="0" w:type="auto"/>
            <w:tcBorders>
              <w:tl2br w:val="nil"/>
              <w:tr2bl w:val="nil"/>
            </w:tcBorders>
            <w:shd w:val="clear" w:color="auto" w:fill="auto"/>
            <w:noWrap/>
            <w:vAlign w:val="center"/>
          </w:tcPr>
          <w:p w14:paraId="540D86ED">
            <w:pPr>
              <w:pStyle w:val="41"/>
              <w:bidi w:val="0"/>
              <w:rPr>
                <w:rFonts w:hint="default"/>
                <w:color w:val="auto"/>
                <w:highlight w:val="none"/>
              </w:rPr>
            </w:pPr>
            <w:r>
              <w:rPr>
                <w:rFonts w:hint="default"/>
                <w:color w:val="auto"/>
                <w:highlight w:val="none"/>
                <w:lang w:val="en-US" w:eastAsia="zh-CN"/>
              </w:rPr>
              <w:t>-</w:t>
            </w:r>
          </w:p>
        </w:tc>
        <w:tc>
          <w:tcPr>
            <w:tcW w:w="0" w:type="auto"/>
            <w:tcBorders>
              <w:tl2br w:val="nil"/>
              <w:tr2bl w:val="nil"/>
            </w:tcBorders>
            <w:shd w:val="clear" w:color="auto" w:fill="auto"/>
            <w:noWrap/>
            <w:vAlign w:val="center"/>
          </w:tcPr>
          <w:p w14:paraId="2DBA2C6B">
            <w:pPr>
              <w:pStyle w:val="41"/>
              <w:bidi w:val="0"/>
              <w:rPr>
                <w:rFonts w:hint="default"/>
                <w:color w:val="auto"/>
                <w:highlight w:val="none"/>
              </w:rPr>
            </w:pPr>
            <w:r>
              <w:rPr>
                <w:rFonts w:hint="default"/>
                <w:color w:val="auto"/>
                <w:highlight w:val="none"/>
                <w:lang w:val="en-US" w:eastAsia="zh-CN"/>
              </w:rPr>
              <w:t>379.94</w:t>
            </w:r>
          </w:p>
        </w:tc>
        <w:tc>
          <w:tcPr>
            <w:tcW w:w="0" w:type="auto"/>
            <w:tcBorders>
              <w:tl2br w:val="nil"/>
              <w:tr2bl w:val="nil"/>
            </w:tcBorders>
            <w:shd w:val="clear" w:color="auto" w:fill="auto"/>
            <w:noWrap/>
            <w:vAlign w:val="center"/>
          </w:tcPr>
          <w:p w14:paraId="5FDBA3F8">
            <w:pPr>
              <w:pStyle w:val="41"/>
              <w:bidi w:val="0"/>
              <w:rPr>
                <w:rFonts w:hint="eastAsia"/>
                <w:color w:val="auto"/>
                <w:highlight w:val="none"/>
              </w:rPr>
            </w:pPr>
          </w:p>
        </w:tc>
      </w:tr>
      <w:tr w14:paraId="66A798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784BE8F1">
            <w:pPr>
              <w:pStyle w:val="41"/>
              <w:bidi w:val="0"/>
              <w:rPr>
                <w:rFonts w:hint="default"/>
                <w:color w:val="auto"/>
                <w:highlight w:val="none"/>
              </w:rPr>
            </w:pPr>
            <w:r>
              <w:rPr>
                <w:rFonts w:hint="default"/>
                <w:color w:val="auto"/>
                <w:highlight w:val="none"/>
                <w:lang w:val="en-US" w:eastAsia="zh-CN"/>
              </w:rPr>
              <w:t>24</w:t>
            </w:r>
          </w:p>
        </w:tc>
        <w:tc>
          <w:tcPr>
            <w:tcW w:w="0" w:type="auto"/>
            <w:tcBorders>
              <w:tl2br w:val="nil"/>
              <w:tr2bl w:val="nil"/>
            </w:tcBorders>
            <w:shd w:val="clear" w:color="auto" w:fill="auto"/>
            <w:noWrap/>
            <w:vAlign w:val="center"/>
          </w:tcPr>
          <w:p w14:paraId="12B906A3">
            <w:pPr>
              <w:pStyle w:val="41"/>
              <w:bidi w:val="0"/>
              <w:rPr>
                <w:rFonts w:hint="eastAsia"/>
                <w:color w:val="auto"/>
                <w:highlight w:val="none"/>
              </w:rPr>
            </w:pPr>
            <w:r>
              <w:rPr>
                <w:rFonts w:hint="eastAsia"/>
                <w:color w:val="auto"/>
                <w:highlight w:val="none"/>
                <w:lang w:val="en-US" w:eastAsia="zh-CN"/>
              </w:rPr>
              <w:t>耙式浓密机</w:t>
            </w:r>
          </w:p>
        </w:tc>
        <w:tc>
          <w:tcPr>
            <w:tcW w:w="0" w:type="auto"/>
            <w:tcBorders>
              <w:tl2br w:val="nil"/>
              <w:tr2bl w:val="nil"/>
            </w:tcBorders>
            <w:shd w:val="clear" w:color="auto" w:fill="auto"/>
            <w:noWrap/>
            <w:vAlign w:val="center"/>
          </w:tcPr>
          <w:p w14:paraId="2A8354AD">
            <w:pPr>
              <w:pStyle w:val="41"/>
              <w:bidi w:val="0"/>
              <w:rPr>
                <w:rFonts w:hint="default"/>
                <w:color w:val="auto"/>
                <w:highlight w:val="none"/>
              </w:rPr>
            </w:pPr>
            <w:r>
              <w:rPr>
                <w:rFonts w:hint="default"/>
                <w:color w:val="auto"/>
                <w:highlight w:val="none"/>
                <w:lang w:val="en-US" w:eastAsia="zh-CN"/>
              </w:rPr>
              <w:t>22</w:t>
            </w:r>
          </w:p>
        </w:tc>
        <w:tc>
          <w:tcPr>
            <w:tcW w:w="0" w:type="auto"/>
            <w:tcBorders>
              <w:tl2br w:val="nil"/>
              <w:tr2bl w:val="nil"/>
            </w:tcBorders>
            <w:shd w:val="clear" w:color="auto" w:fill="auto"/>
            <w:noWrap/>
            <w:vAlign w:val="center"/>
          </w:tcPr>
          <w:p w14:paraId="300EFB6A">
            <w:pPr>
              <w:pStyle w:val="41"/>
              <w:bidi w:val="0"/>
              <w:rPr>
                <w:rFonts w:hint="default"/>
                <w:color w:val="auto"/>
                <w:highlight w:val="none"/>
              </w:rPr>
            </w:pPr>
            <w:r>
              <w:rPr>
                <w:rFonts w:hint="default"/>
                <w:color w:val="auto"/>
                <w:highlight w:val="none"/>
                <w:lang w:val="en-US" w:eastAsia="zh-CN"/>
              </w:rPr>
              <w:t>-</w:t>
            </w:r>
          </w:p>
        </w:tc>
        <w:tc>
          <w:tcPr>
            <w:tcW w:w="0" w:type="auto"/>
            <w:tcBorders>
              <w:tl2br w:val="nil"/>
              <w:tr2bl w:val="nil"/>
            </w:tcBorders>
            <w:shd w:val="clear" w:color="auto" w:fill="auto"/>
            <w:noWrap/>
            <w:vAlign w:val="center"/>
          </w:tcPr>
          <w:p w14:paraId="0ED67586">
            <w:pPr>
              <w:pStyle w:val="41"/>
              <w:bidi w:val="0"/>
              <w:rPr>
                <w:rFonts w:hint="default"/>
                <w:color w:val="auto"/>
                <w:highlight w:val="none"/>
              </w:rPr>
            </w:pPr>
            <w:r>
              <w:rPr>
                <w:rFonts w:hint="default"/>
                <w:color w:val="auto"/>
                <w:highlight w:val="none"/>
                <w:lang w:val="en-US" w:eastAsia="zh-CN"/>
              </w:rPr>
              <w:t>379.94</w:t>
            </w:r>
          </w:p>
        </w:tc>
        <w:tc>
          <w:tcPr>
            <w:tcW w:w="0" w:type="auto"/>
            <w:tcBorders>
              <w:tl2br w:val="nil"/>
              <w:tr2bl w:val="nil"/>
            </w:tcBorders>
            <w:shd w:val="clear" w:color="auto" w:fill="auto"/>
            <w:noWrap/>
            <w:vAlign w:val="center"/>
          </w:tcPr>
          <w:p w14:paraId="43E1882A">
            <w:pPr>
              <w:pStyle w:val="41"/>
              <w:bidi w:val="0"/>
              <w:rPr>
                <w:rFonts w:hint="eastAsia"/>
                <w:color w:val="auto"/>
                <w:highlight w:val="none"/>
              </w:rPr>
            </w:pPr>
          </w:p>
        </w:tc>
      </w:tr>
      <w:tr w14:paraId="73C5B4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gridSpan w:val="6"/>
            <w:tcBorders>
              <w:tl2br w:val="nil"/>
              <w:tr2bl w:val="nil"/>
            </w:tcBorders>
            <w:shd w:val="clear" w:color="auto" w:fill="auto"/>
            <w:noWrap/>
            <w:vAlign w:val="center"/>
          </w:tcPr>
          <w:p w14:paraId="1182A828">
            <w:pPr>
              <w:pStyle w:val="41"/>
              <w:bidi w:val="0"/>
              <w:spacing w:line="240" w:lineRule="atLeast"/>
              <w:rPr>
                <w:rFonts w:hint="eastAsia"/>
                <w:color w:val="auto"/>
                <w:highlight w:val="none"/>
              </w:rPr>
            </w:pPr>
            <w:r>
              <w:rPr>
                <w:rFonts w:hint="eastAsia" w:ascii="Times New Roman" w:hAnsi="Times New Roman"/>
                <w:b/>
                <w:bCs/>
                <w:color w:val="auto"/>
                <w:highlight w:val="none"/>
                <w:lang w:val="en-US" w:eastAsia="zh-CN"/>
              </w:rPr>
              <w:t>二期320万t/a生产线</w:t>
            </w:r>
          </w:p>
        </w:tc>
      </w:tr>
      <w:tr w14:paraId="60356E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05C02821">
            <w:pPr>
              <w:pStyle w:val="41"/>
              <w:bidi w:val="0"/>
              <w:rPr>
                <w:rFonts w:hint="default"/>
                <w:color w:val="auto"/>
                <w:highlight w:val="none"/>
              </w:rPr>
            </w:pPr>
            <w:r>
              <w:rPr>
                <w:rFonts w:hint="default"/>
                <w:color w:val="auto"/>
                <w:highlight w:val="none"/>
                <w:lang w:val="en-US" w:eastAsia="zh-CN"/>
              </w:rPr>
              <w:t>1</w:t>
            </w:r>
          </w:p>
        </w:tc>
        <w:tc>
          <w:tcPr>
            <w:tcW w:w="0" w:type="auto"/>
            <w:tcBorders>
              <w:tl2br w:val="nil"/>
              <w:tr2bl w:val="nil"/>
            </w:tcBorders>
            <w:shd w:val="clear" w:color="auto" w:fill="auto"/>
            <w:noWrap/>
            <w:vAlign w:val="center"/>
          </w:tcPr>
          <w:p w14:paraId="7F2A1229">
            <w:pPr>
              <w:pStyle w:val="41"/>
              <w:bidi w:val="0"/>
              <w:rPr>
                <w:rFonts w:hint="eastAsia"/>
                <w:color w:val="auto"/>
                <w:highlight w:val="none"/>
              </w:rPr>
            </w:pPr>
            <w:r>
              <w:rPr>
                <w:rFonts w:hint="eastAsia"/>
                <w:color w:val="auto"/>
                <w:highlight w:val="none"/>
                <w:lang w:val="en-US" w:eastAsia="zh-CN"/>
              </w:rPr>
              <w:t>原矿堆库</w:t>
            </w:r>
          </w:p>
        </w:tc>
        <w:tc>
          <w:tcPr>
            <w:tcW w:w="0" w:type="auto"/>
            <w:tcBorders>
              <w:tl2br w:val="nil"/>
              <w:tr2bl w:val="nil"/>
            </w:tcBorders>
            <w:shd w:val="clear" w:color="auto" w:fill="auto"/>
            <w:noWrap/>
            <w:vAlign w:val="center"/>
          </w:tcPr>
          <w:p w14:paraId="6BFE9A62">
            <w:pPr>
              <w:pStyle w:val="41"/>
              <w:bidi w:val="0"/>
              <w:rPr>
                <w:rFonts w:hint="default"/>
                <w:color w:val="auto"/>
                <w:highlight w:val="none"/>
              </w:rPr>
            </w:pPr>
            <w:r>
              <w:rPr>
                <w:rFonts w:hint="default"/>
                <w:color w:val="auto"/>
                <w:highlight w:val="none"/>
                <w:lang w:val="en-US" w:eastAsia="zh-CN"/>
              </w:rPr>
              <w:t>80</w:t>
            </w:r>
          </w:p>
        </w:tc>
        <w:tc>
          <w:tcPr>
            <w:tcW w:w="0" w:type="auto"/>
            <w:tcBorders>
              <w:tl2br w:val="nil"/>
              <w:tr2bl w:val="nil"/>
            </w:tcBorders>
            <w:shd w:val="clear" w:color="auto" w:fill="auto"/>
            <w:noWrap/>
            <w:vAlign w:val="center"/>
          </w:tcPr>
          <w:p w14:paraId="6F83EF84">
            <w:pPr>
              <w:pStyle w:val="41"/>
              <w:bidi w:val="0"/>
              <w:rPr>
                <w:rFonts w:hint="default"/>
                <w:color w:val="auto"/>
                <w:highlight w:val="none"/>
              </w:rPr>
            </w:pPr>
            <w:r>
              <w:rPr>
                <w:rFonts w:hint="default"/>
                <w:color w:val="auto"/>
                <w:highlight w:val="none"/>
                <w:lang w:val="en-US" w:eastAsia="zh-CN"/>
              </w:rPr>
              <w:t>86.5</w:t>
            </w:r>
          </w:p>
        </w:tc>
        <w:tc>
          <w:tcPr>
            <w:tcW w:w="0" w:type="auto"/>
            <w:tcBorders>
              <w:tl2br w:val="nil"/>
              <w:tr2bl w:val="nil"/>
            </w:tcBorders>
            <w:shd w:val="clear" w:color="auto" w:fill="auto"/>
            <w:noWrap/>
            <w:vAlign w:val="center"/>
          </w:tcPr>
          <w:p w14:paraId="4B975E15">
            <w:pPr>
              <w:pStyle w:val="41"/>
              <w:bidi w:val="0"/>
              <w:rPr>
                <w:rFonts w:hint="default"/>
                <w:color w:val="auto"/>
                <w:highlight w:val="none"/>
              </w:rPr>
            </w:pPr>
            <w:r>
              <w:rPr>
                <w:rFonts w:hint="default"/>
                <w:color w:val="auto"/>
                <w:highlight w:val="none"/>
                <w:lang w:val="en-US" w:eastAsia="zh-CN"/>
              </w:rPr>
              <w:t>6920</w:t>
            </w:r>
          </w:p>
        </w:tc>
        <w:tc>
          <w:tcPr>
            <w:tcW w:w="0" w:type="auto"/>
            <w:tcBorders>
              <w:tl2br w:val="nil"/>
              <w:tr2bl w:val="nil"/>
            </w:tcBorders>
            <w:shd w:val="clear" w:color="auto" w:fill="auto"/>
            <w:noWrap/>
            <w:vAlign w:val="center"/>
          </w:tcPr>
          <w:p w14:paraId="4E20841B">
            <w:pPr>
              <w:pStyle w:val="41"/>
              <w:bidi w:val="0"/>
              <w:rPr>
                <w:rFonts w:hint="default"/>
                <w:color w:val="auto"/>
                <w:highlight w:val="none"/>
              </w:rPr>
            </w:pPr>
            <w:r>
              <w:rPr>
                <w:rFonts w:hint="default"/>
                <w:color w:val="auto"/>
                <w:highlight w:val="none"/>
                <w:lang w:val="en-US" w:eastAsia="zh-CN"/>
              </w:rPr>
              <w:t>10</w:t>
            </w:r>
          </w:p>
        </w:tc>
      </w:tr>
      <w:tr w14:paraId="3BB8AE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4E31A4BD">
            <w:pPr>
              <w:pStyle w:val="41"/>
              <w:bidi w:val="0"/>
              <w:rPr>
                <w:rFonts w:hint="default"/>
                <w:color w:val="auto"/>
                <w:highlight w:val="none"/>
              </w:rPr>
            </w:pPr>
            <w:r>
              <w:rPr>
                <w:rFonts w:hint="default"/>
                <w:color w:val="auto"/>
                <w:highlight w:val="none"/>
                <w:lang w:val="en-US" w:eastAsia="zh-CN"/>
              </w:rPr>
              <w:t>2</w:t>
            </w:r>
          </w:p>
        </w:tc>
        <w:tc>
          <w:tcPr>
            <w:tcW w:w="0" w:type="auto"/>
            <w:tcBorders>
              <w:tl2br w:val="nil"/>
              <w:tr2bl w:val="nil"/>
            </w:tcBorders>
            <w:shd w:val="clear" w:color="auto" w:fill="auto"/>
            <w:noWrap/>
            <w:vAlign w:val="center"/>
          </w:tcPr>
          <w:p w14:paraId="6E2162A6">
            <w:pPr>
              <w:pStyle w:val="41"/>
              <w:bidi w:val="0"/>
              <w:rPr>
                <w:rFonts w:hint="eastAsia"/>
                <w:color w:val="auto"/>
                <w:highlight w:val="none"/>
              </w:rPr>
            </w:pPr>
            <w:r>
              <w:rPr>
                <w:rFonts w:hint="eastAsia"/>
                <w:color w:val="auto"/>
                <w:highlight w:val="none"/>
                <w:lang w:val="en-US" w:eastAsia="zh-CN"/>
              </w:rPr>
              <w:t>滚轴筛车间</w:t>
            </w:r>
          </w:p>
        </w:tc>
        <w:tc>
          <w:tcPr>
            <w:tcW w:w="0" w:type="auto"/>
            <w:tcBorders>
              <w:tl2br w:val="nil"/>
              <w:tr2bl w:val="nil"/>
            </w:tcBorders>
            <w:shd w:val="clear" w:color="auto" w:fill="auto"/>
            <w:noWrap/>
            <w:vAlign w:val="center"/>
          </w:tcPr>
          <w:p w14:paraId="006512A2">
            <w:pPr>
              <w:pStyle w:val="41"/>
              <w:bidi w:val="0"/>
              <w:rPr>
                <w:rFonts w:hint="default"/>
                <w:color w:val="auto"/>
                <w:highlight w:val="none"/>
              </w:rPr>
            </w:pPr>
            <w:r>
              <w:rPr>
                <w:rFonts w:hint="default"/>
                <w:color w:val="auto"/>
                <w:highlight w:val="none"/>
                <w:lang w:val="en-US" w:eastAsia="zh-CN"/>
              </w:rPr>
              <w:t>13.5</w:t>
            </w:r>
          </w:p>
        </w:tc>
        <w:tc>
          <w:tcPr>
            <w:tcW w:w="0" w:type="auto"/>
            <w:tcBorders>
              <w:tl2br w:val="nil"/>
              <w:tr2bl w:val="nil"/>
            </w:tcBorders>
            <w:shd w:val="clear" w:color="auto" w:fill="auto"/>
            <w:noWrap/>
            <w:vAlign w:val="center"/>
          </w:tcPr>
          <w:p w14:paraId="0397192A">
            <w:pPr>
              <w:pStyle w:val="41"/>
              <w:bidi w:val="0"/>
              <w:rPr>
                <w:rFonts w:hint="default"/>
                <w:color w:val="auto"/>
                <w:highlight w:val="none"/>
              </w:rPr>
            </w:pPr>
            <w:r>
              <w:rPr>
                <w:rFonts w:hint="default"/>
                <w:color w:val="auto"/>
                <w:highlight w:val="none"/>
                <w:lang w:val="en-US" w:eastAsia="zh-CN"/>
              </w:rPr>
              <w:t>22</w:t>
            </w:r>
          </w:p>
        </w:tc>
        <w:tc>
          <w:tcPr>
            <w:tcW w:w="0" w:type="auto"/>
            <w:tcBorders>
              <w:tl2br w:val="nil"/>
              <w:tr2bl w:val="nil"/>
            </w:tcBorders>
            <w:shd w:val="clear" w:color="auto" w:fill="auto"/>
            <w:noWrap/>
            <w:vAlign w:val="center"/>
          </w:tcPr>
          <w:p w14:paraId="5754CA86">
            <w:pPr>
              <w:pStyle w:val="41"/>
              <w:bidi w:val="0"/>
              <w:rPr>
                <w:rFonts w:hint="default"/>
                <w:color w:val="auto"/>
                <w:highlight w:val="none"/>
              </w:rPr>
            </w:pPr>
            <w:r>
              <w:rPr>
                <w:rFonts w:hint="default"/>
                <w:color w:val="auto"/>
                <w:highlight w:val="none"/>
                <w:lang w:val="en-US" w:eastAsia="zh-CN"/>
              </w:rPr>
              <w:t>297</w:t>
            </w:r>
          </w:p>
        </w:tc>
        <w:tc>
          <w:tcPr>
            <w:tcW w:w="0" w:type="auto"/>
            <w:tcBorders>
              <w:tl2br w:val="nil"/>
              <w:tr2bl w:val="nil"/>
            </w:tcBorders>
            <w:shd w:val="clear" w:color="auto" w:fill="auto"/>
            <w:noWrap/>
            <w:vAlign w:val="center"/>
          </w:tcPr>
          <w:p w14:paraId="5A7F13E9">
            <w:pPr>
              <w:pStyle w:val="41"/>
              <w:bidi w:val="0"/>
              <w:rPr>
                <w:rFonts w:hint="default"/>
                <w:color w:val="auto"/>
                <w:highlight w:val="none"/>
              </w:rPr>
            </w:pPr>
            <w:r>
              <w:rPr>
                <w:rFonts w:hint="default"/>
                <w:color w:val="auto"/>
                <w:highlight w:val="none"/>
                <w:lang w:val="en-US" w:eastAsia="zh-CN"/>
              </w:rPr>
              <w:t>12</w:t>
            </w:r>
          </w:p>
        </w:tc>
      </w:tr>
      <w:tr w14:paraId="4D16E9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23BD14CD">
            <w:pPr>
              <w:pStyle w:val="41"/>
              <w:bidi w:val="0"/>
              <w:rPr>
                <w:rFonts w:hint="default"/>
                <w:color w:val="auto"/>
                <w:highlight w:val="none"/>
              </w:rPr>
            </w:pPr>
            <w:r>
              <w:rPr>
                <w:rFonts w:hint="default"/>
                <w:color w:val="auto"/>
                <w:highlight w:val="none"/>
                <w:lang w:val="en-US" w:eastAsia="zh-CN"/>
              </w:rPr>
              <w:t>3</w:t>
            </w:r>
          </w:p>
        </w:tc>
        <w:tc>
          <w:tcPr>
            <w:tcW w:w="0" w:type="auto"/>
            <w:tcBorders>
              <w:tl2br w:val="nil"/>
              <w:tr2bl w:val="nil"/>
            </w:tcBorders>
            <w:shd w:val="clear" w:color="auto" w:fill="auto"/>
            <w:noWrap/>
            <w:vAlign w:val="center"/>
          </w:tcPr>
          <w:p w14:paraId="4B2236AF">
            <w:pPr>
              <w:pStyle w:val="41"/>
              <w:bidi w:val="0"/>
              <w:rPr>
                <w:rFonts w:hint="default"/>
                <w:color w:val="auto"/>
                <w:highlight w:val="none"/>
              </w:rPr>
            </w:pPr>
            <w:r>
              <w:rPr>
                <w:rFonts w:hint="default"/>
                <w:color w:val="auto"/>
                <w:highlight w:val="none"/>
                <w:lang w:val="en-US" w:eastAsia="zh-CN"/>
              </w:rPr>
              <w:t>1</w:t>
            </w:r>
            <w:r>
              <w:rPr>
                <w:color w:val="auto"/>
                <w:highlight w:val="none"/>
                <w:lang w:val="en-US" w:eastAsia="zh-CN"/>
              </w:rPr>
              <w:t>号振动筛分车间</w:t>
            </w:r>
          </w:p>
        </w:tc>
        <w:tc>
          <w:tcPr>
            <w:tcW w:w="0" w:type="auto"/>
            <w:tcBorders>
              <w:tl2br w:val="nil"/>
              <w:tr2bl w:val="nil"/>
            </w:tcBorders>
            <w:shd w:val="clear" w:color="auto" w:fill="auto"/>
            <w:noWrap/>
            <w:vAlign w:val="center"/>
          </w:tcPr>
          <w:p w14:paraId="10CF5ACB">
            <w:pPr>
              <w:pStyle w:val="41"/>
              <w:bidi w:val="0"/>
              <w:rPr>
                <w:rFonts w:hint="default"/>
                <w:color w:val="auto"/>
                <w:highlight w:val="none"/>
              </w:rPr>
            </w:pPr>
            <w:r>
              <w:rPr>
                <w:rFonts w:hint="default"/>
                <w:color w:val="auto"/>
                <w:highlight w:val="none"/>
                <w:lang w:val="en-US" w:eastAsia="zh-CN"/>
              </w:rPr>
              <w:t>16</w:t>
            </w:r>
          </w:p>
        </w:tc>
        <w:tc>
          <w:tcPr>
            <w:tcW w:w="0" w:type="auto"/>
            <w:tcBorders>
              <w:tl2br w:val="nil"/>
              <w:tr2bl w:val="nil"/>
            </w:tcBorders>
            <w:shd w:val="clear" w:color="auto" w:fill="auto"/>
            <w:noWrap/>
            <w:vAlign w:val="center"/>
          </w:tcPr>
          <w:p w14:paraId="5F567B87">
            <w:pPr>
              <w:pStyle w:val="41"/>
              <w:bidi w:val="0"/>
              <w:rPr>
                <w:rFonts w:hint="default"/>
                <w:color w:val="auto"/>
                <w:highlight w:val="none"/>
              </w:rPr>
            </w:pPr>
            <w:r>
              <w:rPr>
                <w:rFonts w:hint="default"/>
                <w:color w:val="auto"/>
                <w:highlight w:val="none"/>
                <w:lang w:val="en-US" w:eastAsia="zh-CN"/>
              </w:rPr>
              <w:t>19</w:t>
            </w:r>
          </w:p>
        </w:tc>
        <w:tc>
          <w:tcPr>
            <w:tcW w:w="0" w:type="auto"/>
            <w:tcBorders>
              <w:tl2br w:val="nil"/>
              <w:tr2bl w:val="nil"/>
            </w:tcBorders>
            <w:shd w:val="clear" w:color="auto" w:fill="auto"/>
            <w:noWrap/>
            <w:vAlign w:val="center"/>
          </w:tcPr>
          <w:p w14:paraId="4AC957E1">
            <w:pPr>
              <w:pStyle w:val="41"/>
              <w:bidi w:val="0"/>
              <w:rPr>
                <w:rFonts w:hint="default"/>
                <w:color w:val="auto"/>
                <w:highlight w:val="none"/>
              </w:rPr>
            </w:pPr>
            <w:r>
              <w:rPr>
                <w:rFonts w:hint="default"/>
                <w:color w:val="auto"/>
                <w:highlight w:val="none"/>
                <w:lang w:val="en-US" w:eastAsia="zh-CN"/>
              </w:rPr>
              <w:t>304</w:t>
            </w:r>
          </w:p>
        </w:tc>
        <w:tc>
          <w:tcPr>
            <w:tcW w:w="0" w:type="auto"/>
            <w:tcBorders>
              <w:tl2br w:val="nil"/>
              <w:tr2bl w:val="nil"/>
            </w:tcBorders>
            <w:shd w:val="clear" w:color="auto" w:fill="auto"/>
            <w:noWrap/>
            <w:vAlign w:val="center"/>
          </w:tcPr>
          <w:p w14:paraId="25F2B010">
            <w:pPr>
              <w:pStyle w:val="41"/>
              <w:bidi w:val="0"/>
              <w:rPr>
                <w:rFonts w:hint="default"/>
                <w:color w:val="auto"/>
                <w:highlight w:val="none"/>
              </w:rPr>
            </w:pPr>
            <w:r>
              <w:rPr>
                <w:rFonts w:hint="default"/>
                <w:color w:val="auto"/>
                <w:highlight w:val="none"/>
                <w:lang w:val="en-US" w:eastAsia="zh-CN"/>
              </w:rPr>
              <w:t>20</w:t>
            </w:r>
          </w:p>
        </w:tc>
      </w:tr>
      <w:tr w14:paraId="5CACC4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2B2CA94A">
            <w:pPr>
              <w:pStyle w:val="41"/>
              <w:bidi w:val="0"/>
              <w:rPr>
                <w:rFonts w:hint="default"/>
                <w:color w:val="auto"/>
                <w:highlight w:val="none"/>
              </w:rPr>
            </w:pPr>
            <w:r>
              <w:rPr>
                <w:rFonts w:hint="default"/>
                <w:color w:val="auto"/>
                <w:highlight w:val="none"/>
                <w:lang w:val="en-US" w:eastAsia="zh-CN"/>
              </w:rPr>
              <w:t>4</w:t>
            </w:r>
          </w:p>
        </w:tc>
        <w:tc>
          <w:tcPr>
            <w:tcW w:w="0" w:type="auto"/>
            <w:tcBorders>
              <w:tl2br w:val="nil"/>
              <w:tr2bl w:val="nil"/>
            </w:tcBorders>
            <w:shd w:val="clear" w:color="auto" w:fill="auto"/>
            <w:noWrap/>
            <w:vAlign w:val="center"/>
          </w:tcPr>
          <w:p w14:paraId="10078B36">
            <w:pPr>
              <w:pStyle w:val="41"/>
              <w:bidi w:val="0"/>
              <w:rPr>
                <w:rFonts w:hint="eastAsia"/>
                <w:color w:val="auto"/>
                <w:highlight w:val="none"/>
              </w:rPr>
            </w:pPr>
            <w:r>
              <w:rPr>
                <w:rFonts w:hint="eastAsia"/>
                <w:color w:val="auto"/>
                <w:highlight w:val="none"/>
                <w:lang w:val="en-US" w:eastAsia="zh-CN"/>
              </w:rPr>
              <w:t>缓冲料仓</w:t>
            </w:r>
          </w:p>
        </w:tc>
        <w:tc>
          <w:tcPr>
            <w:tcW w:w="0" w:type="auto"/>
            <w:tcBorders>
              <w:tl2br w:val="nil"/>
              <w:tr2bl w:val="nil"/>
            </w:tcBorders>
            <w:shd w:val="clear" w:color="auto" w:fill="auto"/>
            <w:noWrap/>
            <w:vAlign w:val="center"/>
          </w:tcPr>
          <w:p w14:paraId="37C5D372">
            <w:pPr>
              <w:pStyle w:val="41"/>
              <w:bidi w:val="0"/>
              <w:rPr>
                <w:rFonts w:hint="default"/>
                <w:color w:val="auto"/>
                <w:highlight w:val="none"/>
              </w:rPr>
            </w:pPr>
            <w:r>
              <w:rPr>
                <w:rFonts w:hint="default"/>
                <w:color w:val="auto"/>
                <w:highlight w:val="none"/>
                <w:lang w:val="en-US" w:eastAsia="zh-CN"/>
              </w:rPr>
              <w:t>6</w:t>
            </w:r>
          </w:p>
        </w:tc>
        <w:tc>
          <w:tcPr>
            <w:tcW w:w="0" w:type="auto"/>
            <w:tcBorders>
              <w:tl2br w:val="nil"/>
              <w:tr2bl w:val="nil"/>
            </w:tcBorders>
            <w:shd w:val="clear" w:color="auto" w:fill="auto"/>
            <w:noWrap/>
            <w:vAlign w:val="center"/>
          </w:tcPr>
          <w:p w14:paraId="0B2581E8">
            <w:pPr>
              <w:pStyle w:val="41"/>
              <w:bidi w:val="0"/>
              <w:rPr>
                <w:rFonts w:hint="default"/>
                <w:color w:val="auto"/>
                <w:highlight w:val="none"/>
              </w:rPr>
            </w:pPr>
            <w:r>
              <w:rPr>
                <w:rFonts w:hint="default"/>
                <w:color w:val="auto"/>
                <w:highlight w:val="none"/>
                <w:lang w:val="en-US" w:eastAsia="zh-CN"/>
              </w:rPr>
              <w:t>16</w:t>
            </w:r>
          </w:p>
        </w:tc>
        <w:tc>
          <w:tcPr>
            <w:tcW w:w="0" w:type="auto"/>
            <w:tcBorders>
              <w:tl2br w:val="nil"/>
              <w:tr2bl w:val="nil"/>
            </w:tcBorders>
            <w:shd w:val="clear" w:color="auto" w:fill="auto"/>
            <w:noWrap/>
            <w:vAlign w:val="center"/>
          </w:tcPr>
          <w:p w14:paraId="0F942414">
            <w:pPr>
              <w:pStyle w:val="41"/>
              <w:bidi w:val="0"/>
              <w:rPr>
                <w:rFonts w:hint="default"/>
                <w:color w:val="auto"/>
                <w:highlight w:val="none"/>
              </w:rPr>
            </w:pPr>
            <w:r>
              <w:rPr>
                <w:rFonts w:hint="default"/>
                <w:color w:val="auto"/>
                <w:highlight w:val="none"/>
                <w:lang w:val="en-US" w:eastAsia="zh-CN"/>
              </w:rPr>
              <w:t>96</w:t>
            </w:r>
          </w:p>
        </w:tc>
        <w:tc>
          <w:tcPr>
            <w:tcW w:w="0" w:type="auto"/>
            <w:tcBorders>
              <w:tl2br w:val="nil"/>
              <w:tr2bl w:val="nil"/>
            </w:tcBorders>
            <w:shd w:val="clear" w:color="auto" w:fill="auto"/>
            <w:noWrap/>
            <w:vAlign w:val="center"/>
          </w:tcPr>
          <w:p w14:paraId="01037F5C">
            <w:pPr>
              <w:pStyle w:val="41"/>
              <w:bidi w:val="0"/>
              <w:rPr>
                <w:rFonts w:hint="default"/>
                <w:color w:val="auto"/>
                <w:highlight w:val="none"/>
              </w:rPr>
            </w:pPr>
            <w:r>
              <w:rPr>
                <w:rFonts w:hint="default"/>
                <w:color w:val="auto"/>
                <w:highlight w:val="none"/>
                <w:lang w:val="en-US" w:eastAsia="zh-CN"/>
              </w:rPr>
              <w:t>15</w:t>
            </w:r>
          </w:p>
        </w:tc>
      </w:tr>
      <w:tr w14:paraId="6EDE0C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2341C6A7">
            <w:pPr>
              <w:pStyle w:val="41"/>
              <w:bidi w:val="0"/>
              <w:rPr>
                <w:rFonts w:hint="default"/>
                <w:color w:val="auto"/>
                <w:highlight w:val="none"/>
              </w:rPr>
            </w:pPr>
            <w:r>
              <w:rPr>
                <w:rFonts w:hint="default"/>
                <w:color w:val="auto"/>
                <w:highlight w:val="none"/>
                <w:lang w:val="en-US" w:eastAsia="zh-CN"/>
              </w:rPr>
              <w:t>5</w:t>
            </w:r>
          </w:p>
        </w:tc>
        <w:tc>
          <w:tcPr>
            <w:tcW w:w="0" w:type="auto"/>
            <w:tcBorders>
              <w:tl2br w:val="nil"/>
              <w:tr2bl w:val="nil"/>
            </w:tcBorders>
            <w:shd w:val="clear" w:color="auto" w:fill="auto"/>
            <w:noWrap/>
            <w:vAlign w:val="center"/>
          </w:tcPr>
          <w:p w14:paraId="1B59F5B5">
            <w:pPr>
              <w:pStyle w:val="41"/>
              <w:bidi w:val="0"/>
              <w:rPr>
                <w:rFonts w:hint="default"/>
                <w:color w:val="auto"/>
                <w:highlight w:val="none"/>
              </w:rPr>
            </w:pPr>
            <w:r>
              <w:rPr>
                <w:rFonts w:hint="default"/>
                <w:color w:val="auto"/>
                <w:highlight w:val="none"/>
                <w:lang w:val="en-US" w:eastAsia="zh-CN"/>
              </w:rPr>
              <w:t>1</w:t>
            </w:r>
            <w:r>
              <w:rPr>
                <w:color w:val="auto"/>
                <w:highlight w:val="none"/>
                <w:lang w:val="en-US" w:eastAsia="zh-CN"/>
              </w:rPr>
              <w:t>号粗碎车间</w:t>
            </w:r>
          </w:p>
        </w:tc>
        <w:tc>
          <w:tcPr>
            <w:tcW w:w="0" w:type="auto"/>
            <w:tcBorders>
              <w:tl2br w:val="nil"/>
              <w:tr2bl w:val="nil"/>
            </w:tcBorders>
            <w:shd w:val="clear" w:color="auto" w:fill="auto"/>
            <w:noWrap/>
            <w:vAlign w:val="center"/>
          </w:tcPr>
          <w:p w14:paraId="19A57EDA">
            <w:pPr>
              <w:pStyle w:val="41"/>
              <w:bidi w:val="0"/>
              <w:rPr>
                <w:rFonts w:hint="default"/>
                <w:color w:val="auto"/>
                <w:highlight w:val="none"/>
              </w:rPr>
            </w:pPr>
            <w:r>
              <w:rPr>
                <w:rFonts w:hint="default"/>
                <w:color w:val="auto"/>
                <w:highlight w:val="none"/>
                <w:lang w:val="en-US" w:eastAsia="zh-CN"/>
              </w:rPr>
              <w:t>10.5</w:t>
            </w:r>
          </w:p>
        </w:tc>
        <w:tc>
          <w:tcPr>
            <w:tcW w:w="0" w:type="auto"/>
            <w:tcBorders>
              <w:tl2br w:val="nil"/>
              <w:tr2bl w:val="nil"/>
            </w:tcBorders>
            <w:shd w:val="clear" w:color="auto" w:fill="auto"/>
            <w:noWrap/>
            <w:vAlign w:val="center"/>
          </w:tcPr>
          <w:p w14:paraId="16198998">
            <w:pPr>
              <w:pStyle w:val="41"/>
              <w:bidi w:val="0"/>
              <w:rPr>
                <w:rFonts w:hint="default"/>
                <w:color w:val="auto"/>
                <w:highlight w:val="none"/>
              </w:rPr>
            </w:pPr>
            <w:r>
              <w:rPr>
                <w:rFonts w:hint="default"/>
                <w:color w:val="auto"/>
                <w:highlight w:val="none"/>
                <w:lang w:val="en-US" w:eastAsia="zh-CN"/>
              </w:rPr>
              <w:t>18.81</w:t>
            </w:r>
          </w:p>
        </w:tc>
        <w:tc>
          <w:tcPr>
            <w:tcW w:w="0" w:type="auto"/>
            <w:tcBorders>
              <w:tl2br w:val="nil"/>
              <w:tr2bl w:val="nil"/>
            </w:tcBorders>
            <w:shd w:val="clear" w:color="auto" w:fill="auto"/>
            <w:noWrap/>
            <w:vAlign w:val="center"/>
          </w:tcPr>
          <w:p w14:paraId="0F7CDB52">
            <w:pPr>
              <w:pStyle w:val="41"/>
              <w:bidi w:val="0"/>
              <w:rPr>
                <w:rFonts w:hint="default"/>
                <w:color w:val="auto"/>
                <w:highlight w:val="none"/>
              </w:rPr>
            </w:pPr>
            <w:r>
              <w:rPr>
                <w:rFonts w:hint="default"/>
                <w:color w:val="auto"/>
                <w:highlight w:val="none"/>
                <w:lang w:val="en-US" w:eastAsia="zh-CN"/>
              </w:rPr>
              <w:t>197.51</w:t>
            </w:r>
          </w:p>
        </w:tc>
        <w:tc>
          <w:tcPr>
            <w:tcW w:w="0" w:type="auto"/>
            <w:tcBorders>
              <w:tl2br w:val="nil"/>
              <w:tr2bl w:val="nil"/>
            </w:tcBorders>
            <w:shd w:val="clear" w:color="auto" w:fill="auto"/>
            <w:noWrap/>
            <w:vAlign w:val="center"/>
          </w:tcPr>
          <w:p w14:paraId="7273BD81">
            <w:pPr>
              <w:pStyle w:val="41"/>
              <w:bidi w:val="0"/>
              <w:rPr>
                <w:rFonts w:hint="default"/>
                <w:color w:val="auto"/>
                <w:highlight w:val="none"/>
              </w:rPr>
            </w:pPr>
            <w:r>
              <w:rPr>
                <w:rFonts w:hint="default"/>
                <w:color w:val="auto"/>
                <w:highlight w:val="none"/>
                <w:lang w:val="en-US" w:eastAsia="zh-CN"/>
              </w:rPr>
              <w:t>12</w:t>
            </w:r>
          </w:p>
        </w:tc>
      </w:tr>
      <w:tr w14:paraId="03A9E8A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5E74D954">
            <w:pPr>
              <w:pStyle w:val="41"/>
              <w:bidi w:val="0"/>
              <w:rPr>
                <w:rFonts w:hint="default"/>
                <w:color w:val="auto"/>
                <w:highlight w:val="none"/>
              </w:rPr>
            </w:pPr>
            <w:r>
              <w:rPr>
                <w:rFonts w:hint="default"/>
                <w:color w:val="auto"/>
                <w:highlight w:val="none"/>
                <w:lang w:val="en-US" w:eastAsia="zh-CN"/>
              </w:rPr>
              <w:t>6</w:t>
            </w:r>
          </w:p>
        </w:tc>
        <w:tc>
          <w:tcPr>
            <w:tcW w:w="0" w:type="auto"/>
            <w:tcBorders>
              <w:tl2br w:val="nil"/>
              <w:tr2bl w:val="nil"/>
            </w:tcBorders>
            <w:shd w:val="clear" w:color="auto" w:fill="auto"/>
            <w:noWrap/>
            <w:vAlign w:val="center"/>
          </w:tcPr>
          <w:p w14:paraId="0579742E">
            <w:pPr>
              <w:pStyle w:val="41"/>
              <w:bidi w:val="0"/>
              <w:rPr>
                <w:rFonts w:hint="default"/>
                <w:color w:val="auto"/>
                <w:highlight w:val="none"/>
              </w:rPr>
            </w:pPr>
            <w:r>
              <w:rPr>
                <w:rFonts w:hint="default"/>
                <w:color w:val="auto"/>
                <w:highlight w:val="none"/>
                <w:lang w:val="en-US" w:eastAsia="zh-CN"/>
              </w:rPr>
              <w:t>2</w:t>
            </w:r>
            <w:r>
              <w:rPr>
                <w:color w:val="auto"/>
                <w:highlight w:val="none"/>
                <w:lang w:val="en-US" w:eastAsia="zh-CN"/>
              </w:rPr>
              <w:t>号振动筛分车间</w:t>
            </w:r>
          </w:p>
        </w:tc>
        <w:tc>
          <w:tcPr>
            <w:tcW w:w="0" w:type="auto"/>
            <w:tcBorders>
              <w:tl2br w:val="nil"/>
              <w:tr2bl w:val="nil"/>
            </w:tcBorders>
            <w:shd w:val="clear" w:color="auto" w:fill="auto"/>
            <w:noWrap/>
            <w:vAlign w:val="center"/>
          </w:tcPr>
          <w:p w14:paraId="2E91844B">
            <w:pPr>
              <w:pStyle w:val="41"/>
              <w:bidi w:val="0"/>
              <w:rPr>
                <w:rFonts w:hint="default"/>
                <w:color w:val="auto"/>
                <w:highlight w:val="none"/>
              </w:rPr>
            </w:pPr>
            <w:r>
              <w:rPr>
                <w:rFonts w:hint="default"/>
                <w:color w:val="auto"/>
                <w:highlight w:val="none"/>
                <w:lang w:val="en-US" w:eastAsia="zh-CN"/>
              </w:rPr>
              <w:t>13</w:t>
            </w:r>
          </w:p>
        </w:tc>
        <w:tc>
          <w:tcPr>
            <w:tcW w:w="0" w:type="auto"/>
            <w:tcBorders>
              <w:tl2br w:val="nil"/>
              <w:tr2bl w:val="nil"/>
            </w:tcBorders>
            <w:shd w:val="clear" w:color="auto" w:fill="auto"/>
            <w:noWrap/>
            <w:vAlign w:val="center"/>
          </w:tcPr>
          <w:p w14:paraId="7BFC43E8">
            <w:pPr>
              <w:pStyle w:val="41"/>
              <w:bidi w:val="0"/>
              <w:rPr>
                <w:rFonts w:hint="default"/>
                <w:color w:val="auto"/>
                <w:highlight w:val="none"/>
              </w:rPr>
            </w:pPr>
            <w:r>
              <w:rPr>
                <w:rFonts w:hint="default"/>
                <w:color w:val="auto"/>
                <w:highlight w:val="none"/>
                <w:lang w:val="en-US" w:eastAsia="zh-CN"/>
              </w:rPr>
              <w:t>19</w:t>
            </w:r>
          </w:p>
        </w:tc>
        <w:tc>
          <w:tcPr>
            <w:tcW w:w="0" w:type="auto"/>
            <w:tcBorders>
              <w:tl2br w:val="nil"/>
              <w:tr2bl w:val="nil"/>
            </w:tcBorders>
            <w:shd w:val="clear" w:color="auto" w:fill="auto"/>
            <w:noWrap/>
            <w:vAlign w:val="center"/>
          </w:tcPr>
          <w:p w14:paraId="36F511E0">
            <w:pPr>
              <w:pStyle w:val="41"/>
              <w:bidi w:val="0"/>
              <w:rPr>
                <w:rFonts w:hint="default"/>
                <w:color w:val="auto"/>
                <w:highlight w:val="none"/>
              </w:rPr>
            </w:pPr>
            <w:r>
              <w:rPr>
                <w:rFonts w:hint="default"/>
                <w:color w:val="auto"/>
                <w:highlight w:val="none"/>
                <w:lang w:val="en-US" w:eastAsia="zh-CN"/>
              </w:rPr>
              <w:t>247</w:t>
            </w:r>
          </w:p>
        </w:tc>
        <w:tc>
          <w:tcPr>
            <w:tcW w:w="0" w:type="auto"/>
            <w:tcBorders>
              <w:tl2br w:val="nil"/>
              <w:tr2bl w:val="nil"/>
            </w:tcBorders>
            <w:shd w:val="clear" w:color="auto" w:fill="auto"/>
            <w:noWrap/>
            <w:vAlign w:val="center"/>
          </w:tcPr>
          <w:p w14:paraId="5B316D0F">
            <w:pPr>
              <w:pStyle w:val="41"/>
              <w:bidi w:val="0"/>
              <w:rPr>
                <w:rFonts w:hint="default"/>
                <w:color w:val="auto"/>
                <w:highlight w:val="none"/>
              </w:rPr>
            </w:pPr>
            <w:r>
              <w:rPr>
                <w:rFonts w:hint="default"/>
                <w:color w:val="auto"/>
                <w:highlight w:val="none"/>
                <w:lang w:val="en-US" w:eastAsia="zh-CN"/>
              </w:rPr>
              <w:t>20</w:t>
            </w:r>
          </w:p>
        </w:tc>
      </w:tr>
      <w:tr w14:paraId="12E776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50975F11">
            <w:pPr>
              <w:pStyle w:val="41"/>
              <w:bidi w:val="0"/>
              <w:rPr>
                <w:rFonts w:hint="default"/>
                <w:color w:val="auto"/>
                <w:highlight w:val="none"/>
              </w:rPr>
            </w:pPr>
            <w:r>
              <w:rPr>
                <w:rFonts w:hint="default"/>
                <w:color w:val="auto"/>
                <w:highlight w:val="none"/>
                <w:lang w:val="en-US" w:eastAsia="zh-CN"/>
              </w:rPr>
              <w:t>7</w:t>
            </w:r>
          </w:p>
        </w:tc>
        <w:tc>
          <w:tcPr>
            <w:tcW w:w="0" w:type="auto"/>
            <w:tcBorders>
              <w:tl2br w:val="nil"/>
              <w:tr2bl w:val="nil"/>
            </w:tcBorders>
            <w:shd w:val="clear" w:color="auto" w:fill="auto"/>
            <w:noWrap/>
            <w:vAlign w:val="center"/>
          </w:tcPr>
          <w:p w14:paraId="01E8CD61">
            <w:pPr>
              <w:pStyle w:val="41"/>
              <w:bidi w:val="0"/>
              <w:rPr>
                <w:rFonts w:hint="default"/>
                <w:color w:val="auto"/>
                <w:highlight w:val="none"/>
              </w:rPr>
            </w:pPr>
            <w:r>
              <w:rPr>
                <w:rFonts w:hint="default"/>
                <w:color w:val="auto"/>
                <w:highlight w:val="none"/>
                <w:lang w:val="en-US" w:eastAsia="zh-CN"/>
              </w:rPr>
              <w:t>1</w:t>
            </w:r>
            <w:r>
              <w:rPr>
                <w:color w:val="auto"/>
                <w:highlight w:val="none"/>
                <w:lang w:val="en-US" w:eastAsia="zh-CN"/>
              </w:rPr>
              <w:t>号细碎车间</w:t>
            </w:r>
          </w:p>
        </w:tc>
        <w:tc>
          <w:tcPr>
            <w:tcW w:w="0" w:type="auto"/>
            <w:tcBorders>
              <w:tl2br w:val="nil"/>
              <w:tr2bl w:val="nil"/>
            </w:tcBorders>
            <w:shd w:val="clear" w:color="auto" w:fill="auto"/>
            <w:noWrap/>
            <w:vAlign w:val="center"/>
          </w:tcPr>
          <w:p w14:paraId="455B7A35">
            <w:pPr>
              <w:pStyle w:val="41"/>
              <w:bidi w:val="0"/>
              <w:rPr>
                <w:rFonts w:hint="default"/>
                <w:color w:val="auto"/>
                <w:highlight w:val="none"/>
              </w:rPr>
            </w:pPr>
            <w:r>
              <w:rPr>
                <w:rFonts w:hint="default"/>
                <w:color w:val="auto"/>
                <w:highlight w:val="none"/>
                <w:lang w:val="en-US" w:eastAsia="zh-CN"/>
              </w:rPr>
              <w:t>8.5</w:t>
            </w:r>
          </w:p>
        </w:tc>
        <w:tc>
          <w:tcPr>
            <w:tcW w:w="0" w:type="auto"/>
            <w:tcBorders>
              <w:tl2br w:val="nil"/>
              <w:tr2bl w:val="nil"/>
            </w:tcBorders>
            <w:shd w:val="clear" w:color="auto" w:fill="auto"/>
            <w:noWrap/>
            <w:vAlign w:val="center"/>
          </w:tcPr>
          <w:p w14:paraId="7BA62CA6">
            <w:pPr>
              <w:pStyle w:val="41"/>
              <w:bidi w:val="0"/>
              <w:rPr>
                <w:rFonts w:hint="default"/>
                <w:color w:val="auto"/>
                <w:highlight w:val="none"/>
              </w:rPr>
            </w:pPr>
            <w:r>
              <w:rPr>
                <w:rFonts w:hint="default"/>
                <w:color w:val="auto"/>
                <w:highlight w:val="none"/>
                <w:lang w:val="en-US" w:eastAsia="zh-CN"/>
              </w:rPr>
              <w:t>10.63</w:t>
            </w:r>
          </w:p>
        </w:tc>
        <w:tc>
          <w:tcPr>
            <w:tcW w:w="0" w:type="auto"/>
            <w:tcBorders>
              <w:tl2br w:val="nil"/>
              <w:tr2bl w:val="nil"/>
            </w:tcBorders>
            <w:shd w:val="clear" w:color="auto" w:fill="auto"/>
            <w:noWrap/>
            <w:vAlign w:val="center"/>
          </w:tcPr>
          <w:p w14:paraId="5305B98A">
            <w:pPr>
              <w:pStyle w:val="41"/>
              <w:bidi w:val="0"/>
              <w:rPr>
                <w:rFonts w:hint="default"/>
                <w:color w:val="auto"/>
                <w:highlight w:val="none"/>
              </w:rPr>
            </w:pPr>
            <w:r>
              <w:rPr>
                <w:rFonts w:hint="default"/>
                <w:color w:val="auto"/>
                <w:highlight w:val="none"/>
                <w:lang w:val="en-US" w:eastAsia="zh-CN"/>
              </w:rPr>
              <w:t>90.36</w:t>
            </w:r>
          </w:p>
        </w:tc>
        <w:tc>
          <w:tcPr>
            <w:tcW w:w="0" w:type="auto"/>
            <w:tcBorders>
              <w:tl2br w:val="nil"/>
              <w:tr2bl w:val="nil"/>
            </w:tcBorders>
            <w:shd w:val="clear" w:color="auto" w:fill="auto"/>
            <w:noWrap/>
            <w:vAlign w:val="center"/>
          </w:tcPr>
          <w:p w14:paraId="3CFCE2EB">
            <w:pPr>
              <w:pStyle w:val="41"/>
              <w:bidi w:val="0"/>
              <w:rPr>
                <w:rFonts w:hint="default"/>
                <w:color w:val="auto"/>
                <w:highlight w:val="none"/>
              </w:rPr>
            </w:pPr>
            <w:r>
              <w:rPr>
                <w:rFonts w:hint="default"/>
                <w:color w:val="auto"/>
                <w:highlight w:val="none"/>
                <w:lang w:val="en-US" w:eastAsia="zh-CN"/>
              </w:rPr>
              <w:t>12</w:t>
            </w:r>
          </w:p>
        </w:tc>
      </w:tr>
      <w:tr w14:paraId="1DDB83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733652A5">
            <w:pPr>
              <w:pStyle w:val="41"/>
              <w:bidi w:val="0"/>
              <w:rPr>
                <w:rFonts w:hint="default"/>
                <w:color w:val="auto"/>
                <w:highlight w:val="none"/>
              </w:rPr>
            </w:pPr>
            <w:r>
              <w:rPr>
                <w:rFonts w:hint="default"/>
                <w:color w:val="auto"/>
                <w:highlight w:val="none"/>
                <w:lang w:val="en-US" w:eastAsia="zh-CN"/>
              </w:rPr>
              <w:t>8</w:t>
            </w:r>
          </w:p>
        </w:tc>
        <w:tc>
          <w:tcPr>
            <w:tcW w:w="0" w:type="auto"/>
            <w:tcBorders>
              <w:tl2br w:val="nil"/>
              <w:tr2bl w:val="nil"/>
            </w:tcBorders>
            <w:shd w:val="clear" w:color="auto" w:fill="auto"/>
            <w:noWrap/>
            <w:vAlign w:val="center"/>
          </w:tcPr>
          <w:p w14:paraId="580FD633">
            <w:pPr>
              <w:pStyle w:val="41"/>
              <w:bidi w:val="0"/>
              <w:rPr>
                <w:rFonts w:hint="default"/>
                <w:color w:val="auto"/>
                <w:highlight w:val="none"/>
              </w:rPr>
            </w:pPr>
            <w:r>
              <w:rPr>
                <w:rFonts w:hint="default"/>
                <w:color w:val="auto"/>
                <w:highlight w:val="none"/>
                <w:lang w:val="en-US" w:eastAsia="zh-CN"/>
              </w:rPr>
              <w:t>1</w:t>
            </w:r>
            <w:r>
              <w:rPr>
                <w:color w:val="auto"/>
                <w:highlight w:val="none"/>
                <w:lang w:val="en-US" w:eastAsia="zh-CN"/>
              </w:rPr>
              <w:t>号干抛磁选车间</w:t>
            </w:r>
          </w:p>
        </w:tc>
        <w:tc>
          <w:tcPr>
            <w:tcW w:w="0" w:type="auto"/>
            <w:tcBorders>
              <w:tl2br w:val="nil"/>
              <w:tr2bl w:val="nil"/>
            </w:tcBorders>
            <w:shd w:val="clear" w:color="auto" w:fill="auto"/>
            <w:noWrap/>
            <w:vAlign w:val="center"/>
          </w:tcPr>
          <w:p w14:paraId="6DF5DF5C">
            <w:pPr>
              <w:pStyle w:val="41"/>
              <w:bidi w:val="0"/>
              <w:rPr>
                <w:rFonts w:hint="default"/>
                <w:color w:val="auto"/>
                <w:highlight w:val="none"/>
              </w:rPr>
            </w:pPr>
            <w:r>
              <w:rPr>
                <w:rFonts w:hint="default"/>
                <w:color w:val="auto"/>
                <w:highlight w:val="none"/>
                <w:lang w:val="en-US" w:eastAsia="zh-CN"/>
              </w:rPr>
              <w:t>17.5</w:t>
            </w:r>
          </w:p>
        </w:tc>
        <w:tc>
          <w:tcPr>
            <w:tcW w:w="0" w:type="auto"/>
            <w:tcBorders>
              <w:tl2br w:val="nil"/>
              <w:tr2bl w:val="nil"/>
            </w:tcBorders>
            <w:shd w:val="clear" w:color="auto" w:fill="auto"/>
            <w:noWrap/>
            <w:vAlign w:val="center"/>
          </w:tcPr>
          <w:p w14:paraId="366D8807">
            <w:pPr>
              <w:pStyle w:val="41"/>
              <w:bidi w:val="0"/>
              <w:rPr>
                <w:rFonts w:hint="default"/>
                <w:color w:val="auto"/>
                <w:highlight w:val="none"/>
              </w:rPr>
            </w:pPr>
            <w:r>
              <w:rPr>
                <w:rFonts w:hint="default"/>
                <w:color w:val="auto"/>
                <w:highlight w:val="none"/>
                <w:lang w:val="en-US" w:eastAsia="zh-CN"/>
              </w:rPr>
              <w:t>35</w:t>
            </w:r>
          </w:p>
        </w:tc>
        <w:tc>
          <w:tcPr>
            <w:tcW w:w="0" w:type="auto"/>
            <w:tcBorders>
              <w:tl2br w:val="nil"/>
              <w:tr2bl w:val="nil"/>
            </w:tcBorders>
            <w:shd w:val="clear" w:color="auto" w:fill="auto"/>
            <w:noWrap/>
            <w:vAlign w:val="center"/>
          </w:tcPr>
          <w:p w14:paraId="28F6020D">
            <w:pPr>
              <w:pStyle w:val="41"/>
              <w:bidi w:val="0"/>
              <w:rPr>
                <w:rFonts w:hint="default"/>
                <w:color w:val="auto"/>
                <w:highlight w:val="none"/>
              </w:rPr>
            </w:pPr>
            <w:r>
              <w:rPr>
                <w:rFonts w:hint="default"/>
                <w:color w:val="auto"/>
                <w:highlight w:val="none"/>
                <w:lang w:val="en-US" w:eastAsia="zh-CN"/>
              </w:rPr>
              <w:t>612.5</w:t>
            </w:r>
          </w:p>
        </w:tc>
        <w:tc>
          <w:tcPr>
            <w:tcW w:w="0" w:type="auto"/>
            <w:tcBorders>
              <w:tl2br w:val="nil"/>
              <w:tr2bl w:val="nil"/>
            </w:tcBorders>
            <w:shd w:val="clear" w:color="auto" w:fill="auto"/>
            <w:noWrap/>
            <w:vAlign w:val="center"/>
          </w:tcPr>
          <w:p w14:paraId="58D5E11E">
            <w:pPr>
              <w:pStyle w:val="41"/>
              <w:bidi w:val="0"/>
              <w:rPr>
                <w:rFonts w:hint="default"/>
                <w:color w:val="auto"/>
                <w:highlight w:val="none"/>
              </w:rPr>
            </w:pPr>
            <w:r>
              <w:rPr>
                <w:rFonts w:hint="default"/>
                <w:color w:val="auto"/>
                <w:highlight w:val="none"/>
                <w:lang w:val="en-US" w:eastAsia="zh-CN"/>
              </w:rPr>
              <w:t>26</w:t>
            </w:r>
          </w:p>
        </w:tc>
      </w:tr>
      <w:tr w14:paraId="5078CB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1CE9306D">
            <w:pPr>
              <w:pStyle w:val="41"/>
              <w:bidi w:val="0"/>
              <w:rPr>
                <w:rFonts w:hint="default"/>
                <w:color w:val="auto"/>
                <w:highlight w:val="none"/>
              </w:rPr>
            </w:pPr>
            <w:r>
              <w:rPr>
                <w:rFonts w:hint="default"/>
                <w:color w:val="auto"/>
                <w:highlight w:val="none"/>
                <w:lang w:val="en-US" w:eastAsia="zh-CN"/>
              </w:rPr>
              <w:t>9</w:t>
            </w:r>
          </w:p>
        </w:tc>
        <w:tc>
          <w:tcPr>
            <w:tcW w:w="0" w:type="auto"/>
            <w:tcBorders>
              <w:tl2br w:val="nil"/>
              <w:tr2bl w:val="nil"/>
            </w:tcBorders>
            <w:shd w:val="clear" w:color="auto" w:fill="auto"/>
            <w:noWrap/>
            <w:vAlign w:val="center"/>
          </w:tcPr>
          <w:p w14:paraId="17961E0F">
            <w:pPr>
              <w:pStyle w:val="41"/>
              <w:bidi w:val="0"/>
              <w:rPr>
                <w:rFonts w:hint="default"/>
                <w:color w:val="auto"/>
                <w:highlight w:val="none"/>
              </w:rPr>
            </w:pPr>
            <w:r>
              <w:rPr>
                <w:rFonts w:hint="default"/>
                <w:color w:val="auto"/>
                <w:highlight w:val="none"/>
                <w:lang w:val="en-US" w:eastAsia="zh-CN"/>
              </w:rPr>
              <w:t>2</w:t>
            </w:r>
            <w:r>
              <w:rPr>
                <w:color w:val="auto"/>
                <w:highlight w:val="none"/>
                <w:lang w:val="en-US" w:eastAsia="zh-CN"/>
              </w:rPr>
              <w:t>号粗/中碎车间</w:t>
            </w:r>
          </w:p>
        </w:tc>
        <w:tc>
          <w:tcPr>
            <w:tcW w:w="0" w:type="auto"/>
            <w:tcBorders>
              <w:tl2br w:val="nil"/>
              <w:tr2bl w:val="nil"/>
            </w:tcBorders>
            <w:shd w:val="clear" w:color="auto" w:fill="auto"/>
            <w:noWrap/>
            <w:vAlign w:val="center"/>
          </w:tcPr>
          <w:p w14:paraId="5696C226">
            <w:pPr>
              <w:pStyle w:val="41"/>
              <w:bidi w:val="0"/>
              <w:rPr>
                <w:rFonts w:hint="default"/>
                <w:color w:val="auto"/>
                <w:highlight w:val="none"/>
              </w:rPr>
            </w:pPr>
            <w:r>
              <w:rPr>
                <w:rFonts w:hint="default"/>
                <w:color w:val="auto"/>
                <w:highlight w:val="none"/>
                <w:lang w:val="en-US" w:eastAsia="zh-CN"/>
              </w:rPr>
              <w:t>11.6</w:t>
            </w:r>
          </w:p>
        </w:tc>
        <w:tc>
          <w:tcPr>
            <w:tcW w:w="0" w:type="auto"/>
            <w:tcBorders>
              <w:tl2br w:val="nil"/>
              <w:tr2bl w:val="nil"/>
            </w:tcBorders>
            <w:shd w:val="clear" w:color="auto" w:fill="auto"/>
            <w:noWrap/>
            <w:vAlign w:val="center"/>
          </w:tcPr>
          <w:p w14:paraId="5B472A76">
            <w:pPr>
              <w:pStyle w:val="41"/>
              <w:bidi w:val="0"/>
              <w:rPr>
                <w:rFonts w:hint="default"/>
                <w:color w:val="auto"/>
                <w:highlight w:val="none"/>
              </w:rPr>
            </w:pPr>
            <w:r>
              <w:rPr>
                <w:rFonts w:hint="default"/>
                <w:color w:val="auto"/>
                <w:highlight w:val="none"/>
                <w:lang w:val="en-US" w:eastAsia="zh-CN"/>
              </w:rPr>
              <w:t>27.61</w:t>
            </w:r>
          </w:p>
        </w:tc>
        <w:tc>
          <w:tcPr>
            <w:tcW w:w="0" w:type="auto"/>
            <w:tcBorders>
              <w:tl2br w:val="nil"/>
              <w:tr2bl w:val="nil"/>
            </w:tcBorders>
            <w:shd w:val="clear" w:color="auto" w:fill="auto"/>
            <w:noWrap/>
            <w:vAlign w:val="center"/>
          </w:tcPr>
          <w:p w14:paraId="655CA597">
            <w:pPr>
              <w:pStyle w:val="41"/>
              <w:bidi w:val="0"/>
              <w:rPr>
                <w:rFonts w:hint="default"/>
                <w:color w:val="auto"/>
                <w:highlight w:val="none"/>
              </w:rPr>
            </w:pPr>
            <w:r>
              <w:rPr>
                <w:rFonts w:hint="default"/>
                <w:color w:val="auto"/>
                <w:highlight w:val="none"/>
                <w:lang w:val="en-US" w:eastAsia="zh-CN"/>
              </w:rPr>
              <w:t>320.28</w:t>
            </w:r>
          </w:p>
        </w:tc>
        <w:tc>
          <w:tcPr>
            <w:tcW w:w="0" w:type="auto"/>
            <w:tcBorders>
              <w:tl2br w:val="nil"/>
              <w:tr2bl w:val="nil"/>
            </w:tcBorders>
            <w:shd w:val="clear" w:color="auto" w:fill="auto"/>
            <w:noWrap/>
            <w:vAlign w:val="center"/>
          </w:tcPr>
          <w:p w14:paraId="20D19428">
            <w:pPr>
              <w:pStyle w:val="41"/>
              <w:bidi w:val="0"/>
              <w:rPr>
                <w:rFonts w:hint="default"/>
                <w:color w:val="auto"/>
                <w:highlight w:val="none"/>
              </w:rPr>
            </w:pPr>
            <w:r>
              <w:rPr>
                <w:rFonts w:hint="default"/>
                <w:color w:val="auto"/>
                <w:highlight w:val="none"/>
                <w:lang w:val="en-US" w:eastAsia="zh-CN"/>
              </w:rPr>
              <w:t>12</w:t>
            </w:r>
          </w:p>
        </w:tc>
      </w:tr>
      <w:tr w14:paraId="7E8D2C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7078EE25">
            <w:pPr>
              <w:pStyle w:val="41"/>
              <w:bidi w:val="0"/>
              <w:rPr>
                <w:rFonts w:hint="default"/>
                <w:color w:val="auto"/>
                <w:highlight w:val="none"/>
              </w:rPr>
            </w:pPr>
            <w:r>
              <w:rPr>
                <w:rFonts w:hint="default"/>
                <w:color w:val="auto"/>
                <w:highlight w:val="none"/>
                <w:lang w:val="en-US" w:eastAsia="zh-CN"/>
              </w:rPr>
              <w:t>10</w:t>
            </w:r>
          </w:p>
        </w:tc>
        <w:tc>
          <w:tcPr>
            <w:tcW w:w="0" w:type="auto"/>
            <w:tcBorders>
              <w:tl2br w:val="nil"/>
              <w:tr2bl w:val="nil"/>
            </w:tcBorders>
            <w:shd w:val="clear" w:color="auto" w:fill="auto"/>
            <w:noWrap/>
            <w:vAlign w:val="center"/>
          </w:tcPr>
          <w:p w14:paraId="1D27CDF5">
            <w:pPr>
              <w:pStyle w:val="41"/>
              <w:bidi w:val="0"/>
              <w:rPr>
                <w:rFonts w:hint="default"/>
                <w:color w:val="auto"/>
                <w:highlight w:val="none"/>
              </w:rPr>
            </w:pPr>
            <w:r>
              <w:rPr>
                <w:rFonts w:hint="default"/>
                <w:color w:val="auto"/>
                <w:highlight w:val="none"/>
                <w:lang w:val="en-US" w:eastAsia="zh-CN"/>
              </w:rPr>
              <w:t>1</w:t>
            </w:r>
            <w:r>
              <w:rPr>
                <w:color w:val="auto"/>
                <w:highlight w:val="none"/>
                <w:lang w:val="en-US" w:eastAsia="zh-CN"/>
              </w:rPr>
              <w:t>号直线筛车间</w:t>
            </w:r>
          </w:p>
        </w:tc>
        <w:tc>
          <w:tcPr>
            <w:tcW w:w="0" w:type="auto"/>
            <w:tcBorders>
              <w:tl2br w:val="nil"/>
              <w:tr2bl w:val="nil"/>
            </w:tcBorders>
            <w:shd w:val="clear" w:color="auto" w:fill="auto"/>
            <w:noWrap/>
            <w:vAlign w:val="center"/>
          </w:tcPr>
          <w:p w14:paraId="200467CC">
            <w:pPr>
              <w:pStyle w:val="41"/>
              <w:bidi w:val="0"/>
              <w:rPr>
                <w:rFonts w:hint="default"/>
                <w:color w:val="auto"/>
                <w:highlight w:val="none"/>
              </w:rPr>
            </w:pPr>
            <w:r>
              <w:rPr>
                <w:rFonts w:hint="default"/>
                <w:color w:val="auto"/>
                <w:highlight w:val="none"/>
                <w:lang w:val="en-US" w:eastAsia="zh-CN"/>
              </w:rPr>
              <w:t>14</w:t>
            </w:r>
          </w:p>
        </w:tc>
        <w:tc>
          <w:tcPr>
            <w:tcW w:w="0" w:type="auto"/>
            <w:tcBorders>
              <w:tl2br w:val="nil"/>
              <w:tr2bl w:val="nil"/>
            </w:tcBorders>
            <w:shd w:val="clear" w:color="auto" w:fill="auto"/>
            <w:noWrap/>
            <w:vAlign w:val="center"/>
          </w:tcPr>
          <w:p w14:paraId="1579E488">
            <w:pPr>
              <w:pStyle w:val="41"/>
              <w:bidi w:val="0"/>
              <w:rPr>
                <w:rFonts w:hint="default"/>
                <w:color w:val="auto"/>
                <w:highlight w:val="none"/>
              </w:rPr>
            </w:pPr>
            <w:r>
              <w:rPr>
                <w:rFonts w:hint="default"/>
                <w:color w:val="auto"/>
                <w:highlight w:val="none"/>
                <w:lang w:val="en-US" w:eastAsia="zh-CN"/>
              </w:rPr>
              <w:t>19</w:t>
            </w:r>
          </w:p>
        </w:tc>
        <w:tc>
          <w:tcPr>
            <w:tcW w:w="0" w:type="auto"/>
            <w:tcBorders>
              <w:tl2br w:val="nil"/>
              <w:tr2bl w:val="nil"/>
            </w:tcBorders>
            <w:shd w:val="clear" w:color="auto" w:fill="auto"/>
            <w:noWrap/>
            <w:vAlign w:val="center"/>
          </w:tcPr>
          <w:p w14:paraId="4A3A01F9">
            <w:pPr>
              <w:pStyle w:val="41"/>
              <w:bidi w:val="0"/>
              <w:rPr>
                <w:rFonts w:hint="default"/>
                <w:color w:val="auto"/>
                <w:highlight w:val="none"/>
              </w:rPr>
            </w:pPr>
            <w:r>
              <w:rPr>
                <w:rFonts w:hint="default"/>
                <w:color w:val="auto"/>
                <w:highlight w:val="none"/>
                <w:lang w:val="en-US" w:eastAsia="zh-CN"/>
              </w:rPr>
              <w:t>266</w:t>
            </w:r>
          </w:p>
        </w:tc>
        <w:tc>
          <w:tcPr>
            <w:tcW w:w="0" w:type="auto"/>
            <w:tcBorders>
              <w:tl2br w:val="nil"/>
              <w:tr2bl w:val="nil"/>
            </w:tcBorders>
            <w:shd w:val="clear" w:color="auto" w:fill="auto"/>
            <w:noWrap/>
            <w:vAlign w:val="center"/>
          </w:tcPr>
          <w:p w14:paraId="5110ACDD">
            <w:pPr>
              <w:pStyle w:val="41"/>
              <w:bidi w:val="0"/>
              <w:rPr>
                <w:rFonts w:hint="default"/>
                <w:color w:val="auto"/>
                <w:highlight w:val="none"/>
              </w:rPr>
            </w:pPr>
            <w:r>
              <w:rPr>
                <w:rFonts w:hint="default"/>
                <w:color w:val="auto"/>
                <w:highlight w:val="none"/>
                <w:lang w:val="en-US" w:eastAsia="zh-CN"/>
              </w:rPr>
              <w:t>20</w:t>
            </w:r>
          </w:p>
        </w:tc>
      </w:tr>
      <w:tr w14:paraId="23FFB49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137F98CD">
            <w:pPr>
              <w:pStyle w:val="41"/>
              <w:bidi w:val="0"/>
              <w:rPr>
                <w:rFonts w:hint="default"/>
                <w:color w:val="auto"/>
                <w:highlight w:val="none"/>
              </w:rPr>
            </w:pPr>
            <w:r>
              <w:rPr>
                <w:rFonts w:hint="default"/>
                <w:color w:val="auto"/>
                <w:highlight w:val="none"/>
                <w:lang w:val="en-US" w:eastAsia="zh-CN"/>
              </w:rPr>
              <w:t>11</w:t>
            </w:r>
          </w:p>
        </w:tc>
        <w:tc>
          <w:tcPr>
            <w:tcW w:w="0" w:type="auto"/>
            <w:tcBorders>
              <w:tl2br w:val="nil"/>
              <w:tr2bl w:val="nil"/>
            </w:tcBorders>
            <w:shd w:val="clear" w:color="auto" w:fill="auto"/>
            <w:noWrap/>
            <w:vAlign w:val="center"/>
          </w:tcPr>
          <w:p w14:paraId="78661606">
            <w:pPr>
              <w:pStyle w:val="41"/>
              <w:bidi w:val="0"/>
              <w:rPr>
                <w:rFonts w:hint="default"/>
                <w:color w:val="auto"/>
                <w:highlight w:val="none"/>
              </w:rPr>
            </w:pPr>
            <w:r>
              <w:rPr>
                <w:rFonts w:hint="default"/>
                <w:color w:val="auto"/>
                <w:highlight w:val="none"/>
                <w:lang w:val="en-US" w:eastAsia="zh-CN"/>
              </w:rPr>
              <w:t>2</w:t>
            </w:r>
            <w:r>
              <w:rPr>
                <w:color w:val="auto"/>
                <w:highlight w:val="none"/>
                <w:lang w:val="en-US" w:eastAsia="zh-CN"/>
              </w:rPr>
              <w:t>号细碎车间</w:t>
            </w:r>
          </w:p>
        </w:tc>
        <w:tc>
          <w:tcPr>
            <w:tcW w:w="0" w:type="auto"/>
            <w:tcBorders>
              <w:tl2br w:val="nil"/>
              <w:tr2bl w:val="nil"/>
            </w:tcBorders>
            <w:shd w:val="clear" w:color="auto" w:fill="auto"/>
            <w:noWrap/>
            <w:vAlign w:val="center"/>
          </w:tcPr>
          <w:p w14:paraId="43B97E7B">
            <w:pPr>
              <w:pStyle w:val="41"/>
              <w:bidi w:val="0"/>
              <w:rPr>
                <w:rFonts w:hint="default"/>
                <w:color w:val="auto"/>
                <w:highlight w:val="none"/>
              </w:rPr>
            </w:pPr>
            <w:r>
              <w:rPr>
                <w:rFonts w:hint="default"/>
                <w:color w:val="auto"/>
                <w:highlight w:val="none"/>
                <w:lang w:val="en-US" w:eastAsia="zh-CN"/>
              </w:rPr>
              <w:t>11.57</w:t>
            </w:r>
          </w:p>
        </w:tc>
        <w:tc>
          <w:tcPr>
            <w:tcW w:w="0" w:type="auto"/>
            <w:tcBorders>
              <w:tl2br w:val="nil"/>
              <w:tr2bl w:val="nil"/>
            </w:tcBorders>
            <w:shd w:val="clear" w:color="auto" w:fill="auto"/>
            <w:noWrap/>
            <w:vAlign w:val="center"/>
          </w:tcPr>
          <w:p w14:paraId="5B49D274">
            <w:pPr>
              <w:pStyle w:val="41"/>
              <w:bidi w:val="0"/>
              <w:rPr>
                <w:rFonts w:hint="default"/>
                <w:color w:val="auto"/>
                <w:highlight w:val="none"/>
              </w:rPr>
            </w:pPr>
            <w:r>
              <w:rPr>
                <w:rFonts w:hint="default"/>
                <w:color w:val="auto"/>
                <w:highlight w:val="none"/>
                <w:lang w:val="en-US" w:eastAsia="zh-CN"/>
              </w:rPr>
              <w:t>12.63</w:t>
            </w:r>
          </w:p>
        </w:tc>
        <w:tc>
          <w:tcPr>
            <w:tcW w:w="0" w:type="auto"/>
            <w:tcBorders>
              <w:tl2br w:val="nil"/>
              <w:tr2bl w:val="nil"/>
            </w:tcBorders>
            <w:shd w:val="clear" w:color="auto" w:fill="auto"/>
            <w:noWrap/>
            <w:vAlign w:val="center"/>
          </w:tcPr>
          <w:p w14:paraId="40B22337">
            <w:pPr>
              <w:pStyle w:val="41"/>
              <w:bidi w:val="0"/>
              <w:rPr>
                <w:rFonts w:hint="default"/>
                <w:color w:val="auto"/>
                <w:highlight w:val="none"/>
              </w:rPr>
            </w:pPr>
            <w:r>
              <w:rPr>
                <w:rFonts w:hint="default"/>
                <w:color w:val="auto"/>
                <w:highlight w:val="none"/>
                <w:lang w:val="en-US" w:eastAsia="zh-CN"/>
              </w:rPr>
              <w:t>146.13</w:t>
            </w:r>
          </w:p>
        </w:tc>
        <w:tc>
          <w:tcPr>
            <w:tcW w:w="0" w:type="auto"/>
            <w:tcBorders>
              <w:tl2br w:val="nil"/>
              <w:tr2bl w:val="nil"/>
            </w:tcBorders>
            <w:shd w:val="clear" w:color="auto" w:fill="auto"/>
            <w:noWrap/>
            <w:vAlign w:val="center"/>
          </w:tcPr>
          <w:p w14:paraId="199E6D33">
            <w:pPr>
              <w:pStyle w:val="41"/>
              <w:bidi w:val="0"/>
              <w:rPr>
                <w:rFonts w:hint="default"/>
                <w:color w:val="auto"/>
                <w:highlight w:val="none"/>
              </w:rPr>
            </w:pPr>
            <w:r>
              <w:rPr>
                <w:rFonts w:hint="default"/>
                <w:color w:val="auto"/>
                <w:highlight w:val="none"/>
                <w:lang w:val="en-US" w:eastAsia="zh-CN"/>
              </w:rPr>
              <w:t>12</w:t>
            </w:r>
          </w:p>
        </w:tc>
      </w:tr>
      <w:tr w14:paraId="6737A5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64D842B5">
            <w:pPr>
              <w:pStyle w:val="41"/>
              <w:bidi w:val="0"/>
              <w:rPr>
                <w:rFonts w:hint="default"/>
                <w:color w:val="auto"/>
                <w:highlight w:val="none"/>
              </w:rPr>
            </w:pPr>
            <w:r>
              <w:rPr>
                <w:rFonts w:hint="default"/>
                <w:color w:val="auto"/>
                <w:highlight w:val="none"/>
                <w:lang w:val="en-US" w:eastAsia="zh-CN"/>
              </w:rPr>
              <w:t>12</w:t>
            </w:r>
          </w:p>
        </w:tc>
        <w:tc>
          <w:tcPr>
            <w:tcW w:w="0" w:type="auto"/>
            <w:tcBorders>
              <w:tl2br w:val="nil"/>
              <w:tr2bl w:val="nil"/>
            </w:tcBorders>
            <w:shd w:val="clear" w:color="auto" w:fill="auto"/>
            <w:noWrap/>
            <w:vAlign w:val="center"/>
          </w:tcPr>
          <w:p w14:paraId="6D3CA488">
            <w:pPr>
              <w:pStyle w:val="41"/>
              <w:bidi w:val="0"/>
              <w:rPr>
                <w:rFonts w:hint="default"/>
                <w:color w:val="auto"/>
                <w:highlight w:val="none"/>
              </w:rPr>
            </w:pPr>
            <w:r>
              <w:rPr>
                <w:rFonts w:hint="default"/>
                <w:color w:val="auto"/>
                <w:highlight w:val="none"/>
                <w:lang w:val="en-US" w:eastAsia="zh-CN"/>
              </w:rPr>
              <w:t>2</w:t>
            </w:r>
            <w:r>
              <w:rPr>
                <w:color w:val="auto"/>
                <w:highlight w:val="none"/>
                <w:lang w:val="en-US" w:eastAsia="zh-CN"/>
              </w:rPr>
              <w:t>号直线筛车间</w:t>
            </w:r>
          </w:p>
        </w:tc>
        <w:tc>
          <w:tcPr>
            <w:tcW w:w="0" w:type="auto"/>
            <w:tcBorders>
              <w:tl2br w:val="nil"/>
              <w:tr2bl w:val="nil"/>
            </w:tcBorders>
            <w:shd w:val="clear" w:color="auto" w:fill="auto"/>
            <w:noWrap/>
            <w:vAlign w:val="center"/>
          </w:tcPr>
          <w:p w14:paraId="79FD81E7">
            <w:pPr>
              <w:pStyle w:val="41"/>
              <w:bidi w:val="0"/>
              <w:rPr>
                <w:rFonts w:hint="default"/>
                <w:color w:val="auto"/>
                <w:highlight w:val="none"/>
              </w:rPr>
            </w:pPr>
            <w:r>
              <w:rPr>
                <w:rFonts w:hint="default"/>
                <w:color w:val="auto"/>
                <w:highlight w:val="none"/>
                <w:lang w:val="en-US" w:eastAsia="zh-CN"/>
              </w:rPr>
              <w:t>13</w:t>
            </w:r>
          </w:p>
        </w:tc>
        <w:tc>
          <w:tcPr>
            <w:tcW w:w="0" w:type="auto"/>
            <w:tcBorders>
              <w:tl2br w:val="nil"/>
              <w:tr2bl w:val="nil"/>
            </w:tcBorders>
            <w:shd w:val="clear" w:color="auto" w:fill="auto"/>
            <w:noWrap/>
            <w:vAlign w:val="center"/>
          </w:tcPr>
          <w:p w14:paraId="06EC309D">
            <w:pPr>
              <w:pStyle w:val="41"/>
              <w:bidi w:val="0"/>
              <w:rPr>
                <w:rFonts w:hint="default"/>
                <w:color w:val="auto"/>
                <w:highlight w:val="none"/>
              </w:rPr>
            </w:pPr>
            <w:r>
              <w:rPr>
                <w:rFonts w:hint="default"/>
                <w:color w:val="auto"/>
                <w:highlight w:val="none"/>
                <w:lang w:val="en-US" w:eastAsia="zh-CN"/>
              </w:rPr>
              <w:t>19</w:t>
            </w:r>
          </w:p>
        </w:tc>
        <w:tc>
          <w:tcPr>
            <w:tcW w:w="0" w:type="auto"/>
            <w:tcBorders>
              <w:tl2br w:val="nil"/>
              <w:tr2bl w:val="nil"/>
            </w:tcBorders>
            <w:shd w:val="clear" w:color="auto" w:fill="auto"/>
            <w:noWrap/>
            <w:vAlign w:val="center"/>
          </w:tcPr>
          <w:p w14:paraId="6E6132EC">
            <w:pPr>
              <w:pStyle w:val="41"/>
              <w:bidi w:val="0"/>
              <w:rPr>
                <w:rFonts w:hint="default"/>
                <w:color w:val="auto"/>
                <w:highlight w:val="none"/>
              </w:rPr>
            </w:pPr>
            <w:r>
              <w:rPr>
                <w:rFonts w:hint="default"/>
                <w:color w:val="auto"/>
                <w:highlight w:val="none"/>
                <w:lang w:val="en-US" w:eastAsia="zh-CN"/>
              </w:rPr>
              <w:t>247</w:t>
            </w:r>
          </w:p>
        </w:tc>
        <w:tc>
          <w:tcPr>
            <w:tcW w:w="0" w:type="auto"/>
            <w:tcBorders>
              <w:tl2br w:val="nil"/>
              <w:tr2bl w:val="nil"/>
            </w:tcBorders>
            <w:shd w:val="clear" w:color="auto" w:fill="auto"/>
            <w:noWrap/>
            <w:vAlign w:val="center"/>
          </w:tcPr>
          <w:p w14:paraId="534C7EEC">
            <w:pPr>
              <w:pStyle w:val="41"/>
              <w:bidi w:val="0"/>
              <w:rPr>
                <w:rFonts w:hint="default"/>
                <w:color w:val="auto"/>
                <w:highlight w:val="none"/>
              </w:rPr>
            </w:pPr>
            <w:r>
              <w:rPr>
                <w:rFonts w:hint="default"/>
                <w:color w:val="auto"/>
                <w:highlight w:val="none"/>
                <w:lang w:val="en-US" w:eastAsia="zh-CN"/>
              </w:rPr>
              <w:t>20</w:t>
            </w:r>
          </w:p>
        </w:tc>
      </w:tr>
      <w:tr w14:paraId="7FBED8F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2913DD0F">
            <w:pPr>
              <w:pStyle w:val="41"/>
              <w:bidi w:val="0"/>
              <w:rPr>
                <w:rFonts w:hint="default"/>
                <w:color w:val="auto"/>
                <w:highlight w:val="none"/>
              </w:rPr>
            </w:pPr>
            <w:r>
              <w:rPr>
                <w:rFonts w:hint="default"/>
                <w:color w:val="auto"/>
                <w:highlight w:val="none"/>
                <w:lang w:val="en-US" w:eastAsia="zh-CN"/>
              </w:rPr>
              <w:t>13</w:t>
            </w:r>
          </w:p>
        </w:tc>
        <w:tc>
          <w:tcPr>
            <w:tcW w:w="0" w:type="auto"/>
            <w:tcBorders>
              <w:tl2br w:val="nil"/>
              <w:tr2bl w:val="nil"/>
            </w:tcBorders>
            <w:shd w:val="clear" w:color="auto" w:fill="auto"/>
            <w:noWrap/>
            <w:vAlign w:val="center"/>
          </w:tcPr>
          <w:p w14:paraId="737E0109">
            <w:pPr>
              <w:pStyle w:val="41"/>
              <w:bidi w:val="0"/>
              <w:rPr>
                <w:rFonts w:hint="default"/>
                <w:color w:val="auto"/>
                <w:highlight w:val="none"/>
              </w:rPr>
            </w:pPr>
            <w:r>
              <w:rPr>
                <w:rFonts w:hint="default"/>
                <w:color w:val="auto"/>
                <w:highlight w:val="none"/>
                <w:lang w:val="en-US" w:eastAsia="zh-CN"/>
              </w:rPr>
              <w:t>2</w:t>
            </w:r>
            <w:r>
              <w:rPr>
                <w:color w:val="auto"/>
                <w:highlight w:val="none"/>
                <w:lang w:val="en-US" w:eastAsia="zh-CN"/>
              </w:rPr>
              <w:t>号干抛磁选车间</w:t>
            </w:r>
          </w:p>
        </w:tc>
        <w:tc>
          <w:tcPr>
            <w:tcW w:w="0" w:type="auto"/>
            <w:tcBorders>
              <w:tl2br w:val="nil"/>
              <w:tr2bl w:val="nil"/>
            </w:tcBorders>
            <w:shd w:val="clear" w:color="auto" w:fill="auto"/>
            <w:noWrap/>
            <w:vAlign w:val="center"/>
          </w:tcPr>
          <w:p w14:paraId="009E5119">
            <w:pPr>
              <w:pStyle w:val="41"/>
              <w:bidi w:val="0"/>
              <w:rPr>
                <w:rFonts w:hint="default"/>
                <w:color w:val="auto"/>
                <w:highlight w:val="none"/>
              </w:rPr>
            </w:pPr>
            <w:r>
              <w:rPr>
                <w:rFonts w:hint="default"/>
                <w:color w:val="auto"/>
                <w:highlight w:val="none"/>
                <w:lang w:val="en-US" w:eastAsia="zh-CN"/>
              </w:rPr>
              <w:t>15</w:t>
            </w:r>
          </w:p>
        </w:tc>
        <w:tc>
          <w:tcPr>
            <w:tcW w:w="0" w:type="auto"/>
            <w:tcBorders>
              <w:tl2br w:val="nil"/>
              <w:tr2bl w:val="nil"/>
            </w:tcBorders>
            <w:shd w:val="clear" w:color="auto" w:fill="auto"/>
            <w:noWrap/>
            <w:vAlign w:val="center"/>
          </w:tcPr>
          <w:p w14:paraId="64CC681E">
            <w:pPr>
              <w:pStyle w:val="41"/>
              <w:bidi w:val="0"/>
              <w:rPr>
                <w:rFonts w:hint="default"/>
                <w:color w:val="auto"/>
                <w:highlight w:val="none"/>
              </w:rPr>
            </w:pPr>
            <w:r>
              <w:rPr>
                <w:rFonts w:hint="default"/>
                <w:color w:val="auto"/>
                <w:highlight w:val="none"/>
                <w:lang w:val="en-US" w:eastAsia="zh-CN"/>
              </w:rPr>
              <w:t>34</w:t>
            </w:r>
          </w:p>
        </w:tc>
        <w:tc>
          <w:tcPr>
            <w:tcW w:w="0" w:type="auto"/>
            <w:tcBorders>
              <w:tl2br w:val="nil"/>
              <w:tr2bl w:val="nil"/>
            </w:tcBorders>
            <w:shd w:val="clear" w:color="auto" w:fill="auto"/>
            <w:noWrap/>
            <w:vAlign w:val="center"/>
          </w:tcPr>
          <w:p w14:paraId="4290CEE9">
            <w:pPr>
              <w:pStyle w:val="41"/>
              <w:bidi w:val="0"/>
              <w:rPr>
                <w:rFonts w:hint="default"/>
                <w:color w:val="auto"/>
                <w:highlight w:val="none"/>
              </w:rPr>
            </w:pPr>
            <w:r>
              <w:rPr>
                <w:rFonts w:hint="default"/>
                <w:color w:val="auto"/>
                <w:highlight w:val="none"/>
                <w:lang w:val="en-US" w:eastAsia="zh-CN"/>
              </w:rPr>
              <w:t>510</w:t>
            </w:r>
          </w:p>
        </w:tc>
        <w:tc>
          <w:tcPr>
            <w:tcW w:w="0" w:type="auto"/>
            <w:tcBorders>
              <w:tl2br w:val="nil"/>
              <w:tr2bl w:val="nil"/>
            </w:tcBorders>
            <w:shd w:val="clear" w:color="auto" w:fill="auto"/>
            <w:noWrap/>
            <w:vAlign w:val="center"/>
          </w:tcPr>
          <w:p w14:paraId="689DC8B5">
            <w:pPr>
              <w:pStyle w:val="41"/>
              <w:bidi w:val="0"/>
              <w:rPr>
                <w:rFonts w:hint="default"/>
                <w:color w:val="auto"/>
                <w:highlight w:val="none"/>
              </w:rPr>
            </w:pPr>
            <w:r>
              <w:rPr>
                <w:rFonts w:hint="default"/>
                <w:color w:val="auto"/>
                <w:highlight w:val="none"/>
                <w:lang w:val="en-US" w:eastAsia="zh-CN"/>
              </w:rPr>
              <w:t>26</w:t>
            </w:r>
          </w:p>
        </w:tc>
      </w:tr>
      <w:tr w14:paraId="492C64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7F32E28B">
            <w:pPr>
              <w:pStyle w:val="41"/>
              <w:bidi w:val="0"/>
              <w:rPr>
                <w:rFonts w:hint="default"/>
                <w:color w:val="auto"/>
                <w:highlight w:val="none"/>
              </w:rPr>
            </w:pPr>
            <w:r>
              <w:rPr>
                <w:rFonts w:hint="default"/>
                <w:color w:val="auto"/>
                <w:highlight w:val="none"/>
                <w:lang w:val="en-US" w:eastAsia="zh-CN"/>
              </w:rPr>
              <w:t>14</w:t>
            </w:r>
          </w:p>
        </w:tc>
        <w:tc>
          <w:tcPr>
            <w:tcW w:w="0" w:type="auto"/>
            <w:tcBorders>
              <w:tl2br w:val="nil"/>
              <w:tr2bl w:val="nil"/>
            </w:tcBorders>
            <w:shd w:val="clear" w:color="auto" w:fill="auto"/>
            <w:noWrap/>
            <w:vAlign w:val="center"/>
          </w:tcPr>
          <w:p w14:paraId="3461ADB9">
            <w:pPr>
              <w:pStyle w:val="41"/>
              <w:bidi w:val="0"/>
              <w:rPr>
                <w:rFonts w:hint="eastAsia"/>
                <w:color w:val="auto"/>
                <w:highlight w:val="none"/>
              </w:rPr>
            </w:pPr>
            <w:r>
              <w:rPr>
                <w:rFonts w:hint="eastAsia"/>
                <w:color w:val="auto"/>
                <w:highlight w:val="none"/>
                <w:lang w:val="en-US" w:eastAsia="zh-CN"/>
              </w:rPr>
              <w:t>干抛废石临时堆库</w:t>
            </w:r>
          </w:p>
        </w:tc>
        <w:tc>
          <w:tcPr>
            <w:tcW w:w="0" w:type="auto"/>
            <w:tcBorders>
              <w:tl2br w:val="nil"/>
              <w:tr2bl w:val="nil"/>
            </w:tcBorders>
            <w:shd w:val="clear" w:color="auto" w:fill="auto"/>
            <w:noWrap/>
            <w:vAlign w:val="center"/>
          </w:tcPr>
          <w:p w14:paraId="68495041">
            <w:pPr>
              <w:pStyle w:val="41"/>
              <w:bidi w:val="0"/>
              <w:rPr>
                <w:rFonts w:hint="default"/>
                <w:color w:val="auto"/>
                <w:highlight w:val="none"/>
              </w:rPr>
            </w:pPr>
            <w:r>
              <w:rPr>
                <w:rFonts w:hint="default"/>
                <w:color w:val="auto"/>
                <w:highlight w:val="none"/>
                <w:lang w:val="en-US" w:eastAsia="zh-CN"/>
              </w:rPr>
              <w:t>35</w:t>
            </w:r>
          </w:p>
        </w:tc>
        <w:tc>
          <w:tcPr>
            <w:tcW w:w="0" w:type="auto"/>
            <w:tcBorders>
              <w:tl2br w:val="nil"/>
              <w:tr2bl w:val="nil"/>
            </w:tcBorders>
            <w:shd w:val="clear" w:color="auto" w:fill="auto"/>
            <w:noWrap/>
            <w:vAlign w:val="center"/>
          </w:tcPr>
          <w:p w14:paraId="4A1BE6B4">
            <w:pPr>
              <w:pStyle w:val="41"/>
              <w:bidi w:val="0"/>
              <w:rPr>
                <w:rFonts w:hint="default"/>
                <w:color w:val="auto"/>
                <w:highlight w:val="none"/>
              </w:rPr>
            </w:pPr>
            <w:r>
              <w:rPr>
                <w:rFonts w:hint="default"/>
                <w:color w:val="auto"/>
                <w:highlight w:val="none"/>
                <w:lang w:val="en-US" w:eastAsia="zh-CN"/>
              </w:rPr>
              <w:t>85</w:t>
            </w:r>
          </w:p>
        </w:tc>
        <w:tc>
          <w:tcPr>
            <w:tcW w:w="0" w:type="auto"/>
            <w:tcBorders>
              <w:tl2br w:val="nil"/>
              <w:tr2bl w:val="nil"/>
            </w:tcBorders>
            <w:shd w:val="clear" w:color="auto" w:fill="auto"/>
            <w:noWrap/>
            <w:vAlign w:val="center"/>
          </w:tcPr>
          <w:p w14:paraId="10EA8D40">
            <w:pPr>
              <w:pStyle w:val="41"/>
              <w:bidi w:val="0"/>
              <w:rPr>
                <w:rFonts w:hint="default"/>
                <w:color w:val="auto"/>
                <w:highlight w:val="none"/>
              </w:rPr>
            </w:pPr>
            <w:r>
              <w:rPr>
                <w:rFonts w:hint="default"/>
                <w:color w:val="auto"/>
                <w:highlight w:val="none"/>
                <w:lang w:val="en-US" w:eastAsia="zh-CN"/>
              </w:rPr>
              <w:t>2975</w:t>
            </w:r>
          </w:p>
        </w:tc>
        <w:tc>
          <w:tcPr>
            <w:tcW w:w="0" w:type="auto"/>
            <w:tcBorders>
              <w:tl2br w:val="nil"/>
              <w:tr2bl w:val="nil"/>
            </w:tcBorders>
            <w:shd w:val="clear" w:color="auto" w:fill="auto"/>
            <w:noWrap/>
            <w:vAlign w:val="center"/>
          </w:tcPr>
          <w:p w14:paraId="304D6376">
            <w:pPr>
              <w:pStyle w:val="41"/>
              <w:bidi w:val="0"/>
              <w:rPr>
                <w:rFonts w:hint="default"/>
                <w:color w:val="auto"/>
                <w:highlight w:val="none"/>
              </w:rPr>
            </w:pPr>
            <w:r>
              <w:rPr>
                <w:rFonts w:hint="default"/>
                <w:color w:val="auto"/>
                <w:highlight w:val="none"/>
                <w:lang w:val="en-US" w:eastAsia="zh-CN"/>
              </w:rPr>
              <w:t>10</w:t>
            </w:r>
          </w:p>
        </w:tc>
      </w:tr>
      <w:tr w14:paraId="4B741A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0CA5B9F7">
            <w:pPr>
              <w:pStyle w:val="41"/>
              <w:bidi w:val="0"/>
              <w:rPr>
                <w:rFonts w:hint="default"/>
                <w:color w:val="auto"/>
                <w:highlight w:val="none"/>
              </w:rPr>
            </w:pPr>
            <w:r>
              <w:rPr>
                <w:rFonts w:hint="default"/>
                <w:color w:val="auto"/>
                <w:highlight w:val="none"/>
                <w:lang w:val="en-US" w:eastAsia="zh-CN"/>
              </w:rPr>
              <w:t>15</w:t>
            </w:r>
          </w:p>
        </w:tc>
        <w:tc>
          <w:tcPr>
            <w:tcW w:w="0" w:type="auto"/>
            <w:tcBorders>
              <w:tl2br w:val="nil"/>
              <w:tr2bl w:val="nil"/>
            </w:tcBorders>
            <w:shd w:val="clear" w:color="auto" w:fill="auto"/>
            <w:noWrap/>
            <w:vAlign w:val="center"/>
          </w:tcPr>
          <w:p w14:paraId="619ACE41">
            <w:pPr>
              <w:pStyle w:val="41"/>
              <w:bidi w:val="0"/>
              <w:rPr>
                <w:rFonts w:hint="eastAsia"/>
                <w:color w:val="auto"/>
                <w:highlight w:val="none"/>
              </w:rPr>
            </w:pPr>
            <w:r>
              <w:rPr>
                <w:rFonts w:hint="eastAsia"/>
                <w:color w:val="auto"/>
                <w:highlight w:val="none"/>
                <w:lang w:val="en-US" w:eastAsia="zh-CN"/>
              </w:rPr>
              <w:t>变电站</w:t>
            </w:r>
          </w:p>
        </w:tc>
        <w:tc>
          <w:tcPr>
            <w:tcW w:w="0" w:type="auto"/>
            <w:tcBorders>
              <w:tl2br w:val="nil"/>
              <w:tr2bl w:val="nil"/>
            </w:tcBorders>
            <w:shd w:val="clear" w:color="auto" w:fill="auto"/>
            <w:noWrap/>
            <w:vAlign w:val="center"/>
          </w:tcPr>
          <w:p w14:paraId="07C84FFF">
            <w:pPr>
              <w:pStyle w:val="41"/>
              <w:bidi w:val="0"/>
              <w:rPr>
                <w:rFonts w:hint="default"/>
                <w:color w:val="auto"/>
                <w:highlight w:val="none"/>
              </w:rPr>
            </w:pPr>
            <w:r>
              <w:rPr>
                <w:rFonts w:hint="default"/>
                <w:color w:val="auto"/>
                <w:highlight w:val="none"/>
                <w:lang w:val="en-US" w:eastAsia="zh-CN"/>
              </w:rPr>
              <w:t>36.21</w:t>
            </w:r>
          </w:p>
        </w:tc>
        <w:tc>
          <w:tcPr>
            <w:tcW w:w="0" w:type="auto"/>
            <w:tcBorders>
              <w:tl2br w:val="nil"/>
              <w:tr2bl w:val="nil"/>
            </w:tcBorders>
            <w:shd w:val="clear" w:color="auto" w:fill="auto"/>
            <w:noWrap/>
            <w:vAlign w:val="center"/>
          </w:tcPr>
          <w:p w14:paraId="2DE51AB8">
            <w:pPr>
              <w:pStyle w:val="41"/>
              <w:bidi w:val="0"/>
              <w:rPr>
                <w:rFonts w:hint="default"/>
                <w:color w:val="auto"/>
                <w:highlight w:val="none"/>
              </w:rPr>
            </w:pPr>
            <w:r>
              <w:rPr>
                <w:rFonts w:hint="default"/>
                <w:color w:val="auto"/>
                <w:highlight w:val="none"/>
                <w:lang w:val="en-US" w:eastAsia="zh-CN"/>
              </w:rPr>
              <w:t>40</w:t>
            </w:r>
          </w:p>
        </w:tc>
        <w:tc>
          <w:tcPr>
            <w:tcW w:w="0" w:type="auto"/>
            <w:tcBorders>
              <w:tl2br w:val="nil"/>
              <w:tr2bl w:val="nil"/>
            </w:tcBorders>
            <w:shd w:val="clear" w:color="auto" w:fill="auto"/>
            <w:noWrap/>
            <w:vAlign w:val="center"/>
          </w:tcPr>
          <w:p w14:paraId="7679D1CB">
            <w:pPr>
              <w:pStyle w:val="41"/>
              <w:bidi w:val="0"/>
              <w:rPr>
                <w:rFonts w:hint="default"/>
                <w:color w:val="auto"/>
                <w:highlight w:val="none"/>
              </w:rPr>
            </w:pPr>
            <w:r>
              <w:rPr>
                <w:rFonts w:hint="default"/>
                <w:color w:val="auto"/>
                <w:highlight w:val="none"/>
                <w:lang w:val="en-US" w:eastAsia="zh-CN"/>
              </w:rPr>
              <w:t>1448.4</w:t>
            </w:r>
          </w:p>
        </w:tc>
        <w:tc>
          <w:tcPr>
            <w:tcW w:w="0" w:type="auto"/>
            <w:tcBorders>
              <w:tl2br w:val="nil"/>
              <w:tr2bl w:val="nil"/>
            </w:tcBorders>
            <w:shd w:val="clear" w:color="auto" w:fill="auto"/>
            <w:noWrap/>
            <w:vAlign w:val="center"/>
          </w:tcPr>
          <w:p w14:paraId="18EC4D5D">
            <w:pPr>
              <w:pStyle w:val="41"/>
              <w:bidi w:val="0"/>
              <w:rPr>
                <w:rFonts w:hint="eastAsia"/>
                <w:color w:val="auto"/>
                <w:highlight w:val="none"/>
              </w:rPr>
            </w:pPr>
          </w:p>
        </w:tc>
      </w:tr>
      <w:tr w14:paraId="5EB8C9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27DF36C4">
            <w:pPr>
              <w:pStyle w:val="41"/>
              <w:bidi w:val="0"/>
              <w:rPr>
                <w:rFonts w:hint="default"/>
                <w:color w:val="auto"/>
                <w:highlight w:val="none"/>
              </w:rPr>
            </w:pPr>
            <w:r>
              <w:rPr>
                <w:rFonts w:hint="default"/>
                <w:color w:val="auto"/>
                <w:highlight w:val="none"/>
                <w:lang w:val="en-US" w:eastAsia="zh-CN"/>
              </w:rPr>
              <w:t>16</w:t>
            </w:r>
          </w:p>
        </w:tc>
        <w:tc>
          <w:tcPr>
            <w:tcW w:w="0" w:type="auto"/>
            <w:tcBorders>
              <w:tl2br w:val="nil"/>
              <w:tr2bl w:val="nil"/>
            </w:tcBorders>
            <w:shd w:val="clear" w:color="auto" w:fill="auto"/>
            <w:noWrap/>
            <w:vAlign w:val="center"/>
          </w:tcPr>
          <w:p w14:paraId="08348EEA">
            <w:pPr>
              <w:pStyle w:val="41"/>
              <w:bidi w:val="0"/>
              <w:rPr>
                <w:rFonts w:hint="eastAsia"/>
                <w:color w:val="auto"/>
                <w:highlight w:val="none"/>
              </w:rPr>
            </w:pPr>
            <w:r>
              <w:rPr>
                <w:rFonts w:hint="eastAsia"/>
                <w:color w:val="auto"/>
                <w:highlight w:val="none"/>
                <w:lang w:val="en-US" w:eastAsia="zh-CN"/>
              </w:rPr>
              <w:t>配电室</w:t>
            </w:r>
          </w:p>
        </w:tc>
        <w:tc>
          <w:tcPr>
            <w:tcW w:w="0" w:type="auto"/>
            <w:tcBorders>
              <w:tl2br w:val="nil"/>
              <w:tr2bl w:val="nil"/>
            </w:tcBorders>
            <w:shd w:val="clear" w:color="auto" w:fill="auto"/>
            <w:noWrap/>
            <w:vAlign w:val="center"/>
          </w:tcPr>
          <w:p w14:paraId="5A369717">
            <w:pPr>
              <w:pStyle w:val="41"/>
              <w:bidi w:val="0"/>
              <w:rPr>
                <w:rFonts w:hint="default"/>
                <w:color w:val="auto"/>
                <w:highlight w:val="none"/>
              </w:rPr>
            </w:pPr>
            <w:r>
              <w:rPr>
                <w:rFonts w:hint="default"/>
                <w:color w:val="auto"/>
                <w:highlight w:val="none"/>
                <w:lang w:val="en-US" w:eastAsia="zh-CN"/>
              </w:rPr>
              <w:t>7.5</w:t>
            </w:r>
          </w:p>
        </w:tc>
        <w:tc>
          <w:tcPr>
            <w:tcW w:w="0" w:type="auto"/>
            <w:tcBorders>
              <w:tl2br w:val="nil"/>
              <w:tr2bl w:val="nil"/>
            </w:tcBorders>
            <w:shd w:val="clear" w:color="auto" w:fill="auto"/>
            <w:noWrap/>
            <w:vAlign w:val="center"/>
          </w:tcPr>
          <w:p w14:paraId="39712C2C">
            <w:pPr>
              <w:pStyle w:val="41"/>
              <w:bidi w:val="0"/>
              <w:rPr>
                <w:rFonts w:hint="default"/>
                <w:color w:val="auto"/>
                <w:highlight w:val="none"/>
              </w:rPr>
            </w:pPr>
            <w:r>
              <w:rPr>
                <w:rFonts w:hint="default"/>
                <w:color w:val="auto"/>
                <w:highlight w:val="none"/>
                <w:lang w:val="en-US" w:eastAsia="zh-CN"/>
              </w:rPr>
              <w:t>23.4</w:t>
            </w:r>
          </w:p>
        </w:tc>
        <w:tc>
          <w:tcPr>
            <w:tcW w:w="0" w:type="auto"/>
            <w:tcBorders>
              <w:tl2br w:val="nil"/>
              <w:tr2bl w:val="nil"/>
            </w:tcBorders>
            <w:shd w:val="clear" w:color="auto" w:fill="auto"/>
            <w:noWrap/>
            <w:vAlign w:val="center"/>
          </w:tcPr>
          <w:p w14:paraId="39D37833">
            <w:pPr>
              <w:pStyle w:val="41"/>
              <w:bidi w:val="0"/>
              <w:rPr>
                <w:rFonts w:hint="default"/>
                <w:color w:val="auto"/>
                <w:highlight w:val="none"/>
              </w:rPr>
            </w:pPr>
            <w:r>
              <w:rPr>
                <w:rFonts w:hint="default"/>
                <w:color w:val="auto"/>
                <w:highlight w:val="none"/>
                <w:lang w:val="en-US" w:eastAsia="zh-CN"/>
              </w:rPr>
              <w:t>175.5</w:t>
            </w:r>
          </w:p>
        </w:tc>
        <w:tc>
          <w:tcPr>
            <w:tcW w:w="0" w:type="auto"/>
            <w:tcBorders>
              <w:tl2br w:val="nil"/>
              <w:tr2bl w:val="nil"/>
            </w:tcBorders>
            <w:shd w:val="clear" w:color="auto" w:fill="auto"/>
            <w:noWrap/>
            <w:vAlign w:val="center"/>
          </w:tcPr>
          <w:p w14:paraId="23187325">
            <w:pPr>
              <w:pStyle w:val="41"/>
              <w:bidi w:val="0"/>
              <w:rPr>
                <w:rFonts w:hint="default"/>
                <w:color w:val="auto"/>
                <w:highlight w:val="none"/>
              </w:rPr>
            </w:pPr>
            <w:r>
              <w:rPr>
                <w:rFonts w:hint="default"/>
                <w:color w:val="auto"/>
                <w:highlight w:val="none"/>
                <w:lang w:val="en-US" w:eastAsia="zh-CN"/>
              </w:rPr>
              <w:t>3.5</w:t>
            </w:r>
          </w:p>
        </w:tc>
      </w:tr>
      <w:tr w14:paraId="1856814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6911E52A">
            <w:pPr>
              <w:pStyle w:val="41"/>
              <w:bidi w:val="0"/>
              <w:rPr>
                <w:rFonts w:hint="default"/>
                <w:color w:val="auto"/>
                <w:highlight w:val="none"/>
              </w:rPr>
            </w:pPr>
            <w:r>
              <w:rPr>
                <w:rFonts w:hint="default"/>
                <w:color w:val="auto"/>
                <w:highlight w:val="none"/>
                <w:lang w:val="en-US" w:eastAsia="zh-CN"/>
              </w:rPr>
              <w:t>17</w:t>
            </w:r>
          </w:p>
        </w:tc>
        <w:tc>
          <w:tcPr>
            <w:tcW w:w="0" w:type="auto"/>
            <w:tcBorders>
              <w:tl2br w:val="nil"/>
              <w:tr2bl w:val="nil"/>
            </w:tcBorders>
            <w:shd w:val="clear" w:color="auto" w:fill="auto"/>
            <w:noWrap/>
            <w:vAlign w:val="center"/>
          </w:tcPr>
          <w:p w14:paraId="751D7E3A">
            <w:pPr>
              <w:pStyle w:val="41"/>
              <w:bidi w:val="0"/>
              <w:rPr>
                <w:rFonts w:hint="default"/>
                <w:color w:val="auto"/>
                <w:highlight w:val="none"/>
              </w:rPr>
            </w:pPr>
            <w:r>
              <w:rPr>
                <w:rFonts w:hint="default"/>
                <w:color w:val="auto"/>
                <w:highlight w:val="none"/>
                <w:lang w:val="en-US" w:eastAsia="zh-CN"/>
              </w:rPr>
              <w:t>1</w:t>
            </w:r>
            <w:r>
              <w:rPr>
                <w:color w:val="auto"/>
                <w:highlight w:val="none"/>
                <w:lang w:val="en-US" w:eastAsia="zh-CN"/>
              </w:rPr>
              <w:t>号磨选过滤车间</w:t>
            </w:r>
          </w:p>
        </w:tc>
        <w:tc>
          <w:tcPr>
            <w:tcW w:w="0" w:type="auto"/>
            <w:tcBorders>
              <w:tl2br w:val="nil"/>
              <w:tr2bl w:val="nil"/>
            </w:tcBorders>
            <w:shd w:val="clear" w:color="auto" w:fill="auto"/>
            <w:noWrap/>
            <w:vAlign w:val="center"/>
          </w:tcPr>
          <w:p w14:paraId="36B46D29">
            <w:pPr>
              <w:pStyle w:val="41"/>
              <w:bidi w:val="0"/>
              <w:rPr>
                <w:rFonts w:hint="default"/>
                <w:color w:val="auto"/>
                <w:highlight w:val="none"/>
              </w:rPr>
            </w:pPr>
            <w:r>
              <w:rPr>
                <w:rFonts w:hint="default"/>
                <w:color w:val="auto"/>
                <w:highlight w:val="none"/>
                <w:lang w:val="en-US" w:eastAsia="zh-CN"/>
              </w:rPr>
              <w:t>29.38</w:t>
            </w:r>
          </w:p>
        </w:tc>
        <w:tc>
          <w:tcPr>
            <w:tcW w:w="0" w:type="auto"/>
            <w:tcBorders>
              <w:tl2br w:val="nil"/>
              <w:tr2bl w:val="nil"/>
            </w:tcBorders>
            <w:shd w:val="clear" w:color="auto" w:fill="auto"/>
            <w:noWrap/>
            <w:vAlign w:val="center"/>
          </w:tcPr>
          <w:p w14:paraId="4E57C9F7">
            <w:pPr>
              <w:pStyle w:val="41"/>
              <w:bidi w:val="0"/>
              <w:rPr>
                <w:rFonts w:hint="default"/>
                <w:color w:val="auto"/>
                <w:highlight w:val="none"/>
              </w:rPr>
            </w:pPr>
            <w:r>
              <w:rPr>
                <w:rFonts w:hint="default"/>
                <w:color w:val="auto"/>
                <w:highlight w:val="none"/>
                <w:lang w:val="en-US" w:eastAsia="zh-CN"/>
              </w:rPr>
              <w:t>36</w:t>
            </w:r>
          </w:p>
        </w:tc>
        <w:tc>
          <w:tcPr>
            <w:tcW w:w="0" w:type="auto"/>
            <w:tcBorders>
              <w:tl2br w:val="nil"/>
              <w:tr2bl w:val="nil"/>
            </w:tcBorders>
            <w:shd w:val="clear" w:color="auto" w:fill="auto"/>
            <w:noWrap/>
            <w:vAlign w:val="center"/>
          </w:tcPr>
          <w:p w14:paraId="2CAD3F15">
            <w:pPr>
              <w:pStyle w:val="41"/>
              <w:bidi w:val="0"/>
              <w:rPr>
                <w:rFonts w:hint="default"/>
                <w:color w:val="auto"/>
                <w:highlight w:val="none"/>
              </w:rPr>
            </w:pPr>
            <w:r>
              <w:rPr>
                <w:rFonts w:hint="default"/>
                <w:color w:val="auto"/>
                <w:highlight w:val="none"/>
                <w:lang w:val="en-US" w:eastAsia="zh-CN"/>
              </w:rPr>
              <w:t>1057.68</w:t>
            </w:r>
          </w:p>
        </w:tc>
        <w:tc>
          <w:tcPr>
            <w:tcW w:w="0" w:type="auto"/>
            <w:tcBorders>
              <w:tl2br w:val="nil"/>
              <w:tr2bl w:val="nil"/>
            </w:tcBorders>
            <w:shd w:val="clear" w:color="auto" w:fill="auto"/>
            <w:noWrap/>
            <w:vAlign w:val="center"/>
          </w:tcPr>
          <w:p w14:paraId="57547CDC">
            <w:pPr>
              <w:pStyle w:val="41"/>
              <w:bidi w:val="0"/>
              <w:rPr>
                <w:rFonts w:hint="default"/>
                <w:color w:val="auto"/>
                <w:highlight w:val="none"/>
              </w:rPr>
            </w:pPr>
            <w:r>
              <w:rPr>
                <w:rFonts w:hint="default"/>
                <w:color w:val="auto"/>
                <w:highlight w:val="none"/>
                <w:lang w:val="en-US" w:eastAsia="zh-CN"/>
              </w:rPr>
              <w:t>22</w:t>
            </w:r>
          </w:p>
        </w:tc>
      </w:tr>
      <w:tr w14:paraId="5AF667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4FD8186B">
            <w:pPr>
              <w:pStyle w:val="41"/>
              <w:bidi w:val="0"/>
              <w:rPr>
                <w:rFonts w:hint="default"/>
                <w:color w:val="auto"/>
                <w:highlight w:val="none"/>
              </w:rPr>
            </w:pPr>
            <w:r>
              <w:rPr>
                <w:rFonts w:hint="default"/>
                <w:color w:val="auto"/>
                <w:highlight w:val="none"/>
                <w:lang w:val="en-US" w:eastAsia="zh-CN"/>
              </w:rPr>
              <w:t>18</w:t>
            </w:r>
          </w:p>
        </w:tc>
        <w:tc>
          <w:tcPr>
            <w:tcW w:w="0" w:type="auto"/>
            <w:tcBorders>
              <w:tl2br w:val="nil"/>
              <w:tr2bl w:val="nil"/>
            </w:tcBorders>
            <w:shd w:val="clear" w:color="auto" w:fill="auto"/>
            <w:noWrap/>
            <w:vAlign w:val="center"/>
          </w:tcPr>
          <w:p w14:paraId="6AE0D1CB">
            <w:pPr>
              <w:pStyle w:val="41"/>
              <w:bidi w:val="0"/>
              <w:rPr>
                <w:rFonts w:hint="default"/>
                <w:color w:val="auto"/>
                <w:highlight w:val="none"/>
              </w:rPr>
            </w:pPr>
            <w:r>
              <w:rPr>
                <w:rFonts w:hint="default"/>
                <w:color w:val="auto"/>
                <w:highlight w:val="none"/>
                <w:lang w:val="en-US" w:eastAsia="zh-CN"/>
              </w:rPr>
              <w:t>2</w:t>
            </w:r>
            <w:r>
              <w:rPr>
                <w:color w:val="auto"/>
                <w:highlight w:val="none"/>
                <w:lang w:val="en-US" w:eastAsia="zh-CN"/>
              </w:rPr>
              <w:t>号磨选过滤车间</w:t>
            </w:r>
          </w:p>
        </w:tc>
        <w:tc>
          <w:tcPr>
            <w:tcW w:w="0" w:type="auto"/>
            <w:tcBorders>
              <w:tl2br w:val="nil"/>
              <w:tr2bl w:val="nil"/>
            </w:tcBorders>
            <w:shd w:val="clear" w:color="auto" w:fill="auto"/>
            <w:noWrap/>
            <w:vAlign w:val="center"/>
          </w:tcPr>
          <w:p w14:paraId="5223C39F">
            <w:pPr>
              <w:pStyle w:val="41"/>
              <w:bidi w:val="0"/>
              <w:rPr>
                <w:rFonts w:hint="default"/>
                <w:color w:val="auto"/>
                <w:highlight w:val="none"/>
              </w:rPr>
            </w:pPr>
            <w:r>
              <w:rPr>
                <w:rFonts w:hint="default"/>
                <w:color w:val="auto"/>
                <w:highlight w:val="none"/>
                <w:lang w:val="en-US" w:eastAsia="zh-CN"/>
              </w:rPr>
              <w:t>35.1</w:t>
            </w:r>
          </w:p>
        </w:tc>
        <w:tc>
          <w:tcPr>
            <w:tcW w:w="0" w:type="auto"/>
            <w:tcBorders>
              <w:tl2br w:val="nil"/>
              <w:tr2bl w:val="nil"/>
            </w:tcBorders>
            <w:shd w:val="clear" w:color="auto" w:fill="auto"/>
            <w:noWrap/>
            <w:vAlign w:val="center"/>
          </w:tcPr>
          <w:p w14:paraId="420E295B">
            <w:pPr>
              <w:pStyle w:val="41"/>
              <w:bidi w:val="0"/>
              <w:rPr>
                <w:rFonts w:hint="default"/>
                <w:color w:val="auto"/>
                <w:highlight w:val="none"/>
              </w:rPr>
            </w:pPr>
            <w:r>
              <w:rPr>
                <w:rFonts w:hint="default"/>
                <w:color w:val="auto"/>
                <w:highlight w:val="none"/>
                <w:lang w:val="en-US" w:eastAsia="zh-CN"/>
              </w:rPr>
              <w:t>47.2</w:t>
            </w:r>
          </w:p>
        </w:tc>
        <w:tc>
          <w:tcPr>
            <w:tcW w:w="0" w:type="auto"/>
            <w:tcBorders>
              <w:tl2br w:val="nil"/>
              <w:tr2bl w:val="nil"/>
            </w:tcBorders>
            <w:shd w:val="clear" w:color="auto" w:fill="auto"/>
            <w:noWrap/>
            <w:vAlign w:val="center"/>
          </w:tcPr>
          <w:p w14:paraId="71112CFC">
            <w:pPr>
              <w:pStyle w:val="41"/>
              <w:bidi w:val="0"/>
              <w:rPr>
                <w:rFonts w:hint="default"/>
                <w:color w:val="auto"/>
                <w:highlight w:val="none"/>
              </w:rPr>
            </w:pPr>
            <w:r>
              <w:rPr>
                <w:rFonts w:hint="default"/>
                <w:color w:val="auto"/>
                <w:highlight w:val="none"/>
                <w:lang w:val="en-US" w:eastAsia="zh-CN"/>
              </w:rPr>
              <w:t>1656.72</w:t>
            </w:r>
          </w:p>
        </w:tc>
        <w:tc>
          <w:tcPr>
            <w:tcW w:w="0" w:type="auto"/>
            <w:tcBorders>
              <w:tl2br w:val="nil"/>
              <w:tr2bl w:val="nil"/>
            </w:tcBorders>
            <w:shd w:val="clear" w:color="auto" w:fill="auto"/>
            <w:noWrap/>
            <w:vAlign w:val="center"/>
          </w:tcPr>
          <w:p w14:paraId="2F351E1D">
            <w:pPr>
              <w:pStyle w:val="41"/>
              <w:bidi w:val="0"/>
              <w:rPr>
                <w:rFonts w:hint="default"/>
                <w:color w:val="auto"/>
                <w:highlight w:val="none"/>
              </w:rPr>
            </w:pPr>
            <w:r>
              <w:rPr>
                <w:rFonts w:hint="default"/>
                <w:color w:val="auto"/>
                <w:highlight w:val="none"/>
                <w:lang w:val="en-US" w:eastAsia="zh-CN"/>
              </w:rPr>
              <w:t>22</w:t>
            </w:r>
          </w:p>
        </w:tc>
      </w:tr>
      <w:tr w14:paraId="00713F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52EA08F8">
            <w:pPr>
              <w:pStyle w:val="41"/>
              <w:bidi w:val="0"/>
              <w:rPr>
                <w:rFonts w:hint="default"/>
                <w:color w:val="auto"/>
                <w:highlight w:val="none"/>
              </w:rPr>
            </w:pPr>
            <w:r>
              <w:rPr>
                <w:rFonts w:hint="default"/>
                <w:color w:val="auto"/>
                <w:highlight w:val="none"/>
                <w:lang w:val="en-US" w:eastAsia="zh-CN"/>
              </w:rPr>
              <w:t>19</w:t>
            </w:r>
          </w:p>
        </w:tc>
        <w:tc>
          <w:tcPr>
            <w:tcW w:w="0" w:type="auto"/>
            <w:tcBorders>
              <w:tl2br w:val="nil"/>
              <w:tr2bl w:val="nil"/>
            </w:tcBorders>
            <w:shd w:val="clear" w:color="auto" w:fill="auto"/>
            <w:noWrap/>
            <w:vAlign w:val="center"/>
          </w:tcPr>
          <w:p w14:paraId="7FEF7903">
            <w:pPr>
              <w:pStyle w:val="41"/>
              <w:bidi w:val="0"/>
              <w:rPr>
                <w:rFonts w:hint="eastAsia"/>
                <w:color w:val="auto"/>
                <w:highlight w:val="none"/>
              </w:rPr>
            </w:pPr>
            <w:r>
              <w:rPr>
                <w:rFonts w:hint="eastAsia"/>
                <w:color w:val="auto"/>
                <w:highlight w:val="none"/>
                <w:lang w:val="en-US" w:eastAsia="zh-CN"/>
              </w:rPr>
              <w:t>铁精矿库</w:t>
            </w:r>
          </w:p>
        </w:tc>
        <w:tc>
          <w:tcPr>
            <w:tcW w:w="0" w:type="auto"/>
            <w:tcBorders>
              <w:tl2br w:val="nil"/>
              <w:tr2bl w:val="nil"/>
            </w:tcBorders>
            <w:shd w:val="clear" w:color="auto" w:fill="auto"/>
            <w:noWrap/>
            <w:vAlign w:val="center"/>
          </w:tcPr>
          <w:p w14:paraId="79801325">
            <w:pPr>
              <w:pStyle w:val="41"/>
              <w:bidi w:val="0"/>
              <w:rPr>
                <w:rFonts w:hint="default"/>
                <w:color w:val="auto"/>
                <w:highlight w:val="none"/>
              </w:rPr>
            </w:pPr>
            <w:r>
              <w:rPr>
                <w:rFonts w:hint="default"/>
                <w:color w:val="auto"/>
                <w:highlight w:val="none"/>
                <w:lang w:val="en-US" w:eastAsia="zh-CN"/>
              </w:rPr>
              <w:t>70</w:t>
            </w:r>
          </w:p>
        </w:tc>
        <w:tc>
          <w:tcPr>
            <w:tcW w:w="0" w:type="auto"/>
            <w:tcBorders>
              <w:tl2br w:val="nil"/>
              <w:tr2bl w:val="nil"/>
            </w:tcBorders>
            <w:shd w:val="clear" w:color="auto" w:fill="auto"/>
            <w:noWrap/>
            <w:vAlign w:val="center"/>
          </w:tcPr>
          <w:p w14:paraId="5C3DD0E4">
            <w:pPr>
              <w:pStyle w:val="41"/>
              <w:bidi w:val="0"/>
              <w:rPr>
                <w:rFonts w:hint="default"/>
                <w:color w:val="auto"/>
                <w:highlight w:val="none"/>
              </w:rPr>
            </w:pPr>
            <w:r>
              <w:rPr>
                <w:rFonts w:hint="default"/>
                <w:color w:val="auto"/>
                <w:highlight w:val="none"/>
                <w:lang w:val="en-US" w:eastAsia="zh-CN"/>
              </w:rPr>
              <w:t>80</w:t>
            </w:r>
          </w:p>
        </w:tc>
        <w:tc>
          <w:tcPr>
            <w:tcW w:w="0" w:type="auto"/>
            <w:tcBorders>
              <w:tl2br w:val="nil"/>
              <w:tr2bl w:val="nil"/>
            </w:tcBorders>
            <w:shd w:val="clear" w:color="auto" w:fill="auto"/>
            <w:noWrap/>
            <w:vAlign w:val="center"/>
          </w:tcPr>
          <w:p w14:paraId="395C5241">
            <w:pPr>
              <w:pStyle w:val="41"/>
              <w:bidi w:val="0"/>
              <w:rPr>
                <w:rFonts w:hint="default"/>
                <w:color w:val="auto"/>
                <w:highlight w:val="none"/>
              </w:rPr>
            </w:pPr>
            <w:r>
              <w:rPr>
                <w:rFonts w:hint="default"/>
                <w:color w:val="auto"/>
                <w:highlight w:val="none"/>
                <w:lang w:val="en-US" w:eastAsia="zh-CN"/>
              </w:rPr>
              <w:t>5600</w:t>
            </w:r>
          </w:p>
        </w:tc>
        <w:tc>
          <w:tcPr>
            <w:tcW w:w="0" w:type="auto"/>
            <w:tcBorders>
              <w:tl2br w:val="nil"/>
              <w:tr2bl w:val="nil"/>
            </w:tcBorders>
            <w:shd w:val="clear" w:color="auto" w:fill="auto"/>
            <w:noWrap/>
            <w:vAlign w:val="center"/>
          </w:tcPr>
          <w:p w14:paraId="733F1E1B">
            <w:pPr>
              <w:pStyle w:val="41"/>
              <w:bidi w:val="0"/>
              <w:rPr>
                <w:rFonts w:hint="default"/>
                <w:color w:val="auto"/>
                <w:highlight w:val="none"/>
              </w:rPr>
            </w:pPr>
            <w:r>
              <w:rPr>
                <w:rFonts w:hint="default"/>
                <w:color w:val="auto"/>
                <w:highlight w:val="none"/>
                <w:lang w:val="en-US" w:eastAsia="zh-CN"/>
              </w:rPr>
              <w:t>18</w:t>
            </w:r>
          </w:p>
        </w:tc>
      </w:tr>
      <w:tr w14:paraId="03077C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4041B937">
            <w:pPr>
              <w:pStyle w:val="41"/>
              <w:bidi w:val="0"/>
              <w:rPr>
                <w:rFonts w:hint="default"/>
                <w:color w:val="auto"/>
                <w:highlight w:val="none"/>
              </w:rPr>
            </w:pPr>
            <w:r>
              <w:rPr>
                <w:rFonts w:hint="default"/>
                <w:color w:val="auto"/>
                <w:highlight w:val="none"/>
                <w:lang w:val="en-US" w:eastAsia="zh-CN"/>
              </w:rPr>
              <w:t>20</w:t>
            </w:r>
          </w:p>
        </w:tc>
        <w:tc>
          <w:tcPr>
            <w:tcW w:w="0" w:type="auto"/>
            <w:tcBorders>
              <w:tl2br w:val="nil"/>
              <w:tr2bl w:val="nil"/>
            </w:tcBorders>
            <w:shd w:val="clear" w:color="auto" w:fill="auto"/>
            <w:noWrap/>
            <w:vAlign w:val="center"/>
          </w:tcPr>
          <w:p w14:paraId="7513B4A7">
            <w:pPr>
              <w:pStyle w:val="41"/>
              <w:bidi w:val="0"/>
              <w:rPr>
                <w:rFonts w:hint="default"/>
                <w:color w:val="auto"/>
                <w:highlight w:val="none"/>
              </w:rPr>
            </w:pPr>
            <w:r>
              <w:rPr>
                <w:rFonts w:hint="default"/>
                <w:color w:val="auto"/>
                <w:highlight w:val="none"/>
                <w:lang w:val="en-US" w:eastAsia="zh-CN"/>
              </w:rPr>
              <w:t>1</w:t>
            </w:r>
            <w:r>
              <w:rPr>
                <w:color w:val="auto"/>
                <w:highlight w:val="none"/>
                <w:lang w:val="en-US" w:eastAsia="zh-CN"/>
              </w:rPr>
              <w:t>号循环水池</w:t>
            </w:r>
          </w:p>
        </w:tc>
        <w:tc>
          <w:tcPr>
            <w:tcW w:w="0" w:type="auto"/>
            <w:tcBorders>
              <w:tl2br w:val="nil"/>
              <w:tr2bl w:val="nil"/>
            </w:tcBorders>
            <w:shd w:val="clear" w:color="auto" w:fill="auto"/>
            <w:noWrap/>
            <w:vAlign w:val="center"/>
          </w:tcPr>
          <w:p w14:paraId="48D949E5">
            <w:pPr>
              <w:pStyle w:val="41"/>
              <w:bidi w:val="0"/>
              <w:rPr>
                <w:rFonts w:hint="default"/>
                <w:color w:val="auto"/>
                <w:highlight w:val="none"/>
              </w:rPr>
            </w:pPr>
            <w:r>
              <w:rPr>
                <w:rFonts w:hint="default"/>
                <w:color w:val="auto"/>
                <w:highlight w:val="none"/>
                <w:lang w:val="en-US" w:eastAsia="zh-CN"/>
              </w:rPr>
              <w:t>20</w:t>
            </w:r>
          </w:p>
        </w:tc>
        <w:tc>
          <w:tcPr>
            <w:tcW w:w="0" w:type="auto"/>
            <w:tcBorders>
              <w:tl2br w:val="nil"/>
              <w:tr2bl w:val="nil"/>
            </w:tcBorders>
            <w:shd w:val="clear" w:color="auto" w:fill="auto"/>
            <w:noWrap/>
            <w:vAlign w:val="center"/>
          </w:tcPr>
          <w:p w14:paraId="5C6C2C5A">
            <w:pPr>
              <w:pStyle w:val="41"/>
              <w:bidi w:val="0"/>
              <w:rPr>
                <w:rFonts w:hint="default"/>
                <w:color w:val="auto"/>
                <w:highlight w:val="none"/>
              </w:rPr>
            </w:pPr>
            <w:r>
              <w:rPr>
                <w:rFonts w:hint="default"/>
                <w:color w:val="auto"/>
                <w:highlight w:val="none"/>
                <w:lang w:val="en-US" w:eastAsia="zh-CN"/>
              </w:rPr>
              <w:t>64</w:t>
            </w:r>
          </w:p>
        </w:tc>
        <w:tc>
          <w:tcPr>
            <w:tcW w:w="0" w:type="auto"/>
            <w:tcBorders>
              <w:tl2br w:val="nil"/>
              <w:tr2bl w:val="nil"/>
            </w:tcBorders>
            <w:shd w:val="clear" w:color="auto" w:fill="auto"/>
            <w:noWrap/>
            <w:vAlign w:val="center"/>
          </w:tcPr>
          <w:p w14:paraId="1A4C605F">
            <w:pPr>
              <w:pStyle w:val="41"/>
              <w:bidi w:val="0"/>
              <w:rPr>
                <w:rFonts w:hint="default"/>
                <w:color w:val="auto"/>
                <w:highlight w:val="none"/>
              </w:rPr>
            </w:pPr>
            <w:r>
              <w:rPr>
                <w:rFonts w:hint="default"/>
                <w:color w:val="auto"/>
                <w:highlight w:val="none"/>
                <w:lang w:val="en-US" w:eastAsia="zh-CN"/>
              </w:rPr>
              <w:t>1280</w:t>
            </w:r>
          </w:p>
        </w:tc>
        <w:tc>
          <w:tcPr>
            <w:tcW w:w="0" w:type="auto"/>
            <w:tcBorders>
              <w:tl2br w:val="nil"/>
              <w:tr2bl w:val="nil"/>
            </w:tcBorders>
            <w:shd w:val="clear" w:color="auto" w:fill="auto"/>
            <w:noWrap/>
            <w:vAlign w:val="center"/>
          </w:tcPr>
          <w:p w14:paraId="539086E8">
            <w:pPr>
              <w:pStyle w:val="41"/>
              <w:bidi w:val="0"/>
              <w:rPr>
                <w:rFonts w:hint="default"/>
                <w:color w:val="auto"/>
                <w:highlight w:val="none"/>
              </w:rPr>
            </w:pPr>
            <w:r>
              <w:rPr>
                <w:rFonts w:hint="default"/>
                <w:color w:val="auto"/>
                <w:highlight w:val="none"/>
                <w:lang w:val="en-US" w:eastAsia="zh-CN"/>
              </w:rPr>
              <w:t>-5</w:t>
            </w:r>
          </w:p>
        </w:tc>
      </w:tr>
      <w:tr w14:paraId="3A85E2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14929E87">
            <w:pPr>
              <w:pStyle w:val="41"/>
              <w:bidi w:val="0"/>
              <w:rPr>
                <w:rFonts w:hint="default"/>
                <w:color w:val="auto"/>
                <w:highlight w:val="none"/>
              </w:rPr>
            </w:pPr>
            <w:r>
              <w:rPr>
                <w:rFonts w:hint="default"/>
                <w:color w:val="auto"/>
                <w:highlight w:val="none"/>
                <w:lang w:val="en-US" w:eastAsia="zh-CN"/>
              </w:rPr>
              <w:t>21</w:t>
            </w:r>
          </w:p>
        </w:tc>
        <w:tc>
          <w:tcPr>
            <w:tcW w:w="0" w:type="auto"/>
            <w:tcBorders>
              <w:tl2br w:val="nil"/>
              <w:tr2bl w:val="nil"/>
            </w:tcBorders>
            <w:shd w:val="clear" w:color="auto" w:fill="auto"/>
            <w:noWrap/>
            <w:vAlign w:val="center"/>
          </w:tcPr>
          <w:p w14:paraId="383DA991">
            <w:pPr>
              <w:pStyle w:val="41"/>
              <w:bidi w:val="0"/>
              <w:rPr>
                <w:rFonts w:hint="default"/>
                <w:color w:val="auto"/>
                <w:highlight w:val="none"/>
              </w:rPr>
            </w:pPr>
            <w:r>
              <w:rPr>
                <w:rFonts w:hint="default"/>
                <w:color w:val="auto"/>
                <w:highlight w:val="none"/>
                <w:lang w:val="en-US" w:eastAsia="zh-CN"/>
              </w:rPr>
              <w:t>2</w:t>
            </w:r>
            <w:r>
              <w:rPr>
                <w:color w:val="auto"/>
                <w:highlight w:val="none"/>
                <w:lang w:val="en-US" w:eastAsia="zh-CN"/>
              </w:rPr>
              <w:t>号循环水池</w:t>
            </w:r>
          </w:p>
        </w:tc>
        <w:tc>
          <w:tcPr>
            <w:tcW w:w="0" w:type="auto"/>
            <w:tcBorders>
              <w:tl2br w:val="nil"/>
              <w:tr2bl w:val="nil"/>
            </w:tcBorders>
            <w:shd w:val="clear" w:color="auto" w:fill="auto"/>
            <w:noWrap/>
            <w:vAlign w:val="center"/>
          </w:tcPr>
          <w:p w14:paraId="2746DFBF">
            <w:pPr>
              <w:pStyle w:val="41"/>
              <w:bidi w:val="0"/>
              <w:rPr>
                <w:rFonts w:hint="default"/>
                <w:color w:val="auto"/>
                <w:highlight w:val="none"/>
              </w:rPr>
            </w:pPr>
            <w:r>
              <w:rPr>
                <w:rFonts w:hint="default"/>
                <w:color w:val="auto"/>
                <w:highlight w:val="none"/>
                <w:lang w:val="en-US" w:eastAsia="zh-CN"/>
              </w:rPr>
              <w:t>20</w:t>
            </w:r>
          </w:p>
        </w:tc>
        <w:tc>
          <w:tcPr>
            <w:tcW w:w="0" w:type="auto"/>
            <w:tcBorders>
              <w:tl2br w:val="nil"/>
              <w:tr2bl w:val="nil"/>
            </w:tcBorders>
            <w:shd w:val="clear" w:color="auto" w:fill="auto"/>
            <w:noWrap/>
            <w:vAlign w:val="center"/>
          </w:tcPr>
          <w:p w14:paraId="33595701">
            <w:pPr>
              <w:pStyle w:val="41"/>
              <w:bidi w:val="0"/>
              <w:rPr>
                <w:rFonts w:hint="default"/>
                <w:color w:val="auto"/>
                <w:highlight w:val="none"/>
              </w:rPr>
            </w:pPr>
            <w:r>
              <w:rPr>
                <w:rFonts w:hint="default"/>
                <w:color w:val="auto"/>
                <w:highlight w:val="none"/>
                <w:lang w:val="en-US" w:eastAsia="zh-CN"/>
              </w:rPr>
              <w:t>71.5</w:t>
            </w:r>
          </w:p>
        </w:tc>
        <w:tc>
          <w:tcPr>
            <w:tcW w:w="0" w:type="auto"/>
            <w:tcBorders>
              <w:tl2br w:val="nil"/>
              <w:tr2bl w:val="nil"/>
            </w:tcBorders>
            <w:shd w:val="clear" w:color="auto" w:fill="auto"/>
            <w:noWrap/>
            <w:vAlign w:val="center"/>
          </w:tcPr>
          <w:p w14:paraId="19D7C600">
            <w:pPr>
              <w:pStyle w:val="41"/>
              <w:bidi w:val="0"/>
              <w:rPr>
                <w:rFonts w:hint="default"/>
                <w:color w:val="auto"/>
                <w:highlight w:val="none"/>
              </w:rPr>
            </w:pPr>
            <w:r>
              <w:rPr>
                <w:rFonts w:hint="default"/>
                <w:color w:val="auto"/>
                <w:highlight w:val="none"/>
                <w:lang w:val="en-US" w:eastAsia="zh-CN"/>
              </w:rPr>
              <w:t>1430</w:t>
            </w:r>
          </w:p>
        </w:tc>
        <w:tc>
          <w:tcPr>
            <w:tcW w:w="0" w:type="auto"/>
            <w:tcBorders>
              <w:tl2br w:val="nil"/>
              <w:tr2bl w:val="nil"/>
            </w:tcBorders>
            <w:shd w:val="clear" w:color="auto" w:fill="auto"/>
            <w:noWrap/>
            <w:vAlign w:val="center"/>
          </w:tcPr>
          <w:p w14:paraId="170F339D">
            <w:pPr>
              <w:pStyle w:val="41"/>
              <w:bidi w:val="0"/>
              <w:rPr>
                <w:rFonts w:hint="default"/>
                <w:color w:val="auto"/>
                <w:highlight w:val="none"/>
              </w:rPr>
            </w:pPr>
            <w:r>
              <w:rPr>
                <w:rFonts w:hint="default"/>
                <w:color w:val="auto"/>
                <w:highlight w:val="none"/>
                <w:lang w:val="en-US" w:eastAsia="zh-CN"/>
              </w:rPr>
              <w:t>-5</w:t>
            </w:r>
          </w:p>
        </w:tc>
      </w:tr>
      <w:tr w14:paraId="5389708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43F03D1D">
            <w:pPr>
              <w:pStyle w:val="41"/>
              <w:bidi w:val="0"/>
              <w:rPr>
                <w:rFonts w:hint="default"/>
                <w:color w:val="auto"/>
                <w:highlight w:val="none"/>
              </w:rPr>
            </w:pPr>
            <w:r>
              <w:rPr>
                <w:rFonts w:hint="default"/>
                <w:color w:val="auto"/>
                <w:highlight w:val="none"/>
                <w:lang w:val="en-US" w:eastAsia="zh-CN"/>
              </w:rPr>
              <w:t>22</w:t>
            </w:r>
          </w:p>
        </w:tc>
        <w:tc>
          <w:tcPr>
            <w:tcW w:w="0" w:type="auto"/>
            <w:tcBorders>
              <w:tl2br w:val="nil"/>
              <w:tr2bl w:val="nil"/>
            </w:tcBorders>
            <w:shd w:val="clear" w:color="auto" w:fill="auto"/>
            <w:noWrap/>
            <w:vAlign w:val="center"/>
          </w:tcPr>
          <w:p w14:paraId="29E8325E">
            <w:pPr>
              <w:pStyle w:val="41"/>
              <w:bidi w:val="0"/>
              <w:rPr>
                <w:rFonts w:hint="default"/>
                <w:color w:val="auto"/>
                <w:highlight w:val="none"/>
              </w:rPr>
            </w:pPr>
            <w:r>
              <w:rPr>
                <w:rFonts w:hint="default"/>
                <w:color w:val="auto"/>
                <w:highlight w:val="none"/>
                <w:lang w:val="en-US" w:eastAsia="zh-CN"/>
              </w:rPr>
              <w:t>1</w:t>
            </w:r>
            <w:r>
              <w:rPr>
                <w:color w:val="auto"/>
                <w:highlight w:val="none"/>
                <w:lang w:val="en-US" w:eastAsia="zh-CN"/>
              </w:rPr>
              <w:t>号重选车间</w:t>
            </w:r>
          </w:p>
        </w:tc>
        <w:tc>
          <w:tcPr>
            <w:tcW w:w="0" w:type="auto"/>
            <w:tcBorders>
              <w:tl2br w:val="nil"/>
              <w:tr2bl w:val="nil"/>
            </w:tcBorders>
            <w:shd w:val="clear" w:color="auto" w:fill="auto"/>
            <w:noWrap/>
            <w:vAlign w:val="center"/>
          </w:tcPr>
          <w:p w14:paraId="5238958B">
            <w:pPr>
              <w:pStyle w:val="41"/>
              <w:bidi w:val="0"/>
              <w:rPr>
                <w:rFonts w:hint="default"/>
                <w:color w:val="auto"/>
                <w:highlight w:val="none"/>
              </w:rPr>
            </w:pPr>
            <w:r>
              <w:rPr>
                <w:rFonts w:hint="default"/>
                <w:color w:val="auto"/>
                <w:highlight w:val="none"/>
                <w:lang w:val="en-US" w:eastAsia="zh-CN"/>
              </w:rPr>
              <w:t>28</w:t>
            </w:r>
          </w:p>
        </w:tc>
        <w:tc>
          <w:tcPr>
            <w:tcW w:w="0" w:type="auto"/>
            <w:tcBorders>
              <w:tl2br w:val="nil"/>
              <w:tr2bl w:val="nil"/>
            </w:tcBorders>
            <w:shd w:val="clear" w:color="auto" w:fill="auto"/>
            <w:noWrap/>
            <w:vAlign w:val="center"/>
          </w:tcPr>
          <w:p w14:paraId="58BCC854">
            <w:pPr>
              <w:pStyle w:val="41"/>
              <w:bidi w:val="0"/>
              <w:rPr>
                <w:rFonts w:hint="default"/>
                <w:color w:val="auto"/>
                <w:highlight w:val="none"/>
              </w:rPr>
            </w:pPr>
            <w:r>
              <w:rPr>
                <w:rFonts w:hint="default"/>
                <w:color w:val="auto"/>
                <w:highlight w:val="none"/>
                <w:lang w:val="en-US" w:eastAsia="zh-CN"/>
              </w:rPr>
              <w:t>29</w:t>
            </w:r>
          </w:p>
        </w:tc>
        <w:tc>
          <w:tcPr>
            <w:tcW w:w="0" w:type="auto"/>
            <w:tcBorders>
              <w:tl2br w:val="nil"/>
              <w:tr2bl w:val="nil"/>
            </w:tcBorders>
            <w:shd w:val="clear" w:color="auto" w:fill="auto"/>
            <w:noWrap/>
            <w:vAlign w:val="center"/>
          </w:tcPr>
          <w:p w14:paraId="6B7C0FEC">
            <w:pPr>
              <w:pStyle w:val="41"/>
              <w:bidi w:val="0"/>
              <w:rPr>
                <w:rFonts w:hint="default"/>
                <w:color w:val="auto"/>
                <w:highlight w:val="none"/>
              </w:rPr>
            </w:pPr>
            <w:r>
              <w:rPr>
                <w:rFonts w:hint="default"/>
                <w:color w:val="auto"/>
                <w:highlight w:val="none"/>
                <w:lang w:val="en-US" w:eastAsia="zh-CN"/>
              </w:rPr>
              <w:t>812</w:t>
            </w:r>
          </w:p>
        </w:tc>
        <w:tc>
          <w:tcPr>
            <w:tcW w:w="0" w:type="auto"/>
            <w:tcBorders>
              <w:tl2br w:val="nil"/>
              <w:tr2bl w:val="nil"/>
            </w:tcBorders>
            <w:shd w:val="clear" w:color="auto" w:fill="auto"/>
            <w:noWrap/>
            <w:vAlign w:val="center"/>
          </w:tcPr>
          <w:p w14:paraId="38E2EB1E">
            <w:pPr>
              <w:pStyle w:val="41"/>
              <w:bidi w:val="0"/>
              <w:rPr>
                <w:rFonts w:hint="default"/>
                <w:color w:val="auto"/>
                <w:highlight w:val="none"/>
              </w:rPr>
            </w:pPr>
            <w:r>
              <w:rPr>
                <w:rFonts w:hint="default"/>
                <w:color w:val="auto"/>
                <w:highlight w:val="none"/>
                <w:lang w:val="en-US" w:eastAsia="zh-CN"/>
              </w:rPr>
              <w:t>22</w:t>
            </w:r>
          </w:p>
        </w:tc>
      </w:tr>
      <w:tr w14:paraId="0AD311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7AAE0D70">
            <w:pPr>
              <w:pStyle w:val="41"/>
              <w:bidi w:val="0"/>
              <w:rPr>
                <w:rFonts w:hint="default"/>
                <w:color w:val="auto"/>
                <w:highlight w:val="none"/>
              </w:rPr>
            </w:pPr>
            <w:r>
              <w:rPr>
                <w:rFonts w:hint="default"/>
                <w:color w:val="auto"/>
                <w:highlight w:val="none"/>
                <w:lang w:val="en-US" w:eastAsia="zh-CN"/>
              </w:rPr>
              <w:t>23</w:t>
            </w:r>
          </w:p>
        </w:tc>
        <w:tc>
          <w:tcPr>
            <w:tcW w:w="0" w:type="auto"/>
            <w:tcBorders>
              <w:tl2br w:val="nil"/>
              <w:tr2bl w:val="nil"/>
            </w:tcBorders>
            <w:shd w:val="clear" w:color="auto" w:fill="auto"/>
            <w:noWrap/>
            <w:vAlign w:val="center"/>
          </w:tcPr>
          <w:p w14:paraId="6B33F1A4">
            <w:pPr>
              <w:pStyle w:val="41"/>
              <w:bidi w:val="0"/>
              <w:rPr>
                <w:rFonts w:hint="default"/>
                <w:color w:val="auto"/>
                <w:highlight w:val="none"/>
              </w:rPr>
            </w:pPr>
            <w:r>
              <w:rPr>
                <w:rFonts w:hint="default"/>
                <w:color w:val="auto"/>
                <w:highlight w:val="none"/>
                <w:lang w:val="en-US" w:eastAsia="zh-CN"/>
              </w:rPr>
              <w:t>2</w:t>
            </w:r>
            <w:r>
              <w:rPr>
                <w:color w:val="auto"/>
                <w:highlight w:val="none"/>
                <w:lang w:val="en-US" w:eastAsia="zh-CN"/>
              </w:rPr>
              <w:t>号重选车间</w:t>
            </w:r>
          </w:p>
        </w:tc>
        <w:tc>
          <w:tcPr>
            <w:tcW w:w="0" w:type="auto"/>
            <w:tcBorders>
              <w:tl2br w:val="nil"/>
              <w:tr2bl w:val="nil"/>
            </w:tcBorders>
            <w:shd w:val="clear" w:color="auto" w:fill="auto"/>
            <w:noWrap/>
            <w:vAlign w:val="center"/>
          </w:tcPr>
          <w:p w14:paraId="1B82E48C">
            <w:pPr>
              <w:pStyle w:val="41"/>
              <w:bidi w:val="0"/>
              <w:rPr>
                <w:rFonts w:hint="default"/>
                <w:color w:val="auto"/>
                <w:highlight w:val="none"/>
              </w:rPr>
            </w:pPr>
            <w:r>
              <w:rPr>
                <w:rFonts w:hint="default"/>
                <w:color w:val="auto"/>
                <w:highlight w:val="none"/>
                <w:lang w:val="en-US" w:eastAsia="zh-CN"/>
              </w:rPr>
              <w:t>28.3</w:t>
            </w:r>
          </w:p>
        </w:tc>
        <w:tc>
          <w:tcPr>
            <w:tcW w:w="0" w:type="auto"/>
            <w:tcBorders>
              <w:tl2br w:val="nil"/>
              <w:tr2bl w:val="nil"/>
            </w:tcBorders>
            <w:shd w:val="clear" w:color="auto" w:fill="auto"/>
            <w:noWrap/>
            <w:vAlign w:val="center"/>
          </w:tcPr>
          <w:p w14:paraId="437DFD19">
            <w:pPr>
              <w:pStyle w:val="41"/>
              <w:bidi w:val="0"/>
              <w:rPr>
                <w:rFonts w:hint="default"/>
                <w:color w:val="auto"/>
                <w:highlight w:val="none"/>
              </w:rPr>
            </w:pPr>
            <w:r>
              <w:rPr>
                <w:rFonts w:hint="default"/>
                <w:color w:val="auto"/>
                <w:highlight w:val="none"/>
                <w:lang w:val="en-US" w:eastAsia="zh-CN"/>
              </w:rPr>
              <w:t>99.7</w:t>
            </w:r>
          </w:p>
        </w:tc>
        <w:tc>
          <w:tcPr>
            <w:tcW w:w="0" w:type="auto"/>
            <w:tcBorders>
              <w:tl2br w:val="nil"/>
              <w:tr2bl w:val="nil"/>
            </w:tcBorders>
            <w:shd w:val="clear" w:color="auto" w:fill="auto"/>
            <w:noWrap/>
            <w:vAlign w:val="center"/>
          </w:tcPr>
          <w:p w14:paraId="2E777B0A">
            <w:pPr>
              <w:pStyle w:val="41"/>
              <w:bidi w:val="0"/>
              <w:rPr>
                <w:rFonts w:hint="default"/>
                <w:color w:val="auto"/>
                <w:highlight w:val="none"/>
              </w:rPr>
            </w:pPr>
            <w:r>
              <w:rPr>
                <w:rFonts w:hint="default"/>
                <w:color w:val="auto"/>
                <w:highlight w:val="none"/>
                <w:lang w:val="en-US" w:eastAsia="zh-CN"/>
              </w:rPr>
              <w:t>2821.51</w:t>
            </w:r>
          </w:p>
        </w:tc>
        <w:tc>
          <w:tcPr>
            <w:tcW w:w="0" w:type="auto"/>
            <w:tcBorders>
              <w:tl2br w:val="nil"/>
              <w:tr2bl w:val="nil"/>
            </w:tcBorders>
            <w:shd w:val="clear" w:color="auto" w:fill="auto"/>
            <w:noWrap/>
            <w:vAlign w:val="center"/>
          </w:tcPr>
          <w:p w14:paraId="5C302D6B">
            <w:pPr>
              <w:pStyle w:val="41"/>
              <w:bidi w:val="0"/>
              <w:rPr>
                <w:rFonts w:hint="default"/>
                <w:color w:val="auto"/>
                <w:highlight w:val="none"/>
              </w:rPr>
            </w:pPr>
            <w:r>
              <w:rPr>
                <w:rFonts w:hint="default"/>
                <w:color w:val="auto"/>
                <w:highlight w:val="none"/>
                <w:lang w:val="en-US" w:eastAsia="zh-CN"/>
              </w:rPr>
              <w:t>22</w:t>
            </w:r>
          </w:p>
        </w:tc>
      </w:tr>
      <w:tr w14:paraId="3A5AA82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29904506">
            <w:pPr>
              <w:pStyle w:val="41"/>
              <w:bidi w:val="0"/>
              <w:rPr>
                <w:rFonts w:hint="default"/>
                <w:color w:val="auto"/>
                <w:highlight w:val="none"/>
              </w:rPr>
            </w:pPr>
            <w:r>
              <w:rPr>
                <w:rFonts w:hint="default"/>
                <w:color w:val="auto"/>
                <w:highlight w:val="none"/>
                <w:lang w:val="en-US" w:eastAsia="zh-CN"/>
              </w:rPr>
              <w:t>24</w:t>
            </w:r>
          </w:p>
        </w:tc>
        <w:tc>
          <w:tcPr>
            <w:tcW w:w="0" w:type="auto"/>
            <w:tcBorders>
              <w:tl2br w:val="nil"/>
              <w:tr2bl w:val="nil"/>
            </w:tcBorders>
            <w:shd w:val="clear" w:color="auto" w:fill="auto"/>
            <w:noWrap/>
            <w:vAlign w:val="center"/>
          </w:tcPr>
          <w:p w14:paraId="6C4819EC">
            <w:pPr>
              <w:pStyle w:val="41"/>
              <w:bidi w:val="0"/>
              <w:rPr>
                <w:rFonts w:hint="default"/>
                <w:color w:val="auto"/>
                <w:highlight w:val="none"/>
              </w:rPr>
            </w:pPr>
            <w:r>
              <w:rPr>
                <w:rFonts w:hint="default"/>
                <w:color w:val="auto"/>
                <w:highlight w:val="none"/>
                <w:lang w:val="en-US" w:eastAsia="zh-CN"/>
              </w:rPr>
              <w:t>1</w:t>
            </w:r>
            <w:r>
              <w:rPr>
                <w:color w:val="auto"/>
                <w:highlight w:val="none"/>
                <w:lang w:val="en-US" w:eastAsia="zh-CN"/>
              </w:rPr>
              <w:t>号烘干精选车间</w:t>
            </w:r>
          </w:p>
        </w:tc>
        <w:tc>
          <w:tcPr>
            <w:tcW w:w="0" w:type="auto"/>
            <w:tcBorders>
              <w:tl2br w:val="nil"/>
              <w:tr2bl w:val="nil"/>
            </w:tcBorders>
            <w:shd w:val="clear" w:color="auto" w:fill="auto"/>
            <w:noWrap/>
            <w:vAlign w:val="center"/>
          </w:tcPr>
          <w:p w14:paraId="6BAFAE32">
            <w:pPr>
              <w:pStyle w:val="41"/>
              <w:bidi w:val="0"/>
              <w:rPr>
                <w:rFonts w:hint="default"/>
                <w:color w:val="auto"/>
                <w:highlight w:val="none"/>
              </w:rPr>
            </w:pPr>
            <w:r>
              <w:rPr>
                <w:rFonts w:hint="default"/>
                <w:color w:val="auto"/>
                <w:highlight w:val="none"/>
                <w:lang w:val="en-US" w:eastAsia="zh-CN"/>
              </w:rPr>
              <w:t>28</w:t>
            </w:r>
          </w:p>
        </w:tc>
        <w:tc>
          <w:tcPr>
            <w:tcW w:w="0" w:type="auto"/>
            <w:tcBorders>
              <w:tl2br w:val="nil"/>
              <w:tr2bl w:val="nil"/>
            </w:tcBorders>
            <w:shd w:val="clear" w:color="auto" w:fill="auto"/>
            <w:noWrap/>
            <w:vAlign w:val="center"/>
          </w:tcPr>
          <w:p w14:paraId="776F0AB8">
            <w:pPr>
              <w:pStyle w:val="41"/>
              <w:bidi w:val="0"/>
              <w:rPr>
                <w:rFonts w:hint="default"/>
                <w:color w:val="auto"/>
                <w:highlight w:val="none"/>
              </w:rPr>
            </w:pPr>
            <w:r>
              <w:rPr>
                <w:rFonts w:hint="default"/>
                <w:color w:val="auto"/>
                <w:highlight w:val="none"/>
                <w:lang w:val="en-US" w:eastAsia="zh-CN"/>
              </w:rPr>
              <w:t>58</w:t>
            </w:r>
          </w:p>
        </w:tc>
        <w:tc>
          <w:tcPr>
            <w:tcW w:w="0" w:type="auto"/>
            <w:tcBorders>
              <w:tl2br w:val="nil"/>
              <w:tr2bl w:val="nil"/>
            </w:tcBorders>
            <w:shd w:val="clear" w:color="auto" w:fill="auto"/>
            <w:noWrap/>
            <w:vAlign w:val="center"/>
          </w:tcPr>
          <w:p w14:paraId="79E906F3">
            <w:pPr>
              <w:pStyle w:val="41"/>
              <w:bidi w:val="0"/>
              <w:rPr>
                <w:rFonts w:hint="default"/>
                <w:color w:val="auto"/>
                <w:highlight w:val="none"/>
              </w:rPr>
            </w:pPr>
            <w:r>
              <w:rPr>
                <w:rFonts w:hint="default"/>
                <w:color w:val="auto"/>
                <w:highlight w:val="none"/>
                <w:lang w:val="en-US" w:eastAsia="zh-CN"/>
              </w:rPr>
              <w:t>1624</w:t>
            </w:r>
          </w:p>
        </w:tc>
        <w:tc>
          <w:tcPr>
            <w:tcW w:w="0" w:type="auto"/>
            <w:tcBorders>
              <w:tl2br w:val="nil"/>
              <w:tr2bl w:val="nil"/>
            </w:tcBorders>
            <w:shd w:val="clear" w:color="auto" w:fill="auto"/>
            <w:noWrap/>
            <w:vAlign w:val="center"/>
          </w:tcPr>
          <w:p w14:paraId="7056B6AF">
            <w:pPr>
              <w:pStyle w:val="41"/>
              <w:bidi w:val="0"/>
              <w:rPr>
                <w:rFonts w:hint="default"/>
                <w:color w:val="auto"/>
                <w:highlight w:val="none"/>
              </w:rPr>
            </w:pPr>
            <w:r>
              <w:rPr>
                <w:rFonts w:hint="default"/>
                <w:color w:val="auto"/>
                <w:highlight w:val="none"/>
                <w:lang w:val="en-US" w:eastAsia="zh-CN"/>
              </w:rPr>
              <w:t>12</w:t>
            </w:r>
          </w:p>
        </w:tc>
      </w:tr>
      <w:tr w14:paraId="3BD5E1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46FDB01D">
            <w:pPr>
              <w:pStyle w:val="41"/>
              <w:bidi w:val="0"/>
              <w:rPr>
                <w:rFonts w:hint="default"/>
                <w:color w:val="auto"/>
                <w:highlight w:val="none"/>
              </w:rPr>
            </w:pPr>
            <w:r>
              <w:rPr>
                <w:rFonts w:hint="default"/>
                <w:color w:val="auto"/>
                <w:highlight w:val="none"/>
                <w:lang w:val="en-US" w:eastAsia="zh-CN"/>
              </w:rPr>
              <w:t>25</w:t>
            </w:r>
          </w:p>
        </w:tc>
        <w:tc>
          <w:tcPr>
            <w:tcW w:w="0" w:type="auto"/>
            <w:tcBorders>
              <w:tl2br w:val="nil"/>
              <w:tr2bl w:val="nil"/>
            </w:tcBorders>
            <w:shd w:val="clear" w:color="auto" w:fill="auto"/>
            <w:noWrap/>
            <w:vAlign w:val="center"/>
          </w:tcPr>
          <w:p w14:paraId="0E1AE6B6">
            <w:pPr>
              <w:pStyle w:val="41"/>
              <w:bidi w:val="0"/>
              <w:rPr>
                <w:rFonts w:hint="default"/>
                <w:color w:val="auto"/>
                <w:highlight w:val="none"/>
              </w:rPr>
            </w:pPr>
            <w:r>
              <w:rPr>
                <w:rFonts w:hint="default"/>
                <w:color w:val="auto"/>
                <w:highlight w:val="none"/>
                <w:lang w:val="en-US" w:eastAsia="zh-CN"/>
              </w:rPr>
              <w:t>2</w:t>
            </w:r>
            <w:r>
              <w:rPr>
                <w:color w:val="auto"/>
                <w:highlight w:val="none"/>
                <w:lang w:val="en-US" w:eastAsia="zh-CN"/>
              </w:rPr>
              <w:t>号烘干精选车间</w:t>
            </w:r>
          </w:p>
        </w:tc>
        <w:tc>
          <w:tcPr>
            <w:tcW w:w="0" w:type="auto"/>
            <w:tcBorders>
              <w:tl2br w:val="nil"/>
              <w:tr2bl w:val="nil"/>
            </w:tcBorders>
            <w:shd w:val="clear" w:color="auto" w:fill="auto"/>
            <w:noWrap/>
            <w:vAlign w:val="center"/>
          </w:tcPr>
          <w:p w14:paraId="7B62B9A6">
            <w:pPr>
              <w:pStyle w:val="41"/>
              <w:bidi w:val="0"/>
              <w:rPr>
                <w:rFonts w:hint="default"/>
                <w:color w:val="auto"/>
                <w:highlight w:val="none"/>
              </w:rPr>
            </w:pPr>
            <w:r>
              <w:rPr>
                <w:rFonts w:hint="default"/>
                <w:color w:val="auto"/>
                <w:highlight w:val="none"/>
                <w:lang w:val="en-US" w:eastAsia="zh-CN"/>
              </w:rPr>
              <w:t>22</w:t>
            </w:r>
          </w:p>
        </w:tc>
        <w:tc>
          <w:tcPr>
            <w:tcW w:w="0" w:type="auto"/>
            <w:tcBorders>
              <w:tl2br w:val="nil"/>
              <w:tr2bl w:val="nil"/>
            </w:tcBorders>
            <w:shd w:val="clear" w:color="auto" w:fill="auto"/>
            <w:noWrap/>
            <w:vAlign w:val="center"/>
          </w:tcPr>
          <w:p w14:paraId="2FA6102E">
            <w:pPr>
              <w:pStyle w:val="41"/>
              <w:bidi w:val="0"/>
              <w:rPr>
                <w:rFonts w:hint="default"/>
                <w:color w:val="auto"/>
                <w:highlight w:val="none"/>
              </w:rPr>
            </w:pPr>
            <w:r>
              <w:rPr>
                <w:rFonts w:hint="default"/>
                <w:color w:val="auto"/>
                <w:highlight w:val="none"/>
                <w:lang w:val="en-US" w:eastAsia="zh-CN"/>
              </w:rPr>
              <w:t>48</w:t>
            </w:r>
          </w:p>
        </w:tc>
        <w:tc>
          <w:tcPr>
            <w:tcW w:w="0" w:type="auto"/>
            <w:tcBorders>
              <w:tl2br w:val="nil"/>
              <w:tr2bl w:val="nil"/>
            </w:tcBorders>
            <w:shd w:val="clear" w:color="auto" w:fill="auto"/>
            <w:noWrap/>
            <w:vAlign w:val="center"/>
          </w:tcPr>
          <w:p w14:paraId="18C325CC">
            <w:pPr>
              <w:pStyle w:val="41"/>
              <w:bidi w:val="0"/>
              <w:rPr>
                <w:rFonts w:hint="default"/>
                <w:color w:val="auto"/>
                <w:highlight w:val="none"/>
              </w:rPr>
            </w:pPr>
            <w:r>
              <w:rPr>
                <w:rFonts w:hint="default"/>
                <w:color w:val="auto"/>
                <w:highlight w:val="none"/>
                <w:lang w:val="en-US" w:eastAsia="zh-CN"/>
              </w:rPr>
              <w:t>1056</w:t>
            </w:r>
          </w:p>
        </w:tc>
        <w:tc>
          <w:tcPr>
            <w:tcW w:w="0" w:type="auto"/>
            <w:tcBorders>
              <w:tl2br w:val="nil"/>
              <w:tr2bl w:val="nil"/>
            </w:tcBorders>
            <w:shd w:val="clear" w:color="auto" w:fill="auto"/>
            <w:noWrap/>
            <w:vAlign w:val="center"/>
          </w:tcPr>
          <w:p w14:paraId="0BB2BD56">
            <w:pPr>
              <w:pStyle w:val="41"/>
              <w:bidi w:val="0"/>
              <w:rPr>
                <w:rFonts w:hint="default"/>
                <w:color w:val="auto"/>
                <w:highlight w:val="none"/>
              </w:rPr>
            </w:pPr>
            <w:r>
              <w:rPr>
                <w:rFonts w:hint="default"/>
                <w:color w:val="auto"/>
                <w:highlight w:val="none"/>
                <w:lang w:val="en-US" w:eastAsia="zh-CN"/>
              </w:rPr>
              <w:t>18</w:t>
            </w:r>
          </w:p>
        </w:tc>
      </w:tr>
      <w:tr w14:paraId="748552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710ABF77">
            <w:pPr>
              <w:pStyle w:val="41"/>
              <w:bidi w:val="0"/>
              <w:rPr>
                <w:rFonts w:hint="default"/>
                <w:color w:val="auto"/>
                <w:highlight w:val="none"/>
              </w:rPr>
            </w:pPr>
            <w:r>
              <w:rPr>
                <w:rFonts w:hint="default"/>
                <w:color w:val="auto"/>
                <w:highlight w:val="none"/>
                <w:lang w:val="en-US" w:eastAsia="zh-CN"/>
              </w:rPr>
              <w:t>26</w:t>
            </w:r>
          </w:p>
        </w:tc>
        <w:tc>
          <w:tcPr>
            <w:tcW w:w="0" w:type="auto"/>
            <w:tcBorders>
              <w:tl2br w:val="nil"/>
              <w:tr2bl w:val="nil"/>
            </w:tcBorders>
            <w:shd w:val="clear" w:color="auto" w:fill="auto"/>
            <w:noWrap/>
            <w:vAlign w:val="center"/>
          </w:tcPr>
          <w:p w14:paraId="3684F79F">
            <w:pPr>
              <w:pStyle w:val="41"/>
              <w:bidi w:val="0"/>
              <w:rPr>
                <w:rFonts w:hint="eastAsia"/>
                <w:color w:val="auto"/>
                <w:highlight w:val="none"/>
              </w:rPr>
            </w:pPr>
            <w:r>
              <w:rPr>
                <w:rFonts w:hint="eastAsia"/>
                <w:color w:val="auto"/>
                <w:highlight w:val="none"/>
                <w:lang w:val="en-US" w:eastAsia="zh-CN"/>
              </w:rPr>
              <w:t>钛精矿库</w:t>
            </w:r>
          </w:p>
        </w:tc>
        <w:tc>
          <w:tcPr>
            <w:tcW w:w="0" w:type="auto"/>
            <w:tcBorders>
              <w:tl2br w:val="nil"/>
              <w:tr2bl w:val="nil"/>
            </w:tcBorders>
            <w:shd w:val="clear" w:color="auto" w:fill="auto"/>
            <w:noWrap/>
            <w:vAlign w:val="center"/>
          </w:tcPr>
          <w:p w14:paraId="268A6EEA">
            <w:pPr>
              <w:pStyle w:val="41"/>
              <w:bidi w:val="0"/>
              <w:rPr>
                <w:rFonts w:hint="default"/>
                <w:color w:val="auto"/>
                <w:highlight w:val="none"/>
              </w:rPr>
            </w:pPr>
            <w:r>
              <w:rPr>
                <w:rFonts w:hint="default"/>
                <w:color w:val="auto"/>
                <w:highlight w:val="none"/>
                <w:lang w:val="en-US" w:eastAsia="zh-CN"/>
              </w:rPr>
              <w:t>38</w:t>
            </w:r>
          </w:p>
        </w:tc>
        <w:tc>
          <w:tcPr>
            <w:tcW w:w="0" w:type="auto"/>
            <w:tcBorders>
              <w:tl2br w:val="nil"/>
              <w:tr2bl w:val="nil"/>
            </w:tcBorders>
            <w:shd w:val="clear" w:color="auto" w:fill="auto"/>
            <w:noWrap/>
            <w:vAlign w:val="center"/>
          </w:tcPr>
          <w:p w14:paraId="63C26821">
            <w:pPr>
              <w:pStyle w:val="41"/>
              <w:bidi w:val="0"/>
              <w:rPr>
                <w:rFonts w:hint="default"/>
                <w:color w:val="auto"/>
                <w:highlight w:val="none"/>
              </w:rPr>
            </w:pPr>
            <w:r>
              <w:rPr>
                <w:rFonts w:hint="default"/>
                <w:color w:val="auto"/>
                <w:highlight w:val="none"/>
                <w:lang w:val="en-US" w:eastAsia="zh-CN"/>
              </w:rPr>
              <w:t>64</w:t>
            </w:r>
          </w:p>
        </w:tc>
        <w:tc>
          <w:tcPr>
            <w:tcW w:w="0" w:type="auto"/>
            <w:tcBorders>
              <w:tl2br w:val="nil"/>
              <w:tr2bl w:val="nil"/>
            </w:tcBorders>
            <w:shd w:val="clear" w:color="auto" w:fill="auto"/>
            <w:noWrap/>
            <w:vAlign w:val="center"/>
          </w:tcPr>
          <w:p w14:paraId="2E655F7E">
            <w:pPr>
              <w:pStyle w:val="41"/>
              <w:bidi w:val="0"/>
              <w:rPr>
                <w:rFonts w:hint="default"/>
                <w:color w:val="auto"/>
                <w:highlight w:val="none"/>
              </w:rPr>
            </w:pPr>
            <w:r>
              <w:rPr>
                <w:rFonts w:hint="default"/>
                <w:color w:val="auto"/>
                <w:highlight w:val="none"/>
                <w:lang w:val="en-US" w:eastAsia="zh-CN"/>
              </w:rPr>
              <w:t>2432</w:t>
            </w:r>
          </w:p>
        </w:tc>
        <w:tc>
          <w:tcPr>
            <w:tcW w:w="0" w:type="auto"/>
            <w:tcBorders>
              <w:tl2br w:val="nil"/>
              <w:tr2bl w:val="nil"/>
            </w:tcBorders>
            <w:shd w:val="clear" w:color="auto" w:fill="auto"/>
            <w:noWrap/>
            <w:vAlign w:val="center"/>
          </w:tcPr>
          <w:p w14:paraId="048FBAFA">
            <w:pPr>
              <w:pStyle w:val="41"/>
              <w:bidi w:val="0"/>
              <w:rPr>
                <w:rFonts w:hint="default"/>
                <w:color w:val="auto"/>
                <w:highlight w:val="none"/>
              </w:rPr>
            </w:pPr>
            <w:r>
              <w:rPr>
                <w:rFonts w:hint="default"/>
                <w:color w:val="auto"/>
                <w:highlight w:val="none"/>
                <w:lang w:val="en-US" w:eastAsia="zh-CN"/>
              </w:rPr>
              <w:t>9</w:t>
            </w:r>
          </w:p>
        </w:tc>
      </w:tr>
      <w:tr w14:paraId="2D7F5B1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306D2523">
            <w:pPr>
              <w:pStyle w:val="41"/>
              <w:bidi w:val="0"/>
              <w:rPr>
                <w:rFonts w:hint="default"/>
                <w:color w:val="auto"/>
                <w:highlight w:val="none"/>
              </w:rPr>
            </w:pPr>
            <w:r>
              <w:rPr>
                <w:rFonts w:hint="default"/>
                <w:color w:val="auto"/>
                <w:highlight w:val="none"/>
                <w:lang w:val="en-US" w:eastAsia="zh-CN"/>
              </w:rPr>
              <w:t>27</w:t>
            </w:r>
          </w:p>
        </w:tc>
        <w:tc>
          <w:tcPr>
            <w:tcW w:w="0" w:type="auto"/>
            <w:tcBorders>
              <w:tl2br w:val="nil"/>
              <w:tr2bl w:val="nil"/>
            </w:tcBorders>
            <w:shd w:val="clear" w:color="auto" w:fill="auto"/>
            <w:noWrap/>
            <w:vAlign w:val="center"/>
          </w:tcPr>
          <w:p w14:paraId="617852CB">
            <w:pPr>
              <w:pStyle w:val="41"/>
              <w:bidi w:val="0"/>
              <w:rPr>
                <w:rFonts w:hint="eastAsia"/>
                <w:color w:val="auto"/>
                <w:highlight w:val="none"/>
              </w:rPr>
            </w:pPr>
            <w:r>
              <w:rPr>
                <w:rFonts w:hint="eastAsia"/>
                <w:color w:val="auto"/>
                <w:highlight w:val="none"/>
                <w:lang w:val="en-US" w:eastAsia="zh-CN"/>
              </w:rPr>
              <w:t>事故浆池</w:t>
            </w:r>
          </w:p>
        </w:tc>
        <w:tc>
          <w:tcPr>
            <w:tcW w:w="0" w:type="auto"/>
            <w:tcBorders>
              <w:tl2br w:val="nil"/>
              <w:tr2bl w:val="nil"/>
            </w:tcBorders>
            <w:shd w:val="clear" w:color="auto" w:fill="auto"/>
            <w:noWrap/>
            <w:vAlign w:val="center"/>
          </w:tcPr>
          <w:p w14:paraId="763CEE63">
            <w:pPr>
              <w:pStyle w:val="41"/>
              <w:bidi w:val="0"/>
              <w:rPr>
                <w:rFonts w:hint="default"/>
                <w:color w:val="auto"/>
                <w:highlight w:val="none"/>
              </w:rPr>
            </w:pPr>
            <w:r>
              <w:rPr>
                <w:rFonts w:hint="default"/>
                <w:color w:val="auto"/>
                <w:highlight w:val="none"/>
                <w:lang w:val="en-US" w:eastAsia="zh-CN"/>
              </w:rPr>
              <w:t>50</w:t>
            </w:r>
          </w:p>
        </w:tc>
        <w:tc>
          <w:tcPr>
            <w:tcW w:w="0" w:type="auto"/>
            <w:tcBorders>
              <w:tl2br w:val="nil"/>
              <w:tr2bl w:val="nil"/>
            </w:tcBorders>
            <w:shd w:val="clear" w:color="auto" w:fill="auto"/>
            <w:noWrap/>
            <w:vAlign w:val="center"/>
          </w:tcPr>
          <w:p w14:paraId="5E7559D4">
            <w:pPr>
              <w:pStyle w:val="41"/>
              <w:bidi w:val="0"/>
              <w:rPr>
                <w:rFonts w:hint="default"/>
                <w:color w:val="auto"/>
                <w:highlight w:val="none"/>
              </w:rPr>
            </w:pPr>
            <w:r>
              <w:rPr>
                <w:rFonts w:hint="default"/>
                <w:color w:val="auto"/>
                <w:highlight w:val="none"/>
                <w:lang w:val="en-US" w:eastAsia="zh-CN"/>
              </w:rPr>
              <w:t>50</w:t>
            </w:r>
          </w:p>
        </w:tc>
        <w:tc>
          <w:tcPr>
            <w:tcW w:w="0" w:type="auto"/>
            <w:tcBorders>
              <w:tl2br w:val="nil"/>
              <w:tr2bl w:val="nil"/>
            </w:tcBorders>
            <w:shd w:val="clear" w:color="auto" w:fill="auto"/>
            <w:noWrap/>
            <w:vAlign w:val="center"/>
          </w:tcPr>
          <w:p w14:paraId="1E8311C2">
            <w:pPr>
              <w:pStyle w:val="41"/>
              <w:bidi w:val="0"/>
              <w:rPr>
                <w:rFonts w:hint="default"/>
                <w:color w:val="auto"/>
                <w:highlight w:val="none"/>
              </w:rPr>
            </w:pPr>
            <w:r>
              <w:rPr>
                <w:rFonts w:hint="default"/>
                <w:color w:val="auto"/>
                <w:highlight w:val="none"/>
                <w:lang w:val="en-US" w:eastAsia="zh-CN"/>
              </w:rPr>
              <w:t>2500</w:t>
            </w:r>
          </w:p>
        </w:tc>
        <w:tc>
          <w:tcPr>
            <w:tcW w:w="0" w:type="auto"/>
            <w:tcBorders>
              <w:tl2br w:val="nil"/>
              <w:tr2bl w:val="nil"/>
            </w:tcBorders>
            <w:shd w:val="clear" w:color="auto" w:fill="auto"/>
            <w:noWrap/>
            <w:vAlign w:val="center"/>
          </w:tcPr>
          <w:p w14:paraId="23F22C3F">
            <w:pPr>
              <w:pStyle w:val="41"/>
              <w:bidi w:val="0"/>
              <w:rPr>
                <w:rFonts w:hint="default"/>
                <w:color w:val="auto"/>
                <w:highlight w:val="none"/>
              </w:rPr>
            </w:pPr>
            <w:r>
              <w:rPr>
                <w:rFonts w:hint="default"/>
                <w:color w:val="auto"/>
                <w:highlight w:val="none"/>
                <w:lang w:val="en-US" w:eastAsia="zh-CN"/>
              </w:rPr>
              <w:t>-5</w:t>
            </w:r>
          </w:p>
        </w:tc>
      </w:tr>
      <w:tr w14:paraId="4EBDDB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14F3F122">
            <w:pPr>
              <w:pStyle w:val="41"/>
              <w:bidi w:val="0"/>
              <w:rPr>
                <w:rFonts w:hint="default"/>
                <w:color w:val="auto"/>
                <w:highlight w:val="none"/>
              </w:rPr>
            </w:pPr>
            <w:r>
              <w:rPr>
                <w:rFonts w:hint="default"/>
                <w:color w:val="auto"/>
                <w:highlight w:val="none"/>
                <w:lang w:val="en-US" w:eastAsia="zh-CN"/>
              </w:rPr>
              <w:t>28</w:t>
            </w:r>
          </w:p>
        </w:tc>
        <w:tc>
          <w:tcPr>
            <w:tcW w:w="0" w:type="auto"/>
            <w:tcBorders>
              <w:tl2br w:val="nil"/>
              <w:tr2bl w:val="nil"/>
            </w:tcBorders>
            <w:shd w:val="clear" w:color="auto" w:fill="auto"/>
            <w:noWrap/>
            <w:vAlign w:val="center"/>
          </w:tcPr>
          <w:p w14:paraId="26998CDB">
            <w:pPr>
              <w:pStyle w:val="41"/>
              <w:bidi w:val="0"/>
              <w:rPr>
                <w:rFonts w:hint="eastAsia"/>
                <w:color w:val="auto"/>
                <w:highlight w:val="none"/>
              </w:rPr>
            </w:pPr>
            <w:r>
              <w:rPr>
                <w:rFonts w:hint="eastAsia"/>
                <w:color w:val="auto"/>
                <w:highlight w:val="none"/>
                <w:lang w:val="en-US" w:eastAsia="zh-CN"/>
              </w:rPr>
              <w:t>尾矿干排车间</w:t>
            </w:r>
          </w:p>
        </w:tc>
        <w:tc>
          <w:tcPr>
            <w:tcW w:w="0" w:type="auto"/>
            <w:tcBorders>
              <w:tl2br w:val="nil"/>
              <w:tr2bl w:val="nil"/>
            </w:tcBorders>
            <w:shd w:val="clear" w:color="auto" w:fill="auto"/>
            <w:noWrap/>
            <w:vAlign w:val="center"/>
          </w:tcPr>
          <w:p w14:paraId="72559259">
            <w:pPr>
              <w:pStyle w:val="41"/>
              <w:bidi w:val="0"/>
              <w:rPr>
                <w:rFonts w:hint="default"/>
                <w:color w:val="auto"/>
                <w:highlight w:val="none"/>
              </w:rPr>
            </w:pPr>
            <w:r>
              <w:rPr>
                <w:rFonts w:hint="default"/>
                <w:color w:val="auto"/>
                <w:highlight w:val="none"/>
                <w:lang w:val="en-US" w:eastAsia="zh-CN"/>
              </w:rPr>
              <w:t>12.5</w:t>
            </w:r>
          </w:p>
        </w:tc>
        <w:tc>
          <w:tcPr>
            <w:tcW w:w="0" w:type="auto"/>
            <w:tcBorders>
              <w:tl2br w:val="nil"/>
              <w:tr2bl w:val="nil"/>
            </w:tcBorders>
            <w:shd w:val="clear" w:color="auto" w:fill="auto"/>
            <w:noWrap/>
            <w:vAlign w:val="center"/>
          </w:tcPr>
          <w:p w14:paraId="75FB71B8">
            <w:pPr>
              <w:pStyle w:val="41"/>
              <w:bidi w:val="0"/>
              <w:rPr>
                <w:rFonts w:hint="default"/>
                <w:color w:val="auto"/>
                <w:highlight w:val="none"/>
              </w:rPr>
            </w:pPr>
            <w:r>
              <w:rPr>
                <w:rFonts w:hint="default"/>
                <w:color w:val="auto"/>
                <w:highlight w:val="none"/>
                <w:lang w:val="en-US" w:eastAsia="zh-CN"/>
              </w:rPr>
              <w:t>24</w:t>
            </w:r>
          </w:p>
        </w:tc>
        <w:tc>
          <w:tcPr>
            <w:tcW w:w="0" w:type="auto"/>
            <w:tcBorders>
              <w:tl2br w:val="nil"/>
              <w:tr2bl w:val="nil"/>
            </w:tcBorders>
            <w:shd w:val="clear" w:color="auto" w:fill="auto"/>
            <w:noWrap/>
            <w:vAlign w:val="center"/>
          </w:tcPr>
          <w:p w14:paraId="2E19EB44">
            <w:pPr>
              <w:pStyle w:val="41"/>
              <w:bidi w:val="0"/>
              <w:rPr>
                <w:rFonts w:hint="default"/>
                <w:color w:val="auto"/>
                <w:highlight w:val="none"/>
              </w:rPr>
            </w:pPr>
            <w:r>
              <w:rPr>
                <w:rFonts w:hint="default"/>
                <w:color w:val="auto"/>
                <w:highlight w:val="none"/>
                <w:lang w:val="en-US" w:eastAsia="zh-CN"/>
              </w:rPr>
              <w:t>300</w:t>
            </w:r>
          </w:p>
        </w:tc>
        <w:tc>
          <w:tcPr>
            <w:tcW w:w="0" w:type="auto"/>
            <w:tcBorders>
              <w:tl2br w:val="nil"/>
              <w:tr2bl w:val="nil"/>
            </w:tcBorders>
            <w:shd w:val="clear" w:color="auto" w:fill="auto"/>
            <w:noWrap/>
            <w:vAlign w:val="center"/>
          </w:tcPr>
          <w:p w14:paraId="00842259">
            <w:pPr>
              <w:pStyle w:val="41"/>
              <w:bidi w:val="0"/>
              <w:rPr>
                <w:rFonts w:hint="default"/>
                <w:color w:val="auto"/>
                <w:highlight w:val="none"/>
              </w:rPr>
            </w:pPr>
            <w:r>
              <w:rPr>
                <w:rFonts w:hint="default"/>
                <w:color w:val="auto"/>
                <w:highlight w:val="none"/>
                <w:lang w:val="en-US" w:eastAsia="zh-CN"/>
              </w:rPr>
              <w:t>12</w:t>
            </w:r>
          </w:p>
        </w:tc>
      </w:tr>
      <w:tr w14:paraId="1669B9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1E526027">
            <w:pPr>
              <w:pStyle w:val="41"/>
              <w:bidi w:val="0"/>
              <w:rPr>
                <w:rFonts w:hint="default"/>
                <w:color w:val="auto"/>
                <w:highlight w:val="none"/>
              </w:rPr>
            </w:pPr>
            <w:r>
              <w:rPr>
                <w:rFonts w:hint="default"/>
                <w:color w:val="auto"/>
                <w:highlight w:val="none"/>
                <w:lang w:val="en-US" w:eastAsia="zh-CN"/>
              </w:rPr>
              <w:t>29</w:t>
            </w:r>
          </w:p>
        </w:tc>
        <w:tc>
          <w:tcPr>
            <w:tcW w:w="0" w:type="auto"/>
            <w:tcBorders>
              <w:tl2br w:val="nil"/>
              <w:tr2bl w:val="nil"/>
            </w:tcBorders>
            <w:shd w:val="clear" w:color="auto" w:fill="auto"/>
            <w:noWrap/>
            <w:vAlign w:val="center"/>
          </w:tcPr>
          <w:p w14:paraId="75EEEF76">
            <w:pPr>
              <w:pStyle w:val="41"/>
              <w:bidi w:val="0"/>
              <w:rPr>
                <w:rFonts w:hint="eastAsia"/>
                <w:color w:val="auto"/>
                <w:highlight w:val="none"/>
              </w:rPr>
            </w:pPr>
            <w:r>
              <w:rPr>
                <w:rFonts w:hint="eastAsia"/>
                <w:color w:val="auto"/>
                <w:highlight w:val="none"/>
                <w:lang w:val="en-US" w:eastAsia="zh-CN"/>
              </w:rPr>
              <w:t>机修间</w:t>
            </w:r>
          </w:p>
        </w:tc>
        <w:tc>
          <w:tcPr>
            <w:tcW w:w="0" w:type="auto"/>
            <w:tcBorders>
              <w:tl2br w:val="nil"/>
              <w:tr2bl w:val="nil"/>
            </w:tcBorders>
            <w:shd w:val="clear" w:color="auto" w:fill="auto"/>
            <w:noWrap/>
            <w:vAlign w:val="center"/>
          </w:tcPr>
          <w:p w14:paraId="68255C77">
            <w:pPr>
              <w:pStyle w:val="41"/>
              <w:bidi w:val="0"/>
              <w:rPr>
                <w:rFonts w:hint="default"/>
                <w:color w:val="auto"/>
                <w:highlight w:val="none"/>
              </w:rPr>
            </w:pPr>
            <w:r>
              <w:rPr>
                <w:rFonts w:hint="default"/>
                <w:color w:val="auto"/>
                <w:highlight w:val="none"/>
                <w:lang w:val="en-US" w:eastAsia="zh-CN"/>
              </w:rPr>
              <w:t>15.7</w:t>
            </w:r>
          </w:p>
        </w:tc>
        <w:tc>
          <w:tcPr>
            <w:tcW w:w="0" w:type="auto"/>
            <w:tcBorders>
              <w:tl2br w:val="nil"/>
              <w:tr2bl w:val="nil"/>
            </w:tcBorders>
            <w:shd w:val="clear" w:color="auto" w:fill="auto"/>
            <w:noWrap/>
            <w:vAlign w:val="center"/>
          </w:tcPr>
          <w:p w14:paraId="070E5BCE">
            <w:pPr>
              <w:pStyle w:val="41"/>
              <w:bidi w:val="0"/>
              <w:rPr>
                <w:rFonts w:hint="default"/>
                <w:color w:val="auto"/>
                <w:highlight w:val="none"/>
              </w:rPr>
            </w:pPr>
            <w:r>
              <w:rPr>
                <w:rFonts w:hint="default"/>
                <w:color w:val="auto"/>
                <w:highlight w:val="none"/>
                <w:lang w:val="en-US" w:eastAsia="zh-CN"/>
              </w:rPr>
              <w:t>54.3</w:t>
            </w:r>
          </w:p>
        </w:tc>
        <w:tc>
          <w:tcPr>
            <w:tcW w:w="0" w:type="auto"/>
            <w:tcBorders>
              <w:tl2br w:val="nil"/>
              <w:tr2bl w:val="nil"/>
            </w:tcBorders>
            <w:shd w:val="clear" w:color="auto" w:fill="auto"/>
            <w:noWrap/>
            <w:vAlign w:val="center"/>
          </w:tcPr>
          <w:p w14:paraId="71A87D9E">
            <w:pPr>
              <w:pStyle w:val="41"/>
              <w:bidi w:val="0"/>
              <w:rPr>
                <w:rFonts w:hint="default"/>
                <w:color w:val="auto"/>
                <w:highlight w:val="none"/>
              </w:rPr>
            </w:pPr>
            <w:r>
              <w:rPr>
                <w:rFonts w:hint="default"/>
                <w:color w:val="auto"/>
                <w:highlight w:val="none"/>
                <w:lang w:val="en-US" w:eastAsia="zh-CN"/>
              </w:rPr>
              <w:t>852.51</w:t>
            </w:r>
          </w:p>
        </w:tc>
        <w:tc>
          <w:tcPr>
            <w:tcW w:w="0" w:type="auto"/>
            <w:tcBorders>
              <w:tl2br w:val="nil"/>
              <w:tr2bl w:val="nil"/>
            </w:tcBorders>
            <w:shd w:val="clear" w:color="auto" w:fill="auto"/>
            <w:noWrap/>
            <w:vAlign w:val="center"/>
          </w:tcPr>
          <w:p w14:paraId="77E78922">
            <w:pPr>
              <w:pStyle w:val="41"/>
              <w:bidi w:val="0"/>
              <w:rPr>
                <w:rFonts w:hint="default"/>
                <w:color w:val="auto"/>
                <w:highlight w:val="none"/>
              </w:rPr>
            </w:pPr>
            <w:r>
              <w:rPr>
                <w:rFonts w:hint="default"/>
                <w:color w:val="auto"/>
                <w:highlight w:val="none"/>
                <w:lang w:val="en-US" w:eastAsia="zh-CN"/>
              </w:rPr>
              <w:t>5</w:t>
            </w:r>
          </w:p>
        </w:tc>
      </w:tr>
      <w:tr w14:paraId="6843A7C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7FD875BB">
            <w:pPr>
              <w:pStyle w:val="41"/>
              <w:bidi w:val="0"/>
              <w:rPr>
                <w:rFonts w:hint="default"/>
                <w:color w:val="auto"/>
                <w:highlight w:val="none"/>
              </w:rPr>
            </w:pPr>
            <w:r>
              <w:rPr>
                <w:rFonts w:hint="default"/>
                <w:color w:val="auto"/>
                <w:highlight w:val="none"/>
                <w:lang w:val="en-US" w:eastAsia="zh-CN"/>
              </w:rPr>
              <w:t>30</w:t>
            </w:r>
          </w:p>
        </w:tc>
        <w:tc>
          <w:tcPr>
            <w:tcW w:w="0" w:type="auto"/>
            <w:tcBorders>
              <w:tl2br w:val="nil"/>
              <w:tr2bl w:val="nil"/>
            </w:tcBorders>
            <w:shd w:val="clear" w:color="auto" w:fill="auto"/>
            <w:noWrap/>
            <w:vAlign w:val="center"/>
          </w:tcPr>
          <w:p w14:paraId="24BBF36D">
            <w:pPr>
              <w:pStyle w:val="41"/>
              <w:bidi w:val="0"/>
              <w:rPr>
                <w:rFonts w:hint="eastAsia"/>
                <w:color w:val="auto"/>
                <w:highlight w:val="none"/>
              </w:rPr>
            </w:pPr>
            <w:r>
              <w:rPr>
                <w:rFonts w:hint="eastAsia"/>
                <w:color w:val="auto"/>
                <w:highlight w:val="none"/>
                <w:lang w:val="en-US" w:eastAsia="zh-CN"/>
              </w:rPr>
              <w:t>库房</w:t>
            </w:r>
          </w:p>
        </w:tc>
        <w:tc>
          <w:tcPr>
            <w:tcW w:w="0" w:type="auto"/>
            <w:tcBorders>
              <w:tl2br w:val="nil"/>
              <w:tr2bl w:val="nil"/>
            </w:tcBorders>
            <w:shd w:val="clear" w:color="auto" w:fill="auto"/>
            <w:noWrap/>
            <w:vAlign w:val="center"/>
          </w:tcPr>
          <w:p w14:paraId="3801BAA9">
            <w:pPr>
              <w:pStyle w:val="41"/>
              <w:bidi w:val="0"/>
              <w:rPr>
                <w:rFonts w:hint="default"/>
                <w:color w:val="auto"/>
                <w:highlight w:val="none"/>
              </w:rPr>
            </w:pPr>
            <w:r>
              <w:rPr>
                <w:rFonts w:hint="default"/>
                <w:color w:val="auto"/>
                <w:highlight w:val="none"/>
                <w:lang w:val="en-US" w:eastAsia="zh-CN"/>
              </w:rPr>
              <w:t>14.7</w:t>
            </w:r>
          </w:p>
        </w:tc>
        <w:tc>
          <w:tcPr>
            <w:tcW w:w="0" w:type="auto"/>
            <w:tcBorders>
              <w:tl2br w:val="nil"/>
              <w:tr2bl w:val="nil"/>
            </w:tcBorders>
            <w:shd w:val="clear" w:color="auto" w:fill="auto"/>
            <w:noWrap/>
            <w:vAlign w:val="center"/>
          </w:tcPr>
          <w:p w14:paraId="6DF74BDB">
            <w:pPr>
              <w:pStyle w:val="41"/>
              <w:bidi w:val="0"/>
              <w:rPr>
                <w:rFonts w:hint="default"/>
                <w:color w:val="auto"/>
                <w:highlight w:val="none"/>
              </w:rPr>
            </w:pPr>
            <w:r>
              <w:rPr>
                <w:rFonts w:hint="default"/>
                <w:color w:val="auto"/>
                <w:highlight w:val="none"/>
                <w:lang w:val="en-US" w:eastAsia="zh-CN"/>
              </w:rPr>
              <w:t>96.45</w:t>
            </w:r>
          </w:p>
        </w:tc>
        <w:tc>
          <w:tcPr>
            <w:tcW w:w="0" w:type="auto"/>
            <w:tcBorders>
              <w:tl2br w:val="nil"/>
              <w:tr2bl w:val="nil"/>
            </w:tcBorders>
            <w:shd w:val="clear" w:color="auto" w:fill="auto"/>
            <w:noWrap/>
            <w:vAlign w:val="center"/>
          </w:tcPr>
          <w:p w14:paraId="5E7C6EF2">
            <w:pPr>
              <w:pStyle w:val="41"/>
              <w:bidi w:val="0"/>
              <w:rPr>
                <w:rFonts w:hint="default"/>
                <w:color w:val="auto"/>
                <w:highlight w:val="none"/>
              </w:rPr>
            </w:pPr>
            <w:r>
              <w:rPr>
                <w:rFonts w:hint="default"/>
                <w:color w:val="auto"/>
                <w:highlight w:val="none"/>
                <w:lang w:val="en-US" w:eastAsia="zh-CN"/>
              </w:rPr>
              <w:t>1417.82</w:t>
            </w:r>
          </w:p>
        </w:tc>
        <w:tc>
          <w:tcPr>
            <w:tcW w:w="0" w:type="auto"/>
            <w:tcBorders>
              <w:tl2br w:val="nil"/>
              <w:tr2bl w:val="nil"/>
            </w:tcBorders>
            <w:shd w:val="clear" w:color="auto" w:fill="auto"/>
            <w:noWrap/>
            <w:vAlign w:val="center"/>
          </w:tcPr>
          <w:p w14:paraId="3B2CDB8E">
            <w:pPr>
              <w:pStyle w:val="41"/>
              <w:bidi w:val="0"/>
              <w:rPr>
                <w:rFonts w:hint="default"/>
                <w:color w:val="auto"/>
                <w:highlight w:val="none"/>
              </w:rPr>
            </w:pPr>
            <w:r>
              <w:rPr>
                <w:rFonts w:hint="default"/>
                <w:color w:val="auto"/>
                <w:highlight w:val="none"/>
                <w:lang w:val="en-US" w:eastAsia="zh-CN"/>
              </w:rPr>
              <w:t>5</w:t>
            </w:r>
          </w:p>
        </w:tc>
      </w:tr>
      <w:tr w14:paraId="663AAE2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64A8D3B5">
            <w:pPr>
              <w:pStyle w:val="41"/>
              <w:bidi w:val="0"/>
              <w:rPr>
                <w:rFonts w:hint="default"/>
                <w:color w:val="auto"/>
                <w:highlight w:val="none"/>
              </w:rPr>
            </w:pPr>
            <w:r>
              <w:rPr>
                <w:rFonts w:hint="default"/>
                <w:color w:val="auto"/>
                <w:highlight w:val="none"/>
                <w:lang w:val="en-US" w:eastAsia="zh-CN"/>
              </w:rPr>
              <w:t>31</w:t>
            </w:r>
          </w:p>
        </w:tc>
        <w:tc>
          <w:tcPr>
            <w:tcW w:w="0" w:type="auto"/>
            <w:tcBorders>
              <w:tl2br w:val="nil"/>
              <w:tr2bl w:val="nil"/>
            </w:tcBorders>
            <w:shd w:val="clear" w:color="auto" w:fill="auto"/>
            <w:noWrap/>
            <w:vAlign w:val="center"/>
          </w:tcPr>
          <w:p w14:paraId="109AF0FD">
            <w:pPr>
              <w:pStyle w:val="41"/>
              <w:bidi w:val="0"/>
              <w:rPr>
                <w:rFonts w:hint="eastAsia"/>
                <w:color w:val="auto"/>
                <w:highlight w:val="none"/>
              </w:rPr>
            </w:pPr>
            <w:r>
              <w:rPr>
                <w:rFonts w:hint="eastAsia"/>
                <w:color w:val="auto"/>
                <w:highlight w:val="none"/>
                <w:lang w:val="en-US" w:eastAsia="zh-CN"/>
              </w:rPr>
              <w:t>氧气室</w:t>
            </w:r>
          </w:p>
        </w:tc>
        <w:tc>
          <w:tcPr>
            <w:tcW w:w="0" w:type="auto"/>
            <w:tcBorders>
              <w:tl2br w:val="nil"/>
              <w:tr2bl w:val="nil"/>
            </w:tcBorders>
            <w:shd w:val="clear" w:color="auto" w:fill="auto"/>
            <w:noWrap/>
            <w:vAlign w:val="center"/>
          </w:tcPr>
          <w:p w14:paraId="4CA4B975">
            <w:pPr>
              <w:pStyle w:val="41"/>
              <w:bidi w:val="0"/>
              <w:rPr>
                <w:rFonts w:hint="default"/>
                <w:color w:val="auto"/>
                <w:highlight w:val="none"/>
              </w:rPr>
            </w:pPr>
            <w:r>
              <w:rPr>
                <w:rFonts w:hint="default"/>
                <w:color w:val="auto"/>
                <w:highlight w:val="none"/>
                <w:lang w:val="en-US" w:eastAsia="zh-CN"/>
              </w:rPr>
              <w:t>3.4</w:t>
            </w:r>
          </w:p>
        </w:tc>
        <w:tc>
          <w:tcPr>
            <w:tcW w:w="0" w:type="auto"/>
            <w:tcBorders>
              <w:tl2br w:val="nil"/>
              <w:tr2bl w:val="nil"/>
            </w:tcBorders>
            <w:shd w:val="clear" w:color="auto" w:fill="auto"/>
            <w:noWrap/>
            <w:vAlign w:val="center"/>
          </w:tcPr>
          <w:p w14:paraId="0DE74AA4">
            <w:pPr>
              <w:pStyle w:val="41"/>
              <w:bidi w:val="0"/>
              <w:rPr>
                <w:rFonts w:hint="default"/>
                <w:color w:val="auto"/>
                <w:highlight w:val="none"/>
              </w:rPr>
            </w:pPr>
            <w:r>
              <w:rPr>
                <w:rFonts w:hint="default"/>
                <w:color w:val="auto"/>
                <w:highlight w:val="none"/>
                <w:lang w:val="en-US" w:eastAsia="zh-CN"/>
              </w:rPr>
              <w:t>6.4</w:t>
            </w:r>
          </w:p>
        </w:tc>
        <w:tc>
          <w:tcPr>
            <w:tcW w:w="0" w:type="auto"/>
            <w:tcBorders>
              <w:tl2br w:val="nil"/>
              <w:tr2bl w:val="nil"/>
            </w:tcBorders>
            <w:shd w:val="clear" w:color="auto" w:fill="auto"/>
            <w:noWrap/>
            <w:vAlign w:val="center"/>
          </w:tcPr>
          <w:p w14:paraId="63A1F0A7">
            <w:pPr>
              <w:pStyle w:val="41"/>
              <w:bidi w:val="0"/>
              <w:rPr>
                <w:rFonts w:hint="default"/>
                <w:color w:val="auto"/>
                <w:highlight w:val="none"/>
              </w:rPr>
            </w:pPr>
            <w:r>
              <w:rPr>
                <w:rFonts w:hint="default"/>
                <w:color w:val="auto"/>
                <w:highlight w:val="none"/>
                <w:lang w:val="en-US" w:eastAsia="zh-CN"/>
              </w:rPr>
              <w:t>21.76</w:t>
            </w:r>
          </w:p>
        </w:tc>
        <w:tc>
          <w:tcPr>
            <w:tcW w:w="0" w:type="auto"/>
            <w:tcBorders>
              <w:tl2br w:val="nil"/>
              <w:tr2bl w:val="nil"/>
            </w:tcBorders>
            <w:shd w:val="clear" w:color="auto" w:fill="auto"/>
            <w:noWrap/>
            <w:vAlign w:val="center"/>
          </w:tcPr>
          <w:p w14:paraId="1F2B54A5">
            <w:pPr>
              <w:pStyle w:val="41"/>
              <w:bidi w:val="0"/>
              <w:rPr>
                <w:rFonts w:hint="default"/>
                <w:color w:val="auto"/>
                <w:highlight w:val="none"/>
              </w:rPr>
            </w:pPr>
            <w:r>
              <w:rPr>
                <w:rFonts w:hint="default"/>
                <w:color w:val="auto"/>
                <w:highlight w:val="none"/>
                <w:lang w:val="en-US" w:eastAsia="zh-CN"/>
              </w:rPr>
              <w:t>4.5</w:t>
            </w:r>
          </w:p>
        </w:tc>
      </w:tr>
      <w:tr w14:paraId="6F6667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513FE99F">
            <w:pPr>
              <w:pStyle w:val="41"/>
              <w:bidi w:val="0"/>
              <w:rPr>
                <w:rFonts w:hint="default"/>
                <w:color w:val="auto"/>
                <w:highlight w:val="none"/>
              </w:rPr>
            </w:pPr>
            <w:r>
              <w:rPr>
                <w:rFonts w:hint="default"/>
                <w:color w:val="auto"/>
                <w:highlight w:val="none"/>
                <w:lang w:val="en-US" w:eastAsia="zh-CN"/>
              </w:rPr>
              <w:t>32</w:t>
            </w:r>
          </w:p>
        </w:tc>
        <w:tc>
          <w:tcPr>
            <w:tcW w:w="0" w:type="auto"/>
            <w:tcBorders>
              <w:tl2br w:val="nil"/>
              <w:tr2bl w:val="nil"/>
            </w:tcBorders>
            <w:shd w:val="clear" w:color="auto" w:fill="auto"/>
            <w:noWrap/>
            <w:vAlign w:val="center"/>
          </w:tcPr>
          <w:p w14:paraId="21D18876">
            <w:pPr>
              <w:pStyle w:val="41"/>
              <w:bidi w:val="0"/>
              <w:rPr>
                <w:rFonts w:hint="eastAsia"/>
                <w:color w:val="auto"/>
                <w:highlight w:val="none"/>
              </w:rPr>
            </w:pPr>
            <w:r>
              <w:rPr>
                <w:rFonts w:hint="eastAsia"/>
                <w:color w:val="auto"/>
                <w:highlight w:val="none"/>
                <w:lang w:val="en-US" w:eastAsia="zh-CN"/>
              </w:rPr>
              <w:t>乙炔室</w:t>
            </w:r>
          </w:p>
        </w:tc>
        <w:tc>
          <w:tcPr>
            <w:tcW w:w="0" w:type="auto"/>
            <w:tcBorders>
              <w:tl2br w:val="nil"/>
              <w:tr2bl w:val="nil"/>
            </w:tcBorders>
            <w:shd w:val="clear" w:color="auto" w:fill="auto"/>
            <w:noWrap/>
            <w:vAlign w:val="center"/>
          </w:tcPr>
          <w:p w14:paraId="68F4B5E3">
            <w:pPr>
              <w:pStyle w:val="41"/>
              <w:bidi w:val="0"/>
              <w:rPr>
                <w:rFonts w:hint="default"/>
                <w:color w:val="auto"/>
                <w:highlight w:val="none"/>
              </w:rPr>
            </w:pPr>
            <w:r>
              <w:rPr>
                <w:rFonts w:hint="default"/>
                <w:color w:val="auto"/>
                <w:highlight w:val="none"/>
                <w:lang w:val="en-US" w:eastAsia="zh-CN"/>
              </w:rPr>
              <w:t>3.4</w:t>
            </w:r>
          </w:p>
        </w:tc>
        <w:tc>
          <w:tcPr>
            <w:tcW w:w="0" w:type="auto"/>
            <w:tcBorders>
              <w:tl2br w:val="nil"/>
              <w:tr2bl w:val="nil"/>
            </w:tcBorders>
            <w:shd w:val="clear" w:color="auto" w:fill="auto"/>
            <w:noWrap/>
            <w:vAlign w:val="center"/>
          </w:tcPr>
          <w:p w14:paraId="3AD7E9EA">
            <w:pPr>
              <w:pStyle w:val="41"/>
              <w:bidi w:val="0"/>
              <w:rPr>
                <w:rFonts w:hint="default"/>
                <w:color w:val="auto"/>
                <w:highlight w:val="none"/>
              </w:rPr>
            </w:pPr>
            <w:r>
              <w:rPr>
                <w:rFonts w:hint="default"/>
                <w:color w:val="auto"/>
                <w:highlight w:val="none"/>
                <w:lang w:val="en-US" w:eastAsia="zh-CN"/>
              </w:rPr>
              <w:t>4.5</w:t>
            </w:r>
          </w:p>
        </w:tc>
        <w:tc>
          <w:tcPr>
            <w:tcW w:w="0" w:type="auto"/>
            <w:tcBorders>
              <w:tl2br w:val="nil"/>
              <w:tr2bl w:val="nil"/>
            </w:tcBorders>
            <w:shd w:val="clear" w:color="auto" w:fill="auto"/>
            <w:noWrap/>
            <w:vAlign w:val="center"/>
          </w:tcPr>
          <w:p w14:paraId="55A61C44">
            <w:pPr>
              <w:pStyle w:val="41"/>
              <w:bidi w:val="0"/>
              <w:rPr>
                <w:rFonts w:hint="default"/>
                <w:color w:val="auto"/>
                <w:highlight w:val="none"/>
              </w:rPr>
            </w:pPr>
            <w:r>
              <w:rPr>
                <w:rFonts w:hint="default"/>
                <w:color w:val="auto"/>
                <w:highlight w:val="none"/>
                <w:lang w:val="en-US" w:eastAsia="zh-CN"/>
              </w:rPr>
              <w:t>15.3</w:t>
            </w:r>
          </w:p>
        </w:tc>
        <w:tc>
          <w:tcPr>
            <w:tcW w:w="0" w:type="auto"/>
            <w:tcBorders>
              <w:tl2br w:val="nil"/>
              <w:tr2bl w:val="nil"/>
            </w:tcBorders>
            <w:shd w:val="clear" w:color="auto" w:fill="auto"/>
            <w:noWrap/>
            <w:vAlign w:val="center"/>
          </w:tcPr>
          <w:p w14:paraId="6E1F5265">
            <w:pPr>
              <w:pStyle w:val="41"/>
              <w:bidi w:val="0"/>
              <w:rPr>
                <w:rFonts w:hint="default"/>
                <w:color w:val="auto"/>
                <w:highlight w:val="none"/>
              </w:rPr>
            </w:pPr>
            <w:r>
              <w:rPr>
                <w:rFonts w:hint="default"/>
                <w:color w:val="auto"/>
                <w:highlight w:val="none"/>
                <w:lang w:val="en-US" w:eastAsia="zh-CN"/>
              </w:rPr>
              <w:t>4.5</w:t>
            </w:r>
          </w:p>
        </w:tc>
      </w:tr>
      <w:tr w14:paraId="3AA4BC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64EE35E0">
            <w:pPr>
              <w:pStyle w:val="41"/>
              <w:bidi w:val="0"/>
              <w:rPr>
                <w:rFonts w:hint="default"/>
                <w:color w:val="auto"/>
                <w:highlight w:val="none"/>
              </w:rPr>
            </w:pPr>
            <w:r>
              <w:rPr>
                <w:rFonts w:hint="default"/>
                <w:color w:val="auto"/>
                <w:highlight w:val="none"/>
                <w:lang w:val="en-US" w:eastAsia="zh-CN"/>
              </w:rPr>
              <w:t>33</w:t>
            </w:r>
          </w:p>
        </w:tc>
        <w:tc>
          <w:tcPr>
            <w:tcW w:w="0" w:type="auto"/>
            <w:tcBorders>
              <w:tl2br w:val="nil"/>
              <w:tr2bl w:val="nil"/>
            </w:tcBorders>
            <w:shd w:val="clear" w:color="auto" w:fill="auto"/>
            <w:noWrap/>
            <w:vAlign w:val="center"/>
          </w:tcPr>
          <w:p w14:paraId="0449A96D">
            <w:pPr>
              <w:pStyle w:val="41"/>
              <w:bidi w:val="0"/>
              <w:rPr>
                <w:rFonts w:hint="eastAsia"/>
                <w:color w:val="auto"/>
                <w:highlight w:val="none"/>
              </w:rPr>
            </w:pPr>
            <w:r>
              <w:rPr>
                <w:rFonts w:hint="eastAsia"/>
                <w:color w:val="auto"/>
                <w:highlight w:val="none"/>
                <w:lang w:val="en-US" w:eastAsia="zh-CN"/>
              </w:rPr>
              <w:t>锅炉房</w:t>
            </w:r>
          </w:p>
        </w:tc>
        <w:tc>
          <w:tcPr>
            <w:tcW w:w="0" w:type="auto"/>
            <w:tcBorders>
              <w:tl2br w:val="nil"/>
              <w:tr2bl w:val="nil"/>
            </w:tcBorders>
            <w:shd w:val="clear" w:color="auto" w:fill="auto"/>
            <w:noWrap/>
            <w:vAlign w:val="center"/>
          </w:tcPr>
          <w:p w14:paraId="2FE595C5">
            <w:pPr>
              <w:pStyle w:val="41"/>
              <w:bidi w:val="0"/>
              <w:rPr>
                <w:rFonts w:hint="default"/>
                <w:color w:val="auto"/>
                <w:highlight w:val="none"/>
              </w:rPr>
            </w:pPr>
            <w:r>
              <w:rPr>
                <w:rFonts w:hint="default"/>
                <w:color w:val="auto"/>
                <w:highlight w:val="none"/>
                <w:lang w:val="en-US" w:eastAsia="zh-CN"/>
              </w:rPr>
              <w:t>22</w:t>
            </w:r>
          </w:p>
        </w:tc>
        <w:tc>
          <w:tcPr>
            <w:tcW w:w="0" w:type="auto"/>
            <w:tcBorders>
              <w:tl2br w:val="nil"/>
              <w:tr2bl w:val="nil"/>
            </w:tcBorders>
            <w:shd w:val="clear" w:color="auto" w:fill="auto"/>
            <w:noWrap/>
            <w:vAlign w:val="center"/>
          </w:tcPr>
          <w:p w14:paraId="6B54581D">
            <w:pPr>
              <w:pStyle w:val="41"/>
              <w:bidi w:val="0"/>
              <w:rPr>
                <w:rFonts w:hint="default"/>
                <w:color w:val="auto"/>
                <w:highlight w:val="none"/>
              </w:rPr>
            </w:pPr>
            <w:r>
              <w:rPr>
                <w:rFonts w:hint="default"/>
                <w:color w:val="auto"/>
                <w:highlight w:val="none"/>
                <w:lang w:val="en-US" w:eastAsia="zh-CN"/>
              </w:rPr>
              <w:t>19</w:t>
            </w:r>
          </w:p>
        </w:tc>
        <w:tc>
          <w:tcPr>
            <w:tcW w:w="0" w:type="auto"/>
            <w:tcBorders>
              <w:tl2br w:val="nil"/>
              <w:tr2bl w:val="nil"/>
            </w:tcBorders>
            <w:shd w:val="clear" w:color="auto" w:fill="auto"/>
            <w:noWrap/>
            <w:vAlign w:val="center"/>
          </w:tcPr>
          <w:p w14:paraId="6D05E4A3">
            <w:pPr>
              <w:pStyle w:val="41"/>
              <w:bidi w:val="0"/>
              <w:rPr>
                <w:rFonts w:hint="default"/>
                <w:color w:val="auto"/>
                <w:highlight w:val="none"/>
              </w:rPr>
            </w:pPr>
            <w:r>
              <w:rPr>
                <w:rFonts w:hint="default"/>
                <w:color w:val="auto"/>
                <w:highlight w:val="none"/>
                <w:lang w:val="en-US" w:eastAsia="zh-CN"/>
              </w:rPr>
              <w:t>418</w:t>
            </w:r>
          </w:p>
        </w:tc>
        <w:tc>
          <w:tcPr>
            <w:tcW w:w="0" w:type="auto"/>
            <w:tcBorders>
              <w:tl2br w:val="nil"/>
              <w:tr2bl w:val="nil"/>
            </w:tcBorders>
            <w:shd w:val="clear" w:color="auto" w:fill="auto"/>
            <w:noWrap/>
            <w:vAlign w:val="center"/>
          </w:tcPr>
          <w:p w14:paraId="399C82DE">
            <w:pPr>
              <w:pStyle w:val="41"/>
              <w:bidi w:val="0"/>
              <w:rPr>
                <w:rFonts w:hint="default"/>
                <w:color w:val="auto"/>
                <w:highlight w:val="none"/>
              </w:rPr>
            </w:pPr>
            <w:r>
              <w:rPr>
                <w:rFonts w:hint="default"/>
                <w:color w:val="auto"/>
                <w:highlight w:val="none"/>
                <w:lang w:val="en-US" w:eastAsia="zh-CN"/>
              </w:rPr>
              <w:t>14</w:t>
            </w:r>
          </w:p>
        </w:tc>
      </w:tr>
      <w:tr w14:paraId="32512D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1FD1C345">
            <w:pPr>
              <w:pStyle w:val="41"/>
              <w:bidi w:val="0"/>
              <w:rPr>
                <w:rFonts w:hint="default"/>
                <w:color w:val="auto"/>
                <w:highlight w:val="none"/>
              </w:rPr>
            </w:pPr>
            <w:r>
              <w:rPr>
                <w:rFonts w:hint="default"/>
                <w:color w:val="auto"/>
                <w:highlight w:val="none"/>
                <w:lang w:val="en-US" w:eastAsia="zh-CN"/>
              </w:rPr>
              <w:t>34</w:t>
            </w:r>
          </w:p>
        </w:tc>
        <w:tc>
          <w:tcPr>
            <w:tcW w:w="0" w:type="auto"/>
            <w:tcBorders>
              <w:tl2br w:val="nil"/>
              <w:tr2bl w:val="nil"/>
            </w:tcBorders>
            <w:shd w:val="clear" w:color="auto" w:fill="auto"/>
            <w:noWrap/>
            <w:vAlign w:val="center"/>
          </w:tcPr>
          <w:p w14:paraId="20436FD2">
            <w:pPr>
              <w:pStyle w:val="41"/>
              <w:bidi w:val="0"/>
              <w:rPr>
                <w:rFonts w:hint="eastAsia"/>
                <w:color w:val="auto"/>
                <w:highlight w:val="none"/>
              </w:rPr>
            </w:pPr>
            <w:r>
              <w:rPr>
                <w:rFonts w:hint="eastAsia"/>
                <w:color w:val="auto"/>
                <w:highlight w:val="none"/>
                <w:lang w:val="en-US" w:eastAsia="zh-CN"/>
              </w:rPr>
              <w:t>门卫室</w:t>
            </w:r>
            <w:r>
              <w:rPr>
                <w:color w:val="auto"/>
                <w:highlight w:val="none"/>
                <w:lang w:val="en-US" w:eastAsia="zh-CN"/>
              </w:rPr>
              <w:t>3</w:t>
            </w:r>
          </w:p>
        </w:tc>
        <w:tc>
          <w:tcPr>
            <w:tcW w:w="0" w:type="auto"/>
            <w:tcBorders>
              <w:tl2br w:val="nil"/>
              <w:tr2bl w:val="nil"/>
            </w:tcBorders>
            <w:shd w:val="clear" w:color="auto" w:fill="auto"/>
            <w:noWrap/>
            <w:vAlign w:val="center"/>
          </w:tcPr>
          <w:p w14:paraId="4B3BA428">
            <w:pPr>
              <w:pStyle w:val="41"/>
              <w:bidi w:val="0"/>
              <w:rPr>
                <w:rFonts w:hint="default"/>
                <w:color w:val="auto"/>
                <w:highlight w:val="none"/>
              </w:rPr>
            </w:pPr>
            <w:r>
              <w:rPr>
                <w:rFonts w:hint="default"/>
                <w:color w:val="auto"/>
                <w:highlight w:val="none"/>
                <w:lang w:val="en-US" w:eastAsia="zh-CN"/>
              </w:rPr>
              <w:t>3.8</w:t>
            </w:r>
          </w:p>
        </w:tc>
        <w:tc>
          <w:tcPr>
            <w:tcW w:w="0" w:type="auto"/>
            <w:tcBorders>
              <w:tl2br w:val="nil"/>
              <w:tr2bl w:val="nil"/>
            </w:tcBorders>
            <w:shd w:val="clear" w:color="auto" w:fill="auto"/>
            <w:noWrap/>
            <w:vAlign w:val="center"/>
          </w:tcPr>
          <w:p w14:paraId="6BB50928">
            <w:pPr>
              <w:pStyle w:val="41"/>
              <w:bidi w:val="0"/>
              <w:rPr>
                <w:rFonts w:hint="default"/>
                <w:color w:val="auto"/>
                <w:highlight w:val="none"/>
              </w:rPr>
            </w:pPr>
            <w:r>
              <w:rPr>
                <w:rFonts w:hint="default"/>
                <w:color w:val="auto"/>
                <w:highlight w:val="none"/>
                <w:lang w:val="en-US" w:eastAsia="zh-CN"/>
              </w:rPr>
              <w:t>7.6</w:t>
            </w:r>
          </w:p>
        </w:tc>
        <w:tc>
          <w:tcPr>
            <w:tcW w:w="0" w:type="auto"/>
            <w:tcBorders>
              <w:tl2br w:val="nil"/>
              <w:tr2bl w:val="nil"/>
            </w:tcBorders>
            <w:shd w:val="clear" w:color="auto" w:fill="auto"/>
            <w:noWrap/>
            <w:vAlign w:val="center"/>
          </w:tcPr>
          <w:p w14:paraId="1D7CE367">
            <w:pPr>
              <w:pStyle w:val="41"/>
              <w:bidi w:val="0"/>
              <w:rPr>
                <w:rFonts w:hint="default"/>
                <w:color w:val="auto"/>
                <w:highlight w:val="none"/>
              </w:rPr>
            </w:pPr>
            <w:r>
              <w:rPr>
                <w:rFonts w:hint="default"/>
                <w:color w:val="auto"/>
                <w:highlight w:val="none"/>
                <w:lang w:val="en-US" w:eastAsia="zh-CN"/>
              </w:rPr>
              <w:t>28.88</w:t>
            </w:r>
          </w:p>
        </w:tc>
        <w:tc>
          <w:tcPr>
            <w:tcW w:w="0" w:type="auto"/>
            <w:tcBorders>
              <w:tl2br w:val="nil"/>
              <w:tr2bl w:val="nil"/>
            </w:tcBorders>
            <w:shd w:val="clear" w:color="auto" w:fill="auto"/>
            <w:noWrap/>
            <w:vAlign w:val="center"/>
          </w:tcPr>
          <w:p w14:paraId="78165090">
            <w:pPr>
              <w:pStyle w:val="41"/>
              <w:bidi w:val="0"/>
              <w:rPr>
                <w:rFonts w:hint="default"/>
                <w:color w:val="auto"/>
                <w:highlight w:val="none"/>
              </w:rPr>
            </w:pPr>
            <w:r>
              <w:rPr>
                <w:rFonts w:hint="default"/>
                <w:color w:val="auto"/>
                <w:highlight w:val="none"/>
                <w:lang w:val="en-US" w:eastAsia="zh-CN"/>
              </w:rPr>
              <w:t>3</w:t>
            </w:r>
          </w:p>
        </w:tc>
      </w:tr>
      <w:tr w14:paraId="225CCE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gridSpan w:val="6"/>
            <w:tcBorders>
              <w:tl2br w:val="nil"/>
              <w:tr2bl w:val="nil"/>
            </w:tcBorders>
            <w:shd w:val="clear" w:color="auto" w:fill="auto"/>
            <w:noWrap/>
            <w:vAlign w:val="center"/>
          </w:tcPr>
          <w:p w14:paraId="00A65FB5">
            <w:pPr>
              <w:pStyle w:val="41"/>
              <w:bidi w:val="0"/>
              <w:rPr>
                <w:rFonts w:hint="eastAsia"/>
                <w:color w:val="auto"/>
                <w:highlight w:val="none"/>
              </w:rPr>
            </w:pPr>
            <w:r>
              <w:rPr>
                <w:rFonts w:hint="eastAsia"/>
                <w:color w:val="auto"/>
                <w:highlight w:val="none"/>
                <w:lang w:val="en-US" w:eastAsia="zh-CN"/>
              </w:rPr>
              <w:t>办公生活区</w:t>
            </w:r>
          </w:p>
        </w:tc>
      </w:tr>
      <w:tr w14:paraId="47B3BB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vMerge w:val="restart"/>
            <w:tcBorders>
              <w:tl2br w:val="nil"/>
              <w:tr2bl w:val="nil"/>
            </w:tcBorders>
            <w:shd w:val="clear" w:color="auto" w:fill="auto"/>
            <w:noWrap/>
            <w:vAlign w:val="center"/>
          </w:tcPr>
          <w:p w14:paraId="4859C3BB">
            <w:pPr>
              <w:pStyle w:val="41"/>
              <w:bidi w:val="0"/>
              <w:rPr>
                <w:rFonts w:hint="default"/>
                <w:color w:val="auto"/>
                <w:highlight w:val="none"/>
              </w:rPr>
            </w:pPr>
            <w:r>
              <w:rPr>
                <w:rFonts w:hint="default"/>
                <w:color w:val="auto"/>
                <w:highlight w:val="none"/>
                <w:lang w:val="en-US" w:eastAsia="zh-CN"/>
              </w:rPr>
              <w:t>1</w:t>
            </w:r>
          </w:p>
        </w:tc>
        <w:tc>
          <w:tcPr>
            <w:tcW w:w="0" w:type="auto"/>
            <w:vMerge w:val="restart"/>
            <w:tcBorders>
              <w:tl2br w:val="nil"/>
              <w:tr2bl w:val="nil"/>
            </w:tcBorders>
            <w:shd w:val="clear" w:color="auto" w:fill="auto"/>
            <w:noWrap/>
            <w:vAlign w:val="center"/>
          </w:tcPr>
          <w:p w14:paraId="5127B702">
            <w:pPr>
              <w:pStyle w:val="41"/>
              <w:bidi w:val="0"/>
              <w:rPr>
                <w:rFonts w:hint="eastAsia"/>
                <w:color w:val="auto"/>
                <w:highlight w:val="none"/>
              </w:rPr>
            </w:pPr>
            <w:r>
              <w:rPr>
                <w:rFonts w:hint="eastAsia"/>
                <w:color w:val="auto"/>
                <w:highlight w:val="none"/>
                <w:lang w:val="en-US" w:eastAsia="zh-CN"/>
              </w:rPr>
              <w:t>倒班宿舍（</w:t>
            </w:r>
            <w:r>
              <w:rPr>
                <w:color w:val="auto"/>
                <w:highlight w:val="none"/>
                <w:lang w:val="en-US" w:eastAsia="zh-CN"/>
              </w:rPr>
              <w:t>6F）</w:t>
            </w:r>
          </w:p>
        </w:tc>
        <w:tc>
          <w:tcPr>
            <w:tcW w:w="0" w:type="auto"/>
            <w:tcBorders>
              <w:tl2br w:val="nil"/>
              <w:tr2bl w:val="nil"/>
            </w:tcBorders>
            <w:shd w:val="clear" w:color="auto" w:fill="auto"/>
            <w:noWrap/>
            <w:vAlign w:val="center"/>
          </w:tcPr>
          <w:p w14:paraId="234840A9">
            <w:pPr>
              <w:pStyle w:val="41"/>
              <w:bidi w:val="0"/>
              <w:rPr>
                <w:rFonts w:hint="default"/>
                <w:color w:val="auto"/>
                <w:highlight w:val="none"/>
              </w:rPr>
            </w:pPr>
            <w:r>
              <w:rPr>
                <w:rFonts w:hint="default"/>
                <w:color w:val="auto"/>
                <w:highlight w:val="none"/>
                <w:lang w:val="en-US" w:eastAsia="zh-CN"/>
              </w:rPr>
              <w:t>19.4</w:t>
            </w:r>
          </w:p>
        </w:tc>
        <w:tc>
          <w:tcPr>
            <w:tcW w:w="0" w:type="auto"/>
            <w:tcBorders>
              <w:tl2br w:val="nil"/>
              <w:tr2bl w:val="nil"/>
            </w:tcBorders>
            <w:shd w:val="clear" w:color="auto" w:fill="auto"/>
            <w:noWrap/>
            <w:vAlign w:val="center"/>
          </w:tcPr>
          <w:p w14:paraId="5B31FC25">
            <w:pPr>
              <w:pStyle w:val="41"/>
              <w:bidi w:val="0"/>
              <w:rPr>
                <w:rFonts w:hint="default"/>
                <w:color w:val="auto"/>
                <w:highlight w:val="none"/>
              </w:rPr>
            </w:pPr>
            <w:r>
              <w:rPr>
                <w:rFonts w:hint="default"/>
                <w:color w:val="auto"/>
                <w:highlight w:val="none"/>
                <w:lang w:val="en-US" w:eastAsia="zh-CN"/>
              </w:rPr>
              <w:t>67.8</w:t>
            </w:r>
          </w:p>
        </w:tc>
        <w:tc>
          <w:tcPr>
            <w:tcW w:w="0" w:type="auto"/>
            <w:tcBorders>
              <w:tl2br w:val="nil"/>
              <w:tr2bl w:val="nil"/>
            </w:tcBorders>
            <w:shd w:val="clear" w:color="auto" w:fill="auto"/>
            <w:noWrap/>
            <w:vAlign w:val="center"/>
          </w:tcPr>
          <w:p w14:paraId="7CEEE3F4">
            <w:pPr>
              <w:pStyle w:val="41"/>
              <w:bidi w:val="0"/>
              <w:rPr>
                <w:rFonts w:hint="default"/>
                <w:color w:val="auto"/>
                <w:highlight w:val="none"/>
              </w:rPr>
            </w:pPr>
            <w:r>
              <w:rPr>
                <w:rFonts w:hint="default"/>
                <w:color w:val="auto"/>
                <w:highlight w:val="none"/>
                <w:lang w:val="en-US" w:eastAsia="zh-CN"/>
              </w:rPr>
              <w:t>1315.32</w:t>
            </w:r>
          </w:p>
        </w:tc>
        <w:tc>
          <w:tcPr>
            <w:tcW w:w="0" w:type="auto"/>
            <w:tcBorders>
              <w:tl2br w:val="nil"/>
              <w:tr2bl w:val="nil"/>
            </w:tcBorders>
            <w:shd w:val="clear" w:color="auto" w:fill="auto"/>
            <w:noWrap/>
            <w:vAlign w:val="center"/>
          </w:tcPr>
          <w:p w14:paraId="16EC3065">
            <w:pPr>
              <w:pStyle w:val="41"/>
              <w:bidi w:val="0"/>
              <w:rPr>
                <w:rFonts w:hint="default"/>
                <w:color w:val="auto"/>
                <w:highlight w:val="none"/>
              </w:rPr>
            </w:pPr>
            <w:r>
              <w:rPr>
                <w:rFonts w:hint="default"/>
                <w:color w:val="auto"/>
                <w:highlight w:val="none"/>
                <w:lang w:val="en-US" w:eastAsia="zh-CN"/>
              </w:rPr>
              <w:t>23.5</w:t>
            </w:r>
          </w:p>
        </w:tc>
      </w:tr>
      <w:tr w14:paraId="76089F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shd w:val="clear" w:color="auto" w:fill="auto"/>
            <w:noWrap/>
            <w:vAlign w:val="center"/>
          </w:tcPr>
          <w:p w14:paraId="37B019C3">
            <w:pPr>
              <w:pStyle w:val="41"/>
              <w:bidi w:val="0"/>
              <w:rPr>
                <w:rFonts w:hint="default"/>
                <w:color w:val="auto"/>
                <w:highlight w:val="none"/>
              </w:rPr>
            </w:pPr>
          </w:p>
        </w:tc>
        <w:tc>
          <w:tcPr>
            <w:tcW w:w="0" w:type="auto"/>
            <w:vMerge w:val="continue"/>
            <w:tcBorders>
              <w:tl2br w:val="nil"/>
              <w:tr2bl w:val="nil"/>
            </w:tcBorders>
            <w:shd w:val="clear" w:color="auto" w:fill="auto"/>
            <w:noWrap/>
            <w:vAlign w:val="center"/>
          </w:tcPr>
          <w:p w14:paraId="3FDD040F">
            <w:pPr>
              <w:pStyle w:val="41"/>
              <w:bidi w:val="0"/>
              <w:rPr>
                <w:rFonts w:hint="eastAsia"/>
                <w:color w:val="auto"/>
                <w:highlight w:val="none"/>
              </w:rPr>
            </w:pPr>
          </w:p>
        </w:tc>
        <w:tc>
          <w:tcPr>
            <w:tcW w:w="0" w:type="auto"/>
            <w:tcBorders>
              <w:tl2br w:val="nil"/>
              <w:tr2bl w:val="nil"/>
            </w:tcBorders>
            <w:shd w:val="clear" w:color="auto" w:fill="auto"/>
            <w:noWrap/>
            <w:vAlign w:val="center"/>
          </w:tcPr>
          <w:p w14:paraId="0604B1DB">
            <w:pPr>
              <w:pStyle w:val="41"/>
              <w:bidi w:val="0"/>
              <w:rPr>
                <w:rFonts w:hint="default"/>
                <w:color w:val="auto"/>
                <w:highlight w:val="none"/>
              </w:rPr>
            </w:pPr>
            <w:r>
              <w:rPr>
                <w:rFonts w:hint="default"/>
                <w:color w:val="auto"/>
                <w:highlight w:val="none"/>
                <w:lang w:val="en-US" w:eastAsia="zh-CN"/>
              </w:rPr>
              <w:t>19.4</w:t>
            </w:r>
          </w:p>
        </w:tc>
        <w:tc>
          <w:tcPr>
            <w:tcW w:w="0" w:type="auto"/>
            <w:tcBorders>
              <w:tl2br w:val="nil"/>
              <w:tr2bl w:val="nil"/>
            </w:tcBorders>
            <w:shd w:val="clear" w:color="auto" w:fill="auto"/>
            <w:noWrap/>
            <w:vAlign w:val="center"/>
          </w:tcPr>
          <w:p w14:paraId="6153EBD7">
            <w:pPr>
              <w:pStyle w:val="41"/>
              <w:bidi w:val="0"/>
              <w:rPr>
                <w:rFonts w:hint="default"/>
                <w:color w:val="auto"/>
                <w:highlight w:val="none"/>
              </w:rPr>
            </w:pPr>
            <w:r>
              <w:rPr>
                <w:rFonts w:hint="default"/>
                <w:color w:val="auto"/>
                <w:highlight w:val="none"/>
                <w:lang w:val="en-US" w:eastAsia="zh-CN"/>
              </w:rPr>
              <w:t>32</w:t>
            </w:r>
          </w:p>
        </w:tc>
        <w:tc>
          <w:tcPr>
            <w:tcW w:w="0" w:type="auto"/>
            <w:tcBorders>
              <w:tl2br w:val="nil"/>
              <w:tr2bl w:val="nil"/>
            </w:tcBorders>
            <w:shd w:val="clear" w:color="auto" w:fill="auto"/>
            <w:noWrap/>
            <w:vAlign w:val="center"/>
          </w:tcPr>
          <w:p w14:paraId="42FD6A67">
            <w:pPr>
              <w:pStyle w:val="41"/>
              <w:bidi w:val="0"/>
              <w:rPr>
                <w:rFonts w:hint="default"/>
                <w:color w:val="auto"/>
                <w:highlight w:val="none"/>
              </w:rPr>
            </w:pPr>
            <w:r>
              <w:rPr>
                <w:rFonts w:hint="default"/>
                <w:color w:val="auto"/>
                <w:highlight w:val="none"/>
                <w:lang w:val="en-US" w:eastAsia="zh-CN"/>
              </w:rPr>
              <w:t>620.8</w:t>
            </w:r>
          </w:p>
        </w:tc>
        <w:tc>
          <w:tcPr>
            <w:tcW w:w="0" w:type="auto"/>
            <w:tcBorders>
              <w:tl2br w:val="nil"/>
              <w:tr2bl w:val="nil"/>
            </w:tcBorders>
            <w:shd w:val="clear" w:color="auto" w:fill="auto"/>
            <w:noWrap/>
            <w:vAlign w:val="center"/>
          </w:tcPr>
          <w:p w14:paraId="1528DA0C">
            <w:pPr>
              <w:pStyle w:val="41"/>
              <w:bidi w:val="0"/>
              <w:rPr>
                <w:rFonts w:hint="default"/>
                <w:color w:val="auto"/>
                <w:highlight w:val="none"/>
              </w:rPr>
            </w:pPr>
            <w:r>
              <w:rPr>
                <w:rFonts w:hint="default"/>
                <w:color w:val="auto"/>
                <w:highlight w:val="none"/>
                <w:lang w:val="en-US" w:eastAsia="zh-CN"/>
              </w:rPr>
              <w:t>23.5</w:t>
            </w:r>
          </w:p>
        </w:tc>
      </w:tr>
      <w:tr w14:paraId="63FF3F3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5A6511A6">
            <w:pPr>
              <w:pStyle w:val="41"/>
              <w:bidi w:val="0"/>
              <w:rPr>
                <w:rFonts w:hint="default"/>
                <w:color w:val="auto"/>
                <w:highlight w:val="none"/>
              </w:rPr>
            </w:pPr>
            <w:r>
              <w:rPr>
                <w:rFonts w:hint="default"/>
                <w:color w:val="auto"/>
                <w:highlight w:val="none"/>
                <w:lang w:val="en-US" w:eastAsia="zh-CN"/>
              </w:rPr>
              <w:t>2</w:t>
            </w:r>
          </w:p>
        </w:tc>
        <w:tc>
          <w:tcPr>
            <w:tcW w:w="0" w:type="auto"/>
            <w:tcBorders>
              <w:tl2br w:val="nil"/>
              <w:tr2bl w:val="nil"/>
            </w:tcBorders>
            <w:shd w:val="clear" w:color="auto" w:fill="auto"/>
            <w:noWrap/>
            <w:vAlign w:val="center"/>
          </w:tcPr>
          <w:p w14:paraId="2A222FA7">
            <w:pPr>
              <w:pStyle w:val="41"/>
              <w:bidi w:val="0"/>
              <w:rPr>
                <w:rFonts w:hint="eastAsia"/>
                <w:color w:val="auto"/>
                <w:highlight w:val="none"/>
              </w:rPr>
            </w:pPr>
            <w:r>
              <w:rPr>
                <w:rFonts w:hint="eastAsia"/>
                <w:color w:val="auto"/>
                <w:highlight w:val="none"/>
                <w:lang w:val="en-US" w:eastAsia="zh-CN"/>
              </w:rPr>
              <w:t>职工餐厅</w:t>
            </w:r>
          </w:p>
        </w:tc>
        <w:tc>
          <w:tcPr>
            <w:tcW w:w="0" w:type="auto"/>
            <w:tcBorders>
              <w:tl2br w:val="nil"/>
              <w:tr2bl w:val="nil"/>
            </w:tcBorders>
            <w:shd w:val="clear" w:color="auto" w:fill="auto"/>
            <w:noWrap/>
            <w:vAlign w:val="center"/>
          </w:tcPr>
          <w:p w14:paraId="6FE38DC1">
            <w:pPr>
              <w:pStyle w:val="41"/>
              <w:bidi w:val="0"/>
              <w:rPr>
                <w:rFonts w:hint="default"/>
                <w:color w:val="auto"/>
                <w:highlight w:val="none"/>
              </w:rPr>
            </w:pPr>
            <w:r>
              <w:rPr>
                <w:rFonts w:hint="default"/>
                <w:color w:val="auto"/>
                <w:highlight w:val="none"/>
                <w:lang w:val="en-US" w:eastAsia="zh-CN"/>
              </w:rPr>
              <w:t>25.4</w:t>
            </w:r>
          </w:p>
        </w:tc>
        <w:tc>
          <w:tcPr>
            <w:tcW w:w="0" w:type="auto"/>
            <w:tcBorders>
              <w:tl2br w:val="nil"/>
              <w:tr2bl w:val="nil"/>
            </w:tcBorders>
            <w:shd w:val="clear" w:color="auto" w:fill="auto"/>
            <w:noWrap/>
            <w:vAlign w:val="center"/>
          </w:tcPr>
          <w:p w14:paraId="3D8B1F27">
            <w:pPr>
              <w:pStyle w:val="41"/>
              <w:bidi w:val="0"/>
              <w:rPr>
                <w:rFonts w:hint="default"/>
                <w:color w:val="auto"/>
                <w:highlight w:val="none"/>
              </w:rPr>
            </w:pPr>
            <w:r>
              <w:rPr>
                <w:rFonts w:hint="default"/>
                <w:color w:val="auto"/>
                <w:highlight w:val="none"/>
                <w:lang w:val="en-US" w:eastAsia="zh-CN"/>
              </w:rPr>
              <w:t>54.2</w:t>
            </w:r>
          </w:p>
        </w:tc>
        <w:tc>
          <w:tcPr>
            <w:tcW w:w="0" w:type="auto"/>
            <w:tcBorders>
              <w:tl2br w:val="nil"/>
              <w:tr2bl w:val="nil"/>
            </w:tcBorders>
            <w:shd w:val="clear" w:color="auto" w:fill="auto"/>
            <w:noWrap/>
            <w:vAlign w:val="center"/>
          </w:tcPr>
          <w:p w14:paraId="681173C1">
            <w:pPr>
              <w:pStyle w:val="41"/>
              <w:bidi w:val="0"/>
              <w:rPr>
                <w:rFonts w:hint="default"/>
                <w:color w:val="auto"/>
                <w:highlight w:val="none"/>
              </w:rPr>
            </w:pPr>
            <w:r>
              <w:rPr>
                <w:rFonts w:hint="default"/>
                <w:color w:val="auto"/>
                <w:highlight w:val="none"/>
                <w:lang w:val="en-US" w:eastAsia="zh-CN"/>
              </w:rPr>
              <w:t>1376.68</w:t>
            </w:r>
          </w:p>
        </w:tc>
        <w:tc>
          <w:tcPr>
            <w:tcW w:w="0" w:type="auto"/>
            <w:tcBorders>
              <w:tl2br w:val="nil"/>
              <w:tr2bl w:val="nil"/>
            </w:tcBorders>
            <w:shd w:val="clear" w:color="auto" w:fill="auto"/>
            <w:noWrap/>
            <w:vAlign w:val="center"/>
          </w:tcPr>
          <w:p w14:paraId="0B88FEC0">
            <w:pPr>
              <w:pStyle w:val="41"/>
              <w:bidi w:val="0"/>
              <w:rPr>
                <w:rFonts w:hint="default"/>
                <w:color w:val="auto"/>
                <w:highlight w:val="none"/>
              </w:rPr>
            </w:pPr>
            <w:r>
              <w:rPr>
                <w:rFonts w:hint="default"/>
                <w:color w:val="auto"/>
                <w:highlight w:val="none"/>
                <w:lang w:val="en-US" w:eastAsia="zh-CN"/>
              </w:rPr>
              <w:t>5.7</w:t>
            </w:r>
          </w:p>
        </w:tc>
      </w:tr>
      <w:tr w14:paraId="707012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3FAC3114">
            <w:pPr>
              <w:pStyle w:val="41"/>
              <w:bidi w:val="0"/>
              <w:rPr>
                <w:rFonts w:hint="default"/>
                <w:color w:val="auto"/>
                <w:highlight w:val="none"/>
              </w:rPr>
            </w:pPr>
            <w:r>
              <w:rPr>
                <w:rFonts w:hint="default"/>
                <w:color w:val="auto"/>
                <w:highlight w:val="none"/>
                <w:lang w:val="en-US" w:eastAsia="zh-CN"/>
              </w:rPr>
              <w:t>3</w:t>
            </w:r>
          </w:p>
        </w:tc>
        <w:tc>
          <w:tcPr>
            <w:tcW w:w="0" w:type="auto"/>
            <w:tcBorders>
              <w:tl2br w:val="nil"/>
              <w:tr2bl w:val="nil"/>
            </w:tcBorders>
            <w:shd w:val="clear" w:color="auto" w:fill="auto"/>
            <w:noWrap/>
            <w:vAlign w:val="center"/>
          </w:tcPr>
          <w:p w14:paraId="054577F1">
            <w:pPr>
              <w:pStyle w:val="41"/>
              <w:bidi w:val="0"/>
              <w:rPr>
                <w:rFonts w:hint="eastAsia"/>
                <w:color w:val="auto"/>
                <w:highlight w:val="none"/>
              </w:rPr>
            </w:pPr>
            <w:r>
              <w:rPr>
                <w:rFonts w:hint="eastAsia"/>
                <w:color w:val="auto"/>
                <w:highlight w:val="none"/>
                <w:lang w:val="en-US" w:eastAsia="zh-CN"/>
              </w:rPr>
              <w:t>辅助用房</w:t>
            </w:r>
          </w:p>
        </w:tc>
        <w:tc>
          <w:tcPr>
            <w:tcW w:w="0" w:type="auto"/>
            <w:tcBorders>
              <w:tl2br w:val="nil"/>
              <w:tr2bl w:val="nil"/>
            </w:tcBorders>
            <w:shd w:val="clear" w:color="auto" w:fill="auto"/>
            <w:noWrap/>
            <w:vAlign w:val="center"/>
          </w:tcPr>
          <w:p w14:paraId="13197C8B">
            <w:pPr>
              <w:pStyle w:val="41"/>
              <w:bidi w:val="0"/>
              <w:rPr>
                <w:rFonts w:hint="default"/>
                <w:color w:val="auto"/>
                <w:highlight w:val="none"/>
              </w:rPr>
            </w:pPr>
            <w:r>
              <w:rPr>
                <w:rFonts w:hint="default"/>
                <w:color w:val="auto"/>
                <w:highlight w:val="none"/>
                <w:lang w:val="en-US" w:eastAsia="zh-CN"/>
              </w:rPr>
              <w:t>18.1</w:t>
            </w:r>
          </w:p>
        </w:tc>
        <w:tc>
          <w:tcPr>
            <w:tcW w:w="0" w:type="auto"/>
            <w:tcBorders>
              <w:tl2br w:val="nil"/>
              <w:tr2bl w:val="nil"/>
            </w:tcBorders>
            <w:shd w:val="clear" w:color="auto" w:fill="auto"/>
            <w:noWrap/>
            <w:vAlign w:val="center"/>
          </w:tcPr>
          <w:p w14:paraId="76975158">
            <w:pPr>
              <w:pStyle w:val="41"/>
              <w:bidi w:val="0"/>
              <w:rPr>
                <w:rFonts w:hint="default"/>
                <w:color w:val="auto"/>
                <w:highlight w:val="none"/>
              </w:rPr>
            </w:pPr>
            <w:r>
              <w:rPr>
                <w:rFonts w:hint="default"/>
                <w:color w:val="auto"/>
                <w:highlight w:val="none"/>
                <w:lang w:val="en-US" w:eastAsia="zh-CN"/>
              </w:rPr>
              <w:t>27</w:t>
            </w:r>
          </w:p>
        </w:tc>
        <w:tc>
          <w:tcPr>
            <w:tcW w:w="0" w:type="auto"/>
            <w:tcBorders>
              <w:tl2br w:val="nil"/>
              <w:tr2bl w:val="nil"/>
            </w:tcBorders>
            <w:shd w:val="clear" w:color="auto" w:fill="auto"/>
            <w:noWrap/>
            <w:vAlign w:val="center"/>
          </w:tcPr>
          <w:p w14:paraId="1FA5FE10">
            <w:pPr>
              <w:pStyle w:val="41"/>
              <w:bidi w:val="0"/>
              <w:rPr>
                <w:rFonts w:hint="default"/>
                <w:color w:val="auto"/>
                <w:highlight w:val="none"/>
              </w:rPr>
            </w:pPr>
            <w:r>
              <w:rPr>
                <w:rFonts w:hint="default"/>
                <w:color w:val="auto"/>
                <w:highlight w:val="none"/>
                <w:lang w:val="en-US" w:eastAsia="zh-CN"/>
              </w:rPr>
              <w:t>488.7</w:t>
            </w:r>
          </w:p>
        </w:tc>
        <w:tc>
          <w:tcPr>
            <w:tcW w:w="0" w:type="auto"/>
            <w:tcBorders>
              <w:tl2br w:val="nil"/>
              <w:tr2bl w:val="nil"/>
            </w:tcBorders>
            <w:shd w:val="clear" w:color="auto" w:fill="auto"/>
            <w:noWrap/>
            <w:vAlign w:val="center"/>
          </w:tcPr>
          <w:p w14:paraId="7BD050E7">
            <w:pPr>
              <w:pStyle w:val="41"/>
              <w:bidi w:val="0"/>
              <w:rPr>
                <w:rFonts w:hint="default"/>
                <w:color w:val="auto"/>
                <w:highlight w:val="none"/>
              </w:rPr>
            </w:pPr>
            <w:r>
              <w:rPr>
                <w:rFonts w:hint="default"/>
                <w:color w:val="auto"/>
                <w:highlight w:val="none"/>
                <w:lang w:val="en-US" w:eastAsia="zh-CN"/>
              </w:rPr>
              <w:t>5</w:t>
            </w:r>
          </w:p>
        </w:tc>
      </w:tr>
      <w:tr w14:paraId="46004E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7EBA2DC0">
            <w:pPr>
              <w:pStyle w:val="41"/>
              <w:bidi w:val="0"/>
              <w:rPr>
                <w:rFonts w:hint="default"/>
                <w:color w:val="auto"/>
                <w:highlight w:val="none"/>
              </w:rPr>
            </w:pPr>
            <w:r>
              <w:rPr>
                <w:rFonts w:hint="default"/>
                <w:color w:val="auto"/>
                <w:highlight w:val="none"/>
                <w:lang w:val="en-US" w:eastAsia="zh-CN"/>
              </w:rPr>
              <w:t>4</w:t>
            </w:r>
          </w:p>
        </w:tc>
        <w:tc>
          <w:tcPr>
            <w:tcW w:w="0" w:type="auto"/>
            <w:tcBorders>
              <w:tl2br w:val="nil"/>
              <w:tr2bl w:val="nil"/>
            </w:tcBorders>
            <w:shd w:val="clear" w:color="auto" w:fill="auto"/>
            <w:noWrap/>
            <w:vAlign w:val="center"/>
          </w:tcPr>
          <w:p w14:paraId="0AF243E5">
            <w:pPr>
              <w:pStyle w:val="41"/>
              <w:bidi w:val="0"/>
              <w:rPr>
                <w:rFonts w:hint="eastAsia"/>
                <w:color w:val="auto"/>
                <w:highlight w:val="none"/>
              </w:rPr>
            </w:pPr>
            <w:r>
              <w:rPr>
                <w:rFonts w:hint="eastAsia"/>
                <w:color w:val="auto"/>
                <w:highlight w:val="none"/>
                <w:lang w:val="en-US" w:eastAsia="zh-CN"/>
              </w:rPr>
              <w:t>门卫室</w:t>
            </w:r>
            <w:r>
              <w:rPr>
                <w:color w:val="auto"/>
                <w:highlight w:val="none"/>
                <w:lang w:val="en-US" w:eastAsia="zh-CN"/>
              </w:rPr>
              <w:t>1</w:t>
            </w:r>
          </w:p>
        </w:tc>
        <w:tc>
          <w:tcPr>
            <w:tcW w:w="0" w:type="auto"/>
            <w:tcBorders>
              <w:tl2br w:val="nil"/>
              <w:tr2bl w:val="nil"/>
            </w:tcBorders>
            <w:shd w:val="clear" w:color="auto" w:fill="auto"/>
            <w:noWrap/>
            <w:vAlign w:val="center"/>
          </w:tcPr>
          <w:p w14:paraId="53D0529D">
            <w:pPr>
              <w:pStyle w:val="41"/>
              <w:bidi w:val="0"/>
              <w:rPr>
                <w:rFonts w:hint="default"/>
                <w:color w:val="auto"/>
                <w:highlight w:val="none"/>
              </w:rPr>
            </w:pPr>
            <w:r>
              <w:rPr>
                <w:rFonts w:hint="default"/>
                <w:color w:val="auto"/>
                <w:highlight w:val="none"/>
                <w:lang w:val="en-US" w:eastAsia="zh-CN"/>
              </w:rPr>
              <w:t>3.8</w:t>
            </w:r>
          </w:p>
        </w:tc>
        <w:tc>
          <w:tcPr>
            <w:tcW w:w="0" w:type="auto"/>
            <w:tcBorders>
              <w:tl2br w:val="nil"/>
              <w:tr2bl w:val="nil"/>
            </w:tcBorders>
            <w:shd w:val="clear" w:color="auto" w:fill="auto"/>
            <w:noWrap/>
            <w:vAlign w:val="center"/>
          </w:tcPr>
          <w:p w14:paraId="54E9D854">
            <w:pPr>
              <w:pStyle w:val="41"/>
              <w:bidi w:val="0"/>
              <w:rPr>
                <w:rFonts w:hint="default"/>
                <w:color w:val="auto"/>
                <w:highlight w:val="none"/>
              </w:rPr>
            </w:pPr>
            <w:r>
              <w:rPr>
                <w:rFonts w:hint="default"/>
                <w:color w:val="auto"/>
                <w:highlight w:val="none"/>
                <w:lang w:val="en-US" w:eastAsia="zh-CN"/>
              </w:rPr>
              <w:t>7.6</w:t>
            </w:r>
          </w:p>
        </w:tc>
        <w:tc>
          <w:tcPr>
            <w:tcW w:w="0" w:type="auto"/>
            <w:tcBorders>
              <w:tl2br w:val="nil"/>
              <w:tr2bl w:val="nil"/>
            </w:tcBorders>
            <w:shd w:val="clear" w:color="auto" w:fill="auto"/>
            <w:noWrap/>
            <w:vAlign w:val="center"/>
          </w:tcPr>
          <w:p w14:paraId="6271C026">
            <w:pPr>
              <w:pStyle w:val="41"/>
              <w:bidi w:val="0"/>
              <w:rPr>
                <w:rFonts w:hint="default"/>
                <w:color w:val="auto"/>
                <w:highlight w:val="none"/>
              </w:rPr>
            </w:pPr>
            <w:r>
              <w:rPr>
                <w:rFonts w:hint="default"/>
                <w:color w:val="auto"/>
                <w:highlight w:val="none"/>
                <w:lang w:val="en-US" w:eastAsia="zh-CN"/>
              </w:rPr>
              <w:t>28.88</w:t>
            </w:r>
          </w:p>
        </w:tc>
        <w:tc>
          <w:tcPr>
            <w:tcW w:w="0" w:type="auto"/>
            <w:tcBorders>
              <w:tl2br w:val="nil"/>
              <w:tr2bl w:val="nil"/>
            </w:tcBorders>
            <w:shd w:val="clear" w:color="auto" w:fill="auto"/>
            <w:noWrap/>
            <w:vAlign w:val="center"/>
          </w:tcPr>
          <w:p w14:paraId="69FC2A56">
            <w:pPr>
              <w:pStyle w:val="41"/>
              <w:bidi w:val="0"/>
              <w:rPr>
                <w:rFonts w:hint="default"/>
                <w:color w:val="auto"/>
                <w:highlight w:val="none"/>
              </w:rPr>
            </w:pPr>
            <w:r>
              <w:rPr>
                <w:rFonts w:hint="default"/>
                <w:color w:val="auto"/>
                <w:highlight w:val="none"/>
                <w:lang w:val="en-US" w:eastAsia="zh-CN"/>
              </w:rPr>
              <w:t>3</w:t>
            </w:r>
          </w:p>
        </w:tc>
      </w:tr>
      <w:tr w14:paraId="4F55CB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6D12F17E">
            <w:pPr>
              <w:pStyle w:val="41"/>
              <w:bidi w:val="0"/>
              <w:rPr>
                <w:rFonts w:hint="default"/>
                <w:color w:val="auto"/>
                <w:highlight w:val="none"/>
              </w:rPr>
            </w:pPr>
            <w:r>
              <w:rPr>
                <w:rFonts w:hint="default"/>
                <w:color w:val="auto"/>
                <w:highlight w:val="none"/>
                <w:lang w:val="en-US" w:eastAsia="zh-CN"/>
              </w:rPr>
              <w:t>5</w:t>
            </w:r>
          </w:p>
        </w:tc>
        <w:tc>
          <w:tcPr>
            <w:tcW w:w="0" w:type="auto"/>
            <w:tcBorders>
              <w:tl2br w:val="nil"/>
              <w:tr2bl w:val="nil"/>
            </w:tcBorders>
            <w:shd w:val="clear" w:color="auto" w:fill="auto"/>
            <w:noWrap/>
            <w:vAlign w:val="center"/>
          </w:tcPr>
          <w:p w14:paraId="451543B5">
            <w:pPr>
              <w:pStyle w:val="41"/>
              <w:bidi w:val="0"/>
              <w:rPr>
                <w:rFonts w:hint="eastAsia"/>
                <w:color w:val="auto"/>
                <w:highlight w:val="none"/>
              </w:rPr>
            </w:pPr>
            <w:r>
              <w:rPr>
                <w:rFonts w:hint="eastAsia"/>
                <w:color w:val="auto"/>
                <w:highlight w:val="none"/>
                <w:lang w:val="en-US" w:eastAsia="zh-CN"/>
              </w:rPr>
              <w:t>门卫室</w:t>
            </w:r>
            <w:r>
              <w:rPr>
                <w:color w:val="auto"/>
                <w:highlight w:val="none"/>
                <w:lang w:val="en-US" w:eastAsia="zh-CN"/>
              </w:rPr>
              <w:t>2</w:t>
            </w:r>
          </w:p>
        </w:tc>
        <w:tc>
          <w:tcPr>
            <w:tcW w:w="0" w:type="auto"/>
            <w:tcBorders>
              <w:tl2br w:val="nil"/>
              <w:tr2bl w:val="nil"/>
            </w:tcBorders>
            <w:shd w:val="clear" w:color="auto" w:fill="auto"/>
            <w:noWrap/>
            <w:vAlign w:val="center"/>
          </w:tcPr>
          <w:p w14:paraId="2811529C">
            <w:pPr>
              <w:pStyle w:val="41"/>
              <w:bidi w:val="0"/>
              <w:rPr>
                <w:rFonts w:hint="default"/>
                <w:color w:val="auto"/>
                <w:highlight w:val="none"/>
              </w:rPr>
            </w:pPr>
            <w:r>
              <w:rPr>
                <w:rFonts w:hint="default"/>
                <w:color w:val="auto"/>
                <w:highlight w:val="none"/>
                <w:lang w:val="en-US" w:eastAsia="zh-CN"/>
              </w:rPr>
              <w:t>3.8</w:t>
            </w:r>
          </w:p>
        </w:tc>
        <w:tc>
          <w:tcPr>
            <w:tcW w:w="0" w:type="auto"/>
            <w:tcBorders>
              <w:tl2br w:val="nil"/>
              <w:tr2bl w:val="nil"/>
            </w:tcBorders>
            <w:shd w:val="clear" w:color="auto" w:fill="auto"/>
            <w:noWrap/>
            <w:vAlign w:val="center"/>
          </w:tcPr>
          <w:p w14:paraId="02989FEC">
            <w:pPr>
              <w:pStyle w:val="41"/>
              <w:bidi w:val="0"/>
              <w:rPr>
                <w:rFonts w:hint="default"/>
                <w:color w:val="auto"/>
                <w:highlight w:val="none"/>
              </w:rPr>
            </w:pPr>
            <w:r>
              <w:rPr>
                <w:rFonts w:hint="default"/>
                <w:color w:val="auto"/>
                <w:highlight w:val="none"/>
                <w:lang w:val="en-US" w:eastAsia="zh-CN"/>
              </w:rPr>
              <w:t>14</w:t>
            </w:r>
          </w:p>
        </w:tc>
        <w:tc>
          <w:tcPr>
            <w:tcW w:w="0" w:type="auto"/>
            <w:tcBorders>
              <w:tl2br w:val="nil"/>
              <w:tr2bl w:val="nil"/>
            </w:tcBorders>
            <w:shd w:val="clear" w:color="auto" w:fill="auto"/>
            <w:noWrap/>
            <w:vAlign w:val="center"/>
          </w:tcPr>
          <w:p w14:paraId="44C48E38">
            <w:pPr>
              <w:pStyle w:val="41"/>
              <w:bidi w:val="0"/>
              <w:rPr>
                <w:rFonts w:hint="default"/>
                <w:color w:val="auto"/>
                <w:highlight w:val="none"/>
              </w:rPr>
            </w:pPr>
            <w:r>
              <w:rPr>
                <w:rFonts w:hint="default"/>
                <w:color w:val="auto"/>
                <w:highlight w:val="none"/>
                <w:lang w:val="en-US" w:eastAsia="zh-CN"/>
              </w:rPr>
              <w:t>53.2</w:t>
            </w:r>
          </w:p>
        </w:tc>
        <w:tc>
          <w:tcPr>
            <w:tcW w:w="0" w:type="auto"/>
            <w:tcBorders>
              <w:tl2br w:val="nil"/>
              <w:tr2bl w:val="nil"/>
            </w:tcBorders>
            <w:shd w:val="clear" w:color="auto" w:fill="auto"/>
            <w:noWrap/>
            <w:vAlign w:val="center"/>
          </w:tcPr>
          <w:p w14:paraId="34D006FC">
            <w:pPr>
              <w:pStyle w:val="41"/>
              <w:bidi w:val="0"/>
              <w:rPr>
                <w:rFonts w:hint="default"/>
                <w:color w:val="auto"/>
                <w:highlight w:val="none"/>
              </w:rPr>
            </w:pPr>
            <w:r>
              <w:rPr>
                <w:rFonts w:hint="default"/>
                <w:color w:val="auto"/>
                <w:highlight w:val="none"/>
                <w:lang w:val="en-US" w:eastAsia="zh-CN"/>
              </w:rPr>
              <w:t>3</w:t>
            </w:r>
          </w:p>
        </w:tc>
      </w:tr>
    </w:tbl>
    <w:p w14:paraId="3C7BA72C">
      <w:pPr>
        <w:pStyle w:val="42"/>
        <w:rPr>
          <w:rFonts w:hint="default"/>
          <w:color w:val="auto"/>
          <w:highlight w:val="none"/>
        </w:rPr>
      </w:pPr>
      <w:r>
        <w:rPr>
          <w:rFonts w:hint="default"/>
          <w:color w:val="auto"/>
          <w:highlight w:val="none"/>
        </w:rPr>
        <w:t>主要设备</w:t>
      </w:r>
    </w:p>
    <w:p w14:paraId="6EC92909">
      <w:pPr>
        <w:pStyle w:val="3"/>
        <w:ind w:firstLine="480"/>
        <w:rPr>
          <w:color w:val="auto"/>
          <w:highlight w:val="none"/>
        </w:rPr>
      </w:pPr>
      <w:r>
        <w:rPr>
          <w:rFonts w:hint="eastAsia"/>
          <w:color w:val="auto"/>
          <w:highlight w:val="none"/>
          <w:lang w:eastAsia="zh-CN"/>
        </w:rPr>
        <w:t>项目</w:t>
      </w:r>
      <w:r>
        <w:rPr>
          <w:color w:val="auto"/>
          <w:highlight w:val="none"/>
        </w:rPr>
        <w:t>主要设备选型见表3.</w:t>
      </w:r>
      <w:r>
        <w:rPr>
          <w:rFonts w:hint="eastAsia"/>
          <w:color w:val="auto"/>
          <w:highlight w:val="none"/>
          <w:lang w:val="en-US" w:eastAsia="zh-CN"/>
        </w:rPr>
        <w:t>2</w:t>
      </w:r>
      <w:r>
        <w:rPr>
          <w:color w:val="auto"/>
          <w:highlight w:val="none"/>
        </w:rPr>
        <w:t>-</w:t>
      </w:r>
      <w:r>
        <w:rPr>
          <w:rFonts w:hint="eastAsia"/>
          <w:color w:val="auto"/>
          <w:highlight w:val="none"/>
          <w:lang w:val="en-US" w:eastAsia="zh-CN"/>
        </w:rPr>
        <w:t>9</w:t>
      </w:r>
      <w:r>
        <w:rPr>
          <w:color w:val="auto"/>
          <w:highlight w:val="none"/>
        </w:rPr>
        <w:t>。</w:t>
      </w:r>
    </w:p>
    <w:p w14:paraId="3638273F">
      <w:pPr>
        <w:pStyle w:val="40"/>
        <w:spacing w:before="31" w:after="31"/>
        <w:rPr>
          <w:color w:val="auto"/>
          <w:highlight w:val="none"/>
        </w:rPr>
      </w:pPr>
      <w:r>
        <w:rPr>
          <w:color w:val="auto"/>
          <w:highlight w:val="none"/>
        </w:rPr>
        <w:t>表</w:t>
      </w:r>
      <w:r>
        <w:rPr>
          <w:rFonts w:hint="eastAsia"/>
          <w:color w:val="auto"/>
          <w:highlight w:val="none"/>
        </w:rPr>
        <w:t>3.2-</w:t>
      </w:r>
      <w:r>
        <w:rPr>
          <w:rFonts w:hint="eastAsia"/>
          <w:color w:val="auto"/>
          <w:highlight w:val="none"/>
          <w:lang w:val="en-US" w:eastAsia="zh-CN"/>
        </w:rPr>
        <w:t>9</w:t>
      </w:r>
      <w:r>
        <w:rPr>
          <w:color w:val="auto"/>
          <w:highlight w:val="none"/>
        </w:rPr>
        <w:t xml:space="preserve"> </w:t>
      </w:r>
      <w:r>
        <w:rPr>
          <w:rFonts w:hint="eastAsia"/>
          <w:color w:val="auto"/>
          <w:highlight w:val="none"/>
        </w:rPr>
        <w:t xml:space="preserve">  一期580万t/a生产线</w:t>
      </w:r>
      <w:r>
        <w:rPr>
          <w:color w:val="auto"/>
          <w:highlight w:val="none"/>
        </w:rPr>
        <w:t>主要</w:t>
      </w:r>
      <w:r>
        <w:rPr>
          <w:rFonts w:hint="eastAsia"/>
          <w:color w:val="auto"/>
          <w:highlight w:val="none"/>
        </w:rPr>
        <w:t>生产</w:t>
      </w:r>
      <w:r>
        <w:rPr>
          <w:color w:val="auto"/>
          <w:highlight w:val="none"/>
        </w:rPr>
        <w:t>设备一览表</w:t>
      </w:r>
    </w:p>
    <w:tbl>
      <w:tblPr>
        <w:tblStyle w:val="25"/>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646"/>
        <w:gridCol w:w="2834"/>
        <w:gridCol w:w="2504"/>
        <w:gridCol w:w="781"/>
        <w:gridCol w:w="1757"/>
      </w:tblGrid>
      <w:tr w14:paraId="483BC4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379" w:type="pct"/>
            <w:tcBorders>
              <w:tl2br w:val="nil"/>
              <w:tr2bl w:val="nil"/>
            </w:tcBorders>
            <w:noWrap/>
            <w:vAlign w:val="center"/>
          </w:tcPr>
          <w:p w14:paraId="234661CC">
            <w:pPr>
              <w:pStyle w:val="41"/>
              <w:rPr>
                <w:color w:val="auto"/>
                <w:highlight w:val="none"/>
              </w:rPr>
            </w:pPr>
            <w:r>
              <w:rPr>
                <w:rFonts w:hint="eastAsia"/>
                <w:color w:val="auto"/>
                <w:highlight w:val="none"/>
              </w:rPr>
              <w:t>序号</w:t>
            </w:r>
          </w:p>
        </w:tc>
        <w:tc>
          <w:tcPr>
            <w:tcW w:w="1663" w:type="pct"/>
            <w:tcBorders>
              <w:tl2br w:val="nil"/>
              <w:tr2bl w:val="nil"/>
            </w:tcBorders>
            <w:noWrap/>
            <w:vAlign w:val="center"/>
          </w:tcPr>
          <w:p w14:paraId="5E2294A4">
            <w:pPr>
              <w:pStyle w:val="41"/>
              <w:rPr>
                <w:color w:val="auto"/>
                <w:highlight w:val="none"/>
              </w:rPr>
            </w:pPr>
            <w:r>
              <w:rPr>
                <w:rFonts w:hint="eastAsia"/>
                <w:color w:val="auto"/>
                <w:highlight w:val="none"/>
              </w:rPr>
              <w:t>设备名称</w:t>
            </w:r>
          </w:p>
        </w:tc>
        <w:tc>
          <w:tcPr>
            <w:tcW w:w="1469" w:type="pct"/>
            <w:tcBorders>
              <w:tl2br w:val="nil"/>
              <w:tr2bl w:val="nil"/>
            </w:tcBorders>
            <w:noWrap/>
            <w:vAlign w:val="center"/>
          </w:tcPr>
          <w:p w14:paraId="6FAD46FE">
            <w:pPr>
              <w:pStyle w:val="41"/>
              <w:rPr>
                <w:color w:val="auto"/>
                <w:highlight w:val="none"/>
              </w:rPr>
            </w:pPr>
            <w:r>
              <w:rPr>
                <w:rFonts w:hint="eastAsia"/>
                <w:color w:val="auto"/>
                <w:highlight w:val="none"/>
              </w:rPr>
              <w:t>规格型号</w:t>
            </w:r>
          </w:p>
        </w:tc>
        <w:tc>
          <w:tcPr>
            <w:tcW w:w="458" w:type="pct"/>
            <w:tcBorders>
              <w:tl2br w:val="nil"/>
              <w:tr2bl w:val="nil"/>
            </w:tcBorders>
            <w:noWrap/>
            <w:vAlign w:val="center"/>
          </w:tcPr>
          <w:p w14:paraId="6589824C">
            <w:pPr>
              <w:pStyle w:val="41"/>
              <w:rPr>
                <w:color w:val="auto"/>
                <w:highlight w:val="none"/>
              </w:rPr>
            </w:pPr>
            <w:r>
              <w:rPr>
                <w:rFonts w:hint="eastAsia"/>
                <w:color w:val="auto"/>
                <w:highlight w:val="none"/>
              </w:rPr>
              <w:t>台数</w:t>
            </w:r>
          </w:p>
        </w:tc>
        <w:tc>
          <w:tcPr>
            <w:tcW w:w="1029" w:type="pct"/>
            <w:tcBorders>
              <w:tl2br w:val="nil"/>
              <w:tr2bl w:val="nil"/>
            </w:tcBorders>
            <w:noWrap/>
            <w:vAlign w:val="center"/>
          </w:tcPr>
          <w:p w14:paraId="6758798B">
            <w:pPr>
              <w:pStyle w:val="41"/>
              <w:rPr>
                <w:color w:val="auto"/>
                <w:highlight w:val="none"/>
              </w:rPr>
            </w:pPr>
            <w:r>
              <w:rPr>
                <w:rFonts w:hint="eastAsia"/>
                <w:color w:val="auto"/>
                <w:highlight w:val="none"/>
              </w:rPr>
              <w:t>功率（kW）</w:t>
            </w:r>
          </w:p>
        </w:tc>
      </w:tr>
      <w:tr w14:paraId="2C5B2E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l2br w:val="nil"/>
              <w:tr2bl w:val="nil"/>
            </w:tcBorders>
            <w:noWrap/>
            <w:vAlign w:val="center"/>
          </w:tcPr>
          <w:p w14:paraId="37FAD21B">
            <w:pPr>
              <w:pStyle w:val="41"/>
              <w:rPr>
                <w:color w:val="auto"/>
                <w:highlight w:val="none"/>
              </w:rPr>
            </w:pPr>
            <w:r>
              <w:rPr>
                <w:rFonts w:hint="eastAsia"/>
                <w:color w:val="auto"/>
                <w:highlight w:val="none"/>
              </w:rPr>
              <w:t>破碎筛分磁干抛</w:t>
            </w:r>
          </w:p>
        </w:tc>
      </w:tr>
      <w:tr w14:paraId="6A784D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4114A6EB">
            <w:pPr>
              <w:pStyle w:val="41"/>
              <w:rPr>
                <w:color w:val="auto"/>
                <w:highlight w:val="none"/>
              </w:rPr>
            </w:pPr>
            <w:r>
              <w:rPr>
                <w:color w:val="auto"/>
                <w:highlight w:val="none"/>
              </w:rPr>
              <w:t>1</w:t>
            </w:r>
          </w:p>
        </w:tc>
        <w:tc>
          <w:tcPr>
            <w:tcW w:w="1663" w:type="pct"/>
            <w:tcBorders>
              <w:tl2br w:val="nil"/>
              <w:tr2bl w:val="nil"/>
            </w:tcBorders>
            <w:noWrap/>
            <w:vAlign w:val="center"/>
          </w:tcPr>
          <w:p w14:paraId="50544FD9">
            <w:pPr>
              <w:pStyle w:val="41"/>
              <w:rPr>
                <w:color w:val="auto"/>
                <w:highlight w:val="none"/>
              </w:rPr>
            </w:pPr>
            <w:r>
              <w:rPr>
                <w:rFonts w:hint="eastAsia"/>
                <w:color w:val="auto"/>
                <w:highlight w:val="none"/>
              </w:rPr>
              <w:t>链板喂料机</w:t>
            </w:r>
          </w:p>
        </w:tc>
        <w:tc>
          <w:tcPr>
            <w:tcW w:w="1469" w:type="pct"/>
            <w:tcBorders>
              <w:tl2br w:val="nil"/>
              <w:tr2bl w:val="nil"/>
            </w:tcBorders>
            <w:vAlign w:val="center"/>
          </w:tcPr>
          <w:p w14:paraId="4D8826CD">
            <w:pPr>
              <w:pStyle w:val="41"/>
              <w:rPr>
                <w:color w:val="auto"/>
                <w:highlight w:val="none"/>
              </w:rPr>
            </w:pPr>
            <w:r>
              <w:rPr>
                <w:color w:val="auto"/>
                <w:highlight w:val="none"/>
              </w:rPr>
              <w:t>ZBWJ1600</w:t>
            </w:r>
          </w:p>
        </w:tc>
        <w:tc>
          <w:tcPr>
            <w:tcW w:w="458" w:type="pct"/>
            <w:tcBorders>
              <w:tl2br w:val="nil"/>
              <w:tr2bl w:val="nil"/>
            </w:tcBorders>
            <w:noWrap/>
            <w:vAlign w:val="center"/>
          </w:tcPr>
          <w:p w14:paraId="7B4560AF">
            <w:pPr>
              <w:pStyle w:val="41"/>
              <w:rPr>
                <w:color w:val="auto"/>
                <w:highlight w:val="none"/>
              </w:rPr>
            </w:pPr>
            <w:r>
              <w:rPr>
                <w:color w:val="auto"/>
                <w:highlight w:val="none"/>
              </w:rPr>
              <w:t>1</w:t>
            </w:r>
          </w:p>
        </w:tc>
        <w:tc>
          <w:tcPr>
            <w:tcW w:w="1029" w:type="pct"/>
            <w:tcBorders>
              <w:tl2br w:val="nil"/>
              <w:tr2bl w:val="nil"/>
            </w:tcBorders>
            <w:noWrap/>
            <w:vAlign w:val="center"/>
          </w:tcPr>
          <w:p w14:paraId="2F9B0E17">
            <w:pPr>
              <w:pStyle w:val="41"/>
              <w:rPr>
                <w:color w:val="auto"/>
                <w:highlight w:val="none"/>
              </w:rPr>
            </w:pPr>
            <w:r>
              <w:rPr>
                <w:color w:val="auto"/>
                <w:highlight w:val="none"/>
              </w:rPr>
              <w:t>75</w:t>
            </w:r>
          </w:p>
        </w:tc>
      </w:tr>
      <w:tr w14:paraId="1EA513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24370E0D">
            <w:pPr>
              <w:pStyle w:val="41"/>
              <w:rPr>
                <w:color w:val="auto"/>
                <w:highlight w:val="none"/>
              </w:rPr>
            </w:pPr>
            <w:r>
              <w:rPr>
                <w:color w:val="auto"/>
                <w:highlight w:val="none"/>
              </w:rPr>
              <w:t>2</w:t>
            </w:r>
          </w:p>
        </w:tc>
        <w:tc>
          <w:tcPr>
            <w:tcW w:w="1663" w:type="pct"/>
            <w:tcBorders>
              <w:tl2br w:val="nil"/>
              <w:tr2bl w:val="nil"/>
            </w:tcBorders>
            <w:noWrap/>
            <w:vAlign w:val="center"/>
          </w:tcPr>
          <w:p w14:paraId="6F22BEBE">
            <w:pPr>
              <w:pStyle w:val="41"/>
              <w:rPr>
                <w:color w:val="auto"/>
                <w:highlight w:val="none"/>
              </w:rPr>
            </w:pPr>
            <w:r>
              <w:rPr>
                <w:rFonts w:hint="eastAsia"/>
                <w:color w:val="auto"/>
                <w:highlight w:val="none"/>
              </w:rPr>
              <w:t>滚轴筛</w:t>
            </w:r>
          </w:p>
        </w:tc>
        <w:tc>
          <w:tcPr>
            <w:tcW w:w="1469" w:type="pct"/>
            <w:tcBorders>
              <w:tl2br w:val="nil"/>
              <w:tr2bl w:val="nil"/>
            </w:tcBorders>
            <w:vAlign w:val="center"/>
          </w:tcPr>
          <w:p w14:paraId="22FC7DCE">
            <w:pPr>
              <w:pStyle w:val="41"/>
              <w:rPr>
                <w:color w:val="auto"/>
                <w:highlight w:val="none"/>
              </w:rPr>
            </w:pPr>
            <w:r>
              <w:rPr>
                <w:color w:val="auto"/>
                <w:highlight w:val="none"/>
              </w:rPr>
              <w:t>GZS1813</w:t>
            </w:r>
          </w:p>
        </w:tc>
        <w:tc>
          <w:tcPr>
            <w:tcW w:w="458" w:type="pct"/>
            <w:tcBorders>
              <w:tl2br w:val="nil"/>
              <w:tr2bl w:val="nil"/>
            </w:tcBorders>
            <w:noWrap/>
            <w:vAlign w:val="center"/>
          </w:tcPr>
          <w:p w14:paraId="4B730833">
            <w:pPr>
              <w:pStyle w:val="41"/>
              <w:rPr>
                <w:color w:val="auto"/>
                <w:highlight w:val="none"/>
              </w:rPr>
            </w:pPr>
            <w:r>
              <w:rPr>
                <w:color w:val="auto"/>
                <w:highlight w:val="none"/>
              </w:rPr>
              <w:t>1</w:t>
            </w:r>
          </w:p>
        </w:tc>
        <w:tc>
          <w:tcPr>
            <w:tcW w:w="1029" w:type="pct"/>
            <w:tcBorders>
              <w:tl2br w:val="nil"/>
              <w:tr2bl w:val="nil"/>
            </w:tcBorders>
            <w:noWrap/>
            <w:vAlign w:val="center"/>
          </w:tcPr>
          <w:p w14:paraId="170E677E">
            <w:pPr>
              <w:pStyle w:val="41"/>
              <w:rPr>
                <w:color w:val="auto"/>
                <w:highlight w:val="none"/>
              </w:rPr>
            </w:pPr>
            <w:r>
              <w:rPr>
                <w:color w:val="auto"/>
                <w:highlight w:val="none"/>
              </w:rPr>
              <w:t>97.5</w:t>
            </w:r>
          </w:p>
        </w:tc>
      </w:tr>
      <w:tr w14:paraId="56132F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79" w:type="pct"/>
            <w:tcBorders>
              <w:tl2br w:val="nil"/>
              <w:tr2bl w:val="nil"/>
            </w:tcBorders>
            <w:noWrap/>
            <w:vAlign w:val="center"/>
          </w:tcPr>
          <w:p w14:paraId="3DF8870A">
            <w:pPr>
              <w:pStyle w:val="41"/>
              <w:rPr>
                <w:color w:val="auto"/>
                <w:highlight w:val="none"/>
              </w:rPr>
            </w:pPr>
            <w:r>
              <w:rPr>
                <w:color w:val="auto"/>
                <w:highlight w:val="none"/>
              </w:rPr>
              <w:t>3</w:t>
            </w:r>
          </w:p>
        </w:tc>
        <w:tc>
          <w:tcPr>
            <w:tcW w:w="1663" w:type="pct"/>
            <w:tcBorders>
              <w:tl2br w:val="nil"/>
              <w:tr2bl w:val="nil"/>
            </w:tcBorders>
            <w:noWrap/>
            <w:vAlign w:val="center"/>
          </w:tcPr>
          <w:p w14:paraId="02615E7B">
            <w:pPr>
              <w:pStyle w:val="41"/>
              <w:rPr>
                <w:color w:val="auto"/>
                <w:highlight w:val="none"/>
              </w:rPr>
            </w:pPr>
            <w:r>
              <w:rPr>
                <w:rFonts w:hint="eastAsia"/>
                <w:color w:val="auto"/>
                <w:highlight w:val="none"/>
              </w:rPr>
              <w:t>振动筛</w:t>
            </w:r>
            <w:r>
              <w:rPr>
                <w:color w:val="auto"/>
                <w:highlight w:val="none"/>
              </w:rPr>
              <w:t>1</w:t>
            </w:r>
          </w:p>
        </w:tc>
        <w:tc>
          <w:tcPr>
            <w:tcW w:w="1469" w:type="pct"/>
            <w:tcBorders>
              <w:tl2br w:val="nil"/>
              <w:tr2bl w:val="nil"/>
            </w:tcBorders>
            <w:noWrap/>
            <w:vAlign w:val="center"/>
          </w:tcPr>
          <w:p w14:paraId="6C7251F9">
            <w:pPr>
              <w:pStyle w:val="41"/>
              <w:rPr>
                <w:color w:val="auto"/>
                <w:highlight w:val="none"/>
              </w:rPr>
            </w:pPr>
            <w:r>
              <w:rPr>
                <w:color w:val="auto"/>
                <w:highlight w:val="none"/>
              </w:rPr>
              <w:t>40100</w:t>
            </w:r>
          </w:p>
        </w:tc>
        <w:tc>
          <w:tcPr>
            <w:tcW w:w="458" w:type="pct"/>
            <w:tcBorders>
              <w:tl2br w:val="nil"/>
              <w:tr2bl w:val="nil"/>
            </w:tcBorders>
            <w:noWrap/>
            <w:vAlign w:val="center"/>
          </w:tcPr>
          <w:p w14:paraId="78BFADA0">
            <w:pPr>
              <w:pStyle w:val="41"/>
              <w:rPr>
                <w:color w:val="auto"/>
                <w:highlight w:val="none"/>
              </w:rPr>
            </w:pPr>
            <w:r>
              <w:rPr>
                <w:color w:val="auto"/>
                <w:highlight w:val="none"/>
              </w:rPr>
              <w:t>1</w:t>
            </w:r>
          </w:p>
        </w:tc>
        <w:tc>
          <w:tcPr>
            <w:tcW w:w="1029" w:type="pct"/>
            <w:tcBorders>
              <w:tl2br w:val="nil"/>
              <w:tr2bl w:val="nil"/>
            </w:tcBorders>
            <w:noWrap/>
            <w:vAlign w:val="center"/>
          </w:tcPr>
          <w:p w14:paraId="6C74C0BE">
            <w:pPr>
              <w:pStyle w:val="41"/>
              <w:rPr>
                <w:color w:val="auto"/>
                <w:highlight w:val="none"/>
              </w:rPr>
            </w:pPr>
            <w:r>
              <w:rPr>
                <w:color w:val="auto"/>
                <w:highlight w:val="none"/>
              </w:rPr>
              <w:t>150</w:t>
            </w:r>
          </w:p>
        </w:tc>
      </w:tr>
      <w:tr w14:paraId="7707ED8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390BC8E4">
            <w:pPr>
              <w:pStyle w:val="41"/>
              <w:rPr>
                <w:color w:val="auto"/>
                <w:highlight w:val="none"/>
              </w:rPr>
            </w:pPr>
            <w:r>
              <w:rPr>
                <w:color w:val="auto"/>
                <w:highlight w:val="none"/>
              </w:rPr>
              <w:t>4</w:t>
            </w:r>
          </w:p>
        </w:tc>
        <w:tc>
          <w:tcPr>
            <w:tcW w:w="1663" w:type="pct"/>
            <w:tcBorders>
              <w:tl2br w:val="nil"/>
              <w:tr2bl w:val="nil"/>
            </w:tcBorders>
            <w:noWrap/>
            <w:vAlign w:val="center"/>
          </w:tcPr>
          <w:p w14:paraId="142693B8">
            <w:pPr>
              <w:pStyle w:val="41"/>
              <w:rPr>
                <w:color w:val="auto"/>
                <w:highlight w:val="none"/>
              </w:rPr>
            </w:pPr>
            <w:r>
              <w:rPr>
                <w:rFonts w:hint="eastAsia"/>
                <w:color w:val="auto"/>
                <w:highlight w:val="none"/>
              </w:rPr>
              <w:t>颚式破碎机</w:t>
            </w:r>
          </w:p>
        </w:tc>
        <w:tc>
          <w:tcPr>
            <w:tcW w:w="1469" w:type="pct"/>
            <w:tcBorders>
              <w:tl2br w:val="nil"/>
              <w:tr2bl w:val="nil"/>
            </w:tcBorders>
            <w:noWrap/>
            <w:vAlign w:val="center"/>
          </w:tcPr>
          <w:p w14:paraId="26FDB8DC">
            <w:pPr>
              <w:pStyle w:val="41"/>
              <w:rPr>
                <w:color w:val="auto"/>
                <w:highlight w:val="none"/>
              </w:rPr>
            </w:pPr>
            <w:r>
              <w:rPr>
                <w:color w:val="auto"/>
                <w:highlight w:val="none"/>
              </w:rPr>
              <w:t>750*1060</w:t>
            </w:r>
          </w:p>
        </w:tc>
        <w:tc>
          <w:tcPr>
            <w:tcW w:w="458" w:type="pct"/>
            <w:tcBorders>
              <w:tl2br w:val="nil"/>
              <w:tr2bl w:val="nil"/>
            </w:tcBorders>
            <w:noWrap/>
            <w:vAlign w:val="center"/>
          </w:tcPr>
          <w:p w14:paraId="6EA9A08B">
            <w:pPr>
              <w:pStyle w:val="41"/>
              <w:rPr>
                <w:color w:val="auto"/>
                <w:highlight w:val="none"/>
              </w:rPr>
            </w:pPr>
            <w:r>
              <w:rPr>
                <w:color w:val="auto"/>
                <w:highlight w:val="none"/>
              </w:rPr>
              <w:t>1</w:t>
            </w:r>
          </w:p>
        </w:tc>
        <w:tc>
          <w:tcPr>
            <w:tcW w:w="1029" w:type="pct"/>
            <w:tcBorders>
              <w:tl2br w:val="nil"/>
              <w:tr2bl w:val="nil"/>
            </w:tcBorders>
            <w:noWrap/>
            <w:vAlign w:val="center"/>
          </w:tcPr>
          <w:p w14:paraId="7C80DF6A">
            <w:pPr>
              <w:pStyle w:val="41"/>
              <w:rPr>
                <w:color w:val="auto"/>
                <w:highlight w:val="none"/>
              </w:rPr>
            </w:pPr>
            <w:r>
              <w:rPr>
                <w:color w:val="auto"/>
                <w:highlight w:val="none"/>
              </w:rPr>
              <w:t>110</w:t>
            </w:r>
          </w:p>
        </w:tc>
      </w:tr>
      <w:tr w14:paraId="654261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062F3B6B">
            <w:pPr>
              <w:pStyle w:val="41"/>
              <w:rPr>
                <w:color w:val="auto"/>
                <w:highlight w:val="none"/>
              </w:rPr>
            </w:pPr>
            <w:r>
              <w:rPr>
                <w:color w:val="auto"/>
                <w:highlight w:val="none"/>
              </w:rPr>
              <w:t>5</w:t>
            </w:r>
          </w:p>
        </w:tc>
        <w:tc>
          <w:tcPr>
            <w:tcW w:w="1663" w:type="pct"/>
            <w:tcBorders>
              <w:tl2br w:val="nil"/>
              <w:tr2bl w:val="nil"/>
            </w:tcBorders>
            <w:noWrap/>
            <w:vAlign w:val="center"/>
          </w:tcPr>
          <w:p w14:paraId="5D072B58">
            <w:pPr>
              <w:pStyle w:val="41"/>
              <w:rPr>
                <w:color w:val="auto"/>
                <w:highlight w:val="none"/>
              </w:rPr>
            </w:pPr>
            <w:r>
              <w:rPr>
                <w:rFonts w:hint="eastAsia"/>
                <w:color w:val="auto"/>
                <w:highlight w:val="none"/>
              </w:rPr>
              <w:t>圆锥破</w:t>
            </w:r>
          </w:p>
        </w:tc>
        <w:tc>
          <w:tcPr>
            <w:tcW w:w="1469" w:type="pct"/>
            <w:tcBorders>
              <w:tl2br w:val="nil"/>
              <w:tr2bl w:val="nil"/>
            </w:tcBorders>
            <w:noWrap/>
            <w:vAlign w:val="center"/>
          </w:tcPr>
          <w:p w14:paraId="7716C700">
            <w:pPr>
              <w:pStyle w:val="41"/>
              <w:rPr>
                <w:color w:val="auto"/>
                <w:highlight w:val="none"/>
              </w:rPr>
            </w:pPr>
            <w:r>
              <w:rPr>
                <w:color w:val="auto"/>
                <w:highlight w:val="none"/>
              </w:rPr>
              <w:t>HPT500</w:t>
            </w:r>
          </w:p>
        </w:tc>
        <w:tc>
          <w:tcPr>
            <w:tcW w:w="458" w:type="pct"/>
            <w:tcBorders>
              <w:tl2br w:val="nil"/>
              <w:tr2bl w:val="nil"/>
            </w:tcBorders>
            <w:noWrap/>
            <w:vAlign w:val="center"/>
          </w:tcPr>
          <w:p w14:paraId="3FDD4AC1">
            <w:pPr>
              <w:pStyle w:val="41"/>
              <w:rPr>
                <w:color w:val="auto"/>
                <w:highlight w:val="none"/>
              </w:rPr>
            </w:pPr>
            <w:r>
              <w:rPr>
                <w:color w:val="auto"/>
                <w:highlight w:val="none"/>
              </w:rPr>
              <w:t>1</w:t>
            </w:r>
          </w:p>
        </w:tc>
        <w:tc>
          <w:tcPr>
            <w:tcW w:w="1029" w:type="pct"/>
            <w:tcBorders>
              <w:tl2br w:val="nil"/>
              <w:tr2bl w:val="nil"/>
            </w:tcBorders>
            <w:noWrap/>
            <w:vAlign w:val="center"/>
          </w:tcPr>
          <w:p w14:paraId="27899C6A">
            <w:pPr>
              <w:pStyle w:val="41"/>
              <w:rPr>
                <w:color w:val="auto"/>
                <w:highlight w:val="none"/>
              </w:rPr>
            </w:pPr>
            <w:r>
              <w:rPr>
                <w:color w:val="auto"/>
                <w:highlight w:val="none"/>
              </w:rPr>
              <w:t>400</w:t>
            </w:r>
          </w:p>
        </w:tc>
      </w:tr>
      <w:tr w14:paraId="79A13A4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3E98DC4A">
            <w:pPr>
              <w:pStyle w:val="41"/>
              <w:rPr>
                <w:color w:val="auto"/>
                <w:highlight w:val="none"/>
              </w:rPr>
            </w:pPr>
            <w:r>
              <w:rPr>
                <w:color w:val="auto"/>
                <w:highlight w:val="none"/>
              </w:rPr>
              <w:t>6</w:t>
            </w:r>
          </w:p>
        </w:tc>
        <w:tc>
          <w:tcPr>
            <w:tcW w:w="1663" w:type="pct"/>
            <w:tcBorders>
              <w:tl2br w:val="nil"/>
              <w:tr2bl w:val="nil"/>
            </w:tcBorders>
            <w:noWrap/>
            <w:vAlign w:val="center"/>
          </w:tcPr>
          <w:p w14:paraId="0947E425">
            <w:pPr>
              <w:pStyle w:val="41"/>
              <w:rPr>
                <w:color w:val="auto"/>
                <w:highlight w:val="none"/>
              </w:rPr>
            </w:pPr>
            <w:r>
              <w:rPr>
                <w:rFonts w:hint="eastAsia"/>
                <w:color w:val="auto"/>
                <w:highlight w:val="none"/>
              </w:rPr>
              <w:t>锤破机</w:t>
            </w:r>
          </w:p>
        </w:tc>
        <w:tc>
          <w:tcPr>
            <w:tcW w:w="1469" w:type="pct"/>
            <w:tcBorders>
              <w:tl2br w:val="nil"/>
              <w:tr2bl w:val="nil"/>
            </w:tcBorders>
            <w:noWrap/>
            <w:vAlign w:val="center"/>
          </w:tcPr>
          <w:p w14:paraId="26080A14">
            <w:pPr>
              <w:pStyle w:val="41"/>
              <w:rPr>
                <w:color w:val="auto"/>
                <w:highlight w:val="none"/>
              </w:rPr>
            </w:pPr>
            <w:r>
              <w:rPr>
                <w:color w:val="auto"/>
                <w:highlight w:val="none"/>
              </w:rPr>
              <w:t>PXJ1818</w:t>
            </w:r>
          </w:p>
        </w:tc>
        <w:tc>
          <w:tcPr>
            <w:tcW w:w="458" w:type="pct"/>
            <w:tcBorders>
              <w:tl2br w:val="nil"/>
              <w:tr2bl w:val="nil"/>
            </w:tcBorders>
            <w:noWrap/>
            <w:vAlign w:val="center"/>
          </w:tcPr>
          <w:p w14:paraId="1D77624E">
            <w:pPr>
              <w:pStyle w:val="41"/>
              <w:rPr>
                <w:color w:val="auto"/>
                <w:highlight w:val="none"/>
              </w:rPr>
            </w:pPr>
            <w:r>
              <w:rPr>
                <w:color w:val="auto"/>
                <w:highlight w:val="none"/>
              </w:rPr>
              <w:t>2</w:t>
            </w:r>
          </w:p>
        </w:tc>
        <w:tc>
          <w:tcPr>
            <w:tcW w:w="1029" w:type="pct"/>
            <w:tcBorders>
              <w:tl2br w:val="nil"/>
              <w:tr2bl w:val="nil"/>
            </w:tcBorders>
            <w:noWrap/>
            <w:vAlign w:val="center"/>
          </w:tcPr>
          <w:p w14:paraId="0803174B">
            <w:pPr>
              <w:pStyle w:val="41"/>
              <w:rPr>
                <w:color w:val="auto"/>
                <w:highlight w:val="none"/>
              </w:rPr>
            </w:pPr>
            <w:r>
              <w:rPr>
                <w:color w:val="auto"/>
                <w:highlight w:val="none"/>
              </w:rPr>
              <w:t>315</w:t>
            </w:r>
          </w:p>
        </w:tc>
      </w:tr>
      <w:tr w14:paraId="5DF4B0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39450803">
            <w:pPr>
              <w:pStyle w:val="41"/>
              <w:rPr>
                <w:color w:val="auto"/>
                <w:highlight w:val="none"/>
              </w:rPr>
            </w:pPr>
            <w:r>
              <w:rPr>
                <w:color w:val="auto"/>
                <w:highlight w:val="none"/>
              </w:rPr>
              <w:t>7</w:t>
            </w:r>
          </w:p>
        </w:tc>
        <w:tc>
          <w:tcPr>
            <w:tcW w:w="1663" w:type="pct"/>
            <w:tcBorders>
              <w:tl2br w:val="nil"/>
              <w:tr2bl w:val="nil"/>
            </w:tcBorders>
            <w:noWrap/>
            <w:vAlign w:val="center"/>
          </w:tcPr>
          <w:p w14:paraId="285135AE">
            <w:pPr>
              <w:pStyle w:val="41"/>
              <w:rPr>
                <w:color w:val="auto"/>
                <w:highlight w:val="none"/>
              </w:rPr>
            </w:pPr>
            <w:r>
              <w:rPr>
                <w:rFonts w:hint="eastAsia"/>
                <w:color w:val="auto"/>
                <w:highlight w:val="none"/>
              </w:rPr>
              <w:t>振动筛</w:t>
            </w:r>
            <w:r>
              <w:rPr>
                <w:color w:val="auto"/>
                <w:highlight w:val="none"/>
              </w:rPr>
              <w:t>2</w:t>
            </w:r>
          </w:p>
        </w:tc>
        <w:tc>
          <w:tcPr>
            <w:tcW w:w="1469" w:type="pct"/>
            <w:tcBorders>
              <w:tl2br w:val="nil"/>
              <w:tr2bl w:val="nil"/>
            </w:tcBorders>
            <w:noWrap/>
            <w:vAlign w:val="center"/>
          </w:tcPr>
          <w:p w14:paraId="4E851ED7">
            <w:pPr>
              <w:pStyle w:val="41"/>
              <w:rPr>
                <w:color w:val="auto"/>
                <w:highlight w:val="none"/>
              </w:rPr>
            </w:pPr>
            <w:r>
              <w:rPr>
                <w:color w:val="auto"/>
                <w:highlight w:val="none"/>
              </w:rPr>
              <w:t>40100</w:t>
            </w:r>
          </w:p>
        </w:tc>
        <w:tc>
          <w:tcPr>
            <w:tcW w:w="458" w:type="pct"/>
            <w:tcBorders>
              <w:tl2br w:val="nil"/>
              <w:tr2bl w:val="nil"/>
            </w:tcBorders>
            <w:noWrap/>
            <w:vAlign w:val="center"/>
          </w:tcPr>
          <w:p w14:paraId="63FCF4A5">
            <w:pPr>
              <w:pStyle w:val="41"/>
              <w:rPr>
                <w:color w:val="auto"/>
                <w:highlight w:val="none"/>
              </w:rPr>
            </w:pPr>
            <w:r>
              <w:rPr>
                <w:color w:val="auto"/>
                <w:highlight w:val="none"/>
              </w:rPr>
              <w:t>1</w:t>
            </w:r>
          </w:p>
        </w:tc>
        <w:tc>
          <w:tcPr>
            <w:tcW w:w="1029" w:type="pct"/>
            <w:tcBorders>
              <w:tl2br w:val="nil"/>
              <w:tr2bl w:val="nil"/>
            </w:tcBorders>
            <w:noWrap/>
            <w:vAlign w:val="center"/>
          </w:tcPr>
          <w:p w14:paraId="7A425646">
            <w:pPr>
              <w:pStyle w:val="41"/>
              <w:rPr>
                <w:color w:val="auto"/>
                <w:highlight w:val="none"/>
              </w:rPr>
            </w:pPr>
            <w:r>
              <w:rPr>
                <w:color w:val="auto"/>
                <w:highlight w:val="none"/>
              </w:rPr>
              <w:t>110</w:t>
            </w:r>
          </w:p>
        </w:tc>
      </w:tr>
      <w:tr w14:paraId="5AE7A77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0F2B5A7C">
            <w:pPr>
              <w:pStyle w:val="41"/>
              <w:rPr>
                <w:color w:val="auto"/>
                <w:highlight w:val="none"/>
              </w:rPr>
            </w:pPr>
            <w:r>
              <w:rPr>
                <w:color w:val="auto"/>
                <w:highlight w:val="none"/>
              </w:rPr>
              <w:t>8</w:t>
            </w:r>
          </w:p>
        </w:tc>
        <w:tc>
          <w:tcPr>
            <w:tcW w:w="1663" w:type="pct"/>
            <w:tcBorders>
              <w:tl2br w:val="nil"/>
              <w:tr2bl w:val="nil"/>
            </w:tcBorders>
            <w:noWrap/>
            <w:vAlign w:val="center"/>
          </w:tcPr>
          <w:p w14:paraId="0D3AF4E8">
            <w:pPr>
              <w:pStyle w:val="41"/>
              <w:rPr>
                <w:color w:val="auto"/>
                <w:highlight w:val="none"/>
              </w:rPr>
            </w:pPr>
            <w:r>
              <w:rPr>
                <w:rFonts w:hint="eastAsia"/>
                <w:color w:val="auto"/>
                <w:highlight w:val="none"/>
              </w:rPr>
              <w:t>振动筛</w:t>
            </w:r>
            <w:r>
              <w:rPr>
                <w:color w:val="auto"/>
                <w:highlight w:val="none"/>
              </w:rPr>
              <w:t>3</w:t>
            </w:r>
          </w:p>
        </w:tc>
        <w:tc>
          <w:tcPr>
            <w:tcW w:w="1469" w:type="pct"/>
            <w:tcBorders>
              <w:tl2br w:val="nil"/>
              <w:tr2bl w:val="nil"/>
            </w:tcBorders>
            <w:noWrap/>
            <w:vAlign w:val="center"/>
          </w:tcPr>
          <w:p w14:paraId="29D2220D">
            <w:pPr>
              <w:pStyle w:val="41"/>
              <w:rPr>
                <w:color w:val="auto"/>
                <w:highlight w:val="none"/>
              </w:rPr>
            </w:pPr>
            <w:r>
              <w:rPr>
                <w:color w:val="auto"/>
                <w:highlight w:val="none"/>
              </w:rPr>
              <w:t>40100</w:t>
            </w:r>
          </w:p>
        </w:tc>
        <w:tc>
          <w:tcPr>
            <w:tcW w:w="458" w:type="pct"/>
            <w:tcBorders>
              <w:tl2br w:val="nil"/>
              <w:tr2bl w:val="nil"/>
            </w:tcBorders>
            <w:noWrap/>
            <w:vAlign w:val="center"/>
          </w:tcPr>
          <w:p w14:paraId="7D712848">
            <w:pPr>
              <w:pStyle w:val="41"/>
              <w:rPr>
                <w:color w:val="auto"/>
                <w:highlight w:val="none"/>
              </w:rPr>
            </w:pPr>
            <w:r>
              <w:rPr>
                <w:color w:val="auto"/>
                <w:highlight w:val="none"/>
              </w:rPr>
              <w:t>1</w:t>
            </w:r>
          </w:p>
        </w:tc>
        <w:tc>
          <w:tcPr>
            <w:tcW w:w="1029" w:type="pct"/>
            <w:tcBorders>
              <w:tl2br w:val="nil"/>
              <w:tr2bl w:val="nil"/>
            </w:tcBorders>
            <w:noWrap/>
            <w:vAlign w:val="center"/>
          </w:tcPr>
          <w:p w14:paraId="79235102">
            <w:pPr>
              <w:pStyle w:val="41"/>
              <w:rPr>
                <w:color w:val="auto"/>
                <w:highlight w:val="none"/>
              </w:rPr>
            </w:pPr>
            <w:r>
              <w:rPr>
                <w:color w:val="auto"/>
                <w:highlight w:val="none"/>
              </w:rPr>
              <w:t>150</w:t>
            </w:r>
          </w:p>
        </w:tc>
      </w:tr>
      <w:tr w14:paraId="16A12D6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04119107">
            <w:pPr>
              <w:pStyle w:val="41"/>
              <w:rPr>
                <w:color w:val="auto"/>
                <w:highlight w:val="none"/>
              </w:rPr>
            </w:pPr>
            <w:r>
              <w:rPr>
                <w:color w:val="auto"/>
                <w:highlight w:val="none"/>
              </w:rPr>
              <w:t>9</w:t>
            </w:r>
          </w:p>
        </w:tc>
        <w:tc>
          <w:tcPr>
            <w:tcW w:w="1663" w:type="pct"/>
            <w:tcBorders>
              <w:tl2br w:val="nil"/>
              <w:tr2bl w:val="nil"/>
            </w:tcBorders>
            <w:noWrap/>
            <w:vAlign w:val="center"/>
          </w:tcPr>
          <w:p w14:paraId="30F55D83">
            <w:pPr>
              <w:pStyle w:val="41"/>
              <w:rPr>
                <w:color w:val="auto"/>
                <w:highlight w:val="none"/>
              </w:rPr>
            </w:pPr>
            <w:r>
              <w:rPr>
                <w:rFonts w:hint="eastAsia"/>
                <w:color w:val="auto"/>
                <w:highlight w:val="none"/>
              </w:rPr>
              <w:t>上层磁滚筒</w:t>
            </w:r>
          </w:p>
        </w:tc>
        <w:tc>
          <w:tcPr>
            <w:tcW w:w="1469" w:type="pct"/>
            <w:tcBorders>
              <w:tl2br w:val="nil"/>
              <w:tr2bl w:val="nil"/>
            </w:tcBorders>
            <w:noWrap/>
            <w:vAlign w:val="center"/>
          </w:tcPr>
          <w:p w14:paraId="50112542">
            <w:pPr>
              <w:pStyle w:val="41"/>
              <w:rPr>
                <w:color w:val="auto"/>
                <w:highlight w:val="none"/>
              </w:rPr>
            </w:pPr>
            <w:r>
              <w:rPr>
                <w:color w:val="auto"/>
                <w:highlight w:val="none"/>
              </w:rPr>
              <w:t>CTF1030</w:t>
            </w:r>
          </w:p>
        </w:tc>
        <w:tc>
          <w:tcPr>
            <w:tcW w:w="458" w:type="pct"/>
            <w:tcBorders>
              <w:tl2br w:val="nil"/>
              <w:tr2bl w:val="nil"/>
            </w:tcBorders>
            <w:noWrap/>
            <w:vAlign w:val="center"/>
          </w:tcPr>
          <w:p w14:paraId="3CCF376F">
            <w:pPr>
              <w:pStyle w:val="41"/>
              <w:rPr>
                <w:color w:val="auto"/>
                <w:highlight w:val="none"/>
              </w:rPr>
            </w:pPr>
            <w:r>
              <w:rPr>
                <w:color w:val="auto"/>
                <w:highlight w:val="none"/>
              </w:rPr>
              <w:t>4</w:t>
            </w:r>
          </w:p>
        </w:tc>
        <w:tc>
          <w:tcPr>
            <w:tcW w:w="1029" w:type="pct"/>
            <w:tcBorders>
              <w:tl2br w:val="nil"/>
              <w:tr2bl w:val="nil"/>
            </w:tcBorders>
            <w:noWrap/>
            <w:vAlign w:val="center"/>
          </w:tcPr>
          <w:p w14:paraId="748E6AB9">
            <w:pPr>
              <w:pStyle w:val="41"/>
              <w:rPr>
                <w:color w:val="auto"/>
                <w:highlight w:val="none"/>
              </w:rPr>
            </w:pPr>
            <w:r>
              <w:rPr>
                <w:color w:val="auto"/>
                <w:highlight w:val="none"/>
              </w:rPr>
              <w:t>34.4</w:t>
            </w:r>
          </w:p>
        </w:tc>
      </w:tr>
      <w:tr w14:paraId="7182328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40577500">
            <w:pPr>
              <w:pStyle w:val="41"/>
              <w:rPr>
                <w:color w:val="auto"/>
                <w:highlight w:val="none"/>
              </w:rPr>
            </w:pPr>
            <w:r>
              <w:rPr>
                <w:color w:val="auto"/>
                <w:highlight w:val="none"/>
              </w:rPr>
              <w:t>10</w:t>
            </w:r>
          </w:p>
        </w:tc>
        <w:tc>
          <w:tcPr>
            <w:tcW w:w="1663" w:type="pct"/>
            <w:tcBorders>
              <w:tl2br w:val="nil"/>
              <w:tr2bl w:val="nil"/>
            </w:tcBorders>
            <w:noWrap/>
            <w:vAlign w:val="center"/>
          </w:tcPr>
          <w:p w14:paraId="76305DC2">
            <w:pPr>
              <w:pStyle w:val="41"/>
              <w:rPr>
                <w:color w:val="auto"/>
                <w:highlight w:val="none"/>
              </w:rPr>
            </w:pPr>
            <w:r>
              <w:rPr>
                <w:rFonts w:hint="eastAsia"/>
                <w:color w:val="auto"/>
                <w:highlight w:val="none"/>
              </w:rPr>
              <w:t>下层磁滚筒</w:t>
            </w:r>
          </w:p>
        </w:tc>
        <w:tc>
          <w:tcPr>
            <w:tcW w:w="1469" w:type="pct"/>
            <w:tcBorders>
              <w:tl2br w:val="nil"/>
              <w:tr2bl w:val="nil"/>
            </w:tcBorders>
            <w:noWrap/>
            <w:vAlign w:val="center"/>
          </w:tcPr>
          <w:p w14:paraId="3889D6BC">
            <w:pPr>
              <w:pStyle w:val="41"/>
              <w:rPr>
                <w:color w:val="auto"/>
                <w:highlight w:val="none"/>
              </w:rPr>
            </w:pPr>
            <w:r>
              <w:rPr>
                <w:color w:val="auto"/>
                <w:highlight w:val="none"/>
              </w:rPr>
              <w:t>2RTGX0630</w:t>
            </w:r>
          </w:p>
        </w:tc>
        <w:tc>
          <w:tcPr>
            <w:tcW w:w="458" w:type="pct"/>
            <w:tcBorders>
              <w:tl2br w:val="nil"/>
              <w:tr2bl w:val="nil"/>
            </w:tcBorders>
            <w:noWrap/>
            <w:vAlign w:val="center"/>
          </w:tcPr>
          <w:p w14:paraId="1AFFBC7F">
            <w:pPr>
              <w:pStyle w:val="41"/>
              <w:rPr>
                <w:color w:val="auto"/>
                <w:highlight w:val="none"/>
              </w:rPr>
            </w:pPr>
            <w:r>
              <w:rPr>
                <w:color w:val="auto"/>
                <w:highlight w:val="none"/>
              </w:rPr>
              <w:t>4</w:t>
            </w:r>
          </w:p>
        </w:tc>
        <w:tc>
          <w:tcPr>
            <w:tcW w:w="1029" w:type="pct"/>
            <w:tcBorders>
              <w:tl2br w:val="nil"/>
              <w:tr2bl w:val="nil"/>
            </w:tcBorders>
            <w:noWrap/>
            <w:vAlign w:val="center"/>
          </w:tcPr>
          <w:p w14:paraId="5FEF1194">
            <w:pPr>
              <w:pStyle w:val="41"/>
              <w:rPr>
                <w:color w:val="auto"/>
                <w:highlight w:val="none"/>
              </w:rPr>
            </w:pPr>
            <w:r>
              <w:rPr>
                <w:color w:val="auto"/>
                <w:highlight w:val="none"/>
              </w:rPr>
              <w:t>52.8</w:t>
            </w:r>
          </w:p>
        </w:tc>
      </w:tr>
      <w:tr w14:paraId="7BCBC5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2AD8739A">
            <w:pPr>
              <w:pStyle w:val="41"/>
              <w:rPr>
                <w:color w:val="auto"/>
                <w:highlight w:val="none"/>
              </w:rPr>
            </w:pPr>
            <w:r>
              <w:rPr>
                <w:color w:val="auto"/>
                <w:highlight w:val="none"/>
              </w:rPr>
              <w:t>11</w:t>
            </w:r>
          </w:p>
        </w:tc>
        <w:tc>
          <w:tcPr>
            <w:tcW w:w="1663" w:type="pct"/>
            <w:tcBorders>
              <w:tl2br w:val="nil"/>
              <w:tr2bl w:val="nil"/>
            </w:tcBorders>
            <w:noWrap/>
            <w:vAlign w:val="center"/>
          </w:tcPr>
          <w:p w14:paraId="4CD7B4C9">
            <w:pPr>
              <w:pStyle w:val="41"/>
              <w:rPr>
                <w:color w:val="auto"/>
                <w:highlight w:val="none"/>
              </w:rPr>
            </w:pPr>
            <w:r>
              <w:rPr>
                <w:rFonts w:hint="eastAsia"/>
                <w:color w:val="auto"/>
                <w:highlight w:val="none"/>
              </w:rPr>
              <w:t>皮带输送机</w:t>
            </w:r>
          </w:p>
        </w:tc>
        <w:tc>
          <w:tcPr>
            <w:tcW w:w="1469" w:type="pct"/>
            <w:tcBorders>
              <w:tl2br w:val="nil"/>
              <w:tr2bl w:val="nil"/>
            </w:tcBorders>
            <w:noWrap/>
            <w:vAlign w:val="center"/>
          </w:tcPr>
          <w:p w14:paraId="0A3F54B2">
            <w:pPr>
              <w:pStyle w:val="41"/>
              <w:rPr>
                <w:color w:val="auto"/>
                <w:highlight w:val="none"/>
              </w:rPr>
            </w:pPr>
            <w:r>
              <w:rPr>
                <w:color w:val="auto"/>
                <w:highlight w:val="none"/>
              </w:rPr>
              <w:t>B1400</w:t>
            </w:r>
          </w:p>
        </w:tc>
        <w:tc>
          <w:tcPr>
            <w:tcW w:w="458" w:type="pct"/>
            <w:tcBorders>
              <w:tl2br w:val="nil"/>
              <w:tr2bl w:val="nil"/>
            </w:tcBorders>
            <w:noWrap/>
            <w:vAlign w:val="center"/>
          </w:tcPr>
          <w:p w14:paraId="3AA0E3B1">
            <w:pPr>
              <w:pStyle w:val="41"/>
              <w:rPr>
                <w:color w:val="auto"/>
                <w:highlight w:val="none"/>
              </w:rPr>
            </w:pPr>
            <w:r>
              <w:rPr>
                <w:color w:val="auto"/>
                <w:highlight w:val="none"/>
              </w:rPr>
              <w:t>3</w:t>
            </w:r>
          </w:p>
        </w:tc>
        <w:tc>
          <w:tcPr>
            <w:tcW w:w="1029" w:type="pct"/>
            <w:tcBorders>
              <w:tl2br w:val="nil"/>
              <w:tr2bl w:val="nil"/>
            </w:tcBorders>
            <w:noWrap/>
            <w:vAlign w:val="center"/>
          </w:tcPr>
          <w:p w14:paraId="494BCB87">
            <w:pPr>
              <w:pStyle w:val="41"/>
              <w:rPr>
                <w:color w:val="auto"/>
                <w:highlight w:val="none"/>
              </w:rPr>
            </w:pPr>
            <w:r>
              <w:rPr>
                <w:color w:val="auto"/>
                <w:highlight w:val="none"/>
              </w:rPr>
              <w:t>22</w:t>
            </w:r>
          </w:p>
        </w:tc>
      </w:tr>
      <w:tr w14:paraId="3550EB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536FEF16">
            <w:pPr>
              <w:pStyle w:val="41"/>
              <w:rPr>
                <w:color w:val="auto"/>
                <w:highlight w:val="none"/>
              </w:rPr>
            </w:pPr>
            <w:r>
              <w:rPr>
                <w:color w:val="auto"/>
                <w:highlight w:val="none"/>
              </w:rPr>
              <w:t>12</w:t>
            </w:r>
          </w:p>
        </w:tc>
        <w:tc>
          <w:tcPr>
            <w:tcW w:w="1663" w:type="pct"/>
            <w:tcBorders>
              <w:tl2br w:val="nil"/>
              <w:tr2bl w:val="nil"/>
            </w:tcBorders>
            <w:noWrap/>
            <w:vAlign w:val="center"/>
          </w:tcPr>
          <w:p w14:paraId="08340007">
            <w:pPr>
              <w:pStyle w:val="41"/>
              <w:rPr>
                <w:color w:val="auto"/>
                <w:highlight w:val="none"/>
              </w:rPr>
            </w:pPr>
            <w:r>
              <w:rPr>
                <w:rFonts w:hint="eastAsia"/>
                <w:color w:val="auto"/>
                <w:highlight w:val="none"/>
              </w:rPr>
              <w:t>皮带输送机</w:t>
            </w:r>
          </w:p>
        </w:tc>
        <w:tc>
          <w:tcPr>
            <w:tcW w:w="1469" w:type="pct"/>
            <w:tcBorders>
              <w:tl2br w:val="nil"/>
              <w:tr2bl w:val="nil"/>
            </w:tcBorders>
            <w:noWrap/>
            <w:vAlign w:val="center"/>
          </w:tcPr>
          <w:p w14:paraId="4DF1C8A3">
            <w:pPr>
              <w:pStyle w:val="41"/>
              <w:rPr>
                <w:color w:val="auto"/>
                <w:highlight w:val="none"/>
              </w:rPr>
            </w:pPr>
            <w:r>
              <w:rPr>
                <w:color w:val="auto"/>
                <w:highlight w:val="none"/>
              </w:rPr>
              <w:t>B1400</w:t>
            </w:r>
          </w:p>
        </w:tc>
        <w:tc>
          <w:tcPr>
            <w:tcW w:w="458" w:type="pct"/>
            <w:tcBorders>
              <w:tl2br w:val="nil"/>
              <w:tr2bl w:val="nil"/>
            </w:tcBorders>
            <w:noWrap/>
            <w:vAlign w:val="center"/>
          </w:tcPr>
          <w:p w14:paraId="4FAAE29D">
            <w:pPr>
              <w:pStyle w:val="41"/>
              <w:rPr>
                <w:color w:val="auto"/>
                <w:highlight w:val="none"/>
              </w:rPr>
            </w:pPr>
            <w:r>
              <w:rPr>
                <w:color w:val="auto"/>
                <w:highlight w:val="none"/>
              </w:rPr>
              <w:t>1</w:t>
            </w:r>
          </w:p>
        </w:tc>
        <w:tc>
          <w:tcPr>
            <w:tcW w:w="1029" w:type="pct"/>
            <w:tcBorders>
              <w:tl2br w:val="nil"/>
              <w:tr2bl w:val="nil"/>
            </w:tcBorders>
            <w:noWrap/>
            <w:vAlign w:val="center"/>
          </w:tcPr>
          <w:p w14:paraId="69C49339">
            <w:pPr>
              <w:pStyle w:val="41"/>
              <w:rPr>
                <w:color w:val="auto"/>
                <w:highlight w:val="none"/>
              </w:rPr>
            </w:pPr>
            <w:r>
              <w:rPr>
                <w:color w:val="auto"/>
                <w:highlight w:val="none"/>
              </w:rPr>
              <w:t>37</w:t>
            </w:r>
          </w:p>
        </w:tc>
      </w:tr>
      <w:tr w14:paraId="472C39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7C54D536">
            <w:pPr>
              <w:pStyle w:val="41"/>
              <w:rPr>
                <w:color w:val="auto"/>
                <w:highlight w:val="none"/>
              </w:rPr>
            </w:pPr>
            <w:r>
              <w:rPr>
                <w:color w:val="auto"/>
                <w:highlight w:val="none"/>
              </w:rPr>
              <w:t>13</w:t>
            </w:r>
          </w:p>
        </w:tc>
        <w:tc>
          <w:tcPr>
            <w:tcW w:w="1663" w:type="pct"/>
            <w:tcBorders>
              <w:tl2br w:val="nil"/>
              <w:tr2bl w:val="nil"/>
            </w:tcBorders>
            <w:noWrap/>
            <w:vAlign w:val="center"/>
          </w:tcPr>
          <w:p w14:paraId="5D8473DF">
            <w:pPr>
              <w:pStyle w:val="41"/>
              <w:rPr>
                <w:color w:val="auto"/>
                <w:highlight w:val="none"/>
              </w:rPr>
            </w:pPr>
            <w:r>
              <w:rPr>
                <w:rFonts w:hint="eastAsia"/>
                <w:color w:val="auto"/>
                <w:highlight w:val="none"/>
              </w:rPr>
              <w:t>皮带输送机</w:t>
            </w:r>
          </w:p>
        </w:tc>
        <w:tc>
          <w:tcPr>
            <w:tcW w:w="1469" w:type="pct"/>
            <w:tcBorders>
              <w:tl2br w:val="nil"/>
              <w:tr2bl w:val="nil"/>
            </w:tcBorders>
            <w:noWrap/>
            <w:vAlign w:val="center"/>
          </w:tcPr>
          <w:p w14:paraId="3D5E2A92">
            <w:pPr>
              <w:pStyle w:val="41"/>
              <w:rPr>
                <w:color w:val="auto"/>
                <w:highlight w:val="none"/>
              </w:rPr>
            </w:pPr>
            <w:r>
              <w:rPr>
                <w:color w:val="auto"/>
                <w:highlight w:val="none"/>
              </w:rPr>
              <w:t>B1400</w:t>
            </w:r>
          </w:p>
        </w:tc>
        <w:tc>
          <w:tcPr>
            <w:tcW w:w="458" w:type="pct"/>
            <w:tcBorders>
              <w:tl2br w:val="nil"/>
              <w:tr2bl w:val="nil"/>
            </w:tcBorders>
            <w:noWrap/>
            <w:vAlign w:val="center"/>
          </w:tcPr>
          <w:p w14:paraId="609406D8">
            <w:pPr>
              <w:pStyle w:val="41"/>
              <w:rPr>
                <w:color w:val="auto"/>
                <w:highlight w:val="none"/>
              </w:rPr>
            </w:pPr>
            <w:r>
              <w:rPr>
                <w:color w:val="auto"/>
                <w:highlight w:val="none"/>
              </w:rPr>
              <w:t>2</w:t>
            </w:r>
          </w:p>
        </w:tc>
        <w:tc>
          <w:tcPr>
            <w:tcW w:w="1029" w:type="pct"/>
            <w:tcBorders>
              <w:tl2br w:val="nil"/>
              <w:tr2bl w:val="nil"/>
            </w:tcBorders>
            <w:noWrap/>
            <w:vAlign w:val="center"/>
          </w:tcPr>
          <w:p w14:paraId="29D76436">
            <w:pPr>
              <w:pStyle w:val="41"/>
              <w:rPr>
                <w:color w:val="auto"/>
                <w:highlight w:val="none"/>
              </w:rPr>
            </w:pPr>
            <w:r>
              <w:rPr>
                <w:color w:val="auto"/>
                <w:highlight w:val="none"/>
              </w:rPr>
              <w:t>18.5</w:t>
            </w:r>
          </w:p>
        </w:tc>
      </w:tr>
      <w:tr w14:paraId="59F709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06B99EF7">
            <w:pPr>
              <w:pStyle w:val="41"/>
              <w:rPr>
                <w:color w:val="auto"/>
                <w:highlight w:val="none"/>
              </w:rPr>
            </w:pPr>
            <w:r>
              <w:rPr>
                <w:color w:val="auto"/>
                <w:highlight w:val="none"/>
              </w:rPr>
              <w:t>14</w:t>
            </w:r>
          </w:p>
        </w:tc>
        <w:tc>
          <w:tcPr>
            <w:tcW w:w="1663" w:type="pct"/>
            <w:tcBorders>
              <w:tl2br w:val="nil"/>
              <w:tr2bl w:val="nil"/>
            </w:tcBorders>
            <w:noWrap/>
            <w:vAlign w:val="center"/>
          </w:tcPr>
          <w:p w14:paraId="1A142D78">
            <w:pPr>
              <w:pStyle w:val="41"/>
              <w:rPr>
                <w:color w:val="auto"/>
                <w:highlight w:val="none"/>
              </w:rPr>
            </w:pPr>
            <w:r>
              <w:rPr>
                <w:rFonts w:hint="eastAsia"/>
                <w:color w:val="auto"/>
                <w:highlight w:val="none"/>
              </w:rPr>
              <w:t>皮带输送机</w:t>
            </w:r>
          </w:p>
        </w:tc>
        <w:tc>
          <w:tcPr>
            <w:tcW w:w="1469" w:type="pct"/>
            <w:tcBorders>
              <w:tl2br w:val="nil"/>
              <w:tr2bl w:val="nil"/>
            </w:tcBorders>
            <w:noWrap/>
            <w:vAlign w:val="center"/>
          </w:tcPr>
          <w:p w14:paraId="13210FDD">
            <w:pPr>
              <w:pStyle w:val="41"/>
              <w:rPr>
                <w:color w:val="auto"/>
                <w:highlight w:val="none"/>
              </w:rPr>
            </w:pPr>
            <w:r>
              <w:rPr>
                <w:color w:val="auto"/>
                <w:highlight w:val="none"/>
              </w:rPr>
              <w:t>B1400</w:t>
            </w:r>
          </w:p>
        </w:tc>
        <w:tc>
          <w:tcPr>
            <w:tcW w:w="458" w:type="pct"/>
            <w:tcBorders>
              <w:tl2br w:val="nil"/>
              <w:tr2bl w:val="nil"/>
            </w:tcBorders>
            <w:noWrap/>
            <w:vAlign w:val="center"/>
          </w:tcPr>
          <w:p w14:paraId="766A5EC2">
            <w:pPr>
              <w:pStyle w:val="41"/>
              <w:rPr>
                <w:color w:val="auto"/>
                <w:highlight w:val="none"/>
              </w:rPr>
            </w:pPr>
            <w:r>
              <w:rPr>
                <w:color w:val="auto"/>
                <w:highlight w:val="none"/>
              </w:rPr>
              <w:t>1</w:t>
            </w:r>
          </w:p>
        </w:tc>
        <w:tc>
          <w:tcPr>
            <w:tcW w:w="1029" w:type="pct"/>
            <w:tcBorders>
              <w:tl2br w:val="nil"/>
              <w:tr2bl w:val="nil"/>
            </w:tcBorders>
            <w:noWrap/>
            <w:vAlign w:val="center"/>
          </w:tcPr>
          <w:p w14:paraId="69C231A2">
            <w:pPr>
              <w:pStyle w:val="41"/>
              <w:rPr>
                <w:color w:val="auto"/>
                <w:highlight w:val="none"/>
              </w:rPr>
            </w:pPr>
            <w:r>
              <w:rPr>
                <w:color w:val="auto"/>
                <w:highlight w:val="none"/>
              </w:rPr>
              <w:t>45</w:t>
            </w:r>
          </w:p>
        </w:tc>
      </w:tr>
      <w:tr w14:paraId="1A01D70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752581A3">
            <w:pPr>
              <w:pStyle w:val="41"/>
              <w:rPr>
                <w:color w:val="auto"/>
                <w:highlight w:val="none"/>
              </w:rPr>
            </w:pPr>
            <w:r>
              <w:rPr>
                <w:color w:val="auto"/>
                <w:highlight w:val="none"/>
              </w:rPr>
              <w:t>15</w:t>
            </w:r>
          </w:p>
        </w:tc>
        <w:tc>
          <w:tcPr>
            <w:tcW w:w="1663" w:type="pct"/>
            <w:tcBorders>
              <w:tl2br w:val="nil"/>
              <w:tr2bl w:val="nil"/>
            </w:tcBorders>
            <w:noWrap/>
            <w:vAlign w:val="center"/>
          </w:tcPr>
          <w:p w14:paraId="3AEB3DD4">
            <w:pPr>
              <w:pStyle w:val="41"/>
              <w:rPr>
                <w:color w:val="auto"/>
                <w:highlight w:val="none"/>
              </w:rPr>
            </w:pPr>
            <w:r>
              <w:rPr>
                <w:rFonts w:hint="eastAsia"/>
                <w:color w:val="auto"/>
                <w:highlight w:val="none"/>
              </w:rPr>
              <w:t>皮带输送机</w:t>
            </w:r>
          </w:p>
        </w:tc>
        <w:tc>
          <w:tcPr>
            <w:tcW w:w="1469" w:type="pct"/>
            <w:tcBorders>
              <w:tl2br w:val="nil"/>
              <w:tr2bl w:val="nil"/>
            </w:tcBorders>
            <w:noWrap/>
            <w:vAlign w:val="center"/>
          </w:tcPr>
          <w:p w14:paraId="6DAFD258">
            <w:pPr>
              <w:pStyle w:val="41"/>
              <w:rPr>
                <w:color w:val="auto"/>
                <w:highlight w:val="none"/>
              </w:rPr>
            </w:pPr>
            <w:r>
              <w:rPr>
                <w:color w:val="auto"/>
                <w:highlight w:val="none"/>
              </w:rPr>
              <w:t>B1000</w:t>
            </w:r>
          </w:p>
        </w:tc>
        <w:tc>
          <w:tcPr>
            <w:tcW w:w="458" w:type="pct"/>
            <w:tcBorders>
              <w:tl2br w:val="nil"/>
              <w:tr2bl w:val="nil"/>
            </w:tcBorders>
            <w:noWrap/>
            <w:vAlign w:val="center"/>
          </w:tcPr>
          <w:p w14:paraId="0D255C21">
            <w:pPr>
              <w:pStyle w:val="41"/>
              <w:rPr>
                <w:color w:val="auto"/>
                <w:highlight w:val="none"/>
              </w:rPr>
            </w:pPr>
            <w:r>
              <w:rPr>
                <w:color w:val="auto"/>
                <w:highlight w:val="none"/>
              </w:rPr>
              <w:t>2</w:t>
            </w:r>
          </w:p>
        </w:tc>
        <w:tc>
          <w:tcPr>
            <w:tcW w:w="1029" w:type="pct"/>
            <w:tcBorders>
              <w:tl2br w:val="nil"/>
              <w:tr2bl w:val="nil"/>
            </w:tcBorders>
            <w:noWrap/>
            <w:vAlign w:val="center"/>
          </w:tcPr>
          <w:p w14:paraId="6D4C0FAA">
            <w:pPr>
              <w:pStyle w:val="41"/>
              <w:rPr>
                <w:color w:val="auto"/>
                <w:highlight w:val="none"/>
              </w:rPr>
            </w:pPr>
            <w:r>
              <w:rPr>
                <w:color w:val="auto"/>
                <w:highlight w:val="none"/>
              </w:rPr>
              <w:t>18.5</w:t>
            </w:r>
          </w:p>
        </w:tc>
      </w:tr>
      <w:tr w14:paraId="1C65A4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53A23115">
            <w:pPr>
              <w:pStyle w:val="41"/>
              <w:rPr>
                <w:color w:val="auto"/>
                <w:highlight w:val="none"/>
              </w:rPr>
            </w:pPr>
            <w:r>
              <w:rPr>
                <w:color w:val="auto"/>
                <w:highlight w:val="none"/>
              </w:rPr>
              <w:t>16</w:t>
            </w:r>
          </w:p>
        </w:tc>
        <w:tc>
          <w:tcPr>
            <w:tcW w:w="1663" w:type="pct"/>
            <w:tcBorders>
              <w:tl2br w:val="nil"/>
              <w:tr2bl w:val="nil"/>
            </w:tcBorders>
            <w:noWrap/>
            <w:vAlign w:val="center"/>
          </w:tcPr>
          <w:p w14:paraId="1041C5CD">
            <w:pPr>
              <w:pStyle w:val="41"/>
              <w:rPr>
                <w:color w:val="auto"/>
                <w:highlight w:val="none"/>
              </w:rPr>
            </w:pPr>
            <w:r>
              <w:rPr>
                <w:rFonts w:hint="eastAsia"/>
                <w:color w:val="auto"/>
                <w:highlight w:val="none"/>
              </w:rPr>
              <w:t>皮带输送机</w:t>
            </w:r>
          </w:p>
        </w:tc>
        <w:tc>
          <w:tcPr>
            <w:tcW w:w="1469" w:type="pct"/>
            <w:tcBorders>
              <w:tl2br w:val="nil"/>
              <w:tr2bl w:val="nil"/>
            </w:tcBorders>
            <w:noWrap/>
            <w:vAlign w:val="center"/>
          </w:tcPr>
          <w:p w14:paraId="464E14C7">
            <w:pPr>
              <w:pStyle w:val="41"/>
              <w:rPr>
                <w:color w:val="auto"/>
                <w:highlight w:val="none"/>
              </w:rPr>
            </w:pPr>
            <w:r>
              <w:rPr>
                <w:color w:val="auto"/>
                <w:highlight w:val="none"/>
              </w:rPr>
              <w:t>B1000</w:t>
            </w:r>
          </w:p>
        </w:tc>
        <w:tc>
          <w:tcPr>
            <w:tcW w:w="458" w:type="pct"/>
            <w:tcBorders>
              <w:tl2br w:val="nil"/>
              <w:tr2bl w:val="nil"/>
            </w:tcBorders>
            <w:noWrap/>
            <w:vAlign w:val="center"/>
          </w:tcPr>
          <w:p w14:paraId="3C7FDED3">
            <w:pPr>
              <w:pStyle w:val="41"/>
              <w:rPr>
                <w:color w:val="auto"/>
                <w:highlight w:val="none"/>
              </w:rPr>
            </w:pPr>
            <w:r>
              <w:rPr>
                <w:color w:val="auto"/>
                <w:highlight w:val="none"/>
              </w:rPr>
              <w:t>2</w:t>
            </w:r>
          </w:p>
        </w:tc>
        <w:tc>
          <w:tcPr>
            <w:tcW w:w="1029" w:type="pct"/>
            <w:tcBorders>
              <w:tl2br w:val="nil"/>
              <w:tr2bl w:val="nil"/>
            </w:tcBorders>
            <w:noWrap/>
            <w:vAlign w:val="center"/>
          </w:tcPr>
          <w:p w14:paraId="109417E7">
            <w:pPr>
              <w:pStyle w:val="41"/>
              <w:rPr>
                <w:color w:val="auto"/>
                <w:highlight w:val="none"/>
              </w:rPr>
            </w:pPr>
            <w:r>
              <w:rPr>
                <w:color w:val="auto"/>
                <w:highlight w:val="none"/>
              </w:rPr>
              <w:t>30</w:t>
            </w:r>
          </w:p>
        </w:tc>
      </w:tr>
      <w:tr w14:paraId="498D1A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02711D6E">
            <w:pPr>
              <w:pStyle w:val="41"/>
              <w:rPr>
                <w:color w:val="auto"/>
                <w:highlight w:val="none"/>
              </w:rPr>
            </w:pPr>
            <w:r>
              <w:rPr>
                <w:color w:val="auto"/>
                <w:highlight w:val="none"/>
              </w:rPr>
              <w:t>17</w:t>
            </w:r>
          </w:p>
        </w:tc>
        <w:tc>
          <w:tcPr>
            <w:tcW w:w="1663" w:type="pct"/>
            <w:tcBorders>
              <w:tl2br w:val="nil"/>
              <w:tr2bl w:val="nil"/>
            </w:tcBorders>
            <w:noWrap/>
            <w:vAlign w:val="center"/>
          </w:tcPr>
          <w:p w14:paraId="4882B238">
            <w:pPr>
              <w:pStyle w:val="41"/>
              <w:rPr>
                <w:color w:val="auto"/>
                <w:highlight w:val="none"/>
              </w:rPr>
            </w:pPr>
            <w:r>
              <w:rPr>
                <w:rFonts w:hint="eastAsia"/>
                <w:color w:val="auto"/>
                <w:highlight w:val="none"/>
              </w:rPr>
              <w:t>皮带输送机</w:t>
            </w:r>
          </w:p>
        </w:tc>
        <w:tc>
          <w:tcPr>
            <w:tcW w:w="1469" w:type="pct"/>
            <w:tcBorders>
              <w:tl2br w:val="nil"/>
              <w:tr2bl w:val="nil"/>
            </w:tcBorders>
            <w:noWrap/>
            <w:vAlign w:val="center"/>
          </w:tcPr>
          <w:p w14:paraId="58FBDD18">
            <w:pPr>
              <w:pStyle w:val="41"/>
              <w:rPr>
                <w:color w:val="auto"/>
                <w:highlight w:val="none"/>
              </w:rPr>
            </w:pPr>
            <w:r>
              <w:rPr>
                <w:color w:val="auto"/>
                <w:highlight w:val="none"/>
              </w:rPr>
              <w:t>B1200</w:t>
            </w:r>
          </w:p>
        </w:tc>
        <w:tc>
          <w:tcPr>
            <w:tcW w:w="458" w:type="pct"/>
            <w:tcBorders>
              <w:tl2br w:val="nil"/>
              <w:tr2bl w:val="nil"/>
            </w:tcBorders>
            <w:noWrap/>
            <w:vAlign w:val="center"/>
          </w:tcPr>
          <w:p w14:paraId="515DCEE3">
            <w:pPr>
              <w:pStyle w:val="41"/>
              <w:rPr>
                <w:color w:val="auto"/>
                <w:highlight w:val="none"/>
              </w:rPr>
            </w:pPr>
            <w:r>
              <w:rPr>
                <w:color w:val="auto"/>
                <w:highlight w:val="none"/>
              </w:rPr>
              <w:t>3</w:t>
            </w:r>
          </w:p>
        </w:tc>
        <w:tc>
          <w:tcPr>
            <w:tcW w:w="1029" w:type="pct"/>
            <w:tcBorders>
              <w:tl2br w:val="nil"/>
              <w:tr2bl w:val="nil"/>
            </w:tcBorders>
            <w:noWrap/>
            <w:vAlign w:val="center"/>
          </w:tcPr>
          <w:p w14:paraId="16D6CD42">
            <w:pPr>
              <w:pStyle w:val="41"/>
              <w:rPr>
                <w:color w:val="auto"/>
                <w:highlight w:val="none"/>
              </w:rPr>
            </w:pPr>
            <w:r>
              <w:rPr>
                <w:color w:val="auto"/>
                <w:highlight w:val="none"/>
              </w:rPr>
              <w:t>30</w:t>
            </w:r>
          </w:p>
        </w:tc>
      </w:tr>
      <w:tr w14:paraId="4394F9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454F71B5">
            <w:pPr>
              <w:pStyle w:val="41"/>
              <w:rPr>
                <w:color w:val="auto"/>
                <w:highlight w:val="none"/>
              </w:rPr>
            </w:pPr>
            <w:r>
              <w:rPr>
                <w:color w:val="auto"/>
                <w:highlight w:val="none"/>
              </w:rPr>
              <w:t>18</w:t>
            </w:r>
          </w:p>
        </w:tc>
        <w:tc>
          <w:tcPr>
            <w:tcW w:w="1663" w:type="pct"/>
            <w:tcBorders>
              <w:tl2br w:val="nil"/>
              <w:tr2bl w:val="nil"/>
            </w:tcBorders>
            <w:noWrap/>
            <w:vAlign w:val="center"/>
          </w:tcPr>
          <w:p w14:paraId="13CA04A6">
            <w:pPr>
              <w:pStyle w:val="41"/>
              <w:rPr>
                <w:color w:val="auto"/>
                <w:highlight w:val="none"/>
              </w:rPr>
            </w:pPr>
            <w:r>
              <w:rPr>
                <w:rFonts w:hint="eastAsia"/>
                <w:color w:val="auto"/>
                <w:highlight w:val="none"/>
              </w:rPr>
              <w:t>皮带输送机</w:t>
            </w:r>
          </w:p>
        </w:tc>
        <w:tc>
          <w:tcPr>
            <w:tcW w:w="1469" w:type="pct"/>
            <w:tcBorders>
              <w:tl2br w:val="nil"/>
              <w:tr2bl w:val="nil"/>
            </w:tcBorders>
            <w:noWrap/>
            <w:vAlign w:val="center"/>
          </w:tcPr>
          <w:p w14:paraId="48210A41">
            <w:pPr>
              <w:pStyle w:val="41"/>
              <w:rPr>
                <w:color w:val="auto"/>
                <w:highlight w:val="none"/>
              </w:rPr>
            </w:pPr>
            <w:r>
              <w:rPr>
                <w:color w:val="auto"/>
                <w:highlight w:val="none"/>
              </w:rPr>
              <w:t>B1200</w:t>
            </w:r>
          </w:p>
        </w:tc>
        <w:tc>
          <w:tcPr>
            <w:tcW w:w="458" w:type="pct"/>
            <w:tcBorders>
              <w:tl2br w:val="nil"/>
              <w:tr2bl w:val="nil"/>
            </w:tcBorders>
            <w:noWrap/>
            <w:vAlign w:val="center"/>
          </w:tcPr>
          <w:p w14:paraId="36933110">
            <w:pPr>
              <w:pStyle w:val="41"/>
              <w:rPr>
                <w:color w:val="auto"/>
                <w:highlight w:val="none"/>
              </w:rPr>
            </w:pPr>
            <w:r>
              <w:rPr>
                <w:color w:val="auto"/>
                <w:highlight w:val="none"/>
              </w:rPr>
              <w:t>3</w:t>
            </w:r>
          </w:p>
        </w:tc>
        <w:tc>
          <w:tcPr>
            <w:tcW w:w="1029" w:type="pct"/>
            <w:tcBorders>
              <w:tl2br w:val="nil"/>
              <w:tr2bl w:val="nil"/>
            </w:tcBorders>
            <w:noWrap/>
            <w:vAlign w:val="center"/>
          </w:tcPr>
          <w:p w14:paraId="47CDF74C">
            <w:pPr>
              <w:pStyle w:val="41"/>
              <w:rPr>
                <w:color w:val="auto"/>
                <w:highlight w:val="none"/>
              </w:rPr>
            </w:pPr>
            <w:r>
              <w:rPr>
                <w:color w:val="auto"/>
                <w:highlight w:val="none"/>
              </w:rPr>
              <w:t>18.5</w:t>
            </w:r>
          </w:p>
        </w:tc>
      </w:tr>
      <w:tr w14:paraId="4CC5A9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l2br w:val="nil"/>
              <w:tr2bl w:val="nil"/>
            </w:tcBorders>
            <w:noWrap/>
            <w:vAlign w:val="center"/>
          </w:tcPr>
          <w:p w14:paraId="4528E428">
            <w:pPr>
              <w:pStyle w:val="41"/>
              <w:rPr>
                <w:color w:val="auto"/>
                <w:highlight w:val="none"/>
              </w:rPr>
            </w:pPr>
            <w:r>
              <w:rPr>
                <w:rFonts w:hint="eastAsia"/>
                <w:color w:val="auto"/>
                <w:highlight w:val="none"/>
              </w:rPr>
              <w:t>磨矿磁选</w:t>
            </w:r>
          </w:p>
        </w:tc>
      </w:tr>
      <w:tr w14:paraId="60F806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55F40FDF">
            <w:pPr>
              <w:pStyle w:val="41"/>
              <w:rPr>
                <w:color w:val="auto"/>
                <w:highlight w:val="none"/>
              </w:rPr>
            </w:pPr>
            <w:r>
              <w:rPr>
                <w:color w:val="auto"/>
                <w:highlight w:val="none"/>
              </w:rPr>
              <w:t>1</w:t>
            </w:r>
          </w:p>
        </w:tc>
        <w:tc>
          <w:tcPr>
            <w:tcW w:w="1663" w:type="pct"/>
            <w:tcBorders>
              <w:tl2br w:val="nil"/>
              <w:tr2bl w:val="nil"/>
            </w:tcBorders>
            <w:noWrap/>
            <w:vAlign w:val="center"/>
          </w:tcPr>
          <w:p w14:paraId="0F11D347">
            <w:pPr>
              <w:pStyle w:val="41"/>
              <w:rPr>
                <w:color w:val="auto"/>
                <w:highlight w:val="none"/>
              </w:rPr>
            </w:pPr>
            <w:r>
              <w:rPr>
                <w:rFonts w:hint="eastAsia"/>
                <w:color w:val="auto"/>
                <w:highlight w:val="none"/>
              </w:rPr>
              <w:t>直线筛</w:t>
            </w:r>
          </w:p>
        </w:tc>
        <w:tc>
          <w:tcPr>
            <w:tcW w:w="1469" w:type="pct"/>
            <w:tcBorders>
              <w:tl2br w:val="nil"/>
              <w:tr2bl w:val="nil"/>
            </w:tcBorders>
            <w:noWrap/>
            <w:vAlign w:val="center"/>
          </w:tcPr>
          <w:p w14:paraId="39E30889">
            <w:pPr>
              <w:pStyle w:val="41"/>
              <w:rPr>
                <w:color w:val="auto"/>
                <w:highlight w:val="none"/>
              </w:rPr>
            </w:pPr>
            <w:r>
              <w:rPr>
                <w:color w:val="auto"/>
                <w:highlight w:val="none"/>
              </w:rPr>
              <w:t>ZJQ4385</w:t>
            </w:r>
          </w:p>
        </w:tc>
        <w:tc>
          <w:tcPr>
            <w:tcW w:w="458" w:type="pct"/>
            <w:tcBorders>
              <w:tl2br w:val="nil"/>
              <w:tr2bl w:val="nil"/>
            </w:tcBorders>
            <w:noWrap/>
            <w:vAlign w:val="center"/>
          </w:tcPr>
          <w:p w14:paraId="55CB3D05">
            <w:pPr>
              <w:pStyle w:val="41"/>
              <w:rPr>
                <w:color w:val="auto"/>
                <w:highlight w:val="none"/>
              </w:rPr>
            </w:pPr>
            <w:r>
              <w:rPr>
                <w:color w:val="auto"/>
                <w:highlight w:val="none"/>
              </w:rPr>
              <w:t>1</w:t>
            </w:r>
          </w:p>
        </w:tc>
        <w:tc>
          <w:tcPr>
            <w:tcW w:w="1029" w:type="pct"/>
            <w:tcBorders>
              <w:tl2br w:val="nil"/>
              <w:tr2bl w:val="nil"/>
            </w:tcBorders>
            <w:noWrap/>
            <w:vAlign w:val="center"/>
          </w:tcPr>
          <w:p w14:paraId="70F0CD11">
            <w:pPr>
              <w:pStyle w:val="41"/>
              <w:rPr>
                <w:color w:val="auto"/>
                <w:highlight w:val="none"/>
              </w:rPr>
            </w:pPr>
            <w:r>
              <w:rPr>
                <w:color w:val="auto"/>
                <w:highlight w:val="none"/>
              </w:rPr>
              <w:t>75</w:t>
            </w:r>
          </w:p>
        </w:tc>
      </w:tr>
      <w:tr w14:paraId="2FAB24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2626E9A9">
            <w:pPr>
              <w:pStyle w:val="41"/>
              <w:rPr>
                <w:color w:val="auto"/>
                <w:highlight w:val="none"/>
              </w:rPr>
            </w:pPr>
            <w:r>
              <w:rPr>
                <w:color w:val="auto"/>
                <w:highlight w:val="none"/>
              </w:rPr>
              <w:t>2</w:t>
            </w:r>
          </w:p>
        </w:tc>
        <w:tc>
          <w:tcPr>
            <w:tcW w:w="1663" w:type="pct"/>
            <w:tcBorders>
              <w:tl2br w:val="nil"/>
              <w:tr2bl w:val="nil"/>
            </w:tcBorders>
            <w:noWrap/>
            <w:vAlign w:val="center"/>
          </w:tcPr>
          <w:p w14:paraId="3DDEB4F0">
            <w:pPr>
              <w:pStyle w:val="41"/>
              <w:rPr>
                <w:color w:val="auto"/>
                <w:highlight w:val="none"/>
              </w:rPr>
            </w:pPr>
            <w:r>
              <w:rPr>
                <w:rFonts w:hint="eastAsia"/>
                <w:color w:val="auto"/>
                <w:highlight w:val="none"/>
              </w:rPr>
              <w:t>一段球磨机</w:t>
            </w:r>
          </w:p>
        </w:tc>
        <w:tc>
          <w:tcPr>
            <w:tcW w:w="1469" w:type="pct"/>
            <w:tcBorders>
              <w:tl2br w:val="nil"/>
              <w:tr2bl w:val="nil"/>
            </w:tcBorders>
            <w:vAlign w:val="center"/>
          </w:tcPr>
          <w:p w14:paraId="23D02C0A">
            <w:pPr>
              <w:pStyle w:val="41"/>
              <w:rPr>
                <w:color w:val="auto"/>
                <w:highlight w:val="none"/>
              </w:rPr>
            </w:pPr>
            <w:r>
              <w:rPr>
                <w:color w:val="auto"/>
                <w:highlight w:val="none"/>
              </w:rPr>
              <w:t>MQS4060</w:t>
            </w:r>
          </w:p>
        </w:tc>
        <w:tc>
          <w:tcPr>
            <w:tcW w:w="458" w:type="pct"/>
            <w:tcBorders>
              <w:tl2br w:val="nil"/>
              <w:tr2bl w:val="nil"/>
            </w:tcBorders>
            <w:noWrap/>
            <w:vAlign w:val="center"/>
          </w:tcPr>
          <w:p w14:paraId="04362EBD">
            <w:pPr>
              <w:pStyle w:val="41"/>
              <w:rPr>
                <w:color w:val="auto"/>
                <w:highlight w:val="none"/>
              </w:rPr>
            </w:pPr>
            <w:r>
              <w:rPr>
                <w:color w:val="auto"/>
                <w:highlight w:val="none"/>
              </w:rPr>
              <w:t>1</w:t>
            </w:r>
          </w:p>
        </w:tc>
        <w:tc>
          <w:tcPr>
            <w:tcW w:w="1029" w:type="pct"/>
            <w:tcBorders>
              <w:tl2br w:val="nil"/>
              <w:tr2bl w:val="nil"/>
            </w:tcBorders>
            <w:noWrap/>
            <w:vAlign w:val="center"/>
          </w:tcPr>
          <w:p w14:paraId="2DABB77E">
            <w:pPr>
              <w:pStyle w:val="41"/>
              <w:rPr>
                <w:color w:val="auto"/>
                <w:highlight w:val="none"/>
              </w:rPr>
            </w:pPr>
            <w:r>
              <w:rPr>
                <w:color w:val="auto"/>
                <w:highlight w:val="none"/>
              </w:rPr>
              <w:t>1750</w:t>
            </w:r>
          </w:p>
        </w:tc>
      </w:tr>
      <w:tr w14:paraId="16C988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53A07622">
            <w:pPr>
              <w:pStyle w:val="41"/>
              <w:rPr>
                <w:color w:val="auto"/>
                <w:highlight w:val="none"/>
              </w:rPr>
            </w:pPr>
            <w:r>
              <w:rPr>
                <w:color w:val="auto"/>
                <w:highlight w:val="none"/>
              </w:rPr>
              <w:t>3</w:t>
            </w:r>
          </w:p>
        </w:tc>
        <w:tc>
          <w:tcPr>
            <w:tcW w:w="1663" w:type="pct"/>
            <w:tcBorders>
              <w:tl2br w:val="nil"/>
              <w:tr2bl w:val="nil"/>
            </w:tcBorders>
            <w:noWrap/>
            <w:vAlign w:val="center"/>
          </w:tcPr>
          <w:p w14:paraId="4DE0D3B6">
            <w:pPr>
              <w:pStyle w:val="41"/>
              <w:rPr>
                <w:color w:val="auto"/>
                <w:highlight w:val="none"/>
              </w:rPr>
            </w:pPr>
            <w:r>
              <w:rPr>
                <w:rFonts w:hint="eastAsia"/>
                <w:color w:val="auto"/>
                <w:highlight w:val="none"/>
              </w:rPr>
              <w:t>旋流器组</w:t>
            </w:r>
          </w:p>
        </w:tc>
        <w:tc>
          <w:tcPr>
            <w:tcW w:w="1469" w:type="pct"/>
            <w:tcBorders>
              <w:tl2br w:val="nil"/>
              <w:tr2bl w:val="nil"/>
            </w:tcBorders>
            <w:vAlign w:val="center"/>
          </w:tcPr>
          <w:p w14:paraId="4526D365">
            <w:pPr>
              <w:pStyle w:val="41"/>
              <w:rPr>
                <w:color w:val="auto"/>
                <w:highlight w:val="none"/>
              </w:rPr>
            </w:pPr>
            <w:r>
              <w:rPr>
                <w:color w:val="auto"/>
                <w:highlight w:val="none"/>
              </w:rPr>
              <w:t>FJ610CP/6</w:t>
            </w:r>
          </w:p>
        </w:tc>
        <w:tc>
          <w:tcPr>
            <w:tcW w:w="458" w:type="pct"/>
            <w:tcBorders>
              <w:tl2br w:val="nil"/>
              <w:tr2bl w:val="nil"/>
            </w:tcBorders>
            <w:noWrap/>
            <w:vAlign w:val="center"/>
          </w:tcPr>
          <w:p w14:paraId="7D88A134">
            <w:pPr>
              <w:pStyle w:val="41"/>
              <w:rPr>
                <w:color w:val="auto"/>
                <w:highlight w:val="none"/>
              </w:rPr>
            </w:pPr>
          </w:p>
        </w:tc>
        <w:tc>
          <w:tcPr>
            <w:tcW w:w="1029" w:type="pct"/>
            <w:tcBorders>
              <w:tl2br w:val="nil"/>
              <w:tr2bl w:val="nil"/>
            </w:tcBorders>
            <w:noWrap/>
            <w:vAlign w:val="center"/>
          </w:tcPr>
          <w:p w14:paraId="7D9D4E15">
            <w:pPr>
              <w:pStyle w:val="41"/>
              <w:rPr>
                <w:color w:val="auto"/>
                <w:highlight w:val="none"/>
              </w:rPr>
            </w:pPr>
          </w:p>
        </w:tc>
      </w:tr>
      <w:tr w14:paraId="4D778C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4C77D6EA">
            <w:pPr>
              <w:pStyle w:val="41"/>
              <w:rPr>
                <w:color w:val="auto"/>
                <w:highlight w:val="none"/>
              </w:rPr>
            </w:pPr>
            <w:r>
              <w:rPr>
                <w:color w:val="auto"/>
                <w:highlight w:val="none"/>
              </w:rPr>
              <w:t>4</w:t>
            </w:r>
          </w:p>
        </w:tc>
        <w:tc>
          <w:tcPr>
            <w:tcW w:w="1663" w:type="pct"/>
            <w:tcBorders>
              <w:tl2br w:val="nil"/>
              <w:tr2bl w:val="nil"/>
            </w:tcBorders>
            <w:noWrap/>
            <w:vAlign w:val="center"/>
          </w:tcPr>
          <w:p w14:paraId="2C7CBE0E">
            <w:pPr>
              <w:pStyle w:val="41"/>
              <w:rPr>
                <w:color w:val="auto"/>
                <w:highlight w:val="none"/>
              </w:rPr>
            </w:pPr>
            <w:r>
              <w:rPr>
                <w:rFonts w:hint="eastAsia"/>
                <w:color w:val="auto"/>
                <w:highlight w:val="none"/>
              </w:rPr>
              <w:t>二段球磨机</w:t>
            </w:r>
          </w:p>
        </w:tc>
        <w:tc>
          <w:tcPr>
            <w:tcW w:w="1469" w:type="pct"/>
            <w:tcBorders>
              <w:tl2br w:val="nil"/>
              <w:tr2bl w:val="nil"/>
            </w:tcBorders>
            <w:vAlign w:val="center"/>
          </w:tcPr>
          <w:p w14:paraId="4893D9E8">
            <w:pPr>
              <w:pStyle w:val="41"/>
              <w:rPr>
                <w:color w:val="auto"/>
                <w:highlight w:val="none"/>
              </w:rPr>
            </w:pPr>
            <w:r>
              <w:rPr>
                <w:color w:val="auto"/>
                <w:highlight w:val="none"/>
              </w:rPr>
              <w:t>MQY3660</w:t>
            </w:r>
          </w:p>
        </w:tc>
        <w:tc>
          <w:tcPr>
            <w:tcW w:w="458" w:type="pct"/>
            <w:tcBorders>
              <w:tl2br w:val="nil"/>
              <w:tr2bl w:val="nil"/>
            </w:tcBorders>
            <w:noWrap/>
            <w:vAlign w:val="center"/>
          </w:tcPr>
          <w:p w14:paraId="6B1B634F">
            <w:pPr>
              <w:pStyle w:val="41"/>
              <w:rPr>
                <w:color w:val="auto"/>
                <w:highlight w:val="none"/>
              </w:rPr>
            </w:pPr>
            <w:r>
              <w:rPr>
                <w:color w:val="auto"/>
                <w:highlight w:val="none"/>
              </w:rPr>
              <w:t>1</w:t>
            </w:r>
          </w:p>
        </w:tc>
        <w:tc>
          <w:tcPr>
            <w:tcW w:w="1029" w:type="pct"/>
            <w:tcBorders>
              <w:tl2br w:val="nil"/>
              <w:tr2bl w:val="nil"/>
            </w:tcBorders>
            <w:noWrap/>
            <w:vAlign w:val="center"/>
          </w:tcPr>
          <w:p w14:paraId="14BDB939">
            <w:pPr>
              <w:pStyle w:val="41"/>
              <w:rPr>
                <w:color w:val="auto"/>
                <w:highlight w:val="none"/>
              </w:rPr>
            </w:pPr>
            <w:r>
              <w:rPr>
                <w:color w:val="auto"/>
                <w:highlight w:val="none"/>
              </w:rPr>
              <w:t>1250</w:t>
            </w:r>
          </w:p>
        </w:tc>
      </w:tr>
      <w:tr w14:paraId="124D65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7E50784A">
            <w:pPr>
              <w:pStyle w:val="41"/>
              <w:rPr>
                <w:color w:val="auto"/>
                <w:highlight w:val="none"/>
              </w:rPr>
            </w:pPr>
            <w:r>
              <w:rPr>
                <w:color w:val="auto"/>
                <w:highlight w:val="none"/>
              </w:rPr>
              <w:t>5</w:t>
            </w:r>
          </w:p>
        </w:tc>
        <w:tc>
          <w:tcPr>
            <w:tcW w:w="1663" w:type="pct"/>
            <w:tcBorders>
              <w:tl2br w:val="nil"/>
              <w:tr2bl w:val="nil"/>
            </w:tcBorders>
            <w:noWrap/>
            <w:vAlign w:val="center"/>
          </w:tcPr>
          <w:p w14:paraId="7023AB09">
            <w:pPr>
              <w:pStyle w:val="41"/>
              <w:rPr>
                <w:color w:val="auto"/>
                <w:highlight w:val="none"/>
              </w:rPr>
            </w:pPr>
            <w:r>
              <w:rPr>
                <w:rFonts w:hint="eastAsia"/>
                <w:color w:val="auto"/>
                <w:highlight w:val="none"/>
              </w:rPr>
              <w:t>旋流器组</w:t>
            </w:r>
          </w:p>
        </w:tc>
        <w:tc>
          <w:tcPr>
            <w:tcW w:w="1469" w:type="pct"/>
            <w:tcBorders>
              <w:tl2br w:val="nil"/>
              <w:tr2bl w:val="nil"/>
            </w:tcBorders>
            <w:vAlign w:val="center"/>
          </w:tcPr>
          <w:p w14:paraId="236577BA">
            <w:pPr>
              <w:pStyle w:val="41"/>
              <w:rPr>
                <w:color w:val="auto"/>
                <w:highlight w:val="none"/>
              </w:rPr>
            </w:pPr>
            <w:r>
              <w:rPr>
                <w:color w:val="auto"/>
                <w:highlight w:val="none"/>
              </w:rPr>
              <w:t>FJ500CR/4</w:t>
            </w:r>
          </w:p>
        </w:tc>
        <w:tc>
          <w:tcPr>
            <w:tcW w:w="458" w:type="pct"/>
            <w:tcBorders>
              <w:tl2br w:val="nil"/>
              <w:tr2bl w:val="nil"/>
            </w:tcBorders>
            <w:noWrap/>
            <w:vAlign w:val="center"/>
          </w:tcPr>
          <w:p w14:paraId="06AECD00">
            <w:pPr>
              <w:pStyle w:val="41"/>
              <w:rPr>
                <w:color w:val="auto"/>
                <w:highlight w:val="none"/>
              </w:rPr>
            </w:pPr>
            <w:r>
              <w:rPr>
                <w:color w:val="auto"/>
                <w:highlight w:val="none"/>
              </w:rPr>
              <w:t>2</w:t>
            </w:r>
          </w:p>
        </w:tc>
        <w:tc>
          <w:tcPr>
            <w:tcW w:w="1029" w:type="pct"/>
            <w:tcBorders>
              <w:tl2br w:val="nil"/>
              <w:tr2bl w:val="nil"/>
            </w:tcBorders>
            <w:noWrap/>
            <w:vAlign w:val="center"/>
          </w:tcPr>
          <w:p w14:paraId="7AFB35D7">
            <w:pPr>
              <w:pStyle w:val="41"/>
              <w:rPr>
                <w:color w:val="auto"/>
                <w:highlight w:val="none"/>
              </w:rPr>
            </w:pPr>
          </w:p>
        </w:tc>
      </w:tr>
      <w:tr w14:paraId="179B75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3E483F12">
            <w:pPr>
              <w:pStyle w:val="41"/>
              <w:rPr>
                <w:color w:val="auto"/>
                <w:highlight w:val="none"/>
              </w:rPr>
            </w:pPr>
            <w:r>
              <w:rPr>
                <w:color w:val="auto"/>
                <w:highlight w:val="none"/>
              </w:rPr>
              <w:t>6</w:t>
            </w:r>
          </w:p>
        </w:tc>
        <w:tc>
          <w:tcPr>
            <w:tcW w:w="1663" w:type="pct"/>
            <w:tcBorders>
              <w:tl2br w:val="nil"/>
              <w:tr2bl w:val="nil"/>
            </w:tcBorders>
            <w:noWrap/>
            <w:vAlign w:val="center"/>
          </w:tcPr>
          <w:p w14:paraId="74A87332">
            <w:pPr>
              <w:pStyle w:val="41"/>
              <w:rPr>
                <w:color w:val="auto"/>
                <w:highlight w:val="none"/>
              </w:rPr>
            </w:pPr>
            <w:r>
              <w:rPr>
                <w:rFonts w:hint="eastAsia"/>
                <w:color w:val="auto"/>
                <w:highlight w:val="none"/>
              </w:rPr>
              <w:t>叠筛</w:t>
            </w:r>
          </w:p>
        </w:tc>
        <w:tc>
          <w:tcPr>
            <w:tcW w:w="1469" w:type="pct"/>
            <w:tcBorders>
              <w:tl2br w:val="nil"/>
              <w:tr2bl w:val="nil"/>
            </w:tcBorders>
            <w:noWrap/>
            <w:vAlign w:val="center"/>
          </w:tcPr>
          <w:p w14:paraId="7D584750">
            <w:pPr>
              <w:pStyle w:val="41"/>
              <w:rPr>
                <w:color w:val="auto"/>
                <w:highlight w:val="none"/>
              </w:rPr>
            </w:pPr>
            <w:r>
              <w:rPr>
                <w:color w:val="auto"/>
                <w:highlight w:val="none"/>
              </w:rPr>
              <w:t>5DJG1216</w:t>
            </w:r>
          </w:p>
        </w:tc>
        <w:tc>
          <w:tcPr>
            <w:tcW w:w="458" w:type="pct"/>
            <w:tcBorders>
              <w:tl2br w:val="nil"/>
              <w:tr2bl w:val="nil"/>
            </w:tcBorders>
            <w:noWrap/>
            <w:vAlign w:val="center"/>
          </w:tcPr>
          <w:p w14:paraId="3EB4B588">
            <w:pPr>
              <w:pStyle w:val="41"/>
              <w:rPr>
                <w:color w:val="auto"/>
                <w:highlight w:val="none"/>
              </w:rPr>
            </w:pPr>
            <w:r>
              <w:rPr>
                <w:color w:val="auto"/>
                <w:highlight w:val="none"/>
              </w:rPr>
              <w:t>3</w:t>
            </w:r>
          </w:p>
        </w:tc>
        <w:tc>
          <w:tcPr>
            <w:tcW w:w="1029" w:type="pct"/>
            <w:tcBorders>
              <w:tl2br w:val="nil"/>
              <w:tr2bl w:val="nil"/>
            </w:tcBorders>
            <w:noWrap/>
            <w:vAlign w:val="center"/>
          </w:tcPr>
          <w:p w14:paraId="35A50AC8">
            <w:pPr>
              <w:pStyle w:val="41"/>
              <w:rPr>
                <w:color w:val="auto"/>
                <w:highlight w:val="none"/>
              </w:rPr>
            </w:pPr>
            <w:r>
              <w:rPr>
                <w:color w:val="auto"/>
                <w:highlight w:val="none"/>
              </w:rPr>
              <w:t>4.4</w:t>
            </w:r>
          </w:p>
        </w:tc>
      </w:tr>
      <w:tr w14:paraId="42B15A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41F65C21">
            <w:pPr>
              <w:pStyle w:val="41"/>
              <w:rPr>
                <w:color w:val="auto"/>
                <w:highlight w:val="none"/>
              </w:rPr>
            </w:pPr>
            <w:r>
              <w:rPr>
                <w:color w:val="auto"/>
                <w:highlight w:val="none"/>
              </w:rPr>
              <w:t>7</w:t>
            </w:r>
          </w:p>
        </w:tc>
        <w:tc>
          <w:tcPr>
            <w:tcW w:w="1663" w:type="pct"/>
            <w:tcBorders>
              <w:tl2br w:val="nil"/>
              <w:tr2bl w:val="nil"/>
            </w:tcBorders>
            <w:noWrap/>
            <w:vAlign w:val="center"/>
          </w:tcPr>
          <w:p w14:paraId="2339282B">
            <w:pPr>
              <w:pStyle w:val="41"/>
              <w:rPr>
                <w:color w:val="auto"/>
                <w:highlight w:val="none"/>
              </w:rPr>
            </w:pPr>
            <w:r>
              <w:rPr>
                <w:rFonts w:hint="eastAsia"/>
                <w:color w:val="auto"/>
                <w:highlight w:val="none"/>
              </w:rPr>
              <w:t>磁选机</w:t>
            </w:r>
          </w:p>
        </w:tc>
        <w:tc>
          <w:tcPr>
            <w:tcW w:w="1469" w:type="pct"/>
            <w:tcBorders>
              <w:tl2br w:val="nil"/>
              <w:tr2bl w:val="nil"/>
            </w:tcBorders>
            <w:noWrap/>
            <w:vAlign w:val="center"/>
          </w:tcPr>
          <w:p w14:paraId="62C6CCB7">
            <w:pPr>
              <w:pStyle w:val="41"/>
              <w:rPr>
                <w:color w:val="auto"/>
                <w:highlight w:val="none"/>
              </w:rPr>
            </w:pPr>
            <w:r>
              <w:rPr>
                <w:color w:val="auto"/>
                <w:highlight w:val="none"/>
              </w:rPr>
              <w:t>CTB1245</w:t>
            </w:r>
          </w:p>
        </w:tc>
        <w:tc>
          <w:tcPr>
            <w:tcW w:w="458" w:type="pct"/>
            <w:tcBorders>
              <w:tl2br w:val="nil"/>
              <w:tr2bl w:val="nil"/>
            </w:tcBorders>
            <w:vAlign w:val="center"/>
          </w:tcPr>
          <w:p w14:paraId="7FA8732D">
            <w:pPr>
              <w:pStyle w:val="41"/>
              <w:rPr>
                <w:color w:val="auto"/>
                <w:highlight w:val="none"/>
              </w:rPr>
            </w:pPr>
            <w:r>
              <w:rPr>
                <w:color w:val="auto"/>
                <w:highlight w:val="none"/>
              </w:rPr>
              <w:t>2</w:t>
            </w:r>
          </w:p>
        </w:tc>
        <w:tc>
          <w:tcPr>
            <w:tcW w:w="1029" w:type="pct"/>
            <w:tcBorders>
              <w:tl2br w:val="nil"/>
              <w:tr2bl w:val="nil"/>
            </w:tcBorders>
            <w:noWrap/>
            <w:vAlign w:val="center"/>
          </w:tcPr>
          <w:p w14:paraId="7C57785C">
            <w:pPr>
              <w:pStyle w:val="41"/>
              <w:rPr>
                <w:color w:val="auto"/>
                <w:highlight w:val="none"/>
              </w:rPr>
            </w:pPr>
            <w:r>
              <w:rPr>
                <w:color w:val="auto"/>
                <w:highlight w:val="none"/>
              </w:rPr>
              <w:t>18.5</w:t>
            </w:r>
          </w:p>
        </w:tc>
      </w:tr>
      <w:tr w14:paraId="01D20F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28F294C5">
            <w:pPr>
              <w:pStyle w:val="41"/>
              <w:rPr>
                <w:color w:val="auto"/>
                <w:highlight w:val="none"/>
              </w:rPr>
            </w:pPr>
            <w:r>
              <w:rPr>
                <w:color w:val="auto"/>
                <w:highlight w:val="none"/>
              </w:rPr>
              <w:t>8</w:t>
            </w:r>
          </w:p>
        </w:tc>
        <w:tc>
          <w:tcPr>
            <w:tcW w:w="1663" w:type="pct"/>
            <w:tcBorders>
              <w:tl2br w:val="nil"/>
              <w:tr2bl w:val="nil"/>
            </w:tcBorders>
            <w:noWrap/>
            <w:vAlign w:val="center"/>
          </w:tcPr>
          <w:p w14:paraId="7D42256D">
            <w:pPr>
              <w:pStyle w:val="41"/>
              <w:rPr>
                <w:color w:val="auto"/>
                <w:highlight w:val="none"/>
              </w:rPr>
            </w:pPr>
            <w:r>
              <w:rPr>
                <w:rFonts w:hint="eastAsia"/>
                <w:color w:val="auto"/>
                <w:highlight w:val="none"/>
              </w:rPr>
              <w:t>磁选机</w:t>
            </w:r>
          </w:p>
        </w:tc>
        <w:tc>
          <w:tcPr>
            <w:tcW w:w="1469" w:type="pct"/>
            <w:tcBorders>
              <w:tl2br w:val="nil"/>
              <w:tr2bl w:val="nil"/>
            </w:tcBorders>
            <w:noWrap/>
            <w:vAlign w:val="center"/>
          </w:tcPr>
          <w:p w14:paraId="6DA2BAF5">
            <w:pPr>
              <w:pStyle w:val="41"/>
              <w:rPr>
                <w:color w:val="auto"/>
                <w:highlight w:val="none"/>
              </w:rPr>
            </w:pPr>
            <w:r>
              <w:rPr>
                <w:color w:val="auto"/>
                <w:highlight w:val="none"/>
              </w:rPr>
              <w:t>CTB1550</w:t>
            </w:r>
          </w:p>
        </w:tc>
        <w:tc>
          <w:tcPr>
            <w:tcW w:w="458" w:type="pct"/>
            <w:tcBorders>
              <w:tl2br w:val="nil"/>
              <w:tr2bl w:val="nil"/>
            </w:tcBorders>
            <w:vAlign w:val="center"/>
          </w:tcPr>
          <w:p w14:paraId="16EB4CA8">
            <w:pPr>
              <w:pStyle w:val="41"/>
              <w:rPr>
                <w:color w:val="auto"/>
                <w:highlight w:val="none"/>
              </w:rPr>
            </w:pPr>
            <w:r>
              <w:rPr>
                <w:color w:val="auto"/>
                <w:highlight w:val="none"/>
              </w:rPr>
              <w:t>1</w:t>
            </w:r>
          </w:p>
        </w:tc>
        <w:tc>
          <w:tcPr>
            <w:tcW w:w="1029" w:type="pct"/>
            <w:tcBorders>
              <w:tl2br w:val="nil"/>
              <w:tr2bl w:val="nil"/>
            </w:tcBorders>
            <w:noWrap/>
            <w:vAlign w:val="center"/>
          </w:tcPr>
          <w:p w14:paraId="5BE8820D">
            <w:pPr>
              <w:pStyle w:val="41"/>
              <w:rPr>
                <w:color w:val="auto"/>
                <w:highlight w:val="none"/>
              </w:rPr>
            </w:pPr>
            <w:r>
              <w:rPr>
                <w:color w:val="auto"/>
                <w:highlight w:val="none"/>
              </w:rPr>
              <w:t>30</w:t>
            </w:r>
          </w:p>
        </w:tc>
      </w:tr>
      <w:tr w14:paraId="4E0D66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72A2E4DA">
            <w:pPr>
              <w:pStyle w:val="41"/>
              <w:rPr>
                <w:color w:val="auto"/>
                <w:highlight w:val="none"/>
              </w:rPr>
            </w:pPr>
            <w:r>
              <w:rPr>
                <w:color w:val="auto"/>
                <w:highlight w:val="none"/>
              </w:rPr>
              <w:t>9</w:t>
            </w:r>
          </w:p>
        </w:tc>
        <w:tc>
          <w:tcPr>
            <w:tcW w:w="1663" w:type="pct"/>
            <w:tcBorders>
              <w:tl2br w:val="nil"/>
              <w:tr2bl w:val="nil"/>
            </w:tcBorders>
            <w:noWrap/>
            <w:vAlign w:val="center"/>
          </w:tcPr>
          <w:p w14:paraId="6E326925">
            <w:pPr>
              <w:pStyle w:val="41"/>
              <w:rPr>
                <w:color w:val="auto"/>
                <w:highlight w:val="none"/>
              </w:rPr>
            </w:pPr>
            <w:r>
              <w:rPr>
                <w:rFonts w:hint="eastAsia"/>
                <w:color w:val="auto"/>
                <w:highlight w:val="none"/>
              </w:rPr>
              <w:t>磁选机</w:t>
            </w:r>
          </w:p>
        </w:tc>
        <w:tc>
          <w:tcPr>
            <w:tcW w:w="1469" w:type="pct"/>
            <w:tcBorders>
              <w:tl2br w:val="nil"/>
              <w:tr2bl w:val="nil"/>
            </w:tcBorders>
            <w:noWrap/>
            <w:vAlign w:val="center"/>
          </w:tcPr>
          <w:p w14:paraId="1EF89B37">
            <w:pPr>
              <w:pStyle w:val="41"/>
              <w:rPr>
                <w:color w:val="auto"/>
                <w:highlight w:val="none"/>
              </w:rPr>
            </w:pPr>
            <w:r>
              <w:rPr>
                <w:color w:val="auto"/>
                <w:highlight w:val="none"/>
              </w:rPr>
              <w:t>CTB1245</w:t>
            </w:r>
          </w:p>
        </w:tc>
        <w:tc>
          <w:tcPr>
            <w:tcW w:w="458" w:type="pct"/>
            <w:tcBorders>
              <w:tl2br w:val="nil"/>
              <w:tr2bl w:val="nil"/>
            </w:tcBorders>
            <w:vAlign w:val="center"/>
          </w:tcPr>
          <w:p w14:paraId="426760AD">
            <w:pPr>
              <w:pStyle w:val="41"/>
              <w:rPr>
                <w:color w:val="auto"/>
                <w:highlight w:val="none"/>
              </w:rPr>
            </w:pPr>
            <w:r>
              <w:rPr>
                <w:color w:val="auto"/>
                <w:highlight w:val="none"/>
              </w:rPr>
              <w:t>2</w:t>
            </w:r>
          </w:p>
        </w:tc>
        <w:tc>
          <w:tcPr>
            <w:tcW w:w="1029" w:type="pct"/>
            <w:tcBorders>
              <w:tl2br w:val="nil"/>
              <w:tr2bl w:val="nil"/>
            </w:tcBorders>
            <w:noWrap/>
            <w:vAlign w:val="center"/>
          </w:tcPr>
          <w:p w14:paraId="12F4A292">
            <w:pPr>
              <w:pStyle w:val="41"/>
              <w:rPr>
                <w:color w:val="auto"/>
                <w:highlight w:val="none"/>
              </w:rPr>
            </w:pPr>
            <w:r>
              <w:rPr>
                <w:color w:val="auto"/>
                <w:highlight w:val="none"/>
              </w:rPr>
              <w:t>18.5</w:t>
            </w:r>
          </w:p>
        </w:tc>
      </w:tr>
      <w:tr w14:paraId="526053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732A9D12">
            <w:pPr>
              <w:pStyle w:val="41"/>
              <w:rPr>
                <w:color w:val="auto"/>
                <w:highlight w:val="none"/>
              </w:rPr>
            </w:pPr>
            <w:r>
              <w:rPr>
                <w:color w:val="auto"/>
                <w:highlight w:val="none"/>
              </w:rPr>
              <w:t>10</w:t>
            </w:r>
          </w:p>
        </w:tc>
        <w:tc>
          <w:tcPr>
            <w:tcW w:w="1663" w:type="pct"/>
            <w:tcBorders>
              <w:tl2br w:val="nil"/>
              <w:tr2bl w:val="nil"/>
            </w:tcBorders>
            <w:noWrap/>
            <w:vAlign w:val="center"/>
          </w:tcPr>
          <w:p w14:paraId="44D8C1E3">
            <w:pPr>
              <w:pStyle w:val="41"/>
              <w:rPr>
                <w:color w:val="auto"/>
                <w:highlight w:val="none"/>
              </w:rPr>
            </w:pPr>
            <w:r>
              <w:rPr>
                <w:rFonts w:hint="eastAsia"/>
                <w:color w:val="auto"/>
                <w:highlight w:val="none"/>
              </w:rPr>
              <w:t>浓缩磁选机</w:t>
            </w:r>
          </w:p>
        </w:tc>
        <w:tc>
          <w:tcPr>
            <w:tcW w:w="1469" w:type="pct"/>
            <w:tcBorders>
              <w:tl2br w:val="nil"/>
              <w:tr2bl w:val="nil"/>
            </w:tcBorders>
            <w:noWrap/>
            <w:vAlign w:val="center"/>
          </w:tcPr>
          <w:p w14:paraId="4A92EF2A">
            <w:pPr>
              <w:pStyle w:val="41"/>
              <w:rPr>
                <w:color w:val="auto"/>
                <w:highlight w:val="none"/>
              </w:rPr>
            </w:pPr>
            <w:r>
              <w:rPr>
                <w:color w:val="auto"/>
                <w:highlight w:val="none"/>
              </w:rPr>
              <w:t>NCT1245</w:t>
            </w:r>
          </w:p>
        </w:tc>
        <w:tc>
          <w:tcPr>
            <w:tcW w:w="458" w:type="pct"/>
            <w:tcBorders>
              <w:tl2br w:val="nil"/>
              <w:tr2bl w:val="nil"/>
            </w:tcBorders>
            <w:vAlign w:val="center"/>
          </w:tcPr>
          <w:p w14:paraId="01EE05F6">
            <w:pPr>
              <w:pStyle w:val="41"/>
              <w:rPr>
                <w:color w:val="auto"/>
                <w:highlight w:val="none"/>
              </w:rPr>
            </w:pPr>
            <w:r>
              <w:rPr>
                <w:color w:val="auto"/>
                <w:highlight w:val="none"/>
              </w:rPr>
              <w:t>1</w:t>
            </w:r>
          </w:p>
        </w:tc>
        <w:tc>
          <w:tcPr>
            <w:tcW w:w="1029" w:type="pct"/>
            <w:tcBorders>
              <w:tl2br w:val="nil"/>
              <w:tr2bl w:val="nil"/>
            </w:tcBorders>
            <w:noWrap/>
            <w:vAlign w:val="center"/>
          </w:tcPr>
          <w:p w14:paraId="236770D5">
            <w:pPr>
              <w:pStyle w:val="41"/>
              <w:rPr>
                <w:color w:val="auto"/>
                <w:highlight w:val="none"/>
              </w:rPr>
            </w:pPr>
            <w:r>
              <w:rPr>
                <w:color w:val="auto"/>
                <w:highlight w:val="none"/>
              </w:rPr>
              <w:t>18.5</w:t>
            </w:r>
          </w:p>
        </w:tc>
      </w:tr>
      <w:tr w14:paraId="238110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5467A89A">
            <w:pPr>
              <w:pStyle w:val="41"/>
              <w:rPr>
                <w:color w:val="auto"/>
                <w:highlight w:val="none"/>
              </w:rPr>
            </w:pPr>
            <w:r>
              <w:rPr>
                <w:color w:val="auto"/>
                <w:highlight w:val="none"/>
              </w:rPr>
              <w:t>11</w:t>
            </w:r>
          </w:p>
        </w:tc>
        <w:tc>
          <w:tcPr>
            <w:tcW w:w="1663" w:type="pct"/>
            <w:tcBorders>
              <w:tl2br w:val="nil"/>
              <w:tr2bl w:val="nil"/>
            </w:tcBorders>
            <w:noWrap/>
            <w:vAlign w:val="center"/>
          </w:tcPr>
          <w:p w14:paraId="27BC05AC">
            <w:pPr>
              <w:pStyle w:val="41"/>
              <w:rPr>
                <w:color w:val="auto"/>
                <w:highlight w:val="none"/>
              </w:rPr>
            </w:pPr>
            <w:r>
              <w:rPr>
                <w:rFonts w:hint="eastAsia"/>
                <w:color w:val="auto"/>
                <w:highlight w:val="none"/>
              </w:rPr>
              <w:t>塔磨</w:t>
            </w:r>
          </w:p>
        </w:tc>
        <w:tc>
          <w:tcPr>
            <w:tcW w:w="1469" w:type="pct"/>
            <w:tcBorders>
              <w:tl2br w:val="nil"/>
              <w:tr2bl w:val="nil"/>
            </w:tcBorders>
            <w:noWrap/>
            <w:vAlign w:val="center"/>
          </w:tcPr>
          <w:p w14:paraId="73325646">
            <w:pPr>
              <w:pStyle w:val="41"/>
              <w:rPr>
                <w:color w:val="auto"/>
                <w:highlight w:val="none"/>
              </w:rPr>
            </w:pPr>
            <w:r>
              <w:rPr>
                <w:color w:val="auto"/>
                <w:highlight w:val="none"/>
              </w:rPr>
              <w:t>WTM160</w:t>
            </w:r>
          </w:p>
        </w:tc>
        <w:tc>
          <w:tcPr>
            <w:tcW w:w="458" w:type="pct"/>
            <w:tcBorders>
              <w:tl2br w:val="nil"/>
              <w:tr2bl w:val="nil"/>
            </w:tcBorders>
            <w:noWrap/>
            <w:vAlign w:val="center"/>
          </w:tcPr>
          <w:p w14:paraId="6D249D82">
            <w:pPr>
              <w:pStyle w:val="41"/>
              <w:rPr>
                <w:color w:val="auto"/>
                <w:highlight w:val="none"/>
              </w:rPr>
            </w:pPr>
            <w:r>
              <w:rPr>
                <w:color w:val="auto"/>
                <w:highlight w:val="none"/>
              </w:rPr>
              <w:t>1</w:t>
            </w:r>
          </w:p>
        </w:tc>
        <w:tc>
          <w:tcPr>
            <w:tcW w:w="1029" w:type="pct"/>
            <w:tcBorders>
              <w:tl2br w:val="nil"/>
              <w:tr2bl w:val="nil"/>
            </w:tcBorders>
            <w:noWrap/>
            <w:vAlign w:val="center"/>
          </w:tcPr>
          <w:p w14:paraId="30BB7B97">
            <w:pPr>
              <w:pStyle w:val="41"/>
              <w:rPr>
                <w:color w:val="auto"/>
                <w:highlight w:val="none"/>
              </w:rPr>
            </w:pPr>
            <w:r>
              <w:rPr>
                <w:color w:val="auto"/>
                <w:highlight w:val="none"/>
              </w:rPr>
              <w:t>160</w:t>
            </w:r>
          </w:p>
        </w:tc>
      </w:tr>
      <w:tr w14:paraId="6FC2D3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2974CE04">
            <w:pPr>
              <w:pStyle w:val="41"/>
              <w:rPr>
                <w:color w:val="auto"/>
                <w:highlight w:val="none"/>
              </w:rPr>
            </w:pPr>
            <w:r>
              <w:rPr>
                <w:color w:val="auto"/>
                <w:highlight w:val="none"/>
              </w:rPr>
              <w:t>12</w:t>
            </w:r>
          </w:p>
        </w:tc>
        <w:tc>
          <w:tcPr>
            <w:tcW w:w="1663" w:type="pct"/>
            <w:tcBorders>
              <w:tl2br w:val="nil"/>
              <w:tr2bl w:val="nil"/>
            </w:tcBorders>
            <w:noWrap/>
            <w:vAlign w:val="center"/>
          </w:tcPr>
          <w:p w14:paraId="011033B8">
            <w:pPr>
              <w:pStyle w:val="41"/>
              <w:rPr>
                <w:color w:val="auto"/>
                <w:highlight w:val="none"/>
              </w:rPr>
            </w:pPr>
            <w:r>
              <w:rPr>
                <w:rFonts w:hint="eastAsia"/>
                <w:color w:val="auto"/>
                <w:highlight w:val="none"/>
              </w:rPr>
              <w:t>盘式过滤机</w:t>
            </w:r>
          </w:p>
        </w:tc>
        <w:tc>
          <w:tcPr>
            <w:tcW w:w="1469" w:type="pct"/>
            <w:tcBorders>
              <w:tl2br w:val="nil"/>
              <w:tr2bl w:val="nil"/>
            </w:tcBorders>
            <w:noWrap/>
            <w:vAlign w:val="center"/>
          </w:tcPr>
          <w:p w14:paraId="659CB929">
            <w:pPr>
              <w:pStyle w:val="41"/>
              <w:rPr>
                <w:color w:val="auto"/>
                <w:highlight w:val="none"/>
              </w:rPr>
            </w:pPr>
            <w:r>
              <w:rPr>
                <w:color w:val="auto"/>
                <w:highlight w:val="none"/>
              </w:rPr>
              <w:t>ZPG60</w:t>
            </w:r>
          </w:p>
        </w:tc>
        <w:tc>
          <w:tcPr>
            <w:tcW w:w="458" w:type="pct"/>
            <w:tcBorders>
              <w:tl2br w:val="nil"/>
              <w:tr2bl w:val="nil"/>
            </w:tcBorders>
            <w:noWrap/>
            <w:vAlign w:val="center"/>
          </w:tcPr>
          <w:p w14:paraId="48785740">
            <w:pPr>
              <w:pStyle w:val="41"/>
              <w:rPr>
                <w:color w:val="auto"/>
                <w:highlight w:val="none"/>
              </w:rPr>
            </w:pPr>
            <w:r>
              <w:rPr>
                <w:color w:val="auto"/>
                <w:highlight w:val="none"/>
              </w:rPr>
              <w:t>1</w:t>
            </w:r>
          </w:p>
        </w:tc>
        <w:tc>
          <w:tcPr>
            <w:tcW w:w="1029" w:type="pct"/>
            <w:tcBorders>
              <w:tl2br w:val="nil"/>
              <w:tr2bl w:val="nil"/>
            </w:tcBorders>
            <w:noWrap/>
            <w:vAlign w:val="center"/>
          </w:tcPr>
          <w:p w14:paraId="4BB81322">
            <w:pPr>
              <w:pStyle w:val="41"/>
              <w:rPr>
                <w:color w:val="auto"/>
                <w:highlight w:val="none"/>
              </w:rPr>
            </w:pPr>
            <w:r>
              <w:rPr>
                <w:color w:val="auto"/>
                <w:highlight w:val="none"/>
              </w:rPr>
              <w:t>75</w:t>
            </w:r>
          </w:p>
        </w:tc>
      </w:tr>
      <w:tr w14:paraId="2CA69A6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2046E7A8">
            <w:pPr>
              <w:pStyle w:val="41"/>
              <w:rPr>
                <w:color w:val="auto"/>
                <w:highlight w:val="none"/>
              </w:rPr>
            </w:pPr>
            <w:r>
              <w:rPr>
                <w:color w:val="auto"/>
                <w:highlight w:val="none"/>
              </w:rPr>
              <w:t>13</w:t>
            </w:r>
          </w:p>
        </w:tc>
        <w:tc>
          <w:tcPr>
            <w:tcW w:w="1663" w:type="pct"/>
            <w:tcBorders>
              <w:tl2br w:val="nil"/>
              <w:tr2bl w:val="nil"/>
            </w:tcBorders>
            <w:noWrap/>
            <w:vAlign w:val="center"/>
          </w:tcPr>
          <w:p w14:paraId="5B31E32F">
            <w:pPr>
              <w:pStyle w:val="41"/>
              <w:rPr>
                <w:color w:val="auto"/>
                <w:highlight w:val="none"/>
              </w:rPr>
            </w:pPr>
            <w:r>
              <w:rPr>
                <w:rFonts w:hint="eastAsia"/>
                <w:color w:val="auto"/>
                <w:highlight w:val="none"/>
              </w:rPr>
              <w:t>水泵</w:t>
            </w:r>
          </w:p>
        </w:tc>
        <w:tc>
          <w:tcPr>
            <w:tcW w:w="1469" w:type="pct"/>
            <w:tcBorders>
              <w:tl2br w:val="nil"/>
              <w:tr2bl w:val="nil"/>
            </w:tcBorders>
            <w:vAlign w:val="center"/>
          </w:tcPr>
          <w:p w14:paraId="23E56309">
            <w:pPr>
              <w:pStyle w:val="41"/>
              <w:rPr>
                <w:color w:val="auto"/>
                <w:highlight w:val="none"/>
              </w:rPr>
            </w:pPr>
            <w:r>
              <w:rPr>
                <w:color w:val="auto"/>
                <w:highlight w:val="none"/>
              </w:rPr>
              <w:t>Q=700m</w:t>
            </w:r>
            <w:r>
              <w:rPr>
                <w:rFonts w:hint="eastAsia"/>
                <w:color w:val="auto"/>
                <w:highlight w:val="none"/>
                <w:vertAlign w:val="superscript"/>
                <w:lang w:val="en-US" w:eastAsia="zh-CN"/>
              </w:rPr>
              <w:t>3</w:t>
            </w:r>
            <w:r>
              <w:rPr>
                <w:color w:val="auto"/>
                <w:highlight w:val="none"/>
              </w:rPr>
              <w:t>/h</w:t>
            </w:r>
            <w:r>
              <w:rPr>
                <w:rFonts w:hint="eastAsia"/>
                <w:color w:val="auto"/>
                <w:highlight w:val="none"/>
                <w:lang w:eastAsia="zh-CN"/>
              </w:rPr>
              <w:t xml:space="preserve">, </w:t>
            </w:r>
            <w:r>
              <w:rPr>
                <w:color w:val="auto"/>
                <w:highlight w:val="none"/>
              </w:rPr>
              <w:t>H=57m</w:t>
            </w:r>
          </w:p>
        </w:tc>
        <w:tc>
          <w:tcPr>
            <w:tcW w:w="458" w:type="pct"/>
            <w:tcBorders>
              <w:tl2br w:val="nil"/>
              <w:tr2bl w:val="nil"/>
            </w:tcBorders>
            <w:noWrap/>
            <w:vAlign w:val="center"/>
          </w:tcPr>
          <w:p w14:paraId="32150565">
            <w:pPr>
              <w:pStyle w:val="41"/>
              <w:rPr>
                <w:color w:val="auto"/>
                <w:highlight w:val="none"/>
              </w:rPr>
            </w:pPr>
            <w:r>
              <w:rPr>
                <w:color w:val="auto"/>
                <w:highlight w:val="none"/>
              </w:rPr>
              <w:t>5</w:t>
            </w:r>
          </w:p>
        </w:tc>
        <w:tc>
          <w:tcPr>
            <w:tcW w:w="1029" w:type="pct"/>
            <w:tcBorders>
              <w:tl2br w:val="nil"/>
              <w:tr2bl w:val="nil"/>
            </w:tcBorders>
            <w:noWrap/>
            <w:vAlign w:val="center"/>
          </w:tcPr>
          <w:p w14:paraId="6B7CC536">
            <w:pPr>
              <w:pStyle w:val="41"/>
              <w:rPr>
                <w:color w:val="auto"/>
                <w:highlight w:val="none"/>
              </w:rPr>
            </w:pPr>
            <w:r>
              <w:rPr>
                <w:color w:val="auto"/>
                <w:highlight w:val="none"/>
              </w:rPr>
              <w:t>160</w:t>
            </w:r>
          </w:p>
        </w:tc>
      </w:tr>
      <w:tr w14:paraId="77344A0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0E7F6ADF">
            <w:pPr>
              <w:pStyle w:val="41"/>
              <w:rPr>
                <w:color w:val="auto"/>
                <w:highlight w:val="none"/>
              </w:rPr>
            </w:pPr>
            <w:r>
              <w:rPr>
                <w:color w:val="auto"/>
                <w:highlight w:val="none"/>
              </w:rPr>
              <w:t>14</w:t>
            </w:r>
          </w:p>
        </w:tc>
        <w:tc>
          <w:tcPr>
            <w:tcW w:w="1663" w:type="pct"/>
            <w:tcBorders>
              <w:tl2br w:val="nil"/>
              <w:tr2bl w:val="nil"/>
            </w:tcBorders>
            <w:noWrap/>
            <w:vAlign w:val="center"/>
          </w:tcPr>
          <w:p w14:paraId="4933989F">
            <w:pPr>
              <w:pStyle w:val="41"/>
              <w:rPr>
                <w:color w:val="auto"/>
                <w:highlight w:val="none"/>
              </w:rPr>
            </w:pPr>
            <w:r>
              <w:rPr>
                <w:rFonts w:hint="eastAsia"/>
                <w:color w:val="auto"/>
                <w:highlight w:val="none"/>
              </w:rPr>
              <w:t>皮带输送机</w:t>
            </w:r>
          </w:p>
        </w:tc>
        <w:tc>
          <w:tcPr>
            <w:tcW w:w="1469" w:type="pct"/>
            <w:tcBorders>
              <w:tl2br w:val="nil"/>
              <w:tr2bl w:val="nil"/>
            </w:tcBorders>
            <w:noWrap/>
            <w:vAlign w:val="center"/>
          </w:tcPr>
          <w:p w14:paraId="5B72DAA9">
            <w:pPr>
              <w:pStyle w:val="41"/>
              <w:rPr>
                <w:color w:val="auto"/>
                <w:highlight w:val="none"/>
              </w:rPr>
            </w:pPr>
            <w:r>
              <w:rPr>
                <w:color w:val="auto"/>
                <w:highlight w:val="none"/>
              </w:rPr>
              <w:t>B1000</w:t>
            </w:r>
          </w:p>
        </w:tc>
        <w:tc>
          <w:tcPr>
            <w:tcW w:w="458" w:type="pct"/>
            <w:tcBorders>
              <w:tl2br w:val="nil"/>
              <w:tr2bl w:val="nil"/>
            </w:tcBorders>
            <w:noWrap/>
            <w:vAlign w:val="center"/>
          </w:tcPr>
          <w:p w14:paraId="603B697F">
            <w:pPr>
              <w:pStyle w:val="41"/>
              <w:rPr>
                <w:color w:val="auto"/>
                <w:highlight w:val="none"/>
              </w:rPr>
            </w:pPr>
            <w:r>
              <w:rPr>
                <w:color w:val="auto"/>
                <w:highlight w:val="none"/>
              </w:rPr>
              <w:t>1</w:t>
            </w:r>
          </w:p>
        </w:tc>
        <w:tc>
          <w:tcPr>
            <w:tcW w:w="1029" w:type="pct"/>
            <w:tcBorders>
              <w:tl2br w:val="nil"/>
              <w:tr2bl w:val="nil"/>
            </w:tcBorders>
            <w:noWrap/>
            <w:vAlign w:val="center"/>
          </w:tcPr>
          <w:p w14:paraId="624B20C0">
            <w:pPr>
              <w:pStyle w:val="41"/>
              <w:rPr>
                <w:color w:val="auto"/>
                <w:highlight w:val="none"/>
              </w:rPr>
            </w:pPr>
            <w:r>
              <w:rPr>
                <w:color w:val="auto"/>
                <w:highlight w:val="none"/>
              </w:rPr>
              <w:t>18.5</w:t>
            </w:r>
          </w:p>
        </w:tc>
      </w:tr>
      <w:tr w14:paraId="7BF01A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2C07E38D">
            <w:pPr>
              <w:pStyle w:val="41"/>
              <w:rPr>
                <w:color w:val="auto"/>
                <w:highlight w:val="none"/>
              </w:rPr>
            </w:pPr>
            <w:r>
              <w:rPr>
                <w:color w:val="auto"/>
                <w:highlight w:val="none"/>
              </w:rPr>
              <w:t>15</w:t>
            </w:r>
          </w:p>
        </w:tc>
        <w:tc>
          <w:tcPr>
            <w:tcW w:w="1663" w:type="pct"/>
            <w:tcBorders>
              <w:tl2br w:val="nil"/>
              <w:tr2bl w:val="nil"/>
            </w:tcBorders>
            <w:noWrap/>
            <w:vAlign w:val="center"/>
          </w:tcPr>
          <w:p w14:paraId="45B1744F">
            <w:pPr>
              <w:pStyle w:val="41"/>
              <w:rPr>
                <w:color w:val="auto"/>
                <w:highlight w:val="none"/>
              </w:rPr>
            </w:pPr>
            <w:r>
              <w:rPr>
                <w:rFonts w:hint="eastAsia"/>
                <w:color w:val="auto"/>
                <w:highlight w:val="none"/>
              </w:rPr>
              <w:t>皮带输送机</w:t>
            </w:r>
          </w:p>
        </w:tc>
        <w:tc>
          <w:tcPr>
            <w:tcW w:w="1469" w:type="pct"/>
            <w:tcBorders>
              <w:tl2br w:val="nil"/>
              <w:tr2bl w:val="nil"/>
            </w:tcBorders>
            <w:noWrap/>
            <w:vAlign w:val="center"/>
          </w:tcPr>
          <w:p w14:paraId="43C7DD9B">
            <w:pPr>
              <w:pStyle w:val="41"/>
              <w:rPr>
                <w:color w:val="auto"/>
                <w:highlight w:val="none"/>
              </w:rPr>
            </w:pPr>
            <w:r>
              <w:rPr>
                <w:color w:val="auto"/>
                <w:highlight w:val="none"/>
              </w:rPr>
              <w:t>B800</w:t>
            </w:r>
          </w:p>
        </w:tc>
        <w:tc>
          <w:tcPr>
            <w:tcW w:w="458" w:type="pct"/>
            <w:tcBorders>
              <w:tl2br w:val="nil"/>
              <w:tr2bl w:val="nil"/>
            </w:tcBorders>
            <w:noWrap/>
            <w:vAlign w:val="center"/>
          </w:tcPr>
          <w:p w14:paraId="658D5427">
            <w:pPr>
              <w:pStyle w:val="41"/>
              <w:rPr>
                <w:color w:val="auto"/>
                <w:highlight w:val="none"/>
              </w:rPr>
            </w:pPr>
            <w:r>
              <w:rPr>
                <w:color w:val="auto"/>
                <w:highlight w:val="none"/>
              </w:rPr>
              <w:t>2</w:t>
            </w:r>
          </w:p>
        </w:tc>
        <w:tc>
          <w:tcPr>
            <w:tcW w:w="1029" w:type="pct"/>
            <w:tcBorders>
              <w:tl2br w:val="nil"/>
              <w:tr2bl w:val="nil"/>
            </w:tcBorders>
            <w:noWrap/>
            <w:vAlign w:val="center"/>
          </w:tcPr>
          <w:p w14:paraId="79E25BFE">
            <w:pPr>
              <w:pStyle w:val="41"/>
              <w:rPr>
                <w:color w:val="auto"/>
                <w:highlight w:val="none"/>
              </w:rPr>
            </w:pPr>
            <w:r>
              <w:rPr>
                <w:color w:val="auto"/>
                <w:highlight w:val="none"/>
              </w:rPr>
              <w:t>11</w:t>
            </w:r>
          </w:p>
        </w:tc>
      </w:tr>
      <w:tr w14:paraId="159590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l2br w:val="nil"/>
              <w:tr2bl w:val="nil"/>
            </w:tcBorders>
            <w:noWrap/>
            <w:vAlign w:val="center"/>
          </w:tcPr>
          <w:p w14:paraId="45422516">
            <w:pPr>
              <w:pStyle w:val="41"/>
              <w:rPr>
                <w:color w:val="auto"/>
                <w:highlight w:val="none"/>
              </w:rPr>
            </w:pPr>
            <w:r>
              <w:rPr>
                <w:rFonts w:hint="eastAsia"/>
                <w:color w:val="auto"/>
                <w:highlight w:val="none"/>
              </w:rPr>
              <w:t>重选</w:t>
            </w:r>
          </w:p>
        </w:tc>
      </w:tr>
      <w:tr w14:paraId="11AC45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25D1062D">
            <w:pPr>
              <w:pStyle w:val="41"/>
              <w:rPr>
                <w:color w:val="auto"/>
                <w:highlight w:val="none"/>
              </w:rPr>
            </w:pPr>
            <w:r>
              <w:rPr>
                <w:color w:val="auto"/>
                <w:highlight w:val="none"/>
              </w:rPr>
              <w:t>1</w:t>
            </w:r>
          </w:p>
        </w:tc>
        <w:tc>
          <w:tcPr>
            <w:tcW w:w="1663" w:type="pct"/>
            <w:tcBorders>
              <w:tl2br w:val="nil"/>
              <w:tr2bl w:val="nil"/>
            </w:tcBorders>
            <w:noWrap/>
            <w:vAlign w:val="center"/>
          </w:tcPr>
          <w:p w14:paraId="5EE6A883">
            <w:pPr>
              <w:pStyle w:val="41"/>
              <w:rPr>
                <w:color w:val="auto"/>
                <w:highlight w:val="none"/>
              </w:rPr>
            </w:pPr>
            <w:r>
              <w:rPr>
                <w:rFonts w:hint="eastAsia"/>
                <w:color w:val="auto"/>
                <w:highlight w:val="none"/>
              </w:rPr>
              <w:t>螺溜</w:t>
            </w:r>
          </w:p>
        </w:tc>
        <w:tc>
          <w:tcPr>
            <w:tcW w:w="1469" w:type="pct"/>
            <w:tcBorders>
              <w:tl2br w:val="nil"/>
              <w:tr2bl w:val="nil"/>
            </w:tcBorders>
            <w:noWrap/>
            <w:vAlign w:val="center"/>
          </w:tcPr>
          <w:p w14:paraId="51DBA452">
            <w:pPr>
              <w:pStyle w:val="41"/>
              <w:rPr>
                <w:color w:val="auto"/>
                <w:highlight w:val="none"/>
              </w:rPr>
            </w:pPr>
            <w:r>
              <w:rPr>
                <w:color w:val="auto"/>
                <w:highlight w:val="none"/>
              </w:rPr>
              <w:t>1200mm</w:t>
            </w:r>
          </w:p>
        </w:tc>
        <w:tc>
          <w:tcPr>
            <w:tcW w:w="458" w:type="pct"/>
            <w:tcBorders>
              <w:tl2br w:val="nil"/>
              <w:tr2bl w:val="nil"/>
            </w:tcBorders>
            <w:noWrap/>
            <w:vAlign w:val="center"/>
          </w:tcPr>
          <w:p w14:paraId="723BCBDB">
            <w:pPr>
              <w:pStyle w:val="41"/>
              <w:rPr>
                <w:color w:val="auto"/>
                <w:highlight w:val="none"/>
              </w:rPr>
            </w:pPr>
            <w:r>
              <w:rPr>
                <w:color w:val="auto"/>
                <w:highlight w:val="none"/>
              </w:rPr>
              <w:t>752</w:t>
            </w:r>
          </w:p>
        </w:tc>
        <w:tc>
          <w:tcPr>
            <w:tcW w:w="1029" w:type="pct"/>
            <w:tcBorders>
              <w:tl2br w:val="nil"/>
              <w:tr2bl w:val="nil"/>
            </w:tcBorders>
            <w:noWrap/>
            <w:vAlign w:val="center"/>
          </w:tcPr>
          <w:p w14:paraId="7B088A3D">
            <w:pPr>
              <w:pStyle w:val="41"/>
              <w:rPr>
                <w:color w:val="auto"/>
                <w:highlight w:val="none"/>
              </w:rPr>
            </w:pPr>
          </w:p>
        </w:tc>
      </w:tr>
      <w:tr w14:paraId="78E2B8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18FD3092">
            <w:pPr>
              <w:pStyle w:val="41"/>
              <w:rPr>
                <w:color w:val="auto"/>
                <w:highlight w:val="none"/>
              </w:rPr>
            </w:pPr>
            <w:r>
              <w:rPr>
                <w:color w:val="auto"/>
                <w:highlight w:val="none"/>
              </w:rPr>
              <w:t>2</w:t>
            </w:r>
          </w:p>
        </w:tc>
        <w:tc>
          <w:tcPr>
            <w:tcW w:w="1663" w:type="pct"/>
            <w:tcBorders>
              <w:tl2br w:val="nil"/>
              <w:tr2bl w:val="nil"/>
            </w:tcBorders>
            <w:noWrap/>
            <w:vAlign w:val="center"/>
          </w:tcPr>
          <w:p w14:paraId="443D05A4">
            <w:pPr>
              <w:pStyle w:val="41"/>
              <w:rPr>
                <w:color w:val="auto"/>
                <w:highlight w:val="none"/>
              </w:rPr>
            </w:pPr>
            <w:r>
              <w:rPr>
                <w:rFonts w:hint="eastAsia"/>
                <w:color w:val="auto"/>
                <w:highlight w:val="none"/>
              </w:rPr>
              <w:t>螺溜</w:t>
            </w:r>
          </w:p>
        </w:tc>
        <w:tc>
          <w:tcPr>
            <w:tcW w:w="1469" w:type="pct"/>
            <w:tcBorders>
              <w:tl2br w:val="nil"/>
              <w:tr2bl w:val="nil"/>
            </w:tcBorders>
            <w:noWrap/>
            <w:vAlign w:val="center"/>
          </w:tcPr>
          <w:p w14:paraId="740E2BAF">
            <w:pPr>
              <w:pStyle w:val="41"/>
              <w:rPr>
                <w:color w:val="auto"/>
                <w:highlight w:val="none"/>
              </w:rPr>
            </w:pPr>
            <w:r>
              <w:rPr>
                <w:color w:val="auto"/>
                <w:highlight w:val="none"/>
              </w:rPr>
              <w:t>900mm</w:t>
            </w:r>
          </w:p>
        </w:tc>
        <w:tc>
          <w:tcPr>
            <w:tcW w:w="458" w:type="pct"/>
            <w:tcBorders>
              <w:tl2br w:val="nil"/>
              <w:tr2bl w:val="nil"/>
            </w:tcBorders>
            <w:noWrap/>
            <w:vAlign w:val="center"/>
          </w:tcPr>
          <w:p w14:paraId="5EAEC0DF">
            <w:pPr>
              <w:pStyle w:val="41"/>
              <w:rPr>
                <w:color w:val="auto"/>
                <w:highlight w:val="none"/>
              </w:rPr>
            </w:pPr>
          </w:p>
        </w:tc>
        <w:tc>
          <w:tcPr>
            <w:tcW w:w="1029" w:type="pct"/>
            <w:tcBorders>
              <w:tl2br w:val="nil"/>
              <w:tr2bl w:val="nil"/>
            </w:tcBorders>
            <w:noWrap/>
            <w:vAlign w:val="center"/>
          </w:tcPr>
          <w:p w14:paraId="712A2538">
            <w:pPr>
              <w:pStyle w:val="41"/>
              <w:rPr>
                <w:color w:val="auto"/>
                <w:highlight w:val="none"/>
              </w:rPr>
            </w:pPr>
          </w:p>
        </w:tc>
      </w:tr>
      <w:tr w14:paraId="32C5E5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2CDFFEF5">
            <w:pPr>
              <w:pStyle w:val="41"/>
              <w:rPr>
                <w:color w:val="auto"/>
                <w:highlight w:val="none"/>
              </w:rPr>
            </w:pPr>
            <w:r>
              <w:rPr>
                <w:color w:val="auto"/>
                <w:highlight w:val="none"/>
              </w:rPr>
              <w:t>3</w:t>
            </w:r>
          </w:p>
        </w:tc>
        <w:tc>
          <w:tcPr>
            <w:tcW w:w="1663" w:type="pct"/>
            <w:tcBorders>
              <w:tl2br w:val="nil"/>
              <w:tr2bl w:val="nil"/>
            </w:tcBorders>
            <w:noWrap/>
            <w:vAlign w:val="center"/>
          </w:tcPr>
          <w:p w14:paraId="2844BB45">
            <w:pPr>
              <w:pStyle w:val="41"/>
              <w:rPr>
                <w:color w:val="auto"/>
                <w:highlight w:val="none"/>
              </w:rPr>
            </w:pPr>
            <w:r>
              <w:rPr>
                <w:rFonts w:hint="eastAsia"/>
                <w:color w:val="auto"/>
                <w:highlight w:val="none"/>
              </w:rPr>
              <w:t>原浆泵</w:t>
            </w:r>
          </w:p>
        </w:tc>
        <w:tc>
          <w:tcPr>
            <w:tcW w:w="1469" w:type="pct"/>
            <w:tcBorders>
              <w:tl2br w:val="nil"/>
              <w:tr2bl w:val="nil"/>
            </w:tcBorders>
            <w:noWrap/>
            <w:vAlign w:val="center"/>
          </w:tcPr>
          <w:p w14:paraId="6FD11DBB">
            <w:pPr>
              <w:pStyle w:val="41"/>
              <w:rPr>
                <w:color w:val="auto"/>
                <w:highlight w:val="none"/>
              </w:rPr>
            </w:pPr>
            <w:r>
              <w:rPr>
                <w:color w:val="auto"/>
                <w:highlight w:val="none"/>
              </w:rPr>
              <w:t>250ZJ-68</w:t>
            </w:r>
          </w:p>
        </w:tc>
        <w:tc>
          <w:tcPr>
            <w:tcW w:w="458" w:type="pct"/>
            <w:tcBorders>
              <w:tl2br w:val="nil"/>
              <w:tr2bl w:val="nil"/>
            </w:tcBorders>
            <w:noWrap/>
            <w:vAlign w:val="center"/>
          </w:tcPr>
          <w:p w14:paraId="446E7CB4">
            <w:pPr>
              <w:pStyle w:val="41"/>
              <w:rPr>
                <w:color w:val="auto"/>
                <w:highlight w:val="none"/>
              </w:rPr>
            </w:pPr>
            <w:r>
              <w:rPr>
                <w:color w:val="auto"/>
                <w:highlight w:val="none"/>
              </w:rPr>
              <w:t>2</w:t>
            </w:r>
          </w:p>
        </w:tc>
        <w:tc>
          <w:tcPr>
            <w:tcW w:w="1029" w:type="pct"/>
            <w:tcBorders>
              <w:tl2br w:val="nil"/>
              <w:tr2bl w:val="nil"/>
            </w:tcBorders>
            <w:noWrap/>
            <w:vAlign w:val="center"/>
          </w:tcPr>
          <w:p w14:paraId="5DB2E346">
            <w:pPr>
              <w:pStyle w:val="41"/>
              <w:rPr>
                <w:color w:val="auto"/>
                <w:highlight w:val="none"/>
              </w:rPr>
            </w:pPr>
            <w:r>
              <w:rPr>
                <w:color w:val="auto"/>
                <w:highlight w:val="none"/>
              </w:rPr>
              <w:t>200</w:t>
            </w:r>
          </w:p>
        </w:tc>
      </w:tr>
      <w:tr w14:paraId="28E6CC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6CF3B74B">
            <w:pPr>
              <w:pStyle w:val="41"/>
              <w:rPr>
                <w:color w:val="auto"/>
                <w:highlight w:val="none"/>
              </w:rPr>
            </w:pPr>
            <w:r>
              <w:rPr>
                <w:color w:val="auto"/>
                <w:highlight w:val="none"/>
              </w:rPr>
              <w:t>4</w:t>
            </w:r>
          </w:p>
        </w:tc>
        <w:tc>
          <w:tcPr>
            <w:tcW w:w="1663" w:type="pct"/>
            <w:tcBorders>
              <w:tl2br w:val="nil"/>
              <w:tr2bl w:val="nil"/>
            </w:tcBorders>
            <w:noWrap/>
            <w:vAlign w:val="center"/>
          </w:tcPr>
          <w:p w14:paraId="5CCB9AB3">
            <w:pPr>
              <w:pStyle w:val="41"/>
              <w:rPr>
                <w:color w:val="auto"/>
                <w:highlight w:val="none"/>
              </w:rPr>
            </w:pPr>
            <w:r>
              <w:rPr>
                <w:rFonts w:hint="eastAsia"/>
                <w:color w:val="auto"/>
                <w:highlight w:val="none"/>
              </w:rPr>
              <w:t>粗选泵</w:t>
            </w:r>
          </w:p>
        </w:tc>
        <w:tc>
          <w:tcPr>
            <w:tcW w:w="1469" w:type="pct"/>
            <w:tcBorders>
              <w:tl2br w:val="nil"/>
              <w:tr2bl w:val="nil"/>
            </w:tcBorders>
            <w:noWrap/>
            <w:vAlign w:val="center"/>
          </w:tcPr>
          <w:p w14:paraId="09FAB8F2">
            <w:pPr>
              <w:pStyle w:val="41"/>
              <w:rPr>
                <w:color w:val="auto"/>
                <w:highlight w:val="none"/>
              </w:rPr>
            </w:pPr>
            <w:r>
              <w:rPr>
                <w:color w:val="auto"/>
                <w:highlight w:val="none"/>
              </w:rPr>
              <w:t>250ZJ-68</w:t>
            </w:r>
          </w:p>
        </w:tc>
        <w:tc>
          <w:tcPr>
            <w:tcW w:w="458" w:type="pct"/>
            <w:tcBorders>
              <w:tl2br w:val="nil"/>
              <w:tr2bl w:val="nil"/>
            </w:tcBorders>
            <w:noWrap/>
            <w:vAlign w:val="center"/>
          </w:tcPr>
          <w:p w14:paraId="7295CF50">
            <w:pPr>
              <w:pStyle w:val="41"/>
              <w:rPr>
                <w:color w:val="auto"/>
                <w:highlight w:val="none"/>
              </w:rPr>
            </w:pPr>
            <w:r>
              <w:rPr>
                <w:color w:val="auto"/>
                <w:highlight w:val="none"/>
              </w:rPr>
              <w:t>2</w:t>
            </w:r>
          </w:p>
        </w:tc>
        <w:tc>
          <w:tcPr>
            <w:tcW w:w="1029" w:type="pct"/>
            <w:tcBorders>
              <w:tl2br w:val="nil"/>
              <w:tr2bl w:val="nil"/>
            </w:tcBorders>
            <w:noWrap/>
            <w:vAlign w:val="center"/>
          </w:tcPr>
          <w:p w14:paraId="783F2120">
            <w:pPr>
              <w:pStyle w:val="41"/>
              <w:rPr>
                <w:color w:val="auto"/>
                <w:highlight w:val="none"/>
              </w:rPr>
            </w:pPr>
            <w:r>
              <w:rPr>
                <w:color w:val="auto"/>
                <w:highlight w:val="none"/>
              </w:rPr>
              <w:t>185</w:t>
            </w:r>
          </w:p>
        </w:tc>
      </w:tr>
      <w:tr w14:paraId="46266F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3942F84C">
            <w:pPr>
              <w:pStyle w:val="41"/>
              <w:rPr>
                <w:color w:val="auto"/>
                <w:highlight w:val="none"/>
              </w:rPr>
            </w:pPr>
            <w:r>
              <w:rPr>
                <w:color w:val="auto"/>
                <w:highlight w:val="none"/>
              </w:rPr>
              <w:t>5</w:t>
            </w:r>
          </w:p>
        </w:tc>
        <w:tc>
          <w:tcPr>
            <w:tcW w:w="1663" w:type="pct"/>
            <w:tcBorders>
              <w:tl2br w:val="nil"/>
              <w:tr2bl w:val="nil"/>
            </w:tcBorders>
            <w:noWrap/>
            <w:vAlign w:val="center"/>
          </w:tcPr>
          <w:p w14:paraId="593C4DBB">
            <w:pPr>
              <w:pStyle w:val="41"/>
              <w:rPr>
                <w:color w:val="auto"/>
                <w:highlight w:val="none"/>
              </w:rPr>
            </w:pPr>
            <w:r>
              <w:rPr>
                <w:rFonts w:hint="eastAsia"/>
                <w:color w:val="auto"/>
                <w:highlight w:val="none"/>
              </w:rPr>
              <w:t>精</w:t>
            </w:r>
            <w:r>
              <w:rPr>
                <w:color w:val="auto"/>
                <w:highlight w:val="none"/>
              </w:rPr>
              <w:t>1</w:t>
            </w:r>
            <w:r>
              <w:rPr>
                <w:rFonts w:hint="eastAsia"/>
                <w:color w:val="auto"/>
                <w:highlight w:val="none"/>
              </w:rPr>
              <w:t>泵</w:t>
            </w:r>
          </w:p>
        </w:tc>
        <w:tc>
          <w:tcPr>
            <w:tcW w:w="1469" w:type="pct"/>
            <w:tcBorders>
              <w:tl2br w:val="nil"/>
              <w:tr2bl w:val="nil"/>
            </w:tcBorders>
            <w:noWrap/>
            <w:vAlign w:val="center"/>
          </w:tcPr>
          <w:p w14:paraId="797EDBC4">
            <w:pPr>
              <w:pStyle w:val="41"/>
              <w:rPr>
                <w:color w:val="auto"/>
                <w:highlight w:val="none"/>
              </w:rPr>
            </w:pPr>
            <w:r>
              <w:rPr>
                <w:color w:val="auto"/>
                <w:highlight w:val="none"/>
              </w:rPr>
              <w:t>300ZJ-65</w:t>
            </w:r>
          </w:p>
        </w:tc>
        <w:tc>
          <w:tcPr>
            <w:tcW w:w="458" w:type="pct"/>
            <w:tcBorders>
              <w:tl2br w:val="nil"/>
              <w:tr2bl w:val="nil"/>
            </w:tcBorders>
            <w:noWrap/>
            <w:vAlign w:val="center"/>
          </w:tcPr>
          <w:p w14:paraId="12C1F06E">
            <w:pPr>
              <w:pStyle w:val="41"/>
              <w:rPr>
                <w:color w:val="auto"/>
                <w:highlight w:val="none"/>
              </w:rPr>
            </w:pPr>
            <w:r>
              <w:rPr>
                <w:color w:val="auto"/>
                <w:highlight w:val="none"/>
              </w:rPr>
              <w:t>2</w:t>
            </w:r>
          </w:p>
        </w:tc>
        <w:tc>
          <w:tcPr>
            <w:tcW w:w="1029" w:type="pct"/>
            <w:tcBorders>
              <w:tl2br w:val="nil"/>
              <w:tr2bl w:val="nil"/>
            </w:tcBorders>
            <w:noWrap/>
            <w:vAlign w:val="center"/>
          </w:tcPr>
          <w:p w14:paraId="35317A1D">
            <w:pPr>
              <w:pStyle w:val="41"/>
              <w:rPr>
                <w:color w:val="auto"/>
                <w:highlight w:val="none"/>
              </w:rPr>
            </w:pPr>
            <w:r>
              <w:rPr>
                <w:color w:val="auto"/>
                <w:highlight w:val="none"/>
              </w:rPr>
              <w:t>280</w:t>
            </w:r>
          </w:p>
        </w:tc>
      </w:tr>
      <w:tr w14:paraId="6B83741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4B896CE3">
            <w:pPr>
              <w:pStyle w:val="41"/>
              <w:rPr>
                <w:color w:val="auto"/>
                <w:highlight w:val="none"/>
              </w:rPr>
            </w:pPr>
            <w:r>
              <w:rPr>
                <w:color w:val="auto"/>
                <w:highlight w:val="none"/>
              </w:rPr>
              <w:t>6</w:t>
            </w:r>
          </w:p>
        </w:tc>
        <w:tc>
          <w:tcPr>
            <w:tcW w:w="1663" w:type="pct"/>
            <w:tcBorders>
              <w:tl2br w:val="nil"/>
              <w:tr2bl w:val="nil"/>
            </w:tcBorders>
            <w:noWrap/>
            <w:vAlign w:val="center"/>
          </w:tcPr>
          <w:p w14:paraId="722320F8">
            <w:pPr>
              <w:pStyle w:val="41"/>
              <w:rPr>
                <w:color w:val="auto"/>
                <w:highlight w:val="none"/>
              </w:rPr>
            </w:pPr>
            <w:r>
              <w:rPr>
                <w:rFonts w:hint="eastAsia"/>
                <w:color w:val="auto"/>
                <w:highlight w:val="none"/>
              </w:rPr>
              <w:t>精</w:t>
            </w:r>
            <w:r>
              <w:rPr>
                <w:color w:val="auto"/>
                <w:highlight w:val="none"/>
              </w:rPr>
              <w:t>1</w:t>
            </w:r>
            <w:r>
              <w:rPr>
                <w:rFonts w:hint="eastAsia"/>
                <w:color w:val="auto"/>
                <w:highlight w:val="none"/>
              </w:rPr>
              <w:t>尾矿泵</w:t>
            </w:r>
          </w:p>
        </w:tc>
        <w:tc>
          <w:tcPr>
            <w:tcW w:w="1469" w:type="pct"/>
            <w:tcBorders>
              <w:tl2br w:val="nil"/>
              <w:tr2bl w:val="nil"/>
            </w:tcBorders>
            <w:noWrap/>
            <w:vAlign w:val="center"/>
          </w:tcPr>
          <w:p w14:paraId="48B4C87F">
            <w:pPr>
              <w:pStyle w:val="41"/>
              <w:rPr>
                <w:color w:val="auto"/>
                <w:highlight w:val="none"/>
              </w:rPr>
            </w:pPr>
            <w:r>
              <w:rPr>
                <w:color w:val="auto"/>
                <w:highlight w:val="none"/>
              </w:rPr>
              <w:t>250ZJ-68</w:t>
            </w:r>
          </w:p>
        </w:tc>
        <w:tc>
          <w:tcPr>
            <w:tcW w:w="458" w:type="pct"/>
            <w:tcBorders>
              <w:tl2br w:val="nil"/>
              <w:tr2bl w:val="nil"/>
            </w:tcBorders>
            <w:noWrap/>
            <w:vAlign w:val="center"/>
          </w:tcPr>
          <w:p w14:paraId="5A7C9A75">
            <w:pPr>
              <w:pStyle w:val="41"/>
              <w:rPr>
                <w:color w:val="auto"/>
                <w:highlight w:val="none"/>
              </w:rPr>
            </w:pPr>
            <w:r>
              <w:rPr>
                <w:color w:val="auto"/>
                <w:highlight w:val="none"/>
              </w:rPr>
              <w:t>2</w:t>
            </w:r>
          </w:p>
        </w:tc>
        <w:tc>
          <w:tcPr>
            <w:tcW w:w="1029" w:type="pct"/>
            <w:tcBorders>
              <w:tl2br w:val="nil"/>
              <w:tr2bl w:val="nil"/>
            </w:tcBorders>
            <w:noWrap/>
            <w:vAlign w:val="center"/>
          </w:tcPr>
          <w:p w14:paraId="793E710A">
            <w:pPr>
              <w:pStyle w:val="41"/>
              <w:rPr>
                <w:color w:val="auto"/>
                <w:highlight w:val="none"/>
              </w:rPr>
            </w:pPr>
            <w:r>
              <w:rPr>
                <w:color w:val="auto"/>
                <w:highlight w:val="none"/>
              </w:rPr>
              <w:t>185</w:t>
            </w:r>
          </w:p>
        </w:tc>
      </w:tr>
      <w:tr w14:paraId="678F1E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2D0A2A2B">
            <w:pPr>
              <w:pStyle w:val="41"/>
              <w:rPr>
                <w:color w:val="auto"/>
                <w:highlight w:val="none"/>
              </w:rPr>
            </w:pPr>
            <w:r>
              <w:rPr>
                <w:color w:val="auto"/>
                <w:highlight w:val="none"/>
              </w:rPr>
              <w:t>7</w:t>
            </w:r>
          </w:p>
        </w:tc>
        <w:tc>
          <w:tcPr>
            <w:tcW w:w="1663" w:type="pct"/>
            <w:tcBorders>
              <w:tl2br w:val="nil"/>
              <w:tr2bl w:val="nil"/>
            </w:tcBorders>
            <w:noWrap/>
            <w:vAlign w:val="center"/>
          </w:tcPr>
          <w:p w14:paraId="7A007EEC">
            <w:pPr>
              <w:pStyle w:val="41"/>
              <w:rPr>
                <w:color w:val="auto"/>
                <w:highlight w:val="none"/>
              </w:rPr>
            </w:pPr>
            <w:r>
              <w:rPr>
                <w:rFonts w:hint="eastAsia"/>
                <w:color w:val="auto"/>
                <w:highlight w:val="none"/>
              </w:rPr>
              <w:t>精</w:t>
            </w:r>
            <w:r>
              <w:rPr>
                <w:color w:val="auto"/>
                <w:highlight w:val="none"/>
              </w:rPr>
              <w:t>2</w:t>
            </w:r>
            <w:r>
              <w:rPr>
                <w:rFonts w:hint="eastAsia"/>
                <w:color w:val="auto"/>
                <w:highlight w:val="none"/>
              </w:rPr>
              <w:t>泵</w:t>
            </w:r>
          </w:p>
        </w:tc>
        <w:tc>
          <w:tcPr>
            <w:tcW w:w="1469" w:type="pct"/>
            <w:tcBorders>
              <w:tl2br w:val="nil"/>
              <w:tr2bl w:val="nil"/>
            </w:tcBorders>
            <w:noWrap/>
            <w:vAlign w:val="center"/>
          </w:tcPr>
          <w:p w14:paraId="001212A2">
            <w:pPr>
              <w:pStyle w:val="41"/>
              <w:rPr>
                <w:color w:val="auto"/>
                <w:highlight w:val="none"/>
              </w:rPr>
            </w:pPr>
            <w:r>
              <w:rPr>
                <w:color w:val="auto"/>
                <w:highlight w:val="none"/>
              </w:rPr>
              <w:t>250ZJ-68</w:t>
            </w:r>
          </w:p>
        </w:tc>
        <w:tc>
          <w:tcPr>
            <w:tcW w:w="458" w:type="pct"/>
            <w:tcBorders>
              <w:tl2br w:val="nil"/>
              <w:tr2bl w:val="nil"/>
            </w:tcBorders>
            <w:noWrap/>
            <w:vAlign w:val="center"/>
          </w:tcPr>
          <w:p w14:paraId="50617DBC">
            <w:pPr>
              <w:pStyle w:val="41"/>
              <w:rPr>
                <w:color w:val="auto"/>
                <w:highlight w:val="none"/>
              </w:rPr>
            </w:pPr>
            <w:r>
              <w:rPr>
                <w:color w:val="auto"/>
                <w:highlight w:val="none"/>
              </w:rPr>
              <w:t>2</w:t>
            </w:r>
          </w:p>
        </w:tc>
        <w:tc>
          <w:tcPr>
            <w:tcW w:w="1029" w:type="pct"/>
            <w:tcBorders>
              <w:tl2br w:val="nil"/>
              <w:tr2bl w:val="nil"/>
            </w:tcBorders>
            <w:noWrap/>
            <w:vAlign w:val="center"/>
          </w:tcPr>
          <w:p w14:paraId="47216792">
            <w:pPr>
              <w:pStyle w:val="41"/>
              <w:rPr>
                <w:color w:val="auto"/>
                <w:highlight w:val="none"/>
              </w:rPr>
            </w:pPr>
            <w:r>
              <w:rPr>
                <w:color w:val="auto"/>
                <w:highlight w:val="none"/>
              </w:rPr>
              <w:t>185</w:t>
            </w:r>
          </w:p>
        </w:tc>
      </w:tr>
      <w:tr w14:paraId="1457CB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788207DB">
            <w:pPr>
              <w:pStyle w:val="41"/>
              <w:rPr>
                <w:color w:val="auto"/>
                <w:highlight w:val="none"/>
              </w:rPr>
            </w:pPr>
            <w:r>
              <w:rPr>
                <w:color w:val="auto"/>
                <w:highlight w:val="none"/>
              </w:rPr>
              <w:t>8</w:t>
            </w:r>
          </w:p>
        </w:tc>
        <w:tc>
          <w:tcPr>
            <w:tcW w:w="1663" w:type="pct"/>
            <w:tcBorders>
              <w:tl2br w:val="nil"/>
              <w:tr2bl w:val="nil"/>
            </w:tcBorders>
            <w:noWrap/>
            <w:vAlign w:val="center"/>
          </w:tcPr>
          <w:p w14:paraId="2F7462E8">
            <w:pPr>
              <w:pStyle w:val="41"/>
              <w:rPr>
                <w:color w:val="auto"/>
                <w:highlight w:val="none"/>
              </w:rPr>
            </w:pPr>
            <w:r>
              <w:rPr>
                <w:rFonts w:hint="eastAsia"/>
                <w:color w:val="auto"/>
                <w:highlight w:val="none"/>
              </w:rPr>
              <w:t>精</w:t>
            </w:r>
            <w:r>
              <w:rPr>
                <w:color w:val="auto"/>
                <w:highlight w:val="none"/>
              </w:rPr>
              <w:t>3</w:t>
            </w:r>
            <w:r>
              <w:rPr>
                <w:rFonts w:hint="eastAsia"/>
                <w:color w:val="auto"/>
                <w:highlight w:val="none"/>
              </w:rPr>
              <w:t>泵</w:t>
            </w:r>
          </w:p>
        </w:tc>
        <w:tc>
          <w:tcPr>
            <w:tcW w:w="1469" w:type="pct"/>
            <w:tcBorders>
              <w:tl2br w:val="nil"/>
              <w:tr2bl w:val="nil"/>
            </w:tcBorders>
            <w:noWrap/>
            <w:vAlign w:val="center"/>
          </w:tcPr>
          <w:p w14:paraId="1F032BFC">
            <w:pPr>
              <w:pStyle w:val="41"/>
              <w:rPr>
                <w:color w:val="auto"/>
                <w:highlight w:val="none"/>
              </w:rPr>
            </w:pPr>
            <w:r>
              <w:rPr>
                <w:color w:val="auto"/>
                <w:highlight w:val="none"/>
              </w:rPr>
              <w:t>200ZJ-58</w:t>
            </w:r>
          </w:p>
        </w:tc>
        <w:tc>
          <w:tcPr>
            <w:tcW w:w="458" w:type="pct"/>
            <w:tcBorders>
              <w:tl2br w:val="nil"/>
              <w:tr2bl w:val="nil"/>
            </w:tcBorders>
            <w:noWrap/>
            <w:vAlign w:val="center"/>
          </w:tcPr>
          <w:p w14:paraId="57BB23E2">
            <w:pPr>
              <w:pStyle w:val="41"/>
              <w:rPr>
                <w:color w:val="auto"/>
                <w:highlight w:val="none"/>
              </w:rPr>
            </w:pPr>
            <w:r>
              <w:rPr>
                <w:color w:val="auto"/>
                <w:highlight w:val="none"/>
              </w:rPr>
              <w:t>2</w:t>
            </w:r>
          </w:p>
        </w:tc>
        <w:tc>
          <w:tcPr>
            <w:tcW w:w="1029" w:type="pct"/>
            <w:tcBorders>
              <w:tl2br w:val="nil"/>
              <w:tr2bl w:val="nil"/>
            </w:tcBorders>
            <w:noWrap/>
            <w:vAlign w:val="center"/>
          </w:tcPr>
          <w:p w14:paraId="415C7DED">
            <w:pPr>
              <w:pStyle w:val="41"/>
              <w:rPr>
                <w:color w:val="auto"/>
                <w:highlight w:val="none"/>
              </w:rPr>
            </w:pPr>
            <w:r>
              <w:rPr>
                <w:color w:val="auto"/>
                <w:highlight w:val="none"/>
              </w:rPr>
              <w:t>110</w:t>
            </w:r>
          </w:p>
        </w:tc>
      </w:tr>
      <w:tr w14:paraId="7280BE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07214F3C">
            <w:pPr>
              <w:pStyle w:val="41"/>
              <w:rPr>
                <w:color w:val="auto"/>
                <w:highlight w:val="none"/>
              </w:rPr>
            </w:pPr>
            <w:r>
              <w:rPr>
                <w:color w:val="auto"/>
                <w:highlight w:val="none"/>
              </w:rPr>
              <w:t>9</w:t>
            </w:r>
          </w:p>
        </w:tc>
        <w:tc>
          <w:tcPr>
            <w:tcW w:w="1663" w:type="pct"/>
            <w:tcBorders>
              <w:tl2br w:val="nil"/>
              <w:tr2bl w:val="nil"/>
            </w:tcBorders>
            <w:noWrap/>
            <w:vAlign w:val="center"/>
          </w:tcPr>
          <w:p w14:paraId="23E956DD">
            <w:pPr>
              <w:pStyle w:val="41"/>
              <w:rPr>
                <w:color w:val="auto"/>
                <w:highlight w:val="none"/>
              </w:rPr>
            </w:pPr>
            <w:r>
              <w:rPr>
                <w:rFonts w:hint="eastAsia"/>
                <w:color w:val="auto"/>
                <w:highlight w:val="none"/>
              </w:rPr>
              <w:t>精</w:t>
            </w:r>
            <w:r>
              <w:rPr>
                <w:color w:val="auto"/>
                <w:highlight w:val="none"/>
              </w:rPr>
              <w:t>4</w:t>
            </w:r>
            <w:r>
              <w:rPr>
                <w:rFonts w:hint="eastAsia"/>
                <w:color w:val="auto"/>
                <w:highlight w:val="none"/>
              </w:rPr>
              <w:t>泵</w:t>
            </w:r>
          </w:p>
        </w:tc>
        <w:tc>
          <w:tcPr>
            <w:tcW w:w="1469" w:type="pct"/>
            <w:tcBorders>
              <w:tl2br w:val="nil"/>
              <w:tr2bl w:val="nil"/>
            </w:tcBorders>
            <w:noWrap/>
            <w:vAlign w:val="center"/>
          </w:tcPr>
          <w:p w14:paraId="49B61A40">
            <w:pPr>
              <w:pStyle w:val="41"/>
              <w:rPr>
                <w:color w:val="auto"/>
                <w:highlight w:val="none"/>
              </w:rPr>
            </w:pPr>
            <w:r>
              <w:rPr>
                <w:color w:val="auto"/>
                <w:highlight w:val="none"/>
              </w:rPr>
              <w:t>150ZJ-55</w:t>
            </w:r>
          </w:p>
        </w:tc>
        <w:tc>
          <w:tcPr>
            <w:tcW w:w="458" w:type="pct"/>
            <w:tcBorders>
              <w:tl2br w:val="nil"/>
              <w:tr2bl w:val="nil"/>
            </w:tcBorders>
            <w:noWrap/>
            <w:vAlign w:val="center"/>
          </w:tcPr>
          <w:p w14:paraId="6A19EB67">
            <w:pPr>
              <w:pStyle w:val="41"/>
              <w:rPr>
                <w:color w:val="auto"/>
                <w:highlight w:val="none"/>
              </w:rPr>
            </w:pPr>
            <w:r>
              <w:rPr>
                <w:color w:val="auto"/>
                <w:highlight w:val="none"/>
              </w:rPr>
              <w:t>2</w:t>
            </w:r>
          </w:p>
        </w:tc>
        <w:tc>
          <w:tcPr>
            <w:tcW w:w="1029" w:type="pct"/>
            <w:tcBorders>
              <w:tl2br w:val="nil"/>
              <w:tr2bl w:val="nil"/>
            </w:tcBorders>
            <w:noWrap/>
            <w:vAlign w:val="center"/>
          </w:tcPr>
          <w:p w14:paraId="7F68CCAB">
            <w:pPr>
              <w:pStyle w:val="41"/>
              <w:rPr>
                <w:color w:val="auto"/>
                <w:highlight w:val="none"/>
              </w:rPr>
            </w:pPr>
            <w:r>
              <w:rPr>
                <w:color w:val="auto"/>
                <w:highlight w:val="none"/>
              </w:rPr>
              <w:t>75</w:t>
            </w:r>
          </w:p>
        </w:tc>
      </w:tr>
      <w:tr w14:paraId="52D578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5024698E">
            <w:pPr>
              <w:pStyle w:val="41"/>
              <w:rPr>
                <w:color w:val="auto"/>
                <w:highlight w:val="none"/>
              </w:rPr>
            </w:pPr>
            <w:r>
              <w:rPr>
                <w:color w:val="auto"/>
                <w:highlight w:val="none"/>
              </w:rPr>
              <w:t>10</w:t>
            </w:r>
          </w:p>
        </w:tc>
        <w:tc>
          <w:tcPr>
            <w:tcW w:w="1663" w:type="pct"/>
            <w:tcBorders>
              <w:tl2br w:val="nil"/>
              <w:tr2bl w:val="nil"/>
            </w:tcBorders>
            <w:noWrap/>
            <w:vAlign w:val="center"/>
          </w:tcPr>
          <w:p w14:paraId="1FF25783">
            <w:pPr>
              <w:pStyle w:val="41"/>
              <w:rPr>
                <w:color w:val="auto"/>
                <w:highlight w:val="none"/>
              </w:rPr>
            </w:pPr>
            <w:r>
              <w:rPr>
                <w:rFonts w:hint="eastAsia"/>
                <w:color w:val="auto"/>
                <w:highlight w:val="none"/>
              </w:rPr>
              <w:t>扫</w:t>
            </w:r>
            <w:r>
              <w:rPr>
                <w:color w:val="auto"/>
                <w:highlight w:val="none"/>
              </w:rPr>
              <w:t>1</w:t>
            </w:r>
            <w:r>
              <w:rPr>
                <w:rFonts w:hint="eastAsia"/>
                <w:color w:val="auto"/>
                <w:highlight w:val="none"/>
              </w:rPr>
              <w:t>泵</w:t>
            </w:r>
          </w:p>
        </w:tc>
        <w:tc>
          <w:tcPr>
            <w:tcW w:w="1469" w:type="pct"/>
            <w:tcBorders>
              <w:tl2br w:val="nil"/>
              <w:tr2bl w:val="nil"/>
            </w:tcBorders>
            <w:noWrap/>
            <w:vAlign w:val="center"/>
          </w:tcPr>
          <w:p w14:paraId="2F13F7C9">
            <w:pPr>
              <w:pStyle w:val="41"/>
              <w:rPr>
                <w:color w:val="auto"/>
                <w:highlight w:val="none"/>
              </w:rPr>
            </w:pPr>
            <w:r>
              <w:rPr>
                <w:color w:val="auto"/>
                <w:highlight w:val="none"/>
              </w:rPr>
              <w:t>250ZJ-68</w:t>
            </w:r>
          </w:p>
        </w:tc>
        <w:tc>
          <w:tcPr>
            <w:tcW w:w="458" w:type="pct"/>
            <w:tcBorders>
              <w:tl2br w:val="nil"/>
              <w:tr2bl w:val="nil"/>
            </w:tcBorders>
            <w:noWrap/>
            <w:vAlign w:val="center"/>
          </w:tcPr>
          <w:p w14:paraId="2C15A087">
            <w:pPr>
              <w:pStyle w:val="41"/>
              <w:rPr>
                <w:color w:val="auto"/>
                <w:highlight w:val="none"/>
              </w:rPr>
            </w:pPr>
            <w:r>
              <w:rPr>
                <w:color w:val="auto"/>
                <w:highlight w:val="none"/>
              </w:rPr>
              <w:t>2</w:t>
            </w:r>
          </w:p>
        </w:tc>
        <w:tc>
          <w:tcPr>
            <w:tcW w:w="1029" w:type="pct"/>
            <w:tcBorders>
              <w:tl2br w:val="nil"/>
              <w:tr2bl w:val="nil"/>
            </w:tcBorders>
            <w:noWrap/>
            <w:vAlign w:val="center"/>
          </w:tcPr>
          <w:p w14:paraId="54BC31F5">
            <w:pPr>
              <w:pStyle w:val="41"/>
              <w:rPr>
                <w:color w:val="auto"/>
                <w:highlight w:val="none"/>
              </w:rPr>
            </w:pPr>
            <w:r>
              <w:rPr>
                <w:color w:val="auto"/>
                <w:highlight w:val="none"/>
              </w:rPr>
              <w:t>185</w:t>
            </w:r>
          </w:p>
        </w:tc>
      </w:tr>
      <w:tr w14:paraId="154EE9F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6288CA95">
            <w:pPr>
              <w:pStyle w:val="41"/>
              <w:rPr>
                <w:color w:val="auto"/>
                <w:highlight w:val="none"/>
              </w:rPr>
            </w:pPr>
            <w:r>
              <w:rPr>
                <w:color w:val="auto"/>
                <w:highlight w:val="none"/>
              </w:rPr>
              <w:t>11</w:t>
            </w:r>
          </w:p>
        </w:tc>
        <w:tc>
          <w:tcPr>
            <w:tcW w:w="1663" w:type="pct"/>
            <w:tcBorders>
              <w:tl2br w:val="nil"/>
              <w:tr2bl w:val="nil"/>
            </w:tcBorders>
            <w:noWrap/>
            <w:vAlign w:val="center"/>
          </w:tcPr>
          <w:p w14:paraId="34D09C1B">
            <w:pPr>
              <w:pStyle w:val="41"/>
              <w:rPr>
                <w:color w:val="auto"/>
                <w:highlight w:val="none"/>
              </w:rPr>
            </w:pPr>
            <w:r>
              <w:rPr>
                <w:rFonts w:hint="eastAsia"/>
                <w:color w:val="auto"/>
                <w:highlight w:val="none"/>
              </w:rPr>
              <w:t>扫</w:t>
            </w:r>
            <w:r>
              <w:rPr>
                <w:color w:val="auto"/>
                <w:highlight w:val="none"/>
              </w:rPr>
              <w:t>2</w:t>
            </w:r>
            <w:r>
              <w:rPr>
                <w:rFonts w:hint="eastAsia"/>
                <w:color w:val="auto"/>
                <w:highlight w:val="none"/>
              </w:rPr>
              <w:t>泵</w:t>
            </w:r>
          </w:p>
        </w:tc>
        <w:tc>
          <w:tcPr>
            <w:tcW w:w="1469" w:type="pct"/>
            <w:tcBorders>
              <w:tl2br w:val="nil"/>
              <w:tr2bl w:val="nil"/>
            </w:tcBorders>
            <w:noWrap/>
            <w:vAlign w:val="center"/>
          </w:tcPr>
          <w:p w14:paraId="420199D1">
            <w:pPr>
              <w:pStyle w:val="41"/>
              <w:rPr>
                <w:color w:val="auto"/>
                <w:highlight w:val="none"/>
              </w:rPr>
            </w:pPr>
            <w:r>
              <w:rPr>
                <w:color w:val="auto"/>
                <w:highlight w:val="none"/>
              </w:rPr>
              <w:t>250ZJ-68</w:t>
            </w:r>
          </w:p>
        </w:tc>
        <w:tc>
          <w:tcPr>
            <w:tcW w:w="458" w:type="pct"/>
            <w:tcBorders>
              <w:tl2br w:val="nil"/>
              <w:tr2bl w:val="nil"/>
            </w:tcBorders>
            <w:noWrap/>
            <w:vAlign w:val="center"/>
          </w:tcPr>
          <w:p w14:paraId="5276B0E1">
            <w:pPr>
              <w:pStyle w:val="41"/>
              <w:rPr>
                <w:color w:val="auto"/>
                <w:highlight w:val="none"/>
              </w:rPr>
            </w:pPr>
            <w:r>
              <w:rPr>
                <w:color w:val="auto"/>
                <w:highlight w:val="none"/>
              </w:rPr>
              <w:t>2</w:t>
            </w:r>
          </w:p>
        </w:tc>
        <w:tc>
          <w:tcPr>
            <w:tcW w:w="1029" w:type="pct"/>
            <w:tcBorders>
              <w:tl2br w:val="nil"/>
              <w:tr2bl w:val="nil"/>
            </w:tcBorders>
            <w:noWrap/>
            <w:vAlign w:val="center"/>
          </w:tcPr>
          <w:p w14:paraId="2E6C8C4B">
            <w:pPr>
              <w:pStyle w:val="41"/>
              <w:rPr>
                <w:color w:val="auto"/>
                <w:highlight w:val="none"/>
              </w:rPr>
            </w:pPr>
            <w:r>
              <w:rPr>
                <w:color w:val="auto"/>
                <w:highlight w:val="none"/>
              </w:rPr>
              <w:t>185</w:t>
            </w:r>
          </w:p>
        </w:tc>
      </w:tr>
      <w:tr w14:paraId="109512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0F71B472">
            <w:pPr>
              <w:pStyle w:val="41"/>
              <w:rPr>
                <w:color w:val="auto"/>
                <w:highlight w:val="none"/>
              </w:rPr>
            </w:pPr>
            <w:r>
              <w:rPr>
                <w:color w:val="auto"/>
                <w:highlight w:val="none"/>
              </w:rPr>
              <w:t>12</w:t>
            </w:r>
          </w:p>
        </w:tc>
        <w:tc>
          <w:tcPr>
            <w:tcW w:w="1663" w:type="pct"/>
            <w:tcBorders>
              <w:tl2br w:val="nil"/>
              <w:tr2bl w:val="nil"/>
            </w:tcBorders>
            <w:noWrap/>
            <w:vAlign w:val="center"/>
          </w:tcPr>
          <w:p w14:paraId="1824307D">
            <w:pPr>
              <w:pStyle w:val="41"/>
              <w:rPr>
                <w:color w:val="auto"/>
                <w:highlight w:val="none"/>
              </w:rPr>
            </w:pPr>
            <w:r>
              <w:rPr>
                <w:rFonts w:hint="eastAsia"/>
                <w:color w:val="auto"/>
                <w:highlight w:val="none"/>
              </w:rPr>
              <w:t>总尾泵</w:t>
            </w:r>
          </w:p>
        </w:tc>
        <w:tc>
          <w:tcPr>
            <w:tcW w:w="1469" w:type="pct"/>
            <w:tcBorders>
              <w:tl2br w:val="nil"/>
              <w:tr2bl w:val="nil"/>
            </w:tcBorders>
            <w:noWrap/>
            <w:vAlign w:val="center"/>
          </w:tcPr>
          <w:p w14:paraId="3F64F24B">
            <w:pPr>
              <w:pStyle w:val="41"/>
              <w:rPr>
                <w:color w:val="auto"/>
                <w:highlight w:val="none"/>
              </w:rPr>
            </w:pPr>
            <w:r>
              <w:rPr>
                <w:color w:val="auto"/>
                <w:highlight w:val="none"/>
              </w:rPr>
              <w:t>250ZJ-75</w:t>
            </w:r>
          </w:p>
        </w:tc>
        <w:tc>
          <w:tcPr>
            <w:tcW w:w="458" w:type="pct"/>
            <w:tcBorders>
              <w:tl2br w:val="nil"/>
              <w:tr2bl w:val="nil"/>
            </w:tcBorders>
            <w:noWrap/>
            <w:vAlign w:val="center"/>
          </w:tcPr>
          <w:p w14:paraId="1EAFFAA5">
            <w:pPr>
              <w:pStyle w:val="41"/>
              <w:rPr>
                <w:color w:val="auto"/>
                <w:highlight w:val="none"/>
              </w:rPr>
            </w:pPr>
            <w:r>
              <w:rPr>
                <w:color w:val="auto"/>
                <w:highlight w:val="none"/>
              </w:rPr>
              <w:t>2</w:t>
            </w:r>
          </w:p>
        </w:tc>
        <w:tc>
          <w:tcPr>
            <w:tcW w:w="1029" w:type="pct"/>
            <w:tcBorders>
              <w:tl2br w:val="nil"/>
              <w:tr2bl w:val="nil"/>
            </w:tcBorders>
            <w:noWrap/>
            <w:vAlign w:val="center"/>
          </w:tcPr>
          <w:p w14:paraId="602F45C9">
            <w:pPr>
              <w:pStyle w:val="41"/>
              <w:rPr>
                <w:color w:val="auto"/>
                <w:highlight w:val="none"/>
              </w:rPr>
            </w:pPr>
            <w:r>
              <w:rPr>
                <w:color w:val="auto"/>
                <w:highlight w:val="none"/>
              </w:rPr>
              <w:t>280</w:t>
            </w:r>
          </w:p>
        </w:tc>
      </w:tr>
      <w:tr w14:paraId="1A88ED0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41F57F98">
            <w:pPr>
              <w:pStyle w:val="41"/>
              <w:rPr>
                <w:color w:val="auto"/>
                <w:highlight w:val="none"/>
              </w:rPr>
            </w:pPr>
            <w:r>
              <w:rPr>
                <w:color w:val="auto"/>
                <w:highlight w:val="none"/>
              </w:rPr>
              <w:t>13</w:t>
            </w:r>
          </w:p>
        </w:tc>
        <w:tc>
          <w:tcPr>
            <w:tcW w:w="1663" w:type="pct"/>
            <w:tcBorders>
              <w:tl2br w:val="nil"/>
              <w:tr2bl w:val="nil"/>
            </w:tcBorders>
            <w:noWrap/>
            <w:vAlign w:val="center"/>
          </w:tcPr>
          <w:p w14:paraId="022CB1EE">
            <w:pPr>
              <w:pStyle w:val="41"/>
              <w:rPr>
                <w:color w:val="auto"/>
                <w:highlight w:val="none"/>
              </w:rPr>
            </w:pPr>
            <w:r>
              <w:rPr>
                <w:rFonts w:hint="eastAsia"/>
                <w:color w:val="auto"/>
                <w:highlight w:val="none"/>
              </w:rPr>
              <w:t>斜板浓密机</w:t>
            </w:r>
          </w:p>
        </w:tc>
        <w:tc>
          <w:tcPr>
            <w:tcW w:w="1469" w:type="pct"/>
            <w:tcBorders>
              <w:tl2br w:val="nil"/>
              <w:tr2bl w:val="nil"/>
            </w:tcBorders>
            <w:noWrap/>
            <w:vAlign w:val="center"/>
          </w:tcPr>
          <w:p w14:paraId="07B2A46C">
            <w:pPr>
              <w:pStyle w:val="41"/>
              <w:rPr>
                <w:rFonts w:hint="default" w:eastAsia="华文中宋"/>
                <w:color w:val="auto"/>
                <w:highlight w:val="none"/>
                <w:lang w:val="en-US" w:eastAsia="zh-CN"/>
              </w:rPr>
            </w:pPr>
            <w:r>
              <w:rPr>
                <w:color w:val="auto"/>
                <w:highlight w:val="none"/>
              </w:rPr>
              <w:t>4000</w:t>
            </w:r>
            <w:r>
              <w:rPr>
                <w:rFonts w:hint="eastAsia"/>
                <w:color w:val="auto"/>
                <w:highlight w:val="none"/>
                <w:lang w:val="en-US" w:eastAsia="zh-CN"/>
              </w:rPr>
              <w:t>m</w:t>
            </w:r>
            <w:r>
              <w:rPr>
                <w:rFonts w:hint="eastAsia"/>
                <w:color w:val="auto"/>
                <w:highlight w:val="none"/>
                <w:vertAlign w:val="superscript"/>
                <w:lang w:val="en-US" w:eastAsia="zh-CN"/>
              </w:rPr>
              <w:t>2</w:t>
            </w:r>
          </w:p>
        </w:tc>
        <w:tc>
          <w:tcPr>
            <w:tcW w:w="458" w:type="pct"/>
            <w:tcBorders>
              <w:tl2br w:val="nil"/>
              <w:tr2bl w:val="nil"/>
            </w:tcBorders>
            <w:noWrap/>
            <w:vAlign w:val="center"/>
          </w:tcPr>
          <w:p w14:paraId="6B5A761C">
            <w:pPr>
              <w:pStyle w:val="41"/>
              <w:rPr>
                <w:color w:val="auto"/>
                <w:highlight w:val="none"/>
              </w:rPr>
            </w:pPr>
            <w:r>
              <w:rPr>
                <w:color w:val="auto"/>
                <w:highlight w:val="none"/>
              </w:rPr>
              <w:t>2</w:t>
            </w:r>
          </w:p>
        </w:tc>
        <w:tc>
          <w:tcPr>
            <w:tcW w:w="1029" w:type="pct"/>
            <w:tcBorders>
              <w:tl2br w:val="nil"/>
              <w:tr2bl w:val="nil"/>
            </w:tcBorders>
            <w:noWrap/>
            <w:vAlign w:val="center"/>
          </w:tcPr>
          <w:p w14:paraId="08720DD2">
            <w:pPr>
              <w:pStyle w:val="41"/>
              <w:rPr>
                <w:color w:val="auto"/>
                <w:highlight w:val="none"/>
              </w:rPr>
            </w:pPr>
          </w:p>
        </w:tc>
      </w:tr>
      <w:tr w14:paraId="69D210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11F936A7">
            <w:pPr>
              <w:pStyle w:val="41"/>
              <w:rPr>
                <w:color w:val="auto"/>
                <w:highlight w:val="none"/>
              </w:rPr>
            </w:pPr>
            <w:r>
              <w:rPr>
                <w:color w:val="auto"/>
                <w:highlight w:val="none"/>
              </w:rPr>
              <w:t>14</w:t>
            </w:r>
          </w:p>
        </w:tc>
        <w:tc>
          <w:tcPr>
            <w:tcW w:w="1663" w:type="pct"/>
            <w:tcBorders>
              <w:tl2br w:val="nil"/>
              <w:tr2bl w:val="nil"/>
            </w:tcBorders>
            <w:noWrap/>
            <w:vAlign w:val="center"/>
          </w:tcPr>
          <w:p w14:paraId="20B25EBD">
            <w:pPr>
              <w:pStyle w:val="41"/>
              <w:rPr>
                <w:color w:val="auto"/>
                <w:highlight w:val="none"/>
              </w:rPr>
            </w:pPr>
            <w:r>
              <w:rPr>
                <w:rFonts w:hint="eastAsia"/>
                <w:color w:val="auto"/>
                <w:highlight w:val="none"/>
              </w:rPr>
              <w:t>钛中矿圆盘过滤机</w:t>
            </w:r>
          </w:p>
        </w:tc>
        <w:tc>
          <w:tcPr>
            <w:tcW w:w="1469" w:type="pct"/>
            <w:tcBorders>
              <w:tl2br w:val="nil"/>
              <w:tr2bl w:val="nil"/>
            </w:tcBorders>
            <w:noWrap/>
            <w:vAlign w:val="center"/>
          </w:tcPr>
          <w:p w14:paraId="75E949BB">
            <w:pPr>
              <w:pStyle w:val="41"/>
              <w:rPr>
                <w:color w:val="auto"/>
                <w:highlight w:val="none"/>
              </w:rPr>
            </w:pPr>
            <w:r>
              <w:rPr>
                <w:color w:val="auto"/>
                <w:highlight w:val="none"/>
              </w:rPr>
              <w:t>ZPG-60</w:t>
            </w:r>
          </w:p>
        </w:tc>
        <w:tc>
          <w:tcPr>
            <w:tcW w:w="458" w:type="pct"/>
            <w:tcBorders>
              <w:tl2br w:val="nil"/>
              <w:tr2bl w:val="nil"/>
            </w:tcBorders>
            <w:noWrap/>
            <w:vAlign w:val="center"/>
          </w:tcPr>
          <w:p w14:paraId="11BE794E">
            <w:pPr>
              <w:pStyle w:val="41"/>
              <w:rPr>
                <w:color w:val="auto"/>
                <w:highlight w:val="none"/>
              </w:rPr>
            </w:pPr>
            <w:r>
              <w:rPr>
                <w:color w:val="auto"/>
                <w:highlight w:val="none"/>
              </w:rPr>
              <w:t>1</w:t>
            </w:r>
          </w:p>
        </w:tc>
        <w:tc>
          <w:tcPr>
            <w:tcW w:w="1029" w:type="pct"/>
            <w:tcBorders>
              <w:tl2br w:val="nil"/>
              <w:tr2bl w:val="nil"/>
            </w:tcBorders>
            <w:noWrap/>
            <w:vAlign w:val="center"/>
          </w:tcPr>
          <w:p w14:paraId="53406E3E">
            <w:pPr>
              <w:pStyle w:val="41"/>
              <w:rPr>
                <w:color w:val="auto"/>
                <w:highlight w:val="none"/>
              </w:rPr>
            </w:pPr>
            <w:r>
              <w:rPr>
                <w:color w:val="auto"/>
                <w:highlight w:val="none"/>
              </w:rPr>
              <w:t>88</w:t>
            </w:r>
          </w:p>
        </w:tc>
      </w:tr>
      <w:tr w14:paraId="1D22D6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3AC624EB">
            <w:pPr>
              <w:pStyle w:val="41"/>
              <w:rPr>
                <w:color w:val="auto"/>
                <w:highlight w:val="none"/>
              </w:rPr>
            </w:pPr>
            <w:r>
              <w:rPr>
                <w:color w:val="auto"/>
                <w:highlight w:val="none"/>
              </w:rPr>
              <w:t>15</w:t>
            </w:r>
          </w:p>
        </w:tc>
        <w:tc>
          <w:tcPr>
            <w:tcW w:w="1663" w:type="pct"/>
            <w:tcBorders>
              <w:tl2br w:val="nil"/>
              <w:tr2bl w:val="nil"/>
            </w:tcBorders>
            <w:noWrap/>
            <w:vAlign w:val="center"/>
          </w:tcPr>
          <w:p w14:paraId="5E8311A7">
            <w:pPr>
              <w:pStyle w:val="41"/>
              <w:rPr>
                <w:color w:val="auto"/>
                <w:highlight w:val="none"/>
              </w:rPr>
            </w:pPr>
            <w:r>
              <w:rPr>
                <w:rFonts w:hint="eastAsia"/>
                <w:color w:val="auto"/>
                <w:highlight w:val="none"/>
              </w:rPr>
              <w:t>水泵</w:t>
            </w:r>
          </w:p>
        </w:tc>
        <w:tc>
          <w:tcPr>
            <w:tcW w:w="1469" w:type="pct"/>
            <w:tcBorders>
              <w:tl2br w:val="nil"/>
              <w:tr2bl w:val="nil"/>
            </w:tcBorders>
            <w:noWrap/>
            <w:vAlign w:val="center"/>
          </w:tcPr>
          <w:p w14:paraId="65491C0B">
            <w:pPr>
              <w:pStyle w:val="41"/>
              <w:rPr>
                <w:color w:val="auto"/>
                <w:highlight w:val="none"/>
              </w:rPr>
            </w:pPr>
            <w:r>
              <w:rPr>
                <w:color w:val="auto"/>
                <w:highlight w:val="none"/>
              </w:rPr>
              <w:t>300-M90B</w:t>
            </w:r>
          </w:p>
        </w:tc>
        <w:tc>
          <w:tcPr>
            <w:tcW w:w="458" w:type="pct"/>
            <w:tcBorders>
              <w:tl2br w:val="nil"/>
              <w:tr2bl w:val="nil"/>
            </w:tcBorders>
            <w:noWrap/>
            <w:vAlign w:val="center"/>
          </w:tcPr>
          <w:p w14:paraId="40C5ACCF">
            <w:pPr>
              <w:pStyle w:val="41"/>
              <w:rPr>
                <w:color w:val="auto"/>
                <w:highlight w:val="none"/>
              </w:rPr>
            </w:pPr>
            <w:r>
              <w:rPr>
                <w:color w:val="auto"/>
                <w:highlight w:val="none"/>
              </w:rPr>
              <w:t>3</w:t>
            </w:r>
          </w:p>
        </w:tc>
        <w:tc>
          <w:tcPr>
            <w:tcW w:w="1029" w:type="pct"/>
            <w:tcBorders>
              <w:tl2br w:val="nil"/>
              <w:tr2bl w:val="nil"/>
            </w:tcBorders>
            <w:noWrap/>
            <w:vAlign w:val="center"/>
          </w:tcPr>
          <w:p w14:paraId="7A8360BB">
            <w:pPr>
              <w:pStyle w:val="41"/>
              <w:rPr>
                <w:color w:val="auto"/>
                <w:highlight w:val="none"/>
              </w:rPr>
            </w:pPr>
            <w:r>
              <w:rPr>
                <w:color w:val="auto"/>
                <w:highlight w:val="none"/>
              </w:rPr>
              <w:t>250</w:t>
            </w:r>
          </w:p>
        </w:tc>
      </w:tr>
      <w:tr w14:paraId="684297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5C8AD990">
            <w:pPr>
              <w:pStyle w:val="41"/>
              <w:rPr>
                <w:color w:val="auto"/>
                <w:highlight w:val="none"/>
              </w:rPr>
            </w:pPr>
            <w:r>
              <w:rPr>
                <w:color w:val="auto"/>
                <w:highlight w:val="none"/>
              </w:rPr>
              <w:t>16</w:t>
            </w:r>
          </w:p>
        </w:tc>
        <w:tc>
          <w:tcPr>
            <w:tcW w:w="1663" w:type="pct"/>
            <w:tcBorders>
              <w:tl2br w:val="nil"/>
              <w:tr2bl w:val="nil"/>
            </w:tcBorders>
            <w:noWrap/>
            <w:vAlign w:val="center"/>
          </w:tcPr>
          <w:p w14:paraId="55C961F2">
            <w:pPr>
              <w:pStyle w:val="41"/>
              <w:rPr>
                <w:color w:val="auto"/>
                <w:highlight w:val="none"/>
              </w:rPr>
            </w:pPr>
            <w:r>
              <w:rPr>
                <w:rFonts w:hint="eastAsia"/>
                <w:color w:val="auto"/>
                <w:highlight w:val="none"/>
              </w:rPr>
              <w:t>皮带输送机</w:t>
            </w:r>
          </w:p>
        </w:tc>
        <w:tc>
          <w:tcPr>
            <w:tcW w:w="1469" w:type="pct"/>
            <w:tcBorders>
              <w:tl2br w:val="nil"/>
              <w:tr2bl w:val="nil"/>
            </w:tcBorders>
            <w:noWrap/>
            <w:vAlign w:val="center"/>
          </w:tcPr>
          <w:p w14:paraId="29BF6BB0">
            <w:pPr>
              <w:pStyle w:val="41"/>
              <w:rPr>
                <w:color w:val="auto"/>
                <w:highlight w:val="none"/>
              </w:rPr>
            </w:pPr>
            <w:r>
              <w:rPr>
                <w:color w:val="auto"/>
                <w:highlight w:val="none"/>
              </w:rPr>
              <w:t>B1000</w:t>
            </w:r>
          </w:p>
        </w:tc>
        <w:tc>
          <w:tcPr>
            <w:tcW w:w="458" w:type="pct"/>
            <w:tcBorders>
              <w:tl2br w:val="nil"/>
              <w:tr2bl w:val="nil"/>
            </w:tcBorders>
            <w:noWrap/>
            <w:vAlign w:val="center"/>
          </w:tcPr>
          <w:p w14:paraId="2F93128F">
            <w:pPr>
              <w:pStyle w:val="41"/>
              <w:rPr>
                <w:color w:val="auto"/>
                <w:highlight w:val="none"/>
              </w:rPr>
            </w:pPr>
            <w:r>
              <w:rPr>
                <w:color w:val="auto"/>
                <w:highlight w:val="none"/>
              </w:rPr>
              <w:t>1</w:t>
            </w:r>
          </w:p>
        </w:tc>
        <w:tc>
          <w:tcPr>
            <w:tcW w:w="1029" w:type="pct"/>
            <w:tcBorders>
              <w:tl2br w:val="nil"/>
              <w:tr2bl w:val="nil"/>
            </w:tcBorders>
            <w:noWrap/>
            <w:vAlign w:val="center"/>
          </w:tcPr>
          <w:p w14:paraId="383BC6B3">
            <w:pPr>
              <w:pStyle w:val="41"/>
              <w:rPr>
                <w:color w:val="auto"/>
                <w:highlight w:val="none"/>
              </w:rPr>
            </w:pPr>
            <w:r>
              <w:rPr>
                <w:color w:val="auto"/>
                <w:highlight w:val="none"/>
              </w:rPr>
              <w:t>11</w:t>
            </w:r>
          </w:p>
        </w:tc>
      </w:tr>
      <w:tr w14:paraId="4685C0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5DAF2EA8">
            <w:pPr>
              <w:pStyle w:val="41"/>
              <w:rPr>
                <w:color w:val="auto"/>
                <w:highlight w:val="none"/>
              </w:rPr>
            </w:pPr>
            <w:r>
              <w:rPr>
                <w:color w:val="auto"/>
                <w:highlight w:val="none"/>
              </w:rPr>
              <w:t>17</w:t>
            </w:r>
          </w:p>
        </w:tc>
        <w:tc>
          <w:tcPr>
            <w:tcW w:w="1663" w:type="pct"/>
            <w:tcBorders>
              <w:tl2br w:val="nil"/>
              <w:tr2bl w:val="nil"/>
            </w:tcBorders>
            <w:noWrap/>
            <w:vAlign w:val="center"/>
          </w:tcPr>
          <w:p w14:paraId="249DC68A">
            <w:pPr>
              <w:pStyle w:val="41"/>
              <w:rPr>
                <w:color w:val="auto"/>
                <w:highlight w:val="none"/>
              </w:rPr>
            </w:pPr>
            <w:r>
              <w:rPr>
                <w:rFonts w:hint="eastAsia"/>
                <w:color w:val="auto"/>
                <w:highlight w:val="none"/>
              </w:rPr>
              <w:t>皮带输送机</w:t>
            </w:r>
          </w:p>
        </w:tc>
        <w:tc>
          <w:tcPr>
            <w:tcW w:w="1469" w:type="pct"/>
            <w:tcBorders>
              <w:tl2br w:val="nil"/>
              <w:tr2bl w:val="nil"/>
            </w:tcBorders>
            <w:noWrap/>
            <w:vAlign w:val="center"/>
          </w:tcPr>
          <w:p w14:paraId="53D65800">
            <w:pPr>
              <w:pStyle w:val="41"/>
              <w:rPr>
                <w:color w:val="auto"/>
                <w:highlight w:val="none"/>
              </w:rPr>
            </w:pPr>
            <w:r>
              <w:rPr>
                <w:color w:val="auto"/>
                <w:highlight w:val="none"/>
              </w:rPr>
              <w:t>B650</w:t>
            </w:r>
          </w:p>
        </w:tc>
        <w:tc>
          <w:tcPr>
            <w:tcW w:w="458" w:type="pct"/>
            <w:tcBorders>
              <w:tl2br w:val="nil"/>
              <w:tr2bl w:val="nil"/>
            </w:tcBorders>
            <w:noWrap/>
            <w:vAlign w:val="center"/>
          </w:tcPr>
          <w:p w14:paraId="60FAD6DC">
            <w:pPr>
              <w:pStyle w:val="41"/>
              <w:rPr>
                <w:color w:val="auto"/>
                <w:highlight w:val="none"/>
              </w:rPr>
            </w:pPr>
            <w:r>
              <w:rPr>
                <w:color w:val="auto"/>
                <w:highlight w:val="none"/>
              </w:rPr>
              <w:t>3</w:t>
            </w:r>
          </w:p>
        </w:tc>
        <w:tc>
          <w:tcPr>
            <w:tcW w:w="1029" w:type="pct"/>
            <w:tcBorders>
              <w:tl2br w:val="nil"/>
              <w:tr2bl w:val="nil"/>
            </w:tcBorders>
            <w:noWrap/>
            <w:vAlign w:val="center"/>
          </w:tcPr>
          <w:p w14:paraId="12118E1E">
            <w:pPr>
              <w:pStyle w:val="41"/>
              <w:rPr>
                <w:color w:val="auto"/>
                <w:highlight w:val="none"/>
              </w:rPr>
            </w:pPr>
            <w:r>
              <w:rPr>
                <w:color w:val="auto"/>
                <w:highlight w:val="none"/>
              </w:rPr>
              <w:t>11</w:t>
            </w:r>
          </w:p>
        </w:tc>
      </w:tr>
      <w:tr w14:paraId="41FF7DF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l2br w:val="nil"/>
              <w:tr2bl w:val="nil"/>
            </w:tcBorders>
            <w:noWrap/>
            <w:vAlign w:val="center"/>
          </w:tcPr>
          <w:p w14:paraId="14314A63">
            <w:pPr>
              <w:pStyle w:val="41"/>
              <w:rPr>
                <w:color w:val="auto"/>
                <w:highlight w:val="none"/>
              </w:rPr>
            </w:pPr>
            <w:r>
              <w:rPr>
                <w:rFonts w:hint="eastAsia"/>
                <w:color w:val="auto"/>
                <w:highlight w:val="none"/>
              </w:rPr>
              <w:t>钛中矿烘干精选</w:t>
            </w:r>
          </w:p>
        </w:tc>
      </w:tr>
      <w:tr w14:paraId="086CD9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018F9FC9">
            <w:pPr>
              <w:pStyle w:val="41"/>
              <w:rPr>
                <w:color w:val="auto"/>
                <w:highlight w:val="none"/>
              </w:rPr>
            </w:pPr>
            <w:r>
              <w:rPr>
                <w:color w:val="auto"/>
                <w:highlight w:val="none"/>
              </w:rPr>
              <w:t>1</w:t>
            </w:r>
          </w:p>
        </w:tc>
        <w:tc>
          <w:tcPr>
            <w:tcW w:w="1663" w:type="pct"/>
            <w:tcBorders>
              <w:tl2br w:val="nil"/>
              <w:tr2bl w:val="nil"/>
            </w:tcBorders>
            <w:noWrap/>
            <w:vAlign w:val="center"/>
          </w:tcPr>
          <w:p w14:paraId="7DF18096">
            <w:pPr>
              <w:pStyle w:val="41"/>
              <w:rPr>
                <w:color w:val="auto"/>
                <w:highlight w:val="none"/>
              </w:rPr>
            </w:pPr>
            <w:r>
              <w:rPr>
                <w:rFonts w:hint="eastAsia"/>
                <w:color w:val="auto"/>
                <w:highlight w:val="none"/>
              </w:rPr>
              <w:t>烘干筒</w:t>
            </w:r>
          </w:p>
        </w:tc>
        <w:tc>
          <w:tcPr>
            <w:tcW w:w="1469" w:type="pct"/>
            <w:tcBorders>
              <w:tl2br w:val="nil"/>
              <w:tr2bl w:val="nil"/>
            </w:tcBorders>
            <w:vAlign w:val="center"/>
          </w:tcPr>
          <w:p w14:paraId="34DEFEE5">
            <w:pPr>
              <w:pStyle w:val="41"/>
              <w:rPr>
                <w:color w:val="auto"/>
                <w:highlight w:val="none"/>
              </w:rPr>
            </w:pPr>
            <w:r>
              <w:rPr>
                <w:color w:val="auto"/>
                <w:highlight w:val="none"/>
              </w:rPr>
              <w:t>GTHG2220</w:t>
            </w:r>
          </w:p>
        </w:tc>
        <w:tc>
          <w:tcPr>
            <w:tcW w:w="458" w:type="pct"/>
            <w:tcBorders>
              <w:tl2br w:val="nil"/>
              <w:tr2bl w:val="nil"/>
            </w:tcBorders>
            <w:noWrap/>
            <w:vAlign w:val="center"/>
          </w:tcPr>
          <w:p w14:paraId="69E554B5">
            <w:pPr>
              <w:pStyle w:val="41"/>
              <w:rPr>
                <w:color w:val="auto"/>
                <w:highlight w:val="none"/>
              </w:rPr>
            </w:pPr>
            <w:r>
              <w:rPr>
                <w:color w:val="auto"/>
                <w:highlight w:val="none"/>
              </w:rPr>
              <w:t>1</w:t>
            </w:r>
          </w:p>
        </w:tc>
        <w:tc>
          <w:tcPr>
            <w:tcW w:w="1029" w:type="pct"/>
            <w:tcBorders>
              <w:tl2br w:val="nil"/>
              <w:tr2bl w:val="nil"/>
            </w:tcBorders>
            <w:noWrap/>
            <w:vAlign w:val="center"/>
          </w:tcPr>
          <w:p w14:paraId="1DEF8277">
            <w:pPr>
              <w:pStyle w:val="41"/>
              <w:rPr>
                <w:color w:val="auto"/>
                <w:highlight w:val="none"/>
              </w:rPr>
            </w:pPr>
            <w:r>
              <w:rPr>
                <w:color w:val="auto"/>
                <w:highlight w:val="none"/>
              </w:rPr>
              <w:t>45</w:t>
            </w:r>
          </w:p>
        </w:tc>
      </w:tr>
      <w:tr w14:paraId="6B0A17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52E0441C">
            <w:pPr>
              <w:pStyle w:val="41"/>
              <w:rPr>
                <w:color w:val="auto"/>
                <w:highlight w:val="none"/>
              </w:rPr>
            </w:pPr>
            <w:r>
              <w:rPr>
                <w:color w:val="auto"/>
                <w:highlight w:val="none"/>
              </w:rPr>
              <w:t>2</w:t>
            </w:r>
          </w:p>
        </w:tc>
        <w:tc>
          <w:tcPr>
            <w:tcW w:w="1663" w:type="pct"/>
            <w:tcBorders>
              <w:tl2br w:val="nil"/>
              <w:tr2bl w:val="nil"/>
            </w:tcBorders>
            <w:noWrap/>
            <w:vAlign w:val="center"/>
          </w:tcPr>
          <w:p w14:paraId="00A1CCC1">
            <w:pPr>
              <w:pStyle w:val="41"/>
              <w:rPr>
                <w:color w:val="auto"/>
                <w:highlight w:val="none"/>
              </w:rPr>
            </w:pPr>
            <w:r>
              <w:rPr>
                <w:rFonts w:hint="eastAsia"/>
                <w:color w:val="auto"/>
                <w:highlight w:val="none"/>
              </w:rPr>
              <w:t>钛精粉烘干窑引风机</w:t>
            </w:r>
          </w:p>
        </w:tc>
        <w:tc>
          <w:tcPr>
            <w:tcW w:w="1469" w:type="pct"/>
            <w:tcBorders>
              <w:tl2br w:val="nil"/>
              <w:tr2bl w:val="nil"/>
            </w:tcBorders>
            <w:vAlign w:val="center"/>
          </w:tcPr>
          <w:p w14:paraId="5A38AEC6">
            <w:pPr>
              <w:pStyle w:val="41"/>
              <w:rPr>
                <w:color w:val="auto"/>
                <w:highlight w:val="none"/>
              </w:rPr>
            </w:pPr>
            <w:r>
              <w:rPr>
                <w:color w:val="auto"/>
                <w:highlight w:val="none"/>
              </w:rPr>
              <w:t>30000</w:t>
            </w:r>
            <w:r>
              <w:rPr>
                <w:rFonts w:hint="eastAsia"/>
                <w:color w:val="auto"/>
                <w:highlight w:val="none"/>
                <w:lang w:val="en-US" w:eastAsia="zh-CN"/>
              </w:rPr>
              <w:t>m</w:t>
            </w:r>
            <w:r>
              <w:rPr>
                <w:rFonts w:hint="eastAsia"/>
                <w:color w:val="auto"/>
                <w:highlight w:val="none"/>
                <w:vertAlign w:val="superscript"/>
                <w:lang w:val="en-US" w:eastAsia="zh-CN"/>
              </w:rPr>
              <w:t>3</w:t>
            </w:r>
            <w:r>
              <w:rPr>
                <w:color w:val="auto"/>
                <w:highlight w:val="none"/>
              </w:rPr>
              <w:t>/h</w:t>
            </w:r>
          </w:p>
        </w:tc>
        <w:tc>
          <w:tcPr>
            <w:tcW w:w="458" w:type="pct"/>
            <w:tcBorders>
              <w:tl2br w:val="nil"/>
              <w:tr2bl w:val="nil"/>
            </w:tcBorders>
            <w:noWrap/>
            <w:vAlign w:val="center"/>
          </w:tcPr>
          <w:p w14:paraId="4B95D7A5">
            <w:pPr>
              <w:pStyle w:val="41"/>
              <w:rPr>
                <w:color w:val="auto"/>
                <w:highlight w:val="none"/>
              </w:rPr>
            </w:pPr>
            <w:r>
              <w:rPr>
                <w:color w:val="auto"/>
                <w:highlight w:val="none"/>
              </w:rPr>
              <w:t>1</w:t>
            </w:r>
          </w:p>
        </w:tc>
        <w:tc>
          <w:tcPr>
            <w:tcW w:w="1029" w:type="pct"/>
            <w:tcBorders>
              <w:tl2br w:val="nil"/>
              <w:tr2bl w:val="nil"/>
            </w:tcBorders>
            <w:noWrap/>
            <w:vAlign w:val="center"/>
          </w:tcPr>
          <w:p w14:paraId="4E7EA198">
            <w:pPr>
              <w:pStyle w:val="41"/>
              <w:rPr>
                <w:color w:val="auto"/>
                <w:highlight w:val="none"/>
              </w:rPr>
            </w:pPr>
            <w:r>
              <w:rPr>
                <w:color w:val="auto"/>
                <w:highlight w:val="none"/>
              </w:rPr>
              <w:t>55</w:t>
            </w:r>
          </w:p>
        </w:tc>
      </w:tr>
      <w:tr w14:paraId="3F23BD1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7D24A325">
            <w:pPr>
              <w:pStyle w:val="41"/>
              <w:rPr>
                <w:color w:val="auto"/>
                <w:highlight w:val="none"/>
              </w:rPr>
            </w:pPr>
            <w:r>
              <w:rPr>
                <w:color w:val="auto"/>
                <w:highlight w:val="none"/>
              </w:rPr>
              <w:t>3</w:t>
            </w:r>
          </w:p>
        </w:tc>
        <w:tc>
          <w:tcPr>
            <w:tcW w:w="1663" w:type="pct"/>
            <w:tcBorders>
              <w:tl2br w:val="nil"/>
              <w:tr2bl w:val="nil"/>
            </w:tcBorders>
            <w:noWrap/>
            <w:vAlign w:val="center"/>
          </w:tcPr>
          <w:p w14:paraId="0193C1E6">
            <w:pPr>
              <w:pStyle w:val="41"/>
              <w:rPr>
                <w:color w:val="auto"/>
                <w:highlight w:val="none"/>
              </w:rPr>
            </w:pPr>
            <w:r>
              <w:rPr>
                <w:rFonts w:hint="eastAsia"/>
                <w:color w:val="auto"/>
                <w:highlight w:val="none"/>
              </w:rPr>
              <w:t>手烧热风炉鼓风机</w:t>
            </w:r>
          </w:p>
        </w:tc>
        <w:tc>
          <w:tcPr>
            <w:tcW w:w="1469" w:type="pct"/>
            <w:tcBorders>
              <w:tl2br w:val="nil"/>
              <w:tr2bl w:val="nil"/>
            </w:tcBorders>
            <w:vAlign w:val="center"/>
          </w:tcPr>
          <w:p w14:paraId="1C8246FC">
            <w:pPr>
              <w:pStyle w:val="41"/>
              <w:rPr>
                <w:color w:val="auto"/>
                <w:highlight w:val="none"/>
              </w:rPr>
            </w:pPr>
          </w:p>
        </w:tc>
        <w:tc>
          <w:tcPr>
            <w:tcW w:w="458" w:type="pct"/>
            <w:tcBorders>
              <w:tl2br w:val="nil"/>
              <w:tr2bl w:val="nil"/>
            </w:tcBorders>
            <w:noWrap/>
            <w:vAlign w:val="center"/>
          </w:tcPr>
          <w:p w14:paraId="4CE9EE64">
            <w:pPr>
              <w:pStyle w:val="41"/>
              <w:rPr>
                <w:color w:val="auto"/>
                <w:highlight w:val="none"/>
              </w:rPr>
            </w:pPr>
            <w:r>
              <w:rPr>
                <w:color w:val="auto"/>
                <w:highlight w:val="none"/>
              </w:rPr>
              <w:t>2</w:t>
            </w:r>
          </w:p>
        </w:tc>
        <w:tc>
          <w:tcPr>
            <w:tcW w:w="1029" w:type="pct"/>
            <w:tcBorders>
              <w:tl2br w:val="nil"/>
              <w:tr2bl w:val="nil"/>
            </w:tcBorders>
            <w:noWrap/>
            <w:vAlign w:val="center"/>
          </w:tcPr>
          <w:p w14:paraId="456B4430">
            <w:pPr>
              <w:pStyle w:val="41"/>
              <w:rPr>
                <w:color w:val="auto"/>
                <w:highlight w:val="none"/>
              </w:rPr>
            </w:pPr>
            <w:r>
              <w:rPr>
                <w:color w:val="auto"/>
                <w:highlight w:val="none"/>
              </w:rPr>
              <w:t>11</w:t>
            </w:r>
          </w:p>
        </w:tc>
      </w:tr>
      <w:tr w14:paraId="6443A1B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591A7C37">
            <w:pPr>
              <w:pStyle w:val="41"/>
              <w:rPr>
                <w:color w:val="auto"/>
                <w:highlight w:val="none"/>
              </w:rPr>
            </w:pPr>
            <w:r>
              <w:rPr>
                <w:color w:val="auto"/>
                <w:highlight w:val="none"/>
              </w:rPr>
              <w:t>4</w:t>
            </w:r>
          </w:p>
        </w:tc>
        <w:tc>
          <w:tcPr>
            <w:tcW w:w="1663" w:type="pct"/>
            <w:tcBorders>
              <w:tl2br w:val="nil"/>
              <w:tr2bl w:val="nil"/>
            </w:tcBorders>
            <w:noWrap/>
            <w:vAlign w:val="center"/>
          </w:tcPr>
          <w:p w14:paraId="681C27CA">
            <w:pPr>
              <w:pStyle w:val="41"/>
              <w:rPr>
                <w:color w:val="auto"/>
                <w:highlight w:val="none"/>
              </w:rPr>
            </w:pPr>
            <w:r>
              <w:rPr>
                <w:rFonts w:hint="eastAsia"/>
                <w:color w:val="auto"/>
                <w:highlight w:val="none"/>
              </w:rPr>
              <w:t>冷却滚筒</w:t>
            </w:r>
          </w:p>
        </w:tc>
        <w:tc>
          <w:tcPr>
            <w:tcW w:w="1469" w:type="pct"/>
            <w:tcBorders>
              <w:tl2br w:val="nil"/>
              <w:tr2bl w:val="nil"/>
            </w:tcBorders>
            <w:vAlign w:val="center"/>
          </w:tcPr>
          <w:p w14:paraId="1B2F5A1C">
            <w:pPr>
              <w:pStyle w:val="41"/>
              <w:rPr>
                <w:color w:val="auto"/>
                <w:highlight w:val="none"/>
              </w:rPr>
            </w:pPr>
            <w:r>
              <w:rPr>
                <w:color w:val="auto"/>
                <w:highlight w:val="none"/>
              </w:rPr>
              <w:t>GTHL1312</w:t>
            </w:r>
          </w:p>
        </w:tc>
        <w:tc>
          <w:tcPr>
            <w:tcW w:w="458" w:type="pct"/>
            <w:tcBorders>
              <w:tl2br w:val="nil"/>
              <w:tr2bl w:val="nil"/>
            </w:tcBorders>
            <w:noWrap/>
            <w:vAlign w:val="center"/>
          </w:tcPr>
          <w:p w14:paraId="02A0A2F7">
            <w:pPr>
              <w:pStyle w:val="41"/>
              <w:rPr>
                <w:color w:val="auto"/>
                <w:highlight w:val="none"/>
              </w:rPr>
            </w:pPr>
            <w:r>
              <w:rPr>
                <w:color w:val="auto"/>
                <w:highlight w:val="none"/>
              </w:rPr>
              <w:t>1</w:t>
            </w:r>
          </w:p>
        </w:tc>
        <w:tc>
          <w:tcPr>
            <w:tcW w:w="1029" w:type="pct"/>
            <w:tcBorders>
              <w:tl2br w:val="nil"/>
              <w:tr2bl w:val="nil"/>
            </w:tcBorders>
            <w:noWrap/>
            <w:vAlign w:val="center"/>
          </w:tcPr>
          <w:p w14:paraId="67989972">
            <w:pPr>
              <w:pStyle w:val="41"/>
              <w:rPr>
                <w:color w:val="auto"/>
                <w:highlight w:val="none"/>
              </w:rPr>
            </w:pPr>
            <w:r>
              <w:rPr>
                <w:color w:val="auto"/>
                <w:highlight w:val="none"/>
              </w:rPr>
              <w:t>15</w:t>
            </w:r>
          </w:p>
        </w:tc>
      </w:tr>
      <w:tr w14:paraId="1921FB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119F4777">
            <w:pPr>
              <w:pStyle w:val="41"/>
              <w:rPr>
                <w:color w:val="auto"/>
                <w:highlight w:val="none"/>
              </w:rPr>
            </w:pPr>
            <w:r>
              <w:rPr>
                <w:color w:val="auto"/>
                <w:highlight w:val="none"/>
              </w:rPr>
              <w:t>5</w:t>
            </w:r>
          </w:p>
        </w:tc>
        <w:tc>
          <w:tcPr>
            <w:tcW w:w="1663" w:type="pct"/>
            <w:tcBorders>
              <w:tl2br w:val="nil"/>
              <w:tr2bl w:val="nil"/>
            </w:tcBorders>
            <w:noWrap/>
            <w:vAlign w:val="center"/>
          </w:tcPr>
          <w:p w14:paraId="2685683D">
            <w:pPr>
              <w:pStyle w:val="41"/>
              <w:rPr>
                <w:color w:val="auto"/>
                <w:highlight w:val="none"/>
              </w:rPr>
            </w:pPr>
            <w:r>
              <w:rPr>
                <w:rFonts w:hint="eastAsia"/>
                <w:color w:val="auto"/>
                <w:highlight w:val="none"/>
              </w:rPr>
              <w:t>冷却循环水泵</w:t>
            </w:r>
          </w:p>
        </w:tc>
        <w:tc>
          <w:tcPr>
            <w:tcW w:w="1469" w:type="pct"/>
            <w:tcBorders>
              <w:tl2br w:val="nil"/>
              <w:tr2bl w:val="nil"/>
            </w:tcBorders>
            <w:vAlign w:val="center"/>
          </w:tcPr>
          <w:p w14:paraId="66FCB4FD">
            <w:pPr>
              <w:pStyle w:val="41"/>
              <w:rPr>
                <w:color w:val="auto"/>
                <w:highlight w:val="none"/>
              </w:rPr>
            </w:pPr>
            <w:r>
              <w:rPr>
                <w:color w:val="auto"/>
                <w:highlight w:val="none"/>
              </w:rPr>
              <w:t>Q=100</w:t>
            </w:r>
            <w:r>
              <w:rPr>
                <w:rFonts w:hint="eastAsia"/>
                <w:color w:val="auto"/>
                <w:highlight w:val="none"/>
                <w:lang w:val="en-US" w:eastAsia="zh-CN"/>
              </w:rPr>
              <w:t>m</w:t>
            </w:r>
            <w:r>
              <w:rPr>
                <w:rFonts w:hint="eastAsia"/>
                <w:color w:val="auto"/>
                <w:highlight w:val="none"/>
                <w:vertAlign w:val="superscript"/>
                <w:lang w:val="en-US" w:eastAsia="zh-CN"/>
              </w:rPr>
              <w:t>3</w:t>
            </w:r>
            <w:r>
              <w:rPr>
                <w:color w:val="auto"/>
                <w:highlight w:val="none"/>
              </w:rPr>
              <w:t>/h</w:t>
            </w:r>
            <w:r>
              <w:rPr>
                <w:rFonts w:hint="eastAsia"/>
                <w:color w:val="auto"/>
                <w:highlight w:val="none"/>
                <w:lang w:eastAsia="zh-CN"/>
              </w:rPr>
              <w:t>,</w:t>
            </w:r>
            <w:r>
              <w:rPr>
                <w:rFonts w:hint="eastAsia"/>
                <w:color w:val="auto"/>
                <w:highlight w:val="none"/>
              </w:rPr>
              <w:t xml:space="preserve"> </w:t>
            </w:r>
            <w:r>
              <w:rPr>
                <w:color w:val="auto"/>
                <w:highlight w:val="none"/>
              </w:rPr>
              <w:t>H=32m</w:t>
            </w:r>
          </w:p>
        </w:tc>
        <w:tc>
          <w:tcPr>
            <w:tcW w:w="458" w:type="pct"/>
            <w:tcBorders>
              <w:tl2br w:val="nil"/>
              <w:tr2bl w:val="nil"/>
            </w:tcBorders>
            <w:noWrap/>
            <w:vAlign w:val="center"/>
          </w:tcPr>
          <w:p w14:paraId="07B83D08">
            <w:pPr>
              <w:pStyle w:val="41"/>
              <w:rPr>
                <w:color w:val="auto"/>
                <w:highlight w:val="none"/>
              </w:rPr>
            </w:pPr>
            <w:r>
              <w:rPr>
                <w:color w:val="auto"/>
                <w:highlight w:val="none"/>
              </w:rPr>
              <w:t>2</w:t>
            </w:r>
          </w:p>
        </w:tc>
        <w:tc>
          <w:tcPr>
            <w:tcW w:w="1029" w:type="pct"/>
            <w:tcBorders>
              <w:tl2br w:val="nil"/>
              <w:tr2bl w:val="nil"/>
            </w:tcBorders>
            <w:noWrap/>
            <w:vAlign w:val="center"/>
          </w:tcPr>
          <w:p w14:paraId="420A1DB2">
            <w:pPr>
              <w:pStyle w:val="41"/>
              <w:rPr>
                <w:color w:val="auto"/>
                <w:highlight w:val="none"/>
              </w:rPr>
            </w:pPr>
            <w:r>
              <w:rPr>
                <w:color w:val="auto"/>
                <w:highlight w:val="none"/>
              </w:rPr>
              <w:t>15</w:t>
            </w:r>
          </w:p>
        </w:tc>
      </w:tr>
      <w:tr w14:paraId="4334B2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47BCFBF0">
            <w:pPr>
              <w:pStyle w:val="41"/>
              <w:rPr>
                <w:color w:val="auto"/>
                <w:highlight w:val="none"/>
              </w:rPr>
            </w:pPr>
            <w:r>
              <w:rPr>
                <w:color w:val="auto"/>
                <w:highlight w:val="none"/>
              </w:rPr>
              <w:t>6</w:t>
            </w:r>
          </w:p>
        </w:tc>
        <w:tc>
          <w:tcPr>
            <w:tcW w:w="1663" w:type="pct"/>
            <w:tcBorders>
              <w:tl2br w:val="nil"/>
              <w:tr2bl w:val="nil"/>
            </w:tcBorders>
            <w:noWrap/>
            <w:vAlign w:val="center"/>
          </w:tcPr>
          <w:p w14:paraId="3819EF3E">
            <w:pPr>
              <w:pStyle w:val="41"/>
              <w:rPr>
                <w:color w:val="auto"/>
                <w:highlight w:val="none"/>
              </w:rPr>
            </w:pPr>
            <w:r>
              <w:rPr>
                <w:rFonts w:hint="eastAsia"/>
                <w:color w:val="auto"/>
                <w:highlight w:val="none"/>
              </w:rPr>
              <w:t>旋风除尘器</w:t>
            </w:r>
          </w:p>
        </w:tc>
        <w:tc>
          <w:tcPr>
            <w:tcW w:w="1469" w:type="pct"/>
            <w:tcBorders>
              <w:tl2br w:val="nil"/>
              <w:tr2bl w:val="nil"/>
            </w:tcBorders>
            <w:vAlign w:val="center"/>
          </w:tcPr>
          <w:p w14:paraId="55FBFB2F">
            <w:pPr>
              <w:pStyle w:val="41"/>
              <w:rPr>
                <w:color w:val="auto"/>
                <w:highlight w:val="none"/>
              </w:rPr>
            </w:pPr>
            <w:r>
              <w:rPr>
                <w:color w:val="auto"/>
                <w:highlight w:val="none"/>
              </w:rPr>
              <w:t>XLP-1600</w:t>
            </w:r>
          </w:p>
        </w:tc>
        <w:tc>
          <w:tcPr>
            <w:tcW w:w="458" w:type="pct"/>
            <w:tcBorders>
              <w:tl2br w:val="nil"/>
              <w:tr2bl w:val="nil"/>
            </w:tcBorders>
            <w:noWrap/>
            <w:vAlign w:val="center"/>
          </w:tcPr>
          <w:p w14:paraId="3EE015DD">
            <w:pPr>
              <w:pStyle w:val="41"/>
              <w:rPr>
                <w:color w:val="auto"/>
                <w:highlight w:val="none"/>
              </w:rPr>
            </w:pPr>
            <w:r>
              <w:rPr>
                <w:color w:val="auto"/>
                <w:highlight w:val="none"/>
              </w:rPr>
              <w:t>1</w:t>
            </w:r>
          </w:p>
        </w:tc>
        <w:tc>
          <w:tcPr>
            <w:tcW w:w="1029" w:type="pct"/>
            <w:tcBorders>
              <w:tl2br w:val="nil"/>
              <w:tr2bl w:val="nil"/>
            </w:tcBorders>
            <w:noWrap/>
            <w:vAlign w:val="center"/>
          </w:tcPr>
          <w:p w14:paraId="35B38651">
            <w:pPr>
              <w:pStyle w:val="41"/>
              <w:rPr>
                <w:color w:val="auto"/>
                <w:highlight w:val="none"/>
              </w:rPr>
            </w:pPr>
          </w:p>
        </w:tc>
      </w:tr>
      <w:tr w14:paraId="4590F13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57BA9471">
            <w:pPr>
              <w:pStyle w:val="41"/>
              <w:rPr>
                <w:color w:val="auto"/>
                <w:highlight w:val="none"/>
              </w:rPr>
            </w:pPr>
            <w:r>
              <w:rPr>
                <w:color w:val="auto"/>
                <w:highlight w:val="none"/>
              </w:rPr>
              <w:t>7</w:t>
            </w:r>
          </w:p>
        </w:tc>
        <w:tc>
          <w:tcPr>
            <w:tcW w:w="1663" w:type="pct"/>
            <w:tcBorders>
              <w:tl2br w:val="nil"/>
              <w:tr2bl w:val="nil"/>
            </w:tcBorders>
            <w:noWrap/>
            <w:vAlign w:val="center"/>
          </w:tcPr>
          <w:p w14:paraId="2BDD9655">
            <w:pPr>
              <w:pStyle w:val="41"/>
              <w:rPr>
                <w:color w:val="auto"/>
                <w:highlight w:val="none"/>
              </w:rPr>
            </w:pPr>
            <w:r>
              <w:rPr>
                <w:rFonts w:hint="eastAsia"/>
                <w:color w:val="auto"/>
                <w:highlight w:val="none"/>
              </w:rPr>
              <w:t>水洗脱硫除尘装置</w:t>
            </w:r>
          </w:p>
        </w:tc>
        <w:tc>
          <w:tcPr>
            <w:tcW w:w="1469" w:type="pct"/>
            <w:tcBorders>
              <w:tl2br w:val="nil"/>
              <w:tr2bl w:val="nil"/>
            </w:tcBorders>
            <w:vAlign w:val="center"/>
          </w:tcPr>
          <w:p w14:paraId="6EDD0834">
            <w:pPr>
              <w:pStyle w:val="41"/>
              <w:rPr>
                <w:color w:val="auto"/>
                <w:highlight w:val="none"/>
              </w:rPr>
            </w:pPr>
            <w:r>
              <w:rPr>
                <w:color w:val="auto"/>
                <w:highlight w:val="none"/>
              </w:rPr>
              <w:t>GLY1840</w:t>
            </w:r>
          </w:p>
        </w:tc>
        <w:tc>
          <w:tcPr>
            <w:tcW w:w="458" w:type="pct"/>
            <w:tcBorders>
              <w:tl2br w:val="nil"/>
              <w:tr2bl w:val="nil"/>
            </w:tcBorders>
            <w:noWrap/>
            <w:vAlign w:val="center"/>
          </w:tcPr>
          <w:p w14:paraId="30909E1D">
            <w:pPr>
              <w:pStyle w:val="41"/>
              <w:rPr>
                <w:color w:val="auto"/>
                <w:highlight w:val="none"/>
              </w:rPr>
            </w:pPr>
            <w:r>
              <w:rPr>
                <w:color w:val="auto"/>
                <w:highlight w:val="none"/>
              </w:rPr>
              <w:t>1</w:t>
            </w:r>
          </w:p>
        </w:tc>
        <w:tc>
          <w:tcPr>
            <w:tcW w:w="1029" w:type="pct"/>
            <w:tcBorders>
              <w:tl2br w:val="nil"/>
              <w:tr2bl w:val="nil"/>
            </w:tcBorders>
            <w:noWrap/>
            <w:vAlign w:val="center"/>
          </w:tcPr>
          <w:p w14:paraId="370E95AD">
            <w:pPr>
              <w:pStyle w:val="41"/>
              <w:rPr>
                <w:color w:val="auto"/>
                <w:highlight w:val="none"/>
              </w:rPr>
            </w:pPr>
          </w:p>
        </w:tc>
      </w:tr>
      <w:tr w14:paraId="4F3A65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64822C2F">
            <w:pPr>
              <w:pStyle w:val="41"/>
              <w:rPr>
                <w:color w:val="auto"/>
                <w:highlight w:val="none"/>
              </w:rPr>
            </w:pPr>
            <w:r>
              <w:rPr>
                <w:color w:val="auto"/>
                <w:highlight w:val="none"/>
              </w:rPr>
              <w:t>8</w:t>
            </w:r>
          </w:p>
        </w:tc>
        <w:tc>
          <w:tcPr>
            <w:tcW w:w="1663" w:type="pct"/>
            <w:tcBorders>
              <w:tl2br w:val="nil"/>
              <w:tr2bl w:val="nil"/>
            </w:tcBorders>
            <w:noWrap/>
            <w:vAlign w:val="center"/>
          </w:tcPr>
          <w:p w14:paraId="70E5EE2C">
            <w:pPr>
              <w:pStyle w:val="41"/>
              <w:rPr>
                <w:color w:val="auto"/>
                <w:highlight w:val="none"/>
              </w:rPr>
            </w:pPr>
            <w:r>
              <w:rPr>
                <w:rFonts w:hint="eastAsia"/>
                <w:color w:val="auto"/>
                <w:highlight w:val="none"/>
              </w:rPr>
              <w:t>二级水洗脱硫除尘装置</w:t>
            </w:r>
          </w:p>
        </w:tc>
        <w:tc>
          <w:tcPr>
            <w:tcW w:w="1469" w:type="pct"/>
            <w:tcBorders>
              <w:tl2br w:val="nil"/>
              <w:tr2bl w:val="nil"/>
            </w:tcBorders>
            <w:vAlign w:val="center"/>
          </w:tcPr>
          <w:p w14:paraId="3FEF0BCA">
            <w:pPr>
              <w:pStyle w:val="41"/>
              <w:rPr>
                <w:color w:val="auto"/>
                <w:highlight w:val="none"/>
              </w:rPr>
            </w:pPr>
            <w:r>
              <w:rPr>
                <w:color w:val="auto"/>
                <w:highlight w:val="none"/>
              </w:rPr>
              <w:t>GLY1540</w:t>
            </w:r>
          </w:p>
        </w:tc>
        <w:tc>
          <w:tcPr>
            <w:tcW w:w="458" w:type="pct"/>
            <w:tcBorders>
              <w:tl2br w:val="nil"/>
              <w:tr2bl w:val="nil"/>
            </w:tcBorders>
            <w:noWrap/>
            <w:vAlign w:val="center"/>
          </w:tcPr>
          <w:p w14:paraId="50A41D52">
            <w:pPr>
              <w:pStyle w:val="41"/>
              <w:rPr>
                <w:color w:val="auto"/>
                <w:highlight w:val="none"/>
              </w:rPr>
            </w:pPr>
            <w:r>
              <w:rPr>
                <w:color w:val="auto"/>
                <w:highlight w:val="none"/>
              </w:rPr>
              <w:t>1</w:t>
            </w:r>
          </w:p>
        </w:tc>
        <w:tc>
          <w:tcPr>
            <w:tcW w:w="1029" w:type="pct"/>
            <w:tcBorders>
              <w:tl2br w:val="nil"/>
              <w:tr2bl w:val="nil"/>
            </w:tcBorders>
            <w:noWrap/>
            <w:vAlign w:val="center"/>
          </w:tcPr>
          <w:p w14:paraId="4305C3EE">
            <w:pPr>
              <w:pStyle w:val="41"/>
              <w:rPr>
                <w:color w:val="auto"/>
                <w:highlight w:val="none"/>
              </w:rPr>
            </w:pPr>
          </w:p>
        </w:tc>
      </w:tr>
      <w:tr w14:paraId="633818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0E659849">
            <w:pPr>
              <w:pStyle w:val="41"/>
              <w:rPr>
                <w:color w:val="auto"/>
                <w:highlight w:val="none"/>
              </w:rPr>
            </w:pPr>
            <w:r>
              <w:rPr>
                <w:color w:val="auto"/>
                <w:highlight w:val="none"/>
              </w:rPr>
              <w:t>9</w:t>
            </w:r>
          </w:p>
        </w:tc>
        <w:tc>
          <w:tcPr>
            <w:tcW w:w="1663" w:type="pct"/>
            <w:tcBorders>
              <w:tl2br w:val="nil"/>
              <w:tr2bl w:val="nil"/>
            </w:tcBorders>
            <w:vAlign w:val="center"/>
          </w:tcPr>
          <w:p w14:paraId="6A8FD1CE">
            <w:pPr>
              <w:pStyle w:val="41"/>
              <w:rPr>
                <w:color w:val="auto"/>
                <w:highlight w:val="none"/>
              </w:rPr>
            </w:pPr>
            <w:r>
              <w:rPr>
                <w:rFonts w:hint="eastAsia"/>
                <w:color w:val="auto"/>
                <w:highlight w:val="none"/>
              </w:rPr>
              <w:t>钛中矿精磁选机</w:t>
            </w:r>
          </w:p>
        </w:tc>
        <w:tc>
          <w:tcPr>
            <w:tcW w:w="1469" w:type="pct"/>
            <w:tcBorders>
              <w:tl2br w:val="nil"/>
              <w:tr2bl w:val="nil"/>
            </w:tcBorders>
            <w:vAlign w:val="center"/>
          </w:tcPr>
          <w:p w14:paraId="2A70A8E6">
            <w:pPr>
              <w:pStyle w:val="41"/>
              <w:rPr>
                <w:color w:val="auto"/>
                <w:highlight w:val="none"/>
              </w:rPr>
            </w:pPr>
            <w:r>
              <w:rPr>
                <w:color w:val="auto"/>
                <w:highlight w:val="none"/>
              </w:rPr>
              <w:t>GCT0615</w:t>
            </w:r>
          </w:p>
        </w:tc>
        <w:tc>
          <w:tcPr>
            <w:tcW w:w="458" w:type="pct"/>
            <w:tcBorders>
              <w:tl2br w:val="nil"/>
              <w:tr2bl w:val="nil"/>
            </w:tcBorders>
            <w:noWrap/>
            <w:vAlign w:val="center"/>
          </w:tcPr>
          <w:p w14:paraId="3F0C49F5">
            <w:pPr>
              <w:pStyle w:val="41"/>
              <w:rPr>
                <w:color w:val="auto"/>
                <w:highlight w:val="none"/>
              </w:rPr>
            </w:pPr>
            <w:r>
              <w:rPr>
                <w:color w:val="auto"/>
                <w:highlight w:val="none"/>
              </w:rPr>
              <w:t>3</w:t>
            </w:r>
          </w:p>
        </w:tc>
        <w:tc>
          <w:tcPr>
            <w:tcW w:w="1029" w:type="pct"/>
            <w:tcBorders>
              <w:tl2br w:val="nil"/>
              <w:tr2bl w:val="nil"/>
            </w:tcBorders>
            <w:noWrap/>
            <w:vAlign w:val="center"/>
          </w:tcPr>
          <w:p w14:paraId="557E2401">
            <w:pPr>
              <w:pStyle w:val="41"/>
              <w:rPr>
                <w:color w:val="auto"/>
                <w:highlight w:val="none"/>
              </w:rPr>
            </w:pPr>
            <w:r>
              <w:rPr>
                <w:color w:val="auto"/>
                <w:highlight w:val="none"/>
              </w:rPr>
              <w:t>27.5</w:t>
            </w:r>
          </w:p>
        </w:tc>
      </w:tr>
      <w:tr w14:paraId="37E49A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7A1858CD">
            <w:pPr>
              <w:pStyle w:val="41"/>
              <w:rPr>
                <w:color w:val="auto"/>
                <w:highlight w:val="none"/>
              </w:rPr>
            </w:pPr>
            <w:r>
              <w:rPr>
                <w:color w:val="auto"/>
                <w:highlight w:val="none"/>
              </w:rPr>
              <w:t>10</w:t>
            </w:r>
          </w:p>
        </w:tc>
        <w:tc>
          <w:tcPr>
            <w:tcW w:w="1663" w:type="pct"/>
            <w:tcBorders>
              <w:tl2br w:val="nil"/>
              <w:tr2bl w:val="nil"/>
            </w:tcBorders>
            <w:noWrap/>
            <w:vAlign w:val="center"/>
          </w:tcPr>
          <w:p w14:paraId="13139F25">
            <w:pPr>
              <w:pStyle w:val="41"/>
              <w:rPr>
                <w:color w:val="auto"/>
                <w:highlight w:val="none"/>
              </w:rPr>
            </w:pPr>
            <w:r>
              <w:rPr>
                <w:rFonts w:hint="eastAsia"/>
                <w:color w:val="auto"/>
                <w:highlight w:val="none"/>
              </w:rPr>
              <w:t>皮带输送机</w:t>
            </w:r>
          </w:p>
        </w:tc>
        <w:tc>
          <w:tcPr>
            <w:tcW w:w="1469" w:type="pct"/>
            <w:tcBorders>
              <w:tl2br w:val="nil"/>
              <w:tr2bl w:val="nil"/>
            </w:tcBorders>
            <w:noWrap/>
            <w:vAlign w:val="center"/>
          </w:tcPr>
          <w:p w14:paraId="72CD0CDB">
            <w:pPr>
              <w:pStyle w:val="41"/>
              <w:rPr>
                <w:color w:val="auto"/>
                <w:highlight w:val="none"/>
              </w:rPr>
            </w:pPr>
            <w:r>
              <w:rPr>
                <w:color w:val="auto"/>
                <w:highlight w:val="none"/>
              </w:rPr>
              <w:t>B1000</w:t>
            </w:r>
          </w:p>
        </w:tc>
        <w:tc>
          <w:tcPr>
            <w:tcW w:w="458" w:type="pct"/>
            <w:tcBorders>
              <w:tl2br w:val="nil"/>
              <w:tr2bl w:val="nil"/>
            </w:tcBorders>
            <w:noWrap/>
            <w:vAlign w:val="center"/>
          </w:tcPr>
          <w:p w14:paraId="3F731329">
            <w:pPr>
              <w:pStyle w:val="41"/>
              <w:rPr>
                <w:color w:val="auto"/>
                <w:highlight w:val="none"/>
              </w:rPr>
            </w:pPr>
            <w:r>
              <w:rPr>
                <w:color w:val="auto"/>
                <w:highlight w:val="none"/>
              </w:rPr>
              <w:t>3</w:t>
            </w:r>
          </w:p>
        </w:tc>
        <w:tc>
          <w:tcPr>
            <w:tcW w:w="1029" w:type="pct"/>
            <w:tcBorders>
              <w:tl2br w:val="nil"/>
              <w:tr2bl w:val="nil"/>
            </w:tcBorders>
            <w:noWrap/>
            <w:vAlign w:val="center"/>
          </w:tcPr>
          <w:p w14:paraId="3CB2F16C">
            <w:pPr>
              <w:pStyle w:val="41"/>
              <w:rPr>
                <w:color w:val="auto"/>
                <w:highlight w:val="none"/>
              </w:rPr>
            </w:pPr>
            <w:r>
              <w:rPr>
                <w:color w:val="auto"/>
                <w:highlight w:val="none"/>
              </w:rPr>
              <w:t>11</w:t>
            </w:r>
          </w:p>
        </w:tc>
      </w:tr>
      <w:tr w14:paraId="2F55D3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5813406D">
            <w:pPr>
              <w:pStyle w:val="41"/>
              <w:rPr>
                <w:color w:val="auto"/>
                <w:highlight w:val="none"/>
              </w:rPr>
            </w:pPr>
            <w:r>
              <w:rPr>
                <w:color w:val="auto"/>
                <w:highlight w:val="none"/>
              </w:rPr>
              <w:t>11</w:t>
            </w:r>
          </w:p>
        </w:tc>
        <w:tc>
          <w:tcPr>
            <w:tcW w:w="1663" w:type="pct"/>
            <w:tcBorders>
              <w:tl2br w:val="nil"/>
              <w:tr2bl w:val="nil"/>
            </w:tcBorders>
            <w:noWrap/>
            <w:vAlign w:val="center"/>
          </w:tcPr>
          <w:p w14:paraId="759B77E7">
            <w:pPr>
              <w:pStyle w:val="41"/>
              <w:rPr>
                <w:color w:val="auto"/>
                <w:highlight w:val="none"/>
              </w:rPr>
            </w:pPr>
            <w:r>
              <w:rPr>
                <w:rFonts w:hint="eastAsia"/>
                <w:color w:val="auto"/>
                <w:highlight w:val="none"/>
              </w:rPr>
              <w:t>皮带输送机</w:t>
            </w:r>
          </w:p>
        </w:tc>
        <w:tc>
          <w:tcPr>
            <w:tcW w:w="1469" w:type="pct"/>
            <w:tcBorders>
              <w:tl2br w:val="nil"/>
              <w:tr2bl w:val="nil"/>
            </w:tcBorders>
            <w:noWrap/>
            <w:vAlign w:val="center"/>
          </w:tcPr>
          <w:p w14:paraId="6853BEBE">
            <w:pPr>
              <w:pStyle w:val="41"/>
              <w:rPr>
                <w:color w:val="auto"/>
                <w:highlight w:val="none"/>
              </w:rPr>
            </w:pPr>
            <w:r>
              <w:rPr>
                <w:color w:val="auto"/>
                <w:highlight w:val="none"/>
              </w:rPr>
              <w:t>B1200</w:t>
            </w:r>
          </w:p>
        </w:tc>
        <w:tc>
          <w:tcPr>
            <w:tcW w:w="458" w:type="pct"/>
            <w:tcBorders>
              <w:tl2br w:val="nil"/>
              <w:tr2bl w:val="nil"/>
            </w:tcBorders>
            <w:noWrap/>
            <w:vAlign w:val="center"/>
          </w:tcPr>
          <w:p w14:paraId="6FC97987">
            <w:pPr>
              <w:pStyle w:val="41"/>
              <w:rPr>
                <w:color w:val="auto"/>
                <w:highlight w:val="none"/>
              </w:rPr>
            </w:pPr>
            <w:r>
              <w:rPr>
                <w:color w:val="auto"/>
                <w:highlight w:val="none"/>
              </w:rPr>
              <w:t>2</w:t>
            </w:r>
          </w:p>
        </w:tc>
        <w:tc>
          <w:tcPr>
            <w:tcW w:w="1029" w:type="pct"/>
            <w:tcBorders>
              <w:tl2br w:val="nil"/>
              <w:tr2bl w:val="nil"/>
            </w:tcBorders>
            <w:noWrap/>
            <w:vAlign w:val="center"/>
          </w:tcPr>
          <w:p w14:paraId="1F482F93">
            <w:pPr>
              <w:pStyle w:val="41"/>
              <w:rPr>
                <w:color w:val="auto"/>
                <w:highlight w:val="none"/>
              </w:rPr>
            </w:pPr>
            <w:r>
              <w:rPr>
                <w:color w:val="auto"/>
                <w:highlight w:val="none"/>
              </w:rPr>
              <w:t>11</w:t>
            </w:r>
          </w:p>
        </w:tc>
      </w:tr>
      <w:tr w14:paraId="3ADBFF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0AADF811">
            <w:pPr>
              <w:pStyle w:val="41"/>
              <w:rPr>
                <w:color w:val="auto"/>
                <w:highlight w:val="none"/>
              </w:rPr>
            </w:pPr>
            <w:r>
              <w:rPr>
                <w:color w:val="auto"/>
                <w:highlight w:val="none"/>
              </w:rPr>
              <w:t>12</w:t>
            </w:r>
          </w:p>
        </w:tc>
        <w:tc>
          <w:tcPr>
            <w:tcW w:w="1663" w:type="pct"/>
            <w:tcBorders>
              <w:tl2br w:val="nil"/>
              <w:tr2bl w:val="nil"/>
            </w:tcBorders>
            <w:noWrap/>
            <w:vAlign w:val="center"/>
          </w:tcPr>
          <w:p w14:paraId="4F1266C9">
            <w:pPr>
              <w:pStyle w:val="41"/>
              <w:rPr>
                <w:color w:val="auto"/>
                <w:highlight w:val="none"/>
              </w:rPr>
            </w:pPr>
            <w:r>
              <w:rPr>
                <w:rFonts w:hint="eastAsia"/>
                <w:color w:val="auto"/>
                <w:highlight w:val="none"/>
              </w:rPr>
              <w:t>皮带输送机</w:t>
            </w:r>
          </w:p>
        </w:tc>
        <w:tc>
          <w:tcPr>
            <w:tcW w:w="1469" w:type="pct"/>
            <w:tcBorders>
              <w:tl2br w:val="nil"/>
              <w:tr2bl w:val="nil"/>
            </w:tcBorders>
            <w:noWrap/>
            <w:vAlign w:val="center"/>
          </w:tcPr>
          <w:p w14:paraId="0FFE1938">
            <w:pPr>
              <w:pStyle w:val="41"/>
              <w:rPr>
                <w:color w:val="auto"/>
                <w:highlight w:val="none"/>
              </w:rPr>
            </w:pPr>
            <w:r>
              <w:rPr>
                <w:color w:val="auto"/>
                <w:highlight w:val="none"/>
              </w:rPr>
              <w:t>B1200</w:t>
            </w:r>
          </w:p>
        </w:tc>
        <w:tc>
          <w:tcPr>
            <w:tcW w:w="458" w:type="pct"/>
            <w:tcBorders>
              <w:tl2br w:val="nil"/>
              <w:tr2bl w:val="nil"/>
            </w:tcBorders>
            <w:noWrap/>
            <w:vAlign w:val="center"/>
          </w:tcPr>
          <w:p w14:paraId="221A37E9">
            <w:pPr>
              <w:pStyle w:val="41"/>
              <w:rPr>
                <w:color w:val="auto"/>
                <w:highlight w:val="none"/>
              </w:rPr>
            </w:pPr>
            <w:r>
              <w:rPr>
                <w:color w:val="auto"/>
                <w:highlight w:val="none"/>
              </w:rPr>
              <w:t>3</w:t>
            </w:r>
          </w:p>
        </w:tc>
        <w:tc>
          <w:tcPr>
            <w:tcW w:w="1029" w:type="pct"/>
            <w:tcBorders>
              <w:tl2br w:val="nil"/>
              <w:tr2bl w:val="nil"/>
            </w:tcBorders>
            <w:noWrap/>
            <w:vAlign w:val="center"/>
          </w:tcPr>
          <w:p w14:paraId="62DFB2D2">
            <w:pPr>
              <w:pStyle w:val="41"/>
              <w:rPr>
                <w:color w:val="auto"/>
                <w:highlight w:val="none"/>
              </w:rPr>
            </w:pPr>
            <w:r>
              <w:rPr>
                <w:color w:val="auto"/>
                <w:highlight w:val="none"/>
              </w:rPr>
              <w:t>22</w:t>
            </w:r>
          </w:p>
        </w:tc>
      </w:tr>
      <w:tr w14:paraId="07F7E6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l2br w:val="nil"/>
              <w:tr2bl w:val="nil"/>
            </w:tcBorders>
            <w:noWrap/>
            <w:vAlign w:val="center"/>
          </w:tcPr>
          <w:p w14:paraId="24E889B7">
            <w:pPr>
              <w:pStyle w:val="41"/>
              <w:rPr>
                <w:color w:val="auto"/>
                <w:highlight w:val="none"/>
              </w:rPr>
            </w:pPr>
            <w:r>
              <w:rPr>
                <w:rFonts w:hint="eastAsia"/>
                <w:color w:val="auto"/>
                <w:highlight w:val="none"/>
              </w:rPr>
              <w:t>尾矿干排</w:t>
            </w:r>
          </w:p>
        </w:tc>
      </w:tr>
      <w:tr w14:paraId="164A77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4C5C5992">
            <w:pPr>
              <w:pStyle w:val="41"/>
              <w:rPr>
                <w:color w:val="auto"/>
                <w:highlight w:val="none"/>
              </w:rPr>
            </w:pPr>
            <w:r>
              <w:rPr>
                <w:rFonts w:hint="eastAsia"/>
                <w:color w:val="auto"/>
                <w:highlight w:val="none"/>
              </w:rPr>
              <w:t>1</w:t>
            </w:r>
          </w:p>
        </w:tc>
        <w:tc>
          <w:tcPr>
            <w:tcW w:w="1663" w:type="pct"/>
            <w:tcBorders>
              <w:tl2br w:val="nil"/>
              <w:tr2bl w:val="nil"/>
            </w:tcBorders>
            <w:noWrap/>
            <w:vAlign w:val="center"/>
          </w:tcPr>
          <w:p w14:paraId="0DE51F9E">
            <w:pPr>
              <w:pStyle w:val="41"/>
              <w:rPr>
                <w:color w:val="auto"/>
                <w:highlight w:val="none"/>
              </w:rPr>
            </w:pPr>
            <w:r>
              <w:rPr>
                <w:rFonts w:hint="eastAsia"/>
                <w:color w:val="auto"/>
                <w:highlight w:val="none"/>
              </w:rPr>
              <w:t>干排脱水筛一体机</w:t>
            </w:r>
          </w:p>
        </w:tc>
        <w:tc>
          <w:tcPr>
            <w:tcW w:w="1469" w:type="pct"/>
            <w:tcBorders>
              <w:tl2br w:val="nil"/>
              <w:tr2bl w:val="nil"/>
            </w:tcBorders>
            <w:noWrap/>
            <w:vAlign w:val="center"/>
          </w:tcPr>
          <w:p w14:paraId="29FAA141">
            <w:pPr>
              <w:pStyle w:val="41"/>
              <w:rPr>
                <w:color w:val="auto"/>
                <w:highlight w:val="none"/>
              </w:rPr>
            </w:pPr>
            <w:r>
              <w:rPr>
                <w:color w:val="auto"/>
                <w:highlight w:val="none"/>
              </w:rPr>
              <w:t>FJ350CB/3+TJX2461</w:t>
            </w:r>
          </w:p>
        </w:tc>
        <w:tc>
          <w:tcPr>
            <w:tcW w:w="458" w:type="pct"/>
            <w:tcBorders>
              <w:tl2br w:val="nil"/>
              <w:tr2bl w:val="nil"/>
            </w:tcBorders>
            <w:noWrap/>
            <w:vAlign w:val="center"/>
          </w:tcPr>
          <w:p w14:paraId="0F08FE94">
            <w:pPr>
              <w:pStyle w:val="41"/>
              <w:rPr>
                <w:color w:val="auto"/>
                <w:highlight w:val="none"/>
              </w:rPr>
            </w:pPr>
            <w:r>
              <w:rPr>
                <w:color w:val="auto"/>
                <w:highlight w:val="none"/>
              </w:rPr>
              <w:t>5</w:t>
            </w:r>
          </w:p>
        </w:tc>
        <w:tc>
          <w:tcPr>
            <w:tcW w:w="1029" w:type="pct"/>
            <w:tcBorders>
              <w:tl2br w:val="nil"/>
              <w:tr2bl w:val="nil"/>
            </w:tcBorders>
            <w:noWrap/>
            <w:vAlign w:val="center"/>
          </w:tcPr>
          <w:p w14:paraId="671B1D93">
            <w:pPr>
              <w:pStyle w:val="41"/>
              <w:rPr>
                <w:color w:val="auto"/>
                <w:highlight w:val="none"/>
              </w:rPr>
            </w:pPr>
            <w:r>
              <w:rPr>
                <w:color w:val="auto"/>
                <w:highlight w:val="none"/>
              </w:rPr>
              <w:t>85</w:t>
            </w:r>
          </w:p>
        </w:tc>
      </w:tr>
      <w:tr w14:paraId="6A6064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41E5C6A8">
            <w:pPr>
              <w:pStyle w:val="41"/>
              <w:rPr>
                <w:color w:val="auto"/>
                <w:highlight w:val="none"/>
              </w:rPr>
            </w:pPr>
            <w:r>
              <w:rPr>
                <w:rFonts w:hint="eastAsia"/>
                <w:color w:val="auto"/>
                <w:highlight w:val="none"/>
              </w:rPr>
              <w:t>2</w:t>
            </w:r>
          </w:p>
        </w:tc>
        <w:tc>
          <w:tcPr>
            <w:tcW w:w="1663" w:type="pct"/>
            <w:tcBorders>
              <w:tl2br w:val="nil"/>
              <w:tr2bl w:val="nil"/>
            </w:tcBorders>
            <w:noWrap/>
            <w:vAlign w:val="center"/>
          </w:tcPr>
          <w:p w14:paraId="270305A8">
            <w:pPr>
              <w:pStyle w:val="41"/>
              <w:rPr>
                <w:color w:val="auto"/>
                <w:highlight w:val="none"/>
              </w:rPr>
            </w:pPr>
            <w:r>
              <w:rPr>
                <w:rFonts w:hint="eastAsia"/>
                <w:color w:val="auto"/>
                <w:highlight w:val="none"/>
              </w:rPr>
              <w:t>斜板浓密机</w:t>
            </w:r>
          </w:p>
        </w:tc>
        <w:tc>
          <w:tcPr>
            <w:tcW w:w="1469" w:type="pct"/>
            <w:tcBorders>
              <w:tl2br w:val="nil"/>
              <w:tr2bl w:val="nil"/>
            </w:tcBorders>
            <w:noWrap/>
            <w:vAlign w:val="center"/>
          </w:tcPr>
          <w:p w14:paraId="39FCC3B7">
            <w:pPr>
              <w:pStyle w:val="41"/>
              <w:rPr>
                <w:color w:val="auto"/>
                <w:highlight w:val="none"/>
              </w:rPr>
            </w:pPr>
            <w:r>
              <w:rPr>
                <w:color w:val="auto"/>
                <w:highlight w:val="none"/>
              </w:rPr>
              <w:t>6000</w:t>
            </w:r>
            <w:r>
              <w:rPr>
                <w:rFonts w:hint="eastAsia"/>
                <w:color w:val="auto"/>
                <w:highlight w:val="none"/>
              </w:rPr>
              <w:t>㎡</w:t>
            </w:r>
          </w:p>
        </w:tc>
        <w:tc>
          <w:tcPr>
            <w:tcW w:w="458" w:type="pct"/>
            <w:tcBorders>
              <w:tl2br w:val="nil"/>
              <w:tr2bl w:val="nil"/>
            </w:tcBorders>
            <w:noWrap/>
            <w:vAlign w:val="center"/>
          </w:tcPr>
          <w:p w14:paraId="30ED1A79">
            <w:pPr>
              <w:pStyle w:val="41"/>
              <w:rPr>
                <w:color w:val="auto"/>
                <w:highlight w:val="none"/>
              </w:rPr>
            </w:pPr>
            <w:r>
              <w:rPr>
                <w:color w:val="auto"/>
                <w:highlight w:val="none"/>
              </w:rPr>
              <w:t>2</w:t>
            </w:r>
          </w:p>
        </w:tc>
        <w:tc>
          <w:tcPr>
            <w:tcW w:w="1029" w:type="pct"/>
            <w:tcBorders>
              <w:tl2br w:val="nil"/>
              <w:tr2bl w:val="nil"/>
            </w:tcBorders>
            <w:noWrap/>
            <w:vAlign w:val="center"/>
          </w:tcPr>
          <w:p w14:paraId="131D6961">
            <w:pPr>
              <w:pStyle w:val="41"/>
              <w:rPr>
                <w:color w:val="auto"/>
                <w:highlight w:val="none"/>
              </w:rPr>
            </w:pPr>
          </w:p>
        </w:tc>
      </w:tr>
      <w:tr w14:paraId="47AA712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0EF8F680">
            <w:pPr>
              <w:pStyle w:val="41"/>
              <w:rPr>
                <w:color w:val="auto"/>
                <w:highlight w:val="none"/>
              </w:rPr>
            </w:pPr>
            <w:r>
              <w:rPr>
                <w:rFonts w:hint="eastAsia"/>
                <w:color w:val="auto"/>
                <w:highlight w:val="none"/>
              </w:rPr>
              <w:t>3</w:t>
            </w:r>
          </w:p>
        </w:tc>
        <w:tc>
          <w:tcPr>
            <w:tcW w:w="1663" w:type="pct"/>
            <w:tcBorders>
              <w:tl2br w:val="nil"/>
              <w:tr2bl w:val="nil"/>
            </w:tcBorders>
            <w:noWrap/>
            <w:vAlign w:val="center"/>
          </w:tcPr>
          <w:p w14:paraId="001544A0">
            <w:pPr>
              <w:pStyle w:val="41"/>
              <w:rPr>
                <w:color w:val="auto"/>
                <w:highlight w:val="none"/>
              </w:rPr>
            </w:pPr>
            <w:r>
              <w:rPr>
                <w:rFonts w:hint="eastAsia"/>
                <w:color w:val="auto"/>
                <w:highlight w:val="none"/>
              </w:rPr>
              <w:t>高效耙式浓密 机</w:t>
            </w:r>
          </w:p>
        </w:tc>
        <w:tc>
          <w:tcPr>
            <w:tcW w:w="1469" w:type="pct"/>
            <w:tcBorders>
              <w:tl2br w:val="nil"/>
              <w:tr2bl w:val="nil"/>
            </w:tcBorders>
            <w:noWrap/>
            <w:vAlign w:val="center"/>
          </w:tcPr>
          <w:p w14:paraId="4AF66379">
            <w:pPr>
              <w:pStyle w:val="41"/>
              <w:rPr>
                <w:color w:val="auto"/>
                <w:highlight w:val="none"/>
              </w:rPr>
            </w:pPr>
            <w:r>
              <w:rPr>
                <w:color w:val="auto"/>
                <w:highlight w:val="none"/>
              </w:rPr>
              <w:t>NZY-22G</w:t>
            </w:r>
          </w:p>
        </w:tc>
        <w:tc>
          <w:tcPr>
            <w:tcW w:w="458" w:type="pct"/>
            <w:tcBorders>
              <w:tl2br w:val="nil"/>
              <w:tr2bl w:val="nil"/>
            </w:tcBorders>
            <w:noWrap/>
            <w:vAlign w:val="center"/>
          </w:tcPr>
          <w:p w14:paraId="6952FF62">
            <w:pPr>
              <w:pStyle w:val="41"/>
              <w:rPr>
                <w:color w:val="auto"/>
                <w:highlight w:val="none"/>
              </w:rPr>
            </w:pPr>
            <w:r>
              <w:rPr>
                <w:color w:val="auto"/>
                <w:highlight w:val="none"/>
              </w:rPr>
              <w:t>1</w:t>
            </w:r>
          </w:p>
        </w:tc>
        <w:tc>
          <w:tcPr>
            <w:tcW w:w="1029" w:type="pct"/>
            <w:tcBorders>
              <w:tl2br w:val="nil"/>
              <w:tr2bl w:val="nil"/>
            </w:tcBorders>
            <w:noWrap/>
            <w:vAlign w:val="center"/>
          </w:tcPr>
          <w:p w14:paraId="301C45B1">
            <w:pPr>
              <w:pStyle w:val="41"/>
              <w:rPr>
                <w:color w:val="auto"/>
                <w:highlight w:val="none"/>
              </w:rPr>
            </w:pPr>
            <w:r>
              <w:rPr>
                <w:color w:val="auto"/>
                <w:highlight w:val="none"/>
              </w:rPr>
              <w:t>10.5</w:t>
            </w:r>
          </w:p>
        </w:tc>
      </w:tr>
      <w:tr w14:paraId="2265A4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70C343BF">
            <w:pPr>
              <w:pStyle w:val="41"/>
              <w:rPr>
                <w:color w:val="auto"/>
                <w:highlight w:val="none"/>
              </w:rPr>
            </w:pPr>
            <w:r>
              <w:rPr>
                <w:rFonts w:hint="eastAsia"/>
                <w:color w:val="auto"/>
                <w:highlight w:val="none"/>
              </w:rPr>
              <w:t>4</w:t>
            </w:r>
          </w:p>
        </w:tc>
        <w:tc>
          <w:tcPr>
            <w:tcW w:w="1663" w:type="pct"/>
            <w:tcBorders>
              <w:tl2br w:val="nil"/>
              <w:tr2bl w:val="nil"/>
            </w:tcBorders>
            <w:noWrap/>
            <w:vAlign w:val="center"/>
          </w:tcPr>
          <w:p w14:paraId="0E0AF625">
            <w:pPr>
              <w:pStyle w:val="41"/>
              <w:rPr>
                <w:color w:val="auto"/>
                <w:highlight w:val="none"/>
              </w:rPr>
            </w:pPr>
            <w:r>
              <w:rPr>
                <w:rFonts w:hint="eastAsia"/>
                <w:color w:val="auto"/>
                <w:highlight w:val="none"/>
              </w:rPr>
              <w:t>带式压滤机</w:t>
            </w:r>
          </w:p>
        </w:tc>
        <w:tc>
          <w:tcPr>
            <w:tcW w:w="1469" w:type="pct"/>
            <w:tcBorders>
              <w:tl2br w:val="nil"/>
              <w:tr2bl w:val="nil"/>
            </w:tcBorders>
            <w:noWrap/>
            <w:vAlign w:val="center"/>
          </w:tcPr>
          <w:p w14:paraId="55919161">
            <w:pPr>
              <w:pStyle w:val="41"/>
              <w:rPr>
                <w:color w:val="auto"/>
                <w:highlight w:val="none"/>
              </w:rPr>
            </w:pPr>
            <w:r>
              <w:rPr>
                <w:color w:val="auto"/>
                <w:highlight w:val="none"/>
              </w:rPr>
              <w:t>DYQN3500WP1F</w:t>
            </w:r>
          </w:p>
        </w:tc>
        <w:tc>
          <w:tcPr>
            <w:tcW w:w="458" w:type="pct"/>
            <w:tcBorders>
              <w:tl2br w:val="nil"/>
              <w:tr2bl w:val="nil"/>
            </w:tcBorders>
            <w:noWrap/>
            <w:vAlign w:val="center"/>
          </w:tcPr>
          <w:p w14:paraId="4C8308F5">
            <w:pPr>
              <w:pStyle w:val="41"/>
              <w:rPr>
                <w:color w:val="auto"/>
                <w:highlight w:val="none"/>
              </w:rPr>
            </w:pPr>
            <w:r>
              <w:rPr>
                <w:color w:val="auto"/>
                <w:highlight w:val="none"/>
              </w:rPr>
              <w:t>14</w:t>
            </w:r>
          </w:p>
        </w:tc>
        <w:tc>
          <w:tcPr>
            <w:tcW w:w="1029" w:type="pct"/>
            <w:tcBorders>
              <w:tl2br w:val="nil"/>
              <w:tr2bl w:val="nil"/>
            </w:tcBorders>
            <w:noWrap/>
            <w:vAlign w:val="center"/>
          </w:tcPr>
          <w:p w14:paraId="59FB8D39">
            <w:pPr>
              <w:pStyle w:val="41"/>
              <w:rPr>
                <w:color w:val="auto"/>
                <w:highlight w:val="none"/>
              </w:rPr>
            </w:pPr>
            <w:r>
              <w:rPr>
                <w:rFonts w:hint="eastAsia"/>
                <w:color w:val="auto"/>
                <w:highlight w:val="none"/>
              </w:rPr>
              <w:t>50</w:t>
            </w:r>
          </w:p>
        </w:tc>
      </w:tr>
      <w:tr w14:paraId="1A837A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379" w:type="pct"/>
            <w:tcBorders>
              <w:tl2br w:val="nil"/>
              <w:tr2bl w:val="nil"/>
            </w:tcBorders>
            <w:noWrap/>
            <w:vAlign w:val="center"/>
          </w:tcPr>
          <w:p w14:paraId="307668BB">
            <w:pPr>
              <w:pStyle w:val="41"/>
              <w:rPr>
                <w:color w:val="auto"/>
                <w:highlight w:val="none"/>
              </w:rPr>
            </w:pPr>
            <w:r>
              <w:rPr>
                <w:rFonts w:hint="eastAsia"/>
                <w:color w:val="auto"/>
                <w:highlight w:val="none"/>
              </w:rPr>
              <w:t>5</w:t>
            </w:r>
          </w:p>
        </w:tc>
        <w:tc>
          <w:tcPr>
            <w:tcW w:w="1663" w:type="pct"/>
            <w:tcBorders>
              <w:tl2br w:val="nil"/>
              <w:tr2bl w:val="nil"/>
            </w:tcBorders>
            <w:noWrap/>
            <w:vAlign w:val="center"/>
          </w:tcPr>
          <w:p w14:paraId="499C8EF9">
            <w:pPr>
              <w:pStyle w:val="41"/>
              <w:rPr>
                <w:color w:val="auto"/>
                <w:highlight w:val="none"/>
              </w:rPr>
            </w:pPr>
            <w:r>
              <w:rPr>
                <w:rFonts w:hint="eastAsia"/>
                <w:color w:val="auto"/>
                <w:highlight w:val="none"/>
              </w:rPr>
              <w:t>皮带输送机</w:t>
            </w:r>
          </w:p>
        </w:tc>
        <w:tc>
          <w:tcPr>
            <w:tcW w:w="1469" w:type="pct"/>
            <w:tcBorders>
              <w:tl2br w:val="nil"/>
              <w:tr2bl w:val="nil"/>
            </w:tcBorders>
            <w:noWrap/>
            <w:vAlign w:val="center"/>
          </w:tcPr>
          <w:p w14:paraId="1625B369">
            <w:pPr>
              <w:pStyle w:val="41"/>
              <w:rPr>
                <w:color w:val="auto"/>
                <w:highlight w:val="none"/>
              </w:rPr>
            </w:pPr>
            <w:r>
              <w:rPr>
                <w:color w:val="auto"/>
                <w:highlight w:val="none"/>
              </w:rPr>
              <w:t>B1200</w:t>
            </w:r>
          </w:p>
        </w:tc>
        <w:tc>
          <w:tcPr>
            <w:tcW w:w="458" w:type="pct"/>
            <w:tcBorders>
              <w:tl2br w:val="nil"/>
              <w:tr2bl w:val="nil"/>
            </w:tcBorders>
            <w:noWrap/>
            <w:vAlign w:val="center"/>
          </w:tcPr>
          <w:p w14:paraId="3F608B87">
            <w:pPr>
              <w:pStyle w:val="41"/>
              <w:rPr>
                <w:color w:val="auto"/>
                <w:highlight w:val="none"/>
              </w:rPr>
            </w:pPr>
            <w:r>
              <w:rPr>
                <w:color w:val="auto"/>
                <w:highlight w:val="none"/>
              </w:rPr>
              <w:t>3</w:t>
            </w:r>
          </w:p>
        </w:tc>
        <w:tc>
          <w:tcPr>
            <w:tcW w:w="1029" w:type="pct"/>
            <w:tcBorders>
              <w:tl2br w:val="nil"/>
              <w:tr2bl w:val="nil"/>
            </w:tcBorders>
            <w:noWrap/>
            <w:vAlign w:val="center"/>
          </w:tcPr>
          <w:p w14:paraId="75D57F59">
            <w:pPr>
              <w:pStyle w:val="41"/>
              <w:rPr>
                <w:color w:val="auto"/>
                <w:highlight w:val="none"/>
              </w:rPr>
            </w:pPr>
            <w:r>
              <w:rPr>
                <w:color w:val="auto"/>
                <w:highlight w:val="none"/>
              </w:rPr>
              <w:t>45</w:t>
            </w:r>
          </w:p>
        </w:tc>
      </w:tr>
    </w:tbl>
    <w:p w14:paraId="40F42D47">
      <w:pPr>
        <w:pStyle w:val="42"/>
        <w:rPr>
          <w:color w:val="auto"/>
          <w:highlight w:val="none"/>
        </w:rPr>
      </w:pPr>
      <w:r>
        <w:rPr>
          <w:color w:val="auto"/>
          <w:highlight w:val="none"/>
        </w:rPr>
        <w:t>工作制度以及劳动定员</w:t>
      </w:r>
      <w:bookmarkEnd w:id="259"/>
    </w:p>
    <w:p w14:paraId="7279D774">
      <w:pPr>
        <w:pStyle w:val="3"/>
        <w:ind w:firstLine="480"/>
        <w:rPr>
          <w:color w:val="auto"/>
          <w:highlight w:val="none"/>
        </w:rPr>
      </w:pPr>
      <w:r>
        <w:rPr>
          <w:color w:val="auto"/>
          <w:highlight w:val="none"/>
        </w:rPr>
        <w:t>设计采用连续工作制，年工作3</w:t>
      </w:r>
      <w:r>
        <w:rPr>
          <w:rFonts w:hint="eastAsia"/>
          <w:color w:val="auto"/>
          <w:highlight w:val="none"/>
        </w:rPr>
        <w:t>0</w:t>
      </w:r>
      <w:r>
        <w:rPr>
          <w:color w:val="auto"/>
          <w:highlight w:val="none"/>
        </w:rPr>
        <w:t>0d，每天工作3班，每班工作8h。项目劳动定员</w:t>
      </w:r>
      <w:r>
        <w:rPr>
          <w:rFonts w:hint="eastAsia"/>
          <w:color w:val="auto"/>
          <w:highlight w:val="none"/>
        </w:rPr>
        <w:t>2</w:t>
      </w:r>
      <w:r>
        <w:rPr>
          <w:rFonts w:hint="eastAsia"/>
          <w:color w:val="auto"/>
          <w:highlight w:val="none"/>
          <w:lang w:val="en-US" w:eastAsia="zh-CN"/>
        </w:rPr>
        <w:t>87</w:t>
      </w:r>
      <w:r>
        <w:rPr>
          <w:color w:val="auto"/>
          <w:highlight w:val="none"/>
        </w:rPr>
        <w:t>人。</w:t>
      </w:r>
    </w:p>
    <w:p w14:paraId="474B751A">
      <w:pPr>
        <w:pStyle w:val="42"/>
        <w:rPr>
          <w:rFonts w:hint="default"/>
          <w:color w:val="auto"/>
          <w:highlight w:val="none"/>
        </w:rPr>
      </w:pPr>
      <w:bookmarkStart w:id="260" w:name="_Toc16801"/>
      <w:r>
        <w:rPr>
          <w:color w:val="auto"/>
          <w:highlight w:val="none"/>
        </w:rPr>
        <w:t>主要技术经济指标及工程量</w:t>
      </w:r>
      <w:bookmarkEnd w:id="260"/>
    </w:p>
    <w:p w14:paraId="34D838F1">
      <w:pPr>
        <w:pStyle w:val="43"/>
        <w:rPr>
          <w:color w:val="auto"/>
          <w:highlight w:val="none"/>
        </w:rPr>
      </w:pPr>
      <w:r>
        <w:rPr>
          <w:rFonts w:hint="eastAsia"/>
          <w:color w:val="auto"/>
          <w:highlight w:val="none"/>
        </w:rPr>
        <w:t>选矿厂</w:t>
      </w:r>
    </w:p>
    <w:p w14:paraId="660D4EDD">
      <w:pPr>
        <w:pStyle w:val="40"/>
        <w:spacing w:before="31" w:after="31"/>
        <w:rPr>
          <w:color w:val="auto"/>
          <w:highlight w:val="none"/>
        </w:rPr>
      </w:pPr>
      <w:r>
        <w:rPr>
          <w:rFonts w:hint="eastAsia"/>
          <w:color w:val="auto"/>
          <w:highlight w:val="none"/>
        </w:rPr>
        <w:t>表3.2-</w:t>
      </w:r>
      <w:r>
        <w:rPr>
          <w:rFonts w:hint="eastAsia"/>
          <w:color w:val="auto"/>
          <w:highlight w:val="none"/>
          <w:lang w:val="en-US" w:eastAsia="zh-CN"/>
        </w:rPr>
        <w:t>10</w:t>
      </w:r>
      <w:r>
        <w:rPr>
          <w:rFonts w:hint="eastAsia"/>
          <w:color w:val="auto"/>
          <w:highlight w:val="none"/>
        </w:rPr>
        <w:t xml:space="preserve">   </w:t>
      </w:r>
      <w:r>
        <w:rPr>
          <w:color w:val="auto"/>
          <w:highlight w:val="none"/>
        </w:rPr>
        <w:t>选矿厂</w:t>
      </w:r>
      <w:r>
        <w:rPr>
          <w:rFonts w:hint="eastAsia"/>
          <w:color w:val="auto"/>
          <w:highlight w:val="none"/>
        </w:rPr>
        <w:t>“</w:t>
      </w:r>
      <w:r>
        <w:rPr>
          <w:color w:val="auto"/>
          <w:highlight w:val="none"/>
        </w:rPr>
        <w:t>一期580万t/a生产线</w:t>
      </w:r>
      <w:r>
        <w:rPr>
          <w:rFonts w:hint="eastAsia"/>
          <w:color w:val="auto"/>
          <w:highlight w:val="none"/>
        </w:rPr>
        <w:t>”</w:t>
      </w:r>
      <w:r>
        <w:rPr>
          <w:color w:val="auto"/>
          <w:highlight w:val="none"/>
        </w:rPr>
        <w:t>主要技术经济指标表</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95"/>
        <w:gridCol w:w="3415"/>
        <w:gridCol w:w="751"/>
        <w:gridCol w:w="1326"/>
        <w:gridCol w:w="2235"/>
      </w:tblGrid>
      <w:tr w14:paraId="734A31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6" w:type="dxa"/>
            <w:tcBorders>
              <w:tl2br w:val="nil"/>
              <w:tr2bl w:val="nil"/>
            </w:tcBorders>
            <w:vAlign w:val="center"/>
          </w:tcPr>
          <w:p w14:paraId="279761E8">
            <w:pPr>
              <w:pStyle w:val="41"/>
              <w:widowControl w:val="0"/>
              <w:rPr>
                <w:color w:val="auto"/>
                <w:highlight w:val="none"/>
              </w:rPr>
            </w:pPr>
            <w:r>
              <w:rPr>
                <w:color w:val="auto"/>
                <w:highlight w:val="none"/>
              </w:rPr>
              <w:t>序号</w:t>
            </w:r>
          </w:p>
        </w:tc>
        <w:tc>
          <w:tcPr>
            <w:tcW w:w="3418" w:type="dxa"/>
            <w:tcBorders>
              <w:tl2br w:val="nil"/>
              <w:tr2bl w:val="nil"/>
            </w:tcBorders>
            <w:vAlign w:val="center"/>
          </w:tcPr>
          <w:p w14:paraId="7593D127">
            <w:pPr>
              <w:pStyle w:val="41"/>
              <w:widowControl w:val="0"/>
              <w:rPr>
                <w:color w:val="auto"/>
                <w:highlight w:val="none"/>
              </w:rPr>
            </w:pPr>
            <w:r>
              <w:rPr>
                <w:color w:val="auto"/>
                <w:highlight w:val="none"/>
              </w:rPr>
              <w:t>技术经济指标</w:t>
            </w:r>
          </w:p>
        </w:tc>
        <w:tc>
          <w:tcPr>
            <w:tcW w:w="751" w:type="dxa"/>
            <w:tcBorders>
              <w:tl2br w:val="nil"/>
              <w:tr2bl w:val="nil"/>
            </w:tcBorders>
            <w:vAlign w:val="center"/>
          </w:tcPr>
          <w:p w14:paraId="42CBB722">
            <w:pPr>
              <w:pStyle w:val="41"/>
              <w:widowControl w:val="0"/>
              <w:rPr>
                <w:color w:val="auto"/>
                <w:highlight w:val="none"/>
              </w:rPr>
            </w:pPr>
            <w:r>
              <w:rPr>
                <w:color w:val="auto"/>
                <w:highlight w:val="none"/>
              </w:rPr>
              <w:t>单位</w:t>
            </w:r>
          </w:p>
        </w:tc>
        <w:tc>
          <w:tcPr>
            <w:tcW w:w="1327" w:type="dxa"/>
            <w:tcBorders>
              <w:tl2br w:val="nil"/>
              <w:tr2bl w:val="nil"/>
            </w:tcBorders>
            <w:vAlign w:val="center"/>
          </w:tcPr>
          <w:p w14:paraId="1C3D77D5">
            <w:pPr>
              <w:pStyle w:val="41"/>
              <w:widowControl w:val="0"/>
              <w:rPr>
                <w:color w:val="auto"/>
                <w:highlight w:val="none"/>
              </w:rPr>
            </w:pPr>
            <w:r>
              <w:rPr>
                <w:color w:val="auto"/>
                <w:highlight w:val="none"/>
              </w:rPr>
              <w:t>数值</w:t>
            </w:r>
          </w:p>
        </w:tc>
        <w:tc>
          <w:tcPr>
            <w:tcW w:w="2237" w:type="dxa"/>
            <w:tcBorders>
              <w:tl2br w:val="nil"/>
              <w:tr2bl w:val="nil"/>
            </w:tcBorders>
            <w:vAlign w:val="center"/>
          </w:tcPr>
          <w:p w14:paraId="7D2AF01B">
            <w:pPr>
              <w:pStyle w:val="41"/>
              <w:widowControl w:val="0"/>
              <w:rPr>
                <w:color w:val="auto"/>
                <w:highlight w:val="none"/>
              </w:rPr>
            </w:pPr>
            <w:r>
              <w:rPr>
                <w:color w:val="auto"/>
                <w:highlight w:val="none"/>
              </w:rPr>
              <w:t>备注</w:t>
            </w:r>
          </w:p>
        </w:tc>
      </w:tr>
      <w:tr w14:paraId="7134C4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0066226E">
            <w:pPr>
              <w:pStyle w:val="41"/>
              <w:widowControl w:val="0"/>
              <w:rPr>
                <w:color w:val="auto"/>
                <w:highlight w:val="none"/>
              </w:rPr>
            </w:pPr>
            <w:r>
              <w:rPr>
                <w:color w:val="auto"/>
                <w:highlight w:val="none"/>
              </w:rPr>
              <w:t>1</w:t>
            </w:r>
          </w:p>
        </w:tc>
        <w:tc>
          <w:tcPr>
            <w:tcW w:w="3418" w:type="dxa"/>
            <w:tcBorders>
              <w:tl2br w:val="nil"/>
              <w:tr2bl w:val="nil"/>
            </w:tcBorders>
            <w:vAlign w:val="center"/>
          </w:tcPr>
          <w:p w14:paraId="6943810B">
            <w:pPr>
              <w:pStyle w:val="41"/>
              <w:widowControl w:val="0"/>
              <w:rPr>
                <w:color w:val="auto"/>
                <w:highlight w:val="none"/>
              </w:rPr>
            </w:pPr>
            <w:r>
              <w:rPr>
                <w:color w:val="auto"/>
                <w:highlight w:val="none"/>
              </w:rPr>
              <w:t>一期580万t/a生产线总用地面积</w:t>
            </w:r>
          </w:p>
        </w:tc>
        <w:tc>
          <w:tcPr>
            <w:tcW w:w="751" w:type="dxa"/>
            <w:tcBorders>
              <w:tl2br w:val="nil"/>
              <w:tr2bl w:val="nil"/>
            </w:tcBorders>
            <w:vAlign w:val="center"/>
          </w:tcPr>
          <w:p w14:paraId="5DBA6DD8">
            <w:pPr>
              <w:pStyle w:val="41"/>
              <w:widowControl w:val="0"/>
              <w:rPr>
                <w:rFonts w:hint="default" w:eastAsia="华文中宋"/>
                <w:color w:val="auto"/>
                <w:highlight w:val="none"/>
                <w:lang w:val="en-US" w:eastAsia="zh-CN"/>
              </w:rPr>
            </w:pPr>
            <w:r>
              <w:rPr>
                <w:rFonts w:hint="eastAsia"/>
                <w:color w:val="auto"/>
                <w:highlight w:val="none"/>
                <w:lang w:val="en-US" w:eastAsia="zh-CN"/>
              </w:rPr>
              <w:t>m</w:t>
            </w:r>
            <w:r>
              <w:rPr>
                <w:rFonts w:hint="eastAsia"/>
                <w:color w:val="auto"/>
                <w:highlight w:val="none"/>
                <w:vertAlign w:val="superscript"/>
                <w:lang w:val="en-US" w:eastAsia="zh-CN"/>
              </w:rPr>
              <w:t>2</w:t>
            </w:r>
          </w:p>
        </w:tc>
        <w:tc>
          <w:tcPr>
            <w:tcW w:w="1327" w:type="dxa"/>
            <w:tcBorders>
              <w:tl2br w:val="nil"/>
              <w:tr2bl w:val="nil"/>
            </w:tcBorders>
            <w:vAlign w:val="center"/>
          </w:tcPr>
          <w:p w14:paraId="5414E071">
            <w:pPr>
              <w:pStyle w:val="41"/>
              <w:widowControl w:val="0"/>
              <w:rPr>
                <w:color w:val="auto"/>
                <w:highlight w:val="none"/>
              </w:rPr>
            </w:pPr>
            <w:r>
              <w:rPr>
                <w:rFonts w:hint="eastAsia"/>
                <w:color w:val="auto"/>
                <w:highlight w:val="none"/>
              </w:rPr>
              <w:t>71003.82</w:t>
            </w:r>
          </w:p>
        </w:tc>
        <w:tc>
          <w:tcPr>
            <w:tcW w:w="2237" w:type="dxa"/>
            <w:tcBorders>
              <w:tl2br w:val="nil"/>
              <w:tr2bl w:val="nil"/>
            </w:tcBorders>
            <w:vAlign w:val="center"/>
          </w:tcPr>
          <w:p w14:paraId="3FF33B3F">
            <w:pPr>
              <w:pStyle w:val="41"/>
              <w:widowControl w:val="0"/>
              <w:rPr>
                <w:color w:val="auto"/>
                <w:highlight w:val="none"/>
              </w:rPr>
            </w:pPr>
            <w:r>
              <w:rPr>
                <w:rFonts w:hint="eastAsia"/>
                <w:color w:val="auto"/>
                <w:highlight w:val="none"/>
              </w:rPr>
              <w:t>106.50</w:t>
            </w:r>
            <w:r>
              <w:rPr>
                <w:color w:val="auto"/>
                <w:highlight w:val="none"/>
              </w:rPr>
              <w:t>亩</w:t>
            </w:r>
          </w:p>
        </w:tc>
      </w:tr>
      <w:tr w14:paraId="7BC5F0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106F531B">
            <w:pPr>
              <w:pStyle w:val="41"/>
              <w:widowControl w:val="0"/>
              <w:rPr>
                <w:color w:val="auto"/>
                <w:highlight w:val="none"/>
              </w:rPr>
            </w:pPr>
            <w:r>
              <w:rPr>
                <w:color w:val="auto"/>
                <w:highlight w:val="none"/>
              </w:rPr>
              <w:t>2</w:t>
            </w:r>
          </w:p>
        </w:tc>
        <w:tc>
          <w:tcPr>
            <w:tcW w:w="3418" w:type="dxa"/>
            <w:tcBorders>
              <w:tl2br w:val="nil"/>
              <w:tr2bl w:val="nil"/>
            </w:tcBorders>
            <w:vAlign w:val="center"/>
          </w:tcPr>
          <w:p w14:paraId="19D3E9E2">
            <w:pPr>
              <w:pStyle w:val="41"/>
              <w:widowControl w:val="0"/>
              <w:rPr>
                <w:color w:val="auto"/>
                <w:highlight w:val="none"/>
              </w:rPr>
            </w:pPr>
            <w:r>
              <w:rPr>
                <w:color w:val="auto"/>
                <w:highlight w:val="none"/>
              </w:rPr>
              <w:t>总建筑面积</w:t>
            </w:r>
          </w:p>
        </w:tc>
        <w:tc>
          <w:tcPr>
            <w:tcW w:w="751" w:type="dxa"/>
            <w:tcBorders>
              <w:tl2br w:val="nil"/>
              <w:tr2bl w:val="nil"/>
            </w:tcBorders>
            <w:vAlign w:val="center"/>
          </w:tcPr>
          <w:p w14:paraId="71C049FB">
            <w:pPr>
              <w:pStyle w:val="41"/>
              <w:widowControl w:val="0"/>
              <w:rPr>
                <w:color w:val="auto"/>
                <w:highlight w:val="none"/>
              </w:rPr>
            </w:pPr>
            <w:r>
              <w:rPr>
                <w:rFonts w:hint="eastAsia"/>
                <w:color w:val="auto"/>
                <w:highlight w:val="none"/>
                <w:lang w:val="en-US" w:eastAsia="zh-CN"/>
              </w:rPr>
              <w:t>m</w:t>
            </w:r>
            <w:r>
              <w:rPr>
                <w:rFonts w:hint="eastAsia"/>
                <w:color w:val="auto"/>
                <w:highlight w:val="none"/>
                <w:vertAlign w:val="superscript"/>
                <w:lang w:val="en-US" w:eastAsia="zh-CN"/>
              </w:rPr>
              <w:t>2</w:t>
            </w:r>
          </w:p>
        </w:tc>
        <w:tc>
          <w:tcPr>
            <w:tcW w:w="1327" w:type="dxa"/>
            <w:tcBorders>
              <w:tl2br w:val="nil"/>
              <w:tr2bl w:val="nil"/>
            </w:tcBorders>
            <w:vAlign w:val="center"/>
          </w:tcPr>
          <w:p w14:paraId="78E31BF0">
            <w:pPr>
              <w:pStyle w:val="41"/>
              <w:widowControl w:val="0"/>
              <w:rPr>
                <w:color w:val="auto"/>
                <w:highlight w:val="none"/>
              </w:rPr>
            </w:pPr>
            <w:r>
              <w:rPr>
                <w:rFonts w:hint="eastAsia"/>
                <w:color w:val="auto"/>
                <w:highlight w:val="none"/>
              </w:rPr>
              <w:t>25777.87</w:t>
            </w:r>
          </w:p>
        </w:tc>
        <w:tc>
          <w:tcPr>
            <w:tcW w:w="2237" w:type="dxa"/>
            <w:tcBorders>
              <w:tl2br w:val="nil"/>
              <w:tr2bl w:val="nil"/>
            </w:tcBorders>
            <w:vAlign w:val="center"/>
          </w:tcPr>
          <w:p w14:paraId="3BB3CCD6">
            <w:pPr>
              <w:pStyle w:val="41"/>
              <w:widowControl w:val="0"/>
              <w:rPr>
                <w:color w:val="auto"/>
                <w:highlight w:val="none"/>
              </w:rPr>
            </w:pPr>
          </w:p>
        </w:tc>
      </w:tr>
      <w:tr w14:paraId="258D77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73B997DB">
            <w:pPr>
              <w:pStyle w:val="41"/>
              <w:widowControl w:val="0"/>
              <w:rPr>
                <w:color w:val="auto"/>
                <w:highlight w:val="none"/>
              </w:rPr>
            </w:pPr>
            <w:r>
              <w:rPr>
                <w:color w:val="auto"/>
                <w:highlight w:val="none"/>
              </w:rPr>
              <w:t>3</w:t>
            </w:r>
          </w:p>
        </w:tc>
        <w:tc>
          <w:tcPr>
            <w:tcW w:w="3418" w:type="dxa"/>
            <w:tcBorders>
              <w:tl2br w:val="nil"/>
              <w:tr2bl w:val="nil"/>
            </w:tcBorders>
            <w:vAlign w:val="center"/>
          </w:tcPr>
          <w:p w14:paraId="320396E2">
            <w:pPr>
              <w:pStyle w:val="41"/>
              <w:widowControl w:val="0"/>
              <w:rPr>
                <w:color w:val="auto"/>
                <w:highlight w:val="none"/>
              </w:rPr>
            </w:pPr>
            <w:r>
              <w:rPr>
                <w:color w:val="auto"/>
                <w:highlight w:val="none"/>
              </w:rPr>
              <w:t>建构筑物占地面积</w:t>
            </w:r>
          </w:p>
        </w:tc>
        <w:tc>
          <w:tcPr>
            <w:tcW w:w="751" w:type="dxa"/>
            <w:tcBorders>
              <w:tl2br w:val="nil"/>
              <w:tr2bl w:val="nil"/>
            </w:tcBorders>
            <w:vAlign w:val="center"/>
          </w:tcPr>
          <w:p w14:paraId="4EC02C59">
            <w:pPr>
              <w:pStyle w:val="41"/>
              <w:widowControl w:val="0"/>
              <w:rPr>
                <w:color w:val="auto"/>
                <w:highlight w:val="none"/>
              </w:rPr>
            </w:pPr>
            <w:r>
              <w:rPr>
                <w:rFonts w:hint="eastAsia"/>
                <w:color w:val="auto"/>
                <w:highlight w:val="none"/>
                <w:lang w:val="en-US" w:eastAsia="zh-CN"/>
              </w:rPr>
              <w:t>m</w:t>
            </w:r>
            <w:r>
              <w:rPr>
                <w:rFonts w:hint="eastAsia"/>
                <w:color w:val="auto"/>
                <w:highlight w:val="none"/>
                <w:vertAlign w:val="superscript"/>
                <w:lang w:val="en-US" w:eastAsia="zh-CN"/>
              </w:rPr>
              <w:t>2</w:t>
            </w:r>
          </w:p>
        </w:tc>
        <w:tc>
          <w:tcPr>
            <w:tcW w:w="1327" w:type="dxa"/>
            <w:tcBorders>
              <w:tl2br w:val="nil"/>
              <w:tr2bl w:val="nil"/>
            </w:tcBorders>
            <w:vAlign w:val="center"/>
          </w:tcPr>
          <w:p w14:paraId="3D7240C7">
            <w:pPr>
              <w:pStyle w:val="41"/>
              <w:widowControl w:val="0"/>
              <w:rPr>
                <w:color w:val="auto"/>
                <w:highlight w:val="none"/>
              </w:rPr>
            </w:pPr>
            <w:r>
              <w:rPr>
                <w:rFonts w:hint="eastAsia"/>
                <w:color w:val="auto"/>
                <w:highlight w:val="none"/>
              </w:rPr>
              <w:t>28868.68</w:t>
            </w:r>
          </w:p>
        </w:tc>
        <w:tc>
          <w:tcPr>
            <w:tcW w:w="2237" w:type="dxa"/>
            <w:tcBorders>
              <w:tl2br w:val="nil"/>
              <w:tr2bl w:val="nil"/>
            </w:tcBorders>
            <w:vAlign w:val="center"/>
          </w:tcPr>
          <w:p w14:paraId="632BE217">
            <w:pPr>
              <w:pStyle w:val="41"/>
              <w:widowControl w:val="0"/>
              <w:rPr>
                <w:color w:val="auto"/>
                <w:highlight w:val="none"/>
              </w:rPr>
            </w:pPr>
          </w:p>
        </w:tc>
      </w:tr>
      <w:tr w14:paraId="433486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3F28A038">
            <w:pPr>
              <w:pStyle w:val="41"/>
              <w:widowControl w:val="0"/>
              <w:rPr>
                <w:color w:val="auto"/>
                <w:highlight w:val="none"/>
              </w:rPr>
            </w:pPr>
            <w:r>
              <w:rPr>
                <w:color w:val="auto"/>
                <w:highlight w:val="none"/>
              </w:rPr>
              <w:t>4</w:t>
            </w:r>
          </w:p>
        </w:tc>
        <w:tc>
          <w:tcPr>
            <w:tcW w:w="3418" w:type="dxa"/>
            <w:tcBorders>
              <w:tl2br w:val="nil"/>
              <w:tr2bl w:val="nil"/>
            </w:tcBorders>
            <w:vAlign w:val="center"/>
          </w:tcPr>
          <w:p w14:paraId="14976D19">
            <w:pPr>
              <w:pStyle w:val="41"/>
              <w:widowControl w:val="0"/>
              <w:rPr>
                <w:color w:val="auto"/>
                <w:highlight w:val="none"/>
              </w:rPr>
            </w:pPr>
            <w:r>
              <w:rPr>
                <w:color w:val="auto"/>
                <w:highlight w:val="none"/>
              </w:rPr>
              <w:t>容积率</w:t>
            </w:r>
          </w:p>
        </w:tc>
        <w:tc>
          <w:tcPr>
            <w:tcW w:w="751" w:type="dxa"/>
            <w:tcBorders>
              <w:tl2br w:val="nil"/>
              <w:tr2bl w:val="nil"/>
            </w:tcBorders>
            <w:vAlign w:val="center"/>
          </w:tcPr>
          <w:p w14:paraId="10410903">
            <w:pPr>
              <w:pStyle w:val="41"/>
              <w:widowControl w:val="0"/>
              <w:rPr>
                <w:color w:val="auto"/>
                <w:highlight w:val="none"/>
              </w:rPr>
            </w:pPr>
          </w:p>
        </w:tc>
        <w:tc>
          <w:tcPr>
            <w:tcW w:w="1327" w:type="dxa"/>
            <w:tcBorders>
              <w:tl2br w:val="nil"/>
              <w:tr2bl w:val="nil"/>
            </w:tcBorders>
            <w:vAlign w:val="center"/>
          </w:tcPr>
          <w:p w14:paraId="2A038305">
            <w:pPr>
              <w:pStyle w:val="41"/>
              <w:widowControl w:val="0"/>
              <w:rPr>
                <w:color w:val="auto"/>
                <w:highlight w:val="none"/>
              </w:rPr>
            </w:pPr>
            <w:r>
              <w:rPr>
                <w:color w:val="auto"/>
                <w:highlight w:val="none"/>
              </w:rPr>
              <w:t>0.</w:t>
            </w:r>
            <w:r>
              <w:rPr>
                <w:rFonts w:hint="eastAsia"/>
                <w:color w:val="auto"/>
                <w:highlight w:val="none"/>
              </w:rPr>
              <w:t>73</w:t>
            </w:r>
          </w:p>
        </w:tc>
        <w:tc>
          <w:tcPr>
            <w:tcW w:w="2237" w:type="dxa"/>
            <w:tcBorders>
              <w:tl2br w:val="nil"/>
              <w:tr2bl w:val="nil"/>
            </w:tcBorders>
            <w:vAlign w:val="center"/>
          </w:tcPr>
          <w:p w14:paraId="63C622DE">
            <w:pPr>
              <w:pStyle w:val="41"/>
              <w:widowControl w:val="0"/>
              <w:rPr>
                <w:color w:val="auto"/>
                <w:highlight w:val="none"/>
              </w:rPr>
            </w:pPr>
          </w:p>
        </w:tc>
      </w:tr>
      <w:tr w14:paraId="7AF1B9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6" w:type="dxa"/>
            <w:tcBorders>
              <w:tl2br w:val="nil"/>
              <w:tr2bl w:val="nil"/>
            </w:tcBorders>
            <w:vAlign w:val="center"/>
          </w:tcPr>
          <w:p w14:paraId="5118ACE6">
            <w:pPr>
              <w:pStyle w:val="41"/>
              <w:widowControl w:val="0"/>
              <w:rPr>
                <w:color w:val="auto"/>
                <w:highlight w:val="none"/>
              </w:rPr>
            </w:pPr>
            <w:r>
              <w:rPr>
                <w:color w:val="auto"/>
                <w:highlight w:val="none"/>
              </w:rPr>
              <w:t>5</w:t>
            </w:r>
          </w:p>
        </w:tc>
        <w:tc>
          <w:tcPr>
            <w:tcW w:w="3418" w:type="dxa"/>
            <w:tcBorders>
              <w:tl2br w:val="nil"/>
              <w:tr2bl w:val="nil"/>
            </w:tcBorders>
            <w:vAlign w:val="center"/>
          </w:tcPr>
          <w:p w14:paraId="3AADC993">
            <w:pPr>
              <w:pStyle w:val="41"/>
              <w:widowControl w:val="0"/>
              <w:rPr>
                <w:color w:val="auto"/>
                <w:highlight w:val="none"/>
              </w:rPr>
            </w:pPr>
            <w:r>
              <w:rPr>
                <w:color w:val="auto"/>
                <w:highlight w:val="none"/>
              </w:rPr>
              <w:t>建筑系数</w:t>
            </w:r>
          </w:p>
        </w:tc>
        <w:tc>
          <w:tcPr>
            <w:tcW w:w="751" w:type="dxa"/>
            <w:tcBorders>
              <w:tl2br w:val="nil"/>
              <w:tr2bl w:val="nil"/>
            </w:tcBorders>
            <w:vAlign w:val="center"/>
          </w:tcPr>
          <w:p w14:paraId="381AD3F6">
            <w:pPr>
              <w:pStyle w:val="41"/>
              <w:widowControl w:val="0"/>
              <w:rPr>
                <w:color w:val="auto"/>
                <w:highlight w:val="none"/>
              </w:rPr>
            </w:pPr>
            <w:r>
              <w:rPr>
                <w:color w:val="auto"/>
                <w:highlight w:val="none"/>
              </w:rPr>
              <w:t>%</w:t>
            </w:r>
          </w:p>
        </w:tc>
        <w:tc>
          <w:tcPr>
            <w:tcW w:w="1327" w:type="dxa"/>
            <w:tcBorders>
              <w:tl2br w:val="nil"/>
              <w:tr2bl w:val="nil"/>
            </w:tcBorders>
            <w:vAlign w:val="center"/>
          </w:tcPr>
          <w:p w14:paraId="784249BF">
            <w:pPr>
              <w:pStyle w:val="41"/>
              <w:widowControl w:val="0"/>
              <w:rPr>
                <w:color w:val="auto"/>
                <w:highlight w:val="none"/>
              </w:rPr>
            </w:pPr>
            <w:r>
              <w:rPr>
                <w:rFonts w:hint="eastAsia"/>
                <w:color w:val="auto"/>
                <w:highlight w:val="none"/>
              </w:rPr>
              <w:t>41</w:t>
            </w:r>
          </w:p>
        </w:tc>
        <w:tc>
          <w:tcPr>
            <w:tcW w:w="2237" w:type="dxa"/>
            <w:tcBorders>
              <w:tl2br w:val="nil"/>
              <w:tr2bl w:val="nil"/>
            </w:tcBorders>
            <w:vAlign w:val="center"/>
          </w:tcPr>
          <w:p w14:paraId="22142C3C">
            <w:pPr>
              <w:pStyle w:val="41"/>
              <w:widowControl w:val="0"/>
              <w:rPr>
                <w:color w:val="auto"/>
                <w:highlight w:val="none"/>
              </w:rPr>
            </w:pPr>
          </w:p>
        </w:tc>
      </w:tr>
      <w:tr w14:paraId="3AB56D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2662D327">
            <w:pPr>
              <w:pStyle w:val="41"/>
              <w:widowControl w:val="0"/>
              <w:rPr>
                <w:color w:val="auto"/>
                <w:highlight w:val="none"/>
              </w:rPr>
            </w:pPr>
            <w:r>
              <w:rPr>
                <w:rFonts w:hint="eastAsia"/>
                <w:color w:val="auto"/>
                <w:highlight w:val="none"/>
              </w:rPr>
              <w:t>6</w:t>
            </w:r>
          </w:p>
        </w:tc>
        <w:tc>
          <w:tcPr>
            <w:tcW w:w="3418" w:type="dxa"/>
            <w:tcBorders>
              <w:tl2br w:val="nil"/>
              <w:tr2bl w:val="nil"/>
            </w:tcBorders>
            <w:vAlign w:val="center"/>
          </w:tcPr>
          <w:p w14:paraId="384B491F">
            <w:pPr>
              <w:pStyle w:val="41"/>
              <w:widowControl w:val="0"/>
              <w:rPr>
                <w:color w:val="auto"/>
                <w:highlight w:val="none"/>
              </w:rPr>
            </w:pPr>
            <w:r>
              <w:rPr>
                <w:color w:val="auto"/>
                <w:highlight w:val="none"/>
              </w:rPr>
              <w:t>绿地率</w:t>
            </w:r>
          </w:p>
        </w:tc>
        <w:tc>
          <w:tcPr>
            <w:tcW w:w="751" w:type="dxa"/>
            <w:tcBorders>
              <w:tl2br w:val="nil"/>
              <w:tr2bl w:val="nil"/>
            </w:tcBorders>
            <w:vAlign w:val="center"/>
          </w:tcPr>
          <w:p w14:paraId="3B410ED1">
            <w:pPr>
              <w:pStyle w:val="41"/>
              <w:widowControl w:val="0"/>
              <w:rPr>
                <w:color w:val="auto"/>
                <w:highlight w:val="none"/>
              </w:rPr>
            </w:pPr>
            <w:r>
              <w:rPr>
                <w:color w:val="auto"/>
                <w:highlight w:val="none"/>
              </w:rPr>
              <w:t>%</w:t>
            </w:r>
          </w:p>
        </w:tc>
        <w:tc>
          <w:tcPr>
            <w:tcW w:w="1327" w:type="dxa"/>
            <w:tcBorders>
              <w:tl2br w:val="nil"/>
              <w:tr2bl w:val="nil"/>
            </w:tcBorders>
            <w:vAlign w:val="center"/>
          </w:tcPr>
          <w:p w14:paraId="49E238A0">
            <w:pPr>
              <w:pStyle w:val="41"/>
              <w:widowControl w:val="0"/>
              <w:rPr>
                <w:color w:val="auto"/>
                <w:highlight w:val="none"/>
              </w:rPr>
            </w:pPr>
            <w:r>
              <w:rPr>
                <w:rFonts w:hint="eastAsia"/>
                <w:color w:val="auto"/>
                <w:highlight w:val="none"/>
              </w:rPr>
              <w:t>&lt;20</w:t>
            </w:r>
          </w:p>
        </w:tc>
        <w:tc>
          <w:tcPr>
            <w:tcW w:w="2237" w:type="dxa"/>
            <w:tcBorders>
              <w:tl2br w:val="nil"/>
              <w:tr2bl w:val="nil"/>
            </w:tcBorders>
            <w:vAlign w:val="center"/>
          </w:tcPr>
          <w:p w14:paraId="06A31DA8">
            <w:pPr>
              <w:pStyle w:val="41"/>
              <w:widowControl w:val="0"/>
              <w:rPr>
                <w:color w:val="auto"/>
                <w:highlight w:val="none"/>
              </w:rPr>
            </w:pPr>
          </w:p>
        </w:tc>
      </w:tr>
      <w:tr w14:paraId="49B1FD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5D276BB0">
            <w:pPr>
              <w:pStyle w:val="41"/>
              <w:widowControl w:val="0"/>
              <w:rPr>
                <w:color w:val="auto"/>
                <w:highlight w:val="none"/>
              </w:rPr>
            </w:pPr>
            <w:r>
              <w:rPr>
                <w:rFonts w:hint="eastAsia"/>
                <w:color w:val="auto"/>
                <w:highlight w:val="none"/>
              </w:rPr>
              <w:t>7</w:t>
            </w:r>
          </w:p>
        </w:tc>
        <w:tc>
          <w:tcPr>
            <w:tcW w:w="3418" w:type="dxa"/>
            <w:tcBorders>
              <w:tl2br w:val="nil"/>
              <w:tr2bl w:val="nil"/>
            </w:tcBorders>
            <w:vAlign w:val="center"/>
          </w:tcPr>
          <w:p w14:paraId="4C5B38B2">
            <w:pPr>
              <w:pStyle w:val="41"/>
              <w:widowControl w:val="0"/>
              <w:rPr>
                <w:color w:val="auto"/>
                <w:highlight w:val="none"/>
              </w:rPr>
            </w:pPr>
            <w:r>
              <w:rPr>
                <w:color w:val="auto"/>
                <w:highlight w:val="none"/>
              </w:rPr>
              <w:t>道路及广场用地面积</w:t>
            </w:r>
          </w:p>
        </w:tc>
        <w:tc>
          <w:tcPr>
            <w:tcW w:w="751" w:type="dxa"/>
            <w:tcBorders>
              <w:tl2br w:val="nil"/>
              <w:tr2bl w:val="nil"/>
            </w:tcBorders>
            <w:vAlign w:val="center"/>
          </w:tcPr>
          <w:p w14:paraId="629AE4DF">
            <w:pPr>
              <w:pStyle w:val="41"/>
              <w:widowControl w:val="0"/>
              <w:rPr>
                <w:color w:val="auto"/>
                <w:highlight w:val="none"/>
              </w:rPr>
            </w:pPr>
            <w:r>
              <w:rPr>
                <w:rFonts w:hint="eastAsia"/>
                <w:color w:val="auto"/>
                <w:highlight w:val="none"/>
                <w:lang w:val="en-US" w:eastAsia="zh-CN"/>
              </w:rPr>
              <w:t>m</w:t>
            </w:r>
            <w:r>
              <w:rPr>
                <w:rFonts w:hint="eastAsia"/>
                <w:color w:val="auto"/>
                <w:highlight w:val="none"/>
                <w:vertAlign w:val="superscript"/>
                <w:lang w:val="en-US" w:eastAsia="zh-CN"/>
              </w:rPr>
              <w:t>2</w:t>
            </w:r>
          </w:p>
        </w:tc>
        <w:tc>
          <w:tcPr>
            <w:tcW w:w="1327" w:type="dxa"/>
            <w:tcBorders>
              <w:tl2br w:val="nil"/>
              <w:tr2bl w:val="nil"/>
            </w:tcBorders>
            <w:vAlign w:val="center"/>
          </w:tcPr>
          <w:p w14:paraId="6B4B218A">
            <w:pPr>
              <w:pStyle w:val="41"/>
              <w:widowControl w:val="0"/>
              <w:rPr>
                <w:color w:val="auto"/>
                <w:highlight w:val="none"/>
              </w:rPr>
            </w:pPr>
            <w:r>
              <w:rPr>
                <w:rFonts w:hint="eastAsia"/>
                <w:color w:val="auto"/>
                <w:highlight w:val="none"/>
              </w:rPr>
              <w:t>13640.00</w:t>
            </w:r>
          </w:p>
        </w:tc>
        <w:tc>
          <w:tcPr>
            <w:tcW w:w="2237" w:type="dxa"/>
            <w:tcBorders>
              <w:tl2br w:val="nil"/>
              <w:tr2bl w:val="nil"/>
            </w:tcBorders>
            <w:vAlign w:val="center"/>
          </w:tcPr>
          <w:p w14:paraId="3C52A5DE">
            <w:pPr>
              <w:pStyle w:val="41"/>
              <w:widowControl w:val="0"/>
              <w:rPr>
                <w:color w:val="auto"/>
                <w:highlight w:val="none"/>
              </w:rPr>
            </w:pPr>
          </w:p>
        </w:tc>
      </w:tr>
      <w:tr w14:paraId="4F4BD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4C571F1F">
            <w:pPr>
              <w:pStyle w:val="41"/>
              <w:widowControl w:val="0"/>
              <w:rPr>
                <w:color w:val="auto"/>
                <w:highlight w:val="none"/>
              </w:rPr>
            </w:pPr>
            <w:r>
              <w:rPr>
                <w:rFonts w:hint="eastAsia"/>
                <w:color w:val="auto"/>
                <w:highlight w:val="none"/>
              </w:rPr>
              <w:t>8</w:t>
            </w:r>
          </w:p>
        </w:tc>
        <w:tc>
          <w:tcPr>
            <w:tcW w:w="3418" w:type="dxa"/>
            <w:tcBorders>
              <w:tl2br w:val="nil"/>
              <w:tr2bl w:val="nil"/>
            </w:tcBorders>
            <w:vAlign w:val="center"/>
          </w:tcPr>
          <w:p w14:paraId="4551B942">
            <w:pPr>
              <w:pStyle w:val="41"/>
              <w:widowControl w:val="0"/>
              <w:rPr>
                <w:color w:val="auto"/>
                <w:highlight w:val="none"/>
              </w:rPr>
            </w:pPr>
            <w:r>
              <w:rPr>
                <w:color w:val="auto"/>
                <w:highlight w:val="none"/>
              </w:rPr>
              <w:t>道路系数</w:t>
            </w:r>
          </w:p>
        </w:tc>
        <w:tc>
          <w:tcPr>
            <w:tcW w:w="751" w:type="dxa"/>
            <w:tcBorders>
              <w:tl2br w:val="nil"/>
              <w:tr2bl w:val="nil"/>
            </w:tcBorders>
            <w:vAlign w:val="center"/>
          </w:tcPr>
          <w:p w14:paraId="6B3D0060">
            <w:pPr>
              <w:pStyle w:val="41"/>
              <w:widowControl w:val="0"/>
              <w:rPr>
                <w:color w:val="auto"/>
                <w:highlight w:val="none"/>
              </w:rPr>
            </w:pPr>
            <w:r>
              <w:rPr>
                <w:color w:val="auto"/>
                <w:highlight w:val="none"/>
              </w:rPr>
              <w:t>%</w:t>
            </w:r>
          </w:p>
        </w:tc>
        <w:tc>
          <w:tcPr>
            <w:tcW w:w="1327" w:type="dxa"/>
            <w:tcBorders>
              <w:tl2br w:val="nil"/>
              <w:tr2bl w:val="nil"/>
            </w:tcBorders>
            <w:vAlign w:val="center"/>
          </w:tcPr>
          <w:p w14:paraId="1E445631">
            <w:pPr>
              <w:pStyle w:val="41"/>
              <w:widowControl w:val="0"/>
              <w:rPr>
                <w:color w:val="auto"/>
                <w:highlight w:val="none"/>
              </w:rPr>
            </w:pPr>
            <w:r>
              <w:rPr>
                <w:rFonts w:hint="eastAsia"/>
                <w:color w:val="auto"/>
                <w:highlight w:val="none"/>
              </w:rPr>
              <w:t>20</w:t>
            </w:r>
          </w:p>
        </w:tc>
        <w:tc>
          <w:tcPr>
            <w:tcW w:w="2237" w:type="dxa"/>
            <w:tcBorders>
              <w:tl2br w:val="nil"/>
              <w:tr2bl w:val="nil"/>
            </w:tcBorders>
            <w:vAlign w:val="center"/>
          </w:tcPr>
          <w:p w14:paraId="3EAB5E42">
            <w:pPr>
              <w:pStyle w:val="41"/>
              <w:widowControl w:val="0"/>
              <w:rPr>
                <w:color w:val="auto"/>
                <w:highlight w:val="none"/>
              </w:rPr>
            </w:pPr>
          </w:p>
        </w:tc>
      </w:tr>
    </w:tbl>
    <w:p w14:paraId="2B675202">
      <w:pPr>
        <w:pStyle w:val="40"/>
        <w:spacing w:before="31" w:after="31"/>
        <w:rPr>
          <w:color w:val="auto"/>
          <w:highlight w:val="none"/>
        </w:rPr>
      </w:pPr>
      <w:r>
        <w:rPr>
          <w:rFonts w:hint="eastAsia"/>
          <w:color w:val="auto"/>
          <w:highlight w:val="none"/>
        </w:rPr>
        <w:t>表3.2-1</w:t>
      </w:r>
      <w:r>
        <w:rPr>
          <w:rFonts w:hint="eastAsia"/>
          <w:color w:val="auto"/>
          <w:highlight w:val="none"/>
          <w:lang w:val="en-US" w:eastAsia="zh-CN"/>
        </w:rPr>
        <w:t>1</w:t>
      </w:r>
      <w:r>
        <w:rPr>
          <w:rFonts w:hint="eastAsia"/>
          <w:color w:val="auto"/>
          <w:highlight w:val="none"/>
        </w:rPr>
        <w:t xml:space="preserve">    </w:t>
      </w:r>
      <w:r>
        <w:rPr>
          <w:color w:val="auto"/>
          <w:highlight w:val="none"/>
        </w:rPr>
        <w:t>选矿厂</w:t>
      </w:r>
      <w:r>
        <w:rPr>
          <w:rFonts w:hint="eastAsia"/>
          <w:color w:val="auto"/>
          <w:highlight w:val="none"/>
        </w:rPr>
        <w:t>“</w:t>
      </w:r>
      <w:r>
        <w:rPr>
          <w:color w:val="auto"/>
          <w:highlight w:val="none"/>
        </w:rPr>
        <w:t>办公生活区</w:t>
      </w:r>
      <w:r>
        <w:rPr>
          <w:rFonts w:hint="eastAsia"/>
          <w:color w:val="auto"/>
          <w:highlight w:val="none"/>
        </w:rPr>
        <w:t>”</w:t>
      </w:r>
      <w:r>
        <w:rPr>
          <w:color w:val="auto"/>
          <w:highlight w:val="none"/>
        </w:rPr>
        <w:t>主要技术经济指标表</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95"/>
        <w:gridCol w:w="3415"/>
        <w:gridCol w:w="751"/>
        <w:gridCol w:w="1326"/>
        <w:gridCol w:w="2235"/>
      </w:tblGrid>
      <w:tr w14:paraId="15E219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6" w:type="dxa"/>
            <w:tcBorders>
              <w:tl2br w:val="nil"/>
              <w:tr2bl w:val="nil"/>
            </w:tcBorders>
            <w:vAlign w:val="center"/>
          </w:tcPr>
          <w:p w14:paraId="35C1DAC3">
            <w:pPr>
              <w:pStyle w:val="41"/>
              <w:widowControl w:val="0"/>
              <w:rPr>
                <w:color w:val="auto"/>
                <w:highlight w:val="none"/>
              </w:rPr>
            </w:pPr>
            <w:r>
              <w:rPr>
                <w:color w:val="auto"/>
                <w:highlight w:val="none"/>
              </w:rPr>
              <w:t>序号</w:t>
            </w:r>
          </w:p>
        </w:tc>
        <w:tc>
          <w:tcPr>
            <w:tcW w:w="3418" w:type="dxa"/>
            <w:tcBorders>
              <w:tl2br w:val="nil"/>
              <w:tr2bl w:val="nil"/>
            </w:tcBorders>
            <w:vAlign w:val="center"/>
          </w:tcPr>
          <w:p w14:paraId="68F241FB">
            <w:pPr>
              <w:pStyle w:val="41"/>
              <w:widowControl w:val="0"/>
              <w:rPr>
                <w:color w:val="auto"/>
                <w:highlight w:val="none"/>
              </w:rPr>
            </w:pPr>
            <w:r>
              <w:rPr>
                <w:color w:val="auto"/>
                <w:highlight w:val="none"/>
              </w:rPr>
              <w:t>技术经济指标</w:t>
            </w:r>
          </w:p>
        </w:tc>
        <w:tc>
          <w:tcPr>
            <w:tcW w:w="751" w:type="dxa"/>
            <w:tcBorders>
              <w:tl2br w:val="nil"/>
              <w:tr2bl w:val="nil"/>
            </w:tcBorders>
            <w:vAlign w:val="center"/>
          </w:tcPr>
          <w:p w14:paraId="30DA1D8A">
            <w:pPr>
              <w:pStyle w:val="41"/>
              <w:widowControl w:val="0"/>
              <w:rPr>
                <w:color w:val="auto"/>
                <w:highlight w:val="none"/>
              </w:rPr>
            </w:pPr>
            <w:r>
              <w:rPr>
                <w:color w:val="auto"/>
                <w:highlight w:val="none"/>
              </w:rPr>
              <w:t>单位</w:t>
            </w:r>
          </w:p>
        </w:tc>
        <w:tc>
          <w:tcPr>
            <w:tcW w:w="1327" w:type="dxa"/>
            <w:tcBorders>
              <w:tl2br w:val="nil"/>
              <w:tr2bl w:val="nil"/>
            </w:tcBorders>
            <w:vAlign w:val="center"/>
          </w:tcPr>
          <w:p w14:paraId="3AAC0B6E">
            <w:pPr>
              <w:pStyle w:val="41"/>
              <w:widowControl w:val="0"/>
              <w:rPr>
                <w:color w:val="auto"/>
                <w:highlight w:val="none"/>
              </w:rPr>
            </w:pPr>
            <w:r>
              <w:rPr>
                <w:color w:val="auto"/>
                <w:highlight w:val="none"/>
              </w:rPr>
              <w:t>数值</w:t>
            </w:r>
          </w:p>
        </w:tc>
        <w:tc>
          <w:tcPr>
            <w:tcW w:w="2237" w:type="dxa"/>
            <w:tcBorders>
              <w:tl2br w:val="nil"/>
              <w:tr2bl w:val="nil"/>
            </w:tcBorders>
            <w:vAlign w:val="center"/>
          </w:tcPr>
          <w:p w14:paraId="753F3BB2">
            <w:pPr>
              <w:pStyle w:val="41"/>
              <w:widowControl w:val="0"/>
              <w:rPr>
                <w:color w:val="auto"/>
                <w:highlight w:val="none"/>
              </w:rPr>
            </w:pPr>
            <w:r>
              <w:rPr>
                <w:color w:val="auto"/>
                <w:highlight w:val="none"/>
              </w:rPr>
              <w:t>备注</w:t>
            </w:r>
          </w:p>
        </w:tc>
      </w:tr>
      <w:tr w14:paraId="4DB05E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1DF7E989">
            <w:pPr>
              <w:pStyle w:val="41"/>
              <w:widowControl w:val="0"/>
              <w:rPr>
                <w:color w:val="auto"/>
                <w:highlight w:val="none"/>
              </w:rPr>
            </w:pPr>
            <w:r>
              <w:rPr>
                <w:color w:val="auto"/>
                <w:highlight w:val="none"/>
              </w:rPr>
              <w:t>1</w:t>
            </w:r>
          </w:p>
        </w:tc>
        <w:tc>
          <w:tcPr>
            <w:tcW w:w="3418" w:type="dxa"/>
            <w:tcBorders>
              <w:tl2br w:val="nil"/>
              <w:tr2bl w:val="nil"/>
            </w:tcBorders>
            <w:vAlign w:val="center"/>
          </w:tcPr>
          <w:p w14:paraId="4AC6F78C">
            <w:pPr>
              <w:pStyle w:val="41"/>
              <w:widowControl w:val="0"/>
              <w:rPr>
                <w:color w:val="auto"/>
                <w:highlight w:val="none"/>
              </w:rPr>
            </w:pPr>
            <w:r>
              <w:rPr>
                <w:rFonts w:hint="eastAsia"/>
                <w:color w:val="auto"/>
                <w:highlight w:val="none"/>
              </w:rPr>
              <w:t>选矿厂</w:t>
            </w:r>
            <w:r>
              <w:rPr>
                <w:color w:val="auto"/>
                <w:highlight w:val="none"/>
              </w:rPr>
              <w:t>总用地面积</w:t>
            </w:r>
          </w:p>
        </w:tc>
        <w:tc>
          <w:tcPr>
            <w:tcW w:w="751" w:type="dxa"/>
            <w:tcBorders>
              <w:tl2br w:val="nil"/>
              <w:tr2bl w:val="nil"/>
            </w:tcBorders>
            <w:vAlign w:val="center"/>
          </w:tcPr>
          <w:p w14:paraId="4E139A56">
            <w:pPr>
              <w:keepNext w:val="0"/>
              <w:keepLines w:val="0"/>
              <w:pageBreakBefore w:val="0"/>
              <w:widowControl w:val="0"/>
              <w:kinsoku/>
              <w:wordWrap/>
              <w:overflowPunct/>
              <w:topLinePunct w:val="0"/>
              <w:autoSpaceDE/>
              <w:autoSpaceDN/>
              <w:bidi w:val="0"/>
              <w:adjustRightInd w:val="0"/>
              <w:snapToGrid/>
              <w:spacing w:line="240" w:lineRule="atLeast"/>
              <w:ind w:firstLine="0" w:firstLineChars="0"/>
              <w:jc w:val="center"/>
              <w:textAlignment w:val="auto"/>
              <w:rPr>
                <w:color w:val="auto"/>
                <w:highlight w:val="none"/>
              </w:rPr>
            </w:pPr>
            <w:r>
              <w:rPr>
                <w:rFonts w:hint="eastAsia"/>
                <w:color w:val="auto"/>
                <w:highlight w:val="none"/>
                <w:lang w:val="en-US" w:eastAsia="zh-CN"/>
              </w:rPr>
              <w:t>m</w:t>
            </w:r>
            <w:r>
              <w:rPr>
                <w:rFonts w:hint="eastAsia"/>
                <w:color w:val="auto"/>
                <w:highlight w:val="none"/>
                <w:vertAlign w:val="superscript"/>
                <w:lang w:val="en-US" w:eastAsia="zh-CN"/>
              </w:rPr>
              <w:t>2</w:t>
            </w:r>
          </w:p>
        </w:tc>
        <w:tc>
          <w:tcPr>
            <w:tcW w:w="1327" w:type="dxa"/>
            <w:tcBorders>
              <w:tl2br w:val="nil"/>
              <w:tr2bl w:val="nil"/>
            </w:tcBorders>
            <w:vAlign w:val="center"/>
          </w:tcPr>
          <w:p w14:paraId="6114C555">
            <w:pPr>
              <w:pStyle w:val="41"/>
              <w:widowControl w:val="0"/>
              <w:rPr>
                <w:color w:val="auto"/>
                <w:highlight w:val="none"/>
              </w:rPr>
            </w:pPr>
            <w:r>
              <w:rPr>
                <w:rFonts w:hint="eastAsia"/>
                <w:color w:val="auto"/>
                <w:highlight w:val="none"/>
              </w:rPr>
              <w:t>393875.36</w:t>
            </w:r>
          </w:p>
        </w:tc>
        <w:tc>
          <w:tcPr>
            <w:tcW w:w="2237" w:type="dxa"/>
            <w:tcBorders>
              <w:tl2br w:val="nil"/>
              <w:tr2bl w:val="nil"/>
            </w:tcBorders>
            <w:vAlign w:val="center"/>
          </w:tcPr>
          <w:p w14:paraId="74E343E3">
            <w:pPr>
              <w:pStyle w:val="41"/>
              <w:widowControl w:val="0"/>
              <w:rPr>
                <w:color w:val="auto"/>
                <w:highlight w:val="none"/>
              </w:rPr>
            </w:pPr>
            <w:r>
              <w:rPr>
                <w:rFonts w:hint="eastAsia"/>
                <w:color w:val="auto"/>
                <w:highlight w:val="none"/>
              </w:rPr>
              <w:t>590.81</w:t>
            </w:r>
            <w:r>
              <w:rPr>
                <w:color w:val="auto"/>
                <w:highlight w:val="none"/>
              </w:rPr>
              <w:t>亩</w:t>
            </w:r>
          </w:p>
        </w:tc>
      </w:tr>
      <w:tr w14:paraId="6C17B4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02351B63">
            <w:pPr>
              <w:pStyle w:val="41"/>
              <w:widowControl w:val="0"/>
              <w:rPr>
                <w:color w:val="auto"/>
                <w:highlight w:val="none"/>
              </w:rPr>
            </w:pPr>
            <w:r>
              <w:rPr>
                <w:color w:val="auto"/>
                <w:highlight w:val="none"/>
              </w:rPr>
              <w:t>2</w:t>
            </w:r>
          </w:p>
        </w:tc>
        <w:tc>
          <w:tcPr>
            <w:tcW w:w="3418" w:type="dxa"/>
            <w:tcBorders>
              <w:tl2br w:val="nil"/>
              <w:tr2bl w:val="nil"/>
            </w:tcBorders>
            <w:vAlign w:val="center"/>
          </w:tcPr>
          <w:p w14:paraId="4A684E2D">
            <w:pPr>
              <w:pStyle w:val="41"/>
              <w:widowControl w:val="0"/>
              <w:rPr>
                <w:color w:val="auto"/>
                <w:highlight w:val="none"/>
              </w:rPr>
            </w:pPr>
            <w:r>
              <w:rPr>
                <w:rFonts w:hint="eastAsia"/>
                <w:color w:val="auto"/>
                <w:highlight w:val="none"/>
              </w:rPr>
              <w:t>办公生活区</w:t>
            </w:r>
            <w:r>
              <w:rPr>
                <w:color w:val="auto"/>
                <w:highlight w:val="none"/>
              </w:rPr>
              <w:t>总用地面积</w:t>
            </w:r>
          </w:p>
        </w:tc>
        <w:tc>
          <w:tcPr>
            <w:tcW w:w="751" w:type="dxa"/>
            <w:tcBorders>
              <w:tl2br w:val="nil"/>
              <w:tr2bl w:val="nil"/>
            </w:tcBorders>
            <w:vAlign w:val="center"/>
          </w:tcPr>
          <w:p w14:paraId="1E8BEA72">
            <w:pPr>
              <w:keepNext w:val="0"/>
              <w:keepLines w:val="0"/>
              <w:pageBreakBefore w:val="0"/>
              <w:widowControl w:val="0"/>
              <w:kinsoku/>
              <w:wordWrap/>
              <w:overflowPunct/>
              <w:topLinePunct w:val="0"/>
              <w:autoSpaceDE/>
              <w:autoSpaceDN/>
              <w:bidi w:val="0"/>
              <w:adjustRightInd w:val="0"/>
              <w:snapToGrid/>
              <w:spacing w:line="240" w:lineRule="atLeast"/>
              <w:ind w:firstLine="0" w:firstLineChars="0"/>
              <w:jc w:val="center"/>
              <w:textAlignment w:val="auto"/>
              <w:rPr>
                <w:color w:val="auto"/>
                <w:highlight w:val="none"/>
              </w:rPr>
            </w:pPr>
            <w:r>
              <w:rPr>
                <w:rFonts w:hint="eastAsia"/>
                <w:color w:val="auto"/>
                <w:highlight w:val="none"/>
                <w:lang w:val="en-US" w:eastAsia="zh-CN"/>
              </w:rPr>
              <w:t>m</w:t>
            </w:r>
            <w:r>
              <w:rPr>
                <w:rFonts w:hint="eastAsia"/>
                <w:color w:val="auto"/>
                <w:highlight w:val="none"/>
                <w:vertAlign w:val="superscript"/>
                <w:lang w:val="en-US" w:eastAsia="zh-CN"/>
              </w:rPr>
              <w:t>2</w:t>
            </w:r>
          </w:p>
        </w:tc>
        <w:tc>
          <w:tcPr>
            <w:tcW w:w="1327" w:type="dxa"/>
            <w:tcBorders>
              <w:tl2br w:val="nil"/>
              <w:tr2bl w:val="nil"/>
            </w:tcBorders>
            <w:vAlign w:val="center"/>
          </w:tcPr>
          <w:p w14:paraId="78ADD693">
            <w:pPr>
              <w:pStyle w:val="41"/>
              <w:widowControl w:val="0"/>
              <w:rPr>
                <w:color w:val="auto"/>
                <w:highlight w:val="none"/>
              </w:rPr>
            </w:pPr>
            <w:r>
              <w:rPr>
                <w:rFonts w:hint="eastAsia"/>
                <w:color w:val="auto"/>
                <w:highlight w:val="none"/>
              </w:rPr>
              <w:t>22120.85</w:t>
            </w:r>
          </w:p>
        </w:tc>
        <w:tc>
          <w:tcPr>
            <w:tcW w:w="2237" w:type="dxa"/>
            <w:tcBorders>
              <w:tl2br w:val="nil"/>
              <w:tr2bl w:val="nil"/>
            </w:tcBorders>
            <w:vAlign w:val="center"/>
          </w:tcPr>
          <w:p w14:paraId="400DCA53">
            <w:pPr>
              <w:pStyle w:val="41"/>
              <w:widowControl w:val="0"/>
              <w:rPr>
                <w:color w:val="auto"/>
                <w:highlight w:val="none"/>
              </w:rPr>
            </w:pPr>
            <w:r>
              <w:rPr>
                <w:rFonts w:hint="eastAsia"/>
                <w:color w:val="auto"/>
                <w:highlight w:val="none"/>
              </w:rPr>
              <w:t>33.18</w:t>
            </w:r>
            <w:r>
              <w:rPr>
                <w:color w:val="auto"/>
                <w:highlight w:val="none"/>
              </w:rPr>
              <w:t>亩</w:t>
            </w:r>
          </w:p>
        </w:tc>
      </w:tr>
      <w:tr w14:paraId="77D2F5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6486F16D">
            <w:pPr>
              <w:pStyle w:val="41"/>
              <w:widowControl w:val="0"/>
              <w:rPr>
                <w:color w:val="auto"/>
                <w:highlight w:val="none"/>
              </w:rPr>
            </w:pPr>
            <w:r>
              <w:rPr>
                <w:color w:val="auto"/>
                <w:highlight w:val="none"/>
              </w:rPr>
              <w:t>3</w:t>
            </w:r>
          </w:p>
        </w:tc>
        <w:tc>
          <w:tcPr>
            <w:tcW w:w="3418" w:type="dxa"/>
            <w:tcBorders>
              <w:tl2br w:val="nil"/>
              <w:tr2bl w:val="nil"/>
            </w:tcBorders>
            <w:vAlign w:val="center"/>
          </w:tcPr>
          <w:p w14:paraId="27E8C056">
            <w:pPr>
              <w:pStyle w:val="41"/>
              <w:widowControl w:val="0"/>
              <w:rPr>
                <w:color w:val="auto"/>
                <w:highlight w:val="none"/>
              </w:rPr>
            </w:pPr>
            <w:r>
              <w:rPr>
                <w:color w:val="auto"/>
                <w:highlight w:val="none"/>
              </w:rPr>
              <w:t>总建筑面积</w:t>
            </w:r>
          </w:p>
        </w:tc>
        <w:tc>
          <w:tcPr>
            <w:tcW w:w="751" w:type="dxa"/>
            <w:tcBorders>
              <w:tl2br w:val="nil"/>
              <w:tr2bl w:val="nil"/>
            </w:tcBorders>
            <w:vAlign w:val="center"/>
          </w:tcPr>
          <w:p w14:paraId="27275FA3">
            <w:pPr>
              <w:keepNext w:val="0"/>
              <w:keepLines w:val="0"/>
              <w:pageBreakBefore w:val="0"/>
              <w:widowControl w:val="0"/>
              <w:kinsoku/>
              <w:wordWrap/>
              <w:overflowPunct/>
              <w:topLinePunct w:val="0"/>
              <w:autoSpaceDE/>
              <w:autoSpaceDN/>
              <w:bidi w:val="0"/>
              <w:adjustRightInd w:val="0"/>
              <w:snapToGrid/>
              <w:spacing w:line="240" w:lineRule="atLeast"/>
              <w:ind w:firstLine="0" w:firstLineChars="0"/>
              <w:jc w:val="center"/>
              <w:textAlignment w:val="auto"/>
              <w:rPr>
                <w:color w:val="auto"/>
                <w:highlight w:val="none"/>
              </w:rPr>
            </w:pPr>
            <w:r>
              <w:rPr>
                <w:rFonts w:hint="eastAsia"/>
                <w:color w:val="auto"/>
                <w:highlight w:val="none"/>
                <w:lang w:val="en-US" w:eastAsia="zh-CN"/>
              </w:rPr>
              <w:t>m</w:t>
            </w:r>
            <w:r>
              <w:rPr>
                <w:rFonts w:hint="eastAsia"/>
                <w:color w:val="auto"/>
                <w:highlight w:val="none"/>
                <w:vertAlign w:val="superscript"/>
                <w:lang w:val="en-US" w:eastAsia="zh-CN"/>
              </w:rPr>
              <w:t>2</w:t>
            </w:r>
          </w:p>
        </w:tc>
        <w:tc>
          <w:tcPr>
            <w:tcW w:w="1327" w:type="dxa"/>
            <w:tcBorders>
              <w:tl2br w:val="nil"/>
              <w:tr2bl w:val="nil"/>
            </w:tcBorders>
            <w:vAlign w:val="center"/>
          </w:tcPr>
          <w:p w14:paraId="2C8CB321">
            <w:pPr>
              <w:pStyle w:val="41"/>
              <w:widowControl w:val="0"/>
              <w:rPr>
                <w:color w:val="auto"/>
                <w:highlight w:val="none"/>
              </w:rPr>
            </w:pPr>
            <w:r>
              <w:rPr>
                <w:rFonts w:hint="eastAsia"/>
                <w:color w:val="auto"/>
                <w:highlight w:val="none"/>
              </w:rPr>
              <w:t>13614.02</w:t>
            </w:r>
          </w:p>
        </w:tc>
        <w:tc>
          <w:tcPr>
            <w:tcW w:w="2237" w:type="dxa"/>
            <w:tcBorders>
              <w:tl2br w:val="nil"/>
              <w:tr2bl w:val="nil"/>
            </w:tcBorders>
            <w:vAlign w:val="center"/>
          </w:tcPr>
          <w:p w14:paraId="2CC0B455">
            <w:pPr>
              <w:pStyle w:val="41"/>
              <w:widowControl w:val="0"/>
              <w:rPr>
                <w:color w:val="auto"/>
                <w:highlight w:val="none"/>
              </w:rPr>
            </w:pPr>
          </w:p>
        </w:tc>
      </w:tr>
      <w:tr w14:paraId="1F72F8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731A3FD3">
            <w:pPr>
              <w:pStyle w:val="41"/>
              <w:widowControl w:val="0"/>
              <w:rPr>
                <w:color w:val="auto"/>
                <w:highlight w:val="none"/>
              </w:rPr>
            </w:pPr>
            <w:r>
              <w:rPr>
                <w:color w:val="auto"/>
                <w:highlight w:val="none"/>
              </w:rPr>
              <w:t>4</w:t>
            </w:r>
          </w:p>
        </w:tc>
        <w:tc>
          <w:tcPr>
            <w:tcW w:w="3418" w:type="dxa"/>
            <w:tcBorders>
              <w:tl2br w:val="nil"/>
              <w:tr2bl w:val="nil"/>
            </w:tcBorders>
            <w:vAlign w:val="center"/>
          </w:tcPr>
          <w:p w14:paraId="510F775D">
            <w:pPr>
              <w:pStyle w:val="41"/>
              <w:widowControl w:val="0"/>
              <w:rPr>
                <w:color w:val="auto"/>
                <w:highlight w:val="none"/>
              </w:rPr>
            </w:pPr>
            <w:r>
              <w:rPr>
                <w:color w:val="auto"/>
                <w:highlight w:val="none"/>
              </w:rPr>
              <w:t>建构筑物占地面积</w:t>
            </w:r>
          </w:p>
        </w:tc>
        <w:tc>
          <w:tcPr>
            <w:tcW w:w="751" w:type="dxa"/>
            <w:tcBorders>
              <w:tl2br w:val="nil"/>
              <w:tr2bl w:val="nil"/>
            </w:tcBorders>
            <w:vAlign w:val="center"/>
          </w:tcPr>
          <w:p w14:paraId="59631269">
            <w:pPr>
              <w:keepNext w:val="0"/>
              <w:keepLines w:val="0"/>
              <w:pageBreakBefore w:val="0"/>
              <w:widowControl w:val="0"/>
              <w:kinsoku/>
              <w:wordWrap/>
              <w:overflowPunct/>
              <w:topLinePunct w:val="0"/>
              <w:autoSpaceDE/>
              <w:autoSpaceDN/>
              <w:bidi w:val="0"/>
              <w:adjustRightInd w:val="0"/>
              <w:snapToGrid/>
              <w:spacing w:line="240" w:lineRule="atLeast"/>
              <w:ind w:firstLine="0" w:firstLineChars="0"/>
              <w:jc w:val="center"/>
              <w:textAlignment w:val="auto"/>
              <w:rPr>
                <w:color w:val="auto"/>
                <w:highlight w:val="none"/>
              </w:rPr>
            </w:pPr>
            <w:r>
              <w:rPr>
                <w:rFonts w:hint="eastAsia"/>
                <w:color w:val="auto"/>
                <w:highlight w:val="none"/>
                <w:lang w:val="en-US" w:eastAsia="zh-CN"/>
              </w:rPr>
              <w:t>m</w:t>
            </w:r>
            <w:r>
              <w:rPr>
                <w:rFonts w:hint="eastAsia"/>
                <w:color w:val="auto"/>
                <w:highlight w:val="none"/>
                <w:vertAlign w:val="superscript"/>
                <w:lang w:val="en-US" w:eastAsia="zh-CN"/>
              </w:rPr>
              <w:t>2</w:t>
            </w:r>
          </w:p>
        </w:tc>
        <w:tc>
          <w:tcPr>
            <w:tcW w:w="1327" w:type="dxa"/>
            <w:tcBorders>
              <w:tl2br w:val="nil"/>
              <w:tr2bl w:val="nil"/>
            </w:tcBorders>
            <w:vAlign w:val="center"/>
          </w:tcPr>
          <w:p w14:paraId="48C62800">
            <w:pPr>
              <w:pStyle w:val="41"/>
              <w:widowControl w:val="0"/>
              <w:rPr>
                <w:color w:val="auto"/>
                <w:highlight w:val="none"/>
              </w:rPr>
            </w:pPr>
            <w:r>
              <w:rPr>
                <w:rFonts w:hint="eastAsia"/>
                <w:color w:val="auto"/>
                <w:highlight w:val="none"/>
              </w:rPr>
              <w:t>3422.94</w:t>
            </w:r>
          </w:p>
        </w:tc>
        <w:tc>
          <w:tcPr>
            <w:tcW w:w="2237" w:type="dxa"/>
            <w:tcBorders>
              <w:tl2br w:val="nil"/>
              <w:tr2bl w:val="nil"/>
            </w:tcBorders>
            <w:vAlign w:val="center"/>
          </w:tcPr>
          <w:p w14:paraId="74F96A61">
            <w:pPr>
              <w:pStyle w:val="41"/>
              <w:widowControl w:val="0"/>
              <w:rPr>
                <w:color w:val="auto"/>
                <w:highlight w:val="none"/>
              </w:rPr>
            </w:pPr>
          </w:p>
        </w:tc>
      </w:tr>
      <w:tr w14:paraId="2F118E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18A24139">
            <w:pPr>
              <w:pStyle w:val="41"/>
              <w:widowControl w:val="0"/>
              <w:rPr>
                <w:color w:val="auto"/>
                <w:highlight w:val="none"/>
              </w:rPr>
            </w:pPr>
            <w:r>
              <w:rPr>
                <w:color w:val="auto"/>
                <w:highlight w:val="none"/>
              </w:rPr>
              <w:t>5</w:t>
            </w:r>
          </w:p>
        </w:tc>
        <w:tc>
          <w:tcPr>
            <w:tcW w:w="3418" w:type="dxa"/>
            <w:tcBorders>
              <w:tl2br w:val="nil"/>
              <w:tr2bl w:val="nil"/>
            </w:tcBorders>
            <w:vAlign w:val="center"/>
          </w:tcPr>
          <w:p w14:paraId="23ACD3EB">
            <w:pPr>
              <w:pStyle w:val="41"/>
              <w:widowControl w:val="0"/>
              <w:rPr>
                <w:color w:val="auto"/>
                <w:highlight w:val="none"/>
              </w:rPr>
            </w:pPr>
            <w:r>
              <w:rPr>
                <w:color w:val="auto"/>
                <w:highlight w:val="none"/>
              </w:rPr>
              <w:t>容积率</w:t>
            </w:r>
          </w:p>
        </w:tc>
        <w:tc>
          <w:tcPr>
            <w:tcW w:w="751" w:type="dxa"/>
            <w:tcBorders>
              <w:tl2br w:val="nil"/>
              <w:tr2bl w:val="nil"/>
            </w:tcBorders>
            <w:vAlign w:val="center"/>
          </w:tcPr>
          <w:p w14:paraId="384A984B">
            <w:pPr>
              <w:pStyle w:val="41"/>
              <w:widowControl w:val="0"/>
              <w:rPr>
                <w:color w:val="auto"/>
                <w:highlight w:val="none"/>
              </w:rPr>
            </w:pPr>
          </w:p>
        </w:tc>
        <w:tc>
          <w:tcPr>
            <w:tcW w:w="1327" w:type="dxa"/>
            <w:tcBorders>
              <w:tl2br w:val="nil"/>
              <w:tr2bl w:val="nil"/>
            </w:tcBorders>
            <w:vAlign w:val="center"/>
          </w:tcPr>
          <w:p w14:paraId="20C13862">
            <w:pPr>
              <w:pStyle w:val="41"/>
              <w:widowControl w:val="0"/>
              <w:rPr>
                <w:color w:val="auto"/>
                <w:highlight w:val="none"/>
              </w:rPr>
            </w:pPr>
            <w:r>
              <w:rPr>
                <w:color w:val="auto"/>
                <w:highlight w:val="none"/>
              </w:rPr>
              <w:t>0.</w:t>
            </w:r>
            <w:r>
              <w:rPr>
                <w:rFonts w:hint="eastAsia"/>
                <w:color w:val="auto"/>
                <w:highlight w:val="none"/>
              </w:rPr>
              <w:t>59</w:t>
            </w:r>
          </w:p>
        </w:tc>
        <w:tc>
          <w:tcPr>
            <w:tcW w:w="2237" w:type="dxa"/>
            <w:tcBorders>
              <w:tl2br w:val="nil"/>
              <w:tr2bl w:val="nil"/>
            </w:tcBorders>
            <w:vAlign w:val="center"/>
          </w:tcPr>
          <w:p w14:paraId="2F9CD7DA">
            <w:pPr>
              <w:pStyle w:val="41"/>
              <w:widowControl w:val="0"/>
              <w:rPr>
                <w:color w:val="auto"/>
                <w:highlight w:val="none"/>
              </w:rPr>
            </w:pPr>
          </w:p>
        </w:tc>
      </w:tr>
      <w:tr w14:paraId="750A14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4F8C0997">
            <w:pPr>
              <w:pStyle w:val="41"/>
              <w:widowControl w:val="0"/>
              <w:rPr>
                <w:color w:val="auto"/>
                <w:highlight w:val="none"/>
              </w:rPr>
            </w:pPr>
            <w:r>
              <w:rPr>
                <w:color w:val="auto"/>
                <w:highlight w:val="none"/>
              </w:rPr>
              <w:t>6</w:t>
            </w:r>
          </w:p>
        </w:tc>
        <w:tc>
          <w:tcPr>
            <w:tcW w:w="3418" w:type="dxa"/>
            <w:tcBorders>
              <w:tl2br w:val="nil"/>
              <w:tr2bl w:val="nil"/>
            </w:tcBorders>
            <w:vAlign w:val="center"/>
          </w:tcPr>
          <w:p w14:paraId="4A58D0DA">
            <w:pPr>
              <w:pStyle w:val="41"/>
              <w:widowControl w:val="0"/>
              <w:rPr>
                <w:color w:val="auto"/>
                <w:highlight w:val="none"/>
              </w:rPr>
            </w:pPr>
            <w:r>
              <w:rPr>
                <w:color w:val="auto"/>
                <w:highlight w:val="none"/>
              </w:rPr>
              <w:t>建筑系数</w:t>
            </w:r>
          </w:p>
        </w:tc>
        <w:tc>
          <w:tcPr>
            <w:tcW w:w="751" w:type="dxa"/>
            <w:tcBorders>
              <w:tl2br w:val="nil"/>
              <w:tr2bl w:val="nil"/>
            </w:tcBorders>
            <w:vAlign w:val="center"/>
          </w:tcPr>
          <w:p w14:paraId="4C5123B8">
            <w:pPr>
              <w:pStyle w:val="41"/>
              <w:widowControl w:val="0"/>
              <w:rPr>
                <w:color w:val="auto"/>
                <w:highlight w:val="none"/>
              </w:rPr>
            </w:pPr>
            <w:r>
              <w:rPr>
                <w:color w:val="auto"/>
                <w:highlight w:val="none"/>
              </w:rPr>
              <w:t>%</w:t>
            </w:r>
          </w:p>
        </w:tc>
        <w:tc>
          <w:tcPr>
            <w:tcW w:w="1327" w:type="dxa"/>
            <w:tcBorders>
              <w:tl2br w:val="nil"/>
              <w:tr2bl w:val="nil"/>
            </w:tcBorders>
            <w:vAlign w:val="center"/>
          </w:tcPr>
          <w:p w14:paraId="5FD43298">
            <w:pPr>
              <w:pStyle w:val="41"/>
              <w:widowControl w:val="0"/>
              <w:rPr>
                <w:color w:val="auto"/>
                <w:highlight w:val="none"/>
              </w:rPr>
            </w:pPr>
            <w:r>
              <w:rPr>
                <w:rFonts w:hint="eastAsia"/>
                <w:color w:val="auto"/>
                <w:highlight w:val="none"/>
              </w:rPr>
              <w:t>16</w:t>
            </w:r>
          </w:p>
        </w:tc>
        <w:tc>
          <w:tcPr>
            <w:tcW w:w="2237" w:type="dxa"/>
            <w:tcBorders>
              <w:tl2br w:val="nil"/>
              <w:tr2bl w:val="nil"/>
            </w:tcBorders>
            <w:vAlign w:val="center"/>
          </w:tcPr>
          <w:p w14:paraId="6AA5C882">
            <w:pPr>
              <w:pStyle w:val="41"/>
              <w:widowControl w:val="0"/>
              <w:rPr>
                <w:color w:val="auto"/>
                <w:highlight w:val="none"/>
              </w:rPr>
            </w:pPr>
          </w:p>
        </w:tc>
      </w:tr>
      <w:tr w14:paraId="403F56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1EC1FE5F">
            <w:pPr>
              <w:pStyle w:val="41"/>
              <w:widowControl w:val="0"/>
              <w:rPr>
                <w:color w:val="auto"/>
                <w:highlight w:val="none"/>
              </w:rPr>
            </w:pPr>
            <w:r>
              <w:rPr>
                <w:color w:val="auto"/>
                <w:highlight w:val="none"/>
              </w:rPr>
              <w:t>7</w:t>
            </w:r>
          </w:p>
        </w:tc>
        <w:tc>
          <w:tcPr>
            <w:tcW w:w="3418" w:type="dxa"/>
            <w:tcBorders>
              <w:tl2br w:val="nil"/>
              <w:tr2bl w:val="nil"/>
            </w:tcBorders>
            <w:vAlign w:val="center"/>
          </w:tcPr>
          <w:p w14:paraId="13484414">
            <w:pPr>
              <w:pStyle w:val="41"/>
              <w:widowControl w:val="0"/>
              <w:rPr>
                <w:color w:val="auto"/>
                <w:highlight w:val="none"/>
              </w:rPr>
            </w:pPr>
            <w:r>
              <w:rPr>
                <w:color w:val="auto"/>
                <w:highlight w:val="none"/>
              </w:rPr>
              <w:t>绿化用地面积</w:t>
            </w:r>
          </w:p>
        </w:tc>
        <w:tc>
          <w:tcPr>
            <w:tcW w:w="751" w:type="dxa"/>
            <w:tcBorders>
              <w:tl2br w:val="nil"/>
              <w:tr2bl w:val="nil"/>
            </w:tcBorders>
            <w:vAlign w:val="center"/>
          </w:tcPr>
          <w:p w14:paraId="56686445">
            <w:pPr>
              <w:pStyle w:val="41"/>
              <w:widowControl w:val="0"/>
              <w:rPr>
                <w:color w:val="auto"/>
                <w:highlight w:val="none"/>
              </w:rPr>
            </w:pPr>
            <w:r>
              <w:rPr>
                <w:rFonts w:hint="eastAsia"/>
                <w:color w:val="auto"/>
                <w:highlight w:val="none"/>
                <w:lang w:val="en-US" w:eastAsia="zh-CN"/>
              </w:rPr>
              <w:t>m</w:t>
            </w:r>
            <w:r>
              <w:rPr>
                <w:rFonts w:hint="eastAsia"/>
                <w:color w:val="auto"/>
                <w:highlight w:val="none"/>
                <w:vertAlign w:val="superscript"/>
                <w:lang w:val="en-US" w:eastAsia="zh-CN"/>
              </w:rPr>
              <w:t>2</w:t>
            </w:r>
          </w:p>
        </w:tc>
        <w:tc>
          <w:tcPr>
            <w:tcW w:w="1327" w:type="dxa"/>
            <w:tcBorders>
              <w:tl2br w:val="nil"/>
              <w:tr2bl w:val="nil"/>
            </w:tcBorders>
            <w:vAlign w:val="center"/>
          </w:tcPr>
          <w:p w14:paraId="7DDB7CF6">
            <w:pPr>
              <w:pStyle w:val="41"/>
              <w:widowControl w:val="0"/>
              <w:rPr>
                <w:color w:val="auto"/>
                <w:highlight w:val="none"/>
              </w:rPr>
            </w:pPr>
            <w:r>
              <w:rPr>
                <w:color w:val="auto"/>
                <w:highlight w:val="none"/>
              </w:rPr>
              <w:t>3</w:t>
            </w:r>
            <w:r>
              <w:rPr>
                <w:rFonts w:hint="eastAsia"/>
                <w:color w:val="auto"/>
                <w:highlight w:val="none"/>
              </w:rPr>
              <w:t>670.00</w:t>
            </w:r>
          </w:p>
        </w:tc>
        <w:tc>
          <w:tcPr>
            <w:tcW w:w="2237" w:type="dxa"/>
            <w:tcBorders>
              <w:tl2br w:val="nil"/>
              <w:tr2bl w:val="nil"/>
            </w:tcBorders>
            <w:vAlign w:val="center"/>
          </w:tcPr>
          <w:p w14:paraId="6855D7A9">
            <w:pPr>
              <w:pStyle w:val="41"/>
              <w:widowControl w:val="0"/>
              <w:rPr>
                <w:color w:val="auto"/>
                <w:highlight w:val="none"/>
              </w:rPr>
            </w:pPr>
          </w:p>
        </w:tc>
      </w:tr>
      <w:tr w14:paraId="036DF3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58EADEA3">
            <w:pPr>
              <w:pStyle w:val="41"/>
              <w:widowControl w:val="0"/>
              <w:rPr>
                <w:color w:val="auto"/>
                <w:highlight w:val="none"/>
              </w:rPr>
            </w:pPr>
            <w:r>
              <w:rPr>
                <w:color w:val="auto"/>
                <w:highlight w:val="none"/>
              </w:rPr>
              <w:t>8</w:t>
            </w:r>
          </w:p>
        </w:tc>
        <w:tc>
          <w:tcPr>
            <w:tcW w:w="3418" w:type="dxa"/>
            <w:tcBorders>
              <w:tl2br w:val="nil"/>
              <w:tr2bl w:val="nil"/>
            </w:tcBorders>
            <w:vAlign w:val="center"/>
          </w:tcPr>
          <w:p w14:paraId="456BFAFE">
            <w:pPr>
              <w:pStyle w:val="41"/>
              <w:widowControl w:val="0"/>
              <w:rPr>
                <w:color w:val="auto"/>
                <w:highlight w:val="none"/>
              </w:rPr>
            </w:pPr>
            <w:r>
              <w:rPr>
                <w:color w:val="auto"/>
                <w:highlight w:val="none"/>
              </w:rPr>
              <w:t>绿地率</w:t>
            </w:r>
          </w:p>
        </w:tc>
        <w:tc>
          <w:tcPr>
            <w:tcW w:w="751" w:type="dxa"/>
            <w:tcBorders>
              <w:tl2br w:val="nil"/>
              <w:tr2bl w:val="nil"/>
            </w:tcBorders>
            <w:vAlign w:val="center"/>
          </w:tcPr>
          <w:p w14:paraId="5A88ABB4">
            <w:pPr>
              <w:pStyle w:val="41"/>
              <w:widowControl w:val="0"/>
              <w:rPr>
                <w:color w:val="auto"/>
                <w:highlight w:val="none"/>
              </w:rPr>
            </w:pPr>
            <w:r>
              <w:rPr>
                <w:color w:val="auto"/>
                <w:highlight w:val="none"/>
              </w:rPr>
              <w:t>%</w:t>
            </w:r>
          </w:p>
        </w:tc>
        <w:tc>
          <w:tcPr>
            <w:tcW w:w="1327" w:type="dxa"/>
            <w:tcBorders>
              <w:tl2br w:val="nil"/>
              <w:tr2bl w:val="nil"/>
            </w:tcBorders>
            <w:vAlign w:val="center"/>
          </w:tcPr>
          <w:p w14:paraId="482FF287">
            <w:pPr>
              <w:pStyle w:val="41"/>
              <w:widowControl w:val="0"/>
              <w:rPr>
                <w:color w:val="auto"/>
                <w:highlight w:val="none"/>
              </w:rPr>
            </w:pPr>
            <w:r>
              <w:rPr>
                <w:rFonts w:hint="eastAsia"/>
                <w:color w:val="auto"/>
                <w:highlight w:val="none"/>
              </w:rPr>
              <w:t>17</w:t>
            </w:r>
          </w:p>
        </w:tc>
        <w:tc>
          <w:tcPr>
            <w:tcW w:w="2237" w:type="dxa"/>
            <w:tcBorders>
              <w:tl2br w:val="nil"/>
              <w:tr2bl w:val="nil"/>
            </w:tcBorders>
            <w:vAlign w:val="center"/>
          </w:tcPr>
          <w:p w14:paraId="72781296">
            <w:pPr>
              <w:pStyle w:val="41"/>
              <w:widowControl w:val="0"/>
              <w:rPr>
                <w:color w:val="auto"/>
                <w:highlight w:val="none"/>
              </w:rPr>
            </w:pPr>
          </w:p>
        </w:tc>
      </w:tr>
      <w:tr w14:paraId="4DF0BD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2C2D4FA4">
            <w:pPr>
              <w:pStyle w:val="41"/>
              <w:widowControl w:val="0"/>
              <w:rPr>
                <w:color w:val="auto"/>
                <w:highlight w:val="none"/>
              </w:rPr>
            </w:pPr>
            <w:r>
              <w:rPr>
                <w:color w:val="auto"/>
                <w:highlight w:val="none"/>
              </w:rPr>
              <w:t>9</w:t>
            </w:r>
          </w:p>
        </w:tc>
        <w:tc>
          <w:tcPr>
            <w:tcW w:w="3418" w:type="dxa"/>
            <w:tcBorders>
              <w:tl2br w:val="nil"/>
              <w:tr2bl w:val="nil"/>
            </w:tcBorders>
            <w:vAlign w:val="center"/>
          </w:tcPr>
          <w:p w14:paraId="61550B36">
            <w:pPr>
              <w:pStyle w:val="41"/>
              <w:widowControl w:val="0"/>
              <w:rPr>
                <w:color w:val="auto"/>
                <w:highlight w:val="none"/>
              </w:rPr>
            </w:pPr>
            <w:r>
              <w:rPr>
                <w:color w:val="auto"/>
                <w:highlight w:val="none"/>
              </w:rPr>
              <w:t>道路及广场用地面积</w:t>
            </w:r>
          </w:p>
        </w:tc>
        <w:tc>
          <w:tcPr>
            <w:tcW w:w="751" w:type="dxa"/>
            <w:tcBorders>
              <w:tl2br w:val="nil"/>
              <w:tr2bl w:val="nil"/>
            </w:tcBorders>
            <w:vAlign w:val="center"/>
          </w:tcPr>
          <w:p w14:paraId="169BFF25">
            <w:pPr>
              <w:pStyle w:val="41"/>
              <w:widowControl w:val="0"/>
              <w:rPr>
                <w:color w:val="auto"/>
                <w:highlight w:val="none"/>
              </w:rPr>
            </w:pPr>
            <w:r>
              <w:rPr>
                <w:rFonts w:hint="eastAsia"/>
                <w:color w:val="auto"/>
                <w:highlight w:val="none"/>
                <w:lang w:val="en-US" w:eastAsia="zh-CN"/>
              </w:rPr>
              <w:t>m</w:t>
            </w:r>
            <w:r>
              <w:rPr>
                <w:rFonts w:hint="eastAsia"/>
                <w:color w:val="auto"/>
                <w:highlight w:val="none"/>
                <w:vertAlign w:val="superscript"/>
                <w:lang w:val="en-US" w:eastAsia="zh-CN"/>
              </w:rPr>
              <w:t>2</w:t>
            </w:r>
          </w:p>
        </w:tc>
        <w:tc>
          <w:tcPr>
            <w:tcW w:w="1327" w:type="dxa"/>
            <w:tcBorders>
              <w:tl2br w:val="nil"/>
              <w:tr2bl w:val="nil"/>
            </w:tcBorders>
            <w:vAlign w:val="center"/>
          </w:tcPr>
          <w:p w14:paraId="7997F0D3">
            <w:pPr>
              <w:pStyle w:val="41"/>
              <w:widowControl w:val="0"/>
              <w:rPr>
                <w:color w:val="auto"/>
                <w:highlight w:val="none"/>
              </w:rPr>
            </w:pPr>
            <w:r>
              <w:rPr>
                <w:rFonts w:hint="eastAsia"/>
                <w:color w:val="auto"/>
                <w:highlight w:val="none"/>
              </w:rPr>
              <w:t>6090.00</w:t>
            </w:r>
          </w:p>
        </w:tc>
        <w:tc>
          <w:tcPr>
            <w:tcW w:w="2237" w:type="dxa"/>
            <w:tcBorders>
              <w:tl2br w:val="nil"/>
              <w:tr2bl w:val="nil"/>
            </w:tcBorders>
            <w:vAlign w:val="center"/>
          </w:tcPr>
          <w:p w14:paraId="54FECC4E">
            <w:pPr>
              <w:pStyle w:val="41"/>
              <w:widowControl w:val="0"/>
              <w:rPr>
                <w:color w:val="auto"/>
                <w:highlight w:val="none"/>
              </w:rPr>
            </w:pPr>
          </w:p>
        </w:tc>
      </w:tr>
      <w:tr w14:paraId="782F63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27AA756A">
            <w:pPr>
              <w:pStyle w:val="41"/>
              <w:widowControl w:val="0"/>
              <w:rPr>
                <w:color w:val="auto"/>
                <w:highlight w:val="none"/>
              </w:rPr>
            </w:pPr>
            <w:r>
              <w:rPr>
                <w:rFonts w:hint="eastAsia"/>
                <w:color w:val="auto"/>
                <w:highlight w:val="none"/>
              </w:rPr>
              <w:t>10</w:t>
            </w:r>
          </w:p>
        </w:tc>
        <w:tc>
          <w:tcPr>
            <w:tcW w:w="3418" w:type="dxa"/>
            <w:tcBorders>
              <w:tl2br w:val="nil"/>
              <w:tr2bl w:val="nil"/>
            </w:tcBorders>
            <w:vAlign w:val="center"/>
          </w:tcPr>
          <w:p w14:paraId="516720E0">
            <w:pPr>
              <w:pStyle w:val="41"/>
              <w:widowControl w:val="0"/>
              <w:rPr>
                <w:color w:val="auto"/>
                <w:highlight w:val="none"/>
              </w:rPr>
            </w:pPr>
            <w:r>
              <w:rPr>
                <w:color w:val="auto"/>
                <w:highlight w:val="none"/>
              </w:rPr>
              <w:t>道路系数</w:t>
            </w:r>
          </w:p>
        </w:tc>
        <w:tc>
          <w:tcPr>
            <w:tcW w:w="751" w:type="dxa"/>
            <w:tcBorders>
              <w:tl2br w:val="nil"/>
              <w:tr2bl w:val="nil"/>
            </w:tcBorders>
            <w:vAlign w:val="center"/>
          </w:tcPr>
          <w:p w14:paraId="7C650225">
            <w:pPr>
              <w:pStyle w:val="41"/>
              <w:widowControl w:val="0"/>
              <w:rPr>
                <w:color w:val="auto"/>
                <w:highlight w:val="none"/>
              </w:rPr>
            </w:pPr>
            <w:r>
              <w:rPr>
                <w:color w:val="auto"/>
                <w:highlight w:val="none"/>
              </w:rPr>
              <w:t>%</w:t>
            </w:r>
          </w:p>
        </w:tc>
        <w:tc>
          <w:tcPr>
            <w:tcW w:w="1327" w:type="dxa"/>
            <w:tcBorders>
              <w:tl2br w:val="nil"/>
              <w:tr2bl w:val="nil"/>
            </w:tcBorders>
            <w:vAlign w:val="center"/>
          </w:tcPr>
          <w:p w14:paraId="4A103E4D">
            <w:pPr>
              <w:pStyle w:val="41"/>
              <w:widowControl w:val="0"/>
              <w:rPr>
                <w:color w:val="auto"/>
                <w:highlight w:val="none"/>
              </w:rPr>
            </w:pPr>
            <w:r>
              <w:rPr>
                <w:rFonts w:hint="eastAsia"/>
                <w:color w:val="auto"/>
                <w:highlight w:val="none"/>
              </w:rPr>
              <w:t>28</w:t>
            </w:r>
          </w:p>
        </w:tc>
        <w:tc>
          <w:tcPr>
            <w:tcW w:w="2237" w:type="dxa"/>
            <w:tcBorders>
              <w:tl2br w:val="nil"/>
              <w:tr2bl w:val="nil"/>
            </w:tcBorders>
            <w:vAlign w:val="center"/>
          </w:tcPr>
          <w:p w14:paraId="6C32E95C">
            <w:pPr>
              <w:pStyle w:val="41"/>
              <w:widowControl w:val="0"/>
              <w:rPr>
                <w:color w:val="auto"/>
                <w:highlight w:val="none"/>
              </w:rPr>
            </w:pPr>
          </w:p>
        </w:tc>
      </w:tr>
      <w:tr w14:paraId="6C8A3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4CF635D8">
            <w:pPr>
              <w:pStyle w:val="41"/>
              <w:widowControl w:val="0"/>
              <w:rPr>
                <w:color w:val="auto"/>
                <w:highlight w:val="none"/>
              </w:rPr>
            </w:pPr>
            <w:r>
              <w:rPr>
                <w:rFonts w:hint="eastAsia"/>
                <w:color w:val="auto"/>
                <w:highlight w:val="none"/>
              </w:rPr>
              <w:t>11</w:t>
            </w:r>
          </w:p>
        </w:tc>
        <w:tc>
          <w:tcPr>
            <w:tcW w:w="3418" w:type="dxa"/>
            <w:tcBorders>
              <w:tl2br w:val="nil"/>
              <w:tr2bl w:val="nil"/>
            </w:tcBorders>
            <w:vAlign w:val="center"/>
          </w:tcPr>
          <w:p w14:paraId="1C7C6B86">
            <w:pPr>
              <w:pStyle w:val="41"/>
              <w:widowControl w:val="0"/>
              <w:rPr>
                <w:color w:val="auto"/>
                <w:highlight w:val="none"/>
              </w:rPr>
            </w:pPr>
            <w:r>
              <w:rPr>
                <w:color w:val="auto"/>
                <w:highlight w:val="none"/>
              </w:rPr>
              <w:t>行政办公及生活服务设施占地比例</w:t>
            </w:r>
          </w:p>
        </w:tc>
        <w:tc>
          <w:tcPr>
            <w:tcW w:w="751" w:type="dxa"/>
            <w:tcBorders>
              <w:tl2br w:val="nil"/>
              <w:tr2bl w:val="nil"/>
            </w:tcBorders>
            <w:vAlign w:val="center"/>
          </w:tcPr>
          <w:p w14:paraId="6C35B52A">
            <w:pPr>
              <w:pStyle w:val="41"/>
              <w:widowControl w:val="0"/>
              <w:rPr>
                <w:color w:val="auto"/>
                <w:highlight w:val="none"/>
              </w:rPr>
            </w:pPr>
            <w:r>
              <w:rPr>
                <w:color w:val="auto"/>
                <w:highlight w:val="none"/>
              </w:rPr>
              <w:t>%</w:t>
            </w:r>
          </w:p>
        </w:tc>
        <w:tc>
          <w:tcPr>
            <w:tcW w:w="1327" w:type="dxa"/>
            <w:tcBorders>
              <w:tl2br w:val="nil"/>
              <w:tr2bl w:val="nil"/>
            </w:tcBorders>
            <w:vAlign w:val="center"/>
          </w:tcPr>
          <w:p w14:paraId="63740304">
            <w:pPr>
              <w:pStyle w:val="41"/>
              <w:widowControl w:val="0"/>
              <w:rPr>
                <w:color w:val="auto"/>
                <w:highlight w:val="none"/>
              </w:rPr>
            </w:pPr>
            <w:r>
              <w:rPr>
                <w:rFonts w:hint="eastAsia"/>
                <w:color w:val="auto"/>
                <w:highlight w:val="none"/>
              </w:rPr>
              <w:t>5.62</w:t>
            </w:r>
          </w:p>
        </w:tc>
        <w:tc>
          <w:tcPr>
            <w:tcW w:w="2237" w:type="dxa"/>
            <w:tcBorders>
              <w:tl2br w:val="nil"/>
              <w:tr2bl w:val="nil"/>
            </w:tcBorders>
            <w:vAlign w:val="center"/>
          </w:tcPr>
          <w:p w14:paraId="74A4ACE8">
            <w:pPr>
              <w:pStyle w:val="41"/>
              <w:widowControl w:val="0"/>
              <w:rPr>
                <w:color w:val="auto"/>
                <w:highlight w:val="none"/>
              </w:rPr>
            </w:pPr>
          </w:p>
        </w:tc>
      </w:tr>
    </w:tbl>
    <w:p w14:paraId="0D269A40">
      <w:pPr>
        <w:pStyle w:val="40"/>
        <w:spacing w:before="31" w:after="31"/>
        <w:rPr>
          <w:color w:val="auto"/>
          <w:highlight w:val="none"/>
        </w:rPr>
      </w:pPr>
      <w:r>
        <w:rPr>
          <w:rFonts w:hint="eastAsia"/>
          <w:color w:val="auto"/>
          <w:highlight w:val="none"/>
        </w:rPr>
        <w:t>表3.2-1</w:t>
      </w:r>
      <w:r>
        <w:rPr>
          <w:rFonts w:hint="eastAsia"/>
          <w:color w:val="auto"/>
          <w:highlight w:val="none"/>
          <w:lang w:val="en-US" w:eastAsia="zh-CN"/>
        </w:rPr>
        <w:t>2</w:t>
      </w:r>
      <w:r>
        <w:rPr>
          <w:rFonts w:hint="eastAsia"/>
          <w:color w:val="auto"/>
          <w:highlight w:val="none"/>
        </w:rPr>
        <w:t xml:space="preserve">    </w:t>
      </w:r>
      <w:r>
        <w:rPr>
          <w:color w:val="auto"/>
          <w:highlight w:val="none"/>
        </w:rPr>
        <w:t>选矿厂</w:t>
      </w:r>
      <w:r>
        <w:rPr>
          <w:rFonts w:hint="eastAsia"/>
          <w:color w:val="auto"/>
          <w:highlight w:val="none"/>
        </w:rPr>
        <w:t>“预留生产用地”</w:t>
      </w:r>
      <w:r>
        <w:rPr>
          <w:color w:val="auto"/>
          <w:highlight w:val="none"/>
        </w:rPr>
        <w:t>主要技术经济指标表</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95"/>
        <w:gridCol w:w="3415"/>
        <w:gridCol w:w="751"/>
        <w:gridCol w:w="1326"/>
        <w:gridCol w:w="2235"/>
      </w:tblGrid>
      <w:tr w14:paraId="759B6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6" w:type="dxa"/>
            <w:tcBorders>
              <w:tl2br w:val="nil"/>
              <w:tr2bl w:val="nil"/>
            </w:tcBorders>
            <w:vAlign w:val="center"/>
          </w:tcPr>
          <w:p w14:paraId="1CF844D2">
            <w:pPr>
              <w:pStyle w:val="41"/>
              <w:widowControl w:val="0"/>
              <w:rPr>
                <w:color w:val="auto"/>
                <w:highlight w:val="none"/>
              </w:rPr>
            </w:pPr>
            <w:r>
              <w:rPr>
                <w:color w:val="auto"/>
                <w:highlight w:val="none"/>
              </w:rPr>
              <w:t>序号</w:t>
            </w:r>
          </w:p>
        </w:tc>
        <w:tc>
          <w:tcPr>
            <w:tcW w:w="3418" w:type="dxa"/>
            <w:tcBorders>
              <w:tl2br w:val="nil"/>
              <w:tr2bl w:val="nil"/>
            </w:tcBorders>
            <w:vAlign w:val="center"/>
          </w:tcPr>
          <w:p w14:paraId="7B74EF46">
            <w:pPr>
              <w:pStyle w:val="41"/>
              <w:widowControl w:val="0"/>
              <w:rPr>
                <w:color w:val="auto"/>
                <w:highlight w:val="none"/>
              </w:rPr>
            </w:pPr>
            <w:r>
              <w:rPr>
                <w:color w:val="auto"/>
                <w:highlight w:val="none"/>
              </w:rPr>
              <w:t>技术经济指标</w:t>
            </w:r>
          </w:p>
        </w:tc>
        <w:tc>
          <w:tcPr>
            <w:tcW w:w="751" w:type="dxa"/>
            <w:tcBorders>
              <w:tl2br w:val="nil"/>
              <w:tr2bl w:val="nil"/>
            </w:tcBorders>
            <w:vAlign w:val="center"/>
          </w:tcPr>
          <w:p w14:paraId="500C391B">
            <w:pPr>
              <w:pStyle w:val="41"/>
              <w:widowControl w:val="0"/>
              <w:rPr>
                <w:color w:val="auto"/>
                <w:highlight w:val="none"/>
              </w:rPr>
            </w:pPr>
            <w:r>
              <w:rPr>
                <w:color w:val="auto"/>
                <w:highlight w:val="none"/>
              </w:rPr>
              <w:t>单位</w:t>
            </w:r>
          </w:p>
        </w:tc>
        <w:tc>
          <w:tcPr>
            <w:tcW w:w="1327" w:type="dxa"/>
            <w:tcBorders>
              <w:tl2br w:val="nil"/>
              <w:tr2bl w:val="nil"/>
            </w:tcBorders>
            <w:vAlign w:val="center"/>
          </w:tcPr>
          <w:p w14:paraId="7FF79134">
            <w:pPr>
              <w:pStyle w:val="41"/>
              <w:widowControl w:val="0"/>
              <w:rPr>
                <w:color w:val="auto"/>
                <w:highlight w:val="none"/>
              </w:rPr>
            </w:pPr>
            <w:r>
              <w:rPr>
                <w:color w:val="auto"/>
                <w:highlight w:val="none"/>
              </w:rPr>
              <w:t>数值</w:t>
            </w:r>
          </w:p>
        </w:tc>
        <w:tc>
          <w:tcPr>
            <w:tcW w:w="2237" w:type="dxa"/>
            <w:tcBorders>
              <w:tl2br w:val="nil"/>
              <w:tr2bl w:val="nil"/>
            </w:tcBorders>
            <w:vAlign w:val="center"/>
          </w:tcPr>
          <w:p w14:paraId="578A7445">
            <w:pPr>
              <w:pStyle w:val="41"/>
              <w:widowControl w:val="0"/>
              <w:rPr>
                <w:color w:val="auto"/>
                <w:highlight w:val="none"/>
              </w:rPr>
            </w:pPr>
            <w:r>
              <w:rPr>
                <w:color w:val="auto"/>
                <w:highlight w:val="none"/>
              </w:rPr>
              <w:t>备注</w:t>
            </w:r>
          </w:p>
        </w:tc>
      </w:tr>
      <w:tr w14:paraId="407DA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6617774B">
            <w:pPr>
              <w:pStyle w:val="41"/>
              <w:widowControl w:val="0"/>
              <w:rPr>
                <w:color w:val="auto"/>
                <w:highlight w:val="none"/>
              </w:rPr>
            </w:pPr>
            <w:r>
              <w:rPr>
                <w:rFonts w:hint="eastAsia"/>
                <w:color w:val="auto"/>
                <w:highlight w:val="none"/>
              </w:rPr>
              <w:t>1</w:t>
            </w:r>
          </w:p>
        </w:tc>
        <w:tc>
          <w:tcPr>
            <w:tcW w:w="3418" w:type="dxa"/>
            <w:tcBorders>
              <w:tl2br w:val="nil"/>
              <w:tr2bl w:val="nil"/>
            </w:tcBorders>
            <w:vAlign w:val="center"/>
          </w:tcPr>
          <w:p w14:paraId="2D4859E1">
            <w:pPr>
              <w:pStyle w:val="41"/>
              <w:widowControl w:val="0"/>
              <w:rPr>
                <w:color w:val="auto"/>
                <w:highlight w:val="none"/>
              </w:rPr>
            </w:pPr>
            <w:r>
              <w:rPr>
                <w:rFonts w:hint="eastAsia"/>
                <w:color w:val="auto"/>
                <w:highlight w:val="none"/>
              </w:rPr>
              <w:t>预留生产用地</w:t>
            </w:r>
          </w:p>
        </w:tc>
        <w:tc>
          <w:tcPr>
            <w:tcW w:w="751" w:type="dxa"/>
            <w:tcBorders>
              <w:tl2br w:val="nil"/>
              <w:tr2bl w:val="nil"/>
            </w:tcBorders>
            <w:vAlign w:val="center"/>
          </w:tcPr>
          <w:p w14:paraId="4BACDA37">
            <w:pPr>
              <w:pStyle w:val="41"/>
              <w:widowControl w:val="0"/>
              <w:rPr>
                <w:color w:val="auto"/>
                <w:highlight w:val="none"/>
              </w:rPr>
            </w:pPr>
            <w:r>
              <w:rPr>
                <w:rFonts w:hint="eastAsia"/>
                <w:color w:val="auto"/>
                <w:highlight w:val="none"/>
              </w:rPr>
              <w:t>㎡</w:t>
            </w:r>
          </w:p>
        </w:tc>
        <w:tc>
          <w:tcPr>
            <w:tcW w:w="1327" w:type="dxa"/>
            <w:tcBorders>
              <w:tl2br w:val="nil"/>
              <w:tr2bl w:val="nil"/>
            </w:tcBorders>
            <w:vAlign w:val="center"/>
          </w:tcPr>
          <w:p w14:paraId="413C42C7">
            <w:pPr>
              <w:pStyle w:val="41"/>
              <w:widowControl w:val="0"/>
              <w:rPr>
                <w:color w:val="auto"/>
                <w:highlight w:val="none"/>
              </w:rPr>
            </w:pPr>
            <w:r>
              <w:rPr>
                <w:rFonts w:hint="eastAsia"/>
                <w:color w:val="auto"/>
                <w:highlight w:val="none"/>
              </w:rPr>
              <w:t>166472.23</w:t>
            </w:r>
          </w:p>
        </w:tc>
        <w:tc>
          <w:tcPr>
            <w:tcW w:w="2237" w:type="dxa"/>
            <w:tcBorders>
              <w:tl2br w:val="nil"/>
              <w:tr2bl w:val="nil"/>
            </w:tcBorders>
            <w:vAlign w:val="center"/>
          </w:tcPr>
          <w:p w14:paraId="3FDA9B1E">
            <w:pPr>
              <w:pStyle w:val="41"/>
              <w:widowControl w:val="0"/>
              <w:rPr>
                <w:color w:val="auto"/>
                <w:highlight w:val="none"/>
              </w:rPr>
            </w:pPr>
            <w:r>
              <w:rPr>
                <w:rFonts w:hint="eastAsia"/>
                <w:color w:val="auto"/>
                <w:highlight w:val="none"/>
              </w:rPr>
              <w:t>249.71</w:t>
            </w:r>
            <w:r>
              <w:rPr>
                <w:color w:val="auto"/>
                <w:highlight w:val="none"/>
              </w:rPr>
              <w:t>亩</w:t>
            </w:r>
          </w:p>
        </w:tc>
      </w:tr>
      <w:tr w14:paraId="7926E0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301749A5">
            <w:pPr>
              <w:pStyle w:val="41"/>
              <w:widowControl w:val="0"/>
              <w:rPr>
                <w:color w:val="auto"/>
                <w:highlight w:val="none"/>
              </w:rPr>
            </w:pPr>
            <w:r>
              <w:rPr>
                <w:rFonts w:hint="eastAsia"/>
                <w:color w:val="auto"/>
                <w:highlight w:val="none"/>
              </w:rPr>
              <w:t>2</w:t>
            </w:r>
          </w:p>
        </w:tc>
        <w:tc>
          <w:tcPr>
            <w:tcW w:w="3418" w:type="dxa"/>
            <w:tcBorders>
              <w:tl2br w:val="nil"/>
              <w:tr2bl w:val="nil"/>
            </w:tcBorders>
            <w:vAlign w:val="center"/>
          </w:tcPr>
          <w:p w14:paraId="0870FC76">
            <w:pPr>
              <w:pStyle w:val="41"/>
              <w:widowControl w:val="0"/>
              <w:rPr>
                <w:color w:val="auto"/>
                <w:highlight w:val="none"/>
              </w:rPr>
            </w:pPr>
            <w:r>
              <w:rPr>
                <w:color w:val="auto"/>
                <w:highlight w:val="none"/>
              </w:rPr>
              <w:t>道路及广场用地面积</w:t>
            </w:r>
          </w:p>
        </w:tc>
        <w:tc>
          <w:tcPr>
            <w:tcW w:w="751" w:type="dxa"/>
            <w:tcBorders>
              <w:tl2br w:val="nil"/>
              <w:tr2bl w:val="nil"/>
            </w:tcBorders>
            <w:vAlign w:val="center"/>
          </w:tcPr>
          <w:p w14:paraId="7191F336">
            <w:pPr>
              <w:pStyle w:val="41"/>
              <w:widowControl w:val="0"/>
              <w:rPr>
                <w:color w:val="auto"/>
                <w:highlight w:val="none"/>
              </w:rPr>
            </w:pPr>
            <w:r>
              <w:rPr>
                <w:rFonts w:hint="eastAsia"/>
                <w:color w:val="auto"/>
                <w:highlight w:val="none"/>
              </w:rPr>
              <w:t>㎡</w:t>
            </w:r>
          </w:p>
        </w:tc>
        <w:tc>
          <w:tcPr>
            <w:tcW w:w="1327" w:type="dxa"/>
            <w:tcBorders>
              <w:tl2br w:val="nil"/>
              <w:tr2bl w:val="nil"/>
            </w:tcBorders>
            <w:vAlign w:val="center"/>
          </w:tcPr>
          <w:p w14:paraId="072C4F3D">
            <w:pPr>
              <w:pStyle w:val="41"/>
              <w:widowControl w:val="0"/>
              <w:rPr>
                <w:color w:val="auto"/>
                <w:highlight w:val="none"/>
              </w:rPr>
            </w:pPr>
            <w:r>
              <w:rPr>
                <w:rFonts w:hint="eastAsia"/>
                <w:color w:val="auto"/>
                <w:highlight w:val="none"/>
              </w:rPr>
              <w:t>15704.63</w:t>
            </w:r>
          </w:p>
        </w:tc>
        <w:tc>
          <w:tcPr>
            <w:tcW w:w="2237" w:type="dxa"/>
            <w:tcBorders>
              <w:tl2br w:val="nil"/>
              <w:tr2bl w:val="nil"/>
            </w:tcBorders>
            <w:vAlign w:val="center"/>
          </w:tcPr>
          <w:p w14:paraId="49E88AEF">
            <w:pPr>
              <w:pStyle w:val="41"/>
              <w:widowControl w:val="0"/>
              <w:rPr>
                <w:color w:val="auto"/>
                <w:highlight w:val="none"/>
              </w:rPr>
            </w:pPr>
          </w:p>
        </w:tc>
      </w:tr>
      <w:tr w14:paraId="4C2B64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tcBorders>
              <w:tl2br w:val="nil"/>
              <w:tr2bl w:val="nil"/>
            </w:tcBorders>
            <w:vAlign w:val="center"/>
          </w:tcPr>
          <w:p w14:paraId="637A656A">
            <w:pPr>
              <w:pStyle w:val="41"/>
              <w:widowControl w:val="0"/>
              <w:rPr>
                <w:color w:val="auto"/>
                <w:highlight w:val="none"/>
              </w:rPr>
            </w:pPr>
            <w:r>
              <w:rPr>
                <w:rFonts w:hint="eastAsia"/>
                <w:color w:val="auto"/>
                <w:highlight w:val="none"/>
              </w:rPr>
              <w:t>3</w:t>
            </w:r>
          </w:p>
        </w:tc>
        <w:tc>
          <w:tcPr>
            <w:tcW w:w="3418" w:type="dxa"/>
            <w:tcBorders>
              <w:tl2br w:val="nil"/>
              <w:tr2bl w:val="nil"/>
            </w:tcBorders>
            <w:vAlign w:val="center"/>
          </w:tcPr>
          <w:p w14:paraId="699189AB">
            <w:pPr>
              <w:pStyle w:val="41"/>
              <w:widowControl w:val="0"/>
              <w:rPr>
                <w:color w:val="auto"/>
                <w:highlight w:val="none"/>
              </w:rPr>
            </w:pPr>
            <w:r>
              <w:rPr>
                <w:color w:val="auto"/>
                <w:highlight w:val="none"/>
              </w:rPr>
              <w:t>道路系数</w:t>
            </w:r>
          </w:p>
        </w:tc>
        <w:tc>
          <w:tcPr>
            <w:tcW w:w="751" w:type="dxa"/>
            <w:tcBorders>
              <w:tl2br w:val="nil"/>
              <w:tr2bl w:val="nil"/>
            </w:tcBorders>
            <w:vAlign w:val="center"/>
          </w:tcPr>
          <w:p w14:paraId="0F5B501F">
            <w:pPr>
              <w:pStyle w:val="41"/>
              <w:widowControl w:val="0"/>
              <w:rPr>
                <w:color w:val="auto"/>
                <w:highlight w:val="none"/>
              </w:rPr>
            </w:pPr>
            <w:r>
              <w:rPr>
                <w:color w:val="auto"/>
                <w:highlight w:val="none"/>
              </w:rPr>
              <w:t>%</w:t>
            </w:r>
          </w:p>
        </w:tc>
        <w:tc>
          <w:tcPr>
            <w:tcW w:w="1327" w:type="dxa"/>
            <w:tcBorders>
              <w:tl2br w:val="nil"/>
              <w:tr2bl w:val="nil"/>
            </w:tcBorders>
            <w:vAlign w:val="center"/>
          </w:tcPr>
          <w:p w14:paraId="3D1D776D">
            <w:pPr>
              <w:pStyle w:val="41"/>
              <w:widowControl w:val="0"/>
              <w:rPr>
                <w:color w:val="auto"/>
                <w:highlight w:val="none"/>
              </w:rPr>
            </w:pPr>
            <w:r>
              <w:rPr>
                <w:rFonts w:hint="eastAsia"/>
                <w:color w:val="auto"/>
                <w:highlight w:val="none"/>
              </w:rPr>
              <w:t>9.43</w:t>
            </w:r>
          </w:p>
        </w:tc>
        <w:tc>
          <w:tcPr>
            <w:tcW w:w="2237" w:type="dxa"/>
            <w:tcBorders>
              <w:tl2br w:val="nil"/>
              <w:tr2bl w:val="nil"/>
            </w:tcBorders>
            <w:vAlign w:val="center"/>
          </w:tcPr>
          <w:p w14:paraId="2E7B52FC">
            <w:pPr>
              <w:pStyle w:val="41"/>
              <w:widowControl w:val="0"/>
              <w:rPr>
                <w:color w:val="auto"/>
                <w:highlight w:val="none"/>
              </w:rPr>
            </w:pPr>
          </w:p>
        </w:tc>
      </w:tr>
    </w:tbl>
    <w:p w14:paraId="37C85709">
      <w:pPr>
        <w:pStyle w:val="43"/>
        <w:rPr>
          <w:color w:val="auto"/>
          <w:highlight w:val="none"/>
        </w:rPr>
      </w:pPr>
      <w:r>
        <w:rPr>
          <w:rFonts w:hint="eastAsia"/>
          <w:color w:val="auto"/>
          <w:highlight w:val="none"/>
        </w:rPr>
        <w:t>尾矿库</w:t>
      </w:r>
      <w:r>
        <w:rPr>
          <w:rFonts w:hint="eastAsia"/>
          <w:color w:val="auto"/>
          <w:highlight w:val="none"/>
        </w:rPr>
        <w:tab/>
      </w:r>
    </w:p>
    <w:p w14:paraId="1BBFC053">
      <w:pPr>
        <w:pStyle w:val="3"/>
        <w:ind w:firstLine="480"/>
        <w:rPr>
          <w:color w:val="auto"/>
          <w:highlight w:val="none"/>
        </w:rPr>
      </w:pPr>
      <w:r>
        <w:rPr>
          <w:rFonts w:hint="eastAsia"/>
          <w:color w:val="auto"/>
          <w:highlight w:val="none"/>
        </w:rPr>
        <w:t>拟建尾矿库主要技术经济指标表详见下表。</w:t>
      </w:r>
    </w:p>
    <w:p w14:paraId="2641F1A4">
      <w:pPr>
        <w:pStyle w:val="40"/>
        <w:spacing w:before="31" w:after="31"/>
        <w:rPr>
          <w:color w:val="auto"/>
          <w:highlight w:val="none"/>
        </w:rPr>
      </w:pPr>
      <w:r>
        <w:rPr>
          <w:rFonts w:hint="eastAsia"/>
          <w:color w:val="auto"/>
          <w:highlight w:val="none"/>
        </w:rPr>
        <w:t>表3.2- 1</w:t>
      </w:r>
      <w:r>
        <w:rPr>
          <w:rFonts w:hint="eastAsia"/>
          <w:color w:val="auto"/>
          <w:highlight w:val="none"/>
          <w:lang w:val="en-US" w:eastAsia="zh-CN"/>
        </w:rPr>
        <w:t>3</w:t>
      </w:r>
      <w:r>
        <w:rPr>
          <w:rFonts w:hint="eastAsia"/>
          <w:color w:val="auto"/>
          <w:highlight w:val="none"/>
        </w:rPr>
        <w:t xml:space="preserve">    拟建尾矿库主要技术经济指标表</w:t>
      </w:r>
    </w:p>
    <w:tbl>
      <w:tblPr>
        <w:tblStyle w:val="45"/>
        <w:tblW w:w="889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678"/>
        <w:gridCol w:w="1162"/>
        <w:gridCol w:w="2176"/>
        <w:gridCol w:w="825"/>
        <w:gridCol w:w="101"/>
        <w:gridCol w:w="743"/>
        <w:gridCol w:w="546"/>
        <w:gridCol w:w="617"/>
        <w:gridCol w:w="445"/>
        <w:gridCol w:w="209"/>
        <w:gridCol w:w="36"/>
        <w:gridCol w:w="328"/>
        <w:gridCol w:w="1024"/>
      </w:tblGrid>
      <w:tr w14:paraId="12D23E2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678" w:type="dxa"/>
            <w:tcBorders>
              <w:tl2br w:val="nil"/>
              <w:tr2bl w:val="nil"/>
            </w:tcBorders>
            <w:vAlign w:val="center"/>
          </w:tcPr>
          <w:p w14:paraId="4ADFF0FA">
            <w:pPr>
              <w:pStyle w:val="41"/>
              <w:rPr>
                <w:color w:val="auto"/>
                <w:highlight w:val="none"/>
              </w:rPr>
            </w:pPr>
            <w:r>
              <w:rPr>
                <w:color w:val="auto"/>
                <w:highlight w:val="none"/>
              </w:rPr>
              <w:t>序号</w:t>
            </w:r>
          </w:p>
        </w:tc>
        <w:tc>
          <w:tcPr>
            <w:tcW w:w="3338" w:type="dxa"/>
            <w:gridSpan w:val="2"/>
            <w:tcBorders>
              <w:tl2br w:val="nil"/>
              <w:tr2bl w:val="nil"/>
            </w:tcBorders>
            <w:vAlign w:val="center"/>
          </w:tcPr>
          <w:p w14:paraId="0C2C7CD7">
            <w:pPr>
              <w:pStyle w:val="41"/>
              <w:rPr>
                <w:color w:val="auto"/>
                <w:highlight w:val="none"/>
              </w:rPr>
            </w:pPr>
            <w:r>
              <w:rPr>
                <w:color w:val="auto"/>
                <w:highlight w:val="none"/>
              </w:rPr>
              <w:t>项目</w:t>
            </w:r>
          </w:p>
        </w:tc>
        <w:tc>
          <w:tcPr>
            <w:tcW w:w="4874" w:type="dxa"/>
            <w:gridSpan w:val="10"/>
            <w:tcBorders>
              <w:tl2br w:val="nil"/>
              <w:tr2bl w:val="nil"/>
            </w:tcBorders>
            <w:vAlign w:val="center"/>
          </w:tcPr>
          <w:p w14:paraId="21BE0BAA">
            <w:pPr>
              <w:pStyle w:val="41"/>
              <w:rPr>
                <w:color w:val="auto"/>
                <w:highlight w:val="none"/>
              </w:rPr>
            </w:pPr>
            <w:r>
              <w:rPr>
                <w:color w:val="auto"/>
                <w:highlight w:val="none"/>
              </w:rPr>
              <w:t>设计内容</w:t>
            </w:r>
          </w:p>
        </w:tc>
      </w:tr>
      <w:tr w14:paraId="68026F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8890" w:type="dxa"/>
            <w:gridSpan w:val="13"/>
            <w:tcBorders>
              <w:tl2br w:val="nil"/>
              <w:tr2bl w:val="nil"/>
            </w:tcBorders>
            <w:vAlign w:val="center"/>
          </w:tcPr>
          <w:p w14:paraId="26A6CC90">
            <w:pPr>
              <w:pStyle w:val="41"/>
              <w:rPr>
                <w:color w:val="auto"/>
                <w:highlight w:val="none"/>
              </w:rPr>
            </w:pPr>
            <w:r>
              <w:rPr>
                <w:color w:val="auto"/>
                <w:highlight w:val="none"/>
              </w:rPr>
              <w:t>一、尾矿库</w:t>
            </w:r>
          </w:p>
        </w:tc>
      </w:tr>
      <w:tr w14:paraId="79D57F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tcBorders>
              <w:tl2br w:val="nil"/>
              <w:tr2bl w:val="nil"/>
            </w:tcBorders>
            <w:vAlign w:val="center"/>
          </w:tcPr>
          <w:p w14:paraId="4089D93C">
            <w:pPr>
              <w:pStyle w:val="41"/>
              <w:rPr>
                <w:color w:val="auto"/>
                <w:highlight w:val="none"/>
              </w:rPr>
            </w:pPr>
            <w:r>
              <w:rPr>
                <w:color w:val="auto"/>
                <w:highlight w:val="none"/>
              </w:rPr>
              <w:t>1</w:t>
            </w:r>
          </w:p>
        </w:tc>
        <w:tc>
          <w:tcPr>
            <w:tcW w:w="3338" w:type="dxa"/>
            <w:gridSpan w:val="2"/>
            <w:tcBorders>
              <w:tl2br w:val="nil"/>
              <w:tr2bl w:val="nil"/>
            </w:tcBorders>
            <w:vAlign w:val="center"/>
          </w:tcPr>
          <w:p w14:paraId="035FA0E0">
            <w:pPr>
              <w:pStyle w:val="41"/>
              <w:rPr>
                <w:color w:val="auto"/>
                <w:highlight w:val="none"/>
              </w:rPr>
            </w:pPr>
            <w:r>
              <w:rPr>
                <w:color w:val="auto"/>
                <w:highlight w:val="none"/>
              </w:rPr>
              <w:t>堆存方式</w:t>
            </w:r>
          </w:p>
        </w:tc>
        <w:tc>
          <w:tcPr>
            <w:tcW w:w="4874" w:type="dxa"/>
            <w:gridSpan w:val="10"/>
            <w:tcBorders>
              <w:tl2br w:val="nil"/>
              <w:tr2bl w:val="nil"/>
            </w:tcBorders>
            <w:vAlign w:val="center"/>
          </w:tcPr>
          <w:p w14:paraId="06AB6F32">
            <w:pPr>
              <w:pStyle w:val="41"/>
              <w:rPr>
                <w:color w:val="auto"/>
                <w:highlight w:val="none"/>
              </w:rPr>
            </w:pPr>
            <w:r>
              <w:rPr>
                <w:color w:val="auto"/>
                <w:highlight w:val="none"/>
              </w:rPr>
              <w:t>干式尾矿库</w:t>
            </w:r>
          </w:p>
        </w:tc>
      </w:tr>
      <w:tr w14:paraId="43AAE5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tcBorders>
              <w:tl2br w:val="nil"/>
              <w:tr2bl w:val="nil"/>
            </w:tcBorders>
            <w:vAlign w:val="center"/>
          </w:tcPr>
          <w:p w14:paraId="0E76C2F4">
            <w:pPr>
              <w:pStyle w:val="41"/>
              <w:rPr>
                <w:color w:val="auto"/>
                <w:highlight w:val="none"/>
              </w:rPr>
            </w:pPr>
            <w:r>
              <w:rPr>
                <w:color w:val="auto"/>
                <w:highlight w:val="none"/>
              </w:rPr>
              <w:t>2</w:t>
            </w:r>
          </w:p>
        </w:tc>
        <w:tc>
          <w:tcPr>
            <w:tcW w:w="3338" w:type="dxa"/>
            <w:gridSpan w:val="2"/>
            <w:tcBorders>
              <w:tl2br w:val="nil"/>
              <w:tr2bl w:val="nil"/>
            </w:tcBorders>
            <w:vAlign w:val="center"/>
          </w:tcPr>
          <w:p w14:paraId="7D21BFE9">
            <w:pPr>
              <w:pStyle w:val="41"/>
              <w:rPr>
                <w:color w:val="auto"/>
                <w:highlight w:val="none"/>
              </w:rPr>
            </w:pPr>
            <w:r>
              <w:rPr>
                <w:color w:val="auto"/>
                <w:highlight w:val="none"/>
              </w:rPr>
              <w:t>排矿方式</w:t>
            </w:r>
          </w:p>
        </w:tc>
        <w:tc>
          <w:tcPr>
            <w:tcW w:w="4874" w:type="dxa"/>
            <w:gridSpan w:val="10"/>
            <w:tcBorders>
              <w:tl2br w:val="nil"/>
              <w:tr2bl w:val="nil"/>
            </w:tcBorders>
            <w:vAlign w:val="center"/>
          </w:tcPr>
          <w:p w14:paraId="12CC5378">
            <w:pPr>
              <w:pStyle w:val="41"/>
              <w:rPr>
                <w:color w:val="auto"/>
                <w:highlight w:val="none"/>
              </w:rPr>
            </w:pPr>
            <w:r>
              <w:rPr>
                <w:color w:val="auto"/>
                <w:highlight w:val="none"/>
              </w:rPr>
              <w:t>库前式尾矿排矿筑坝法</w:t>
            </w:r>
          </w:p>
        </w:tc>
      </w:tr>
      <w:tr w14:paraId="396A33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restart"/>
            <w:tcBorders>
              <w:tl2br w:val="nil"/>
              <w:tr2bl w:val="nil"/>
            </w:tcBorders>
            <w:vAlign w:val="center"/>
          </w:tcPr>
          <w:p w14:paraId="11F9B0C0">
            <w:pPr>
              <w:pStyle w:val="41"/>
              <w:rPr>
                <w:color w:val="auto"/>
                <w:highlight w:val="none"/>
              </w:rPr>
            </w:pPr>
            <w:r>
              <w:rPr>
                <w:color w:val="auto"/>
                <w:highlight w:val="none"/>
              </w:rPr>
              <w:t>3</w:t>
            </w:r>
          </w:p>
        </w:tc>
        <w:tc>
          <w:tcPr>
            <w:tcW w:w="1162" w:type="dxa"/>
            <w:vMerge w:val="restart"/>
            <w:tcBorders>
              <w:tl2br w:val="nil"/>
              <w:tr2bl w:val="nil"/>
            </w:tcBorders>
            <w:vAlign w:val="center"/>
          </w:tcPr>
          <w:p w14:paraId="32FE7EA8">
            <w:pPr>
              <w:pStyle w:val="41"/>
              <w:rPr>
                <w:color w:val="auto"/>
                <w:highlight w:val="none"/>
              </w:rPr>
            </w:pPr>
            <w:r>
              <w:rPr>
                <w:color w:val="auto"/>
                <w:highlight w:val="none"/>
              </w:rPr>
              <w:t>尾矿堆存工艺资料</w:t>
            </w:r>
          </w:p>
        </w:tc>
        <w:tc>
          <w:tcPr>
            <w:tcW w:w="2176" w:type="dxa"/>
            <w:tcBorders>
              <w:tl2br w:val="nil"/>
              <w:tr2bl w:val="nil"/>
            </w:tcBorders>
            <w:vAlign w:val="center"/>
          </w:tcPr>
          <w:p w14:paraId="684DC2C1">
            <w:pPr>
              <w:pStyle w:val="41"/>
              <w:rPr>
                <w:color w:val="auto"/>
                <w:highlight w:val="none"/>
              </w:rPr>
            </w:pPr>
            <w:r>
              <w:rPr>
                <w:color w:val="auto"/>
                <w:highlight w:val="none"/>
              </w:rPr>
              <w:t>生产规模</w:t>
            </w:r>
          </w:p>
        </w:tc>
        <w:tc>
          <w:tcPr>
            <w:tcW w:w="4874" w:type="dxa"/>
            <w:gridSpan w:val="10"/>
            <w:tcBorders>
              <w:tl2br w:val="nil"/>
              <w:tr2bl w:val="nil"/>
            </w:tcBorders>
            <w:vAlign w:val="center"/>
          </w:tcPr>
          <w:p w14:paraId="0A354A25">
            <w:pPr>
              <w:pStyle w:val="41"/>
              <w:rPr>
                <w:color w:val="auto"/>
                <w:highlight w:val="none"/>
              </w:rPr>
            </w:pPr>
            <w:r>
              <w:rPr>
                <w:color w:val="auto"/>
                <w:highlight w:val="none"/>
              </w:rPr>
              <w:t>580万t/a</w:t>
            </w:r>
          </w:p>
        </w:tc>
      </w:tr>
      <w:tr w14:paraId="7BC69C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3A4F2895">
            <w:pPr>
              <w:pStyle w:val="41"/>
              <w:rPr>
                <w:color w:val="auto"/>
                <w:highlight w:val="none"/>
              </w:rPr>
            </w:pPr>
          </w:p>
        </w:tc>
        <w:tc>
          <w:tcPr>
            <w:tcW w:w="1162" w:type="dxa"/>
            <w:vMerge w:val="continue"/>
            <w:tcBorders>
              <w:tl2br w:val="nil"/>
              <w:tr2bl w:val="nil"/>
            </w:tcBorders>
            <w:vAlign w:val="center"/>
          </w:tcPr>
          <w:p w14:paraId="09D4B6F2">
            <w:pPr>
              <w:pStyle w:val="41"/>
              <w:rPr>
                <w:color w:val="auto"/>
                <w:highlight w:val="none"/>
              </w:rPr>
            </w:pPr>
          </w:p>
        </w:tc>
        <w:tc>
          <w:tcPr>
            <w:tcW w:w="2176" w:type="dxa"/>
            <w:tcBorders>
              <w:tl2br w:val="nil"/>
              <w:tr2bl w:val="nil"/>
            </w:tcBorders>
            <w:vAlign w:val="center"/>
          </w:tcPr>
          <w:p w14:paraId="407B1B16">
            <w:pPr>
              <w:pStyle w:val="41"/>
              <w:rPr>
                <w:color w:val="auto"/>
                <w:highlight w:val="none"/>
              </w:rPr>
            </w:pPr>
            <w:r>
              <w:rPr>
                <w:color w:val="auto"/>
                <w:highlight w:val="none"/>
              </w:rPr>
              <w:t>工作制度</w:t>
            </w:r>
          </w:p>
        </w:tc>
        <w:tc>
          <w:tcPr>
            <w:tcW w:w="4874" w:type="dxa"/>
            <w:gridSpan w:val="10"/>
            <w:tcBorders>
              <w:tl2br w:val="nil"/>
              <w:tr2bl w:val="nil"/>
            </w:tcBorders>
            <w:vAlign w:val="center"/>
          </w:tcPr>
          <w:p w14:paraId="4DCAE52C">
            <w:pPr>
              <w:pStyle w:val="41"/>
              <w:rPr>
                <w:color w:val="auto"/>
                <w:highlight w:val="none"/>
              </w:rPr>
            </w:pPr>
            <w:r>
              <w:rPr>
                <w:color w:val="auto"/>
                <w:highlight w:val="none"/>
              </w:rPr>
              <w:t>300d/a；3班/d；8h/班</w:t>
            </w:r>
          </w:p>
        </w:tc>
      </w:tr>
      <w:tr w14:paraId="1E4A2C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0D5E95F8">
            <w:pPr>
              <w:pStyle w:val="41"/>
              <w:rPr>
                <w:color w:val="auto"/>
                <w:highlight w:val="none"/>
              </w:rPr>
            </w:pPr>
          </w:p>
        </w:tc>
        <w:tc>
          <w:tcPr>
            <w:tcW w:w="1162" w:type="dxa"/>
            <w:vMerge w:val="continue"/>
            <w:tcBorders>
              <w:tl2br w:val="nil"/>
              <w:tr2bl w:val="nil"/>
            </w:tcBorders>
            <w:vAlign w:val="center"/>
          </w:tcPr>
          <w:p w14:paraId="00ABF163">
            <w:pPr>
              <w:pStyle w:val="41"/>
              <w:rPr>
                <w:color w:val="auto"/>
                <w:highlight w:val="none"/>
              </w:rPr>
            </w:pPr>
          </w:p>
        </w:tc>
        <w:tc>
          <w:tcPr>
            <w:tcW w:w="2176" w:type="dxa"/>
            <w:tcBorders>
              <w:tl2br w:val="nil"/>
              <w:tr2bl w:val="nil"/>
            </w:tcBorders>
            <w:vAlign w:val="center"/>
          </w:tcPr>
          <w:p w14:paraId="5F580F78">
            <w:pPr>
              <w:pStyle w:val="41"/>
              <w:rPr>
                <w:color w:val="auto"/>
                <w:highlight w:val="none"/>
              </w:rPr>
            </w:pPr>
            <w:r>
              <w:rPr>
                <w:color w:val="auto"/>
                <w:highlight w:val="none"/>
              </w:rPr>
              <w:t>尾矿粒度</w:t>
            </w:r>
          </w:p>
        </w:tc>
        <w:tc>
          <w:tcPr>
            <w:tcW w:w="4874" w:type="dxa"/>
            <w:gridSpan w:val="10"/>
            <w:tcBorders>
              <w:tl2br w:val="nil"/>
              <w:tr2bl w:val="nil"/>
            </w:tcBorders>
            <w:vAlign w:val="center"/>
          </w:tcPr>
          <w:p w14:paraId="50566AC0">
            <w:pPr>
              <w:pStyle w:val="41"/>
              <w:rPr>
                <w:color w:val="auto"/>
                <w:highlight w:val="none"/>
              </w:rPr>
            </w:pPr>
            <w:r>
              <w:rPr>
                <w:color w:val="auto"/>
                <w:highlight w:val="none"/>
              </w:rPr>
              <w:t>-200目45%</w:t>
            </w:r>
          </w:p>
        </w:tc>
      </w:tr>
      <w:tr w14:paraId="2D030E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1E8F9D2A">
            <w:pPr>
              <w:pStyle w:val="41"/>
              <w:rPr>
                <w:color w:val="auto"/>
                <w:highlight w:val="none"/>
              </w:rPr>
            </w:pPr>
          </w:p>
        </w:tc>
        <w:tc>
          <w:tcPr>
            <w:tcW w:w="1162" w:type="dxa"/>
            <w:vMerge w:val="continue"/>
            <w:tcBorders>
              <w:tl2br w:val="nil"/>
              <w:tr2bl w:val="nil"/>
            </w:tcBorders>
            <w:vAlign w:val="center"/>
          </w:tcPr>
          <w:p w14:paraId="068D23E9">
            <w:pPr>
              <w:pStyle w:val="41"/>
              <w:rPr>
                <w:color w:val="auto"/>
                <w:highlight w:val="none"/>
              </w:rPr>
            </w:pPr>
          </w:p>
        </w:tc>
        <w:tc>
          <w:tcPr>
            <w:tcW w:w="2176" w:type="dxa"/>
            <w:tcBorders>
              <w:tl2br w:val="nil"/>
              <w:tr2bl w:val="nil"/>
            </w:tcBorders>
            <w:vAlign w:val="center"/>
          </w:tcPr>
          <w:p w14:paraId="6FA75857">
            <w:pPr>
              <w:pStyle w:val="41"/>
              <w:rPr>
                <w:color w:val="auto"/>
                <w:highlight w:val="none"/>
              </w:rPr>
            </w:pPr>
            <w:r>
              <w:rPr>
                <w:color w:val="auto"/>
                <w:highlight w:val="none"/>
              </w:rPr>
              <w:t>尾矿产率</w:t>
            </w:r>
          </w:p>
        </w:tc>
        <w:tc>
          <w:tcPr>
            <w:tcW w:w="4874" w:type="dxa"/>
            <w:gridSpan w:val="10"/>
            <w:tcBorders>
              <w:tl2br w:val="nil"/>
              <w:tr2bl w:val="nil"/>
            </w:tcBorders>
            <w:vAlign w:val="center"/>
          </w:tcPr>
          <w:p w14:paraId="01F4F260">
            <w:pPr>
              <w:pStyle w:val="41"/>
              <w:rPr>
                <w:color w:val="auto"/>
                <w:highlight w:val="none"/>
              </w:rPr>
            </w:pPr>
            <w:r>
              <w:rPr>
                <w:color w:val="auto"/>
                <w:highlight w:val="none"/>
              </w:rPr>
              <w:t>52.067%</w:t>
            </w:r>
          </w:p>
        </w:tc>
      </w:tr>
      <w:tr w14:paraId="04FB36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695375CC">
            <w:pPr>
              <w:pStyle w:val="41"/>
              <w:rPr>
                <w:color w:val="auto"/>
                <w:highlight w:val="none"/>
              </w:rPr>
            </w:pPr>
          </w:p>
        </w:tc>
        <w:tc>
          <w:tcPr>
            <w:tcW w:w="1162" w:type="dxa"/>
            <w:vMerge w:val="continue"/>
            <w:tcBorders>
              <w:tl2br w:val="nil"/>
              <w:tr2bl w:val="nil"/>
            </w:tcBorders>
            <w:vAlign w:val="center"/>
          </w:tcPr>
          <w:p w14:paraId="41DAF3C4">
            <w:pPr>
              <w:pStyle w:val="41"/>
              <w:rPr>
                <w:color w:val="auto"/>
                <w:highlight w:val="none"/>
              </w:rPr>
            </w:pPr>
          </w:p>
        </w:tc>
        <w:tc>
          <w:tcPr>
            <w:tcW w:w="2176" w:type="dxa"/>
            <w:tcBorders>
              <w:tl2br w:val="nil"/>
              <w:tr2bl w:val="nil"/>
            </w:tcBorders>
            <w:vAlign w:val="center"/>
          </w:tcPr>
          <w:p w14:paraId="07C68C2F">
            <w:pPr>
              <w:pStyle w:val="41"/>
              <w:rPr>
                <w:color w:val="auto"/>
                <w:highlight w:val="none"/>
              </w:rPr>
            </w:pPr>
            <w:r>
              <w:rPr>
                <w:color w:val="auto"/>
                <w:highlight w:val="none"/>
              </w:rPr>
              <w:t>原矿比重</w:t>
            </w:r>
          </w:p>
        </w:tc>
        <w:tc>
          <w:tcPr>
            <w:tcW w:w="4874" w:type="dxa"/>
            <w:gridSpan w:val="10"/>
            <w:tcBorders>
              <w:tl2br w:val="nil"/>
              <w:tr2bl w:val="nil"/>
            </w:tcBorders>
            <w:vAlign w:val="center"/>
          </w:tcPr>
          <w:p w14:paraId="66FCA2B7">
            <w:pPr>
              <w:pStyle w:val="41"/>
              <w:rPr>
                <w:color w:val="auto"/>
                <w:highlight w:val="none"/>
              </w:rPr>
            </w:pPr>
            <w:r>
              <w:rPr>
                <w:color w:val="auto"/>
                <w:highlight w:val="none"/>
              </w:rPr>
              <w:t>2.85</w:t>
            </w:r>
          </w:p>
        </w:tc>
      </w:tr>
      <w:tr w14:paraId="072780E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347214AA">
            <w:pPr>
              <w:pStyle w:val="41"/>
              <w:rPr>
                <w:color w:val="auto"/>
                <w:highlight w:val="none"/>
              </w:rPr>
            </w:pPr>
          </w:p>
        </w:tc>
        <w:tc>
          <w:tcPr>
            <w:tcW w:w="1162" w:type="dxa"/>
            <w:vMerge w:val="continue"/>
            <w:tcBorders>
              <w:tl2br w:val="nil"/>
              <w:tr2bl w:val="nil"/>
            </w:tcBorders>
            <w:vAlign w:val="center"/>
          </w:tcPr>
          <w:p w14:paraId="178F8E75">
            <w:pPr>
              <w:pStyle w:val="41"/>
              <w:rPr>
                <w:color w:val="auto"/>
                <w:highlight w:val="none"/>
              </w:rPr>
            </w:pPr>
          </w:p>
        </w:tc>
        <w:tc>
          <w:tcPr>
            <w:tcW w:w="2176" w:type="dxa"/>
            <w:tcBorders>
              <w:tl2br w:val="nil"/>
              <w:tr2bl w:val="nil"/>
            </w:tcBorders>
            <w:vAlign w:val="center"/>
          </w:tcPr>
          <w:p w14:paraId="7958EA07">
            <w:pPr>
              <w:pStyle w:val="41"/>
              <w:rPr>
                <w:color w:val="auto"/>
                <w:highlight w:val="none"/>
              </w:rPr>
            </w:pPr>
            <w:r>
              <w:rPr>
                <w:color w:val="auto"/>
                <w:highlight w:val="none"/>
              </w:rPr>
              <w:t>设计尾矿堆积干密度</w:t>
            </w:r>
          </w:p>
        </w:tc>
        <w:tc>
          <w:tcPr>
            <w:tcW w:w="4874" w:type="dxa"/>
            <w:gridSpan w:val="10"/>
            <w:tcBorders>
              <w:tl2br w:val="nil"/>
              <w:tr2bl w:val="nil"/>
            </w:tcBorders>
            <w:vAlign w:val="center"/>
          </w:tcPr>
          <w:p w14:paraId="63171257">
            <w:pPr>
              <w:pStyle w:val="41"/>
              <w:rPr>
                <w:color w:val="auto"/>
                <w:highlight w:val="none"/>
              </w:rPr>
            </w:pPr>
            <w:r>
              <w:rPr>
                <w:color w:val="auto"/>
                <w:highlight w:val="none"/>
              </w:rPr>
              <w:t>1.6t/m</w:t>
            </w:r>
            <w:r>
              <w:rPr>
                <w:rFonts w:hint="eastAsia"/>
                <w:color w:val="auto"/>
                <w:highlight w:val="none"/>
                <w:vertAlign w:val="superscript"/>
              </w:rPr>
              <w:t>3</w:t>
            </w:r>
          </w:p>
        </w:tc>
      </w:tr>
      <w:tr w14:paraId="4E93F3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27" w:hRule="atLeast"/>
          <w:jc w:val="center"/>
        </w:trPr>
        <w:tc>
          <w:tcPr>
            <w:tcW w:w="678" w:type="dxa"/>
            <w:vMerge w:val="continue"/>
            <w:tcBorders>
              <w:tl2br w:val="nil"/>
              <w:tr2bl w:val="nil"/>
            </w:tcBorders>
            <w:vAlign w:val="center"/>
          </w:tcPr>
          <w:p w14:paraId="1189DE77">
            <w:pPr>
              <w:pStyle w:val="41"/>
              <w:rPr>
                <w:color w:val="auto"/>
                <w:highlight w:val="none"/>
              </w:rPr>
            </w:pPr>
          </w:p>
        </w:tc>
        <w:tc>
          <w:tcPr>
            <w:tcW w:w="1162" w:type="dxa"/>
            <w:vMerge w:val="continue"/>
            <w:tcBorders>
              <w:tl2br w:val="nil"/>
              <w:tr2bl w:val="nil"/>
            </w:tcBorders>
            <w:vAlign w:val="center"/>
          </w:tcPr>
          <w:p w14:paraId="712830F4">
            <w:pPr>
              <w:pStyle w:val="41"/>
              <w:rPr>
                <w:color w:val="auto"/>
                <w:highlight w:val="none"/>
              </w:rPr>
            </w:pPr>
          </w:p>
        </w:tc>
        <w:tc>
          <w:tcPr>
            <w:tcW w:w="2176" w:type="dxa"/>
            <w:tcBorders>
              <w:tl2br w:val="nil"/>
              <w:tr2bl w:val="nil"/>
            </w:tcBorders>
            <w:vAlign w:val="center"/>
          </w:tcPr>
          <w:p w14:paraId="2DEAE38C">
            <w:pPr>
              <w:pStyle w:val="41"/>
              <w:rPr>
                <w:color w:val="auto"/>
                <w:highlight w:val="none"/>
              </w:rPr>
            </w:pPr>
            <w:r>
              <w:rPr>
                <w:color w:val="auto"/>
                <w:highlight w:val="none"/>
              </w:rPr>
              <w:t>年入库尾矿量</w:t>
            </w:r>
          </w:p>
        </w:tc>
        <w:tc>
          <w:tcPr>
            <w:tcW w:w="4874" w:type="dxa"/>
            <w:gridSpan w:val="10"/>
            <w:tcBorders>
              <w:tl2br w:val="nil"/>
              <w:tr2bl w:val="nil"/>
            </w:tcBorders>
            <w:vAlign w:val="center"/>
          </w:tcPr>
          <w:p w14:paraId="272842B5">
            <w:pPr>
              <w:pStyle w:val="41"/>
              <w:rPr>
                <w:color w:val="auto"/>
                <w:highlight w:val="none"/>
              </w:rPr>
            </w:pPr>
            <w:r>
              <w:rPr>
                <w:color w:val="auto"/>
                <w:highlight w:val="none"/>
              </w:rPr>
              <w:t>302.00万t（188.75万m</w:t>
            </w:r>
            <w:r>
              <w:rPr>
                <w:rFonts w:hint="eastAsia"/>
                <w:color w:val="auto"/>
                <w:highlight w:val="none"/>
                <w:vertAlign w:val="superscript"/>
              </w:rPr>
              <w:t>3</w:t>
            </w:r>
            <w:r>
              <w:rPr>
                <w:color w:val="auto"/>
                <w:highlight w:val="none"/>
              </w:rPr>
              <w:t>）</w:t>
            </w:r>
          </w:p>
        </w:tc>
      </w:tr>
      <w:tr w14:paraId="0288CA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1CE6808A">
            <w:pPr>
              <w:pStyle w:val="41"/>
              <w:rPr>
                <w:color w:val="auto"/>
                <w:highlight w:val="none"/>
              </w:rPr>
            </w:pPr>
          </w:p>
        </w:tc>
        <w:tc>
          <w:tcPr>
            <w:tcW w:w="1162" w:type="dxa"/>
            <w:vMerge w:val="continue"/>
            <w:tcBorders>
              <w:tl2br w:val="nil"/>
              <w:tr2bl w:val="nil"/>
            </w:tcBorders>
            <w:vAlign w:val="center"/>
          </w:tcPr>
          <w:p w14:paraId="51DDF5C3">
            <w:pPr>
              <w:pStyle w:val="41"/>
              <w:rPr>
                <w:color w:val="auto"/>
                <w:highlight w:val="none"/>
              </w:rPr>
            </w:pPr>
          </w:p>
        </w:tc>
        <w:tc>
          <w:tcPr>
            <w:tcW w:w="2176" w:type="dxa"/>
            <w:tcBorders>
              <w:tl2br w:val="nil"/>
              <w:tr2bl w:val="nil"/>
            </w:tcBorders>
            <w:vAlign w:val="center"/>
          </w:tcPr>
          <w:p w14:paraId="4B2A2C8E">
            <w:pPr>
              <w:pStyle w:val="41"/>
              <w:rPr>
                <w:color w:val="auto"/>
                <w:highlight w:val="none"/>
              </w:rPr>
            </w:pPr>
            <w:r>
              <w:rPr>
                <w:color w:val="auto"/>
                <w:highlight w:val="none"/>
              </w:rPr>
              <w:t>入库尾砂含水率</w:t>
            </w:r>
          </w:p>
        </w:tc>
        <w:tc>
          <w:tcPr>
            <w:tcW w:w="4874" w:type="dxa"/>
            <w:gridSpan w:val="10"/>
            <w:tcBorders>
              <w:tl2br w:val="nil"/>
              <w:tr2bl w:val="nil"/>
            </w:tcBorders>
            <w:vAlign w:val="center"/>
          </w:tcPr>
          <w:p w14:paraId="2BFC20F3">
            <w:pPr>
              <w:pStyle w:val="41"/>
              <w:rPr>
                <w:color w:val="auto"/>
                <w:highlight w:val="none"/>
              </w:rPr>
            </w:pPr>
            <w:r>
              <w:rPr>
                <w:color w:val="auto"/>
                <w:highlight w:val="none"/>
              </w:rPr>
              <w:t>18%</w:t>
            </w:r>
          </w:p>
        </w:tc>
      </w:tr>
      <w:tr w14:paraId="4C3BBB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restart"/>
            <w:tcBorders>
              <w:tl2br w:val="nil"/>
              <w:tr2bl w:val="nil"/>
            </w:tcBorders>
            <w:vAlign w:val="center"/>
          </w:tcPr>
          <w:p w14:paraId="54C19151">
            <w:pPr>
              <w:pStyle w:val="41"/>
              <w:rPr>
                <w:color w:val="auto"/>
                <w:highlight w:val="none"/>
              </w:rPr>
            </w:pPr>
            <w:r>
              <w:rPr>
                <w:color w:val="auto"/>
                <w:highlight w:val="none"/>
              </w:rPr>
              <w:t>4</w:t>
            </w:r>
          </w:p>
        </w:tc>
        <w:tc>
          <w:tcPr>
            <w:tcW w:w="1162" w:type="dxa"/>
            <w:vMerge w:val="restart"/>
            <w:tcBorders>
              <w:tl2br w:val="nil"/>
              <w:tr2bl w:val="nil"/>
            </w:tcBorders>
            <w:vAlign w:val="center"/>
          </w:tcPr>
          <w:p w14:paraId="20F0B043">
            <w:pPr>
              <w:pStyle w:val="41"/>
              <w:rPr>
                <w:color w:val="auto"/>
                <w:highlight w:val="none"/>
              </w:rPr>
            </w:pPr>
            <w:r>
              <w:rPr>
                <w:color w:val="auto"/>
                <w:highlight w:val="none"/>
              </w:rPr>
              <w:t>库容</w:t>
            </w:r>
          </w:p>
        </w:tc>
        <w:tc>
          <w:tcPr>
            <w:tcW w:w="2176" w:type="dxa"/>
            <w:tcBorders>
              <w:tl2br w:val="nil"/>
              <w:tr2bl w:val="nil"/>
            </w:tcBorders>
            <w:vAlign w:val="center"/>
          </w:tcPr>
          <w:p w14:paraId="4CA6D108">
            <w:pPr>
              <w:pStyle w:val="41"/>
              <w:rPr>
                <w:color w:val="auto"/>
                <w:highlight w:val="none"/>
              </w:rPr>
            </w:pPr>
            <w:r>
              <w:rPr>
                <w:color w:val="auto"/>
                <w:highlight w:val="none"/>
              </w:rPr>
              <w:t>总库容（10</w:t>
            </w:r>
            <w:r>
              <w:rPr>
                <w:color w:val="auto"/>
                <w:highlight w:val="none"/>
                <w:vertAlign w:val="superscript"/>
              </w:rPr>
              <w:t>4</w:t>
            </w:r>
            <w:r>
              <w:rPr>
                <w:color w:val="auto"/>
                <w:highlight w:val="none"/>
              </w:rPr>
              <w:t>m</w:t>
            </w:r>
            <w:r>
              <w:rPr>
                <w:color w:val="auto"/>
                <w:highlight w:val="none"/>
                <w:vertAlign w:val="superscript"/>
              </w:rPr>
              <w:t>3</w:t>
            </w:r>
            <w:r>
              <w:rPr>
                <w:color w:val="auto"/>
                <w:highlight w:val="none"/>
              </w:rPr>
              <w:t>）</w:t>
            </w:r>
          </w:p>
        </w:tc>
        <w:tc>
          <w:tcPr>
            <w:tcW w:w="4874" w:type="dxa"/>
            <w:gridSpan w:val="10"/>
            <w:tcBorders>
              <w:tl2br w:val="nil"/>
              <w:tr2bl w:val="nil"/>
            </w:tcBorders>
            <w:vAlign w:val="center"/>
          </w:tcPr>
          <w:p w14:paraId="36ADFFD1">
            <w:pPr>
              <w:pStyle w:val="41"/>
              <w:rPr>
                <w:color w:val="auto"/>
                <w:highlight w:val="none"/>
              </w:rPr>
            </w:pPr>
            <w:r>
              <w:rPr>
                <w:color w:val="auto"/>
                <w:highlight w:val="none"/>
              </w:rPr>
              <w:t>4223.61</w:t>
            </w:r>
          </w:p>
        </w:tc>
      </w:tr>
      <w:tr w14:paraId="438768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2A9827FC">
            <w:pPr>
              <w:pStyle w:val="41"/>
              <w:rPr>
                <w:color w:val="auto"/>
                <w:highlight w:val="none"/>
              </w:rPr>
            </w:pPr>
          </w:p>
        </w:tc>
        <w:tc>
          <w:tcPr>
            <w:tcW w:w="1162" w:type="dxa"/>
            <w:vMerge w:val="continue"/>
            <w:tcBorders>
              <w:tl2br w:val="nil"/>
              <w:tr2bl w:val="nil"/>
            </w:tcBorders>
            <w:vAlign w:val="center"/>
          </w:tcPr>
          <w:p w14:paraId="2A42B4C2">
            <w:pPr>
              <w:pStyle w:val="41"/>
              <w:rPr>
                <w:color w:val="auto"/>
                <w:highlight w:val="none"/>
              </w:rPr>
            </w:pPr>
          </w:p>
        </w:tc>
        <w:tc>
          <w:tcPr>
            <w:tcW w:w="2176" w:type="dxa"/>
            <w:tcBorders>
              <w:tl2br w:val="nil"/>
              <w:tr2bl w:val="nil"/>
            </w:tcBorders>
            <w:vAlign w:val="center"/>
          </w:tcPr>
          <w:p w14:paraId="5C1D3185">
            <w:pPr>
              <w:pStyle w:val="41"/>
              <w:rPr>
                <w:color w:val="auto"/>
                <w:highlight w:val="none"/>
              </w:rPr>
            </w:pPr>
            <w:r>
              <w:rPr>
                <w:color w:val="auto"/>
                <w:highlight w:val="none"/>
              </w:rPr>
              <w:t>有效库容（10</w:t>
            </w:r>
            <w:r>
              <w:rPr>
                <w:color w:val="auto"/>
                <w:highlight w:val="none"/>
                <w:vertAlign w:val="superscript"/>
              </w:rPr>
              <w:t>4</w:t>
            </w:r>
            <w:r>
              <w:rPr>
                <w:color w:val="auto"/>
                <w:highlight w:val="none"/>
              </w:rPr>
              <w:t>m</w:t>
            </w:r>
            <w:r>
              <w:rPr>
                <w:color w:val="auto"/>
                <w:highlight w:val="none"/>
                <w:vertAlign w:val="superscript"/>
              </w:rPr>
              <w:t>3</w:t>
            </w:r>
            <w:r>
              <w:rPr>
                <w:color w:val="auto"/>
                <w:highlight w:val="none"/>
              </w:rPr>
              <w:t>）</w:t>
            </w:r>
          </w:p>
        </w:tc>
        <w:tc>
          <w:tcPr>
            <w:tcW w:w="4874" w:type="dxa"/>
            <w:gridSpan w:val="10"/>
            <w:tcBorders>
              <w:tl2br w:val="nil"/>
              <w:tr2bl w:val="nil"/>
            </w:tcBorders>
            <w:vAlign w:val="center"/>
          </w:tcPr>
          <w:p w14:paraId="67019A40">
            <w:pPr>
              <w:pStyle w:val="41"/>
              <w:rPr>
                <w:color w:val="auto"/>
                <w:highlight w:val="none"/>
              </w:rPr>
            </w:pPr>
            <w:r>
              <w:rPr>
                <w:color w:val="auto"/>
                <w:highlight w:val="none"/>
              </w:rPr>
              <w:t>3801.25</w:t>
            </w:r>
          </w:p>
        </w:tc>
      </w:tr>
      <w:tr w14:paraId="137623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3CBD51D8">
            <w:pPr>
              <w:pStyle w:val="41"/>
              <w:rPr>
                <w:color w:val="auto"/>
                <w:highlight w:val="none"/>
              </w:rPr>
            </w:pPr>
          </w:p>
        </w:tc>
        <w:tc>
          <w:tcPr>
            <w:tcW w:w="1162" w:type="dxa"/>
            <w:tcBorders>
              <w:tl2br w:val="nil"/>
              <w:tr2bl w:val="nil"/>
            </w:tcBorders>
            <w:vAlign w:val="center"/>
          </w:tcPr>
          <w:p w14:paraId="45F9B32B">
            <w:pPr>
              <w:pStyle w:val="41"/>
              <w:rPr>
                <w:color w:val="auto"/>
                <w:highlight w:val="none"/>
              </w:rPr>
            </w:pPr>
            <w:r>
              <w:rPr>
                <w:color w:val="auto"/>
                <w:highlight w:val="none"/>
              </w:rPr>
              <w:t>坝高</w:t>
            </w:r>
          </w:p>
        </w:tc>
        <w:tc>
          <w:tcPr>
            <w:tcW w:w="2176" w:type="dxa"/>
            <w:tcBorders>
              <w:tl2br w:val="nil"/>
              <w:tr2bl w:val="nil"/>
            </w:tcBorders>
            <w:vAlign w:val="center"/>
          </w:tcPr>
          <w:p w14:paraId="175B6173">
            <w:pPr>
              <w:pStyle w:val="41"/>
              <w:rPr>
                <w:color w:val="auto"/>
                <w:highlight w:val="none"/>
              </w:rPr>
            </w:pPr>
            <w:r>
              <w:rPr>
                <w:color w:val="auto"/>
                <w:highlight w:val="none"/>
              </w:rPr>
              <w:t>总坝高（m）</w:t>
            </w:r>
          </w:p>
        </w:tc>
        <w:tc>
          <w:tcPr>
            <w:tcW w:w="4874" w:type="dxa"/>
            <w:gridSpan w:val="10"/>
            <w:tcBorders>
              <w:tl2br w:val="nil"/>
              <w:tr2bl w:val="nil"/>
            </w:tcBorders>
            <w:vAlign w:val="center"/>
          </w:tcPr>
          <w:p w14:paraId="27B630AD">
            <w:pPr>
              <w:pStyle w:val="41"/>
              <w:rPr>
                <w:color w:val="auto"/>
                <w:highlight w:val="none"/>
              </w:rPr>
            </w:pPr>
            <w:r>
              <w:rPr>
                <w:color w:val="auto"/>
                <w:highlight w:val="none"/>
              </w:rPr>
              <w:t>115</w:t>
            </w:r>
          </w:p>
        </w:tc>
      </w:tr>
      <w:tr w14:paraId="2E4214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3642B076">
            <w:pPr>
              <w:pStyle w:val="41"/>
              <w:rPr>
                <w:color w:val="auto"/>
                <w:highlight w:val="none"/>
              </w:rPr>
            </w:pPr>
          </w:p>
        </w:tc>
        <w:tc>
          <w:tcPr>
            <w:tcW w:w="3338" w:type="dxa"/>
            <w:gridSpan w:val="2"/>
            <w:tcBorders>
              <w:tl2br w:val="nil"/>
              <w:tr2bl w:val="nil"/>
            </w:tcBorders>
            <w:vAlign w:val="center"/>
          </w:tcPr>
          <w:p w14:paraId="37785CD5">
            <w:pPr>
              <w:pStyle w:val="41"/>
              <w:rPr>
                <w:color w:val="auto"/>
                <w:highlight w:val="none"/>
              </w:rPr>
            </w:pPr>
            <w:r>
              <w:rPr>
                <w:color w:val="auto"/>
                <w:highlight w:val="none"/>
              </w:rPr>
              <w:t>尾矿库最终等别</w:t>
            </w:r>
          </w:p>
        </w:tc>
        <w:tc>
          <w:tcPr>
            <w:tcW w:w="4874" w:type="dxa"/>
            <w:gridSpan w:val="10"/>
            <w:tcBorders>
              <w:tl2br w:val="nil"/>
              <w:tr2bl w:val="nil"/>
            </w:tcBorders>
            <w:vAlign w:val="center"/>
          </w:tcPr>
          <w:p w14:paraId="1F8E398A">
            <w:pPr>
              <w:pStyle w:val="41"/>
              <w:rPr>
                <w:color w:val="auto"/>
                <w:highlight w:val="none"/>
              </w:rPr>
            </w:pPr>
            <w:r>
              <w:rPr>
                <w:color w:val="auto"/>
                <w:highlight w:val="none"/>
              </w:rPr>
              <w:t>二等库</w:t>
            </w:r>
          </w:p>
        </w:tc>
      </w:tr>
      <w:tr w14:paraId="108BA87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381F73B5">
            <w:pPr>
              <w:pStyle w:val="41"/>
              <w:rPr>
                <w:color w:val="auto"/>
                <w:highlight w:val="none"/>
              </w:rPr>
            </w:pPr>
          </w:p>
        </w:tc>
        <w:tc>
          <w:tcPr>
            <w:tcW w:w="3338" w:type="dxa"/>
            <w:gridSpan w:val="2"/>
            <w:tcBorders>
              <w:tl2br w:val="nil"/>
              <w:tr2bl w:val="nil"/>
            </w:tcBorders>
            <w:vAlign w:val="center"/>
          </w:tcPr>
          <w:p w14:paraId="29A6B834">
            <w:pPr>
              <w:pStyle w:val="41"/>
              <w:rPr>
                <w:color w:val="auto"/>
                <w:highlight w:val="none"/>
              </w:rPr>
            </w:pPr>
            <w:r>
              <w:rPr>
                <w:color w:val="auto"/>
                <w:highlight w:val="none"/>
              </w:rPr>
              <w:t>服务年限</w:t>
            </w:r>
          </w:p>
        </w:tc>
        <w:tc>
          <w:tcPr>
            <w:tcW w:w="4874" w:type="dxa"/>
            <w:gridSpan w:val="10"/>
            <w:tcBorders>
              <w:tl2br w:val="nil"/>
              <w:tr2bl w:val="nil"/>
            </w:tcBorders>
            <w:vAlign w:val="center"/>
          </w:tcPr>
          <w:p w14:paraId="7BF5675F">
            <w:pPr>
              <w:pStyle w:val="41"/>
              <w:rPr>
                <w:color w:val="auto"/>
                <w:highlight w:val="none"/>
              </w:rPr>
            </w:pPr>
            <w:r>
              <w:rPr>
                <w:color w:val="auto"/>
                <w:highlight w:val="none"/>
              </w:rPr>
              <w:t>20.14年</w:t>
            </w:r>
          </w:p>
        </w:tc>
      </w:tr>
      <w:tr w14:paraId="12C796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tcBorders>
              <w:tl2br w:val="nil"/>
              <w:tr2bl w:val="nil"/>
            </w:tcBorders>
            <w:vAlign w:val="center"/>
          </w:tcPr>
          <w:p w14:paraId="58CAA7EF">
            <w:pPr>
              <w:pStyle w:val="41"/>
              <w:rPr>
                <w:color w:val="auto"/>
                <w:highlight w:val="none"/>
              </w:rPr>
            </w:pPr>
            <w:r>
              <w:rPr>
                <w:color w:val="auto"/>
                <w:highlight w:val="none"/>
              </w:rPr>
              <w:t>5</w:t>
            </w:r>
          </w:p>
        </w:tc>
        <w:tc>
          <w:tcPr>
            <w:tcW w:w="3338" w:type="dxa"/>
            <w:gridSpan w:val="2"/>
            <w:tcBorders>
              <w:tl2br w:val="nil"/>
              <w:tr2bl w:val="nil"/>
            </w:tcBorders>
            <w:vAlign w:val="center"/>
          </w:tcPr>
          <w:p w14:paraId="71995955">
            <w:pPr>
              <w:pStyle w:val="41"/>
              <w:rPr>
                <w:color w:val="auto"/>
                <w:highlight w:val="none"/>
              </w:rPr>
            </w:pPr>
            <w:r>
              <w:rPr>
                <w:color w:val="auto"/>
                <w:highlight w:val="none"/>
              </w:rPr>
              <w:t>地震烈度</w:t>
            </w:r>
          </w:p>
        </w:tc>
        <w:tc>
          <w:tcPr>
            <w:tcW w:w="4874" w:type="dxa"/>
            <w:gridSpan w:val="10"/>
            <w:tcBorders>
              <w:tl2br w:val="nil"/>
              <w:tr2bl w:val="nil"/>
            </w:tcBorders>
            <w:vAlign w:val="center"/>
          </w:tcPr>
          <w:p w14:paraId="23050618">
            <w:pPr>
              <w:pStyle w:val="41"/>
              <w:rPr>
                <w:color w:val="auto"/>
                <w:highlight w:val="none"/>
              </w:rPr>
            </w:pPr>
            <w:r>
              <w:rPr>
                <w:color w:val="auto"/>
                <w:highlight w:val="none"/>
              </w:rPr>
              <w:t>Ⅷ度</w:t>
            </w:r>
          </w:p>
        </w:tc>
      </w:tr>
      <w:tr w14:paraId="65A43A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4016" w:type="dxa"/>
            <w:gridSpan w:val="3"/>
            <w:tcBorders>
              <w:tl2br w:val="nil"/>
              <w:tr2bl w:val="nil"/>
            </w:tcBorders>
            <w:vAlign w:val="center"/>
          </w:tcPr>
          <w:p w14:paraId="0DD4F1BB">
            <w:pPr>
              <w:pStyle w:val="41"/>
              <w:rPr>
                <w:color w:val="auto"/>
                <w:highlight w:val="none"/>
              </w:rPr>
            </w:pPr>
            <w:r>
              <w:rPr>
                <w:color w:val="auto"/>
                <w:highlight w:val="none"/>
              </w:rPr>
              <w:t>二、尾矿坝</w:t>
            </w:r>
          </w:p>
        </w:tc>
        <w:tc>
          <w:tcPr>
            <w:tcW w:w="4874" w:type="dxa"/>
            <w:gridSpan w:val="10"/>
            <w:tcBorders>
              <w:tl2br w:val="nil"/>
              <w:tr2bl w:val="nil"/>
            </w:tcBorders>
            <w:vAlign w:val="center"/>
          </w:tcPr>
          <w:p w14:paraId="3D4A4775">
            <w:pPr>
              <w:pStyle w:val="41"/>
              <w:rPr>
                <w:color w:val="auto"/>
                <w:highlight w:val="none"/>
              </w:rPr>
            </w:pPr>
          </w:p>
        </w:tc>
      </w:tr>
      <w:tr w14:paraId="617EFC6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restart"/>
            <w:tcBorders>
              <w:tl2br w:val="nil"/>
              <w:tr2bl w:val="nil"/>
            </w:tcBorders>
            <w:vAlign w:val="center"/>
          </w:tcPr>
          <w:p w14:paraId="20C9E8E7">
            <w:pPr>
              <w:pStyle w:val="41"/>
              <w:rPr>
                <w:color w:val="auto"/>
                <w:highlight w:val="none"/>
              </w:rPr>
            </w:pPr>
            <w:r>
              <w:rPr>
                <w:color w:val="auto"/>
                <w:highlight w:val="none"/>
              </w:rPr>
              <w:t>1</w:t>
            </w:r>
          </w:p>
        </w:tc>
        <w:tc>
          <w:tcPr>
            <w:tcW w:w="1162" w:type="dxa"/>
            <w:vMerge w:val="restart"/>
            <w:tcBorders>
              <w:tl2br w:val="nil"/>
              <w:tr2bl w:val="nil"/>
            </w:tcBorders>
            <w:vAlign w:val="center"/>
          </w:tcPr>
          <w:p w14:paraId="7CF8BAA9">
            <w:pPr>
              <w:pStyle w:val="41"/>
              <w:rPr>
                <w:color w:val="auto"/>
                <w:highlight w:val="none"/>
              </w:rPr>
            </w:pPr>
            <w:r>
              <w:rPr>
                <w:color w:val="auto"/>
                <w:highlight w:val="none"/>
              </w:rPr>
              <w:t>初期坝</w:t>
            </w:r>
          </w:p>
        </w:tc>
        <w:tc>
          <w:tcPr>
            <w:tcW w:w="2176" w:type="dxa"/>
            <w:tcBorders>
              <w:tl2br w:val="nil"/>
              <w:tr2bl w:val="nil"/>
            </w:tcBorders>
            <w:vAlign w:val="center"/>
          </w:tcPr>
          <w:p w14:paraId="6D1DCFF1">
            <w:pPr>
              <w:pStyle w:val="41"/>
              <w:rPr>
                <w:color w:val="auto"/>
                <w:highlight w:val="none"/>
              </w:rPr>
            </w:pPr>
            <w:r>
              <w:rPr>
                <w:color w:val="auto"/>
                <w:highlight w:val="none"/>
              </w:rPr>
              <w:t>坝型</w:t>
            </w:r>
          </w:p>
        </w:tc>
        <w:tc>
          <w:tcPr>
            <w:tcW w:w="4874" w:type="dxa"/>
            <w:gridSpan w:val="10"/>
            <w:tcBorders>
              <w:tl2br w:val="nil"/>
              <w:tr2bl w:val="nil"/>
            </w:tcBorders>
            <w:vAlign w:val="center"/>
          </w:tcPr>
          <w:p w14:paraId="2BBF35C8">
            <w:pPr>
              <w:pStyle w:val="41"/>
              <w:rPr>
                <w:color w:val="auto"/>
                <w:highlight w:val="none"/>
              </w:rPr>
            </w:pPr>
            <w:r>
              <w:rPr>
                <w:color w:val="auto"/>
                <w:highlight w:val="none"/>
              </w:rPr>
              <w:t>碾压堆石坝</w:t>
            </w:r>
          </w:p>
        </w:tc>
      </w:tr>
      <w:tr w14:paraId="569BC6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5FA668A4">
            <w:pPr>
              <w:pStyle w:val="41"/>
              <w:rPr>
                <w:color w:val="auto"/>
                <w:highlight w:val="none"/>
              </w:rPr>
            </w:pPr>
          </w:p>
        </w:tc>
        <w:tc>
          <w:tcPr>
            <w:tcW w:w="1162" w:type="dxa"/>
            <w:vMerge w:val="continue"/>
            <w:tcBorders>
              <w:tl2br w:val="nil"/>
              <w:tr2bl w:val="nil"/>
            </w:tcBorders>
            <w:vAlign w:val="center"/>
          </w:tcPr>
          <w:p w14:paraId="0E093845">
            <w:pPr>
              <w:pStyle w:val="41"/>
              <w:rPr>
                <w:color w:val="auto"/>
                <w:highlight w:val="none"/>
              </w:rPr>
            </w:pPr>
          </w:p>
        </w:tc>
        <w:tc>
          <w:tcPr>
            <w:tcW w:w="2176" w:type="dxa"/>
            <w:tcBorders>
              <w:tl2br w:val="nil"/>
              <w:tr2bl w:val="nil"/>
            </w:tcBorders>
            <w:vAlign w:val="center"/>
          </w:tcPr>
          <w:p w14:paraId="12C056A2">
            <w:pPr>
              <w:pStyle w:val="41"/>
              <w:rPr>
                <w:color w:val="auto"/>
                <w:highlight w:val="none"/>
              </w:rPr>
            </w:pPr>
            <w:r>
              <w:rPr>
                <w:color w:val="auto"/>
                <w:highlight w:val="none"/>
              </w:rPr>
              <w:t>坝顶标高（m）</w:t>
            </w:r>
          </w:p>
        </w:tc>
        <w:tc>
          <w:tcPr>
            <w:tcW w:w="4874" w:type="dxa"/>
            <w:gridSpan w:val="10"/>
            <w:tcBorders>
              <w:tl2br w:val="nil"/>
              <w:tr2bl w:val="nil"/>
            </w:tcBorders>
            <w:vAlign w:val="center"/>
          </w:tcPr>
          <w:p w14:paraId="77C834BA">
            <w:pPr>
              <w:pStyle w:val="41"/>
              <w:rPr>
                <w:color w:val="auto"/>
                <w:highlight w:val="none"/>
              </w:rPr>
            </w:pPr>
            <w:r>
              <w:rPr>
                <w:color w:val="auto"/>
                <w:highlight w:val="none"/>
              </w:rPr>
              <w:t>1930</w:t>
            </w:r>
          </w:p>
        </w:tc>
      </w:tr>
      <w:tr w14:paraId="39266F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3116F03A">
            <w:pPr>
              <w:pStyle w:val="41"/>
              <w:rPr>
                <w:color w:val="auto"/>
                <w:highlight w:val="none"/>
              </w:rPr>
            </w:pPr>
          </w:p>
        </w:tc>
        <w:tc>
          <w:tcPr>
            <w:tcW w:w="1162" w:type="dxa"/>
            <w:vMerge w:val="continue"/>
            <w:tcBorders>
              <w:tl2br w:val="nil"/>
              <w:tr2bl w:val="nil"/>
            </w:tcBorders>
            <w:vAlign w:val="center"/>
          </w:tcPr>
          <w:p w14:paraId="580AAB40">
            <w:pPr>
              <w:pStyle w:val="41"/>
              <w:rPr>
                <w:color w:val="auto"/>
                <w:highlight w:val="none"/>
              </w:rPr>
            </w:pPr>
          </w:p>
        </w:tc>
        <w:tc>
          <w:tcPr>
            <w:tcW w:w="2176" w:type="dxa"/>
            <w:tcBorders>
              <w:tl2br w:val="nil"/>
              <w:tr2bl w:val="nil"/>
            </w:tcBorders>
            <w:vAlign w:val="center"/>
          </w:tcPr>
          <w:p w14:paraId="2C588959">
            <w:pPr>
              <w:pStyle w:val="41"/>
              <w:rPr>
                <w:color w:val="auto"/>
                <w:highlight w:val="none"/>
              </w:rPr>
            </w:pPr>
            <w:r>
              <w:rPr>
                <w:color w:val="auto"/>
                <w:highlight w:val="none"/>
              </w:rPr>
              <w:t>坝高/顶宽（m）</w:t>
            </w:r>
          </w:p>
        </w:tc>
        <w:tc>
          <w:tcPr>
            <w:tcW w:w="4874" w:type="dxa"/>
            <w:gridSpan w:val="10"/>
            <w:tcBorders>
              <w:tl2br w:val="nil"/>
              <w:tr2bl w:val="nil"/>
            </w:tcBorders>
            <w:vAlign w:val="center"/>
          </w:tcPr>
          <w:p w14:paraId="5B99DFAA">
            <w:pPr>
              <w:pStyle w:val="41"/>
              <w:rPr>
                <w:color w:val="auto"/>
                <w:highlight w:val="none"/>
              </w:rPr>
            </w:pPr>
            <w:r>
              <w:rPr>
                <w:color w:val="auto"/>
                <w:highlight w:val="none"/>
              </w:rPr>
              <w:t>30/5.0</w:t>
            </w:r>
          </w:p>
        </w:tc>
      </w:tr>
      <w:tr w14:paraId="28A84D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129AD1CE">
            <w:pPr>
              <w:pStyle w:val="41"/>
              <w:rPr>
                <w:color w:val="auto"/>
                <w:highlight w:val="none"/>
              </w:rPr>
            </w:pPr>
          </w:p>
        </w:tc>
        <w:tc>
          <w:tcPr>
            <w:tcW w:w="1162" w:type="dxa"/>
            <w:vMerge w:val="continue"/>
            <w:tcBorders>
              <w:tl2br w:val="nil"/>
              <w:tr2bl w:val="nil"/>
            </w:tcBorders>
            <w:vAlign w:val="center"/>
          </w:tcPr>
          <w:p w14:paraId="586F7B44">
            <w:pPr>
              <w:pStyle w:val="41"/>
              <w:rPr>
                <w:color w:val="auto"/>
                <w:highlight w:val="none"/>
              </w:rPr>
            </w:pPr>
          </w:p>
        </w:tc>
        <w:tc>
          <w:tcPr>
            <w:tcW w:w="2176" w:type="dxa"/>
            <w:tcBorders>
              <w:tl2br w:val="nil"/>
              <w:tr2bl w:val="nil"/>
            </w:tcBorders>
            <w:vAlign w:val="center"/>
          </w:tcPr>
          <w:p w14:paraId="47D8B8B8">
            <w:pPr>
              <w:pStyle w:val="41"/>
              <w:rPr>
                <w:color w:val="auto"/>
                <w:highlight w:val="none"/>
              </w:rPr>
            </w:pPr>
            <w:r>
              <w:rPr>
                <w:color w:val="auto"/>
                <w:highlight w:val="none"/>
              </w:rPr>
              <w:t>上游坡比</w:t>
            </w:r>
          </w:p>
        </w:tc>
        <w:tc>
          <w:tcPr>
            <w:tcW w:w="4874" w:type="dxa"/>
            <w:gridSpan w:val="10"/>
            <w:tcBorders>
              <w:tl2br w:val="nil"/>
              <w:tr2bl w:val="nil"/>
            </w:tcBorders>
            <w:vAlign w:val="center"/>
          </w:tcPr>
          <w:p w14:paraId="60333C97">
            <w:pPr>
              <w:pStyle w:val="41"/>
              <w:rPr>
                <w:color w:val="auto"/>
                <w:highlight w:val="none"/>
              </w:rPr>
            </w:pPr>
            <w:r>
              <w:rPr>
                <w:color w:val="auto"/>
                <w:highlight w:val="none"/>
              </w:rPr>
              <w:t>1:1.75</w:t>
            </w:r>
          </w:p>
        </w:tc>
      </w:tr>
      <w:tr w14:paraId="6ECCDCA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5BA70115">
            <w:pPr>
              <w:pStyle w:val="41"/>
              <w:rPr>
                <w:color w:val="auto"/>
                <w:highlight w:val="none"/>
              </w:rPr>
            </w:pPr>
          </w:p>
        </w:tc>
        <w:tc>
          <w:tcPr>
            <w:tcW w:w="1162" w:type="dxa"/>
            <w:vMerge w:val="continue"/>
            <w:tcBorders>
              <w:tl2br w:val="nil"/>
              <w:tr2bl w:val="nil"/>
            </w:tcBorders>
            <w:vAlign w:val="center"/>
          </w:tcPr>
          <w:p w14:paraId="30E1751F">
            <w:pPr>
              <w:pStyle w:val="41"/>
              <w:rPr>
                <w:color w:val="auto"/>
                <w:highlight w:val="none"/>
              </w:rPr>
            </w:pPr>
          </w:p>
        </w:tc>
        <w:tc>
          <w:tcPr>
            <w:tcW w:w="2176" w:type="dxa"/>
            <w:tcBorders>
              <w:tl2br w:val="nil"/>
              <w:tr2bl w:val="nil"/>
            </w:tcBorders>
            <w:vAlign w:val="center"/>
          </w:tcPr>
          <w:p w14:paraId="5456EEB7">
            <w:pPr>
              <w:pStyle w:val="41"/>
              <w:rPr>
                <w:color w:val="auto"/>
                <w:highlight w:val="none"/>
              </w:rPr>
            </w:pPr>
            <w:r>
              <w:rPr>
                <w:color w:val="auto"/>
                <w:highlight w:val="none"/>
              </w:rPr>
              <w:t>下游坡比</w:t>
            </w:r>
          </w:p>
        </w:tc>
        <w:tc>
          <w:tcPr>
            <w:tcW w:w="4874" w:type="dxa"/>
            <w:gridSpan w:val="10"/>
            <w:tcBorders>
              <w:tl2br w:val="nil"/>
              <w:tr2bl w:val="nil"/>
            </w:tcBorders>
            <w:vAlign w:val="center"/>
          </w:tcPr>
          <w:p w14:paraId="2610D51F">
            <w:pPr>
              <w:pStyle w:val="41"/>
              <w:rPr>
                <w:color w:val="auto"/>
                <w:highlight w:val="none"/>
              </w:rPr>
            </w:pPr>
            <w:r>
              <w:rPr>
                <w:color w:val="auto"/>
                <w:highlight w:val="none"/>
              </w:rPr>
              <w:t>1:2.0</w:t>
            </w:r>
          </w:p>
        </w:tc>
      </w:tr>
      <w:tr w14:paraId="4EEC3F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4439DD11">
            <w:pPr>
              <w:pStyle w:val="41"/>
              <w:rPr>
                <w:color w:val="auto"/>
                <w:highlight w:val="none"/>
              </w:rPr>
            </w:pPr>
          </w:p>
        </w:tc>
        <w:tc>
          <w:tcPr>
            <w:tcW w:w="1162" w:type="dxa"/>
            <w:vMerge w:val="continue"/>
            <w:tcBorders>
              <w:tl2br w:val="nil"/>
              <w:tr2bl w:val="nil"/>
            </w:tcBorders>
            <w:vAlign w:val="center"/>
          </w:tcPr>
          <w:p w14:paraId="7AE2AC50">
            <w:pPr>
              <w:pStyle w:val="41"/>
              <w:rPr>
                <w:color w:val="auto"/>
                <w:highlight w:val="none"/>
              </w:rPr>
            </w:pPr>
          </w:p>
        </w:tc>
        <w:tc>
          <w:tcPr>
            <w:tcW w:w="2176" w:type="dxa"/>
            <w:tcBorders>
              <w:tl2br w:val="nil"/>
              <w:tr2bl w:val="nil"/>
            </w:tcBorders>
            <w:vAlign w:val="center"/>
          </w:tcPr>
          <w:p w14:paraId="64F982C7">
            <w:pPr>
              <w:pStyle w:val="41"/>
              <w:rPr>
                <w:color w:val="auto"/>
                <w:highlight w:val="none"/>
              </w:rPr>
            </w:pPr>
            <w:r>
              <w:rPr>
                <w:color w:val="auto"/>
                <w:highlight w:val="none"/>
              </w:rPr>
              <w:t>坝体构造</w:t>
            </w:r>
          </w:p>
        </w:tc>
        <w:tc>
          <w:tcPr>
            <w:tcW w:w="4874" w:type="dxa"/>
            <w:gridSpan w:val="10"/>
            <w:tcBorders>
              <w:tl2br w:val="nil"/>
              <w:tr2bl w:val="nil"/>
            </w:tcBorders>
            <w:vAlign w:val="center"/>
          </w:tcPr>
          <w:p w14:paraId="531B0719">
            <w:pPr>
              <w:pStyle w:val="41"/>
              <w:rPr>
                <w:color w:val="auto"/>
                <w:highlight w:val="none"/>
              </w:rPr>
            </w:pPr>
            <w:r>
              <w:rPr>
                <w:color w:val="auto"/>
                <w:highlight w:val="none"/>
              </w:rPr>
              <w:t>上游</w:t>
            </w:r>
            <w:r>
              <w:rPr>
                <w:rFonts w:hint="eastAsia"/>
                <w:color w:val="auto"/>
                <w:highlight w:val="none"/>
                <w:lang w:eastAsia="zh-CN"/>
              </w:rPr>
              <w:t>坡面</w:t>
            </w:r>
            <w:r>
              <w:rPr>
                <w:color w:val="auto"/>
                <w:highlight w:val="none"/>
              </w:rPr>
              <w:t>铺设防渗层；上、下游坡面均设置干砌石护坡</w:t>
            </w:r>
          </w:p>
        </w:tc>
      </w:tr>
      <w:tr w14:paraId="639F26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restart"/>
            <w:tcBorders>
              <w:tl2br w:val="nil"/>
              <w:tr2bl w:val="nil"/>
            </w:tcBorders>
            <w:vAlign w:val="center"/>
          </w:tcPr>
          <w:p w14:paraId="359408D1">
            <w:pPr>
              <w:pStyle w:val="41"/>
              <w:rPr>
                <w:color w:val="auto"/>
                <w:highlight w:val="none"/>
              </w:rPr>
            </w:pPr>
            <w:r>
              <w:rPr>
                <w:color w:val="auto"/>
                <w:highlight w:val="none"/>
              </w:rPr>
              <w:t>2</w:t>
            </w:r>
          </w:p>
        </w:tc>
        <w:tc>
          <w:tcPr>
            <w:tcW w:w="1162" w:type="dxa"/>
            <w:vMerge w:val="restart"/>
            <w:tcBorders>
              <w:tl2br w:val="nil"/>
              <w:tr2bl w:val="nil"/>
            </w:tcBorders>
            <w:vAlign w:val="center"/>
          </w:tcPr>
          <w:p w14:paraId="0B22F952">
            <w:pPr>
              <w:pStyle w:val="41"/>
              <w:rPr>
                <w:color w:val="auto"/>
                <w:highlight w:val="none"/>
              </w:rPr>
            </w:pPr>
            <w:r>
              <w:rPr>
                <w:color w:val="auto"/>
                <w:highlight w:val="none"/>
              </w:rPr>
              <w:t>堆积坝</w:t>
            </w:r>
          </w:p>
        </w:tc>
        <w:tc>
          <w:tcPr>
            <w:tcW w:w="2176" w:type="dxa"/>
            <w:tcBorders>
              <w:tl2br w:val="nil"/>
              <w:tr2bl w:val="nil"/>
            </w:tcBorders>
            <w:vAlign w:val="center"/>
          </w:tcPr>
          <w:p w14:paraId="57C36587">
            <w:pPr>
              <w:pStyle w:val="41"/>
              <w:rPr>
                <w:color w:val="auto"/>
                <w:highlight w:val="none"/>
              </w:rPr>
            </w:pPr>
            <w:r>
              <w:rPr>
                <w:color w:val="auto"/>
                <w:highlight w:val="none"/>
              </w:rPr>
              <w:t>堆积坝坝顶标高（m）</w:t>
            </w:r>
          </w:p>
        </w:tc>
        <w:tc>
          <w:tcPr>
            <w:tcW w:w="4874" w:type="dxa"/>
            <w:gridSpan w:val="10"/>
            <w:tcBorders>
              <w:tl2br w:val="nil"/>
              <w:tr2bl w:val="nil"/>
            </w:tcBorders>
            <w:vAlign w:val="center"/>
          </w:tcPr>
          <w:p w14:paraId="7E1AC25B">
            <w:pPr>
              <w:pStyle w:val="41"/>
              <w:rPr>
                <w:color w:val="auto"/>
                <w:highlight w:val="none"/>
              </w:rPr>
            </w:pPr>
            <w:r>
              <w:rPr>
                <w:color w:val="auto"/>
                <w:highlight w:val="none"/>
              </w:rPr>
              <w:t>2015</w:t>
            </w:r>
          </w:p>
        </w:tc>
      </w:tr>
      <w:tr w14:paraId="6E005F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678" w:type="dxa"/>
            <w:vMerge w:val="continue"/>
            <w:tcBorders>
              <w:tl2br w:val="nil"/>
              <w:tr2bl w:val="nil"/>
            </w:tcBorders>
            <w:vAlign w:val="center"/>
          </w:tcPr>
          <w:p w14:paraId="6BA25488">
            <w:pPr>
              <w:pStyle w:val="41"/>
              <w:rPr>
                <w:color w:val="auto"/>
                <w:highlight w:val="none"/>
              </w:rPr>
            </w:pPr>
          </w:p>
        </w:tc>
        <w:tc>
          <w:tcPr>
            <w:tcW w:w="1162" w:type="dxa"/>
            <w:vMerge w:val="continue"/>
            <w:tcBorders>
              <w:tl2br w:val="nil"/>
              <w:tr2bl w:val="nil"/>
            </w:tcBorders>
            <w:vAlign w:val="center"/>
          </w:tcPr>
          <w:p w14:paraId="4D91CF5B">
            <w:pPr>
              <w:pStyle w:val="41"/>
              <w:rPr>
                <w:color w:val="auto"/>
                <w:highlight w:val="none"/>
              </w:rPr>
            </w:pPr>
          </w:p>
        </w:tc>
        <w:tc>
          <w:tcPr>
            <w:tcW w:w="2176" w:type="dxa"/>
            <w:tcBorders>
              <w:tl2br w:val="nil"/>
              <w:tr2bl w:val="nil"/>
            </w:tcBorders>
            <w:vAlign w:val="center"/>
          </w:tcPr>
          <w:p w14:paraId="6DCCA9E7">
            <w:pPr>
              <w:pStyle w:val="41"/>
              <w:rPr>
                <w:color w:val="auto"/>
                <w:highlight w:val="none"/>
              </w:rPr>
            </w:pPr>
            <w:r>
              <w:rPr>
                <w:color w:val="auto"/>
                <w:highlight w:val="none"/>
              </w:rPr>
              <w:t>堆积坝高（m）</w:t>
            </w:r>
          </w:p>
        </w:tc>
        <w:tc>
          <w:tcPr>
            <w:tcW w:w="4874" w:type="dxa"/>
            <w:gridSpan w:val="10"/>
            <w:tcBorders>
              <w:tl2br w:val="nil"/>
              <w:tr2bl w:val="nil"/>
            </w:tcBorders>
            <w:vAlign w:val="center"/>
          </w:tcPr>
          <w:p w14:paraId="5F9EE692">
            <w:pPr>
              <w:pStyle w:val="41"/>
              <w:rPr>
                <w:color w:val="auto"/>
                <w:highlight w:val="none"/>
              </w:rPr>
            </w:pPr>
            <w:r>
              <w:rPr>
                <w:color w:val="auto"/>
                <w:highlight w:val="none"/>
              </w:rPr>
              <w:t>85</w:t>
            </w:r>
          </w:p>
        </w:tc>
      </w:tr>
      <w:tr w14:paraId="7181B1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1F570A9D">
            <w:pPr>
              <w:pStyle w:val="41"/>
              <w:rPr>
                <w:color w:val="auto"/>
                <w:highlight w:val="none"/>
              </w:rPr>
            </w:pPr>
          </w:p>
        </w:tc>
        <w:tc>
          <w:tcPr>
            <w:tcW w:w="1162" w:type="dxa"/>
            <w:vMerge w:val="continue"/>
            <w:tcBorders>
              <w:tl2br w:val="nil"/>
              <w:tr2bl w:val="nil"/>
            </w:tcBorders>
            <w:vAlign w:val="center"/>
          </w:tcPr>
          <w:p w14:paraId="693EF9E1">
            <w:pPr>
              <w:pStyle w:val="41"/>
              <w:rPr>
                <w:color w:val="auto"/>
                <w:highlight w:val="none"/>
              </w:rPr>
            </w:pPr>
          </w:p>
        </w:tc>
        <w:tc>
          <w:tcPr>
            <w:tcW w:w="2176" w:type="dxa"/>
            <w:tcBorders>
              <w:tl2br w:val="nil"/>
              <w:tr2bl w:val="nil"/>
            </w:tcBorders>
            <w:vAlign w:val="center"/>
          </w:tcPr>
          <w:p w14:paraId="30052C91">
            <w:pPr>
              <w:pStyle w:val="41"/>
              <w:rPr>
                <w:color w:val="auto"/>
                <w:highlight w:val="none"/>
              </w:rPr>
            </w:pPr>
            <w:r>
              <w:rPr>
                <w:color w:val="auto"/>
                <w:highlight w:val="none"/>
              </w:rPr>
              <w:t>平均外坡比</w:t>
            </w:r>
          </w:p>
        </w:tc>
        <w:tc>
          <w:tcPr>
            <w:tcW w:w="4874" w:type="dxa"/>
            <w:gridSpan w:val="10"/>
            <w:tcBorders>
              <w:tl2br w:val="nil"/>
              <w:tr2bl w:val="nil"/>
            </w:tcBorders>
            <w:vAlign w:val="center"/>
          </w:tcPr>
          <w:p w14:paraId="518B8BDE">
            <w:pPr>
              <w:pStyle w:val="41"/>
              <w:rPr>
                <w:color w:val="auto"/>
                <w:highlight w:val="none"/>
              </w:rPr>
            </w:pPr>
            <w:r>
              <w:rPr>
                <w:color w:val="auto"/>
                <w:highlight w:val="none"/>
              </w:rPr>
              <w:t>1</w:t>
            </w:r>
            <w:r>
              <w:rPr>
                <w:rFonts w:hint="eastAsia"/>
                <w:color w:val="auto"/>
                <w:highlight w:val="none"/>
                <w:lang w:eastAsia="zh-CN"/>
              </w:rPr>
              <w:t>:</w:t>
            </w:r>
            <w:r>
              <w:rPr>
                <w:color w:val="auto"/>
                <w:highlight w:val="none"/>
              </w:rPr>
              <w:t>4.0</w:t>
            </w:r>
          </w:p>
        </w:tc>
      </w:tr>
      <w:tr w14:paraId="71F91D7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4016" w:type="dxa"/>
            <w:gridSpan w:val="3"/>
            <w:tcBorders>
              <w:tl2br w:val="nil"/>
              <w:tr2bl w:val="nil"/>
            </w:tcBorders>
            <w:vAlign w:val="center"/>
          </w:tcPr>
          <w:p w14:paraId="1788D34C">
            <w:pPr>
              <w:pStyle w:val="41"/>
              <w:rPr>
                <w:color w:val="auto"/>
                <w:highlight w:val="none"/>
              </w:rPr>
            </w:pPr>
            <w:r>
              <w:rPr>
                <w:color w:val="auto"/>
                <w:highlight w:val="none"/>
              </w:rPr>
              <w:t>三、排洪系统</w:t>
            </w:r>
          </w:p>
        </w:tc>
        <w:tc>
          <w:tcPr>
            <w:tcW w:w="4874" w:type="dxa"/>
            <w:gridSpan w:val="10"/>
            <w:tcBorders>
              <w:tl2br w:val="nil"/>
              <w:tr2bl w:val="nil"/>
            </w:tcBorders>
            <w:vAlign w:val="center"/>
          </w:tcPr>
          <w:p w14:paraId="771EC1AE">
            <w:pPr>
              <w:pStyle w:val="41"/>
              <w:rPr>
                <w:color w:val="auto"/>
                <w:highlight w:val="none"/>
              </w:rPr>
            </w:pPr>
          </w:p>
        </w:tc>
      </w:tr>
      <w:tr w14:paraId="096C8D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tcBorders>
              <w:tl2br w:val="nil"/>
              <w:tr2bl w:val="nil"/>
            </w:tcBorders>
            <w:vAlign w:val="center"/>
          </w:tcPr>
          <w:p w14:paraId="7CEBE50C">
            <w:pPr>
              <w:pStyle w:val="41"/>
              <w:rPr>
                <w:color w:val="auto"/>
                <w:highlight w:val="none"/>
              </w:rPr>
            </w:pPr>
            <w:r>
              <w:rPr>
                <w:color w:val="auto"/>
                <w:highlight w:val="none"/>
              </w:rPr>
              <w:t>1</w:t>
            </w:r>
          </w:p>
        </w:tc>
        <w:tc>
          <w:tcPr>
            <w:tcW w:w="3338" w:type="dxa"/>
            <w:gridSpan w:val="2"/>
            <w:tcBorders>
              <w:tl2br w:val="nil"/>
              <w:tr2bl w:val="nil"/>
            </w:tcBorders>
            <w:vAlign w:val="center"/>
          </w:tcPr>
          <w:p w14:paraId="00BEEB95">
            <w:pPr>
              <w:pStyle w:val="41"/>
              <w:rPr>
                <w:color w:val="auto"/>
                <w:highlight w:val="none"/>
              </w:rPr>
            </w:pPr>
            <w:r>
              <w:rPr>
                <w:color w:val="auto"/>
                <w:highlight w:val="none"/>
              </w:rPr>
              <w:t>防洪标准</w:t>
            </w:r>
          </w:p>
        </w:tc>
        <w:tc>
          <w:tcPr>
            <w:tcW w:w="4874" w:type="dxa"/>
            <w:gridSpan w:val="10"/>
            <w:tcBorders>
              <w:tl2br w:val="nil"/>
              <w:tr2bl w:val="nil"/>
            </w:tcBorders>
            <w:vAlign w:val="center"/>
          </w:tcPr>
          <w:p w14:paraId="37606E19">
            <w:pPr>
              <w:pStyle w:val="41"/>
              <w:rPr>
                <w:color w:val="auto"/>
                <w:highlight w:val="none"/>
              </w:rPr>
            </w:pPr>
            <w:r>
              <w:rPr>
                <w:color w:val="auto"/>
                <w:highlight w:val="none"/>
              </w:rPr>
              <w:t>最高1000年一遇（P=0.1%）</w:t>
            </w:r>
          </w:p>
        </w:tc>
      </w:tr>
      <w:tr w14:paraId="2D2E9D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restart"/>
            <w:tcBorders>
              <w:tl2br w:val="nil"/>
              <w:tr2bl w:val="nil"/>
            </w:tcBorders>
            <w:vAlign w:val="center"/>
          </w:tcPr>
          <w:p w14:paraId="5C80751E">
            <w:pPr>
              <w:pStyle w:val="41"/>
              <w:rPr>
                <w:color w:val="auto"/>
                <w:highlight w:val="none"/>
              </w:rPr>
            </w:pPr>
            <w:r>
              <w:rPr>
                <w:color w:val="auto"/>
                <w:highlight w:val="none"/>
              </w:rPr>
              <w:t>2</w:t>
            </w:r>
          </w:p>
        </w:tc>
        <w:tc>
          <w:tcPr>
            <w:tcW w:w="1162" w:type="dxa"/>
            <w:vMerge w:val="restart"/>
            <w:tcBorders>
              <w:tl2br w:val="nil"/>
              <w:tr2bl w:val="nil"/>
            </w:tcBorders>
            <w:vAlign w:val="center"/>
          </w:tcPr>
          <w:p w14:paraId="4719DA69">
            <w:pPr>
              <w:pStyle w:val="41"/>
              <w:rPr>
                <w:color w:val="auto"/>
                <w:highlight w:val="none"/>
              </w:rPr>
            </w:pPr>
            <w:r>
              <w:rPr>
                <w:color w:val="auto"/>
                <w:highlight w:val="none"/>
              </w:rPr>
              <w:t>沟道特征</w:t>
            </w:r>
          </w:p>
        </w:tc>
        <w:tc>
          <w:tcPr>
            <w:tcW w:w="2176" w:type="dxa"/>
            <w:tcBorders>
              <w:tl2br w:val="nil"/>
              <w:tr2bl w:val="nil"/>
            </w:tcBorders>
            <w:vAlign w:val="center"/>
          </w:tcPr>
          <w:p w14:paraId="45DCD82B">
            <w:pPr>
              <w:pStyle w:val="41"/>
              <w:rPr>
                <w:color w:val="auto"/>
                <w:highlight w:val="none"/>
              </w:rPr>
            </w:pPr>
            <w:r>
              <w:rPr>
                <w:color w:val="auto"/>
                <w:highlight w:val="none"/>
              </w:rPr>
              <w:t>区域</w:t>
            </w:r>
          </w:p>
        </w:tc>
        <w:tc>
          <w:tcPr>
            <w:tcW w:w="1669" w:type="dxa"/>
            <w:gridSpan w:val="3"/>
            <w:tcBorders>
              <w:tl2br w:val="nil"/>
              <w:tr2bl w:val="nil"/>
            </w:tcBorders>
            <w:vAlign w:val="center"/>
          </w:tcPr>
          <w:p w14:paraId="445DC449">
            <w:pPr>
              <w:pStyle w:val="41"/>
              <w:rPr>
                <w:color w:val="auto"/>
                <w:highlight w:val="none"/>
              </w:rPr>
            </w:pPr>
            <w:r>
              <w:rPr>
                <w:color w:val="auto"/>
                <w:highlight w:val="none"/>
              </w:rPr>
              <w:t>汇水面积F（km</w:t>
            </w:r>
            <w:r>
              <w:rPr>
                <w:color w:val="auto"/>
                <w:highlight w:val="none"/>
                <w:vertAlign w:val="superscript"/>
              </w:rPr>
              <w:t>2</w:t>
            </w:r>
            <w:r>
              <w:rPr>
                <w:color w:val="auto"/>
                <w:highlight w:val="none"/>
              </w:rPr>
              <w:t>）</w:t>
            </w:r>
          </w:p>
        </w:tc>
        <w:tc>
          <w:tcPr>
            <w:tcW w:w="1608" w:type="dxa"/>
            <w:gridSpan w:val="3"/>
            <w:tcBorders>
              <w:tl2br w:val="nil"/>
              <w:tr2bl w:val="nil"/>
            </w:tcBorders>
            <w:vAlign w:val="center"/>
          </w:tcPr>
          <w:p w14:paraId="5C3FF61D">
            <w:pPr>
              <w:pStyle w:val="41"/>
              <w:rPr>
                <w:color w:val="auto"/>
                <w:highlight w:val="none"/>
              </w:rPr>
            </w:pPr>
            <w:r>
              <w:rPr>
                <w:color w:val="auto"/>
                <w:highlight w:val="none"/>
              </w:rPr>
              <w:t>沟道长度L（km）</w:t>
            </w:r>
          </w:p>
        </w:tc>
        <w:tc>
          <w:tcPr>
            <w:tcW w:w="1597" w:type="dxa"/>
            <w:gridSpan w:val="4"/>
            <w:tcBorders>
              <w:tl2br w:val="nil"/>
              <w:tr2bl w:val="nil"/>
            </w:tcBorders>
            <w:vAlign w:val="center"/>
          </w:tcPr>
          <w:p w14:paraId="1CD1AF52">
            <w:pPr>
              <w:pStyle w:val="41"/>
              <w:rPr>
                <w:color w:val="auto"/>
                <w:highlight w:val="none"/>
              </w:rPr>
            </w:pPr>
            <w:r>
              <w:rPr>
                <w:color w:val="auto"/>
                <w:highlight w:val="none"/>
              </w:rPr>
              <w:t>沟道比降</w:t>
            </w:r>
          </w:p>
          <w:p w14:paraId="333FAF23">
            <w:pPr>
              <w:pStyle w:val="41"/>
              <w:rPr>
                <w:color w:val="auto"/>
                <w:highlight w:val="none"/>
              </w:rPr>
            </w:pPr>
            <w:r>
              <w:rPr>
                <w:color w:val="auto"/>
                <w:highlight w:val="none"/>
              </w:rPr>
              <w:t>J</w:t>
            </w:r>
            <w:r>
              <w:rPr>
                <w:rFonts w:hint="eastAsia"/>
                <w:color w:val="auto"/>
                <w:highlight w:val="none"/>
                <w:lang w:eastAsia="zh-CN"/>
              </w:rPr>
              <w:t>(</w:t>
            </w:r>
            <w:r>
              <w:rPr>
                <w:color w:val="auto"/>
                <w:highlight w:val="none"/>
              </w:rPr>
              <w:t>%</w:t>
            </w:r>
            <w:r>
              <w:rPr>
                <w:rFonts w:hint="eastAsia"/>
                <w:color w:val="auto"/>
                <w:highlight w:val="none"/>
                <w:lang w:eastAsia="zh-CN"/>
              </w:rPr>
              <w:t>)</w:t>
            </w:r>
          </w:p>
        </w:tc>
      </w:tr>
      <w:tr w14:paraId="63E3B3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704D7137">
            <w:pPr>
              <w:pStyle w:val="41"/>
              <w:rPr>
                <w:color w:val="auto"/>
                <w:highlight w:val="none"/>
              </w:rPr>
            </w:pPr>
          </w:p>
        </w:tc>
        <w:tc>
          <w:tcPr>
            <w:tcW w:w="1162" w:type="dxa"/>
            <w:vMerge w:val="continue"/>
            <w:tcBorders>
              <w:tl2br w:val="nil"/>
              <w:tr2bl w:val="nil"/>
            </w:tcBorders>
            <w:vAlign w:val="center"/>
          </w:tcPr>
          <w:p w14:paraId="65FD4077">
            <w:pPr>
              <w:pStyle w:val="41"/>
              <w:rPr>
                <w:color w:val="auto"/>
                <w:highlight w:val="none"/>
              </w:rPr>
            </w:pPr>
          </w:p>
        </w:tc>
        <w:tc>
          <w:tcPr>
            <w:tcW w:w="2176" w:type="dxa"/>
            <w:tcBorders>
              <w:tl2br w:val="nil"/>
              <w:tr2bl w:val="nil"/>
            </w:tcBorders>
            <w:vAlign w:val="center"/>
          </w:tcPr>
          <w:p w14:paraId="3F9F0E3D">
            <w:pPr>
              <w:pStyle w:val="41"/>
              <w:rPr>
                <w:color w:val="auto"/>
                <w:highlight w:val="none"/>
              </w:rPr>
            </w:pPr>
            <w:r>
              <w:rPr>
                <w:color w:val="auto"/>
                <w:highlight w:val="none"/>
              </w:rPr>
              <w:t>全流域</w:t>
            </w:r>
          </w:p>
        </w:tc>
        <w:tc>
          <w:tcPr>
            <w:tcW w:w="1669" w:type="dxa"/>
            <w:gridSpan w:val="3"/>
            <w:tcBorders>
              <w:tl2br w:val="nil"/>
              <w:tr2bl w:val="nil"/>
            </w:tcBorders>
            <w:vAlign w:val="center"/>
          </w:tcPr>
          <w:p w14:paraId="53F22169">
            <w:pPr>
              <w:pStyle w:val="41"/>
              <w:rPr>
                <w:color w:val="auto"/>
                <w:highlight w:val="none"/>
              </w:rPr>
            </w:pPr>
            <w:r>
              <w:rPr>
                <w:color w:val="auto"/>
                <w:highlight w:val="none"/>
              </w:rPr>
              <w:t>2.25</w:t>
            </w:r>
          </w:p>
        </w:tc>
        <w:tc>
          <w:tcPr>
            <w:tcW w:w="1608" w:type="dxa"/>
            <w:gridSpan w:val="3"/>
            <w:tcBorders>
              <w:tl2br w:val="nil"/>
              <w:tr2bl w:val="nil"/>
            </w:tcBorders>
            <w:vAlign w:val="center"/>
          </w:tcPr>
          <w:p w14:paraId="0AF89E87">
            <w:pPr>
              <w:pStyle w:val="41"/>
              <w:rPr>
                <w:color w:val="auto"/>
                <w:highlight w:val="none"/>
              </w:rPr>
            </w:pPr>
            <w:r>
              <w:rPr>
                <w:color w:val="auto"/>
                <w:highlight w:val="none"/>
              </w:rPr>
              <w:t>1.91</w:t>
            </w:r>
          </w:p>
        </w:tc>
        <w:tc>
          <w:tcPr>
            <w:tcW w:w="1597" w:type="dxa"/>
            <w:gridSpan w:val="4"/>
            <w:tcBorders>
              <w:tl2br w:val="nil"/>
              <w:tr2bl w:val="nil"/>
            </w:tcBorders>
            <w:vAlign w:val="center"/>
          </w:tcPr>
          <w:p w14:paraId="7EE64B4D">
            <w:pPr>
              <w:pStyle w:val="41"/>
              <w:rPr>
                <w:color w:val="auto"/>
                <w:highlight w:val="none"/>
              </w:rPr>
            </w:pPr>
            <w:r>
              <w:rPr>
                <w:color w:val="auto"/>
                <w:highlight w:val="none"/>
              </w:rPr>
              <w:t>13.1</w:t>
            </w:r>
          </w:p>
        </w:tc>
      </w:tr>
      <w:tr w14:paraId="019210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restart"/>
            <w:tcBorders>
              <w:tl2br w:val="nil"/>
              <w:tr2bl w:val="nil"/>
            </w:tcBorders>
            <w:vAlign w:val="center"/>
          </w:tcPr>
          <w:p w14:paraId="12AC2122">
            <w:pPr>
              <w:pStyle w:val="41"/>
              <w:rPr>
                <w:color w:val="auto"/>
                <w:highlight w:val="none"/>
              </w:rPr>
            </w:pPr>
            <w:r>
              <w:rPr>
                <w:color w:val="auto"/>
                <w:highlight w:val="none"/>
              </w:rPr>
              <w:t>3</w:t>
            </w:r>
          </w:p>
        </w:tc>
        <w:tc>
          <w:tcPr>
            <w:tcW w:w="1162" w:type="dxa"/>
            <w:vMerge w:val="restart"/>
            <w:tcBorders>
              <w:tl2br w:val="nil"/>
              <w:tr2bl w:val="nil"/>
            </w:tcBorders>
            <w:vAlign w:val="center"/>
          </w:tcPr>
          <w:p w14:paraId="707FC1C8">
            <w:pPr>
              <w:pStyle w:val="41"/>
              <w:rPr>
                <w:color w:val="auto"/>
                <w:highlight w:val="none"/>
              </w:rPr>
            </w:pPr>
            <w:r>
              <w:rPr>
                <w:color w:val="auto"/>
                <w:highlight w:val="none"/>
              </w:rPr>
              <w:t>设计洪水</w:t>
            </w:r>
          </w:p>
        </w:tc>
        <w:tc>
          <w:tcPr>
            <w:tcW w:w="2176" w:type="dxa"/>
            <w:tcBorders>
              <w:tl2br w:val="nil"/>
              <w:tr2bl w:val="nil"/>
            </w:tcBorders>
            <w:vAlign w:val="center"/>
          </w:tcPr>
          <w:p w14:paraId="703A0AD7">
            <w:pPr>
              <w:pStyle w:val="41"/>
              <w:rPr>
                <w:color w:val="auto"/>
                <w:highlight w:val="none"/>
              </w:rPr>
            </w:pPr>
            <w:r>
              <w:rPr>
                <w:color w:val="auto"/>
                <w:highlight w:val="none"/>
              </w:rPr>
              <w:t>区域</w:t>
            </w:r>
          </w:p>
        </w:tc>
        <w:tc>
          <w:tcPr>
            <w:tcW w:w="1669" w:type="dxa"/>
            <w:gridSpan w:val="3"/>
            <w:tcBorders>
              <w:tl2br w:val="nil"/>
              <w:tr2bl w:val="nil"/>
            </w:tcBorders>
            <w:vAlign w:val="center"/>
          </w:tcPr>
          <w:p w14:paraId="7DBEDD9A">
            <w:pPr>
              <w:pStyle w:val="41"/>
              <w:rPr>
                <w:color w:val="auto"/>
                <w:highlight w:val="none"/>
              </w:rPr>
            </w:pPr>
            <w:r>
              <w:rPr>
                <w:color w:val="auto"/>
                <w:highlight w:val="none"/>
              </w:rPr>
              <w:t>设计洪峰流量</w:t>
            </w:r>
          </w:p>
          <w:p w14:paraId="1E4854C2">
            <w:pPr>
              <w:pStyle w:val="41"/>
              <w:rPr>
                <w:color w:val="auto"/>
                <w:highlight w:val="none"/>
              </w:rPr>
            </w:pPr>
            <w:r>
              <w:rPr>
                <w:rFonts w:hint="eastAsia"/>
                <w:color w:val="auto"/>
                <w:highlight w:val="none"/>
                <w:lang w:eastAsia="zh-CN"/>
              </w:rPr>
              <w:t>(</w:t>
            </w:r>
            <w:r>
              <w:rPr>
                <w:color w:val="auto"/>
                <w:highlight w:val="none"/>
              </w:rPr>
              <w:t>m</w:t>
            </w:r>
            <w:r>
              <w:rPr>
                <w:rFonts w:hint="eastAsia"/>
                <w:color w:val="auto"/>
                <w:highlight w:val="none"/>
                <w:vertAlign w:val="superscript"/>
              </w:rPr>
              <w:t>3</w:t>
            </w:r>
            <w:r>
              <w:rPr>
                <w:color w:val="auto"/>
                <w:highlight w:val="none"/>
              </w:rPr>
              <w:t>/s</w:t>
            </w:r>
            <w:r>
              <w:rPr>
                <w:rFonts w:hint="eastAsia"/>
                <w:color w:val="auto"/>
                <w:highlight w:val="none"/>
                <w:lang w:eastAsia="zh-CN"/>
              </w:rPr>
              <w:t>)</w:t>
            </w:r>
          </w:p>
        </w:tc>
        <w:tc>
          <w:tcPr>
            <w:tcW w:w="1608" w:type="dxa"/>
            <w:gridSpan w:val="3"/>
            <w:tcBorders>
              <w:tl2br w:val="nil"/>
              <w:tr2bl w:val="nil"/>
            </w:tcBorders>
            <w:vAlign w:val="center"/>
          </w:tcPr>
          <w:p w14:paraId="57E85B09">
            <w:pPr>
              <w:pStyle w:val="41"/>
              <w:rPr>
                <w:color w:val="auto"/>
                <w:highlight w:val="none"/>
              </w:rPr>
            </w:pPr>
            <w:r>
              <w:rPr>
                <w:color w:val="auto"/>
                <w:highlight w:val="none"/>
              </w:rPr>
              <w:t>设计洪水总量（10</w:t>
            </w:r>
            <w:r>
              <w:rPr>
                <w:color w:val="auto"/>
                <w:highlight w:val="none"/>
                <w:vertAlign w:val="superscript"/>
              </w:rPr>
              <w:t>4</w:t>
            </w:r>
            <w:r>
              <w:rPr>
                <w:color w:val="auto"/>
                <w:highlight w:val="none"/>
              </w:rPr>
              <w:t>m</w:t>
            </w:r>
            <w:r>
              <w:rPr>
                <w:rFonts w:hint="eastAsia"/>
                <w:color w:val="auto"/>
                <w:highlight w:val="none"/>
                <w:vertAlign w:val="superscript"/>
              </w:rPr>
              <w:t>3</w:t>
            </w:r>
            <w:r>
              <w:rPr>
                <w:color w:val="auto"/>
                <w:highlight w:val="none"/>
              </w:rPr>
              <w:t>）</w:t>
            </w:r>
          </w:p>
        </w:tc>
        <w:tc>
          <w:tcPr>
            <w:tcW w:w="1597" w:type="dxa"/>
            <w:gridSpan w:val="4"/>
            <w:tcBorders>
              <w:tl2br w:val="nil"/>
              <w:tr2bl w:val="nil"/>
            </w:tcBorders>
            <w:vAlign w:val="center"/>
          </w:tcPr>
          <w:p w14:paraId="07F949D4">
            <w:pPr>
              <w:pStyle w:val="41"/>
              <w:rPr>
                <w:color w:val="auto"/>
                <w:highlight w:val="none"/>
              </w:rPr>
            </w:pPr>
          </w:p>
        </w:tc>
      </w:tr>
      <w:tr w14:paraId="64D504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5B90BB98">
            <w:pPr>
              <w:pStyle w:val="41"/>
              <w:rPr>
                <w:color w:val="auto"/>
                <w:highlight w:val="none"/>
              </w:rPr>
            </w:pPr>
          </w:p>
        </w:tc>
        <w:tc>
          <w:tcPr>
            <w:tcW w:w="1162" w:type="dxa"/>
            <w:vMerge w:val="continue"/>
            <w:tcBorders>
              <w:tl2br w:val="nil"/>
              <w:tr2bl w:val="nil"/>
            </w:tcBorders>
            <w:vAlign w:val="center"/>
          </w:tcPr>
          <w:p w14:paraId="5A79AB08">
            <w:pPr>
              <w:pStyle w:val="41"/>
              <w:rPr>
                <w:color w:val="auto"/>
                <w:highlight w:val="none"/>
              </w:rPr>
            </w:pPr>
          </w:p>
        </w:tc>
        <w:tc>
          <w:tcPr>
            <w:tcW w:w="2176" w:type="dxa"/>
            <w:tcBorders>
              <w:tl2br w:val="nil"/>
              <w:tr2bl w:val="nil"/>
            </w:tcBorders>
            <w:vAlign w:val="center"/>
          </w:tcPr>
          <w:p w14:paraId="08A33E08">
            <w:pPr>
              <w:pStyle w:val="41"/>
              <w:rPr>
                <w:color w:val="auto"/>
                <w:highlight w:val="none"/>
              </w:rPr>
            </w:pPr>
            <w:r>
              <w:rPr>
                <w:color w:val="auto"/>
                <w:highlight w:val="none"/>
              </w:rPr>
              <w:t>全流域</w:t>
            </w:r>
          </w:p>
        </w:tc>
        <w:tc>
          <w:tcPr>
            <w:tcW w:w="1669" w:type="dxa"/>
            <w:gridSpan w:val="3"/>
            <w:tcBorders>
              <w:tl2br w:val="nil"/>
              <w:tr2bl w:val="nil"/>
            </w:tcBorders>
            <w:vAlign w:val="center"/>
          </w:tcPr>
          <w:p w14:paraId="798F7080">
            <w:pPr>
              <w:pStyle w:val="41"/>
              <w:rPr>
                <w:color w:val="auto"/>
                <w:highlight w:val="none"/>
              </w:rPr>
            </w:pPr>
            <w:r>
              <w:rPr>
                <w:color w:val="auto"/>
                <w:highlight w:val="none"/>
              </w:rPr>
              <w:t>24.33</w:t>
            </w:r>
          </w:p>
        </w:tc>
        <w:tc>
          <w:tcPr>
            <w:tcW w:w="1608" w:type="dxa"/>
            <w:gridSpan w:val="3"/>
            <w:tcBorders>
              <w:tl2br w:val="nil"/>
              <w:tr2bl w:val="nil"/>
            </w:tcBorders>
            <w:vAlign w:val="center"/>
          </w:tcPr>
          <w:p w14:paraId="0EDBD62A">
            <w:pPr>
              <w:pStyle w:val="41"/>
              <w:rPr>
                <w:color w:val="auto"/>
                <w:highlight w:val="none"/>
              </w:rPr>
            </w:pPr>
            <w:r>
              <w:rPr>
                <w:color w:val="auto"/>
                <w:highlight w:val="none"/>
              </w:rPr>
              <w:t>17.92</w:t>
            </w:r>
          </w:p>
        </w:tc>
        <w:tc>
          <w:tcPr>
            <w:tcW w:w="1597" w:type="dxa"/>
            <w:gridSpan w:val="4"/>
            <w:tcBorders>
              <w:tl2br w:val="nil"/>
              <w:tr2bl w:val="nil"/>
            </w:tcBorders>
            <w:vAlign w:val="center"/>
          </w:tcPr>
          <w:p w14:paraId="22B3BFE2">
            <w:pPr>
              <w:pStyle w:val="41"/>
              <w:rPr>
                <w:color w:val="auto"/>
                <w:highlight w:val="none"/>
              </w:rPr>
            </w:pPr>
          </w:p>
        </w:tc>
      </w:tr>
      <w:tr w14:paraId="60EAB9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tcBorders>
              <w:tl2br w:val="nil"/>
              <w:tr2bl w:val="nil"/>
            </w:tcBorders>
            <w:vAlign w:val="center"/>
          </w:tcPr>
          <w:p w14:paraId="5B1BE7E4">
            <w:pPr>
              <w:pStyle w:val="41"/>
              <w:rPr>
                <w:color w:val="auto"/>
                <w:highlight w:val="none"/>
              </w:rPr>
            </w:pPr>
            <w:r>
              <w:rPr>
                <w:color w:val="auto"/>
                <w:highlight w:val="none"/>
              </w:rPr>
              <w:t>4</w:t>
            </w:r>
          </w:p>
        </w:tc>
        <w:tc>
          <w:tcPr>
            <w:tcW w:w="1162" w:type="dxa"/>
            <w:tcBorders>
              <w:tl2br w:val="nil"/>
              <w:tr2bl w:val="nil"/>
            </w:tcBorders>
            <w:vAlign w:val="center"/>
          </w:tcPr>
          <w:p w14:paraId="589BF3C9">
            <w:pPr>
              <w:pStyle w:val="41"/>
              <w:rPr>
                <w:color w:val="auto"/>
                <w:highlight w:val="none"/>
              </w:rPr>
            </w:pPr>
            <w:r>
              <w:rPr>
                <w:color w:val="auto"/>
                <w:highlight w:val="none"/>
              </w:rPr>
              <w:t>排洪方式</w:t>
            </w:r>
          </w:p>
        </w:tc>
        <w:tc>
          <w:tcPr>
            <w:tcW w:w="7050" w:type="dxa"/>
            <w:gridSpan w:val="11"/>
            <w:tcBorders>
              <w:tl2br w:val="nil"/>
              <w:tr2bl w:val="nil"/>
            </w:tcBorders>
            <w:vAlign w:val="center"/>
          </w:tcPr>
          <w:p w14:paraId="71E45DAD">
            <w:pPr>
              <w:pStyle w:val="41"/>
              <w:rPr>
                <w:color w:val="auto"/>
                <w:highlight w:val="none"/>
              </w:rPr>
            </w:pPr>
            <w:r>
              <w:rPr>
                <w:color w:val="auto"/>
                <w:highlight w:val="none"/>
              </w:rPr>
              <w:t>排水井进流+排洪隧洞泄流</w:t>
            </w:r>
          </w:p>
        </w:tc>
      </w:tr>
      <w:tr w14:paraId="24BFB32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restart"/>
            <w:tcBorders>
              <w:tl2br w:val="nil"/>
              <w:tr2bl w:val="nil"/>
            </w:tcBorders>
            <w:vAlign w:val="center"/>
          </w:tcPr>
          <w:p w14:paraId="27CCBD18">
            <w:pPr>
              <w:pStyle w:val="41"/>
              <w:rPr>
                <w:color w:val="auto"/>
                <w:highlight w:val="none"/>
              </w:rPr>
            </w:pPr>
            <w:r>
              <w:rPr>
                <w:color w:val="auto"/>
                <w:highlight w:val="none"/>
              </w:rPr>
              <w:t>5</w:t>
            </w:r>
          </w:p>
        </w:tc>
        <w:tc>
          <w:tcPr>
            <w:tcW w:w="1162" w:type="dxa"/>
            <w:vMerge w:val="restart"/>
            <w:tcBorders>
              <w:tl2br w:val="nil"/>
              <w:tr2bl w:val="nil"/>
            </w:tcBorders>
            <w:vAlign w:val="center"/>
          </w:tcPr>
          <w:p w14:paraId="747F0B98">
            <w:pPr>
              <w:pStyle w:val="41"/>
              <w:rPr>
                <w:color w:val="auto"/>
                <w:highlight w:val="none"/>
              </w:rPr>
            </w:pPr>
            <w:r>
              <w:rPr>
                <w:color w:val="auto"/>
                <w:highlight w:val="none"/>
              </w:rPr>
              <w:t>排水井</w:t>
            </w:r>
          </w:p>
        </w:tc>
        <w:tc>
          <w:tcPr>
            <w:tcW w:w="2176" w:type="dxa"/>
            <w:vMerge w:val="restart"/>
            <w:tcBorders>
              <w:tl2br w:val="nil"/>
              <w:tr2bl w:val="nil"/>
            </w:tcBorders>
            <w:vAlign w:val="center"/>
          </w:tcPr>
          <w:p w14:paraId="48ECCA2B">
            <w:pPr>
              <w:pStyle w:val="41"/>
              <w:rPr>
                <w:color w:val="auto"/>
                <w:highlight w:val="none"/>
              </w:rPr>
            </w:pPr>
            <w:r>
              <w:rPr>
                <w:color w:val="auto"/>
                <w:highlight w:val="none"/>
              </w:rPr>
              <w:t>排水井形式</w:t>
            </w:r>
          </w:p>
        </w:tc>
        <w:tc>
          <w:tcPr>
            <w:tcW w:w="825" w:type="dxa"/>
            <w:tcBorders>
              <w:tl2br w:val="nil"/>
              <w:tr2bl w:val="nil"/>
            </w:tcBorders>
            <w:vAlign w:val="center"/>
          </w:tcPr>
          <w:p w14:paraId="3F14A884">
            <w:pPr>
              <w:pStyle w:val="41"/>
              <w:rPr>
                <w:color w:val="auto"/>
                <w:highlight w:val="none"/>
              </w:rPr>
            </w:pPr>
            <w:r>
              <w:rPr>
                <w:color w:val="auto"/>
                <w:highlight w:val="none"/>
              </w:rPr>
              <w:t>1#</w:t>
            </w:r>
          </w:p>
        </w:tc>
        <w:tc>
          <w:tcPr>
            <w:tcW w:w="844" w:type="dxa"/>
            <w:gridSpan w:val="2"/>
            <w:tcBorders>
              <w:tl2br w:val="nil"/>
              <w:tr2bl w:val="nil"/>
            </w:tcBorders>
            <w:vAlign w:val="center"/>
          </w:tcPr>
          <w:p w14:paraId="1691A214">
            <w:pPr>
              <w:pStyle w:val="41"/>
              <w:rPr>
                <w:color w:val="auto"/>
                <w:highlight w:val="none"/>
              </w:rPr>
            </w:pPr>
            <w:r>
              <w:rPr>
                <w:color w:val="auto"/>
                <w:highlight w:val="none"/>
              </w:rPr>
              <w:t>2#</w:t>
            </w:r>
          </w:p>
        </w:tc>
        <w:tc>
          <w:tcPr>
            <w:tcW w:w="1163" w:type="dxa"/>
            <w:gridSpan w:val="2"/>
            <w:tcBorders>
              <w:tl2br w:val="nil"/>
              <w:tr2bl w:val="nil"/>
            </w:tcBorders>
            <w:vAlign w:val="center"/>
          </w:tcPr>
          <w:p w14:paraId="6C038FBC">
            <w:pPr>
              <w:pStyle w:val="41"/>
              <w:rPr>
                <w:color w:val="auto"/>
                <w:highlight w:val="none"/>
              </w:rPr>
            </w:pPr>
            <w:r>
              <w:rPr>
                <w:color w:val="auto"/>
                <w:highlight w:val="none"/>
              </w:rPr>
              <w:t>3#</w:t>
            </w:r>
          </w:p>
        </w:tc>
        <w:tc>
          <w:tcPr>
            <w:tcW w:w="1018" w:type="dxa"/>
            <w:gridSpan w:val="4"/>
            <w:tcBorders>
              <w:tl2br w:val="nil"/>
              <w:tr2bl w:val="nil"/>
            </w:tcBorders>
            <w:vAlign w:val="center"/>
          </w:tcPr>
          <w:p w14:paraId="5FAE2185">
            <w:pPr>
              <w:pStyle w:val="41"/>
              <w:rPr>
                <w:color w:val="auto"/>
                <w:highlight w:val="none"/>
              </w:rPr>
            </w:pPr>
            <w:r>
              <w:rPr>
                <w:color w:val="auto"/>
                <w:highlight w:val="none"/>
              </w:rPr>
              <w:t>4#</w:t>
            </w:r>
          </w:p>
        </w:tc>
        <w:tc>
          <w:tcPr>
            <w:tcW w:w="1024" w:type="dxa"/>
            <w:tcBorders>
              <w:tl2br w:val="nil"/>
              <w:tr2bl w:val="nil"/>
            </w:tcBorders>
            <w:vAlign w:val="center"/>
          </w:tcPr>
          <w:p w14:paraId="3648DFD5">
            <w:pPr>
              <w:pStyle w:val="41"/>
              <w:rPr>
                <w:color w:val="auto"/>
                <w:highlight w:val="none"/>
              </w:rPr>
            </w:pPr>
            <w:r>
              <w:rPr>
                <w:color w:val="auto"/>
                <w:highlight w:val="none"/>
              </w:rPr>
              <w:t>5#</w:t>
            </w:r>
          </w:p>
        </w:tc>
      </w:tr>
      <w:tr w14:paraId="0FC2002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6949225B">
            <w:pPr>
              <w:pStyle w:val="41"/>
              <w:rPr>
                <w:color w:val="auto"/>
                <w:highlight w:val="none"/>
              </w:rPr>
            </w:pPr>
          </w:p>
        </w:tc>
        <w:tc>
          <w:tcPr>
            <w:tcW w:w="1162" w:type="dxa"/>
            <w:vMerge w:val="continue"/>
            <w:tcBorders>
              <w:tl2br w:val="nil"/>
              <w:tr2bl w:val="nil"/>
            </w:tcBorders>
            <w:vAlign w:val="center"/>
          </w:tcPr>
          <w:p w14:paraId="35B7DD91">
            <w:pPr>
              <w:pStyle w:val="41"/>
              <w:rPr>
                <w:color w:val="auto"/>
                <w:highlight w:val="none"/>
              </w:rPr>
            </w:pPr>
          </w:p>
        </w:tc>
        <w:tc>
          <w:tcPr>
            <w:tcW w:w="2176" w:type="dxa"/>
            <w:vMerge w:val="continue"/>
            <w:tcBorders>
              <w:tl2br w:val="nil"/>
              <w:tr2bl w:val="nil"/>
            </w:tcBorders>
            <w:vAlign w:val="center"/>
          </w:tcPr>
          <w:p w14:paraId="69BBDBB7">
            <w:pPr>
              <w:pStyle w:val="41"/>
              <w:rPr>
                <w:color w:val="auto"/>
                <w:highlight w:val="none"/>
              </w:rPr>
            </w:pPr>
          </w:p>
        </w:tc>
        <w:tc>
          <w:tcPr>
            <w:tcW w:w="4874" w:type="dxa"/>
            <w:gridSpan w:val="10"/>
            <w:tcBorders>
              <w:tl2br w:val="nil"/>
              <w:tr2bl w:val="nil"/>
            </w:tcBorders>
            <w:vAlign w:val="center"/>
          </w:tcPr>
          <w:p w14:paraId="66E8E5BA">
            <w:pPr>
              <w:pStyle w:val="41"/>
              <w:rPr>
                <w:color w:val="auto"/>
                <w:highlight w:val="none"/>
              </w:rPr>
            </w:pPr>
            <w:r>
              <w:rPr>
                <w:color w:val="auto"/>
                <w:highlight w:val="none"/>
              </w:rPr>
              <w:t>6柱框架式</w:t>
            </w:r>
          </w:p>
        </w:tc>
      </w:tr>
      <w:tr w14:paraId="5CD8B2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208C2A50">
            <w:pPr>
              <w:pStyle w:val="41"/>
              <w:rPr>
                <w:color w:val="auto"/>
                <w:highlight w:val="none"/>
              </w:rPr>
            </w:pPr>
          </w:p>
        </w:tc>
        <w:tc>
          <w:tcPr>
            <w:tcW w:w="1162" w:type="dxa"/>
            <w:vMerge w:val="continue"/>
            <w:tcBorders>
              <w:tl2br w:val="nil"/>
              <w:tr2bl w:val="nil"/>
            </w:tcBorders>
            <w:vAlign w:val="center"/>
          </w:tcPr>
          <w:p w14:paraId="3C40129C">
            <w:pPr>
              <w:pStyle w:val="41"/>
              <w:rPr>
                <w:color w:val="auto"/>
                <w:highlight w:val="none"/>
              </w:rPr>
            </w:pPr>
          </w:p>
        </w:tc>
        <w:tc>
          <w:tcPr>
            <w:tcW w:w="2176" w:type="dxa"/>
            <w:tcBorders>
              <w:tl2br w:val="nil"/>
              <w:tr2bl w:val="nil"/>
            </w:tcBorders>
            <w:vAlign w:val="center"/>
          </w:tcPr>
          <w:p w14:paraId="0116B275">
            <w:pPr>
              <w:pStyle w:val="41"/>
              <w:rPr>
                <w:color w:val="auto"/>
                <w:highlight w:val="none"/>
              </w:rPr>
            </w:pPr>
            <w:r>
              <w:rPr>
                <w:color w:val="auto"/>
                <w:highlight w:val="none"/>
              </w:rPr>
              <w:t>排水井高度</w:t>
            </w:r>
          </w:p>
        </w:tc>
        <w:tc>
          <w:tcPr>
            <w:tcW w:w="825" w:type="dxa"/>
            <w:tcBorders>
              <w:tl2br w:val="nil"/>
              <w:tr2bl w:val="nil"/>
            </w:tcBorders>
            <w:vAlign w:val="center"/>
          </w:tcPr>
          <w:p w14:paraId="5EC8E66D">
            <w:pPr>
              <w:pStyle w:val="41"/>
              <w:rPr>
                <w:color w:val="auto"/>
                <w:highlight w:val="none"/>
              </w:rPr>
            </w:pPr>
            <w:r>
              <w:rPr>
                <w:color w:val="auto"/>
                <w:highlight w:val="none"/>
              </w:rPr>
              <w:t>15m</w:t>
            </w:r>
          </w:p>
        </w:tc>
        <w:tc>
          <w:tcPr>
            <w:tcW w:w="844" w:type="dxa"/>
            <w:gridSpan w:val="2"/>
            <w:tcBorders>
              <w:tl2br w:val="nil"/>
              <w:tr2bl w:val="nil"/>
            </w:tcBorders>
            <w:vAlign w:val="center"/>
          </w:tcPr>
          <w:p w14:paraId="5C3CDF14">
            <w:pPr>
              <w:pStyle w:val="41"/>
              <w:rPr>
                <w:color w:val="auto"/>
                <w:highlight w:val="none"/>
              </w:rPr>
            </w:pPr>
            <w:r>
              <w:rPr>
                <w:color w:val="auto"/>
                <w:highlight w:val="none"/>
              </w:rPr>
              <w:t>15m</w:t>
            </w:r>
          </w:p>
        </w:tc>
        <w:tc>
          <w:tcPr>
            <w:tcW w:w="1163" w:type="dxa"/>
            <w:gridSpan w:val="2"/>
            <w:tcBorders>
              <w:tl2br w:val="nil"/>
              <w:tr2bl w:val="nil"/>
            </w:tcBorders>
            <w:vAlign w:val="center"/>
          </w:tcPr>
          <w:p w14:paraId="2646F4C2">
            <w:pPr>
              <w:pStyle w:val="41"/>
              <w:rPr>
                <w:color w:val="auto"/>
                <w:highlight w:val="none"/>
              </w:rPr>
            </w:pPr>
            <w:r>
              <w:rPr>
                <w:color w:val="auto"/>
                <w:highlight w:val="none"/>
              </w:rPr>
              <w:t>24m</w:t>
            </w:r>
          </w:p>
        </w:tc>
        <w:tc>
          <w:tcPr>
            <w:tcW w:w="1018" w:type="dxa"/>
            <w:gridSpan w:val="4"/>
            <w:tcBorders>
              <w:tl2br w:val="nil"/>
              <w:tr2bl w:val="nil"/>
            </w:tcBorders>
            <w:vAlign w:val="center"/>
          </w:tcPr>
          <w:p w14:paraId="0B287EF0">
            <w:pPr>
              <w:pStyle w:val="41"/>
              <w:rPr>
                <w:color w:val="auto"/>
                <w:highlight w:val="none"/>
              </w:rPr>
            </w:pPr>
            <w:r>
              <w:rPr>
                <w:color w:val="auto"/>
                <w:highlight w:val="none"/>
              </w:rPr>
              <w:t>24m</w:t>
            </w:r>
          </w:p>
        </w:tc>
        <w:tc>
          <w:tcPr>
            <w:tcW w:w="1024" w:type="dxa"/>
            <w:tcBorders>
              <w:tl2br w:val="nil"/>
              <w:tr2bl w:val="nil"/>
            </w:tcBorders>
            <w:vAlign w:val="center"/>
          </w:tcPr>
          <w:p w14:paraId="2B9A631A">
            <w:pPr>
              <w:pStyle w:val="41"/>
              <w:rPr>
                <w:color w:val="auto"/>
                <w:highlight w:val="none"/>
              </w:rPr>
            </w:pPr>
            <w:r>
              <w:rPr>
                <w:color w:val="auto"/>
                <w:highlight w:val="none"/>
              </w:rPr>
              <w:t>21m</w:t>
            </w:r>
          </w:p>
        </w:tc>
      </w:tr>
      <w:tr w14:paraId="58411E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0051A625">
            <w:pPr>
              <w:pStyle w:val="41"/>
              <w:rPr>
                <w:color w:val="auto"/>
                <w:highlight w:val="none"/>
              </w:rPr>
            </w:pPr>
          </w:p>
        </w:tc>
        <w:tc>
          <w:tcPr>
            <w:tcW w:w="1162" w:type="dxa"/>
            <w:vMerge w:val="continue"/>
            <w:tcBorders>
              <w:tl2br w:val="nil"/>
              <w:tr2bl w:val="nil"/>
            </w:tcBorders>
            <w:vAlign w:val="center"/>
          </w:tcPr>
          <w:p w14:paraId="575F8A38">
            <w:pPr>
              <w:pStyle w:val="41"/>
              <w:rPr>
                <w:color w:val="auto"/>
                <w:highlight w:val="none"/>
              </w:rPr>
            </w:pPr>
          </w:p>
        </w:tc>
        <w:tc>
          <w:tcPr>
            <w:tcW w:w="2176" w:type="dxa"/>
            <w:tcBorders>
              <w:tl2br w:val="nil"/>
              <w:tr2bl w:val="nil"/>
            </w:tcBorders>
            <w:vAlign w:val="center"/>
          </w:tcPr>
          <w:p w14:paraId="074669B4">
            <w:pPr>
              <w:pStyle w:val="41"/>
              <w:rPr>
                <w:color w:val="auto"/>
                <w:highlight w:val="none"/>
              </w:rPr>
            </w:pPr>
            <w:r>
              <w:rPr>
                <w:color w:val="auto"/>
                <w:highlight w:val="none"/>
              </w:rPr>
              <w:t>最低进水口标高</w:t>
            </w:r>
          </w:p>
        </w:tc>
        <w:tc>
          <w:tcPr>
            <w:tcW w:w="825" w:type="dxa"/>
            <w:tcBorders>
              <w:tl2br w:val="nil"/>
              <w:tr2bl w:val="nil"/>
            </w:tcBorders>
            <w:vAlign w:val="center"/>
          </w:tcPr>
          <w:p w14:paraId="3351DAB6">
            <w:pPr>
              <w:pStyle w:val="41"/>
              <w:rPr>
                <w:color w:val="auto"/>
                <w:highlight w:val="none"/>
              </w:rPr>
            </w:pPr>
            <w:r>
              <w:rPr>
                <w:color w:val="auto"/>
                <w:highlight w:val="none"/>
              </w:rPr>
              <w:t>1923.0m</w:t>
            </w:r>
          </w:p>
        </w:tc>
        <w:tc>
          <w:tcPr>
            <w:tcW w:w="844" w:type="dxa"/>
            <w:gridSpan w:val="2"/>
            <w:tcBorders>
              <w:tl2br w:val="nil"/>
              <w:tr2bl w:val="nil"/>
            </w:tcBorders>
            <w:vAlign w:val="center"/>
          </w:tcPr>
          <w:p w14:paraId="6640340F">
            <w:pPr>
              <w:pStyle w:val="41"/>
              <w:rPr>
                <w:color w:val="auto"/>
                <w:highlight w:val="none"/>
              </w:rPr>
            </w:pPr>
            <w:r>
              <w:rPr>
                <w:color w:val="auto"/>
                <w:highlight w:val="none"/>
              </w:rPr>
              <w:t>1936.0m</w:t>
            </w:r>
          </w:p>
        </w:tc>
        <w:tc>
          <w:tcPr>
            <w:tcW w:w="1163" w:type="dxa"/>
            <w:gridSpan w:val="2"/>
            <w:tcBorders>
              <w:tl2br w:val="nil"/>
              <w:tr2bl w:val="nil"/>
            </w:tcBorders>
            <w:vAlign w:val="center"/>
          </w:tcPr>
          <w:p w14:paraId="481A0947">
            <w:pPr>
              <w:pStyle w:val="41"/>
              <w:rPr>
                <w:color w:val="auto"/>
                <w:highlight w:val="none"/>
              </w:rPr>
            </w:pPr>
            <w:r>
              <w:rPr>
                <w:color w:val="auto"/>
                <w:highlight w:val="none"/>
              </w:rPr>
              <w:t>1949.0m</w:t>
            </w:r>
          </w:p>
        </w:tc>
        <w:tc>
          <w:tcPr>
            <w:tcW w:w="1018" w:type="dxa"/>
            <w:gridSpan w:val="4"/>
            <w:tcBorders>
              <w:tl2br w:val="nil"/>
              <w:tr2bl w:val="nil"/>
            </w:tcBorders>
            <w:vAlign w:val="center"/>
          </w:tcPr>
          <w:p w14:paraId="29E2BCDD">
            <w:pPr>
              <w:pStyle w:val="41"/>
              <w:rPr>
                <w:color w:val="auto"/>
                <w:highlight w:val="none"/>
              </w:rPr>
            </w:pPr>
            <w:r>
              <w:rPr>
                <w:color w:val="auto"/>
                <w:highlight w:val="none"/>
              </w:rPr>
              <w:t>1971.0m</w:t>
            </w:r>
          </w:p>
        </w:tc>
        <w:tc>
          <w:tcPr>
            <w:tcW w:w="1024" w:type="dxa"/>
            <w:tcBorders>
              <w:tl2br w:val="nil"/>
              <w:tr2bl w:val="nil"/>
            </w:tcBorders>
            <w:vAlign w:val="center"/>
          </w:tcPr>
          <w:p w14:paraId="7A743C7A">
            <w:pPr>
              <w:pStyle w:val="41"/>
              <w:rPr>
                <w:color w:val="auto"/>
                <w:highlight w:val="none"/>
              </w:rPr>
            </w:pPr>
            <w:r>
              <w:rPr>
                <w:color w:val="auto"/>
                <w:highlight w:val="none"/>
              </w:rPr>
              <w:t>1993.0m</w:t>
            </w:r>
          </w:p>
        </w:tc>
      </w:tr>
      <w:tr w14:paraId="72E31F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553B7926">
            <w:pPr>
              <w:pStyle w:val="41"/>
              <w:rPr>
                <w:color w:val="auto"/>
                <w:highlight w:val="none"/>
              </w:rPr>
            </w:pPr>
          </w:p>
        </w:tc>
        <w:tc>
          <w:tcPr>
            <w:tcW w:w="1162" w:type="dxa"/>
            <w:vMerge w:val="continue"/>
            <w:tcBorders>
              <w:tl2br w:val="nil"/>
              <w:tr2bl w:val="nil"/>
            </w:tcBorders>
            <w:vAlign w:val="center"/>
          </w:tcPr>
          <w:p w14:paraId="65A39B8A">
            <w:pPr>
              <w:pStyle w:val="41"/>
              <w:rPr>
                <w:color w:val="auto"/>
                <w:highlight w:val="none"/>
              </w:rPr>
            </w:pPr>
          </w:p>
        </w:tc>
        <w:tc>
          <w:tcPr>
            <w:tcW w:w="2176" w:type="dxa"/>
            <w:tcBorders>
              <w:tl2br w:val="nil"/>
              <w:tr2bl w:val="nil"/>
            </w:tcBorders>
            <w:vAlign w:val="center"/>
          </w:tcPr>
          <w:p w14:paraId="5092FD2F">
            <w:pPr>
              <w:pStyle w:val="41"/>
              <w:rPr>
                <w:color w:val="auto"/>
                <w:highlight w:val="none"/>
              </w:rPr>
            </w:pPr>
            <w:r>
              <w:rPr>
                <w:color w:val="auto"/>
                <w:highlight w:val="none"/>
              </w:rPr>
              <w:t>排水井内径</w:t>
            </w:r>
          </w:p>
        </w:tc>
        <w:tc>
          <w:tcPr>
            <w:tcW w:w="4874" w:type="dxa"/>
            <w:gridSpan w:val="10"/>
            <w:tcBorders>
              <w:tl2br w:val="nil"/>
              <w:tr2bl w:val="nil"/>
            </w:tcBorders>
            <w:vAlign w:val="center"/>
          </w:tcPr>
          <w:p w14:paraId="3207DE2D">
            <w:pPr>
              <w:pStyle w:val="41"/>
              <w:rPr>
                <w:color w:val="auto"/>
                <w:highlight w:val="none"/>
              </w:rPr>
            </w:pPr>
            <w:r>
              <w:rPr>
                <w:color w:val="auto"/>
                <w:highlight w:val="none"/>
              </w:rPr>
              <w:t>2.5</w:t>
            </w:r>
          </w:p>
        </w:tc>
      </w:tr>
      <w:tr w14:paraId="33A5C6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restart"/>
            <w:tcBorders>
              <w:tl2br w:val="nil"/>
              <w:tr2bl w:val="nil"/>
            </w:tcBorders>
            <w:vAlign w:val="center"/>
          </w:tcPr>
          <w:p w14:paraId="0E40BDE1">
            <w:pPr>
              <w:pStyle w:val="41"/>
              <w:rPr>
                <w:color w:val="auto"/>
                <w:highlight w:val="none"/>
              </w:rPr>
            </w:pPr>
            <w:r>
              <w:rPr>
                <w:color w:val="auto"/>
                <w:highlight w:val="none"/>
              </w:rPr>
              <w:t>6</w:t>
            </w:r>
          </w:p>
        </w:tc>
        <w:tc>
          <w:tcPr>
            <w:tcW w:w="1162" w:type="dxa"/>
            <w:vMerge w:val="restart"/>
            <w:tcBorders>
              <w:tl2br w:val="nil"/>
              <w:tr2bl w:val="nil"/>
            </w:tcBorders>
            <w:vAlign w:val="center"/>
          </w:tcPr>
          <w:p w14:paraId="64C10D52">
            <w:pPr>
              <w:pStyle w:val="41"/>
              <w:rPr>
                <w:color w:val="auto"/>
                <w:highlight w:val="none"/>
              </w:rPr>
            </w:pPr>
            <w:r>
              <w:rPr>
                <w:color w:val="auto"/>
                <w:highlight w:val="none"/>
              </w:rPr>
              <w:t>排洪主隧洞</w:t>
            </w:r>
          </w:p>
        </w:tc>
        <w:tc>
          <w:tcPr>
            <w:tcW w:w="2176" w:type="dxa"/>
            <w:tcBorders>
              <w:tl2br w:val="nil"/>
              <w:tr2bl w:val="nil"/>
            </w:tcBorders>
            <w:vAlign w:val="center"/>
          </w:tcPr>
          <w:p w14:paraId="5D28DF8D">
            <w:pPr>
              <w:pStyle w:val="41"/>
              <w:rPr>
                <w:color w:val="auto"/>
                <w:highlight w:val="none"/>
              </w:rPr>
            </w:pPr>
            <w:r>
              <w:rPr>
                <w:color w:val="auto"/>
                <w:highlight w:val="none"/>
              </w:rPr>
              <w:t>隧洞断面形式</w:t>
            </w:r>
          </w:p>
        </w:tc>
        <w:tc>
          <w:tcPr>
            <w:tcW w:w="4874" w:type="dxa"/>
            <w:gridSpan w:val="10"/>
            <w:tcBorders>
              <w:tl2br w:val="nil"/>
              <w:tr2bl w:val="nil"/>
            </w:tcBorders>
            <w:vAlign w:val="center"/>
          </w:tcPr>
          <w:p w14:paraId="0414F91F">
            <w:pPr>
              <w:pStyle w:val="41"/>
              <w:rPr>
                <w:color w:val="auto"/>
                <w:highlight w:val="none"/>
              </w:rPr>
            </w:pPr>
            <w:r>
              <w:rPr>
                <w:color w:val="auto"/>
                <w:highlight w:val="none"/>
              </w:rPr>
              <w:t>圆拱直墙型</w:t>
            </w:r>
          </w:p>
        </w:tc>
      </w:tr>
      <w:tr w14:paraId="7FD021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678" w:type="dxa"/>
            <w:vMerge w:val="continue"/>
            <w:tcBorders>
              <w:tl2br w:val="nil"/>
              <w:tr2bl w:val="nil"/>
            </w:tcBorders>
            <w:vAlign w:val="center"/>
          </w:tcPr>
          <w:p w14:paraId="79AA8AA6">
            <w:pPr>
              <w:pStyle w:val="41"/>
              <w:rPr>
                <w:color w:val="auto"/>
                <w:highlight w:val="none"/>
              </w:rPr>
            </w:pPr>
          </w:p>
        </w:tc>
        <w:tc>
          <w:tcPr>
            <w:tcW w:w="1162" w:type="dxa"/>
            <w:vMerge w:val="continue"/>
            <w:tcBorders>
              <w:tl2br w:val="nil"/>
              <w:tr2bl w:val="nil"/>
            </w:tcBorders>
            <w:vAlign w:val="center"/>
          </w:tcPr>
          <w:p w14:paraId="1E960488">
            <w:pPr>
              <w:pStyle w:val="41"/>
              <w:rPr>
                <w:color w:val="auto"/>
                <w:highlight w:val="none"/>
              </w:rPr>
            </w:pPr>
          </w:p>
        </w:tc>
        <w:tc>
          <w:tcPr>
            <w:tcW w:w="2176" w:type="dxa"/>
            <w:tcBorders>
              <w:tl2br w:val="nil"/>
              <w:tr2bl w:val="nil"/>
            </w:tcBorders>
            <w:vAlign w:val="center"/>
          </w:tcPr>
          <w:p w14:paraId="7C38A38E">
            <w:pPr>
              <w:pStyle w:val="41"/>
              <w:rPr>
                <w:color w:val="auto"/>
                <w:highlight w:val="none"/>
              </w:rPr>
            </w:pPr>
            <w:r>
              <w:rPr>
                <w:color w:val="auto"/>
                <w:highlight w:val="none"/>
              </w:rPr>
              <w:t>净断面尺寸</w:t>
            </w:r>
          </w:p>
        </w:tc>
        <w:tc>
          <w:tcPr>
            <w:tcW w:w="4874" w:type="dxa"/>
            <w:gridSpan w:val="10"/>
            <w:tcBorders>
              <w:tl2br w:val="nil"/>
              <w:tr2bl w:val="nil"/>
            </w:tcBorders>
            <w:vAlign w:val="center"/>
          </w:tcPr>
          <w:p w14:paraId="23E769BC">
            <w:pPr>
              <w:pStyle w:val="41"/>
              <w:rPr>
                <w:color w:val="auto"/>
                <w:highlight w:val="none"/>
              </w:rPr>
            </w:pPr>
            <w:r>
              <w:rPr>
                <w:color w:val="auto"/>
                <w:highlight w:val="none"/>
              </w:rPr>
              <w:t>B×H=1.5m×1.8m</w:t>
            </w:r>
          </w:p>
        </w:tc>
      </w:tr>
      <w:tr w14:paraId="07492E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6EA3BFF0">
            <w:pPr>
              <w:pStyle w:val="41"/>
              <w:rPr>
                <w:color w:val="auto"/>
                <w:highlight w:val="none"/>
              </w:rPr>
            </w:pPr>
          </w:p>
        </w:tc>
        <w:tc>
          <w:tcPr>
            <w:tcW w:w="1162" w:type="dxa"/>
            <w:vMerge w:val="continue"/>
            <w:tcBorders>
              <w:tl2br w:val="nil"/>
              <w:tr2bl w:val="nil"/>
            </w:tcBorders>
            <w:vAlign w:val="center"/>
          </w:tcPr>
          <w:p w14:paraId="1B075080">
            <w:pPr>
              <w:pStyle w:val="41"/>
              <w:rPr>
                <w:color w:val="auto"/>
                <w:highlight w:val="none"/>
              </w:rPr>
            </w:pPr>
          </w:p>
        </w:tc>
        <w:tc>
          <w:tcPr>
            <w:tcW w:w="2176" w:type="dxa"/>
            <w:tcBorders>
              <w:tl2br w:val="nil"/>
              <w:tr2bl w:val="nil"/>
            </w:tcBorders>
            <w:vAlign w:val="center"/>
          </w:tcPr>
          <w:p w14:paraId="02A81126">
            <w:pPr>
              <w:pStyle w:val="41"/>
              <w:rPr>
                <w:color w:val="auto"/>
                <w:highlight w:val="none"/>
              </w:rPr>
            </w:pPr>
            <w:r>
              <w:rPr>
                <w:color w:val="auto"/>
                <w:highlight w:val="none"/>
              </w:rPr>
              <w:t>隧洞长度</w:t>
            </w:r>
          </w:p>
        </w:tc>
        <w:tc>
          <w:tcPr>
            <w:tcW w:w="4874" w:type="dxa"/>
            <w:gridSpan w:val="10"/>
            <w:tcBorders>
              <w:tl2br w:val="nil"/>
              <w:tr2bl w:val="nil"/>
            </w:tcBorders>
            <w:vAlign w:val="center"/>
          </w:tcPr>
          <w:p w14:paraId="04A69FB2">
            <w:pPr>
              <w:pStyle w:val="41"/>
              <w:rPr>
                <w:color w:val="auto"/>
                <w:highlight w:val="none"/>
              </w:rPr>
            </w:pPr>
            <w:r>
              <w:rPr>
                <w:color w:val="auto"/>
                <w:highlight w:val="none"/>
              </w:rPr>
              <w:t>975m</w:t>
            </w:r>
          </w:p>
        </w:tc>
      </w:tr>
      <w:tr w14:paraId="05B3259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1D90B0D4">
            <w:pPr>
              <w:pStyle w:val="41"/>
              <w:rPr>
                <w:color w:val="auto"/>
                <w:highlight w:val="none"/>
              </w:rPr>
            </w:pPr>
          </w:p>
        </w:tc>
        <w:tc>
          <w:tcPr>
            <w:tcW w:w="1162" w:type="dxa"/>
            <w:vMerge w:val="continue"/>
            <w:tcBorders>
              <w:tl2br w:val="nil"/>
              <w:tr2bl w:val="nil"/>
            </w:tcBorders>
            <w:vAlign w:val="center"/>
          </w:tcPr>
          <w:p w14:paraId="52DC879D">
            <w:pPr>
              <w:pStyle w:val="41"/>
              <w:rPr>
                <w:color w:val="auto"/>
                <w:highlight w:val="none"/>
              </w:rPr>
            </w:pPr>
          </w:p>
        </w:tc>
        <w:tc>
          <w:tcPr>
            <w:tcW w:w="2176" w:type="dxa"/>
            <w:tcBorders>
              <w:tl2br w:val="nil"/>
              <w:tr2bl w:val="nil"/>
            </w:tcBorders>
            <w:vAlign w:val="center"/>
          </w:tcPr>
          <w:p w14:paraId="714B79BC">
            <w:pPr>
              <w:pStyle w:val="41"/>
              <w:rPr>
                <w:color w:val="auto"/>
                <w:highlight w:val="none"/>
              </w:rPr>
            </w:pPr>
            <w:r>
              <w:rPr>
                <w:color w:val="auto"/>
                <w:highlight w:val="none"/>
              </w:rPr>
              <w:t>纵比降</w:t>
            </w:r>
          </w:p>
        </w:tc>
        <w:tc>
          <w:tcPr>
            <w:tcW w:w="4874" w:type="dxa"/>
            <w:gridSpan w:val="10"/>
            <w:tcBorders>
              <w:tl2br w:val="nil"/>
              <w:tr2bl w:val="nil"/>
            </w:tcBorders>
            <w:vAlign w:val="center"/>
          </w:tcPr>
          <w:p w14:paraId="778A0A1E">
            <w:pPr>
              <w:pStyle w:val="41"/>
              <w:rPr>
                <w:color w:val="auto"/>
                <w:highlight w:val="none"/>
              </w:rPr>
            </w:pPr>
            <w:r>
              <w:rPr>
                <w:color w:val="auto"/>
                <w:highlight w:val="none"/>
              </w:rPr>
              <w:t>5.0%</w:t>
            </w:r>
          </w:p>
        </w:tc>
      </w:tr>
      <w:tr w14:paraId="48C537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44B62C6F">
            <w:pPr>
              <w:pStyle w:val="41"/>
              <w:rPr>
                <w:color w:val="auto"/>
                <w:highlight w:val="none"/>
              </w:rPr>
            </w:pPr>
          </w:p>
        </w:tc>
        <w:tc>
          <w:tcPr>
            <w:tcW w:w="1162" w:type="dxa"/>
            <w:vMerge w:val="continue"/>
            <w:tcBorders>
              <w:tl2br w:val="nil"/>
              <w:tr2bl w:val="nil"/>
            </w:tcBorders>
            <w:vAlign w:val="center"/>
          </w:tcPr>
          <w:p w14:paraId="1BD36D9A">
            <w:pPr>
              <w:pStyle w:val="41"/>
              <w:rPr>
                <w:color w:val="auto"/>
                <w:highlight w:val="none"/>
              </w:rPr>
            </w:pPr>
          </w:p>
        </w:tc>
        <w:tc>
          <w:tcPr>
            <w:tcW w:w="2176" w:type="dxa"/>
            <w:tcBorders>
              <w:tl2br w:val="nil"/>
              <w:tr2bl w:val="nil"/>
            </w:tcBorders>
            <w:vAlign w:val="center"/>
          </w:tcPr>
          <w:p w14:paraId="1920672B">
            <w:pPr>
              <w:pStyle w:val="41"/>
              <w:rPr>
                <w:color w:val="auto"/>
                <w:highlight w:val="none"/>
              </w:rPr>
            </w:pPr>
            <w:r>
              <w:rPr>
                <w:color w:val="auto"/>
                <w:highlight w:val="none"/>
              </w:rPr>
              <w:t>出水口标高</w:t>
            </w:r>
          </w:p>
        </w:tc>
        <w:tc>
          <w:tcPr>
            <w:tcW w:w="4874" w:type="dxa"/>
            <w:gridSpan w:val="10"/>
            <w:tcBorders>
              <w:tl2br w:val="nil"/>
              <w:tr2bl w:val="nil"/>
            </w:tcBorders>
            <w:vAlign w:val="center"/>
          </w:tcPr>
          <w:p w14:paraId="0B229545">
            <w:pPr>
              <w:pStyle w:val="41"/>
              <w:rPr>
                <w:color w:val="auto"/>
                <w:highlight w:val="none"/>
              </w:rPr>
            </w:pPr>
            <w:r>
              <w:rPr>
                <w:color w:val="auto"/>
                <w:highlight w:val="none"/>
              </w:rPr>
              <w:t>1902.00m</w:t>
            </w:r>
          </w:p>
        </w:tc>
      </w:tr>
      <w:tr w14:paraId="229EA5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restart"/>
            <w:tcBorders>
              <w:tl2br w:val="nil"/>
              <w:tr2bl w:val="nil"/>
            </w:tcBorders>
            <w:vAlign w:val="center"/>
          </w:tcPr>
          <w:p w14:paraId="50FBAFF5">
            <w:pPr>
              <w:pStyle w:val="41"/>
              <w:rPr>
                <w:color w:val="auto"/>
                <w:highlight w:val="none"/>
              </w:rPr>
            </w:pPr>
            <w:r>
              <w:rPr>
                <w:color w:val="auto"/>
                <w:highlight w:val="none"/>
              </w:rPr>
              <w:t>7</w:t>
            </w:r>
          </w:p>
        </w:tc>
        <w:tc>
          <w:tcPr>
            <w:tcW w:w="1162" w:type="dxa"/>
            <w:vMerge w:val="restart"/>
            <w:tcBorders>
              <w:tl2br w:val="nil"/>
              <w:tr2bl w:val="nil"/>
            </w:tcBorders>
            <w:vAlign w:val="center"/>
          </w:tcPr>
          <w:p w14:paraId="629A3214">
            <w:pPr>
              <w:pStyle w:val="41"/>
              <w:rPr>
                <w:color w:val="auto"/>
                <w:highlight w:val="none"/>
              </w:rPr>
            </w:pPr>
            <w:r>
              <w:rPr>
                <w:color w:val="auto"/>
                <w:highlight w:val="none"/>
              </w:rPr>
              <w:t>排洪支隧洞</w:t>
            </w:r>
          </w:p>
        </w:tc>
        <w:tc>
          <w:tcPr>
            <w:tcW w:w="2176" w:type="dxa"/>
            <w:vMerge w:val="restart"/>
            <w:tcBorders>
              <w:tl2br w:val="nil"/>
              <w:tr2bl w:val="nil"/>
            </w:tcBorders>
            <w:vAlign w:val="center"/>
          </w:tcPr>
          <w:p w14:paraId="50800E91">
            <w:pPr>
              <w:pStyle w:val="41"/>
              <w:rPr>
                <w:color w:val="auto"/>
                <w:highlight w:val="none"/>
              </w:rPr>
            </w:pPr>
            <w:r>
              <w:rPr>
                <w:color w:val="auto"/>
                <w:highlight w:val="none"/>
              </w:rPr>
              <w:t>隧洞断面形式</w:t>
            </w:r>
          </w:p>
        </w:tc>
        <w:tc>
          <w:tcPr>
            <w:tcW w:w="926" w:type="dxa"/>
            <w:gridSpan w:val="2"/>
            <w:tcBorders>
              <w:tl2br w:val="nil"/>
              <w:tr2bl w:val="nil"/>
            </w:tcBorders>
            <w:vAlign w:val="center"/>
          </w:tcPr>
          <w:p w14:paraId="5BBBC0B1">
            <w:pPr>
              <w:pStyle w:val="41"/>
              <w:rPr>
                <w:color w:val="auto"/>
                <w:highlight w:val="none"/>
              </w:rPr>
            </w:pPr>
            <w:r>
              <w:rPr>
                <w:color w:val="auto"/>
                <w:highlight w:val="none"/>
              </w:rPr>
              <w:t>1#</w:t>
            </w:r>
          </w:p>
        </w:tc>
        <w:tc>
          <w:tcPr>
            <w:tcW w:w="1289" w:type="dxa"/>
            <w:gridSpan w:val="2"/>
            <w:tcBorders>
              <w:tl2br w:val="nil"/>
              <w:tr2bl w:val="nil"/>
            </w:tcBorders>
            <w:vAlign w:val="center"/>
          </w:tcPr>
          <w:p w14:paraId="4CDC3558">
            <w:pPr>
              <w:pStyle w:val="41"/>
              <w:rPr>
                <w:color w:val="auto"/>
                <w:highlight w:val="none"/>
              </w:rPr>
            </w:pPr>
            <w:r>
              <w:rPr>
                <w:color w:val="auto"/>
                <w:highlight w:val="none"/>
              </w:rPr>
              <w:t>2#</w:t>
            </w:r>
          </w:p>
        </w:tc>
        <w:tc>
          <w:tcPr>
            <w:tcW w:w="1271" w:type="dxa"/>
            <w:gridSpan w:val="3"/>
            <w:tcBorders>
              <w:tl2br w:val="nil"/>
              <w:tr2bl w:val="nil"/>
            </w:tcBorders>
            <w:vAlign w:val="center"/>
          </w:tcPr>
          <w:p w14:paraId="36F75227">
            <w:pPr>
              <w:pStyle w:val="41"/>
              <w:rPr>
                <w:color w:val="auto"/>
                <w:highlight w:val="none"/>
              </w:rPr>
            </w:pPr>
            <w:r>
              <w:rPr>
                <w:color w:val="auto"/>
                <w:highlight w:val="none"/>
              </w:rPr>
              <w:t>3#</w:t>
            </w:r>
          </w:p>
        </w:tc>
        <w:tc>
          <w:tcPr>
            <w:tcW w:w="1388" w:type="dxa"/>
            <w:gridSpan w:val="3"/>
            <w:tcBorders>
              <w:tl2br w:val="nil"/>
              <w:tr2bl w:val="nil"/>
            </w:tcBorders>
            <w:vAlign w:val="center"/>
          </w:tcPr>
          <w:p w14:paraId="49176C32">
            <w:pPr>
              <w:pStyle w:val="41"/>
              <w:rPr>
                <w:color w:val="auto"/>
                <w:highlight w:val="none"/>
              </w:rPr>
            </w:pPr>
            <w:r>
              <w:rPr>
                <w:color w:val="auto"/>
                <w:highlight w:val="none"/>
              </w:rPr>
              <w:t>4#</w:t>
            </w:r>
          </w:p>
        </w:tc>
      </w:tr>
      <w:tr w14:paraId="76CF63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3B471D84">
            <w:pPr>
              <w:pStyle w:val="41"/>
              <w:rPr>
                <w:color w:val="auto"/>
                <w:highlight w:val="none"/>
              </w:rPr>
            </w:pPr>
          </w:p>
        </w:tc>
        <w:tc>
          <w:tcPr>
            <w:tcW w:w="1162" w:type="dxa"/>
            <w:vMerge w:val="continue"/>
            <w:tcBorders>
              <w:tl2br w:val="nil"/>
              <w:tr2bl w:val="nil"/>
            </w:tcBorders>
            <w:vAlign w:val="center"/>
          </w:tcPr>
          <w:p w14:paraId="32441CDB">
            <w:pPr>
              <w:pStyle w:val="41"/>
              <w:rPr>
                <w:color w:val="auto"/>
                <w:highlight w:val="none"/>
              </w:rPr>
            </w:pPr>
          </w:p>
        </w:tc>
        <w:tc>
          <w:tcPr>
            <w:tcW w:w="2176" w:type="dxa"/>
            <w:vMerge w:val="continue"/>
            <w:tcBorders>
              <w:tl2br w:val="nil"/>
              <w:tr2bl w:val="nil"/>
            </w:tcBorders>
            <w:vAlign w:val="center"/>
          </w:tcPr>
          <w:p w14:paraId="7A13D778">
            <w:pPr>
              <w:pStyle w:val="41"/>
              <w:rPr>
                <w:color w:val="auto"/>
                <w:highlight w:val="none"/>
              </w:rPr>
            </w:pPr>
          </w:p>
        </w:tc>
        <w:tc>
          <w:tcPr>
            <w:tcW w:w="4874" w:type="dxa"/>
            <w:gridSpan w:val="10"/>
            <w:tcBorders>
              <w:tl2br w:val="nil"/>
              <w:tr2bl w:val="nil"/>
            </w:tcBorders>
            <w:vAlign w:val="center"/>
          </w:tcPr>
          <w:p w14:paraId="663E1598">
            <w:pPr>
              <w:pStyle w:val="41"/>
              <w:rPr>
                <w:color w:val="auto"/>
                <w:highlight w:val="none"/>
              </w:rPr>
            </w:pPr>
            <w:r>
              <w:rPr>
                <w:color w:val="auto"/>
                <w:highlight w:val="none"/>
              </w:rPr>
              <w:t>圆拱直墙型</w:t>
            </w:r>
          </w:p>
        </w:tc>
      </w:tr>
      <w:tr w14:paraId="201DA2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0D3950AB">
            <w:pPr>
              <w:pStyle w:val="41"/>
              <w:rPr>
                <w:color w:val="auto"/>
                <w:highlight w:val="none"/>
              </w:rPr>
            </w:pPr>
          </w:p>
        </w:tc>
        <w:tc>
          <w:tcPr>
            <w:tcW w:w="1162" w:type="dxa"/>
            <w:vMerge w:val="continue"/>
            <w:tcBorders>
              <w:tl2br w:val="nil"/>
              <w:tr2bl w:val="nil"/>
            </w:tcBorders>
            <w:vAlign w:val="center"/>
          </w:tcPr>
          <w:p w14:paraId="6AD87461">
            <w:pPr>
              <w:pStyle w:val="41"/>
              <w:rPr>
                <w:color w:val="auto"/>
                <w:highlight w:val="none"/>
              </w:rPr>
            </w:pPr>
          </w:p>
        </w:tc>
        <w:tc>
          <w:tcPr>
            <w:tcW w:w="2176" w:type="dxa"/>
            <w:tcBorders>
              <w:tl2br w:val="nil"/>
              <w:tr2bl w:val="nil"/>
            </w:tcBorders>
            <w:vAlign w:val="center"/>
          </w:tcPr>
          <w:p w14:paraId="0CF5994A">
            <w:pPr>
              <w:pStyle w:val="41"/>
              <w:rPr>
                <w:color w:val="auto"/>
                <w:highlight w:val="none"/>
              </w:rPr>
            </w:pPr>
            <w:r>
              <w:rPr>
                <w:color w:val="auto"/>
                <w:highlight w:val="none"/>
              </w:rPr>
              <w:t>净断面尺寸</w:t>
            </w:r>
          </w:p>
        </w:tc>
        <w:tc>
          <w:tcPr>
            <w:tcW w:w="4874" w:type="dxa"/>
            <w:gridSpan w:val="10"/>
            <w:tcBorders>
              <w:tl2br w:val="nil"/>
              <w:tr2bl w:val="nil"/>
            </w:tcBorders>
            <w:vAlign w:val="center"/>
          </w:tcPr>
          <w:p w14:paraId="45065CA9">
            <w:pPr>
              <w:pStyle w:val="41"/>
              <w:rPr>
                <w:color w:val="auto"/>
                <w:highlight w:val="none"/>
              </w:rPr>
            </w:pPr>
            <w:r>
              <w:rPr>
                <w:color w:val="auto"/>
                <w:highlight w:val="none"/>
              </w:rPr>
              <w:t>B×H=1.5m×1.8m</w:t>
            </w:r>
          </w:p>
        </w:tc>
      </w:tr>
      <w:tr w14:paraId="282B2D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2BF9740C">
            <w:pPr>
              <w:pStyle w:val="41"/>
              <w:rPr>
                <w:color w:val="auto"/>
                <w:highlight w:val="none"/>
              </w:rPr>
            </w:pPr>
          </w:p>
        </w:tc>
        <w:tc>
          <w:tcPr>
            <w:tcW w:w="1162" w:type="dxa"/>
            <w:vMerge w:val="continue"/>
            <w:tcBorders>
              <w:tl2br w:val="nil"/>
              <w:tr2bl w:val="nil"/>
            </w:tcBorders>
            <w:vAlign w:val="center"/>
          </w:tcPr>
          <w:p w14:paraId="1BE5B11A">
            <w:pPr>
              <w:pStyle w:val="41"/>
              <w:rPr>
                <w:color w:val="auto"/>
                <w:highlight w:val="none"/>
              </w:rPr>
            </w:pPr>
          </w:p>
        </w:tc>
        <w:tc>
          <w:tcPr>
            <w:tcW w:w="2176" w:type="dxa"/>
            <w:tcBorders>
              <w:tl2br w:val="nil"/>
              <w:tr2bl w:val="nil"/>
            </w:tcBorders>
            <w:vAlign w:val="center"/>
          </w:tcPr>
          <w:p w14:paraId="55C7E386">
            <w:pPr>
              <w:pStyle w:val="41"/>
              <w:rPr>
                <w:color w:val="auto"/>
                <w:highlight w:val="none"/>
              </w:rPr>
            </w:pPr>
            <w:r>
              <w:rPr>
                <w:color w:val="auto"/>
                <w:highlight w:val="none"/>
              </w:rPr>
              <w:t>隧洞长度</w:t>
            </w:r>
          </w:p>
        </w:tc>
        <w:tc>
          <w:tcPr>
            <w:tcW w:w="926" w:type="dxa"/>
            <w:gridSpan w:val="2"/>
            <w:tcBorders>
              <w:tl2br w:val="nil"/>
              <w:tr2bl w:val="nil"/>
            </w:tcBorders>
            <w:vAlign w:val="center"/>
          </w:tcPr>
          <w:p w14:paraId="7070648B">
            <w:pPr>
              <w:pStyle w:val="41"/>
              <w:rPr>
                <w:color w:val="auto"/>
                <w:highlight w:val="none"/>
              </w:rPr>
            </w:pPr>
            <w:r>
              <w:rPr>
                <w:color w:val="auto"/>
                <w:highlight w:val="none"/>
              </w:rPr>
              <w:t>177.0m</w:t>
            </w:r>
          </w:p>
        </w:tc>
        <w:tc>
          <w:tcPr>
            <w:tcW w:w="1289" w:type="dxa"/>
            <w:gridSpan w:val="2"/>
            <w:tcBorders>
              <w:tl2br w:val="nil"/>
              <w:tr2bl w:val="nil"/>
            </w:tcBorders>
            <w:vAlign w:val="center"/>
          </w:tcPr>
          <w:p w14:paraId="22CE12AC">
            <w:pPr>
              <w:pStyle w:val="41"/>
              <w:rPr>
                <w:color w:val="auto"/>
                <w:highlight w:val="none"/>
              </w:rPr>
            </w:pPr>
            <w:r>
              <w:rPr>
                <w:color w:val="auto"/>
                <w:highlight w:val="none"/>
              </w:rPr>
              <w:t>190.0m</w:t>
            </w:r>
          </w:p>
        </w:tc>
        <w:tc>
          <w:tcPr>
            <w:tcW w:w="1271" w:type="dxa"/>
            <w:gridSpan w:val="3"/>
            <w:tcBorders>
              <w:tl2br w:val="nil"/>
              <w:tr2bl w:val="nil"/>
            </w:tcBorders>
            <w:vAlign w:val="center"/>
          </w:tcPr>
          <w:p w14:paraId="56AF12CB">
            <w:pPr>
              <w:pStyle w:val="41"/>
              <w:rPr>
                <w:color w:val="auto"/>
                <w:highlight w:val="none"/>
              </w:rPr>
            </w:pPr>
            <w:r>
              <w:rPr>
                <w:color w:val="auto"/>
                <w:highlight w:val="none"/>
              </w:rPr>
              <w:t>163.0m</w:t>
            </w:r>
          </w:p>
        </w:tc>
        <w:tc>
          <w:tcPr>
            <w:tcW w:w="1388" w:type="dxa"/>
            <w:gridSpan w:val="3"/>
            <w:tcBorders>
              <w:tl2br w:val="nil"/>
              <w:tr2bl w:val="nil"/>
            </w:tcBorders>
            <w:vAlign w:val="center"/>
          </w:tcPr>
          <w:p w14:paraId="1570EC6F">
            <w:pPr>
              <w:pStyle w:val="41"/>
              <w:rPr>
                <w:color w:val="auto"/>
                <w:highlight w:val="none"/>
              </w:rPr>
            </w:pPr>
            <w:r>
              <w:rPr>
                <w:color w:val="auto"/>
                <w:highlight w:val="none"/>
              </w:rPr>
              <w:t>120.0m</w:t>
            </w:r>
          </w:p>
        </w:tc>
      </w:tr>
      <w:tr w14:paraId="67A429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1B78878E">
            <w:pPr>
              <w:pStyle w:val="41"/>
              <w:rPr>
                <w:color w:val="auto"/>
                <w:highlight w:val="none"/>
              </w:rPr>
            </w:pPr>
          </w:p>
        </w:tc>
        <w:tc>
          <w:tcPr>
            <w:tcW w:w="1162" w:type="dxa"/>
            <w:vMerge w:val="continue"/>
            <w:tcBorders>
              <w:tl2br w:val="nil"/>
              <w:tr2bl w:val="nil"/>
            </w:tcBorders>
            <w:vAlign w:val="center"/>
          </w:tcPr>
          <w:p w14:paraId="79F51797">
            <w:pPr>
              <w:pStyle w:val="41"/>
              <w:rPr>
                <w:color w:val="auto"/>
                <w:highlight w:val="none"/>
              </w:rPr>
            </w:pPr>
          </w:p>
        </w:tc>
        <w:tc>
          <w:tcPr>
            <w:tcW w:w="2176" w:type="dxa"/>
            <w:tcBorders>
              <w:tl2br w:val="nil"/>
              <w:tr2bl w:val="nil"/>
            </w:tcBorders>
            <w:vAlign w:val="center"/>
          </w:tcPr>
          <w:p w14:paraId="4A970739">
            <w:pPr>
              <w:pStyle w:val="41"/>
              <w:rPr>
                <w:color w:val="auto"/>
                <w:highlight w:val="none"/>
              </w:rPr>
            </w:pPr>
            <w:r>
              <w:rPr>
                <w:color w:val="auto"/>
                <w:highlight w:val="none"/>
              </w:rPr>
              <w:t>纵比降</w:t>
            </w:r>
          </w:p>
        </w:tc>
        <w:tc>
          <w:tcPr>
            <w:tcW w:w="4874" w:type="dxa"/>
            <w:gridSpan w:val="10"/>
            <w:tcBorders>
              <w:tl2br w:val="nil"/>
              <w:tr2bl w:val="nil"/>
            </w:tcBorders>
            <w:vAlign w:val="center"/>
          </w:tcPr>
          <w:p w14:paraId="1EFCE9DB">
            <w:pPr>
              <w:pStyle w:val="41"/>
              <w:rPr>
                <w:color w:val="auto"/>
                <w:highlight w:val="none"/>
              </w:rPr>
            </w:pPr>
            <w:r>
              <w:rPr>
                <w:color w:val="auto"/>
                <w:highlight w:val="none"/>
              </w:rPr>
              <w:t>4.0%</w:t>
            </w:r>
          </w:p>
        </w:tc>
      </w:tr>
      <w:tr w14:paraId="789DB7E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1FD38E1C">
            <w:pPr>
              <w:pStyle w:val="41"/>
              <w:rPr>
                <w:color w:val="auto"/>
                <w:highlight w:val="none"/>
              </w:rPr>
            </w:pPr>
          </w:p>
        </w:tc>
        <w:tc>
          <w:tcPr>
            <w:tcW w:w="1162" w:type="dxa"/>
            <w:vMerge w:val="continue"/>
            <w:tcBorders>
              <w:tl2br w:val="nil"/>
              <w:tr2bl w:val="nil"/>
            </w:tcBorders>
            <w:vAlign w:val="center"/>
          </w:tcPr>
          <w:p w14:paraId="11FF79ED">
            <w:pPr>
              <w:pStyle w:val="41"/>
              <w:rPr>
                <w:color w:val="auto"/>
                <w:highlight w:val="none"/>
              </w:rPr>
            </w:pPr>
          </w:p>
        </w:tc>
        <w:tc>
          <w:tcPr>
            <w:tcW w:w="2176" w:type="dxa"/>
            <w:tcBorders>
              <w:tl2br w:val="nil"/>
              <w:tr2bl w:val="nil"/>
            </w:tcBorders>
            <w:vAlign w:val="center"/>
          </w:tcPr>
          <w:p w14:paraId="10F543F4">
            <w:pPr>
              <w:pStyle w:val="41"/>
              <w:rPr>
                <w:color w:val="auto"/>
                <w:highlight w:val="none"/>
              </w:rPr>
            </w:pPr>
            <w:r>
              <w:rPr>
                <w:color w:val="auto"/>
                <w:highlight w:val="none"/>
              </w:rPr>
              <w:t>出水口标高</w:t>
            </w:r>
          </w:p>
        </w:tc>
        <w:tc>
          <w:tcPr>
            <w:tcW w:w="926" w:type="dxa"/>
            <w:gridSpan w:val="2"/>
            <w:tcBorders>
              <w:tl2br w:val="nil"/>
              <w:tr2bl w:val="nil"/>
            </w:tcBorders>
            <w:vAlign w:val="center"/>
          </w:tcPr>
          <w:p w14:paraId="2C3CACBA">
            <w:pPr>
              <w:pStyle w:val="41"/>
              <w:rPr>
                <w:color w:val="auto"/>
                <w:highlight w:val="none"/>
              </w:rPr>
            </w:pPr>
            <w:r>
              <w:rPr>
                <w:color w:val="auto"/>
                <w:highlight w:val="none"/>
              </w:rPr>
              <w:t>1914.50m</w:t>
            </w:r>
          </w:p>
        </w:tc>
        <w:tc>
          <w:tcPr>
            <w:tcW w:w="1289" w:type="dxa"/>
            <w:gridSpan w:val="2"/>
            <w:tcBorders>
              <w:tl2br w:val="nil"/>
              <w:tr2bl w:val="nil"/>
            </w:tcBorders>
            <w:vAlign w:val="center"/>
          </w:tcPr>
          <w:p w14:paraId="2EBB212E">
            <w:pPr>
              <w:pStyle w:val="41"/>
              <w:rPr>
                <w:color w:val="auto"/>
                <w:highlight w:val="none"/>
              </w:rPr>
            </w:pPr>
            <w:r>
              <w:rPr>
                <w:color w:val="auto"/>
                <w:highlight w:val="none"/>
              </w:rPr>
              <w:t>1920.0m</w:t>
            </w:r>
          </w:p>
        </w:tc>
        <w:tc>
          <w:tcPr>
            <w:tcW w:w="1307" w:type="dxa"/>
            <w:gridSpan w:val="4"/>
            <w:tcBorders>
              <w:tl2br w:val="nil"/>
              <w:tr2bl w:val="nil"/>
            </w:tcBorders>
            <w:vAlign w:val="center"/>
          </w:tcPr>
          <w:p w14:paraId="5BF4B1BC">
            <w:pPr>
              <w:pStyle w:val="41"/>
              <w:rPr>
                <w:color w:val="auto"/>
                <w:highlight w:val="none"/>
              </w:rPr>
            </w:pPr>
            <w:r>
              <w:rPr>
                <w:color w:val="auto"/>
                <w:highlight w:val="none"/>
              </w:rPr>
              <w:t>1932.25m</w:t>
            </w:r>
          </w:p>
        </w:tc>
        <w:tc>
          <w:tcPr>
            <w:tcW w:w="1352" w:type="dxa"/>
            <w:gridSpan w:val="2"/>
            <w:tcBorders>
              <w:tl2br w:val="nil"/>
              <w:tr2bl w:val="nil"/>
            </w:tcBorders>
            <w:vAlign w:val="center"/>
          </w:tcPr>
          <w:p w14:paraId="555352D6">
            <w:pPr>
              <w:pStyle w:val="41"/>
              <w:rPr>
                <w:color w:val="auto"/>
                <w:highlight w:val="none"/>
              </w:rPr>
            </w:pPr>
            <w:r>
              <w:rPr>
                <w:color w:val="auto"/>
                <w:highlight w:val="none"/>
              </w:rPr>
              <w:t>1941.00m</w:t>
            </w:r>
          </w:p>
        </w:tc>
      </w:tr>
      <w:tr w14:paraId="3E04FEA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tcBorders>
              <w:tl2br w:val="nil"/>
              <w:tr2bl w:val="nil"/>
            </w:tcBorders>
            <w:vAlign w:val="center"/>
          </w:tcPr>
          <w:p w14:paraId="55A502CA">
            <w:pPr>
              <w:pStyle w:val="41"/>
              <w:rPr>
                <w:color w:val="auto"/>
                <w:highlight w:val="none"/>
              </w:rPr>
            </w:pPr>
            <w:r>
              <w:rPr>
                <w:color w:val="auto"/>
                <w:highlight w:val="none"/>
              </w:rPr>
              <w:t>8</w:t>
            </w:r>
          </w:p>
        </w:tc>
        <w:tc>
          <w:tcPr>
            <w:tcW w:w="3338" w:type="dxa"/>
            <w:gridSpan w:val="2"/>
            <w:tcBorders>
              <w:tl2br w:val="nil"/>
              <w:tr2bl w:val="nil"/>
            </w:tcBorders>
            <w:vAlign w:val="center"/>
          </w:tcPr>
          <w:p w14:paraId="3668F28C">
            <w:pPr>
              <w:pStyle w:val="41"/>
              <w:rPr>
                <w:color w:val="auto"/>
                <w:highlight w:val="none"/>
              </w:rPr>
            </w:pPr>
            <w:r>
              <w:rPr>
                <w:color w:val="auto"/>
                <w:highlight w:val="none"/>
              </w:rPr>
              <w:t>坝肩截水沟</w:t>
            </w:r>
          </w:p>
        </w:tc>
        <w:tc>
          <w:tcPr>
            <w:tcW w:w="4874" w:type="dxa"/>
            <w:gridSpan w:val="10"/>
            <w:tcBorders>
              <w:tl2br w:val="nil"/>
              <w:tr2bl w:val="nil"/>
            </w:tcBorders>
            <w:vAlign w:val="center"/>
          </w:tcPr>
          <w:p w14:paraId="732DC5AA">
            <w:pPr>
              <w:pStyle w:val="41"/>
              <w:rPr>
                <w:color w:val="auto"/>
                <w:highlight w:val="none"/>
              </w:rPr>
            </w:pPr>
            <w:r>
              <w:rPr>
                <w:color w:val="auto"/>
                <w:highlight w:val="none"/>
              </w:rPr>
              <w:t>矩形，B×H=0.6m×0.6m</w:t>
            </w:r>
          </w:p>
        </w:tc>
      </w:tr>
      <w:tr w14:paraId="77DD93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tcBorders>
              <w:tl2br w:val="nil"/>
              <w:tr2bl w:val="nil"/>
            </w:tcBorders>
            <w:vAlign w:val="center"/>
          </w:tcPr>
          <w:p w14:paraId="60AAE652">
            <w:pPr>
              <w:pStyle w:val="41"/>
              <w:rPr>
                <w:color w:val="auto"/>
                <w:highlight w:val="none"/>
              </w:rPr>
            </w:pPr>
            <w:r>
              <w:rPr>
                <w:color w:val="auto"/>
                <w:highlight w:val="none"/>
              </w:rPr>
              <w:t>9</w:t>
            </w:r>
          </w:p>
        </w:tc>
        <w:tc>
          <w:tcPr>
            <w:tcW w:w="3338" w:type="dxa"/>
            <w:gridSpan w:val="2"/>
            <w:tcBorders>
              <w:tl2br w:val="nil"/>
              <w:tr2bl w:val="nil"/>
            </w:tcBorders>
            <w:vAlign w:val="center"/>
          </w:tcPr>
          <w:p w14:paraId="1752CFD4">
            <w:pPr>
              <w:pStyle w:val="41"/>
              <w:rPr>
                <w:color w:val="auto"/>
                <w:highlight w:val="none"/>
              </w:rPr>
            </w:pPr>
            <w:r>
              <w:rPr>
                <w:color w:val="auto"/>
                <w:highlight w:val="none"/>
              </w:rPr>
              <w:t>马道排水沟</w:t>
            </w:r>
          </w:p>
        </w:tc>
        <w:tc>
          <w:tcPr>
            <w:tcW w:w="4874" w:type="dxa"/>
            <w:gridSpan w:val="10"/>
            <w:tcBorders>
              <w:tl2br w:val="nil"/>
              <w:tr2bl w:val="nil"/>
            </w:tcBorders>
            <w:vAlign w:val="center"/>
          </w:tcPr>
          <w:p w14:paraId="5EFBAB0A">
            <w:pPr>
              <w:pStyle w:val="41"/>
              <w:rPr>
                <w:color w:val="auto"/>
                <w:highlight w:val="none"/>
              </w:rPr>
            </w:pPr>
            <w:r>
              <w:rPr>
                <w:color w:val="auto"/>
                <w:highlight w:val="none"/>
              </w:rPr>
              <w:t>矩形，B×H=0.5m×0.5m</w:t>
            </w:r>
          </w:p>
        </w:tc>
      </w:tr>
      <w:tr w14:paraId="7C2223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8890" w:type="dxa"/>
            <w:gridSpan w:val="13"/>
            <w:tcBorders>
              <w:tl2br w:val="nil"/>
              <w:tr2bl w:val="nil"/>
            </w:tcBorders>
            <w:vAlign w:val="center"/>
          </w:tcPr>
          <w:p w14:paraId="0A65BD77">
            <w:pPr>
              <w:pStyle w:val="41"/>
              <w:rPr>
                <w:color w:val="auto"/>
                <w:highlight w:val="none"/>
              </w:rPr>
            </w:pPr>
            <w:r>
              <w:rPr>
                <w:color w:val="auto"/>
                <w:highlight w:val="none"/>
              </w:rPr>
              <w:t>五、渗滤液回水系统</w:t>
            </w:r>
          </w:p>
        </w:tc>
      </w:tr>
      <w:tr w14:paraId="5C50BE5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tcBorders>
              <w:tl2br w:val="nil"/>
              <w:tr2bl w:val="nil"/>
            </w:tcBorders>
            <w:vAlign w:val="center"/>
          </w:tcPr>
          <w:p w14:paraId="44C8D639">
            <w:pPr>
              <w:pStyle w:val="41"/>
              <w:rPr>
                <w:color w:val="auto"/>
                <w:highlight w:val="none"/>
              </w:rPr>
            </w:pPr>
            <w:r>
              <w:rPr>
                <w:color w:val="auto"/>
                <w:highlight w:val="none"/>
              </w:rPr>
              <w:t>1</w:t>
            </w:r>
          </w:p>
        </w:tc>
        <w:tc>
          <w:tcPr>
            <w:tcW w:w="3338" w:type="dxa"/>
            <w:gridSpan w:val="2"/>
            <w:tcBorders>
              <w:tl2br w:val="nil"/>
              <w:tr2bl w:val="nil"/>
            </w:tcBorders>
            <w:vAlign w:val="center"/>
          </w:tcPr>
          <w:p w14:paraId="67CF1941">
            <w:pPr>
              <w:pStyle w:val="41"/>
              <w:rPr>
                <w:color w:val="auto"/>
                <w:highlight w:val="none"/>
              </w:rPr>
            </w:pPr>
            <w:r>
              <w:rPr>
                <w:color w:val="auto"/>
                <w:highlight w:val="none"/>
              </w:rPr>
              <w:t>回水方式</w:t>
            </w:r>
          </w:p>
        </w:tc>
        <w:tc>
          <w:tcPr>
            <w:tcW w:w="4874" w:type="dxa"/>
            <w:gridSpan w:val="10"/>
            <w:tcBorders>
              <w:tl2br w:val="nil"/>
              <w:tr2bl w:val="nil"/>
            </w:tcBorders>
            <w:vAlign w:val="center"/>
          </w:tcPr>
          <w:p w14:paraId="0F08B692">
            <w:pPr>
              <w:pStyle w:val="41"/>
              <w:rPr>
                <w:color w:val="auto"/>
                <w:highlight w:val="none"/>
              </w:rPr>
            </w:pPr>
            <w:r>
              <w:rPr>
                <w:color w:val="auto"/>
                <w:highlight w:val="none"/>
              </w:rPr>
              <w:t>坝下压力扬送回水</w:t>
            </w:r>
          </w:p>
        </w:tc>
      </w:tr>
      <w:tr w14:paraId="7FCE14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tcBorders>
              <w:tl2br w:val="nil"/>
              <w:tr2bl w:val="nil"/>
            </w:tcBorders>
            <w:vAlign w:val="center"/>
          </w:tcPr>
          <w:p w14:paraId="20A36F32">
            <w:pPr>
              <w:pStyle w:val="41"/>
              <w:rPr>
                <w:color w:val="auto"/>
                <w:highlight w:val="none"/>
              </w:rPr>
            </w:pPr>
            <w:r>
              <w:rPr>
                <w:color w:val="auto"/>
                <w:highlight w:val="none"/>
              </w:rPr>
              <w:t>2</w:t>
            </w:r>
          </w:p>
        </w:tc>
        <w:tc>
          <w:tcPr>
            <w:tcW w:w="3338" w:type="dxa"/>
            <w:gridSpan w:val="2"/>
            <w:tcBorders>
              <w:tl2br w:val="nil"/>
              <w:tr2bl w:val="nil"/>
            </w:tcBorders>
            <w:vAlign w:val="center"/>
          </w:tcPr>
          <w:p w14:paraId="38ED853D">
            <w:pPr>
              <w:pStyle w:val="41"/>
              <w:rPr>
                <w:color w:val="auto"/>
                <w:highlight w:val="none"/>
              </w:rPr>
            </w:pPr>
            <w:r>
              <w:rPr>
                <w:color w:val="auto"/>
                <w:highlight w:val="none"/>
              </w:rPr>
              <w:t>回水流量（m</w:t>
            </w:r>
            <w:r>
              <w:rPr>
                <w:rFonts w:hint="eastAsia"/>
                <w:color w:val="auto"/>
                <w:highlight w:val="none"/>
                <w:vertAlign w:val="superscript"/>
              </w:rPr>
              <w:t>3</w:t>
            </w:r>
            <w:r>
              <w:rPr>
                <w:color w:val="auto"/>
                <w:highlight w:val="none"/>
              </w:rPr>
              <w:t>/h）</w:t>
            </w:r>
          </w:p>
        </w:tc>
        <w:tc>
          <w:tcPr>
            <w:tcW w:w="4874" w:type="dxa"/>
            <w:gridSpan w:val="10"/>
            <w:tcBorders>
              <w:tl2br w:val="nil"/>
              <w:tr2bl w:val="nil"/>
            </w:tcBorders>
            <w:vAlign w:val="center"/>
          </w:tcPr>
          <w:p w14:paraId="0B1D5838">
            <w:pPr>
              <w:pStyle w:val="41"/>
              <w:rPr>
                <w:color w:val="auto"/>
                <w:highlight w:val="none"/>
              </w:rPr>
            </w:pPr>
            <w:r>
              <w:rPr>
                <w:color w:val="auto"/>
                <w:highlight w:val="none"/>
              </w:rPr>
              <w:t>85</w:t>
            </w:r>
          </w:p>
        </w:tc>
      </w:tr>
      <w:tr w14:paraId="28A43D8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tcBorders>
              <w:tl2br w:val="nil"/>
              <w:tr2bl w:val="nil"/>
            </w:tcBorders>
            <w:vAlign w:val="center"/>
          </w:tcPr>
          <w:p w14:paraId="1FFF746D">
            <w:pPr>
              <w:pStyle w:val="41"/>
              <w:rPr>
                <w:color w:val="auto"/>
                <w:highlight w:val="none"/>
              </w:rPr>
            </w:pPr>
            <w:r>
              <w:rPr>
                <w:color w:val="auto"/>
                <w:highlight w:val="none"/>
              </w:rPr>
              <w:t>3</w:t>
            </w:r>
          </w:p>
        </w:tc>
        <w:tc>
          <w:tcPr>
            <w:tcW w:w="3338" w:type="dxa"/>
            <w:gridSpan w:val="2"/>
            <w:tcBorders>
              <w:tl2br w:val="nil"/>
              <w:tr2bl w:val="nil"/>
            </w:tcBorders>
            <w:vAlign w:val="center"/>
          </w:tcPr>
          <w:p w14:paraId="26224F8B">
            <w:pPr>
              <w:pStyle w:val="41"/>
              <w:rPr>
                <w:color w:val="auto"/>
                <w:highlight w:val="none"/>
              </w:rPr>
            </w:pPr>
            <w:r>
              <w:rPr>
                <w:color w:val="auto"/>
                <w:highlight w:val="none"/>
              </w:rPr>
              <w:t>回水泵</w:t>
            </w:r>
          </w:p>
        </w:tc>
        <w:tc>
          <w:tcPr>
            <w:tcW w:w="4874" w:type="dxa"/>
            <w:gridSpan w:val="10"/>
            <w:tcBorders>
              <w:tl2br w:val="nil"/>
              <w:tr2bl w:val="nil"/>
            </w:tcBorders>
            <w:vAlign w:val="center"/>
          </w:tcPr>
          <w:p w14:paraId="0D524816">
            <w:pPr>
              <w:pStyle w:val="41"/>
              <w:rPr>
                <w:color w:val="auto"/>
                <w:highlight w:val="none"/>
              </w:rPr>
            </w:pPr>
            <w:r>
              <w:rPr>
                <w:color w:val="auto"/>
                <w:highlight w:val="none"/>
              </w:rPr>
              <w:t>1台D100-50×3，单台参数：Q=85m</w:t>
            </w:r>
            <w:r>
              <w:rPr>
                <w:rFonts w:hint="eastAsia"/>
                <w:color w:val="auto"/>
                <w:highlight w:val="none"/>
                <w:vertAlign w:val="superscript"/>
              </w:rPr>
              <w:t>3</w:t>
            </w:r>
            <w:r>
              <w:rPr>
                <w:color w:val="auto"/>
                <w:highlight w:val="none"/>
              </w:rPr>
              <w:t>/h，H=160m，N=75kW</w:t>
            </w:r>
          </w:p>
        </w:tc>
      </w:tr>
      <w:tr w14:paraId="61F1262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restart"/>
            <w:tcBorders>
              <w:tl2br w:val="nil"/>
              <w:tr2bl w:val="nil"/>
            </w:tcBorders>
            <w:vAlign w:val="center"/>
          </w:tcPr>
          <w:p w14:paraId="3FD8123E">
            <w:pPr>
              <w:pStyle w:val="41"/>
              <w:rPr>
                <w:color w:val="auto"/>
                <w:highlight w:val="none"/>
              </w:rPr>
            </w:pPr>
            <w:r>
              <w:rPr>
                <w:color w:val="auto"/>
                <w:highlight w:val="none"/>
              </w:rPr>
              <w:t>4</w:t>
            </w:r>
          </w:p>
        </w:tc>
        <w:tc>
          <w:tcPr>
            <w:tcW w:w="3338" w:type="dxa"/>
            <w:gridSpan w:val="2"/>
            <w:vMerge w:val="restart"/>
            <w:tcBorders>
              <w:tl2br w:val="nil"/>
              <w:tr2bl w:val="nil"/>
            </w:tcBorders>
            <w:vAlign w:val="center"/>
          </w:tcPr>
          <w:p w14:paraId="5F40BDF2">
            <w:pPr>
              <w:pStyle w:val="41"/>
              <w:rPr>
                <w:color w:val="auto"/>
                <w:highlight w:val="none"/>
              </w:rPr>
            </w:pPr>
            <w:r>
              <w:rPr>
                <w:color w:val="auto"/>
                <w:highlight w:val="none"/>
              </w:rPr>
              <w:t>回水管线</w:t>
            </w:r>
          </w:p>
        </w:tc>
        <w:tc>
          <w:tcPr>
            <w:tcW w:w="4874" w:type="dxa"/>
            <w:gridSpan w:val="10"/>
            <w:tcBorders>
              <w:tl2br w:val="nil"/>
              <w:tr2bl w:val="nil"/>
            </w:tcBorders>
            <w:vAlign w:val="center"/>
          </w:tcPr>
          <w:p w14:paraId="51C3DC8E">
            <w:pPr>
              <w:pStyle w:val="41"/>
              <w:rPr>
                <w:color w:val="auto"/>
                <w:highlight w:val="none"/>
              </w:rPr>
            </w:pPr>
            <w:r>
              <w:rPr>
                <w:color w:val="auto"/>
                <w:highlight w:val="none"/>
              </w:rPr>
              <w:t>HDPE管</w:t>
            </w:r>
          </w:p>
        </w:tc>
      </w:tr>
      <w:tr w14:paraId="39FF9F6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vMerge w:val="continue"/>
            <w:tcBorders>
              <w:tl2br w:val="nil"/>
              <w:tr2bl w:val="nil"/>
            </w:tcBorders>
            <w:vAlign w:val="center"/>
          </w:tcPr>
          <w:p w14:paraId="7B517597">
            <w:pPr>
              <w:pStyle w:val="41"/>
              <w:rPr>
                <w:color w:val="auto"/>
                <w:highlight w:val="none"/>
              </w:rPr>
            </w:pPr>
          </w:p>
        </w:tc>
        <w:tc>
          <w:tcPr>
            <w:tcW w:w="3338" w:type="dxa"/>
            <w:gridSpan w:val="2"/>
            <w:vMerge w:val="continue"/>
            <w:tcBorders>
              <w:tl2br w:val="nil"/>
              <w:tr2bl w:val="nil"/>
            </w:tcBorders>
            <w:vAlign w:val="center"/>
          </w:tcPr>
          <w:p w14:paraId="7F19105F">
            <w:pPr>
              <w:pStyle w:val="41"/>
              <w:rPr>
                <w:color w:val="auto"/>
                <w:highlight w:val="none"/>
              </w:rPr>
            </w:pPr>
          </w:p>
        </w:tc>
        <w:tc>
          <w:tcPr>
            <w:tcW w:w="4874" w:type="dxa"/>
            <w:gridSpan w:val="10"/>
            <w:tcBorders>
              <w:tl2br w:val="nil"/>
              <w:tr2bl w:val="nil"/>
            </w:tcBorders>
            <w:vAlign w:val="center"/>
          </w:tcPr>
          <w:p w14:paraId="7F9609B7">
            <w:pPr>
              <w:pStyle w:val="41"/>
              <w:rPr>
                <w:color w:val="auto"/>
                <w:highlight w:val="none"/>
              </w:rPr>
            </w:pPr>
            <w:r>
              <w:rPr>
                <w:color w:val="auto"/>
                <w:highlight w:val="none"/>
              </w:rPr>
              <w:t>DN175，长度200m</w:t>
            </w:r>
          </w:p>
        </w:tc>
      </w:tr>
      <w:tr w14:paraId="073C34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8890" w:type="dxa"/>
            <w:gridSpan w:val="13"/>
            <w:tcBorders>
              <w:tl2br w:val="nil"/>
              <w:tr2bl w:val="nil"/>
            </w:tcBorders>
            <w:vAlign w:val="center"/>
          </w:tcPr>
          <w:p w14:paraId="1E92F7E1">
            <w:pPr>
              <w:pStyle w:val="41"/>
              <w:rPr>
                <w:color w:val="auto"/>
                <w:highlight w:val="none"/>
              </w:rPr>
            </w:pPr>
            <w:r>
              <w:rPr>
                <w:color w:val="auto"/>
                <w:highlight w:val="none"/>
              </w:rPr>
              <w:t>六、占地面积</w:t>
            </w:r>
          </w:p>
        </w:tc>
      </w:tr>
      <w:tr w14:paraId="52B3AF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tcBorders>
              <w:tl2br w:val="nil"/>
              <w:tr2bl w:val="nil"/>
            </w:tcBorders>
            <w:vAlign w:val="center"/>
          </w:tcPr>
          <w:p w14:paraId="2BC3646F">
            <w:pPr>
              <w:pStyle w:val="41"/>
              <w:rPr>
                <w:color w:val="auto"/>
                <w:highlight w:val="none"/>
              </w:rPr>
            </w:pPr>
            <w:r>
              <w:rPr>
                <w:color w:val="auto"/>
                <w:highlight w:val="none"/>
              </w:rPr>
              <w:t>1</w:t>
            </w:r>
          </w:p>
        </w:tc>
        <w:tc>
          <w:tcPr>
            <w:tcW w:w="3338" w:type="dxa"/>
            <w:gridSpan w:val="2"/>
            <w:tcBorders>
              <w:tl2br w:val="nil"/>
              <w:tr2bl w:val="nil"/>
            </w:tcBorders>
            <w:vAlign w:val="center"/>
          </w:tcPr>
          <w:p w14:paraId="01F0D1BE">
            <w:pPr>
              <w:pStyle w:val="41"/>
              <w:rPr>
                <w:color w:val="auto"/>
                <w:highlight w:val="none"/>
              </w:rPr>
            </w:pPr>
            <w:r>
              <w:rPr>
                <w:color w:val="auto"/>
                <w:highlight w:val="none"/>
              </w:rPr>
              <w:t>总占地面积</w:t>
            </w:r>
          </w:p>
        </w:tc>
        <w:tc>
          <w:tcPr>
            <w:tcW w:w="4874" w:type="dxa"/>
            <w:gridSpan w:val="10"/>
            <w:tcBorders>
              <w:tl2br w:val="nil"/>
              <w:tr2bl w:val="nil"/>
            </w:tcBorders>
            <w:vAlign w:val="center"/>
          </w:tcPr>
          <w:p w14:paraId="0EAB0A38">
            <w:pPr>
              <w:pStyle w:val="41"/>
              <w:rPr>
                <w:color w:val="auto"/>
                <w:highlight w:val="none"/>
              </w:rPr>
            </w:pPr>
            <w:r>
              <w:rPr>
                <w:color w:val="auto"/>
                <w:highlight w:val="none"/>
              </w:rPr>
              <w:t>尾矿库区占地面积85.76hm</w:t>
            </w:r>
            <w:r>
              <w:rPr>
                <w:rFonts w:hint="eastAsia"/>
                <w:color w:val="auto"/>
                <w:highlight w:val="none"/>
                <w:vertAlign w:val="superscript"/>
              </w:rPr>
              <w:t>2</w:t>
            </w:r>
            <w:r>
              <w:rPr>
                <w:rFonts w:hint="eastAsia"/>
                <w:color w:val="auto"/>
                <w:highlight w:val="none"/>
              </w:rPr>
              <w:t>，</w:t>
            </w:r>
            <w:r>
              <w:rPr>
                <w:color w:val="auto"/>
                <w:highlight w:val="none"/>
              </w:rPr>
              <w:t>运输道路占地18.59hm</w:t>
            </w:r>
            <w:r>
              <w:rPr>
                <w:rFonts w:hint="eastAsia"/>
                <w:color w:val="auto"/>
                <w:highlight w:val="none"/>
                <w:vertAlign w:val="superscript"/>
              </w:rPr>
              <w:t>2</w:t>
            </w:r>
            <w:r>
              <w:rPr>
                <w:color w:val="auto"/>
                <w:highlight w:val="none"/>
              </w:rPr>
              <w:t>。</w:t>
            </w:r>
          </w:p>
        </w:tc>
      </w:tr>
      <w:tr w14:paraId="32934A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8890" w:type="dxa"/>
            <w:gridSpan w:val="13"/>
            <w:tcBorders>
              <w:tl2br w:val="nil"/>
              <w:tr2bl w:val="nil"/>
            </w:tcBorders>
            <w:vAlign w:val="center"/>
          </w:tcPr>
          <w:p w14:paraId="5262C7AE">
            <w:pPr>
              <w:pStyle w:val="41"/>
              <w:rPr>
                <w:color w:val="auto"/>
                <w:highlight w:val="none"/>
              </w:rPr>
            </w:pPr>
            <w:r>
              <w:rPr>
                <w:color w:val="auto"/>
                <w:highlight w:val="none"/>
              </w:rPr>
              <w:t>七、劳动定员</w:t>
            </w:r>
          </w:p>
        </w:tc>
      </w:tr>
      <w:tr w14:paraId="1CFC34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tcBorders>
              <w:tl2br w:val="nil"/>
              <w:tr2bl w:val="nil"/>
            </w:tcBorders>
            <w:vAlign w:val="center"/>
          </w:tcPr>
          <w:p w14:paraId="578BFD5B">
            <w:pPr>
              <w:pStyle w:val="41"/>
              <w:rPr>
                <w:color w:val="auto"/>
                <w:highlight w:val="none"/>
              </w:rPr>
            </w:pPr>
            <w:r>
              <w:rPr>
                <w:color w:val="auto"/>
                <w:highlight w:val="none"/>
              </w:rPr>
              <w:t>1</w:t>
            </w:r>
          </w:p>
        </w:tc>
        <w:tc>
          <w:tcPr>
            <w:tcW w:w="3338" w:type="dxa"/>
            <w:gridSpan w:val="2"/>
            <w:tcBorders>
              <w:tl2br w:val="nil"/>
              <w:tr2bl w:val="nil"/>
            </w:tcBorders>
            <w:vAlign w:val="center"/>
          </w:tcPr>
          <w:p w14:paraId="30836DD7">
            <w:pPr>
              <w:pStyle w:val="41"/>
              <w:rPr>
                <w:color w:val="auto"/>
                <w:highlight w:val="none"/>
              </w:rPr>
            </w:pPr>
            <w:r>
              <w:rPr>
                <w:color w:val="auto"/>
                <w:highlight w:val="none"/>
              </w:rPr>
              <w:t>尾矿库定员人数</w:t>
            </w:r>
          </w:p>
        </w:tc>
        <w:tc>
          <w:tcPr>
            <w:tcW w:w="4874" w:type="dxa"/>
            <w:gridSpan w:val="10"/>
            <w:tcBorders>
              <w:tl2br w:val="nil"/>
              <w:tr2bl w:val="nil"/>
            </w:tcBorders>
            <w:vAlign w:val="center"/>
          </w:tcPr>
          <w:p w14:paraId="3D19AC85">
            <w:pPr>
              <w:pStyle w:val="41"/>
              <w:rPr>
                <w:color w:val="auto"/>
                <w:highlight w:val="none"/>
              </w:rPr>
            </w:pPr>
            <w:r>
              <w:rPr>
                <w:color w:val="auto"/>
                <w:highlight w:val="none"/>
              </w:rPr>
              <w:t>20</w:t>
            </w:r>
          </w:p>
        </w:tc>
      </w:tr>
      <w:tr w14:paraId="17F3369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8890" w:type="dxa"/>
            <w:gridSpan w:val="13"/>
            <w:tcBorders>
              <w:tl2br w:val="nil"/>
              <w:tr2bl w:val="nil"/>
            </w:tcBorders>
            <w:vAlign w:val="center"/>
          </w:tcPr>
          <w:p w14:paraId="12851E97">
            <w:pPr>
              <w:pStyle w:val="41"/>
              <w:rPr>
                <w:color w:val="auto"/>
                <w:highlight w:val="none"/>
              </w:rPr>
            </w:pPr>
            <w:r>
              <w:rPr>
                <w:color w:val="auto"/>
                <w:highlight w:val="none"/>
              </w:rPr>
              <w:t>八、工程投资估算</w:t>
            </w:r>
          </w:p>
        </w:tc>
      </w:tr>
      <w:tr w14:paraId="2C1510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tcBorders>
              <w:tl2br w:val="nil"/>
              <w:tr2bl w:val="nil"/>
            </w:tcBorders>
            <w:vAlign w:val="center"/>
          </w:tcPr>
          <w:p w14:paraId="6881E704">
            <w:pPr>
              <w:pStyle w:val="41"/>
              <w:rPr>
                <w:color w:val="auto"/>
                <w:highlight w:val="none"/>
              </w:rPr>
            </w:pPr>
            <w:r>
              <w:rPr>
                <w:color w:val="auto"/>
                <w:highlight w:val="none"/>
              </w:rPr>
              <w:t>1</w:t>
            </w:r>
          </w:p>
        </w:tc>
        <w:tc>
          <w:tcPr>
            <w:tcW w:w="3338" w:type="dxa"/>
            <w:gridSpan w:val="2"/>
            <w:tcBorders>
              <w:tl2br w:val="nil"/>
              <w:tr2bl w:val="nil"/>
            </w:tcBorders>
            <w:vAlign w:val="center"/>
          </w:tcPr>
          <w:p w14:paraId="5A886C14">
            <w:pPr>
              <w:pStyle w:val="41"/>
              <w:rPr>
                <w:color w:val="auto"/>
                <w:highlight w:val="none"/>
              </w:rPr>
            </w:pPr>
            <w:r>
              <w:rPr>
                <w:color w:val="auto"/>
                <w:highlight w:val="none"/>
              </w:rPr>
              <w:t>工程总投资（万元）</w:t>
            </w:r>
          </w:p>
        </w:tc>
        <w:tc>
          <w:tcPr>
            <w:tcW w:w="4874" w:type="dxa"/>
            <w:gridSpan w:val="10"/>
            <w:tcBorders>
              <w:tl2br w:val="nil"/>
              <w:tr2bl w:val="nil"/>
            </w:tcBorders>
            <w:vAlign w:val="center"/>
          </w:tcPr>
          <w:p w14:paraId="3EA71D1F">
            <w:pPr>
              <w:pStyle w:val="41"/>
              <w:rPr>
                <w:color w:val="auto"/>
                <w:highlight w:val="none"/>
              </w:rPr>
            </w:pPr>
            <w:r>
              <w:rPr>
                <w:color w:val="auto"/>
                <w:highlight w:val="none"/>
              </w:rPr>
              <w:t>28273.08</w:t>
            </w:r>
          </w:p>
        </w:tc>
      </w:tr>
      <w:tr w14:paraId="07A249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tcBorders>
              <w:tl2br w:val="nil"/>
              <w:tr2bl w:val="nil"/>
            </w:tcBorders>
            <w:vAlign w:val="center"/>
          </w:tcPr>
          <w:p w14:paraId="3F2C5060">
            <w:pPr>
              <w:pStyle w:val="41"/>
              <w:rPr>
                <w:color w:val="auto"/>
                <w:highlight w:val="none"/>
              </w:rPr>
            </w:pPr>
            <w:r>
              <w:rPr>
                <w:color w:val="auto"/>
                <w:highlight w:val="none"/>
              </w:rPr>
              <w:t>2</w:t>
            </w:r>
          </w:p>
        </w:tc>
        <w:tc>
          <w:tcPr>
            <w:tcW w:w="3338" w:type="dxa"/>
            <w:gridSpan w:val="2"/>
            <w:tcBorders>
              <w:tl2br w:val="nil"/>
              <w:tr2bl w:val="nil"/>
            </w:tcBorders>
            <w:vAlign w:val="center"/>
          </w:tcPr>
          <w:p w14:paraId="221442D3">
            <w:pPr>
              <w:pStyle w:val="41"/>
              <w:rPr>
                <w:color w:val="auto"/>
                <w:highlight w:val="none"/>
              </w:rPr>
            </w:pPr>
            <w:r>
              <w:rPr>
                <w:color w:val="auto"/>
                <w:highlight w:val="none"/>
              </w:rPr>
              <w:t>工程总费用（万元）</w:t>
            </w:r>
          </w:p>
        </w:tc>
        <w:tc>
          <w:tcPr>
            <w:tcW w:w="4874" w:type="dxa"/>
            <w:gridSpan w:val="10"/>
            <w:tcBorders>
              <w:tl2br w:val="nil"/>
              <w:tr2bl w:val="nil"/>
            </w:tcBorders>
            <w:vAlign w:val="center"/>
          </w:tcPr>
          <w:p w14:paraId="7E546B38">
            <w:pPr>
              <w:pStyle w:val="41"/>
              <w:rPr>
                <w:color w:val="auto"/>
                <w:highlight w:val="none"/>
              </w:rPr>
            </w:pPr>
            <w:r>
              <w:rPr>
                <w:color w:val="auto"/>
                <w:highlight w:val="none"/>
              </w:rPr>
              <w:t>20587.90</w:t>
            </w:r>
          </w:p>
        </w:tc>
      </w:tr>
      <w:tr w14:paraId="39CF71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tcBorders>
              <w:tl2br w:val="nil"/>
              <w:tr2bl w:val="nil"/>
            </w:tcBorders>
            <w:vAlign w:val="center"/>
          </w:tcPr>
          <w:p w14:paraId="77FD587B">
            <w:pPr>
              <w:pStyle w:val="41"/>
              <w:rPr>
                <w:color w:val="auto"/>
                <w:highlight w:val="none"/>
              </w:rPr>
            </w:pPr>
            <w:r>
              <w:rPr>
                <w:color w:val="auto"/>
                <w:highlight w:val="none"/>
              </w:rPr>
              <w:t>3</w:t>
            </w:r>
          </w:p>
        </w:tc>
        <w:tc>
          <w:tcPr>
            <w:tcW w:w="3338" w:type="dxa"/>
            <w:gridSpan w:val="2"/>
            <w:tcBorders>
              <w:tl2br w:val="nil"/>
              <w:tr2bl w:val="nil"/>
            </w:tcBorders>
            <w:vAlign w:val="center"/>
          </w:tcPr>
          <w:p w14:paraId="4D386443">
            <w:pPr>
              <w:pStyle w:val="41"/>
              <w:rPr>
                <w:color w:val="auto"/>
                <w:highlight w:val="none"/>
              </w:rPr>
            </w:pPr>
            <w:r>
              <w:rPr>
                <w:color w:val="auto"/>
                <w:highlight w:val="none"/>
              </w:rPr>
              <w:t>工程其他总费用万元）</w:t>
            </w:r>
          </w:p>
        </w:tc>
        <w:tc>
          <w:tcPr>
            <w:tcW w:w="4874" w:type="dxa"/>
            <w:gridSpan w:val="10"/>
            <w:tcBorders>
              <w:tl2br w:val="nil"/>
              <w:tr2bl w:val="nil"/>
            </w:tcBorders>
            <w:vAlign w:val="center"/>
          </w:tcPr>
          <w:p w14:paraId="076B48AB">
            <w:pPr>
              <w:pStyle w:val="41"/>
              <w:rPr>
                <w:color w:val="auto"/>
                <w:highlight w:val="none"/>
              </w:rPr>
            </w:pPr>
            <w:r>
              <w:rPr>
                <w:color w:val="auto"/>
                <w:highlight w:val="none"/>
              </w:rPr>
              <w:t>4655.93</w:t>
            </w:r>
          </w:p>
        </w:tc>
      </w:tr>
      <w:tr w14:paraId="0E063F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tcBorders>
              <w:tl2br w:val="nil"/>
              <w:tr2bl w:val="nil"/>
            </w:tcBorders>
            <w:vAlign w:val="center"/>
          </w:tcPr>
          <w:p w14:paraId="66529EEF">
            <w:pPr>
              <w:pStyle w:val="41"/>
              <w:rPr>
                <w:color w:val="auto"/>
                <w:highlight w:val="none"/>
              </w:rPr>
            </w:pPr>
            <w:r>
              <w:rPr>
                <w:color w:val="auto"/>
                <w:highlight w:val="none"/>
              </w:rPr>
              <w:t>4</w:t>
            </w:r>
          </w:p>
        </w:tc>
        <w:tc>
          <w:tcPr>
            <w:tcW w:w="3338" w:type="dxa"/>
            <w:gridSpan w:val="2"/>
            <w:tcBorders>
              <w:tl2br w:val="nil"/>
              <w:tr2bl w:val="nil"/>
            </w:tcBorders>
            <w:vAlign w:val="center"/>
          </w:tcPr>
          <w:p w14:paraId="0AA8311C">
            <w:pPr>
              <w:pStyle w:val="41"/>
              <w:rPr>
                <w:color w:val="auto"/>
                <w:highlight w:val="none"/>
              </w:rPr>
            </w:pPr>
            <w:r>
              <w:rPr>
                <w:color w:val="auto"/>
                <w:highlight w:val="none"/>
              </w:rPr>
              <w:t>预备费（万元）</w:t>
            </w:r>
          </w:p>
        </w:tc>
        <w:tc>
          <w:tcPr>
            <w:tcW w:w="4874" w:type="dxa"/>
            <w:gridSpan w:val="10"/>
            <w:tcBorders>
              <w:tl2br w:val="nil"/>
              <w:tr2bl w:val="nil"/>
            </w:tcBorders>
            <w:vAlign w:val="center"/>
          </w:tcPr>
          <w:p w14:paraId="7170C36E">
            <w:pPr>
              <w:pStyle w:val="41"/>
              <w:rPr>
                <w:color w:val="auto"/>
                <w:highlight w:val="none"/>
              </w:rPr>
            </w:pPr>
            <w:r>
              <w:rPr>
                <w:color w:val="auto"/>
                <w:highlight w:val="none"/>
              </w:rPr>
              <w:t>3029.26</w:t>
            </w:r>
          </w:p>
        </w:tc>
      </w:tr>
      <w:tr w14:paraId="18CA6C2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tcBorders>
              <w:tl2br w:val="nil"/>
              <w:tr2bl w:val="nil"/>
            </w:tcBorders>
            <w:vAlign w:val="center"/>
          </w:tcPr>
          <w:p w14:paraId="20AC06DF">
            <w:pPr>
              <w:pStyle w:val="41"/>
              <w:rPr>
                <w:color w:val="auto"/>
                <w:highlight w:val="none"/>
              </w:rPr>
            </w:pPr>
            <w:r>
              <w:rPr>
                <w:color w:val="auto"/>
                <w:highlight w:val="none"/>
              </w:rPr>
              <w:t>5</w:t>
            </w:r>
          </w:p>
        </w:tc>
        <w:tc>
          <w:tcPr>
            <w:tcW w:w="3338" w:type="dxa"/>
            <w:gridSpan w:val="2"/>
            <w:tcBorders>
              <w:tl2br w:val="nil"/>
              <w:tr2bl w:val="nil"/>
            </w:tcBorders>
            <w:vAlign w:val="center"/>
          </w:tcPr>
          <w:p w14:paraId="02905602">
            <w:pPr>
              <w:pStyle w:val="41"/>
              <w:rPr>
                <w:color w:val="auto"/>
                <w:highlight w:val="none"/>
              </w:rPr>
            </w:pPr>
            <w:r>
              <w:rPr>
                <w:color w:val="auto"/>
                <w:highlight w:val="none"/>
              </w:rPr>
              <w:t>单位投资（元/m</w:t>
            </w:r>
            <w:r>
              <w:rPr>
                <w:rFonts w:hint="eastAsia"/>
                <w:color w:val="auto"/>
                <w:highlight w:val="none"/>
                <w:vertAlign w:val="superscript"/>
              </w:rPr>
              <w:t>3</w:t>
            </w:r>
            <w:r>
              <w:rPr>
                <w:rFonts w:hint="eastAsia"/>
                <w:color w:val="auto"/>
                <w:highlight w:val="none"/>
                <w:vertAlign w:val="superscript"/>
                <w:lang w:eastAsia="zh-CN"/>
              </w:rPr>
              <w:t>）</w:t>
            </w:r>
          </w:p>
        </w:tc>
        <w:tc>
          <w:tcPr>
            <w:tcW w:w="4874" w:type="dxa"/>
            <w:gridSpan w:val="10"/>
            <w:tcBorders>
              <w:tl2br w:val="nil"/>
              <w:tr2bl w:val="nil"/>
            </w:tcBorders>
            <w:vAlign w:val="center"/>
          </w:tcPr>
          <w:p w14:paraId="764038A8">
            <w:pPr>
              <w:pStyle w:val="41"/>
              <w:rPr>
                <w:color w:val="auto"/>
                <w:highlight w:val="none"/>
              </w:rPr>
            </w:pPr>
            <w:r>
              <w:rPr>
                <w:color w:val="auto"/>
                <w:highlight w:val="none"/>
              </w:rPr>
              <w:t>7.43</w:t>
            </w:r>
          </w:p>
        </w:tc>
      </w:tr>
      <w:tr w14:paraId="0A1CE2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678" w:type="dxa"/>
            <w:tcBorders>
              <w:tl2br w:val="nil"/>
              <w:tr2bl w:val="nil"/>
            </w:tcBorders>
            <w:vAlign w:val="center"/>
          </w:tcPr>
          <w:p w14:paraId="28A342DF">
            <w:pPr>
              <w:pStyle w:val="41"/>
              <w:rPr>
                <w:color w:val="auto"/>
                <w:highlight w:val="none"/>
              </w:rPr>
            </w:pPr>
            <w:r>
              <w:rPr>
                <w:color w:val="auto"/>
                <w:highlight w:val="none"/>
              </w:rPr>
              <w:t>6</w:t>
            </w:r>
          </w:p>
        </w:tc>
        <w:tc>
          <w:tcPr>
            <w:tcW w:w="3338" w:type="dxa"/>
            <w:gridSpan w:val="2"/>
            <w:tcBorders>
              <w:tl2br w:val="nil"/>
              <w:tr2bl w:val="nil"/>
            </w:tcBorders>
            <w:vAlign w:val="center"/>
          </w:tcPr>
          <w:p w14:paraId="1A493BC8">
            <w:pPr>
              <w:pStyle w:val="41"/>
              <w:rPr>
                <w:color w:val="auto"/>
                <w:highlight w:val="none"/>
              </w:rPr>
            </w:pPr>
            <w:r>
              <w:rPr>
                <w:color w:val="auto"/>
                <w:highlight w:val="none"/>
              </w:rPr>
              <w:t>工程单位投资（元/m</w:t>
            </w:r>
            <w:r>
              <w:rPr>
                <w:rFonts w:hint="eastAsia"/>
                <w:color w:val="auto"/>
                <w:highlight w:val="none"/>
                <w:vertAlign w:val="superscript"/>
              </w:rPr>
              <w:t>3</w:t>
            </w:r>
            <w:r>
              <w:rPr>
                <w:rFonts w:hint="eastAsia"/>
                <w:color w:val="auto"/>
                <w:highlight w:val="none"/>
                <w:vertAlign w:val="superscript"/>
                <w:lang w:eastAsia="zh-CN"/>
              </w:rPr>
              <w:t>）</w:t>
            </w:r>
          </w:p>
        </w:tc>
        <w:tc>
          <w:tcPr>
            <w:tcW w:w="4874" w:type="dxa"/>
            <w:gridSpan w:val="10"/>
            <w:tcBorders>
              <w:tl2br w:val="nil"/>
              <w:tr2bl w:val="nil"/>
            </w:tcBorders>
            <w:vAlign w:val="center"/>
          </w:tcPr>
          <w:p w14:paraId="0687282C">
            <w:pPr>
              <w:pStyle w:val="41"/>
              <w:rPr>
                <w:color w:val="auto"/>
                <w:highlight w:val="none"/>
              </w:rPr>
            </w:pPr>
            <w:r>
              <w:rPr>
                <w:color w:val="auto"/>
                <w:highlight w:val="none"/>
              </w:rPr>
              <w:t>5.42</w:t>
            </w:r>
          </w:p>
        </w:tc>
      </w:tr>
    </w:tbl>
    <w:p w14:paraId="112AED8C">
      <w:pPr>
        <w:pStyle w:val="39"/>
        <w:rPr>
          <w:rFonts w:hint="default"/>
          <w:color w:val="auto"/>
          <w:highlight w:val="none"/>
        </w:rPr>
      </w:pPr>
      <w:r>
        <w:rPr>
          <w:rFonts w:hint="default"/>
          <w:color w:val="auto"/>
          <w:highlight w:val="none"/>
        </w:rPr>
        <w:t xml:space="preserve"> </w:t>
      </w:r>
      <w:bookmarkStart w:id="261" w:name="_Toc5820"/>
      <w:bookmarkStart w:id="262" w:name="_Toc2654"/>
      <w:r>
        <w:rPr>
          <w:rFonts w:hint="default"/>
          <w:color w:val="auto"/>
          <w:highlight w:val="none"/>
        </w:rPr>
        <w:t>工程分析</w:t>
      </w:r>
      <w:bookmarkEnd w:id="261"/>
      <w:bookmarkEnd w:id="262"/>
    </w:p>
    <w:p w14:paraId="36E7D68C">
      <w:pPr>
        <w:pStyle w:val="42"/>
        <w:rPr>
          <w:rFonts w:hint="default"/>
          <w:color w:val="auto"/>
          <w:highlight w:val="none"/>
        </w:rPr>
      </w:pPr>
      <w:bookmarkStart w:id="263" w:name="_Toc5840"/>
      <w:bookmarkStart w:id="264" w:name="_Toc28755"/>
      <w:bookmarkStart w:id="265" w:name="_Toc528146389"/>
      <w:bookmarkStart w:id="266" w:name="_Toc1431"/>
      <w:r>
        <w:rPr>
          <w:color w:val="auto"/>
          <w:highlight w:val="none"/>
        </w:rPr>
        <w:t>选矿工程分析</w:t>
      </w:r>
    </w:p>
    <w:p w14:paraId="771E85A8">
      <w:pPr>
        <w:pStyle w:val="43"/>
        <w:rPr>
          <w:color w:val="auto"/>
          <w:highlight w:val="none"/>
        </w:rPr>
      </w:pPr>
      <w:r>
        <w:rPr>
          <w:rFonts w:hint="eastAsia"/>
          <w:color w:val="auto"/>
          <w:highlight w:val="none"/>
        </w:rPr>
        <w:t>原矿和产品的运输</w:t>
      </w:r>
    </w:p>
    <w:p w14:paraId="68FA8533">
      <w:pPr>
        <w:pStyle w:val="3"/>
        <w:ind w:firstLine="480"/>
        <w:rPr>
          <w:color w:val="auto"/>
          <w:highlight w:val="none"/>
        </w:rPr>
      </w:pPr>
      <w:r>
        <w:rPr>
          <w:rFonts w:hint="eastAsia"/>
          <w:color w:val="auto"/>
          <w:highlight w:val="none"/>
        </w:rPr>
        <w:t>原矿运输：一期生产线供矿矿山采场至选厂汽车运输原矿580万t/a。</w:t>
      </w:r>
    </w:p>
    <w:p w14:paraId="6DD4E970">
      <w:pPr>
        <w:pStyle w:val="3"/>
        <w:ind w:firstLine="480"/>
        <w:rPr>
          <w:color w:val="auto"/>
          <w:highlight w:val="none"/>
        </w:rPr>
      </w:pPr>
      <w:r>
        <w:rPr>
          <w:rFonts w:hint="eastAsia"/>
          <w:color w:val="auto"/>
          <w:highlight w:val="none"/>
        </w:rPr>
        <w:t>产品运输：本项目产品均采用汽车运输。一期生产线</w:t>
      </w:r>
      <w:r>
        <w:rPr>
          <w:color w:val="auto"/>
          <w:highlight w:val="none"/>
        </w:rPr>
        <w:t>铁精粉</w:t>
      </w:r>
      <w:r>
        <w:rPr>
          <w:rFonts w:hint="eastAsia"/>
          <w:color w:val="auto"/>
          <w:highlight w:val="none"/>
        </w:rPr>
        <w:t>（TFe品位56%，TiO</w:t>
      </w:r>
      <w:r>
        <w:rPr>
          <w:rFonts w:hint="eastAsia"/>
          <w:color w:val="auto"/>
          <w:highlight w:val="none"/>
          <w:vertAlign w:val="subscript"/>
        </w:rPr>
        <w:t>2</w:t>
      </w:r>
      <w:r>
        <w:rPr>
          <w:rFonts w:hint="eastAsia"/>
          <w:color w:val="auto"/>
          <w:highlight w:val="none"/>
        </w:rPr>
        <w:t>品位5.61%）年运输量30.14</w:t>
      </w:r>
      <w:r>
        <w:rPr>
          <w:color w:val="auto"/>
          <w:highlight w:val="none"/>
        </w:rPr>
        <w:t>万t</w:t>
      </w:r>
      <w:r>
        <w:rPr>
          <w:rFonts w:hint="eastAsia"/>
          <w:color w:val="auto"/>
          <w:highlight w:val="none"/>
        </w:rPr>
        <w:t>/a，钛精粉（TFe品位33.13%，TiO</w:t>
      </w:r>
      <w:r>
        <w:rPr>
          <w:rFonts w:hint="eastAsia"/>
          <w:color w:val="auto"/>
          <w:highlight w:val="none"/>
          <w:vertAlign w:val="subscript"/>
        </w:rPr>
        <w:t>2</w:t>
      </w:r>
      <w:r>
        <w:rPr>
          <w:rFonts w:hint="eastAsia"/>
          <w:color w:val="auto"/>
          <w:highlight w:val="none"/>
        </w:rPr>
        <w:t>品位46.50%）年运输量15.87</w:t>
      </w:r>
      <w:r>
        <w:rPr>
          <w:color w:val="auto"/>
          <w:highlight w:val="none"/>
        </w:rPr>
        <w:t>万</w:t>
      </w:r>
      <w:r>
        <w:rPr>
          <w:rFonts w:hint="eastAsia"/>
          <w:color w:val="auto"/>
          <w:highlight w:val="none"/>
        </w:rPr>
        <w:t>t/a。</w:t>
      </w:r>
    </w:p>
    <w:p w14:paraId="1C0C6DD1">
      <w:pPr>
        <w:pStyle w:val="3"/>
        <w:ind w:firstLine="480"/>
        <w:rPr>
          <w:color w:val="auto"/>
          <w:highlight w:val="none"/>
        </w:rPr>
      </w:pPr>
      <w:r>
        <w:rPr>
          <w:rFonts w:hint="eastAsia"/>
          <w:color w:val="auto"/>
          <w:highlight w:val="none"/>
        </w:rPr>
        <w:t>干抛废石运输：干抛废石采用汽车运输。一期生产线由干抛废石临时堆场至排土场运输量232万t/a。</w:t>
      </w:r>
    </w:p>
    <w:p w14:paraId="23DDB5C8">
      <w:pPr>
        <w:pStyle w:val="3"/>
        <w:ind w:firstLine="480"/>
        <w:rPr>
          <w:color w:val="auto"/>
          <w:highlight w:val="none"/>
        </w:rPr>
      </w:pPr>
      <w:r>
        <w:rPr>
          <w:rFonts w:hint="eastAsia"/>
          <w:color w:val="auto"/>
          <w:highlight w:val="none"/>
        </w:rPr>
        <w:t>干排尾矿运输：干排尾矿采</w:t>
      </w:r>
      <w:r>
        <w:rPr>
          <w:rFonts w:hint="eastAsia"/>
          <w:color w:val="auto"/>
          <w:highlight w:val="none"/>
          <w:lang w:eastAsia="zh-CN"/>
        </w:rPr>
        <w:t>前期利用现有道路采取</w:t>
      </w:r>
      <w:r>
        <w:rPr>
          <w:rFonts w:hint="eastAsia"/>
          <w:color w:val="auto"/>
          <w:highlight w:val="none"/>
        </w:rPr>
        <w:t>汽车运输</w:t>
      </w:r>
      <w:r>
        <w:rPr>
          <w:rFonts w:hint="eastAsia"/>
          <w:color w:val="auto"/>
          <w:highlight w:val="none"/>
          <w:lang w:eastAsia="zh-CN"/>
        </w:rPr>
        <w:t>，待后期皮带运输系统建设完成后采用皮带运输</w:t>
      </w:r>
      <w:r>
        <w:rPr>
          <w:rFonts w:hint="eastAsia"/>
          <w:color w:val="auto"/>
          <w:highlight w:val="none"/>
        </w:rPr>
        <w:t>。一期生产线由尾矿干排临时堆场至尾矿库运输量302万t/a。</w:t>
      </w:r>
    </w:p>
    <w:p w14:paraId="0B937EBE">
      <w:pPr>
        <w:pStyle w:val="43"/>
        <w:rPr>
          <w:color w:val="auto"/>
          <w:highlight w:val="none"/>
        </w:rPr>
      </w:pPr>
      <w:bookmarkStart w:id="267" w:name="_Toc10526"/>
      <w:bookmarkStart w:id="268" w:name="_Toc108109443"/>
      <w:r>
        <w:rPr>
          <w:rFonts w:hint="eastAsia"/>
          <w:color w:val="auto"/>
          <w:highlight w:val="none"/>
        </w:rPr>
        <w:t>设计工艺流程</w:t>
      </w:r>
      <w:bookmarkEnd w:id="267"/>
      <w:bookmarkEnd w:id="268"/>
    </w:p>
    <w:p w14:paraId="15288AE1">
      <w:pPr>
        <w:pStyle w:val="3"/>
        <w:ind w:firstLine="480"/>
        <w:rPr>
          <w:color w:val="auto"/>
          <w:highlight w:val="none"/>
        </w:rPr>
      </w:pPr>
      <w:r>
        <w:rPr>
          <w:rFonts w:hint="eastAsia"/>
          <w:color w:val="auto"/>
          <w:highlight w:val="none"/>
        </w:rPr>
        <w:t>本项目选矿工艺流程拟采用破碎筛分干抛+磨选过滤+重选+烘干精选+尾矿干排工艺。</w:t>
      </w:r>
    </w:p>
    <w:p w14:paraId="4F648CEA">
      <w:pPr>
        <w:pStyle w:val="3"/>
        <w:ind w:firstLine="480"/>
        <w:rPr>
          <w:color w:val="auto"/>
          <w:highlight w:val="none"/>
        </w:rPr>
      </w:pPr>
      <w:r>
        <w:rPr>
          <w:color w:val="auto"/>
          <w:highlight w:val="none"/>
        </w:rPr>
        <w:t>破碎筛分</w:t>
      </w:r>
      <w:r>
        <w:rPr>
          <w:rFonts w:hint="eastAsia"/>
          <w:color w:val="auto"/>
          <w:highlight w:val="none"/>
        </w:rPr>
        <w:t>干抛</w:t>
      </w:r>
      <w:r>
        <w:rPr>
          <w:color w:val="auto"/>
          <w:highlight w:val="none"/>
        </w:rPr>
        <w:t>系统采用</w:t>
      </w:r>
      <w:r>
        <w:rPr>
          <w:rFonts w:hint="eastAsia"/>
          <w:color w:val="auto"/>
          <w:highlight w:val="none"/>
        </w:rPr>
        <w:t>多次筛分+多段闭路破碎+干抛磁选流程；</w:t>
      </w:r>
      <w:r>
        <w:rPr>
          <w:color w:val="auto"/>
          <w:highlight w:val="none"/>
        </w:rPr>
        <w:t>磨选</w:t>
      </w:r>
      <w:r>
        <w:rPr>
          <w:rFonts w:hint="eastAsia"/>
          <w:color w:val="auto"/>
          <w:highlight w:val="none"/>
        </w:rPr>
        <w:t>过滤</w:t>
      </w:r>
      <w:r>
        <w:rPr>
          <w:color w:val="auto"/>
          <w:highlight w:val="none"/>
        </w:rPr>
        <w:t>系统采用了</w:t>
      </w:r>
      <w:r>
        <w:rPr>
          <w:rFonts w:hint="eastAsia"/>
          <w:color w:val="auto"/>
          <w:highlight w:val="none"/>
        </w:rPr>
        <w:t>两</w:t>
      </w:r>
      <w:r>
        <w:rPr>
          <w:color w:val="auto"/>
          <w:highlight w:val="none"/>
        </w:rPr>
        <w:t>段磨矿+</w:t>
      </w:r>
      <w:r>
        <w:rPr>
          <w:rFonts w:hint="eastAsia"/>
          <w:color w:val="auto"/>
          <w:highlight w:val="none"/>
        </w:rPr>
        <w:t>两</w:t>
      </w:r>
      <w:r>
        <w:rPr>
          <w:color w:val="auto"/>
          <w:highlight w:val="none"/>
        </w:rPr>
        <w:t>段磁选+</w:t>
      </w:r>
      <w:r>
        <w:rPr>
          <w:rFonts w:hint="eastAsia"/>
          <w:color w:val="auto"/>
          <w:highlight w:val="none"/>
        </w:rPr>
        <w:t>精矿过滤流程；重选系统采用了重选前浓缩+三次扫选+四次精选+过滤流程；烘干精选系统采用了烘干+冷却+磁选流程；尾矿干排系统采用了溢流水浓密+过滤，尾矿旋流+脱水流程分别处理尾矿和溢流水。</w:t>
      </w:r>
    </w:p>
    <w:p w14:paraId="5F7EC92B">
      <w:pPr>
        <w:pStyle w:val="3"/>
        <w:ind w:firstLine="480"/>
        <w:rPr>
          <w:color w:val="auto"/>
          <w:highlight w:val="none"/>
        </w:rPr>
      </w:pPr>
      <w:r>
        <w:rPr>
          <w:rFonts w:hint="eastAsia"/>
          <w:color w:val="auto"/>
          <w:highlight w:val="none"/>
        </w:rPr>
        <w:t>本项目设计选矿工艺流程图如下所示：</w:t>
      </w:r>
    </w:p>
    <w:p w14:paraId="1DF8607F">
      <w:pPr>
        <w:pStyle w:val="3"/>
        <w:ind w:firstLine="480"/>
        <w:rPr>
          <w:color w:val="auto"/>
          <w:highlight w:val="none"/>
        </w:rPr>
        <w:sectPr>
          <w:pgSz w:w="11906" w:h="16838"/>
          <w:pgMar w:top="1440" w:right="1800" w:bottom="1440" w:left="1800" w:header="1020" w:footer="1020" w:gutter="0"/>
          <w:pgBorders>
            <w:top w:val="none" w:sz="0" w:space="0"/>
            <w:left w:val="none" w:sz="0" w:space="0"/>
            <w:bottom w:val="none" w:sz="0" w:space="0"/>
            <w:right w:val="none" w:sz="0" w:space="0"/>
          </w:pgBorders>
          <w:cols w:space="720" w:num="1"/>
          <w:docGrid w:type="lines" w:linePitch="312" w:charSpace="0"/>
        </w:sectPr>
      </w:pPr>
    </w:p>
    <w:p w14:paraId="5C9AB4DD">
      <w:pPr>
        <w:pStyle w:val="3"/>
        <w:ind w:firstLine="480"/>
        <w:rPr>
          <w:color w:val="auto"/>
          <w:highlight w:val="none"/>
        </w:rPr>
      </w:pPr>
    </w:p>
    <w:p w14:paraId="36195C20">
      <w:pPr>
        <w:pStyle w:val="3"/>
        <w:spacing w:line="240" w:lineRule="atLeast"/>
        <w:ind w:firstLine="0" w:firstLineChars="0"/>
        <w:rPr>
          <w:color w:val="auto"/>
          <w:highlight w:val="none"/>
        </w:rPr>
      </w:pPr>
      <w:r>
        <w:rPr>
          <w:rFonts w:hint="eastAsia"/>
          <w:color w:val="auto"/>
          <w:highlight w:val="none"/>
        </w:rPr>
        <w:drawing>
          <wp:anchor distT="0" distB="0" distL="114300" distR="114300" simplePos="0" relativeHeight="251659264" behindDoc="0" locked="0" layoutInCell="1" allowOverlap="1">
            <wp:simplePos x="0" y="0"/>
            <wp:positionH relativeFrom="margin">
              <wp:posOffset>848995</wp:posOffset>
            </wp:positionH>
            <wp:positionV relativeFrom="paragraph">
              <wp:posOffset>15240</wp:posOffset>
            </wp:positionV>
            <wp:extent cx="7964170" cy="4173220"/>
            <wp:effectExtent l="9525" t="9525" r="27305" b="27305"/>
            <wp:wrapNone/>
            <wp:docPr id="27" name="图片 9" descr="选矿工艺流程图0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9" descr="选矿工艺流程图01_01"/>
                    <pic:cNvPicPr>
                      <a:picLocks noChangeAspect="1"/>
                    </pic:cNvPicPr>
                  </pic:nvPicPr>
                  <pic:blipFill>
                    <a:blip r:embed="rId26"/>
                    <a:srcRect l="6281" t="13373" r="4036" b="20183"/>
                    <a:stretch>
                      <a:fillRect/>
                    </a:stretch>
                  </pic:blipFill>
                  <pic:spPr>
                    <a:xfrm>
                      <a:off x="0" y="0"/>
                      <a:ext cx="7964170" cy="4173220"/>
                    </a:xfrm>
                    <a:prstGeom prst="rect">
                      <a:avLst/>
                    </a:prstGeom>
                    <a:noFill/>
                    <a:ln w="9525" cap="flat" cmpd="sng">
                      <a:solidFill>
                        <a:srgbClr val="000000"/>
                      </a:solidFill>
                      <a:prstDash val="solid"/>
                      <a:miter/>
                      <a:headEnd type="none" w="med" len="med"/>
                      <a:tailEnd type="none" w="med" len="med"/>
                    </a:ln>
                  </pic:spPr>
                </pic:pic>
              </a:graphicData>
            </a:graphic>
          </wp:anchor>
        </w:drawing>
      </w:r>
    </w:p>
    <w:p w14:paraId="05F0094D">
      <w:pPr>
        <w:pStyle w:val="3"/>
        <w:ind w:firstLine="480"/>
        <w:rPr>
          <w:color w:val="auto"/>
          <w:highlight w:val="none"/>
        </w:rPr>
      </w:pPr>
    </w:p>
    <w:p w14:paraId="64A181FF">
      <w:pPr>
        <w:pStyle w:val="3"/>
        <w:ind w:firstLine="480"/>
        <w:rPr>
          <w:color w:val="auto"/>
          <w:highlight w:val="none"/>
        </w:rPr>
      </w:pPr>
    </w:p>
    <w:p w14:paraId="2305083A">
      <w:pPr>
        <w:pStyle w:val="3"/>
        <w:ind w:firstLine="480"/>
        <w:rPr>
          <w:color w:val="auto"/>
          <w:highlight w:val="none"/>
        </w:rPr>
      </w:pPr>
    </w:p>
    <w:p w14:paraId="131964D3">
      <w:pPr>
        <w:pStyle w:val="3"/>
        <w:ind w:firstLine="480"/>
        <w:rPr>
          <w:color w:val="auto"/>
          <w:highlight w:val="none"/>
        </w:rPr>
      </w:pPr>
    </w:p>
    <w:p w14:paraId="503DBEA1">
      <w:pPr>
        <w:pStyle w:val="3"/>
        <w:ind w:firstLine="480"/>
        <w:rPr>
          <w:color w:val="auto"/>
          <w:highlight w:val="none"/>
        </w:rPr>
      </w:pPr>
    </w:p>
    <w:p w14:paraId="6BC7075E">
      <w:pPr>
        <w:pStyle w:val="3"/>
        <w:ind w:firstLine="480"/>
        <w:rPr>
          <w:color w:val="auto"/>
          <w:highlight w:val="none"/>
        </w:rPr>
      </w:pPr>
    </w:p>
    <w:p w14:paraId="4D729C08">
      <w:pPr>
        <w:pStyle w:val="3"/>
        <w:ind w:firstLine="480"/>
        <w:rPr>
          <w:color w:val="auto"/>
          <w:highlight w:val="none"/>
        </w:rPr>
      </w:pPr>
    </w:p>
    <w:p w14:paraId="40D8B48D">
      <w:pPr>
        <w:pStyle w:val="3"/>
        <w:ind w:firstLine="480"/>
        <w:rPr>
          <w:color w:val="auto"/>
          <w:highlight w:val="none"/>
        </w:rPr>
      </w:pPr>
    </w:p>
    <w:p w14:paraId="5493504D">
      <w:pPr>
        <w:pStyle w:val="3"/>
        <w:ind w:firstLine="480"/>
        <w:rPr>
          <w:color w:val="auto"/>
          <w:highlight w:val="none"/>
        </w:rPr>
      </w:pPr>
    </w:p>
    <w:p w14:paraId="327C73F6">
      <w:pPr>
        <w:pStyle w:val="3"/>
        <w:ind w:firstLine="480"/>
        <w:rPr>
          <w:color w:val="auto"/>
          <w:highlight w:val="none"/>
        </w:rPr>
      </w:pPr>
    </w:p>
    <w:p w14:paraId="6B7983F9">
      <w:pPr>
        <w:pStyle w:val="3"/>
        <w:ind w:firstLine="480"/>
        <w:rPr>
          <w:color w:val="auto"/>
          <w:highlight w:val="none"/>
        </w:rPr>
      </w:pPr>
    </w:p>
    <w:p w14:paraId="2FC8DEF8">
      <w:pPr>
        <w:pStyle w:val="3"/>
        <w:ind w:firstLine="480"/>
        <w:rPr>
          <w:color w:val="auto"/>
          <w:highlight w:val="none"/>
        </w:rPr>
      </w:pPr>
    </w:p>
    <w:p w14:paraId="481E9F25">
      <w:pPr>
        <w:pStyle w:val="3"/>
        <w:ind w:firstLine="480"/>
        <w:rPr>
          <w:color w:val="auto"/>
          <w:highlight w:val="none"/>
        </w:rPr>
      </w:pPr>
    </w:p>
    <w:p w14:paraId="59CC1A1E">
      <w:pPr>
        <w:pStyle w:val="40"/>
        <w:spacing w:before="31" w:after="31"/>
        <w:rPr>
          <w:color w:val="auto"/>
          <w:highlight w:val="none"/>
        </w:rPr>
      </w:pPr>
      <w:r>
        <w:rPr>
          <w:rFonts w:hint="eastAsia"/>
          <w:color w:val="auto"/>
          <w:highlight w:val="none"/>
        </w:rPr>
        <w:t>图3.3-1   一期580万t/a生产线选矿工艺流程图</w:t>
      </w:r>
    </w:p>
    <w:p w14:paraId="0612DC46">
      <w:pPr>
        <w:pStyle w:val="3"/>
        <w:ind w:firstLine="0" w:firstLineChars="0"/>
        <w:rPr>
          <w:color w:val="auto"/>
          <w:highlight w:val="none"/>
        </w:rPr>
        <w:sectPr>
          <w:pgSz w:w="16838" w:h="11906" w:orient="landscape"/>
          <w:pgMar w:top="1800" w:right="1440" w:bottom="1800" w:left="1440" w:header="1361" w:footer="1417" w:gutter="0"/>
          <w:pgBorders>
            <w:top w:val="none" w:sz="0" w:space="0"/>
            <w:left w:val="none" w:sz="0" w:space="0"/>
            <w:bottom w:val="none" w:sz="0" w:space="0"/>
            <w:right w:val="none" w:sz="0" w:space="0"/>
          </w:pgBorders>
          <w:cols w:space="720" w:num="1"/>
          <w:docGrid w:type="lines" w:linePitch="312" w:charSpace="0"/>
        </w:sectPr>
      </w:pPr>
    </w:p>
    <w:p w14:paraId="1C992812">
      <w:pPr>
        <w:pStyle w:val="3"/>
        <w:ind w:firstLine="480"/>
        <w:rPr>
          <w:color w:val="auto"/>
          <w:highlight w:val="none"/>
        </w:rPr>
      </w:pPr>
      <w:r>
        <w:rPr>
          <w:rFonts w:hint="eastAsia"/>
          <w:color w:val="auto"/>
          <w:highlight w:val="none"/>
        </w:rPr>
        <w:t>具体工艺流程详述如下：</w:t>
      </w:r>
    </w:p>
    <w:p w14:paraId="3AA30EAF">
      <w:pPr>
        <w:pStyle w:val="3"/>
        <w:ind w:firstLine="480"/>
        <w:rPr>
          <w:color w:val="auto"/>
          <w:highlight w:val="none"/>
        </w:rPr>
      </w:pPr>
      <w:r>
        <w:rPr>
          <w:rFonts w:hint="eastAsia"/>
          <w:color w:val="auto"/>
          <w:highlight w:val="none"/>
        </w:rPr>
        <w:t>①破碎筛分干抛系统</w:t>
      </w:r>
    </w:p>
    <w:p w14:paraId="1C7728BE">
      <w:pPr>
        <w:pStyle w:val="3"/>
        <w:ind w:firstLine="480"/>
        <w:rPr>
          <w:color w:val="auto"/>
          <w:highlight w:val="none"/>
        </w:rPr>
      </w:pPr>
      <w:r>
        <w:rPr>
          <w:rFonts w:hint="eastAsia"/>
          <w:color w:val="auto"/>
          <w:highlight w:val="none"/>
        </w:rPr>
        <w:t>储存在原矿堆场的-1000mm原矿由进料口经链板给料机送入滚轴筛进行初次筛分，筛下物料（-150mm）由胶带输送机送入1号振动筛分车间，筛上物料（+150mm）由装载机送入粗/中碎车间经颚式破碎机粗碎后由胶带输送机送入2号振动筛分车间。</w:t>
      </w:r>
    </w:p>
    <w:p w14:paraId="2262BA59">
      <w:pPr>
        <w:pStyle w:val="3"/>
        <w:ind w:firstLine="480"/>
        <w:rPr>
          <w:color w:val="auto"/>
          <w:highlight w:val="none"/>
        </w:rPr>
      </w:pPr>
      <w:r>
        <w:rPr>
          <w:rFonts w:hint="eastAsia"/>
          <w:color w:val="auto"/>
          <w:highlight w:val="none"/>
        </w:rPr>
        <w:t>1号振动筛分车间将-150mm物料筛分为三层，筛上物料（+60mm）由胶带输送机送入中碎缓冲料仓后经胶带输送机送去粗/中碎车间由圆锥破碎机中碎处理；中层物料（8</w:t>
      </w:r>
      <w:r>
        <w:rPr>
          <w:rFonts w:hint="eastAsia"/>
          <w:color w:val="auto"/>
          <w:highlight w:val="none"/>
          <w:lang w:eastAsia="zh-CN"/>
        </w:rPr>
        <w:t>—</w:t>
      </w:r>
      <w:r>
        <w:rPr>
          <w:rFonts w:hint="eastAsia"/>
          <w:color w:val="auto"/>
          <w:highlight w:val="none"/>
        </w:rPr>
        <w:t>60mm）由胶带输送机送入细碎缓冲料仓后经胶带输送机送入细碎车间由锤式破碎机细碎处理后送入3号筛分车间；筛下物料（-8mm）由胶带输送机送入去干抛磁选车间。</w:t>
      </w:r>
    </w:p>
    <w:p w14:paraId="40939A16">
      <w:pPr>
        <w:pStyle w:val="3"/>
        <w:ind w:firstLine="480"/>
        <w:rPr>
          <w:color w:val="auto"/>
          <w:highlight w:val="none"/>
        </w:rPr>
      </w:pPr>
      <w:r>
        <w:rPr>
          <w:rFonts w:hint="eastAsia"/>
          <w:color w:val="auto"/>
          <w:highlight w:val="none"/>
        </w:rPr>
        <w:t>2号振动筛分车间将矿石筛分为两层，筛上物料（+60mm）由胶带输送机送入中碎缓冲料仓后经胶带输送机送去粗/中碎车间由圆锥破碎机中碎处理，中碎后由胶带输送机返回2号振动筛分车间形成闭路；筛下物料（8</w:t>
      </w:r>
      <w:r>
        <w:rPr>
          <w:rFonts w:hint="eastAsia"/>
          <w:color w:val="auto"/>
          <w:highlight w:val="none"/>
          <w:lang w:eastAsia="zh-CN"/>
        </w:rPr>
        <w:t>—</w:t>
      </w:r>
      <w:r>
        <w:rPr>
          <w:rFonts w:hint="eastAsia"/>
          <w:color w:val="auto"/>
          <w:highlight w:val="none"/>
        </w:rPr>
        <w:t>60mm）由胶带输送机送入细碎缓冲料仓后经胶带输送机送入细碎车间由锤式破碎机细碎处理后送入3号筛分车间。</w:t>
      </w:r>
    </w:p>
    <w:p w14:paraId="798B08D8">
      <w:pPr>
        <w:pStyle w:val="3"/>
        <w:ind w:firstLine="480"/>
        <w:rPr>
          <w:color w:val="auto"/>
          <w:highlight w:val="none"/>
        </w:rPr>
      </w:pPr>
      <w:r>
        <w:rPr>
          <w:rFonts w:hint="eastAsia"/>
          <w:color w:val="auto"/>
          <w:highlight w:val="none"/>
        </w:rPr>
        <w:t>3号振动筛分车间将矿石筛分为两层，筛上物料（+8mm）由胶带输送机与2号振动筛分车间筛下物料合并送入细缓冲料仓后经胶带输送机送去细碎车间由锤式破碎机细碎处理后返回3号振动筛分车间形成闭路；筛下物料（-8mm）由胶带输送机送入去干抛磁选车间。</w:t>
      </w:r>
    </w:p>
    <w:p w14:paraId="65DF31EA">
      <w:pPr>
        <w:pStyle w:val="3"/>
        <w:ind w:firstLine="480"/>
        <w:rPr>
          <w:color w:val="auto"/>
          <w:highlight w:val="none"/>
        </w:rPr>
      </w:pPr>
      <w:r>
        <w:rPr>
          <w:rFonts w:hint="eastAsia"/>
          <w:color w:val="auto"/>
          <w:highlight w:val="none"/>
        </w:rPr>
        <w:t>干抛磁选车间将-8mm矿石进行磁选抛尾，下层干抛磁选精矿经胶带输送机送入粉矿库；上层干抛磁选尾矿经胶带输送机送入干抛废石临时堆场暂存后经矿用卡车拉运采矿排土场。</w:t>
      </w:r>
    </w:p>
    <w:p w14:paraId="3E8ACA21">
      <w:pPr>
        <w:pStyle w:val="3"/>
        <w:ind w:firstLine="480"/>
        <w:rPr>
          <w:color w:val="auto"/>
          <w:highlight w:val="none"/>
        </w:rPr>
      </w:pPr>
      <w:r>
        <w:rPr>
          <w:rFonts w:hint="eastAsia"/>
          <w:color w:val="auto"/>
          <w:highlight w:val="none"/>
        </w:rPr>
        <w:t>②磨选过滤系统</w:t>
      </w:r>
    </w:p>
    <w:p w14:paraId="6D7931F2">
      <w:pPr>
        <w:pStyle w:val="3"/>
        <w:ind w:firstLine="480"/>
        <w:rPr>
          <w:color w:val="auto"/>
          <w:highlight w:val="none"/>
        </w:rPr>
      </w:pPr>
      <w:r>
        <w:rPr>
          <w:rFonts w:hint="eastAsia"/>
          <w:color w:val="auto"/>
          <w:highlight w:val="none"/>
        </w:rPr>
        <w:t>堆存于粉矿库的-8mm干抛磁选精矿由胶带输送机送入磨矿前直线筛进行筛分，少量筛上物料（+8mm）返回破碎筛分系统；筛下物料送入一段磨矿分级。</w:t>
      </w:r>
    </w:p>
    <w:p w14:paraId="5D7E0893">
      <w:pPr>
        <w:pStyle w:val="3"/>
        <w:ind w:firstLine="480"/>
        <w:rPr>
          <w:color w:val="auto"/>
          <w:highlight w:val="none"/>
        </w:rPr>
      </w:pPr>
      <w:r>
        <w:rPr>
          <w:rFonts w:hint="eastAsia"/>
          <w:color w:val="auto"/>
          <w:highlight w:val="none"/>
        </w:rPr>
        <w:t>矿石经一段磨矿后送入旋流器组分级，旋流器底流返回一段磨矿机形成闭路循环，旋流器溢流产品粒度为-0.074mm占40%送入一段粗磁选，一段粗磁选尾矿送入重选，一段粗磁选中矿送入叠筛筛分。</w:t>
      </w:r>
    </w:p>
    <w:p w14:paraId="471BCC63">
      <w:pPr>
        <w:pStyle w:val="3"/>
        <w:ind w:firstLine="480"/>
        <w:rPr>
          <w:color w:val="auto"/>
          <w:highlight w:val="none"/>
        </w:rPr>
      </w:pPr>
      <w:r>
        <w:rPr>
          <w:rFonts w:hint="eastAsia"/>
          <w:color w:val="auto"/>
          <w:highlight w:val="none"/>
        </w:rPr>
        <w:t>叠筛筛上物料送入二段磨矿分级，矿石经二段磨矿后送入旋流器分级，旋流器底流返回二段磨矿机形成闭路循环，旋流器溢流产品粒度为-0.074mm占55%送入二段粗磁选；二段粗磁选中矿返回叠筛筛分，二段粗磁选尾矿送入重选。</w:t>
      </w:r>
    </w:p>
    <w:p w14:paraId="107CDBC4">
      <w:pPr>
        <w:pStyle w:val="3"/>
        <w:ind w:firstLine="480"/>
        <w:rPr>
          <w:color w:val="auto"/>
          <w:highlight w:val="none"/>
        </w:rPr>
      </w:pPr>
      <w:r>
        <w:rPr>
          <w:rFonts w:hint="eastAsia"/>
          <w:color w:val="auto"/>
          <w:highlight w:val="none"/>
        </w:rPr>
        <w:t>叠筛筛下物料送入一段精磁选，一段精磁选尾矿送入重选，一段精磁选中矿送入二段精磁选，二段精磁选尾矿送入重选，二段精磁选精矿经圆盘过滤机过滤后得到铁精粉产品，过滤水送入循环水池。</w:t>
      </w:r>
    </w:p>
    <w:p w14:paraId="2107B3F7">
      <w:pPr>
        <w:pStyle w:val="3"/>
        <w:ind w:firstLine="480"/>
        <w:rPr>
          <w:color w:val="auto"/>
          <w:highlight w:val="none"/>
        </w:rPr>
      </w:pPr>
      <w:r>
        <w:rPr>
          <w:rFonts w:hint="eastAsia"/>
          <w:color w:val="auto"/>
          <w:highlight w:val="none"/>
        </w:rPr>
        <w:t>本条生产线在二段磁精选后增加一台塔磨设备，该设备可将磁选精矿的磨矿细度提升至-0.074mm占80%，若有细粒度精矿产品需求，则可启用该设备增加一段磨矿流程，以适应不同粒度的铁精粉市场需求。</w:t>
      </w:r>
    </w:p>
    <w:p w14:paraId="3F8FC254">
      <w:pPr>
        <w:pStyle w:val="3"/>
        <w:ind w:firstLine="480"/>
        <w:rPr>
          <w:color w:val="auto"/>
          <w:highlight w:val="none"/>
        </w:rPr>
      </w:pPr>
      <w:r>
        <w:rPr>
          <w:rFonts w:hint="eastAsia"/>
          <w:color w:val="auto"/>
          <w:highlight w:val="none"/>
        </w:rPr>
        <w:t>③重选系统</w:t>
      </w:r>
    </w:p>
    <w:p w14:paraId="091EE1D1">
      <w:pPr>
        <w:pStyle w:val="3"/>
        <w:ind w:firstLine="480"/>
        <w:rPr>
          <w:color w:val="auto"/>
          <w:highlight w:val="none"/>
        </w:rPr>
      </w:pPr>
      <w:r>
        <w:rPr>
          <w:rFonts w:hint="eastAsia"/>
          <w:color w:val="auto"/>
          <w:highlight w:val="none"/>
        </w:rPr>
        <w:t>磁选尾矿浆浓度约</w:t>
      </w:r>
      <w:r>
        <w:rPr>
          <w:rFonts w:hint="eastAsia"/>
          <w:color w:val="auto"/>
          <w:highlight w:val="none"/>
          <w:lang w:eastAsia="zh-CN"/>
        </w:rPr>
        <w:t>30%—35%</w:t>
      </w:r>
      <w:r>
        <w:rPr>
          <w:rFonts w:hint="eastAsia"/>
          <w:color w:val="auto"/>
          <w:highlight w:val="none"/>
        </w:rPr>
        <w:t>左右，首先送入重选浓密前旋流器分级，旋流器溢流返回一段粗磁选，旋流器底流送入重选前一级斜板浓密机，一级斜板浓密机溢流送入二级斜板浓密机；一级斜板浓密机底流送入螺旋溜槽重选，重选矿浆浓度约</w:t>
      </w:r>
      <w:r>
        <w:rPr>
          <w:rFonts w:hint="eastAsia"/>
          <w:color w:val="auto"/>
          <w:highlight w:val="none"/>
          <w:lang w:eastAsia="zh-CN"/>
        </w:rPr>
        <w:t>20%—25%</w:t>
      </w:r>
      <w:r>
        <w:rPr>
          <w:rFonts w:hint="eastAsia"/>
          <w:color w:val="auto"/>
          <w:highlight w:val="none"/>
        </w:rPr>
        <w:t>，首先进行粗选，粗选精矿进行四次精选，精选中矿顺序返回，精选精矿经圆盘过滤机过滤后得到湿钛中矿含水量约15%，送入烘干精选系统；螺旋溜槽粗选中矿送入螺旋溜槽扫选流程，经过三次扫选后扫选中矿返回螺旋精选，扫选尾矿矿浆浓度约</w:t>
      </w:r>
      <w:r>
        <w:rPr>
          <w:rFonts w:hint="eastAsia"/>
          <w:color w:val="auto"/>
          <w:highlight w:val="none"/>
          <w:lang w:eastAsia="zh-CN"/>
        </w:rPr>
        <w:t>20%—25%</w:t>
      </w:r>
      <w:r>
        <w:rPr>
          <w:rFonts w:hint="eastAsia"/>
          <w:color w:val="auto"/>
          <w:highlight w:val="none"/>
        </w:rPr>
        <w:t>送入尾矿干排系统。</w:t>
      </w:r>
    </w:p>
    <w:p w14:paraId="00C9C57A">
      <w:pPr>
        <w:pStyle w:val="3"/>
        <w:ind w:firstLine="480"/>
        <w:rPr>
          <w:color w:val="auto"/>
          <w:highlight w:val="none"/>
        </w:rPr>
      </w:pPr>
      <w:r>
        <w:rPr>
          <w:rFonts w:hint="eastAsia"/>
          <w:color w:val="auto"/>
          <w:highlight w:val="none"/>
        </w:rPr>
        <w:t>④烘干精选系统</w:t>
      </w:r>
    </w:p>
    <w:p w14:paraId="57A995C9">
      <w:pPr>
        <w:pStyle w:val="3"/>
        <w:ind w:firstLine="480"/>
        <w:rPr>
          <w:color w:val="auto"/>
          <w:highlight w:val="none"/>
        </w:rPr>
      </w:pPr>
      <w:r>
        <w:rPr>
          <w:rFonts w:hint="eastAsia"/>
          <w:color w:val="auto"/>
          <w:highlight w:val="none"/>
        </w:rPr>
        <w:t>重选精矿经过滤后首先送入烘干滚筒，在700</w:t>
      </w:r>
      <w:r>
        <w:rPr>
          <w:color w:val="auto"/>
          <w:highlight w:val="none"/>
        </w:rPr>
        <w:t>℃</w:t>
      </w:r>
      <w:r>
        <w:rPr>
          <w:rFonts w:hint="eastAsia"/>
          <w:color w:val="auto"/>
          <w:highlight w:val="none"/>
        </w:rPr>
        <w:t>的温度下对湿钛中矿进行烘干操作，烘干后的干钛中矿送入冷却滚筒在冷却循环水的作用下冷却至50</w:t>
      </w:r>
      <w:r>
        <w:rPr>
          <w:color w:val="auto"/>
          <w:highlight w:val="none"/>
        </w:rPr>
        <w:t>℃</w:t>
      </w:r>
      <w:r>
        <w:rPr>
          <w:rFonts w:hint="eastAsia"/>
          <w:color w:val="auto"/>
          <w:highlight w:val="none"/>
        </w:rPr>
        <w:t>，冷却后的干钛中矿送入磁选机进行精选，磁选后尾矿返回磁选流程，磁选精矿即为钛精矿产品送入钛精矿库堆存。</w:t>
      </w:r>
    </w:p>
    <w:p w14:paraId="1FE43044">
      <w:pPr>
        <w:pStyle w:val="3"/>
        <w:ind w:firstLine="480"/>
        <w:rPr>
          <w:color w:val="auto"/>
          <w:highlight w:val="none"/>
        </w:rPr>
      </w:pPr>
      <w:r>
        <w:rPr>
          <w:rFonts w:hint="eastAsia"/>
          <w:color w:val="auto"/>
          <w:highlight w:val="none"/>
        </w:rPr>
        <w:t>⑤尾矿干排系统</w:t>
      </w:r>
    </w:p>
    <w:p w14:paraId="101C6364">
      <w:pPr>
        <w:pStyle w:val="3"/>
        <w:ind w:firstLine="480"/>
        <w:rPr>
          <w:color w:val="auto"/>
          <w:highlight w:val="none"/>
        </w:rPr>
      </w:pPr>
      <w:r>
        <w:rPr>
          <w:rFonts w:hint="eastAsia"/>
          <w:color w:val="auto"/>
          <w:highlight w:val="none"/>
        </w:rPr>
        <w:t>重选车间的扫选尾矿首先送入旋流器分级，旋流器底流矿浆浓度约60%进入脱水筛进行尾矿脱水流程，尾矿经脱水筛脱水后筛下物料含水量18%，干排尾矿采</w:t>
      </w:r>
      <w:r>
        <w:rPr>
          <w:rFonts w:hint="eastAsia"/>
          <w:color w:val="auto"/>
          <w:highlight w:val="none"/>
          <w:lang w:eastAsia="zh-CN"/>
        </w:rPr>
        <w:t>前期利用现有道路采取</w:t>
      </w:r>
      <w:r>
        <w:rPr>
          <w:rFonts w:hint="eastAsia"/>
          <w:color w:val="auto"/>
          <w:highlight w:val="none"/>
        </w:rPr>
        <w:t>汽车运输</w:t>
      </w:r>
      <w:r>
        <w:rPr>
          <w:rFonts w:hint="eastAsia"/>
          <w:color w:val="auto"/>
          <w:highlight w:val="none"/>
          <w:lang w:eastAsia="zh-CN"/>
        </w:rPr>
        <w:t>，待后期皮带运输系统建设完成后采用皮带运输</w:t>
      </w:r>
      <w:r>
        <w:rPr>
          <w:rFonts w:hint="eastAsia"/>
          <w:color w:val="auto"/>
          <w:highlight w:val="none"/>
        </w:rPr>
        <w:t>，筛上物料返回旋流器分级。</w:t>
      </w:r>
    </w:p>
    <w:p w14:paraId="2C1DC022">
      <w:pPr>
        <w:pStyle w:val="3"/>
        <w:ind w:firstLine="480"/>
        <w:rPr>
          <w:color w:val="auto"/>
          <w:highlight w:val="none"/>
        </w:rPr>
      </w:pPr>
      <w:r>
        <w:rPr>
          <w:rFonts w:hint="eastAsia"/>
          <w:color w:val="auto"/>
          <w:highlight w:val="none"/>
        </w:rPr>
        <w:t>一级斜板浓密机溢流和扫选尾矿旋流器溢流水送入二级斜板浓密机进行浓密，溢流水送入循环水池，底流送入耙式浓密机浓密，耙式浓密机溢流水送入循环水池，底流进行过滤，过滤水返回二级斜板浓密机，过滤后的泥块与干排尾矿一同送入干排尾矿库堆存。</w:t>
      </w:r>
    </w:p>
    <w:p w14:paraId="0C6092CD">
      <w:pPr>
        <w:pStyle w:val="43"/>
        <w:rPr>
          <w:color w:val="auto"/>
          <w:highlight w:val="none"/>
        </w:rPr>
      </w:pPr>
      <w:r>
        <w:rPr>
          <w:rFonts w:hint="eastAsia"/>
          <w:color w:val="auto"/>
          <w:highlight w:val="none"/>
        </w:rPr>
        <w:t>设计选矿工艺指标</w:t>
      </w:r>
    </w:p>
    <w:p w14:paraId="6FEC69A8">
      <w:pPr>
        <w:pStyle w:val="3"/>
        <w:ind w:firstLine="480"/>
        <w:rPr>
          <w:color w:val="auto"/>
          <w:highlight w:val="none"/>
        </w:rPr>
      </w:pPr>
      <w:r>
        <w:rPr>
          <w:rFonts w:hint="eastAsia"/>
          <w:color w:val="auto"/>
          <w:highlight w:val="none"/>
        </w:rPr>
        <w:t>本项目</w:t>
      </w:r>
      <w:r>
        <w:rPr>
          <w:color w:val="auto"/>
          <w:highlight w:val="none"/>
        </w:rPr>
        <w:t>设计</w:t>
      </w:r>
      <w:r>
        <w:rPr>
          <w:rFonts w:hint="eastAsia"/>
          <w:color w:val="auto"/>
          <w:highlight w:val="none"/>
        </w:rPr>
        <w:t>选矿生产工艺</w:t>
      </w:r>
      <w:r>
        <w:rPr>
          <w:color w:val="auto"/>
          <w:highlight w:val="none"/>
        </w:rPr>
        <w:t>指标</w:t>
      </w:r>
      <w:r>
        <w:rPr>
          <w:rFonts w:hint="eastAsia"/>
          <w:color w:val="auto"/>
          <w:highlight w:val="none"/>
        </w:rPr>
        <w:t>及技术指标</w:t>
      </w:r>
      <w:r>
        <w:rPr>
          <w:color w:val="auto"/>
          <w:highlight w:val="none"/>
        </w:rPr>
        <w:t>见</w:t>
      </w:r>
      <w:r>
        <w:rPr>
          <w:rFonts w:hint="eastAsia"/>
          <w:color w:val="auto"/>
          <w:highlight w:val="none"/>
        </w:rPr>
        <w:t>下</w:t>
      </w:r>
      <w:r>
        <w:rPr>
          <w:color w:val="auto"/>
          <w:highlight w:val="none"/>
        </w:rPr>
        <w:t>表</w:t>
      </w:r>
      <w:r>
        <w:rPr>
          <w:rFonts w:hint="eastAsia"/>
          <w:color w:val="auto"/>
          <w:highlight w:val="none"/>
        </w:rPr>
        <w:t>：</w:t>
      </w:r>
    </w:p>
    <w:p w14:paraId="5B9E5228">
      <w:pPr>
        <w:pStyle w:val="40"/>
        <w:spacing w:before="24" w:after="24"/>
        <w:rPr>
          <w:color w:val="auto"/>
          <w:highlight w:val="none"/>
        </w:rPr>
      </w:pPr>
      <w:r>
        <w:rPr>
          <w:color w:val="auto"/>
          <w:highlight w:val="none"/>
        </w:rPr>
        <w:t>表</w:t>
      </w:r>
      <w:r>
        <w:rPr>
          <w:rFonts w:hint="eastAsia"/>
          <w:color w:val="auto"/>
          <w:highlight w:val="none"/>
        </w:rPr>
        <w:t>3.3</w:t>
      </w:r>
      <w:r>
        <w:rPr>
          <w:color w:val="auto"/>
          <w:highlight w:val="none"/>
        </w:rPr>
        <w:t>-1</w:t>
      </w:r>
      <w:r>
        <w:rPr>
          <w:rFonts w:hint="eastAsia"/>
          <w:color w:val="auto"/>
          <w:highlight w:val="none"/>
        </w:rPr>
        <w:t xml:space="preserve">    </w:t>
      </w:r>
      <w:r>
        <w:rPr>
          <w:color w:val="auto"/>
          <w:highlight w:val="none"/>
        </w:rPr>
        <w:t xml:space="preserve"> </w:t>
      </w:r>
      <w:r>
        <w:rPr>
          <w:rFonts w:hint="eastAsia"/>
          <w:color w:val="auto"/>
          <w:highlight w:val="none"/>
        </w:rPr>
        <w:t>选矿工艺</w:t>
      </w:r>
      <w:r>
        <w:rPr>
          <w:color w:val="auto"/>
          <w:highlight w:val="none"/>
        </w:rPr>
        <w:t>指标</w:t>
      </w:r>
      <w:r>
        <w:rPr>
          <w:rFonts w:hint="eastAsia"/>
          <w:color w:val="auto"/>
          <w:highlight w:val="none"/>
        </w:rPr>
        <w:t>表（一期）</w:t>
      </w:r>
    </w:p>
    <w:tbl>
      <w:tblPr>
        <w:tblStyle w:val="25"/>
        <w:tblW w:w="4998" w:type="pct"/>
        <w:jc w:val="center"/>
        <w:tblLayout w:type="autofit"/>
        <w:tblCellMar>
          <w:top w:w="0" w:type="dxa"/>
          <w:left w:w="108" w:type="dxa"/>
          <w:bottom w:w="0" w:type="dxa"/>
          <w:right w:w="108" w:type="dxa"/>
        </w:tblCellMar>
      </w:tblPr>
      <w:tblGrid>
        <w:gridCol w:w="1451"/>
        <w:gridCol w:w="1752"/>
        <w:gridCol w:w="950"/>
        <w:gridCol w:w="950"/>
        <w:gridCol w:w="1095"/>
        <w:gridCol w:w="1095"/>
        <w:gridCol w:w="1214"/>
      </w:tblGrid>
      <w:tr w14:paraId="5FFD95C3">
        <w:tblPrEx>
          <w:tblCellMar>
            <w:top w:w="0" w:type="dxa"/>
            <w:left w:w="108" w:type="dxa"/>
            <w:bottom w:w="0" w:type="dxa"/>
            <w:right w:w="108" w:type="dxa"/>
          </w:tblCellMar>
        </w:tblPrEx>
        <w:trPr>
          <w:tblHeader/>
          <w:jc w:val="center"/>
        </w:trPr>
        <w:tc>
          <w:tcPr>
            <w:tcW w:w="0" w:type="auto"/>
            <w:vMerge w:val="restart"/>
            <w:tcBorders>
              <w:top w:val="single" w:color="000000" w:sz="12" w:space="0"/>
              <w:left w:val="single" w:color="000000" w:sz="12" w:space="0"/>
              <w:bottom w:val="single" w:color="000000" w:sz="4" w:space="0"/>
              <w:right w:val="single" w:color="000000" w:sz="4" w:space="0"/>
            </w:tcBorders>
            <w:vAlign w:val="center"/>
          </w:tcPr>
          <w:p w14:paraId="63C2B9BF">
            <w:pPr>
              <w:pStyle w:val="41"/>
              <w:rPr>
                <w:color w:val="auto"/>
                <w:highlight w:val="none"/>
              </w:rPr>
            </w:pPr>
            <w:r>
              <w:rPr>
                <w:rFonts w:hint="eastAsia"/>
                <w:color w:val="auto"/>
                <w:highlight w:val="none"/>
              </w:rPr>
              <w:t>产品名称</w:t>
            </w:r>
          </w:p>
        </w:tc>
        <w:tc>
          <w:tcPr>
            <w:tcW w:w="0" w:type="auto"/>
            <w:vMerge w:val="restart"/>
            <w:tcBorders>
              <w:top w:val="single" w:color="000000" w:sz="12" w:space="0"/>
              <w:left w:val="single" w:color="000000" w:sz="4" w:space="0"/>
              <w:bottom w:val="single" w:color="000000" w:sz="4" w:space="0"/>
              <w:right w:val="single" w:color="000000" w:sz="4" w:space="0"/>
            </w:tcBorders>
            <w:vAlign w:val="center"/>
          </w:tcPr>
          <w:p w14:paraId="405CBFD6">
            <w:pPr>
              <w:pStyle w:val="41"/>
              <w:rPr>
                <w:color w:val="auto"/>
                <w:highlight w:val="none"/>
              </w:rPr>
            </w:pPr>
            <w:r>
              <w:rPr>
                <w:rFonts w:hint="eastAsia"/>
                <w:color w:val="auto"/>
                <w:highlight w:val="none"/>
              </w:rPr>
              <w:t>产率（%）</w:t>
            </w:r>
          </w:p>
        </w:tc>
        <w:tc>
          <w:tcPr>
            <w:tcW w:w="0" w:type="auto"/>
            <w:gridSpan w:val="2"/>
            <w:tcBorders>
              <w:top w:val="single" w:color="000000" w:sz="12" w:space="0"/>
              <w:left w:val="single" w:color="000000" w:sz="4" w:space="0"/>
              <w:bottom w:val="single" w:color="000000" w:sz="4" w:space="0"/>
              <w:right w:val="single" w:color="000000" w:sz="4" w:space="0"/>
            </w:tcBorders>
            <w:vAlign w:val="center"/>
          </w:tcPr>
          <w:p w14:paraId="41383A5A">
            <w:pPr>
              <w:pStyle w:val="41"/>
              <w:rPr>
                <w:color w:val="auto"/>
                <w:highlight w:val="none"/>
              </w:rPr>
            </w:pPr>
            <w:r>
              <w:rPr>
                <w:rFonts w:hint="eastAsia"/>
                <w:color w:val="auto"/>
                <w:highlight w:val="none"/>
              </w:rPr>
              <w:t>品位（%）</w:t>
            </w:r>
          </w:p>
        </w:tc>
        <w:tc>
          <w:tcPr>
            <w:tcW w:w="0" w:type="auto"/>
            <w:gridSpan w:val="2"/>
            <w:tcBorders>
              <w:top w:val="single" w:color="000000" w:sz="12" w:space="0"/>
              <w:left w:val="single" w:color="000000" w:sz="4" w:space="0"/>
              <w:bottom w:val="single" w:color="000000" w:sz="4" w:space="0"/>
              <w:right w:val="single" w:color="000000" w:sz="4" w:space="0"/>
            </w:tcBorders>
            <w:vAlign w:val="center"/>
          </w:tcPr>
          <w:p w14:paraId="25235EB8">
            <w:pPr>
              <w:pStyle w:val="41"/>
              <w:rPr>
                <w:color w:val="auto"/>
                <w:highlight w:val="none"/>
              </w:rPr>
            </w:pPr>
            <w:r>
              <w:rPr>
                <w:rFonts w:hint="eastAsia"/>
                <w:color w:val="auto"/>
                <w:highlight w:val="none"/>
              </w:rPr>
              <w:t>回收率（%）</w:t>
            </w:r>
          </w:p>
        </w:tc>
        <w:tc>
          <w:tcPr>
            <w:tcW w:w="0" w:type="auto"/>
            <w:tcBorders>
              <w:top w:val="single" w:color="000000" w:sz="12" w:space="0"/>
              <w:left w:val="single" w:color="000000" w:sz="4" w:space="0"/>
              <w:bottom w:val="single" w:color="000000" w:sz="4" w:space="0"/>
              <w:right w:val="single" w:color="000000" w:sz="12" w:space="0"/>
            </w:tcBorders>
            <w:vAlign w:val="center"/>
          </w:tcPr>
          <w:p w14:paraId="58F59262">
            <w:pPr>
              <w:pStyle w:val="41"/>
              <w:rPr>
                <w:color w:val="auto"/>
                <w:highlight w:val="none"/>
              </w:rPr>
            </w:pPr>
            <w:r>
              <w:rPr>
                <w:rFonts w:hint="eastAsia"/>
                <w:color w:val="auto"/>
                <w:highlight w:val="none"/>
              </w:rPr>
              <w:t>产量</w:t>
            </w:r>
          </w:p>
        </w:tc>
      </w:tr>
      <w:tr w14:paraId="2C158198">
        <w:tblPrEx>
          <w:tblCellMar>
            <w:top w:w="0" w:type="dxa"/>
            <w:left w:w="108" w:type="dxa"/>
            <w:bottom w:w="0" w:type="dxa"/>
            <w:right w:w="108" w:type="dxa"/>
          </w:tblCellMar>
        </w:tblPrEx>
        <w:trPr>
          <w:tblHeader/>
          <w:jc w:val="center"/>
        </w:trPr>
        <w:tc>
          <w:tcPr>
            <w:tcW w:w="0" w:type="auto"/>
            <w:vMerge w:val="continue"/>
            <w:tcBorders>
              <w:top w:val="single" w:color="000000" w:sz="4" w:space="0"/>
              <w:left w:val="single" w:color="000000" w:sz="12" w:space="0"/>
              <w:bottom w:val="single" w:color="000000" w:sz="4" w:space="0"/>
              <w:right w:val="single" w:color="000000" w:sz="4" w:space="0"/>
            </w:tcBorders>
            <w:vAlign w:val="center"/>
          </w:tcPr>
          <w:p w14:paraId="1E6743B7">
            <w:pPr>
              <w:pStyle w:val="41"/>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A9D9034">
            <w:pPr>
              <w:pStyle w:val="41"/>
              <w:rPr>
                <w:color w:val="auto"/>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9B21B19">
            <w:pPr>
              <w:pStyle w:val="41"/>
              <w:rPr>
                <w:color w:val="auto"/>
                <w:highlight w:val="none"/>
              </w:rPr>
            </w:pPr>
            <w:r>
              <w:rPr>
                <w:rFonts w:hint="eastAsia"/>
                <w:color w:val="auto"/>
                <w:highlight w:val="none"/>
              </w:rPr>
              <w:t>TFe</w:t>
            </w:r>
          </w:p>
        </w:tc>
        <w:tc>
          <w:tcPr>
            <w:tcW w:w="0" w:type="auto"/>
            <w:tcBorders>
              <w:top w:val="single" w:color="000000" w:sz="4" w:space="0"/>
              <w:left w:val="single" w:color="000000" w:sz="4" w:space="0"/>
              <w:bottom w:val="single" w:color="000000" w:sz="4" w:space="0"/>
              <w:right w:val="single" w:color="000000" w:sz="4" w:space="0"/>
            </w:tcBorders>
            <w:vAlign w:val="center"/>
          </w:tcPr>
          <w:p w14:paraId="10C63978">
            <w:pPr>
              <w:pStyle w:val="41"/>
              <w:rPr>
                <w:color w:val="auto"/>
                <w:highlight w:val="none"/>
              </w:rPr>
            </w:pPr>
            <w:r>
              <w:rPr>
                <w:rFonts w:hint="eastAsia"/>
                <w:color w:val="auto"/>
                <w:highlight w:val="none"/>
              </w:rPr>
              <w:t>TiO</w:t>
            </w:r>
            <w:r>
              <w:rPr>
                <w:rFonts w:hint="eastAsia"/>
                <w:color w:val="auto"/>
                <w:highlight w:val="none"/>
                <w:vertAlign w:val="subscript"/>
              </w:rPr>
              <w:t>2</w:t>
            </w:r>
          </w:p>
        </w:tc>
        <w:tc>
          <w:tcPr>
            <w:tcW w:w="0" w:type="auto"/>
            <w:tcBorders>
              <w:top w:val="single" w:color="000000" w:sz="4" w:space="0"/>
              <w:left w:val="single" w:color="000000" w:sz="4" w:space="0"/>
              <w:bottom w:val="single" w:color="000000" w:sz="4" w:space="0"/>
              <w:right w:val="single" w:color="000000" w:sz="4" w:space="0"/>
            </w:tcBorders>
            <w:vAlign w:val="center"/>
          </w:tcPr>
          <w:p w14:paraId="1F976A97">
            <w:pPr>
              <w:pStyle w:val="41"/>
              <w:rPr>
                <w:color w:val="auto"/>
                <w:highlight w:val="none"/>
              </w:rPr>
            </w:pPr>
            <w:r>
              <w:rPr>
                <w:rFonts w:hint="eastAsia"/>
                <w:color w:val="auto"/>
                <w:highlight w:val="none"/>
              </w:rPr>
              <w:t>TFe</w:t>
            </w:r>
          </w:p>
        </w:tc>
        <w:tc>
          <w:tcPr>
            <w:tcW w:w="0" w:type="auto"/>
            <w:tcBorders>
              <w:top w:val="single" w:color="000000" w:sz="4" w:space="0"/>
              <w:left w:val="single" w:color="000000" w:sz="4" w:space="0"/>
              <w:bottom w:val="single" w:color="000000" w:sz="4" w:space="0"/>
              <w:right w:val="single" w:color="000000" w:sz="4" w:space="0"/>
            </w:tcBorders>
            <w:vAlign w:val="center"/>
          </w:tcPr>
          <w:p w14:paraId="0EE0ECF6">
            <w:pPr>
              <w:pStyle w:val="41"/>
              <w:rPr>
                <w:color w:val="auto"/>
                <w:highlight w:val="none"/>
              </w:rPr>
            </w:pPr>
            <w:r>
              <w:rPr>
                <w:rFonts w:hint="eastAsia"/>
                <w:color w:val="auto"/>
                <w:highlight w:val="none"/>
              </w:rPr>
              <w:t>TiO</w:t>
            </w:r>
            <w:r>
              <w:rPr>
                <w:rFonts w:hint="eastAsia"/>
                <w:color w:val="auto"/>
                <w:highlight w:val="none"/>
                <w:vertAlign w:val="subscript"/>
              </w:rPr>
              <w:t>2</w:t>
            </w:r>
          </w:p>
        </w:tc>
        <w:tc>
          <w:tcPr>
            <w:tcW w:w="343" w:type="dxa"/>
            <w:tcBorders>
              <w:top w:val="single" w:color="000000" w:sz="4" w:space="0"/>
              <w:left w:val="single" w:color="000000" w:sz="4" w:space="0"/>
              <w:bottom w:val="single" w:color="000000" w:sz="4" w:space="0"/>
              <w:right w:val="single" w:color="000000" w:sz="12" w:space="0"/>
            </w:tcBorders>
            <w:vAlign w:val="center"/>
          </w:tcPr>
          <w:p w14:paraId="65EF657E">
            <w:pPr>
              <w:pStyle w:val="41"/>
              <w:rPr>
                <w:color w:val="auto"/>
                <w:highlight w:val="none"/>
              </w:rPr>
            </w:pPr>
            <w:r>
              <w:rPr>
                <w:rFonts w:hint="eastAsia"/>
                <w:color w:val="auto"/>
                <w:highlight w:val="none"/>
              </w:rPr>
              <w:t>t/a</w:t>
            </w:r>
          </w:p>
        </w:tc>
      </w:tr>
      <w:tr w14:paraId="29A532C2">
        <w:tblPrEx>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vAlign w:val="center"/>
          </w:tcPr>
          <w:p w14:paraId="5019707F">
            <w:pPr>
              <w:pStyle w:val="41"/>
              <w:rPr>
                <w:color w:val="auto"/>
                <w:highlight w:val="none"/>
              </w:rPr>
            </w:pPr>
            <w:r>
              <w:rPr>
                <w:rFonts w:hint="eastAsia"/>
                <w:color w:val="auto"/>
                <w:highlight w:val="none"/>
              </w:rPr>
              <w:t>铁精矿</w:t>
            </w:r>
          </w:p>
        </w:tc>
        <w:tc>
          <w:tcPr>
            <w:tcW w:w="0" w:type="auto"/>
            <w:tcBorders>
              <w:top w:val="single" w:color="000000" w:sz="4" w:space="0"/>
              <w:left w:val="single" w:color="000000" w:sz="4" w:space="0"/>
              <w:bottom w:val="single" w:color="000000" w:sz="4" w:space="0"/>
              <w:right w:val="single" w:color="000000" w:sz="4" w:space="0"/>
            </w:tcBorders>
            <w:vAlign w:val="center"/>
          </w:tcPr>
          <w:p w14:paraId="7AFD8E87">
            <w:pPr>
              <w:pStyle w:val="41"/>
              <w:rPr>
                <w:color w:val="auto"/>
                <w:highlight w:val="none"/>
              </w:rPr>
            </w:pPr>
            <w:r>
              <w:rPr>
                <w:rFonts w:hint="eastAsia"/>
                <w:color w:val="auto"/>
                <w:highlight w:val="none"/>
              </w:rPr>
              <w:t>5.196</w:t>
            </w:r>
          </w:p>
        </w:tc>
        <w:tc>
          <w:tcPr>
            <w:tcW w:w="0" w:type="auto"/>
            <w:tcBorders>
              <w:top w:val="single" w:color="000000" w:sz="4" w:space="0"/>
              <w:left w:val="single" w:color="000000" w:sz="4" w:space="0"/>
              <w:bottom w:val="single" w:color="000000" w:sz="4" w:space="0"/>
              <w:right w:val="single" w:color="000000" w:sz="4" w:space="0"/>
            </w:tcBorders>
            <w:vAlign w:val="center"/>
          </w:tcPr>
          <w:p w14:paraId="6C51BB70">
            <w:pPr>
              <w:pStyle w:val="41"/>
              <w:rPr>
                <w:color w:val="auto"/>
                <w:highlight w:val="none"/>
              </w:rPr>
            </w:pPr>
            <w:r>
              <w:rPr>
                <w:rFonts w:hint="eastAsia"/>
                <w:color w:val="auto"/>
                <w:highlight w:val="none"/>
              </w:rPr>
              <w:t>56.00</w:t>
            </w:r>
          </w:p>
        </w:tc>
        <w:tc>
          <w:tcPr>
            <w:tcW w:w="0" w:type="auto"/>
            <w:tcBorders>
              <w:top w:val="single" w:color="000000" w:sz="4" w:space="0"/>
              <w:left w:val="single" w:color="000000" w:sz="4" w:space="0"/>
              <w:bottom w:val="single" w:color="000000" w:sz="4" w:space="0"/>
              <w:right w:val="single" w:color="000000" w:sz="4" w:space="0"/>
            </w:tcBorders>
            <w:vAlign w:val="center"/>
          </w:tcPr>
          <w:p w14:paraId="1690B532">
            <w:pPr>
              <w:pStyle w:val="41"/>
              <w:rPr>
                <w:color w:val="auto"/>
                <w:highlight w:val="none"/>
              </w:rPr>
            </w:pPr>
            <w:r>
              <w:rPr>
                <w:rFonts w:hint="eastAsia"/>
                <w:color w:val="auto"/>
                <w:highlight w:val="none"/>
              </w:rPr>
              <w:t>5.61</w:t>
            </w:r>
          </w:p>
        </w:tc>
        <w:tc>
          <w:tcPr>
            <w:tcW w:w="0" w:type="auto"/>
            <w:tcBorders>
              <w:top w:val="single" w:color="000000" w:sz="4" w:space="0"/>
              <w:left w:val="single" w:color="000000" w:sz="4" w:space="0"/>
              <w:bottom w:val="single" w:color="000000" w:sz="4" w:space="0"/>
              <w:right w:val="single" w:color="000000" w:sz="4" w:space="0"/>
            </w:tcBorders>
            <w:vAlign w:val="center"/>
          </w:tcPr>
          <w:p w14:paraId="4883FC3B">
            <w:pPr>
              <w:pStyle w:val="41"/>
              <w:rPr>
                <w:color w:val="auto"/>
                <w:highlight w:val="none"/>
              </w:rPr>
            </w:pPr>
            <w:r>
              <w:rPr>
                <w:rFonts w:hint="eastAsia"/>
                <w:color w:val="auto"/>
                <w:highlight w:val="none"/>
              </w:rPr>
              <w:t>30.50</w:t>
            </w:r>
          </w:p>
        </w:tc>
        <w:tc>
          <w:tcPr>
            <w:tcW w:w="0" w:type="auto"/>
            <w:tcBorders>
              <w:top w:val="single" w:color="000000" w:sz="4" w:space="0"/>
              <w:left w:val="single" w:color="000000" w:sz="4" w:space="0"/>
              <w:bottom w:val="single" w:color="000000" w:sz="4" w:space="0"/>
              <w:right w:val="single" w:color="000000" w:sz="4" w:space="0"/>
            </w:tcBorders>
            <w:vAlign w:val="center"/>
          </w:tcPr>
          <w:p w14:paraId="0A703EB3">
            <w:pPr>
              <w:pStyle w:val="41"/>
              <w:rPr>
                <w:color w:val="auto"/>
                <w:highlight w:val="none"/>
              </w:rPr>
            </w:pPr>
            <w:r>
              <w:rPr>
                <w:rFonts w:hint="eastAsia"/>
                <w:color w:val="auto"/>
                <w:highlight w:val="none"/>
              </w:rPr>
              <w:t>11.00</w:t>
            </w:r>
          </w:p>
        </w:tc>
        <w:tc>
          <w:tcPr>
            <w:tcW w:w="343" w:type="dxa"/>
            <w:tcBorders>
              <w:top w:val="single" w:color="000000" w:sz="4" w:space="0"/>
              <w:left w:val="single" w:color="000000" w:sz="4" w:space="0"/>
              <w:bottom w:val="single" w:color="000000" w:sz="4" w:space="0"/>
              <w:right w:val="single" w:color="000000" w:sz="12" w:space="0"/>
            </w:tcBorders>
            <w:vAlign w:val="center"/>
          </w:tcPr>
          <w:p w14:paraId="0F2215A6">
            <w:pPr>
              <w:pStyle w:val="41"/>
              <w:rPr>
                <w:color w:val="auto"/>
                <w:highlight w:val="none"/>
              </w:rPr>
            </w:pPr>
            <w:r>
              <w:rPr>
                <w:rFonts w:hint="eastAsia"/>
                <w:color w:val="auto"/>
                <w:highlight w:val="none"/>
              </w:rPr>
              <w:t>301361.79</w:t>
            </w:r>
          </w:p>
        </w:tc>
      </w:tr>
      <w:tr w14:paraId="033579AB">
        <w:tblPrEx>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vAlign w:val="center"/>
          </w:tcPr>
          <w:p w14:paraId="419911D2">
            <w:pPr>
              <w:pStyle w:val="41"/>
              <w:rPr>
                <w:color w:val="auto"/>
                <w:highlight w:val="none"/>
              </w:rPr>
            </w:pPr>
            <w:r>
              <w:rPr>
                <w:rFonts w:hint="eastAsia"/>
                <w:color w:val="auto"/>
                <w:highlight w:val="none"/>
              </w:rPr>
              <w:t>钛精矿</w:t>
            </w:r>
          </w:p>
        </w:tc>
        <w:tc>
          <w:tcPr>
            <w:tcW w:w="0" w:type="auto"/>
            <w:tcBorders>
              <w:top w:val="single" w:color="000000" w:sz="4" w:space="0"/>
              <w:left w:val="single" w:color="000000" w:sz="4" w:space="0"/>
              <w:bottom w:val="single" w:color="000000" w:sz="4" w:space="0"/>
              <w:right w:val="single" w:color="000000" w:sz="4" w:space="0"/>
            </w:tcBorders>
            <w:vAlign w:val="center"/>
          </w:tcPr>
          <w:p w14:paraId="284D7ADC">
            <w:pPr>
              <w:pStyle w:val="41"/>
              <w:rPr>
                <w:color w:val="auto"/>
                <w:highlight w:val="none"/>
              </w:rPr>
            </w:pPr>
            <w:r>
              <w:rPr>
                <w:rFonts w:hint="eastAsia"/>
                <w:color w:val="auto"/>
                <w:highlight w:val="none"/>
              </w:rPr>
              <w:t>2.735</w:t>
            </w:r>
          </w:p>
        </w:tc>
        <w:tc>
          <w:tcPr>
            <w:tcW w:w="0" w:type="auto"/>
            <w:tcBorders>
              <w:top w:val="single" w:color="000000" w:sz="4" w:space="0"/>
              <w:left w:val="single" w:color="000000" w:sz="4" w:space="0"/>
              <w:bottom w:val="single" w:color="000000" w:sz="4" w:space="0"/>
              <w:right w:val="single" w:color="000000" w:sz="4" w:space="0"/>
            </w:tcBorders>
            <w:vAlign w:val="center"/>
          </w:tcPr>
          <w:p w14:paraId="3F6F0E08">
            <w:pPr>
              <w:pStyle w:val="41"/>
              <w:rPr>
                <w:color w:val="auto"/>
                <w:highlight w:val="none"/>
              </w:rPr>
            </w:pPr>
            <w:r>
              <w:rPr>
                <w:rFonts w:hint="eastAsia"/>
                <w:color w:val="auto"/>
                <w:highlight w:val="none"/>
              </w:rPr>
              <w:t>33.13</w:t>
            </w:r>
          </w:p>
        </w:tc>
        <w:tc>
          <w:tcPr>
            <w:tcW w:w="0" w:type="auto"/>
            <w:tcBorders>
              <w:top w:val="single" w:color="000000" w:sz="4" w:space="0"/>
              <w:left w:val="single" w:color="000000" w:sz="4" w:space="0"/>
              <w:bottom w:val="single" w:color="000000" w:sz="4" w:space="0"/>
              <w:right w:val="single" w:color="000000" w:sz="4" w:space="0"/>
            </w:tcBorders>
            <w:vAlign w:val="center"/>
          </w:tcPr>
          <w:p w14:paraId="227A2705">
            <w:pPr>
              <w:pStyle w:val="41"/>
              <w:rPr>
                <w:color w:val="auto"/>
                <w:highlight w:val="none"/>
              </w:rPr>
            </w:pPr>
            <w:r>
              <w:rPr>
                <w:rFonts w:hint="eastAsia"/>
                <w:color w:val="auto"/>
                <w:highlight w:val="none"/>
              </w:rPr>
              <w:t>46.50</w:t>
            </w:r>
          </w:p>
        </w:tc>
        <w:tc>
          <w:tcPr>
            <w:tcW w:w="0" w:type="auto"/>
            <w:tcBorders>
              <w:top w:val="single" w:color="000000" w:sz="4" w:space="0"/>
              <w:left w:val="single" w:color="000000" w:sz="4" w:space="0"/>
              <w:bottom w:val="single" w:color="000000" w:sz="4" w:space="0"/>
              <w:right w:val="single" w:color="000000" w:sz="4" w:space="0"/>
            </w:tcBorders>
            <w:vAlign w:val="center"/>
          </w:tcPr>
          <w:p w14:paraId="4337A3B0">
            <w:pPr>
              <w:pStyle w:val="41"/>
              <w:rPr>
                <w:color w:val="auto"/>
                <w:highlight w:val="none"/>
              </w:rPr>
            </w:pPr>
            <w:r>
              <w:rPr>
                <w:rFonts w:hint="eastAsia"/>
                <w:color w:val="auto"/>
                <w:highlight w:val="none"/>
              </w:rPr>
              <w:t>9.50</w:t>
            </w:r>
          </w:p>
        </w:tc>
        <w:tc>
          <w:tcPr>
            <w:tcW w:w="0" w:type="auto"/>
            <w:tcBorders>
              <w:top w:val="single" w:color="000000" w:sz="4" w:space="0"/>
              <w:left w:val="single" w:color="000000" w:sz="4" w:space="0"/>
              <w:bottom w:val="single" w:color="000000" w:sz="4" w:space="0"/>
              <w:right w:val="single" w:color="000000" w:sz="4" w:space="0"/>
            </w:tcBorders>
            <w:vAlign w:val="center"/>
          </w:tcPr>
          <w:p w14:paraId="488F6B9B">
            <w:pPr>
              <w:pStyle w:val="41"/>
              <w:rPr>
                <w:color w:val="auto"/>
                <w:highlight w:val="none"/>
              </w:rPr>
            </w:pPr>
            <w:r>
              <w:rPr>
                <w:rFonts w:hint="eastAsia"/>
                <w:color w:val="auto"/>
                <w:highlight w:val="none"/>
              </w:rPr>
              <w:t>48.00</w:t>
            </w:r>
          </w:p>
        </w:tc>
        <w:tc>
          <w:tcPr>
            <w:tcW w:w="343" w:type="dxa"/>
            <w:tcBorders>
              <w:top w:val="single" w:color="000000" w:sz="4" w:space="0"/>
              <w:left w:val="single" w:color="000000" w:sz="4" w:space="0"/>
              <w:bottom w:val="single" w:color="000000" w:sz="4" w:space="0"/>
              <w:right w:val="single" w:color="000000" w:sz="12" w:space="0"/>
            </w:tcBorders>
            <w:vAlign w:val="center"/>
          </w:tcPr>
          <w:p w14:paraId="411FFCE3">
            <w:pPr>
              <w:pStyle w:val="41"/>
              <w:rPr>
                <w:color w:val="auto"/>
                <w:highlight w:val="none"/>
              </w:rPr>
            </w:pPr>
            <w:r>
              <w:rPr>
                <w:rFonts w:hint="eastAsia"/>
                <w:color w:val="auto"/>
                <w:highlight w:val="none"/>
              </w:rPr>
              <w:t>158658.06</w:t>
            </w:r>
          </w:p>
        </w:tc>
      </w:tr>
      <w:tr w14:paraId="4078B050">
        <w:tblPrEx>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vAlign w:val="center"/>
          </w:tcPr>
          <w:p w14:paraId="3589497F">
            <w:pPr>
              <w:pStyle w:val="41"/>
              <w:rPr>
                <w:color w:val="auto"/>
                <w:highlight w:val="none"/>
              </w:rPr>
            </w:pPr>
            <w:r>
              <w:rPr>
                <w:rFonts w:hint="eastAsia"/>
                <w:color w:val="auto"/>
                <w:highlight w:val="none"/>
              </w:rPr>
              <w:t>干抛废石</w:t>
            </w:r>
          </w:p>
        </w:tc>
        <w:tc>
          <w:tcPr>
            <w:tcW w:w="1752" w:type="dxa"/>
            <w:tcBorders>
              <w:top w:val="single" w:color="000000" w:sz="4" w:space="0"/>
              <w:left w:val="single" w:color="000000" w:sz="4" w:space="0"/>
              <w:bottom w:val="single" w:color="000000" w:sz="4" w:space="0"/>
              <w:right w:val="single" w:color="000000" w:sz="4" w:space="0"/>
            </w:tcBorders>
            <w:vAlign w:val="center"/>
          </w:tcPr>
          <w:p w14:paraId="6ED565B4">
            <w:pPr>
              <w:pStyle w:val="41"/>
              <w:rPr>
                <w:color w:val="auto"/>
                <w:highlight w:val="none"/>
              </w:rPr>
            </w:pPr>
            <w:r>
              <w:rPr>
                <w:rFonts w:hint="eastAsia"/>
                <w:color w:val="auto"/>
                <w:highlight w:val="none"/>
              </w:rPr>
              <w:t>40.000</w:t>
            </w:r>
          </w:p>
        </w:tc>
        <w:tc>
          <w:tcPr>
            <w:tcW w:w="950" w:type="dxa"/>
            <w:tcBorders>
              <w:top w:val="single" w:color="000000" w:sz="4" w:space="0"/>
              <w:left w:val="single" w:color="000000" w:sz="4" w:space="0"/>
              <w:bottom w:val="single" w:color="000000" w:sz="4" w:space="0"/>
              <w:right w:val="single" w:color="000000" w:sz="4" w:space="0"/>
            </w:tcBorders>
            <w:vAlign w:val="center"/>
          </w:tcPr>
          <w:p w14:paraId="0BAB8FB2">
            <w:pPr>
              <w:pStyle w:val="41"/>
              <w:rPr>
                <w:color w:val="auto"/>
                <w:highlight w:val="none"/>
              </w:rPr>
            </w:pPr>
            <w:r>
              <w:rPr>
                <w:rFonts w:hint="eastAsia"/>
                <w:color w:val="auto"/>
                <w:highlight w:val="none"/>
              </w:rPr>
              <w:t>6.12</w:t>
            </w:r>
          </w:p>
        </w:tc>
        <w:tc>
          <w:tcPr>
            <w:tcW w:w="950" w:type="dxa"/>
            <w:tcBorders>
              <w:top w:val="single" w:color="000000" w:sz="4" w:space="0"/>
              <w:left w:val="single" w:color="000000" w:sz="4" w:space="0"/>
              <w:bottom w:val="single" w:color="000000" w:sz="4" w:space="0"/>
              <w:right w:val="single" w:color="000000" w:sz="4" w:space="0"/>
            </w:tcBorders>
            <w:vAlign w:val="center"/>
          </w:tcPr>
          <w:p w14:paraId="4FB46951">
            <w:pPr>
              <w:pStyle w:val="41"/>
              <w:rPr>
                <w:color w:val="auto"/>
                <w:highlight w:val="none"/>
              </w:rPr>
            </w:pPr>
            <w:r>
              <w:rPr>
                <w:rFonts w:hint="eastAsia"/>
                <w:color w:val="auto"/>
                <w:highlight w:val="none"/>
              </w:rPr>
              <w:t>1.22</w:t>
            </w:r>
          </w:p>
        </w:tc>
        <w:tc>
          <w:tcPr>
            <w:tcW w:w="1095" w:type="dxa"/>
            <w:tcBorders>
              <w:top w:val="single" w:color="000000" w:sz="4" w:space="0"/>
              <w:left w:val="single" w:color="000000" w:sz="4" w:space="0"/>
              <w:bottom w:val="single" w:color="000000" w:sz="4" w:space="0"/>
              <w:right w:val="single" w:color="000000" w:sz="4" w:space="0"/>
            </w:tcBorders>
            <w:vAlign w:val="center"/>
          </w:tcPr>
          <w:p w14:paraId="57393778">
            <w:pPr>
              <w:pStyle w:val="41"/>
              <w:rPr>
                <w:color w:val="auto"/>
                <w:highlight w:val="none"/>
              </w:rPr>
            </w:pPr>
            <w:r>
              <w:rPr>
                <w:rFonts w:hint="eastAsia"/>
                <w:color w:val="auto"/>
                <w:highlight w:val="none"/>
              </w:rPr>
              <w:t>25.67</w:t>
            </w:r>
          </w:p>
        </w:tc>
        <w:tc>
          <w:tcPr>
            <w:tcW w:w="1095" w:type="dxa"/>
            <w:tcBorders>
              <w:top w:val="single" w:color="000000" w:sz="4" w:space="0"/>
              <w:left w:val="single" w:color="000000" w:sz="4" w:space="0"/>
              <w:bottom w:val="single" w:color="000000" w:sz="4" w:space="0"/>
              <w:right w:val="single" w:color="000000" w:sz="4" w:space="0"/>
            </w:tcBorders>
            <w:vAlign w:val="center"/>
          </w:tcPr>
          <w:p w14:paraId="4911D7C7">
            <w:pPr>
              <w:pStyle w:val="41"/>
              <w:rPr>
                <w:color w:val="auto"/>
                <w:highlight w:val="none"/>
              </w:rPr>
            </w:pPr>
            <w:r>
              <w:rPr>
                <w:rFonts w:hint="eastAsia"/>
                <w:color w:val="auto"/>
                <w:highlight w:val="none"/>
              </w:rPr>
              <w:t>18.40</w:t>
            </w:r>
          </w:p>
        </w:tc>
        <w:tc>
          <w:tcPr>
            <w:tcW w:w="343" w:type="dxa"/>
            <w:tcBorders>
              <w:top w:val="single" w:color="000000" w:sz="4" w:space="0"/>
              <w:left w:val="single" w:color="000000" w:sz="4" w:space="0"/>
              <w:bottom w:val="single" w:color="000000" w:sz="4" w:space="0"/>
              <w:right w:val="single" w:color="000000" w:sz="12" w:space="0"/>
            </w:tcBorders>
            <w:vAlign w:val="center"/>
          </w:tcPr>
          <w:p w14:paraId="4C8FB752">
            <w:pPr>
              <w:pStyle w:val="41"/>
              <w:rPr>
                <w:color w:val="auto"/>
                <w:highlight w:val="none"/>
              </w:rPr>
            </w:pPr>
            <w:r>
              <w:rPr>
                <w:rFonts w:hint="eastAsia"/>
                <w:color w:val="auto"/>
                <w:highlight w:val="none"/>
              </w:rPr>
              <w:t>2320000.00</w:t>
            </w:r>
          </w:p>
        </w:tc>
      </w:tr>
      <w:tr w14:paraId="22C18660">
        <w:tblPrEx>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vAlign w:val="center"/>
          </w:tcPr>
          <w:p w14:paraId="7110B9A3">
            <w:pPr>
              <w:pStyle w:val="41"/>
              <w:rPr>
                <w:color w:val="auto"/>
                <w:highlight w:val="none"/>
              </w:rPr>
            </w:pPr>
            <w:r>
              <w:rPr>
                <w:rFonts w:hint="eastAsia"/>
                <w:color w:val="auto"/>
                <w:highlight w:val="none"/>
              </w:rPr>
              <w:t>干排尾矿</w:t>
            </w:r>
          </w:p>
        </w:tc>
        <w:tc>
          <w:tcPr>
            <w:tcW w:w="1752" w:type="dxa"/>
            <w:tcBorders>
              <w:top w:val="single" w:color="000000" w:sz="4" w:space="0"/>
              <w:left w:val="single" w:color="000000" w:sz="4" w:space="0"/>
              <w:bottom w:val="single" w:color="000000" w:sz="4" w:space="0"/>
              <w:right w:val="single" w:color="000000" w:sz="4" w:space="0"/>
            </w:tcBorders>
            <w:vAlign w:val="center"/>
          </w:tcPr>
          <w:p w14:paraId="29AE947B">
            <w:pPr>
              <w:pStyle w:val="41"/>
              <w:rPr>
                <w:color w:val="auto"/>
                <w:highlight w:val="none"/>
              </w:rPr>
            </w:pPr>
            <w:r>
              <w:rPr>
                <w:rFonts w:hint="eastAsia"/>
                <w:color w:val="auto"/>
                <w:highlight w:val="none"/>
              </w:rPr>
              <w:t>52.069</w:t>
            </w:r>
          </w:p>
        </w:tc>
        <w:tc>
          <w:tcPr>
            <w:tcW w:w="950" w:type="dxa"/>
            <w:tcBorders>
              <w:top w:val="single" w:color="000000" w:sz="4" w:space="0"/>
              <w:left w:val="single" w:color="000000" w:sz="4" w:space="0"/>
              <w:bottom w:val="single" w:color="000000" w:sz="4" w:space="0"/>
              <w:right w:val="single" w:color="000000" w:sz="4" w:space="0"/>
            </w:tcBorders>
            <w:vAlign w:val="center"/>
          </w:tcPr>
          <w:p w14:paraId="29830CAD">
            <w:pPr>
              <w:pStyle w:val="41"/>
              <w:rPr>
                <w:color w:val="auto"/>
                <w:highlight w:val="none"/>
              </w:rPr>
            </w:pPr>
            <w:r>
              <w:rPr>
                <w:rFonts w:hint="eastAsia"/>
                <w:color w:val="auto"/>
                <w:highlight w:val="none"/>
              </w:rPr>
              <w:t>6.29</w:t>
            </w:r>
          </w:p>
        </w:tc>
        <w:tc>
          <w:tcPr>
            <w:tcW w:w="950" w:type="dxa"/>
            <w:tcBorders>
              <w:top w:val="single" w:color="000000" w:sz="4" w:space="0"/>
              <w:left w:val="single" w:color="000000" w:sz="4" w:space="0"/>
              <w:bottom w:val="single" w:color="000000" w:sz="4" w:space="0"/>
              <w:right w:val="single" w:color="000000" w:sz="4" w:space="0"/>
            </w:tcBorders>
            <w:vAlign w:val="center"/>
          </w:tcPr>
          <w:p w14:paraId="238A0218">
            <w:pPr>
              <w:pStyle w:val="41"/>
              <w:rPr>
                <w:color w:val="auto"/>
                <w:highlight w:val="none"/>
              </w:rPr>
            </w:pPr>
            <w:r>
              <w:rPr>
                <w:rFonts w:hint="eastAsia"/>
                <w:color w:val="auto"/>
                <w:highlight w:val="none"/>
              </w:rPr>
              <w:t>1.15</w:t>
            </w:r>
          </w:p>
        </w:tc>
        <w:tc>
          <w:tcPr>
            <w:tcW w:w="1095" w:type="dxa"/>
            <w:tcBorders>
              <w:top w:val="single" w:color="000000" w:sz="4" w:space="0"/>
              <w:left w:val="single" w:color="000000" w:sz="4" w:space="0"/>
              <w:bottom w:val="single" w:color="000000" w:sz="4" w:space="0"/>
              <w:right w:val="single" w:color="000000" w:sz="4" w:space="0"/>
            </w:tcBorders>
            <w:vAlign w:val="center"/>
          </w:tcPr>
          <w:p w14:paraId="007F23DF">
            <w:pPr>
              <w:pStyle w:val="41"/>
              <w:rPr>
                <w:color w:val="auto"/>
                <w:highlight w:val="none"/>
              </w:rPr>
            </w:pPr>
            <w:r>
              <w:rPr>
                <w:rFonts w:hint="eastAsia"/>
                <w:color w:val="auto"/>
                <w:highlight w:val="none"/>
              </w:rPr>
              <w:t>34.33</w:t>
            </w:r>
          </w:p>
        </w:tc>
        <w:tc>
          <w:tcPr>
            <w:tcW w:w="1095" w:type="dxa"/>
            <w:tcBorders>
              <w:top w:val="single" w:color="000000" w:sz="4" w:space="0"/>
              <w:left w:val="single" w:color="000000" w:sz="4" w:space="0"/>
              <w:bottom w:val="single" w:color="000000" w:sz="4" w:space="0"/>
              <w:right w:val="single" w:color="000000" w:sz="4" w:space="0"/>
            </w:tcBorders>
            <w:vAlign w:val="center"/>
          </w:tcPr>
          <w:p w14:paraId="288FCAA0">
            <w:pPr>
              <w:pStyle w:val="41"/>
              <w:rPr>
                <w:color w:val="auto"/>
                <w:highlight w:val="none"/>
              </w:rPr>
            </w:pPr>
            <w:r>
              <w:rPr>
                <w:rFonts w:hint="eastAsia"/>
                <w:color w:val="auto"/>
                <w:highlight w:val="none"/>
              </w:rPr>
              <w:t>22.60</w:t>
            </w:r>
          </w:p>
        </w:tc>
        <w:tc>
          <w:tcPr>
            <w:tcW w:w="343" w:type="dxa"/>
            <w:tcBorders>
              <w:top w:val="single" w:color="000000" w:sz="4" w:space="0"/>
              <w:left w:val="single" w:color="000000" w:sz="4" w:space="0"/>
              <w:bottom w:val="single" w:color="000000" w:sz="4" w:space="0"/>
              <w:right w:val="single" w:color="000000" w:sz="12" w:space="0"/>
            </w:tcBorders>
            <w:vAlign w:val="center"/>
          </w:tcPr>
          <w:p w14:paraId="2F5D20D6">
            <w:pPr>
              <w:pStyle w:val="41"/>
              <w:rPr>
                <w:color w:val="auto"/>
                <w:highlight w:val="none"/>
              </w:rPr>
            </w:pPr>
            <w:r>
              <w:rPr>
                <w:rFonts w:hint="eastAsia"/>
                <w:color w:val="auto"/>
                <w:highlight w:val="none"/>
              </w:rPr>
              <w:t>3019980.15</w:t>
            </w:r>
          </w:p>
        </w:tc>
      </w:tr>
      <w:tr w14:paraId="3056C361">
        <w:tblPrEx>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12" w:space="0"/>
              <w:right w:val="single" w:color="000000" w:sz="4" w:space="0"/>
            </w:tcBorders>
            <w:vAlign w:val="center"/>
          </w:tcPr>
          <w:p w14:paraId="754CDDC9">
            <w:pPr>
              <w:pStyle w:val="41"/>
              <w:rPr>
                <w:color w:val="auto"/>
                <w:highlight w:val="none"/>
              </w:rPr>
            </w:pPr>
            <w:r>
              <w:rPr>
                <w:rFonts w:hint="eastAsia"/>
                <w:color w:val="auto"/>
                <w:highlight w:val="none"/>
              </w:rPr>
              <w:t>原矿</w:t>
            </w:r>
          </w:p>
        </w:tc>
        <w:tc>
          <w:tcPr>
            <w:tcW w:w="0" w:type="auto"/>
            <w:tcBorders>
              <w:top w:val="single" w:color="000000" w:sz="4" w:space="0"/>
              <w:left w:val="single" w:color="000000" w:sz="4" w:space="0"/>
              <w:bottom w:val="single" w:color="000000" w:sz="12" w:space="0"/>
              <w:right w:val="single" w:color="000000" w:sz="4" w:space="0"/>
            </w:tcBorders>
            <w:vAlign w:val="center"/>
          </w:tcPr>
          <w:p w14:paraId="20E56677">
            <w:pPr>
              <w:pStyle w:val="41"/>
              <w:rPr>
                <w:color w:val="auto"/>
                <w:highlight w:val="none"/>
              </w:rPr>
            </w:pPr>
            <w:r>
              <w:rPr>
                <w:rFonts w:hint="eastAsia"/>
                <w:color w:val="auto"/>
                <w:highlight w:val="none"/>
              </w:rPr>
              <w:t>100.00</w:t>
            </w:r>
          </w:p>
        </w:tc>
        <w:tc>
          <w:tcPr>
            <w:tcW w:w="0" w:type="auto"/>
            <w:tcBorders>
              <w:top w:val="single" w:color="000000" w:sz="4" w:space="0"/>
              <w:left w:val="single" w:color="000000" w:sz="4" w:space="0"/>
              <w:bottom w:val="single" w:color="000000" w:sz="12" w:space="0"/>
              <w:right w:val="single" w:color="000000" w:sz="4" w:space="0"/>
            </w:tcBorders>
            <w:vAlign w:val="center"/>
          </w:tcPr>
          <w:p w14:paraId="1B989775">
            <w:pPr>
              <w:pStyle w:val="41"/>
              <w:rPr>
                <w:color w:val="auto"/>
                <w:highlight w:val="none"/>
              </w:rPr>
            </w:pPr>
            <w:r>
              <w:rPr>
                <w:rFonts w:hint="eastAsia"/>
                <w:color w:val="auto"/>
                <w:highlight w:val="none"/>
              </w:rPr>
              <w:t>9.54</w:t>
            </w:r>
          </w:p>
        </w:tc>
        <w:tc>
          <w:tcPr>
            <w:tcW w:w="0" w:type="auto"/>
            <w:tcBorders>
              <w:top w:val="single" w:color="000000" w:sz="4" w:space="0"/>
              <w:left w:val="single" w:color="000000" w:sz="4" w:space="0"/>
              <w:bottom w:val="single" w:color="000000" w:sz="12" w:space="0"/>
              <w:right w:val="single" w:color="000000" w:sz="4" w:space="0"/>
            </w:tcBorders>
            <w:vAlign w:val="center"/>
          </w:tcPr>
          <w:p w14:paraId="47F72E22">
            <w:pPr>
              <w:pStyle w:val="41"/>
              <w:rPr>
                <w:color w:val="auto"/>
                <w:highlight w:val="none"/>
              </w:rPr>
            </w:pPr>
            <w:r>
              <w:rPr>
                <w:rFonts w:hint="eastAsia"/>
                <w:color w:val="auto"/>
                <w:highlight w:val="none"/>
              </w:rPr>
              <w:t>2.65</w:t>
            </w:r>
          </w:p>
        </w:tc>
        <w:tc>
          <w:tcPr>
            <w:tcW w:w="0" w:type="auto"/>
            <w:tcBorders>
              <w:top w:val="single" w:color="000000" w:sz="4" w:space="0"/>
              <w:left w:val="single" w:color="000000" w:sz="4" w:space="0"/>
              <w:bottom w:val="single" w:color="000000" w:sz="12" w:space="0"/>
              <w:right w:val="single" w:color="000000" w:sz="4" w:space="0"/>
            </w:tcBorders>
            <w:vAlign w:val="center"/>
          </w:tcPr>
          <w:p w14:paraId="70B1A4E4">
            <w:pPr>
              <w:pStyle w:val="41"/>
              <w:rPr>
                <w:color w:val="auto"/>
                <w:highlight w:val="none"/>
              </w:rPr>
            </w:pPr>
            <w:r>
              <w:rPr>
                <w:rFonts w:hint="eastAsia"/>
                <w:color w:val="auto"/>
                <w:highlight w:val="none"/>
              </w:rPr>
              <w:t>100.00</w:t>
            </w:r>
          </w:p>
        </w:tc>
        <w:tc>
          <w:tcPr>
            <w:tcW w:w="0" w:type="auto"/>
            <w:tcBorders>
              <w:top w:val="single" w:color="000000" w:sz="4" w:space="0"/>
              <w:left w:val="single" w:color="000000" w:sz="4" w:space="0"/>
              <w:bottom w:val="single" w:color="000000" w:sz="12" w:space="0"/>
              <w:right w:val="single" w:color="000000" w:sz="4" w:space="0"/>
            </w:tcBorders>
            <w:vAlign w:val="center"/>
          </w:tcPr>
          <w:p w14:paraId="6A0FB729">
            <w:pPr>
              <w:pStyle w:val="41"/>
              <w:rPr>
                <w:color w:val="auto"/>
                <w:highlight w:val="none"/>
              </w:rPr>
            </w:pPr>
            <w:r>
              <w:rPr>
                <w:rFonts w:hint="eastAsia"/>
                <w:color w:val="auto"/>
                <w:highlight w:val="none"/>
              </w:rPr>
              <w:t>100.00</w:t>
            </w:r>
          </w:p>
        </w:tc>
        <w:tc>
          <w:tcPr>
            <w:tcW w:w="343" w:type="dxa"/>
            <w:tcBorders>
              <w:top w:val="single" w:color="000000" w:sz="4" w:space="0"/>
              <w:left w:val="single" w:color="000000" w:sz="4" w:space="0"/>
              <w:bottom w:val="single" w:color="000000" w:sz="12" w:space="0"/>
              <w:right w:val="single" w:color="000000" w:sz="12" w:space="0"/>
            </w:tcBorders>
            <w:vAlign w:val="center"/>
          </w:tcPr>
          <w:p w14:paraId="77F2954E">
            <w:pPr>
              <w:pStyle w:val="41"/>
              <w:rPr>
                <w:color w:val="auto"/>
                <w:highlight w:val="none"/>
              </w:rPr>
            </w:pPr>
            <w:r>
              <w:rPr>
                <w:rFonts w:hint="eastAsia"/>
                <w:color w:val="auto"/>
                <w:highlight w:val="none"/>
              </w:rPr>
              <w:t>5800000.00</w:t>
            </w:r>
          </w:p>
        </w:tc>
      </w:tr>
    </w:tbl>
    <w:p w14:paraId="0B922567">
      <w:pPr>
        <w:pStyle w:val="40"/>
        <w:spacing w:before="24" w:after="24"/>
        <w:rPr>
          <w:color w:val="auto"/>
          <w:highlight w:val="none"/>
        </w:rPr>
      </w:pPr>
      <w:r>
        <w:rPr>
          <w:color w:val="auto"/>
          <w:highlight w:val="none"/>
        </w:rPr>
        <w:t>表</w:t>
      </w:r>
      <w:r>
        <w:rPr>
          <w:rFonts w:hint="eastAsia"/>
          <w:color w:val="auto"/>
          <w:highlight w:val="none"/>
        </w:rPr>
        <w:t>3.3</w:t>
      </w:r>
      <w:r>
        <w:rPr>
          <w:color w:val="auto"/>
          <w:highlight w:val="none"/>
        </w:rPr>
        <w:t>-</w:t>
      </w:r>
      <w:r>
        <w:rPr>
          <w:rFonts w:hint="eastAsia"/>
          <w:color w:val="auto"/>
          <w:highlight w:val="none"/>
        </w:rPr>
        <w:t>2</w:t>
      </w:r>
      <w:r>
        <w:rPr>
          <w:color w:val="auto"/>
          <w:highlight w:val="none"/>
        </w:rPr>
        <w:t xml:space="preserve"> </w:t>
      </w:r>
      <w:r>
        <w:rPr>
          <w:rFonts w:hint="eastAsia"/>
          <w:color w:val="auto"/>
          <w:highlight w:val="none"/>
        </w:rPr>
        <w:t xml:space="preserve">     选矿技术</w:t>
      </w:r>
      <w:r>
        <w:rPr>
          <w:color w:val="auto"/>
          <w:highlight w:val="none"/>
        </w:rPr>
        <w:t>指标</w:t>
      </w:r>
      <w:r>
        <w:rPr>
          <w:rFonts w:hint="eastAsia"/>
          <w:color w:val="auto"/>
          <w:highlight w:val="none"/>
        </w:rPr>
        <w:t>表（一期）</w:t>
      </w:r>
    </w:p>
    <w:tbl>
      <w:tblPr>
        <w:tblStyle w:val="25"/>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165"/>
        <w:gridCol w:w="2316"/>
        <w:gridCol w:w="1545"/>
        <w:gridCol w:w="1259"/>
        <w:gridCol w:w="2225"/>
      </w:tblGrid>
      <w:tr w14:paraId="777213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0" w:type="auto"/>
            <w:tcBorders>
              <w:tl2br w:val="nil"/>
              <w:tr2bl w:val="nil"/>
            </w:tcBorders>
            <w:noWrap/>
            <w:vAlign w:val="center"/>
          </w:tcPr>
          <w:p w14:paraId="00B186A3">
            <w:pPr>
              <w:pStyle w:val="41"/>
              <w:rPr>
                <w:color w:val="auto"/>
                <w:highlight w:val="none"/>
              </w:rPr>
            </w:pPr>
            <w:r>
              <w:rPr>
                <w:rFonts w:hint="eastAsia"/>
                <w:color w:val="auto"/>
                <w:highlight w:val="none"/>
              </w:rPr>
              <w:t>序号</w:t>
            </w:r>
          </w:p>
        </w:tc>
        <w:tc>
          <w:tcPr>
            <w:tcW w:w="2269" w:type="pct"/>
            <w:gridSpan w:val="2"/>
            <w:tcBorders>
              <w:tl2br w:val="nil"/>
              <w:tr2bl w:val="nil"/>
            </w:tcBorders>
            <w:noWrap/>
            <w:vAlign w:val="center"/>
          </w:tcPr>
          <w:p w14:paraId="3586C0C1">
            <w:pPr>
              <w:pStyle w:val="41"/>
              <w:rPr>
                <w:color w:val="auto"/>
                <w:highlight w:val="none"/>
              </w:rPr>
            </w:pPr>
            <w:r>
              <w:rPr>
                <w:rFonts w:hint="eastAsia"/>
                <w:color w:val="auto"/>
                <w:highlight w:val="none"/>
              </w:rPr>
              <w:t>项目</w:t>
            </w:r>
          </w:p>
        </w:tc>
        <w:tc>
          <w:tcPr>
            <w:tcW w:w="740" w:type="pct"/>
            <w:tcBorders>
              <w:tl2br w:val="nil"/>
              <w:tr2bl w:val="nil"/>
            </w:tcBorders>
            <w:noWrap/>
            <w:vAlign w:val="center"/>
          </w:tcPr>
          <w:p w14:paraId="0D9D8608">
            <w:pPr>
              <w:pStyle w:val="41"/>
              <w:rPr>
                <w:color w:val="auto"/>
                <w:highlight w:val="none"/>
              </w:rPr>
            </w:pPr>
            <w:r>
              <w:rPr>
                <w:rFonts w:hint="eastAsia"/>
                <w:color w:val="auto"/>
                <w:highlight w:val="none"/>
              </w:rPr>
              <w:t>单位</w:t>
            </w:r>
          </w:p>
        </w:tc>
        <w:tc>
          <w:tcPr>
            <w:tcW w:w="0" w:type="auto"/>
            <w:tcBorders>
              <w:tl2br w:val="nil"/>
              <w:tr2bl w:val="nil"/>
            </w:tcBorders>
            <w:noWrap/>
            <w:vAlign w:val="center"/>
          </w:tcPr>
          <w:p w14:paraId="6F2B9EA5">
            <w:pPr>
              <w:pStyle w:val="41"/>
              <w:rPr>
                <w:color w:val="auto"/>
                <w:highlight w:val="none"/>
              </w:rPr>
            </w:pPr>
            <w:r>
              <w:rPr>
                <w:rFonts w:hint="eastAsia"/>
                <w:color w:val="auto"/>
                <w:highlight w:val="none"/>
              </w:rPr>
              <w:t>参数</w:t>
            </w:r>
          </w:p>
        </w:tc>
      </w:tr>
      <w:tr w14:paraId="74DC8C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restart"/>
            <w:tcBorders>
              <w:tl2br w:val="nil"/>
              <w:tr2bl w:val="nil"/>
            </w:tcBorders>
            <w:noWrap/>
            <w:vAlign w:val="center"/>
          </w:tcPr>
          <w:p w14:paraId="6E6512EA">
            <w:pPr>
              <w:pStyle w:val="41"/>
              <w:rPr>
                <w:color w:val="auto"/>
                <w:highlight w:val="none"/>
              </w:rPr>
            </w:pPr>
            <w:r>
              <w:rPr>
                <w:rFonts w:hint="eastAsia"/>
                <w:color w:val="auto"/>
                <w:highlight w:val="none"/>
              </w:rPr>
              <w:t>1</w:t>
            </w:r>
          </w:p>
        </w:tc>
        <w:tc>
          <w:tcPr>
            <w:tcW w:w="2269" w:type="pct"/>
            <w:gridSpan w:val="2"/>
            <w:vMerge w:val="restart"/>
            <w:tcBorders>
              <w:tl2br w:val="nil"/>
              <w:tr2bl w:val="nil"/>
            </w:tcBorders>
            <w:noWrap/>
            <w:vAlign w:val="center"/>
          </w:tcPr>
          <w:p w14:paraId="36937D3D">
            <w:pPr>
              <w:pStyle w:val="41"/>
              <w:rPr>
                <w:color w:val="auto"/>
                <w:highlight w:val="none"/>
              </w:rPr>
            </w:pPr>
            <w:r>
              <w:rPr>
                <w:rFonts w:hint="eastAsia"/>
                <w:color w:val="auto"/>
                <w:highlight w:val="none"/>
              </w:rPr>
              <w:t>原矿处理量</w:t>
            </w:r>
          </w:p>
        </w:tc>
        <w:tc>
          <w:tcPr>
            <w:tcW w:w="740" w:type="pct"/>
            <w:tcBorders>
              <w:tl2br w:val="nil"/>
              <w:tr2bl w:val="nil"/>
            </w:tcBorders>
            <w:noWrap/>
            <w:vAlign w:val="center"/>
          </w:tcPr>
          <w:p w14:paraId="53386C18">
            <w:pPr>
              <w:pStyle w:val="41"/>
              <w:rPr>
                <w:color w:val="auto"/>
                <w:highlight w:val="none"/>
              </w:rPr>
            </w:pPr>
            <w:r>
              <w:rPr>
                <w:rFonts w:hint="eastAsia"/>
                <w:color w:val="auto"/>
                <w:highlight w:val="none"/>
              </w:rPr>
              <w:t>万t/a</w:t>
            </w:r>
          </w:p>
        </w:tc>
        <w:tc>
          <w:tcPr>
            <w:tcW w:w="2224" w:type="dxa"/>
            <w:tcBorders>
              <w:tl2br w:val="nil"/>
              <w:tr2bl w:val="nil"/>
            </w:tcBorders>
            <w:noWrap/>
            <w:vAlign w:val="center"/>
          </w:tcPr>
          <w:p w14:paraId="3697B3E1">
            <w:pPr>
              <w:pStyle w:val="41"/>
              <w:rPr>
                <w:color w:val="auto"/>
                <w:highlight w:val="none"/>
              </w:rPr>
            </w:pPr>
            <w:r>
              <w:rPr>
                <w:rFonts w:hint="eastAsia"/>
                <w:color w:val="auto"/>
                <w:highlight w:val="none"/>
              </w:rPr>
              <w:t>580.00</w:t>
            </w:r>
          </w:p>
        </w:tc>
      </w:tr>
      <w:tr w14:paraId="05838F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continue"/>
            <w:tcBorders>
              <w:tl2br w:val="nil"/>
              <w:tr2bl w:val="nil"/>
            </w:tcBorders>
            <w:noWrap/>
            <w:vAlign w:val="center"/>
          </w:tcPr>
          <w:p w14:paraId="4C048C63">
            <w:pPr>
              <w:pStyle w:val="41"/>
              <w:rPr>
                <w:color w:val="auto"/>
                <w:highlight w:val="none"/>
              </w:rPr>
            </w:pPr>
          </w:p>
        </w:tc>
        <w:tc>
          <w:tcPr>
            <w:tcW w:w="2269" w:type="pct"/>
            <w:gridSpan w:val="2"/>
            <w:vMerge w:val="continue"/>
            <w:tcBorders>
              <w:tl2br w:val="nil"/>
              <w:tr2bl w:val="nil"/>
            </w:tcBorders>
            <w:noWrap/>
            <w:vAlign w:val="center"/>
          </w:tcPr>
          <w:p w14:paraId="658A9ACA">
            <w:pPr>
              <w:pStyle w:val="41"/>
              <w:rPr>
                <w:color w:val="auto"/>
                <w:highlight w:val="none"/>
              </w:rPr>
            </w:pPr>
          </w:p>
        </w:tc>
        <w:tc>
          <w:tcPr>
            <w:tcW w:w="740" w:type="pct"/>
            <w:tcBorders>
              <w:tl2br w:val="nil"/>
              <w:tr2bl w:val="nil"/>
            </w:tcBorders>
            <w:noWrap/>
            <w:vAlign w:val="center"/>
          </w:tcPr>
          <w:p w14:paraId="116115A5">
            <w:pPr>
              <w:pStyle w:val="41"/>
              <w:rPr>
                <w:color w:val="auto"/>
                <w:highlight w:val="none"/>
              </w:rPr>
            </w:pPr>
            <w:r>
              <w:rPr>
                <w:rFonts w:hint="eastAsia"/>
                <w:color w:val="auto"/>
                <w:highlight w:val="none"/>
              </w:rPr>
              <w:t>t/d</w:t>
            </w:r>
          </w:p>
        </w:tc>
        <w:tc>
          <w:tcPr>
            <w:tcW w:w="2224" w:type="dxa"/>
            <w:tcBorders>
              <w:tl2br w:val="nil"/>
              <w:tr2bl w:val="nil"/>
            </w:tcBorders>
            <w:noWrap/>
            <w:vAlign w:val="center"/>
          </w:tcPr>
          <w:p w14:paraId="548821BF">
            <w:pPr>
              <w:pStyle w:val="41"/>
              <w:rPr>
                <w:color w:val="auto"/>
                <w:highlight w:val="none"/>
              </w:rPr>
            </w:pPr>
            <w:r>
              <w:rPr>
                <w:rFonts w:hint="eastAsia"/>
                <w:color w:val="auto"/>
                <w:highlight w:val="none"/>
              </w:rPr>
              <w:t>1933.33</w:t>
            </w:r>
          </w:p>
        </w:tc>
      </w:tr>
      <w:tr w14:paraId="455414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tcBorders>
              <w:tl2br w:val="nil"/>
              <w:tr2bl w:val="nil"/>
            </w:tcBorders>
            <w:noWrap/>
            <w:vAlign w:val="center"/>
          </w:tcPr>
          <w:p w14:paraId="231895AE">
            <w:pPr>
              <w:pStyle w:val="41"/>
              <w:rPr>
                <w:color w:val="auto"/>
                <w:highlight w:val="none"/>
              </w:rPr>
            </w:pPr>
            <w:r>
              <w:rPr>
                <w:rFonts w:hint="eastAsia"/>
                <w:color w:val="auto"/>
                <w:highlight w:val="none"/>
              </w:rPr>
              <w:t>2</w:t>
            </w:r>
          </w:p>
        </w:tc>
        <w:tc>
          <w:tcPr>
            <w:tcW w:w="2269" w:type="pct"/>
            <w:gridSpan w:val="2"/>
            <w:tcBorders>
              <w:tl2br w:val="nil"/>
              <w:tr2bl w:val="nil"/>
            </w:tcBorders>
            <w:noWrap/>
            <w:vAlign w:val="center"/>
          </w:tcPr>
          <w:p w14:paraId="0132F002">
            <w:pPr>
              <w:pStyle w:val="41"/>
              <w:rPr>
                <w:color w:val="auto"/>
                <w:highlight w:val="none"/>
              </w:rPr>
            </w:pPr>
            <w:r>
              <w:rPr>
                <w:rFonts w:hint="eastAsia"/>
                <w:color w:val="auto"/>
                <w:highlight w:val="none"/>
              </w:rPr>
              <w:t>服务年限</w:t>
            </w:r>
          </w:p>
        </w:tc>
        <w:tc>
          <w:tcPr>
            <w:tcW w:w="740" w:type="pct"/>
            <w:tcBorders>
              <w:tl2br w:val="nil"/>
              <w:tr2bl w:val="nil"/>
            </w:tcBorders>
            <w:noWrap/>
            <w:vAlign w:val="center"/>
          </w:tcPr>
          <w:p w14:paraId="1A2E2E42">
            <w:pPr>
              <w:pStyle w:val="41"/>
              <w:rPr>
                <w:color w:val="auto"/>
                <w:highlight w:val="none"/>
              </w:rPr>
            </w:pPr>
            <w:r>
              <w:rPr>
                <w:rFonts w:hint="eastAsia"/>
                <w:color w:val="auto"/>
                <w:highlight w:val="none"/>
              </w:rPr>
              <w:t>a</w:t>
            </w:r>
          </w:p>
        </w:tc>
        <w:tc>
          <w:tcPr>
            <w:tcW w:w="2224" w:type="dxa"/>
            <w:tcBorders>
              <w:tl2br w:val="nil"/>
              <w:tr2bl w:val="nil"/>
            </w:tcBorders>
            <w:noWrap/>
            <w:vAlign w:val="center"/>
          </w:tcPr>
          <w:p w14:paraId="78B14FEC">
            <w:pPr>
              <w:pStyle w:val="41"/>
              <w:rPr>
                <w:color w:val="auto"/>
                <w:highlight w:val="none"/>
              </w:rPr>
            </w:pPr>
            <w:r>
              <w:rPr>
                <w:rFonts w:hint="eastAsia"/>
                <w:color w:val="auto"/>
                <w:highlight w:val="none"/>
              </w:rPr>
              <w:t>20.03</w:t>
            </w:r>
          </w:p>
        </w:tc>
      </w:tr>
      <w:tr w14:paraId="0244FE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tcBorders>
              <w:tl2br w:val="nil"/>
              <w:tr2bl w:val="nil"/>
            </w:tcBorders>
            <w:noWrap/>
            <w:vAlign w:val="center"/>
          </w:tcPr>
          <w:p w14:paraId="4591E39B">
            <w:pPr>
              <w:pStyle w:val="41"/>
              <w:rPr>
                <w:color w:val="auto"/>
                <w:highlight w:val="none"/>
              </w:rPr>
            </w:pPr>
            <w:r>
              <w:rPr>
                <w:rFonts w:hint="eastAsia"/>
                <w:color w:val="auto"/>
                <w:highlight w:val="none"/>
              </w:rPr>
              <w:t>3</w:t>
            </w:r>
          </w:p>
        </w:tc>
        <w:tc>
          <w:tcPr>
            <w:tcW w:w="2269" w:type="pct"/>
            <w:gridSpan w:val="2"/>
            <w:tcBorders>
              <w:tl2br w:val="nil"/>
              <w:tr2bl w:val="nil"/>
            </w:tcBorders>
            <w:noWrap/>
            <w:vAlign w:val="center"/>
          </w:tcPr>
          <w:p w14:paraId="08D58395">
            <w:pPr>
              <w:pStyle w:val="41"/>
              <w:rPr>
                <w:color w:val="auto"/>
                <w:highlight w:val="none"/>
              </w:rPr>
            </w:pPr>
            <w:r>
              <w:rPr>
                <w:rFonts w:hint="eastAsia"/>
                <w:color w:val="auto"/>
                <w:highlight w:val="none"/>
              </w:rPr>
              <w:t>年生产时间</w:t>
            </w:r>
          </w:p>
        </w:tc>
        <w:tc>
          <w:tcPr>
            <w:tcW w:w="740" w:type="pct"/>
            <w:tcBorders>
              <w:tl2br w:val="nil"/>
              <w:tr2bl w:val="nil"/>
            </w:tcBorders>
            <w:noWrap/>
            <w:vAlign w:val="center"/>
          </w:tcPr>
          <w:p w14:paraId="0225AF8B">
            <w:pPr>
              <w:pStyle w:val="41"/>
              <w:rPr>
                <w:color w:val="auto"/>
                <w:highlight w:val="none"/>
              </w:rPr>
            </w:pPr>
            <w:r>
              <w:rPr>
                <w:rFonts w:hint="eastAsia"/>
                <w:color w:val="auto"/>
                <w:highlight w:val="none"/>
              </w:rPr>
              <w:t>d</w:t>
            </w:r>
          </w:p>
        </w:tc>
        <w:tc>
          <w:tcPr>
            <w:tcW w:w="2224" w:type="dxa"/>
            <w:tcBorders>
              <w:tl2br w:val="nil"/>
              <w:tr2bl w:val="nil"/>
            </w:tcBorders>
            <w:noWrap/>
            <w:vAlign w:val="center"/>
          </w:tcPr>
          <w:p w14:paraId="7ACC14C0">
            <w:pPr>
              <w:pStyle w:val="41"/>
              <w:rPr>
                <w:color w:val="auto"/>
                <w:highlight w:val="none"/>
              </w:rPr>
            </w:pPr>
            <w:r>
              <w:rPr>
                <w:rFonts w:hint="eastAsia"/>
                <w:color w:val="auto"/>
                <w:highlight w:val="none"/>
              </w:rPr>
              <w:t>300</w:t>
            </w:r>
          </w:p>
        </w:tc>
      </w:tr>
      <w:tr w14:paraId="38A1F0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tcBorders>
              <w:tl2br w:val="nil"/>
              <w:tr2bl w:val="nil"/>
            </w:tcBorders>
            <w:noWrap/>
            <w:vAlign w:val="center"/>
          </w:tcPr>
          <w:p w14:paraId="2BF25175">
            <w:pPr>
              <w:pStyle w:val="41"/>
              <w:rPr>
                <w:color w:val="auto"/>
                <w:highlight w:val="none"/>
              </w:rPr>
            </w:pPr>
            <w:r>
              <w:rPr>
                <w:rFonts w:hint="eastAsia"/>
                <w:color w:val="auto"/>
                <w:highlight w:val="none"/>
              </w:rPr>
              <w:t>4</w:t>
            </w:r>
          </w:p>
        </w:tc>
        <w:tc>
          <w:tcPr>
            <w:tcW w:w="2269" w:type="pct"/>
            <w:gridSpan w:val="2"/>
            <w:tcBorders>
              <w:tl2br w:val="nil"/>
              <w:tr2bl w:val="nil"/>
            </w:tcBorders>
            <w:noWrap/>
            <w:vAlign w:val="center"/>
          </w:tcPr>
          <w:p w14:paraId="0A2BC1F0">
            <w:pPr>
              <w:pStyle w:val="41"/>
              <w:rPr>
                <w:color w:val="auto"/>
                <w:highlight w:val="none"/>
              </w:rPr>
            </w:pPr>
            <w:r>
              <w:rPr>
                <w:rFonts w:hint="eastAsia"/>
                <w:color w:val="auto"/>
                <w:highlight w:val="none"/>
              </w:rPr>
              <w:t>设备运转率</w:t>
            </w:r>
          </w:p>
        </w:tc>
        <w:tc>
          <w:tcPr>
            <w:tcW w:w="740" w:type="pct"/>
            <w:tcBorders>
              <w:tl2br w:val="nil"/>
              <w:tr2bl w:val="nil"/>
            </w:tcBorders>
            <w:noWrap/>
            <w:vAlign w:val="center"/>
          </w:tcPr>
          <w:p w14:paraId="4BBBC2CB">
            <w:pPr>
              <w:pStyle w:val="41"/>
              <w:rPr>
                <w:color w:val="auto"/>
                <w:highlight w:val="none"/>
              </w:rPr>
            </w:pPr>
            <w:r>
              <w:rPr>
                <w:rFonts w:hint="eastAsia"/>
                <w:color w:val="auto"/>
                <w:highlight w:val="none"/>
              </w:rPr>
              <w:t>%</w:t>
            </w:r>
          </w:p>
        </w:tc>
        <w:tc>
          <w:tcPr>
            <w:tcW w:w="2224" w:type="dxa"/>
            <w:tcBorders>
              <w:tl2br w:val="nil"/>
              <w:tr2bl w:val="nil"/>
            </w:tcBorders>
            <w:noWrap/>
            <w:vAlign w:val="center"/>
          </w:tcPr>
          <w:p w14:paraId="7D2CBED5">
            <w:pPr>
              <w:pStyle w:val="41"/>
              <w:rPr>
                <w:color w:val="auto"/>
                <w:highlight w:val="none"/>
              </w:rPr>
            </w:pPr>
            <w:r>
              <w:rPr>
                <w:rFonts w:hint="eastAsia"/>
                <w:color w:val="auto"/>
                <w:highlight w:val="none"/>
              </w:rPr>
              <w:t>82.19</w:t>
            </w:r>
          </w:p>
        </w:tc>
      </w:tr>
      <w:tr w14:paraId="501E6D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restart"/>
            <w:tcBorders>
              <w:tl2br w:val="nil"/>
              <w:tr2bl w:val="nil"/>
            </w:tcBorders>
            <w:noWrap/>
            <w:vAlign w:val="center"/>
          </w:tcPr>
          <w:p w14:paraId="379294BE">
            <w:pPr>
              <w:pStyle w:val="41"/>
              <w:rPr>
                <w:color w:val="auto"/>
                <w:highlight w:val="none"/>
              </w:rPr>
            </w:pPr>
            <w:r>
              <w:rPr>
                <w:rFonts w:hint="eastAsia"/>
                <w:color w:val="auto"/>
                <w:highlight w:val="none"/>
              </w:rPr>
              <w:t>5</w:t>
            </w:r>
          </w:p>
        </w:tc>
        <w:tc>
          <w:tcPr>
            <w:tcW w:w="0" w:type="auto"/>
            <w:vMerge w:val="restart"/>
            <w:tcBorders>
              <w:tl2br w:val="nil"/>
              <w:tr2bl w:val="nil"/>
            </w:tcBorders>
            <w:noWrap/>
            <w:vAlign w:val="center"/>
          </w:tcPr>
          <w:p w14:paraId="0D610781">
            <w:pPr>
              <w:pStyle w:val="41"/>
              <w:rPr>
                <w:color w:val="auto"/>
                <w:highlight w:val="none"/>
              </w:rPr>
            </w:pPr>
            <w:r>
              <w:rPr>
                <w:rFonts w:hint="eastAsia"/>
                <w:color w:val="auto"/>
                <w:highlight w:val="none"/>
              </w:rPr>
              <w:t>入选品位</w:t>
            </w:r>
          </w:p>
        </w:tc>
        <w:tc>
          <w:tcPr>
            <w:tcW w:w="908" w:type="pct"/>
            <w:tcBorders>
              <w:tl2br w:val="nil"/>
              <w:tr2bl w:val="nil"/>
            </w:tcBorders>
            <w:noWrap/>
            <w:vAlign w:val="center"/>
          </w:tcPr>
          <w:p w14:paraId="5E69A878">
            <w:pPr>
              <w:pStyle w:val="41"/>
              <w:rPr>
                <w:color w:val="auto"/>
                <w:highlight w:val="none"/>
              </w:rPr>
            </w:pPr>
            <w:r>
              <w:rPr>
                <w:rFonts w:hint="eastAsia"/>
                <w:color w:val="auto"/>
                <w:highlight w:val="none"/>
              </w:rPr>
              <w:t>TFe</w:t>
            </w:r>
          </w:p>
        </w:tc>
        <w:tc>
          <w:tcPr>
            <w:tcW w:w="740" w:type="pct"/>
            <w:tcBorders>
              <w:tl2br w:val="nil"/>
              <w:tr2bl w:val="nil"/>
            </w:tcBorders>
            <w:noWrap/>
            <w:vAlign w:val="center"/>
          </w:tcPr>
          <w:p w14:paraId="1670DDCF">
            <w:pPr>
              <w:pStyle w:val="41"/>
              <w:rPr>
                <w:color w:val="auto"/>
                <w:highlight w:val="none"/>
              </w:rPr>
            </w:pPr>
            <w:r>
              <w:rPr>
                <w:rFonts w:hint="eastAsia"/>
                <w:color w:val="auto"/>
                <w:highlight w:val="none"/>
              </w:rPr>
              <w:t>%</w:t>
            </w:r>
          </w:p>
        </w:tc>
        <w:tc>
          <w:tcPr>
            <w:tcW w:w="2224" w:type="dxa"/>
            <w:tcBorders>
              <w:tl2br w:val="nil"/>
              <w:tr2bl w:val="nil"/>
            </w:tcBorders>
            <w:noWrap/>
            <w:vAlign w:val="center"/>
          </w:tcPr>
          <w:p w14:paraId="02FA1C5A">
            <w:pPr>
              <w:pStyle w:val="41"/>
              <w:rPr>
                <w:color w:val="auto"/>
                <w:highlight w:val="none"/>
              </w:rPr>
            </w:pPr>
            <w:r>
              <w:rPr>
                <w:rFonts w:hint="eastAsia"/>
                <w:color w:val="auto"/>
                <w:highlight w:val="none"/>
              </w:rPr>
              <w:t>9.54</w:t>
            </w:r>
          </w:p>
        </w:tc>
      </w:tr>
      <w:tr w14:paraId="1F2572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continue"/>
            <w:tcBorders>
              <w:tl2br w:val="nil"/>
              <w:tr2bl w:val="nil"/>
            </w:tcBorders>
            <w:noWrap/>
            <w:vAlign w:val="center"/>
          </w:tcPr>
          <w:p w14:paraId="3A5AD7C9">
            <w:pPr>
              <w:pStyle w:val="41"/>
              <w:rPr>
                <w:color w:val="auto"/>
                <w:highlight w:val="none"/>
              </w:rPr>
            </w:pPr>
          </w:p>
        </w:tc>
        <w:tc>
          <w:tcPr>
            <w:tcW w:w="0" w:type="auto"/>
            <w:vMerge w:val="continue"/>
            <w:tcBorders>
              <w:tl2br w:val="nil"/>
              <w:tr2bl w:val="nil"/>
            </w:tcBorders>
            <w:noWrap/>
            <w:vAlign w:val="center"/>
          </w:tcPr>
          <w:p w14:paraId="4A150B2B">
            <w:pPr>
              <w:pStyle w:val="41"/>
              <w:rPr>
                <w:color w:val="auto"/>
                <w:highlight w:val="none"/>
              </w:rPr>
            </w:pPr>
          </w:p>
        </w:tc>
        <w:tc>
          <w:tcPr>
            <w:tcW w:w="908" w:type="pct"/>
            <w:tcBorders>
              <w:tl2br w:val="nil"/>
              <w:tr2bl w:val="nil"/>
            </w:tcBorders>
            <w:noWrap/>
            <w:vAlign w:val="center"/>
          </w:tcPr>
          <w:p w14:paraId="245A3F99">
            <w:pPr>
              <w:pStyle w:val="41"/>
              <w:rPr>
                <w:color w:val="auto"/>
                <w:highlight w:val="none"/>
              </w:rPr>
            </w:pPr>
            <w:r>
              <w:rPr>
                <w:rFonts w:hint="eastAsia"/>
                <w:color w:val="auto"/>
                <w:highlight w:val="none"/>
              </w:rPr>
              <w:t>MFe</w:t>
            </w:r>
          </w:p>
        </w:tc>
        <w:tc>
          <w:tcPr>
            <w:tcW w:w="740" w:type="pct"/>
            <w:tcBorders>
              <w:tl2br w:val="nil"/>
              <w:tr2bl w:val="nil"/>
            </w:tcBorders>
            <w:noWrap/>
            <w:vAlign w:val="center"/>
          </w:tcPr>
          <w:p w14:paraId="3546954B">
            <w:pPr>
              <w:pStyle w:val="41"/>
              <w:rPr>
                <w:color w:val="auto"/>
                <w:highlight w:val="none"/>
              </w:rPr>
            </w:pPr>
            <w:r>
              <w:rPr>
                <w:rFonts w:hint="eastAsia"/>
                <w:color w:val="auto"/>
                <w:highlight w:val="none"/>
              </w:rPr>
              <w:t>%</w:t>
            </w:r>
          </w:p>
        </w:tc>
        <w:tc>
          <w:tcPr>
            <w:tcW w:w="2224" w:type="dxa"/>
            <w:tcBorders>
              <w:tl2br w:val="nil"/>
              <w:tr2bl w:val="nil"/>
            </w:tcBorders>
            <w:noWrap/>
            <w:vAlign w:val="center"/>
          </w:tcPr>
          <w:p w14:paraId="6FDA2760">
            <w:pPr>
              <w:pStyle w:val="41"/>
              <w:rPr>
                <w:color w:val="auto"/>
                <w:highlight w:val="none"/>
              </w:rPr>
            </w:pPr>
            <w:r>
              <w:rPr>
                <w:rFonts w:hint="eastAsia"/>
                <w:color w:val="auto"/>
                <w:highlight w:val="none"/>
              </w:rPr>
              <w:t>2.59</w:t>
            </w:r>
          </w:p>
        </w:tc>
      </w:tr>
      <w:tr w14:paraId="5B7CD2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continue"/>
            <w:tcBorders>
              <w:tl2br w:val="nil"/>
              <w:tr2bl w:val="nil"/>
            </w:tcBorders>
            <w:noWrap/>
            <w:vAlign w:val="center"/>
          </w:tcPr>
          <w:p w14:paraId="7AA6969A">
            <w:pPr>
              <w:pStyle w:val="41"/>
              <w:rPr>
                <w:color w:val="auto"/>
                <w:highlight w:val="none"/>
              </w:rPr>
            </w:pPr>
          </w:p>
        </w:tc>
        <w:tc>
          <w:tcPr>
            <w:tcW w:w="0" w:type="auto"/>
            <w:vMerge w:val="continue"/>
            <w:tcBorders>
              <w:tl2br w:val="nil"/>
              <w:tr2bl w:val="nil"/>
            </w:tcBorders>
            <w:noWrap/>
            <w:vAlign w:val="center"/>
          </w:tcPr>
          <w:p w14:paraId="63EC86AF">
            <w:pPr>
              <w:pStyle w:val="41"/>
              <w:rPr>
                <w:color w:val="auto"/>
                <w:highlight w:val="none"/>
              </w:rPr>
            </w:pPr>
          </w:p>
        </w:tc>
        <w:tc>
          <w:tcPr>
            <w:tcW w:w="908" w:type="pct"/>
            <w:tcBorders>
              <w:tl2br w:val="nil"/>
              <w:tr2bl w:val="nil"/>
            </w:tcBorders>
            <w:noWrap/>
            <w:vAlign w:val="center"/>
          </w:tcPr>
          <w:p w14:paraId="03F7C16B">
            <w:pPr>
              <w:pStyle w:val="41"/>
              <w:rPr>
                <w:color w:val="auto"/>
                <w:highlight w:val="none"/>
              </w:rPr>
            </w:pPr>
            <w:r>
              <w:rPr>
                <w:rFonts w:hint="eastAsia"/>
                <w:color w:val="auto"/>
                <w:highlight w:val="none"/>
              </w:rPr>
              <w:t>TiO</w:t>
            </w:r>
            <w:r>
              <w:rPr>
                <w:rFonts w:hint="eastAsia"/>
                <w:color w:val="auto"/>
                <w:highlight w:val="none"/>
                <w:vertAlign w:val="subscript"/>
              </w:rPr>
              <w:t>2</w:t>
            </w:r>
          </w:p>
        </w:tc>
        <w:tc>
          <w:tcPr>
            <w:tcW w:w="740" w:type="pct"/>
            <w:tcBorders>
              <w:tl2br w:val="nil"/>
              <w:tr2bl w:val="nil"/>
            </w:tcBorders>
            <w:noWrap/>
            <w:vAlign w:val="center"/>
          </w:tcPr>
          <w:p w14:paraId="52C3D12E">
            <w:pPr>
              <w:pStyle w:val="41"/>
              <w:rPr>
                <w:color w:val="auto"/>
                <w:highlight w:val="none"/>
              </w:rPr>
            </w:pPr>
            <w:r>
              <w:rPr>
                <w:rFonts w:hint="eastAsia"/>
                <w:color w:val="auto"/>
                <w:highlight w:val="none"/>
              </w:rPr>
              <w:t>%</w:t>
            </w:r>
          </w:p>
        </w:tc>
        <w:tc>
          <w:tcPr>
            <w:tcW w:w="2224" w:type="dxa"/>
            <w:tcBorders>
              <w:tl2br w:val="nil"/>
              <w:tr2bl w:val="nil"/>
            </w:tcBorders>
            <w:noWrap/>
            <w:vAlign w:val="center"/>
          </w:tcPr>
          <w:p w14:paraId="3D3CAB1A">
            <w:pPr>
              <w:pStyle w:val="41"/>
              <w:rPr>
                <w:color w:val="auto"/>
                <w:highlight w:val="none"/>
              </w:rPr>
            </w:pPr>
            <w:r>
              <w:rPr>
                <w:rFonts w:hint="eastAsia"/>
                <w:color w:val="auto"/>
                <w:highlight w:val="none"/>
              </w:rPr>
              <w:t>2.65</w:t>
            </w:r>
          </w:p>
        </w:tc>
      </w:tr>
      <w:tr w14:paraId="31FCB56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restart"/>
            <w:tcBorders>
              <w:tl2br w:val="nil"/>
              <w:tr2bl w:val="nil"/>
            </w:tcBorders>
            <w:noWrap/>
            <w:vAlign w:val="center"/>
          </w:tcPr>
          <w:p w14:paraId="5EAADC3C">
            <w:pPr>
              <w:pStyle w:val="41"/>
              <w:rPr>
                <w:color w:val="auto"/>
                <w:highlight w:val="none"/>
              </w:rPr>
            </w:pPr>
            <w:r>
              <w:rPr>
                <w:rFonts w:hint="eastAsia"/>
                <w:color w:val="auto"/>
                <w:highlight w:val="none"/>
              </w:rPr>
              <w:t>6</w:t>
            </w:r>
          </w:p>
        </w:tc>
        <w:tc>
          <w:tcPr>
            <w:tcW w:w="0" w:type="auto"/>
            <w:vMerge w:val="restart"/>
            <w:tcBorders>
              <w:tl2br w:val="nil"/>
              <w:tr2bl w:val="nil"/>
            </w:tcBorders>
            <w:noWrap/>
            <w:vAlign w:val="center"/>
          </w:tcPr>
          <w:p w14:paraId="5BCFDC23">
            <w:pPr>
              <w:pStyle w:val="41"/>
              <w:rPr>
                <w:color w:val="auto"/>
                <w:highlight w:val="none"/>
              </w:rPr>
            </w:pPr>
            <w:r>
              <w:rPr>
                <w:rFonts w:hint="eastAsia"/>
                <w:color w:val="auto"/>
                <w:highlight w:val="none"/>
              </w:rPr>
              <w:t>铁精矿品位</w:t>
            </w:r>
          </w:p>
        </w:tc>
        <w:tc>
          <w:tcPr>
            <w:tcW w:w="908" w:type="pct"/>
            <w:tcBorders>
              <w:tl2br w:val="nil"/>
              <w:tr2bl w:val="nil"/>
            </w:tcBorders>
            <w:noWrap/>
            <w:vAlign w:val="center"/>
          </w:tcPr>
          <w:p w14:paraId="503D0B99">
            <w:pPr>
              <w:pStyle w:val="41"/>
              <w:rPr>
                <w:color w:val="auto"/>
                <w:highlight w:val="none"/>
              </w:rPr>
            </w:pPr>
            <w:r>
              <w:rPr>
                <w:rFonts w:hint="eastAsia"/>
                <w:color w:val="auto"/>
                <w:highlight w:val="none"/>
              </w:rPr>
              <w:t>TFe</w:t>
            </w:r>
          </w:p>
        </w:tc>
        <w:tc>
          <w:tcPr>
            <w:tcW w:w="740" w:type="pct"/>
            <w:tcBorders>
              <w:tl2br w:val="nil"/>
              <w:tr2bl w:val="nil"/>
            </w:tcBorders>
            <w:noWrap/>
            <w:vAlign w:val="center"/>
          </w:tcPr>
          <w:p w14:paraId="50F2C11A">
            <w:pPr>
              <w:pStyle w:val="41"/>
              <w:rPr>
                <w:color w:val="auto"/>
                <w:highlight w:val="none"/>
              </w:rPr>
            </w:pPr>
            <w:r>
              <w:rPr>
                <w:rFonts w:hint="eastAsia"/>
                <w:color w:val="auto"/>
                <w:highlight w:val="none"/>
              </w:rPr>
              <w:t>%</w:t>
            </w:r>
          </w:p>
        </w:tc>
        <w:tc>
          <w:tcPr>
            <w:tcW w:w="2224" w:type="dxa"/>
            <w:tcBorders>
              <w:tl2br w:val="nil"/>
              <w:tr2bl w:val="nil"/>
            </w:tcBorders>
            <w:noWrap/>
            <w:vAlign w:val="center"/>
          </w:tcPr>
          <w:p w14:paraId="0BE6D818">
            <w:pPr>
              <w:pStyle w:val="41"/>
              <w:rPr>
                <w:color w:val="auto"/>
                <w:highlight w:val="none"/>
              </w:rPr>
            </w:pPr>
            <w:r>
              <w:rPr>
                <w:rFonts w:hint="eastAsia"/>
                <w:color w:val="auto"/>
                <w:highlight w:val="none"/>
              </w:rPr>
              <w:t>56.00</w:t>
            </w:r>
          </w:p>
        </w:tc>
      </w:tr>
      <w:tr w14:paraId="7BECF2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continue"/>
            <w:tcBorders>
              <w:tl2br w:val="nil"/>
              <w:tr2bl w:val="nil"/>
            </w:tcBorders>
            <w:noWrap/>
            <w:vAlign w:val="center"/>
          </w:tcPr>
          <w:p w14:paraId="46C93D50">
            <w:pPr>
              <w:pStyle w:val="41"/>
              <w:rPr>
                <w:color w:val="auto"/>
                <w:highlight w:val="none"/>
              </w:rPr>
            </w:pPr>
          </w:p>
        </w:tc>
        <w:tc>
          <w:tcPr>
            <w:tcW w:w="0" w:type="auto"/>
            <w:vMerge w:val="continue"/>
            <w:tcBorders>
              <w:tl2br w:val="nil"/>
              <w:tr2bl w:val="nil"/>
            </w:tcBorders>
            <w:noWrap/>
            <w:vAlign w:val="center"/>
          </w:tcPr>
          <w:p w14:paraId="314205AC">
            <w:pPr>
              <w:pStyle w:val="41"/>
              <w:rPr>
                <w:color w:val="auto"/>
                <w:highlight w:val="none"/>
              </w:rPr>
            </w:pPr>
          </w:p>
        </w:tc>
        <w:tc>
          <w:tcPr>
            <w:tcW w:w="908" w:type="pct"/>
            <w:tcBorders>
              <w:tl2br w:val="nil"/>
              <w:tr2bl w:val="nil"/>
            </w:tcBorders>
            <w:noWrap/>
            <w:vAlign w:val="center"/>
          </w:tcPr>
          <w:p w14:paraId="4CE068A2">
            <w:pPr>
              <w:pStyle w:val="41"/>
              <w:rPr>
                <w:color w:val="auto"/>
                <w:highlight w:val="none"/>
              </w:rPr>
            </w:pPr>
            <w:r>
              <w:rPr>
                <w:rFonts w:hint="eastAsia"/>
                <w:color w:val="auto"/>
                <w:highlight w:val="none"/>
              </w:rPr>
              <w:t>TiO</w:t>
            </w:r>
            <w:r>
              <w:rPr>
                <w:rFonts w:hint="eastAsia"/>
                <w:color w:val="auto"/>
                <w:highlight w:val="none"/>
                <w:vertAlign w:val="subscript"/>
              </w:rPr>
              <w:t>2</w:t>
            </w:r>
          </w:p>
        </w:tc>
        <w:tc>
          <w:tcPr>
            <w:tcW w:w="740" w:type="pct"/>
            <w:tcBorders>
              <w:tl2br w:val="nil"/>
              <w:tr2bl w:val="nil"/>
            </w:tcBorders>
            <w:noWrap/>
            <w:vAlign w:val="center"/>
          </w:tcPr>
          <w:p w14:paraId="581ADDD3">
            <w:pPr>
              <w:pStyle w:val="41"/>
              <w:rPr>
                <w:color w:val="auto"/>
                <w:highlight w:val="none"/>
              </w:rPr>
            </w:pPr>
            <w:r>
              <w:rPr>
                <w:rFonts w:hint="eastAsia"/>
                <w:color w:val="auto"/>
                <w:highlight w:val="none"/>
              </w:rPr>
              <w:t>%</w:t>
            </w:r>
          </w:p>
        </w:tc>
        <w:tc>
          <w:tcPr>
            <w:tcW w:w="2224" w:type="dxa"/>
            <w:tcBorders>
              <w:tl2br w:val="nil"/>
              <w:tr2bl w:val="nil"/>
            </w:tcBorders>
            <w:noWrap/>
            <w:vAlign w:val="center"/>
          </w:tcPr>
          <w:p w14:paraId="19BCD2BA">
            <w:pPr>
              <w:pStyle w:val="41"/>
              <w:rPr>
                <w:color w:val="auto"/>
                <w:highlight w:val="none"/>
              </w:rPr>
            </w:pPr>
            <w:r>
              <w:rPr>
                <w:rFonts w:hint="eastAsia"/>
                <w:color w:val="auto"/>
                <w:highlight w:val="none"/>
              </w:rPr>
              <w:t>5.61</w:t>
            </w:r>
          </w:p>
        </w:tc>
      </w:tr>
      <w:tr w14:paraId="19D822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restart"/>
            <w:tcBorders>
              <w:tl2br w:val="nil"/>
              <w:tr2bl w:val="nil"/>
            </w:tcBorders>
            <w:noWrap/>
            <w:vAlign w:val="center"/>
          </w:tcPr>
          <w:p w14:paraId="4C27A1A8">
            <w:pPr>
              <w:pStyle w:val="41"/>
              <w:rPr>
                <w:color w:val="auto"/>
                <w:highlight w:val="none"/>
              </w:rPr>
            </w:pPr>
            <w:r>
              <w:rPr>
                <w:rFonts w:hint="eastAsia"/>
                <w:color w:val="auto"/>
                <w:highlight w:val="none"/>
              </w:rPr>
              <w:t>7</w:t>
            </w:r>
          </w:p>
        </w:tc>
        <w:tc>
          <w:tcPr>
            <w:tcW w:w="0" w:type="auto"/>
            <w:vMerge w:val="restart"/>
            <w:tcBorders>
              <w:tl2br w:val="nil"/>
              <w:tr2bl w:val="nil"/>
            </w:tcBorders>
            <w:noWrap/>
            <w:vAlign w:val="center"/>
          </w:tcPr>
          <w:p w14:paraId="277181C6">
            <w:pPr>
              <w:pStyle w:val="41"/>
              <w:rPr>
                <w:color w:val="auto"/>
                <w:highlight w:val="none"/>
              </w:rPr>
            </w:pPr>
            <w:r>
              <w:rPr>
                <w:rFonts w:hint="eastAsia"/>
                <w:color w:val="auto"/>
                <w:highlight w:val="none"/>
              </w:rPr>
              <w:t>钛精矿品位</w:t>
            </w:r>
          </w:p>
        </w:tc>
        <w:tc>
          <w:tcPr>
            <w:tcW w:w="908" w:type="pct"/>
            <w:tcBorders>
              <w:tl2br w:val="nil"/>
              <w:tr2bl w:val="nil"/>
            </w:tcBorders>
            <w:noWrap/>
            <w:vAlign w:val="center"/>
          </w:tcPr>
          <w:p w14:paraId="488C574E">
            <w:pPr>
              <w:pStyle w:val="41"/>
              <w:rPr>
                <w:color w:val="auto"/>
                <w:highlight w:val="none"/>
              </w:rPr>
            </w:pPr>
            <w:r>
              <w:rPr>
                <w:rFonts w:hint="eastAsia"/>
                <w:color w:val="auto"/>
                <w:highlight w:val="none"/>
              </w:rPr>
              <w:t>TFe</w:t>
            </w:r>
          </w:p>
        </w:tc>
        <w:tc>
          <w:tcPr>
            <w:tcW w:w="740" w:type="pct"/>
            <w:tcBorders>
              <w:tl2br w:val="nil"/>
              <w:tr2bl w:val="nil"/>
            </w:tcBorders>
            <w:noWrap/>
            <w:vAlign w:val="center"/>
          </w:tcPr>
          <w:p w14:paraId="4AFE2506">
            <w:pPr>
              <w:pStyle w:val="41"/>
              <w:rPr>
                <w:color w:val="auto"/>
                <w:highlight w:val="none"/>
              </w:rPr>
            </w:pPr>
            <w:r>
              <w:rPr>
                <w:rFonts w:hint="eastAsia"/>
                <w:color w:val="auto"/>
                <w:highlight w:val="none"/>
              </w:rPr>
              <w:t>%</w:t>
            </w:r>
          </w:p>
        </w:tc>
        <w:tc>
          <w:tcPr>
            <w:tcW w:w="2224" w:type="dxa"/>
            <w:tcBorders>
              <w:tl2br w:val="nil"/>
              <w:tr2bl w:val="nil"/>
            </w:tcBorders>
            <w:noWrap/>
            <w:vAlign w:val="center"/>
          </w:tcPr>
          <w:p w14:paraId="12DF4148">
            <w:pPr>
              <w:pStyle w:val="41"/>
              <w:rPr>
                <w:color w:val="auto"/>
                <w:highlight w:val="none"/>
              </w:rPr>
            </w:pPr>
            <w:r>
              <w:rPr>
                <w:rFonts w:hint="eastAsia"/>
                <w:color w:val="auto"/>
                <w:highlight w:val="none"/>
              </w:rPr>
              <w:t>33.13</w:t>
            </w:r>
          </w:p>
        </w:tc>
      </w:tr>
      <w:tr w14:paraId="37E28E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continue"/>
            <w:tcBorders>
              <w:tl2br w:val="nil"/>
              <w:tr2bl w:val="nil"/>
            </w:tcBorders>
            <w:noWrap/>
            <w:vAlign w:val="center"/>
          </w:tcPr>
          <w:p w14:paraId="13AD7D14">
            <w:pPr>
              <w:pStyle w:val="41"/>
              <w:rPr>
                <w:color w:val="auto"/>
                <w:highlight w:val="none"/>
              </w:rPr>
            </w:pPr>
          </w:p>
        </w:tc>
        <w:tc>
          <w:tcPr>
            <w:tcW w:w="0" w:type="auto"/>
            <w:vMerge w:val="continue"/>
            <w:tcBorders>
              <w:tl2br w:val="nil"/>
              <w:tr2bl w:val="nil"/>
            </w:tcBorders>
            <w:noWrap/>
            <w:vAlign w:val="center"/>
          </w:tcPr>
          <w:p w14:paraId="01A414B4">
            <w:pPr>
              <w:pStyle w:val="41"/>
              <w:rPr>
                <w:color w:val="auto"/>
                <w:highlight w:val="none"/>
              </w:rPr>
            </w:pPr>
          </w:p>
        </w:tc>
        <w:tc>
          <w:tcPr>
            <w:tcW w:w="908" w:type="pct"/>
            <w:tcBorders>
              <w:tl2br w:val="nil"/>
              <w:tr2bl w:val="nil"/>
            </w:tcBorders>
            <w:noWrap/>
            <w:vAlign w:val="center"/>
          </w:tcPr>
          <w:p w14:paraId="0EBAE5DB">
            <w:pPr>
              <w:pStyle w:val="41"/>
              <w:rPr>
                <w:color w:val="auto"/>
                <w:highlight w:val="none"/>
              </w:rPr>
            </w:pPr>
            <w:r>
              <w:rPr>
                <w:rFonts w:hint="eastAsia"/>
                <w:color w:val="auto"/>
                <w:highlight w:val="none"/>
              </w:rPr>
              <w:t>TiO</w:t>
            </w:r>
            <w:r>
              <w:rPr>
                <w:rFonts w:hint="eastAsia"/>
                <w:color w:val="auto"/>
                <w:highlight w:val="none"/>
                <w:vertAlign w:val="subscript"/>
              </w:rPr>
              <w:t>2</w:t>
            </w:r>
          </w:p>
        </w:tc>
        <w:tc>
          <w:tcPr>
            <w:tcW w:w="740" w:type="pct"/>
            <w:tcBorders>
              <w:tl2br w:val="nil"/>
              <w:tr2bl w:val="nil"/>
            </w:tcBorders>
            <w:noWrap/>
            <w:vAlign w:val="center"/>
          </w:tcPr>
          <w:p w14:paraId="3310B955">
            <w:pPr>
              <w:pStyle w:val="41"/>
              <w:rPr>
                <w:color w:val="auto"/>
                <w:highlight w:val="none"/>
              </w:rPr>
            </w:pPr>
            <w:r>
              <w:rPr>
                <w:rFonts w:hint="eastAsia"/>
                <w:color w:val="auto"/>
                <w:highlight w:val="none"/>
              </w:rPr>
              <w:t>%</w:t>
            </w:r>
          </w:p>
        </w:tc>
        <w:tc>
          <w:tcPr>
            <w:tcW w:w="2224" w:type="dxa"/>
            <w:tcBorders>
              <w:tl2br w:val="nil"/>
              <w:tr2bl w:val="nil"/>
            </w:tcBorders>
            <w:noWrap/>
            <w:vAlign w:val="center"/>
          </w:tcPr>
          <w:p w14:paraId="23A2CEC1">
            <w:pPr>
              <w:pStyle w:val="41"/>
              <w:rPr>
                <w:color w:val="auto"/>
                <w:highlight w:val="none"/>
              </w:rPr>
            </w:pPr>
            <w:r>
              <w:rPr>
                <w:rFonts w:hint="eastAsia"/>
                <w:color w:val="auto"/>
                <w:highlight w:val="none"/>
              </w:rPr>
              <w:t>46.50</w:t>
            </w:r>
          </w:p>
        </w:tc>
      </w:tr>
      <w:tr w14:paraId="73D31B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restart"/>
            <w:tcBorders>
              <w:tl2br w:val="nil"/>
              <w:tr2bl w:val="nil"/>
            </w:tcBorders>
            <w:noWrap/>
            <w:vAlign w:val="center"/>
          </w:tcPr>
          <w:p w14:paraId="097918EB">
            <w:pPr>
              <w:pStyle w:val="41"/>
              <w:rPr>
                <w:color w:val="auto"/>
                <w:highlight w:val="none"/>
              </w:rPr>
            </w:pPr>
            <w:r>
              <w:rPr>
                <w:rFonts w:hint="eastAsia"/>
                <w:color w:val="auto"/>
                <w:highlight w:val="none"/>
              </w:rPr>
              <w:t>8</w:t>
            </w:r>
          </w:p>
        </w:tc>
        <w:tc>
          <w:tcPr>
            <w:tcW w:w="0" w:type="auto"/>
            <w:vMerge w:val="restart"/>
            <w:tcBorders>
              <w:tl2br w:val="nil"/>
              <w:tr2bl w:val="nil"/>
            </w:tcBorders>
            <w:noWrap/>
            <w:vAlign w:val="center"/>
          </w:tcPr>
          <w:p w14:paraId="05BDA65F">
            <w:pPr>
              <w:pStyle w:val="41"/>
              <w:rPr>
                <w:color w:val="auto"/>
                <w:highlight w:val="none"/>
              </w:rPr>
            </w:pPr>
            <w:r>
              <w:rPr>
                <w:rFonts w:hint="eastAsia"/>
                <w:color w:val="auto"/>
                <w:highlight w:val="none"/>
              </w:rPr>
              <w:t>精矿产率</w:t>
            </w:r>
          </w:p>
        </w:tc>
        <w:tc>
          <w:tcPr>
            <w:tcW w:w="908" w:type="pct"/>
            <w:tcBorders>
              <w:tl2br w:val="nil"/>
              <w:tr2bl w:val="nil"/>
            </w:tcBorders>
            <w:noWrap/>
            <w:vAlign w:val="center"/>
          </w:tcPr>
          <w:p w14:paraId="57A44A6D">
            <w:pPr>
              <w:pStyle w:val="41"/>
              <w:rPr>
                <w:color w:val="auto"/>
                <w:highlight w:val="none"/>
              </w:rPr>
            </w:pPr>
            <w:r>
              <w:rPr>
                <w:rFonts w:hint="eastAsia"/>
                <w:color w:val="auto"/>
                <w:highlight w:val="none"/>
              </w:rPr>
              <w:t>铁精矿</w:t>
            </w:r>
          </w:p>
        </w:tc>
        <w:tc>
          <w:tcPr>
            <w:tcW w:w="740" w:type="pct"/>
            <w:tcBorders>
              <w:tl2br w:val="nil"/>
              <w:tr2bl w:val="nil"/>
            </w:tcBorders>
            <w:noWrap/>
            <w:vAlign w:val="center"/>
          </w:tcPr>
          <w:p w14:paraId="54C80F1D">
            <w:pPr>
              <w:pStyle w:val="41"/>
              <w:rPr>
                <w:color w:val="auto"/>
                <w:highlight w:val="none"/>
              </w:rPr>
            </w:pPr>
            <w:r>
              <w:rPr>
                <w:rFonts w:hint="eastAsia"/>
                <w:color w:val="auto"/>
                <w:highlight w:val="none"/>
              </w:rPr>
              <w:t>%</w:t>
            </w:r>
          </w:p>
        </w:tc>
        <w:tc>
          <w:tcPr>
            <w:tcW w:w="2224" w:type="dxa"/>
            <w:tcBorders>
              <w:tl2br w:val="nil"/>
              <w:tr2bl w:val="nil"/>
            </w:tcBorders>
            <w:noWrap/>
            <w:vAlign w:val="center"/>
          </w:tcPr>
          <w:p w14:paraId="19F8AB5F">
            <w:pPr>
              <w:pStyle w:val="41"/>
              <w:rPr>
                <w:color w:val="auto"/>
                <w:highlight w:val="none"/>
              </w:rPr>
            </w:pPr>
            <w:r>
              <w:rPr>
                <w:rFonts w:hint="eastAsia"/>
                <w:color w:val="auto"/>
                <w:highlight w:val="none"/>
              </w:rPr>
              <w:t>5.20</w:t>
            </w:r>
          </w:p>
        </w:tc>
      </w:tr>
      <w:tr w14:paraId="41E53F8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continue"/>
            <w:tcBorders>
              <w:tl2br w:val="nil"/>
              <w:tr2bl w:val="nil"/>
            </w:tcBorders>
            <w:noWrap/>
            <w:vAlign w:val="center"/>
          </w:tcPr>
          <w:p w14:paraId="04C75C81">
            <w:pPr>
              <w:pStyle w:val="41"/>
              <w:rPr>
                <w:color w:val="auto"/>
                <w:highlight w:val="none"/>
              </w:rPr>
            </w:pPr>
          </w:p>
        </w:tc>
        <w:tc>
          <w:tcPr>
            <w:tcW w:w="0" w:type="auto"/>
            <w:vMerge w:val="continue"/>
            <w:tcBorders>
              <w:tl2br w:val="nil"/>
              <w:tr2bl w:val="nil"/>
            </w:tcBorders>
            <w:noWrap/>
            <w:vAlign w:val="center"/>
          </w:tcPr>
          <w:p w14:paraId="6F3486C5">
            <w:pPr>
              <w:pStyle w:val="41"/>
              <w:rPr>
                <w:color w:val="auto"/>
                <w:highlight w:val="none"/>
              </w:rPr>
            </w:pPr>
          </w:p>
        </w:tc>
        <w:tc>
          <w:tcPr>
            <w:tcW w:w="908" w:type="pct"/>
            <w:tcBorders>
              <w:tl2br w:val="nil"/>
              <w:tr2bl w:val="nil"/>
            </w:tcBorders>
            <w:noWrap/>
            <w:vAlign w:val="center"/>
          </w:tcPr>
          <w:p w14:paraId="4D231F76">
            <w:pPr>
              <w:pStyle w:val="41"/>
              <w:rPr>
                <w:color w:val="auto"/>
                <w:highlight w:val="none"/>
              </w:rPr>
            </w:pPr>
            <w:r>
              <w:rPr>
                <w:rFonts w:hint="eastAsia"/>
                <w:color w:val="auto"/>
                <w:highlight w:val="none"/>
              </w:rPr>
              <w:t>钛精矿</w:t>
            </w:r>
          </w:p>
        </w:tc>
        <w:tc>
          <w:tcPr>
            <w:tcW w:w="740" w:type="pct"/>
            <w:tcBorders>
              <w:tl2br w:val="nil"/>
              <w:tr2bl w:val="nil"/>
            </w:tcBorders>
            <w:noWrap/>
            <w:vAlign w:val="center"/>
          </w:tcPr>
          <w:p w14:paraId="577AE149">
            <w:pPr>
              <w:pStyle w:val="41"/>
              <w:rPr>
                <w:color w:val="auto"/>
                <w:highlight w:val="none"/>
              </w:rPr>
            </w:pPr>
            <w:r>
              <w:rPr>
                <w:rFonts w:hint="eastAsia"/>
                <w:color w:val="auto"/>
                <w:highlight w:val="none"/>
              </w:rPr>
              <w:t>%</w:t>
            </w:r>
          </w:p>
        </w:tc>
        <w:tc>
          <w:tcPr>
            <w:tcW w:w="2224" w:type="dxa"/>
            <w:tcBorders>
              <w:tl2br w:val="nil"/>
              <w:tr2bl w:val="nil"/>
            </w:tcBorders>
            <w:noWrap/>
            <w:vAlign w:val="center"/>
          </w:tcPr>
          <w:p w14:paraId="20218B2F">
            <w:pPr>
              <w:pStyle w:val="41"/>
              <w:rPr>
                <w:color w:val="auto"/>
                <w:highlight w:val="none"/>
              </w:rPr>
            </w:pPr>
            <w:r>
              <w:rPr>
                <w:rFonts w:hint="eastAsia"/>
                <w:color w:val="auto"/>
                <w:highlight w:val="none"/>
              </w:rPr>
              <w:t>2.74</w:t>
            </w:r>
          </w:p>
        </w:tc>
      </w:tr>
      <w:tr w14:paraId="33951F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restart"/>
            <w:tcBorders>
              <w:tl2br w:val="nil"/>
              <w:tr2bl w:val="nil"/>
            </w:tcBorders>
            <w:noWrap/>
            <w:vAlign w:val="center"/>
          </w:tcPr>
          <w:p w14:paraId="12C1D889">
            <w:pPr>
              <w:pStyle w:val="41"/>
              <w:rPr>
                <w:color w:val="auto"/>
                <w:highlight w:val="none"/>
              </w:rPr>
            </w:pPr>
            <w:r>
              <w:rPr>
                <w:rFonts w:hint="eastAsia"/>
                <w:color w:val="auto"/>
                <w:highlight w:val="none"/>
              </w:rPr>
              <w:t>9</w:t>
            </w:r>
          </w:p>
        </w:tc>
        <w:tc>
          <w:tcPr>
            <w:tcW w:w="0" w:type="auto"/>
            <w:vMerge w:val="restart"/>
            <w:tcBorders>
              <w:tl2br w:val="nil"/>
              <w:tr2bl w:val="nil"/>
            </w:tcBorders>
            <w:noWrap/>
            <w:vAlign w:val="center"/>
          </w:tcPr>
          <w:p w14:paraId="319CBABD">
            <w:pPr>
              <w:pStyle w:val="41"/>
              <w:rPr>
                <w:color w:val="auto"/>
                <w:highlight w:val="none"/>
              </w:rPr>
            </w:pPr>
            <w:r>
              <w:rPr>
                <w:rFonts w:hint="eastAsia"/>
                <w:color w:val="auto"/>
                <w:highlight w:val="none"/>
              </w:rPr>
              <w:t>精矿产量</w:t>
            </w:r>
          </w:p>
        </w:tc>
        <w:tc>
          <w:tcPr>
            <w:tcW w:w="908" w:type="pct"/>
            <w:tcBorders>
              <w:tl2br w:val="nil"/>
              <w:tr2bl w:val="nil"/>
            </w:tcBorders>
            <w:noWrap/>
            <w:vAlign w:val="center"/>
          </w:tcPr>
          <w:p w14:paraId="64B4BCA0">
            <w:pPr>
              <w:pStyle w:val="41"/>
              <w:rPr>
                <w:color w:val="auto"/>
                <w:highlight w:val="none"/>
              </w:rPr>
            </w:pPr>
            <w:r>
              <w:rPr>
                <w:rFonts w:hint="eastAsia"/>
                <w:color w:val="auto"/>
                <w:highlight w:val="none"/>
              </w:rPr>
              <w:t>铁精矿</w:t>
            </w:r>
          </w:p>
        </w:tc>
        <w:tc>
          <w:tcPr>
            <w:tcW w:w="740" w:type="pct"/>
            <w:tcBorders>
              <w:tl2br w:val="nil"/>
              <w:tr2bl w:val="nil"/>
            </w:tcBorders>
            <w:noWrap/>
            <w:vAlign w:val="center"/>
          </w:tcPr>
          <w:p w14:paraId="04B52969">
            <w:pPr>
              <w:pStyle w:val="41"/>
              <w:rPr>
                <w:color w:val="auto"/>
                <w:highlight w:val="none"/>
              </w:rPr>
            </w:pPr>
            <w:r>
              <w:rPr>
                <w:rFonts w:hint="eastAsia"/>
                <w:color w:val="auto"/>
                <w:highlight w:val="none"/>
              </w:rPr>
              <w:t>t/a</w:t>
            </w:r>
          </w:p>
        </w:tc>
        <w:tc>
          <w:tcPr>
            <w:tcW w:w="2224" w:type="dxa"/>
            <w:tcBorders>
              <w:tl2br w:val="nil"/>
              <w:tr2bl w:val="nil"/>
            </w:tcBorders>
            <w:noWrap/>
            <w:vAlign w:val="center"/>
          </w:tcPr>
          <w:p w14:paraId="3502481C">
            <w:pPr>
              <w:pStyle w:val="41"/>
              <w:rPr>
                <w:color w:val="auto"/>
                <w:highlight w:val="none"/>
              </w:rPr>
            </w:pPr>
            <w:r>
              <w:rPr>
                <w:rFonts w:hint="eastAsia"/>
                <w:color w:val="auto"/>
                <w:highlight w:val="none"/>
              </w:rPr>
              <w:t>301361.79</w:t>
            </w:r>
          </w:p>
        </w:tc>
      </w:tr>
      <w:tr w14:paraId="3DD0B1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continue"/>
            <w:tcBorders>
              <w:tl2br w:val="nil"/>
              <w:tr2bl w:val="nil"/>
            </w:tcBorders>
            <w:noWrap/>
            <w:vAlign w:val="center"/>
          </w:tcPr>
          <w:p w14:paraId="7AD44CF8">
            <w:pPr>
              <w:pStyle w:val="41"/>
              <w:rPr>
                <w:color w:val="auto"/>
                <w:highlight w:val="none"/>
              </w:rPr>
            </w:pPr>
          </w:p>
        </w:tc>
        <w:tc>
          <w:tcPr>
            <w:tcW w:w="0" w:type="auto"/>
            <w:vMerge w:val="continue"/>
            <w:tcBorders>
              <w:tl2br w:val="nil"/>
              <w:tr2bl w:val="nil"/>
            </w:tcBorders>
            <w:noWrap/>
            <w:vAlign w:val="center"/>
          </w:tcPr>
          <w:p w14:paraId="3D99C8D8">
            <w:pPr>
              <w:pStyle w:val="41"/>
              <w:rPr>
                <w:color w:val="auto"/>
                <w:highlight w:val="none"/>
              </w:rPr>
            </w:pPr>
          </w:p>
        </w:tc>
        <w:tc>
          <w:tcPr>
            <w:tcW w:w="908" w:type="pct"/>
            <w:tcBorders>
              <w:tl2br w:val="nil"/>
              <w:tr2bl w:val="nil"/>
            </w:tcBorders>
            <w:noWrap/>
            <w:vAlign w:val="center"/>
          </w:tcPr>
          <w:p w14:paraId="4FBADEF5">
            <w:pPr>
              <w:pStyle w:val="41"/>
              <w:rPr>
                <w:color w:val="auto"/>
                <w:highlight w:val="none"/>
              </w:rPr>
            </w:pPr>
            <w:r>
              <w:rPr>
                <w:rFonts w:hint="eastAsia"/>
                <w:color w:val="auto"/>
                <w:highlight w:val="none"/>
              </w:rPr>
              <w:t>钛精矿</w:t>
            </w:r>
          </w:p>
        </w:tc>
        <w:tc>
          <w:tcPr>
            <w:tcW w:w="740" w:type="pct"/>
            <w:tcBorders>
              <w:tl2br w:val="nil"/>
              <w:tr2bl w:val="nil"/>
            </w:tcBorders>
            <w:noWrap/>
            <w:vAlign w:val="center"/>
          </w:tcPr>
          <w:p w14:paraId="4F084AB3">
            <w:pPr>
              <w:pStyle w:val="41"/>
              <w:rPr>
                <w:color w:val="auto"/>
                <w:highlight w:val="none"/>
              </w:rPr>
            </w:pPr>
            <w:r>
              <w:rPr>
                <w:rFonts w:hint="eastAsia"/>
                <w:color w:val="auto"/>
                <w:highlight w:val="none"/>
              </w:rPr>
              <w:t>t/a</w:t>
            </w:r>
          </w:p>
        </w:tc>
        <w:tc>
          <w:tcPr>
            <w:tcW w:w="2224" w:type="dxa"/>
            <w:tcBorders>
              <w:tl2br w:val="nil"/>
              <w:tr2bl w:val="nil"/>
            </w:tcBorders>
            <w:noWrap/>
            <w:vAlign w:val="center"/>
          </w:tcPr>
          <w:p w14:paraId="0C268BDF">
            <w:pPr>
              <w:pStyle w:val="41"/>
              <w:rPr>
                <w:color w:val="auto"/>
                <w:highlight w:val="none"/>
              </w:rPr>
            </w:pPr>
            <w:r>
              <w:rPr>
                <w:rFonts w:hint="eastAsia"/>
                <w:color w:val="auto"/>
                <w:highlight w:val="none"/>
              </w:rPr>
              <w:t>158658.06</w:t>
            </w:r>
          </w:p>
        </w:tc>
      </w:tr>
      <w:tr w14:paraId="15C355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restart"/>
            <w:tcBorders>
              <w:tl2br w:val="nil"/>
              <w:tr2bl w:val="nil"/>
            </w:tcBorders>
            <w:noWrap/>
            <w:vAlign w:val="center"/>
          </w:tcPr>
          <w:p w14:paraId="0A36138E">
            <w:pPr>
              <w:pStyle w:val="41"/>
              <w:rPr>
                <w:color w:val="auto"/>
                <w:highlight w:val="none"/>
              </w:rPr>
            </w:pPr>
            <w:r>
              <w:rPr>
                <w:rFonts w:hint="eastAsia"/>
                <w:color w:val="auto"/>
                <w:highlight w:val="none"/>
              </w:rPr>
              <w:t>10</w:t>
            </w:r>
          </w:p>
        </w:tc>
        <w:tc>
          <w:tcPr>
            <w:tcW w:w="2269" w:type="pct"/>
            <w:gridSpan w:val="2"/>
            <w:tcBorders>
              <w:tl2br w:val="nil"/>
              <w:tr2bl w:val="nil"/>
            </w:tcBorders>
            <w:noWrap/>
            <w:vAlign w:val="center"/>
          </w:tcPr>
          <w:p w14:paraId="5798EDD3">
            <w:pPr>
              <w:pStyle w:val="41"/>
              <w:rPr>
                <w:color w:val="auto"/>
                <w:highlight w:val="none"/>
              </w:rPr>
            </w:pPr>
            <w:r>
              <w:rPr>
                <w:rFonts w:hint="eastAsia"/>
                <w:color w:val="auto"/>
                <w:highlight w:val="none"/>
              </w:rPr>
              <w:t>干抛废石产率</w:t>
            </w:r>
          </w:p>
        </w:tc>
        <w:tc>
          <w:tcPr>
            <w:tcW w:w="740" w:type="pct"/>
            <w:tcBorders>
              <w:tl2br w:val="nil"/>
              <w:tr2bl w:val="nil"/>
            </w:tcBorders>
            <w:noWrap/>
            <w:vAlign w:val="center"/>
          </w:tcPr>
          <w:p w14:paraId="20E89D2F">
            <w:pPr>
              <w:pStyle w:val="41"/>
              <w:rPr>
                <w:color w:val="auto"/>
                <w:highlight w:val="none"/>
              </w:rPr>
            </w:pPr>
            <w:r>
              <w:rPr>
                <w:rFonts w:hint="eastAsia"/>
                <w:color w:val="auto"/>
                <w:highlight w:val="none"/>
              </w:rPr>
              <w:t>%</w:t>
            </w:r>
          </w:p>
        </w:tc>
        <w:tc>
          <w:tcPr>
            <w:tcW w:w="2224" w:type="dxa"/>
            <w:tcBorders>
              <w:tl2br w:val="nil"/>
              <w:tr2bl w:val="nil"/>
            </w:tcBorders>
            <w:noWrap/>
            <w:vAlign w:val="center"/>
          </w:tcPr>
          <w:p w14:paraId="16E2CC46">
            <w:pPr>
              <w:pStyle w:val="41"/>
              <w:rPr>
                <w:color w:val="auto"/>
                <w:highlight w:val="none"/>
              </w:rPr>
            </w:pPr>
            <w:r>
              <w:rPr>
                <w:rFonts w:hint="eastAsia"/>
                <w:color w:val="auto"/>
                <w:highlight w:val="none"/>
              </w:rPr>
              <w:t>40.00</w:t>
            </w:r>
          </w:p>
        </w:tc>
      </w:tr>
      <w:tr w14:paraId="7FE9D7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continue"/>
            <w:tcBorders>
              <w:tl2br w:val="nil"/>
              <w:tr2bl w:val="nil"/>
            </w:tcBorders>
            <w:noWrap/>
            <w:vAlign w:val="center"/>
          </w:tcPr>
          <w:p w14:paraId="01BD62B2">
            <w:pPr>
              <w:pStyle w:val="41"/>
              <w:rPr>
                <w:color w:val="auto"/>
                <w:highlight w:val="none"/>
              </w:rPr>
            </w:pPr>
          </w:p>
        </w:tc>
        <w:tc>
          <w:tcPr>
            <w:tcW w:w="2269" w:type="pct"/>
            <w:gridSpan w:val="2"/>
            <w:tcBorders>
              <w:tl2br w:val="nil"/>
              <w:tr2bl w:val="nil"/>
            </w:tcBorders>
            <w:noWrap/>
            <w:vAlign w:val="center"/>
          </w:tcPr>
          <w:p w14:paraId="59800621">
            <w:pPr>
              <w:pStyle w:val="41"/>
              <w:rPr>
                <w:color w:val="auto"/>
                <w:highlight w:val="none"/>
              </w:rPr>
            </w:pPr>
            <w:r>
              <w:rPr>
                <w:rFonts w:hint="eastAsia"/>
                <w:color w:val="auto"/>
                <w:highlight w:val="none"/>
              </w:rPr>
              <w:t>干抛废石产量</w:t>
            </w:r>
          </w:p>
        </w:tc>
        <w:tc>
          <w:tcPr>
            <w:tcW w:w="740" w:type="pct"/>
            <w:tcBorders>
              <w:tl2br w:val="nil"/>
              <w:tr2bl w:val="nil"/>
            </w:tcBorders>
            <w:noWrap/>
            <w:vAlign w:val="center"/>
          </w:tcPr>
          <w:p w14:paraId="1F77F410">
            <w:pPr>
              <w:pStyle w:val="41"/>
              <w:rPr>
                <w:color w:val="auto"/>
                <w:highlight w:val="none"/>
              </w:rPr>
            </w:pPr>
            <w:r>
              <w:rPr>
                <w:rFonts w:hint="eastAsia"/>
                <w:color w:val="auto"/>
                <w:highlight w:val="none"/>
              </w:rPr>
              <w:t>t/a</w:t>
            </w:r>
          </w:p>
        </w:tc>
        <w:tc>
          <w:tcPr>
            <w:tcW w:w="2224" w:type="dxa"/>
            <w:tcBorders>
              <w:tl2br w:val="nil"/>
              <w:tr2bl w:val="nil"/>
            </w:tcBorders>
            <w:noWrap/>
            <w:vAlign w:val="center"/>
          </w:tcPr>
          <w:p w14:paraId="57DACCA6">
            <w:pPr>
              <w:pStyle w:val="41"/>
              <w:rPr>
                <w:color w:val="auto"/>
                <w:highlight w:val="none"/>
              </w:rPr>
            </w:pPr>
            <w:r>
              <w:rPr>
                <w:rFonts w:hint="eastAsia"/>
                <w:color w:val="auto"/>
                <w:highlight w:val="none"/>
              </w:rPr>
              <w:t>2320000.00</w:t>
            </w:r>
          </w:p>
        </w:tc>
      </w:tr>
      <w:tr w14:paraId="5FA424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restart"/>
            <w:tcBorders>
              <w:tl2br w:val="nil"/>
              <w:tr2bl w:val="nil"/>
            </w:tcBorders>
            <w:noWrap/>
            <w:vAlign w:val="center"/>
          </w:tcPr>
          <w:p w14:paraId="48EB9990">
            <w:pPr>
              <w:pStyle w:val="41"/>
              <w:rPr>
                <w:color w:val="auto"/>
                <w:highlight w:val="none"/>
              </w:rPr>
            </w:pPr>
            <w:r>
              <w:rPr>
                <w:rFonts w:hint="eastAsia"/>
                <w:color w:val="auto"/>
                <w:highlight w:val="none"/>
              </w:rPr>
              <w:t>11</w:t>
            </w:r>
          </w:p>
        </w:tc>
        <w:tc>
          <w:tcPr>
            <w:tcW w:w="2269" w:type="pct"/>
            <w:gridSpan w:val="2"/>
            <w:tcBorders>
              <w:tl2br w:val="nil"/>
              <w:tr2bl w:val="nil"/>
            </w:tcBorders>
            <w:noWrap/>
            <w:vAlign w:val="center"/>
          </w:tcPr>
          <w:p w14:paraId="116EF7C4">
            <w:pPr>
              <w:pStyle w:val="41"/>
              <w:rPr>
                <w:color w:val="auto"/>
                <w:highlight w:val="none"/>
              </w:rPr>
            </w:pPr>
            <w:r>
              <w:rPr>
                <w:rFonts w:hint="eastAsia"/>
                <w:color w:val="auto"/>
                <w:highlight w:val="none"/>
              </w:rPr>
              <w:t>干排尾矿产率</w:t>
            </w:r>
          </w:p>
        </w:tc>
        <w:tc>
          <w:tcPr>
            <w:tcW w:w="740" w:type="pct"/>
            <w:tcBorders>
              <w:tl2br w:val="nil"/>
              <w:tr2bl w:val="nil"/>
            </w:tcBorders>
            <w:noWrap/>
            <w:vAlign w:val="center"/>
          </w:tcPr>
          <w:p w14:paraId="6923D47F">
            <w:pPr>
              <w:pStyle w:val="41"/>
              <w:rPr>
                <w:color w:val="auto"/>
                <w:highlight w:val="none"/>
              </w:rPr>
            </w:pPr>
            <w:r>
              <w:rPr>
                <w:rFonts w:hint="eastAsia"/>
                <w:color w:val="auto"/>
                <w:highlight w:val="none"/>
              </w:rPr>
              <w:t>%</w:t>
            </w:r>
          </w:p>
        </w:tc>
        <w:tc>
          <w:tcPr>
            <w:tcW w:w="2224" w:type="dxa"/>
            <w:tcBorders>
              <w:tl2br w:val="nil"/>
              <w:tr2bl w:val="nil"/>
            </w:tcBorders>
            <w:noWrap/>
            <w:vAlign w:val="center"/>
          </w:tcPr>
          <w:p w14:paraId="1E9BF21E">
            <w:pPr>
              <w:pStyle w:val="41"/>
              <w:rPr>
                <w:color w:val="auto"/>
                <w:highlight w:val="none"/>
              </w:rPr>
            </w:pPr>
            <w:r>
              <w:rPr>
                <w:rFonts w:hint="eastAsia"/>
                <w:color w:val="auto"/>
                <w:highlight w:val="none"/>
              </w:rPr>
              <w:t>52.069</w:t>
            </w:r>
          </w:p>
        </w:tc>
      </w:tr>
      <w:tr w14:paraId="69EB36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Merge w:val="continue"/>
            <w:tcBorders>
              <w:tl2br w:val="nil"/>
              <w:tr2bl w:val="nil"/>
            </w:tcBorders>
            <w:noWrap/>
            <w:vAlign w:val="center"/>
          </w:tcPr>
          <w:p w14:paraId="371AB274">
            <w:pPr>
              <w:pStyle w:val="41"/>
              <w:rPr>
                <w:color w:val="auto"/>
                <w:highlight w:val="none"/>
              </w:rPr>
            </w:pPr>
          </w:p>
        </w:tc>
        <w:tc>
          <w:tcPr>
            <w:tcW w:w="2269" w:type="pct"/>
            <w:gridSpan w:val="2"/>
            <w:tcBorders>
              <w:tl2br w:val="nil"/>
              <w:tr2bl w:val="nil"/>
            </w:tcBorders>
            <w:noWrap/>
            <w:vAlign w:val="center"/>
          </w:tcPr>
          <w:p w14:paraId="163CCA56">
            <w:pPr>
              <w:pStyle w:val="41"/>
              <w:rPr>
                <w:color w:val="auto"/>
                <w:highlight w:val="none"/>
              </w:rPr>
            </w:pPr>
            <w:r>
              <w:rPr>
                <w:rFonts w:hint="eastAsia"/>
                <w:color w:val="auto"/>
                <w:highlight w:val="none"/>
              </w:rPr>
              <w:t>干排尾矿产量</w:t>
            </w:r>
          </w:p>
        </w:tc>
        <w:tc>
          <w:tcPr>
            <w:tcW w:w="740" w:type="pct"/>
            <w:tcBorders>
              <w:tl2br w:val="nil"/>
              <w:tr2bl w:val="nil"/>
            </w:tcBorders>
            <w:noWrap/>
            <w:vAlign w:val="center"/>
          </w:tcPr>
          <w:p w14:paraId="352AEF94">
            <w:pPr>
              <w:pStyle w:val="41"/>
              <w:rPr>
                <w:color w:val="auto"/>
                <w:highlight w:val="none"/>
              </w:rPr>
            </w:pPr>
            <w:r>
              <w:rPr>
                <w:rFonts w:hint="eastAsia"/>
                <w:color w:val="auto"/>
                <w:highlight w:val="none"/>
              </w:rPr>
              <w:t>t/a</w:t>
            </w:r>
          </w:p>
        </w:tc>
        <w:tc>
          <w:tcPr>
            <w:tcW w:w="2224" w:type="dxa"/>
            <w:tcBorders>
              <w:tl2br w:val="nil"/>
              <w:tr2bl w:val="nil"/>
            </w:tcBorders>
            <w:vAlign w:val="center"/>
          </w:tcPr>
          <w:p w14:paraId="4B35CC4B">
            <w:pPr>
              <w:pStyle w:val="41"/>
              <w:rPr>
                <w:color w:val="auto"/>
                <w:highlight w:val="none"/>
              </w:rPr>
            </w:pPr>
            <w:r>
              <w:rPr>
                <w:rFonts w:hint="eastAsia"/>
                <w:color w:val="auto"/>
                <w:highlight w:val="none"/>
              </w:rPr>
              <w:t>3019980.15</w:t>
            </w:r>
          </w:p>
        </w:tc>
      </w:tr>
      <w:tr w14:paraId="76055DC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tcBorders>
              <w:tl2br w:val="nil"/>
              <w:tr2bl w:val="nil"/>
            </w:tcBorders>
            <w:noWrap/>
            <w:vAlign w:val="center"/>
          </w:tcPr>
          <w:p w14:paraId="7F9D9E74">
            <w:pPr>
              <w:pStyle w:val="41"/>
              <w:rPr>
                <w:color w:val="auto"/>
                <w:highlight w:val="none"/>
              </w:rPr>
            </w:pPr>
            <w:r>
              <w:rPr>
                <w:rFonts w:hint="eastAsia"/>
                <w:color w:val="auto"/>
                <w:highlight w:val="none"/>
              </w:rPr>
              <w:t>12</w:t>
            </w:r>
          </w:p>
        </w:tc>
        <w:tc>
          <w:tcPr>
            <w:tcW w:w="2269" w:type="pct"/>
            <w:gridSpan w:val="2"/>
            <w:tcBorders>
              <w:tl2br w:val="nil"/>
              <w:tr2bl w:val="nil"/>
            </w:tcBorders>
            <w:noWrap/>
            <w:vAlign w:val="center"/>
          </w:tcPr>
          <w:p w14:paraId="5CD4C1E6">
            <w:pPr>
              <w:pStyle w:val="41"/>
              <w:rPr>
                <w:color w:val="auto"/>
                <w:highlight w:val="none"/>
              </w:rPr>
            </w:pPr>
            <w:r>
              <w:rPr>
                <w:rFonts w:hint="eastAsia"/>
                <w:color w:val="auto"/>
                <w:highlight w:val="none"/>
              </w:rPr>
              <w:t>工业废水利用率</w:t>
            </w:r>
          </w:p>
        </w:tc>
        <w:tc>
          <w:tcPr>
            <w:tcW w:w="740" w:type="pct"/>
            <w:tcBorders>
              <w:tl2br w:val="nil"/>
              <w:tr2bl w:val="nil"/>
            </w:tcBorders>
            <w:noWrap/>
            <w:vAlign w:val="center"/>
          </w:tcPr>
          <w:p w14:paraId="691F74D6">
            <w:pPr>
              <w:pStyle w:val="41"/>
              <w:rPr>
                <w:color w:val="auto"/>
                <w:highlight w:val="none"/>
              </w:rPr>
            </w:pPr>
            <w:r>
              <w:rPr>
                <w:rFonts w:hint="eastAsia"/>
                <w:color w:val="auto"/>
                <w:highlight w:val="none"/>
              </w:rPr>
              <w:t>%</w:t>
            </w:r>
          </w:p>
        </w:tc>
        <w:tc>
          <w:tcPr>
            <w:tcW w:w="2224" w:type="dxa"/>
            <w:tcBorders>
              <w:tl2br w:val="nil"/>
              <w:tr2bl w:val="nil"/>
            </w:tcBorders>
            <w:noWrap/>
            <w:vAlign w:val="center"/>
          </w:tcPr>
          <w:p w14:paraId="76D21F3D">
            <w:pPr>
              <w:pStyle w:val="41"/>
              <w:rPr>
                <w:color w:val="auto"/>
                <w:highlight w:val="none"/>
              </w:rPr>
            </w:pPr>
            <w:r>
              <w:rPr>
                <w:rFonts w:hint="eastAsia"/>
                <w:color w:val="auto"/>
                <w:highlight w:val="none"/>
              </w:rPr>
              <w:t>94.60</w:t>
            </w:r>
          </w:p>
        </w:tc>
      </w:tr>
    </w:tbl>
    <w:p w14:paraId="46EB3D16">
      <w:pPr>
        <w:pStyle w:val="43"/>
        <w:rPr>
          <w:color w:val="auto"/>
          <w:highlight w:val="none"/>
        </w:rPr>
      </w:pPr>
      <w:r>
        <w:rPr>
          <w:rFonts w:hint="eastAsia"/>
          <w:color w:val="auto"/>
          <w:highlight w:val="none"/>
        </w:rPr>
        <w:t>产品分析</w:t>
      </w:r>
    </w:p>
    <w:p w14:paraId="49934BD5">
      <w:pPr>
        <w:pStyle w:val="40"/>
        <w:spacing w:before="24" w:after="24"/>
        <w:rPr>
          <w:color w:val="auto"/>
          <w:highlight w:val="none"/>
        </w:rPr>
      </w:pPr>
      <w:r>
        <w:rPr>
          <w:rFonts w:hint="eastAsia"/>
          <w:color w:val="auto"/>
          <w:highlight w:val="none"/>
        </w:rPr>
        <w:t>表3.3-3   磁铁精矿化学多项分析结果表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1700"/>
        <w:gridCol w:w="1701"/>
        <w:gridCol w:w="1701"/>
        <w:gridCol w:w="1706"/>
      </w:tblGrid>
      <w:tr w14:paraId="00ADC4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l2br w:val="nil"/>
              <w:tr2bl w:val="nil"/>
            </w:tcBorders>
            <w:vAlign w:val="center"/>
          </w:tcPr>
          <w:p w14:paraId="32D1183A">
            <w:pPr>
              <w:pStyle w:val="41"/>
              <w:rPr>
                <w:color w:val="auto"/>
                <w:highlight w:val="none"/>
              </w:rPr>
            </w:pPr>
            <w:bookmarkStart w:id="269" w:name="OLE_LINK57" w:colFirst="1" w:colLast="4"/>
            <w:r>
              <w:rPr>
                <w:rFonts w:hint="eastAsia"/>
                <w:color w:val="auto"/>
                <w:highlight w:val="none"/>
              </w:rPr>
              <w:t>项目</w:t>
            </w:r>
          </w:p>
        </w:tc>
        <w:tc>
          <w:tcPr>
            <w:tcW w:w="1703" w:type="dxa"/>
            <w:tcBorders>
              <w:tl2br w:val="nil"/>
              <w:tr2bl w:val="nil"/>
            </w:tcBorders>
            <w:vAlign w:val="center"/>
          </w:tcPr>
          <w:p w14:paraId="1A9B277D">
            <w:pPr>
              <w:pStyle w:val="41"/>
              <w:rPr>
                <w:color w:val="auto"/>
                <w:highlight w:val="none"/>
              </w:rPr>
            </w:pPr>
            <w:r>
              <w:rPr>
                <w:rFonts w:hint="eastAsia"/>
                <w:color w:val="auto"/>
                <w:highlight w:val="none"/>
              </w:rPr>
              <w:t>TFe</w:t>
            </w:r>
          </w:p>
        </w:tc>
        <w:tc>
          <w:tcPr>
            <w:tcW w:w="1703" w:type="dxa"/>
            <w:tcBorders>
              <w:tl2br w:val="nil"/>
              <w:tr2bl w:val="nil"/>
            </w:tcBorders>
            <w:vAlign w:val="center"/>
          </w:tcPr>
          <w:p w14:paraId="4D46A5A6">
            <w:pPr>
              <w:pStyle w:val="41"/>
              <w:rPr>
                <w:color w:val="auto"/>
                <w:highlight w:val="none"/>
              </w:rPr>
            </w:pPr>
            <w:r>
              <w:rPr>
                <w:rFonts w:hint="eastAsia"/>
                <w:color w:val="auto"/>
                <w:highlight w:val="none"/>
              </w:rPr>
              <w:t>TiO</w:t>
            </w:r>
            <w:r>
              <w:rPr>
                <w:rFonts w:hint="eastAsia"/>
                <w:color w:val="auto"/>
                <w:highlight w:val="none"/>
                <w:vertAlign w:val="subscript"/>
              </w:rPr>
              <w:t>2</w:t>
            </w:r>
          </w:p>
        </w:tc>
        <w:tc>
          <w:tcPr>
            <w:tcW w:w="1703" w:type="dxa"/>
            <w:tcBorders>
              <w:tl2br w:val="nil"/>
              <w:tr2bl w:val="nil"/>
            </w:tcBorders>
            <w:vAlign w:val="center"/>
          </w:tcPr>
          <w:p w14:paraId="2A4DB6D6">
            <w:pPr>
              <w:pStyle w:val="41"/>
              <w:rPr>
                <w:color w:val="auto"/>
                <w:highlight w:val="none"/>
              </w:rPr>
            </w:pPr>
            <w:r>
              <w:rPr>
                <w:rFonts w:hint="eastAsia"/>
                <w:color w:val="auto"/>
                <w:highlight w:val="none"/>
              </w:rPr>
              <w:t>mFe</w:t>
            </w:r>
          </w:p>
        </w:tc>
        <w:tc>
          <w:tcPr>
            <w:tcW w:w="1708" w:type="dxa"/>
            <w:tcBorders>
              <w:tl2br w:val="nil"/>
              <w:tr2bl w:val="nil"/>
            </w:tcBorders>
            <w:vAlign w:val="center"/>
          </w:tcPr>
          <w:p w14:paraId="026BE7F1">
            <w:pPr>
              <w:pStyle w:val="41"/>
              <w:rPr>
                <w:color w:val="auto"/>
                <w:highlight w:val="none"/>
              </w:rPr>
            </w:pPr>
            <w:r>
              <w:rPr>
                <w:rFonts w:hint="eastAsia"/>
                <w:color w:val="auto"/>
                <w:highlight w:val="none"/>
              </w:rPr>
              <w:t>SiO</w:t>
            </w:r>
            <w:r>
              <w:rPr>
                <w:rFonts w:hint="eastAsia"/>
                <w:color w:val="auto"/>
                <w:highlight w:val="none"/>
                <w:vertAlign w:val="subscript"/>
              </w:rPr>
              <w:t>2</w:t>
            </w:r>
          </w:p>
        </w:tc>
      </w:tr>
      <w:tr w14:paraId="7D3E04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l2br w:val="nil"/>
              <w:tr2bl w:val="nil"/>
            </w:tcBorders>
            <w:vAlign w:val="center"/>
          </w:tcPr>
          <w:p w14:paraId="25665AF5">
            <w:pPr>
              <w:pStyle w:val="41"/>
              <w:rPr>
                <w:color w:val="auto"/>
                <w:highlight w:val="none"/>
              </w:rPr>
            </w:pPr>
            <w:r>
              <w:rPr>
                <w:rFonts w:hint="eastAsia"/>
                <w:color w:val="auto"/>
                <w:highlight w:val="none"/>
              </w:rPr>
              <w:t>含量（%）</w:t>
            </w:r>
          </w:p>
        </w:tc>
        <w:tc>
          <w:tcPr>
            <w:tcW w:w="1703" w:type="dxa"/>
            <w:tcBorders>
              <w:tl2br w:val="nil"/>
              <w:tr2bl w:val="nil"/>
            </w:tcBorders>
            <w:vAlign w:val="center"/>
          </w:tcPr>
          <w:p w14:paraId="62BC3F77">
            <w:pPr>
              <w:pStyle w:val="41"/>
              <w:rPr>
                <w:color w:val="auto"/>
                <w:highlight w:val="none"/>
              </w:rPr>
            </w:pPr>
            <w:r>
              <w:rPr>
                <w:rFonts w:hint="eastAsia"/>
                <w:color w:val="auto"/>
                <w:highlight w:val="none"/>
              </w:rPr>
              <w:t>56.48</w:t>
            </w:r>
          </w:p>
        </w:tc>
        <w:tc>
          <w:tcPr>
            <w:tcW w:w="1703" w:type="dxa"/>
            <w:tcBorders>
              <w:tl2br w:val="nil"/>
              <w:tr2bl w:val="nil"/>
            </w:tcBorders>
            <w:vAlign w:val="center"/>
          </w:tcPr>
          <w:p w14:paraId="6ADB9673">
            <w:pPr>
              <w:pStyle w:val="41"/>
              <w:rPr>
                <w:color w:val="auto"/>
                <w:highlight w:val="none"/>
              </w:rPr>
            </w:pPr>
            <w:r>
              <w:rPr>
                <w:rFonts w:hint="eastAsia"/>
                <w:color w:val="auto"/>
                <w:highlight w:val="none"/>
              </w:rPr>
              <w:t>5.41</w:t>
            </w:r>
          </w:p>
        </w:tc>
        <w:tc>
          <w:tcPr>
            <w:tcW w:w="1703" w:type="dxa"/>
            <w:tcBorders>
              <w:tl2br w:val="nil"/>
              <w:tr2bl w:val="nil"/>
            </w:tcBorders>
            <w:vAlign w:val="center"/>
          </w:tcPr>
          <w:p w14:paraId="0527B69D">
            <w:pPr>
              <w:pStyle w:val="41"/>
              <w:rPr>
                <w:color w:val="auto"/>
                <w:highlight w:val="none"/>
              </w:rPr>
            </w:pPr>
            <w:r>
              <w:rPr>
                <w:rFonts w:hint="eastAsia"/>
                <w:color w:val="auto"/>
                <w:highlight w:val="none"/>
              </w:rPr>
              <w:t>52.56</w:t>
            </w:r>
          </w:p>
        </w:tc>
        <w:tc>
          <w:tcPr>
            <w:tcW w:w="1708" w:type="dxa"/>
            <w:tcBorders>
              <w:tl2br w:val="nil"/>
              <w:tr2bl w:val="nil"/>
            </w:tcBorders>
            <w:vAlign w:val="center"/>
          </w:tcPr>
          <w:p w14:paraId="5F9549D3">
            <w:pPr>
              <w:pStyle w:val="41"/>
              <w:rPr>
                <w:color w:val="auto"/>
                <w:highlight w:val="none"/>
              </w:rPr>
            </w:pPr>
            <w:r>
              <w:rPr>
                <w:rFonts w:hint="eastAsia"/>
                <w:color w:val="auto"/>
                <w:highlight w:val="none"/>
              </w:rPr>
              <w:t>4.81</w:t>
            </w:r>
          </w:p>
        </w:tc>
      </w:tr>
      <w:bookmarkEnd w:id="269"/>
      <w:tr w14:paraId="12A14F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l2br w:val="nil"/>
              <w:tr2bl w:val="nil"/>
            </w:tcBorders>
            <w:vAlign w:val="center"/>
          </w:tcPr>
          <w:p w14:paraId="4F43B029">
            <w:pPr>
              <w:pStyle w:val="41"/>
              <w:rPr>
                <w:color w:val="auto"/>
                <w:highlight w:val="none"/>
              </w:rPr>
            </w:pPr>
            <w:bookmarkStart w:id="270" w:name="OLE_LINK59" w:colFirst="4" w:colLast="4"/>
            <w:bookmarkStart w:id="271" w:name="OLE_LINK58" w:colFirst="1" w:colLast="3"/>
            <w:r>
              <w:rPr>
                <w:rFonts w:hint="eastAsia"/>
                <w:color w:val="auto"/>
                <w:highlight w:val="none"/>
              </w:rPr>
              <w:t>项目</w:t>
            </w:r>
          </w:p>
        </w:tc>
        <w:tc>
          <w:tcPr>
            <w:tcW w:w="1703" w:type="dxa"/>
            <w:tcBorders>
              <w:tl2br w:val="nil"/>
              <w:tr2bl w:val="nil"/>
            </w:tcBorders>
            <w:vAlign w:val="center"/>
          </w:tcPr>
          <w:p w14:paraId="72C9E67D">
            <w:pPr>
              <w:pStyle w:val="41"/>
              <w:rPr>
                <w:color w:val="auto"/>
                <w:highlight w:val="none"/>
              </w:rPr>
            </w:pPr>
            <w:r>
              <w:rPr>
                <w:rFonts w:hint="eastAsia"/>
                <w:color w:val="auto"/>
                <w:highlight w:val="none"/>
              </w:rPr>
              <w:t>Al</w:t>
            </w:r>
            <w:r>
              <w:rPr>
                <w:rFonts w:hint="eastAsia"/>
                <w:color w:val="auto"/>
                <w:highlight w:val="none"/>
                <w:vertAlign w:val="subscript"/>
              </w:rPr>
              <w:t>2</w:t>
            </w:r>
            <w:r>
              <w:rPr>
                <w:rFonts w:hint="eastAsia"/>
                <w:color w:val="auto"/>
                <w:highlight w:val="none"/>
              </w:rPr>
              <w:t>O</w:t>
            </w:r>
            <w:r>
              <w:rPr>
                <w:rFonts w:hint="eastAsia"/>
                <w:color w:val="auto"/>
                <w:highlight w:val="none"/>
                <w:vertAlign w:val="subscript"/>
              </w:rPr>
              <w:t>3</w:t>
            </w:r>
          </w:p>
        </w:tc>
        <w:tc>
          <w:tcPr>
            <w:tcW w:w="1703" w:type="dxa"/>
            <w:tcBorders>
              <w:tl2br w:val="nil"/>
              <w:tr2bl w:val="nil"/>
            </w:tcBorders>
            <w:vAlign w:val="center"/>
          </w:tcPr>
          <w:p w14:paraId="469C4232">
            <w:pPr>
              <w:pStyle w:val="41"/>
              <w:rPr>
                <w:color w:val="auto"/>
                <w:highlight w:val="none"/>
              </w:rPr>
            </w:pPr>
            <w:r>
              <w:rPr>
                <w:rFonts w:hint="eastAsia"/>
                <w:color w:val="auto"/>
                <w:highlight w:val="none"/>
              </w:rPr>
              <w:t>P</w:t>
            </w:r>
          </w:p>
        </w:tc>
        <w:tc>
          <w:tcPr>
            <w:tcW w:w="1703" w:type="dxa"/>
            <w:tcBorders>
              <w:tl2br w:val="nil"/>
              <w:tr2bl w:val="nil"/>
            </w:tcBorders>
            <w:vAlign w:val="center"/>
          </w:tcPr>
          <w:p w14:paraId="73A44A82">
            <w:pPr>
              <w:pStyle w:val="41"/>
              <w:rPr>
                <w:color w:val="auto"/>
                <w:highlight w:val="none"/>
              </w:rPr>
            </w:pPr>
            <w:r>
              <w:rPr>
                <w:rFonts w:hint="eastAsia"/>
                <w:color w:val="auto"/>
                <w:highlight w:val="none"/>
              </w:rPr>
              <w:t>S</w:t>
            </w:r>
          </w:p>
        </w:tc>
        <w:tc>
          <w:tcPr>
            <w:tcW w:w="1708" w:type="dxa"/>
            <w:tcBorders>
              <w:tl2br w:val="nil"/>
              <w:tr2bl w:val="nil"/>
            </w:tcBorders>
            <w:vAlign w:val="center"/>
          </w:tcPr>
          <w:p w14:paraId="00CB4EF9">
            <w:pPr>
              <w:pStyle w:val="41"/>
              <w:rPr>
                <w:color w:val="auto"/>
                <w:highlight w:val="none"/>
              </w:rPr>
            </w:pPr>
            <w:r>
              <w:rPr>
                <w:rFonts w:hint="eastAsia"/>
                <w:color w:val="auto"/>
                <w:highlight w:val="none"/>
              </w:rPr>
              <w:t>V</w:t>
            </w:r>
            <w:r>
              <w:rPr>
                <w:rFonts w:hint="eastAsia"/>
                <w:color w:val="auto"/>
                <w:highlight w:val="none"/>
                <w:vertAlign w:val="subscript"/>
              </w:rPr>
              <w:t>2</w:t>
            </w:r>
            <w:r>
              <w:rPr>
                <w:rFonts w:hint="eastAsia"/>
                <w:color w:val="auto"/>
                <w:highlight w:val="none"/>
              </w:rPr>
              <w:t>O</w:t>
            </w:r>
            <w:r>
              <w:rPr>
                <w:rFonts w:hint="eastAsia"/>
                <w:color w:val="auto"/>
                <w:highlight w:val="none"/>
                <w:vertAlign w:val="subscript"/>
              </w:rPr>
              <w:t>5</w:t>
            </w:r>
          </w:p>
        </w:tc>
      </w:tr>
      <w:tr w14:paraId="1BE336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l2br w:val="nil"/>
              <w:tr2bl w:val="nil"/>
            </w:tcBorders>
            <w:vAlign w:val="center"/>
          </w:tcPr>
          <w:p w14:paraId="517D0916">
            <w:pPr>
              <w:pStyle w:val="41"/>
              <w:rPr>
                <w:color w:val="auto"/>
                <w:highlight w:val="none"/>
              </w:rPr>
            </w:pPr>
            <w:r>
              <w:rPr>
                <w:rFonts w:hint="eastAsia"/>
                <w:color w:val="auto"/>
                <w:highlight w:val="none"/>
              </w:rPr>
              <w:t>含量（%）</w:t>
            </w:r>
          </w:p>
        </w:tc>
        <w:tc>
          <w:tcPr>
            <w:tcW w:w="1703" w:type="dxa"/>
            <w:tcBorders>
              <w:tl2br w:val="nil"/>
              <w:tr2bl w:val="nil"/>
            </w:tcBorders>
            <w:vAlign w:val="center"/>
          </w:tcPr>
          <w:p w14:paraId="44D266E6">
            <w:pPr>
              <w:pStyle w:val="41"/>
              <w:rPr>
                <w:color w:val="auto"/>
                <w:highlight w:val="none"/>
              </w:rPr>
            </w:pPr>
            <w:r>
              <w:rPr>
                <w:rFonts w:hint="eastAsia"/>
                <w:color w:val="auto"/>
                <w:highlight w:val="none"/>
              </w:rPr>
              <w:t>1.92</w:t>
            </w:r>
          </w:p>
        </w:tc>
        <w:tc>
          <w:tcPr>
            <w:tcW w:w="1703" w:type="dxa"/>
            <w:tcBorders>
              <w:tl2br w:val="nil"/>
              <w:tr2bl w:val="nil"/>
            </w:tcBorders>
            <w:vAlign w:val="center"/>
          </w:tcPr>
          <w:p w14:paraId="56C255E0">
            <w:pPr>
              <w:pStyle w:val="41"/>
              <w:rPr>
                <w:color w:val="auto"/>
                <w:highlight w:val="none"/>
              </w:rPr>
            </w:pPr>
            <w:r>
              <w:rPr>
                <w:rFonts w:hint="eastAsia"/>
                <w:color w:val="auto"/>
                <w:highlight w:val="none"/>
              </w:rPr>
              <w:t>0.099</w:t>
            </w:r>
          </w:p>
        </w:tc>
        <w:tc>
          <w:tcPr>
            <w:tcW w:w="1703" w:type="dxa"/>
            <w:tcBorders>
              <w:tl2br w:val="nil"/>
              <w:tr2bl w:val="nil"/>
            </w:tcBorders>
            <w:vAlign w:val="center"/>
          </w:tcPr>
          <w:p w14:paraId="786567C9">
            <w:pPr>
              <w:pStyle w:val="41"/>
              <w:rPr>
                <w:color w:val="auto"/>
                <w:highlight w:val="none"/>
              </w:rPr>
            </w:pPr>
            <w:r>
              <w:rPr>
                <w:rFonts w:hint="eastAsia"/>
                <w:color w:val="auto"/>
                <w:highlight w:val="none"/>
              </w:rPr>
              <w:t>0.022</w:t>
            </w:r>
          </w:p>
        </w:tc>
        <w:tc>
          <w:tcPr>
            <w:tcW w:w="1708" w:type="dxa"/>
            <w:tcBorders>
              <w:tl2br w:val="nil"/>
              <w:tr2bl w:val="nil"/>
            </w:tcBorders>
            <w:vAlign w:val="center"/>
          </w:tcPr>
          <w:p w14:paraId="654B7C0F">
            <w:pPr>
              <w:pStyle w:val="41"/>
              <w:rPr>
                <w:color w:val="auto"/>
                <w:highlight w:val="none"/>
              </w:rPr>
            </w:pPr>
            <w:r>
              <w:rPr>
                <w:rFonts w:hint="eastAsia"/>
                <w:color w:val="auto"/>
                <w:highlight w:val="none"/>
              </w:rPr>
              <w:t>0.52</w:t>
            </w:r>
          </w:p>
        </w:tc>
      </w:tr>
      <w:bookmarkEnd w:id="270"/>
      <w:bookmarkEnd w:id="271"/>
    </w:tbl>
    <w:p w14:paraId="76C0BB08">
      <w:pPr>
        <w:pStyle w:val="40"/>
        <w:spacing w:before="24" w:after="24"/>
        <w:rPr>
          <w:color w:val="auto"/>
          <w:highlight w:val="none"/>
        </w:rPr>
      </w:pPr>
      <w:r>
        <w:rPr>
          <w:rFonts w:hint="eastAsia"/>
          <w:color w:val="auto"/>
          <w:highlight w:val="none"/>
        </w:rPr>
        <w:t>表3.3-4 钛铁精矿（重选）化学多项分析结果表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1701"/>
        <w:gridCol w:w="1702"/>
        <w:gridCol w:w="1702"/>
        <w:gridCol w:w="1703"/>
      </w:tblGrid>
      <w:tr w14:paraId="742853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705" w:type="dxa"/>
            <w:tcBorders>
              <w:tl2br w:val="nil"/>
              <w:tr2bl w:val="nil"/>
            </w:tcBorders>
            <w:vAlign w:val="center"/>
          </w:tcPr>
          <w:p w14:paraId="5AD4142C">
            <w:pPr>
              <w:pStyle w:val="41"/>
              <w:rPr>
                <w:color w:val="auto"/>
                <w:highlight w:val="none"/>
              </w:rPr>
            </w:pPr>
            <w:bookmarkStart w:id="272" w:name="OLE_LINK60" w:colFirst="1" w:colLast="4"/>
            <w:r>
              <w:rPr>
                <w:rFonts w:hint="eastAsia"/>
                <w:color w:val="auto"/>
                <w:highlight w:val="none"/>
              </w:rPr>
              <w:t>项目</w:t>
            </w:r>
          </w:p>
        </w:tc>
        <w:tc>
          <w:tcPr>
            <w:tcW w:w="1704" w:type="dxa"/>
            <w:tcBorders>
              <w:tl2br w:val="nil"/>
              <w:tr2bl w:val="nil"/>
            </w:tcBorders>
            <w:vAlign w:val="center"/>
          </w:tcPr>
          <w:p w14:paraId="1516B5FA">
            <w:pPr>
              <w:pStyle w:val="41"/>
              <w:rPr>
                <w:color w:val="auto"/>
                <w:highlight w:val="none"/>
              </w:rPr>
            </w:pPr>
            <w:r>
              <w:rPr>
                <w:rFonts w:hint="eastAsia"/>
                <w:color w:val="auto"/>
                <w:highlight w:val="none"/>
              </w:rPr>
              <w:t>TFe</w:t>
            </w:r>
          </w:p>
        </w:tc>
        <w:tc>
          <w:tcPr>
            <w:tcW w:w="1704" w:type="dxa"/>
            <w:tcBorders>
              <w:tl2br w:val="nil"/>
              <w:tr2bl w:val="nil"/>
            </w:tcBorders>
            <w:vAlign w:val="center"/>
          </w:tcPr>
          <w:p w14:paraId="234FF111">
            <w:pPr>
              <w:pStyle w:val="41"/>
              <w:rPr>
                <w:color w:val="auto"/>
                <w:highlight w:val="none"/>
              </w:rPr>
            </w:pPr>
            <w:r>
              <w:rPr>
                <w:rFonts w:hint="eastAsia"/>
                <w:color w:val="auto"/>
                <w:highlight w:val="none"/>
              </w:rPr>
              <w:t>TiO2</w:t>
            </w:r>
          </w:p>
        </w:tc>
        <w:tc>
          <w:tcPr>
            <w:tcW w:w="1704" w:type="dxa"/>
            <w:tcBorders>
              <w:tl2br w:val="nil"/>
              <w:tr2bl w:val="nil"/>
            </w:tcBorders>
            <w:vAlign w:val="center"/>
          </w:tcPr>
          <w:p w14:paraId="4CDFEA53">
            <w:pPr>
              <w:pStyle w:val="41"/>
              <w:rPr>
                <w:color w:val="auto"/>
                <w:highlight w:val="none"/>
              </w:rPr>
            </w:pPr>
            <w:r>
              <w:rPr>
                <w:rFonts w:hint="eastAsia"/>
                <w:color w:val="auto"/>
                <w:highlight w:val="none"/>
              </w:rPr>
              <w:t>CaO</w:t>
            </w:r>
          </w:p>
        </w:tc>
        <w:tc>
          <w:tcPr>
            <w:tcW w:w="1705" w:type="dxa"/>
            <w:tcBorders>
              <w:tl2br w:val="nil"/>
              <w:tr2bl w:val="nil"/>
            </w:tcBorders>
            <w:vAlign w:val="center"/>
          </w:tcPr>
          <w:p w14:paraId="452D4120">
            <w:pPr>
              <w:pStyle w:val="41"/>
              <w:rPr>
                <w:color w:val="auto"/>
                <w:highlight w:val="none"/>
              </w:rPr>
            </w:pPr>
            <w:r>
              <w:rPr>
                <w:rFonts w:hint="eastAsia"/>
                <w:color w:val="auto"/>
                <w:highlight w:val="none"/>
              </w:rPr>
              <w:t>MgO</w:t>
            </w:r>
          </w:p>
        </w:tc>
      </w:tr>
      <w:tr w14:paraId="2A39D9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l2br w:val="nil"/>
              <w:tr2bl w:val="nil"/>
            </w:tcBorders>
            <w:vAlign w:val="center"/>
          </w:tcPr>
          <w:p w14:paraId="4A1FC328">
            <w:pPr>
              <w:pStyle w:val="41"/>
              <w:rPr>
                <w:color w:val="auto"/>
                <w:highlight w:val="none"/>
              </w:rPr>
            </w:pPr>
            <w:r>
              <w:rPr>
                <w:rFonts w:hint="eastAsia"/>
                <w:color w:val="auto"/>
                <w:highlight w:val="none"/>
              </w:rPr>
              <w:t>含量（%）</w:t>
            </w:r>
          </w:p>
        </w:tc>
        <w:tc>
          <w:tcPr>
            <w:tcW w:w="1704" w:type="dxa"/>
            <w:tcBorders>
              <w:tl2br w:val="nil"/>
              <w:tr2bl w:val="nil"/>
            </w:tcBorders>
            <w:vAlign w:val="center"/>
          </w:tcPr>
          <w:p w14:paraId="3F8EBA29">
            <w:pPr>
              <w:pStyle w:val="41"/>
              <w:rPr>
                <w:color w:val="auto"/>
                <w:highlight w:val="none"/>
              </w:rPr>
            </w:pPr>
            <w:r>
              <w:rPr>
                <w:rFonts w:hint="eastAsia"/>
                <w:color w:val="auto"/>
                <w:highlight w:val="none"/>
              </w:rPr>
              <w:t>33.78</w:t>
            </w:r>
          </w:p>
        </w:tc>
        <w:tc>
          <w:tcPr>
            <w:tcW w:w="1704" w:type="dxa"/>
            <w:tcBorders>
              <w:tl2br w:val="nil"/>
              <w:tr2bl w:val="nil"/>
            </w:tcBorders>
            <w:vAlign w:val="center"/>
          </w:tcPr>
          <w:p w14:paraId="61888E8F">
            <w:pPr>
              <w:pStyle w:val="41"/>
              <w:rPr>
                <w:color w:val="auto"/>
                <w:highlight w:val="none"/>
              </w:rPr>
            </w:pPr>
            <w:r>
              <w:rPr>
                <w:rFonts w:hint="eastAsia"/>
                <w:color w:val="auto"/>
                <w:highlight w:val="none"/>
              </w:rPr>
              <w:t>46.55</w:t>
            </w:r>
          </w:p>
        </w:tc>
        <w:tc>
          <w:tcPr>
            <w:tcW w:w="1704" w:type="dxa"/>
            <w:tcBorders>
              <w:tl2br w:val="nil"/>
              <w:tr2bl w:val="nil"/>
            </w:tcBorders>
            <w:vAlign w:val="center"/>
          </w:tcPr>
          <w:p w14:paraId="4ED1F1B8">
            <w:pPr>
              <w:pStyle w:val="41"/>
              <w:rPr>
                <w:color w:val="auto"/>
                <w:highlight w:val="none"/>
              </w:rPr>
            </w:pPr>
            <w:r>
              <w:rPr>
                <w:rFonts w:hint="eastAsia"/>
                <w:color w:val="auto"/>
                <w:highlight w:val="none"/>
              </w:rPr>
              <w:t>1.49</w:t>
            </w:r>
          </w:p>
        </w:tc>
        <w:tc>
          <w:tcPr>
            <w:tcW w:w="1705" w:type="dxa"/>
            <w:tcBorders>
              <w:tl2br w:val="nil"/>
              <w:tr2bl w:val="nil"/>
            </w:tcBorders>
            <w:vAlign w:val="center"/>
          </w:tcPr>
          <w:p w14:paraId="6732FDA7">
            <w:pPr>
              <w:pStyle w:val="41"/>
              <w:rPr>
                <w:color w:val="auto"/>
                <w:highlight w:val="none"/>
              </w:rPr>
            </w:pPr>
            <w:r>
              <w:rPr>
                <w:rFonts w:hint="eastAsia"/>
                <w:color w:val="auto"/>
                <w:highlight w:val="none"/>
              </w:rPr>
              <w:t>1.55</w:t>
            </w:r>
          </w:p>
        </w:tc>
      </w:tr>
      <w:bookmarkEnd w:id="272"/>
      <w:tr w14:paraId="74EA76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l2br w:val="nil"/>
              <w:tr2bl w:val="nil"/>
            </w:tcBorders>
            <w:vAlign w:val="center"/>
          </w:tcPr>
          <w:p w14:paraId="0855B67C">
            <w:pPr>
              <w:pStyle w:val="41"/>
              <w:rPr>
                <w:color w:val="auto"/>
                <w:highlight w:val="none"/>
              </w:rPr>
            </w:pPr>
            <w:bookmarkStart w:id="273" w:name="OLE_LINK61" w:colFirst="1" w:colLast="3"/>
            <w:bookmarkStart w:id="274" w:name="OLE_LINK62" w:colFirst="4" w:colLast="4"/>
            <w:r>
              <w:rPr>
                <w:rFonts w:hint="eastAsia"/>
                <w:color w:val="auto"/>
                <w:highlight w:val="none"/>
              </w:rPr>
              <w:t>项目</w:t>
            </w:r>
          </w:p>
        </w:tc>
        <w:tc>
          <w:tcPr>
            <w:tcW w:w="1704" w:type="dxa"/>
            <w:tcBorders>
              <w:tl2br w:val="nil"/>
              <w:tr2bl w:val="nil"/>
            </w:tcBorders>
            <w:vAlign w:val="center"/>
          </w:tcPr>
          <w:p w14:paraId="5B466EC3">
            <w:pPr>
              <w:pStyle w:val="41"/>
              <w:rPr>
                <w:color w:val="auto"/>
                <w:highlight w:val="none"/>
              </w:rPr>
            </w:pPr>
            <w:r>
              <w:rPr>
                <w:rFonts w:hint="eastAsia"/>
                <w:color w:val="auto"/>
                <w:highlight w:val="none"/>
              </w:rPr>
              <w:t>P</w:t>
            </w:r>
          </w:p>
        </w:tc>
        <w:tc>
          <w:tcPr>
            <w:tcW w:w="1704" w:type="dxa"/>
            <w:tcBorders>
              <w:tl2br w:val="nil"/>
              <w:tr2bl w:val="nil"/>
            </w:tcBorders>
            <w:vAlign w:val="center"/>
          </w:tcPr>
          <w:p w14:paraId="38142620">
            <w:pPr>
              <w:pStyle w:val="41"/>
              <w:rPr>
                <w:color w:val="auto"/>
                <w:highlight w:val="none"/>
              </w:rPr>
            </w:pPr>
            <w:r>
              <w:rPr>
                <w:rFonts w:hint="eastAsia"/>
                <w:color w:val="auto"/>
                <w:highlight w:val="none"/>
              </w:rPr>
              <w:t>Fe2O3</w:t>
            </w:r>
          </w:p>
        </w:tc>
        <w:tc>
          <w:tcPr>
            <w:tcW w:w="1704" w:type="dxa"/>
            <w:tcBorders>
              <w:tl2br w:val="nil"/>
              <w:tr2bl w:val="nil"/>
            </w:tcBorders>
            <w:vAlign w:val="center"/>
          </w:tcPr>
          <w:p w14:paraId="78077A0E">
            <w:pPr>
              <w:pStyle w:val="41"/>
              <w:rPr>
                <w:color w:val="auto"/>
                <w:highlight w:val="none"/>
              </w:rPr>
            </w:pPr>
            <w:r>
              <w:rPr>
                <w:rFonts w:hint="eastAsia"/>
                <w:color w:val="auto"/>
                <w:highlight w:val="none"/>
              </w:rPr>
              <w:t>FeO</w:t>
            </w:r>
          </w:p>
        </w:tc>
        <w:tc>
          <w:tcPr>
            <w:tcW w:w="1705" w:type="dxa"/>
            <w:tcBorders>
              <w:tl2br w:val="nil"/>
              <w:tr2bl w:val="nil"/>
            </w:tcBorders>
            <w:vAlign w:val="center"/>
          </w:tcPr>
          <w:p w14:paraId="51E26285">
            <w:pPr>
              <w:pStyle w:val="41"/>
              <w:rPr>
                <w:color w:val="auto"/>
                <w:highlight w:val="none"/>
              </w:rPr>
            </w:pPr>
            <w:r>
              <w:rPr>
                <w:rFonts w:hint="eastAsia"/>
                <w:color w:val="auto"/>
                <w:highlight w:val="none"/>
              </w:rPr>
              <w:t>Al</w:t>
            </w:r>
            <w:r>
              <w:rPr>
                <w:rFonts w:hint="eastAsia"/>
                <w:color w:val="auto"/>
                <w:highlight w:val="none"/>
                <w:vertAlign w:val="subscript"/>
              </w:rPr>
              <w:t>2</w:t>
            </w:r>
            <w:r>
              <w:rPr>
                <w:rFonts w:hint="eastAsia"/>
                <w:color w:val="auto"/>
                <w:highlight w:val="none"/>
              </w:rPr>
              <w:t>O</w:t>
            </w:r>
            <w:r>
              <w:rPr>
                <w:rFonts w:hint="eastAsia"/>
                <w:color w:val="auto"/>
                <w:highlight w:val="none"/>
                <w:vertAlign w:val="subscript"/>
              </w:rPr>
              <w:t>3</w:t>
            </w:r>
          </w:p>
        </w:tc>
      </w:tr>
      <w:tr w14:paraId="24DFF7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l2br w:val="nil"/>
              <w:tr2bl w:val="nil"/>
            </w:tcBorders>
            <w:vAlign w:val="center"/>
          </w:tcPr>
          <w:p w14:paraId="61DDC682">
            <w:pPr>
              <w:pStyle w:val="41"/>
              <w:rPr>
                <w:color w:val="auto"/>
                <w:highlight w:val="none"/>
              </w:rPr>
            </w:pPr>
            <w:r>
              <w:rPr>
                <w:rFonts w:hint="eastAsia"/>
                <w:color w:val="auto"/>
                <w:highlight w:val="none"/>
              </w:rPr>
              <w:t>含量（%）</w:t>
            </w:r>
          </w:p>
        </w:tc>
        <w:tc>
          <w:tcPr>
            <w:tcW w:w="1704" w:type="dxa"/>
            <w:tcBorders>
              <w:tl2br w:val="nil"/>
              <w:tr2bl w:val="nil"/>
            </w:tcBorders>
            <w:vAlign w:val="center"/>
          </w:tcPr>
          <w:p w14:paraId="14155042">
            <w:pPr>
              <w:pStyle w:val="41"/>
              <w:rPr>
                <w:color w:val="auto"/>
                <w:highlight w:val="none"/>
              </w:rPr>
            </w:pPr>
            <w:r>
              <w:rPr>
                <w:rFonts w:hint="eastAsia"/>
                <w:color w:val="auto"/>
                <w:highlight w:val="none"/>
              </w:rPr>
              <w:t>0.35</w:t>
            </w:r>
          </w:p>
        </w:tc>
        <w:tc>
          <w:tcPr>
            <w:tcW w:w="1704" w:type="dxa"/>
            <w:tcBorders>
              <w:tl2br w:val="nil"/>
              <w:tr2bl w:val="nil"/>
            </w:tcBorders>
            <w:vAlign w:val="center"/>
          </w:tcPr>
          <w:p w14:paraId="10B49E17">
            <w:pPr>
              <w:pStyle w:val="41"/>
              <w:rPr>
                <w:color w:val="auto"/>
                <w:highlight w:val="none"/>
              </w:rPr>
            </w:pPr>
            <w:r>
              <w:rPr>
                <w:rFonts w:hint="eastAsia"/>
                <w:color w:val="auto"/>
                <w:highlight w:val="none"/>
              </w:rPr>
              <w:t>11.85</w:t>
            </w:r>
          </w:p>
        </w:tc>
        <w:tc>
          <w:tcPr>
            <w:tcW w:w="1704" w:type="dxa"/>
            <w:tcBorders>
              <w:tl2br w:val="nil"/>
              <w:tr2bl w:val="nil"/>
            </w:tcBorders>
            <w:vAlign w:val="center"/>
          </w:tcPr>
          <w:p w14:paraId="7C218EFA">
            <w:pPr>
              <w:pStyle w:val="41"/>
              <w:rPr>
                <w:color w:val="auto"/>
                <w:highlight w:val="none"/>
              </w:rPr>
            </w:pPr>
            <w:r>
              <w:rPr>
                <w:rFonts w:hint="eastAsia"/>
                <w:color w:val="auto"/>
                <w:highlight w:val="none"/>
              </w:rPr>
              <w:t>36.53</w:t>
            </w:r>
          </w:p>
        </w:tc>
        <w:tc>
          <w:tcPr>
            <w:tcW w:w="1705" w:type="dxa"/>
            <w:tcBorders>
              <w:tl2br w:val="nil"/>
              <w:tr2bl w:val="nil"/>
            </w:tcBorders>
            <w:vAlign w:val="center"/>
          </w:tcPr>
          <w:p w14:paraId="2E76F69F">
            <w:pPr>
              <w:pStyle w:val="41"/>
              <w:rPr>
                <w:color w:val="auto"/>
                <w:highlight w:val="none"/>
              </w:rPr>
            </w:pPr>
            <w:r>
              <w:rPr>
                <w:rFonts w:hint="eastAsia"/>
                <w:color w:val="auto"/>
                <w:highlight w:val="none"/>
              </w:rPr>
              <w:t>0.29</w:t>
            </w:r>
          </w:p>
        </w:tc>
      </w:tr>
      <w:bookmarkEnd w:id="273"/>
      <w:bookmarkEnd w:id="274"/>
      <w:tr w14:paraId="346D00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l2br w:val="nil"/>
              <w:tr2bl w:val="nil"/>
            </w:tcBorders>
            <w:vAlign w:val="center"/>
          </w:tcPr>
          <w:p w14:paraId="3F278747">
            <w:pPr>
              <w:pStyle w:val="41"/>
              <w:rPr>
                <w:color w:val="auto"/>
                <w:highlight w:val="none"/>
              </w:rPr>
            </w:pPr>
            <w:bookmarkStart w:id="275" w:name="OLE_LINK63" w:colFirst="1" w:colLast="4"/>
            <w:r>
              <w:rPr>
                <w:rFonts w:hint="eastAsia"/>
                <w:color w:val="auto"/>
                <w:highlight w:val="none"/>
              </w:rPr>
              <w:t>项目</w:t>
            </w:r>
          </w:p>
        </w:tc>
        <w:tc>
          <w:tcPr>
            <w:tcW w:w="1704" w:type="dxa"/>
            <w:tcBorders>
              <w:tl2br w:val="nil"/>
              <w:tr2bl w:val="nil"/>
            </w:tcBorders>
            <w:vAlign w:val="center"/>
          </w:tcPr>
          <w:p w14:paraId="6A7D8017">
            <w:pPr>
              <w:pStyle w:val="41"/>
              <w:rPr>
                <w:color w:val="auto"/>
                <w:highlight w:val="none"/>
              </w:rPr>
            </w:pPr>
            <w:r>
              <w:rPr>
                <w:rFonts w:hint="eastAsia"/>
                <w:color w:val="auto"/>
                <w:highlight w:val="none"/>
              </w:rPr>
              <w:t>SiO</w:t>
            </w:r>
            <w:r>
              <w:rPr>
                <w:rFonts w:hint="eastAsia"/>
                <w:color w:val="auto"/>
                <w:highlight w:val="none"/>
                <w:vertAlign w:val="subscript"/>
              </w:rPr>
              <w:t>2</w:t>
            </w:r>
          </w:p>
        </w:tc>
        <w:tc>
          <w:tcPr>
            <w:tcW w:w="1704" w:type="dxa"/>
            <w:tcBorders>
              <w:tl2br w:val="nil"/>
              <w:tr2bl w:val="nil"/>
            </w:tcBorders>
            <w:vAlign w:val="center"/>
          </w:tcPr>
          <w:p w14:paraId="6BA7CF44">
            <w:pPr>
              <w:pStyle w:val="41"/>
              <w:rPr>
                <w:color w:val="auto"/>
                <w:highlight w:val="none"/>
              </w:rPr>
            </w:pPr>
            <w:r>
              <w:rPr>
                <w:rFonts w:hint="eastAsia"/>
                <w:color w:val="auto"/>
                <w:highlight w:val="none"/>
              </w:rPr>
              <w:t>U</w:t>
            </w:r>
          </w:p>
        </w:tc>
        <w:tc>
          <w:tcPr>
            <w:tcW w:w="1704" w:type="dxa"/>
            <w:tcBorders>
              <w:tl2br w:val="nil"/>
              <w:tr2bl w:val="nil"/>
            </w:tcBorders>
            <w:vAlign w:val="center"/>
          </w:tcPr>
          <w:p w14:paraId="1FC74689">
            <w:pPr>
              <w:pStyle w:val="41"/>
              <w:rPr>
                <w:color w:val="auto"/>
                <w:highlight w:val="none"/>
              </w:rPr>
            </w:pPr>
            <w:r>
              <w:rPr>
                <w:rFonts w:hint="eastAsia"/>
                <w:color w:val="auto"/>
                <w:highlight w:val="none"/>
              </w:rPr>
              <w:t>Th</w:t>
            </w:r>
          </w:p>
        </w:tc>
        <w:tc>
          <w:tcPr>
            <w:tcW w:w="1705" w:type="dxa"/>
            <w:tcBorders>
              <w:tl2br w:val="nil"/>
              <w:tr2bl w:val="nil"/>
            </w:tcBorders>
            <w:vAlign w:val="center"/>
          </w:tcPr>
          <w:p w14:paraId="3AE9BFB9">
            <w:pPr>
              <w:pStyle w:val="41"/>
              <w:rPr>
                <w:color w:val="auto"/>
                <w:highlight w:val="none"/>
              </w:rPr>
            </w:pPr>
            <w:r>
              <w:rPr>
                <w:rFonts w:hint="eastAsia"/>
                <w:color w:val="auto"/>
                <w:highlight w:val="none"/>
              </w:rPr>
              <w:t>Cr</w:t>
            </w:r>
            <w:r>
              <w:rPr>
                <w:rFonts w:hint="eastAsia"/>
                <w:color w:val="auto"/>
                <w:highlight w:val="none"/>
                <w:vertAlign w:val="subscript"/>
              </w:rPr>
              <w:t>2</w:t>
            </w:r>
            <w:r>
              <w:rPr>
                <w:rFonts w:hint="eastAsia"/>
                <w:color w:val="auto"/>
                <w:highlight w:val="none"/>
              </w:rPr>
              <w:t>O</w:t>
            </w:r>
            <w:r>
              <w:rPr>
                <w:rFonts w:hint="eastAsia"/>
                <w:color w:val="auto"/>
                <w:highlight w:val="none"/>
                <w:vertAlign w:val="subscript"/>
              </w:rPr>
              <w:t>3</w:t>
            </w:r>
          </w:p>
        </w:tc>
      </w:tr>
      <w:tr w14:paraId="77342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l2br w:val="nil"/>
              <w:tr2bl w:val="nil"/>
            </w:tcBorders>
            <w:vAlign w:val="center"/>
          </w:tcPr>
          <w:p w14:paraId="54C30989">
            <w:pPr>
              <w:pStyle w:val="41"/>
              <w:rPr>
                <w:color w:val="auto"/>
                <w:highlight w:val="none"/>
              </w:rPr>
            </w:pPr>
            <w:r>
              <w:rPr>
                <w:rFonts w:hint="eastAsia"/>
                <w:color w:val="auto"/>
                <w:highlight w:val="none"/>
              </w:rPr>
              <w:t>含量（%）</w:t>
            </w:r>
          </w:p>
        </w:tc>
        <w:tc>
          <w:tcPr>
            <w:tcW w:w="1704" w:type="dxa"/>
            <w:tcBorders>
              <w:tl2br w:val="nil"/>
              <w:tr2bl w:val="nil"/>
            </w:tcBorders>
            <w:vAlign w:val="center"/>
          </w:tcPr>
          <w:p w14:paraId="5951BEA9">
            <w:pPr>
              <w:pStyle w:val="41"/>
              <w:rPr>
                <w:color w:val="auto"/>
                <w:highlight w:val="none"/>
              </w:rPr>
            </w:pPr>
            <w:r>
              <w:rPr>
                <w:rFonts w:hint="eastAsia"/>
                <w:color w:val="auto"/>
                <w:highlight w:val="none"/>
              </w:rPr>
              <w:t>3.22</w:t>
            </w:r>
          </w:p>
        </w:tc>
        <w:tc>
          <w:tcPr>
            <w:tcW w:w="1704" w:type="dxa"/>
            <w:tcBorders>
              <w:tl2br w:val="nil"/>
              <w:tr2bl w:val="nil"/>
            </w:tcBorders>
            <w:vAlign w:val="center"/>
          </w:tcPr>
          <w:p w14:paraId="300C36D5">
            <w:pPr>
              <w:pStyle w:val="41"/>
              <w:rPr>
                <w:color w:val="auto"/>
                <w:highlight w:val="none"/>
              </w:rPr>
            </w:pPr>
            <w:r>
              <w:rPr>
                <w:rFonts w:hint="eastAsia"/>
                <w:color w:val="auto"/>
                <w:highlight w:val="none"/>
              </w:rPr>
              <w:t>0.00022</w:t>
            </w:r>
          </w:p>
        </w:tc>
        <w:tc>
          <w:tcPr>
            <w:tcW w:w="1704" w:type="dxa"/>
            <w:tcBorders>
              <w:tl2br w:val="nil"/>
              <w:tr2bl w:val="nil"/>
            </w:tcBorders>
            <w:vAlign w:val="center"/>
          </w:tcPr>
          <w:p w14:paraId="5FA05042">
            <w:pPr>
              <w:pStyle w:val="41"/>
              <w:rPr>
                <w:color w:val="auto"/>
                <w:highlight w:val="none"/>
              </w:rPr>
            </w:pPr>
            <w:r>
              <w:rPr>
                <w:rFonts w:hint="eastAsia"/>
                <w:color w:val="auto"/>
                <w:highlight w:val="none"/>
              </w:rPr>
              <w:t>0.0011</w:t>
            </w:r>
          </w:p>
        </w:tc>
        <w:tc>
          <w:tcPr>
            <w:tcW w:w="1705" w:type="dxa"/>
            <w:tcBorders>
              <w:tl2br w:val="nil"/>
              <w:tr2bl w:val="nil"/>
            </w:tcBorders>
            <w:vAlign w:val="center"/>
          </w:tcPr>
          <w:p w14:paraId="2433EDBD">
            <w:pPr>
              <w:pStyle w:val="41"/>
              <w:rPr>
                <w:color w:val="auto"/>
                <w:highlight w:val="none"/>
              </w:rPr>
            </w:pPr>
            <w:r>
              <w:rPr>
                <w:rFonts w:hint="eastAsia"/>
                <w:color w:val="auto"/>
                <w:highlight w:val="none"/>
              </w:rPr>
              <w:t>0.0037</w:t>
            </w:r>
          </w:p>
        </w:tc>
      </w:tr>
      <w:bookmarkEnd w:id="275"/>
      <w:tr w14:paraId="7B76FA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l2br w:val="nil"/>
              <w:tr2bl w:val="nil"/>
            </w:tcBorders>
            <w:vAlign w:val="center"/>
          </w:tcPr>
          <w:p w14:paraId="268FA865">
            <w:pPr>
              <w:pStyle w:val="41"/>
              <w:rPr>
                <w:color w:val="auto"/>
                <w:highlight w:val="none"/>
              </w:rPr>
            </w:pPr>
            <w:bookmarkStart w:id="276" w:name="OLE_LINK64" w:colFirst="1" w:colLast="1"/>
            <w:r>
              <w:rPr>
                <w:rFonts w:hint="eastAsia"/>
                <w:color w:val="auto"/>
                <w:highlight w:val="none"/>
              </w:rPr>
              <w:t>项目</w:t>
            </w:r>
          </w:p>
        </w:tc>
        <w:tc>
          <w:tcPr>
            <w:tcW w:w="1704" w:type="dxa"/>
            <w:tcBorders>
              <w:tl2br w:val="nil"/>
              <w:tr2bl w:val="nil"/>
            </w:tcBorders>
            <w:vAlign w:val="center"/>
          </w:tcPr>
          <w:p w14:paraId="703BFF22">
            <w:pPr>
              <w:pStyle w:val="41"/>
              <w:rPr>
                <w:color w:val="auto"/>
                <w:highlight w:val="none"/>
              </w:rPr>
            </w:pPr>
            <w:r>
              <w:rPr>
                <w:rFonts w:hint="eastAsia"/>
                <w:color w:val="auto"/>
                <w:highlight w:val="none"/>
              </w:rPr>
              <w:t>S</w:t>
            </w:r>
          </w:p>
        </w:tc>
        <w:tc>
          <w:tcPr>
            <w:tcW w:w="1704" w:type="dxa"/>
            <w:tcBorders>
              <w:tl2br w:val="nil"/>
              <w:tr2bl w:val="nil"/>
            </w:tcBorders>
            <w:vAlign w:val="center"/>
          </w:tcPr>
          <w:p w14:paraId="48B7B064">
            <w:pPr>
              <w:pStyle w:val="41"/>
              <w:rPr>
                <w:color w:val="auto"/>
                <w:highlight w:val="none"/>
              </w:rPr>
            </w:pPr>
          </w:p>
        </w:tc>
        <w:tc>
          <w:tcPr>
            <w:tcW w:w="1704" w:type="dxa"/>
            <w:tcBorders>
              <w:tl2br w:val="nil"/>
              <w:tr2bl w:val="nil"/>
            </w:tcBorders>
            <w:vAlign w:val="center"/>
          </w:tcPr>
          <w:p w14:paraId="49F6BBAD">
            <w:pPr>
              <w:pStyle w:val="41"/>
              <w:rPr>
                <w:color w:val="auto"/>
                <w:highlight w:val="none"/>
              </w:rPr>
            </w:pPr>
          </w:p>
        </w:tc>
        <w:tc>
          <w:tcPr>
            <w:tcW w:w="1705" w:type="dxa"/>
            <w:tcBorders>
              <w:tl2br w:val="nil"/>
              <w:tr2bl w:val="nil"/>
            </w:tcBorders>
            <w:vAlign w:val="center"/>
          </w:tcPr>
          <w:p w14:paraId="198AC367">
            <w:pPr>
              <w:pStyle w:val="41"/>
              <w:rPr>
                <w:color w:val="auto"/>
                <w:highlight w:val="none"/>
              </w:rPr>
            </w:pPr>
          </w:p>
        </w:tc>
      </w:tr>
      <w:tr w14:paraId="709701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l2br w:val="nil"/>
              <w:tr2bl w:val="nil"/>
            </w:tcBorders>
            <w:vAlign w:val="center"/>
          </w:tcPr>
          <w:p w14:paraId="1E85D60E">
            <w:pPr>
              <w:pStyle w:val="41"/>
              <w:rPr>
                <w:color w:val="auto"/>
                <w:highlight w:val="none"/>
              </w:rPr>
            </w:pPr>
            <w:r>
              <w:rPr>
                <w:rFonts w:hint="eastAsia"/>
                <w:color w:val="auto"/>
                <w:highlight w:val="none"/>
              </w:rPr>
              <w:t>含量（%）</w:t>
            </w:r>
          </w:p>
        </w:tc>
        <w:tc>
          <w:tcPr>
            <w:tcW w:w="1704" w:type="dxa"/>
            <w:tcBorders>
              <w:tl2br w:val="nil"/>
              <w:tr2bl w:val="nil"/>
            </w:tcBorders>
            <w:vAlign w:val="center"/>
          </w:tcPr>
          <w:p w14:paraId="0F719D26">
            <w:pPr>
              <w:pStyle w:val="41"/>
              <w:rPr>
                <w:color w:val="auto"/>
                <w:highlight w:val="none"/>
              </w:rPr>
            </w:pPr>
            <w:r>
              <w:rPr>
                <w:rFonts w:hint="eastAsia"/>
                <w:color w:val="auto"/>
                <w:highlight w:val="none"/>
              </w:rPr>
              <w:t>0.030</w:t>
            </w:r>
          </w:p>
        </w:tc>
        <w:tc>
          <w:tcPr>
            <w:tcW w:w="1704" w:type="dxa"/>
            <w:tcBorders>
              <w:tl2br w:val="nil"/>
              <w:tr2bl w:val="nil"/>
            </w:tcBorders>
            <w:vAlign w:val="center"/>
          </w:tcPr>
          <w:p w14:paraId="14A667EA">
            <w:pPr>
              <w:pStyle w:val="41"/>
              <w:rPr>
                <w:color w:val="auto"/>
                <w:highlight w:val="none"/>
              </w:rPr>
            </w:pPr>
          </w:p>
        </w:tc>
        <w:tc>
          <w:tcPr>
            <w:tcW w:w="1704" w:type="dxa"/>
            <w:tcBorders>
              <w:tl2br w:val="nil"/>
              <w:tr2bl w:val="nil"/>
            </w:tcBorders>
            <w:vAlign w:val="center"/>
          </w:tcPr>
          <w:p w14:paraId="4EED3CD2">
            <w:pPr>
              <w:pStyle w:val="41"/>
              <w:rPr>
                <w:color w:val="auto"/>
                <w:highlight w:val="none"/>
              </w:rPr>
            </w:pPr>
          </w:p>
        </w:tc>
        <w:tc>
          <w:tcPr>
            <w:tcW w:w="1705" w:type="dxa"/>
            <w:tcBorders>
              <w:tl2br w:val="nil"/>
              <w:tr2bl w:val="nil"/>
            </w:tcBorders>
            <w:vAlign w:val="center"/>
          </w:tcPr>
          <w:p w14:paraId="7E4322B2">
            <w:pPr>
              <w:pStyle w:val="41"/>
              <w:rPr>
                <w:color w:val="auto"/>
                <w:highlight w:val="none"/>
              </w:rPr>
            </w:pPr>
          </w:p>
        </w:tc>
      </w:tr>
      <w:bookmarkEnd w:id="276"/>
    </w:tbl>
    <w:p w14:paraId="6C2BCD30">
      <w:pPr>
        <w:pStyle w:val="40"/>
        <w:spacing w:before="24" w:after="24"/>
        <w:rPr>
          <w:color w:val="auto"/>
          <w:highlight w:val="none"/>
        </w:rPr>
      </w:pPr>
      <w:r>
        <w:rPr>
          <w:rFonts w:hint="eastAsia"/>
          <w:color w:val="auto"/>
          <w:highlight w:val="none"/>
        </w:rPr>
        <w:t>表3.3-5    尾矿（重选）化学多项分析结果表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1701"/>
        <w:gridCol w:w="1702"/>
        <w:gridCol w:w="1656"/>
        <w:gridCol w:w="1749"/>
      </w:tblGrid>
      <w:tr w14:paraId="0864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op w:val="single" w:color="auto" w:sz="12" w:space="0"/>
              <w:left w:val="single" w:color="auto" w:sz="12" w:space="0"/>
            </w:tcBorders>
            <w:vAlign w:val="center"/>
          </w:tcPr>
          <w:p w14:paraId="676B968F">
            <w:pPr>
              <w:pStyle w:val="41"/>
              <w:rPr>
                <w:color w:val="auto"/>
                <w:highlight w:val="none"/>
              </w:rPr>
            </w:pPr>
            <w:bookmarkStart w:id="277" w:name="OLE_LINK65" w:colFirst="1" w:colLast="4"/>
            <w:r>
              <w:rPr>
                <w:rFonts w:hint="eastAsia"/>
                <w:color w:val="auto"/>
                <w:highlight w:val="none"/>
              </w:rPr>
              <w:t>项目</w:t>
            </w:r>
          </w:p>
        </w:tc>
        <w:tc>
          <w:tcPr>
            <w:tcW w:w="1704" w:type="dxa"/>
            <w:tcBorders>
              <w:top w:val="single" w:color="auto" w:sz="12" w:space="0"/>
            </w:tcBorders>
            <w:vAlign w:val="center"/>
          </w:tcPr>
          <w:p w14:paraId="257BC9FC">
            <w:pPr>
              <w:pStyle w:val="41"/>
              <w:rPr>
                <w:color w:val="auto"/>
                <w:highlight w:val="none"/>
              </w:rPr>
            </w:pPr>
            <w:r>
              <w:rPr>
                <w:rFonts w:hint="eastAsia"/>
                <w:color w:val="auto"/>
                <w:highlight w:val="none"/>
              </w:rPr>
              <w:t>TFe</w:t>
            </w:r>
          </w:p>
        </w:tc>
        <w:tc>
          <w:tcPr>
            <w:tcW w:w="1704" w:type="dxa"/>
            <w:tcBorders>
              <w:top w:val="single" w:color="auto" w:sz="12" w:space="0"/>
            </w:tcBorders>
            <w:vAlign w:val="center"/>
          </w:tcPr>
          <w:p w14:paraId="1900A0D1">
            <w:pPr>
              <w:pStyle w:val="41"/>
              <w:rPr>
                <w:color w:val="auto"/>
                <w:highlight w:val="none"/>
              </w:rPr>
            </w:pPr>
            <w:r>
              <w:rPr>
                <w:rFonts w:hint="eastAsia"/>
                <w:color w:val="auto"/>
                <w:highlight w:val="none"/>
              </w:rPr>
              <w:t>TiO</w:t>
            </w:r>
            <w:r>
              <w:rPr>
                <w:rFonts w:hint="eastAsia"/>
                <w:color w:val="auto"/>
                <w:highlight w:val="none"/>
                <w:vertAlign w:val="subscript"/>
              </w:rPr>
              <w:t>2</w:t>
            </w:r>
          </w:p>
        </w:tc>
        <w:tc>
          <w:tcPr>
            <w:tcW w:w="1658" w:type="dxa"/>
            <w:tcBorders>
              <w:top w:val="single" w:color="auto" w:sz="12" w:space="0"/>
            </w:tcBorders>
            <w:vAlign w:val="center"/>
          </w:tcPr>
          <w:p w14:paraId="4826245A">
            <w:pPr>
              <w:pStyle w:val="41"/>
              <w:rPr>
                <w:color w:val="auto"/>
                <w:highlight w:val="none"/>
              </w:rPr>
            </w:pPr>
            <w:r>
              <w:rPr>
                <w:rFonts w:hint="eastAsia"/>
                <w:color w:val="auto"/>
                <w:highlight w:val="none"/>
              </w:rPr>
              <w:t>SiO</w:t>
            </w:r>
            <w:r>
              <w:rPr>
                <w:rFonts w:hint="eastAsia"/>
                <w:color w:val="auto"/>
                <w:highlight w:val="none"/>
                <w:vertAlign w:val="subscript"/>
              </w:rPr>
              <w:t>2</w:t>
            </w:r>
          </w:p>
        </w:tc>
        <w:tc>
          <w:tcPr>
            <w:tcW w:w="1751" w:type="dxa"/>
            <w:tcBorders>
              <w:top w:val="single" w:color="auto" w:sz="12" w:space="0"/>
              <w:right w:val="single" w:color="auto" w:sz="12" w:space="0"/>
            </w:tcBorders>
            <w:vAlign w:val="center"/>
          </w:tcPr>
          <w:p w14:paraId="7A4D73E6">
            <w:pPr>
              <w:pStyle w:val="41"/>
              <w:rPr>
                <w:color w:val="auto"/>
                <w:highlight w:val="none"/>
              </w:rPr>
            </w:pPr>
            <w:r>
              <w:rPr>
                <w:rFonts w:hint="eastAsia"/>
                <w:color w:val="auto"/>
                <w:highlight w:val="none"/>
              </w:rPr>
              <w:t>Al</w:t>
            </w:r>
            <w:r>
              <w:rPr>
                <w:rFonts w:hint="eastAsia"/>
                <w:color w:val="auto"/>
                <w:highlight w:val="none"/>
                <w:vertAlign w:val="subscript"/>
              </w:rPr>
              <w:t>2</w:t>
            </w:r>
            <w:r>
              <w:rPr>
                <w:rFonts w:hint="eastAsia"/>
                <w:color w:val="auto"/>
                <w:highlight w:val="none"/>
              </w:rPr>
              <w:t>O</w:t>
            </w:r>
            <w:r>
              <w:rPr>
                <w:rFonts w:hint="eastAsia"/>
                <w:color w:val="auto"/>
                <w:highlight w:val="none"/>
                <w:vertAlign w:val="subscript"/>
              </w:rPr>
              <w:t>3</w:t>
            </w:r>
          </w:p>
        </w:tc>
      </w:tr>
      <w:tr w14:paraId="6AB7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left w:val="single" w:color="auto" w:sz="12" w:space="0"/>
            </w:tcBorders>
            <w:vAlign w:val="center"/>
          </w:tcPr>
          <w:p w14:paraId="05DD0BDA">
            <w:pPr>
              <w:pStyle w:val="41"/>
              <w:rPr>
                <w:color w:val="auto"/>
                <w:highlight w:val="none"/>
              </w:rPr>
            </w:pPr>
            <w:r>
              <w:rPr>
                <w:rFonts w:hint="eastAsia"/>
                <w:color w:val="auto"/>
                <w:highlight w:val="none"/>
              </w:rPr>
              <w:t>含量（%）</w:t>
            </w:r>
          </w:p>
        </w:tc>
        <w:tc>
          <w:tcPr>
            <w:tcW w:w="1704" w:type="dxa"/>
            <w:vAlign w:val="center"/>
          </w:tcPr>
          <w:p w14:paraId="0C1C617F">
            <w:pPr>
              <w:pStyle w:val="41"/>
              <w:rPr>
                <w:color w:val="auto"/>
                <w:highlight w:val="none"/>
              </w:rPr>
            </w:pPr>
            <w:r>
              <w:rPr>
                <w:rFonts w:hint="eastAsia"/>
                <w:color w:val="auto"/>
                <w:highlight w:val="none"/>
              </w:rPr>
              <w:t>6.29</w:t>
            </w:r>
          </w:p>
        </w:tc>
        <w:tc>
          <w:tcPr>
            <w:tcW w:w="1704" w:type="dxa"/>
            <w:vAlign w:val="center"/>
          </w:tcPr>
          <w:p w14:paraId="37D4FA90">
            <w:pPr>
              <w:pStyle w:val="41"/>
              <w:rPr>
                <w:color w:val="auto"/>
                <w:highlight w:val="none"/>
              </w:rPr>
            </w:pPr>
            <w:r>
              <w:rPr>
                <w:rFonts w:hint="eastAsia"/>
                <w:color w:val="auto"/>
                <w:highlight w:val="none"/>
              </w:rPr>
              <w:t>1.15</w:t>
            </w:r>
          </w:p>
        </w:tc>
        <w:tc>
          <w:tcPr>
            <w:tcW w:w="1658" w:type="dxa"/>
            <w:vAlign w:val="center"/>
          </w:tcPr>
          <w:p w14:paraId="009D2D59">
            <w:pPr>
              <w:pStyle w:val="41"/>
              <w:rPr>
                <w:color w:val="auto"/>
                <w:highlight w:val="none"/>
              </w:rPr>
            </w:pPr>
            <w:r>
              <w:rPr>
                <w:rFonts w:hint="eastAsia"/>
                <w:color w:val="auto"/>
                <w:highlight w:val="none"/>
              </w:rPr>
              <w:t>46.03</w:t>
            </w:r>
          </w:p>
        </w:tc>
        <w:tc>
          <w:tcPr>
            <w:tcW w:w="1751" w:type="dxa"/>
            <w:tcBorders>
              <w:right w:val="single" w:color="auto" w:sz="12" w:space="0"/>
            </w:tcBorders>
            <w:vAlign w:val="center"/>
          </w:tcPr>
          <w:p w14:paraId="28E16A4D">
            <w:pPr>
              <w:pStyle w:val="41"/>
              <w:rPr>
                <w:color w:val="auto"/>
                <w:highlight w:val="none"/>
              </w:rPr>
            </w:pPr>
            <w:r>
              <w:rPr>
                <w:rFonts w:hint="eastAsia"/>
                <w:color w:val="auto"/>
                <w:highlight w:val="none"/>
              </w:rPr>
              <w:t>17.62</w:t>
            </w:r>
          </w:p>
        </w:tc>
      </w:tr>
      <w:bookmarkEnd w:id="277"/>
      <w:tr w14:paraId="0F2C3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left w:val="single" w:color="auto" w:sz="12" w:space="0"/>
            </w:tcBorders>
            <w:vAlign w:val="center"/>
          </w:tcPr>
          <w:p w14:paraId="2BB05CF8">
            <w:pPr>
              <w:pStyle w:val="41"/>
              <w:rPr>
                <w:color w:val="auto"/>
                <w:highlight w:val="none"/>
              </w:rPr>
            </w:pPr>
            <w:bookmarkStart w:id="278" w:name="OLE_LINK66" w:colFirst="1" w:colLast="4"/>
            <w:r>
              <w:rPr>
                <w:rFonts w:hint="eastAsia"/>
                <w:color w:val="auto"/>
                <w:highlight w:val="none"/>
              </w:rPr>
              <w:t>项目</w:t>
            </w:r>
          </w:p>
        </w:tc>
        <w:tc>
          <w:tcPr>
            <w:tcW w:w="1704" w:type="dxa"/>
            <w:vAlign w:val="center"/>
          </w:tcPr>
          <w:p w14:paraId="27EB721C">
            <w:pPr>
              <w:pStyle w:val="41"/>
              <w:rPr>
                <w:color w:val="auto"/>
                <w:highlight w:val="none"/>
              </w:rPr>
            </w:pPr>
            <w:r>
              <w:rPr>
                <w:rFonts w:hint="eastAsia"/>
                <w:color w:val="auto"/>
                <w:highlight w:val="none"/>
              </w:rPr>
              <w:t>CaO</w:t>
            </w:r>
          </w:p>
        </w:tc>
        <w:tc>
          <w:tcPr>
            <w:tcW w:w="1704" w:type="dxa"/>
            <w:vAlign w:val="center"/>
          </w:tcPr>
          <w:p w14:paraId="0E8551C0">
            <w:pPr>
              <w:pStyle w:val="41"/>
              <w:rPr>
                <w:color w:val="auto"/>
                <w:highlight w:val="none"/>
              </w:rPr>
            </w:pPr>
            <w:r>
              <w:rPr>
                <w:rFonts w:hint="eastAsia"/>
                <w:color w:val="auto"/>
                <w:highlight w:val="none"/>
              </w:rPr>
              <w:t>MgO</w:t>
            </w:r>
          </w:p>
        </w:tc>
        <w:tc>
          <w:tcPr>
            <w:tcW w:w="1658" w:type="dxa"/>
            <w:vAlign w:val="center"/>
          </w:tcPr>
          <w:p w14:paraId="2B9DE15B">
            <w:pPr>
              <w:pStyle w:val="41"/>
              <w:rPr>
                <w:color w:val="auto"/>
                <w:highlight w:val="none"/>
              </w:rPr>
            </w:pPr>
            <w:r>
              <w:rPr>
                <w:rFonts w:hint="eastAsia"/>
                <w:color w:val="auto"/>
                <w:highlight w:val="none"/>
              </w:rPr>
              <w:t>K2O</w:t>
            </w:r>
          </w:p>
        </w:tc>
        <w:tc>
          <w:tcPr>
            <w:tcW w:w="1751" w:type="dxa"/>
            <w:tcBorders>
              <w:right w:val="single" w:color="auto" w:sz="12" w:space="0"/>
            </w:tcBorders>
            <w:vAlign w:val="center"/>
          </w:tcPr>
          <w:p w14:paraId="62DB3926">
            <w:pPr>
              <w:pStyle w:val="41"/>
              <w:rPr>
                <w:color w:val="auto"/>
                <w:highlight w:val="none"/>
              </w:rPr>
            </w:pPr>
            <w:r>
              <w:rPr>
                <w:rFonts w:hint="eastAsia"/>
                <w:color w:val="auto"/>
                <w:highlight w:val="none"/>
              </w:rPr>
              <w:t>Na</w:t>
            </w:r>
            <w:r>
              <w:rPr>
                <w:rFonts w:hint="eastAsia"/>
                <w:color w:val="auto"/>
                <w:highlight w:val="none"/>
                <w:vertAlign w:val="subscript"/>
              </w:rPr>
              <w:t>2</w:t>
            </w:r>
            <w:r>
              <w:rPr>
                <w:rFonts w:hint="eastAsia"/>
                <w:color w:val="auto"/>
                <w:highlight w:val="none"/>
              </w:rPr>
              <w:t>O</w:t>
            </w:r>
          </w:p>
        </w:tc>
      </w:tr>
      <w:tr w14:paraId="772D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left w:val="single" w:color="auto" w:sz="12" w:space="0"/>
              <w:bottom w:val="single" w:color="auto" w:sz="12" w:space="0"/>
            </w:tcBorders>
            <w:vAlign w:val="center"/>
          </w:tcPr>
          <w:p w14:paraId="2F8DAD8E">
            <w:pPr>
              <w:pStyle w:val="41"/>
              <w:rPr>
                <w:color w:val="auto"/>
                <w:highlight w:val="none"/>
              </w:rPr>
            </w:pPr>
            <w:r>
              <w:rPr>
                <w:rFonts w:hint="eastAsia"/>
                <w:color w:val="auto"/>
                <w:highlight w:val="none"/>
              </w:rPr>
              <w:t>含量（%）</w:t>
            </w:r>
          </w:p>
        </w:tc>
        <w:tc>
          <w:tcPr>
            <w:tcW w:w="1704" w:type="dxa"/>
            <w:tcBorders>
              <w:bottom w:val="single" w:color="auto" w:sz="12" w:space="0"/>
            </w:tcBorders>
            <w:vAlign w:val="center"/>
          </w:tcPr>
          <w:p w14:paraId="6947EB10">
            <w:pPr>
              <w:pStyle w:val="41"/>
              <w:rPr>
                <w:color w:val="auto"/>
                <w:highlight w:val="none"/>
              </w:rPr>
            </w:pPr>
            <w:r>
              <w:rPr>
                <w:rFonts w:hint="eastAsia"/>
                <w:color w:val="auto"/>
                <w:highlight w:val="none"/>
              </w:rPr>
              <w:t>7.97</w:t>
            </w:r>
          </w:p>
        </w:tc>
        <w:tc>
          <w:tcPr>
            <w:tcW w:w="1704" w:type="dxa"/>
            <w:tcBorders>
              <w:bottom w:val="single" w:color="auto" w:sz="12" w:space="0"/>
            </w:tcBorders>
            <w:vAlign w:val="center"/>
          </w:tcPr>
          <w:p w14:paraId="0711B3C9">
            <w:pPr>
              <w:pStyle w:val="41"/>
              <w:rPr>
                <w:color w:val="auto"/>
                <w:highlight w:val="none"/>
              </w:rPr>
            </w:pPr>
            <w:r>
              <w:rPr>
                <w:rFonts w:hint="eastAsia"/>
                <w:color w:val="auto"/>
                <w:highlight w:val="none"/>
              </w:rPr>
              <w:t>4.45</w:t>
            </w:r>
          </w:p>
        </w:tc>
        <w:tc>
          <w:tcPr>
            <w:tcW w:w="1658" w:type="dxa"/>
            <w:tcBorders>
              <w:bottom w:val="single" w:color="auto" w:sz="12" w:space="0"/>
            </w:tcBorders>
            <w:vAlign w:val="center"/>
          </w:tcPr>
          <w:p w14:paraId="4D2AD9DF">
            <w:pPr>
              <w:pStyle w:val="41"/>
              <w:rPr>
                <w:color w:val="auto"/>
                <w:highlight w:val="none"/>
              </w:rPr>
            </w:pPr>
            <w:r>
              <w:rPr>
                <w:rFonts w:hint="eastAsia"/>
                <w:color w:val="auto"/>
                <w:highlight w:val="none"/>
              </w:rPr>
              <w:t>1.02</w:t>
            </w:r>
          </w:p>
        </w:tc>
        <w:tc>
          <w:tcPr>
            <w:tcW w:w="1751" w:type="dxa"/>
            <w:tcBorders>
              <w:bottom w:val="single" w:color="auto" w:sz="12" w:space="0"/>
              <w:right w:val="single" w:color="auto" w:sz="12" w:space="0"/>
            </w:tcBorders>
            <w:vAlign w:val="center"/>
          </w:tcPr>
          <w:p w14:paraId="7FF50E29">
            <w:pPr>
              <w:pStyle w:val="41"/>
              <w:rPr>
                <w:color w:val="auto"/>
                <w:highlight w:val="none"/>
              </w:rPr>
            </w:pPr>
            <w:r>
              <w:rPr>
                <w:rFonts w:hint="eastAsia"/>
                <w:color w:val="auto"/>
                <w:highlight w:val="none"/>
              </w:rPr>
              <w:t>3.25</w:t>
            </w:r>
          </w:p>
        </w:tc>
      </w:tr>
      <w:bookmarkEnd w:id="278"/>
    </w:tbl>
    <w:p w14:paraId="05EE9562">
      <w:pPr>
        <w:pStyle w:val="43"/>
        <w:rPr>
          <w:color w:val="auto"/>
          <w:highlight w:val="none"/>
        </w:rPr>
      </w:pPr>
      <w:r>
        <w:rPr>
          <w:color w:val="auto"/>
          <w:highlight w:val="none"/>
        </w:rPr>
        <w:t>物料、元素平衡</w:t>
      </w:r>
    </w:p>
    <w:p w14:paraId="2CE58F78">
      <w:pPr>
        <w:pStyle w:val="30"/>
        <w:keepNext/>
        <w:keepLines/>
        <w:pageBreakBefore w:val="0"/>
        <w:widowControl w:val="0"/>
        <w:numPr>
          <w:ilvl w:val="3"/>
          <w:numId w:val="0"/>
        </w:numPr>
        <w:kinsoku/>
        <w:wordWrap/>
        <w:overflowPunct/>
        <w:topLinePunct w:val="0"/>
        <w:autoSpaceDE/>
        <w:autoSpaceDN/>
        <w:bidi w:val="0"/>
        <w:adjustRightInd w:val="0"/>
        <w:snapToGrid/>
        <w:spacing w:before="0" w:after="0"/>
        <w:textAlignment w:val="auto"/>
        <w:outlineLvl w:val="4"/>
        <w:rPr>
          <w:rFonts w:hint="eastAsia" w:ascii="Times New Roman" w:hAnsi="Times New Roman" w:cs="Times New Roman"/>
          <w:b/>
          <w:bCs/>
          <w:color w:val="auto"/>
          <w:highlight w:val="none"/>
        </w:rPr>
      </w:pPr>
      <w:r>
        <w:rPr>
          <w:rFonts w:hint="eastAsia" w:ascii="Times New Roman" w:hAnsi="Times New Roman" w:cs="Times New Roman"/>
          <w:b/>
          <w:bCs/>
          <w:color w:val="auto"/>
          <w:highlight w:val="none"/>
        </w:rPr>
        <w:t>3.3.1.6.1物料平衡</w:t>
      </w:r>
    </w:p>
    <w:p w14:paraId="7DBDB147">
      <w:pPr>
        <w:pStyle w:val="3"/>
        <w:ind w:firstLine="480"/>
        <w:rPr>
          <w:color w:val="auto"/>
          <w:highlight w:val="none"/>
        </w:rPr>
      </w:pPr>
      <w:r>
        <w:rPr>
          <w:color w:val="auto"/>
          <w:highlight w:val="none"/>
        </w:rPr>
        <w:t>原料主</w:t>
      </w:r>
      <w:r>
        <w:rPr>
          <w:rFonts w:hint="eastAsia"/>
          <w:color w:val="auto"/>
          <w:highlight w:val="none"/>
          <w:lang w:eastAsia="zh-CN"/>
        </w:rPr>
        <w:t>要是</w:t>
      </w:r>
      <w:r>
        <w:rPr>
          <w:color w:val="auto"/>
          <w:highlight w:val="none"/>
        </w:rPr>
        <w:t>钒钛磁铁矿，</w:t>
      </w:r>
      <w:r>
        <w:rPr>
          <w:rFonts w:hint="eastAsia"/>
          <w:color w:val="auto"/>
          <w:highlight w:val="none"/>
        </w:rPr>
        <w:t>产品为铁精矿和钛精矿，</w:t>
      </w:r>
      <w:r>
        <w:rPr>
          <w:color w:val="auto"/>
          <w:highlight w:val="none"/>
        </w:rPr>
        <w:t>物料平衡见表3.3-</w:t>
      </w:r>
      <w:r>
        <w:rPr>
          <w:rFonts w:hint="eastAsia"/>
          <w:color w:val="auto"/>
          <w:highlight w:val="none"/>
        </w:rPr>
        <w:t>6</w:t>
      </w:r>
      <w:r>
        <w:rPr>
          <w:color w:val="auto"/>
          <w:highlight w:val="none"/>
        </w:rPr>
        <w:t>。</w:t>
      </w:r>
    </w:p>
    <w:p w14:paraId="7146E3F4">
      <w:pPr>
        <w:pStyle w:val="40"/>
        <w:spacing w:before="24" w:after="24"/>
        <w:rPr>
          <w:color w:val="auto"/>
          <w:highlight w:val="none"/>
        </w:rPr>
      </w:pPr>
      <w:r>
        <w:rPr>
          <w:rFonts w:hint="eastAsia"/>
          <w:color w:val="auto"/>
          <w:highlight w:val="none"/>
        </w:rPr>
        <w:t>表3.3-6     物料平衡表</w:t>
      </w:r>
    </w:p>
    <w:tbl>
      <w:tblPr>
        <w:tblStyle w:val="5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1026"/>
        <w:gridCol w:w="1137"/>
        <w:gridCol w:w="2251"/>
        <w:gridCol w:w="1414"/>
        <w:gridCol w:w="1583"/>
      </w:tblGrid>
      <w:tr w14:paraId="2D8AD4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47" w:type="pct"/>
            <w:gridSpan w:val="2"/>
            <w:tcBorders>
              <w:tl2br w:val="nil"/>
              <w:tr2bl w:val="nil"/>
            </w:tcBorders>
            <w:vAlign w:val="center"/>
          </w:tcPr>
          <w:p w14:paraId="47A40EE3">
            <w:pPr>
              <w:pStyle w:val="41"/>
              <w:adjustRightInd w:val="0"/>
              <w:spacing w:line="300" w:lineRule="exact"/>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投入（万t/a）</w:t>
            </w:r>
          </w:p>
        </w:tc>
        <w:tc>
          <w:tcPr>
            <w:tcW w:w="2822" w:type="pct"/>
            <w:gridSpan w:val="3"/>
            <w:tcBorders>
              <w:tl2br w:val="nil"/>
              <w:tr2bl w:val="nil"/>
            </w:tcBorders>
            <w:vAlign w:val="center"/>
          </w:tcPr>
          <w:p w14:paraId="48862BD9">
            <w:pPr>
              <w:pStyle w:val="41"/>
              <w:adjustRightInd w:val="0"/>
              <w:spacing w:line="300" w:lineRule="exact"/>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产出（万t/a）</w:t>
            </w:r>
          </w:p>
        </w:tc>
        <w:tc>
          <w:tcPr>
            <w:tcW w:w="930" w:type="pct"/>
            <w:tcBorders>
              <w:tl2br w:val="nil"/>
              <w:tr2bl w:val="nil"/>
            </w:tcBorders>
            <w:vAlign w:val="center"/>
          </w:tcPr>
          <w:p w14:paraId="708B63DE">
            <w:pPr>
              <w:pStyle w:val="41"/>
              <w:adjustRightInd w:val="0"/>
              <w:spacing w:line="300" w:lineRule="exact"/>
              <w:rPr>
                <w:rFonts w:hint="default" w:ascii="Times New Roman" w:hAnsi="Times New Roman" w:eastAsia="华文中宋" w:cs="Times New Roman"/>
                <w:color w:val="auto"/>
                <w:highlight w:val="none"/>
              </w:rPr>
            </w:pPr>
            <w:r>
              <w:rPr>
                <w:color w:val="auto"/>
                <w:highlight w:val="none"/>
              </w:rPr>
              <w:t>备注</w:t>
            </w:r>
          </w:p>
        </w:tc>
      </w:tr>
      <w:tr w14:paraId="475F66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pct"/>
            <w:tcBorders>
              <w:tl2br w:val="nil"/>
              <w:tr2bl w:val="nil"/>
            </w:tcBorders>
            <w:vAlign w:val="center"/>
          </w:tcPr>
          <w:p w14:paraId="6EF7408C">
            <w:pPr>
              <w:pStyle w:val="41"/>
              <w:adjustRightInd w:val="0"/>
              <w:spacing w:line="300" w:lineRule="exact"/>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物料名称</w:t>
            </w:r>
          </w:p>
        </w:tc>
        <w:tc>
          <w:tcPr>
            <w:tcW w:w="603" w:type="pct"/>
            <w:tcBorders>
              <w:tl2br w:val="nil"/>
              <w:tr2bl w:val="nil"/>
            </w:tcBorders>
            <w:vAlign w:val="center"/>
          </w:tcPr>
          <w:p w14:paraId="1E741DC4">
            <w:pPr>
              <w:pStyle w:val="41"/>
              <w:adjustRightInd w:val="0"/>
              <w:spacing w:line="300" w:lineRule="exact"/>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投入量</w:t>
            </w:r>
          </w:p>
        </w:tc>
        <w:tc>
          <w:tcPr>
            <w:tcW w:w="668" w:type="pct"/>
            <w:tcBorders>
              <w:tl2br w:val="nil"/>
              <w:tr2bl w:val="nil"/>
            </w:tcBorders>
            <w:vAlign w:val="center"/>
          </w:tcPr>
          <w:p w14:paraId="67A6B90C">
            <w:pPr>
              <w:pStyle w:val="41"/>
              <w:adjustRightInd w:val="0"/>
              <w:spacing w:line="300" w:lineRule="exact"/>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物料名称</w:t>
            </w:r>
          </w:p>
        </w:tc>
        <w:tc>
          <w:tcPr>
            <w:tcW w:w="1323" w:type="pct"/>
            <w:tcBorders>
              <w:tl2br w:val="nil"/>
              <w:tr2bl w:val="nil"/>
            </w:tcBorders>
            <w:vAlign w:val="center"/>
          </w:tcPr>
          <w:p w14:paraId="6F91CFA9">
            <w:pPr>
              <w:pStyle w:val="41"/>
              <w:adjustRightInd w:val="0"/>
              <w:spacing w:line="300" w:lineRule="exact"/>
              <w:rPr>
                <w:rFonts w:hint="eastAsia" w:ascii="Times New Roman" w:hAnsi="Times New Roman" w:eastAsia="华文中宋" w:cs="Times New Roman"/>
                <w:color w:val="auto"/>
                <w:highlight w:val="none"/>
                <w:lang w:eastAsia="zh-CN"/>
              </w:rPr>
            </w:pPr>
            <w:r>
              <w:rPr>
                <w:rFonts w:hint="eastAsia" w:cs="Times New Roman"/>
                <w:color w:val="auto"/>
                <w:highlight w:val="none"/>
                <w:lang w:eastAsia="zh-CN"/>
              </w:rPr>
              <w:t>产率（</w:t>
            </w:r>
            <w:r>
              <w:rPr>
                <w:rFonts w:hint="eastAsia" w:cs="Times New Roman"/>
                <w:color w:val="auto"/>
                <w:highlight w:val="none"/>
                <w:lang w:val="en-US" w:eastAsia="zh-CN"/>
              </w:rPr>
              <w:t>%</w:t>
            </w:r>
            <w:r>
              <w:rPr>
                <w:rFonts w:hint="eastAsia" w:cs="Times New Roman"/>
                <w:color w:val="auto"/>
                <w:highlight w:val="none"/>
                <w:lang w:eastAsia="zh-CN"/>
              </w:rPr>
              <w:t>）</w:t>
            </w:r>
          </w:p>
        </w:tc>
        <w:tc>
          <w:tcPr>
            <w:tcW w:w="831" w:type="pct"/>
            <w:tcBorders>
              <w:tl2br w:val="nil"/>
              <w:tr2bl w:val="nil"/>
            </w:tcBorders>
            <w:vAlign w:val="center"/>
          </w:tcPr>
          <w:p w14:paraId="02160131">
            <w:pPr>
              <w:pStyle w:val="41"/>
              <w:adjustRightInd w:val="0"/>
              <w:spacing w:line="300" w:lineRule="exact"/>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产出量</w:t>
            </w:r>
          </w:p>
        </w:tc>
        <w:tc>
          <w:tcPr>
            <w:tcW w:w="930" w:type="pct"/>
            <w:vMerge w:val="restart"/>
            <w:tcBorders>
              <w:tl2br w:val="nil"/>
              <w:tr2bl w:val="nil"/>
            </w:tcBorders>
            <w:vAlign w:val="center"/>
          </w:tcPr>
          <w:p w14:paraId="1CE1F4BC">
            <w:pPr>
              <w:pStyle w:val="41"/>
              <w:adjustRightInd w:val="0"/>
              <w:spacing w:line="300" w:lineRule="exact"/>
              <w:rPr>
                <w:rFonts w:hint="default" w:ascii="Times New Roman" w:hAnsi="Times New Roman" w:eastAsia="华文中宋" w:cs="Times New Roman"/>
                <w:color w:val="auto"/>
                <w:highlight w:val="none"/>
              </w:rPr>
            </w:pPr>
            <w:r>
              <w:rPr>
                <w:rFonts w:hint="eastAsia"/>
                <w:color w:val="auto"/>
                <w:highlight w:val="none"/>
                <w:lang w:eastAsia="zh-CN"/>
              </w:rPr>
              <w:t>有组织粉尘量收集后返回生产工序</w:t>
            </w:r>
            <w:r>
              <w:rPr>
                <w:color w:val="auto"/>
                <w:highlight w:val="none"/>
              </w:rPr>
              <w:t>，</w:t>
            </w:r>
            <w:r>
              <w:rPr>
                <w:rFonts w:hint="eastAsia"/>
                <w:color w:val="auto"/>
                <w:highlight w:val="none"/>
                <w:lang w:eastAsia="zh-CN"/>
              </w:rPr>
              <w:t>无组织粉尘量较小，因此不另计。</w:t>
            </w:r>
          </w:p>
        </w:tc>
      </w:tr>
      <w:tr w14:paraId="273053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pct"/>
            <w:vMerge w:val="restart"/>
            <w:tcBorders>
              <w:tl2br w:val="nil"/>
              <w:tr2bl w:val="nil"/>
            </w:tcBorders>
            <w:vAlign w:val="center"/>
          </w:tcPr>
          <w:p w14:paraId="0B53057D">
            <w:pPr>
              <w:pStyle w:val="41"/>
              <w:adjustRightInd w:val="0"/>
              <w:spacing w:line="300" w:lineRule="exact"/>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钒钛磁铁矿</w:t>
            </w:r>
          </w:p>
        </w:tc>
        <w:tc>
          <w:tcPr>
            <w:tcW w:w="603" w:type="pct"/>
            <w:vMerge w:val="restart"/>
            <w:tcBorders>
              <w:tl2br w:val="nil"/>
              <w:tr2bl w:val="nil"/>
            </w:tcBorders>
            <w:vAlign w:val="center"/>
          </w:tcPr>
          <w:p w14:paraId="0B064968">
            <w:pPr>
              <w:pStyle w:val="41"/>
              <w:adjustRightInd w:val="0"/>
              <w:spacing w:line="300" w:lineRule="exact"/>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580</w:t>
            </w:r>
          </w:p>
        </w:tc>
        <w:tc>
          <w:tcPr>
            <w:tcW w:w="668" w:type="pct"/>
            <w:tcBorders>
              <w:tl2br w:val="nil"/>
              <w:tr2bl w:val="nil"/>
            </w:tcBorders>
            <w:vAlign w:val="center"/>
          </w:tcPr>
          <w:p w14:paraId="0B3AC8B7">
            <w:pPr>
              <w:pStyle w:val="41"/>
              <w:adjustRightInd w:val="0"/>
              <w:spacing w:line="300" w:lineRule="exact"/>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铁精矿</w:t>
            </w:r>
          </w:p>
        </w:tc>
        <w:tc>
          <w:tcPr>
            <w:tcW w:w="1323" w:type="pct"/>
            <w:tcBorders>
              <w:tl2br w:val="nil"/>
              <w:tr2bl w:val="nil"/>
            </w:tcBorders>
            <w:vAlign w:val="center"/>
          </w:tcPr>
          <w:p w14:paraId="21074882">
            <w:pPr>
              <w:pStyle w:val="41"/>
              <w:bidi w:val="0"/>
              <w:adjustRightInd w:val="0"/>
              <w:spacing w:line="300" w:lineRule="exact"/>
              <w:ind w:left="420" w:leftChars="0" w:hangingChars="200"/>
              <w:rPr>
                <w:rFonts w:hint="default" w:ascii="Times New Roman" w:hAnsi="Times New Roman" w:eastAsia="华文中宋" w:cs="Times New Roman"/>
                <w:color w:val="auto"/>
                <w:highlight w:val="none"/>
                <w:lang w:val="en-US" w:eastAsia="zh-CN"/>
              </w:rPr>
            </w:pPr>
            <w:r>
              <w:rPr>
                <w:rFonts w:hint="default" w:ascii="Times New Roman" w:hAnsi="Times New Roman" w:cs="Times New Roman"/>
                <w:color w:val="auto"/>
                <w:highlight w:val="none"/>
                <w:lang w:val="en-US" w:eastAsia="zh-CN"/>
              </w:rPr>
              <w:t>5.196</w:t>
            </w:r>
          </w:p>
        </w:tc>
        <w:tc>
          <w:tcPr>
            <w:tcW w:w="831" w:type="pct"/>
            <w:tcBorders>
              <w:tl2br w:val="nil"/>
              <w:tr2bl w:val="nil"/>
            </w:tcBorders>
            <w:vAlign w:val="center"/>
          </w:tcPr>
          <w:p w14:paraId="6932D537">
            <w:pPr>
              <w:pStyle w:val="41"/>
              <w:adjustRightInd w:val="0"/>
              <w:spacing w:line="300" w:lineRule="exact"/>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30.14</w:t>
            </w:r>
          </w:p>
        </w:tc>
        <w:tc>
          <w:tcPr>
            <w:tcW w:w="930" w:type="pct"/>
            <w:vMerge w:val="continue"/>
            <w:tcBorders>
              <w:tl2br w:val="nil"/>
              <w:tr2bl w:val="nil"/>
            </w:tcBorders>
            <w:vAlign w:val="center"/>
          </w:tcPr>
          <w:p w14:paraId="79BCFF5E">
            <w:pPr>
              <w:pStyle w:val="41"/>
              <w:adjustRightInd w:val="0"/>
              <w:spacing w:line="300" w:lineRule="exact"/>
              <w:rPr>
                <w:rFonts w:hint="default" w:ascii="Times New Roman" w:hAnsi="Times New Roman" w:eastAsia="华文中宋" w:cs="Times New Roman"/>
                <w:color w:val="auto"/>
                <w:highlight w:val="none"/>
              </w:rPr>
            </w:pPr>
          </w:p>
        </w:tc>
      </w:tr>
      <w:tr w14:paraId="59C0CD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pct"/>
            <w:vMerge w:val="continue"/>
            <w:tcBorders>
              <w:tl2br w:val="nil"/>
              <w:tr2bl w:val="nil"/>
            </w:tcBorders>
            <w:vAlign w:val="center"/>
          </w:tcPr>
          <w:p w14:paraId="23CDA3E3">
            <w:pPr>
              <w:pStyle w:val="41"/>
              <w:adjustRightInd w:val="0"/>
              <w:spacing w:line="300" w:lineRule="exact"/>
              <w:rPr>
                <w:rFonts w:hint="default" w:ascii="Times New Roman" w:hAnsi="Times New Roman" w:eastAsia="华文中宋" w:cs="Times New Roman"/>
                <w:color w:val="auto"/>
                <w:highlight w:val="none"/>
              </w:rPr>
            </w:pPr>
          </w:p>
        </w:tc>
        <w:tc>
          <w:tcPr>
            <w:tcW w:w="603" w:type="pct"/>
            <w:vMerge w:val="continue"/>
            <w:tcBorders>
              <w:tl2br w:val="nil"/>
              <w:tr2bl w:val="nil"/>
            </w:tcBorders>
            <w:vAlign w:val="center"/>
          </w:tcPr>
          <w:p w14:paraId="2314FF47">
            <w:pPr>
              <w:pStyle w:val="41"/>
              <w:adjustRightInd w:val="0"/>
              <w:spacing w:line="300" w:lineRule="exact"/>
              <w:rPr>
                <w:rFonts w:hint="default" w:ascii="Times New Roman" w:hAnsi="Times New Roman" w:eastAsia="华文中宋" w:cs="Times New Roman"/>
                <w:color w:val="auto"/>
                <w:highlight w:val="none"/>
              </w:rPr>
            </w:pPr>
          </w:p>
        </w:tc>
        <w:tc>
          <w:tcPr>
            <w:tcW w:w="668" w:type="pct"/>
            <w:tcBorders>
              <w:tl2br w:val="nil"/>
              <w:tr2bl w:val="nil"/>
            </w:tcBorders>
            <w:vAlign w:val="center"/>
          </w:tcPr>
          <w:p w14:paraId="77920907">
            <w:pPr>
              <w:pStyle w:val="41"/>
              <w:adjustRightInd w:val="0"/>
              <w:spacing w:line="300" w:lineRule="exact"/>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钛</w:t>
            </w:r>
            <w:r>
              <w:rPr>
                <w:rFonts w:hint="default" w:ascii="Times New Roman" w:hAnsi="Times New Roman" w:eastAsia="华文中宋" w:cs="Times New Roman"/>
                <w:color w:val="auto"/>
                <w:highlight w:val="none"/>
              </w:rPr>
              <w:t>精</w:t>
            </w:r>
            <w:r>
              <w:rPr>
                <w:rFonts w:hint="default" w:ascii="Times New Roman" w:hAnsi="Times New Roman" w:eastAsia="华文中宋" w:cs="Times New Roman"/>
                <w:color w:val="auto"/>
                <w:highlight w:val="none"/>
              </w:rPr>
              <w:t>矿</w:t>
            </w:r>
          </w:p>
        </w:tc>
        <w:tc>
          <w:tcPr>
            <w:tcW w:w="1323" w:type="pct"/>
            <w:tcBorders>
              <w:tl2br w:val="nil"/>
              <w:tr2bl w:val="nil"/>
            </w:tcBorders>
            <w:vAlign w:val="center"/>
          </w:tcPr>
          <w:p w14:paraId="0E120B69">
            <w:pPr>
              <w:pStyle w:val="41"/>
              <w:bidi w:val="0"/>
              <w:adjustRightInd w:val="0"/>
              <w:spacing w:line="300" w:lineRule="exact"/>
              <w:ind w:left="420" w:leftChars="0" w:hangingChars="200"/>
              <w:rPr>
                <w:rFonts w:hint="default" w:ascii="Times New Roman" w:hAnsi="Times New Roman" w:eastAsia="华文中宋" w:cs="Times New Roman"/>
                <w:color w:val="auto"/>
                <w:highlight w:val="none"/>
              </w:rPr>
            </w:pPr>
            <w:r>
              <w:rPr>
                <w:rFonts w:hint="default" w:ascii="Times New Roman" w:hAnsi="Times New Roman" w:cs="Times New Roman"/>
                <w:color w:val="auto"/>
                <w:highlight w:val="none"/>
                <w:lang w:val="en-US" w:eastAsia="zh-CN"/>
              </w:rPr>
              <w:t>2.735</w:t>
            </w:r>
          </w:p>
        </w:tc>
        <w:tc>
          <w:tcPr>
            <w:tcW w:w="831" w:type="pct"/>
            <w:tcBorders>
              <w:tl2br w:val="nil"/>
              <w:tr2bl w:val="nil"/>
            </w:tcBorders>
            <w:vAlign w:val="center"/>
          </w:tcPr>
          <w:p w14:paraId="38714143">
            <w:pPr>
              <w:pStyle w:val="41"/>
              <w:adjustRightInd w:val="0"/>
              <w:spacing w:line="300" w:lineRule="exact"/>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15.87</w:t>
            </w:r>
          </w:p>
        </w:tc>
        <w:tc>
          <w:tcPr>
            <w:tcW w:w="930" w:type="pct"/>
            <w:vMerge w:val="continue"/>
            <w:tcBorders>
              <w:tl2br w:val="nil"/>
              <w:tr2bl w:val="nil"/>
            </w:tcBorders>
            <w:vAlign w:val="center"/>
          </w:tcPr>
          <w:p w14:paraId="5C95DDB3">
            <w:pPr>
              <w:pStyle w:val="41"/>
              <w:adjustRightInd w:val="0"/>
              <w:spacing w:line="300" w:lineRule="exact"/>
              <w:rPr>
                <w:rFonts w:hint="default" w:ascii="Times New Roman" w:hAnsi="Times New Roman" w:eastAsia="华文中宋" w:cs="Times New Roman"/>
                <w:color w:val="auto"/>
                <w:highlight w:val="none"/>
              </w:rPr>
            </w:pPr>
          </w:p>
        </w:tc>
      </w:tr>
      <w:tr w14:paraId="4225CA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pct"/>
            <w:vMerge w:val="continue"/>
            <w:tcBorders>
              <w:tl2br w:val="nil"/>
              <w:tr2bl w:val="nil"/>
            </w:tcBorders>
            <w:vAlign w:val="center"/>
          </w:tcPr>
          <w:p w14:paraId="44289EC3">
            <w:pPr>
              <w:pStyle w:val="41"/>
              <w:adjustRightInd w:val="0"/>
              <w:spacing w:line="300" w:lineRule="exact"/>
              <w:rPr>
                <w:rFonts w:hint="default" w:ascii="Times New Roman" w:hAnsi="Times New Roman" w:eastAsia="华文中宋" w:cs="Times New Roman"/>
                <w:color w:val="auto"/>
                <w:highlight w:val="none"/>
              </w:rPr>
            </w:pPr>
          </w:p>
        </w:tc>
        <w:tc>
          <w:tcPr>
            <w:tcW w:w="603" w:type="pct"/>
            <w:vMerge w:val="continue"/>
            <w:tcBorders>
              <w:tl2br w:val="nil"/>
              <w:tr2bl w:val="nil"/>
            </w:tcBorders>
            <w:vAlign w:val="center"/>
          </w:tcPr>
          <w:p w14:paraId="655F89C3">
            <w:pPr>
              <w:pStyle w:val="41"/>
              <w:adjustRightInd w:val="0"/>
              <w:spacing w:line="300" w:lineRule="exact"/>
              <w:rPr>
                <w:rFonts w:hint="default" w:ascii="Times New Roman" w:hAnsi="Times New Roman" w:eastAsia="华文中宋" w:cs="Times New Roman"/>
                <w:color w:val="auto"/>
                <w:highlight w:val="none"/>
              </w:rPr>
            </w:pPr>
          </w:p>
        </w:tc>
        <w:tc>
          <w:tcPr>
            <w:tcW w:w="668" w:type="pct"/>
            <w:tcBorders>
              <w:tl2br w:val="nil"/>
              <w:tr2bl w:val="nil"/>
            </w:tcBorders>
            <w:vAlign w:val="center"/>
          </w:tcPr>
          <w:p w14:paraId="1D34DF66">
            <w:pPr>
              <w:pStyle w:val="41"/>
              <w:adjustRightInd w:val="0"/>
              <w:spacing w:line="300" w:lineRule="exact"/>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废石</w:t>
            </w:r>
          </w:p>
        </w:tc>
        <w:tc>
          <w:tcPr>
            <w:tcW w:w="1323" w:type="pct"/>
            <w:tcBorders>
              <w:tl2br w:val="nil"/>
              <w:tr2bl w:val="nil"/>
            </w:tcBorders>
            <w:vAlign w:val="center"/>
          </w:tcPr>
          <w:p w14:paraId="3BB30C1B">
            <w:pPr>
              <w:pStyle w:val="41"/>
              <w:bidi w:val="0"/>
              <w:adjustRightInd w:val="0"/>
              <w:spacing w:line="300" w:lineRule="exact"/>
              <w:ind w:left="420" w:leftChars="0" w:hangingChars="200"/>
              <w:jc w:val="center"/>
              <w:rPr>
                <w:rFonts w:hint="default" w:ascii="Times New Roman" w:hAnsi="Times New Roman" w:eastAsia="华文中宋" w:cs="Times New Roman"/>
                <w:color w:val="auto"/>
                <w:highlight w:val="none"/>
              </w:rPr>
            </w:pPr>
            <w:r>
              <w:rPr>
                <w:rFonts w:hint="default" w:ascii="Times New Roman" w:hAnsi="Times New Roman" w:cs="Times New Roman"/>
                <w:color w:val="auto"/>
                <w:highlight w:val="none"/>
                <w:lang w:val="en-US" w:eastAsia="zh-CN"/>
              </w:rPr>
              <w:t>40.000</w:t>
            </w:r>
          </w:p>
        </w:tc>
        <w:tc>
          <w:tcPr>
            <w:tcW w:w="831" w:type="pct"/>
            <w:tcBorders>
              <w:tl2br w:val="nil"/>
              <w:tr2bl w:val="nil"/>
            </w:tcBorders>
            <w:vAlign w:val="center"/>
          </w:tcPr>
          <w:p w14:paraId="106B1291">
            <w:pPr>
              <w:pStyle w:val="41"/>
              <w:adjustRightInd w:val="0"/>
              <w:spacing w:line="300" w:lineRule="exact"/>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232</w:t>
            </w:r>
          </w:p>
        </w:tc>
        <w:tc>
          <w:tcPr>
            <w:tcW w:w="930" w:type="pct"/>
            <w:vMerge w:val="continue"/>
            <w:tcBorders>
              <w:tl2br w:val="nil"/>
              <w:tr2bl w:val="nil"/>
            </w:tcBorders>
            <w:vAlign w:val="center"/>
          </w:tcPr>
          <w:p w14:paraId="566AA12A">
            <w:pPr>
              <w:pStyle w:val="41"/>
              <w:adjustRightInd w:val="0"/>
              <w:spacing w:line="300" w:lineRule="exact"/>
              <w:rPr>
                <w:rFonts w:hint="default" w:ascii="Times New Roman" w:hAnsi="Times New Roman" w:eastAsia="华文中宋" w:cs="Times New Roman"/>
                <w:color w:val="auto"/>
                <w:highlight w:val="none"/>
              </w:rPr>
            </w:pPr>
          </w:p>
        </w:tc>
      </w:tr>
      <w:tr w14:paraId="1AFB41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pct"/>
            <w:vMerge w:val="continue"/>
            <w:tcBorders>
              <w:tl2br w:val="nil"/>
              <w:tr2bl w:val="nil"/>
            </w:tcBorders>
            <w:vAlign w:val="center"/>
          </w:tcPr>
          <w:p w14:paraId="70D3A6E2">
            <w:pPr>
              <w:pStyle w:val="41"/>
              <w:adjustRightInd w:val="0"/>
              <w:spacing w:line="300" w:lineRule="exact"/>
              <w:rPr>
                <w:rFonts w:hint="default" w:ascii="Times New Roman" w:hAnsi="Times New Roman" w:eastAsia="华文中宋" w:cs="Times New Roman"/>
                <w:color w:val="auto"/>
                <w:highlight w:val="none"/>
              </w:rPr>
            </w:pPr>
          </w:p>
        </w:tc>
        <w:tc>
          <w:tcPr>
            <w:tcW w:w="603" w:type="pct"/>
            <w:vMerge w:val="continue"/>
            <w:tcBorders>
              <w:tl2br w:val="nil"/>
              <w:tr2bl w:val="nil"/>
            </w:tcBorders>
            <w:vAlign w:val="center"/>
          </w:tcPr>
          <w:p w14:paraId="02B60CD7">
            <w:pPr>
              <w:pStyle w:val="41"/>
              <w:adjustRightInd w:val="0"/>
              <w:spacing w:line="300" w:lineRule="exact"/>
              <w:rPr>
                <w:rFonts w:hint="default" w:ascii="Times New Roman" w:hAnsi="Times New Roman" w:eastAsia="华文中宋" w:cs="Times New Roman"/>
                <w:color w:val="auto"/>
                <w:highlight w:val="none"/>
              </w:rPr>
            </w:pPr>
          </w:p>
        </w:tc>
        <w:tc>
          <w:tcPr>
            <w:tcW w:w="668" w:type="pct"/>
            <w:tcBorders>
              <w:tl2br w:val="nil"/>
              <w:tr2bl w:val="nil"/>
            </w:tcBorders>
            <w:vAlign w:val="center"/>
          </w:tcPr>
          <w:p w14:paraId="1D173467">
            <w:pPr>
              <w:pStyle w:val="41"/>
              <w:adjustRightInd w:val="0"/>
              <w:spacing w:line="300" w:lineRule="exact"/>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尾矿</w:t>
            </w:r>
          </w:p>
        </w:tc>
        <w:tc>
          <w:tcPr>
            <w:tcW w:w="1323" w:type="pct"/>
            <w:tcBorders>
              <w:tl2br w:val="nil"/>
              <w:tr2bl w:val="nil"/>
            </w:tcBorders>
            <w:vAlign w:val="center"/>
          </w:tcPr>
          <w:p w14:paraId="6E38DD7D">
            <w:pPr>
              <w:pStyle w:val="41"/>
              <w:bidi w:val="0"/>
              <w:adjustRightInd w:val="0"/>
              <w:spacing w:line="300" w:lineRule="exact"/>
              <w:ind w:left="420" w:leftChars="0" w:hangingChars="200"/>
              <w:jc w:val="center"/>
              <w:rPr>
                <w:rFonts w:hint="default" w:ascii="Times New Roman" w:hAnsi="Times New Roman" w:eastAsia="华文中宋" w:cs="Times New Roman"/>
                <w:color w:val="auto"/>
                <w:highlight w:val="none"/>
              </w:rPr>
            </w:pPr>
            <w:r>
              <w:rPr>
                <w:rFonts w:hint="default" w:ascii="Times New Roman" w:hAnsi="Times New Roman" w:cs="Times New Roman"/>
                <w:color w:val="auto"/>
                <w:highlight w:val="none"/>
                <w:lang w:val="en-US" w:eastAsia="zh-CN"/>
              </w:rPr>
              <w:t>52.069</w:t>
            </w:r>
          </w:p>
        </w:tc>
        <w:tc>
          <w:tcPr>
            <w:tcW w:w="831" w:type="pct"/>
            <w:tcBorders>
              <w:tl2br w:val="nil"/>
              <w:tr2bl w:val="nil"/>
            </w:tcBorders>
            <w:vAlign w:val="center"/>
          </w:tcPr>
          <w:p w14:paraId="1E4211EA">
            <w:pPr>
              <w:pStyle w:val="41"/>
              <w:adjustRightInd w:val="0"/>
              <w:spacing w:line="300" w:lineRule="exact"/>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302</w:t>
            </w:r>
          </w:p>
        </w:tc>
        <w:tc>
          <w:tcPr>
            <w:tcW w:w="930" w:type="pct"/>
            <w:vMerge w:val="continue"/>
            <w:tcBorders>
              <w:tl2br w:val="nil"/>
              <w:tr2bl w:val="nil"/>
            </w:tcBorders>
            <w:vAlign w:val="center"/>
          </w:tcPr>
          <w:p w14:paraId="379F6D69">
            <w:pPr>
              <w:pStyle w:val="41"/>
              <w:adjustRightInd w:val="0"/>
              <w:spacing w:line="300" w:lineRule="exact"/>
              <w:rPr>
                <w:rFonts w:hint="default" w:ascii="Times New Roman" w:hAnsi="Times New Roman" w:eastAsia="华文中宋" w:cs="Times New Roman"/>
                <w:color w:val="auto"/>
                <w:highlight w:val="none"/>
              </w:rPr>
            </w:pPr>
          </w:p>
        </w:tc>
      </w:tr>
      <w:tr w14:paraId="3C6B8C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pct"/>
            <w:tcBorders>
              <w:tl2br w:val="nil"/>
              <w:tr2bl w:val="nil"/>
            </w:tcBorders>
            <w:vAlign w:val="center"/>
          </w:tcPr>
          <w:p w14:paraId="4A7F4DE6">
            <w:pPr>
              <w:pStyle w:val="41"/>
              <w:adjustRightInd w:val="0"/>
              <w:spacing w:line="300" w:lineRule="exact"/>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小计</w:t>
            </w:r>
          </w:p>
        </w:tc>
        <w:tc>
          <w:tcPr>
            <w:tcW w:w="603" w:type="pct"/>
            <w:tcBorders>
              <w:tl2br w:val="nil"/>
              <w:tr2bl w:val="nil"/>
            </w:tcBorders>
            <w:vAlign w:val="center"/>
          </w:tcPr>
          <w:p w14:paraId="10DC5051">
            <w:pPr>
              <w:pStyle w:val="41"/>
              <w:adjustRightInd w:val="0"/>
              <w:spacing w:line="300" w:lineRule="exact"/>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580</w:t>
            </w:r>
          </w:p>
        </w:tc>
        <w:tc>
          <w:tcPr>
            <w:tcW w:w="668" w:type="pct"/>
            <w:tcBorders>
              <w:tl2br w:val="nil"/>
              <w:tr2bl w:val="nil"/>
            </w:tcBorders>
            <w:vAlign w:val="center"/>
          </w:tcPr>
          <w:p w14:paraId="6F01EC25">
            <w:pPr>
              <w:pStyle w:val="41"/>
              <w:adjustRightInd w:val="0"/>
              <w:spacing w:line="300" w:lineRule="exact"/>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小计</w:t>
            </w:r>
          </w:p>
        </w:tc>
        <w:tc>
          <w:tcPr>
            <w:tcW w:w="1323" w:type="pct"/>
            <w:tcBorders>
              <w:tl2br w:val="nil"/>
              <w:tr2bl w:val="nil"/>
            </w:tcBorders>
            <w:vAlign w:val="center"/>
          </w:tcPr>
          <w:p w14:paraId="04DED8EA">
            <w:pPr>
              <w:pStyle w:val="41"/>
              <w:adjustRightInd w:val="0"/>
              <w:spacing w:line="300" w:lineRule="exact"/>
              <w:rPr>
                <w:rFonts w:hint="default" w:ascii="Times New Roman" w:hAnsi="Times New Roman" w:eastAsia="华文中宋" w:cs="Times New Roman"/>
                <w:color w:val="auto"/>
                <w:highlight w:val="none"/>
                <w:lang w:val="en-US" w:eastAsia="zh-CN"/>
              </w:rPr>
            </w:pPr>
            <w:r>
              <w:rPr>
                <w:rFonts w:hint="eastAsia" w:cs="Times New Roman"/>
                <w:color w:val="auto"/>
                <w:highlight w:val="none"/>
                <w:lang w:val="en-US" w:eastAsia="zh-CN"/>
              </w:rPr>
              <w:t>100</w:t>
            </w:r>
          </w:p>
        </w:tc>
        <w:tc>
          <w:tcPr>
            <w:tcW w:w="831" w:type="pct"/>
            <w:tcBorders>
              <w:tl2br w:val="nil"/>
              <w:tr2bl w:val="nil"/>
            </w:tcBorders>
            <w:vAlign w:val="center"/>
          </w:tcPr>
          <w:p w14:paraId="37CD348A">
            <w:pPr>
              <w:pStyle w:val="41"/>
              <w:adjustRightInd w:val="0"/>
              <w:spacing w:line="300" w:lineRule="exact"/>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580</w:t>
            </w:r>
          </w:p>
        </w:tc>
        <w:tc>
          <w:tcPr>
            <w:tcW w:w="930" w:type="pct"/>
            <w:vMerge w:val="continue"/>
            <w:tcBorders>
              <w:tl2br w:val="nil"/>
              <w:tr2bl w:val="nil"/>
            </w:tcBorders>
            <w:vAlign w:val="center"/>
          </w:tcPr>
          <w:p w14:paraId="06F4313C">
            <w:pPr>
              <w:pStyle w:val="41"/>
              <w:adjustRightInd w:val="0"/>
              <w:spacing w:line="300" w:lineRule="exact"/>
              <w:rPr>
                <w:rFonts w:hint="default" w:ascii="Times New Roman" w:hAnsi="Times New Roman" w:eastAsia="华文中宋" w:cs="Times New Roman"/>
                <w:color w:val="auto"/>
                <w:highlight w:val="none"/>
              </w:rPr>
            </w:pPr>
          </w:p>
        </w:tc>
      </w:tr>
    </w:tbl>
    <w:p w14:paraId="08DE244F">
      <w:pPr>
        <w:pStyle w:val="30"/>
        <w:keepNext/>
        <w:keepLines/>
        <w:pageBreakBefore w:val="0"/>
        <w:widowControl w:val="0"/>
        <w:numPr>
          <w:ilvl w:val="3"/>
          <w:numId w:val="0"/>
        </w:numPr>
        <w:kinsoku/>
        <w:wordWrap/>
        <w:overflowPunct/>
        <w:topLinePunct w:val="0"/>
        <w:autoSpaceDE/>
        <w:autoSpaceDN/>
        <w:bidi w:val="0"/>
        <w:adjustRightInd w:val="0"/>
        <w:snapToGrid/>
        <w:spacing w:before="0" w:after="0"/>
        <w:textAlignment w:val="auto"/>
        <w:outlineLvl w:val="4"/>
        <w:rPr>
          <w:rFonts w:hint="eastAsia" w:ascii="Times New Roman" w:hAnsi="Times New Roman" w:cs="Times New Roman"/>
          <w:b/>
          <w:bCs/>
          <w:color w:val="auto"/>
          <w:highlight w:val="none"/>
        </w:rPr>
      </w:pPr>
      <w:r>
        <w:rPr>
          <w:rFonts w:hint="eastAsia" w:ascii="Times New Roman" w:hAnsi="Times New Roman" w:cs="Times New Roman"/>
          <w:b/>
          <w:bCs/>
          <w:color w:val="auto"/>
          <w:highlight w:val="none"/>
        </w:rPr>
        <w:t>3.3.1.6.2元素平衡</w:t>
      </w:r>
    </w:p>
    <w:p w14:paraId="4D23A61E">
      <w:pPr>
        <w:pStyle w:val="3"/>
        <w:ind w:firstLine="480"/>
        <w:rPr>
          <w:color w:val="auto"/>
          <w:highlight w:val="none"/>
        </w:rPr>
      </w:pPr>
      <w:r>
        <w:rPr>
          <w:color w:val="auto"/>
          <w:highlight w:val="none"/>
        </w:rPr>
        <w:t>（1）钛元素平衡</w:t>
      </w:r>
    </w:p>
    <w:p w14:paraId="6BA8A84F">
      <w:pPr>
        <w:pStyle w:val="3"/>
        <w:ind w:firstLine="480"/>
        <w:rPr>
          <w:color w:val="auto"/>
          <w:highlight w:val="none"/>
        </w:rPr>
      </w:pPr>
      <w:r>
        <w:rPr>
          <w:color w:val="auto"/>
          <w:highlight w:val="none"/>
        </w:rPr>
        <w:t>本项目钛元素平衡见表3.</w:t>
      </w:r>
      <w:r>
        <w:rPr>
          <w:rFonts w:hint="eastAsia"/>
          <w:color w:val="auto"/>
          <w:highlight w:val="none"/>
        </w:rPr>
        <w:t>3-7</w:t>
      </w:r>
      <w:r>
        <w:rPr>
          <w:color w:val="auto"/>
          <w:highlight w:val="none"/>
        </w:rPr>
        <w:t>。</w:t>
      </w:r>
    </w:p>
    <w:p w14:paraId="404DCF9E">
      <w:pPr>
        <w:pStyle w:val="40"/>
        <w:spacing w:before="24" w:after="24"/>
        <w:rPr>
          <w:color w:val="auto"/>
          <w:highlight w:val="none"/>
        </w:rPr>
      </w:pPr>
      <w:r>
        <w:rPr>
          <w:color w:val="auto"/>
          <w:highlight w:val="none"/>
        </w:rPr>
        <w:t>表</w:t>
      </w:r>
      <w:r>
        <w:rPr>
          <w:rFonts w:hint="eastAsia"/>
          <w:color w:val="auto"/>
          <w:highlight w:val="none"/>
        </w:rPr>
        <w:t>3.3-7</w:t>
      </w:r>
      <w:r>
        <w:rPr>
          <w:color w:val="auto"/>
          <w:highlight w:val="none"/>
        </w:rPr>
        <w:t xml:space="preserve">  </w:t>
      </w:r>
      <w:r>
        <w:rPr>
          <w:rFonts w:hint="eastAsia"/>
          <w:color w:val="auto"/>
          <w:highlight w:val="none"/>
        </w:rPr>
        <w:t xml:space="preserve"> </w:t>
      </w:r>
      <w:r>
        <w:rPr>
          <w:color w:val="auto"/>
          <w:highlight w:val="none"/>
        </w:rPr>
        <w:t xml:space="preserve"> TiO</w:t>
      </w:r>
      <w:r>
        <w:rPr>
          <w:color w:val="auto"/>
          <w:highlight w:val="none"/>
          <w:vertAlign w:val="subscript"/>
        </w:rPr>
        <w:t>2</w:t>
      </w:r>
      <w:r>
        <w:rPr>
          <w:color w:val="auto"/>
          <w:highlight w:val="none"/>
        </w:rPr>
        <w:t>平衡表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1075"/>
        <w:gridCol w:w="932"/>
        <w:gridCol w:w="1344"/>
        <w:gridCol w:w="1107"/>
        <w:gridCol w:w="1396"/>
        <w:gridCol w:w="1597"/>
      </w:tblGrid>
      <w:tr w14:paraId="05E048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9" w:type="dxa"/>
            <w:tcBorders>
              <w:tl2br w:val="nil"/>
              <w:tr2bl w:val="nil"/>
            </w:tcBorders>
            <w:vAlign w:val="center"/>
          </w:tcPr>
          <w:p w14:paraId="0422B00D">
            <w:pPr>
              <w:pStyle w:val="41"/>
              <w:rPr>
                <w:color w:val="auto"/>
                <w:highlight w:val="none"/>
              </w:rPr>
            </w:pPr>
            <w:r>
              <w:rPr>
                <w:color w:val="auto"/>
                <w:highlight w:val="none"/>
              </w:rPr>
              <w:t>原料种类</w:t>
            </w:r>
          </w:p>
        </w:tc>
        <w:tc>
          <w:tcPr>
            <w:tcW w:w="1075" w:type="dxa"/>
            <w:tcBorders>
              <w:tl2br w:val="nil"/>
              <w:tr2bl w:val="nil"/>
            </w:tcBorders>
            <w:vAlign w:val="center"/>
          </w:tcPr>
          <w:p w14:paraId="41C8996C">
            <w:pPr>
              <w:pStyle w:val="41"/>
              <w:rPr>
                <w:color w:val="auto"/>
                <w:highlight w:val="none"/>
              </w:rPr>
            </w:pPr>
            <w:r>
              <w:rPr>
                <w:color w:val="auto"/>
                <w:highlight w:val="none"/>
              </w:rPr>
              <w:t>TiO</w:t>
            </w:r>
            <w:r>
              <w:rPr>
                <w:color w:val="auto"/>
                <w:highlight w:val="none"/>
                <w:vertAlign w:val="subscript"/>
              </w:rPr>
              <w:t>2</w:t>
            </w:r>
            <w:r>
              <w:rPr>
                <w:color w:val="auto"/>
                <w:highlight w:val="none"/>
              </w:rPr>
              <w:t>投入量（万t/a）</w:t>
            </w:r>
          </w:p>
        </w:tc>
        <w:tc>
          <w:tcPr>
            <w:tcW w:w="932" w:type="dxa"/>
            <w:tcBorders>
              <w:tl2br w:val="nil"/>
              <w:tr2bl w:val="nil"/>
            </w:tcBorders>
            <w:vAlign w:val="center"/>
          </w:tcPr>
          <w:p w14:paraId="47B28EA3">
            <w:pPr>
              <w:pStyle w:val="41"/>
              <w:rPr>
                <w:color w:val="auto"/>
                <w:highlight w:val="none"/>
              </w:rPr>
            </w:pPr>
            <w:r>
              <w:rPr>
                <w:color w:val="auto"/>
                <w:highlight w:val="none"/>
              </w:rPr>
              <w:t>品位TiO</w:t>
            </w:r>
            <w:r>
              <w:rPr>
                <w:color w:val="auto"/>
                <w:highlight w:val="none"/>
                <w:vertAlign w:val="subscript"/>
              </w:rPr>
              <w:t>2</w:t>
            </w:r>
            <w:r>
              <w:rPr>
                <w:color w:val="auto"/>
                <w:highlight w:val="none"/>
              </w:rPr>
              <w:t>%</w:t>
            </w:r>
          </w:p>
        </w:tc>
        <w:tc>
          <w:tcPr>
            <w:tcW w:w="1344" w:type="dxa"/>
            <w:tcBorders>
              <w:tl2br w:val="nil"/>
              <w:tr2bl w:val="nil"/>
            </w:tcBorders>
            <w:vAlign w:val="center"/>
          </w:tcPr>
          <w:p w14:paraId="2816EB38">
            <w:pPr>
              <w:pStyle w:val="41"/>
              <w:rPr>
                <w:color w:val="auto"/>
                <w:highlight w:val="none"/>
              </w:rPr>
            </w:pPr>
            <w:r>
              <w:rPr>
                <w:color w:val="auto"/>
                <w:highlight w:val="none"/>
              </w:rPr>
              <w:t>产出种类</w:t>
            </w:r>
          </w:p>
        </w:tc>
        <w:tc>
          <w:tcPr>
            <w:tcW w:w="1107" w:type="dxa"/>
            <w:tcBorders>
              <w:tl2br w:val="nil"/>
              <w:tr2bl w:val="nil"/>
            </w:tcBorders>
            <w:vAlign w:val="center"/>
          </w:tcPr>
          <w:p w14:paraId="124A7B51">
            <w:pPr>
              <w:pStyle w:val="41"/>
              <w:rPr>
                <w:color w:val="auto"/>
                <w:highlight w:val="none"/>
              </w:rPr>
            </w:pPr>
            <w:r>
              <w:rPr>
                <w:color w:val="auto"/>
                <w:highlight w:val="none"/>
              </w:rPr>
              <w:t>TiO</w:t>
            </w:r>
            <w:r>
              <w:rPr>
                <w:color w:val="auto"/>
                <w:highlight w:val="none"/>
                <w:vertAlign w:val="subscript"/>
              </w:rPr>
              <w:t>2</w:t>
            </w:r>
            <w:r>
              <w:rPr>
                <w:color w:val="auto"/>
                <w:highlight w:val="none"/>
              </w:rPr>
              <w:t>产出量（万t/a）</w:t>
            </w:r>
          </w:p>
        </w:tc>
        <w:tc>
          <w:tcPr>
            <w:tcW w:w="1396" w:type="dxa"/>
            <w:tcBorders>
              <w:tl2br w:val="nil"/>
              <w:tr2bl w:val="nil"/>
            </w:tcBorders>
            <w:vAlign w:val="center"/>
          </w:tcPr>
          <w:p w14:paraId="4533B332">
            <w:pPr>
              <w:pStyle w:val="41"/>
              <w:rPr>
                <w:color w:val="auto"/>
                <w:highlight w:val="none"/>
              </w:rPr>
            </w:pPr>
            <w:r>
              <w:rPr>
                <w:color w:val="auto"/>
                <w:highlight w:val="none"/>
              </w:rPr>
              <w:t>钛含量（品位TiO</w:t>
            </w:r>
            <w:r>
              <w:rPr>
                <w:color w:val="auto"/>
                <w:highlight w:val="none"/>
                <w:vertAlign w:val="subscript"/>
              </w:rPr>
              <w:t>2</w:t>
            </w:r>
            <w:r>
              <w:rPr>
                <w:color w:val="auto"/>
                <w:highlight w:val="none"/>
              </w:rPr>
              <w:t>%）</w:t>
            </w:r>
          </w:p>
        </w:tc>
        <w:tc>
          <w:tcPr>
            <w:tcW w:w="1597" w:type="dxa"/>
            <w:tcBorders>
              <w:tl2br w:val="nil"/>
              <w:tr2bl w:val="nil"/>
            </w:tcBorders>
            <w:vAlign w:val="center"/>
          </w:tcPr>
          <w:p w14:paraId="6B6E69DE">
            <w:pPr>
              <w:pStyle w:val="41"/>
              <w:rPr>
                <w:color w:val="auto"/>
                <w:highlight w:val="none"/>
              </w:rPr>
            </w:pPr>
            <w:r>
              <w:rPr>
                <w:color w:val="auto"/>
                <w:highlight w:val="none"/>
              </w:rPr>
              <w:t>备注</w:t>
            </w:r>
          </w:p>
        </w:tc>
      </w:tr>
      <w:tr w14:paraId="54C4CE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9" w:type="dxa"/>
            <w:tcBorders>
              <w:tl2br w:val="nil"/>
              <w:tr2bl w:val="nil"/>
            </w:tcBorders>
            <w:vAlign w:val="center"/>
          </w:tcPr>
          <w:p w14:paraId="0841DBE2">
            <w:pPr>
              <w:pStyle w:val="41"/>
              <w:rPr>
                <w:color w:val="auto"/>
                <w:highlight w:val="none"/>
              </w:rPr>
            </w:pPr>
            <w:r>
              <w:rPr>
                <w:color w:val="auto"/>
                <w:highlight w:val="none"/>
              </w:rPr>
              <w:t>原矿</w:t>
            </w:r>
          </w:p>
        </w:tc>
        <w:tc>
          <w:tcPr>
            <w:tcW w:w="1075" w:type="dxa"/>
            <w:tcBorders>
              <w:tl2br w:val="nil"/>
              <w:tr2bl w:val="nil"/>
            </w:tcBorders>
            <w:vAlign w:val="center"/>
          </w:tcPr>
          <w:p w14:paraId="619D2BE4">
            <w:pPr>
              <w:pStyle w:val="41"/>
              <w:rPr>
                <w:rFonts w:hint="default" w:eastAsia="华文中宋"/>
                <w:color w:val="auto"/>
                <w:highlight w:val="none"/>
                <w:lang w:val="en-US" w:eastAsia="zh-CN"/>
              </w:rPr>
            </w:pPr>
            <w:r>
              <w:rPr>
                <w:rFonts w:hint="eastAsia"/>
                <w:color w:val="auto"/>
                <w:highlight w:val="none"/>
                <w:lang w:val="en-US" w:eastAsia="zh-CN"/>
              </w:rPr>
              <w:t>15.37</w:t>
            </w:r>
          </w:p>
        </w:tc>
        <w:tc>
          <w:tcPr>
            <w:tcW w:w="932" w:type="dxa"/>
            <w:tcBorders>
              <w:tl2br w:val="nil"/>
              <w:tr2bl w:val="nil"/>
            </w:tcBorders>
            <w:vAlign w:val="center"/>
          </w:tcPr>
          <w:p w14:paraId="65A9ABE8">
            <w:pPr>
              <w:pStyle w:val="41"/>
              <w:rPr>
                <w:color w:val="auto"/>
                <w:highlight w:val="none"/>
              </w:rPr>
            </w:pPr>
            <w:r>
              <w:rPr>
                <w:rFonts w:hint="eastAsia"/>
                <w:color w:val="auto"/>
                <w:highlight w:val="none"/>
                <w:lang w:val="en-US" w:eastAsia="zh-CN"/>
              </w:rPr>
              <w:t>2.65</w:t>
            </w:r>
          </w:p>
        </w:tc>
        <w:tc>
          <w:tcPr>
            <w:tcW w:w="1344" w:type="dxa"/>
            <w:tcBorders>
              <w:tl2br w:val="nil"/>
              <w:tr2bl w:val="nil"/>
            </w:tcBorders>
            <w:vAlign w:val="center"/>
          </w:tcPr>
          <w:p w14:paraId="3934DA91">
            <w:pPr>
              <w:pStyle w:val="41"/>
              <w:rPr>
                <w:rFonts w:ascii="Times New Roman" w:hAnsi="Times New Roman"/>
                <w:color w:val="auto"/>
                <w:highlight w:val="none"/>
              </w:rPr>
            </w:pPr>
            <w:r>
              <w:rPr>
                <w:rFonts w:hint="eastAsia" w:ascii="Times New Roman" w:hAnsi="Times New Roman"/>
                <w:color w:val="auto"/>
                <w:highlight w:val="none"/>
                <w:lang w:val="en-US" w:eastAsia="zh-CN"/>
              </w:rPr>
              <w:t>铁精矿</w:t>
            </w:r>
          </w:p>
        </w:tc>
        <w:tc>
          <w:tcPr>
            <w:tcW w:w="1107" w:type="dxa"/>
            <w:tcBorders>
              <w:tl2br w:val="nil"/>
              <w:tr2bl w:val="nil"/>
            </w:tcBorders>
            <w:vAlign w:val="center"/>
          </w:tcPr>
          <w:p w14:paraId="3BB1CD1C">
            <w:pPr>
              <w:pStyle w:val="41"/>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0.7986</w:t>
            </w:r>
          </w:p>
        </w:tc>
        <w:tc>
          <w:tcPr>
            <w:tcW w:w="1396" w:type="dxa"/>
            <w:tcBorders>
              <w:tl2br w:val="nil"/>
              <w:tr2bl w:val="nil"/>
            </w:tcBorders>
            <w:vAlign w:val="center"/>
          </w:tcPr>
          <w:p w14:paraId="2F167C3F">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5.61</w:t>
            </w:r>
          </w:p>
        </w:tc>
        <w:tc>
          <w:tcPr>
            <w:tcW w:w="1597" w:type="dxa"/>
            <w:vMerge w:val="restart"/>
            <w:tcBorders>
              <w:tl2br w:val="nil"/>
              <w:tr2bl w:val="nil"/>
            </w:tcBorders>
            <w:vAlign w:val="center"/>
          </w:tcPr>
          <w:p w14:paraId="0CA944E5">
            <w:pPr>
              <w:pStyle w:val="41"/>
              <w:rPr>
                <w:color w:val="auto"/>
                <w:highlight w:val="none"/>
              </w:rPr>
            </w:pPr>
            <w:r>
              <w:rPr>
                <w:rFonts w:hint="eastAsia"/>
                <w:color w:val="auto"/>
                <w:highlight w:val="none"/>
                <w:lang w:eastAsia="zh-CN"/>
              </w:rPr>
              <w:t>有组织粉尘量收集后返回生产工序</w:t>
            </w:r>
            <w:r>
              <w:rPr>
                <w:color w:val="auto"/>
                <w:highlight w:val="none"/>
              </w:rPr>
              <w:t>，</w:t>
            </w:r>
            <w:r>
              <w:rPr>
                <w:rFonts w:hint="eastAsia"/>
                <w:color w:val="auto"/>
                <w:highlight w:val="none"/>
                <w:lang w:eastAsia="zh-CN"/>
              </w:rPr>
              <w:t>无组织粉尘量较小，因此不另计。</w:t>
            </w:r>
          </w:p>
        </w:tc>
      </w:tr>
      <w:tr w14:paraId="417204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9" w:type="dxa"/>
            <w:tcBorders>
              <w:tl2br w:val="nil"/>
              <w:tr2bl w:val="nil"/>
            </w:tcBorders>
            <w:vAlign w:val="center"/>
          </w:tcPr>
          <w:p w14:paraId="1D2084F0">
            <w:pPr>
              <w:pStyle w:val="41"/>
              <w:rPr>
                <w:color w:val="auto"/>
                <w:highlight w:val="none"/>
              </w:rPr>
            </w:pPr>
          </w:p>
        </w:tc>
        <w:tc>
          <w:tcPr>
            <w:tcW w:w="1075" w:type="dxa"/>
            <w:tcBorders>
              <w:tl2br w:val="nil"/>
              <w:tr2bl w:val="nil"/>
            </w:tcBorders>
            <w:vAlign w:val="center"/>
          </w:tcPr>
          <w:p w14:paraId="0398ACFB">
            <w:pPr>
              <w:pStyle w:val="41"/>
              <w:rPr>
                <w:color w:val="auto"/>
                <w:highlight w:val="none"/>
              </w:rPr>
            </w:pPr>
          </w:p>
        </w:tc>
        <w:tc>
          <w:tcPr>
            <w:tcW w:w="932" w:type="dxa"/>
            <w:tcBorders>
              <w:tl2br w:val="nil"/>
              <w:tr2bl w:val="nil"/>
            </w:tcBorders>
            <w:vAlign w:val="center"/>
          </w:tcPr>
          <w:p w14:paraId="1330B8BB">
            <w:pPr>
              <w:pStyle w:val="41"/>
              <w:rPr>
                <w:color w:val="auto"/>
                <w:highlight w:val="none"/>
              </w:rPr>
            </w:pPr>
          </w:p>
        </w:tc>
        <w:tc>
          <w:tcPr>
            <w:tcW w:w="1344" w:type="dxa"/>
            <w:tcBorders>
              <w:tl2br w:val="nil"/>
              <w:tr2bl w:val="nil"/>
            </w:tcBorders>
            <w:vAlign w:val="center"/>
          </w:tcPr>
          <w:p w14:paraId="4F2BA377">
            <w:pPr>
              <w:pStyle w:val="41"/>
              <w:rPr>
                <w:rFonts w:ascii="Times New Roman" w:hAnsi="Times New Roman"/>
                <w:color w:val="auto"/>
                <w:highlight w:val="none"/>
              </w:rPr>
            </w:pPr>
            <w:r>
              <w:rPr>
                <w:rFonts w:hint="eastAsia" w:ascii="Times New Roman" w:hAnsi="Times New Roman"/>
                <w:color w:val="auto"/>
                <w:highlight w:val="none"/>
                <w:lang w:val="en-US" w:eastAsia="zh-CN"/>
              </w:rPr>
              <w:t>钛精矿</w:t>
            </w:r>
          </w:p>
        </w:tc>
        <w:tc>
          <w:tcPr>
            <w:tcW w:w="1107" w:type="dxa"/>
            <w:tcBorders>
              <w:tl2br w:val="nil"/>
              <w:tr2bl w:val="nil"/>
            </w:tcBorders>
            <w:vAlign w:val="center"/>
          </w:tcPr>
          <w:p w14:paraId="582AFBA6">
            <w:pPr>
              <w:pStyle w:val="41"/>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0.4204</w:t>
            </w:r>
          </w:p>
        </w:tc>
        <w:tc>
          <w:tcPr>
            <w:tcW w:w="1396" w:type="dxa"/>
            <w:tcBorders>
              <w:tl2br w:val="nil"/>
              <w:tr2bl w:val="nil"/>
            </w:tcBorders>
            <w:vAlign w:val="center"/>
          </w:tcPr>
          <w:p w14:paraId="0404ECF8">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46.50</w:t>
            </w:r>
          </w:p>
        </w:tc>
        <w:tc>
          <w:tcPr>
            <w:tcW w:w="1597" w:type="dxa"/>
            <w:vMerge w:val="continue"/>
            <w:tcBorders>
              <w:tl2br w:val="nil"/>
              <w:tr2bl w:val="nil"/>
            </w:tcBorders>
            <w:vAlign w:val="center"/>
          </w:tcPr>
          <w:p w14:paraId="4C039B84">
            <w:pPr>
              <w:pStyle w:val="41"/>
              <w:rPr>
                <w:color w:val="auto"/>
                <w:highlight w:val="none"/>
              </w:rPr>
            </w:pPr>
          </w:p>
        </w:tc>
      </w:tr>
      <w:tr w14:paraId="5C27C5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9" w:type="dxa"/>
            <w:tcBorders>
              <w:tl2br w:val="nil"/>
              <w:tr2bl w:val="nil"/>
            </w:tcBorders>
            <w:vAlign w:val="center"/>
          </w:tcPr>
          <w:p w14:paraId="4E1DABAA">
            <w:pPr>
              <w:pStyle w:val="41"/>
              <w:rPr>
                <w:color w:val="auto"/>
                <w:highlight w:val="none"/>
              </w:rPr>
            </w:pPr>
          </w:p>
        </w:tc>
        <w:tc>
          <w:tcPr>
            <w:tcW w:w="1075" w:type="dxa"/>
            <w:tcBorders>
              <w:tl2br w:val="nil"/>
              <w:tr2bl w:val="nil"/>
            </w:tcBorders>
            <w:vAlign w:val="center"/>
          </w:tcPr>
          <w:p w14:paraId="634F70B9">
            <w:pPr>
              <w:pStyle w:val="41"/>
              <w:rPr>
                <w:color w:val="auto"/>
                <w:highlight w:val="none"/>
              </w:rPr>
            </w:pPr>
          </w:p>
        </w:tc>
        <w:tc>
          <w:tcPr>
            <w:tcW w:w="932" w:type="dxa"/>
            <w:tcBorders>
              <w:tl2br w:val="nil"/>
              <w:tr2bl w:val="nil"/>
            </w:tcBorders>
            <w:vAlign w:val="center"/>
          </w:tcPr>
          <w:p w14:paraId="79A44C7C">
            <w:pPr>
              <w:pStyle w:val="41"/>
              <w:rPr>
                <w:color w:val="auto"/>
                <w:highlight w:val="none"/>
              </w:rPr>
            </w:pPr>
          </w:p>
        </w:tc>
        <w:tc>
          <w:tcPr>
            <w:tcW w:w="1344" w:type="dxa"/>
            <w:tcBorders>
              <w:tl2br w:val="nil"/>
              <w:tr2bl w:val="nil"/>
            </w:tcBorders>
            <w:vAlign w:val="center"/>
          </w:tcPr>
          <w:p w14:paraId="2F1724BD">
            <w:pPr>
              <w:pStyle w:val="41"/>
              <w:rPr>
                <w:rFonts w:ascii="Times New Roman" w:hAnsi="Times New Roman"/>
                <w:color w:val="auto"/>
                <w:highlight w:val="none"/>
              </w:rPr>
            </w:pPr>
            <w:r>
              <w:rPr>
                <w:rFonts w:hint="eastAsia" w:ascii="Times New Roman" w:hAnsi="Times New Roman"/>
                <w:color w:val="auto"/>
                <w:highlight w:val="none"/>
                <w:lang w:val="en-US" w:eastAsia="zh-CN"/>
              </w:rPr>
              <w:t>干抛废石</w:t>
            </w:r>
          </w:p>
        </w:tc>
        <w:tc>
          <w:tcPr>
            <w:tcW w:w="1107" w:type="dxa"/>
            <w:tcBorders>
              <w:tl2br w:val="nil"/>
              <w:tr2bl w:val="nil"/>
            </w:tcBorders>
            <w:vAlign w:val="center"/>
          </w:tcPr>
          <w:p w14:paraId="25E92B85">
            <w:pPr>
              <w:pStyle w:val="41"/>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6.1480</w:t>
            </w:r>
          </w:p>
        </w:tc>
        <w:tc>
          <w:tcPr>
            <w:tcW w:w="1396" w:type="dxa"/>
            <w:tcBorders>
              <w:tl2br w:val="nil"/>
              <w:tr2bl w:val="nil"/>
            </w:tcBorders>
            <w:vAlign w:val="center"/>
          </w:tcPr>
          <w:p w14:paraId="7D376461">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1.22</w:t>
            </w:r>
          </w:p>
        </w:tc>
        <w:tc>
          <w:tcPr>
            <w:tcW w:w="1597" w:type="dxa"/>
            <w:vMerge w:val="continue"/>
            <w:tcBorders>
              <w:tl2br w:val="nil"/>
              <w:tr2bl w:val="nil"/>
            </w:tcBorders>
            <w:vAlign w:val="center"/>
          </w:tcPr>
          <w:p w14:paraId="5112DFFD">
            <w:pPr>
              <w:pStyle w:val="41"/>
              <w:rPr>
                <w:color w:val="auto"/>
                <w:highlight w:val="none"/>
              </w:rPr>
            </w:pPr>
          </w:p>
        </w:tc>
      </w:tr>
      <w:tr w14:paraId="5D5EDD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9" w:type="dxa"/>
            <w:tcBorders>
              <w:tl2br w:val="nil"/>
              <w:tr2bl w:val="nil"/>
            </w:tcBorders>
            <w:vAlign w:val="center"/>
          </w:tcPr>
          <w:p w14:paraId="7CCCC7BF">
            <w:pPr>
              <w:pStyle w:val="41"/>
              <w:rPr>
                <w:color w:val="auto"/>
                <w:highlight w:val="none"/>
              </w:rPr>
            </w:pPr>
          </w:p>
        </w:tc>
        <w:tc>
          <w:tcPr>
            <w:tcW w:w="1075" w:type="dxa"/>
            <w:tcBorders>
              <w:tl2br w:val="nil"/>
              <w:tr2bl w:val="nil"/>
            </w:tcBorders>
            <w:vAlign w:val="center"/>
          </w:tcPr>
          <w:p w14:paraId="5717E797">
            <w:pPr>
              <w:pStyle w:val="41"/>
              <w:rPr>
                <w:color w:val="auto"/>
                <w:highlight w:val="none"/>
              </w:rPr>
            </w:pPr>
          </w:p>
        </w:tc>
        <w:tc>
          <w:tcPr>
            <w:tcW w:w="932" w:type="dxa"/>
            <w:tcBorders>
              <w:tl2br w:val="nil"/>
              <w:tr2bl w:val="nil"/>
            </w:tcBorders>
            <w:vAlign w:val="center"/>
          </w:tcPr>
          <w:p w14:paraId="4B1C79C6">
            <w:pPr>
              <w:pStyle w:val="41"/>
              <w:rPr>
                <w:color w:val="auto"/>
                <w:highlight w:val="none"/>
              </w:rPr>
            </w:pPr>
          </w:p>
        </w:tc>
        <w:tc>
          <w:tcPr>
            <w:tcW w:w="1344" w:type="dxa"/>
            <w:tcBorders>
              <w:tl2br w:val="nil"/>
              <w:tr2bl w:val="nil"/>
            </w:tcBorders>
            <w:vAlign w:val="center"/>
          </w:tcPr>
          <w:p w14:paraId="1E788CAE">
            <w:pPr>
              <w:pStyle w:val="41"/>
              <w:rPr>
                <w:rFonts w:ascii="Times New Roman" w:hAnsi="Times New Roman"/>
                <w:color w:val="auto"/>
                <w:highlight w:val="none"/>
              </w:rPr>
            </w:pPr>
            <w:r>
              <w:rPr>
                <w:rFonts w:hint="eastAsia" w:ascii="Times New Roman" w:hAnsi="Times New Roman"/>
                <w:color w:val="auto"/>
                <w:highlight w:val="none"/>
                <w:lang w:val="en-US" w:eastAsia="zh-CN"/>
              </w:rPr>
              <w:t>干排尾矿</w:t>
            </w:r>
          </w:p>
        </w:tc>
        <w:tc>
          <w:tcPr>
            <w:tcW w:w="1107" w:type="dxa"/>
            <w:tcBorders>
              <w:tl2br w:val="nil"/>
              <w:tr2bl w:val="nil"/>
            </w:tcBorders>
            <w:vAlign w:val="center"/>
          </w:tcPr>
          <w:p w14:paraId="11B9AA55">
            <w:pPr>
              <w:pStyle w:val="41"/>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8.0030</w:t>
            </w:r>
          </w:p>
        </w:tc>
        <w:tc>
          <w:tcPr>
            <w:tcW w:w="1396" w:type="dxa"/>
            <w:tcBorders>
              <w:tl2br w:val="nil"/>
              <w:tr2bl w:val="nil"/>
            </w:tcBorders>
            <w:vAlign w:val="center"/>
          </w:tcPr>
          <w:p w14:paraId="1AC83E6C">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1.15</w:t>
            </w:r>
          </w:p>
        </w:tc>
        <w:tc>
          <w:tcPr>
            <w:tcW w:w="1597" w:type="dxa"/>
            <w:vMerge w:val="continue"/>
            <w:tcBorders>
              <w:tl2br w:val="nil"/>
              <w:tr2bl w:val="nil"/>
            </w:tcBorders>
            <w:vAlign w:val="center"/>
          </w:tcPr>
          <w:p w14:paraId="0F0F69EA">
            <w:pPr>
              <w:pStyle w:val="41"/>
              <w:rPr>
                <w:color w:val="auto"/>
                <w:highlight w:val="none"/>
              </w:rPr>
            </w:pPr>
          </w:p>
        </w:tc>
      </w:tr>
      <w:tr w14:paraId="497A58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0" w:hRule="atLeast"/>
          <w:jc w:val="center"/>
        </w:trPr>
        <w:tc>
          <w:tcPr>
            <w:tcW w:w="1059" w:type="dxa"/>
            <w:tcBorders>
              <w:tl2br w:val="nil"/>
              <w:tr2bl w:val="nil"/>
            </w:tcBorders>
            <w:vAlign w:val="center"/>
          </w:tcPr>
          <w:p w14:paraId="639F8F95">
            <w:pPr>
              <w:pStyle w:val="41"/>
              <w:rPr>
                <w:color w:val="auto"/>
                <w:highlight w:val="none"/>
              </w:rPr>
            </w:pPr>
            <w:r>
              <w:rPr>
                <w:color w:val="auto"/>
                <w:highlight w:val="none"/>
              </w:rPr>
              <w:t>合计</w:t>
            </w:r>
          </w:p>
        </w:tc>
        <w:tc>
          <w:tcPr>
            <w:tcW w:w="1075" w:type="dxa"/>
            <w:tcBorders>
              <w:tl2br w:val="nil"/>
              <w:tr2bl w:val="nil"/>
            </w:tcBorders>
            <w:vAlign w:val="center"/>
          </w:tcPr>
          <w:p w14:paraId="7B542CCE">
            <w:pPr>
              <w:pStyle w:val="41"/>
              <w:rPr>
                <w:rFonts w:hint="default" w:eastAsia="华文中宋"/>
                <w:color w:val="auto"/>
                <w:highlight w:val="none"/>
                <w:lang w:val="en-US" w:eastAsia="zh-CN"/>
              </w:rPr>
            </w:pPr>
            <w:r>
              <w:rPr>
                <w:rFonts w:hint="eastAsia"/>
                <w:color w:val="auto"/>
                <w:highlight w:val="none"/>
                <w:lang w:val="en-US" w:eastAsia="zh-CN"/>
              </w:rPr>
              <w:t>15.37</w:t>
            </w:r>
          </w:p>
        </w:tc>
        <w:tc>
          <w:tcPr>
            <w:tcW w:w="932" w:type="dxa"/>
            <w:tcBorders>
              <w:tl2br w:val="nil"/>
              <w:tr2bl w:val="nil"/>
            </w:tcBorders>
            <w:vAlign w:val="center"/>
          </w:tcPr>
          <w:p w14:paraId="6747C754">
            <w:pPr>
              <w:pStyle w:val="41"/>
              <w:rPr>
                <w:color w:val="auto"/>
                <w:highlight w:val="none"/>
              </w:rPr>
            </w:pPr>
            <w:r>
              <w:rPr>
                <w:color w:val="auto"/>
                <w:highlight w:val="none"/>
              </w:rPr>
              <w:t>/</w:t>
            </w:r>
          </w:p>
        </w:tc>
        <w:tc>
          <w:tcPr>
            <w:tcW w:w="1344" w:type="dxa"/>
            <w:tcBorders>
              <w:tl2br w:val="nil"/>
              <w:tr2bl w:val="nil"/>
            </w:tcBorders>
            <w:vAlign w:val="center"/>
          </w:tcPr>
          <w:p w14:paraId="47B6E251">
            <w:pPr>
              <w:pStyle w:val="41"/>
              <w:rPr>
                <w:rFonts w:ascii="Times New Roman" w:hAnsi="Times New Roman"/>
                <w:color w:val="auto"/>
                <w:highlight w:val="none"/>
              </w:rPr>
            </w:pPr>
            <w:r>
              <w:rPr>
                <w:rFonts w:ascii="Times New Roman" w:hAnsi="Times New Roman"/>
                <w:color w:val="auto"/>
                <w:highlight w:val="none"/>
              </w:rPr>
              <w:t>合计</w:t>
            </w:r>
          </w:p>
        </w:tc>
        <w:tc>
          <w:tcPr>
            <w:tcW w:w="1107" w:type="dxa"/>
            <w:tcBorders>
              <w:tl2br w:val="nil"/>
              <w:tr2bl w:val="nil"/>
            </w:tcBorders>
            <w:vAlign w:val="center"/>
          </w:tcPr>
          <w:p w14:paraId="4E15207B">
            <w:pPr>
              <w:pStyle w:val="41"/>
              <w:rPr>
                <w:rFonts w:hint="default" w:eastAsia="华文中宋"/>
                <w:color w:val="auto"/>
                <w:highlight w:val="none"/>
                <w:lang w:val="en-US" w:eastAsia="zh-CN"/>
              </w:rPr>
            </w:pPr>
            <w:r>
              <w:rPr>
                <w:rFonts w:hint="eastAsia"/>
                <w:color w:val="auto"/>
                <w:highlight w:val="none"/>
                <w:lang w:val="en-US" w:eastAsia="zh-CN"/>
              </w:rPr>
              <w:t>15.37</w:t>
            </w:r>
          </w:p>
        </w:tc>
        <w:tc>
          <w:tcPr>
            <w:tcW w:w="1396" w:type="dxa"/>
            <w:tcBorders>
              <w:tl2br w:val="nil"/>
              <w:tr2bl w:val="nil"/>
            </w:tcBorders>
            <w:vAlign w:val="center"/>
          </w:tcPr>
          <w:p w14:paraId="1B8BED78">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w:t>
            </w:r>
          </w:p>
        </w:tc>
        <w:tc>
          <w:tcPr>
            <w:tcW w:w="1597" w:type="dxa"/>
            <w:vMerge w:val="continue"/>
            <w:tcBorders>
              <w:tl2br w:val="nil"/>
              <w:tr2bl w:val="nil"/>
            </w:tcBorders>
            <w:vAlign w:val="center"/>
          </w:tcPr>
          <w:p w14:paraId="6221E5D0">
            <w:pPr>
              <w:pStyle w:val="41"/>
              <w:rPr>
                <w:color w:val="auto"/>
                <w:highlight w:val="none"/>
              </w:rPr>
            </w:pPr>
          </w:p>
        </w:tc>
      </w:tr>
    </w:tbl>
    <w:p w14:paraId="75B02399">
      <w:pPr>
        <w:pStyle w:val="3"/>
        <w:ind w:firstLine="480"/>
        <w:rPr>
          <w:color w:val="auto"/>
          <w:highlight w:val="none"/>
        </w:rPr>
      </w:pPr>
      <w:r>
        <w:rPr>
          <w:color w:val="auto"/>
          <w:highlight w:val="none"/>
        </w:rPr>
        <w:t>（2）铁元素平衡</w:t>
      </w:r>
    </w:p>
    <w:p w14:paraId="01529474">
      <w:pPr>
        <w:pStyle w:val="3"/>
        <w:ind w:firstLine="480"/>
        <w:rPr>
          <w:color w:val="auto"/>
          <w:highlight w:val="none"/>
        </w:rPr>
      </w:pPr>
      <w:r>
        <w:rPr>
          <w:color w:val="auto"/>
          <w:highlight w:val="none"/>
        </w:rPr>
        <w:t>本项目铁元素平衡见表3.</w:t>
      </w:r>
      <w:r>
        <w:rPr>
          <w:rFonts w:hint="eastAsia"/>
          <w:color w:val="auto"/>
          <w:highlight w:val="none"/>
        </w:rPr>
        <w:t>3</w:t>
      </w:r>
      <w:r>
        <w:rPr>
          <w:color w:val="auto"/>
          <w:highlight w:val="none"/>
        </w:rPr>
        <w:t>-</w:t>
      </w:r>
      <w:r>
        <w:rPr>
          <w:rFonts w:hint="eastAsia"/>
          <w:color w:val="auto"/>
          <w:highlight w:val="none"/>
        </w:rPr>
        <w:t>8</w:t>
      </w:r>
      <w:r>
        <w:rPr>
          <w:color w:val="auto"/>
          <w:highlight w:val="none"/>
        </w:rPr>
        <w:t>。</w:t>
      </w:r>
    </w:p>
    <w:p w14:paraId="5815E0F5">
      <w:pPr>
        <w:pStyle w:val="40"/>
        <w:spacing w:before="24" w:after="24"/>
        <w:rPr>
          <w:color w:val="auto"/>
          <w:highlight w:val="none"/>
        </w:rPr>
      </w:pPr>
      <w:r>
        <w:rPr>
          <w:color w:val="auto"/>
          <w:highlight w:val="none"/>
        </w:rPr>
        <w:t>表3.</w:t>
      </w:r>
      <w:r>
        <w:rPr>
          <w:rFonts w:hint="eastAsia"/>
          <w:color w:val="auto"/>
          <w:highlight w:val="none"/>
        </w:rPr>
        <w:t>3</w:t>
      </w:r>
      <w:r>
        <w:rPr>
          <w:color w:val="auto"/>
          <w:highlight w:val="none"/>
        </w:rPr>
        <w:t>-</w:t>
      </w:r>
      <w:r>
        <w:rPr>
          <w:rFonts w:hint="eastAsia"/>
          <w:color w:val="auto"/>
          <w:highlight w:val="none"/>
        </w:rPr>
        <w:t>8</w:t>
      </w:r>
      <w:r>
        <w:rPr>
          <w:color w:val="auto"/>
          <w:highlight w:val="none"/>
        </w:rPr>
        <w:t xml:space="preserve">    TFe平衡表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1075"/>
        <w:gridCol w:w="932"/>
        <w:gridCol w:w="1344"/>
        <w:gridCol w:w="1107"/>
        <w:gridCol w:w="1396"/>
        <w:gridCol w:w="1597"/>
      </w:tblGrid>
      <w:tr w14:paraId="7ECC06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9" w:type="dxa"/>
            <w:tcBorders>
              <w:tl2br w:val="nil"/>
              <w:tr2bl w:val="nil"/>
            </w:tcBorders>
            <w:vAlign w:val="center"/>
          </w:tcPr>
          <w:p w14:paraId="5A640765">
            <w:pPr>
              <w:pStyle w:val="41"/>
              <w:rPr>
                <w:color w:val="auto"/>
                <w:highlight w:val="none"/>
              </w:rPr>
            </w:pPr>
            <w:r>
              <w:rPr>
                <w:color w:val="auto"/>
                <w:highlight w:val="none"/>
              </w:rPr>
              <w:t>原料种类</w:t>
            </w:r>
          </w:p>
        </w:tc>
        <w:tc>
          <w:tcPr>
            <w:tcW w:w="1075" w:type="dxa"/>
            <w:tcBorders>
              <w:tl2br w:val="nil"/>
              <w:tr2bl w:val="nil"/>
            </w:tcBorders>
            <w:vAlign w:val="center"/>
          </w:tcPr>
          <w:p w14:paraId="4A7CA4AD">
            <w:pPr>
              <w:pStyle w:val="41"/>
              <w:rPr>
                <w:color w:val="auto"/>
                <w:highlight w:val="none"/>
              </w:rPr>
            </w:pPr>
            <w:r>
              <w:rPr>
                <w:color w:val="auto"/>
                <w:highlight w:val="none"/>
              </w:rPr>
              <w:t>TFe投入量（万t/a）</w:t>
            </w:r>
          </w:p>
        </w:tc>
        <w:tc>
          <w:tcPr>
            <w:tcW w:w="932" w:type="dxa"/>
            <w:tcBorders>
              <w:tl2br w:val="nil"/>
              <w:tr2bl w:val="nil"/>
            </w:tcBorders>
            <w:vAlign w:val="center"/>
          </w:tcPr>
          <w:p w14:paraId="2AC66BC6">
            <w:pPr>
              <w:pStyle w:val="41"/>
              <w:rPr>
                <w:color w:val="auto"/>
                <w:highlight w:val="none"/>
              </w:rPr>
            </w:pPr>
            <w:r>
              <w:rPr>
                <w:color w:val="auto"/>
                <w:highlight w:val="none"/>
              </w:rPr>
              <w:t>品位TFe%</w:t>
            </w:r>
          </w:p>
        </w:tc>
        <w:tc>
          <w:tcPr>
            <w:tcW w:w="1344" w:type="dxa"/>
            <w:tcBorders>
              <w:tl2br w:val="nil"/>
              <w:tr2bl w:val="nil"/>
            </w:tcBorders>
            <w:vAlign w:val="center"/>
          </w:tcPr>
          <w:p w14:paraId="19214620">
            <w:pPr>
              <w:pStyle w:val="41"/>
              <w:rPr>
                <w:rFonts w:ascii="Times New Roman" w:hAnsi="Times New Roman"/>
                <w:color w:val="auto"/>
                <w:highlight w:val="none"/>
              </w:rPr>
            </w:pPr>
            <w:r>
              <w:rPr>
                <w:rFonts w:ascii="Times New Roman" w:hAnsi="Times New Roman"/>
                <w:color w:val="auto"/>
                <w:highlight w:val="none"/>
              </w:rPr>
              <w:t>产出种类</w:t>
            </w:r>
          </w:p>
        </w:tc>
        <w:tc>
          <w:tcPr>
            <w:tcW w:w="1107" w:type="dxa"/>
            <w:tcBorders>
              <w:tl2br w:val="nil"/>
              <w:tr2bl w:val="nil"/>
            </w:tcBorders>
            <w:vAlign w:val="center"/>
          </w:tcPr>
          <w:p w14:paraId="2C8C0022">
            <w:pPr>
              <w:pStyle w:val="41"/>
              <w:rPr>
                <w:color w:val="auto"/>
                <w:highlight w:val="none"/>
              </w:rPr>
            </w:pPr>
            <w:r>
              <w:rPr>
                <w:color w:val="auto"/>
                <w:highlight w:val="none"/>
              </w:rPr>
              <w:t>TFe产出量（万t/a）</w:t>
            </w:r>
          </w:p>
        </w:tc>
        <w:tc>
          <w:tcPr>
            <w:tcW w:w="1396" w:type="dxa"/>
            <w:tcBorders>
              <w:tl2br w:val="nil"/>
              <w:tr2bl w:val="nil"/>
            </w:tcBorders>
            <w:vAlign w:val="center"/>
          </w:tcPr>
          <w:p w14:paraId="7000F884">
            <w:pPr>
              <w:pStyle w:val="41"/>
              <w:rPr>
                <w:color w:val="auto"/>
                <w:highlight w:val="none"/>
              </w:rPr>
            </w:pPr>
            <w:r>
              <w:rPr>
                <w:rFonts w:hint="eastAsia"/>
                <w:color w:val="auto"/>
                <w:highlight w:val="none"/>
                <w:lang w:eastAsia="zh-CN"/>
              </w:rPr>
              <w:t>铁</w:t>
            </w:r>
            <w:r>
              <w:rPr>
                <w:color w:val="auto"/>
                <w:highlight w:val="none"/>
              </w:rPr>
              <w:t>含量（品位TFe%）</w:t>
            </w:r>
          </w:p>
        </w:tc>
        <w:tc>
          <w:tcPr>
            <w:tcW w:w="1597" w:type="dxa"/>
            <w:tcBorders>
              <w:tl2br w:val="nil"/>
              <w:tr2bl w:val="nil"/>
            </w:tcBorders>
            <w:vAlign w:val="center"/>
          </w:tcPr>
          <w:p w14:paraId="704AC09C">
            <w:pPr>
              <w:pStyle w:val="41"/>
              <w:rPr>
                <w:color w:val="auto"/>
                <w:highlight w:val="none"/>
              </w:rPr>
            </w:pPr>
            <w:r>
              <w:rPr>
                <w:color w:val="auto"/>
                <w:highlight w:val="none"/>
              </w:rPr>
              <w:t>备注</w:t>
            </w:r>
          </w:p>
        </w:tc>
      </w:tr>
      <w:tr w14:paraId="664ABF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9" w:type="dxa"/>
            <w:tcBorders>
              <w:tl2br w:val="nil"/>
              <w:tr2bl w:val="nil"/>
            </w:tcBorders>
            <w:vAlign w:val="center"/>
          </w:tcPr>
          <w:p w14:paraId="742DB020">
            <w:pPr>
              <w:pStyle w:val="41"/>
              <w:rPr>
                <w:rFonts w:ascii="Times New Roman" w:hAnsi="Times New Roman"/>
                <w:color w:val="auto"/>
                <w:highlight w:val="none"/>
              </w:rPr>
            </w:pPr>
            <w:r>
              <w:rPr>
                <w:rFonts w:ascii="Times New Roman" w:hAnsi="Times New Roman"/>
                <w:color w:val="auto"/>
                <w:highlight w:val="none"/>
              </w:rPr>
              <w:t>原矿</w:t>
            </w:r>
          </w:p>
        </w:tc>
        <w:tc>
          <w:tcPr>
            <w:tcW w:w="1075" w:type="dxa"/>
            <w:tcBorders>
              <w:tl2br w:val="nil"/>
              <w:tr2bl w:val="nil"/>
            </w:tcBorders>
            <w:vAlign w:val="center"/>
          </w:tcPr>
          <w:p w14:paraId="17CAAABF">
            <w:pPr>
              <w:pStyle w:val="41"/>
              <w:rPr>
                <w:rFonts w:hint="default" w:ascii="Times New Roman" w:hAnsi="Times New Roman" w:eastAsia="华文中宋"/>
                <w:color w:val="auto"/>
                <w:highlight w:val="none"/>
                <w:lang w:val="en-US" w:eastAsia="zh-CN"/>
              </w:rPr>
            </w:pPr>
            <w:r>
              <w:rPr>
                <w:rFonts w:hint="eastAsia" w:ascii="Times New Roman" w:hAnsi="Times New Roman"/>
                <w:color w:val="auto"/>
                <w:highlight w:val="none"/>
                <w:lang w:val="en-US" w:eastAsia="zh-CN"/>
              </w:rPr>
              <w:t>55.332</w:t>
            </w:r>
          </w:p>
        </w:tc>
        <w:tc>
          <w:tcPr>
            <w:tcW w:w="932" w:type="dxa"/>
            <w:tcBorders>
              <w:tl2br w:val="nil"/>
              <w:tr2bl w:val="nil"/>
            </w:tcBorders>
            <w:vAlign w:val="center"/>
          </w:tcPr>
          <w:p w14:paraId="5505233F">
            <w:pPr>
              <w:pStyle w:val="41"/>
              <w:rPr>
                <w:rFonts w:ascii="Times New Roman" w:hAnsi="Times New Roman"/>
                <w:color w:val="auto"/>
                <w:highlight w:val="none"/>
              </w:rPr>
            </w:pPr>
            <w:r>
              <w:rPr>
                <w:rFonts w:hint="eastAsia"/>
                <w:color w:val="auto"/>
                <w:highlight w:val="none"/>
                <w:lang w:val="en-US" w:eastAsia="zh-CN"/>
              </w:rPr>
              <w:t>9.54</w:t>
            </w:r>
          </w:p>
        </w:tc>
        <w:tc>
          <w:tcPr>
            <w:tcW w:w="1344" w:type="dxa"/>
            <w:tcBorders>
              <w:tl2br w:val="nil"/>
              <w:tr2bl w:val="nil"/>
            </w:tcBorders>
            <w:vAlign w:val="center"/>
          </w:tcPr>
          <w:p w14:paraId="41261B20">
            <w:pPr>
              <w:pStyle w:val="41"/>
              <w:rPr>
                <w:rFonts w:ascii="Times New Roman" w:hAnsi="Times New Roman"/>
                <w:color w:val="auto"/>
                <w:highlight w:val="none"/>
              </w:rPr>
            </w:pPr>
            <w:r>
              <w:rPr>
                <w:rFonts w:hint="eastAsia" w:ascii="Times New Roman" w:hAnsi="Times New Roman"/>
                <w:color w:val="auto"/>
                <w:highlight w:val="none"/>
                <w:lang w:val="en-US" w:eastAsia="zh-CN"/>
              </w:rPr>
              <w:t>铁精矿</w:t>
            </w:r>
          </w:p>
        </w:tc>
        <w:tc>
          <w:tcPr>
            <w:tcW w:w="1107" w:type="dxa"/>
            <w:tcBorders>
              <w:tl2br w:val="nil"/>
              <w:tr2bl w:val="nil"/>
            </w:tcBorders>
            <w:vAlign w:val="center"/>
          </w:tcPr>
          <w:p w14:paraId="6DEB8266">
            <w:pPr>
              <w:pStyle w:val="41"/>
              <w:rPr>
                <w:rFonts w:hint="default" w:ascii="Times New Roman" w:hAnsi="Times New Roman" w:eastAsia="华文中宋"/>
                <w:color w:val="auto"/>
                <w:highlight w:val="none"/>
                <w:lang w:val="en-US" w:eastAsia="zh-CN"/>
              </w:rPr>
            </w:pPr>
            <w:r>
              <w:rPr>
                <w:rFonts w:hint="eastAsia" w:ascii="Times New Roman" w:hAnsi="Times New Roman"/>
                <w:color w:val="auto"/>
                <w:highlight w:val="none"/>
                <w:lang w:val="en-US" w:eastAsia="zh-CN"/>
              </w:rPr>
              <w:t>2.8751</w:t>
            </w:r>
          </w:p>
        </w:tc>
        <w:tc>
          <w:tcPr>
            <w:tcW w:w="1396" w:type="dxa"/>
            <w:tcBorders>
              <w:tl2br w:val="nil"/>
              <w:tr2bl w:val="nil"/>
            </w:tcBorders>
            <w:vAlign w:val="center"/>
          </w:tcPr>
          <w:p w14:paraId="7EF672D8">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56.00</w:t>
            </w:r>
          </w:p>
        </w:tc>
        <w:tc>
          <w:tcPr>
            <w:tcW w:w="1597" w:type="dxa"/>
            <w:vMerge w:val="restart"/>
            <w:tcBorders>
              <w:tl2br w:val="nil"/>
              <w:tr2bl w:val="nil"/>
            </w:tcBorders>
            <w:vAlign w:val="center"/>
          </w:tcPr>
          <w:p w14:paraId="4FA0C8F8">
            <w:pPr>
              <w:pStyle w:val="41"/>
              <w:rPr>
                <w:rFonts w:hint="eastAsia" w:eastAsia="华文中宋"/>
                <w:color w:val="auto"/>
                <w:highlight w:val="none"/>
                <w:lang w:eastAsia="zh-CN"/>
              </w:rPr>
            </w:pPr>
            <w:r>
              <w:rPr>
                <w:rFonts w:hint="eastAsia"/>
                <w:color w:val="auto"/>
                <w:highlight w:val="none"/>
                <w:lang w:eastAsia="zh-CN"/>
              </w:rPr>
              <w:t>有组织粉尘量收集后返回生产工序</w:t>
            </w:r>
            <w:r>
              <w:rPr>
                <w:color w:val="auto"/>
                <w:highlight w:val="none"/>
              </w:rPr>
              <w:t>，</w:t>
            </w:r>
            <w:r>
              <w:rPr>
                <w:rFonts w:hint="eastAsia"/>
                <w:color w:val="auto"/>
                <w:highlight w:val="none"/>
                <w:lang w:eastAsia="zh-CN"/>
              </w:rPr>
              <w:t>无组织粉尘量较小，因此不另计。</w:t>
            </w:r>
          </w:p>
        </w:tc>
      </w:tr>
      <w:tr w14:paraId="1E42D8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9" w:type="dxa"/>
            <w:tcBorders>
              <w:tl2br w:val="nil"/>
              <w:tr2bl w:val="nil"/>
            </w:tcBorders>
            <w:vAlign w:val="center"/>
          </w:tcPr>
          <w:p w14:paraId="5CA99F5A">
            <w:pPr>
              <w:pStyle w:val="41"/>
              <w:rPr>
                <w:rFonts w:ascii="Times New Roman" w:hAnsi="Times New Roman"/>
                <w:color w:val="auto"/>
                <w:highlight w:val="none"/>
              </w:rPr>
            </w:pPr>
          </w:p>
        </w:tc>
        <w:tc>
          <w:tcPr>
            <w:tcW w:w="1075" w:type="dxa"/>
            <w:tcBorders>
              <w:tl2br w:val="nil"/>
              <w:tr2bl w:val="nil"/>
            </w:tcBorders>
            <w:vAlign w:val="center"/>
          </w:tcPr>
          <w:p w14:paraId="725331A9">
            <w:pPr>
              <w:pStyle w:val="41"/>
              <w:rPr>
                <w:rFonts w:ascii="Times New Roman" w:hAnsi="Times New Roman"/>
                <w:color w:val="auto"/>
                <w:highlight w:val="none"/>
              </w:rPr>
            </w:pPr>
          </w:p>
        </w:tc>
        <w:tc>
          <w:tcPr>
            <w:tcW w:w="932" w:type="dxa"/>
            <w:tcBorders>
              <w:tl2br w:val="nil"/>
              <w:tr2bl w:val="nil"/>
            </w:tcBorders>
            <w:vAlign w:val="center"/>
          </w:tcPr>
          <w:p w14:paraId="7CA504CC">
            <w:pPr>
              <w:pStyle w:val="41"/>
              <w:rPr>
                <w:rFonts w:ascii="Times New Roman" w:hAnsi="Times New Roman"/>
                <w:color w:val="auto"/>
                <w:highlight w:val="none"/>
              </w:rPr>
            </w:pPr>
          </w:p>
        </w:tc>
        <w:tc>
          <w:tcPr>
            <w:tcW w:w="1344" w:type="dxa"/>
            <w:tcBorders>
              <w:tl2br w:val="nil"/>
              <w:tr2bl w:val="nil"/>
            </w:tcBorders>
            <w:vAlign w:val="center"/>
          </w:tcPr>
          <w:p w14:paraId="61B5EF3B">
            <w:pPr>
              <w:pStyle w:val="41"/>
              <w:rPr>
                <w:rFonts w:ascii="Times New Roman" w:hAnsi="Times New Roman"/>
                <w:color w:val="auto"/>
                <w:highlight w:val="none"/>
              </w:rPr>
            </w:pPr>
            <w:r>
              <w:rPr>
                <w:rFonts w:hint="eastAsia" w:ascii="Times New Roman" w:hAnsi="Times New Roman"/>
                <w:color w:val="auto"/>
                <w:highlight w:val="none"/>
                <w:lang w:val="en-US" w:eastAsia="zh-CN"/>
              </w:rPr>
              <w:t>钛精矿</w:t>
            </w:r>
          </w:p>
        </w:tc>
        <w:tc>
          <w:tcPr>
            <w:tcW w:w="1107" w:type="dxa"/>
            <w:tcBorders>
              <w:tl2br w:val="nil"/>
              <w:tr2bl w:val="nil"/>
            </w:tcBorders>
            <w:vAlign w:val="center"/>
          </w:tcPr>
          <w:p w14:paraId="1BA7A4A5">
            <w:pPr>
              <w:pStyle w:val="41"/>
              <w:rPr>
                <w:rFonts w:hint="default" w:ascii="Times New Roman" w:hAnsi="Times New Roman" w:eastAsia="华文中宋"/>
                <w:color w:val="auto"/>
                <w:highlight w:val="none"/>
                <w:lang w:val="en-US" w:eastAsia="zh-CN"/>
              </w:rPr>
            </w:pPr>
            <w:r>
              <w:rPr>
                <w:rFonts w:hint="eastAsia" w:ascii="Times New Roman" w:hAnsi="Times New Roman"/>
                <w:color w:val="auto"/>
                <w:highlight w:val="none"/>
                <w:lang w:val="en-US" w:eastAsia="zh-CN"/>
              </w:rPr>
              <w:t>1.5133</w:t>
            </w:r>
          </w:p>
        </w:tc>
        <w:tc>
          <w:tcPr>
            <w:tcW w:w="1396" w:type="dxa"/>
            <w:tcBorders>
              <w:tl2br w:val="nil"/>
              <w:tr2bl w:val="nil"/>
            </w:tcBorders>
            <w:vAlign w:val="center"/>
          </w:tcPr>
          <w:p w14:paraId="09640B3D">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33.13</w:t>
            </w:r>
          </w:p>
        </w:tc>
        <w:tc>
          <w:tcPr>
            <w:tcW w:w="1597" w:type="dxa"/>
            <w:vMerge w:val="continue"/>
            <w:tcBorders>
              <w:tl2br w:val="nil"/>
              <w:tr2bl w:val="nil"/>
            </w:tcBorders>
            <w:vAlign w:val="center"/>
          </w:tcPr>
          <w:p w14:paraId="5E0FC69A">
            <w:pPr>
              <w:pStyle w:val="41"/>
              <w:rPr>
                <w:color w:val="auto"/>
                <w:highlight w:val="none"/>
              </w:rPr>
            </w:pPr>
          </w:p>
        </w:tc>
      </w:tr>
      <w:tr w14:paraId="07CEFC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9" w:type="dxa"/>
            <w:tcBorders>
              <w:tl2br w:val="nil"/>
              <w:tr2bl w:val="nil"/>
            </w:tcBorders>
            <w:vAlign w:val="center"/>
          </w:tcPr>
          <w:p w14:paraId="057AE542">
            <w:pPr>
              <w:pStyle w:val="41"/>
              <w:rPr>
                <w:rFonts w:ascii="Times New Roman" w:hAnsi="Times New Roman"/>
                <w:color w:val="auto"/>
                <w:highlight w:val="none"/>
              </w:rPr>
            </w:pPr>
          </w:p>
        </w:tc>
        <w:tc>
          <w:tcPr>
            <w:tcW w:w="1075" w:type="dxa"/>
            <w:tcBorders>
              <w:tl2br w:val="nil"/>
              <w:tr2bl w:val="nil"/>
            </w:tcBorders>
            <w:vAlign w:val="center"/>
          </w:tcPr>
          <w:p w14:paraId="56B9B964">
            <w:pPr>
              <w:pStyle w:val="41"/>
              <w:rPr>
                <w:rFonts w:ascii="Times New Roman" w:hAnsi="Times New Roman"/>
                <w:color w:val="auto"/>
                <w:highlight w:val="none"/>
              </w:rPr>
            </w:pPr>
          </w:p>
        </w:tc>
        <w:tc>
          <w:tcPr>
            <w:tcW w:w="932" w:type="dxa"/>
            <w:tcBorders>
              <w:tl2br w:val="nil"/>
              <w:tr2bl w:val="nil"/>
            </w:tcBorders>
            <w:vAlign w:val="center"/>
          </w:tcPr>
          <w:p w14:paraId="2E0A15CF">
            <w:pPr>
              <w:pStyle w:val="41"/>
              <w:rPr>
                <w:rFonts w:ascii="Times New Roman" w:hAnsi="Times New Roman"/>
                <w:color w:val="auto"/>
                <w:highlight w:val="none"/>
              </w:rPr>
            </w:pPr>
          </w:p>
        </w:tc>
        <w:tc>
          <w:tcPr>
            <w:tcW w:w="1344" w:type="dxa"/>
            <w:tcBorders>
              <w:tl2br w:val="nil"/>
              <w:tr2bl w:val="nil"/>
            </w:tcBorders>
            <w:vAlign w:val="center"/>
          </w:tcPr>
          <w:p w14:paraId="53F36FEE">
            <w:pPr>
              <w:pStyle w:val="41"/>
              <w:rPr>
                <w:rFonts w:ascii="Times New Roman" w:hAnsi="Times New Roman"/>
                <w:color w:val="auto"/>
                <w:highlight w:val="none"/>
              </w:rPr>
            </w:pPr>
            <w:r>
              <w:rPr>
                <w:rFonts w:hint="eastAsia" w:ascii="Times New Roman" w:hAnsi="Times New Roman"/>
                <w:color w:val="auto"/>
                <w:highlight w:val="none"/>
                <w:lang w:val="en-US" w:eastAsia="zh-CN"/>
              </w:rPr>
              <w:t>干抛废石</w:t>
            </w:r>
          </w:p>
        </w:tc>
        <w:tc>
          <w:tcPr>
            <w:tcW w:w="1107" w:type="dxa"/>
            <w:tcBorders>
              <w:tl2br w:val="nil"/>
              <w:tr2bl w:val="nil"/>
            </w:tcBorders>
            <w:vAlign w:val="center"/>
          </w:tcPr>
          <w:p w14:paraId="3D19CD1C">
            <w:pPr>
              <w:pStyle w:val="41"/>
              <w:rPr>
                <w:rFonts w:hint="default" w:ascii="Times New Roman" w:hAnsi="Times New Roman" w:eastAsia="华文中宋"/>
                <w:color w:val="auto"/>
                <w:highlight w:val="none"/>
                <w:lang w:val="en-US" w:eastAsia="zh-CN"/>
              </w:rPr>
            </w:pPr>
            <w:r>
              <w:rPr>
                <w:rFonts w:hint="eastAsia" w:ascii="Times New Roman" w:hAnsi="Times New Roman"/>
                <w:color w:val="auto"/>
                <w:highlight w:val="none"/>
                <w:lang w:val="en-US" w:eastAsia="zh-CN"/>
              </w:rPr>
              <w:t>22.1328</w:t>
            </w:r>
          </w:p>
        </w:tc>
        <w:tc>
          <w:tcPr>
            <w:tcW w:w="1396" w:type="dxa"/>
            <w:tcBorders>
              <w:tl2br w:val="nil"/>
              <w:tr2bl w:val="nil"/>
            </w:tcBorders>
            <w:vAlign w:val="center"/>
          </w:tcPr>
          <w:p w14:paraId="21DE883C">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6.12</w:t>
            </w:r>
          </w:p>
        </w:tc>
        <w:tc>
          <w:tcPr>
            <w:tcW w:w="1597" w:type="dxa"/>
            <w:vMerge w:val="continue"/>
            <w:tcBorders>
              <w:tl2br w:val="nil"/>
              <w:tr2bl w:val="nil"/>
            </w:tcBorders>
            <w:vAlign w:val="center"/>
          </w:tcPr>
          <w:p w14:paraId="711D3033">
            <w:pPr>
              <w:pStyle w:val="41"/>
              <w:rPr>
                <w:color w:val="auto"/>
                <w:highlight w:val="none"/>
              </w:rPr>
            </w:pPr>
          </w:p>
        </w:tc>
      </w:tr>
      <w:tr w14:paraId="1BD80F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9" w:type="dxa"/>
            <w:tcBorders>
              <w:tl2br w:val="nil"/>
              <w:tr2bl w:val="nil"/>
            </w:tcBorders>
            <w:vAlign w:val="center"/>
          </w:tcPr>
          <w:p w14:paraId="2ABAA561">
            <w:pPr>
              <w:pStyle w:val="41"/>
              <w:rPr>
                <w:rFonts w:ascii="Times New Roman" w:hAnsi="Times New Roman"/>
                <w:color w:val="auto"/>
                <w:highlight w:val="none"/>
              </w:rPr>
            </w:pPr>
          </w:p>
        </w:tc>
        <w:tc>
          <w:tcPr>
            <w:tcW w:w="1075" w:type="dxa"/>
            <w:tcBorders>
              <w:tl2br w:val="nil"/>
              <w:tr2bl w:val="nil"/>
            </w:tcBorders>
            <w:vAlign w:val="center"/>
          </w:tcPr>
          <w:p w14:paraId="55674803">
            <w:pPr>
              <w:pStyle w:val="41"/>
              <w:rPr>
                <w:rFonts w:ascii="Times New Roman" w:hAnsi="Times New Roman"/>
                <w:color w:val="auto"/>
                <w:highlight w:val="none"/>
              </w:rPr>
            </w:pPr>
          </w:p>
        </w:tc>
        <w:tc>
          <w:tcPr>
            <w:tcW w:w="932" w:type="dxa"/>
            <w:tcBorders>
              <w:tl2br w:val="nil"/>
              <w:tr2bl w:val="nil"/>
            </w:tcBorders>
            <w:vAlign w:val="center"/>
          </w:tcPr>
          <w:p w14:paraId="764289C2">
            <w:pPr>
              <w:pStyle w:val="41"/>
              <w:rPr>
                <w:rFonts w:ascii="Times New Roman" w:hAnsi="Times New Roman"/>
                <w:color w:val="auto"/>
                <w:highlight w:val="none"/>
              </w:rPr>
            </w:pPr>
          </w:p>
        </w:tc>
        <w:tc>
          <w:tcPr>
            <w:tcW w:w="1344" w:type="dxa"/>
            <w:tcBorders>
              <w:tl2br w:val="nil"/>
              <w:tr2bl w:val="nil"/>
            </w:tcBorders>
            <w:vAlign w:val="center"/>
          </w:tcPr>
          <w:p w14:paraId="71ABBC2D">
            <w:pPr>
              <w:pStyle w:val="41"/>
              <w:rPr>
                <w:rFonts w:ascii="Times New Roman" w:hAnsi="Times New Roman"/>
                <w:color w:val="auto"/>
                <w:highlight w:val="none"/>
              </w:rPr>
            </w:pPr>
            <w:r>
              <w:rPr>
                <w:rFonts w:hint="eastAsia" w:ascii="Times New Roman" w:hAnsi="Times New Roman"/>
                <w:color w:val="auto"/>
                <w:highlight w:val="none"/>
                <w:lang w:val="en-US" w:eastAsia="zh-CN"/>
              </w:rPr>
              <w:t>干排尾矿</w:t>
            </w:r>
          </w:p>
        </w:tc>
        <w:tc>
          <w:tcPr>
            <w:tcW w:w="1107" w:type="dxa"/>
            <w:tcBorders>
              <w:tl2br w:val="nil"/>
              <w:tr2bl w:val="nil"/>
            </w:tcBorders>
            <w:vAlign w:val="center"/>
          </w:tcPr>
          <w:p w14:paraId="645F0F58">
            <w:pPr>
              <w:pStyle w:val="41"/>
              <w:rPr>
                <w:rFonts w:hint="default" w:ascii="Times New Roman" w:hAnsi="Times New Roman" w:eastAsia="华文中宋"/>
                <w:color w:val="auto"/>
                <w:highlight w:val="none"/>
                <w:lang w:val="en-US" w:eastAsia="zh-CN"/>
              </w:rPr>
            </w:pPr>
            <w:r>
              <w:rPr>
                <w:rFonts w:hint="eastAsia" w:ascii="Times New Roman" w:hAnsi="Times New Roman"/>
                <w:color w:val="auto"/>
                <w:highlight w:val="none"/>
                <w:lang w:val="en-US" w:eastAsia="zh-CN"/>
              </w:rPr>
              <w:t>28.8108</w:t>
            </w:r>
          </w:p>
        </w:tc>
        <w:tc>
          <w:tcPr>
            <w:tcW w:w="1396" w:type="dxa"/>
            <w:tcBorders>
              <w:tl2br w:val="nil"/>
              <w:tr2bl w:val="nil"/>
            </w:tcBorders>
            <w:vAlign w:val="center"/>
          </w:tcPr>
          <w:p w14:paraId="2DDC8CB2">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6.29</w:t>
            </w:r>
          </w:p>
        </w:tc>
        <w:tc>
          <w:tcPr>
            <w:tcW w:w="1597" w:type="dxa"/>
            <w:vMerge w:val="continue"/>
            <w:tcBorders>
              <w:tl2br w:val="nil"/>
              <w:tr2bl w:val="nil"/>
            </w:tcBorders>
            <w:vAlign w:val="center"/>
          </w:tcPr>
          <w:p w14:paraId="010E4775">
            <w:pPr>
              <w:pStyle w:val="41"/>
              <w:rPr>
                <w:color w:val="auto"/>
                <w:highlight w:val="none"/>
              </w:rPr>
            </w:pPr>
          </w:p>
        </w:tc>
      </w:tr>
      <w:tr w14:paraId="1B69F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9" w:type="dxa"/>
            <w:tcBorders>
              <w:tl2br w:val="nil"/>
              <w:tr2bl w:val="nil"/>
            </w:tcBorders>
            <w:vAlign w:val="center"/>
          </w:tcPr>
          <w:p w14:paraId="5EAA314D">
            <w:pPr>
              <w:pStyle w:val="41"/>
              <w:rPr>
                <w:rFonts w:ascii="Times New Roman" w:hAnsi="Times New Roman"/>
                <w:color w:val="auto"/>
                <w:highlight w:val="none"/>
              </w:rPr>
            </w:pPr>
            <w:r>
              <w:rPr>
                <w:rFonts w:ascii="Times New Roman" w:hAnsi="Times New Roman"/>
                <w:color w:val="auto"/>
                <w:highlight w:val="none"/>
              </w:rPr>
              <w:t>合计</w:t>
            </w:r>
          </w:p>
        </w:tc>
        <w:tc>
          <w:tcPr>
            <w:tcW w:w="1075" w:type="dxa"/>
            <w:tcBorders>
              <w:tl2br w:val="nil"/>
              <w:tr2bl w:val="nil"/>
            </w:tcBorders>
            <w:vAlign w:val="center"/>
          </w:tcPr>
          <w:p w14:paraId="423247E4">
            <w:pPr>
              <w:pStyle w:val="41"/>
              <w:rPr>
                <w:rFonts w:ascii="Times New Roman" w:hAnsi="Times New Roman"/>
                <w:color w:val="auto"/>
                <w:highlight w:val="none"/>
              </w:rPr>
            </w:pPr>
            <w:r>
              <w:rPr>
                <w:rFonts w:hint="eastAsia" w:ascii="Times New Roman" w:hAnsi="Times New Roman"/>
                <w:color w:val="auto"/>
                <w:highlight w:val="none"/>
                <w:lang w:val="en-US" w:eastAsia="zh-CN"/>
              </w:rPr>
              <w:t>55.332</w:t>
            </w:r>
          </w:p>
        </w:tc>
        <w:tc>
          <w:tcPr>
            <w:tcW w:w="932" w:type="dxa"/>
            <w:tcBorders>
              <w:tl2br w:val="nil"/>
              <w:tr2bl w:val="nil"/>
            </w:tcBorders>
            <w:vAlign w:val="center"/>
          </w:tcPr>
          <w:p w14:paraId="1DFCC568">
            <w:pPr>
              <w:pStyle w:val="41"/>
              <w:rPr>
                <w:rFonts w:ascii="Times New Roman" w:hAnsi="Times New Roman"/>
                <w:color w:val="auto"/>
                <w:highlight w:val="none"/>
              </w:rPr>
            </w:pPr>
            <w:r>
              <w:rPr>
                <w:rFonts w:ascii="Times New Roman" w:hAnsi="Times New Roman"/>
                <w:color w:val="auto"/>
                <w:highlight w:val="none"/>
              </w:rPr>
              <w:t>/</w:t>
            </w:r>
          </w:p>
        </w:tc>
        <w:tc>
          <w:tcPr>
            <w:tcW w:w="1344" w:type="dxa"/>
            <w:tcBorders>
              <w:tl2br w:val="nil"/>
              <w:tr2bl w:val="nil"/>
            </w:tcBorders>
            <w:vAlign w:val="center"/>
          </w:tcPr>
          <w:p w14:paraId="052DD684">
            <w:pPr>
              <w:pStyle w:val="41"/>
              <w:rPr>
                <w:rFonts w:ascii="Times New Roman" w:hAnsi="Times New Roman"/>
                <w:color w:val="auto"/>
                <w:highlight w:val="none"/>
              </w:rPr>
            </w:pPr>
            <w:r>
              <w:rPr>
                <w:rFonts w:hint="eastAsia" w:ascii="Times New Roman" w:hAnsi="Times New Roman"/>
                <w:color w:val="auto"/>
                <w:highlight w:val="none"/>
                <w:lang w:val="en-US" w:eastAsia="zh-CN"/>
              </w:rPr>
              <w:t>合计</w:t>
            </w:r>
          </w:p>
        </w:tc>
        <w:tc>
          <w:tcPr>
            <w:tcW w:w="1107" w:type="dxa"/>
            <w:tcBorders>
              <w:tl2br w:val="nil"/>
              <w:tr2bl w:val="nil"/>
            </w:tcBorders>
            <w:vAlign w:val="center"/>
          </w:tcPr>
          <w:p w14:paraId="4A8B2E1D">
            <w:pPr>
              <w:pStyle w:val="41"/>
              <w:rPr>
                <w:rFonts w:hint="default" w:ascii="Times New Roman" w:hAnsi="Times New Roman" w:eastAsia="华文中宋"/>
                <w:color w:val="auto"/>
                <w:highlight w:val="none"/>
                <w:lang w:val="en-US" w:eastAsia="zh-CN"/>
              </w:rPr>
            </w:pPr>
            <w:r>
              <w:rPr>
                <w:rFonts w:hint="eastAsia" w:ascii="Times New Roman" w:hAnsi="Times New Roman"/>
                <w:color w:val="auto"/>
                <w:highlight w:val="none"/>
                <w:lang w:val="en-US" w:eastAsia="zh-CN"/>
              </w:rPr>
              <w:t>55.332</w:t>
            </w:r>
          </w:p>
        </w:tc>
        <w:tc>
          <w:tcPr>
            <w:tcW w:w="1396" w:type="dxa"/>
            <w:tcBorders>
              <w:tl2br w:val="nil"/>
              <w:tr2bl w:val="nil"/>
            </w:tcBorders>
            <w:vAlign w:val="center"/>
          </w:tcPr>
          <w:p w14:paraId="5874F629">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w:t>
            </w:r>
          </w:p>
        </w:tc>
        <w:tc>
          <w:tcPr>
            <w:tcW w:w="1597" w:type="dxa"/>
            <w:vMerge w:val="continue"/>
            <w:tcBorders>
              <w:tl2br w:val="nil"/>
              <w:tr2bl w:val="nil"/>
            </w:tcBorders>
            <w:vAlign w:val="center"/>
          </w:tcPr>
          <w:p w14:paraId="1A1464C1">
            <w:pPr>
              <w:pStyle w:val="41"/>
              <w:rPr>
                <w:color w:val="auto"/>
                <w:highlight w:val="none"/>
              </w:rPr>
            </w:pPr>
          </w:p>
        </w:tc>
      </w:tr>
    </w:tbl>
    <w:p w14:paraId="4BFA6AC9">
      <w:pPr>
        <w:pStyle w:val="42"/>
        <w:rPr>
          <w:rFonts w:hint="default"/>
          <w:color w:val="auto"/>
          <w:highlight w:val="none"/>
        </w:rPr>
      </w:pPr>
      <w:r>
        <w:rPr>
          <w:color w:val="auto"/>
          <w:highlight w:val="none"/>
        </w:rPr>
        <w:t>尾矿库工程分析</w:t>
      </w:r>
    </w:p>
    <w:p w14:paraId="60DF70F7">
      <w:pPr>
        <w:pStyle w:val="3"/>
        <w:ind w:firstLine="480"/>
        <w:rPr>
          <w:color w:val="auto"/>
          <w:highlight w:val="none"/>
        </w:rPr>
      </w:pPr>
      <w:r>
        <w:rPr>
          <w:rFonts w:hint="eastAsia"/>
          <w:color w:val="auto"/>
          <w:highlight w:val="none"/>
        </w:rPr>
        <w:t>拟建尾矿库为山谷型尾矿库，由尾矿坝体、防排洪系统、库区防渗系统、监测设施等建（构）筑物组成。尾矿库工程采用库前式尾矿排矿筑坝法，尾矿处置方案为：尾矿自选厂排出，经浓密机浓密后，输送至脱水车间脱水，脱水完成后前期干排尾矿</w:t>
      </w:r>
      <w:r>
        <w:rPr>
          <w:rFonts w:hint="eastAsia"/>
          <w:color w:val="auto"/>
          <w:highlight w:val="none"/>
          <w:lang w:eastAsia="zh-CN"/>
        </w:rPr>
        <w:t>利用现有道路采取</w:t>
      </w:r>
      <w:r>
        <w:rPr>
          <w:rFonts w:hint="eastAsia"/>
          <w:color w:val="auto"/>
          <w:highlight w:val="none"/>
        </w:rPr>
        <w:t>汽车运输</w:t>
      </w:r>
      <w:r>
        <w:rPr>
          <w:rFonts w:hint="eastAsia"/>
          <w:color w:val="auto"/>
          <w:highlight w:val="none"/>
          <w:lang w:eastAsia="zh-CN"/>
        </w:rPr>
        <w:t>，待后期皮带运输系统建设完成后采用皮带运输</w:t>
      </w:r>
      <w:r>
        <w:rPr>
          <w:rFonts w:hint="eastAsia"/>
          <w:color w:val="auto"/>
          <w:highlight w:val="none"/>
        </w:rPr>
        <w:t>。</w:t>
      </w:r>
    </w:p>
    <w:p w14:paraId="76FDACA9">
      <w:pPr>
        <w:pStyle w:val="43"/>
        <w:rPr>
          <w:color w:val="auto"/>
          <w:highlight w:val="none"/>
        </w:rPr>
      </w:pPr>
      <w:r>
        <w:rPr>
          <w:rFonts w:hint="eastAsia"/>
          <w:color w:val="auto"/>
          <w:highlight w:val="none"/>
        </w:rPr>
        <w:t>尾矿库库容、等级</w:t>
      </w:r>
    </w:p>
    <w:p w14:paraId="7CD5D60A">
      <w:pPr>
        <w:pStyle w:val="3"/>
        <w:ind w:firstLine="480"/>
        <w:rPr>
          <w:color w:val="auto"/>
          <w:highlight w:val="none"/>
        </w:rPr>
      </w:pPr>
      <w:r>
        <w:rPr>
          <w:color w:val="auto"/>
          <w:highlight w:val="none"/>
        </w:rPr>
        <w:t>该尾矿库最终形成总库容4223.61万m</w:t>
      </w:r>
      <w:r>
        <w:rPr>
          <w:rFonts w:hint="eastAsia"/>
          <w:color w:val="auto"/>
          <w:highlight w:val="none"/>
          <w:vertAlign w:val="superscript"/>
        </w:rPr>
        <w:t>3</w:t>
      </w:r>
      <w:r>
        <w:rPr>
          <w:rFonts w:hint="eastAsia"/>
          <w:color w:val="auto"/>
          <w:highlight w:val="none"/>
        </w:rPr>
        <w:t>，</w:t>
      </w:r>
      <w:r>
        <w:rPr>
          <w:color w:val="auto"/>
          <w:highlight w:val="none"/>
        </w:rPr>
        <w:t>服务年限20.</w:t>
      </w:r>
      <w:r>
        <w:rPr>
          <w:rFonts w:hint="eastAsia"/>
          <w:color w:val="auto"/>
          <w:highlight w:val="none"/>
          <w:lang w:val="en-US" w:eastAsia="zh-CN"/>
        </w:rPr>
        <w:t>14</w:t>
      </w:r>
      <w:r>
        <w:rPr>
          <w:color w:val="auto"/>
          <w:highlight w:val="none"/>
        </w:rPr>
        <w:t>年</w:t>
      </w:r>
      <w:r>
        <w:rPr>
          <w:rFonts w:hint="eastAsia"/>
          <w:color w:val="auto"/>
          <w:highlight w:val="none"/>
        </w:rPr>
        <w:t>。</w:t>
      </w:r>
    </w:p>
    <w:p w14:paraId="32812735">
      <w:pPr>
        <w:pStyle w:val="3"/>
        <w:ind w:firstLine="480"/>
        <w:rPr>
          <w:color w:val="auto"/>
          <w:highlight w:val="none"/>
        </w:rPr>
      </w:pPr>
      <w:r>
        <w:rPr>
          <w:color w:val="auto"/>
          <w:highlight w:val="none"/>
        </w:rPr>
        <w:t>拟建尾矿库最终设计等别为二等，主要构筑物为2级，次要构筑物为3级，临时构筑物为4级。</w:t>
      </w:r>
      <w:r>
        <w:rPr>
          <w:rFonts w:hint="eastAsia"/>
          <w:color w:val="auto"/>
          <w:highlight w:val="none"/>
        </w:rPr>
        <w:t>详见下表。</w:t>
      </w:r>
    </w:p>
    <w:p w14:paraId="1FC9F38C">
      <w:pPr>
        <w:pStyle w:val="40"/>
        <w:spacing w:before="24" w:after="24"/>
        <w:rPr>
          <w:color w:val="auto"/>
          <w:highlight w:val="none"/>
        </w:rPr>
      </w:pPr>
      <w:r>
        <w:rPr>
          <w:color w:val="auto"/>
          <w:highlight w:val="none"/>
        </w:rPr>
        <w:t>表</w:t>
      </w:r>
      <w:r>
        <w:rPr>
          <w:rFonts w:hint="eastAsia"/>
          <w:color w:val="auto"/>
          <w:highlight w:val="none"/>
        </w:rPr>
        <w:t xml:space="preserve">3.3-9     </w:t>
      </w:r>
      <w:r>
        <w:rPr>
          <w:color w:val="auto"/>
          <w:highlight w:val="none"/>
        </w:rPr>
        <w:t>拟建尾矿库各使用期设计等别</w:t>
      </w:r>
    </w:p>
    <w:tbl>
      <w:tblPr>
        <w:tblStyle w:val="45"/>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888"/>
        <w:gridCol w:w="1688"/>
        <w:gridCol w:w="1407"/>
        <w:gridCol w:w="2121"/>
        <w:gridCol w:w="1217"/>
      </w:tblGrid>
      <w:tr w14:paraId="00360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134" w:type="pct"/>
            <w:tcBorders>
              <w:top w:val="single" w:color="000000" w:sz="12" w:space="0"/>
              <w:left w:val="single" w:color="000000" w:sz="12" w:space="0"/>
              <w:bottom w:val="single" w:color="000000" w:sz="4" w:space="0"/>
              <w:right w:val="single" w:color="000000" w:sz="4" w:space="0"/>
            </w:tcBorders>
            <w:vAlign w:val="center"/>
          </w:tcPr>
          <w:p w14:paraId="21910CCA">
            <w:pPr>
              <w:pStyle w:val="41"/>
              <w:rPr>
                <w:color w:val="auto"/>
                <w:highlight w:val="none"/>
              </w:rPr>
            </w:pPr>
            <w:r>
              <w:rPr>
                <w:color w:val="auto"/>
                <w:highlight w:val="none"/>
              </w:rPr>
              <w:t>坝顶标高（m）</w:t>
            </w:r>
          </w:p>
        </w:tc>
        <w:tc>
          <w:tcPr>
            <w:tcW w:w="1014" w:type="pct"/>
            <w:tcBorders>
              <w:top w:val="single" w:color="000000" w:sz="12" w:space="0"/>
              <w:left w:val="single" w:color="000000" w:sz="4" w:space="0"/>
              <w:bottom w:val="single" w:color="000000" w:sz="4" w:space="0"/>
              <w:right w:val="single" w:color="000000" w:sz="4" w:space="0"/>
            </w:tcBorders>
            <w:vAlign w:val="center"/>
          </w:tcPr>
          <w:p w14:paraId="54A46D6F">
            <w:pPr>
              <w:pStyle w:val="41"/>
              <w:rPr>
                <w:color w:val="auto"/>
                <w:highlight w:val="none"/>
              </w:rPr>
            </w:pPr>
            <w:r>
              <w:rPr>
                <w:color w:val="auto"/>
                <w:highlight w:val="none"/>
              </w:rPr>
              <w:t>特征</w:t>
            </w:r>
          </w:p>
        </w:tc>
        <w:tc>
          <w:tcPr>
            <w:tcW w:w="845" w:type="pct"/>
            <w:tcBorders>
              <w:top w:val="single" w:color="000000" w:sz="12" w:space="0"/>
              <w:left w:val="single" w:color="000000" w:sz="4" w:space="0"/>
              <w:bottom w:val="single" w:color="000000" w:sz="4" w:space="0"/>
              <w:right w:val="single" w:color="000000" w:sz="4" w:space="0"/>
            </w:tcBorders>
            <w:vAlign w:val="center"/>
          </w:tcPr>
          <w:p w14:paraId="4307232D">
            <w:pPr>
              <w:pStyle w:val="41"/>
              <w:rPr>
                <w:color w:val="auto"/>
                <w:highlight w:val="none"/>
              </w:rPr>
            </w:pPr>
            <w:r>
              <w:rPr>
                <w:color w:val="auto"/>
                <w:highlight w:val="none"/>
              </w:rPr>
              <w:t>坝高（m）</w:t>
            </w:r>
          </w:p>
        </w:tc>
        <w:tc>
          <w:tcPr>
            <w:tcW w:w="1274" w:type="pct"/>
            <w:tcBorders>
              <w:top w:val="single" w:color="000000" w:sz="12" w:space="0"/>
              <w:left w:val="single" w:color="000000" w:sz="4" w:space="0"/>
              <w:bottom w:val="single" w:color="000000" w:sz="4" w:space="0"/>
              <w:right w:val="single" w:color="000000" w:sz="4" w:space="0"/>
            </w:tcBorders>
            <w:vAlign w:val="center"/>
          </w:tcPr>
          <w:p w14:paraId="03DD45C0">
            <w:pPr>
              <w:pStyle w:val="41"/>
              <w:rPr>
                <w:color w:val="auto"/>
                <w:highlight w:val="none"/>
              </w:rPr>
            </w:pPr>
            <w:r>
              <w:rPr>
                <w:color w:val="auto"/>
                <w:highlight w:val="none"/>
              </w:rPr>
              <w:t>全库容（万m</w:t>
            </w:r>
            <w:r>
              <w:rPr>
                <w:color w:val="auto"/>
                <w:highlight w:val="none"/>
                <w:vertAlign w:val="superscript"/>
              </w:rPr>
              <w:t>3</w:t>
            </w:r>
            <w:r>
              <w:rPr>
                <w:color w:val="auto"/>
                <w:highlight w:val="none"/>
              </w:rPr>
              <w:t>）</w:t>
            </w:r>
          </w:p>
        </w:tc>
        <w:tc>
          <w:tcPr>
            <w:tcW w:w="731" w:type="pct"/>
            <w:tcBorders>
              <w:top w:val="single" w:color="000000" w:sz="12" w:space="0"/>
              <w:left w:val="single" w:color="000000" w:sz="4" w:space="0"/>
              <w:bottom w:val="single" w:color="000000" w:sz="4" w:space="0"/>
              <w:right w:val="single" w:color="000000" w:sz="12" w:space="0"/>
            </w:tcBorders>
            <w:vAlign w:val="center"/>
          </w:tcPr>
          <w:p w14:paraId="5AC98667">
            <w:pPr>
              <w:pStyle w:val="41"/>
              <w:rPr>
                <w:color w:val="auto"/>
                <w:highlight w:val="none"/>
              </w:rPr>
            </w:pPr>
            <w:r>
              <w:rPr>
                <w:color w:val="auto"/>
                <w:highlight w:val="none"/>
              </w:rPr>
              <w:t>设计等别</w:t>
            </w:r>
          </w:p>
        </w:tc>
      </w:tr>
      <w:tr w14:paraId="6A3D1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134" w:type="pct"/>
            <w:tcBorders>
              <w:top w:val="single" w:color="000000" w:sz="4" w:space="0"/>
              <w:left w:val="single" w:color="000000" w:sz="12" w:space="0"/>
              <w:bottom w:val="single" w:color="000000" w:sz="4" w:space="0"/>
              <w:right w:val="single" w:color="000000" w:sz="4" w:space="0"/>
            </w:tcBorders>
            <w:vAlign w:val="center"/>
          </w:tcPr>
          <w:p w14:paraId="345DCDFD">
            <w:pPr>
              <w:pStyle w:val="41"/>
              <w:rPr>
                <w:color w:val="auto"/>
                <w:highlight w:val="none"/>
              </w:rPr>
            </w:pPr>
            <w:r>
              <w:rPr>
                <w:color w:val="auto"/>
                <w:highlight w:val="none"/>
              </w:rPr>
              <w:t>1930.0</w:t>
            </w:r>
          </w:p>
        </w:tc>
        <w:tc>
          <w:tcPr>
            <w:tcW w:w="1014" w:type="pct"/>
            <w:tcBorders>
              <w:top w:val="single" w:color="000000" w:sz="4" w:space="0"/>
              <w:left w:val="single" w:color="000000" w:sz="4" w:space="0"/>
              <w:bottom w:val="single" w:color="000000" w:sz="4" w:space="0"/>
              <w:right w:val="single" w:color="000000" w:sz="4" w:space="0"/>
            </w:tcBorders>
            <w:vAlign w:val="center"/>
          </w:tcPr>
          <w:p w14:paraId="0DB44466">
            <w:pPr>
              <w:pStyle w:val="41"/>
              <w:rPr>
                <w:color w:val="auto"/>
                <w:highlight w:val="none"/>
              </w:rPr>
            </w:pPr>
          </w:p>
        </w:tc>
        <w:tc>
          <w:tcPr>
            <w:tcW w:w="845" w:type="pct"/>
            <w:tcBorders>
              <w:top w:val="single" w:color="000000" w:sz="4" w:space="0"/>
              <w:left w:val="single" w:color="000000" w:sz="4" w:space="0"/>
              <w:bottom w:val="single" w:color="000000" w:sz="4" w:space="0"/>
              <w:right w:val="single" w:color="000000" w:sz="4" w:space="0"/>
            </w:tcBorders>
            <w:vAlign w:val="center"/>
          </w:tcPr>
          <w:p w14:paraId="57B0A49E">
            <w:pPr>
              <w:pStyle w:val="41"/>
              <w:rPr>
                <w:color w:val="auto"/>
                <w:highlight w:val="none"/>
              </w:rPr>
            </w:pPr>
            <w:r>
              <w:rPr>
                <w:color w:val="auto"/>
                <w:highlight w:val="none"/>
              </w:rPr>
              <w:t>0-30.0</w:t>
            </w:r>
          </w:p>
        </w:tc>
        <w:tc>
          <w:tcPr>
            <w:tcW w:w="1274" w:type="pct"/>
            <w:tcBorders>
              <w:top w:val="single" w:color="000000" w:sz="4" w:space="0"/>
              <w:left w:val="single" w:color="000000" w:sz="4" w:space="0"/>
              <w:bottom w:val="single" w:color="000000" w:sz="4" w:space="0"/>
              <w:right w:val="single" w:color="000000" w:sz="4" w:space="0"/>
            </w:tcBorders>
            <w:vAlign w:val="center"/>
          </w:tcPr>
          <w:p w14:paraId="2EA817A4">
            <w:pPr>
              <w:pStyle w:val="41"/>
              <w:rPr>
                <w:color w:val="auto"/>
                <w:highlight w:val="none"/>
              </w:rPr>
            </w:pPr>
            <w:r>
              <w:rPr>
                <w:color w:val="auto"/>
                <w:highlight w:val="none"/>
              </w:rPr>
              <w:t>0-321.59</w:t>
            </w:r>
          </w:p>
        </w:tc>
        <w:tc>
          <w:tcPr>
            <w:tcW w:w="731" w:type="pct"/>
            <w:tcBorders>
              <w:top w:val="single" w:color="000000" w:sz="4" w:space="0"/>
              <w:left w:val="single" w:color="000000" w:sz="4" w:space="0"/>
              <w:bottom w:val="single" w:color="000000" w:sz="4" w:space="0"/>
              <w:right w:val="single" w:color="000000" w:sz="12" w:space="0"/>
            </w:tcBorders>
            <w:vAlign w:val="center"/>
          </w:tcPr>
          <w:p w14:paraId="019FCB0B">
            <w:pPr>
              <w:pStyle w:val="41"/>
              <w:rPr>
                <w:color w:val="auto"/>
                <w:highlight w:val="none"/>
              </w:rPr>
            </w:pPr>
            <w:r>
              <w:rPr>
                <w:color w:val="auto"/>
                <w:highlight w:val="none"/>
              </w:rPr>
              <w:t>四</w:t>
            </w:r>
          </w:p>
        </w:tc>
      </w:tr>
      <w:tr w14:paraId="5CAFB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134" w:type="pct"/>
            <w:tcBorders>
              <w:top w:val="single" w:color="000000" w:sz="4" w:space="0"/>
              <w:left w:val="single" w:color="000000" w:sz="12" w:space="0"/>
              <w:bottom w:val="single" w:color="000000" w:sz="4" w:space="0"/>
              <w:right w:val="single" w:color="000000" w:sz="4" w:space="0"/>
            </w:tcBorders>
            <w:vAlign w:val="center"/>
          </w:tcPr>
          <w:p w14:paraId="45B5620F">
            <w:pPr>
              <w:pStyle w:val="41"/>
              <w:rPr>
                <w:color w:val="auto"/>
                <w:highlight w:val="none"/>
              </w:rPr>
            </w:pPr>
            <w:r>
              <w:rPr>
                <w:color w:val="auto"/>
                <w:highlight w:val="none"/>
              </w:rPr>
              <w:t>1930.0-1949.9</w:t>
            </w:r>
          </w:p>
        </w:tc>
        <w:tc>
          <w:tcPr>
            <w:tcW w:w="1014" w:type="pct"/>
            <w:tcBorders>
              <w:top w:val="single" w:color="000000" w:sz="4" w:space="0"/>
              <w:left w:val="single" w:color="000000" w:sz="4" w:space="0"/>
              <w:bottom w:val="single" w:color="000000" w:sz="4" w:space="0"/>
              <w:right w:val="single" w:color="000000" w:sz="4" w:space="0"/>
            </w:tcBorders>
            <w:vAlign w:val="center"/>
          </w:tcPr>
          <w:p w14:paraId="5A7FC040">
            <w:pPr>
              <w:pStyle w:val="41"/>
              <w:rPr>
                <w:color w:val="auto"/>
                <w:highlight w:val="none"/>
              </w:rPr>
            </w:pPr>
            <w:r>
              <w:rPr>
                <w:color w:val="auto"/>
                <w:highlight w:val="none"/>
              </w:rPr>
              <w:t>变等标高</w:t>
            </w:r>
          </w:p>
        </w:tc>
        <w:tc>
          <w:tcPr>
            <w:tcW w:w="845" w:type="pct"/>
            <w:tcBorders>
              <w:top w:val="single" w:color="000000" w:sz="4" w:space="0"/>
              <w:left w:val="single" w:color="000000" w:sz="4" w:space="0"/>
              <w:bottom w:val="single" w:color="000000" w:sz="4" w:space="0"/>
              <w:right w:val="single" w:color="000000" w:sz="4" w:space="0"/>
            </w:tcBorders>
            <w:vAlign w:val="center"/>
          </w:tcPr>
          <w:p w14:paraId="71FF392E">
            <w:pPr>
              <w:pStyle w:val="41"/>
              <w:rPr>
                <w:color w:val="auto"/>
                <w:highlight w:val="none"/>
              </w:rPr>
            </w:pPr>
            <w:r>
              <w:rPr>
                <w:color w:val="auto"/>
                <w:highlight w:val="none"/>
              </w:rPr>
              <w:t>30.0-49.9</w:t>
            </w:r>
          </w:p>
        </w:tc>
        <w:tc>
          <w:tcPr>
            <w:tcW w:w="1274" w:type="pct"/>
            <w:tcBorders>
              <w:top w:val="single" w:color="000000" w:sz="4" w:space="0"/>
              <w:left w:val="single" w:color="000000" w:sz="4" w:space="0"/>
              <w:bottom w:val="single" w:color="000000" w:sz="4" w:space="0"/>
              <w:right w:val="single" w:color="000000" w:sz="4" w:space="0"/>
            </w:tcBorders>
            <w:vAlign w:val="center"/>
          </w:tcPr>
          <w:p w14:paraId="6741830F">
            <w:pPr>
              <w:pStyle w:val="41"/>
              <w:rPr>
                <w:color w:val="auto"/>
                <w:highlight w:val="none"/>
              </w:rPr>
            </w:pPr>
            <w:r>
              <w:rPr>
                <w:color w:val="auto"/>
                <w:highlight w:val="none"/>
              </w:rPr>
              <w:t>321.59-1000</w:t>
            </w:r>
          </w:p>
        </w:tc>
        <w:tc>
          <w:tcPr>
            <w:tcW w:w="731" w:type="pct"/>
            <w:tcBorders>
              <w:top w:val="single" w:color="000000" w:sz="4" w:space="0"/>
              <w:left w:val="single" w:color="000000" w:sz="4" w:space="0"/>
              <w:bottom w:val="single" w:color="000000" w:sz="4" w:space="0"/>
              <w:right w:val="single" w:color="000000" w:sz="12" w:space="0"/>
            </w:tcBorders>
            <w:vAlign w:val="center"/>
          </w:tcPr>
          <w:p w14:paraId="574DBF46">
            <w:pPr>
              <w:pStyle w:val="41"/>
              <w:rPr>
                <w:color w:val="auto"/>
                <w:highlight w:val="none"/>
              </w:rPr>
            </w:pPr>
            <w:r>
              <w:rPr>
                <w:color w:val="auto"/>
                <w:highlight w:val="none"/>
              </w:rPr>
              <w:t>四</w:t>
            </w:r>
          </w:p>
        </w:tc>
      </w:tr>
      <w:tr w14:paraId="1FFB5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134" w:type="pct"/>
            <w:tcBorders>
              <w:top w:val="single" w:color="000000" w:sz="4" w:space="0"/>
              <w:left w:val="single" w:color="000000" w:sz="12" w:space="0"/>
              <w:bottom w:val="single" w:color="000000" w:sz="4" w:space="0"/>
              <w:right w:val="single" w:color="000000" w:sz="4" w:space="0"/>
            </w:tcBorders>
            <w:vAlign w:val="center"/>
          </w:tcPr>
          <w:p w14:paraId="5D33531B">
            <w:pPr>
              <w:pStyle w:val="41"/>
              <w:rPr>
                <w:color w:val="auto"/>
                <w:highlight w:val="none"/>
              </w:rPr>
            </w:pPr>
            <w:r>
              <w:rPr>
                <w:color w:val="auto"/>
                <w:highlight w:val="none"/>
              </w:rPr>
              <w:t>1949.9-1960.0</w:t>
            </w:r>
          </w:p>
        </w:tc>
        <w:tc>
          <w:tcPr>
            <w:tcW w:w="1014" w:type="pct"/>
            <w:tcBorders>
              <w:top w:val="single" w:color="000000" w:sz="4" w:space="0"/>
              <w:left w:val="single" w:color="000000" w:sz="4" w:space="0"/>
              <w:bottom w:val="single" w:color="000000" w:sz="4" w:space="0"/>
              <w:right w:val="single" w:color="000000" w:sz="4" w:space="0"/>
            </w:tcBorders>
            <w:vAlign w:val="center"/>
          </w:tcPr>
          <w:p w14:paraId="1508259A">
            <w:pPr>
              <w:pStyle w:val="41"/>
              <w:rPr>
                <w:color w:val="auto"/>
                <w:highlight w:val="none"/>
              </w:rPr>
            </w:pPr>
            <w:r>
              <w:rPr>
                <w:color w:val="auto"/>
                <w:highlight w:val="none"/>
              </w:rPr>
              <w:t>变等标高</w:t>
            </w:r>
          </w:p>
        </w:tc>
        <w:tc>
          <w:tcPr>
            <w:tcW w:w="845" w:type="pct"/>
            <w:tcBorders>
              <w:top w:val="single" w:color="000000" w:sz="4" w:space="0"/>
              <w:left w:val="single" w:color="000000" w:sz="4" w:space="0"/>
              <w:bottom w:val="single" w:color="000000" w:sz="4" w:space="0"/>
              <w:right w:val="single" w:color="000000" w:sz="4" w:space="0"/>
            </w:tcBorders>
            <w:vAlign w:val="center"/>
          </w:tcPr>
          <w:p w14:paraId="749742E8">
            <w:pPr>
              <w:pStyle w:val="41"/>
              <w:rPr>
                <w:color w:val="auto"/>
                <w:highlight w:val="none"/>
              </w:rPr>
            </w:pPr>
            <w:r>
              <w:rPr>
                <w:color w:val="auto"/>
                <w:highlight w:val="none"/>
              </w:rPr>
              <w:t>49.9-60.0</w:t>
            </w:r>
          </w:p>
        </w:tc>
        <w:tc>
          <w:tcPr>
            <w:tcW w:w="1274" w:type="pct"/>
            <w:tcBorders>
              <w:top w:val="single" w:color="000000" w:sz="4" w:space="0"/>
              <w:left w:val="single" w:color="000000" w:sz="4" w:space="0"/>
              <w:bottom w:val="single" w:color="000000" w:sz="4" w:space="0"/>
              <w:right w:val="single" w:color="000000" w:sz="4" w:space="0"/>
            </w:tcBorders>
            <w:vAlign w:val="center"/>
          </w:tcPr>
          <w:p w14:paraId="69EEC6CC">
            <w:pPr>
              <w:pStyle w:val="41"/>
              <w:rPr>
                <w:color w:val="auto"/>
                <w:highlight w:val="none"/>
              </w:rPr>
            </w:pPr>
            <w:r>
              <w:rPr>
                <w:color w:val="auto"/>
                <w:highlight w:val="none"/>
              </w:rPr>
              <w:t>1000-1422.21</w:t>
            </w:r>
          </w:p>
        </w:tc>
        <w:tc>
          <w:tcPr>
            <w:tcW w:w="731" w:type="pct"/>
            <w:tcBorders>
              <w:top w:val="single" w:color="000000" w:sz="4" w:space="0"/>
              <w:left w:val="single" w:color="000000" w:sz="4" w:space="0"/>
              <w:bottom w:val="single" w:color="000000" w:sz="4" w:space="0"/>
              <w:right w:val="single" w:color="000000" w:sz="12" w:space="0"/>
            </w:tcBorders>
            <w:vAlign w:val="center"/>
          </w:tcPr>
          <w:p w14:paraId="084D7E84">
            <w:pPr>
              <w:pStyle w:val="41"/>
              <w:rPr>
                <w:color w:val="auto"/>
                <w:highlight w:val="none"/>
              </w:rPr>
            </w:pPr>
            <w:r>
              <w:rPr>
                <w:color w:val="auto"/>
                <w:highlight w:val="none"/>
              </w:rPr>
              <w:t>三</w:t>
            </w:r>
          </w:p>
        </w:tc>
      </w:tr>
      <w:tr w14:paraId="616C2D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134" w:type="pct"/>
            <w:tcBorders>
              <w:top w:val="single" w:color="000000" w:sz="4" w:space="0"/>
              <w:left w:val="single" w:color="000000" w:sz="12" w:space="0"/>
              <w:bottom w:val="single" w:color="000000" w:sz="4" w:space="0"/>
              <w:right w:val="single" w:color="000000" w:sz="4" w:space="0"/>
            </w:tcBorders>
            <w:vAlign w:val="center"/>
          </w:tcPr>
          <w:p w14:paraId="077F6E50">
            <w:pPr>
              <w:pStyle w:val="41"/>
              <w:rPr>
                <w:color w:val="auto"/>
                <w:highlight w:val="none"/>
              </w:rPr>
            </w:pPr>
            <w:r>
              <w:rPr>
                <w:color w:val="auto"/>
                <w:highlight w:val="none"/>
              </w:rPr>
              <w:t>1960.0-2000.0</w:t>
            </w:r>
          </w:p>
        </w:tc>
        <w:tc>
          <w:tcPr>
            <w:tcW w:w="1014" w:type="pct"/>
            <w:tcBorders>
              <w:top w:val="single" w:color="000000" w:sz="4" w:space="0"/>
              <w:left w:val="single" w:color="000000" w:sz="4" w:space="0"/>
              <w:bottom w:val="single" w:color="000000" w:sz="4" w:space="0"/>
              <w:right w:val="single" w:color="000000" w:sz="4" w:space="0"/>
            </w:tcBorders>
            <w:vAlign w:val="center"/>
          </w:tcPr>
          <w:p w14:paraId="3EB7B84C">
            <w:pPr>
              <w:pStyle w:val="41"/>
              <w:rPr>
                <w:color w:val="auto"/>
                <w:highlight w:val="none"/>
              </w:rPr>
            </w:pPr>
            <w:r>
              <w:rPr>
                <w:color w:val="auto"/>
                <w:highlight w:val="none"/>
              </w:rPr>
              <w:t>变等标高</w:t>
            </w:r>
          </w:p>
        </w:tc>
        <w:tc>
          <w:tcPr>
            <w:tcW w:w="845" w:type="pct"/>
            <w:tcBorders>
              <w:top w:val="single" w:color="000000" w:sz="4" w:space="0"/>
              <w:left w:val="single" w:color="000000" w:sz="4" w:space="0"/>
              <w:bottom w:val="single" w:color="000000" w:sz="4" w:space="0"/>
              <w:right w:val="single" w:color="000000" w:sz="4" w:space="0"/>
            </w:tcBorders>
            <w:vAlign w:val="center"/>
          </w:tcPr>
          <w:p w14:paraId="29260F28">
            <w:pPr>
              <w:pStyle w:val="41"/>
              <w:rPr>
                <w:color w:val="auto"/>
                <w:highlight w:val="none"/>
              </w:rPr>
            </w:pPr>
            <w:r>
              <w:rPr>
                <w:color w:val="auto"/>
                <w:highlight w:val="none"/>
              </w:rPr>
              <w:t>60.0-100.0</w:t>
            </w:r>
          </w:p>
        </w:tc>
        <w:tc>
          <w:tcPr>
            <w:tcW w:w="1274" w:type="pct"/>
            <w:tcBorders>
              <w:top w:val="single" w:color="000000" w:sz="4" w:space="0"/>
              <w:left w:val="single" w:color="000000" w:sz="4" w:space="0"/>
              <w:bottom w:val="single" w:color="000000" w:sz="4" w:space="0"/>
              <w:right w:val="single" w:color="000000" w:sz="4" w:space="0"/>
            </w:tcBorders>
            <w:vAlign w:val="center"/>
          </w:tcPr>
          <w:p w14:paraId="34203950">
            <w:pPr>
              <w:pStyle w:val="41"/>
              <w:rPr>
                <w:color w:val="auto"/>
                <w:highlight w:val="none"/>
              </w:rPr>
            </w:pPr>
            <w:r>
              <w:rPr>
                <w:color w:val="auto"/>
                <w:highlight w:val="none"/>
              </w:rPr>
              <w:t>1422.21-3384.78</w:t>
            </w:r>
          </w:p>
        </w:tc>
        <w:tc>
          <w:tcPr>
            <w:tcW w:w="731" w:type="pct"/>
            <w:tcBorders>
              <w:top w:val="single" w:color="000000" w:sz="4" w:space="0"/>
              <w:left w:val="single" w:color="000000" w:sz="4" w:space="0"/>
              <w:bottom w:val="single" w:color="000000" w:sz="4" w:space="0"/>
              <w:right w:val="single" w:color="000000" w:sz="12" w:space="0"/>
            </w:tcBorders>
            <w:vAlign w:val="center"/>
          </w:tcPr>
          <w:p w14:paraId="53438C5A">
            <w:pPr>
              <w:pStyle w:val="41"/>
              <w:rPr>
                <w:color w:val="auto"/>
                <w:highlight w:val="none"/>
              </w:rPr>
            </w:pPr>
            <w:r>
              <w:rPr>
                <w:color w:val="auto"/>
                <w:highlight w:val="none"/>
              </w:rPr>
              <w:t>三</w:t>
            </w:r>
          </w:p>
        </w:tc>
      </w:tr>
      <w:tr w14:paraId="29CB6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134" w:type="pct"/>
            <w:tcBorders>
              <w:top w:val="single" w:color="000000" w:sz="4" w:space="0"/>
              <w:left w:val="single" w:color="000000" w:sz="12" w:space="0"/>
              <w:bottom w:val="single" w:color="000000" w:sz="4" w:space="0"/>
              <w:right w:val="single" w:color="000000" w:sz="4" w:space="0"/>
            </w:tcBorders>
            <w:vAlign w:val="center"/>
          </w:tcPr>
          <w:p w14:paraId="0E266B98">
            <w:pPr>
              <w:pStyle w:val="41"/>
              <w:rPr>
                <w:color w:val="auto"/>
                <w:highlight w:val="none"/>
              </w:rPr>
            </w:pPr>
            <w:r>
              <w:rPr>
                <w:color w:val="auto"/>
                <w:highlight w:val="none"/>
              </w:rPr>
              <w:t>2020.0-2015.0</w:t>
            </w:r>
          </w:p>
        </w:tc>
        <w:tc>
          <w:tcPr>
            <w:tcW w:w="1014" w:type="pct"/>
            <w:tcBorders>
              <w:top w:val="single" w:color="000000" w:sz="4" w:space="0"/>
              <w:left w:val="single" w:color="000000" w:sz="4" w:space="0"/>
              <w:bottom w:val="single" w:color="000000" w:sz="4" w:space="0"/>
              <w:right w:val="single" w:color="000000" w:sz="4" w:space="0"/>
            </w:tcBorders>
            <w:vAlign w:val="center"/>
          </w:tcPr>
          <w:p w14:paraId="72FA5053">
            <w:pPr>
              <w:pStyle w:val="41"/>
              <w:rPr>
                <w:color w:val="auto"/>
                <w:highlight w:val="none"/>
              </w:rPr>
            </w:pPr>
            <w:r>
              <w:rPr>
                <w:color w:val="auto"/>
                <w:highlight w:val="none"/>
              </w:rPr>
              <w:t>变等标高</w:t>
            </w:r>
          </w:p>
        </w:tc>
        <w:tc>
          <w:tcPr>
            <w:tcW w:w="845" w:type="pct"/>
            <w:tcBorders>
              <w:top w:val="single" w:color="000000" w:sz="4" w:space="0"/>
              <w:left w:val="single" w:color="000000" w:sz="4" w:space="0"/>
              <w:bottom w:val="single" w:color="000000" w:sz="4" w:space="0"/>
              <w:right w:val="single" w:color="000000" w:sz="4" w:space="0"/>
            </w:tcBorders>
            <w:vAlign w:val="center"/>
          </w:tcPr>
          <w:p w14:paraId="07E88381">
            <w:pPr>
              <w:pStyle w:val="41"/>
              <w:rPr>
                <w:color w:val="auto"/>
                <w:highlight w:val="none"/>
              </w:rPr>
            </w:pPr>
            <w:r>
              <w:rPr>
                <w:color w:val="auto"/>
                <w:highlight w:val="none"/>
              </w:rPr>
              <w:t>100.0-115.0</w:t>
            </w:r>
          </w:p>
        </w:tc>
        <w:tc>
          <w:tcPr>
            <w:tcW w:w="1274" w:type="pct"/>
            <w:tcBorders>
              <w:top w:val="single" w:color="000000" w:sz="4" w:space="0"/>
              <w:left w:val="single" w:color="000000" w:sz="4" w:space="0"/>
              <w:bottom w:val="single" w:color="000000" w:sz="4" w:space="0"/>
              <w:right w:val="single" w:color="000000" w:sz="4" w:space="0"/>
            </w:tcBorders>
            <w:vAlign w:val="center"/>
          </w:tcPr>
          <w:p w14:paraId="7E09AF5F">
            <w:pPr>
              <w:pStyle w:val="41"/>
              <w:rPr>
                <w:color w:val="auto"/>
                <w:highlight w:val="none"/>
              </w:rPr>
            </w:pPr>
            <w:r>
              <w:rPr>
                <w:color w:val="auto"/>
                <w:highlight w:val="none"/>
              </w:rPr>
              <w:t>3384.78-4423.61</w:t>
            </w:r>
          </w:p>
        </w:tc>
        <w:tc>
          <w:tcPr>
            <w:tcW w:w="731" w:type="pct"/>
            <w:tcBorders>
              <w:top w:val="single" w:color="000000" w:sz="4" w:space="0"/>
              <w:left w:val="single" w:color="000000" w:sz="4" w:space="0"/>
              <w:bottom w:val="single" w:color="000000" w:sz="4" w:space="0"/>
              <w:right w:val="single" w:color="000000" w:sz="12" w:space="0"/>
            </w:tcBorders>
            <w:vAlign w:val="center"/>
          </w:tcPr>
          <w:p w14:paraId="5499C29A">
            <w:pPr>
              <w:pStyle w:val="41"/>
              <w:rPr>
                <w:color w:val="auto"/>
                <w:highlight w:val="none"/>
              </w:rPr>
            </w:pPr>
            <w:r>
              <w:rPr>
                <w:color w:val="auto"/>
                <w:highlight w:val="none"/>
              </w:rPr>
              <w:t>二</w:t>
            </w:r>
          </w:p>
        </w:tc>
      </w:tr>
      <w:tr w14:paraId="1FBCCB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134" w:type="pct"/>
            <w:tcBorders>
              <w:top w:val="single" w:color="000000" w:sz="4" w:space="0"/>
              <w:left w:val="single" w:color="000000" w:sz="12" w:space="0"/>
              <w:bottom w:val="single" w:color="000000" w:sz="12" w:space="0"/>
              <w:right w:val="single" w:color="000000" w:sz="4" w:space="0"/>
            </w:tcBorders>
            <w:vAlign w:val="center"/>
          </w:tcPr>
          <w:p w14:paraId="7B595BB0">
            <w:pPr>
              <w:pStyle w:val="41"/>
              <w:rPr>
                <w:color w:val="auto"/>
                <w:highlight w:val="none"/>
              </w:rPr>
            </w:pPr>
            <w:r>
              <w:rPr>
                <w:color w:val="auto"/>
                <w:highlight w:val="none"/>
              </w:rPr>
              <w:t>2015.0</w:t>
            </w:r>
          </w:p>
        </w:tc>
        <w:tc>
          <w:tcPr>
            <w:tcW w:w="1014" w:type="pct"/>
            <w:tcBorders>
              <w:top w:val="single" w:color="000000" w:sz="4" w:space="0"/>
              <w:left w:val="single" w:color="000000" w:sz="4" w:space="0"/>
              <w:bottom w:val="single" w:color="000000" w:sz="12" w:space="0"/>
              <w:right w:val="single" w:color="000000" w:sz="4" w:space="0"/>
            </w:tcBorders>
            <w:vAlign w:val="center"/>
          </w:tcPr>
          <w:p w14:paraId="2E1F6EB1">
            <w:pPr>
              <w:pStyle w:val="41"/>
              <w:rPr>
                <w:color w:val="auto"/>
                <w:highlight w:val="none"/>
              </w:rPr>
            </w:pPr>
            <w:r>
              <w:rPr>
                <w:color w:val="auto"/>
                <w:highlight w:val="none"/>
              </w:rPr>
              <w:t>终期堆积标高</w:t>
            </w:r>
          </w:p>
        </w:tc>
        <w:tc>
          <w:tcPr>
            <w:tcW w:w="845" w:type="pct"/>
            <w:tcBorders>
              <w:top w:val="single" w:color="000000" w:sz="4" w:space="0"/>
              <w:left w:val="single" w:color="000000" w:sz="4" w:space="0"/>
              <w:bottom w:val="single" w:color="000000" w:sz="12" w:space="0"/>
              <w:right w:val="single" w:color="000000" w:sz="4" w:space="0"/>
            </w:tcBorders>
            <w:vAlign w:val="center"/>
          </w:tcPr>
          <w:p w14:paraId="06E64A9B">
            <w:pPr>
              <w:pStyle w:val="41"/>
              <w:rPr>
                <w:color w:val="auto"/>
                <w:highlight w:val="none"/>
              </w:rPr>
            </w:pPr>
            <w:r>
              <w:rPr>
                <w:color w:val="auto"/>
                <w:highlight w:val="none"/>
              </w:rPr>
              <w:t>115.0</w:t>
            </w:r>
          </w:p>
        </w:tc>
        <w:tc>
          <w:tcPr>
            <w:tcW w:w="1274" w:type="pct"/>
            <w:tcBorders>
              <w:top w:val="single" w:color="000000" w:sz="4" w:space="0"/>
              <w:left w:val="single" w:color="000000" w:sz="4" w:space="0"/>
              <w:bottom w:val="single" w:color="000000" w:sz="12" w:space="0"/>
              <w:right w:val="single" w:color="000000" w:sz="4" w:space="0"/>
            </w:tcBorders>
            <w:vAlign w:val="center"/>
          </w:tcPr>
          <w:p w14:paraId="4BC8C8AA">
            <w:pPr>
              <w:pStyle w:val="41"/>
              <w:rPr>
                <w:color w:val="auto"/>
                <w:highlight w:val="none"/>
              </w:rPr>
            </w:pPr>
            <w:r>
              <w:rPr>
                <w:color w:val="auto"/>
                <w:highlight w:val="none"/>
              </w:rPr>
              <w:t>4423.61</w:t>
            </w:r>
          </w:p>
        </w:tc>
        <w:tc>
          <w:tcPr>
            <w:tcW w:w="731" w:type="pct"/>
            <w:tcBorders>
              <w:top w:val="single" w:color="000000" w:sz="4" w:space="0"/>
              <w:left w:val="single" w:color="000000" w:sz="4" w:space="0"/>
              <w:bottom w:val="single" w:color="000000" w:sz="12" w:space="0"/>
              <w:right w:val="single" w:color="000000" w:sz="12" w:space="0"/>
            </w:tcBorders>
            <w:vAlign w:val="center"/>
          </w:tcPr>
          <w:p w14:paraId="70C70FFA">
            <w:pPr>
              <w:pStyle w:val="41"/>
              <w:rPr>
                <w:color w:val="auto"/>
                <w:highlight w:val="none"/>
              </w:rPr>
            </w:pPr>
            <w:r>
              <w:rPr>
                <w:color w:val="auto"/>
                <w:highlight w:val="none"/>
              </w:rPr>
              <w:t>二</w:t>
            </w:r>
          </w:p>
        </w:tc>
      </w:tr>
    </w:tbl>
    <w:p w14:paraId="28C78F6A">
      <w:pPr>
        <w:pStyle w:val="43"/>
        <w:rPr>
          <w:color w:val="auto"/>
          <w:highlight w:val="none"/>
        </w:rPr>
      </w:pPr>
      <w:r>
        <w:rPr>
          <w:rFonts w:hint="eastAsia"/>
          <w:color w:val="auto"/>
          <w:highlight w:val="none"/>
        </w:rPr>
        <w:t>尾矿坝</w:t>
      </w:r>
    </w:p>
    <w:p w14:paraId="0AD5A47C">
      <w:pPr>
        <w:pStyle w:val="3"/>
        <w:ind w:firstLine="480"/>
        <w:rPr>
          <w:color w:val="auto"/>
          <w:highlight w:val="none"/>
        </w:rPr>
      </w:pPr>
      <w:r>
        <w:rPr>
          <w:color w:val="auto"/>
          <w:highlight w:val="none"/>
        </w:rPr>
        <w:t>该尾矿库为山谷型尾矿库，采用</w:t>
      </w:r>
      <w:r>
        <w:rPr>
          <w:rFonts w:hint="eastAsia"/>
          <w:color w:val="auto"/>
          <w:highlight w:val="none"/>
        </w:rPr>
        <w:t>“</w:t>
      </w:r>
      <w:r>
        <w:rPr>
          <w:color w:val="auto"/>
          <w:highlight w:val="none"/>
        </w:rPr>
        <w:t>初期坝+堆积坝</w:t>
      </w:r>
      <w:r>
        <w:rPr>
          <w:rFonts w:hint="eastAsia"/>
          <w:color w:val="auto"/>
          <w:highlight w:val="none"/>
        </w:rPr>
        <w:t>”</w:t>
      </w:r>
      <w:r>
        <w:rPr>
          <w:color w:val="auto"/>
          <w:highlight w:val="none"/>
        </w:rPr>
        <w:t>的型式。</w:t>
      </w:r>
    </w:p>
    <w:p w14:paraId="4113EDC2">
      <w:pPr>
        <w:pStyle w:val="3"/>
        <w:ind w:firstLine="480"/>
        <w:rPr>
          <w:color w:val="auto"/>
          <w:highlight w:val="none"/>
        </w:rPr>
      </w:pPr>
      <w:r>
        <w:rPr>
          <w:rFonts w:hint="eastAsia"/>
          <w:color w:val="auto"/>
          <w:highlight w:val="none"/>
        </w:rPr>
        <w:t>（1）</w:t>
      </w:r>
      <w:r>
        <w:rPr>
          <w:color w:val="auto"/>
          <w:highlight w:val="none"/>
        </w:rPr>
        <w:t>初期坝</w:t>
      </w:r>
    </w:p>
    <w:p w14:paraId="3494F49C">
      <w:pPr>
        <w:pStyle w:val="3"/>
        <w:ind w:firstLine="480"/>
        <w:rPr>
          <w:color w:val="auto"/>
          <w:highlight w:val="none"/>
        </w:rPr>
      </w:pPr>
      <w:r>
        <w:rPr>
          <w:rFonts w:hint="eastAsia"/>
          <w:color w:val="auto"/>
          <w:highlight w:val="none"/>
        </w:rPr>
        <w:t>1）</w:t>
      </w:r>
      <w:r>
        <w:rPr>
          <w:color w:val="auto"/>
          <w:highlight w:val="none"/>
        </w:rPr>
        <w:t>坝体设计</w:t>
      </w:r>
    </w:p>
    <w:p w14:paraId="5178C2F0">
      <w:pPr>
        <w:pStyle w:val="3"/>
        <w:ind w:firstLine="480"/>
        <w:rPr>
          <w:color w:val="auto"/>
          <w:highlight w:val="none"/>
        </w:rPr>
      </w:pPr>
      <w:r>
        <w:rPr>
          <w:color w:val="auto"/>
          <w:highlight w:val="none"/>
        </w:rPr>
        <w:t>初期坝位于尾矿库所在沟谷沟口上游约400m处，为透水堆石坝，库内取料筑</w:t>
      </w:r>
      <w:r>
        <w:rPr>
          <w:rFonts w:hint="eastAsia"/>
          <w:color w:val="auto"/>
          <w:highlight w:val="none"/>
        </w:rPr>
        <w:t>坝。坝顶标高1930.0m，坝基处最低点标高1900.0m，坝轴线长约536.66m，坝高H=30.0m，坝顶宽B＝5.0m，外边坡坡比为1</w:t>
      </w:r>
      <w:r>
        <w:rPr>
          <w:rFonts w:hint="eastAsia"/>
          <w:color w:val="auto"/>
          <w:highlight w:val="none"/>
          <w:lang w:eastAsia="zh-CN"/>
        </w:rPr>
        <w:t>:</w:t>
      </w:r>
      <w:r>
        <w:rPr>
          <w:rFonts w:hint="eastAsia"/>
          <w:color w:val="auto"/>
          <w:highlight w:val="none"/>
        </w:rPr>
        <w:t>2.0，内坡坡比1:1.75。下游边坡每隔10m高差修建一宽2.0m的马道。在上游边坡每隔10m高差修建一宽2.0m的嵌固平台。</w:t>
      </w:r>
    </w:p>
    <w:p w14:paraId="20DB48DB">
      <w:pPr>
        <w:pStyle w:val="3"/>
        <w:ind w:firstLine="480"/>
        <w:rPr>
          <w:color w:val="auto"/>
          <w:highlight w:val="none"/>
        </w:rPr>
      </w:pPr>
      <w:r>
        <w:rPr>
          <w:rFonts w:hint="eastAsia"/>
          <w:color w:val="auto"/>
          <w:highlight w:val="none"/>
        </w:rPr>
        <w:t>初期坝上、下游边坡均采用干砌块石护坡，护坡厚度0.5m。</w:t>
      </w:r>
    </w:p>
    <w:p w14:paraId="1786C0F8">
      <w:pPr>
        <w:pStyle w:val="3"/>
        <w:ind w:firstLine="480"/>
        <w:rPr>
          <w:color w:val="auto"/>
          <w:highlight w:val="none"/>
        </w:rPr>
      </w:pPr>
      <w:r>
        <w:rPr>
          <w:rFonts w:hint="eastAsia"/>
          <w:color w:val="auto"/>
          <w:highlight w:val="none"/>
        </w:rPr>
        <w:t>根据《尾矿设施设计规范》</w:t>
      </w:r>
      <w:r>
        <w:rPr>
          <w:rFonts w:hint="eastAsia"/>
          <w:color w:val="auto"/>
          <w:highlight w:val="none"/>
          <w:lang w:eastAsia="zh-CN"/>
        </w:rPr>
        <w:t>（</w:t>
      </w:r>
      <w:r>
        <w:rPr>
          <w:rFonts w:hint="eastAsia"/>
          <w:color w:val="auto"/>
          <w:highlight w:val="none"/>
        </w:rPr>
        <w:t>GB50863-2013</w:t>
      </w:r>
      <w:r>
        <w:rPr>
          <w:rFonts w:hint="eastAsia"/>
          <w:color w:val="auto"/>
          <w:highlight w:val="none"/>
          <w:lang w:eastAsia="zh-CN"/>
        </w:rPr>
        <w:t>）</w:t>
      </w:r>
      <w:r>
        <w:rPr>
          <w:rFonts w:hint="eastAsia"/>
          <w:color w:val="auto"/>
          <w:highlight w:val="none"/>
        </w:rPr>
        <w:t>4.1.3规定：“初期坝坝高应符合</w:t>
      </w:r>
      <w:r>
        <w:rPr>
          <w:rFonts w:hint="eastAsia"/>
          <w:color w:val="auto"/>
          <w:highlight w:val="none"/>
          <w:lang w:eastAsia="zh-CN"/>
        </w:rPr>
        <w:t>至少贮存选矿厂投产后半年</w:t>
      </w:r>
      <w:r>
        <w:rPr>
          <w:rFonts w:hint="eastAsia"/>
          <w:color w:val="auto"/>
          <w:highlight w:val="none"/>
        </w:rPr>
        <w:t>的库容量”，选矿厂半年尾矿量为94.58万m</w:t>
      </w:r>
      <w:r>
        <w:rPr>
          <w:rFonts w:hint="eastAsia"/>
          <w:color w:val="auto"/>
          <w:highlight w:val="none"/>
          <w:vertAlign w:val="superscript"/>
        </w:rPr>
        <w:t>3</w:t>
      </w:r>
      <w:r>
        <w:rPr>
          <w:rFonts w:hint="eastAsia"/>
          <w:color w:val="auto"/>
          <w:highlight w:val="none"/>
        </w:rPr>
        <w:t>，本次设计初期坝可形成有效库容为289.44万m</w:t>
      </w:r>
      <w:r>
        <w:rPr>
          <w:rFonts w:hint="eastAsia"/>
          <w:color w:val="auto"/>
          <w:highlight w:val="none"/>
          <w:vertAlign w:val="superscript"/>
        </w:rPr>
        <w:t>3</w:t>
      </w:r>
      <w:r>
        <w:rPr>
          <w:rFonts w:hint="eastAsia"/>
          <w:color w:val="auto"/>
          <w:highlight w:val="none"/>
        </w:rPr>
        <w:t>，满足规范要求。</w:t>
      </w:r>
    </w:p>
    <w:p w14:paraId="27A5A18B">
      <w:pPr>
        <w:pStyle w:val="3"/>
        <w:ind w:firstLine="480"/>
        <w:rPr>
          <w:color w:val="auto"/>
          <w:highlight w:val="none"/>
        </w:rPr>
      </w:pPr>
      <w:r>
        <w:rPr>
          <w:rFonts w:hint="eastAsia"/>
          <w:color w:val="auto"/>
          <w:highlight w:val="none"/>
        </w:rPr>
        <w:t>2）坝体构造</w:t>
      </w:r>
    </w:p>
    <w:p w14:paraId="183314DC">
      <w:pPr>
        <w:pStyle w:val="3"/>
        <w:ind w:firstLine="480"/>
        <w:rPr>
          <w:color w:val="auto"/>
          <w:highlight w:val="none"/>
        </w:rPr>
      </w:pPr>
      <w:r>
        <w:rPr>
          <w:rFonts w:hint="eastAsia"/>
          <w:color w:val="auto"/>
          <w:highlight w:val="none"/>
        </w:rPr>
        <w:t>①防、排渗设施</w:t>
      </w:r>
    </w:p>
    <w:p w14:paraId="7AB3FAB5">
      <w:pPr>
        <w:pStyle w:val="3"/>
        <w:ind w:firstLine="480"/>
        <w:rPr>
          <w:color w:val="auto"/>
          <w:highlight w:val="none"/>
        </w:rPr>
      </w:pPr>
      <w:r>
        <w:rPr>
          <w:rFonts w:hint="eastAsia"/>
          <w:color w:val="auto"/>
          <w:highlight w:val="none"/>
        </w:rPr>
        <w:t>初期坝坝体上游设置反滤层，由外及内依次为：0.5</w:t>
      </w:r>
      <w:r>
        <w:rPr>
          <w:rFonts w:hint="eastAsia"/>
          <w:color w:val="auto"/>
          <w:highlight w:val="none"/>
          <w:lang w:eastAsia="zh-CN"/>
        </w:rPr>
        <w:t>—</w:t>
      </w:r>
      <w:r>
        <w:rPr>
          <w:rFonts w:hint="eastAsia"/>
          <w:color w:val="auto"/>
          <w:highlight w:val="none"/>
        </w:rPr>
        <w:t>2mm粗砂保护层厚0.3m、600g/m</w:t>
      </w:r>
      <w:r>
        <w:rPr>
          <w:rFonts w:hint="eastAsia"/>
          <w:color w:val="auto"/>
          <w:highlight w:val="none"/>
          <w:vertAlign w:val="superscript"/>
        </w:rPr>
        <w:t>2</w:t>
      </w:r>
      <w:r>
        <w:rPr>
          <w:rFonts w:hint="eastAsia"/>
          <w:color w:val="auto"/>
          <w:highlight w:val="none"/>
        </w:rPr>
        <w:t>的双层土工布、0.5</w:t>
      </w:r>
      <w:r>
        <w:rPr>
          <w:rFonts w:hint="eastAsia"/>
          <w:color w:val="auto"/>
          <w:highlight w:val="none"/>
          <w:lang w:eastAsia="zh-CN"/>
        </w:rPr>
        <w:t>—</w:t>
      </w:r>
      <w:r>
        <w:rPr>
          <w:rFonts w:hint="eastAsia"/>
          <w:color w:val="auto"/>
          <w:highlight w:val="none"/>
        </w:rPr>
        <w:t>2mm粗砂保护层厚0.3m、2</w:t>
      </w:r>
      <w:r>
        <w:rPr>
          <w:rFonts w:hint="eastAsia"/>
          <w:color w:val="auto"/>
          <w:highlight w:val="none"/>
          <w:lang w:eastAsia="zh-CN"/>
        </w:rPr>
        <w:t>—</w:t>
      </w:r>
      <w:r>
        <w:rPr>
          <w:rFonts w:hint="eastAsia"/>
          <w:color w:val="auto"/>
          <w:highlight w:val="none"/>
        </w:rPr>
        <w:t>20mm砂砾石过渡层厚0.3m、机械碾压堆石坝体。</w:t>
      </w:r>
    </w:p>
    <w:p w14:paraId="65A5FA32">
      <w:pPr>
        <w:pStyle w:val="3"/>
        <w:ind w:firstLine="480"/>
        <w:rPr>
          <w:color w:val="auto"/>
          <w:highlight w:val="none"/>
        </w:rPr>
      </w:pPr>
      <w:r>
        <w:rPr>
          <w:rFonts w:hint="eastAsia"/>
          <w:color w:val="auto"/>
          <w:highlight w:val="none"/>
        </w:rPr>
        <w:t>同时，为了实现污水的零排放，设计在初期坝坝底设置防渗设施，防渗设施由上及下分别采用：机械碾压堆石坝体、2</w:t>
      </w:r>
      <w:r>
        <w:rPr>
          <w:rFonts w:hint="eastAsia"/>
          <w:color w:val="auto"/>
          <w:highlight w:val="none"/>
          <w:lang w:eastAsia="zh-CN"/>
        </w:rPr>
        <w:t>—</w:t>
      </w:r>
      <w:r>
        <w:rPr>
          <w:rFonts w:hint="eastAsia"/>
          <w:color w:val="auto"/>
          <w:highlight w:val="none"/>
        </w:rPr>
        <w:t>20mm砂砾石反滤层厚0.3m、0.5</w:t>
      </w:r>
      <w:r>
        <w:rPr>
          <w:rFonts w:hint="eastAsia"/>
          <w:color w:val="auto"/>
          <w:highlight w:val="none"/>
          <w:lang w:eastAsia="zh-CN"/>
        </w:rPr>
        <w:t>—</w:t>
      </w:r>
      <w:r>
        <w:rPr>
          <w:rFonts w:hint="eastAsia"/>
          <w:color w:val="auto"/>
          <w:highlight w:val="none"/>
        </w:rPr>
        <w:t>2mm粗砂保护层厚0.3m、复合土工膜（600g/m</w:t>
      </w:r>
      <w:r>
        <w:rPr>
          <w:rFonts w:hint="eastAsia"/>
          <w:color w:val="auto"/>
          <w:highlight w:val="none"/>
          <w:vertAlign w:val="superscript"/>
        </w:rPr>
        <w:t>2</w:t>
      </w:r>
      <w:r>
        <w:rPr>
          <w:rFonts w:hint="eastAsia"/>
          <w:color w:val="auto"/>
          <w:highlight w:val="none"/>
        </w:rPr>
        <w:t>/1.5mm/600g/m</w:t>
      </w:r>
      <w:r>
        <w:rPr>
          <w:rFonts w:hint="eastAsia"/>
          <w:color w:val="auto"/>
          <w:highlight w:val="none"/>
          <w:vertAlign w:val="superscript"/>
        </w:rPr>
        <w:t>2</w:t>
      </w:r>
      <w:r>
        <w:rPr>
          <w:rFonts w:hint="eastAsia"/>
          <w:color w:val="auto"/>
          <w:highlight w:val="none"/>
          <w:lang w:eastAsia="zh-CN"/>
        </w:rPr>
        <w:t>）</w:t>
      </w:r>
      <w:r>
        <w:rPr>
          <w:rFonts w:hint="eastAsia"/>
          <w:color w:val="auto"/>
          <w:highlight w:val="none"/>
        </w:rPr>
        <w:t>、4800g/m</w:t>
      </w:r>
      <w:r>
        <w:rPr>
          <w:rFonts w:hint="eastAsia"/>
          <w:color w:val="auto"/>
          <w:highlight w:val="none"/>
          <w:vertAlign w:val="superscript"/>
        </w:rPr>
        <w:t>2</w:t>
      </w:r>
      <w:r>
        <w:rPr>
          <w:rFonts w:hint="eastAsia"/>
          <w:color w:val="auto"/>
          <w:highlight w:val="none"/>
        </w:rPr>
        <w:t>钠基膨润土毯垫、0.5</w:t>
      </w:r>
      <w:r>
        <w:rPr>
          <w:rFonts w:hint="eastAsia"/>
          <w:color w:val="auto"/>
          <w:highlight w:val="none"/>
          <w:lang w:eastAsia="zh-CN"/>
        </w:rPr>
        <w:t>—</w:t>
      </w:r>
      <w:r>
        <w:rPr>
          <w:rFonts w:hint="eastAsia"/>
          <w:color w:val="auto"/>
          <w:highlight w:val="none"/>
        </w:rPr>
        <w:t>2mm粗砂保护层厚0.3m、2</w:t>
      </w:r>
      <w:r>
        <w:rPr>
          <w:rFonts w:hint="eastAsia"/>
          <w:color w:val="auto"/>
          <w:highlight w:val="none"/>
          <w:lang w:eastAsia="zh-CN"/>
        </w:rPr>
        <w:t>—</w:t>
      </w:r>
      <w:r>
        <w:rPr>
          <w:rFonts w:hint="eastAsia"/>
          <w:color w:val="auto"/>
          <w:highlight w:val="none"/>
        </w:rPr>
        <w:t>20mm砂砾石过渡层厚0.3m、坝基。</w:t>
      </w:r>
    </w:p>
    <w:p w14:paraId="2B7C4787">
      <w:pPr>
        <w:pStyle w:val="3"/>
        <w:ind w:firstLine="480"/>
        <w:rPr>
          <w:color w:val="auto"/>
          <w:highlight w:val="none"/>
        </w:rPr>
      </w:pPr>
      <w:r>
        <w:rPr>
          <w:rFonts w:hint="eastAsia"/>
          <w:color w:val="auto"/>
          <w:highlight w:val="none"/>
        </w:rPr>
        <w:t>②防冲设施</w:t>
      </w:r>
    </w:p>
    <w:p w14:paraId="59D0C714">
      <w:pPr>
        <w:pStyle w:val="3"/>
        <w:ind w:firstLine="480"/>
        <w:rPr>
          <w:color w:val="auto"/>
          <w:highlight w:val="none"/>
        </w:rPr>
      </w:pPr>
      <w:r>
        <w:rPr>
          <w:rFonts w:hint="eastAsia"/>
          <w:color w:val="auto"/>
          <w:highlight w:val="none"/>
        </w:rPr>
        <w:t>为防止雨水冲刷坝肩，初期坝下游面与岸坡联结处修筑坝肩截水沟。截水沟为矩形断面，坡面端净断面尺寸为：宽0.6m，深0.6m，采用C30钢筋混凝土结构，纵坡坡度不小于50.0%；马道平台端净断面尺寸为：宽1.0m，深1.0m，采用C30钢筋混凝土结构，纵坡坡度不小于1.0%。</w:t>
      </w:r>
    </w:p>
    <w:p w14:paraId="39723D95">
      <w:pPr>
        <w:pStyle w:val="3"/>
        <w:ind w:firstLine="480"/>
        <w:rPr>
          <w:color w:val="auto"/>
          <w:highlight w:val="none"/>
        </w:rPr>
      </w:pPr>
      <w:r>
        <w:rPr>
          <w:rFonts w:hint="eastAsia"/>
          <w:color w:val="auto"/>
          <w:highlight w:val="none"/>
        </w:rPr>
        <w:t>③人行道</w:t>
      </w:r>
    </w:p>
    <w:p w14:paraId="6EB14582">
      <w:pPr>
        <w:pStyle w:val="3"/>
        <w:ind w:firstLine="480"/>
        <w:rPr>
          <w:color w:val="auto"/>
          <w:highlight w:val="none"/>
        </w:rPr>
      </w:pPr>
      <w:r>
        <w:rPr>
          <w:rFonts w:hint="eastAsia"/>
          <w:color w:val="auto"/>
          <w:highlight w:val="none"/>
        </w:rPr>
        <w:t>为便于通行要求，沿初期坝外坡中心线附近设置坝坡踏步。人工坝坡踏步宽1.5m、每级台阶高0.15m，踏步采用C25素混凝土结构。坝面人行道路及踏步应随堆积坝堆筑及时向上延伸修筑。</w:t>
      </w:r>
    </w:p>
    <w:p w14:paraId="21C477E7">
      <w:pPr>
        <w:pStyle w:val="3"/>
        <w:ind w:firstLine="480"/>
        <w:rPr>
          <w:color w:val="auto"/>
          <w:highlight w:val="none"/>
        </w:rPr>
      </w:pPr>
      <w:r>
        <w:rPr>
          <w:rFonts w:hint="eastAsia"/>
          <w:color w:val="auto"/>
          <w:highlight w:val="none"/>
        </w:rPr>
        <w:t>（2）</w:t>
      </w:r>
      <w:r>
        <w:rPr>
          <w:color w:val="auto"/>
          <w:highlight w:val="none"/>
        </w:rPr>
        <w:t>堆积坝</w:t>
      </w:r>
    </w:p>
    <w:p w14:paraId="09388D26">
      <w:pPr>
        <w:pStyle w:val="3"/>
        <w:ind w:firstLine="480"/>
        <w:rPr>
          <w:color w:val="auto"/>
          <w:highlight w:val="none"/>
        </w:rPr>
      </w:pPr>
      <w:r>
        <w:rPr>
          <w:rFonts w:hint="eastAsia"/>
          <w:color w:val="auto"/>
          <w:highlight w:val="none"/>
        </w:rPr>
        <w:t>1）</w:t>
      </w:r>
      <w:r>
        <w:rPr>
          <w:color w:val="auto"/>
          <w:highlight w:val="none"/>
        </w:rPr>
        <w:t>堆积坝形式</w:t>
      </w:r>
    </w:p>
    <w:p w14:paraId="598B8F12">
      <w:pPr>
        <w:pStyle w:val="3"/>
        <w:ind w:firstLine="480"/>
        <w:rPr>
          <w:color w:val="auto"/>
          <w:highlight w:val="none"/>
        </w:rPr>
      </w:pPr>
      <w:r>
        <w:rPr>
          <w:color w:val="auto"/>
          <w:highlight w:val="none"/>
        </w:rPr>
        <w:t>堆积坝坝顶标高 2015.0m，采用库前式尾矿排矿筑坝法。排矿时自下而上分层碾压并设置台阶，台阶高度 10.0m，分层碾压顶面应保持 1%～2%的坡度，坡向上游排水井。</w:t>
      </w:r>
    </w:p>
    <w:p w14:paraId="59FC7C14">
      <w:pPr>
        <w:pStyle w:val="3"/>
        <w:ind w:firstLine="480"/>
        <w:rPr>
          <w:color w:val="auto"/>
          <w:highlight w:val="none"/>
        </w:rPr>
      </w:pPr>
      <w:r>
        <w:rPr>
          <w:color w:val="auto"/>
          <w:highlight w:val="none"/>
        </w:rPr>
        <w:t>堆积坝前 200m 分层碾压，并每隔 10.0m 高差预留一级马道，马道外坡坡比 1:3.5，宽 5.0m，最终形成堆积坝外坡平均坡比1:4.0。</w:t>
      </w:r>
    </w:p>
    <w:p w14:paraId="4631039A">
      <w:pPr>
        <w:pStyle w:val="3"/>
        <w:ind w:firstLine="480"/>
        <w:rPr>
          <w:color w:val="auto"/>
          <w:highlight w:val="none"/>
        </w:rPr>
      </w:pPr>
      <w:r>
        <w:rPr>
          <w:rFonts w:hint="eastAsia"/>
          <w:color w:val="auto"/>
          <w:highlight w:val="none"/>
        </w:rPr>
        <w:t>2）</w:t>
      </w:r>
      <w:r>
        <w:rPr>
          <w:color w:val="auto"/>
          <w:highlight w:val="none"/>
        </w:rPr>
        <w:t>坝体构造</w:t>
      </w:r>
    </w:p>
    <w:p w14:paraId="6163F9D8">
      <w:pPr>
        <w:pStyle w:val="3"/>
        <w:ind w:firstLine="480"/>
        <w:rPr>
          <w:color w:val="auto"/>
          <w:highlight w:val="none"/>
        </w:rPr>
      </w:pPr>
      <w:r>
        <w:rPr>
          <w:rFonts w:hint="eastAsia"/>
          <w:color w:val="auto"/>
          <w:highlight w:val="none"/>
        </w:rPr>
        <w:t>①</w:t>
      </w:r>
      <w:r>
        <w:rPr>
          <w:color w:val="auto"/>
          <w:highlight w:val="none"/>
        </w:rPr>
        <w:t>坝面排水沟与坝肩截水沟</w:t>
      </w:r>
    </w:p>
    <w:p w14:paraId="5374B792">
      <w:pPr>
        <w:pStyle w:val="3"/>
        <w:ind w:firstLine="480"/>
        <w:rPr>
          <w:color w:val="auto"/>
          <w:highlight w:val="none"/>
        </w:rPr>
      </w:pPr>
      <w:r>
        <w:rPr>
          <w:color w:val="auto"/>
          <w:highlight w:val="none"/>
        </w:rPr>
        <w:t>结合尾矿库排渗措施的布置，在堆积坝下游坡面设置纵横向网状排水沟用于防治坝面雨水冲刷，网格间距 50m；坝坡排水沟设计为矩形断面，设计尺寸：B×H= 0.5m×0.5m，采用C20素砼结构，底板和侧墙厚度均为 0.2m。两侧坝肩设置坝肩截水沟与初期坝坝肩截水沟相连。</w:t>
      </w:r>
    </w:p>
    <w:p w14:paraId="3FB34FA7">
      <w:pPr>
        <w:pStyle w:val="3"/>
        <w:ind w:firstLine="480"/>
        <w:rPr>
          <w:color w:val="auto"/>
          <w:highlight w:val="none"/>
        </w:rPr>
      </w:pPr>
      <w:r>
        <w:rPr>
          <w:color w:val="auto"/>
          <w:highlight w:val="none"/>
        </w:rPr>
        <w:t>截水沟为矩形断面，坡面端净断面尺寸为</w:t>
      </w:r>
      <w:r>
        <w:rPr>
          <w:rFonts w:hint="eastAsia"/>
          <w:color w:val="auto"/>
          <w:highlight w:val="none"/>
        </w:rPr>
        <w:t>：</w:t>
      </w:r>
      <w:r>
        <w:rPr>
          <w:color w:val="auto"/>
          <w:highlight w:val="none"/>
        </w:rPr>
        <w:t>宽 0.6m，深 0.6m，采用 C30 钢筋混凝土结构，纵坡坡度不小于50.0%；马道平台端净断面尺寸为</w:t>
      </w:r>
      <w:r>
        <w:rPr>
          <w:rFonts w:hint="eastAsia"/>
          <w:color w:val="auto"/>
          <w:highlight w:val="none"/>
        </w:rPr>
        <w:t>：</w:t>
      </w:r>
      <w:r>
        <w:rPr>
          <w:color w:val="auto"/>
          <w:highlight w:val="none"/>
        </w:rPr>
        <w:t>宽 1.0m，深 1.0m，采用C30钢筋混凝土结构，纵坡坡度不小于1.0%。</w:t>
      </w:r>
    </w:p>
    <w:p w14:paraId="5D039DEC">
      <w:pPr>
        <w:pStyle w:val="3"/>
        <w:ind w:firstLine="480"/>
        <w:rPr>
          <w:color w:val="auto"/>
          <w:highlight w:val="none"/>
        </w:rPr>
      </w:pPr>
      <w:r>
        <w:rPr>
          <w:rFonts w:hint="eastAsia"/>
          <w:color w:val="auto"/>
          <w:highlight w:val="none"/>
        </w:rPr>
        <w:t>②</w:t>
      </w:r>
      <w:r>
        <w:rPr>
          <w:color w:val="auto"/>
          <w:highlight w:val="none"/>
        </w:rPr>
        <w:t>堆积坝坡面维护</w:t>
      </w:r>
    </w:p>
    <w:p w14:paraId="6ECE41EB">
      <w:pPr>
        <w:pStyle w:val="3"/>
        <w:ind w:firstLine="480"/>
        <w:rPr>
          <w:color w:val="auto"/>
          <w:highlight w:val="none"/>
        </w:rPr>
      </w:pPr>
      <w:r>
        <w:rPr>
          <w:color w:val="auto"/>
          <w:highlight w:val="none"/>
        </w:rPr>
        <w:t>堆积坝坡面维护应采用山坡碎石土覆盖，厚度不小于500mm厚，以防止坡面雨水拉沟。</w:t>
      </w:r>
    </w:p>
    <w:p w14:paraId="79C3D6BE">
      <w:pPr>
        <w:pStyle w:val="43"/>
        <w:rPr>
          <w:color w:val="auto"/>
          <w:highlight w:val="none"/>
        </w:rPr>
      </w:pPr>
      <w:r>
        <w:rPr>
          <w:rFonts w:hint="eastAsia"/>
          <w:color w:val="auto"/>
          <w:highlight w:val="none"/>
        </w:rPr>
        <w:t>堆筑工艺、设备选型及运输道路</w:t>
      </w:r>
    </w:p>
    <w:p w14:paraId="69123952">
      <w:pPr>
        <w:pStyle w:val="3"/>
        <w:ind w:firstLine="480"/>
        <w:rPr>
          <w:color w:val="auto"/>
          <w:highlight w:val="none"/>
        </w:rPr>
      </w:pPr>
      <w:r>
        <w:rPr>
          <w:rFonts w:hint="eastAsia"/>
          <w:color w:val="auto"/>
          <w:highlight w:val="none"/>
        </w:rPr>
        <w:t>（1）</w:t>
      </w:r>
      <w:r>
        <w:rPr>
          <w:color w:val="auto"/>
          <w:highlight w:val="none"/>
        </w:rPr>
        <w:t>堆筑工艺</w:t>
      </w:r>
    </w:p>
    <w:p w14:paraId="7B2DFA31">
      <w:pPr>
        <w:pStyle w:val="3"/>
        <w:ind w:firstLine="480"/>
        <w:rPr>
          <w:color w:val="auto"/>
          <w:highlight w:val="none"/>
        </w:rPr>
      </w:pPr>
      <w:r>
        <w:rPr>
          <w:color w:val="auto"/>
          <w:highlight w:val="none"/>
        </w:rPr>
        <w:t>该尾矿库采用库前式尾矿排矿筑坝法，尾砂堆筑分区、分块、分层堆筑。</w:t>
      </w:r>
    </w:p>
    <w:p w14:paraId="2DE43039">
      <w:pPr>
        <w:pStyle w:val="3"/>
        <w:ind w:firstLine="480"/>
        <w:rPr>
          <w:color w:val="auto"/>
          <w:highlight w:val="none"/>
        </w:rPr>
      </w:pPr>
      <w:r>
        <w:rPr>
          <w:color w:val="auto"/>
          <w:highlight w:val="none"/>
        </w:rPr>
        <w:t>堆筑面纵向分区，分区宽度不大于300.0m。</w:t>
      </w:r>
    </w:p>
    <w:p w14:paraId="261ACF74">
      <w:pPr>
        <w:pStyle w:val="3"/>
        <w:ind w:firstLine="480"/>
        <w:rPr>
          <w:color w:val="auto"/>
          <w:highlight w:val="none"/>
        </w:rPr>
      </w:pPr>
      <w:r>
        <w:rPr>
          <w:color w:val="auto"/>
          <w:highlight w:val="none"/>
        </w:rPr>
        <w:t>横向分块，分块宽度大于50.0m，各块依次为碾压段、晾晒段、摊铺段。相邻两块之间采用台阶形式接搓，台阶高0.5m，宽0.5m，临近堆存边界线的最后一块宽度自行调整。</w:t>
      </w:r>
    </w:p>
    <w:p w14:paraId="6D955953">
      <w:pPr>
        <w:pStyle w:val="3"/>
        <w:ind w:firstLine="480"/>
        <w:rPr>
          <w:color w:val="auto"/>
          <w:highlight w:val="none"/>
        </w:rPr>
      </w:pPr>
      <w:r>
        <w:rPr>
          <w:rFonts w:hint="eastAsia"/>
          <w:color w:val="auto"/>
          <w:highlight w:val="none"/>
        </w:rPr>
        <w:t>垂直向分层，分层高度2.5m，相邻两层其上层收进5.0m，以确保堆筑设备的安全。</w:t>
      </w:r>
    </w:p>
    <w:p w14:paraId="1590AA3C">
      <w:pPr>
        <w:pStyle w:val="3"/>
        <w:ind w:firstLine="480"/>
        <w:rPr>
          <w:color w:val="auto"/>
          <w:highlight w:val="none"/>
        </w:rPr>
      </w:pPr>
      <w:r>
        <w:rPr>
          <w:rFonts w:hint="eastAsia"/>
          <w:color w:val="auto"/>
          <w:highlight w:val="none"/>
        </w:rPr>
        <w:t>为了增加库容，提高坝体稳定性，实行进库尾砂坝前200m碾压。每分块内摊铺、晾晒、碾压每0.2～0.3m高度一个循环，三段交替进行作业，直至完成整分区堆筑，然后向库前推进进入下一分区分块的摊铺、晾晒、碾压循环作业。</w:t>
      </w:r>
    </w:p>
    <w:p w14:paraId="69DF749E">
      <w:pPr>
        <w:pStyle w:val="3"/>
        <w:ind w:firstLine="480"/>
        <w:rPr>
          <w:color w:val="auto"/>
          <w:highlight w:val="none"/>
        </w:rPr>
      </w:pPr>
      <w:r>
        <w:rPr>
          <w:rFonts w:hint="eastAsia"/>
          <w:color w:val="auto"/>
          <w:highlight w:val="none"/>
        </w:rPr>
        <w:t>1）堆筑工艺</w:t>
      </w:r>
    </w:p>
    <w:p w14:paraId="3C89D3C6">
      <w:pPr>
        <w:pStyle w:val="3"/>
        <w:ind w:firstLine="480"/>
        <w:rPr>
          <w:color w:val="auto"/>
          <w:highlight w:val="none"/>
        </w:rPr>
      </w:pPr>
      <w:r>
        <w:rPr>
          <w:rFonts w:hint="eastAsia"/>
          <w:color w:val="auto"/>
          <w:highlight w:val="none"/>
        </w:rPr>
        <w:t>运输→堆存→机械初平→人工整平→晾晒→碾压→整修。</w:t>
      </w:r>
    </w:p>
    <w:p w14:paraId="0E8E2EDF">
      <w:pPr>
        <w:pStyle w:val="3"/>
        <w:ind w:firstLine="480"/>
        <w:rPr>
          <w:color w:val="auto"/>
          <w:highlight w:val="none"/>
        </w:rPr>
      </w:pPr>
      <w:r>
        <w:rPr>
          <w:rFonts w:hint="eastAsia"/>
          <w:color w:val="auto"/>
          <w:highlight w:val="none"/>
        </w:rPr>
        <w:t>①库外运输</w:t>
      </w:r>
    </w:p>
    <w:p w14:paraId="7FA8CF9D">
      <w:pPr>
        <w:pStyle w:val="3"/>
        <w:ind w:firstLine="480"/>
        <w:rPr>
          <w:color w:val="auto"/>
          <w:highlight w:val="none"/>
        </w:rPr>
      </w:pPr>
      <w:r>
        <w:rPr>
          <w:rFonts w:hint="eastAsia"/>
          <w:color w:val="auto"/>
          <w:highlight w:val="none"/>
        </w:rPr>
        <w:t>库外运输采用汽车运输，压滤后的尾矿由汽车直接运输至库内卸料平台，前期卸料平台位于右岸初期坝上游1920.0m标高，结合道路可控制1902.0m至1970.0m标高尾砂堆筑；后期结合道路，设置卸料平台。</w:t>
      </w:r>
    </w:p>
    <w:p w14:paraId="0A31B97E">
      <w:pPr>
        <w:pStyle w:val="3"/>
        <w:ind w:firstLine="480"/>
        <w:rPr>
          <w:color w:val="auto"/>
          <w:highlight w:val="none"/>
        </w:rPr>
      </w:pPr>
      <w:r>
        <w:rPr>
          <w:rFonts w:hint="eastAsia"/>
          <w:color w:val="auto"/>
          <w:highlight w:val="none"/>
        </w:rPr>
        <w:t>卸料平台宽度不小于50m，其平台边缘设有固定的挡车设施，挡车设施采用Φ100mm圆钢制作。其高度不小于轮胎直径的1/2，车挡顶宽和底宽分别不小于轮胎直径的1/4和3/4；设置移动车挡设施的，对不同类型移动车挡制定相应的安全作业要求，并按要求作业。</w:t>
      </w:r>
    </w:p>
    <w:p w14:paraId="30A5C934">
      <w:pPr>
        <w:pStyle w:val="3"/>
        <w:ind w:firstLine="480"/>
        <w:rPr>
          <w:color w:val="auto"/>
          <w:highlight w:val="none"/>
        </w:rPr>
      </w:pPr>
      <w:r>
        <w:rPr>
          <w:rFonts w:hint="eastAsia"/>
          <w:color w:val="auto"/>
          <w:highlight w:val="none"/>
        </w:rPr>
        <w:t>②库内运输</w:t>
      </w:r>
    </w:p>
    <w:p w14:paraId="63248CBB">
      <w:pPr>
        <w:pStyle w:val="3"/>
        <w:ind w:firstLine="480"/>
        <w:rPr>
          <w:color w:val="auto"/>
          <w:highlight w:val="none"/>
        </w:rPr>
      </w:pPr>
      <w:r>
        <w:rPr>
          <w:rFonts w:hint="eastAsia"/>
          <w:color w:val="auto"/>
          <w:highlight w:val="none"/>
        </w:rPr>
        <w:t>结合库内运输距离及运输机械设备的最佳运距，本次设计库内运输建议采用推土机推运。</w:t>
      </w:r>
    </w:p>
    <w:p w14:paraId="0C37CEA8">
      <w:pPr>
        <w:pStyle w:val="3"/>
        <w:ind w:firstLine="480"/>
        <w:rPr>
          <w:color w:val="auto"/>
          <w:highlight w:val="none"/>
        </w:rPr>
      </w:pPr>
      <w:r>
        <w:rPr>
          <w:rFonts w:hint="eastAsia"/>
          <w:color w:val="auto"/>
          <w:highlight w:val="none"/>
        </w:rPr>
        <w:t>③摊铺段</w:t>
      </w:r>
    </w:p>
    <w:p w14:paraId="53FFCC03">
      <w:pPr>
        <w:pStyle w:val="3"/>
        <w:ind w:firstLine="480"/>
        <w:rPr>
          <w:color w:val="auto"/>
          <w:highlight w:val="none"/>
        </w:rPr>
      </w:pPr>
      <w:r>
        <w:rPr>
          <w:rFonts w:hint="eastAsia"/>
          <w:color w:val="auto"/>
          <w:highlight w:val="none"/>
        </w:rPr>
        <w:t>随后由另一台推土机摊铺，并逐层向库前堆放，摊铺坡度为1.0%～2.0%，坡向上游，并由推土机摊平，每层的摊铺厚度0.2～0.3m。</w:t>
      </w:r>
    </w:p>
    <w:p w14:paraId="174265C9">
      <w:pPr>
        <w:pStyle w:val="3"/>
        <w:ind w:firstLine="480"/>
        <w:rPr>
          <w:color w:val="auto"/>
          <w:highlight w:val="none"/>
        </w:rPr>
      </w:pPr>
      <w:r>
        <w:rPr>
          <w:rFonts w:hint="eastAsia"/>
          <w:color w:val="auto"/>
          <w:highlight w:val="none"/>
        </w:rPr>
        <w:t>④晾晒段</w:t>
      </w:r>
    </w:p>
    <w:p w14:paraId="69478990">
      <w:pPr>
        <w:pStyle w:val="3"/>
        <w:ind w:firstLine="480"/>
        <w:rPr>
          <w:color w:val="auto"/>
          <w:highlight w:val="none"/>
        </w:rPr>
      </w:pPr>
      <w:r>
        <w:rPr>
          <w:rFonts w:hint="eastAsia"/>
          <w:color w:val="auto"/>
          <w:highlight w:val="none"/>
        </w:rPr>
        <w:t>当含水量略大于最佳含水量1%～2%时开始碾压，当工期特别紧时，掺加一定比例的生石灰，以便尽快降低尾砂中的含水量。</w:t>
      </w:r>
    </w:p>
    <w:p w14:paraId="78754654">
      <w:pPr>
        <w:pStyle w:val="3"/>
        <w:ind w:firstLine="480"/>
        <w:rPr>
          <w:color w:val="auto"/>
          <w:highlight w:val="none"/>
        </w:rPr>
      </w:pPr>
      <w:r>
        <w:rPr>
          <w:rFonts w:hint="eastAsia"/>
          <w:color w:val="auto"/>
          <w:highlight w:val="none"/>
        </w:rPr>
        <w:t>⑤碾压段</w:t>
      </w:r>
    </w:p>
    <w:p w14:paraId="46180FBB">
      <w:pPr>
        <w:pStyle w:val="3"/>
        <w:ind w:firstLine="480"/>
        <w:rPr>
          <w:color w:val="auto"/>
          <w:highlight w:val="none"/>
        </w:rPr>
      </w:pPr>
      <w:r>
        <w:rPr>
          <w:rFonts w:hint="eastAsia"/>
          <w:color w:val="auto"/>
          <w:highlight w:val="none"/>
        </w:rPr>
        <w:t>采用12t钢轮压路机，行走速度3～5km/h，碾压遍数4～6遍，压实度≥0.92（在施工前业主应先做压实试验，确定碾压遍数、最优含水量以及振动频率等，确保压实度≥0.92），雨季不得进行碾压作业。碾压面以1%～2%堆存坡度坡向库区排水构筑物。</w:t>
      </w:r>
    </w:p>
    <w:p w14:paraId="242065A8">
      <w:pPr>
        <w:pStyle w:val="3"/>
        <w:ind w:firstLine="480"/>
        <w:rPr>
          <w:color w:val="auto"/>
          <w:highlight w:val="none"/>
        </w:rPr>
      </w:pPr>
      <w:r>
        <w:rPr>
          <w:rFonts w:hint="eastAsia"/>
          <w:color w:val="auto"/>
          <w:highlight w:val="none"/>
        </w:rPr>
        <w:t>碾压段碾压时特殊情况处理：</w:t>
      </w:r>
    </w:p>
    <w:p w14:paraId="09E8A704">
      <w:pPr>
        <w:pStyle w:val="3"/>
        <w:ind w:firstLine="480"/>
        <w:rPr>
          <w:color w:val="auto"/>
          <w:highlight w:val="none"/>
        </w:rPr>
      </w:pPr>
      <w:r>
        <w:rPr>
          <w:rFonts w:hint="eastAsia"/>
          <w:color w:val="auto"/>
          <w:highlight w:val="none"/>
        </w:rPr>
        <w:t>a.含水量过大，碾压时粘轮严重，不易压实，在这种情况下，可采用间断式碾压方法：即先让表面晾干后进行初压，压至出水粘轮时，立即停止碾压，待表面晾干后再碾压，如此反复直至碾压密实为止。</w:t>
      </w:r>
    </w:p>
    <w:p w14:paraId="3D5BF4C8">
      <w:pPr>
        <w:pStyle w:val="3"/>
        <w:ind w:firstLine="480"/>
        <w:rPr>
          <w:color w:val="auto"/>
          <w:highlight w:val="none"/>
        </w:rPr>
      </w:pPr>
      <w:r>
        <w:rPr>
          <w:rFonts w:hint="eastAsia"/>
          <w:color w:val="auto"/>
          <w:highlight w:val="none"/>
        </w:rPr>
        <w:t>b.在碾压中若发现局部“弹软”时，应立即停止碾压，待翻松晒干或处理后再压，若出现松散推移应洒适量的水后再翻拌、整平、碾压。</w:t>
      </w:r>
    </w:p>
    <w:p w14:paraId="0BCA7C91">
      <w:pPr>
        <w:pStyle w:val="3"/>
        <w:ind w:firstLine="480"/>
        <w:rPr>
          <w:color w:val="auto"/>
          <w:highlight w:val="none"/>
        </w:rPr>
      </w:pPr>
      <w:r>
        <w:rPr>
          <w:rFonts w:hint="eastAsia"/>
          <w:color w:val="auto"/>
          <w:highlight w:val="none"/>
        </w:rPr>
        <w:t>c.过程中出现大面积</w:t>
      </w:r>
      <w:r>
        <w:rPr>
          <w:rFonts w:hint="eastAsia"/>
          <w:color w:val="auto"/>
          <w:highlight w:val="none"/>
          <w:lang w:eastAsia="zh-CN"/>
        </w:rPr>
        <w:t>“</w:t>
      </w:r>
      <w:r>
        <w:rPr>
          <w:rFonts w:hint="eastAsia"/>
          <w:color w:val="auto"/>
          <w:highlight w:val="none"/>
        </w:rPr>
        <w:t>出水点”现象。可分别采取及时停止碾压，增加每轮间隙碾压时间和及时将“出水点”中水引走的措施解决。</w:t>
      </w:r>
    </w:p>
    <w:p w14:paraId="72198D55">
      <w:pPr>
        <w:pStyle w:val="3"/>
        <w:ind w:firstLine="480"/>
        <w:rPr>
          <w:color w:val="auto"/>
          <w:highlight w:val="none"/>
        </w:rPr>
      </w:pPr>
      <w:r>
        <w:rPr>
          <w:rFonts w:hint="eastAsia"/>
          <w:color w:val="auto"/>
          <w:highlight w:val="none"/>
        </w:rPr>
        <w:t>d.当沉降量不均匀时，波浪起伏过大，立即停止碾压，刮平后继续施工。</w:t>
      </w:r>
    </w:p>
    <w:p w14:paraId="594FDABB">
      <w:pPr>
        <w:pStyle w:val="3"/>
        <w:ind w:firstLine="480"/>
        <w:rPr>
          <w:color w:val="auto"/>
          <w:highlight w:val="none"/>
        </w:rPr>
      </w:pPr>
      <w:r>
        <w:rPr>
          <w:rFonts w:hint="eastAsia"/>
          <w:color w:val="auto"/>
          <w:highlight w:val="none"/>
        </w:rPr>
        <w:t>2）尾矿堆存要求</w:t>
      </w:r>
    </w:p>
    <w:p w14:paraId="678724A7">
      <w:pPr>
        <w:pStyle w:val="3"/>
        <w:ind w:firstLine="480"/>
        <w:rPr>
          <w:color w:val="auto"/>
          <w:highlight w:val="none"/>
        </w:rPr>
      </w:pPr>
      <w:r>
        <w:rPr>
          <w:rFonts w:hint="eastAsia"/>
          <w:color w:val="auto"/>
          <w:highlight w:val="none"/>
        </w:rPr>
        <w:t>①将排矿区划分为若干作业场区，轮流卸料、摊平和碾压堆存，均匀上升，库区表面不容许积存雨水。</w:t>
      </w:r>
    </w:p>
    <w:p w14:paraId="46960A03">
      <w:pPr>
        <w:pStyle w:val="3"/>
        <w:ind w:firstLine="480"/>
        <w:rPr>
          <w:color w:val="auto"/>
          <w:highlight w:val="none"/>
        </w:rPr>
      </w:pPr>
      <w:r>
        <w:rPr>
          <w:rFonts w:hint="eastAsia"/>
          <w:color w:val="auto"/>
          <w:highlight w:val="none"/>
        </w:rPr>
        <w:t>②筑坝区一次布放的尾矿摊平后不宜大于0.2m（非筑坝区的厚度最大不大于0.3m）。当放料分区的尾矿布料厚度达到设计厚度时，应停止放料，进行晾晒；若摊平不均匀，较厚区域可采用湿地推土机或其他机械进行翻晒。</w:t>
      </w:r>
    </w:p>
    <w:p w14:paraId="050AEBC9">
      <w:pPr>
        <w:pStyle w:val="3"/>
        <w:ind w:firstLine="480"/>
        <w:rPr>
          <w:color w:val="auto"/>
          <w:highlight w:val="none"/>
        </w:rPr>
      </w:pPr>
      <w:r>
        <w:rPr>
          <w:rFonts w:hint="eastAsia"/>
          <w:color w:val="auto"/>
          <w:highlight w:val="none"/>
        </w:rPr>
        <w:t>③当晾晒后尾矿层平均含水率达到设计要求时（含水率暂定18%～20%，排放时现场试验确定最优含水率），应用推土机和压实机进行碾压，达到设计压实度后，可重新布放上一层尾矿。</w:t>
      </w:r>
    </w:p>
    <w:p w14:paraId="0F043791">
      <w:pPr>
        <w:pStyle w:val="3"/>
        <w:ind w:firstLine="480"/>
        <w:rPr>
          <w:color w:val="auto"/>
          <w:highlight w:val="none"/>
        </w:rPr>
      </w:pPr>
      <w:r>
        <w:rPr>
          <w:rFonts w:hint="eastAsia"/>
          <w:color w:val="auto"/>
          <w:highlight w:val="none"/>
        </w:rPr>
        <w:t>④始终保持坝前高库尾低，并形成1.0%～2.0%的滩面，边堆放边碾压，并修正坝坡。</w:t>
      </w:r>
    </w:p>
    <w:p w14:paraId="2FD47C56">
      <w:pPr>
        <w:pStyle w:val="3"/>
        <w:ind w:firstLine="480"/>
        <w:rPr>
          <w:color w:val="auto"/>
          <w:highlight w:val="none"/>
        </w:rPr>
      </w:pPr>
      <w:r>
        <w:rPr>
          <w:rFonts w:hint="eastAsia"/>
          <w:color w:val="auto"/>
          <w:highlight w:val="none"/>
        </w:rPr>
        <w:t>⑤干堆尾矿库运行中应分区压实。坝坡稳定安全区压实度不小于0.92；库区其余部分压实度不小于0.9。</w:t>
      </w:r>
    </w:p>
    <w:p w14:paraId="05B2ADBC">
      <w:pPr>
        <w:pStyle w:val="3"/>
        <w:ind w:firstLine="480"/>
        <w:rPr>
          <w:color w:val="auto"/>
          <w:highlight w:val="none"/>
        </w:rPr>
      </w:pPr>
      <w:r>
        <w:rPr>
          <w:rFonts w:hint="eastAsia"/>
          <w:color w:val="auto"/>
          <w:highlight w:val="none"/>
        </w:rPr>
        <w:t>3）应急排料</w:t>
      </w:r>
    </w:p>
    <w:p w14:paraId="32BFCB81">
      <w:pPr>
        <w:pStyle w:val="3"/>
        <w:ind w:firstLine="480"/>
        <w:rPr>
          <w:color w:val="auto"/>
          <w:highlight w:val="none"/>
        </w:rPr>
      </w:pPr>
      <w:r>
        <w:rPr>
          <w:rFonts w:hint="eastAsia"/>
          <w:color w:val="auto"/>
          <w:highlight w:val="none"/>
        </w:rPr>
        <w:t>雨天不满足运输、堆存要求时，可启用应急排料方案：首先停止堆筑面摊铺、碾压，库内卸料点作为应急堆料点，待天气好转且库区满足尾矿运输、堆存要求时再将应急堆料点暂存干尾矿运至堆存面堆存。</w:t>
      </w:r>
    </w:p>
    <w:p w14:paraId="02EEF546">
      <w:pPr>
        <w:pStyle w:val="3"/>
        <w:ind w:firstLine="480"/>
        <w:rPr>
          <w:color w:val="auto"/>
          <w:highlight w:val="none"/>
        </w:rPr>
      </w:pPr>
      <w:r>
        <w:rPr>
          <w:rFonts w:hint="eastAsia"/>
          <w:color w:val="auto"/>
          <w:highlight w:val="none"/>
        </w:rPr>
        <w:t>（2）设备选型</w:t>
      </w:r>
    </w:p>
    <w:p w14:paraId="24443701">
      <w:pPr>
        <w:pStyle w:val="3"/>
        <w:ind w:firstLine="480"/>
        <w:rPr>
          <w:color w:val="auto"/>
          <w:highlight w:val="none"/>
        </w:rPr>
      </w:pPr>
      <w:r>
        <w:rPr>
          <w:color w:val="auto"/>
          <w:highlight w:val="none"/>
        </w:rPr>
        <w:t>本次设计尾砂</w:t>
      </w:r>
      <w:r>
        <w:rPr>
          <w:rFonts w:hint="eastAsia"/>
          <w:color w:val="auto"/>
          <w:highlight w:val="none"/>
          <w:lang w:eastAsia="zh-CN"/>
        </w:rPr>
        <w:t>前期</w:t>
      </w:r>
      <w:r>
        <w:rPr>
          <w:color w:val="auto"/>
          <w:highlight w:val="none"/>
        </w:rPr>
        <w:t>采用自卸汽车运输至尾矿库卸料平台</w:t>
      </w:r>
      <w:r>
        <w:rPr>
          <w:rFonts w:hint="eastAsia"/>
          <w:color w:val="auto"/>
          <w:highlight w:val="none"/>
          <w:lang w:eastAsia="zh-CN"/>
        </w:rPr>
        <w:t>，后期采用皮带运输</w:t>
      </w:r>
      <w:r>
        <w:rPr>
          <w:color w:val="auto"/>
          <w:highlight w:val="none"/>
        </w:rPr>
        <w:t>，卸料后采用推土机进行平场，压路机碾压。</w:t>
      </w:r>
    </w:p>
    <w:p w14:paraId="67FEDA29">
      <w:pPr>
        <w:pStyle w:val="3"/>
        <w:ind w:firstLine="480"/>
        <w:rPr>
          <w:color w:val="auto"/>
          <w:highlight w:val="none"/>
        </w:rPr>
      </w:pPr>
      <w:r>
        <w:rPr>
          <w:color w:val="auto"/>
          <w:highlight w:val="none"/>
        </w:rPr>
        <w:t>尾矿运输设备选用型号为三一宽体SKT90Ei，载重60t，配备三一宽体SKT90Ei共30台承担尾矿运输任务，其中工作26台，备用4台。运输设备计算详见表</w:t>
      </w:r>
      <w:r>
        <w:rPr>
          <w:rFonts w:hint="eastAsia"/>
          <w:color w:val="auto"/>
          <w:highlight w:val="none"/>
        </w:rPr>
        <w:t>3.3-10</w:t>
      </w:r>
      <w:r>
        <w:rPr>
          <w:color w:val="auto"/>
          <w:highlight w:val="none"/>
        </w:rPr>
        <w:t>。</w:t>
      </w:r>
    </w:p>
    <w:p w14:paraId="37043B99">
      <w:pPr>
        <w:pStyle w:val="40"/>
        <w:spacing w:before="24" w:after="24"/>
        <w:rPr>
          <w:color w:val="auto"/>
          <w:highlight w:val="none"/>
        </w:rPr>
      </w:pPr>
      <w:r>
        <w:rPr>
          <w:color w:val="auto"/>
          <w:highlight w:val="none"/>
        </w:rPr>
        <w:t>表</w:t>
      </w:r>
      <w:r>
        <w:rPr>
          <w:rFonts w:hint="eastAsia"/>
          <w:color w:val="auto"/>
          <w:highlight w:val="none"/>
        </w:rPr>
        <w:t>3.3</w:t>
      </w:r>
      <w:r>
        <w:rPr>
          <w:color w:val="auto"/>
          <w:highlight w:val="none"/>
        </w:rPr>
        <w:t>-</w:t>
      </w:r>
      <w:r>
        <w:rPr>
          <w:rFonts w:hint="eastAsia"/>
          <w:color w:val="auto"/>
          <w:highlight w:val="none"/>
        </w:rPr>
        <w:t>10</w:t>
      </w:r>
      <w:r>
        <w:rPr>
          <w:color w:val="auto"/>
          <w:highlight w:val="none"/>
        </w:rPr>
        <w:t xml:space="preserve"> </w:t>
      </w:r>
      <w:r>
        <w:rPr>
          <w:rFonts w:hint="eastAsia"/>
          <w:color w:val="auto"/>
          <w:highlight w:val="none"/>
        </w:rPr>
        <w:t xml:space="preserve">  </w:t>
      </w:r>
      <w:r>
        <w:rPr>
          <w:color w:val="auto"/>
          <w:highlight w:val="none"/>
        </w:rPr>
        <w:t xml:space="preserve"> 运输设备计算表</w:t>
      </w:r>
    </w:p>
    <w:tbl>
      <w:tblPr>
        <w:tblStyle w:val="45"/>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097"/>
        <w:gridCol w:w="2224"/>
        <w:gridCol w:w="949"/>
        <w:gridCol w:w="1555"/>
        <w:gridCol w:w="2496"/>
      </w:tblGrid>
      <w:tr w14:paraId="4B41610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659" w:type="pct"/>
            <w:tcBorders>
              <w:tl2br w:val="nil"/>
              <w:tr2bl w:val="nil"/>
            </w:tcBorders>
          </w:tcPr>
          <w:p w14:paraId="386F3B38">
            <w:pPr>
              <w:pStyle w:val="41"/>
              <w:rPr>
                <w:color w:val="auto"/>
                <w:highlight w:val="none"/>
              </w:rPr>
            </w:pPr>
            <w:r>
              <w:rPr>
                <w:color w:val="auto"/>
                <w:highlight w:val="none"/>
              </w:rPr>
              <w:t>序号</w:t>
            </w:r>
          </w:p>
        </w:tc>
        <w:tc>
          <w:tcPr>
            <w:tcW w:w="1336" w:type="pct"/>
            <w:tcBorders>
              <w:tl2br w:val="nil"/>
              <w:tr2bl w:val="nil"/>
            </w:tcBorders>
          </w:tcPr>
          <w:p w14:paraId="1E3F96A2">
            <w:pPr>
              <w:pStyle w:val="41"/>
              <w:rPr>
                <w:color w:val="auto"/>
                <w:highlight w:val="none"/>
              </w:rPr>
            </w:pPr>
            <w:r>
              <w:rPr>
                <w:color w:val="auto"/>
                <w:highlight w:val="none"/>
              </w:rPr>
              <w:t>项目名称</w:t>
            </w:r>
          </w:p>
        </w:tc>
        <w:tc>
          <w:tcPr>
            <w:tcW w:w="570" w:type="pct"/>
            <w:tcBorders>
              <w:tl2br w:val="nil"/>
              <w:tr2bl w:val="nil"/>
            </w:tcBorders>
          </w:tcPr>
          <w:p w14:paraId="08827CAD">
            <w:pPr>
              <w:pStyle w:val="41"/>
              <w:rPr>
                <w:color w:val="auto"/>
                <w:highlight w:val="none"/>
              </w:rPr>
            </w:pPr>
            <w:r>
              <w:rPr>
                <w:color w:val="auto"/>
                <w:highlight w:val="none"/>
              </w:rPr>
              <w:t>单位</w:t>
            </w:r>
          </w:p>
        </w:tc>
        <w:tc>
          <w:tcPr>
            <w:tcW w:w="934" w:type="pct"/>
            <w:tcBorders>
              <w:tl2br w:val="nil"/>
              <w:tr2bl w:val="nil"/>
            </w:tcBorders>
          </w:tcPr>
          <w:p w14:paraId="10F5B8B1">
            <w:pPr>
              <w:pStyle w:val="41"/>
              <w:rPr>
                <w:color w:val="auto"/>
                <w:highlight w:val="none"/>
              </w:rPr>
            </w:pPr>
            <w:r>
              <w:rPr>
                <w:color w:val="auto"/>
                <w:highlight w:val="none"/>
              </w:rPr>
              <w:t>数量</w:t>
            </w:r>
          </w:p>
        </w:tc>
        <w:tc>
          <w:tcPr>
            <w:tcW w:w="1499" w:type="pct"/>
            <w:tcBorders>
              <w:tl2br w:val="nil"/>
              <w:tr2bl w:val="nil"/>
            </w:tcBorders>
          </w:tcPr>
          <w:p w14:paraId="3DBB087C">
            <w:pPr>
              <w:pStyle w:val="41"/>
              <w:rPr>
                <w:color w:val="auto"/>
                <w:highlight w:val="none"/>
              </w:rPr>
            </w:pPr>
            <w:r>
              <w:rPr>
                <w:color w:val="auto"/>
                <w:highlight w:val="none"/>
              </w:rPr>
              <w:t>备注</w:t>
            </w:r>
          </w:p>
        </w:tc>
      </w:tr>
      <w:tr w14:paraId="0BAD49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659" w:type="pct"/>
            <w:tcBorders>
              <w:tl2br w:val="nil"/>
              <w:tr2bl w:val="nil"/>
            </w:tcBorders>
          </w:tcPr>
          <w:p w14:paraId="263322AE">
            <w:pPr>
              <w:pStyle w:val="41"/>
              <w:rPr>
                <w:color w:val="auto"/>
                <w:highlight w:val="none"/>
              </w:rPr>
            </w:pPr>
            <w:r>
              <w:rPr>
                <w:color w:val="auto"/>
                <w:highlight w:val="none"/>
              </w:rPr>
              <w:t>1</w:t>
            </w:r>
          </w:p>
        </w:tc>
        <w:tc>
          <w:tcPr>
            <w:tcW w:w="1336" w:type="pct"/>
            <w:tcBorders>
              <w:tl2br w:val="nil"/>
              <w:tr2bl w:val="nil"/>
            </w:tcBorders>
          </w:tcPr>
          <w:p w14:paraId="12C63359">
            <w:pPr>
              <w:pStyle w:val="41"/>
              <w:rPr>
                <w:color w:val="auto"/>
                <w:highlight w:val="none"/>
              </w:rPr>
            </w:pPr>
            <w:r>
              <w:rPr>
                <w:color w:val="auto"/>
                <w:highlight w:val="none"/>
              </w:rPr>
              <w:t>年运输量</w:t>
            </w:r>
          </w:p>
        </w:tc>
        <w:tc>
          <w:tcPr>
            <w:tcW w:w="570" w:type="pct"/>
            <w:tcBorders>
              <w:tl2br w:val="nil"/>
              <w:tr2bl w:val="nil"/>
            </w:tcBorders>
          </w:tcPr>
          <w:p w14:paraId="58AC9168">
            <w:pPr>
              <w:pStyle w:val="41"/>
              <w:rPr>
                <w:color w:val="auto"/>
                <w:highlight w:val="none"/>
              </w:rPr>
            </w:pPr>
            <w:r>
              <w:rPr>
                <w:color w:val="auto"/>
                <w:highlight w:val="none"/>
              </w:rPr>
              <w:t>t</w:t>
            </w:r>
          </w:p>
        </w:tc>
        <w:tc>
          <w:tcPr>
            <w:tcW w:w="934" w:type="pct"/>
            <w:tcBorders>
              <w:tl2br w:val="nil"/>
              <w:tr2bl w:val="nil"/>
            </w:tcBorders>
          </w:tcPr>
          <w:p w14:paraId="6F5325D5">
            <w:pPr>
              <w:pStyle w:val="41"/>
              <w:rPr>
                <w:rFonts w:hint="eastAsia" w:eastAsia="华文中宋"/>
                <w:color w:val="auto"/>
                <w:highlight w:val="none"/>
                <w:lang w:eastAsia="zh-CN"/>
              </w:rPr>
            </w:pPr>
            <w:r>
              <w:rPr>
                <w:color w:val="auto"/>
                <w:highlight w:val="none"/>
              </w:rPr>
              <w:t>3</w:t>
            </w:r>
            <w:r>
              <w:rPr>
                <w:rFonts w:hint="eastAsia"/>
                <w:color w:val="auto"/>
                <w:highlight w:val="none"/>
                <w:lang w:val="en-US" w:eastAsia="zh-CN"/>
              </w:rPr>
              <w:t>0</w:t>
            </w:r>
            <w:r>
              <w:rPr>
                <w:color w:val="auto"/>
                <w:highlight w:val="none"/>
              </w:rPr>
              <w:t>2</w:t>
            </w:r>
            <w:r>
              <w:rPr>
                <w:rFonts w:hint="eastAsia"/>
                <w:color w:val="auto"/>
                <w:highlight w:val="none"/>
                <w:lang w:val="en-US" w:eastAsia="zh-CN"/>
              </w:rPr>
              <w:t>0</w:t>
            </w:r>
            <w:r>
              <w:rPr>
                <w:color w:val="auto"/>
                <w:highlight w:val="none"/>
              </w:rPr>
              <w:t>00</w:t>
            </w:r>
            <w:r>
              <w:rPr>
                <w:rFonts w:hint="eastAsia"/>
                <w:color w:val="auto"/>
                <w:highlight w:val="none"/>
                <w:lang w:val="en-US" w:eastAsia="zh-CN"/>
              </w:rPr>
              <w:t>0</w:t>
            </w:r>
          </w:p>
        </w:tc>
        <w:tc>
          <w:tcPr>
            <w:tcW w:w="1499" w:type="pct"/>
            <w:tcBorders>
              <w:tl2br w:val="nil"/>
              <w:tr2bl w:val="nil"/>
            </w:tcBorders>
          </w:tcPr>
          <w:p w14:paraId="63DF6186">
            <w:pPr>
              <w:pStyle w:val="41"/>
              <w:rPr>
                <w:color w:val="auto"/>
                <w:highlight w:val="none"/>
              </w:rPr>
            </w:pPr>
            <w:r>
              <w:rPr>
                <w:color w:val="auto"/>
                <w:highlight w:val="none"/>
              </w:rPr>
              <w:t>运输不均衡系数1.10</w:t>
            </w:r>
          </w:p>
        </w:tc>
      </w:tr>
      <w:tr w14:paraId="757415B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659" w:type="pct"/>
            <w:tcBorders>
              <w:tl2br w:val="nil"/>
              <w:tr2bl w:val="nil"/>
            </w:tcBorders>
          </w:tcPr>
          <w:p w14:paraId="11E36B85">
            <w:pPr>
              <w:pStyle w:val="41"/>
              <w:rPr>
                <w:color w:val="auto"/>
                <w:highlight w:val="none"/>
              </w:rPr>
            </w:pPr>
            <w:r>
              <w:rPr>
                <w:color w:val="auto"/>
                <w:highlight w:val="none"/>
              </w:rPr>
              <w:t>2</w:t>
            </w:r>
          </w:p>
        </w:tc>
        <w:tc>
          <w:tcPr>
            <w:tcW w:w="1336" w:type="pct"/>
            <w:tcBorders>
              <w:tl2br w:val="nil"/>
              <w:tr2bl w:val="nil"/>
            </w:tcBorders>
          </w:tcPr>
          <w:p w14:paraId="5CA089C8">
            <w:pPr>
              <w:pStyle w:val="41"/>
              <w:rPr>
                <w:color w:val="auto"/>
                <w:highlight w:val="none"/>
              </w:rPr>
            </w:pPr>
            <w:r>
              <w:rPr>
                <w:color w:val="auto"/>
                <w:highlight w:val="none"/>
              </w:rPr>
              <w:t>年工作日</w:t>
            </w:r>
          </w:p>
        </w:tc>
        <w:tc>
          <w:tcPr>
            <w:tcW w:w="570" w:type="pct"/>
            <w:tcBorders>
              <w:tl2br w:val="nil"/>
              <w:tr2bl w:val="nil"/>
            </w:tcBorders>
          </w:tcPr>
          <w:p w14:paraId="15D2ADE7">
            <w:pPr>
              <w:pStyle w:val="41"/>
              <w:rPr>
                <w:color w:val="auto"/>
                <w:highlight w:val="none"/>
              </w:rPr>
            </w:pPr>
            <w:r>
              <w:rPr>
                <w:color w:val="auto"/>
                <w:highlight w:val="none"/>
              </w:rPr>
              <w:t>日</w:t>
            </w:r>
          </w:p>
        </w:tc>
        <w:tc>
          <w:tcPr>
            <w:tcW w:w="934" w:type="pct"/>
            <w:tcBorders>
              <w:tl2br w:val="nil"/>
              <w:tr2bl w:val="nil"/>
            </w:tcBorders>
          </w:tcPr>
          <w:p w14:paraId="4E662E24">
            <w:pPr>
              <w:pStyle w:val="41"/>
              <w:rPr>
                <w:color w:val="auto"/>
                <w:highlight w:val="none"/>
              </w:rPr>
            </w:pPr>
            <w:r>
              <w:rPr>
                <w:color w:val="auto"/>
                <w:highlight w:val="none"/>
              </w:rPr>
              <w:t>300</w:t>
            </w:r>
          </w:p>
        </w:tc>
        <w:tc>
          <w:tcPr>
            <w:tcW w:w="1499" w:type="pct"/>
            <w:tcBorders>
              <w:tl2br w:val="nil"/>
              <w:tr2bl w:val="nil"/>
            </w:tcBorders>
          </w:tcPr>
          <w:p w14:paraId="4104EFE6">
            <w:pPr>
              <w:pStyle w:val="41"/>
              <w:rPr>
                <w:color w:val="auto"/>
                <w:highlight w:val="none"/>
              </w:rPr>
            </w:pPr>
          </w:p>
        </w:tc>
      </w:tr>
      <w:tr w14:paraId="0DEFE9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659" w:type="pct"/>
            <w:tcBorders>
              <w:tl2br w:val="nil"/>
              <w:tr2bl w:val="nil"/>
            </w:tcBorders>
          </w:tcPr>
          <w:p w14:paraId="0171A1B7">
            <w:pPr>
              <w:pStyle w:val="41"/>
              <w:rPr>
                <w:color w:val="auto"/>
                <w:highlight w:val="none"/>
              </w:rPr>
            </w:pPr>
            <w:r>
              <w:rPr>
                <w:color w:val="auto"/>
                <w:highlight w:val="none"/>
              </w:rPr>
              <w:t>3</w:t>
            </w:r>
          </w:p>
        </w:tc>
        <w:tc>
          <w:tcPr>
            <w:tcW w:w="1336" w:type="pct"/>
            <w:tcBorders>
              <w:tl2br w:val="nil"/>
              <w:tr2bl w:val="nil"/>
            </w:tcBorders>
          </w:tcPr>
          <w:p w14:paraId="7F559EC0">
            <w:pPr>
              <w:pStyle w:val="41"/>
              <w:rPr>
                <w:color w:val="auto"/>
                <w:highlight w:val="none"/>
              </w:rPr>
            </w:pPr>
            <w:r>
              <w:rPr>
                <w:color w:val="auto"/>
                <w:highlight w:val="none"/>
              </w:rPr>
              <w:t>每日工作班数</w:t>
            </w:r>
          </w:p>
        </w:tc>
        <w:tc>
          <w:tcPr>
            <w:tcW w:w="570" w:type="pct"/>
            <w:tcBorders>
              <w:tl2br w:val="nil"/>
              <w:tr2bl w:val="nil"/>
            </w:tcBorders>
          </w:tcPr>
          <w:p w14:paraId="12B83194">
            <w:pPr>
              <w:pStyle w:val="41"/>
              <w:rPr>
                <w:color w:val="auto"/>
                <w:highlight w:val="none"/>
              </w:rPr>
            </w:pPr>
            <w:r>
              <w:rPr>
                <w:color w:val="auto"/>
                <w:highlight w:val="none"/>
              </w:rPr>
              <w:t>班</w:t>
            </w:r>
          </w:p>
        </w:tc>
        <w:tc>
          <w:tcPr>
            <w:tcW w:w="934" w:type="pct"/>
            <w:tcBorders>
              <w:tl2br w:val="nil"/>
              <w:tr2bl w:val="nil"/>
            </w:tcBorders>
          </w:tcPr>
          <w:p w14:paraId="3F52A327">
            <w:pPr>
              <w:pStyle w:val="41"/>
              <w:rPr>
                <w:color w:val="auto"/>
                <w:highlight w:val="none"/>
              </w:rPr>
            </w:pPr>
            <w:r>
              <w:rPr>
                <w:color w:val="auto"/>
                <w:highlight w:val="none"/>
              </w:rPr>
              <w:t>2</w:t>
            </w:r>
          </w:p>
        </w:tc>
        <w:tc>
          <w:tcPr>
            <w:tcW w:w="1499" w:type="pct"/>
            <w:tcBorders>
              <w:tl2br w:val="nil"/>
              <w:tr2bl w:val="nil"/>
            </w:tcBorders>
          </w:tcPr>
          <w:p w14:paraId="6049E555">
            <w:pPr>
              <w:pStyle w:val="41"/>
              <w:rPr>
                <w:color w:val="auto"/>
                <w:highlight w:val="none"/>
              </w:rPr>
            </w:pPr>
          </w:p>
        </w:tc>
      </w:tr>
      <w:tr w14:paraId="6074A3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659" w:type="pct"/>
            <w:tcBorders>
              <w:tl2br w:val="nil"/>
              <w:tr2bl w:val="nil"/>
            </w:tcBorders>
          </w:tcPr>
          <w:p w14:paraId="47E6B4CD">
            <w:pPr>
              <w:pStyle w:val="41"/>
              <w:rPr>
                <w:color w:val="auto"/>
                <w:highlight w:val="none"/>
              </w:rPr>
            </w:pPr>
            <w:r>
              <w:rPr>
                <w:color w:val="auto"/>
                <w:highlight w:val="none"/>
              </w:rPr>
              <w:t>4</w:t>
            </w:r>
          </w:p>
        </w:tc>
        <w:tc>
          <w:tcPr>
            <w:tcW w:w="1336" w:type="pct"/>
            <w:tcBorders>
              <w:tl2br w:val="nil"/>
              <w:tr2bl w:val="nil"/>
            </w:tcBorders>
          </w:tcPr>
          <w:p w14:paraId="78B2FEB3">
            <w:pPr>
              <w:pStyle w:val="41"/>
              <w:rPr>
                <w:color w:val="auto"/>
                <w:highlight w:val="none"/>
              </w:rPr>
            </w:pPr>
            <w:r>
              <w:rPr>
                <w:color w:val="auto"/>
                <w:highlight w:val="none"/>
              </w:rPr>
              <w:t>平均运距</w:t>
            </w:r>
          </w:p>
        </w:tc>
        <w:tc>
          <w:tcPr>
            <w:tcW w:w="570" w:type="pct"/>
            <w:tcBorders>
              <w:tl2br w:val="nil"/>
              <w:tr2bl w:val="nil"/>
            </w:tcBorders>
          </w:tcPr>
          <w:p w14:paraId="05E21E41">
            <w:pPr>
              <w:pStyle w:val="41"/>
              <w:rPr>
                <w:color w:val="auto"/>
                <w:highlight w:val="none"/>
              </w:rPr>
            </w:pPr>
            <w:r>
              <w:rPr>
                <w:color w:val="auto"/>
                <w:highlight w:val="none"/>
              </w:rPr>
              <w:t>km</w:t>
            </w:r>
          </w:p>
        </w:tc>
        <w:tc>
          <w:tcPr>
            <w:tcW w:w="934" w:type="pct"/>
            <w:tcBorders>
              <w:tl2br w:val="nil"/>
              <w:tr2bl w:val="nil"/>
            </w:tcBorders>
          </w:tcPr>
          <w:p w14:paraId="4EAF5597">
            <w:pPr>
              <w:pStyle w:val="41"/>
              <w:rPr>
                <w:color w:val="auto"/>
                <w:highlight w:val="none"/>
              </w:rPr>
            </w:pPr>
            <w:r>
              <w:rPr>
                <w:color w:val="auto"/>
                <w:highlight w:val="none"/>
              </w:rPr>
              <w:t>9.8</w:t>
            </w:r>
          </w:p>
        </w:tc>
        <w:tc>
          <w:tcPr>
            <w:tcW w:w="1499" w:type="pct"/>
            <w:tcBorders>
              <w:tl2br w:val="nil"/>
              <w:tr2bl w:val="nil"/>
            </w:tcBorders>
          </w:tcPr>
          <w:p w14:paraId="3773619D">
            <w:pPr>
              <w:pStyle w:val="41"/>
              <w:rPr>
                <w:color w:val="auto"/>
                <w:highlight w:val="none"/>
              </w:rPr>
            </w:pPr>
          </w:p>
        </w:tc>
      </w:tr>
      <w:tr w14:paraId="761BB8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659" w:type="pct"/>
            <w:tcBorders>
              <w:tl2br w:val="nil"/>
              <w:tr2bl w:val="nil"/>
            </w:tcBorders>
          </w:tcPr>
          <w:p w14:paraId="75A2A2FE">
            <w:pPr>
              <w:pStyle w:val="41"/>
              <w:rPr>
                <w:color w:val="auto"/>
                <w:highlight w:val="none"/>
              </w:rPr>
            </w:pPr>
            <w:r>
              <w:rPr>
                <w:color w:val="auto"/>
                <w:highlight w:val="none"/>
              </w:rPr>
              <w:t>5</w:t>
            </w:r>
          </w:p>
        </w:tc>
        <w:tc>
          <w:tcPr>
            <w:tcW w:w="1336" w:type="pct"/>
            <w:tcBorders>
              <w:tl2br w:val="nil"/>
              <w:tr2bl w:val="nil"/>
            </w:tcBorders>
          </w:tcPr>
          <w:p w14:paraId="7B53D618">
            <w:pPr>
              <w:pStyle w:val="41"/>
              <w:rPr>
                <w:color w:val="auto"/>
                <w:highlight w:val="none"/>
              </w:rPr>
            </w:pPr>
            <w:r>
              <w:rPr>
                <w:color w:val="auto"/>
                <w:highlight w:val="none"/>
              </w:rPr>
              <w:t>平均运行速度</w:t>
            </w:r>
          </w:p>
        </w:tc>
        <w:tc>
          <w:tcPr>
            <w:tcW w:w="570" w:type="pct"/>
            <w:tcBorders>
              <w:tl2br w:val="nil"/>
              <w:tr2bl w:val="nil"/>
            </w:tcBorders>
          </w:tcPr>
          <w:p w14:paraId="5A493F3E">
            <w:pPr>
              <w:pStyle w:val="41"/>
              <w:rPr>
                <w:color w:val="auto"/>
                <w:highlight w:val="none"/>
              </w:rPr>
            </w:pPr>
            <w:r>
              <w:rPr>
                <w:color w:val="auto"/>
                <w:highlight w:val="none"/>
              </w:rPr>
              <w:t>km/h</w:t>
            </w:r>
          </w:p>
        </w:tc>
        <w:tc>
          <w:tcPr>
            <w:tcW w:w="934" w:type="pct"/>
            <w:tcBorders>
              <w:tl2br w:val="nil"/>
              <w:tr2bl w:val="nil"/>
            </w:tcBorders>
          </w:tcPr>
          <w:p w14:paraId="470C1659">
            <w:pPr>
              <w:pStyle w:val="41"/>
              <w:rPr>
                <w:color w:val="auto"/>
                <w:highlight w:val="none"/>
              </w:rPr>
            </w:pPr>
            <w:r>
              <w:rPr>
                <w:color w:val="auto"/>
                <w:highlight w:val="none"/>
              </w:rPr>
              <w:t>20</w:t>
            </w:r>
          </w:p>
        </w:tc>
        <w:tc>
          <w:tcPr>
            <w:tcW w:w="1499" w:type="pct"/>
            <w:tcBorders>
              <w:tl2br w:val="nil"/>
              <w:tr2bl w:val="nil"/>
            </w:tcBorders>
          </w:tcPr>
          <w:p w14:paraId="35C23298">
            <w:pPr>
              <w:pStyle w:val="41"/>
              <w:rPr>
                <w:color w:val="auto"/>
                <w:highlight w:val="none"/>
              </w:rPr>
            </w:pPr>
          </w:p>
        </w:tc>
      </w:tr>
      <w:tr w14:paraId="7A4739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659" w:type="pct"/>
            <w:tcBorders>
              <w:tl2br w:val="nil"/>
              <w:tr2bl w:val="nil"/>
            </w:tcBorders>
          </w:tcPr>
          <w:p w14:paraId="206FB0F9">
            <w:pPr>
              <w:pStyle w:val="41"/>
              <w:rPr>
                <w:color w:val="auto"/>
                <w:highlight w:val="none"/>
              </w:rPr>
            </w:pPr>
            <w:r>
              <w:rPr>
                <w:color w:val="auto"/>
                <w:highlight w:val="none"/>
              </w:rPr>
              <w:t>6</w:t>
            </w:r>
          </w:p>
        </w:tc>
        <w:tc>
          <w:tcPr>
            <w:tcW w:w="1336" w:type="pct"/>
            <w:tcBorders>
              <w:tl2br w:val="nil"/>
              <w:tr2bl w:val="nil"/>
            </w:tcBorders>
          </w:tcPr>
          <w:p w14:paraId="77E4FE6B">
            <w:pPr>
              <w:pStyle w:val="41"/>
              <w:rPr>
                <w:color w:val="auto"/>
                <w:highlight w:val="none"/>
              </w:rPr>
            </w:pPr>
            <w:r>
              <w:rPr>
                <w:color w:val="auto"/>
                <w:highlight w:val="none"/>
              </w:rPr>
              <w:t>装车时间</w:t>
            </w:r>
          </w:p>
        </w:tc>
        <w:tc>
          <w:tcPr>
            <w:tcW w:w="570" w:type="pct"/>
            <w:tcBorders>
              <w:tl2br w:val="nil"/>
              <w:tr2bl w:val="nil"/>
            </w:tcBorders>
          </w:tcPr>
          <w:p w14:paraId="27015764">
            <w:pPr>
              <w:pStyle w:val="41"/>
              <w:rPr>
                <w:color w:val="auto"/>
                <w:highlight w:val="none"/>
              </w:rPr>
            </w:pPr>
            <w:r>
              <w:rPr>
                <w:color w:val="auto"/>
                <w:highlight w:val="none"/>
              </w:rPr>
              <w:t>min/车</w:t>
            </w:r>
          </w:p>
        </w:tc>
        <w:tc>
          <w:tcPr>
            <w:tcW w:w="934" w:type="pct"/>
            <w:tcBorders>
              <w:tl2br w:val="nil"/>
              <w:tr2bl w:val="nil"/>
            </w:tcBorders>
          </w:tcPr>
          <w:p w14:paraId="79826F5E">
            <w:pPr>
              <w:pStyle w:val="41"/>
              <w:rPr>
                <w:color w:val="auto"/>
                <w:highlight w:val="none"/>
              </w:rPr>
            </w:pPr>
            <w:r>
              <w:rPr>
                <w:color w:val="auto"/>
                <w:highlight w:val="none"/>
              </w:rPr>
              <w:t>4</w:t>
            </w:r>
          </w:p>
        </w:tc>
        <w:tc>
          <w:tcPr>
            <w:tcW w:w="1499" w:type="pct"/>
            <w:tcBorders>
              <w:tl2br w:val="nil"/>
              <w:tr2bl w:val="nil"/>
            </w:tcBorders>
          </w:tcPr>
          <w:p w14:paraId="1BF75366">
            <w:pPr>
              <w:pStyle w:val="41"/>
              <w:rPr>
                <w:color w:val="auto"/>
                <w:highlight w:val="none"/>
              </w:rPr>
            </w:pPr>
          </w:p>
        </w:tc>
      </w:tr>
      <w:tr w14:paraId="3038DC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659" w:type="pct"/>
            <w:tcBorders>
              <w:tl2br w:val="nil"/>
              <w:tr2bl w:val="nil"/>
            </w:tcBorders>
          </w:tcPr>
          <w:p w14:paraId="19724451">
            <w:pPr>
              <w:pStyle w:val="41"/>
              <w:rPr>
                <w:color w:val="auto"/>
                <w:highlight w:val="none"/>
              </w:rPr>
            </w:pPr>
            <w:r>
              <w:rPr>
                <w:color w:val="auto"/>
                <w:highlight w:val="none"/>
              </w:rPr>
              <w:t>7</w:t>
            </w:r>
          </w:p>
        </w:tc>
        <w:tc>
          <w:tcPr>
            <w:tcW w:w="1336" w:type="pct"/>
            <w:tcBorders>
              <w:tl2br w:val="nil"/>
              <w:tr2bl w:val="nil"/>
            </w:tcBorders>
          </w:tcPr>
          <w:p w14:paraId="4FB3A2E1">
            <w:pPr>
              <w:pStyle w:val="41"/>
              <w:rPr>
                <w:color w:val="auto"/>
                <w:highlight w:val="none"/>
              </w:rPr>
            </w:pPr>
            <w:r>
              <w:rPr>
                <w:color w:val="auto"/>
                <w:highlight w:val="none"/>
              </w:rPr>
              <w:t>一次往返走行时间</w:t>
            </w:r>
          </w:p>
        </w:tc>
        <w:tc>
          <w:tcPr>
            <w:tcW w:w="570" w:type="pct"/>
            <w:tcBorders>
              <w:tl2br w:val="nil"/>
              <w:tr2bl w:val="nil"/>
            </w:tcBorders>
          </w:tcPr>
          <w:p w14:paraId="397C6835">
            <w:pPr>
              <w:pStyle w:val="41"/>
              <w:rPr>
                <w:color w:val="auto"/>
                <w:highlight w:val="none"/>
              </w:rPr>
            </w:pPr>
            <w:r>
              <w:rPr>
                <w:color w:val="auto"/>
                <w:highlight w:val="none"/>
              </w:rPr>
              <w:t>min</w:t>
            </w:r>
          </w:p>
        </w:tc>
        <w:tc>
          <w:tcPr>
            <w:tcW w:w="934" w:type="pct"/>
            <w:tcBorders>
              <w:tl2br w:val="nil"/>
              <w:tr2bl w:val="nil"/>
            </w:tcBorders>
          </w:tcPr>
          <w:p w14:paraId="74B68441">
            <w:pPr>
              <w:pStyle w:val="41"/>
              <w:rPr>
                <w:color w:val="auto"/>
                <w:highlight w:val="none"/>
              </w:rPr>
            </w:pPr>
            <w:r>
              <w:rPr>
                <w:color w:val="auto"/>
                <w:highlight w:val="none"/>
              </w:rPr>
              <w:t>58</w:t>
            </w:r>
          </w:p>
        </w:tc>
        <w:tc>
          <w:tcPr>
            <w:tcW w:w="1499" w:type="pct"/>
            <w:tcBorders>
              <w:tl2br w:val="nil"/>
              <w:tr2bl w:val="nil"/>
            </w:tcBorders>
          </w:tcPr>
          <w:p w14:paraId="18FCAB00">
            <w:pPr>
              <w:pStyle w:val="41"/>
              <w:rPr>
                <w:color w:val="auto"/>
                <w:highlight w:val="none"/>
              </w:rPr>
            </w:pPr>
          </w:p>
        </w:tc>
      </w:tr>
      <w:tr w14:paraId="1477CA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659" w:type="pct"/>
            <w:tcBorders>
              <w:tl2br w:val="nil"/>
              <w:tr2bl w:val="nil"/>
            </w:tcBorders>
          </w:tcPr>
          <w:p w14:paraId="106AD2ED">
            <w:pPr>
              <w:pStyle w:val="41"/>
              <w:rPr>
                <w:color w:val="auto"/>
                <w:highlight w:val="none"/>
              </w:rPr>
            </w:pPr>
            <w:r>
              <w:rPr>
                <w:color w:val="auto"/>
                <w:highlight w:val="none"/>
              </w:rPr>
              <w:t>8</w:t>
            </w:r>
          </w:p>
        </w:tc>
        <w:tc>
          <w:tcPr>
            <w:tcW w:w="1336" w:type="pct"/>
            <w:tcBorders>
              <w:tl2br w:val="nil"/>
              <w:tr2bl w:val="nil"/>
            </w:tcBorders>
          </w:tcPr>
          <w:p w14:paraId="6D2A7A3A">
            <w:pPr>
              <w:pStyle w:val="41"/>
              <w:rPr>
                <w:color w:val="auto"/>
                <w:highlight w:val="none"/>
              </w:rPr>
            </w:pPr>
            <w:r>
              <w:rPr>
                <w:color w:val="auto"/>
                <w:highlight w:val="none"/>
              </w:rPr>
              <w:t>卸车时间</w:t>
            </w:r>
          </w:p>
        </w:tc>
        <w:tc>
          <w:tcPr>
            <w:tcW w:w="570" w:type="pct"/>
            <w:tcBorders>
              <w:tl2br w:val="nil"/>
              <w:tr2bl w:val="nil"/>
            </w:tcBorders>
          </w:tcPr>
          <w:p w14:paraId="11A002C0">
            <w:pPr>
              <w:pStyle w:val="41"/>
              <w:rPr>
                <w:color w:val="auto"/>
                <w:highlight w:val="none"/>
              </w:rPr>
            </w:pPr>
            <w:r>
              <w:rPr>
                <w:color w:val="auto"/>
                <w:highlight w:val="none"/>
              </w:rPr>
              <w:t>min</w:t>
            </w:r>
          </w:p>
        </w:tc>
        <w:tc>
          <w:tcPr>
            <w:tcW w:w="934" w:type="pct"/>
            <w:tcBorders>
              <w:tl2br w:val="nil"/>
              <w:tr2bl w:val="nil"/>
            </w:tcBorders>
          </w:tcPr>
          <w:p w14:paraId="42964702">
            <w:pPr>
              <w:pStyle w:val="41"/>
              <w:rPr>
                <w:color w:val="auto"/>
                <w:highlight w:val="none"/>
              </w:rPr>
            </w:pPr>
            <w:r>
              <w:rPr>
                <w:color w:val="auto"/>
                <w:highlight w:val="none"/>
              </w:rPr>
              <w:t>1</w:t>
            </w:r>
          </w:p>
        </w:tc>
        <w:tc>
          <w:tcPr>
            <w:tcW w:w="1499" w:type="pct"/>
            <w:tcBorders>
              <w:tl2br w:val="nil"/>
              <w:tr2bl w:val="nil"/>
            </w:tcBorders>
          </w:tcPr>
          <w:p w14:paraId="1A2EE79A">
            <w:pPr>
              <w:pStyle w:val="41"/>
              <w:rPr>
                <w:color w:val="auto"/>
                <w:highlight w:val="none"/>
              </w:rPr>
            </w:pPr>
          </w:p>
        </w:tc>
      </w:tr>
      <w:tr w14:paraId="7EB0E6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659" w:type="pct"/>
            <w:tcBorders>
              <w:tl2br w:val="nil"/>
              <w:tr2bl w:val="nil"/>
            </w:tcBorders>
          </w:tcPr>
          <w:p w14:paraId="52A24143">
            <w:pPr>
              <w:pStyle w:val="41"/>
              <w:rPr>
                <w:color w:val="auto"/>
                <w:highlight w:val="none"/>
              </w:rPr>
            </w:pPr>
            <w:r>
              <w:rPr>
                <w:color w:val="auto"/>
                <w:highlight w:val="none"/>
              </w:rPr>
              <w:t>9</w:t>
            </w:r>
          </w:p>
        </w:tc>
        <w:tc>
          <w:tcPr>
            <w:tcW w:w="1336" w:type="pct"/>
            <w:tcBorders>
              <w:tl2br w:val="nil"/>
              <w:tr2bl w:val="nil"/>
            </w:tcBorders>
          </w:tcPr>
          <w:p w14:paraId="35AE9077">
            <w:pPr>
              <w:pStyle w:val="41"/>
              <w:rPr>
                <w:color w:val="auto"/>
                <w:highlight w:val="none"/>
              </w:rPr>
            </w:pPr>
            <w:r>
              <w:rPr>
                <w:color w:val="auto"/>
                <w:highlight w:val="none"/>
              </w:rPr>
              <w:t>调车等待阻滞时间</w:t>
            </w:r>
          </w:p>
        </w:tc>
        <w:tc>
          <w:tcPr>
            <w:tcW w:w="570" w:type="pct"/>
            <w:tcBorders>
              <w:tl2br w:val="nil"/>
              <w:tr2bl w:val="nil"/>
            </w:tcBorders>
          </w:tcPr>
          <w:p w14:paraId="04E8F901">
            <w:pPr>
              <w:pStyle w:val="41"/>
              <w:rPr>
                <w:color w:val="auto"/>
                <w:highlight w:val="none"/>
              </w:rPr>
            </w:pPr>
            <w:r>
              <w:rPr>
                <w:color w:val="auto"/>
                <w:highlight w:val="none"/>
              </w:rPr>
              <w:t>min</w:t>
            </w:r>
          </w:p>
        </w:tc>
        <w:tc>
          <w:tcPr>
            <w:tcW w:w="934" w:type="pct"/>
            <w:tcBorders>
              <w:tl2br w:val="nil"/>
              <w:tr2bl w:val="nil"/>
            </w:tcBorders>
          </w:tcPr>
          <w:p w14:paraId="78A551AF">
            <w:pPr>
              <w:pStyle w:val="41"/>
              <w:rPr>
                <w:color w:val="auto"/>
                <w:highlight w:val="none"/>
              </w:rPr>
            </w:pPr>
            <w:r>
              <w:rPr>
                <w:color w:val="auto"/>
                <w:highlight w:val="none"/>
              </w:rPr>
              <w:t>5</w:t>
            </w:r>
          </w:p>
        </w:tc>
        <w:tc>
          <w:tcPr>
            <w:tcW w:w="1499" w:type="pct"/>
            <w:tcBorders>
              <w:tl2br w:val="nil"/>
              <w:tr2bl w:val="nil"/>
            </w:tcBorders>
          </w:tcPr>
          <w:p w14:paraId="793B9ADC">
            <w:pPr>
              <w:pStyle w:val="41"/>
              <w:rPr>
                <w:color w:val="auto"/>
                <w:highlight w:val="none"/>
              </w:rPr>
            </w:pPr>
          </w:p>
        </w:tc>
      </w:tr>
      <w:tr w14:paraId="2716F8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659" w:type="pct"/>
            <w:tcBorders>
              <w:tl2br w:val="nil"/>
              <w:tr2bl w:val="nil"/>
            </w:tcBorders>
          </w:tcPr>
          <w:p w14:paraId="6388A594">
            <w:pPr>
              <w:pStyle w:val="41"/>
              <w:rPr>
                <w:color w:val="auto"/>
                <w:highlight w:val="none"/>
              </w:rPr>
            </w:pPr>
            <w:r>
              <w:rPr>
                <w:color w:val="auto"/>
                <w:highlight w:val="none"/>
              </w:rPr>
              <w:t>10</w:t>
            </w:r>
          </w:p>
        </w:tc>
        <w:tc>
          <w:tcPr>
            <w:tcW w:w="1336" w:type="pct"/>
            <w:tcBorders>
              <w:tl2br w:val="nil"/>
              <w:tr2bl w:val="nil"/>
            </w:tcBorders>
          </w:tcPr>
          <w:p w14:paraId="0C450532">
            <w:pPr>
              <w:pStyle w:val="41"/>
              <w:rPr>
                <w:color w:val="auto"/>
                <w:highlight w:val="none"/>
              </w:rPr>
            </w:pPr>
            <w:r>
              <w:rPr>
                <w:color w:val="auto"/>
                <w:highlight w:val="none"/>
              </w:rPr>
              <w:t>一次周转时间</w:t>
            </w:r>
          </w:p>
        </w:tc>
        <w:tc>
          <w:tcPr>
            <w:tcW w:w="570" w:type="pct"/>
            <w:tcBorders>
              <w:tl2br w:val="nil"/>
              <w:tr2bl w:val="nil"/>
            </w:tcBorders>
          </w:tcPr>
          <w:p w14:paraId="4EE50E41">
            <w:pPr>
              <w:pStyle w:val="41"/>
              <w:rPr>
                <w:color w:val="auto"/>
                <w:highlight w:val="none"/>
              </w:rPr>
            </w:pPr>
            <w:r>
              <w:rPr>
                <w:color w:val="auto"/>
                <w:highlight w:val="none"/>
              </w:rPr>
              <w:t>min</w:t>
            </w:r>
          </w:p>
        </w:tc>
        <w:tc>
          <w:tcPr>
            <w:tcW w:w="934" w:type="pct"/>
            <w:tcBorders>
              <w:tl2br w:val="nil"/>
              <w:tr2bl w:val="nil"/>
            </w:tcBorders>
          </w:tcPr>
          <w:p w14:paraId="4460AB34">
            <w:pPr>
              <w:pStyle w:val="41"/>
              <w:rPr>
                <w:color w:val="auto"/>
                <w:highlight w:val="none"/>
              </w:rPr>
            </w:pPr>
            <w:r>
              <w:rPr>
                <w:color w:val="auto"/>
                <w:highlight w:val="none"/>
              </w:rPr>
              <w:t>68</w:t>
            </w:r>
          </w:p>
        </w:tc>
        <w:tc>
          <w:tcPr>
            <w:tcW w:w="1499" w:type="pct"/>
            <w:tcBorders>
              <w:tl2br w:val="nil"/>
              <w:tr2bl w:val="nil"/>
            </w:tcBorders>
          </w:tcPr>
          <w:p w14:paraId="4B94D0B1">
            <w:pPr>
              <w:pStyle w:val="41"/>
              <w:rPr>
                <w:color w:val="auto"/>
                <w:highlight w:val="none"/>
              </w:rPr>
            </w:pPr>
          </w:p>
        </w:tc>
      </w:tr>
      <w:tr w14:paraId="7FA2CC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659" w:type="pct"/>
            <w:tcBorders>
              <w:tl2br w:val="nil"/>
              <w:tr2bl w:val="nil"/>
            </w:tcBorders>
          </w:tcPr>
          <w:p w14:paraId="373DD8C9">
            <w:pPr>
              <w:pStyle w:val="41"/>
              <w:rPr>
                <w:color w:val="auto"/>
                <w:highlight w:val="none"/>
              </w:rPr>
            </w:pPr>
            <w:r>
              <w:rPr>
                <w:color w:val="auto"/>
                <w:highlight w:val="none"/>
              </w:rPr>
              <w:t>11</w:t>
            </w:r>
          </w:p>
        </w:tc>
        <w:tc>
          <w:tcPr>
            <w:tcW w:w="1336" w:type="pct"/>
            <w:tcBorders>
              <w:tl2br w:val="nil"/>
              <w:tr2bl w:val="nil"/>
            </w:tcBorders>
          </w:tcPr>
          <w:p w14:paraId="5AB25954">
            <w:pPr>
              <w:pStyle w:val="41"/>
              <w:rPr>
                <w:color w:val="auto"/>
                <w:highlight w:val="none"/>
              </w:rPr>
            </w:pPr>
            <w:r>
              <w:rPr>
                <w:color w:val="auto"/>
                <w:highlight w:val="none"/>
              </w:rPr>
              <w:t>台班周转次数</w:t>
            </w:r>
          </w:p>
        </w:tc>
        <w:tc>
          <w:tcPr>
            <w:tcW w:w="570" w:type="pct"/>
            <w:tcBorders>
              <w:tl2br w:val="nil"/>
              <w:tr2bl w:val="nil"/>
            </w:tcBorders>
          </w:tcPr>
          <w:p w14:paraId="0719E235">
            <w:pPr>
              <w:pStyle w:val="41"/>
              <w:rPr>
                <w:color w:val="auto"/>
                <w:highlight w:val="none"/>
              </w:rPr>
            </w:pPr>
            <w:r>
              <w:rPr>
                <w:color w:val="auto"/>
                <w:highlight w:val="none"/>
              </w:rPr>
              <w:t>次</w:t>
            </w:r>
          </w:p>
        </w:tc>
        <w:tc>
          <w:tcPr>
            <w:tcW w:w="934" w:type="pct"/>
            <w:tcBorders>
              <w:tl2br w:val="nil"/>
              <w:tr2bl w:val="nil"/>
            </w:tcBorders>
          </w:tcPr>
          <w:p w14:paraId="0707B3F2">
            <w:pPr>
              <w:pStyle w:val="41"/>
              <w:rPr>
                <w:color w:val="auto"/>
                <w:highlight w:val="none"/>
              </w:rPr>
            </w:pPr>
            <w:r>
              <w:rPr>
                <w:color w:val="auto"/>
                <w:highlight w:val="none"/>
              </w:rPr>
              <w:t>6</w:t>
            </w:r>
          </w:p>
        </w:tc>
        <w:tc>
          <w:tcPr>
            <w:tcW w:w="1499" w:type="pct"/>
            <w:tcBorders>
              <w:tl2br w:val="nil"/>
              <w:tr2bl w:val="nil"/>
            </w:tcBorders>
          </w:tcPr>
          <w:p w14:paraId="4D8EF03A">
            <w:pPr>
              <w:pStyle w:val="41"/>
              <w:rPr>
                <w:color w:val="auto"/>
                <w:highlight w:val="none"/>
              </w:rPr>
            </w:pPr>
            <w:r>
              <w:rPr>
                <w:color w:val="auto"/>
                <w:highlight w:val="none"/>
              </w:rPr>
              <w:t>时间系数0.85</w:t>
            </w:r>
          </w:p>
        </w:tc>
      </w:tr>
      <w:tr w14:paraId="7F28F0C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659" w:type="pct"/>
            <w:tcBorders>
              <w:tl2br w:val="nil"/>
              <w:tr2bl w:val="nil"/>
            </w:tcBorders>
          </w:tcPr>
          <w:p w14:paraId="2389F00E">
            <w:pPr>
              <w:pStyle w:val="41"/>
              <w:rPr>
                <w:color w:val="auto"/>
                <w:highlight w:val="none"/>
              </w:rPr>
            </w:pPr>
            <w:r>
              <w:rPr>
                <w:color w:val="auto"/>
                <w:highlight w:val="none"/>
              </w:rPr>
              <w:t>12</w:t>
            </w:r>
          </w:p>
        </w:tc>
        <w:tc>
          <w:tcPr>
            <w:tcW w:w="1336" w:type="pct"/>
            <w:tcBorders>
              <w:tl2br w:val="nil"/>
              <w:tr2bl w:val="nil"/>
            </w:tcBorders>
          </w:tcPr>
          <w:p w14:paraId="7DCB1D3A">
            <w:pPr>
              <w:pStyle w:val="41"/>
              <w:rPr>
                <w:color w:val="auto"/>
                <w:highlight w:val="none"/>
              </w:rPr>
            </w:pPr>
            <w:r>
              <w:rPr>
                <w:color w:val="auto"/>
                <w:highlight w:val="none"/>
              </w:rPr>
              <w:t>日车次</w:t>
            </w:r>
          </w:p>
        </w:tc>
        <w:tc>
          <w:tcPr>
            <w:tcW w:w="570" w:type="pct"/>
            <w:tcBorders>
              <w:tl2br w:val="nil"/>
              <w:tr2bl w:val="nil"/>
            </w:tcBorders>
          </w:tcPr>
          <w:p w14:paraId="742D3998">
            <w:pPr>
              <w:pStyle w:val="41"/>
              <w:rPr>
                <w:color w:val="auto"/>
                <w:highlight w:val="none"/>
              </w:rPr>
            </w:pPr>
            <w:r>
              <w:rPr>
                <w:color w:val="auto"/>
                <w:highlight w:val="none"/>
              </w:rPr>
              <w:t>次</w:t>
            </w:r>
          </w:p>
        </w:tc>
        <w:tc>
          <w:tcPr>
            <w:tcW w:w="934" w:type="pct"/>
            <w:tcBorders>
              <w:tl2br w:val="nil"/>
              <w:tr2bl w:val="nil"/>
            </w:tcBorders>
          </w:tcPr>
          <w:p w14:paraId="0607826B">
            <w:pPr>
              <w:pStyle w:val="41"/>
              <w:rPr>
                <w:color w:val="auto"/>
                <w:highlight w:val="none"/>
              </w:rPr>
            </w:pPr>
            <w:r>
              <w:rPr>
                <w:color w:val="auto"/>
                <w:highlight w:val="none"/>
              </w:rPr>
              <w:t>12</w:t>
            </w:r>
          </w:p>
        </w:tc>
        <w:tc>
          <w:tcPr>
            <w:tcW w:w="1499" w:type="pct"/>
            <w:tcBorders>
              <w:tl2br w:val="nil"/>
              <w:tr2bl w:val="nil"/>
            </w:tcBorders>
          </w:tcPr>
          <w:p w14:paraId="692302A2">
            <w:pPr>
              <w:pStyle w:val="41"/>
              <w:rPr>
                <w:color w:val="auto"/>
                <w:highlight w:val="none"/>
              </w:rPr>
            </w:pPr>
          </w:p>
        </w:tc>
      </w:tr>
      <w:tr w14:paraId="4DFF787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659" w:type="pct"/>
            <w:tcBorders>
              <w:tl2br w:val="nil"/>
              <w:tr2bl w:val="nil"/>
            </w:tcBorders>
          </w:tcPr>
          <w:p w14:paraId="60AA83D2">
            <w:pPr>
              <w:pStyle w:val="41"/>
              <w:rPr>
                <w:color w:val="auto"/>
                <w:highlight w:val="none"/>
              </w:rPr>
            </w:pPr>
            <w:r>
              <w:rPr>
                <w:color w:val="auto"/>
                <w:highlight w:val="none"/>
              </w:rPr>
              <w:t>13</w:t>
            </w:r>
          </w:p>
        </w:tc>
        <w:tc>
          <w:tcPr>
            <w:tcW w:w="1336" w:type="pct"/>
            <w:tcBorders>
              <w:tl2br w:val="nil"/>
              <w:tr2bl w:val="nil"/>
            </w:tcBorders>
          </w:tcPr>
          <w:p w14:paraId="088FF4AC">
            <w:pPr>
              <w:pStyle w:val="41"/>
              <w:rPr>
                <w:color w:val="auto"/>
                <w:highlight w:val="none"/>
              </w:rPr>
            </w:pPr>
            <w:r>
              <w:rPr>
                <w:color w:val="auto"/>
                <w:highlight w:val="none"/>
              </w:rPr>
              <w:t>汽车额定载重量</w:t>
            </w:r>
          </w:p>
        </w:tc>
        <w:tc>
          <w:tcPr>
            <w:tcW w:w="570" w:type="pct"/>
            <w:tcBorders>
              <w:tl2br w:val="nil"/>
              <w:tr2bl w:val="nil"/>
            </w:tcBorders>
          </w:tcPr>
          <w:p w14:paraId="15AA14BF">
            <w:pPr>
              <w:pStyle w:val="41"/>
              <w:rPr>
                <w:color w:val="auto"/>
                <w:highlight w:val="none"/>
              </w:rPr>
            </w:pPr>
            <w:r>
              <w:rPr>
                <w:color w:val="auto"/>
                <w:highlight w:val="none"/>
              </w:rPr>
              <w:t>t</w:t>
            </w:r>
          </w:p>
        </w:tc>
        <w:tc>
          <w:tcPr>
            <w:tcW w:w="934" w:type="pct"/>
            <w:tcBorders>
              <w:tl2br w:val="nil"/>
              <w:tr2bl w:val="nil"/>
            </w:tcBorders>
          </w:tcPr>
          <w:p w14:paraId="38EAA7F2">
            <w:pPr>
              <w:pStyle w:val="41"/>
              <w:rPr>
                <w:color w:val="auto"/>
                <w:highlight w:val="none"/>
              </w:rPr>
            </w:pPr>
            <w:r>
              <w:rPr>
                <w:color w:val="auto"/>
                <w:highlight w:val="none"/>
              </w:rPr>
              <w:t>60</w:t>
            </w:r>
          </w:p>
        </w:tc>
        <w:tc>
          <w:tcPr>
            <w:tcW w:w="1499" w:type="pct"/>
            <w:tcBorders>
              <w:tl2br w:val="nil"/>
              <w:tr2bl w:val="nil"/>
            </w:tcBorders>
          </w:tcPr>
          <w:p w14:paraId="1D39D079">
            <w:pPr>
              <w:pStyle w:val="41"/>
              <w:rPr>
                <w:color w:val="auto"/>
                <w:highlight w:val="none"/>
              </w:rPr>
            </w:pPr>
          </w:p>
        </w:tc>
      </w:tr>
      <w:tr w14:paraId="1172A74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659" w:type="pct"/>
            <w:tcBorders>
              <w:tl2br w:val="nil"/>
              <w:tr2bl w:val="nil"/>
            </w:tcBorders>
          </w:tcPr>
          <w:p w14:paraId="5CBD4425">
            <w:pPr>
              <w:pStyle w:val="41"/>
              <w:rPr>
                <w:color w:val="auto"/>
                <w:highlight w:val="none"/>
              </w:rPr>
            </w:pPr>
            <w:r>
              <w:rPr>
                <w:color w:val="auto"/>
                <w:highlight w:val="none"/>
              </w:rPr>
              <w:t>14</w:t>
            </w:r>
          </w:p>
        </w:tc>
        <w:tc>
          <w:tcPr>
            <w:tcW w:w="1336" w:type="pct"/>
            <w:tcBorders>
              <w:tl2br w:val="nil"/>
              <w:tr2bl w:val="nil"/>
            </w:tcBorders>
          </w:tcPr>
          <w:p w14:paraId="63EC3441">
            <w:pPr>
              <w:pStyle w:val="41"/>
              <w:rPr>
                <w:color w:val="auto"/>
                <w:highlight w:val="none"/>
              </w:rPr>
            </w:pPr>
            <w:r>
              <w:rPr>
                <w:color w:val="auto"/>
                <w:highlight w:val="none"/>
              </w:rPr>
              <w:t>铲斗装满系数</w:t>
            </w:r>
          </w:p>
        </w:tc>
        <w:tc>
          <w:tcPr>
            <w:tcW w:w="570" w:type="pct"/>
            <w:tcBorders>
              <w:tl2br w:val="nil"/>
              <w:tr2bl w:val="nil"/>
            </w:tcBorders>
          </w:tcPr>
          <w:p w14:paraId="779D8245">
            <w:pPr>
              <w:pStyle w:val="41"/>
              <w:rPr>
                <w:color w:val="auto"/>
                <w:highlight w:val="none"/>
              </w:rPr>
            </w:pPr>
            <w:r>
              <w:rPr>
                <w:color w:val="auto"/>
                <w:highlight w:val="none"/>
              </w:rPr>
              <w:t>0/0</w:t>
            </w:r>
          </w:p>
        </w:tc>
        <w:tc>
          <w:tcPr>
            <w:tcW w:w="934" w:type="pct"/>
            <w:tcBorders>
              <w:tl2br w:val="nil"/>
              <w:tr2bl w:val="nil"/>
            </w:tcBorders>
          </w:tcPr>
          <w:p w14:paraId="709B770B">
            <w:pPr>
              <w:pStyle w:val="41"/>
              <w:rPr>
                <w:color w:val="auto"/>
                <w:highlight w:val="none"/>
              </w:rPr>
            </w:pPr>
            <w:r>
              <w:rPr>
                <w:color w:val="auto"/>
                <w:highlight w:val="none"/>
              </w:rPr>
              <w:t>0.9</w:t>
            </w:r>
          </w:p>
        </w:tc>
        <w:tc>
          <w:tcPr>
            <w:tcW w:w="1499" w:type="pct"/>
            <w:tcBorders>
              <w:tl2br w:val="nil"/>
              <w:tr2bl w:val="nil"/>
            </w:tcBorders>
          </w:tcPr>
          <w:p w14:paraId="1732C314">
            <w:pPr>
              <w:pStyle w:val="41"/>
              <w:rPr>
                <w:color w:val="auto"/>
                <w:highlight w:val="none"/>
              </w:rPr>
            </w:pPr>
          </w:p>
        </w:tc>
      </w:tr>
      <w:tr w14:paraId="58DEE8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659" w:type="pct"/>
            <w:tcBorders>
              <w:tl2br w:val="nil"/>
              <w:tr2bl w:val="nil"/>
            </w:tcBorders>
          </w:tcPr>
          <w:p w14:paraId="76879CBD">
            <w:pPr>
              <w:pStyle w:val="41"/>
              <w:rPr>
                <w:color w:val="auto"/>
                <w:highlight w:val="none"/>
              </w:rPr>
            </w:pPr>
            <w:r>
              <w:rPr>
                <w:color w:val="auto"/>
                <w:highlight w:val="none"/>
              </w:rPr>
              <w:t>15</w:t>
            </w:r>
          </w:p>
        </w:tc>
        <w:tc>
          <w:tcPr>
            <w:tcW w:w="1336" w:type="pct"/>
            <w:tcBorders>
              <w:tl2br w:val="nil"/>
              <w:tr2bl w:val="nil"/>
            </w:tcBorders>
          </w:tcPr>
          <w:p w14:paraId="4B94F1F9">
            <w:pPr>
              <w:pStyle w:val="41"/>
              <w:rPr>
                <w:color w:val="auto"/>
                <w:highlight w:val="none"/>
              </w:rPr>
            </w:pPr>
            <w:r>
              <w:rPr>
                <w:color w:val="auto"/>
                <w:highlight w:val="none"/>
              </w:rPr>
              <w:t>松散系数</w:t>
            </w:r>
          </w:p>
        </w:tc>
        <w:tc>
          <w:tcPr>
            <w:tcW w:w="570" w:type="pct"/>
            <w:tcBorders>
              <w:tl2br w:val="nil"/>
              <w:tr2bl w:val="nil"/>
            </w:tcBorders>
          </w:tcPr>
          <w:p w14:paraId="2C13CC47">
            <w:pPr>
              <w:pStyle w:val="41"/>
              <w:rPr>
                <w:color w:val="auto"/>
                <w:highlight w:val="none"/>
              </w:rPr>
            </w:pPr>
          </w:p>
        </w:tc>
        <w:tc>
          <w:tcPr>
            <w:tcW w:w="934" w:type="pct"/>
            <w:tcBorders>
              <w:tl2br w:val="nil"/>
              <w:tr2bl w:val="nil"/>
            </w:tcBorders>
          </w:tcPr>
          <w:p w14:paraId="0E908C13">
            <w:pPr>
              <w:pStyle w:val="41"/>
              <w:rPr>
                <w:color w:val="auto"/>
                <w:highlight w:val="none"/>
              </w:rPr>
            </w:pPr>
            <w:r>
              <w:rPr>
                <w:color w:val="auto"/>
                <w:highlight w:val="none"/>
              </w:rPr>
              <w:t>1.55</w:t>
            </w:r>
          </w:p>
        </w:tc>
        <w:tc>
          <w:tcPr>
            <w:tcW w:w="1499" w:type="pct"/>
            <w:tcBorders>
              <w:tl2br w:val="nil"/>
              <w:tr2bl w:val="nil"/>
            </w:tcBorders>
          </w:tcPr>
          <w:p w14:paraId="5A5A64EE">
            <w:pPr>
              <w:pStyle w:val="41"/>
              <w:rPr>
                <w:color w:val="auto"/>
                <w:highlight w:val="none"/>
              </w:rPr>
            </w:pPr>
          </w:p>
        </w:tc>
      </w:tr>
      <w:tr w14:paraId="6CD83A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659" w:type="pct"/>
            <w:tcBorders>
              <w:tl2br w:val="nil"/>
              <w:tr2bl w:val="nil"/>
            </w:tcBorders>
          </w:tcPr>
          <w:p w14:paraId="7A98170F">
            <w:pPr>
              <w:pStyle w:val="41"/>
              <w:rPr>
                <w:color w:val="auto"/>
                <w:highlight w:val="none"/>
              </w:rPr>
            </w:pPr>
            <w:r>
              <w:rPr>
                <w:color w:val="auto"/>
                <w:highlight w:val="none"/>
              </w:rPr>
              <w:t>16</w:t>
            </w:r>
          </w:p>
        </w:tc>
        <w:tc>
          <w:tcPr>
            <w:tcW w:w="1336" w:type="pct"/>
            <w:tcBorders>
              <w:tl2br w:val="nil"/>
              <w:tr2bl w:val="nil"/>
            </w:tcBorders>
          </w:tcPr>
          <w:p w14:paraId="37B9A42B">
            <w:pPr>
              <w:pStyle w:val="41"/>
              <w:rPr>
                <w:color w:val="auto"/>
                <w:highlight w:val="none"/>
              </w:rPr>
            </w:pPr>
            <w:r>
              <w:rPr>
                <w:color w:val="auto"/>
                <w:highlight w:val="none"/>
              </w:rPr>
              <w:t>汽车工作台数</w:t>
            </w:r>
          </w:p>
        </w:tc>
        <w:tc>
          <w:tcPr>
            <w:tcW w:w="570" w:type="pct"/>
            <w:tcBorders>
              <w:tl2br w:val="nil"/>
              <w:tr2bl w:val="nil"/>
            </w:tcBorders>
          </w:tcPr>
          <w:p w14:paraId="67DBDA10">
            <w:pPr>
              <w:pStyle w:val="41"/>
              <w:rPr>
                <w:color w:val="auto"/>
                <w:highlight w:val="none"/>
              </w:rPr>
            </w:pPr>
            <w:r>
              <w:rPr>
                <w:color w:val="auto"/>
                <w:highlight w:val="none"/>
              </w:rPr>
              <w:t>台</w:t>
            </w:r>
          </w:p>
        </w:tc>
        <w:tc>
          <w:tcPr>
            <w:tcW w:w="934" w:type="pct"/>
            <w:tcBorders>
              <w:tl2br w:val="nil"/>
              <w:tr2bl w:val="nil"/>
            </w:tcBorders>
          </w:tcPr>
          <w:p w14:paraId="78498CD9">
            <w:pPr>
              <w:pStyle w:val="41"/>
              <w:rPr>
                <w:color w:val="auto"/>
                <w:highlight w:val="none"/>
              </w:rPr>
            </w:pPr>
            <w:r>
              <w:rPr>
                <w:color w:val="auto"/>
                <w:highlight w:val="none"/>
              </w:rPr>
              <w:t>26</w:t>
            </w:r>
          </w:p>
        </w:tc>
        <w:tc>
          <w:tcPr>
            <w:tcW w:w="1499" w:type="pct"/>
            <w:tcBorders>
              <w:tl2br w:val="nil"/>
              <w:tr2bl w:val="nil"/>
            </w:tcBorders>
          </w:tcPr>
          <w:p w14:paraId="38AD5665">
            <w:pPr>
              <w:pStyle w:val="41"/>
              <w:rPr>
                <w:color w:val="auto"/>
                <w:highlight w:val="none"/>
              </w:rPr>
            </w:pPr>
          </w:p>
        </w:tc>
      </w:tr>
      <w:tr w14:paraId="4F009F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659" w:type="pct"/>
            <w:tcBorders>
              <w:tl2br w:val="nil"/>
              <w:tr2bl w:val="nil"/>
            </w:tcBorders>
          </w:tcPr>
          <w:p w14:paraId="3E448556">
            <w:pPr>
              <w:pStyle w:val="41"/>
              <w:rPr>
                <w:color w:val="auto"/>
                <w:highlight w:val="none"/>
              </w:rPr>
            </w:pPr>
            <w:r>
              <w:rPr>
                <w:color w:val="auto"/>
                <w:highlight w:val="none"/>
              </w:rPr>
              <w:t>17</w:t>
            </w:r>
          </w:p>
        </w:tc>
        <w:tc>
          <w:tcPr>
            <w:tcW w:w="1336" w:type="pct"/>
            <w:tcBorders>
              <w:tl2br w:val="nil"/>
              <w:tr2bl w:val="nil"/>
            </w:tcBorders>
          </w:tcPr>
          <w:p w14:paraId="65BC15DF">
            <w:pPr>
              <w:pStyle w:val="41"/>
              <w:rPr>
                <w:color w:val="auto"/>
                <w:highlight w:val="none"/>
              </w:rPr>
            </w:pPr>
            <w:r>
              <w:rPr>
                <w:color w:val="auto"/>
                <w:highlight w:val="none"/>
              </w:rPr>
              <w:t>汽车出勤率</w:t>
            </w:r>
          </w:p>
        </w:tc>
        <w:tc>
          <w:tcPr>
            <w:tcW w:w="570" w:type="pct"/>
            <w:tcBorders>
              <w:tl2br w:val="nil"/>
              <w:tr2bl w:val="nil"/>
            </w:tcBorders>
          </w:tcPr>
          <w:p w14:paraId="7B9FFFD9">
            <w:pPr>
              <w:pStyle w:val="41"/>
              <w:rPr>
                <w:color w:val="auto"/>
                <w:highlight w:val="none"/>
              </w:rPr>
            </w:pPr>
            <w:r>
              <w:rPr>
                <w:color w:val="auto"/>
                <w:highlight w:val="none"/>
              </w:rPr>
              <w:t>0/0</w:t>
            </w:r>
          </w:p>
        </w:tc>
        <w:tc>
          <w:tcPr>
            <w:tcW w:w="934" w:type="pct"/>
            <w:tcBorders>
              <w:tl2br w:val="nil"/>
              <w:tr2bl w:val="nil"/>
            </w:tcBorders>
          </w:tcPr>
          <w:p w14:paraId="442720FE">
            <w:pPr>
              <w:pStyle w:val="41"/>
              <w:rPr>
                <w:color w:val="auto"/>
                <w:highlight w:val="none"/>
              </w:rPr>
            </w:pPr>
            <w:r>
              <w:rPr>
                <w:color w:val="auto"/>
                <w:highlight w:val="none"/>
              </w:rPr>
              <w:t>0.8</w:t>
            </w:r>
          </w:p>
        </w:tc>
        <w:tc>
          <w:tcPr>
            <w:tcW w:w="1499" w:type="pct"/>
            <w:tcBorders>
              <w:tl2br w:val="nil"/>
              <w:tr2bl w:val="nil"/>
            </w:tcBorders>
          </w:tcPr>
          <w:p w14:paraId="2C297F2D">
            <w:pPr>
              <w:pStyle w:val="41"/>
              <w:rPr>
                <w:color w:val="auto"/>
                <w:highlight w:val="none"/>
              </w:rPr>
            </w:pPr>
          </w:p>
        </w:tc>
      </w:tr>
      <w:tr w14:paraId="1DCD3F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659" w:type="pct"/>
            <w:tcBorders>
              <w:tl2br w:val="nil"/>
              <w:tr2bl w:val="nil"/>
            </w:tcBorders>
          </w:tcPr>
          <w:p w14:paraId="65E4029B">
            <w:pPr>
              <w:pStyle w:val="41"/>
              <w:rPr>
                <w:color w:val="auto"/>
                <w:highlight w:val="none"/>
              </w:rPr>
            </w:pPr>
            <w:r>
              <w:rPr>
                <w:color w:val="auto"/>
                <w:highlight w:val="none"/>
              </w:rPr>
              <w:t>18</w:t>
            </w:r>
          </w:p>
        </w:tc>
        <w:tc>
          <w:tcPr>
            <w:tcW w:w="1336" w:type="pct"/>
            <w:tcBorders>
              <w:tl2br w:val="nil"/>
              <w:tr2bl w:val="nil"/>
            </w:tcBorders>
          </w:tcPr>
          <w:p w14:paraId="7744D88F">
            <w:pPr>
              <w:pStyle w:val="41"/>
              <w:rPr>
                <w:color w:val="auto"/>
                <w:highlight w:val="none"/>
              </w:rPr>
            </w:pPr>
            <w:r>
              <w:rPr>
                <w:color w:val="auto"/>
                <w:highlight w:val="none"/>
              </w:rPr>
              <w:t>备用</w:t>
            </w:r>
          </w:p>
        </w:tc>
        <w:tc>
          <w:tcPr>
            <w:tcW w:w="570" w:type="pct"/>
            <w:tcBorders>
              <w:tl2br w:val="nil"/>
              <w:tr2bl w:val="nil"/>
            </w:tcBorders>
          </w:tcPr>
          <w:p w14:paraId="2734E781">
            <w:pPr>
              <w:pStyle w:val="41"/>
              <w:rPr>
                <w:color w:val="auto"/>
                <w:highlight w:val="none"/>
              </w:rPr>
            </w:pPr>
            <w:r>
              <w:rPr>
                <w:color w:val="auto"/>
                <w:highlight w:val="none"/>
              </w:rPr>
              <w:t>台</w:t>
            </w:r>
          </w:p>
        </w:tc>
        <w:tc>
          <w:tcPr>
            <w:tcW w:w="934" w:type="pct"/>
            <w:tcBorders>
              <w:tl2br w:val="nil"/>
              <w:tr2bl w:val="nil"/>
            </w:tcBorders>
          </w:tcPr>
          <w:p w14:paraId="33A1F597">
            <w:pPr>
              <w:pStyle w:val="41"/>
              <w:rPr>
                <w:color w:val="auto"/>
                <w:highlight w:val="none"/>
              </w:rPr>
            </w:pPr>
            <w:r>
              <w:rPr>
                <w:color w:val="auto"/>
                <w:highlight w:val="none"/>
              </w:rPr>
              <w:t>4</w:t>
            </w:r>
          </w:p>
        </w:tc>
        <w:tc>
          <w:tcPr>
            <w:tcW w:w="1499" w:type="pct"/>
            <w:tcBorders>
              <w:tl2br w:val="nil"/>
              <w:tr2bl w:val="nil"/>
            </w:tcBorders>
          </w:tcPr>
          <w:p w14:paraId="67575E65">
            <w:pPr>
              <w:pStyle w:val="41"/>
              <w:rPr>
                <w:color w:val="auto"/>
                <w:highlight w:val="none"/>
              </w:rPr>
            </w:pPr>
          </w:p>
        </w:tc>
      </w:tr>
      <w:tr w14:paraId="095824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659" w:type="pct"/>
            <w:tcBorders>
              <w:tl2br w:val="nil"/>
              <w:tr2bl w:val="nil"/>
            </w:tcBorders>
          </w:tcPr>
          <w:p w14:paraId="66195A61">
            <w:pPr>
              <w:pStyle w:val="41"/>
              <w:rPr>
                <w:color w:val="auto"/>
                <w:highlight w:val="none"/>
              </w:rPr>
            </w:pPr>
            <w:r>
              <w:rPr>
                <w:color w:val="auto"/>
                <w:highlight w:val="none"/>
              </w:rPr>
              <w:t>19</w:t>
            </w:r>
          </w:p>
        </w:tc>
        <w:tc>
          <w:tcPr>
            <w:tcW w:w="1336" w:type="pct"/>
            <w:tcBorders>
              <w:tl2br w:val="nil"/>
              <w:tr2bl w:val="nil"/>
            </w:tcBorders>
          </w:tcPr>
          <w:p w14:paraId="75AD36CB">
            <w:pPr>
              <w:pStyle w:val="41"/>
              <w:rPr>
                <w:color w:val="auto"/>
                <w:highlight w:val="none"/>
              </w:rPr>
            </w:pPr>
            <w:r>
              <w:rPr>
                <w:color w:val="auto"/>
                <w:highlight w:val="none"/>
              </w:rPr>
              <w:t>在册汽车台</w:t>
            </w:r>
          </w:p>
        </w:tc>
        <w:tc>
          <w:tcPr>
            <w:tcW w:w="570" w:type="pct"/>
            <w:tcBorders>
              <w:tl2br w:val="nil"/>
              <w:tr2bl w:val="nil"/>
            </w:tcBorders>
          </w:tcPr>
          <w:p w14:paraId="111BF7BE">
            <w:pPr>
              <w:pStyle w:val="41"/>
              <w:rPr>
                <w:color w:val="auto"/>
                <w:highlight w:val="none"/>
              </w:rPr>
            </w:pPr>
            <w:r>
              <w:rPr>
                <w:color w:val="auto"/>
                <w:highlight w:val="none"/>
              </w:rPr>
              <w:t>台</w:t>
            </w:r>
          </w:p>
        </w:tc>
        <w:tc>
          <w:tcPr>
            <w:tcW w:w="934" w:type="pct"/>
            <w:tcBorders>
              <w:tl2br w:val="nil"/>
              <w:tr2bl w:val="nil"/>
            </w:tcBorders>
          </w:tcPr>
          <w:p w14:paraId="78FC005F">
            <w:pPr>
              <w:pStyle w:val="41"/>
              <w:rPr>
                <w:color w:val="auto"/>
                <w:highlight w:val="none"/>
              </w:rPr>
            </w:pPr>
            <w:r>
              <w:rPr>
                <w:color w:val="auto"/>
                <w:highlight w:val="none"/>
              </w:rPr>
              <w:t>30</w:t>
            </w:r>
          </w:p>
        </w:tc>
        <w:tc>
          <w:tcPr>
            <w:tcW w:w="1499" w:type="pct"/>
            <w:tcBorders>
              <w:tl2br w:val="nil"/>
              <w:tr2bl w:val="nil"/>
            </w:tcBorders>
          </w:tcPr>
          <w:p w14:paraId="76A7403C">
            <w:pPr>
              <w:pStyle w:val="41"/>
              <w:rPr>
                <w:color w:val="auto"/>
                <w:highlight w:val="none"/>
              </w:rPr>
            </w:pPr>
            <w:r>
              <w:rPr>
                <w:color w:val="auto"/>
                <w:highlight w:val="none"/>
              </w:rPr>
              <w:t>合计</w:t>
            </w:r>
          </w:p>
        </w:tc>
      </w:tr>
    </w:tbl>
    <w:p w14:paraId="1572843D">
      <w:pPr>
        <w:pStyle w:val="43"/>
        <w:rPr>
          <w:color w:val="auto"/>
          <w:highlight w:val="none"/>
        </w:rPr>
      </w:pPr>
      <w:r>
        <w:rPr>
          <w:rFonts w:hint="eastAsia"/>
          <w:color w:val="auto"/>
          <w:highlight w:val="none"/>
        </w:rPr>
        <w:t>防渗设施及地下水导排</w:t>
      </w:r>
    </w:p>
    <w:p w14:paraId="6547D05B">
      <w:pPr>
        <w:pStyle w:val="3"/>
        <w:ind w:firstLine="480"/>
        <w:rPr>
          <w:color w:val="auto"/>
          <w:highlight w:val="none"/>
        </w:rPr>
      </w:pPr>
      <w:bookmarkStart w:id="279" w:name="bookmark42"/>
      <w:bookmarkEnd w:id="279"/>
      <w:r>
        <w:rPr>
          <w:rFonts w:hint="eastAsia"/>
          <w:color w:val="auto"/>
          <w:highlight w:val="none"/>
        </w:rPr>
        <w:t>（1）</w:t>
      </w:r>
      <w:r>
        <w:rPr>
          <w:color w:val="auto"/>
          <w:highlight w:val="none"/>
        </w:rPr>
        <w:t>库区防渗设施</w:t>
      </w:r>
    </w:p>
    <w:p w14:paraId="0F1115BE">
      <w:pPr>
        <w:pStyle w:val="3"/>
        <w:ind w:firstLine="480"/>
        <w:rPr>
          <w:color w:val="auto"/>
          <w:highlight w:val="none"/>
        </w:rPr>
      </w:pPr>
      <w:r>
        <w:rPr>
          <w:color w:val="auto"/>
          <w:highlight w:val="none"/>
        </w:rPr>
        <w:t>该尾矿库库区覆盖土层较厚，渗透性中等，自然地层的渗透系数无法满足自然防渗要求，因此须进行人工防渗。该尾矿库参照第Ⅰ类一般工业固体废物防渗要求执行。库区的防渗系统为单层衬里复合防渗结构。</w:t>
      </w:r>
    </w:p>
    <w:p w14:paraId="1D7BD5F8">
      <w:pPr>
        <w:pStyle w:val="3"/>
        <w:ind w:firstLine="480"/>
        <w:rPr>
          <w:color w:val="auto"/>
          <w:highlight w:val="none"/>
        </w:rPr>
      </w:pPr>
      <w:r>
        <w:rPr>
          <w:rFonts w:hint="eastAsia"/>
          <w:color w:val="auto"/>
          <w:highlight w:val="none"/>
        </w:rPr>
        <w:t>1）</w:t>
      </w:r>
      <w:r>
        <w:rPr>
          <w:color w:val="auto"/>
          <w:highlight w:val="none"/>
        </w:rPr>
        <w:t>防渗层结构</w:t>
      </w:r>
    </w:p>
    <w:p w14:paraId="32CC4A8F">
      <w:pPr>
        <w:pStyle w:val="3"/>
        <w:ind w:firstLine="480"/>
        <w:rPr>
          <w:color w:val="auto"/>
          <w:highlight w:val="none"/>
        </w:rPr>
      </w:pPr>
      <w:r>
        <w:rPr>
          <w:rFonts w:hint="eastAsia"/>
          <w:color w:val="auto"/>
          <w:highlight w:val="none"/>
        </w:rPr>
        <w:t>①</w:t>
      </w:r>
      <w:r>
        <w:rPr>
          <w:color w:val="auto"/>
          <w:highlight w:val="none"/>
        </w:rPr>
        <w:t>库区底部水平防渗结构</w:t>
      </w:r>
    </w:p>
    <w:p w14:paraId="62552404">
      <w:pPr>
        <w:pStyle w:val="3"/>
        <w:ind w:firstLine="480"/>
        <w:rPr>
          <w:color w:val="auto"/>
          <w:highlight w:val="none"/>
        </w:rPr>
      </w:pPr>
      <w:r>
        <w:rPr>
          <w:color w:val="auto"/>
          <w:highlight w:val="none"/>
        </w:rPr>
        <w:t>库区底部分区修整后，纵横分别形成不小于2%的坡降。水平防渗结构由上至下依次为：</w:t>
      </w:r>
    </w:p>
    <w:p w14:paraId="7753A602">
      <w:pPr>
        <w:pStyle w:val="3"/>
        <w:ind w:firstLine="480"/>
        <w:rPr>
          <w:color w:val="auto"/>
          <w:highlight w:val="none"/>
        </w:rPr>
      </w:pPr>
      <w:r>
        <w:rPr>
          <w:color w:val="auto"/>
          <w:highlight w:val="none"/>
        </w:rPr>
        <w:t>0.3m厚尾砂保护层；</w:t>
      </w:r>
    </w:p>
    <w:p w14:paraId="5F14A4E5">
      <w:pPr>
        <w:pStyle w:val="3"/>
        <w:ind w:firstLine="480"/>
        <w:rPr>
          <w:color w:val="auto"/>
          <w:highlight w:val="none"/>
        </w:rPr>
      </w:pPr>
      <w:r>
        <w:rPr>
          <w:color w:val="auto"/>
          <w:highlight w:val="none"/>
        </w:rPr>
        <w:t>5.2mm厚复合土工排水网；</w:t>
      </w:r>
    </w:p>
    <w:p w14:paraId="3606BCEF">
      <w:pPr>
        <w:pStyle w:val="3"/>
        <w:ind w:firstLine="480"/>
        <w:rPr>
          <w:color w:val="auto"/>
          <w:highlight w:val="none"/>
        </w:rPr>
      </w:pPr>
      <w:r>
        <w:rPr>
          <w:color w:val="auto"/>
          <w:highlight w:val="none"/>
        </w:rPr>
        <w:t>1.5mmHDPE单糙面土工膜；</w:t>
      </w:r>
    </w:p>
    <w:p w14:paraId="3B8AEB33">
      <w:pPr>
        <w:pStyle w:val="3"/>
        <w:ind w:firstLine="480"/>
        <w:rPr>
          <w:color w:val="auto"/>
          <w:highlight w:val="none"/>
        </w:rPr>
      </w:pPr>
      <w:r>
        <w:rPr>
          <w:color w:val="auto"/>
          <w:highlight w:val="none"/>
        </w:rPr>
        <w:t>4500g/m</w:t>
      </w:r>
      <w:r>
        <w:rPr>
          <w:rFonts w:hint="eastAsia"/>
          <w:color w:val="auto"/>
          <w:highlight w:val="none"/>
          <w:vertAlign w:val="superscript"/>
        </w:rPr>
        <w:t>2</w:t>
      </w:r>
      <w:r>
        <w:rPr>
          <w:color w:val="auto"/>
          <w:highlight w:val="none"/>
        </w:rPr>
        <w:t>天然钠基膨润土GCL。</w:t>
      </w:r>
    </w:p>
    <w:p w14:paraId="5B6DDD37">
      <w:pPr>
        <w:pStyle w:val="3"/>
        <w:ind w:firstLine="480"/>
        <w:rPr>
          <w:color w:val="auto"/>
          <w:highlight w:val="none"/>
        </w:rPr>
      </w:pPr>
      <w:r>
        <w:rPr>
          <w:rFonts w:hint="eastAsia"/>
          <w:color w:val="auto"/>
          <w:highlight w:val="none"/>
        </w:rPr>
        <w:t>②</w:t>
      </w:r>
      <w:r>
        <w:rPr>
          <w:color w:val="auto"/>
          <w:highlight w:val="none"/>
        </w:rPr>
        <w:t>库区边坡防渗结构</w:t>
      </w:r>
    </w:p>
    <w:p w14:paraId="20CC7115">
      <w:pPr>
        <w:pStyle w:val="3"/>
        <w:ind w:firstLine="480"/>
        <w:rPr>
          <w:color w:val="auto"/>
          <w:highlight w:val="none"/>
        </w:rPr>
      </w:pPr>
      <w:r>
        <w:rPr>
          <w:color w:val="auto"/>
          <w:highlight w:val="none"/>
        </w:rPr>
        <w:t>边坡防渗结构由上至下依次为：</w:t>
      </w:r>
    </w:p>
    <w:p w14:paraId="5E1AEDE5">
      <w:pPr>
        <w:pStyle w:val="3"/>
        <w:ind w:firstLine="480"/>
        <w:rPr>
          <w:color w:val="auto"/>
          <w:highlight w:val="none"/>
        </w:rPr>
      </w:pPr>
      <w:r>
        <w:rPr>
          <w:color w:val="auto"/>
          <w:highlight w:val="none"/>
        </w:rPr>
        <w:t>600g/m</w:t>
      </w:r>
      <w:r>
        <w:rPr>
          <w:rFonts w:hint="eastAsia"/>
          <w:color w:val="auto"/>
          <w:highlight w:val="none"/>
          <w:vertAlign w:val="superscript"/>
        </w:rPr>
        <w:t>2</w:t>
      </w:r>
      <w:r>
        <w:rPr>
          <w:color w:val="auto"/>
          <w:highlight w:val="none"/>
        </w:rPr>
        <w:t>长丝无纺土工布作为保护层；</w:t>
      </w:r>
    </w:p>
    <w:p w14:paraId="4A255E08">
      <w:pPr>
        <w:pStyle w:val="3"/>
        <w:ind w:firstLine="480"/>
        <w:rPr>
          <w:color w:val="auto"/>
          <w:highlight w:val="none"/>
        </w:rPr>
      </w:pPr>
      <w:r>
        <w:rPr>
          <w:color w:val="auto"/>
          <w:highlight w:val="none"/>
        </w:rPr>
        <w:t>5.2mm厚复合土工排水网；</w:t>
      </w:r>
    </w:p>
    <w:p w14:paraId="16952BB4">
      <w:pPr>
        <w:pStyle w:val="3"/>
        <w:ind w:firstLine="480"/>
        <w:rPr>
          <w:color w:val="auto"/>
          <w:highlight w:val="none"/>
        </w:rPr>
      </w:pPr>
      <w:r>
        <w:rPr>
          <w:color w:val="auto"/>
          <w:highlight w:val="none"/>
        </w:rPr>
        <w:t>1.5mmHDPE双糙面土工膜；</w:t>
      </w:r>
    </w:p>
    <w:p w14:paraId="73BA6736">
      <w:pPr>
        <w:pStyle w:val="3"/>
        <w:ind w:firstLine="480"/>
        <w:rPr>
          <w:color w:val="auto"/>
          <w:highlight w:val="none"/>
        </w:rPr>
      </w:pPr>
      <w:r>
        <w:rPr>
          <w:color w:val="auto"/>
          <w:highlight w:val="none"/>
        </w:rPr>
        <w:t>4500g/m</w:t>
      </w:r>
      <w:r>
        <w:rPr>
          <w:rFonts w:hint="eastAsia"/>
          <w:color w:val="auto"/>
          <w:highlight w:val="none"/>
          <w:vertAlign w:val="superscript"/>
        </w:rPr>
        <w:t>2</w:t>
      </w:r>
      <w:r>
        <w:rPr>
          <w:color w:val="auto"/>
          <w:highlight w:val="none"/>
        </w:rPr>
        <w:t>天然钠基膨润土GCL。</w:t>
      </w:r>
    </w:p>
    <w:p w14:paraId="5116861E">
      <w:pPr>
        <w:pStyle w:val="3"/>
        <w:ind w:firstLine="480"/>
        <w:rPr>
          <w:color w:val="auto"/>
          <w:highlight w:val="none"/>
        </w:rPr>
      </w:pPr>
      <w:r>
        <w:rPr>
          <w:color w:val="auto"/>
          <w:highlight w:val="none"/>
        </w:rPr>
        <w:t>在尾砂堆筑作业中应先在边坡保护层上铺设袋装砂保护层，</w:t>
      </w:r>
      <w:r>
        <w:rPr>
          <w:rFonts w:hint="eastAsia"/>
          <w:color w:val="auto"/>
          <w:highlight w:val="none"/>
        </w:rPr>
        <w:t>沙袋</w:t>
      </w:r>
      <w:r>
        <w:rPr>
          <w:color w:val="auto"/>
          <w:highlight w:val="none"/>
        </w:rPr>
        <w:t>将随尾砂堆筑高度的增加而增加</w:t>
      </w:r>
      <w:r>
        <w:rPr>
          <w:rFonts w:hint="eastAsia"/>
          <w:color w:val="auto"/>
          <w:highlight w:val="none"/>
        </w:rPr>
        <w:t>。</w:t>
      </w:r>
    </w:p>
    <w:p w14:paraId="6823FE58">
      <w:pPr>
        <w:pStyle w:val="3"/>
        <w:ind w:firstLine="480"/>
        <w:rPr>
          <w:color w:val="auto"/>
          <w:highlight w:val="none"/>
        </w:rPr>
      </w:pPr>
      <w:r>
        <w:rPr>
          <w:rFonts w:hint="eastAsia"/>
          <w:color w:val="auto"/>
          <w:highlight w:val="none"/>
        </w:rPr>
        <w:t>2）</w:t>
      </w:r>
      <w:r>
        <w:rPr>
          <w:color w:val="auto"/>
          <w:highlight w:val="none"/>
        </w:rPr>
        <w:t>防渗设施分期铺设规划</w:t>
      </w:r>
    </w:p>
    <w:p w14:paraId="47E160D1">
      <w:pPr>
        <w:pStyle w:val="3"/>
        <w:ind w:firstLine="480"/>
        <w:rPr>
          <w:color w:val="auto"/>
          <w:highlight w:val="none"/>
        </w:rPr>
      </w:pPr>
      <w:r>
        <w:rPr>
          <w:rFonts w:hint="eastAsia"/>
          <w:color w:val="auto"/>
          <w:highlight w:val="none"/>
        </w:rPr>
        <w:t>结合尾矿库运行管理及安全设施验收相关要求，防渗设施土工膜铺设规划铺设9期，各期土工膜铺设使用年限在1—3年左右，具体分期见表3.</w:t>
      </w:r>
      <w:r>
        <w:rPr>
          <w:rFonts w:hint="eastAsia"/>
          <w:color w:val="auto"/>
          <w:highlight w:val="none"/>
          <w:lang w:val="en-US" w:eastAsia="zh-CN"/>
        </w:rPr>
        <w:t>3</w:t>
      </w:r>
      <w:r>
        <w:rPr>
          <w:rFonts w:hint="eastAsia"/>
          <w:color w:val="auto"/>
          <w:highlight w:val="none"/>
        </w:rPr>
        <w:t>-11。</w:t>
      </w:r>
    </w:p>
    <w:p w14:paraId="2C4C0C84">
      <w:pPr>
        <w:pStyle w:val="40"/>
        <w:spacing w:before="24" w:after="24"/>
        <w:rPr>
          <w:color w:val="auto"/>
          <w:highlight w:val="none"/>
        </w:rPr>
      </w:pPr>
      <w:r>
        <w:rPr>
          <w:color w:val="auto"/>
          <w:highlight w:val="none"/>
        </w:rPr>
        <w:t>表</w:t>
      </w:r>
      <w:r>
        <w:rPr>
          <w:rFonts w:hint="eastAsia"/>
          <w:color w:val="auto"/>
          <w:highlight w:val="none"/>
        </w:rPr>
        <w:t>3.3-11</w:t>
      </w:r>
      <w:r>
        <w:rPr>
          <w:color w:val="auto"/>
          <w:highlight w:val="none"/>
        </w:rPr>
        <w:t xml:space="preserve">  </w:t>
      </w:r>
      <w:r>
        <w:rPr>
          <w:rFonts w:hint="eastAsia"/>
          <w:color w:val="auto"/>
          <w:highlight w:val="none"/>
        </w:rPr>
        <w:t xml:space="preserve">  </w:t>
      </w:r>
      <w:r>
        <w:rPr>
          <w:color w:val="auto"/>
          <w:highlight w:val="none"/>
        </w:rPr>
        <w:t xml:space="preserve"> 防渗设施分期铺设规划表</w:t>
      </w:r>
    </w:p>
    <w:tbl>
      <w:tblPr>
        <w:tblStyle w:val="45"/>
        <w:tblW w:w="8889" w:type="dxa"/>
        <w:tblInd w:w="2"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793"/>
        <w:gridCol w:w="1238"/>
        <w:gridCol w:w="2234"/>
        <w:gridCol w:w="2950"/>
        <w:gridCol w:w="1674"/>
      </w:tblGrid>
      <w:tr w14:paraId="2F0C39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793" w:type="dxa"/>
            <w:tcBorders>
              <w:tl2br w:val="nil"/>
              <w:tr2bl w:val="nil"/>
            </w:tcBorders>
          </w:tcPr>
          <w:p w14:paraId="7C88EE94">
            <w:pPr>
              <w:pStyle w:val="41"/>
              <w:rPr>
                <w:color w:val="auto"/>
                <w:highlight w:val="none"/>
              </w:rPr>
            </w:pPr>
            <w:r>
              <w:rPr>
                <w:color w:val="auto"/>
                <w:highlight w:val="none"/>
              </w:rPr>
              <w:t>序号</w:t>
            </w:r>
          </w:p>
        </w:tc>
        <w:tc>
          <w:tcPr>
            <w:tcW w:w="1238" w:type="dxa"/>
            <w:tcBorders>
              <w:tl2br w:val="nil"/>
              <w:tr2bl w:val="nil"/>
            </w:tcBorders>
          </w:tcPr>
          <w:p w14:paraId="2C35A0AC">
            <w:pPr>
              <w:pStyle w:val="41"/>
              <w:rPr>
                <w:color w:val="auto"/>
                <w:highlight w:val="none"/>
              </w:rPr>
            </w:pPr>
            <w:r>
              <w:rPr>
                <w:color w:val="auto"/>
                <w:highlight w:val="none"/>
              </w:rPr>
              <w:t>防渗设施</w:t>
            </w:r>
          </w:p>
          <w:p w14:paraId="2061B888">
            <w:pPr>
              <w:pStyle w:val="41"/>
              <w:rPr>
                <w:color w:val="auto"/>
                <w:highlight w:val="none"/>
              </w:rPr>
            </w:pPr>
            <w:r>
              <w:rPr>
                <w:color w:val="auto"/>
                <w:highlight w:val="none"/>
              </w:rPr>
              <w:t>分期规划</w:t>
            </w:r>
          </w:p>
        </w:tc>
        <w:tc>
          <w:tcPr>
            <w:tcW w:w="2234" w:type="dxa"/>
            <w:tcBorders>
              <w:tl2br w:val="nil"/>
              <w:tr2bl w:val="nil"/>
            </w:tcBorders>
          </w:tcPr>
          <w:p w14:paraId="5FF10F46">
            <w:pPr>
              <w:pStyle w:val="41"/>
              <w:rPr>
                <w:color w:val="auto"/>
                <w:highlight w:val="none"/>
              </w:rPr>
            </w:pPr>
            <w:r>
              <w:rPr>
                <w:color w:val="auto"/>
                <w:highlight w:val="none"/>
              </w:rPr>
              <w:t>尾矿库标高</w:t>
            </w:r>
          </w:p>
        </w:tc>
        <w:tc>
          <w:tcPr>
            <w:tcW w:w="2950" w:type="dxa"/>
            <w:tcBorders>
              <w:tl2br w:val="nil"/>
              <w:tr2bl w:val="nil"/>
            </w:tcBorders>
          </w:tcPr>
          <w:p w14:paraId="3DE3D06A">
            <w:pPr>
              <w:pStyle w:val="41"/>
              <w:rPr>
                <w:color w:val="auto"/>
                <w:highlight w:val="none"/>
              </w:rPr>
            </w:pPr>
            <w:r>
              <w:rPr>
                <w:color w:val="auto"/>
                <w:highlight w:val="none"/>
              </w:rPr>
              <w:t>对应的锚固沟</w:t>
            </w:r>
          </w:p>
        </w:tc>
        <w:tc>
          <w:tcPr>
            <w:tcW w:w="1674" w:type="dxa"/>
            <w:tcBorders>
              <w:tl2br w:val="nil"/>
              <w:tr2bl w:val="nil"/>
            </w:tcBorders>
          </w:tcPr>
          <w:p w14:paraId="67BF4022">
            <w:pPr>
              <w:pStyle w:val="41"/>
              <w:rPr>
                <w:color w:val="auto"/>
                <w:highlight w:val="none"/>
              </w:rPr>
            </w:pPr>
            <w:r>
              <w:rPr>
                <w:color w:val="auto"/>
                <w:highlight w:val="none"/>
              </w:rPr>
              <w:t>使用年限</w:t>
            </w:r>
          </w:p>
        </w:tc>
      </w:tr>
      <w:tr w14:paraId="505AA6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793" w:type="dxa"/>
            <w:tcBorders>
              <w:tl2br w:val="nil"/>
              <w:tr2bl w:val="nil"/>
            </w:tcBorders>
          </w:tcPr>
          <w:p w14:paraId="02F6C794">
            <w:pPr>
              <w:pStyle w:val="41"/>
              <w:rPr>
                <w:color w:val="auto"/>
                <w:highlight w:val="none"/>
              </w:rPr>
            </w:pPr>
            <w:r>
              <w:rPr>
                <w:color w:val="auto"/>
                <w:highlight w:val="none"/>
              </w:rPr>
              <w:t>1</w:t>
            </w:r>
          </w:p>
        </w:tc>
        <w:tc>
          <w:tcPr>
            <w:tcW w:w="1238" w:type="dxa"/>
            <w:vMerge w:val="restart"/>
            <w:tcBorders>
              <w:tl2br w:val="nil"/>
              <w:tr2bl w:val="nil"/>
            </w:tcBorders>
          </w:tcPr>
          <w:p w14:paraId="50533049">
            <w:pPr>
              <w:pStyle w:val="41"/>
              <w:rPr>
                <w:color w:val="auto"/>
                <w:highlight w:val="none"/>
              </w:rPr>
            </w:pPr>
          </w:p>
          <w:p w14:paraId="22705137">
            <w:pPr>
              <w:pStyle w:val="41"/>
              <w:rPr>
                <w:color w:val="auto"/>
                <w:highlight w:val="none"/>
              </w:rPr>
            </w:pPr>
            <w:r>
              <w:rPr>
                <w:color w:val="auto"/>
                <w:highlight w:val="none"/>
              </w:rPr>
              <w:t>基建期</w:t>
            </w:r>
          </w:p>
        </w:tc>
        <w:tc>
          <w:tcPr>
            <w:tcW w:w="2234" w:type="dxa"/>
            <w:vMerge w:val="restart"/>
            <w:tcBorders>
              <w:tl2br w:val="nil"/>
              <w:tr2bl w:val="nil"/>
            </w:tcBorders>
          </w:tcPr>
          <w:p w14:paraId="49E87CA7">
            <w:pPr>
              <w:pStyle w:val="41"/>
              <w:rPr>
                <w:color w:val="auto"/>
                <w:highlight w:val="none"/>
              </w:rPr>
            </w:pPr>
          </w:p>
          <w:p w14:paraId="7702EC0E">
            <w:pPr>
              <w:pStyle w:val="41"/>
              <w:rPr>
                <w:color w:val="auto"/>
                <w:highlight w:val="none"/>
              </w:rPr>
            </w:pPr>
            <w:r>
              <w:rPr>
                <w:color w:val="auto"/>
                <w:highlight w:val="none"/>
              </w:rPr>
              <w:t>1900.0m</w:t>
            </w:r>
            <w:r>
              <w:rPr>
                <w:rFonts w:hint="eastAsia"/>
                <w:color w:val="auto"/>
                <w:highlight w:val="none"/>
                <w:lang w:eastAsia="zh-CN"/>
              </w:rPr>
              <w:t>—</w:t>
            </w:r>
            <w:r>
              <w:rPr>
                <w:color w:val="auto"/>
                <w:highlight w:val="none"/>
              </w:rPr>
              <w:t>1930.0m</w:t>
            </w:r>
          </w:p>
        </w:tc>
        <w:tc>
          <w:tcPr>
            <w:tcW w:w="2950" w:type="dxa"/>
            <w:tcBorders>
              <w:tl2br w:val="nil"/>
              <w:tr2bl w:val="nil"/>
            </w:tcBorders>
          </w:tcPr>
          <w:p w14:paraId="4626C9AD">
            <w:pPr>
              <w:pStyle w:val="41"/>
              <w:rPr>
                <w:color w:val="auto"/>
                <w:highlight w:val="none"/>
              </w:rPr>
            </w:pPr>
            <w:r>
              <w:rPr>
                <w:color w:val="auto"/>
                <w:highlight w:val="none"/>
              </w:rPr>
              <w:t>第一道（标高1910m）</w:t>
            </w:r>
          </w:p>
        </w:tc>
        <w:tc>
          <w:tcPr>
            <w:tcW w:w="1674" w:type="dxa"/>
            <w:vMerge w:val="restart"/>
            <w:tcBorders>
              <w:tl2br w:val="nil"/>
              <w:tr2bl w:val="nil"/>
            </w:tcBorders>
          </w:tcPr>
          <w:p w14:paraId="5913BD99">
            <w:pPr>
              <w:pStyle w:val="41"/>
              <w:rPr>
                <w:color w:val="auto"/>
                <w:highlight w:val="none"/>
              </w:rPr>
            </w:pPr>
          </w:p>
          <w:p w14:paraId="655D88EC">
            <w:pPr>
              <w:pStyle w:val="41"/>
              <w:rPr>
                <w:color w:val="auto"/>
                <w:highlight w:val="none"/>
              </w:rPr>
            </w:pPr>
            <w:r>
              <w:rPr>
                <w:color w:val="auto"/>
                <w:highlight w:val="none"/>
              </w:rPr>
              <w:t>1.53年</w:t>
            </w:r>
          </w:p>
        </w:tc>
      </w:tr>
      <w:tr w14:paraId="63519C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793" w:type="dxa"/>
            <w:tcBorders>
              <w:tl2br w:val="nil"/>
              <w:tr2bl w:val="nil"/>
            </w:tcBorders>
          </w:tcPr>
          <w:p w14:paraId="40B6CFEB">
            <w:pPr>
              <w:pStyle w:val="41"/>
              <w:rPr>
                <w:color w:val="auto"/>
                <w:highlight w:val="none"/>
              </w:rPr>
            </w:pPr>
            <w:r>
              <w:rPr>
                <w:color w:val="auto"/>
                <w:highlight w:val="none"/>
              </w:rPr>
              <w:t>2</w:t>
            </w:r>
          </w:p>
        </w:tc>
        <w:tc>
          <w:tcPr>
            <w:tcW w:w="1238" w:type="dxa"/>
            <w:vMerge w:val="continue"/>
            <w:tcBorders>
              <w:tl2br w:val="nil"/>
              <w:tr2bl w:val="nil"/>
            </w:tcBorders>
          </w:tcPr>
          <w:p w14:paraId="40534004">
            <w:pPr>
              <w:pStyle w:val="41"/>
              <w:rPr>
                <w:color w:val="auto"/>
                <w:highlight w:val="none"/>
              </w:rPr>
            </w:pPr>
          </w:p>
        </w:tc>
        <w:tc>
          <w:tcPr>
            <w:tcW w:w="2234" w:type="dxa"/>
            <w:vMerge w:val="continue"/>
            <w:tcBorders>
              <w:tl2br w:val="nil"/>
              <w:tr2bl w:val="nil"/>
            </w:tcBorders>
          </w:tcPr>
          <w:p w14:paraId="54CBA488">
            <w:pPr>
              <w:pStyle w:val="41"/>
              <w:rPr>
                <w:color w:val="auto"/>
                <w:highlight w:val="none"/>
              </w:rPr>
            </w:pPr>
          </w:p>
        </w:tc>
        <w:tc>
          <w:tcPr>
            <w:tcW w:w="2950" w:type="dxa"/>
            <w:tcBorders>
              <w:tl2br w:val="nil"/>
              <w:tr2bl w:val="nil"/>
            </w:tcBorders>
          </w:tcPr>
          <w:p w14:paraId="2373CF66">
            <w:pPr>
              <w:pStyle w:val="41"/>
              <w:rPr>
                <w:color w:val="auto"/>
                <w:highlight w:val="none"/>
              </w:rPr>
            </w:pPr>
            <w:r>
              <w:rPr>
                <w:color w:val="auto"/>
                <w:highlight w:val="none"/>
              </w:rPr>
              <w:t>第二道（标高1920m）</w:t>
            </w:r>
          </w:p>
        </w:tc>
        <w:tc>
          <w:tcPr>
            <w:tcW w:w="1674" w:type="dxa"/>
            <w:vMerge w:val="continue"/>
            <w:tcBorders>
              <w:tl2br w:val="nil"/>
              <w:tr2bl w:val="nil"/>
            </w:tcBorders>
          </w:tcPr>
          <w:p w14:paraId="2CE8354D">
            <w:pPr>
              <w:pStyle w:val="41"/>
              <w:rPr>
                <w:color w:val="auto"/>
                <w:highlight w:val="none"/>
              </w:rPr>
            </w:pPr>
          </w:p>
        </w:tc>
      </w:tr>
      <w:tr w14:paraId="4F5E0E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793" w:type="dxa"/>
            <w:tcBorders>
              <w:tl2br w:val="nil"/>
              <w:tr2bl w:val="nil"/>
            </w:tcBorders>
          </w:tcPr>
          <w:p w14:paraId="4CDF203C">
            <w:pPr>
              <w:pStyle w:val="41"/>
              <w:rPr>
                <w:color w:val="auto"/>
                <w:highlight w:val="none"/>
              </w:rPr>
            </w:pPr>
            <w:r>
              <w:rPr>
                <w:color w:val="auto"/>
                <w:highlight w:val="none"/>
              </w:rPr>
              <w:t>3</w:t>
            </w:r>
          </w:p>
        </w:tc>
        <w:tc>
          <w:tcPr>
            <w:tcW w:w="1238" w:type="dxa"/>
            <w:vMerge w:val="continue"/>
            <w:tcBorders>
              <w:tl2br w:val="nil"/>
              <w:tr2bl w:val="nil"/>
            </w:tcBorders>
          </w:tcPr>
          <w:p w14:paraId="26E488DF">
            <w:pPr>
              <w:pStyle w:val="41"/>
              <w:rPr>
                <w:color w:val="auto"/>
                <w:highlight w:val="none"/>
              </w:rPr>
            </w:pPr>
          </w:p>
        </w:tc>
        <w:tc>
          <w:tcPr>
            <w:tcW w:w="2234" w:type="dxa"/>
            <w:vMerge w:val="continue"/>
            <w:tcBorders>
              <w:tl2br w:val="nil"/>
              <w:tr2bl w:val="nil"/>
            </w:tcBorders>
          </w:tcPr>
          <w:p w14:paraId="28639C25">
            <w:pPr>
              <w:pStyle w:val="41"/>
              <w:rPr>
                <w:color w:val="auto"/>
                <w:highlight w:val="none"/>
              </w:rPr>
            </w:pPr>
          </w:p>
        </w:tc>
        <w:tc>
          <w:tcPr>
            <w:tcW w:w="2950" w:type="dxa"/>
            <w:tcBorders>
              <w:tl2br w:val="nil"/>
              <w:tr2bl w:val="nil"/>
            </w:tcBorders>
          </w:tcPr>
          <w:p w14:paraId="1069F5B6">
            <w:pPr>
              <w:pStyle w:val="41"/>
              <w:rPr>
                <w:color w:val="auto"/>
                <w:highlight w:val="none"/>
              </w:rPr>
            </w:pPr>
            <w:r>
              <w:rPr>
                <w:color w:val="auto"/>
                <w:highlight w:val="none"/>
              </w:rPr>
              <w:t>第三道（标高1930m）</w:t>
            </w:r>
          </w:p>
        </w:tc>
        <w:tc>
          <w:tcPr>
            <w:tcW w:w="1674" w:type="dxa"/>
            <w:vMerge w:val="continue"/>
            <w:tcBorders>
              <w:tl2br w:val="nil"/>
              <w:tr2bl w:val="nil"/>
            </w:tcBorders>
          </w:tcPr>
          <w:p w14:paraId="4C03F86B">
            <w:pPr>
              <w:pStyle w:val="41"/>
              <w:rPr>
                <w:color w:val="auto"/>
                <w:highlight w:val="none"/>
              </w:rPr>
            </w:pPr>
          </w:p>
        </w:tc>
      </w:tr>
      <w:tr w14:paraId="73D20D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793" w:type="dxa"/>
            <w:tcBorders>
              <w:tl2br w:val="nil"/>
              <w:tr2bl w:val="nil"/>
            </w:tcBorders>
          </w:tcPr>
          <w:p w14:paraId="66648763">
            <w:pPr>
              <w:pStyle w:val="41"/>
              <w:rPr>
                <w:color w:val="auto"/>
                <w:highlight w:val="none"/>
              </w:rPr>
            </w:pPr>
            <w:r>
              <w:rPr>
                <w:color w:val="auto"/>
                <w:highlight w:val="none"/>
              </w:rPr>
              <w:t>4</w:t>
            </w:r>
          </w:p>
        </w:tc>
        <w:tc>
          <w:tcPr>
            <w:tcW w:w="1238" w:type="dxa"/>
            <w:tcBorders>
              <w:tl2br w:val="nil"/>
              <w:tr2bl w:val="nil"/>
            </w:tcBorders>
          </w:tcPr>
          <w:p w14:paraId="39AACAB0">
            <w:pPr>
              <w:pStyle w:val="41"/>
              <w:rPr>
                <w:color w:val="auto"/>
                <w:highlight w:val="none"/>
              </w:rPr>
            </w:pPr>
            <w:r>
              <w:rPr>
                <w:color w:val="auto"/>
                <w:highlight w:val="none"/>
              </w:rPr>
              <w:t>二期</w:t>
            </w:r>
          </w:p>
        </w:tc>
        <w:tc>
          <w:tcPr>
            <w:tcW w:w="2234" w:type="dxa"/>
            <w:tcBorders>
              <w:tl2br w:val="nil"/>
              <w:tr2bl w:val="nil"/>
            </w:tcBorders>
          </w:tcPr>
          <w:p w14:paraId="682EA717">
            <w:pPr>
              <w:pStyle w:val="41"/>
              <w:rPr>
                <w:color w:val="auto"/>
                <w:highlight w:val="none"/>
              </w:rPr>
            </w:pPr>
            <w:r>
              <w:rPr>
                <w:color w:val="auto"/>
                <w:highlight w:val="none"/>
              </w:rPr>
              <w:t>1930.0m</w:t>
            </w:r>
            <w:r>
              <w:rPr>
                <w:rFonts w:hint="eastAsia"/>
                <w:color w:val="auto"/>
                <w:highlight w:val="none"/>
                <w:lang w:eastAsia="zh-CN"/>
              </w:rPr>
              <w:t>—</w:t>
            </w:r>
            <w:r>
              <w:rPr>
                <w:color w:val="auto"/>
                <w:highlight w:val="none"/>
              </w:rPr>
              <w:t>1940.0m</w:t>
            </w:r>
          </w:p>
        </w:tc>
        <w:tc>
          <w:tcPr>
            <w:tcW w:w="2950" w:type="dxa"/>
            <w:tcBorders>
              <w:tl2br w:val="nil"/>
              <w:tr2bl w:val="nil"/>
            </w:tcBorders>
          </w:tcPr>
          <w:p w14:paraId="60CCFF6F">
            <w:pPr>
              <w:pStyle w:val="41"/>
              <w:rPr>
                <w:color w:val="auto"/>
                <w:highlight w:val="none"/>
              </w:rPr>
            </w:pPr>
            <w:r>
              <w:rPr>
                <w:color w:val="auto"/>
                <w:highlight w:val="none"/>
              </w:rPr>
              <w:t>第四道（标高1940m）</w:t>
            </w:r>
          </w:p>
        </w:tc>
        <w:tc>
          <w:tcPr>
            <w:tcW w:w="1674" w:type="dxa"/>
            <w:tcBorders>
              <w:tl2br w:val="nil"/>
              <w:tr2bl w:val="nil"/>
            </w:tcBorders>
          </w:tcPr>
          <w:p w14:paraId="33703C9C">
            <w:pPr>
              <w:pStyle w:val="41"/>
              <w:rPr>
                <w:color w:val="auto"/>
                <w:highlight w:val="none"/>
              </w:rPr>
            </w:pPr>
            <w:r>
              <w:rPr>
                <w:color w:val="auto"/>
                <w:highlight w:val="none"/>
              </w:rPr>
              <w:t>1.48年</w:t>
            </w:r>
          </w:p>
        </w:tc>
      </w:tr>
      <w:tr w14:paraId="4312D7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793" w:type="dxa"/>
            <w:tcBorders>
              <w:tl2br w:val="nil"/>
              <w:tr2bl w:val="nil"/>
            </w:tcBorders>
          </w:tcPr>
          <w:p w14:paraId="5C4D95E1">
            <w:pPr>
              <w:pStyle w:val="41"/>
              <w:rPr>
                <w:color w:val="auto"/>
                <w:highlight w:val="none"/>
              </w:rPr>
            </w:pPr>
            <w:r>
              <w:rPr>
                <w:color w:val="auto"/>
                <w:highlight w:val="none"/>
              </w:rPr>
              <w:t>5</w:t>
            </w:r>
          </w:p>
        </w:tc>
        <w:tc>
          <w:tcPr>
            <w:tcW w:w="1238" w:type="dxa"/>
            <w:tcBorders>
              <w:tl2br w:val="nil"/>
              <w:tr2bl w:val="nil"/>
            </w:tcBorders>
          </w:tcPr>
          <w:p w14:paraId="277BC742">
            <w:pPr>
              <w:pStyle w:val="41"/>
              <w:rPr>
                <w:color w:val="auto"/>
                <w:highlight w:val="none"/>
              </w:rPr>
            </w:pPr>
            <w:r>
              <w:rPr>
                <w:color w:val="auto"/>
                <w:highlight w:val="none"/>
              </w:rPr>
              <w:t>三期</w:t>
            </w:r>
          </w:p>
        </w:tc>
        <w:tc>
          <w:tcPr>
            <w:tcW w:w="2234" w:type="dxa"/>
            <w:tcBorders>
              <w:tl2br w:val="nil"/>
              <w:tr2bl w:val="nil"/>
            </w:tcBorders>
          </w:tcPr>
          <w:p w14:paraId="529805BE">
            <w:pPr>
              <w:pStyle w:val="41"/>
              <w:rPr>
                <w:color w:val="auto"/>
                <w:highlight w:val="none"/>
              </w:rPr>
            </w:pPr>
            <w:r>
              <w:rPr>
                <w:color w:val="auto"/>
                <w:highlight w:val="none"/>
              </w:rPr>
              <w:t>1940.0m</w:t>
            </w:r>
            <w:r>
              <w:rPr>
                <w:rFonts w:hint="eastAsia"/>
                <w:color w:val="auto"/>
                <w:highlight w:val="none"/>
                <w:lang w:eastAsia="zh-CN"/>
              </w:rPr>
              <w:t>—</w:t>
            </w:r>
            <w:r>
              <w:rPr>
                <w:color w:val="auto"/>
                <w:highlight w:val="none"/>
              </w:rPr>
              <w:t>1950.0m</w:t>
            </w:r>
          </w:p>
        </w:tc>
        <w:tc>
          <w:tcPr>
            <w:tcW w:w="2950" w:type="dxa"/>
            <w:tcBorders>
              <w:tl2br w:val="nil"/>
              <w:tr2bl w:val="nil"/>
            </w:tcBorders>
          </w:tcPr>
          <w:p w14:paraId="2D2130E7">
            <w:pPr>
              <w:pStyle w:val="41"/>
              <w:rPr>
                <w:color w:val="auto"/>
                <w:highlight w:val="none"/>
              </w:rPr>
            </w:pPr>
            <w:r>
              <w:rPr>
                <w:color w:val="auto"/>
                <w:highlight w:val="none"/>
              </w:rPr>
              <w:t>第五道（标高1950m）</w:t>
            </w:r>
          </w:p>
        </w:tc>
        <w:tc>
          <w:tcPr>
            <w:tcW w:w="1674" w:type="dxa"/>
            <w:tcBorders>
              <w:tl2br w:val="nil"/>
              <w:tr2bl w:val="nil"/>
            </w:tcBorders>
          </w:tcPr>
          <w:p w14:paraId="6D5DD074">
            <w:pPr>
              <w:pStyle w:val="41"/>
              <w:rPr>
                <w:color w:val="auto"/>
                <w:highlight w:val="none"/>
              </w:rPr>
            </w:pPr>
            <w:r>
              <w:rPr>
                <w:color w:val="auto"/>
                <w:highlight w:val="none"/>
              </w:rPr>
              <w:t>1.77年</w:t>
            </w:r>
          </w:p>
        </w:tc>
      </w:tr>
      <w:tr w14:paraId="46CAA8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793" w:type="dxa"/>
            <w:tcBorders>
              <w:tl2br w:val="nil"/>
              <w:tr2bl w:val="nil"/>
            </w:tcBorders>
          </w:tcPr>
          <w:p w14:paraId="44DD1A46">
            <w:pPr>
              <w:pStyle w:val="41"/>
              <w:rPr>
                <w:color w:val="auto"/>
                <w:highlight w:val="none"/>
              </w:rPr>
            </w:pPr>
            <w:r>
              <w:rPr>
                <w:color w:val="auto"/>
                <w:highlight w:val="none"/>
              </w:rPr>
              <w:t>6</w:t>
            </w:r>
          </w:p>
        </w:tc>
        <w:tc>
          <w:tcPr>
            <w:tcW w:w="1238" w:type="dxa"/>
            <w:tcBorders>
              <w:tl2br w:val="nil"/>
              <w:tr2bl w:val="nil"/>
            </w:tcBorders>
          </w:tcPr>
          <w:p w14:paraId="7145C332">
            <w:pPr>
              <w:pStyle w:val="41"/>
              <w:rPr>
                <w:color w:val="auto"/>
                <w:highlight w:val="none"/>
              </w:rPr>
            </w:pPr>
            <w:r>
              <w:rPr>
                <w:color w:val="auto"/>
                <w:highlight w:val="none"/>
              </w:rPr>
              <w:t>四期</w:t>
            </w:r>
          </w:p>
        </w:tc>
        <w:tc>
          <w:tcPr>
            <w:tcW w:w="2234" w:type="dxa"/>
            <w:tcBorders>
              <w:tl2br w:val="nil"/>
              <w:tr2bl w:val="nil"/>
            </w:tcBorders>
          </w:tcPr>
          <w:p w14:paraId="1C5E5837">
            <w:pPr>
              <w:pStyle w:val="41"/>
              <w:rPr>
                <w:color w:val="auto"/>
                <w:highlight w:val="none"/>
              </w:rPr>
            </w:pPr>
            <w:r>
              <w:rPr>
                <w:color w:val="auto"/>
                <w:highlight w:val="none"/>
              </w:rPr>
              <w:t>1950.0m</w:t>
            </w:r>
            <w:r>
              <w:rPr>
                <w:rFonts w:hint="eastAsia"/>
                <w:color w:val="auto"/>
                <w:highlight w:val="none"/>
                <w:lang w:eastAsia="zh-CN"/>
              </w:rPr>
              <w:t>—</w:t>
            </w:r>
            <w:r>
              <w:rPr>
                <w:color w:val="auto"/>
                <w:highlight w:val="none"/>
              </w:rPr>
              <w:t>1960.0m</w:t>
            </w:r>
          </w:p>
        </w:tc>
        <w:tc>
          <w:tcPr>
            <w:tcW w:w="2950" w:type="dxa"/>
            <w:tcBorders>
              <w:tl2br w:val="nil"/>
              <w:tr2bl w:val="nil"/>
            </w:tcBorders>
          </w:tcPr>
          <w:p w14:paraId="6A6B03FB">
            <w:pPr>
              <w:pStyle w:val="41"/>
              <w:rPr>
                <w:color w:val="auto"/>
                <w:highlight w:val="none"/>
              </w:rPr>
            </w:pPr>
            <w:r>
              <w:rPr>
                <w:color w:val="auto"/>
                <w:highlight w:val="none"/>
              </w:rPr>
              <w:t>第六道（标高1960m）</w:t>
            </w:r>
          </w:p>
        </w:tc>
        <w:tc>
          <w:tcPr>
            <w:tcW w:w="1674" w:type="dxa"/>
            <w:tcBorders>
              <w:tl2br w:val="nil"/>
              <w:tr2bl w:val="nil"/>
            </w:tcBorders>
          </w:tcPr>
          <w:p w14:paraId="26849165">
            <w:pPr>
              <w:pStyle w:val="41"/>
              <w:rPr>
                <w:color w:val="auto"/>
                <w:highlight w:val="none"/>
              </w:rPr>
            </w:pPr>
            <w:r>
              <w:rPr>
                <w:color w:val="auto"/>
                <w:highlight w:val="none"/>
              </w:rPr>
              <w:t>1.99年</w:t>
            </w:r>
          </w:p>
        </w:tc>
      </w:tr>
      <w:tr w14:paraId="156513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793" w:type="dxa"/>
            <w:tcBorders>
              <w:tl2br w:val="nil"/>
              <w:tr2bl w:val="nil"/>
            </w:tcBorders>
          </w:tcPr>
          <w:p w14:paraId="679D1AAA">
            <w:pPr>
              <w:pStyle w:val="41"/>
              <w:rPr>
                <w:color w:val="auto"/>
                <w:highlight w:val="none"/>
              </w:rPr>
            </w:pPr>
            <w:r>
              <w:rPr>
                <w:color w:val="auto"/>
                <w:highlight w:val="none"/>
              </w:rPr>
              <w:t>7</w:t>
            </w:r>
          </w:p>
        </w:tc>
        <w:tc>
          <w:tcPr>
            <w:tcW w:w="1238" w:type="dxa"/>
            <w:tcBorders>
              <w:tl2br w:val="nil"/>
              <w:tr2bl w:val="nil"/>
            </w:tcBorders>
          </w:tcPr>
          <w:p w14:paraId="1114CAD8">
            <w:pPr>
              <w:pStyle w:val="41"/>
              <w:rPr>
                <w:color w:val="auto"/>
                <w:highlight w:val="none"/>
              </w:rPr>
            </w:pPr>
            <w:r>
              <w:rPr>
                <w:color w:val="auto"/>
                <w:highlight w:val="none"/>
              </w:rPr>
              <w:t>五期</w:t>
            </w:r>
          </w:p>
        </w:tc>
        <w:tc>
          <w:tcPr>
            <w:tcW w:w="2234" w:type="dxa"/>
            <w:tcBorders>
              <w:tl2br w:val="nil"/>
              <w:tr2bl w:val="nil"/>
            </w:tcBorders>
          </w:tcPr>
          <w:p w14:paraId="65B68733">
            <w:pPr>
              <w:pStyle w:val="41"/>
              <w:rPr>
                <w:color w:val="auto"/>
                <w:highlight w:val="none"/>
              </w:rPr>
            </w:pPr>
            <w:r>
              <w:rPr>
                <w:color w:val="auto"/>
                <w:highlight w:val="none"/>
              </w:rPr>
              <w:t>1960.0m</w:t>
            </w:r>
            <w:r>
              <w:rPr>
                <w:rFonts w:hint="eastAsia"/>
                <w:color w:val="auto"/>
                <w:highlight w:val="none"/>
                <w:lang w:eastAsia="zh-CN"/>
              </w:rPr>
              <w:t>—</w:t>
            </w:r>
            <w:r>
              <w:rPr>
                <w:color w:val="auto"/>
                <w:highlight w:val="none"/>
              </w:rPr>
              <w:t>1970.0m</w:t>
            </w:r>
          </w:p>
        </w:tc>
        <w:tc>
          <w:tcPr>
            <w:tcW w:w="2950" w:type="dxa"/>
            <w:tcBorders>
              <w:tl2br w:val="nil"/>
              <w:tr2bl w:val="nil"/>
            </w:tcBorders>
          </w:tcPr>
          <w:p w14:paraId="266D9B5A">
            <w:pPr>
              <w:pStyle w:val="41"/>
              <w:rPr>
                <w:color w:val="auto"/>
                <w:highlight w:val="none"/>
              </w:rPr>
            </w:pPr>
            <w:r>
              <w:rPr>
                <w:color w:val="auto"/>
                <w:highlight w:val="none"/>
              </w:rPr>
              <w:t>第七道（标高1970m）</w:t>
            </w:r>
          </w:p>
        </w:tc>
        <w:tc>
          <w:tcPr>
            <w:tcW w:w="1674" w:type="dxa"/>
            <w:tcBorders>
              <w:tl2br w:val="nil"/>
              <w:tr2bl w:val="nil"/>
            </w:tcBorders>
          </w:tcPr>
          <w:p w14:paraId="55ED8DC8">
            <w:pPr>
              <w:pStyle w:val="41"/>
              <w:rPr>
                <w:color w:val="auto"/>
                <w:highlight w:val="none"/>
              </w:rPr>
            </w:pPr>
            <w:r>
              <w:rPr>
                <w:color w:val="auto"/>
                <w:highlight w:val="none"/>
              </w:rPr>
              <w:t>2.15年</w:t>
            </w:r>
          </w:p>
        </w:tc>
      </w:tr>
      <w:tr w14:paraId="5C2A9BA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793" w:type="dxa"/>
            <w:tcBorders>
              <w:tl2br w:val="nil"/>
              <w:tr2bl w:val="nil"/>
            </w:tcBorders>
          </w:tcPr>
          <w:p w14:paraId="61A78B19">
            <w:pPr>
              <w:pStyle w:val="41"/>
              <w:rPr>
                <w:color w:val="auto"/>
                <w:highlight w:val="none"/>
              </w:rPr>
            </w:pPr>
            <w:r>
              <w:rPr>
                <w:color w:val="auto"/>
                <w:highlight w:val="none"/>
              </w:rPr>
              <w:t>8</w:t>
            </w:r>
          </w:p>
        </w:tc>
        <w:tc>
          <w:tcPr>
            <w:tcW w:w="1238" w:type="dxa"/>
            <w:tcBorders>
              <w:tl2br w:val="nil"/>
              <w:tr2bl w:val="nil"/>
            </w:tcBorders>
          </w:tcPr>
          <w:p w14:paraId="73902EFF">
            <w:pPr>
              <w:pStyle w:val="41"/>
              <w:rPr>
                <w:color w:val="auto"/>
                <w:highlight w:val="none"/>
              </w:rPr>
            </w:pPr>
            <w:r>
              <w:rPr>
                <w:color w:val="auto"/>
                <w:highlight w:val="none"/>
              </w:rPr>
              <w:t>六期</w:t>
            </w:r>
          </w:p>
        </w:tc>
        <w:tc>
          <w:tcPr>
            <w:tcW w:w="2234" w:type="dxa"/>
            <w:tcBorders>
              <w:tl2br w:val="nil"/>
              <w:tr2bl w:val="nil"/>
            </w:tcBorders>
          </w:tcPr>
          <w:p w14:paraId="7D67E292">
            <w:pPr>
              <w:pStyle w:val="41"/>
              <w:rPr>
                <w:color w:val="auto"/>
                <w:highlight w:val="none"/>
              </w:rPr>
            </w:pPr>
            <w:r>
              <w:rPr>
                <w:color w:val="auto"/>
                <w:highlight w:val="none"/>
              </w:rPr>
              <w:t>1970.0m</w:t>
            </w:r>
            <w:r>
              <w:rPr>
                <w:rFonts w:hint="eastAsia"/>
                <w:color w:val="auto"/>
                <w:highlight w:val="none"/>
                <w:lang w:eastAsia="zh-CN"/>
              </w:rPr>
              <w:t>—</w:t>
            </w:r>
            <w:r>
              <w:rPr>
                <w:color w:val="auto"/>
                <w:highlight w:val="none"/>
              </w:rPr>
              <w:t>1980.0m</w:t>
            </w:r>
          </w:p>
        </w:tc>
        <w:tc>
          <w:tcPr>
            <w:tcW w:w="2950" w:type="dxa"/>
            <w:tcBorders>
              <w:tl2br w:val="nil"/>
              <w:tr2bl w:val="nil"/>
            </w:tcBorders>
          </w:tcPr>
          <w:p w14:paraId="156BF7A6">
            <w:pPr>
              <w:pStyle w:val="41"/>
              <w:rPr>
                <w:color w:val="auto"/>
                <w:highlight w:val="none"/>
              </w:rPr>
            </w:pPr>
            <w:r>
              <w:rPr>
                <w:color w:val="auto"/>
                <w:highlight w:val="none"/>
              </w:rPr>
              <w:t>第八道（标高1980m）</w:t>
            </w:r>
          </w:p>
        </w:tc>
        <w:tc>
          <w:tcPr>
            <w:tcW w:w="1674" w:type="dxa"/>
            <w:tcBorders>
              <w:tl2br w:val="nil"/>
              <w:tr2bl w:val="nil"/>
            </w:tcBorders>
          </w:tcPr>
          <w:p w14:paraId="6A08517A">
            <w:pPr>
              <w:pStyle w:val="41"/>
              <w:rPr>
                <w:color w:val="auto"/>
                <w:highlight w:val="none"/>
              </w:rPr>
            </w:pPr>
            <w:r>
              <w:rPr>
                <w:color w:val="auto"/>
                <w:highlight w:val="none"/>
              </w:rPr>
              <w:t>2.29年</w:t>
            </w:r>
          </w:p>
        </w:tc>
      </w:tr>
      <w:tr w14:paraId="17286CC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793" w:type="dxa"/>
            <w:tcBorders>
              <w:tl2br w:val="nil"/>
              <w:tr2bl w:val="nil"/>
            </w:tcBorders>
          </w:tcPr>
          <w:p w14:paraId="69A2F3F7">
            <w:pPr>
              <w:pStyle w:val="41"/>
              <w:rPr>
                <w:color w:val="auto"/>
                <w:highlight w:val="none"/>
              </w:rPr>
            </w:pPr>
            <w:r>
              <w:rPr>
                <w:color w:val="auto"/>
                <w:highlight w:val="none"/>
              </w:rPr>
              <w:t>9</w:t>
            </w:r>
          </w:p>
        </w:tc>
        <w:tc>
          <w:tcPr>
            <w:tcW w:w="1238" w:type="dxa"/>
            <w:tcBorders>
              <w:tl2br w:val="nil"/>
              <w:tr2bl w:val="nil"/>
            </w:tcBorders>
          </w:tcPr>
          <w:p w14:paraId="2B764CCF">
            <w:pPr>
              <w:pStyle w:val="41"/>
              <w:rPr>
                <w:color w:val="auto"/>
                <w:highlight w:val="none"/>
              </w:rPr>
            </w:pPr>
            <w:r>
              <w:rPr>
                <w:color w:val="auto"/>
                <w:highlight w:val="none"/>
              </w:rPr>
              <w:t>七期</w:t>
            </w:r>
          </w:p>
        </w:tc>
        <w:tc>
          <w:tcPr>
            <w:tcW w:w="2234" w:type="dxa"/>
            <w:tcBorders>
              <w:tl2br w:val="nil"/>
              <w:tr2bl w:val="nil"/>
            </w:tcBorders>
          </w:tcPr>
          <w:p w14:paraId="746D6143">
            <w:pPr>
              <w:pStyle w:val="41"/>
              <w:rPr>
                <w:color w:val="auto"/>
                <w:highlight w:val="none"/>
              </w:rPr>
            </w:pPr>
            <w:r>
              <w:rPr>
                <w:color w:val="auto"/>
                <w:highlight w:val="none"/>
              </w:rPr>
              <w:t>1980.0m</w:t>
            </w:r>
            <w:r>
              <w:rPr>
                <w:rFonts w:hint="eastAsia"/>
                <w:color w:val="auto"/>
                <w:highlight w:val="none"/>
                <w:lang w:eastAsia="zh-CN"/>
              </w:rPr>
              <w:t>—</w:t>
            </w:r>
            <w:r>
              <w:rPr>
                <w:color w:val="auto"/>
                <w:highlight w:val="none"/>
              </w:rPr>
              <w:t>1990.0m</w:t>
            </w:r>
          </w:p>
        </w:tc>
        <w:tc>
          <w:tcPr>
            <w:tcW w:w="2950" w:type="dxa"/>
            <w:tcBorders>
              <w:tl2br w:val="nil"/>
              <w:tr2bl w:val="nil"/>
            </w:tcBorders>
          </w:tcPr>
          <w:p w14:paraId="23392CCB">
            <w:pPr>
              <w:pStyle w:val="41"/>
              <w:rPr>
                <w:color w:val="auto"/>
                <w:highlight w:val="none"/>
              </w:rPr>
            </w:pPr>
            <w:r>
              <w:rPr>
                <w:color w:val="auto"/>
                <w:highlight w:val="none"/>
              </w:rPr>
              <w:t>第九道（标高1990m）</w:t>
            </w:r>
          </w:p>
        </w:tc>
        <w:tc>
          <w:tcPr>
            <w:tcW w:w="1674" w:type="dxa"/>
            <w:tcBorders>
              <w:tl2br w:val="nil"/>
              <w:tr2bl w:val="nil"/>
            </w:tcBorders>
          </w:tcPr>
          <w:p w14:paraId="63783F7C">
            <w:pPr>
              <w:pStyle w:val="41"/>
              <w:rPr>
                <w:color w:val="auto"/>
                <w:highlight w:val="none"/>
              </w:rPr>
            </w:pPr>
            <w:r>
              <w:rPr>
                <w:color w:val="auto"/>
                <w:highlight w:val="none"/>
              </w:rPr>
              <w:t>2.38年</w:t>
            </w:r>
          </w:p>
        </w:tc>
      </w:tr>
      <w:tr w14:paraId="289A58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793" w:type="dxa"/>
            <w:tcBorders>
              <w:tl2br w:val="nil"/>
              <w:tr2bl w:val="nil"/>
            </w:tcBorders>
          </w:tcPr>
          <w:p w14:paraId="04E234B6">
            <w:pPr>
              <w:pStyle w:val="41"/>
              <w:rPr>
                <w:color w:val="auto"/>
                <w:highlight w:val="none"/>
              </w:rPr>
            </w:pPr>
            <w:r>
              <w:rPr>
                <w:color w:val="auto"/>
                <w:highlight w:val="none"/>
              </w:rPr>
              <w:t>10</w:t>
            </w:r>
          </w:p>
        </w:tc>
        <w:tc>
          <w:tcPr>
            <w:tcW w:w="1238" w:type="dxa"/>
            <w:tcBorders>
              <w:tl2br w:val="nil"/>
              <w:tr2bl w:val="nil"/>
            </w:tcBorders>
          </w:tcPr>
          <w:p w14:paraId="750CEDD9">
            <w:pPr>
              <w:pStyle w:val="41"/>
              <w:rPr>
                <w:color w:val="auto"/>
                <w:highlight w:val="none"/>
              </w:rPr>
            </w:pPr>
            <w:r>
              <w:rPr>
                <w:color w:val="auto"/>
                <w:highlight w:val="none"/>
              </w:rPr>
              <w:t>八期</w:t>
            </w:r>
          </w:p>
        </w:tc>
        <w:tc>
          <w:tcPr>
            <w:tcW w:w="2234" w:type="dxa"/>
            <w:tcBorders>
              <w:tl2br w:val="nil"/>
              <w:tr2bl w:val="nil"/>
            </w:tcBorders>
          </w:tcPr>
          <w:p w14:paraId="0C0DA5D5">
            <w:pPr>
              <w:pStyle w:val="41"/>
              <w:rPr>
                <w:color w:val="auto"/>
                <w:highlight w:val="none"/>
              </w:rPr>
            </w:pPr>
            <w:r>
              <w:rPr>
                <w:color w:val="auto"/>
                <w:highlight w:val="none"/>
              </w:rPr>
              <w:t>1990.0m</w:t>
            </w:r>
            <w:r>
              <w:rPr>
                <w:rFonts w:hint="eastAsia"/>
                <w:color w:val="auto"/>
                <w:highlight w:val="none"/>
                <w:lang w:eastAsia="zh-CN"/>
              </w:rPr>
              <w:t>—</w:t>
            </w:r>
            <w:r>
              <w:rPr>
                <w:color w:val="auto"/>
                <w:highlight w:val="none"/>
              </w:rPr>
              <w:t>2000.0m</w:t>
            </w:r>
          </w:p>
        </w:tc>
        <w:tc>
          <w:tcPr>
            <w:tcW w:w="2950" w:type="dxa"/>
            <w:tcBorders>
              <w:tl2br w:val="nil"/>
              <w:tr2bl w:val="nil"/>
            </w:tcBorders>
          </w:tcPr>
          <w:p w14:paraId="029F8392">
            <w:pPr>
              <w:pStyle w:val="41"/>
              <w:rPr>
                <w:color w:val="auto"/>
                <w:highlight w:val="none"/>
              </w:rPr>
            </w:pPr>
            <w:r>
              <w:rPr>
                <w:color w:val="auto"/>
                <w:highlight w:val="none"/>
              </w:rPr>
              <w:t>第十道（标高2000m）</w:t>
            </w:r>
          </w:p>
        </w:tc>
        <w:tc>
          <w:tcPr>
            <w:tcW w:w="1674" w:type="dxa"/>
            <w:tcBorders>
              <w:tl2br w:val="nil"/>
              <w:tr2bl w:val="nil"/>
            </w:tcBorders>
          </w:tcPr>
          <w:p w14:paraId="3C872B71">
            <w:pPr>
              <w:pStyle w:val="41"/>
              <w:rPr>
                <w:color w:val="auto"/>
                <w:highlight w:val="none"/>
              </w:rPr>
            </w:pPr>
            <w:r>
              <w:rPr>
                <w:color w:val="auto"/>
                <w:highlight w:val="none"/>
              </w:rPr>
              <w:t>2.52年</w:t>
            </w:r>
          </w:p>
        </w:tc>
      </w:tr>
      <w:tr w14:paraId="75070A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793" w:type="dxa"/>
            <w:tcBorders>
              <w:tl2br w:val="nil"/>
              <w:tr2bl w:val="nil"/>
            </w:tcBorders>
          </w:tcPr>
          <w:p w14:paraId="444BD8A0">
            <w:pPr>
              <w:pStyle w:val="41"/>
              <w:rPr>
                <w:color w:val="auto"/>
                <w:highlight w:val="none"/>
              </w:rPr>
            </w:pPr>
            <w:r>
              <w:rPr>
                <w:color w:val="auto"/>
                <w:highlight w:val="none"/>
              </w:rPr>
              <w:t>11</w:t>
            </w:r>
          </w:p>
        </w:tc>
        <w:tc>
          <w:tcPr>
            <w:tcW w:w="1238" w:type="dxa"/>
            <w:tcBorders>
              <w:tl2br w:val="nil"/>
              <w:tr2bl w:val="nil"/>
            </w:tcBorders>
          </w:tcPr>
          <w:p w14:paraId="2CC25D46">
            <w:pPr>
              <w:pStyle w:val="41"/>
              <w:rPr>
                <w:color w:val="auto"/>
                <w:highlight w:val="none"/>
              </w:rPr>
            </w:pPr>
            <w:r>
              <w:rPr>
                <w:color w:val="auto"/>
                <w:highlight w:val="none"/>
              </w:rPr>
              <w:t>九期</w:t>
            </w:r>
          </w:p>
        </w:tc>
        <w:tc>
          <w:tcPr>
            <w:tcW w:w="2234" w:type="dxa"/>
            <w:tcBorders>
              <w:tl2br w:val="nil"/>
              <w:tr2bl w:val="nil"/>
            </w:tcBorders>
          </w:tcPr>
          <w:p w14:paraId="37811687">
            <w:pPr>
              <w:pStyle w:val="41"/>
              <w:rPr>
                <w:color w:val="auto"/>
                <w:highlight w:val="none"/>
              </w:rPr>
            </w:pPr>
            <w:r>
              <w:rPr>
                <w:color w:val="auto"/>
                <w:highlight w:val="none"/>
              </w:rPr>
              <w:t>2000.0m</w:t>
            </w:r>
            <w:r>
              <w:rPr>
                <w:rFonts w:hint="eastAsia"/>
                <w:color w:val="auto"/>
                <w:highlight w:val="none"/>
                <w:lang w:eastAsia="zh-CN"/>
              </w:rPr>
              <w:t>—</w:t>
            </w:r>
            <w:r>
              <w:rPr>
                <w:color w:val="auto"/>
                <w:highlight w:val="none"/>
              </w:rPr>
              <w:t>2015.0m</w:t>
            </w:r>
          </w:p>
        </w:tc>
        <w:tc>
          <w:tcPr>
            <w:tcW w:w="2950" w:type="dxa"/>
            <w:tcBorders>
              <w:tl2br w:val="nil"/>
              <w:tr2bl w:val="nil"/>
            </w:tcBorders>
          </w:tcPr>
          <w:p w14:paraId="6E4A198C">
            <w:pPr>
              <w:pStyle w:val="41"/>
              <w:rPr>
                <w:color w:val="auto"/>
                <w:highlight w:val="none"/>
              </w:rPr>
            </w:pPr>
            <w:r>
              <w:rPr>
                <w:color w:val="auto"/>
                <w:highlight w:val="none"/>
              </w:rPr>
              <w:t>第十一道（标高2015m）</w:t>
            </w:r>
          </w:p>
        </w:tc>
        <w:tc>
          <w:tcPr>
            <w:tcW w:w="1674" w:type="dxa"/>
            <w:tcBorders>
              <w:tl2br w:val="nil"/>
              <w:tr2bl w:val="nil"/>
            </w:tcBorders>
          </w:tcPr>
          <w:p w14:paraId="2BC30E44">
            <w:pPr>
              <w:pStyle w:val="41"/>
              <w:rPr>
                <w:color w:val="auto"/>
                <w:highlight w:val="none"/>
              </w:rPr>
            </w:pPr>
            <w:r>
              <w:rPr>
                <w:color w:val="auto"/>
                <w:highlight w:val="none"/>
              </w:rPr>
              <w:t>2.69年</w:t>
            </w:r>
          </w:p>
        </w:tc>
      </w:tr>
    </w:tbl>
    <w:p w14:paraId="2A30EBEF">
      <w:pPr>
        <w:pStyle w:val="3"/>
        <w:ind w:firstLine="480"/>
        <w:rPr>
          <w:color w:val="auto"/>
          <w:highlight w:val="none"/>
        </w:rPr>
      </w:pPr>
      <w:r>
        <w:rPr>
          <w:rFonts w:hint="eastAsia"/>
          <w:color w:val="auto"/>
          <w:highlight w:val="none"/>
        </w:rPr>
        <w:t>（2）</w:t>
      </w:r>
      <w:r>
        <w:rPr>
          <w:color w:val="auto"/>
          <w:highlight w:val="none"/>
        </w:rPr>
        <w:t>排渗设施</w:t>
      </w:r>
    </w:p>
    <w:p w14:paraId="31D7F117">
      <w:pPr>
        <w:pStyle w:val="3"/>
        <w:ind w:firstLine="480"/>
        <w:rPr>
          <w:color w:val="auto"/>
          <w:highlight w:val="none"/>
        </w:rPr>
      </w:pPr>
      <w:r>
        <w:rPr>
          <w:color w:val="auto"/>
          <w:highlight w:val="none"/>
        </w:rPr>
        <w:t>设计的排渗设施主要由坝体排渗设施及库底排渗设施组成。</w:t>
      </w:r>
    </w:p>
    <w:p w14:paraId="4448BAD9">
      <w:pPr>
        <w:pStyle w:val="3"/>
        <w:ind w:firstLine="480"/>
        <w:rPr>
          <w:color w:val="auto"/>
          <w:highlight w:val="none"/>
        </w:rPr>
      </w:pPr>
      <w:r>
        <w:rPr>
          <w:rFonts w:hint="eastAsia"/>
          <w:color w:val="auto"/>
          <w:highlight w:val="none"/>
        </w:rPr>
        <w:t>1）</w:t>
      </w:r>
      <w:r>
        <w:rPr>
          <w:color w:val="auto"/>
          <w:highlight w:val="none"/>
        </w:rPr>
        <w:t>坝体排渗</w:t>
      </w:r>
    </w:p>
    <w:p w14:paraId="3534F937">
      <w:pPr>
        <w:pStyle w:val="3"/>
        <w:ind w:firstLine="480"/>
        <w:rPr>
          <w:color w:val="auto"/>
          <w:highlight w:val="none"/>
        </w:rPr>
      </w:pPr>
      <w:r>
        <w:rPr>
          <w:rFonts w:hint="eastAsia"/>
          <w:color w:val="auto"/>
          <w:highlight w:val="none"/>
        </w:rPr>
        <w:t>①</w:t>
      </w:r>
      <w:r>
        <w:rPr>
          <w:color w:val="auto"/>
          <w:highlight w:val="none"/>
        </w:rPr>
        <w:t>堆积坝每隔20m高度设置坝体土工席垫排渗层，在距堆积坝滩顶150m平行坝轴线铺设土工席垫排渗层；排渗席垫层由δ=12mm土工席垫、φ159×6mm排渗软塑管+φ100软式透水管+400g/m</w:t>
      </w:r>
      <w:r>
        <w:rPr>
          <w:rFonts w:hint="eastAsia"/>
          <w:color w:val="auto"/>
          <w:highlight w:val="none"/>
          <w:vertAlign w:val="superscript"/>
        </w:rPr>
        <w:t>2</w:t>
      </w:r>
      <w:r>
        <w:rPr>
          <w:color w:val="auto"/>
          <w:highlight w:val="none"/>
        </w:rPr>
        <w:t>土工布组成。铺设宽度2.0m，铺设整个轴线长；软式透水管长横穿排水席垫至坝肩截水沟；排渗软塑管间距15m，垂直坝轴线均布，将渗水排往堆积坝马道排水沟。</w:t>
      </w:r>
    </w:p>
    <w:p w14:paraId="4C49796A">
      <w:pPr>
        <w:pStyle w:val="3"/>
        <w:ind w:firstLine="480"/>
        <w:rPr>
          <w:color w:val="auto"/>
          <w:highlight w:val="none"/>
        </w:rPr>
      </w:pPr>
      <w:r>
        <w:rPr>
          <w:rFonts w:hint="eastAsia"/>
          <w:color w:val="auto"/>
          <w:highlight w:val="none"/>
        </w:rPr>
        <w:t>②</w:t>
      </w:r>
      <w:r>
        <w:rPr>
          <w:color w:val="auto"/>
          <w:highlight w:val="none"/>
        </w:rPr>
        <w:t>在距尾矿坝滩顶水平距离75m处，每隔20m高度铺设坝前水平排渗层，由δ=12mm土工席垫、φ159×6mm排渗软塑管+φ100软式进水管+400g/m</w:t>
      </w:r>
      <w:r>
        <w:rPr>
          <w:rFonts w:hint="eastAsia"/>
          <w:color w:val="auto"/>
          <w:highlight w:val="none"/>
          <w:vertAlign w:val="superscript"/>
        </w:rPr>
        <w:t>2</w:t>
      </w:r>
      <w:r>
        <w:rPr>
          <w:color w:val="auto"/>
          <w:highlight w:val="none"/>
        </w:rPr>
        <w:t>土工布组成，每段宽2.0m。</w:t>
      </w:r>
    </w:p>
    <w:p w14:paraId="39C3A775">
      <w:pPr>
        <w:pStyle w:val="3"/>
        <w:ind w:firstLine="480"/>
        <w:rPr>
          <w:color w:val="auto"/>
          <w:highlight w:val="none"/>
        </w:rPr>
      </w:pPr>
      <w:r>
        <w:rPr>
          <w:rFonts w:hint="eastAsia"/>
          <w:color w:val="auto"/>
          <w:highlight w:val="none"/>
        </w:rPr>
        <w:t>2）</w:t>
      </w:r>
      <w:r>
        <w:rPr>
          <w:color w:val="auto"/>
          <w:highlight w:val="none"/>
        </w:rPr>
        <w:t>库底排渗设施</w:t>
      </w:r>
    </w:p>
    <w:p w14:paraId="21FC0614">
      <w:pPr>
        <w:pStyle w:val="3"/>
        <w:ind w:firstLine="480"/>
        <w:rPr>
          <w:color w:val="auto"/>
          <w:highlight w:val="none"/>
        </w:rPr>
      </w:pPr>
      <w:r>
        <w:rPr>
          <w:color w:val="auto"/>
          <w:highlight w:val="none"/>
        </w:rPr>
        <w:t>该尾矿库库底的渗滤水导排系统由5.2mm复合土工排水网、渗滤水收集盲沟和渗滤水排出管组成。渗滤水通过5.2mm复合土工排水网汇集到盲沟内，盲沟内设渗滤水导排花管，在盲沟终端设置有排出管（无孔），该排出管穿过坝体，由阀门控制，与下游的渗滤水收集池相连。并在出水口设置流量计，用于对渗滤液量的监测。</w:t>
      </w:r>
    </w:p>
    <w:p w14:paraId="5C81E72F">
      <w:pPr>
        <w:pStyle w:val="3"/>
        <w:ind w:firstLine="480"/>
        <w:rPr>
          <w:color w:val="auto"/>
          <w:highlight w:val="none"/>
        </w:rPr>
      </w:pPr>
      <w:r>
        <w:rPr>
          <w:color w:val="auto"/>
          <w:highlight w:val="none"/>
        </w:rPr>
        <w:t>库底布置1条渗滤水导排主盲沟（管）盲沟、4条渗滤水导排支主盲沟（管）盲沟，纵向坡度设计为≥3%。盲沟为梯形，盲沟内铺设卵石（或碎石）（d=40～100mm</w:t>
      </w:r>
      <w:r>
        <w:rPr>
          <w:rFonts w:hint="eastAsia"/>
          <w:color w:val="auto"/>
          <w:highlight w:val="none"/>
          <w:lang w:eastAsia="zh-CN"/>
        </w:rPr>
        <w:t>）</w:t>
      </w:r>
      <w:r>
        <w:rPr>
          <w:color w:val="auto"/>
          <w:highlight w:val="none"/>
        </w:rPr>
        <w:t>及埋设一根导渗管（HDPE穿孔花管），主、支管管径为DN355，盲沟的卵石（或碎石）用土工滤网包裹。导渗管出口由阀门控制。库区渗水通过自重流，汇入集环保应急事故池，鉴于该区蒸发量远大于降雨量，渗滤液回收后作为降尘和堆积坝坡面复垦绿化水使用。</w:t>
      </w:r>
    </w:p>
    <w:p w14:paraId="7E8EDF92">
      <w:pPr>
        <w:pStyle w:val="3"/>
        <w:ind w:firstLine="480"/>
        <w:rPr>
          <w:color w:val="auto"/>
          <w:highlight w:val="none"/>
        </w:rPr>
      </w:pPr>
      <w:r>
        <w:rPr>
          <w:rFonts w:hint="eastAsia"/>
          <w:color w:val="auto"/>
          <w:highlight w:val="none"/>
        </w:rPr>
        <w:t>（3）</w:t>
      </w:r>
      <w:r>
        <w:rPr>
          <w:color w:val="auto"/>
          <w:highlight w:val="none"/>
        </w:rPr>
        <w:t>地下水导排</w:t>
      </w:r>
    </w:p>
    <w:p w14:paraId="4A23DAA6">
      <w:pPr>
        <w:pStyle w:val="3"/>
        <w:ind w:firstLine="480"/>
        <w:rPr>
          <w:color w:val="auto"/>
          <w:highlight w:val="none"/>
        </w:rPr>
      </w:pPr>
      <w:r>
        <w:rPr>
          <w:color w:val="auto"/>
          <w:highlight w:val="none"/>
        </w:rPr>
        <w:t>拟建尾矿库位于相对独立水文地质单元的支单元，大气降水是地下水的主要补给源。根据现场踏勘，场地地下水位较低，同时考虑到库区覆盖土层较厚，渗透性中等，</w:t>
      </w:r>
      <w:r>
        <w:rPr>
          <w:rFonts w:hint="eastAsia"/>
          <w:color w:val="auto"/>
          <w:highlight w:val="none"/>
          <w:lang w:eastAsia="zh-CN"/>
        </w:rPr>
        <w:t>根据</w:t>
      </w:r>
      <w:r>
        <w:rPr>
          <w:color w:val="auto"/>
          <w:highlight w:val="none"/>
        </w:rPr>
        <w:t>可研暂不设置地下水导排措施，后期根据工勘资料确定的地下水位埋深情况再行确定。</w:t>
      </w:r>
    </w:p>
    <w:p w14:paraId="5C8800D3">
      <w:pPr>
        <w:pStyle w:val="43"/>
        <w:rPr>
          <w:color w:val="auto"/>
          <w:highlight w:val="none"/>
        </w:rPr>
      </w:pPr>
      <w:r>
        <w:rPr>
          <w:rFonts w:hint="eastAsia"/>
          <w:color w:val="auto"/>
          <w:highlight w:val="none"/>
        </w:rPr>
        <w:t>防、排洪设施</w:t>
      </w:r>
    </w:p>
    <w:p w14:paraId="6894756B">
      <w:pPr>
        <w:pStyle w:val="3"/>
        <w:ind w:firstLine="480"/>
        <w:rPr>
          <w:color w:val="auto"/>
          <w:highlight w:val="none"/>
        </w:rPr>
      </w:pPr>
      <w:r>
        <w:rPr>
          <w:color w:val="auto"/>
          <w:highlight w:val="none"/>
        </w:rPr>
        <w:t>拟建尾矿库排洪系统由：由5座排水井+4条排洪支隧洞+1条排洪主隧洞+1 座消力池+1条导流明渠组成，将洪水引至应急事故池；同时布设坝肩截水沟，坝肩截水沟随堆积坝坝面的上升逐步建设。</w:t>
      </w:r>
    </w:p>
    <w:p w14:paraId="226970C0">
      <w:pPr>
        <w:pStyle w:val="3"/>
        <w:ind w:firstLine="480"/>
        <w:rPr>
          <w:color w:val="auto"/>
          <w:highlight w:val="none"/>
        </w:rPr>
      </w:pPr>
      <w:bookmarkStart w:id="280" w:name="bookmark33"/>
      <w:bookmarkEnd w:id="280"/>
      <w:r>
        <w:rPr>
          <w:rFonts w:hint="eastAsia"/>
          <w:color w:val="auto"/>
          <w:highlight w:val="none"/>
        </w:rPr>
        <w:t>（1）</w:t>
      </w:r>
      <w:r>
        <w:rPr>
          <w:color w:val="auto"/>
          <w:highlight w:val="none"/>
        </w:rPr>
        <w:t>防洪标准</w:t>
      </w:r>
    </w:p>
    <w:p w14:paraId="42173849">
      <w:pPr>
        <w:pStyle w:val="3"/>
        <w:ind w:firstLine="480"/>
        <w:rPr>
          <w:color w:val="auto"/>
          <w:highlight w:val="none"/>
        </w:rPr>
      </w:pPr>
      <w:r>
        <w:rPr>
          <w:color w:val="auto"/>
          <w:highlight w:val="none"/>
        </w:rPr>
        <w:t>该尾矿库设计总坝高115.0m，总库容4423.61万m</w:t>
      </w:r>
      <w:r>
        <w:rPr>
          <w:rFonts w:hint="eastAsia"/>
          <w:color w:val="auto"/>
          <w:highlight w:val="none"/>
          <w:vertAlign w:val="superscript"/>
        </w:rPr>
        <w:t>3</w:t>
      </w:r>
      <w:r>
        <w:rPr>
          <w:rFonts w:hint="eastAsia"/>
          <w:color w:val="auto"/>
          <w:highlight w:val="none"/>
        </w:rPr>
        <w:t>，</w:t>
      </w:r>
      <w:r>
        <w:rPr>
          <w:color w:val="auto"/>
          <w:highlight w:val="none"/>
        </w:rPr>
        <w:t>最终尾矿库等别为二等，按《尾矿设施设计规范》（GB 50863-2013）的规定，各使用期尾矿库防洪标准如下：</w:t>
      </w:r>
    </w:p>
    <w:p w14:paraId="0FD72DC0">
      <w:pPr>
        <w:pStyle w:val="40"/>
        <w:spacing w:before="24" w:after="24"/>
        <w:rPr>
          <w:color w:val="auto"/>
          <w:highlight w:val="none"/>
        </w:rPr>
      </w:pPr>
      <w:r>
        <w:rPr>
          <w:color w:val="auto"/>
          <w:highlight w:val="none"/>
        </w:rPr>
        <w:t>表</w:t>
      </w:r>
      <w:r>
        <w:rPr>
          <w:rFonts w:hint="eastAsia"/>
          <w:color w:val="auto"/>
          <w:highlight w:val="none"/>
        </w:rPr>
        <w:t>3.3-12</w:t>
      </w:r>
      <w:r>
        <w:rPr>
          <w:color w:val="auto"/>
          <w:highlight w:val="none"/>
        </w:rPr>
        <w:t xml:space="preserve"> </w:t>
      </w:r>
      <w:r>
        <w:rPr>
          <w:rFonts w:hint="eastAsia"/>
          <w:color w:val="auto"/>
          <w:highlight w:val="none"/>
        </w:rPr>
        <w:t xml:space="preserve">    </w:t>
      </w:r>
      <w:r>
        <w:rPr>
          <w:color w:val="auto"/>
          <w:highlight w:val="none"/>
        </w:rPr>
        <w:t xml:space="preserve"> 拟建尾矿库各使用阶段防洪标准</w:t>
      </w:r>
    </w:p>
    <w:tbl>
      <w:tblPr>
        <w:tblStyle w:val="45"/>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444"/>
        <w:gridCol w:w="1984"/>
        <w:gridCol w:w="1984"/>
        <w:gridCol w:w="1909"/>
      </w:tblGrid>
      <w:tr w14:paraId="380224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468" w:type="pct"/>
            <w:tcBorders>
              <w:top w:val="single" w:color="000000" w:sz="12" w:space="0"/>
              <w:left w:val="single" w:color="000000" w:sz="12" w:space="0"/>
              <w:bottom w:val="single" w:color="000000" w:sz="4" w:space="0"/>
              <w:right w:val="single" w:color="000000" w:sz="4" w:space="0"/>
            </w:tcBorders>
            <w:vAlign w:val="center"/>
          </w:tcPr>
          <w:p w14:paraId="4D02E170">
            <w:pPr>
              <w:pStyle w:val="41"/>
              <w:rPr>
                <w:color w:val="auto"/>
                <w:highlight w:val="none"/>
              </w:rPr>
            </w:pPr>
            <w:r>
              <w:rPr>
                <w:color w:val="auto"/>
                <w:highlight w:val="none"/>
              </w:rPr>
              <w:t>坝顶标高（m）</w:t>
            </w:r>
          </w:p>
        </w:tc>
        <w:tc>
          <w:tcPr>
            <w:tcW w:w="1192" w:type="pct"/>
            <w:tcBorders>
              <w:top w:val="single" w:color="000000" w:sz="12" w:space="0"/>
              <w:left w:val="single" w:color="000000" w:sz="4" w:space="0"/>
              <w:bottom w:val="single" w:color="000000" w:sz="4" w:space="0"/>
              <w:right w:val="single" w:color="000000" w:sz="4" w:space="0"/>
            </w:tcBorders>
            <w:vAlign w:val="center"/>
          </w:tcPr>
          <w:p w14:paraId="028F527E">
            <w:pPr>
              <w:pStyle w:val="41"/>
              <w:rPr>
                <w:color w:val="auto"/>
                <w:highlight w:val="none"/>
              </w:rPr>
            </w:pPr>
            <w:r>
              <w:rPr>
                <w:color w:val="auto"/>
                <w:highlight w:val="none"/>
              </w:rPr>
              <w:t>设计等别</w:t>
            </w:r>
          </w:p>
        </w:tc>
        <w:tc>
          <w:tcPr>
            <w:tcW w:w="1192" w:type="pct"/>
            <w:tcBorders>
              <w:top w:val="single" w:color="000000" w:sz="12" w:space="0"/>
              <w:left w:val="single" w:color="000000" w:sz="4" w:space="0"/>
              <w:bottom w:val="single" w:color="000000" w:sz="4" w:space="0"/>
              <w:right w:val="single" w:color="000000" w:sz="4" w:space="0"/>
            </w:tcBorders>
            <w:vAlign w:val="center"/>
          </w:tcPr>
          <w:p w14:paraId="4F5C6638">
            <w:pPr>
              <w:pStyle w:val="41"/>
              <w:rPr>
                <w:color w:val="auto"/>
                <w:highlight w:val="none"/>
              </w:rPr>
            </w:pPr>
            <w:r>
              <w:rPr>
                <w:color w:val="auto"/>
                <w:highlight w:val="none"/>
              </w:rPr>
              <w:t>规范防洪标准</w:t>
            </w:r>
          </w:p>
        </w:tc>
        <w:tc>
          <w:tcPr>
            <w:tcW w:w="1146" w:type="pct"/>
            <w:tcBorders>
              <w:top w:val="single" w:color="000000" w:sz="12" w:space="0"/>
              <w:left w:val="single" w:color="000000" w:sz="4" w:space="0"/>
              <w:bottom w:val="single" w:color="000000" w:sz="4" w:space="0"/>
              <w:right w:val="single" w:color="000000" w:sz="12" w:space="0"/>
            </w:tcBorders>
            <w:vAlign w:val="center"/>
          </w:tcPr>
          <w:p w14:paraId="26CA3FE6">
            <w:pPr>
              <w:pStyle w:val="41"/>
              <w:rPr>
                <w:color w:val="auto"/>
                <w:highlight w:val="none"/>
              </w:rPr>
            </w:pPr>
            <w:r>
              <w:rPr>
                <w:color w:val="auto"/>
                <w:highlight w:val="none"/>
              </w:rPr>
              <w:t>设计防洪标准</w:t>
            </w:r>
          </w:p>
        </w:tc>
      </w:tr>
      <w:tr w14:paraId="553CC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468" w:type="pct"/>
            <w:tcBorders>
              <w:top w:val="single" w:color="000000" w:sz="4" w:space="0"/>
              <w:left w:val="single" w:color="000000" w:sz="12" w:space="0"/>
              <w:bottom w:val="single" w:color="000000" w:sz="4" w:space="0"/>
              <w:right w:val="single" w:color="000000" w:sz="4" w:space="0"/>
            </w:tcBorders>
            <w:vAlign w:val="center"/>
          </w:tcPr>
          <w:p w14:paraId="4550B301">
            <w:pPr>
              <w:pStyle w:val="41"/>
              <w:rPr>
                <w:color w:val="auto"/>
                <w:highlight w:val="none"/>
              </w:rPr>
            </w:pPr>
            <w:r>
              <w:rPr>
                <w:color w:val="auto"/>
                <w:highlight w:val="none"/>
              </w:rPr>
              <w:t>1930.0</w:t>
            </w:r>
          </w:p>
        </w:tc>
        <w:tc>
          <w:tcPr>
            <w:tcW w:w="1192" w:type="pct"/>
            <w:tcBorders>
              <w:top w:val="single" w:color="000000" w:sz="4" w:space="0"/>
              <w:left w:val="single" w:color="000000" w:sz="4" w:space="0"/>
              <w:bottom w:val="single" w:color="000000" w:sz="4" w:space="0"/>
              <w:right w:val="single" w:color="000000" w:sz="4" w:space="0"/>
            </w:tcBorders>
            <w:vAlign w:val="center"/>
          </w:tcPr>
          <w:p w14:paraId="43F00BB3">
            <w:pPr>
              <w:pStyle w:val="41"/>
              <w:rPr>
                <w:color w:val="auto"/>
                <w:highlight w:val="none"/>
              </w:rPr>
            </w:pPr>
            <w:r>
              <w:rPr>
                <w:color w:val="auto"/>
                <w:highlight w:val="none"/>
              </w:rPr>
              <w:t>四</w:t>
            </w:r>
          </w:p>
        </w:tc>
        <w:tc>
          <w:tcPr>
            <w:tcW w:w="1192" w:type="pct"/>
            <w:tcBorders>
              <w:top w:val="single" w:color="000000" w:sz="4" w:space="0"/>
              <w:left w:val="single" w:color="000000" w:sz="4" w:space="0"/>
              <w:bottom w:val="single" w:color="000000" w:sz="4" w:space="0"/>
              <w:right w:val="single" w:color="000000" w:sz="4" w:space="0"/>
            </w:tcBorders>
            <w:vAlign w:val="center"/>
          </w:tcPr>
          <w:p w14:paraId="6AFD9FCD">
            <w:pPr>
              <w:pStyle w:val="41"/>
              <w:rPr>
                <w:color w:val="auto"/>
                <w:highlight w:val="none"/>
              </w:rPr>
            </w:pPr>
            <w:r>
              <w:rPr>
                <w:color w:val="auto"/>
                <w:highlight w:val="none"/>
              </w:rPr>
              <w:t>100～200 年一遇</w:t>
            </w:r>
          </w:p>
        </w:tc>
        <w:tc>
          <w:tcPr>
            <w:tcW w:w="1146" w:type="pct"/>
            <w:tcBorders>
              <w:top w:val="single" w:color="000000" w:sz="4" w:space="0"/>
              <w:left w:val="single" w:color="000000" w:sz="4" w:space="0"/>
              <w:bottom w:val="single" w:color="000000" w:sz="4" w:space="0"/>
              <w:right w:val="single" w:color="000000" w:sz="12" w:space="0"/>
            </w:tcBorders>
            <w:vAlign w:val="center"/>
          </w:tcPr>
          <w:p w14:paraId="1EE86A25">
            <w:pPr>
              <w:pStyle w:val="41"/>
              <w:rPr>
                <w:color w:val="auto"/>
                <w:highlight w:val="none"/>
              </w:rPr>
            </w:pPr>
            <w:r>
              <w:rPr>
                <w:color w:val="auto"/>
                <w:highlight w:val="none"/>
              </w:rPr>
              <w:t>200 年一遇</w:t>
            </w:r>
          </w:p>
        </w:tc>
      </w:tr>
      <w:tr w14:paraId="79534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468" w:type="pct"/>
            <w:tcBorders>
              <w:top w:val="single" w:color="000000" w:sz="4" w:space="0"/>
              <w:left w:val="single" w:color="000000" w:sz="12" w:space="0"/>
              <w:bottom w:val="single" w:color="000000" w:sz="4" w:space="0"/>
              <w:right w:val="single" w:color="000000" w:sz="4" w:space="0"/>
            </w:tcBorders>
            <w:vAlign w:val="center"/>
          </w:tcPr>
          <w:p w14:paraId="1865762A">
            <w:pPr>
              <w:pStyle w:val="41"/>
              <w:rPr>
                <w:color w:val="auto"/>
                <w:highlight w:val="none"/>
              </w:rPr>
            </w:pPr>
            <w:r>
              <w:rPr>
                <w:color w:val="auto"/>
                <w:highlight w:val="none"/>
              </w:rPr>
              <w:t>1930.0-1949.9</w:t>
            </w:r>
          </w:p>
        </w:tc>
        <w:tc>
          <w:tcPr>
            <w:tcW w:w="1192" w:type="pct"/>
            <w:tcBorders>
              <w:top w:val="single" w:color="000000" w:sz="4" w:space="0"/>
              <w:left w:val="single" w:color="000000" w:sz="4" w:space="0"/>
              <w:bottom w:val="single" w:color="000000" w:sz="4" w:space="0"/>
              <w:right w:val="single" w:color="000000" w:sz="4" w:space="0"/>
            </w:tcBorders>
            <w:vAlign w:val="center"/>
          </w:tcPr>
          <w:p w14:paraId="0772E86D">
            <w:pPr>
              <w:pStyle w:val="41"/>
              <w:rPr>
                <w:color w:val="auto"/>
                <w:highlight w:val="none"/>
              </w:rPr>
            </w:pPr>
            <w:r>
              <w:rPr>
                <w:color w:val="auto"/>
                <w:highlight w:val="none"/>
              </w:rPr>
              <w:t>四</w:t>
            </w:r>
          </w:p>
        </w:tc>
        <w:tc>
          <w:tcPr>
            <w:tcW w:w="1192" w:type="pct"/>
            <w:tcBorders>
              <w:top w:val="single" w:color="000000" w:sz="4" w:space="0"/>
              <w:left w:val="single" w:color="000000" w:sz="4" w:space="0"/>
              <w:bottom w:val="single" w:color="000000" w:sz="4" w:space="0"/>
              <w:right w:val="single" w:color="000000" w:sz="4" w:space="0"/>
            </w:tcBorders>
            <w:vAlign w:val="center"/>
          </w:tcPr>
          <w:p w14:paraId="5E4B55CB">
            <w:pPr>
              <w:pStyle w:val="41"/>
              <w:rPr>
                <w:color w:val="auto"/>
                <w:highlight w:val="none"/>
              </w:rPr>
            </w:pPr>
            <w:r>
              <w:rPr>
                <w:color w:val="auto"/>
                <w:highlight w:val="none"/>
              </w:rPr>
              <w:t>100～200 年一遇</w:t>
            </w:r>
          </w:p>
        </w:tc>
        <w:tc>
          <w:tcPr>
            <w:tcW w:w="1146" w:type="pct"/>
            <w:tcBorders>
              <w:top w:val="single" w:color="000000" w:sz="4" w:space="0"/>
              <w:left w:val="single" w:color="000000" w:sz="4" w:space="0"/>
              <w:bottom w:val="single" w:color="000000" w:sz="4" w:space="0"/>
              <w:right w:val="single" w:color="000000" w:sz="12" w:space="0"/>
            </w:tcBorders>
            <w:vAlign w:val="center"/>
          </w:tcPr>
          <w:p w14:paraId="0B272F6E">
            <w:pPr>
              <w:pStyle w:val="41"/>
              <w:rPr>
                <w:color w:val="auto"/>
                <w:highlight w:val="none"/>
              </w:rPr>
            </w:pPr>
            <w:r>
              <w:rPr>
                <w:color w:val="auto"/>
                <w:highlight w:val="none"/>
              </w:rPr>
              <w:t>200 年一遇</w:t>
            </w:r>
          </w:p>
        </w:tc>
      </w:tr>
      <w:tr w14:paraId="64D04F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468" w:type="pct"/>
            <w:tcBorders>
              <w:top w:val="single" w:color="000000" w:sz="4" w:space="0"/>
              <w:left w:val="single" w:color="000000" w:sz="12" w:space="0"/>
              <w:bottom w:val="single" w:color="000000" w:sz="4" w:space="0"/>
              <w:right w:val="single" w:color="000000" w:sz="4" w:space="0"/>
            </w:tcBorders>
            <w:vAlign w:val="center"/>
          </w:tcPr>
          <w:p w14:paraId="0B6D65C0">
            <w:pPr>
              <w:pStyle w:val="41"/>
              <w:rPr>
                <w:color w:val="auto"/>
                <w:highlight w:val="none"/>
              </w:rPr>
            </w:pPr>
            <w:r>
              <w:rPr>
                <w:color w:val="auto"/>
                <w:highlight w:val="none"/>
              </w:rPr>
              <w:t>1949.9-1960.0</w:t>
            </w:r>
          </w:p>
        </w:tc>
        <w:tc>
          <w:tcPr>
            <w:tcW w:w="1192" w:type="pct"/>
            <w:tcBorders>
              <w:top w:val="single" w:color="000000" w:sz="4" w:space="0"/>
              <w:left w:val="single" w:color="000000" w:sz="4" w:space="0"/>
              <w:bottom w:val="single" w:color="000000" w:sz="4" w:space="0"/>
              <w:right w:val="single" w:color="000000" w:sz="4" w:space="0"/>
            </w:tcBorders>
            <w:vAlign w:val="center"/>
          </w:tcPr>
          <w:p w14:paraId="7EE52487">
            <w:pPr>
              <w:pStyle w:val="41"/>
              <w:rPr>
                <w:color w:val="auto"/>
                <w:highlight w:val="none"/>
              </w:rPr>
            </w:pPr>
            <w:r>
              <w:rPr>
                <w:color w:val="auto"/>
                <w:highlight w:val="none"/>
              </w:rPr>
              <w:t>三</w:t>
            </w:r>
          </w:p>
        </w:tc>
        <w:tc>
          <w:tcPr>
            <w:tcW w:w="1192" w:type="pct"/>
            <w:tcBorders>
              <w:top w:val="single" w:color="000000" w:sz="4" w:space="0"/>
              <w:left w:val="single" w:color="000000" w:sz="4" w:space="0"/>
              <w:bottom w:val="single" w:color="000000" w:sz="4" w:space="0"/>
              <w:right w:val="single" w:color="000000" w:sz="4" w:space="0"/>
            </w:tcBorders>
            <w:vAlign w:val="center"/>
          </w:tcPr>
          <w:p w14:paraId="37B74E92">
            <w:pPr>
              <w:pStyle w:val="41"/>
              <w:rPr>
                <w:color w:val="auto"/>
                <w:highlight w:val="none"/>
              </w:rPr>
            </w:pPr>
            <w:r>
              <w:rPr>
                <w:color w:val="auto"/>
                <w:highlight w:val="none"/>
              </w:rPr>
              <w:t>200～500 年一遇</w:t>
            </w:r>
          </w:p>
        </w:tc>
        <w:tc>
          <w:tcPr>
            <w:tcW w:w="1146" w:type="pct"/>
            <w:tcBorders>
              <w:top w:val="single" w:color="000000" w:sz="4" w:space="0"/>
              <w:left w:val="single" w:color="000000" w:sz="4" w:space="0"/>
              <w:bottom w:val="single" w:color="000000" w:sz="4" w:space="0"/>
              <w:right w:val="single" w:color="000000" w:sz="12" w:space="0"/>
            </w:tcBorders>
            <w:vAlign w:val="center"/>
          </w:tcPr>
          <w:p w14:paraId="0E4E16E0">
            <w:pPr>
              <w:pStyle w:val="41"/>
              <w:rPr>
                <w:color w:val="auto"/>
                <w:highlight w:val="none"/>
              </w:rPr>
            </w:pPr>
            <w:r>
              <w:rPr>
                <w:color w:val="auto"/>
                <w:highlight w:val="none"/>
              </w:rPr>
              <w:t>500 年一遇</w:t>
            </w:r>
          </w:p>
        </w:tc>
      </w:tr>
      <w:tr w14:paraId="068A8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468" w:type="pct"/>
            <w:tcBorders>
              <w:top w:val="single" w:color="000000" w:sz="4" w:space="0"/>
              <w:left w:val="single" w:color="000000" w:sz="12" w:space="0"/>
              <w:bottom w:val="single" w:color="000000" w:sz="4" w:space="0"/>
              <w:right w:val="single" w:color="000000" w:sz="4" w:space="0"/>
            </w:tcBorders>
            <w:vAlign w:val="center"/>
          </w:tcPr>
          <w:p w14:paraId="267601CA">
            <w:pPr>
              <w:pStyle w:val="41"/>
              <w:rPr>
                <w:color w:val="auto"/>
                <w:highlight w:val="none"/>
              </w:rPr>
            </w:pPr>
            <w:r>
              <w:rPr>
                <w:color w:val="auto"/>
                <w:highlight w:val="none"/>
              </w:rPr>
              <w:t>1960.0-2000.0</w:t>
            </w:r>
          </w:p>
        </w:tc>
        <w:tc>
          <w:tcPr>
            <w:tcW w:w="1192" w:type="pct"/>
            <w:tcBorders>
              <w:top w:val="single" w:color="000000" w:sz="4" w:space="0"/>
              <w:left w:val="single" w:color="000000" w:sz="4" w:space="0"/>
              <w:bottom w:val="single" w:color="000000" w:sz="4" w:space="0"/>
              <w:right w:val="single" w:color="000000" w:sz="4" w:space="0"/>
            </w:tcBorders>
            <w:vAlign w:val="center"/>
          </w:tcPr>
          <w:p w14:paraId="182F6838">
            <w:pPr>
              <w:pStyle w:val="41"/>
              <w:rPr>
                <w:color w:val="auto"/>
                <w:highlight w:val="none"/>
              </w:rPr>
            </w:pPr>
            <w:r>
              <w:rPr>
                <w:color w:val="auto"/>
                <w:highlight w:val="none"/>
              </w:rPr>
              <w:t>三</w:t>
            </w:r>
          </w:p>
        </w:tc>
        <w:tc>
          <w:tcPr>
            <w:tcW w:w="1192" w:type="pct"/>
            <w:tcBorders>
              <w:top w:val="single" w:color="000000" w:sz="4" w:space="0"/>
              <w:left w:val="single" w:color="000000" w:sz="4" w:space="0"/>
              <w:bottom w:val="single" w:color="000000" w:sz="4" w:space="0"/>
              <w:right w:val="single" w:color="000000" w:sz="4" w:space="0"/>
            </w:tcBorders>
            <w:vAlign w:val="center"/>
          </w:tcPr>
          <w:p w14:paraId="6DBDEAE8">
            <w:pPr>
              <w:pStyle w:val="41"/>
              <w:rPr>
                <w:color w:val="auto"/>
                <w:highlight w:val="none"/>
              </w:rPr>
            </w:pPr>
            <w:r>
              <w:rPr>
                <w:color w:val="auto"/>
                <w:highlight w:val="none"/>
              </w:rPr>
              <w:t>200～500 年一遇</w:t>
            </w:r>
          </w:p>
        </w:tc>
        <w:tc>
          <w:tcPr>
            <w:tcW w:w="1146" w:type="pct"/>
            <w:tcBorders>
              <w:top w:val="single" w:color="000000" w:sz="4" w:space="0"/>
              <w:left w:val="single" w:color="000000" w:sz="4" w:space="0"/>
              <w:bottom w:val="single" w:color="000000" w:sz="4" w:space="0"/>
              <w:right w:val="single" w:color="000000" w:sz="12" w:space="0"/>
            </w:tcBorders>
            <w:vAlign w:val="center"/>
          </w:tcPr>
          <w:p w14:paraId="29E9B9D3">
            <w:pPr>
              <w:pStyle w:val="41"/>
              <w:rPr>
                <w:color w:val="auto"/>
                <w:highlight w:val="none"/>
              </w:rPr>
            </w:pPr>
            <w:r>
              <w:rPr>
                <w:color w:val="auto"/>
                <w:highlight w:val="none"/>
              </w:rPr>
              <w:t>500 年一遇</w:t>
            </w:r>
          </w:p>
        </w:tc>
      </w:tr>
      <w:tr w14:paraId="7371D6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468" w:type="pct"/>
            <w:tcBorders>
              <w:top w:val="single" w:color="000000" w:sz="4" w:space="0"/>
              <w:left w:val="single" w:color="000000" w:sz="12" w:space="0"/>
              <w:bottom w:val="single" w:color="000000" w:sz="4" w:space="0"/>
              <w:right w:val="single" w:color="000000" w:sz="4" w:space="0"/>
            </w:tcBorders>
            <w:vAlign w:val="center"/>
          </w:tcPr>
          <w:p w14:paraId="0BF8C875">
            <w:pPr>
              <w:pStyle w:val="41"/>
              <w:rPr>
                <w:color w:val="auto"/>
                <w:highlight w:val="none"/>
              </w:rPr>
            </w:pPr>
            <w:r>
              <w:rPr>
                <w:color w:val="auto"/>
                <w:highlight w:val="none"/>
              </w:rPr>
              <w:t>2020.0-2015.0</w:t>
            </w:r>
          </w:p>
        </w:tc>
        <w:tc>
          <w:tcPr>
            <w:tcW w:w="1192" w:type="pct"/>
            <w:tcBorders>
              <w:top w:val="single" w:color="000000" w:sz="4" w:space="0"/>
              <w:left w:val="single" w:color="000000" w:sz="4" w:space="0"/>
              <w:bottom w:val="single" w:color="000000" w:sz="4" w:space="0"/>
              <w:right w:val="single" w:color="000000" w:sz="4" w:space="0"/>
            </w:tcBorders>
            <w:vAlign w:val="center"/>
          </w:tcPr>
          <w:p w14:paraId="622EDD89">
            <w:pPr>
              <w:pStyle w:val="41"/>
              <w:rPr>
                <w:color w:val="auto"/>
                <w:highlight w:val="none"/>
              </w:rPr>
            </w:pPr>
            <w:r>
              <w:rPr>
                <w:color w:val="auto"/>
                <w:highlight w:val="none"/>
              </w:rPr>
              <w:t>二</w:t>
            </w:r>
          </w:p>
        </w:tc>
        <w:tc>
          <w:tcPr>
            <w:tcW w:w="1192" w:type="pct"/>
            <w:tcBorders>
              <w:top w:val="single" w:color="000000" w:sz="4" w:space="0"/>
              <w:left w:val="single" w:color="000000" w:sz="4" w:space="0"/>
              <w:bottom w:val="single" w:color="000000" w:sz="4" w:space="0"/>
              <w:right w:val="single" w:color="000000" w:sz="4" w:space="0"/>
            </w:tcBorders>
            <w:vAlign w:val="center"/>
          </w:tcPr>
          <w:p w14:paraId="3AF5B0FA">
            <w:pPr>
              <w:pStyle w:val="41"/>
              <w:rPr>
                <w:color w:val="auto"/>
                <w:highlight w:val="none"/>
              </w:rPr>
            </w:pPr>
            <w:r>
              <w:rPr>
                <w:color w:val="auto"/>
                <w:highlight w:val="none"/>
              </w:rPr>
              <w:t>500～1000 年一遇</w:t>
            </w:r>
          </w:p>
        </w:tc>
        <w:tc>
          <w:tcPr>
            <w:tcW w:w="1146" w:type="pct"/>
            <w:tcBorders>
              <w:top w:val="single" w:color="000000" w:sz="4" w:space="0"/>
              <w:left w:val="single" w:color="000000" w:sz="4" w:space="0"/>
              <w:bottom w:val="single" w:color="000000" w:sz="4" w:space="0"/>
              <w:right w:val="single" w:color="000000" w:sz="12" w:space="0"/>
            </w:tcBorders>
            <w:vAlign w:val="center"/>
          </w:tcPr>
          <w:p w14:paraId="7E934959">
            <w:pPr>
              <w:pStyle w:val="41"/>
              <w:rPr>
                <w:color w:val="auto"/>
                <w:highlight w:val="none"/>
              </w:rPr>
            </w:pPr>
            <w:r>
              <w:rPr>
                <w:color w:val="auto"/>
                <w:highlight w:val="none"/>
              </w:rPr>
              <w:t>1000 年一遇</w:t>
            </w:r>
          </w:p>
        </w:tc>
      </w:tr>
      <w:tr w14:paraId="34C62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468" w:type="pct"/>
            <w:tcBorders>
              <w:top w:val="single" w:color="000000" w:sz="4" w:space="0"/>
              <w:left w:val="single" w:color="000000" w:sz="12" w:space="0"/>
              <w:bottom w:val="single" w:color="000000" w:sz="12" w:space="0"/>
              <w:right w:val="single" w:color="000000" w:sz="4" w:space="0"/>
            </w:tcBorders>
            <w:vAlign w:val="center"/>
          </w:tcPr>
          <w:p w14:paraId="712E1208">
            <w:pPr>
              <w:pStyle w:val="41"/>
              <w:rPr>
                <w:color w:val="auto"/>
                <w:highlight w:val="none"/>
              </w:rPr>
            </w:pPr>
            <w:r>
              <w:rPr>
                <w:color w:val="auto"/>
                <w:highlight w:val="none"/>
              </w:rPr>
              <w:t>2015.0</w:t>
            </w:r>
          </w:p>
        </w:tc>
        <w:tc>
          <w:tcPr>
            <w:tcW w:w="1192" w:type="pct"/>
            <w:tcBorders>
              <w:top w:val="single" w:color="000000" w:sz="4" w:space="0"/>
              <w:left w:val="single" w:color="000000" w:sz="4" w:space="0"/>
              <w:bottom w:val="single" w:color="000000" w:sz="12" w:space="0"/>
              <w:right w:val="single" w:color="000000" w:sz="4" w:space="0"/>
            </w:tcBorders>
            <w:vAlign w:val="center"/>
          </w:tcPr>
          <w:p w14:paraId="0F769E3E">
            <w:pPr>
              <w:pStyle w:val="41"/>
              <w:rPr>
                <w:color w:val="auto"/>
                <w:highlight w:val="none"/>
              </w:rPr>
            </w:pPr>
            <w:r>
              <w:rPr>
                <w:color w:val="auto"/>
                <w:highlight w:val="none"/>
              </w:rPr>
              <w:t>二</w:t>
            </w:r>
          </w:p>
        </w:tc>
        <w:tc>
          <w:tcPr>
            <w:tcW w:w="1192" w:type="pct"/>
            <w:tcBorders>
              <w:top w:val="single" w:color="000000" w:sz="4" w:space="0"/>
              <w:left w:val="single" w:color="000000" w:sz="4" w:space="0"/>
              <w:bottom w:val="single" w:color="000000" w:sz="12" w:space="0"/>
              <w:right w:val="single" w:color="000000" w:sz="4" w:space="0"/>
            </w:tcBorders>
            <w:vAlign w:val="center"/>
          </w:tcPr>
          <w:p w14:paraId="54A16233">
            <w:pPr>
              <w:pStyle w:val="41"/>
              <w:rPr>
                <w:color w:val="auto"/>
                <w:highlight w:val="none"/>
              </w:rPr>
            </w:pPr>
            <w:r>
              <w:rPr>
                <w:color w:val="auto"/>
                <w:highlight w:val="none"/>
              </w:rPr>
              <w:t>500～1000 年一遇</w:t>
            </w:r>
          </w:p>
        </w:tc>
        <w:tc>
          <w:tcPr>
            <w:tcW w:w="1146" w:type="pct"/>
            <w:tcBorders>
              <w:top w:val="single" w:color="000000" w:sz="4" w:space="0"/>
              <w:left w:val="single" w:color="000000" w:sz="4" w:space="0"/>
              <w:bottom w:val="single" w:color="000000" w:sz="12" w:space="0"/>
              <w:right w:val="single" w:color="000000" w:sz="12" w:space="0"/>
            </w:tcBorders>
            <w:vAlign w:val="center"/>
          </w:tcPr>
          <w:p w14:paraId="4E4128C6">
            <w:pPr>
              <w:pStyle w:val="41"/>
              <w:rPr>
                <w:color w:val="auto"/>
                <w:highlight w:val="none"/>
              </w:rPr>
            </w:pPr>
            <w:r>
              <w:rPr>
                <w:color w:val="auto"/>
                <w:highlight w:val="none"/>
              </w:rPr>
              <w:t>1000 年一遇</w:t>
            </w:r>
          </w:p>
        </w:tc>
      </w:tr>
    </w:tbl>
    <w:p w14:paraId="304CAABC">
      <w:pPr>
        <w:pStyle w:val="3"/>
        <w:ind w:firstLine="480"/>
        <w:rPr>
          <w:color w:val="auto"/>
          <w:highlight w:val="none"/>
        </w:rPr>
      </w:pPr>
      <w:bookmarkStart w:id="281" w:name="bookmark34"/>
      <w:bookmarkEnd w:id="281"/>
      <w:r>
        <w:rPr>
          <w:rFonts w:hint="eastAsia"/>
          <w:color w:val="auto"/>
          <w:highlight w:val="none"/>
        </w:rPr>
        <w:t>（3）防排洪设施</w:t>
      </w:r>
    </w:p>
    <w:p w14:paraId="083EC1D8">
      <w:pPr>
        <w:pStyle w:val="3"/>
        <w:ind w:firstLine="480"/>
        <w:rPr>
          <w:color w:val="auto"/>
          <w:highlight w:val="none"/>
        </w:rPr>
      </w:pPr>
      <w:r>
        <w:rPr>
          <w:rFonts w:hint="eastAsia"/>
          <w:color w:val="auto"/>
          <w:highlight w:val="none"/>
        </w:rPr>
        <w:t>1）排洪构筑物</w:t>
      </w:r>
    </w:p>
    <w:p w14:paraId="6A9F433F">
      <w:pPr>
        <w:pStyle w:val="3"/>
        <w:ind w:firstLine="480"/>
        <w:rPr>
          <w:color w:val="auto"/>
          <w:highlight w:val="none"/>
        </w:rPr>
      </w:pPr>
      <w:r>
        <w:rPr>
          <w:rFonts w:hint="eastAsia"/>
          <w:color w:val="auto"/>
          <w:highlight w:val="none"/>
        </w:rPr>
        <w:t>①排水井</w:t>
      </w:r>
    </w:p>
    <w:p w14:paraId="7AE3C889">
      <w:pPr>
        <w:pStyle w:val="3"/>
        <w:ind w:firstLine="480"/>
        <w:rPr>
          <w:color w:val="auto"/>
          <w:highlight w:val="none"/>
        </w:rPr>
      </w:pPr>
      <w:r>
        <w:rPr>
          <w:color w:val="auto"/>
          <w:highlight w:val="none"/>
        </w:rPr>
        <w:t>5座排水井均为6柱框架式结构，内径2.5m，C35钢筋混凝土结构，1#、2#排水井井身高15.0m；5#排水井井身高21.0m；其余排水井井身高均为24.0m。</w:t>
      </w:r>
    </w:p>
    <w:p w14:paraId="0F912B41">
      <w:pPr>
        <w:pStyle w:val="3"/>
        <w:ind w:firstLine="480"/>
        <w:rPr>
          <w:color w:val="auto"/>
          <w:highlight w:val="none"/>
        </w:rPr>
      </w:pPr>
      <w:r>
        <w:rPr>
          <w:color w:val="auto"/>
          <w:highlight w:val="none"/>
        </w:rPr>
        <w:t>排水井通过基座（或跌水井）与排洪隧洞相连，基座（或跌水井）内径2.0m，底部设置1.0m（1.5m）深消力坑，C35钢筋混凝土结构。</w:t>
      </w:r>
    </w:p>
    <w:p w14:paraId="4F351D47">
      <w:pPr>
        <w:pStyle w:val="3"/>
        <w:ind w:firstLine="480"/>
        <w:rPr>
          <w:color w:val="auto"/>
          <w:highlight w:val="none"/>
        </w:rPr>
      </w:pPr>
      <w:r>
        <w:rPr>
          <w:rFonts w:hint="eastAsia"/>
          <w:color w:val="auto"/>
          <w:highlight w:val="none"/>
        </w:rPr>
        <w:t>②</w:t>
      </w:r>
      <w:r>
        <w:rPr>
          <w:color w:val="auto"/>
          <w:highlight w:val="none"/>
        </w:rPr>
        <w:t>排洪隧洞</w:t>
      </w:r>
    </w:p>
    <w:p w14:paraId="43B0FD44">
      <w:pPr>
        <w:pStyle w:val="3"/>
        <w:ind w:firstLine="480"/>
        <w:rPr>
          <w:color w:val="auto"/>
          <w:highlight w:val="none"/>
        </w:rPr>
      </w:pPr>
      <w:r>
        <w:rPr>
          <w:color w:val="auto"/>
          <w:highlight w:val="none"/>
        </w:rPr>
        <w:t>排洪主、支隧洞均位于库区右岸山体内，主、支隧洞夹角60°</w:t>
      </w:r>
      <w:r>
        <w:rPr>
          <w:rFonts w:hint="eastAsia"/>
          <w:color w:val="auto"/>
          <w:highlight w:val="none"/>
        </w:rPr>
        <w:t>，</w:t>
      </w:r>
      <w:r>
        <w:rPr>
          <w:color w:val="auto"/>
          <w:highlight w:val="none"/>
        </w:rPr>
        <w:t>主隧洞转弯角45°</w:t>
      </w:r>
      <w:r>
        <w:rPr>
          <w:rFonts w:hint="eastAsia"/>
          <w:color w:val="auto"/>
          <w:highlight w:val="none"/>
        </w:rPr>
        <w:t>，</w:t>
      </w:r>
      <w:r>
        <w:rPr>
          <w:color w:val="auto"/>
          <w:highlight w:val="none"/>
        </w:rPr>
        <w:t>转弯半径50m。</w:t>
      </w:r>
    </w:p>
    <w:p w14:paraId="77F0F6B0">
      <w:pPr>
        <w:pStyle w:val="3"/>
        <w:ind w:firstLine="480"/>
        <w:rPr>
          <w:color w:val="auto"/>
          <w:highlight w:val="none"/>
        </w:rPr>
      </w:pPr>
      <w:r>
        <w:rPr>
          <w:color w:val="auto"/>
          <w:highlight w:val="none"/>
        </w:rPr>
        <w:t>排洪主、支隧洞均为圆拱直墙型，C35钢筋混凝土结构，净宽1.5m，直墙高1.05m，矢高0.75m，纵坡坡比为5.0%，衬砌厚度0.4m。其中</w:t>
      </w:r>
      <w:r>
        <w:rPr>
          <w:rFonts w:hint="eastAsia"/>
          <w:color w:val="auto"/>
          <w:highlight w:val="none"/>
        </w:rPr>
        <w:t>：</w:t>
      </w:r>
      <w:r>
        <w:rPr>
          <w:color w:val="auto"/>
          <w:highlight w:val="none"/>
        </w:rPr>
        <w:t>主隧洞总长975.0m，最低出水口标高 1902.0m；支隧洞总长 650.0m，进水口及出水口标高见表6.3-1。</w:t>
      </w:r>
    </w:p>
    <w:p w14:paraId="7234A7BC">
      <w:pPr>
        <w:pStyle w:val="3"/>
        <w:ind w:firstLine="480"/>
        <w:rPr>
          <w:color w:val="auto"/>
          <w:highlight w:val="none"/>
        </w:rPr>
      </w:pPr>
      <w:r>
        <w:rPr>
          <w:rFonts w:hint="eastAsia"/>
          <w:color w:val="auto"/>
          <w:highlight w:val="none"/>
        </w:rPr>
        <w:t>③</w:t>
      </w:r>
      <w:r>
        <w:rPr>
          <w:color w:val="auto"/>
          <w:highlight w:val="none"/>
        </w:rPr>
        <w:t>消力池</w:t>
      </w:r>
    </w:p>
    <w:p w14:paraId="6913C36B">
      <w:pPr>
        <w:pStyle w:val="3"/>
        <w:ind w:firstLine="480"/>
        <w:rPr>
          <w:color w:val="auto"/>
          <w:highlight w:val="none"/>
        </w:rPr>
      </w:pPr>
      <w:r>
        <w:rPr>
          <w:color w:val="auto"/>
          <w:highlight w:val="none"/>
        </w:rPr>
        <w:t>主隧洞出口连接一座底流式消力池，消力池长 12m，宽 2.5m，深 3.0m，C35 钢筋砼结构，结构厚度 0.4m。</w:t>
      </w:r>
    </w:p>
    <w:p w14:paraId="363CBDE8">
      <w:pPr>
        <w:pStyle w:val="3"/>
        <w:ind w:firstLine="480"/>
        <w:rPr>
          <w:color w:val="auto"/>
          <w:highlight w:val="none"/>
        </w:rPr>
      </w:pPr>
      <w:r>
        <w:rPr>
          <w:rFonts w:hint="eastAsia"/>
          <w:color w:val="auto"/>
          <w:highlight w:val="none"/>
        </w:rPr>
        <w:t>④</w:t>
      </w:r>
      <w:r>
        <w:rPr>
          <w:color w:val="auto"/>
          <w:highlight w:val="none"/>
        </w:rPr>
        <w:t>导流明渠</w:t>
      </w:r>
    </w:p>
    <w:p w14:paraId="534E458C">
      <w:pPr>
        <w:pStyle w:val="3"/>
        <w:ind w:firstLine="480"/>
        <w:rPr>
          <w:color w:val="auto"/>
          <w:highlight w:val="none"/>
        </w:rPr>
      </w:pPr>
      <w:r>
        <w:rPr>
          <w:color w:val="auto"/>
          <w:highlight w:val="none"/>
        </w:rPr>
        <w:t>消力池出口连接导流明渠，将洪水引至应急事故池。导流明渠为梯形断面，底宽2.5m，顶宽3.5m，深2.5m，纵坡坡度2%，总长131.75m，采用浆砌石结构，衬砌厚度0.5m。</w:t>
      </w:r>
    </w:p>
    <w:p w14:paraId="7CCEE4A5">
      <w:pPr>
        <w:pStyle w:val="40"/>
        <w:spacing w:before="24" w:after="24"/>
        <w:rPr>
          <w:color w:val="auto"/>
          <w:highlight w:val="none"/>
        </w:rPr>
      </w:pPr>
      <w:r>
        <w:rPr>
          <w:color w:val="auto"/>
          <w:highlight w:val="none"/>
        </w:rPr>
        <w:t>表</w:t>
      </w:r>
      <w:r>
        <w:rPr>
          <w:rFonts w:hint="eastAsia"/>
          <w:color w:val="auto"/>
          <w:highlight w:val="none"/>
        </w:rPr>
        <w:t>3.3-13</w:t>
      </w:r>
      <w:r>
        <w:rPr>
          <w:color w:val="auto"/>
          <w:highlight w:val="none"/>
        </w:rPr>
        <w:t xml:space="preserve">  排洪构筑物参数表</w:t>
      </w:r>
    </w:p>
    <w:tbl>
      <w:tblPr>
        <w:tblStyle w:val="45"/>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041"/>
        <w:gridCol w:w="1360"/>
        <w:gridCol w:w="1390"/>
        <w:gridCol w:w="1208"/>
        <w:gridCol w:w="1208"/>
        <w:gridCol w:w="1114"/>
      </w:tblGrid>
      <w:tr w14:paraId="4E4ED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jc w:val="center"/>
        </w:trPr>
        <w:tc>
          <w:tcPr>
            <w:tcW w:w="1226" w:type="pct"/>
            <w:tcBorders>
              <w:top w:val="single" w:color="000000" w:sz="12" w:space="0"/>
              <w:left w:val="single" w:color="000000" w:sz="12" w:space="0"/>
              <w:bottom w:val="single" w:color="000000" w:sz="4" w:space="0"/>
              <w:right w:val="single" w:color="000000" w:sz="4" w:space="0"/>
            </w:tcBorders>
            <w:vAlign w:val="center"/>
          </w:tcPr>
          <w:p w14:paraId="28269783">
            <w:pPr>
              <w:pStyle w:val="41"/>
              <w:rPr>
                <w:color w:val="auto"/>
                <w:highlight w:val="none"/>
              </w:rPr>
            </w:pPr>
            <w:r>
              <w:rPr>
                <w:color w:val="auto"/>
                <w:highlight w:val="none"/>
              </w:rPr>
              <w:t>名称</w:t>
            </w:r>
          </w:p>
        </w:tc>
        <w:tc>
          <w:tcPr>
            <w:tcW w:w="817" w:type="pct"/>
            <w:tcBorders>
              <w:top w:val="single" w:color="000000" w:sz="12" w:space="0"/>
              <w:left w:val="single" w:color="000000" w:sz="4" w:space="0"/>
              <w:bottom w:val="single" w:color="000000" w:sz="4" w:space="0"/>
              <w:right w:val="single" w:color="000000" w:sz="4" w:space="0"/>
            </w:tcBorders>
            <w:vAlign w:val="center"/>
          </w:tcPr>
          <w:p w14:paraId="6B8F42F2">
            <w:pPr>
              <w:pStyle w:val="41"/>
              <w:rPr>
                <w:color w:val="auto"/>
                <w:highlight w:val="none"/>
              </w:rPr>
            </w:pPr>
            <w:r>
              <w:rPr>
                <w:color w:val="auto"/>
                <w:highlight w:val="none"/>
              </w:rPr>
              <w:t>1#排水井</w:t>
            </w:r>
          </w:p>
        </w:tc>
        <w:tc>
          <w:tcPr>
            <w:tcW w:w="835" w:type="pct"/>
            <w:tcBorders>
              <w:top w:val="single" w:color="000000" w:sz="12" w:space="0"/>
              <w:left w:val="single" w:color="000000" w:sz="4" w:space="0"/>
              <w:bottom w:val="single" w:color="000000" w:sz="4" w:space="0"/>
              <w:right w:val="single" w:color="000000" w:sz="4" w:space="0"/>
            </w:tcBorders>
            <w:vAlign w:val="center"/>
          </w:tcPr>
          <w:p w14:paraId="72082D41">
            <w:pPr>
              <w:pStyle w:val="41"/>
              <w:rPr>
                <w:color w:val="auto"/>
                <w:highlight w:val="none"/>
              </w:rPr>
            </w:pPr>
            <w:r>
              <w:rPr>
                <w:color w:val="auto"/>
                <w:highlight w:val="none"/>
              </w:rPr>
              <w:t>2#排水井</w:t>
            </w:r>
          </w:p>
        </w:tc>
        <w:tc>
          <w:tcPr>
            <w:tcW w:w="726" w:type="pct"/>
            <w:tcBorders>
              <w:top w:val="single" w:color="000000" w:sz="12" w:space="0"/>
              <w:left w:val="single" w:color="000000" w:sz="4" w:space="0"/>
              <w:bottom w:val="single" w:color="000000" w:sz="4" w:space="0"/>
              <w:right w:val="single" w:color="000000" w:sz="4" w:space="0"/>
            </w:tcBorders>
            <w:vAlign w:val="center"/>
          </w:tcPr>
          <w:p w14:paraId="3EBD13D2">
            <w:pPr>
              <w:pStyle w:val="41"/>
              <w:rPr>
                <w:color w:val="auto"/>
                <w:highlight w:val="none"/>
              </w:rPr>
            </w:pPr>
            <w:r>
              <w:rPr>
                <w:color w:val="auto"/>
                <w:highlight w:val="none"/>
              </w:rPr>
              <w:t>3#排水井</w:t>
            </w:r>
          </w:p>
        </w:tc>
        <w:tc>
          <w:tcPr>
            <w:tcW w:w="726" w:type="pct"/>
            <w:tcBorders>
              <w:top w:val="single" w:color="000000" w:sz="12" w:space="0"/>
              <w:left w:val="single" w:color="000000" w:sz="4" w:space="0"/>
              <w:bottom w:val="single" w:color="000000" w:sz="4" w:space="0"/>
              <w:right w:val="single" w:color="000000" w:sz="4" w:space="0"/>
            </w:tcBorders>
            <w:vAlign w:val="center"/>
          </w:tcPr>
          <w:p w14:paraId="76AE26D8">
            <w:pPr>
              <w:pStyle w:val="41"/>
              <w:rPr>
                <w:color w:val="auto"/>
                <w:highlight w:val="none"/>
              </w:rPr>
            </w:pPr>
            <w:r>
              <w:rPr>
                <w:color w:val="auto"/>
                <w:highlight w:val="none"/>
              </w:rPr>
              <w:t>4#排水井</w:t>
            </w:r>
          </w:p>
        </w:tc>
        <w:tc>
          <w:tcPr>
            <w:tcW w:w="668" w:type="pct"/>
            <w:tcBorders>
              <w:top w:val="single" w:color="000000" w:sz="12" w:space="0"/>
              <w:left w:val="single" w:color="000000" w:sz="4" w:space="0"/>
              <w:bottom w:val="single" w:color="000000" w:sz="4" w:space="0"/>
              <w:right w:val="single" w:color="000000" w:sz="12" w:space="0"/>
            </w:tcBorders>
            <w:vAlign w:val="center"/>
          </w:tcPr>
          <w:p w14:paraId="12151838">
            <w:pPr>
              <w:pStyle w:val="41"/>
              <w:rPr>
                <w:color w:val="auto"/>
                <w:highlight w:val="none"/>
              </w:rPr>
            </w:pPr>
            <w:r>
              <w:rPr>
                <w:color w:val="auto"/>
                <w:highlight w:val="none"/>
              </w:rPr>
              <w:t>5#排水井</w:t>
            </w:r>
          </w:p>
        </w:tc>
      </w:tr>
      <w:tr w14:paraId="21E74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226" w:type="pct"/>
            <w:tcBorders>
              <w:top w:val="single" w:color="000000" w:sz="4" w:space="0"/>
              <w:left w:val="single" w:color="000000" w:sz="12" w:space="0"/>
              <w:bottom w:val="single" w:color="000000" w:sz="4" w:space="0"/>
              <w:right w:val="single" w:color="000000" w:sz="4" w:space="0"/>
            </w:tcBorders>
            <w:vAlign w:val="center"/>
          </w:tcPr>
          <w:p w14:paraId="41B26F83">
            <w:pPr>
              <w:pStyle w:val="41"/>
              <w:rPr>
                <w:color w:val="auto"/>
                <w:highlight w:val="none"/>
              </w:rPr>
            </w:pPr>
            <w:r>
              <w:rPr>
                <w:color w:val="auto"/>
                <w:highlight w:val="none"/>
              </w:rPr>
              <w:t>排水井内径D（m）</w:t>
            </w:r>
          </w:p>
        </w:tc>
        <w:tc>
          <w:tcPr>
            <w:tcW w:w="817" w:type="pct"/>
            <w:tcBorders>
              <w:top w:val="single" w:color="000000" w:sz="4" w:space="0"/>
              <w:left w:val="single" w:color="000000" w:sz="4" w:space="0"/>
              <w:bottom w:val="single" w:color="000000" w:sz="4" w:space="0"/>
              <w:right w:val="single" w:color="000000" w:sz="4" w:space="0"/>
            </w:tcBorders>
            <w:vAlign w:val="center"/>
          </w:tcPr>
          <w:p w14:paraId="756CC762">
            <w:pPr>
              <w:pStyle w:val="41"/>
              <w:rPr>
                <w:color w:val="auto"/>
                <w:highlight w:val="none"/>
              </w:rPr>
            </w:pPr>
            <w:r>
              <w:rPr>
                <w:color w:val="auto"/>
                <w:highlight w:val="none"/>
              </w:rPr>
              <w:t>2.5</w:t>
            </w:r>
          </w:p>
        </w:tc>
        <w:tc>
          <w:tcPr>
            <w:tcW w:w="835" w:type="pct"/>
            <w:tcBorders>
              <w:top w:val="single" w:color="000000" w:sz="4" w:space="0"/>
              <w:left w:val="single" w:color="000000" w:sz="4" w:space="0"/>
              <w:bottom w:val="single" w:color="000000" w:sz="4" w:space="0"/>
              <w:right w:val="single" w:color="000000" w:sz="4" w:space="0"/>
            </w:tcBorders>
            <w:vAlign w:val="center"/>
          </w:tcPr>
          <w:p w14:paraId="6929EFCA">
            <w:pPr>
              <w:pStyle w:val="41"/>
              <w:rPr>
                <w:color w:val="auto"/>
                <w:highlight w:val="none"/>
              </w:rPr>
            </w:pPr>
            <w:r>
              <w:rPr>
                <w:color w:val="auto"/>
                <w:highlight w:val="none"/>
              </w:rPr>
              <w:t>2.5</w:t>
            </w:r>
          </w:p>
        </w:tc>
        <w:tc>
          <w:tcPr>
            <w:tcW w:w="726" w:type="pct"/>
            <w:tcBorders>
              <w:top w:val="single" w:color="000000" w:sz="4" w:space="0"/>
              <w:left w:val="single" w:color="000000" w:sz="4" w:space="0"/>
              <w:bottom w:val="single" w:color="000000" w:sz="4" w:space="0"/>
              <w:right w:val="single" w:color="000000" w:sz="4" w:space="0"/>
            </w:tcBorders>
            <w:vAlign w:val="center"/>
          </w:tcPr>
          <w:p w14:paraId="08E0F586">
            <w:pPr>
              <w:pStyle w:val="41"/>
              <w:rPr>
                <w:color w:val="auto"/>
                <w:highlight w:val="none"/>
              </w:rPr>
            </w:pPr>
            <w:r>
              <w:rPr>
                <w:color w:val="auto"/>
                <w:highlight w:val="none"/>
              </w:rPr>
              <w:t>2.5</w:t>
            </w:r>
          </w:p>
        </w:tc>
        <w:tc>
          <w:tcPr>
            <w:tcW w:w="726" w:type="pct"/>
            <w:tcBorders>
              <w:top w:val="single" w:color="000000" w:sz="4" w:space="0"/>
              <w:left w:val="single" w:color="000000" w:sz="4" w:space="0"/>
              <w:bottom w:val="single" w:color="000000" w:sz="4" w:space="0"/>
              <w:right w:val="single" w:color="000000" w:sz="4" w:space="0"/>
            </w:tcBorders>
            <w:vAlign w:val="center"/>
          </w:tcPr>
          <w:p w14:paraId="3937C0B0">
            <w:pPr>
              <w:pStyle w:val="41"/>
              <w:rPr>
                <w:color w:val="auto"/>
                <w:highlight w:val="none"/>
              </w:rPr>
            </w:pPr>
            <w:r>
              <w:rPr>
                <w:color w:val="auto"/>
                <w:highlight w:val="none"/>
              </w:rPr>
              <w:t>2.5</w:t>
            </w:r>
          </w:p>
        </w:tc>
        <w:tc>
          <w:tcPr>
            <w:tcW w:w="668" w:type="pct"/>
            <w:tcBorders>
              <w:top w:val="single" w:color="000000" w:sz="4" w:space="0"/>
              <w:left w:val="single" w:color="000000" w:sz="4" w:space="0"/>
              <w:bottom w:val="single" w:color="000000" w:sz="4" w:space="0"/>
              <w:right w:val="single" w:color="000000" w:sz="12" w:space="0"/>
            </w:tcBorders>
            <w:vAlign w:val="center"/>
          </w:tcPr>
          <w:p w14:paraId="2AE803D2">
            <w:pPr>
              <w:pStyle w:val="41"/>
              <w:rPr>
                <w:color w:val="auto"/>
                <w:highlight w:val="none"/>
              </w:rPr>
            </w:pPr>
            <w:r>
              <w:rPr>
                <w:color w:val="auto"/>
                <w:highlight w:val="none"/>
              </w:rPr>
              <w:t>2.5</w:t>
            </w:r>
          </w:p>
        </w:tc>
      </w:tr>
      <w:tr w14:paraId="028B7A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226" w:type="pct"/>
            <w:tcBorders>
              <w:top w:val="single" w:color="000000" w:sz="4" w:space="0"/>
              <w:left w:val="single" w:color="000000" w:sz="12" w:space="0"/>
              <w:bottom w:val="single" w:color="000000" w:sz="4" w:space="0"/>
              <w:right w:val="single" w:color="000000" w:sz="4" w:space="0"/>
            </w:tcBorders>
            <w:vAlign w:val="center"/>
          </w:tcPr>
          <w:p w14:paraId="40B40278">
            <w:pPr>
              <w:pStyle w:val="41"/>
              <w:rPr>
                <w:color w:val="auto"/>
                <w:highlight w:val="none"/>
              </w:rPr>
            </w:pPr>
            <w:r>
              <w:rPr>
                <w:color w:val="auto"/>
                <w:highlight w:val="none"/>
              </w:rPr>
              <w:t>排水井顶标高</w:t>
            </w:r>
          </w:p>
          <w:p w14:paraId="54CF8FA8">
            <w:pPr>
              <w:pStyle w:val="41"/>
              <w:rPr>
                <w:color w:val="auto"/>
                <w:highlight w:val="none"/>
              </w:rPr>
            </w:pPr>
            <w:r>
              <w:rPr>
                <w:color w:val="auto"/>
                <w:highlight w:val="none"/>
              </w:rPr>
              <w:t>H1</w:t>
            </w:r>
            <w:r>
              <w:rPr>
                <w:rFonts w:hint="eastAsia"/>
                <w:color w:val="auto"/>
                <w:highlight w:val="none"/>
                <w:lang w:eastAsia="zh-CN"/>
              </w:rPr>
              <w:t>(</w:t>
            </w:r>
            <w:r>
              <w:rPr>
                <w:color w:val="auto"/>
                <w:highlight w:val="none"/>
              </w:rPr>
              <w:t>m</w:t>
            </w:r>
            <w:r>
              <w:rPr>
                <w:rFonts w:hint="eastAsia"/>
                <w:color w:val="auto"/>
                <w:highlight w:val="none"/>
                <w:lang w:eastAsia="zh-CN"/>
              </w:rPr>
              <w:t>)</w:t>
            </w:r>
          </w:p>
        </w:tc>
        <w:tc>
          <w:tcPr>
            <w:tcW w:w="817" w:type="pct"/>
            <w:tcBorders>
              <w:top w:val="single" w:color="000000" w:sz="4" w:space="0"/>
              <w:left w:val="single" w:color="000000" w:sz="4" w:space="0"/>
              <w:bottom w:val="single" w:color="000000" w:sz="4" w:space="0"/>
              <w:right w:val="single" w:color="000000" w:sz="4" w:space="0"/>
            </w:tcBorders>
            <w:vAlign w:val="center"/>
          </w:tcPr>
          <w:p w14:paraId="39C7069C">
            <w:pPr>
              <w:pStyle w:val="41"/>
              <w:rPr>
                <w:color w:val="auto"/>
                <w:highlight w:val="none"/>
              </w:rPr>
            </w:pPr>
            <w:r>
              <w:rPr>
                <w:color w:val="auto"/>
                <w:highlight w:val="none"/>
              </w:rPr>
              <w:t>1938.00</w:t>
            </w:r>
          </w:p>
        </w:tc>
        <w:tc>
          <w:tcPr>
            <w:tcW w:w="835" w:type="pct"/>
            <w:tcBorders>
              <w:top w:val="single" w:color="000000" w:sz="4" w:space="0"/>
              <w:left w:val="single" w:color="000000" w:sz="4" w:space="0"/>
              <w:bottom w:val="single" w:color="000000" w:sz="4" w:space="0"/>
              <w:right w:val="single" w:color="000000" w:sz="4" w:space="0"/>
            </w:tcBorders>
            <w:vAlign w:val="center"/>
          </w:tcPr>
          <w:p w14:paraId="23555BB3">
            <w:pPr>
              <w:pStyle w:val="41"/>
              <w:rPr>
                <w:color w:val="auto"/>
                <w:highlight w:val="none"/>
              </w:rPr>
            </w:pPr>
            <w:r>
              <w:rPr>
                <w:color w:val="auto"/>
                <w:highlight w:val="none"/>
              </w:rPr>
              <w:t>1951.00</w:t>
            </w:r>
          </w:p>
        </w:tc>
        <w:tc>
          <w:tcPr>
            <w:tcW w:w="726" w:type="pct"/>
            <w:tcBorders>
              <w:top w:val="single" w:color="000000" w:sz="4" w:space="0"/>
              <w:left w:val="single" w:color="000000" w:sz="4" w:space="0"/>
              <w:bottom w:val="single" w:color="000000" w:sz="4" w:space="0"/>
              <w:right w:val="single" w:color="000000" w:sz="4" w:space="0"/>
            </w:tcBorders>
            <w:vAlign w:val="center"/>
          </w:tcPr>
          <w:p w14:paraId="1CABB161">
            <w:pPr>
              <w:pStyle w:val="41"/>
              <w:rPr>
                <w:color w:val="auto"/>
                <w:highlight w:val="none"/>
              </w:rPr>
            </w:pPr>
            <w:r>
              <w:rPr>
                <w:color w:val="auto"/>
                <w:highlight w:val="none"/>
              </w:rPr>
              <w:t>1973.00</w:t>
            </w:r>
          </w:p>
        </w:tc>
        <w:tc>
          <w:tcPr>
            <w:tcW w:w="726" w:type="pct"/>
            <w:tcBorders>
              <w:top w:val="single" w:color="000000" w:sz="4" w:space="0"/>
              <w:left w:val="single" w:color="000000" w:sz="4" w:space="0"/>
              <w:bottom w:val="single" w:color="000000" w:sz="4" w:space="0"/>
              <w:right w:val="single" w:color="000000" w:sz="4" w:space="0"/>
            </w:tcBorders>
            <w:vAlign w:val="center"/>
          </w:tcPr>
          <w:p w14:paraId="01C0976E">
            <w:pPr>
              <w:pStyle w:val="41"/>
              <w:rPr>
                <w:color w:val="auto"/>
                <w:highlight w:val="none"/>
              </w:rPr>
            </w:pPr>
            <w:r>
              <w:rPr>
                <w:color w:val="auto"/>
                <w:highlight w:val="none"/>
              </w:rPr>
              <w:t>1995.00</w:t>
            </w:r>
          </w:p>
        </w:tc>
        <w:tc>
          <w:tcPr>
            <w:tcW w:w="668" w:type="pct"/>
            <w:tcBorders>
              <w:top w:val="single" w:color="000000" w:sz="4" w:space="0"/>
              <w:left w:val="single" w:color="000000" w:sz="4" w:space="0"/>
              <w:bottom w:val="single" w:color="000000" w:sz="4" w:space="0"/>
              <w:right w:val="single" w:color="000000" w:sz="12" w:space="0"/>
            </w:tcBorders>
            <w:vAlign w:val="center"/>
          </w:tcPr>
          <w:p w14:paraId="547E0B7C">
            <w:pPr>
              <w:pStyle w:val="41"/>
              <w:rPr>
                <w:color w:val="auto"/>
                <w:highlight w:val="none"/>
              </w:rPr>
            </w:pPr>
            <w:r>
              <w:rPr>
                <w:color w:val="auto"/>
                <w:highlight w:val="none"/>
              </w:rPr>
              <w:t>2014.00</w:t>
            </w:r>
          </w:p>
        </w:tc>
      </w:tr>
      <w:tr w14:paraId="450DB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226" w:type="pct"/>
            <w:tcBorders>
              <w:top w:val="single" w:color="000000" w:sz="4" w:space="0"/>
              <w:left w:val="single" w:color="000000" w:sz="12" w:space="0"/>
              <w:bottom w:val="single" w:color="000000" w:sz="4" w:space="0"/>
              <w:right w:val="single" w:color="000000" w:sz="4" w:space="0"/>
            </w:tcBorders>
            <w:vAlign w:val="center"/>
          </w:tcPr>
          <w:p w14:paraId="3BE95049">
            <w:pPr>
              <w:pStyle w:val="41"/>
              <w:rPr>
                <w:color w:val="auto"/>
                <w:highlight w:val="none"/>
              </w:rPr>
            </w:pPr>
            <w:r>
              <w:rPr>
                <w:color w:val="auto"/>
                <w:highlight w:val="none"/>
              </w:rPr>
              <w:t>排水井进水口标高</w:t>
            </w:r>
          </w:p>
          <w:p w14:paraId="00B9CAEE">
            <w:pPr>
              <w:pStyle w:val="41"/>
              <w:rPr>
                <w:color w:val="auto"/>
                <w:highlight w:val="none"/>
              </w:rPr>
            </w:pPr>
            <w:r>
              <w:rPr>
                <w:color w:val="auto"/>
                <w:highlight w:val="none"/>
              </w:rPr>
              <w:t>H2</w:t>
            </w:r>
            <w:r>
              <w:rPr>
                <w:rFonts w:hint="eastAsia"/>
                <w:color w:val="auto"/>
                <w:highlight w:val="none"/>
                <w:lang w:eastAsia="zh-CN"/>
              </w:rPr>
              <w:t>(</w:t>
            </w:r>
            <w:r>
              <w:rPr>
                <w:color w:val="auto"/>
                <w:highlight w:val="none"/>
              </w:rPr>
              <w:t>m</w:t>
            </w:r>
            <w:r>
              <w:rPr>
                <w:rFonts w:hint="eastAsia"/>
                <w:color w:val="auto"/>
                <w:highlight w:val="none"/>
                <w:lang w:eastAsia="zh-CN"/>
              </w:rPr>
              <w:t>)</w:t>
            </w:r>
          </w:p>
        </w:tc>
        <w:tc>
          <w:tcPr>
            <w:tcW w:w="817" w:type="pct"/>
            <w:tcBorders>
              <w:top w:val="single" w:color="000000" w:sz="4" w:space="0"/>
              <w:left w:val="single" w:color="000000" w:sz="4" w:space="0"/>
              <w:bottom w:val="single" w:color="000000" w:sz="4" w:space="0"/>
              <w:right w:val="single" w:color="000000" w:sz="4" w:space="0"/>
            </w:tcBorders>
            <w:vAlign w:val="center"/>
          </w:tcPr>
          <w:p w14:paraId="72AABEBC">
            <w:pPr>
              <w:pStyle w:val="41"/>
              <w:rPr>
                <w:color w:val="auto"/>
                <w:highlight w:val="none"/>
              </w:rPr>
            </w:pPr>
            <w:r>
              <w:rPr>
                <w:color w:val="auto"/>
                <w:highlight w:val="none"/>
              </w:rPr>
              <w:t>1923.00</w:t>
            </w:r>
          </w:p>
        </w:tc>
        <w:tc>
          <w:tcPr>
            <w:tcW w:w="835" w:type="pct"/>
            <w:tcBorders>
              <w:top w:val="single" w:color="000000" w:sz="4" w:space="0"/>
              <w:left w:val="single" w:color="000000" w:sz="4" w:space="0"/>
              <w:bottom w:val="single" w:color="000000" w:sz="4" w:space="0"/>
              <w:right w:val="single" w:color="000000" w:sz="4" w:space="0"/>
            </w:tcBorders>
            <w:vAlign w:val="center"/>
          </w:tcPr>
          <w:p w14:paraId="1B642DEF">
            <w:pPr>
              <w:pStyle w:val="41"/>
              <w:rPr>
                <w:color w:val="auto"/>
                <w:highlight w:val="none"/>
              </w:rPr>
            </w:pPr>
            <w:r>
              <w:rPr>
                <w:color w:val="auto"/>
                <w:highlight w:val="none"/>
              </w:rPr>
              <w:t>1936.00</w:t>
            </w:r>
          </w:p>
        </w:tc>
        <w:tc>
          <w:tcPr>
            <w:tcW w:w="726" w:type="pct"/>
            <w:tcBorders>
              <w:top w:val="single" w:color="000000" w:sz="4" w:space="0"/>
              <w:left w:val="single" w:color="000000" w:sz="4" w:space="0"/>
              <w:bottom w:val="single" w:color="000000" w:sz="4" w:space="0"/>
              <w:right w:val="single" w:color="000000" w:sz="4" w:space="0"/>
            </w:tcBorders>
            <w:vAlign w:val="center"/>
          </w:tcPr>
          <w:p w14:paraId="6D42DD99">
            <w:pPr>
              <w:pStyle w:val="41"/>
              <w:rPr>
                <w:color w:val="auto"/>
                <w:highlight w:val="none"/>
              </w:rPr>
            </w:pPr>
            <w:r>
              <w:rPr>
                <w:color w:val="auto"/>
                <w:highlight w:val="none"/>
              </w:rPr>
              <w:t>1949.00</w:t>
            </w:r>
          </w:p>
        </w:tc>
        <w:tc>
          <w:tcPr>
            <w:tcW w:w="726" w:type="pct"/>
            <w:tcBorders>
              <w:top w:val="single" w:color="000000" w:sz="4" w:space="0"/>
              <w:left w:val="single" w:color="000000" w:sz="4" w:space="0"/>
              <w:bottom w:val="single" w:color="000000" w:sz="4" w:space="0"/>
              <w:right w:val="single" w:color="000000" w:sz="4" w:space="0"/>
            </w:tcBorders>
            <w:vAlign w:val="center"/>
          </w:tcPr>
          <w:p w14:paraId="393C2421">
            <w:pPr>
              <w:pStyle w:val="41"/>
              <w:rPr>
                <w:color w:val="auto"/>
                <w:highlight w:val="none"/>
              </w:rPr>
            </w:pPr>
            <w:r>
              <w:rPr>
                <w:color w:val="auto"/>
                <w:highlight w:val="none"/>
              </w:rPr>
              <w:t>1971.00</w:t>
            </w:r>
          </w:p>
        </w:tc>
        <w:tc>
          <w:tcPr>
            <w:tcW w:w="668" w:type="pct"/>
            <w:tcBorders>
              <w:top w:val="single" w:color="000000" w:sz="4" w:space="0"/>
              <w:left w:val="single" w:color="000000" w:sz="4" w:space="0"/>
              <w:bottom w:val="single" w:color="000000" w:sz="4" w:space="0"/>
              <w:right w:val="single" w:color="000000" w:sz="12" w:space="0"/>
            </w:tcBorders>
            <w:vAlign w:val="center"/>
          </w:tcPr>
          <w:p w14:paraId="5342CF0B">
            <w:pPr>
              <w:pStyle w:val="41"/>
              <w:rPr>
                <w:color w:val="auto"/>
                <w:highlight w:val="none"/>
              </w:rPr>
            </w:pPr>
            <w:r>
              <w:rPr>
                <w:color w:val="auto"/>
                <w:highlight w:val="none"/>
              </w:rPr>
              <w:t>1993.00</w:t>
            </w:r>
          </w:p>
        </w:tc>
      </w:tr>
      <w:tr w14:paraId="3FEC29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226" w:type="pct"/>
            <w:tcBorders>
              <w:top w:val="single" w:color="000000" w:sz="4" w:space="0"/>
              <w:left w:val="single" w:color="000000" w:sz="12" w:space="0"/>
              <w:bottom w:val="single" w:color="000000" w:sz="4" w:space="0"/>
              <w:right w:val="single" w:color="000000" w:sz="4" w:space="0"/>
            </w:tcBorders>
            <w:vAlign w:val="center"/>
          </w:tcPr>
          <w:p w14:paraId="3A2526D2">
            <w:pPr>
              <w:pStyle w:val="41"/>
              <w:rPr>
                <w:color w:val="auto"/>
                <w:highlight w:val="none"/>
              </w:rPr>
            </w:pPr>
            <w:r>
              <w:rPr>
                <w:color w:val="auto"/>
                <w:highlight w:val="none"/>
              </w:rPr>
              <w:t>排水井高度H（m）</w:t>
            </w:r>
          </w:p>
        </w:tc>
        <w:tc>
          <w:tcPr>
            <w:tcW w:w="817" w:type="pct"/>
            <w:tcBorders>
              <w:top w:val="single" w:color="000000" w:sz="4" w:space="0"/>
              <w:left w:val="single" w:color="000000" w:sz="4" w:space="0"/>
              <w:bottom w:val="single" w:color="000000" w:sz="4" w:space="0"/>
              <w:right w:val="single" w:color="000000" w:sz="4" w:space="0"/>
            </w:tcBorders>
            <w:vAlign w:val="center"/>
          </w:tcPr>
          <w:p w14:paraId="3E4F0D52">
            <w:pPr>
              <w:pStyle w:val="41"/>
              <w:rPr>
                <w:color w:val="auto"/>
                <w:highlight w:val="none"/>
              </w:rPr>
            </w:pPr>
            <w:r>
              <w:rPr>
                <w:color w:val="auto"/>
                <w:highlight w:val="none"/>
              </w:rPr>
              <w:t>15.00</w:t>
            </w:r>
          </w:p>
        </w:tc>
        <w:tc>
          <w:tcPr>
            <w:tcW w:w="835" w:type="pct"/>
            <w:tcBorders>
              <w:top w:val="single" w:color="000000" w:sz="4" w:space="0"/>
              <w:left w:val="single" w:color="000000" w:sz="4" w:space="0"/>
              <w:bottom w:val="single" w:color="000000" w:sz="4" w:space="0"/>
              <w:right w:val="single" w:color="000000" w:sz="4" w:space="0"/>
            </w:tcBorders>
            <w:vAlign w:val="center"/>
          </w:tcPr>
          <w:p w14:paraId="79BEE41E">
            <w:pPr>
              <w:pStyle w:val="41"/>
              <w:rPr>
                <w:color w:val="auto"/>
                <w:highlight w:val="none"/>
              </w:rPr>
            </w:pPr>
            <w:r>
              <w:rPr>
                <w:color w:val="auto"/>
                <w:highlight w:val="none"/>
              </w:rPr>
              <w:t>15.00</w:t>
            </w:r>
          </w:p>
        </w:tc>
        <w:tc>
          <w:tcPr>
            <w:tcW w:w="726" w:type="pct"/>
            <w:tcBorders>
              <w:top w:val="single" w:color="000000" w:sz="4" w:space="0"/>
              <w:left w:val="single" w:color="000000" w:sz="4" w:space="0"/>
              <w:bottom w:val="single" w:color="000000" w:sz="4" w:space="0"/>
              <w:right w:val="single" w:color="000000" w:sz="4" w:space="0"/>
            </w:tcBorders>
            <w:vAlign w:val="center"/>
          </w:tcPr>
          <w:p w14:paraId="2B42513B">
            <w:pPr>
              <w:pStyle w:val="41"/>
              <w:rPr>
                <w:color w:val="auto"/>
                <w:highlight w:val="none"/>
              </w:rPr>
            </w:pPr>
            <w:r>
              <w:rPr>
                <w:color w:val="auto"/>
                <w:highlight w:val="none"/>
              </w:rPr>
              <w:t>24.00</w:t>
            </w:r>
          </w:p>
        </w:tc>
        <w:tc>
          <w:tcPr>
            <w:tcW w:w="726" w:type="pct"/>
            <w:tcBorders>
              <w:top w:val="single" w:color="000000" w:sz="4" w:space="0"/>
              <w:left w:val="single" w:color="000000" w:sz="4" w:space="0"/>
              <w:bottom w:val="single" w:color="000000" w:sz="4" w:space="0"/>
              <w:right w:val="single" w:color="000000" w:sz="4" w:space="0"/>
            </w:tcBorders>
            <w:vAlign w:val="center"/>
          </w:tcPr>
          <w:p w14:paraId="2A330180">
            <w:pPr>
              <w:pStyle w:val="41"/>
              <w:rPr>
                <w:color w:val="auto"/>
                <w:highlight w:val="none"/>
              </w:rPr>
            </w:pPr>
            <w:r>
              <w:rPr>
                <w:color w:val="auto"/>
                <w:highlight w:val="none"/>
              </w:rPr>
              <w:t>24.00</w:t>
            </w:r>
          </w:p>
        </w:tc>
        <w:tc>
          <w:tcPr>
            <w:tcW w:w="668" w:type="pct"/>
            <w:tcBorders>
              <w:top w:val="single" w:color="000000" w:sz="4" w:space="0"/>
              <w:left w:val="single" w:color="000000" w:sz="4" w:space="0"/>
              <w:bottom w:val="single" w:color="000000" w:sz="4" w:space="0"/>
              <w:right w:val="single" w:color="000000" w:sz="12" w:space="0"/>
            </w:tcBorders>
            <w:vAlign w:val="center"/>
          </w:tcPr>
          <w:p w14:paraId="01CD66C4">
            <w:pPr>
              <w:pStyle w:val="41"/>
              <w:rPr>
                <w:color w:val="auto"/>
                <w:highlight w:val="none"/>
              </w:rPr>
            </w:pPr>
            <w:r>
              <w:rPr>
                <w:color w:val="auto"/>
                <w:highlight w:val="none"/>
              </w:rPr>
              <w:t>21.00</w:t>
            </w:r>
          </w:p>
        </w:tc>
      </w:tr>
      <w:tr w14:paraId="700A7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226" w:type="pct"/>
            <w:tcBorders>
              <w:top w:val="single" w:color="000000" w:sz="4" w:space="0"/>
              <w:left w:val="single" w:color="000000" w:sz="12" w:space="0"/>
              <w:bottom w:val="single" w:color="000000" w:sz="4" w:space="0"/>
              <w:right w:val="single" w:color="000000" w:sz="4" w:space="0"/>
            </w:tcBorders>
            <w:vAlign w:val="center"/>
          </w:tcPr>
          <w:p w14:paraId="620D351B">
            <w:pPr>
              <w:pStyle w:val="41"/>
              <w:rPr>
                <w:color w:val="auto"/>
                <w:highlight w:val="none"/>
              </w:rPr>
            </w:pPr>
            <w:r>
              <w:rPr>
                <w:color w:val="auto"/>
                <w:highlight w:val="none"/>
              </w:rPr>
              <w:t>支隧洞进水口标高H3</w:t>
            </w:r>
          </w:p>
          <w:p w14:paraId="2FBB3928">
            <w:pPr>
              <w:pStyle w:val="41"/>
              <w:rPr>
                <w:color w:val="auto"/>
                <w:highlight w:val="none"/>
              </w:rPr>
            </w:pPr>
            <w:r>
              <w:rPr>
                <w:rFonts w:hint="eastAsia"/>
                <w:color w:val="auto"/>
                <w:highlight w:val="none"/>
                <w:lang w:eastAsia="zh-CN"/>
              </w:rPr>
              <w:t>(</w:t>
            </w:r>
            <w:r>
              <w:rPr>
                <w:color w:val="auto"/>
                <w:highlight w:val="none"/>
              </w:rPr>
              <w:t>m</w:t>
            </w:r>
            <w:r>
              <w:rPr>
                <w:rFonts w:hint="eastAsia"/>
                <w:color w:val="auto"/>
                <w:highlight w:val="none"/>
                <w:lang w:eastAsia="zh-CN"/>
              </w:rPr>
              <w:t>)</w:t>
            </w:r>
          </w:p>
        </w:tc>
        <w:tc>
          <w:tcPr>
            <w:tcW w:w="817" w:type="pct"/>
            <w:tcBorders>
              <w:top w:val="single" w:color="000000" w:sz="4" w:space="0"/>
              <w:left w:val="single" w:color="000000" w:sz="4" w:space="0"/>
              <w:bottom w:val="single" w:color="000000" w:sz="4" w:space="0"/>
              <w:right w:val="single" w:color="000000" w:sz="4" w:space="0"/>
            </w:tcBorders>
            <w:vAlign w:val="center"/>
          </w:tcPr>
          <w:p w14:paraId="3C8C8009">
            <w:pPr>
              <w:pStyle w:val="41"/>
              <w:rPr>
                <w:color w:val="auto"/>
                <w:highlight w:val="none"/>
              </w:rPr>
            </w:pPr>
            <w:r>
              <w:rPr>
                <w:color w:val="auto"/>
                <w:highlight w:val="none"/>
              </w:rPr>
              <w:t>1919.80</w:t>
            </w:r>
          </w:p>
        </w:tc>
        <w:tc>
          <w:tcPr>
            <w:tcW w:w="835" w:type="pct"/>
            <w:tcBorders>
              <w:top w:val="single" w:color="000000" w:sz="4" w:space="0"/>
              <w:left w:val="single" w:color="000000" w:sz="4" w:space="0"/>
              <w:bottom w:val="single" w:color="000000" w:sz="4" w:space="0"/>
              <w:right w:val="single" w:color="000000" w:sz="4" w:space="0"/>
            </w:tcBorders>
            <w:vAlign w:val="center"/>
          </w:tcPr>
          <w:p w14:paraId="75189E33">
            <w:pPr>
              <w:pStyle w:val="41"/>
              <w:rPr>
                <w:color w:val="auto"/>
                <w:highlight w:val="none"/>
              </w:rPr>
            </w:pPr>
            <w:r>
              <w:rPr>
                <w:color w:val="auto"/>
                <w:highlight w:val="none"/>
              </w:rPr>
              <w:t>1932.80</w:t>
            </w:r>
          </w:p>
        </w:tc>
        <w:tc>
          <w:tcPr>
            <w:tcW w:w="726" w:type="pct"/>
            <w:tcBorders>
              <w:top w:val="single" w:color="000000" w:sz="4" w:space="0"/>
              <w:left w:val="single" w:color="000000" w:sz="4" w:space="0"/>
              <w:bottom w:val="single" w:color="000000" w:sz="4" w:space="0"/>
              <w:right w:val="single" w:color="000000" w:sz="4" w:space="0"/>
            </w:tcBorders>
            <w:vAlign w:val="center"/>
          </w:tcPr>
          <w:p w14:paraId="4C7A0EED">
            <w:pPr>
              <w:pStyle w:val="41"/>
              <w:rPr>
                <w:color w:val="auto"/>
                <w:highlight w:val="none"/>
              </w:rPr>
            </w:pPr>
            <w:r>
              <w:rPr>
                <w:color w:val="auto"/>
                <w:highlight w:val="none"/>
              </w:rPr>
              <w:t>1945.80</w:t>
            </w:r>
          </w:p>
        </w:tc>
        <w:tc>
          <w:tcPr>
            <w:tcW w:w="726" w:type="pct"/>
            <w:tcBorders>
              <w:top w:val="single" w:color="000000" w:sz="4" w:space="0"/>
              <w:left w:val="single" w:color="000000" w:sz="4" w:space="0"/>
              <w:bottom w:val="single" w:color="000000" w:sz="4" w:space="0"/>
              <w:right w:val="single" w:color="000000" w:sz="4" w:space="0"/>
            </w:tcBorders>
            <w:vAlign w:val="center"/>
          </w:tcPr>
          <w:p w14:paraId="019B7271">
            <w:pPr>
              <w:pStyle w:val="41"/>
              <w:rPr>
                <w:color w:val="auto"/>
                <w:highlight w:val="none"/>
              </w:rPr>
            </w:pPr>
            <w:r>
              <w:rPr>
                <w:color w:val="auto"/>
                <w:highlight w:val="none"/>
              </w:rPr>
              <w:t>1953.00</w:t>
            </w:r>
          </w:p>
        </w:tc>
        <w:tc>
          <w:tcPr>
            <w:tcW w:w="668" w:type="pct"/>
            <w:tcBorders>
              <w:top w:val="single" w:color="000000" w:sz="4" w:space="0"/>
              <w:left w:val="single" w:color="000000" w:sz="4" w:space="0"/>
              <w:bottom w:val="single" w:color="000000" w:sz="4" w:space="0"/>
              <w:right w:val="single" w:color="000000" w:sz="12" w:space="0"/>
            </w:tcBorders>
            <w:vAlign w:val="center"/>
          </w:tcPr>
          <w:p w14:paraId="43821272">
            <w:pPr>
              <w:pStyle w:val="41"/>
              <w:rPr>
                <w:color w:val="auto"/>
                <w:highlight w:val="none"/>
              </w:rPr>
            </w:pPr>
            <w:r>
              <w:rPr>
                <w:color w:val="auto"/>
                <w:highlight w:val="none"/>
              </w:rPr>
              <w:t>1950.75</w:t>
            </w:r>
          </w:p>
        </w:tc>
      </w:tr>
      <w:tr w14:paraId="2A7DD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226" w:type="pct"/>
            <w:tcBorders>
              <w:top w:val="single" w:color="000000" w:sz="4" w:space="0"/>
              <w:left w:val="single" w:color="000000" w:sz="12" w:space="0"/>
              <w:bottom w:val="single" w:color="000000" w:sz="4" w:space="0"/>
              <w:right w:val="single" w:color="000000" w:sz="4" w:space="0"/>
            </w:tcBorders>
            <w:vAlign w:val="center"/>
          </w:tcPr>
          <w:p w14:paraId="5DA3C6B2">
            <w:pPr>
              <w:pStyle w:val="41"/>
              <w:rPr>
                <w:color w:val="auto"/>
                <w:highlight w:val="none"/>
              </w:rPr>
            </w:pPr>
            <w:r>
              <w:rPr>
                <w:color w:val="auto"/>
                <w:highlight w:val="none"/>
              </w:rPr>
              <w:t>支隧洞出水口标高H4</w:t>
            </w:r>
          </w:p>
          <w:p w14:paraId="6F0A7E8A">
            <w:pPr>
              <w:pStyle w:val="41"/>
              <w:rPr>
                <w:color w:val="auto"/>
                <w:highlight w:val="none"/>
              </w:rPr>
            </w:pPr>
            <w:r>
              <w:rPr>
                <w:rFonts w:hint="eastAsia"/>
                <w:color w:val="auto"/>
                <w:highlight w:val="none"/>
                <w:lang w:eastAsia="zh-CN"/>
              </w:rPr>
              <w:t>(</w:t>
            </w:r>
            <w:r>
              <w:rPr>
                <w:color w:val="auto"/>
                <w:highlight w:val="none"/>
              </w:rPr>
              <w:t>m</w:t>
            </w:r>
            <w:r>
              <w:rPr>
                <w:rFonts w:hint="eastAsia"/>
                <w:color w:val="auto"/>
                <w:highlight w:val="none"/>
                <w:lang w:eastAsia="zh-CN"/>
              </w:rPr>
              <w:t>)</w:t>
            </w:r>
          </w:p>
        </w:tc>
        <w:tc>
          <w:tcPr>
            <w:tcW w:w="817" w:type="pct"/>
            <w:tcBorders>
              <w:top w:val="single" w:color="000000" w:sz="4" w:space="0"/>
              <w:left w:val="single" w:color="000000" w:sz="4" w:space="0"/>
              <w:bottom w:val="single" w:color="000000" w:sz="4" w:space="0"/>
              <w:right w:val="single" w:color="000000" w:sz="4" w:space="0"/>
            </w:tcBorders>
            <w:vAlign w:val="center"/>
          </w:tcPr>
          <w:p w14:paraId="00A57936">
            <w:pPr>
              <w:pStyle w:val="41"/>
              <w:rPr>
                <w:color w:val="auto"/>
                <w:highlight w:val="none"/>
              </w:rPr>
            </w:pPr>
            <w:r>
              <w:rPr>
                <w:color w:val="auto"/>
                <w:highlight w:val="none"/>
              </w:rPr>
              <w:t>1914.50</w:t>
            </w:r>
          </w:p>
        </w:tc>
        <w:tc>
          <w:tcPr>
            <w:tcW w:w="835" w:type="pct"/>
            <w:tcBorders>
              <w:top w:val="single" w:color="000000" w:sz="4" w:space="0"/>
              <w:left w:val="single" w:color="000000" w:sz="4" w:space="0"/>
              <w:bottom w:val="single" w:color="000000" w:sz="4" w:space="0"/>
              <w:right w:val="single" w:color="000000" w:sz="4" w:space="0"/>
            </w:tcBorders>
            <w:vAlign w:val="center"/>
          </w:tcPr>
          <w:p w14:paraId="6727B081">
            <w:pPr>
              <w:pStyle w:val="41"/>
              <w:rPr>
                <w:color w:val="auto"/>
                <w:highlight w:val="none"/>
              </w:rPr>
            </w:pPr>
            <w:r>
              <w:rPr>
                <w:color w:val="auto"/>
                <w:highlight w:val="none"/>
              </w:rPr>
              <w:t>1920.00</w:t>
            </w:r>
          </w:p>
        </w:tc>
        <w:tc>
          <w:tcPr>
            <w:tcW w:w="726" w:type="pct"/>
            <w:tcBorders>
              <w:top w:val="single" w:color="000000" w:sz="4" w:space="0"/>
              <w:left w:val="single" w:color="000000" w:sz="4" w:space="0"/>
              <w:bottom w:val="single" w:color="000000" w:sz="4" w:space="0"/>
              <w:right w:val="single" w:color="000000" w:sz="4" w:space="0"/>
            </w:tcBorders>
            <w:vAlign w:val="center"/>
          </w:tcPr>
          <w:p w14:paraId="78AB454A">
            <w:pPr>
              <w:pStyle w:val="41"/>
              <w:rPr>
                <w:color w:val="auto"/>
                <w:highlight w:val="none"/>
              </w:rPr>
            </w:pPr>
            <w:r>
              <w:rPr>
                <w:color w:val="auto"/>
                <w:highlight w:val="none"/>
              </w:rPr>
              <w:t>1932.25</w:t>
            </w:r>
          </w:p>
        </w:tc>
        <w:tc>
          <w:tcPr>
            <w:tcW w:w="726" w:type="pct"/>
            <w:tcBorders>
              <w:top w:val="single" w:color="000000" w:sz="4" w:space="0"/>
              <w:left w:val="single" w:color="000000" w:sz="4" w:space="0"/>
              <w:bottom w:val="single" w:color="000000" w:sz="4" w:space="0"/>
              <w:right w:val="single" w:color="000000" w:sz="4" w:space="0"/>
            </w:tcBorders>
            <w:vAlign w:val="center"/>
          </w:tcPr>
          <w:p w14:paraId="5D8E19EC">
            <w:pPr>
              <w:pStyle w:val="41"/>
              <w:rPr>
                <w:color w:val="auto"/>
                <w:highlight w:val="none"/>
              </w:rPr>
            </w:pPr>
            <w:r>
              <w:rPr>
                <w:color w:val="auto"/>
                <w:highlight w:val="none"/>
              </w:rPr>
              <w:t>1941.00</w:t>
            </w:r>
          </w:p>
        </w:tc>
        <w:tc>
          <w:tcPr>
            <w:tcW w:w="668" w:type="pct"/>
            <w:tcBorders>
              <w:top w:val="single" w:color="000000" w:sz="4" w:space="0"/>
              <w:left w:val="single" w:color="000000" w:sz="4" w:space="0"/>
              <w:bottom w:val="single" w:color="000000" w:sz="4" w:space="0"/>
              <w:right w:val="single" w:color="000000" w:sz="12" w:space="0"/>
            </w:tcBorders>
            <w:vAlign w:val="center"/>
          </w:tcPr>
          <w:p w14:paraId="2F855E42">
            <w:pPr>
              <w:pStyle w:val="41"/>
              <w:rPr>
                <w:color w:val="auto"/>
                <w:highlight w:val="none"/>
              </w:rPr>
            </w:pPr>
            <w:r>
              <w:rPr>
                <w:color w:val="auto"/>
                <w:highlight w:val="none"/>
              </w:rPr>
              <w:t>1950.75</w:t>
            </w:r>
          </w:p>
        </w:tc>
      </w:tr>
      <w:tr w14:paraId="2E871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226" w:type="pct"/>
            <w:tcBorders>
              <w:top w:val="single" w:color="000000" w:sz="4" w:space="0"/>
              <w:left w:val="single" w:color="000000" w:sz="12" w:space="0"/>
              <w:bottom w:val="single" w:color="000000" w:sz="4" w:space="0"/>
              <w:right w:val="single" w:color="000000" w:sz="4" w:space="0"/>
            </w:tcBorders>
            <w:vAlign w:val="center"/>
          </w:tcPr>
          <w:p w14:paraId="389CD17D">
            <w:pPr>
              <w:pStyle w:val="41"/>
              <w:rPr>
                <w:color w:val="auto"/>
                <w:highlight w:val="none"/>
              </w:rPr>
            </w:pPr>
            <w:r>
              <w:rPr>
                <w:color w:val="auto"/>
                <w:highlight w:val="none"/>
              </w:rPr>
              <w:t>跌水井深度（m）</w:t>
            </w:r>
          </w:p>
        </w:tc>
        <w:tc>
          <w:tcPr>
            <w:tcW w:w="817" w:type="pct"/>
            <w:tcBorders>
              <w:top w:val="single" w:color="000000" w:sz="4" w:space="0"/>
              <w:left w:val="single" w:color="000000" w:sz="4" w:space="0"/>
              <w:bottom w:val="single" w:color="000000" w:sz="4" w:space="0"/>
              <w:right w:val="single" w:color="000000" w:sz="4" w:space="0"/>
            </w:tcBorders>
            <w:vAlign w:val="center"/>
          </w:tcPr>
          <w:p w14:paraId="731D8252">
            <w:pPr>
              <w:pStyle w:val="41"/>
              <w:rPr>
                <w:color w:val="auto"/>
                <w:highlight w:val="none"/>
              </w:rPr>
            </w:pPr>
            <w:r>
              <w:rPr>
                <w:color w:val="auto"/>
                <w:highlight w:val="none"/>
              </w:rPr>
              <w:t>3.20</w:t>
            </w:r>
          </w:p>
        </w:tc>
        <w:tc>
          <w:tcPr>
            <w:tcW w:w="835" w:type="pct"/>
            <w:tcBorders>
              <w:top w:val="single" w:color="000000" w:sz="4" w:space="0"/>
              <w:left w:val="single" w:color="000000" w:sz="4" w:space="0"/>
              <w:bottom w:val="single" w:color="000000" w:sz="4" w:space="0"/>
              <w:right w:val="single" w:color="000000" w:sz="4" w:space="0"/>
            </w:tcBorders>
            <w:vAlign w:val="center"/>
          </w:tcPr>
          <w:p w14:paraId="4E1D82CB">
            <w:pPr>
              <w:pStyle w:val="41"/>
              <w:rPr>
                <w:color w:val="auto"/>
                <w:highlight w:val="none"/>
              </w:rPr>
            </w:pPr>
            <w:r>
              <w:rPr>
                <w:color w:val="auto"/>
                <w:highlight w:val="none"/>
              </w:rPr>
              <w:t>3.20</w:t>
            </w:r>
          </w:p>
        </w:tc>
        <w:tc>
          <w:tcPr>
            <w:tcW w:w="726" w:type="pct"/>
            <w:tcBorders>
              <w:top w:val="single" w:color="000000" w:sz="4" w:space="0"/>
              <w:left w:val="single" w:color="000000" w:sz="4" w:space="0"/>
              <w:bottom w:val="single" w:color="000000" w:sz="4" w:space="0"/>
              <w:right w:val="single" w:color="000000" w:sz="4" w:space="0"/>
            </w:tcBorders>
            <w:vAlign w:val="center"/>
          </w:tcPr>
          <w:p w14:paraId="5D2F7B17">
            <w:pPr>
              <w:pStyle w:val="41"/>
              <w:rPr>
                <w:color w:val="auto"/>
                <w:highlight w:val="none"/>
              </w:rPr>
            </w:pPr>
            <w:r>
              <w:rPr>
                <w:color w:val="auto"/>
                <w:highlight w:val="none"/>
              </w:rPr>
              <w:t>3.20</w:t>
            </w:r>
          </w:p>
        </w:tc>
        <w:tc>
          <w:tcPr>
            <w:tcW w:w="726" w:type="pct"/>
            <w:tcBorders>
              <w:top w:val="single" w:color="000000" w:sz="4" w:space="0"/>
              <w:left w:val="single" w:color="000000" w:sz="4" w:space="0"/>
              <w:bottom w:val="single" w:color="000000" w:sz="4" w:space="0"/>
              <w:right w:val="single" w:color="000000" w:sz="4" w:space="0"/>
            </w:tcBorders>
            <w:vAlign w:val="center"/>
          </w:tcPr>
          <w:p w14:paraId="0191F6ED">
            <w:pPr>
              <w:pStyle w:val="41"/>
              <w:rPr>
                <w:color w:val="auto"/>
                <w:highlight w:val="none"/>
              </w:rPr>
            </w:pPr>
            <w:r>
              <w:rPr>
                <w:color w:val="auto"/>
                <w:highlight w:val="none"/>
              </w:rPr>
              <w:t>19.50</w:t>
            </w:r>
          </w:p>
        </w:tc>
        <w:tc>
          <w:tcPr>
            <w:tcW w:w="668" w:type="pct"/>
            <w:tcBorders>
              <w:top w:val="single" w:color="000000" w:sz="4" w:space="0"/>
              <w:left w:val="single" w:color="000000" w:sz="4" w:space="0"/>
              <w:bottom w:val="single" w:color="000000" w:sz="4" w:space="0"/>
              <w:right w:val="single" w:color="000000" w:sz="12" w:space="0"/>
            </w:tcBorders>
            <w:vAlign w:val="center"/>
          </w:tcPr>
          <w:p w14:paraId="57BAA635">
            <w:pPr>
              <w:pStyle w:val="41"/>
              <w:rPr>
                <w:color w:val="auto"/>
                <w:highlight w:val="none"/>
              </w:rPr>
            </w:pPr>
            <w:r>
              <w:rPr>
                <w:color w:val="auto"/>
                <w:highlight w:val="none"/>
              </w:rPr>
              <w:t>43.75</w:t>
            </w:r>
          </w:p>
        </w:tc>
      </w:tr>
      <w:tr w14:paraId="05A7FC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226" w:type="pct"/>
            <w:tcBorders>
              <w:top w:val="single" w:color="000000" w:sz="4" w:space="0"/>
              <w:left w:val="single" w:color="000000" w:sz="12" w:space="0"/>
              <w:bottom w:val="single" w:color="000000" w:sz="4" w:space="0"/>
              <w:right w:val="single" w:color="000000" w:sz="4" w:space="0"/>
            </w:tcBorders>
            <w:vAlign w:val="center"/>
          </w:tcPr>
          <w:p w14:paraId="107E637C">
            <w:pPr>
              <w:pStyle w:val="41"/>
              <w:rPr>
                <w:color w:val="auto"/>
                <w:highlight w:val="none"/>
              </w:rPr>
            </w:pPr>
            <w:r>
              <w:rPr>
                <w:color w:val="auto"/>
                <w:highlight w:val="none"/>
              </w:rPr>
              <w:t>支隧洞长度（m）</w:t>
            </w:r>
          </w:p>
        </w:tc>
        <w:tc>
          <w:tcPr>
            <w:tcW w:w="817" w:type="pct"/>
            <w:tcBorders>
              <w:top w:val="single" w:color="000000" w:sz="4" w:space="0"/>
              <w:left w:val="single" w:color="000000" w:sz="4" w:space="0"/>
              <w:bottom w:val="single" w:color="000000" w:sz="4" w:space="0"/>
              <w:right w:val="single" w:color="000000" w:sz="4" w:space="0"/>
            </w:tcBorders>
            <w:vAlign w:val="center"/>
          </w:tcPr>
          <w:p w14:paraId="5BBB58B2">
            <w:pPr>
              <w:pStyle w:val="41"/>
              <w:rPr>
                <w:color w:val="auto"/>
                <w:highlight w:val="none"/>
              </w:rPr>
            </w:pPr>
            <w:r>
              <w:rPr>
                <w:color w:val="auto"/>
                <w:highlight w:val="none"/>
              </w:rPr>
              <w:t>177.00</w:t>
            </w:r>
          </w:p>
        </w:tc>
        <w:tc>
          <w:tcPr>
            <w:tcW w:w="835" w:type="pct"/>
            <w:tcBorders>
              <w:top w:val="single" w:color="000000" w:sz="4" w:space="0"/>
              <w:left w:val="single" w:color="000000" w:sz="4" w:space="0"/>
              <w:bottom w:val="single" w:color="000000" w:sz="4" w:space="0"/>
              <w:right w:val="single" w:color="000000" w:sz="4" w:space="0"/>
            </w:tcBorders>
            <w:vAlign w:val="center"/>
          </w:tcPr>
          <w:p w14:paraId="3D469DE6">
            <w:pPr>
              <w:pStyle w:val="41"/>
              <w:rPr>
                <w:color w:val="auto"/>
                <w:highlight w:val="none"/>
              </w:rPr>
            </w:pPr>
            <w:r>
              <w:rPr>
                <w:color w:val="auto"/>
                <w:highlight w:val="none"/>
              </w:rPr>
              <w:t>190.00</w:t>
            </w:r>
          </w:p>
        </w:tc>
        <w:tc>
          <w:tcPr>
            <w:tcW w:w="726" w:type="pct"/>
            <w:tcBorders>
              <w:top w:val="single" w:color="000000" w:sz="4" w:space="0"/>
              <w:left w:val="single" w:color="000000" w:sz="4" w:space="0"/>
              <w:bottom w:val="single" w:color="000000" w:sz="4" w:space="0"/>
              <w:right w:val="single" w:color="000000" w:sz="4" w:space="0"/>
            </w:tcBorders>
            <w:vAlign w:val="center"/>
          </w:tcPr>
          <w:p w14:paraId="59245659">
            <w:pPr>
              <w:pStyle w:val="41"/>
              <w:rPr>
                <w:color w:val="auto"/>
                <w:highlight w:val="none"/>
              </w:rPr>
            </w:pPr>
            <w:r>
              <w:rPr>
                <w:color w:val="auto"/>
                <w:highlight w:val="none"/>
              </w:rPr>
              <w:t>163.00</w:t>
            </w:r>
          </w:p>
        </w:tc>
        <w:tc>
          <w:tcPr>
            <w:tcW w:w="726" w:type="pct"/>
            <w:tcBorders>
              <w:top w:val="single" w:color="000000" w:sz="4" w:space="0"/>
              <w:left w:val="single" w:color="000000" w:sz="4" w:space="0"/>
              <w:bottom w:val="single" w:color="000000" w:sz="4" w:space="0"/>
              <w:right w:val="single" w:color="000000" w:sz="4" w:space="0"/>
            </w:tcBorders>
            <w:vAlign w:val="center"/>
          </w:tcPr>
          <w:p w14:paraId="62116D58">
            <w:pPr>
              <w:pStyle w:val="41"/>
              <w:rPr>
                <w:color w:val="auto"/>
                <w:highlight w:val="none"/>
              </w:rPr>
            </w:pPr>
            <w:r>
              <w:rPr>
                <w:color w:val="auto"/>
                <w:highlight w:val="none"/>
              </w:rPr>
              <w:t>120.00</w:t>
            </w:r>
          </w:p>
        </w:tc>
        <w:tc>
          <w:tcPr>
            <w:tcW w:w="668" w:type="pct"/>
            <w:tcBorders>
              <w:top w:val="single" w:color="000000" w:sz="4" w:space="0"/>
              <w:left w:val="single" w:color="000000" w:sz="4" w:space="0"/>
              <w:bottom w:val="single" w:color="000000" w:sz="4" w:space="0"/>
              <w:right w:val="single" w:color="000000" w:sz="12" w:space="0"/>
            </w:tcBorders>
            <w:vAlign w:val="center"/>
          </w:tcPr>
          <w:p w14:paraId="519CC114">
            <w:pPr>
              <w:pStyle w:val="41"/>
              <w:rPr>
                <w:color w:val="auto"/>
                <w:highlight w:val="none"/>
              </w:rPr>
            </w:pPr>
          </w:p>
        </w:tc>
      </w:tr>
      <w:tr w14:paraId="08805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226" w:type="pct"/>
            <w:tcBorders>
              <w:top w:val="single" w:color="000000" w:sz="4" w:space="0"/>
              <w:left w:val="single" w:color="000000" w:sz="12" w:space="0"/>
              <w:bottom w:val="single" w:color="000000" w:sz="4" w:space="0"/>
              <w:right w:val="single" w:color="000000" w:sz="4" w:space="0"/>
            </w:tcBorders>
            <w:vAlign w:val="center"/>
          </w:tcPr>
          <w:p w14:paraId="1893503B">
            <w:pPr>
              <w:pStyle w:val="41"/>
              <w:rPr>
                <w:color w:val="auto"/>
                <w:highlight w:val="none"/>
              </w:rPr>
            </w:pPr>
            <w:r>
              <w:rPr>
                <w:color w:val="auto"/>
                <w:highlight w:val="none"/>
              </w:rPr>
              <w:t>支隧洞坡度（%）</w:t>
            </w:r>
          </w:p>
        </w:tc>
        <w:tc>
          <w:tcPr>
            <w:tcW w:w="817" w:type="pct"/>
            <w:tcBorders>
              <w:top w:val="single" w:color="000000" w:sz="4" w:space="0"/>
              <w:left w:val="single" w:color="000000" w:sz="4" w:space="0"/>
              <w:bottom w:val="single" w:color="000000" w:sz="4" w:space="0"/>
              <w:right w:val="single" w:color="000000" w:sz="4" w:space="0"/>
            </w:tcBorders>
            <w:vAlign w:val="center"/>
          </w:tcPr>
          <w:p w14:paraId="6679B38F">
            <w:pPr>
              <w:pStyle w:val="41"/>
              <w:rPr>
                <w:color w:val="auto"/>
                <w:highlight w:val="none"/>
              </w:rPr>
            </w:pPr>
            <w:r>
              <w:rPr>
                <w:color w:val="auto"/>
                <w:highlight w:val="none"/>
              </w:rPr>
              <w:t>2.99</w:t>
            </w:r>
          </w:p>
        </w:tc>
        <w:tc>
          <w:tcPr>
            <w:tcW w:w="835" w:type="pct"/>
            <w:tcBorders>
              <w:top w:val="single" w:color="000000" w:sz="4" w:space="0"/>
              <w:left w:val="single" w:color="000000" w:sz="4" w:space="0"/>
              <w:bottom w:val="single" w:color="000000" w:sz="4" w:space="0"/>
              <w:right w:val="single" w:color="000000" w:sz="4" w:space="0"/>
            </w:tcBorders>
            <w:vAlign w:val="center"/>
          </w:tcPr>
          <w:p w14:paraId="65EA63C4">
            <w:pPr>
              <w:pStyle w:val="41"/>
              <w:rPr>
                <w:color w:val="auto"/>
                <w:highlight w:val="none"/>
              </w:rPr>
            </w:pPr>
            <w:r>
              <w:rPr>
                <w:color w:val="auto"/>
                <w:highlight w:val="none"/>
              </w:rPr>
              <w:t>6.74</w:t>
            </w:r>
          </w:p>
        </w:tc>
        <w:tc>
          <w:tcPr>
            <w:tcW w:w="726" w:type="pct"/>
            <w:tcBorders>
              <w:top w:val="single" w:color="000000" w:sz="4" w:space="0"/>
              <w:left w:val="single" w:color="000000" w:sz="4" w:space="0"/>
              <w:bottom w:val="single" w:color="000000" w:sz="4" w:space="0"/>
              <w:right w:val="single" w:color="000000" w:sz="4" w:space="0"/>
            </w:tcBorders>
            <w:vAlign w:val="center"/>
          </w:tcPr>
          <w:p w14:paraId="6C0248D7">
            <w:pPr>
              <w:pStyle w:val="41"/>
              <w:rPr>
                <w:color w:val="auto"/>
                <w:highlight w:val="none"/>
              </w:rPr>
            </w:pPr>
            <w:r>
              <w:rPr>
                <w:color w:val="auto"/>
                <w:highlight w:val="none"/>
              </w:rPr>
              <w:t>8.31</w:t>
            </w:r>
          </w:p>
        </w:tc>
        <w:tc>
          <w:tcPr>
            <w:tcW w:w="726" w:type="pct"/>
            <w:tcBorders>
              <w:top w:val="single" w:color="000000" w:sz="4" w:space="0"/>
              <w:left w:val="single" w:color="000000" w:sz="4" w:space="0"/>
              <w:bottom w:val="single" w:color="000000" w:sz="4" w:space="0"/>
              <w:right w:val="single" w:color="000000" w:sz="4" w:space="0"/>
            </w:tcBorders>
            <w:vAlign w:val="center"/>
          </w:tcPr>
          <w:p w14:paraId="2EB15CDD">
            <w:pPr>
              <w:pStyle w:val="41"/>
              <w:rPr>
                <w:color w:val="auto"/>
                <w:highlight w:val="none"/>
              </w:rPr>
            </w:pPr>
            <w:r>
              <w:rPr>
                <w:color w:val="auto"/>
                <w:highlight w:val="none"/>
              </w:rPr>
              <w:t>10.00</w:t>
            </w:r>
          </w:p>
        </w:tc>
        <w:tc>
          <w:tcPr>
            <w:tcW w:w="668" w:type="pct"/>
            <w:tcBorders>
              <w:top w:val="single" w:color="000000" w:sz="4" w:space="0"/>
              <w:left w:val="single" w:color="000000" w:sz="4" w:space="0"/>
              <w:bottom w:val="single" w:color="000000" w:sz="4" w:space="0"/>
              <w:right w:val="single" w:color="000000" w:sz="12" w:space="0"/>
            </w:tcBorders>
            <w:vAlign w:val="center"/>
          </w:tcPr>
          <w:p w14:paraId="65444E65">
            <w:pPr>
              <w:pStyle w:val="41"/>
              <w:rPr>
                <w:color w:val="auto"/>
                <w:highlight w:val="none"/>
              </w:rPr>
            </w:pPr>
          </w:p>
        </w:tc>
      </w:tr>
      <w:tr w14:paraId="011C5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226" w:type="pct"/>
            <w:tcBorders>
              <w:top w:val="single" w:color="000000" w:sz="4" w:space="0"/>
              <w:left w:val="single" w:color="000000" w:sz="12" w:space="0"/>
              <w:bottom w:val="single" w:color="000000" w:sz="4" w:space="0"/>
              <w:right w:val="single" w:color="000000" w:sz="4" w:space="0"/>
            </w:tcBorders>
            <w:vAlign w:val="center"/>
          </w:tcPr>
          <w:p w14:paraId="3E8ED5B5">
            <w:pPr>
              <w:pStyle w:val="41"/>
              <w:rPr>
                <w:color w:val="auto"/>
                <w:highlight w:val="none"/>
              </w:rPr>
            </w:pPr>
            <w:r>
              <w:rPr>
                <w:color w:val="auto"/>
                <w:highlight w:val="none"/>
              </w:rPr>
              <w:t>主/支隧洞尺寸</w:t>
            </w:r>
          </w:p>
          <w:p w14:paraId="08A9556D">
            <w:pPr>
              <w:pStyle w:val="41"/>
              <w:rPr>
                <w:color w:val="auto"/>
                <w:highlight w:val="none"/>
              </w:rPr>
            </w:pPr>
            <w:r>
              <w:rPr>
                <w:rFonts w:hint="eastAsia"/>
                <w:color w:val="auto"/>
                <w:highlight w:val="none"/>
                <w:lang w:eastAsia="zh-CN"/>
              </w:rPr>
              <w:t>(</w:t>
            </w:r>
            <w:r>
              <w:rPr>
                <w:color w:val="auto"/>
                <w:highlight w:val="none"/>
              </w:rPr>
              <w:t>B×H</w:t>
            </w:r>
            <w:r>
              <w:rPr>
                <w:rFonts w:hint="eastAsia"/>
                <w:color w:val="auto"/>
                <w:highlight w:val="none"/>
                <w:lang w:eastAsia="zh-CN"/>
              </w:rPr>
              <w:t>)</w:t>
            </w:r>
          </w:p>
        </w:tc>
        <w:tc>
          <w:tcPr>
            <w:tcW w:w="3773" w:type="pct"/>
            <w:gridSpan w:val="5"/>
            <w:tcBorders>
              <w:top w:val="single" w:color="000000" w:sz="4" w:space="0"/>
              <w:left w:val="single" w:color="000000" w:sz="4" w:space="0"/>
              <w:bottom w:val="single" w:color="000000" w:sz="4" w:space="0"/>
              <w:right w:val="single" w:color="000000" w:sz="12" w:space="0"/>
            </w:tcBorders>
            <w:vAlign w:val="center"/>
          </w:tcPr>
          <w:p w14:paraId="633EF3D0">
            <w:pPr>
              <w:pStyle w:val="41"/>
              <w:rPr>
                <w:color w:val="auto"/>
                <w:highlight w:val="none"/>
              </w:rPr>
            </w:pPr>
            <w:r>
              <w:rPr>
                <w:color w:val="auto"/>
                <w:highlight w:val="none"/>
              </w:rPr>
              <w:t>1.5m×1.80m</w:t>
            </w:r>
          </w:p>
        </w:tc>
      </w:tr>
      <w:tr w14:paraId="779D0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226" w:type="pct"/>
            <w:tcBorders>
              <w:top w:val="single" w:color="000000" w:sz="4" w:space="0"/>
              <w:left w:val="single" w:color="000000" w:sz="12" w:space="0"/>
              <w:bottom w:val="single" w:color="000000" w:sz="4" w:space="0"/>
              <w:right w:val="single" w:color="000000" w:sz="4" w:space="0"/>
            </w:tcBorders>
            <w:vAlign w:val="center"/>
          </w:tcPr>
          <w:p w14:paraId="37F92294">
            <w:pPr>
              <w:pStyle w:val="41"/>
              <w:rPr>
                <w:color w:val="auto"/>
                <w:highlight w:val="none"/>
              </w:rPr>
            </w:pPr>
            <w:r>
              <w:rPr>
                <w:color w:val="auto"/>
                <w:highlight w:val="none"/>
              </w:rPr>
              <w:t>主隧洞长度（m）</w:t>
            </w:r>
          </w:p>
        </w:tc>
        <w:tc>
          <w:tcPr>
            <w:tcW w:w="817" w:type="pct"/>
            <w:tcBorders>
              <w:top w:val="single" w:color="000000" w:sz="4" w:space="0"/>
              <w:left w:val="single" w:color="000000" w:sz="4" w:space="0"/>
              <w:bottom w:val="single" w:color="000000" w:sz="4" w:space="0"/>
              <w:right w:val="single" w:color="000000" w:sz="4" w:space="0"/>
            </w:tcBorders>
            <w:vAlign w:val="center"/>
          </w:tcPr>
          <w:p w14:paraId="6BB06054">
            <w:pPr>
              <w:pStyle w:val="41"/>
              <w:rPr>
                <w:color w:val="auto"/>
                <w:highlight w:val="none"/>
              </w:rPr>
            </w:pPr>
            <w:r>
              <w:rPr>
                <w:color w:val="auto"/>
                <w:highlight w:val="none"/>
              </w:rPr>
              <w:t>250.00</w:t>
            </w:r>
          </w:p>
        </w:tc>
        <w:tc>
          <w:tcPr>
            <w:tcW w:w="835" w:type="pct"/>
            <w:tcBorders>
              <w:top w:val="single" w:color="000000" w:sz="4" w:space="0"/>
              <w:left w:val="single" w:color="000000" w:sz="4" w:space="0"/>
              <w:bottom w:val="single" w:color="000000" w:sz="4" w:space="0"/>
              <w:right w:val="single" w:color="000000" w:sz="4" w:space="0"/>
            </w:tcBorders>
            <w:vAlign w:val="center"/>
          </w:tcPr>
          <w:p w14:paraId="686C76A4">
            <w:pPr>
              <w:pStyle w:val="41"/>
              <w:rPr>
                <w:color w:val="auto"/>
                <w:highlight w:val="none"/>
              </w:rPr>
            </w:pPr>
            <w:r>
              <w:rPr>
                <w:color w:val="auto"/>
                <w:highlight w:val="none"/>
              </w:rPr>
              <w:t>110.00</w:t>
            </w:r>
          </w:p>
        </w:tc>
        <w:tc>
          <w:tcPr>
            <w:tcW w:w="726" w:type="pct"/>
            <w:tcBorders>
              <w:top w:val="single" w:color="000000" w:sz="4" w:space="0"/>
              <w:left w:val="single" w:color="000000" w:sz="4" w:space="0"/>
              <w:bottom w:val="single" w:color="000000" w:sz="4" w:space="0"/>
              <w:right w:val="single" w:color="000000" w:sz="4" w:space="0"/>
            </w:tcBorders>
            <w:vAlign w:val="center"/>
          </w:tcPr>
          <w:p w14:paraId="241062CC">
            <w:pPr>
              <w:pStyle w:val="41"/>
              <w:rPr>
                <w:color w:val="auto"/>
                <w:highlight w:val="none"/>
              </w:rPr>
            </w:pPr>
            <w:r>
              <w:rPr>
                <w:color w:val="auto"/>
                <w:highlight w:val="none"/>
              </w:rPr>
              <w:t>245.00</w:t>
            </w:r>
          </w:p>
        </w:tc>
        <w:tc>
          <w:tcPr>
            <w:tcW w:w="726" w:type="pct"/>
            <w:tcBorders>
              <w:top w:val="single" w:color="000000" w:sz="4" w:space="0"/>
              <w:left w:val="single" w:color="000000" w:sz="4" w:space="0"/>
              <w:bottom w:val="single" w:color="000000" w:sz="4" w:space="0"/>
              <w:right w:val="single" w:color="000000" w:sz="4" w:space="0"/>
            </w:tcBorders>
            <w:vAlign w:val="center"/>
          </w:tcPr>
          <w:p w14:paraId="23AAF132">
            <w:pPr>
              <w:pStyle w:val="41"/>
              <w:rPr>
                <w:color w:val="auto"/>
                <w:highlight w:val="none"/>
              </w:rPr>
            </w:pPr>
            <w:r>
              <w:rPr>
                <w:color w:val="auto"/>
                <w:highlight w:val="none"/>
              </w:rPr>
              <w:t>175.00</w:t>
            </w:r>
          </w:p>
        </w:tc>
        <w:tc>
          <w:tcPr>
            <w:tcW w:w="668" w:type="pct"/>
            <w:tcBorders>
              <w:top w:val="single" w:color="000000" w:sz="4" w:space="0"/>
              <w:left w:val="single" w:color="000000" w:sz="4" w:space="0"/>
              <w:bottom w:val="single" w:color="000000" w:sz="4" w:space="0"/>
              <w:right w:val="single" w:color="000000" w:sz="12" w:space="0"/>
            </w:tcBorders>
            <w:vAlign w:val="center"/>
          </w:tcPr>
          <w:p w14:paraId="6FF3D0C5">
            <w:pPr>
              <w:pStyle w:val="41"/>
              <w:rPr>
                <w:color w:val="auto"/>
                <w:highlight w:val="none"/>
              </w:rPr>
            </w:pPr>
            <w:r>
              <w:rPr>
                <w:color w:val="auto"/>
                <w:highlight w:val="none"/>
              </w:rPr>
              <w:t>195.00</w:t>
            </w:r>
          </w:p>
        </w:tc>
      </w:tr>
      <w:tr w14:paraId="62956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226" w:type="pct"/>
            <w:tcBorders>
              <w:top w:val="single" w:color="000000" w:sz="4" w:space="0"/>
              <w:left w:val="single" w:color="000000" w:sz="12" w:space="0"/>
              <w:bottom w:val="single" w:color="000000" w:sz="12" w:space="0"/>
              <w:right w:val="single" w:color="000000" w:sz="4" w:space="0"/>
            </w:tcBorders>
            <w:vAlign w:val="center"/>
          </w:tcPr>
          <w:p w14:paraId="5EE0692E">
            <w:pPr>
              <w:pStyle w:val="41"/>
              <w:rPr>
                <w:color w:val="auto"/>
                <w:highlight w:val="none"/>
              </w:rPr>
            </w:pPr>
            <w:r>
              <w:rPr>
                <w:color w:val="auto"/>
                <w:highlight w:val="none"/>
              </w:rPr>
              <w:t>主隧洞坡度（%）</w:t>
            </w:r>
          </w:p>
        </w:tc>
        <w:tc>
          <w:tcPr>
            <w:tcW w:w="3773" w:type="pct"/>
            <w:gridSpan w:val="5"/>
            <w:tcBorders>
              <w:top w:val="single" w:color="000000" w:sz="4" w:space="0"/>
              <w:left w:val="single" w:color="000000" w:sz="4" w:space="0"/>
              <w:bottom w:val="single" w:color="000000" w:sz="12" w:space="0"/>
              <w:right w:val="single" w:color="000000" w:sz="12" w:space="0"/>
            </w:tcBorders>
            <w:vAlign w:val="center"/>
          </w:tcPr>
          <w:p w14:paraId="622FE5F2">
            <w:pPr>
              <w:pStyle w:val="41"/>
              <w:rPr>
                <w:color w:val="auto"/>
                <w:highlight w:val="none"/>
              </w:rPr>
            </w:pPr>
            <w:r>
              <w:rPr>
                <w:color w:val="auto"/>
                <w:highlight w:val="none"/>
              </w:rPr>
              <w:t>5.00</w:t>
            </w:r>
          </w:p>
        </w:tc>
      </w:tr>
    </w:tbl>
    <w:p w14:paraId="186D8C16">
      <w:pPr>
        <w:pStyle w:val="3"/>
        <w:ind w:firstLine="480"/>
        <w:rPr>
          <w:color w:val="auto"/>
          <w:highlight w:val="none"/>
        </w:rPr>
      </w:pPr>
      <w:r>
        <w:rPr>
          <w:rFonts w:hint="eastAsia"/>
          <w:color w:val="auto"/>
          <w:highlight w:val="none"/>
        </w:rPr>
        <w:t>2）坝肩截水沟</w:t>
      </w:r>
    </w:p>
    <w:p w14:paraId="3DA3DBD8">
      <w:pPr>
        <w:pStyle w:val="3"/>
        <w:ind w:firstLine="480"/>
        <w:rPr>
          <w:color w:val="auto"/>
          <w:highlight w:val="none"/>
        </w:rPr>
      </w:pPr>
      <w:r>
        <w:rPr>
          <w:color w:val="auto"/>
          <w:highlight w:val="none"/>
        </w:rPr>
        <w:t>基建期初期坝两岸修建坝肩截水沟，运行期随着尾砂堆筑面的升高，沿堆积两岸坝肩修筑截水沟，当堆筑面堆筑至最终标高时，沿堆筑面修建绕库截水沟并</w:t>
      </w:r>
      <w:r>
        <w:rPr>
          <w:rFonts w:hint="eastAsia"/>
          <w:color w:val="auto"/>
          <w:highlight w:val="none"/>
        </w:rPr>
        <w:t>与</w:t>
      </w:r>
      <w:r>
        <w:rPr>
          <w:color w:val="auto"/>
          <w:highlight w:val="none"/>
        </w:rPr>
        <w:t>坝肩截水相连。</w:t>
      </w:r>
    </w:p>
    <w:p w14:paraId="5235BB9E">
      <w:pPr>
        <w:pStyle w:val="3"/>
        <w:ind w:firstLine="480"/>
        <w:rPr>
          <w:color w:val="auto"/>
          <w:highlight w:val="none"/>
        </w:rPr>
      </w:pPr>
      <w:r>
        <w:rPr>
          <w:color w:val="auto"/>
          <w:highlight w:val="none"/>
        </w:rPr>
        <w:t>坡面端截水沟为矩形断面，净断面尺寸为：宽0.6m，深0.6m，采用C30钢筋混凝土结构，纵坡坡度不小于 50.0%；马道平台端截水沟亦为矩形断面，净断面尺寸为：宽 1.0m，深 1.0m，采用 C30 钢筋混凝土结构，纵坡坡度不小于 1.0%。</w:t>
      </w:r>
    </w:p>
    <w:p w14:paraId="726B878B">
      <w:pPr>
        <w:pStyle w:val="3"/>
        <w:ind w:firstLine="480"/>
        <w:rPr>
          <w:color w:val="auto"/>
          <w:highlight w:val="none"/>
        </w:rPr>
      </w:pPr>
      <w:bookmarkStart w:id="282" w:name="bookmark36"/>
      <w:bookmarkEnd w:id="282"/>
      <w:r>
        <w:rPr>
          <w:rFonts w:hint="eastAsia"/>
          <w:color w:val="auto"/>
          <w:highlight w:val="none"/>
        </w:rPr>
        <w:t>（4）调洪演算</w:t>
      </w:r>
    </w:p>
    <w:p w14:paraId="223BD5F6">
      <w:pPr>
        <w:pStyle w:val="3"/>
        <w:ind w:firstLine="480"/>
        <w:rPr>
          <w:color w:val="auto"/>
          <w:highlight w:val="none"/>
        </w:rPr>
      </w:pPr>
      <w:r>
        <w:rPr>
          <w:rFonts w:hint="eastAsia"/>
          <w:color w:val="auto"/>
          <w:highlight w:val="none"/>
        </w:rPr>
        <w:t>根据</w:t>
      </w:r>
      <w:r>
        <w:rPr>
          <w:color w:val="auto"/>
          <w:highlight w:val="none"/>
        </w:rPr>
        <w:t>可研堆筑方法采用库前法，根据堆筑工艺，堆筑面坡度 i=0.5%。采用水量平衡法对尾矿库不同高程进行调洪演算。</w:t>
      </w:r>
    </w:p>
    <w:p w14:paraId="6C8BF896">
      <w:pPr>
        <w:pStyle w:val="40"/>
        <w:spacing w:before="24" w:after="24"/>
        <w:rPr>
          <w:color w:val="auto"/>
          <w:highlight w:val="none"/>
        </w:rPr>
      </w:pPr>
      <w:r>
        <w:rPr>
          <w:color w:val="auto"/>
          <w:highlight w:val="none"/>
        </w:rPr>
        <w:t>表</w:t>
      </w:r>
      <w:r>
        <w:rPr>
          <w:rFonts w:hint="eastAsia"/>
          <w:color w:val="auto"/>
          <w:highlight w:val="none"/>
        </w:rPr>
        <w:t>3.3-14</w:t>
      </w:r>
      <w:r>
        <w:rPr>
          <w:color w:val="auto"/>
          <w:highlight w:val="none"/>
        </w:rPr>
        <w:t xml:space="preserve">   调洪演算结果表</w:t>
      </w:r>
    </w:p>
    <w:tbl>
      <w:tblPr>
        <w:tblStyle w:val="45"/>
        <w:tblW w:w="4996"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449"/>
        <w:gridCol w:w="1173"/>
        <w:gridCol w:w="1173"/>
        <w:gridCol w:w="1173"/>
        <w:gridCol w:w="1173"/>
        <w:gridCol w:w="1176"/>
      </w:tblGrid>
      <w:tr w14:paraId="588F7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472" w:type="pct"/>
            <w:tcBorders>
              <w:top w:val="single" w:color="000000" w:sz="12" w:space="0"/>
              <w:left w:val="single" w:color="000000" w:sz="12" w:space="0"/>
              <w:bottom w:val="single" w:color="000000" w:sz="4" w:space="0"/>
              <w:right w:val="single" w:color="000000" w:sz="4" w:space="0"/>
            </w:tcBorders>
            <w:vAlign w:val="center"/>
          </w:tcPr>
          <w:p w14:paraId="50CC7180">
            <w:pPr>
              <w:pStyle w:val="41"/>
              <w:rPr>
                <w:color w:val="auto"/>
                <w:highlight w:val="none"/>
              </w:rPr>
            </w:pPr>
            <w:r>
              <w:rPr>
                <w:color w:val="auto"/>
                <w:highlight w:val="none"/>
              </w:rPr>
              <w:t>坝顶标高（m）</w:t>
            </w:r>
          </w:p>
        </w:tc>
        <w:tc>
          <w:tcPr>
            <w:tcW w:w="705" w:type="pct"/>
            <w:tcBorders>
              <w:top w:val="single" w:color="000000" w:sz="12" w:space="0"/>
              <w:left w:val="single" w:color="000000" w:sz="4" w:space="0"/>
              <w:bottom w:val="single" w:color="000000" w:sz="4" w:space="0"/>
              <w:right w:val="single" w:color="000000" w:sz="4" w:space="0"/>
            </w:tcBorders>
            <w:vAlign w:val="center"/>
          </w:tcPr>
          <w:p w14:paraId="4E2B21A0">
            <w:pPr>
              <w:pStyle w:val="41"/>
              <w:rPr>
                <w:color w:val="auto"/>
                <w:highlight w:val="none"/>
              </w:rPr>
            </w:pPr>
            <w:r>
              <w:rPr>
                <w:color w:val="auto"/>
                <w:highlight w:val="none"/>
              </w:rPr>
              <w:t>1936</w:t>
            </w:r>
          </w:p>
        </w:tc>
        <w:tc>
          <w:tcPr>
            <w:tcW w:w="705" w:type="pct"/>
            <w:tcBorders>
              <w:top w:val="single" w:color="000000" w:sz="12" w:space="0"/>
              <w:left w:val="single" w:color="000000" w:sz="4" w:space="0"/>
              <w:bottom w:val="single" w:color="000000" w:sz="4" w:space="0"/>
              <w:right w:val="single" w:color="000000" w:sz="4" w:space="0"/>
            </w:tcBorders>
            <w:vAlign w:val="center"/>
          </w:tcPr>
          <w:p w14:paraId="67B5E711">
            <w:pPr>
              <w:pStyle w:val="41"/>
              <w:rPr>
                <w:color w:val="auto"/>
                <w:highlight w:val="none"/>
              </w:rPr>
            </w:pPr>
            <w:r>
              <w:rPr>
                <w:color w:val="auto"/>
                <w:highlight w:val="none"/>
              </w:rPr>
              <w:t>1949</w:t>
            </w:r>
          </w:p>
        </w:tc>
        <w:tc>
          <w:tcPr>
            <w:tcW w:w="705" w:type="pct"/>
            <w:tcBorders>
              <w:top w:val="single" w:color="000000" w:sz="12" w:space="0"/>
              <w:left w:val="single" w:color="000000" w:sz="4" w:space="0"/>
              <w:bottom w:val="single" w:color="000000" w:sz="4" w:space="0"/>
              <w:right w:val="single" w:color="000000" w:sz="4" w:space="0"/>
            </w:tcBorders>
            <w:vAlign w:val="center"/>
          </w:tcPr>
          <w:p w14:paraId="486E5F40">
            <w:pPr>
              <w:pStyle w:val="41"/>
              <w:rPr>
                <w:color w:val="auto"/>
                <w:highlight w:val="none"/>
              </w:rPr>
            </w:pPr>
            <w:r>
              <w:rPr>
                <w:color w:val="auto"/>
                <w:highlight w:val="none"/>
              </w:rPr>
              <w:t>1971</w:t>
            </w:r>
          </w:p>
        </w:tc>
        <w:tc>
          <w:tcPr>
            <w:tcW w:w="705" w:type="pct"/>
            <w:tcBorders>
              <w:top w:val="single" w:color="000000" w:sz="12" w:space="0"/>
              <w:left w:val="single" w:color="000000" w:sz="4" w:space="0"/>
              <w:bottom w:val="single" w:color="000000" w:sz="4" w:space="0"/>
              <w:right w:val="single" w:color="000000" w:sz="4" w:space="0"/>
            </w:tcBorders>
            <w:vAlign w:val="center"/>
          </w:tcPr>
          <w:p w14:paraId="4D48FF8D">
            <w:pPr>
              <w:pStyle w:val="41"/>
              <w:rPr>
                <w:color w:val="auto"/>
                <w:highlight w:val="none"/>
              </w:rPr>
            </w:pPr>
            <w:r>
              <w:rPr>
                <w:color w:val="auto"/>
                <w:highlight w:val="none"/>
              </w:rPr>
              <w:t>1993</w:t>
            </w:r>
          </w:p>
        </w:tc>
        <w:tc>
          <w:tcPr>
            <w:tcW w:w="706" w:type="pct"/>
            <w:tcBorders>
              <w:top w:val="single" w:color="000000" w:sz="12" w:space="0"/>
              <w:left w:val="single" w:color="000000" w:sz="4" w:space="0"/>
              <w:bottom w:val="single" w:color="000000" w:sz="4" w:space="0"/>
              <w:right w:val="single" w:color="000000" w:sz="12" w:space="0"/>
            </w:tcBorders>
            <w:vAlign w:val="center"/>
          </w:tcPr>
          <w:p w14:paraId="0480B43F">
            <w:pPr>
              <w:pStyle w:val="41"/>
              <w:rPr>
                <w:color w:val="auto"/>
                <w:highlight w:val="none"/>
              </w:rPr>
            </w:pPr>
            <w:r>
              <w:rPr>
                <w:color w:val="auto"/>
                <w:highlight w:val="none"/>
              </w:rPr>
              <w:t>2015</w:t>
            </w:r>
          </w:p>
        </w:tc>
      </w:tr>
      <w:tr w14:paraId="58FE9C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472" w:type="pct"/>
            <w:tcBorders>
              <w:top w:val="single" w:color="000000" w:sz="4" w:space="0"/>
              <w:left w:val="single" w:color="000000" w:sz="12" w:space="0"/>
              <w:bottom w:val="single" w:color="000000" w:sz="4" w:space="0"/>
              <w:right w:val="single" w:color="000000" w:sz="4" w:space="0"/>
            </w:tcBorders>
            <w:vAlign w:val="center"/>
          </w:tcPr>
          <w:p w14:paraId="12DCE713">
            <w:pPr>
              <w:pStyle w:val="41"/>
              <w:rPr>
                <w:color w:val="auto"/>
                <w:highlight w:val="none"/>
              </w:rPr>
            </w:pPr>
            <w:r>
              <w:rPr>
                <w:color w:val="auto"/>
                <w:highlight w:val="none"/>
              </w:rPr>
              <w:t>计算频率 P(%)</w:t>
            </w:r>
          </w:p>
        </w:tc>
        <w:tc>
          <w:tcPr>
            <w:tcW w:w="705" w:type="pct"/>
            <w:tcBorders>
              <w:top w:val="single" w:color="000000" w:sz="4" w:space="0"/>
              <w:left w:val="single" w:color="000000" w:sz="4" w:space="0"/>
              <w:bottom w:val="single" w:color="000000" w:sz="4" w:space="0"/>
              <w:right w:val="single" w:color="000000" w:sz="4" w:space="0"/>
            </w:tcBorders>
            <w:vAlign w:val="center"/>
          </w:tcPr>
          <w:p w14:paraId="3F998DEF">
            <w:pPr>
              <w:pStyle w:val="41"/>
              <w:rPr>
                <w:color w:val="auto"/>
                <w:highlight w:val="none"/>
              </w:rPr>
            </w:pPr>
            <w:r>
              <w:rPr>
                <w:color w:val="auto"/>
                <w:highlight w:val="none"/>
              </w:rPr>
              <w:t>0.5</w:t>
            </w:r>
          </w:p>
        </w:tc>
        <w:tc>
          <w:tcPr>
            <w:tcW w:w="705" w:type="pct"/>
            <w:tcBorders>
              <w:top w:val="single" w:color="000000" w:sz="4" w:space="0"/>
              <w:left w:val="single" w:color="000000" w:sz="4" w:space="0"/>
              <w:bottom w:val="single" w:color="000000" w:sz="4" w:space="0"/>
              <w:right w:val="single" w:color="000000" w:sz="4" w:space="0"/>
            </w:tcBorders>
            <w:vAlign w:val="center"/>
          </w:tcPr>
          <w:p w14:paraId="00E6CEFD">
            <w:pPr>
              <w:pStyle w:val="41"/>
              <w:rPr>
                <w:color w:val="auto"/>
                <w:highlight w:val="none"/>
              </w:rPr>
            </w:pPr>
            <w:r>
              <w:rPr>
                <w:color w:val="auto"/>
                <w:highlight w:val="none"/>
              </w:rPr>
              <w:t>0.5</w:t>
            </w:r>
          </w:p>
        </w:tc>
        <w:tc>
          <w:tcPr>
            <w:tcW w:w="705" w:type="pct"/>
            <w:tcBorders>
              <w:top w:val="single" w:color="000000" w:sz="4" w:space="0"/>
              <w:left w:val="single" w:color="000000" w:sz="4" w:space="0"/>
              <w:bottom w:val="single" w:color="000000" w:sz="4" w:space="0"/>
              <w:right w:val="single" w:color="000000" w:sz="4" w:space="0"/>
            </w:tcBorders>
            <w:vAlign w:val="center"/>
          </w:tcPr>
          <w:p w14:paraId="319F6620">
            <w:pPr>
              <w:pStyle w:val="41"/>
              <w:rPr>
                <w:color w:val="auto"/>
                <w:highlight w:val="none"/>
              </w:rPr>
            </w:pPr>
            <w:r>
              <w:rPr>
                <w:color w:val="auto"/>
                <w:highlight w:val="none"/>
              </w:rPr>
              <w:t>0.2</w:t>
            </w:r>
          </w:p>
        </w:tc>
        <w:tc>
          <w:tcPr>
            <w:tcW w:w="705" w:type="pct"/>
            <w:tcBorders>
              <w:top w:val="single" w:color="000000" w:sz="4" w:space="0"/>
              <w:left w:val="single" w:color="000000" w:sz="4" w:space="0"/>
              <w:bottom w:val="single" w:color="000000" w:sz="4" w:space="0"/>
              <w:right w:val="single" w:color="000000" w:sz="4" w:space="0"/>
            </w:tcBorders>
            <w:vAlign w:val="center"/>
          </w:tcPr>
          <w:p w14:paraId="4B1DA587">
            <w:pPr>
              <w:pStyle w:val="41"/>
              <w:rPr>
                <w:color w:val="auto"/>
                <w:highlight w:val="none"/>
              </w:rPr>
            </w:pPr>
            <w:r>
              <w:rPr>
                <w:color w:val="auto"/>
                <w:highlight w:val="none"/>
              </w:rPr>
              <w:t>0.2</w:t>
            </w:r>
          </w:p>
        </w:tc>
        <w:tc>
          <w:tcPr>
            <w:tcW w:w="706" w:type="pct"/>
            <w:tcBorders>
              <w:top w:val="single" w:color="000000" w:sz="4" w:space="0"/>
              <w:left w:val="single" w:color="000000" w:sz="4" w:space="0"/>
              <w:bottom w:val="single" w:color="000000" w:sz="4" w:space="0"/>
              <w:right w:val="single" w:color="000000" w:sz="12" w:space="0"/>
            </w:tcBorders>
            <w:vAlign w:val="center"/>
          </w:tcPr>
          <w:p w14:paraId="4B641175">
            <w:pPr>
              <w:pStyle w:val="41"/>
              <w:rPr>
                <w:color w:val="auto"/>
                <w:highlight w:val="none"/>
              </w:rPr>
            </w:pPr>
            <w:r>
              <w:rPr>
                <w:color w:val="auto"/>
                <w:highlight w:val="none"/>
              </w:rPr>
              <w:t>0.1</w:t>
            </w:r>
          </w:p>
        </w:tc>
      </w:tr>
      <w:tr w14:paraId="78505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472" w:type="pct"/>
            <w:tcBorders>
              <w:top w:val="single" w:color="000000" w:sz="4" w:space="0"/>
              <w:left w:val="single" w:color="000000" w:sz="12" w:space="0"/>
              <w:bottom w:val="single" w:color="000000" w:sz="4" w:space="0"/>
              <w:right w:val="single" w:color="000000" w:sz="4" w:space="0"/>
            </w:tcBorders>
            <w:vAlign w:val="center"/>
          </w:tcPr>
          <w:p w14:paraId="3AD07D7E">
            <w:pPr>
              <w:pStyle w:val="41"/>
              <w:rPr>
                <w:color w:val="auto"/>
                <w:highlight w:val="none"/>
              </w:rPr>
            </w:pPr>
            <w:r>
              <w:rPr>
                <w:color w:val="auto"/>
                <w:highlight w:val="none"/>
              </w:rPr>
              <w:t>洪峰流量（m</w:t>
            </w:r>
            <w:r>
              <w:rPr>
                <w:rFonts w:hint="eastAsia"/>
                <w:color w:val="auto"/>
                <w:highlight w:val="none"/>
                <w:vertAlign w:val="superscript"/>
              </w:rPr>
              <w:t>3</w:t>
            </w:r>
            <w:r>
              <w:rPr>
                <w:color w:val="auto"/>
                <w:highlight w:val="none"/>
              </w:rPr>
              <w:t>/s）</w:t>
            </w:r>
          </w:p>
        </w:tc>
        <w:tc>
          <w:tcPr>
            <w:tcW w:w="705" w:type="pct"/>
            <w:tcBorders>
              <w:top w:val="single" w:color="000000" w:sz="4" w:space="0"/>
              <w:left w:val="single" w:color="000000" w:sz="4" w:space="0"/>
              <w:bottom w:val="single" w:color="000000" w:sz="4" w:space="0"/>
              <w:right w:val="single" w:color="000000" w:sz="4" w:space="0"/>
            </w:tcBorders>
            <w:vAlign w:val="center"/>
          </w:tcPr>
          <w:p w14:paraId="6B6B1B65">
            <w:pPr>
              <w:pStyle w:val="41"/>
              <w:rPr>
                <w:color w:val="auto"/>
                <w:highlight w:val="none"/>
              </w:rPr>
            </w:pPr>
            <w:r>
              <w:rPr>
                <w:color w:val="auto"/>
                <w:highlight w:val="none"/>
              </w:rPr>
              <w:t>18.09</w:t>
            </w:r>
          </w:p>
        </w:tc>
        <w:tc>
          <w:tcPr>
            <w:tcW w:w="705" w:type="pct"/>
            <w:tcBorders>
              <w:top w:val="single" w:color="000000" w:sz="4" w:space="0"/>
              <w:left w:val="single" w:color="000000" w:sz="4" w:space="0"/>
              <w:bottom w:val="single" w:color="000000" w:sz="4" w:space="0"/>
              <w:right w:val="single" w:color="000000" w:sz="4" w:space="0"/>
            </w:tcBorders>
            <w:vAlign w:val="center"/>
          </w:tcPr>
          <w:p w14:paraId="0706DC9E">
            <w:pPr>
              <w:pStyle w:val="41"/>
              <w:rPr>
                <w:color w:val="auto"/>
                <w:highlight w:val="none"/>
              </w:rPr>
            </w:pPr>
            <w:r>
              <w:rPr>
                <w:color w:val="auto"/>
                <w:highlight w:val="none"/>
              </w:rPr>
              <w:t>17.59</w:t>
            </w:r>
          </w:p>
        </w:tc>
        <w:tc>
          <w:tcPr>
            <w:tcW w:w="705" w:type="pct"/>
            <w:tcBorders>
              <w:top w:val="single" w:color="000000" w:sz="4" w:space="0"/>
              <w:left w:val="single" w:color="000000" w:sz="4" w:space="0"/>
              <w:bottom w:val="single" w:color="000000" w:sz="4" w:space="0"/>
              <w:right w:val="single" w:color="000000" w:sz="4" w:space="0"/>
            </w:tcBorders>
            <w:vAlign w:val="center"/>
          </w:tcPr>
          <w:p w14:paraId="2D4A54AB">
            <w:pPr>
              <w:pStyle w:val="41"/>
              <w:rPr>
                <w:color w:val="auto"/>
                <w:highlight w:val="none"/>
              </w:rPr>
            </w:pPr>
            <w:r>
              <w:rPr>
                <w:color w:val="auto"/>
                <w:highlight w:val="none"/>
              </w:rPr>
              <w:t>20.77</w:t>
            </w:r>
          </w:p>
        </w:tc>
        <w:tc>
          <w:tcPr>
            <w:tcW w:w="705" w:type="pct"/>
            <w:tcBorders>
              <w:top w:val="single" w:color="000000" w:sz="4" w:space="0"/>
              <w:left w:val="single" w:color="000000" w:sz="4" w:space="0"/>
              <w:bottom w:val="single" w:color="000000" w:sz="4" w:space="0"/>
              <w:right w:val="single" w:color="000000" w:sz="4" w:space="0"/>
            </w:tcBorders>
            <w:vAlign w:val="center"/>
          </w:tcPr>
          <w:p w14:paraId="179EF19A">
            <w:pPr>
              <w:pStyle w:val="41"/>
              <w:rPr>
                <w:color w:val="auto"/>
                <w:highlight w:val="none"/>
              </w:rPr>
            </w:pPr>
            <w:r>
              <w:rPr>
                <w:color w:val="auto"/>
                <w:highlight w:val="none"/>
              </w:rPr>
              <w:t>20.77</w:t>
            </w:r>
          </w:p>
        </w:tc>
        <w:tc>
          <w:tcPr>
            <w:tcW w:w="706" w:type="pct"/>
            <w:tcBorders>
              <w:top w:val="single" w:color="000000" w:sz="4" w:space="0"/>
              <w:left w:val="single" w:color="000000" w:sz="4" w:space="0"/>
              <w:bottom w:val="single" w:color="000000" w:sz="4" w:space="0"/>
              <w:right w:val="single" w:color="000000" w:sz="12" w:space="0"/>
            </w:tcBorders>
            <w:vAlign w:val="center"/>
          </w:tcPr>
          <w:p w14:paraId="47A74D61">
            <w:pPr>
              <w:pStyle w:val="41"/>
              <w:rPr>
                <w:color w:val="auto"/>
                <w:highlight w:val="none"/>
              </w:rPr>
            </w:pPr>
            <w:r>
              <w:rPr>
                <w:color w:val="auto"/>
                <w:highlight w:val="none"/>
              </w:rPr>
              <w:t>21.08</w:t>
            </w:r>
          </w:p>
        </w:tc>
      </w:tr>
      <w:tr w14:paraId="7157DE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472" w:type="pct"/>
            <w:tcBorders>
              <w:top w:val="single" w:color="000000" w:sz="4" w:space="0"/>
              <w:left w:val="single" w:color="000000" w:sz="12" w:space="0"/>
              <w:bottom w:val="single" w:color="000000" w:sz="4" w:space="0"/>
              <w:right w:val="single" w:color="000000" w:sz="4" w:space="0"/>
            </w:tcBorders>
            <w:vAlign w:val="center"/>
          </w:tcPr>
          <w:p w14:paraId="3C42AFF3">
            <w:pPr>
              <w:pStyle w:val="41"/>
              <w:rPr>
                <w:color w:val="auto"/>
                <w:highlight w:val="none"/>
              </w:rPr>
            </w:pPr>
            <w:r>
              <w:rPr>
                <w:color w:val="auto"/>
                <w:highlight w:val="none"/>
              </w:rPr>
              <w:t>一次洪水总量 W</w:t>
            </w:r>
            <w:r>
              <w:rPr>
                <w:rFonts w:hint="eastAsia"/>
                <w:color w:val="auto"/>
                <w:highlight w:val="none"/>
                <w:lang w:eastAsia="zh-CN"/>
              </w:rPr>
              <w:t>（</w:t>
            </w:r>
            <w:r>
              <w:rPr>
                <w:color w:val="auto"/>
                <w:highlight w:val="none"/>
              </w:rPr>
              <w:t>万m</w:t>
            </w:r>
            <w:r>
              <w:rPr>
                <w:rFonts w:hint="eastAsia"/>
                <w:color w:val="auto"/>
                <w:highlight w:val="none"/>
                <w:vertAlign w:val="superscript"/>
              </w:rPr>
              <w:t>3</w:t>
            </w:r>
            <w:r>
              <w:rPr>
                <w:rFonts w:hint="eastAsia"/>
                <w:color w:val="auto"/>
                <w:highlight w:val="none"/>
                <w:lang w:eastAsia="zh-CN"/>
              </w:rPr>
              <w:t>）</w:t>
            </w:r>
          </w:p>
        </w:tc>
        <w:tc>
          <w:tcPr>
            <w:tcW w:w="705" w:type="pct"/>
            <w:tcBorders>
              <w:top w:val="single" w:color="000000" w:sz="4" w:space="0"/>
              <w:left w:val="single" w:color="000000" w:sz="4" w:space="0"/>
              <w:bottom w:val="single" w:color="000000" w:sz="4" w:space="0"/>
              <w:right w:val="single" w:color="000000" w:sz="4" w:space="0"/>
            </w:tcBorders>
            <w:vAlign w:val="center"/>
          </w:tcPr>
          <w:p w14:paraId="6564CEB9">
            <w:pPr>
              <w:pStyle w:val="41"/>
              <w:rPr>
                <w:color w:val="auto"/>
                <w:highlight w:val="none"/>
              </w:rPr>
            </w:pPr>
            <w:r>
              <w:rPr>
                <w:color w:val="auto"/>
                <w:highlight w:val="none"/>
              </w:rPr>
              <w:t>14.19</w:t>
            </w:r>
          </w:p>
        </w:tc>
        <w:tc>
          <w:tcPr>
            <w:tcW w:w="705" w:type="pct"/>
            <w:tcBorders>
              <w:top w:val="single" w:color="000000" w:sz="4" w:space="0"/>
              <w:left w:val="single" w:color="000000" w:sz="4" w:space="0"/>
              <w:bottom w:val="single" w:color="000000" w:sz="4" w:space="0"/>
              <w:right w:val="single" w:color="000000" w:sz="4" w:space="0"/>
            </w:tcBorders>
            <w:vAlign w:val="center"/>
          </w:tcPr>
          <w:p w14:paraId="675B7A0D">
            <w:pPr>
              <w:pStyle w:val="41"/>
              <w:rPr>
                <w:color w:val="auto"/>
                <w:highlight w:val="none"/>
              </w:rPr>
            </w:pPr>
            <w:r>
              <w:rPr>
                <w:color w:val="auto"/>
                <w:highlight w:val="none"/>
              </w:rPr>
              <w:t>13.80</w:t>
            </w:r>
          </w:p>
        </w:tc>
        <w:tc>
          <w:tcPr>
            <w:tcW w:w="705" w:type="pct"/>
            <w:tcBorders>
              <w:top w:val="single" w:color="000000" w:sz="4" w:space="0"/>
              <w:left w:val="single" w:color="000000" w:sz="4" w:space="0"/>
              <w:bottom w:val="single" w:color="000000" w:sz="4" w:space="0"/>
              <w:right w:val="single" w:color="000000" w:sz="4" w:space="0"/>
            </w:tcBorders>
            <w:vAlign w:val="center"/>
          </w:tcPr>
          <w:p w14:paraId="3B6645AD">
            <w:pPr>
              <w:pStyle w:val="41"/>
              <w:rPr>
                <w:color w:val="auto"/>
                <w:highlight w:val="none"/>
              </w:rPr>
            </w:pPr>
            <w:r>
              <w:rPr>
                <w:color w:val="auto"/>
                <w:highlight w:val="none"/>
              </w:rPr>
              <w:t>15.68</w:t>
            </w:r>
          </w:p>
        </w:tc>
        <w:tc>
          <w:tcPr>
            <w:tcW w:w="705" w:type="pct"/>
            <w:tcBorders>
              <w:top w:val="single" w:color="000000" w:sz="4" w:space="0"/>
              <w:left w:val="single" w:color="000000" w:sz="4" w:space="0"/>
              <w:bottom w:val="single" w:color="000000" w:sz="4" w:space="0"/>
              <w:right w:val="single" w:color="000000" w:sz="4" w:space="0"/>
            </w:tcBorders>
            <w:vAlign w:val="center"/>
          </w:tcPr>
          <w:p w14:paraId="5D8BC87A">
            <w:pPr>
              <w:pStyle w:val="41"/>
              <w:rPr>
                <w:color w:val="auto"/>
                <w:highlight w:val="none"/>
              </w:rPr>
            </w:pPr>
            <w:r>
              <w:rPr>
                <w:color w:val="auto"/>
                <w:highlight w:val="none"/>
              </w:rPr>
              <w:t>15.68</w:t>
            </w:r>
          </w:p>
        </w:tc>
        <w:tc>
          <w:tcPr>
            <w:tcW w:w="706" w:type="pct"/>
            <w:tcBorders>
              <w:top w:val="single" w:color="000000" w:sz="4" w:space="0"/>
              <w:left w:val="single" w:color="000000" w:sz="4" w:space="0"/>
              <w:bottom w:val="single" w:color="000000" w:sz="4" w:space="0"/>
              <w:right w:val="single" w:color="000000" w:sz="12" w:space="0"/>
            </w:tcBorders>
            <w:vAlign w:val="center"/>
          </w:tcPr>
          <w:p w14:paraId="5696C6DD">
            <w:pPr>
              <w:pStyle w:val="41"/>
              <w:rPr>
                <w:color w:val="auto"/>
                <w:highlight w:val="none"/>
              </w:rPr>
            </w:pPr>
            <w:r>
              <w:rPr>
                <w:color w:val="auto"/>
                <w:highlight w:val="none"/>
              </w:rPr>
              <w:t>15.52</w:t>
            </w:r>
          </w:p>
        </w:tc>
      </w:tr>
      <w:tr w14:paraId="75224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472" w:type="pct"/>
            <w:tcBorders>
              <w:top w:val="single" w:color="000000" w:sz="4" w:space="0"/>
              <w:left w:val="single" w:color="000000" w:sz="12" w:space="0"/>
              <w:bottom w:val="single" w:color="000000" w:sz="4" w:space="0"/>
              <w:right w:val="single" w:color="000000" w:sz="4" w:space="0"/>
            </w:tcBorders>
            <w:vAlign w:val="center"/>
          </w:tcPr>
          <w:p w14:paraId="52F658E0">
            <w:pPr>
              <w:pStyle w:val="41"/>
              <w:rPr>
                <w:color w:val="auto"/>
                <w:highlight w:val="none"/>
              </w:rPr>
            </w:pPr>
            <w:r>
              <w:rPr>
                <w:color w:val="auto"/>
                <w:highlight w:val="none"/>
              </w:rPr>
              <w:t>进水井编号</w:t>
            </w:r>
          </w:p>
        </w:tc>
        <w:tc>
          <w:tcPr>
            <w:tcW w:w="705" w:type="pct"/>
            <w:tcBorders>
              <w:top w:val="single" w:color="000000" w:sz="4" w:space="0"/>
              <w:left w:val="single" w:color="000000" w:sz="4" w:space="0"/>
              <w:bottom w:val="single" w:color="000000" w:sz="4" w:space="0"/>
              <w:right w:val="single" w:color="000000" w:sz="4" w:space="0"/>
            </w:tcBorders>
            <w:vAlign w:val="center"/>
          </w:tcPr>
          <w:p w14:paraId="4FBC6D8E">
            <w:pPr>
              <w:pStyle w:val="41"/>
              <w:rPr>
                <w:color w:val="auto"/>
                <w:highlight w:val="none"/>
              </w:rPr>
            </w:pPr>
            <w:r>
              <w:rPr>
                <w:color w:val="auto"/>
                <w:highlight w:val="none"/>
              </w:rPr>
              <w:t>1#</w:t>
            </w:r>
          </w:p>
        </w:tc>
        <w:tc>
          <w:tcPr>
            <w:tcW w:w="705" w:type="pct"/>
            <w:tcBorders>
              <w:top w:val="single" w:color="000000" w:sz="4" w:space="0"/>
              <w:left w:val="single" w:color="000000" w:sz="4" w:space="0"/>
              <w:bottom w:val="single" w:color="000000" w:sz="4" w:space="0"/>
              <w:right w:val="single" w:color="000000" w:sz="4" w:space="0"/>
            </w:tcBorders>
            <w:vAlign w:val="center"/>
          </w:tcPr>
          <w:p w14:paraId="0AC3B4CF">
            <w:pPr>
              <w:pStyle w:val="41"/>
              <w:rPr>
                <w:color w:val="auto"/>
                <w:highlight w:val="none"/>
              </w:rPr>
            </w:pPr>
            <w:r>
              <w:rPr>
                <w:color w:val="auto"/>
                <w:highlight w:val="none"/>
              </w:rPr>
              <w:t>2#</w:t>
            </w:r>
          </w:p>
        </w:tc>
        <w:tc>
          <w:tcPr>
            <w:tcW w:w="705" w:type="pct"/>
            <w:tcBorders>
              <w:top w:val="single" w:color="000000" w:sz="4" w:space="0"/>
              <w:left w:val="single" w:color="000000" w:sz="4" w:space="0"/>
              <w:bottom w:val="single" w:color="000000" w:sz="4" w:space="0"/>
              <w:right w:val="single" w:color="000000" w:sz="4" w:space="0"/>
            </w:tcBorders>
            <w:vAlign w:val="center"/>
          </w:tcPr>
          <w:p w14:paraId="10FC22F9">
            <w:pPr>
              <w:pStyle w:val="41"/>
              <w:rPr>
                <w:color w:val="auto"/>
                <w:highlight w:val="none"/>
              </w:rPr>
            </w:pPr>
            <w:r>
              <w:rPr>
                <w:color w:val="auto"/>
                <w:highlight w:val="none"/>
              </w:rPr>
              <w:t>3#</w:t>
            </w:r>
          </w:p>
        </w:tc>
        <w:tc>
          <w:tcPr>
            <w:tcW w:w="705" w:type="pct"/>
            <w:tcBorders>
              <w:top w:val="single" w:color="000000" w:sz="4" w:space="0"/>
              <w:left w:val="single" w:color="000000" w:sz="4" w:space="0"/>
              <w:bottom w:val="single" w:color="000000" w:sz="4" w:space="0"/>
              <w:right w:val="single" w:color="000000" w:sz="4" w:space="0"/>
            </w:tcBorders>
            <w:vAlign w:val="center"/>
          </w:tcPr>
          <w:p w14:paraId="33D65FA8">
            <w:pPr>
              <w:pStyle w:val="41"/>
              <w:rPr>
                <w:color w:val="auto"/>
                <w:highlight w:val="none"/>
              </w:rPr>
            </w:pPr>
            <w:r>
              <w:rPr>
                <w:color w:val="auto"/>
                <w:highlight w:val="none"/>
              </w:rPr>
              <w:t>4#</w:t>
            </w:r>
          </w:p>
        </w:tc>
        <w:tc>
          <w:tcPr>
            <w:tcW w:w="706" w:type="pct"/>
            <w:tcBorders>
              <w:top w:val="single" w:color="000000" w:sz="4" w:space="0"/>
              <w:left w:val="single" w:color="000000" w:sz="4" w:space="0"/>
              <w:bottom w:val="single" w:color="000000" w:sz="4" w:space="0"/>
              <w:right w:val="single" w:color="000000" w:sz="12" w:space="0"/>
            </w:tcBorders>
            <w:vAlign w:val="center"/>
          </w:tcPr>
          <w:p w14:paraId="42208886">
            <w:pPr>
              <w:pStyle w:val="41"/>
              <w:rPr>
                <w:color w:val="auto"/>
                <w:highlight w:val="none"/>
              </w:rPr>
            </w:pPr>
            <w:r>
              <w:rPr>
                <w:color w:val="auto"/>
                <w:highlight w:val="none"/>
              </w:rPr>
              <w:t>5#</w:t>
            </w:r>
          </w:p>
        </w:tc>
      </w:tr>
      <w:tr w14:paraId="7A3AB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472" w:type="pct"/>
            <w:tcBorders>
              <w:top w:val="single" w:color="000000" w:sz="4" w:space="0"/>
              <w:left w:val="single" w:color="000000" w:sz="12" w:space="0"/>
              <w:bottom w:val="single" w:color="000000" w:sz="4" w:space="0"/>
              <w:right w:val="single" w:color="000000" w:sz="4" w:space="0"/>
            </w:tcBorders>
            <w:vAlign w:val="center"/>
          </w:tcPr>
          <w:p w14:paraId="3E97FDEF">
            <w:pPr>
              <w:pStyle w:val="41"/>
              <w:rPr>
                <w:color w:val="auto"/>
                <w:highlight w:val="none"/>
              </w:rPr>
            </w:pPr>
            <w:r>
              <w:rPr>
                <w:color w:val="auto"/>
                <w:highlight w:val="none"/>
              </w:rPr>
              <w:t>进水井至坝顶距离（m）</w:t>
            </w:r>
          </w:p>
        </w:tc>
        <w:tc>
          <w:tcPr>
            <w:tcW w:w="705" w:type="pct"/>
            <w:tcBorders>
              <w:top w:val="single" w:color="000000" w:sz="4" w:space="0"/>
              <w:left w:val="single" w:color="000000" w:sz="4" w:space="0"/>
              <w:bottom w:val="single" w:color="000000" w:sz="4" w:space="0"/>
              <w:right w:val="single" w:color="000000" w:sz="4" w:space="0"/>
            </w:tcBorders>
            <w:vAlign w:val="center"/>
          </w:tcPr>
          <w:p w14:paraId="67F58161">
            <w:pPr>
              <w:pStyle w:val="41"/>
              <w:rPr>
                <w:color w:val="auto"/>
                <w:highlight w:val="none"/>
              </w:rPr>
            </w:pPr>
            <w:r>
              <w:rPr>
                <w:color w:val="auto"/>
                <w:highlight w:val="none"/>
              </w:rPr>
              <w:t>202</w:t>
            </w:r>
          </w:p>
        </w:tc>
        <w:tc>
          <w:tcPr>
            <w:tcW w:w="705" w:type="pct"/>
            <w:tcBorders>
              <w:top w:val="single" w:color="000000" w:sz="4" w:space="0"/>
              <w:left w:val="single" w:color="000000" w:sz="4" w:space="0"/>
              <w:bottom w:val="single" w:color="000000" w:sz="4" w:space="0"/>
              <w:right w:val="single" w:color="000000" w:sz="4" w:space="0"/>
            </w:tcBorders>
            <w:vAlign w:val="center"/>
          </w:tcPr>
          <w:p w14:paraId="507151FC">
            <w:pPr>
              <w:pStyle w:val="41"/>
              <w:rPr>
                <w:color w:val="auto"/>
                <w:highlight w:val="none"/>
              </w:rPr>
            </w:pPr>
            <w:r>
              <w:rPr>
                <w:color w:val="auto"/>
                <w:highlight w:val="none"/>
              </w:rPr>
              <w:t>293</w:t>
            </w:r>
          </w:p>
        </w:tc>
        <w:tc>
          <w:tcPr>
            <w:tcW w:w="705" w:type="pct"/>
            <w:tcBorders>
              <w:top w:val="single" w:color="000000" w:sz="4" w:space="0"/>
              <w:left w:val="single" w:color="000000" w:sz="4" w:space="0"/>
              <w:bottom w:val="single" w:color="000000" w:sz="4" w:space="0"/>
              <w:right w:val="single" w:color="000000" w:sz="4" w:space="0"/>
            </w:tcBorders>
            <w:vAlign w:val="center"/>
          </w:tcPr>
          <w:p w14:paraId="26631208">
            <w:pPr>
              <w:pStyle w:val="41"/>
              <w:rPr>
                <w:color w:val="auto"/>
                <w:highlight w:val="none"/>
              </w:rPr>
            </w:pPr>
            <w:r>
              <w:rPr>
                <w:color w:val="auto"/>
                <w:highlight w:val="none"/>
              </w:rPr>
              <w:t>424</w:t>
            </w:r>
          </w:p>
        </w:tc>
        <w:tc>
          <w:tcPr>
            <w:tcW w:w="705" w:type="pct"/>
            <w:tcBorders>
              <w:top w:val="single" w:color="000000" w:sz="4" w:space="0"/>
              <w:left w:val="single" w:color="000000" w:sz="4" w:space="0"/>
              <w:bottom w:val="single" w:color="000000" w:sz="4" w:space="0"/>
              <w:right w:val="single" w:color="000000" w:sz="4" w:space="0"/>
            </w:tcBorders>
            <w:vAlign w:val="center"/>
          </w:tcPr>
          <w:p w14:paraId="41B77C72">
            <w:pPr>
              <w:pStyle w:val="41"/>
              <w:rPr>
                <w:color w:val="auto"/>
                <w:highlight w:val="none"/>
              </w:rPr>
            </w:pPr>
            <w:r>
              <w:rPr>
                <w:color w:val="auto"/>
                <w:highlight w:val="none"/>
              </w:rPr>
              <w:t>498</w:t>
            </w:r>
          </w:p>
        </w:tc>
        <w:tc>
          <w:tcPr>
            <w:tcW w:w="706" w:type="pct"/>
            <w:tcBorders>
              <w:top w:val="single" w:color="000000" w:sz="4" w:space="0"/>
              <w:left w:val="single" w:color="000000" w:sz="4" w:space="0"/>
              <w:bottom w:val="single" w:color="000000" w:sz="4" w:space="0"/>
              <w:right w:val="single" w:color="000000" w:sz="12" w:space="0"/>
            </w:tcBorders>
            <w:vAlign w:val="center"/>
          </w:tcPr>
          <w:p w14:paraId="372DFC74">
            <w:pPr>
              <w:pStyle w:val="41"/>
              <w:rPr>
                <w:color w:val="auto"/>
                <w:highlight w:val="none"/>
              </w:rPr>
            </w:pPr>
            <w:r>
              <w:rPr>
                <w:color w:val="auto"/>
                <w:highlight w:val="none"/>
              </w:rPr>
              <w:t>471</w:t>
            </w:r>
          </w:p>
        </w:tc>
      </w:tr>
      <w:tr w14:paraId="74C7F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472" w:type="pct"/>
            <w:tcBorders>
              <w:top w:val="single" w:color="000000" w:sz="4" w:space="0"/>
              <w:left w:val="single" w:color="000000" w:sz="12" w:space="0"/>
              <w:bottom w:val="single" w:color="000000" w:sz="4" w:space="0"/>
              <w:right w:val="single" w:color="000000" w:sz="4" w:space="0"/>
            </w:tcBorders>
            <w:vAlign w:val="center"/>
          </w:tcPr>
          <w:p w14:paraId="3A536E29">
            <w:pPr>
              <w:pStyle w:val="41"/>
              <w:rPr>
                <w:color w:val="auto"/>
                <w:highlight w:val="none"/>
              </w:rPr>
            </w:pPr>
            <w:r>
              <w:rPr>
                <w:color w:val="auto"/>
                <w:highlight w:val="none"/>
              </w:rPr>
              <w:t>调洪库容</w:t>
            </w:r>
            <w:r>
              <w:rPr>
                <w:rFonts w:hint="eastAsia"/>
                <w:color w:val="auto"/>
                <w:highlight w:val="none"/>
                <w:lang w:eastAsia="zh-CN"/>
              </w:rPr>
              <w:t>（</w:t>
            </w:r>
            <w:r>
              <w:rPr>
                <w:color w:val="auto"/>
                <w:highlight w:val="none"/>
              </w:rPr>
              <w:t>万m</w:t>
            </w:r>
            <w:r>
              <w:rPr>
                <w:rFonts w:hint="eastAsia"/>
                <w:color w:val="auto"/>
                <w:highlight w:val="none"/>
                <w:vertAlign w:val="superscript"/>
              </w:rPr>
              <w:t>3</w:t>
            </w:r>
            <w:r>
              <w:rPr>
                <w:rFonts w:hint="eastAsia"/>
                <w:color w:val="auto"/>
                <w:highlight w:val="none"/>
                <w:vertAlign w:val="superscript"/>
                <w:lang w:eastAsia="zh-CN"/>
              </w:rPr>
              <w:t>）</w:t>
            </w:r>
          </w:p>
        </w:tc>
        <w:tc>
          <w:tcPr>
            <w:tcW w:w="705" w:type="pct"/>
            <w:tcBorders>
              <w:top w:val="single" w:color="000000" w:sz="4" w:space="0"/>
              <w:left w:val="single" w:color="000000" w:sz="4" w:space="0"/>
              <w:bottom w:val="single" w:color="000000" w:sz="4" w:space="0"/>
              <w:right w:val="single" w:color="000000" w:sz="4" w:space="0"/>
            </w:tcBorders>
            <w:vAlign w:val="center"/>
          </w:tcPr>
          <w:p w14:paraId="2DB5EF31">
            <w:pPr>
              <w:pStyle w:val="41"/>
              <w:rPr>
                <w:color w:val="auto"/>
                <w:highlight w:val="none"/>
              </w:rPr>
            </w:pPr>
            <w:r>
              <w:rPr>
                <w:color w:val="auto"/>
                <w:highlight w:val="none"/>
              </w:rPr>
              <w:t>21.83</w:t>
            </w:r>
          </w:p>
        </w:tc>
        <w:tc>
          <w:tcPr>
            <w:tcW w:w="705" w:type="pct"/>
            <w:tcBorders>
              <w:top w:val="single" w:color="000000" w:sz="4" w:space="0"/>
              <w:left w:val="single" w:color="000000" w:sz="4" w:space="0"/>
              <w:bottom w:val="single" w:color="000000" w:sz="4" w:space="0"/>
              <w:right w:val="single" w:color="000000" w:sz="4" w:space="0"/>
            </w:tcBorders>
            <w:vAlign w:val="center"/>
          </w:tcPr>
          <w:p w14:paraId="37A5EB8A">
            <w:pPr>
              <w:pStyle w:val="41"/>
              <w:rPr>
                <w:color w:val="auto"/>
                <w:highlight w:val="none"/>
              </w:rPr>
            </w:pPr>
            <w:r>
              <w:rPr>
                <w:color w:val="auto"/>
                <w:highlight w:val="none"/>
              </w:rPr>
              <w:t>40.16</w:t>
            </w:r>
          </w:p>
        </w:tc>
        <w:tc>
          <w:tcPr>
            <w:tcW w:w="705" w:type="pct"/>
            <w:tcBorders>
              <w:top w:val="single" w:color="000000" w:sz="4" w:space="0"/>
              <w:left w:val="single" w:color="000000" w:sz="4" w:space="0"/>
              <w:bottom w:val="single" w:color="000000" w:sz="4" w:space="0"/>
              <w:right w:val="single" w:color="000000" w:sz="4" w:space="0"/>
            </w:tcBorders>
            <w:vAlign w:val="center"/>
          </w:tcPr>
          <w:p w14:paraId="7349E492">
            <w:pPr>
              <w:pStyle w:val="41"/>
              <w:rPr>
                <w:color w:val="auto"/>
                <w:highlight w:val="none"/>
              </w:rPr>
            </w:pPr>
            <w:r>
              <w:rPr>
                <w:color w:val="auto"/>
                <w:highlight w:val="none"/>
              </w:rPr>
              <w:t>61.75</w:t>
            </w:r>
          </w:p>
        </w:tc>
        <w:tc>
          <w:tcPr>
            <w:tcW w:w="705" w:type="pct"/>
            <w:tcBorders>
              <w:top w:val="single" w:color="000000" w:sz="4" w:space="0"/>
              <w:left w:val="single" w:color="000000" w:sz="4" w:space="0"/>
              <w:bottom w:val="single" w:color="000000" w:sz="4" w:space="0"/>
              <w:right w:val="single" w:color="000000" w:sz="4" w:space="0"/>
            </w:tcBorders>
            <w:vAlign w:val="center"/>
          </w:tcPr>
          <w:p w14:paraId="74D2B444">
            <w:pPr>
              <w:pStyle w:val="41"/>
              <w:rPr>
                <w:color w:val="auto"/>
                <w:highlight w:val="none"/>
              </w:rPr>
            </w:pPr>
            <w:r>
              <w:rPr>
                <w:color w:val="auto"/>
                <w:highlight w:val="none"/>
              </w:rPr>
              <w:t>79.89</w:t>
            </w:r>
          </w:p>
        </w:tc>
        <w:tc>
          <w:tcPr>
            <w:tcW w:w="706" w:type="pct"/>
            <w:tcBorders>
              <w:top w:val="single" w:color="000000" w:sz="4" w:space="0"/>
              <w:left w:val="single" w:color="000000" w:sz="4" w:space="0"/>
              <w:bottom w:val="single" w:color="000000" w:sz="4" w:space="0"/>
              <w:right w:val="single" w:color="000000" w:sz="12" w:space="0"/>
            </w:tcBorders>
            <w:vAlign w:val="center"/>
          </w:tcPr>
          <w:p w14:paraId="525A7F07">
            <w:pPr>
              <w:pStyle w:val="41"/>
              <w:rPr>
                <w:color w:val="auto"/>
                <w:highlight w:val="none"/>
              </w:rPr>
            </w:pPr>
            <w:r>
              <w:rPr>
                <w:color w:val="auto"/>
                <w:highlight w:val="none"/>
              </w:rPr>
              <w:t>83.04</w:t>
            </w:r>
          </w:p>
        </w:tc>
      </w:tr>
      <w:tr w14:paraId="1BCCE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472" w:type="pct"/>
            <w:tcBorders>
              <w:top w:val="single" w:color="000000" w:sz="4" w:space="0"/>
              <w:left w:val="single" w:color="000000" w:sz="12" w:space="0"/>
              <w:bottom w:val="single" w:color="000000" w:sz="4" w:space="0"/>
              <w:right w:val="single" w:color="000000" w:sz="4" w:space="0"/>
            </w:tcBorders>
            <w:vAlign w:val="center"/>
          </w:tcPr>
          <w:p w14:paraId="37ACD6D4">
            <w:pPr>
              <w:pStyle w:val="41"/>
              <w:rPr>
                <w:color w:val="auto"/>
                <w:highlight w:val="none"/>
              </w:rPr>
            </w:pPr>
            <w:r>
              <w:rPr>
                <w:color w:val="auto"/>
                <w:highlight w:val="none"/>
              </w:rPr>
              <w:t>最大泄流量</w:t>
            </w:r>
            <w:r>
              <w:rPr>
                <w:rFonts w:hint="eastAsia"/>
                <w:color w:val="auto"/>
                <w:highlight w:val="none"/>
                <w:lang w:eastAsia="zh-CN"/>
              </w:rPr>
              <w:t>（</w:t>
            </w:r>
            <w:r>
              <w:rPr>
                <w:color w:val="auto"/>
                <w:highlight w:val="none"/>
              </w:rPr>
              <w:t>m</w:t>
            </w:r>
            <w:r>
              <w:rPr>
                <w:rFonts w:hint="eastAsia"/>
                <w:color w:val="auto"/>
                <w:highlight w:val="none"/>
                <w:vertAlign w:val="superscript"/>
              </w:rPr>
              <w:t>3</w:t>
            </w:r>
            <w:r>
              <w:rPr>
                <w:color w:val="auto"/>
                <w:highlight w:val="none"/>
              </w:rPr>
              <w:t>/s</w:t>
            </w:r>
            <w:r>
              <w:rPr>
                <w:rFonts w:hint="eastAsia"/>
                <w:color w:val="auto"/>
                <w:highlight w:val="none"/>
                <w:lang w:eastAsia="zh-CN"/>
              </w:rPr>
              <w:t>）</w:t>
            </w:r>
          </w:p>
        </w:tc>
        <w:tc>
          <w:tcPr>
            <w:tcW w:w="705" w:type="pct"/>
            <w:tcBorders>
              <w:top w:val="single" w:color="000000" w:sz="4" w:space="0"/>
              <w:left w:val="single" w:color="000000" w:sz="4" w:space="0"/>
              <w:bottom w:val="single" w:color="000000" w:sz="4" w:space="0"/>
              <w:right w:val="single" w:color="000000" w:sz="4" w:space="0"/>
            </w:tcBorders>
            <w:vAlign w:val="center"/>
          </w:tcPr>
          <w:p w14:paraId="7CBA52F6">
            <w:pPr>
              <w:pStyle w:val="41"/>
              <w:rPr>
                <w:color w:val="auto"/>
                <w:highlight w:val="none"/>
              </w:rPr>
            </w:pPr>
            <w:r>
              <w:rPr>
                <w:color w:val="auto"/>
                <w:highlight w:val="none"/>
              </w:rPr>
              <w:t>11.78</w:t>
            </w:r>
          </w:p>
        </w:tc>
        <w:tc>
          <w:tcPr>
            <w:tcW w:w="705" w:type="pct"/>
            <w:tcBorders>
              <w:top w:val="single" w:color="000000" w:sz="4" w:space="0"/>
              <w:left w:val="single" w:color="000000" w:sz="4" w:space="0"/>
              <w:bottom w:val="single" w:color="000000" w:sz="4" w:space="0"/>
              <w:right w:val="single" w:color="000000" w:sz="4" w:space="0"/>
            </w:tcBorders>
            <w:vAlign w:val="center"/>
          </w:tcPr>
          <w:p w14:paraId="130DA04E">
            <w:pPr>
              <w:pStyle w:val="41"/>
              <w:rPr>
                <w:color w:val="auto"/>
                <w:highlight w:val="none"/>
              </w:rPr>
            </w:pPr>
            <w:r>
              <w:rPr>
                <w:color w:val="auto"/>
                <w:highlight w:val="none"/>
              </w:rPr>
              <w:t>7.23</w:t>
            </w:r>
          </w:p>
        </w:tc>
        <w:tc>
          <w:tcPr>
            <w:tcW w:w="705" w:type="pct"/>
            <w:tcBorders>
              <w:top w:val="single" w:color="000000" w:sz="4" w:space="0"/>
              <w:left w:val="single" w:color="000000" w:sz="4" w:space="0"/>
              <w:bottom w:val="single" w:color="000000" w:sz="4" w:space="0"/>
              <w:right w:val="single" w:color="000000" w:sz="4" w:space="0"/>
            </w:tcBorders>
            <w:vAlign w:val="center"/>
          </w:tcPr>
          <w:p w14:paraId="0CCB8A69">
            <w:pPr>
              <w:pStyle w:val="41"/>
              <w:rPr>
                <w:color w:val="auto"/>
                <w:highlight w:val="none"/>
              </w:rPr>
            </w:pPr>
            <w:r>
              <w:rPr>
                <w:color w:val="auto"/>
                <w:highlight w:val="none"/>
              </w:rPr>
              <w:t>7.20</w:t>
            </w:r>
          </w:p>
        </w:tc>
        <w:tc>
          <w:tcPr>
            <w:tcW w:w="705" w:type="pct"/>
            <w:tcBorders>
              <w:top w:val="single" w:color="000000" w:sz="4" w:space="0"/>
              <w:left w:val="single" w:color="000000" w:sz="4" w:space="0"/>
              <w:bottom w:val="single" w:color="000000" w:sz="4" w:space="0"/>
              <w:right w:val="single" w:color="000000" w:sz="4" w:space="0"/>
            </w:tcBorders>
            <w:vAlign w:val="center"/>
          </w:tcPr>
          <w:p w14:paraId="778988DA">
            <w:pPr>
              <w:pStyle w:val="41"/>
              <w:rPr>
                <w:color w:val="auto"/>
                <w:highlight w:val="none"/>
              </w:rPr>
            </w:pPr>
            <w:r>
              <w:rPr>
                <w:color w:val="auto"/>
                <w:highlight w:val="none"/>
              </w:rPr>
              <w:t>7.87</w:t>
            </w:r>
          </w:p>
        </w:tc>
        <w:tc>
          <w:tcPr>
            <w:tcW w:w="706" w:type="pct"/>
            <w:tcBorders>
              <w:top w:val="single" w:color="000000" w:sz="4" w:space="0"/>
              <w:left w:val="single" w:color="000000" w:sz="4" w:space="0"/>
              <w:bottom w:val="single" w:color="000000" w:sz="4" w:space="0"/>
              <w:right w:val="single" w:color="000000" w:sz="12" w:space="0"/>
            </w:tcBorders>
            <w:vAlign w:val="center"/>
          </w:tcPr>
          <w:p w14:paraId="72540190">
            <w:pPr>
              <w:pStyle w:val="41"/>
              <w:rPr>
                <w:color w:val="auto"/>
                <w:highlight w:val="none"/>
              </w:rPr>
            </w:pPr>
            <w:r>
              <w:rPr>
                <w:color w:val="auto"/>
                <w:highlight w:val="none"/>
              </w:rPr>
              <w:t>6.92</w:t>
            </w:r>
          </w:p>
        </w:tc>
      </w:tr>
      <w:tr w14:paraId="7D85D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472" w:type="pct"/>
            <w:tcBorders>
              <w:top w:val="single" w:color="000000" w:sz="4" w:space="0"/>
              <w:left w:val="single" w:color="000000" w:sz="12" w:space="0"/>
              <w:bottom w:val="single" w:color="000000" w:sz="4" w:space="0"/>
              <w:right w:val="single" w:color="000000" w:sz="4" w:space="0"/>
            </w:tcBorders>
            <w:vAlign w:val="center"/>
          </w:tcPr>
          <w:p w14:paraId="1DD083EE">
            <w:pPr>
              <w:pStyle w:val="41"/>
              <w:rPr>
                <w:color w:val="auto"/>
                <w:highlight w:val="none"/>
              </w:rPr>
            </w:pPr>
            <w:r>
              <w:rPr>
                <w:color w:val="auto"/>
                <w:highlight w:val="none"/>
              </w:rPr>
              <w:t>剩余防洪宽度（m）</w:t>
            </w:r>
          </w:p>
        </w:tc>
        <w:tc>
          <w:tcPr>
            <w:tcW w:w="705" w:type="pct"/>
            <w:tcBorders>
              <w:top w:val="single" w:color="000000" w:sz="4" w:space="0"/>
              <w:left w:val="single" w:color="000000" w:sz="4" w:space="0"/>
              <w:bottom w:val="single" w:color="000000" w:sz="4" w:space="0"/>
              <w:right w:val="single" w:color="000000" w:sz="4" w:space="0"/>
            </w:tcBorders>
            <w:vAlign w:val="center"/>
          </w:tcPr>
          <w:p w14:paraId="63620618">
            <w:pPr>
              <w:pStyle w:val="41"/>
              <w:rPr>
                <w:color w:val="auto"/>
                <w:highlight w:val="none"/>
              </w:rPr>
            </w:pPr>
            <w:r>
              <w:rPr>
                <w:color w:val="auto"/>
                <w:highlight w:val="none"/>
              </w:rPr>
              <w:t>70.48</w:t>
            </w:r>
          </w:p>
        </w:tc>
        <w:tc>
          <w:tcPr>
            <w:tcW w:w="705" w:type="pct"/>
            <w:tcBorders>
              <w:top w:val="single" w:color="000000" w:sz="4" w:space="0"/>
              <w:left w:val="single" w:color="000000" w:sz="4" w:space="0"/>
              <w:bottom w:val="single" w:color="000000" w:sz="4" w:space="0"/>
              <w:right w:val="single" w:color="000000" w:sz="4" w:space="0"/>
            </w:tcBorders>
            <w:vAlign w:val="center"/>
          </w:tcPr>
          <w:p w14:paraId="4290AF3E">
            <w:pPr>
              <w:pStyle w:val="41"/>
              <w:rPr>
                <w:color w:val="auto"/>
                <w:highlight w:val="none"/>
              </w:rPr>
            </w:pPr>
            <w:r>
              <w:rPr>
                <w:color w:val="auto"/>
                <w:highlight w:val="none"/>
              </w:rPr>
              <w:t>172.60</w:t>
            </w:r>
          </w:p>
        </w:tc>
        <w:tc>
          <w:tcPr>
            <w:tcW w:w="705" w:type="pct"/>
            <w:tcBorders>
              <w:top w:val="single" w:color="000000" w:sz="4" w:space="0"/>
              <w:left w:val="single" w:color="000000" w:sz="4" w:space="0"/>
              <w:bottom w:val="single" w:color="000000" w:sz="4" w:space="0"/>
              <w:right w:val="single" w:color="000000" w:sz="4" w:space="0"/>
            </w:tcBorders>
            <w:vAlign w:val="center"/>
          </w:tcPr>
          <w:p w14:paraId="439FC646">
            <w:pPr>
              <w:pStyle w:val="41"/>
              <w:rPr>
                <w:color w:val="auto"/>
                <w:highlight w:val="none"/>
              </w:rPr>
            </w:pPr>
            <w:r>
              <w:rPr>
                <w:color w:val="auto"/>
                <w:highlight w:val="none"/>
              </w:rPr>
              <w:t>277.06</w:t>
            </w:r>
          </w:p>
        </w:tc>
        <w:tc>
          <w:tcPr>
            <w:tcW w:w="705" w:type="pct"/>
            <w:tcBorders>
              <w:top w:val="single" w:color="000000" w:sz="4" w:space="0"/>
              <w:left w:val="single" w:color="000000" w:sz="4" w:space="0"/>
              <w:bottom w:val="single" w:color="000000" w:sz="4" w:space="0"/>
              <w:right w:val="single" w:color="000000" w:sz="4" w:space="0"/>
            </w:tcBorders>
            <w:vAlign w:val="center"/>
          </w:tcPr>
          <w:p w14:paraId="638642B8">
            <w:pPr>
              <w:pStyle w:val="41"/>
              <w:rPr>
                <w:color w:val="auto"/>
                <w:highlight w:val="none"/>
              </w:rPr>
            </w:pPr>
            <w:r>
              <w:rPr>
                <w:color w:val="auto"/>
                <w:highlight w:val="none"/>
              </w:rPr>
              <w:t>309.44</w:t>
            </w:r>
          </w:p>
        </w:tc>
        <w:tc>
          <w:tcPr>
            <w:tcW w:w="706" w:type="pct"/>
            <w:tcBorders>
              <w:top w:val="single" w:color="000000" w:sz="4" w:space="0"/>
              <w:left w:val="single" w:color="000000" w:sz="4" w:space="0"/>
              <w:bottom w:val="single" w:color="000000" w:sz="4" w:space="0"/>
              <w:right w:val="single" w:color="000000" w:sz="12" w:space="0"/>
            </w:tcBorders>
            <w:vAlign w:val="center"/>
          </w:tcPr>
          <w:p w14:paraId="30BA7E23">
            <w:pPr>
              <w:pStyle w:val="41"/>
              <w:rPr>
                <w:color w:val="auto"/>
                <w:highlight w:val="none"/>
              </w:rPr>
            </w:pPr>
            <w:r>
              <w:rPr>
                <w:color w:val="auto"/>
                <w:highlight w:val="none"/>
              </w:rPr>
              <w:t>316.34</w:t>
            </w:r>
          </w:p>
        </w:tc>
      </w:tr>
      <w:tr w14:paraId="18217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472" w:type="pct"/>
            <w:tcBorders>
              <w:top w:val="single" w:color="000000" w:sz="4" w:space="0"/>
              <w:left w:val="single" w:color="000000" w:sz="12" w:space="0"/>
              <w:bottom w:val="single" w:color="000000" w:sz="4" w:space="0"/>
              <w:right w:val="single" w:color="000000" w:sz="4" w:space="0"/>
            </w:tcBorders>
            <w:vAlign w:val="center"/>
          </w:tcPr>
          <w:p w14:paraId="11A6D70F">
            <w:pPr>
              <w:pStyle w:val="41"/>
              <w:rPr>
                <w:color w:val="auto"/>
                <w:highlight w:val="none"/>
              </w:rPr>
            </w:pPr>
            <w:r>
              <w:rPr>
                <w:color w:val="auto"/>
                <w:highlight w:val="none"/>
              </w:rPr>
              <w:t>最小防洪宽度（m）</w:t>
            </w:r>
          </w:p>
        </w:tc>
        <w:tc>
          <w:tcPr>
            <w:tcW w:w="705" w:type="pct"/>
            <w:tcBorders>
              <w:top w:val="single" w:color="000000" w:sz="4" w:space="0"/>
              <w:left w:val="single" w:color="000000" w:sz="4" w:space="0"/>
              <w:bottom w:val="single" w:color="000000" w:sz="4" w:space="0"/>
              <w:right w:val="single" w:color="000000" w:sz="4" w:space="0"/>
            </w:tcBorders>
            <w:vAlign w:val="center"/>
          </w:tcPr>
          <w:p w14:paraId="489504A2">
            <w:pPr>
              <w:pStyle w:val="41"/>
              <w:rPr>
                <w:color w:val="auto"/>
                <w:highlight w:val="none"/>
              </w:rPr>
            </w:pPr>
            <w:r>
              <w:rPr>
                <w:color w:val="auto"/>
                <w:highlight w:val="none"/>
              </w:rPr>
              <w:t>42</w:t>
            </w:r>
          </w:p>
        </w:tc>
        <w:tc>
          <w:tcPr>
            <w:tcW w:w="705" w:type="pct"/>
            <w:tcBorders>
              <w:top w:val="single" w:color="000000" w:sz="4" w:space="0"/>
              <w:left w:val="single" w:color="000000" w:sz="4" w:space="0"/>
              <w:bottom w:val="single" w:color="000000" w:sz="4" w:space="0"/>
              <w:right w:val="single" w:color="000000" w:sz="4" w:space="0"/>
            </w:tcBorders>
            <w:vAlign w:val="center"/>
          </w:tcPr>
          <w:p w14:paraId="17DF9ECF">
            <w:pPr>
              <w:pStyle w:val="41"/>
              <w:rPr>
                <w:color w:val="auto"/>
                <w:highlight w:val="none"/>
              </w:rPr>
            </w:pPr>
            <w:r>
              <w:rPr>
                <w:color w:val="auto"/>
                <w:highlight w:val="none"/>
              </w:rPr>
              <w:t>42</w:t>
            </w:r>
          </w:p>
        </w:tc>
        <w:tc>
          <w:tcPr>
            <w:tcW w:w="705" w:type="pct"/>
            <w:tcBorders>
              <w:top w:val="single" w:color="000000" w:sz="4" w:space="0"/>
              <w:left w:val="single" w:color="000000" w:sz="4" w:space="0"/>
              <w:bottom w:val="single" w:color="000000" w:sz="4" w:space="0"/>
              <w:right w:val="single" w:color="000000" w:sz="4" w:space="0"/>
            </w:tcBorders>
            <w:vAlign w:val="center"/>
          </w:tcPr>
          <w:p w14:paraId="78DC2A83">
            <w:pPr>
              <w:pStyle w:val="41"/>
              <w:rPr>
                <w:color w:val="auto"/>
                <w:highlight w:val="none"/>
              </w:rPr>
            </w:pPr>
            <w:r>
              <w:rPr>
                <w:color w:val="auto"/>
                <w:highlight w:val="none"/>
              </w:rPr>
              <w:t>60</w:t>
            </w:r>
          </w:p>
        </w:tc>
        <w:tc>
          <w:tcPr>
            <w:tcW w:w="705" w:type="pct"/>
            <w:tcBorders>
              <w:top w:val="single" w:color="000000" w:sz="4" w:space="0"/>
              <w:left w:val="single" w:color="000000" w:sz="4" w:space="0"/>
              <w:bottom w:val="single" w:color="000000" w:sz="4" w:space="0"/>
              <w:right w:val="single" w:color="000000" w:sz="4" w:space="0"/>
            </w:tcBorders>
            <w:vAlign w:val="center"/>
          </w:tcPr>
          <w:p w14:paraId="3157D016">
            <w:pPr>
              <w:pStyle w:val="41"/>
              <w:rPr>
                <w:color w:val="auto"/>
                <w:highlight w:val="none"/>
              </w:rPr>
            </w:pPr>
            <w:r>
              <w:rPr>
                <w:color w:val="auto"/>
                <w:highlight w:val="none"/>
              </w:rPr>
              <w:t>60</w:t>
            </w:r>
          </w:p>
        </w:tc>
        <w:tc>
          <w:tcPr>
            <w:tcW w:w="706" w:type="pct"/>
            <w:tcBorders>
              <w:top w:val="single" w:color="000000" w:sz="4" w:space="0"/>
              <w:left w:val="single" w:color="000000" w:sz="4" w:space="0"/>
              <w:bottom w:val="single" w:color="000000" w:sz="4" w:space="0"/>
              <w:right w:val="single" w:color="000000" w:sz="12" w:space="0"/>
            </w:tcBorders>
            <w:vAlign w:val="center"/>
          </w:tcPr>
          <w:p w14:paraId="10D6B66F">
            <w:pPr>
              <w:pStyle w:val="41"/>
              <w:rPr>
                <w:color w:val="auto"/>
                <w:highlight w:val="none"/>
              </w:rPr>
            </w:pPr>
            <w:r>
              <w:rPr>
                <w:color w:val="auto"/>
                <w:highlight w:val="none"/>
              </w:rPr>
              <w:t>84</w:t>
            </w:r>
          </w:p>
        </w:tc>
      </w:tr>
      <w:tr w14:paraId="737305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472" w:type="pct"/>
            <w:tcBorders>
              <w:top w:val="single" w:color="000000" w:sz="4" w:space="0"/>
              <w:left w:val="single" w:color="000000" w:sz="12" w:space="0"/>
              <w:bottom w:val="single" w:color="000000" w:sz="12" w:space="0"/>
              <w:right w:val="single" w:color="000000" w:sz="4" w:space="0"/>
            </w:tcBorders>
            <w:vAlign w:val="center"/>
          </w:tcPr>
          <w:p w14:paraId="57C5E13C">
            <w:pPr>
              <w:pStyle w:val="41"/>
              <w:rPr>
                <w:color w:val="auto"/>
                <w:highlight w:val="none"/>
              </w:rPr>
            </w:pPr>
            <w:r>
              <w:rPr>
                <w:color w:val="auto"/>
                <w:highlight w:val="none"/>
              </w:rPr>
              <w:t>是否满足规范</w:t>
            </w:r>
          </w:p>
        </w:tc>
        <w:tc>
          <w:tcPr>
            <w:tcW w:w="705" w:type="pct"/>
            <w:tcBorders>
              <w:top w:val="single" w:color="000000" w:sz="4" w:space="0"/>
              <w:left w:val="single" w:color="000000" w:sz="4" w:space="0"/>
              <w:bottom w:val="single" w:color="000000" w:sz="12" w:space="0"/>
              <w:right w:val="single" w:color="000000" w:sz="4" w:space="0"/>
            </w:tcBorders>
            <w:vAlign w:val="center"/>
          </w:tcPr>
          <w:p w14:paraId="5D5EB262">
            <w:pPr>
              <w:pStyle w:val="41"/>
              <w:rPr>
                <w:color w:val="auto"/>
                <w:highlight w:val="none"/>
              </w:rPr>
            </w:pPr>
            <w:r>
              <w:rPr>
                <w:color w:val="auto"/>
                <w:highlight w:val="none"/>
              </w:rPr>
              <w:t>满足</w:t>
            </w:r>
          </w:p>
        </w:tc>
        <w:tc>
          <w:tcPr>
            <w:tcW w:w="705" w:type="pct"/>
            <w:tcBorders>
              <w:top w:val="single" w:color="000000" w:sz="4" w:space="0"/>
              <w:left w:val="single" w:color="000000" w:sz="4" w:space="0"/>
              <w:bottom w:val="single" w:color="000000" w:sz="12" w:space="0"/>
              <w:right w:val="single" w:color="000000" w:sz="4" w:space="0"/>
            </w:tcBorders>
            <w:vAlign w:val="center"/>
          </w:tcPr>
          <w:p w14:paraId="14EE2F8C">
            <w:pPr>
              <w:pStyle w:val="41"/>
              <w:rPr>
                <w:color w:val="auto"/>
                <w:highlight w:val="none"/>
              </w:rPr>
            </w:pPr>
            <w:r>
              <w:rPr>
                <w:color w:val="auto"/>
                <w:highlight w:val="none"/>
              </w:rPr>
              <w:t>满足</w:t>
            </w:r>
          </w:p>
        </w:tc>
        <w:tc>
          <w:tcPr>
            <w:tcW w:w="705" w:type="pct"/>
            <w:tcBorders>
              <w:top w:val="single" w:color="000000" w:sz="4" w:space="0"/>
              <w:left w:val="single" w:color="000000" w:sz="4" w:space="0"/>
              <w:bottom w:val="single" w:color="000000" w:sz="12" w:space="0"/>
              <w:right w:val="single" w:color="000000" w:sz="4" w:space="0"/>
            </w:tcBorders>
            <w:vAlign w:val="center"/>
          </w:tcPr>
          <w:p w14:paraId="10A2CE73">
            <w:pPr>
              <w:pStyle w:val="41"/>
              <w:rPr>
                <w:color w:val="auto"/>
                <w:highlight w:val="none"/>
              </w:rPr>
            </w:pPr>
            <w:r>
              <w:rPr>
                <w:color w:val="auto"/>
                <w:highlight w:val="none"/>
              </w:rPr>
              <w:t>满足</w:t>
            </w:r>
          </w:p>
        </w:tc>
        <w:tc>
          <w:tcPr>
            <w:tcW w:w="705" w:type="pct"/>
            <w:tcBorders>
              <w:top w:val="single" w:color="000000" w:sz="4" w:space="0"/>
              <w:left w:val="single" w:color="000000" w:sz="4" w:space="0"/>
              <w:bottom w:val="single" w:color="000000" w:sz="12" w:space="0"/>
              <w:right w:val="single" w:color="000000" w:sz="4" w:space="0"/>
            </w:tcBorders>
            <w:vAlign w:val="center"/>
          </w:tcPr>
          <w:p w14:paraId="50D6DB48">
            <w:pPr>
              <w:pStyle w:val="41"/>
              <w:rPr>
                <w:color w:val="auto"/>
                <w:highlight w:val="none"/>
              </w:rPr>
            </w:pPr>
            <w:r>
              <w:rPr>
                <w:color w:val="auto"/>
                <w:highlight w:val="none"/>
              </w:rPr>
              <w:t>满足</w:t>
            </w:r>
          </w:p>
        </w:tc>
        <w:tc>
          <w:tcPr>
            <w:tcW w:w="706" w:type="pct"/>
            <w:tcBorders>
              <w:top w:val="single" w:color="000000" w:sz="4" w:space="0"/>
              <w:left w:val="single" w:color="000000" w:sz="4" w:space="0"/>
              <w:bottom w:val="single" w:color="000000" w:sz="12" w:space="0"/>
              <w:right w:val="single" w:color="000000" w:sz="12" w:space="0"/>
            </w:tcBorders>
            <w:vAlign w:val="center"/>
          </w:tcPr>
          <w:p w14:paraId="5DA73A43">
            <w:pPr>
              <w:pStyle w:val="41"/>
              <w:rPr>
                <w:color w:val="auto"/>
                <w:highlight w:val="none"/>
              </w:rPr>
            </w:pPr>
            <w:r>
              <w:rPr>
                <w:color w:val="auto"/>
                <w:highlight w:val="none"/>
              </w:rPr>
              <w:t>满足</w:t>
            </w:r>
          </w:p>
        </w:tc>
      </w:tr>
    </w:tbl>
    <w:p w14:paraId="1EB0F97C">
      <w:pPr>
        <w:pStyle w:val="43"/>
        <w:rPr>
          <w:color w:val="auto"/>
          <w:highlight w:val="none"/>
        </w:rPr>
      </w:pPr>
      <w:r>
        <w:rPr>
          <w:rFonts w:hint="eastAsia"/>
          <w:color w:val="auto"/>
          <w:highlight w:val="none"/>
        </w:rPr>
        <w:t>尾矿回水及环保应急事故池</w:t>
      </w:r>
    </w:p>
    <w:p w14:paraId="065FD667">
      <w:pPr>
        <w:pStyle w:val="3"/>
        <w:ind w:firstLine="480"/>
        <w:rPr>
          <w:color w:val="auto"/>
          <w:highlight w:val="none"/>
        </w:rPr>
      </w:pPr>
      <w:bookmarkStart w:id="283" w:name="bookmark45"/>
      <w:bookmarkEnd w:id="283"/>
      <w:r>
        <w:rPr>
          <w:rFonts w:hint="eastAsia"/>
          <w:color w:val="auto"/>
          <w:highlight w:val="none"/>
        </w:rPr>
        <w:t>（1）</w:t>
      </w:r>
      <w:r>
        <w:rPr>
          <w:color w:val="auto"/>
          <w:highlight w:val="none"/>
        </w:rPr>
        <w:t>尾矿回水</w:t>
      </w:r>
    </w:p>
    <w:p w14:paraId="25B0E46B">
      <w:pPr>
        <w:pStyle w:val="3"/>
        <w:ind w:firstLine="480"/>
        <w:rPr>
          <w:color w:val="auto"/>
          <w:highlight w:val="none"/>
        </w:rPr>
      </w:pPr>
      <w:r>
        <w:rPr>
          <w:color w:val="auto"/>
          <w:highlight w:val="none"/>
        </w:rPr>
        <w:t>设计范围内的尾矿回水仅为渗滤液回水。在尾矿库下游设置环保应急事故池兼做集渗池，用于收集渗滤液，渗滤液用于堆排过程的降尘及堆积坝外坡复垦养护。</w:t>
      </w:r>
    </w:p>
    <w:p w14:paraId="0E379CCA">
      <w:pPr>
        <w:pStyle w:val="3"/>
        <w:ind w:firstLine="480"/>
        <w:rPr>
          <w:color w:val="auto"/>
          <w:highlight w:val="none"/>
        </w:rPr>
      </w:pPr>
      <w:bookmarkStart w:id="284" w:name="bookmark46"/>
      <w:bookmarkEnd w:id="284"/>
      <w:r>
        <w:rPr>
          <w:rFonts w:hint="eastAsia"/>
          <w:color w:val="auto"/>
          <w:highlight w:val="none"/>
        </w:rPr>
        <w:t>（2）</w:t>
      </w:r>
      <w:r>
        <w:rPr>
          <w:color w:val="auto"/>
          <w:highlight w:val="none"/>
        </w:rPr>
        <w:t>环保应急事故池</w:t>
      </w:r>
    </w:p>
    <w:p w14:paraId="0686A28A">
      <w:pPr>
        <w:pStyle w:val="3"/>
        <w:ind w:firstLine="480"/>
        <w:rPr>
          <w:color w:val="auto"/>
          <w:highlight w:val="none"/>
        </w:rPr>
      </w:pPr>
      <w:r>
        <w:rPr>
          <w:color w:val="auto"/>
          <w:highlight w:val="none"/>
        </w:rPr>
        <w:t>根据《尾矿库环境应急管理工作指南</w:t>
      </w:r>
      <w:r>
        <w:rPr>
          <w:rFonts w:hint="eastAsia"/>
          <w:color w:val="auto"/>
          <w:highlight w:val="none"/>
          <w:lang w:eastAsia="zh-CN"/>
        </w:rPr>
        <w:t>（</w:t>
      </w:r>
      <w:r>
        <w:rPr>
          <w:color w:val="auto"/>
          <w:highlight w:val="none"/>
        </w:rPr>
        <w:t>试行</w:t>
      </w:r>
      <w:r>
        <w:rPr>
          <w:rFonts w:hint="eastAsia"/>
          <w:color w:val="auto"/>
          <w:highlight w:val="none"/>
        </w:rPr>
        <w:t>）</w:t>
      </w:r>
      <w:r>
        <w:rPr>
          <w:color w:val="auto"/>
          <w:highlight w:val="none"/>
        </w:rPr>
        <w:t>》（环办〔2010〕138号）</w:t>
      </w:r>
      <w:r>
        <w:rPr>
          <w:rFonts w:hint="eastAsia"/>
          <w:color w:val="auto"/>
          <w:highlight w:val="none"/>
        </w:rPr>
        <w:t>“</w:t>
      </w:r>
      <w:r>
        <w:rPr>
          <w:color w:val="auto"/>
          <w:highlight w:val="none"/>
        </w:rPr>
        <w:t>尾砂输送管道破裂造成矿浆泄漏或暴雨造成尾矿库废水漫坝溢流防控措施</w:t>
      </w:r>
      <w:r>
        <w:rPr>
          <w:rFonts w:hint="eastAsia"/>
          <w:color w:val="auto"/>
          <w:highlight w:val="none"/>
        </w:rPr>
        <w:t>：</w:t>
      </w:r>
      <w:r>
        <w:rPr>
          <w:color w:val="auto"/>
          <w:highlight w:val="none"/>
        </w:rPr>
        <w:t>在尾矿库初期坝下建有足够容量的事故池，将泄漏废水收集，经处理后循环使用。</w:t>
      </w:r>
      <w:r>
        <w:rPr>
          <w:rFonts w:hint="eastAsia"/>
          <w:color w:val="auto"/>
          <w:highlight w:val="none"/>
        </w:rPr>
        <w:t>”</w:t>
      </w:r>
    </w:p>
    <w:p w14:paraId="7616419A">
      <w:pPr>
        <w:pStyle w:val="3"/>
        <w:ind w:firstLine="480"/>
        <w:rPr>
          <w:color w:val="auto"/>
          <w:highlight w:val="none"/>
        </w:rPr>
      </w:pPr>
      <w:r>
        <w:rPr>
          <w:color w:val="auto"/>
          <w:highlight w:val="none"/>
        </w:rPr>
        <w:t>根据《尾矿设施设计规范》（GB50863-2013）要求</w:t>
      </w:r>
      <w:r>
        <w:rPr>
          <w:rFonts w:hint="eastAsia"/>
          <w:color w:val="auto"/>
          <w:highlight w:val="none"/>
        </w:rPr>
        <w:t>：“</w:t>
      </w:r>
      <w:r>
        <w:rPr>
          <w:color w:val="auto"/>
          <w:highlight w:val="none"/>
        </w:rPr>
        <w:t>截水沟过流断面设计标准宜根据尾矿环保分类确定：I类一般工业固废可按多年平均24h暴雨标准设置；</w:t>
      </w:r>
      <w:r>
        <w:rPr>
          <w:rFonts w:hint="eastAsia"/>
          <w:color w:val="auto"/>
          <w:highlight w:val="none"/>
        </w:rPr>
        <w:t>Ⅱ类</w:t>
      </w:r>
      <w:r>
        <w:rPr>
          <w:color w:val="auto"/>
          <w:highlight w:val="none"/>
        </w:rPr>
        <w:t>一般工业固废可按十年一遇暴雨标准设置；危险废物可按百年一遇暴雨标准设置。</w:t>
      </w:r>
      <w:r>
        <w:rPr>
          <w:rFonts w:hint="eastAsia"/>
          <w:color w:val="auto"/>
          <w:highlight w:val="none"/>
        </w:rPr>
        <w:t>”</w:t>
      </w:r>
      <w:r>
        <w:rPr>
          <w:color w:val="auto"/>
          <w:highlight w:val="none"/>
        </w:rPr>
        <w:t>本项目尾渣属于I类一般工业固废，考虑到近几年极端天气常发，参照</w:t>
      </w:r>
      <w:r>
        <w:rPr>
          <w:rFonts w:hint="eastAsia"/>
          <w:color w:val="auto"/>
          <w:highlight w:val="none"/>
        </w:rPr>
        <w:t>Ⅱ类</w:t>
      </w:r>
      <w:r>
        <w:rPr>
          <w:color w:val="auto"/>
          <w:highlight w:val="none"/>
        </w:rPr>
        <w:t>一般工业固废可按十年一遇暴雨标准设置环保应急池。</w:t>
      </w:r>
    </w:p>
    <w:p w14:paraId="4EDF96FF">
      <w:pPr>
        <w:pStyle w:val="3"/>
        <w:ind w:firstLine="480"/>
        <w:rPr>
          <w:color w:val="auto"/>
          <w:highlight w:val="none"/>
        </w:rPr>
      </w:pPr>
      <w:r>
        <w:rPr>
          <w:color w:val="auto"/>
          <w:highlight w:val="none"/>
        </w:rPr>
        <w:t>十年一遇暴雨标准（一次降雨量48mm）时，库内一次最大洪水量为28150m³。</w:t>
      </w:r>
    </w:p>
    <w:p w14:paraId="72B09DC2">
      <w:pPr>
        <w:pStyle w:val="3"/>
        <w:ind w:firstLine="480"/>
        <w:rPr>
          <w:color w:val="auto"/>
          <w:highlight w:val="none"/>
        </w:rPr>
      </w:pPr>
      <w:r>
        <w:rPr>
          <w:color w:val="auto"/>
          <w:highlight w:val="none"/>
        </w:rPr>
        <w:t>设计环保应急事故池布设于消力池出口，为塘状，顶宽85m，底宽65m，深5.0m，顶标高1901.5m，高出地面至少0.5m，周边采用土工膜+10cm厚喷锚混凝土防渗。有效容积28625</w:t>
      </w:r>
      <w:r>
        <w:rPr>
          <w:rFonts w:hint="eastAsia"/>
          <w:color w:val="auto"/>
          <w:highlight w:val="none"/>
        </w:rPr>
        <w:t>m</w:t>
      </w:r>
      <w:r>
        <w:rPr>
          <w:rFonts w:hint="eastAsia"/>
          <w:color w:val="auto"/>
          <w:highlight w:val="none"/>
          <w:vertAlign w:val="superscript"/>
        </w:rPr>
        <w:t>3</w:t>
      </w:r>
      <w:r>
        <w:rPr>
          <w:color w:val="auto"/>
          <w:highlight w:val="none"/>
        </w:rPr>
        <w:t>。</w:t>
      </w:r>
    </w:p>
    <w:p w14:paraId="7CA1159B">
      <w:pPr>
        <w:pStyle w:val="3"/>
        <w:ind w:firstLine="480"/>
        <w:rPr>
          <w:color w:val="auto"/>
          <w:highlight w:val="none"/>
        </w:rPr>
      </w:pPr>
      <w:r>
        <w:rPr>
          <w:color w:val="auto"/>
          <w:highlight w:val="none"/>
        </w:rPr>
        <w:t>正常情况下环保应急事故池存水不得超过500</w:t>
      </w:r>
      <w:r>
        <w:rPr>
          <w:rFonts w:hint="eastAsia"/>
          <w:color w:val="auto"/>
          <w:highlight w:val="none"/>
        </w:rPr>
        <w:t>m</w:t>
      </w:r>
      <w:r>
        <w:rPr>
          <w:rFonts w:hint="eastAsia"/>
          <w:color w:val="auto"/>
          <w:highlight w:val="none"/>
          <w:vertAlign w:val="superscript"/>
        </w:rPr>
        <w:t>3</w:t>
      </w:r>
      <w:r>
        <w:rPr>
          <w:rFonts w:hint="eastAsia"/>
          <w:color w:val="auto"/>
          <w:highlight w:val="none"/>
        </w:rPr>
        <w:t>，</w:t>
      </w:r>
      <w:r>
        <w:rPr>
          <w:color w:val="auto"/>
          <w:highlight w:val="none"/>
        </w:rPr>
        <w:t>以保证28150</w:t>
      </w:r>
      <w:r>
        <w:rPr>
          <w:rFonts w:hint="eastAsia"/>
          <w:color w:val="auto"/>
          <w:highlight w:val="none"/>
        </w:rPr>
        <w:t>m</w:t>
      </w:r>
      <w:r>
        <w:rPr>
          <w:rFonts w:hint="eastAsia"/>
          <w:color w:val="auto"/>
          <w:highlight w:val="none"/>
          <w:vertAlign w:val="superscript"/>
        </w:rPr>
        <w:t>3</w:t>
      </w:r>
      <w:r>
        <w:rPr>
          <w:color w:val="auto"/>
          <w:highlight w:val="none"/>
        </w:rPr>
        <w:t>的应急容积。若有淤积尾砂必须及时清理。事故池四周设置栏杆，防止人员意外跌落，保障工作人员安全。</w:t>
      </w:r>
    </w:p>
    <w:p w14:paraId="4AC6DE82">
      <w:pPr>
        <w:pStyle w:val="43"/>
        <w:rPr>
          <w:color w:val="auto"/>
          <w:highlight w:val="none"/>
        </w:rPr>
      </w:pPr>
      <w:r>
        <w:rPr>
          <w:rFonts w:hint="eastAsia"/>
          <w:color w:val="auto"/>
          <w:highlight w:val="none"/>
        </w:rPr>
        <w:t>监测系统</w:t>
      </w:r>
    </w:p>
    <w:p w14:paraId="4A52FD2A">
      <w:pPr>
        <w:pStyle w:val="3"/>
        <w:ind w:firstLine="480"/>
        <w:rPr>
          <w:color w:val="auto"/>
          <w:highlight w:val="none"/>
        </w:rPr>
      </w:pPr>
      <w:bookmarkStart w:id="285" w:name="bookmark38"/>
      <w:bookmarkEnd w:id="285"/>
      <w:r>
        <w:rPr>
          <w:rFonts w:hint="eastAsia"/>
          <w:color w:val="auto"/>
          <w:highlight w:val="none"/>
        </w:rPr>
        <w:t>（1）</w:t>
      </w:r>
      <w:r>
        <w:rPr>
          <w:color w:val="auto"/>
          <w:highlight w:val="none"/>
        </w:rPr>
        <w:t>监测内容及系统架构</w:t>
      </w:r>
    </w:p>
    <w:p w14:paraId="6CC70939">
      <w:pPr>
        <w:pStyle w:val="3"/>
        <w:ind w:firstLine="480"/>
        <w:rPr>
          <w:color w:val="auto"/>
          <w:highlight w:val="none"/>
        </w:rPr>
      </w:pPr>
      <w:r>
        <w:rPr>
          <w:color w:val="auto"/>
          <w:highlight w:val="none"/>
        </w:rPr>
        <w:t>拟建尾矿库最终等别为二等，应设置人工监测与自动监测相结合的安全监测设施。根据《尾矿库安全规程》（GB 39496-2020）第5.5.2条，干式尾矿库监测项目应包括坝体位移，最大坝体剖面的浸润线、降水量及坝体、排洪系统进出口等重要部位的视频监控，并按照环保要求在尾矿库及周边设置地下水质监控井。</w:t>
      </w:r>
    </w:p>
    <w:p w14:paraId="2AB9CF29">
      <w:pPr>
        <w:pStyle w:val="3"/>
        <w:ind w:firstLine="480"/>
        <w:rPr>
          <w:color w:val="auto"/>
          <w:highlight w:val="none"/>
        </w:rPr>
      </w:pPr>
      <w:r>
        <w:rPr>
          <w:color w:val="auto"/>
          <w:highlight w:val="none"/>
        </w:rPr>
        <w:t>根据《尾矿库在线安全监测系统工程技术规范》</w:t>
      </w:r>
      <w:r>
        <w:rPr>
          <w:rFonts w:hint="eastAsia"/>
          <w:color w:val="auto"/>
          <w:highlight w:val="none"/>
        </w:rPr>
        <w:t>（</w:t>
      </w:r>
      <w:r>
        <w:rPr>
          <w:color w:val="auto"/>
          <w:highlight w:val="none"/>
        </w:rPr>
        <w:t>GB51108-2015</w:t>
      </w:r>
      <w:r>
        <w:rPr>
          <w:rFonts w:hint="eastAsia"/>
          <w:color w:val="auto"/>
          <w:highlight w:val="none"/>
        </w:rPr>
        <w:t>）</w:t>
      </w:r>
      <w:r>
        <w:rPr>
          <w:color w:val="auto"/>
          <w:highlight w:val="none"/>
        </w:rPr>
        <w:t>、《尾矿库安全监测技术规范》（AQ2030-2010））要求</w:t>
      </w:r>
      <w:r>
        <w:rPr>
          <w:rFonts w:hint="eastAsia"/>
          <w:color w:val="auto"/>
          <w:highlight w:val="none"/>
        </w:rPr>
        <w:t>，</w:t>
      </w:r>
      <w:r>
        <w:rPr>
          <w:color w:val="auto"/>
          <w:highlight w:val="none"/>
        </w:rPr>
        <w:t>并结合拟建尾矿库工程实际情况，确定尾矿库安全监测内容如下：①人工监测内容：表面位移、浸润线和巡视检查。</w:t>
      </w:r>
    </w:p>
    <w:p w14:paraId="354D30AF">
      <w:pPr>
        <w:pStyle w:val="3"/>
        <w:ind w:firstLine="480"/>
        <w:rPr>
          <w:color w:val="auto"/>
          <w:highlight w:val="none"/>
        </w:rPr>
      </w:pPr>
      <w:r>
        <w:rPr>
          <w:color w:val="auto"/>
          <w:highlight w:val="none"/>
        </w:rPr>
        <w:t>②在线监测项目为：表面位移、内部位移、浸润线、外坡比、降水量和视频监控。安全监测按照总体设计，分期实施原则进行设计。</w:t>
      </w:r>
    </w:p>
    <w:p w14:paraId="6D518CC7">
      <w:pPr>
        <w:pStyle w:val="3"/>
        <w:ind w:firstLine="480"/>
        <w:rPr>
          <w:color w:val="auto"/>
          <w:highlight w:val="none"/>
        </w:rPr>
      </w:pPr>
      <w:r>
        <w:rPr>
          <w:rFonts w:hint="eastAsia"/>
          <w:color w:val="auto"/>
          <w:highlight w:val="none"/>
        </w:rPr>
        <w:t>（2）</w:t>
      </w:r>
      <w:r>
        <w:rPr>
          <w:color w:val="auto"/>
          <w:highlight w:val="none"/>
        </w:rPr>
        <w:t>在线监测系统</w:t>
      </w:r>
    </w:p>
    <w:p w14:paraId="6C929B03">
      <w:pPr>
        <w:pStyle w:val="3"/>
        <w:ind w:firstLine="480"/>
        <w:rPr>
          <w:color w:val="auto"/>
          <w:highlight w:val="none"/>
        </w:rPr>
      </w:pPr>
      <w:r>
        <w:rPr>
          <w:rFonts w:hint="eastAsia"/>
          <w:color w:val="auto"/>
          <w:highlight w:val="none"/>
        </w:rPr>
        <w:t>1）</w:t>
      </w:r>
      <w:r>
        <w:rPr>
          <w:color w:val="auto"/>
          <w:highlight w:val="none"/>
        </w:rPr>
        <w:t>坝体位移监测</w:t>
      </w:r>
    </w:p>
    <w:p w14:paraId="4F51B182">
      <w:pPr>
        <w:pStyle w:val="3"/>
        <w:ind w:firstLine="480"/>
        <w:rPr>
          <w:color w:val="auto"/>
          <w:highlight w:val="none"/>
        </w:rPr>
      </w:pPr>
      <w:r>
        <w:rPr>
          <w:rFonts w:hint="eastAsia"/>
          <w:color w:val="auto"/>
          <w:highlight w:val="none"/>
        </w:rPr>
        <w:t>①</w:t>
      </w:r>
      <w:r>
        <w:rPr>
          <w:color w:val="auto"/>
          <w:highlight w:val="none"/>
        </w:rPr>
        <w:t>表面位移监测</w:t>
      </w:r>
    </w:p>
    <w:p w14:paraId="0C13A5F7">
      <w:pPr>
        <w:pStyle w:val="3"/>
        <w:ind w:firstLine="480"/>
        <w:rPr>
          <w:color w:val="auto"/>
          <w:highlight w:val="none"/>
        </w:rPr>
      </w:pPr>
      <w:r>
        <w:rPr>
          <w:color w:val="auto"/>
          <w:highlight w:val="none"/>
        </w:rPr>
        <w:t>设计在视野开阔且坝外稳定区域布置边坡雷达设备，用以监测坝体表面位移变化，设备布置在标高1919m，设备序号：ZBW1，设备安装位置距离初期坝坝轴线水平距离约250m。</w:t>
      </w:r>
    </w:p>
    <w:p w14:paraId="68D2B11F">
      <w:pPr>
        <w:pStyle w:val="3"/>
        <w:ind w:firstLine="480"/>
        <w:rPr>
          <w:color w:val="auto"/>
          <w:highlight w:val="none"/>
        </w:rPr>
      </w:pPr>
      <w:r>
        <w:rPr>
          <w:rFonts w:hint="eastAsia"/>
          <w:color w:val="auto"/>
          <w:highlight w:val="none"/>
        </w:rPr>
        <w:t>②</w:t>
      </w:r>
      <w:r>
        <w:rPr>
          <w:color w:val="auto"/>
          <w:highlight w:val="none"/>
        </w:rPr>
        <w:t>内部位移监测</w:t>
      </w:r>
    </w:p>
    <w:p w14:paraId="75E1DB88">
      <w:pPr>
        <w:pStyle w:val="3"/>
        <w:ind w:firstLine="480"/>
        <w:rPr>
          <w:color w:val="auto"/>
          <w:highlight w:val="none"/>
        </w:rPr>
      </w:pPr>
      <w:r>
        <w:rPr>
          <w:color w:val="auto"/>
          <w:highlight w:val="none"/>
        </w:rPr>
        <w:t>设计建设内容：在初期坝坝顶1930.0m标高、堆积坝第三级马道1960.0m标高、第六级马道1990.0m标高和设计最终堆积坝顶2015m标高设置4个监测纵剖面，形成5条监测横剖面，共计20个内部位移监测孔。均采用预埋设测斜管安装测斜仪，每条监测垂线每隔10m设置1个监测传感器，采用级联测量方式，并用数据采集单元采集测量数据，传输至值班室内的中心控制室实现在线监测。</w:t>
      </w:r>
    </w:p>
    <w:p w14:paraId="74AFF879">
      <w:pPr>
        <w:pStyle w:val="3"/>
        <w:ind w:firstLine="480"/>
        <w:rPr>
          <w:color w:val="auto"/>
          <w:highlight w:val="none"/>
        </w:rPr>
      </w:pPr>
      <w:r>
        <w:rPr>
          <w:color w:val="auto"/>
          <w:highlight w:val="none"/>
        </w:rPr>
        <w:t>其中初期坝坝顶间隔100m宜布设一个内部位移监测孔，堆积坝各马道间隔120</w:t>
      </w:r>
      <w:r>
        <w:rPr>
          <w:rFonts w:hint="eastAsia"/>
          <w:color w:val="auto"/>
          <w:highlight w:val="none"/>
        </w:rPr>
        <w:t>m</w:t>
      </w:r>
      <w:r>
        <w:rPr>
          <w:color w:val="auto"/>
          <w:highlight w:val="none"/>
        </w:rPr>
        <w:t>宜布设一个内部位移监测孔，初期坝设计孔深20m、第三级堆积坝马道设计孔深40m、第六级堆积坝马道孔深为60m、堆积坝坝顶孔深80m。</w:t>
      </w:r>
    </w:p>
    <w:p w14:paraId="1DDC34C4">
      <w:pPr>
        <w:pStyle w:val="3"/>
        <w:ind w:firstLine="480"/>
        <w:rPr>
          <w:color w:val="auto"/>
          <w:highlight w:val="none"/>
        </w:rPr>
      </w:pPr>
      <w:r>
        <w:rPr>
          <w:rFonts w:hint="eastAsia"/>
          <w:color w:val="auto"/>
          <w:highlight w:val="none"/>
        </w:rPr>
        <w:t>2）</w:t>
      </w:r>
      <w:r>
        <w:rPr>
          <w:color w:val="auto"/>
          <w:highlight w:val="none"/>
        </w:rPr>
        <w:t>浸润线监测</w:t>
      </w:r>
    </w:p>
    <w:p w14:paraId="23E111F4">
      <w:pPr>
        <w:pStyle w:val="3"/>
        <w:ind w:firstLine="480"/>
        <w:rPr>
          <w:color w:val="auto"/>
          <w:highlight w:val="none"/>
        </w:rPr>
      </w:pPr>
      <w:r>
        <w:rPr>
          <w:color w:val="auto"/>
          <w:highlight w:val="none"/>
        </w:rPr>
        <w:t>设计建设内容：在初期坝坝顶1930.0m标高、堆积坝第三级马道1960.0m标高、第六级马道1990.0m标高和设计最终堆积坝顶2015m标高设置4个监测纵剖面，形成5条监测横剖面，共计20个浸润线监测孔。每个监测孔应设置一套液压传感器，通过预埋测压管安装，均通过数据采集单元实现数据采集、存储、传输功能。</w:t>
      </w:r>
    </w:p>
    <w:p w14:paraId="0C7A93D0">
      <w:pPr>
        <w:pStyle w:val="3"/>
        <w:ind w:firstLine="480"/>
        <w:rPr>
          <w:color w:val="auto"/>
          <w:highlight w:val="none"/>
        </w:rPr>
      </w:pPr>
      <w:r>
        <w:rPr>
          <w:color w:val="auto"/>
          <w:highlight w:val="none"/>
        </w:rPr>
        <w:t>孔深及分期拆除要求同内部位移要求一致。</w:t>
      </w:r>
    </w:p>
    <w:p w14:paraId="558541B1">
      <w:pPr>
        <w:pStyle w:val="3"/>
        <w:ind w:firstLine="480"/>
        <w:rPr>
          <w:color w:val="auto"/>
          <w:highlight w:val="none"/>
        </w:rPr>
      </w:pPr>
      <w:r>
        <w:rPr>
          <w:rFonts w:hint="eastAsia"/>
          <w:color w:val="auto"/>
          <w:highlight w:val="none"/>
        </w:rPr>
        <w:t>3）</w:t>
      </w:r>
      <w:r>
        <w:rPr>
          <w:color w:val="auto"/>
          <w:highlight w:val="none"/>
        </w:rPr>
        <w:t>降雨量监测</w:t>
      </w:r>
    </w:p>
    <w:p w14:paraId="743606CD">
      <w:pPr>
        <w:pStyle w:val="3"/>
        <w:ind w:firstLine="480"/>
        <w:rPr>
          <w:color w:val="auto"/>
          <w:highlight w:val="none"/>
        </w:rPr>
      </w:pPr>
      <w:r>
        <w:rPr>
          <w:color w:val="auto"/>
          <w:highlight w:val="none"/>
        </w:rPr>
        <w:t>设计1个降水量监测点，设置在现场值班室附近，采用容栅式雨量计监测。降水监测仪采用安装墩安装，雨量计承雨口距地面高度1.2m。</w:t>
      </w:r>
    </w:p>
    <w:p w14:paraId="57AFEF11">
      <w:pPr>
        <w:pStyle w:val="3"/>
        <w:ind w:firstLine="480"/>
        <w:rPr>
          <w:color w:val="auto"/>
          <w:highlight w:val="none"/>
        </w:rPr>
      </w:pPr>
      <w:r>
        <w:rPr>
          <w:rFonts w:hint="eastAsia"/>
          <w:color w:val="auto"/>
          <w:highlight w:val="none"/>
        </w:rPr>
        <w:t>4）</w:t>
      </w:r>
      <w:r>
        <w:rPr>
          <w:color w:val="auto"/>
          <w:highlight w:val="none"/>
        </w:rPr>
        <w:t>坝顶高程及干滩坡度在线监测</w:t>
      </w:r>
    </w:p>
    <w:p w14:paraId="13733E1D">
      <w:pPr>
        <w:pStyle w:val="3"/>
        <w:ind w:firstLine="480"/>
        <w:rPr>
          <w:color w:val="auto"/>
          <w:highlight w:val="none"/>
        </w:rPr>
      </w:pPr>
      <w:r>
        <w:rPr>
          <w:color w:val="auto"/>
          <w:highlight w:val="none"/>
        </w:rPr>
        <w:t>设计建设内容：在初期坝左、右岸稳定山体上各布设1套坝顶高程及干滩坡度监测扫描系统，设备序号：T1~T2，后期随着堆积坝体抬高移动堆积坝顶两侧岸坡处。该设备可以实现包括干滩坡度、坝顶高程的监测，同时能够将数据实时采集、传输至中心控制室。</w:t>
      </w:r>
    </w:p>
    <w:p w14:paraId="4A89C677">
      <w:pPr>
        <w:pStyle w:val="40"/>
        <w:spacing w:before="24" w:after="24"/>
        <w:rPr>
          <w:color w:val="auto"/>
          <w:highlight w:val="none"/>
        </w:rPr>
      </w:pPr>
      <w:r>
        <w:rPr>
          <w:color w:val="auto"/>
          <w:highlight w:val="none"/>
        </w:rPr>
        <w:t>表</w:t>
      </w:r>
      <w:r>
        <w:rPr>
          <w:rFonts w:hint="eastAsia"/>
          <w:color w:val="auto"/>
          <w:highlight w:val="none"/>
        </w:rPr>
        <w:t>3.3-15</w:t>
      </w:r>
      <w:r>
        <w:rPr>
          <w:color w:val="auto"/>
          <w:highlight w:val="none"/>
        </w:rPr>
        <w:t xml:space="preserve">    在线监测设施建设一览表</w:t>
      </w:r>
    </w:p>
    <w:tbl>
      <w:tblPr>
        <w:tblStyle w:val="45"/>
        <w:tblW w:w="499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938"/>
        <w:gridCol w:w="1069"/>
        <w:gridCol w:w="964"/>
        <w:gridCol w:w="989"/>
        <w:gridCol w:w="969"/>
        <w:gridCol w:w="1516"/>
        <w:gridCol w:w="874"/>
      </w:tblGrid>
      <w:tr w14:paraId="711F8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65" w:type="pct"/>
            <w:tcBorders>
              <w:top w:val="single" w:color="000000" w:sz="12" w:space="0"/>
              <w:left w:val="single" w:color="000000" w:sz="12" w:space="0"/>
              <w:bottom w:val="single" w:color="000000" w:sz="4" w:space="0"/>
              <w:right w:val="single" w:color="000000" w:sz="4" w:space="0"/>
            </w:tcBorders>
          </w:tcPr>
          <w:p w14:paraId="228FAC0F">
            <w:pPr>
              <w:pStyle w:val="41"/>
              <w:rPr>
                <w:color w:val="auto"/>
                <w:highlight w:val="none"/>
              </w:rPr>
            </w:pPr>
            <w:r>
              <w:rPr>
                <w:color w:val="auto"/>
                <w:highlight w:val="none"/>
              </w:rPr>
              <w:t>监测项目位置</w:t>
            </w:r>
          </w:p>
        </w:tc>
        <w:tc>
          <w:tcPr>
            <w:tcW w:w="642" w:type="pct"/>
            <w:tcBorders>
              <w:top w:val="single" w:color="000000" w:sz="12" w:space="0"/>
              <w:left w:val="single" w:color="000000" w:sz="4" w:space="0"/>
              <w:bottom w:val="single" w:color="000000" w:sz="4" w:space="0"/>
              <w:right w:val="single" w:color="000000" w:sz="4" w:space="0"/>
            </w:tcBorders>
          </w:tcPr>
          <w:p w14:paraId="7CC87358">
            <w:pPr>
              <w:pStyle w:val="41"/>
              <w:rPr>
                <w:color w:val="auto"/>
                <w:highlight w:val="none"/>
              </w:rPr>
            </w:pPr>
            <w:r>
              <w:rPr>
                <w:color w:val="auto"/>
                <w:highlight w:val="none"/>
              </w:rPr>
              <w:t>表面位移监测</w:t>
            </w:r>
          </w:p>
        </w:tc>
        <w:tc>
          <w:tcPr>
            <w:tcW w:w="579" w:type="pct"/>
            <w:tcBorders>
              <w:top w:val="single" w:color="000000" w:sz="12" w:space="0"/>
              <w:left w:val="single" w:color="000000" w:sz="4" w:space="0"/>
              <w:bottom w:val="single" w:color="000000" w:sz="4" w:space="0"/>
              <w:right w:val="single" w:color="000000" w:sz="4" w:space="0"/>
            </w:tcBorders>
          </w:tcPr>
          <w:p w14:paraId="30FDE424">
            <w:pPr>
              <w:pStyle w:val="41"/>
              <w:rPr>
                <w:color w:val="auto"/>
                <w:highlight w:val="none"/>
              </w:rPr>
            </w:pPr>
            <w:r>
              <w:rPr>
                <w:color w:val="auto"/>
                <w:highlight w:val="none"/>
              </w:rPr>
              <w:t>内部位</w:t>
            </w:r>
          </w:p>
          <w:p w14:paraId="17260595">
            <w:pPr>
              <w:pStyle w:val="41"/>
              <w:rPr>
                <w:color w:val="auto"/>
                <w:highlight w:val="none"/>
              </w:rPr>
            </w:pPr>
            <w:r>
              <w:rPr>
                <w:color w:val="auto"/>
                <w:highlight w:val="none"/>
              </w:rPr>
              <w:t>移监测</w:t>
            </w:r>
          </w:p>
        </w:tc>
        <w:tc>
          <w:tcPr>
            <w:tcW w:w="594" w:type="pct"/>
            <w:tcBorders>
              <w:top w:val="single" w:color="000000" w:sz="12" w:space="0"/>
              <w:left w:val="single" w:color="000000" w:sz="4" w:space="0"/>
              <w:bottom w:val="single" w:color="000000" w:sz="4" w:space="0"/>
              <w:right w:val="single" w:color="000000" w:sz="4" w:space="0"/>
            </w:tcBorders>
          </w:tcPr>
          <w:p w14:paraId="28B0EA11">
            <w:pPr>
              <w:pStyle w:val="41"/>
              <w:rPr>
                <w:color w:val="auto"/>
                <w:highlight w:val="none"/>
              </w:rPr>
            </w:pPr>
            <w:r>
              <w:rPr>
                <w:color w:val="auto"/>
                <w:highlight w:val="none"/>
              </w:rPr>
              <w:t>浸润线监测</w:t>
            </w:r>
          </w:p>
        </w:tc>
        <w:tc>
          <w:tcPr>
            <w:tcW w:w="582" w:type="pct"/>
            <w:tcBorders>
              <w:top w:val="single" w:color="000000" w:sz="12" w:space="0"/>
              <w:left w:val="single" w:color="000000" w:sz="4" w:space="0"/>
              <w:bottom w:val="single" w:color="000000" w:sz="4" w:space="0"/>
              <w:right w:val="single" w:color="000000" w:sz="4" w:space="0"/>
            </w:tcBorders>
          </w:tcPr>
          <w:p w14:paraId="261045D9">
            <w:pPr>
              <w:pStyle w:val="41"/>
              <w:rPr>
                <w:color w:val="auto"/>
                <w:highlight w:val="none"/>
              </w:rPr>
            </w:pPr>
            <w:r>
              <w:rPr>
                <w:color w:val="auto"/>
                <w:highlight w:val="none"/>
              </w:rPr>
              <w:t>降雨量监测</w:t>
            </w:r>
          </w:p>
        </w:tc>
        <w:tc>
          <w:tcPr>
            <w:tcW w:w="911" w:type="pct"/>
            <w:tcBorders>
              <w:top w:val="single" w:color="000000" w:sz="12" w:space="0"/>
              <w:left w:val="single" w:color="000000" w:sz="4" w:space="0"/>
              <w:bottom w:val="single" w:color="000000" w:sz="4" w:space="0"/>
              <w:right w:val="single" w:color="000000" w:sz="4" w:space="0"/>
            </w:tcBorders>
          </w:tcPr>
          <w:p w14:paraId="59546E19">
            <w:pPr>
              <w:pStyle w:val="41"/>
              <w:rPr>
                <w:color w:val="auto"/>
                <w:highlight w:val="none"/>
              </w:rPr>
            </w:pPr>
            <w:r>
              <w:rPr>
                <w:color w:val="auto"/>
                <w:highlight w:val="none"/>
              </w:rPr>
              <w:t>坝顶高程及干滩坡度</w:t>
            </w:r>
          </w:p>
        </w:tc>
        <w:tc>
          <w:tcPr>
            <w:tcW w:w="525" w:type="pct"/>
            <w:tcBorders>
              <w:top w:val="single" w:color="000000" w:sz="12" w:space="0"/>
              <w:left w:val="single" w:color="000000" w:sz="4" w:space="0"/>
              <w:bottom w:val="single" w:color="000000" w:sz="4" w:space="0"/>
              <w:right w:val="single" w:color="000000" w:sz="12" w:space="0"/>
            </w:tcBorders>
          </w:tcPr>
          <w:p w14:paraId="17108DE0">
            <w:pPr>
              <w:pStyle w:val="41"/>
              <w:rPr>
                <w:color w:val="auto"/>
                <w:highlight w:val="none"/>
              </w:rPr>
            </w:pPr>
            <w:r>
              <w:rPr>
                <w:color w:val="auto"/>
                <w:highlight w:val="none"/>
              </w:rPr>
              <w:t>备注</w:t>
            </w:r>
          </w:p>
        </w:tc>
      </w:tr>
      <w:tr w14:paraId="42D67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165" w:type="pct"/>
            <w:tcBorders>
              <w:top w:val="single" w:color="000000" w:sz="4" w:space="0"/>
              <w:left w:val="single" w:color="000000" w:sz="12" w:space="0"/>
              <w:bottom w:val="single" w:color="000000" w:sz="4" w:space="0"/>
              <w:right w:val="single" w:color="000000" w:sz="4" w:space="0"/>
            </w:tcBorders>
          </w:tcPr>
          <w:p w14:paraId="619335B3">
            <w:pPr>
              <w:pStyle w:val="41"/>
              <w:rPr>
                <w:color w:val="auto"/>
                <w:highlight w:val="none"/>
              </w:rPr>
            </w:pPr>
            <w:r>
              <w:rPr>
                <w:color w:val="auto"/>
                <w:highlight w:val="none"/>
              </w:rPr>
              <w:t>初期坝坝顶▽1930m</w:t>
            </w:r>
          </w:p>
        </w:tc>
        <w:tc>
          <w:tcPr>
            <w:tcW w:w="642" w:type="pct"/>
            <w:vMerge w:val="restart"/>
            <w:tcBorders>
              <w:top w:val="single" w:color="000000" w:sz="4" w:space="0"/>
              <w:left w:val="single" w:color="000000" w:sz="4" w:space="0"/>
              <w:bottom w:val="single" w:color="000000" w:sz="4" w:space="0"/>
              <w:right w:val="single" w:color="000000" w:sz="4" w:space="0"/>
            </w:tcBorders>
          </w:tcPr>
          <w:p w14:paraId="67800372">
            <w:pPr>
              <w:pStyle w:val="41"/>
              <w:rPr>
                <w:color w:val="auto"/>
                <w:highlight w:val="none"/>
              </w:rPr>
            </w:pPr>
          </w:p>
          <w:p w14:paraId="35110A13">
            <w:pPr>
              <w:pStyle w:val="41"/>
              <w:rPr>
                <w:color w:val="auto"/>
                <w:highlight w:val="none"/>
              </w:rPr>
            </w:pPr>
          </w:p>
          <w:p w14:paraId="69BC56B0">
            <w:pPr>
              <w:pStyle w:val="41"/>
              <w:rPr>
                <w:color w:val="auto"/>
                <w:highlight w:val="none"/>
              </w:rPr>
            </w:pPr>
          </w:p>
          <w:p w14:paraId="79568B54">
            <w:pPr>
              <w:pStyle w:val="41"/>
              <w:rPr>
                <w:color w:val="auto"/>
                <w:highlight w:val="none"/>
              </w:rPr>
            </w:pPr>
          </w:p>
          <w:p w14:paraId="082C1D37">
            <w:pPr>
              <w:pStyle w:val="41"/>
              <w:rPr>
                <w:color w:val="auto"/>
                <w:highlight w:val="none"/>
              </w:rPr>
            </w:pPr>
            <w:r>
              <w:rPr>
                <w:color w:val="auto"/>
                <w:highlight w:val="none"/>
              </w:rPr>
              <w:t>1</w:t>
            </w:r>
          </w:p>
        </w:tc>
        <w:tc>
          <w:tcPr>
            <w:tcW w:w="579" w:type="pct"/>
            <w:tcBorders>
              <w:top w:val="single" w:color="000000" w:sz="4" w:space="0"/>
              <w:left w:val="single" w:color="000000" w:sz="4" w:space="0"/>
              <w:bottom w:val="single" w:color="000000" w:sz="4" w:space="0"/>
              <w:right w:val="single" w:color="000000" w:sz="4" w:space="0"/>
            </w:tcBorders>
          </w:tcPr>
          <w:p w14:paraId="1F6978A9">
            <w:pPr>
              <w:pStyle w:val="41"/>
              <w:rPr>
                <w:color w:val="auto"/>
                <w:highlight w:val="none"/>
              </w:rPr>
            </w:pPr>
            <w:r>
              <w:rPr>
                <w:color w:val="auto"/>
                <w:highlight w:val="none"/>
              </w:rPr>
              <w:t>5</w:t>
            </w:r>
          </w:p>
        </w:tc>
        <w:tc>
          <w:tcPr>
            <w:tcW w:w="594" w:type="pct"/>
            <w:tcBorders>
              <w:top w:val="single" w:color="000000" w:sz="4" w:space="0"/>
              <w:left w:val="single" w:color="000000" w:sz="4" w:space="0"/>
              <w:bottom w:val="single" w:color="000000" w:sz="4" w:space="0"/>
              <w:right w:val="single" w:color="000000" w:sz="4" w:space="0"/>
            </w:tcBorders>
          </w:tcPr>
          <w:p w14:paraId="2C46AF48">
            <w:pPr>
              <w:pStyle w:val="41"/>
              <w:rPr>
                <w:color w:val="auto"/>
                <w:highlight w:val="none"/>
              </w:rPr>
            </w:pPr>
            <w:r>
              <w:rPr>
                <w:color w:val="auto"/>
                <w:highlight w:val="none"/>
              </w:rPr>
              <w:t>5</w:t>
            </w:r>
          </w:p>
        </w:tc>
        <w:tc>
          <w:tcPr>
            <w:tcW w:w="582" w:type="pct"/>
            <w:vMerge w:val="restart"/>
            <w:tcBorders>
              <w:top w:val="single" w:color="000000" w:sz="4" w:space="0"/>
              <w:left w:val="single" w:color="000000" w:sz="4" w:space="0"/>
              <w:bottom w:val="single" w:color="000000" w:sz="4" w:space="0"/>
              <w:right w:val="single" w:color="000000" w:sz="4" w:space="0"/>
            </w:tcBorders>
          </w:tcPr>
          <w:p w14:paraId="2EBF265D">
            <w:pPr>
              <w:pStyle w:val="41"/>
              <w:rPr>
                <w:color w:val="auto"/>
                <w:highlight w:val="none"/>
              </w:rPr>
            </w:pPr>
          </w:p>
          <w:p w14:paraId="762F8304">
            <w:pPr>
              <w:pStyle w:val="41"/>
              <w:rPr>
                <w:color w:val="auto"/>
                <w:highlight w:val="none"/>
              </w:rPr>
            </w:pPr>
          </w:p>
          <w:p w14:paraId="17C22A5D">
            <w:pPr>
              <w:pStyle w:val="41"/>
              <w:rPr>
                <w:color w:val="auto"/>
                <w:highlight w:val="none"/>
              </w:rPr>
            </w:pPr>
          </w:p>
          <w:p w14:paraId="0EDFF9A5">
            <w:pPr>
              <w:pStyle w:val="41"/>
              <w:rPr>
                <w:color w:val="auto"/>
                <w:highlight w:val="none"/>
              </w:rPr>
            </w:pPr>
          </w:p>
          <w:p w14:paraId="4178E9D6">
            <w:pPr>
              <w:pStyle w:val="41"/>
              <w:rPr>
                <w:color w:val="auto"/>
                <w:highlight w:val="none"/>
              </w:rPr>
            </w:pPr>
            <w:r>
              <w:rPr>
                <w:color w:val="auto"/>
                <w:highlight w:val="none"/>
              </w:rPr>
              <w:t>1</w:t>
            </w:r>
          </w:p>
        </w:tc>
        <w:tc>
          <w:tcPr>
            <w:tcW w:w="911" w:type="pct"/>
            <w:vMerge w:val="restart"/>
            <w:tcBorders>
              <w:top w:val="single" w:color="000000" w:sz="4" w:space="0"/>
              <w:left w:val="single" w:color="000000" w:sz="4" w:space="0"/>
              <w:bottom w:val="single" w:color="000000" w:sz="4" w:space="0"/>
              <w:right w:val="single" w:color="000000" w:sz="4" w:space="0"/>
            </w:tcBorders>
          </w:tcPr>
          <w:p w14:paraId="56AF87BD">
            <w:pPr>
              <w:pStyle w:val="41"/>
              <w:rPr>
                <w:color w:val="auto"/>
                <w:highlight w:val="none"/>
              </w:rPr>
            </w:pPr>
          </w:p>
          <w:p w14:paraId="26F74510">
            <w:pPr>
              <w:pStyle w:val="41"/>
              <w:rPr>
                <w:color w:val="auto"/>
                <w:highlight w:val="none"/>
              </w:rPr>
            </w:pPr>
          </w:p>
          <w:p w14:paraId="772143C3">
            <w:pPr>
              <w:pStyle w:val="41"/>
              <w:rPr>
                <w:color w:val="auto"/>
                <w:highlight w:val="none"/>
              </w:rPr>
            </w:pPr>
          </w:p>
          <w:p w14:paraId="52317E95">
            <w:pPr>
              <w:pStyle w:val="41"/>
              <w:rPr>
                <w:color w:val="auto"/>
                <w:highlight w:val="none"/>
              </w:rPr>
            </w:pPr>
          </w:p>
          <w:p w14:paraId="4FD205F3">
            <w:pPr>
              <w:pStyle w:val="41"/>
              <w:rPr>
                <w:color w:val="auto"/>
                <w:highlight w:val="none"/>
              </w:rPr>
            </w:pPr>
            <w:r>
              <w:rPr>
                <w:color w:val="auto"/>
                <w:highlight w:val="none"/>
              </w:rPr>
              <w:t>2</w:t>
            </w:r>
          </w:p>
        </w:tc>
        <w:tc>
          <w:tcPr>
            <w:tcW w:w="525" w:type="pct"/>
            <w:vMerge w:val="restart"/>
            <w:tcBorders>
              <w:top w:val="single" w:color="000000" w:sz="4" w:space="0"/>
              <w:left w:val="single" w:color="000000" w:sz="4" w:space="0"/>
              <w:bottom w:val="single" w:color="000000" w:sz="4" w:space="0"/>
              <w:right w:val="single" w:color="000000" w:sz="12" w:space="0"/>
            </w:tcBorders>
          </w:tcPr>
          <w:p w14:paraId="473B23BA">
            <w:pPr>
              <w:pStyle w:val="41"/>
              <w:rPr>
                <w:color w:val="auto"/>
                <w:highlight w:val="none"/>
              </w:rPr>
            </w:pPr>
          </w:p>
        </w:tc>
      </w:tr>
      <w:tr w14:paraId="00DCF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65" w:type="pct"/>
            <w:tcBorders>
              <w:top w:val="single" w:color="000000" w:sz="4" w:space="0"/>
              <w:left w:val="single" w:color="000000" w:sz="12" w:space="0"/>
              <w:bottom w:val="single" w:color="000000" w:sz="4" w:space="0"/>
              <w:right w:val="single" w:color="000000" w:sz="4" w:space="0"/>
            </w:tcBorders>
          </w:tcPr>
          <w:p w14:paraId="38D3F01C">
            <w:pPr>
              <w:pStyle w:val="41"/>
              <w:rPr>
                <w:color w:val="auto"/>
                <w:highlight w:val="none"/>
              </w:rPr>
            </w:pPr>
            <w:r>
              <w:rPr>
                <w:color w:val="auto"/>
                <w:highlight w:val="none"/>
              </w:rPr>
              <w:t>堆积坝第三级马道</w:t>
            </w:r>
          </w:p>
          <w:p w14:paraId="35AF2CBA">
            <w:pPr>
              <w:pStyle w:val="41"/>
              <w:rPr>
                <w:color w:val="auto"/>
                <w:highlight w:val="none"/>
              </w:rPr>
            </w:pPr>
            <w:r>
              <w:rPr>
                <w:color w:val="auto"/>
                <w:highlight w:val="none"/>
              </w:rPr>
              <w:t>▽1960m</w:t>
            </w:r>
          </w:p>
        </w:tc>
        <w:tc>
          <w:tcPr>
            <w:tcW w:w="642" w:type="pct"/>
            <w:vMerge w:val="continue"/>
            <w:tcBorders>
              <w:top w:val="single" w:color="000000" w:sz="4" w:space="0"/>
              <w:left w:val="single" w:color="000000" w:sz="4" w:space="0"/>
              <w:bottom w:val="single" w:color="000000" w:sz="4" w:space="0"/>
              <w:right w:val="single" w:color="000000" w:sz="4" w:space="0"/>
            </w:tcBorders>
          </w:tcPr>
          <w:p w14:paraId="1C53AB26">
            <w:pPr>
              <w:pStyle w:val="41"/>
              <w:rPr>
                <w:color w:val="auto"/>
                <w:highlight w:val="none"/>
              </w:rPr>
            </w:pPr>
          </w:p>
        </w:tc>
        <w:tc>
          <w:tcPr>
            <w:tcW w:w="579" w:type="pct"/>
            <w:tcBorders>
              <w:top w:val="single" w:color="000000" w:sz="4" w:space="0"/>
              <w:left w:val="single" w:color="000000" w:sz="4" w:space="0"/>
              <w:bottom w:val="single" w:color="000000" w:sz="4" w:space="0"/>
              <w:right w:val="single" w:color="000000" w:sz="4" w:space="0"/>
            </w:tcBorders>
          </w:tcPr>
          <w:p w14:paraId="50D98089">
            <w:pPr>
              <w:pStyle w:val="41"/>
              <w:rPr>
                <w:color w:val="auto"/>
                <w:highlight w:val="none"/>
              </w:rPr>
            </w:pPr>
            <w:r>
              <w:rPr>
                <w:color w:val="auto"/>
                <w:highlight w:val="none"/>
              </w:rPr>
              <w:t>5</w:t>
            </w:r>
          </w:p>
        </w:tc>
        <w:tc>
          <w:tcPr>
            <w:tcW w:w="594" w:type="pct"/>
            <w:tcBorders>
              <w:top w:val="single" w:color="000000" w:sz="4" w:space="0"/>
              <w:left w:val="single" w:color="000000" w:sz="4" w:space="0"/>
              <w:bottom w:val="single" w:color="000000" w:sz="4" w:space="0"/>
              <w:right w:val="single" w:color="000000" w:sz="4" w:space="0"/>
            </w:tcBorders>
          </w:tcPr>
          <w:p w14:paraId="4324D64B">
            <w:pPr>
              <w:pStyle w:val="41"/>
              <w:rPr>
                <w:color w:val="auto"/>
                <w:highlight w:val="none"/>
              </w:rPr>
            </w:pPr>
            <w:r>
              <w:rPr>
                <w:color w:val="auto"/>
                <w:highlight w:val="none"/>
              </w:rPr>
              <w:t>5</w:t>
            </w:r>
          </w:p>
        </w:tc>
        <w:tc>
          <w:tcPr>
            <w:tcW w:w="582" w:type="pct"/>
            <w:vMerge w:val="continue"/>
            <w:tcBorders>
              <w:top w:val="single" w:color="000000" w:sz="4" w:space="0"/>
              <w:left w:val="single" w:color="000000" w:sz="4" w:space="0"/>
              <w:bottom w:val="single" w:color="000000" w:sz="4" w:space="0"/>
              <w:right w:val="single" w:color="000000" w:sz="4" w:space="0"/>
            </w:tcBorders>
          </w:tcPr>
          <w:p w14:paraId="773DE2DE">
            <w:pPr>
              <w:pStyle w:val="41"/>
              <w:rPr>
                <w:color w:val="auto"/>
                <w:highlight w:val="none"/>
              </w:rPr>
            </w:pPr>
          </w:p>
        </w:tc>
        <w:tc>
          <w:tcPr>
            <w:tcW w:w="911" w:type="pct"/>
            <w:vMerge w:val="continue"/>
            <w:tcBorders>
              <w:top w:val="single" w:color="000000" w:sz="4" w:space="0"/>
              <w:left w:val="single" w:color="000000" w:sz="4" w:space="0"/>
              <w:bottom w:val="single" w:color="000000" w:sz="4" w:space="0"/>
              <w:right w:val="single" w:color="000000" w:sz="4" w:space="0"/>
            </w:tcBorders>
          </w:tcPr>
          <w:p w14:paraId="1C3566DF">
            <w:pPr>
              <w:pStyle w:val="41"/>
              <w:rPr>
                <w:color w:val="auto"/>
                <w:highlight w:val="none"/>
              </w:rPr>
            </w:pPr>
          </w:p>
        </w:tc>
        <w:tc>
          <w:tcPr>
            <w:tcW w:w="525" w:type="pct"/>
            <w:vMerge w:val="continue"/>
            <w:tcBorders>
              <w:top w:val="single" w:color="000000" w:sz="4" w:space="0"/>
              <w:left w:val="single" w:color="000000" w:sz="4" w:space="0"/>
              <w:bottom w:val="single" w:color="000000" w:sz="4" w:space="0"/>
              <w:right w:val="single" w:color="000000" w:sz="12" w:space="0"/>
            </w:tcBorders>
          </w:tcPr>
          <w:p w14:paraId="47B8352E">
            <w:pPr>
              <w:pStyle w:val="41"/>
              <w:rPr>
                <w:color w:val="auto"/>
                <w:highlight w:val="none"/>
              </w:rPr>
            </w:pPr>
          </w:p>
        </w:tc>
      </w:tr>
      <w:tr w14:paraId="314B5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65" w:type="pct"/>
            <w:tcBorders>
              <w:top w:val="single" w:color="000000" w:sz="4" w:space="0"/>
              <w:left w:val="single" w:color="000000" w:sz="12" w:space="0"/>
              <w:bottom w:val="single" w:color="000000" w:sz="4" w:space="0"/>
              <w:right w:val="single" w:color="000000" w:sz="4" w:space="0"/>
            </w:tcBorders>
          </w:tcPr>
          <w:p w14:paraId="3872BF56">
            <w:pPr>
              <w:pStyle w:val="41"/>
              <w:rPr>
                <w:color w:val="auto"/>
                <w:highlight w:val="none"/>
              </w:rPr>
            </w:pPr>
            <w:r>
              <w:rPr>
                <w:color w:val="auto"/>
                <w:highlight w:val="none"/>
              </w:rPr>
              <w:t>堆积坝第六级马道</w:t>
            </w:r>
          </w:p>
          <w:p w14:paraId="25231991">
            <w:pPr>
              <w:pStyle w:val="41"/>
              <w:rPr>
                <w:color w:val="auto"/>
                <w:highlight w:val="none"/>
              </w:rPr>
            </w:pPr>
            <w:r>
              <w:rPr>
                <w:color w:val="auto"/>
                <w:highlight w:val="none"/>
              </w:rPr>
              <w:t>▽1990m</w:t>
            </w:r>
          </w:p>
        </w:tc>
        <w:tc>
          <w:tcPr>
            <w:tcW w:w="642" w:type="pct"/>
            <w:vMerge w:val="continue"/>
            <w:tcBorders>
              <w:top w:val="single" w:color="000000" w:sz="4" w:space="0"/>
              <w:left w:val="single" w:color="000000" w:sz="4" w:space="0"/>
              <w:bottom w:val="single" w:color="000000" w:sz="4" w:space="0"/>
              <w:right w:val="single" w:color="000000" w:sz="4" w:space="0"/>
            </w:tcBorders>
          </w:tcPr>
          <w:p w14:paraId="4E988E04">
            <w:pPr>
              <w:pStyle w:val="41"/>
              <w:rPr>
                <w:color w:val="auto"/>
                <w:highlight w:val="none"/>
              </w:rPr>
            </w:pPr>
          </w:p>
        </w:tc>
        <w:tc>
          <w:tcPr>
            <w:tcW w:w="579" w:type="pct"/>
            <w:tcBorders>
              <w:top w:val="single" w:color="000000" w:sz="4" w:space="0"/>
              <w:left w:val="single" w:color="000000" w:sz="4" w:space="0"/>
              <w:bottom w:val="single" w:color="000000" w:sz="4" w:space="0"/>
              <w:right w:val="single" w:color="000000" w:sz="4" w:space="0"/>
            </w:tcBorders>
          </w:tcPr>
          <w:p w14:paraId="4D8D0E16">
            <w:pPr>
              <w:pStyle w:val="41"/>
              <w:rPr>
                <w:color w:val="auto"/>
                <w:highlight w:val="none"/>
              </w:rPr>
            </w:pPr>
            <w:r>
              <w:rPr>
                <w:color w:val="auto"/>
                <w:highlight w:val="none"/>
              </w:rPr>
              <w:t>5</w:t>
            </w:r>
          </w:p>
        </w:tc>
        <w:tc>
          <w:tcPr>
            <w:tcW w:w="594" w:type="pct"/>
            <w:tcBorders>
              <w:top w:val="single" w:color="000000" w:sz="4" w:space="0"/>
              <w:left w:val="single" w:color="000000" w:sz="4" w:space="0"/>
              <w:bottom w:val="single" w:color="000000" w:sz="4" w:space="0"/>
              <w:right w:val="single" w:color="000000" w:sz="4" w:space="0"/>
            </w:tcBorders>
          </w:tcPr>
          <w:p w14:paraId="37624BA4">
            <w:pPr>
              <w:pStyle w:val="41"/>
              <w:rPr>
                <w:color w:val="auto"/>
                <w:highlight w:val="none"/>
              </w:rPr>
            </w:pPr>
            <w:r>
              <w:rPr>
                <w:color w:val="auto"/>
                <w:highlight w:val="none"/>
              </w:rPr>
              <w:t>5</w:t>
            </w:r>
          </w:p>
        </w:tc>
        <w:tc>
          <w:tcPr>
            <w:tcW w:w="582" w:type="pct"/>
            <w:vMerge w:val="continue"/>
            <w:tcBorders>
              <w:top w:val="single" w:color="000000" w:sz="4" w:space="0"/>
              <w:left w:val="single" w:color="000000" w:sz="4" w:space="0"/>
              <w:bottom w:val="single" w:color="000000" w:sz="4" w:space="0"/>
              <w:right w:val="single" w:color="000000" w:sz="4" w:space="0"/>
            </w:tcBorders>
          </w:tcPr>
          <w:p w14:paraId="50FCB0C3">
            <w:pPr>
              <w:pStyle w:val="41"/>
              <w:rPr>
                <w:color w:val="auto"/>
                <w:highlight w:val="none"/>
              </w:rPr>
            </w:pPr>
          </w:p>
        </w:tc>
        <w:tc>
          <w:tcPr>
            <w:tcW w:w="911" w:type="pct"/>
            <w:vMerge w:val="continue"/>
            <w:tcBorders>
              <w:top w:val="single" w:color="000000" w:sz="4" w:space="0"/>
              <w:left w:val="single" w:color="000000" w:sz="4" w:space="0"/>
              <w:bottom w:val="single" w:color="000000" w:sz="4" w:space="0"/>
              <w:right w:val="single" w:color="000000" w:sz="4" w:space="0"/>
            </w:tcBorders>
          </w:tcPr>
          <w:p w14:paraId="09160F0C">
            <w:pPr>
              <w:pStyle w:val="41"/>
              <w:rPr>
                <w:color w:val="auto"/>
                <w:highlight w:val="none"/>
              </w:rPr>
            </w:pPr>
          </w:p>
        </w:tc>
        <w:tc>
          <w:tcPr>
            <w:tcW w:w="525" w:type="pct"/>
            <w:vMerge w:val="continue"/>
            <w:tcBorders>
              <w:top w:val="single" w:color="000000" w:sz="4" w:space="0"/>
              <w:left w:val="single" w:color="000000" w:sz="4" w:space="0"/>
              <w:bottom w:val="single" w:color="000000" w:sz="4" w:space="0"/>
              <w:right w:val="single" w:color="000000" w:sz="12" w:space="0"/>
            </w:tcBorders>
          </w:tcPr>
          <w:p w14:paraId="2E4BE98C">
            <w:pPr>
              <w:pStyle w:val="41"/>
              <w:rPr>
                <w:color w:val="auto"/>
                <w:highlight w:val="none"/>
              </w:rPr>
            </w:pPr>
          </w:p>
        </w:tc>
      </w:tr>
      <w:tr w14:paraId="1D7EC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65" w:type="pct"/>
            <w:tcBorders>
              <w:top w:val="single" w:color="000000" w:sz="4" w:space="0"/>
              <w:left w:val="single" w:color="000000" w:sz="12" w:space="0"/>
              <w:bottom w:val="single" w:color="000000" w:sz="4" w:space="0"/>
              <w:right w:val="single" w:color="000000" w:sz="4" w:space="0"/>
            </w:tcBorders>
          </w:tcPr>
          <w:p w14:paraId="334CEA75">
            <w:pPr>
              <w:pStyle w:val="41"/>
              <w:rPr>
                <w:color w:val="auto"/>
                <w:highlight w:val="none"/>
              </w:rPr>
            </w:pPr>
            <w:r>
              <w:rPr>
                <w:color w:val="auto"/>
                <w:highlight w:val="none"/>
              </w:rPr>
              <w:t>设计最终堆积坝顶</w:t>
            </w:r>
          </w:p>
          <w:p w14:paraId="28CB50A3">
            <w:pPr>
              <w:pStyle w:val="41"/>
              <w:rPr>
                <w:color w:val="auto"/>
                <w:highlight w:val="none"/>
              </w:rPr>
            </w:pPr>
            <w:r>
              <w:rPr>
                <w:color w:val="auto"/>
                <w:highlight w:val="none"/>
              </w:rPr>
              <w:t>▽2015m</w:t>
            </w:r>
          </w:p>
        </w:tc>
        <w:tc>
          <w:tcPr>
            <w:tcW w:w="642" w:type="pct"/>
            <w:vMerge w:val="continue"/>
            <w:tcBorders>
              <w:top w:val="single" w:color="000000" w:sz="4" w:space="0"/>
              <w:left w:val="single" w:color="000000" w:sz="4" w:space="0"/>
              <w:bottom w:val="single" w:color="000000" w:sz="4" w:space="0"/>
              <w:right w:val="single" w:color="000000" w:sz="4" w:space="0"/>
            </w:tcBorders>
          </w:tcPr>
          <w:p w14:paraId="1AE157A8">
            <w:pPr>
              <w:pStyle w:val="41"/>
              <w:rPr>
                <w:color w:val="auto"/>
                <w:highlight w:val="none"/>
              </w:rPr>
            </w:pPr>
          </w:p>
        </w:tc>
        <w:tc>
          <w:tcPr>
            <w:tcW w:w="579" w:type="pct"/>
            <w:tcBorders>
              <w:top w:val="single" w:color="000000" w:sz="4" w:space="0"/>
              <w:left w:val="single" w:color="000000" w:sz="4" w:space="0"/>
              <w:bottom w:val="single" w:color="000000" w:sz="4" w:space="0"/>
              <w:right w:val="single" w:color="000000" w:sz="4" w:space="0"/>
            </w:tcBorders>
          </w:tcPr>
          <w:p w14:paraId="51EC84B9">
            <w:pPr>
              <w:pStyle w:val="41"/>
              <w:rPr>
                <w:color w:val="auto"/>
                <w:highlight w:val="none"/>
              </w:rPr>
            </w:pPr>
            <w:r>
              <w:rPr>
                <w:color w:val="auto"/>
                <w:highlight w:val="none"/>
              </w:rPr>
              <w:t>5</w:t>
            </w:r>
          </w:p>
        </w:tc>
        <w:tc>
          <w:tcPr>
            <w:tcW w:w="594" w:type="pct"/>
            <w:tcBorders>
              <w:top w:val="single" w:color="000000" w:sz="4" w:space="0"/>
              <w:left w:val="single" w:color="000000" w:sz="4" w:space="0"/>
              <w:bottom w:val="single" w:color="000000" w:sz="4" w:space="0"/>
              <w:right w:val="single" w:color="000000" w:sz="4" w:space="0"/>
            </w:tcBorders>
          </w:tcPr>
          <w:p w14:paraId="79AC8BFD">
            <w:pPr>
              <w:pStyle w:val="41"/>
              <w:rPr>
                <w:color w:val="auto"/>
                <w:highlight w:val="none"/>
              </w:rPr>
            </w:pPr>
            <w:r>
              <w:rPr>
                <w:color w:val="auto"/>
                <w:highlight w:val="none"/>
              </w:rPr>
              <w:t>5</w:t>
            </w:r>
          </w:p>
        </w:tc>
        <w:tc>
          <w:tcPr>
            <w:tcW w:w="582" w:type="pct"/>
            <w:vMerge w:val="continue"/>
            <w:tcBorders>
              <w:top w:val="single" w:color="000000" w:sz="4" w:space="0"/>
              <w:left w:val="single" w:color="000000" w:sz="4" w:space="0"/>
              <w:bottom w:val="single" w:color="000000" w:sz="4" w:space="0"/>
              <w:right w:val="single" w:color="000000" w:sz="4" w:space="0"/>
            </w:tcBorders>
          </w:tcPr>
          <w:p w14:paraId="6B83607E">
            <w:pPr>
              <w:pStyle w:val="41"/>
              <w:rPr>
                <w:color w:val="auto"/>
                <w:highlight w:val="none"/>
              </w:rPr>
            </w:pPr>
          </w:p>
        </w:tc>
        <w:tc>
          <w:tcPr>
            <w:tcW w:w="911" w:type="pct"/>
            <w:vMerge w:val="continue"/>
            <w:tcBorders>
              <w:top w:val="single" w:color="000000" w:sz="4" w:space="0"/>
              <w:left w:val="single" w:color="000000" w:sz="4" w:space="0"/>
              <w:bottom w:val="single" w:color="000000" w:sz="4" w:space="0"/>
              <w:right w:val="single" w:color="000000" w:sz="4" w:space="0"/>
            </w:tcBorders>
          </w:tcPr>
          <w:p w14:paraId="2A19BE15">
            <w:pPr>
              <w:pStyle w:val="41"/>
              <w:rPr>
                <w:color w:val="auto"/>
                <w:highlight w:val="none"/>
              </w:rPr>
            </w:pPr>
          </w:p>
        </w:tc>
        <w:tc>
          <w:tcPr>
            <w:tcW w:w="525" w:type="pct"/>
            <w:vMerge w:val="continue"/>
            <w:tcBorders>
              <w:top w:val="single" w:color="000000" w:sz="4" w:space="0"/>
              <w:left w:val="single" w:color="000000" w:sz="4" w:space="0"/>
              <w:bottom w:val="single" w:color="000000" w:sz="4" w:space="0"/>
              <w:right w:val="single" w:color="000000" w:sz="12" w:space="0"/>
            </w:tcBorders>
          </w:tcPr>
          <w:p w14:paraId="389DEC4B">
            <w:pPr>
              <w:pStyle w:val="41"/>
              <w:rPr>
                <w:color w:val="auto"/>
                <w:highlight w:val="none"/>
              </w:rPr>
            </w:pPr>
          </w:p>
        </w:tc>
      </w:tr>
      <w:tr w14:paraId="12784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165" w:type="pct"/>
            <w:tcBorders>
              <w:top w:val="single" w:color="000000" w:sz="4" w:space="0"/>
              <w:left w:val="single" w:color="000000" w:sz="12" w:space="0"/>
              <w:bottom w:val="single" w:color="000000" w:sz="12" w:space="0"/>
              <w:right w:val="single" w:color="000000" w:sz="4" w:space="0"/>
            </w:tcBorders>
          </w:tcPr>
          <w:p w14:paraId="240D74D5">
            <w:pPr>
              <w:pStyle w:val="41"/>
              <w:rPr>
                <w:color w:val="auto"/>
                <w:highlight w:val="none"/>
              </w:rPr>
            </w:pPr>
            <w:r>
              <w:rPr>
                <w:color w:val="auto"/>
                <w:highlight w:val="none"/>
              </w:rPr>
              <w:t>合计</w:t>
            </w:r>
          </w:p>
        </w:tc>
        <w:tc>
          <w:tcPr>
            <w:tcW w:w="642" w:type="pct"/>
            <w:tcBorders>
              <w:top w:val="single" w:color="000000" w:sz="4" w:space="0"/>
              <w:left w:val="single" w:color="000000" w:sz="4" w:space="0"/>
              <w:bottom w:val="single" w:color="000000" w:sz="12" w:space="0"/>
              <w:right w:val="single" w:color="000000" w:sz="4" w:space="0"/>
            </w:tcBorders>
          </w:tcPr>
          <w:p w14:paraId="3347D2D1">
            <w:pPr>
              <w:pStyle w:val="41"/>
              <w:rPr>
                <w:color w:val="auto"/>
                <w:highlight w:val="none"/>
              </w:rPr>
            </w:pPr>
            <w:r>
              <w:rPr>
                <w:color w:val="auto"/>
                <w:highlight w:val="none"/>
              </w:rPr>
              <w:t>1</w:t>
            </w:r>
          </w:p>
        </w:tc>
        <w:tc>
          <w:tcPr>
            <w:tcW w:w="579" w:type="pct"/>
            <w:tcBorders>
              <w:top w:val="single" w:color="000000" w:sz="4" w:space="0"/>
              <w:left w:val="single" w:color="000000" w:sz="4" w:space="0"/>
              <w:bottom w:val="single" w:color="000000" w:sz="12" w:space="0"/>
              <w:right w:val="single" w:color="000000" w:sz="4" w:space="0"/>
            </w:tcBorders>
          </w:tcPr>
          <w:p w14:paraId="656F61AF">
            <w:pPr>
              <w:pStyle w:val="41"/>
              <w:rPr>
                <w:color w:val="auto"/>
                <w:highlight w:val="none"/>
              </w:rPr>
            </w:pPr>
            <w:r>
              <w:rPr>
                <w:color w:val="auto"/>
                <w:highlight w:val="none"/>
              </w:rPr>
              <w:t>20</w:t>
            </w:r>
          </w:p>
        </w:tc>
        <w:tc>
          <w:tcPr>
            <w:tcW w:w="594" w:type="pct"/>
            <w:tcBorders>
              <w:top w:val="single" w:color="000000" w:sz="4" w:space="0"/>
              <w:left w:val="single" w:color="000000" w:sz="4" w:space="0"/>
              <w:bottom w:val="single" w:color="000000" w:sz="12" w:space="0"/>
              <w:right w:val="single" w:color="000000" w:sz="4" w:space="0"/>
            </w:tcBorders>
          </w:tcPr>
          <w:p w14:paraId="7D035488">
            <w:pPr>
              <w:pStyle w:val="41"/>
              <w:rPr>
                <w:color w:val="auto"/>
                <w:highlight w:val="none"/>
              </w:rPr>
            </w:pPr>
            <w:r>
              <w:rPr>
                <w:color w:val="auto"/>
                <w:highlight w:val="none"/>
              </w:rPr>
              <w:t>20</w:t>
            </w:r>
          </w:p>
        </w:tc>
        <w:tc>
          <w:tcPr>
            <w:tcW w:w="582" w:type="pct"/>
            <w:tcBorders>
              <w:top w:val="single" w:color="000000" w:sz="4" w:space="0"/>
              <w:left w:val="single" w:color="000000" w:sz="4" w:space="0"/>
              <w:bottom w:val="single" w:color="000000" w:sz="12" w:space="0"/>
              <w:right w:val="single" w:color="000000" w:sz="4" w:space="0"/>
            </w:tcBorders>
          </w:tcPr>
          <w:p w14:paraId="03CEDD12">
            <w:pPr>
              <w:pStyle w:val="41"/>
              <w:rPr>
                <w:color w:val="auto"/>
                <w:highlight w:val="none"/>
              </w:rPr>
            </w:pPr>
            <w:r>
              <w:rPr>
                <w:color w:val="auto"/>
                <w:highlight w:val="none"/>
              </w:rPr>
              <w:t>1</w:t>
            </w:r>
          </w:p>
        </w:tc>
        <w:tc>
          <w:tcPr>
            <w:tcW w:w="911" w:type="pct"/>
            <w:tcBorders>
              <w:top w:val="single" w:color="000000" w:sz="4" w:space="0"/>
              <w:left w:val="single" w:color="000000" w:sz="4" w:space="0"/>
              <w:bottom w:val="single" w:color="000000" w:sz="12" w:space="0"/>
              <w:right w:val="single" w:color="000000" w:sz="4" w:space="0"/>
            </w:tcBorders>
          </w:tcPr>
          <w:p w14:paraId="3203B22A">
            <w:pPr>
              <w:pStyle w:val="41"/>
              <w:rPr>
                <w:color w:val="auto"/>
                <w:highlight w:val="none"/>
              </w:rPr>
            </w:pPr>
            <w:r>
              <w:rPr>
                <w:color w:val="auto"/>
                <w:highlight w:val="none"/>
              </w:rPr>
              <w:t>2</w:t>
            </w:r>
          </w:p>
        </w:tc>
        <w:tc>
          <w:tcPr>
            <w:tcW w:w="525" w:type="pct"/>
            <w:tcBorders>
              <w:top w:val="single" w:color="000000" w:sz="4" w:space="0"/>
              <w:left w:val="single" w:color="000000" w:sz="4" w:space="0"/>
              <w:bottom w:val="single" w:color="000000" w:sz="12" w:space="0"/>
              <w:right w:val="single" w:color="000000" w:sz="12" w:space="0"/>
            </w:tcBorders>
          </w:tcPr>
          <w:p w14:paraId="52D6B8B1">
            <w:pPr>
              <w:pStyle w:val="41"/>
              <w:rPr>
                <w:color w:val="auto"/>
                <w:highlight w:val="none"/>
              </w:rPr>
            </w:pPr>
            <w:r>
              <w:rPr>
                <w:color w:val="auto"/>
                <w:highlight w:val="none"/>
              </w:rPr>
              <w:t>/</w:t>
            </w:r>
          </w:p>
        </w:tc>
      </w:tr>
    </w:tbl>
    <w:p w14:paraId="2BCBEF32">
      <w:pPr>
        <w:pStyle w:val="42"/>
        <w:rPr>
          <w:rFonts w:hint="default"/>
          <w:color w:val="auto"/>
          <w:highlight w:val="none"/>
        </w:rPr>
      </w:pPr>
      <w:r>
        <w:rPr>
          <w:color w:val="auto"/>
          <w:highlight w:val="none"/>
        </w:rPr>
        <w:t>辅助工程</w:t>
      </w:r>
    </w:p>
    <w:p w14:paraId="38CAE5C7">
      <w:pPr>
        <w:pStyle w:val="3"/>
        <w:ind w:firstLine="480"/>
        <w:rPr>
          <w:color w:val="auto"/>
          <w:highlight w:val="none"/>
        </w:rPr>
      </w:pPr>
      <w:r>
        <w:rPr>
          <w:rFonts w:hint="eastAsia"/>
          <w:color w:val="auto"/>
          <w:highlight w:val="none"/>
        </w:rPr>
        <w:t>（1）</w:t>
      </w:r>
      <w:r>
        <w:rPr>
          <w:color w:val="auto"/>
          <w:highlight w:val="none"/>
        </w:rPr>
        <w:t>储矿设施</w:t>
      </w:r>
    </w:p>
    <w:p w14:paraId="5ADDE61F">
      <w:pPr>
        <w:pStyle w:val="3"/>
        <w:ind w:firstLine="480"/>
        <w:rPr>
          <w:color w:val="auto"/>
          <w:highlight w:val="none"/>
        </w:rPr>
      </w:pPr>
      <w:r>
        <w:rPr>
          <w:rFonts w:hint="eastAsia"/>
          <w:color w:val="auto"/>
          <w:highlight w:val="none"/>
        </w:rPr>
        <w:t>一期580万t/a破碎筛分干选系统生产线建设2号原矿堆库一座，最大储矿量10000m</w:t>
      </w:r>
      <w:r>
        <w:rPr>
          <w:rFonts w:hint="eastAsia"/>
          <w:color w:val="auto"/>
          <w:highlight w:val="none"/>
          <w:vertAlign w:val="superscript"/>
        </w:rPr>
        <w:t>3</w:t>
      </w:r>
      <w:r>
        <w:rPr>
          <w:rFonts w:hint="eastAsia"/>
          <w:color w:val="auto"/>
          <w:highlight w:val="none"/>
        </w:rPr>
        <w:t>；建设缓冲料仓三座，其中中碎料仓一座，细碎料仓两座，单仓最大储矿量200m</w:t>
      </w:r>
      <w:r>
        <w:rPr>
          <w:rFonts w:hint="eastAsia"/>
          <w:color w:val="auto"/>
          <w:highlight w:val="none"/>
          <w:vertAlign w:val="superscript"/>
        </w:rPr>
        <w:t>3</w:t>
      </w:r>
      <w:r>
        <w:rPr>
          <w:rFonts w:hint="eastAsia"/>
          <w:color w:val="auto"/>
          <w:highlight w:val="none"/>
        </w:rPr>
        <w:t>；干排尾矿临时堆场一座，最大储矿量10000m</w:t>
      </w:r>
      <w:r>
        <w:rPr>
          <w:rFonts w:hint="eastAsia"/>
          <w:color w:val="auto"/>
          <w:highlight w:val="none"/>
          <w:vertAlign w:val="superscript"/>
        </w:rPr>
        <w:t>3</w:t>
      </w:r>
      <w:r>
        <w:rPr>
          <w:rFonts w:hint="eastAsia"/>
          <w:color w:val="auto"/>
          <w:highlight w:val="none"/>
        </w:rPr>
        <w:t>；粉矿库一座，最大储矿量15000m</w:t>
      </w:r>
      <w:r>
        <w:rPr>
          <w:rFonts w:hint="eastAsia"/>
          <w:color w:val="auto"/>
          <w:highlight w:val="none"/>
          <w:vertAlign w:val="superscript"/>
        </w:rPr>
        <w:t>3</w:t>
      </w:r>
      <w:r>
        <w:rPr>
          <w:rFonts w:hint="eastAsia"/>
          <w:color w:val="auto"/>
          <w:highlight w:val="none"/>
        </w:rPr>
        <w:t>；铁精粉库一座，最大储矿量10000m</w:t>
      </w:r>
      <w:r>
        <w:rPr>
          <w:rFonts w:hint="eastAsia"/>
          <w:color w:val="auto"/>
          <w:highlight w:val="none"/>
          <w:vertAlign w:val="superscript"/>
        </w:rPr>
        <w:t>3</w:t>
      </w:r>
      <w:r>
        <w:rPr>
          <w:rFonts w:hint="eastAsia"/>
          <w:color w:val="auto"/>
          <w:highlight w:val="none"/>
        </w:rPr>
        <w:t>；钛精粉库一座，最大储矿量6000m</w:t>
      </w:r>
      <w:r>
        <w:rPr>
          <w:rFonts w:hint="eastAsia"/>
          <w:color w:val="auto"/>
          <w:highlight w:val="none"/>
          <w:vertAlign w:val="superscript"/>
        </w:rPr>
        <w:t>3</w:t>
      </w:r>
      <w:r>
        <w:rPr>
          <w:rFonts w:hint="eastAsia"/>
          <w:color w:val="auto"/>
          <w:highlight w:val="none"/>
        </w:rPr>
        <w:t>。</w:t>
      </w:r>
    </w:p>
    <w:p w14:paraId="0DD22382">
      <w:pPr>
        <w:pStyle w:val="3"/>
        <w:ind w:firstLine="480"/>
        <w:rPr>
          <w:color w:val="auto"/>
          <w:highlight w:val="none"/>
        </w:rPr>
      </w:pPr>
      <w:r>
        <w:rPr>
          <w:rFonts w:hint="eastAsia"/>
          <w:color w:val="auto"/>
          <w:highlight w:val="none"/>
        </w:rPr>
        <w:t>（2）</w:t>
      </w:r>
      <w:r>
        <w:rPr>
          <w:color w:val="auto"/>
          <w:highlight w:val="none"/>
        </w:rPr>
        <w:t>检修设施</w:t>
      </w:r>
    </w:p>
    <w:p w14:paraId="51A8E973">
      <w:pPr>
        <w:pStyle w:val="3"/>
        <w:ind w:firstLine="480"/>
        <w:rPr>
          <w:color w:val="auto"/>
          <w:highlight w:val="none"/>
        </w:rPr>
      </w:pPr>
      <w:r>
        <w:rPr>
          <w:color w:val="auto"/>
          <w:highlight w:val="none"/>
        </w:rPr>
        <w:t>选矿厂根据所配置的设备型号和数量，均设有用于检修的起重设备，并预留了相应检修场地，以便于设备的日常维护及检修和备品配件的更换。</w:t>
      </w:r>
    </w:p>
    <w:p w14:paraId="5810B598">
      <w:pPr>
        <w:pStyle w:val="40"/>
        <w:spacing w:before="24" w:after="24"/>
        <w:rPr>
          <w:color w:val="auto"/>
          <w:highlight w:val="none"/>
        </w:rPr>
      </w:pPr>
      <w:r>
        <w:rPr>
          <w:color w:val="auto"/>
          <w:highlight w:val="none"/>
        </w:rPr>
        <w:t>表</w:t>
      </w:r>
      <w:r>
        <w:rPr>
          <w:rFonts w:hint="eastAsia"/>
          <w:color w:val="auto"/>
          <w:highlight w:val="none"/>
        </w:rPr>
        <w:t xml:space="preserve">3.3-16   </w:t>
      </w:r>
      <w:r>
        <w:rPr>
          <w:color w:val="auto"/>
          <w:highlight w:val="none"/>
        </w:rPr>
        <w:t>起重设备规格及数量</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90"/>
        <w:gridCol w:w="2276"/>
        <w:gridCol w:w="2179"/>
        <w:gridCol w:w="1367"/>
        <w:gridCol w:w="698"/>
      </w:tblGrid>
      <w:tr w14:paraId="02BD57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70" w:type="pct"/>
            <w:tcBorders>
              <w:tl2br w:val="nil"/>
              <w:tr2bl w:val="nil"/>
            </w:tcBorders>
            <w:vAlign w:val="center"/>
          </w:tcPr>
          <w:p w14:paraId="141379BD">
            <w:pPr>
              <w:pStyle w:val="41"/>
              <w:rPr>
                <w:color w:val="auto"/>
                <w:highlight w:val="none"/>
              </w:rPr>
            </w:pPr>
            <w:r>
              <w:rPr>
                <w:color w:val="auto"/>
                <w:highlight w:val="none"/>
              </w:rPr>
              <w:t>安装地点</w:t>
            </w:r>
          </w:p>
        </w:tc>
        <w:tc>
          <w:tcPr>
            <w:tcW w:w="1337" w:type="pct"/>
            <w:tcBorders>
              <w:tl2br w:val="nil"/>
              <w:tr2bl w:val="nil"/>
            </w:tcBorders>
            <w:vAlign w:val="center"/>
          </w:tcPr>
          <w:p w14:paraId="4A320241">
            <w:pPr>
              <w:pStyle w:val="41"/>
              <w:rPr>
                <w:color w:val="auto"/>
                <w:highlight w:val="none"/>
              </w:rPr>
            </w:pPr>
            <w:r>
              <w:rPr>
                <w:color w:val="auto"/>
                <w:highlight w:val="none"/>
              </w:rPr>
              <w:t>名称</w:t>
            </w:r>
          </w:p>
        </w:tc>
        <w:tc>
          <w:tcPr>
            <w:tcW w:w="1280" w:type="pct"/>
            <w:tcBorders>
              <w:tl2br w:val="nil"/>
              <w:tr2bl w:val="nil"/>
            </w:tcBorders>
            <w:vAlign w:val="center"/>
          </w:tcPr>
          <w:p w14:paraId="7B8D5319">
            <w:pPr>
              <w:pStyle w:val="41"/>
              <w:rPr>
                <w:color w:val="auto"/>
                <w:highlight w:val="none"/>
              </w:rPr>
            </w:pPr>
            <w:r>
              <w:rPr>
                <w:rFonts w:hint="eastAsia"/>
                <w:color w:val="auto"/>
                <w:highlight w:val="none"/>
              </w:rPr>
              <w:t>规格</w:t>
            </w:r>
          </w:p>
        </w:tc>
        <w:tc>
          <w:tcPr>
            <w:tcW w:w="803" w:type="pct"/>
            <w:tcBorders>
              <w:tl2br w:val="nil"/>
              <w:tr2bl w:val="nil"/>
            </w:tcBorders>
            <w:vAlign w:val="center"/>
          </w:tcPr>
          <w:p w14:paraId="77B9DDF7">
            <w:pPr>
              <w:pStyle w:val="41"/>
              <w:rPr>
                <w:color w:val="auto"/>
                <w:highlight w:val="none"/>
              </w:rPr>
            </w:pPr>
            <w:r>
              <w:rPr>
                <w:color w:val="auto"/>
                <w:highlight w:val="none"/>
              </w:rPr>
              <w:t>数量（台）</w:t>
            </w:r>
          </w:p>
        </w:tc>
        <w:tc>
          <w:tcPr>
            <w:tcW w:w="406" w:type="pct"/>
            <w:tcBorders>
              <w:tl2br w:val="nil"/>
              <w:tr2bl w:val="nil"/>
            </w:tcBorders>
            <w:vAlign w:val="center"/>
          </w:tcPr>
          <w:p w14:paraId="30853E8C">
            <w:pPr>
              <w:pStyle w:val="41"/>
              <w:rPr>
                <w:color w:val="auto"/>
                <w:highlight w:val="none"/>
              </w:rPr>
            </w:pPr>
            <w:r>
              <w:rPr>
                <w:color w:val="auto"/>
                <w:highlight w:val="none"/>
              </w:rPr>
              <w:t>备注</w:t>
            </w:r>
          </w:p>
        </w:tc>
      </w:tr>
      <w:tr w14:paraId="7EE9B7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tl2br w:val="nil"/>
              <w:tr2bl w:val="nil"/>
            </w:tcBorders>
            <w:vAlign w:val="center"/>
          </w:tcPr>
          <w:p w14:paraId="34CEDC64">
            <w:pPr>
              <w:pStyle w:val="41"/>
              <w:rPr>
                <w:color w:val="auto"/>
                <w:highlight w:val="none"/>
              </w:rPr>
            </w:pPr>
            <w:r>
              <w:rPr>
                <w:rFonts w:hint="eastAsia"/>
                <w:color w:val="auto"/>
                <w:highlight w:val="none"/>
              </w:rPr>
              <w:t>一期580万t/a生产线</w:t>
            </w:r>
          </w:p>
        </w:tc>
      </w:tr>
      <w:tr w14:paraId="4A2E6B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0" w:type="pct"/>
            <w:tcBorders>
              <w:tl2br w:val="nil"/>
              <w:tr2bl w:val="nil"/>
            </w:tcBorders>
            <w:vAlign w:val="center"/>
          </w:tcPr>
          <w:p w14:paraId="6727272D">
            <w:pPr>
              <w:pStyle w:val="41"/>
              <w:rPr>
                <w:color w:val="auto"/>
                <w:highlight w:val="none"/>
              </w:rPr>
            </w:pPr>
            <w:r>
              <w:rPr>
                <w:color w:val="auto"/>
                <w:highlight w:val="none"/>
              </w:rPr>
              <w:t>滚轴筛车间</w:t>
            </w:r>
          </w:p>
        </w:tc>
        <w:tc>
          <w:tcPr>
            <w:tcW w:w="1337" w:type="pct"/>
            <w:tcBorders>
              <w:tl2br w:val="nil"/>
              <w:tr2bl w:val="nil"/>
            </w:tcBorders>
            <w:vAlign w:val="center"/>
          </w:tcPr>
          <w:p w14:paraId="6416D3F8">
            <w:pPr>
              <w:pStyle w:val="41"/>
              <w:rPr>
                <w:color w:val="auto"/>
                <w:highlight w:val="none"/>
              </w:rPr>
            </w:pPr>
            <w:r>
              <w:rPr>
                <w:rFonts w:hint="eastAsia"/>
                <w:color w:val="auto"/>
                <w:highlight w:val="none"/>
              </w:rPr>
              <w:t>电动单梁桥式起重机</w:t>
            </w:r>
          </w:p>
        </w:tc>
        <w:tc>
          <w:tcPr>
            <w:tcW w:w="1280" w:type="pct"/>
            <w:tcBorders>
              <w:tl2br w:val="nil"/>
              <w:tr2bl w:val="nil"/>
            </w:tcBorders>
            <w:vAlign w:val="center"/>
          </w:tcPr>
          <w:p w14:paraId="5ACEBD24">
            <w:pPr>
              <w:pStyle w:val="41"/>
              <w:rPr>
                <w:color w:val="auto"/>
                <w:highlight w:val="none"/>
              </w:rPr>
            </w:pPr>
            <w:r>
              <w:rPr>
                <w:rFonts w:hint="eastAsia"/>
                <w:color w:val="auto"/>
                <w:highlight w:val="none"/>
              </w:rPr>
              <w:t>Q=10t/3t</w:t>
            </w:r>
            <w:r>
              <w:rPr>
                <w:rFonts w:hint="eastAsia"/>
                <w:color w:val="auto"/>
                <w:highlight w:val="none"/>
                <w:lang w:eastAsia="zh-CN"/>
              </w:rPr>
              <w:t xml:space="preserve">, </w:t>
            </w:r>
            <w:r>
              <w:rPr>
                <w:rFonts w:hint="eastAsia"/>
                <w:color w:val="auto"/>
                <w:highlight w:val="none"/>
              </w:rPr>
              <w:t>L=13.5m</w:t>
            </w:r>
          </w:p>
        </w:tc>
        <w:tc>
          <w:tcPr>
            <w:tcW w:w="803" w:type="pct"/>
            <w:tcBorders>
              <w:tl2br w:val="nil"/>
              <w:tr2bl w:val="nil"/>
            </w:tcBorders>
            <w:vAlign w:val="center"/>
          </w:tcPr>
          <w:p w14:paraId="483AE512">
            <w:pPr>
              <w:pStyle w:val="41"/>
              <w:rPr>
                <w:color w:val="auto"/>
                <w:highlight w:val="none"/>
              </w:rPr>
            </w:pPr>
            <w:r>
              <w:rPr>
                <w:rFonts w:hint="eastAsia"/>
                <w:color w:val="auto"/>
                <w:highlight w:val="none"/>
              </w:rPr>
              <w:t>1</w:t>
            </w:r>
          </w:p>
        </w:tc>
        <w:tc>
          <w:tcPr>
            <w:tcW w:w="406" w:type="pct"/>
            <w:tcBorders>
              <w:tl2br w:val="nil"/>
              <w:tr2bl w:val="nil"/>
            </w:tcBorders>
            <w:vAlign w:val="center"/>
          </w:tcPr>
          <w:p w14:paraId="1672B8F6">
            <w:pPr>
              <w:pStyle w:val="41"/>
              <w:rPr>
                <w:color w:val="auto"/>
                <w:highlight w:val="none"/>
              </w:rPr>
            </w:pPr>
          </w:p>
        </w:tc>
      </w:tr>
      <w:tr w14:paraId="09FA1B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0" w:type="pct"/>
            <w:tcBorders>
              <w:tl2br w:val="nil"/>
              <w:tr2bl w:val="nil"/>
            </w:tcBorders>
            <w:vAlign w:val="center"/>
          </w:tcPr>
          <w:p w14:paraId="71E0737B">
            <w:pPr>
              <w:pStyle w:val="41"/>
              <w:rPr>
                <w:color w:val="auto"/>
                <w:highlight w:val="none"/>
              </w:rPr>
            </w:pPr>
            <w:r>
              <w:rPr>
                <w:color w:val="auto"/>
                <w:highlight w:val="none"/>
              </w:rPr>
              <w:t>1号振动筛分车间</w:t>
            </w:r>
          </w:p>
        </w:tc>
        <w:tc>
          <w:tcPr>
            <w:tcW w:w="1337" w:type="pct"/>
            <w:tcBorders>
              <w:tl2br w:val="nil"/>
              <w:tr2bl w:val="nil"/>
            </w:tcBorders>
            <w:vAlign w:val="center"/>
          </w:tcPr>
          <w:p w14:paraId="4ABB3A88">
            <w:pPr>
              <w:pStyle w:val="41"/>
              <w:rPr>
                <w:color w:val="auto"/>
                <w:highlight w:val="none"/>
              </w:rPr>
            </w:pPr>
            <w:r>
              <w:rPr>
                <w:rFonts w:hint="eastAsia"/>
                <w:color w:val="auto"/>
                <w:highlight w:val="none"/>
              </w:rPr>
              <w:t>电动双梁桥式起重机</w:t>
            </w:r>
          </w:p>
        </w:tc>
        <w:tc>
          <w:tcPr>
            <w:tcW w:w="1280" w:type="pct"/>
            <w:tcBorders>
              <w:tl2br w:val="nil"/>
              <w:tr2bl w:val="nil"/>
            </w:tcBorders>
            <w:vAlign w:val="center"/>
          </w:tcPr>
          <w:p w14:paraId="0BC14F32">
            <w:pPr>
              <w:pStyle w:val="41"/>
              <w:rPr>
                <w:color w:val="auto"/>
                <w:highlight w:val="none"/>
              </w:rPr>
            </w:pPr>
            <w:r>
              <w:rPr>
                <w:rFonts w:hint="eastAsia"/>
                <w:color w:val="auto"/>
                <w:highlight w:val="none"/>
              </w:rPr>
              <w:t>Q=10t/3t</w:t>
            </w:r>
            <w:r>
              <w:rPr>
                <w:rFonts w:hint="eastAsia"/>
                <w:color w:val="auto"/>
                <w:highlight w:val="none"/>
                <w:lang w:eastAsia="zh-CN"/>
              </w:rPr>
              <w:t xml:space="preserve">, </w:t>
            </w:r>
            <w:r>
              <w:rPr>
                <w:rFonts w:hint="eastAsia"/>
                <w:color w:val="auto"/>
                <w:highlight w:val="none"/>
              </w:rPr>
              <w:t>L=16m</w:t>
            </w:r>
          </w:p>
        </w:tc>
        <w:tc>
          <w:tcPr>
            <w:tcW w:w="803" w:type="pct"/>
            <w:tcBorders>
              <w:tl2br w:val="nil"/>
              <w:tr2bl w:val="nil"/>
            </w:tcBorders>
            <w:vAlign w:val="center"/>
          </w:tcPr>
          <w:p w14:paraId="1207F833">
            <w:pPr>
              <w:pStyle w:val="41"/>
              <w:rPr>
                <w:color w:val="auto"/>
                <w:highlight w:val="none"/>
              </w:rPr>
            </w:pPr>
            <w:r>
              <w:rPr>
                <w:rFonts w:hint="eastAsia"/>
                <w:color w:val="auto"/>
                <w:highlight w:val="none"/>
              </w:rPr>
              <w:t>1</w:t>
            </w:r>
          </w:p>
        </w:tc>
        <w:tc>
          <w:tcPr>
            <w:tcW w:w="406" w:type="pct"/>
            <w:tcBorders>
              <w:tl2br w:val="nil"/>
              <w:tr2bl w:val="nil"/>
            </w:tcBorders>
            <w:vAlign w:val="center"/>
          </w:tcPr>
          <w:p w14:paraId="56C9777F">
            <w:pPr>
              <w:pStyle w:val="41"/>
              <w:rPr>
                <w:color w:val="auto"/>
                <w:highlight w:val="none"/>
              </w:rPr>
            </w:pPr>
          </w:p>
        </w:tc>
      </w:tr>
      <w:tr w14:paraId="1DA638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0" w:type="pct"/>
            <w:tcBorders>
              <w:tl2br w:val="nil"/>
              <w:tr2bl w:val="nil"/>
            </w:tcBorders>
            <w:vAlign w:val="center"/>
          </w:tcPr>
          <w:p w14:paraId="5AEE97B9">
            <w:pPr>
              <w:pStyle w:val="41"/>
              <w:rPr>
                <w:color w:val="auto"/>
                <w:highlight w:val="none"/>
              </w:rPr>
            </w:pPr>
            <w:r>
              <w:rPr>
                <w:color w:val="auto"/>
                <w:highlight w:val="none"/>
              </w:rPr>
              <w:t>粗/中碎车间</w:t>
            </w:r>
          </w:p>
        </w:tc>
        <w:tc>
          <w:tcPr>
            <w:tcW w:w="1337" w:type="pct"/>
            <w:tcBorders>
              <w:tl2br w:val="nil"/>
              <w:tr2bl w:val="nil"/>
            </w:tcBorders>
            <w:vAlign w:val="center"/>
          </w:tcPr>
          <w:p w14:paraId="0E3F87E6">
            <w:pPr>
              <w:pStyle w:val="41"/>
              <w:rPr>
                <w:color w:val="auto"/>
                <w:highlight w:val="none"/>
              </w:rPr>
            </w:pPr>
            <w:r>
              <w:rPr>
                <w:rFonts w:hint="eastAsia"/>
                <w:color w:val="auto"/>
                <w:highlight w:val="none"/>
              </w:rPr>
              <w:t>电动双梁桥式起重机</w:t>
            </w:r>
          </w:p>
        </w:tc>
        <w:tc>
          <w:tcPr>
            <w:tcW w:w="1280" w:type="pct"/>
            <w:tcBorders>
              <w:tl2br w:val="nil"/>
              <w:tr2bl w:val="nil"/>
            </w:tcBorders>
            <w:vAlign w:val="center"/>
          </w:tcPr>
          <w:p w14:paraId="364D476A">
            <w:pPr>
              <w:pStyle w:val="41"/>
              <w:rPr>
                <w:color w:val="auto"/>
                <w:highlight w:val="none"/>
              </w:rPr>
            </w:pPr>
            <w:r>
              <w:rPr>
                <w:rFonts w:hint="eastAsia"/>
                <w:color w:val="auto"/>
                <w:highlight w:val="none"/>
              </w:rPr>
              <w:t>Q=32t/5t</w:t>
            </w:r>
            <w:r>
              <w:rPr>
                <w:rFonts w:hint="eastAsia"/>
                <w:color w:val="auto"/>
                <w:highlight w:val="none"/>
                <w:lang w:eastAsia="zh-CN"/>
              </w:rPr>
              <w:t>,</w:t>
            </w:r>
            <w:r>
              <w:rPr>
                <w:rFonts w:hint="eastAsia"/>
                <w:color w:val="auto"/>
                <w:highlight w:val="none"/>
              </w:rPr>
              <w:t xml:space="preserve"> L=10m</w:t>
            </w:r>
          </w:p>
        </w:tc>
        <w:tc>
          <w:tcPr>
            <w:tcW w:w="803" w:type="pct"/>
            <w:tcBorders>
              <w:tl2br w:val="nil"/>
              <w:tr2bl w:val="nil"/>
            </w:tcBorders>
            <w:vAlign w:val="center"/>
          </w:tcPr>
          <w:p w14:paraId="4DB98493">
            <w:pPr>
              <w:pStyle w:val="41"/>
              <w:rPr>
                <w:color w:val="auto"/>
                <w:highlight w:val="none"/>
              </w:rPr>
            </w:pPr>
            <w:r>
              <w:rPr>
                <w:rFonts w:hint="eastAsia"/>
                <w:color w:val="auto"/>
                <w:highlight w:val="none"/>
              </w:rPr>
              <w:t>1</w:t>
            </w:r>
          </w:p>
        </w:tc>
        <w:tc>
          <w:tcPr>
            <w:tcW w:w="406" w:type="pct"/>
            <w:tcBorders>
              <w:tl2br w:val="nil"/>
              <w:tr2bl w:val="nil"/>
            </w:tcBorders>
            <w:vAlign w:val="center"/>
          </w:tcPr>
          <w:p w14:paraId="611FD7CA">
            <w:pPr>
              <w:pStyle w:val="41"/>
              <w:rPr>
                <w:color w:val="auto"/>
                <w:highlight w:val="none"/>
              </w:rPr>
            </w:pPr>
          </w:p>
        </w:tc>
      </w:tr>
      <w:tr w14:paraId="296FC4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0" w:type="pct"/>
            <w:tcBorders>
              <w:tl2br w:val="nil"/>
              <w:tr2bl w:val="nil"/>
            </w:tcBorders>
            <w:vAlign w:val="center"/>
          </w:tcPr>
          <w:p w14:paraId="0CDDD0D7">
            <w:pPr>
              <w:pStyle w:val="41"/>
              <w:rPr>
                <w:color w:val="auto"/>
                <w:highlight w:val="none"/>
              </w:rPr>
            </w:pPr>
            <w:r>
              <w:rPr>
                <w:color w:val="auto"/>
                <w:highlight w:val="none"/>
              </w:rPr>
              <w:t>2号振动筛分车间</w:t>
            </w:r>
          </w:p>
        </w:tc>
        <w:tc>
          <w:tcPr>
            <w:tcW w:w="1337" w:type="pct"/>
            <w:tcBorders>
              <w:tl2br w:val="nil"/>
              <w:tr2bl w:val="nil"/>
            </w:tcBorders>
            <w:vAlign w:val="center"/>
          </w:tcPr>
          <w:p w14:paraId="34A17CB5">
            <w:pPr>
              <w:pStyle w:val="41"/>
              <w:rPr>
                <w:color w:val="auto"/>
                <w:highlight w:val="none"/>
              </w:rPr>
            </w:pPr>
            <w:r>
              <w:rPr>
                <w:rFonts w:hint="eastAsia"/>
                <w:color w:val="auto"/>
                <w:highlight w:val="none"/>
              </w:rPr>
              <w:t>电动双梁桥式起重机</w:t>
            </w:r>
          </w:p>
        </w:tc>
        <w:tc>
          <w:tcPr>
            <w:tcW w:w="1280" w:type="pct"/>
            <w:tcBorders>
              <w:tl2br w:val="nil"/>
              <w:tr2bl w:val="nil"/>
            </w:tcBorders>
            <w:vAlign w:val="center"/>
          </w:tcPr>
          <w:p w14:paraId="3239F2DD">
            <w:pPr>
              <w:pStyle w:val="41"/>
              <w:rPr>
                <w:color w:val="auto"/>
                <w:highlight w:val="none"/>
              </w:rPr>
            </w:pPr>
            <w:r>
              <w:rPr>
                <w:rFonts w:hint="eastAsia"/>
                <w:color w:val="auto"/>
                <w:highlight w:val="none"/>
              </w:rPr>
              <w:t>Q=10t/3t</w:t>
            </w:r>
            <w:r>
              <w:rPr>
                <w:rFonts w:hint="eastAsia"/>
                <w:color w:val="auto"/>
                <w:highlight w:val="none"/>
                <w:lang w:eastAsia="zh-CN"/>
              </w:rPr>
              <w:t>,</w:t>
            </w:r>
            <w:r>
              <w:rPr>
                <w:rFonts w:hint="eastAsia"/>
                <w:color w:val="auto"/>
                <w:highlight w:val="none"/>
              </w:rPr>
              <w:t xml:space="preserve"> L=16m</w:t>
            </w:r>
          </w:p>
        </w:tc>
        <w:tc>
          <w:tcPr>
            <w:tcW w:w="803" w:type="pct"/>
            <w:tcBorders>
              <w:tl2br w:val="nil"/>
              <w:tr2bl w:val="nil"/>
            </w:tcBorders>
            <w:vAlign w:val="center"/>
          </w:tcPr>
          <w:p w14:paraId="7426CA38">
            <w:pPr>
              <w:pStyle w:val="41"/>
              <w:rPr>
                <w:color w:val="auto"/>
                <w:highlight w:val="none"/>
              </w:rPr>
            </w:pPr>
            <w:r>
              <w:rPr>
                <w:rFonts w:hint="eastAsia"/>
                <w:color w:val="auto"/>
                <w:highlight w:val="none"/>
              </w:rPr>
              <w:t>1</w:t>
            </w:r>
          </w:p>
        </w:tc>
        <w:tc>
          <w:tcPr>
            <w:tcW w:w="406" w:type="pct"/>
            <w:tcBorders>
              <w:tl2br w:val="nil"/>
              <w:tr2bl w:val="nil"/>
            </w:tcBorders>
            <w:vAlign w:val="center"/>
          </w:tcPr>
          <w:p w14:paraId="0F28C08E">
            <w:pPr>
              <w:pStyle w:val="41"/>
              <w:rPr>
                <w:color w:val="auto"/>
                <w:highlight w:val="none"/>
              </w:rPr>
            </w:pPr>
          </w:p>
        </w:tc>
      </w:tr>
      <w:tr w14:paraId="65BC61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0" w:type="pct"/>
            <w:tcBorders>
              <w:tl2br w:val="nil"/>
              <w:tr2bl w:val="nil"/>
            </w:tcBorders>
            <w:vAlign w:val="center"/>
          </w:tcPr>
          <w:p w14:paraId="3FE3956A">
            <w:pPr>
              <w:pStyle w:val="41"/>
              <w:rPr>
                <w:color w:val="auto"/>
                <w:highlight w:val="none"/>
              </w:rPr>
            </w:pPr>
            <w:r>
              <w:rPr>
                <w:color w:val="auto"/>
                <w:highlight w:val="none"/>
              </w:rPr>
              <w:t>细碎车间</w:t>
            </w:r>
          </w:p>
        </w:tc>
        <w:tc>
          <w:tcPr>
            <w:tcW w:w="1337" w:type="pct"/>
            <w:tcBorders>
              <w:tl2br w:val="nil"/>
              <w:tr2bl w:val="nil"/>
            </w:tcBorders>
            <w:vAlign w:val="center"/>
          </w:tcPr>
          <w:p w14:paraId="18E7D602">
            <w:pPr>
              <w:pStyle w:val="41"/>
              <w:rPr>
                <w:color w:val="auto"/>
                <w:highlight w:val="none"/>
              </w:rPr>
            </w:pPr>
            <w:r>
              <w:rPr>
                <w:rFonts w:hint="eastAsia"/>
                <w:color w:val="auto"/>
                <w:highlight w:val="none"/>
              </w:rPr>
              <w:t>电动双梁桥式起重机</w:t>
            </w:r>
          </w:p>
        </w:tc>
        <w:tc>
          <w:tcPr>
            <w:tcW w:w="1280" w:type="pct"/>
            <w:tcBorders>
              <w:tl2br w:val="nil"/>
              <w:tr2bl w:val="nil"/>
            </w:tcBorders>
            <w:vAlign w:val="center"/>
          </w:tcPr>
          <w:p w14:paraId="1109BDAE">
            <w:pPr>
              <w:pStyle w:val="41"/>
              <w:rPr>
                <w:color w:val="auto"/>
                <w:highlight w:val="none"/>
              </w:rPr>
            </w:pPr>
            <w:r>
              <w:rPr>
                <w:rFonts w:hint="eastAsia"/>
                <w:color w:val="auto"/>
                <w:highlight w:val="none"/>
              </w:rPr>
              <w:t>Q=16t/3t</w:t>
            </w:r>
            <w:r>
              <w:rPr>
                <w:rFonts w:hint="eastAsia"/>
                <w:color w:val="auto"/>
                <w:highlight w:val="none"/>
                <w:lang w:eastAsia="zh-CN"/>
              </w:rPr>
              <w:t xml:space="preserve">, </w:t>
            </w:r>
            <w:r>
              <w:rPr>
                <w:rFonts w:hint="eastAsia"/>
                <w:color w:val="auto"/>
                <w:highlight w:val="none"/>
              </w:rPr>
              <w:t>L=15m</w:t>
            </w:r>
          </w:p>
        </w:tc>
        <w:tc>
          <w:tcPr>
            <w:tcW w:w="803" w:type="pct"/>
            <w:tcBorders>
              <w:tl2br w:val="nil"/>
              <w:tr2bl w:val="nil"/>
            </w:tcBorders>
            <w:vAlign w:val="center"/>
          </w:tcPr>
          <w:p w14:paraId="3DBE8378">
            <w:pPr>
              <w:pStyle w:val="41"/>
              <w:rPr>
                <w:color w:val="auto"/>
                <w:highlight w:val="none"/>
              </w:rPr>
            </w:pPr>
            <w:r>
              <w:rPr>
                <w:rFonts w:hint="eastAsia"/>
                <w:color w:val="auto"/>
                <w:highlight w:val="none"/>
              </w:rPr>
              <w:t>1</w:t>
            </w:r>
          </w:p>
        </w:tc>
        <w:tc>
          <w:tcPr>
            <w:tcW w:w="406" w:type="pct"/>
            <w:tcBorders>
              <w:tl2br w:val="nil"/>
              <w:tr2bl w:val="nil"/>
            </w:tcBorders>
            <w:vAlign w:val="center"/>
          </w:tcPr>
          <w:p w14:paraId="50C66277">
            <w:pPr>
              <w:pStyle w:val="41"/>
              <w:rPr>
                <w:color w:val="auto"/>
                <w:highlight w:val="none"/>
              </w:rPr>
            </w:pPr>
          </w:p>
        </w:tc>
      </w:tr>
      <w:tr w14:paraId="35087C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0" w:type="pct"/>
            <w:tcBorders>
              <w:tl2br w:val="nil"/>
              <w:tr2bl w:val="nil"/>
            </w:tcBorders>
            <w:vAlign w:val="center"/>
          </w:tcPr>
          <w:p w14:paraId="06E99F92">
            <w:pPr>
              <w:pStyle w:val="41"/>
              <w:rPr>
                <w:color w:val="auto"/>
                <w:highlight w:val="none"/>
              </w:rPr>
            </w:pPr>
            <w:r>
              <w:rPr>
                <w:color w:val="auto"/>
                <w:highlight w:val="none"/>
              </w:rPr>
              <w:t>3号振动筛分车间</w:t>
            </w:r>
          </w:p>
        </w:tc>
        <w:tc>
          <w:tcPr>
            <w:tcW w:w="1337" w:type="pct"/>
            <w:tcBorders>
              <w:tl2br w:val="nil"/>
              <w:tr2bl w:val="nil"/>
            </w:tcBorders>
            <w:vAlign w:val="center"/>
          </w:tcPr>
          <w:p w14:paraId="4B9B66CD">
            <w:pPr>
              <w:pStyle w:val="41"/>
              <w:rPr>
                <w:color w:val="auto"/>
                <w:highlight w:val="none"/>
              </w:rPr>
            </w:pPr>
            <w:r>
              <w:rPr>
                <w:rFonts w:hint="eastAsia"/>
                <w:color w:val="auto"/>
                <w:highlight w:val="none"/>
              </w:rPr>
              <w:t>电动双梁桥式起重机</w:t>
            </w:r>
          </w:p>
        </w:tc>
        <w:tc>
          <w:tcPr>
            <w:tcW w:w="1280" w:type="pct"/>
            <w:tcBorders>
              <w:tl2br w:val="nil"/>
              <w:tr2bl w:val="nil"/>
            </w:tcBorders>
            <w:vAlign w:val="center"/>
          </w:tcPr>
          <w:p w14:paraId="23C39A3F">
            <w:pPr>
              <w:pStyle w:val="41"/>
              <w:rPr>
                <w:color w:val="auto"/>
                <w:highlight w:val="none"/>
              </w:rPr>
            </w:pPr>
            <w:r>
              <w:rPr>
                <w:rFonts w:hint="eastAsia"/>
                <w:color w:val="auto"/>
                <w:highlight w:val="none"/>
              </w:rPr>
              <w:t>Q=10t/3t</w:t>
            </w:r>
            <w:r>
              <w:rPr>
                <w:rFonts w:hint="eastAsia"/>
                <w:color w:val="auto"/>
                <w:highlight w:val="none"/>
                <w:lang w:eastAsia="zh-CN"/>
              </w:rPr>
              <w:t>,</w:t>
            </w:r>
            <w:r>
              <w:rPr>
                <w:rFonts w:hint="eastAsia"/>
                <w:color w:val="auto"/>
                <w:highlight w:val="none"/>
              </w:rPr>
              <w:t xml:space="preserve"> L=16m</w:t>
            </w:r>
          </w:p>
        </w:tc>
        <w:tc>
          <w:tcPr>
            <w:tcW w:w="803" w:type="pct"/>
            <w:tcBorders>
              <w:tl2br w:val="nil"/>
              <w:tr2bl w:val="nil"/>
            </w:tcBorders>
            <w:vAlign w:val="center"/>
          </w:tcPr>
          <w:p w14:paraId="22011936">
            <w:pPr>
              <w:pStyle w:val="41"/>
              <w:rPr>
                <w:color w:val="auto"/>
                <w:highlight w:val="none"/>
              </w:rPr>
            </w:pPr>
            <w:r>
              <w:rPr>
                <w:rFonts w:hint="eastAsia"/>
                <w:color w:val="auto"/>
                <w:highlight w:val="none"/>
              </w:rPr>
              <w:t>1</w:t>
            </w:r>
          </w:p>
        </w:tc>
        <w:tc>
          <w:tcPr>
            <w:tcW w:w="406" w:type="pct"/>
            <w:tcBorders>
              <w:tl2br w:val="nil"/>
              <w:tr2bl w:val="nil"/>
            </w:tcBorders>
            <w:vAlign w:val="center"/>
          </w:tcPr>
          <w:p w14:paraId="1F30FA8C">
            <w:pPr>
              <w:pStyle w:val="41"/>
              <w:rPr>
                <w:color w:val="auto"/>
                <w:highlight w:val="none"/>
              </w:rPr>
            </w:pPr>
          </w:p>
        </w:tc>
      </w:tr>
      <w:tr w14:paraId="6470A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0" w:type="pct"/>
            <w:tcBorders>
              <w:tl2br w:val="nil"/>
              <w:tr2bl w:val="nil"/>
            </w:tcBorders>
            <w:vAlign w:val="center"/>
          </w:tcPr>
          <w:p w14:paraId="21A63B20">
            <w:pPr>
              <w:pStyle w:val="41"/>
              <w:rPr>
                <w:color w:val="auto"/>
                <w:highlight w:val="none"/>
              </w:rPr>
            </w:pPr>
            <w:r>
              <w:rPr>
                <w:color w:val="auto"/>
                <w:highlight w:val="none"/>
              </w:rPr>
              <w:t>干抛磁选车间</w:t>
            </w:r>
          </w:p>
        </w:tc>
        <w:tc>
          <w:tcPr>
            <w:tcW w:w="1337" w:type="pct"/>
            <w:tcBorders>
              <w:tl2br w:val="nil"/>
              <w:tr2bl w:val="nil"/>
            </w:tcBorders>
            <w:vAlign w:val="center"/>
          </w:tcPr>
          <w:p w14:paraId="0136F3A6">
            <w:pPr>
              <w:pStyle w:val="41"/>
              <w:rPr>
                <w:color w:val="auto"/>
                <w:highlight w:val="none"/>
              </w:rPr>
            </w:pPr>
            <w:r>
              <w:rPr>
                <w:rFonts w:hint="eastAsia"/>
                <w:color w:val="auto"/>
                <w:highlight w:val="none"/>
              </w:rPr>
              <w:t>电动单梁桥式起重机</w:t>
            </w:r>
          </w:p>
        </w:tc>
        <w:tc>
          <w:tcPr>
            <w:tcW w:w="1280" w:type="pct"/>
            <w:tcBorders>
              <w:tl2br w:val="nil"/>
              <w:tr2bl w:val="nil"/>
            </w:tcBorders>
            <w:vAlign w:val="center"/>
          </w:tcPr>
          <w:p w14:paraId="342DE38C">
            <w:pPr>
              <w:pStyle w:val="41"/>
              <w:rPr>
                <w:color w:val="auto"/>
                <w:highlight w:val="none"/>
              </w:rPr>
            </w:pPr>
            <w:r>
              <w:rPr>
                <w:rFonts w:hint="eastAsia"/>
                <w:color w:val="auto"/>
                <w:highlight w:val="none"/>
              </w:rPr>
              <w:t>Q=5t/2t</w:t>
            </w:r>
            <w:r>
              <w:rPr>
                <w:rFonts w:hint="eastAsia"/>
                <w:color w:val="auto"/>
                <w:highlight w:val="none"/>
                <w:lang w:eastAsia="zh-CN"/>
              </w:rPr>
              <w:t>,</w:t>
            </w:r>
            <w:r>
              <w:rPr>
                <w:rFonts w:hint="eastAsia"/>
                <w:color w:val="auto"/>
                <w:highlight w:val="none"/>
              </w:rPr>
              <w:t xml:space="preserve"> L=17.5m</w:t>
            </w:r>
          </w:p>
        </w:tc>
        <w:tc>
          <w:tcPr>
            <w:tcW w:w="803" w:type="pct"/>
            <w:tcBorders>
              <w:tl2br w:val="nil"/>
              <w:tr2bl w:val="nil"/>
            </w:tcBorders>
            <w:vAlign w:val="center"/>
          </w:tcPr>
          <w:p w14:paraId="5F7F4D32">
            <w:pPr>
              <w:pStyle w:val="41"/>
              <w:rPr>
                <w:color w:val="auto"/>
                <w:highlight w:val="none"/>
              </w:rPr>
            </w:pPr>
            <w:r>
              <w:rPr>
                <w:rFonts w:hint="eastAsia"/>
                <w:color w:val="auto"/>
                <w:highlight w:val="none"/>
              </w:rPr>
              <w:t>1</w:t>
            </w:r>
          </w:p>
        </w:tc>
        <w:tc>
          <w:tcPr>
            <w:tcW w:w="406" w:type="pct"/>
            <w:tcBorders>
              <w:tl2br w:val="nil"/>
              <w:tr2bl w:val="nil"/>
            </w:tcBorders>
            <w:vAlign w:val="center"/>
          </w:tcPr>
          <w:p w14:paraId="31C16C9E">
            <w:pPr>
              <w:pStyle w:val="41"/>
              <w:rPr>
                <w:color w:val="auto"/>
                <w:highlight w:val="none"/>
              </w:rPr>
            </w:pPr>
          </w:p>
        </w:tc>
      </w:tr>
      <w:tr w14:paraId="3D179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0" w:type="pct"/>
            <w:tcBorders>
              <w:tl2br w:val="nil"/>
              <w:tr2bl w:val="nil"/>
            </w:tcBorders>
            <w:vAlign w:val="center"/>
          </w:tcPr>
          <w:p w14:paraId="5083E06F">
            <w:pPr>
              <w:pStyle w:val="41"/>
              <w:rPr>
                <w:color w:val="auto"/>
                <w:highlight w:val="none"/>
              </w:rPr>
            </w:pPr>
            <w:r>
              <w:rPr>
                <w:color w:val="auto"/>
                <w:highlight w:val="none"/>
              </w:rPr>
              <w:t>磨选过滤车间</w:t>
            </w:r>
          </w:p>
        </w:tc>
        <w:tc>
          <w:tcPr>
            <w:tcW w:w="1337" w:type="pct"/>
            <w:tcBorders>
              <w:tl2br w:val="nil"/>
              <w:tr2bl w:val="nil"/>
            </w:tcBorders>
            <w:vAlign w:val="center"/>
          </w:tcPr>
          <w:p w14:paraId="6E45D664">
            <w:pPr>
              <w:pStyle w:val="41"/>
              <w:rPr>
                <w:color w:val="auto"/>
                <w:highlight w:val="none"/>
              </w:rPr>
            </w:pPr>
            <w:r>
              <w:rPr>
                <w:rFonts w:hint="eastAsia"/>
                <w:color w:val="auto"/>
                <w:highlight w:val="none"/>
              </w:rPr>
              <w:t>电动双梁桥式起重机</w:t>
            </w:r>
          </w:p>
        </w:tc>
        <w:tc>
          <w:tcPr>
            <w:tcW w:w="1280" w:type="pct"/>
            <w:tcBorders>
              <w:tl2br w:val="nil"/>
              <w:tr2bl w:val="nil"/>
            </w:tcBorders>
            <w:vAlign w:val="center"/>
          </w:tcPr>
          <w:p w14:paraId="083EB2E4">
            <w:pPr>
              <w:pStyle w:val="41"/>
              <w:rPr>
                <w:color w:val="auto"/>
                <w:highlight w:val="none"/>
              </w:rPr>
            </w:pPr>
            <w:r>
              <w:rPr>
                <w:rFonts w:hint="eastAsia"/>
                <w:color w:val="auto"/>
                <w:highlight w:val="none"/>
              </w:rPr>
              <w:t>Q=100t/16t</w:t>
            </w:r>
            <w:r>
              <w:rPr>
                <w:rFonts w:hint="eastAsia"/>
                <w:color w:val="auto"/>
                <w:highlight w:val="none"/>
                <w:lang w:eastAsia="zh-CN"/>
              </w:rPr>
              <w:t xml:space="preserve">, </w:t>
            </w:r>
            <w:r>
              <w:rPr>
                <w:rFonts w:hint="eastAsia"/>
                <w:color w:val="auto"/>
                <w:highlight w:val="none"/>
              </w:rPr>
              <w:t>L=40m</w:t>
            </w:r>
          </w:p>
        </w:tc>
        <w:tc>
          <w:tcPr>
            <w:tcW w:w="803" w:type="pct"/>
            <w:tcBorders>
              <w:tl2br w:val="nil"/>
              <w:tr2bl w:val="nil"/>
            </w:tcBorders>
            <w:vAlign w:val="center"/>
          </w:tcPr>
          <w:p w14:paraId="68619258">
            <w:pPr>
              <w:pStyle w:val="41"/>
              <w:rPr>
                <w:color w:val="auto"/>
                <w:highlight w:val="none"/>
              </w:rPr>
            </w:pPr>
            <w:r>
              <w:rPr>
                <w:rFonts w:hint="eastAsia"/>
                <w:color w:val="auto"/>
                <w:highlight w:val="none"/>
              </w:rPr>
              <w:t>1</w:t>
            </w:r>
          </w:p>
        </w:tc>
        <w:tc>
          <w:tcPr>
            <w:tcW w:w="406" w:type="pct"/>
            <w:tcBorders>
              <w:tl2br w:val="nil"/>
              <w:tr2bl w:val="nil"/>
            </w:tcBorders>
            <w:vAlign w:val="center"/>
          </w:tcPr>
          <w:p w14:paraId="023818AF">
            <w:pPr>
              <w:pStyle w:val="41"/>
              <w:rPr>
                <w:color w:val="auto"/>
                <w:highlight w:val="none"/>
              </w:rPr>
            </w:pPr>
          </w:p>
        </w:tc>
      </w:tr>
      <w:tr w14:paraId="67099C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0" w:type="pct"/>
            <w:tcBorders>
              <w:tl2br w:val="nil"/>
              <w:tr2bl w:val="nil"/>
            </w:tcBorders>
            <w:vAlign w:val="center"/>
          </w:tcPr>
          <w:p w14:paraId="4CCDD04C">
            <w:pPr>
              <w:pStyle w:val="41"/>
              <w:rPr>
                <w:color w:val="auto"/>
                <w:highlight w:val="none"/>
              </w:rPr>
            </w:pPr>
            <w:r>
              <w:rPr>
                <w:color w:val="auto"/>
                <w:highlight w:val="none"/>
              </w:rPr>
              <w:t>重选车间</w:t>
            </w:r>
          </w:p>
        </w:tc>
        <w:tc>
          <w:tcPr>
            <w:tcW w:w="1337" w:type="pct"/>
            <w:tcBorders>
              <w:tl2br w:val="nil"/>
              <w:tr2bl w:val="nil"/>
            </w:tcBorders>
            <w:vAlign w:val="center"/>
          </w:tcPr>
          <w:p w14:paraId="0EBCCAD4">
            <w:pPr>
              <w:pStyle w:val="41"/>
              <w:rPr>
                <w:color w:val="auto"/>
                <w:highlight w:val="none"/>
              </w:rPr>
            </w:pPr>
            <w:r>
              <w:rPr>
                <w:color w:val="auto"/>
                <w:highlight w:val="none"/>
              </w:rPr>
              <w:t>轻型单梁桥式起重机</w:t>
            </w:r>
          </w:p>
        </w:tc>
        <w:tc>
          <w:tcPr>
            <w:tcW w:w="1280" w:type="pct"/>
            <w:tcBorders>
              <w:tl2br w:val="nil"/>
              <w:tr2bl w:val="nil"/>
            </w:tcBorders>
            <w:vAlign w:val="center"/>
          </w:tcPr>
          <w:p w14:paraId="7BBDEAF9">
            <w:pPr>
              <w:pStyle w:val="41"/>
              <w:rPr>
                <w:color w:val="auto"/>
                <w:highlight w:val="none"/>
              </w:rPr>
            </w:pPr>
            <w:r>
              <w:rPr>
                <w:rFonts w:hint="eastAsia"/>
                <w:color w:val="auto"/>
                <w:highlight w:val="none"/>
              </w:rPr>
              <w:t>Q=3t</w:t>
            </w:r>
            <w:r>
              <w:rPr>
                <w:rFonts w:hint="eastAsia"/>
                <w:color w:val="auto"/>
                <w:highlight w:val="none"/>
                <w:lang w:eastAsia="zh-CN"/>
              </w:rPr>
              <w:t xml:space="preserve">, </w:t>
            </w:r>
            <w:r>
              <w:rPr>
                <w:rFonts w:hint="eastAsia"/>
                <w:color w:val="auto"/>
                <w:highlight w:val="none"/>
              </w:rPr>
              <w:t>L=6.5m</w:t>
            </w:r>
          </w:p>
        </w:tc>
        <w:tc>
          <w:tcPr>
            <w:tcW w:w="803" w:type="pct"/>
            <w:tcBorders>
              <w:tl2br w:val="nil"/>
              <w:tr2bl w:val="nil"/>
            </w:tcBorders>
            <w:vAlign w:val="center"/>
          </w:tcPr>
          <w:p w14:paraId="3FEC48FE">
            <w:pPr>
              <w:pStyle w:val="41"/>
              <w:rPr>
                <w:color w:val="auto"/>
                <w:highlight w:val="none"/>
              </w:rPr>
            </w:pPr>
            <w:r>
              <w:rPr>
                <w:rFonts w:hint="eastAsia"/>
                <w:color w:val="auto"/>
                <w:highlight w:val="none"/>
              </w:rPr>
              <w:t>1</w:t>
            </w:r>
          </w:p>
        </w:tc>
        <w:tc>
          <w:tcPr>
            <w:tcW w:w="406" w:type="pct"/>
            <w:tcBorders>
              <w:tl2br w:val="nil"/>
              <w:tr2bl w:val="nil"/>
            </w:tcBorders>
            <w:vAlign w:val="center"/>
          </w:tcPr>
          <w:p w14:paraId="66B91FE6">
            <w:pPr>
              <w:pStyle w:val="41"/>
              <w:rPr>
                <w:color w:val="auto"/>
                <w:highlight w:val="none"/>
              </w:rPr>
            </w:pPr>
          </w:p>
        </w:tc>
      </w:tr>
      <w:tr w14:paraId="0A79E6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0" w:type="pct"/>
            <w:tcBorders>
              <w:tl2br w:val="nil"/>
              <w:tr2bl w:val="nil"/>
            </w:tcBorders>
            <w:vAlign w:val="center"/>
          </w:tcPr>
          <w:p w14:paraId="76C24A86">
            <w:pPr>
              <w:pStyle w:val="41"/>
              <w:rPr>
                <w:color w:val="auto"/>
                <w:highlight w:val="none"/>
              </w:rPr>
            </w:pPr>
            <w:r>
              <w:rPr>
                <w:color w:val="auto"/>
                <w:highlight w:val="none"/>
              </w:rPr>
              <w:t>烘干车间</w:t>
            </w:r>
          </w:p>
        </w:tc>
        <w:tc>
          <w:tcPr>
            <w:tcW w:w="1337" w:type="pct"/>
            <w:tcBorders>
              <w:tl2br w:val="nil"/>
              <w:tr2bl w:val="nil"/>
            </w:tcBorders>
            <w:vAlign w:val="center"/>
          </w:tcPr>
          <w:p w14:paraId="16B1E37A">
            <w:pPr>
              <w:pStyle w:val="41"/>
              <w:rPr>
                <w:color w:val="auto"/>
                <w:highlight w:val="none"/>
              </w:rPr>
            </w:pPr>
            <w:r>
              <w:rPr>
                <w:color w:val="auto"/>
                <w:highlight w:val="none"/>
              </w:rPr>
              <w:t>轻型单梁桥式起重机</w:t>
            </w:r>
          </w:p>
        </w:tc>
        <w:tc>
          <w:tcPr>
            <w:tcW w:w="1280" w:type="pct"/>
            <w:tcBorders>
              <w:tl2br w:val="nil"/>
              <w:tr2bl w:val="nil"/>
            </w:tcBorders>
            <w:vAlign w:val="center"/>
          </w:tcPr>
          <w:p w14:paraId="41708F45">
            <w:pPr>
              <w:pStyle w:val="41"/>
              <w:rPr>
                <w:color w:val="auto"/>
                <w:highlight w:val="none"/>
              </w:rPr>
            </w:pPr>
            <w:r>
              <w:rPr>
                <w:rFonts w:hint="eastAsia"/>
                <w:color w:val="auto"/>
                <w:highlight w:val="none"/>
              </w:rPr>
              <w:t>Q=5t</w:t>
            </w:r>
            <w:r>
              <w:rPr>
                <w:rFonts w:hint="eastAsia"/>
                <w:color w:val="auto"/>
                <w:highlight w:val="none"/>
                <w:lang w:eastAsia="zh-CN"/>
              </w:rPr>
              <w:t xml:space="preserve">, </w:t>
            </w:r>
            <w:r>
              <w:rPr>
                <w:rFonts w:hint="eastAsia"/>
                <w:color w:val="auto"/>
                <w:highlight w:val="none"/>
              </w:rPr>
              <w:t>L=10m</w:t>
            </w:r>
          </w:p>
        </w:tc>
        <w:tc>
          <w:tcPr>
            <w:tcW w:w="803" w:type="pct"/>
            <w:tcBorders>
              <w:tl2br w:val="nil"/>
              <w:tr2bl w:val="nil"/>
            </w:tcBorders>
            <w:vAlign w:val="center"/>
          </w:tcPr>
          <w:p w14:paraId="16351CA4">
            <w:pPr>
              <w:pStyle w:val="41"/>
              <w:rPr>
                <w:color w:val="auto"/>
                <w:highlight w:val="none"/>
              </w:rPr>
            </w:pPr>
            <w:r>
              <w:rPr>
                <w:rFonts w:hint="eastAsia"/>
                <w:color w:val="auto"/>
                <w:highlight w:val="none"/>
              </w:rPr>
              <w:t>1</w:t>
            </w:r>
          </w:p>
        </w:tc>
        <w:tc>
          <w:tcPr>
            <w:tcW w:w="406" w:type="pct"/>
            <w:tcBorders>
              <w:tl2br w:val="nil"/>
              <w:tr2bl w:val="nil"/>
            </w:tcBorders>
            <w:vAlign w:val="center"/>
          </w:tcPr>
          <w:p w14:paraId="0E987980">
            <w:pPr>
              <w:pStyle w:val="41"/>
              <w:rPr>
                <w:color w:val="auto"/>
                <w:highlight w:val="none"/>
              </w:rPr>
            </w:pPr>
          </w:p>
        </w:tc>
      </w:tr>
      <w:tr w14:paraId="7C4C5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0" w:type="pct"/>
            <w:tcBorders>
              <w:tl2br w:val="nil"/>
              <w:tr2bl w:val="nil"/>
            </w:tcBorders>
            <w:vAlign w:val="center"/>
          </w:tcPr>
          <w:p w14:paraId="0191CB78">
            <w:pPr>
              <w:pStyle w:val="41"/>
              <w:rPr>
                <w:color w:val="auto"/>
                <w:highlight w:val="none"/>
              </w:rPr>
            </w:pPr>
            <w:r>
              <w:rPr>
                <w:color w:val="auto"/>
                <w:highlight w:val="none"/>
              </w:rPr>
              <w:t>精选车间</w:t>
            </w:r>
          </w:p>
        </w:tc>
        <w:tc>
          <w:tcPr>
            <w:tcW w:w="1337" w:type="pct"/>
            <w:tcBorders>
              <w:tl2br w:val="nil"/>
              <w:tr2bl w:val="nil"/>
            </w:tcBorders>
            <w:vAlign w:val="center"/>
          </w:tcPr>
          <w:p w14:paraId="51375C50">
            <w:pPr>
              <w:pStyle w:val="41"/>
              <w:rPr>
                <w:color w:val="auto"/>
                <w:highlight w:val="none"/>
              </w:rPr>
            </w:pPr>
            <w:r>
              <w:rPr>
                <w:color w:val="auto"/>
                <w:highlight w:val="none"/>
              </w:rPr>
              <w:t>轻型单梁桥式起重机</w:t>
            </w:r>
          </w:p>
        </w:tc>
        <w:tc>
          <w:tcPr>
            <w:tcW w:w="1280" w:type="pct"/>
            <w:tcBorders>
              <w:tl2br w:val="nil"/>
              <w:tr2bl w:val="nil"/>
            </w:tcBorders>
            <w:vAlign w:val="center"/>
          </w:tcPr>
          <w:p w14:paraId="53DD38DD">
            <w:pPr>
              <w:pStyle w:val="41"/>
              <w:rPr>
                <w:color w:val="auto"/>
                <w:highlight w:val="none"/>
              </w:rPr>
            </w:pPr>
            <w:r>
              <w:rPr>
                <w:rFonts w:hint="eastAsia"/>
                <w:color w:val="auto"/>
                <w:highlight w:val="none"/>
              </w:rPr>
              <w:t>Q=3t</w:t>
            </w:r>
            <w:r>
              <w:rPr>
                <w:rFonts w:hint="eastAsia"/>
                <w:color w:val="auto"/>
                <w:highlight w:val="none"/>
                <w:lang w:eastAsia="zh-CN"/>
              </w:rPr>
              <w:t xml:space="preserve">, </w:t>
            </w:r>
            <w:r>
              <w:rPr>
                <w:rFonts w:hint="eastAsia"/>
                <w:color w:val="auto"/>
                <w:highlight w:val="none"/>
              </w:rPr>
              <w:t>L=7.5m</w:t>
            </w:r>
          </w:p>
        </w:tc>
        <w:tc>
          <w:tcPr>
            <w:tcW w:w="803" w:type="pct"/>
            <w:tcBorders>
              <w:tl2br w:val="nil"/>
              <w:tr2bl w:val="nil"/>
            </w:tcBorders>
            <w:vAlign w:val="center"/>
          </w:tcPr>
          <w:p w14:paraId="68DB4662">
            <w:pPr>
              <w:pStyle w:val="41"/>
              <w:rPr>
                <w:color w:val="auto"/>
                <w:highlight w:val="none"/>
              </w:rPr>
            </w:pPr>
            <w:r>
              <w:rPr>
                <w:rFonts w:hint="eastAsia"/>
                <w:color w:val="auto"/>
                <w:highlight w:val="none"/>
              </w:rPr>
              <w:t>1</w:t>
            </w:r>
          </w:p>
        </w:tc>
        <w:tc>
          <w:tcPr>
            <w:tcW w:w="406" w:type="pct"/>
            <w:tcBorders>
              <w:tl2br w:val="nil"/>
              <w:tr2bl w:val="nil"/>
            </w:tcBorders>
            <w:vAlign w:val="center"/>
          </w:tcPr>
          <w:p w14:paraId="3F27FE1C">
            <w:pPr>
              <w:pStyle w:val="41"/>
              <w:rPr>
                <w:color w:val="auto"/>
                <w:highlight w:val="none"/>
              </w:rPr>
            </w:pPr>
          </w:p>
        </w:tc>
      </w:tr>
      <w:tr w14:paraId="54C825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0" w:type="pct"/>
            <w:tcBorders>
              <w:tl2br w:val="nil"/>
              <w:tr2bl w:val="nil"/>
            </w:tcBorders>
            <w:vAlign w:val="center"/>
          </w:tcPr>
          <w:p w14:paraId="16AE11DE">
            <w:pPr>
              <w:pStyle w:val="41"/>
              <w:rPr>
                <w:color w:val="auto"/>
                <w:highlight w:val="none"/>
              </w:rPr>
            </w:pPr>
            <w:r>
              <w:rPr>
                <w:color w:val="auto"/>
                <w:highlight w:val="none"/>
              </w:rPr>
              <w:t>尾矿干排车间</w:t>
            </w:r>
          </w:p>
        </w:tc>
        <w:tc>
          <w:tcPr>
            <w:tcW w:w="1337" w:type="pct"/>
            <w:tcBorders>
              <w:tl2br w:val="nil"/>
              <w:tr2bl w:val="nil"/>
            </w:tcBorders>
            <w:vAlign w:val="center"/>
          </w:tcPr>
          <w:p w14:paraId="2EF03B01">
            <w:pPr>
              <w:pStyle w:val="41"/>
              <w:rPr>
                <w:color w:val="auto"/>
                <w:highlight w:val="none"/>
              </w:rPr>
            </w:pPr>
            <w:r>
              <w:rPr>
                <w:rFonts w:hint="eastAsia"/>
                <w:color w:val="auto"/>
                <w:highlight w:val="none"/>
              </w:rPr>
              <w:t>电动双梁桥式起重机</w:t>
            </w:r>
          </w:p>
        </w:tc>
        <w:tc>
          <w:tcPr>
            <w:tcW w:w="1280" w:type="pct"/>
            <w:tcBorders>
              <w:tl2br w:val="nil"/>
              <w:tr2bl w:val="nil"/>
            </w:tcBorders>
            <w:vAlign w:val="center"/>
          </w:tcPr>
          <w:p w14:paraId="51146888">
            <w:pPr>
              <w:pStyle w:val="41"/>
              <w:rPr>
                <w:color w:val="auto"/>
                <w:highlight w:val="none"/>
              </w:rPr>
            </w:pPr>
            <w:r>
              <w:rPr>
                <w:rFonts w:hint="eastAsia"/>
                <w:color w:val="auto"/>
                <w:highlight w:val="none"/>
              </w:rPr>
              <w:t>Q=20t/5t</w:t>
            </w:r>
            <w:r>
              <w:rPr>
                <w:rFonts w:hint="eastAsia"/>
                <w:color w:val="auto"/>
                <w:highlight w:val="none"/>
                <w:lang w:eastAsia="zh-CN"/>
              </w:rPr>
              <w:t>,</w:t>
            </w:r>
            <w:r>
              <w:rPr>
                <w:rFonts w:hint="eastAsia"/>
                <w:color w:val="auto"/>
                <w:highlight w:val="none"/>
              </w:rPr>
              <w:t xml:space="preserve"> L=22.5m</w:t>
            </w:r>
          </w:p>
        </w:tc>
        <w:tc>
          <w:tcPr>
            <w:tcW w:w="803" w:type="pct"/>
            <w:tcBorders>
              <w:tl2br w:val="nil"/>
              <w:tr2bl w:val="nil"/>
            </w:tcBorders>
            <w:vAlign w:val="center"/>
          </w:tcPr>
          <w:p w14:paraId="16FB1B13">
            <w:pPr>
              <w:pStyle w:val="41"/>
              <w:rPr>
                <w:color w:val="auto"/>
                <w:highlight w:val="none"/>
              </w:rPr>
            </w:pPr>
            <w:r>
              <w:rPr>
                <w:rFonts w:hint="eastAsia"/>
                <w:color w:val="auto"/>
                <w:highlight w:val="none"/>
              </w:rPr>
              <w:t>1</w:t>
            </w:r>
          </w:p>
        </w:tc>
        <w:tc>
          <w:tcPr>
            <w:tcW w:w="406" w:type="pct"/>
            <w:tcBorders>
              <w:tl2br w:val="nil"/>
              <w:tr2bl w:val="nil"/>
            </w:tcBorders>
            <w:vAlign w:val="center"/>
          </w:tcPr>
          <w:p w14:paraId="3A4A706F">
            <w:pPr>
              <w:pStyle w:val="41"/>
              <w:rPr>
                <w:color w:val="auto"/>
                <w:highlight w:val="none"/>
              </w:rPr>
            </w:pPr>
          </w:p>
        </w:tc>
      </w:tr>
    </w:tbl>
    <w:p w14:paraId="1D562450">
      <w:pPr>
        <w:pStyle w:val="3"/>
        <w:ind w:firstLine="480"/>
        <w:rPr>
          <w:color w:val="auto"/>
          <w:highlight w:val="none"/>
        </w:rPr>
      </w:pPr>
      <w:r>
        <w:rPr>
          <w:rFonts w:hint="eastAsia"/>
          <w:color w:val="auto"/>
          <w:highlight w:val="none"/>
        </w:rPr>
        <w:t>（3）除铁设施</w:t>
      </w:r>
    </w:p>
    <w:p w14:paraId="0CBBD57A">
      <w:pPr>
        <w:pStyle w:val="3"/>
        <w:ind w:firstLine="480"/>
        <w:rPr>
          <w:color w:val="auto"/>
          <w:highlight w:val="none"/>
        </w:rPr>
      </w:pPr>
      <w:r>
        <w:rPr>
          <w:color w:val="auto"/>
          <w:highlight w:val="none"/>
        </w:rPr>
        <w:t>为了防止铁件、铁器等进入圆锥破碎机腔内，保障圆锥破碎机</w:t>
      </w:r>
      <w:r>
        <w:rPr>
          <w:rFonts w:hint="eastAsia"/>
          <w:color w:val="auto"/>
          <w:highlight w:val="none"/>
        </w:rPr>
        <w:t>和筛分机</w:t>
      </w:r>
      <w:r>
        <w:rPr>
          <w:color w:val="auto"/>
          <w:highlight w:val="none"/>
        </w:rPr>
        <w:t>的安全、正常运行，在胶带输送机的适当部位安装铁矿专用的除铁装置。</w:t>
      </w:r>
    </w:p>
    <w:p w14:paraId="1CF95694">
      <w:pPr>
        <w:pStyle w:val="3"/>
        <w:ind w:firstLine="480"/>
        <w:rPr>
          <w:color w:val="auto"/>
          <w:highlight w:val="none"/>
        </w:rPr>
      </w:pPr>
      <w:r>
        <w:rPr>
          <w:rFonts w:hint="eastAsia"/>
          <w:color w:val="auto"/>
          <w:highlight w:val="none"/>
        </w:rPr>
        <w:t>（4）计量设施</w:t>
      </w:r>
    </w:p>
    <w:p w14:paraId="247B3A84">
      <w:pPr>
        <w:pStyle w:val="3"/>
        <w:ind w:firstLine="480"/>
        <w:rPr>
          <w:color w:val="auto"/>
          <w:highlight w:val="none"/>
        </w:rPr>
      </w:pPr>
      <w:r>
        <w:rPr>
          <w:color w:val="auto"/>
          <w:highlight w:val="none"/>
        </w:rPr>
        <w:t>在球磨机给料胶带输送机上安装有电子秤，对球磨机的给料进行监测、计量，使球磨机高质量运行。</w:t>
      </w:r>
    </w:p>
    <w:p w14:paraId="2680B01F">
      <w:pPr>
        <w:pStyle w:val="42"/>
        <w:rPr>
          <w:rFonts w:hint="default"/>
          <w:color w:val="auto"/>
          <w:highlight w:val="none"/>
        </w:rPr>
      </w:pPr>
      <w:r>
        <w:rPr>
          <w:color w:val="auto"/>
          <w:highlight w:val="none"/>
        </w:rPr>
        <w:t>公用工程</w:t>
      </w:r>
    </w:p>
    <w:p w14:paraId="31F16AC2">
      <w:pPr>
        <w:pStyle w:val="43"/>
        <w:rPr>
          <w:color w:val="auto"/>
          <w:highlight w:val="none"/>
        </w:rPr>
      </w:pPr>
      <w:r>
        <w:rPr>
          <w:rFonts w:hint="eastAsia"/>
          <w:color w:val="auto"/>
          <w:highlight w:val="none"/>
        </w:rPr>
        <w:t>给排水</w:t>
      </w:r>
    </w:p>
    <w:p w14:paraId="3E9B72A1">
      <w:pPr>
        <w:pStyle w:val="3"/>
        <w:ind w:firstLine="480"/>
        <w:rPr>
          <w:color w:val="auto"/>
          <w:highlight w:val="none"/>
        </w:rPr>
      </w:pPr>
      <w:r>
        <w:rPr>
          <w:rFonts w:hint="eastAsia"/>
          <w:color w:val="auto"/>
          <w:highlight w:val="none"/>
        </w:rPr>
        <w:t>（</w:t>
      </w:r>
      <w:r>
        <w:rPr>
          <w:rFonts w:hint="eastAsia"/>
          <w:color w:val="auto"/>
          <w:highlight w:val="none"/>
          <w:lang w:val="en-US" w:eastAsia="zh-CN"/>
        </w:rPr>
        <w:t>1</w:t>
      </w:r>
      <w:r>
        <w:rPr>
          <w:rFonts w:hint="eastAsia"/>
          <w:color w:val="auto"/>
          <w:highlight w:val="none"/>
        </w:rPr>
        <w:t>）给水水源</w:t>
      </w:r>
    </w:p>
    <w:p w14:paraId="4CFDD8F0">
      <w:pPr>
        <w:pStyle w:val="3"/>
        <w:ind w:firstLine="480"/>
        <w:rPr>
          <w:color w:val="auto"/>
          <w:highlight w:val="none"/>
        </w:rPr>
      </w:pPr>
      <w:r>
        <w:rPr>
          <w:rFonts w:hint="eastAsia"/>
          <w:color w:val="auto"/>
          <w:highlight w:val="none"/>
        </w:rPr>
        <w:t>本项目选矿厂用水采用</w:t>
      </w:r>
      <w:r>
        <w:rPr>
          <w:rFonts w:hint="eastAsia"/>
          <w:color w:val="auto"/>
          <w:highlight w:val="none"/>
          <w:lang w:eastAsia="zh-CN"/>
        </w:rPr>
        <w:t>现有</w:t>
      </w:r>
      <w:r>
        <w:rPr>
          <w:rFonts w:hint="eastAsia"/>
          <w:color w:val="auto"/>
          <w:highlight w:val="none"/>
        </w:rPr>
        <w:t>2眼机井取水。取水口位于阿图什市哈拉峻乡哈拉峻盆地，取水井地理坐标为：一号井东经76°36'54.5184"，北纬40°4'8.094"。2号井东经76°37'4.425"，北纬40°4'8.4646"，取水方式为“机井+水泵”抽取。可采用埋地管线流入取水泵房的集水池，水质、水量均可得到保障，可满足生活和生产需要。</w:t>
      </w:r>
    </w:p>
    <w:p w14:paraId="1599519F">
      <w:pPr>
        <w:pStyle w:val="3"/>
        <w:ind w:firstLine="480"/>
        <w:rPr>
          <w:color w:val="auto"/>
          <w:highlight w:val="none"/>
        </w:rPr>
      </w:pPr>
      <w:r>
        <w:rPr>
          <w:rFonts w:hint="eastAsia"/>
          <w:color w:val="auto"/>
          <w:highlight w:val="none"/>
        </w:rPr>
        <w:t>（</w:t>
      </w:r>
      <w:r>
        <w:rPr>
          <w:rFonts w:hint="eastAsia"/>
          <w:color w:val="auto"/>
          <w:highlight w:val="none"/>
          <w:lang w:val="en-US" w:eastAsia="zh-CN"/>
        </w:rPr>
        <w:t>2</w:t>
      </w:r>
      <w:r>
        <w:rPr>
          <w:rFonts w:hint="eastAsia"/>
          <w:color w:val="auto"/>
          <w:highlight w:val="none"/>
        </w:rPr>
        <w:t>）用水量</w:t>
      </w:r>
    </w:p>
    <w:p w14:paraId="35DCFCA1">
      <w:pPr>
        <w:pStyle w:val="3"/>
        <w:ind w:firstLine="480"/>
        <w:rPr>
          <w:color w:val="auto"/>
          <w:highlight w:val="none"/>
        </w:rPr>
      </w:pPr>
      <w:r>
        <w:rPr>
          <w:rFonts w:hint="eastAsia"/>
          <w:color w:val="auto"/>
          <w:highlight w:val="none"/>
        </w:rPr>
        <w:t>1）生活用水</w:t>
      </w:r>
    </w:p>
    <w:p w14:paraId="79D48B58">
      <w:pPr>
        <w:pStyle w:val="3"/>
        <w:ind w:firstLine="480"/>
        <w:rPr>
          <w:color w:val="auto"/>
          <w:highlight w:val="none"/>
        </w:rPr>
      </w:pPr>
      <w:r>
        <w:rPr>
          <w:rFonts w:hint="eastAsia"/>
          <w:color w:val="auto"/>
          <w:highlight w:val="none"/>
        </w:rPr>
        <w:t>生活用水量包括办公</w:t>
      </w:r>
      <w:r>
        <w:rPr>
          <w:rFonts w:hint="eastAsia"/>
          <w:color w:val="auto"/>
          <w:highlight w:val="none"/>
          <w:lang w:eastAsia="zh-CN"/>
        </w:rPr>
        <w:t>生活</w:t>
      </w:r>
      <w:r>
        <w:rPr>
          <w:rFonts w:hint="eastAsia"/>
          <w:color w:val="auto"/>
          <w:highlight w:val="none"/>
        </w:rPr>
        <w:t>用水、食堂餐饮用水和宿舍用水。</w:t>
      </w:r>
    </w:p>
    <w:p w14:paraId="69F2AD85">
      <w:pPr>
        <w:pStyle w:val="3"/>
        <w:ind w:firstLine="480"/>
        <w:rPr>
          <w:color w:val="auto"/>
          <w:highlight w:val="none"/>
        </w:rPr>
      </w:pPr>
      <w:r>
        <w:rPr>
          <w:rFonts w:hint="eastAsia"/>
          <w:color w:val="auto"/>
          <w:highlight w:val="none"/>
        </w:rPr>
        <w:t>根据《建筑给水排水设计标准》GB 50015-2019表3.2.2公共建筑生活用水定额及小时变化系数，办公</w:t>
      </w:r>
      <w:r>
        <w:rPr>
          <w:rFonts w:hint="eastAsia"/>
          <w:color w:val="auto"/>
          <w:highlight w:val="none"/>
          <w:lang w:eastAsia="zh-CN"/>
        </w:rPr>
        <w:t>生活</w:t>
      </w:r>
      <w:r>
        <w:rPr>
          <w:rFonts w:hint="eastAsia"/>
          <w:color w:val="auto"/>
          <w:highlight w:val="none"/>
        </w:rPr>
        <w:t>用水定额按25L/人·班计，食堂餐饮用水定额按15L/人·次计，宿舍用水定额按90L/人·d计，选矿厂年工作300天，每天3班，达到设计生产规模时的劳动定员共需287人，则各系统用水量计算如下：</w:t>
      </w:r>
    </w:p>
    <w:p w14:paraId="1DF7BF94">
      <w:pPr>
        <w:pStyle w:val="3"/>
        <w:ind w:firstLine="480"/>
        <w:rPr>
          <w:color w:val="auto"/>
          <w:highlight w:val="none"/>
        </w:rPr>
      </w:pPr>
      <w:r>
        <w:rPr>
          <w:rFonts w:hint="eastAsia"/>
          <w:color w:val="auto"/>
          <w:highlight w:val="none"/>
        </w:rPr>
        <w:t>办公</w:t>
      </w:r>
      <w:r>
        <w:rPr>
          <w:rFonts w:hint="eastAsia"/>
          <w:color w:val="auto"/>
          <w:highlight w:val="none"/>
          <w:lang w:eastAsia="zh-CN"/>
        </w:rPr>
        <w:t>生活</w:t>
      </w:r>
      <w:r>
        <w:rPr>
          <w:rFonts w:hint="eastAsia"/>
          <w:color w:val="auto"/>
          <w:highlight w:val="none"/>
        </w:rPr>
        <w:t>用水量=25×287×3÷1000=21.53m</w:t>
      </w:r>
      <w:r>
        <w:rPr>
          <w:rFonts w:hint="eastAsia"/>
          <w:color w:val="auto"/>
          <w:highlight w:val="none"/>
          <w:vertAlign w:val="superscript"/>
          <w:lang w:val="en-US" w:eastAsia="zh-CN"/>
        </w:rPr>
        <w:t>3</w:t>
      </w:r>
      <w:r>
        <w:rPr>
          <w:rFonts w:hint="eastAsia"/>
          <w:color w:val="auto"/>
          <w:highlight w:val="none"/>
        </w:rPr>
        <w:t>/d</w:t>
      </w:r>
    </w:p>
    <w:p w14:paraId="447D58B2">
      <w:pPr>
        <w:pStyle w:val="3"/>
        <w:ind w:firstLine="480"/>
        <w:rPr>
          <w:color w:val="auto"/>
          <w:highlight w:val="none"/>
        </w:rPr>
      </w:pPr>
      <w:r>
        <w:rPr>
          <w:rFonts w:hint="eastAsia"/>
          <w:color w:val="auto"/>
          <w:highlight w:val="none"/>
        </w:rPr>
        <w:t>食堂餐饮用水量=15×287×3÷1000=12.92m</w:t>
      </w:r>
      <w:r>
        <w:rPr>
          <w:rFonts w:hint="eastAsia"/>
          <w:color w:val="auto"/>
          <w:highlight w:val="none"/>
          <w:vertAlign w:val="superscript"/>
          <w:lang w:val="en-US" w:eastAsia="zh-CN"/>
        </w:rPr>
        <w:t>3</w:t>
      </w:r>
      <w:r>
        <w:rPr>
          <w:rFonts w:hint="eastAsia"/>
          <w:color w:val="auto"/>
          <w:highlight w:val="none"/>
        </w:rPr>
        <w:t>/d</w:t>
      </w:r>
    </w:p>
    <w:p w14:paraId="17C08CE4">
      <w:pPr>
        <w:pStyle w:val="3"/>
        <w:ind w:firstLine="480"/>
        <w:rPr>
          <w:color w:val="auto"/>
          <w:highlight w:val="none"/>
        </w:rPr>
      </w:pPr>
      <w:r>
        <w:rPr>
          <w:rFonts w:hint="eastAsia"/>
          <w:color w:val="auto"/>
          <w:highlight w:val="none"/>
        </w:rPr>
        <w:t>宿舍用水量=90×287÷1000=25.83m</w:t>
      </w:r>
      <w:r>
        <w:rPr>
          <w:rFonts w:hint="eastAsia"/>
          <w:color w:val="auto"/>
          <w:highlight w:val="none"/>
          <w:vertAlign w:val="superscript"/>
          <w:lang w:val="en-US" w:eastAsia="zh-CN"/>
        </w:rPr>
        <w:t>3</w:t>
      </w:r>
      <w:r>
        <w:rPr>
          <w:rFonts w:hint="eastAsia"/>
          <w:color w:val="auto"/>
          <w:highlight w:val="none"/>
        </w:rPr>
        <w:t>/d</w:t>
      </w:r>
    </w:p>
    <w:p w14:paraId="50E9D3B4">
      <w:pPr>
        <w:pStyle w:val="3"/>
        <w:ind w:firstLine="480"/>
        <w:rPr>
          <w:color w:val="auto"/>
          <w:highlight w:val="none"/>
        </w:rPr>
      </w:pPr>
      <w:r>
        <w:rPr>
          <w:rFonts w:hint="eastAsia"/>
          <w:color w:val="auto"/>
          <w:highlight w:val="none"/>
        </w:rPr>
        <w:t>生活用水量=21.53+12.92+25.83=60.28m</w:t>
      </w:r>
      <w:r>
        <w:rPr>
          <w:rFonts w:hint="eastAsia"/>
          <w:color w:val="auto"/>
          <w:highlight w:val="none"/>
          <w:vertAlign w:val="superscript"/>
          <w:lang w:val="en-US" w:eastAsia="zh-CN"/>
        </w:rPr>
        <w:t>3</w:t>
      </w:r>
      <w:r>
        <w:rPr>
          <w:rFonts w:hint="eastAsia"/>
          <w:color w:val="auto"/>
          <w:highlight w:val="none"/>
        </w:rPr>
        <w:t>/d</w:t>
      </w:r>
    </w:p>
    <w:p w14:paraId="356B882B">
      <w:pPr>
        <w:pStyle w:val="3"/>
        <w:ind w:firstLine="480"/>
        <w:rPr>
          <w:color w:val="auto"/>
          <w:highlight w:val="none"/>
        </w:rPr>
      </w:pPr>
      <w:r>
        <w:rPr>
          <w:rFonts w:hint="eastAsia"/>
          <w:color w:val="auto"/>
          <w:highlight w:val="none"/>
        </w:rPr>
        <w:t>未预见用水量=60.28×0.1=6.03</w:t>
      </w:r>
    </w:p>
    <w:p w14:paraId="7953A30C">
      <w:pPr>
        <w:pStyle w:val="3"/>
        <w:ind w:firstLine="480"/>
        <w:rPr>
          <w:color w:val="auto"/>
          <w:highlight w:val="none"/>
        </w:rPr>
      </w:pPr>
      <w:r>
        <w:rPr>
          <w:rFonts w:hint="eastAsia"/>
          <w:color w:val="auto"/>
          <w:highlight w:val="none"/>
        </w:rPr>
        <w:t>总用水量=21.53+6.03=66.31m</w:t>
      </w:r>
      <w:r>
        <w:rPr>
          <w:rFonts w:hint="eastAsia"/>
          <w:color w:val="auto"/>
          <w:highlight w:val="none"/>
          <w:vertAlign w:val="superscript"/>
          <w:lang w:val="en-US" w:eastAsia="zh-CN"/>
        </w:rPr>
        <w:t>3</w:t>
      </w:r>
      <w:r>
        <w:rPr>
          <w:rFonts w:hint="eastAsia"/>
          <w:color w:val="auto"/>
          <w:highlight w:val="none"/>
        </w:rPr>
        <w:t>/d</w:t>
      </w:r>
    </w:p>
    <w:p w14:paraId="18A303DD">
      <w:pPr>
        <w:pStyle w:val="3"/>
        <w:ind w:firstLine="480"/>
        <w:rPr>
          <w:color w:val="auto"/>
          <w:highlight w:val="none"/>
        </w:rPr>
      </w:pPr>
      <w:r>
        <w:rPr>
          <w:rFonts w:hint="eastAsia"/>
          <w:color w:val="auto"/>
          <w:highlight w:val="none"/>
        </w:rPr>
        <w:t>2）消防用水量</w:t>
      </w:r>
    </w:p>
    <w:p w14:paraId="40D7FC8B">
      <w:pPr>
        <w:pStyle w:val="3"/>
        <w:ind w:firstLine="480"/>
        <w:rPr>
          <w:color w:val="auto"/>
          <w:highlight w:val="none"/>
        </w:rPr>
      </w:pPr>
      <w:r>
        <w:rPr>
          <w:rFonts w:hint="eastAsia"/>
          <w:color w:val="auto"/>
          <w:highlight w:val="none"/>
        </w:rPr>
        <w:t>室内一次消防用水量108m</w:t>
      </w:r>
      <w:r>
        <w:rPr>
          <w:rFonts w:hint="eastAsia"/>
          <w:color w:val="auto"/>
          <w:highlight w:val="none"/>
          <w:vertAlign w:val="superscript"/>
          <w:lang w:val="en-US" w:eastAsia="zh-CN"/>
        </w:rPr>
        <w:t>3</w:t>
      </w:r>
      <w:r>
        <w:rPr>
          <w:rFonts w:hint="eastAsia"/>
          <w:color w:val="auto"/>
          <w:highlight w:val="none"/>
        </w:rPr>
        <w:t>，室外一次消防用水量216m</w:t>
      </w:r>
      <w:r>
        <w:rPr>
          <w:rFonts w:hint="eastAsia"/>
          <w:color w:val="auto"/>
          <w:highlight w:val="none"/>
          <w:vertAlign w:val="superscript"/>
        </w:rPr>
        <w:t>3</w:t>
      </w:r>
      <w:r>
        <w:rPr>
          <w:rFonts w:hint="eastAsia"/>
          <w:color w:val="auto"/>
          <w:highlight w:val="none"/>
        </w:rPr>
        <w:t>。</w:t>
      </w:r>
    </w:p>
    <w:p w14:paraId="3900305F">
      <w:pPr>
        <w:pStyle w:val="3"/>
        <w:ind w:firstLine="480"/>
        <w:rPr>
          <w:color w:val="auto"/>
          <w:highlight w:val="none"/>
        </w:rPr>
      </w:pPr>
      <w:r>
        <w:rPr>
          <w:rFonts w:hint="eastAsia"/>
          <w:color w:val="auto"/>
          <w:highlight w:val="none"/>
        </w:rPr>
        <w:t>3）生产用水量</w:t>
      </w:r>
    </w:p>
    <w:p w14:paraId="536EC908">
      <w:pPr>
        <w:pStyle w:val="12"/>
        <w:ind w:firstLine="480" w:firstLineChars="200"/>
        <w:rPr>
          <w:color w:val="auto"/>
          <w:highlight w:val="none"/>
        </w:rPr>
      </w:pPr>
      <w:r>
        <w:rPr>
          <w:rFonts w:hint="eastAsia"/>
          <w:color w:val="auto"/>
          <w:highlight w:val="none"/>
        </w:rPr>
        <w:t>本项目生产用水量为</w:t>
      </w:r>
      <w:r>
        <w:rPr>
          <w:rFonts w:hint="eastAsia"/>
          <w:color w:val="auto"/>
          <w:highlight w:val="none"/>
          <w:lang w:val="en-US" w:eastAsia="zh-CN"/>
        </w:rPr>
        <w:t>1522.27</w:t>
      </w:r>
      <w:r>
        <w:rPr>
          <w:rFonts w:hint="eastAsia"/>
          <w:color w:val="auto"/>
          <w:highlight w:val="none"/>
        </w:rPr>
        <w:t>万m</w:t>
      </w:r>
      <w:r>
        <w:rPr>
          <w:rFonts w:hint="eastAsia"/>
          <w:color w:val="auto"/>
          <w:highlight w:val="none"/>
          <w:vertAlign w:val="superscript"/>
        </w:rPr>
        <w:t>3</w:t>
      </w:r>
      <w:r>
        <w:rPr>
          <w:rFonts w:hint="eastAsia"/>
          <w:color w:val="auto"/>
          <w:highlight w:val="none"/>
        </w:rPr>
        <w:t>/a，其中一期生产线用水量为</w:t>
      </w:r>
      <w:r>
        <w:rPr>
          <w:rFonts w:hint="eastAsia"/>
          <w:color w:val="auto"/>
          <w:highlight w:val="none"/>
          <w:lang w:val="en-US" w:eastAsia="zh-CN"/>
        </w:rPr>
        <w:t>1275</w:t>
      </w:r>
      <w:r>
        <w:rPr>
          <w:rFonts w:hint="eastAsia"/>
          <w:color w:val="auto"/>
          <w:highlight w:val="none"/>
        </w:rPr>
        <w:t>万m</w:t>
      </w:r>
      <w:r>
        <w:rPr>
          <w:rFonts w:hint="eastAsia"/>
          <w:color w:val="auto"/>
          <w:highlight w:val="none"/>
          <w:vertAlign w:val="superscript"/>
        </w:rPr>
        <w:t>3</w:t>
      </w:r>
      <w:r>
        <w:rPr>
          <w:rFonts w:hint="eastAsia"/>
          <w:color w:val="auto"/>
          <w:highlight w:val="none"/>
        </w:rPr>
        <w:t>/a，</w:t>
      </w:r>
      <w:r>
        <w:rPr>
          <w:rFonts w:hint="eastAsia"/>
          <w:color w:val="auto"/>
          <w:highlight w:val="none"/>
          <w:lang w:val="en-US" w:eastAsia="zh-CN"/>
        </w:rPr>
        <w:t>未预见用水量万155.9万</w:t>
      </w:r>
      <w:r>
        <w:rPr>
          <w:rFonts w:hint="eastAsia"/>
          <w:color w:val="auto"/>
          <w:highlight w:val="none"/>
        </w:rPr>
        <w:t>m</w:t>
      </w:r>
      <w:r>
        <w:rPr>
          <w:rFonts w:hint="eastAsia"/>
          <w:color w:val="auto"/>
          <w:highlight w:val="none"/>
          <w:vertAlign w:val="superscript"/>
        </w:rPr>
        <w:t>3</w:t>
      </w:r>
      <w:r>
        <w:rPr>
          <w:rFonts w:hint="eastAsia"/>
          <w:color w:val="auto"/>
          <w:highlight w:val="none"/>
        </w:rPr>
        <w:t>/a，</w:t>
      </w:r>
      <w:r>
        <w:rPr>
          <w:rFonts w:hint="eastAsia"/>
          <w:color w:val="auto"/>
          <w:highlight w:val="none"/>
          <w:lang w:val="en-US" w:eastAsia="zh-CN"/>
        </w:rPr>
        <w:t>循环水合计1430.9万</w:t>
      </w:r>
      <w:r>
        <w:rPr>
          <w:rFonts w:hint="eastAsia"/>
          <w:color w:val="auto"/>
          <w:highlight w:val="none"/>
        </w:rPr>
        <w:t>m</w:t>
      </w:r>
      <w:r>
        <w:rPr>
          <w:rFonts w:hint="eastAsia"/>
          <w:color w:val="auto"/>
          <w:highlight w:val="none"/>
          <w:vertAlign w:val="superscript"/>
        </w:rPr>
        <w:t>3</w:t>
      </w:r>
      <w:r>
        <w:rPr>
          <w:rFonts w:hint="eastAsia"/>
          <w:color w:val="auto"/>
          <w:highlight w:val="none"/>
        </w:rPr>
        <w:t>/a，</w:t>
      </w:r>
      <w:r>
        <w:rPr>
          <w:rFonts w:hint="eastAsia"/>
          <w:color w:val="auto"/>
          <w:highlight w:val="none"/>
          <w:lang w:val="en-US" w:eastAsia="zh-CN"/>
        </w:rPr>
        <w:t>蒸发水量（补加新水）80.04万</w:t>
      </w:r>
      <w:r>
        <w:rPr>
          <w:rFonts w:hint="eastAsia"/>
          <w:color w:val="auto"/>
          <w:highlight w:val="none"/>
        </w:rPr>
        <w:t>m</w:t>
      </w:r>
      <w:r>
        <w:rPr>
          <w:rFonts w:hint="eastAsia"/>
          <w:color w:val="auto"/>
          <w:highlight w:val="none"/>
          <w:vertAlign w:val="superscript"/>
        </w:rPr>
        <w:t>3</w:t>
      </w:r>
      <w:r>
        <w:rPr>
          <w:rFonts w:hint="eastAsia"/>
          <w:color w:val="auto"/>
          <w:highlight w:val="none"/>
        </w:rPr>
        <w:t>/a，绿化用水量为5.52万m</w:t>
      </w:r>
      <w:r>
        <w:rPr>
          <w:rFonts w:hint="eastAsia"/>
          <w:color w:val="auto"/>
          <w:highlight w:val="none"/>
          <w:vertAlign w:val="superscript"/>
        </w:rPr>
        <w:t>3</w:t>
      </w:r>
      <w:r>
        <w:rPr>
          <w:rFonts w:hint="eastAsia"/>
          <w:color w:val="auto"/>
          <w:highlight w:val="none"/>
        </w:rPr>
        <w:t>/a，道路及场地洒水量为5.67万m</w:t>
      </w:r>
      <w:r>
        <w:rPr>
          <w:rFonts w:hint="eastAsia"/>
          <w:color w:val="auto"/>
          <w:highlight w:val="none"/>
          <w:vertAlign w:val="superscript"/>
        </w:rPr>
        <w:t>3</w:t>
      </w:r>
      <w:r>
        <w:rPr>
          <w:rFonts w:hint="eastAsia"/>
          <w:color w:val="auto"/>
          <w:highlight w:val="none"/>
        </w:rPr>
        <w:t>/a，</w:t>
      </w:r>
      <w:r>
        <w:rPr>
          <w:rFonts w:hint="eastAsia"/>
          <w:color w:val="auto"/>
          <w:highlight w:val="none"/>
          <w:lang w:val="en-US" w:eastAsia="zh-CN"/>
        </w:rPr>
        <w:t>脱硫塔补水量0.14万</w:t>
      </w:r>
      <w:r>
        <w:rPr>
          <w:rFonts w:hint="eastAsia"/>
          <w:color w:val="auto"/>
          <w:highlight w:val="none"/>
        </w:rPr>
        <w:t>m</w:t>
      </w:r>
      <w:r>
        <w:rPr>
          <w:rFonts w:hint="eastAsia"/>
          <w:color w:val="auto"/>
          <w:highlight w:val="none"/>
          <w:vertAlign w:val="superscript"/>
        </w:rPr>
        <w:t>3</w:t>
      </w:r>
      <w:r>
        <w:rPr>
          <w:rFonts w:hint="eastAsia"/>
          <w:color w:val="auto"/>
          <w:highlight w:val="none"/>
        </w:rPr>
        <w:t>/a。</w:t>
      </w:r>
    </w:p>
    <w:p w14:paraId="58D635B8">
      <w:pPr>
        <w:pStyle w:val="3"/>
        <w:ind w:firstLine="480"/>
        <w:rPr>
          <w:color w:val="auto"/>
          <w:highlight w:val="none"/>
        </w:rPr>
      </w:pPr>
      <w:r>
        <w:rPr>
          <w:rFonts w:hint="eastAsia"/>
          <w:color w:val="auto"/>
          <w:highlight w:val="none"/>
        </w:rPr>
        <w:t>4）总用水量</w:t>
      </w:r>
    </w:p>
    <w:p w14:paraId="329C2E90">
      <w:pPr>
        <w:pStyle w:val="3"/>
        <w:ind w:firstLine="480"/>
        <w:rPr>
          <w:color w:val="auto"/>
          <w:highlight w:val="none"/>
        </w:rPr>
      </w:pPr>
      <w:r>
        <w:rPr>
          <w:rFonts w:hint="eastAsia"/>
          <w:color w:val="auto"/>
          <w:highlight w:val="none"/>
        </w:rPr>
        <w:t>本项目生产生活总用水量为</w:t>
      </w:r>
      <w:r>
        <w:rPr>
          <w:rFonts w:hint="eastAsia"/>
          <w:color w:val="auto"/>
          <w:highlight w:val="none"/>
          <w:lang w:val="en-US" w:eastAsia="zh-CN"/>
        </w:rPr>
        <w:t>1524.26</w:t>
      </w:r>
      <w:r>
        <w:rPr>
          <w:rFonts w:hint="eastAsia"/>
          <w:color w:val="auto"/>
          <w:highlight w:val="none"/>
        </w:rPr>
        <w:t>万m</w:t>
      </w:r>
      <w:r>
        <w:rPr>
          <w:rFonts w:hint="eastAsia"/>
          <w:color w:val="auto"/>
          <w:highlight w:val="none"/>
          <w:vertAlign w:val="superscript"/>
        </w:rPr>
        <w:t>3</w:t>
      </w:r>
      <w:r>
        <w:rPr>
          <w:rFonts w:hint="eastAsia"/>
          <w:color w:val="auto"/>
          <w:highlight w:val="none"/>
        </w:rPr>
        <w:t>/a，其中：新水取水</w:t>
      </w:r>
      <w:r>
        <w:rPr>
          <w:rFonts w:hint="eastAsia"/>
          <w:color w:val="auto"/>
          <w:highlight w:val="none"/>
          <w:lang w:val="en-US" w:eastAsia="zh-CN"/>
        </w:rPr>
        <w:t>91.73</w:t>
      </w:r>
      <w:r>
        <w:rPr>
          <w:rFonts w:hint="eastAsia"/>
          <w:color w:val="auto"/>
          <w:highlight w:val="none"/>
        </w:rPr>
        <w:t>万m</w:t>
      </w:r>
      <w:r>
        <w:rPr>
          <w:rFonts w:hint="eastAsia"/>
          <w:color w:val="auto"/>
          <w:highlight w:val="none"/>
          <w:vertAlign w:val="superscript"/>
        </w:rPr>
        <w:t>3</w:t>
      </w:r>
      <w:r>
        <w:rPr>
          <w:rFonts w:hint="eastAsia"/>
          <w:color w:val="auto"/>
          <w:highlight w:val="none"/>
        </w:rPr>
        <w:t>/a（生活取用新水量为1.99万m</w:t>
      </w:r>
      <w:r>
        <w:rPr>
          <w:rFonts w:hint="eastAsia"/>
          <w:color w:val="auto"/>
          <w:highlight w:val="none"/>
          <w:vertAlign w:val="superscript"/>
        </w:rPr>
        <w:t>3</w:t>
      </w:r>
      <w:r>
        <w:rPr>
          <w:rFonts w:hint="eastAsia"/>
          <w:color w:val="auto"/>
          <w:highlight w:val="none"/>
        </w:rPr>
        <w:t>/a，生产取用新水量为</w:t>
      </w:r>
      <w:r>
        <w:rPr>
          <w:rFonts w:hint="eastAsia"/>
          <w:color w:val="auto"/>
          <w:highlight w:val="none"/>
          <w:lang w:val="en-US" w:eastAsia="zh-CN"/>
        </w:rPr>
        <w:t>89.74</w:t>
      </w:r>
      <w:r>
        <w:rPr>
          <w:rFonts w:hint="eastAsia"/>
          <w:color w:val="auto"/>
          <w:highlight w:val="none"/>
        </w:rPr>
        <w:t>万m</w:t>
      </w:r>
      <w:r>
        <w:rPr>
          <w:rFonts w:hint="eastAsia"/>
          <w:color w:val="auto"/>
          <w:highlight w:val="none"/>
          <w:vertAlign w:val="superscript"/>
        </w:rPr>
        <w:t>3</w:t>
      </w:r>
      <w:r>
        <w:rPr>
          <w:rFonts w:hint="eastAsia"/>
          <w:color w:val="auto"/>
          <w:highlight w:val="none"/>
        </w:rPr>
        <w:t>/a），循环重复利用水量为</w:t>
      </w:r>
      <w:r>
        <w:rPr>
          <w:rFonts w:hint="eastAsia"/>
          <w:color w:val="auto"/>
          <w:highlight w:val="none"/>
          <w:lang w:val="en-US" w:eastAsia="zh-CN"/>
        </w:rPr>
        <w:t>1432.53</w:t>
      </w:r>
      <w:r>
        <w:rPr>
          <w:rFonts w:hint="eastAsia"/>
          <w:color w:val="auto"/>
          <w:highlight w:val="none"/>
        </w:rPr>
        <w:t>万m</w:t>
      </w:r>
      <w:r>
        <w:rPr>
          <w:rFonts w:hint="eastAsia"/>
          <w:color w:val="auto"/>
          <w:highlight w:val="none"/>
          <w:vertAlign w:val="superscript"/>
        </w:rPr>
        <w:t>3</w:t>
      </w:r>
      <w:r>
        <w:rPr>
          <w:rFonts w:hint="eastAsia"/>
          <w:color w:val="auto"/>
          <w:highlight w:val="none"/>
        </w:rPr>
        <w:t>/a（生活污水1.63万m</w:t>
      </w:r>
      <w:r>
        <w:rPr>
          <w:rFonts w:hint="eastAsia"/>
          <w:color w:val="auto"/>
          <w:highlight w:val="none"/>
          <w:vertAlign w:val="superscript"/>
        </w:rPr>
        <w:t>3</w:t>
      </w:r>
      <w:r>
        <w:rPr>
          <w:rFonts w:hint="eastAsia"/>
          <w:color w:val="auto"/>
          <w:highlight w:val="none"/>
        </w:rPr>
        <w:t>/a，生产循环用水量为</w:t>
      </w:r>
      <w:r>
        <w:rPr>
          <w:rFonts w:hint="eastAsia"/>
          <w:color w:val="auto"/>
          <w:highlight w:val="none"/>
          <w:lang w:val="en-US" w:eastAsia="zh-CN"/>
        </w:rPr>
        <w:t>1430.9</w:t>
      </w:r>
      <w:r>
        <w:rPr>
          <w:rFonts w:hint="eastAsia"/>
          <w:color w:val="auto"/>
          <w:highlight w:val="none"/>
        </w:rPr>
        <w:t>万</w:t>
      </w:r>
      <w:r>
        <w:rPr>
          <w:rFonts w:hint="eastAsia"/>
          <w:color w:val="auto"/>
          <w:highlight w:val="none"/>
        </w:rPr>
        <w:t>m</w:t>
      </w:r>
      <w:r>
        <w:rPr>
          <w:rFonts w:hint="eastAsia"/>
          <w:color w:val="auto"/>
          <w:highlight w:val="none"/>
          <w:vertAlign w:val="superscript"/>
        </w:rPr>
        <w:t>3</w:t>
      </w:r>
      <w:r>
        <w:rPr>
          <w:rFonts w:hint="eastAsia"/>
          <w:color w:val="auto"/>
          <w:highlight w:val="none"/>
        </w:rPr>
        <w:t>/a）。</w:t>
      </w:r>
    </w:p>
    <w:p w14:paraId="05B6D448">
      <w:pPr>
        <w:pStyle w:val="40"/>
        <w:spacing w:before="24" w:after="24"/>
        <w:rPr>
          <w:color w:val="auto"/>
          <w:highlight w:val="none"/>
        </w:rPr>
      </w:pPr>
      <w:r>
        <w:rPr>
          <w:rFonts w:hint="eastAsia"/>
          <w:color w:val="auto"/>
          <w:highlight w:val="none"/>
        </w:rPr>
        <w:t>表3.3-1     项目用水量一览表</w:t>
      </w:r>
    </w:p>
    <w:tbl>
      <w:tblPr>
        <w:tblStyle w:val="25"/>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210"/>
        <w:gridCol w:w="2774"/>
        <w:gridCol w:w="2179"/>
        <w:gridCol w:w="2344"/>
      </w:tblGrid>
      <w:tr w14:paraId="6DEAAD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711" w:type="pct"/>
            <w:tcBorders>
              <w:tl2br w:val="nil"/>
              <w:tr2bl w:val="nil"/>
            </w:tcBorders>
            <w:noWrap/>
            <w:vAlign w:val="center"/>
          </w:tcPr>
          <w:p w14:paraId="66CF088C">
            <w:pPr>
              <w:pStyle w:val="41"/>
              <w:rPr>
                <w:color w:val="auto"/>
                <w:highlight w:val="none"/>
              </w:rPr>
            </w:pPr>
            <w:r>
              <w:rPr>
                <w:rFonts w:hint="eastAsia"/>
                <w:color w:val="auto"/>
                <w:highlight w:val="none"/>
              </w:rPr>
              <w:t>序号</w:t>
            </w:r>
          </w:p>
        </w:tc>
        <w:tc>
          <w:tcPr>
            <w:tcW w:w="1630" w:type="pct"/>
            <w:tcBorders>
              <w:tl2br w:val="nil"/>
              <w:tr2bl w:val="nil"/>
            </w:tcBorders>
            <w:noWrap/>
            <w:vAlign w:val="center"/>
          </w:tcPr>
          <w:p w14:paraId="5AAF9492">
            <w:pPr>
              <w:pStyle w:val="41"/>
              <w:rPr>
                <w:color w:val="auto"/>
                <w:highlight w:val="none"/>
              </w:rPr>
            </w:pPr>
            <w:r>
              <w:rPr>
                <w:rFonts w:hint="eastAsia"/>
                <w:color w:val="auto"/>
                <w:highlight w:val="none"/>
              </w:rPr>
              <w:t>项目</w:t>
            </w:r>
          </w:p>
        </w:tc>
        <w:tc>
          <w:tcPr>
            <w:tcW w:w="1280" w:type="pct"/>
            <w:tcBorders>
              <w:tl2br w:val="nil"/>
              <w:tr2bl w:val="nil"/>
            </w:tcBorders>
            <w:noWrap/>
            <w:vAlign w:val="center"/>
          </w:tcPr>
          <w:p w14:paraId="6C155EF0">
            <w:pPr>
              <w:pStyle w:val="41"/>
              <w:rPr>
                <w:color w:val="auto"/>
                <w:highlight w:val="none"/>
              </w:rPr>
            </w:pPr>
            <w:r>
              <w:rPr>
                <w:rFonts w:hint="eastAsia"/>
                <w:color w:val="auto"/>
                <w:highlight w:val="none"/>
              </w:rPr>
              <w:t>单位</w:t>
            </w:r>
          </w:p>
        </w:tc>
        <w:tc>
          <w:tcPr>
            <w:tcW w:w="1377" w:type="pct"/>
            <w:tcBorders>
              <w:tl2br w:val="nil"/>
              <w:tr2bl w:val="nil"/>
            </w:tcBorders>
            <w:noWrap/>
            <w:vAlign w:val="center"/>
          </w:tcPr>
          <w:p w14:paraId="5B729D23">
            <w:pPr>
              <w:pStyle w:val="41"/>
              <w:rPr>
                <w:color w:val="auto"/>
                <w:highlight w:val="none"/>
              </w:rPr>
            </w:pPr>
            <w:r>
              <w:rPr>
                <w:rFonts w:hint="eastAsia"/>
                <w:color w:val="auto"/>
                <w:highlight w:val="none"/>
              </w:rPr>
              <w:t>年耗</w:t>
            </w:r>
          </w:p>
        </w:tc>
      </w:tr>
      <w:tr w14:paraId="437F38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11" w:type="pct"/>
            <w:tcBorders>
              <w:tl2br w:val="nil"/>
              <w:tr2bl w:val="nil"/>
            </w:tcBorders>
            <w:noWrap/>
            <w:vAlign w:val="center"/>
          </w:tcPr>
          <w:p w14:paraId="088FAF5A">
            <w:pPr>
              <w:pStyle w:val="41"/>
              <w:rPr>
                <w:color w:val="auto"/>
                <w:highlight w:val="none"/>
              </w:rPr>
            </w:pPr>
            <w:r>
              <w:rPr>
                <w:rFonts w:hint="eastAsia"/>
                <w:color w:val="auto"/>
                <w:highlight w:val="none"/>
              </w:rPr>
              <w:t>一</w:t>
            </w:r>
          </w:p>
        </w:tc>
        <w:tc>
          <w:tcPr>
            <w:tcW w:w="1630" w:type="pct"/>
            <w:tcBorders>
              <w:tl2br w:val="nil"/>
              <w:tr2bl w:val="nil"/>
            </w:tcBorders>
            <w:noWrap/>
            <w:vAlign w:val="center"/>
          </w:tcPr>
          <w:p w14:paraId="0935D254">
            <w:pPr>
              <w:pStyle w:val="41"/>
              <w:rPr>
                <w:color w:val="auto"/>
                <w:highlight w:val="none"/>
              </w:rPr>
            </w:pPr>
            <w:r>
              <w:rPr>
                <w:rFonts w:hint="eastAsia"/>
                <w:color w:val="auto"/>
                <w:highlight w:val="none"/>
              </w:rPr>
              <w:t>办公生活用水</w:t>
            </w:r>
          </w:p>
        </w:tc>
        <w:tc>
          <w:tcPr>
            <w:tcW w:w="1280" w:type="pct"/>
            <w:tcBorders>
              <w:tl2br w:val="nil"/>
              <w:tr2bl w:val="nil"/>
            </w:tcBorders>
            <w:noWrap/>
            <w:vAlign w:val="center"/>
          </w:tcPr>
          <w:p w14:paraId="126D90CD">
            <w:pPr>
              <w:pStyle w:val="41"/>
              <w:rPr>
                <w:color w:val="auto"/>
                <w:highlight w:val="none"/>
              </w:rPr>
            </w:pPr>
            <w:r>
              <w:rPr>
                <w:rFonts w:hint="eastAsia"/>
                <w:color w:val="auto"/>
                <w:highlight w:val="none"/>
              </w:rPr>
              <w:t>万m</w:t>
            </w:r>
            <w:r>
              <w:rPr>
                <w:rFonts w:hint="eastAsia"/>
                <w:color w:val="auto"/>
                <w:highlight w:val="none"/>
                <w:vertAlign w:val="superscript"/>
              </w:rPr>
              <w:t>3</w:t>
            </w:r>
            <w:r>
              <w:rPr>
                <w:rFonts w:hint="eastAsia"/>
                <w:color w:val="auto"/>
                <w:highlight w:val="none"/>
              </w:rPr>
              <w:t>/a</w:t>
            </w:r>
          </w:p>
        </w:tc>
        <w:tc>
          <w:tcPr>
            <w:tcW w:w="1377" w:type="pct"/>
            <w:tcBorders>
              <w:tl2br w:val="nil"/>
              <w:tr2bl w:val="nil"/>
            </w:tcBorders>
            <w:noWrap/>
            <w:vAlign w:val="center"/>
          </w:tcPr>
          <w:p w14:paraId="5E5ECD30">
            <w:pPr>
              <w:pStyle w:val="41"/>
              <w:rPr>
                <w:color w:val="auto"/>
                <w:highlight w:val="none"/>
              </w:rPr>
            </w:pPr>
            <w:r>
              <w:rPr>
                <w:rFonts w:hint="eastAsia"/>
                <w:color w:val="auto"/>
                <w:highlight w:val="none"/>
              </w:rPr>
              <w:t>1.99</w:t>
            </w:r>
          </w:p>
        </w:tc>
      </w:tr>
      <w:tr w14:paraId="5EECE9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11" w:type="pct"/>
            <w:tcBorders>
              <w:tl2br w:val="nil"/>
              <w:tr2bl w:val="nil"/>
            </w:tcBorders>
            <w:noWrap/>
            <w:vAlign w:val="center"/>
          </w:tcPr>
          <w:p w14:paraId="6B755B16">
            <w:pPr>
              <w:pStyle w:val="41"/>
              <w:rPr>
                <w:color w:val="auto"/>
                <w:highlight w:val="none"/>
              </w:rPr>
            </w:pPr>
            <w:r>
              <w:rPr>
                <w:rFonts w:hint="eastAsia"/>
                <w:color w:val="auto"/>
                <w:highlight w:val="none"/>
              </w:rPr>
              <w:t>1</w:t>
            </w:r>
          </w:p>
        </w:tc>
        <w:tc>
          <w:tcPr>
            <w:tcW w:w="1630" w:type="pct"/>
            <w:tcBorders>
              <w:tl2br w:val="nil"/>
              <w:tr2bl w:val="nil"/>
            </w:tcBorders>
            <w:noWrap/>
            <w:vAlign w:val="center"/>
          </w:tcPr>
          <w:p w14:paraId="2F9EEDDF">
            <w:pPr>
              <w:pStyle w:val="41"/>
              <w:rPr>
                <w:color w:val="auto"/>
                <w:highlight w:val="none"/>
              </w:rPr>
            </w:pPr>
            <w:r>
              <w:rPr>
                <w:rFonts w:hint="eastAsia"/>
                <w:color w:val="auto"/>
                <w:highlight w:val="none"/>
              </w:rPr>
              <w:t>办公用水</w:t>
            </w:r>
          </w:p>
        </w:tc>
        <w:tc>
          <w:tcPr>
            <w:tcW w:w="1280" w:type="pct"/>
            <w:tcBorders>
              <w:tl2br w:val="nil"/>
              <w:tr2bl w:val="nil"/>
            </w:tcBorders>
            <w:noWrap/>
            <w:vAlign w:val="center"/>
          </w:tcPr>
          <w:p w14:paraId="7DF12319">
            <w:pPr>
              <w:pStyle w:val="41"/>
              <w:rPr>
                <w:color w:val="auto"/>
                <w:highlight w:val="none"/>
              </w:rPr>
            </w:pPr>
            <w:r>
              <w:rPr>
                <w:rFonts w:hint="eastAsia"/>
                <w:color w:val="auto"/>
                <w:highlight w:val="none"/>
              </w:rPr>
              <w:t>万m</w:t>
            </w:r>
            <w:r>
              <w:rPr>
                <w:rFonts w:hint="eastAsia"/>
                <w:color w:val="auto"/>
                <w:highlight w:val="none"/>
                <w:vertAlign w:val="superscript"/>
              </w:rPr>
              <w:t>3</w:t>
            </w:r>
            <w:r>
              <w:rPr>
                <w:rFonts w:hint="eastAsia"/>
                <w:color w:val="auto"/>
                <w:highlight w:val="none"/>
              </w:rPr>
              <w:t>/a</w:t>
            </w:r>
          </w:p>
        </w:tc>
        <w:tc>
          <w:tcPr>
            <w:tcW w:w="1377" w:type="pct"/>
            <w:tcBorders>
              <w:tl2br w:val="nil"/>
              <w:tr2bl w:val="nil"/>
            </w:tcBorders>
            <w:noWrap/>
            <w:vAlign w:val="center"/>
          </w:tcPr>
          <w:p w14:paraId="5D24DA19">
            <w:pPr>
              <w:pStyle w:val="41"/>
              <w:rPr>
                <w:color w:val="auto"/>
                <w:highlight w:val="none"/>
              </w:rPr>
            </w:pPr>
            <w:r>
              <w:rPr>
                <w:rFonts w:hint="eastAsia"/>
                <w:color w:val="auto"/>
                <w:highlight w:val="none"/>
              </w:rPr>
              <w:t>0.65</w:t>
            </w:r>
          </w:p>
        </w:tc>
      </w:tr>
      <w:tr w14:paraId="145B1F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11" w:type="pct"/>
            <w:tcBorders>
              <w:tl2br w:val="nil"/>
              <w:tr2bl w:val="nil"/>
            </w:tcBorders>
            <w:noWrap/>
            <w:vAlign w:val="center"/>
          </w:tcPr>
          <w:p w14:paraId="6EC570B2">
            <w:pPr>
              <w:pStyle w:val="41"/>
              <w:rPr>
                <w:color w:val="auto"/>
                <w:highlight w:val="none"/>
              </w:rPr>
            </w:pPr>
            <w:r>
              <w:rPr>
                <w:rFonts w:hint="eastAsia"/>
                <w:color w:val="auto"/>
                <w:highlight w:val="none"/>
              </w:rPr>
              <w:t>2</w:t>
            </w:r>
          </w:p>
        </w:tc>
        <w:tc>
          <w:tcPr>
            <w:tcW w:w="1630" w:type="pct"/>
            <w:tcBorders>
              <w:tl2br w:val="nil"/>
              <w:tr2bl w:val="nil"/>
            </w:tcBorders>
            <w:noWrap/>
            <w:vAlign w:val="center"/>
          </w:tcPr>
          <w:p w14:paraId="7931D78F">
            <w:pPr>
              <w:pStyle w:val="41"/>
              <w:rPr>
                <w:color w:val="auto"/>
                <w:highlight w:val="none"/>
              </w:rPr>
            </w:pPr>
            <w:r>
              <w:rPr>
                <w:rFonts w:hint="eastAsia"/>
                <w:color w:val="auto"/>
                <w:highlight w:val="none"/>
              </w:rPr>
              <w:t>食堂用水</w:t>
            </w:r>
          </w:p>
        </w:tc>
        <w:tc>
          <w:tcPr>
            <w:tcW w:w="1280" w:type="pct"/>
            <w:tcBorders>
              <w:tl2br w:val="nil"/>
              <w:tr2bl w:val="nil"/>
            </w:tcBorders>
            <w:noWrap/>
            <w:vAlign w:val="center"/>
          </w:tcPr>
          <w:p w14:paraId="203E0BC0">
            <w:pPr>
              <w:pStyle w:val="41"/>
              <w:rPr>
                <w:color w:val="auto"/>
                <w:highlight w:val="none"/>
              </w:rPr>
            </w:pPr>
            <w:r>
              <w:rPr>
                <w:rFonts w:hint="eastAsia"/>
                <w:color w:val="auto"/>
                <w:highlight w:val="none"/>
              </w:rPr>
              <w:t>万m</w:t>
            </w:r>
            <w:r>
              <w:rPr>
                <w:rFonts w:hint="eastAsia"/>
                <w:color w:val="auto"/>
                <w:highlight w:val="none"/>
                <w:vertAlign w:val="superscript"/>
              </w:rPr>
              <w:t>3</w:t>
            </w:r>
            <w:r>
              <w:rPr>
                <w:rFonts w:hint="eastAsia"/>
                <w:color w:val="auto"/>
                <w:highlight w:val="none"/>
              </w:rPr>
              <w:t>/a</w:t>
            </w:r>
          </w:p>
        </w:tc>
        <w:tc>
          <w:tcPr>
            <w:tcW w:w="1377" w:type="pct"/>
            <w:tcBorders>
              <w:tl2br w:val="nil"/>
              <w:tr2bl w:val="nil"/>
            </w:tcBorders>
            <w:noWrap/>
            <w:vAlign w:val="center"/>
          </w:tcPr>
          <w:p w14:paraId="488DEEC8">
            <w:pPr>
              <w:pStyle w:val="41"/>
              <w:rPr>
                <w:color w:val="auto"/>
                <w:highlight w:val="none"/>
              </w:rPr>
            </w:pPr>
            <w:r>
              <w:rPr>
                <w:rFonts w:hint="eastAsia"/>
                <w:color w:val="auto"/>
                <w:highlight w:val="none"/>
              </w:rPr>
              <w:t>0.39</w:t>
            </w:r>
          </w:p>
        </w:tc>
      </w:tr>
      <w:tr w14:paraId="6CD012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11" w:type="pct"/>
            <w:tcBorders>
              <w:tl2br w:val="nil"/>
              <w:tr2bl w:val="nil"/>
            </w:tcBorders>
            <w:noWrap/>
            <w:vAlign w:val="center"/>
          </w:tcPr>
          <w:p w14:paraId="21B2E624">
            <w:pPr>
              <w:pStyle w:val="41"/>
              <w:rPr>
                <w:color w:val="auto"/>
                <w:highlight w:val="none"/>
              </w:rPr>
            </w:pPr>
            <w:r>
              <w:rPr>
                <w:rFonts w:hint="eastAsia"/>
                <w:color w:val="auto"/>
                <w:highlight w:val="none"/>
              </w:rPr>
              <w:t>3</w:t>
            </w:r>
          </w:p>
        </w:tc>
        <w:tc>
          <w:tcPr>
            <w:tcW w:w="1630" w:type="pct"/>
            <w:tcBorders>
              <w:tl2br w:val="nil"/>
              <w:tr2bl w:val="nil"/>
            </w:tcBorders>
            <w:noWrap/>
            <w:vAlign w:val="center"/>
          </w:tcPr>
          <w:p w14:paraId="62CAF8C5">
            <w:pPr>
              <w:pStyle w:val="41"/>
              <w:rPr>
                <w:color w:val="auto"/>
                <w:highlight w:val="none"/>
              </w:rPr>
            </w:pPr>
            <w:r>
              <w:rPr>
                <w:rFonts w:hint="eastAsia"/>
                <w:color w:val="auto"/>
                <w:highlight w:val="none"/>
              </w:rPr>
              <w:t>宿舍用水</w:t>
            </w:r>
          </w:p>
        </w:tc>
        <w:tc>
          <w:tcPr>
            <w:tcW w:w="1280" w:type="pct"/>
            <w:tcBorders>
              <w:tl2br w:val="nil"/>
              <w:tr2bl w:val="nil"/>
            </w:tcBorders>
            <w:noWrap/>
            <w:vAlign w:val="center"/>
          </w:tcPr>
          <w:p w14:paraId="37139E5D">
            <w:pPr>
              <w:pStyle w:val="41"/>
              <w:rPr>
                <w:color w:val="auto"/>
                <w:highlight w:val="none"/>
              </w:rPr>
            </w:pPr>
            <w:r>
              <w:rPr>
                <w:rFonts w:hint="eastAsia"/>
                <w:color w:val="auto"/>
                <w:highlight w:val="none"/>
              </w:rPr>
              <w:t>万m</w:t>
            </w:r>
            <w:r>
              <w:rPr>
                <w:rFonts w:hint="eastAsia"/>
                <w:color w:val="auto"/>
                <w:highlight w:val="none"/>
                <w:vertAlign w:val="superscript"/>
              </w:rPr>
              <w:t>3</w:t>
            </w:r>
            <w:r>
              <w:rPr>
                <w:rFonts w:hint="eastAsia"/>
                <w:color w:val="auto"/>
                <w:highlight w:val="none"/>
              </w:rPr>
              <w:t>/a</w:t>
            </w:r>
          </w:p>
        </w:tc>
        <w:tc>
          <w:tcPr>
            <w:tcW w:w="1377" w:type="pct"/>
            <w:tcBorders>
              <w:tl2br w:val="nil"/>
              <w:tr2bl w:val="nil"/>
            </w:tcBorders>
            <w:noWrap/>
            <w:vAlign w:val="center"/>
          </w:tcPr>
          <w:p w14:paraId="7409FE0B">
            <w:pPr>
              <w:pStyle w:val="41"/>
              <w:rPr>
                <w:color w:val="auto"/>
                <w:highlight w:val="none"/>
              </w:rPr>
            </w:pPr>
            <w:r>
              <w:rPr>
                <w:rFonts w:hint="eastAsia"/>
                <w:color w:val="auto"/>
                <w:highlight w:val="none"/>
              </w:rPr>
              <w:t>0.77</w:t>
            </w:r>
          </w:p>
        </w:tc>
      </w:tr>
      <w:tr w14:paraId="43880B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11" w:type="pct"/>
            <w:tcBorders>
              <w:tl2br w:val="nil"/>
              <w:tr2bl w:val="nil"/>
            </w:tcBorders>
            <w:noWrap/>
            <w:vAlign w:val="center"/>
          </w:tcPr>
          <w:p w14:paraId="47C0A6FE">
            <w:pPr>
              <w:pStyle w:val="41"/>
              <w:rPr>
                <w:color w:val="auto"/>
                <w:highlight w:val="none"/>
              </w:rPr>
            </w:pPr>
            <w:r>
              <w:rPr>
                <w:rFonts w:hint="eastAsia"/>
                <w:color w:val="auto"/>
                <w:highlight w:val="none"/>
              </w:rPr>
              <w:t>4</w:t>
            </w:r>
          </w:p>
        </w:tc>
        <w:tc>
          <w:tcPr>
            <w:tcW w:w="1630" w:type="pct"/>
            <w:tcBorders>
              <w:tl2br w:val="nil"/>
              <w:tr2bl w:val="nil"/>
            </w:tcBorders>
            <w:noWrap/>
            <w:vAlign w:val="center"/>
          </w:tcPr>
          <w:p w14:paraId="12FA369F">
            <w:pPr>
              <w:pStyle w:val="41"/>
              <w:rPr>
                <w:color w:val="auto"/>
                <w:highlight w:val="none"/>
              </w:rPr>
            </w:pPr>
            <w:r>
              <w:rPr>
                <w:rFonts w:hint="eastAsia"/>
                <w:color w:val="auto"/>
                <w:highlight w:val="none"/>
              </w:rPr>
              <w:t>未预见用水量</w:t>
            </w:r>
          </w:p>
        </w:tc>
        <w:tc>
          <w:tcPr>
            <w:tcW w:w="1280" w:type="pct"/>
            <w:tcBorders>
              <w:tl2br w:val="nil"/>
              <w:tr2bl w:val="nil"/>
            </w:tcBorders>
            <w:noWrap/>
            <w:vAlign w:val="center"/>
          </w:tcPr>
          <w:p w14:paraId="501F9104">
            <w:pPr>
              <w:pStyle w:val="41"/>
              <w:rPr>
                <w:color w:val="auto"/>
                <w:highlight w:val="none"/>
              </w:rPr>
            </w:pPr>
            <w:r>
              <w:rPr>
                <w:rFonts w:hint="eastAsia"/>
                <w:color w:val="auto"/>
                <w:highlight w:val="none"/>
              </w:rPr>
              <w:t>万m</w:t>
            </w:r>
            <w:r>
              <w:rPr>
                <w:rFonts w:hint="eastAsia"/>
                <w:color w:val="auto"/>
                <w:highlight w:val="none"/>
                <w:vertAlign w:val="superscript"/>
              </w:rPr>
              <w:t>3</w:t>
            </w:r>
            <w:r>
              <w:rPr>
                <w:rFonts w:hint="eastAsia"/>
                <w:color w:val="auto"/>
                <w:highlight w:val="none"/>
              </w:rPr>
              <w:t>/a</w:t>
            </w:r>
          </w:p>
        </w:tc>
        <w:tc>
          <w:tcPr>
            <w:tcW w:w="1377" w:type="pct"/>
            <w:tcBorders>
              <w:tl2br w:val="nil"/>
              <w:tr2bl w:val="nil"/>
            </w:tcBorders>
            <w:noWrap/>
            <w:vAlign w:val="center"/>
          </w:tcPr>
          <w:p w14:paraId="1A2B03C8">
            <w:pPr>
              <w:pStyle w:val="41"/>
              <w:rPr>
                <w:color w:val="auto"/>
                <w:highlight w:val="none"/>
              </w:rPr>
            </w:pPr>
            <w:r>
              <w:rPr>
                <w:rFonts w:hint="eastAsia"/>
                <w:color w:val="auto"/>
                <w:highlight w:val="none"/>
              </w:rPr>
              <w:t>0.18</w:t>
            </w:r>
          </w:p>
        </w:tc>
      </w:tr>
      <w:tr w14:paraId="71173A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11" w:type="pct"/>
            <w:tcBorders>
              <w:tl2br w:val="nil"/>
              <w:tr2bl w:val="nil"/>
            </w:tcBorders>
            <w:noWrap/>
            <w:vAlign w:val="center"/>
          </w:tcPr>
          <w:p w14:paraId="6CC257B0">
            <w:pPr>
              <w:pStyle w:val="41"/>
              <w:rPr>
                <w:color w:val="auto"/>
                <w:highlight w:val="none"/>
              </w:rPr>
            </w:pPr>
            <w:r>
              <w:rPr>
                <w:rFonts w:hint="eastAsia"/>
                <w:color w:val="auto"/>
                <w:highlight w:val="none"/>
              </w:rPr>
              <w:t>二</w:t>
            </w:r>
          </w:p>
        </w:tc>
        <w:tc>
          <w:tcPr>
            <w:tcW w:w="1630" w:type="pct"/>
            <w:tcBorders>
              <w:tl2br w:val="nil"/>
              <w:tr2bl w:val="nil"/>
            </w:tcBorders>
            <w:noWrap/>
            <w:vAlign w:val="center"/>
          </w:tcPr>
          <w:p w14:paraId="13AA37B2">
            <w:pPr>
              <w:pStyle w:val="41"/>
              <w:rPr>
                <w:color w:val="auto"/>
                <w:highlight w:val="none"/>
              </w:rPr>
            </w:pPr>
            <w:r>
              <w:rPr>
                <w:rFonts w:hint="eastAsia"/>
                <w:color w:val="auto"/>
                <w:highlight w:val="none"/>
              </w:rPr>
              <w:t>生产用水</w:t>
            </w:r>
          </w:p>
        </w:tc>
        <w:tc>
          <w:tcPr>
            <w:tcW w:w="1280" w:type="pct"/>
            <w:tcBorders>
              <w:tl2br w:val="nil"/>
              <w:tr2bl w:val="nil"/>
            </w:tcBorders>
            <w:noWrap/>
            <w:vAlign w:val="center"/>
          </w:tcPr>
          <w:p w14:paraId="30125AB2">
            <w:pPr>
              <w:pStyle w:val="41"/>
              <w:rPr>
                <w:color w:val="auto"/>
                <w:highlight w:val="none"/>
              </w:rPr>
            </w:pPr>
            <w:r>
              <w:rPr>
                <w:rFonts w:hint="eastAsia"/>
                <w:color w:val="auto"/>
                <w:highlight w:val="none"/>
              </w:rPr>
              <w:t>万m</w:t>
            </w:r>
            <w:r>
              <w:rPr>
                <w:rFonts w:hint="eastAsia"/>
                <w:color w:val="auto"/>
                <w:highlight w:val="none"/>
                <w:vertAlign w:val="superscript"/>
              </w:rPr>
              <w:t>3</w:t>
            </w:r>
            <w:r>
              <w:rPr>
                <w:rFonts w:hint="eastAsia"/>
                <w:color w:val="auto"/>
                <w:highlight w:val="none"/>
              </w:rPr>
              <w:t>/a</w:t>
            </w:r>
          </w:p>
        </w:tc>
        <w:tc>
          <w:tcPr>
            <w:tcW w:w="1377" w:type="pct"/>
            <w:tcBorders>
              <w:tl2br w:val="nil"/>
              <w:tr2bl w:val="nil"/>
            </w:tcBorders>
            <w:noWrap/>
            <w:vAlign w:val="center"/>
          </w:tcPr>
          <w:p w14:paraId="3D11B0B2">
            <w:pPr>
              <w:pStyle w:val="41"/>
              <w:rPr>
                <w:rFonts w:hint="default"/>
                <w:color w:val="auto"/>
                <w:highlight w:val="none"/>
              </w:rPr>
            </w:pPr>
            <w:r>
              <w:rPr>
                <w:rFonts w:hint="eastAsia"/>
                <w:color w:val="auto"/>
                <w:highlight w:val="none"/>
                <w:lang w:eastAsia="zh-CN"/>
              </w:rPr>
              <w:t>1</w:t>
            </w:r>
            <w:r>
              <w:rPr>
                <w:rFonts w:hint="eastAsia"/>
                <w:color w:val="auto"/>
                <w:highlight w:val="none"/>
                <w:lang w:val="en-US" w:eastAsia="zh-CN"/>
              </w:rPr>
              <w:t>522.27</w:t>
            </w:r>
          </w:p>
        </w:tc>
      </w:tr>
      <w:tr w14:paraId="3124FD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11" w:type="pct"/>
            <w:tcBorders>
              <w:tl2br w:val="nil"/>
              <w:tr2bl w:val="nil"/>
            </w:tcBorders>
            <w:noWrap/>
            <w:vAlign w:val="center"/>
          </w:tcPr>
          <w:p w14:paraId="44ADA4E3">
            <w:pPr>
              <w:pStyle w:val="41"/>
              <w:rPr>
                <w:color w:val="auto"/>
                <w:highlight w:val="none"/>
              </w:rPr>
            </w:pPr>
            <w:r>
              <w:rPr>
                <w:rFonts w:hint="eastAsia"/>
                <w:color w:val="auto"/>
                <w:highlight w:val="none"/>
              </w:rPr>
              <w:t>1</w:t>
            </w:r>
          </w:p>
        </w:tc>
        <w:tc>
          <w:tcPr>
            <w:tcW w:w="1630" w:type="pct"/>
            <w:tcBorders>
              <w:tl2br w:val="nil"/>
              <w:tr2bl w:val="nil"/>
            </w:tcBorders>
            <w:noWrap/>
            <w:vAlign w:val="center"/>
          </w:tcPr>
          <w:p w14:paraId="483E3433">
            <w:pPr>
              <w:pStyle w:val="41"/>
              <w:rPr>
                <w:color w:val="auto"/>
                <w:highlight w:val="none"/>
              </w:rPr>
            </w:pPr>
            <w:r>
              <w:rPr>
                <w:rFonts w:hint="eastAsia"/>
                <w:color w:val="auto"/>
                <w:highlight w:val="none"/>
              </w:rPr>
              <w:t>一期生产线用水量</w:t>
            </w:r>
          </w:p>
        </w:tc>
        <w:tc>
          <w:tcPr>
            <w:tcW w:w="1280" w:type="pct"/>
            <w:tcBorders>
              <w:tl2br w:val="nil"/>
              <w:tr2bl w:val="nil"/>
            </w:tcBorders>
            <w:noWrap/>
            <w:vAlign w:val="center"/>
          </w:tcPr>
          <w:p w14:paraId="3FBA217D">
            <w:pPr>
              <w:pStyle w:val="41"/>
              <w:rPr>
                <w:color w:val="auto"/>
                <w:highlight w:val="none"/>
              </w:rPr>
            </w:pPr>
            <w:r>
              <w:rPr>
                <w:rFonts w:hint="eastAsia"/>
                <w:color w:val="auto"/>
                <w:highlight w:val="none"/>
              </w:rPr>
              <w:t>万m</w:t>
            </w:r>
            <w:r>
              <w:rPr>
                <w:rFonts w:hint="eastAsia"/>
                <w:color w:val="auto"/>
                <w:highlight w:val="none"/>
                <w:vertAlign w:val="superscript"/>
              </w:rPr>
              <w:t>3</w:t>
            </w:r>
            <w:r>
              <w:rPr>
                <w:rFonts w:hint="eastAsia"/>
                <w:color w:val="auto"/>
                <w:highlight w:val="none"/>
              </w:rPr>
              <w:t>/a</w:t>
            </w:r>
          </w:p>
        </w:tc>
        <w:tc>
          <w:tcPr>
            <w:tcW w:w="1377" w:type="pct"/>
            <w:tcBorders>
              <w:tl2br w:val="nil"/>
              <w:tr2bl w:val="nil"/>
            </w:tcBorders>
            <w:noWrap/>
            <w:vAlign w:val="center"/>
          </w:tcPr>
          <w:p w14:paraId="102AF9CD">
            <w:pPr>
              <w:pStyle w:val="41"/>
              <w:rPr>
                <w:rFonts w:hint="default"/>
                <w:color w:val="auto"/>
                <w:highlight w:val="none"/>
              </w:rPr>
            </w:pPr>
            <w:r>
              <w:rPr>
                <w:rFonts w:hint="eastAsia"/>
                <w:color w:val="auto"/>
                <w:highlight w:val="none"/>
                <w:lang w:eastAsia="zh-CN"/>
              </w:rPr>
              <w:t>1</w:t>
            </w:r>
            <w:r>
              <w:rPr>
                <w:rFonts w:hint="eastAsia"/>
                <w:color w:val="auto"/>
                <w:highlight w:val="none"/>
                <w:lang w:val="en-US" w:eastAsia="zh-CN"/>
              </w:rPr>
              <w:t>275.00</w:t>
            </w:r>
          </w:p>
        </w:tc>
      </w:tr>
      <w:tr w14:paraId="5E1B07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11" w:type="pct"/>
            <w:tcBorders>
              <w:tl2br w:val="nil"/>
              <w:tr2bl w:val="nil"/>
            </w:tcBorders>
            <w:shd w:val="clear" w:color="auto" w:fill="auto"/>
            <w:noWrap/>
            <w:vAlign w:val="center"/>
          </w:tcPr>
          <w:p w14:paraId="06D811F7">
            <w:pPr>
              <w:rPr>
                <w:color w:val="auto"/>
                <w:highlight w:val="none"/>
              </w:rPr>
            </w:pPr>
          </w:p>
        </w:tc>
        <w:tc>
          <w:tcPr>
            <w:tcW w:w="1630" w:type="pct"/>
            <w:tcBorders>
              <w:tl2br w:val="nil"/>
              <w:tr2bl w:val="nil"/>
            </w:tcBorders>
            <w:noWrap/>
            <w:vAlign w:val="center"/>
          </w:tcPr>
          <w:p w14:paraId="0609C57D">
            <w:pPr>
              <w:rPr>
                <w:color w:val="auto"/>
                <w:highlight w:val="none"/>
              </w:rPr>
            </w:pPr>
          </w:p>
        </w:tc>
        <w:tc>
          <w:tcPr>
            <w:tcW w:w="1280" w:type="pct"/>
            <w:tcBorders>
              <w:tl2br w:val="nil"/>
              <w:tr2bl w:val="nil"/>
            </w:tcBorders>
            <w:noWrap/>
            <w:vAlign w:val="center"/>
          </w:tcPr>
          <w:p w14:paraId="4BCCB0ED">
            <w:pPr>
              <w:rPr>
                <w:color w:val="auto"/>
                <w:highlight w:val="none"/>
              </w:rPr>
            </w:pPr>
          </w:p>
        </w:tc>
        <w:tc>
          <w:tcPr>
            <w:tcW w:w="1377" w:type="pct"/>
            <w:tcBorders>
              <w:tl2br w:val="nil"/>
              <w:tr2bl w:val="nil"/>
            </w:tcBorders>
            <w:noWrap/>
            <w:vAlign w:val="center"/>
          </w:tcPr>
          <w:p w14:paraId="599F1356">
            <w:pPr>
              <w:rPr>
                <w:color w:val="auto"/>
                <w:highlight w:val="none"/>
              </w:rPr>
            </w:pPr>
          </w:p>
        </w:tc>
      </w:tr>
      <w:tr w14:paraId="122A5D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11" w:type="pct"/>
            <w:tcBorders>
              <w:tl2br w:val="nil"/>
              <w:tr2bl w:val="nil"/>
            </w:tcBorders>
            <w:shd w:val="clear" w:color="auto" w:fill="auto"/>
            <w:noWrap/>
            <w:vAlign w:val="center"/>
          </w:tcPr>
          <w:p w14:paraId="2562CC4B">
            <w:pPr>
              <w:pStyle w:val="41"/>
              <w:rPr>
                <w:rFonts w:hint="eastAsia"/>
                <w:color w:val="auto"/>
                <w:highlight w:val="none"/>
              </w:rPr>
            </w:pPr>
            <w:r>
              <w:rPr>
                <w:rFonts w:hint="eastAsia"/>
                <w:color w:val="auto"/>
                <w:highlight w:val="none"/>
                <w:lang w:eastAsia="zh-CN"/>
              </w:rPr>
              <w:t>2</w:t>
            </w:r>
          </w:p>
        </w:tc>
        <w:tc>
          <w:tcPr>
            <w:tcW w:w="1630" w:type="pct"/>
            <w:tcBorders>
              <w:tl2br w:val="nil"/>
              <w:tr2bl w:val="nil"/>
            </w:tcBorders>
            <w:noWrap/>
            <w:vAlign w:val="center"/>
          </w:tcPr>
          <w:p w14:paraId="5496EA12">
            <w:pPr>
              <w:pStyle w:val="41"/>
              <w:rPr>
                <w:color w:val="auto"/>
                <w:highlight w:val="none"/>
              </w:rPr>
            </w:pPr>
            <w:r>
              <w:rPr>
                <w:rFonts w:hint="eastAsia"/>
                <w:color w:val="auto"/>
                <w:highlight w:val="none"/>
              </w:rPr>
              <w:t>未预见用水量</w:t>
            </w:r>
          </w:p>
        </w:tc>
        <w:tc>
          <w:tcPr>
            <w:tcW w:w="1280" w:type="pct"/>
            <w:tcBorders>
              <w:tl2br w:val="nil"/>
              <w:tr2bl w:val="nil"/>
            </w:tcBorders>
            <w:noWrap/>
            <w:vAlign w:val="center"/>
          </w:tcPr>
          <w:p w14:paraId="70DBCDEA">
            <w:pPr>
              <w:pStyle w:val="41"/>
              <w:rPr>
                <w:color w:val="auto"/>
                <w:highlight w:val="none"/>
              </w:rPr>
            </w:pPr>
            <w:r>
              <w:rPr>
                <w:rFonts w:hint="eastAsia"/>
                <w:color w:val="auto"/>
                <w:highlight w:val="none"/>
              </w:rPr>
              <w:t>万m</w:t>
            </w:r>
            <w:r>
              <w:rPr>
                <w:rFonts w:hint="eastAsia"/>
                <w:color w:val="auto"/>
                <w:highlight w:val="none"/>
                <w:vertAlign w:val="superscript"/>
              </w:rPr>
              <w:t>3</w:t>
            </w:r>
            <w:r>
              <w:rPr>
                <w:rFonts w:hint="eastAsia"/>
                <w:color w:val="auto"/>
                <w:highlight w:val="none"/>
              </w:rPr>
              <w:t>/a</w:t>
            </w:r>
          </w:p>
        </w:tc>
        <w:tc>
          <w:tcPr>
            <w:tcW w:w="1377" w:type="pct"/>
            <w:tcBorders>
              <w:tl2br w:val="nil"/>
              <w:tr2bl w:val="nil"/>
            </w:tcBorders>
            <w:noWrap/>
            <w:vAlign w:val="center"/>
          </w:tcPr>
          <w:p w14:paraId="7ADF886C">
            <w:pPr>
              <w:pStyle w:val="41"/>
              <w:rPr>
                <w:rFonts w:hint="default"/>
                <w:color w:val="auto"/>
                <w:highlight w:val="none"/>
              </w:rPr>
            </w:pPr>
            <w:r>
              <w:rPr>
                <w:rFonts w:hint="eastAsia"/>
                <w:color w:val="auto"/>
                <w:highlight w:val="none"/>
                <w:lang w:eastAsia="zh-CN"/>
              </w:rPr>
              <w:t>1</w:t>
            </w:r>
            <w:r>
              <w:rPr>
                <w:rFonts w:hint="eastAsia"/>
                <w:color w:val="auto"/>
                <w:highlight w:val="none"/>
                <w:lang w:val="en-US" w:eastAsia="zh-CN"/>
              </w:rPr>
              <w:t>55.90</w:t>
            </w:r>
          </w:p>
        </w:tc>
      </w:tr>
      <w:tr w14:paraId="4BB769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11" w:type="pct"/>
            <w:tcBorders>
              <w:tl2br w:val="nil"/>
              <w:tr2bl w:val="nil"/>
            </w:tcBorders>
            <w:shd w:val="clear" w:color="auto" w:fill="auto"/>
            <w:noWrap/>
            <w:vAlign w:val="center"/>
          </w:tcPr>
          <w:p w14:paraId="7B9E7461">
            <w:pPr>
              <w:pStyle w:val="41"/>
              <w:rPr>
                <w:rFonts w:hint="eastAsia" w:ascii="Times New Roman" w:hAnsi="Times New Roman" w:eastAsia="华文中宋" w:cstheme="minorBidi"/>
                <w:color w:val="auto"/>
                <w:sz w:val="21"/>
                <w:szCs w:val="21"/>
                <w:highlight w:val="none"/>
                <w:lang w:val="en-US" w:eastAsia="zh-CN" w:bidi="ar-SA"/>
              </w:rPr>
            </w:pPr>
            <w:r>
              <w:rPr>
                <w:rFonts w:hint="eastAsia"/>
                <w:color w:val="auto"/>
                <w:highlight w:val="none"/>
                <w:lang w:val="en-US" w:eastAsia="zh-CN"/>
              </w:rPr>
              <w:t>3</w:t>
            </w:r>
          </w:p>
        </w:tc>
        <w:tc>
          <w:tcPr>
            <w:tcW w:w="1630" w:type="pct"/>
            <w:tcBorders>
              <w:tl2br w:val="nil"/>
              <w:tr2bl w:val="nil"/>
            </w:tcBorders>
            <w:noWrap/>
            <w:vAlign w:val="center"/>
          </w:tcPr>
          <w:p w14:paraId="147DEFA5">
            <w:pPr>
              <w:pStyle w:val="41"/>
              <w:rPr>
                <w:rFonts w:hint="default" w:eastAsia="华文中宋"/>
                <w:color w:val="auto"/>
                <w:highlight w:val="none"/>
                <w:lang w:val="en-US" w:eastAsia="zh-CN"/>
              </w:rPr>
            </w:pPr>
            <w:r>
              <w:rPr>
                <w:rFonts w:hint="eastAsia"/>
                <w:color w:val="auto"/>
                <w:highlight w:val="none"/>
                <w:lang w:val="en-US" w:eastAsia="zh-CN"/>
              </w:rPr>
              <w:t>循环水合计</w:t>
            </w:r>
          </w:p>
        </w:tc>
        <w:tc>
          <w:tcPr>
            <w:tcW w:w="1280" w:type="pct"/>
            <w:tcBorders>
              <w:tl2br w:val="nil"/>
              <w:tr2bl w:val="nil"/>
            </w:tcBorders>
            <w:noWrap/>
            <w:vAlign w:val="center"/>
          </w:tcPr>
          <w:p w14:paraId="083F4ED6">
            <w:pPr>
              <w:pStyle w:val="41"/>
              <w:rPr>
                <w:rFonts w:hint="eastAsia"/>
                <w:color w:val="auto"/>
                <w:highlight w:val="none"/>
              </w:rPr>
            </w:pPr>
            <w:r>
              <w:rPr>
                <w:rFonts w:hint="eastAsia"/>
                <w:color w:val="auto"/>
                <w:highlight w:val="none"/>
              </w:rPr>
              <w:t>万m</w:t>
            </w:r>
            <w:r>
              <w:rPr>
                <w:rFonts w:hint="eastAsia"/>
                <w:color w:val="auto"/>
                <w:highlight w:val="none"/>
                <w:vertAlign w:val="superscript"/>
              </w:rPr>
              <w:t>3</w:t>
            </w:r>
            <w:r>
              <w:rPr>
                <w:rFonts w:hint="eastAsia"/>
                <w:color w:val="auto"/>
                <w:highlight w:val="none"/>
              </w:rPr>
              <w:t>/a</w:t>
            </w:r>
          </w:p>
        </w:tc>
        <w:tc>
          <w:tcPr>
            <w:tcW w:w="1377" w:type="pct"/>
            <w:tcBorders>
              <w:tl2br w:val="nil"/>
              <w:tr2bl w:val="nil"/>
            </w:tcBorders>
            <w:noWrap/>
            <w:vAlign w:val="center"/>
          </w:tcPr>
          <w:p w14:paraId="366B82A3">
            <w:pPr>
              <w:pStyle w:val="41"/>
              <w:rPr>
                <w:rFonts w:hint="default" w:eastAsia="华文中宋"/>
                <w:color w:val="auto"/>
                <w:highlight w:val="none"/>
                <w:lang w:val="en-US" w:eastAsia="zh-CN"/>
              </w:rPr>
            </w:pPr>
            <w:r>
              <w:rPr>
                <w:rFonts w:hint="eastAsia"/>
                <w:color w:val="auto"/>
                <w:highlight w:val="none"/>
                <w:lang w:val="en-US" w:eastAsia="zh-CN"/>
              </w:rPr>
              <w:t>1430.90</w:t>
            </w:r>
          </w:p>
        </w:tc>
      </w:tr>
      <w:tr w14:paraId="60533D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11" w:type="pct"/>
            <w:tcBorders>
              <w:tl2br w:val="nil"/>
              <w:tr2bl w:val="nil"/>
            </w:tcBorders>
            <w:shd w:val="clear" w:color="auto" w:fill="auto"/>
            <w:noWrap/>
            <w:vAlign w:val="center"/>
          </w:tcPr>
          <w:p w14:paraId="1CF5164F">
            <w:pPr>
              <w:pStyle w:val="41"/>
              <w:rPr>
                <w:rFonts w:hint="eastAsia" w:ascii="Times New Roman" w:hAnsi="Times New Roman" w:eastAsia="华文中宋" w:cstheme="minorBidi"/>
                <w:color w:val="auto"/>
                <w:sz w:val="21"/>
                <w:szCs w:val="21"/>
                <w:highlight w:val="none"/>
                <w:lang w:val="en-US" w:eastAsia="zh-CN" w:bidi="ar-SA"/>
              </w:rPr>
            </w:pPr>
            <w:r>
              <w:rPr>
                <w:rFonts w:hint="eastAsia"/>
                <w:color w:val="auto"/>
                <w:highlight w:val="none"/>
                <w:lang w:val="en-US" w:eastAsia="zh-CN"/>
              </w:rPr>
              <w:t>4</w:t>
            </w:r>
          </w:p>
        </w:tc>
        <w:tc>
          <w:tcPr>
            <w:tcW w:w="1630" w:type="pct"/>
            <w:tcBorders>
              <w:tl2br w:val="nil"/>
              <w:tr2bl w:val="nil"/>
            </w:tcBorders>
            <w:noWrap/>
            <w:vAlign w:val="center"/>
          </w:tcPr>
          <w:p w14:paraId="0C843C1C">
            <w:pPr>
              <w:pStyle w:val="41"/>
              <w:rPr>
                <w:rFonts w:hint="default" w:eastAsia="华文中宋"/>
                <w:color w:val="auto"/>
                <w:highlight w:val="none"/>
                <w:lang w:val="en-US" w:eastAsia="zh-CN"/>
              </w:rPr>
            </w:pPr>
            <w:r>
              <w:rPr>
                <w:rFonts w:hint="eastAsia"/>
                <w:color w:val="auto"/>
                <w:highlight w:val="none"/>
                <w:lang w:val="en-US" w:eastAsia="zh-CN"/>
              </w:rPr>
              <w:t>补加新水</w:t>
            </w:r>
          </w:p>
        </w:tc>
        <w:tc>
          <w:tcPr>
            <w:tcW w:w="1280" w:type="pct"/>
            <w:tcBorders>
              <w:tl2br w:val="nil"/>
              <w:tr2bl w:val="nil"/>
            </w:tcBorders>
            <w:noWrap/>
            <w:vAlign w:val="center"/>
          </w:tcPr>
          <w:p w14:paraId="67E1450B">
            <w:pPr>
              <w:pStyle w:val="41"/>
              <w:rPr>
                <w:rFonts w:hint="eastAsia"/>
                <w:color w:val="auto"/>
                <w:highlight w:val="none"/>
              </w:rPr>
            </w:pPr>
            <w:r>
              <w:rPr>
                <w:rFonts w:hint="eastAsia"/>
                <w:color w:val="auto"/>
                <w:highlight w:val="none"/>
              </w:rPr>
              <w:t>万m</w:t>
            </w:r>
            <w:r>
              <w:rPr>
                <w:rFonts w:hint="eastAsia"/>
                <w:color w:val="auto"/>
                <w:highlight w:val="none"/>
                <w:vertAlign w:val="superscript"/>
              </w:rPr>
              <w:t>3</w:t>
            </w:r>
            <w:r>
              <w:rPr>
                <w:rFonts w:hint="eastAsia"/>
                <w:color w:val="auto"/>
                <w:highlight w:val="none"/>
              </w:rPr>
              <w:t>/a</w:t>
            </w:r>
          </w:p>
        </w:tc>
        <w:tc>
          <w:tcPr>
            <w:tcW w:w="1377" w:type="pct"/>
            <w:tcBorders>
              <w:tl2br w:val="nil"/>
              <w:tr2bl w:val="nil"/>
            </w:tcBorders>
            <w:noWrap/>
            <w:vAlign w:val="center"/>
          </w:tcPr>
          <w:p w14:paraId="5053C079">
            <w:pPr>
              <w:pStyle w:val="41"/>
              <w:rPr>
                <w:rFonts w:hint="default" w:eastAsia="华文中宋"/>
                <w:color w:val="auto"/>
                <w:highlight w:val="none"/>
                <w:lang w:val="en-US" w:eastAsia="zh-CN"/>
              </w:rPr>
            </w:pPr>
            <w:r>
              <w:rPr>
                <w:rFonts w:hint="eastAsia"/>
                <w:color w:val="auto"/>
                <w:highlight w:val="none"/>
                <w:lang w:val="en-US" w:eastAsia="zh-CN"/>
              </w:rPr>
              <w:t>80.04</w:t>
            </w:r>
          </w:p>
        </w:tc>
      </w:tr>
      <w:tr w14:paraId="1F3F9D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11" w:type="pct"/>
            <w:tcBorders>
              <w:tl2br w:val="nil"/>
              <w:tr2bl w:val="nil"/>
            </w:tcBorders>
            <w:shd w:val="clear" w:color="auto" w:fill="auto"/>
            <w:noWrap/>
            <w:vAlign w:val="center"/>
          </w:tcPr>
          <w:p w14:paraId="0659A958">
            <w:pPr>
              <w:pStyle w:val="41"/>
              <w:rPr>
                <w:rFonts w:hint="eastAsia" w:eastAsia="华文中宋"/>
                <w:color w:val="auto"/>
                <w:highlight w:val="none"/>
                <w:lang w:val="en-US" w:eastAsia="zh-CN"/>
              </w:rPr>
            </w:pPr>
            <w:r>
              <w:rPr>
                <w:rFonts w:hint="eastAsia"/>
                <w:color w:val="auto"/>
                <w:highlight w:val="none"/>
                <w:lang w:val="en-US" w:eastAsia="zh-CN"/>
              </w:rPr>
              <w:t>5</w:t>
            </w:r>
          </w:p>
        </w:tc>
        <w:tc>
          <w:tcPr>
            <w:tcW w:w="1630" w:type="pct"/>
            <w:tcBorders>
              <w:tl2br w:val="nil"/>
              <w:tr2bl w:val="nil"/>
            </w:tcBorders>
            <w:noWrap/>
            <w:vAlign w:val="center"/>
          </w:tcPr>
          <w:p w14:paraId="5A448D37">
            <w:pPr>
              <w:pStyle w:val="41"/>
              <w:rPr>
                <w:rFonts w:hint="default" w:eastAsia="华文中宋"/>
                <w:color w:val="auto"/>
                <w:highlight w:val="none"/>
                <w:lang w:val="en-US" w:eastAsia="zh-CN"/>
              </w:rPr>
            </w:pPr>
            <w:r>
              <w:rPr>
                <w:rFonts w:hint="eastAsia"/>
                <w:color w:val="auto"/>
                <w:highlight w:val="none"/>
                <w:lang w:val="en-US" w:eastAsia="zh-CN"/>
              </w:rPr>
              <w:t>蒸发水量</w:t>
            </w:r>
          </w:p>
        </w:tc>
        <w:tc>
          <w:tcPr>
            <w:tcW w:w="1280" w:type="pct"/>
            <w:tcBorders>
              <w:tl2br w:val="nil"/>
              <w:tr2bl w:val="nil"/>
            </w:tcBorders>
            <w:noWrap/>
            <w:vAlign w:val="center"/>
          </w:tcPr>
          <w:p w14:paraId="3A2319A9">
            <w:pPr>
              <w:pStyle w:val="41"/>
              <w:rPr>
                <w:rFonts w:hint="eastAsia"/>
                <w:color w:val="auto"/>
                <w:highlight w:val="none"/>
              </w:rPr>
            </w:pPr>
            <w:r>
              <w:rPr>
                <w:rFonts w:hint="eastAsia"/>
                <w:color w:val="auto"/>
                <w:highlight w:val="none"/>
              </w:rPr>
              <w:t>万m</w:t>
            </w:r>
            <w:r>
              <w:rPr>
                <w:rFonts w:hint="eastAsia"/>
                <w:color w:val="auto"/>
                <w:highlight w:val="none"/>
                <w:vertAlign w:val="superscript"/>
              </w:rPr>
              <w:t>3</w:t>
            </w:r>
            <w:r>
              <w:rPr>
                <w:rFonts w:hint="eastAsia"/>
                <w:color w:val="auto"/>
                <w:highlight w:val="none"/>
              </w:rPr>
              <w:t>/a</w:t>
            </w:r>
          </w:p>
        </w:tc>
        <w:tc>
          <w:tcPr>
            <w:tcW w:w="1377" w:type="pct"/>
            <w:tcBorders>
              <w:tl2br w:val="nil"/>
              <w:tr2bl w:val="nil"/>
            </w:tcBorders>
            <w:noWrap/>
            <w:vAlign w:val="center"/>
          </w:tcPr>
          <w:p w14:paraId="77179FAC">
            <w:pPr>
              <w:pStyle w:val="41"/>
              <w:rPr>
                <w:rFonts w:hint="default" w:eastAsia="华文中宋"/>
                <w:color w:val="auto"/>
                <w:highlight w:val="none"/>
                <w:lang w:val="en-US" w:eastAsia="zh-CN"/>
              </w:rPr>
            </w:pPr>
            <w:r>
              <w:rPr>
                <w:rFonts w:hint="eastAsia"/>
                <w:color w:val="auto"/>
                <w:highlight w:val="none"/>
                <w:lang w:val="en-US" w:eastAsia="zh-CN"/>
              </w:rPr>
              <w:t>80.04</w:t>
            </w:r>
          </w:p>
        </w:tc>
      </w:tr>
      <w:tr w14:paraId="375B91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11" w:type="pct"/>
            <w:tcBorders>
              <w:tl2br w:val="nil"/>
              <w:tr2bl w:val="nil"/>
            </w:tcBorders>
            <w:shd w:val="clear" w:color="auto" w:fill="auto"/>
            <w:noWrap/>
            <w:vAlign w:val="center"/>
          </w:tcPr>
          <w:p w14:paraId="44F7617A">
            <w:pPr>
              <w:pStyle w:val="41"/>
              <w:rPr>
                <w:rFonts w:hint="eastAsia"/>
                <w:color w:val="auto"/>
                <w:highlight w:val="none"/>
              </w:rPr>
            </w:pPr>
            <w:r>
              <w:rPr>
                <w:rFonts w:hint="eastAsia"/>
                <w:color w:val="auto"/>
                <w:highlight w:val="none"/>
                <w:lang w:eastAsia="zh-CN"/>
              </w:rPr>
              <w:t>6</w:t>
            </w:r>
          </w:p>
        </w:tc>
        <w:tc>
          <w:tcPr>
            <w:tcW w:w="1630" w:type="pct"/>
            <w:tcBorders>
              <w:tl2br w:val="nil"/>
              <w:tr2bl w:val="nil"/>
            </w:tcBorders>
            <w:noWrap/>
            <w:vAlign w:val="center"/>
          </w:tcPr>
          <w:p w14:paraId="4E1FDA69">
            <w:pPr>
              <w:pStyle w:val="41"/>
              <w:rPr>
                <w:color w:val="auto"/>
                <w:highlight w:val="none"/>
              </w:rPr>
            </w:pPr>
            <w:r>
              <w:rPr>
                <w:rFonts w:hint="eastAsia"/>
                <w:color w:val="auto"/>
                <w:highlight w:val="none"/>
              </w:rPr>
              <w:t>绿化用水量</w:t>
            </w:r>
          </w:p>
        </w:tc>
        <w:tc>
          <w:tcPr>
            <w:tcW w:w="1280" w:type="pct"/>
            <w:tcBorders>
              <w:tl2br w:val="nil"/>
              <w:tr2bl w:val="nil"/>
            </w:tcBorders>
            <w:noWrap/>
            <w:vAlign w:val="center"/>
          </w:tcPr>
          <w:p w14:paraId="4FCEB789">
            <w:pPr>
              <w:pStyle w:val="41"/>
              <w:rPr>
                <w:color w:val="auto"/>
                <w:highlight w:val="none"/>
              </w:rPr>
            </w:pPr>
            <w:r>
              <w:rPr>
                <w:rFonts w:hint="eastAsia"/>
                <w:color w:val="auto"/>
                <w:highlight w:val="none"/>
              </w:rPr>
              <w:t>万m</w:t>
            </w:r>
            <w:r>
              <w:rPr>
                <w:rFonts w:hint="eastAsia"/>
                <w:color w:val="auto"/>
                <w:highlight w:val="none"/>
                <w:vertAlign w:val="superscript"/>
              </w:rPr>
              <w:t>3</w:t>
            </w:r>
            <w:r>
              <w:rPr>
                <w:rFonts w:hint="eastAsia"/>
                <w:color w:val="auto"/>
                <w:highlight w:val="none"/>
              </w:rPr>
              <w:t>/a</w:t>
            </w:r>
          </w:p>
        </w:tc>
        <w:tc>
          <w:tcPr>
            <w:tcW w:w="1377" w:type="pct"/>
            <w:tcBorders>
              <w:tl2br w:val="nil"/>
              <w:tr2bl w:val="nil"/>
            </w:tcBorders>
            <w:noWrap/>
            <w:vAlign w:val="center"/>
          </w:tcPr>
          <w:p w14:paraId="0C45583D">
            <w:pPr>
              <w:pStyle w:val="41"/>
              <w:rPr>
                <w:color w:val="auto"/>
                <w:highlight w:val="none"/>
              </w:rPr>
            </w:pPr>
            <w:r>
              <w:rPr>
                <w:rFonts w:hint="eastAsia"/>
                <w:color w:val="auto"/>
                <w:highlight w:val="none"/>
              </w:rPr>
              <w:t>5.52</w:t>
            </w:r>
          </w:p>
        </w:tc>
      </w:tr>
      <w:tr w14:paraId="3303CDF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11" w:type="pct"/>
            <w:tcBorders>
              <w:tl2br w:val="nil"/>
              <w:tr2bl w:val="nil"/>
            </w:tcBorders>
            <w:shd w:val="clear" w:color="auto" w:fill="auto"/>
            <w:noWrap/>
            <w:vAlign w:val="center"/>
          </w:tcPr>
          <w:p w14:paraId="0434D825">
            <w:pPr>
              <w:pStyle w:val="41"/>
              <w:rPr>
                <w:rFonts w:hint="eastAsia"/>
                <w:color w:val="auto"/>
                <w:highlight w:val="none"/>
              </w:rPr>
            </w:pPr>
            <w:r>
              <w:rPr>
                <w:rFonts w:hint="eastAsia"/>
                <w:color w:val="auto"/>
                <w:highlight w:val="none"/>
                <w:lang w:eastAsia="zh-CN"/>
              </w:rPr>
              <w:t>7</w:t>
            </w:r>
          </w:p>
        </w:tc>
        <w:tc>
          <w:tcPr>
            <w:tcW w:w="1630" w:type="pct"/>
            <w:tcBorders>
              <w:tl2br w:val="nil"/>
              <w:tr2bl w:val="nil"/>
            </w:tcBorders>
            <w:noWrap/>
            <w:vAlign w:val="center"/>
          </w:tcPr>
          <w:p w14:paraId="32BFD232">
            <w:pPr>
              <w:pStyle w:val="41"/>
              <w:rPr>
                <w:color w:val="auto"/>
                <w:highlight w:val="none"/>
              </w:rPr>
            </w:pPr>
            <w:r>
              <w:rPr>
                <w:rFonts w:hint="eastAsia"/>
                <w:color w:val="auto"/>
                <w:highlight w:val="none"/>
              </w:rPr>
              <w:t>道路及场地洒水用水量</w:t>
            </w:r>
          </w:p>
        </w:tc>
        <w:tc>
          <w:tcPr>
            <w:tcW w:w="1280" w:type="pct"/>
            <w:tcBorders>
              <w:tl2br w:val="nil"/>
              <w:tr2bl w:val="nil"/>
            </w:tcBorders>
            <w:noWrap/>
            <w:vAlign w:val="center"/>
          </w:tcPr>
          <w:p w14:paraId="463B4818">
            <w:pPr>
              <w:pStyle w:val="41"/>
              <w:rPr>
                <w:color w:val="auto"/>
                <w:highlight w:val="none"/>
              </w:rPr>
            </w:pPr>
            <w:r>
              <w:rPr>
                <w:rFonts w:hint="eastAsia"/>
                <w:color w:val="auto"/>
                <w:highlight w:val="none"/>
              </w:rPr>
              <w:t>万m</w:t>
            </w:r>
            <w:r>
              <w:rPr>
                <w:rFonts w:hint="eastAsia"/>
                <w:color w:val="auto"/>
                <w:highlight w:val="none"/>
                <w:vertAlign w:val="superscript"/>
              </w:rPr>
              <w:t>3</w:t>
            </w:r>
            <w:r>
              <w:rPr>
                <w:rFonts w:hint="eastAsia"/>
                <w:color w:val="auto"/>
                <w:highlight w:val="none"/>
              </w:rPr>
              <w:t>/a</w:t>
            </w:r>
          </w:p>
        </w:tc>
        <w:tc>
          <w:tcPr>
            <w:tcW w:w="1377" w:type="pct"/>
            <w:tcBorders>
              <w:tl2br w:val="nil"/>
              <w:tr2bl w:val="nil"/>
            </w:tcBorders>
            <w:noWrap/>
            <w:vAlign w:val="center"/>
          </w:tcPr>
          <w:p w14:paraId="30AB1BE3">
            <w:pPr>
              <w:pStyle w:val="41"/>
              <w:rPr>
                <w:color w:val="auto"/>
                <w:highlight w:val="none"/>
              </w:rPr>
            </w:pPr>
            <w:r>
              <w:rPr>
                <w:rFonts w:hint="eastAsia"/>
                <w:color w:val="auto"/>
                <w:highlight w:val="none"/>
              </w:rPr>
              <w:t>5.67</w:t>
            </w:r>
          </w:p>
        </w:tc>
      </w:tr>
      <w:tr w14:paraId="11E1B1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11" w:type="pct"/>
            <w:tcBorders>
              <w:tl2br w:val="nil"/>
              <w:tr2bl w:val="nil"/>
            </w:tcBorders>
            <w:shd w:val="clear" w:color="auto" w:fill="auto"/>
            <w:noWrap/>
            <w:vAlign w:val="center"/>
          </w:tcPr>
          <w:p w14:paraId="72D1E8F4">
            <w:pPr>
              <w:pStyle w:val="41"/>
              <w:rPr>
                <w:rFonts w:hint="eastAsia" w:eastAsia="华文中宋"/>
                <w:color w:val="auto"/>
                <w:highlight w:val="none"/>
                <w:lang w:val="en-US" w:eastAsia="zh-CN"/>
              </w:rPr>
            </w:pPr>
            <w:r>
              <w:rPr>
                <w:rFonts w:hint="eastAsia"/>
                <w:color w:val="auto"/>
                <w:highlight w:val="none"/>
                <w:lang w:val="en-US" w:eastAsia="zh-CN"/>
              </w:rPr>
              <w:t>8</w:t>
            </w:r>
          </w:p>
        </w:tc>
        <w:tc>
          <w:tcPr>
            <w:tcW w:w="1630" w:type="pct"/>
            <w:tcBorders>
              <w:tl2br w:val="nil"/>
              <w:tr2bl w:val="nil"/>
            </w:tcBorders>
            <w:noWrap/>
            <w:vAlign w:val="center"/>
          </w:tcPr>
          <w:p w14:paraId="6785AA84">
            <w:pPr>
              <w:pStyle w:val="41"/>
              <w:rPr>
                <w:rFonts w:hint="default" w:eastAsia="华文中宋"/>
                <w:color w:val="auto"/>
                <w:highlight w:val="none"/>
                <w:lang w:val="en-US" w:eastAsia="zh-CN"/>
              </w:rPr>
            </w:pPr>
            <w:r>
              <w:rPr>
                <w:rFonts w:hint="eastAsia"/>
                <w:color w:val="auto"/>
                <w:highlight w:val="none"/>
                <w:lang w:val="en-US" w:eastAsia="zh-CN"/>
              </w:rPr>
              <w:t>脱硫塔补水量</w:t>
            </w:r>
          </w:p>
        </w:tc>
        <w:tc>
          <w:tcPr>
            <w:tcW w:w="1280" w:type="pct"/>
            <w:tcBorders>
              <w:tl2br w:val="nil"/>
              <w:tr2bl w:val="nil"/>
            </w:tcBorders>
            <w:noWrap/>
            <w:vAlign w:val="center"/>
          </w:tcPr>
          <w:p w14:paraId="44D7B8FF">
            <w:pPr>
              <w:pStyle w:val="41"/>
              <w:rPr>
                <w:rFonts w:hint="eastAsia"/>
                <w:color w:val="auto"/>
                <w:highlight w:val="none"/>
              </w:rPr>
            </w:pPr>
            <w:r>
              <w:rPr>
                <w:rFonts w:hint="eastAsia"/>
                <w:color w:val="auto"/>
                <w:highlight w:val="none"/>
              </w:rPr>
              <w:t>万m</w:t>
            </w:r>
            <w:r>
              <w:rPr>
                <w:rFonts w:hint="eastAsia"/>
                <w:color w:val="auto"/>
                <w:highlight w:val="none"/>
                <w:vertAlign w:val="superscript"/>
              </w:rPr>
              <w:t>3</w:t>
            </w:r>
            <w:r>
              <w:rPr>
                <w:rFonts w:hint="eastAsia"/>
                <w:color w:val="auto"/>
                <w:highlight w:val="none"/>
              </w:rPr>
              <w:t>/a</w:t>
            </w:r>
          </w:p>
        </w:tc>
        <w:tc>
          <w:tcPr>
            <w:tcW w:w="1377" w:type="pct"/>
            <w:tcBorders>
              <w:tl2br w:val="nil"/>
              <w:tr2bl w:val="nil"/>
            </w:tcBorders>
            <w:noWrap/>
            <w:vAlign w:val="center"/>
          </w:tcPr>
          <w:p w14:paraId="5431363F">
            <w:pPr>
              <w:pStyle w:val="41"/>
              <w:rPr>
                <w:rFonts w:hint="default" w:eastAsia="华文中宋"/>
                <w:color w:val="auto"/>
                <w:highlight w:val="none"/>
                <w:lang w:val="en-US" w:eastAsia="zh-CN"/>
              </w:rPr>
            </w:pPr>
            <w:r>
              <w:rPr>
                <w:rFonts w:hint="eastAsia"/>
                <w:color w:val="auto"/>
                <w:highlight w:val="none"/>
                <w:lang w:val="en-US" w:eastAsia="zh-CN"/>
              </w:rPr>
              <w:t>0.14</w:t>
            </w:r>
          </w:p>
        </w:tc>
      </w:tr>
      <w:tr w14:paraId="7DDF48A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11" w:type="pct"/>
            <w:tcBorders>
              <w:tl2br w:val="nil"/>
              <w:tr2bl w:val="nil"/>
            </w:tcBorders>
            <w:noWrap/>
            <w:vAlign w:val="center"/>
          </w:tcPr>
          <w:p w14:paraId="300A2A51">
            <w:pPr>
              <w:pStyle w:val="41"/>
              <w:rPr>
                <w:color w:val="auto"/>
                <w:highlight w:val="none"/>
              </w:rPr>
            </w:pPr>
            <w:r>
              <w:rPr>
                <w:rFonts w:hint="eastAsia"/>
                <w:color w:val="auto"/>
                <w:highlight w:val="none"/>
              </w:rPr>
              <w:t>三</w:t>
            </w:r>
          </w:p>
        </w:tc>
        <w:tc>
          <w:tcPr>
            <w:tcW w:w="1630" w:type="pct"/>
            <w:tcBorders>
              <w:tl2br w:val="nil"/>
              <w:tr2bl w:val="nil"/>
            </w:tcBorders>
            <w:noWrap/>
            <w:vAlign w:val="center"/>
          </w:tcPr>
          <w:p w14:paraId="334F795D">
            <w:pPr>
              <w:pStyle w:val="41"/>
              <w:rPr>
                <w:color w:val="auto"/>
                <w:highlight w:val="none"/>
              </w:rPr>
            </w:pPr>
            <w:r>
              <w:rPr>
                <w:rFonts w:hint="eastAsia"/>
                <w:color w:val="auto"/>
                <w:highlight w:val="none"/>
              </w:rPr>
              <w:t>总用水</w:t>
            </w:r>
          </w:p>
        </w:tc>
        <w:tc>
          <w:tcPr>
            <w:tcW w:w="1280" w:type="pct"/>
            <w:tcBorders>
              <w:tl2br w:val="nil"/>
              <w:tr2bl w:val="nil"/>
            </w:tcBorders>
            <w:noWrap/>
            <w:vAlign w:val="center"/>
          </w:tcPr>
          <w:p w14:paraId="18DEB022">
            <w:pPr>
              <w:pStyle w:val="41"/>
              <w:rPr>
                <w:color w:val="auto"/>
                <w:highlight w:val="none"/>
              </w:rPr>
            </w:pPr>
            <w:r>
              <w:rPr>
                <w:rFonts w:hint="eastAsia"/>
                <w:color w:val="auto"/>
                <w:highlight w:val="none"/>
              </w:rPr>
              <w:t>万m</w:t>
            </w:r>
            <w:r>
              <w:rPr>
                <w:rFonts w:hint="eastAsia"/>
                <w:color w:val="auto"/>
                <w:highlight w:val="none"/>
                <w:vertAlign w:val="superscript"/>
              </w:rPr>
              <w:t>3</w:t>
            </w:r>
            <w:r>
              <w:rPr>
                <w:rFonts w:hint="eastAsia"/>
                <w:color w:val="auto"/>
                <w:highlight w:val="none"/>
              </w:rPr>
              <w:t>/a</w:t>
            </w:r>
          </w:p>
        </w:tc>
        <w:tc>
          <w:tcPr>
            <w:tcW w:w="1377" w:type="pct"/>
            <w:tcBorders>
              <w:tl2br w:val="nil"/>
              <w:tr2bl w:val="nil"/>
            </w:tcBorders>
            <w:noWrap/>
            <w:vAlign w:val="center"/>
          </w:tcPr>
          <w:p w14:paraId="60C16C08">
            <w:pPr>
              <w:pStyle w:val="41"/>
              <w:rPr>
                <w:rFonts w:hint="default" w:eastAsia="华文中宋"/>
                <w:color w:val="auto"/>
                <w:highlight w:val="none"/>
                <w:lang w:val="en-US" w:eastAsia="zh-CN"/>
              </w:rPr>
            </w:pPr>
            <w:r>
              <w:rPr>
                <w:rFonts w:hint="eastAsia"/>
                <w:color w:val="auto"/>
                <w:highlight w:val="none"/>
                <w:lang w:val="en-US" w:eastAsia="zh-CN"/>
              </w:rPr>
              <w:t>1524.12</w:t>
            </w:r>
          </w:p>
        </w:tc>
      </w:tr>
    </w:tbl>
    <w:p w14:paraId="2C20CC80">
      <w:pPr>
        <w:pStyle w:val="3"/>
        <w:ind w:firstLine="480"/>
        <w:rPr>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）排水量</w:t>
      </w:r>
    </w:p>
    <w:p w14:paraId="01520865">
      <w:pPr>
        <w:pStyle w:val="3"/>
        <w:ind w:firstLine="480"/>
        <w:rPr>
          <w:color w:val="auto"/>
          <w:highlight w:val="none"/>
        </w:rPr>
      </w:pPr>
      <w:r>
        <w:rPr>
          <w:rFonts w:hint="eastAsia"/>
          <w:color w:val="auto"/>
          <w:highlight w:val="none"/>
        </w:rPr>
        <w:t>①生产废水</w:t>
      </w:r>
    </w:p>
    <w:p w14:paraId="4318BF84">
      <w:pPr>
        <w:pStyle w:val="3"/>
        <w:ind w:firstLine="480"/>
        <w:rPr>
          <w:color w:val="auto"/>
          <w:highlight w:val="none"/>
        </w:rPr>
      </w:pPr>
      <w:r>
        <w:rPr>
          <w:color w:val="auto"/>
          <w:highlight w:val="none"/>
        </w:rPr>
        <w:t>生产系统排水进入</w:t>
      </w:r>
      <w:r>
        <w:rPr>
          <w:rFonts w:hint="eastAsia"/>
          <w:color w:val="auto"/>
          <w:highlight w:val="none"/>
        </w:rPr>
        <w:t>循环水</w:t>
      </w:r>
      <w:r>
        <w:rPr>
          <w:color w:val="auto"/>
          <w:highlight w:val="none"/>
        </w:rPr>
        <w:t>系统，</w:t>
      </w:r>
      <w:r>
        <w:rPr>
          <w:rFonts w:hint="eastAsia"/>
          <w:color w:val="auto"/>
          <w:highlight w:val="none"/>
        </w:rPr>
        <w:t>循环水池</w:t>
      </w:r>
      <w:r>
        <w:rPr>
          <w:color w:val="auto"/>
          <w:highlight w:val="none"/>
        </w:rPr>
        <w:t>溢流水</w:t>
      </w:r>
      <w:r>
        <w:rPr>
          <w:rFonts w:hint="eastAsia"/>
          <w:color w:val="auto"/>
          <w:highlight w:val="none"/>
        </w:rPr>
        <w:t>通过</w:t>
      </w:r>
      <w:r>
        <w:rPr>
          <w:color w:val="auto"/>
          <w:highlight w:val="none"/>
        </w:rPr>
        <w:t>泵</w:t>
      </w:r>
      <w:r>
        <w:rPr>
          <w:rFonts w:hint="eastAsia"/>
          <w:color w:val="auto"/>
          <w:highlight w:val="none"/>
        </w:rPr>
        <w:t>送</w:t>
      </w:r>
      <w:r>
        <w:rPr>
          <w:color w:val="auto"/>
          <w:highlight w:val="none"/>
        </w:rPr>
        <w:t>，</w:t>
      </w:r>
      <w:r>
        <w:rPr>
          <w:rFonts w:hint="eastAsia"/>
          <w:color w:val="auto"/>
          <w:highlight w:val="none"/>
        </w:rPr>
        <w:t>返回</w:t>
      </w:r>
      <w:r>
        <w:rPr>
          <w:color w:val="auto"/>
          <w:highlight w:val="none"/>
        </w:rPr>
        <w:t>生产环水管网，循环使用。全厂生产系统污废水不外排。</w:t>
      </w:r>
    </w:p>
    <w:p w14:paraId="277806F8">
      <w:pPr>
        <w:pStyle w:val="3"/>
        <w:ind w:firstLine="480"/>
        <w:rPr>
          <w:color w:val="auto"/>
          <w:highlight w:val="none"/>
        </w:rPr>
      </w:pPr>
      <w:r>
        <w:rPr>
          <w:rFonts w:hint="eastAsia"/>
          <w:color w:val="auto"/>
          <w:highlight w:val="none"/>
        </w:rPr>
        <w:t>②</w:t>
      </w:r>
      <w:r>
        <w:rPr>
          <w:color w:val="auto"/>
          <w:highlight w:val="none"/>
        </w:rPr>
        <w:t>生活污水</w:t>
      </w:r>
    </w:p>
    <w:p w14:paraId="42B01922">
      <w:pPr>
        <w:pStyle w:val="3"/>
        <w:ind w:firstLine="480"/>
        <w:rPr>
          <w:color w:val="auto"/>
          <w:highlight w:val="none"/>
        </w:rPr>
      </w:pPr>
      <w:r>
        <w:rPr>
          <w:color w:val="auto"/>
          <w:highlight w:val="none"/>
        </w:rPr>
        <w:t>选厂区域各车间、办公区生活污水经地埋式污水处理装置进行处理。生活污水产生量按用水量的</w:t>
      </w:r>
      <w:r>
        <w:rPr>
          <w:rFonts w:hint="eastAsia"/>
          <w:color w:val="auto"/>
          <w:highlight w:val="none"/>
        </w:rPr>
        <w:t>9</w:t>
      </w:r>
      <w:r>
        <w:rPr>
          <w:color w:val="auto"/>
          <w:highlight w:val="none"/>
        </w:rPr>
        <w:t>0%计，则生活污水产生量为</w:t>
      </w:r>
      <w:r>
        <w:rPr>
          <w:rFonts w:hint="eastAsia"/>
          <w:color w:val="auto"/>
          <w:highlight w:val="none"/>
        </w:rPr>
        <w:t>54.25m</w:t>
      </w:r>
      <w:r>
        <w:rPr>
          <w:rFonts w:hint="eastAsia"/>
          <w:color w:val="auto"/>
          <w:highlight w:val="none"/>
          <w:vertAlign w:val="superscript"/>
        </w:rPr>
        <w:t>3</w:t>
      </w:r>
      <w:r>
        <w:rPr>
          <w:color w:val="auto"/>
          <w:highlight w:val="none"/>
        </w:rPr>
        <w:t>/d（</w:t>
      </w:r>
      <w:r>
        <w:rPr>
          <w:rFonts w:hint="eastAsia"/>
          <w:color w:val="auto"/>
          <w:highlight w:val="none"/>
        </w:rPr>
        <w:t>16275m</w:t>
      </w:r>
      <w:r>
        <w:rPr>
          <w:rFonts w:hint="eastAsia"/>
          <w:color w:val="auto"/>
          <w:highlight w:val="none"/>
          <w:vertAlign w:val="superscript"/>
        </w:rPr>
        <w:t>3</w:t>
      </w:r>
      <w:r>
        <w:rPr>
          <w:color w:val="auto"/>
          <w:highlight w:val="none"/>
        </w:rPr>
        <w:t>/a），生活污水经地埋式污水处理装置处理后回用于厂区抑尘</w:t>
      </w:r>
      <w:r>
        <w:rPr>
          <w:rFonts w:hint="eastAsia"/>
          <w:color w:val="auto"/>
          <w:highlight w:val="none"/>
        </w:rPr>
        <w:t>和绿化</w:t>
      </w:r>
      <w:r>
        <w:rPr>
          <w:color w:val="auto"/>
          <w:highlight w:val="none"/>
        </w:rPr>
        <w:t>。</w:t>
      </w:r>
    </w:p>
    <w:p w14:paraId="4C629261">
      <w:pPr>
        <w:pStyle w:val="3"/>
        <w:spacing w:line="240" w:lineRule="atLeast"/>
        <w:ind w:firstLine="0" w:firstLineChars="0"/>
        <w:rPr>
          <w:color w:val="auto"/>
          <w:highlight w:val="none"/>
        </w:rPr>
      </w:pPr>
      <w:r>
        <w:rPr>
          <w:color w:val="auto"/>
          <w:highlight w:val="none"/>
        </w:rPr>
        <w:drawing>
          <wp:inline distT="0" distB="0" distL="114300" distR="114300">
            <wp:extent cx="5259070" cy="5857240"/>
            <wp:effectExtent l="0" t="0" r="17780" b="10160"/>
            <wp:docPr id="7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1"/>
                    <pic:cNvPicPr>
                      <a:picLocks noChangeAspect="1"/>
                    </pic:cNvPicPr>
                  </pic:nvPicPr>
                  <pic:blipFill>
                    <a:blip r:embed="rId27"/>
                    <a:stretch>
                      <a:fillRect/>
                    </a:stretch>
                  </pic:blipFill>
                  <pic:spPr>
                    <a:xfrm>
                      <a:off x="0" y="0"/>
                      <a:ext cx="5259070" cy="5857240"/>
                    </a:xfrm>
                    <a:prstGeom prst="rect">
                      <a:avLst/>
                    </a:prstGeom>
                    <a:noFill/>
                    <a:ln>
                      <a:noFill/>
                    </a:ln>
                  </pic:spPr>
                </pic:pic>
              </a:graphicData>
            </a:graphic>
          </wp:inline>
        </w:drawing>
      </w:r>
    </w:p>
    <w:p w14:paraId="3E5BBE6B">
      <w:pPr>
        <w:pStyle w:val="40"/>
        <w:spacing w:before="0" w:after="0"/>
        <w:rPr>
          <w:rFonts w:hint="default" w:eastAsia="华文中宋"/>
          <w:color w:val="auto"/>
          <w:sz w:val="24"/>
          <w:szCs w:val="24"/>
          <w:highlight w:val="none"/>
          <w:lang w:val="en-US" w:eastAsia="zh-CN"/>
        </w:rPr>
      </w:pPr>
      <w:r>
        <w:rPr>
          <w:rFonts w:hint="default"/>
          <w:color w:val="auto"/>
          <w:sz w:val="24"/>
          <w:szCs w:val="24"/>
          <w:highlight w:val="none"/>
        </w:rPr>
        <w:t>图3.3.5-1   项目水平衡图</w:t>
      </w:r>
      <w:r>
        <w:rPr>
          <w:rFonts w:hint="default"/>
          <w:color w:val="auto"/>
          <w:sz w:val="24"/>
          <w:szCs w:val="24"/>
          <w:highlight w:val="none"/>
          <w:lang w:val="en-US" w:eastAsia="zh-CN"/>
        </w:rPr>
        <w:t xml:space="preserve">   单位：万m</w:t>
      </w:r>
      <w:r>
        <w:rPr>
          <w:rFonts w:hint="default"/>
          <w:color w:val="auto"/>
          <w:sz w:val="24"/>
          <w:szCs w:val="24"/>
          <w:highlight w:val="none"/>
          <w:vertAlign w:val="superscript"/>
          <w:lang w:val="en-US" w:eastAsia="zh-CN"/>
        </w:rPr>
        <w:t>3</w:t>
      </w:r>
      <w:r>
        <w:rPr>
          <w:rFonts w:hint="default"/>
          <w:color w:val="auto"/>
          <w:sz w:val="24"/>
          <w:szCs w:val="24"/>
          <w:highlight w:val="none"/>
          <w:lang w:val="en-US" w:eastAsia="zh-CN"/>
        </w:rPr>
        <w:t>/a</w:t>
      </w:r>
    </w:p>
    <w:p w14:paraId="01B3846D">
      <w:pPr>
        <w:pStyle w:val="43"/>
        <w:rPr>
          <w:color w:val="auto"/>
          <w:highlight w:val="none"/>
        </w:rPr>
      </w:pPr>
      <w:r>
        <w:rPr>
          <w:rFonts w:hint="eastAsia"/>
          <w:color w:val="auto"/>
          <w:highlight w:val="none"/>
        </w:rPr>
        <w:t>供暖</w:t>
      </w:r>
    </w:p>
    <w:p w14:paraId="5EEC0504">
      <w:pPr>
        <w:pStyle w:val="3"/>
        <w:ind w:firstLine="480"/>
        <w:rPr>
          <w:color w:val="auto"/>
          <w:highlight w:val="none"/>
        </w:rPr>
      </w:pPr>
      <w:r>
        <w:rPr>
          <w:rFonts w:hint="eastAsia"/>
          <w:color w:val="auto"/>
          <w:highlight w:val="none"/>
        </w:rPr>
        <w:t>本项目生产热源采用生物质窑炉，办公生活热源利用生产锅炉的余热。根据建设单位提供，本项目安装两台生物质窑炉，分别为300万大卡、100万大卡各一台，一用一</w:t>
      </w:r>
      <w:r>
        <w:rPr>
          <w:rFonts w:hint="eastAsia"/>
          <w:color w:val="auto"/>
          <w:highlight w:val="none"/>
          <w:lang w:eastAsia="zh-CN"/>
        </w:rPr>
        <w:t>备</w:t>
      </w:r>
      <w:r>
        <w:rPr>
          <w:rFonts w:hint="eastAsia"/>
          <w:color w:val="auto"/>
          <w:highlight w:val="none"/>
        </w:rPr>
        <w:t>。</w:t>
      </w:r>
    </w:p>
    <w:p w14:paraId="1F8945DF">
      <w:pPr>
        <w:pStyle w:val="43"/>
        <w:rPr>
          <w:color w:val="auto"/>
          <w:highlight w:val="none"/>
        </w:rPr>
      </w:pPr>
      <w:r>
        <w:rPr>
          <w:rFonts w:hint="eastAsia"/>
          <w:color w:val="auto"/>
          <w:highlight w:val="none"/>
        </w:rPr>
        <w:t>供电</w:t>
      </w:r>
    </w:p>
    <w:p w14:paraId="704A3734">
      <w:pPr>
        <w:pStyle w:val="3"/>
        <w:ind w:firstLine="480"/>
        <w:rPr>
          <w:color w:val="auto"/>
          <w:highlight w:val="none"/>
        </w:rPr>
      </w:pPr>
      <w:r>
        <w:rPr>
          <w:rFonts w:hint="eastAsia"/>
          <w:color w:val="auto"/>
          <w:highlight w:val="none"/>
        </w:rPr>
        <w:t>本项目外部供电电源引自距选厂45km处的哈拉峻110/35kV总变电站，以双回35kV架空线形式引至选厂，作为本项目的主供电电源。在选矿厂的负荷中心建一座35kV/10kV总降压变电站，负责选厂全部负荷的用电。总降35kV系统采用单母线接线，10kV系统采用单母线分段接线。</w:t>
      </w:r>
    </w:p>
    <w:p w14:paraId="6A34B2C2">
      <w:pPr>
        <w:pStyle w:val="3"/>
        <w:ind w:firstLine="480"/>
        <w:rPr>
          <w:color w:val="auto"/>
          <w:highlight w:val="none"/>
        </w:rPr>
      </w:pPr>
      <w:r>
        <w:rPr>
          <w:rFonts w:hint="eastAsia"/>
          <w:color w:val="auto"/>
          <w:highlight w:val="none"/>
        </w:rPr>
        <w:t>本项目总耗电量106274592kW.h，其中一期年总耗电量38251512kW.h，二期年总耗电量68023080kW.h。</w:t>
      </w:r>
    </w:p>
    <w:p w14:paraId="02BAB9D6">
      <w:pPr>
        <w:pStyle w:val="39"/>
        <w:rPr>
          <w:rFonts w:hint="default"/>
          <w:color w:val="auto"/>
          <w:highlight w:val="none"/>
        </w:rPr>
      </w:pPr>
      <w:bookmarkStart w:id="286" w:name="_Toc8473"/>
      <w:bookmarkStart w:id="287" w:name="_Toc9745"/>
      <w:bookmarkStart w:id="288" w:name="_Toc107414656"/>
      <w:bookmarkStart w:id="289" w:name="_Toc9473"/>
      <w:bookmarkStart w:id="290" w:name="_Toc28292"/>
      <w:bookmarkStart w:id="291" w:name="_Toc23292"/>
      <w:bookmarkStart w:id="292" w:name="_Toc3776"/>
      <w:bookmarkStart w:id="293" w:name="_Toc9230"/>
      <w:bookmarkStart w:id="294" w:name="_Toc107413889"/>
      <w:bookmarkStart w:id="295" w:name="_Toc118977490"/>
      <w:bookmarkStart w:id="296" w:name="_Toc1624"/>
      <w:bookmarkStart w:id="297" w:name="_Toc2953"/>
      <w:r>
        <w:rPr>
          <w:rFonts w:hint="default"/>
          <w:color w:val="auto"/>
          <w:highlight w:val="none"/>
        </w:rPr>
        <w:t>污染源及污染物分析</w:t>
      </w:r>
      <w:bookmarkEnd w:id="286"/>
      <w:bookmarkEnd w:id="287"/>
      <w:bookmarkEnd w:id="288"/>
      <w:bookmarkEnd w:id="289"/>
      <w:bookmarkEnd w:id="290"/>
      <w:bookmarkEnd w:id="291"/>
      <w:bookmarkEnd w:id="292"/>
      <w:bookmarkEnd w:id="293"/>
      <w:bookmarkEnd w:id="294"/>
      <w:bookmarkEnd w:id="295"/>
      <w:bookmarkEnd w:id="296"/>
      <w:bookmarkEnd w:id="297"/>
    </w:p>
    <w:p w14:paraId="5077F5CC">
      <w:pPr>
        <w:pStyle w:val="42"/>
        <w:rPr>
          <w:rFonts w:hint="default"/>
          <w:color w:val="auto"/>
          <w:highlight w:val="none"/>
        </w:rPr>
      </w:pPr>
      <w:bookmarkStart w:id="298" w:name="_Toc24289"/>
      <w:bookmarkStart w:id="299" w:name="_Toc18983"/>
      <w:bookmarkStart w:id="300" w:name="_Toc5743"/>
      <w:r>
        <w:rPr>
          <w:rFonts w:hint="default"/>
          <w:color w:val="auto"/>
          <w:highlight w:val="none"/>
        </w:rPr>
        <w:t>施工期污染源及污染物分析</w:t>
      </w:r>
      <w:bookmarkEnd w:id="298"/>
      <w:bookmarkEnd w:id="299"/>
      <w:bookmarkEnd w:id="300"/>
    </w:p>
    <w:p w14:paraId="251D6FA6">
      <w:pPr>
        <w:pStyle w:val="43"/>
        <w:rPr>
          <w:color w:val="auto"/>
          <w:highlight w:val="none"/>
        </w:rPr>
      </w:pPr>
      <w:r>
        <w:rPr>
          <w:rFonts w:hint="eastAsia"/>
          <w:color w:val="auto"/>
          <w:highlight w:val="none"/>
        </w:rPr>
        <w:t>施工期污染源分布</w:t>
      </w:r>
    </w:p>
    <w:p w14:paraId="75510A4B">
      <w:pPr>
        <w:pStyle w:val="3"/>
        <w:ind w:firstLine="480"/>
        <w:rPr>
          <w:color w:val="auto"/>
          <w:highlight w:val="none"/>
        </w:rPr>
      </w:pPr>
      <w:r>
        <w:rPr>
          <w:rFonts w:hint="eastAsia"/>
          <w:color w:val="auto"/>
          <w:highlight w:val="none"/>
        </w:rPr>
        <w:t>施工期主要污染物产生节点见图3.4-1、2。</w:t>
      </w:r>
    </w:p>
    <w:p w14:paraId="4104DB07">
      <w:pPr>
        <w:pStyle w:val="3"/>
        <w:spacing w:line="480" w:lineRule="auto"/>
        <w:ind w:firstLine="0" w:firstLineChars="0"/>
        <w:jc w:val="center"/>
        <w:rPr>
          <w:color w:val="auto"/>
          <w:highlight w:val="none"/>
        </w:rPr>
      </w:pPr>
      <w:r>
        <w:rPr>
          <w:rFonts w:hint="eastAsia"/>
          <w:color w:val="auto"/>
          <w:highlight w:val="none"/>
        </w:rPr>
        <w:drawing>
          <wp:inline distT="0" distB="0" distL="114300" distR="114300">
            <wp:extent cx="5266055" cy="2044065"/>
            <wp:effectExtent l="0" t="0" r="10795" b="13335"/>
            <wp:docPr id="30" name="图片 2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6" descr="图片1"/>
                    <pic:cNvPicPr>
                      <a:picLocks noChangeAspect="1"/>
                    </pic:cNvPicPr>
                  </pic:nvPicPr>
                  <pic:blipFill>
                    <a:blip r:embed="rId28"/>
                    <a:stretch>
                      <a:fillRect/>
                    </a:stretch>
                  </pic:blipFill>
                  <pic:spPr>
                    <a:xfrm>
                      <a:off x="0" y="0"/>
                      <a:ext cx="5266055" cy="2044065"/>
                    </a:xfrm>
                    <a:prstGeom prst="rect">
                      <a:avLst/>
                    </a:prstGeom>
                    <a:noFill/>
                    <a:ln>
                      <a:noFill/>
                    </a:ln>
                  </pic:spPr>
                </pic:pic>
              </a:graphicData>
            </a:graphic>
          </wp:inline>
        </w:drawing>
      </w:r>
    </w:p>
    <w:p w14:paraId="72537814">
      <w:pPr>
        <w:pStyle w:val="3"/>
        <w:ind w:firstLine="480"/>
        <w:jc w:val="center"/>
        <w:rPr>
          <w:b/>
          <w:bCs/>
          <w:color w:val="auto"/>
          <w:highlight w:val="none"/>
        </w:rPr>
      </w:pPr>
      <w:r>
        <w:rPr>
          <w:b/>
          <w:bCs/>
          <w:color w:val="auto"/>
          <w:highlight w:val="none"/>
        </w:rPr>
        <w:t>图3.</w:t>
      </w:r>
      <w:r>
        <w:rPr>
          <w:rFonts w:hint="eastAsia"/>
          <w:b/>
          <w:bCs/>
          <w:color w:val="auto"/>
          <w:highlight w:val="none"/>
        </w:rPr>
        <w:t>4</w:t>
      </w:r>
      <w:r>
        <w:rPr>
          <w:b/>
          <w:bCs/>
          <w:color w:val="auto"/>
          <w:highlight w:val="none"/>
        </w:rPr>
        <w:t>-</w:t>
      </w:r>
      <w:r>
        <w:rPr>
          <w:rFonts w:hint="eastAsia"/>
          <w:b/>
          <w:bCs/>
          <w:color w:val="auto"/>
          <w:highlight w:val="none"/>
        </w:rPr>
        <w:t>1</w:t>
      </w:r>
      <w:r>
        <w:rPr>
          <w:b/>
          <w:bCs/>
          <w:color w:val="auto"/>
          <w:highlight w:val="none"/>
        </w:rPr>
        <w:t xml:space="preserve">    </w:t>
      </w:r>
      <w:r>
        <w:rPr>
          <w:rFonts w:hint="eastAsia"/>
          <w:b/>
          <w:bCs/>
          <w:color w:val="auto"/>
          <w:highlight w:val="none"/>
        </w:rPr>
        <w:t xml:space="preserve">  选矿厂</w:t>
      </w:r>
      <w:r>
        <w:rPr>
          <w:b/>
          <w:bCs/>
          <w:color w:val="auto"/>
          <w:highlight w:val="none"/>
        </w:rPr>
        <w:t>施工期主要污染物产生节点</w:t>
      </w:r>
    </w:p>
    <w:p w14:paraId="07327D9F">
      <w:pPr>
        <w:pStyle w:val="3"/>
        <w:ind w:firstLine="480"/>
        <w:rPr>
          <w:color w:val="auto"/>
          <w:highlight w:val="none"/>
        </w:rPr>
      </w:pPr>
    </w:p>
    <w:p w14:paraId="3709F509">
      <w:pPr>
        <w:pStyle w:val="3"/>
        <w:spacing w:line="480" w:lineRule="auto"/>
        <w:ind w:firstLine="480"/>
        <w:rPr>
          <w:color w:val="auto"/>
          <w:highlight w:val="none"/>
        </w:rPr>
      </w:pPr>
      <w:r>
        <w:rPr>
          <w:color w:val="auto"/>
          <w:highlight w:val="none"/>
        </w:rPr>
        <w:drawing>
          <wp:inline distT="0" distB="0" distL="114300" distR="114300">
            <wp:extent cx="4527550" cy="2494280"/>
            <wp:effectExtent l="0" t="0" r="6350" b="1270"/>
            <wp:docPr id="5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7"/>
                    <pic:cNvPicPr>
                      <a:picLocks noChangeAspect="1"/>
                    </pic:cNvPicPr>
                  </pic:nvPicPr>
                  <pic:blipFill>
                    <a:blip r:embed="rId29"/>
                    <a:stretch>
                      <a:fillRect/>
                    </a:stretch>
                  </pic:blipFill>
                  <pic:spPr>
                    <a:xfrm>
                      <a:off x="0" y="0"/>
                      <a:ext cx="4527550" cy="2494280"/>
                    </a:xfrm>
                    <a:prstGeom prst="rect">
                      <a:avLst/>
                    </a:prstGeom>
                    <a:noFill/>
                    <a:ln>
                      <a:noFill/>
                    </a:ln>
                  </pic:spPr>
                </pic:pic>
              </a:graphicData>
            </a:graphic>
          </wp:inline>
        </w:drawing>
      </w:r>
    </w:p>
    <w:p w14:paraId="140A1D8F">
      <w:pPr>
        <w:pStyle w:val="3"/>
        <w:ind w:firstLine="480"/>
        <w:jc w:val="center"/>
        <w:rPr>
          <w:b/>
          <w:bCs/>
          <w:color w:val="auto"/>
          <w:highlight w:val="none"/>
        </w:rPr>
      </w:pPr>
      <w:r>
        <w:rPr>
          <w:b/>
          <w:bCs/>
          <w:color w:val="auto"/>
          <w:highlight w:val="none"/>
        </w:rPr>
        <w:t>图</w:t>
      </w:r>
      <w:r>
        <w:rPr>
          <w:rFonts w:hint="eastAsia"/>
          <w:b/>
          <w:bCs/>
          <w:color w:val="auto"/>
          <w:highlight w:val="none"/>
        </w:rPr>
        <w:t>3.4-2</w:t>
      </w:r>
      <w:r>
        <w:rPr>
          <w:b/>
          <w:bCs/>
          <w:color w:val="auto"/>
          <w:highlight w:val="none"/>
        </w:rPr>
        <w:t xml:space="preserve">   </w:t>
      </w:r>
      <w:r>
        <w:rPr>
          <w:rFonts w:hint="eastAsia"/>
          <w:b/>
          <w:bCs/>
          <w:color w:val="auto"/>
          <w:highlight w:val="none"/>
        </w:rPr>
        <w:t>尾矿库施</w:t>
      </w:r>
      <w:r>
        <w:rPr>
          <w:b/>
          <w:bCs/>
          <w:color w:val="auto"/>
          <w:highlight w:val="none"/>
        </w:rPr>
        <w:t>工工序及产污环节</w:t>
      </w:r>
    </w:p>
    <w:p w14:paraId="631CAEC5">
      <w:pPr>
        <w:pStyle w:val="43"/>
        <w:rPr>
          <w:color w:val="auto"/>
          <w:highlight w:val="none"/>
        </w:rPr>
      </w:pPr>
      <w:r>
        <w:rPr>
          <w:color w:val="auto"/>
          <w:highlight w:val="none"/>
        </w:rPr>
        <w:t>施工期主要污染物</w:t>
      </w:r>
    </w:p>
    <w:p w14:paraId="156FD31E">
      <w:pPr>
        <w:pStyle w:val="3"/>
        <w:ind w:firstLine="480"/>
        <w:rPr>
          <w:color w:val="auto"/>
          <w:highlight w:val="none"/>
        </w:rPr>
      </w:pPr>
      <w:r>
        <w:rPr>
          <w:color w:val="auto"/>
          <w:highlight w:val="none"/>
        </w:rPr>
        <w:t>施工期的大气污染源主要是施工扬尘、机械尾气和少量的焊接烟气。</w:t>
      </w:r>
    </w:p>
    <w:p w14:paraId="7E02E37C">
      <w:pPr>
        <w:pStyle w:val="3"/>
        <w:ind w:firstLine="480"/>
        <w:rPr>
          <w:color w:val="auto"/>
          <w:highlight w:val="none"/>
        </w:rPr>
      </w:pPr>
      <w:r>
        <w:rPr>
          <w:color w:val="auto"/>
          <w:highlight w:val="none"/>
        </w:rPr>
        <w:t>（1）施工扬尘</w:t>
      </w:r>
    </w:p>
    <w:p w14:paraId="4FDE1816">
      <w:pPr>
        <w:pStyle w:val="3"/>
        <w:ind w:firstLine="480"/>
        <w:rPr>
          <w:color w:val="auto"/>
          <w:highlight w:val="none"/>
        </w:rPr>
      </w:pPr>
      <w:r>
        <w:rPr>
          <w:color w:val="auto"/>
          <w:highlight w:val="none"/>
        </w:rPr>
        <w:t>施工时工业场地平整、场内道路铺设等土石方工程阶段的挖方、填方，使表土松动从而产生一定扬尘；运输车辆在简易砂石公路上行驶也将产生一定的扬尘；临时物料堆场在大风气象条件下形成的风蚀扬尘，这些与风力、含水率等因素有关，难以定量，会对现场及周围大气环境产生一定影响。混凝土直接购置成品，不在现场制备，故影响较小。</w:t>
      </w:r>
    </w:p>
    <w:p w14:paraId="164EF091">
      <w:pPr>
        <w:pStyle w:val="3"/>
        <w:ind w:firstLine="480"/>
        <w:rPr>
          <w:color w:val="auto"/>
          <w:highlight w:val="none"/>
        </w:rPr>
      </w:pPr>
      <w:r>
        <w:rPr>
          <w:color w:val="auto"/>
          <w:highlight w:val="none"/>
        </w:rPr>
        <w:t>（2）机械和运输车辆尾气</w:t>
      </w:r>
    </w:p>
    <w:p w14:paraId="6D6FA5B8">
      <w:pPr>
        <w:pStyle w:val="3"/>
        <w:ind w:firstLine="480"/>
        <w:rPr>
          <w:color w:val="auto"/>
          <w:highlight w:val="none"/>
        </w:rPr>
      </w:pPr>
      <w:r>
        <w:rPr>
          <w:color w:val="auto"/>
          <w:highlight w:val="none"/>
        </w:rPr>
        <w:t>施工中使用的机械，如：挖掘机、装载机及其他运输车辆，在工作时将间断排放尾气，对施工场地及周围环境产生一定影响，其主要污染物为碳氢化合物、CO、颗粒物、NOx等。</w:t>
      </w:r>
    </w:p>
    <w:p w14:paraId="6F3562C6">
      <w:pPr>
        <w:pStyle w:val="3"/>
        <w:ind w:firstLine="480"/>
        <w:rPr>
          <w:color w:val="auto"/>
          <w:highlight w:val="none"/>
        </w:rPr>
      </w:pPr>
      <w:r>
        <w:rPr>
          <w:color w:val="auto"/>
          <w:highlight w:val="none"/>
        </w:rPr>
        <w:t>（3）焊接烟气</w:t>
      </w:r>
    </w:p>
    <w:p w14:paraId="6E1B4B86">
      <w:pPr>
        <w:pStyle w:val="3"/>
        <w:ind w:firstLine="480"/>
        <w:rPr>
          <w:color w:val="auto"/>
          <w:highlight w:val="none"/>
        </w:rPr>
      </w:pPr>
      <w:r>
        <w:rPr>
          <w:color w:val="auto"/>
          <w:highlight w:val="none"/>
        </w:rPr>
        <w:t>项目供排水管线连接处、阀池内阀门两端法兰与钢管焊接、选矿厂厂房的建设等会有少量焊接作业，焊接过程会产生少量焊接烟尘，焊接烟尘中主要含有MnO</w:t>
      </w:r>
      <w:r>
        <w:rPr>
          <w:color w:val="auto"/>
          <w:highlight w:val="none"/>
          <w:vertAlign w:val="subscript"/>
        </w:rPr>
        <w:t>2</w:t>
      </w:r>
      <w:r>
        <w:rPr>
          <w:color w:val="auto"/>
          <w:highlight w:val="none"/>
        </w:rPr>
        <w:t>、Fe</w:t>
      </w:r>
      <w:r>
        <w:rPr>
          <w:color w:val="auto"/>
          <w:highlight w:val="none"/>
          <w:vertAlign w:val="subscript"/>
        </w:rPr>
        <w:t>2</w:t>
      </w:r>
      <w:r>
        <w:rPr>
          <w:color w:val="auto"/>
          <w:highlight w:val="none"/>
        </w:rPr>
        <w:t>O</w:t>
      </w:r>
      <w:r>
        <w:rPr>
          <w:color w:val="auto"/>
          <w:highlight w:val="none"/>
          <w:vertAlign w:val="subscript"/>
        </w:rPr>
        <w:t>3</w:t>
      </w:r>
      <w:r>
        <w:rPr>
          <w:color w:val="auto"/>
          <w:highlight w:val="none"/>
        </w:rPr>
        <w:t>、SiO</w:t>
      </w:r>
      <w:r>
        <w:rPr>
          <w:color w:val="auto"/>
          <w:highlight w:val="none"/>
          <w:vertAlign w:val="subscript"/>
        </w:rPr>
        <w:t>2</w:t>
      </w:r>
      <w:r>
        <w:rPr>
          <w:color w:val="auto"/>
          <w:highlight w:val="none"/>
        </w:rPr>
        <w:t>和HF等污染因子。</w:t>
      </w:r>
    </w:p>
    <w:p w14:paraId="282D4ECA">
      <w:pPr>
        <w:pStyle w:val="43"/>
        <w:rPr>
          <w:color w:val="auto"/>
          <w:highlight w:val="none"/>
        </w:rPr>
      </w:pPr>
      <w:r>
        <w:rPr>
          <w:rFonts w:hint="eastAsia"/>
          <w:color w:val="auto"/>
          <w:highlight w:val="none"/>
        </w:rPr>
        <w:t>施工废水</w:t>
      </w:r>
    </w:p>
    <w:p w14:paraId="6D345FA4">
      <w:pPr>
        <w:pStyle w:val="3"/>
        <w:ind w:firstLine="480"/>
        <w:rPr>
          <w:color w:val="auto"/>
          <w:highlight w:val="none"/>
        </w:rPr>
      </w:pPr>
      <w:r>
        <w:rPr>
          <w:color w:val="auto"/>
          <w:highlight w:val="none"/>
        </w:rPr>
        <w:t>（1）施工废水</w:t>
      </w:r>
    </w:p>
    <w:p w14:paraId="0D4602A1">
      <w:pPr>
        <w:pStyle w:val="3"/>
        <w:ind w:firstLine="480"/>
        <w:rPr>
          <w:color w:val="auto"/>
          <w:highlight w:val="none"/>
        </w:rPr>
      </w:pPr>
      <w:r>
        <w:rPr>
          <w:color w:val="auto"/>
          <w:highlight w:val="none"/>
        </w:rPr>
        <w:t>施工期间产生的废水主要来源于施工设备</w:t>
      </w:r>
      <w:r>
        <w:rPr>
          <w:rFonts w:hint="eastAsia"/>
          <w:color w:val="auto"/>
          <w:highlight w:val="none"/>
        </w:rPr>
        <w:t>和</w:t>
      </w:r>
      <w:r>
        <w:rPr>
          <w:color w:val="auto"/>
          <w:highlight w:val="none"/>
        </w:rPr>
        <w:t>机械设备</w:t>
      </w:r>
      <w:r>
        <w:rPr>
          <w:rFonts w:hint="eastAsia"/>
          <w:color w:val="auto"/>
          <w:highlight w:val="none"/>
        </w:rPr>
        <w:t>的</w:t>
      </w:r>
      <w:r>
        <w:rPr>
          <w:color w:val="auto"/>
          <w:highlight w:val="none"/>
        </w:rPr>
        <w:t>洗涤水、建筑施工过程中的混凝土养护废水等，其中：混凝土养护废水自然蒸发后消耗；施工设备、机械设备废水中主要含有少量的泥沙、SS外，基本不含其他污染指标，施工期建设临时的沉淀池处理后回用不外排。</w:t>
      </w:r>
    </w:p>
    <w:p w14:paraId="51DF8B44">
      <w:pPr>
        <w:pStyle w:val="3"/>
        <w:ind w:firstLine="480"/>
        <w:rPr>
          <w:color w:val="auto"/>
          <w:highlight w:val="none"/>
        </w:rPr>
      </w:pPr>
      <w:r>
        <w:rPr>
          <w:color w:val="auto"/>
          <w:highlight w:val="none"/>
        </w:rPr>
        <w:t>（2）施工人员生活污水</w:t>
      </w:r>
    </w:p>
    <w:p w14:paraId="07EE9310">
      <w:pPr>
        <w:pStyle w:val="3"/>
        <w:ind w:firstLine="480"/>
        <w:rPr>
          <w:color w:val="auto"/>
          <w:highlight w:val="none"/>
        </w:rPr>
      </w:pPr>
      <w:r>
        <w:rPr>
          <w:color w:val="auto"/>
          <w:highlight w:val="none"/>
        </w:rPr>
        <w:t>本项目施工期间施工人员约</w:t>
      </w:r>
      <w:r>
        <w:rPr>
          <w:rFonts w:hint="eastAsia"/>
          <w:color w:val="auto"/>
          <w:highlight w:val="none"/>
        </w:rPr>
        <w:t>80</w:t>
      </w:r>
      <w:r>
        <w:rPr>
          <w:color w:val="auto"/>
          <w:highlight w:val="none"/>
        </w:rPr>
        <w:t>人，施工期</w:t>
      </w:r>
      <w:r>
        <w:rPr>
          <w:rFonts w:hint="eastAsia"/>
          <w:color w:val="auto"/>
          <w:highlight w:val="none"/>
        </w:rPr>
        <w:t>12</w:t>
      </w:r>
      <w:r>
        <w:rPr>
          <w:color w:val="auto"/>
          <w:highlight w:val="none"/>
        </w:rPr>
        <w:t>个月，参考《新疆维吾尔自治区用水定额》（工业及生活用水部分），施工人员日常生活用水按每人每天0.12m</w:t>
      </w:r>
      <w:r>
        <w:rPr>
          <w:color w:val="auto"/>
          <w:highlight w:val="none"/>
          <w:vertAlign w:val="superscript"/>
        </w:rPr>
        <w:t>3</w:t>
      </w:r>
      <w:r>
        <w:rPr>
          <w:rFonts w:hint="eastAsia"/>
          <w:color w:val="auto"/>
          <w:highlight w:val="none"/>
          <w:vertAlign w:val="superscript"/>
          <w:lang w:eastAsia="zh-CN"/>
        </w:rPr>
        <w:t>计算</w:t>
      </w:r>
      <w:r>
        <w:rPr>
          <w:color w:val="auto"/>
          <w:highlight w:val="none"/>
        </w:rPr>
        <w:t>，则施工期施工人员生活用水量为</w:t>
      </w:r>
      <w:r>
        <w:rPr>
          <w:rFonts w:hint="eastAsia"/>
          <w:color w:val="auto"/>
          <w:highlight w:val="none"/>
        </w:rPr>
        <w:t>9</w:t>
      </w:r>
      <w:r>
        <w:rPr>
          <w:color w:val="auto"/>
          <w:highlight w:val="none"/>
        </w:rPr>
        <w:t>.6m</w:t>
      </w:r>
      <w:r>
        <w:rPr>
          <w:color w:val="auto"/>
          <w:highlight w:val="none"/>
          <w:vertAlign w:val="superscript"/>
        </w:rPr>
        <w:t>3</w:t>
      </w:r>
      <w:r>
        <w:rPr>
          <w:color w:val="auto"/>
          <w:highlight w:val="none"/>
        </w:rPr>
        <w:t>/d（</w:t>
      </w:r>
      <w:r>
        <w:rPr>
          <w:rFonts w:hint="eastAsia"/>
          <w:color w:val="auto"/>
          <w:highlight w:val="none"/>
        </w:rPr>
        <w:t>3456</w:t>
      </w:r>
      <w:r>
        <w:rPr>
          <w:color w:val="auto"/>
          <w:highlight w:val="none"/>
        </w:rPr>
        <w:t>m</w:t>
      </w:r>
      <w:r>
        <w:rPr>
          <w:color w:val="auto"/>
          <w:highlight w:val="none"/>
          <w:vertAlign w:val="superscript"/>
        </w:rPr>
        <w:t>3</w:t>
      </w:r>
      <w:r>
        <w:rPr>
          <w:color w:val="auto"/>
          <w:highlight w:val="none"/>
        </w:rPr>
        <w:t>/</w:t>
      </w:r>
      <w:r>
        <w:rPr>
          <w:rFonts w:hint="eastAsia"/>
          <w:color w:val="auto"/>
          <w:highlight w:val="none"/>
        </w:rPr>
        <w:t>12</w:t>
      </w:r>
      <w:r>
        <w:rPr>
          <w:color w:val="auto"/>
          <w:highlight w:val="none"/>
        </w:rPr>
        <w:t>个月），排水系数按用水量80%计算，则生活污水量约</w:t>
      </w:r>
      <w:r>
        <w:rPr>
          <w:rFonts w:hint="eastAsia"/>
          <w:color w:val="auto"/>
          <w:highlight w:val="none"/>
        </w:rPr>
        <w:t>7.68</w:t>
      </w:r>
      <w:r>
        <w:rPr>
          <w:color w:val="auto"/>
          <w:highlight w:val="none"/>
        </w:rPr>
        <w:t>m</w:t>
      </w:r>
      <w:r>
        <w:rPr>
          <w:color w:val="auto"/>
          <w:highlight w:val="none"/>
          <w:vertAlign w:val="superscript"/>
        </w:rPr>
        <w:t>3</w:t>
      </w:r>
      <w:r>
        <w:rPr>
          <w:color w:val="auto"/>
          <w:highlight w:val="none"/>
        </w:rPr>
        <w:t>/d（</w:t>
      </w:r>
      <w:r>
        <w:rPr>
          <w:rFonts w:hint="eastAsia"/>
          <w:color w:val="auto"/>
          <w:highlight w:val="none"/>
        </w:rPr>
        <w:t>2764.80</w:t>
      </w:r>
      <w:r>
        <w:rPr>
          <w:color w:val="auto"/>
          <w:highlight w:val="none"/>
        </w:rPr>
        <w:t>m</w:t>
      </w:r>
      <w:r>
        <w:rPr>
          <w:color w:val="auto"/>
          <w:highlight w:val="none"/>
          <w:vertAlign w:val="superscript"/>
        </w:rPr>
        <w:t>3</w:t>
      </w:r>
      <w:r>
        <w:rPr>
          <w:color w:val="auto"/>
          <w:highlight w:val="none"/>
        </w:rPr>
        <w:t>/</w:t>
      </w:r>
      <w:r>
        <w:rPr>
          <w:rFonts w:hint="eastAsia"/>
          <w:color w:val="auto"/>
          <w:highlight w:val="none"/>
        </w:rPr>
        <w:t>12</w:t>
      </w:r>
      <w:r>
        <w:rPr>
          <w:color w:val="auto"/>
          <w:highlight w:val="none"/>
        </w:rPr>
        <w:t>个月），污水中主要含有COD、BOD</w:t>
      </w:r>
      <w:r>
        <w:rPr>
          <w:color w:val="auto"/>
          <w:highlight w:val="none"/>
          <w:vertAlign w:val="subscript"/>
        </w:rPr>
        <w:t>5</w:t>
      </w:r>
      <w:r>
        <w:rPr>
          <w:color w:val="auto"/>
          <w:highlight w:val="none"/>
        </w:rPr>
        <w:t>、SS、NH</w:t>
      </w:r>
      <w:r>
        <w:rPr>
          <w:color w:val="auto"/>
          <w:highlight w:val="none"/>
          <w:vertAlign w:val="subscript"/>
        </w:rPr>
        <w:t>3</w:t>
      </w:r>
      <w:r>
        <w:rPr>
          <w:color w:val="auto"/>
          <w:highlight w:val="none"/>
        </w:rPr>
        <w:t>-N等污染物。</w:t>
      </w:r>
    </w:p>
    <w:p w14:paraId="668C7ABE">
      <w:pPr>
        <w:pStyle w:val="43"/>
        <w:rPr>
          <w:color w:val="auto"/>
          <w:highlight w:val="none"/>
        </w:rPr>
      </w:pPr>
      <w:r>
        <w:rPr>
          <w:rFonts w:hint="eastAsia"/>
          <w:color w:val="auto"/>
          <w:highlight w:val="none"/>
        </w:rPr>
        <w:t>施工噪声</w:t>
      </w:r>
    </w:p>
    <w:p w14:paraId="364DB220">
      <w:pPr>
        <w:pStyle w:val="3"/>
        <w:ind w:firstLine="480"/>
        <w:rPr>
          <w:color w:val="auto"/>
          <w:highlight w:val="none"/>
        </w:rPr>
      </w:pPr>
      <w:r>
        <w:rPr>
          <w:color w:val="auto"/>
          <w:highlight w:val="none"/>
        </w:rPr>
        <w:t>施工期噪声主要来自建筑施工、装修过程。建设期间产生的噪声具有阶段性、临时性和不固定性，噪声值基本在82~99dB之间。《环境噪声与振动控制工程设计导则》（HJ2034-2013）附录A中列出了常用施工机械所产生的噪声值，具体见下表：</w:t>
      </w:r>
    </w:p>
    <w:p w14:paraId="5DB74D11">
      <w:pPr>
        <w:pStyle w:val="40"/>
        <w:spacing w:before="24" w:after="24"/>
        <w:rPr>
          <w:color w:val="auto"/>
          <w:highlight w:val="none"/>
        </w:rPr>
      </w:pPr>
      <w:r>
        <w:rPr>
          <w:color w:val="auto"/>
          <w:highlight w:val="none"/>
        </w:rPr>
        <w:t>表</w:t>
      </w:r>
      <w:r>
        <w:rPr>
          <w:rFonts w:hint="eastAsia"/>
          <w:color w:val="auto"/>
          <w:highlight w:val="none"/>
        </w:rPr>
        <w:t>3.4</w:t>
      </w:r>
      <w:r>
        <w:rPr>
          <w:color w:val="auto"/>
          <w:highlight w:val="none"/>
        </w:rPr>
        <w:t>-1  常用施工机械</w:t>
      </w:r>
      <w:r>
        <w:rPr>
          <w:rFonts w:hint="eastAsia"/>
          <w:color w:val="auto"/>
          <w:highlight w:val="none"/>
        </w:rPr>
        <w:t>/车辆</w:t>
      </w:r>
      <w:r>
        <w:rPr>
          <w:color w:val="auto"/>
          <w:highlight w:val="none"/>
        </w:rPr>
        <w:t>噪声值单位：dB（A）</w:t>
      </w:r>
    </w:p>
    <w:tbl>
      <w:tblPr>
        <w:tblStyle w:val="25"/>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3161"/>
        <w:gridCol w:w="2551"/>
        <w:gridCol w:w="2795"/>
      </w:tblGrid>
      <w:tr w14:paraId="623A24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857" w:type="pct"/>
            <w:tcBorders>
              <w:tl2br w:val="nil"/>
              <w:tr2bl w:val="nil"/>
            </w:tcBorders>
            <w:vAlign w:val="center"/>
          </w:tcPr>
          <w:p w14:paraId="5C145E0A">
            <w:pPr>
              <w:pStyle w:val="41"/>
              <w:rPr>
                <w:color w:val="auto"/>
                <w:highlight w:val="none"/>
              </w:rPr>
            </w:pPr>
            <w:r>
              <w:rPr>
                <w:color w:val="auto"/>
                <w:highlight w:val="none"/>
              </w:rPr>
              <w:t>施工设备名称</w:t>
            </w:r>
          </w:p>
        </w:tc>
        <w:tc>
          <w:tcPr>
            <w:tcW w:w="1499" w:type="pct"/>
            <w:tcBorders>
              <w:tl2br w:val="nil"/>
              <w:tr2bl w:val="nil"/>
            </w:tcBorders>
            <w:vAlign w:val="center"/>
          </w:tcPr>
          <w:p w14:paraId="14688FCF">
            <w:pPr>
              <w:pStyle w:val="41"/>
              <w:rPr>
                <w:color w:val="auto"/>
                <w:highlight w:val="none"/>
              </w:rPr>
            </w:pPr>
            <w:r>
              <w:rPr>
                <w:color w:val="auto"/>
                <w:highlight w:val="none"/>
              </w:rPr>
              <w:t>距声源5m</w:t>
            </w:r>
          </w:p>
        </w:tc>
        <w:tc>
          <w:tcPr>
            <w:tcW w:w="1642" w:type="pct"/>
            <w:tcBorders>
              <w:tl2br w:val="nil"/>
              <w:tr2bl w:val="nil"/>
            </w:tcBorders>
            <w:vAlign w:val="center"/>
          </w:tcPr>
          <w:p w14:paraId="0A61BA70">
            <w:pPr>
              <w:pStyle w:val="41"/>
              <w:rPr>
                <w:color w:val="auto"/>
                <w:highlight w:val="none"/>
              </w:rPr>
            </w:pPr>
            <w:r>
              <w:rPr>
                <w:color w:val="auto"/>
                <w:highlight w:val="none"/>
              </w:rPr>
              <w:t>距声源10m</w:t>
            </w:r>
          </w:p>
        </w:tc>
      </w:tr>
      <w:tr w14:paraId="07254C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857" w:type="pct"/>
            <w:tcBorders>
              <w:tl2br w:val="nil"/>
              <w:tr2bl w:val="nil"/>
            </w:tcBorders>
            <w:vAlign w:val="center"/>
          </w:tcPr>
          <w:p w14:paraId="6B858D2A">
            <w:pPr>
              <w:pStyle w:val="41"/>
              <w:rPr>
                <w:color w:val="auto"/>
                <w:highlight w:val="none"/>
              </w:rPr>
            </w:pPr>
            <w:r>
              <w:rPr>
                <w:color w:val="auto"/>
                <w:highlight w:val="none"/>
              </w:rPr>
              <w:t>液压挖掘机</w:t>
            </w:r>
          </w:p>
        </w:tc>
        <w:tc>
          <w:tcPr>
            <w:tcW w:w="1499" w:type="pct"/>
            <w:tcBorders>
              <w:tl2br w:val="nil"/>
              <w:tr2bl w:val="nil"/>
            </w:tcBorders>
            <w:vAlign w:val="center"/>
          </w:tcPr>
          <w:p w14:paraId="7D8575EC">
            <w:pPr>
              <w:pStyle w:val="41"/>
              <w:rPr>
                <w:color w:val="auto"/>
                <w:highlight w:val="none"/>
              </w:rPr>
            </w:pPr>
            <w:r>
              <w:rPr>
                <w:color w:val="auto"/>
                <w:highlight w:val="none"/>
              </w:rPr>
              <w:t>82~90</w:t>
            </w:r>
          </w:p>
        </w:tc>
        <w:tc>
          <w:tcPr>
            <w:tcW w:w="1642" w:type="pct"/>
            <w:tcBorders>
              <w:tl2br w:val="nil"/>
              <w:tr2bl w:val="nil"/>
            </w:tcBorders>
            <w:vAlign w:val="center"/>
          </w:tcPr>
          <w:p w14:paraId="0409CDB5">
            <w:pPr>
              <w:pStyle w:val="41"/>
              <w:rPr>
                <w:color w:val="auto"/>
                <w:highlight w:val="none"/>
              </w:rPr>
            </w:pPr>
            <w:r>
              <w:rPr>
                <w:color w:val="auto"/>
                <w:highlight w:val="none"/>
              </w:rPr>
              <w:t>78~86</w:t>
            </w:r>
          </w:p>
        </w:tc>
      </w:tr>
      <w:tr w14:paraId="4C1854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857" w:type="pct"/>
            <w:tcBorders>
              <w:tl2br w:val="nil"/>
              <w:tr2bl w:val="nil"/>
            </w:tcBorders>
            <w:vAlign w:val="center"/>
          </w:tcPr>
          <w:p w14:paraId="3CFB8454">
            <w:pPr>
              <w:pStyle w:val="41"/>
              <w:rPr>
                <w:color w:val="auto"/>
                <w:highlight w:val="none"/>
              </w:rPr>
            </w:pPr>
            <w:r>
              <w:rPr>
                <w:color w:val="auto"/>
                <w:highlight w:val="none"/>
              </w:rPr>
              <w:t>推土机</w:t>
            </w:r>
          </w:p>
        </w:tc>
        <w:tc>
          <w:tcPr>
            <w:tcW w:w="1499" w:type="pct"/>
            <w:tcBorders>
              <w:tl2br w:val="nil"/>
              <w:tr2bl w:val="nil"/>
            </w:tcBorders>
            <w:vAlign w:val="center"/>
          </w:tcPr>
          <w:p w14:paraId="1810718B">
            <w:pPr>
              <w:pStyle w:val="41"/>
              <w:rPr>
                <w:color w:val="auto"/>
                <w:highlight w:val="none"/>
              </w:rPr>
            </w:pPr>
            <w:r>
              <w:rPr>
                <w:color w:val="auto"/>
                <w:highlight w:val="none"/>
              </w:rPr>
              <w:t>83~88</w:t>
            </w:r>
          </w:p>
        </w:tc>
        <w:tc>
          <w:tcPr>
            <w:tcW w:w="1642" w:type="pct"/>
            <w:tcBorders>
              <w:tl2br w:val="nil"/>
              <w:tr2bl w:val="nil"/>
            </w:tcBorders>
            <w:vAlign w:val="center"/>
          </w:tcPr>
          <w:p w14:paraId="49E0B1F8">
            <w:pPr>
              <w:pStyle w:val="41"/>
              <w:rPr>
                <w:color w:val="auto"/>
                <w:highlight w:val="none"/>
              </w:rPr>
            </w:pPr>
            <w:r>
              <w:rPr>
                <w:color w:val="auto"/>
                <w:highlight w:val="none"/>
              </w:rPr>
              <w:t>80~85</w:t>
            </w:r>
          </w:p>
        </w:tc>
      </w:tr>
      <w:tr w14:paraId="1C81E0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857" w:type="pct"/>
            <w:tcBorders>
              <w:tl2br w:val="nil"/>
              <w:tr2bl w:val="nil"/>
            </w:tcBorders>
            <w:vAlign w:val="center"/>
          </w:tcPr>
          <w:p w14:paraId="5C5E6D10">
            <w:pPr>
              <w:pStyle w:val="41"/>
              <w:rPr>
                <w:color w:val="auto"/>
                <w:highlight w:val="none"/>
              </w:rPr>
            </w:pPr>
            <w:r>
              <w:rPr>
                <w:color w:val="auto"/>
                <w:highlight w:val="none"/>
              </w:rPr>
              <w:t>重型运输车</w:t>
            </w:r>
          </w:p>
        </w:tc>
        <w:tc>
          <w:tcPr>
            <w:tcW w:w="1499" w:type="pct"/>
            <w:tcBorders>
              <w:tl2br w:val="nil"/>
              <w:tr2bl w:val="nil"/>
            </w:tcBorders>
            <w:vAlign w:val="center"/>
          </w:tcPr>
          <w:p w14:paraId="2D8AEAEF">
            <w:pPr>
              <w:pStyle w:val="41"/>
              <w:rPr>
                <w:color w:val="auto"/>
                <w:highlight w:val="none"/>
              </w:rPr>
            </w:pPr>
            <w:r>
              <w:rPr>
                <w:color w:val="auto"/>
                <w:highlight w:val="none"/>
              </w:rPr>
              <w:t>82~90</w:t>
            </w:r>
          </w:p>
        </w:tc>
        <w:tc>
          <w:tcPr>
            <w:tcW w:w="1642" w:type="pct"/>
            <w:tcBorders>
              <w:tl2br w:val="nil"/>
              <w:tr2bl w:val="nil"/>
            </w:tcBorders>
            <w:vAlign w:val="center"/>
          </w:tcPr>
          <w:p w14:paraId="4563B0C9">
            <w:pPr>
              <w:pStyle w:val="41"/>
              <w:rPr>
                <w:color w:val="auto"/>
                <w:highlight w:val="none"/>
              </w:rPr>
            </w:pPr>
            <w:r>
              <w:rPr>
                <w:color w:val="auto"/>
                <w:highlight w:val="none"/>
              </w:rPr>
              <w:t>78~86</w:t>
            </w:r>
          </w:p>
        </w:tc>
      </w:tr>
      <w:tr w14:paraId="60F406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857" w:type="pct"/>
            <w:tcBorders>
              <w:tl2br w:val="nil"/>
              <w:tr2bl w:val="nil"/>
            </w:tcBorders>
            <w:vAlign w:val="center"/>
          </w:tcPr>
          <w:p w14:paraId="3D876056">
            <w:pPr>
              <w:pStyle w:val="41"/>
              <w:rPr>
                <w:color w:val="auto"/>
                <w:highlight w:val="none"/>
              </w:rPr>
            </w:pPr>
            <w:r>
              <w:rPr>
                <w:color w:val="auto"/>
                <w:highlight w:val="none"/>
              </w:rPr>
              <w:t>木工电锯</w:t>
            </w:r>
          </w:p>
        </w:tc>
        <w:tc>
          <w:tcPr>
            <w:tcW w:w="1499" w:type="pct"/>
            <w:tcBorders>
              <w:tl2br w:val="nil"/>
              <w:tr2bl w:val="nil"/>
            </w:tcBorders>
            <w:vAlign w:val="center"/>
          </w:tcPr>
          <w:p w14:paraId="0D87A613">
            <w:pPr>
              <w:pStyle w:val="41"/>
              <w:rPr>
                <w:color w:val="auto"/>
                <w:highlight w:val="none"/>
              </w:rPr>
            </w:pPr>
            <w:r>
              <w:rPr>
                <w:color w:val="auto"/>
                <w:highlight w:val="none"/>
              </w:rPr>
              <w:t>93~99</w:t>
            </w:r>
          </w:p>
        </w:tc>
        <w:tc>
          <w:tcPr>
            <w:tcW w:w="1642" w:type="pct"/>
            <w:tcBorders>
              <w:tl2br w:val="nil"/>
              <w:tr2bl w:val="nil"/>
            </w:tcBorders>
            <w:vAlign w:val="center"/>
          </w:tcPr>
          <w:p w14:paraId="27FAF0C9">
            <w:pPr>
              <w:pStyle w:val="41"/>
              <w:rPr>
                <w:color w:val="auto"/>
                <w:highlight w:val="none"/>
              </w:rPr>
            </w:pPr>
            <w:r>
              <w:rPr>
                <w:color w:val="auto"/>
                <w:highlight w:val="none"/>
              </w:rPr>
              <w:t>90~95</w:t>
            </w:r>
          </w:p>
        </w:tc>
      </w:tr>
      <w:tr w14:paraId="375581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857" w:type="pct"/>
            <w:tcBorders>
              <w:tl2br w:val="nil"/>
              <w:tr2bl w:val="nil"/>
            </w:tcBorders>
            <w:vAlign w:val="center"/>
          </w:tcPr>
          <w:p w14:paraId="0CA04D59">
            <w:pPr>
              <w:pStyle w:val="41"/>
              <w:rPr>
                <w:color w:val="auto"/>
                <w:highlight w:val="none"/>
              </w:rPr>
            </w:pPr>
            <w:r>
              <w:rPr>
                <w:color w:val="auto"/>
                <w:highlight w:val="none"/>
              </w:rPr>
              <w:t>混凝土输送泵</w:t>
            </w:r>
          </w:p>
        </w:tc>
        <w:tc>
          <w:tcPr>
            <w:tcW w:w="1499" w:type="pct"/>
            <w:tcBorders>
              <w:tl2br w:val="nil"/>
              <w:tr2bl w:val="nil"/>
            </w:tcBorders>
            <w:vAlign w:val="center"/>
          </w:tcPr>
          <w:p w14:paraId="7CC3F41E">
            <w:pPr>
              <w:pStyle w:val="41"/>
              <w:rPr>
                <w:color w:val="auto"/>
                <w:highlight w:val="none"/>
              </w:rPr>
            </w:pPr>
            <w:r>
              <w:rPr>
                <w:color w:val="auto"/>
                <w:highlight w:val="none"/>
              </w:rPr>
              <w:t>88~95</w:t>
            </w:r>
          </w:p>
        </w:tc>
        <w:tc>
          <w:tcPr>
            <w:tcW w:w="1642" w:type="pct"/>
            <w:tcBorders>
              <w:tl2br w:val="nil"/>
              <w:tr2bl w:val="nil"/>
            </w:tcBorders>
            <w:vAlign w:val="center"/>
          </w:tcPr>
          <w:p w14:paraId="04792A39">
            <w:pPr>
              <w:pStyle w:val="41"/>
              <w:rPr>
                <w:color w:val="auto"/>
                <w:highlight w:val="none"/>
              </w:rPr>
            </w:pPr>
            <w:r>
              <w:rPr>
                <w:color w:val="auto"/>
                <w:highlight w:val="none"/>
              </w:rPr>
              <w:t>84~90</w:t>
            </w:r>
          </w:p>
        </w:tc>
      </w:tr>
      <w:tr w14:paraId="58290E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857" w:type="pct"/>
            <w:tcBorders>
              <w:tl2br w:val="nil"/>
              <w:tr2bl w:val="nil"/>
            </w:tcBorders>
            <w:vAlign w:val="center"/>
          </w:tcPr>
          <w:p w14:paraId="666859A4">
            <w:pPr>
              <w:pStyle w:val="41"/>
              <w:rPr>
                <w:color w:val="auto"/>
                <w:highlight w:val="none"/>
              </w:rPr>
            </w:pPr>
            <w:r>
              <w:rPr>
                <w:color w:val="auto"/>
                <w:highlight w:val="none"/>
              </w:rPr>
              <w:t>商砼搅拌车</w:t>
            </w:r>
          </w:p>
        </w:tc>
        <w:tc>
          <w:tcPr>
            <w:tcW w:w="1499" w:type="pct"/>
            <w:tcBorders>
              <w:tl2br w:val="nil"/>
              <w:tr2bl w:val="nil"/>
            </w:tcBorders>
            <w:vAlign w:val="center"/>
          </w:tcPr>
          <w:p w14:paraId="4C43D227">
            <w:pPr>
              <w:pStyle w:val="41"/>
              <w:rPr>
                <w:color w:val="auto"/>
                <w:highlight w:val="none"/>
              </w:rPr>
            </w:pPr>
            <w:r>
              <w:rPr>
                <w:color w:val="auto"/>
                <w:highlight w:val="none"/>
              </w:rPr>
              <w:t>85~90</w:t>
            </w:r>
          </w:p>
        </w:tc>
        <w:tc>
          <w:tcPr>
            <w:tcW w:w="1642" w:type="pct"/>
            <w:tcBorders>
              <w:tl2br w:val="nil"/>
              <w:tr2bl w:val="nil"/>
            </w:tcBorders>
            <w:vAlign w:val="center"/>
          </w:tcPr>
          <w:p w14:paraId="60E1F962">
            <w:pPr>
              <w:pStyle w:val="41"/>
              <w:rPr>
                <w:color w:val="auto"/>
                <w:highlight w:val="none"/>
              </w:rPr>
            </w:pPr>
            <w:r>
              <w:rPr>
                <w:color w:val="auto"/>
                <w:highlight w:val="none"/>
              </w:rPr>
              <w:t>82~84</w:t>
            </w:r>
          </w:p>
        </w:tc>
      </w:tr>
      <w:tr w14:paraId="690495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857" w:type="pct"/>
            <w:tcBorders>
              <w:tl2br w:val="nil"/>
              <w:tr2bl w:val="nil"/>
            </w:tcBorders>
            <w:vAlign w:val="center"/>
          </w:tcPr>
          <w:p w14:paraId="3A2E6A46">
            <w:pPr>
              <w:pStyle w:val="41"/>
              <w:rPr>
                <w:color w:val="auto"/>
                <w:highlight w:val="none"/>
              </w:rPr>
            </w:pPr>
            <w:r>
              <w:rPr>
                <w:color w:val="auto"/>
                <w:highlight w:val="none"/>
              </w:rPr>
              <w:t>空压机</w:t>
            </w:r>
          </w:p>
        </w:tc>
        <w:tc>
          <w:tcPr>
            <w:tcW w:w="1499" w:type="pct"/>
            <w:tcBorders>
              <w:tl2br w:val="nil"/>
              <w:tr2bl w:val="nil"/>
            </w:tcBorders>
            <w:vAlign w:val="center"/>
          </w:tcPr>
          <w:p w14:paraId="21AFC08B">
            <w:pPr>
              <w:pStyle w:val="41"/>
              <w:rPr>
                <w:color w:val="auto"/>
                <w:highlight w:val="none"/>
              </w:rPr>
            </w:pPr>
            <w:r>
              <w:rPr>
                <w:color w:val="auto"/>
                <w:highlight w:val="none"/>
              </w:rPr>
              <w:t>88~92</w:t>
            </w:r>
          </w:p>
        </w:tc>
        <w:tc>
          <w:tcPr>
            <w:tcW w:w="1642" w:type="pct"/>
            <w:tcBorders>
              <w:tl2br w:val="nil"/>
              <w:tr2bl w:val="nil"/>
            </w:tcBorders>
            <w:vAlign w:val="center"/>
          </w:tcPr>
          <w:p w14:paraId="6E7A686A">
            <w:pPr>
              <w:pStyle w:val="41"/>
              <w:rPr>
                <w:color w:val="auto"/>
                <w:highlight w:val="none"/>
              </w:rPr>
            </w:pPr>
            <w:r>
              <w:rPr>
                <w:color w:val="auto"/>
                <w:highlight w:val="none"/>
              </w:rPr>
              <w:t>83~88</w:t>
            </w:r>
          </w:p>
        </w:tc>
      </w:tr>
    </w:tbl>
    <w:p w14:paraId="6FD9FF1B">
      <w:pPr>
        <w:pStyle w:val="43"/>
        <w:rPr>
          <w:color w:val="auto"/>
          <w:highlight w:val="none"/>
        </w:rPr>
      </w:pPr>
      <w:r>
        <w:rPr>
          <w:rFonts w:hint="eastAsia"/>
          <w:color w:val="auto"/>
          <w:highlight w:val="none"/>
        </w:rPr>
        <w:t>施工固废</w:t>
      </w:r>
    </w:p>
    <w:p w14:paraId="191CB322">
      <w:pPr>
        <w:pStyle w:val="3"/>
        <w:ind w:firstLine="480"/>
        <w:rPr>
          <w:color w:val="auto"/>
          <w:highlight w:val="none"/>
        </w:rPr>
      </w:pPr>
      <w:r>
        <w:rPr>
          <w:rFonts w:hint="eastAsia"/>
          <w:color w:val="auto"/>
          <w:highlight w:val="none"/>
        </w:rPr>
        <w:t>（1）建筑垃圾</w:t>
      </w:r>
    </w:p>
    <w:p w14:paraId="7D10F0CC">
      <w:pPr>
        <w:pStyle w:val="3"/>
        <w:ind w:firstLine="480"/>
        <w:rPr>
          <w:color w:val="auto"/>
          <w:highlight w:val="none"/>
        </w:rPr>
      </w:pPr>
      <w:r>
        <w:rPr>
          <w:rFonts w:hint="eastAsia"/>
          <w:color w:val="auto"/>
          <w:highlight w:val="none"/>
        </w:rPr>
        <w:t>本项目施工过</w:t>
      </w:r>
      <w:r>
        <w:rPr>
          <w:rFonts w:hint="eastAsia"/>
          <w:color w:val="auto"/>
          <w:highlight w:val="none"/>
          <w:lang w:eastAsia="zh-CN"/>
        </w:rPr>
        <w:t>程中</w:t>
      </w:r>
      <w:r>
        <w:rPr>
          <w:rFonts w:hint="eastAsia"/>
          <w:color w:val="auto"/>
          <w:highlight w:val="none"/>
        </w:rPr>
        <w:t>会产生少量砂石、石块、碎砖瓦、废木料、废钢筋边角料等建筑垃圾。废钢筋、废木料边角料等集中收集后外售给废品收购站，砂石、石块、碎砖瓦等施工过程中就地回收利用，无法利用的集中收集运至阿图什市指定的建筑垃圾堆放场处置。</w:t>
      </w:r>
    </w:p>
    <w:p w14:paraId="0DF2ACF6">
      <w:pPr>
        <w:pStyle w:val="3"/>
        <w:ind w:firstLine="480"/>
        <w:rPr>
          <w:color w:val="auto"/>
          <w:highlight w:val="none"/>
        </w:rPr>
      </w:pPr>
      <w:r>
        <w:rPr>
          <w:rFonts w:hint="eastAsia"/>
          <w:color w:val="auto"/>
          <w:highlight w:val="none"/>
        </w:rPr>
        <w:t>（2）生活垃圾</w:t>
      </w:r>
    </w:p>
    <w:p w14:paraId="31E20DBE">
      <w:pPr>
        <w:pStyle w:val="3"/>
        <w:ind w:firstLine="480"/>
        <w:rPr>
          <w:color w:val="auto"/>
          <w:highlight w:val="none"/>
        </w:rPr>
      </w:pPr>
      <w:r>
        <w:rPr>
          <w:rFonts w:hint="eastAsia"/>
          <w:color w:val="auto"/>
          <w:highlight w:val="none"/>
        </w:rPr>
        <w:t>本项目施工期间施工人数约为80人，</w:t>
      </w:r>
      <w:r>
        <w:rPr>
          <w:rFonts w:hint="eastAsia"/>
          <w:color w:val="auto"/>
          <w:highlight w:val="none"/>
          <w:lang w:eastAsia="zh-CN"/>
        </w:rPr>
        <w:t>剩余</w:t>
      </w:r>
      <w:r>
        <w:rPr>
          <w:rFonts w:hint="eastAsia"/>
          <w:color w:val="auto"/>
          <w:highlight w:val="none"/>
        </w:rPr>
        <w:t>施工期按12个月</w:t>
      </w:r>
      <w:r>
        <w:rPr>
          <w:rFonts w:hint="eastAsia"/>
          <w:color w:val="auto"/>
          <w:highlight w:val="none"/>
          <w:lang w:eastAsia="zh-CN"/>
        </w:rPr>
        <w:t>计</w:t>
      </w:r>
      <w:r>
        <w:rPr>
          <w:rFonts w:hint="eastAsia"/>
          <w:color w:val="auto"/>
          <w:highlight w:val="none"/>
        </w:rPr>
        <w:t>，生活垃圾产生系数按1kg/人·d计，则施工人员生活垃圾产生量约为28.8t。在项目施工生活办公区设置垃圾箱对生活垃圾集中收集，定期清运至哈拉峻乡谢依提村垃圾场填埋处置。</w:t>
      </w:r>
    </w:p>
    <w:p w14:paraId="48360A97">
      <w:pPr>
        <w:pStyle w:val="3"/>
        <w:ind w:firstLine="480"/>
        <w:rPr>
          <w:color w:val="auto"/>
          <w:highlight w:val="none"/>
        </w:rPr>
      </w:pPr>
      <w:r>
        <w:rPr>
          <w:rFonts w:hint="eastAsia"/>
          <w:color w:val="auto"/>
          <w:highlight w:val="none"/>
        </w:rPr>
        <w:t>（3）弃土弃渣</w:t>
      </w:r>
    </w:p>
    <w:p w14:paraId="5C411127">
      <w:pPr>
        <w:pStyle w:val="3"/>
        <w:ind w:firstLine="480"/>
        <w:rPr>
          <w:color w:val="auto"/>
          <w:highlight w:val="none"/>
        </w:rPr>
      </w:pPr>
      <w:r>
        <w:rPr>
          <w:rFonts w:hint="eastAsia"/>
          <w:color w:val="auto"/>
          <w:highlight w:val="none"/>
        </w:rPr>
        <w:t>本项目挖方全部用于填方，无弃方产生。</w:t>
      </w:r>
    </w:p>
    <w:p w14:paraId="473BFE41">
      <w:pPr>
        <w:pStyle w:val="43"/>
        <w:rPr>
          <w:color w:val="auto"/>
          <w:highlight w:val="none"/>
        </w:rPr>
      </w:pPr>
      <w:r>
        <w:rPr>
          <w:color w:val="auto"/>
          <w:highlight w:val="none"/>
        </w:rPr>
        <w:t>生态影响</w:t>
      </w:r>
    </w:p>
    <w:p w14:paraId="6395CB78">
      <w:pPr>
        <w:pStyle w:val="3"/>
        <w:ind w:firstLine="480"/>
        <w:rPr>
          <w:color w:val="auto"/>
          <w:highlight w:val="none"/>
        </w:rPr>
      </w:pPr>
      <w:r>
        <w:rPr>
          <w:color w:val="auto"/>
          <w:highlight w:val="none"/>
        </w:rPr>
        <w:t>本项目土地利用类型</w:t>
      </w:r>
      <w:r>
        <w:rPr>
          <w:rFonts w:hint="eastAsia"/>
          <w:color w:val="auto"/>
          <w:highlight w:val="none"/>
          <w:lang w:eastAsia="zh-CN"/>
        </w:rPr>
        <w:t>主要为</w:t>
      </w:r>
      <w:r>
        <w:rPr>
          <w:rFonts w:hint="eastAsia"/>
          <w:color w:val="auto"/>
          <w:highlight w:val="none"/>
        </w:rPr>
        <w:t>裸岩石砾地、其次为工矿用地</w:t>
      </w:r>
      <w:r>
        <w:rPr>
          <w:rFonts w:hint="eastAsia"/>
          <w:color w:val="auto"/>
          <w:highlight w:val="none"/>
          <w:lang w:eastAsia="zh-CN"/>
        </w:rPr>
        <w:t>。</w:t>
      </w:r>
      <w:r>
        <w:rPr>
          <w:color w:val="auto"/>
          <w:highlight w:val="none"/>
        </w:rPr>
        <w:t>本项目建设将会占用土地，使土地失去原有生态功能。除永久占地外，施工区等临时占用土地将对局部生态产生暂时性影响。施工期由于基础开挖、场地平整、道路施工等工程永久占用土地，地表扰动将使植被生境破坏，生物个体失去生长环境，原有植被遭到永久性破坏，造成生物量损失。</w:t>
      </w:r>
    </w:p>
    <w:p w14:paraId="04AB9BDB">
      <w:pPr>
        <w:pStyle w:val="3"/>
        <w:ind w:firstLine="480"/>
        <w:rPr>
          <w:color w:val="auto"/>
          <w:highlight w:val="none"/>
        </w:rPr>
      </w:pPr>
      <w:r>
        <w:rPr>
          <w:color w:val="auto"/>
          <w:highlight w:val="none"/>
        </w:rPr>
        <w:t>施工结束后，通过种植草皮等绿化措施可有效改善区域生态环境，项目建设对生态环境产生影响较小。</w:t>
      </w:r>
    </w:p>
    <w:p w14:paraId="4686CB31">
      <w:pPr>
        <w:pStyle w:val="42"/>
        <w:rPr>
          <w:rFonts w:hint="default"/>
          <w:color w:val="auto"/>
          <w:highlight w:val="none"/>
        </w:rPr>
      </w:pPr>
      <w:bookmarkStart w:id="301" w:name="_Toc14786"/>
      <w:bookmarkStart w:id="302" w:name="_Toc18332"/>
      <w:bookmarkStart w:id="303" w:name="_Toc27392"/>
      <w:r>
        <w:rPr>
          <w:rFonts w:hint="default"/>
          <w:color w:val="auto"/>
          <w:highlight w:val="none"/>
        </w:rPr>
        <w:t>运营期污染源及污染物分析</w:t>
      </w:r>
      <w:bookmarkEnd w:id="301"/>
      <w:bookmarkEnd w:id="302"/>
      <w:bookmarkEnd w:id="303"/>
    </w:p>
    <w:p w14:paraId="3C2DFE34">
      <w:pPr>
        <w:pStyle w:val="43"/>
        <w:rPr>
          <w:color w:val="auto"/>
          <w:highlight w:val="none"/>
        </w:rPr>
      </w:pPr>
      <w:r>
        <w:rPr>
          <w:color w:val="auto"/>
          <w:highlight w:val="none"/>
        </w:rPr>
        <w:t>产污环节</w:t>
      </w:r>
    </w:p>
    <w:p w14:paraId="4B7DDDD7">
      <w:pPr>
        <w:pStyle w:val="3"/>
        <w:ind w:firstLine="480"/>
        <w:rPr>
          <w:color w:val="auto"/>
          <w:highlight w:val="none"/>
        </w:rPr>
      </w:pPr>
      <w:r>
        <w:rPr>
          <w:color w:val="auto"/>
          <w:highlight w:val="none"/>
        </w:rPr>
        <w:t>球磨及磁选工序均需添加水，物料为湿物料，磨矿及磁选工序无废气产生；尾矿脱水后含水率较高，基本无粉尘产生；废气主要为破碎（包括粗碎、中碎和细碎）、筛分废气、堆场废气（铁精矿和钛</w:t>
      </w:r>
      <w:r>
        <w:rPr>
          <w:color w:val="auto"/>
          <w:highlight w:val="none"/>
        </w:rPr>
        <w:t>精矿</w:t>
      </w:r>
      <w:r>
        <w:rPr>
          <w:rFonts w:hint="eastAsia"/>
          <w:color w:val="auto"/>
          <w:highlight w:val="none"/>
          <w:lang w:eastAsia="zh-CN"/>
        </w:rPr>
        <w:t>车间</w:t>
      </w:r>
      <w:r>
        <w:rPr>
          <w:color w:val="auto"/>
          <w:highlight w:val="none"/>
        </w:rPr>
        <w:t>）、卸车扬尘、道路运输扬尘、生活污水处理设施产生的氨、硫化氢、餐饮油烟以及项目实施后新增的交通运输废气。废水主要为选矿废水（包括尾矿脱除废水）和生活污水；噪声源主要为破碎机、球磨机、磁选机等</w:t>
      </w:r>
      <w:bookmarkStart w:id="304" w:name="_Hlk191212033"/>
      <w:r>
        <w:rPr>
          <w:rFonts w:hint="eastAsia"/>
          <w:color w:val="auto"/>
          <w:highlight w:val="none"/>
          <w:lang w:eastAsia="zh-CN"/>
        </w:rPr>
        <w:t>；</w:t>
      </w:r>
      <w:r>
        <w:rPr>
          <w:color w:val="auto"/>
          <w:highlight w:val="none"/>
        </w:rPr>
        <w:t>固体废物主要为尾矿、废布袋、生活污水处理设施底泥、选矿厂和尾矿脱水</w:t>
      </w:r>
      <w:r>
        <w:rPr>
          <w:rFonts w:hint="eastAsia"/>
          <w:color w:val="auto"/>
          <w:highlight w:val="none"/>
          <w:lang w:val="en-US" w:eastAsia="zh-CN"/>
        </w:rPr>
        <w:t>车间</w:t>
      </w:r>
      <w:r>
        <w:rPr>
          <w:color w:val="auto"/>
          <w:highlight w:val="none"/>
        </w:rPr>
        <w:t>各类池体底泥、废机油、废机油桶、</w:t>
      </w:r>
      <w:r>
        <w:rPr>
          <w:rFonts w:hint="eastAsia"/>
          <w:color w:val="auto"/>
          <w:highlight w:val="none"/>
          <w:lang w:val="en-US" w:eastAsia="zh-CN"/>
        </w:rPr>
        <w:t>废石、脱硫石膏、炉灰渣、除尘灰</w:t>
      </w:r>
      <w:r>
        <w:rPr>
          <w:color w:val="auto"/>
          <w:highlight w:val="none"/>
        </w:rPr>
        <w:t>和生活垃圾。</w:t>
      </w:r>
    </w:p>
    <w:bookmarkEnd w:id="304"/>
    <w:p w14:paraId="36B46FDA">
      <w:pPr>
        <w:pStyle w:val="3"/>
        <w:ind w:firstLine="480"/>
        <w:rPr>
          <w:color w:val="auto"/>
          <w:highlight w:val="none"/>
        </w:rPr>
      </w:pPr>
      <w:r>
        <w:rPr>
          <w:color w:val="auto"/>
          <w:highlight w:val="none"/>
        </w:rPr>
        <w:t>工艺产污环节见表</w:t>
      </w:r>
      <w:r>
        <w:rPr>
          <w:rFonts w:hint="eastAsia"/>
          <w:color w:val="auto"/>
          <w:highlight w:val="none"/>
        </w:rPr>
        <w:t>3.4-2</w:t>
      </w:r>
      <w:r>
        <w:rPr>
          <w:color w:val="auto"/>
          <w:highlight w:val="none"/>
        </w:rPr>
        <w:t>。</w:t>
      </w:r>
    </w:p>
    <w:p w14:paraId="4333C381">
      <w:pPr>
        <w:pStyle w:val="40"/>
        <w:spacing w:before="24" w:after="24"/>
        <w:rPr>
          <w:color w:val="auto"/>
          <w:highlight w:val="none"/>
        </w:rPr>
      </w:pPr>
      <w:r>
        <w:rPr>
          <w:color w:val="auto"/>
          <w:highlight w:val="none"/>
        </w:rPr>
        <w:t>表3.</w:t>
      </w:r>
      <w:r>
        <w:rPr>
          <w:rFonts w:hint="eastAsia"/>
          <w:color w:val="auto"/>
          <w:highlight w:val="none"/>
        </w:rPr>
        <w:t>4</w:t>
      </w:r>
      <w:r>
        <w:rPr>
          <w:color w:val="auto"/>
          <w:highlight w:val="none"/>
        </w:rPr>
        <w:t>-</w:t>
      </w:r>
      <w:r>
        <w:rPr>
          <w:rFonts w:hint="eastAsia"/>
          <w:color w:val="auto"/>
          <w:highlight w:val="none"/>
        </w:rPr>
        <w:t>2</w:t>
      </w:r>
      <w:r>
        <w:rPr>
          <w:color w:val="auto"/>
          <w:highlight w:val="none"/>
        </w:rPr>
        <w:t xml:space="preserve">    项目产污环节及治理措施一览表</w:t>
      </w:r>
    </w:p>
    <w:tbl>
      <w:tblPr>
        <w:tblStyle w:val="25"/>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732"/>
        <w:gridCol w:w="642"/>
        <w:gridCol w:w="588"/>
        <w:gridCol w:w="1199"/>
        <w:gridCol w:w="1394"/>
        <w:gridCol w:w="1125"/>
        <w:gridCol w:w="2827"/>
      </w:tblGrid>
      <w:tr w14:paraId="7B9498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32" w:type="dxa"/>
            <w:tcBorders>
              <w:tl2br w:val="nil"/>
              <w:tr2bl w:val="nil"/>
            </w:tcBorders>
            <w:vAlign w:val="center"/>
          </w:tcPr>
          <w:p w14:paraId="33E00661">
            <w:pPr>
              <w:pStyle w:val="41"/>
              <w:rPr>
                <w:color w:val="auto"/>
                <w:highlight w:val="none"/>
              </w:rPr>
            </w:pPr>
            <w:r>
              <w:rPr>
                <w:color w:val="auto"/>
                <w:highlight w:val="none"/>
              </w:rPr>
              <w:t>类别</w:t>
            </w:r>
          </w:p>
        </w:tc>
        <w:tc>
          <w:tcPr>
            <w:tcW w:w="1230" w:type="dxa"/>
            <w:gridSpan w:val="2"/>
            <w:tcBorders>
              <w:tl2br w:val="nil"/>
              <w:tr2bl w:val="nil"/>
            </w:tcBorders>
            <w:vAlign w:val="center"/>
          </w:tcPr>
          <w:p w14:paraId="34617AE6">
            <w:pPr>
              <w:pStyle w:val="41"/>
              <w:rPr>
                <w:color w:val="auto"/>
                <w:highlight w:val="none"/>
              </w:rPr>
            </w:pPr>
            <w:r>
              <w:rPr>
                <w:color w:val="auto"/>
                <w:highlight w:val="none"/>
              </w:rPr>
              <w:t>编号</w:t>
            </w:r>
          </w:p>
        </w:tc>
        <w:tc>
          <w:tcPr>
            <w:tcW w:w="1199" w:type="dxa"/>
            <w:tcBorders>
              <w:tl2br w:val="nil"/>
              <w:tr2bl w:val="nil"/>
            </w:tcBorders>
            <w:vAlign w:val="center"/>
          </w:tcPr>
          <w:p w14:paraId="1AB4A438">
            <w:pPr>
              <w:pStyle w:val="41"/>
              <w:rPr>
                <w:color w:val="auto"/>
                <w:highlight w:val="none"/>
              </w:rPr>
            </w:pPr>
            <w:r>
              <w:rPr>
                <w:color w:val="auto"/>
                <w:highlight w:val="none"/>
              </w:rPr>
              <w:t>排污节点</w:t>
            </w:r>
          </w:p>
        </w:tc>
        <w:tc>
          <w:tcPr>
            <w:tcW w:w="1394" w:type="dxa"/>
            <w:tcBorders>
              <w:tl2br w:val="nil"/>
              <w:tr2bl w:val="nil"/>
            </w:tcBorders>
            <w:vAlign w:val="center"/>
          </w:tcPr>
          <w:p w14:paraId="1F0CC9F1">
            <w:pPr>
              <w:pStyle w:val="41"/>
              <w:rPr>
                <w:color w:val="auto"/>
                <w:highlight w:val="none"/>
              </w:rPr>
            </w:pPr>
            <w:r>
              <w:rPr>
                <w:color w:val="auto"/>
                <w:highlight w:val="none"/>
              </w:rPr>
              <w:t>主要污染物</w:t>
            </w:r>
          </w:p>
        </w:tc>
        <w:tc>
          <w:tcPr>
            <w:tcW w:w="1125" w:type="dxa"/>
            <w:tcBorders>
              <w:tl2br w:val="nil"/>
              <w:tr2bl w:val="nil"/>
            </w:tcBorders>
            <w:vAlign w:val="center"/>
          </w:tcPr>
          <w:p w14:paraId="48ABF4F9">
            <w:pPr>
              <w:pStyle w:val="41"/>
              <w:rPr>
                <w:color w:val="auto"/>
                <w:highlight w:val="none"/>
              </w:rPr>
            </w:pPr>
            <w:r>
              <w:rPr>
                <w:color w:val="auto"/>
                <w:highlight w:val="none"/>
              </w:rPr>
              <w:t>排放规律</w:t>
            </w:r>
          </w:p>
        </w:tc>
        <w:tc>
          <w:tcPr>
            <w:tcW w:w="2827" w:type="dxa"/>
            <w:tcBorders>
              <w:tl2br w:val="nil"/>
              <w:tr2bl w:val="nil"/>
            </w:tcBorders>
            <w:vAlign w:val="center"/>
          </w:tcPr>
          <w:p w14:paraId="07E1C6CF">
            <w:pPr>
              <w:pStyle w:val="41"/>
              <w:rPr>
                <w:color w:val="auto"/>
                <w:highlight w:val="none"/>
              </w:rPr>
            </w:pPr>
            <w:r>
              <w:rPr>
                <w:color w:val="auto"/>
                <w:highlight w:val="none"/>
              </w:rPr>
              <w:t>治理措施</w:t>
            </w:r>
          </w:p>
        </w:tc>
      </w:tr>
      <w:tr w14:paraId="0D062F9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23" w:hRule="atLeast"/>
          <w:jc w:val="center"/>
        </w:trPr>
        <w:tc>
          <w:tcPr>
            <w:tcW w:w="732" w:type="dxa"/>
            <w:vMerge w:val="restart"/>
            <w:tcBorders>
              <w:tl2br w:val="nil"/>
              <w:tr2bl w:val="nil"/>
            </w:tcBorders>
            <w:vAlign w:val="center"/>
          </w:tcPr>
          <w:p w14:paraId="0EA0457C">
            <w:pPr>
              <w:pStyle w:val="41"/>
              <w:rPr>
                <w:color w:val="auto"/>
                <w:highlight w:val="none"/>
              </w:rPr>
            </w:pPr>
            <w:r>
              <w:rPr>
                <w:color w:val="auto"/>
                <w:highlight w:val="none"/>
              </w:rPr>
              <w:t>废气</w:t>
            </w:r>
          </w:p>
        </w:tc>
        <w:tc>
          <w:tcPr>
            <w:tcW w:w="642" w:type="dxa"/>
            <w:vMerge w:val="restart"/>
            <w:tcBorders>
              <w:tl2br w:val="nil"/>
              <w:tr2bl w:val="nil"/>
            </w:tcBorders>
            <w:vAlign w:val="center"/>
          </w:tcPr>
          <w:p w14:paraId="35964EE2">
            <w:pPr>
              <w:pStyle w:val="41"/>
              <w:rPr>
                <w:color w:val="auto"/>
                <w:highlight w:val="none"/>
              </w:rPr>
            </w:pPr>
            <w:r>
              <w:rPr>
                <w:color w:val="auto"/>
                <w:highlight w:val="none"/>
              </w:rPr>
              <w:t>有</w:t>
            </w:r>
          </w:p>
          <w:p w14:paraId="625D0DB7">
            <w:pPr>
              <w:pStyle w:val="41"/>
              <w:rPr>
                <w:color w:val="auto"/>
                <w:highlight w:val="none"/>
              </w:rPr>
            </w:pPr>
            <w:r>
              <w:rPr>
                <w:color w:val="auto"/>
                <w:highlight w:val="none"/>
              </w:rPr>
              <w:t>组</w:t>
            </w:r>
          </w:p>
          <w:p w14:paraId="26E4089D">
            <w:pPr>
              <w:pStyle w:val="41"/>
              <w:rPr>
                <w:color w:val="auto"/>
                <w:highlight w:val="none"/>
              </w:rPr>
            </w:pPr>
            <w:r>
              <w:rPr>
                <w:color w:val="auto"/>
                <w:highlight w:val="none"/>
              </w:rPr>
              <w:t>织</w:t>
            </w:r>
          </w:p>
        </w:tc>
        <w:tc>
          <w:tcPr>
            <w:tcW w:w="588" w:type="dxa"/>
            <w:tcBorders>
              <w:tl2br w:val="nil"/>
              <w:tr2bl w:val="nil"/>
            </w:tcBorders>
            <w:vAlign w:val="center"/>
          </w:tcPr>
          <w:p w14:paraId="152B2E6D">
            <w:pPr>
              <w:pStyle w:val="41"/>
              <w:rPr>
                <w:color w:val="auto"/>
                <w:highlight w:val="none"/>
              </w:rPr>
            </w:pPr>
            <w:r>
              <w:rPr>
                <w:color w:val="auto"/>
                <w:highlight w:val="none"/>
              </w:rPr>
              <w:t>G1</w:t>
            </w:r>
          </w:p>
        </w:tc>
        <w:tc>
          <w:tcPr>
            <w:tcW w:w="1199" w:type="dxa"/>
            <w:tcBorders>
              <w:tl2br w:val="nil"/>
              <w:tr2bl w:val="nil"/>
            </w:tcBorders>
            <w:vAlign w:val="center"/>
          </w:tcPr>
          <w:p w14:paraId="34A0D8B3">
            <w:pPr>
              <w:pStyle w:val="41"/>
              <w:rPr>
                <w:color w:val="auto"/>
                <w:highlight w:val="none"/>
              </w:rPr>
            </w:pPr>
            <w:r>
              <w:rPr>
                <w:rFonts w:hint="eastAsia"/>
                <w:color w:val="auto"/>
                <w:highlight w:val="none"/>
              </w:rPr>
              <w:t>滚轴筛车间</w:t>
            </w:r>
          </w:p>
        </w:tc>
        <w:tc>
          <w:tcPr>
            <w:tcW w:w="1394" w:type="dxa"/>
            <w:tcBorders>
              <w:tl2br w:val="nil"/>
              <w:tr2bl w:val="nil"/>
            </w:tcBorders>
            <w:vAlign w:val="center"/>
          </w:tcPr>
          <w:p w14:paraId="19A62159">
            <w:pPr>
              <w:pStyle w:val="41"/>
              <w:rPr>
                <w:color w:val="auto"/>
                <w:highlight w:val="none"/>
              </w:rPr>
            </w:pPr>
            <w:r>
              <w:rPr>
                <w:color w:val="auto"/>
                <w:highlight w:val="none"/>
              </w:rPr>
              <w:t>颗粒物</w:t>
            </w:r>
          </w:p>
        </w:tc>
        <w:tc>
          <w:tcPr>
            <w:tcW w:w="1125" w:type="dxa"/>
            <w:tcBorders>
              <w:tl2br w:val="nil"/>
              <w:tr2bl w:val="nil"/>
            </w:tcBorders>
            <w:vAlign w:val="center"/>
          </w:tcPr>
          <w:p w14:paraId="155A1067">
            <w:pPr>
              <w:pStyle w:val="41"/>
              <w:rPr>
                <w:color w:val="auto"/>
                <w:highlight w:val="none"/>
              </w:rPr>
            </w:pPr>
            <w:r>
              <w:rPr>
                <w:color w:val="auto"/>
                <w:highlight w:val="none"/>
              </w:rPr>
              <w:t>连续</w:t>
            </w:r>
          </w:p>
        </w:tc>
        <w:tc>
          <w:tcPr>
            <w:tcW w:w="2827" w:type="dxa"/>
            <w:tcBorders>
              <w:tl2br w:val="nil"/>
              <w:tr2bl w:val="nil"/>
            </w:tcBorders>
            <w:vAlign w:val="center"/>
          </w:tcPr>
          <w:p w14:paraId="5330AA68">
            <w:pPr>
              <w:pStyle w:val="41"/>
              <w:rPr>
                <w:color w:val="auto"/>
                <w:highlight w:val="none"/>
              </w:rPr>
            </w:pPr>
            <w:r>
              <w:rPr>
                <w:color w:val="auto"/>
                <w:highlight w:val="none"/>
              </w:rPr>
              <w:t>设集气装置+布袋除尘器，除尘后经1根</w:t>
            </w:r>
            <w:r>
              <w:rPr>
                <w:rFonts w:hint="eastAsia"/>
                <w:color w:val="auto"/>
                <w:highlight w:val="none"/>
              </w:rPr>
              <w:t>25</w:t>
            </w:r>
            <w:r>
              <w:rPr>
                <w:color w:val="auto"/>
                <w:highlight w:val="none"/>
              </w:rPr>
              <w:t>m高排气筒排放。</w:t>
            </w:r>
          </w:p>
        </w:tc>
      </w:tr>
      <w:tr w14:paraId="211700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32" w:type="dxa"/>
            <w:vMerge w:val="continue"/>
            <w:tcBorders>
              <w:tl2br w:val="nil"/>
              <w:tr2bl w:val="nil"/>
            </w:tcBorders>
            <w:vAlign w:val="center"/>
          </w:tcPr>
          <w:p w14:paraId="415CD5ED">
            <w:pPr>
              <w:pStyle w:val="41"/>
              <w:rPr>
                <w:color w:val="auto"/>
                <w:highlight w:val="none"/>
              </w:rPr>
            </w:pPr>
          </w:p>
        </w:tc>
        <w:tc>
          <w:tcPr>
            <w:tcW w:w="642" w:type="dxa"/>
            <w:vMerge w:val="continue"/>
            <w:tcBorders>
              <w:tl2br w:val="nil"/>
              <w:tr2bl w:val="nil"/>
            </w:tcBorders>
            <w:vAlign w:val="center"/>
          </w:tcPr>
          <w:p w14:paraId="2187BAAB">
            <w:pPr>
              <w:pStyle w:val="41"/>
              <w:rPr>
                <w:color w:val="auto"/>
                <w:highlight w:val="none"/>
              </w:rPr>
            </w:pPr>
          </w:p>
        </w:tc>
        <w:tc>
          <w:tcPr>
            <w:tcW w:w="588" w:type="dxa"/>
            <w:tcBorders>
              <w:tl2br w:val="nil"/>
              <w:tr2bl w:val="nil"/>
            </w:tcBorders>
            <w:vAlign w:val="center"/>
          </w:tcPr>
          <w:p w14:paraId="6F10F63A">
            <w:pPr>
              <w:pStyle w:val="41"/>
              <w:rPr>
                <w:color w:val="auto"/>
                <w:highlight w:val="none"/>
              </w:rPr>
            </w:pPr>
            <w:r>
              <w:rPr>
                <w:color w:val="auto"/>
                <w:highlight w:val="none"/>
              </w:rPr>
              <w:t>G</w:t>
            </w:r>
            <w:r>
              <w:rPr>
                <w:rFonts w:hint="eastAsia"/>
                <w:color w:val="auto"/>
                <w:highlight w:val="none"/>
              </w:rPr>
              <w:t>2</w:t>
            </w:r>
          </w:p>
        </w:tc>
        <w:tc>
          <w:tcPr>
            <w:tcW w:w="1199" w:type="dxa"/>
            <w:tcBorders>
              <w:tl2br w:val="nil"/>
              <w:tr2bl w:val="nil"/>
            </w:tcBorders>
            <w:vAlign w:val="center"/>
          </w:tcPr>
          <w:p w14:paraId="78C3138A">
            <w:pPr>
              <w:pStyle w:val="41"/>
              <w:rPr>
                <w:color w:val="auto"/>
                <w:highlight w:val="none"/>
              </w:rPr>
            </w:pPr>
            <w:r>
              <w:rPr>
                <w:rFonts w:hint="eastAsia"/>
                <w:color w:val="auto"/>
                <w:highlight w:val="none"/>
              </w:rPr>
              <w:t>粗中碎车间</w:t>
            </w:r>
          </w:p>
        </w:tc>
        <w:tc>
          <w:tcPr>
            <w:tcW w:w="1394" w:type="dxa"/>
            <w:tcBorders>
              <w:tl2br w:val="nil"/>
              <w:tr2bl w:val="nil"/>
            </w:tcBorders>
            <w:vAlign w:val="center"/>
          </w:tcPr>
          <w:p w14:paraId="6ED19ABA">
            <w:pPr>
              <w:pStyle w:val="41"/>
              <w:rPr>
                <w:color w:val="auto"/>
                <w:highlight w:val="none"/>
              </w:rPr>
            </w:pPr>
            <w:r>
              <w:rPr>
                <w:color w:val="auto"/>
                <w:highlight w:val="none"/>
              </w:rPr>
              <w:t>颗粒物</w:t>
            </w:r>
          </w:p>
        </w:tc>
        <w:tc>
          <w:tcPr>
            <w:tcW w:w="1125" w:type="dxa"/>
            <w:tcBorders>
              <w:tl2br w:val="nil"/>
              <w:tr2bl w:val="nil"/>
            </w:tcBorders>
            <w:vAlign w:val="center"/>
          </w:tcPr>
          <w:p w14:paraId="7A29CCAD">
            <w:pPr>
              <w:pStyle w:val="41"/>
              <w:rPr>
                <w:color w:val="auto"/>
                <w:highlight w:val="none"/>
              </w:rPr>
            </w:pPr>
            <w:r>
              <w:rPr>
                <w:color w:val="auto"/>
                <w:highlight w:val="none"/>
              </w:rPr>
              <w:t>连续</w:t>
            </w:r>
          </w:p>
        </w:tc>
        <w:tc>
          <w:tcPr>
            <w:tcW w:w="2827" w:type="dxa"/>
            <w:tcBorders>
              <w:tl2br w:val="nil"/>
              <w:tr2bl w:val="nil"/>
            </w:tcBorders>
            <w:vAlign w:val="center"/>
          </w:tcPr>
          <w:p w14:paraId="36922EB7">
            <w:pPr>
              <w:pStyle w:val="41"/>
              <w:rPr>
                <w:color w:val="auto"/>
                <w:highlight w:val="none"/>
              </w:rPr>
            </w:pPr>
            <w:r>
              <w:rPr>
                <w:color w:val="auto"/>
                <w:highlight w:val="none"/>
              </w:rPr>
              <w:t>设集气装置+布袋除尘器，除尘后经1根</w:t>
            </w:r>
            <w:r>
              <w:rPr>
                <w:rFonts w:hint="eastAsia"/>
                <w:color w:val="auto"/>
                <w:highlight w:val="none"/>
              </w:rPr>
              <w:t>25</w:t>
            </w:r>
            <w:r>
              <w:rPr>
                <w:color w:val="auto"/>
                <w:highlight w:val="none"/>
              </w:rPr>
              <w:t>m高排气筒排放。</w:t>
            </w:r>
          </w:p>
        </w:tc>
      </w:tr>
      <w:tr w14:paraId="14ABB5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32" w:type="dxa"/>
            <w:vMerge w:val="continue"/>
            <w:tcBorders>
              <w:tl2br w:val="nil"/>
              <w:tr2bl w:val="nil"/>
            </w:tcBorders>
            <w:vAlign w:val="center"/>
          </w:tcPr>
          <w:p w14:paraId="0A78C05A">
            <w:pPr>
              <w:pStyle w:val="41"/>
              <w:rPr>
                <w:color w:val="auto"/>
                <w:highlight w:val="none"/>
              </w:rPr>
            </w:pPr>
          </w:p>
        </w:tc>
        <w:tc>
          <w:tcPr>
            <w:tcW w:w="642" w:type="dxa"/>
            <w:vMerge w:val="continue"/>
            <w:tcBorders>
              <w:tl2br w:val="nil"/>
              <w:tr2bl w:val="nil"/>
            </w:tcBorders>
            <w:vAlign w:val="center"/>
          </w:tcPr>
          <w:p w14:paraId="5577F33E">
            <w:pPr>
              <w:pStyle w:val="41"/>
              <w:rPr>
                <w:color w:val="auto"/>
                <w:highlight w:val="none"/>
              </w:rPr>
            </w:pPr>
          </w:p>
        </w:tc>
        <w:tc>
          <w:tcPr>
            <w:tcW w:w="588" w:type="dxa"/>
            <w:tcBorders>
              <w:tl2br w:val="nil"/>
              <w:tr2bl w:val="nil"/>
            </w:tcBorders>
            <w:vAlign w:val="center"/>
          </w:tcPr>
          <w:p w14:paraId="75BB745A">
            <w:pPr>
              <w:pStyle w:val="41"/>
              <w:rPr>
                <w:color w:val="auto"/>
                <w:highlight w:val="none"/>
              </w:rPr>
            </w:pPr>
            <w:r>
              <w:rPr>
                <w:color w:val="auto"/>
                <w:highlight w:val="none"/>
              </w:rPr>
              <w:t>G</w:t>
            </w:r>
            <w:r>
              <w:rPr>
                <w:rFonts w:hint="eastAsia"/>
                <w:color w:val="auto"/>
                <w:highlight w:val="none"/>
              </w:rPr>
              <w:t>3</w:t>
            </w:r>
          </w:p>
        </w:tc>
        <w:tc>
          <w:tcPr>
            <w:tcW w:w="1199" w:type="dxa"/>
            <w:tcBorders>
              <w:tl2br w:val="nil"/>
              <w:tr2bl w:val="nil"/>
            </w:tcBorders>
            <w:vAlign w:val="center"/>
          </w:tcPr>
          <w:p w14:paraId="336B90F0">
            <w:pPr>
              <w:pStyle w:val="41"/>
              <w:rPr>
                <w:color w:val="auto"/>
                <w:highlight w:val="none"/>
              </w:rPr>
            </w:pPr>
            <w:r>
              <w:rPr>
                <w:rFonts w:hint="eastAsia"/>
                <w:color w:val="auto"/>
                <w:highlight w:val="none"/>
              </w:rPr>
              <w:t>细</w:t>
            </w:r>
            <w:r>
              <w:rPr>
                <w:color w:val="auto"/>
                <w:highlight w:val="none"/>
              </w:rPr>
              <w:t>碎车间</w:t>
            </w:r>
          </w:p>
        </w:tc>
        <w:tc>
          <w:tcPr>
            <w:tcW w:w="1394" w:type="dxa"/>
            <w:tcBorders>
              <w:tl2br w:val="nil"/>
              <w:tr2bl w:val="nil"/>
            </w:tcBorders>
            <w:vAlign w:val="center"/>
          </w:tcPr>
          <w:p w14:paraId="40A424EC">
            <w:pPr>
              <w:pStyle w:val="41"/>
              <w:rPr>
                <w:color w:val="auto"/>
                <w:highlight w:val="none"/>
              </w:rPr>
            </w:pPr>
            <w:r>
              <w:rPr>
                <w:color w:val="auto"/>
                <w:highlight w:val="none"/>
              </w:rPr>
              <w:t>颗粒物</w:t>
            </w:r>
          </w:p>
        </w:tc>
        <w:tc>
          <w:tcPr>
            <w:tcW w:w="1125" w:type="dxa"/>
            <w:tcBorders>
              <w:tl2br w:val="nil"/>
              <w:tr2bl w:val="nil"/>
            </w:tcBorders>
            <w:vAlign w:val="center"/>
          </w:tcPr>
          <w:p w14:paraId="7429547D">
            <w:pPr>
              <w:pStyle w:val="41"/>
              <w:rPr>
                <w:color w:val="auto"/>
                <w:highlight w:val="none"/>
              </w:rPr>
            </w:pPr>
            <w:r>
              <w:rPr>
                <w:color w:val="auto"/>
                <w:highlight w:val="none"/>
              </w:rPr>
              <w:t>连续</w:t>
            </w:r>
          </w:p>
        </w:tc>
        <w:tc>
          <w:tcPr>
            <w:tcW w:w="2827" w:type="dxa"/>
            <w:tcBorders>
              <w:tl2br w:val="nil"/>
              <w:tr2bl w:val="nil"/>
            </w:tcBorders>
            <w:vAlign w:val="center"/>
          </w:tcPr>
          <w:p w14:paraId="0B74A35C">
            <w:pPr>
              <w:pStyle w:val="41"/>
              <w:rPr>
                <w:color w:val="auto"/>
                <w:highlight w:val="none"/>
              </w:rPr>
            </w:pPr>
            <w:r>
              <w:rPr>
                <w:color w:val="auto"/>
                <w:highlight w:val="none"/>
              </w:rPr>
              <w:t>设集气装置+布袋除尘器，除尘后经1根</w:t>
            </w:r>
            <w:r>
              <w:rPr>
                <w:rFonts w:hint="eastAsia"/>
                <w:color w:val="auto"/>
                <w:highlight w:val="none"/>
              </w:rPr>
              <w:t>25</w:t>
            </w:r>
            <w:r>
              <w:rPr>
                <w:color w:val="auto"/>
                <w:highlight w:val="none"/>
              </w:rPr>
              <w:t>m高排气筒排放。</w:t>
            </w:r>
          </w:p>
        </w:tc>
      </w:tr>
      <w:tr w14:paraId="1951B8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32" w:type="dxa"/>
            <w:vMerge w:val="continue"/>
            <w:tcBorders>
              <w:tl2br w:val="nil"/>
              <w:tr2bl w:val="nil"/>
            </w:tcBorders>
            <w:vAlign w:val="center"/>
          </w:tcPr>
          <w:p w14:paraId="1A608D62">
            <w:pPr>
              <w:pStyle w:val="41"/>
              <w:rPr>
                <w:color w:val="auto"/>
                <w:highlight w:val="none"/>
              </w:rPr>
            </w:pPr>
          </w:p>
        </w:tc>
        <w:tc>
          <w:tcPr>
            <w:tcW w:w="642" w:type="dxa"/>
            <w:vMerge w:val="continue"/>
            <w:tcBorders>
              <w:tl2br w:val="nil"/>
              <w:tr2bl w:val="nil"/>
            </w:tcBorders>
            <w:vAlign w:val="center"/>
          </w:tcPr>
          <w:p w14:paraId="051CB40F">
            <w:pPr>
              <w:pStyle w:val="41"/>
              <w:rPr>
                <w:color w:val="auto"/>
                <w:highlight w:val="none"/>
              </w:rPr>
            </w:pPr>
          </w:p>
        </w:tc>
        <w:tc>
          <w:tcPr>
            <w:tcW w:w="588" w:type="dxa"/>
            <w:tcBorders>
              <w:tl2br w:val="nil"/>
              <w:tr2bl w:val="nil"/>
            </w:tcBorders>
            <w:vAlign w:val="center"/>
          </w:tcPr>
          <w:p w14:paraId="3934538E">
            <w:pPr>
              <w:pStyle w:val="41"/>
              <w:rPr>
                <w:color w:val="auto"/>
                <w:highlight w:val="none"/>
              </w:rPr>
            </w:pPr>
            <w:r>
              <w:rPr>
                <w:color w:val="auto"/>
                <w:highlight w:val="none"/>
              </w:rPr>
              <w:t>G</w:t>
            </w:r>
            <w:r>
              <w:rPr>
                <w:rFonts w:hint="eastAsia"/>
                <w:color w:val="auto"/>
                <w:highlight w:val="none"/>
              </w:rPr>
              <w:t>4</w:t>
            </w:r>
          </w:p>
        </w:tc>
        <w:tc>
          <w:tcPr>
            <w:tcW w:w="1199" w:type="dxa"/>
            <w:tcBorders>
              <w:tl2br w:val="nil"/>
              <w:tr2bl w:val="nil"/>
            </w:tcBorders>
            <w:vAlign w:val="center"/>
          </w:tcPr>
          <w:p w14:paraId="27763997">
            <w:pPr>
              <w:pStyle w:val="41"/>
              <w:rPr>
                <w:color w:val="auto"/>
                <w:highlight w:val="none"/>
              </w:rPr>
            </w:pPr>
            <w:r>
              <w:rPr>
                <w:rFonts w:hint="eastAsia"/>
                <w:color w:val="auto"/>
                <w:highlight w:val="none"/>
              </w:rPr>
              <w:t>1号振动</w:t>
            </w:r>
            <w:r>
              <w:rPr>
                <w:rFonts w:hint="eastAsia"/>
                <w:color w:val="auto"/>
                <w:highlight w:val="none"/>
                <w:lang w:eastAsia="zh-CN"/>
              </w:rPr>
              <w:t>筛分</w:t>
            </w:r>
            <w:r>
              <w:rPr>
                <w:rFonts w:hint="eastAsia"/>
                <w:color w:val="auto"/>
                <w:highlight w:val="none"/>
              </w:rPr>
              <w:t>车间</w:t>
            </w:r>
          </w:p>
        </w:tc>
        <w:tc>
          <w:tcPr>
            <w:tcW w:w="1394" w:type="dxa"/>
            <w:tcBorders>
              <w:tl2br w:val="nil"/>
              <w:tr2bl w:val="nil"/>
            </w:tcBorders>
            <w:vAlign w:val="center"/>
          </w:tcPr>
          <w:p w14:paraId="7D8C28DF">
            <w:pPr>
              <w:pStyle w:val="41"/>
              <w:rPr>
                <w:color w:val="auto"/>
                <w:highlight w:val="none"/>
              </w:rPr>
            </w:pPr>
            <w:r>
              <w:rPr>
                <w:color w:val="auto"/>
                <w:highlight w:val="none"/>
              </w:rPr>
              <w:t>颗粒物</w:t>
            </w:r>
          </w:p>
        </w:tc>
        <w:tc>
          <w:tcPr>
            <w:tcW w:w="1125" w:type="dxa"/>
            <w:tcBorders>
              <w:tl2br w:val="nil"/>
              <w:tr2bl w:val="nil"/>
            </w:tcBorders>
            <w:vAlign w:val="center"/>
          </w:tcPr>
          <w:p w14:paraId="0508FD1C">
            <w:pPr>
              <w:pStyle w:val="41"/>
              <w:rPr>
                <w:color w:val="auto"/>
                <w:highlight w:val="none"/>
              </w:rPr>
            </w:pPr>
            <w:r>
              <w:rPr>
                <w:color w:val="auto"/>
                <w:highlight w:val="none"/>
              </w:rPr>
              <w:t>连续</w:t>
            </w:r>
          </w:p>
        </w:tc>
        <w:tc>
          <w:tcPr>
            <w:tcW w:w="2827" w:type="dxa"/>
            <w:tcBorders>
              <w:tl2br w:val="nil"/>
              <w:tr2bl w:val="nil"/>
            </w:tcBorders>
            <w:vAlign w:val="center"/>
          </w:tcPr>
          <w:p w14:paraId="4AC5977F">
            <w:pPr>
              <w:pStyle w:val="41"/>
              <w:rPr>
                <w:color w:val="auto"/>
                <w:highlight w:val="none"/>
              </w:rPr>
            </w:pPr>
            <w:r>
              <w:rPr>
                <w:color w:val="auto"/>
                <w:highlight w:val="none"/>
              </w:rPr>
              <w:t>设集气装置+布袋除尘器，除尘后经1根</w:t>
            </w:r>
            <w:r>
              <w:rPr>
                <w:rFonts w:hint="eastAsia"/>
                <w:color w:val="auto"/>
                <w:highlight w:val="none"/>
              </w:rPr>
              <w:t>25</w:t>
            </w:r>
            <w:r>
              <w:rPr>
                <w:color w:val="auto"/>
                <w:highlight w:val="none"/>
              </w:rPr>
              <w:t>m高排气筒排放。</w:t>
            </w:r>
          </w:p>
        </w:tc>
      </w:tr>
      <w:tr w14:paraId="635345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32" w:type="dxa"/>
            <w:vMerge w:val="continue"/>
            <w:tcBorders>
              <w:tl2br w:val="nil"/>
              <w:tr2bl w:val="nil"/>
            </w:tcBorders>
            <w:vAlign w:val="center"/>
          </w:tcPr>
          <w:p w14:paraId="6F195C82">
            <w:pPr>
              <w:pStyle w:val="41"/>
              <w:rPr>
                <w:color w:val="auto"/>
                <w:highlight w:val="none"/>
              </w:rPr>
            </w:pPr>
          </w:p>
        </w:tc>
        <w:tc>
          <w:tcPr>
            <w:tcW w:w="642" w:type="dxa"/>
            <w:vMerge w:val="continue"/>
            <w:tcBorders>
              <w:tl2br w:val="nil"/>
              <w:tr2bl w:val="nil"/>
            </w:tcBorders>
            <w:vAlign w:val="center"/>
          </w:tcPr>
          <w:p w14:paraId="3AFED9F1">
            <w:pPr>
              <w:pStyle w:val="41"/>
              <w:rPr>
                <w:color w:val="auto"/>
                <w:highlight w:val="none"/>
              </w:rPr>
            </w:pPr>
          </w:p>
        </w:tc>
        <w:tc>
          <w:tcPr>
            <w:tcW w:w="588" w:type="dxa"/>
            <w:tcBorders>
              <w:tl2br w:val="nil"/>
              <w:tr2bl w:val="nil"/>
            </w:tcBorders>
            <w:vAlign w:val="center"/>
          </w:tcPr>
          <w:p w14:paraId="5DFBCFFC">
            <w:pPr>
              <w:pStyle w:val="41"/>
              <w:rPr>
                <w:color w:val="auto"/>
                <w:highlight w:val="none"/>
              </w:rPr>
            </w:pPr>
            <w:r>
              <w:rPr>
                <w:color w:val="auto"/>
                <w:highlight w:val="none"/>
              </w:rPr>
              <w:t>G</w:t>
            </w:r>
            <w:r>
              <w:rPr>
                <w:rFonts w:hint="eastAsia"/>
                <w:color w:val="auto"/>
                <w:highlight w:val="none"/>
              </w:rPr>
              <w:t>5</w:t>
            </w:r>
          </w:p>
        </w:tc>
        <w:tc>
          <w:tcPr>
            <w:tcW w:w="1199" w:type="dxa"/>
            <w:tcBorders>
              <w:tl2br w:val="nil"/>
              <w:tr2bl w:val="nil"/>
            </w:tcBorders>
            <w:vAlign w:val="center"/>
          </w:tcPr>
          <w:p w14:paraId="2066E3CB">
            <w:pPr>
              <w:pStyle w:val="41"/>
              <w:rPr>
                <w:color w:val="auto"/>
                <w:highlight w:val="none"/>
              </w:rPr>
            </w:pPr>
            <w:r>
              <w:rPr>
                <w:rFonts w:hint="eastAsia"/>
                <w:color w:val="auto"/>
                <w:highlight w:val="none"/>
              </w:rPr>
              <w:t>2号振动</w:t>
            </w:r>
            <w:r>
              <w:rPr>
                <w:rFonts w:hint="eastAsia"/>
                <w:color w:val="auto"/>
                <w:highlight w:val="none"/>
                <w:lang w:eastAsia="zh-CN"/>
              </w:rPr>
              <w:t>筛分</w:t>
            </w:r>
            <w:r>
              <w:rPr>
                <w:rFonts w:hint="eastAsia"/>
                <w:color w:val="auto"/>
                <w:highlight w:val="none"/>
              </w:rPr>
              <w:t>车间</w:t>
            </w:r>
          </w:p>
        </w:tc>
        <w:tc>
          <w:tcPr>
            <w:tcW w:w="1394" w:type="dxa"/>
            <w:tcBorders>
              <w:tl2br w:val="nil"/>
              <w:tr2bl w:val="nil"/>
            </w:tcBorders>
            <w:vAlign w:val="center"/>
          </w:tcPr>
          <w:p w14:paraId="263DB625">
            <w:pPr>
              <w:pStyle w:val="41"/>
              <w:rPr>
                <w:color w:val="auto"/>
                <w:highlight w:val="none"/>
              </w:rPr>
            </w:pPr>
            <w:r>
              <w:rPr>
                <w:color w:val="auto"/>
                <w:highlight w:val="none"/>
              </w:rPr>
              <w:t>颗粒物</w:t>
            </w:r>
          </w:p>
        </w:tc>
        <w:tc>
          <w:tcPr>
            <w:tcW w:w="1125" w:type="dxa"/>
            <w:tcBorders>
              <w:tl2br w:val="nil"/>
              <w:tr2bl w:val="nil"/>
            </w:tcBorders>
            <w:vAlign w:val="center"/>
          </w:tcPr>
          <w:p w14:paraId="2881634A">
            <w:pPr>
              <w:pStyle w:val="41"/>
              <w:rPr>
                <w:color w:val="auto"/>
                <w:highlight w:val="none"/>
              </w:rPr>
            </w:pPr>
            <w:r>
              <w:rPr>
                <w:color w:val="auto"/>
                <w:highlight w:val="none"/>
              </w:rPr>
              <w:t>连续</w:t>
            </w:r>
          </w:p>
        </w:tc>
        <w:tc>
          <w:tcPr>
            <w:tcW w:w="2827" w:type="dxa"/>
            <w:tcBorders>
              <w:tl2br w:val="nil"/>
              <w:tr2bl w:val="nil"/>
            </w:tcBorders>
            <w:vAlign w:val="center"/>
          </w:tcPr>
          <w:p w14:paraId="2CB62918">
            <w:pPr>
              <w:pStyle w:val="41"/>
              <w:rPr>
                <w:color w:val="auto"/>
                <w:highlight w:val="none"/>
              </w:rPr>
            </w:pPr>
            <w:r>
              <w:rPr>
                <w:color w:val="auto"/>
                <w:highlight w:val="none"/>
              </w:rPr>
              <w:t>设集气装置+布袋除尘器，除尘后经1根</w:t>
            </w:r>
            <w:r>
              <w:rPr>
                <w:rFonts w:hint="eastAsia"/>
                <w:color w:val="auto"/>
                <w:highlight w:val="none"/>
              </w:rPr>
              <w:t>25</w:t>
            </w:r>
            <w:r>
              <w:rPr>
                <w:color w:val="auto"/>
                <w:highlight w:val="none"/>
              </w:rPr>
              <w:t>m高排气筒排放。</w:t>
            </w:r>
          </w:p>
        </w:tc>
      </w:tr>
      <w:tr w14:paraId="096AB2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32" w:type="dxa"/>
            <w:vMerge w:val="continue"/>
            <w:tcBorders>
              <w:tl2br w:val="nil"/>
              <w:tr2bl w:val="nil"/>
            </w:tcBorders>
            <w:vAlign w:val="center"/>
          </w:tcPr>
          <w:p w14:paraId="0C9B39EC">
            <w:pPr>
              <w:pStyle w:val="41"/>
              <w:rPr>
                <w:color w:val="auto"/>
                <w:highlight w:val="none"/>
              </w:rPr>
            </w:pPr>
          </w:p>
        </w:tc>
        <w:tc>
          <w:tcPr>
            <w:tcW w:w="642" w:type="dxa"/>
            <w:vMerge w:val="continue"/>
            <w:tcBorders>
              <w:tl2br w:val="nil"/>
              <w:tr2bl w:val="nil"/>
            </w:tcBorders>
            <w:vAlign w:val="center"/>
          </w:tcPr>
          <w:p w14:paraId="3A09C59D">
            <w:pPr>
              <w:pStyle w:val="41"/>
              <w:rPr>
                <w:color w:val="auto"/>
                <w:highlight w:val="none"/>
              </w:rPr>
            </w:pPr>
          </w:p>
        </w:tc>
        <w:tc>
          <w:tcPr>
            <w:tcW w:w="588" w:type="dxa"/>
            <w:tcBorders>
              <w:tl2br w:val="nil"/>
              <w:tr2bl w:val="nil"/>
            </w:tcBorders>
            <w:vAlign w:val="center"/>
          </w:tcPr>
          <w:p w14:paraId="23EED853">
            <w:pPr>
              <w:pStyle w:val="41"/>
              <w:rPr>
                <w:color w:val="auto"/>
                <w:highlight w:val="none"/>
              </w:rPr>
            </w:pPr>
            <w:r>
              <w:rPr>
                <w:color w:val="auto"/>
                <w:highlight w:val="none"/>
              </w:rPr>
              <w:t>G</w:t>
            </w:r>
            <w:r>
              <w:rPr>
                <w:rFonts w:hint="eastAsia"/>
                <w:color w:val="auto"/>
                <w:highlight w:val="none"/>
              </w:rPr>
              <w:t>6</w:t>
            </w:r>
          </w:p>
        </w:tc>
        <w:tc>
          <w:tcPr>
            <w:tcW w:w="1199" w:type="dxa"/>
            <w:tcBorders>
              <w:tl2br w:val="nil"/>
              <w:tr2bl w:val="nil"/>
            </w:tcBorders>
            <w:vAlign w:val="center"/>
          </w:tcPr>
          <w:p w14:paraId="1CEDBC26">
            <w:pPr>
              <w:pStyle w:val="41"/>
              <w:rPr>
                <w:color w:val="auto"/>
                <w:highlight w:val="none"/>
              </w:rPr>
            </w:pPr>
            <w:r>
              <w:rPr>
                <w:rFonts w:hint="eastAsia"/>
                <w:color w:val="auto"/>
                <w:highlight w:val="none"/>
              </w:rPr>
              <w:t>3号振动</w:t>
            </w:r>
            <w:r>
              <w:rPr>
                <w:rFonts w:hint="eastAsia"/>
                <w:color w:val="auto"/>
                <w:highlight w:val="none"/>
                <w:lang w:eastAsia="zh-CN"/>
              </w:rPr>
              <w:t>筛分</w:t>
            </w:r>
            <w:r>
              <w:rPr>
                <w:rFonts w:hint="eastAsia"/>
                <w:color w:val="auto"/>
                <w:highlight w:val="none"/>
              </w:rPr>
              <w:t>车间</w:t>
            </w:r>
          </w:p>
        </w:tc>
        <w:tc>
          <w:tcPr>
            <w:tcW w:w="1394" w:type="dxa"/>
            <w:tcBorders>
              <w:tl2br w:val="nil"/>
              <w:tr2bl w:val="nil"/>
            </w:tcBorders>
            <w:vAlign w:val="center"/>
          </w:tcPr>
          <w:p w14:paraId="6757C908">
            <w:pPr>
              <w:pStyle w:val="41"/>
              <w:rPr>
                <w:color w:val="auto"/>
                <w:highlight w:val="none"/>
              </w:rPr>
            </w:pPr>
            <w:r>
              <w:rPr>
                <w:color w:val="auto"/>
                <w:highlight w:val="none"/>
              </w:rPr>
              <w:t>颗粒物</w:t>
            </w:r>
          </w:p>
        </w:tc>
        <w:tc>
          <w:tcPr>
            <w:tcW w:w="1125" w:type="dxa"/>
            <w:tcBorders>
              <w:tl2br w:val="nil"/>
              <w:tr2bl w:val="nil"/>
            </w:tcBorders>
            <w:vAlign w:val="center"/>
          </w:tcPr>
          <w:p w14:paraId="2DC81FD5">
            <w:pPr>
              <w:pStyle w:val="41"/>
              <w:rPr>
                <w:color w:val="auto"/>
                <w:highlight w:val="none"/>
              </w:rPr>
            </w:pPr>
            <w:r>
              <w:rPr>
                <w:color w:val="auto"/>
                <w:highlight w:val="none"/>
              </w:rPr>
              <w:t>连续</w:t>
            </w:r>
          </w:p>
        </w:tc>
        <w:tc>
          <w:tcPr>
            <w:tcW w:w="2827" w:type="dxa"/>
            <w:tcBorders>
              <w:tl2br w:val="nil"/>
              <w:tr2bl w:val="nil"/>
            </w:tcBorders>
            <w:vAlign w:val="center"/>
          </w:tcPr>
          <w:p w14:paraId="713B4248">
            <w:pPr>
              <w:pStyle w:val="41"/>
              <w:rPr>
                <w:color w:val="auto"/>
                <w:highlight w:val="none"/>
              </w:rPr>
            </w:pPr>
            <w:r>
              <w:rPr>
                <w:color w:val="auto"/>
                <w:highlight w:val="none"/>
              </w:rPr>
              <w:t>设集气装置+布袋除尘器，除尘后经1根</w:t>
            </w:r>
            <w:r>
              <w:rPr>
                <w:rFonts w:hint="eastAsia"/>
                <w:color w:val="auto"/>
                <w:highlight w:val="none"/>
              </w:rPr>
              <w:t>25</w:t>
            </w:r>
            <w:r>
              <w:rPr>
                <w:color w:val="auto"/>
                <w:highlight w:val="none"/>
              </w:rPr>
              <w:t>m高排气筒排放。</w:t>
            </w:r>
          </w:p>
        </w:tc>
      </w:tr>
      <w:tr w14:paraId="2F5DA1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732" w:type="dxa"/>
            <w:vMerge w:val="continue"/>
            <w:tcBorders>
              <w:tl2br w:val="nil"/>
              <w:tr2bl w:val="nil"/>
            </w:tcBorders>
            <w:vAlign w:val="center"/>
          </w:tcPr>
          <w:p w14:paraId="5D4FADF2">
            <w:pPr>
              <w:pStyle w:val="41"/>
              <w:rPr>
                <w:color w:val="auto"/>
                <w:highlight w:val="none"/>
              </w:rPr>
            </w:pPr>
          </w:p>
        </w:tc>
        <w:tc>
          <w:tcPr>
            <w:tcW w:w="642" w:type="dxa"/>
            <w:vMerge w:val="continue"/>
            <w:tcBorders>
              <w:tl2br w:val="nil"/>
              <w:tr2bl w:val="nil"/>
            </w:tcBorders>
            <w:vAlign w:val="center"/>
          </w:tcPr>
          <w:p w14:paraId="54D11300">
            <w:pPr>
              <w:pStyle w:val="41"/>
              <w:rPr>
                <w:color w:val="auto"/>
                <w:highlight w:val="none"/>
              </w:rPr>
            </w:pPr>
          </w:p>
        </w:tc>
        <w:tc>
          <w:tcPr>
            <w:tcW w:w="588" w:type="dxa"/>
            <w:tcBorders>
              <w:tl2br w:val="nil"/>
              <w:tr2bl w:val="nil"/>
            </w:tcBorders>
            <w:vAlign w:val="center"/>
          </w:tcPr>
          <w:p w14:paraId="73D2CB07">
            <w:pPr>
              <w:pStyle w:val="41"/>
              <w:rPr>
                <w:color w:val="auto"/>
                <w:highlight w:val="none"/>
              </w:rPr>
            </w:pPr>
            <w:r>
              <w:rPr>
                <w:color w:val="auto"/>
                <w:highlight w:val="none"/>
              </w:rPr>
              <w:t>G</w:t>
            </w:r>
            <w:r>
              <w:rPr>
                <w:rFonts w:hint="eastAsia"/>
                <w:color w:val="auto"/>
                <w:highlight w:val="none"/>
              </w:rPr>
              <w:t>7</w:t>
            </w:r>
          </w:p>
        </w:tc>
        <w:tc>
          <w:tcPr>
            <w:tcW w:w="1199" w:type="dxa"/>
            <w:tcBorders>
              <w:tl2br w:val="nil"/>
              <w:tr2bl w:val="nil"/>
            </w:tcBorders>
            <w:vAlign w:val="center"/>
          </w:tcPr>
          <w:p w14:paraId="78C3B830">
            <w:pPr>
              <w:pStyle w:val="41"/>
              <w:rPr>
                <w:color w:val="auto"/>
                <w:highlight w:val="none"/>
              </w:rPr>
            </w:pPr>
            <w:r>
              <w:rPr>
                <w:rFonts w:hint="eastAsia"/>
                <w:color w:val="auto"/>
                <w:highlight w:val="none"/>
              </w:rPr>
              <w:t>干抛磁选车间</w:t>
            </w:r>
          </w:p>
        </w:tc>
        <w:tc>
          <w:tcPr>
            <w:tcW w:w="1394" w:type="dxa"/>
            <w:tcBorders>
              <w:tl2br w:val="nil"/>
              <w:tr2bl w:val="nil"/>
            </w:tcBorders>
            <w:vAlign w:val="center"/>
          </w:tcPr>
          <w:p w14:paraId="077DF1F7">
            <w:pPr>
              <w:pStyle w:val="41"/>
              <w:rPr>
                <w:color w:val="auto"/>
                <w:highlight w:val="none"/>
              </w:rPr>
            </w:pPr>
            <w:r>
              <w:rPr>
                <w:color w:val="auto"/>
                <w:highlight w:val="none"/>
              </w:rPr>
              <w:t>颗粒物</w:t>
            </w:r>
          </w:p>
        </w:tc>
        <w:tc>
          <w:tcPr>
            <w:tcW w:w="1125" w:type="dxa"/>
            <w:tcBorders>
              <w:tl2br w:val="nil"/>
              <w:tr2bl w:val="nil"/>
            </w:tcBorders>
            <w:vAlign w:val="center"/>
          </w:tcPr>
          <w:p w14:paraId="05B85332">
            <w:pPr>
              <w:pStyle w:val="41"/>
              <w:rPr>
                <w:color w:val="auto"/>
                <w:highlight w:val="none"/>
              </w:rPr>
            </w:pPr>
            <w:r>
              <w:rPr>
                <w:color w:val="auto"/>
                <w:highlight w:val="none"/>
              </w:rPr>
              <w:t>连续</w:t>
            </w:r>
          </w:p>
        </w:tc>
        <w:tc>
          <w:tcPr>
            <w:tcW w:w="2827" w:type="dxa"/>
            <w:tcBorders>
              <w:tl2br w:val="nil"/>
              <w:tr2bl w:val="nil"/>
            </w:tcBorders>
            <w:vAlign w:val="center"/>
          </w:tcPr>
          <w:p w14:paraId="716AF59E">
            <w:pPr>
              <w:pStyle w:val="41"/>
              <w:rPr>
                <w:color w:val="auto"/>
                <w:highlight w:val="none"/>
              </w:rPr>
            </w:pPr>
            <w:r>
              <w:rPr>
                <w:color w:val="auto"/>
                <w:highlight w:val="none"/>
              </w:rPr>
              <w:t>设集气装置+布袋除尘器，除尘后经1根</w:t>
            </w:r>
            <w:r>
              <w:rPr>
                <w:rFonts w:hint="eastAsia"/>
                <w:color w:val="auto"/>
                <w:highlight w:val="none"/>
              </w:rPr>
              <w:t>25</w:t>
            </w:r>
            <w:r>
              <w:rPr>
                <w:color w:val="auto"/>
                <w:highlight w:val="none"/>
              </w:rPr>
              <w:t>m高排气筒排放。</w:t>
            </w:r>
          </w:p>
        </w:tc>
      </w:tr>
      <w:tr w14:paraId="1D425C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32" w:type="dxa"/>
            <w:vMerge w:val="continue"/>
            <w:tcBorders>
              <w:tl2br w:val="nil"/>
              <w:tr2bl w:val="nil"/>
            </w:tcBorders>
            <w:vAlign w:val="center"/>
          </w:tcPr>
          <w:p w14:paraId="35FD92C4">
            <w:pPr>
              <w:pStyle w:val="41"/>
              <w:rPr>
                <w:color w:val="auto"/>
                <w:highlight w:val="none"/>
              </w:rPr>
            </w:pPr>
          </w:p>
        </w:tc>
        <w:tc>
          <w:tcPr>
            <w:tcW w:w="642" w:type="dxa"/>
            <w:vMerge w:val="continue"/>
            <w:tcBorders>
              <w:tl2br w:val="nil"/>
              <w:tr2bl w:val="nil"/>
            </w:tcBorders>
            <w:vAlign w:val="center"/>
          </w:tcPr>
          <w:p w14:paraId="5BF44B5C">
            <w:pPr>
              <w:pStyle w:val="41"/>
              <w:rPr>
                <w:color w:val="auto"/>
                <w:highlight w:val="none"/>
              </w:rPr>
            </w:pPr>
          </w:p>
        </w:tc>
        <w:tc>
          <w:tcPr>
            <w:tcW w:w="588" w:type="dxa"/>
            <w:tcBorders>
              <w:tl2br w:val="nil"/>
              <w:tr2bl w:val="nil"/>
            </w:tcBorders>
            <w:vAlign w:val="center"/>
          </w:tcPr>
          <w:p w14:paraId="45FBE050">
            <w:pPr>
              <w:pStyle w:val="41"/>
              <w:rPr>
                <w:color w:val="auto"/>
                <w:highlight w:val="none"/>
              </w:rPr>
            </w:pPr>
            <w:r>
              <w:rPr>
                <w:color w:val="auto"/>
                <w:highlight w:val="none"/>
              </w:rPr>
              <w:t>G</w:t>
            </w:r>
            <w:r>
              <w:rPr>
                <w:rFonts w:hint="eastAsia"/>
                <w:color w:val="auto"/>
                <w:highlight w:val="none"/>
              </w:rPr>
              <w:t>8</w:t>
            </w:r>
          </w:p>
        </w:tc>
        <w:tc>
          <w:tcPr>
            <w:tcW w:w="1199" w:type="dxa"/>
            <w:tcBorders>
              <w:tl2br w:val="nil"/>
              <w:tr2bl w:val="nil"/>
            </w:tcBorders>
            <w:vAlign w:val="center"/>
          </w:tcPr>
          <w:p w14:paraId="6AD9395F">
            <w:pPr>
              <w:pStyle w:val="41"/>
              <w:rPr>
                <w:color w:val="auto"/>
                <w:highlight w:val="none"/>
              </w:rPr>
            </w:pPr>
            <w:r>
              <w:rPr>
                <w:color w:val="auto"/>
                <w:highlight w:val="none"/>
              </w:rPr>
              <w:t>烘干间锅炉</w:t>
            </w:r>
          </w:p>
        </w:tc>
        <w:tc>
          <w:tcPr>
            <w:tcW w:w="1394" w:type="dxa"/>
            <w:tcBorders>
              <w:tl2br w:val="nil"/>
              <w:tr2bl w:val="nil"/>
            </w:tcBorders>
            <w:vAlign w:val="center"/>
          </w:tcPr>
          <w:p w14:paraId="2A7AE953">
            <w:pPr>
              <w:pStyle w:val="41"/>
              <w:rPr>
                <w:color w:val="auto"/>
                <w:highlight w:val="none"/>
              </w:rPr>
            </w:pPr>
            <w:r>
              <w:rPr>
                <w:color w:val="auto"/>
                <w:highlight w:val="none"/>
              </w:rPr>
              <w:t>颗粒物、二氧化硫、氮氧化物</w:t>
            </w:r>
          </w:p>
        </w:tc>
        <w:tc>
          <w:tcPr>
            <w:tcW w:w="1125" w:type="dxa"/>
            <w:tcBorders>
              <w:tl2br w:val="nil"/>
              <w:tr2bl w:val="nil"/>
            </w:tcBorders>
            <w:vAlign w:val="center"/>
          </w:tcPr>
          <w:p w14:paraId="4855D9B6">
            <w:pPr>
              <w:pStyle w:val="41"/>
              <w:rPr>
                <w:color w:val="auto"/>
                <w:highlight w:val="none"/>
              </w:rPr>
            </w:pPr>
            <w:r>
              <w:rPr>
                <w:color w:val="auto"/>
                <w:highlight w:val="none"/>
              </w:rPr>
              <w:t>连续</w:t>
            </w:r>
          </w:p>
        </w:tc>
        <w:tc>
          <w:tcPr>
            <w:tcW w:w="2827" w:type="dxa"/>
            <w:tcBorders>
              <w:tl2br w:val="nil"/>
              <w:tr2bl w:val="nil"/>
            </w:tcBorders>
            <w:vAlign w:val="center"/>
          </w:tcPr>
          <w:p w14:paraId="02233F5C">
            <w:pPr>
              <w:pStyle w:val="41"/>
              <w:rPr>
                <w:color w:val="auto"/>
                <w:highlight w:val="none"/>
              </w:rPr>
            </w:pPr>
            <w:r>
              <w:rPr>
                <w:color w:val="auto"/>
                <w:highlight w:val="none"/>
              </w:rPr>
              <w:t>废气治理设施采用“布袋除尘器+</w:t>
            </w:r>
            <w:r>
              <w:rPr>
                <w:rFonts w:hint="eastAsia"/>
                <w:color w:val="auto"/>
                <w:highlight w:val="none"/>
              </w:rPr>
              <w:t>双碱法脱硫</w:t>
            </w:r>
            <w:r>
              <w:rPr>
                <w:color w:val="auto"/>
                <w:highlight w:val="none"/>
              </w:rPr>
              <w:t>”处理达标后排放，通过一根</w:t>
            </w:r>
            <w:r>
              <w:rPr>
                <w:rFonts w:hint="eastAsia"/>
                <w:color w:val="auto"/>
                <w:highlight w:val="none"/>
              </w:rPr>
              <w:t>25</w:t>
            </w:r>
            <w:r>
              <w:rPr>
                <w:color w:val="auto"/>
                <w:highlight w:val="none"/>
              </w:rPr>
              <w:t>m高烟囱排放</w:t>
            </w:r>
          </w:p>
        </w:tc>
      </w:tr>
      <w:tr w14:paraId="0848EA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32" w:type="dxa"/>
            <w:vMerge w:val="continue"/>
            <w:tcBorders>
              <w:tl2br w:val="nil"/>
              <w:tr2bl w:val="nil"/>
            </w:tcBorders>
            <w:vAlign w:val="center"/>
          </w:tcPr>
          <w:p w14:paraId="1EAB8170">
            <w:pPr>
              <w:pStyle w:val="41"/>
              <w:rPr>
                <w:color w:val="auto"/>
                <w:highlight w:val="none"/>
              </w:rPr>
            </w:pPr>
          </w:p>
        </w:tc>
        <w:tc>
          <w:tcPr>
            <w:tcW w:w="642" w:type="dxa"/>
            <w:vMerge w:val="continue"/>
            <w:tcBorders>
              <w:tl2br w:val="nil"/>
              <w:tr2bl w:val="nil"/>
            </w:tcBorders>
            <w:vAlign w:val="center"/>
          </w:tcPr>
          <w:p w14:paraId="06AC06A8">
            <w:pPr>
              <w:pStyle w:val="41"/>
              <w:rPr>
                <w:color w:val="auto"/>
                <w:highlight w:val="none"/>
              </w:rPr>
            </w:pPr>
          </w:p>
        </w:tc>
        <w:tc>
          <w:tcPr>
            <w:tcW w:w="588" w:type="dxa"/>
            <w:tcBorders>
              <w:tl2br w:val="nil"/>
              <w:tr2bl w:val="nil"/>
            </w:tcBorders>
            <w:vAlign w:val="center"/>
          </w:tcPr>
          <w:p w14:paraId="1C1DCE91">
            <w:pPr>
              <w:pStyle w:val="41"/>
              <w:rPr>
                <w:rFonts w:hint="eastAsia" w:eastAsia="华文中宋"/>
                <w:color w:val="auto"/>
                <w:highlight w:val="none"/>
                <w:lang w:eastAsia="zh-CN"/>
              </w:rPr>
            </w:pPr>
            <w:r>
              <w:rPr>
                <w:color w:val="auto"/>
                <w:highlight w:val="none"/>
              </w:rPr>
              <w:t>G</w:t>
            </w:r>
            <w:r>
              <w:rPr>
                <w:rFonts w:hint="eastAsia"/>
                <w:color w:val="auto"/>
                <w:highlight w:val="none"/>
                <w:lang w:val="en-US" w:eastAsia="zh-CN"/>
              </w:rPr>
              <w:t>9</w:t>
            </w:r>
          </w:p>
        </w:tc>
        <w:tc>
          <w:tcPr>
            <w:tcW w:w="1199" w:type="dxa"/>
            <w:tcBorders>
              <w:tl2br w:val="nil"/>
              <w:tr2bl w:val="nil"/>
            </w:tcBorders>
            <w:vAlign w:val="center"/>
          </w:tcPr>
          <w:p w14:paraId="3D886832">
            <w:pPr>
              <w:pStyle w:val="41"/>
              <w:rPr>
                <w:color w:val="auto"/>
                <w:highlight w:val="none"/>
              </w:rPr>
            </w:pPr>
            <w:r>
              <w:rPr>
                <w:rFonts w:hint="eastAsia"/>
                <w:color w:val="auto"/>
                <w:highlight w:val="none"/>
                <w:lang w:eastAsia="zh-CN"/>
              </w:rPr>
              <w:t>食堂油烟</w:t>
            </w:r>
          </w:p>
        </w:tc>
        <w:tc>
          <w:tcPr>
            <w:tcW w:w="1394" w:type="dxa"/>
            <w:tcBorders>
              <w:tl2br w:val="nil"/>
              <w:tr2bl w:val="nil"/>
            </w:tcBorders>
            <w:vAlign w:val="center"/>
          </w:tcPr>
          <w:p w14:paraId="06B8C01C">
            <w:pPr>
              <w:pStyle w:val="41"/>
              <w:rPr>
                <w:rFonts w:hint="eastAsia" w:eastAsia="华文中宋"/>
                <w:color w:val="auto"/>
                <w:highlight w:val="none"/>
                <w:lang w:eastAsia="zh-CN"/>
              </w:rPr>
            </w:pPr>
            <w:r>
              <w:rPr>
                <w:rFonts w:hint="eastAsia"/>
                <w:color w:val="auto"/>
                <w:highlight w:val="none"/>
                <w:lang w:eastAsia="zh-CN"/>
              </w:rPr>
              <w:t>油烟烟气</w:t>
            </w:r>
          </w:p>
        </w:tc>
        <w:tc>
          <w:tcPr>
            <w:tcW w:w="1125" w:type="dxa"/>
            <w:tcBorders>
              <w:tl2br w:val="nil"/>
              <w:tr2bl w:val="nil"/>
            </w:tcBorders>
            <w:vAlign w:val="center"/>
          </w:tcPr>
          <w:p w14:paraId="2C6BF8E6">
            <w:pPr>
              <w:pStyle w:val="41"/>
              <w:rPr>
                <w:color w:val="auto"/>
                <w:highlight w:val="none"/>
              </w:rPr>
            </w:pPr>
            <w:r>
              <w:rPr>
                <w:color w:val="auto"/>
                <w:highlight w:val="none"/>
              </w:rPr>
              <w:t>间断</w:t>
            </w:r>
          </w:p>
        </w:tc>
        <w:tc>
          <w:tcPr>
            <w:tcW w:w="2827" w:type="dxa"/>
            <w:tcBorders>
              <w:tl2br w:val="nil"/>
              <w:tr2bl w:val="nil"/>
            </w:tcBorders>
            <w:vAlign w:val="center"/>
          </w:tcPr>
          <w:p w14:paraId="0AD4AF41">
            <w:pPr>
              <w:pStyle w:val="41"/>
              <w:rPr>
                <w:rFonts w:hint="eastAsia" w:eastAsia="华文中宋"/>
                <w:color w:val="auto"/>
                <w:highlight w:val="none"/>
                <w:lang w:eastAsia="zh-CN"/>
              </w:rPr>
            </w:pPr>
            <w:r>
              <w:rPr>
                <w:rFonts w:hint="eastAsia"/>
                <w:color w:val="auto"/>
                <w:highlight w:val="none"/>
                <w:lang w:eastAsia="zh-CN"/>
              </w:rPr>
              <w:t>油烟净化装置</w:t>
            </w:r>
          </w:p>
        </w:tc>
      </w:tr>
      <w:tr w14:paraId="683EA9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085" w:hRule="atLeast"/>
          <w:jc w:val="center"/>
        </w:trPr>
        <w:tc>
          <w:tcPr>
            <w:tcW w:w="732" w:type="dxa"/>
            <w:vMerge w:val="continue"/>
            <w:tcBorders>
              <w:tl2br w:val="nil"/>
              <w:tr2bl w:val="nil"/>
            </w:tcBorders>
            <w:vAlign w:val="center"/>
          </w:tcPr>
          <w:p w14:paraId="199F9309">
            <w:pPr>
              <w:pStyle w:val="41"/>
              <w:rPr>
                <w:color w:val="auto"/>
                <w:highlight w:val="none"/>
              </w:rPr>
            </w:pPr>
          </w:p>
        </w:tc>
        <w:tc>
          <w:tcPr>
            <w:tcW w:w="1230" w:type="dxa"/>
            <w:gridSpan w:val="2"/>
            <w:tcBorders>
              <w:tl2br w:val="nil"/>
              <w:tr2bl w:val="nil"/>
            </w:tcBorders>
            <w:vAlign w:val="center"/>
          </w:tcPr>
          <w:p w14:paraId="0D9E9BBB">
            <w:pPr>
              <w:pStyle w:val="41"/>
              <w:rPr>
                <w:color w:val="auto"/>
                <w:highlight w:val="none"/>
              </w:rPr>
            </w:pPr>
            <w:r>
              <w:rPr>
                <w:color w:val="auto"/>
                <w:highlight w:val="none"/>
              </w:rPr>
              <w:t>无组织</w:t>
            </w:r>
          </w:p>
        </w:tc>
        <w:tc>
          <w:tcPr>
            <w:tcW w:w="1199" w:type="dxa"/>
            <w:tcBorders>
              <w:tl2br w:val="nil"/>
              <w:tr2bl w:val="nil"/>
            </w:tcBorders>
            <w:vAlign w:val="center"/>
          </w:tcPr>
          <w:p w14:paraId="18C90B7C">
            <w:pPr>
              <w:pStyle w:val="41"/>
              <w:rPr>
                <w:color w:val="auto"/>
                <w:highlight w:val="none"/>
              </w:rPr>
            </w:pPr>
            <w:r>
              <w:rPr>
                <w:color w:val="auto"/>
                <w:highlight w:val="none"/>
              </w:rPr>
              <w:t>生产装置区、</w:t>
            </w:r>
            <w:r>
              <w:rPr>
                <w:rFonts w:hint="eastAsia"/>
                <w:color w:val="auto"/>
                <w:highlight w:val="none"/>
                <w:lang w:eastAsia="zh-CN"/>
              </w:rPr>
              <w:t>原矿堆库</w:t>
            </w:r>
            <w:r>
              <w:rPr>
                <w:color w:val="auto"/>
                <w:highlight w:val="none"/>
              </w:rPr>
              <w:t>、</w:t>
            </w:r>
            <w:r>
              <w:rPr>
                <w:rFonts w:hint="eastAsia"/>
                <w:color w:val="auto"/>
                <w:highlight w:val="none"/>
                <w:lang w:eastAsia="zh-CN"/>
              </w:rPr>
              <w:t>尾矿库、</w:t>
            </w:r>
            <w:r>
              <w:rPr>
                <w:color w:val="auto"/>
                <w:highlight w:val="none"/>
              </w:rPr>
              <w:t>运输车辆等</w:t>
            </w:r>
          </w:p>
        </w:tc>
        <w:tc>
          <w:tcPr>
            <w:tcW w:w="1394" w:type="dxa"/>
            <w:tcBorders>
              <w:tl2br w:val="nil"/>
              <w:tr2bl w:val="nil"/>
            </w:tcBorders>
            <w:vAlign w:val="center"/>
          </w:tcPr>
          <w:p w14:paraId="73CA5083">
            <w:pPr>
              <w:pStyle w:val="41"/>
              <w:rPr>
                <w:color w:val="auto"/>
                <w:highlight w:val="none"/>
              </w:rPr>
            </w:pPr>
            <w:r>
              <w:rPr>
                <w:color w:val="auto"/>
                <w:highlight w:val="none"/>
              </w:rPr>
              <w:t>颗粒物</w:t>
            </w:r>
          </w:p>
        </w:tc>
        <w:tc>
          <w:tcPr>
            <w:tcW w:w="1125" w:type="dxa"/>
            <w:tcBorders>
              <w:tl2br w:val="nil"/>
              <w:tr2bl w:val="nil"/>
            </w:tcBorders>
            <w:vAlign w:val="center"/>
          </w:tcPr>
          <w:p w14:paraId="337FA1D5">
            <w:pPr>
              <w:pStyle w:val="41"/>
              <w:rPr>
                <w:color w:val="auto"/>
                <w:highlight w:val="none"/>
              </w:rPr>
            </w:pPr>
            <w:r>
              <w:rPr>
                <w:color w:val="auto"/>
                <w:highlight w:val="none"/>
              </w:rPr>
              <w:t>连续</w:t>
            </w:r>
          </w:p>
        </w:tc>
        <w:tc>
          <w:tcPr>
            <w:tcW w:w="2827" w:type="dxa"/>
            <w:tcBorders>
              <w:tl2br w:val="nil"/>
              <w:tr2bl w:val="nil"/>
            </w:tcBorders>
            <w:vAlign w:val="center"/>
          </w:tcPr>
          <w:p w14:paraId="4270461D">
            <w:pPr>
              <w:pStyle w:val="41"/>
              <w:rPr>
                <w:color w:val="auto"/>
                <w:highlight w:val="none"/>
              </w:rPr>
            </w:pPr>
            <w:r>
              <w:rPr>
                <w:color w:val="auto"/>
                <w:highlight w:val="none"/>
              </w:rPr>
              <w:t>生产车间封闭，各工艺设备间有封闭皮带通廊；尾矿库采用多管分散放矿，保持尾矿沉积滩面的湿润，减少扬尘；道路洒水降尘、道路为水稳层硬化路面，及时清扫路面；</w:t>
            </w:r>
          </w:p>
        </w:tc>
      </w:tr>
      <w:tr w14:paraId="2EDA57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32" w:type="dxa"/>
            <w:vMerge w:val="restart"/>
            <w:tcBorders>
              <w:tl2br w:val="nil"/>
              <w:tr2bl w:val="nil"/>
            </w:tcBorders>
            <w:vAlign w:val="center"/>
          </w:tcPr>
          <w:p w14:paraId="46F16528">
            <w:pPr>
              <w:pStyle w:val="41"/>
              <w:rPr>
                <w:color w:val="auto"/>
                <w:highlight w:val="none"/>
              </w:rPr>
            </w:pPr>
            <w:r>
              <w:rPr>
                <w:color w:val="auto"/>
                <w:highlight w:val="none"/>
              </w:rPr>
              <w:t>废水</w:t>
            </w:r>
          </w:p>
        </w:tc>
        <w:tc>
          <w:tcPr>
            <w:tcW w:w="1230" w:type="dxa"/>
            <w:gridSpan w:val="2"/>
            <w:tcBorders>
              <w:tl2br w:val="nil"/>
              <w:tr2bl w:val="nil"/>
            </w:tcBorders>
            <w:vAlign w:val="center"/>
          </w:tcPr>
          <w:p w14:paraId="35C2913D">
            <w:pPr>
              <w:pStyle w:val="41"/>
              <w:rPr>
                <w:color w:val="auto"/>
                <w:highlight w:val="none"/>
              </w:rPr>
            </w:pPr>
            <w:r>
              <w:rPr>
                <w:color w:val="auto"/>
                <w:highlight w:val="none"/>
              </w:rPr>
              <w:t>/</w:t>
            </w:r>
          </w:p>
        </w:tc>
        <w:tc>
          <w:tcPr>
            <w:tcW w:w="1199" w:type="dxa"/>
            <w:tcBorders>
              <w:tl2br w:val="nil"/>
              <w:tr2bl w:val="nil"/>
            </w:tcBorders>
            <w:vAlign w:val="center"/>
          </w:tcPr>
          <w:p w14:paraId="044AA59C">
            <w:pPr>
              <w:pStyle w:val="41"/>
              <w:rPr>
                <w:color w:val="auto"/>
                <w:highlight w:val="none"/>
              </w:rPr>
            </w:pPr>
            <w:r>
              <w:rPr>
                <w:color w:val="auto"/>
                <w:highlight w:val="none"/>
              </w:rPr>
              <w:t>生产废水</w:t>
            </w:r>
          </w:p>
        </w:tc>
        <w:tc>
          <w:tcPr>
            <w:tcW w:w="1394" w:type="dxa"/>
            <w:tcBorders>
              <w:tl2br w:val="nil"/>
              <w:tr2bl w:val="nil"/>
            </w:tcBorders>
            <w:vAlign w:val="center"/>
          </w:tcPr>
          <w:p w14:paraId="3EBFF9FC">
            <w:pPr>
              <w:pStyle w:val="41"/>
              <w:rPr>
                <w:color w:val="auto"/>
                <w:highlight w:val="none"/>
              </w:rPr>
            </w:pPr>
            <w:r>
              <w:rPr>
                <w:color w:val="auto"/>
                <w:highlight w:val="none"/>
              </w:rPr>
              <w:t>SS</w:t>
            </w:r>
          </w:p>
        </w:tc>
        <w:tc>
          <w:tcPr>
            <w:tcW w:w="1125" w:type="dxa"/>
            <w:tcBorders>
              <w:tl2br w:val="nil"/>
              <w:tr2bl w:val="nil"/>
            </w:tcBorders>
            <w:vAlign w:val="center"/>
          </w:tcPr>
          <w:p w14:paraId="65E607BE">
            <w:pPr>
              <w:pStyle w:val="41"/>
              <w:rPr>
                <w:color w:val="auto"/>
                <w:highlight w:val="none"/>
              </w:rPr>
            </w:pPr>
            <w:r>
              <w:rPr>
                <w:color w:val="auto"/>
                <w:highlight w:val="none"/>
              </w:rPr>
              <w:t>连续</w:t>
            </w:r>
          </w:p>
        </w:tc>
        <w:tc>
          <w:tcPr>
            <w:tcW w:w="2827" w:type="dxa"/>
            <w:tcBorders>
              <w:tl2br w:val="nil"/>
              <w:tr2bl w:val="nil"/>
            </w:tcBorders>
            <w:vAlign w:val="center"/>
          </w:tcPr>
          <w:p w14:paraId="44C40400">
            <w:pPr>
              <w:pStyle w:val="41"/>
              <w:rPr>
                <w:color w:val="auto"/>
                <w:highlight w:val="none"/>
              </w:rPr>
            </w:pPr>
            <w:r>
              <w:rPr>
                <w:color w:val="auto"/>
                <w:highlight w:val="none"/>
              </w:rPr>
              <w:t>回用于生产补水</w:t>
            </w:r>
          </w:p>
        </w:tc>
      </w:tr>
      <w:tr w14:paraId="45F5AB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32" w:type="dxa"/>
            <w:vMerge w:val="continue"/>
            <w:tcBorders>
              <w:tl2br w:val="nil"/>
              <w:tr2bl w:val="nil"/>
            </w:tcBorders>
            <w:vAlign w:val="center"/>
          </w:tcPr>
          <w:p w14:paraId="094D72BF">
            <w:pPr>
              <w:pStyle w:val="41"/>
              <w:rPr>
                <w:color w:val="auto"/>
                <w:highlight w:val="none"/>
              </w:rPr>
            </w:pPr>
          </w:p>
        </w:tc>
        <w:tc>
          <w:tcPr>
            <w:tcW w:w="1230" w:type="dxa"/>
            <w:gridSpan w:val="2"/>
            <w:tcBorders>
              <w:tl2br w:val="nil"/>
              <w:tr2bl w:val="nil"/>
            </w:tcBorders>
            <w:vAlign w:val="center"/>
          </w:tcPr>
          <w:p w14:paraId="7B37B01F">
            <w:pPr>
              <w:pStyle w:val="41"/>
              <w:rPr>
                <w:color w:val="auto"/>
                <w:highlight w:val="none"/>
              </w:rPr>
            </w:pPr>
            <w:r>
              <w:rPr>
                <w:color w:val="auto"/>
                <w:highlight w:val="none"/>
              </w:rPr>
              <w:t>/</w:t>
            </w:r>
          </w:p>
        </w:tc>
        <w:tc>
          <w:tcPr>
            <w:tcW w:w="1199" w:type="dxa"/>
            <w:tcBorders>
              <w:tl2br w:val="nil"/>
              <w:tr2bl w:val="nil"/>
            </w:tcBorders>
            <w:vAlign w:val="center"/>
          </w:tcPr>
          <w:p w14:paraId="226C91F2">
            <w:pPr>
              <w:pStyle w:val="41"/>
              <w:rPr>
                <w:color w:val="auto"/>
                <w:highlight w:val="none"/>
              </w:rPr>
            </w:pPr>
            <w:r>
              <w:rPr>
                <w:color w:val="auto"/>
                <w:highlight w:val="none"/>
              </w:rPr>
              <w:t>生活污水</w:t>
            </w:r>
          </w:p>
        </w:tc>
        <w:tc>
          <w:tcPr>
            <w:tcW w:w="1394" w:type="dxa"/>
            <w:tcBorders>
              <w:tl2br w:val="nil"/>
              <w:tr2bl w:val="nil"/>
            </w:tcBorders>
            <w:vAlign w:val="center"/>
          </w:tcPr>
          <w:p w14:paraId="3A27ADFB">
            <w:pPr>
              <w:pStyle w:val="41"/>
              <w:rPr>
                <w:color w:val="auto"/>
                <w:highlight w:val="none"/>
              </w:rPr>
            </w:pPr>
            <w:r>
              <w:rPr>
                <w:color w:val="auto"/>
                <w:highlight w:val="none"/>
              </w:rPr>
              <w:t>COD、BOD</w:t>
            </w:r>
            <w:r>
              <w:rPr>
                <w:color w:val="auto"/>
                <w:highlight w:val="none"/>
                <w:vertAlign w:val="subscript"/>
              </w:rPr>
              <w:t>5</w:t>
            </w:r>
            <w:r>
              <w:rPr>
                <w:color w:val="auto"/>
                <w:highlight w:val="none"/>
              </w:rPr>
              <w:t>、SS、氨氮</w:t>
            </w:r>
          </w:p>
        </w:tc>
        <w:tc>
          <w:tcPr>
            <w:tcW w:w="1125" w:type="dxa"/>
            <w:tcBorders>
              <w:tl2br w:val="nil"/>
              <w:tr2bl w:val="nil"/>
            </w:tcBorders>
            <w:vAlign w:val="center"/>
          </w:tcPr>
          <w:p w14:paraId="1F4A5173">
            <w:pPr>
              <w:pStyle w:val="41"/>
              <w:rPr>
                <w:color w:val="auto"/>
                <w:highlight w:val="none"/>
              </w:rPr>
            </w:pPr>
            <w:r>
              <w:rPr>
                <w:color w:val="auto"/>
                <w:highlight w:val="none"/>
              </w:rPr>
              <w:t>连续</w:t>
            </w:r>
          </w:p>
        </w:tc>
        <w:tc>
          <w:tcPr>
            <w:tcW w:w="2827" w:type="dxa"/>
            <w:tcBorders>
              <w:tl2br w:val="nil"/>
              <w:tr2bl w:val="nil"/>
            </w:tcBorders>
            <w:vAlign w:val="center"/>
          </w:tcPr>
          <w:p w14:paraId="01236566">
            <w:pPr>
              <w:pStyle w:val="41"/>
              <w:rPr>
                <w:color w:val="auto"/>
                <w:highlight w:val="none"/>
              </w:rPr>
            </w:pPr>
            <w:r>
              <w:rPr>
                <w:color w:val="auto"/>
                <w:highlight w:val="none"/>
              </w:rPr>
              <w:t>办公、生活污水经厂区地埋式一体化污水处理设施处理，生活污水指标满足</w:t>
            </w:r>
            <w:r>
              <w:rPr>
                <w:rFonts w:hint="eastAsia"/>
                <w:color w:val="auto"/>
                <w:highlight w:val="none"/>
                <w:lang w:eastAsia="zh-CN"/>
              </w:rPr>
              <w:t>《城市污水再生利用—城市杂用水水质》（GB/T18920-2020）</w:t>
            </w:r>
            <w:r>
              <w:rPr>
                <w:color w:val="auto"/>
                <w:highlight w:val="none"/>
              </w:rPr>
              <w:t>，</w:t>
            </w:r>
            <w:r>
              <w:rPr>
                <w:rFonts w:hint="eastAsia"/>
                <w:color w:val="auto"/>
                <w:highlight w:val="none"/>
              </w:rPr>
              <w:t>进行综合利用</w:t>
            </w:r>
            <w:r>
              <w:rPr>
                <w:color w:val="auto"/>
                <w:highlight w:val="none"/>
              </w:rPr>
              <w:t>。</w:t>
            </w:r>
          </w:p>
        </w:tc>
      </w:tr>
      <w:tr w14:paraId="54BC04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32" w:type="dxa"/>
            <w:vMerge w:val="restart"/>
            <w:tcBorders>
              <w:tl2br w:val="nil"/>
              <w:tr2bl w:val="nil"/>
            </w:tcBorders>
            <w:vAlign w:val="center"/>
          </w:tcPr>
          <w:p w14:paraId="7CC16F91">
            <w:pPr>
              <w:pStyle w:val="41"/>
              <w:rPr>
                <w:color w:val="auto"/>
                <w:highlight w:val="none"/>
              </w:rPr>
            </w:pPr>
            <w:r>
              <w:rPr>
                <w:color w:val="auto"/>
                <w:highlight w:val="none"/>
              </w:rPr>
              <w:t>固废</w:t>
            </w:r>
          </w:p>
        </w:tc>
        <w:tc>
          <w:tcPr>
            <w:tcW w:w="1230" w:type="dxa"/>
            <w:gridSpan w:val="2"/>
            <w:tcBorders>
              <w:tl2br w:val="nil"/>
              <w:tr2bl w:val="nil"/>
            </w:tcBorders>
            <w:vAlign w:val="center"/>
          </w:tcPr>
          <w:p w14:paraId="23E21513">
            <w:pPr>
              <w:pStyle w:val="41"/>
              <w:rPr>
                <w:color w:val="auto"/>
                <w:highlight w:val="none"/>
              </w:rPr>
            </w:pPr>
            <w:r>
              <w:rPr>
                <w:color w:val="auto"/>
                <w:highlight w:val="none"/>
              </w:rPr>
              <w:t>S1</w:t>
            </w:r>
          </w:p>
        </w:tc>
        <w:tc>
          <w:tcPr>
            <w:tcW w:w="1199" w:type="dxa"/>
            <w:tcBorders>
              <w:tl2br w:val="nil"/>
              <w:tr2bl w:val="nil"/>
            </w:tcBorders>
            <w:vAlign w:val="center"/>
          </w:tcPr>
          <w:p w14:paraId="334F3612">
            <w:pPr>
              <w:pStyle w:val="41"/>
              <w:rPr>
                <w:color w:val="auto"/>
                <w:highlight w:val="none"/>
              </w:rPr>
            </w:pPr>
            <w:r>
              <w:rPr>
                <w:color w:val="auto"/>
                <w:highlight w:val="none"/>
              </w:rPr>
              <w:t>废石</w:t>
            </w:r>
          </w:p>
        </w:tc>
        <w:tc>
          <w:tcPr>
            <w:tcW w:w="1394" w:type="dxa"/>
            <w:tcBorders>
              <w:tl2br w:val="nil"/>
              <w:tr2bl w:val="nil"/>
            </w:tcBorders>
            <w:vAlign w:val="center"/>
          </w:tcPr>
          <w:p w14:paraId="00DA24EA">
            <w:pPr>
              <w:pStyle w:val="41"/>
              <w:rPr>
                <w:color w:val="auto"/>
                <w:highlight w:val="none"/>
              </w:rPr>
            </w:pPr>
            <w:r>
              <w:rPr>
                <w:color w:val="auto"/>
                <w:highlight w:val="none"/>
              </w:rPr>
              <w:t>一般固废</w:t>
            </w:r>
          </w:p>
        </w:tc>
        <w:tc>
          <w:tcPr>
            <w:tcW w:w="1125" w:type="dxa"/>
            <w:tcBorders>
              <w:tl2br w:val="nil"/>
              <w:tr2bl w:val="nil"/>
            </w:tcBorders>
            <w:vAlign w:val="center"/>
          </w:tcPr>
          <w:p w14:paraId="4BC6C65A">
            <w:pPr>
              <w:pStyle w:val="41"/>
              <w:rPr>
                <w:color w:val="auto"/>
                <w:highlight w:val="none"/>
              </w:rPr>
            </w:pPr>
            <w:r>
              <w:rPr>
                <w:color w:val="auto"/>
                <w:highlight w:val="none"/>
              </w:rPr>
              <w:t>间断</w:t>
            </w:r>
          </w:p>
        </w:tc>
        <w:tc>
          <w:tcPr>
            <w:tcW w:w="2827" w:type="dxa"/>
            <w:tcBorders>
              <w:tl2br w:val="nil"/>
              <w:tr2bl w:val="nil"/>
            </w:tcBorders>
            <w:vAlign w:val="center"/>
          </w:tcPr>
          <w:p w14:paraId="23B43E05">
            <w:pPr>
              <w:pStyle w:val="41"/>
              <w:rPr>
                <w:color w:val="auto"/>
                <w:highlight w:val="none"/>
              </w:rPr>
            </w:pPr>
            <w:r>
              <w:rPr>
                <w:color w:val="auto"/>
                <w:highlight w:val="none"/>
              </w:rPr>
              <w:t>废石排至排土场堆存，可回填矿山采坑</w:t>
            </w:r>
          </w:p>
        </w:tc>
      </w:tr>
      <w:tr w14:paraId="5F4AFD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32" w:type="dxa"/>
            <w:vMerge w:val="continue"/>
            <w:tcBorders>
              <w:tl2br w:val="nil"/>
              <w:tr2bl w:val="nil"/>
            </w:tcBorders>
            <w:vAlign w:val="center"/>
          </w:tcPr>
          <w:p w14:paraId="4BF8512A">
            <w:pPr>
              <w:pStyle w:val="41"/>
              <w:rPr>
                <w:color w:val="auto"/>
                <w:highlight w:val="none"/>
              </w:rPr>
            </w:pPr>
          </w:p>
        </w:tc>
        <w:tc>
          <w:tcPr>
            <w:tcW w:w="1230" w:type="dxa"/>
            <w:gridSpan w:val="2"/>
            <w:tcBorders>
              <w:tl2br w:val="nil"/>
              <w:tr2bl w:val="nil"/>
            </w:tcBorders>
            <w:vAlign w:val="center"/>
          </w:tcPr>
          <w:p w14:paraId="104EA1E9">
            <w:pPr>
              <w:pStyle w:val="41"/>
              <w:rPr>
                <w:color w:val="auto"/>
                <w:highlight w:val="none"/>
              </w:rPr>
            </w:pPr>
            <w:r>
              <w:rPr>
                <w:color w:val="auto"/>
                <w:highlight w:val="none"/>
              </w:rPr>
              <w:t>S2</w:t>
            </w:r>
          </w:p>
        </w:tc>
        <w:tc>
          <w:tcPr>
            <w:tcW w:w="1199" w:type="dxa"/>
            <w:tcBorders>
              <w:tl2br w:val="nil"/>
              <w:tr2bl w:val="nil"/>
            </w:tcBorders>
            <w:vAlign w:val="center"/>
          </w:tcPr>
          <w:p w14:paraId="33A61F78">
            <w:pPr>
              <w:pStyle w:val="41"/>
              <w:rPr>
                <w:color w:val="auto"/>
                <w:highlight w:val="none"/>
              </w:rPr>
            </w:pPr>
            <w:r>
              <w:rPr>
                <w:color w:val="auto"/>
                <w:highlight w:val="none"/>
              </w:rPr>
              <w:t>炉灰渣、</w:t>
            </w:r>
          </w:p>
          <w:p w14:paraId="0711FE70">
            <w:pPr>
              <w:pStyle w:val="41"/>
              <w:rPr>
                <w:color w:val="auto"/>
                <w:highlight w:val="none"/>
              </w:rPr>
            </w:pPr>
            <w:r>
              <w:rPr>
                <w:color w:val="auto"/>
                <w:highlight w:val="none"/>
              </w:rPr>
              <w:t>脱硫石膏</w:t>
            </w:r>
          </w:p>
        </w:tc>
        <w:tc>
          <w:tcPr>
            <w:tcW w:w="1394" w:type="dxa"/>
            <w:tcBorders>
              <w:tl2br w:val="nil"/>
              <w:tr2bl w:val="nil"/>
            </w:tcBorders>
            <w:vAlign w:val="center"/>
          </w:tcPr>
          <w:p w14:paraId="585AB8DF">
            <w:pPr>
              <w:pStyle w:val="41"/>
              <w:rPr>
                <w:color w:val="auto"/>
                <w:highlight w:val="none"/>
              </w:rPr>
            </w:pPr>
            <w:r>
              <w:rPr>
                <w:color w:val="auto"/>
                <w:highlight w:val="none"/>
              </w:rPr>
              <w:t>一般固废</w:t>
            </w:r>
          </w:p>
        </w:tc>
        <w:tc>
          <w:tcPr>
            <w:tcW w:w="1125" w:type="dxa"/>
            <w:tcBorders>
              <w:tl2br w:val="nil"/>
              <w:tr2bl w:val="nil"/>
            </w:tcBorders>
            <w:vAlign w:val="center"/>
          </w:tcPr>
          <w:p w14:paraId="2B7326F8">
            <w:pPr>
              <w:pStyle w:val="41"/>
              <w:rPr>
                <w:color w:val="auto"/>
                <w:highlight w:val="none"/>
              </w:rPr>
            </w:pPr>
            <w:r>
              <w:rPr>
                <w:color w:val="auto"/>
                <w:highlight w:val="none"/>
              </w:rPr>
              <w:t>间断</w:t>
            </w:r>
          </w:p>
        </w:tc>
        <w:tc>
          <w:tcPr>
            <w:tcW w:w="2827" w:type="dxa"/>
            <w:tcBorders>
              <w:tl2br w:val="nil"/>
              <w:tr2bl w:val="nil"/>
            </w:tcBorders>
            <w:vAlign w:val="center"/>
          </w:tcPr>
          <w:p w14:paraId="7BAAB768">
            <w:pPr>
              <w:pStyle w:val="41"/>
              <w:rPr>
                <w:color w:val="auto"/>
                <w:highlight w:val="none"/>
              </w:rPr>
            </w:pPr>
            <w:r>
              <w:rPr>
                <w:color w:val="auto"/>
                <w:highlight w:val="none"/>
              </w:rPr>
              <w:t>外售综合利用</w:t>
            </w:r>
          </w:p>
        </w:tc>
      </w:tr>
      <w:tr w14:paraId="123BAF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32" w:type="dxa"/>
            <w:vMerge w:val="continue"/>
            <w:tcBorders>
              <w:tl2br w:val="nil"/>
              <w:tr2bl w:val="nil"/>
            </w:tcBorders>
            <w:vAlign w:val="center"/>
          </w:tcPr>
          <w:p w14:paraId="5AE3673B">
            <w:pPr>
              <w:pStyle w:val="41"/>
              <w:rPr>
                <w:color w:val="auto"/>
                <w:highlight w:val="none"/>
              </w:rPr>
            </w:pPr>
          </w:p>
        </w:tc>
        <w:tc>
          <w:tcPr>
            <w:tcW w:w="1230" w:type="dxa"/>
            <w:gridSpan w:val="2"/>
            <w:tcBorders>
              <w:tl2br w:val="nil"/>
              <w:tr2bl w:val="nil"/>
            </w:tcBorders>
            <w:vAlign w:val="center"/>
          </w:tcPr>
          <w:p w14:paraId="60FC257D">
            <w:pPr>
              <w:pStyle w:val="41"/>
              <w:rPr>
                <w:color w:val="auto"/>
                <w:highlight w:val="none"/>
              </w:rPr>
            </w:pPr>
            <w:r>
              <w:rPr>
                <w:color w:val="auto"/>
                <w:highlight w:val="none"/>
              </w:rPr>
              <w:t>S3</w:t>
            </w:r>
          </w:p>
        </w:tc>
        <w:tc>
          <w:tcPr>
            <w:tcW w:w="1199" w:type="dxa"/>
            <w:tcBorders>
              <w:tl2br w:val="nil"/>
              <w:tr2bl w:val="nil"/>
            </w:tcBorders>
            <w:vAlign w:val="center"/>
          </w:tcPr>
          <w:p w14:paraId="44370B32">
            <w:pPr>
              <w:pStyle w:val="41"/>
              <w:rPr>
                <w:color w:val="auto"/>
                <w:highlight w:val="none"/>
              </w:rPr>
            </w:pPr>
            <w:r>
              <w:rPr>
                <w:color w:val="auto"/>
                <w:highlight w:val="none"/>
              </w:rPr>
              <w:t>尾矿砂</w:t>
            </w:r>
          </w:p>
        </w:tc>
        <w:tc>
          <w:tcPr>
            <w:tcW w:w="1394" w:type="dxa"/>
            <w:tcBorders>
              <w:tl2br w:val="nil"/>
              <w:tr2bl w:val="nil"/>
            </w:tcBorders>
            <w:vAlign w:val="center"/>
          </w:tcPr>
          <w:p w14:paraId="0EB54E64">
            <w:pPr>
              <w:pStyle w:val="41"/>
              <w:rPr>
                <w:color w:val="auto"/>
                <w:highlight w:val="none"/>
              </w:rPr>
            </w:pPr>
            <w:r>
              <w:rPr>
                <w:color w:val="auto"/>
                <w:highlight w:val="none"/>
              </w:rPr>
              <w:t>一般固废</w:t>
            </w:r>
          </w:p>
        </w:tc>
        <w:tc>
          <w:tcPr>
            <w:tcW w:w="1125" w:type="dxa"/>
            <w:tcBorders>
              <w:tl2br w:val="nil"/>
              <w:tr2bl w:val="nil"/>
            </w:tcBorders>
            <w:vAlign w:val="center"/>
          </w:tcPr>
          <w:p w14:paraId="5C8D01E8">
            <w:pPr>
              <w:pStyle w:val="41"/>
              <w:rPr>
                <w:color w:val="auto"/>
                <w:highlight w:val="none"/>
              </w:rPr>
            </w:pPr>
            <w:r>
              <w:rPr>
                <w:color w:val="auto"/>
                <w:highlight w:val="none"/>
              </w:rPr>
              <w:t>间断</w:t>
            </w:r>
          </w:p>
        </w:tc>
        <w:tc>
          <w:tcPr>
            <w:tcW w:w="2827" w:type="dxa"/>
            <w:tcBorders>
              <w:tl2br w:val="nil"/>
              <w:tr2bl w:val="nil"/>
            </w:tcBorders>
            <w:vAlign w:val="center"/>
          </w:tcPr>
          <w:p w14:paraId="288F083C">
            <w:pPr>
              <w:pStyle w:val="41"/>
              <w:rPr>
                <w:color w:val="auto"/>
                <w:highlight w:val="none"/>
              </w:rPr>
            </w:pPr>
            <w:r>
              <w:rPr>
                <w:color w:val="auto"/>
                <w:highlight w:val="none"/>
              </w:rPr>
              <w:t>尾矿进入到尾矿缓冲槽，由泵输送浓缩型水力旋流器组，旋流器底流自流给入脱水筛，脱水筛</w:t>
            </w:r>
            <w:r>
              <w:rPr>
                <w:rFonts w:hint="eastAsia"/>
                <w:color w:val="auto"/>
                <w:highlight w:val="none"/>
                <w:lang w:eastAsia="zh-CN"/>
              </w:rPr>
              <w:t>筛上料</w:t>
            </w:r>
            <w:r>
              <w:rPr>
                <w:color w:val="auto"/>
                <w:highlight w:val="none"/>
              </w:rPr>
              <w:t>用皮带运至干选抛尾车间，与干抛尾矿一起用皮带输送至排土场，剩余尾矿砂输送至尾矿库，其中部分用于尾矿库后期坝筑坝</w:t>
            </w:r>
          </w:p>
        </w:tc>
      </w:tr>
      <w:tr w14:paraId="4A20F1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32" w:type="dxa"/>
            <w:vMerge w:val="continue"/>
            <w:tcBorders>
              <w:tl2br w:val="nil"/>
              <w:tr2bl w:val="nil"/>
            </w:tcBorders>
            <w:vAlign w:val="center"/>
          </w:tcPr>
          <w:p w14:paraId="16C0FE15">
            <w:pPr>
              <w:pStyle w:val="41"/>
              <w:rPr>
                <w:color w:val="auto"/>
                <w:highlight w:val="none"/>
              </w:rPr>
            </w:pPr>
          </w:p>
        </w:tc>
        <w:tc>
          <w:tcPr>
            <w:tcW w:w="1230" w:type="dxa"/>
            <w:gridSpan w:val="2"/>
            <w:tcBorders>
              <w:tl2br w:val="nil"/>
              <w:tr2bl w:val="nil"/>
            </w:tcBorders>
            <w:vAlign w:val="center"/>
          </w:tcPr>
          <w:p w14:paraId="04E02EB2">
            <w:pPr>
              <w:pStyle w:val="41"/>
              <w:rPr>
                <w:color w:val="auto"/>
                <w:highlight w:val="none"/>
              </w:rPr>
            </w:pPr>
            <w:r>
              <w:rPr>
                <w:color w:val="auto"/>
                <w:highlight w:val="none"/>
              </w:rPr>
              <w:t>/</w:t>
            </w:r>
          </w:p>
        </w:tc>
        <w:tc>
          <w:tcPr>
            <w:tcW w:w="1199" w:type="dxa"/>
            <w:tcBorders>
              <w:tl2br w:val="nil"/>
              <w:tr2bl w:val="nil"/>
            </w:tcBorders>
            <w:vAlign w:val="center"/>
          </w:tcPr>
          <w:p w14:paraId="276C0595">
            <w:pPr>
              <w:pStyle w:val="41"/>
              <w:rPr>
                <w:color w:val="auto"/>
                <w:highlight w:val="none"/>
              </w:rPr>
            </w:pPr>
            <w:r>
              <w:rPr>
                <w:color w:val="auto"/>
                <w:highlight w:val="none"/>
              </w:rPr>
              <w:t>沉淀池底泥</w:t>
            </w:r>
          </w:p>
        </w:tc>
        <w:tc>
          <w:tcPr>
            <w:tcW w:w="1394" w:type="dxa"/>
            <w:tcBorders>
              <w:tl2br w:val="nil"/>
              <w:tr2bl w:val="nil"/>
            </w:tcBorders>
            <w:vAlign w:val="center"/>
          </w:tcPr>
          <w:p w14:paraId="761EF154">
            <w:pPr>
              <w:pStyle w:val="41"/>
              <w:rPr>
                <w:color w:val="auto"/>
                <w:highlight w:val="none"/>
              </w:rPr>
            </w:pPr>
            <w:r>
              <w:rPr>
                <w:color w:val="auto"/>
                <w:highlight w:val="none"/>
              </w:rPr>
              <w:t>一般固废</w:t>
            </w:r>
          </w:p>
        </w:tc>
        <w:tc>
          <w:tcPr>
            <w:tcW w:w="1125" w:type="dxa"/>
            <w:tcBorders>
              <w:tl2br w:val="nil"/>
              <w:tr2bl w:val="nil"/>
            </w:tcBorders>
            <w:vAlign w:val="center"/>
          </w:tcPr>
          <w:p w14:paraId="1C1D194E">
            <w:pPr>
              <w:pStyle w:val="41"/>
              <w:rPr>
                <w:color w:val="auto"/>
                <w:highlight w:val="none"/>
              </w:rPr>
            </w:pPr>
            <w:r>
              <w:rPr>
                <w:color w:val="auto"/>
                <w:highlight w:val="none"/>
              </w:rPr>
              <w:t>间断</w:t>
            </w:r>
          </w:p>
        </w:tc>
        <w:tc>
          <w:tcPr>
            <w:tcW w:w="2827" w:type="dxa"/>
            <w:tcBorders>
              <w:tl2br w:val="nil"/>
              <w:tr2bl w:val="nil"/>
            </w:tcBorders>
            <w:vAlign w:val="center"/>
          </w:tcPr>
          <w:p w14:paraId="23608D7E">
            <w:pPr>
              <w:pStyle w:val="41"/>
              <w:rPr>
                <w:color w:val="auto"/>
                <w:highlight w:val="none"/>
              </w:rPr>
            </w:pPr>
            <w:r>
              <w:rPr>
                <w:rFonts w:hint="eastAsia"/>
                <w:color w:val="auto"/>
                <w:highlight w:val="none"/>
              </w:rPr>
              <w:t>当作</w:t>
            </w:r>
            <w:r>
              <w:rPr>
                <w:color w:val="auto"/>
                <w:highlight w:val="none"/>
              </w:rPr>
              <w:t>原料返回生产线</w:t>
            </w:r>
          </w:p>
        </w:tc>
      </w:tr>
      <w:tr w14:paraId="3B0F41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32" w:type="dxa"/>
            <w:vMerge w:val="continue"/>
            <w:tcBorders>
              <w:tl2br w:val="nil"/>
              <w:tr2bl w:val="nil"/>
            </w:tcBorders>
            <w:vAlign w:val="center"/>
          </w:tcPr>
          <w:p w14:paraId="76BC4FBF">
            <w:pPr>
              <w:pStyle w:val="41"/>
              <w:rPr>
                <w:color w:val="auto"/>
                <w:highlight w:val="none"/>
              </w:rPr>
            </w:pPr>
          </w:p>
        </w:tc>
        <w:tc>
          <w:tcPr>
            <w:tcW w:w="1230" w:type="dxa"/>
            <w:gridSpan w:val="2"/>
            <w:tcBorders>
              <w:tl2br w:val="nil"/>
              <w:tr2bl w:val="nil"/>
            </w:tcBorders>
            <w:vAlign w:val="center"/>
          </w:tcPr>
          <w:p w14:paraId="314C3CC9">
            <w:pPr>
              <w:pStyle w:val="41"/>
              <w:rPr>
                <w:color w:val="auto"/>
                <w:highlight w:val="none"/>
              </w:rPr>
            </w:pPr>
            <w:r>
              <w:rPr>
                <w:color w:val="auto"/>
                <w:highlight w:val="none"/>
              </w:rPr>
              <w:t>/</w:t>
            </w:r>
          </w:p>
        </w:tc>
        <w:tc>
          <w:tcPr>
            <w:tcW w:w="1199" w:type="dxa"/>
            <w:tcBorders>
              <w:tl2br w:val="nil"/>
              <w:tr2bl w:val="nil"/>
            </w:tcBorders>
            <w:vAlign w:val="center"/>
          </w:tcPr>
          <w:p w14:paraId="54C4C229">
            <w:pPr>
              <w:pStyle w:val="41"/>
              <w:rPr>
                <w:color w:val="auto"/>
                <w:highlight w:val="none"/>
              </w:rPr>
            </w:pPr>
            <w:r>
              <w:rPr>
                <w:color w:val="auto"/>
                <w:highlight w:val="none"/>
              </w:rPr>
              <w:t>废矿物油及废矿物油桶</w:t>
            </w:r>
          </w:p>
        </w:tc>
        <w:tc>
          <w:tcPr>
            <w:tcW w:w="1394" w:type="dxa"/>
            <w:tcBorders>
              <w:tl2br w:val="nil"/>
              <w:tr2bl w:val="nil"/>
            </w:tcBorders>
            <w:vAlign w:val="center"/>
          </w:tcPr>
          <w:p w14:paraId="1B598241">
            <w:pPr>
              <w:pStyle w:val="41"/>
              <w:rPr>
                <w:color w:val="auto"/>
                <w:highlight w:val="none"/>
              </w:rPr>
            </w:pPr>
            <w:r>
              <w:rPr>
                <w:color w:val="auto"/>
                <w:highlight w:val="none"/>
              </w:rPr>
              <w:t>危险废物</w:t>
            </w:r>
          </w:p>
        </w:tc>
        <w:tc>
          <w:tcPr>
            <w:tcW w:w="1125" w:type="dxa"/>
            <w:tcBorders>
              <w:tl2br w:val="nil"/>
              <w:tr2bl w:val="nil"/>
            </w:tcBorders>
            <w:vAlign w:val="center"/>
          </w:tcPr>
          <w:p w14:paraId="53E6A58B">
            <w:pPr>
              <w:pStyle w:val="41"/>
              <w:rPr>
                <w:color w:val="auto"/>
                <w:highlight w:val="none"/>
              </w:rPr>
            </w:pPr>
            <w:r>
              <w:rPr>
                <w:color w:val="auto"/>
                <w:highlight w:val="none"/>
              </w:rPr>
              <w:t>间断</w:t>
            </w:r>
          </w:p>
        </w:tc>
        <w:tc>
          <w:tcPr>
            <w:tcW w:w="2827" w:type="dxa"/>
            <w:tcBorders>
              <w:tl2br w:val="nil"/>
              <w:tr2bl w:val="nil"/>
            </w:tcBorders>
            <w:vAlign w:val="center"/>
          </w:tcPr>
          <w:p w14:paraId="5269AC99">
            <w:pPr>
              <w:pStyle w:val="41"/>
              <w:rPr>
                <w:color w:val="auto"/>
                <w:highlight w:val="none"/>
              </w:rPr>
            </w:pPr>
            <w:r>
              <w:rPr>
                <w:color w:val="auto"/>
                <w:highlight w:val="none"/>
              </w:rPr>
              <w:t>委托有资质单位合理处置</w:t>
            </w:r>
          </w:p>
        </w:tc>
      </w:tr>
      <w:tr w14:paraId="080F2B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4" w:hRule="atLeast"/>
          <w:jc w:val="center"/>
        </w:trPr>
        <w:tc>
          <w:tcPr>
            <w:tcW w:w="732" w:type="dxa"/>
            <w:vMerge w:val="continue"/>
            <w:tcBorders>
              <w:tl2br w:val="nil"/>
              <w:tr2bl w:val="nil"/>
            </w:tcBorders>
            <w:vAlign w:val="center"/>
          </w:tcPr>
          <w:p w14:paraId="533E5C0B">
            <w:pPr>
              <w:pStyle w:val="41"/>
              <w:rPr>
                <w:color w:val="auto"/>
                <w:highlight w:val="none"/>
              </w:rPr>
            </w:pPr>
          </w:p>
        </w:tc>
        <w:tc>
          <w:tcPr>
            <w:tcW w:w="1230" w:type="dxa"/>
            <w:gridSpan w:val="2"/>
            <w:tcBorders>
              <w:tl2br w:val="nil"/>
              <w:tr2bl w:val="nil"/>
            </w:tcBorders>
            <w:vAlign w:val="center"/>
          </w:tcPr>
          <w:p w14:paraId="1A5DFC2C">
            <w:pPr>
              <w:pStyle w:val="41"/>
              <w:rPr>
                <w:color w:val="auto"/>
                <w:highlight w:val="none"/>
              </w:rPr>
            </w:pPr>
            <w:r>
              <w:rPr>
                <w:color w:val="auto"/>
                <w:highlight w:val="none"/>
              </w:rPr>
              <w:t>/</w:t>
            </w:r>
          </w:p>
        </w:tc>
        <w:tc>
          <w:tcPr>
            <w:tcW w:w="1199" w:type="dxa"/>
            <w:tcBorders>
              <w:tl2br w:val="nil"/>
              <w:tr2bl w:val="nil"/>
            </w:tcBorders>
            <w:vAlign w:val="center"/>
          </w:tcPr>
          <w:p w14:paraId="229FE639">
            <w:pPr>
              <w:pStyle w:val="41"/>
              <w:rPr>
                <w:color w:val="auto"/>
                <w:highlight w:val="none"/>
              </w:rPr>
            </w:pPr>
            <w:r>
              <w:rPr>
                <w:color w:val="auto"/>
                <w:highlight w:val="none"/>
              </w:rPr>
              <w:t>生活垃圾</w:t>
            </w:r>
          </w:p>
        </w:tc>
        <w:tc>
          <w:tcPr>
            <w:tcW w:w="1394" w:type="dxa"/>
            <w:tcBorders>
              <w:tl2br w:val="nil"/>
              <w:tr2bl w:val="nil"/>
            </w:tcBorders>
            <w:vAlign w:val="center"/>
          </w:tcPr>
          <w:p w14:paraId="6B4FE20F">
            <w:pPr>
              <w:pStyle w:val="41"/>
              <w:rPr>
                <w:color w:val="auto"/>
                <w:highlight w:val="none"/>
              </w:rPr>
            </w:pPr>
            <w:r>
              <w:rPr>
                <w:color w:val="auto"/>
                <w:highlight w:val="none"/>
              </w:rPr>
              <w:t>一般固废</w:t>
            </w:r>
          </w:p>
        </w:tc>
        <w:tc>
          <w:tcPr>
            <w:tcW w:w="1125" w:type="dxa"/>
            <w:tcBorders>
              <w:tl2br w:val="nil"/>
              <w:tr2bl w:val="nil"/>
            </w:tcBorders>
            <w:vAlign w:val="center"/>
          </w:tcPr>
          <w:p w14:paraId="72A052FB">
            <w:pPr>
              <w:pStyle w:val="41"/>
              <w:rPr>
                <w:color w:val="auto"/>
                <w:highlight w:val="none"/>
              </w:rPr>
            </w:pPr>
            <w:r>
              <w:rPr>
                <w:color w:val="auto"/>
                <w:highlight w:val="none"/>
              </w:rPr>
              <w:t>间断</w:t>
            </w:r>
          </w:p>
        </w:tc>
        <w:tc>
          <w:tcPr>
            <w:tcW w:w="2827" w:type="dxa"/>
            <w:tcBorders>
              <w:tl2br w:val="nil"/>
              <w:tr2bl w:val="nil"/>
            </w:tcBorders>
            <w:vAlign w:val="center"/>
          </w:tcPr>
          <w:p w14:paraId="0B9C5901">
            <w:pPr>
              <w:pStyle w:val="41"/>
              <w:rPr>
                <w:color w:val="auto"/>
                <w:highlight w:val="none"/>
              </w:rPr>
            </w:pPr>
            <w:r>
              <w:rPr>
                <w:rFonts w:hint="eastAsia"/>
                <w:color w:val="auto"/>
                <w:highlight w:val="none"/>
              </w:rPr>
              <w:t>送往哈拉峻乡谢依提村垃圾场填埋处理</w:t>
            </w:r>
          </w:p>
        </w:tc>
      </w:tr>
      <w:tr w14:paraId="14B80F7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32" w:type="dxa"/>
            <w:vMerge w:val="continue"/>
            <w:tcBorders>
              <w:tl2br w:val="nil"/>
              <w:tr2bl w:val="nil"/>
            </w:tcBorders>
            <w:vAlign w:val="center"/>
          </w:tcPr>
          <w:p w14:paraId="49064578">
            <w:pPr>
              <w:pStyle w:val="41"/>
              <w:rPr>
                <w:color w:val="auto"/>
                <w:highlight w:val="none"/>
              </w:rPr>
            </w:pPr>
          </w:p>
        </w:tc>
        <w:tc>
          <w:tcPr>
            <w:tcW w:w="1230" w:type="dxa"/>
            <w:gridSpan w:val="2"/>
            <w:tcBorders>
              <w:tl2br w:val="nil"/>
              <w:tr2bl w:val="nil"/>
            </w:tcBorders>
            <w:vAlign w:val="center"/>
          </w:tcPr>
          <w:p w14:paraId="10A3DB7F">
            <w:pPr>
              <w:pStyle w:val="41"/>
              <w:rPr>
                <w:color w:val="auto"/>
                <w:highlight w:val="none"/>
              </w:rPr>
            </w:pPr>
            <w:r>
              <w:rPr>
                <w:color w:val="auto"/>
                <w:highlight w:val="none"/>
              </w:rPr>
              <w:t>/</w:t>
            </w:r>
          </w:p>
        </w:tc>
        <w:tc>
          <w:tcPr>
            <w:tcW w:w="1199" w:type="dxa"/>
            <w:tcBorders>
              <w:tl2br w:val="nil"/>
              <w:tr2bl w:val="nil"/>
            </w:tcBorders>
            <w:vAlign w:val="center"/>
          </w:tcPr>
          <w:p w14:paraId="792854E0">
            <w:pPr>
              <w:pStyle w:val="41"/>
              <w:rPr>
                <w:color w:val="auto"/>
                <w:highlight w:val="none"/>
              </w:rPr>
            </w:pPr>
            <w:r>
              <w:rPr>
                <w:color w:val="auto"/>
                <w:highlight w:val="none"/>
              </w:rPr>
              <w:t>生活污水站底泥</w:t>
            </w:r>
          </w:p>
        </w:tc>
        <w:tc>
          <w:tcPr>
            <w:tcW w:w="1394" w:type="dxa"/>
            <w:tcBorders>
              <w:tl2br w:val="nil"/>
              <w:tr2bl w:val="nil"/>
            </w:tcBorders>
            <w:vAlign w:val="center"/>
          </w:tcPr>
          <w:p w14:paraId="1B4D08FE">
            <w:pPr>
              <w:pStyle w:val="41"/>
              <w:rPr>
                <w:color w:val="auto"/>
                <w:highlight w:val="none"/>
              </w:rPr>
            </w:pPr>
            <w:r>
              <w:rPr>
                <w:color w:val="auto"/>
                <w:highlight w:val="none"/>
              </w:rPr>
              <w:t>一般固废</w:t>
            </w:r>
          </w:p>
        </w:tc>
        <w:tc>
          <w:tcPr>
            <w:tcW w:w="1125" w:type="dxa"/>
            <w:tcBorders>
              <w:tl2br w:val="nil"/>
              <w:tr2bl w:val="nil"/>
            </w:tcBorders>
            <w:vAlign w:val="center"/>
          </w:tcPr>
          <w:p w14:paraId="755EB63C">
            <w:pPr>
              <w:pStyle w:val="41"/>
              <w:rPr>
                <w:color w:val="auto"/>
                <w:highlight w:val="none"/>
              </w:rPr>
            </w:pPr>
            <w:r>
              <w:rPr>
                <w:color w:val="auto"/>
                <w:highlight w:val="none"/>
              </w:rPr>
              <w:t>间断</w:t>
            </w:r>
          </w:p>
        </w:tc>
        <w:tc>
          <w:tcPr>
            <w:tcW w:w="2827" w:type="dxa"/>
            <w:tcBorders>
              <w:tl2br w:val="nil"/>
              <w:tr2bl w:val="nil"/>
            </w:tcBorders>
            <w:vAlign w:val="center"/>
          </w:tcPr>
          <w:p w14:paraId="4D822451">
            <w:pPr>
              <w:pStyle w:val="41"/>
              <w:rPr>
                <w:color w:val="auto"/>
                <w:highlight w:val="none"/>
              </w:rPr>
            </w:pPr>
            <w:r>
              <w:rPr>
                <w:rFonts w:hint="eastAsia"/>
                <w:color w:val="auto"/>
                <w:highlight w:val="none"/>
              </w:rPr>
              <w:t>作为土壤改良剂用于</w:t>
            </w:r>
            <w:r>
              <w:rPr>
                <w:rFonts w:hint="eastAsia"/>
                <w:color w:val="auto"/>
                <w:highlight w:val="none"/>
                <w:lang w:eastAsia="zh-CN"/>
              </w:rPr>
              <w:t>项目区</w:t>
            </w:r>
            <w:r>
              <w:rPr>
                <w:rFonts w:hint="eastAsia"/>
                <w:color w:val="auto"/>
                <w:highlight w:val="none"/>
              </w:rPr>
              <w:t>生态恢复治理</w:t>
            </w:r>
          </w:p>
        </w:tc>
      </w:tr>
      <w:tr w14:paraId="5D8635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59" w:hRule="atLeast"/>
          <w:jc w:val="center"/>
        </w:trPr>
        <w:tc>
          <w:tcPr>
            <w:tcW w:w="732" w:type="dxa"/>
            <w:tcBorders>
              <w:tl2br w:val="nil"/>
              <w:tr2bl w:val="nil"/>
            </w:tcBorders>
            <w:vAlign w:val="center"/>
          </w:tcPr>
          <w:p w14:paraId="7436327A">
            <w:pPr>
              <w:pStyle w:val="41"/>
              <w:rPr>
                <w:color w:val="auto"/>
                <w:highlight w:val="none"/>
              </w:rPr>
            </w:pPr>
            <w:r>
              <w:rPr>
                <w:color w:val="auto"/>
                <w:highlight w:val="none"/>
              </w:rPr>
              <w:t>噪声</w:t>
            </w:r>
          </w:p>
        </w:tc>
        <w:tc>
          <w:tcPr>
            <w:tcW w:w="1230" w:type="dxa"/>
            <w:gridSpan w:val="2"/>
            <w:tcBorders>
              <w:tl2br w:val="nil"/>
              <w:tr2bl w:val="nil"/>
            </w:tcBorders>
            <w:vAlign w:val="center"/>
          </w:tcPr>
          <w:p w14:paraId="5E3B61E3">
            <w:pPr>
              <w:pStyle w:val="41"/>
              <w:rPr>
                <w:color w:val="auto"/>
                <w:highlight w:val="none"/>
              </w:rPr>
            </w:pPr>
            <w:r>
              <w:rPr>
                <w:color w:val="auto"/>
                <w:highlight w:val="none"/>
              </w:rPr>
              <w:t>/</w:t>
            </w:r>
          </w:p>
        </w:tc>
        <w:tc>
          <w:tcPr>
            <w:tcW w:w="1199" w:type="dxa"/>
            <w:tcBorders>
              <w:tl2br w:val="nil"/>
              <w:tr2bl w:val="nil"/>
            </w:tcBorders>
            <w:vAlign w:val="center"/>
          </w:tcPr>
          <w:p w14:paraId="27272D23">
            <w:pPr>
              <w:pStyle w:val="41"/>
              <w:rPr>
                <w:color w:val="auto"/>
                <w:highlight w:val="none"/>
              </w:rPr>
            </w:pPr>
            <w:r>
              <w:rPr>
                <w:color w:val="auto"/>
                <w:highlight w:val="none"/>
              </w:rPr>
              <w:t>各类生产设施</w:t>
            </w:r>
          </w:p>
        </w:tc>
        <w:tc>
          <w:tcPr>
            <w:tcW w:w="1394" w:type="dxa"/>
            <w:tcBorders>
              <w:tl2br w:val="nil"/>
              <w:tr2bl w:val="nil"/>
            </w:tcBorders>
            <w:vAlign w:val="center"/>
          </w:tcPr>
          <w:p w14:paraId="24FB723B">
            <w:pPr>
              <w:pStyle w:val="41"/>
              <w:rPr>
                <w:color w:val="auto"/>
                <w:highlight w:val="none"/>
              </w:rPr>
            </w:pPr>
            <w:r>
              <w:rPr>
                <w:color w:val="auto"/>
                <w:highlight w:val="none"/>
              </w:rPr>
              <w:t>噪声</w:t>
            </w:r>
          </w:p>
        </w:tc>
        <w:tc>
          <w:tcPr>
            <w:tcW w:w="1125" w:type="dxa"/>
            <w:tcBorders>
              <w:tl2br w:val="nil"/>
              <w:tr2bl w:val="nil"/>
            </w:tcBorders>
            <w:vAlign w:val="center"/>
          </w:tcPr>
          <w:p w14:paraId="5D5A0518">
            <w:pPr>
              <w:pStyle w:val="41"/>
              <w:rPr>
                <w:color w:val="auto"/>
                <w:highlight w:val="none"/>
              </w:rPr>
            </w:pPr>
            <w:r>
              <w:rPr>
                <w:color w:val="auto"/>
                <w:highlight w:val="none"/>
              </w:rPr>
              <w:t>连续</w:t>
            </w:r>
          </w:p>
        </w:tc>
        <w:tc>
          <w:tcPr>
            <w:tcW w:w="2827" w:type="dxa"/>
            <w:tcBorders>
              <w:tl2br w:val="nil"/>
              <w:tr2bl w:val="nil"/>
            </w:tcBorders>
            <w:vAlign w:val="center"/>
          </w:tcPr>
          <w:p w14:paraId="61824461">
            <w:pPr>
              <w:pStyle w:val="41"/>
              <w:rPr>
                <w:color w:val="auto"/>
                <w:highlight w:val="none"/>
              </w:rPr>
            </w:pPr>
            <w:r>
              <w:rPr>
                <w:color w:val="auto"/>
                <w:highlight w:val="none"/>
              </w:rPr>
              <w:t>车间隔声、基础减震等</w:t>
            </w:r>
          </w:p>
        </w:tc>
      </w:tr>
    </w:tbl>
    <w:p w14:paraId="00B3B7F4">
      <w:pPr>
        <w:pStyle w:val="43"/>
        <w:rPr>
          <w:color w:val="auto"/>
          <w:highlight w:val="none"/>
        </w:rPr>
      </w:pPr>
      <w:r>
        <w:rPr>
          <w:color w:val="auto"/>
          <w:highlight w:val="none"/>
        </w:rPr>
        <w:t>大气污染源</w:t>
      </w:r>
    </w:p>
    <w:p w14:paraId="09A4B7A1">
      <w:pPr>
        <w:pStyle w:val="3"/>
        <w:ind w:firstLine="480"/>
        <w:rPr>
          <w:color w:val="auto"/>
          <w:highlight w:val="none"/>
        </w:rPr>
      </w:pPr>
      <w:r>
        <w:rPr>
          <w:color w:val="auto"/>
          <w:highlight w:val="none"/>
        </w:rPr>
        <w:t>本项目产污系数见表3.</w:t>
      </w:r>
      <w:r>
        <w:rPr>
          <w:rFonts w:hint="eastAsia"/>
          <w:color w:val="auto"/>
          <w:highlight w:val="none"/>
        </w:rPr>
        <w:t>4</w:t>
      </w:r>
      <w:r>
        <w:rPr>
          <w:color w:val="auto"/>
          <w:highlight w:val="none"/>
        </w:rPr>
        <w:t>-</w:t>
      </w:r>
      <w:r>
        <w:rPr>
          <w:rFonts w:hint="eastAsia"/>
          <w:color w:val="auto"/>
          <w:highlight w:val="none"/>
        </w:rPr>
        <w:t>3</w:t>
      </w:r>
      <w:r>
        <w:rPr>
          <w:color w:val="auto"/>
          <w:highlight w:val="none"/>
        </w:rPr>
        <w:t>。</w:t>
      </w:r>
    </w:p>
    <w:p w14:paraId="0F254082">
      <w:pPr>
        <w:pStyle w:val="40"/>
        <w:spacing w:before="24" w:after="24"/>
        <w:rPr>
          <w:color w:val="auto"/>
          <w:highlight w:val="none"/>
        </w:rPr>
      </w:pPr>
      <w:r>
        <w:rPr>
          <w:color w:val="auto"/>
          <w:highlight w:val="none"/>
        </w:rPr>
        <w:t>表3.</w:t>
      </w:r>
      <w:r>
        <w:rPr>
          <w:rFonts w:hint="eastAsia"/>
          <w:color w:val="auto"/>
          <w:highlight w:val="none"/>
        </w:rPr>
        <w:t>4</w:t>
      </w:r>
      <w:r>
        <w:rPr>
          <w:color w:val="auto"/>
          <w:highlight w:val="none"/>
        </w:rPr>
        <w:t>-</w:t>
      </w:r>
      <w:r>
        <w:rPr>
          <w:rFonts w:hint="eastAsia"/>
          <w:color w:val="auto"/>
          <w:highlight w:val="none"/>
        </w:rPr>
        <w:t>3</w:t>
      </w:r>
      <w:r>
        <w:rPr>
          <w:color w:val="auto"/>
          <w:highlight w:val="none"/>
        </w:rPr>
        <w:t xml:space="preserve">    产污系数一览表</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1223"/>
        <w:gridCol w:w="1097"/>
        <w:gridCol w:w="1499"/>
        <w:gridCol w:w="3681"/>
      </w:tblGrid>
      <w:tr w14:paraId="26C2E3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0" w:type="pct"/>
            <w:tcBorders>
              <w:tl2br w:val="nil"/>
              <w:tr2bl w:val="nil"/>
            </w:tcBorders>
            <w:vAlign w:val="center"/>
          </w:tcPr>
          <w:p w14:paraId="23286FDE">
            <w:pPr>
              <w:pStyle w:val="41"/>
              <w:rPr>
                <w:color w:val="auto"/>
                <w:highlight w:val="none"/>
              </w:rPr>
            </w:pPr>
            <w:r>
              <w:rPr>
                <w:color w:val="auto"/>
                <w:highlight w:val="none"/>
              </w:rPr>
              <w:t>污染源</w:t>
            </w:r>
          </w:p>
        </w:tc>
        <w:tc>
          <w:tcPr>
            <w:tcW w:w="718" w:type="pct"/>
            <w:tcBorders>
              <w:tl2br w:val="nil"/>
              <w:tr2bl w:val="nil"/>
            </w:tcBorders>
            <w:vAlign w:val="center"/>
          </w:tcPr>
          <w:p w14:paraId="61584F0E">
            <w:pPr>
              <w:pStyle w:val="41"/>
              <w:rPr>
                <w:color w:val="auto"/>
                <w:highlight w:val="none"/>
              </w:rPr>
            </w:pPr>
            <w:r>
              <w:rPr>
                <w:color w:val="auto"/>
                <w:highlight w:val="none"/>
              </w:rPr>
              <w:t>污染物</w:t>
            </w:r>
          </w:p>
        </w:tc>
        <w:tc>
          <w:tcPr>
            <w:tcW w:w="644" w:type="pct"/>
            <w:tcBorders>
              <w:tl2br w:val="nil"/>
              <w:tr2bl w:val="nil"/>
            </w:tcBorders>
            <w:vAlign w:val="center"/>
          </w:tcPr>
          <w:p w14:paraId="13DDC583">
            <w:pPr>
              <w:pStyle w:val="41"/>
              <w:rPr>
                <w:color w:val="auto"/>
                <w:highlight w:val="none"/>
              </w:rPr>
            </w:pPr>
            <w:r>
              <w:rPr>
                <w:rFonts w:hint="eastAsia"/>
                <w:color w:val="auto"/>
                <w:highlight w:val="none"/>
              </w:rPr>
              <w:t>产污系数</w:t>
            </w:r>
          </w:p>
        </w:tc>
        <w:tc>
          <w:tcPr>
            <w:tcW w:w="881" w:type="pct"/>
            <w:tcBorders>
              <w:tl2br w:val="nil"/>
              <w:tr2bl w:val="nil"/>
            </w:tcBorders>
            <w:vAlign w:val="center"/>
          </w:tcPr>
          <w:p w14:paraId="3DEEE04C">
            <w:pPr>
              <w:pStyle w:val="41"/>
              <w:rPr>
                <w:color w:val="auto"/>
                <w:highlight w:val="none"/>
              </w:rPr>
            </w:pPr>
            <w:r>
              <w:rPr>
                <w:rFonts w:hint="eastAsia"/>
                <w:color w:val="auto"/>
                <w:highlight w:val="none"/>
              </w:rPr>
              <w:t>单位</w:t>
            </w:r>
          </w:p>
        </w:tc>
        <w:tc>
          <w:tcPr>
            <w:tcW w:w="2164" w:type="pct"/>
            <w:tcBorders>
              <w:tl2br w:val="nil"/>
              <w:tr2bl w:val="nil"/>
            </w:tcBorders>
            <w:vAlign w:val="center"/>
          </w:tcPr>
          <w:p w14:paraId="101F95CF">
            <w:pPr>
              <w:pStyle w:val="41"/>
              <w:rPr>
                <w:color w:val="auto"/>
                <w:highlight w:val="none"/>
              </w:rPr>
            </w:pPr>
            <w:r>
              <w:rPr>
                <w:color w:val="auto"/>
                <w:highlight w:val="none"/>
              </w:rPr>
              <w:t>文件名称</w:t>
            </w:r>
          </w:p>
        </w:tc>
      </w:tr>
      <w:tr w14:paraId="2A5FAE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0" w:type="pct"/>
            <w:vMerge w:val="restart"/>
            <w:tcBorders>
              <w:tl2br w:val="nil"/>
              <w:tr2bl w:val="nil"/>
            </w:tcBorders>
            <w:vAlign w:val="center"/>
          </w:tcPr>
          <w:p w14:paraId="1DA3E252">
            <w:pPr>
              <w:pStyle w:val="41"/>
              <w:rPr>
                <w:color w:val="auto"/>
                <w:highlight w:val="none"/>
              </w:rPr>
            </w:pPr>
            <w:r>
              <w:rPr>
                <w:color w:val="auto"/>
                <w:highlight w:val="none"/>
              </w:rPr>
              <w:t>破碎、筛分废气</w:t>
            </w:r>
          </w:p>
        </w:tc>
        <w:tc>
          <w:tcPr>
            <w:tcW w:w="718" w:type="pct"/>
            <w:tcBorders>
              <w:tl2br w:val="nil"/>
              <w:tr2bl w:val="nil"/>
            </w:tcBorders>
            <w:vAlign w:val="center"/>
          </w:tcPr>
          <w:p w14:paraId="332E322A">
            <w:pPr>
              <w:pStyle w:val="41"/>
              <w:rPr>
                <w:color w:val="auto"/>
                <w:highlight w:val="none"/>
              </w:rPr>
            </w:pPr>
            <w:r>
              <w:rPr>
                <w:color w:val="auto"/>
                <w:highlight w:val="none"/>
              </w:rPr>
              <w:t>颗粒物</w:t>
            </w:r>
          </w:p>
        </w:tc>
        <w:tc>
          <w:tcPr>
            <w:tcW w:w="644" w:type="pct"/>
            <w:tcBorders>
              <w:tl2br w:val="nil"/>
              <w:tr2bl w:val="nil"/>
            </w:tcBorders>
            <w:vAlign w:val="center"/>
          </w:tcPr>
          <w:p w14:paraId="0E474EF3">
            <w:pPr>
              <w:pStyle w:val="41"/>
              <w:rPr>
                <w:color w:val="auto"/>
                <w:highlight w:val="none"/>
              </w:rPr>
            </w:pPr>
            <w:r>
              <w:rPr>
                <w:color w:val="auto"/>
                <w:highlight w:val="none"/>
              </w:rPr>
              <w:t>0.66</w:t>
            </w:r>
          </w:p>
        </w:tc>
        <w:tc>
          <w:tcPr>
            <w:tcW w:w="881" w:type="pct"/>
            <w:tcBorders>
              <w:tl2br w:val="nil"/>
              <w:tr2bl w:val="nil"/>
            </w:tcBorders>
            <w:vAlign w:val="center"/>
          </w:tcPr>
          <w:p w14:paraId="60AC8403">
            <w:pPr>
              <w:pStyle w:val="41"/>
              <w:rPr>
                <w:color w:val="auto"/>
                <w:highlight w:val="none"/>
              </w:rPr>
            </w:pPr>
            <w:bookmarkStart w:id="305" w:name="OLE_LINK17"/>
            <w:r>
              <w:rPr>
                <w:color w:val="auto"/>
                <w:highlight w:val="none"/>
              </w:rPr>
              <w:t>kg/</w:t>
            </w:r>
            <w:bookmarkStart w:id="306" w:name="OLE_LINK31"/>
            <w:r>
              <w:rPr>
                <w:color w:val="auto"/>
                <w:highlight w:val="none"/>
              </w:rPr>
              <w:t>t产品</w:t>
            </w:r>
            <w:bookmarkEnd w:id="306"/>
          </w:p>
        </w:tc>
        <w:tc>
          <w:tcPr>
            <w:tcW w:w="2164" w:type="pct"/>
            <w:vMerge w:val="restart"/>
            <w:tcBorders>
              <w:tl2br w:val="nil"/>
              <w:tr2bl w:val="nil"/>
            </w:tcBorders>
            <w:vAlign w:val="center"/>
          </w:tcPr>
          <w:p w14:paraId="555148B8">
            <w:pPr>
              <w:pStyle w:val="41"/>
              <w:rPr>
                <w:color w:val="auto"/>
                <w:highlight w:val="none"/>
              </w:rPr>
            </w:pPr>
            <w:r>
              <w:rPr>
                <w:color w:val="auto"/>
                <w:highlight w:val="none"/>
              </w:rPr>
              <w:t>《排放源统计调查产排污核算方法和系数手册》</w:t>
            </w:r>
            <w:bookmarkEnd w:id="305"/>
            <w:r>
              <w:rPr>
                <w:color w:val="auto"/>
                <w:highlight w:val="none"/>
              </w:rPr>
              <w:t>-0810铁矿采选行业系数表中铁块破碎、筛分产污系数</w:t>
            </w:r>
          </w:p>
        </w:tc>
      </w:tr>
      <w:tr w14:paraId="6E489C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0" w:type="pct"/>
            <w:vMerge w:val="continue"/>
            <w:tcBorders>
              <w:tl2br w:val="nil"/>
              <w:tr2bl w:val="nil"/>
            </w:tcBorders>
            <w:vAlign w:val="center"/>
          </w:tcPr>
          <w:p w14:paraId="33BD425F">
            <w:pPr>
              <w:pStyle w:val="41"/>
              <w:rPr>
                <w:color w:val="auto"/>
                <w:highlight w:val="none"/>
              </w:rPr>
            </w:pPr>
          </w:p>
        </w:tc>
        <w:tc>
          <w:tcPr>
            <w:tcW w:w="718" w:type="pct"/>
            <w:tcBorders>
              <w:tl2br w:val="nil"/>
              <w:tr2bl w:val="nil"/>
            </w:tcBorders>
            <w:vAlign w:val="center"/>
          </w:tcPr>
          <w:p w14:paraId="7EA80555">
            <w:pPr>
              <w:pStyle w:val="41"/>
              <w:rPr>
                <w:color w:val="auto"/>
                <w:highlight w:val="none"/>
              </w:rPr>
            </w:pPr>
            <w:r>
              <w:rPr>
                <w:color w:val="auto"/>
                <w:highlight w:val="none"/>
              </w:rPr>
              <w:t>废气量</w:t>
            </w:r>
          </w:p>
        </w:tc>
        <w:tc>
          <w:tcPr>
            <w:tcW w:w="644" w:type="pct"/>
            <w:tcBorders>
              <w:tl2br w:val="nil"/>
              <w:tr2bl w:val="nil"/>
            </w:tcBorders>
            <w:vAlign w:val="center"/>
          </w:tcPr>
          <w:p w14:paraId="0EE19162">
            <w:pPr>
              <w:pStyle w:val="41"/>
              <w:rPr>
                <w:color w:val="auto"/>
                <w:highlight w:val="none"/>
              </w:rPr>
            </w:pPr>
            <w:r>
              <w:rPr>
                <w:color w:val="auto"/>
                <w:highlight w:val="none"/>
              </w:rPr>
              <w:t>541</w:t>
            </w:r>
          </w:p>
        </w:tc>
        <w:tc>
          <w:tcPr>
            <w:tcW w:w="881" w:type="pct"/>
            <w:tcBorders>
              <w:tl2br w:val="nil"/>
              <w:tr2bl w:val="nil"/>
            </w:tcBorders>
            <w:vAlign w:val="center"/>
          </w:tcPr>
          <w:p w14:paraId="7E9307AF">
            <w:pPr>
              <w:pStyle w:val="41"/>
              <w:rPr>
                <w:color w:val="auto"/>
                <w:highlight w:val="none"/>
              </w:rPr>
            </w:pPr>
            <w:r>
              <w:rPr>
                <w:color w:val="auto"/>
                <w:highlight w:val="none"/>
              </w:rPr>
              <w:t>m</w:t>
            </w:r>
            <w:r>
              <w:rPr>
                <w:color w:val="auto"/>
                <w:highlight w:val="none"/>
                <w:vertAlign w:val="superscript"/>
              </w:rPr>
              <w:t>3</w:t>
            </w:r>
            <w:r>
              <w:rPr>
                <w:color w:val="auto"/>
                <w:highlight w:val="none"/>
              </w:rPr>
              <w:t>/t产品</w:t>
            </w:r>
          </w:p>
        </w:tc>
        <w:tc>
          <w:tcPr>
            <w:tcW w:w="2164" w:type="pct"/>
            <w:vMerge w:val="continue"/>
            <w:tcBorders>
              <w:tl2br w:val="nil"/>
              <w:tr2bl w:val="nil"/>
            </w:tcBorders>
            <w:vAlign w:val="center"/>
          </w:tcPr>
          <w:p w14:paraId="699AAF6B">
            <w:pPr>
              <w:pStyle w:val="41"/>
              <w:rPr>
                <w:color w:val="auto"/>
                <w:highlight w:val="none"/>
              </w:rPr>
            </w:pPr>
          </w:p>
        </w:tc>
      </w:tr>
      <w:tr w14:paraId="7F1FB6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590" w:type="pct"/>
            <w:vMerge w:val="restart"/>
            <w:tcBorders>
              <w:tl2br w:val="nil"/>
              <w:tr2bl w:val="nil"/>
            </w:tcBorders>
            <w:vAlign w:val="center"/>
          </w:tcPr>
          <w:p w14:paraId="72BAD505">
            <w:pPr>
              <w:pStyle w:val="41"/>
              <w:rPr>
                <w:color w:val="auto"/>
                <w:highlight w:val="none"/>
              </w:rPr>
            </w:pPr>
            <w:r>
              <w:rPr>
                <w:rFonts w:hint="eastAsia"/>
                <w:color w:val="auto"/>
                <w:highlight w:val="none"/>
              </w:rPr>
              <w:t>磁选</w:t>
            </w:r>
          </w:p>
        </w:tc>
        <w:tc>
          <w:tcPr>
            <w:tcW w:w="718" w:type="pct"/>
            <w:tcBorders>
              <w:tl2br w:val="nil"/>
              <w:tr2bl w:val="nil"/>
            </w:tcBorders>
            <w:vAlign w:val="center"/>
          </w:tcPr>
          <w:p w14:paraId="048B15A2">
            <w:pPr>
              <w:pStyle w:val="41"/>
              <w:rPr>
                <w:color w:val="auto"/>
                <w:highlight w:val="none"/>
              </w:rPr>
            </w:pPr>
            <w:r>
              <w:rPr>
                <w:color w:val="auto"/>
                <w:highlight w:val="none"/>
              </w:rPr>
              <w:t>颗粒物</w:t>
            </w:r>
          </w:p>
        </w:tc>
        <w:tc>
          <w:tcPr>
            <w:tcW w:w="644" w:type="pct"/>
            <w:tcBorders>
              <w:tl2br w:val="nil"/>
              <w:tr2bl w:val="nil"/>
            </w:tcBorders>
            <w:vAlign w:val="center"/>
          </w:tcPr>
          <w:p w14:paraId="66C9A238">
            <w:pPr>
              <w:pStyle w:val="41"/>
              <w:rPr>
                <w:color w:val="auto"/>
                <w:highlight w:val="none"/>
              </w:rPr>
            </w:pPr>
            <w:r>
              <w:rPr>
                <w:rFonts w:hint="eastAsia"/>
                <w:color w:val="auto"/>
                <w:highlight w:val="none"/>
              </w:rPr>
              <w:t>1.71</w:t>
            </w:r>
          </w:p>
        </w:tc>
        <w:tc>
          <w:tcPr>
            <w:tcW w:w="881" w:type="pct"/>
            <w:tcBorders>
              <w:tl2br w:val="nil"/>
              <w:tr2bl w:val="nil"/>
            </w:tcBorders>
            <w:vAlign w:val="center"/>
          </w:tcPr>
          <w:p w14:paraId="60612B4A">
            <w:pPr>
              <w:pStyle w:val="41"/>
              <w:rPr>
                <w:color w:val="auto"/>
                <w:highlight w:val="none"/>
              </w:rPr>
            </w:pPr>
            <w:r>
              <w:rPr>
                <w:color w:val="auto"/>
                <w:highlight w:val="none"/>
              </w:rPr>
              <w:t>kg/t产品</w:t>
            </w:r>
          </w:p>
        </w:tc>
        <w:tc>
          <w:tcPr>
            <w:tcW w:w="2164" w:type="pct"/>
            <w:vMerge w:val="restart"/>
            <w:tcBorders>
              <w:tl2br w:val="nil"/>
              <w:tr2bl w:val="nil"/>
            </w:tcBorders>
            <w:vAlign w:val="center"/>
          </w:tcPr>
          <w:p w14:paraId="0AC693C6">
            <w:pPr>
              <w:pStyle w:val="41"/>
              <w:rPr>
                <w:color w:val="auto"/>
                <w:highlight w:val="none"/>
              </w:rPr>
            </w:pPr>
            <w:r>
              <w:rPr>
                <w:color w:val="auto"/>
                <w:highlight w:val="none"/>
              </w:rPr>
              <w:t>《排放源统计调查产排污核算方法和系数手册》-0810铁矿采选行业系数表中铁块破碎、筛分产污系数</w:t>
            </w:r>
          </w:p>
        </w:tc>
      </w:tr>
      <w:tr w14:paraId="4D9619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0" w:type="pct"/>
            <w:vMerge w:val="continue"/>
            <w:tcBorders>
              <w:tl2br w:val="nil"/>
              <w:tr2bl w:val="nil"/>
            </w:tcBorders>
            <w:vAlign w:val="center"/>
          </w:tcPr>
          <w:p w14:paraId="7EB85038">
            <w:pPr>
              <w:pStyle w:val="41"/>
              <w:rPr>
                <w:color w:val="auto"/>
                <w:highlight w:val="none"/>
              </w:rPr>
            </w:pPr>
          </w:p>
        </w:tc>
        <w:tc>
          <w:tcPr>
            <w:tcW w:w="718" w:type="pct"/>
            <w:tcBorders>
              <w:tl2br w:val="nil"/>
              <w:tr2bl w:val="nil"/>
            </w:tcBorders>
            <w:vAlign w:val="center"/>
          </w:tcPr>
          <w:p w14:paraId="7FEA7D3C">
            <w:pPr>
              <w:pStyle w:val="41"/>
              <w:rPr>
                <w:color w:val="auto"/>
                <w:highlight w:val="none"/>
              </w:rPr>
            </w:pPr>
            <w:r>
              <w:rPr>
                <w:color w:val="auto"/>
                <w:highlight w:val="none"/>
              </w:rPr>
              <w:t>废气量</w:t>
            </w:r>
          </w:p>
        </w:tc>
        <w:tc>
          <w:tcPr>
            <w:tcW w:w="644" w:type="pct"/>
            <w:tcBorders>
              <w:tl2br w:val="nil"/>
              <w:tr2bl w:val="nil"/>
            </w:tcBorders>
            <w:vAlign w:val="center"/>
          </w:tcPr>
          <w:p w14:paraId="61D3619A">
            <w:pPr>
              <w:pStyle w:val="41"/>
              <w:rPr>
                <w:color w:val="auto"/>
                <w:highlight w:val="none"/>
              </w:rPr>
            </w:pPr>
            <w:r>
              <w:rPr>
                <w:rFonts w:hint="eastAsia"/>
                <w:color w:val="auto"/>
                <w:highlight w:val="none"/>
              </w:rPr>
              <w:t>1.33</w:t>
            </w:r>
            <w:r>
              <w:rPr>
                <w:color w:val="auto"/>
                <w:highlight w:val="none"/>
              </w:rPr>
              <w:t>×10</w:t>
            </w:r>
            <w:r>
              <w:rPr>
                <w:rFonts w:hint="eastAsia"/>
                <w:color w:val="auto"/>
                <w:highlight w:val="none"/>
                <w:vertAlign w:val="superscript"/>
              </w:rPr>
              <w:t>3</w:t>
            </w:r>
          </w:p>
        </w:tc>
        <w:tc>
          <w:tcPr>
            <w:tcW w:w="881" w:type="pct"/>
            <w:tcBorders>
              <w:tl2br w:val="nil"/>
              <w:tr2bl w:val="nil"/>
            </w:tcBorders>
            <w:vAlign w:val="center"/>
          </w:tcPr>
          <w:p w14:paraId="05544610">
            <w:pPr>
              <w:pStyle w:val="41"/>
              <w:rPr>
                <w:color w:val="auto"/>
                <w:highlight w:val="none"/>
              </w:rPr>
            </w:pPr>
            <w:r>
              <w:rPr>
                <w:color w:val="auto"/>
                <w:highlight w:val="none"/>
              </w:rPr>
              <w:t>m</w:t>
            </w:r>
            <w:r>
              <w:rPr>
                <w:color w:val="auto"/>
                <w:highlight w:val="none"/>
                <w:vertAlign w:val="superscript"/>
              </w:rPr>
              <w:t>3</w:t>
            </w:r>
            <w:r>
              <w:rPr>
                <w:color w:val="auto"/>
                <w:highlight w:val="none"/>
              </w:rPr>
              <w:t>/t产品</w:t>
            </w:r>
          </w:p>
        </w:tc>
        <w:tc>
          <w:tcPr>
            <w:tcW w:w="2164" w:type="pct"/>
            <w:vMerge w:val="continue"/>
            <w:tcBorders>
              <w:tl2br w:val="nil"/>
              <w:tr2bl w:val="nil"/>
            </w:tcBorders>
            <w:vAlign w:val="center"/>
          </w:tcPr>
          <w:p w14:paraId="0D10839F">
            <w:pPr>
              <w:pStyle w:val="41"/>
              <w:rPr>
                <w:color w:val="auto"/>
                <w:highlight w:val="none"/>
              </w:rPr>
            </w:pPr>
          </w:p>
        </w:tc>
      </w:tr>
      <w:tr w14:paraId="270B03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0" w:type="pct"/>
            <w:vMerge w:val="restart"/>
            <w:tcBorders>
              <w:tl2br w:val="nil"/>
              <w:tr2bl w:val="nil"/>
            </w:tcBorders>
            <w:vAlign w:val="center"/>
          </w:tcPr>
          <w:p w14:paraId="126C2356">
            <w:pPr>
              <w:pStyle w:val="41"/>
              <w:rPr>
                <w:color w:val="auto"/>
                <w:highlight w:val="none"/>
              </w:rPr>
            </w:pPr>
            <w:r>
              <w:rPr>
                <w:rFonts w:hint="eastAsia"/>
                <w:color w:val="auto"/>
                <w:highlight w:val="none"/>
              </w:rPr>
              <w:t>生物质窑炉</w:t>
            </w:r>
          </w:p>
        </w:tc>
        <w:tc>
          <w:tcPr>
            <w:tcW w:w="718" w:type="pct"/>
            <w:tcBorders>
              <w:tl2br w:val="nil"/>
              <w:tr2bl w:val="nil"/>
            </w:tcBorders>
            <w:vAlign w:val="center"/>
          </w:tcPr>
          <w:p w14:paraId="5994561C">
            <w:pPr>
              <w:pStyle w:val="41"/>
              <w:rPr>
                <w:color w:val="auto"/>
                <w:highlight w:val="none"/>
              </w:rPr>
            </w:pPr>
            <w:r>
              <w:rPr>
                <w:rFonts w:hint="eastAsia"/>
                <w:color w:val="auto"/>
                <w:highlight w:val="none"/>
              </w:rPr>
              <w:t>工业废气量</w:t>
            </w:r>
          </w:p>
        </w:tc>
        <w:tc>
          <w:tcPr>
            <w:tcW w:w="644" w:type="pct"/>
            <w:tcBorders>
              <w:tl2br w:val="nil"/>
              <w:tr2bl w:val="nil"/>
            </w:tcBorders>
            <w:vAlign w:val="center"/>
          </w:tcPr>
          <w:p w14:paraId="2AB84F08">
            <w:pPr>
              <w:pStyle w:val="41"/>
              <w:rPr>
                <w:color w:val="auto"/>
                <w:highlight w:val="none"/>
              </w:rPr>
            </w:pPr>
            <w:r>
              <w:rPr>
                <w:rFonts w:hint="eastAsia"/>
                <w:color w:val="auto"/>
                <w:highlight w:val="none"/>
              </w:rPr>
              <w:t>6240</w:t>
            </w:r>
          </w:p>
        </w:tc>
        <w:tc>
          <w:tcPr>
            <w:tcW w:w="881" w:type="pct"/>
            <w:tcBorders>
              <w:tl2br w:val="nil"/>
              <w:tr2bl w:val="nil"/>
            </w:tcBorders>
            <w:vAlign w:val="center"/>
          </w:tcPr>
          <w:p w14:paraId="7BBCBE18">
            <w:pPr>
              <w:pStyle w:val="41"/>
              <w:rPr>
                <w:color w:val="auto"/>
                <w:highlight w:val="none"/>
              </w:rPr>
            </w:pPr>
            <w:r>
              <w:rPr>
                <w:rFonts w:hint="eastAsia"/>
                <w:color w:val="auto"/>
                <w:highlight w:val="none"/>
              </w:rPr>
              <w:t>立方米</w:t>
            </w:r>
            <w:r>
              <w:rPr>
                <w:color w:val="auto"/>
                <w:highlight w:val="none"/>
              </w:rPr>
              <w:t>/t</w:t>
            </w:r>
            <w:r>
              <w:rPr>
                <w:rFonts w:hint="eastAsia"/>
                <w:color w:val="auto"/>
                <w:highlight w:val="none"/>
              </w:rPr>
              <w:t>原料</w:t>
            </w:r>
          </w:p>
        </w:tc>
        <w:tc>
          <w:tcPr>
            <w:tcW w:w="2164" w:type="pct"/>
            <w:vMerge w:val="restart"/>
            <w:tcBorders>
              <w:tl2br w:val="nil"/>
              <w:tr2bl w:val="nil"/>
            </w:tcBorders>
            <w:vAlign w:val="center"/>
          </w:tcPr>
          <w:p w14:paraId="12D596E8">
            <w:pPr>
              <w:pStyle w:val="41"/>
              <w:rPr>
                <w:color w:val="auto"/>
                <w:highlight w:val="none"/>
              </w:rPr>
            </w:pPr>
            <w:r>
              <w:rPr>
                <w:rFonts w:hint="eastAsia"/>
                <w:color w:val="auto"/>
                <w:highlight w:val="none"/>
              </w:rPr>
              <w:t>《</w:t>
            </w:r>
            <w:r>
              <w:rPr>
                <w:color w:val="auto"/>
                <w:highlight w:val="none"/>
              </w:rPr>
              <w:t>锅炉产排污量核算系数手册</w:t>
            </w:r>
            <w:r>
              <w:rPr>
                <w:rFonts w:hint="eastAsia"/>
                <w:color w:val="auto"/>
                <w:highlight w:val="none"/>
              </w:rPr>
              <w:t>》-</w:t>
            </w:r>
            <w:r>
              <w:rPr>
                <w:color w:val="auto"/>
                <w:highlight w:val="none"/>
              </w:rPr>
              <w:t>4430工业锅炉（热力生产和供应行业）产污系数表-生物质工业锅炉</w:t>
            </w:r>
          </w:p>
        </w:tc>
      </w:tr>
      <w:tr w14:paraId="374014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0" w:type="pct"/>
            <w:vMerge w:val="continue"/>
            <w:tcBorders>
              <w:tl2br w:val="nil"/>
              <w:tr2bl w:val="nil"/>
            </w:tcBorders>
            <w:vAlign w:val="center"/>
          </w:tcPr>
          <w:p w14:paraId="6C884DDE">
            <w:pPr>
              <w:pStyle w:val="41"/>
              <w:rPr>
                <w:color w:val="auto"/>
                <w:highlight w:val="none"/>
              </w:rPr>
            </w:pPr>
          </w:p>
        </w:tc>
        <w:tc>
          <w:tcPr>
            <w:tcW w:w="718" w:type="pct"/>
            <w:tcBorders>
              <w:tl2br w:val="nil"/>
              <w:tr2bl w:val="nil"/>
            </w:tcBorders>
            <w:vAlign w:val="center"/>
          </w:tcPr>
          <w:p w14:paraId="44203083">
            <w:pPr>
              <w:pStyle w:val="41"/>
              <w:rPr>
                <w:color w:val="auto"/>
                <w:highlight w:val="none"/>
              </w:rPr>
            </w:pPr>
            <w:r>
              <w:rPr>
                <w:color w:val="auto"/>
                <w:highlight w:val="none"/>
              </w:rPr>
              <w:t>SO</w:t>
            </w:r>
            <w:r>
              <w:rPr>
                <w:color w:val="auto"/>
                <w:highlight w:val="none"/>
                <w:vertAlign w:val="subscript"/>
              </w:rPr>
              <w:t>2</w:t>
            </w:r>
          </w:p>
        </w:tc>
        <w:tc>
          <w:tcPr>
            <w:tcW w:w="644" w:type="pct"/>
            <w:tcBorders>
              <w:tl2br w:val="nil"/>
              <w:tr2bl w:val="nil"/>
            </w:tcBorders>
            <w:vAlign w:val="center"/>
          </w:tcPr>
          <w:p w14:paraId="21F1FCF7">
            <w:pPr>
              <w:pStyle w:val="41"/>
              <w:rPr>
                <w:color w:val="auto"/>
                <w:highlight w:val="none"/>
              </w:rPr>
            </w:pPr>
            <w:r>
              <w:rPr>
                <w:rFonts w:hint="eastAsia"/>
                <w:color w:val="auto"/>
                <w:highlight w:val="none"/>
              </w:rPr>
              <w:t>17S</w:t>
            </w:r>
          </w:p>
        </w:tc>
        <w:tc>
          <w:tcPr>
            <w:tcW w:w="881" w:type="pct"/>
            <w:tcBorders>
              <w:tl2br w:val="nil"/>
              <w:tr2bl w:val="nil"/>
            </w:tcBorders>
            <w:vAlign w:val="center"/>
          </w:tcPr>
          <w:p w14:paraId="5B824E5F">
            <w:pPr>
              <w:pStyle w:val="41"/>
              <w:rPr>
                <w:color w:val="auto"/>
                <w:highlight w:val="none"/>
              </w:rPr>
            </w:pPr>
            <w:r>
              <w:rPr>
                <w:color w:val="auto"/>
                <w:highlight w:val="none"/>
              </w:rPr>
              <w:t>kg/t</w:t>
            </w:r>
            <w:r>
              <w:rPr>
                <w:rFonts w:hint="eastAsia"/>
                <w:color w:val="auto"/>
                <w:highlight w:val="none"/>
              </w:rPr>
              <w:t>原料</w:t>
            </w:r>
          </w:p>
        </w:tc>
        <w:tc>
          <w:tcPr>
            <w:tcW w:w="2164" w:type="pct"/>
            <w:vMerge w:val="continue"/>
            <w:tcBorders>
              <w:tl2br w:val="nil"/>
              <w:tr2bl w:val="nil"/>
            </w:tcBorders>
            <w:vAlign w:val="center"/>
          </w:tcPr>
          <w:p w14:paraId="310566A8">
            <w:pPr>
              <w:pStyle w:val="41"/>
              <w:rPr>
                <w:color w:val="auto"/>
                <w:highlight w:val="none"/>
              </w:rPr>
            </w:pPr>
          </w:p>
        </w:tc>
      </w:tr>
      <w:tr w14:paraId="5A2A80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0" w:type="pct"/>
            <w:vMerge w:val="continue"/>
            <w:tcBorders>
              <w:tl2br w:val="nil"/>
              <w:tr2bl w:val="nil"/>
            </w:tcBorders>
            <w:vAlign w:val="center"/>
          </w:tcPr>
          <w:p w14:paraId="3053A1D9">
            <w:pPr>
              <w:pStyle w:val="41"/>
              <w:rPr>
                <w:color w:val="auto"/>
                <w:highlight w:val="none"/>
              </w:rPr>
            </w:pPr>
          </w:p>
        </w:tc>
        <w:tc>
          <w:tcPr>
            <w:tcW w:w="718" w:type="pct"/>
            <w:tcBorders>
              <w:tl2br w:val="nil"/>
              <w:tr2bl w:val="nil"/>
            </w:tcBorders>
            <w:vAlign w:val="center"/>
          </w:tcPr>
          <w:p w14:paraId="1374D9F3">
            <w:pPr>
              <w:pStyle w:val="41"/>
              <w:rPr>
                <w:color w:val="auto"/>
                <w:highlight w:val="none"/>
              </w:rPr>
            </w:pPr>
            <w:r>
              <w:rPr>
                <w:color w:val="auto"/>
                <w:highlight w:val="none"/>
              </w:rPr>
              <w:t>NO</w:t>
            </w:r>
            <w:r>
              <w:rPr>
                <w:color w:val="auto"/>
                <w:highlight w:val="none"/>
                <w:vertAlign w:val="subscript"/>
              </w:rPr>
              <w:t>X</w:t>
            </w:r>
          </w:p>
        </w:tc>
        <w:tc>
          <w:tcPr>
            <w:tcW w:w="644" w:type="pct"/>
            <w:tcBorders>
              <w:tl2br w:val="nil"/>
              <w:tr2bl w:val="nil"/>
            </w:tcBorders>
            <w:vAlign w:val="center"/>
          </w:tcPr>
          <w:p w14:paraId="04DA0A22">
            <w:pPr>
              <w:pStyle w:val="41"/>
              <w:rPr>
                <w:color w:val="auto"/>
                <w:highlight w:val="none"/>
              </w:rPr>
            </w:pPr>
            <w:r>
              <w:rPr>
                <w:rFonts w:hint="eastAsia"/>
                <w:color w:val="auto"/>
                <w:highlight w:val="none"/>
              </w:rPr>
              <w:t>1.02</w:t>
            </w:r>
          </w:p>
        </w:tc>
        <w:tc>
          <w:tcPr>
            <w:tcW w:w="881" w:type="pct"/>
            <w:tcBorders>
              <w:tl2br w:val="nil"/>
              <w:tr2bl w:val="nil"/>
            </w:tcBorders>
            <w:vAlign w:val="center"/>
          </w:tcPr>
          <w:p w14:paraId="3BC37F70">
            <w:pPr>
              <w:pStyle w:val="41"/>
              <w:rPr>
                <w:color w:val="auto"/>
                <w:highlight w:val="none"/>
              </w:rPr>
            </w:pPr>
            <w:r>
              <w:rPr>
                <w:color w:val="auto"/>
                <w:highlight w:val="none"/>
              </w:rPr>
              <w:t>kg/t</w:t>
            </w:r>
            <w:r>
              <w:rPr>
                <w:rFonts w:hint="eastAsia"/>
                <w:color w:val="auto"/>
                <w:highlight w:val="none"/>
              </w:rPr>
              <w:t>原料</w:t>
            </w:r>
          </w:p>
        </w:tc>
        <w:tc>
          <w:tcPr>
            <w:tcW w:w="2164" w:type="pct"/>
            <w:vMerge w:val="continue"/>
            <w:tcBorders>
              <w:tl2br w:val="nil"/>
              <w:tr2bl w:val="nil"/>
            </w:tcBorders>
            <w:vAlign w:val="center"/>
          </w:tcPr>
          <w:p w14:paraId="55FCB14B">
            <w:pPr>
              <w:pStyle w:val="41"/>
              <w:rPr>
                <w:color w:val="auto"/>
                <w:highlight w:val="none"/>
              </w:rPr>
            </w:pPr>
          </w:p>
        </w:tc>
      </w:tr>
      <w:tr w14:paraId="2098A9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0" w:type="pct"/>
            <w:vMerge w:val="continue"/>
            <w:tcBorders>
              <w:tl2br w:val="nil"/>
              <w:tr2bl w:val="nil"/>
            </w:tcBorders>
            <w:vAlign w:val="center"/>
          </w:tcPr>
          <w:p w14:paraId="2B95A064">
            <w:pPr>
              <w:pStyle w:val="41"/>
              <w:rPr>
                <w:color w:val="auto"/>
                <w:highlight w:val="none"/>
              </w:rPr>
            </w:pPr>
          </w:p>
        </w:tc>
        <w:tc>
          <w:tcPr>
            <w:tcW w:w="718" w:type="pct"/>
            <w:tcBorders>
              <w:tl2br w:val="nil"/>
              <w:tr2bl w:val="nil"/>
            </w:tcBorders>
            <w:vAlign w:val="center"/>
          </w:tcPr>
          <w:p w14:paraId="2636F87E">
            <w:pPr>
              <w:pStyle w:val="41"/>
              <w:rPr>
                <w:color w:val="auto"/>
                <w:highlight w:val="none"/>
              </w:rPr>
            </w:pPr>
            <w:r>
              <w:rPr>
                <w:rFonts w:hint="eastAsia"/>
                <w:color w:val="auto"/>
                <w:highlight w:val="none"/>
              </w:rPr>
              <w:t>颗粒物</w:t>
            </w:r>
          </w:p>
        </w:tc>
        <w:tc>
          <w:tcPr>
            <w:tcW w:w="644" w:type="pct"/>
            <w:tcBorders>
              <w:tl2br w:val="nil"/>
              <w:tr2bl w:val="nil"/>
            </w:tcBorders>
            <w:vAlign w:val="center"/>
          </w:tcPr>
          <w:p w14:paraId="25E7BD49">
            <w:pPr>
              <w:pStyle w:val="41"/>
              <w:rPr>
                <w:color w:val="auto"/>
                <w:highlight w:val="none"/>
              </w:rPr>
            </w:pPr>
            <w:r>
              <w:rPr>
                <w:rFonts w:hint="eastAsia"/>
                <w:color w:val="auto"/>
                <w:highlight w:val="none"/>
              </w:rPr>
              <w:t>0.5</w:t>
            </w:r>
          </w:p>
        </w:tc>
        <w:tc>
          <w:tcPr>
            <w:tcW w:w="881" w:type="pct"/>
            <w:tcBorders>
              <w:tl2br w:val="nil"/>
              <w:tr2bl w:val="nil"/>
            </w:tcBorders>
            <w:vAlign w:val="center"/>
          </w:tcPr>
          <w:p w14:paraId="4655663F">
            <w:pPr>
              <w:pStyle w:val="41"/>
              <w:rPr>
                <w:color w:val="auto"/>
                <w:highlight w:val="none"/>
              </w:rPr>
            </w:pPr>
            <w:r>
              <w:rPr>
                <w:color w:val="auto"/>
                <w:highlight w:val="none"/>
              </w:rPr>
              <w:t>kg/t</w:t>
            </w:r>
            <w:r>
              <w:rPr>
                <w:rFonts w:hint="eastAsia"/>
                <w:color w:val="auto"/>
                <w:highlight w:val="none"/>
              </w:rPr>
              <w:t>原料</w:t>
            </w:r>
          </w:p>
        </w:tc>
        <w:tc>
          <w:tcPr>
            <w:tcW w:w="2164" w:type="pct"/>
            <w:vMerge w:val="continue"/>
            <w:tcBorders>
              <w:tl2br w:val="nil"/>
              <w:tr2bl w:val="nil"/>
            </w:tcBorders>
            <w:vAlign w:val="center"/>
          </w:tcPr>
          <w:p w14:paraId="554058BA">
            <w:pPr>
              <w:pStyle w:val="41"/>
              <w:rPr>
                <w:color w:val="auto"/>
                <w:highlight w:val="none"/>
              </w:rPr>
            </w:pPr>
          </w:p>
        </w:tc>
      </w:tr>
    </w:tbl>
    <w:p w14:paraId="5770971E">
      <w:pPr>
        <w:pStyle w:val="3"/>
        <w:ind w:firstLine="480"/>
        <w:rPr>
          <w:color w:val="auto"/>
          <w:highlight w:val="none"/>
        </w:rPr>
      </w:pPr>
      <w:r>
        <w:rPr>
          <w:rFonts w:hint="eastAsia"/>
          <w:color w:val="auto"/>
          <w:highlight w:val="none"/>
        </w:rPr>
        <w:t>（1）</w:t>
      </w:r>
      <w:r>
        <w:rPr>
          <w:color w:val="auto"/>
          <w:highlight w:val="none"/>
        </w:rPr>
        <w:t>原矿卸车粉尘</w:t>
      </w:r>
    </w:p>
    <w:p w14:paraId="15623E75">
      <w:pPr>
        <w:pStyle w:val="3"/>
        <w:ind w:firstLine="480"/>
        <w:rPr>
          <w:color w:val="auto"/>
          <w:highlight w:val="none"/>
        </w:rPr>
      </w:pPr>
      <w:r>
        <w:rPr>
          <w:color w:val="auto"/>
          <w:highlight w:val="none"/>
        </w:rPr>
        <w:t>原矿石由汽车拉运至</w:t>
      </w:r>
      <w:r>
        <w:rPr>
          <w:rFonts w:hint="eastAsia"/>
          <w:color w:val="auto"/>
          <w:highlight w:val="none"/>
        </w:rPr>
        <w:t>原料堆库内临时储存，</w:t>
      </w:r>
      <w:r>
        <w:rPr>
          <w:rFonts w:hint="eastAsia"/>
          <w:color w:val="auto"/>
          <w:highlight w:val="none"/>
          <w:lang w:eastAsia="zh-CN"/>
        </w:rPr>
        <w:t>原矿堆库</w:t>
      </w:r>
      <w:r>
        <w:rPr>
          <w:rFonts w:hint="eastAsia"/>
          <w:color w:val="auto"/>
          <w:highlight w:val="none"/>
        </w:rPr>
        <w:t>封闭式设计。</w:t>
      </w:r>
      <w:r>
        <w:rPr>
          <w:rFonts w:hint="eastAsia"/>
          <w:color w:val="auto"/>
          <w:highlight w:val="none"/>
          <w:lang w:eastAsia="zh-CN"/>
        </w:rPr>
        <w:t>原矿堆库</w:t>
      </w:r>
      <w:r>
        <w:rPr>
          <w:rFonts w:hint="eastAsia"/>
          <w:color w:val="auto"/>
          <w:highlight w:val="none"/>
        </w:rPr>
        <w:t>堆存和装卸过程产生的颗粒物产生量参照《排放源统计调查产排污核算方法和系数手册》中的《固体物料堆存颗粒物产排污核算系数手册》的颗粒物产生量核算公式计算。</w:t>
      </w:r>
    </w:p>
    <w:p w14:paraId="7502B8D6">
      <w:pPr>
        <w:pStyle w:val="3"/>
        <w:ind w:firstLine="480"/>
        <w:rPr>
          <w:color w:val="auto"/>
          <w:highlight w:val="none"/>
        </w:rPr>
      </w:pPr>
      <w:r>
        <w:rPr>
          <w:rFonts w:hint="eastAsia"/>
          <w:color w:val="auto"/>
          <w:highlight w:val="none"/>
        </w:rPr>
        <w:t>颗粒物产生量核算公式：</w:t>
      </w:r>
    </w:p>
    <w:p w14:paraId="0479DBA3">
      <w:pPr>
        <w:pStyle w:val="3"/>
        <w:ind w:firstLine="480"/>
        <w:rPr>
          <w:color w:val="auto"/>
          <w:highlight w:val="none"/>
        </w:rPr>
      </w:pPr>
      <w:r>
        <w:rPr>
          <w:color w:val="auto"/>
          <w:highlight w:val="none"/>
        </w:rPr>
        <w:drawing>
          <wp:inline distT="0" distB="0" distL="114300" distR="114300">
            <wp:extent cx="3914775" cy="281940"/>
            <wp:effectExtent l="0" t="0" r="9525" b="3810"/>
            <wp:docPr id="5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8"/>
                    <pic:cNvPicPr>
                      <a:picLocks noChangeAspect="1"/>
                    </pic:cNvPicPr>
                  </pic:nvPicPr>
                  <pic:blipFill>
                    <a:blip r:embed="rId30"/>
                    <a:srcRect t="17680" b="17970"/>
                    <a:stretch>
                      <a:fillRect/>
                    </a:stretch>
                  </pic:blipFill>
                  <pic:spPr>
                    <a:xfrm>
                      <a:off x="0" y="0"/>
                      <a:ext cx="3914775" cy="281940"/>
                    </a:xfrm>
                    <a:prstGeom prst="rect">
                      <a:avLst/>
                    </a:prstGeom>
                    <a:noFill/>
                    <a:ln>
                      <a:noFill/>
                    </a:ln>
                  </pic:spPr>
                </pic:pic>
              </a:graphicData>
            </a:graphic>
          </wp:inline>
        </w:drawing>
      </w:r>
    </w:p>
    <w:p w14:paraId="51EBB349">
      <w:pPr>
        <w:pStyle w:val="3"/>
        <w:ind w:firstLine="480"/>
        <w:rPr>
          <w:color w:val="auto"/>
          <w:highlight w:val="none"/>
        </w:rPr>
      </w:pPr>
      <w:r>
        <w:rPr>
          <w:color w:val="auto"/>
          <w:highlight w:val="none"/>
        </w:rPr>
        <w:t>计算参数：P——颗粒物产生量（t）；</w:t>
      </w:r>
    </w:p>
    <w:p w14:paraId="5A49E4C4">
      <w:pPr>
        <w:pStyle w:val="3"/>
        <w:ind w:firstLine="480"/>
        <w:rPr>
          <w:color w:val="auto"/>
          <w:highlight w:val="none"/>
        </w:rPr>
      </w:pPr>
      <w:r>
        <w:rPr>
          <w:color w:val="auto"/>
          <w:highlight w:val="none"/>
        </w:rPr>
        <w:t>ZCy——装卸扬尘产生量（t）；</w:t>
      </w:r>
    </w:p>
    <w:p w14:paraId="5FDA0699">
      <w:pPr>
        <w:pStyle w:val="3"/>
        <w:ind w:firstLine="480"/>
        <w:rPr>
          <w:color w:val="auto"/>
          <w:highlight w:val="none"/>
        </w:rPr>
      </w:pPr>
      <w:r>
        <w:rPr>
          <w:color w:val="auto"/>
          <w:highlight w:val="none"/>
        </w:rPr>
        <w:t>FCy——风蚀扬尘产生量（t）；</w:t>
      </w:r>
    </w:p>
    <w:p w14:paraId="4A3BFBCA">
      <w:pPr>
        <w:pStyle w:val="3"/>
        <w:ind w:firstLine="480"/>
        <w:rPr>
          <w:color w:val="auto"/>
          <w:highlight w:val="none"/>
        </w:rPr>
      </w:pPr>
      <w:r>
        <w:rPr>
          <w:color w:val="auto"/>
          <w:highlight w:val="none"/>
        </w:rPr>
        <w:t>Nc——年物料运载车次（车）；</w:t>
      </w:r>
    </w:p>
    <w:p w14:paraId="7A3756E9">
      <w:pPr>
        <w:pStyle w:val="3"/>
        <w:ind w:firstLine="480"/>
        <w:rPr>
          <w:color w:val="auto"/>
          <w:highlight w:val="none"/>
        </w:rPr>
      </w:pPr>
      <w:r>
        <w:rPr>
          <w:color w:val="auto"/>
          <w:highlight w:val="none"/>
        </w:rPr>
        <w:t>D——单车平均运载量（t/车）；</w:t>
      </w:r>
    </w:p>
    <w:p w14:paraId="380E2361">
      <w:pPr>
        <w:pStyle w:val="3"/>
        <w:ind w:firstLine="480"/>
        <w:rPr>
          <w:color w:val="auto"/>
          <w:highlight w:val="none"/>
        </w:rPr>
      </w:pPr>
      <w:r>
        <w:rPr>
          <w:color w:val="auto"/>
          <w:highlight w:val="none"/>
        </w:rPr>
        <w:t>（a/b）——装卸扬尘概化系数（kg/t），a指各省风速概化系数（查表取0.0011），b指物料含水率概化系数（查表取0.0074）；</w:t>
      </w:r>
    </w:p>
    <w:p w14:paraId="11700819">
      <w:pPr>
        <w:pStyle w:val="3"/>
        <w:ind w:firstLine="480"/>
        <w:rPr>
          <w:color w:val="auto"/>
          <w:highlight w:val="none"/>
        </w:rPr>
      </w:pPr>
      <w:r>
        <w:rPr>
          <w:color w:val="auto"/>
          <w:highlight w:val="none"/>
        </w:rPr>
        <w:t>Ef——堆场风蚀扬尘概化系数（查表取0）；</w:t>
      </w:r>
    </w:p>
    <w:p w14:paraId="11F361FB">
      <w:pPr>
        <w:pStyle w:val="3"/>
        <w:ind w:firstLine="480"/>
        <w:rPr>
          <w:color w:val="auto"/>
          <w:highlight w:val="none"/>
        </w:rPr>
      </w:pPr>
      <w:r>
        <w:rPr>
          <w:rFonts w:hint="eastAsia"/>
          <w:color w:val="auto"/>
          <w:highlight w:val="none"/>
        </w:rPr>
        <w:t>S——堆场占地面积（m</w:t>
      </w:r>
      <w:r>
        <w:rPr>
          <w:rFonts w:hint="eastAsia"/>
          <w:color w:val="auto"/>
          <w:highlight w:val="none"/>
          <w:vertAlign w:val="superscript"/>
        </w:rPr>
        <w:t>2</w:t>
      </w:r>
      <w:r>
        <w:rPr>
          <w:rFonts w:hint="eastAsia"/>
          <w:color w:val="auto"/>
          <w:highlight w:val="none"/>
        </w:rPr>
        <w:t>），取1972m</w:t>
      </w:r>
      <w:r>
        <w:rPr>
          <w:rFonts w:hint="eastAsia"/>
          <w:color w:val="auto"/>
          <w:highlight w:val="none"/>
          <w:vertAlign w:val="superscript"/>
        </w:rPr>
        <w:t>2</w:t>
      </w:r>
      <w:r>
        <w:rPr>
          <w:rFonts w:hint="eastAsia"/>
          <w:color w:val="auto"/>
          <w:highlight w:val="none"/>
        </w:rPr>
        <w:t>。</w:t>
      </w:r>
    </w:p>
    <w:p w14:paraId="410284D1">
      <w:pPr>
        <w:pStyle w:val="3"/>
        <w:ind w:firstLine="480"/>
        <w:rPr>
          <w:color w:val="auto"/>
          <w:highlight w:val="none"/>
        </w:rPr>
      </w:pPr>
      <w:r>
        <w:rPr>
          <w:rFonts w:hint="eastAsia"/>
          <w:color w:val="auto"/>
          <w:highlight w:val="none"/>
        </w:rPr>
        <w:t>本项目年装卸原矿量580万吨，</w:t>
      </w:r>
      <w:r>
        <w:rPr>
          <w:color w:val="auto"/>
          <w:highlight w:val="none"/>
        </w:rPr>
        <w:t>车辆载重按60t计，则总装车次数为</w:t>
      </w:r>
      <w:r>
        <w:rPr>
          <w:rFonts w:hint="eastAsia"/>
          <w:color w:val="auto"/>
          <w:highlight w:val="none"/>
        </w:rPr>
        <w:t>96667</w:t>
      </w:r>
      <w:r>
        <w:rPr>
          <w:color w:val="auto"/>
          <w:highlight w:val="none"/>
        </w:rPr>
        <w:t>次，</w:t>
      </w:r>
      <w:r>
        <w:rPr>
          <w:rFonts w:hint="eastAsia"/>
          <w:color w:val="auto"/>
          <w:highlight w:val="none"/>
        </w:rPr>
        <w:t>经计算，本项目运营期</w:t>
      </w:r>
      <w:r>
        <w:rPr>
          <w:rFonts w:hint="eastAsia"/>
          <w:color w:val="auto"/>
          <w:highlight w:val="none"/>
          <w:lang w:eastAsia="zh-CN"/>
        </w:rPr>
        <w:t>原矿堆库</w:t>
      </w:r>
      <w:r>
        <w:rPr>
          <w:rFonts w:hint="eastAsia"/>
          <w:color w:val="auto"/>
          <w:highlight w:val="none"/>
        </w:rPr>
        <w:t>粉尘产生量约862.1t/a（98.41kg/h）。</w:t>
      </w:r>
    </w:p>
    <w:p w14:paraId="18AE2D54">
      <w:pPr>
        <w:pStyle w:val="3"/>
        <w:ind w:firstLine="480"/>
        <w:rPr>
          <w:color w:val="auto"/>
          <w:highlight w:val="none"/>
        </w:rPr>
      </w:pPr>
      <w:r>
        <w:rPr>
          <w:rFonts w:hint="eastAsia"/>
          <w:color w:val="auto"/>
          <w:highlight w:val="none"/>
        </w:rPr>
        <w:t>工业企业固体物料堆场颗粒物排放量核算公式如下：</w:t>
      </w:r>
    </w:p>
    <w:p w14:paraId="6D0DBC77">
      <w:pPr>
        <w:pStyle w:val="3"/>
        <w:ind w:firstLine="480"/>
        <w:rPr>
          <w:color w:val="auto"/>
          <w:highlight w:val="none"/>
        </w:rPr>
      </w:pPr>
      <w:r>
        <w:rPr>
          <w:rFonts w:hint="eastAsia"/>
          <w:color w:val="auto"/>
          <w:highlight w:val="none"/>
        </w:rPr>
        <w:t>Uc=P×（1-Cm）×（1-Tm）</w:t>
      </w:r>
    </w:p>
    <w:p w14:paraId="43040FFA">
      <w:pPr>
        <w:pStyle w:val="3"/>
        <w:ind w:firstLine="480"/>
        <w:rPr>
          <w:color w:val="auto"/>
          <w:highlight w:val="none"/>
        </w:rPr>
      </w:pPr>
      <w:r>
        <w:rPr>
          <w:rFonts w:hint="eastAsia"/>
          <w:color w:val="auto"/>
          <w:highlight w:val="none"/>
        </w:rPr>
        <w:t>式中：P——颗粒物产生量（单位：吨）；</w:t>
      </w:r>
    </w:p>
    <w:p w14:paraId="0DE5AF48">
      <w:pPr>
        <w:pStyle w:val="3"/>
        <w:ind w:firstLine="480"/>
        <w:rPr>
          <w:color w:val="auto"/>
          <w:highlight w:val="none"/>
        </w:rPr>
      </w:pPr>
      <w:r>
        <w:rPr>
          <w:rFonts w:hint="eastAsia"/>
          <w:color w:val="auto"/>
          <w:highlight w:val="none"/>
        </w:rPr>
        <w:t>Uc——颗粒物排放量（单位：吨）；</w:t>
      </w:r>
    </w:p>
    <w:p w14:paraId="3F821F3E">
      <w:pPr>
        <w:pStyle w:val="3"/>
        <w:ind w:firstLine="480"/>
        <w:rPr>
          <w:color w:val="auto"/>
          <w:highlight w:val="none"/>
        </w:rPr>
      </w:pPr>
      <w:r>
        <w:rPr>
          <w:rFonts w:hint="eastAsia"/>
          <w:color w:val="auto"/>
          <w:highlight w:val="none"/>
        </w:rPr>
        <w:t>Cm——颗粒物控制措施控制效率（单位：%），</w:t>
      </w:r>
      <w:r>
        <w:rPr>
          <w:rFonts w:hint="eastAsia"/>
          <w:color w:val="auto"/>
          <w:highlight w:val="none"/>
          <w:lang w:eastAsia="zh-CN"/>
        </w:rPr>
        <w:t>原矿堆库</w:t>
      </w:r>
      <w:r>
        <w:rPr>
          <w:rFonts w:hint="eastAsia"/>
          <w:color w:val="auto"/>
          <w:highlight w:val="none"/>
        </w:rPr>
        <w:t>采取洒水抑尘措施，粉尘控制效率取74%；</w:t>
      </w:r>
    </w:p>
    <w:p w14:paraId="7DF56F4D">
      <w:pPr>
        <w:pStyle w:val="3"/>
        <w:ind w:firstLine="480"/>
        <w:rPr>
          <w:color w:val="auto"/>
          <w:highlight w:val="none"/>
        </w:rPr>
      </w:pPr>
      <w:r>
        <w:rPr>
          <w:rFonts w:hint="eastAsia"/>
          <w:color w:val="auto"/>
          <w:highlight w:val="none"/>
        </w:rPr>
        <w:t>Tm——堆场类型控制效率（单位：%），封闭式取99%</w:t>
      </w:r>
    </w:p>
    <w:p w14:paraId="4BBBDEC0">
      <w:pPr>
        <w:pStyle w:val="3"/>
        <w:ind w:firstLine="480"/>
        <w:rPr>
          <w:color w:val="auto"/>
          <w:highlight w:val="none"/>
        </w:rPr>
      </w:pPr>
      <w:r>
        <w:rPr>
          <w:rFonts w:hint="eastAsia"/>
          <w:color w:val="auto"/>
          <w:highlight w:val="none"/>
        </w:rPr>
        <w:t>经计算，运营期</w:t>
      </w:r>
      <w:r>
        <w:rPr>
          <w:rFonts w:hint="eastAsia"/>
          <w:color w:val="auto"/>
          <w:highlight w:val="none"/>
          <w:lang w:eastAsia="zh-CN"/>
        </w:rPr>
        <w:t>原矿堆库</w:t>
      </w:r>
      <w:r>
        <w:rPr>
          <w:rFonts w:hint="eastAsia"/>
          <w:color w:val="auto"/>
          <w:highlight w:val="none"/>
        </w:rPr>
        <w:t>采取封闭设计、洒水抑尘措施的前提下，粉尘排放量约 2.24t/a（0.48kg/h）</w:t>
      </w:r>
    </w:p>
    <w:p w14:paraId="015D364F">
      <w:pPr>
        <w:pStyle w:val="3"/>
        <w:ind w:firstLine="480"/>
        <w:rPr>
          <w:color w:val="auto"/>
          <w:highlight w:val="none"/>
        </w:rPr>
      </w:pPr>
      <w:r>
        <w:rPr>
          <w:rFonts w:hint="eastAsia"/>
          <w:color w:val="auto"/>
          <w:highlight w:val="none"/>
        </w:rPr>
        <w:t>（2）</w:t>
      </w:r>
      <w:r>
        <w:rPr>
          <w:color w:val="auto"/>
          <w:highlight w:val="none"/>
        </w:rPr>
        <w:t>破碎、筛分废气</w:t>
      </w:r>
    </w:p>
    <w:p w14:paraId="6FF91DE8">
      <w:pPr>
        <w:pStyle w:val="3"/>
        <w:ind w:firstLine="480"/>
        <w:rPr>
          <w:color w:val="auto"/>
          <w:highlight w:val="none"/>
        </w:rPr>
      </w:pPr>
      <w:r>
        <w:rPr>
          <w:color w:val="auto"/>
          <w:highlight w:val="none"/>
        </w:rPr>
        <w:t>原矿破碎（包括粗破、中细破及上料过程）、筛分（</w:t>
      </w:r>
      <w:r>
        <w:rPr>
          <w:rFonts w:hint="eastAsia"/>
          <w:color w:val="auto"/>
          <w:highlight w:val="none"/>
        </w:rPr>
        <w:t>1~3号筛分</w:t>
      </w:r>
      <w:r>
        <w:rPr>
          <w:color w:val="auto"/>
          <w:highlight w:val="none"/>
        </w:rPr>
        <w:t>及上料过程）过程中会产生一定的废气，污染物主要为颗粒物，本项目产品主要为铁精矿和钛精矿，产品合计量为</w:t>
      </w:r>
      <w:r>
        <w:rPr>
          <w:rFonts w:hint="eastAsia"/>
          <w:color w:val="auto"/>
          <w:highlight w:val="none"/>
        </w:rPr>
        <w:t>一期46.01</w:t>
      </w:r>
      <w:r>
        <w:rPr>
          <w:color w:val="auto"/>
          <w:highlight w:val="none"/>
        </w:rPr>
        <w:t>万吨/年，则根据破碎、筛分工序颗粒物产生系数（0.66kg/t产品）</w:t>
      </w:r>
      <w:r>
        <w:rPr>
          <w:rFonts w:hint="eastAsia"/>
          <w:color w:val="auto"/>
          <w:highlight w:val="none"/>
          <w:lang w:val="en-US" w:eastAsia="zh-CN"/>
        </w:rPr>
        <w:t>计算各车间污染物产生情况（详见表3.4-4）</w:t>
      </w:r>
      <w:r>
        <w:rPr>
          <w:color w:val="auto"/>
          <w:highlight w:val="none"/>
        </w:rPr>
        <w:t>。每座车间</w:t>
      </w:r>
      <w:r>
        <w:rPr>
          <w:rFonts w:hint="eastAsia"/>
          <w:color w:val="auto"/>
          <w:highlight w:val="none"/>
        </w:rPr>
        <w:t>（滚轴筛车间、粗/中碎车间、细</w:t>
      </w:r>
      <w:r>
        <w:rPr>
          <w:color w:val="auto"/>
          <w:highlight w:val="none"/>
        </w:rPr>
        <w:t>碎车间</w:t>
      </w:r>
      <w:r>
        <w:rPr>
          <w:rFonts w:hint="eastAsia"/>
          <w:color w:val="auto"/>
          <w:highlight w:val="none"/>
        </w:rPr>
        <w:t>、1~3号振动</w:t>
      </w:r>
      <w:r>
        <w:rPr>
          <w:rFonts w:hint="eastAsia"/>
          <w:color w:val="auto"/>
          <w:highlight w:val="none"/>
          <w:lang w:eastAsia="zh-CN"/>
        </w:rPr>
        <w:t>筛分</w:t>
      </w:r>
      <w:r>
        <w:rPr>
          <w:rFonts w:hint="eastAsia"/>
          <w:color w:val="auto"/>
          <w:highlight w:val="none"/>
        </w:rPr>
        <w:t>车间）</w:t>
      </w:r>
      <w:r>
        <w:rPr>
          <w:color w:val="auto"/>
          <w:highlight w:val="none"/>
        </w:rPr>
        <w:t>设1套布袋除尘器和1根排气筒，产尘点设有集气罩收集，颗粒物通过集气罩（收集效率90%）收集后进入袋式除尘器（除尘效率99.9%）处理达标后，最终通过排气筒排放，为有组织排放，未收集的废气为无组织废气。每座车间颗粒物的产生情况见表</w:t>
      </w:r>
      <w:r>
        <w:rPr>
          <w:rFonts w:hint="eastAsia"/>
          <w:color w:val="auto"/>
          <w:highlight w:val="none"/>
        </w:rPr>
        <w:t>3.4</w:t>
      </w:r>
      <w:r>
        <w:rPr>
          <w:color w:val="auto"/>
          <w:highlight w:val="none"/>
        </w:rPr>
        <w:t>-4，有组织废气产生及排放情况见表</w:t>
      </w:r>
      <w:r>
        <w:rPr>
          <w:rFonts w:hint="eastAsia"/>
          <w:color w:val="auto"/>
          <w:highlight w:val="none"/>
        </w:rPr>
        <w:t>3.4</w:t>
      </w:r>
      <w:r>
        <w:rPr>
          <w:color w:val="auto"/>
          <w:highlight w:val="none"/>
        </w:rPr>
        <w:t>-5。各设备均位于封闭的厂房内，封闭式厂房内控制无组织颗粒物效率为99%，则颗粒物逸散至大气环境</w:t>
      </w:r>
      <w:r>
        <w:rPr>
          <w:rFonts w:hint="eastAsia"/>
          <w:color w:val="auto"/>
          <w:highlight w:val="none"/>
        </w:rPr>
        <w:t>中的</w:t>
      </w:r>
      <w:r>
        <w:rPr>
          <w:color w:val="auto"/>
          <w:highlight w:val="none"/>
        </w:rPr>
        <w:t>量</w:t>
      </w:r>
      <w:r>
        <w:rPr>
          <w:rFonts w:hint="eastAsia"/>
          <w:color w:val="auto"/>
          <w:highlight w:val="none"/>
        </w:rPr>
        <w:t>、</w:t>
      </w:r>
      <w:r>
        <w:rPr>
          <w:color w:val="auto"/>
          <w:highlight w:val="none"/>
        </w:rPr>
        <w:t>沉降至车间内的颗粒物量见表3.</w:t>
      </w:r>
      <w:r>
        <w:rPr>
          <w:rFonts w:hint="eastAsia"/>
          <w:color w:val="auto"/>
          <w:highlight w:val="none"/>
        </w:rPr>
        <w:t>4</w:t>
      </w:r>
      <w:r>
        <w:rPr>
          <w:color w:val="auto"/>
          <w:highlight w:val="none"/>
        </w:rPr>
        <w:t>-</w:t>
      </w:r>
      <w:r>
        <w:rPr>
          <w:rFonts w:hint="eastAsia"/>
          <w:color w:val="auto"/>
          <w:highlight w:val="none"/>
        </w:rPr>
        <w:t>4</w:t>
      </w:r>
      <w:r>
        <w:rPr>
          <w:color w:val="auto"/>
          <w:highlight w:val="none"/>
        </w:rPr>
        <w:t>。</w:t>
      </w:r>
    </w:p>
    <w:p w14:paraId="42FD49BD">
      <w:pPr>
        <w:pStyle w:val="40"/>
        <w:spacing w:before="24" w:after="24"/>
        <w:rPr>
          <w:color w:val="auto"/>
          <w:highlight w:val="none"/>
        </w:rPr>
      </w:pPr>
      <w:r>
        <w:rPr>
          <w:color w:val="auto"/>
          <w:highlight w:val="none"/>
        </w:rPr>
        <w:t>表3.</w:t>
      </w:r>
      <w:r>
        <w:rPr>
          <w:rFonts w:hint="eastAsia"/>
          <w:color w:val="auto"/>
          <w:highlight w:val="none"/>
        </w:rPr>
        <w:t>4</w:t>
      </w:r>
      <w:r>
        <w:rPr>
          <w:color w:val="auto"/>
          <w:highlight w:val="none"/>
        </w:rPr>
        <w:t>-</w:t>
      </w:r>
      <w:r>
        <w:rPr>
          <w:rFonts w:hint="eastAsia"/>
          <w:color w:val="auto"/>
          <w:highlight w:val="none"/>
        </w:rPr>
        <w:t>4</w:t>
      </w:r>
      <w:r>
        <w:rPr>
          <w:color w:val="auto"/>
          <w:highlight w:val="none"/>
        </w:rPr>
        <w:t xml:space="preserve"> </w:t>
      </w:r>
      <w:r>
        <w:rPr>
          <w:rFonts w:hint="eastAsia"/>
          <w:color w:val="auto"/>
          <w:highlight w:val="none"/>
        </w:rPr>
        <w:t xml:space="preserve">   </w:t>
      </w:r>
      <w:r>
        <w:rPr>
          <w:color w:val="auto"/>
          <w:highlight w:val="none"/>
        </w:rPr>
        <w:t xml:space="preserve"> 每座车间颗粒物产生情况</w:t>
      </w:r>
    </w:p>
    <w:tbl>
      <w:tblPr>
        <w:tblStyle w:val="25"/>
        <w:tblW w:w="5054"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909"/>
        <w:gridCol w:w="1252"/>
        <w:gridCol w:w="1456"/>
        <w:gridCol w:w="1699"/>
        <w:gridCol w:w="2098"/>
      </w:tblGrid>
      <w:tr w14:paraId="62CD543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34" w:type="pct"/>
            <w:tcBorders>
              <w:tl2br w:val="nil"/>
              <w:tr2bl w:val="nil"/>
            </w:tcBorders>
            <w:vAlign w:val="center"/>
          </w:tcPr>
          <w:p w14:paraId="0A02B1CD">
            <w:pPr>
              <w:pStyle w:val="41"/>
              <w:rPr>
                <w:color w:val="auto"/>
                <w:highlight w:val="none"/>
              </w:rPr>
            </w:pPr>
            <w:r>
              <w:rPr>
                <w:color w:val="auto"/>
                <w:highlight w:val="none"/>
              </w:rPr>
              <w:t>车间名称</w:t>
            </w:r>
          </w:p>
        </w:tc>
        <w:tc>
          <w:tcPr>
            <w:tcW w:w="744" w:type="pct"/>
            <w:tcBorders>
              <w:tl2br w:val="nil"/>
              <w:tr2bl w:val="nil"/>
            </w:tcBorders>
            <w:vAlign w:val="center"/>
          </w:tcPr>
          <w:p w14:paraId="246BCCA8">
            <w:pPr>
              <w:pStyle w:val="41"/>
              <w:rPr>
                <w:color w:val="auto"/>
                <w:highlight w:val="none"/>
              </w:rPr>
            </w:pPr>
            <w:r>
              <w:rPr>
                <w:color w:val="auto"/>
                <w:highlight w:val="none"/>
              </w:rPr>
              <w:t>废气量（10</w:t>
            </w:r>
            <w:r>
              <w:rPr>
                <w:color w:val="auto"/>
                <w:highlight w:val="none"/>
                <w:vertAlign w:val="superscript"/>
              </w:rPr>
              <w:t>4</w:t>
            </w:r>
            <w:r>
              <w:rPr>
                <w:color w:val="auto"/>
                <w:highlight w:val="none"/>
              </w:rPr>
              <w:t>m</w:t>
            </w:r>
            <w:r>
              <w:rPr>
                <w:color w:val="auto"/>
                <w:highlight w:val="none"/>
                <w:vertAlign w:val="superscript"/>
              </w:rPr>
              <w:t>3</w:t>
            </w:r>
            <w:r>
              <w:rPr>
                <w:color w:val="auto"/>
                <w:highlight w:val="none"/>
              </w:rPr>
              <w:t>/a）</w:t>
            </w:r>
          </w:p>
        </w:tc>
        <w:tc>
          <w:tcPr>
            <w:tcW w:w="865" w:type="pct"/>
            <w:tcBorders>
              <w:tl2br w:val="nil"/>
              <w:tr2bl w:val="nil"/>
            </w:tcBorders>
            <w:vAlign w:val="center"/>
          </w:tcPr>
          <w:p w14:paraId="569711EF">
            <w:pPr>
              <w:pStyle w:val="41"/>
              <w:rPr>
                <w:color w:val="auto"/>
                <w:highlight w:val="none"/>
              </w:rPr>
            </w:pPr>
            <w:r>
              <w:rPr>
                <w:color w:val="auto"/>
                <w:highlight w:val="none"/>
              </w:rPr>
              <w:t>颗粒物产生量（t/a）</w:t>
            </w:r>
          </w:p>
        </w:tc>
        <w:tc>
          <w:tcPr>
            <w:tcW w:w="1009" w:type="pct"/>
            <w:tcBorders>
              <w:tl2br w:val="nil"/>
              <w:tr2bl w:val="nil"/>
            </w:tcBorders>
            <w:vAlign w:val="center"/>
          </w:tcPr>
          <w:p w14:paraId="7C97F3E8">
            <w:pPr>
              <w:pStyle w:val="41"/>
              <w:rPr>
                <w:color w:val="auto"/>
                <w:highlight w:val="none"/>
              </w:rPr>
            </w:pPr>
            <w:r>
              <w:rPr>
                <w:color w:val="auto"/>
                <w:highlight w:val="none"/>
              </w:rPr>
              <w:t>有组织颗粒物产生量（t/a）</w:t>
            </w:r>
          </w:p>
        </w:tc>
        <w:tc>
          <w:tcPr>
            <w:tcW w:w="1246" w:type="pct"/>
            <w:tcBorders>
              <w:tl2br w:val="nil"/>
              <w:tr2bl w:val="nil"/>
            </w:tcBorders>
            <w:vAlign w:val="center"/>
          </w:tcPr>
          <w:p w14:paraId="6C7515AC">
            <w:pPr>
              <w:pStyle w:val="41"/>
              <w:rPr>
                <w:color w:val="auto"/>
                <w:highlight w:val="none"/>
              </w:rPr>
            </w:pPr>
            <w:r>
              <w:rPr>
                <w:color w:val="auto"/>
                <w:highlight w:val="none"/>
              </w:rPr>
              <w:t>无组织废气颗粒物产生量（t/a）</w:t>
            </w:r>
          </w:p>
        </w:tc>
      </w:tr>
      <w:tr w14:paraId="227CE3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34" w:type="pct"/>
            <w:tcBorders>
              <w:tl2br w:val="nil"/>
              <w:tr2bl w:val="nil"/>
            </w:tcBorders>
            <w:vAlign w:val="center"/>
          </w:tcPr>
          <w:p w14:paraId="7A243E4E">
            <w:pPr>
              <w:pStyle w:val="41"/>
              <w:rPr>
                <w:color w:val="auto"/>
                <w:highlight w:val="none"/>
              </w:rPr>
            </w:pPr>
            <w:r>
              <w:rPr>
                <w:rFonts w:hint="eastAsia"/>
                <w:color w:val="auto"/>
                <w:highlight w:val="none"/>
              </w:rPr>
              <w:t>滚轴筛车间</w:t>
            </w:r>
          </w:p>
        </w:tc>
        <w:tc>
          <w:tcPr>
            <w:tcW w:w="744" w:type="pct"/>
            <w:tcBorders>
              <w:tl2br w:val="nil"/>
              <w:tr2bl w:val="nil"/>
            </w:tcBorders>
            <w:vAlign w:val="center"/>
          </w:tcPr>
          <w:p w14:paraId="5B773A5C">
            <w:pPr>
              <w:pStyle w:val="41"/>
              <w:rPr>
                <w:color w:val="auto"/>
                <w:highlight w:val="none"/>
              </w:rPr>
            </w:pPr>
            <w:r>
              <w:rPr>
                <w:rFonts w:hint="eastAsia"/>
                <w:color w:val="auto"/>
                <w:highlight w:val="none"/>
                <w:lang w:val="en-US" w:eastAsia="zh-CN"/>
              </w:rPr>
              <w:t>53641.65</w:t>
            </w:r>
          </w:p>
        </w:tc>
        <w:tc>
          <w:tcPr>
            <w:tcW w:w="865" w:type="pct"/>
            <w:tcBorders>
              <w:tl2br w:val="nil"/>
              <w:tr2bl w:val="nil"/>
            </w:tcBorders>
            <w:vAlign w:val="center"/>
          </w:tcPr>
          <w:p w14:paraId="0806B75D">
            <w:pPr>
              <w:pStyle w:val="41"/>
              <w:rPr>
                <w:rFonts w:hint="default" w:eastAsia="华文中宋"/>
                <w:color w:val="auto"/>
                <w:highlight w:val="none"/>
                <w:lang w:val="en-US" w:eastAsia="zh-CN"/>
              </w:rPr>
            </w:pPr>
            <w:r>
              <w:rPr>
                <w:rFonts w:hint="eastAsia"/>
                <w:color w:val="auto"/>
                <w:highlight w:val="none"/>
                <w:lang w:val="en-US" w:eastAsia="zh-CN"/>
              </w:rPr>
              <w:t>303.67</w:t>
            </w:r>
          </w:p>
        </w:tc>
        <w:tc>
          <w:tcPr>
            <w:tcW w:w="1009" w:type="pct"/>
            <w:tcBorders>
              <w:tl2br w:val="nil"/>
              <w:tr2bl w:val="nil"/>
            </w:tcBorders>
            <w:vAlign w:val="center"/>
          </w:tcPr>
          <w:p w14:paraId="04B51965">
            <w:pPr>
              <w:pStyle w:val="41"/>
              <w:rPr>
                <w:rFonts w:hint="default" w:eastAsia="华文中宋"/>
                <w:color w:val="auto"/>
                <w:highlight w:val="none"/>
                <w:lang w:val="en-US" w:eastAsia="zh-CN"/>
              </w:rPr>
            </w:pPr>
            <w:r>
              <w:rPr>
                <w:rFonts w:hint="eastAsia"/>
                <w:color w:val="auto"/>
                <w:highlight w:val="none"/>
                <w:lang w:val="en-US" w:eastAsia="zh-CN"/>
              </w:rPr>
              <w:t>273.303</w:t>
            </w:r>
          </w:p>
        </w:tc>
        <w:tc>
          <w:tcPr>
            <w:tcW w:w="1246" w:type="pct"/>
            <w:tcBorders>
              <w:tl2br w:val="nil"/>
              <w:tr2bl w:val="nil"/>
            </w:tcBorders>
            <w:vAlign w:val="center"/>
          </w:tcPr>
          <w:p w14:paraId="329BEA6B">
            <w:pPr>
              <w:pStyle w:val="41"/>
              <w:rPr>
                <w:rFonts w:hint="default" w:eastAsia="华文中宋"/>
                <w:color w:val="auto"/>
                <w:highlight w:val="none"/>
                <w:lang w:val="en-US" w:eastAsia="zh-CN"/>
              </w:rPr>
            </w:pPr>
            <w:r>
              <w:rPr>
                <w:rFonts w:hint="eastAsia"/>
                <w:color w:val="auto"/>
                <w:highlight w:val="none"/>
                <w:lang w:val="en-US" w:eastAsia="zh-CN"/>
              </w:rPr>
              <w:t>30.367</w:t>
            </w:r>
          </w:p>
        </w:tc>
      </w:tr>
      <w:tr w14:paraId="282FFBB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34" w:type="pct"/>
            <w:tcBorders>
              <w:tl2br w:val="nil"/>
              <w:tr2bl w:val="nil"/>
            </w:tcBorders>
            <w:vAlign w:val="center"/>
          </w:tcPr>
          <w:p w14:paraId="2C33CDBB">
            <w:pPr>
              <w:pStyle w:val="41"/>
              <w:rPr>
                <w:color w:val="auto"/>
                <w:highlight w:val="none"/>
              </w:rPr>
            </w:pPr>
            <w:r>
              <w:rPr>
                <w:rFonts w:hint="eastAsia"/>
                <w:color w:val="auto"/>
                <w:highlight w:val="none"/>
              </w:rPr>
              <w:t>粗中碎车间</w:t>
            </w:r>
          </w:p>
        </w:tc>
        <w:tc>
          <w:tcPr>
            <w:tcW w:w="744" w:type="pct"/>
            <w:tcBorders>
              <w:tl2br w:val="nil"/>
              <w:tr2bl w:val="nil"/>
            </w:tcBorders>
            <w:vAlign w:val="center"/>
          </w:tcPr>
          <w:p w14:paraId="5A684969">
            <w:pPr>
              <w:pStyle w:val="41"/>
              <w:rPr>
                <w:color w:val="auto"/>
                <w:highlight w:val="none"/>
              </w:rPr>
            </w:pPr>
            <w:r>
              <w:rPr>
                <w:rFonts w:hint="eastAsia"/>
                <w:color w:val="auto"/>
                <w:highlight w:val="none"/>
                <w:lang w:val="en-US" w:eastAsia="zh-CN"/>
              </w:rPr>
              <w:t>53641.65</w:t>
            </w:r>
          </w:p>
        </w:tc>
        <w:tc>
          <w:tcPr>
            <w:tcW w:w="865" w:type="pct"/>
            <w:tcBorders>
              <w:tl2br w:val="nil"/>
              <w:tr2bl w:val="nil"/>
            </w:tcBorders>
            <w:vAlign w:val="center"/>
          </w:tcPr>
          <w:p w14:paraId="6DD5301C">
            <w:pPr>
              <w:pStyle w:val="41"/>
              <w:rPr>
                <w:color w:val="auto"/>
                <w:highlight w:val="none"/>
              </w:rPr>
            </w:pPr>
            <w:r>
              <w:rPr>
                <w:rFonts w:hint="eastAsia"/>
                <w:color w:val="auto"/>
                <w:highlight w:val="none"/>
                <w:lang w:val="en-US" w:eastAsia="zh-CN"/>
              </w:rPr>
              <w:t>303.67</w:t>
            </w:r>
          </w:p>
        </w:tc>
        <w:tc>
          <w:tcPr>
            <w:tcW w:w="1009" w:type="pct"/>
            <w:tcBorders>
              <w:tl2br w:val="nil"/>
              <w:tr2bl w:val="nil"/>
            </w:tcBorders>
            <w:vAlign w:val="center"/>
          </w:tcPr>
          <w:p w14:paraId="26A3A2C0">
            <w:pPr>
              <w:pStyle w:val="41"/>
              <w:rPr>
                <w:color w:val="auto"/>
                <w:highlight w:val="none"/>
              </w:rPr>
            </w:pPr>
            <w:r>
              <w:rPr>
                <w:rFonts w:hint="eastAsia"/>
                <w:color w:val="auto"/>
                <w:highlight w:val="none"/>
                <w:lang w:val="en-US" w:eastAsia="zh-CN"/>
              </w:rPr>
              <w:t>273.303</w:t>
            </w:r>
          </w:p>
        </w:tc>
        <w:tc>
          <w:tcPr>
            <w:tcW w:w="1246" w:type="pct"/>
            <w:tcBorders>
              <w:tl2br w:val="nil"/>
              <w:tr2bl w:val="nil"/>
            </w:tcBorders>
            <w:vAlign w:val="center"/>
          </w:tcPr>
          <w:p w14:paraId="6EA76DE6">
            <w:pPr>
              <w:pStyle w:val="41"/>
              <w:rPr>
                <w:color w:val="auto"/>
                <w:highlight w:val="none"/>
              </w:rPr>
            </w:pPr>
            <w:r>
              <w:rPr>
                <w:rFonts w:hint="eastAsia"/>
                <w:color w:val="auto"/>
                <w:highlight w:val="none"/>
                <w:lang w:val="en-US" w:eastAsia="zh-CN"/>
              </w:rPr>
              <w:t>30.367</w:t>
            </w:r>
          </w:p>
        </w:tc>
      </w:tr>
      <w:tr w14:paraId="69F1E5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34" w:type="pct"/>
            <w:tcBorders>
              <w:tl2br w:val="nil"/>
              <w:tr2bl w:val="nil"/>
            </w:tcBorders>
            <w:vAlign w:val="center"/>
          </w:tcPr>
          <w:p w14:paraId="53D7F8A3">
            <w:pPr>
              <w:pStyle w:val="41"/>
              <w:rPr>
                <w:color w:val="auto"/>
                <w:highlight w:val="none"/>
              </w:rPr>
            </w:pPr>
            <w:r>
              <w:rPr>
                <w:rFonts w:hint="eastAsia"/>
                <w:color w:val="auto"/>
                <w:highlight w:val="none"/>
              </w:rPr>
              <w:t>细</w:t>
            </w:r>
            <w:r>
              <w:rPr>
                <w:color w:val="auto"/>
                <w:highlight w:val="none"/>
              </w:rPr>
              <w:t>碎车间</w:t>
            </w:r>
          </w:p>
        </w:tc>
        <w:tc>
          <w:tcPr>
            <w:tcW w:w="744" w:type="pct"/>
            <w:tcBorders>
              <w:tl2br w:val="nil"/>
              <w:tr2bl w:val="nil"/>
            </w:tcBorders>
            <w:vAlign w:val="center"/>
          </w:tcPr>
          <w:p w14:paraId="1F6A73A9">
            <w:pPr>
              <w:pStyle w:val="41"/>
              <w:rPr>
                <w:color w:val="auto"/>
                <w:highlight w:val="none"/>
              </w:rPr>
            </w:pPr>
            <w:r>
              <w:rPr>
                <w:rFonts w:hint="eastAsia"/>
                <w:color w:val="auto"/>
                <w:highlight w:val="none"/>
                <w:lang w:val="en-US" w:eastAsia="zh-CN"/>
              </w:rPr>
              <w:t>53641.65</w:t>
            </w:r>
          </w:p>
        </w:tc>
        <w:tc>
          <w:tcPr>
            <w:tcW w:w="865" w:type="pct"/>
            <w:tcBorders>
              <w:tl2br w:val="nil"/>
              <w:tr2bl w:val="nil"/>
            </w:tcBorders>
            <w:vAlign w:val="center"/>
          </w:tcPr>
          <w:p w14:paraId="51E3EA31">
            <w:pPr>
              <w:pStyle w:val="41"/>
              <w:rPr>
                <w:color w:val="auto"/>
                <w:highlight w:val="none"/>
              </w:rPr>
            </w:pPr>
            <w:r>
              <w:rPr>
                <w:rFonts w:hint="eastAsia"/>
                <w:color w:val="auto"/>
                <w:highlight w:val="none"/>
                <w:lang w:val="en-US" w:eastAsia="zh-CN"/>
              </w:rPr>
              <w:t>303.67</w:t>
            </w:r>
          </w:p>
        </w:tc>
        <w:tc>
          <w:tcPr>
            <w:tcW w:w="1009" w:type="pct"/>
            <w:tcBorders>
              <w:tl2br w:val="nil"/>
              <w:tr2bl w:val="nil"/>
            </w:tcBorders>
            <w:vAlign w:val="center"/>
          </w:tcPr>
          <w:p w14:paraId="2F9C44CD">
            <w:pPr>
              <w:pStyle w:val="41"/>
              <w:rPr>
                <w:color w:val="auto"/>
                <w:highlight w:val="none"/>
              </w:rPr>
            </w:pPr>
            <w:r>
              <w:rPr>
                <w:rFonts w:hint="eastAsia"/>
                <w:color w:val="auto"/>
                <w:highlight w:val="none"/>
                <w:lang w:val="en-US" w:eastAsia="zh-CN"/>
              </w:rPr>
              <w:t>273.303</w:t>
            </w:r>
          </w:p>
        </w:tc>
        <w:tc>
          <w:tcPr>
            <w:tcW w:w="1246" w:type="pct"/>
            <w:tcBorders>
              <w:tl2br w:val="nil"/>
              <w:tr2bl w:val="nil"/>
            </w:tcBorders>
            <w:vAlign w:val="center"/>
          </w:tcPr>
          <w:p w14:paraId="19082EA3">
            <w:pPr>
              <w:pStyle w:val="41"/>
              <w:rPr>
                <w:color w:val="auto"/>
                <w:highlight w:val="none"/>
              </w:rPr>
            </w:pPr>
            <w:r>
              <w:rPr>
                <w:rFonts w:hint="eastAsia"/>
                <w:color w:val="auto"/>
                <w:highlight w:val="none"/>
                <w:lang w:val="en-US" w:eastAsia="zh-CN"/>
              </w:rPr>
              <w:t>30.367</w:t>
            </w:r>
          </w:p>
        </w:tc>
      </w:tr>
      <w:tr w14:paraId="76D9B4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34" w:type="pct"/>
            <w:tcBorders>
              <w:tl2br w:val="nil"/>
              <w:tr2bl w:val="nil"/>
            </w:tcBorders>
            <w:vAlign w:val="center"/>
          </w:tcPr>
          <w:p w14:paraId="00021C3E">
            <w:pPr>
              <w:pStyle w:val="41"/>
              <w:rPr>
                <w:color w:val="auto"/>
                <w:highlight w:val="none"/>
              </w:rPr>
            </w:pPr>
            <w:r>
              <w:rPr>
                <w:rFonts w:hint="eastAsia"/>
                <w:color w:val="auto"/>
                <w:highlight w:val="none"/>
              </w:rPr>
              <w:t>1号振动</w:t>
            </w:r>
            <w:r>
              <w:rPr>
                <w:rFonts w:hint="eastAsia"/>
                <w:color w:val="auto"/>
                <w:highlight w:val="none"/>
                <w:lang w:eastAsia="zh-CN"/>
              </w:rPr>
              <w:t>筛分</w:t>
            </w:r>
            <w:r>
              <w:rPr>
                <w:rFonts w:hint="eastAsia"/>
                <w:color w:val="auto"/>
                <w:highlight w:val="none"/>
              </w:rPr>
              <w:t>车间</w:t>
            </w:r>
          </w:p>
        </w:tc>
        <w:tc>
          <w:tcPr>
            <w:tcW w:w="744" w:type="pct"/>
            <w:tcBorders>
              <w:tl2br w:val="nil"/>
              <w:tr2bl w:val="nil"/>
            </w:tcBorders>
            <w:vAlign w:val="center"/>
          </w:tcPr>
          <w:p w14:paraId="6C021B16">
            <w:pPr>
              <w:pStyle w:val="41"/>
              <w:rPr>
                <w:color w:val="auto"/>
                <w:highlight w:val="none"/>
              </w:rPr>
            </w:pPr>
            <w:r>
              <w:rPr>
                <w:rFonts w:hint="eastAsia"/>
                <w:color w:val="auto"/>
                <w:highlight w:val="none"/>
                <w:lang w:val="en-US" w:eastAsia="zh-CN"/>
              </w:rPr>
              <w:t>53641.65</w:t>
            </w:r>
          </w:p>
        </w:tc>
        <w:tc>
          <w:tcPr>
            <w:tcW w:w="865" w:type="pct"/>
            <w:tcBorders>
              <w:tl2br w:val="nil"/>
              <w:tr2bl w:val="nil"/>
            </w:tcBorders>
            <w:vAlign w:val="center"/>
          </w:tcPr>
          <w:p w14:paraId="27D60D69">
            <w:pPr>
              <w:pStyle w:val="41"/>
              <w:rPr>
                <w:color w:val="auto"/>
                <w:highlight w:val="none"/>
              </w:rPr>
            </w:pPr>
            <w:r>
              <w:rPr>
                <w:rFonts w:hint="eastAsia"/>
                <w:color w:val="auto"/>
                <w:highlight w:val="none"/>
                <w:lang w:val="en-US" w:eastAsia="zh-CN"/>
              </w:rPr>
              <w:t>303.67</w:t>
            </w:r>
          </w:p>
        </w:tc>
        <w:tc>
          <w:tcPr>
            <w:tcW w:w="1009" w:type="pct"/>
            <w:tcBorders>
              <w:tl2br w:val="nil"/>
              <w:tr2bl w:val="nil"/>
            </w:tcBorders>
            <w:vAlign w:val="center"/>
          </w:tcPr>
          <w:p w14:paraId="59CD447E">
            <w:pPr>
              <w:pStyle w:val="41"/>
              <w:rPr>
                <w:color w:val="auto"/>
                <w:highlight w:val="none"/>
              </w:rPr>
            </w:pPr>
            <w:r>
              <w:rPr>
                <w:rFonts w:hint="eastAsia"/>
                <w:color w:val="auto"/>
                <w:highlight w:val="none"/>
                <w:lang w:val="en-US" w:eastAsia="zh-CN"/>
              </w:rPr>
              <w:t>273.303</w:t>
            </w:r>
          </w:p>
        </w:tc>
        <w:tc>
          <w:tcPr>
            <w:tcW w:w="1246" w:type="pct"/>
            <w:tcBorders>
              <w:tl2br w:val="nil"/>
              <w:tr2bl w:val="nil"/>
            </w:tcBorders>
            <w:vAlign w:val="center"/>
          </w:tcPr>
          <w:p w14:paraId="32C97D53">
            <w:pPr>
              <w:pStyle w:val="41"/>
              <w:rPr>
                <w:color w:val="auto"/>
                <w:highlight w:val="none"/>
              </w:rPr>
            </w:pPr>
            <w:r>
              <w:rPr>
                <w:rFonts w:hint="eastAsia"/>
                <w:color w:val="auto"/>
                <w:highlight w:val="none"/>
                <w:lang w:val="en-US" w:eastAsia="zh-CN"/>
              </w:rPr>
              <w:t>30.367</w:t>
            </w:r>
          </w:p>
        </w:tc>
      </w:tr>
      <w:tr w14:paraId="499C65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34" w:type="pct"/>
            <w:tcBorders>
              <w:tl2br w:val="nil"/>
              <w:tr2bl w:val="nil"/>
            </w:tcBorders>
            <w:vAlign w:val="center"/>
          </w:tcPr>
          <w:p w14:paraId="18DCCA23">
            <w:pPr>
              <w:pStyle w:val="41"/>
              <w:rPr>
                <w:color w:val="auto"/>
                <w:highlight w:val="none"/>
              </w:rPr>
            </w:pPr>
            <w:r>
              <w:rPr>
                <w:rFonts w:hint="eastAsia"/>
                <w:color w:val="auto"/>
                <w:highlight w:val="none"/>
              </w:rPr>
              <w:t>2号振动</w:t>
            </w:r>
            <w:r>
              <w:rPr>
                <w:rFonts w:hint="eastAsia"/>
                <w:color w:val="auto"/>
                <w:highlight w:val="none"/>
                <w:lang w:eastAsia="zh-CN"/>
              </w:rPr>
              <w:t>筛分</w:t>
            </w:r>
            <w:r>
              <w:rPr>
                <w:rFonts w:hint="eastAsia"/>
                <w:color w:val="auto"/>
                <w:highlight w:val="none"/>
              </w:rPr>
              <w:t>车间</w:t>
            </w:r>
          </w:p>
        </w:tc>
        <w:tc>
          <w:tcPr>
            <w:tcW w:w="744" w:type="pct"/>
            <w:tcBorders>
              <w:tl2br w:val="nil"/>
              <w:tr2bl w:val="nil"/>
            </w:tcBorders>
            <w:vAlign w:val="center"/>
          </w:tcPr>
          <w:p w14:paraId="694366C5">
            <w:pPr>
              <w:pStyle w:val="41"/>
              <w:rPr>
                <w:color w:val="auto"/>
                <w:highlight w:val="none"/>
              </w:rPr>
            </w:pPr>
            <w:r>
              <w:rPr>
                <w:rFonts w:hint="eastAsia"/>
                <w:color w:val="auto"/>
                <w:highlight w:val="none"/>
                <w:lang w:val="en-US" w:eastAsia="zh-CN"/>
              </w:rPr>
              <w:t>53641.65</w:t>
            </w:r>
          </w:p>
        </w:tc>
        <w:tc>
          <w:tcPr>
            <w:tcW w:w="865" w:type="pct"/>
            <w:tcBorders>
              <w:tl2br w:val="nil"/>
              <w:tr2bl w:val="nil"/>
            </w:tcBorders>
            <w:vAlign w:val="center"/>
          </w:tcPr>
          <w:p w14:paraId="59CA8D66">
            <w:pPr>
              <w:pStyle w:val="41"/>
              <w:rPr>
                <w:color w:val="auto"/>
                <w:highlight w:val="none"/>
              </w:rPr>
            </w:pPr>
            <w:r>
              <w:rPr>
                <w:rFonts w:hint="eastAsia"/>
                <w:color w:val="auto"/>
                <w:highlight w:val="none"/>
                <w:lang w:val="en-US" w:eastAsia="zh-CN"/>
              </w:rPr>
              <w:t>303.67</w:t>
            </w:r>
          </w:p>
        </w:tc>
        <w:tc>
          <w:tcPr>
            <w:tcW w:w="1009" w:type="pct"/>
            <w:tcBorders>
              <w:tl2br w:val="nil"/>
              <w:tr2bl w:val="nil"/>
            </w:tcBorders>
            <w:vAlign w:val="center"/>
          </w:tcPr>
          <w:p w14:paraId="4A9F693B">
            <w:pPr>
              <w:pStyle w:val="41"/>
              <w:rPr>
                <w:color w:val="auto"/>
                <w:highlight w:val="none"/>
              </w:rPr>
            </w:pPr>
            <w:r>
              <w:rPr>
                <w:rFonts w:hint="eastAsia"/>
                <w:color w:val="auto"/>
                <w:highlight w:val="none"/>
                <w:lang w:val="en-US" w:eastAsia="zh-CN"/>
              </w:rPr>
              <w:t>273.303</w:t>
            </w:r>
          </w:p>
        </w:tc>
        <w:tc>
          <w:tcPr>
            <w:tcW w:w="1246" w:type="pct"/>
            <w:tcBorders>
              <w:tl2br w:val="nil"/>
              <w:tr2bl w:val="nil"/>
            </w:tcBorders>
            <w:vAlign w:val="center"/>
          </w:tcPr>
          <w:p w14:paraId="6094DAD7">
            <w:pPr>
              <w:pStyle w:val="41"/>
              <w:rPr>
                <w:color w:val="auto"/>
                <w:highlight w:val="none"/>
              </w:rPr>
            </w:pPr>
            <w:r>
              <w:rPr>
                <w:rFonts w:hint="eastAsia"/>
                <w:color w:val="auto"/>
                <w:highlight w:val="none"/>
                <w:lang w:val="en-US" w:eastAsia="zh-CN"/>
              </w:rPr>
              <w:t>30.367</w:t>
            </w:r>
          </w:p>
        </w:tc>
      </w:tr>
      <w:tr w14:paraId="70046F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34" w:type="pct"/>
            <w:tcBorders>
              <w:tl2br w:val="nil"/>
              <w:tr2bl w:val="nil"/>
            </w:tcBorders>
            <w:vAlign w:val="center"/>
          </w:tcPr>
          <w:p w14:paraId="0FE3B32B">
            <w:pPr>
              <w:pStyle w:val="41"/>
              <w:rPr>
                <w:color w:val="auto"/>
                <w:highlight w:val="none"/>
              </w:rPr>
            </w:pPr>
            <w:r>
              <w:rPr>
                <w:rFonts w:hint="eastAsia"/>
                <w:color w:val="auto"/>
                <w:highlight w:val="none"/>
              </w:rPr>
              <w:t>3号振动</w:t>
            </w:r>
            <w:r>
              <w:rPr>
                <w:rFonts w:hint="eastAsia"/>
                <w:color w:val="auto"/>
                <w:highlight w:val="none"/>
                <w:lang w:eastAsia="zh-CN"/>
              </w:rPr>
              <w:t>筛分</w:t>
            </w:r>
            <w:r>
              <w:rPr>
                <w:rFonts w:hint="eastAsia"/>
                <w:color w:val="auto"/>
                <w:highlight w:val="none"/>
              </w:rPr>
              <w:t>车间</w:t>
            </w:r>
          </w:p>
        </w:tc>
        <w:tc>
          <w:tcPr>
            <w:tcW w:w="744" w:type="pct"/>
            <w:tcBorders>
              <w:tl2br w:val="nil"/>
              <w:tr2bl w:val="nil"/>
            </w:tcBorders>
            <w:vAlign w:val="center"/>
          </w:tcPr>
          <w:p w14:paraId="2D5D3756">
            <w:pPr>
              <w:pStyle w:val="41"/>
              <w:rPr>
                <w:color w:val="auto"/>
                <w:highlight w:val="none"/>
              </w:rPr>
            </w:pPr>
            <w:r>
              <w:rPr>
                <w:rFonts w:hint="eastAsia"/>
                <w:color w:val="auto"/>
                <w:highlight w:val="none"/>
                <w:lang w:val="en-US" w:eastAsia="zh-CN"/>
              </w:rPr>
              <w:t>53641.65</w:t>
            </w:r>
          </w:p>
        </w:tc>
        <w:tc>
          <w:tcPr>
            <w:tcW w:w="865" w:type="pct"/>
            <w:tcBorders>
              <w:tl2br w:val="nil"/>
              <w:tr2bl w:val="nil"/>
            </w:tcBorders>
            <w:vAlign w:val="center"/>
          </w:tcPr>
          <w:p w14:paraId="6C20B95A">
            <w:pPr>
              <w:pStyle w:val="41"/>
              <w:rPr>
                <w:color w:val="auto"/>
                <w:highlight w:val="none"/>
              </w:rPr>
            </w:pPr>
            <w:r>
              <w:rPr>
                <w:rFonts w:hint="eastAsia"/>
                <w:color w:val="auto"/>
                <w:highlight w:val="none"/>
                <w:lang w:val="en-US" w:eastAsia="zh-CN"/>
              </w:rPr>
              <w:t>303.67</w:t>
            </w:r>
          </w:p>
        </w:tc>
        <w:tc>
          <w:tcPr>
            <w:tcW w:w="1009" w:type="pct"/>
            <w:tcBorders>
              <w:tl2br w:val="nil"/>
              <w:tr2bl w:val="nil"/>
            </w:tcBorders>
            <w:vAlign w:val="center"/>
          </w:tcPr>
          <w:p w14:paraId="3E73AD1A">
            <w:pPr>
              <w:pStyle w:val="41"/>
              <w:rPr>
                <w:color w:val="auto"/>
                <w:highlight w:val="none"/>
              </w:rPr>
            </w:pPr>
            <w:r>
              <w:rPr>
                <w:rFonts w:hint="eastAsia"/>
                <w:color w:val="auto"/>
                <w:highlight w:val="none"/>
                <w:lang w:val="en-US" w:eastAsia="zh-CN"/>
              </w:rPr>
              <w:t>273.303</w:t>
            </w:r>
          </w:p>
        </w:tc>
        <w:tc>
          <w:tcPr>
            <w:tcW w:w="1246" w:type="pct"/>
            <w:tcBorders>
              <w:tl2br w:val="nil"/>
              <w:tr2bl w:val="nil"/>
            </w:tcBorders>
            <w:vAlign w:val="center"/>
          </w:tcPr>
          <w:p w14:paraId="76C49E93">
            <w:pPr>
              <w:pStyle w:val="41"/>
              <w:rPr>
                <w:color w:val="auto"/>
                <w:highlight w:val="none"/>
              </w:rPr>
            </w:pPr>
            <w:r>
              <w:rPr>
                <w:rFonts w:hint="eastAsia"/>
                <w:color w:val="auto"/>
                <w:highlight w:val="none"/>
                <w:lang w:val="en-US" w:eastAsia="zh-CN"/>
              </w:rPr>
              <w:t>30.367</w:t>
            </w:r>
          </w:p>
        </w:tc>
      </w:tr>
    </w:tbl>
    <w:p w14:paraId="3F715E46">
      <w:pPr>
        <w:pStyle w:val="3"/>
        <w:ind w:firstLine="480"/>
        <w:rPr>
          <w:color w:val="auto"/>
          <w:highlight w:val="none"/>
        </w:rPr>
        <w:sectPr>
          <w:pgSz w:w="11900" w:h="16840"/>
          <w:pgMar w:top="1440" w:right="1803" w:bottom="1440" w:left="1803" w:header="1020" w:footer="673" w:gutter="0"/>
          <w:pgBorders>
            <w:top w:val="none" w:sz="0" w:space="0"/>
            <w:left w:val="none" w:sz="0" w:space="0"/>
            <w:bottom w:val="none" w:sz="0" w:space="0"/>
            <w:right w:val="none" w:sz="0" w:space="0"/>
          </w:pgBorders>
          <w:cols w:space="720" w:num="1"/>
          <w:docGrid w:linePitch="326" w:charSpace="0"/>
        </w:sectPr>
      </w:pPr>
    </w:p>
    <w:p w14:paraId="44384DE0">
      <w:pPr>
        <w:pStyle w:val="40"/>
        <w:spacing w:before="24" w:after="24"/>
        <w:rPr>
          <w:color w:val="auto"/>
          <w:highlight w:val="none"/>
        </w:rPr>
      </w:pPr>
      <w:r>
        <w:rPr>
          <w:color w:val="auto"/>
          <w:highlight w:val="none"/>
        </w:rPr>
        <w:t>表3.</w:t>
      </w:r>
      <w:r>
        <w:rPr>
          <w:rFonts w:hint="eastAsia"/>
          <w:color w:val="auto"/>
          <w:highlight w:val="none"/>
        </w:rPr>
        <w:t>4</w:t>
      </w:r>
      <w:r>
        <w:rPr>
          <w:color w:val="auto"/>
          <w:highlight w:val="none"/>
        </w:rPr>
        <w:t>-</w:t>
      </w:r>
      <w:r>
        <w:rPr>
          <w:rFonts w:hint="eastAsia"/>
          <w:color w:val="auto"/>
          <w:highlight w:val="none"/>
        </w:rPr>
        <w:t>5</w:t>
      </w:r>
      <w:r>
        <w:rPr>
          <w:color w:val="auto"/>
          <w:highlight w:val="none"/>
        </w:rPr>
        <w:t xml:space="preserve">  有组织废气产生及排放情况一览表</w:t>
      </w:r>
    </w:p>
    <w:tbl>
      <w:tblPr>
        <w:tblStyle w:val="25"/>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491"/>
        <w:gridCol w:w="1749"/>
        <w:gridCol w:w="899"/>
        <w:gridCol w:w="1626"/>
        <w:gridCol w:w="1019"/>
        <w:gridCol w:w="1243"/>
        <w:gridCol w:w="1257"/>
        <w:gridCol w:w="1453"/>
        <w:gridCol w:w="1019"/>
        <w:gridCol w:w="1053"/>
        <w:gridCol w:w="1175"/>
      </w:tblGrid>
      <w:tr w14:paraId="1AE862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36" w:type="pct"/>
            <w:vMerge w:val="restart"/>
            <w:tcBorders>
              <w:tl2br w:val="nil"/>
              <w:tr2bl w:val="nil"/>
            </w:tcBorders>
            <w:vAlign w:val="center"/>
          </w:tcPr>
          <w:p w14:paraId="3F106005">
            <w:pPr>
              <w:pStyle w:val="41"/>
              <w:rPr>
                <w:color w:val="auto"/>
                <w:highlight w:val="none"/>
              </w:rPr>
            </w:pPr>
            <w:r>
              <w:rPr>
                <w:color w:val="auto"/>
                <w:highlight w:val="none"/>
              </w:rPr>
              <w:t>车间名称</w:t>
            </w:r>
          </w:p>
        </w:tc>
        <w:tc>
          <w:tcPr>
            <w:tcW w:w="628" w:type="pct"/>
            <w:vMerge w:val="restart"/>
            <w:tcBorders>
              <w:tl2br w:val="nil"/>
              <w:tr2bl w:val="nil"/>
            </w:tcBorders>
            <w:vAlign w:val="center"/>
          </w:tcPr>
          <w:p w14:paraId="72406AE4">
            <w:pPr>
              <w:pStyle w:val="41"/>
              <w:rPr>
                <w:color w:val="auto"/>
                <w:highlight w:val="none"/>
              </w:rPr>
            </w:pPr>
            <w:r>
              <w:rPr>
                <w:color w:val="auto"/>
                <w:highlight w:val="none"/>
              </w:rPr>
              <w:t>污染物</w:t>
            </w:r>
          </w:p>
        </w:tc>
        <w:tc>
          <w:tcPr>
            <w:tcW w:w="324" w:type="pct"/>
            <w:vMerge w:val="restart"/>
            <w:tcBorders>
              <w:tl2br w:val="nil"/>
              <w:tr2bl w:val="nil"/>
            </w:tcBorders>
            <w:vAlign w:val="center"/>
          </w:tcPr>
          <w:p w14:paraId="2C51AD2F">
            <w:pPr>
              <w:pStyle w:val="41"/>
              <w:rPr>
                <w:color w:val="auto"/>
                <w:highlight w:val="none"/>
              </w:rPr>
            </w:pPr>
            <w:r>
              <w:rPr>
                <w:color w:val="auto"/>
                <w:highlight w:val="none"/>
              </w:rPr>
              <w:t>污染物名称</w:t>
            </w:r>
          </w:p>
        </w:tc>
        <w:tc>
          <w:tcPr>
            <w:tcW w:w="584" w:type="pct"/>
            <w:tcBorders>
              <w:tl2br w:val="nil"/>
              <w:tr2bl w:val="nil"/>
            </w:tcBorders>
            <w:vAlign w:val="center"/>
          </w:tcPr>
          <w:p w14:paraId="546D9D65">
            <w:pPr>
              <w:pStyle w:val="41"/>
              <w:rPr>
                <w:color w:val="auto"/>
                <w:highlight w:val="none"/>
              </w:rPr>
            </w:pPr>
            <w:r>
              <w:rPr>
                <w:color w:val="auto"/>
                <w:highlight w:val="none"/>
              </w:rPr>
              <w:t>废气量</w:t>
            </w:r>
          </w:p>
        </w:tc>
        <w:tc>
          <w:tcPr>
            <w:tcW w:w="1266" w:type="pct"/>
            <w:gridSpan w:val="3"/>
            <w:tcBorders>
              <w:tl2br w:val="nil"/>
              <w:tr2bl w:val="nil"/>
            </w:tcBorders>
            <w:vAlign w:val="center"/>
          </w:tcPr>
          <w:p w14:paraId="0C3C03D0">
            <w:pPr>
              <w:pStyle w:val="41"/>
              <w:rPr>
                <w:color w:val="auto"/>
                <w:highlight w:val="none"/>
              </w:rPr>
            </w:pPr>
            <w:r>
              <w:rPr>
                <w:color w:val="auto"/>
                <w:highlight w:val="none"/>
              </w:rPr>
              <w:t>产生情况</w:t>
            </w:r>
          </w:p>
        </w:tc>
        <w:tc>
          <w:tcPr>
            <w:tcW w:w="522" w:type="pct"/>
            <w:vMerge w:val="restart"/>
            <w:tcBorders>
              <w:tl2br w:val="nil"/>
              <w:tr2bl w:val="nil"/>
            </w:tcBorders>
            <w:vAlign w:val="center"/>
          </w:tcPr>
          <w:p w14:paraId="756AE70D">
            <w:pPr>
              <w:pStyle w:val="41"/>
              <w:rPr>
                <w:color w:val="auto"/>
                <w:highlight w:val="none"/>
              </w:rPr>
            </w:pPr>
            <w:r>
              <w:rPr>
                <w:color w:val="auto"/>
                <w:highlight w:val="none"/>
              </w:rPr>
              <w:t>年运行时间（h）</w:t>
            </w:r>
          </w:p>
        </w:tc>
        <w:tc>
          <w:tcPr>
            <w:tcW w:w="1137" w:type="pct"/>
            <w:gridSpan w:val="3"/>
            <w:tcBorders>
              <w:tl2br w:val="nil"/>
              <w:tr2bl w:val="nil"/>
            </w:tcBorders>
            <w:vAlign w:val="center"/>
          </w:tcPr>
          <w:p w14:paraId="212EC92C">
            <w:pPr>
              <w:pStyle w:val="41"/>
              <w:rPr>
                <w:color w:val="auto"/>
                <w:highlight w:val="none"/>
              </w:rPr>
            </w:pPr>
            <w:r>
              <w:rPr>
                <w:color w:val="auto"/>
                <w:highlight w:val="none"/>
              </w:rPr>
              <w:t>排放情况</w:t>
            </w:r>
          </w:p>
        </w:tc>
      </w:tr>
      <w:tr w14:paraId="7D9445F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36" w:type="pct"/>
            <w:vMerge w:val="continue"/>
            <w:tcBorders>
              <w:tl2br w:val="nil"/>
              <w:tr2bl w:val="nil"/>
            </w:tcBorders>
            <w:vAlign w:val="center"/>
          </w:tcPr>
          <w:p w14:paraId="6020F0FB">
            <w:pPr>
              <w:pStyle w:val="41"/>
              <w:rPr>
                <w:color w:val="auto"/>
                <w:highlight w:val="none"/>
              </w:rPr>
            </w:pPr>
          </w:p>
        </w:tc>
        <w:tc>
          <w:tcPr>
            <w:tcW w:w="628" w:type="pct"/>
            <w:vMerge w:val="continue"/>
            <w:tcBorders>
              <w:tl2br w:val="nil"/>
              <w:tr2bl w:val="nil"/>
            </w:tcBorders>
            <w:vAlign w:val="center"/>
          </w:tcPr>
          <w:p w14:paraId="6AC9C4D7">
            <w:pPr>
              <w:pStyle w:val="41"/>
              <w:rPr>
                <w:color w:val="auto"/>
                <w:highlight w:val="none"/>
              </w:rPr>
            </w:pPr>
          </w:p>
        </w:tc>
        <w:tc>
          <w:tcPr>
            <w:tcW w:w="324" w:type="pct"/>
            <w:vMerge w:val="continue"/>
            <w:tcBorders>
              <w:tl2br w:val="nil"/>
              <w:tr2bl w:val="nil"/>
            </w:tcBorders>
            <w:vAlign w:val="center"/>
          </w:tcPr>
          <w:p w14:paraId="59916F61">
            <w:pPr>
              <w:pStyle w:val="41"/>
              <w:rPr>
                <w:color w:val="auto"/>
                <w:highlight w:val="none"/>
              </w:rPr>
            </w:pPr>
          </w:p>
        </w:tc>
        <w:tc>
          <w:tcPr>
            <w:tcW w:w="584" w:type="pct"/>
            <w:tcBorders>
              <w:tl2br w:val="nil"/>
              <w:tr2bl w:val="nil"/>
            </w:tcBorders>
            <w:vAlign w:val="center"/>
          </w:tcPr>
          <w:p w14:paraId="3B6ABF12">
            <w:pPr>
              <w:pStyle w:val="41"/>
              <w:rPr>
                <w:color w:val="auto"/>
                <w:highlight w:val="none"/>
              </w:rPr>
            </w:pPr>
            <w:r>
              <w:rPr>
                <w:color w:val="auto"/>
                <w:highlight w:val="none"/>
              </w:rPr>
              <w:t>m</w:t>
            </w:r>
            <w:r>
              <w:rPr>
                <w:color w:val="auto"/>
                <w:highlight w:val="none"/>
                <w:vertAlign w:val="superscript"/>
              </w:rPr>
              <w:t>3</w:t>
            </w:r>
            <w:r>
              <w:rPr>
                <w:color w:val="auto"/>
                <w:highlight w:val="none"/>
              </w:rPr>
              <w:t>/h</w:t>
            </w:r>
          </w:p>
        </w:tc>
        <w:tc>
          <w:tcPr>
            <w:tcW w:w="367" w:type="pct"/>
            <w:tcBorders>
              <w:tl2br w:val="nil"/>
              <w:tr2bl w:val="nil"/>
            </w:tcBorders>
            <w:vAlign w:val="center"/>
          </w:tcPr>
          <w:p w14:paraId="0930DF6C">
            <w:pPr>
              <w:pStyle w:val="41"/>
              <w:rPr>
                <w:color w:val="auto"/>
                <w:highlight w:val="none"/>
              </w:rPr>
            </w:pPr>
            <w:r>
              <w:rPr>
                <w:color w:val="auto"/>
                <w:highlight w:val="none"/>
              </w:rPr>
              <w:t>mg/m</w:t>
            </w:r>
            <w:r>
              <w:rPr>
                <w:color w:val="auto"/>
                <w:highlight w:val="none"/>
                <w:vertAlign w:val="superscript"/>
              </w:rPr>
              <w:t>3</w:t>
            </w:r>
          </w:p>
        </w:tc>
        <w:tc>
          <w:tcPr>
            <w:tcW w:w="447" w:type="pct"/>
            <w:tcBorders>
              <w:tl2br w:val="nil"/>
              <w:tr2bl w:val="nil"/>
            </w:tcBorders>
            <w:vAlign w:val="center"/>
          </w:tcPr>
          <w:p w14:paraId="32F7E975">
            <w:pPr>
              <w:pStyle w:val="41"/>
              <w:rPr>
                <w:color w:val="auto"/>
                <w:highlight w:val="none"/>
              </w:rPr>
            </w:pPr>
            <w:r>
              <w:rPr>
                <w:color w:val="auto"/>
                <w:highlight w:val="none"/>
              </w:rPr>
              <w:t>kg/h</w:t>
            </w:r>
          </w:p>
        </w:tc>
        <w:tc>
          <w:tcPr>
            <w:tcW w:w="451" w:type="pct"/>
            <w:tcBorders>
              <w:tl2br w:val="nil"/>
              <w:tr2bl w:val="nil"/>
            </w:tcBorders>
            <w:vAlign w:val="center"/>
          </w:tcPr>
          <w:p w14:paraId="6BC40252">
            <w:pPr>
              <w:pStyle w:val="41"/>
              <w:rPr>
                <w:color w:val="auto"/>
                <w:highlight w:val="none"/>
              </w:rPr>
            </w:pPr>
            <w:r>
              <w:rPr>
                <w:color w:val="auto"/>
                <w:highlight w:val="none"/>
              </w:rPr>
              <w:t>t/a</w:t>
            </w:r>
          </w:p>
        </w:tc>
        <w:tc>
          <w:tcPr>
            <w:tcW w:w="522" w:type="pct"/>
            <w:vMerge w:val="continue"/>
            <w:tcBorders>
              <w:tl2br w:val="nil"/>
              <w:tr2bl w:val="nil"/>
            </w:tcBorders>
            <w:vAlign w:val="center"/>
          </w:tcPr>
          <w:p w14:paraId="5999F54E">
            <w:pPr>
              <w:pStyle w:val="41"/>
              <w:rPr>
                <w:color w:val="auto"/>
                <w:highlight w:val="none"/>
              </w:rPr>
            </w:pPr>
          </w:p>
        </w:tc>
        <w:tc>
          <w:tcPr>
            <w:tcW w:w="367" w:type="pct"/>
            <w:tcBorders>
              <w:tl2br w:val="nil"/>
              <w:tr2bl w:val="nil"/>
            </w:tcBorders>
            <w:vAlign w:val="center"/>
          </w:tcPr>
          <w:p w14:paraId="0264925F">
            <w:pPr>
              <w:pStyle w:val="41"/>
              <w:rPr>
                <w:color w:val="auto"/>
                <w:highlight w:val="none"/>
              </w:rPr>
            </w:pPr>
            <w:r>
              <w:rPr>
                <w:color w:val="auto"/>
                <w:highlight w:val="none"/>
              </w:rPr>
              <w:t>mg/m</w:t>
            </w:r>
            <w:r>
              <w:rPr>
                <w:color w:val="auto"/>
                <w:highlight w:val="none"/>
                <w:vertAlign w:val="superscript"/>
              </w:rPr>
              <w:t>3</w:t>
            </w:r>
          </w:p>
        </w:tc>
        <w:tc>
          <w:tcPr>
            <w:tcW w:w="379" w:type="pct"/>
            <w:tcBorders>
              <w:tl2br w:val="nil"/>
              <w:tr2bl w:val="nil"/>
            </w:tcBorders>
            <w:vAlign w:val="center"/>
          </w:tcPr>
          <w:p w14:paraId="6750029A">
            <w:pPr>
              <w:pStyle w:val="41"/>
              <w:rPr>
                <w:color w:val="auto"/>
                <w:highlight w:val="none"/>
              </w:rPr>
            </w:pPr>
            <w:r>
              <w:rPr>
                <w:color w:val="auto"/>
                <w:highlight w:val="none"/>
              </w:rPr>
              <w:t>kg/h</w:t>
            </w:r>
          </w:p>
        </w:tc>
        <w:tc>
          <w:tcPr>
            <w:tcW w:w="390" w:type="pct"/>
            <w:tcBorders>
              <w:tl2br w:val="nil"/>
              <w:tr2bl w:val="nil"/>
            </w:tcBorders>
            <w:vAlign w:val="center"/>
          </w:tcPr>
          <w:p w14:paraId="0380C1B7">
            <w:pPr>
              <w:pStyle w:val="41"/>
              <w:rPr>
                <w:color w:val="auto"/>
                <w:highlight w:val="none"/>
              </w:rPr>
            </w:pPr>
            <w:r>
              <w:rPr>
                <w:color w:val="auto"/>
                <w:highlight w:val="none"/>
              </w:rPr>
              <w:t>t/a</w:t>
            </w:r>
          </w:p>
        </w:tc>
      </w:tr>
      <w:tr w14:paraId="486B444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36" w:type="pct"/>
            <w:tcBorders>
              <w:tl2br w:val="nil"/>
              <w:tr2bl w:val="nil"/>
            </w:tcBorders>
            <w:vAlign w:val="center"/>
          </w:tcPr>
          <w:p w14:paraId="3C4C4528">
            <w:pPr>
              <w:pStyle w:val="41"/>
              <w:rPr>
                <w:color w:val="auto"/>
                <w:highlight w:val="none"/>
              </w:rPr>
            </w:pPr>
            <w:r>
              <w:rPr>
                <w:rFonts w:hint="eastAsia"/>
                <w:color w:val="auto"/>
                <w:highlight w:val="none"/>
              </w:rPr>
              <w:t>滚轴筛车间</w:t>
            </w:r>
          </w:p>
        </w:tc>
        <w:tc>
          <w:tcPr>
            <w:tcW w:w="628" w:type="pct"/>
            <w:tcBorders>
              <w:tl2br w:val="nil"/>
              <w:tr2bl w:val="nil"/>
            </w:tcBorders>
            <w:vAlign w:val="center"/>
          </w:tcPr>
          <w:p w14:paraId="5505ED44">
            <w:pPr>
              <w:pStyle w:val="41"/>
              <w:rPr>
                <w:color w:val="auto"/>
                <w:highlight w:val="none"/>
              </w:rPr>
            </w:pPr>
            <w:r>
              <w:rPr>
                <w:color w:val="auto"/>
                <w:highlight w:val="none"/>
              </w:rPr>
              <w:t>筛分废气</w:t>
            </w:r>
          </w:p>
        </w:tc>
        <w:tc>
          <w:tcPr>
            <w:tcW w:w="324" w:type="pct"/>
            <w:tcBorders>
              <w:tl2br w:val="nil"/>
              <w:tr2bl w:val="nil"/>
            </w:tcBorders>
            <w:vAlign w:val="center"/>
          </w:tcPr>
          <w:p w14:paraId="5F6C2C75">
            <w:pPr>
              <w:pStyle w:val="41"/>
              <w:rPr>
                <w:color w:val="auto"/>
                <w:highlight w:val="none"/>
              </w:rPr>
            </w:pPr>
            <w:r>
              <w:rPr>
                <w:color w:val="auto"/>
                <w:highlight w:val="none"/>
              </w:rPr>
              <w:t>PM</w:t>
            </w:r>
            <w:r>
              <w:rPr>
                <w:color w:val="auto"/>
                <w:highlight w:val="none"/>
                <w:vertAlign w:val="subscript"/>
              </w:rPr>
              <w:t>10</w:t>
            </w:r>
          </w:p>
        </w:tc>
        <w:tc>
          <w:tcPr>
            <w:tcW w:w="584" w:type="pct"/>
            <w:tcBorders>
              <w:tl2br w:val="nil"/>
              <w:tr2bl w:val="nil"/>
            </w:tcBorders>
            <w:vAlign w:val="center"/>
          </w:tcPr>
          <w:p w14:paraId="53F26DC7">
            <w:pPr>
              <w:pStyle w:val="41"/>
              <w:rPr>
                <w:rFonts w:hint="default" w:eastAsia="华文中宋"/>
                <w:color w:val="auto"/>
                <w:highlight w:val="none"/>
                <w:lang w:val="en-US" w:eastAsia="zh-CN"/>
              </w:rPr>
            </w:pPr>
            <w:r>
              <w:rPr>
                <w:rFonts w:hint="eastAsia"/>
                <w:color w:val="auto"/>
                <w:highlight w:val="none"/>
                <w:lang w:val="en-US" w:eastAsia="zh-CN"/>
              </w:rPr>
              <w:t>53641.65</w:t>
            </w:r>
          </w:p>
        </w:tc>
        <w:tc>
          <w:tcPr>
            <w:tcW w:w="367" w:type="pct"/>
            <w:tcBorders>
              <w:tl2br w:val="nil"/>
              <w:tr2bl w:val="nil"/>
            </w:tcBorders>
            <w:vAlign w:val="center"/>
          </w:tcPr>
          <w:p w14:paraId="166A4D01">
            <w:pPr>
              <w:pStyle w:val="41"/>
              <w:rPr>
                <w:color w:val="auto"/>
                <w:highlight w:val="none"/>
              </w:rPr>
            </w:pPr>
            <w:r>
              <w:rPr>
                <w:rFonts w:hint="eastAsia"/>
                <w:color w:val="auto"/>
                <w:highlight w:val="none"/>
              </w:rPr>
              <w:t>707.63</w:t>
            </w:r>
          </w:p>
        </w:tc>
        <w:tc>
          <w:tcPr>
            <w:tcW w:w="447" w:type="pct"/>
            <w:tcBorders>
              <w:tl2br w:val="nil"/>
              <w:tr2bl w:val="nil"/>
            </w:tcBorders>
            <w:vAlign w:val="center"/>
          </w:tcPr>
          <w:p w14:paraId="0718CD73">
            <w:pPr>
              <w:pStyle w:val="41"/>
              <w:rPr>
                <w:rFonts w:hint="default" w:eastAsia="华文中宋"/>
                <w:color w:val="auto"/>
                <w:highlight w:val="none"/>
                <w:lang w:val="en-US" w:eastAsia="zh-CN"/>
              </w:rPr>
            </w:pPr>
            <w:r>
              <w:rPr>
                <w:rFonts w:hint="eastAsia"/>
                <w:color w:val="auto"/>
                <w:highlight w:val="none"/>
                <w:lang w:val="en-US" w:eastAsia="zh-CN"/>
              </w:rPr>
              <w:t>37.959</w:t>
            </w:r>
          </w:p>
        </w:tc>
        <w:tc>
          <w:tcPr>
            <w:tcW w:w="451" w:type="pct"/>
            <w:tcBorders>
              <w:tl2br w:val="nil"/>
              <w:tr2bl w:val="nil"/>
            </w:tcBorders>
            <w:vAlign w:val="center"/>
          </w:tcPr>
          <w:p w14:paraId="5D8E5D16">
            <w:pPr>
              <w:pStyle w:val="41"/>
              <w:rPr>
                <w:color w:val="auto"/>
                <w:highlight w:val="none"/>
              </w:rPr>
            </w:pPr>
            <w:r>
              <w:rPr>
                <w:rFonts w:hint="eastAsia"/>
                <w:color w:val="auto"/>
                <w:highlight w:val="none"/>
                <w:lang w:val="en-US" w:eastAsia="zh-CN"/>
              </w:rPr>
              <w:t>273.303</w:t>
            </w:r>
          </w:p>
        </w:tc>
        <w:tc>
          <w:tcPr>
            <w:tcW w:w="522" w:type="pct"/>
            <w:vMerge w:val="restart"/>
            <w:tcBorders>
              <w:tl2br w:val="nil"/>
              <w:tr2bl w:val="nil"/>
            </w:tcBorders>
            <w:vAlign w:val="center"/>
          </w:tcPr>
          <w:p w14:paraId="39960A8E">
            <w:pPr>
              <w:pStyle w:val="41"/>
              <w:rPr>
                <w:color w:val="auto"/>
                <w:highlight w:val="none"/>
              </w:rPr>
            </w:pPr>
            <w:r>
              <w:rPr>
                <w:color w:val="auto"/>
                <w:highlight w:val="none"/>
              </w:rPr>
              <w:t>7200</w:t>
            </w:r>
          </w:p>
        </w:tc>
        <w:tc>
          <w:tcPr>
            <w:tcW w:w="367" w:type="pct"/>
            <w:tcBorders>
              <w:tl2br w:val="nil"/>
              <w:tr2bl w:val="nil"/>
            </w:tcBorders>
            <w:vAlign w:val="center"/>
          </w:tcPr>
          <w:p w14:paraId="4C1FC333">
            <w:pPr>
              <w:pStyle w:val="41"/>
              <w:rPr>
                <w:color w:val="auto"/>
                <w:highlight w:val="none"/>
              </w:rPr>
            </w:pPr>
            <w:r>
              <w:rPr>
                <w:rFonts w:hint="eastAsia"/>
                <w:color w:val="auto"/>
                <w:highlight w:val="none"/>
              </w:rPr>
              <w:t>0.708</w:t>
            </w:r>
          </w:p>
        </w:tc>
        <w:tc>
          <w:tcPr>
            <w:tcW w:w="379" w:type="pct"/>
            <w:tcBorders>
              <w:tl2br w:val="nil"/>
              <w:tr2bl w:val="nil"/>
            </w:tcBorders>
            <w:vAlign w:val="center"/>
          </w:tcPr>
          <w:p w14:paraId="79905EA7">
            <w:pPr>
              <w:pStyle w:val="41"/>
              <w:rPr>
                <w:rFonts w:hint="default" w:eastAsia="华文中宋"/>
                <w:color w:val="auto"/>
                <w:highlight w:val="none"/>
                <w:lang w:val="en-US" w:eastAsia="zh-CN"/>
              </w:rPr>
            </w:pPr>
            <w:r>
              <w:rPr>
                <w:rFonts w:hint="eastAsia"/>
                <w:color w:val="auto"/>
                <w:highlight w:val="none"/>
              </w:rPr>
              <w:t>0.0</w:t>
            </w:r>
            <w:r>
              <w:rPr>
                <w:rFonts w:hint="eastAsia"/>
                <w:color w:val="auto"/>
                <w:highlight w:val="none"/>
                <w:lang w:val="en-US" w:eastAsia="zh-CN"/>
              </w:rPr>
              <w:t>379</w:t>
            </w:r>
          </w:p>
        </w:tc>
        <w:tc>
          <w:tcPr>
            <w:tcW w:w="390" w:type="pct"/>
            <w:tcBorders>
              <w:tl2br w:val="nil"/>
              <w:tr2bl w:val="nil"/>
            </w:tcBorders>
            <w:vAlign w:val="center"/>
          </w:tcPr>
          <w:p w14:paraId="328C38C9">
            <w:pPr>
              <w:pStyle w:val="41"/>
              <w:rPr>
                <w:rFonts w:hint="default" w:eastAsia="华文中宋"/>
                <w:color w:val="auto"/>
                <w:highlight w:val="none"/>
                <w:lang w:val="en-US" w:eastAsia="zh-CN"/>
              </w:rPr>
            </w:pPr>
            <w:r>
              <w:rPr>
                <w:rFonts w:hint="default"/>
                <w:color w:val="auto"/>
                <w:highlight w:val="none"/>
                <w:lang w:val="en-US"/>
              </w:rPr>
              <w:t>0.04555</w:t>
            </w:r>
            <w:r>
              <w:rPr>
                <w:rFonts w:hint="eastAsia"/>
                <w:color w:val="auto"/>
                <w:highlight w:val="none"/>
                <w:lang w:val="en-US" w:eastAsia="zh-CN"/>
              </w:rPr>
              <w:t>0.273</w:t>
            </w:r>
          </w:p>
        </w:tc>
      </w:tr>
      <w:tr w14:paraId="6D6687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36" w:type="pct"/>
            <w:tcBorders>
              <w:tl2br w:val="nil"/>
              <w:tr2bl w:val="nil"/>
            </w:tcBorders>
            <w:vAlign w:val="center"/>
          </w:tcPr>
          <w:p w14:paraId="5626EF52">
            <w:pPr>
              <w:pStyle w:val="41"/>
              <w:rPr>
                <w:color w:val="auto"/>
                <w:highlight w:val="none"/>
              </w:rPr>
            </w:pPr>
            <w:r>
              <w:rPr>
                <w:rFonts w:hint="eastAsia"/>
                <w:color w:val="auto"/>
                <w:highlight w:val="none"/>
              </w:rPr>
              <w:t>粗中碎车间</w:t>
            </w:r>
          </w:p>
        </w:tc>
        <w:tc>
          <w:tcPr>
            <w:tcW w:w="628" w:type="pct"/>
            <w:tcBorders>
              <w:tl2br w:val="nil"/>
              <w:tr2bl w:val="nil"/>
            </w:tcBorders>
            <w:vAlign w:val="center"/>
          </w:tcPr>
          <w:p w14:paraId="2EB7F7FA">
            <w:pPr>
              <w:pStyle w:val="41"/>
              <w:rPr>
                <w:color w:val="auto"/>
                <w:highlight w:val="none"/>
              </w:rPr>
            </w:pPr>
            <w:r>
              <w:rPr>
                <w:rFonts w:hint="eastAsia"/>
                <w:color w:val="auto"/>
                <w:highlight w:val="none"/>
              </w:rPr>
              <w:t>粗中</w:t>
            </w:r>
            <w:r>
              <w:rPr>
                <w:color w:val="auto"/>
                <w:highlight w:val="none"/>
              </w:rPr>
              <w:t>碎废气</w:t>
            </w:r>
          </w:p>
        </w:tc>
        <w:tc>
          <w:tcPr>
            <w:tcW w:w="324" w:type="pct"/>
            <w:tcBorders>
              <w:tl2br w:val="nil"/>
              <w:tr2bl w:val="nil"/>
            </w:tcBorders>
            <w:vAlign w:val="center"/>
          </w:tcPr>
          <w:p w14:paraId="62B10DD5">
            <w:pPr>
              <w:pStyle w:val="41"/>
              <w:rPr>
                <w:color w:val="auto"/>
                <w:highlight w:val="none"/>
              </w:rPr>
            </w:pPr>
            <w:r>
              <w:rPr>
                <w:color w:val="auto"/>
                <w:highlight w:val="none"/>
              </w:rPr>
              <w:t>PM</w:t>
            </w:r>
            <w:r>
              <w:rPr>
                <w:color w:val="auto"/>
                <w:highlight w:val="none"/>
                <w:vertAlign w:val="subscript"/>
              </w:rPr>
              <w:t>10</w:t>
            </w:r>
          </w:p>
        </w:tc>
        <w:tc>
          <w:tcPr>
            <w:tcW w:w="584" w:type="pct"/>
            <w:tcBorders>
              <w:tl2br w:val="nil"/>
              <w:tr2bl w:val="nil"/>
            </w:tcBorders>
            <w:vAlign w:val="center"/>
          </w:tcPr>
          <w:p w14:paraId="3D6C8051">
            <w:pPr>
              <w:pStyle w:val="41"/>
              <w:rPr>
                <w:color w:val="auto"/>
                <w:highlight w:val="none"/>
              </w:rPr>
            </w:pPr>
            <w:r>
              <w:rPr>
                <w:rFonts w:hint="eastAsia"/>
                <w:color w:val="auto"/>
                <w:highlight w:val="none"/>
                <w:lang w:val="en-US" w:eastAsia="zh-CN"/>
              </w:rPr>
              <w:t>53641.65</w:t>
            </w:r>
          </w:p>
        </w:tc>
        <w:tc>
          <w:tcPr>
            <w:tcW w:w="367" w:type="pct"/>
            <w:tcBorders>
              <w:tl2br w:val="nil"/>
              <w:tr2bl w:val="nil"/>
            </w:tcBorders>
            <w:vAlign w:val="center"/>
          </w:tcPr>
          <w:p w14:paraId="06837866">
            <w:pPr>
              <w:pStyle w:val="41"/>
              <w:rPr>
                <w:color w:val="auto"/>
                <w:highlight w:val="none"/>
              </w:rPr>
            </w:pPr>
            <w:r>
              <w:rPr>
                <w:rFonts w:hint="eastAsia"/>
                <w:color w:val="auto"/>
                <w:highlight w:val="none"/>
              </w:rPr>
              <w:t>707.63</w:t>
            </w:r>
          </w:p>
        </w:tc>
        <w:tc>
          <w:tcPr>
            <w:tcW w:w="447" w:type="pct"/>
            <w:tcBorders>
              <w:tl2br w:val="nil"/>
              <w:tr2bl w:val="nil"/>
            </w:tcBorders>
            <w:vAlign w:val="center"/>
          </w:tcPr>
          <w:p w14:paraId="7CAE93C7">
            <w:pPr>
              <w:pStyle w:val="41"/>
              <w:rPr>
                <w:color w:val="auto"/>
                <w:highlight w:val="none"/>
              </w:rPr>
            </w:pPr>
            <w:r>
              <w:rPr>
                <w:rFonts w:hint="eastAsia"/>
                <w:color w:val="auto"/>
                <w:highlight w:val="none"/>
                <w:lang w:val="en-US" w:eastAsia="zh-CN"/>
              </w:rPr>
              <w:t>37.959</w:t>
            </w:r>
          </w:p>
        </w:tc>
        <w:tc>
          <w:tcPr>
            <w:tcW w:w="451" w:type="pct"/>
            <w:tcBorders>
              <w:tl2br w:val="nil"/>
              <w:tr2bl w:val="nil"/>
            </w:tcBorders>
            <w:vAlign w:val="center"/>
          </w:tcPr>
          <w:p w14:paraId="5068385F">
            <w:pPr>
              <w:pStyle w:val="41"/>
              <w:rPr>
                <w:color w:val="auto"/>
                <w:highlight w:val="none"/>
              </w:rPr>
            </w:pPr>
            <w:r>
              <w:rPr>
                <w:rFonts w:hint="eastAsia"/>
                <w:color w:val="auto"/>
                <w:highlight w:val="none"/>
                <w:lang w:val="en-US" w:eastAsia="zh-CN"/>
              </w:rPr>
              <w:t>273.303</w:t>
            </w:r>
          </w:p>
        </w:tc>
        <w:tc>
          <w:tcPr>
            <w:tcW w:w="522" w:type="pct"/>
            <w:vMerge w:val="continue"/>
            <w:tcBorders>
              <w:tl2br w:val="nil"/>
              <w:tr2bl w:val="nil"/>
            </w:tcBorders>
            <w:vAlign w:val="center"/>
          </w:tcPr>
          <w:p w14:paraId="494770C0">
            <w:pPr>
              <w:pStyle w:val="41"/>
              <w:rPr>
                <w:color w:val="auto"/>
                <w:highlight w:val="none"/>
              </w:rPr>
            </w:pPr>
          </w:p>
        </w:tc>
        <w:tc>
          <w:tcPr>
            <w:tcW w:w="367" w:type="pct"/>
            <w:tcBorders>
              <w:tl2br w:val="nil"/>
              <w:tr2bl w:val="nil"/>
            </w:tcBorders>
            <w:vAlign w:val="center"/>
          </w:tcPr>
          <w:p w14:paraId="54BD403A">
            <w:pPr>
              <w:pStyle w:val="41"/>
              <w:rPr>
                <w:color w:val="auto"/>
                <w:highlight w:val="none"/>
              </w:rPr>
            </w:pPr>
            <w:r>
              <w:rPr>
                <w:rFonts w:hint="eastAsia"/>
                <w:color w:val="auto"/>
                <w:highlight w:val="none"/>
              </w:rPr>
              <w:t>0.708</w:t>
            </w:r>
          </w:p>
        </w:tc>
        <w:tc>
          <w:tcPr>
            <w:tcW w:w="379" w:type="pct"/>
            <w:tcBorders>
              <w:tl2br w:val="nil"/>
              <w:tr2bl w:val="nil"/>
            </w:tcBorders>
            <w:vAlign w:val="center"/>
          </w:tcPr>
          <w:p w14:paraId="7B55E009">
            <w:pPr>
              <w:pStyle w:val="41"/>
              <w:rPr>
                <w:color w:val="auto"/>
                <w:highlight w:val="none"/>
              </w:rPr>
            </w:pPr>
            <w:r>
              <w:rPr>
                <w:rFonts w:hint="eastAsia"/>
                <w:color w:val="auto"/>
                <w:highlight w:val="none"/>
              </w:rPr>
              <w:t>0.0</w:t>
            </w:r>
            <w:r>
              <w:rPr>
                <w:rFonts w:hint="eastAsia"/>
                <w:color w:val="auto"/>
                <w:highlight w:val="none"/>
                <w:lang w:val="en-US" w:eastAsia="zh-CN"/>
              </w:rPr>
              <w:t>379</w:t>
            </w:r>
          </w:p>
        </w:tc>
        <w:tc>
          <w:tcPr>
            <w:tcW w:w="390" w:type="pct"/>
            <w:tcBorders>
              <w:tl2br w:val="nil"/>
              <w:tr2bl w:val="nil"/>
            </w:tcBorders>
            <w:vAlign w:val="center"/>
          </w:tcPr>
          <w:p w14:paraId="2880B9D9">
            <w:pPr>
              <w:pStyle w:val="41"/>
              <w:rPr>
                <w:color w:val="auto"/>
                <w:highlight w:val="none"/>
              </w:rPr>
            </w:pPr>
            <w:r>
              <w:rPr>
                <w:rFonts w:hint="eastAsia"/>
                <w:color w:val="auto"/>
                <w:highlight w:val="none"/>
                <w:lang w:val="en-US" w:eastAsia="zh-CN"/>
              </w:rPr>
              <w:t>0.273</w:t>
            </w:r>
          </w:p>
        </w:tc>
      </w:tr>
      <w:tr w14:paraId="27C1C5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36" w:type="pct"/>
            <w:tcBorders>
              <w:tl2br w:val="nil"/>
              <w:tr2bl w:val="nil"/>
            </w:tcBorders>
            <w:vAlign w:val="center"/>
          </w:tcPr>
          <w:p w14:paraId="117B9356">
            <w:pPr>
              <w:pStyle w:val="41"/>
              <w:rPr>
                <w:color w:val="auto"/>
                <w:highlight w:val="none"/>
              </w:rPr>
            </w:pPr>
            <w:r>
              <w:rPr>
                <w:rFonts w:hint="eastAsia"/>
                <w:color w:val="auto"/>
                <w:highlight w:val="none"/>
              </w:rPr>
              <w:t>细</w:t>
            </w:r>
            <w:r>
              <w:rPr>
                <w:color w:val="auto"/>
                <w:highlight w:val="none"/>
              </w:rPr>
              <w:t>碎车间</w:t>
            </w:r>
          </w:p>
        </w:tc>
        <w:tc>
          <w:tcPr>
            <w:tcW w:w="628" w:type="pct"/>
            <w:tcBorders>
              <w:tl2br w:val="nil"/>
              <w:tr2bl w:val="nil"/>
            </w:tcBorders>
            <w:vAlign w:val="center"/>
          </w:tcPr>
          <w:p w14:paraId="4CCFF420">
            <w:pPr>
              <w:pStyle w:val="41"/>
              <w:rPr>
                <w:color w:val="auto"/>
                <w:highlight w:val="none"/>
              </w:rPr>
            </w:pPr>
            <w:r>
              <w:rPr>
                <w:color w:val="auto"/>
                <w:highlight w:val="none"/>
              </w:rPr>
              <w:t>细碎废气</w:t>
            </w:r>
          </w:p>
        </w:tc>
        <w:tc>
          <w:tcPr>
            <w:tcW w:w="324" w:type="pct"/>
            <w:tcBorders>
              <w:tl2br w:val="nil"/>
              <w:tr2bl w:val="nil"/>
            </w:tcBorders>
            <w:vAlign w:val="center"/>
          </w:tcPr>
          <w:p w14:paraId="60D55E11">
            <w:pPr>
              <w:pStyle w:val="41"/>
              <w:rPr>
                <w:color w:val="auto"/>
                <w:highlight w:val="none"/>
              </w:rPr>
            </w:pPr>
            <w:r>
              <w:rPr>
                <w:color w:val="auto"/>
                <w:highlight w:val="none"/>
              </w:rPr>
              <w:t>PM</w:t>
            </w:r>
            <w:r>
              <w:rPr>
                <w:color w:val="auto"/>
                <w:highlight w:val="none"/>
                <w:vertAlign w:val="subscript"/>
              </w:rPr>
              <w:t>10</w:t>
            </w:r>
          </w:p>
        </w:tc>
        <w:tc>
          <w:tcPr>
            <w:tcW w:w="584" w:type="pct"/>
            <w:tcBorders>
              <w:tl2br w:val="nil"/>
              <w:tr2bl w:val="nil"/>
            </w:tcBorders>
            <w:vAlign w:val="center"/>
          </w:tcPr>
          <w:p w14:paraId="7486A856">
            <w:pPr>
              <w:pStyle w:val="41"/>
              <w:rPr>
                <w:color w:val="auto"/>
                <w:highlight w:val="none"/>
              </w:rPr>
            </w:pPr>
            <w:r>
              <w:rPr>
                <w:rFonts w:hint="eastAsia"/>
                <w:color w:val="auto"/>
                <w:highlight w:val="none"/>
                <w:lang w:val="en-US" w:eastAsia="zh-CN"/>
              </w:rPr>
              <w:t>53641.65</w:t>
            </w:r>
          </w:p>
        </w:tc>
        <w:tc>
          <w:tcPr>
            <w:tcW w:w="367" w:type="pct"/>
            <w:tcBorders>
              <w:tl2br w:val="nil"/>
              <w:tr2bl w:val="nil"/>
            </w:tcBorders>
            <w:vAlign w:val="center"/>
          </w:tcPr>
          <w:p w14:paraId="6CF4D63D">
            <w:pPr>
              <w:pStyle w:val="41"/>
              <w:rPr>
                <w:color w:val="auto"/>
                <w:highlight w:val="none"/>
              </w:rPr>
            </w:pPr>
            <w:r>
              <w:rPr>
                <w:rFonts w:hint="eastAsia"/>
                <w:color w:val="auto"/>
                <w:highlight w:val="none"/>
              </w:rPr>
              <w:t>707.63</w:t>
            </w:r>
          </w:p>
        </w:tc>
        <w:tc>
          <w:tcPr>
            <w:tcW w:w="447" w:type="pct"/>
            <w:tcBorders>
              <w:tl2br w:val="nil"/>
              <w:tr2bl w:val="nil"/>
            </w:tcBorders>
            <w:vAlign w:val="center"/>
          </w:tcPr>
          <w:p w14:paraId="07CBCAB0">
            <w:pPr>
              <w:pStyle w:val="41"/>
              <w:rPr>
                <w:color w:val="auto"/>
                <w:highlight w:val="none"/>
              </w:rPr>
            </w:pPr>
            <w:r>
              <w:rPr>
                <w:rFonts w:hint="eastAsia"/>
                <w:color w:val="auto"/>
                <w:highlight w:val="none"/>
                <w:lang w:val="en-US" w:eastAsia="zh-CN"/>
              </w:rPr>
              <w:t>37.959</w:t>
            </w:r>
          </w:p>
        </w:tc>
        <w:tc>
          <w:tcPr>
            <w:tcW w:w="451" w:type="pct"/>
            <w:tcBorders>
              <w:tl2br w:val="nil"/>
              <w:tr2bl w:val="nil"/>
            </w:tcBorders>
            <w:vAlign w:val="center"/>
          </w:tcPr>
          <w:p w14:paraId="302B8466">
            <w:pPr>
              <w:pStyle w:val="41"/>
              <w:rPr>
                <w:color w:val="auto"/>
                <w:highlight w:val="none"/>
              </w:rPr>
            </w:pPr>
            <w:r>
              <w:rPr>
                <w:rFonts w:hint="eastAsia"/>
                <w:color w:val="auto"/>
                <w:highlight w:val="none"/>
                <w:lang w:val="en-US" w:eastAsia="zh-CN"/>
              </w:rPr>
              <w:t>273.303</w:t>
            </w:r>
          </w:p>
        </w:tc>
        <w:tc>
          <w:tcPr>
            <w:tcW w:w="522" w:type="pct"/>
            <w:vMerge w:val="continue"/>
            <w:tcBorders>
              <w:tl2br w:val="nil"/>
              <w:tr2bl w:val="nil"/>
            </w:tcBorders>
            <w:vAlign w:val="center"/>
          </w:tcPr>
          <w:p w14:paraId="10831B51">
            <w:pPr>
              <w:pStyle w:val="41"/>
              <w:rPr>
                <w:color w:val="auto"/>
                <w:highlight w:val="none"/>
              </w:rPr>
            </w:pPr>
          </w:p>
        </w:tc>
        <w:tc>
          <w:tcPr>
            <w:tcW w:w="367" w:type="pct"/>
            <w:tcBorders>
              <w:tl2br w:val="nil"/>
              <w:tr2bl w:val="nil"/>
            </w:tcBorders>
            <w:vAlign w:val="center"/>
          </w:tcPr>
          <w:p w14:paraId="10BBB93C">
            <w:pPr>
              <w:pStyle w:val="41"/>
              <w:rPr>
                <w:color w:val="auto"/>
                <w:highlight w:val="none"/>
              </w:rPr>
            </w:pPr>
            <w:r>
              <w:rPr>
                <w:rFonts w:hint="eastAsia"/>
                <w:color w:val="auto"/>
                <w:highlight w:val="none"/>
              </w:rPr>
              <w:t>0.708</w:t>
            </w:r>
          </w:p>
        </w:tc>
        <w:tc>
          <w:tcPr>
            <w:tcW w:w="379" w:type="pct"/>
            <w:tcBorders>
              <w:tl2br w:val="nil"/>
              <w:tr2bl w:val="nil"/>
            </w:tcBorders>
            <w:vAlign w:val="center"/>
          </w:tcPr>
          <w:p w14:paraId="0CBDFF3A">
            <w:pPr>
              <w:pStyle w:val="41"/>
              <w:rPr>
                <w:color w:val="auto"/>
                <w:highlight w:val="none"/>
              </w:rPr>
            </w:pPr>
            <w:r>
              <w:rPr>
                <w:rFonts w:hint="eastAsia"/>
                <w:color w:val="auto"/>
                <w:highlight w:val="none"/>
              </w:rPr>
              <w:t>0.0</w:t>
            </w:r>
            <w:r>
              <w:rPr>
                <w:rFonts w:hint="eastAsia"/>
                <w:color w:val="auto"/>
                <w:highlight w:val="none"/>
                <w:lang w:val="en-US" w:eastAsia="zh-CN"/>
              </w:rPr>
              <w:t>379</w:t>
            </w:r>
          </w:p>
        </w:tc>
        <w:tc>
          <w:tcPr>
            <w:tcW w:w="390" w:type="pct"/>
            <w:tcBorders>
              <w:tl2br w:val="nil"/>
              <w:tr2bl w:val="nil"/>
            </w:tcBorders>
            <w:vAlign w:val="center"/>
          </w:tcPr>
          <w:p w14:paraId="6FF51209">
            <w:pPr>
              <w:pStyle w:val="41"/>
              <w:rPr>
                <w:color w:val="auto"/>
                <w:highlight w:val="none"/>
              </w:rPr>
            </w:pPr>
            <w:r>
              <w:rPr>
                <w:rFonts w:hint="eastAsia"/>
                <w:color w:val="auto"/>
                <w:highlight w:val="none"/>
                <w:lang w:val="en-US" w:eastAsia="zh-CN"/>
              </w:rPr>
              <w:t>0.273</w:t>
            </w:r>
          </w:p>
        </w:tc>
      </w:tr>
      <w:tr w14:paraId="087A7B8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36" w:type="pct"/>
            <w:tcBorders>
              <w:tl2br w:val="nil"/>
              <w:tr2bl w:val="nil"/>
            </w:tcBorders>
            <w:vAlign w:val="center"/>
          </w:tcPr>
          <w:p w14:paraId="4FBFBEA3">
            <w:pPr>
              <w:pStyle w:val="41"/>
              <w:rPr>
                <w:color w:val="auto"/>
                <w:highlight w:val="none"/>
              </w:rPr>
            </w:pPr>
            <w:r>
              <w:rPr>
                <w:rFonts w:hint="eastAsia"/>
                <w:color w:val="auto"/>
                <w:highlight w:val="none"/>
              </w:rPr>
              <w:t>1号振动筛分车间</w:t>
            </w:r>
          </w:p>
        </w:tc>
        <w:tc>
          <w:tcPr>
            <w:tcW w:w="628" w:type="pct"/>
            <w:tcBorders>
              <w:tl2br w:val="nil"/>
              <w:tr2bl w:val="nil"/>
            </w:tcBorders>
            <w:vAlign w:val="center"/>
          </w:tcPr>
          <w:p w14:paraId="0A015D77">
            <w:pPr>
              <w:pStyle w:val="41"/>
              <w:rPr>
                <w:color w:val="auto"/>
                <w:highlight w:val="none"/>
              </w:rPr>
            </w:pPr>
            <w:r>
              <w:rPr>
                <w:color w:val="auto"/>
                <w:highlight w:val="none"/>
              </w:rPr>
              <w:t>筛分废气</w:t>
            </w:r>
          </w:p>
        </w:tc>
        <w:tc>
          <w:tcPr>
            <w:tcW w:w="324" w:type="pct"/>
            <w:tcBorders>
              <w:tl2br w:val="nil"/>
              <w:tr2bl w:val="nil"/>
            </w:tcBorders>
            <w:vAlign w:val="center"/>
          </w:tcPr>
          <w:p w14:paraId="716B676F">
            <w:pPr>
              <w:pStyle w:val="41"/>
              <w:rPr>
                <w:color w:val="auto"/>
                <w:highlight w:val="none"/>
              </w:rPr>
            </w:pPr>
            <w:r>
              <w:rPr>
                <w:color w:val="auto"/>
                <w:highlight w:val="none"/>
              </w:rPr>
              <w:t>PM</w:t>
            </w:r>
            <w:r>
              <w:rPr>
                <w:color w:val="auto"/>
                <w:highlight w:val="none"/>
                <w:vertAlign w:val="subscript"/>
              </w:rPr>
              <w:t>10</w:t>
            </w:r>
          </w:p>
        </w:tc>
        <w:tc>
          <w:tcPr>
            <w:tcW w:w="584" w:type="pct"/>
            <w:tcBorders>
              <w:tl2br w:val="nil"/>
              <w:tr2bl w:val="nil"/>
            </w:tcBorders>
            <w:vAlign w:val="center"/>
          </w:tcPr>
          <w:p w14:paraId="406BF8EC">
            <w:pPr>
              <w:pStyle w:val="41"/>
              <w:rPr>
                <w:color w:val="auto"/>
                <w:highlight w:val="none"/>
              </w:rPr>
            </w:pPr>
            <w:r>
              <w:rPr>
                <w:rFonts w:hint="eastAsia"/>
                <w:color w:val="auto"/>
                <w:highlight w:val="none"/>
                <w:lang w:val="en-US" w:eastAsia="zh-CN"/>
              </w:rPr>
              <w:t>53641.65</w:t>
            </w:r>
          </w:p>
        </w:tc>
        <w:tc>
          <w:tcPr>
            <w:tcW w:w="367" w:type="pct"/>
            <w:tcBorders>
              <w:tl2br w:val="nil"/>
              <w:tr2bl w:val="nil"/>
            </w:tcBorders>
            <w:vAlign w:val="center"/>
          </w:tcPr>
          <w:p w14:paraId="09394948">
            <w:pPr>
              <w:pStyle w:val="41"/>
              <w:rPr>
                <w:color w:val="auto"/>
                <w:highlight w:val="none"/>
              </w:rPr>
            </w:pPr>
            <w:r>
              <w:rPr>
                <w:rFonts w:hint="eastAsia"/>
                <w:color w:val="auto"/>
                <w:highlight w:val="none"/>
              </w:rPr>
              <w:t>707.63</w:t>
            </w:r>
          </w:p>
        </w:tc>
        <w:tc>
          <w:tcPr>
            <w:tcW w:w="447" w:type="pct"/>
            <w:tcBorders>
              <w:tl2br w:val="nil"/>
              <w:tr2bl w:val="nil"/>
            </w:tcBorders>
            <w:vAlign w:val="center"/>
          </w:tcPr>
          <w:p w14:paraId="75BD16EF">
            <w:pPr>
              <w:pStyle w:val="41"/>
              <w:rPr>
                <w:color w:val="auto"/>
                <w:highlight w:val="none"/>
              </w:rPr>
            </w:pPr>
            <w:r>
              <w:rPr>
                <w:rFonts w:hint="eastAsia"/>
                <w:color w:val="auto"/>
                <w:highlight w:val="none"/>
                <w:lang w:val="en-US" w:eastAsia="zh-CN"/>
              </w:rPr>
              <w:t>37.959</w:t>
            </w:r>
          </w:p>
        </w:tc>
        <w:tc>
          <w:tcPr>
            <w:tcW w:w="451" w:type="pct"/>
            <w:tcBorders>
              <w:tl2br w:val="nil"/>
              <w:tr2bl w:val="nil"/>
            </w:tcBorders>
            <w:vAlign w:val="center"/>
          </w:tcPr>
          <w:p w14:paraId="7225CF79">
            <w:pPr>
              <w:pStyle w:val="41"/>
              <w:rPr>
                <w:color w:val="auto"/>
                <w:highlight w:val="none"/>
              </w:rPr>
            </w:pPr>
            <w:r>
              <w:rPr>
                <w:rFonts w:hint="eastAsia"/>
                <w:color w:val="auto"/>
                <w:highlight w:val="none"/>
                <w:lang w:val="en-US" w:eastAsia="zh-CN"/>
              </w:rPr>
              <w:t>273.303</w:t>
            </w:r>
          </w:p>
        </w:tc>
        <w:tc>
          <w:tcPr>
            <w:tcW w:w="522" w:type="pct"/>
            <w:vMerge w:val="continue"/>
            <w:tcBorders>
              <w:tl2br w:val="nil"/>
              <w:tr2bl w:val="nil"/>
            </w:tcBorders>
            <w:vAlign w:val="center"/>
          </w:tcPr>
          <w:p w14:paraId="2F955084">
            <w:pPr>
              <w:pStyle w:val="41"/>
              <w:rPr>
                <w:color w:val="auto"/>
                <w:highlight w:val="none"/>
              </w:rPr>
            </w:pPr>
          </w:p>
        </w:tc>
        <w:tc>
          <w:tcPr>
            <w:tcW w:w="367" w:type="pct"/>
            <w:tcBorders>
              <w:tl2br w:val="nil"/>
              <w:tr2bl w:val="nil"/>
            </w:tcBorders>
            <w:vAlign w:val="center"/>
          </w:tcPr>
          <w:p w14:paraId="0E3E9FAA">
            <w:pPr>
              <w:pStyle w:val="41"/>
              <w:rPr>
                <w:color w:val="auto"/>
                <w:highlight w:val="none"/>
              </w:rPr>
            </w:pPr>
            <w:r>
              <w:rPr>
                <w:rFonts w:hint="eastAsia"/>
                <w:color w:val="auto"/>
                <w:highlight w:val="none"/>
              </w:rPr>
              <w:t>0.708</w:t>
            </w:r>
          </w:p>
        </w:tc>
        <w:tc>
          <w:tcPr>
            <w:tcW w:w="379" w:type="pct"/>
            <w:tcBorders>
              <w:tl2br w:val="nil"/>
              <w:tr2bl w:val="nil"/>
            </w:tcBorders>
            <w:vAlign w:val="center"/>
          </w:tcPr>
          <w:p w14:paraId="137FE9B8">
            <w:pPr>
              <w:pStyle w:val="41"/>
              <w:rPr>
                <w:color w:val="auto"/>
                <w:highlight w:val="none"/>
              </w:rPr>
            </w:pPr>
            <w:r>
              <w:rPr>
                <w:rFonts w:hint="eastAsia"/>
                <w:color w:val="auto"/>
                <w:highlight w:val="none"/>
              </w:rPr>
              <w:t>0.0</w:t>
            </w:r>
            <w:r>
              <w:rPr>
                <w:rFonts w:hint="eastAsia"/>
                <w:color w:val="auto"/>
                <w:highlight w:val="none"/>
                <w:lang w:val="en-US" w:eastAsia="zh-CN"/>
              </w:rPr>
              <w:t>379</w:t>
            </w:r>
          </w:p>
        </w:tc>
        <w:tc>
          <w:tcPr>
            <w:tcW w:w="390" w:type="pct"/>
            <w:tcBorders>
              <w:tl2br w:val="nil"/>
              <w:tr2bl w:val="nil"/>
            </w:tcBorders>
            <w:vAlign w:val="center"/>
          </w:tcPr>
          <w:p w14:paraId="2D35EAB9">
            <w:pPr>
              <w:pStyle w:val="41"/>
              <w:rPr>
                <w:color w:val="auto"/>
                <w:highlight w:val="none"/>
              </w:rPr>
            </w:pPr>
            <w:r>
              <w:rPr>
                <w:rFonts w:hint="eastAsia"/>
                <w:color w:val="auto"/>
                <w:highlight w:val="none"/>
                <w:lang w:val="en-US" w:eastAsia="zh-CN"/>
              </w:rPr>
              <w:t>0.273</w:t>
            </w:r>
          </w:p>
        </w:tc>
      </w:tr>
      <w:tr w14:paraId="5466E7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36" w:type="pct"/>
            <w:tcBorders>
              <w:tl2br w:val="nil"/>
              <w:tr2bl w:val="nil"/>
            </w:tcBorders>
            <w:vAlign w:val="center"/>
          </w:tcPr>
          <w:p w14:paraId="5DE08B21">
            <w:pPr>
              <w:pStyle w:val="41"/>
              <w:rPr>
                <w:color w:val="auto"/>
                <w:highlight w:val="none"/>
              </w:rPr>
            </w:pPr>
            <w:r>
              <w:rPr>
                <w:rFonts w:hint="eastAsia"/>
                <w:color w:val="auto"/>
                <w:highlight w:val="none"/>
              </w:rPr>
              <w:t>2号振动筛分车间</w:t>
            </w:r>
          </w:p>
        </w:tc>
        <w:tc>
          <w:tcPr>
            <w:tcW w:w="628" w:type="pct"/>
            <w:tcBorders>
              <w:tl2br w:val="nil"/>
              <w:tr2bl w:val="nil"/>
            </w:tcBorders>
            <w:vAlign w:val="center"/>
          </w:tcPr>
          <w:p w14:paraId="0A466295">
            <w:pPr>
              <w:pStyle w:val="41"/>
              <w:rPr>
                <w:color w:val="auto"/>
                <w:highlight w:val="none"/>
              </w:rPr>
            </w:pPr>
            <w:r>
              <w:rPr>
                <w:color w:val="auto"/>
                <w:highlight w:val="none"/>
              </w:rPr>
              <w:t>筛分废气</w:t>
            </w:r>
          </w:p>
        </w:tc>
        <w:tc>
          <w:tcPr>
            <w:tcW w:w="324" w:type="pct"/>
            <w:tcBorders>
              <w:tl2br w:val="nil"/>
              <w:tr2bl w:val="nil"/>
            </w:tcBorders>
            <w:vAlign w:val="center"/>
          </w:tcPr>
          <w:p w14:paraId="4940AFB1">
            <w:pPr>
              <w:pStyle w:val="41"/>
              <w:rPr>
                <w:color w:val="auto"/>
                <w:highlight w:val="none"/>
              </w:rPr>
            </w:pPr>
            <w:r>
              <w:rPr>
                <w:color w:val="auto"/>
                <w:highlight w:val="none"/>
              </w:rPr>
              <w:t>PM</w:t>
            </w:r>
            <w:r>
              <w:rPr>
                <w:color w:val="auto"/>
                <w:highlight w:val="none"/>
                <w:vertAlign w:val="subscript"/>
              </w:rPr>
              <w:t>10</w:t>
            </w:r>
          </w:p>
        </w:tc>
        <w:tc>
          <w:tcPr>
            <w:tcW w:w="584" w:type="pct"/>
            <w:tcBorders>
              <w:tl2br w:val="nil"/>
              <w:tr2bl w:val="nil"/>
            </w:tcBorders>
            <w:vAlign w:val="center"/>
          </w:tcPr>
          <w:p w14:paraId="51A0F0AB">
            <w:pPr>
              <w:pStyle w:val="41"/>
              <w:rPr>
                <w:color w:val="auto"/>
                <w:highlight w:val="none"/>
              </w:rPr>
            </w:pPr>
            <w:r>
              <w:rPr>
                <w:rFonts w:hint="eastAsia"/>
                <w:color w:val="auto"/>
                <w:highlight w:val="none"/>
                <w:lang w:val="en-US" w:eastAsia="zh-CN"/>
              </w:rPr>
              <w:t>53641.65</w:t>
            </w:r>
          </w:p>
        </w:tc>
        <w:tc>
          <w:tcPr>
            <w:tcW w:w="367" w:type="pct"/>
            <w:tcBorders>
              <w:tl2br w:val="nil"/>
              <w:tr2bl w:val="nil"/>
            </w:tcBorders>
            <w:vAlign w:val="center"/>
          </w:tcPr>
          <w:p w14:paraId="263DA205">
            <w:pPr>
              <w:pStyle w:val="41"/>
              <w:rPr>
                <w:color w:val="auto"/>
                <w:highlight w:val="none"/>
              </w:rPr>
            </w:pPr>
            <w:r>
              <w:rPr>
                <w:rFonts w:hint="eastAsia"/>
                <w:color w:val="auto"/>
                <w:highlight w:val="none"/>
              </w:rPr>
              <w:t>707.63</w:t>
            </w:r>
          </w:p>
        </w:tc>
        <w:tc>
          <w:tcPr>
            <w:tcW w:w="447" w:type="pct"/>
            <w:tcBorders>
              <w:tl2br w:val="nil"/>
              <w:tr2bl w:val="nil"/>
            </w:tcBorders>
            <w:vAlign w:val="center"/>
          </w:tcPr>
          <w:p w14:paraId="257D61C0">
            <w:pPr>
              <w:pStyle w:val="41"/>
              <w:rPr>
                <w:color w:val="auto"/>
                <w:highlight w:val="none"/>
              </w:rPr>
            </w:pPr>
            <w:r>
              <w:rPr>
                <w:rFonts w:hint="eastAsia"/>
                <w:color w:val="auto"/>
                <w:highlight w:val="none"/>
                <w:lang w:val="en-US" w:eastAsia="zh-CN"/>
              </w:rPr>
              <w:t>37.959</w:t>
            </w:r>
          </w:p>
        </w:tc>
        <w:tc>
          <w:tcPr>
            <w:tcW w:w="451" w:type="pct"/>
            <w:tcBorders>
              <w:tl2br w:val="nil"/>
              <w:tr2bl w:val="nil"/>
            </w:tcBorders>
            <w:vAlign w:val="center"/>
          </w:tcPr>
          <w:p w14:paraId="561BC49C">
            <w:pPr>
              <w:pStyle w:val="41"/>
              <w:rPr>
                <w:color w:val="auto"/>
                <w:highlight w:val="none"/>
              </w:rPr>
            </w:pPr>
            <w:r>
              <w:rPr>
                <w:rFonts w:hint="eastAsia"/>
                <w:color w:val="auto"/>
                <w:highlight w:val="none"/>
                <w:lang w:val="en-US" w:eastAsia="zh-CN"/>
              </w:rPr>
              <w:t>273.303</w:t>
            </w:r>
          </w:p>
        </w:tc>
        <w:tc>
          <w:tcPr>
            <w:tcW w:w="522" w:type="pct"/>
            <w:vMerge w:val="continue"/>
            <w:tcBorders>
              <w:tl2br w:val="nil"/>
              <w:tr2bl w:val="nil"/>
            </w:tcBorders>
            <w:vAlign w:val="center"/>
          </w:tcPr>
          <w:p w14:paraId="025287EA">
            <w:pPr>
              <w:pStyle w:val="41"/>
              <w:rPr>
                <w:color w:val="auto"/>
                <w:highlight w:val="none"/>
              </w:rPr>
            </w:pPr>
          </w:p>
        </w:tc>
        <w:tc>
          <w:tcPr>
            <w:tcW w:w="367" w:type="pct"/>
            <w:tcBorders>
              <w:tl2br w:val="nil"/>
              <w:tr2bl w:val="nil"/>
            </w:tcBorders>
            <w:vAlign w:val="center"/>
          </w:tcPr>
          <w:p w14:paraId="3334DD6C">
            <w:pPr>
              <w:pStyle w:val="41"/>
              <w:rPr>
                <w:color w:val="auto"/>
                <w:highlight w:val="none"/>
              </w:rPr>
            </w:pPr>
            <w:r>
              <w:rPr>
                <w:rFonts w:hint="eastAsia"/>
                <w:color w:val="auto"/>
                <w:highlight w:val="none"/>
              </w:rPr>
              <w:t>0.708</w:t>
            </w:r>
          </w:p>
        </w:tc>
        <w:tc>
          <w:tcPr>
            <w:tcW w:w="379" w:type="pct"/>
            <w:tcBorders>
              <w:tl2br w:val="nil"/>
              <w:tr2bl w:val="nil"/>
            </w:tcBorders>
            <w:vAlign w:val="center"/>
          </w:tcPr>
          <w:p w14:paraId="0E1F41AB">
            <w:pPr>
              <w:pStyle w:val="41"/>
              <w:rPr>
                <w:color w:val="auto"/>
                <w:highlight w:val="none"/>
              </w:rPr>
            </w:pPr>
            <w:r>
              <w:rPr>
                <w:rFonts w:hint="eastAsia"/>
                <w:color w:val="auto"/>
                <w:highlight w:val="none"/>
              </w:rPr>
              <w:t>0.0</w:t>
            </w:r>
            <w:r>
              <w:rPr>
                <w:rFonts w:hint="eastAsia"/>
                <w:color w:val="auto"/>
                <w:highlight w:val="none"/>
                <w:lang w:val="en-US" w:eastAsia="zh-CN"/>
              </w:rPr>
              <w:t>379</w:t>
            </w:r>
          </w:p>
        </w:tc>
        <w:tc>
          <w:tcPr>
            <w:tcW w:w="390" w:type="pct"/>
            <w:tcBorders>
              <w:tl2br w:val="nil"/>
              <w:tr2bl w:val="nil"/>
            </w:tcBorders>
            <w:vAlign w:val="center"/>
          </w:tcPr>
          <w:p w14:paraId="602707E6">
            <w:pPr>
              <w:pStyle w:val="41"/>
              <w:rPr>
                <w:color w:val="auto"/>
                <w:highlight w:val="none"/>
              </w:rPr>
            </w:pPr>
            <w:r>
              <w:rPr>
                <w:rFonts w:hint="eastAsia"/>
                <w:color w:val="auto"/>
                <w:highlight w:val="none"/>
                <w:lang w:val="en-US" w:eastAsia="zh-CN"/>
              </w:rPr>
              <w:t>0.273</w:t>
            </w:r>
          </w:p>
        </w:tc>
      </w:tr>
      <w:tr w14:paraId="541E76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36" w:type="pct"/>
            <w:tcBorders>
              <w:tl2br w:val="nil"/>
              <w:tr2bl w:val="nil"/>
            </w:tcBorders>
            <w:vAlign w:val="center"/>
          </w:tcPr>
          <w:p w14:paraId="0ABA0E01">
            <w:pPr>
              <w:pStyle w:val="41"/>
              <w:rPr>
                <w:color w:val="auto"/>
                <w:highlight w:val="none"/>
              </w:rPr>
            </w:pPr>
            <w:r>
              <w:rPr>
                <w:rFonts w:hint="eastAsia"/>
                <w:color w:val="auto"/>
                <w:highlight w:val="none"/>
              </w:rPr>
              <w:t>3号振动筛分车间</w:t>
            </w:r>
          </w:p>
        </w:tc>
        <w:tc>
          <w:tcPr>
            <w:tcW w:w="628" w:type="pct"/>
            <w:tcBorders>
              <w:tl2br w:val="nil"/>
              <w:tr2bl w:val="nil"/>
            </w:tcBorders>
            <w:vAlign w:val="center"/>
          </w:tcPr>
          <w:p w14:paraId="1EB7E5A7">
            <w:pPr>
              <w:pStyle w:val="41"/>
              <w:rPr>
                <w:color w:val="auto"/>
                <w:highlight w:val="none"/>
              </w:rPr>
            </w:pPr>
            <w:r>
              <w:rPr>
                <w:color w:val="auto"/>
                <w:highlight w:val="none"/>
              </w:rPr>
              <w:t>筛分废气</w:t>
            </w:r>
          </w:p>
        </w:tc>
        <w:tc>
          <w:tcPr>
            <w:tcW w:w="324" w:type="pct"/>
            <w:tcBorders>
              <w:tl2br w:val="nil"/>
              <w:tr2bl w:val="nil"/>
            </w:tcBorders>
            <w:vAlign w:val="center"/>
          </w:tcPr>
          <w:p w14:paraId="0FF1EE5E">
            <w:pPr>
              <w:pStyle w:val="41"/>
              <w:rPr>
                <w:color w:val="auto"/>
                <w:highlight w:val="none"/>
              </w:rPr>
            </w:pPr>
            <w:r>
              <w:rPr>
                <w:color w:val="auto"/>
                <w:highlight w:val="none"/>
              </w:rPr>
              <w:t>PM</w:t>
            </w:r>
            <w:r>
              <w:rPr>
                <w:color w:val="auto"/>
                <w:highlight w:val="none"/>
                <w:vertAlign w:val="subscript"/>
              </w:rPr>
              <w:t>10</w:t>
            </w:r>
          </w:p>
        </w:tc>
        <w:tc>
          <w:tcPr>
            <w:tcW w:w="584" w:type="pct"/>
            <w:tcBorders>
              <w:tl2br w:val="nil"/>
              <w:tr2bl w:val="nil"/>
            </w:tcBorders>
            <w:vAlign w:val="center"/>
          </w:tcPr>
          <w:p w14:paraId="4F52568D">
            <w:pPr>
              <w:pStyle w:val="41"/>
              <w:rPr>
                <w:color w:val="auto"/>
                <w:highlight w:val="none"/>
              </w:rPr>
            </w:pPr>
            <w:r>
              <w:rPr>
                <w:rFonts w:hint="eastAsia"/>
                <w:color w:val="auto"/>
                <w:highlight w:val="none"/>
                <w:lang w:val="en-US" w:eastAsia="zh-CN"/>
              </w:rPr>
              <w:t>53641.65</w:t>
            </w:r>
          </w:p>
        </w:tc>
        <w:tc>
          <w:tcPr>
            <w:tcW w:w="367" w:type="pct"/>
            <w:tcBorders>
              <w:tl2br w:val="nil"/>
              <w:tr2bl w:val="nil"/>
            </w:tcBorders>
            <w:vAlign w:val="center"/>
          </w:tcPr>
          <w:p w14:paraId="24CF473A">
            <w:pPr>
              <w:pStyle w:val="41"/>
              <w:rPr>
                <w:color w:val="auto"/>
                <w:highlight w:val="none"/>
              </w:rPr>
            </w:pPr>
            <w:r>
              <w:rPr>
                <w:rFonts w:hint="eastAsia"/>
                <w:color w:val="auto"/>
                <w:highlight w:val="none"/>
              </w:rPr>
              <w:t>707.63</w:t>
            </w:r>
          </w:p>
        </w:tc>
        <w:tc>
          <w:tcPr>
            <w:tcW w:w="447" w:type="pct"/>
            <w:tcBorders>
              <w:tl2br w:val="nil"/>
              <w:tr2bl w:val="nil"/>
            </w:tcBorders>
            <w:vAlign w:val="center"/>
          </w:tcPr>
          <w:p w14:paraId="3EEC340B">
            <w:pPr>
              <w:pStyle w:val="41"/>
              <w:rPr>
                <w:color w:val="auto"/>
                <w:highlight w:val="none"/>
              </w:rPr>
            </w:pPr>
            <w:r>
              <w:rPr>
                <w:rFonts w:hint="eastAsia"/>
                <w:color w:val="auto"/>
                <w:highlight w:val="none"/>
                <w:lang w:val="en-US" w:eastAsia="zh-CN"/>
              </w:rPr>
              <w:t>37.959</w:t>
            </w:r>
          </w:p>
        </w:tc>
        <w:tc>
          <w:tcPr>
            <w:tcW w:w="451" w:type="pct"/>
            <w:tcBorders>
              <w:tl2br w:val="nil"/>
              <w:tr2bl w:val="nil"/>
            </w:tcBorders>
            <w:vAlign w:val="center"/>
          </w:tcPr>
          <w:p w14:paraId="069557C7">
            <w:pPr>
              <w:pStyle w:val="41"/>
              <w:rPr>
                <w:color w:val="auto"/>
                <w:highlight w:val="none"/>
              </w:rPr>
            </w:pPr>
            <w:r>
              <w:rPr>
                <w:rFonts w:hint="eastAsia"/>
                <w:color w:val="auto"/>
                <w:highlight w:val="none"/>
                <w:lang w:val="en-US" w:eastAsia="zh-CN"/>
              </w:rPr>
              <w:t>273.303</w:t>
            </w:r>
          </w:p>
        </w:tc>
        <w:tc>
          <w:tcPr>
            <w:tcW w:w="522" w:type="pct"/>
            <w:vMerge w:val="continue"/>
            <w:tcBorders>
              <w:tl2br w:val="nil"/>
              <w:tr2bl w:val="nil"/>
            </w:tcBorders>
            <w:vAlign w:val="center"/>
          </w:tcPr>
          <w:p w14:paraId="2A550F3D">
            <w:pPr>
              <w:pStyle w:val="41"/>
              <w:rPr>
                <w:color w:val="auto"/>
                <w:highlight w:val="none"/>
              </w:rPr>
            </w:pPr>
          </w:p>
        </w:tc>
        <w:tc>
          <w:tcPr>
            <w:tcW w:w="367" w:type="pct"/>
            <w:tcBorders>
              <w:tl2br w:val="nil"/>
              <w:tr2bl w:val="nil"/>
            </w:tcBorders>
            <w:vAlign w:val="center"/>
          </w:tcPr>
          <w:p w14:paraId="1C365581">
            <w:pPr>
              <w:pStyle w:val="41"/>
              <w:rPr>
                <w:color w:val="auto"/>
                <w:highlight w:val="none"/>
              </w:rPr>
            </w:pPr>
            <w:r>
              <w:rPr>
                <w:rFonts w:hint="eastAsia"/>
                <w:color w:val="auto"/>
                <w:highlight w:val="none"/>
              </w:rPr>
              <w:t>0.708</w:t>
            </w:r>
          </w:p>
        </w:tc>
        <w:tc>
          <w:tcPr>
            <w:tcW w:w="379" w:type="pct"/>
            <w:tcBorders>
              <w:tl2br w:val="nil"/>
              <w:tr2bl w:val="nil"/>
            </w:tcBorders>
            <w:vAlign w:val="center"/>
          </w:tcPr>
          <w:p w14:paraId="6B7AEE22">
            <w:pPr>
              <w:pStyle w:val="41"/>
              <w:rPr>
                <w:color w:val="auto"/>
                <w:highlight w:val="none"/>
              </w:rPr>
            </w:pPr>
            <w:r>
              <w:rPr>
                <w:rFonts w:hint="eastAsia"/>
                <w:color w:val="auto"/>
                <w:highlight w:val="none"/>
              </w:rPr>
              <w:t>0.0</w:t>
            </w:r>
            <w:r>
              <w:rPr>
                <w:rFonts w:hint="eastAsia"/>
                <w:color w:val="auto"/>
                <w:highlight w:val="none"/>
                <w:lang w:val="en-US" w:eastAsia="zh-CN"/>
              </w:rPr>
              <w:t>379</w:t>
            </w:r>
          </w:p>
        </w:tc>
        <w:tc>
          <w:tcPr>
            <w:tcW w:w="390" w:type="pct"/>
            <w:tcBorders>
              <w:tl2br w:val="nil"/>
              <w:tr2bl w:val="nil"/>
            </w:tcBorders>
            <w:vAlign w:val="center"/>
          </w:tcPr>
          <w:p w14:paraId="660E7800">
            <w:pPr>
              <w:pStyle w:val="41"/>
              <w:rPr>
                <w:color w:val="auto"/>
                <w:highlight w:val="none"/>
              </w:rPr>
            </w:pPr>
            <w:r>
              <w:rPr>
                <w:rFonts w:hint="eastAsia"/>
                <w:color w:val="auto"/>
                <w:highlight w:val="none"/>
                <w:lang w:val="en-US" w:eastAsia="zh-CN"/>
              </w:rPr>
              <w:t>0.273</w:t>
            </w:r>
          </w:p>
        </w:tc>
      </w:tr>
    </w:tbl>
    <w:p w14:paraId="2FAE8F05">
      <w:pPr>
        <w:pStyle w:val="3"/>
        <w:ind w:firstLine="480"/>
        <w:rPr>
          <w:color w:val="auto"/>
          <w:highlight w:val="none"/>
        </w:rPr>
        <w:sectPr>
          <w:pgSz w:w="16840" w:h="11900" w:orient="landscape"/>
          <w:pgMar w:top="1803" w:right="1440" w:bottom="1803" w:left="1440" w:header="1020" w:footer="675" w:gutter="0"/>
          <w:pgBorders>
            <w:top w:val="none" w:sz="0" w:space="0"/>
            <w:left w:val="none" w:sz="0" w:space="0"/>
            <w:bottom w:val="none" w:sz="0" w:space="0"/>
            <w:right w:val="none" w:sz="0" w:space="0"/>
          </w:pgBorders>
          <w:cols w:space="0" w:num="1"/>
          <w:docGrid w:linePitch="326" w:charSpace="0"/>
        </w:sectPr>
      </w:pPr>
    </w:p>
    <w:p w14:paraId="56B17B1F">
      <w:pPr>
        <w:pStyle w:val="3"/>
        <w:ind w:firstLine="480"/>
        <w:rPr>
          <w:color w:val="auto"/>
          <w:highlight w:val="none"/>
        </w:rPr>
      </w:pPr>
      <w:r>
        <w:rPr>
          <w:rFonts w:hint="eastAsia"/>
          <w:color w:val="auto"/>
          <w:highlight w:val="none"/>
        </w:rPr>
        <w:t>由表3.4-5可知，上述工段</w:t>
      </w:r>
      <w:r>
        <w:rPr>
          <w:color w:val="auto"/>
          <w:highlight w:val="none"/>
        </w:rPr>
        <w:t>破碎</w:t>
      </w:r>
      <w:r>
        <w:rPr>
          <w:rFonts w:hint="eastAsia"/>
          <w:color w:val="auto"/>
          <w:highlight w:val="none"/>
          <w:lang w:eastAsia="zh-CN"/>
        </w:rPr>
        <w:t>－</w:t>
      </w:r>
      <w:r>
        <w:rPr>
          <w:rFonts w:hint="eastAsia"/>
          <w:color w:val="auto"/>
          <w:highlight w:val="none"/>
        </w:rPr>
        <w:t>筛分-</w:t>
      </w:r>
      <w:r>
        <w:rPr>
          <w:color w:val="auto"/>
          <w:highlight w:val="none"/>
        </w:rPr>
        <w:t>干选</w:t>
      </w:r>
      <w:r>
        <w:rPr>
          <w:rFonts w:hint="eastAsia"/>
          <w:color w:val="auto"/>
          <w:highlight w:val="none"/>
        </w:rPr>
        <w:t>-高压辊磨</w:t>
      </w:r>
      <w:r>
        <w:rPr>
          <w:color w:val="auto"/>
          <w:highlight w:val="none"/>
        </w:rPr>
        <w:t>车间内有组织颗粒物排放浓度满足</w:t>
      </w:r>
      <w:r>
        <w:rPr>
          <w:color w:val="auto"/>
          <w:highlight w:val="none"/>
          <w:lang w:val="zh-CN"/>
        </w:rPr>
        <w:t>《铁矿采选工业污染物排放标准》（GB28661</w:t>
      </w:r>
      <w:r>
        <w:rPr>
          <w:color w:val="auto"/>
          <w:highlight w:val="none"/>
        </w:rPr>
        <w:t>-</w:t>
      </w:r>
      <w:r>
        <w:rPr>
          <w:color w:val="auto"/>
          <w:highlight w:val="none"/>
          <w:lang w:val="zh-CN"/>
        </w:rPr>
        <w:t>2012）</w:t>
      </w:r>
      <w:r>
        <w:rPr>
          <w:color w:val="auto"/>
          <w:highlight w:val="none"/>
        </w:rPr>
        <w:t>中表5新建企业大气污染物排放浓度限值。</w:t>
      </w:r>
    </w:p>
    <w:p w14:paraId="71CD38F6">
      <w:pPr>
        <w:pStyle w:val="40"/>
        <w:spacing w:before="24" w:after="24"/>
        <w:rPr>
          <w:color w:val="auto"/>
          <w:highlight w:val="none"/>
        </w:rPr>
      </w:pPr>
      <w:r>
        <w:rPr>
          <w:color w:val="auto"/>
          <w:highlight w:val="none"/>
        </w:rPr>
        <w:t>表3.</w:t>
      </w:r>
      <w:r>
        <w:rPr>
          <w:rFonts w:hint="eastAsia"/>
          <w:color w:val="auto"/>
          <w:highlight w:val="none"/>
        </w:rPr>
        <w:t>4</w:t>
      </w:r>
      <w:r>
        <w:rPr>
          <w:color w:val="auto"/>
          <w:highlight w:val="none"/>
        </w:rPr>
        <w:t>-</w:t>
      </w:r>
      <w:r>
        <w:rPr>
          <w:rFonts w:hint="eastAsia"/>
          <w:color w:val="auto"/>
          <w:highlight w:val="none"/>
        </w:rPr>
        <w:t>6</w:t>
      </w:r>
      <w:r>
        <w:rPr>
          <w:color w:val="auto"/>
          <w:highlight w:val="none"/>
        </w:rPr>
        <w:t xml:space="preserve">  </w:t>
      </w:r>
      <w:r>
        <w:rPr>
          <w:rFonts w:hint="eastAsia"/>
          <w:color w:val="auto"/>
          <w:highlight w:val="none"/>
        </w:rPr>
        <w:t xml:space="preserve"> </w:t>
      </w:r>
      <w:r>
        <w:rPr>
          <w:color w:val="auto"/>
          <w:highlight w:val="none"/>
        </w:rPr>
        <w:t>无组织废气产生及排放情况一览表</w:t>
      </w:r>
    </w:p>
    <w:tbl>
      <w:tblPr>
        <w:tblStyle w:val="25"/>
        <w:tblW w:w="501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2169"/>
        <w:gridCol w:w="1628"/>
        <w:gridCol w:w="2312"/>
        <w:gridCol w:w="2245"/>
      </w:tblGrid>
      <w:tr w14:paraId="5B0EF0C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298" w:type="pct"/>
            <w:tcBorders>
              <w:tl2br w:val="nil"/>
              <w:tr2bl w:val="nil"/>
            </w:tcBorders>
            <w:vAlign w:val="center"/>
          </w:tcPr>
          <w:p w14:paraId="690F3A5D">
            <w:pPr>
              <w:pStyle w:val="41"/>
              <w:rPr>
                <w:color w:val="auto"/>
                <w:highlight w:val="none"/>
              </w:rPr>
            </w:pPr>
            <w:r>
              <w:rPr>
                <w:rFonts w:hint="eastAsia"/>
                <w:color w:val="auto"/>
                <w:highlight w:val="none"/>
              </w:rPr>
              <w:t>车间名称</w:t>
            </w:r>
          </w:p>
        </w:tc>
        <w:tc>
          <w:tcPr>
            <w:tcW w:w="974" w:type="pct"/>
            <w:tcBorders>
              <w:tl2br w:val="nil"/>
              <w:tr2bl w:val="nil"/>
            </w:tcBorders>
            <w:vAlign w:val="center"/>
          </w:tcPr>
          <w:p w14:paraId="083EEB83">
            <w:pPr>
              <w:pStyle w:val="41"/>
              <w:rPr>
                <w:color w:val="auto"/>
                <w:highlight w:val="none"/>
              </w:rPr>
            </w:pPr>
            <w:r>
              <w:rPr>
                <w:rFonts w:hint="eastAsia"/>
                <w:color w:val="auto"/>
                <w:highlight w:val="none"/>
              </w:rPr>
              <w:t>无组织废气颗粒物产生量（t/a）</w:t>
            </w:r>
          </w:p>
        </w:tc>
        <w:tc>
          <w:tcPr>
            <w:tcW w:w="1383" w:type="pct"/>
            <w:tcBorders>
              <w:tl2br w:val="nil"/>
              <w:tr2bl w:val="nil"/>
            </w:tcBorders>
            <w:vAlign w:val="center"/>
          </w:tcPr>
          <w:p w14:paraId="70DDBF61">
            <w:pPr>
              <w:pStyle w:val="41"/>
              <w:rPr>
                <w:color w:val="auto"/>
                <w:highlight w:val="none"/>
              </w:rPr>
            </w:pPr>
            <w:r>
              <w:rPr>
                <w:rFonts w:hint="eastAsia"/>
                <w:color w:val="auto"/>
                <w:highlight w:val="none"/>
              </w:rPr>
              <w:t>逸散至大气环境中的颗粒物量（t/a）</w:t>
            </w:r>
          </w:p>
        </w:tc>
        <w:tc>
          <w:tcPr>
            <w:tcW w:w="1343" w:type="pct"/>
            <w:tcBorders>
              <w:tl2br w:val="nil"/>
              <w:tr2bl w:val="nil"/>
            </w:tcBorders>
            <w:vAlign w:val="center"/>
          </w:tcPr>
          <w:p w14:paraId="0603CE53">
            <w:pPr>
              <w:pStyle w:val="41"/>
              <w:rPr>
                <w:color w:val="auto"/>
                <w:highlight w:val="none"/>
              </w:rPr>
            </w:pPr>
            <w:r>
              <w:rPr>
                <w:rFonts w:hint="eastAsia"/>
                <w:color w:val="auto"/>
                <w:highlight w:val="none"/>
              </w:rPr>
              <w:t>沉降至车间内的颗粒物量（t/a）</w:t>
            </w:r>
          </w:p>
        </w:tc>
      </w:tr>
      <w:tr w14:paraId="56DC33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298" w:type="pct"/>
            <w:tcBorders>
              <w:tl2br w:val="nil"/>
              <w:tr2bl w:val="nil"/>
            </w:tcBorders>
            <w:vAlign w:val="center"/>
          </w:tcPr>
          <w:p w14:paraId="6738366B">
            <w:pPr>
              <w:pStyle w:val="41"/>
              <w:rPr>
                <w:color w:val="auto"/>
                <w:highlight w:val="none"/>
              </w:rPr>
            </w:pPr>
            <w:r>
              <w:rPr>
                <w:rFonts w:hint="eastAsia"/>
                <w:color w:val="auto"/>
                <w:highlight w:val="none"/>
              </w:rPr>
              <w:t>滚轴筛车间</w:t>
            </w:r>
          </w:p>
        </w:tc>
        <w:tc>
          <w:tcPr>
            <w:tcW w:w="974" w:type="pct"/>
            <w:tcBorders>
              <w:tl2br w:val="nil"/>
              <w:tr2bl w:val="nil"/>
            </w:tcBorders>
            <w:vAlign w:val="center"/>
          </w:tcPr>
          <w:p w14:paraId="728C9A2F">
            <w:pPr>
              <w:pStyle w:val="41"/>
              <w:rPr>
                <w:color w:val="auto"/>
                <w:highlight w:val="none"/>
              </w:rPr>
            </w:pPr>
            <w:r>
              <w:rPr>
                <w:rFonts w:hint="eastAsia"/>
                <w:color w:val="auto"/>
                <w:highlight w:val="none"/>
                <w:lang w:val="en-US" w:eastAsia="zh-CN"/>
              </w:rPr>
              <w:t>30.367</w:t>
            </w:r>
          </w:p>
        </w:tc>
        <w:tc>
          <w:tcPr>
            <w:tcW w:w="1383" w:type="pct"/>
            <w:tcBorders>
              <w:tl2br w:val="nil"/>
              <w:tr2bl w:val="nil"/>
            </w:tcBorders>
            <w:vAlign w:val="center"/>
          </w:tcPr>
          <w:p w14:paraId="1703EBD2">
            <w:pPr>
              <w:pStyle w:val="41"/>
              <w:rPr>
                <w:rFonts w:hint="default" w:eastAsia="华文中宋"/>
                <w:color w:val="auto"/>
                <w:highlight w:val="none"/>
                <w:lang w:val="en-US" w:eastAsia="zh-CN"/>
              </w:rPr>
            </w:pPr>
            <w:r>
              <w:rPr>
                <w:rFonts w:hint="eastAsia"/>
                <w:color w:val="auto"/>
                <w:highlight w:val="none"/>
                <w:lang w:val="en-US" w:eastAsia="zh-CN"/>
              </w:rPr>
              <w:t>3.037</w:t>
            </w:r>
          </w:p>
        </w:tc>
        <w:tc>
          <w:tcPr>
            <w:tcW w:w="1343" w:type="pct"/>
            <w:tcBorders>
              <w:tl2br w:val="nil"/>
              <w:tr2bl w:val="nil"/>
            </w:tcBorders>
            <w:vAlign w:val="center"/>
          </w:tcPr>
          <w:p w14:paraId="0C7A9CC0">
            <w:pPr>
              <w:pStyle w:val="41"/>
              <w:rPr>
                <w:rFonts w:hint="default" w:eastAsia="华文中宋"/>
                <w:color w:val="auto"/>
                <w:highlight w:val="none"/>
                <w:lang w:val="en-US" w:eastAsia="zh-CN"/>
              </w:rPr>
            </w:pPr>
            <w:r>
              <w:rPr>
                <w:rFonts w:hint="eastAsia"/>
                <w:color w:val="auto"/>
                <w:highlight w:val="none"/>
                <w:lang w:val="en-US" w:eastAsia="zh-CN"/>
              </w:rPr>
              <w:t>27.330</w:t>
            </w:r>
          </w:p>
        </w:tc>
      </w:tr>
      <w:tr w14:paraId="1FD4DA6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298" w:type="pct"/>
            <w:tcBorders>
              <w:tl2br w:val="nil"/>
              <w:tr2bl w:val="nil"/>
            </w:tcBorders>
            <w:vAlign w:val="center"/>
          </w:tcPr>
          <w:p w14:paraId="58BD7A86">
            <w:pPr>
              <w:pStyle w:val="41"/>
              <w:rPr>
                <w:color w:val="auto"/>
                <w:highlight w:val="none"/>
              </w:rPr>
            </w:pPr>
            <w:r>
              <w:rPr>
                <w:rFonts w:hint="eastAsia"/>
                <w:color w:val="auto"/>
                <w:highlight w:val="none"/>
              </w:rPr>
              <w:t>粗中碎车间</w:t>
            </w:r>
          </w:p>
        </w:tc>
        <w:tc>
          <w:tcPr>
            <w:tcW w:w="1628" w:type="dxa"/>
            <w:tcBorders>
              <w:tl2br w:val="nil"/>
              <w:tr2bl w:val="nil"/>
            </w:tcBorders>
            <w:vAlign w:val="center"/>
          </w:tcPr>
          <w:p w14:paraId="78124217">
            <w:pPr>
              <w:pStyle w:val="41"/>
              <w:rPr>
                <w:color w:val="auto"/>
                <w:highlight w:val="none"/>
              </w:rPr>
            </w:pPr>
            <w:r>
              <w:rPr>
                <w:rFonts w:hint="eastAsia"/>
                <w:color w:val="auto"/>
                <w:highlight w:val="none"/>
                <w:lang w:val="en-US" w:eastAsia="zh-CN"/>
              </w:rPr>
              <w:t>30.367</w:t>
            </w:r>
          </w:p>
        </w:tc>
        <w:tc>
          <w:tcPr>
            <w:tcW w:w="2312" w:type="dxa"/>
            <w:tcBorders>
              <w:tl2br w:val="nil"/>
              <w:tr2bl w:val="nil"/>
            </w:tcBorders>
            <w:vAlign w:val="center"/>
          </w:tcPr>
          <w:p w14:paraId="6F7E5D45">
            <w:pPr>
              <w:pStyle w:val="41"/>
              <w:rPr>
                <w:color w:val="auto"/>
                <w:highlight w:val="none"/>
              </w:rPr>
            </w:pPr>
            <w:r>
              <w:rPr>
                <w:rFonts w:hint="eastAsia"/>
                <w:color w:val="auto"/>
                <w:highlight w:val="none"/>
                <w:lang w:val="en-US" w:eastAsia="zh-CN"/>
              </w:rPr>
              <w:t>3.037</w:t>
            </w:r>
          </w:p>
        </w:tc>
        <w:tc>
          <w:tcPr>
            <w:tcW w:w="2245" w:type="dxa"/>
            <w:tcBorders>
              <w:tl2br w:val="nil"/>
              <w:tr2bl w:val="nil"/>
            </w:tcBorders>
            <w:vAlign w:val="center"/>
          </w:tcPr>
          <w:p w14:paraId="5DCD1614">
            <w:pPr>
              <w:pStyle w:val="41"/>
              <w:rPr>
                <w:color w:val="auto"/>
                <w:highlight w:val="none"/>
              </w:rPr>
            </w:pPr>
            <w:r>
              <w:rPr>
                <w:rFonts w:hint="eastAsia"/>
                <w:color w:val="auto"/>
                <w:highlight w:val="none"/>
                <w:lang w:val="en-US" w:eastAsia="zh-CN"/>
              </w:rPr>
              <w:t>27.330</w:t>
            </w:r>
          </w:p>
        </w:tc>
      </w:tr>
      <w:tr w14:paraId="244C6C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298" w:type="pct"/>
            <w:tcBorders>
              <w:tl2br w:val="nil"/>
              <w:tr2bl w:val="nil"/>
            </w:tcBorders>
            <w:vAlign w:val="center"/>
          </w:tcPr>
          <w:p w14:paraId="43CB72CA">
            <w:pPr>
              <w:pStyle w:val="41"/>
              <w:rPr>
                <w:color w:val="auto"/>
                <w:highlight w:val="none"/>
              </w:rPr>
            </w:pPr>
            <w:r>
              <w:rPr>
                <w:rFonts w:hint="eastAsia"/>
                <w:color w:val="auto"/>
                <w:highlight w:val="none"/>
              </w:rPr>
              <w:t>细</w:t>
            </w:r>
            <w:r>
              <w:rPr>
                <w:color w:val="auto"/>
                <w:highlight w:val="none"/>
              </w:rPr>
              <w:t>碎车间</w:t>
            </w:r>
          </w:p>
        </w:tc>
        <w:tc>
          <w:tcPr>
            <w:tcW w:w="1628" w:type="dxa"/>
            <w:tcBorders>
              <w:tl2br w:val="nil"/>
              <w:tr2bl w:val="nil"/>
            </w:tcBorders>
            <w:vAlign w:val="center"/>
          </w:tcPr>
          <w:p w14:paraId="6EFF9342">
            <w:pPr>
              <w:pStyle w:val="41"/>
              <w:rPr>
                <w:color w:val="auto"/>
                <w:highlight w:val="none"/>
              </w:rPr>
            </w:pPr>
            <w:r>
              <w:rPr>
                <w:rFonts w:hint="eastAsia"/>
                <w:color w:val="auto"/>
                <w:highlight w:val="none"/>
                <w:lang w:val="en-US" w:eastAsia="zh-CN"/>
              </w:rPr>
              <w:t>30.367</w:t>
            </w:r>
          </w:p>
        </w:tc>
        <w:tc>
          <w:tcPr>
            <w:tcW w:w="2312" w:type="dxa"/>
            <w:tcBorders>
              <w:tl2br w:val="nil"/>
              <w:tr2bl w:val="nil"/>
            </w:tcBorders>
            <w:vAlign w:val="center"/>
          </w:tcPr>
          <w:p w14:paraId="5DC1500C">
            <w:pPr>
              <w:pStyle w:val="41"/>
              <w:rPr>
                <w:color w:val="auto"/>
                <w:highlight w:val="none"/>
              </w:rPr>
            </w:pPr>
            <w:r>
              <w:rPr>
                <w:rFonts w:hint="eastAsia"/>
                <w:color w:val="auto"/>
                <w:highlight w:val="none"/>
                <w:lang w:val="en-US" w:eastAsia="zh-CN"/>
              </w:rPr>
              <w:t>3.037</w:t>
            </w:r>
          </w:p>
        </w:tc>
        <w:tc>
          <w:tcPr>
            <w:tcW w:w="2245" w:type="dxa"/>
            <w:tcBorders>
              <w:tl2br w:val="nil"/>
              <w:tr2bl w:val="nil"/>
            </w:tcBorders>
            <w:vAlign w:val="center"/>
          </w:tcPr>
          <w:p w14:paraId="5C28CCFA">
            <w:pPr>
              <w:pStyle w:val="41"/>
              <w:rPr>
                <w:color w:val="auto"/>
                <w:highlight w:val="none"/>
              </w:rPr>
            </w:pPr>
            <w:r>
              <w:rPr>
                <w:rFonts w:hint="eastAsia"/>
                <w:color w:val="auto"/>
                <w:highlight w:val="none"/>
                <w:lang w:val="en-US" w:eastAsia="zh-CN"/>
              </w:rPr>
              <w:t>27.330</w:t>
            </w:r>
          </w:p>
        </w:tc>
      </w:tr>
      <w:tr w14:paraId="34FC52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169" w:type="dxa"/>
            <w:tcBorders>
              <w:tl2br w:val="nil"/>
              <w:tr2bl w:val="nil"/>
            </w:tcBorders>
            <w:vAlign w:val="center"/>
          </w:tcPr>
          <w:p w14:paraId="22FA00AE">
            <w:pPr>
              <w:pStyle w:val="41"/>
              <w:rPr>
                <w:color w:val="auto"/>
                <w:highlight w:val="none"/>
              </w:rPr>
            </w:pPr>
            <w:r>
              <w:rPr>
                <w:rFonts w:hint="eastAsia"/>
                <w:color w:val="auto"/>
                <w:highlight w:val="none"/>
              </w:rPr>
              <w:t>1号振动筛分车间</w:t>
            </w:r>
          </w:p>
        </w:tc>
        <w:tc>
          <w:tcPr>
            <w:tcW w:w="1628" w:type="dxa"/>
            <w:tcBorders>
              <w:tl2br w:val="nil"/>
              <w:tr2bl w:val="nil"/>
            </w:tcBorders>
            <w:vAlign w:val="center"/>
          </w:tcPr>
          <w:p w14:paraId="6BF8E03C">
            <w:pPr>
              <w:pStyle w:val="41"/>
              <w:rPr>
                <w:color w:val="auto"/>
                <w:highlight w:val="none"/>
              </w:rPr>
            </w:pPr>
            <w:r>
              <w:rPr>
                <w:rFonts w:hint="eastAsia"/>
                <w:color w:val="auto"/>
                <w:highlight w:val="none"/>
                <w:lang w:val="en-US" w:eastAsia="zh-CN"/>
              </w:rPr>
              <w:t>30.367</w:t>
            </w:r>
          </w:p>
        </w:tc>
        <w:tc>
          <w:tcPr>
            <w:tcW w:w="2312" w:type="dxa"/>
            <w:tcBorders>
              <w:tl2br w:val="nil"/>
              <w:tr2bl w:val="nil"/>
            </w:tcBorders>
            <w:vAlign w:val="center"/>
          </w:tcPr>
          <w:p w14:paraId="45BF5382">
            <w:pPr>
              <w:pStyle w:val="41"/>
              <w:rPr>
                <w:color w:val="auto"/>
                <w:highlight w:val="none"/>
              </w:rPr>
            </w:pPr>
            <w:r>
              <w:rPr>
                <w:rFonts w:hint="eastAsia"/>
                <w:color w:val="auto"/>
                <w:highlight w:val="none"/>
                <w:lang w:val="en-US" w:eastAsia="zh-CN"/>
              </w:rPr>
              <w:t>3.037</w:t>
            </w:r>
          </w:p>
        </w:tc>
        <w:tc>
          <w:tcPr>
            <w:tcW w:w="2245" w:type="dxa"/>
            <w:tcBorders>
              <w:tl2br w:val="nil"/>
              <w:tr2bl w:val="nil"/>
            </w:tcBorders>
            <w:vAlign w:val="center"/>
          </w:tcPr>
          <w:p w14:paraId="57F389DA">
            <w:pPr>
              <w:pStyle w:val="41"/>
              <w:rPr>
                <w:color w:val="auto"/>
                <w:highlight w:val="none"/>
              </w:rPr>
            </w:pPr>
            <w:r>
              <w:rPr>
                <w:rFonts w:hint="eastAsia"/>
                <w:color w:val="auto"/>
                <w:highlight w:val="none"/>
                <w:lang w:val="en-US" w:eastAsia="zh-CN"/>
              </w:rPr>
              <w:t>27.330</w:t>
            </w:r>
          </w:p>
        </w:tc>
      </w:tr>
      <w:tr w14:paraId="0F2712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169" w:type="dxa"/>
            <w:tcBorders>
              <w:tl2br w:val="nil"/>
              <w:tr2bl w:val="nil"/>
            </w:tcBorders>
            <w:vAlign w:val="center"/>
          </w:tcPr>
          <w:p w14:paraId="4EE49F1A">
            <w:pPr>
              <w:pStyle w:val="41"/>
              <w:rPr>
                <w:color w:val="auto"/>
                <w:highlight w:val="none"/>
              </w:rPr>
            </w:pPr>
            <w:r>
              <w:rPr>
                <w:rFonts w:hint="eastAsia"/>
                <w:color w:val="auto"/>
                <w:highlight w:val="none"/>
              </w:rPr>
              <w:t>2号振动筛分车间</w:t>
            </w:r>
          </w:p>
        </w:tc>
        <w:tc>
          <w:tcPr>
            <w:tcW w:w="1628" w:type="dxa"/>
            <w:tcBorders>
              <w:tl2br w:val="nil"/>
              <w:tr2bl w:val="nil"/>
            </w:tcBorders>
            <w:vAlign w:val="center"/>
          </w:tcPr>
          <w:p w14:paraId="33B8953E">
            <w:pPr>
              <w:pStyle w:val="41"/>
              <w:rPr>
                <w:color w:val="auto"/>
                <w:highlight w:val="none"/>
              </w:rPr>
            </w:pPr>
            <w:r>
              <w:rPr>
                <w:rFonts w:hint="eastAsia"/>
                <w:color w:val="auto"/>
                <w:highlight w:val="none"/>
                <w:lang w:val="en-US" w:eastAsia="zh-CN"/>
              </w:rPr>
              <w:t>30.367</w:t>
            </w:r>
          </w:p>
        </w:tc>
        <w:tc>
          <w:tcPr>
            <w:tcW w:w="2312" w:type="dxa"/>
            <w:tcBorders>
              <w:tl2br w:val="nil"/>
              <w:tr2bl w:val="nil"/>
            </w:tcBorders>
            <w:vAlign w:val="center"/>
          </w:tcPr>
          <w:p w14:paraId="4B423B79">
            <w:pPr>
              <w:pStyle w:val="41"/>
              <w:rPr>
                <w:color w:val="auto"/>
                <w:highlight w:val="none"/>
              </w:rPr>
            </w:pPr>
            <w:r>
              <w:rPr>
                <w:rFonts w:hint="eastAsia"/>
                <w:color w:val="auto"/>
                <w:highlight w:val="none"/>
                <w:lang w:val="en-US" w:eastAsia="zh-CN"/>
              </w:rPr>
              <w:t>3.037</w:t>
            </w:r>
          </w:p>
        </w:tc>
        <w:tc>
          <w:tcPr>
            <w:tcW w:w="2245" w:type="dxa"/>
            <w:tcBorders>
              <w:tl2br w:val="nil"/>
              <w:tr2bl w:val="nil"/>
            </w:tcBorders>
            <w:vAlign w:val="center"/>
          </w:tcPr>
          <w:p w14:paraId="46F06387">
            <w:pPr>
              <w:pStyle w:val="41"/>
              <w:rPr>
                <w:color w:val="auto"/>
                <w:highlight w:val="none"/>
              </w:rPr>
            </w:pPr>
            <w:r>
              <w:rPr>
                <w:rFonts w:hint="eastAsia"/>
                <w:color w:val="auto"/>
                <w:highlight w:val="none"/>
                <w:lang w:val="en-US" w:eastAsia="zh-CN"/>
              </w:rPr>
              <w:t>27.330</w:t>
            </w:r>
          </w:p>
        </w:tc>
      </w:tr>
      <w:tr w14:paraId="593267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169" w:type="dxa"/>
            <w:tcBorders>
              <w:tl2br w:val="nil"/>
              <w:tr2bl w:val="nil"/>
            </w:tcBorders>
            <w:vAlign w:val="center"/>
          </w:tcPr>
          <w:p w14:paraId="68F6E3A6">
            <w:pPr>
              <w:pStyle w:val="41"/>
              <w:rPr>
                <w:color w:val="auto"/>
                <w:highlight w:val="none"/>
              </w:rPr>
            </w:pPr>
            <w:r>
              <w:rPr>
                <w:rFonts w:hint="eastAsia"/>
                <w:color w:val="auto"/>
                <w:highlight w:val="none"/>
              </w:rPr>
              <w:t>3号振动筛分车间</w:t>
            </w:r>
          </w:p>
        </w:tc>
        <w:tc>
          <w:tcPr>
            <w:tcW w:w="1628" w:type="dxa"/>
            <w:tcBorders>
              <w:tl2br w:val="nil"/>
              <w:tr2bl w:val="nil"/>
            </w:tcBorders>
            <w:vAlign w:val="center"/>
          </w:tcPr>
          <w:p w14:paraId="62884DEA">
            <w:pPr>
              <w:pStyle w:val="41"/>
              <w:rPr>
                <w:color w:val="auto"/>
                <w:highlight w:val="none"/>
              </w:rPr>
            </w:pPr>
            <w:r>
              <w:rPr>
                <w:rFonts w:hint="eastAsia"/>
                <w:color w:val="auto"/>
                <w:highlight w:val="none"/>
                <w:lang w:val="en-US" w:eastAsia="zh-CN"/>
              </w:rPr>
              <w:t>30.367</w:t>
            </w:r>
          </w:p>
        </w:tc>
        <w:tc>
          <w:tcPr>
            <w:tcW w:w="2312" w:type="dxa"/>
            <w:tcBorders>
              <w:tl2br w:val="nil"/>
              <w:tr2bl w:val="nil"/>
            </w:tcBorders>
            <w:vAlign w:val="center"/>
          </w:tcPr>
          <w:p w14:paraId="2221F874">
            <w:pPr>
              <w:pStyle w:val="41"/>
              <w:rPr>
                <w:color w:val="auto"/>
                <w:highlight w:val="none"/>
              </w:rPr>
            </w:pPr>
            <w:r>
              <w:rPr>
                <w:rFonts w:hint="eastAsia"/>
                <w:color w:val="auto"/>
                <w:highlight w:val="none"/>
                <w:lang w:val="en-US" w:eastAsia="zh-CN"/>
              </w:rPr>
              <w:t>3.037</w:t>
            </w:r>
          </w:p>
        </w:tc>
        <w:tc>
          <w:tcPr>
            <w:tcW w:w="2245" w:type="dxa"/>
            <w:tcBorders>
              <w:tl2br w:val="nil"/>
              <w:tr2bl w:val="nil"/>
            </w:tcBorders>
            <w:vAlign w:val="center"/>
          </w:tcPr>
          <w:p w14:paraId="0C4549F1">
            <w:pPr>
              <w:pStyle w:val="41"/>
              <w:rPr>
                <w:color w:val="auto"/>
                <w:highlight w:val="none"/>
              </w:rPr>
            </w:pPr>
            <w:r>
              <w:rPr>
                <w:rFonts w:hint="eastAsia"/>
                <w:color w:val="auto"/>
                <w:highlight w:val="none"/>
                <w:lang w:val="en-US" w:eastAsia="zh-CN"/>
              </w:rPr>
              <w:t>27.330</w:t>
            </w:r>
          </w:p>
        </w:tc>
      </w:tr>
    </w:tbl>
    <w:p w14:paraId="7DAD5E99">
      <w:pPr>
        <w:pStyle w:val="3"/>
        <w:ind w:firstLine="480"/>
        <w:rPr>
          <w:color w:val="auto"/>
          <w:highlight w:val="none"/>
        </w:rPr>
      </w:pPr>
      <w:r>
        <w:rPr>
          <w:rFonts w:hint="eastAsia"/>
          <w:color w:val="auto"/>
          <w:highlight w:val="none"/>
        </w:rPr>
        <w:t>（3）磁选粉尘</w:t>
      </w:r>
    </w:p>
    <w:p w14:paraId="7F12FC54">
      <w:pPr>
        <w:pStyle w:val="3"/>
        <w:ind w:firstLine="480"/>
        <w:rPr>
          <w:color w:val="auto"/>
          <w:highlight w:val="none"/>
        </w:rPr>
      </w:pPr>
      <w:r>
        <w:rPr>
          <w:rFonts w:hint="eastAsia"/>
          <w:color w:val="auto"/>
          <w:highlight w:val="none"/>
        </w:rPr>
        <w:t>磁选过程产生粉尘</w:t>
      </w:r>
      <w:r>
        <w:rPr>
          <w:color w:val="auto"/>
          <w:highlight w:val="none"/>
        </w:rPr>
        <w:t>根据《排放源统计调查产排污核算方法和系数手册》</w:t>
      </w:r>
      <w:r>
        <w:rPr>
          <w:rFonts w:hint="eastAsia"/>
          <w:color w:val="auto"/>
          <w:highlight w:val="none"/>
        </w:rPr>
        <w:t>中的《铁矿采选行业系数手册》磁选工序产污系数为1.71千克/吨</w:t>
      </w:r>
      <w:r>
        <w:rPr>
          <w:rFonts w:hint="eastAsia"/>
          <w:color w:val="auto"/>
          <w:highlight w:val="none"/>
          <w:lang w:eastAsia="zh-CN"/>
        </w:rPr>
        <w:t>－</w:t>
      </w:r>
      <w:r>
        <w:rPr>
          <w:rFonts w:hint="eastAsia"/>
          <w:color w:val="auto"/>
          <w:highlight w:val="none"/>
        </w:rPr>
        <w:t>产品核算，废气量1.33</w:t>
      </w:r>
      <w:r>
        <w:rPr>
          <w:color w:val="auto"/>
          <w:highlight w:val="none"/>
        </w:rPr>
        <w:t>×10</w:t>
      </w:r>
      <w:r>
        <w:rPr>
          <w:rFonts w:hint="eastAsia"/>
          <w:color w:val="auto"/>
          <w:highlight w:val="none"/>
          <w:vertAlign w:val="superscript"/>
        </w:rPr>
        <w:t>3</w:t>
      </w:r>
      <w:r>
        <w:rPr>
          <w:color w:val="auto"/>
          <w:highlight w:val="none"/>
        </w:rPr>
        <w:t>m</w:t>
      </w:r>
      <w:r>
        <w:rPr>
          <w:color w:val="auto"/>
          <w:highlight w:val="none"/>
          <w:vertAlign w:val="superscript"/>
        </w:rPr>
        <w:t>3</w:t>
      </w:r>
      <w:r>
        <w:rPr>
          <w:color w:val="auto"/>
          <w:highlight w:val="none"/>
        </w:rPr>
        <w:t>/t</w:t>
      </w:r>
      <w:r>
        <w:rPr>
          <w:rFonts w:hint="eastAsia"/>
          <w:color w:val="auto"/>
          <w:highlight w:val="none"/>
        </w:rPr>
        <w:t>-产品，产品按46.01</w:t>
      </w:r>
      <w:r>
        <w:rPr>
          <w:color w:val="auto"/>
          <w:highlight w:val="none"/>
        </w:rPr>
        <w:t>万吨/年</w:t>
      </w:r>
      <w:r>
        <w:rPr>
          <w:rFonts w:hint="eastAsia"/>
          <w:color w:val="auto"/>
          <w:highlight w:val="none"/>
        </w:rPr>
        <w:t>。</w:t>
      </w:r>
      <w:r>
        <w:rPr>
          <w:color w:val="auto"/>
          <w:highlight w:val="none"/>
        </w:rPr>
        <w:t>产尘点设有集气罩收集，颗粒物通过集气罩（收集效率90%）收集后进入袋式除尘器（除尘效率99.9%）处理达标后，最终通过排气筒排放，为有组织排放，未收集的废气为无组织废气。本</w:t>
      </w:r>
      <w:r>
        <w:rPr>
          <w:rFonts w:hint="eastAsia"/>
          <w:color w:val="auto"/>
          <w:highlight w:val="none"/>
        </w:rPr>
        <w:t>项目磁选工序</w:t>
      </w:r>
      <w:r>
        <w:rPr>
          <w:color w:val="auto"/>
          <w:highlight w:val="none"/>
        </w:rPr>
        <w:t>排污情况见表3.4-</w:t>
      </w:r>
      <w:r>
        <w:rPr>
          <w:rFonts w:hint="eastAsia"/>
          <w:color w:val="auto"/>
          <w:highlight w:val="none"/>
        </w:rPr>
        <w:t>7</w:t>
      </w:r>
      <w:r>
        <w:rPr>
          <w:color w:val="auto"/>
          <w:highlight w:val="none"/>
        </w:rPr>
        <w:t>。</w:t>
      </w:r>
    </w:p>
    <w:p w14:paraId="16672053">
      <w:pPr>
        <w:pStyle w:val="40"/>
        <w:spacing w:before="24" w:after="24"/>
        <w:rPr>
          <w:color w:val="auto"/>
          <w:highlight w:val="none"/>
        </w:rPr>
      </w:pPr>
      <w:r>
        <w:rPr>
          <w:color w:val="auto"/>
          <w:highlight w:val="none"/>
        </w:rPr>
        <w:t>表3.</w:t>
      </w:r>
      <w:r>
        <w:rPr>
          <w:rFonts w:hint="eastAsia"/>
          <w:color w:val="auto"/>
          <w:highlight w:val="none"/>
        </w:rPr>
        <w:t>4</w:t>
      </w:r>
      <w:r>
        <w:rPr>
          <w:color w:val="auto"/>
          <w:highlight w:val="none"/>
        </w:rPr>
        <w:t>-</w:t>
      </w:r>
      <w:r>
        <w:rPr>
          <w:rFonts w:hint="eastAsia"/>
          <w:color w:val="auto"/>
          <w:highlight w:val="none"/>
        </w:rPr>
        <w:t>7</w:t>
      </w:r>
      <w:r>
        <w:rPr>
          <w:color w:val="auto"/>
          <w:highlight w:val="none"/>
        </w:rPr>
        <w:t xml:space="preserve"> </w:t>
      </w:r>
      <w:r>
        <w:rPr>
          <w:rFonts w:hint="eastAsia"/>
          <w:color w:val="auto"/>
          <w:highlight w:val="none"/>
        </w:rPr>
        <w:t xml:space="preserve">   </w:t>
      </w:r>
      <w:r>
        <w:rPr>
          <w:color w:val="auto"/>
          <w:highlight w:val="none"/>
        </w:rPr>
        <w:t xml:space="preserve"> 每座车间颗粒物产生情况</w:t>
      </w:r>
    </w:p>
    <w:tbl>
      <w:tblPr>
        <w:tblStyle w:val="25"/>
        <w:tblW w:w="5036"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902"/>
        <w:gridCol w:w="1248"/>
        <w:gridCol w:w="1452"/>
        <w:gridCol w:w="1692"/>
        <w:gridCol w:w="2090"/>
      </w:tblGrid>
      <w:tr w14:paraId="37812A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34" w:type="pct"/>
            <w:tcBorders>
              <w:tl2br w:val="nil"/>
              <w:tr2bl w:val="nil"/>
            </w:tcBorders>
            <w:vAlign w:val="center"/>
          </w:tcPr>
          <w:p w14:paraId="0D4FC2BB">
            <w:pPr>
              <w:pStyle w:val="41"/>
              <w:rPr>
                <w:color w:val="auto"/>
                <w:highlight w:val="none"/>
              </w:rPr>
            </w:pPr>
            <w:r>
              <w:rPr>
                <w:color w:val="auto"/>
                <w:highlight w:val="none"/>
              </w:rPr>
              <w:t>车间名称</w:t>
            </w:r>
          </w:p>
        </w:tc>
        <w:tc>
          <w:tcPr>
            <w:tcW w:w="744" w:type="pct"/>
            <w:tcBorders>
              <w:tl2br w:val="nil"/>
              <w:tr2bl w:val="nil"/>
            </w:tcBorders>
            <w:vAlign w:val="center"/>
          </w:tcPr>
          <w:p w14:paraId="47EE4AB6">
            <w:pPr>
              <w:pStyle w:val="41"/>
              <w:rPr>
                <w:color w:val="auto"/>
                <w:highlight w:val="none"/>
              </w:rPr>
            </w:pPr>
            <w:r>
              <w:rPr>
                <w:color w:val="auto"/>
                <w:highlight w:val="none"/>
              </w:rPr>
              <w:t>废气量（10</w:t>
            </w:r>
            <w:r>
              <w:rPr>
                <w:color w:val="auto"/>
                <w:highlight w:val="none"/>
                <w:vertAlign w:val="superscript"/>
              </w:rPr>
              <w:t>4</w:t>
            </w:r>
            <w:r>
              <w:rPr>
                <w:color w:val="auto"/>
                <w:highlight w:val="none"/>
              </w:rPr>
              <w:t>m</w:t>
            </w:r>
            <w:r>
              <w:rPr>
                <w:color w:val="auto"/>
                <w:highlight w:val="none"/>
                <w:vertAlign w:val="superscript"/>
              </w:rPr>
              <w:t>3</w:t>
            </w:r>
            <w:r>
              <w:rPr>
                <w:color w:val="auto"/>
                <w:highlight w:val="none"/>
              </w:rPr>
              <w:t>/a）</w:t>
            </w:r>
          </w:p>
        </w:tc>
        <w:tc>
          <w:tcPr>
            <w:tcW w:w="866" w:type="pct"/>
            <w:tcBorders>
              <w:tl2br w:val="nil"/>
              <w:tr2bl w:val="nil"/>
            </w:tcBorders>
            <w:vAlign w:val="center"/>
          </w:tcPr>
          <w:p w14:paraId="1BB50C99">
            <w:pPr>
              <w:pStyle w:val="41"/>
              <w:rPr>
                <w:color w:val="auto"/>
                <w:highlight w:val="none"/>
              </w:rPr>
            </w:pPr>
            <w:r>
              <w:rPr>
                <w:color w:val="auto"/>
                <w:highlight w:val="none"/>
              </w:rPr>
              <w:t>颗粒物产生量（t/a）</w:t>
            </w:r>
          </w:p>
        </w:tc>
        <w:tc>
          <w:tcPr>
            <w:tcW w:w="1009" w:type="pct"/>
            <w:tcBorders>
              <w:tl2br w:val="nil"/>
              <w:tr2bl w:val="nil"/>
            </w:tcBorders>
            <w:vAlign w:val="center"/>
          </w:tcPr>
          <w:p w14:paraId="0BB11351">
            <w:pPr>
              <w:pStyle w:val="41"/>
              <w:rPr>
                <w:color w:val="auto"/>
                <w:highlight w:val="none"/>
              </w:rPr>
            </w:pPr>
            <w:r>
              <w:rPr>
                <w:color w:val="auto"/>
                <w:highlight w:val="none"/>
              </w:rPr>
              <w:t>有组织颗粒物产生量（t/a）</w:t>
            </w:r>
          </w:p>
        </w:tc>
        <w:tc>
          <w:tcPr>
            <w:tcW w:w="1246" w:type="pct"/>
            <w:tcBorders>
              <w:tl2br w:val="nil"/>
              <w:tr2bl w:val="nil"/>
            </w:tcBorders>
            <w:vAlign w:val="center"/>
          </w:tcPr>
          <w:p w14:paraId="233EB3B7">
            <w:pPr>
              <w:pStyle w:val="41"/>
              <w:rPr>
                <w:color w:val="auto"/>
                <w:highlight w:val="none"/>
              </w:rPr>
            </w:pPr>
            <w:r>
              <w:rPr>
                <w:color w:val="auto"/>
                <w:highlight w:val="none"/>
              </w:rPr>
              <w:t>无组织废气颗粒物产生量（t/a）</w:t>
            </w:r>
          </w:p>
        </w:tc>
      </w:tr>
      <w:tr w14:paraId="2CE1EC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34" w:type="pct"/>
            <w:tcBorders>
              <w:tl2br w:val="nil"/>
              <w:tr2bl w:val="nil"/>
            </w:tcBorders>
            <w:vAlign w:val="center"/>
          </w:tcPr>
          <w:p w14:paraId="713BF11D">
            <w:pPr>
              <w:pStyle w:val="41"/>
              <w:rPr>
                <w:color w:val="auto"/>
                <w:highlight w:val="none"/>
              </w:rPr>
            </w:pPr>
            <w:r>
              <w:rPr>
                <w:rFonts w:hint="eastAsia"/>
                <w:color w:val="auto"/>
                <w:highlight w:val="none"/>
              </w:rPr>
              <w:t>干抛磁选车间</w:t>
            </w:r>
          </w:p>
        </w:tc>
        <w:tc>
          <w:tcPr>
            <w:tcW w:w="744" w:type="pct"/>
            <w:tcBorders>
              <w:tl2br w:val="nil"/>
              <w:tr2bl w:val="nil"/>
            </w:tcBorders>
          </w:tcPr>
          <w:p w14:paraId="239DCD8A">
            <w:pPr>
              <w:pStyle w:val="41"/>
              <w:rPr>
                <w:color w:val="auto"/>
                <w:highlight w:val="none"/>
              </w:rPr>
            </w:pPr>
            <w:r>
              <w:rPr>
                <w:rFonts w:hint="eastAsia"/>
                <w:color w:val="auto"/>
                <w:highlight w:val="none"/>
              </w:rPr>
              <w:t>61193.30</w:t>
            </w:r>
          </w:p>
        </w:tc>
        <w:tc>
          <w:tcPr>
            <w:tcW w:w="866" w:type="pct"/>
            <w:tcBorders>
              <w:tl2br w:val="nil"/>
              <w:tr2bl w:val="nil"/>
            </w:tcBorders>
            <w:vAlign w:val="center"/>
          </w:tcPr>
          <w:p w14:paraId="77E2DF1A">
            <w:pPr>
              <w:pStyle w:val="41"/>
              <w:rPr>
                <w:color w:val="auto"/>
                <w:highlight w:val="none"/>
              </w:rPr>
            </w:pPr>
            <w:r>
              <w:rPr>
                <w:rFonts w:hint="eastAsia"/>
                <w:color w:val="auto"/>
                <w:highlight w:val="none"/>
              </w:rPr>
              <w:t>786.771</w:t>
            </w:r>
          </w:p>
        </w:tc>
        <w:tc>
          <w:tcPr>
            <w:tcW w:w="1009" w:type="pct"/>
            <w:tcBorders>
              <w:tl2br w:val="nil"/>
              <w:tr2bl w:val="nil"/>
            </w:tcBorders>
          </w:tcPr>
          <w:p w14:paraId="5595DC95">
            <w:pPr>
              <w:pStyle w:val="41"/>
              <w:rPr>
                <w:color w:val="auto"/>
                <w:highlight w:val="none"/>
              </w:rPr>
            </w:pPr>
            <w:r>
              <w:rPr>
                <w:rFonts w:hint="eastAsia"/>
                <w:color w:val="auto"/>
                <w:highlight w:val="none"/>
              </w:rPr>
              <w:t>708.0939</w:t>
            </w:r>
          </w:p>
        </w:tc>
        <w:tc>
          <w:tcPr>
            <w:tcW w:w="1246" w:type="pct"/>
            <w:tcBorders>
              <w:tl2br w:val="nil"/>
              <w:tr2bl w:val="nil"/>
            </w:tcBorders>
          </w:tcPr>
          <w:p w14:paraId="713C2EF2">
            <w:pPr>
              <w:pStyle w:val="41"/>
              <w:rPr>
                <w:color w:val="auto"/>
                <w:highlight w:val="none"/>
              </w:rPr>
            </w:pPr>
            <w:r>
              <w:rPr>
                <w:rFonts w:hint="eastAsia"/>
                <w:color w:val="auto"/>
                <w:highlight w:val="none"/>
              </w:rPr>
              <w:t>78.6771</w:t>
            </w:r>
          </w:p>
        </w:tc>
      </w:tr>
    </w:tbl>
    <w:p w14:paraId="723CDA20">
      <w:pPr>
        <w:pStyle w:val="40"/>
        <w:spacing w:before="24" w:after="24"/>
        <w:rPr>
          <w:color w:val="auto"/>
          <w:highlight w:val="none"/>
        </w:rPr>
      </w:pPr>
      <w:r>
        <w:rPr>
          <w:color w:val="auto"/>
          <w:highlight w:val="none"/>
        </w:rPr>
        <w:t>表3.</w:t>
      </w:r>
      <w:r>
        <w:rPr>
          <w:rFonts w:hint="eastAsia"/>
          <w:color w:val="auto"/>
          <w:highlight w:val="none"/>
        </w:rPr>
        <w:t>4</w:t>
      </w:r>
      <w:r>
        <w:rPr>
          <w:color w:val="auto"/>
          <w:highlight w:val="none"/>
        </w:rPr>
        <w:t>-</w:t>
      </w:r>
      <w:r>
        <w:rPr>
          <w:rFonts w:hint="eastAsia"/>
          <w:color w:val="auto"/>
          <w:highlight w:val="none"/>
        </w:rPr>
        <w:t>8</w:t>
      </w:r>
      <w:r>
        <w:rPr>
          <w:color w:val="auto"/>
          <w:highlight w:val="none"/>
        </w:rPr>
        <w:t xml:space="preserve">  有组织废气产生及排放情况一览表</w:t>
      </w:r>
    </w:p>
    <w:tbl>
      <w:tblPr>
        <w:tblStyle w:val="25"/>
        <w:tblW w:w="4996"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862"/>
        <w:gridCol w:w="1015"/>
        <w:gridCol w:w="558"/>
        <w:gridCol w:w="927"/>
        <w:gridCol w:w="627"/>
        <w:gridCol w:w="741"/>
        <w:gridCol w:w="859"/>
        <w:gridCol w:w="809"/>
        <w:gridCol w:w="647"/>
        <w:gridCol w:w="627"/>
        <w:gridCol w:w="645"/>
      </w:tblGrid>
      <w:tr w14:paraId="153CFF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18" w:type="pct"/>
            <w:vMerge w:val="restart"/>
            <w:tcBorders>
              <w:tl2br w:val="nil"/>
              <w:tr2bl w:val="nil"/>
            </w:tcBorders>
            <w:vAlign w:val="center"/>
          </w:tcPr>
          <w:p w14:paraId="2388F5F6">
            <w:pPr>
              <w:pStyle w:val="41"/>
              <w:rPr>
                <w:color w:val="auto"/>
                <w:highlight w:val="none"/>
              </w:rPr>
            </w:pPr>
            <w:r>
              <w:rPr>
                <w:color w:val="auto"/>
                <w:highlight w:val="none"/>
              </w:rPr>
              <w:t>车间名称</w:t>
            </w:r>
          </w:p>
        </w:tc>
        <w:tc>
          <w:tcPr>
            <w:tcW w:w="610" w:type="pct"/>
            <w:vMerge w:val="restart"/>
            <w:tcBorders>
              <w:tl2br w:val="nil"/>
              <w:tr2bl w:val="nil"/>
            </w:tcBorders>
            <w:vAlign w:val="center"/>
          </w:tcPr>
          <w:p w14:paraId="5850AD6A">
            <w:pPr>
              <w:pStyle w:val="41"/>
              <w:rPr>
                <w:color w:val="auto"/>
                <w:highlight w:val="none"/>
              </w:rPr>
            </w:pPr>
            <w:r>
              <w:rPr>
                <w:color w:val="auto"/>
                <w:highlight w:val="none"/>
              </w:rPr>
              <w:t>污染物</w:t>
            </w:r>
          </w:p>
        </w:tc>
        <w:tc>
          <w:tcPr>
            <w:tcW w:w="335" w:type="pct"/>
            <w:vMerge w:val="restart"/>
            <w:tcBorders>
              <w:tl2br w:val="nil"/>
              <w:tr2bl w:val="nil"/>
            </w:tcBorders>
            <w:vAlign w:val="center"/>
          </w:tcPr>
          <w:p w14:paraId="2A19AD8D">
            <w:pPr>
              <w:pStyle w:val="41"/>
              <w:rPr>
                <w:color w:val="auto"/>
                <w:highlight w:val="none"/>
              </w:rPr>
            </w:pPr>
            <w:r>
              <w:rPr>
                <w:color w:val="auto"/>
                <w:highlight w:val="none"/>
              </w:rPr>
              <w:t>污染物名称</w:t>
            </w:r>
          </w:p>
        </w:tc>
        <w:tc>
          <w:tcPr>
            <w:tcW w:w="557" w:type="pct"/>
            <w:tcBorders>
              <w:tl2br w:val="nil"/>
              <w:tr2bl w:val="nil"/>
            </w:tcBorders>
            <w:vAlign w:val="center"/>
          </w:tcPr>
          <w:p w14:paraId="3623BF3C">
            <w:pPr>
              <w:pStyle w:val="41"/>
              <w:rPr>
                <w:color w:val="auto"/>
                <w:highlight w:val="none"/>
              </w:rPr>
            </w:pPr>
            <w:r>
              <w:rPr>
                <w:color w:val="auto"/>
                <w:highlight w:val="none"/>
              </w:rPr>
              <w:t>废气量</w:t>
            </w:r>
          </w:p>
        </w:tc>
        <w:tc>
          <w:tcPr>
            <w:tcW w:w="1338" w:type="pct"/>
            <w:gridSpan w:val="3"/>
            <w:tcBorders>
              <w:tl2br w:val="nil"/>
              <w:tr2bl w:val="nil"/>
            </w:tcBorders>
            <w:vAlign w:val="center"/>
          </w:tcPr>
          <w:p w14:paraId="146C1F71">
            <w:pPr>
              <w:pStyle w:val="41"/>
              <w:rPr>
                <w:color w:val="auto"/>
                <w:highlight w:val="none"/>
              </w:rPr>
            </w:pPr>
            <w:r>
              <w:rPr>
                <w:color w:val="auto"/>
                <w:highlight w:val="none"/>
              </w:rPr>
              <w:t>产生情况</w:t>
            </w:r>
          </w:p>
        </w:tc>
        <w:tc>
          <w:tcPr>
            <w:tcW w:w="486" w:type="pct"/>
            <w:vMerge w:val="restart"/>
            <w:tcBorders>
              <w:tl2br w:val="nil"/>
              <w:tr2bl w:val="nil"/>
            </w:tcBorders>
            <w:vAlign w:val="center"/>
          </w:tcPr>
          <w:p w14:paraId="12FEDFD6">
            <w:pPr>
              <w:pStyle w:val="41"/>
              <w:rPr>
                <w:color w:val="auto"/>
                <w:highlight w:val="none"/>
              </w:rPr>
            </w:pPr>
            <w:r>
              <w:rPr>
                <w:color w:val="auto"/>
                <w:highlight w:val="none"/>
              </w:rPr>
              <w:t>年运行时间（h）</w:t>
            </w:r>
          </w:p>
        </w:tc>
        <w:tc>
          <w:tcPr>
            <w:tcW w:w="1153" w:type="pct"/>
            <w:gridSpan w:val="3"/>
            <w:tcBorders>
              <w:tl2br w:val="nil"/>
              <w:tr2bl w:val="nil"/>
            </w:tcBorders>
            <w:vAlign w:val="center"/>
          </w:tcPr>
          <w:p w14:paraId="56DDC78B">
            <w:pPr>
              <w:pStyle w:val="41"/>
              <w:rPr>
                <w:color w:val="auto"/>
                <w:highlight w:val="none"/>
              </w:rPr>
            </w:pPr>
            <w:r>
              <w:rPr>
                <w:color w:val="auto"/>
                <w:highlight w:val="none"/>
              </w:rPr>
              <w:t>排放情况</w:t>
            </w:r>
          </w:p>
        </w:tc>
      </w:tr>
      <w:tr w14:paraId="1B0D32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18" w:type="pct"/>
            <w:vMerge w:val="continue"/>
            <w:tcBorders>
              <w:tl2br w:val="nil"/>
              <w:tr2bl w:val="nil"/>
            </w:tcBorders>
            <w:vAlign w:val="center"/>
          </w:tcPr>
          <w:p w14:paraId="60165FD3">
            <w:pPr>
              <w:pStyle w:val="41"/>
              <w:rPr>
                <w:color w:val="auto"/>
                <w:highlight w:val="none"/>
              </w:rPr>
            </w:pPr>
          </w:p>
        </w:tc>
        <w:tc>
          <w:tcPr>
            <w:tcW w:w="610" w:type="pct"/>
            <w:vMerge w:val="continue"/>
            <w:tcBorders>
              <w:tl2br w:val="nil"/>
              <w:tr2bl w:val="nil"/>
            </w:tcBorders>
            <w:vAlign w:val="center"/>
          </w:tcPr>
          <w:p w14:paraId="556712DE">
            <w:pPr>
              <w:pStyle w:val="41"/>
              <w:rPr>
                <w:color w:val="auto"/>
                <w:highlight w:val="none"/>
              </w:rPr>
            </w:pPr>
          </w:p>
        </w:tc>
        <w:tc>
          <w:tcPr>
            <w:tcW w:w="335" w:type="pct"/>
            <w:vMerge w:val="continue"/>
            <w:tcBorders>
              <w:tl2br w:val="nil"/>
              <w:tr2bl w:val="nil"/>
            </w:tcBorders>
            <w:vAlign w:val="center"/>
          </w:tcPr>
          <w:p w14:paraId="6E4BBA18">
            <w:pPr>
              <w:pStyle w:val="41"/>
              <w:rPr>
                <w:color w:val="auto"/>
                <w:highlight w:val="none"/>
              </w:rPr>
            </w:pPr>
          </w:p>
        </w:tc>
        <w:tc>
          <w:tcPr>
            <w:tcW w:w="557" w:type="pct"/>
            <w:tcBorders>
              <w:tl2br w:val="nil"/>
              <w:tr2bl w:val="nil"/>
            </w:tcBorders>
            <w:vAlign w:val="center"/>
          </w:tcPr>
          <w:p w14:paraId="6A2F16B0">
            <w:pPr>
              <w:pStyle w:val="41"/>
              <w:rPr>
                <w:color w:val="auto"/>
                <w:highlight w:val="none"/>
              </w:rPr>
            </w:pPr>
            <w:r>
              <w:rPr>
                <w:color w:val="auto"/>
                <w:highlight w:val="none"/>
              </w:rPr>
              <w:t>m</w:t>
            </w:r>
            <w:r>
              <w:rPr>
                <w:color w:val="auto"/>
                <w:highlight w:val="none"/>
                <w:vertAlign w:val="superscript"/>
              </w:rPr>
              <w:t>3</w:t>
            </w:r>
            <w:r>
              <w:rPr>
                <w:color w:val="auto"/>
                <w:highlight w:val="none"/>
              </w:rPr>
              <w:t>/h</w:t>
            </w:r>
          </w:p>
        </w:tc>
        <w:tc>
          <w:tcPr>
            <w:tcW w:w="377" w:type="pct"/>
            <w:tcBorders>
              <w:tl2br w:val="nil"/>
              <w:tr2bl w:val="nil"/>
            </w:tcBorders>
            <w:vAlign w:val="center"/>
          </w:tcPr>
          <w:p w14:paraId="2B865467">
            <w:pPr>
              <w:pStyle w:val="41"/>
              <w:rPr>
                <w:color w:val="auto"/>
                <w:highlight w:val="none"/>
              </w:rPr>
            </w:pPr>
            <w:r>
              <w:rPr>
                <w:color w:val="auto"/>
                <w:highlight w:val="none"/>
              </w:rPr>
              <w:t>mg/m</w:t>
            </w:r>
            <w:r>
              <w:rPr>
                <w:color w:val="auto"/>
                <w:highlight w:val="none"/>
                <w:vertAlign w:val="superscript"/>
              </w:rPr>
              <w:t>3</w:t>
            </w:r>
          </w:p>
        </w:tc>
        <w:tc>
          <w:tcPr>
            <w:tcW w:w="445" w:type="pct"/>
            <w:tcBorders>
              <w:tl2br w:val="nil"/>
              <w:tr2bl w:val="nil"/>
            </w:tcBorders>
            <w:vAlign w:val="center"/>
          </w:tcPr>
          <w:p w14:paraId="5B60AD90">
            <w:pPr>
              <w:pStyle w:val="41"/>
              <w:rPr>
                <w:color w:val="auto"/>
                <w:highlight w:val="none"/>
              </w:rPr>
            </w:pPr>
            <w:r>
              <w:rPr>
                <w:color w:val="auto"/>
                <w:highlight w:val="none"/>
              </w:rPr>
              <w:t>kg/h</w:t>
            </w:r>
          </w:p>
        </w:tc>
        <w:tc>
          <w:tcPr>
            <w:tcW w:w="515" w:type="pct"/>
            <w:tcBorders>
              <w:tl2br w:val="nil"/>
              <w:tr2bl w:val="nil"/>
            </w:tcBorders>
            <w:vAlign w:val="center"/>
          </w:tcPr>
          <w:p w14:paraId="26EF455B">
            <w:pPr>
              <w:pStyle w:val="41"/>
              <w:rPr>
                <w:color w:val="auto"/>
                <w:highlight w:val="none"/>
              </w:rPr>
            </w:pPr>
            <w:r>
              <w:rPr>
                <w:color w:val="auto"/>
                <w:highlight w:val="none"/>
              </w:rPr>
              <w:t>t/a</w:t>
            </w:r>
          </w:p>
        </w:tc>
        <w:tc>
          <w:tcPr>
            <w:tcW w:w="486" w:type="pct"/>
            <w:vMerge w:val="continue"/>
            <w:tcBorders>
              <w:tl2br w:val="nil"/>
              <w:tr2bl w:val="nil"/>
            </w:tcBorders>
            <w:vAlign w:val="center"/>
          </w:tcPr>
          <w:p w14:paraId="444477F2">
            <w:pPr>
              <w:pStyle w:val="41"/>
              <w:rPr>
                <w:color w:val="auto"/>
                <w:highlight w:val="none"/>
              </w:rPr>
            </w:pPr>
          </w:p>
        </w:tc>
        <w:tc>
          <w:tcPr>
            <w:tcW w:w="389" w:type="pct"/>
            <w:tcBorders>
              <w:tl2br w:val="nil"/>
              <w:tr2bl w:val="nil"/>
            </w:tcBorders>
            <w:vAlign w:val="center"/>
          </w:tcPr>
          <w:p w14:paraId="11BA481F">
            <w:pPr>
              <w:pStyle w:val="41"/>
              <w:rPr>
                <w:color w:val="auto"/>
                <w:highlight w:val="none"/>
              </w:rPr>
            </w:pPr>
            <w:r>
              <w:rPr>
                <w:color w:val="auto"/>
                <w:highlight w:val="none"/>
              </w:rPr>
              <w:t>mg/m</w:t>
            </w:r>
            <w:r>
              <w:rPr>
                <w:color w:val="auto"/>
                <w:highlight w:val="none"/>
                <w:vertAlign w:val="superscript"/>
              </w:rPr>
              <w:t>3</w:t>
            </w:r>
          </w:p>
        </w:tc>
        <w:tc>
          <w:tcPr>
            <w:tcW w:w="377" w:type="pct"/>
            <w:tcBorders>
              <w:tl2br w:val="nil"/>
              <w:tr2bl w:val="nil"/>
            </w:tcBorders>
            <w:vAlign w:val="center"/>
          </w:tcPr>
          <w:p w14:paraId="326D927F">
            <w:pPr>
              <w:pStyle w:val="41"/>
              <w:rPr>
                <w:color w:val="auto"/>
                <w:highlight w:val="none"/>
              </w:rPr>
            </w:pPr>
            <w:r>
              <w:rPr>
                <w:color w:val="auto"/>
                <w:highlight w:val="none"/>
              </w:rPr>
              <w:t>kg/h</w:t>
            </w:r>
          </w:p>
        </w:tc>
        <w:tc>
          <w:tcPr>
            <w:tcW w:w="386" w:type="pct"/>
            <w:tcBorders>
              <w:tl2br w:val="nil"/>
              <w:tr2bl w:val="nil"/>
            </w:tcBorders>
            <w:vAlign w:val="center"/>
          </w:tcPr>
          <w:p w14:paraId="3099E5AF">
            <w:pPr>
              <w:pStyle w:val="41"/>
              <w:rPr>
                <w:color w:val="auto"/>
                <w:highlight w:val="none"/>
              </w:rPr>
            </w:pPr>
            <w:r>
              <w:rPr>
                <w:color w:val="auto"/>
                <w:highlight w:val="none"/>
              </w:rPr>
              <w:t>t/a</w:t>
            </w:r>
          </w:p>
        </w:tc>
      </w:tr>
      <w:tr w14:paraId="2C9763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18" w:type="pct"/>
            <w:tcBorders>
              <w:tl2br w:val="nil"/>
              <w:tr2bl w:val="nil"/>
            </w:tcBorders>
            <w:vAlign w:val="center"/>
          </w:tcPr>
          <w:p w14:paraId="6451A758">
            <w:pPr>
              <w:pStyle w:val="41"/>
              <w:rPr>
                <w:color w:val="auto"/>
                <w:highlight w:val="none"/>
              </w:rPr>
            </w:pPr>
            <w:r>
              <w:rPr>
                <w:rFonts w:hint="eastAsia"/>
                <w:color w:val="auto"/>
                <w:highlight w:val="none"/>
              </w:rPr>
              <w:t>干抛磁选车间</w:t>
            </w:r>
          </w:p>
        </w:tc>
        <w:tc>
          <w:tcPr>
            <w:tcW w:w="610" w:type="pct"/>
            <w:tcBorders>
              <w:tl2br w:val="nil"/>
              <w:tr2bl w:val="nil"/>
            </w:tcBorders>
            <w:vAlign w:val="center"/>
          </w:tcPr>
          <w:p w14:paraId="2B8DD674">
            <w:pPr>
              <w:pStyle w:val="41"/>
              <w:rPr>
                <w:color w:val="auto"/>
                <w:highlight w:val="none"/>
              </w:rPr>
            </w:pPr>
            <w:r>
              <w:rPr>
                <w:rFonts w:hint="eastAsia"/>
                <w:color w:val="auto"/>
                <w:highlight w:val="none"/>
              </w:rPr>
              <w:t>磁选废气</w:t>
            </w:r>
          </w:p>
        </w:tc>
        <w:tc>
          <w:tcPr>
            <w:tcW w:w="335" w:type="pct"/>
            <w:tcBorders>
              <w:tl2br w:val="nil"/>
              <w:tr2bl w:val="nil"/>
            </w:tcBorders>
            <w:vAlign w:val="center"/>
          </w:tcPr>
          <w:p w14:paraId="7B68E0CD">
            <w:pPr>
              <w:pStyle w:val="41"/>
              <w:rPr>
                <w:color w:val="auto"/>
                <w:highlight w:val="none"/>
              </w:rPr>
            </w:pPr>
            <w:r>
              <w:rPr>
                <w:color w:val="auto"/>
                <w:highlight w:val="none"/>
              </w:rPr>
              <w:t>PM</w:t>
            </w:r>
            <w:r>
              <w:rPr>
                <w:color w:val="auto"/>
                <w:highlight w:val="none"/>
                <w:vertAlign w:val="subscript"/>
              </w:rPr>
              <w:t>10</w:t>
            </w:r>
          </w:p>
        </w:tc>
        <w:tc>
          <w:tcPr>
            <w:tcW w:w="557" w:type="pct"/>
            <w:tcBorders>
              <w:tl2br w:val="nil"/>
              <w:tr2bl w:val="nil"/>
            </w:tcBorders>
            <w:vAlign w:val="center"/>
          </w:tcPr>
          <w:p w14:paraId="01850F50">
            <w:pPr>
              <w:pStyle w:val="41"/>
              <w:rPr>
                <w:color w:val="auto"/>
                <w:highlight w:val="none"/>
              </w:rPr>
            </w:pPr>
            <w:r>
              <w:rPr>
                <w:rFonts w:hint="eastAsia"/>
                <w:color w:val="auto"/>
                <w:highlight w:val="none"/>
              </w:rPr>
              <w:t>84990.69</w:t>
            </w:r>
          </w:p>
        </w:tc>
        <w:tc>
          <w:tcPr>
            <w:tcW w:w="377" w:type="pct"/>
            <w:tcBorders>
              <w:tl2br w:val="nil"/>
              <w:tr2bl w:val="nil"/>
            </w:tcBorders>
            <w:vAlign w:val="center"/>
          </w:tcPr>
          <w:p w14:paraId="68A926D5">
            <w:pPr>
              <w:pStyle w:val="41"/>
              <w:rPr>
                <w:color w:val="auto"/>
                <w:highlight w:val="none"/>
              </w:rPr>
            </w:pPr>
            <w:r>
              <w:rPr>
                <w:rFonts w:hint="eastAsia"/>
                <w:color w:val="auto"/>
                <w:highlight w:val="none"/>
              </w:rPr>
              <w:t>1157.1</w:t>
            </w:r>
          </w:p>
        </w:tc>
        <w:tc>
          <w:tcPr>
            <w:tcW w:w="445" w:type="pct"/>
            <w:tcBorders>
              <w:tl2br w:val="nil"/>
              <w:tr2bl w:val="nil"/>
            </w:tcBorders>
            <w:vAlign w:val="center"/>
          </w:tcPr>
          <w:p w14:paraId="3C43B11E">
            <w:pPr>
              <w:pStyle w:val="41"/>
              <w:rPr>
                <w:color w:val="auto"/>
                <w:highlight w:val="none"/>
              </w:rPr>
            </w:pPr>
            <w:r>
              <w:rPr>
                <w:rFonts w:hint="eastAsia"/>
                <w:color w:val="auto"/>
                <w:highlight w:val="none"/>
              </w:rPr>
              <w:t>98.346</w:t>
            </w:r>
          </w:p>
        </w:tc>
        <w:tc>
          <w:tcPr>
            <w:tcW w:w="515" w:type="pct"/>
            <w:tcBorders>
              <w:tl2br w:val="nil"/>
              <w:tr2bl w:val="nil"/>
            </w:tcBorders>
            <w:vAlign w:val="center"/>
          </w:tcPr>
          <w:p w14:paraId="0BEE94E2">
            <w:pPr>
              <w:pStyle w:val="41"/>
              <w:rPr>
                <w:color w:val="auto"/>
                <w:highlight w:val="none"/>
              </w:rPr>
            </w:pPr>
            <w:r>
              <w:rPr>
                <w:rFonts w:hint="eastAsia"/>
                <w:color w:val="auto"/>
                <w:highlight w:val="none"/>
              </w:rPr>
              <w:t>708.091</w:t>
            </w:r>
          </w:p>
        </w:tc>
        <w:tc>
          <w:tcPr>
            <w:tcW w:w="486" w:type="pct"/>
            <w:tcBorders>
              <w:top w:val="single" w:color="auto" w:sz="4" w:space="0"/>
              <w:tl2br w:val="nil"/>
              <w:tr2bl w:val="nil"/>
            </w:tcBorders>
            <w:vAlign w:val="center"/>
          </w:tcPr>
          <w:p w14:paraId="5AD2526E">
            <w:pPr>
              <w:pStyle w:val="41"/>
              <w:rPr>
                <w:color w:val="auto"/>
                <w:highlight w:val="none"/>
              </w:rPr>
            </w:pPr>
            <w:r>
              <w:rPr>
                <w:color w:val="auto"/>
                <w:highlight w:val="none"/>
              </w:rPr>
              <w:t>7200</w:t>
            </w:r>
          </w:p>
        </w:tc>
        <w:tc>
          <w:tcPr>
            <w:tcW w:w="389" w:type="pct"/>
            <w:tcBorders>
              <w:tl2br w:val="nil"/>
              <w:tr2bl w:val="nil"/>
            </w:tcBorders>
            <w:vAlign w:val="center"/>
          </w:tcPr>
          <w:p w14:paraId="51B125DE">
            <w:pPr>
              <w:pStyle w:val="41"/>
              <w:rPr>
                <w:color w:val="auto"/>
                <w:highlight w:val="none"/>
              </w:rPr>
            </w:pPr>
            <w:r>
              <w:rPr>
                <w:rFonts w:hint="eastAsia"/>
                <w:color w:val="auto"/>
                <w:highlight w:val="none"/>
              </w:rPr>
              <w:t>1.157</w:t>
            </w:r>
          </w:p>
        </w:tc>
        <w:tc>
          <w:tcPr>
            <w:tcW w:w="377" w:type="pct"/>
            <w:tcBorders>
              <w:tl2br w:val="nil"/>
              <w:tr2bl w:val="nil"/>
            </w:tcBorders>
            <w:vAlign w:val="center"/>
          </w:tcPr>
          <w:p w14:paraId="1406A2AC">
            <w:pPr>
              <w:pStyle w:val="41"/>
              <w:jc w:val="both"/>
              <w:rPr>
                <w:color w:val="auto"/>
                <w:highlight w:val="none"/>
              </w:rPr>
            </w:pPr>
            <w:r>
              <w:rPr>
                <w:rFonts w:hint="eastAsia"/>
                <w:color w:val="auto"/>
                <w:highlight w:val="none"/>
              </w:rPr>
              <w:t>0.098</w:t>
            </w:r>
          </w:p>
        </w:tc>
        <w:tc>
          <w:tcPr>
            <w:tcW w:w="386" w:type="pct"/>
            <w:tcBorders>
              <w:tl2br w:val="nil"/>
              <w:tr2bl w:val="nil"/>
            </w:tcBorders>
            <w:vAlign w:val="center"/>
          </w:tcPr>
          <w:p w14:paraId="5D9B5EF9">
            <w:pPr>
              <w:pStyle w:val="41"/>
              <w:rPr>
                <w:color w:val="auto"/>
                <w:highlight w:val="none"/>
              </w:rPr>
            </w:pPr>
            <w:r>
              <w:rPr>
                <w:rFonts w:hint="eastAsia"/>
                <w:color w:val="auto"/>
                <w:highlight w:val="none"/>
              </w:rPr>
              <w:t>0.7056</w:t>
            </w:r>
          </w:p>
        </w:tc>
      </w:tr>
    </w:tbl>
    <w:p w14:paraId="46BEE4F3">
      <w:pPr>
        <w:pStyle w:val="3"/>
        <w:ind w:firstLine="480"/>
        <w:rPr>
          <w:color w:val="auto"/>
          <w:highlight w:val="none"/>
        </w:rPr>
      </w:pPr>
      <w:r>
        <w:rPr>
          <w:rFonts w:hint="eastAsia"/>
          <w:color w:val="auto"/>
          <w:highlight w:val="none"/>
        </w:rPr>
        <w:t>上述工段采用布袋除尘器处理后，磁选</w:t>
      </w:r>
      <w:r>
        <w:rPr>
          <w:color w:val="auto"/>
          <w:highlight w:val="none"/>
        </w:rPr>
        <w:t>粉尘排放浓度</w:t>
      </w:r>
      <w:r>
        <w:rPr>
          <w:rFonts w:hint="eastAsia"/>
          <w:color w:val="auto"/>
          <w:highlight w:val="none"/>
        </w:rPr>
        <w:t>为1.157mg/m</w:t>
      </w:r>
      <w:r>
        <w:rPr>
          <w:rFonts w:hint="eastAsia"/>
          <w:color w:val="auto"/>
          <w:highlight w:val="none"/>
          <w:vertAlign w:val="superscript"/>
        </w:rPr>
        <w:t>3</w:t>
      </w:r>
      <w:r>
        <w:rPr>
          <w:rFonts w:hint="eastAsia"/>
          <w:color w:val="auto"/>
          <w:highlight w:val="none"/>
        </w:rPr>
        <w:t>，符合</w:t>
      </w:r>
      <w:r>
        <w:rPr>
          <w:color w:val="auto"/>
          <w:highlight w:val="none"/>
          <w:lang w:val="zh-CN"/>
        </w:rPr>
        <w:t>《铁矿采选工业污染物排放标准》（GB28661</w:t>
      </w:r>
      <w:r>
        <w:rPr>
          <w:color w:val="auto"/>
          <w:highlight w:val="none"/>
        </w:rPr>
        <w:t>-</w:t>
      </w:r>
      <w:r>
        <w:rPr>
          <w:color w:val="auto"/>
          <w:highlight w:val="none"/>
          <w:lang w:val="zh-CN"/>
        </w:rPr>
        <w:t>2012）</w:t>
      </w:r>
      <w:r>
        <w:rPr>
          <w:color w:val="auto"/>
          <w:highlight w:val="none"/>
        </w:rPr>
        <w:t>中表5新建企业大气污染物排放浓度限值。</w:t>
      </w:r>
    </w:p>
    <w:p w14:paraId="24621D37">
      <w:pPr>
        <w:pStyle w:val="3"/>
        <w:ind w:firstLine="480"/>
        <w:rPr>
          <w:color w:val="auto"/>
          <w:highlight w:val="none"/>
        </w:rPr>
      </w:pPr>
    </w:p>
    <w:p w14:paraId="63077FC6">
      <w:pPr>
        <w:pStyle w:val="40"/>
        <w:spacing w:before="24" w:after="24"/>
        <w:rPr>
          <w:color w:val="auto"/>
          <w:highlight w:val="none"/>
        </w:rPr>
      </w:pPr>
      <w:r>
        <w:rPr>
          <w:color w:val="auto"/>
          <w:highlight w:val="none"/>
        </w:rPr>
        <w:t>表3.</w:t>
      </w:r>
      <w:r>
        <w:rPr>
          <w:rFonts w:hint="eastAsia"/>
          <w:color w:val="auto"/>
          <w:highlight w:val="none"/>
        </w:rPr>
        <w:t>4</w:t>
      </w:r>
      <w:r>
        <w:rPr>
          <w:color w:val="auto"/>
          <w:highlight w:val="none"/>
        </w:rPr>
        <w:t>-</w:t>
      </w:r>
      <w:r>
        <w:rPr>
          <w:rFonts w:hint="eastAsia"/>
          <w:color w:val="auto"/>
          <w:highlight w:val="none"/>
        </w:rPr>
        <w:t>9</w:t>
      </w:r>
      <w:r>
        <w:rPr>
          <w:color w:val="auto"/>
          <w:highlight w:val="none"/>
        </w:rPr>
        <w:t xml:space="preserve"> </w:t>
      </w:r>
      <w:r>
        <w:rPr>
          <w:rFonts w:hint="eastAsia"/>
          <w:color w:val="auto"/>
          <w:highlight w:val="none"/>
        </w:rPr>
        <w:t xml:space="preserve"> </w:t>
      </w:r>
      <w:r>
        <w:rPr>
          <w:color w:val="auto"/>
          <w:highlight w:val="none"/>
        </w:rPr>
        <w:t xml:space="preserve"> </w:t>
      </w:r>
      <w:r>
        <w:rPr>
          <w:rFonts w:hint="eastAsia"/>
          <w:color w:val="auto"/>
          <w:highlight w:val="none"/>
        </w:rPr>
        <w:t xml:space="preserve"> </w:t>
      </w:r>
      <w:r>
        <w:rPr>
          <w:color w:val="auto"/>
          <w:highlight w:val="none"/>
        </w:rPr>
        <w:t>无组织废气产生及排放情况一览表</w:t>
      </w:r>
    </w:p>
    <w:tbl>
      <w:tblPr>
        <w:tblStyle w:val="25"/>
        <w:tblW w:w="501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2169"/>
        <w:gridCol w:w="1628"/>
        <w:gridCol w:w="2312"/>
        <w:gridCol w:w="2245"/>
      </w:tblGrid>
      <w:tr w14:paraId="0E18CD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298" w:type="pct"/>
            <w:tcBorders>
              <w:tl2br w:val="nil"/>
              <w:tr2bl w:val="nil"/>
            </w:tcBorders>
            <w:vAlign w:val="center"/>
          </w:tcPr>
          <w:p w14:paraId="31BDC2FF">
            <w:pPr>
              <w:pStyle w:val="41"/>
              <w:rPr>
                <w:color w:val="auto"/>
                <w:highlight w:val="none"/>
              </w:rPr>
            </w:pPr>
            <w:r>
              <w:rPr>
                <w:rFonts w:hint="eastAsia"/>
                <w:color w:val="auto"/>
                <w:highlight w:val="none"/>
              </w:rPr>
              <w:t>车间名称</w:t>
            </w:r>
          </w:p>
        </w:tc>
        <w:tc>
          <w:tcPr>
            <w:tcW w:w="974" w:type="pct"/>
            <w:tcBorders>
              <w:tl2br w:val="nil"/>
              <w:tr2bl w:val="nil"/>
            </w:tcBorders>
            <w:vAlign w:val="center"/>
          </w:tcPr>
          <w:p w14:paraId="57EE71F9">
            <w:pPr>
              <w:pStyle w:val="41"/>
              <w:rPr>
                <w:color w:val="auto"/>
                <w:highlight w:val="none"/>
              </w:rPr>
            </w:pPr>
            <w:r>
              <w:rPr>
                <w:rFonts w:hint="eastAsia"/>
                <w:color w:val="auto"/>
                <w:highlight w:val="none"/>
              </w:rPr>
              <w:t>无组织废气颗粒物产生量（t/a）</w:t>
            </w:r>
          </w:p>
        </w:tc>
        <w:tc>
          <w:tcPr>
            <w:tcW w:w="1383" w:type="pct"/>
            <w:tcBorders>
              <w:tl2br w:val="nil"/>
              <w:tr2bl w:val="nil"/>
            </w:tcBorders>
            <w:vAlign w:val="center"/>
          </w:tcPr>
          <w:p w14:paraId="71974647">
            <w:pPr>
              <w:pStyle w:val="41"/>
              <w:rPr>
                <w:color w:val="auto"/>
                <w:highlight w:val="none"/>
              </w:rPr>
            </w:pPr>
            <w:r>
              <w:rPr>
                <w:rFonts w:hint="eastAsia"/>
                <w:color w:val="auto"/>
                <w:highlight w:val="none"/>
              </w:rPr>
              <w:t>逸散至大气环境中的颗粒物量（t/a）</w:t>
            </w:r>
          </w:p>
        </w:tc>
        <w:tc>
          <w:tcPr>
            <w:tcW w:w="1343" w:type="pct"/>
            <w:tcBorders>
              <w:tl2br w:val="nil"/>
              <w:tr2bl w:val="nil"/>
            </w:tcBorders>
            <w:vAlign w:val="center"/>
          </w:tcPr>
          <w:p w14:paraId="5370166A">
            <w:pPr>
              <w:pStyle w:val="41"/>
              <w:rPr>
                <w:color w:val="auto"/>
                <w:highlight w:val="none"/>
              </w:rPr>
            </w:pPr>
            <w:r>
              <w:rPr>
                <w:rFonts w:hint="eastAsia"/>
                <w:color w:val="auto"/>
                <w:highlight w:val="none"/>
              </w:rPr>
              <w:t>沉降至车间内的颗粒物量（t/a）</w:t>
            </w:r>
          </w:p>
        </w:tc>
      </w:tr>
      <w:tr w14:paraId="5C73C9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298" w:type="pct"/>
            <w:tcBorders>
              <w:tl2br w:val="nil"/>
              <w:tr2bl w:val="nil"/>
            </w:tcBorders>
            <w:vAlign w:val="center"/>
          </w:tcPr>
          <w:p w14:paraId="689D1861">
            <w:pPr>
              <w:pStyle w:val="41"/>
              <w:rPr>
                <w:color w:val="auto"/>
                <w:highlight w:val="none"/>
              </w:rPr>
            </w:pPr>
            <w:r>
              <w:rPr>
                <w:rFonts w:hint="eastAsia"/>
                <w:color w:val="auto"/>
                <w:highlight w:val="none"/>
              </w:rPr>
              <w:t>干抛磁选车间</w:t>
            </w:r>
          </w:p>
        </w:tc>
        <w:tc>
          <w:tcPr>
            <w:tcW w:w="974" w:type="pct"/>
            <w:tcBorders>
              <w:tl2br w:val="nil"/>
              <w:tr2bl w:val="nil"/>
            </w:tcBorders>
          </w:tcPr>
          <w:p w14:paraId="6DBD1D53">
            <w:pPr>
              <w:pStyle w:val="41"/>
              <w:rPr>
                <w:color w:val="auto"/>
                <w:highlight w:val="none"/>
              </w:rPr>
            </w:pPr>
            <w:r>
              <w:rPr>
                <w:rFonts w:hint="eastAsia"/>
                <w:color w:val="auto"/>
                <w:highlight w:val="none"/>
              </w:rPr>
              <w:t>78.677</w:t>
            </w:r>
          </w:p>
        </w:tc>
        <w:tc>
          <w:tcPr>
            <w:tcW w:w="1383" w:type="pct"/>
            <w:tcBorders>
              <w:tl2br w:val="nil"/>
              <w:tr2bl w:val="nil"/>
            </w:tcBorders>
          </w:tcPr>
          <w:p w14:paraId="0B1ADC10">
            <w:pPr>
              <w:pStyle w:val="41"/>
              <w:rPr>
                <w:color w:val="auto"/>
                <w:highlight w:val="none"/>
              </w:rPr>
            </w:pPr>
            <w:r>
              <w:rPr>
                <w:rFonts w:hint="eastAsia"/>
                <w:color w:val="auto"/>
                <w:highlight w:val="none"/>
              </w:rPr>
              <w:t>0.787</w:t>
            </w:r>
          </w:p>
        </w:tc>
        <w:tc>
          <w:tcPr>
            <w:tcW w:w="1343" w:type="pct"/>
            <w:tcBorders>
              <w:tl2br w:val="nil"/>
              <w:tr2bl w:val="nil"/>
            </w:tcBorders>
          </w:tcPr>
          <w:p w14:paraId="2078FC4D">
            <w:pPr>
              <w:pStyle w:val="41"/>
              <w:rPr>
                <w:color w:val="auto"/>
                <w:highlight w:val="none"/>
              </w:rPr>
            </w:pPr>
            <w:r>
              <w:rPr>
                <w:rFonts w:hint="eastAsia"/>
                <w:color w:val="auto"/>
                <w:highlight w:val="none"/>
              </w:rPr>
              <w:t>77.890</w:t>
            </w:r>
          </w:p>
        </w:tc>
      </w:tr>
    </w:tbl>
    <w:p w14:paraId="60F5B318">
      <w:pPr>
        <w:pStyle w:val="3"/>
        <w:ind w:firstLine="480"/>
        <w:rPr>
          <w:color w:val="auto"/>
          <w:highlight w:val="none"/>
        </w:rPr>
      </w:pPr>
      <w:r>
        <w:rPr>
          <w:color w:val="auto"/>
          <w:highlight w:val="none"/>
        </w:rPr>
        <w:t>（</w:t>
      </w:r>
      <w:r>
        <w:rPr>
          <w:rFonts w:hint="eastAsia"/>
          <w:color w:val="auto"/>
          <w:highlight w:val="none"/>
        </w:rPr>
        <w:t>4</w:t>
      </w:r>
      <w:r>
        <w:rPr>
          <w:color w:val="auto"/>
          <w:highlight w:val="none"/>
        </w:rPr>
        <w:t>）</w:t>
      </w:r>
      <w:r>
        <w:rPr>
          <w:rFonts w:hint="eastAsia"/>
          <w:color w:val="auto"/>
          <w:highlight w:val="none"/>
        </w:rPr>
        <w:t>生物质炉窑</w:t>
      </w:r>
      <w:r>
        <w:rPr>
          <w:color w:val="auto"/>
          <w:highlight w:val="none"/>
        </w:rPr>
        <w:t>废气</w:t>
      </w:r>
    </w:p>
    <w:p w14:paraId="4CE48DB7">
      <w:pPr>
        <w:pStyle w:val="3"/>
        <w:ind w:firstLine="480"/>
        <w:rPr>
          <w:color w:val="auto"/>
          <w:highlight w:val="none"/>
        </w:rPr>
      </w:pPr>
      <w:r>
        <w:rPr>
          <w:rFonts w:hint="eastAsia"/>
          <w:color w:val="auto"/>
          <w:highlight w:val="none"/>
        </w:rPr>
        <w:t>本项目采用烘干炉对钛精矿产品进行烘干处理，烘干过程中产生钛精矿烘干粉尘和生物质燃料燃烧产生烟气，主要污染因子为颗粒物、SO</w:t>
      </w:r>
      <w:r>
        <w:rPr>
          <w:color w:val="auto"/>
          <w:highlight w:val="none"/>
          <w:vertAlign w:val="subscript"/>
        </w:rPr>
        <w:t>2</w:t>
      </w:r>
      <w:r>
        <w:rPr>
          <w:rFonts w:hint="eastAsia"/>
          <w:color w:val="auto"/>
          <w:highlight w:val="none"/>
        </w:rPr>
        <w:t>、NOx。烘干炉为生物质炉窑，采用生物质燃料燃烧产生的热烟气通过炉体内外壁直接加热炉内钛精粉，生物质燃料燃烧烟气和烘干废气经烘干机组配套耐高温除尘器（99%）+脱硫（80%）设施处理后最终由25m排气筒排放。</w:t>
      </w:r>
    </w:p>
    <w:p w14:paraId="771D71D4">
      <w:pPr>
        <w:pStyle w:val="3"/>
        <w:ind w:firstLine="480"/>
        <w:rPr>
          <w:color w:val="auto"/>
          <w:highlight w:val="none"/>
        </w:rPr>
      </w:pPr>
      <w:r>
        <w:rPr>
          <w:rFonts w:hint="eastAsia"/>
          <w:color w:val="auto"/>
          <w:highlight w:val="none"/>
        </w:rPr>
        <w:t>根据设计，本项目生物质燃料消耗量共计2700t。</w:t>
      </w:r>
      <w:r>
        <w:rPr>
          <w:color w:val="auto"/>
          <w:highlight w:val="none"/>
        </w:rPr>
        <w:t>生物质燃料理化性质见表3.</w:t>
      </w:r>
      <w:r>
        <w:rPr>
          <w:rFonts w:hint="eastAsia"/>
          <w:color w:val="auto"/>
          <w:highlight w:val="none"/>
        </w:rPr>
        <w:t>4</w:t>
      </w:r>
      <w:r>
        <w:rPr>
          <w:color w:val="auto"/>
          <w:highlight w:val="none"/>
        </w:rPr>
        <w:t>-</w:t>
      </w:r>
      <w:r>
        <w:rPr>
          <w:rFonts w:hint="eastAsia"/>
          <w:color w:val="auto"/>
          <w:highlight w:val="none"/>
        </w:rPr>
        <w:t>10</w:t>
      </w:r>
      <w:r>
        <w:rPr>
          <w:color w:val="auto"/>
          <w:highlight w:val="none"/>
        </w:rPr>
        <w:t>，燃料检验单见附件6。</w:t>
      </w:r>
    </w:p>
    <w:p w14:paraId="3FA4D5BD">
      <w:pPr>
        <w:pStyle w:val="40"/>
        <w:spacing w:before="24" w:after="24"/>
        <w:rPr>
          <w:color w:val="auto"/>
          <w:highlight w:val="none"/>
        </w:rPr>
      </w:pPr>
      <w:r>
        <w:rPr>
          <w:color w:val="auto"/>
          <w:highlight w:val="none"/>
        </w:rPr>
        <w:t>表3.</w:t>
      </w:r>
      <w:r>
        <w:rPr>
          <w:rFonts w:hint="eastAsia"/>
          <w:color w:val="auto"/>
          <w:highlight w:val="none"/>
        </w:rPr>
        <w:t>4</w:t>
      </w:r>
      <w:r>
        <w:rPr>
          <w:color w:val="auto"/>
          <w:highlight w:val="none"/>
        </w:rPr>
        <w:t>-</w:t>
      </w:r>
      <w:r>
        <w:rPr>
          <w:rFonts w:hint="eastAsia"/>
          <w:color w:val="auto"/>
          <w:highlight w:val="none"/>
        </w:rPr>
        <w:t>10</w:t>
      </w:r>
      <w:r>
        <w:rPr>
          <w:color w:val="auto"/>
          <w:highlight w:val="none"/>
        </w:rPr>
        <w:t xml:space="preserve">   生物质燃料检测成分一览表</w:t>
      </w:r>
    </w:p>
    <w:tbl>
      <w:tblPr>
        <w:tblStyle w:val="26"/>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05"/>
        <w:gridCol w:w="2336"/>
        <w:gridCol w:w="2358"/>
        <w:gridCol w:w="989"/>
        <w:gridCol w:w="1519"/>
      </w:tblGrid>
      <w:tr w14:paraId="4E6CD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7" w:type="pct"/>
            <w:tcBorders>
              <w:tl2br w:val="nil"/>
              <w:tr2bl w:val="nil"/>
            </w:tcBorders>
          </w:tcPr>
          <w:p w14:paraId="31A89A17">
            <w:pPr>
              <w:pStyle w:val="41"/>
              <w:widowControl w:val="0"/>
              <w:rPr>
                <w:color w:val="auto"/>
                <w:highlight w:val="none"/>
              </w:rPr>
            </w:pPr>
            <w:r>
              <w:rPr>
                <w:color w:val="auto"/>
                <w:highlight w:val="none"/>
              </w:rPr>
              <w:t>检测项目</w:t>
            </w:r>
          </w:p>
        </w:tc>
        <w:tc>
          <w:tcPr>
            <w:tcW w:w="1372" w:type="pct"/>
            <w:tcBorders>
              <w:tl2br w:val="nil"/>
              <w:tr2bl w:val="nil"/>
            </w:tcBorders>
          </w:tcPr>
          <w:p w14:paraId="2C2C2372">
            <w:pPr>
              <w:pStyle w:val="41"/>
              <w:widowControl w:val="0"/>
              <w:rPr>
                <w:color w:val="auto"/>
                <w:highlight w:val="none"/>
              </w:rPr>
            </w:pPr>
            <w:r>
              <w:rPr>
                <w:color w:val="auto"/>
                <w:highlight w:val="none"/>
              </w:rPr>
              <w:t>全水分</w:t>
            </w:r>
          </w:p>
        </w:tc>
        <w:tc>
          <w:tcPr>
            <w:tcW w:w="1385" w:type="pct"/>
            <w:tcBorders>
              <w:tl2br w:val="nil"/>
              <w:tr2bl w:val="nil"/>
            </w:tcBorders>
          </w:tcPr>
          <w:p w14:paraId="3458A402">
            <w:pPr>
              <w:pStyle w:val="41"/>
              <w:widowControl w:val="0"/>
              <w:rPr>
                <w:color w:val="auto"/>
                <w:highlight w:val="none"/>
              </w:rPr>
            </w:pPr>
            <w:r>
              <w:rPr>
                <w:rFonts w:hint="eastAsia"/>
                <w:color w:val="auto"/>
                <w:highlight w:val="none"/>
              </w:rPr>
              <w:t>干基</w:t>
            </w:r>
            <w:r>
              <w:rPr>
                <w:color w:val="auto"/>
                <w:highlight w:val="none"/>
              </w:rPr>
              <w:t>灰分</w:t>
            </w:r>
          </w:p>
        </w:tc>
        <w:tc>
          <w:tcPr>
            <w:tcW w:w="581" w:type="pct"/>
            <w:tcBorders>
              <w:tl2br w:val="nil"/>
              <w:tr2bl w:val="nil"/>
            </w:tcBorders>
          </w:tcPr>
          <w:p w14:paraId="4798A12A">
            <w:pPr>
              <w:pStyle w:val="41"/>
              <w:widowControl w:val="0"/>
              <w:rPr>
                <w:color w:val="auto"/>
                <w:highlight w:val="none"/>
              </w:rPr>
            </w:pPr>
            <w:r>
              <w:rPr>
                <w:color w:val="auto"/>
                <w:highlight w:val="none"/>
              </w:rPr>
              <w:t>挥发分</w:t>
            </w:r>
          </w:p>
        </w:tc>
        <w:tc>
          <w:tcPr>
            <w:tcW w:w="892" w:type="pct"/>
            <w:tcBorders>
              <w:tl2br w:val="nil"/>
              <w:tr2bl w:val="nil"/>
            </w:tcBorders>
          </w:tcPr>
          <w:p w14:paraId="456BAA30">
            <w:pPr>
              <w:pStyle w:val="41"/>
              <w:widowControl w:val="0"/>
              <w:rPr>
                <w:color w:val="auto"/>
                <w:highlight w:val="none"/>
              </w:rPr>
            </w:pPr>
            <w:r>
              <w:rPr>
                <w:color w:val="auto"/>
                <w:highlight w:val="none"/>
              </w:rPr>
              <w:t>焦渣特征</w:t>
            </w:r>
          </w:p>
        </w:tc>
      </w:tr>
      <w:tr w14:paraId="692D8E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7" w:type="pct"/>
            <w:tcBorders>
              <w:tl2br w:val="nil"/>
              <w:tr2bl w:val="nil"/>
            </w:tcBorders>
          </w:tcPr>
          <w:p w14:paraId="415EF3B2">
            <w:pPr>
              <w:pStyle w:val="41"/>
              <w:widowControl w:val="0"/>
              <w:rPr>
                <w:color w:val="auto"/>
                <w:highlight w:val="none"/>
              </w:rPr>
            </w:pPr>
            <w:r>
              <w:rPr>
                <w:color w:val="auto"/>
                <w:highlight w:val="none"/>
              </w:rPr>
              <w:t>检测结果</w:t>
            </w:r>
          </w:p>
        </w:tc>
        <w:tc>
          <w:tcPr>
            <w:tcW w:w="1372" w:type="pct"/>
            <w:tcBorders>
              <w:tl2br w:val="nil"/>
              <w:tr2bl w:val="nil"/>
            </w:tcBorders>
          </w:tcPr>
          <w:p w14:paraId="72B7C3FC">
            <w:pPr>
              <w:pStyle w:val="41"/>
              <w:widowControl w:val="0"/>
              <w:rPr>
                <w:color w:val="auto"/>
                <w:highlight w:val="none"/>
              </w:rPr>
            </w:pPr>
            <w:r>
              <w:rPr>
                <w:rFonts w:hint="eastAsia"/>
                <w:color w:val="auto"/>
                <w:highlight w:val="none"/>
              </w:rPr>
              <w:t>5.74</w:t>
            </w:r>
            <w:r>
              <w:rPr>
                <w:color w:val="auto"/>
                <w:highlight w:val="none"/>
              </w:rPr>
              <w:t>%</w:t>
            </w:r>
          </w:p>
        </w:tc>
        <w:tc>
          <w:tcPr>
            <w:tcW w:w="1385" w:type="pct"/>
            <w:tcBorders>
              <w:tl2br w:val="nil"/>
              <w:tr2bl w:val="nil"/>
            </w:tcBorders>
          </w:tcPr>
          <w:p w14:paraId="0EE68FF6">
            <w:pPr>
              <w:pStyle w:val="41"/>
              <w:widowControl w:val="0"/>
              <w:rPr>
                <w:color w:val="auto"/>
                <w:highlight w:val="none"/>
              </w:rPr>
            </w:pPr>
            <w:r>
              <w:rPr>
                <w:rFonts w:hint="eastAsia"/>
                <w:color w:val="auto"/>
                <w:highlight w:val="none"/>
              </w:rPr>
              <w:t>1.36</w:t>
            </w:r>
            <w:r>
              <w:rPr>
                <w:color w:val="auto"/>
                <w:highlight w:val="none"/>
              </w:rPr>
              <w:t>%</w:t>
            </w:r>
          </w:p>
        </w:tc>
        <w:tc>
          <w:tcPr>
            <w:tcW w:w="581" w:type="pct"/>
            <w:tcBorders>
              <w:tl2br w:val="nil"/>
              <w:tr2bl w:val="nil"/>
            </w:tcBorders>
          </w:tcPr>
          <w:p w14:paraId="3E2D9C1F">
            <w:pPr>
              <w:pStyle w:val="41"/>
              <w:widowControl w:val="0"/>
              <w:rPr>
                <w:color w:val="auto"/>
                <w:highlight w:val="none"/>
              </w:rPr>
            </w:pPr>
            <w:r>
              <w:rPr>
                <w:color w:val="auto"/>
                <w:highlight w:val="none"/>
              </w:rPr>
              <w:t>81.0</w:t>
            </w:r>
            <w:r>
              <w:rPr>
                <w:rFonts w:hint="eastAsia"/>
                <w:color w:val="auto"/>
                <w:highlight w:val="none"/>
              </w:rPr>
              <w:t>3</w:t>
            </w:r>
            <w:r>
              <w:rPr>
                <w:color w:val="auto"/>
                <w:highlight w:val="none"/>
              </w:rPr>
              <w:t>%</w:t>
            </w:r>
          </w:p>
        </w:tc>
        <w:tc>
          <w:tcPr>
            <w:tcW w:w="892" w:type="pct"/>
            <w:tcBorders>
              <w:tl2br w:val="nil"/>
              <w:tr2bl w:val="nil"/>
            </w:tcBorders>
          </w:tcPr>
          <w:p w14:paraId="76CB1D3C">
            <w:pPr>
              <w:pStyle w:val="41"/>
              <w:widowControl w:val="0"/>
              <w:rPr>
                <w:color w:val="auto"/>
                <w:highlight w:val="none"/>
              </w:rPr>
            </w:pPr>
            <w:r>
              <w:rPr>
                <w:rFonts w:hint="eastAsia"/>
                <w:color w:val="auto"/>
                <w:highlight w:val="none"/>
              </w:rPr>
              <w:t>2</w:t>
            </w:r>
          </w:p>
        </w:tc>
      </w:tr>
      <w:tr w14:paraId="0BFA08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7" w:type="pct"/>
            <w:tcBorders>
              <w:tl2br w:val="nil"/>
              <w:tr2bl w:val="nil"/>
            </w:tcBorders>
          </w:tcPr>
          <w:p w14:paraId="13AF1098">
            <w:pPr>
              <w:pStyle w:val="41"/>
              <w:widowControl w:val="0"/>
              <w:rPr>
                <w:color w:val="auto"/>
                <w:highlight w:val="none"/>
              </w:rPr>
            </w:pPr>
            <w:r>
              <w:rPr>
                <w:color w:val="auto"/>
                <w:highlight w:val="none"/>
              </w:rPr>
              <w:t>检测项目</w:t>
            </w:r>
          </w:p>
        </w:tc>
        <w:tc>
          <w:tcPr>
            <w:tcW w:w="1372" w:type="pct"/>
            <w:tcBorders>
              <w:tl2br w:val="nil"/>
              <w:tr2bl w:val="nil"/>
            </w:tcBorders>
          </w:tcPr>
          <w:p w14:paraId="3E1C4D78">
            <w:pPr>
              <w:pStyle w:val="41"/>
              <w:widowControl w:val="0"/>
              <w:rPr>
                <w:color w:val="auto"/>
                <w:highlight w:val="none"/>
              </w:rPr>
            </w:pPr>
            <w:r>
              <w:rPr>
                <w:color w:val="auto"/>
                <w:highlight w:val="none"/>
              </w:rPr>
              <w:t>高位发热量（空干基）</w:t>
            </w:r>
          </w:p>
        </w:tc>
        <w:tc>
          <w:tcPr>
            <w:tcW w:w="1385" w:type="pct"/>
            <w:tcBorders>
              <w:tl2br w:val="nil"/>
              <w:tr2bl w:val="nil"/>
            </w:tcBorders>
          </w:tcPr>
          <w:p w14:paraId="5ED4BB8D">
            <w:pPr>
              <w:pStyle w:val="41"/>
              <w:widowControl w:val="0"/>
              <w:rPr>
                <w:color w:val="auto"/>
                <w:highlight w:val="none"/>
              </w:rPr>
            </w:pPr>
            <w:r>
              <w:rPr>
                <w:color w:val="auto"/>
                <w:highlight w:val="none"/>
              </w:rPr>
              <w:t>低位发热量（收到基）</w:t>
            </w:r>
          </w:p>
        </w:tc>
        <w:tc>
          <w:tcPr>
            <w:tcW w:w="581" w:type="pct"/>
            <w:tcBorders>
              <w:tl2br w:val="nil"/>
              <w:tr2bl w:val="nil"/>
            </w:tcBorders>
          </w:tcPr>
          <w:p w14:paraId="222BEA97">
            <w:pPr>
              <w:pStyle w:val="41"/>
              <w:widowControl w:val="0"/>
              <w:rPr>
                <w:color w:val="auto"/>
                <w:highlight w:val="none"/>
              </w:rPr>
            </w:pPr>
            <w:r>
              <w:rPr>
                <w:color w:val="auto"/>
                <w:highlight w:val="none"/>
              </w:rPr>
              <w:t>固定碳</w:t>
            </w:r>
          </w:p>
        </w:tc>
        <w:tc>
          <w:tcPr>
            <w:tcW w:w="892" w:type="pct"/>
            <w:tcBorders>
              <w:tl2br w:val="nil"/>
              <w:tr2bl w:val="nil"/>
            </w:tcBorders>
          </w:tcPr>
          <w:p w14:paraId="09D35895">
            <w:pPr>
              <w:pStyle w:val="41"/>
              <w:widowControl w:val="0"/>
              <w:rPr>
                <w:color w:val="auto"/>
                <w:highlight w:val="none"/>
              </w:rPr>
            </w:pPr>
            <w:r>
              <w:rPr>
                <w:color w:val="auto"/>
                <w:highlight w:val="none"/>
              </w:rPr>
              <w:t>全硫</w:t>
            </w:r>
          </w:p>
        </w:tc>
      </w:tr>
      <w:tr w14:paraId="7340C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7" w:type="pct"/>
            <w:tcBorders>
              <w:tl2br w:val="nil"/>
              <w:tr2bl w:val="nil"/>
            </w:tcBorders>
          </w:tcPr>
          <w:p w14:paraId="122B7F56">
            <w:pPr>
              <w:pStyle w:val="41"/>
              <w:widowControl w:val="0"/>
              <w:rPr>
                <w:color w:val="auto"/>
                <w:highlight w:val="none"/>
              </w:rPr>
            </w:pPr>
            <w:r>
              <w:rPr>
                <w:color w:val="auto"/>
                <w:highlight w:val="none"/>
              </w:rPr>
              <w:t>检测结果</w:t>
            </w:r>
          </w:p>
        </w:tc>
        <w:tc>
          <w:tcPr>
            <w:tcW w:w="1372" w:type="pct"/>
            <w:tcBorders>
              <w:tl2br w:val="nil"/>
              <w:tr2bl w:val="nil"/>
            </w:tcBorders>
          </w:tcPr>
          <w:p w14:paraId="29C0B958">
            <w:pPr>
              <w:pStyle w:val="41"/>
              <w:widowControl w:val="0"/>
              <w:rPr>
                <w:color w:val="auto"/>
                <w:highlight w:val="none"/>
              </w:rPr>
            </w:pPr>
            <w:r>
              <w:rPr>
                <w:rFonts w:hint="eastAsia"/>
                <w:color w:val="auto"/>
                <w:highlight w:val="none"/>
              </w:rPr>
              <w:t>4575</w:t>
            </w:r>
            <w:r>
              <w:rPr>
                <w:color w:val="auto"/>
                <w:highlight w:val="none"/>
              </w:rPr>
              <w:t>Kcal/kg</w:t>
            </w:r>
          </w:p>
        </w:tc>
        <w:tc>
          <w:tcPr>
            <w:tcW w:w="1385" w:type="pct"/>
            <w:tcBorders>
              <w:tl2br w:val="nil"/>
              <w:tr2bl w:val="nil"/>
            </w:tcBorders>
          </w:tcPr>
          <w:p w14:paraId="61933A29">
            <w:pPr>
              <w:pStyle w:val="41"/>
              <w:widowControl w:val="0"/>
              <w:rPr>
                <w:color w:val="auto"/>
                <w:highlight w:val="none"/>
              </w:rPr>
            </w:pPr>
            <w:r>
              <w:rPr>
                <w:rFonts w:hint="eastAsia"/>
                <w:color w:val="auto"/>
                <w:highlight w:val="none"/>
              </w:rPr>
              <w:t>4261</w:t>
            </w:r>
            <w:r>
              <w:rPr>
                <w:color w:val="auto"/>
                <w:highlight w:val="none"/>
              </w:rPr>
              <w:t>Kcal/kg</w:t>
            </w:r>
          </w:p>
        </w:tc>
        <w:tc>
          <w:tcPr>
            <w:tcW w:w="581" w:type="pct"/>
            <w:tcBorders>
              <w:tl2br w:val="nil"/>
              <w:tr2bl w:val="nil"/>
            </w:tcBorders>
          </w:tcPr>
          <w:p w14:paraId="682B24E3">
            <w:pPr>
              <w:pStyle w:val="41"/>
              <w:widowControl w:val="0"/>
              <w:rPr>
                <w:color w:val="auto"/>
                <w:highlight w:val="none"/>
              </w:rPr>
            </w:pPr>
            <w:r>
              <w:rPr>
                <w:rFonts w:hint="eastAsia"/>
                <w:color w:val="auto"/>
                <w:highlight w:val="none"/>
              </w:rPr>
              <w:t>18.08</w:t>
            </w:r>
            <w:r>
              <w:rPr>
                <w:color w:val="auto"/>
                <w:highlight w:val="none"/>
              </w:rPr>
              <w:t>%</w:t>
            </w:r>
          </w:p>
        </w:tc>
        <w:tc>
          <w:tcPr>
            <w:tcW w:w="892" w:type="pct"/>
            <w:tcBorders>
              <w:tl2br w:val="nil"/>
              <w:tr2bl w:val="nil"/>
            </w:tcBorders>
          </w:tcPr>
          <w:p w14:paraId="5A330B2E">
            <w:pPr>
              <w:pStyle w:val="41"/>
              <w:widowControl w:val="0"/>
              <w:rPr>
                <w:color w:val="auto"/>
                <w:highlight w:val="none"/>
              </w:rPr>
            </w:pPr>
            <w:r>
              <w:rPr>
                <w:color w:val="auto"/>
                <w:highlight w:val="none"/>
              </w:rPr>
              <w:t>0.0</w:t>
            </w:r>
            <w:r>
              <w:rPr>
                <w:rFonts w:hint="eastAsia"/>
                <w:color w:val="auto"/>
                <w:highlight w:val="none"/>
              </w:rPr>
              <w:t>6</w:t>
            </w:r>
            <w:r>
              <w:rPr>
                <w:color w:val="auto"/>
                <w:highlight w:val="none"/>
              </w:rPr>
              <w:t>%</w:t>
            </w:r>
          </w:p>
        </w:tc>
      </w:tr>
    </w:tbl>
    <w:p w14:paraId="163BB5D2">
      <w:pPr>
        <w:pStyle w:val="3"/>
        <w:ind w:firstLine="480"/>
        <w:rPr>
          <w:color w:val="auto"/>
          <w:highlight w:val="none"/>
        </w:rPr>
      </w:pPr>
      <w:r>
        <w:rPr>
          <w:color w:val="auto"/>
          <w:highlight w:val="none"/>
        </w:rPr>
        <w:t>根据《排放源统计调查产排污核算方法和系数手册》（环境部公告2021年第24号）4430工业锅炉（热力供应）行业系数手册，每燃烧1吨生物质燃料</w:t>
      </w:r>
      <w:r>
        <w:rPr>
          <w:rFonts w:hint="eastAsia"/>
          <w:color w:val="auto"/>
          <w:highlight w:val="none"/>
          <w:lang w:val="en-US" w:eastAsia="zh-CN"/>
        </w:rPr>
        <w:t>产生废气量</w:t>
      </w:r>
      <w:r>
        <w:rPr>
          <w:rFonts w:hint="eastAsia"/>
          <w:color w:val="auto"/>
          <w:highlight w:val="none"/>
        </w:rPr>
        <w:t>6240立方米</w:t>
      </w:r>
      <w:r>
        <w:rPr>
          <w:color w:val="auto"/>
          <w:highlight w:val="none"/>
        </w:rPr>
        <w:t>/t</w:t>
      </w:r>
      <w:r>
        <w:rPr>
          <w:rFonts w:hint="eastAsia"/>
          <w:color w:val="auto"/>
          <w:highlight w:val="none"/>
        </w:rPr>
        <w:t>原料</w:t>
      </w:r>
      <w:r>
        <w:rPr>
          <w:rFonts w:hint="eastAsia"/>
          <w:color w:val="auto"/>
          <w:highlight w:val="none"/>
          <w:lang w:eastAsia="zh-CN"/>
        </w:rPr>
        <w:t>，</w:t>
      </w:r>
      <w:r>
        <w:rPr>
          <w:color w:val="auto"/>
          <w:highlight w:val="none"/>
        </w:rPr>
        <w:t>产生二氧化硫17S千克/吨</w:t>
      </w:r>
      <w:r>
        <w:rPr>
          <w:rFonts w:hint="eastAsia"/>
          <w:color w:val="auto"/>
          <w:highlight w:val="none"/>
          <w:lang w:eastAsia="zh-CN"/>
        </w:rPr>
        <w:t>－</w:t>
      </w:r>
      <w:r>
        <w:rPr>
          <w:color w:val="auto"/>
          <w:highlight w:val="none"/>
        </w:rPr>
        <w:t>原料（S取0.1），产生氮氧化物1.02千克/吨</w:t>
      </w:r>
      <w:r>
        <w:rPr>
          <w:rFonts w:hint="eastAsia"/>
          <w:color w:val="auto"/>
          <w:highlight w:val="none"/>
          <w:lang w:eastAsia="zh-CN"/>
        </w:rPr>
        <w:t>－</w:t>
      </w:r>
      <w:r>
        <w:rPr>
          <w:color w:val="auto"/>
          <w:highlight w:val="none"/>
        </w:rPr>
        <w:t>原料，产生颗粒物0.5千克/吨</w:t>
      </w:r>
      <w:r>
        <w:rPr>
          <w:rFonts w:hint="eastAsia"/>
          <w:color w:val="auto"/>
          <w:highlight w:val="none"/>
          <w:lang w:eastAsia="zh-CN"/>
        </w:rPr>
        <w:t>－</w:t>
      </w:r>
      <w:r>
        <w:rPr>
          <w:color w:val="auto"/>
          <w:highlight w:val="none"/>
        </w:rPr>
        <w:t>原料</w:t>
      </w:r>
      <w:r>
        <w:rPr>
          <w:rFonts w:hint="eastAsia"/>
          <w:color w:val="auto"/>
          <w:highlight w:val="none"/>
        </w:rPr>
        <w:t>。生物质炉窑配备双碱法脱硫（脱硫效率≥80%）、布袋除尘（除尘效率99%）。</w:t>
      </w:r>
      <w:r>
        <w:rPr>
          <w:color w:val="auto"/>
          <w:highlight w:val="none"/>
        </w:rPr>
        <w:t>经计算，</w:t>
      </w:r>
      <w:r>
        <w:rPr>
          <w:rFonts w:hint="eastAsia"/>
          <w:color w:val="auto"/>
          <w:highlight w:val="none"/>
        </w:rPr>
        <w:t>本项目烘干炉废气产排情况见下表。</w:t>
      </w:r>
    </w:p>
    <w:p w14:paraId="0BBAEA85">
      <w:pPr>
        <w:pStyle w:val="40"/>
        <w:spacing w:before="24" w:after="24"/>
        <w:rPr>
          <w:color w:val="auto"/>
          <w:highlight w:val="none"/>
        </w:rPr>
      </w:pPr>
      <w:r>
        <w:rPr>
          <w:rFonts w:hint="eastAsia"/>
          <w:color w:val="auto"/>
          <w:highlight w:val="none"/>
        </w:rPr>
        <w:t>表3.4-11      锅炉燃烧废气产排情况表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856"/>
        <w:gridCol w:w="1187"/>
        <w:gridCol w:w="775"/>
        <w:gridCol w:w="775"/>
        <w:gridCol w:w="871"/>
        <w:gridCol w:w="852"/>
        <w:gridCol w:w="1018"/>
        <w:gridCol w:w="1240"/>
      </w:tblGrid>
      <w:tr w14:paraId="2D755A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7" w:type="dxa"/>
            <w:tcBorders>
              <w:tl2br w:val="nil"/>
              <w:tr2bl w:val="nil"/>
            </w:tcBorders>
            <w:vAlign w:val="center"/>
          </w:tcPr>
          <w:p w14:paraId="1CC3B0C2">
            <w:pPr>
              <w:pStyle w:val="41"/>
              <w:rPr>
                <w:color w:val="auto"/>
                <w:highlight w:val="none"/>
              </w:rPr>
            </w:pPr>
            <w:r>
              <w:rPr>
                <w:color w:val="auto"/>
                <w:highlight w:val="none"/>
              </w:rPr>
              <w:t>污染物指数</w:t>
            </w:r>
          </w:p>
        </w:tc>
        <w:tc>
          <w:tcPr>
            <w:tcW w:w="856" w:type="dxa"/>
            <w:tcBorders>
              <w:tl2br w:val="nil"/>
              <w:tr2bl w:val="nil"/>
            </w:tcBorders>
            <w:vAlign w:val="center"/>
          </w:tcPr>
          <w:p w14:paraId="1A60BE0C">
            <w:pPr>
              <w:pStyle w:val="41"/>
              <w:rPr>
                <w:color w:val="auto"/>
                <w:highlight w:val="none"/>
              </w:rPr>
            </w:pPr>
            <w:r>
              <w:rPr>
                <w:color w:val="auto"/>
                <w:highlight w:val="none"/>
              </w:rPr>
              <w:t>耗气量（m</w:t>
            </w:r>
            <w:r>
              <w:rPr>
                <w:color w:val="auto"/>
                <w:highlight w:val="none"/>
                <w:vertAlign w:val="superscript"/>
              </w:rPr>
              <w:t>3</w:t>
            </w:r>
            <w:r>
              <w:rPr>
                <w:color w:val="auto"/>
                <w:highlight w:val="none"/>
              </w:rPr>
              <w:t>/h）</w:t>
            </w:r>
          </w:p>
        </w:tc>
        <w:tc>
          <w:tcPr>
            <w:tcW w:w="1187" w:type="dxa"/>
            <w:tcBorders>
              <w:tl2br w:val="nil"/>
              <w:tr2bl w:val="nil"/>
            </w:tcBorders>
            <w:vAlign w:val="center"/>
          </w:tcPr>
          <w:p w14:paraId="0C679559">
            <w:pPr>
              <w:pStyle w:val="41"/>
              <w:rPr>
                <w:color w:val="auto"/>
                <w:highlight w:val="none"/>
              </w:rPr>
            </w:pPr>
            <w:r>
              <w:rPr>
                <w:color w:val="auto"/>
                <w:highlight w:val="none"/>
              </w:rPr>
              <w:t>废气量（</w:t>
            </w:r>
            <w:r>
              <w:rPr>
                <w:rFonts w:hint="eastAsia"/>
                <w:color w:val="auto"/>
                <w:highlight w:val="none"/>
              </w:rPr>
              <w:t>10</w:t>
            </w:r>
            <w:r>
              <w:rPr>
                <w:rFonts w:hint="eastAsia"/>
                <w:color w:val="auto"/>
                <w:highlight w:val="none"/>
                <w:vertAlign w:val="superscript"/>
              </w:rPr>
              <w:t>4</w:t>
            </w:r>
            <w:r>
              <w:rPr>
                <w:color w:val="auto"/>
                <w:highlight w:val="none"/>
              </w:rPr>
              <w:t>m</w:t>
            </w:r>
            <w:r>
              <w:rPr>
                <w:color w:val="auto"/>
                <w:highlight w:val="none"/>
                <w:vertAlign w:val="superscript"/>
              </w:rPr>
              <w:t>3</w:t>
            </w:r>
            <w:r>
              <w:rPr>
                <w:color w:val="auto"/>
                <w:highlight w:val="none"/>
              </w:rPr>
              <w:t>/a）</w:t>
            </w:r>
          </w:p>
        </w:tc>
        <w:tc>
          <w:tcPr>
            <w:tcW w:w="775" w:type="dxa"/>
            <w:tcBorders>
              <w:tl2br w:val="nil"/>
              <w:tr2bl w:val="nil"/>
            </w:tcBorders>
            <w:vAlign w:val="center"/>
          </w:tcPr>
          <w:p w14:paraId="7CD939A4">
            <w:pPr>
              <w:pStyle w:val="41"/>
              <w:rPr>
                <w:color w:val="auto"/>
                <w:highlight w:val="none"/>
              </w:rPr>
            </w:pPr>
            <w:r>
              <w:rPr>
                <w:color w:val="auto"/>
                <w:highlight w:val="none"/>
              </w:rPr>
              <w:t>年工作时长（h）</w:t>
            </w:r>
          </w:p>
        </w:tc>
        <w:tc>
          <w:tcPr>
            <w:tcW w:w="775" w:type="dxa"/>
            <w:tcBorders>
              <w:tl2br w:val="nil"/>
              <w:tr2bl w:val="nil"/>
            </w:tcBorders>
            <w:vAlign w:val="center"/>
          </w:tcPr>
          <w:p w14:paraId="34853F44">
            <w:pPr>
              <w:pStyle w:val="41"/>
              <w:rPr>
                <w:color w:val="auto"/>
                <w:highlight w:val="none"/>
              </w:rPr>
            </w:pPr>
            <w:r>
              <w:rPr>
                <w:color w:val="auto"/>
                <w:highlight w:val="none"/>
              </w:rPr>
              <w:t>产生量（t/a）</w:t>
            </w:r>
          </w:p>
        </w:tc>
        <w:tc>
          <w:tcPr>
            <w:tcW w:w="871" w:type="dxa"/>
            <w:tcBorders>
              <w:tl2br w:val="nil"/>
              <w:tr2bl w:val="nil"/>
            </w:tcBorders>
            <w:vAlign w:val="center"/>
          </w:tcPr>
          <w:p w14:paraId="76D8E2C0">
            <w:pPr>
              <w:pStyle w:val="41"/>
              <w:rPr>
                <w:color w:val="auto"/>
                <w:highlight w:val="none"/>
              </w:rPr>
            </w:pPr>
            <w:r>
              <w:rPr>
                <w:color w:val="auto"/>
                <w:highlight w:val="none"/>
              </w:rPr>
              <w:t>治理</w:t>
            </w:r>
          </w:p>
          <w:p w14:paraId="797FD1CA">
            <w:pPr>
              <w:pStyle w:val="41"/>
              <w:rPr>
                <w:color w:val="auto"/>
                <w:highlight w:val="none"/>
              </w:rPr>
            </w:pPr>
            <w:r>
              <w:rPr>
                <w:color w:val="auto"/>
                <w:highlight w:val="none"/>
              </w:rPr>
              <w:t>措施</w:t>
            </w:r>
          </w:p>
        </w:tc>
        <w:tc>
          <w:tcPr>
            <w:tcW w:w="852" w:type="dxa"/>
            <w:tcBorders>
              <w:tl2br w:val="nil"/>
              <w:tr2bl w:val="nil"/>
            </w:tcBorders>
            <w:vAlign w:val="center"/>
          </w:tcPr>
          <w:p w14:paraId="37A01DE8">
            <w:pPr>
              <w:pStyle w:val="41"/>
              <w:rPr>
                <w:color w:val="auto"/>
                <w:highlight w:val="none"/>
              </w:rPr>
            </w:pPr>
            <w:r>
              <w:rPr>
                <w:color w:val="auto"/>
                <w:highlight w:val="none"/>
              </w:rPr>
              <w:t>排放量（t/a）</w:t>
            </w:r>
          </w:p>
        </w:tc>
        <w:tc>
          <w:tcPr>
            <w:tcW w:w="1018" w:type="dxa"/>
            <w:tcBorders>
              <w:tl2br w:val="nil"/>
              <w:tr2bl w:val="nil"/>
            </w:tcBorders>
            <w:vAlign w:val="center"/>
          </w:tcPr>
          <w:p w14:paraId="14A819F0">
            <w:pPr>
              <w:pStyle w:val="41"/>
              <w:rPr>
                <w:color w:val="auto"/>
                <w:highlight w:val="none"/>
              </w:rPr>
            </w:pPr>
            <w:r>
              <w:rPr>
                <w:color w:val="auto"/>
                <w:highlight w:val="none"/>
              </w:rPr>
              <w:t>排放速率（kg/h）</w:t>
            </w:r>
          </w:p>
        </w:tc>
        <w:tc>
          <w:tcPr>
            <w:tcW w:w="1240" w:type="dxa"/>
            <w:tcBorders>
              <w:tl2br w:val="nil"/>
              <w:tr2bl w:val="nil"/>
            </w:tcBorders>
            <w:vAlign w:val="center"/>
          </w:tcPr>
          <w:p w14:paraId="0FF7B8B3">
            <w:pPr>
              <w:pStyle w:val="41"/>
              <w:rPr>
                <w:color w:val="auto"/>
                <w:highlight w:val="none"/>
              </w:rPr>
            </w:pPr>
            <w:r>
              <w:rPr>
                <w:color w:val="auto"/>
                <w:highlight w:val="none"/>
              </w:rPr>
              <w:t>排放浓度（mg/m</w:t>
            </w:r>
            <w:r>
              <w:rPr>
                <w:color w:val="auto"/>
                <w:highlight w:val="none"/>
                <w:vertAlign w:val="superscript"/>
              </w:rPr>
              <w:t>3</w:t>
            </w:r>
            <w:r>
              <w:rPr>
                <w:color w:val="auto"/>
                <w:highlight w:val="none"/>
              </w:rPr>
              <w:t>）</w:t>
            </w:r>
          </w:p>
        </w:tc>
      </w:tr>
      <w:tr w14:paraId="6F683A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7" w:type="dxa"/>
            <w:tcBorders>
              <w:tl2br w:val="nil"/>
              <w:tr2bl w:val="nil"/>
            </w:tcBorders>
            <w:vAlign w:val="center"/>
          </w:tcPr>
          <w:p w14:paraId="0A1C1386">
            <w:pPr>
              <w:pStyle w:val="41"/>
              <w:rPr>
                <w:color w:val="auto"/>
                <w:highlight w:val="none"/>
              </w:rPr>
            </w:pPr>
            <w:r>
              <w:rPr>
                <w:color w:val="auto"/>
                <w:highlight w:val="none"/>
              </w:rPr>
              <w:t>SO</w:t>
            </w:r>
            <w:r>
              <w:rPr>
                <w:color w:val="auto"/>
                <w:highlight w:val="none"/>
                <w:vertAlign w:val="subscript"/>
              </w:rPr>
              <w:t>2</w:t>
            </w:r>
          </w:p>
        </w:tc>
        <w:tc>
          <w:tcPr>
            <w:tcW w:w="856" w:type="dxa"/>
            <w:vMerge w:val="restart"/>
            <w:tcBorders>
              <w:tl2br w:val="nil"/>
              <w:tr2bl w:val="nil"/>
            </w:tcBorders>
            <w:vAlign w:val="center"/>
          </w:tcPr>
          <w:p w14:paraId="7225A70F">
            <w:pPr>
              <w:pStyle w:val="41"/>
              <w:rPr>
                <w:color w:val="auto"/>
                <w:highlight w:val="none"/>
              </w:rPr>
            </w:pPr>
            <w:r>
              <w:rPr>
                <w:rFonts w:hint="eastAsia"/>
                <w:color w:val="auto"/>
                <w:highlight w:val="none"/>
              </w:rPr>
              <w:t>2340</w:t>
            </w:r>
          </w:p>
        </w:tc>
        <w:tc>
          <w:tcPr>
            <w:tcW w:w="1187" w:type="dxa"/>
            <w:vMerge w:val="restart"/>
            <w:tcBorders>
              <w:tl2br w:val="nil"/>
              <w:tr2bl w:val="nil"/>
            </w:tcBorders>
            <w:vAlign w:val="center"/>
          </w:tcPr>
          <w:p w14:paraId="2986F12C">
            <w:pPr>
              <w:pStyle w:val="41"/>
              <w:rPr>
                <w:color w:val="auto"/>
                <w:highlight w:val="none"/>
              </w:rPr>
            </w:pPr>
            <w:r>
              <w:rPr>
                <w:rFonts w:hint="eastAsia"/>
                <w:color w:val="auto"/>
                <w:highlight w:val="none"/>
              </w:rPr>
              <w:t>1684.8</w:t>
            </w:r>
          </w:p>
        </w:tc>
        <w:tc>
          <w:tcPr>
            <w:tcW w:w="775" w:type="dxa"/>
            <w:vMerge w:val="restart"/>
            <w:tcBorders>
              <w:tl2br w:val="nil"/>
              <w:tr2bl w:val="nil"/>
            </w:tcBorders>
            <w:vAlign w:val="center"/>
          </w:tcPr>
          <w:p w14:paraId="38DEEF3D">
            <w:pPr>
              <w:pStyle w:val="41"/>
              <w:rPr>
                <w:color w:val="auto"/>
                <w:highlight w:val="none"/>
              </w:rPr>
            </w:pPr>
            <w:r>
              <w:rPr>
                <w:rFonts w:hint="eastAsia"/>
                <w:color w:val="auto"/>
                <w:highlight w:val="none"/>
              </w:rPr>
              <w:t>7200</w:t>
            </w:r>
          </w:p>
        </w:tc>
        <w:tc>
          <w:tcPr>
            <w:tcW w:w="775" w:type="dxa"/>
            <w:tcBorders>
              <w:tl2br w:val="nil"/>
              <w:tr2bl w:val="nil"/>
            </w:tcBorders>
            <w:vAlign w:val="center"/>
          </w:tcPr>
          <w:p w14:paraId="5B8CD139">
            <w:pPr>
              <w:pStyle w:val="41"/>
              <w:rPr>
                <w:color w:val="auto"/>
                <w:highlight w:val="none"/>
              </w:rPr>
            </w:pPr>
            <w:r>
              <w:rPr>
                <w:rFonts w:hint="eastAsia"/>
                <w:color w:val="auto"/>
                <w:highlight w:val="none"/>
              </w:rPr>
              <w:t>4.59</w:t>
            </w:r>
          </w:p>
        </w:tc>
        <w:tc>
          <w:tcPr>
            <w:tcW w:w="871" w:type="dxa"/>
            <w:tcBorders>
              <w:tl2br w:val="nil"/>
              <w:tr2bl w:val="nil"/>
            </w:tcBorders>
            <w:vAlign w:val="center"/>
          </w:tcPr>
          <w:p w14:paraId="44435E49">
            <w:pPr>
              <w:pStyle w:val="41"/>
              <w:rPr>
                <w:color w:val="auto"/>
                <w:highlight w:val="none"/>
              </w:rPr>
            </w:pPr>
            <w:r>
              <w:rPr>
                <w:rFonts w:hint="eastAsia"/>
                <w:color w:val="auto"/>
                <w:highlight w:val="none"/>
              </w:rPr>
              <w:t>双碱法脱硫</w:t>
            </w:r>
          </w:p>
        </w:tc>
        <w:tc>
          <w:tcPr>
            <w:tcW w:w="852" w:type="dxa"/>
            <w:tcBorders>
              <w:tl2br w:val="nil"/>
              <w:tr2bl w:val="nil"/>
            </w:tcBorders>
            <w:vAlign w:val="center"/>
          </w:tcPr>
          <w:p w14:paraId="6784E38B">
            <w:pPr>
              <w:pStyle w:val="41"/>
              <w:rPr>
                <w:color w:val="auto"/>
                <w:highlight w:val="none"/>
              </w:rPr>
            </w:pPr>
            <w:r>
              <w:rPr>
                <w:rFonts w:hint="eastAsia"/>
                <w:color w:val="auto"/>
                <w:highlight w:val="none"/>
              </w:rPr>
              <w:t>0.918</w:t>
            </w:r>
          </w:p>
        </w:tc>
        <w:tc>
          <w:tcPr>
            <w:tcW w:w="1018" w:type="dxa"/>
            <w:tcBorders>
              <w:tl2br w:val="nil"/>
              <w:tr2bl w:val="nil"/>
            </w:tcBorders>
            <w:vAlign w:val="center"/>
          </w:tcPr>
          <w:p w14:paraId="701A4135">
            <w:pPr>
              <w:pStyle w:val="41"/>
              <w:rPr>
                <w:color w:val="auto"/>
                <w:highlight w:val="none"/>
              </w:rPr>
            </w:pPr>
            <w:r>
              <w:rPr>
                <w:rFonts w:hint="eastAsia"/>
                <w:color w:val="auto"/>
                <w:highlight w:val="none"/>
              </w:rPr>
              <w:t>0.1275</w:t>
            </w:r>
          </w:p>
        </w:tc>
        <w:tc>
          <w:tcPr>
            <w:tcW w:w="1240" w:type="dxa"/>
            <w:tcBorders>
              <w:tl2br w:val="nil"/>
              <w:tr2bl w:val="nil"/>
            </w:tcBorders>
            <w:vAlign w:val="center"/>
          </w:tcPr>
          <w:p w14:paraId="3A4475CE">
            <w:pPr>
              <w:pStyle w:val="41"/>
              <w:rPr>
                <w:color w:val="auto"/>
                <w:highlight w:val="none"/>
              </w:rPr>
            </w:pPr>
            <w:r>
              <w:rPr>
                <w:rFonts w:hint="eastAsia"/>
                <w:color w:val="auto"/>
                <w:highlight w:val="none"/>
              </w:rPr>
              <w:t>54.49</w:t>
            </w:r>
          </w:p>
        </w:tc>
      </w:tr>
      <w:tr w14:paraId="0ACC65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7" w:type="dxa"/>
            <w:tcBorders>
              <w:tl2br w:val="nil"/>
              <w:tr2bl w:val="nil"/>
            </w:tcBorders>
            <w:vAlign w:val="center"/>
          </w:tcPr>
          <w:p w14:paraId="0CA77174">
            <w:pPr>
              <w:pStyle w:val="41"/>
              <w:rPr>
                <w:color w:val="auto"/>
                <w:highlight w:val="none"/>
              </w:rPr>
            </w:pPr>
            <w:r>
              <w:rPr>
                <w:color w:val="auto"/>
                <w:highlight w:val="none"/>
              </w:rPr>
              <w:t>颗粒物</w:t>
            </w:r>
          </w:p>
        </w:tc>
        <w:tc>
          <w:tcPr>
            <w:tcW w:w="856" w:type="dxa"/>
            <w:vMerge w:val="continue"/>
            <w:tcBorders>
              <w:tl2br w:val="nil"/>
              <w:tr2bl w:val="nil"/>
            </w:tcBorders>
            <w:vAlign w:val="center"/>
          </w:tcPr>
          <w:p w14:paraId="0EB82D1C">
            <w:pPr>
              <w:pStyle w:val="41"/>
              <w:rPr>
                <w:color w:val="auto"/>
                <w:highlight w:val="none"/>
              </w:rPr>
            </w:pPr>
          </w:p>
        </w:tc>
        <w:tc>
          <w:tcPr>
            <w:tcW w:w="1187" w:type="dxa"/>
            <w:vMerge w:val="continue"/>
            <w:tcBorders>
              <w:tl2br w:val="nil"/>
              <w:tr2bl w:val="nil"/>
            </w:tcBorders>
            <w:vAlign w:val="center"/>
          </w:tcPr>
          <w:p w14:paraId="4AA746F7">
            <w:pPr>
              <w:pStyle w:val="41"/>
              <w:rPr>
                <w:color w:val="auto"/>
                <w:highlight w:val="none"/>
              </w:rPr>
            </w:pPr>
          </w:p>
        </w:tc>
        <w:tc>
          <w:tcPr>
            <w:tcW w:w="775" w:type="dxa"/>
            <w:vMerge w:val="continue"/>
            <w:tcBorders>
              <w:tl2br w:val="nil"/>
              <w:tr2bl w:val="nil"/>
            </w:tcBorders>
            <w:vAlign w:val="center"/>
          </w:tcPr>
          <w:p w14:paraId="0E5A49A0">
            <w:pPr>
              <w:pStyle w:val="41"/>
              <w:rPr>
                <w:color w:val="auto"/>
                <w:highlight w:val="none"/>
              </w:rPr>
            </w:pPr>
          </w:p>
        </w:tc>
        <w:tc>
          <w:tcPr>
            <w:tcW w:w="775" w:type="dxa"/>
            <w:tcBorders>
              <w:tl2br w:val="nil"/>
              <w:tr2bl w:val="nil"/>
            </w:tcBorders>
            <w:vAlign w:val="center"/>
          </w:tcPr>
          <w:p w14:paraId="38C73513">
            <w:pPr>
              <w:pStyle w:val="41"/>
              <w:rPr>
                <w:color w:val="auto"/>
                <w:highlight w:val="none"/>
              </w:rPr>
            </w:pPr>
            <w:r>
              <w:rPr>
                <w:rFonts w:hint="eastAsia"/>
                <w:color w:val="auto"/>
                <w:highlight w:val="none"/>
              </w:rPr>
              <w:t>1.35</w:t>
            </w:r>
          </w:p>
        </w:tc>
        <w:tc>
          <w:tcPr>
            <w:tcW w:w="871" w:type="dxa"/>
            <w:tcBorders>
              <w:tl2br w:val="nil"/>
              <w:tr2bl w:val="nil"/>
            </w:tcBorders>
            <w:vAlign w:val="center"/>
          </w:tcPr>
          <w:p w14:paraId="4D4BEB59">
            <w:pPr>
              <w:pStyle w:val="41"/>
              <w:rPr>
                <w:color w:val="auto"/>
                <w:highlight w:val="none"/>
              </w:rPr>
            </w:pPr>
            <w:r>
              <w:rPr>
                <w:rFonts w:hint="eastAsia"/>
                <w:color w:val="auto"/>
                <w:highlight w:val="none"/>
              </w:rPr>
              <w:t>布袋除尘</w:t>
            </w:r>
          </w:p>
        </w:tc>
        <w:tc>
          <w:tcPr>
            <w:tcW w:w="852" w:type="dxa"/>
            <w:tcBorders>
              <w:tl2br w:val="nil"/>
              <w:tr2bl w:val="nil"/>
            </w:tcBorders>
            <w:vAlign w:val="center"/>
          </w:tcPr>
          <w:p w14:paraId="7490A02D">
            <w:pPr>
              <w:pStyle w:val="41"/>
              <w:rPr>
                <w:color w:val="auto"/>
                <w:highlight w:val="none"/>
              </w:rPr>
            </w:pPr>
            <w:r>
              <w:rPr>
                <w:rFonts w:hint="eastAsia"/>
                <w:color w:val="auto"/>
                <w:highlight w:val="none"/>
              </w:rPr>
              <w:t>0.0135</w:t>
            </w:r>
          </w:p>
        </w:tc>
        <w:tc>
          <w:tcPr>
            <w:tcW w:w="1018" w:type="dxa"/>
            <w:tcBorders>
              <w:tl2br w:val="nil"/>
              <w:tr2bl w:val="nil"/>
            </w:tcBorders>
            <w:vAlign w:val="center"/>
          </w:tcPr>
          <w:p w14:paraId="6B5DDF4C">
            <w:pPr>
              <w:pStyle w:val="41"/>
              <w:rPr>
                <w:color w:val="auto"/>
                <w:highlight w:val="none"/>
              </w:rPr>
            </w:pPr>
            <w:r>
              <w:rPr>
                <w:rFonts w:hint="eastAsia"/>
                <w:color w:val="auto"/>
                <w:highlight w:val="none"/>
              </w:rPr>
              <w:t>0.001875</w:t>
            </w:r>
          </w:p>
        </w:tc>
        <w:tc>
          <w:tcPr>
            <w:tcW w:w="1240" w:type="dxa"/>
            <w:tcBorders>
              <w:tl2br w:val="nil"/>
              <w:tr2bl w:val="nil"/>
            </w:tcBorders>
            <w:vAlign w:val="center"/>
          </w:tcPr>
          <w:p w14:paraId="0B4C57AE">
            <w:pPr>
              <w:pStyle w:val="41"/>
              <w:rPr>
                <w:color w:val="auto"/>
                <w:highlight w:val="none"/>
              </w:rPr>
            </w:pPr>
            <w:r>
              <w:rPr>
                <w:rFonts w:hint="eastAsia"/>
                <w:color w:val="auto"/>
                <w:highlight w:val="none"/>
              </w:rPr>
              <w:t>0.80</w:t>
            </w:r>
          </w:p>
        </w:tc>
      </w:tr>
      <w:tr w14:paraId="43BBAE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77" w:type="dxa"/>
            <w:tcBorders>
              <w:tl2br w:val="nil"/>
              <w:tr2bl w:val="nil"/>
            </w:tcBorders>
            <w:vAlign w:val="center"/>
          </w:tcPr>
          <w:p w14:paraId="5E5C2824">
            <w:pPr>
              <w:pStyle w:val="41"/>
              <w:rPr>
                <w:color w:val="auto"/>
                <w:highlight w:val="none"/>
              </w:rPr>
            </w:pPr>
            <w:r>
              <w:rPr>
                <w:color w:val="auto"/>
                <w:highlight w:val="none"/>
              </w:rPr>
              <w:t>NO</w:t>
            </w:r>
            <w:r>
              <w:rPr>
                <w:color w:val="auto"/>
                <w:highlight w:val="none"/>
                <w:vertAlign w:val="subscript"/>
              </w:rPr>
              <w:t>X</w:t>
            </w:r>
          </w:p>
        </w:tc>
        <w:tc>
          <w:tcPr>
            <w:tcW w:w="856" w:type="dxa"/>
            <w:vMerge w:val="continue"/>
            <w:tcBorders>
              <w:tl2br w:val="nil"/>
              <w:tr2bl w:val="nil"/>
            </w:tcBorders>
            <w:vAlign w:val="center"/>
          </w:tcPr>
          <w:p w14:paraId="107CDE99">
            <w:pPr>
              <w:pStyle w:val="41"/>
              <w:rPr>
                <w:color w:val="auto"/>
                <w:highlight w:val="none"/>
              </w:rPr>
            </w:pPr>
          </w:p>
        </w:tc>
        <w:tc>
          <w:tcPr>
            <w:tcW w:w="1187" w:type="dxa"/>
            <w:vMerge w:val="continue"/>
            <w:tcBorders>
              <w:tl2br w:val="nil"/>
              <w:tr2bl w:val="nil"/>
            </w:tcBorders>
            <w:vAlign w:val="center"/>
          </w:tcPr>
          <w:p w14:paraId="21744E2E">
            <w:pPr>
              <w:pStyle w:val="41"/>
              <w:rPr>
                <w:color w:val="auto"/>
                <w:highlight w:val="none"/>
              </w:rPr>
            </w:pPr>
          </w:p>
        </w:tc>
        <w:tc>
          <w:tcPr>
            <w:tcW w:w="775" w:type="dxa"/>
            <w:vMerge w:val="continue"/>
            <w:tcBorders>
              <w:tl2br w:val="nil"/>
              <w:tr2bl w:val="nil"/>
            </w:tcBorders>
            <w:vAlign w:val="center"/>
          </w:tcPr>
          <w:p w14:paraId="05E7EFD7">
            <w:pPr>
              <w:pStyle w:val="41"/>
              <w:rPr>
                <w:color w:val="auto"/>
                <w:highlight w:val="none"/>
              </w:rPr>
            </w:pPr>
          </w:p>
        </w:tc>
        <w:tc>
          <w:tcPr>
            <w:tcW w:w="775" w:type="dxa"/>
            <w:tcBorders>
              <w:tl2br w:val="nil"/>
              <w:tr2bl w:val="nil"/>
            </w:tcBorders>
            <w:vAlign w:val="center"/>
          </w:tcPr>
          <w:p w14:paraId="2DE8B644">
            <w:pPr>
              <w:pStyle w:val="41"/>
              <w:rPr>
                <w:color w:val="auto"/>
                <w:highlight w:val="none"/>
              </w:rPr>
            </w:pPr>
            <w:r>
              <w:rPr>
                <w:rFonts w:hint="eastAsia"/>
                <w:color w:val="auto"/>
                <w:highlight w:val="none"/>
              </w:rPr>
              <w:t>2.754</w:t>
            </w:r>
          </w:p>
        </w:tc>
        <w:tc>
          <w:tcPr>
            <w:tcW w:w="871" w:type="dxa"/>
            <w:tcBorders>
              <w:tl2br w:val="nil"/>
              <w:tr2bl w:val="nil"/>
            </w:tcBorders>
            <w:vAlign w:val="center"/>
          </w:tcPr>
          <w:p w14:paraId="53A51A28">
            <w:pPr>
              <w:pStyle w:val="41"/>
              <w:rPr>
                <w:color w:val="auto"/>
                <w:highlight w:val="none"/>
              </w:rPr>
            </w:pPr>
            <w:r>
              <w:rPr>
                <w:rFonts w:hint="eastAsia"/>
                <w:color w:val="auto"/>
                <w:highlight w:val="none"/>
              </w:rPr>
              <w:t>/</w:t>
            </w:r>
          </w:p>
        </w:tc>
        <w:tc>
          <w:tcPr>
            <w:tcW w:w="852" w:type="dxa"/>
            <w:tcBorders>
              <w:tl2br w:val="nil"/>
              <w:tr2bl w:val="nil"/>
            </w:tcBorders>
            <w:vAlign w:val="center"/>
          </w:tcPr>
          <w:p w14:paraId="7FE946FF">
            <w:pPr>
              <w:pStyle w:val="41"/>
              <w:rPr>
                <w:color w:val="auto"/>
                <w:highlight w:val="none"/>
              </w:rPr>
            </w:pPr>
            <w:r>
              <w:rPr>
                <w:rFonts w:hint="eastAsia"/>
                <w:color w:val="auto"/>
                <w:highlight w:val="none"/>
              </w:rPr>
              <w:t>2.754</w:t>
            </w:r>
          </w:p>
        </w:tc>
        <w:tc>
          <w:tcPr>
            <w:tcW w:w="1018" w:type="dxa"/>
            <w:tcBorders>
              <w:tl2br w:val="nil"/>
              <w:tr2bl w:val="nil"/>
            </w:tcBorders>
            <w:vAlign w:val="center"/>
          </w:tcPr>
          <w:p w14:paraId="33559601">
            <w:pPr>
              <w:pStyle w:val="41"/>
              <w:rPr>
                <w:color w:val="auto"/>
                <w:highlight w:val="none"/>
              </w:rPr>
            </w:pPr>
            <w:r>
              <w:rPr>
                <w:rFonts w:hint="eastAsia"/>
                <w:color w:val="auto"/>
                <w:highlight w:val="none"/>
              </w:rPr>
              <w:t>0.3825</w:t>
            </w:r>
          </w:p>
        </w:tc>
        <w:tc>
          <w:tcPr>
            <w:tcW w:w="1240" w:type="dxa"/>
            <w:tcBorders>
              <w:tl2br w:val="nil"/>
              <w:tr2bl w:val="nil"/>
            </w:tcBorders>
            <w:vAlign w:val="center"/>
          </w:tcPr>
          <w:p w14:paraId="75687775">
            <w:pPr>
              <w:pStyle w:val="41"/>
              <w:rPr>
                <w:color w:val="auto"/>
                <w:highlight w:val="none"/>
              </w:rPr>
            </w:pPr>
            <w:r>
              <w:rPr>
                <w:rFonts w:hint="eastAsia"/>
                <w:color w:val="auto"/>
                <w:highlight w:val="none"/>
              </w:rPr>
              <w:t>163.46</w:t>
            </w:r>
          </w:p>
        </w:tc>
      </w:tr>
    </w:tbl>
    <w:p w14:paraId="1216CD8C">
      <w:pPr>
        <w:pStyle w:val="3"/>
        <w:ind w:firstLine="480"/>
        <w:rPr>
          <w:color w:val="auto"/>
          <w:highlight w:val="none"/>
        </w:rPr>
      </w:pPr>
      <w:r>
        <w:rPr>
          <w:rFonts w:hint="eastAsia"/>
          <w:color w:val="auto"/>
          <w:highlight w:val="none"/>
        </w:rPr>
        <w:t>（5）成品堆存区</w:t>
      </w:r>
    </w:p>
    <w:p w14:paraId="0FD8205F">
      <w:pPr>
        <w:pStyle w:val="3"/>
        <w:ind w:firstLine="480"/>
        <w:rPr>
          <w:color w:val="auto"/>
          <w:highlight w:val="none"/>
        </w:rPr>
      </w:pPr>
      <w:r>
        <w:rPr>
          <w:rFonts w:hint="eastAsia"/>
          <w:color w:val="auto"/>
          <w:highlight w:val="none"/>
        </w:rPr>
        <w:t>①</w:t>
      </w:r>
      <w:r>
        <w:rPr>
          <w:color w:val="auto"/>
          <w:highlight w:val="none"/>
        </w:rPr>
        <w:t>铁精矿堆存废气</w:t>
      </w:r>
    </w:p>
    <w:p w14:paraId="715E8BF0">
      <w:pPr>
        <w:pStyle w:val="3"/>
        <w:ind w:firstLine="480"/>
        <w:rPr>
          <w:color w:val="auto"/>
          <w:highlight w:val="none"/>
        </w:rPr>
      </w:pPr>
      <w:r>
        <w:rPr>
          <w:rFonts w:hint="eastAsia"/>
          <w:color w:val="auto"/>
          <w:highlight w:val="none"/>
        </w:rPr>
        <w:t>铁精粉在封闭式精矿库内储存，且精矿库地面全部硬化，精矿库主要出入口为电动门，确保作业时料场处于全封闭状态。铁精粉堆存及装卸过程产生的颗粒物产生量参照《排放源统计调查产排污核算方法和系数手册》中的《固体物料堆存颗粒物产排污核算系数手册》的颗粒物产生量核算公式计算（同</w:t>
      </w:r>
      <w:r>
        <w:rPr>
          <w:rFonts w:hint="eastAsia"/>
          <w:color w:val="auto"/>
          <w:highlight w:val="none"/>
          <w:lang w:eastAsia="zh-CN"/>
        </w:rPr>
        <w:t>原矿堆库</w:t>
      </w:r>
      <w:r>
        <w:rPr>
          <w:rFonts w:hint="eastAsia"/>
          <w:color w:val="auto"/>
          <w:highlight w:val="none"/>
        </w:rPr>
        <w:t>粉尘计算公式）。</w:t>
      </w:r>
    </w:p>
    <w:p w14:paraId="532B7591">
      <w:pPr>
        <w:pStyle w:val="3"/>
        <w:ind w:firstLine="480"/>
        <w:rPr>
          <w:color w:val="auto"/>
          <w:highlight w:val="none"/>
        </w:rPr>
      </w:pPr>
      <w:r>
        <w:rPr>
          <w:rFonts w:hint="eastAsia"/>
          <w:color w:val="auto"/>
          <w:highlight w:val="none"/>
        </w:rPr>
        <w:t>本项目一期铁精粉年产量为30.14万t。铁精粉库占地面积取1800m</w:t>
      </w:r>
      <w:r>
        <w:rPr>
          <w:rFonts w:hint="eastAsia"/>
          <w:color w:val="auto"/>
          <w:highlight w:val="none"/>
          <w:vertAlign w:val="superscript"/>
        </w:rPr>
        <w:t>2</w:t>
      </w:r>
      <w:r>
        <w:rPr>
          <w:rFonts w:hint="eastAsia"/>
          <w:color w:val="auto"/>
          <w:highlight w:val="none"/>
        </w:rPr>
        <w:t>，b取值0.0002（铁精粉含水率取0.4%，b为0.0002），经计算，精矿库粉尘产生量为0.06028 t/a（0.0251kg/h），</w:t>
      </w:r>
      <w:bookmarkStart w:id="307" w:name="OLE_LINK47"/>
      <w:r>
        <w:rPr>
          <w:color w:val="auto"/>
          <w:highlight w:val="none"/>
        </w:rPr>
        <w:t>铁精矿堆场为封闭式堆场（抑尘效率99%）</w:t>
      </w:r>
      <w:r>
        <w:rPr>
          <w:rFonts w:hint="eastAsia"/>
          <w:color w:val="auto"/>
          <w:highlight w:val="none"/>
        </w:rPr>
        <w:t>，</w:t>
      </w:r>
      <w:r>
        <w:rPr>
          <w:color w:val="auto"/>
          <w:highlight w:val="none"/>
        </w:rPr>
        <w:t>则颗粒物排放量</w:t>
      </w:r>
      <w:r>
        <w:rPr>
          <w:rFonts w:hint="eastAsia"/>
          <w:color w:val="auto"/>
          <w:highlight w:val="none"/>
        </w:rPr>
        <w:t>0.0006</w:t>
      </w:r>
      <w:r>
        <w:rPr>
          <w:color w:val="auto"/>
          <w:highlight w:val="none"/>
        </w:rPr>
        <w:t>t/a</w:t>
      </w:r>
      <w:r>
        <w:rPr>
          <w:rFonts w:hint="eastAsia"/>
          <w:color w:val="auto"/>
          <w:highlight w:val="none"/>
        </w:rPr>
        <w:t>（0.0003kg/h）</w:t>
      </w:r>
      <w:r>
        <w:rPr>
          <w:color w:val="auto"/>
          <w:highlight w:val="none"/>
        </w:rPr>
        <w:t>，以无组织形式逸散。</w:t>
      </w:r>
    </w:p>
    <w:bookmarkEnd w:id="307"/>
    <w:p w14:paraId="454A0D6C">
      <w:pPr>
        <w:pStyle w:val="3"/>
        <w:ind w:firstLine="480"/>
        <w:rPr>
          <w:color w:val="auto"/>
          <w:highlight w:val="none"/>
        </w:rPr>
      </w:pPr>
      <w:r>
        <w:rPr>
          <w:rFonts w:hint="eastAsia"/>
          <w:color w:val="auto"/>
          <w:highlight w:val="none"/>
        </w:rPr>
        <w:t>②</w:t>
      </w:r>
      <w:r>
        <w:rPr>
          <w:color w:val="auto"/>
          <w:highlight w:val="none"/>
        </w:rPr>
        <w:t>钛</w:t>
      </w:r>
      <w:r>
        <w:rPr>
          <w:rFonts w:hint="eastAsia"/>
          <w:color w:val="auto"/>
          <w:highlight w:val="none"/>
        </w:rPr>
        <w:t>精粉</w:t>
      </w:r>
      <w:r>
        <w:rPr>
          <w:color w:val="auto"/>
          <w:highlight w:val="none"/>
        </w:rPr>
        <w:t>堆存废气</w:t>
      </w:r>
    </w:p>
    <w:p w14:paraId="44F1C898">
      <w:pPr>
        <w:pStyle w:val="3"/>
        <w:ind w:firstLine="480"/>
        <w:rPr>
          <w:color w:val="auto"/>
          <w:highlight w:val="none"/>
        </w:rPr>
      </w:pPr>
      <w:r>
        <w:rPr>
          <w:color w:val="auto"/>
          <w:highlight w:val="none"/>
        </w:rPr>
        <w:t>钛</w:t>
      </w:r>
      <w:r>
        <w:rPr>
          <w:rFonts w:hint="eastAsia"/>
          <w:color w:val="auto"/>
          <w:highlight w:val="none"/>
        </w:rPr>
        <w:t>精粉</w:t>
      </w:r>
      <w:r>
        <w:rPr>
          <w:color w:val="auto"/>
          <w:highlight w:val="none"/>
        </w:rPr>
        <w:t>由密闭皮带输送至选钛车间内的钛</w:t>
      </w:r>
      <w:r>
        <w:rPr>
          <w:rFonts w:hint="eastAsia"/>
          <w:color w:val="auto"/>
          <w:highlight w:val="none"/>
        </w:rPr>
        <w:t>精粉</w:t>
      </w:r>
      <w:r>
        <w:rPr>
          <w:color w:val="auto"/>
          <w:highlight w:val="none"/>
        </w:rPr>
        <w:t>堆场，输送过程中无废气产生，皮带卸料至堆场地面及钛</w:t>
      </w:r>
      <w:r>
        <w:rPr>
          <w:rFonts w:hint="eastAsia"/>
          <w:color w:val="auto"/>
          <w:highlight w:val="none"/>
        </w:rPr>
        <w:t>精粉</w:t>
      </w:r>
      <w:r>
        <w:rPr>
          <w:color w:val="auto"/>
          <w:highlight w:val="none"/>
        </w:rPr>
        <w:t>堆场时会产生一定的废气，污染物主要为颗粒物，钛</w:t>
      </w:r>
      <w:r>
        <w:rPr>
          <w:rFonts w:hint="eastAsia"/>
          <w:color w:val="auto"/>
          <w:highlight w:val="none"/>
        </w:rPr>
        <w:t>精粉堆存及装卸过程产生的颗粒物产生量参照《排放源统计调查产排污核算方法和系数手册》中的《固体物料堆存颗粒物产排污核算系数手册》的颗粒物产生量核算公式计算（同</w:t>
      </w:r>
      <w:r>
        <w:rPr>
          <w:rFonts w:hint="eastAsia"/>
          <w:color w:val="auto"/>
          <w:highlight w:val="none"/>
          <w:lang w:eastAsia="zh-CN"/>
        </w:rPr>
        <w:t>原矿堆库</w:t>
      </w:r>
      <w:r>
        <w:rPr>
          <w:rFonts w:hint="eastAsia"/>
          <w:color w:val="auto"/>
          <w:highlight w:val="none"/>
        </w:rPr>
        <w:t>粉尘计算公式）。</w:t>
      </w:r>
    </w:p>
    <w:p w14:paraId="0AA93954">
      <w:pPr>
        <w:pStyle w:val="3"/>
        <w:ind w:firstLine="480"/>
        <w:rPr>
          <w:color w:val="auto"/>
          <w:highlight w:val="none"/>
        </w:rPr>
      </w:pPr>
      <w:r>
        <w:rPr>
          <w:rFonts w:hint="eastAsia"/>
          <w:color w:val="auto"/>
          <w:highlight w:val="none"/>
        </w:rPr>
        <w:t>本项目选矿厂一期钛精粉年产量为15.87万t。精矿库占地面积取一期1643.88m</w:t>
      </w:r>
      <w:r>
        <w:rPr>
          <w:rFonts w:hint="eastAsia"/>
          <w:color w:val="auto"/>
          <w:highlight w:val="none"/>
          <w:vertAlign w:val="superscript"/>
        </w:rPr>
        <w:t>2</w:t>
      </w:r>
      <w:r>
        <w:rPr>
          <w:rFonts w:hint="eastAsia"/>
          <w:color w:val="auto"/>
          <w:highlight w:val="none"/>
        </w:rPr>
        <w:t>，b取值0.0002（铁精粉含水率取0.4%，b为0.0002），经计算，精矿库粉尘产生量为0.032t/a（0.013kg/h），</w:t>
      </w:r>
      <w:r>
        <w:rPr>
          <w:color w:val="auto"/>
          <w:highlight w:val="none"/>
        </w:rPr>
        <w:t>铁精矿堆场为封闭式堆场（抑尘效率99%）</w:t>
      </w:r>
      <w:r>
        <w:rPr>
          <w:rFonts w:hint="eastAsia"/>
          <w:color w:val="auto"/>
          <w:highlight w:val="none"/>
        </w:rPr>
        <w:t>，</w:t>
      </w:r>
      <w:r>
        <w:rPr>
          <w:color w:val="auto"/>
          <w:highlight w:val="none"/>
        </w:rPr>
        <w:t>则颗粒物排放量为</w:t>
      </w:r>
      <w:r>
        <w:rPr>
          <w:rFonts w:hint="eastAsia"/>
          <w:color w:val="auto"/>
          <w:highlight w:val="none"/>
        </w:rPr>
        <w:t>0.0003</w:t>
      </w:r>
      <w:r>
        <w:rPr>
          <w:color w:val="auto"/>
          <w:highlight w:val="none"/>
        </w:rPr>
        <w:t>t/a</w:t>
      </w:r>
      <w:r>
        <w:rPr>
          <w:rFonts w:hint="eastAsia"/>
          <w:color w:val="auto"/>
          <w:highlight w:val="none"/>
        </w:rPr>
        <w:t>（0.00013kg/h）</w:t>
      </w:r>
      <w:r>
        <w:rPr>
          <w:color w:val="auto"/>
          <w:highlight w:val="none"/>
        </w:rPr>
        <w:t>，以无组织形式逸散。</w:t>
      </w:r>
    </w:p>
    <w:p w14:paraId="1908F148">
      <w:pPr>
        <w:pStyle w:val="3"/>
        <w:ind w:firstLine="480"/>
        <w:rPr>
          <w:color w:val="auto"/>
          <w:highlight w:val="none"/>
        </w:rPr>
      </w:pPr>
      <w:r>
        <w:rPr>
          <w:color w:val="auto"/>
          <w:highlight w:val="none"/>
        </w:rPr>
        <w:t>（</w:t>
      </w:r>
      <w:r>
        <w:rPr>
          <w:rFonts w:hint="eastAsia"/>
          <w:color w:val="auto"/>
          <w:highlight w:val="none"/>
        </w:rPr>
        <w:t>6</w:t>
      </w:r>
      <w:r>
        <w:rPr>
          <w:color w:val="auto"/>
          <w:highlight w:val="none"/>
        </w:rPr>
        <w:t>）尾矿库扬尘</w:t>
      </w:r>
    </w:p>
    <w:p w14:paraId="071D1F9E">
      <w:pPr>
        <w:pStyle w:val="3"/>
        <w:ind w:firstLine="480"/>
        <w:rPr>
          <w:color w:val="auto"/>
          <w:highlight w:val="none"/>
        </w:rPr>
      </w:pPr>
      <w:r>
        <w:rPr>
          <w:color w:val="auto"/>
          <w:highlight w:val="none"/>
        </w:rPr>
        <w:t>项目运营期，尾矿库的干坡面会产生扬尘，由于尾矿含有一定的水分，可在尾矿库表面形成水封面，使滩面保持湿润，有效防止了尾矿起尘。</w:t>
      </w:r>
    </w:p>
    <w:p w14:paraId="03529651">
      <w:pPr>
        <w:pStyle w:val="3"/>
        <w:ind w:firstLine="480"/>
        <w:rPr>
          <w:color w:val="auto"/>
          <w:highlight w:val="none"/>
        </w:rPr>
      </w:pPr>
      <w:r>
        <w:rPr>
          <w:color w:val="auto"/>
          <w:highlight w:val="none"/>
        </w:rPr>
        <w:t>根据《扬尘源颗粒物排放清单编制技术指南》，工业企业固体物料堆存颗粒物包括装卸扬尘和风蚀扬尘，颗粒物产生量核算公式如下：</w:t>
      </w:r>
    </w:p>
    <w:p w14:paraId="125D5175">
      <w:pPr>
        <w:pStyle w:val="3"/>
        <w:spacing w:line="480" w:lineRule="auto"/>
        <w:ind w:firstLine="480"/>
        <w:rPr>
          <w:color w:val="auto"/>
          <w:highlight w:val="none"/>
        </w:rPr>
      </w:pPr>
      <w:r>
        <w:rPr>
          <w:color w:val="auto"/>
          <w:highlight w:val="none"/>
        </w:rPr>
        <w:drawing>
          <wp:inline distT="0" distB="0" distL="114300" distR="114300">
            <wp:extent cx="3243580" cy="452120"/>
            <wp:effectExtent l="0" t="0" r="13970" b="5080"/>
            <wp:docPr id="4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9"/>
                    <pic:cNvPicPr>
                      <a:picLocks noChangeAspect="1"/>
                    </pic:cNvPicPr>
                  </pic:nvPicPr>
                  <pic:blipFill>
                    <a:blip r:embed="rId31"/>
                    <a:stretch>
                      <a:fillRect/>
                    </a:stretch>
                  </pic:blipFill>
                  <pic:spPr>
                    <a:xfrm>
                      <a:off x="0" y="0"/>
                      <a:ext cx="3243580" cy="452120"/>
                    </a:xfrm>
                    <a:prstGeom prst="rect">
                      <a:avLst/>
                    </a:prstGeom>
                    <a:noFill/>
                    <a:ln>
                      <a:noFill/>
                    </a:ln>
                  </pic:spPr>
                </pic:pic>
              </a:graphicData>
            </a:graphic>
          </wp:inline>
        </w:drawing>
      </w:r>
    </w:p>
    <w:p w14:paraId="210AB98B">
      <w:pPr>
        <w:pStyle w:val="3"/>
        <w:ind w:firstLine="480"/>
        <w:rPr>
          <w:color w:val="auto"/>
          <w:highlight w:val="none"/>
        </w:rPr>
      </w:pPr>
      <w:r>
        <w:rPr>
          <w:rFonts w:hint="eastAsia"/>
          <w:color w:val="auto"/>
          <w:highlight w:val="none"/>
        </w:rPr>
        <w:t>式中：</w:t>
      </w:r>
    </w:p>
    <w:p w14:paraId="337CD147">
      <w:pPr>
        <w:pStyle w:val="3"/>
        <w:ind w:firstLine="480"/>
        <w:rPr>
          <w:color w:val="auto"/>
          <w:highlight w:val="none"/>
        </w:rPr>
      </w:pPr>
      <w:r>
        <w:rPr>
          <w:color w:val="auto"/>
          <w:highlight w:val="none"/>
        </w:rPr>
        <w:t>WY为堆场扬尘源中颗粒物总排放量，t/a。</w:t>
      </w:r>
    </w:p>
    <w:p w14:paraId="56756B15">
      <w:pPr>
        <w:pStyle w:val="3"/>
        <w:ind w:firstLine="480"/>
        <w:rPr>
          <w:color w:val="auto"/>
          <w:highlight w:val="none"/>
        </w:rPr>
      </w:pPr>
      <w:r>
        <w:rPr>
          <w:color w:val="auto"/>
          <w:highlight w:val="none"/>
        </w:rPr>
        <w:t>Eh为堆场装卸运输过程的扬尘颗粒物排放系数，kg/t。</w:t>
      </w:r>
    </w:p>
    <w:p w14:paraId="7199D9BF">
      <w:pPr>
        <w:pStyle w:val="3"/>
        <w:ind w:firstLine="480"/>
        <w:rPr>
          <w:rFonts w:hint="default" w:eastAsia="华文中宋"/>
          <w:color w:val="auto"/>
          <w:highlight w:val="none"/>
          <w:lang w:val="en-US" w:eastAsia="zh-CN"/>
        </w:rPr>
      </w:pPr>
      <w:r>
        <w:rPr>
          <w:color w:val="auto"/>
          <w:highlight w:val="none"/>
        </w:rPr>
        <w:t>m为每年料堆物料装卸总次数</w:t>
      </w:r>
      <w:r>
        <w:rPr>
          <w:rFonts w:hint="eastAsia"/>
          <w:color w:val="auto"/>
          <w:highlight w:val="none"/>
        </w:rPr>
        <w:t>，</w:t>
      </w:r>
      <w:r>
        <w:rPr>
          <w:rFonts w:hint="eastAsia"/>
          <w:color w:val="auto"/>
          <w:highlight w:val="none"/>
          <w:lang w:eastAsia="zh-CN"/>
        </w:rPr>
        <w:t>取</w:t>
      </w:r>
      <w:r>
        <w:rPr>
          <w:rFonts w:hint="eastAsia"/>
          <w:color w:val="auto"/>
          <w:highlight w:val="none"/>
          <w:lang w:val="en-US" w:eastAsia="zh-CN"/>
        </w:rPr>
        <w:t>50333。</w:t>
      </w:r>
    </w:p>
    <w:p w14:paraId="36435B6A">
      <w:pPr>
        <w:pStyle w:val="3"/>
        <w:ind w:firstLine="480"/>
        <w:rPr>
          <w:color w:val="auto"/>
          <w:highlight w:val="none"/>
        </w:rPr>
      </w:pPr>
      <w:r>
        <w:rPr>
          <w:color w:val="auto"/>
          <w:highlight w:val="none"/>
        </w:rPr>
        <w:t>GYi为第i次装卸过程的物料装卸量，t</w:t>
      </w:r>
      <w:r>
        <w:rPr>
          <w:rFonts w:hint="eastAsia"/>
          <w:color w:val="auto"/>
          <w:highlight w:val="none"/>
          <w:lang w:eastAsia="zh-CN"/>
        </w:rPr>
        <w:t>（取</w:t>
      </w:r>
      <w:r>
        <w:rPr>
          <w:rFonts w:hint="eastAsia"/>
          <w:color w:val="auto"/>
          <w:highlight w:val="none"/>
          <w:lang w:val="en-US" w:eastAsia="zh-CN"/>
        </w:rPr>
        <w:t>60</w:t>
      </w:r>
      <w:r>
        <w:rPr>
          <w:rFonts w:hint="eastAsia"/>
          <w:color w:val="auto"/>
          <w:highlight w:val="none"/>
          <w:lang w:eastAsia="zh-CN"/>
        </w:rPr>
        <w:t>）</w:t>
      </w:r>
      <w:r>
        <w:rPr>
          <w:color w:val="auto"/>
          <w:highlight w:val="none"/>
        </w:rPr>
        <w:t>。</w:t>
      </w:r>
    </w:p>
    <w:p w14:paraId="5116C20E">
      <w:pPr>
        <w:pStyle w:val="3"/>
        <w:ind w:firstLine="480"/>
        <w:rPr>
          <w:color w:val="auto"/>
          <w:highlight w:val="none"/>
        </w:rPr>
      </w:pPr>
      <w:r>
        <w:rPr>
          <w:color w:val="auto"/>
          <w:highlight w:val="none"/>
        </w:rPr>
        <w:t>Ew为料堆受到风蚀作用的颗粒物排放系数，kg/m</w:t>
      </w:r>
      <w:r>
        <w:rPr>
          <w:color w:val="auto"/>
          <w:highlight w:val="none"/>
          <w:vertAlign w:val="superscript"/>
        </w:rPr>
        <w:t>2</w:t>
      </w:r>
      <w:r>
        <w:rPr>
          <w:color w:val="auto"/>
          <w:highlight w:val="none"/>
        </w:rPr>
        <w:t>。</w:t>
      </w:r>
    </w:p>
    <w:p w14:paraId="711F770A">
      <w:pPr>
        <w:pStyle w:val="3"/>
        <w:ind w:firstLine="480"/>
        <w:rPr>
          <w:color w:val="auto"/>
          <w:highlight w:val="none"/>
        </w:rPr>
      </w:pPr>
      <w:r>
        <w:rPr>
          <w:color w:val="auto"/>
          <w:highlight w:val="none"/>
        </w:rPr>
        <w:t>AY为料堆表面积，m</w:t>
      </w:r>
      <w:r>
        <w:rPr>
          <w:color w:val="auto"/>
          <w:highlight w:val="none"/>
          <w:vertAlign w:val="superscript"/>
        </w:rPr>
        <w:t>2</w:t>
      </w:r>
      <w:r>
        <w:rPr>
          <w:color w:val="auto"/>
          <w:highlight w:val="none"/>
        </w:rPr>
        <w:t>。</w:t>
      </w:r>
      <w:r>
        <w:rPr>
          <w:rFonts w:hint="eastAsia"/>
          <w:color w:val="auto"/>
          <w:highlight w:val="none"/>
        </w:rPr>
        <w:t>本项目库区占地面积85.76hm</w:t>
      </w:r>
      <w:r>
        <w:rPr>
          <w:rFonts w:hint="eastAsia"/>
          <w:color w:val="auto"/>
          <w:highlight w:val="none"/>
          <w:vertAlign w:val="superscript"/>
        </w:rPr>
        <w:t>2</w:t>
      </w:r>
      <w:r>
        <w:rPr>
          <w:rFonts w:hint="eastAsia"/>
          <w:color w:val="auto"/>
          <w:highlight w:val="none"/>
        </w:rPr>
        <w:t>；</w:t>
      </w:r>
    </w:p>
    <w:p w14:paraId="5F26A04F">
      <w:pPr>
        <w:pStyle w:val="3"/>
        <w:ind w:firstLine="480"/>
        <w:rPr>
          <w:color w:val="auto"/>
          <w:highlight w:val="none"/>
        </w:rPr>
      </w:pPr>
      <w:r>
        <w:rPr>
          <w:color w:val="auto"/>
          <w:highlight w:val="none"/>
        </w:rPr>
        <w:t>①装卸扬尘颗粒物产生量核算</w:t>
      </w:r>
    </w:p>
    <w:p w14:paraId="67E0E345">
      <w:pPr>
        <w:pStyle w:val="3"/>
        <w:ind w:firstLine="480"/>
        <w:rPr>
          <w:color w:val="auto"/>
          <w:highlight w:val="none"/>
        </w:rPr>
      </w:pPr>
      <w:r>
        <w:rPr>
          <w:color w:val="auto"/>
          <w:highlight w:val="none"/>
        </w:rPr>
        <w:t>装卸过</w:t>
      </w:r>
      <w:r>
        <w:rPr>
          <w:rFonts w:hint="eastAsia"/>
          <w:color w:val="auto"/>
          <w:highlight w:val="none"/>
          <w:lang w:eastAsia="zh-CN"/>
        </w:rPr>
        <w:t>程中</w:t>
      </w:r>
      <w:r>
        <w:rPr>
          <w:color w:val="auto"/>
          <w:highlight w:val="none"/>
        </w:rPr>
        <w:t>产生的扬尘采用《扬尘源颗粒物排放清单编制技术指南》公式：</w:t>
      </w:r>
    </w:p>
    <w:p w14:paraId="397BAF79">
      <w:pPr>
        <w:pStyle w:val="3"/>
        <w:spacing w:line="480" w:lineRule="auto"/>
        <w:ind w:firstLine="480"/>
        <w:rPr>
          <w:color w:val="auto"/>
          <w:highlight w:val="none"/>
        </w:rPr>
      </w:pPr>
      <w:r>
        <w:rPr>
          <w:color w:val="auto"/>
          <w:highlight w:val="none"/>
        </w:rPr>
        <w:drawing>
          <wp:inline distT="0" distB="0" distL="114300" distR="114300">
            <wp:extent cx="2523490" cy="831850"/>
            <wp:effectExtent l="0" t="0" r="10160" b="6350"/>
            <wp:docPr id="5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0"/>
                    <pic:cNvPicPr>
                      <a:picLocks noChangeAspect="1"/>
                    </pic:cNvPicPr>
                  </pic:nvPicPr>
                  <pic:blipFill>
                    <a:blip r:embed="rId32"/>
                    <a:stretch>
                      <a:fillRect/>
                    </a:stretch>
                  </pic:blipFill>
                  <pic:spPr>
                    <a:xfrm>
                      <a:off x="0" y="0"/>
                      <a:ext cx="2523490" cy="831850"/>
                    </a:xfrm>
                    <a:prstGeom prst="rect">
                      <a:avLst/>
                    </a:prstGeom>
                    <a:noFill/>
                    <a:ln>
                      <a:noFill/>
                    </a:ln>
                  </pic:spPr>
                </pic:pic>
              </a:graphicData>
            </a:graphic>
          </wp:inline>
        </w:drawing>
      </w:r>
    </w:p>
    <w:p w14:paraId="590793E4">
      <w:pPr>
        <w:pStyle w:val="3"/>
        <w:ind w:firstLine="480"/>
        <w:rPr>
          <w:color w:val="auto"/>
          <w:highlight w:val="none"/>
        </w:rPr>
      </w:pPr>
      <w:r>
        <w:rPr>
          <w:color w:val="auto"/>
          <w:highlight w:val="none"/>
        </w:rPr>
        <w:t>Eh为堆场装卸扬尘的排放系数，kg/t。</w:t>
      </w:r>
    </w:p>
    <w:p w14:paraId="12C170FD">
      <w:pPr>
        <w:pStyle w:val="3"/>
        <w:ind w:firstLine="480"/>
        <w:rPr>
          <w:color w:val="auto"/>
          <w:highlight w:val="none"/>
        </w:rPr>
      </w:pPr>
      <w:r>
        <w:rPr>
          <w:color w:val="auto"/>
          <w:highlight w:val="none"/>
        </w:rPr>
        <w:t>ki为物料的粒度乘数，取0.74。</w:t>
      </w:r>
    </w:p>
    <w:p w14:paraId="2218679D">
      <w:pPr>
        <w:pStyle w:val="3"/>
        <w:ind w:firstLine="480"/>
        <w:rPr>
          <w:color w:val="auto"/>
          <w:highlight w:val="none"/>
        </w:rPr>
      </w:pPr>
      <w:r>
        <w:rPr>
          <w:color w:val="auto"/>
          <w:highlight w:val="none"/>
        </w:rPr>
        <w:t>u为地面平均风速，多年平均风速2.1m/s。</w:t>
      </w:r>
    </w:p>
    <w:p w14:paraId="1D4BB360">
      <w:pPr>
        <w:pStyle w:val="3"/>
        <w:ind w:firstLine="480"/>
        <w:rPr>
          <w:color w:val="auto"/>
          <w:highlight w:val="none"/>
        </w:rPr>
      </w:pPr>
      <w:r>
        <w:rPr>
          <w:color w:val="auto"/>
          <w:highlight w:val="none"/>
        </w:rPr>
        <w:t>M为物料含水率，%，本项目取18%。</w:t>
      </w:r>
    </w:p>
    <w:p w14:paraId="7C2D2C55">
      <w:pPr>
        <w:pStyle w:val="3"/>
        <w:ind w:firstLine="480"/>
        <w:rPr>
          <w:color w:val="auto"/>
          <w:highlight w:val="none"/>
        </w:rPr>
      </w:pPr>
      <w:r>
        <w:rPr>
          <w:color w:val="auto"/>
          <w:highlight w:val="none"/>
        </w:rPr>
        <w:t>η为污染控制技术对扬尘的去除效率，</w:t>
      </w:r>
      <w:r>
        <w:rPr>
          <w:rFonts w:hint="eastAsia"/>
          <w:color w:val="auto"/>
          <w:highlight w:val="none"/>
        </w:rPr>
        <w:t>74</w:t>
      </w:r>
      <w:r>
        <w:rPr>
          <w:color w:val="auto"/>
          <w:highlight w:val="none"/>
        </w:rPr>
        <w:t>%。</w:t>
      </w:r>
    </w:p>
    <w:p w14:paraId="6C0ABD80">
      <w:pPr>
        <w:pStyle w:val="3"/>
        <w:ind w:firstLine="480"/>
        <w:rPr>
          <w:color w:val="auto"/>
          <w:highlight w:val="none"/>
        </w:rPr>
      </w:pPr>
      <w:r>
        <w:rPr>
          <w:color w:val="auto"/>
          <w:highlight w:val="none"/>
        </w:rPr>
        <w:t>经上式计算可得Eh=</w:t>
      </w:r>
      <w:r>
        <w:rPr>
          <w:rFonts w:hint="eastAsia"/>
          <w:color w:val="auto"/>
          <w:highlight w:val="none"/>
        </w:rPr>
        <w:t xml:space="preserve"> 0.000013</w:t>
      </w:r>
      <w:r>
        <w:rPr>
          <w:color w:val="auto"/>
          <w:highlight w:val="none"/>
        </w:rPr>
        <w:t>kg/t，本项目尾矿库装卸量</w:t>
      </w:r>
      <w:r>
        <w:rPr>
          <w:rFonts w:hint="eastAsia"/>
          <w:color w:val="auto"/>
          <w:highlight w:val="none"/>
        </w:rPr>
        <w:t>302</w:t>
      </w:r>
      <w:r>
        <w:rPr>
          <w:color w:val="auto"/>
          <w:highlight w:val="none"/>
        </w:rPr>
        <w:t>×10</w:t>
      </w:r>
      <w:r>
        <w:rPr>
          <w:color w:val="auto"/>
          <w:highlight w:val="none"/>
          <w:vertAlign w:val="superscript"/>
        </w:rPr>
        <w:t>4</w:t>
      </w:r>
      <w:r>
        <w:rPr>
          <w:color w:val="auto"/>
          <w:highlight w:val="none"/>
        </w:rPr>
        <w:t>t/a，则装卸粉尘产生量为</w:t>
      </w:r>
      <w:r>
        <w:rPr>
          <w:rFonts w:hint="eastAsia"/>
          <w:color w:val="auto"/>
          <w:highlight w:val="none"/>
        </w:rPr>
        <w:t>0.0393</w:t>
      </w:r>
      <w:r>
        <w:rPr>
          <w:color w:val="auto"/>
          <w:highlight w:val="none"/>
        </w:rPr>
        <w:t>t/a。</w:t>
      </w:r>
    </w:p>
    <w:p w14:paraId="7314C4D1">
      <w:pPr>
        <w:pStyle w:val="3"/>
        <w:ind w:firstLine="480"/>
        <w:rPr>
          <w:color w:val="auto"/>
          <w:highlight w:val="none"/>
        </w:rPr>
      </w:pPr>
      <w:r>
        <w:rPr>
          <w:color w:val="auto"/>
          <w:highlight w:val="none"/>
        </w:rPr>
        <w:t>②风蚀扬尘颗粒物产生量核算</w:t>
      </w:r>
    </w:p>
    <w:p w14:paraId="7ECF86B9">
      <w:pPr>
        <w:pStyle w:val="3"/>
        <w:ind w:firstLine="480"/>
        <w:rPr>
          <w:color w:val="auto"/>
          <w:highlight w:val="none"/>
        </w:rPr>
      </w:pPr>
      <w:r>
        <w:rPr>
          <w:color w:val="auto"/>
          <w:highlight w:val="none"/>
        </w:rPr>
        <w:t>风蚀产生的扬尘采用《扬尘源颗粒物排放清单编制技术指南》公式：</w:t>
      </w:r>
    </w:p>
    <w:p w14:paraId="7A7070B2">
      <w:pPr>
        <w:pStyle w:val="3"/>
        <w:spacing w:line="480" w:lineRule="auto"/>
        <w:ind w:firstLine="480"/>
        <w:rPr>
          <w:color w:val="auto"/>
          <w:highlight w:val="none"/>
        </w:rPr>
      </w:pPr>
      <w:r>
        <w:rPr>
          <w:color w:val="auto"/>
          <w:highlight w:val="none"/>
        </w:rPr>
        <w:drawing>
          <wp:inline distT="0" distB="0" distL="114300" distR="114300">
            <wp:extent cx="3267710" cy="1165225"/>
            <wp:effectExtent l="0" t="0" r="8890" b="15875"/>
            <wp:docPr id="5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1"/>
                    <pic:cNvPicPr>
                      <a:picLocks noChangeAspect="1"/>
                    </pic:cNvPicPr>
                  </pic:nvPicPr>
                  <pic:blipFill>
                    <a:blip r:embed="rId33"/>
                    <a:stretch>
                      <a:fillRect/>
                    </a:stretch>
                  </pic:blipFill>
                  <pic:spPr>
                    <a:xfrm>
                      <a:off x="0" y="0"/>
                      <a:ext cx="3267710" cy="1165225"/>
                    </a:xfrm>
                    <a:prstGeom prst="rect">
                      <a:avLst/>
                    </a:prstGeom>
                    <a:noFill/>
                    <a:ln>
                      <a:noFill/>
                    </a:ln>
                  </pic:spPr>
                </pic:pic>
              </a:graphicData>
            </a:graphic>
          </wp:inline>
        </w:drawing>
      </w:r>
    </w:p>
    <w:p w14:paraId="46A068DB">
      <w:pPr>
        <w:pStyle w:val="3"/>
        <w:ind w:firstLine="480"/>
        <w:rPr>
          <w:color w:val="auto"/>
          <w:highlight w:val="none"/>
        </w:rPr>
      </w:pPr>
      <w:r>
        <w:rPr>
          <w:color w:val="auto"/>
          <w:highlight w:val="none"/>
        </w:rPr>
        <w:t>Ew为堆场风蚀扬尘的排放系数，kg/m</w:t>
      </w:r>
      <w:r>
        <w:rPr>
          <w:color w:val="auto"/>
          <w:highlight w:val="none"/>
          <w:vertAlign w:val="superscript"/>
        </w:rPr>
        <w:t>2</w:t>
      </w:r>
      <w:r>
        <w:rPr>
          <w:color w:val="auto"/>
          <w:highlight w:val="none"/>
        </w:rPr>
        <w:t>。</w:t>
      </w:r>
    </w:p>
    <w:p w14:paraId="12E36DB5">
      <w:pPr>
        <w:pStyle w:val="3"/>
        <w:ind w:firstLine="480"/>
        <w:rPr>
          <w:color w:val="auto"/>
          <w:highlight w:val="none"/>
        </w:rPr>
      </w:pPr>
      <w:r>
        <w:rPr>
          <w:color w:val="auto"/>
          <w:highlight w:val="none"/>
        </w:rPr>
        <w:t>ki为物料的粒度乘数，取</w:t>
      </w:r>
      <w:r>
        <w:rPr>
          <w:rFonts w:hint="eastAsia"/>
          <w:color w:val="auto"/>
          <w:highlight w:val="none"/>
        </w:rPr>
        <w:t>1.0</w:t>
      </w:r>
      <w:r>
        <w:rPr>
          <w:color w:val="auto"/>
          <w:highlight w:val="none"/>
        </w:rPr>
        <w:t>。</w:t>
      </w:r>
    </w:p>
    <w:p w14:paraId="39F46B8E">
      <w:pPr>
        <w:pStyle w:val="3"/>
        <w:ind w:firstLine="480"/>
        <w:rPr>
          <w:color w:val="auto"/>
          <w:highlight w:val="none"/>
        </w:rPr>
      </w:pPr>
      <w:r>
        <w:rPr>
          <w:color w:val="auto"/>
          <w:highlight w:val="none"/>
        </w:rPr>
        <w:t>n为料堆每年受扰动的次数。</w:t>
      </w:r>
    </w:p>
    <w:p w14:paraId="70CF0644">
      <w:pPr>
        <w:pStyle w:val="3"/>
        <w:ind w:firstLine="480"/>
        <w:rPr>
          <w:color w:val="auto"/>
          <w:highlight w:val="none"/>
        </w:rPr>
      </w:pPr>
      <w:r>
        <w:rPr>
          <w:color w:val="auto"/>
          <w:highlight w:val="none"/>
        </w:rPr>
        <w:t>Pi为第i次扰动中观测的最大风速的风蚀潜势，g/m</w:t>
      </w:r>
      <w:r>
        <w:rPr>
          <w:color w:val="auto"/>
          <w:highlight w:val="none"/>
          <w:vertAlign w:val="superscript"/>
        </w:rPr>
        <w:t>2</w:t>
      </w:r>
      <w:r>
        <w:rPr>
          <w:color w:val="auto"/>
          <w:highlight w:val="none"/>
        </w:rPr>
        <w:t>，</w:t>
      </w:r>
      <w:r>
        <w:rPr>
          <w:rFonts w:hint="eastAsia"/>
          <w:color w:val="auto"/>
          <w:highlight w:val="none"/>
          <w:lang w:val="en-US" w:eastAsia="zh-CN"/>
        </w:rPr>
        <w:t>计算得0</w:t>
      </w:r>
      <w:r>
        <w:rPr>
          <w:color w:val="auto"/>
          <w:highlight w:val="none"/>
        </w:rPr>
        <w:t>。</w:t>
      </w:r>
    </w:p>
    <w:p w14:paraId="51305D2E">
      <w:pPr>
        <w:pStyle w:val="3"/>
        <w:ind w:firstLine="480"/>
        <w:rPr>
          <w:color w:val="auto"/>
          <w:highlight w:val="none"/>
        </w:rPr>
      </w:pPr>
      <w:r>
        <w:rPr>
          <w:color w:val="auto"/>
          <w:highlight w:val="none"/>
        </w:rPr>
        <w:t>η为污染控制技术对扬尘的去除效率，</w:t>
      </w:r>
      <w:r>
        <w:rPr>
          <w:rFonts w:hint="eastAsia"/>
          <w:color w:val="auto"/>
          <w:highlight w:val="none"/>
        </w:rPr>
        <w:t>本次取0.52%</w:t>
      </w:r>
      <w:r>
        <w:rPr>
          <w:color w:val="auto"/>
          <w:highlight w:val="none"/>
        </w:rPr>
        <w:t>。</w:t>
      </w:r>
    </w:p>
    <w:p w14:paraId="47739EED">
      <w:pPr>
        <w:pStyle w:val="3"/>
        <w:ind w:firstLine="480"/>
        <w:rPr>
          <w:color w:val="auto"/>
          <w:highlight w:val="none"/>
        </w:rPr>
      </w:pPr>
      <w:r>
        <w:rPr>
          <w:color w:val="auto"/>
          <w:highlight w:val="none"/>
        </w:rPr>
        <w:t>u*为摩擦风速</w:t>
      </w:r>
      <w:r>
        <w:rPr>
          <w:rFonts w:hint="eastAsia"/>
          <w:color w:val="auto"/>
          <w:highlight w:val="none"/>
          <w:lang w:eastAsia="zh-CN"/>
        </w:rPr>
        <w:t>，</w:t>
      </w:r>
      <w:r>
        <w:rPr>
          <w:rFonts w:hint="eastAsia"/>
          <w:color w:val="auto"/>
          <w:highlight w:val="none"/>
          <w:lang w:val="en-US" w:eastAsia="zh-CN"/>
        </w:rPr>
        <w:t>计算得0.21</w:t>
      </w:r>
      <w:r>
        <w:rPr>
          <w:rFonts w:hint="eastAsia"/>
          <w:color w:val="auto"/>
          <w:highlight w:val="none"/>
        </w:rPr>
        <w:t>；</w:t>
      </w:r>
    </w:p>
    <w:p w14:paraId="39A4D58C">
      <w:pPr>
        <w:pStyle w:val="3"/>
        <w:ind w:firstLine="480"/>
        <w:rPr>
          <w:color w:val="auto"/>
          <w:highlight w:val="none"/>
        </w:rPr>
      </w:pPr>
      <w:r>
        <w:rPr>
          <w:color w:val="auto"/>
          <w:highlight w:val="none"/>
        </w:rPr>
        <w:t>ut*为阈值摩擦风速，即起尘的临界摩擦风速，取</w:t>
      </w:r>
      <w:r>
        <w:rPr>
          <w:rFonts w:hint="eastAsia"/>
          <w:color w:val="auto"/>
          <w:highlight w:val="none"/>
        </w:rPr>
        <w:t>1.33</w:t>
      </w:r>
      <w:r>
        <w:rPr>
          <w:color w:val="auto"/>
          <w:highlight w:val="none"/>
        </w:rPr>
        <w:t>m/s。</w:t>
      </w:r>
    </w:p>
    <w:p w14:paraId="03A12179">
      <w:pPr>
        <w:pStyle w:val="3"/>
        <w:spacing w:line="480" w:lineRule="auto"/>
        <w:ind w:firstLine="480"/>
        <w:rPr>
          <w:color w:val="auto"/>
          <w:highlight w:val="none"/>
        </w:rPr>
      </w:pPr>
      <w:r>
        <w:rPr>
          <w:color w:val="auto"/>
          <w:highlight w:val="none"/>
        </w:rPr>
        <w:drawing>
          <wp:inline distT="0" distB="0" distL="114300" distR="114300">
            <wp:extent cx="2905125" cy="533400"/>
            <wp:effectExtent l="0" t="0" r="9525" b="0"/>
            <wp:docPr id="6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2"/>
                    <pic:cNvPicPr>
                      <a:picLocks noChangeAspect="1"/>
                    </pic:cNvPicPr>
                  </pic:nvPicPr>
                  <pic:blipFill>
                    <a:blip r:embed="rId34"/>
                    <a:stretch>
                      <a:fillRect/>
                    </a:stretch>
                  </pic:blipFill>
                  <pic:spPr>
                    <a:xfrm>
                      <a:off x="0" y="0"/>
                      <a:ext cx="2905125" cy="533400"/>
                    </a:xfrm>
                    <a:prstGeom prst="rect">
                      <a:avLst/>
                    </a:prstGeom>
                    <a:noFill/>
                    <a:ln>
                      <a:noFill/>
                    </a:ln>
                  </pic:spPr>
                </pic:pic>
              </a:graphicData>
            </a:graphic>
          </wp:inline>
        </w:drawing>
      </w:r>
    </w:p>
    <w:p w14:paraId="578DC89E">
      <w:pPr>
        <w:pStyle w:val="3"/>
        <w:ind w:firstLine="480"/>
        <w:rPr>
          <w:color w:val="auto"/>
          <w:highlight w:val="none"/>
        </w:rPr>
      </w:pPr>
      <w:r>
        <w:rPr>
          <w:color w:val="auto"/>
          <w:highlight w:val="none"/>
        </w:rPr>
        <w:t>u(z</w:t>
      </w:r>
      <w:r>
        <w:rPr>
          <w:rFonts w:hint="eastAsia"/>
          <w:color w:val="auto"/>
          <w:highlight w:val="none"/>
          <w:lang w:eastAsia="zh-CN"/>
        </w:rPr>
        <w:t>）</w:t>
      </w:r>
      <w:r>
        <w:rPr>
          <w:color w:val="auto"/>
          <w:highlight w:val="none"/>
        </w:rPr>
        <w:t>为地面风速，m/s</w:t>
      </w:r>
      <w:r>
        <w:rPr>
          <w:rFonts w:hint="eastAsia"/>
          <w:color w:val="auto"/>
          <w:highlight w:val="none"/>
        </w:rPr>
        <w:t>；</w:t>
      </w:r>
    </w:p>
    <w:p w14:paraId="75562EEF">
      <w:pPr>
        <w:pStyle w:val="3"/>
        <w:ind w:firstLine="480"/>
        <w:rPr>
          <w:color w:val="auto"/>
          <w:highlight w:val="none"/>
        </w:rPr>
      </w:pPr>
      <w:r>
        <w:rPr>
          <w:color w:val="auto"/>
          <w:highlight w:val="none"/>
        </w:rPr>
        <w:t>z 为地面风速检测高度，</w:t>
      </w:r>
      <w:r>
        <w:rPr>
          <w:rFonts w:hint="eastAsia"/>
          <w:color w:val="auto"/>
          <w:highlight w:val="none"/>
          <w:lang w:val="en-US" w:eastAsia="zh-CN"/>
        </w:rPr>
        <w:t>10</w:t>
      </w:r>
      <w:r>
        <w:rPr>
          <w:color w:val="auto"/>
          <w:highlight w:val="none"/>
        </w:rPr>
        <w:t>m</w:t>
      </w:r>
      <w:r>
        <w:rPr>
          <w:rFonts w:hint="eastAsia"/>
          <w:color w:val="auto"/>
          <w:highlight w:val="none"/>
        </w:rPr>
        <w:t>；</w:t>
      </w:r>
    </w:p>
    <w:p w14:paraId="0653895A">
      <w:pPr>
        <w:pStyle w:val="3"/>
        <w:ind w:firstLine="480"/>
        <w:rPr>
          <w:color w:val="auto"/>
          <w:highlight w:val="none"/>
        </w:rPr>
      </w:pPr>
      <m:oMath>
        <m:sSub>
          <m:sSubPr>
            <m:ctrlPr>
              <w:rPr>
                <w:rFonts w:ascii="Cambria Math" w:hAnsi="Cambria Math"/>
                <w:color w:val="auto"/>
                <w:highlight w:val="none"/>
              </w:rPr>
            </m:ctrlPr>
          </m:sSubPr>
          <m:e>
            <m:r>
              <m:rPr>
                <m:sty m:val="p"/>
              </m:rPr>
              <w:rPr>
                <w:rFonts w:ascii="Times New Roman" w:hAnsi="Times New Roman"/>
                <w:color w:val="auto"/>
                <w:highlight w:val="none"/>
              </w:rPr>
              <m:t>z</m:t>
            </m:r>
            <m:ctrlPr>
              <w:rPr>
                <w:rFonts w:ascii="Cambria Math" w:hAnsi="Cambria Math"/>
                <w:color w:val="auto"/>
                <w:highlight w:val="none"/>
              </w:rPr>
            </m:ctrlPr>
          </m:e>
          <m:sub>
            <m:r>
              <m:rPr>
                <m:sty m:val="p"/>
              </m:rPr>
              <w:rPr>
                <w:rFonts w:ascii="Times New Roman" w:hAnsi="Times New Roman"/>
                <w:color w:val="auto"/>
                <w:highlight w:val="none"/>
              </w:rPr>
              <m:t>0</m:t>
            </m:r>
            <m:ctrlPr>
              <w:rPr>
                <w:rFonts w:ascii="Cambria Math" w:hAnsi="Cambria Math"/>
                <w:color w:val="auto"/>
                <w:highlight w:val="none"/>
              </w:rPr>
            </m:ctrlPr>
          </m:sub>
        </m:sSub>
      </m:oMath>
      <w:r>
        <w:rPr>
          <w:color w:val="auto"/>
          <w:highlight w:val="none"/>
        </w:rPr>
        <w:t>为地面粗糙度，m</w:t>
      </w:r>
      <w:r>
        <w:rPr>
          <w:rFonts w:hint="eastAsia"/>
          <w:color w:val="auto"/>
          <w:highlight w:val="none"/>
        </w:rPr>
        <w:t>，取值</w:t>
      </w:r>
      <w:r>
        <w:rPr>
          <w:color w:val="auto"/>
          <w:highlight w:val="none"/>
        </w:rPr>
        <w:t>0.2</w:t>
      </w:r>
      <w:r>
        <w:rPr>
          <w:rFonts w:hint="eastAsia"/>
          <w:color w:val="auto"/>
          <w:highlight w:val="none"/>
        </w:rPr>
        <w:t>；</w:t>
      </w:r>
    </w:p>
    <w:p w14:paraId="4DC9055B">
      <w:pPr>
        <w:pStyle w:val="3"/>
        <w:ind w:firstLine="480"/>
        <w:rPr>
          <w:color w:val="auto"/>
          <w:highlight w:val="none"/>
        </w:rPr>
      </w:pPr>
      <w:r>
        <w:rPr>
          <w:color w:val="auto"/>
          <w:highlight w:val="none"/>
        </w:rPr>
        <w:t>0.4为冯卡门常数，无量纲。</w:t>
      </w:r>
    </w:p>
    <w:p w14:paraId="33DF4EB9">
      <w:pPr>
        <w:pStyle w:val="3"/>
        <w:ind w:firstLine="480"/>
        <w:rPr>
          <w:color w:val="auto"/>
          <w:highlight w:val="none"/>
        </w:rPr>
      </w:pPr>
      <w:r>
        <w:rPr>
          <w:rFonts w:hint="eastAsia"/>
          <w:color w:val="auto"/>
          <w:highlight w:val="none"/>
          <w:lang w:eastAsia="zh-CN"/>
        </w:rPr>
        <w:t>经计算</w:t>
      </w:r>
      <w:r>
        <w:rPr>
          <w:color w:val="auto"/>
          <w:highlight w:val="none"/>
        </w:rPr>
        <w:t>u*</w:t>
      </w:r>
      <w:r>
        <w:rPr>
          <w:rFonts w:hint="eastAsia"/>
          <w:color w:val="auto"/>
          <w:highlight w:val="none"/>
          <w:lang w:val="en-US" w:eastAsia="zh-CN"/>
        </w:rPr>
        <w:t>0.21，小于</w:t>
      </w:r>
      <w:r>
        <w:rPr>
          <w:color w:val="auto"/>
          <w:highlight w:val="none"/>
        </w:rPr>
        <w:t>ut*</w:t>
      </w:r>
      <w:r>
        <w:rPr>
          <w:rFonts w:hint="eastAsia"/>
          <w:color w:val="auto"/>
          <w:highlight w:val="none"/>
          <w:lang w:eastAsia="zh-CN"/>
        </w:rPr>
        <w:t>（</w:t>
      </w:r>
      <w:r>
        <w:rPr>
          <w:rFonts w:hint="eastAsia"/>
          <w:color w:val="auto"/>
          <w:highlight w:val="none"/>
        </w:rPr>
        <w:t>1.33</w:t>
      </w:r>
      <w:r>
        <w:rPr>
          <w:rFonts w:hint="eastAsia"/>
          <w:color w:val="auto"/>
          <w:highlight w:val="none"/>
          <w:lang w:eastAsia="zh-CN"/>
        </w:rPr>
        <w:t>），</w:t>
      </w:r>
      <w:r>
        <w:rPr>
          <w:color w:val="auto"/>
          <w:highlight w:val="none"/>
        </w:rPr>
        <w:t>Pi</w:t>
      </w:r>
      <w:r>
        <w:rPr>
          <w:rFonts w:hint="eastAsia"/>
          <w:color w:val="auto"/>
          <w:highlight w:val="none"/>
          <w:lang w:val="en-US" w:eastAsia="zh-CN"/>
        </w:rPr>
        <w:t>=0，因此</w:t>
      </w:r>
      <w:r>
        <w:rPr>
          <w:color w:val="auto"/>
          <w:highlight w:val="none"/>
        </w:rPr>
        <w:t>Ew=</w:t>
      </w:r>
      <w:r>
        <w:rPr>
          <w:rFonts w:hint="eastAsia"/>
          <w:color w:val="auto"/>
          <w:highlight w:val="none"/>
          <w:lang w:val="en-US" w:eastAsia="zh-CN"/>
        </w:rPr>
        <w:t>0</w:t>
      </w:r>
      <w:r>
        <w:rPr>
          <w:color w:val="auto"/>
          <w:highlight w:val="none"/>
        </w:rPr>
        <w:t>，则本项目尾矿库风蚀扬尘颗粒物产生量为</w:t>
      </w:r>
      <w:r>
        <w:rPr>
          <w:rFonts w:hint="eastAsia"/>
          <w:color w:val="auto"/>
          <w:highlight w:val="none"/>
          <w:lang w:val="en-US" w:eastAsia="zh-CN"/>
        </w:rPr>
        <w:t>39.259</w:t>
      </w:r>
      <w:r>
        <w:rPr>
          <w:color w:val="auto"/>
          <w:highlight w:val="none"/>
        </w:rPr>
        <w:t>t/a。</w:t>
      </w:r>
    </w:p>
    <w:p w14:paraId="18DBE0CF">
      <w:pPr>
        <w:pStyle w:val="3"/>
        <w:ind w:firstLine="480"/>
        <w:rPr>
          <w:color w:val="auto"/>
          <w:highlight w:val="none"/>
        </w:rPr>
      </w:pPr>
      <w:r>
        <w:rPr>
          <w:color w:val="auto"/>
          <w:highlight w:val="none"/>
        </w:rPr>
        <w:t>③颗粒物产生、排放量核算</w:t>
      </w:r>
    </w:p>
    <w:p w14:paraId="464C1142">
      <w:pPr>
        <w:pStyle w:val="3"/>
        <w:ind w:firstLine="480"/>
        <w:rPr>
          <w:color w:val="auto"/>
          <w:highlight w:val="none"/>
        </w:rPr>
      </w:pPr>
      <w:r>
        <w:rPr>
          <w:color w:val="auto"/>
          <w:highlight w:val="none"/>
        </w:rPr>
        <w:t>根据上述计算，本项目尾矿库无组织扬尘颗粒物产生量为Wy=</w:t>
      </w:r>
      <w:r>
        <w:rPr>
          <w:rFonts w:hint="eastAsia"/>
          <w:color w:val="auto"/>
          <w:highlight w:val="none"/>
          <w:lang w:val="en-US" w:eastAsia="zh-CN"/>
        </w:rPr>
        <w:t>39.259</w:t>
      </w:r>
      <w:r>
        <w:rPr>
          <w:color w:val="auto"/>
          <w:highlight w:val="none"/>
        </w:rPr>
        <w:t>t/a。</w:t>
      </w:r>
    </w:p>
    <w:p w14:paraId="6F3EE352">
      <w:pPr>
        <w:pStyle w:val="3"/>
        <w:ind w:firstLine="480"/>
        <w:rPr>
          <w:color w:val="auto"/>
          <w:highlight w:val="none"/>
        </w:rPr>
      </w:pPr>
      <w:r>
        <w:rPr>
          <w:color w:val="auto"/>
          <w:highlight w:val="none"/>
        </w:rPr>
        <w:t>根据《排放源统计调查产排污核算方法和系数手册》中附表2“固体物料堆存颗粒物产排污核算系数手册”颗粒物排放量核算公式如下：</w:t>
      </w:r>
    </w:p>
    <w:p w14:paraId="5AA3B287">
      <w:pPr>
        <w:pStyle w:val="3"/>
        <w:spacing w:line="480" w:lineRule="auto"/>
        <w:ind w:firstLine="480"/>
        <w:rPr>
          <w:color w:val="auto"/>
          <w:highlight w:val="none"/>
        </w:rPr>
      </w:pPr>
      <w:r>
        <w:rPr>
          <w:color w:val="auto"/>
          <w:highlight w:val="none"/>
        </w:rPr>
        <w:drawing>
          <wp:inline distT="0" distB="0" distL="114300" distR="114300">
            <wp:extent cx="2647950" cy="419100"/>
            <wp:effectExtent l="0" t="0" r="0" b="0"/>
            <wp:docPr id="6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4"/>
                    <pic:cNvPicPr>
                      <a:picLocks noChangeAspect="1"/>
                    </pic:cNvPicPr>
                  </pic:nvPicPr>
                  <pic:blipFill>
                    <a:blip r:embed="rId35"/>
                    <a:stretch>
                      <a:fillRect/>
                    </a:stretch>
                  </pic:blipFill>
                  <pic:spPr>
                    <a:xfrm>
                      <a:off x="0" y="0"/>
                      <a:ext cx="2647950" cy="419100"/>
                    </a:xfrm>
                    <a:prstGeom prst="rect">
                      <a:avLst/>
                    </a:prstGeom>
                    <a:noFill/>
                    <a:ln>
                      <a:noFill/>
                    </a:ln>
                  </pic:spPr>
                </pic:pic>
              </a:graphicData>
            </a:graphic>
          </wp:inline>
        </w:drawing>
      </w:r>
    </w:p>
    <w:p w14:paraId="5504DB0E">
      <w:pPr>
        <w:pStyle w:val="3"/>
        <w:ind w:firstLine="480"/>
        <w:rPr>
          <w:color w:val="auto"/>
          <w:highlight w:val="none"/>
        </w:rPr>
      </w:pPr>
      <w:r>
        <w:rPr>
          <w:color w:val="auto"/>
          <w:highlight w:val="none"/>
        </w:rPr>
        <w:t>式中：</w:t>
      </w:r>
    </w:p>
    <w:p w14:paraId="36548526">
      <w:pPr>
        <w:pStyle w:val="3"/>
        <w:ind w:firstLine="480"/>
        <w:rPr>
          <w:color w:val="auto"/>
          <w:highlight w:val="none"/>
        </w:rPr>
      </w:pPr>
      <w:r>
        <w:rPr>
          <w:color w:val="auto"/>
          <w:highlight w:val="none"/>
        </w:rPr>
        <w:t>P指颗粒物产生量（单位：吨）；</w:t>
      </w:r>
    </w:p>
    <w:p w14:paraId="6384CD35">
      <w:pPr>
        <w:pStyle w:val="3"/>
        <w:ind w:firstLine="480"/>
        <w:rPr>
          <w:color w:val="auto"/>
          <w:highlight w:val="none"/>
        </w:rPr>
      </w:pPr>
      <w:r>
        <w:rPr>
          <w:color w:val="auto"/>
          <w:highlight w:val="none"/>
        </w:rPr>
        <w:t>Uc指颗粒物排放量（单位：吨）；</w:t>
      </w:r>
    </w:p>
    <w:p w14:paraId="78C15240">
      <w:pPr>
        <w:pStyle w:val="3"/>
        <w:ind w:firstLine="480"/>
        <w:rPr>
          <w:color w:val="auto"/>
          <w:highlight w:val="none"/>
        </w:rPr>
      </w:pPr>
      <w:r>
        <w:rPr>
          <w:color w:val="auto"/>
          <w:highlight w:val="none"/>
        </w:rPr>
        <w:t>Cm指颗粒物控制措施控制效率（单位：%），</w:t>
      </w:r>
      <w:r>
        <w:rPr>
          <w:rFonts w:hint="eastAsia"/>
          <w:color w:val="auto"/>
          <w:highlight w:val="none"/>
        </w:rPr>
        <w:t>74</w:t>
      </w:r>
      <w:r>
        <w:rPr>
          <w:color w:val="auto"/>
          <w:highlight w:val="none"/>
        </w:rPr>
        <w:t>%；</w:t>
      </w:r>
    </w:p>
    <w:p w14:paraId="2B7D65F3">
      <w:pPr>
        <w:pStyle w:val="3"/>
        <w:ind w:firstLine="480"/>
        <w:rPr>
          <w:color w:val="auto"/>
          <w:highlight w:val="none"/>
        </w:rPr>
      </w:pPr>
      <w:r>
        <w:rPr>
          <w:color w:val="auto"/>
          <w:highlight w:val="none"/>
        </w:rPr>
        <w:t>Tm指堆场类型控制效率（单位：%），</w:t>
      </w:r>
      <w:r>
        <w:rPr>
          <w:rFonts w:hint="eastAsia"/>
          <w:color w:val="auto"/>
          <w:highlight w:val="none"/>
        </w:rPr>
        <w:t>0</w:t>
      </w:r>
      <w:r>
        <w:rPr>
          <w:color w:val="auto"/>
          <w:highlight w:val="none"/>
        </w:rPr>
        <w:t>%。</w:t>
      </w:r>
    </w:p>
    <w:p w14:paraId="04BCE922">
      <w:pPr>
        <w:pStyle w:val="3"/>
        <w:ind w:firstLine="480"/>
        <w:rPr>
          <w:color w:val="auto"/>
          <w:highlight w:val="none"/>
        </w:rPr>
      </w:pPr>
      <w:r>
        <w:rPr>
          <w:color w:val="auto"/>
          <w:highlight w:val="none"/>
        </w:rPr>
        <w:t>本项目采取生态高效抑尘剂的方式控制扬尘，其控制效率分别为</w:t>
      </w:r>
      <w:r>
        <w:rPr>
          <w:rFonts w:hint="eastAsia"/>
          <w:color w:val="auto"/>
          <w:highlight w:val="none"/>
        </w:rPr>
        <w:t>74</w:t>
      </w:r>
      <w:r>
        <w:rPr>
          <w:color w:val="auto"/>
          <w:highlight w:val="none"/>
        </w:rPr>
        <w:t>%，本项目尾矿库为敞开式类型，其控制效率为</w:t>
      </w:r>
      <w:r>
        <w:rPr>
          <w:rFonts w:hint="eastAsia"/>
          <w:color w:val="auto"/>
          <w:highlight w:val="none"/>
        </w:rPr>
        <w:t>0</w:t>
      </w:r>
      <w:r>
        <w:rPr>
          <w:color w:val="auto"/>
          <w:highlight w:val="none"/>
        </w:rPr>
        <w:t>%。根据上述公式核算，本项目无组织颗粒物排放量Uc=</w:t>
      </w:r>
      <w:r>
        <w:rPr>
          <w:rFonts w:hint="eastAsia"/>
          <w:color w:val="auto"/>
          <w:highlight w:val="none"/>
          <w:lang w:val="en-US" w:eastAsia="zh-CN"/>
        </w:rPr>
        <w:t>10.207</w:t>
      </w:r>
      <w:r>
        <w:rPr>
          <w:color w:val="auto"/>
          <w:highlight w:val="none"/>
        </w:rPr>
        <w:t>t/a。</w:t>
      </w:r>
    </w:p>
    <w:p w14:paraId="5E486643">
      <w:pPr>
        <w:pStyle w:val="3"/>
        <w:ind w:firstLine="480"/>
        <w:rPr>
          <w:color w:val="auto"/>
          <w:highlight w:val="none"/>
        </w:rPr>
      </w:pPr>
      <w:r>
        <w:rPr>
          <w:color w:val="auto"/>
          <w:highlight w:val="none"/>
        </w:rPr>
        <w:t>（</w:t>
      </w:r>
      <w:r>
        <w:rPr>
          <w:rFonts w:hint="eastAsia"/>
          <w:color w:val="auto"/>
          <w:highlight w:val="none"/>
        </w:rPr>
        <w:t>7</w:t>
      </w:r>
      <w:r>
        <w:rPr>
          <w:color w:val="auto"/>
          <w:highlight w:val="none"/>
        </w:rPr>
        <w:t>）交通运输移动源调查</w:t>
      </w:r>
    </w:p>
    <w:p w14:paraId="1A87F8ED">
      <w:pPr>
        <w:pStyle w:val="3"/>
        <w:ind w:firstLine="480"/>
        <w:rPr>
          <w:color w:val="auto"/>
          <w:highlight w:val="none"/>
        </w:rPr>
      </w:pPr>
      <w:r>
        <w:rPr>
          <w:color w:val="auto"/>
          <w:highlight w:val="none"/>
        </w:rPr>
        <w:t>1）运输道路扬尘</w:t>
      </w:r>
    </w:p>
    <w:p w14:paraId="6D6554BE">
      <w:pPr>
        <w:pStyle w:val="3"/>
        <w:ind w:firstLine="480"/>
        <w:rPr>
          <w:color w:val="auto"/>
          <w:highlight w:val="none"/>
        </w:rPr>
      </w:pPr>
      <w:r>
        <w:rPr>
          <w:color w:val="auto"/>
          <w:highlight w:val="none"/>
          <w:lang w:val="zh-CN"/>
        </w:rPr>
        <w:t>运输道路扬尘属无组织排放，其产生量的大小与道路清洁程度、车辆行驶速度及运输车辆数量等因素有关，采用车辆运输道路扬尘经验公式对单位车辆在不同车速、不同路面清洁度下的道路扬尘进行计算。</w:t>
      </w:r>
    </w:p>
    <w:p w14:paraId="6370E326">
      <w:pPr>
        <w:pStyle w:val="3"/>
        <w:ind w:firstLine="480"/>
        <w:rPr>
          <w:color w:val="auto"/>
          <w:highlight w:val="none"/>
          <w:lang w:val="zh-CN"/>
        </w:rPr>
      </w:pPr>
      <w:r>
        <w:rPr>
          <w:color w:val="auto"/>
          <w:highlight w:val="none"/>
          <w:lang w:val="zh-CN"/>
        </w:rPr>
        <w:t>车辆道路扬尘产生量选用上海港环境保护中心和武汉水运工程学院提出的经验公式计算：</w:t>
      </w:r>
    </w:p>
    <w:p w14:paraId="7CC718D2">
      <w:pPr>
        <w:pStyle w:val="3"/>
        <w:ind w:firstLine="480"/>
        <w:rPr>
          <w:color w:val="auto"/>
          <w:highlight w:val="none"/>
        </w:rPr>
      </w:pPr>
      <w:r>
        <w:rPr>
          <w:color w:val="auto"/>
          <w:highlight w:val="none"/>
        </w:rPr>
        <w:t>Qp=0.123·</w:t>
      </w:r>
      <w:r>
        <w:rPr>
          <w:rFonts w:hint="eastAsia"/>
          <w:color w:val="auto"/>
          <w:highlight w:val="none"/>
          <w:lang w:eastAsia="zh-CN"/>
        </w:rPr>
        <w:t>(</w:t>
      </w:r>
      <w:r>
        <w:rPr>
          <w:color w:val="auto"/>
          <w:highlight w:val="none"/>
        </w:rPr>
        <w:t>V/5</w:t>
      </w:r>
      <w:r>
        <w:rPr>
          <w:rFonts w:hint="eastAsia"/>
          <w:color w:val="auto"/>
          <w:highlight w:val="none"/>
          <w:lang w:eastAsia="zh-CN"/>
        </w:rPr>
        <w:t>)</w:t>
      </w:r>
      <w:r>
        <w:rPr>
          <w:color w:val="auto"/>
          <w:highlight w:val="none"/>
        </w:rPr>
        <w:t>·</w:t>
      </w:r>
      <w:r>
        <w:rPr>
          <w:rFonts w:hint="eastAsia"/>
          <w:color w:val="auto"/>
          <w:highlight w:val="none"/>
          <w:lang w:eastAsia="zh-CN"/>
        </w:rPr>
        <w:t>(</w:t>
      </w:r>
      <w:r>
        <w:rPr>
          <w:color w:val="auto"/>
          <w:highlight w:val="none"/>
        </w:rPr>
        <w:t>M/6.8</w:t>
      </w:r>
      <w:r>
        <w:rPr>
          <w:rFonts w:hint="eastAsia"/>
          <w:color w:val="auto"/>
          <w:highlight w:val="none"/>
          <w:lang w:eastAsia="zh-CN"/>
        </w:rPr>
        <w:t>)</w:t>
      </w:r>
      <w:r>
        <w:rPr>
          <w:color w:val="auto"/>
          <w:highlight w:val="none"/>
        </w:rPr>
        <w:t>0.85·</w:t>
      </w:r>
      <w:r>
        <w:rPr>
          <w:rFonts w:hint="eastAsia"/>
          <w:color w:val="auto"/>
          <w:highlight w:val="none"/>
          <w:lang w:eastAsia="zh-CN"/>
        </w:rPr>
        <w:t>(</w:t>
      </w:r>
      <w:r>
        <w:rPr>
          <w:color w:val="auto"/>
          <w:highlight w:val="none"/>
        </w:rPr>
        <w:t>P/0.5</w:t>
      </w:r>
      <w:r>
        <w:rPr>
          <w:rFonts w:hint="eastAsia"/>
          <w:color w:val="auto"/>
          <w:highlight w:val="none"/>
          <w:lang w:eastAsia="zh-CN"/>
        </w:rPr>
        <w:t>)</w:t>
      </w:r>
      <w:r>
        <w:rPr>
          <w:color w:val="auto"/>
          <w:highlight w:val="none"/>
        </w:rPr>
        <w:t>0.72</w:t>
      </w:r>
    </w:p>
    <w:p w14:paraId="7D101F54">
      <w:pPr>
        <w:pStyle w:val="3"/>
        <w:ind w:firstLine="480"/>
        <w:rPr>
          <w:color w:val="auto"/>
          <w:highlight w:val="none"/>
        </w:rPr>
      </w:pPr>
      <w:r>
        <w:rPr>
          <w:color w:val="auto"/>
          <w:highlight w:val="none"/>
        </w:rPr>
        <w:t>Q′p=Qp·L·Q/M</w:t>
      </w:r>
    </w:p>
    <w:p w14:paraId="6E8EE135">
      <w:pPr>
        <w:pStyle w:val="3"/>
        <w:ind w:firstLine="480"/>
        <w:rPr>
          <w:color w:val="auto"/>
          <w:highlight w:val="none"/>
        </w:rPr>
      </w:pPr>
      <w:r>
        <w:rPr>
          <w:color w:val="auto"/>
          <w:highlight w:val="none"/>
        </w:rPr>
        <w:t>计算参数：Qp——道路扬尘量，（kg/km·辆）；</w:t>
      </w:r>
    </w:p>
    <w:p w14:paraId="7A62ACA8">
      <w:pPr>
        <w:pStyle w:val="3"/>
        <w:ind w:firstLine="480"/>
        <w:rPr>
          <w:color w:val="auto"/>
          <w:highlight w:val="none"/>
        </w:rPr>
      </w:pPr>
      <w:r>
        <w:rPr>
          <w:color w:val="auto"/>
          <w:highlight w:val="none"/>
        </w:rPr>
        <w:t>Q′p——总扬尘量，（kg/a）；V——车辆速度，（10km/h）；</w:t>
      </w:r>
    </w:p>
    <w:p w14:paraId="3686935B">
      <w:pPr>
        <w:pStyle w:val="3"/>
        <w:ind w:firstLine="480"/>
        <w:rPr>
          <w:color w:val="auto"/>
          <w:highlight w:val="none"/>
        </w:rPr>
      </w:pPr>
      <w:r>
        <w:rPr>
          <w:color w:val="auto"/>
          <w:highlight w:val="none"/>
        </w:rPr>
        <w:t>M——车辆载重，（</w:t>
      </w:r>
      <w:r>
        <w:rPr>
          <w:rFonts w:hint="eastAsia"/>
          <w:color w:val="auto"/>
          <w:highlight w:val="none"/>
        </w:rPr>
        <w:t>6</w:t>
      </w:r>
      <w:r>
        <w:rPr>
          <w:color w:val="auto"/>
          <w:highlight w:val="none"/>
        </w:rPr>
        <w:t>0t/辆）；</w:t>
      </w:r>
    </w:p>
    <w:p w14:paraId="63CFDA4E">
      <w:pPr>
        <w:pStyle w:val="3"/>
        <w:ind w:firstLine="480"/>
        <w:rPr>
          <w:color w:val="auto"/>
          <w:highlight w:val="none"/>
        </w:rPr>
      </w:pPr>
      <w:r>
        <w:rPr>
          <w:color w:val="auto"/>
          <w:highlight w:val="none"/>
        </w:rPr>
        <w:t>P——路面灰尘覆盖率，（</w:t>
      </w:r>
      <w:r>
        <w:rPr>
          <w:rFonts w:hint="eastAsia"/>
          <w:color w:val="auto"/>
          <w:highlight w:val="none"/>
        </w:rPr>
        <w:t>原矿及废石运输路面为硬化路面， 尾矿运输路面为砂石路面</w:t>
      </w:r>
      <w:r>
        <w:rPr>
          <w:color w:val="auto"/>
          <w:highlight w:val="none"/>
        </w:rPr>
        <w:t>）；</w:t>
      </w:r>
    </w:p>
    <w:p w14:paraId="37F6D0C8">
      <w:pPr>
        <w:pStyle w:val="3"/>
        <w:ind w:firstLine="480"/>
        <w:rPr>
          <w:color w:val="auto"/>
          <w:highlight w:val="none"/>
        </w:rPr>
      </w:pPr>
      <w:r>
        <w:rPr>
          <w:color w:val="auto"/>
          <w:highlight w:val="none"/>
        </w:rPr>
        <w:t>L——运距（km），</w:t>
      </w:r>
      <w:r>
        <w:rPr>
          <w:rFonts w:hint="eastAsia"/>
          <w:color w:val="auto"/>
          <w:highlight w:val="none"/>
        </w:rPr>
        <w:t>原矿及废石运输距离0.8km</w:t>
      </w:r>
      <w:r>
        <w:rPr>
          <w:color w:val="auto"/>
          <w:highlight w:val="none"/>
        </w:rPr>
        <w:t>；</w:t>
      </w:r>
    </w:p>
    <w:p w14:paraId="12B45875">
      <w:pPr>
        <w:pStyle w:val="3"/>
        <w:ind w:firstLine="480"/>
        <w:rPr>
          <w:color w:val="auto"/>
          <w:highlight w:val="none"/>
        </w:rPr>
      </w:pPr>
      <w:r>
        <w:rPr>
          <w:color w:val="auto"/>
          <w:highlight w:val="none"/>
        </w:rPr>
        <w:t>Q——运输量（t/a）。</w:t>
      </w:r>
    </w:p>
    <w:p w14:paraId="2BB24524">
      <w:pPr>
        <w:pStyle w:val="3"/>
        <w:ind w:firstLine="480"/>
        <w:rPr>
          <w:color w:val="auto"/>
          <w:highlight w:val="none"/>
        </w:rPr>
      </w:pPr>
      <w:r>
        <w:rPr>
          <w:color w:val="auto"/>
          <w:highlight w:val="none"/>
        </w:rPr>
        <w:t>按上述模式估算运输车辆扬尘产生及排放情况详见下表。</w:t>
      </w:r>
    </w:p>
    <w:p w14:paraId="7113383D">
      <w:pPr>
        <w:pStyle w:val="40"/>
        <w:spacing w:before="24" w:after="24"/>
        <w:rPr>
          <w:color w:val="auto"/>
          <w:highlight w:val="none"/>
        </w:rPr>
      </w:pPr>
      <w:r>
        <w:rPr>
          <w:rFonts w:hint="eastAsia"/>
          <w:color w:val="auto"/>
          <w:highlight w:val="none"/>
        </w:rPr>
        <w:t>表3.4-12   运输车辆扬尘产生及排放情况</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28"/>
        <w:gridCol w:w="992"/>
        <w:gridCol w:w="1627"/>
        <w:gridCol w:w="1259"/>
        <w:gridCol w:w="1348"/>
        <w:gridCol w:w="1551"/>
      </w:tblGrid>
      <w:tr w14:paraId="0D015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vAlign w:val="center"/>
          </w:tcPr>
          <w:p w14:paraId="096164EA">
            <w:pPr>
              <w:pStyle w:val="41"/>
              <w:rPr>
                <w:color w:val="auto"/>
                <w:highlight w:val="none"/>
              </w:rPr>
            </w:pPr>
            <w:r>
              <w:rPr>
                <w:rFonts w:hint="eastAsia"/>
                <w:color w:val="auto"/>
                <w:highlight w:val="none"/>
              </w:rPr>
              <w:t>污染源</w:t>
            </w:r>
          </w:p>
        </w:tc>
        <w:tc>
          <w:tcPr>
            <w:tcW w:w="583" w:type="pct"/>
            <w:tcBorders>
              <w:tl2br w:val="nil"/>
              <w:tr2bl w:val="nil"/>
            </w:tcBorders>
            <w:vAlign w:val="center"/>
          </w:tcPr>
          <w:p w14:paraId="78691615">
            <w:pPr>
              <w:pStyle w:val="41"/>
              <w:rPr>
                <w:color w:val="auto"/>
                <w:highlight w:val="none"/>
              </w:rPr>
            </w:pPr>
            <w:r>
              <w:rPr>
                <w:rFonts w:hint="eastAsia"/>
                <w:color w:val="auto"/>
                <w:highlight w:val="none"/>
              </w:rPr>
              <w:t>厂内运距（m）</w:t>
            </w:r>
          </w:p>
        </w:tc>
        <w:tc>
          <w:tcPr>
            <w:tcW w:w="956" w:type="pct"/>
            <w:tcBorders>
              <w:tl2br w:val="nil"/>
              <w:tr2bl w:val="nil"/>
            </w:tcBorders>
            <w:vAlign w:val="center"/>
          </w:tcPr>
          <w:p w14:paraId="728122DB">
            <w:pPr>
              <w:pStyle w:val="41"/>
              <w:rPr>
                <w:color w:val="auto"/>
                <w:highlight w:val="none"/>
              </w:rPr>
            </w:pPr>
            <w:r>
              <w:rPr>
                <w:rFonts w:hint="eastAsia"/>
                <w:color w:val="auto"/>
                <w:highlight w:val="none"/>
              </w:rPr>
              <w:t>运输量（万t）</w:t>
            </w:r>
          </w:p>
        </w:tc>
        <w:tc>
          <w:tcPr>
            <w:tcW w:w="740" w:type="pct"/>
            <w:tcBorders>
              <w:tl2br w:val="nil"/>
              <w:tr2bl w:val="nil"/>
            </w:tcBorders>
            <w:vAlign w:val="center"/>
          </w:tcPr>
          <w:p w14:paraId="5F2315E1">
            <w:pPr>
              <w:pStyle w:val="41"/>
              <w:rPr>
                <w:color w:val="auto"/>
                <w:highlight w:val="none"/>
              </w:rPr>
            </w:pPr>
            <w:r>
              <w:rPr>
                <w:rFonts w:hint="eastAsia"/>
                <w:color w:val="auto"/>
                <w:highlight w:val="none"/>
              </w:rPr>
              <w:t>产生量（t/a）</w:t>
            </w:r>
          </w:p>
        </w:tc>
        <w:tc>
          <w:tcPr>
            <w:tcW w:w="792" w:type="pct"/>
            <w:tcBorders>
              <w:tl2br w:val="nil"/>
              <w:tr2bl w:val="nil"/>
            </w:tcBorders>
            <w:vAlign w:val="center"/>
          </w:tcPr>
          <w:p w14:paraId="600B4F59">
            <w:pPr>
              <w:pStyle w:val="41"/>
              <w:rPr>
                <w:color w:val="auto"/>
                <w:highlight w:val="none"/>
              </w:rPr>
            </w:pPr>
            <w:r>
              <w:rPr>
                <w:rFonts w:hint="eastAsia"/>
                <w:color w:val="auto"/>
                <w:highlight w:val="none"/>
              </w:rPr>
              <w:t>排放量（t/a）</w:t>
            </w:r>
          </w:p>
        </w:tc>
        <w:tc>
          <w:tcPr>
            <w:tcW w:w="911" w:type="pct"/>
            <w:tcBorders>
              <w:tl2br w:val="nil"/>
              <w:tr2bl w:val="nil"/>
            </w:tcBorders>
            <w:vAlign w:val="center"/>
          </w:tcPr>
          <w:p w14:paraId="2CEFF7C7">
            <w:pPr>
              <w:pStyle w:val="41"/>
              <w:rPr>
                <w:color w:val="auto"/>
                <w:highlight w:val="none"/>
              </w:rPr>
            </w:pPr>
            <w:r>
              <w:rPr>
                <w:rFonts w:hint="eastAsia"/>
                <w:color w:val="auto"/>
                <w:highlight w:val="none"/>
              </w:rPr>
              <w:t>备注</w:t>
            </w:r>
          </w:p>
        </w:tc>
      </w:tr>
      <w:tr w14:paraId="6CF18A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vAlign w:val="center"/>
          </w:tcPr>
          <w:p w14:paraId="085D265B">
            <w:pPr>
              <w:pStyle w:val="41"/>
              <w:rPr>
                <w:color w:val="auto"/>
                <w:highlight w:val="none"/>
              </w:rPr>
            </w:pPr>
            <w:r>
              <w:rPr>
                <w:rFonts w:hint="eastAsia"/>
                <w:color w:val="auto"/>
                <w:highlight w:val="none"/>
              </w:rPr>
              <w:t>原矿运输</w:t>
            </w:r>
          </w:p>
        </w:tc>
        <w:tc>
          <w:tcPr>
            <w:tcW w:w="583" w:type="pct"/>
            <w:tcBorders>
              <w:tl2br w:val="nil"/>
              <w:tr2bl w:val="nil"/>
            </w:tcBorders>
            <w:vAlign w:val="center"/>
          </w:tcPr>
          <w:p w14:paraId="78953338">
            <w:pPr>
              <w:pStyle w:val="41"/>
              <w:rPr>
                <w:color w:val="auto"/>
                <w:highlight w:val="none"/>
              </w:rPr>
            </w:pPr>
            <w:r>
              <w:rPr>
                <w:rFonts w:hint="eastAsia"/>
                <w:color w:val="auto"/>
                <w:highlight w:val="none"/>
              </w:rPr>
              <w:t>800</w:t>
            </w:r>
          </w:p>
        </w:tc>
        <w:tc>
          <w:tcPr>
            <w:tcW w:w="956" w:type="pct"/>
            <w:tcBorders>
              <w:tl2br w:val="nil"/>
              <w:tr2bl w:val="nil"/>
            </w:tcBorders>
            <w:vAlign w:val="center"/>
          </w:tcPr>
          <w:p w14:paraId="0EDAD419">
            <w:pPr>
              <w:pStyle w:val="41"/>
              <w:rPr>
                <w:color w:val="auto"/>
                <w:highlight w:val="none"/>
              </w:rPr>
            </w:pPr>
            <w:r>
              <w:rPr>
                <w:rFonts w:hint="eastAsia"/>
                <w:color w:val="auto"/>
                <w:highlight w:val="none"/>
              </w:rPr>
              <w:t>580</w:t>
            </w:r>
          </w:p>
        </w:tc>
        <w:tc>
          <w:tcPr>
            <w:tcW w:w="740" w:type="pct"/>
            <w:tcBorders>
              <w:tl2br w:val="nil"/>
              <w:tr2bl w:val="nil"/>
            </w:tcBorders>
            <w:vAlign w:val="center"/>
          </w:tcPr>
          <w:p w14:paraId="7C077428">
            <w:pPr>
              <w:pStyle w:val="41"/>
              <w:rPr>
                <w:color w:val="auto"/>
                <w:highlight w:val="none"/>
              </w:rPr>
            </w:pPr>
            <w:r>
              <w:rPr>
                <w:rFonts w:hint="eastAsia"/>
                <w:color w:val="auto"/>
                <w:highlight w:val="none"/>
              </w:rPr>
              <w:t>78.15</w:t>
            </w:r>
          </w:p>
        </w:tc>
        <w:tc>
          <w:tcPr>
            <w:tcW w:w="792" w:type="pct"/>
            <w:tcBorders>
              <w:tl2br w:val="nil"/>
              <w:tr2bl w:val="nil"/>
            </w:tcBorders>
            <w:vAlign w:val="center"/>
          </w:tcPr>
          <w:p w14:paraId="450021C2">
            <w:pPr>
              <w:pStyle w:val="41"/>
              <w:rPr>
                <w:color w:val="auto"/>
                <w:highlight w:val="none"/>
              </w:rPr>
            </w:pPr>
            <w:r>
              <w:rPr>
                <w:rFonts w:hint="eastAsia"/>
                <w:color w:val="auto"/>
                <w:highlight w:val="none"/>
              </w:rPr>
              <w:t>11.72</w:t>
            </w:r>
          </w:p>
        </w:tc>
        <w:tc>
          <w:tcPr>
            <w:tcW w:w="911" w:type="pct"/>
            <w:vMerge w:val="restart"/>
            <w:tcBorders>
              <w:tl2br w:val="nil"/>
              <w:tr2bl w:val="nil"/>
            </w:tcBorders>
            <w:vAlign w:val="center"/>
          </w:tcPr>
          <w:p w14:paraId="311BF9CD">
            <w:pPr>
              <w:pStyle w:val="41"/>
              <w:rPr>
                <w:color w:val="auto"/>
                <w:highlight w:val="none"/>
              </w:rPr>
            </w:pPr>
            <w:r>
              <w:rPr>
                <w:rFonts w:hint="eastAsia"/>
                <w:color w:val="auto"/>
                <w:highlight w:val="none"/>
              </w:rPr>
              <w:t>篷布遮盖、洒</w:t>
            </w:r>
          </w:p>
          <w:p w14:paraId="194AFDA6">
            <w:pPr>
              <w:pStyle w:val="41"/>
              <w:rPr>
                <w:color w:val="auto"/>
                <w:highlight w:val="none"/>
              </w:rPr>
            </w:pPr>
            <w:r>
              <w:rPr>
                <w:rFonts w:hint="eastAsia"/>
                <w:color w:val="auto"/>
                <w:highlight w:val="none"/>
              </w:rPr>
              <w:t>水降尘抑尘效率为80%</w:t>
            </w:r>
          </w:p>
        </w:tc>
      </w:tr>
      <w:tr w14:paraId="186611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vAlign w:val="center"/>
          </w:tcPr>
          <w:p w14:paraId="0957FECB">
            <w:pPr>
              <w:pStyle w:val="41"/>
              <w:rPr>
                <w:color w:val="auto"/>
                <w:highlight w:val="none"/>
              </w:rPr>
            </w:pPr>
            <w:r>
              <w:rPr>
                <w:rFonts w:hint="eastAsia"/>
                <w:color w:val="auto"/>
                <w:highlight w:val="none"/>
              </w:rPr>
              <w:t>废石运输</w:t>
            </w:r>
          </w:p>
        </w:tc>
        <w:tc>
          <w:tcPr>
            <w:tcW w:w="583" w:type="pct"/>
            <w:tcBorders>
              <w:tl2br w:val="nil"/>
              <w:tr2bl w:val="nil"/>
            </w:tcBorders>
            <w:vAlign w:val="center"/>
          </w:tcPr>
          <w:p w14:paraId="0FD67602">
            <w:pPr>
              <w:pStyle w:val="41"/>
              <w:rPr>
                <w:color w:val="auto"/>
                <w:highlight w:val="none"/>
              </w:rPr>
            </w:pPr>
            <w:r>
              <w:rPr>
                <w:rFonts w:hint="eastAsia"/>
                <w:color w:val="auto"/>
                <w:highlight w:val="none"/>
              </w:rPr>
              <w:t>800</w:t>
            </w:r>
          </w:p>
        </w:tc>
        <w:tc>
          <w:tcPr>
            <w:tcW w:w="956" w:type="pct"/>
            <w:tcBorders>
              <w:tl2br w:val="nil"/>
              <w:tr2bl w:val="nil"/>
            </w:tcBorders>
            <w:vAlign w:val="center"/>
          </w:tcPr>
          <w:p w14:paraId="3179F069">
            <w:pPr>
              <w:pStyle w:val="41"/>
              <w:rPr>
                <w:color w:val="auto"/>
                <w:highlight w:val="none"/>
              </w:rPr>
            </w:pPr>
            <w:r>
              <w:rPr>
                <w:rFonts w:hint="eastAsia"/>
                <w:color w:val="auto"/>
                <w:highlight w:val="none"/>
              </w:rPr>
              <w:t>232</w:t>
            </w:r>
          </w:p>
        </w:tc>
        <w:tc>
          <w:tcPr>
            <w:tcW w:w="740" w:type="pct"/>
            <w:tcBorders>
              <w:tl2br w:val="nil"/>
              <w:tr2bl w:val="nil"/>
            </w:tcBorders>
            <w:vAlign w:val="center"/>
          </w:tcPr>
          <w:p w14:paraId="2E08C323">
            <w:pPr>
              <w:pStyle w:val="41"/>
              <w:rPr>
                <w:color w:val="auto"/>
                <w:highlight w:val="none"/>
              </w:rPr>
            </w:pPr>
            <w:r>
              <w:rPr>
                <w:rFonts w:hint="eastAsia"/>
                <w:color w:val="auto"/>
                <w:highlight w:val="none"/>
              </w:rPr>
              <w:t>31.26</w:t>
            </w:r>
          </w:p>
        </w:tc>
        <w:tc>
          <w:tcPr>
            <w:tcW w:w="792" w:type="pct"/>
            <w:tcBorders>
              <w:tl2br w:val="nil"/>
              <w:tr2bl w:val="nil"/>
            </w:tcBorders>
            <w:vAlign w:val="center"/>
          </w:tcPr>
          <w:p w14:paraId="2132EB23">
            <w:pPr>
              <w:pStyle w:val="41"/>
              <w:rPr>
                <w:color w:val="auto"/>
                <w:highlight w:val="none"/>
              </w:rPr>
            </w:pPr>
            <w:r>
              <w:rPr>
                <w:rFonts w:hint="eastAsia"/>
                <w:color w:val="auto"/>
                <w:highlight w:val="none"/>
              </w:rPr>
              <w:t>4.69</w:t>
            </w:r>
          </w:p>
        </w:tc>
        <w:tc>
          <w:tcPr>
            <w:tcW w:w="911" w:type="pct"/>
            <w:vMerge w:val="continue"/>
            <w:tcBorders>
              <w:tl2br w:val="nil"/>
              <w:tr2bl w:val="nil"/>
            </w:tcBorders>
            <w:vAlign w:val="center"/>
          </w:tcPr>
          <w:p w14:paraId="397353E4">
            <w:pPr>
              <w:pStyle w:val="41"/>
              <w:rPr>
                <w:color w:val="auto"/>
                <w:highlight w:val="none"/>
              </w:rPr>
            </w:pPr>
          </w:p>
        </w:tc>
      </w:tr>
      <w:tr w14:paraId="722B7C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vAlign w:val="center"/>
          </w:tcPr>
          <w:p w14:paraId="1EC65D6A">
            <w:pPr>
              <w:pStyle w:val="41"/>
              <w:rPr>
                <w:color w:val="auto"/>
                <w:highlight w:val="none"/>
              </w:rPr>
            </w:pPr>
            <w:r>
              <w:rPr>
                <w:rFonts w:hint="eastAsia"/>
                <w:color w:val="auto"/>
                <w:highlight w:val="none"/>
              </w:rPr>
              <w:t>合计</w:t>
            </w:r>
          </w:p>
        </w:tc>
        <w:tc>
          <w:tcPr>
            <w:tcW w:w="583" w:type="pct"/>
            <w:tcBorders>
              <w:tl2br w:val="nil"/>
              <w:tr2bl w:val="nil"/>
            </w:tcBorders>
            <w:vAlign w:val="center"/>
          </w:tcPr>
          <w:p w14:paraId="3AFA60DB">
            <w:pPr>
              <w:pStyle w:val="41"/>
              <w:rPr>
                <w:color w:val="auto"/>
                <w:highlight w:val="none"/>
              </w:rPr>
            </w:pPr>
            <w:r>
              <w:rPr>
                <w:rFonts w:hint="eastAsia"/>
                <w:color w:val="auto"/>
                <w:highlight w:val="none"/>
              </w:rPr>
              <w:t>/</w:t>
            </w:r>
          </w:p>
        </w:tc>
        <w:tc>
          <w:tcPr>
            <w:tcW w:w="956" w:type="pct"/>
            <w:tcBorders>
              <w:tl2br w:val="nil"/>
              <w:tr2bl w:val="nil"/>
            </w:tcBorders>
            <w:vAlign w:val="center"/>
          </w:tcPr>
          <w:p w14:paraId="326297FD">
            <w:pPr>
              <w:pStyle w:val="41"/>
              <w:rPr>
                <w:color w:val="auto"/>
                <w:highlight w:val="none"/>
              </w:rPr>
            </w:pPr>
            <w:r>
              <w:rPr>
                <w:rFonts w:hint="eastAsia"/>
                <w:color w:val="auto"/>
                <w:highlight w:val="none"/>
              </w:rPr>
              <w:t>912</w:t>
            </w:r>
          </w:p>
        </w:tc>
        <w:tc>
          <w:tcPr>
            <w:tcW w:w="740" w:type="pct"/>
            <w:tcBorders>
              <w:tl2br w:val="nil"/>
              <w:tr2bl w:val="nil"/>
            </w:tcBorders>
            <w:vAlign w:val="center"/>
          </w:tcPr>
          <w:p w14:paraId="0B6D8401">
            <w:pPr>
              <w:pStyle w:val="41"/>
              <w:rPr>
                <w:color w:val="auto"/>
                <w:highlight w:val="none"/>
              </w:rPr>
            </w:pPr>
            <w:r>
              <w:rPr>
                <w:rFonts w:hint="eastAsia"/>
                <w:color w:val="auto"/>
                <w:highlight w:val="none"/>
              </w:rPr>
              <w:t>109.41</w:t>
            </w:r>
          </w:p>
        </w:tc>
        <w:tc>
          <w:tcPr>
            <w:tcW w:w="792" w:type="pct"/>
            <w:tcBorders>
              <w:tl2br w:val="nil"/>
              <w:tr2bl w:val="nil"/>
            </w:tcBorders>
            <w:vAlign w:val="center"/>
          </w:tcPr>
          <w:p w14:paraId="036DCB98">
            <w:pPr>
              <w:pStyle w:val="41"/>
              <w:rPr>
                <w:color w:val="auto"/>
                <w:highlight w:val="none"/>
              </w:rPr>
            </w:pPr>
            <w:r>
              <w:rPr>
                <w:rFonts w:hint="eastAsia"/>
                <w:color w:val="auto"/>
                <w:highlight w:val="none"/>
              </w:rPr>
              <w:t>16.41</w:t>
            </w:r>
          </w:p>
        </w:tc>
        <w:tc>
          <w:tcPr>
            <w:tcW w:w="911" w:type="pct"/>
            <w:vMerge w:val="continue"/>
            <w:tcBorders>
              <w:tl2br w:val="nil"/>
              <w:tr2bl w:val="nil"/>
            </w:tcBorders>
            <w:vAlign w:val="center"/>
          </w:tcPr>
          <w:p w14:paraId="262846A9">
            <w:pPr>
              <w:pStyle w:val="41"/>
              <w:rPr>
                <w:color w:val="auto"/>
                <w:highlight w:val="none"/>
              </w:rPr>
            </w:pPr>
          </w:p>
        </w:tc>
      </w:tr>
    </w:tbl>
    <w:p w14:paraId="0965D2B8">
      <w:pPr>
        <w:pStyle w:val="3"/>
        <w:ind w:firstLine="480"/>
        <w:rPr>
          <w:color w:val="auto"/>
          <w:highlight w:val="none"/>
        </w:rPr>
      </w:pPr>
      <w:r>
        <w:rPr>
          <w:color w:val="auto"/>
          <w:highlight w:val="none"/>
          <w:lang w:val="zh-CN"/>
        </w:rPr>
        <w:t>经以上公式计算，运输过程中产生的扬尘量为</w:t>
      </w:r>
      <w:r>
        <w:rPr>
          <w:rFonts w:hint="eastAsia"/>
          <w:color w:val="auto"/>
          <w:highlight w:val="none"/>
        </w:rPr>
        <w:t>109.41</w:t>
      </w:r>
      <w:r>
        <w:rPr>
          <w:color w:val="auto"/>
          <w:highlight w:val="none"/>
          <w:lang w:val="zh-CN"/>
        </w:rPr>
        <w:t>t/a。</w:t>
      </w:r>
      <w:r>
        <w:rPr>
          <w:rFonts w:hint="eastAsia"/>
          <w:color w:val="auto"/>
          <w:highlight w:val="none"/>
        </w:rPr>
        <w:t>项目设有专人定期对运输道路进行洒水降尘（参照</w:t>
      </w:r>
      <w:r>
        <w:rPr>
          <w:color w:val="auto"/>
          <w:highlight w:val="none"/>
        </w:rPr>
        <w:t>《排放源统计调查产排污核算方法和系数手册》</w:t>
      </w:r>
      <w:r>
        <w:rPr>
          <w:rFonts w:hint="eastAsia"/>
          <w:color w:val="auto"/>
          <w:highlight w:val="none"/>
        </w:rPr>
        <w:t>中洒水控制效率为74%），保持路面平整，路面铺垫碎石，运输矿石车辆加盖篷布实现全封闭等，在采取上述治理措施后，其抑尘效率为85%，则项目道路运输扬尘量为16.41t/a。</w:t>
      </w:r>
    </w:p>
    <w:p w14:paraId="49E5E8FE">
      <w:pPr>
        <w:pStyle w:val="3"/>
        <w:ind w:firstLine="480"/>
        <w:rPr>
          <w:rFonts w:hint="eastAsia"/>
          <w:color w:val="auto"/>
          <w:highlight w:val="none"/>
        </w:rPr>
      </w:pPr>
      <w:r>
        <w:rPr>
          <w:rFonts w:hint="eastAsia"/>
          <w:color w:val="auto"/>
          <w:highlight w:val="none"/>
          <w:lang w:eastAsia="zh-CN"/>
        </w:rPr>
        <w:t>（</w:t>
      </w:r>
      <w:r>
        <w:rPr>
          <w:rFonts w:hint="eastAsia"/>
          <w:color w:val="auto"/>
          <w:highlight w:val="none"/>
          <w:lang w:val="en-US" w:eastAsia="zh-CN"/>
        </w:rPr>
        <w:t>8）</w:t>
      </w:r>
      <w:r>
        <w:rPr>
          <w:rFonts w:hint="eastAsia"/>
          <w:color w:val="auto"/>
          <w:highlight w:val="none"/>
        </w:rPr>
        <w:t>食堂油烟</w:t>
      </w:r>
    </w:p>
    <w:p w14:paraId="444A4AD1">
      <w:pPr>
        <w:pStyle w:val="3"/>
        <w:ind w:firstLine="480"/>
        <w:rPr>
          <w:rFonts w:hint="eastAsia"/>
          <w:color w:val="auto"/>
          <w:highlight w:val="none"/>
        </w:rPr>
      </w:pPr>
      <w:r>
        <w:rPr>
          <w:rFonts w:hint="eastAsia"/>
          <w:color w:val="auto"/>
          <w:highlight w:val="none"/>
        </w:rPr>
        <w:t>本工程建成后劳动定员</w:t>
      </w:r>
      <w:r>
        <w:rPr>
          <w:rFonts w:hint="eastAsia"/>
          <w:color w:val="auto"/>
          <w:highlight w:val="none"/>
          <w:lang w:val="en-US" w:eastAsia="zh-CN"/>
        </w:rPr>
        <w:t>307</w:t>
      </w:r>
      <w:r>
        <w:rPr>
          <w:rFonts w:hint="eastAsia"/>
          <w:color w:val="auto"/>
          <w:highlight w:val="none"/>
        </w:rPr>
        <w:t>人</w:t>
      </w:r>
      <w:r>
        <w:rPr>
          <w:rFonts w:hint="eastAsia"/>
          <w:color w:val="auto"/>
          <w:highlight w:val="none"/>
          <w:lang w:eastAsia="zh-CN"/>
        </w:rPr>
        <w:t>（</w:t>
      </w:r>
      <w:r>
        <w:rPr>
          <w:rFonts w:hint="eastAsia"/>
          <w:color w:val="auto"/>
          <w:highlight w:val="none"/>
        </w:rPr>
        <w:t>选矿厂劳动定员共需</w:t>
      </w:r>
      <w:r>
        <w:rPr>
          <w:color w:val="auto"/>
          <w:highlight w:val="none"/>
        </w:rPr>
        <w:t>287</w:t>
      </w:r>
      <w:r>
        <w:rPr>
          <w:rFonts w:hint="eastAsia"/>
          <w:color w:val="auto"/>
          <w:highlight w:val="none"/>
        </w:rPr>
        <w:t>人，尾矿库定员人数20人</w:t>
      </w:r>
      <w:r>
        <w:rPr>
          <w:rFonts w:hint="eastAsia"/>
          <w:color w:val="auto"/>
          <w:highlight w:val="none"/>
          <w:lang w:eastAsia="zh-CN"/>
        </w:rPr>
        <w:t>）</w:t>
      </w:r>
      <w:r>
        <w:rPr>
          <w:rFonts w:hint="eastAsia"/>
          <w:color w:val="auto"/>
          <w:highlight w:val="none"/>
        </w:rPr>
        <w:t>，年生产天数约300d。按人均食用油日用量约30g/人·d计，本工程餐饮食用油消耗量为</w:t>
      </w:r>
      <w:r>
        <w:rPr>
          <w:rFonts w:hint="eastAsia"/>
          <w:color w:val="auto"/>
          <w:highlight w:val="none"/>
          <w:lang w:val="en-US" w:eastAsia="zh-CN"/>
        </w:rPr>
        <w:t>9.21</w:t>
      </w:r>
      <w:r>
        <w:rPr>
          <w:rFonts w:hint="eastAsia"/>
          <w:color w:val="auto"/>
          <w:highlight w:val="none"/>
        </w:rPr>
        <w:t>kg/d，年食用油消耗量为</w:t>
      </w:r>
      <w:r>
        <w:rPr>
          <w:rFonts w:hint="eastAsia"/>
          <w:color w:val="auto"/>
          <w:highlight w:val="none"/>
          <w:lang w:val="en-US" w:eastAsia="zh-CN"/>
        </w:rPr>
        <w:t>2.763</w:t>
      </w:r>
      <w:r>
        <w:rPr>
          <w:rFonts w:hint="eastAsia"/>
          <w:color w:val="auto"/>
          <w:highlight w:val="none"/>
        </w:rPr>
        <w:t>t/a。油烟挥发按3%计，则油烟产生量为</w:t>
      </w:r>
      <w:r>
        <w:rPr>
          <w:rFonts w:hint="eastAsia"/>
          <w:color w:val="auto"/>
          <w:highlight w:val="none"/>
          <w:lang w:val="en-US" w:eastAsia="zh-CN"/>
        </w:rPr>
        <w:t>0.083</w:t>
      </w:r>
      <w:r>
        <w:rPr>
          <w:rFonts w:hint="eastAsia"/>
          <w:color w:val="auto"/>
          <w:highlight w:val="none"/>
        </w:rPr>
        <w:t>t/a。本工程食堂安装油烟净化器（风量</w:t>
      </w:r>
      <w:r>
        <w:rPr>
          <w:rFonts w:hint="eastAsia"/>
          <w:color w:val="auto"/>
          <w:highlight w:val="none"/>
          <w:lang w:val="en-US" w:eastAsia="zh-CN"/>
        </w:rPr>
        <w:t>65</w:t>
      </w:r>
      <w:r>
        <w:rPr>
          <w:rFonts w:hint="eastAsia"/>
          <w:color w:val="auto"/>
          <w:highlight w:val="none"/>
        </w:rPr>
        <w:t>00m</w:t>
      </w:r>
      <w:r>
        <w:rPr>
          <w:rFonts w:hint="eastAsia"/>
          <w:color w:val="auto"/>
          <w:highlight w:val="none"/>
          <w:vertAlign w:val="superscript"/>
        </w:rPr>
        <w:t>3</w:t>
      </w:r>
      <w:r>
        <w:rPr>
          <w:rFonts w:hint="eastAsia"/>
          <w:color w:val="auto"/>
          <w:highlight w:val="none"/>
        </w:rPr>
        <w:t>/h，每日合计工作6h），油烟处理效率以75%计，净化处理后油烟排放量为0.0</w:t>
      </w:r>
      <w:r>
        <w:rPr>
          <w:rFonts w:hint="eastAsia"/>
          <w:color w:val="auto"/>
          <w:highlight w:val="none"/>
          <w:lang w:val="en-US" w:eastAsia="zh-CN"/>
        </w:rPr>
        <w:t>21</w:t>
      </w:r>
      <w:r>
        <w:rPr>
          <w:rFonts w:hint="eastAsia"/>
          <w:color w:val="auto"/>
          <w:highlight w:val="none"/>
        </w:rPr>
        <w:t>t/a，排放浓度为</w:t>
      </w:r>
      <w:r>
        <w:rPr>
          <w:rFonts w:hint="eastAsia"/>
          <w:color w:val="auto"/>
          <w:highlight w:val="none"/>
          <w:lang w:val="en-US" w:eastAsia="zh-CN"/>
        </w:rPr>
        <w:t>1.79</w:t>
      </w:r>
      <w:r>
        <w:rPr>
          <w:rFonts w:hint="eastAsia"/>
          <w:color w:val="auto"/>
          <w:highlight w:val="none"/>
        </w:rPr>
        <w:t>mg/m</w:t>
      </w:r>
      <w:r>
        <w:rPr>
          <w:rFonts w:hint="eastAsia"/>
          <w:color w:val="auto"/>
          <w:highlight w:val="none"/>
          <w:vertAlign w:val="superscript"/>
        </w:rPr>
        <w:t>3</w:t>
      </w:r>
      <w:r>
        <w:rPr>
          <w:rFonts w:hint="eastAsia"/>
          <w:color w:val="auto"/>
          <w:highlight w:val="none"/>
        </w:rPr>
        <w:t>，油烟排放浓度可满足《饮食业油烟排放标准（试行）》（GB18483-2001）中相关要求（2mg/m</w:t>
      </w:r>
      <w:r>
        <w:rPr>
          <w:rFonts w:hint="eastAsia"/>
          <w:color w:val="auto"/>
          <w:highlight w:val="none"/>
          <w:vertAlign w:val="superscript"/>
        </w:rPr>
        <w:t>3</w:t>
      </w:r>
      <w:r>
        <w:rPr>
          <w:rFonts w:hint="eastAsia"/>
          <w:color w:val="auto"/>
          <w:highlight w:val="none"/>
        </w:rPr>
        <w:t>）。</w:t>
      </w:r>
    </w:p>
    <w:p w14:paraId="22519F4F">
      <w:pPr>
        <w:pStyle w:val="3"/>
        <w:ind w:firstLine="480"/>
        <w:rPr>
          <w:color w:val="auto"/>
          <w:highlight w:val="none"/>
        </w:rPr>
      </w:pPr>
      <w:r>
        <w:rPr>
          <w:rFonts w:hint="eastAsia"/>
          <w:color w:val="auto"/>
          <w:highlight w:val="none"/>
        </w:rPr>
        <w:t>（</w:t>
      </w:r>
      <w:r>
        <w:rPr>
          <w:rFonts w:hint="eastAsia"/>
          <w:color w:val="auto"/>
          <w:highlight w:val="none"/>
          <w:lang w:val="en-US" w:eastAsia="zh-CN"/>
        </w:rPr>
        <w:t>9</w:t>
      </w:r>
      <w:r>
        <w:rPr>
          <w:rFonts w:hint="eastAsia"/>
          <w:color w:val="auto"/>
          <w:highlight w:val="none"/>
        </w:rPr>
        <w:t>）</w:t>
      </w:r>
      <w:r>
        <w:rPr>
          <w:color w:val="auto"/>
          <w:highlight w:val="none"/>
        </w:rPr>
        <w:t>废气污染源汇总</w:t>
      </w:r>
    </w:p>
    <w:p w14:paraId="30595199">
      <w:pPr>
        <w:pStyle w:val="3"/>
        <w:ind w:firstLine="480"/>
        <w:rPr>
          <w:color w:val="auto"/>
          <w:highlight w:val="none"/>
        </w:rPr>
      </w:pPr>
      <w:r>
        <w:rPr>
          <w:color w:val="auto"/>
          <w:highlight w:val="none"/>
        </w:rPr>
        <w:t>本项目运营期主要大气污染物排放情况见表3.</w:t>
      </w:r>
      <w:r>
        <w:rPr>
          <w:rFonts w:hint="eastAsia"/>
          <w:color w:val="auto"/>
          <w:highlight w:val="none"/>
        </w:rPr>
        <w:t>4</w:t>
      </w:r>
      <w:r>
        <w:rPr>
          <w:color w:val="auto"/>
          <w:highlight w:val="none"/>
        </w:rPr>
        <w:t>-13。</w:t>
      </w:r>
    </w:p>
    <w:p w14:paraId="6D9C2163">
      <w:pPr>
        <w:pStyle w:val="3"/>
        <w:ind w:firstLine="480"/>
        <w:rPr>
          <w:color w:val="auto"/>
          <w:highlight w:val="none"/>
        </w:rPr>
        <w:sectPr>
          <w:pgSz w:w="11900" w:h="16840"/>
          <w:pgMar w:top="1440" w:right="1803" w:bottom="1440" w:left="1803" w:header="1020" w:footer="673" w:gutter="0"/>
          <w:pgBorders>
            <w:top w:val="none" w:sz="0" w:space="0"/>
            <w:left w:val="none" w:sz="0" w:space="0"/>
            <w:bottom w:val="none" w:sz="0" w:space="0"/>
            <w:right w:val="none" w:sz="0" w:space="0"/>
          </w:pgBorders>
          <w:cols w:space="720" w:num="1"/>
          <w:docGrid w:linePitch="326" w:charSpace="0"/>
        </w:sectPr>
      </w:pPr>
    </w:p>
    <w:p w14:paraId="19B9C5C2">
      <w:pPr>
        <w:pStyle w:val="40"/>
        <w:spacing w:before="24" w:after="24"/>
        <w:rPr>
          <w:color w:val="auto"/>
          <w:highlight w:val="none"/>
        </w:rPr>
      </w:pPr>
      <w:r>
        <w:rPr>
          <w:color w:val="auto"/>
          <w:highlight w:val="none"/>
        </w:rPr>
        <w:t>表3.</w:t>
      </w:r>
      <w:r>
        <w:rPr>
          <w:rFonts w:hint="eastAsia"/>
          <w:color w:val="auto"/>
          <w:highlight w:val="none"/>
        </w:rPr>
        <w:t>4</w:t>
      </w:r>
      <w:r>
        <w:rPr>
          <w:color w:val="auto"/>
          <w:highlight w:val="none"/>
        </w:rPr>
        <w:t>-13    项目主要大气污染物排放情况</w:t>
      </w:r>
    </w:p>
    <w:tbl>
      <w:tblPr>
        <w:tblStyle w:val="25"/>
        <w:tblW w:w="524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7" w:type="dxa"/>
          <w:left w:w="57" w:type="dxa"/>
          <w:bottom w:w="17" w:type="dxa"/>
          <w:right w:w="57" w:type="dxa"/>
        </w:tblCellMar>
      </w:tblPr>
      <w:tblGrid>
        <w:gridCol w:w="701"/>
        <w:gridCol w:w="1064"/>
        <w:gridCol w:w="821"/>
        <w:gridCol w:w="701"/>
        <w:gridCol w:w="1080"/>
        <w:gridCol w:w="888"/>
        <w:gridCol w:w="1310"/>
        <w:gridCol w:w="1391"/>
        <w:gridCol w:w="1371"/>
        <w:gridCol w:w="793"/>
        <w:gridCol w:w="1120"/>
        <w:gridCol w:w="1412"/>
        <w:gridCol w:w="6"/>
        <w:gridCol w:w="1062"/>
        <w:gridCol w:w="989"/>
      </w:tblGrid>
      <w:tr w14:paraId="67CDAF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7" w:type="dxa"/>
            <w:left w:w="57" w:type="dxa"/>
            <w:bottom w:w="17" w:type="dxa"/>
            <w:right w:w="57" w:type="dxa"/>
          </w:tblCellMar>
        </w:tblPrEx>
        <w:trPr>
          <w:trHeight w:val="23" w:hRule="atLeast"/>
          <w:tblHeader/>
          <w:jc w:val="center"/>
        </w:trPr>
        <w:tc>
          <w:tcPr>
            <w:tcW w:w="238" w:type="pct"/>
            <w:vMerge w:val="restart"/>
            <w:tcBorders>
              <w:tl2br w:val="nil"/>
              <w:tr2bl w:val="nil"/>
            </w:tcBorders>
            <w:tcMar>
              <w:left w:w="0" w:type="dxa"/>
              <w:right w:w="28" w:type="dxa"/>
            </w:tcMar>
            <w:vAlign w:val="center"/>
          </w:tcPr>
          <w:p w14:paraId="06E46172">
            <w:pPr>
              <w:pStyle w:val="41"/>
              <w:rPr>
                <w:color w:val="auto"/>
                <w:highlight w:val="none"/>
              </w:rPr>
            </w:pPr>
            <w:r>
              <w:rPr>
                <w:color w:val="auto"/>
                <w:highlight w:val="none"/>
              </w:rPr>
              <w:t>序号</w:t>
            </w:r>
          </w:p>
        </w:tc>
        <w:tc>
          <w:tcPr>
            <w:tcW w:w="361" w:type="pct"/>
            <w:vMerge w:val="restart"/>
            <w:tcBorders>
              <w:tl2br w:val="nil"/>
              <w:tr2bl w:val="nil"/>
            </w:tcBorders>
            <w:vAlign w:val="center"/>
          </w:tcPr>
          <w:p w14:paraId="027B0E36">
            <w:pPr>
              <w:pStyle w:val="41"/>
              <w:rPr>
                <w:color w:val="auto"/>
                <w:highlight w:val="none"/>
              </w:rPr>
            </w:pPr>
            <w:r>
              <w:rPr>
                <w:color w:val="auto"/>
                <w:highlight w:val="none"/>
              </w:rPr>
              <w:t>污染源</w:t>
            </w:r>
          </w:p>
          <w:p w14:paraId="45DCDF25">
            <w:pPr>
              <w:pStyle w:val="41"/>
              <w:rPr>
                <w:color w:val="auto"/>
                <w:highlight w:val="none"/>
              </w:rPr>
            </w:pPr>
            <w:r>
              <w:rPr>
                <w:color w:val="auto"/>
                <w:highlight w:val="none"/>
              </w:rPr>
              <w:t>装置</w:t>
            </w:r>
          </w:p>
        </w:tc>
        <w:tc>
          <w:tcPr>
            <w:tcW w:w="279" w:type="pct"/>
            <w:vMerge w:val="restart"/>
            <w:tcBorders>
              <w:tl2br w:val="nil"/>
              <w:tr2bl w:val="nil"/>
            </w:tcBorders>
            <w:vAlign w:val="center"/>
          </w:tcPr>
          <w:p w14:paraId="45696AC1">
            <w:pPr>
              <w:pStyle w:val="41"/>
              <w:rPr>
                <w:color w:val="auto"/>
                <w:highlight w:val="none"/>
              </w:rPr>
            </w:pPr>
            <w:r>
              <w:rPr>
                <w:color w:val="auto"/>
                <w:highlight w:val="none"/>
              </w:rPr>
              <w:t>污染物</w:t>
            </w:r>
          </w:p>
        </w:tc>
        <w:tc>
          <w:tcPr>
            <w:tcW w:w="1825" w:type="pct"/>
            <w:gridSpan w:val="5"/>
            <w:tcBorders>
              <w:tl2br w:val="nil"/>
              <w:tr2bl w:val="nil"/>
            </w:tcBorders>
            <w:vAlign w:val="center"/>
          </w:tcPr>
          <w:p w14:paraId="7831568F">
            <w:pPr>
              <w:pStyle w:val="41"/>
              <w:rPr>
                <w:color w:val="auto"/>
                <w:highlight w:val="none"/>
              </w:rPr>
            </w:pPr>
            <w:r>
              <w:rPr>
                <w:color w:val="auto"/>
                <w:highlight w:val="none"/>
              </w:rPr>
              <w:t>污染物产生</w:t>
            </w:r>
          </w:p>
        </w:tc>
        <w:tc>
          <w:tcPr>
            <w:tcW w:w="735" w:type="pct"/>
            <w:gridSpan w:val="2"/>
            <w:tcBorders>
              <w:tl2br w:val="nil"/>
              <w:tr2bl w:val="nil"/>
            </w:tcBorders>
            <w:vAlign w:val="center"/>
          </w:tcPr>
          <w:p w14:paraId="17D2B419">
            <w:pPr>
              <w:pStyle w:val="41"/>
              <w:rPr>
                <w:color w:val="auto"/>
                <w:highlight w:val="none"/>
              </w:rPr>
            </w:pPr>
            <w:r>
              <w:rPr>
                <w:color w:val="auto"/>
                <w:highlight w:val="none"/>
              </w:rPr>
              <w:t>治理措施</w:t>
            </w:r>
          </w:p>
        </w:tc>
        <w:tc>
          <w:tcPr>
            <w:tcW w:w="1223" w:type="pct"/>
            <w:gridSpan w:val="4"/>
            <w:tcBorders>
              <w:tl2br w:val="nil"/>
              <w:tr2bl w:val="nil"/>
            </w:tcBorders>
            <w:vAlign w:val="center"/>
          </w:tcPr>
          <w:p w14:paraId="0953D836">
            <w:pPr>
              <w:pStyle w:val="41"/>
              <w:rPr>
                <w:color w:val="auto"/>
                <w:highlight w:val="none"/>
              </w:rPr>
            </w:pPr>
            <w:r>
              <w:rPr>
                <w:color w:val="auto"/>
                <w:highlight w:val="none"/>
              </w:rPr>
              <w:t>污染物排放</w:t>
            </w:r>
          </w:p>
        </w:tc>
        <w:tc>
          <w:tcPr>
            <w:tcW w:w="336" w:type="pct"/>
            <w:vMerge w:val="restart"/>
            <w:tcBorders>
              <w:tl2br w:val="nil"/>
              <w:tr2bl w:val="nil"/>
            </w:tcBorders>
            <w:vAlign w:val="center"/>
          </w:tcPr>
          <w:p w14:paraId="709A3AC6">
            <w:pPr>
              <w:pStyle w:val="41"/>
              <w:rPr>
                <w:color w:val="auto"/>
                <w:highlight w:val="none"/>
              </w:rPr>
            </w:pPr>
            <w:r>
              <w:rPr>
                <w:color w:val="auto"/>
                <w:highlight w:val="none"/>
              </w:rPr>
              <w:t>排放时间（h）</w:t>
            </w:r>
          </w:p>
        </w:tc>
      </w:tr>
      <w:tr w14:paraId="3D391E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7" w:type="dxa"/>
            <w:left w:w="57" w:type="dxa"/>
            <w:bottom w:w="17" w:type="dxa"/>
            <w:right w:w="57" w:type="dxa"/>
          </w:tblCellMar>
        </w:tblPrEx>
        <w:trPr>
          <w:trHeight w:val="23" w:hRule="atLeast"/>
          <w:tblHeader/>
          <w:jc w:val="center"/>
        </w:trPr>
        <w:tc>
          <w:tcPr>
            <w:tcW w:w="238" w:type="pct"/>
            <w:vMerge w:val="continue"/>
            <w:tcBorders>
              <w:tl2br w:val="nil"/>
              <w:tr2bl w:val="nil"/>
            </w:tcBorders>
            <w:tcMar>
              <w:left w:w="0" w:type="dxa"/>
              <w:right w:w="28" w:type="dxa"/>
            </w:tcMar>
            <w:vAlign w:val="center"/>
          </w:tcPr>
          <w:p w14:paraId="58DC08ED">
            <w:pPr>
              <w:pStyle w:val="41"/>
              <w:rPr>
                <w:color w:val="auto"/>
                <w:highlight w:val="none"/>
              </w:rPr>
            </w:pPr>
          </w:p>
        </w:tc>
        <w:tc>
          <w:tcPr>
            <w:tcW w:w="361" w:type="pct"/>
            <w:vMerge w:val="continue"/>
            <w:tcBorders>
              <w:tl2br w:val="nil"/>
              <w:tr2bl w:val="nil"/>
            </w:tcBorders>
            <w:vAlign w:val="center"/>
          </w:tcPr>
          <w:p w14:paraId="0C4F6470">
            <w:pPr>
              <w:pStyle w:val="41"/>
              <w:rPr>
                <w:color w:val="auto"/>
                <w:highlight w:val="none"/>
              </w:rPr>
            </w:pPr>
          </w:p>
        </w:tc>
        <w:tc>
          <w:tcPr>
            <w:tcW w:w="279" w:type="pct"/>
            <w:vMerge w:val="continue"/>
            <w:tcBorders>
              <w:tl2br w:val="nil"/>
              <w:tr2bl w:val="nil"/>
            </w:tcBorders>
            <w:vAlign w:val="center"/>
          </w:tcPr>
          <w:p w14:paraId="5CCCC539">
            <w:pPr>
              <w:pStyle w:val="41"/>
              <w:rPr>
                <w:color w:val="auto"/>
                <w:highlight w:val="none"/>
              </w:rPr>
            </w:pPr>
          </w:p>
        </w:tc>
        <w:tc>
          <w:tcPr>
            <w:tcW w:w="238" w:type="pct"/>
            <w:tcBorders>
              <w:tl2br w:val="nil"/>
              <w:tr2bl w:val="nil"/>
            </w:tcBorders>
            <w:vAlign w:val="center"/>
          </w:tcPr>
          <w:p w14:paraId="36B6FFD0">
            <w:pPr>
              <w:pStyle w:val="41"/>
              <w:rPr>
                <w:color w:val="auto"/>
                <w:highlight w:val="none"/>
              </w:rPr>
            </w:pPr>
            <w:r>
              <w:rPr>
                <w:color w:val="auto"/>
                <w:highlight w:val="none"/>
              </w:rPr>
              <w:t>核算</w:t>
            </w:r>
          </w:p>
          <w:p w14:paraId="25809BD1">
            <w:pPr>
              <w:pStyle w:val="41"/>
              <w:rPr>
                <w:color w:val="auto"/>
                <w:highlight w:val="none"/>
              </w:rPr>
            </w:pPr>
            <w:r>
              <w:rPr>
                <w:color w:val="auto"/>
                <w:highlight w:val="none"/>
              </w:rPr>
              <w:t>方法</w:t>
            </w:r>
          </w:p>
        </w:tc>
        <w:tc>
          <w:tcPr>
            <w:tcW w:w="367" w:type="pct"/>
            <w:tcBorders>
              <w:tl2br w:val="nil"/>
              <w:tr2bl w:val="nil"/>
            </w:tcBorders>
            <w:vAlign w:val="center"/>
          </w:tcPr>
          <w:p w14:paraId="51E65ED1">
            <w:pPr>
              <w:pStyle w:val="41"/>
              <w:rPr>
                <w:color w:val="auto"/>
                <w:highlight w:val="none"/>
              </w:rPr>
            </w:pPr>
            <w:r>
              <w:rPr>
                <w:color w:val="auto"/>
                <w:highlight w:val="none"/>
              </w:rPr>
              <w:t>废气量</w:t>
            </w:r>
          </w:p>
          <w:p w14:paraId="0DD0531E">
            <w:pPr>
              <w:pStyle w:val="41"/>
              <w:rPr>
                <w:color w:val="auto"/>
                <w:highlight w:val="none"/>
              </w:rPr>
            </w:pPr>
            <w:r>
              <w:rPr>
                <w:rFonts w:hint="eastAsia"/>
                <w:color w:val="auto"/>
                <w:highlight w:val="none"/>
                <w:lang w:eastAsia="zh-CN"/>
              </w:rPr>
              <w:t>(</w:t>
            </w:r>
            <w:r>
              <w:rPr>
                <w:color w:val="auto"/>
                <w:highlight w:val="none"/>
              </w:rPr>
              <w:t>m</w:t>
            </w:r>
            <w:r>
              <w:rPr>
                <w:color w:val="auto"/>
                <w:highlight w:val="none"/>
                <w:vertAlign w:val="superscript"/>
              </w:rPr>
              <w:t>3</w:t>
            </w:r>
            <w:r>
              <w:rPr>
                <w:color w:val="auto"/>
                <w:highlight w:val="none"/>
              </w:rPr>
              <w:t>/h</w:t>
            </w:r>
            <w:r>
              <w:rPr>
                <w:rFonts w:hint="eastAsia"/>
                <w:color w:val="auto"/>
                <w:highlight w:val="none"/>
                <w:lang w:eastAsia="zh-CN"/>
              </w:rPr>
              <w:t>)</w:t>
            </w:r>
          </w:p>
        </w:tc>
        <w:tc>
          <w:tcPr>
            <w:tcW w:w="301" w:type="pct"/>
            <w:tcBorders>
              <w:tl2br w:val="nil"/>
              <w:tr2bl w:val="nil"/>
            </w:tcBorders>
            <w:vAlign w:val="center"/>
          </w:tcPr>
          <w:p w14:paraId="0C115B8D">
            <w:pPr>
              <w:pStyle w:val="41"/>
              <w:rPr>
                <w:color w:val="auto"/>
                <w:highlight w:val="none"/>
              </w:rPr>
            </w:pPr>
            <w:r>
              <w:rPr>
                <w:color w:val="auto"/>
                <w:highlight w:val="none"/>
              </w:rPr>
              <w:t>产生量</w:t>
            </w:r>
          </w:p>
          <w:p w14:paraId="10F1E5CD">
            <w:pPr>
              <w:pStyle w:val="41"/>
              <w:rPr>
                <w:color w:val="auto"/>
                <w:highlight w:val="none"/>
              </w:rPr>
            </w:pPr>
            <w:r>
              <w:rPr>
                <w:rFonts w:hint="eastAsia"/>
                <w:color w:val="auto"/>
                <w:highlight w:val="none"/>
                <w:lang w:eastAsia="zh-CN"/>
              </w:rPr>
              <w:t>(</w:t>
            </w:r>
            <w:r>
              <w:rPr>
                <w:color w:val="auto"/>
                <w:highlight w:val="none"/>
              </w:rPr>
              <w:t>t/a</w:t>
            </w:r>
            <w:r>
              <w:rPr>
                <w:rFonts w:hint="eastAsia"/>
                <w:color w:val="auto"/>
                <w:highlight w:val="none"/>
                <w:lang w:eastAsia="zh-CN"/>
              </w:rPr>
              <w:t>)</w:t>
            </w:r>
          </w:p>
        </w:tc>
        <w:tc>
          <w:tcPr>
            <w:tcW w:w="445" w:type="pct"/>
            <w:tcBorders>
              <w:tl2br w:val="nil"/>
              <w:tr2bl w:val="nil"/>
            </w:tcBorders>
            <w:vAlign w:val="center"/>
          </w:tcPr>
          <w:p w14:paraId="2B099814">
            <w:pPr>
              <w:pStyle w:val="41"/>
              <w:rPr>
                <w:color w:val="auto"/>
                <w:highlight w:val="none"/>
              </w:rPr>
            </w:pPr>
            <w:r>
              <w:rPr>
                <w:color w:val="auto"/>
                <w:highlight w:val="none"/>
              </w:rPr>
              <w:t>速率</w:t>
            </w:r>
          </w:p>
          <w:p w14:paraId="2A1C105B">
            <w:pPr>
              <w:pStyle w:val="41"/>
              <w:rPr>
                <w:color w:val="auto"/>
                <w:highlight w:val="none"/>
              </w:rPr>
            </w:pPr>
            <w:r>
              <w:rPr>
                <w:rFonts w:hint="eastAsia"/>
                <w:color w:val="auto"/>
                <w:highlight w:val="none"/>
                <w:lang w:eastAsia="zh-CN"/>
              </w:rPr>
              <w:t>(</w:t>
            </w:r>
            <w:r>
              <w:rPr>
                <w:color w:val="auto"/>
                <w:highlight w:val="none"/>
              </w:rPr>
              <w:t>kg/h</w:t>
            </w:r>
            <w:r>
              <w:rPr>
                <w:rFonts w:hint="eastAsia"/>
                <w:color w:val="auto"/>
                <w:highlight w:val="none"/>
                <w:lang w:eastAsia="zh-CN"/>
              </w:rPr>
              <w:t>)</w:t>
            </w:r>
          </w:p>
        </w:tc>
        <w:tc>
          <w:tcPr>
            <w:tcW w:w="472" w:type="pct"/>
            <w:tcBorders>
              <w:tl2br w:val="nil"/>
              <w:tr2bl w:val="nil"/>
            </w:tcBorders>
            <w:vAlign w:val="center"/>
          </w:tcPr>
          <w:p w14:paraId="11AC4BC7">
            <w:pPr>
              <w:pStyle w:val="41"/>
              <w:rPr>
                <w:color w:val="auto"/>
                <w:highlight w:val="none"/>
              </w:rPr>
            </w:pPr>
            <w:r>
              <w:rPr>
                <w:color w:val="auto"/>
                <w:highlight w:val="none"/>
              </w:rPr>
              <w:t>浓度</w:t>
            </w:r>
          </w:p>
          <w:p w14:paraId="19E3C72B">
            <w:pPr>
              <w:pStyle w:val="41"/>
              <w:rPr>
                <w:color w:val="auto"/>
                <w:highlight w:val="none"/>
              </w:rPr>
            </w:pPr>
            <w:r>
              <w:rPr>
                <w:rFonts w:hint="eastAsia"/>
                <w:color w:val="auto"/>
                <w:highlight w:val="none"/>
                <w:lang w:eastAsia="zh-CN"/>
              </w:rPr>
              <w:t>(</w:t>
            </w:r>
            <w:r>
              <w:rPr>
                <w:color w:val="auto"/>
                <w:highlight w:val="none"/>
              </w:rPr>
              <w:t>mg/m</w:t>
            </w:r>
            <w:r>
              <w:rPr>
                <w:color w:val="auto"/>
                <w:highlight w:val="none"/>
                <w:vertAlign w:val="superscript"/>
              </w:rPr>
              <w:t>3</w:t>
            </w:r>
            <w:r>
              <w:rPr>
                <w:rFonts w:hint="eastAsia"/>
                <w:color w:val="auto"/>
                <w:highlight w:val="none"/>
                <w:vertAlign w:val="superscript"/>
                <w:lang w:eastAsia="zh-CN"/>
              </w:rPr>
              <w:t>)</w:t>
            </w:r>
          </w:p>
        </w:tc>
        <w:tc>
          <w:tcPr>
            <w:tcW w:w="466" w:type="pct"/>
            <w:tcBorders>
              <w:tl2br w:val="nil"/>
              <w:tr2bl w:val="nil"/>
            </w:tcBorders>
            <w:vAlign w:val="center"/>
          </w:tcPr>
          <w:p w14:paraId="525C8719">
            <w:pPr>
              <w:pStyle w:val="41"/>
              <w:rPr>
                <w:color w:val="auto"/>
                <w:highlight w:val="none"/>
              </w:rPr>
            </w:pPr>
            <w:r>
              <w:rPr>
                <w:color w:val="auto"/>
                <w:highlight w:val="none"/>
              </w:rPr>
              <w:t>工艺</w:t>
            </w:r>
          </w:p>
        </w:tc>
        <w:tc>
          <w:tcPr>
            <w:tcW w:w="269" w:type="pct"/>
            <w:tcBorders>
              <w:tl2br w:val="nil"/>
              <w:tr2bl w:val="nil"/>
            </w:tcBorders>
            <w:vAlign w:val="center"/>
          </w:tcPr>
          <w:p w14:paraId="42B7B90D">
            <w:pPr>
              <w:pStyle w:val="41"/>
              <w:rPr>
                <w:color w:val="auto"/>
                <w:highlight w:val="none"/>
              </w:rPr>
            </w:pPr>
            <w:r>
              <w:rPr>
                <w:color w:val="auto"/>
                <w:highlight w:val="none"/>
              </w:rPr>
              <w:t>效率（%）</w:t>
            </w:r>
          </w:p>
        </w:tc>
        <w:tc>
          <w:tcPr>
            <w:tcW w:w="380" w:type="pct"/>
            <w:tcBorders>
              <w:tl2br w:val="nil"/>
              <w:tr2bl w:val="nil"/>
            </w:tcBorders>
            <w:vAlign w:val="center"/>
          </w:tcPr>
          <w:p w14:paraId="1D4301F0">
            <w:pPr>
              <w:pStyle w:val="41"/>
              <w:rPr>
                <w:color w:val="auto"/>
                <w:highlight w:val="none"/>
              </w:rPr>
            </w:pPr>
            <w:r>
              <w:rPr>
                <w:color w:val="auto"/>
                <w:highlight w:val="none"/>
              </w:rPr>
              <w:t>排放量</w:t>
            </w:r>
          </w:p>
          <w:p w14:paraId="2EAE2257">
            <w:pPr>
              <w:pStyle w:val="41"/>
              <w:rPr>
                <w:color w:val="auto"/>
                <w:highlight w:val="none"/>
              </w:rPr>
            </w:pPr>
            <w:r>
              <w:rPr>
                <w:rFonts w:hint="eastAsia"/>
                <w:color w:val="auto"/>
                <w:highlight w:val="none"/>
                <w:lang w:eastAsia="zh-CN"/>
              </w:rPr>
              <w:t>(</w:t>
            </w:r>
            <w:r>
              <w:rPr>
                <w:color w:val="auto"/>
                <w:highlight w:val="none"/>
              </w:rPr>
              <w:t>t/a</w:t>
            </w:r>
            <w:r>
              <w:rPr>
                <w:rFonts w:hint="eastAsia"/>
                <w:color w:val="auto"/>
                <w:highlight w:val="none"/>
                <w:lang w:eastAsia="zh-CN"/>
              </w:rPr>
              <w:t>)</w:t>
            </w:r>
          </w:p>
        </w:tc>
        <w:tc>
          <w:tcPr>
            <w:tcW w:w="479" w:type="pct"/>
            <w:tcBorders>
              <w:tl2br w:val="nil"/>
              <w:tr2bl w:val="nil"/>
            </w:tcBorders>
            <w:vAlign w:val="center"/>
          </w:tcPr>
          <w:p w14:paraId="69682863">
            <w:pPr>
              <w:pStyle w:val="41"/>
              <w:rPr>
                <w:color w:val="auto"/>
                <w:highlight w:val="none"/>
              </w:rPr>
            </w:pPr>
            <w:r>
              <w:rPr>
                <w:color w:val="auto"/>
                <w:highlight w:val="none"/>
              </w:rPr>
              <w:t>速率</w:t>
            </w:r>
          </w:p>
          <w:p w14:paraId="5BE2546D">
            <w:pPr>
              <w:pStyle w:val="41"/>
              <w:rPr>
                <w:color w:val="auto"/>
                <w:highlight w:val="none"/>
              </w:rPr>
            </w:pPr>
            <w:r>
              <w:rPr>
                <w:color w:val="auto"/>
                <w:highlight w:val="none"/>
              </w:rPr>
              <w:t>（kg/h</w:t>
            </w:r>
            <w:r>
              <w:rPr>
                <w:rFonts w:hint="eastAsia"/>
                <w:color w:val="auto"/>
                <w:highlight w:val="none"/>
                <w:lang w:eastAsia="zh-CN"/>
              </w:rPr>
              <w:t>)</w:t>
            </w:r>
          </w:p>
        </w:tc>
        <w:tc>
          <w:tcPr>
            <w:tcW w:w="363" w:type="pct"/>
            <w:gridSpan w:val="2"/>
            <w:tcBorders>
              <w:tl2br w:val="nil"/>
              <w:tr2bl w:val="nil"/>
            </w:tcBorders>
            <w:vAlign w:val="center"/>
          </w:tcPr>
          <w:p w14:paraId="14CDBA1C">
            <w:pPr>
              <w:pStyle w:val="41"/>
              <w:rPr>
                <w:color w:val="auto"/>
                <w:highlight w:val="none"/>
              </w:rPr>
            </w:pPr>
            <w:r>
              <w:rPr>
                <w:color w:val="auto"/>
                <w:highlight w:val="none"/>
              </w:rPr>
              <w:t>浓度</w:t>
            </w:r>
          </w:p>
          <w:p w14:paraId="336975DA">
            <w:pPr>
              <w:pStyle w:val="41"/>
              <w:rPr>
                <w:color w:val="auto"/>
                <w:highlight w:val="none"/>
              </w:rPr>
            </w:pPr>
            <w:r>
              <w:rPr>
                <w:rFonts w:hint="eastAsia"/>
                <w:color w:val="auto"/>
                <w:highlight w:val="none"/>
                <w:lang w:eastAsia="zh-CN"/>
              </w:rPr>
              <w:t>(</w:t>
            </w:r>
            <w:r>
              <w:rPr>
                <w:color w:val="auto"/>
                <w:highlight w:val="none"/>
              </w:rPr>
              <w:t>mg/m</w:t>
            </w:r>
            <w:r>
              <w:rPr>
                <w:color w:val="auto"/>
                <w:highlight w:val="none"/>
                <w:vertAlign w:val="superscript"/>
              </w:rPr>
              <w:t>3</w:t>
            </w:r>
            <w:r>
              <w:rPr>
                <w:rFonts w:hint="eastAsia"/>
                <w:color w:val="auto"/>
                <w:highlight w:val="none"/>
                <w:vertAlign w:val="superscript"/>
                <w:lang w:eastAsia="zh-CN"/>
              </w:rPr>
              <w:t>)</w:t>
            </w:r>
          </w:p>
        </w:tc>
        <w:tc>
          <w:tcPr>
            <w:tcW w:w="336" w:type="pct"/>
            <w:vMerge w:val="continue"/>
            <w:tcBorders>
              <w:tl2br w:val="nil"/>
              <w:tr2bl w:val="nil"/>
            </w:tcBorders>
            <w:vAlign w:val="center"/>
          </w:tcPr>
          <w:p w14:paraId="6FDAF014">
            <w:pPr>
              <w:pStyle w:val="41"/>
              <w:rPr>
                <w:color w:val="auto"/>
                <w:highlight w:val="none"/>
              </w:rPr>
            </w:pPr>
          </w:p>
        </w:tc>
      </w:tr>
      <w:tr w14:paraId="34785F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7" w:type="dxa"/>
            <w:left w:w="57" w:type="dxa"/>
            <w:bottom w:w="17" w:type="dxa"/>
            <w:right w:w="57" w:type="dxa"/>
          </w:tblCellMar>
        </w:tblPrEx>
        <w:trPr>
          <w:trHeight w:val="23" w:hRule="atLeast"/>
          <w:jc w:val="center"/>
        </w:trPr>
        <w:tc>
          <w:tcPr>
            <w:tcW w:w="238" w:type="pct"/>
            <w:tcBorders>
              <w:tl2br w:val="nil"/>
              <w:tr2bl w:val="nil"/>
            </w:tcBorders>
            <w:tcMar>
              <w:left w:w="0" w:type="dxa"/>
              <w:right w:w="28" w:type="dxa"/>
            </w:tcMar>
            <w:vAlign w:val="center"/>
          </w:tcPr>
          <w:p w14:paraId="5360BD0D">
            <w:pPr>
              <w:pStyle w:val="41"/>
              <w:rPr>
                <w:color w:val="auto"/>
                <w:highlight w:val="none"/>
              </w:rPr>
            </w:pPr>
            <w:r>
              <w:rPr>
                <w:color w:val="auto"/>
                <w:highlight w:val="none"/>
              </w:rPr>
              <w:t>1</w:t>
            </w:r>
          </w:p>
        </w:tc>
        <w:tc>
          <w:tcPr>
            <w:tcW w:w="361" w:type="pct"/>
            <w:tcBorders>
              <w:tl2br w:val="nil"/>
              <w:tr2bl w:val="nil"/>
            </w:tcBorders>
            <w:vAlign w:val="center"/>
          </w:tcPr>
          <w:p w14:paraId="4141763C">
            <w:pPr>
              <w:pStyle w:val="41"/>
              <w:rPr>
                <w:color w:val="auto"/>
                <w:highlight w:val="none"/>
              </w:rPr>
            </w:pPr>
            <w:r>
              <w:rPr>
                <w:rFonts w:hint="eastAsia"/>
                <w:color w:val="auto"/>
                <w:highlight w:val="none"/>
              </w:rPr>
              <w:t>滚轴筛车间</w:t>
            </w:r>
          </w:p>
        </w:tc>
        <w:tc>
          <w:tcPr>
            <w:tcW w:w="279" w:type="pct"/>
            <w:tcBorders>
              <w:tl2br w:val="nil"/>
              <w:tr2bl w:val="nil"/>
            </w:tcBorders>
            <w:vAlign w:val="center"/>
          </w:tcPr>
          <w:p w14:paraId="0761C5D3">
            <w:pPr>
              <w:pStyle w:val="41"/>
              <w:rPr>
                <w:color w:val="auto"/>
                <w:highlight w:val="none"/>
              </w:rPr>
            </w:pPr>
            <w:r>
              <w:rPr>
                <w:color w:val="auto"/>
                <w:highlight w:val="none"/>
              </w:rPr>
              <w:t>颗粒物</w:t>
            </w:r>
          </w:p>
        </w:tc>
        <w:tc>
          <w:tcPr>
            <w:tcW w:w="238" w:type="pct"/>
            <w:tcBorders>
              <w:tl2br w:val="nil"/>
              <w:tr2bl w:val="nil"/>
            </w:tcBorders>
            <w:vAlign w:val="center"/>
          </w:tcPr>
          <w:p w14:paraId="4CEEE3F4">
            <w:pPr>
              <w:pStyle w:val="41"/>
              <w:rPr>
                <w:color w:val="auto"/>
                <w:highlight w:val="none"/>
              </w:rPr>
            </w:pPr>
            <w:r>
              <w:rPr>
                <w:color w:val="auto"/>
                <w:highlight w:val="none"/>
              </w:rPr>
              <w:t>系数法</w:t>
            </w:r>
          </w:p>
        </w:tc>
        <w:tc>
          <w:tcPr>
            <w:tcW w:w="367" w:type="pct"/>
            <w:tcBorders>
              <w:tl2br w:val="nil"/>
              <w:tr2bl w:val="nil"/>
            </w:tcBorders>
            <w:vAlign w:val="center"/>
          </w:tcPr>
          <w:p w14:paraId="03ABD93E">
            <w:pPr>
              <w:pStyle w:val="41"/>
              <w:rPr>
                <w:color w:val="auto"/>
                <w:highlight w:val="none"/>
              </w:rPr>
            </w:pPr>
            <w:r>
              <w:rPr>
                <w:rFonts w:hint="eastAsia"/>
                <w:color w:val="auto"/>
                <w:highlight w:val="none"/>
                <w:lang w:val="en-US" w:eastAsia="zh-CN"/>
              </w:rPr>
              <w:t>53641.65</w:t>
            </w:r>
          </w:p>
        </w:tc>
        <w:tc>
          <w:tcPr>
            <w:tcW w:w="301" w:type="pct"/>
            <w:tcBorders>
              <w:tl2br w:val="nil"/>
              <w:tr2bl w:val="nil"/>
            </w:tcBorders>
            <w:vAlign w:val="center"/>
          </w:tcPr>
          <w:p w14:paraId="72B9CB94">
            <w:pPr>
              <w:pStyle w:val="41"/>
              <w:rPr>
                <w:color w:val="auto"/>
                <w:highlight w:val="none"/>
              </w:rPr>
            </w:pPr>
            <w:r>
              <w:rPr>
                <w:rFonts w:hint="eastAsia"/>
                <w:color w:val="auto"/>
                <w:highlight w:val="none"/>
                <w:lang w:val="en-US" w:eastAsia="zh-CN"/>
              </w:rPr>
              <w:t>273.303</w:t>
            </w:r>
          </w:p>
        </w:tc>
        <w:tc>
          <w:tcPr>
            <w:tcW w:w="445" w:type="pct"/>
            <w:tcBorders>
              <w:tl2br w:val="nil"/>
              <w:tr2bl w:val="nil"/>
            </w:tcBorders>
            <w:vAlign w:val="center"/>
          </w:tcPr>
          <w:p w14:paraId="5CC3E579">
            <w:pPr>
              <w:pStyle w:val="41"/>
              <w:rPr>
                <w:color w:val="auto"/>
                <w:highlight w:val="none"/>
              </w:rPr>
            </w:pPr>
            <w:r>
              <w:rPr>
                <w:rFonts w:hint="eastAsia"/>
                <w:color w:val="auto"/>
                <w:highlight w:val="none"/>
                <w:lang w:val="en-US" w:eastAsia="zh-CN"/>
              </w:rPr>
              <w:t>37.959</w:t>
            </w:r>
          </w:p>
        </w:tc>
        <w:tc>
          <w:tcPr>
            <w:tcW w:w="472" w:type="pct"/>
            <w:tcBorders>
              <w:tl2br w:val="nil"/>
              <w:tr2bl w:val="nil"/>
            </w:tcBorders>
            <w:vAlign w:val="center"/>
          </w:tcPr>
          <w:p w14:paraId="624744C5">
            <w:pPr>
              <w:pStyle w:val="41"/>
              <w:rPr>
                <w:color w:val="auto"/>
                <w:highlight w:val="none"/>
              </w:rPr>
            </w:pPr>
            <w:r>
              <w:rPr>
                <w:rFonts w:hint="eastAsia"/>
                <w:color w:val="auto"/>
                <w:highlight w:val="none"/>
              </w:rPr>
              <w:t>707.63</w:t>
            </w:r>
          </w:p>
        </w:tc>
        <w:tc>
          <w:tcPr>
            <w:tcW w:w="466" w:type="pct"/>
            <w:tcBorders>
              <w:tl2br w:val="nil"/>
              <w:tr2bl w:val="nil"/>
            </w:tcBorders>
            <w:vAlign w:val="center"/>
          </w:tcPr>
          <w:p w14:paraId="63263665">
            <w:pPr>
              <w:pStyle w:val="41"/>
              <w:rPr>
                <w:color w:val="auto"/>
                <w:highlight w:val="none"/>
              </w:rPr>
            </w:pPr>
            <w:r>
              <w:rPr>
                <w:color w:val="auto"/>
                <w:highlight w:val="none"/>
              </w:rPr>
              <w:t>布袋除尘</w:t>
            </w:r>
          </w:p>
        </w:tc>
        <w:tc>
          <w:tcPr>
            <w:tcW w:w="269" w:type="pct"/>
            <w:tcBorders>
              <w:tl2br w:val="nil"/>
              <w:tr2bl w:val="nil"/>
            </w:tcBorders>
            <w:vAlign w:val="center"/>
          </w:tcPr>
          <w:p w14:paraId="4C01B20F">
            <w:pPr>
              <w:pStyle w:val="41"/>
              <w:rPr>
                <w:color w:val="auto"/>
                <w:highlight w:val="none"/>
              </w:rPr>
            </w:pPr>
            <w:r>
              <w:rPr>
                <w:color w:val="auto"/>
                <w:highlight w:val="none"/>
              </w:rPr>
              <w:t>99.</w:t>
            </w:r>
            <w:r>
              <w:rPr>
                <w:rFonts w:hint="eastAsia"/>
                <w:color w:val="auto"/>
                <w:highlight w:val="none"/>
              </w:rPr>
              <w:t>9</w:t>
            </w:r>
          </w:p>
        </w:tc>
        <w:tc>
          <w:tcPr>
            <w:tcW w:w="380" w:type="pct"/>
            <w:tcBorders>
              <w:tl2br w:val="nil"/>
              <w:tr2bl w:val="nil"/>
            </w:tcBorders>
            <w:vAlign w:val="center"/>
          </w:tcPr>
          <w:p w14:paraId="7818BC77">
            <w:pPr>
              <w:pStyle w:val="41"/>
              <w:rPr>
                <w:color w:val="auto"/>
                <w:highlight w:val="none"/>
              </w:rPr>
            </w:pPr>
            <w:r>
              <w:rPr>
                <w:rFonts w:hint="eastAsia"/>
                <w:color w:val="auto"/>
                <w:highlight w:val="none"/>
                <w:lang w:val="en-US" w:eastAsia="zh-CN"/>
              </w:rPr>
              <w:t>0.273</w:t>
            </w:r>
          </w:p>
        </w:tc>
        <w:tc>
          <w:tcPr>
            <w:tcW w:w="479" w:type="pct"/>
            <w:tcBorders>
              <w:tl2br w:val="nil"/>
              <w:tr2bl w:val="nil"/>
            </w:tcBorders>
            <w:vAlign w:val="center"/>
          </w:tcPr>
          <w:p w14:paraId="68032B52">
            <w:pPr>
              <w:pStyle w:val="41"/>
              <w:rPr>
                <w:color w:val="auto"/>
                <w:highlight w:val="none"/>
              </w:rPr>
            </w:pPr>
            <w:r>
              <w:rPr>
                <w:rFonts w:hint="eastAsia"/>
                <w:color w:val="auto"/>
                <w:highlight w:val="none"/>
              </w:rPr>
              <w:t>0.0</w:t>
            </w:r>
            <w:r>
              <w:rPr>
                <w:rFonts w:hint="eastAsia"/>
                <w:color w:val="auto"/>
                <w:highlight w:val="none"/>
                <w:lang w:val="en-US" w:eastAsia="zh-CN"/>
              </w:rPr>
              <w:t>379</w:t>
            </w:r>
          </w:p>
        </w:tc>
        <w:tc>
          <w:tcPr>
            <w:tcW w:w="363" w:type="pct"/>
            <w:gridSpan w:val="2"/>
            <w:tcBorders>
              <w:tl2br w:val="nil"/>
              <w:tr2bl w:val="nil"/>
            </w:tcBorders>
            <w:vAlign w:val="center"/>
          </w:tcPr>
          <w:p w14:paraId="5CA1E000">
            <w:pPr>
              <w:pStyle w:val="41"/>
              <w:rPr>
                <w:color w:val="auto"/>
                <w:highlight w:val="none"/>
              </w:rPr>
            </w:pPr>
            <w:r>
              <w:rPr>
                <w:rFonts w:hint="eastAsia"/>
                <w:color w:val="auto"/>
                <w:highlight w:val="none"/>
              </w:rPr>
              <w:t>0.708</w:t>
            </w:r>
          </w:p>
        </w:tc>
        <w:tc>
          <w:tcPr>
            <w:tcW w:w="336" w:type="pct"/>
            <w:tcBorders>
              <w:tl2br w:val="nil"/>
              <w:tr2bl w:val="nil"/>
            </w:tcBorders>
            <w:vAlign w:val="center"/>
          </w:tcPr>
          <w:p w14:paraId="491B3977">
            <w:pPr>
              <w:pStyle w:val="41"/>
              <w:rPr>
                <w:color w:val="auto"/>
                <w:highlight w:val="none"/>
              </w:rPr>
            </w:pPr>
            <w:r>
              <w:rPr>
                <w:rFonts w:hint="eastAsia"/>
                <w:color w:val="auto"/>
                <w:highlight w:val="none"/>
              </w:rPr>
              <w:t>7200</w:t>
            </w:r>
          </w:p>
        </w:tc>
      </w:tr>
      <w:tr w14:paraId="6C5126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7" w:type="dxa"/>
            <w:left w:w="57" w:type="dxa"/>
            <w:bottom w:w="17" w:type="dxa"/>
            <w:right w:w="57" w:type="dxa"/>
          </w:tblCellMar>
        </w:tblPrEx>
        <w:trPr>
          <w:trHeight w:val="23" w:hRule="atLeast"/>
          <w:jc w:val="center"/>
        </w:trPr>
        <w:tc>
          <w:tcPr>
            <w:tcW w:w="238" w:type="pct"/>
            <w:tcBorders>
              <w:tl2br w:val="nil"/>
              <w:tr2bl w:val="nil"/>
            </w:tcBorders>
            <w:tcMar>
              <w:left w:w="0" w:type="dxa"/>
              <w:right w:w="28" w:type="dxa"/>
            </w:tcMar>
            <w:vAlign w:val="center"/>
          </w:tcPr>
          <w:p w14:paraId="08F1A03C">
            <w:pPr>
              <w:pStyle w:val="41"/>
              <w:rPr>
                <w:color w:val="auto"/>
                <w:highlight w:val="none"/>
              </w:rPr>
            </w:pPr>
            <w:r>
              <w:rPr>
                <w:color w:val="auto"/>
                <w:highlight w:val="none"/>
              </w:rPr>
              <w:t>2</w:t>
            </w:r>
          </w:p>
        </w:tc>
        <w:tc>
          <w:tcPr>
            <w:tcW w:w="361" w:type="pct"/>
            <w:tcBorders>
              <w:tl2br w:val="nil"/>
              <w:tr2bl w:val="nil"/>
            </w:tcBorders>
            <w:vAlign w:val="center"/>
          </w:tcPr>
          <w:p w14:paraId="389CC3C9">
            <w:pPr>
              <w:pStyle w:val="41"/>
              <w:rPr>
                <w:color w:val="auto"/>
                <w:highlight w:val="none"/>
              </w:rPr>
            </w:pPr>
            <w:r>
              <w:rPr>
                <w:rFonts w:hint="eastAsia"/>
                <w:color w:val="auto"/>
                <w:highlight w:val="none"/>
              </w:rPr>
              <w:t>粗中碎车间</w:t>
            </w:r>
          </w:p>
        </w:tc>
        <w:tc>
          <w:tcPr>
            <w:tcW w:w="279" w:type="pct"/>
            <w:tcBorders>
              <w:tl2br w:val="nil"/>
              <w:tr2bl w:val="nil"/>
            </w:tcBorders>
            <w:vAlign w:val="center"/>
          </w:tcPr>
          <w:p w14:paraId="710FD361">
            <w:pPr>
              <w:pStyle w:val="41"/>
              <w:rPr>
                <w:color w:val="auto"/>
                <w:highlight w:val="none"/>
              </w:rPr>
            </w:pPr>
            <w:r>
              <w:rPr>
                <w:color w:val="auto"/>
                <w:highlight w:val="none"/>
              </w:rPr>
              <w:t>颗粒物</w:t>
            </w:r>
          </w:p>
        </w:tc>
        <w:tc>
          <w:tcPr>
            <w:tcW w:w="238" w:type="pct"/>
            <w:tcBorders>
              <w:tl2br w:val="nil"/>
              <w:tr2bl w:val="nil"/>
            </w:tcBorders>
            <w:vAlign w:val="center"/>
          </w:tcPr>
          <w:p w14:paraId="072D1685">
            <w:pPr>
              <w:pStyle w:val="41"/>
              <w:rPr>
                <w:color w:val="auto"/>
                <w:highlight w:val="none"/>
              </w:rPr>
            </w:pPr>
            <w:r>
              <w:rPr>
                <w:color w:val="auto"/>
                <w:highlight w:val="none"/>
              </w:rPr>
              <w:t>系数法</w:t>
            </w:r>
          </w:p>
        </w:tc>
        <w:tc>
          <w:tcPr>
            <w:tcW w:w="367" w:type="pct"/>
            <w:tcBorders>
              <w:tl2br w:val="nil"/>
              <w:tr2bl w:val="nil"/>
            </w:tcBorders>
            <w:vAlign w:val="center"/>
          </w:tcPr>
          <w:p w14:paraId="67C59D8B">
            <w:pPr>
              <w:pStyle w:val="41"/>
              <w:rPr>
                <w:color w:val="auto"/>
                <w:highlight w:val="none"/>
              </w:rPr>
            </w:pPr>
            <w:r>
              <w:rPr>
                <w:rFonts w:hint="eastAsia"/>
                <w:color w:val="auto"/>
                <w:highlight w:val="none"/>
                <w:lang w:val="en-US" w:eastAsia="zh-CN"/>
              </w:rPr>
              <w:t>53641.65</w:t>
            </w:r>
          </w:p>
        </w:tc>
        <w:tc>
          <w:tcPr>
            <w:tcW w:w="301" w:type="pct"/>
            <w:tcBorders>
              <w:tl2br w:val="nil"/>
              <w:tr2bl w:val="nil"/>
            </w:tcBorders>
            <w:vAlign w:val="center"/>
          </w:tcPr>
          <w:p w14:paraId="2339C44D">
            <w:pPr>
              <w:pStyle w:val="41"/>
              <w:rPr>
                <w:color w:val="auto"/>
                <w:highlight w:val="none"/>
              </w:rPr>
            </w:pPr>
            <w:r>
              <w:rPr>
                <w:rFonts w:hint="eastAsia"/>
                <w:color w:val="auto"/>
                <w:highlight w:val="none"/>
                <w:lang w:val="en-US" w:eastAsia="zh-CN"/>
              </w:rPr>
              <w:t>273.303</w:t>
            </w:r>
          </w:p>
        </w:tc>
        <w:tc>
          <w:tcPr>
            <w:tcW w:w="445" w:type="pct"/>
            <w:tcBorders>
              <w:tl2br w:val="nil"/>
              <w:tr2bl w:val="nil"/>
            </w:tcBorders>
            <w:vAlign w:val="center"/>
          </w:tcPr>
          <w:p w14:paraId="7A2C798A">
            <w:pPr>
              <w:pStyle w:val="41"/>
              <w:rPr>
                <w:color w:val="auto"/>
                <w:highlight w:val="none"/>
              </w:rPr>
            </w:pPr>
            <w:r>
              <w:rPr>
                <w:rFonts w:hint="eastAsia"/>
                <w:color w:val="auto"/>
                <w:highlight w:val="none"/>
                <w:lang w:val="en-US" w:eastAsia="zh-CN"/>
              </w:rPr>
              <w:t>37.959</w:t>
            </w:r>
          </w:p>
        </w:tc>
        <w:tc>
          <w:tcPr>
            <w:tcW w:w="472" w:type="pct"/>
            <w:tcBorders>
              <w:tl2br w:val="nil"/>
              <w:tr2bl w:val="nil"/>
            </w:tcBorders>
            <w:vAlign w:val="center"/>
          </w:tcPr>
          <w:p w14:paraId="173F8C7C">
            <w:pPr>
              <w:pStyle w:val="41"/>
              <w:rPr>
                <w:color w:val="auto"/>
                <w:highlight w:val="none"/>
              </w:rPr>
            </w:pPr>
            <w:r>
              <w:rPr>
                <w:rFonts w:hint="eastAsia"/>
                <w:color w:val="auto"/>
                <w:highlight w:val="none"/>
              </w:rPr>
              <w:t>707.63</w:t>
            </w:r>
          </w:p>
        </w:tc>
        <w:tc>
          <w:tcPr>
            <w:tcW w:w="466" w:type="pct"/>
            <w:tcBorders>
              <w:tl2br w:val="nil"/>
              <w:tr2bl w:val="nil"/>
            </w:tcBorders>
            <w:vAlign w:val="center"/>
          </w:tcPr>
          <w:p w14:paraId="7BFD3381">
            <w:pPr>
              <w:pStyle w:val="41"/>
              <w:rPr>
                <w:color w:val="auto"/>
                <w:highlight w:val="none"/>
              </w:rPr>
            </w:pPr>
            <w:r>
              <w:rPr>
                <w:color w:val="auto"/>
                <w:highlight w:val="none"/>
              </w:rPr>
              <w:t>布袋除尘</w:t>
            </w:r>
          </w:p>
        </w:tc>
        <w:tc>
          <w:tcPr>
            <w:tcW w:w="269" w:type="pct"/>
            <w:tcBorders>
              <w:tl2br w:val="nil"/>
              <w:tr2bl w:val="nil"/>
            </w:tcBorders>
            <w:vAlign w:val="center"/>
          </w:tcPr>
          <w:p w14:paraId="3BADE07D">
            <w:pPr>
              <w:pStyle w:val="41"/>
              <w:rPr>
                <w:color w:val="auto"/>
                <w:highlight w:val="none"/>
              </w:rPr>
            </w:pPr>
            <w:r>
              <w:rPr>
                <w:color w:val="auto"/>
                <w:highlight w:val="none"/>
              </w:rPr>
              <w:t>99.</w:t>
            </w:r>
            <w:r>
              <w:rPr>
                <w:rFonts w:hint="eastAsia"/>
                <w:color w:val="auto"/>
                <w:highlight w:val="none"/>
              </w:rPr>
              <w:t>9</w:t>
            </w:r>
          </w:p>
        </w:tc>
        <w:tc>
          <w:tcPr>
            <w:tcW w:w="380" w:type="pct"/>
            <w:tcBorders>
              <w:tl2br w:val="nil"/>
              <w:tr2bl w:val="nil"/>
            </w:tcBorders>
            <w:vAlign w:val="center"/>
          </w:tcPr>
          <w:p w14:paraId="1889E25F">
            <w:pPr>
              <w:pStyle w:val="41"/>
              <w:rPr>
                <w:color w:val="auto"/>
                <w:highlight w:val="none"/>
              </w:rPr>
            </w:pPr>
            <w:r>
              <w:rPr>
                <w:rFonts w:hint="eastAsia"/>
                <w:color w:val="auto"/>
                <w:highlight w:val="none"/>
                <w:lang w:val="en-US" w:eastAsia="zh-CN"/>
              </w:rPr>
              <w:t>0.273</w:t>
            </w:r>
          </w:p>
        </w:tc>
        <w:tc>
          <w:tcPr>
            <w:tcW w:w="479" w:type="pct"/>
            <w:tcBorders>
              <w:tl2br w:val="nil"/>
              <w:tr2bl w:val="nil"/>
            </w:tcBorders>
            <w:vAlign w:val="center"/>
          </w:tcPr>
          <w:p w14:paraId="7CBE0A82">
            <w:pPr>
              <w:pStyle w:val="41"/>
              <w:rPr>
                <w:color w:val="auto"/>
                <w:highlight w:val="none"/>
              </w:rPr>
            </w:pPr>
            <w:r>
              <w:rPr>
                <w:rFonts w:hint="eastAsia"/>
                <w:color w:val="auto"/>
                <w:highlight w:val="none"/>
              </w:rPr>
              <w:t>0.0</w:t>
            </w:r>
            <w:r>
              <w:rPr>
                <w:rFonts w:hint="eastAsia"/>
                <w:color w:val="auto"/>
                <w:highlight w:val="none"/>
                <w:lang w:val="en-US" w:eastAsia="zh-CN"/>
              </w:rPr>
              <w:t>379</w:t>
            </w:r>
          </w:p>
        </w:tc>
        <w:tc>
          <w:tcPr>
            <w:tcW w:w="363" w:type="pct"/>
            <w:gridSpan w:val="2"/>
            <w:tcBorders>
              <w:tl2br w:val="nil"/>
              <w:tr2bl w:val="nil"/>
            </w:tcBorders>
            <w:vAlign w:val="center"/>
          </w:tcPr>
          <w:p w14:paraId="21A61FAE">
            <w:pPr>
              <w:pStyle w:val="41"/>
              <w:rPr>
                <w:color w:val="auto"/>
                <w:highlight w:val="none"/>
              </w:rPr>
            </w:pPr>
            <w:r>
              <w:rPr>
                <w:rFonts w:hint="eastAsia"/>
                <w:color w:val="auto"/>
                <w:highlight w:val="none"/>
              </w:rPr>
              <w:t>0.708</w:t>
            </w:r>
          </w:p>
        </w:tc>
        <w:tc>
          <w:tcPr>
            <w:tcW w:w="336" w:type="pct"/>
            <w:tcBorders>
              <w:tl2br w:val="nil"/>
              <w:tr2bl w:val="nil"/>
            </w:tcBorders>
            <w:vAlign w:val="center"/>
          </w:tcPr>
          <w:p w14:paraId="7D1A12D3">
            <w:pPr>
              <w:pStyle w:val="41"/>
              <w:rPr>
                <w:color w:val="auto"/>
                <w:highlight w:val="none"/>
              </w:rPr>
            </w:pPr>
            <w:r>
              <w:rPr>
                <w:rFonts w:hint="eastAsia"/>
                <w:color w:val="auto"/>
                <w:highlight w:val="none"/>
              </w:rPr>
              <w:t>7200</w:t>
            </w:r>
          </w:p>
        </w:tc>
      </w:tr>
      <w:tr w14:paraId="3D14BE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7" w:type="dxa"/>
            <w:left w:w="57" w:type="dxa"/>
            <w:bottom w:w="17" w:type="dxa"/>
            <w:right w:w="57" w:type="dxa"/>
          </w:tblCellMar>
        </w:tblPrEx>
        <w:trPr>
          <w:trHeight w:val="23" w:hRule="atLeast"/>
          <w:jc w:val="center"/>
        </w:trPr>
        <w:tc>
          <w:tcPr>
            <w:tcW w:w="238" w:type="pct"/>
            <w:tcBorders>
              <w:tl2br w:val="nil"/>
              <w:tr2bl w:val="nil"/>
            </w:tcBorders>
            <w:tcMar>
              <w:left w:w="0" w:type="dxa"/>
              <w:right w:w="28" w:type="dxa"/>
            </w:tcMar>
            <w:vAlign w:val="center"/>
          </w:tcPr>
          <w:p w14:paraId="004B8EBA">
            <w:pPr>
              <w:pStyle w:val="41"/>
              <w:rPr>
                <w:color w:val="auto"/>
                <w:highlight w:val="none"/>
              </w:rPr>
            </w:pPr>
            <w:r>
              <w:rPr>
                <w:color w:val="auto"/>
                <w:highlight w:val="none"/>
              </w:rPr>
              <w:t>3</w:t>
            </w:r>
          </w:p>
        </w:tc>
        <w:tc>
          <w:tcPr>
            <w:tcW w:w="361" w:type="pct"/>
            <w:tcBorders>
              <w:tl2br w:val="nil"/>
              <w:tr2bl w:val="nil"/>
            </w:tcBorders>
            <w:vAlign w:val="center"/>
          </w:tcPr>
          <w:p w14:paraId="6DAF24D9">
            <w:pPr>
              <w:pStyle w:val="41"/>
              <w:rPr>
                <w:color w:val="auto"/>
                <w:highlight w:val="none"/>
              </w:rPr>
            </w:pPr>
            <w:r>
              <w:rPr>
                <w:rFonts w:hint="eastAsia"/>
                <w:color w:val="auto"/>
                <w:highlight w:val="none"/>
              </w:rPr>
              <w:t>细</w:t>
            </w:r>
            <w:r>
              <w:rPr>
                <w:color w:val="auto"/>
                <w:highlight w:val="none"/>
              </w:rPr>
              <w:t>碎车间</w:t>
            </w:r>
          </w:p>
        </w:tc>
        <w:tc>
          <w:tcPr>
            <w:tcW w:w="279" w:type="pct"/>
            <w:tcBorders>
              <w:tl2br w:val="nil"/>
              <w:tr2bl w:val="nil"/>
            </w:tcBorders>
            <w:vAlign w:val="center"/>
          </w:tcPr>
          <w:p w14:paraId="73258A46">
            <w:pPr>
              <w:pStyle w:val="41"/>
              <w:rPr>
                <w:color w:val="auto"/>
                <w:highlight w:val="none"/>
              </w:rPr>
            </w:pPr>
            <w:r>
              <w:rPr>
                <w:color w:val="auto"/>
                <w:highlight w:val="none"/>
              </w:rPr>
              <w:t>颗粒物</w:t>
            </w:r>
          </w:p>
        </w:tc>
        <w:tc>
          <w:tcPr>
            <w:tcW w:w="238" w:type="pct"/>
            <w:tcBorders>
              <w:tl2br w:val="nil"/>
              <w:tr2bl w:val="nil"/>
            </w:tcBorders>
            <w:vAlign w:val="center"/>
          </w:tcPr>
          <w:p w14:paraId="023687CF">
            <w:pPr>
              <w:pStyle w:val="41"/>
              <w:rPr>
                <w:color w:val="auto"/>
                <w:highlight w:val="none"/>
              </w:rPr>
            </w:pPr>
            <w:r>
              <w:rPr>
                <w:color w:val="auto"/>
                <w:highlight w:val="none"/>
              </w:rPr>
              <w:t>系数法</w:t>
            </w:r>
          </w:p>
        </w:tc>
        <w:tc>
          <w:tcPr>
            <w:tcW w:w="367" w:type="pct"/>
            <w:tcBorders>
              <w:tl2br w:val="nil"/>
              <w:tr2bl w:val="nil"/>
            </w:tcBorders>
            <w:vAlign w:val="center"/>
          </w:tcPr>
          <w:p w14:paraId="0104C4BA">
            <w:pPr>
              <w:pStyle w:val="41"/>
              <w:rPr>
                <w:color w:val="auto"/>
                <w:highlight w:val="none"/>
              </w:rPr>
            </w:pPr>
            <w:r>
              <w:rPr>
                <w:rFonts w:hint="eastAsia"/>
                <w:color w:val="auto"/>
                <w:highlight w:val="none"/>
                <w:lang w:val="en-US" w:eastAsia="zh-CN"/>
              </w:rPr>
              <w:t>53641.65</w:t>
            </w:r>
          </w:p>
        </w:tc>
        <w:tc>
          <w:tcPr>
            <w:tcW w:w="301" w:type="pct"/>
            <w:tcBorders>
              <w:tl2br w:val="nil"/>
              <w:tr2bl w:val="nil"/>
            </w:tcBorders>
            <w:vAlign w:val="center"/>
          </w:tcPr>
          <w:p w14:paraId="2EFBD3B6">
            <w:pPr>
              <w:pStyle w:val="41"/>
              <w:rPr>
                <w:color w:val="auto"/>
                <w:highlight w:val="none"/>
              </w:rPr>
            </w:pPr>
            <w:r>
              <w:rPr>
                <w:rFonts w:hint="eastAsia"/>
                <w:color w:val="auto"/>
                <w:highlight w:val="none"/>
                <w:lang w:val="en-US" w:eastAsia="zh-CN"/>
              </w:rPr>
              <w:t>273.303</w:t>
            </w:r>
          </w:p>
        </w:tc>
        <w:tc>
          <w:tcPr>
            <w:tcW w:w="445" w:type="pct"/>
            <w:tcBorders>
              <w:tl2br w:val="nil"/>
              <w:tr2bl w:val="nil"/>
            </w:tcBorders>
            <w:vAlign w:val="center"/>
          </w:tcPr>
          <w:p w14:paraId="0DF5CA2D">
            <w:pPr>
              <w:pStyle w:val="41"/>
              <w:rPr>
                <w:color w:val="auto"/>
                <w:highlight w:val="none"/>
              </w:rPr>
            </w:pPr>
            <w:r>
              <w:rPr>
                <w:rFonts w:hint="eastAsia"/>
                <w:color w:val="auto"/>
                <w:highlight w:val="none"/>
                <w:lang w:val="en-US" w:eastAsia="zh-CN"/>
              </w:rPr>
              <w:t>37.959</w:t>
            </w:r>
          </w:p>
        </w:tc>
        <w:tc>
          <w:tcPr>
            <w:tcW w:w="472" w:type="pct"/>
            <w:tcBorders>
              <w:tl2br w:val="nil"/>
              <w:tr2bl w:val="nil"/>
            </w:tcBorders>
            <w:vAlign w:val="center"/>
          </w:tcPr>
          <w:p w14:paraId="2959D79C">
            <w:pPr>
              <w:pStyle w:val="41"/>
              <w:rPr>
                <w:color w:val="auto"/>
                <w:highlight w:val="none"/>
              </w:rPr>
            </w:pPr>
            <w:r>
              <w:rPr>
                <w:rFonts w:hint="eastAsia"/>
                <w:color w:val="auto"/>
                <w:highlight w:val="none"/>
              </w:rPr>
              <w:t>707.63</w:t>
            </w:r>
          </w:p>
        </w:tc>
        <w:tc>
          <w:tcPr>
            <w:tcW w:w="466" w:type="pct"/>
            <w:tcBorders>
              <w:tl2br w:val="nil"/>
              <w:tr2bl w:val="nil"/>
            </w:tcBorders>
            <w:vAlign w:val="center"/>
          </w:tcPr>
          <w:p w14:paraId="76B140CA">
            <w:pPr>
              <w:pStyle w:val="41"/>
              <w:rPr>
                <w:color w:val="auto"/>
                <w:highlight w:val="none"/>
              </w:rPr>
            </w:pPr>
            <w:r>
              <w:rPr>
                <w:color w:val="auto"/>
                <w:highlight w:val="none"/>
              </w:rPr>
              <w:t>布袋除尘</w:t>
            </w:r>
          </w:p>
        </w:tc>
        <w:tc>
          <w:tcPr>
            <w:tcW w:w="269" w:type="pct"/>
            <w:tcBorders>
              <w:tl2br w:val="nil"/>
              <w:tr2bl w:val="nil"/>
            </w:tcBorders>
            <w:vAlign w:val="center"/>
          </w:tcPr>
          <w:p w14:paraId="090F8806">
            <w:pPr>
              <w:pStyle w:val="41"/>
              <w:rPr>
                <w:color w:val="auto"/>
                <w:highlight w:val="none"/>
              </w:rPr>
            </w:pPr>
            <w:r>
              <w:rPr>
                <w:color w:val="auto"/>
                <w:highlight w:val="none"/>
              </w:rPr>
              <w:t>99.</w:t>
            </w:r>
            <w:r>
              <w:rPr>
                <w:rFonts w:hint="eastAsia"/>
                <w:color w:val="auto"/>
                <w:highlight w:val="none"/>
              </w:rPr>
              <w:t>9</w:t>
            </w:r>
          </w:p>
        </w:tc>
        <w:tc>
          <w:tcPr>
            <w:tcW w:w="380" w:type="pct"/>
            <w:tcBorders>
              <w:tl2br w:val="nil"/>
              <w:tr2bl w:val="nil"/>
            </w:tcBorders>
            <w:vAlign w:val="center"/>
          </w:tcPr>
          <w:p w14:paraId="33E20900">
            <w:pPr>
              <w:pStyle w:val="41"/>
              <w:rPr>
                <w:color w:val="auto"/>
                <w:highlight w:val="none"/>
              </w:rPr>
            </w:pPr>
            <w:r>
              <w:rPr>
                <w:rFonts w:hint="eastAsia"/>
                <w:color w:val="auto"/>
                <w:highlight w:val="none"/>
                <w:lang w:val="en-US" w:eastAsia="zh-CN"/>
              </w:rPr>
              <w:t>0.273</w:t>
            </w:r>
          </w:p>
        </w:tc>
        <w:tc>
          <w:tcPr>
            <w:tcW w:w="479" w:type="pct"/>
            <w:tcBorders>
              <w:tl2br w:val="nil"/>
              <w:tr2bl w:val="nil"/>
            </w:tcBorders>
            <w:vAlign w:val="center"/>
          </w:tcPr>
          <w:p w14:paraId="01800F09">
            <w:pPr>
              <w:pStyle w:val="41"/>
              <w:rPr>
                <w:color w:val="auto"/>
                <w:highlight w:val="none"/>
              </w:rPr>
            </w:pPr>
            <w:r>
              <w:rPr>
                <w:rFonts w:hint="eastAsia"/>
                <w:color w:val="auto"/>
                <w:highlight w:val="none"/>
              </w:rPr>
              <w:t>0.0</w:t>
            </w:r>
            <w:r>
              <w:rPr>
                <w:rFonts w:hint="eastAsia"/>
                <w:color w:val="auto"/>
                <w:highlight w:val="none"/>
                <w:lang w:val="en-US" w:eastAsia="zh-CN"/>
              </w:rPr>
              <w:t>379</w:t>
            </w:r>
          </w:p>
        </w:tc>
        <w:tc>
          <w:tcPr>
            <w:tcW w:w="363" w:type="pct"/>
            <w:gridSpan w:val="2"/>
            <w:tcBorders>
              <w:tl2br w:val="nil"/>
              <w:tr2bl w:val="nil"/>
            </w:tcBorders>
            <w:vAlign w:val="center"/>
          </w:tcPr>
          <w:p w14:paraId="28CD6B11">
            <w:pPr>
              <w:pStyle w:val="41"/>
              <w:rPr>
                <w:color w:val="auto"/>
                <w:highlight w:val="none"/>
              </w:rPr>
            </w:pPr>
            <w:r>
              <w:rPr>
                <w:rFonts w:hint="eastAsia"/>
                <w:color w:val="auto"/>
                <w:highlight w:val="none"/>
              </w:rPr>
              <w:t>0.708</w:t>
            </w:r>
          </w:p>
        </w:tc>
        <w:tc>
          <w:tcPr>
            <w:tcW w:w="336" w:type="pct"/>
            <w:tcBorders>
              <w:tl2br w:val="nil"/>
              <w:tr2bl w:val="nil"/>
            </w:tcBorders>
            <w:vAlign w:val="center"/>
          </w:tcPr>
          <w:p w14:paraId="6B9137C0">
            <w:pPr>
              <w:pStyle w:val="41"/>
              <w:rPr>
                <w:color w:val="auto"/>
                <w:highlight w:val="none"/>
              </w:rPr>
            </w:pPr>
            <w:r>
              <w:rPr>
                <w:rFonts w:hint="eastAsia"/>
                <w:color w:val="auto"/>
                <w:highlight w:val="none"/>
              </w:rPr>
              <w:t>7200</w:t>
            </w:r>
          </w:p>
        </w:tc>
      </w:tr>
      <w:tr w14:paraId="753996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7" w:type="dxa"/>
            <w:left w:w="57" w:type="dxa"/>
            <w:bottom w:w="17" w:type="dxa"/>
            <w:right w:w="57" w:type="dxa"/>
          </w:tblCellMar>
        </w:tblPrEx>
        <w:trPr>
          <w:trHeight w:val="23" w:hRule="atLeast"/>
          <w:jc w:val="center"/>
        </w:trPr>
        <w:tc>
          <w:tcPr>
            <w:tcW w:w="238" w:type="pct"/>
            <w:tcBorders>
              <w:tl2br w:val="nil"/>
              <w:tr2bl w:val="nil"/>
            </w:tcBorders>
            <w:tcMar>
              <w:left w:w="0" w:type="dxa"/>
              <w:right w:w="28" w:type="dxa"/>
            </w:tcMar>
            <w:vAlign w:val="center"/>
          </w:tcPr>
          <w:p w14:paraId="5FDDB6A0">
            <w:pPr>
              <w:pStyle w:val="41"/>
              <w:rPr>
                <w:color w:val="auto"/>
                <w:highlight w:val="none"/>
              </w:rPr>
            </w:pPr>
            <w:r>
              <w:rPr>
                <w:color w:val="auto"/>
                <w:highlight w:val="none"/>
              </w:rPr>
              <w:t>4</w:t>
            </w:r>
          </w:p>
        </w:tc>
        <w:tc>
          <w:tcPr>
            <w:tcW w:w="361" w:type="pct"/>
            <w:tcBorders>
              <w:tl2br w:val="nil"/>
              <w:tr2bl w:val="nil"/>
            </w:tcBorders>
            <w:vAlign w:val="center"/>
          </w:tcPr>
          <w:p w14:paraId="57B40ECF">
            <w:pPr>
              <w:pStyle w:val="41"/>
              <w:rPr>
                <w:color w:val="auto"/>
                <w:highlight w:val="none"/>
              </w:rPr>
            </w:pPr>
            <w:r>
              <w:rPr>
                <w:rFonts w:hint="eastAsia"/>
                <w:color w:val="auto"/>
                <w:highlight w:val="none"/>
              </w:rPr>
              <w:t>1号振动筛分车间</w:t>
            </w:r>
          </w:p>
        </w:tc>
        <w:tc>
          <w:tcPr>
            <w:tcW w:w="279" w:type="pct"/>
            <w:tcBorders>
              <w:tl2br w:val="nil"/>
              <w:tr2bl w:val="nil"/>
            </w:tcBorders>
            <w:vAlign w:val="center"/>
          </w:tcPr>
          <w:p w14:paraId="31A9109D">
            <w:pPr>
              <w:pStyle w:val="41"/>
              <w:rPr>
                <w:color w:val="auto"/>
                <w:highlight w:val="none"/>
              </w:rPr>
            </w:pPr>
            <w:r>
              <w:rPr>
                <w:color w:val="auto"/>
                <w:highlight w:val="none"/>
              </w:rPr>
              <w:t>颗粒物</w:t>
            </w:r>
          </w:p>
        </w:tc>
        <w:tc>
          <w:tcPr>
            <w:tcW w:w="238" w:type="pct"/>
            <w:tcBorders>
              <w:tl2br w:val="nil"/>
              <w:tr2bl w:val="nil"/>
            </w:tcBorders>
            <w:vAlign w:val="center"/>
          </w:tcPr>
          <w:p w14:paraId="3DEF22B7">
            <w:pPr>
              <w:pStyle w:val="41"/>
              <w:rPr>
                <w:color w:val="auto"/>
                <w:highlight w:val="none"/>
              </w:rPr>
            </w:pPr>
            <w:r>
              <w:rPr>
                <w:color w:val="auto"/>
                <w:highlight w:val="none"/>
              </w:rPr>
              <w:t>系数法</w:t>
            </w:r>
          </w:p>
        </w:tc>
        <w:tc>
          <w:tcPr>
            <w:tcW w:w="367" w:type="pct"/>
            <w:tcBorders>
              <w:tl2br w:val="nil"/>
              <w:tr2bl w:val="nil"/>
            </w:tcBorders>
            <w:vAlign w:val="center"/>
          </w:tcPr>
          <w:p w14:paraId="1A138B7E">
            <w:pPr>
              <w:pStyle w:val="41"/>
              <w:rPr>
                <w:color w:val="auto"/>
                <w:highlight w:val="none"/>
              </w:rPr>
            </w:pPr>
            <w:r>
              <w:rPr>
                <w:rFonts w:hint="eastAsia"/>
                <w:color w:val="auto"/>
                <w:highlight w:val="none"/>
                <w:lang w:val="en-US" w:eastAsia="zh-CN"/>
              </w:rPr>
              <w:t>53641.65</w:t>
            </w:r>
          </w:p>
        </w:tc>
        <w:tc>
          <w:tcPr>
            <w:tcW w:w="301" w:type="pct"/>
            <w:tcBorders>
              <w:tl2br w:val="nil"/>
              <w:tr2bl w:val="nil"/>
            </w:tcBorders>
            <w:vAlign w:val="center"/>
          </w:tcPr>
          <w:p w14:paraId="7ADB1F69">
            <w:pPr>
              <w:pStyle w:val="41"/>
              <w:rPr>
                <w:color w:val="auto"/>
                <w:highlight w:val="none"/>
              </w:rPr>
            </w:pPr>
            <w:r>
              <w:rPr>
                <w:rFonts w:hint="eastAsia"/>
                <w:color w:val="auto"/>
                <w:highlight w:val="none"/>
                <w:lang w:val="en-US" w:eastAsia="zh-CN"/>
              </w:rPr>
              <w:t>273.303</w:t>
            </w:r>
          </w:p>
        </w:tc>
        <w:tc>
          <w:tcPr>
            <w:tcW w:w="445" w:type="pct"/>
            <w:tcBorders>
              <w:tl2br w:val="nil"/>
              <w:tr2bl w:val="nil"/>
            </w:tcBorders>
            <w:vAlign w:val="center"/>
          </w:tcPr>
          <w:p w14:paraId="4350F9A7">
            <w:pPr>
              <w:pStyle w:val="41"/>
              <w:rPr>
                <w:color w:val="auto"/>
                <w:highlight w:val="none"/>
              </w:rPr>
            </w:pPr>
            <w:r>
              <w:rPr>
                <w:rFonts w:hint="eastAsia"/>
                <w:color w:val="auto"/>
                <w:highlight w:val="none"/>
                <w:lang w:val="en-US" w:eastAsia="zh-CN"/>
              </w:rPr>
              <w:t>37.959</w:t>
            </w:r>
          </w:p>
        </w:tc>
        <w:tc>
          <w:tcPr>
            <w:tcW w:w="472" w:type="pct"/>
            <w:tcBorders>
              <w:tl2br w:val="nil"/>
              <w:tr2bl w:val="nil"/>
            </w:tcBorders>
            <w:vAlign w:val="center"/>
          </w:tcPr>
          <w:p w14:paraId="148654E9">
            <w:pPr>
              <w:pStyle w:val="41"/>
              <w:rPr>
                <w:color w:val="auto"/>
                <w:highlight w:val="none"/>
              </w:rPr>
            </w:pPr>
            <w:r>
              <w:rPr>
                <w:rFonts w:hint="eastAsia"/>
                <w:color w:val="auto"/>
                <w:highlight w:val="none"/>
              </w:rPr>
              <w:t>707.63</w:t>
            </w:r>
          </w:p>
        </w:tc>
        <w:tc>
          <w:tcPr>
            <w:tcW w:w="466" w:type="pct"/>
            <w:tcBorders>
              <w:tl2br w:val="nil"/>
              <w:tr2bl w:val="nil"/>
            </w:tcBorders>
            <w:vAlign w:val="center"/>
          </w:tcPr>
          <w:p w14:paraId="00742EF0">
            <w:pPr>
              <w:pStyle w:val="41"/>
              <w:rPr>
                <w:color w:val="auto"/>
                <w:highlight w:val="none"/>
              </w:rPr>
            </w:pPr>
            <w:r>
              <w:rPr>
                <w:color w:val="auto"/>
                <w:highlight w:val="none"/>
              </w:rPr>
              <w:t>布袋除尘</w:t>
            </w:r>
          </w:p>
        </w:tc>
        <w:tc>
          <w:tcPr>
            <w:tcW w:w="269" w:type="pct"/>
            <w:tcBorders>
              <w:tl2br w:val="nil"/>
              <w:tr2bl w:val="nil"/>
            </w:tcBorders>
            <w:vAlign w:val="center"/>
          </w:tcPr>
          <w:p w14:paraId="04395AD3">
            <w:pPr>
              <w:pStyle w:val="41"/>
              <w:rPr>
                <w:color w:val="auto"/>
                <w:highlight w:val="none"/>
              </w:rPr>
            </w:pPr>
            <w:r>
              <w:rPr>
                <w:color w:val="auto"/>
                <w:highlight w:val="none"/>
              </w:rPr>
              <w:t>99.</w:t>
            </w:r>
            <w:r>
              <w:rPr>
                <w:rFonts w:hint="eastAsia"/>
                <w:color w:val="auto"/>
                <w:highlight w:val="none"/>
              </w:rPr>
              <w:t>9</w:t>
            </w:r>
          </w:p>
        </w:tc>
        <w:tc>
          <w:tcPr>
            <w:tcW w:w="380" w:type="pct"/>
            <w:tcBorders>
              <w:tl2br w:val="nil"/>
              <w:tr2bl w:val="nil"/>
            </w:tcBorders>
            <w:vAlign w:val="center"/>
          </w:tcPr>
          <w:p w14:paraId="275DF585">
            <w:pPr>
              <w:pStyle w:val="41"/>
              <w:rPr>
                <w:color w:val="auto"/>
                <w:highlight w:val="none"/>
              </w:rPr>
            </w:pPr>
            <w:r>
              <w:rPr>
                <w:rFonts w:hint="eastAsia"/>
                <w:color w:val="auto"/>
                <w:highlight w:val="none"/>
                <w:lang w:val="en-US" w:eastAsia="zh-CN"/>
              </w:rPr>
              <w:t>0.273</w:t>
            </w:r>
          </w:p>
        </w:tc>
        <w:tc>
          <w:tcPr>
            <w:tcW w:w="479" w:type="pct"/>
            <w:tcBorders>
              <w:tl2br w:val="nil"/>
              <w:tr2bl w:val="nil"/>
            </w:tcBorders>
            <w:vAlign w:val="center"/>
          </w:tcPr>
          <w:p w14:paraId="5AA0BC60">
            <w:pPr>
              <w:pStyle w:val="41"/>
              <w:rPr>
                <w:color w:val="auto"/>
                <w:highlight w:val="none"/>
              </w:rPr>
            </w:pPr>
            <w:r>
              <w:rPr>
                <w:rFonts w:hint="eastAsia"/>
                <w:color w:val="auto"/>
                <w:highlight w:val="none"/>
              </w:rPr>
              <w:t>0.0</w:t>
            </w:r>
            <w:r>
              <w:rPr>
                <w:rFonts w:hint="eastAsia"/>
                <w:color w:val="auto"/>
                <w:highlight w:val="none"/>
                <w:lang w:val="en-US" w:eastAsia="zh-CN"/>
              </w:rPr>
              <w:t>379</w:t>
            </w:r>
          </w:p>
        </w:tc>
        <w:tc>
          <w:tcPr>
            <w:tcW w:w="363" w:type="pct"/>
            <w:gridSpan w:val="2"/>
            <w:tcBorders>
              <w:tl2br w:val="nil"/>
              <w:tr2bl w:val="nil"/>
            </w:tcBorders>
            <w:vAlign w:val="center"/>
          </w:tcPr>
          <w:p w14:paraId="63678D3F">
            <w:pPr>
              <w:pStyle w:val="41"/>
              <w:rPr>
                <w:color w:val="auto"/>
                <w:highlight w:val="none"/>
              </w:rPr>
            </w:pPr>
            <w:r>
              <w:rPr>
                <w:rFonts w:hint="eastAsia"/>
                <w:color w:val="auto"/>
                <w:highlight w:val="none"/>
              </w:rPr>
              <w:t>0.708</w:t>
            </w:r>
          </w:p>
        </w:tc>
        <w:tc>
          <w:tcPr>
            <w:tcW w:w="336" w:type="pct"/>
            <w:tcBorders>
              <w:tl2br w:val="nil"/>
              <w:tr2bl w:val="nil"/>
            </w:tcBorders>
            <w:vAlign w:val="center"/>
          </w:tcPr>
          <w:p w14:paraId="16A28E4B">
            <w:pPr>
              <w:pStyle w:val="41"/>
              <w:rPr>
                <w:color w:val="auto"/>
                <w:highlight w:val="none"/>
              </w:rPr>
            </w:pPr>
            <w:r>
              <w:rPr>
                <w:rFonts w:hint="eastAsia"/>
                <w:color w:val="auto"/>
                <w:highlight w:val="none"/>
              </w:rPr>
              <w:t>7200</w:t>
            </w:r>
          </w:p>
        </w:tc>
      </w:tr>
      <w:tr w14:paraId="7B9A5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7" w:type="dxa"/>
            <w:left w:w="57" w:type="dxa"/>
            <w:bottom w:w="17" w:type="dxa"/>
            <w:right w:w="57" w:type="dxa"/>
          </w:tblCellMar>
        </w:tblPrEx>
        <w:trPr>
          <w:trHeight w:val="23" w:hRule="atLeast"/>
          <w:jc w:val="center"/>
        </w:trPr>
        <w:tc>
          <w:tcPr>
            <w:tcW w:w="238" w:type="pct"/>
            <w:tcBorders>
              <w:tl2br w:val="nil"/>
              <w:tr2bl w:val="nil"/>
            </w:tcBorders>
            <w:tcMar>
              <w:left w:w="0" w:type="dxa"/>
              <w:right w:w="28" w:type="dxa"/>
            </w:tcMar>
            <w:vAlign w:val="center"/>
          </w:tcPr>
          <w:p w14:paraId="3D3C9E7F">
            <w:pPr>
              <w:pStyle w:val="41"/>
              <w:rPr>
                <w:color w:val="auto"/>
                <w:highlight w:val="none"/>
              </w:rPr>
            </w:pPr>
            <w:r>
              <w:rPr>
                <w:color w:val="auto"/>
                <w:highlight w:val="none"/>
              </w:rPr>
              <w:t>5</w:t>
            </w:r>
          </w:p>
        </w:tc>
        <w:tc>
          <w:tcPr>
            <w:tcW w:w="361" w:type="pct"/>
            <w:tcBorders>
              <w:tl2br w:val="nil"/>
              <w:tr2bl w:val="nil"/>
            </w:tcBorders>
            <w:vAlign w:val="center"/>
          </w:tcPr>
          <w:p w14:paraId="59994AF9">
            <w:pPr>
              <w:pStyle w:val="41"/>
              <w:rPr>
                <w:color w:val="auto"/>
                <w:highlight w:val="none"/>
              </w:rPr>
            </w:pPr>
            <w:r>
              <w:rPr>
                <w:rFonts w:hint="eastAsia"/>
                <w:color w:val="auto"/>
                <w:highlight w:val="none"/>
              </w:rPr>
              <w:t>2号振动筛分车间</w:t>
            </w:r>
          </w:p>
        </w:tc>
        <w:tc>
          <w:tcPr>
            <w:tcW w:w="279" w:type="pct"/>
            <w:tcBorders>
              <w:tl2br w:val="nil"/>
              <w:tr2bl w:val="nil"/>
            </w:tcBorders>
            <w:vAlign w:val="center"/>
          </w:tcPr>
          <w:p w14:paraId="68DE0E51">
            <w:pPr>
              <w:pStyle w:val="41"/>
              <w:rPr>
                <w:color w:val="auto"/>
                <w:highlight w:val="none"/>
              </w:rPr>
            </w:pPr>
            <w:r>
              <w:rPr>
                <w:color w:val="auto"/>
                <w:highlight w:val="none"/>
              </w:rPr>
              <w:t>颗粒物</w:t>
            </w:r>
          </w:p>
        </w:tc>
        <w:tc>
          <w:tcPr>
            <w:tcW w:w="238" w:type="pct"/>
            <w:tcBorders>
              <w:tl2br w:val="nil"/>
              <w:tr2bl w:val="nil"/>
            </w:tcBorders>
            <w:vAlign w:val="center"/>
          </w:tcPr>
          <w:p w14:paraId="29D82DCB">
            <w:pPr>
              <w:pStyle w:val="41"/>
              <w:rPr>
                <w:color w:val="auto"/>
                <w:highlight w:val="none"/>
              </w:rPr>
            </w:pPr>
            <w:r>
              <w:rPr>
                <w:color w:val="auto"/>
                <w:highlight w:val="none"/>
              </w:rPr>
              <w:t>系数法</w:t>
            </w:r>
          </w:p>
        </w:tc>
        <w:tc>
          <w:tcPr>
            <w:tcW w:w="367" w:type="pct"/>
            <w:tcBorders>
              <w:tl2br w:val="nil"/>
              <w:tr2bl w:val="nil"/>
            </w:tcBorders>
            <w:vAlign w:val="center"/>
          </w:tcPr>
          <w:p w14:paraId="65617B97">
            <w:pPr>
              <w:pStyle w:val="41"/>
              <w:rPr>
                <w:color w:val="auto"/>
                <w:highlight w:val="none"/>
              </w:rPr>
            </w:pPr>
            <w:r>
              <w:rPr>
                <w:rFonts w:hint="eastAsia"/>
                <w:color w:val="auto"/>
                <w:highlight w:val="none"/>
                <w:lang w:val="en-US" w:eastAsia="zh-CN"/>
              </w:rPr>
              <w:t>53641.65</w:t>
            </w:r>
          </w:p>
        </w:tc>
        <w:tc>
          <w:tcPr>
            <w:tcW w:w="301" w:type="pct"/>
            <w:tcBorders>
              <w:tl2br w:val="nil"/>
              <w:tr2bl w:val="nil"/>
            </w:tcBorders>
            <w:vAlign w:val="center"/>
          </w:tcPr>
          <w:p w14:paraId="67CF4E8F">
            <w:pPr>
              <w:pStyle w:val="41"/>
              <w:rPr>
                <w:color w:val="auto"/>
                <w:highlight w:val="none"/>
              </w:rPr>
            </w:pPr>
            <w:r>
              <w:rPr>
                <w:rFonts w:hint="eastAsia"/>
                <w:color w:val="auto"/>
                <w:highlight w:val="none"/>
                <w:lang w:val="en-US" w:eastAsia="zh-CN"/>
              </w:rPr>
              <w:t>273.303</w:t>
            </w:r>
          </w:p>
        </w:tc>
        <w:tc>
          <w:tcPr>
            <w:tcW w:w="445" w:type="pct"/>
            <w:tcBorders>
              <w:tl2br w:val="nil"/>
              <w:tr2bl w:val="nil"/>
            </w:tcBorders>
            <w:vAlign w:val="center"/>
          </w:tcPr>
          <w:p w14:paraId="1705A3B6">
            <w:pPr>
              <w:pStyle w:val="41"/>
              <w:rPr>
                <w:color w:val="auto"/>
                <w:highlight w:val="none"/>
              </w:rPr>
            </w:pPr>
            <w:r>
              <w:rPr>
                <w:rFonts w:hint="eastAsia"/>
                <w:color w:val="auto"/>
                <w:highlight w:val="none"/>
                <w:lang w:val="en-US" w:eastAsia="zh-CN"/>
              </w:rPr>
              <w:t>37.959</w:t>
            </w:r>
          </w:p>
        </w:tc>
        <w:tc>
          <w:tcPr>
            <w:tcW w:w="472" w:type="pct"/>
            <w:tcBorders>
              <w:tl2br w:val="nil"/>
              <w:tr2bl w:val="nil"/>
            </w:tcBorders>
            <w:vAlign w:val="center"/>
          </w:tcPr>
          <w:p w14:paraId="4E6635D6">
            <w:pPr>
              <w:pStyle w:val="41"/>
              <w:rPr>
                <w:color w:val="auto"/>
                <w:highlight w:val="none"/>
              </w:rPr>
            </w:pPr>
            <w:r>
              <w:rPr>
                <w:rFonts w:hint="eastAsia"/>
                <w:color w:val="auto"/>
                <w:highlight w:val="none"/>
              </w:rPr>
              <w:t>707.63</w:t>
            </w:r>
          </w:p>
        </w:tc>
        <w:tc>
          <w:tcPr>
            <w:tcW w:w="466" w:type="pct"/>
            <w:tcBorders>
              <w:tl2br w:val="nil"/>
              <w:tr2bl w:val="nil"/>
            </w:tcBorders>
            <w:vAlign w:val="center"/>
          </w:tcPr>
          <w:p w14:paraId="422C3FD7">
            <w:pPr>
              <w:pStyle w:val="41"/>
              <w:rPr>
                <w:color w:val="auto"/>
                <w:highlight w:val="none"/>
              </w:rPr>
            </w:pPr>
            <w:r>
              <w:rPr>
                <w:color w:val="auto"/>
                <w:highlight w:val="none"/>
              </w:rPr>
              <w:t>布袋除尘</w:t>
            </w:r>
          </w:p>
        </w:tc>
        <w:tc>
          <w:tcPr>
            <w:tcW w:w="269" w:type="pct"/>
            <w:tcBorders>
              <w:tl2br w:val="nil"/>
              <w:tr2bl w:val="nil"/>
            </w:tcBorders>
            <w:vAlign w:val="center"/>
          </w:tcPr>
          <w:p w14:paraId="3699E091">
            <w:pPr>
              <w:pStyle w:val="41"/>
              <w:rPr>
                <w:color w:val="auto"/>
                <w:highlight w:val="none"/>
              </w:rPr>
            </w:pPr>
            <w:r>
              <w:rPr>
                <w:color w:val="auto"/>
                <w:highlight w:val="none"/>
              </w:rPr>
              <w:t>99.</w:t>
            </w:r>
            <w:r>
              <w:rPr>
                <w:rFonts w:hint="eastAsia"/>
                <w:color w:val="auto"/>
                <w:highlight w:val="none"/>
              </w:rPr>
              <w:t>9</w:t>
            </w:r>
          </w:p>
        </w:tc>
        <w:tc>
          <w:tcPr>
            <w:tcW w:w="380" w:type="pct"/>
            <w:tcBorders>
              <w:tl2br w:val="nil"/>
              <w:tr2bl w:val="nil"/>
            </w:tcBorders>
            <w:vAlign w:val="center"/>
          </w:tcPr>
          <w:p w14:paraId="4848DCC3">
            <w:pPr>
              <w:pStyle w:val="41"/>
              <w:rPr>
                <w:color w:val="auto"/>
                <w:highlight w:val="none"/>
              </w:rPr>
            </w:pPr>
            <w:r>
              <w:rPr>
                <w:rFonts w:hint="eastAsia"/>
                <w:color w:val="auto"/>
                <w:highlight w:val="none"/>
                <w:lang w:val="en-US" w:eastAsia="zh-CN"/>
              </w:rPr>
              <w:t>0.273</w:t>
            </w:r>
          </w:p>
        </w:tc>
        <w:tc>
          <w:tcPr>
            <w:tcW w:w="479" w:type="pct"/>
            <w:tcBorders>
              <w:tl2br w:val="nil"/>
              <w:tr2bl w:val="nil"/>
            </w:tcBorders>
            <w:vAlign w:val="center"/>
          </w:tcPr>
          <w:p w14:paraId="2E4A069F">
            <w:pPr>
              <w:pStyle w:val="41"/>
              <w:rPr>
                <w:color w:val="auto"/>
                <w:highlight w:val="none"/>
              </w:rPr>
            </w:pPr>
            <w:r>
              <w:rPr>
                <w:rFonts w:hint="eastAsia"/>
                <w:color w:val="auto"/>
                <w:highlight w:val="none"/>
              </w:rPr>
              <w:t>0.0</w:t>
            </w:r>
            <w:r>
              <w:rPr>
                <w:rFonts w:hint="eastAsia"/>
                <w:color w:val="auto"/>
                <w:highlight w:val="none"/>
                <w:lang w:val="en-US" w:eastAsia="zh-CN"/>
              </w:rPr>
              <w:t>379</w:t>
            </w:r>
          </w:p>
        </w:tc>
        <w:tc>
          <w:tcPr>
            <w:tcW w:w="363" w:type="pct"/>
            <w:gridSpan w:val="2"/>
            <w:tcBorders>
              <w:tl2br w:val="nil"/>
              <w:tr2bl w:val="nil"/>
            </w:tcBorders>
            <w:vAlign w:val="center"/>
          </w:tcPr>
          <w:p w14:paraId="68ECDD2C">
            <w:pPr>
              <w:pStyle w:val="41"/>
              <w:rPr>
                <w:color w:val="auto"/>
                <w:highlight w:val="none"/>
              </w:rPr>
            </w:pPr>
            <w:r>
              <w:rPr>
                <w:rFonts w:hint="eastAsia"/>
                <w:color w:val="auto"/>
                <w:highlight w:val="none"/>
              </w:rPr>
              <w:t>0.708</w:t>
            </w:r>
          </w:p>
        </w:tc>
        <w:tc>
          <w:tcPr>
            <w:tcW w:w="336" w:type="pct"/>
            <w:tcBorders>
              <w:tl2br w:val="nil"/>
              <w:tr2bl w:val="nil"/>
            </w:tcBorders>
            <w:vAlign w:val="center"/>
          </w:tcPr>
          <w:p w14:paraId="61EDD1E6">
            <w:pPr>
              <w:pStyle w:val="41"/>
              <w:rPr>
                <w:color w:val="auto"/>
                <w:highlight w:val="none"/>
              </w:rPr>
            </w:pPr>
            <w:r>
              <w:rPr>
                <w:rFonts w:hint="eastAsia"/>
                <w:color w:val="auto"/>
                <w:highlight w:val="none"/>
              </w:rPr>
              <w:t>7200</w:t>
            </w:r>
          </w:p>
        </w:tc>
      </w:tr>
      <w:tr w14:paraId="599005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7" w:type="dxa"/>
            <w:left w:w="57" w:type="dxa"/>
            <w:bottom w:w="17" w:type="dxa"/>
            <w:right w:w="57" w:type="dxa"/>
          </w:tblCellMar>
        </w:tblPrEx>
        <w:trPr>
          <w:trHeight w:val="23" w:hRule="atLeast"/>
          <w:jc w:val="center"/>
        </w:trPr>
        <w:tc>
          <w:tcPr>
            <w:tcW w:w="238" w:type="pct"/>
            <w:tcBorders>
              <w:tl2br w:val="nil"/>
              <w:tr2bl w:val="nil"/>
            </w:tcBorders>
            <w:tcMar>
              <w:left w:w="0" w:type="dxa"/>
              <w:right w:w="28" w:type="dxa"/>
            </w:tcMar>
            <w:vAlign w:val="center"/>
          </w:tcPr>
          <w:p w14:paraId="6B8E69DD">
            <w:pPr>
              <w:pStyle w:val="41"/>
              <w:rPr>
                <w:color w:val="auto"/>
                <w:highlight w:val="none"/>
              </w:rPr>
            </w:pPr>
            <w:r>
              <w:rPr>
                <w:color w:val="auto"/>
                <w:highlight w:val="none"/>
              </w:rPr>
              <w:t>6</w:t>
            </w:r>
          </w:p>
        </w:tc>
        <w:tc>
          <w:tcPr>
            <w:tcW w:w="361" w:type="pct"/>
            <w:tcBorders>
              <w:tl2br w:val="nil"/>
              <w:tr2bl w:val="nil"/>
            </w:tcBorders>
            <w:vAlign w:val="center"/>
          </w:tcPr>
          <w:p w14:paraId="5180383F">
            <w:pPr>
              <w:pStyle w:val="41"/>
              <w:rPr>
                <w:color w:val="auto"/>
                <w:highlight w:val="none"/>
              </w:rPr>
            </w:pPr>
            <w:r>
              <w:rPr>
                <w:rFonts w:hint="eastAsia"/>
                <w:color w:val="auto"/>
                <w:highlight w:val="none"/>
              </w:rPr>
              <w:t>3号振动筛分车间</w:t>
            </w:r>
          </w:p>
        </w:tc>
        <w:tc>
          <w:tcPr>
            <w:tcW w:w="279" w:type="pct"/>
            <w:tcBorders>
              <w:tl2br w:val="nil"/>
              <w:tr2bl w:val="nil"/>
            </w:tcBorders>
            <w:vAlign w:val="center"/>
          </w:tcPr>
          <w:p w14:paraId="3EFAB78E">
            <w:pPr>
              <w:pStyle w:val="41"/>
              <w:rPr>
                <w:color w:val="auto"/>
                <w:highlight w:val="none"/>
              </w:rPr>
            </w:pPr>
            <w:r>
              <w:rPr>
                <w:color w:val="auto"/>
                <w:highlight w:val="none"/>
              </w:rPr>
              <w:t>颗粒物</w:t>
            </w:r>
          </w:p>
        </w:tc>
        <w:tc>
          <w:tcPr>
            <w:tcW w:w="238" w:type="pct"/>
            <w:tcBorders>
              <w:tl2br w:val="nil"/>
              <w:tr2bl w:val="nil"/>
            </w:tcBorders>
            <w:vAlign w:val="center"/>
          </w:tcPr>
          <w:p w14:paraId="3360A74A">
            <w:pPr>
              <w:pStyle w:val="41"/>
              <w:rPr>
                <w:color w:val="auto"/>
                <w:highlight w:val="none"/>
              </w:rPr>
            </w:pPr>
            <w:r>
              <w:rPr>
                <w:color w:val="auto"/>
                <w:highlight w:val="none"/>
              </w:rPr>
              <w:t>系数法</w:t>
            </w:r>
          </w:p>
        </w:tc>
        <w:tc>
          <w:tcPr>
            <w:tcW w:w="367" w:type="pct"/>
            <w:tcBorders>
              <w:tl2br w:val="nil"/>
              <w:tr2bl w:val="nil"/>
            </w:tcBorders>
            <w:vAlign w:val="center"/>
          </w:tcPr>
          <w:p w14:paraId="1DFEA085">
            <w:pPr>
              <w:pStyle w:val="41"/>
              <w:rPr>
                <w:color w:val="auto"/>
                <w:highlight w:val="none"/>
              </w:rPr>
            </w:pPr>
            <w:r>
              <w:rPr>
                <w:rFonts w:hint="eastAsia"/>
                <w:color w:val="auto"/>
                <w:highlight w:val="none"/>
                <w:lang w:val="en-US" w:eastAsia="zh-CN"/>
              </w:rPr>
              <w:t>53641.65</w:t>
            </w:r>
          </w:p>
        </w:tc>
        <w:tc>
          <w:tcPr>
            <w:tcW w:w="301" w:type="pct"/>
            <w:tcBorders>
              <w:tl2br w:val="nil"/>
              <w:tr2bl w:val="nil"/>
            </w:tcBorders>
            <w:vAlign w:val="center"/>
          </w:tcPr>
          <w:p w14:paraId="4C60D19A">
            <w:pPr>
              <w:pStyle w:val="41"/>
              <w:rPr>
                <w:color w:val="auto"/>
                <w:highlight w:val="none"/>
              </w:rPr>
            </w:pPr>
            <w:r>
              <w:rPr>
                <w:rFonts w:hint="eastAsia"/>
                <w:color w:val="auto"/>
                <w:highlight w:val="none"/>
                <w:lang w:val="en-US" w:eastAsia="zh-CN"/>
              </w:rPr>
              <w:t>273.303</w:t>
            </w:r>
          </w:p>
        </w:tc>
        <w:tc>
          <w:tcPr>
            <w:tcW w:w="445" w:type="pct"/>
            <w:tcBorders>
              <w:tl2br w:val="nil"/>
              <w:tr2bl w:val="nil"/>
            </w:tcBorders>
            <w:vAlign w:val="center"/>
          </w:tcPr>
          <w:p w14:paraId="3955DF22">
            <w:pPr>
              <w:pStyle w:val="41"/>
              <w:rPr>
                <w:color w:val="auto"/>
                <w:highlight w:val="none"/>
              </w:rPr>
            </w:pPr>
            <w:r>
              <w:rPr>
                <w:rFonts w:hint="eastAsia"/>
                <w:color w:val="auto"/>
                <w:highlight w:val="none"/>
                <w:lang w:val="en-US" w:eastAsia="zh-CN"/>
              </w:rPr>
              <w:t>37.959</w:t>
            </w:r>
          </w:p>
        </w:tc>
        <w:tc>
          <w:tcPr>
            <w:tcW w:w="472" w:type="pct"/>
            <w:tcBorders>
              <w:tl2br w:val="nil"/>
              <w:tr2bl w:val="nil"/>
            </w:tcBorders>
            <w:vAlign w:val="center"/>
          </w:tcPr>
          <w:p w14:paraId="2E5DDB31">
            <w:pPr>
              <w:pStyle w:val="41"/>
              <w:rPr>
                <w:color w:val="auto"/>
                <w:highlight w:val="none"/>
              </w:rPr>
            </w:pPr>
            <w:r>
              <w:rPr>
                <w:rFonts w:hint="eastAsia"/>
                <w:color w:val="auto"/>
                <w:highlight w:val="none"/>
              </w:rPr>
              <w:t>707.63</w:t>
            </w:r>
          </w:p>
        </w:tc>
        <w:tc>
          <w:tcPr>
            <w:tcW w:w="466" w:type="pct"/>
            <w:tcBorders>
              <w:tl2br w:val="nil"/>
              <w:tr2bl w:val="nil"/>
            </w:tcBorders>
            <w:vAlign w:val="center"/>
          </w:tcPr>
          <w:p w14:paraId="61AEB759">
            <w:pPr>
              <w:pStyle w:val="41"/>
              <w:rPr>
                <w:color w:val="auto"/>
                <w:highlight w:val="none"/>
              </w:rPr>
            </w:pPr>
            <w:r>
              <w:rPr>
                <w:color w:val="auto"/>
                <w:highlight w:val="none"/>
              </w:rPr>
              <w:t>布袋除尘</w:t>
            </w:r>
          </w:p>
        </w:tc>
        <w:tc>
          <w:tcPr>
            <w:tcW w:w="269" w:type="pct"/>
            <w:tcBorders>
              <w:tl2br w:val="nil"/>
              <w:tr2bl w:val="nil"/>
            </w:tcBorders>
            <w:vAlign w:val="center"/>
          </w:tcPr>
          <w:p w14:paraId="06BCB54A">
            <w:pPr>
              <w:pStyle w:val="41"/>
              <w:rPr>
                <w:color w:val="auto"/>
                <w:highlight w:val="none"/>
              </w:rPr>
            </w:pPr>
            <w:r>
              <w:rPr>
                <w:color w:val="auto"/>
                <w:highlight w:val="none"/>
              </w:rPr>
              <w:t>99.</w:t>
            </w:r>
            <w:r>
              <w:rPr>
                <w:rFonts w:hint="eastAsia"/>
                <w:color w:val="auto"/>
                <w:highlight w:val="none"/>
              </w:rPr>
              <w:t>9</w:t>
            </w:r>
          </w:p>
        </w:tc>
        <w:tc>
          <w:tcPr>
            <w:tcW w:w="380" w:type="pct"/>
            <w:tcBorders>
              <w:tl2br w:val="nil"/>
              <w:tr2bl w:val="nil"/>
            </w:tcBorders>
            <w:vAlign w:val="center"/>
          </w:tcPr>
          <w:p w14:paraId="10839733">
            <w:pPr>
              <w:pStyle w:val="41"/>
              <w:rPr>
                <w:color w:val="auto"/>
                <w:highlight w:val="none"/>
              </w:rPr>
            </w:pPr>
            <w:r>
              <w:rPr>
                <w:rFonts w:hint="eastAsia"/>
                <w:color w:val="auto"/>
                <w:highlight w:val="none"/>
                <w:lang w:val="en-US" w:eastAsia="zh-CN"/>
              </w:rPr>
              <w:t>0.273</w:t>
            </w:r>
          </w:p>
        </w:tc>
        <w:tc>
          <w:tcPr>
            <w:tcW w:w="479" w:type="pct"/>
            <w:tcBorders>
              <w:tl2br w:val="nil"/>
              <w:tr2bl w:val="nil"/>
            </w:tcBorders>
            <w:vAlign w:val="center"/>
          </w:tcPr>
          <w:p w14:paraId="234C45AA">
            <w:pPr>
              <w:pStyle w:val="41"/>
              <w:rPr>
                <w:color w:val="auto"/>
                <w:highlight w:val="none"/>
              </w:rPr>
            </w:pPr>
            <w:r>
              <w:rPr>
                <w:rFonts w:hint="eastAsia"/>
                <w:color w:val="auto"/>
                <w:highlight w:val="none"/>
              </w:rPr>
              <w:t>0.0</w:t>
            </w:r>
            <w:r>
              <w:rPr>
                <w:rFonts w:hint="eastAsia"/>
                <w:color w:val="auto"/>
                <w:highlight w:val="none"/>
                <w:lang w:val="en-US" w:eastAsia="zh-CN"/>
              </w:rPr>
              <w:t>379</w:t>
            </w:r>
          </w:p>
        </w:tc>
        <w:tc>
          <w:tcPr>
            <w:tcW w:w="363" w:type="pct"/>
            <w:gridSpan w:val="2"/>
            <w:tcBorders>
              <w:tl2br w:val="nil"/>
              <w:tr2bl w:val="nil"/>
            </w:tcBorders>
            <w:vAlign w:val="center"/>
          </w:tcPr>
          <w:p w14:paraId="40193ED5">
            <w:pPr>
              <w:pStyle w:val="41"/>
              <w:rPr>
                <w:color w:val="auto"/>
                <w:highlight w:val="none"/>
              </w:rPr>
            </w:pPr>
            <w:r>
              <w:rPr>
                <w:rFonts w:hint="eastAsia"/>
                <w:color w:val="auto"/>
                <w:highlight w:val="none"/>
              </w:rPr>
              <w:t>0.708</w:t>
            </w:r>
          </w:p>
        </w:tc>
        <w:tc>
          <w:tcPr>
            <w:tcW w:w="336" w:type="pct"/>
            <w:tcBorders>
              <w:tl2br w:val="nil"/>
              <w:tr2bl w:val="nil"/>
            </w:tcBorders>
            <w:vAlign w:val="center"/>
          </w:tcPr>
          <w:p w14:paraId="238C5470">
            <w:pPr>
              <w:pStyle w:val="41"/>
              <w:rPr>
                <w:color w:val="auto"/>
                <w:highlight w:val="none"/>
              </w:rPr>
            </w:pPr>
            <w:r>
              <w:rPr>
                <w:rFonts w:hint="eastAsia"/>
                <w:color w:val="auto"/>
                <w:highlight w:val="none"/>
              </w:rPr>
              <w:t>7200</w:t>
            </w:r>
          </w:p>
        </w:tc>
      </w:tr>
      <w:tr w14:paraId="15C82E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7" w:type="dxa"/>
            <w:left w:w="57" w:type="dxa"/>
            <w:bottom w:w="17" w:type="dxa"/>
            <w:right w:w="57" w:type="dxa"/>
          </w:tblCellMar>
        </w:tblPrEx>
        <w:trPr>
          <w:trHeight w:val="23" w:hRule="atLeast"/>
          <w:jc w:val="center"/>
        </w:trPr>
        <w:tc>
          <w:tcPr>
            <w:tcW w:w="238" w:type="pct"/>
            <w:tcBorders>
              <w:tl2br w:val="nil"/>
              <w:tr2bl w:val="nil"/>
            </w:tcBorders>
            <w:tcMar>
              <w:left w:w="0" w:type="dxa"/>
              <w:right w:w="28" w:type="dxa"/>
            </w:tcMar>
            <w:vAlign w:val="center"/>
          </w:tcPr>
          <w:p w14:paraId="0520D466">
            <w:pPr>
              <w:pStyle w:val="41"/>
              <w:rPr>
                <w:color w:val="auto"/>
                <w:highlight w:val="none"/>
              </w:rPr>
            </w:pPr>
            <w:r>
              <w:rPr>
                <w:color w:val="auto"/>
                <w:highlight w:val="none"/>
              </w:rPr>
              <w:t>7</w:t>
            </w:r>
          </w:p>
        </w:tc>
        <w:tc>
          <w:tcPr>
            <w:tcW w:w="361" w:type="pct"/>
            <w:tcBorders>
              <w:tl2br w:val="nil"/>
              <w:tr2bl w:val="nil"/>
            </w:tcBorders>
            <w:vAlign w:val="center"/>
          </w:tcPr>
          <w:p w14:paraId="5780FCA2">
            <w:pPr>
              <w:pStyle w:val="41"/>
              <w:rPr>
                <w:color w:val="auto"/>
                <w:highlight w:val="none"/>
              </w:rPr>
            </w:pPr>
            <w:r>
              <w:rPr>
                <w:rFonts w:hint="eastAsia"/>
                <w:color w:val="auto"/>
                <w:highlight w:val="none"/>
              </w:rPr>
              <w:t>干抛磁选车间</w:t>
            </w:r>
          </w:p>
        </w:tc>
        <w:tc>
          <w:tcPr>
            <w:tcW w:w="279" w:type="pct"/>
            <w:tcBorders>
              <w:tl2br w:val="nil"/>
              <w:tr2bl w:val="nil"/>
            </w:tcBorders>
            <w:vAlign w:val="center"/>
          </w:tcPr>
          <w:p w14:paraId="0A68B9CE">
            <w:pPr>
              <w:pStyle w:val="41"/>
              <w:rPr>
                <w:color w:val="auto"/>
                <w:highlight w:val="none"/>
              </w:rPr>
            </w:pPr>
            <w:r>
              <w:rPr>
                <w:color w:val="auto"/>
                <w:highlight w:val="none"/>
              </w:rPr>
              <w:t>颗粒物</w:t>
            </w:r>
          </w:p>
        </w:tc>
        <w:tc>
          <w:tcPr>
            <w:tcW w:w="238" w:type="pct"/>
            <w:tcBorders>
              <w:tl2br w:val="nil"/>
              <w:tr2bl w:val="nil"/>
            </w:tcBorders>
            <w:vAlign w:val="center"/>
          </w:tcPr>
          <w:p w14:paraId="6EACDD57">
            <w:pPr>
              <w:pStyle w:val="41"/>
              <w:rPr>
                <w:color w:val="auto"/>
                <w:highlight w:val="none"/>
              </w:rPr>
            </w:pPr>
            <w:r>
              <w:rPr>
                <w:color w:val="auto"/>
                <w:highlight w:val="none"/>
              </w:rPr>
              <w:t>系数法</w:t>
            </w:r>
          </w:p>
        </w:tc>
        <w:tc>
          <w:tcPr>
            <w:tcW w:w="367" w:type="pct"/>
            <w:tcBorders>
              <w:tl2br w:val="nil"/>
              <w:tr2bl w:val="nil"/>
            </w:tcBorders>
            <w:vAlign w:val="center"/>
          </w:tcPr>
          <w:p w14:paraId="78B433B6">
            <w:pPr>
              <w:pStyle w:val="41"/>
              <w:rPr>
                <w:color w:val="auto"/>
                <w:highlight w:val="none"/>
              </w:rPr>
            </w:pPr>
            <w:r>
              <w:rPr>
                <w:rFonts w:hint="eastAsia"/>
                <w:color w:val="auto"/>
                <w:highlight w:val="none"/>
              </w:rPr>
              <w:t>84990.69</w:t>
            </w:r>
          </w:p>
        </w:tc>
        <w:tc>
          <w:tcPr>
            <w:tcW w:w="301" w:type="pct"/>
            <w:tcBorders>
              <w:tl2br w:val="nil"/>
              <w:tr2bl w:val="nil"/>
            </w:tcBorders>
            <w:vAlign w:val="center"/>
          </w:tcPr>
          <w:p w14:paraId="3430B68B">
            <w:pPr>
              <w:pStyle w:val="41"/>
              <w:rPr>
                <w:color w:val="auto"/>
                <w:highlight w:val="none"/>
              </w:rPr>
            </w:pPr>
            <w:r>
              <w:rPr>
                <w:rFonts w:hint="eastAsia"/>
                <w:color w:val="auto"/>
                <w:highlight w:val="none"/>
              </w:rPr>
              <w:t>708.091</w:t>
            </w:r>
          </w:p>
        </w:tc>
        <w:tc>
          <w:tcPr>
            <w:tcW w:w="445" w:type="pct"/>
            <w:tcBorders>
              <w:tl2br w:val="nil"/>
              <w:tr2bl w:val="nil"/>
            </w:tcBorders>
            <w:vAlign w:val="center"/>
          </w:tcPr>
          <w:p w14:paraId="4BD7BBDA">
            <w:pPr>
              <w:pStyle w:val="41"/>
              <w:rPr>
                <w:color w:val="auto"/>
                <w:highlight w:val="none"/>
              </w:rPr>
            </w:pPr>
            <w:r>
              <w:rPr>
                <w:rFonts w:hint="eastAsia"/>
                <w:color w:val="auto"/>
                <w:highlight w:val="none"/>
              </w:rPr>
              <w:t>98.346</w:t>
            </w:r>
          </w:p>
        </w:tc>
        <w:tc>
          <w:tcPr>
            <w:tcW w:w="472" w:type="pct"/>
            <w:tcBorders>
              <w:tl2br w:val="nil"/>
              <w:tr2bl w:val="nil"/>
            </w:tcBorders>
            <w:vAlign w:val="center"/>
          </w:tcPr>
          <w:p w14:paraId="2E4E6D5E">
            <w:pPr>
              <w:pStyle w:val="41"/>
              <w:rPr>
                <w:color w:val="auto"/>
                <w:highlight w:val="none"/>
              </w:rPr>
            </w:pPr>
            <w:r>
              <w:rPr>
                <w:rFonts w:hint="eastAsia"/>
                <w:color w:val="auto"/>
                <w:highlight w:val="none"/>
              </w:rPr>
              <w:t>1157.1</w:t>
            </w:r>
          </w:p>
        </w:tc>
        <w:tc>
          <w:tcPr>
            <w:tcW w:w="466" w:type="pct"/>
            <w:tcBorders>
              <w:tl2br w:val="nil"/>
              <w:tr2bl w:val="nil"/>
            </w:tcBorders>
            <w:vAlign w:val="center"/>
          </w:tcPr>
          <w:p w14:paraId="11C67A74">
            <w:pPr>
              <w:pStyle w:val="41"/>
              <w:rPr>
                <w:color w:val="auto"/>
                <w:highlight w:val="none"/>
              </w:rPr>
            </w:pPr>
            <w:r>
              <w:rPr>
                <w:color w:val="auto"/>
                <w:highlight w:val="none"/>
              </w:rPr>
              <w:t>布袋除尘</w:t>
            </w:r>
          </w:p>
        </w:tc>
        <w:tc>
          <w:tcPr>
            <w:tcW w:w="269" w:type="pct"/>
            <w:tcBorders>
              <w:tl2br w:val="nil"/>
              <w:tr2bl w:val="nil"/>
            </w:tcBorders>
            <w:vAlign w:val="center"/>
          </w:tcPr>
          <w:p w14:paraId="06547CAD">
            <w:pPr>
              <w:pStyle w:val="41"/>
              <w:rPr>
                <w:color w:val="auto"/>
                <w:highlight w:val="none"/>
              </w:rPr>
            </w:pPr>
            <w:r>
              <w:rPr>
                <w:color w:val="auto"/>
                <w:highlight w:val="none"/>
              </w:rPr>
              <w:t>99.</w:t>
            </w:r>
            <w:r>
              <w:rPr>
                <w:rFonts w:hint="eastAsia"/>
                <w:color w:val="auto"/>
                <w:highlight w:val="none"/>
              </w:rPr>
              <w:t>9</w:t>
            </w:r>
          </w:p>
        </w:tc>
        <w:tc>
          <w:tcPr>
            <w:tcW w:w="380" w:type="pct"/>
            <w:tcBorders>
              <w:tl2br w:val="nil"/>
              <w:tr2bl w:val="nil"/>
            </w:tcBorders>
            <w:vAlign w:val="center"/>
          </w:tcPr>
          <w:p w14:paraId="723FA5BA">
            <w:pPr>
              <w:pStyle w:val="41"/>
              <w:rPr>
                <w:color w:val="auto"/>
                <w:highlight w:val="none"/>
              </w:rPr>
            </w:pPr>
            <w:r>
              <w:rPr>
                <w:rFonts w:hint="eastAsia"/>
                <w:color w:val="auto"/>
                <w:highlight w:val="none"/>
              </w:rPr>
              <w:t>0.7056</w:t>
            </w:r>
          </w:p>
        </w:tc>
        <w:tc>
          <w:tcPr>
            <w:tcW w:w="479" w:type="pct"/>
            <w:tcBorders>
              <w:tl2br w:val="nil"/>
              <w:tr2bl w:val="nil"/>
            </w:tcBorders>
            <w:vAlign w:val="center"/>
          </w:tcPr>
          <w:p w14:paraId="0EC5C935">
            <w:pPr>
              <w:pStyle w:val="41"/>
              <w:rPr>
                <w:color w:val="auto"/>
                <w:highlight w:val="none"/>
              </w:rPr>
            </w:pPr>
            <w:r>
              <w:rPr>
                <w:rFonts w:hint="eastAsia"/>
                <w:color w:val="auto"/>
                <w:highlight w:val="none"/>
              </w:rPr>
              <w:t>0.098</w:t>
            </w:r>
          </w:p>
        </w:tc>
        <w:tc>
          <w:tcPr>
            <w:tcW w:w="363" w:type="pct"/>
            <w:gridSpan w:val="2"/>
            <w:tcBorders>
              <w:tl2br w:val="nil"/>
              <w:tr2bl w:val="nil"/>
            </w:tcBorders>
            <w:vAlign w:val="center"/>
          </w:tcPr>
          <w:p w14:paraId="54C4BAD0">
            <w:pPr>
              <w:pStyle w:val="41"/>
              <w:rPr>
                <w:color w:val="auto"/>
                <w:highlight w:val="none"/>
              </w:rPr>
            </w:pPr>
            <w:r>
              <w:rPr>
                <w:rFonts w:hint="eastAsia"/>
                <w:color w:val="auto"/>
                <w:highlight w:val="none"/>
              </w:rPr>
              <w:t>1.157</w:t>
            </w:r>
          </w:p>
        </w:tc>
        <w:tc>
          <w:tcPr>
            <w:tcW w:w="336" w:type="pct"/>
            <w:tcBorders>
              <w:tl2br w:val="nil"/>
              <w:tr2bl w:val="nil"/>
            </w:tcBorders>
            <w:vAlign w:val="center"/>
          </w:tcPr>
          <w:p w14:paraId="1A3F9F1F">
            <w:pPr>
              <w:pStyle w:val="41"/>
              <w:rPr>
                <w:color w:val="auto"/>
                <w:highlight w:val="none"/>
              </w:rPr>
            </w:pPr>
            <w:r>
              <w:rPr>
                <w:rFonts w:hint="eastAsia"/>
                <w:color w:val="auto"/>
                <w:highlight w:val="none"/>
              </w:rPr>
              <w:t>7200</w:t>
            </w:r>
          </w:p>
        </w:tc>
      </w:tr>
      <w:tr w14:paraId="78AC2D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7" w:type="dxa"/>
            <w:left w:w="57" w:type="dxa"/>
            <w:bottom w:w="17" w:type="dxa"/>
            <w:right w:w="57" w:type="dxa"/>
          </w:tblCellMar>
        </w:tblPrEx>
        <w:trPr>
          <w:trHeight w:val="23" w:hRule="atLeast"/>
          <w:jc w:val="center"/>
        </w:trPr>
        <w:tc>
          <w:tcPr>
            <w:tcW w:w="238" w:type="pct"/>
            <w:vMerge w:val="restart"/>
            <w:tcBorders>
              <w:tl2br w:val="nil"/>
              <w:tr2bl w:val="nil"/>
            </w:tcBorders>
            <w:tcMar>
              <w:left w:w="0" w:type="dxa"/>
              <w:right w:w="28" w:type="dxa"/>
            </w:tcMar>
            <w:vAlign w:val="center"/>
          </w:tcPr>
          <w:p w14:paraId="3BB7127C">
            <w:pPr>
              <w:pStyle w:val="41"/>
              <w:rPr>
                <w:color w:val="auto"/>
                <w:highlight w:val="none"/>
              </w:rPr>
            </w:pPr>
            <w:r>
              <w:rPr>
                <w:rFonts w:hint="eastAsia"/>
                <w:color w:val="auto"/>
                <w:highlight w:val="none"/>
              </w:rPr>
              <w:t>8</w:t>
            </w:r>
          </w:p>
        </w:tc>
        <w:tc>
          <w:tcPr>
            <w:tcW w:w="361" w:type="pct"/>
            <w:vMerge w:val="restart"/>
            <w:tcBorders>
              <w:tl2br w:val="nil"/>
              <w:tr2bl w:val="nil"/>
            </w:tcBorders>
            <w:vAlign w:val="center"/>
          </w:tcPr>
          <w:p w14:paraId="794CED7E">
            <w:pPr>
              <w:pStyle w:val="41"/>
              <w:rPr>
                <w:color w:val="auto"/>
                <w:highlight w:val="none"/>
              </w:rPr>
            </w:pPr>
            <w:r>
              <w:rPr>
                <w:rFonts w:hint="eastAsia"/>
                <w:color w:val="auto"/>
                <w:highlight w:val="none"/>
              </w:rPr>
              <w:t>生物质炉窑</w:t>
            </w:r>
          </w:p>
        </w:tc>
        <w:tc>
          <w:tcPr>
            <w:tcW w:w="279" w:type="pct"/>
            <w:tcBorders>
              <w:tl2br w:val="nil"/>
              <w:tr2bl w:val="nil"/>
            </w:tcBorders>
            <w:vAlign w:val="center"/>
          </w:tcPr>
          <w:p w14:paraId="174001CC">
            <w:pPr>
              <w:pStyle w:val="41"/>
              <w:rPr>
                <w:color w:val="auto"/>
                <w:highlight w:val="none"/>
              </w:rPr>
            </w:pPr>
            <w:r>
              <w:rPr>
                <w:color w:val="auto"/>
                <w:highlight w:val="none"/>
              </w:rPr>
              <w:t>颗粒物</w:t>
            </w:r>
          </w:p>
        </w:tc>
        <w:tc>
          <w:tcPr>
            <w:tcW w:w="238" w:type="pct"/>
            <w:vMerge w:val="restart"/>
            <w:tcBorders>
              <w:tl2br w:val="nil"/>
              <w:tr2bl w:val="nil"/>
            </w:tcBorders>
            <w:vAlign w:val="center"/>
          </w:tcPr>
          <w:p w14:paraId="0D91AEE0">
            <w:pPr>
              <w:pStyle w:val="41"/>
              <w:rPr>
                <w:color w:val="auto"/>
                <w:highlight w:val="none"/>
              </w:rPr>
            </w:pPr>
            <w:r>
              <w:rPr>
                <w:color w:val="auto"/>
                <w:highlight w:val="none"/>
              </w:rPr>
              <w:t>排污许可法</w:t>
            </w:r>
          </w:p>
        </w:tc>
        <w:tc>
          <w:tcPr>
            <w:tcW w:w="367" w:type="pct"/>
            <w:vMerge w:val="restart"/>
            <w:tcBorders>
              <w:tl2br w:val="nil"/>
              <w:tr2bl w:val="nil"/>
            </w:tcBorders>
            <w:vAlign w:val="center"/>
          </w:tcPr>
          <w:p w14:paraId="28EE90F5">
            <w:pPr>
              <w:pStyle w:val="41"/>
              <w:rPr>
                <w:color w:val="auto"/>
                <w:highlight w:val="none"/>
              </w:rPr>
            </w:pPr>
            <w:r>
              <w:rPr>
                <w:rFonts w:hint="eastAsia"/>
                <w:color w:val="auto"/>
                <w:highlight w:val="none"/>
              </w:rPr>
              <w:t>1684.8</w:t>
            </w:r>
          </w:p>
        </w:tc>
        <w:tc>
          <w:tcPr>
            <w:tcW w:w="301" w:type="pct"/>
            <w:tcBorders>
              <w:tl2br w:val="nil"/>
              <w:tr2bl w:val="nil"/>
            </w:tcBorders>
            <w:vAlign w:val="center"/>
          </w:tcPr>
          <w:p w14:paraId="633BC8B7">
            <w:pPr>
              <w:pStyle w:val="41"/>
              <w:rPr>
                <w:color w:val="auto"/>
                <w:highlight w:val="none"/>
              </w:rPr>
            </w:pPr>
            <w:r>
              <w:rPr>
                <w:rFonts w:hint="eastAsia"/>
                <w:color w:val="auto"/>
                <w:highlight w:val="none"/>
              </w:rPr>
              <w:t>1.35</w:t>
            </w:r>
          </w:p>
        </w:tc>
        <w:tc>
          <w:tcPr>
            <w:tcW w:w="445" w:type="pct"/>
            <w:tcBorders>
              <w:tl2br w:val="nil"/>
              <w:tr2bl w:val="nil"/>
            </w:tcBorders>
            <w:vAlign w:val="center"/>
          </w:tcPr>
          <w:p w14:paraId="078FF9CA">
            <w:pPr>
              <w:pStyle w:val="41"/>
              <w:rPr>
                <w:color w:val="auto"/>
                <w:highlight w:val="none"/>
              </w:rPr>
            </w:pPr>
            <w:r>
              <w:rPr>
                <w:rFonts w:hint="eastAsia"/>
                <w:color w:val="auto"/>
                <w:highlight w:val="none"/>
              </w:rPr>
              <w:t>0.1875</w:t>
            </w:r>
          </w:p>
        </w:tc>
        <w:tc>
          <w:tcPr>
            <w:tcW w:w="472" w:type="pct"/>
            <w:tcBorders>
              <w:tl2br w:val="nil"/>
              <w:tr2bl w:val="nil"/>
            </w:tcBorders>
            <w:vAlign w:val="center"/>
          </w:tcPr>
          <w:p w14:paraId="396E5DAD">
            <w:pPr>
              <w:pStyle w:val="41"/>
              <w:rPr>
                <w:color w:val="auto"/>
                <w:highlight w:val="none"/>
              </w:rPr>
            </w:pPr>
            <w:r>
              <w:rPr>
                <w:rFonts w:hint="eastAsia"/>
                <w:color w:val="auto"/>
                <w:highlight w:val="none"/>
              </w:rPr>
              <w:t>3895</w:t>
            </w:r>
          </w:p>
        </w:tc>
        <w:tc>
          <w:tcPr>
            <w:tcW w:w="466" w:type="pct"/>
            <w:vMerge w:val="restart"/>
            <w:tcBorders>
              <w:tl2br w:val="nil"/>
              <w:tr2bl w:val="nil"/>
            </w:tcBorders>
            <w:vAlign w:val="center"/>
          </w:tcPr>
          <w:p w14:paraId="5A0C7E87">
            <w:pPr>
              <w:pStyle w:val="41"/>
              <w:rPr>
                <w:color w:val="auto"/>
                <w:highlight w:val="none"/>
              </w:rPr>
            </w:pPr>
            <w:r>
              <w:rPr>
                <w:rFonts w:hint="eastAsia"/>
                <w:color w:val="auto"/>
                <w:highlight w:val="none"/>
              </w:rPr>
              <w:t>布袋除尘器除尘</w:t>
            </w:r>
            <w:r>
              <w:rPr>
                <w:color w:val="auto"/>
                <w:highlight w:val="none"/>
              </w:rPr>
              <w:t>+</w:t>
            </w:r>
            <w:r>
              <w:rPr>
                <w:rFonts w:hint="eastAsia"/>
                <w:color w:val="auto"/>
                <w:highlight w:val="none"/>
              </w:rPr>
              <w:t>双碱法</w:t>
            </w:r>
            <w:r>
              <w:rPr>
                <w:color w:val="auto"/>
                <w:highlight w:val="none"/>
              </w:rPr>
              <w:t>脱硫</w:t>
            </w:r>
          </w:p>
        </w:tc>
        <w:tc>
          <w:tcPr>
            <w:tcW w:w="269" w:type="pct"/>
            <w:tcBorders>
              <w:tl2br w:val="nil"/>
              <w:tr2bl w:val="nil"/>
            </w:tcBorders>
            <w:vAlign w:val="center"/>
          </w:tcPr>
          <w:p w14:paraId="2C5EE23A">
            <w:pPr>
              <w:pStyle w:val="41"/>
              <w:rPr>
                <w:color w:val="auto"/>
                <w:highlight w:val="none"/>
              </w:rPr>
            </w:pPr>
            <w:r>
              <w:rPr>
                <w:color w:val="auto"/>
                <w:highlight w:val="none"/>
              </w:rPr>
              <w:t>99</w:t>
            </w:r>
          </w:p>
        </w:tc>
        <w:tc>
          <w:tcPr>
            <w:tcW w:w="380" w:type="pct"/>
            <w:tcBorders>
              <w:tl2br w:val="nil"/>
              <w:tr2bl w:val="nil"/>
            </w:tcBorders>
            <w:vAlign w:val="center"/>
          </w:tcPr>
          <w:p w14:paraId="4F199519">
            <w:pPr>
              <w:pStyle w:val="41"/>
              <w:rPr>
                <w:color w:val="auto"/>
                <w:highlight w:val="none"/>
              </w:rPr>
            </w:pPr>
            <w:r>
              <w:rPr>
                <w:rFonts w:hint="eastAsia"/>
                <w:color w:val="auto"/>
                <w:highlight w:val="none"/>
              </w:rPr>
              <w:t>0.0135</w:t>
            </w:r>
          </w:p>
        </w:tc>
        <w:tc>
          <w:tcPr>
            <w:tcW w:w="479" w:type="pct"/>
            <w:tcBorders>
              <w:tl2br w:val="nil"/>
              <w:tr2bl w:val="nil"/>
            </w:tcBorders>
            <w:vAlign w:val="center"/>
          </w:tcPr>
          <w:p w14:paraId="2379CB9B">
            <w:pPr>
              <w:pStyle w:val="41"/>
              <w:rPr>
                <w:color w:val="auto"/>
                <w:highlight w:val="none"/>
              </w:rPr>
            </w:pPr>
            <w:r>
              <w:rPr>
                <w:rFonts w:hint="eastAsia"/>
                <w:color w:val="auto"/>
                <w:highlight w:val="none"/>
              </w:rPr>
              <w:t>0.001875</w:t>
            </w:r>
          </w:p>
        </w:tc>
        <w:tc>
          <w:tcPr>
            <w:tcW w:w="363" w:type="pct"/>
            <w:gridSpan w:val="2"/>
            <w:tcBorders>
              <w:tl2br w:val="nil"/>
              <w:tr2bl w:val="nil"/>
            </w:tcBorders>
            <w:vAlign w:val="center"/>
          </w:tcPr>
          <w:p w14:paraId="1284C5E3">
            <w:pPr>
              <w:pStyle w:val="41"/>
              <w:rPr>
                <w:color w:val="auto"/>
                <w:highlight w:val="none"/>
              </w:rPr>
            </w:pPr>
            <w:r>
              <w:rPr>
                <w:rFonts w:hint="eastAsia"/>
                <w:color w:val="auto"/>
                <w:highlight w:val="none"/>
              </w:rPr>
              <w:t>0.8</w:t>
            </w:r>
          </w:p>
        </w:tc>
        <w:tc>
          <w:tcPr>
            <w:tcW w:w="336" w:type="pct"/>
            <w:vMerge w:val="restart"/>
            <w:tcBorders>
              <w:tl2br w:val="nil"/>
              <w:tr2bl w:val="nil"/>
            </w:tcBorders>
            <w:vAlign w:val="center"/>
          </w:tcPr>
          <w:p w14:paraId="0AA8615F">
            <w:pPr>
              <w:pStyle w:val="41"/>
              <w:rPr>
                <w:color w:val="auto"/>
                <w:highlight w:val="none"/>
              </w:rPr>
            </w:pPr>
            <w:r>
              <w:rPr>
                <w:rFonts w:hint="eastAsia"/>
                <w:color w:val="auto"/>
                <w:highlight w:val="none"/>
              </w:rPr>
              <w:t>7200</w:t>
            </w:r>
          </w:p>
        </w:tc>
      </w:tr>
      <w:tr w14:paraId="75F42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7" w:type="dxa"/>
            <w:left w:w="57" w:type="dxa"/>
            <w:bottom w:w="17" w:type="dxa"/>
            <w:right w:w="57" w:type="dxa"/>
          </w:tblCellMar>
        </w:tblPrEx>
        <w:trPr>
          <w:trHeight w:val="23" w:hRule="atLeast"/>
          <w:jc w:val="center"/>
        </w:trPr>
        <w:tc>
          <w:tcPr>
            <w:tcW w:w="238" w:type="pct"/>
            <w:vMerge w:val="continue"/>
            <w:tcBorders>
              <w:tl2br w:val="nil"/>
              <w:tr2bl w:val="nil"/>
            </w:tcBorders>
            <w:tcMar>
              <w:left w:w="0" w:type="dxa"/>
              <w:right w:w="28" w:type="dxa"/>
            </w:tcMar>
            <w:vAlign w:val="center"/>
          </w:tcPr>
          <w:p w14:paraId="00499775">
            <w:pPr>
              <w:pStyle w:val="41"/>
              <w:rPr>
                <w:color w:val="auto"/>
                <w:highlight w:val="none"/>
              </w:rPr>
            </w:pPr>
          </w:p>
        </w:tc>
        <w:tc>
          <w:tcPr>
            <w:tcW w:w="361" w:type="pct"/>
            <w:vMerge w:val="continue"/>
            <w:tcBorders>
              <w:tl2br w:val="nil"/>
              <w:tr2bl w:val="nil"/>
            </w:tcBorders>
            <w:vAlign w:val="center"/>
          </w:tcPr>
          <w:p w14:paraId="2244127C">
            <w:pPr>
              <w:pStyle w:val="41"/>
              <w:rPr>
                <w:color w:val="auto"/>
                <w:highlight w:val="none"/>
              </w:rPr>
            </w:pPr>
          </w:p>
        </w:tc>
        <w:tc>
          <w:tcPr>
            <w:tcW w:w="279" w:type="pct"/>
            <w:tcBorders>
              <w:tl2br w:val="nil"/>
              <w:tr2bl w:val="nil"/>
            </w:tcBorders>
            <w:vAlign w:val="center"/>
          </w:tcPr>
          <w:p w14:paraId="2885F49E">
            <w:pPr>
              <w:pStyle w:val="41"/>
              <w:rPr>
                <w:color w:val="auto"/>
                <w:highlight w:val="none"/>
              </w:rPr>
            </w:pPr>
            <w:r>
              <w:rPr>
                <w:color w:val="auto"/>
                <w:highlight w:val="none"/>
              </w:rPr>
              <w:t>SO</w:t>
            </w:r>
            <w:r>
              <w:rPr>
                <w:color w:val="auto"/>
                <w:highlight w:val="none"/>
                <w:vertAlign w:val="subscript"/>
              </w:rPr>
              <w:t>2</w:t>
            </w:r>
          </w:p>
        </w:tc>
        <w:tc>
          <w:tcPr>
            <w:tcW w:w="238" w:type="pct"/>
            <w:vMerge w:val="continue"/>
            <w:tcBorders>
              <w:tl2br w:val="nil"/>
              <w:tr2bl w:val="nil"/>
            </w:tcBorders>
            <w:vAlign w:val="center"/>
          </w:tcPr>
          <w:p w14:paraId="360623E5">
            <w:pPr>
              <w:pStyle w:val="41"/>
              <w:rPr>
                <w:color w:val="auto"/>
                <w:highlight w:val="none"/>
              </w:rPr>
            </w:pPr>
          </w:p>
        </w:tc>
        <w:tc>
          <w:tcPr>
            <w:tcW w:w="367" w:type="pct"/>
            <w:vMerge w:val="continue"/>
            <w:tcBorders>
              <w:tl2br w:val="nil"/>
              <w:tr2bl w:val="nil"/>
            </w:tcBorders>
            <w:vAlign w:val="center"/>
          </w:tcPr>
          <w:p w14:paraId="249BE182">
            <w:pPr>
              <w:pStyle w:val="41"/>
              <w:rPr>
                <w:color w:val="auto"/>
                <w:highlight w:val="none"/>
              </w:rPr>
            </w:pPr>
          </w:p>
        </w:tc>
        <w:tc>
          <w:tcPr>
            <w:tcW w:w="301" w:type="pct"/>
            <w:tcBorders>
              <w:tl2br w:val="nil"/>
              <w:tr2bl w:val="nil"/>
            </w:tcBorders>
            <w:vAlign w:val="center"/>
          </w:tcPr>
          <w:p w14:paraId="0B26FF7D">
            <w:pPr>
              <w:pStyle w:val="41"/>
              <w:rPr>
                <w:color w:val="auto"/>
                <w:highlight w:val="none"/>
              </w:rPr>
            </w:pPr>
            <w:r>
              <w:rPr>
                <w:rFonts w:hint="eastAsia"/>
                <w:color w:val="auto"/>
                <w:highlight w:val="none"/>
              </w:rPr>
              <w:t>4.59</w:t>
            </w:r>
          </w:p>
        </w:tc>
        <w:tc>
          <w:tcPr>
            <w:tcW w:w="445" w:type="pct"/>
            <w:tcBorders>
              <w:tl2br w:val="nil"/>
              <w:tr2bl w:val="nil"/>
            </w:tcBorders>
            <w:vAlign w:val="center"/>
          </w:tcPr>
          <w:p w14:paraId="722407EB">
            <w:pPr>
              <w:pStyle w:val="41"/>
              <w:rPr>
                <w:color w:val="auto"/>
                <w:highlight w:val="none"/>
              </w:rPr>
            </w:pPr>
            <w:r>
              <w:rPr>
                <w:rFonts w:hint="eastAsia"/>
                <w:color w:val="auto"/>
                <w:highlight w:val="none"/>
              </w:rPr>
              <w:t>0.64</w:t>
            </w:r>
          </w:p>
        </w:tc>
        <w:tc>
          <w:tcPr>
            <w:tcW w:w="472" w:type="pct"/>
            <w:tcBorders>
              <w:tl2br w:val="nil"/>
              <w:tr2bl w:val="nil"/>
            </w:tcBorders>
            <w:vAlign w:val="center"/>
          </w:tcPr>
          <w:p w14:paraId="6B50B456">
            <w:pPr>
              <w:pStyle w:val="41"/>
              <w:rPr>
                <w:color w:val="auto"/>
                <w:highlight w:val="none"/>
              </w:rPr>
            </w:pPr>
            <w:r>
              <w:rPr>
                <w:rFonts w:hint="eastAsia"/>
                <w:color w:val="auto"/>
                <w:highlight w:val="none"/>
              </w:rPr>
              <w:t>544.9</w:t>
            </w:r>
          </w:p>
        </w:tc>
        <w:tc>
          <w:tcPr>
            <w:tcW w:w="466" w:type="pct"/>
            <w:vMerge w:val="continue"/>
            <w:tcBorders>
              <w:tl2br w:val="nil"/>
              <w:tr2bl w:val="nil"/>
            </w:tcBorders>
            <w:vAlign w:val="center"/>
          </w:tcPr>
          <w:p w14:paraId="12232BB9">
            <w:pPr>
              <w:pStyle w:val="41"/>
              <w:rPr>
                <w:color w:val="auto"/>
                <w:highlight w:val="none"/>
              </w:rPr>
            </w:pPr>
          </w:p>
        </w:tc>
        <w:tc>
          <w:tcPr>
            <w:tcW w:w="269" w:type="pct"/>
            <w:tcBorders>
              <w:tl2br w:val="nil"/>
              <w:tr2bl w:val="nil"/>
            </w:tcBorders>
            <w:vAlign w:val="center"/>
          </w:tcPr>
          <w:p w14:paraId="6A512202">
            <w:pPr>
              <w:pStyle w:val="41"/>
              <w:rPr>
                <w:color w:val="auto"/>
                <w:highlight w:val="none"/>
              </w:rPr>
            </w:pPr>
            <w:r>
              <w:rPr>
                <w:rFonts w:hint="eastAsia"/>
                <w:color w:val="auto"/>
                <w:highlight w:val="none"/>
              </w:rPr>
              <w:t>80</w:t>
            </w:r>
          </w:p>
        </w:tc>
        <w:tc>
          <w:tcPr>
            <w:tcW w:w="380" w:type="pct"/>
            <w:tcBorders>
              <w:tl2br w:val="nil"/>
              <w:tr2bl w:val="nil"/>
            </w:tcBorders>
            <w:vAlign w:val="center"/>
          </w:tcPr>
          <w:p w14:paraId="4592A3B5">
            <w:pPr>
              <w:pStyle w:val="41"/>
              <w:rPr>
                <w:color w:val="auto"/>
                <w:highlight w:val="none"/>
              </w:rPr>
            </w:pPr>
            <w:r>
              <w:rPr>
                <w:rFonts w:hint="eastAsia"/>
                <w:color w:val="auto"/>
                <w:highlight w:val="none"/>
              </w:rPr>
              <w:t>0.918</w:t>
            </w:r>
          </w:p>
        </w:tc>
        <w:tc>
          <w:tcPr>
            <w:tcW w:w="479" w:type="pct"/>
            <w:tcBorders>
              <w:tl2br w:val="nil"/>
              <w:tr2bl w:val="nil"/>
            </w:tcBorders>
            <w:vAlign w:val="center"/>
          </w:tcPr>
          <w:p w14:paraId="259F2FB2">
            <w:pPr>
              <w:pStyle w:val="41"/>
              <w:rPr>
                <w:color w:val="auto"/>
                <w:highlight w:val="none"/>
              </w:rPr>
            </w:pPr>
            <w:r>
              <w:rPr>
                <w:rFonts w:hint="eastAsia"/>
                <w:color w:val="auto"/>
                <w:highlight w:val="none"/>
              </w:rPr>
              <w:t>0.1275</w:t>
            </w:r>
          </w:p>
        </w:tc>
        <w:tc>
          <w:tcPr>
            <w:tcW w:w="363" w:type="pct"/>
            <w:gridSpan w:val="2"/>
            <w:tcBorders>
              <w:tl2br w:val="nil"/>
              <w:tr2bl w:val="nil"/>
            </w:tcBorders>
            <w:vAlign w:val="center"/>
          </w:tcPr>
          <w:p w14:paraId="66F58A71">
            <w:pPr>
              <w:pStyle w:val="41"/>
              <w:rPr>
                <w:color w:val="auto"/>
                <w:highlight w:val="none"/>
              </w:rPr>
            </w:pPr>
            <w:r>
              <w:rPr>
                <w:rFonts w:hint="eastAsia"/>
                <w:color w:val="auto"/>
                <w:highlight w:val="none"/>
              </w:rPr>
              <w:t>54.49</w:t>
            </w:r>
          </w:p>
        </w:tc>
        <w:tc>
          <w:tcPr>
            <w:tcW w:w="336" w:type="pct"/>
            <w:vMerge w:val="continue"/>
            <w:tcBorders>
              <w:tl2br w:val="nil"/>
              <w:tr2bl w:val="nil"/>
            </w:tcBorders>
            <w:vAlign w:val="center"/>
          </w:tcPr>
          <w:p w14:paraId="74CCF587">
            <w:pPr>
              <w:pStyle w:val="41"/>
              <w:rPr>
                <w:color w:val="auto"/>
                <w:highlight w:val="none"/>
              </w:rPr>
            </w:pPr>
          </w:p>
        </w:tc>
      </w:tr>
      <w:tr w14:paraId="12EAC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7" w:type="dxa"/>
            <w:left w:w="57" w:type="dxa"/>
            <w:bottom w:w="17" w:type="dxa"/>
            <w:right w:w="57" w:type="dxa"/>
          </w:tblCellMar>
        </w:tblPrEx>
        <w:trPr>
          <w:trHeight w:val="23" w:hRule="atLeast"/>
          <w:jc w:val="center"/>
        </w:trPr>
        <w:tc>
          <w:tcPr>
            <w:tcW w:w="238" w:type="pct"/>
            <w:vMerge w:val="continue"/>
            <w:tcBorders>
              <w:tl2br w:val="nil"/>
              <w:tr2bl w:val="nil"/>
            </w:tcBorders>
            <w:tcMar>
              <w:left w:w="0" w:type="dxa"/>
              <w:right w:w="28" w:type="dxa"/>
            </w:tcMar>
            <w:vAlign w:val="center"/>
          </w:tcPr>
          <w:p w14:paraId="0C0A14FC">
            <w:pPr>
              <w:pStyle w:val="41"/>
              <w:rPr>
                <w:color w:val="auto"/>
                <w:highlight w:val="none"/>
              </w:rPr>
            </w:pPr>
          </w:p>
        </w:tc>
        <w:tc>
          <w:tcPr>
            <w:tcW w:w="361" w:type="pct"/>
            <w:vMerge w:val="continue"/>
            <w:tcBorders>
              <w:tl2br w:val="nil"/>
              <w:tr2bl w:val="nil"/>
            </w:tcBorders>
            <w:vAlign w:val="center"/>
          </w:tcPr>
          <w:p w14:paraId="38F851FE">
            <w:pPr>
              <w:pStyle w:val="41"/>
              <w:rPr>
                <w:color w:val="auto"/>
                <w:highlight w:val="none"/>
              </w:rPr>
            </w:pPr>
          </w:p>
        </w:tc>
        <w:tc>
          <w:tcPr>
            <w:tcW w:w="279" w:type="pct"/>
            <w:tcBorders>
              <w:tl2br w:val="nil"/>
              <w:tr2bl w:val="nil"/>
            </w:tcBorders>
            <w:vAlign w:val="center"/>
          </w:tcPr>
          <w:p w14:paraId="34CA9A06">
            <w:pPr>
              <w:pStyle w:val="41"/>
              <w:rPr>
                <w:color w:val="auto"/>
                <w:highlight w:val="none"/>
              </w:rPr>
            </w:pPr>
          </w:p>
        </w:tc>
        <w:tc>
          <w:tcPr>
            <w:tcW w:w="238" w:type="pct"/>
            <w:vMerge w:val="continue"/>
            <w:tcBorders>
              <w:tl2br w:val="nil"/>
              <w:tr2bl w:val="nil"/>
            </w:tcBorders>
            <w:vAlign w:val="center"/>
          </w:tcPr>
          <w:p w14:paraId="05ADD508">
            <w:pPr>
              <w:pStyle w:val="41"/>
              <w:rPr>
                <w:color w:val="auto"/>
                <w:highlight w:val="none"/>
              </w:rPr>
            </w:pPr>
          </w:p>
        </w:tc>
        <w:tc>
          <w:tcPr>
            <w:tcW w:w="367" w:type="pct"/>
            <w:vMerge w:val="continue"/>
            <w:tcBorders>
              <w:tl2br w:val="nil"/>
              <w:tr2bl w:val="nil"/>
            </w:tcBorders>
            <w:vAlign w:val="center"/>
          </w:tcPr>
          <w:p w14:paraId="5B1A2D73">
            <w:pPr>
              <w:pStyle w:val="41"/>
              <w:rPr>
                <w:color w:val="auto"/>
                <w:highlight w:val="none"/>
              </w:rPr>
            </w:pPr>
          </w:p>
        </w:tc>
        <w:tc>
          <w:tcPr>
            <w:tcW w:w="301" w:type="pct"/>
            <w:tcBorders>
              <w:tl2br w:val="nil"/>
              <w:tr2bl w:val="nil"/>
            </w:tcBorders>
            <w:vAlign w:val="center"/>
          </w:tcPr>
          <w:p w14:paraId="4DD02091">
            <w:pPr>
              <w:pStyle w:val="41"/>
              <w:rPr>
                <w:rFonts w:hint="eastAsia"/>
                <w:color w:val="auto"/>
                <w:highlight w:val="none"/>
              </w:rPr>
            </w:pPr>
          </w:p>
        </w:tc>
        <w:tc>
          <w:tcPr>
            <w:tcW w:w="445" w:type="pct"/>
            <w:tcBorders>
              <w:tl2br w:val="nil"/>
              <w:tr2bl w:val="nil"/>
            </w:tcBorders>
            <w:vAlign w:val="center"/>
          </w:tcPr>
          <w:p w14:paraId="2976EA9D">
            <w:pPr>
              <w:pStyle w:val="41"/>
              <w:rPr>
                <w:rFonts w:hint="eastAsia"/>
                <w:color w:val="auto"/>
                <w:highlight w:val="none"/>
              </w:rPr>
            </w:pPr>
          </w:p>
        </w:tc>
        <w:tc>
          <w:tcPr>
            <w:tcW w:w="472" w:type="pct"/>
            <w:tcBorders>
              <w:tl2br w:val="nil"/>
              <w:tr2bl w:val="nil"/>
            </w:tcBorders>
            <w:vAlign w:val="center"/>
          </w:tcPr>
          <w:p w14:paraId="1956B877">
            <w:pPr>
              <w:pStyle w:val="41"/>
              <w:rPr>
                <w:rFonts w:hint="eastAsia"/>
                <w:color w:val="auto"/>
                <w:highlight w:val="none"/>
              </w:rPr>
            </w:pPr>
          </w:p>
        </w:tc>
        <w:tc>
          <w:tcPr>
            <w:tcW w:w="466" w:type="pct"/>
            <w:vMerge w:val="continue"/>
            <w:tcBorders>
              <w:tl2br w:val="nil"/>
              <w:tr2bl w:val="nil"/>
            </w:tcBorders>
            <w:vAlign w:val="center"/>
          </w:tcPr>
          <w:p w14:paraId="655E9A6D">
            <w:pPr>
              <w:pStyle w:val="41"/>
              <w:rPr>
                <w:color w:val="auto"/>
                <w:highlight w:val="none"/>
              </w:rPr>
            </w:pPr>
          </w:p>
        </w:tc>
        <w:tc>
          <w:tcPr>
            <w:tcW w:w="269" w:type="pct"/>
            <w:tcBorders>
              <w:tl2br w:val="nil"/>
              <w:tr2bl w:val="nil"/>
            </w:tcBorders>
            <w:vAlign w:val="center"/>
          </w:tcPr>
          <w:p w14:paraId="74F7A190">
            <w:pPr>
              <w:pStyle w:val="41"/>
              <w:rPr>
                <w:rFonts w:hint="eastAsia"/>
                <w:color w:val="auto"/>
                <w:highlight w:val="none"/>
              </w:rPr>
            </w:pPr>
          </w:p>
        </w:tc>
        <w:tc>
          <w:tcPr>
            <w:tcW w:w="380" w:type="pct"/>
            <w:tcBorders>
              <w:tl2br w:val="nil"/>
              <w:tr2bl w:val="nil"/>
            </w:tcBorders>
            <w:vAlign w:val="center"/>
          </w:tcPr>
          <w:p w14:paraId="2F5D051F">
            <w:pPr>
              <w:pStyle w:val="41"/>
              <w:rPr>
                <w:rFonts w:hint="eastAsia"/>
                <w:color w:val="auto"/>
                <w:highlight w:val="none"/>
              </w:rPr>
            </w:pPr>
          </w:p>
        </w:tc>
        <w:tc>
          <w:tcPr>
            <w:tcW w:w="479" w:type="pct"/>
            <w:tcBorders>
              <w:tl2br w:val="nil"/>
              <w:tr2bl w:val="nil"/>
            </w:tcBorders>
            <w:vAlign w:val="center"/>
          </w:tcPr>
          <w:p w14:paraId="37E13C68">
            <w:pPr>
              <w:pStyle w:val="41"/>
              <w:rPr>
                <w:rFonts w:hint="eastAsia"/>
                <w:color w:val="auto"/>
                <w:highlight w:val="none"/>
              </w:rPr>
            </w:pPr>
          </w:p>
        </w:tc>
        <w:tc>
          <w:tcPr>
            <w:tcW w:w="363" w:type="pct"/>
            <w:gridSpan w:val="2"/>
            <w:tcBorders>
              <w:tl2br w:val="nil"/>
              <w:tr2bl w:val="nil"/>
            </w:tcBorders>
            <w:vAlign w:val="center"/>
          </w:tcPr>
          <w:p w14:paraId="69C9CAF9">
            <w:pPr>
              <w:pStyle w:val="41"/>
              <w:rPr>
                <w:rFonts w:hint="eastAsia"/>
                <w:color w:val="auto"/>
                <w:highlight w:val="none"/>
              </w:rPr>
            </w:pPr>
          </w:p>
        </w:tc>
        <w:tc>
          <w:tcPr>
            <w:tcW w:w="336" w:type="pct"/>
            <w:vMerge w:val="continue"/>
            <w:tcBorders>
              <w:tl2br w:val="nil"/>
              <w:tr2bl w:val="nil"/>
            </w:tcBorders>
            <w:vAlign w:val="center"/>
          </w:tcPr>
          <w:p w14:paraId="0398BC17">
            <w:pPr>
              <w:pStyle w:val="41"/>
              <w:rPr>
                <w:color w:val="auto"/>
                <w:highlight w:val="none"/>
              </w:rPr>
            </w:pPr>
          </w:p>
        </w:tc>
      </w:tr>
      <w:tr w14:paraId="63E649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7" w:type="dxa"/>
            <w:left w:w="57" w:type="dxa"/>
            <w:bottom w:w="17" w:type="dxa"/>
            <w:right w:w="57" w:type="dxa"/>
          </w:tblCellMar>
        </w:tblPrEx>
        <w:trPr>
          <w:trHeight w:val="23" w:hRule="atLeast"/>
          <w:jc w:val="center"/>
        </w:trPr>
        <w:tc>
          <w:tcPr>
            <w:tcW w:w="238" w:type="pct"/>
            <w:vMerge w:val="continue"/>
            <w:tcBorders>
              <w:tl2br w:val="nil"/>
              <w:tr2bl w:val="nil"/>
            </w:tcBorders>
            <w:tcMar>
              <w:left w:w="0" w:type="dxa"/>
              <w:right w:w="28" w:type="dxa"/>
            </w:tcMar>
            <w:vAlign w:val="center"/>
          </w:tcPr>
          <w:p w14:paraId="5206F1E5">
            <w:pPr>
              <w:pStyle w:val="41"/>
              <w:rPr>
                <w:color w:val="auto"/>
                <w:highlight w:val="none"/>
              </w:rPr>
            </w:pPr>
          </w:p>
        </w:tc>
        <w:tc>
          <w:tcPr>
            <w:tcW w:w="361" w:type="pct"/>
            <w:vMerge w:val="continue"/>
            <w:tcBorders>
              <w:tl2br w:val="nil"/>
              <w:tr2bl w:val="nil"/>
            </w:tcBorders>
            <w:vAlign w:val="center"/>
          </w:tcPr>
          <w:p w14:paraId="098D813C">
            <w:pPr>
              <w:pStyle w:val="41"/>
              <w:rPr>
                <w:color w:val="auto"/>
                <w:highlight w:val="none"/>
              </w:rPr>
            </w:pPr>
          </w:p>
        </w:tc>
        <w:tc>
          <w:tcPr>
            <w:tcW w:w="279" w:type="pct"/>
            <w:tcBorders>
              <w:tl2br w:val="nil"/>
              <w:tr2bl w:val="nil"/>
            </w:tcBorders>
            <w:vAlign w:val="center"/>
          </w:tcPr>
          <w:p w14:paraId="4B55DF42">
            <w:pPr>
              <w:pStyle w:val="41"/>
              <w:rPr>
                <w:color w:val="auto"/>
                <w:highlight w:val="none"/>
              </w:rPr>
            </w:pPr>
          </w:p>
        </w:tc>
        <w:tc>
          <w:tcPr>
            <w:tcW w:w="238" w:type="pct"/>
            <w:vMerge w:val="continue"/>
            <w:tcBorders>
              <w:tl2br w:val="nil"/>
              <w:tr2bl w:val="nil"/>
            </w:tcBorders>
            <w:vAlign w:val="center"/>
          </w:tcPr>
          <w:p w14:paraId="54DDEE12">
            <w:pPr>
              <w:pStyle w:val="41"/>
              <w:rPr>
                <w:color w:val="auto"/>
                <w:highlight w:val="none"/>
              </w:rPr>
            </w:pPr>
          </w:p>
        </w:tc>
        <w:tc>
          <w:tcPr>
            <w:tcW w:w="367" w:type="pct"/>
            <w:vMerge w:val="continue"/>
            <w:tcBorders>
              <w:tl2br w:val="nil"/>
              <w:tr2bl w:val="nil"/>
            </w:tcBorders>
            <w:vAlign w:val="center"/>
          </w:tcPr>
          <w:p w14:paraId="5A4E2C16">
            <w:pPr>
              <w:pStyle w:val="41"/>
              <w:rPr>
                <w:color w:val="auto"/>
                <w:highlight w:val="none"/>
              </w:rPr>
            </w:pPr>
          </w:p>
        </w:tc>
        <w:tc>
          <w:tcPr>
            <w:tcW w:w="301" w:type="pct"/>
            <w:tcBorders>
              <w:tl2br w:val="nil"/>
              <w:tr2bl w:val="nil"/>
            </w:tcBorders>
            <w:vAlign w:val="center"/>
          </w:tcPr>
          <w:p w14:paraId="59713218">
            <w:pPr>
              <w:pStyle w:val="41"/>
              <w:rPr>
                <w:rFonts w:hint="eastAsia"/>
                <w:color w:val="auto"/>
                <w:highlight w:val="none"/>
              </w:rPr>
            </w:pPr>
          </w:p>
        </w:tc>
        <w:tc>
          <w:tcPr>
            <w:tcW w:w="445" w:type="pct"/>
            <w:tcBorders>
              <w:tl2br w:val="nil"/>
              <w:tr2bl w:val="nil"/>
            </w:tcBorders>
            <w:vAlign w:val="center"/>
          </w:tcPr>
          <w:p w14:paraId="43AD03C8">
            <w:pPr>
              <w:pStyle w:val="41"/>
              <w:rPr>
                <w:rFonts w:hint="eastAsia"/>
                <w:color w:val="auto"/>
                <w:highlight w:val="none"/>
              </w:rPr>
            </w:pPr>
          </w:p>
        </w:tc>
        <w:tc>
          <w:tcPr>
            <w:tcW w:w="472" w:type="pct"/>
            <w:tcBorders>
              <w:tl2br w:val="nil"/>
              <w:tr2bl w:val="nil"/>
            </w:tcBorders>
            <w:vAlign w:val="center"/>
          </w:tcPr>
          <w:p w14:paraId="55F4259E">
            <w:pPr>
              <w:pStyle w:val="41"/>
              <w:rPr>
                <w:rFonts w:hint="eastAsia"/>
                <w:color w:val="auto"/>
                <w:highlight w:val="none"/>
              </w:rPr>
            </w:pPr>
          </w:p>
        </w:tc>
        <w:tc>
          <w:tcPr>
            <w:tcW w:w="466" w:type="pct"/>
            <w:vMerge w:val="continue"/>
            <w:tcBorders>
              <w:tl2br w:val="nil"/>
              <w:tr2bl w:val="nil"/>
            </w:tcBorders>
            <w:vAlign w:val="center"/>
          </w:tcPr>
          <w:p w14:paraId="5B7058AB">
            <w:pPr>
              <w:pStyle w:val="41"/>
              <w:rPr>
                <w:color w:val="auto"/>
                <w:highlight w:val="none"/>
              </w:rPr>
            </w:pPr>
          </w:p>
        </w:tc>
        <w:tc>
          <w:tcPr>
            <w:tcW w:w="269" w:type="pct"/>
            <w:tcBorders>
              <w:tl2br w:val="nil"/>
              <w:tr2bl w:val="nil"/>
            </w:tcBorders>
            <w:vAlign w:val="center"/>
          </w:tcPr>
          <w:p w14:paraId="706710B6">
            <w:pPr>
              <w:pStyle w:val="41"/>
              <w:rPr>
                <w:rFonts w:hint="eastAsia"/>
                <w:color w:val="auto"/>
                <w:highlight w:val="none"/>
              </w:rPr>
            </w:pPr>
          </w:p>
        </w:tc>
        <w:tc>
          <w:tcPr>
            <w:tcW w:w="380" w:type="pct"/>
            <w:tcBorders>
              <w:tl2br w:val="nil"/>
              <w:tr2bl w:val="nil"/>
            </w:tcBorders>
            <w:vAlign w:val="center"/>
          </w:tcPr>
          <w:p w14:paraId="4C84C255">
            <w:pPr>
              <w:pStyle w:val="41"/>
              <w:rPr>
                <w:rFonts w:hint="eastAsia"/>
                <w:color w:val="auto"/>
                <w:highlight w:val="none"/>
              </w:rPr>
            </w:pPr>
          </w:p>
        </w:tc>
        <w:tc>
          <w:tcPr>
            <w:tcW w:w="479" w:type="pct"/>
            <w:tcBorders>
              <w:tl2br w:val="nil"/>
              <w:tr2bl w:val="nil"/>
            </w:tcBorders>
            <w:vAlign w:val="center"/>
          </w:tcPr>
          <w:p w14:paraId="68579E80">
            <w:pPr>
              <w:pStyle w:val="41"/>
              <w:rPr>
                <w:rFonts w:hint="eastAsia"/>
                <w:color w:val="auto"/>
                <w:highlight w:val="none"/>
              </w:rPr>
            </w:pPr>
          </w:p>
        </w:tc>
        <w:tc>
          <w:tcPr>
            <w:tcW w:w="363" w:type="pct"/>
            <w:gridSpan w:val="2"/>
            <w:tcBorders>
              <w:tl2br w:val="nil"/>
              <w:tr2bl w:val="nil"/>
            </w:tcBorders>
            <w:vAlign w:val="center"/>
          </w:tcPr>
          <w:p w14:paraId="76D211E4">
            <w:pPr>
              <w:pStyle w:val="41"/>
              <w:rPr>
                <w:rFonts w:hint="eastAsia"/>
                <w:color w:val="auto"/>
                <w:highlight w:val="none"/>
              </w:rPr>
            </w:pPr>
          </w:p>
        </w:tc>
        <w:tc>
          <w:tcPr>
            <w:tcW w:w="336" w:type="pct"/>
            <w:vMerge w:val="continue"/>
            <w:tcBorders>
              <w:tl2br w:val="nil"/>
              <w:tr2bl w:val="nil"/>
            </w:tcBorders>
            <w:vAlign w:val="center"/>
          </w:tcPr>
          <w:p w14:paraId="7ED774C4">
            <w:pPr>
              <w:pStyle w:val="41"/>
              <w:rPr>
                <w:color w:val="auto"/>
                <w:highlight w:val="none"/>
              </w:rPr>
            </w:pPr>
          </w:p>
        </w:tc>
      </w:tr>
      <w:tr w14:paraId="5C995B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7" w:type="dxa"/>
            <w:left w:w="57" w:type="dxa"/>
            <w:bottom w:w="17" w:type="dxa"/>
            <w:right w:w="57" w:type="dxa"/>
          </w:tblCellMar>
        </w:tblPrEx>
        <w:trPr>
          <w:trHeight w:val="312" w:hRule="atLeast"/>
          <w:jc w:val="center"/>
        </w:trPr>
        <w:tc>
          <w:tcPr>
            <w:tcW w:w="238" w:type="pct"/>
            <w:vMerge w:val="continue"/>
            <w:tcBorders>
              <w:tl2br w:val="nil"/>
              <w:tr2bl w:val="nil"/>
            </w:tcBorders>
            <w:tcMar>
              <w:left w:w="0" w:type="dxa"/>
              <w:right w:w="28" w:type="dxa"/>
            </w:tcMar>
            <w:vAlign w:val="center"/>
          </w:tcPr>
          <w:p w14:paraId="7E1ABE68">
            <w:pPr>
              <w:pStyle w:val="41"/>
              <w:rPr>
                <w:color w:val="auto"/>
                <w:highlight w:val="none"/>
              </w:rPr>
            </w:pPr>
          </w:p>
        </w:tc>
        <w:tc>
          <w:tcPr>
            <w:tcW w:w="361" w:type="pct"/>
            <w:vMerge w:val="continue"/>
            <w:tcBorders>
              <w:tl2br w:val="nil"/>
              <w:tr2bl w:val="nil"/>
            </w:tcBorders>
            <w:vAlign w:val="center"/>
          </w:tcPr>
          <w:p w14:paraId="53F06EEC">
            <w:pPr>
              <w:pStyle w:val="41"/>
              <w:rPr>
                <w:color w:val="auto"/>
                <w:highlight w:val="none"/>
              </w:rPr>
            </w:pPr>
          </w:p>
        </w:tc>
        <w:tc>
          <w:tcPr>
            <w:tcW w:w="279" w:type="pct"/>
            <w:tcBorders>
              <w:tl2br w:val="nil"/>
              <w:tr2bl w:val="nil"/>
            </w:tcBorders>
            <w:vAlign w:val="center"/>
          </w:tcPr>
          <w:p w14:paraId="49DC251B">
            <w:pPr>
              <w:pStyle w:val="41"/>
              <w:rPr>
                <w:color w:val="auto"/>
                <w:highlight w:val="none"/>
              </w:rPr>
            </w:pPr>
            <w:r>
              <w:rPr>
                <w:color w:val="auto"/>
                <w:highlight w:val="none"/>
              </w:rPr>
              <w:t>NOx</w:t>
            </w:r>
          </w:p>
        </w:tc>
        <w:tc>
          <w:tcPr>
            <w:tcW w:w="238" w:type="pct"/>
            <w:vMerge w:val="continue"/>
            <w:tcBorders>
              <w:tl2br w:val="nil"/>
              <w:tr2bl w:val="nil"/>
            </w:tcBorders>
            <w:vAlign w:val="center"/>
          </w:tcPr>
          <w:p w14:paraId="1D8860B1">
            <w:pPr>
              <w:pStyle w:val="41"/>
              <w:rPr>
                <w:color w:val="auto"/>
                <w:highlight w:val="none"/>
              </w:rPr>
            </w:pPr>
          </w:p>
        </w:tc>
        <w:tc>
          <w:tcPr>
            <w:tcW w:w="367" w:type="pct"/>
            <w:vMerge w:val="continue"/>
            <w:tcBorders>
              <w:tl2br w:val="nil"/>
              <w:tr2bl w:val="nil"/>
            </w:tcBorders>
            <w:vAlign w:val="center"/>
          </w:tcPr>
          <w:p w14:paraId="13F21EA6">
            <w:pPr>
              <w:pStyle w:val="41"/>
              <w:rPr>
                <w:color w:val="auto"/>
                <w:highlight w:val="none"/>
              </w:rPr>
            </w:pPr>
          </w:p>
        </w:tc>
        <w:tc>
          <w:tcPr>
            <w:tcW w:w="301" w:type="pct"/>
            <w:tcBorders>
              <w:tl2br w:val="nil"/>
              <w:tr2bl w:val="nil"/>
            </w:tcBorders>
            <w:vAlign w:val="center"/>
          </w:tcPr>
          <w:p w14:paraId="4A8E908F">
            <w:pPr>
              <w:pStyle w:val="41"/>
              <w:rPr>
                <w:color w:val="auto"/>
                <w:highlight w:val="none"/>
              </w:rPr>
            </w:pPr>
            <w:r>
              <w:rPr>
                <w:rFonts w:hint="eastAsia"/>
                <w:color w:val="auto"/>
                <w:highlight w:val="none"/>
              </w:rPr>
              <w:t>2.754</w:t>
            </w:r>
          </w:p>
        </w:tc>
        <w:tc>
          <w:tcPr>
            <w:tcW w:w="445" w:type="pct"/>
            <w:tcBorders>
              <w:tl2br w:val="nil"/>
              <w:tr2bl w:val="nil"/>
            </w:tcBorders>
            <w:vAlign w:val="center"/>
          </w:tcPr>
          <w:p w14:paraId="5A4C9803">
            <w:pPr>
              <w:pStyle w:val="41"/>
              <w:rPr>
                <w:color w:val="auto"/>
                <w:highlight w:val="none"/>
              </w:rPr>
            </w:pPr>
            <w:r>
              <w:rPr>
                <w:rFonts w:hint="eastAsia"/>
                <w:color w:val="auto"/>
                <w:highlight w:val="none"/>
              </w:rPr>
              <w:t>0.38</w:t>
            </w:r>
          </w:p>
        </w:tc>
        <w:tc>
          <w:tcPr>
            <w:tcW w:w="472" w:type="pct"/>
            <w:tcBorders>
              <w:tl2br w:val="nil"/>
              <w:tr2bl w:val="nil"/>
            </w:tcBorders>
            <w:vAlign w:val="center"/>
          </w:tcPr>
          <w:p w14:paraId="477091AB">
            <w:pPr>
              <w:pStyle w:val="41"/>
              <w:rPr>
                <w:color w:val="auto"/>
                <w:highlight w:val="none"/>
              </w:rPr>
            </w:pPr>
            <w:r>
              <w:rPr>
                <w:rFonts w:hint="eastAsia"/>
                <w:color w:val="auto"/>
                <w:highlight w:val="none"/>
              </w:rPr>
              <w:t>408.65</w:t>
            </w:r>
          </w:p>
        </w:tc>
        <w:tc>
          <w:tcPr>
            <w:tcW w:w="466" w:type="pct"/>
            <w:vMerge w:val="continue"/>
            <w:tcBorders>
              <w:tl2br w:val="nil"/>
              <w:tr2bl w:val="nil"/>
            </w:tcBorders>
            <w:vAlign w:val="center"/>
          </w:tcPr>
          <w:p w14:paraId="44911A26">
            <w:pPr>
              <w:pStyle w:val="41"/>
              <w:rPr>
                <w:color w:val="auto"/>
                <w:highlight w:val="none"/>
              </w:rPr>
            </w:pPr>
          </w:p>
        </w:tc>
        <w:tc>
          <w:tcPr>
            <w:tcW w:w="269" w:type="pct"/>
            <w:tcBorders>
              <w:tl2br w:val="nil"/>
              <w:tr2bl w:val="nil"/>
            </w:tcBorders>
            <w:vAlign w:val="center"/>
          </w:tcPr>
          <w:p w14:paraId="0DA4F328">
            <w:pPr>
              <w:pStyle w:val="41"/>
              <w:rPr>
                <w:color w:val="auto"/>
                <w:highlight w:val="none"/>
              </w:rPr>
            </w:pPr>
            <w:r>
              <w:rPr>
                <w:rFonts w:hint="eastAsia"/>
                <w:color w:val="auto"/>
                <w:highlight w:val="none"/>
              </w:rPr>
              <w:t>/</w:t>
            </w:r>
          </w:p>
        </w:tc>
        <w:tc>
          <w:tcPr>
            <w:tcW w:w="380" w:type="pct"/>
            <w:tcBorders>
              <w:tl2br w:val="nil"/>
              <w:tr2bl w:val="nil"/>
            </w:tcBorders>
            <w:vAlign w:val="center"/>
          </w:tcPr>
          <w:p w14:paraId="0C1106B9">
            <w:pPr>
              <w:pStyle w:val="41"/>
              <w:rPr>
                <w:color w:val="auto"/>
                <w:highlight w:val="none"/>
              </w:rPr>
            </w:pPr>
            <w:r>
              <w:rPr>
                <w:rFonts w:hint="eastAsia"/>
                <w:color w:val="auto"/>
                <w:highlight w:val="none"/>
              </w:rPr>
              <w:t>2.754</w:t>
            </w:r>
          </w:p>
        </w:tc>
        <w:tc>
          <w:tcPr>
            <w:tcW w:w="479" w:type="pct"/>
            <w:tcBorders>
              <w:tl2br w:val="nil"/>
              <w:tr2bl w:val="nil"/>
            </w:tcBorders>
            <w:vAlign w:val="center"/>
          </w:tcPr>
          <w:p w14:paraId="043B9BBC">
            <w:pPr>
              <w:pStyle w:val="41"/>
              <w:rPr>
                <w:color w:val="auto"/>
                <w:highlight w:val="none"/>
              </w:rPr>
            </w:pPr>
            <w:r>
              <w:rPr>
                <w:rFonts w:hint="eastAsia"/>
                <w:color w:val="auto"/>
                <w:highlight w:val="none"/>
              </w:rPr>
              <w:t>0.3825</w:t>
            </w:r>
          </w:p>
        </w:tc>
        <w:tc>
          <w:tcPr>
            <w:tcW w:w="363" w:type="pct"/>
            <w:gridSpan w:val="2"/>
            <w:tcBorders>
              <w:tl2br w:val="nil"/>
              <w:tr2bl w:val="nil"/>
            </w:tcBorders>
            <w:vAlign w:val="center"/>
          </w:tcPr>
          <w:p w14:paraId="7DD23B6F">
            <w:pPr>
              <w:pStyle w:val="41"/>
              <w:rPr>
                <w:color w:val="auto"/>
                <w:highlight w:val="none"/>
              </w:rPr>
            </w:pPr>
            <w:r>
              <w:rPr>
                <w:rFonts w:hint="eastAsia"/>
                <w:color w:val="auto"/>
                <w:highlight w:val="none"/>
              </w:rPr>
              <w:t>163.46</w:t>
            </w:r>
          </w:p>
        </w:tc>
        <w:tc>
          <w:tcPr>
            <w:tcW w:w="336" w:type="pct"/>
            <w:vMerge w:val="continue"/>
            <w:tcBorders>
              <w:tl2br w:val="nil"/>
              <w:tr2bl w:val="nil"/>
            </w:tcBorders>
            <w:vAlign w:val="center"/>
          </w:tcPr>
          <w:p w14:paraId="053EFDC0">
            <w:pPr>
              <w:pStyle w:val="41"/>
              <w:rPr>
                <w:color w:val="auto"/>
                <w:highlight w:val="none"/>
              </w:rPr>
            </w:pPr>
          </w:p>
        </w:tc>
      </w:tr>
      <w:tr w14:paraId="05E2E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7" w:type="dxa"/>
            <w:left w:w="57" w:type="dxa"/>
            <w:bottom w:w="17" w:type="dxa"/>
            <w:right w:w="57" w:type="dxa"/>
          </w:tblCellMar>
        </w:tblPrEx>
        <w:trPr>
          <w:trHeight w:val="312" w:hRule="atLeast"/>
          <w:jc w:val="center"/>
        </w:trPr>
        <w:tc>
          <w:tcPr>
            <w:tcW w:w="238" w:type="pct"/>
            <w:tcBorders>
              <w:tl2br w:val="nil"/>
              <w:tr2bl w:val="nil"/>
            </w:tcBorders>
            <w:tcMar>
              <w:left w:w="0" w:type="dxa"/>
              <w:right w:w="28" w:type="dxa"/>
            </w:tcMar>
            <w:vAlign w:val="center"/>
          </w:tcPr>
          <w:p w14:paraId="75EF9031">
            <w:pPr>
              <w:pStyle w:val="41"/>
              <w:rPr>
                <w:color w:val="auto"/>
                <w:highlight w:val="none"/>
              </w:rPr>
            </w:pPr>
          </w:p>
        </w:tc>
        <w:tc>
          <w:tcPr>
            <w:tcW w:w="361" w:type="pct"/>
            <w:tcBorders>
              <w:tl2br w:val="nil"/>
              <w:tr2bl w:val="nil"/>
            </w:tcBorders>
            <w:vAlign w:val="center"/>
          </w:tcPr>
          <w:p w14:paraId="2E0F9338">
            <w:pPr>
              <w:pStyle w:val="41"/>
              <w:rPr>
                <w:color w:val="auto"/>
                <w:highlight w:val="none"/>
              </w:rPr>
            </w:pPr>
          </w:p>
        </w:tc>
        <w:tc>
          <w:tcPr>
            <w:tcW w:w="279" w:type="pct"/>
            <w:tcBorders>
              <w:tl2br w:val="nil"/>
              <w:tr2bl w:val="nil"/>
            </w:tcBorders>
            <w:vAlign w:val="center"/>
          </w:tcPr>
          <w:p w14:paraId="1540522F">
            <w:pPr>
              <w:pStyle w:val="41"/>
              <w:rPr>
                <w:color w:val="auto"/>
                <w:highlight w:val="none"/>
              </w:rPr>
            </w:pPr>
          </w:p>
        </w:tc>
        <w:tc>
          <w:tcPr>
            <w:tcW w:w="238" w:type="pct"/>
            <w:tcBorders>
              <w:tl2br w:val="nil"/>
              <w:tr2bl w:val="nil"/>
            </w:tcBorders>
            <w:vAlign w:val="center"/>
          </w:tcPr>
          <w:p w14:paraId="7D0F97B1">
            <w:pPr>
              <w:pStyle w:val="41"/>
              <w:rPr>
                <w:color w:val="auto"/>
                <w:highlight w:val="none"/>
              </w:rPr>
            </w:pPr>
          </w:p>
        </w:tc>
        <w:tc>
          <w:tcPr>
            <w:tcW w:w="367" w:type="pct"/>
            <w:tcBorders>
              <w:tl2br w:val="nil"/>
              <w:tr2bl w:val="nil"/>
            </w:tcBorders>
            <w:vAlign w:val="center"/>
          </w:tcPr>
          <w:p w14:paraId="02E1EAAF">
            <w:pPr>
              <w:pStyle w:val="41"/>
              <w:rPr>
                <w:color w:val="auto"/>
                <w:highlight w:val="none"/>
              </w:rPr>
            </w:pPr>
          </w:p>
        </w:tc>
        <w:tc>
          <w:tcPr>
            <w:tcW w:w="301" w:type="pct"/>
            <w:tcBorders>
              <w:tl2br w:val="nil"/>
              <w:tr2bl w:val="nil"/>
            </w:tcBorders>
            <w:vAlign w:val="center"/>
          </w:tcPr>
          <w:p w14:paraId="122AFD1A">
            <w:pPr>
              <w:pStyle w:val="41"/>
              <w:rPr>
                <w:rFonts w:hint="eastAsia"/>
                <w:color w:val="auto"/>
                <w:highlight w:val="none"/>
              </w:rPr>
            </w:pPr>
          </w:p>
        </w:tc>
        <w:tc>
          <w:tcPr>
            <w:tcW w:w="445" w:type="pct"/>
            <w:tcBorders>
              <w:tl2br w:val="nil"/>
              <w:tr2bl w:val="nil"/>
            </w:tcBorders>
            <w:vAlign w:val="center"/>
          </w:tcPr>
          <w:p w14:paraId="1C76C31A">
            <w:pPr>
              <w:pStyle w:val="41"/>
              <w:rPr>
                <w:rFonts w:hint="eastAsia"/>
                <w:color w:val="auto"/>
                <w:highlight w:val="none"/>
              </w:rPr>
            </w:pPr>
          </w:p>
        </w:tc>
        <w:tc>
          <w:tcPr>
            <w:tcW w:w="472" w:type="pct"/>
            <w:tcBorders>
              <w:tl2br w:val="nil"/>
              <w:tr2bl w:val="nil"/>
            </w:tcBorders>
            <w:vAlign w:val="center"/>
          </w:tcPr>
          <w:p w14:paraId="778168F0">
            <w:pPr>
              <w:pStyle w:val="41"/>
              <w:rPr>
                <w:rFonts w:hint="eastAsia"/>
                <w:color w:val="auto"/>
                <w:highlight w:val="none"/>
              </w:rPr>
            </w:pPr>
          </w:p>
        </w:tc>
        <w:tc>
          <w:tcPr>
            <w:tcW w:w="466" w:type="pct"/>
            <w:tcBorders>
              <w:tl2br w:val="nil"/>
              <w:tr2bl w:val="nil"/>
            </w:tcBorders>
            <w:vAlign w:val="center"/>
          </w:tcPr>
          <w:p w14:paraId="0700654E">
            <w:pPr>
              <w:pStyle w:val="41"/>
              <w:rPr>
                <w:color w:val="auto"/>
                <w:highlight w:val="none"/>
              </w:rPr>
            </w:pPr>
          </w:p>
        </w:tc>
        <w:tc>
          <w:tcPr>
            <w:tcW w:w="269" w:type="pct"/>
            <w:tcBorders>
              <w:tl2br w:val="nil"/>
              <w:tr2bl w:val="nil"/>
            </w:tcBorders>
            <w:vAlign w:val="center"/>
          </w:tcPr>
          <w:p w14:paraId="6B7401F5">
            <w:pPr>
              <w:pStyle w:val="41"/>
              <w:rPr>
                <w:rFonts w:hint="eastAsia"/>
                <w:color w:val="auto"/>
                <w:highlight w:val="none"/>
              </w:rPr>
            </w:pPr>
          </w:p>
        </w:tc>
        <w:tc>
          <w:tcPr>
            <w:tcW w:w="380" w:type="pct"/>
            <w:tcBorders>
              <w:tl2br w:val="nil"/>
              <w:tr2bl w:val="nil"/>
            </w:tcBorders>
            <w:vAlign w:val="center"/>
          </w:tcPr>
          <w:p w14:paraId="6B63A771">
            <w:pPr>
              <w:pStyle w:val="41"/>
              <w:rPr>
                <w:rFonts w:hint="eastAsia"/>
                <w:color w:val="auto"/>
                <w:highlight w:val="none"/>
              </w:rPr>
            </w:pPr>
          </w:p>
        </w:tc>
        <w:tc>
          <w:tcPr>
            <w:tcW w:w="479" w:type="pct"/>
            <w:tcBorders>
              <w:tl2br w:val="nil"/>
              <w:tr2bl w:val="nil"/>
            </w:tcBorders>
            <w:vAlign w:val="center"/>
          </w:tcPr>
          <w:p w14:paraId="201AD0F5">
            <w:pPr>
              <w:pStyle w:val="41"/>
              <w:rPr>
                <w:rFonts w:hint="eastAsia"/>
                <w:color w:val="auto"/>
                <w:highlight w:val="none"/>
              </w:rPr>
            </w:pPr>
          </w:p>
        </w:tc>
        <w:tc>
          <w:tcPr>
            <w:tcW w:w="363" w:type="pct"/>
            <w:gridSpan w:val="2"/>
            <w:tcBorders>
              <w:tl2br w:val="nil"/>
              <w:tr2bl w:val="nil"/>
            </w:tcBorders>
            <w:vAlign w:val="center"/>
          </w:tcPr>
          <w:p w14:paraId="0C553863">
            <w:pPr>
              <w:pStyle w:val="41"/>
              <w:rPr>
                <w:rFonts w:hint="eastAsia"/>
                <w:color w:val="auto"/>
                <w:highlight w:val="none"/>
              </w:rPr>
            </w:pPr>
          </w:p>
        </w:tc>
        <w:tc>
          <w:tcPr>
            <w:tcW w:w="336" w:type="pct"/>
            <w:tcBorders>
              <w:tl2br w:val="nil"/>
              <w:tr2bl w:val="nil"/>
            </w:tcBorders>
            <w:vAlign w:val="center"/>
          </w:tcPr>
          <w:p w14:paraId="37B28D39">
            <w:pPr>
              <w:pStyle w:val="41"/>
              <w:rPr>
                <w:color w:val="auto"/>
                <w:highlight w:val="none"/>
              </w:rPr>
            </w:pPr>
          </w:p>
        </w:tc>
      </w:tr>
      <w:tr w14:paraId="338A07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7" w:type="dxa"/>
            <w:left w:w="57" w:type="dxa"/>
            <w:bottom w:w="17" w:type="dxa"/>
            <w:right w:w="57" w:type="dxa"/>
          </w:tblCellMar>
        </w:tblPrEx>
        <w:trPr>
          <w:trHeight w:val="23" w:hRule="atLeast"/>
          <w:jc w:val="center"/>
        </w:trPr>
        <w:tc>
          <w:tcPr>
            <w:tcW w:w="238" w:type="pct"/>
            <w:tcBorders>
              <w:tl2br w:val="nil"/>
              <w:tr2bl w:val="nil"/>
            </w:tcBorders>
            <w:shd w:val="clear" w:color="auto" w:fill="auto"/>
            <w:tcMar>
              <w:left w:w="0" w:type="dxa"/>
              <w:right w:w="28" w:type="dxa"/>
            </w:tcMar>
            <w:vAlign w:val="center"/>
          </w:tcPr>
          <w:p w14:paraId="4FF6A73A">
            <w:pPr>
              <w:pStyle w:val="41"/>
              <w:rPr>
                <w:rFonts w:hint="default" w:ascii="Times New Roman" w:hAnsi="Times New Roman" w:eastAsia="华文中宋" w:cstheme="minorBidi"/>
                <w:color w:val="auto"/>
                <w:sz w:val="21"/>
                <w:szCs w:val="21"/>
                <w:highlight w:val="none"/>
                <w:lang w:val="en-US" w:eastAsia="zh-CN" w:bidi="ar-SA"/>
              </w:rPr>
            </w:pPr>
            <w:r>
              <w:rPr>
                <w:rFonts w:hint="eastAsia"/>
                <w:color w:val="auto"/>
                <w:highlight w:val="none"/>
                <w:lang w:val="en-US" w:eastAsia="zh-CN"/>
              </w:rPr>
              <w:t>9</w:t>
            </w:r>
          </w:p>
        </w:tc>
        <w:tc>
          <w:tcPr>
            <w:tcW w:w="361" w:type="pct"/>
            <w:tcBorders>
              <w:tl2br w:val="nil"/>
              <w:tr2bl w:val="nil"/>
            </w:tcBorders>
            <w:shd w:val="clear" w:color="auto" w:fill="auto"/>
            <w:tcMar>
              <w:left w:w="0" w:type="dxa"/>
              <w:right w:w="28" w:type="dxa"/>
            </w:tcMar>
            <w:vAlign w:val="center"/>
          </w:tcPr>
          <w:p w14:paraId="2DB46498">
            <w:pPr>
              <w:pStyle w:val="41"/>
              <w:rPr>
                <w:rFonts w:hint="eastAsia" w:ascii="Times New Roman" w:hAnsi="Times New Roman" w:eastAsia="华文中宋" w:cstheme="minorBidi"/>
                <w:color w:val="auto"/>
                <w:sz w:val="21"/>
                <w:szCs w:val="21"/>
                <w:highlight w:val="none"/>
                <w:lang w:val="en-US" w:eastAsia="zh-CN" w:bidi="ar-SA"/>
              </w:rPr>
            </w:pPr>
            <w:r>
              <w:rPr>
                <w:rFonts w:hint="eastAsia"/>
                <w:color w:val="auto"/>
                <w:highlight w:val="none"/>
                <w:lang w:eastAsia="zh-CN"/>
              </w:rPr>
              <w:t>食堂</w:t>
            </w:r>
          </w:p>
        </w:tc>
        <w:tc>
          <w:tcPr>
            <w:tcW w:w="279" w:type="pct"/>
            <w:tcBorders>
              <w:tl2br w:val="nil"/>
              <w:tr2bl w:val="nil"/>
            </w:tcBorders>
            <w:shd w:val="clear" w:color="auto" w:fill="auto"/>
            <w:vAlign w:val="center"/>
          </w:tcPr>
          <w:p w14:paraId="1DDCDA1A">
            <w:pPr>
              <w:pStyle w:val="41"/>
              <w:rPr>
                <w:rFonts w:hint="eastAsia" w:ascii="Times New Roman" w:hAnsi="Times New Roman" w:eastAsia="华文中宋" w:cstheme="minorBidi"/>
                <w:color w:val="auto"/>
                <w:sz w:val="21"/>
                <w:szCs w:val="21"/>
                <w:highlight w:val="none"/>
                <w:lang w:val="en-US" w:eastAsia="zh-CN" w:bidi="ar-SA"/>
              </w:rPr>
            </w:pPr>
            <w:r>
              <w:rPr>
                <w:rFonts w:hint="eastAsia"/>
                <w:color w:val="auto"/>
                <w:highlight w:val="none"/>
                <w:lang w:eastAsia="zh-CN"/>
              </w:rPr>
              <w:t>油烟</w:t>
            </w:r>
          </w:p>
        </w:tc>
        <w:tc>
          <w:tcPr>
            <w:tcW w:w="238" w:type="pct"/>
            <w:tcBorders>
              <w:tl2br w:val="nil"/>
              <w:tr2bl w:val="nil"/>
            </w:tcBorders>
            <w:shd w:val="clear" w:color="auto" w:fill="auto"/>
            <w:tcMar>
              <w:left w:w="0" w:type="dxa"/>
            </w:tcMar>
            <w:vAlign w:val="center"/>
          </w:tcPr>
          <w:p w14:paraId="339792C2">
            <w:pPr>
              <w:pStyle w:val="41"/>
              <w:rPr>
                <w:rFonts w:hint="eastAsia" w:ascii="Times New Roman" w:hAnsi="Times New Roman" w:eastAsia="华文中宋" w:cstheme="minorBidi"/>
                <w:color w:val="auto"/>
                <w:sz w:val="21"/>
                <w:szCs w:val="21"/>
                <w:highlight w:val="none"/>
                <w:lang w:val="en-US" w:eastAsia="zh-CN" w:bidi="ar-SA"/>
              </w:rPr>
            </w:pPr>
            <w:r>
              <w:rPr>
                <w:rFonts w:hint="eastAsia"/>
                <w:color w:val="auto"/>
                <w:highlight w:val="none"/>
                <w:lang w:eastAsia="zh-CN"/>
              </w:rPr>
              <w:t>类比</w:t>
            </w:r>
          </w:p>
        </w:tc>
        <w:tc>
          <w:tcPr>
            <w:tcW w:w="367" w:type="pct"/>
            <w:tcBorders>
              <w:tl2br w:val="nil"/>
              <w:tr2bl w:val="nil"/>
            </w:tcBorders>
            <w:shd w:val="clear" w:color="auto" w:fill="auto"/>
            <w:tcMar>
              <w:left w:w="0" w:type="dxa"/>
            </w:tcMar>
            <w:vAlign w:val="center"/>
          </w:tcPr>
          <w:p w14:paraId="2B7437E5">
            <w:pPr>
              <w:pStyle w:val="41"/>
              <w:rPr>
                <w:rFonts w:hint="default" w:ascii="Times New Roman" w:hAnsi="Times New Roman" w:eastAsia="华文中宋" w:cstheme="minorBidi"/>
                <w:color w:val="auto"/>
                <w:sz w:val="21"/>
                <w:szCs w:val="21"/>
                <w:highlight w:val="none"/>
                <w:lang w:val="en-US" w:eastAsia="zh-CN" w:bidi="ar-SA"/>
              </w:rPr>
            </w:pPr>
            <w:r>
              <w:rPr>
                <w:rFonts w:hint="eastAsia"/>
                <w:color w:val="auto"/>
                <w:highlight w:val="none"/>
                <w:lang w:val="en-US" w:eastAsia="zh-CN"/>
              </w:rPr>
              <w:t>6500</w:t>
            </w:r>
          </w:p>
        </w:tc>
        <w:tc>
          <w:tcPr>
            <w:tcW w:w="301" w:type="pct"/>
            <w:tcBorders>
              <w:tl2br w:val="nil"/>
              <w:tr2bl w:val="nil"/>
            </w:tcBorders>
            <w:tcMar>
              <w:left w:w="0" w:type="dxa"/>
            </w:tcMar>
            <w:vAlign w:val="center"/>
          </w:tcPr>
          <w:p w14:paraId="1E91BEAF">
            <w:pPr>
              <w:pStyle w:val="41"/>
              <w:rPr>
                <w:rFonts w:hint="default" w:eastAsia="华文中宋"/>
                <w:color w:val="auto"/>
                <w:highlight w:val="none"/>
                <w:lang w:val="en-US" w:eastAsia="zh-CN"/>
              </w:rPr>
            </w:pPr>
            <w:r>
              <w:rPr>
                <w:rFonts w:hint="eastAsia"/>
                <w:color w:val="auto"/>
                <w:highlight w:val="none"/>
                <w:lang w:val="en-US" w:eastAsia="zh-CN"/>
              </w:rPr>
              <w:t>0.083</w:t>
            </w:r>
          </w:p>
        </w:tc>
        <w:tc>
          <w:tcPr>
            <w:tcW w:w="445" w:type="pct"/>
            <w:tcBorders>
              <w:tl2br w:val="nil"/>
              <w:tr2bl w:val="nil"/>
            </w:tcBorders>
            <w:vAlign w:val="center"/>
          </w:tcPr>
          <w:p w14:paraId="68ACE8D3">
            <w:pPr>
              <w:pStyle w:val="41"/>
              <w:rPr>
                <w:rFonts w:hint="default"/>
                <w:color w:val="auto"/>
                <w:highlight w:val="none"/>
                <w:lang w:val="en-US"/>
              </w:rPr>
            </w:pPr>
            <w:r>
              <w:rPr>
                <w:rFonts w:hint="eastAsia"/>
                <w:color w:val="auto"/>
                <w:highlight w:val="none"/>
                <w:lang w:val="en-US" w:eastAsia="zh-CN"/>
              </w:rPr>
              <w:t>0.046</w:t>
            </w:r>
          </w:p>
        </w:tc>
        <w:tc>
          <w:tcPr>
            <w:tcW w:w="472" w:type="pct"/>
            <w:tcBorders>
              <w:tl2br w:val="nil"/>
              <w:tr2bl w:val="nil"/>
            </w:tcBorders>
            <w:vAlign w:val="center"/>
          </w:tcPr>
          <w:p w14:paraId="5971D2D3">
            <w:pPr>
              <w:pStyle w:val="41"/>
              <w:rPr>
                <w:rFonts w:hint="default" w:eastAsia="华文中宋"/>
                <w:color w:val="auto"/>
                <w:highlight w:val="none"/>
                <w:lang w:val="en-US" w:eastAsia="zh-CN"/>
              </w:rPr>
            </w:pPr>
            <w:r>
              <w:rPr>
                <w:rFonts w:hint="eastAsia"/>
                <w:color w:val="auto"/>
                <w:highlight w:val="none"/>
                <w:lang w:val="en-US" w:eastAsia="zh-CN"/>
              </w:rPr>
              <w:t>7.17</w:t>
            </w:r>
          </w:p>
        </w:tc>
        <w:tc>
          <w:tcPr>
            <w:tcW w:w="466" w:type="pct"/>
            <w:tcBorders>
              <w:tl2br w:val="nil"/>
              <w:tr2bl w:val="nil"/>
            </w:tcBorders>
            <w:vAlign w:val="center"/>
          </w:tcPr>
          <w:p w14:paraId="5409B973">
            <w:pPr>
              <w:pStyle w:val="41"/>
              <w:rPr>
                <w:rFonts w:hint="eastAsia" w:eastAsia="华文中宋"/>
                <w:color w:val="auto"/>
                <w:highlight w:val="none"/>
                <w:lang w:eastAsia="zh-CN"/>
              </w:rPr>
            </w:pPr>
            <w:r>
              <w:rPr>
                <w:rFonts w:hint="eastAsia"/>
                <w:color w:val="auto"/>
                <w:highlight w:val="none"/>
                <w:lang w:eastAsia="zh-CN"/>
              </w:rPr>
              <w:t>油烟机</w:t>
            </w:r>
          </w:p>
        </w:tc>
        <w:tc>
          <w:tcPr>
            <w:tcW w:w="269" w:type="pct"/>
            <w:tcBorders>
              <w:tl2br w:val="nil"/>
              <w:tr2bl w:val="nil"/>
            </w:tcBorders>
            <w:vAlign w:val="center"/>
          </w:tcPr>
          <w:p w14:paraId="452D5CE4">
            <w:pPr>
              <w:pStyle w:val="41"/>
              <w:rPr>
                <w:rFonts w:hint="default" w:eastAsia="华文中宋"/>
                <w:color w:val="auto"/>
                <w:highlight w:val="none"/>
                <w:lang w:val="en-US" w:eastAsia="zh-CN"/>
              </w:rPr>
            </w:pPr>
            <w:r>
              <w:rPr>
                <w:rFonts w:hint="eastAsia"/>
                <w:color w:val="auto"/>
                <w:highlight w:val="none"/>
                <w:lang w:val="en-US" w:eastAsia="zh-CN"/>
              </w:rPr>
              <w:t>75</w:t>
            </w:r>
          </w:p>
        </w:tc>
        <w:tc>
          <w:tcPr>
            <w:tcW w:w="380" w:type="pct"/>
            <w:tcBorders>
              <w:tl2br w:val="nil"/>
              <w:tr2bl w:val="nil"/>
            </w:tcBorders>
            <w:vAlign w:val="center"/>
          </w:tcPr>
          <w:p w14:paraId="4AA834B3">
            <w:pPr>
              <w:pStyle w:val="41"/>
              <w:rPr>
                <w:rFonts w:hint="default" w:eastAsia="华文中宋"/>
                <w:color w:val="auto"/>
                <w:highlight w:val="none"/>
                <w:lang w:val="en-US" w:eastAsia="zh-CN"/>
              </w:rPr>
            </w:pPr>
            <w:r>
              <w:rPr>
                <w:rFonts w:hint="eastAsia"/>
                <w:color w:val="auto"/>
                <w:highlight w:val="none"/>
                <w:lang w:val="en-US" w:eastAsia="zh-CN"/>
              </w:rPr>
              <w:t>0.021</w:t>
            </w:r>
          </w:p>
        </w:tc>
        <w:tc>
          <w:tcPr>
            <w:tcW w:w="479" w:type="pct"/>
            <w:tcBorders>
              <w:tl2br w:val="nil"/>
              <w:tr2bl w:val="nil"/>
            </w:tcBorders>
            <w:vAlign w:val="center"/>
          </w:tcPr>
          <w:p w14:paraId="6EF0D3DE">
            <w:pPr>
              <w:pStyle w:val="41"/>
              <w:rPr>
                <w:rFonts w:hint="default" w:eastAsia="华文中宋"/>
                <w:color w:val="auto"/>
                <w:highlight w:val="none"/>
                <w:lang w:val="en-US" w:eastAsia="zh-CN"/>
              </w:rPr>
            </w:pPr>
            <w:r>
              <w:rPr>
                <w:rFonts w:hint="eastAsia"/>
                <w:color w:val="auto"/>
                <w:highlight w:val="none"/>
                <w:lang w:val="en-US" w:eastAsia="zh-CN"/>
              </w:rPr>
              <w:t>0.0116</w:t>
            </w:r>
          </w:p>
        </w:tc>
        <w:tc>
          <w:tcPr>
            <w:tcW w:w="363" w:type="pct"/>
            <w:gridSpan w:val="2"/>
            <w:tcBorders>
              <w:tl2br w:val="nil"/>
              <w:tr2bl w:val="nil"/>
            </w:tcBorders>
            <w:vAlign w:val="center"/>
          </w:tcPr>
          <w:p w14:paraId="2E1AB6B1">
            <w:pPr>
              <w:pStyle w:val="41"/>
              <w:rPr>
                <w:rFonts w:hint="default" w:eastAsia="华文中宋"/>
                <w:color w:val="auto"/>
                <w:highlight w:val="none"/>
                <w:lang w:val="en-US" w:eastAsia="zh-CN"/>
              </w:rPr>
            </w:pPr>
            <w:r>
              <w:rPr>
                <w:rFonts w:hint="eastAsia"/>
                <w:color w:val="auto"/>
                <w:highlight w:val="none"/>
                <w:lang w:val="en-US" w:eastAsia="zh-CN"/>
              </w:rPr>
              <w:t>1.79</w:t>
            </w:r>
          </w:p>
        </w:tc>
        <w:tc>
          <w:tcPr>
            <w:tcW w:w="336" w:type="pct"/>
            <w:tcBorders>
              <w:tl2br w:val="nil"/>
              <w:tr2bl w:val="nil"/>
            </w:tcBorders>
            <w:vAlign w:val="center"/>
          </w:tcPr>
          <w:p w14:paraId="7D3845D6">
            <w:pPr>
              <w:pStyle w:val="41"/>
              <w:rPr>
                <w:rFonts w:hint="default" w:eastAsia="华文中宋"/>
                <w:color w:val="auto"/>
                <w:highlight w:val="none"/>
                <w:lang w:val="en-US" w:eastAsia="zh-CN"/>
              </w:rPr>
            </w:pPr>
            <w:r>
              <w:rPr>
                <w:rFonts w:hint="eastAsia"/>
                <w:color w:val="auto"/>
                <w:highlight w:val="none"/>
                <w:lang w:val="en-US" w:eastAsia="zh-CN"/>
              </w:rPr>
              <w:t>1800</w:t>
            </w:r>
          </w:p>
        </w:tc>
      </w:tr>
      <w:tr w14:paraId="290D88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7" w:type="dxa"/>
            <w:left w:w="57" w:type="dxa"/>
            <w:bottom w:w="17" w:type="dxa"/>
            <w:right w:w="57" w:type="dxa"/>
          </w:tblCellMar>
        </w:tblPrEx>
        <w:trPr>
          <w:trHeight w:val="23" w:hRule="atLeast"/>
          <w:jc w:val="center"/>
        </w:trPr>
        <w:tc>
          <w:tcPr>
            <w:tcW w:w="238" w:type="pct"/>
            <w:tcBorders>
              <w:tl2br w:val="nil"/>
              <w:tr2bl w:val="nil"/>
            </w:tcBorders>
            <w:tcMar>
              <w:left w:w="0" w:type="dxa"/>
              <w:right w:w="28" w:type="dxa"/>
            </w:tcMar>
            <w:vAlign w:val="center"/>
          </w:tcPr>
          <w:p w14:paraId="0268A79C">
            <w:pPr>
              <w:pStyle w:val="41"/>
              <w:rPr>
                <w:rFonts w:hint="default" w:eastAsia="华文中宋"/>
                <w:color w:val="auto"/>
                <w:highlight w:val="none"/>
                <w:lang w:val="en-US" w:eastAsia="zh-CN"/>
              </w:rPr>
            </w:pPr>
            <w:r>
              <w:rPr>
                <w:rFonts w:hint="eastAsia"/>
                <w:color w:val="auto"/>
                <w:highlight w:val="none"/>
                <w:lang w:val="en-US" w:eastAsia="zh-CN"/>
              </w:rPr>
              <w:t>10</w:t>
            </w:r>
          </w:p>
        </w:tc>
        <w:tc>
          <w:tcPr>
            <w:tcW w:w="361" w:type="pct"/>
            <w:tcBorders>
              <w:tl2br w:val="nil"/>
              <w:tr2bl w:val="nil"/>
            </w:tcBorders>
            <w:tcMar>
              <w:left w:w="0" w:type="dxa"/>
              <w:right w:w="28" w:type="dxa"/>
            </w:tcMar>
            <w:vAlign w:val="center"/>
          </w:tcPr>
          <w:p w14:paraId="03F2BF9A">
            <w:pPr>
              <w:pStyle w:val="41"/>
              <w:rPr>
                <w:color w:val="auto"/>
                <w:highlight w:val="none"/>
              </w:rPr>
            </w:pPr>
            <w:r>
              <w:rPr>
                <w:rFonts w:hint="eastAsia"/>
                <w:color w:val="auto"/>
                <w:highlight w:val="none"/>
              </w:rPr>
              <w:t>原矿堆存</w:t>
            </w:r>
          </w:p>
        </w:tc>
        <w:tc>
          <w:tcPr>
            <w:tcW w:w="279" w:type="pct"/>
            <w:tcBorders>
              <w:tl2br w:val="nil"/>
              <w:tr2bl w:val="nil"/>
            </w:tcBorders>
            <w:vAlign w:val="center"/>
          </w:tcPr>
          <w:p w14:paraId="12AD25B5">
            <w:pPr>
              <w:pStyle w:val="41"/>
              <w:rPr>
                <w:color w:val="auto"/>
                <w:highlight w:val="none"/>
              </w:rPr>
            </w:pPr>
            <w:r>
              <w:rPr>
                <w:color w:val="auto"/>
                <w:highlight w:val="none"/>
              </w:rPr>
              <w:t>颗粒物</w:t>
            </w:r>
          </w:p>
        </w:tc>
        <w:tc>
          <w:tcPr>
            <w:tcW w:w="238" w:type="pct"/>
            <w:tcBorders>
              <w:tl2br w:val="nil"/>
              <w:tr2bl w:val="nil"/>
            </w:tcBorders>
            <w:tcMar>
              <w:left w:w="0" w:type="dxa"/>
            </w:tcMar>
            <w:vAlign w:val="center"/>
          </w:tcPr>
          <w:p w14:paraId="178C420D">
            <w:pPr>
              <w:pStyle w:val="41"/>
              <w:rPr>
                <w:color w:val="auto"/>
                <w:highlight w:val="none"/>
              </w:rPr>
            </w:pPr>
            <w:r>
              <w:rPr>
                <w:color w:val="auto"/>
                <w:highlight w:val="none"/>
              </w:rPr>
              <w:t>系数法</w:t>
            </w:r>
          </w:p>
        </w:tc>
        <w:tc>
          <w:tcPr>
            <w:tcW w:w="367" w:type="pct"/>
            <w:tcBorders>
              <w:tl2br w:val="nil"/>
              <w:tr2bl w:val="nil"/>
            </w:tcBorders>
            <w:tcMar>
              <w:left w:w="0" w:type="dxa"/>
            </w:tcMar>
            <w:vAlign w:val="center"/>
          </w:tcPr>
          <w:p w14:paraId="7ACEA4E1">
            <w:pPr>
              <w:pStyle w:val="41"/>
              <w:rPr>
                <w:color w:val="auto"/>
                <w:highlight w:val="none"/>
              </w:rPr>
            </w:pPr>
            <w:r>
              <w:rPr>
                <w:color w:val="auto"/>
                <w:highlight w:val="none"/>
              </w:rPr>
              <w:t>无组织</w:t>
            </w:r>
          </w:p>
        </w:tc>
        <w:tc>
          <w:tcPr>
            <w:tcW w:w="301" w:type="pct"/>
            <w:tcBorders>
              <w:tl2br w:val="nil"/>
              <w:tr2bl w:val="nil"/>
            </w:tcBorders>
            <w:tcMar>
              <w:left w:w="0" w:type="dxa"/>
            </w:tcMar>
            <w:vAlign w:val="center"/>
          </w:tcPr>
          <w:p w14:paraId="64983E1D">
            <w:pPr>
              <w:pStyle w:val="41"/>
              <w:rPr>
                <w:color w:val="auto"/>
                <w:highlight w:val="none"/>
              </w:rPr>
            </w:pPr>
            <w:r>
              <w:rPr>
                <w:rFonts w:hint="eastAsia"/>
                <w:color w:val="auto"/>
                <w:highlight w:val="none"/>
              </w:rPr>
              <w:t>224.08</w:t>
            </w:r>
          </w:p>
        </w:tc>
        <w:tc>
          <w:tcPr>
            <w:tcW w:w="445" w:type="pct"/>
            <w:tcBorders>
              <w:tl2br w:val="nil"/>
              <w:tr2bl w:val="nil"/>
            </w:tcBorders>
            <w:vAlign w:val="center"/>
          </w:tcPr>
          <w:p w14:paraId="3F93D632">
            <w:pPr>
              <w:pStyle w:val="41"/>
              <w:rPr>
                <w:color w:val="auto"/>
                <w:highlight w:val="none"/>
              </w:rPr>
            </w:pPr>
            <w:r>
              <w:rPr>
                <w:color w:val="auto"/>
                <w:highlight w:val="none"/>
              </w:rPr>
              <w:t>/</w:t>
            </w:r>
          </w:p>
        </w:tc>
        <w:tc>
          <w:tcPr>
            <w:tcW w:w="472" w:type="pct"/>
            <w:tcBorders>
              <w:tl2br w:val="nil"/>
              <w:tr2bl w:val="nil"/>
            </w:tcBorders>
            <w:vAlign w:val="center"/>
          </w:tcPr>
          <w:p w14:paraId="258D1914">
            <w:pPr>
              <w:pStyle w:val="41"/>
              <w:rPr>
                <w:color w:val="auto"/>
                <w:highlight w:val="none"/>
              </w:rPr>
            </w:pPr>
            <w:r>
              <w:rPr>
                <w:color w:val="auto"/>
                <w:highlight w:val="none"/>
              </w:rPr>
              <w:t>/</w:t>
            </w:r>
          </w:p>
        </w:tc>
        <w:tc>
          <w:tcPr>
            <w:tcW w:w="466" w:type="pct"/>
            <w:tcBorders>
              <w:tl2br w:val="nil"/>
              <w:tr2bl w:val="nil"/>
            </w:tcBorders>
            <w:vAlign w:val="center"/>
          </w:tcPr>
          <w:p w14:paraId="3107D0BC">
            <w:pPr>
              <w:pStyle w:val="41"/>
              <w:rPr>
                <w:color w:val="auto"/>
                <w:highlight w:val="none"/>
              </w:rPr>
            </w:pPr>
            <w:r>
              <w:rPr>
                <w:rFonts w:hint="eastAsia"/>
                <w:color w:val="auto"/>
                <w:highlight w:val="none"/>
              </w:rPr>
              <w:t>封闭仓</w:t>
            </w:r>
            <w:r>
              <w:rPr>
                <w:color w:val="auto"/>
                <w:highlight w:val="none"/>
              </w:rPr>
              <w:t>，同时设喷洒水装置</w:t>
            </w:r>
          </w:p>
        </w:tc>
        <w:tc>
          <w:tcPr>
            <w:tcW w:w="269" w:type="pct"/>
            <w:tcBorders>
              <w:tl2br w:val="nil"/>
              <w:tr2bl w:val="nil"/>
            </w:tcBorders>
            <w:vAlign w:val="center"/>
          </w:tcPr>
          <w:p w14:paraId="13DF862E">
            <w:pPr>
              <w:pStyle w:val="41"/>
              <w:rPr>
                <w:color w:val="auto"/>
                <w:highlight w:val="none"/>
              </w:rPr>
            </w:pPr>
            <w:r>
              <w:rPr>
                <w:rFonts w:hint="eastAsia"/>
                <w:color w:val="auto"/>
                <w:highlight w:val="none"/>
              </w:rPr>
              <w:t>99</w:t>
            </w:r>
          </w:p>
        </w:tc>
        <w:tc>
          <w:tcPr>
            <w:tcW w:w="380" w:type="pct"/>
            <w:tcBorders>
              <w:tl2br w:val="nil"/>
              <w:tr2bl w:val="nil"/>
            </w:tcBorders>
            <w:vAlign w:val="center"/>
          </w:tcPr>
          <w:p w14:paraId="012B49F0">
            <w:pPr>
              <w:pStyle w:val="41"/>
              <w:rPr>
                <w:color w:val="auto"/>
                <w:highlight w:val="none"/>
              </w:rPr>
            </w:pPr>
            <w:r>
              <w:rPr>
                <w:rFonts w:hint="eastAsia"/>
                <w:color w:val="auto"/>
                <w:highlight w:val="none"/>
              </w:rPr>
              <w:t>2.24</w:t>
            </w:r>
          </w:p>
        </w:tc>
        <w:tc>
          <w:tcPr>
            <w:tcW w:w="479" w:type="pct"/>
            <w:tcBorders>
              <w:tl2br w:val="nil"/>
              <w:tr2bl w:val="nil"/>
            </w:tcBorders>
            <w:vAlign w:val="center"/>
          </w:tcPr>
          <w:p w14:paraId="74C02AA4">
            <w:pPr>
              <w:pStyle w:val="41"/>
              <w:rPr>
                <w:color w:val="auto"/>
                <w:highlight w:val="none"/>
              </w:rPr>
            </w:pPr>
            <w:r>
              <w:rPr>
                <w:color w:val="auto"/>
                <w:highlight w:val="none"/>
              </w:rPr>
              <w:t>0.</w:t>
            </w:r>
            <w:r>
              <w:rPr>
                <w:rFonts w:hint="eastAsia"/>
                <w:color w:val="auto"/>
                <w:highlight w:val="none"/>
              </w:rPr>
              <w:t>48</w:t>
            </w:r>
          </w:p>
        </w:tc>
        <w:tc>
          <w:tcPr>
            <w:tcW w:w="363" w:type="pct"/>
            <w:gridSpan w:val="2"/>
            <w:tcBorders>
              <w:tl2br w:val="nil"/>
              <w:tr2bl w:val="nil"/>
            </w:tcBorders>
            <w:vAlign w:val="center"/>
          </w:tcPr>
          <w:p w14:paraId="0B30C719">
            <w:pPr>
              <w:pStyle w:val="41"/>
              <w:rPr>
                <w:color w:val="auto"/>
                <w:highlight w:val="none"/>
              </w:rPr>
            </w:pPr>
            <w:r>
              <w:rPr>
                <w:color w:val="auto"/>
                <w:highlight w:val="none"/>
              </w:rPr>
              <w:t>/</w:t>
            </w:r>
          </w:p>
        </w:tc>
        <w:tc>
          <w:tcPr>
            <w:tcW w:w="336" w:type="pct"/>
            <w:tcBorders>
              <w:tl2br w:val="nil"/>
              <w:tr2bl w:val="nil"/>
            </w:tcBorders>
            <w:vAlign w:val="center"/>
          </w:tcPr>
          <w:p w14:paraId="6952D04A">
            <w:pPr>
              <w:pStyle w:val="41"/>
              <w:rPr>
                <w:color w:val="auto"/>
                <w:highlight w:val="none"/>
              </w:rPr>
            </w:pPr>
            <w:r>
              <w:rPr>
                <w:rFonts w:hint="eastAsia"/>
                <w:color w:val="auto"/>
                <w:highlight w:val="none"/>
              </w:rPr>
              <w:t>7200</w:t>
            </w:r>
          </w:p>
        </w:tc>
      </w:tr>
      <w:tr w14:paraId="39F51F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7" w:type="dxa"/>
            <w:left w:w="57" w:type="dxa"/>
            <w:bottom w:w="17" w:type="dxa"/>
            <w:right w:w="57" w:type="dxa"/>
          </w:tblCellMar>
        </w:tblPrEx>
        <w:trPr>
          <w:trHeight w:val="576" w:hRule="atLeast"/>
          <w:jc w:val="center"/>
        </w:trPr>
        <w:tc>
          <w:tcPr>
            <w:tcW w:w="238" w:type="pct"/>
            <w:tcBorders>
              <w:tl2br w:val="nil"/>
              <w:tr2bl w:val="nil"/>
            </w:tcBorders>
            <w:tcMar>
              <w:left w:w="0" w:type="dxa"/>
              <w:right w:w="28" w:type="dxa"/>
            </w:tcMar>
            <w:vAlign w:val="center"/>
          </w:tcPr>
          <w:p w14:paraId="07325DD2">
            <w:pPr>
              <w:pStyle w:val="41"/>
              <w:rPr>
                <w:rFonts w:hint="default" w:eastAsia="华文中宋"/>
                <w:color w:val="auto"/>
                <w:highlight w:val="none"/>
                <w:lang w:val="en-US" w:eastAsia="zh-CN"/>
              </w:rPr>
            </w:pPr>
            <w:r>
              <w:rPr>
                <w:rFonts w:hint="eastAsia"/>
                <w:color w:val="auto"/>
                <w:highlight w:val="none"/>
                <w:lang w:val="en-US" w:eastAsia="zh-CN"/>
              </w:rPr>
              <w:t>11</w:t>
            </w:r>
          </w:p>
        </w:tc>
        <w:tc>
          <w:tcPr>
            <w:tcW w:w="361" w:type="pct"/>
            <w:tcBorders>
              <w:tl2br w:val="nil"/>
              <w:tr2bl w:val="nil"/>
            </w:tcBorders>
            <w:tcMar>
              <w:left w:w="0" w:type="dxa"/>
              <w:right w:w="28" w:type="dxa"/>
            </w:tcMar>
            <w:vAlign w:val="center"/>
          </w:tcPr>
          <w:p w14:paraId="3245FA16">
            <w:pPr>
              <w:pStyle w:val="41"/>
              <w:rPr>
                <w:color w:val="auto"/>
                <w:highlight w:val="none"/>
              </w:rPr>
            </w:pPr>
            <w:r>
              <w:rPr>
                <w:color w:val="auto"/>
                <w:highlight w:val="none"/>
              </w:rPr>
              <w:t>尾矿库</w:t>
            </w:r>
          </w:p>
        </w:tc>
        <w:tc>
          <w:tcPr>
            <w:tcW w:w="279" w:type="pct"/>
            <w:tcBorders>
              <w:tl2br w:val="nil"/>
              <w:tr2bl w:val="nil"/>
            </w:tcBorders>
            <w:vAlign w:val="center"/>
          </w:tcPr>
          <w:p w14:paraId="4197EBB1">
            <w:pPr>
              <w:pStyle w:val="41"/>
              <w:rPr>
                <w:color w:val="auto"/>
                <w:highlight w:val="none"/>
              </w:rPr>
            </w:pPr>
            <w:r>
              <w:rPr>
                <w:color w:val="auto"/>
                <w:highlight w:val="none"/>
              </w:rPr>
              <w:t>颗粒物</w:t>
            </w:r>
          </w:p>
        </w:tc>
        <w:tc>
          <w:tcPr>
            <w:tcW w:w="238" w:type="pct"/>
            <w:tcBorders>
              <w:tl2br w:val="nil"/>
              <w:tr2bl w:val="nil"/>
            </w:tcBorders>
            <w:tcMar>
              <w:left w:w="0" w:type="dxa"/>
            </w:tcMar>
            <w:vAlign w:val="center"/>
          </w:tcPr>
          <w:p w14:paraId="7C39CD00">
            <w:pPr>
              <w:pStyle w:val="41"/>
              <w:rPr>
                <w:color w:val="auto"/>
                <w:highlight w:val="none"/>
              </w:rPr>
            </w:pPr>
            <w:r>
              <w:rPr>
                <w:color w:val="auto"/>
                <w:highlight w:val="none"/>
              </w:rPr>
              <w:t>系数法</w:t>
            </w:r>
          </w:p>
        </w:tc>
        <w:tc>
          <w:tcPr>
            <w:tcW w:w="367" w:type="pct"/>
            <w:tcBorders>
              <w:tl2br w:val="nil"/>
              <w:tr2bl w:val="nil"/>
            </w:tcBorders>
            <w:tcMar>
              <w:left w:w="0" w:type="dxa"/>
            </w:tcMar>
            <w:vAlign w:val="center"/>
          </w:tcPr>
          <w:p w14:paraId="507A61D3">
            <w:pPr>
              <w:pStyle w:val="41"/>
              <w:rPr>
                <w:color w:val="auto"/>
                <w:highlight w:val="none"/>
              </w:rPr>
            </w:pPr>
            <w:r>
              <w:rPr>
                <w:color w:val="auto"/>
                <w:highlight w:val="none"/>
              </w:rPr>
              <w:t>无组织</w:t>
            </w:r>
          </w:p>
        </w:tc>
        <w:tc>
          <w:tcPr>
            <w:tcW w:w="301" w:type="pct"/>
            <w:tcBorders>
              <w:tl2br w:val="nil"/>
              <w:tr2bl w:val="nil"/>
            </w:tcBorders>
            <w:tcMar>
              <w:left w:w="0" w:type="dxa"/>
            </w:tcMar>
            <w:vAlign w:val="center"/>
          </w:tcPr>
          <w:p w14:paraId="0207B9FE">
            <w:pPr>
              <w:pStyle w:val="41"/>
              <w:rPr>
                <w:rFonts w:hint="default" w:eastAsia="华文中宋"/>
                <w:color w:val="auto"/>
                <w:highlight w:val="none"/>
                <w:lang w:val="en-US" w:eastAsia="zh-CN"/>
              </w:rPr>
            </w:pPr>
            <w:r>
              <w:rPr>
                <w:rFonts w:hint="eastAsia"/>
                <w:color w:val="auto"/>
                <w:highlight w:val="none"/>
                <w:lang w:val="en-US" w:eastAsia="zh-CN"/>
              </w:rPr>
              <w:t>39.259</w:t>
            </w:r>
          </w:p>
        </w:tc>
        <w:tc>
          <w:tcPr>
            <w:tcW w:w="445" w:type="pct"/>
            <w:tcBorders>
              <w:tl2br w:val="nil"/>
              <w:tr2bl w:val="nil"/>
            </w:tcBorders>
            <w:vAlign w:val="center"/>
          </w:tcPr>
          <w:p w14:paraId="7D76ECAF">
            <w:pPr>
              <w:pStyle w:val="41"/>
              <w:rPr>
                <w:color w:val="auto"/>
                <w:highlight w:val="none"/>
              </w:rPr>
            </w:pPr>
            <w:r>
              <w:rPr>
                <w:color w:val="auto"/>
                <w:highlight w:val="none"/>
              </w:rPr>
              <w:t>/</w:t>
            </w:r>
          </w:p>
        </w:tc>
        <w:tc>
          <w:tcPr>
            <w:tcW w:w="472" w:type="pct"/>
            <w:tcBorders>
              <w:tl2br w:val="nil"/>
              <w:tr2bl w:val="nil"/>
            </w:tcBorders>
            <w:vAlign w:val="center"/>
          </w:tcPr>
          <w:p w14:paraId="5662E43F">
            <w:pPr>
              <w:pStyle w:val="41"/>
              <w:rPr>
                <w:color w:val="auto"/>
                <w:highlight w:val="none"/>
              </w:rPr>
            </w:pPr>
            <w:r>
              <w:rPr>
                <w:color w:val="auto"/>
                <w:highlight w:val="none"/>
              </w:rPr>
              <w:t>/</w:t>
            </w:r>
          </w:p>
        </w:tc>
        <w:tc>
          <w:tcPr>
            <w:tcW w:w="466" w:type="pct"/>
            <w:tcBorders>
              <w:tl2br w:val="nil"/>
              <w:tr2bl w:val="nil"/>
            </w:tcBorders>
            <w:vAlign w:val="center"/>
          </w:tcPr>
          <w:p w14:paraId="2ADB1A3B">
            <w:pPr>
              <w:pStyle w:val="41"/>
              <w:rPr>
                <w:color w:val="auto"/>
                <w:highlight w:val="none"/>
              </w:rPr>
            </w:pPr>
            <w:r>
              <w:rPr>
                <w:color w:val="auto"/>
                <w:highlight w:val="none"/>
              </w:rPr>
              <w:t>生态高效抑尘剂</w:t>
            </w:r>
          </w:p>
        </w:tc>
        <w:tc>
          <w:tcPr>
            <w:tcW w:w="269" w:type="pct"/>
            <w:tcBorders>
              <w:tl2br w:val="nil"/>
              <w:tr2bl w:val="nil"/>
            </w:tcBorders>
            <w:vAlign w:val="center"/>
          </w:tcPr>
          <w:p w14:paraId="328A1F01">
            <w:pPr>
              <w:pStyle w:val="41"/>
              <w:rPr>
                <w:color w:val="auto"/>
                <w:highlight w:val="none"/>
              </w:rPr>
            </w:pPr>
            <w:r>
              <w:rPr>
                <w:rFonts w:hint="eastAsia"/>
                <w:color w:val="auto"/>
                <w:highlight w:val="none"/>
              </w:rPr>
              <w:t>74</w:t>
            </w:r>
            <w:r>
              <w:rPr>
                <w:color w:val="auto"/>
                <w:highlight w:val="none"/>
              </w:rPr>
              <w:t>%</w:t>
            </w:r>
          </w:p>
        </w:tc>
        <w:tc>
          <w:tcPr>
            <w:tcW w:w="380" w:type="pct"/>
            <w:tcBorders>
              <w:tl2br w:val="nil"/>
              <w:tr2bl w:val="nil"/>
            </w:tcBorders>
            <w:vAlign w:val="center"/>
          </w:tcPr>
          <w:p w14:paraId="77D42D78">
            <w:pPr>
              <w:pStyle w:val="41"/>
              <w:rPr>
                <w:rFonts w:hint="default" w:eastAsia="华文中宋"/>
                <w:color w:val="auto"/>
                <w:highlight w:val="none"/>
                <w:lang w:val="en-US" w:eastAsia="zh-CN"/>
              </w:rPr>
            </w:pPr>
            <w:r>
              <w:rPr>
                <w:rFonts w:hint="eastAsia"/>
                <w:color w:val="auto"/>
                <w:highlight w:val="none"/>
                <w:lang w:val="en-US" w:eastAsia="zh-CN"/>
              </w:rPr>
              <w:t>10.207</w:t>
            </w:r>
          </w:p>
        </w:tc>
        <w:tc>
          <w:tcPr>
            <w:tcW w:w="479" w:type="pct"/>
            <w:tcBorders>
              <w:tl2br w:val="nil"/>
              <w:tr2bl w:val="nil"/>
            </w:tcBorders>
            <w:vAlign w:val="center"/>
          </w:tcPr>
          <w:p w14:paraId="21E15912">
            <w:pPr>
              <w:pStyle w:val="41"/>
              <w:rPr>
                <w:color w:val="auto"/>
                <w:highlight w:val="none"/>
              </w:rPr>
            </w:pPr>
            <w:r>
              <w:rPr>
                <w:color w:val="auto"/>
                <w:highlight w:val="none"/>
              </w:rPr>
              <w:t>0.</w:t>
            </w:r>
            <w:r>
              <w:rPr>
                <w:rFonts w:hint="eastAsia"/>
                <w:color w:val="auto"/>
                <w:highlight w:val="none"/>
              </w:rPr>
              <w:t>64</w:t>
            </w:r>
          </w:p>
        </w:tc>
        <w:tc>
          <w:tcPr>
            <w:tcW w:w="363" w:type="pct"/>
            <w:gridSpan w:val="2"/>
            <w:tcBorders>
              <w:tl2br w:val="nil"/>
              <w:tr2bl w:val="nil"/>
            </w:tcBorders>
            <w:vAlign w:val="center"/>
          </w:tcPr>
          <w:p w14:paraId="5D22C068">
            <w:pPr>
              <w:pStyle w:val="41"/>
              <w:rPr>
                <w:color w:val="auto"/>
                <w:highlight w:val="none"/>
              </w:rPr>
            </w:pPr>
            <w:r>
              <w:rPr>
                <w:color w:val="auto"/>
                <w:highlight w:val="none"/>
              </w:rPr>
              <w:t>/</w:t>
            </w:r>
          </w:p>
        </w:tc>
        <w:tc>
          <w:tcPr>
            <w:tcW w:w="336" w:type="pct"/>
            <w:tcBorders>
              <w:tl2br w:val="nil"/>
              <w:tr2bl w:val="nil"/>
            </w:tcBorders>
            <w:vAlign w:val="center"/>
          </w:tcPr>
          <w:p w14:paraId="193C50D1">
            <w:pPr>
              <w:pStyle w:val="41"/>
              <w:rPr>
                <w:color w:val="auto"/>
                <w:highlight w:val="none"/>
              </w:rPr>
            </w:pPr>
            <w:r>
              <w:rPr>
                <w:color w:val="auto"/>
                <w:highlight w:val="none"/>
              </w:rPr>
              <w:t>7920</w:t>
            </w:r>
          </w:p>
        </w:tc>
      </w:tr>
      <w:tr w14:paraId="7D0CAD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7" w:type="dxa"/>
            <w:left w:w="57" w:type="dxa"/>
            <w:bottom w:w="17" w:type="dxa"/>
            <w:right w:w="57" w:type="dxa"/>
          </w:tblCellMar>
        </w:tblPrEx>
        <w:trPr>
          <w:trHeight w:val="880" w:hRule="atLeast"/>
          <w:jc w:val="center"/>
        </w:trPr>
        <w:tc>
          <w:tcPr>
            <w:tcW w:w="238" w:type="pct"/>
            <w:tcBorders>
              <w:tl2br w:val="nil"/>
              <w:tr2bl w:val="nil"/>
            </w:tcBorders>
            <w:tcMar>
              <w:left w:w="0" w:type="dxa"/>
              <w:right w:w="28" w:type="dxa"/>
            </w:tcMar>
            <w:vAlign w:val="center"/>
          </w:tcPr>
          <w:p w14:paraId="0BB89148">
            <w:pPr>
              <w:pStyle w:val="41"/>
              <w:rPr>
                <w:rFonts w:hint="default" w:eastAsia="华文中宋"/>
                <w:color w:val="auto"/>
                <w:highlight w:val="none"/>
                <w:lang w:val="en-US" w:eastAsia="zh-CN"/>
              </w:rPr>
            </w:pPr>
            <w:r>
              <w:rPr>
                <w:rFonts w:hint="eastAsia"/>
                <w:color w:val="auto"/>
                <w:highlight w:val="none"/>
                <w:lang w:val="en-US" w:eastAsia="zh-CN"/>
              </w:rPr>
              <w:t>12</w:t>
            </w:r>
          </w:p>
        </w:tc>
        <w:tc>
          <w:tcPr>
            <w:tcW w:w="361" w:type="pct"/>
            <w:tcBorders>
              <w:tl2br w:val="nil"/>
              <w:tr2bl w:val="nil"/>
            </w:tcBorders>
            <w:tcMar>
              <w:left w:w="0" w:type="dxa"/>
              <w:right w:w="28" w:type="dxa"/>
            </w:tcMar>
            <w:vAlign w:val="center"/>
          </w:tcPr>
          <w:p w14:paraId="731496C1">
            <w:pPr>
              <w:pStyle w:val="41"/>
              <w:rPr>
                <w:color w:val="auto"/>
                <w:highlight w:val="none"/>
              </w:rPr>
            </w:pPr>
            <w:r>
              <w:rPr>
                <w:color w:val="auto"/>
                <w:highlight w:val="none"/>
              </w:rPr>
              <w:t>运输扬尘</w:t>
            </w:r>
          </w:p>
        </w:tc>
        <w:tc>
          <w:tcPr>
            <w:tcW w:w="279" w:type="pct"/>
            <w:tcBorders>
              <w:tl2br w:val="nil"/>
              <w:tr2bl w:val="nil"/>
            </w:tcBorders>
            <w:vAlign w:val="center"/>
          </w:tcPr>
          <w:p w14:paraId="77E86332">
            <w:pPr>
              <w:pStyle w:val="41"/>
              <w:rPr>
                <w:color w:val="auto"/>
                <w:highlight w:val="none"/>
              </w:rPr>
            </w:pPr>
            <w:r>
              <w:rPr>
                <w:color w:val="auto"/>
                <w:highlight w:val="none"/>
              </w:rPr>
              <w:t>颗粒物</w:t>
            </w:r>
          </w:p>
        </w:tc>
        <w:tc>
          <w:tcPr>
            <w:tcW w:w="238" w:type="pct"/>
            <w:tcBorders>
              <w:tl2br w:val="nil"/>
              <w:tr2bl w:val="nil"/>
            </w:tcBorders>
            <w:tcMar>
              <w:left w:w="0" w:type="dxa"/>
            </w:tcMar>
            <w:vAlign w:val="center"/>
          </w:tcPr>
          <w:p w14:paraId="29326363">
            <w:pPr>
              <w:pStyle w:val="41"/>
              <w:rPr>
                <w:color w:val="auto"/>
                <w:highlight w:val="none"/>
              </w:rPr>
            </w:pPr>
            <w:r>
              <w:rPr>
                <w:color w:val="auto"/>
                <w:highlight w:val="none"/>
              </w:rPr>
              <w:t>系数法</w:t>
            </w:r>
          </w:p>
        </w:tc>
        <w:tc>
          <w:tcPr>
            <w:tcW w:w="367" w:type="pct"/>
            <w:tcBorders>
              <w:tl2br w:val="nil"/>
              <w:tr2bl w:val="nil"/>
            </w:tcBorders>
            <w:tcMar>
              <w:left w:w="0" w:type="dxa"/>
            </w:tcMar>
            <w:vAlign w:val="center"/>
          </w:tcPr>
          <w:p w14:paraId="0D1B87F0">
            <w:pPr>
              <w:pStyle w:val="41"/>
              <w:rPr>
                <w:color w:val="auto"/>
                <w:highlight w:val="none"/>
              </w:rPr>
            </w:pPr>
            <w:r>
              <w:rPr>
                <w:color w:val="auto"/>
                <w:highlight w:val="none"/>
              </w:rPr>
              <w:t>无组织</w:t>
            </w:r>
          </w:p>
        </w:tc>
        <w:tc>
          <w:tcPr>
            <w:tcW w:w="301" w:type="pct"/>
            <w:tcBorders>
              <w:tl2br w:val="nil"/>
              <w:tr2bl w:val="nil"/>
            </w:tcBorders>
            <w:tcMar>
              <w:left w:w="0" w:type="dxa"/>
            </w:tcMar>
            <w:vAlign w:val="center"/>
          </w:tcPr>
          <w:p w14:paraId="743AB3CA">
            <w:pPr>
              <w:pStyle w:val="41"/>
              <w:rPr>
                <w:color w:val="auto"/>
                <w:highlight w:val="none"/>
              </w:rPr>
            </w:pPr>
            <w:r>
              <w:rPr>
                <w:rFonts w:hint="eastAsia"/>
                <w:color w:val="auto"/>
                <w:highlight w:val="none"/>
              </w:rPr>
              <w:t>109.41</w:t>
            </w:r>
          </w:p>
        </w:tc>
        <w:tc>
          <w:tcPr>
            <w:tcW w:w="445" w:type="pct"/>
            <w:tcBorders>
              <w:tl2br w:val="nil"/>
              <w:tr2bl w:val="nil"/>
            </w:tcBorders>
            <w:vAlign w:val="center"/>
          </w:tcPr>
          <w:p w14:paraId="0B102FAB">
            <w:pPr>
              <w:pStyle w:val="41"/>
              <w:rPr>
                <w:color w:val="auto"/>
                <w:highlight w:val="none"/>
              </w:rPr>
            </w:pPr>
            <w:r>
              <w:rPr>
                <w:color w:val="auto"/>
                <w:highlight w:val="none"/>
              </w:rPr>
              <w:t>/</w:t>
            </w:r>
          </w:p>
        </w:tc>
        <w:tc>
          <w:tcPr>
            <w:tcW w:w="472" w:type="pct"/>
            <w:tcBorders>
              <w:tl2br w:val="nil"/>
              <w:tr2bl w:val="nil"/>
            </w:tcBorders>
            <w:vAlign w:val="center"/>
          </w:tcPr>
          <w:p w14:paraId="07015A2A">
            <w:pPr>
              <w:pStyle w:val="41"/>
              <w:rPr>
                <w:color w:val="auto"/>
                <w:highlight w:val="none"/>
              </w:rPr>
            </w:pPr>
            <w:r>
              <w:rPr>
                <w:color w:val="auto"/>
                <w:highlight w:val="none"/>
              </w:rPr>
              <w:t>/</w:t>
            </w:r>
          </w:p>
        </w:tc>
        <w:tc>
          <w:tcPr>
            <w:tcW w:w="466" w:type="pct"/>
            <w:tcBorders>
              <w:tl2br w:val="nil"/>
              <w:tr2bl w:val="nil"/>
            </w:tcBorders>
            <w:vAlign w:val="center"/>
          </w:tcPr>
          <w:p w14:paraId="59ECA2B9">
            <w:pPr>
              <w:pStyle w:val="41"/>
              <w:rPr>
                <w:color w:val="auto"/>
                <w:highlight w:val="none"/>
              </w:rPr>
            </w:pPr>
            <w:r>
              <w:rPr>
                <w:color w:val="auto"/>
                <w:highlight w:val="none"/>
              </w:rPr>
              <w:t>洒水降尘、</w:t>
            </w:r>
            <w:r>
              <w:rPr>
                <w:color w:val="auto"/>
                <w:highlight w:val="none"/>
              </w:rPr>
              <w:t>道路</w:t>
            </w:r>
            <w:r>
              <w:rPr>
                <w:color w:val="auto"/>
                <w:highlight w:val="none"/>
              </w:rPr>
              <w:t>硬化</w:t>
            </w:r>
            <w:r>
              <w:rPr>
                <w:rFonts w:hint="eastAsia"/>
                <w:color w:val="auto"/>
                <w:highlight w:val="none"/>
                <w:lang w:eastAsia="zh-CN"/>
              </w:rPr>
              <w:t>、</w:t>
            </w:r>
            <w:r>
              <w:rPr>
                <w:color w:val="auto"/>
                <w:highlight w:val="none"/>
              </w:rPr>
              <w:t>及时清扫</w:t>
            </w:r>
          </w:p>
        </w:tc>
        <w:tc>
          <w:tcPr>
            <w:tcW w:w="269" w:type="pct"/>
            <w:tcBorders>
              <w:tl2br w:val="nil"/>
              <w:tr2bl w:val="nil"/>
            </w:tcBorders>
            <w:vAlign w:val="center"/>
          </w:tcPr>
          <w:p w14:paraId="662B6627">
            <w:pPr>
              <w:pStyle w:val="41"/>
              <w:rPr>
                <w:color w:val="auto"/>
                <w:highlight w:val="none"/>
              </w:rPr>
            </w:pPr>
            <w:r>
              <w:rPr>
                <w:color w:val="auto"/>
                <w:highlight w:val="none"/>
              </w:rPr>
              <w:t>85</w:t>
            </w:r>
          </w:p>
        </w:tc>
        <w:tc>
          <w:tcPr>
            <w:tcW w:w="380" w:type="pct"/>
            <w:tcBorders>
              <w:tl2br w:val="nil"/>
              <w:tr2bl w:val="nil"/>
            </w:tcBorders>
            <w:vAlign w:val="center"/>
          </w:tcPr>
          <w:p w14:paraId="29FAC2EE">
            <w:pPr>
              <w:pStyle w:val="41"/>
              <w:rPr>
                <w:color w:val="auto"/>
                <w:highlight w:val="none"/>
              </w:rPr>
            </w:pPr>
            <w:r>
              <w:rPr>
                <w:rFonts w:hint="eastAsia"/>
                <w:color w:val="auto"/>
                <w:highlight w:val="none"/>
              </w:rPr>
              <w:t>16.41</w:t>
            </w:r>
          </w:p>
        </w:tc>
        <w:tc>
          <w:tcPr>
            <w:tcW w:w="482" w:type="pct"/>
            <w:gridSpan w:val="2"/>
            <w:tcBorders>
              <w:tl2br w:val="nil"/>
              <w:tr2bl w:val="nil"/>
            </w:tcBorders>
            <w:vAlign w:val="center"/>
          </w:tcPr>
          <w:p w14:paraId="1414F95C">
            <w:pPr>
              <w:pStyle w:val="41"/>
              <w:rPr>
                <w:color w:val="auto"/>
                <w:highlight w:val="none"/>
              </w:rPr>
            </w:pPr>
            <w:r>
              <w:rPr>
                <w:color w:val="auto"/>
                <w:highlight w:val="none"/>
              </w:rPr>
              <w:t>/</w:t>
            </w:r>
          </w:p>
        </w:tc>
        <w:tc>
          <w:tcPr>
            <w:tcW w:w="361" w:type="pct"/>
            <w:tcBorders>
              <w:tl2br w:val="nil"/>
              <w:tr2bl w:val="nil"/>
            </w:tcBorders>
            <w:vAlign w:val="center"/>
          </w:tcPr>
          <w:p w14:paraId="03AEEA2F">
            <w:pPr>
              <w:pStyle w:val="41"/>
              <w:rPr>
                <w:color w:val="auto"/>
                <w:highlight w:val="none"/>
              </w:rPr>
            </w:pPr>
            <w:r>
              <w:rPr>
                <w:color w:val="auto"/>
                <w:highlight w:val="none"/>
              </w:rPr>
              <w:t>/</w:t>
            </w:r>
          </w:p>
        </w:tc>
        <w:tc>
          <w:tcPr>
            <w:tcW w:w="336" w:type="pct"/>
            <w:tcBorders>
              <w:tl2br w:val="nil"/>
              <w:tr2bl w:val="nil"/>
            </w:tcBorders>
            <w:vAlign w:val="center"/>
          </w:tcPr>
          <w:p w14:paraId="685AC38C">
            <w:pPr>
              <w:pStyle w:val="41"/>
              <w:rPr>
                <w:color w:val="auto"/>
                <w:highlight w:val="none"/>
              </w:rPr>
            </w:pPr>
            <w:r>
              <w:rPr>
                <w:color w:val="auto"/>
                <w:highlight w:val="none"/>
              </w:rPr>
              <w:t>7920</w:t>
            </w:r>
          </w:p>
        </w:tc>
      </w:tr>
    </w:tbl>
    <w:p w14:paraId="600E7D61">
      <w:pPr>
        <w:pStyle w:val="40"/>
        <w:spacing w:before="24" w:after="24"/>
        <w:rPr>
          <w:color w:val="auto"/>
          <w:highlight w:val="none"/>
        </w:rPr>
      </w:pPr>
    </w:p>
    <w:p w14:paraId="1A84AE8B">
      <w:pPr>
        <w:pStyle w:val="3"/>
        <w:ind w:firstLine="480"/>
        <w:rPr>
          <w:color w:val="auto"/>
          <w:highlight w:val="none"/>
        </w:rPr>
      </w:pPr>
    </w:p>
    <w:p w14:paraId="6F28C370">
      <w:pPr>
        <w:pStyle w:val="3"/>
        <w:ind w:firstLine="480"/>
        <w:rPr>
          <w:color w:val="auto"/>
          <w:highlight w:val="none"/>
        </w:rPr>
        <w:sectPr>
          <w:pgSz w:w="16840" w:h="11900" w:orient="landscape"/>
          <w:pgMar w:top="1803" w:right="1440" w:bottom="1803" w:left="1440" w:header="1020" w:footer="673" w:gutter="0"/>
          <w:pgBorders>
            <w:top w:val="none" w:sz="0" w:space="0"/>
            <w:left w:val="none" w:sz="0" w:space="0"/>
            <w:bottom w:val="none" w:sz="0" w:space="0"/>
            <w:right w:val="none" w:sz="0" w:space="0"/>
          </w:pgBorders>
          <w:cols w:space="720" w:num="1"/>
          <w:docGrid w:linePitch="326" w:charSpace="0"/>
        </w:sectPr>
      </w:pPr>
    </w:p>
    <w:p w14:paraId="09DEA1B1">
      <w:pPr>
        <w:pStyle w:val="43"/>
        <w:rPr>
          <w:color w:val="auto"/>
          <w:highlight w:val="none"/>
        </w:rPr>
      </w:pPr>
      <w:r>
        <w:rPr>
          <w:color w:val="auto"/>
          <w:highlight w:val="none"/>
        </w:rPr>
        <w:t>水污染源</w:t>
      </w:r>
    </w:p>
    <w:p w14:paraId="3CEDBC79">
      <w:pPr>
        <w:pStyle w:val="3"/>
        <w:ind w:firstLine="480"/>
        <w:rPr>
          <w:color w:val="auto"/>
          <w:highlight w:val="none"/>
        </w:rPr>
      </w:pPr>
      <w:r>
        <w:rPr>
          <w:color w:val="auto"/>
          <w:highlight w:val="none"/>
        </w:rPr>
        <w:t>（1）选矿废水</w:t>
      </w:r>
    </w:p>
    <w:p w14:paraId="07643824">
      <w:pPr>
        <w:pStyle w:val="3"/>
        <w:ind w:firstLine="480"/>
        <w:rPr>
          <w:color w:val="auto"/>
          <w:highlight w:val="none"/>
        </w:rPr>
      </w:pPr>
      <w:r>
        <w:rPr>
          <w:color w:val="auto"/>
          <w:highlight w:val="none"/>
        </w:rPr>
        <w:t>本项目选矿废水</w:t>
      </w:r>
      <w:r>
        <w:rPr>
          <w:rFonts w:hint="eastAsia"/>
          <w:color w:val="auto"/>
          <w:highlight w:val="none"/>
        </w:rPr>
        <w:t>沉淀处理后</w:t>
      </w:r>
      <w:r>
        <w:rPr>
          <w:color w:val="auto"/>
          <w:highlight w:val="none"/>
        </w:rPr>
        <w:t>循环利用，不外排。</w:t>
      </w:r>
    </w:p>
    <w:p w14:paraId="2ACA69D0">
      <w:pPr>
        <w:pStyle w:val="3"/>
        <w:ind w:firstLine="480"/>
        <w:rPr>
          <w:color w:val="auto"/>
          <w:highlight w:val="none"/>
        </w:rPr>
      </w:pPr>
      <w:r>
        <w:rPr>
          <w:color w:val="auto"/>
          <w:highlight w:val="none"/>
        </w:rPr>
        <w:t>选矿废水主要污染因子为pH、COD、SS及少量金属等。选矿</w:t>
      </w:r>
      <w:r>
        <w:rPr>
          <w:rFonts w:hint="eastAsia"/>
          <w:color w:val="auto"/>
          <w:highlight w:val="none"/>
        </w:rPr>
        <w:t>用</w:t>
      </w:r>
      <w:r>
        <w:rPr>
          <w:color w:val="auto"/>
          <w:highlight w:val="none"/>
        </w:rPr>
        <w:t>水部分被</w:t>
      </w:r>
      <w:r>
        <w:rPr>
          <w:rFonts w:hint="eastAsia"/>
          <w:color w:val="auto"/>
          <w:highlight w:val="none"/>
        </w:rPr>
        <w:t>钛精矿、</w:t>
      </w:r>
      <w:r>
        <w:rPr>
          <w:color w:val="auto"/>
          <w:highlight w:val="none"/>
        </w:rPr>
        <w:t>铁精</w:t>
      </w:r>
      <w:r>
        <w:rPr>
          <w:rFonts w:hint="eastAsia"/>
          <w:color w:val="auto"/>
          <w:highlight w:val="none"/>
        </w:rPr>
        <w:t>矿</w:t>
      </w:r>
      <w:r>
        <w:rPr>
          <w:color w:val="auto"/>
          <w:highlight w:val="none"/>
        </w:rPr>
        <w:t>带走，</w:t>
      </w:r>
      <w:r>
        <w:rPr>
          <w:rFonts w:hint="eastAsia"/>
          <w:color w:val="auto"/>
          <w:highlight w:val="none"/>
        </w:rPr>
        <w:t>选矿厂</w:t>
      </w:r>
      <w:r>
        <w:rPr>
          <w:color w:val="auto"/>
          <w:highlight w:val="none"/>
        </w:rPr>
        <w:t>设有回水系统，</w:t>
      </w:r>
      <w:r>
        <w:rPr>
          <w:rFonts w:hint="eastAsia"/>
          <w:color w:val="auto"/>
          <w:highlight w:val="none"/>
        </w:rPr>
        <w:t>工艺用水经选矿浓密机溢流水、脱水设备的溢流水等均流到厂区的回水池，再用泵输送到工艺设备用水点。</w:t>
      </w:r>
      <w:r>
        <w:rPr>
          <w:color w:val="auto"/>
          <w:highlight w:val="none"/>
        </w:rPr>
        <w:t>实现生产废水“闭路循环”，不外排</w:t>
      </w:r>
      <w:r>
        <w:rPr>
          <w:rFonts w:hint="eastAsia"/>
          <w:color w:val="auto"/>
          <w:highlight w:val="none"/>
        </w:rPr>
        <w:t>。本项目是利用矿物颗粒自身表面的疏水性分离矿物的方法，属于物理过程。因此所产生的废水主要为生产过程中矿石成分，回用后不会对生产产生影响。</w:t>
      </w:r>
    </w:p>
    <w:p w14:paraId="324A14E6">
      <w:pPr>
        <w:pStyle w:val="3"/>
        <w:ind w:firstLine="480"/>
        <w:rPr>
          <w:color w:val="auto"/>
          <w:highlight w:val="none"/>
        </w:rPr>
      </w:pPr>
      <w:r>
        <w:rPr>
          <w:color w:val="auto"/>
          <w:highlight w:val="none"/>
        </w:rPr>
        <w:t>（2）生活污水</w:t>
      </w:r>
    </w:p>
    <w:p w14:paraId="5F108834">
      <w:pPr>
        <w:pStyle w:val="3"/>
        <w:ind w:firstLine="480"/>
        <w:rPr>
          <w:rFonts w:hint="eastAsia"/>
          <w:color w:val="auto"/>
          <w:highlight w:val="none"/>
        </w:rPr>
      </w:pPr>
      <w:r>
        <w:rPr>
          <w:rFonts w:hint="eastAsia"/>
          <w:color w:val="auto"/>
          <w:highlight w:val="none"/>
        </w:rPr>
        <w:t>本项目生活污水排入原有地埋式一体化污水处理设施处理，处理规模200</w:t>
      </w:r>
      <w:r>
        <w:rPr>
          <w:color w:val="auto"/>
          <w:highlight w:val="none"/>
        </w:rPr>
        <w:t>m</w:t>
      </w:r>
      <w:r>
        <w:rPr>
          <w:color w:val="auto"/>
          <w:highlight w:val="none"/>
          <w:vertAlign w:val="superscript"/>
        </w:rPr>
        <w:t>3</w:t>
      </w:r>
      <w:r>
        <w:rPr>
          <w:color w:val="auto"/>
          <w:highlight w:val="none"/>
        </w:rPr>
        <w:t>/d</w:t>
      </w:r>
      <w:r>
        <w:rPr>
          <w:rFonts w:hint="eastAsia"/>
          <w:color w:val="auto"/>
          <w:highlight w:val="none"/>
        </w:rPr>
        <w:t>，废水处理达到《城市污水再生利用城市杂用水水质》</w:t>
      </w:r>
      <w:r>
        <w:rPr>
          <w:rFonts w:hint="eastAsia"/>
          <w:color w:val="auto"/>
          <w:highlight w:val="none"/>
          <w:lang w:eastAsia="zh-CN"/>
        </w:rPr>
        <w:t>（</w:t>
      </w:r>
      <w:r>
        <w:rPr>
          <w:rFonts w:hint="eastAsia"/>
          <w:color w:val="auto"/>
          <w:highlight w:val="none"/>
        </w:rPr>
        <w:t>GB/T 18920-2020</w:t>
      </w:r>
      <w:r>
        <w:rPr>
          <w:rFonts w:hint="eastAsia"/>
          <w:color w:val="auto"/>
          <w:highlight w:val="none"/>
          <w:lang w:eastAsia="zh-CN"/>
        </w:rPr>
        <w:t>）</w:t>
      </w:r>
      <w:r>
        <w:rPr>
          <w:rFonts w:hint="eastAsia"/>
          <w:color w:val="auto"/>
          <w:highlight w:val="none"/>
        </w:rPr>
        <w:t>中的城市绿化、道路清扫、消防、建筑施工限值后回用于厂区抑尘，不外排。</w:t>
      </w:r>
    </w:p>
    <w:p w14:paraId="18462C21">
      <w:pPr>
        <w:pStyle w:val="43"/>
        <w:rPr>
          <w:color w:val="auto"/>
          <w:highlight w:val="none"/>
        </w:rPr>
      </w:pPr>
      <w:r>
        <w:rPr>
          <w:color w:val="auto"/>
          <w:highlight w:val="none"/>
        </w:rPr>
        <w:t>噪声</w:t>
      </w:r>
    </w:p>
    <w:p w14:paraId="57179D6B">
      <w:pPr>
        <w:pStyle w:val="3"/>
        <w:ind w:firstLine="480"/>
        <w:rPr>
          <w:color w:val="auto"/>
          <w:highlight w:val="none"/>
        </w:rPr>
      </w:pPr>
      <w:r>
        <w:rPr>
          <w:color w:val="auto"/>
          <w:highlight w:val="none"/>
        </w:rPr>
        <w:t>本项目噪声污染源主要为喂料机、破碎机、振动筛、球磨机以及各种风机、泵类，其工作过程产生机械噪声。本项目噪声设备均设置在车间内，单台噪声源强在83~100dB（A）之间。拟采取基础减振措施后，噪声源强预计可削减10dB（A）左右。噪声源的声压级及防治措施见表3.4-1</w:t>
      </w:r>
      <w:r>
        <w:rPr>
          <w:rFonts w:hint="eastAsia"/>
          <w:color w:val="auto"/>
          <w:highlight w:val="none"/>
        </w:rPr>
        <w:t>4</w:t>
      </w:r>
      <w:r>
        <w:rPr>
          <w:color w:val="auto"/>
          <w:highlight w:val="none"/>
        </w:rPr>
        <w:t>。</w:t>
      </w:r>
    </w:p>
    <w:p w14:paraId="3FFEEAE3">
      <w:pPr>
        <w:pStyle w:val="40"/>
        <w:spacing w:before="31" w:after="31"/>
        <w:rPr>
          <w:color w:val="auto"/>
          <w:highlight w:val="none"/>
        </w:rPr>
      </w:pPr>
      <w:r>
        <w:rPr>
          <w:color w:val="auto"/>
          <w:highlight w:val="none"/>
        </w:rPr>
        <w:t>表3.4-1</w:t>
      </w:r>
      <w:r>
        <w:rPr>
          <w:rFonts w:hint="eastAsia"/>
          <w:color w:val="auto"/>
          <w:highlight w:val="none"/>
        </w:rPr>
        <w:t>4</w:t>
      </w:r>
      <w:r>
        <w:rPr>
          <w:color w:val="auto"/>
          <w:highlight w:val="none"/>
        </w:rPr>
        <w:t xml:space="preserve">    主要噪声源噪声级及采取的措施</w:t>
      </w:r>
    </w:p>
    <w:tbl>
      <w:tblPr>
        <w:tblStyle w:val="25"/>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26"/>
        <w:gridCol w:w="657"/>
        <w:gridCol w:w="1716"/>
        <w:gridCol w:w="1484"/>
        <w:gridCol w:w="1158"/>
        <w:gridCol w:w="1158"/>
        <w:gridCol w:w="1158"/>
      </w:tblGrid>
      <w:tr w14:paraId="3B2789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27" w:hRule="atLeast"/>
        </w:trPr>
        <w:tc>
          <w:tcPr>
            <w:tcW w:w="613" w:type="pct"/>
            <w:vMerge w:val="restart"/>
            <w:tcBorders>
              <w:top w:val="single" w:color="auto" w:sz="12" w:space="0"/>
              <w:left w:val="single" w:color="auto" w:sz="12" w:space="0"/>
              <w:bottom w:val="single" w:color="auto" w:sz="4" w:space="0"/>
              <w:right w:val="single" w:color="auto" w:sz="4" w:space="0"/>
              <w:tl2br w:val="nil"/>
              <w:tr2bl w:val="nil"/>
            </w:tcBorders>
            <w:tcMar>
              <w:left w:w="28" w:type="dxa"/>
              <w:right w:w="28" w:type="dxa"/>
            </w:tcMar>
            <w:vAlign w:val="center"/>
          </w:tcPr>
          <w:p w14:paraId="3185D836">
            <w:pPr>
              <w:pStyle w:val="41"/>
              <w:rPr>
                <w:color w:val="auto"/>
                <w:highlight w:val="none"/>
              </w:rPr>
            </w:pPr>
            <w:r>
              <w:rPr>
                <w:color w:val="auto"/>
                <w:highlight w:val="none"/>
              </w:rPr>
              <w:t>建筑名称</w:t>
            </w:r>
          </w:p>
        </w:tc>
        <w:tc>
          <w:tcPr>
            <w:tcW w:w="393" w:type="pct"/>
            <w:vMerge w:val="restart"/>
            <w:tcBorders>
              <w:top w:val="single" w:color="auto" w:sz="12" w:space="0"/>
              <w:left w:val="single" w:color="auto" w:sz="4" w:space="0"/>
              <w:bottom w:val="single" w:color="auto" w:sz="4" w:space="0"/>
              <w:right w:val="single" w:color="auto" w:sz="4" w:space="0"/>
              <w:tl2br w:val="nil"/>
              <w:tr2bl w:val="nil"/>
            </w:tcBorders>
            <w:tcMar>
              <w:left w:w="28" w:type="dxa"/>
              <w:right w:w="28" w:type="dxa"/>
            </w:tcMar>
            <w:vAlign w:val="center"/>
          </w:tcPr>
          <w:p w14:paraId="76C46FF9">
            <w:pPr>
              <w:pStyle w:val="41"/>
              <w:rPr>
                <w:color w:val="auto"/>
                <w:highlight w:val="none"/>
              </w:rPr>
            </w:pPr>
            <w:r>
              <w:rPr>
                <w:color w:val="auto"/>
                <w:highlight w:val="none"/>
              </w:rPr>
              <w:t>序号</w:t>
            </w:r>
          </w:p>
        </w:tc>
        <w:tc>
          <w:tcPr>
            <w:tcW w:w="1026" w:type="pct"/>
            <w:vMerge w:val="restart"/>
            <w:tcBorders>
              <w:top w:val="single" w:color="auto" w:sz="12" w:space="0"/>
              <w:left w:val="single" w:color="auto" w:sz="4" w:space="0"/>
              <w:bottom w:val="single" w:color="auto" w:sz="4" w:space="0"/>
              <w:right w:val="single" w:color="auto" w:sz="4" w:space="0"/>
              <w:tl2br w:val="nil"/>
              <w:tr2bl w:val="nil"/>
            </w:tcBorders>
            <w:tcMar>
              <w:left w:w="28" w:type="dxa"/>
              <w:right w:w="28" w:type="dxa"/>
            </w:tcMar>
            <w:vAlign w:val="center"/>
          </w:tcPr>
          <w:p w14:paraId="690893EC">
            <w:pPr>
              <w:pStyle w:val="41"/>
              <w:rPr>
                <w:color w:val="auto"/>
                <w:highlight w:val="none"/>
              </w:rPr>
            </w:pPr>
            <w:r>
              <w:rPr>
                <w:color w:val="auto"/>
                <w:highlight w:val="none"/>
              </w:rPr>
              <w:t>声源名称</w:t>
            </w:r>
          </w:p>
        </w:tc>
        <w:tc>
          <w:tcPr>
            <w:tcW w:w="887" w:type="pct"/>
            <w:tcBorders>
              <w:top w:val="single" w:color="auto" w:sz="12" w:space="0"/>
              <w:left w:val="single" w:color="auto" w:sz="4" w:space="0"/>
              <w:bottom w:val="single" w:color="auto" w:sz="4" w:space="0"/>
              <w:right w:val="single" w:color="auto" w:sz="4" w:space="0"/>
              <w:tl2br w:val="nil"/>
              <w:tr2bl w:val="nil"/>
            </w:tcBorders>
            <w:tcMar>
              <w:left w:w="28" w:type="dxa"/>
              <w:right w:w="28" w:type="dxa"/>
            </w:tcMar>
            <w:vAlign w:val="center"/>
          </w:tcPr>
          <w:p w14:paraId="091FB74E">
            <w:pPr>
              <w:pStyle w:val="41"/>
              <w:rPr>
                <w:color w:val="auto"/>
                <w:highlight w:val="none"/>
              </w:rPr>
            </w:pPr>
            <w:r>
              <w:rPr>
                <w:color w:val="auto"/>
                <w:highlight w:val="none"/>
              </w:rPr>
              <w:t>声源源强</w:t>
            </w:r>
          </w:p>
        </w:tc>
        <w:tc>
          <w:tcPr>
            <w:tcW w:w="692" w:type="pct"/>
            <w:vMerge w:val="restart"/>
            <w:tcBorders>
              <w:top w:val="single" w:color="auto" w:sz="12" w:space="0"/>
              <w:left w:val="single" w:color="auto" w:sz="4" w:space="0"/>
              <w:right w:val="single" w:color="auto" w:sz="4" w:space="0"/>
              <w:tl2br w:val="nil"/>
              <w:tr2bl w:val="nil"/>
            </w:tcBorders>
            <w:tcMar>
              <w:left w:w="28" w:type="dxa"/>
              <w:right w:w="28" w:type="dxa"/>
            </w:tcMar>
            <w:vAlign w:val="center"/>
          </w:tcPr>
          <w:p w14:paraId="20C7D466">
            <w:pPr>
              <w:pStyle w:val="41"/>
              <w:rPr>
                <w:color w:val="auto"/>
                <w:highlight w:val="none"/>
              </w:rPr>
            </w:pPr>
            <w:r>
              <w:rPr>
                <w:rFonts w:hint="eastAsia"/>
                <w:color w:val="auto"/>
                <w:highlight w:val="none"/>
              </w:rPr>
              <w:t>声源特性</w:t>
            </w:r>
          </w:p>
        </w:tc>
        <w:tc>
          <w:tcPr>
            <w:tcW w:w="692" w:type="pct"/>
            <w:vMerge w:val="restart"/>
            <w:tcBorders>
              <w:top w:val="single" w:color="auto" w:sz="12" w:space="0"/>
              <w:left w:val="single" w:color="auto" w:sz="4" w:space="0"/>
              <w:right w:val="single" w:color="auto" w:sz="4" w:space="0"/>
              <w:tl2br w:val="nil"/>
              <w:tr2bl w:val="nil"/>
            </w:tcBorders>
            <w:tcMar>
              <w:left w:w="28" w:type="dxa"/>
              <w:right w:w="28" w:type="dxa"/>
            </w:tcMar>
            <w:vAlign w:val="center"/>
          </w:tcPr>
          <w:p w14:paraId="2D2C1536">
            <w:pPr>
              <w:pStyle w:val="41"/>
              <w:rPr>
                <w:color w:val="auto"/>
                <w:highlight w:val="none"/>
              </w:rPr>
            </w:pPr>
            <w:r>
              <w:rPr>
                <w:rFonts w:hint="eastAsia"/>
                <w:color w:val="auto"/>
                <w:highlight w:val="none"/>
              </w:rPr>
              <w:t>声源降噪措施</w:t>
            </w:r>
          </w:p>
        </w:tc>
        <w:tc>
          <w:tcPr>
            <w:tcW w:w="692" w:type="pct"/>
            <w:tcBorders>
              <w:top w:val="single" w:color="auto" w:sz="12" w:space="0"/>
              <w:left w:val="single" w:color="auto" w:sz="4" w:space="0"/>
              <w:bottom w:val="single" w:color="auto" w:sz="4" w:space="0"/>
              <w:right w:val="single" w:color="auto" w:sz="4" w:space="0"/>
              <w:tl2br w:val="nil"/>
              <w:tr2bl w:val="nil"/>
            </w:tcBorders>
            <w:tcMar>
              <w:left w:w="28" w:type="dxa"/>
              <w:right w:w="28" w:type="dxa"/>
            </w:tcMar>
            <w:vAlign w:val="center"/>
          </w:tcPr>
          <w:p w14:paraId="0F368F63">
            <w:pPr>
              <w:pStyle w:val="41"/>
              <w:rPr>
                <w:color w:val="auto"/>
                <w:highlight w:val="none"/>
              </w:rPr>
            </w:pPr>
            <w:r>
              <w:rPr>
                <w:rFonts w:hint="eastAsia"/>
                <w:color w:val="auto"/>
                <w:highlight w:val="none"/>
              </w:rPr>
              <w:t>措施后源强</w:t>
            </w:r>
          </w:p>
        </w:tc>
      </w:tr>
      <w:tr w14:paraId="469FFA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6D1F638">
            <w:pPr>
              <w:pStyle w:val="41"/>
              <w:rPr>
                <w:color w:val="auto"/>
                <w:highlight w:val="none"/>
              </w:rPr>
            </w:pPr>
          </w:p>
        </w:tc>
        <w:tc>
          <w:tcPr>
            <w:tcW w:w="39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FDFA792">
            <w:pPr>
              <w:pStyle w:val="41"/>
              <w:rPr>
                <w:color w:val="auto"/>
                <w:highlight w:val="none"/>
              </w:rPr>
            </w:pPr>
          </w:p>
        </w:tc>
        <w:tc>
          <w:tcPr>
            <w:tcW w:w="1026"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22C7529">
            <w:pPr>
              <w:pStyle w:val="41"/>
              <w:rPr>
                <w:color w:val="auto"/>
                <w:highlight w:val="none"/>
              </w:rPr>
            </w:pP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E97A01B">
            <w:pPr>
              <w:pStyle w:val="41"/>
              <w:rPr>
                <w:color w:val="auto"/>
                <w:highlight w:val="none"/>
              </w:rPr>
            </w:pPr>
            <w:r>
              <w:rPr>
                <w:color w:val="auto"/>
                <w:highlight w:val="none"/>
              </w:rPr>
              <w:t>声功率级/dB（A）</w:t>
            </w:r>
          </w:p>
        </w:tc>
        <w:tc>
          <w:tcPr>
            <w:tcW w:w="692" w:type="pct"/>
            <w:vMerge w:val="continue"/>
            <w:tcBorders>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9E5E92E">
            <w:pPr>
              <w:pStyle w:val="41"/>
              <w:rPr>
                <w:color w:val="auto"/>
                <w:highlight w:val="none"/>
              </w:rPr>
            </w:pPr>
          </w:p>
        </w:tc>
        <w:tc>
          <w:tcPr>
            <w:tcW w:w="692" w:type="pct"/>
            <w:vMerge w:val="continue"/>
            <w:tcBorders>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42F341F">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1EF5BC2">
            <w:pPr>
              <w:pStyle w:val="41"/>
              <w:rPr>
                <w:color w:val="auto"/>
                <w:highlight w:val="none"/>
              </w:rPr>
            </w:pPr>
            <w:r>
              <w:rPr>
                <w:color w:val="auto"/>
                <w:highlight w:val="none"/>
              </w:rPr>
              <w:t>声功率级/dB（A）</w:t>
            </w:r>
          </w:p>
        </w:tc>
      </w:tr>
      <w:tr w14:paraId="4B3528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restart"/>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2650502">
            <w:pPr>
              <w:pStyle w:val="41"/>
              <w:rPr>
                <w:color w:val="auto"/>
                <w:highlight w:val="none"/>
              </w:rPr>
            </w:pPr>
            <w:r>
              <w:rPr>
                <w:color w:val="auto"/>
                <w:highlight w:val="none"/>
              </w:rPr>
              <w:t>破碎筛分车间</w:t>
            </w: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87DC73C">
            <w:pPr>
              <w:pStyle w:val="41"/>
              <w:rPr>
                <w:color w:val="auto"/>
                <w:highlight w:val="none"/>
              </w:rPr>
            </w:pPr>
            <w:r>
              <w:rPr>
                <w:color w:val="auto"/>
                <w:highlight w:val="none"/>
              </w:rPr>
              <w:t>1</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C513AC5">
            <w:pPr>
              <w:pStyle w:val="41"/>
              <w:rPr>
                <w:color w:val="auto"/>
                <w:highlight w:val="none"/>
              </w:rPr>
            </w:pPr>
            <w:r>
              <w:rPr>
                <w:color w:val="auto"/>
                <w:highlight w:val="none"/>
              </w:rPr>
              <w:t>链板喂料</w:t>
            </w:r>
            <w:r>
              <w:rPr>
                <w:rFonts w:hint="eastAsia"/>
                <w:color w:val="auto"/>
                <w:highlight w:val="none"/>
              </w:rPr>
              <w:t>机</w:t>
            </w:r>
            <w:r>
              <w:rPr>
                <w:color w:val="auto"/>
                <w:highlight w:val="none"/>
              </w:rPr>
              <w:t>×1</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3484640">
            <w:pPr>
              <w:pStyle w:val="41"/>
              <w:rPr>
                <w:color w:val="auto"/>
                <w:highlight w:val="none"/>
              </w:rPr>
            </w:pPr>
            <w:r>
              <w:rPr>
                <w:color w:val="auto"/>
                <w:highlight w:val="none"/>
              </w:rPr>
              <w:t>83</w:t>
            </w:r>
          </w:p>
        </w:tc>
        <w:tc>
          <w:tcPr>
            <w:tcW w:w="692" w:type="pct"/>
            <w:vMerge w:val="restart"/>
            <w:tcBorders>
              <w:top w:val="single" w:color="auto" w:sz="4" w:space="0"/>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6BBBEF2">
            <w:pPr>
              <w:pStyle w:val="41"/>
              <w:rPr>
                <w:color w:val="auto"/>
                <w:highlight w:val="none"/>
              </w:rPr>
            </w:pPr>
            <w:r>
              <w:rPr>
                <w:rFonts w:hint="eastAsia"/>
                <w:color w:val="auto"/>
                <w:highlight w:val="none"/>
              </w:rPr>
              <w:t>室内固定连续噪声源</w:t>
            </w:r>
          </w:p>
        </w:tc>
        <w:tc>
          <w:tcPr>
            <w:tcW w:w="692" w:type="pct"/>
            <w:vMerge w:val="restart"/>
            <w:tcBorders>
              <w:top w:val="single" w:color="auto" w:sz="4" w:space="0"/>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B991E83">
            <w:pPr>
              <w:pStyle w:val="41"/>
              <w:rPr>
                <w:color w:val="auto"/>
                <w:highlight w:val="none"/>
              </w:rPr>
            </w:pPr>
            <w:r>
              <w:rPr>
                <w:color w:val="auto"/>
                <w:highlight w:val="none"/>
              </w:rPr>
              <w:t>基础减振</w:t>
            </w: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C343DD7">
            <w:pPr>
              <w:pStyle w:val="41"/>
              <w:rPr>
                <w:color w:val="auto"/>
                <w:highlight w:val="none"/>
              </w:rPr>
            </w:pPr>
            <w:r>
              <w:rPr>
                <w:rFonts w:hint="eastAsia"/>
                <w:color w:val="auto"/>
                <w:highlight w:val="none"/>
              </w:rPr>
              <w:t>73.0</w:t>
            </w:r>
          </w:p>
        </w:tc>
      </w:tr>
      <w:tr w14:paraId="517DA5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14EC82D">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662426F">
            <w:pPr>
              <w:pStyle w:val="41"/>
              <w:rPr>
                <w:color w:val="auto"/>
                <w:highlight w:val="none"/>
              </w:rPr>
            </w:pPr>
            <w:r>
              <w:rPr>
                <w:color w:val="auto"/>
                <w:highlight w:val="none"/>
              </w:rPr>
              <w:t>2</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29B7F3C">
            <w:pPr>
              <w:pStyle w:val="41"/>
              <w:rPr>
                <w:color w:val="auto"/>
                <w:highlight w:val="none"/>
              </w:rPr>
            </w:pPr>
            <w:r>
              <w:rPr>
                <w:color w:val="auto"/>
                <w:highlight w:val="none"/>
              </w:rPr>
              <w:t>滚轴筛×1</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26CCB47">
            <w:pPr>
              <w:pStyle w:val="41"/>
              <w:rPr>
                <w:color w:val="auto"/>
                <w:highlight w:val="none"/>
              </w:rPr>
            </w:pPr>
            <w:r>
              <w:rPr>
                <w:color w:val="auto"/>
                <w:highlight w:val="none"/>
              </w:rPr>
              <w:t>95</w:t>
            </w: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2BF629F">
            <w:pPr>
              <w:pStyle w:val="41"/>
              <w:rPr>
                <w:color w:val="auto"/>
                <w:highlight w:val="none"/>
              </w:rPr>
            </w:pP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337431C">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A163860">
            <w:pPr>
              <w:pStyle w:val="41"/>
              <w:rPr>
                <w:color w:val="auto"/>
                <w:highlight w:val="none"/>
              </w:rPr>
            </w:pPr>
            <w:r>
              <w:rPr>
                <w:rFonts w:hint="eastAsia"/>
                <w:color w:val="auto"/>
                <w:highlight w:val="none"/>
              </w:rPr>
              <w:t>85.0</w:t>
            </w:r>
          </w:p>
        </w:tc>
      </w:tr>
      <w:tr w14:paraId="20ADFA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C3D2571">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0D23F49">
            <w:pPr>
              <w:pStyle w:val="41"/>
              <w:rPr>
                <w:color w:val="auto"/>
                <w:highlight w:val="none"/>
              </w:rPr>
            </w:pPr>
            <w:r>
              <w:rPr>
                <w:color w:val="auto"/>
                <w:highlight w:val="none"/>
              </w:rPr>
              <w:t>3</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CD2A831">
            <w:pPr>
              <w:pStyle w:val="41"/>
              <w:rPr>
                <w:color w:val="auto"/>
                <w:highlight w:val="none"/>
              </w:rPr>
            </w:pPr>
            <w:r>
              <w:rPr>
                <w:color w:val="auto"/>
                <w:highlight w:val="none"/>
              </w:rPr>
              <w:t>振动筛×3</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88B1D05">
            <w:pPr>
              <w:pStyle w:val="41"/>
              <w:rPr>
                <w:color w:val="auto"/>
                <w:highlight w:val="none"/>
              </w:rPr>
            </w:pPr>
            <w:r>
              <w:rPr>
                <w:color w:val="auto"/>
                <w:highlight w:val="none"/>
              </w:rPr>
              <w:t>100</w:t>
            </w: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BE50BA7">
            <w:pPr>
              <w:pStyle w:val="41"/>
              <w:rPr>
                <w:color w:val="auto"/>
                <w:highlight w:val="none"/>
              </w:rPr>
            </w:pP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CFCE067">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C39CE5A">
            <w:pPr>
              <w:pStyle w:val="41"/>
              <w:rPr>
                <w:color w:val="auto"/>
                <w:highlight w:val="none"/>
              </w:rPr>
            </w:pPr>
            <w:r>
              <w:rPr>
                <w:rFonts w:hint="eastAsia"/>
                <w:color w:val="auto"/>
                <w:highlight w:val="none"/>
              </w:rPr>
              <w:t>90</w:t>
            </w:r>
          </w:p>
        </w:tc>
      </w:tr>
      <w:tr w14:paraId="52D554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D7AAB50">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60B0209">
            <w:pPr>
              <w:pStyle w:val="41"/>
              <w:rPr>
                <w:color w:val="auto"/>
                <w:highlight w:val="none"/>
              </w:rPr>
            </w:pPr>
            <w:r>
              <w:rPr>
                <w:color w:val="auto"/>
                <w:highlight w:val="none"/>
              </w:rPr>
              <w:t>4</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F5A1BA4">
            <w:pPr>
              <w:pStyle w:val="41"/>
              <w:rPr>
                <w:color w:val="auto"/>
                <w:highlight w:val="none"/>
              </w:rPr>
            </w:pPr>
            <w:r>
              <w:rPr>
                <w:color w:val="auto"/>
                <w:highlight w:val="none"/>
              </w:rPr>
              <w:t>颚式破碎机×1</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EE32C88">
            <w:pPr>
              <w:pStyle w:val="41"/>
              <w:rPr>
                <w:color w:val="auto"/>
                <w:highlight w:val="none"/>
              </w:rPr>
            </w:pPr>
            <w:r>
              <w:rPr>
                <w:color w:val="auto"/>
                <w:highlight w:val="none"/>
              </w:rPr>
              <w:t>90</w:t>
            </w: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C3041F6">
            <w:pPr>
              <w:pStyle w:val="41"/>
              <w:rPr>
                <w:color w:val="auto"/>
                <w:highlight w:val="none"/>
              </w:rPr>
            </w:pP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25F4B10">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CCF96B4">
            <w:pPr>
              <w:pStyle w:val="41"/>
              <w:rPr>
                <w:color w:val="auto"/>
                <w:highlight w:val="none"/>
              </w:rPr>
            </w:pPr>
            <w:r>
              <w:rPr>
                <w:rFonts w:hint="eastAsia"/>
                <w:color w:val="auto"/>
                <w:highlight w:val="none"/>
              </w:rPr>
              <w:t>80</w:t>
            </w:r>
          </w:p>
        </w:tc>
      </w:tr>
      <w:tr w14:paraId="79FCC8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D240FE5">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B82BDF3">
            <w:pPr>
              <w:pStyle w:val="41"/>
              <w:rPr>
                <w:color w:val="auto"/>
                <w:highlight w:val="none"/>
              </w:rPr>
            </w:pPr>
            <w:r>
              <w:rPr>
                <w:color w:val="auto"/>
                <w:highlight w:val="none"/>
              </w:rPr>
              <w:t>5</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1BDF37C">
            <w:pPr>
              <w:pStyle w:val="41"/>
              <w:rPr>
                <w:color w:val="auto"/>
                <w:highlight w:val="none"/>
              </w:rPr>
            </w:pPr>
            <w:r>
              <w:rPr>
                <w:color w:val="auto"/>
                <w:highlight w:val="none"/>
              </w:rPr>
              <w:t>圆锥破×1</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F32BE94">
            <w:pPr>
              <w:pStyle w:val="41"/>
              <w:rPr>
                <w:color w:val="auto"/>
                <w:highlight w:val="none"/>
              </w:rPr>
            </w:pPr>
            <w:r>
              <w:rPr>
                <w:color w:val="auto"/>
                <w:highlight w:val="none"/>
              </w:rPr>
              <w:t>95</w:t>
            </w: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8C60835">
            <w:pPr>
              <w:pStyle w:val="41"/>
              <w:rPr>
                <w:color w:val="auto"/>
                <w:highlight w:val="none"/>
              </w:rPr>
            </w:pP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035CE4A">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B37E299">
            <w:pPr>
              <w:pStyle w:val="41"/>
              <w:rPr>
                <w:color w:val="auto"/>
                <w:highlight w:val="none"/>
              </w:rPr>
            </w:pPr>
            <w:r>
              <w:rPr>
                <w:rFonts w:hint="eastAsia"/>
                <w:color w:val="auto"/>
                <w:highlight w:val="none"/>
              </w:rPr>
              <w:t>85</w:t>
            </w:r>
          </w:p>
        </w:tc>
      </w:tr>
      <w:tr w14:paraId="6AEB5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1AF0874">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2E430B7">
            <w:pPr>
              <w:pStyle w:val="41"/>
              <w:rPr>
                <w:color w:val="auto"/>
                <w:highlight w:val="none"/>
              </w:rPr>
            </w:pPr>
            <w:r>
              <w:rPr>
                <w:color w:val="auto"/>
                <w:highlight w:val="none"/>
              </w:rPr>
              <w:t>6</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72DCFF1">
            <w:pPr>
              <w:pStyle w:val="41"/>
              <w:rPr>
                <w:color w:val="auto"/>
                <w:highlight w:val="none"/>
              </w:rPr>
            </w:pPr>
            <w:r>
              <w:rPr>
                <w:color w:val="auto"/>
                <w:highlight w:val="none"/>
              </w:rPr>
              <w:t>锤破机×2</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38F4D3B">
            <w:pPr>
              <w:pStyle w:val="41"/>
              <w:rPr>
                <w:color w:val="auto"/>
                <w:highlight w:val="none"/>
              </w:rPr>
            </w:pPr>
            <w:r>
              <w:rPr>
                <w:color w:val="auto"/>
                <w:highlight w:val="none"/>
              </w:rPr>
              <w:t>85</w:t>
            </w:r>
          </w:p>
        </w:tc>
        <w:tc>
          <w:tcPr>
            <w:tcW w:w="692" w:type="pct"/>
            <w:vMerge w:val="continue"/>
            <w:tcBorders>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B92B3DE">
            <w:pPr>
              <w:pStyle w:val="41"/>
              <w:rPr>
                <w:color w:val="auto"/>
                <w:highlight w:val="none"/>
              </w:rPr>
            </w:pPr>
          </w:p>
        </w:tc>
        <w:tc>
          <w:tcPr>
            <w:tcW w:w="692" w:type="pct"/>
            <w:vMerge w:val="continue"/>
            <w:tcBorders>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60B008D">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F20DDD7">
            <w:pPr>
              <w:pStyle w:val="41"/>
              <w:rPr>
                <w:color w:val="auto"/>
                <w:highlight w:val="none"/>
              </w:rPr>
            </w:pPr>
            <w:r>
              <w:rPr>
                <w:rFonts w:hint="eastAsia"/>
                <w:color w:val="auto"/>
                <w:highlight w:val="none"/>
              </w:rPr>
              <w:t>75</w:t>
            </w:r>
          </w:p>
        </w:tc>
      </w:tr>
      <w:tr w14:paraId="237758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restart"/>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1BF2B13">
            <w:pPr>
              <w:pStyle w:val="41"/>
              <w:rPr>
                <w:color w:val="auto"/>
                <w:highlight w:val="none"/>
              </w:rPr>
            </w:pPr>
            <w:r>
              <w:rPr>
                <w:color w:val="auto"/>
                <w:highlight w:val="none"/>
              </w:rPr>
              <w:t>磨矿磁选车间</w:t>
            </w: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DE473E8">
            <w:pPr>
              <w:pStyle w:val="41"/>
              <w:rPr>
                <w:color w:val="auto"/>
                <w:highlight w:val="none"/>
              </w:rPr>
            </w:pPr>
            <w:r>
              <w:rPr>
                <w:color w:val="auto"/>
                <w:highlight w:val="none"/>
              </w:rPr>
              <w:t>1</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03F7CB9">
            <w:pPr>
              <w:pStyle w:val="41"/>
              <w:rPr>
                <w:color w:val="auto"/>
                <w:highlight w:val="none"/>
              </w:rPr>
            </w:pPr>
            <w:r>
              <w:rPr>
                <w:color w:val="auto"/>
                <w:highlight w:val="none"/>
              </w:rPr>
              <w:t>直线筛×1</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EA09F58">
            <w:pPr>
              <w:pStyle w:val="41"/>
              <w:rPr>
                <w:color w:val="auto"/>
                <w:highlight w:val="none"/>
              </w:rPr>
            </w:pPr>
            <w:r>
              <w:rPr>
                <w:color w:val="auto"/>
                <w:highlight w:val="none"/>
              </w:rPr>
              <w:t>85</w:t>
            </w:r>
          </w:p>
        </w:tc>
        <w:tc>
          <w:tcPr>
            <w:tcW w:w="692" w:type="pct"/>
            <w:vMerge w:val="restart"/>
            <w:tcBorders>
              <w:top w:val="single" w:color="auto" w:sz="4" w:space="0"/>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30DE083">
            <w:pPr>
              <w:pStyle w:val="41"/>
              <w:rPr>
                <w:color w:val="auto"/>
                <w:highlight w:val="none"/>
              </w:rPr>
            </w:pPr>
            <w:r>
              <w:rPr>
                <w:color w:val="auto"/>
                <w:highlight w:val="none"/>
              </w:rPr>
              <w:t>室内固定连续噪声源</w:t>
            </w:r>
          </w:p>
        </w:tc>
        <w:tc>
          <w:tcPr>
            <w:tcW w:w="692" w:type="pct"/>
            <w:vMerge w:val="restart"/>
            <w:tcBorders>
              <w:top w:val="single" w:color="auto" w:sz="4" w:space="0"/>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66AF0DB">
            <w:pPr>
              <w:pStyle w:val="41"/>
              <w:rPr>
                <w:color w:val="auto"/>
                <w:highlight w:val="none"/>
              </w:rPr>
            </w:pPr>
            <w:r>
              <w:rPr>
                <w:color w:val="auto"/>
                <w:highlight w:val="none"/>
              </w:rPr>
              <w:t>基础减振</w:t>
            </w: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FA6F7A5">
            <w:pPr>
              <w:pStyle w:val="41"/>
              <w:rPr>
                <w:color w:val="auto"/>
                <w:highlight w:val="none"/>
              </w:rPr>
            </w:pPr>
            <w:r>
              <w:rPr>
                <w:rFonts w:hint="eastAsia"/>
                <w:color w:val="auto"/>
                <w:highlight w:val="none"/>
              </w:rPr>
              <w:t>75</w:t>
            </w:r>
          </w:p>
        </w:tc>
      </w:tr>
      <w:tr w14:paraId="736E2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49D0EBE">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84B510A">
            <w:pPr>
              <w:pStyle w:val="41"/>
              <w:rPr>
                <w:color w:val="auto"/>
                <w:highlight w:val="none"/>
              </w:rPr>
            </w:pPr>
            <w:r>
              <w:rPr>
                <w:color w:val="auto"/>
                <w:highlight w:val="none"/>
              </w:rPr>
              <w:t>2</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C70A115">
            <w:pPr>
              <w:pStyle w:val="41"/>
              <w:rPr>
                <w:color w:val="auto"/>
                <w:highlight w:val="none"/>
              </w:rPr>
            </w:pPr>
            <w:r>
              <w:rPr>
                <w:color w:val="auto"/>
                <w:highlight w:val="none"/>
              </w:rPr>
              <w:t>一段球磨机×1</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7E0822A">
            <w:pPr>
              <w:pStyle w:val="41"/>
              <w:rPr>
                <w:color w:val="auto"/>
                <w:highlight w:val="none"/>
              </w:rPr>
            </w:pPr>
            <w:r>
              <w:rPr>
                <w:color w:val="auto"/>
                <w:highlight w:val="none"/>
              </w:rPr>
              <w:t>95</w:t>
            </w: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AEE4F70">
            <w:pPr>
              <w:pStyle w:val="41"/>
              <w:rPr>
                <w:color w:val="auto"/>
                <w:highlight w:val="none"/>
              </w:rPr>
            </w:pP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36A4EC8">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05D395A">
            <w:pPr>
              <w:pStyle w:val="41"/>
              <w:rPr>
                <w:color w:val="auto"/>
                <w:highlight w:val="none"/>
              </w:rPr>
            </w:pPr>
            <w:r>
              <w:rPr>
                <w:rFonts w:hint="eastAsia"/>
                <w:color w:val="auto"/>
                <w:highlight w:val="none"/>
              </w:rPr>
              <w:t>85</w:t>
            </w:r>
          </w:p>
        </w:tc>
      </w:tr>
      <w:tr w14:paraId="69B3B9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3832CFC">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A61BBDB">
            <w:pPr>
              <w:pStyle w:val="41"/>
              <w:rPr>
                <w:color w:val="auto"/>
                <w:highlight w:val="none"/>
              </w:rPr>
            </w:pPr>
            <w:r>
              <w:rPr>
                <w:color w:val="auto"/>
                <w:highlight w:val="none"/>
              </w:rPr>
              <w:t>3</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2708125">
            <w:pPr>
              <w:pStyle w:val="41"/>
              <w:rPr>
                <w:color w:val="auto"/>
                <w:highlight w:val="none"/>
              </w:rPr>
            </w:pPr>
            <w:r>
              <w:rPr>
                <w:color w:val="auto"/>
                <w:highlight w:val="none"/>
              </w:rPr>
              <w:t>二段球磨机×1</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117584F">
            <w:pPr>
              <w:pStyle w:val="41"/>
              <w:rPr>
                <w:color w:val="auto"/>
                <w:highlight w:val="none"/>
              </w:rPr>
            </w:pPr>
            <w:r>
              <w:rPr>
                <w:color w:val="auto"/>
                <w:highlight w:val="none"/>
              </w:rPr>
              <w:t>95</w:t>
            </w: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7A3AFCF">
            <w:pPr>
              <w:pStyle w:val="41"/>
              <w:rPr>
                <w:color w:val="auto"/>
                <w:highlight w:val="none"/>
              </w:rPr>
            </w:pP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D9C5B43">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265E29F">
            <w:pPr>
              <w:pStyle w:val="41"/>
              <w:rPr>
                <w:color w:val="auto"/>
                <w:highlight w:val="none"/>
              </w:rPr>
            </w:pPr>
            <w:r>
              <w:rPr>
                <w:rFonts w:hint="eastAsia"/>
                <w:color w:val="auto"/>
                <w:highlight w:val="none"/>
              </w:rPr>
              <w:t>85</w:t>
            </w:r>
          </w:p>
        </w:tc>
      </w:tr>
      <w:tr w14:paraId="5103DD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EF20828">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62FAEB1">
            <w:pPr>
              <w:pStyle w:val="41"/>
              <w:rPr>
                <w:color w:val="auto"/>
                <w:highlight w:val="none"/>
              </w:rPr>
            </w:pPr>
            <w:r>
              <w:rPr>
                <w:color w:val="auto"/>
                <w:highlight w:val="none"/>
              </w:rPr>
              <w:t>4</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E4D6CB4">
            <w:pPr>
              <w:pStyle w:val="41"/>
              <w:rPr>
                <w:color w:val="auto"/>
                <w:highlight w:val="none"/>
              </w:rPr>
            </w:pPr>
            <w:r>
              <w:rPr>
                <w:color w:val="auto"/>
                <w:highlight w:val="none"/>
              </w:rPr>
              <w:t>塔磨×1</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B501C45">
            <w:pPr>
              <w:pStyle w:val="41"/>
              <w:rPr>
                <w:color w:val="auto"/>
                <w:highlight w:val="none"/>
              </w:rPr>
            </w:pPr>
            <w:r>
              <w:rPr>
                <w:color w:val="auto"/>
                <w:highlight w:val="none"/>
              </w:rPr>
              <w:t>90</w:t>
            </w: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B59459B">
            <w:pPr>
              <w:pStyle w:val="41"/>
              <w:rPr>
                <w:color w:val="auto"/>
                <w:highlight w:val="none"/>
              </w:rPr>
            </w:pP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AD00A2C">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A232309">
            <w:pPr>
              <w:pStyle w:val="41"/>
              <w:rPr>
                <w:color w:val="auto"/>
                <w:highlight w:val="none"/>
              </w:rPr>
            </w:pPr>
            <w:r>
              <w:rPr>
                <w:rFonts w:hint="eastAsia"/>
                <w:color w:val="auto"/>
                <w:highlight w:val="none"/>
              </w:rPr>
              <w:t>80</w:t>
            </w:r>
          </w:p>
        </w:tc>
      </w:tr>
      <w:tr w14:paraId="185A3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C4A9C17">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552E3A9">
            <w:pPr>
              <w:pStyle w:val="41"/>
              <w:rPr>
                <w:color w:val="auto"/>
                <w:highlight w:val="none"/>
              </w:rPr>
            </w:pPr>
            <w:r>
              <w:rPr>
                <w:color w:val="auto"/>
                <w:highlight w:val="none"/>
              </w:rPr>
              <w:t>5</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7F4CB46">
            <w:pPr>
              <w:pStyle w:val="41"/>
              <w:rPr>
                <w:color w:val="auto"/>
                <w:highlight w:val="none"/>
              </w:rPr>
            </w:pPr>
            <w:r>
              <w:rPr>
                <w:color w:val="auto"/>
                <w:highlight w:val="none"/>
              </w:rPr>
              <w:t>水泵×5</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5270017">
            <w:pPr>
              <w:pStyle w:val="41"/>
              <w:rPr>
                <w:color w:val="auto"/>
                <w:highlight w:val="none"/>
              </w:rPr>
            </w:pPr>
            <w:r>
              <w:rPr>
                <w:color w:val="auto"/>
                <w:highlight w:val="none"/>
              </w:rPr>
              <w:t>83</w:t>
            </w:r>
          </w:p>
        </w:tc>
        <w:tc>
          <w:tcPr>
            <w:tcW w:w="692" w:type="pct"/>
            <w:vMerge w:val="continue"/>
            <w:tcBorders>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43B4D05">
            <w:pPr>
              <w:pStyle w:val="41"/>
              <w:rPr>
                <w:color w:val="auto"/>
                <w:highlight w:val="none"/>
              </w:rPr>
            </w:pPr>
          </w:p>
        </w:tc>
        <w:tc>
          <w:tcPr>
            <w:tcW w:w="692" w:type="pct"/>
            <w:vMerge w:val="continue"/>
            <w:tcBorders>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2068A6B">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FF8D6EE">
            <w:pPr>
              <w:pStyle w:val="41"/>
              <w:rPr>
                <w:color w:val="auto"/>
                <w:highlight w:val="none"/>
              </w:rPr>
            </w:pPr>
            <w:r>
              <w:rPr>
                <w:rFonts w:hint="eastAsia"/>
                <w:color w:val="auto"/>
                <w:highlight w:val="none"/>
              </w:rPr>
              <w:t>73</w:t>
            </w:r>
          </w:p>
        </w:tc>
      </w:tr>
      <w:tr w14:paraId="238C68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restart"/>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88EF994">
            <w:pPr>
              <w:pStyle w:val="41"/>
              <w:rPr>
                <w:color w:val="auto"/>
                <w:highlight w:val="none"/>
              </w:rPr>
            </w:pPr>
            <w:r>
              <w:rPr>
                <w:color w:val="auto"/>
                <w:highlight w:val="none"/>
              </w:rPr>
              <w:t>重选车间1</w:t>
            </w: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0098F91">
            <w:pPr>
              <w:pStyle w:val="41"/>
              <w:rPr>
                <w:color w:val="auto"/>
                <w:highlight w:val="none"/>
              </w:rPr>
            </w:pPr>
            <w:r>
              <w:rPr>
                <w:color w:val="auto"/>
                <w:highlight w:val="none"/>
              </w:rPr>
              <w:t>1</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9D55744">
            <w:pPr>
              <w:pStyle w:val="41"/>
              <w:rPr>
                <w:color w:val="auto"/>
                <w:highlight w:val="none"/>
              </w:rPr>
            </w:pPr>
            <w:r>
              <w:rPr>
                <w:color w:val="auto"/>
                <w:highlight w:val="none"/>
              </w:rPr>
              <w:t>原浆泵×2</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88177E9">
            <w:pPr>
              <w:pStyle w:val="41"/>
              <w:rPr>
                <w:color w:val="auto"/>
                <w:highlight w:val="none"/>
              </w:rPr>
            </w:pPr>
            <w:r>
              <w:rPr>
                <w:color w:val="auto"/>
                <w:highlight w:val="none"/>
              </w:rPr>
              <w:t>83</w:t>
            </w:r>
          </w:p>
        </w:tc>
        <w:tc>
          <w:tcPr>
            <w:tcW w:w="692" w:type="pct"/>
            <w:vMerge w:val="restart"/>
            <w:tcBorders>
              <w:top w:val="single" w:color="auto" w:sz="4" w:space="0"/>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9E21394">
            <w:pPr>
              <w:pStyle w:val="41"/>
              <w:rPr>
                <w:color w:val="auto"/>
                <w:highlight w:val="none"/>
              </w:rPr>
            </w:pPr>
            <w:r>
              <w:rPr>
                <w:color w:val="auto"/>
                <w:highlight w:val="none"/>
              </w:rPr>
              <w:t>室内固定连续噪声源</w:t>
            </w:r>
          </w:p>
        </w:tc>
        <w:tc>
          <w:tcPr>
            <w:tcW w:w="692" w:type="pct"/>
            <w:vMerge w:val="restart"/>
            <w:tcBorders>
              <w:top w:val="single" w:color="auto" w:sz="4" w:space="0"/>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1161F01">
            <w:pPr>
              <w:pStyle w:val="41"/>
              <w:rPr>
                <w:color w:val="auto"/>
                <w:highlight w:val="none"/>
              </w:rPr>
            </w:pPr>
            <w:r>
              <w:rPr>
                <w:color w:val="auto"/>
                <w:highlight w:val="none"/>
              </w:rPr>
              <w:t>基础减振</w:t>
            </w: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8B06E82">
            <w:pPr>
              <w:pStyle w:val="41"/>
              <w:rPr>
                <w:color w:val="auto"/>
                <w:highlight w:val="none"/>
              </w:rPr>
            </w:pPr>
            <w:r>
              <w:rPr>
                <w:rFonts w:hint="eastAsia"/>
                <w:color w:val="auto"/>
                <w:highlight w:val="none"/>
              </w:rPr>
              <w:t>73</w:t>
            </w:r>
          </w:p>
        </w:tc>
      </w:tr>
      <w:tr w14:paraId="6A48A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CA0A973">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A918A94">
            <w:pPr>
              <w:pStyle w:val="41"/>
              <w:rPr>
                <w:color w:val="auto"/>
                <w:highlight w:val="none"/>
              </w:rPr>
            </w:pPr>
            <w:r>
              <w:rPr>
                <w:color w:val="auto"/>
                <w:highlight w:val="none"/>
              </w:rPr>
              <w:t>2</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C7E1586">
            <w:pPr>
              <w:pStyle w:val="41"/>
              <w:rPr>
                <w:color w:val="auto"/>
                <w:highlight w:val="none"/>
              </w:rPr>
            </w:pPr>
            <w:r>
              <w:rPr>
                <w:color w:val="auto"/>
                <w:highlight w:val="none"/>
              </w:rPr>
              <w:t>粗选泵×2</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C0C93A3">
            <w:pPr>
              <w:pStyle w:val="41"/>
              <w:rPr>
                <w:color w:val="auto"/>
                <w:highlight w:val="none"/>
              </w:rPr>
            </w:pPr>
            <w:r>
              <w:rPr>
                <w:color w:val="auto"/>
                <w:highlight w:val="none"/>
              </w:rPr>
              <w:t>83</w:t>
            </w: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988CBE0">
            <w:pPr>
              <w:pStyle w:val="41"/>
              <w:rPr>
                <w:color w:val="auto"/>
                <w:highlight w:val="none"/>
              </w:rPr>
            </w:pP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0022D5C">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E930C38">
            <w:pPr>
              <w:pStyle w:val="41"/>
              <w:rPr>
                <w:color w:val="auto"/>
                <w:highlight w:val="none"/>
              </w:rPr>
            </w:pPr>
            <w:r>
              <w:rPr>
                <w:rFonts w:hint="eastAsia"/>
                <w:color w:val="auto"/>
                <w:highlight w:val="none"/>
              </w:rPr>
              <w:t>73</w:t>
            </w:r>
          </w:p>
        </w:tc>
      </w:tr>
      <w:tr w14:paraId="5D6BCE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10D2F45">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1DB1BF7">
            <w:pPr>
              <w:pStyle w:val="41"/>
              <w:rPr>
                <w:color w:val="auto"/>
                <w:highlight w:val="none"/>
              </w:rPr>
            </w:pPr>
            <w:r>
              <w:rPr>
                <w:color w:val="auto"/>
                <w:highlight w:val="none"/>
              </w:rPr>
              <w:t>3</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DCCD1E2">
            <w:pPr>
              <w:pStyle w:val="41"/>
              <w:rPr>
                <w:color w:val="auto"/>
                <w:highlight w:val="none"/>
              </w:rPr>
            </w:pPr>
            <w:r>
              <w:rPr>
                <w:color w:val="auto"/>
                <w:highlight w:val="none"/>
              </w:rPr>
              <w:t>精选泵×10</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59CB9EC">
            <w:pPr>
              <w:pStyle w:val="41"/>
              <w:rPr>
                <w:color w:val="auto"/>
                <w:highlight w:val="none"/>
              </w:rPr>
            </w:pPr>
            <w:r>
              <w:rPr>
                <w:color w:val="auto"/>
                <w:highlight w:val="none"/>
              </w:rPr>
              <w:t>83</w:t>
            </w: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8955F16">
            <w:pPr>
              <w:pStyle w:val="41"/>
              <w:rPr>
                <w:color w:val="auto"/>
                <w:highlight w:val="none"/>
              </w:rPr>
            </w:pP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56DAC5A">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B79DEFA">
            <w:pPr>
              <w:pStyle w:val="41"/>
              <w:rPr>
                <w:color w:val="auto"/>
                <w:highlight w:val="none"/>
              </w:rPr>
            </w:pPr>
            <w:r>
              <w:rPr>
                <w:rFonts w:hint="eastAsia"/>
                <w:color w:val="auto"/>
                <w:highlight w:val="none"/>
              </w:rPr>
              <w:t>73</w:t>
            </w:r>
          </w:p>
        </w:tc>
      </w:tr>
      <w:tr w14:paraId="6A24D6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BCC892A">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0B6CBD3">
            <w:pPr>
              <w:pStyle w:val="41"/>
              <w:rPr>
                <w:color w:val="auto"/>
                <w:highlight w:val="none"/>
              </w:rPr>
            </w:pPr>
            <w:r>
              <w:rPr>
                <w:color w:val="auto"/>
                <w:highlight w:val="none"/>
              </w:rPr>
              <w:t>4</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FB64700">
            <w:pPr>
              <w:pStyle w:val="41"/>
              <w:rPr>
                <w:color w:val="auto"/>
                <w:highlight w:val="none"/>
              </w:rPr>
            </w:pPr>
            <w:r>
              <w:rPr>
                <w:color w:val="auto"/>
                <w:highlight w:val="none"/>
              </w:rPr>
              <w:t>扫选泵×4</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ECEB3AD">
            <w:pPr>
              <w:pStyle w:val="41"/>
              <w:rPr>
                <w:color w:val="auto"/>
                <w:highlight w:val="none"/>
              </w:rPr>
            </w:pPr>
            <w:r>
              <w:rPr>
                <w:color w:val="auto"/>
                <w:highlight w:val="none"/>
              </w:rPr>
              <w:t>83</w:t>
            </w: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ACFC42B">
            <w:pPr>
              <w:pStyle w:val="41"/>
              <w:rPr>
                <w:color w:val="auto"/>
                <w:highlight w:val="none"/>
              </w:rPr>
            </w:pP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FA59B09">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F397405">
            <w:pPr>
              <w:pStyle w:val="41"/>
              <w:rPr>
                <w:color w:val="auto"/>
                <w:highlight w:val="none"/>
              </w:rPr>
            </w:pPr>
            <w:r>
              <w:rPr>
                <w:rFonts w:hint="eastAsia"/>
                <w:color w:val="auto"/>
                <w:highlight w:val="none"/>
              </w:rPr>
              <w:t>73</w:t>
            </w:r>
          </w:p>
        </w:tc>
      </w:tr>
      <w:tr w14:paraId="1BDE2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left w:w="28" w:type="dxa"/>
              <w:right w:w="28" w:type="dxa"/>
            </w:tcMar>
            <w:vAlign w:val="center"/>
          </w:tcPr>
          <w:p w14:paraId="22389D6A">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70FBC006">
            <w:pPr>
              <w:pStyle w:val="41"/>
              <w:rPr>
                <w:color w:val="auto"/>
                <w:highlight w:val="none"/>
              </w:rPr>
            </w:pPr>
            <w:r>
              <w:rPr>
                <w:color w:val="auto"/>
                <w:highlight w:val="none"/>
              </w:rPr>
              <w:t>5</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502A231">
            <w:pPr>
              <w:pStyle w:val="41"/>
              <w:rPr>
                <w:color w:val="auto"/>
                <w:highlight w:val="none"/>
              </w:rPr>
            </w:pPr>
            <w:r>
              <w:rPr>
                <w:color w:val="auto"/>
                <w:highlight w:val="none"/>
              </w:rPr>
              <w:t>总尾泵×2</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5114D697">
            <w:pPr>
              <w:pStyle w:val="41"/>
              <w:rPr>
                <w:color w:val="auto"/>
                <w:highlight w:val="none"/>
              </w:rPr>
            </w:pPr>
            <w:r>
              <w:rPr>
                <w:color w:val="auto"/>
                <w:highlight w:val="none"/>
              </w:rPr>
              <w:t>83</w:t>
            </w:r>
          </w:p>
        </w:tc>
        <w:tc>
          <w:tcPr>
            <w:tcW w:w="692" w:type="pct"/>
            <w:vMerge w:val="continue"/>
            <w:tcBorders>
              <w:left w:val="single" w:color="auto" w:sz="4" w:space="0"/>
              <w:right w:val="single" w:color="auto" w:sz="4" w:space="0"/>
              <w:tl2br w:val="nil"/>
              <w:tr2bl w:val="nil"/>
            </w:tcBorders>
            <w:shd w:val="clear" w:color="auto" w:fill="FFFFFF"/>
            <w:tcMar>
              <w:left w:w="28" w:type="dxa"/>
              <w:right w:w="28" w:type="dxa"/>
            </w:tcMar>
            <w:vAlign w:val="center"/>
          </w:tcPr>
          <w:p w14:paraId="27793FD1">
            <w:pPr>
              <w:pStyle w:val="41"/>
              <w:rPr>
                <w:color w:val="auto"/>
                <w:highlight w:val="none"/>
              </w:rPr>
            </w:pPr>
          </w:p>
        </w:tc>
        <w:tc>
          <w:tcPr>
            <w:tcW w:w="692" w:type="pct"/>
            <w:vMerge w:val="continue"/>
            <w:tcBorders>
              <w:left w:val="single" w:color="auto" w:sz="4" w:space="0"/>
              <w:right w:val="single" w:color="auto" w:sz="4" w:space="0"/>
              <w:tl2br w:val="nil"/>
              <w:tr2bl w:val="nil"/>
            </w:tcBorders>
            <w:shd w:val="clear" w:color="auto" w:fill="FFFFFF"/>
            <w:tcMar>
              <w:left w:w="28" w:type="dxa"/>
              <w:right w:w="28" w:type="dxa"/>
            </w:tcMar>
            <w:vAlign w:val="center"/>
          </w:tcPr>
          <w:p w14:paraId="7191EA0C">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5CCC640">
            <w:pPr>
              <w:pStyle w:val="41"/>
              <w:rPr>
                <w:color w:val="auto"/>
                <w:highlight w:val="none"/>
              </w:rPr>
            </w:pPr>
            <w:r>
              <w:rPr>
                <w:rFonts w:hint="eastAsia"/>
                <w:color w:val="auto"/>
                <w:highlight w:val="none"/>
              </w:rPr>
              <w:t>73</w:t>
            </w:r>
          </w:p>
        </w:tc>
      </w:tr>
      <w:tr w14:paraId="70F358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left w:w="28" w:type="dxa"/>
              <w:right w:w="28" w:type="dxa"/>
            </w:tcMar>
            <w:vAlign w:val="center"/>
          </w:tcPr>
          <w:p w14:paraId="350B2213">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726FDE9">
            <w:pPr>
              <w:pStyle w:val="41"/>
              <w:rPr>
                <w:color w:val="auto"/>
                <w:highlight w:val="none"/>
              </w:rPr>
            </w:pPr>
            <w:r>
              <w:rPr>
                <w:color w:val="auto"/>
                <w:highlight w:val="none"/>
              </w:rPr>
              <w:t>6</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7DE7804C">
            <w:pPr>
              <w:pStyle w:val="41"/>
              <w:rPr>
                <w:color w:val="auto"/>
                <w:highlight w:val="none"/>
              </w:rPr>
            </w:pPr>
            <w:r>
              <w:rPr>
                <w:color w:val="auto"/>
                <w:highlight w:val="none"/>
              </w:rPr>
              <w:t>水泵×3</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3531EDB4">
            <w:pPr>
              <w:pStyle w:val="41"/>
              <w:rPr>
                <w:color w:val="auto"/>
                <w:highlight w:val="none"/>
              </w:rPr>
            </w:pPr>
            <w:r>
              <w:rPr>
                <w:color w:val="auto"/>
                <w:highlight w:val="none"/>
              </w:rPr>
              <w:t>83</w:t>
            </w:r>
          </w:p>
        </w:tc>
        <w:tc>
          <w:tcPr>
            <w:tcW w:w="692" w:type="pct"/>
            <w:vMerge w:val="continue"/>
            <w:tcBorders>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5778E33D">
            <w:pPr>
              <w:pStyle w:val="41"/>
              <w:rPr>
                <w:color w:val="auto"/>
                <w:highlight w:val="none"/>
              </w:rPr>
            </w:pPr>
          </w:p>
        </w:tc>
        <w:tc>
          <w:tcPr>
            <w:tcW w:w="692" w:type="pct"/>
            <w:vMerge w:val="continue"/>
            <w:tcBorders>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53B274A0">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030F353">
            <w:pPr>
              <w:pStyle w:val="41"/>
              <w:rPr>
                <w:color w:val="auto"/>
                <w:highlight w:val="none"/>
              </w:rPr>
            </w:pPr>
            <w:r>
              <w:rPr>
                <w:rFonts w:hint="eastAsia"/>
                <w:color w:val="auto"/>
                <w:highlight w:val="none"/>
              </w:rPr>
              <w:t>73</w:t>
            </w:r>
          </w:p>
        </w:tc>
      </w:tr>
      <w:tr w14:paraId="148868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restart"/>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293F397">
            <w:pPr>
              <w:pStyle w:val="41"/>
              <w:rPr>
                <w:color w:val="auto"/>
                <w:highlight w:val="none"/>
              </w:rPr>
            </w:pPr>
            <w:r>
              <w:rPr>
                <w:color w:val="auto"/>
                <w:highlight w:val="none"/>
              </w:rPr>
              <w:t>重选车间2</w:t>
            </w: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0F4AD50">
            <w:pPr>
              <w:pStyle w:val="41"/>
              <w:rPr>
                <w:color w:val="auto"/>
                <w:highlight w:val="none"/>
              </w:rPr>
            </w:pPr>
            <w:r>
              <w:rPr>
                <w:color w:val="auto"/>
                <w:highlight w:val="none"/>
              </w:rPr>
              <w:t>1</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5A9BE84">
            <w:pPr>
              <w:pStyle w:val="41"/>
              <w:rPr>
                <w:color w:val="auto"/>
                <w:highlight w:val="none"/>
              </w:rPr>
            </w:pPr>
            <w:r>
              <w:rPr>
                <w:color w:val="auto"/>
                <w:highlight w:val="none"/>
              </w:rPr>
              <w:t>原浆泵×2</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BFE895F">
            <w:pPr>
              <w:pStyle w:val="41"/>
              <w:rPr>
                <w:color w:val="auto"/>
                <w:highlight w:val="none"/>
              </w:rPr>
            </w:pPr>
            <w:r>
              <w:rPr>
                <w:color w:val="auto"/>
                <w:highlight w:val="none"/>
              </w:rPr>
              <w:t>83</w:t>
            </w:r>
          </w:p>
        </w:tc>
        <w:tc>
          <w:tcPr>
            <w:tcW w:w="692" w:type="pct"/>
            <w:vMerge w:val="restart"/>
            <w:tcBorders>
              <w:top w:val="single" w:color="auto" w:sz="4" w:space="0"/>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EE8DCEC">
            <w:pPr>
              <w:pStyle w:val="41"/>
              <w:rPr>
                <w:color w:val="auto"/>
                <w:highlight w:val="none"/>
              </w:rPr>
            </w:pPr>
            <w:r>
              <w:rPr>
                <w:color w:val="auto"/>
                <w:highlight w:val="none"/>
              </w:rPr>
              <w:t>室内固定连续噪声源</w:t>
            </w:r>
          </w:p>
        </w:tc>
        <w:tc>
          <w:tcPr>
            <w:tcW w:w="692" w:type="pct"/>
            <w:vMerge w:val="restart"/>
            <w:tcBorders>
              <w:top w:val="single" w:color="auto" w:sz="4" w:space="0"/>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6703AA6">
            <w:pPr>
              <w:pStyle w:val="41"/>
              <w:rPr>
                <w:color w:val="auto"/>
                <w:highlight w:val="none"/>
              </w:rPr>
            </w:pPr>
            <w:r>
              <w:rPr>
                <w:color w:val="auto"/>
                <w:highlight w:val="none"/>
              </w:rPr>
              <w:t>基础减振</w:t>
            </w: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A86E83E">
            <w:pPr>
              <w:pStyle w:val="41"/>
              <w:rPr>
                <w:color w:val="auto"/>
                <w:highlight w:val="none"/>
              </w:rPr>
            </w:pPr>
            <w:r>
              <w:rPr>
                <w:rFonts w:hint="eastAsia"/>
                <w:color w:val="auto"/>
                <w:highlight w:val="none"/>
              </w:rPr>
              <w:t>73</w:t>
            </w:r>
          </w:p>
        </w:tc>
      </w:tr>
      <w:tr w14:paraId="207581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02243EC">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D949C5C">
            <w:pPr>
              <w:pStyle w:val="41"/>
              <w:rPr>
                <w:color w:val="auto"/>
                <w:highlight w:val="none"/>
              </w:rPr>
            </w:pPr>
            <w:r>
              <w:rPr>
                <w:color w:val="auto"/>
                <w:highlight w:val="none"/>
              </w:rPr>
              <w:t>2</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93F5747">
            <w:pPr>
              <w:pStyle w:val="41"/>
              <w:rPr>
                <w:color w:val="auto"/>
                <w:highlight w:val="none"/>
              </w:rPr>
            </w:pPr>
            <w:r>
              <w:rPr>
                <w:color w:val="auto"/>
                <w:highlight w:val="none"/>
              </w:rPr>
              <w:t>粗选泵×2</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E04212C">
            <w:pPr>
              <w:pStyle w:val="41"/>
              <w:rPr>
                <w:color w:val="auto"/>
                <w:highlight w:val="none"/>
              </w:rPr>
            </w:pPr>
            <w:r>
              <w:rPr>
                <w:color w:val="auto"/>
                <w:highlight w:val="none"/>
              </w:rPr>
              <w:t>83</w:t>
            </w: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F7981C8">
            <w:pPr>
              <w:pStyle w:val="41"/>
              <w:rPr>
                <w:color w:val="auto"/>
                <w:highlight w:val="none"/>
              </w:rPr>
            </w:pP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374A59A">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D01FDE2">
            <w:pPr>
              <w:pStyle w:val="41"/>
              <w:rPr>
                <w:color w:val="auto"/>
                <w:highlight w:val="none"/>
              </w:rPr>
            </w:pPr>
            <w:r>
              <w:rPr>
                <w:rFonts w:hint="eastAsia"/>
                <w:color w:val="auto"/>
                <w:highlight w:val="none"/>
              </w:rPr>
              <w:t>73</w:t>
            </w:r>
          </w:p>
        </w:tc>
      </w:tr>
      <w:tr w14:paraId="3D449C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6E38650">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1A4A1AC">
            <w:pPr>
              <w:pStyle w:val="41"/>
              <w:rPr>
                <w:color w:val="auto"/>
                <w:highlight w:val="none"/>
              </w:rPr>
            </w:pPr>
            <w:r>
              <w:rPr>
                <w:color w:val="auto"/>
                <w:highlight w:val="none"/>
              </w:rPr>
              <w:t>3</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3DB31EE">
            <w:pPr>
              <w:pStyle w:val="41"/>
              <w:rPr>
                <w:color w:val="auto"/>
                <w:highlight w:val="none"/>
              </w:rPr>
            </w:pPr>
            <w:r>
              <w:rPr>
                <w:color w:val="auto"/>
                <w:highlight w:val="none"/>
              </w:rPr>
              <w:t>精选泵×10</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B174769">
            <w:pPr>
              <w:pStyle w:val="41"/>
              <w:rPr>
                <w:color w:val="auto"/>
                <w:highlight w:val="none"/>
              </w:rPr>
            </w:pPr>
            <w:r>
              <w:rPr>
                <w:color w:val="auto"/>
                <w:highlight w:val="none"/>
              </w:rPr>
              <w:t>83</w:t>
            </w: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71B59B7">
            <w:pPr>
              <w:pStyle w:val="41"/>
              <w:rPr>
                <w:color w:val="auto"/>
                <w:highlight w:val="none"/>
              </w:rPr>
            </w:pP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F4DA1C4">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0439F58">
            <w:pPr>
              <w:pStyle w:val="41"/>
              <w:rPr>
                <w:color w:val="auto"/>
                <w:highlight w:val="none"/>
              </w:rPr>
            </w:pPr>
            <w:r>
              <w:rPr>
                <w:rFonts w:hint="eastAsia"/>
                <w:color w:val="auto"/>
                <w:highlight w:val="none"/>
              </w:rPr>
              <w:t>73</w:t>
            </w:r>
          </w:p>
        </w:tc>
      </w:tr>
      <w:tr w14:paraId="2F66D9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C4245A5">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57682C3">
            <w:pPr>
              <w:pStyle w:val="41"/>
              <w:rPr>
                <w:color w:val="auto"/>
                <w:highlight w:val="none"/>
              </w:rPr>
            </w:pPr>
            <w:r>
              <w:rPr>
                <w:color w:val="auto"/>
                <w:highlight w:val="none"/>
              </w:rPr>
              <w:t>4</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E83590C">
            <w:pPr>
              <w:pStyle w:val="41"/>
              <w:rPr>
                <w:color w:val="auto"/>
                <w:highlight w:val="none"/>
              </w:rPr>
            </w:pPr>
            <w:r>
              <w:rPr>
                <w:color w:val="auto"/>
                <w:highlight w:val="none"/>
              </w:rPr>
              <w:t>扫选泵×4</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FFBCB8B">
            <w:pPr>
              <w:pStyle w:val="41"/>
              <w:rPr>
                <w:color w:val="auto"/>
                <w:highlight w:val="none"/>
              </w:rPr>
            </w:pPr>
            <w:r>
              <w:rPr>
                <w:color w:val="auto"/>
                <w:highlight w:val="none"/>
              </w:rPr>
              <w:t>83</w:t>
            </w: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9BC7773">
            <w:pPr>
              <w:pStyle w:val="41"/>
              <w:rPr>
                <w:color w:val="auto"/>
                <w:highlight w:val="none"/>
              </w:rPr>
            </w:pPr>
          </w:p>
        </w:tc>
        <w:tc>
          <w:tcPr>
            <w:tcW w:w="692" w:type="pct"/>
            <w:vMerge w:val="continue"/>
            <w:tcBorders>
              <w:left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E3F5C75">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FCABAA3">
            <w:pPr>
              <w:pStyle w:val="41"/>
              <w:rPr>
                <w:color w:val="auto"/>
                <w:highlight w:val="none"/>
              </w:rPr>
            </w:pPr>
            <w:r>
              <w:rPr>
                <w:rFonts w:hint="eastAsia"/>
                <w:color w:val="auto"/>
                <w:highlight w:val="none"/>
              </w:rPr>
              <w:t>73</w:t>
            </w:r>
          </w:p>
        </w:tc>
      </w:tr>
      <w:tr w14:paraId="6FA244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left w:w="28" w:type="dxa"/>
              <w:right w:w="28" w:type="dxa"/>
            </w:tcMar>
            <w:vAlign w:val="center"/>
          </w:tcPr>
          <w:p w14:paraId="17B8BEBA">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25799DFE">
            <w:pPr>
              <w:pStyle w:val="41"/>
              <w:rPr>
                <w:color w:val="auto"/>
                <w:highlight w:val="none"/>
              </w:rPr>
            </w:pPr>
            <w:r>
              <w:rPr>
                <w:color w:val="auto"/>
                <w:highlight w:val="none"/>
              </w:rPr>
              <w:t>5</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5AEEA7F">
            <w:pPr>
              <w:pStyle w:val="41"/>
              <w:rPr>
                <w:color w:val="auto"/>
                <w:highlight w:val="none"/>
              </w:rPr>
            </w:pPr>
            <w:r>
              <w:rPr>
                <w:color w:val="auto"/>
                <w:highlight w:val="none"/>
              </w:rPr>
              <w:t>总尾泵×2</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6266E014">
            <w:pPr>
              <w:pStyle w:val="41"/>
              <w:rPr>
                <w:color w:val="auto"/>
                <w:highlight w:val="none"/>
              </w:rPr>
            </w:pPr>
            <w:r>
              <w:rPr>
                <w:color w:val="auto"/>
                <w:highlight w:val="none"/>
              </w:rPr>
              <w:t>83</w:t>
            </w:r>
          </w:p>
        </w:tc>
        <w:tc>
          <w:tcPr>
            <w:tcW w:w="692" w:type="pct"/>
            <w:vMerge w:val="continue"/>
            <w:tcBorders>
              <w:left w:val="single" w:color="auto" w:sz="4" w:space="0"/>
              <w:right w:val="single" w:color="auto" w:sz="4" w:space="0"/>
              <w:tl2br w:val="nil"/>
              <w:tr2bl w:val="nil"/>
            </w:tcBorders>
            <w:shd w:val="clear" w:color="auto" w:fill="FFFFFF"/>
            <w:tcMar>
              <w:left w:w="28" w:type="dxa"/>
              <w:right w:w="28" w:type="dxa"/>
            </w:tcMar>
            <w:vAlign w:val="center"/>
          </w:tcPr>
          <w:p w14:paraId="1FAF4638">
            <w:pPr>
              <w:pStyle w:val="41"/>
              <w:rPr>
                <w:color w:val="auto"/>
                <w:highlight w:val="none"/>
              </w:rPr>
            </w:pPr>
          </w:p>
        </w:tc>
        <w:tc>
          <w:tcPr>
            <w:tcW w:w="692" w:type="pct"/>
            <w:vMerge w:val="continue"/>
            <w:tcBorders>
              <w:left w:val="single" w:color="auto" w:sz="4" w:space="0"/>
              <w:right w:val="single" w:color="auto" w:sz="4" w:space="0"/>
              <w:tl2br w:val="nil"/>
              <w:tr2bl w:val="nil"/>
            </w:tcBorders>
            <w:shd w:val="clear" w:color="auto" w:fill="FFFFFF"/>
            <w:tcMar>
              <w:left w:w="28" w:type="dxa"/>
              <w:right w:w="28" w:type="dxa"/>
            </w:tcMar>
            <w:vAlign w:val="center"/>
          </w:tcPr>
          <w:p w14:paraId="22259BDA">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17D8B4F1">
            <w:pPr>
              <w:pStyle w:val="41"/>
              <w:rPr>
                <w:color w:val="auto"/>
                <w:highlight w:val="none"/>
              </w:rPr>
            </w:pPr>
            <w:r>
              <w:rPr>
                <w:rFonts w:hint="eastAsia"/>
                <w:color w:val="auto"/>
                <w:highlight w:val="none"/>
              </w:rPr>
              <w:t>73</w:t>
            </w:r>
          </w:p>
        </w:tc>
      </w:tr>
      <w:tr w14:paraId="0D2B97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left w:w="28" w:type="dxa"/>
              <w:right w:w="28" w:type="dxa"/>
            </w:tcMar>
            <w:vAlign w:val="center"/>
          </w:tcPr>
          <w:p w14:paraId="3F2F0451">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9C563C8">
            <w:pPr>
              <w:pStyle w:val="41"/>
              <w:rPr>
                <w:color w:val="auto"/>
                <w:highlight w:val="none"/>
              </w:rPr>
            </w:pPr>
            <w:r>
              <w:rPr>
                <w:color w:val="auto"/>
                <w:highlight w:val="none"/>
              </w:rPr>
              <w:t>6</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7491A6A7">
            <w:pPr>
              <w:pStyle w:val="41"/>
              <w:rPr>
                <w:color w:val="auto"/>
                <w:highlight w:val="none"/>
              </w:rPr>
            </w:pPr>
            <w:r>
              <w:rPr>
                <w:color w:val="auto"/>
                <w:highlight w:val="none"/>
              </w:rPr>
              <w:t>水泵×3</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12B33AF3">
            <w:pPr>
              <w:pStyle w:val="41"/>
              <w:rPr>
                <w:color w:val="auto"/>
                <w:highlight w:val="none"/>
              </w:rPr>
            </w:pPr>
            <w:r>
              <w:rPr>
                <w:color w:val="auto"/>
                <w:highlight w:val="none"/>
              </w:rPr>
              <w:t>83</w:t>
            </w:r>
          </w:p>
        </w:tc>
        <w:tc>
          <w:tcPr>
            <w:tcW w:w="692" w:type="pct"/>
            <w:vMerge w:val="continue"/>
            <w:tcBorders>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0E92D82">
            <w:pPr>
              <w:pStyle w:val="41"/>
              <w:rPr>
                <w:color w:val="auto"/>
                <w:highlight w:val="none"/>
              </w:rPr>
            </w:pPr>
          </w:p>
        </w:tc>
        <w:tc>
          <w:tcPr>
            <w:tcW w:w="692" w:type="pct"/>
            <w:vMerge w:val="continue"/>
            <w:tcBorders>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C8394AB">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2EEB1FB1">
            <w:pPr>
              <w:pStyle w:val="41"/>
              <w:rPr>
                <w:color w:val="auto"/>
                <w:highlight w:val="none"/>
              </w:rPr>
            </w:pPr>
            <w:r>
              <w:rPr>
                <w:rFonts w:hint="eastAsia"/>
                <w:color w:val="auto"/>
                <w:highlight w:val="none"/>
              </w:rPr>
              <w:t>73</w:t>
            </w:r>
          </w:p>
        </w:tc>
      </w:tr>
      <w:tr w14:paraId="0C799E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restart"/>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C6AF157">
            <w:pPr>
              <w:pStyle w:val="41"/>
              <w:rPr>
                <w:color w:val="auto"/>
                <w:highlight w:val="none"/>
              </w:rPr>
            </w:pPr>
            <w:r>
              <w:rPr>
                <w:color w:val="auto"/>
                <w:highlight w:val="none"/>
              </w:rPr>
              <w:t>钛中矿烘干车间</w:t>
            </w: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DB98DB5">
            <w:pPr>
              <w:pStyle w:val="41"/>
              <w:rPr>
                <w:color w:val="auto"/>
                <w:highlight w:val="none"/>
              </w:rPr>
            </w:pPr>
            <w:r>
              <w:rPr>
                <w:color w:val="auto"/>
                <w:highlight w:val="none"/>
              </w:rPr>
              <w:t>1</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227E148C">
            <w:pPr>
              <w:pStyle w:val="41"/>
              <w:rPr>
                <w:color w:val="auto"/>
                <w:highlight w:val="none"/>
              </w:rPr>
            </w:pPr>
            <w:r>
              <w:rPr>
                <w:color w:val="auto"/>
                <w:highlight w:val="none"/>
              </w:rPr>
              <w:t>引风机1</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59E716C0">
            <w:pPr>
              <w:pStyle w:val="41"/>
              <w:rPr>
                <w:color w:val="auto"/>
                <w:highlight w:val="none"/>
              </w:rPr>
            </w:pPr>
            <w:r>
              <w:rPr>
                <w:color w:val="auto"/>
                <w:highlight w:val="none"/>
              </w:rPr>
              <w:t>95</w:t>
            </w:r>
          </w:p>
        </w:tc>
        <w:tc>
          <w:tcPr>
            <w:tcW w:w="692" w:type="pct"/>
            <w:vMerge w:val="restart"/>
            <w:tcBorders>
              <w:top w:val="single" w:color="auto" w:sz="4" w:space="0"/>
              <w:left w:val="single" w:color="auto" w:sz="4" w:space="0"/>
              <w:right w:val="single" w:color="auto" w:sz="4" w:space="0"/>
              <w:tl2br w:val="nil"/>
              <w:tr2bl w:val="nil"/>
            </w:tcBorders>
            <w:shd w:val="clear" w:color="auto" w:fill="FFFFFF"/>
            <w:tcMar>
              <w:left w:w="28" w:type="dxa"/>
              <w:right w:w="28" w:type="dxa"/>
            </w:tcMar>
            <w:vAlign w:val="center"/>
          </w:tcPr>
          <w:p w14:paraId="1160A011">
            <w:pPr>
              <w:pStyle w:val="41"/>
              <w:rPr>
                <w:color w:val="auto"/>
                <w:highlight w:val="none"/>
              </w:rPr>
            </w:pPr>
            <w:r>
              <w:rPr>
                <w:color w:val="auto"/>
                <w:highlight w:val="none"/>
              </w:rPr>
              <w:t>室内固定连续噪声源</w:t>
            </w:r>
          </w:p>
        </w:tc>
        <w:tc>
          <w:tcPr>
            <w:tcW w:w="692" w:type="pct"/>
            <w:vMerge w:val="restart"/>
            <w:tcBorders>
              <w:top w:val="single" w:color="auto" w:sz="4" w:space="0"/>
              <w:left w:val="single" w:color="auto" w:sz="4" w:space="0"/>
              <w:right w:val="single" w:color="auto" w:sz="4" w:space="0"/>
              <w:tl2br w:val="nil"/>
              <w:tr2bl w:val="nil"/>
            </w:tcBorders>
            <w:shd w:val="clear" w:color="auto" w:fill="FFFFFF"/>
            <w:tcMar>
              <w:left w:w="28" w:type="dxa"/>
              <w:right w:w="28" w:type="dxa"/>
            </w:tcMar>
            <w:vAlign w:val="center"/>
          </w:tcPr>
          <w:p w14:paraId="42E95742">
            <w:pPr>
              <w:pStyle w:val="41"/>
              <w:rPr>
                <w:color w:val="auto"/>
                <w:highlight w:val="none"/>
              </w:rPr>
            </w:pPr>
            <w:r>
              <w:rPr>
                <w:color w:val="auto"/>
                <w:highlight w:val="none"/>
              </w:rPr>
              <w:t>基础减振</w:t>
            </w: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CC569D4">
            <w:pPr>
              <w:pStyle w:val="41"/>
              <w:rPr>
                <w:color w:val="auto"/>
                <w:highlight w:val="none"/>
              </w:rPr>
            </w:pPr>
            <w:r>
              <w:rPr>
                <w:rFonts w:hint="eastAsia"/>
                <w:color w:val="auto"/>
                <w:highlight w:val="none"/>
              </w:rPr>
              <w:t>85</w:t>
            </w:r>
          </w:p>
        </w:tc>
      </w:tr>
      <w:tr w14:paraId="5D246A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0B87B27">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30595DB6">
            <w:pPr>
              <w:pStyle w:val="41"/>
              <w:rPr>
                <w:color w:val="auto"/>
                <w:highlight w:val="none"/>
              </w:rPr>
            </w:pPr>
            <w:r>
              <w:rPr>
                <w:color w:val="auto"/>
                <w:highlight w:val="none"/>
              </w:rPr>
              <w:t>2</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6F6CE116">
            <w:pPr>
              <w:pStyle w:val="41"/>
              <w:rPr>
                <w:color w:val="auto"/>
                <w:highlight w:val="none"/>
              </w:rPr>
            </w:pPr>
            <w:r>
              <w:rPr>
                <w:color w:val="auto"/>
                <w:highlight w:val="none"/>
              </w:rPr>
              <w:t>鼓风机2</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3F03FE41">
            <w:pPr>
              <w:pStyle w:val="41"/>
              <w:rPr>
                <w:color w:val="auto"/>
                <w:highlight w:val="none"/>
              </w:rPr>
            </w:pPr>
            <w:r>
              <w:rPr>
                <w:color w:val="auto"/>
                <w:highlight w:val="none"/>
              </w:rPr>
              <w:t>95</w:t>
            </w:r>
          </w:p>
        </w:tc>
        <w:tc>
          <w:tcPr>
            <w:tcW w:w="692" w:type="pct"/>
            <w:vMerge w:val="continue"/>
            <w:tcBorders>
              <w:left w:val="single" w:color="auto" w:sz="4" w:space="0"/>
              <w:right w:val="single" w:color="auto" w:sz="4" w:space="0"/>
              <w:tl2br w:val="nil"/>
              <w:tr2bl w:val="nil"/>
            </w:tcBorders>
            <w:shd w:val="clear" w:color="auto" w:fill="FFFFFF"/>
            <w:tcMar>
              <w:left w:w="28" w:type="dxa"/>
              <w:right w:w="28" w:type="dxa"/>
            </w:tcMar>
            <w:vAlign w:val="center"/>
          </w:tcPr>
          <w:p w14:paraId="173DE7CC">
            <w:pPr>
              <w:pStyle w:val="41"/>
              <w:rPr>
                <w:color w:val="auto"/>
                <w:highlight w:val="none"/>
              </w:rPr>
            </w:pPr>
          </w:p>
        </w:tc>
        <w:tc>
          <w:tcPr>
            <w:tcW w:w="692" w:type="pct"/>
            <w:vMerge w:val="continue"/>
            <w:tcBorders>
              <w:left w:val="single" w:color="auto" w:sz="4" w:space="0"/>
              <w:right w:val="single" w:color="auto" w:sz="4" w:space="0"/>
              <w:tl2br w:val="nil"/>
              <w:tr2bl w:val="nil"/>
            </w:tcBorders>
            <w:shd w:val="clear" w:color="auto" w:fill="FFFFFF"/>
            <w:tcMar>
              <w:left w:w="28" w:type="dxa"/>
              <w:right w:w="28" w:type="dxa"/>
            </w:tcMar>
            <w:vAlign w:val="center"/>
          </w:tcPr>
          <w:p w14:paraId="3CF22AF7">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316725DD">
            <w:pPr>
              <w:pStyle w:val="41"/>
              <w:rPr>
                <w:color w:val="auto"/>
                <w:highlight w:val="none"/>
              </w:rPr>
            </w:pPr>
            <w:r>
              <w:rPr>
                <w:rFonts w:hint="eastAsia"/>
                <w:color w:val="auto"/>
                <w:highlight w:val="none"/>
              </w:rPr>
              <w:t>85</w:t>
            </w:r>
          </w:p>
        </w:tc>
      </w:tr>
      <w:tr w14:paraId="571C86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923DF52">
            <w:pPr>
              <w:pStyle w:val="41"/>
              <w:rPr>
                <w:color w:val="auto"/>
                <w:highlight w:val="none"/>
              </w:rPr>
            </w:pPr>
          </w:p>
        </w:tc>
        <w:tc>
          <w:tcPr>
            <w:tcW w:w="393"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503B3A7C">
            <w:pPr>
              <w:pStyle w:val="41"/>
              <w:rPr>
                <w:color w:val="auto"/>
                <w:highlight w:val="none"/>
              </w:rPr>
            </w:pPr>
            <w:r>
              <w:rPr>
                <w:color w:val="auto"/>
                <w:highlight w:val="none"/>
              </w:rPr>
              <w:t>3</w:t>
            </w:r>
          </w:p>
        </w:tc>
        <w:tc>
          <w:tcPr>
            <w:tcW w:w="102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B3F7DE4">
            <w:pPr>
              <w:pStyle w:val="41"/>
              <w:rPr>
                <w:color w:val="auto"/>
                <w:highlight w:val="none"/>
              </w:rPr>
            </w:pPr>
            <w:r>
              <w:rPr>
                <w:color w:val="auto"/>
                <w:highlight w:val="none"/>
              </w:rPr>
              <w:t>循环水泵2</w:t>
            </w:r>
          </w:p>
        </w:tc>
        <w:tc>
          <w:tcPr>
            <w:tcW w:w="88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1DCD5B50">
            <w:pPr>
              <w:pStyle w:val="41"/>
              <w:rPr>
                <w:color w:val="auto"/>
                <w:highlight w:val="none"/>
              </w:rPr>
            </w:pPr>
            <w:r>
              <w:rPr>
                <w:color w:val="auto"/>
                <w:highlight w:val="none"/>
              </w:rPr>
              <w:t>83</w:t>
            </w:r>
          </w:p>
        </w:tc>
        <w:tc>
          <w:tcPr>
            <w:tcW w:w="692" w:type="pct"/>
            <w:vMerge w:val="continue"/>
            <w:tcBorders>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6A34CA7A">
            <w:pPr>
              <w:pStyle w:val="41"/>
              <w:rPr>
                <w:color w:val="auto"/>
                <w:highlight w:val="none"/>
              </w:rPr>
            </w:pPr>
          </w:p>
        </w:tc>
        <w:tc>
          <w:tcPr>
            <w:tcW w:w="692" w:type="pct"/>
            <w:vMerge w:val="continue"/>
            <w:tcBorders>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6488FED">
            <w:pPr>
              <w:pStyle w:val="41"/>
              <w:rPr>
                <w:color w:val="auto"/>
                <w:highlight w:val="none"/>
              </w:rPr>
            </w:pP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28C63644">
            <w:pPr>
              <w:pStyle w:val="41"/>
              <w:rPr>
                <w:color w:val="auto"/>
                <w:highlight w:val="none"/>
              </w:rPr>
            </w:pPr>
            <w:r>
              <w:rPr>
                <w:rFonts w:hint="eastAsia"/>
                <w:color w:val="auto"/>
                <w:highlight w:val="none"/>
              </w:rPr>
              <w:t>73</w:t>
            </w:r>
          </w:p>
        </w:tc>
      </w:tr>
      <w:tr w14:paraId="1E4DB7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13" w:type="pct"/>
            <w:tcBorders>
              <w:top w:val="single" w:color="auto" w:sz="4" w:space="0"/>
              <w:left w:val="single" w:color="auto" w:sz="12" w:space="0"/>
              <w:bottom w:val="single" w:color="auto" w:sz="12" w:space="0"/>
              <w:right w:val="single" w:color="auto" w:sz="4" w:space="0"/>
              <w:tl2br w:val="nil"/>
              <w:tr2bl w:val="nil"/>
            </w:tcBorders>
            <w:shd w:val="clear" w:color="auto" w:fill="FFFFFF"/>
            <w:tcMar>
              <w:top w:w="0" w:type="dxa"/>
              <w:left w:w="28" w:type="dxa"/>
              <w:bottom w:w="0" w:type="dxa"/>
              <w:right w:w="28" w:type="dxa"/>
            </w:tcMar>
            <w:vAlign w:val="center"/>
          </w:tcPr>
          <w:p w14:paraId="7C70083B">
            <w:pPr>
              <w:pStyle w:val="41"/>
              <w:rPr>
                <w:color w:val="auto"/>
                <w:highlight w:val="none"/>
              </w:rPr>
            </w:pPr>
            <w:r>
              <w:rPr>
                <w:color w:val="auto"/>
                <w:highlight w:val="none"/>
              </w:rPr>
              <w:t>尾矿干排车间</w:t>
            </w:r>
          </w:p>
        </w:tc>
        <w:tc>
          <w:tcPr>
            <w:tcW w:w="393"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70F8C81A">
            <w:pPr>
              <w:pStyle w:val="41"/>
              <w:rPr>
                <w:color w:val="auto"/>
                <w:highlight w:val="none"/>
              </w:rPr>
            </w:pPr>
            <w:r>
              <w:rPr>
                <w:color w:val="auto"/>
                <w:highlight w:val="none"/>
              </w:rPr>
              <w:t>1</w:t>
            </w:r>
          </w:p>
        </w:tc>
        <w:tc>
          <w:tcPr>
            <w:tcW w:w="1026"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13217347">
            <w:pPr>
              <w:pStyle w:val="41"/>
              <w:rPr>
                <w:color w:val="auto"/>
                <w:highlight w:val="none"/>
              </w:rPr>
            </w:pPr>
            <w:r>
              <w:rPr>
                <w:color w:val="auto"/>
                <w:highlight w:val="none"/>
              </w:rPr>
              <w:t>脱水筛5</w:t>
            </w:r>
          </w:p>
        </w:tc>
        <w:tc>
          <w:tcPr>
            <w:tcW w:w="887"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05501894">
            <w:pPr>
              <w:pStyle w:val="41"/>
              <w:rPr>
                <w:color w:val="auto"/>
                <w:highlight w:val="none"/>
              </w:rPr>
            </w:pPr>
            <w:r>
              <w:rPr>
                <w:color w:val="auto"/>
                <w:highlight w:val="none"/>
              </w:rPr>
              <w:t>85</w:t>
            </w:r>
          </w:p>
        </w:tc>
        <w:tc>
          <w:tcPr>
            <w:tcW w:w="692"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6CCB9891">
            <w:pPr>
              <w:pStyle w:val="41"/>
              <w:rPr>
                <w:color w:val="auto"/>
                <w:highlight w:val="none"/>
              </w:rPr>
            </w:pPr>
            <w:r>
              <w:rPr>
                <w:color w:val="auto"/>
                <w:highlight w:val="none"/>
              </w:rPr>
              <w:t>室内固定连续噪声源</w:t>
            </w:r>
          </w:p>
        </w:tc>
        <w:tc>
          <w:tcPr>
            <w:tcW w:w="692"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59A8D25C">
            <w:pPr>
              <w:pStyle w:val="41"/>
              <w:rPr>
                <w:color w:val="auto"/>
                <w:highlight w:val="none"/>
              </w:rPr>
            </w:pPr>
            <w:r>
              <w:rPr>
                <w:color w:val="auto"/>
                <w:highlight w:val="none"/>
              </w:rPr>
              <w:t>基础减振</w:t>
            </w:r>
          </w:p>
        </w:tc>
        <w:tc>
          <w:tcPr>
            <w:tcW w:w="692"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3C9AEB9D">
            <w:pPr>
              <w:pStyle w:val="41"/>
              <w:rPr>
                <w:color w:val="auto"/>
                <w:highlight w:val="none"/>
              </w:rPr>
            </w:pPr>
            <w:r>
              <w:rPr>
                <w:rFonts w:hint="eastAsia"/>
                <w:color w:val="auto"/>
                <w:highlight w:val="none"/>
              </w:rPr>
              <w:t>73</w:t>
            </w:r>
          </w:p>
        </w:tc>
      </w:tr>
    </w:tbl>
    <w:p w14:paraId="269333E3">
      <w:pPr>
        <w:pStyle w:val="43"/>
        <w:rPr>
          <w:color w:val="auto"/>
          <w:highlight w:val="none"/>
        </w:rPr>
      </w:pPr>
      <w:r>
        <w:rPr>
          <w:color w:val="auto"/>
          <w:highlight w:val="none"/>
        </w:rPr>
        <w:t>固体废物</w:t>
      </w:r>
    </w:p>
    <w:p w14:paraId="783A5172">
      <w:pPr>
        <w:pStyle w:val="3"/>
        <w:ind w:firstLine="480"/>
        <w:rPr>
          <w:color w:val="auto"/>
          <w:highlight w:val="none"/>
        </w:rPr>
      </w:pPr>
      <w:r>
        <w:rPr>
          <w:color w:val="auto"/>
          <w:highlight w:val="none"/>
        </w:rPr>
        <w:t>本项目产生的固体废物主要为废石、干抛尾矿、除尘灰、生活污水处理设施污泥、炉灰渣、</w:t>
      </w:r>
      <w:r>
        <w:rPr>
          <w:rFonts w:hint="eastAsia"/>
          <w:color w:val="auto"/>
          <w:highlight w:val="none"/>
        </w:rPr>
        <w:t>脱硫石膏、沉淀池底泥、废布袋</w:t>
      </w:r>
      <w:r>
        <w:rPr>
          <w:rFonts w:hint="eastAsia"/>
          <w:color w:val="auto"/>
          <w:highlight w:val="none"/>
          <w:lang w:eastAsia="zh-CN"/>
        </w:rPr>
        <w:t>、</w:t>
      </w:r>
      <w:r>
        <w:rPr>
          <w:color w:val="auto"/>
          <w:highlight w:val="none"/>
        </w:rPr>
        <w:t>废机油和生活垃圾。其中除尘灰一项，根据《固体废物鉴别标准 通则》（GB34330-2017）规定：</w:t>
      </w:r>
      <w:r>
        <w:rPr>
          <w:rFonts w:hint="eastAsia"/>
          <w:color w:val="auto"/>
          <w:highlight w:val="none"/>
          <w:lang w:eastAsia="zh-CN"/>
        </w:rPr>
        <w:t>“</w:t>
      </w:r>
      <w:r>
        <w:rPr>
          <w:color w:val="auto"/>
          <w:highlight w:val="none"/>
        </w:rPr>
        <w:t>不经过贮存或堆积过程，而在现场直接返回原生产过程或返回其产生过程的物质可不作为固体废物管理</w:t>
      </w:r>
      <w:r>
        <w:rPr>
          <w:rFonts w:hint="eastAsia"/>
          <w:color w:val="auto"/>
          <w:highlight w:val="none"/>
          <w:lang w:eastAsia="zh-CN"/>
        </w:rPr>
        <w:t>”</w:t>
      </w:r>
      <w:r>
        <w:rPr>
          <w:color w:val="auto"/>
          <w:highlight w:val="none"/>
        </w:rPr>
        <w:t>，本项目除尘器收集的粉尘和各车间沉降下来收集的粉尘不经过贮存或堆积直接回用于生产，故袋式除尘器收集的粉尘和各车间沉降下来收集的粉尘不作为固体废物管理。</w:t>
      </w:r>
    </w:p>
    <w:p w14:paraId="70537547">
      <w:pPr>
        <w:pStyle w:val="3"/>
        <w:ind w:firstLine="480"/>
        <w:rPr>
          <w:color w:val="auto"/>
          <w:highlight w:val="none"/>
        </w:rPr>
      </w:pPr>
      <w:r>
        <w:rPr>
          <w:color w:val="auto"/>
          <w:highlight w:val="none"/>
        </w:rPr>
        <w:t>（1）废石</w:t>
      </w:r>
    </w:p>
    <w:p w14:paraId="4CC7102A">
      <w:pPr>
        <w:pStyle w:val="3"/>
        <w:ind w:firstLine="480"/>
        <w:rPr>
          <w:color w:val="auto"/>
          <w:highlight w:val="none"/>
        </w:rPr>
      </w:pPr>
      <w:r>
        <w:rPr>
          <w:rFonts w:hint="eastAsia"/>
          <w:color w:val="auto"/>
          <w:highlight w:val="none"/>
        </w:rPr>
        <w:t>破碎粗选工序</w:t>
      </w:r>
      <w:r>
        <w:rPr>
          <w:color w:val="auto"/>
          <w:highlight w:val="none"/>
        </w:rPr>
        <w:t>废石</w:t>
      </w:r>
      <w:r>
        <w:rPr>
          <w:rFonts w:hint="eastAsia"/>
          <w:color w:val="auto"/>
          <w:highlight w:val="none"/>
        </w:rPr>
        <w:t>产生</w:t>
      </w:r>
      <w:r>
        <w:rPr>
          <w:color w:val="auto"/>
          <w:highlight w:val="none"/>
        </w:rPr>
        <w:t>量232万t/a，</w:t>
      </w:r>
      <w:r>
        <w:rPr>
          <w:rFonts w:hint="eastAsia"/>
          <w:color w:val="auto"/>
          <w:highlight w:val="none"/>
        </w:rPr>
        <w:t>废石</w:t>
      </w:r>
      <w:r>
        <w:rPr>
          <w:color w:val="auto"/>
          <w:highlight w:val="none"/>
        </w:rPr>
        <w:t>运往采矿项目</w:t>
      </w:r>
      <w:r>
        <w:rPr>
          <w:rFonts w:hint="eastAsia"/>
          <w:color w:val="auto"/>
          <w:highlight w:val="none"/>
          <w:lang w:eastAsia="zh-CN"/>
        </w:rPr>
        <w:t>排土场</w:t>
      </w:r>
      <w:r>
        <w:rPr>
          <w:color w:val="auto"/>
          <w:highlight w:val="none"/>
        </w:rPr>
        <w:t>进行堆存，后期可回填采坑。</w:t>
      </w:r>
    </w:p>
    <w:p w14:paraId="0BC40057">
      <w:pPr>
        <w:pStyle w:val="3"/>
        <w:ind w:firstLine="480"/>
        <w:rPr>
          <w:color w:val="auto"/>
          <w:highlight w:val="none"/>
        </w:rPr>
      </w:pPr>
      <w:r>
        <w:rPr>
          <w:color w:val="auto"/>
          <w:highlight w:val="none"/>
        </w:rPr>
        <w:t>（2）干抛尾矿</w:t>
      </w:r>
    </w:p>
    <w:p w14:paraId="794DBE5A">
      <w:pPr>
        <w:pStyle w:val="3"/>
        <w:ind w:firstLine="480"/>
        <w:rPr>
          <w:color w:val="auto"/>
          <w:highlight w:val="none"/>
        </w:rPr>
      </w:pPr>
      <w:r>
        <w:rPr>
          <w:rFonts w:hint="eastAsia"/>
          <w:color w:val="auto"/>
          <w:highlight w:val="none"/>
        </w:rPr>
        <w:t>干抛</w:t>
      </w:r>
      <w:r>
        <w:rPr>
          <w:color w:val="auto"/>
          <w:highlight w:val="none"/>
        </w:rPr>
        <w:t>尾矿产生量302万t/a</w:t>
      </w:r>
      <w:r>
        <w:rPr>
          <w:rFonts w:hint="eastAsia"/>
          <w:color w:val="auto"/>
          <w:highlight w:val="none"/>
        </w:rPr>
        <w:t>，</w:t>
      </w:r>
      <w:r>
        <w:rPr>
          <w:color w:val="auto"/>
          <w:highlight w:val="none"/>
        </w:rPr>
        <w:t>尾矿运往</w:t>
      </w:r>
      <w:r>
        <w:rPr>
          <w:rFonts w:hint="eastAsia"/>
          <w:color w:val="auto"/>
          <w:highlight w:val="none"/>
        </w:rPr>
        <w:t>本项目拟建</w:t>
      </w:r>
      <w:r>
        <w:rPr>
          <w:color w:val="auto"/>
          <w:highlight w:val="none"/>
        </w:rPr>
        <w:t>尾矿库进行堆存。</w:t>
      </w:r>
    </w:p>
    <w:p w14:paraId="368C7E1A">
      <w:pPr>
        <w:pStyle w:val="3"/>
        <w:ind w:firstLine="480"/>
        <w:rPr>
          <w:color w:val="auto"/>
          <w:highlight w:val="none"/>
        </w:rPr>
      </w:pPr>
      <w:r>
        <w:rPr>
          <w:color w:val="auto"/>
          <w:highlight w:val="none"/>
        </w:rPr>
        <w:t>（3）除尘灰</w:t>
      </w:r>
    </w:p>
    <w:p w14:paraId="46CE8B94">
      <w:pPr>
        <w:pStyle w:val="3"/>
        <w:ind w:firstLine="480"/>
        <w:rPr>
          <w:color w:val="auto"/>
          <w:highlight w:val="none"/>
        </w:rPr>
      </w:pPr>
      <w:r>
        <w:rPr>
          <w:color w:val="auto"/>
          <w:highlight w:val="none"/>
        </w:rPr>
        <w:t>本项目破碎筛分</w:t>
      </w:r>
      <w:r>
        <w:rPr>
          <w:rFonts w:hint="eastAsia"/>
          <w:color w:val="auto"/>
          <w:highlight w:val="none"/>
        </w:rPr>
        <w:t>、磁选等工序</w:t>
      </w:r>
      <w:r>
        <w:rPr>
          <w:color w:val="auto"/>
          <w:highlight w:val="none"/>
        </w:rPr>
        <w:t>收集的除尘灰总产生量为</w:t>
      </w:r>
      <w:r>
        <w:rPr>
          <w:rFonts w:hint="eastAsia"/>
          <w:color w:val="auto"/>
          <w:highlight w:val="none"/>
        </w:rPr>
        <w:t>1090.441</w:t>
      </w:r>
      <w:r>
        <w:rPr>
          <w:color w:val="auto"/>
          <w:highlight w:val="none"/>
        </w:rPr>
        <w:t>t/a，由于该粉尘粒度较细，成分与原</w:t>
      </w:r>
      <w:r>
        <w:rPr>
          <w:rFonts w:hint="eastAsia"/>
          <w:color w:val="auto"/>
          <w:highlight w:val="none"/>
        </w:rPr>
        <w:t>矿石</w:t>
      </w:r>
      <w:r>
        <w:rPr>
          <w:color w:val="auto"/>
          <w:highlight w:val="none"/>
        </w:rPr>
        <w:t>成分一致，可收集后作为细颗粒原料进入选矿工段生产精矿。</w:t>
      </w:r>
    </w:p>
    <w:p w14:paraId="7CCD8853">
      <w:pPr>
        <w:pStyle w:val="3"/>
        <w:ind w:firstLine="480"/>
        <w:rPr>
          <w:color w:val="auto"/>
          <w:highlight w:val="none"/>
        </w:rPr>
      </w:pPr>
      <w:r>
        <w:rPr>
          <w:color w:val="auto"/>
          <w:highlight w:val="none"/>
        </w:rPr>
        <w:t>（4）生活污水处理设施污泥</w:t>
      </w:r>
    </w:p>
    <w:p w14:paraId="73F3D701">
      <w:pPr>
        <w:pStyle w:val="3"/>
        <w:ind w:firstLine="480"/>
        <w:rPr>
          <w:color w:val="auto"/>
          <w:highlight w:val="none"/>
        </w:rPr>
      </w:pPr>
      <w:r>
        <w:rPr>
          <w:color w:val="auto"/>
          <w:highlight w:val="none"/>
        </w:rPr>
        <w:t>地埋式一体化污水处理设施沉淀时间为1.5h，含水率为90%，产生污泥量为70g/d·人（本项目287人、工作时间为330天），则污泥产生量为6.63t/a，</w:t>
      </w:r>
      <w:r>
        <w:rPr>
          <w:color w:val="auto"/>
          <w:highlight w:val="none"/>
        </w:rPr>
        <w:t>集中收集与生活垃圾一并清运处置</w:t>
      </w:r>
      <w:r>
        <w:rPr>
          <w:color w:val="auto"/>
          <w:highlight w:val="none"/>
        </w:rPr>
        <w:t>。</w:t>
      </w:r>
    </w:p>
    <w:p w14:paraId="6C8C2F21">
      <w:pPr>
        <w:pStyle w:val="3"/>
        <w:ind w:firstLine="480"/>
        <w:rPr>
          <w:color w:val="auto"/>
          <w:highlight w:val="none"/>
        </w:rPr>
      </w:pPr>
      <w:r>
        <w:rPr>
          <w:color w:val="auto"/>
          <w:highlight w:val="none"/>
        </w:rPr>
        <w:t>（5）废机油</w:t>
      </w:r>
    </w:p>
    <w:p w14:paraId="58F9093C">
      <w:pPr>
        <w:pStyle w:val="3"/>
        <w:ind w:firstLine="480"/>
        <w:rPr>
          <w:color w:val="auto"/>
          <w:highlight w:val="none"/>
        </w:rPr>
      </w:pPr>
      <w:r>
        <w:rPr>
          <w:color w:val="auto"/>
          <w:highlight w:val="none"/>
        </w:rPr>
        <w:t>本项目的生产设备定期需要更换或添加机油，在此过程中会产生机械废机油等危险废物，产生量约3</w:t>
      </w:r>
      <w:r>
        <w:rPr>
          <w:rFonts w:hint="eastAsia"/>
          <w:color w:val="auto"/>
          <w:highlight w:val="none"/>
        </w:rPr>
        <w:t>.0</w:t>
      </w:r>
      <w:r>
        <w:rPr>
          <w:color w:val="auto"/>
          <w:highlight w:val="none"/>
        </w:rPr>
        <w:t>t/a，根据《国家危险废物名录》（202</w:t>
      </w:r>
      <w:r>
        <w:rPr>
          <w:rFonts w:hint="eastAsia"/>
          <w:color w:val="auto"/>
          <w:highlight w:val="none"/>
        </w:rPr>
        <w:t>5</w:t>
      </w:r>
      <w:r>
        <w:rPr>
          <w:color w:val="auto"/>
          <w:highlight w:val="none"/>
        </w:rPr>
        <w:t>年）的规定，废机油属于HW08废矿物油，</w:t>
      </w:r>
      <w:r>
        <w:rPr>
          <w:rFonts w:hint="eastAsia"/>
          <w:color w:val="auto"/>
          <w:highlight w:val="none"/>
        </w:rPr>
        <w:t>废物</w:t>
      </w:r>
      <w:r>
        <w:rPr>
          <w:color w:val="auto"/>
          <w:highlight w:val="none"/>
        </w:rPr>
        <w:t>代码为900-214-08。本项目废机油集中收集，</w:t>
      </w:r>
      <w:r>
        <w:rPr>
          <w:rFonts w:hint="eastAsia"/>
          <w:color w:val="auto"/>
          <w:highlight w:val="none"/>
        </w:rPr>
        <w:t>暂存于现状</w:t>
      </w:r>
      <w:r>
        <w:rPr>
          <w:color w:val="auto"/>
          <w:highlight w:val="none"/>
        </w:rPr>
        <w:t>危废</w:t>
      </w:r>
      <w:r>
        <w:rPr>
          <w:rFonts w:hint="eastAsia"/>
          <w:color w:val="auto"/>
          <w:highlight w:val="none"/>
        </w:rPr>
        <w:t>贮存点</w:t>
      </w:r>
      <w:r>
        <w:rPr>
          <w:color w:val="auto"/>
          <w:highlight w:val="none"/>
        </w:rPr>
        <w:t>，定期委托相关有资质的克州天蓝蓝环保有限公司拉</w:t>
      </w:r>
      <w:r>
        <w:rPr>
          <w:rFonts w:hint="eastAsia"/>
          <w:color w:val="auto"/>
          <w:highlight w:val="none"/>
        </w:rPr>
        <w:t>运</w:t>
      </w:r>
      <w:r>
        <w:rPr>
          <w:color w:val="auto"/>
          <w:highlight w:val="none"/>
        </w:rPr>
        <w:t>处置。</w:t>
      </w:r>
    </w:p>
    <w:p w14:paraId="64E43390">
      <w:pPr>
        <w:pStyle w:val="3"/>
        <w:ind w:firstLine="480"/>
        <w:rPr>
          <w:color w:val="auto"/>
          <w:highlight w:val="none"/>
        </w:rPr>
      </w:pPr>
      <w:r>
        <w:rPr>
          <w:color w:val="auto"/>
          <w:highlight w:val="none"/>
        </w:rPr>
        <w:t>（6）生活垃圾</w:t>
      </w:r>
    </w:p>
    <w:p w14:paraId="219B0351">
      <w:pPr>
        <w:pStyle w:val="3"/>
        <w:ind w:firstLine="480"/>
        <w:rPr>
          <w:color w:val="auto"/>
          <w:highlight w:val="none"/>
        </w:rPr>
      </w:pPr>
      <w:r>
        <w:rPr>
          <w:color w:val="auto"/>
          <w:highlight w:val="none"/>
        </w:rPr>
        <w:t>本项目劳动定员287人，每人每天产生生活垃圾按0.8kg计算，则项目年生活垃圾产生量为75.768t/a，产生的生活垃圾集中收集定期</w:t>
      </w:r>
      <w:r>
        <w:rPr>
          <w:rFonts w:hint="eastAsia"/>
          <w:color w:val="auto"/>
          <w:highlight w:val="none"/>
        </w:rPr>
        <w:t>清</w:t>
      </w:r>
      <w:r>
        <w:rPr>
          <w:color w:val="auto"/>
          <w:highlight w:val="none"/>
        </w:rPr>
        <w:t>运至哈拉峻乡谢依提村垃圾场填埋处理。</w:t>
      </w:r>
    </w:p>
    <w:p w14:paraId="52DAF265">
      <w:pPr>
        <w:pStyle w:val="3"/>
        <w:ind w:firstLine="480"/>
        <w:rPr>
          <w:rFonts w:hint="eastAsia" w:eastAsia="华文中宋"/>
          <w:color w:val="auto"/>
          <w:highlight w:val="none"/>
          <w:lang w:eastAsia="zh-CN"/>
        </w:rPr>
      </w:pPr>
      <w:r>
        <w:rPr>
          <w:color w:val="auto"/>
          <w:highlight w:val="none"/>
        </w:rPr>
        <w:t>（7）炉灰渣</w:t>
      </w:r>
      <w:r>
        <w:rPr>
          <w:rFonts w:hint="eastAsia"/>
          <w:color w:val="auto"/>
          <w:highlight w:val="none"/>
          <w:lang w:eastAsia="zh-CN"/>
        </w:rPr>
        <w:t>、脱硫石膏</w:t>
      </w:r>
    </w:p>
    <w:p w14:paraId="349200D5">
      <w:pPr>
        <w:pStyle w:val="3"/>
        <w:ind w:firstLine="480"/>
        <w:rPr>
          <w:rFonts w:hint="eastAsia" w:eastAsia="华文中宋"/>
          <w:color w:val="auto"/>
          <w:highlight w:val="none"/>
          <w:lang w:val="en-US" w:eastAsia="zh-CN"/>
        </w:rPr>
      </w:pPr>
      <w:r>
        <w:rPr>
          <w:color w:val="auto"/>
          <w:highlight w:val="none"/>
        </w:rPr>
        <w:t>炉灰渣主要包括</w:t>
      </w:r>
      <w:r>
        <w:rPr>
          <w:rStyle w:val="44"/>
          <w:color w:val="auto"/>
          <w:highlight w:val="none"/>
        </w:rPr>
        <w:t>布</w:t>
      </w:r>
      <w:r>
        <w:rPr>
          <w:color w:val="auto"/>
          <w:highlight w:val="none"/>
        </w:rPr>
        <w:t>袋除尘器中的除尘灰及炉膛炉渣，</w:t>
      </w:r>
      <w:r>
        <w:rPr>
          <w:rFonts w:hint="eastAsia"/>
          <w:color w:val="auto"/>
          <w:highlight w:val="none"/>
        </w:rPr>
        <w:t>生物质炉灰渣</w:t>
      </w:r>
      <w:r>
        <w:rPr>
          <w:color w:val="auto"/>
          <w:highlight w:val="none"/>
        </w:rPr>
        <w:t>产生量约42.37t/a，</w:t>
      </w:r>
      <w:r>
        <w:rPr>
          <w:rFonts w:hint="eastAsia"/>
          <w:color w:val="auto"/>
          <w:highlight w:val="none"/>
        </w:rPr>
        <w:t>作为土壤改良剂用于</w:t>
      </w:r>
      <w:r>
        <w:rPr>
          <w:rFonts w:hint="eastAsia"/>
          <w:color w:val="auto"/>
          <w:highlight w:val="none"/>
          <w:lang w:eastAsia="zh-CN"/>
        </w:rPr>
        <w:t>项目区</w:t>
      </w:r>
      <w:r>
        <w:rPr>
          <w:rFonts w:hint="eastAsia"/>
          <w:color w:val="auto"/>
          <w:highlight w:val="none"/>
        </w:rPr>
        <w:t>生态恢复治理</w:t>
      </w:r>
      <w:r>
        <w:rPr>
          <w:rFonts w:hint="eastAsia"/>
          <w:color w:val="auto"/>
          <w:highlight w:val="none"/>
          <w:lang w:eastAsia="zh-CN"/>
        </w:rPr>
        <w:t>；脱硫石膏产生量约为</w:t>
      </w:r>
      <w:r>
        <w:rPr>
          <w:rFonts w:hint="eastAsia"/>
          <w:color w:val="auto"/>
          <w:highlight w:val="none"/>
          <w:lang w:val="en-US" w:eastAsia="zh-CN"/>
        </w:rPr>
        <w:t>12.18</w:t>
      </w:r>
      <w:r>
        <w:rPr>
          <w:color w:val="auto"/>
          <w:highlight w:val="none"/>
        </w:rPr>
        <w:t>t/a，</w:t>
      </w:r>
      <w:r>
        <w:rPr>
          <w:rFonts w:hint="eastAsia"/>
          <w:color w:val="auto"/>
          <w:highlight w:val="none"/>
          <w:lang w:eastAsia="zh-CN"/>
        </w:rPr>
        <w:t>外售进行综合利用。</w:t>
      </w:r>
    </w:p>
    <w:p w14:paraId="6036B3AF">
      <w:pPr>
        <w:pStyle w:val="3"/>
        <w:ind w:firstLine="480"/>
        <w:rPr>
          <w:color w:val="auto"/>
          <w:highlight w:val="none"/>
        </w:rPr>
      </w:pPr>
    </w:p>
    <w:p w14:paraId="2D982547">
      <w:pPr>
        <w:pStyle w:val="3"/>
        <w:ind w:firstLine="480"/>
        <w:rPr>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40DAF36D">
      <w:pPr>
        <w:pStyle w:val="40"/>
        <w:spacing w:before="24" w:after="24"/>
        <w:rPr>
          <w:color w:val="auto"/>
          <w:highlight w:val="none"/>
        </w:rPr>
      </w:pPr>
      <w:r>
        <w:rPr>
          <w:rFonts w:hint="eastAsia"/>
          <w:color w:val="auto"/>
          <w:highlight w:val="none"/>
        </w:rPr>
        <w:t>表3.4-15                             项目固体废物产生量和处置方式表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66"/>
        <w:gridCol w:w="1451"/>
        <w:gridCol w:w="1265"/>
        <w:gridCol w:w="1409"/>
        <w:gridCol w:w="904"/>
        <w:gridCol w:w="1211"/>
        <w:gridCol w:w="976"/>
        <w:gridCol w:w="1066"/>
        <w:gridCol w:w="1247"/>
        <w:gridCol w:w="1138"/>
        <w:gridCol w:w="2343"/>
      </w:tblGrid>
      <w:tr w14:paraId="11F931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166" w:type="dxa"/>
            <w:vMerge w:val="restart"/>
            <w:tcBorders>
              <w:tl2br w:val="nil"/>
              <w:tr2bl w:val="nil"/>
            </w:tcBorders>
            <w:vAlign w:val="center"/>
          </w:tcPr>
          <w:p w14:paraId="2AB98640">
            <w:pPr>
              <w:pStyle w:val="41"/>
              <w:rPr>
                <w:color w:val="auto"/>
                <w:highlight w:val="none"/>
              </w:rPr>
            </w:pPr>
            <w:r>
              <w:rPr>
                <w:color w:val="auto"/>
                <w:highlight w:val="none"/>
              </w:rPr>
              <w:t>工序/生产线</w:t>
            </w:r>
          </w:p>
        </w:tc>
        <w:tc>
          <w:tcPr>
            <w:tcW w:w="1451" w:type="dxa"/>
            <w:vMerge w:val="restart"/>
            <w:tcBorders>
              <w:tl2br w:val="nil"/>
              <w:tr2bl w:val="nil"/>
            </w:tcBorders>
            <w:vAlign w:val="center"/>
          </w:tcPr>
          <w:p w14:paraId="2A5FFD13">
            <w:pPr>
              <w:pStyle w:val="41"/>
              <w:rPr>
                <w:color w:val="auto"/>
                <w:highlight w:val="none"/>
              </w:rPr>
            </w:pPr>
            <w:r>
              <w:rPr>
                <w:color w:val="auto"/>
                <w:highlight w:val="none"/>
              </w:rPr>
              <w:t>装置</w:t>
            </w:r>
          </w:p>
        </w:tc>
        <w:tc>
          <w:tcPr>
            <w:tcW w:w="1265" w:type="dxa"/>
            <w:vMerge w:val="restart"/>
            <w:tcBorders>
              <w:tl2br w:val="nil"/>
              <w:tr2bl w:val="nil"/>
            </w:tcBorders>
            <w:vAlign w:val="center"/>
          </w:tcPr>
          <w:p w14:paraId="3F7C81BE">
            <w:pPr>
              <w:pStyle w:val="41"/>
              <w:rPr>
                <w:color w:val="auto"/>
                <w:highlight w:val="none"/>
              </w:rPr>
            </w:pPr>
            <w:r>
              <w:rPr>
                <w:color w:val="auto"/>
                <w:highlight w:val="none"/>
              </w:rPr>
              <w:t>固体废物名称</w:t>
            </w:r>
          </w:p>
        </w:tc>
        <w:tc>
          <w:tcPr>
            <w:tcW w:w="1409" w:type="dxa"/>
            <w:vMerge w:val="restart"/>
            <w:tcBorders>
              <w:tl2br w:val="nil"/>
              <w:tr2bl w:val="nil"/>
            </w:tcBorders>
            <w:vAlign w:val="center"/>
          </w:tcPr>
          <w:p w14:paraId="268A2693">
            <w:pPr>
              <w:pStyle w:val="41"/>
              <w:rPr>
                <w:color w:val="auto"/>
                <w:highlight w:val="none"/>
              </w:rPr>
            </w:pPr>
            <w:r>
              <w:rPr>
                <w:color w:val="auto"/>
                <w:highlight w:val="none"/>
              </w:rPr>
              <w:t>废物代码</w:t>
            </w:r>
          </w:p>
        </w:tc>
        <w:tc>
          <w:tcPr>
            <w:tcW w:w="904" w:type="dxa"/>
            <w:vMerge w:val="restart"/>
            <w:tcBorders>
              <w:tl2br w:val="nil"/>
              <w:tr2bl w:val="nil"/>
            </w:tcBorders>
            <w:vAlign w:val="center"/>
          </w:tcPr>
          <w:p w14:paraId="1CF692FF">
            <w:pPr>
              <w:pStyle w:val="41"/>
              <w:rPr>
                <w:color w:val="auto"/>
                <w:highlight w:val="none"/>
              </w:rPr>
            </w:pPr>
            <w:r>
              <w:rPr>
                <w:color w:val="auto"/>
                <w:highlight w:val="none"/>
              </w:rPr>
              <w:t>危废特性</w:t>
            </w:r>
          </w:p>
        </w:tc>
        <w:tc>
          <w:tcPr>
            <w:tcW w:w="1211" w:type="dxa"/>
            <w:vMerge w:val="restart"/>
            <w:tcBorders>
              <w:tl2br w:val="nil"/>
              <w:tr2bl w:val="nil"/>
            </w:tcBorders>
            <w:vAlign w:val="center"/>
          </w:tcPr>
          <w:p w14:paraId="3A71FFF4">
            <w:pPr>
              <w:pStyle w:val="41"/>
              <w:rPr>
                <w:color w:val="auto"/>
                <w:highlight w:val="none"/>
              </w:rPr>
            </w:pPr>
            <w:r>
              <w:rPr>
                <w:rFonts w:hint="eastAsia"/>
                <w:color w:val="auto"/>
                <w:highlight w:val="none"/>
              </w:rPr>
              <w:t>废物</w:t>
            </w:r>
            <w:r>
              <w:rPr>
                <w:color w:val="auto"/>
                <w:highlight w:val="none"/>
              </w:rPr>
              <w:t>属性</w:t>
            </w:r>
          </w:p>
        </w:tc>
        <w:tc>
          <w:tcPr>
            <w:tcW w:w="2042" w:type="dxa"/>
            <w:gridSpan w:val="2"/>
            <w:tcBorders>
              <w:tl2br w:val="nil"/>
              <w:tr2bl w:val="nil"/>
            </w:tcBorders>
            <w:vAlign w:val="center"/>
          </w:tcPr>
          <w:p w14:paraId="4274F9C6">
            <w:pPr>
              <w:pStyle w:val="41"/>
              <w:rPr>
                <w:color w:val="auto"/>
                <w:highlight w:val="none"/>
              </w:rPr>
            </w:pPr>
            <w:r>
              <w:rPr>
                <w:color w:val="auto"/>
                <w:highlight w:val="none"/>
                <w:lang w:val="zh-CN"/>
              </w:rPr>
              <w:t>产生情况</w:t>
            </w:r>
          </w:p>
        </w:tc>
        <w:tc>
          <w:tcPr>
            <w:tcW w:w="2385" w:type="dxa"/>
            <w:gridSpan w:val="2"/>
            <w:tcBorders>
              <w:tl2br w:val="nil"/>
              <w:tr2bl w:val="nil"/>
            </w:tcBorders>
            <w:vAlign w:val="center"/>
          </w:tcPr>
          <w:p w14:paraId="1C9EFB5F">
            <w:pPr>
              <w:pStyle w:val="41"/>
              <w:rPr>
                <w:color w:val="auto"/>
                <w:highlight w:val="none"/>
              </w:rPr>
            </w:pPr>
            <w:r>
              <w:rPr>
                <w:color w:val="auto"/>
                <w:highlight w:val="none"/>
                <w:lang w:val="zh-CN"/>
              </w:rPr>
              <w:t>处置情况</w:t>
            </w:r>
          </w:p>
        </w:tc>
        <w:tc>
          <w:tcPr>
            <w:tcW w:w="2343" w:type="dxa"/>
            <w:vMerge w:val="restart"/>
            <w:tcBorders>
              <w:tl2br w:val="nil"/>
              <w:tr2bl w:val="nil"/>
            </w:tcBorders>
            <w:vAlign w:val="center"/>
          </w:tcPr>
          <w:p w14:paraId="1A1E2835">
            <w:pPr>
              <w:pStyle w:val="41"/>
              <w:rPr>
                <w:color w:val="auto"/>
                <w:highlight w:val="none"/>
              </w:rPr>
            </w:pPr>
            <w:r>
              <w:rPr>
                <w:color w:val="auto"/>
                <w:highlight w:val="none"/>
              </w:rPr>
              <w:t>最终去向</w:t>
            </w:r>
          </w:p>
        </w:tc>
      </w:tr>
      <w:tr w14:paraId="1141F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166" w:type="dxa"/>
            <w:vMerge w:val="continue"/>
            <w:tcBorders>
              <w:tl2br w:val="nil"/>
              <w:tr2bl w:val="nil"/>
            </w:tcBorders>
            <w:vAlign w:val="center"/>
          </w:tcPr>
          <w:p w14:paraId="1FF38B12">
            <w:pPr>
              <w:pStyle w:val="41"/>
              <w:rPr>
                <w:color w:val="auto"/>
                <w:highlight w:val="none"/>
              </w:rPr>
            </w:pPr>
          </w:p>
        </w:tc>
        <w:tc>
          <w:tcPr>
            <w:tcW w:w="1451" w:type="dxa"/>
            <w:vMerge w:val="continue"/>
            <w:tcBorders>
              <w:tl2br w:val="nil"/>
              <w:tr2bl w:val="nil"/>
            </w:tcBorders>
            <w:vAlign w:val="center"/>
          </w:tcPr>
          <w:p w14:paraId="5D2B077B">
            <w:pPr>
              <w:pStyle w:val="41"/>
              <w:rPr>
                <w:color w:val="auto"/>
                <w:highlight w:val="none"/>
              </w:rPr>
            </w:pPr>
          </w:p>
        </w:tc>
        <w:tc>
          <w:tcPr>
            <w:tcW w:w="1265" w:type="dxa"/>
            <w:vMerge w:val="continue"/>
            <w:tcBorders>
              <w:tl2br w:val="nil"/>
              <w:tr2bl w:val="nil"/>
            </w:tcBorders>
            <w:vAlign w:val="center"/>
          </w:tcPr>
          <w:p w14:paraId="56CAE0A2">
            <w:pPr>
              <w:pStyle w:val="41"/>
              <w:rPr>
                <w:color w:val="auto"/>
                <w:highlight w:val="none"/>
              </w:rPr>
            </w:pPr>
          </w:p>
        </w:tc>
        <w:tc>
          <w:tcPr>
            <w:tcW w:w="1409" w:type="dxa"/>
            <w:vMerge w:val="continue"/>
            <w:tcBorders>
              <w:tl2br w:val="nil"/>
              <w:tr2bl w:val="nil"/>
            </w:tcBorders>
            <w:vAlign w:val="center"/>
          </w:tcPr>
          <w:p w14:paraId="401896B8">
            <w:pPr>
              <w:pStyle w:val="41"/>
              <w:rPr>
                <w:color w:val="auto"/>
                <w:highlight w:val="none"/>
              </w:rPr>
            </w:pPr>
          </w:p>
        </w:tc>
        <w:tc>
          <w:tcPr>
            <w:tcW w:w="904" w:type="dxa"/>
            <w:vMerge w:val="continue"/>
            <w:tcBorders>
              <w:tl2br w:val="nil"/>
              <w:tr2bl w:val="nil"/>
            </w:tcBorders>
            <w:vAlign w:val="center"/>
          </w:tcPr>
          <w:p w14:paraId="0A5AF1F4">
            <w:pPr>
              <w:pStyle w:val="41"/>
              <w:rPr>
                <w:color w:val="auto"/>
                <w:highlight w:val="none"/>
              </w:rPr>
            </w:pPr>
          </w:p>
        </w:tc>
        <w:tc>
          <w:tcPr>
            <w:tcW w:w="1211" w:type="dxa"/>
            <w:vMerge w:val="continue"/>
            <w:tcBorders>
              <w:tl2br w:val="nil"/>
              <w:tr2bl w:val="nil"/>
            </w:tcBorders>
            <w:vAlign w:val="center"/>
          </w:tcPr>
          <w:p w14:paraId="5E00E0B3">
            <w:pPr>
              <w:pStyle w:val="41"/>
              <w:rPr>
                <w:color w:val="auto"/>
                <w:highlight w:val="none"/>
              </w:rPr>
            </w:pPr>
          </w:p>
        </w:tc>
        <w:tc>
          <w:tcPr>
            <w:tcW w:w="976" w:type="dxa"/>
            <w:tcBorders>
              <w:tl2br w:val="nil"/>
              <w:tr2bl w:val="nil"/>
            </w:tcBorders>
            <w:vAlign w:val="center"/>
          </w:tcPr>
          <w:p w14:paraId="62B922AB">
            <w:pPr>
              <w:pStyle w:val="41"/>
              <w:rPr>
                <w:color w:val="auto"/>
                <w:highlight w:val="none"/>
              </w:rPr>
            </w:pPr>
            <w:r>
              <w:rPr>
                <w:color w:val="auto"/>
                <w:highlight w:val="none"/>
              </w:rPr>
              <w:t>核算方法</w:t>
            </w:r>
          </w:p>
        </w:tc>
        <w:tc>
          <w:tcPr>
            <w:tcW w:w="1066" w:type="dxa"/>
            <w:tcBorders>
              <w:tl2br w:val="nil"/>
              <w:tr2bl w:val="nil"/>
            </w:tcBorders>
            <w:vAlign w:val="center"/>
          </w:tcPr>
          <w:p w14:paraId="7373ECAF">
            <w:pPr>
              <w:pStyle w:val="41"/>
              <w:rPr>
                <w:color w:val="auto"/>
                <w:highlight w:val="none"/>
              </w:rPr>
            </w:pPr>
            <w:r>
              <w:rPr>
                <w:color w:val="auto"/>
                <w:highlight w:val="none"/>
              </w:rPr>
              <w:t>产生量（t/a）</w:t>
            </w:r>
          </w:p>
        </w:tc>
        <w:tc>
          <w:tcPr>
            <w:tcW w:w="1247" w:type="dxa"/>
            <w:tcBorders>
              <w:tl2br w:val="nil"/>
              <w:tr2bl w:val="nil"/>
            </w:tcBorders>
            <w:vAlign w:val="center"/>
          </w:tcPr>
          <w:p w14:paraId="414BEB5D">
            <w:pPr>
              <w:pStyle w:val="41"/>
              <w:rPr>
                <w:color w:val="auto"/>
                <w:highlight w:val="none"/>
              </w:rPr>
            </w:pPr>
            <w:r>
              <w:rPr>
                <w:color w:val="auto"/>
                <w:highlight w:val="none"/>
              </w:rPr>
              <w:t>工艺</w:t>
            </w:r>
          </w:p>
        </w:tc>
        <w:tc>
          <w:tcPr>
            <w:tcW w:w="1138" w:type="dxa"/>
            <w:tcBorders>
              <w:tl2br w:val="nil"/>
              <w:tr2bl w:val="nil"/>
            </w:tcBorders>
            <w:vAlign w:val="center"/>
          </w:tcPr>
          <w:p w14:paraId="189116F2">
            <w:pPr>
              <w:pStyle w:val="41"/>
              <w:rPr>
                <w:color w:val="auto"/>
                <w:highlight w:val="none"/>
              </w:rPr>
            </w:pPr>
            <w:r>
              <w:rPr>
                <w:color w:val="auto"/>
                <w:highlight w:val="none"/>
              </w:rPr>
              <w:t>处置量（t/a）</w:t>
            </w:r>
          </w:p>
        </w:tc>
        <w:tc>
          <w:tcPr>
            <w:tcW w:w="2343" w:type="dxa"/>
            <w:vMerge w:val="continue"/>
            <w:tcBorders>
              <w:tl2br w:val="nil"/>
              <w:tr2bl w:val="nil"/>
            </w:tcBorders>
            <w:vAlign w:val="center"/>
          </w:tcPr>
          <w:p w14:paraId="1129F252">
            <w:pPr>
              <w:pStyle w:val="41"/>
              <w:rPr>
                <w:color w:val="auto"/>
                <w:highlight w:val="none"/>
              </w:rPr>
            </w:pPr>
          </w:p>
        </w:tc>
      </w:tr>
      <w:tr w14:paraId="45F753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1166" w:type="dxa"/>
            <w:vMerge w:val="restart"/>
            <w:tcBorders>
              <w:tl2br w:val="nil"/>
              <w:tr2bl w:val="nil"/>
            </w:tcBorders>
            <w:vAlign w:val="center"/>
          </w:tcPr>
          <w:p w14:paraId="2A4616E0">
            <w:pPr>
              <w:pStyle w:val="41"/>
              <w:rPr>
                <w:color w:val="auto"/>
                <w:highlight w:val="none"/>
              </w:rPr>
            </w:pPr>
            <w:r>
              <w:rPr>
                <w:color w:val="auto"/>
                <w:highlight w:val="none"/>
              </w:rPr>
              <w:t>选矿工艺</w:t>
            </w:r>
          </w:p>
        </w:tc>
        <w:tc>
          <w:tcPr>
            <w:tcW w:w="1451" w:type="dxa"/>
            <w:tcBorders>
              <w:tl2br w:val="nil"/>
              <w:tr2bl w:val="nil"/>
            </w:tcBorders>
            <w:vAlign w:val="center"/>
          </w:tcPr>
          <w:p w14:paraId="5DE84E3D">
            <w:pPr>
              <w:pStyle w:val="41"/>
              <w:rPr>
                <w:color w:val="auto"/>
                <w:highlight w:val="none"/>
              </w:rPr>
            </w:pPr>
            <w:r>
              <w:rPr>
                <w:rFonts w:hint="eastAsia"/>
                <w:color w:val="auto"/>
                <w:highlight w:val="none"/>
              </w:rPr>
              <w:t>选矿</w:t>
            </w:r>
            <w:r>
              <w:rPr>
                <w:color w:val="auto"/>
                <w:highlight w:val="none"/>
              </w:rPr>
              <w:t>筛分</w:t>
            </w:r>
            <w:r>
              <w:rPr>
                <w:rFonts w:hint="eastAsia"/>
                <w:color w:val="auto"/>
                <w:highlight w:val="none"/>
              </w:rPr>
              <w:t>等</w:t>
            </w:r>
          </w:p>
        </w:tc>
        <w:tc>
          <w:tcPr>
            <w:tcW w:w="1265" w:type="dxa"/>
            <w:tcBorders>
              <w:tl2br w:val="nil"/>
              <w:tr2bl w:val="nil"/>
            </w:tcBorders>
            <w:vAlign w:val="center"/>
          </w:tcPr>
          <w:p w14:paraId="340E6336">
            <w:pPr>
              <w:pStyle w:val="41"/>
              <w:rPr>
                <w:color w:val="auto"/>
                <w:highlight w:val="none"/>
              </w:rPr>
            </w:pPr>
            <w:r>
              <w:rPr>
                <w:color w:val="auto"/>
                <w:highlight w:val="none"/>
              </w:rPr>
              <w:t>尾矿砂</w:t>
            </w:r>
          </w:p>
        </w:tc>
        <w:tc>
          <w:tcPr>
            <w:tcW w:w="1409" w:type="dxa"/>
            <w:tcBorders>
              <w:tl2br w:val="nil"/>
              <w:tr2bl w:val="nil"/>
            </w:tcBorders>
            <w:vAlign w:val="center"/>
          </w:tcPr>
          <w:p w14:paraId="2700DB6C">
            <w:pPr>
              <w:pStyle w:val="41"/>
              <w:rPr>
                <w:color w:val="auto"/>
                <w:highlight w:val="none"/>
              </w:rPr>
            </w:pPr>
            <w:r>
              <w:rPr>
                <w:color w:val="auto"/>
                <w:highlight w:val="none"/>
              </w:rPr>
              <w:t>081-001-S05</w:t>
            </w:r>
          </w:p>
        </w:tc>
        <w:tc>
          <w:tcPr>
            <w:tcW w:w="904" w:type="dxa"/>
            <w:tcBorders>
              <w:tl2br w:val="nil"/>
              <w:tr2bl w:val="nil"/>
            </w:tcBorders>
            <w:vAlign w:val="center"/>
          </w:tcPr>
          <w:p w14:paraId="66EE78AD">
            <w:pPr>
              <w:pStyle w:val="41"/>
              <w:rPr>
                <w:color w:val="auto"/>
                <w:highlight w:val="none"/>
              </w:rPr>
            </w:pPr>
            <w:r>
              <w:rPr>
                <w:color w:val="auto"/>
                <w:highlight w:val="none"/>
              </w:rPr>
              <w:t>/</w:t>
            </w:r>
          </w:p>
        </w:tc>
        <w:tc>
          <w:tcPr>
            <w:tcW w:w="1211" w:type="dxa"/>
            <w:tcBorders>
              <w:tl2br w:val="nil"/>
              <w:tr2bl w:val="nil"/>
            </w:tcBorders>
            <w:vAlign w:val="center"/>
          </w:tcPr>
          <w:p w14:paraId="659878C2">
            <w:pPr>
              <w:pStyle w:val="41"/>
              <w:rPr>
                <w:color w:val="auto"/>
                <w:highlight w:val="none"/>
              </w:rPr>
            </w:pPr>
            <w:r>
              <w:rPr>
                <w:color w:val="auto"/>
                <w:highlight w:val="none"/>
              </w:rPr>
              <w:t>一般工业固体废物</w:t>
            </w:r>
          </w:p>
        </w:tc>
        <w:tc>
          <w:tcPr>
            <w:tcW w:w="976" w:type="dxa"/>
            <w:tcBorders>
              <w:tl2br w:val="nil"/>
              <w:tr2bl w:val="nil"/>
            </w:tcBorders>
            <w:vAlign w:val="center"/>
          </w:tcPr>
          <w:p w14:paraId="255DAA9B">
            <w:pPr>
              <w:pStyle w:val="41"/>
              <w:rPr>
                <w:color w:val="auto"/>
                <w:highlight w:val="none"/>
              </w:rPr>
            </w:pPr>
            <w:r>
              <w:rPr>
                <w:color w:val="auto"/>
                <w:highlight w:val="none"/>
              </w:rPr>
              <w:t>物料</w:t>
            </w:r>
          </w:p>
          <w:p w14:paraId="1566C704">
            <w:pPr>
              <w:pStyle w:val="41"/>
              <w:rPr>
                <w:color w:val="auto"/>
                <w:highlight w:val="none"/>
              </w:rPr>
            </w:pPr>
            <w:r>
              <w:rPr>
                <w:color w:val="auto"/>
                <w:highlight w:val="none"/>
              </w:rPr>
              <w:t>衡算</w:t>
            </w:r>
          </w:p>
        </w:tc>
        <w:tc>
          <w:tcPr>
            <w:tcW w:w="1066" w:type="dxa"/>
            <w:tcBorders>
              <w:tl2br w:val="nil"/>
              <w:tr2bl w:val="nil"/>
            </w:tcBorders>
            <w:vAlign w:val="center"/>
          </w:tcPr>
          <w:p w14:paraId="22ED9B9A">
            <w:pPr>
              <w:pStyle w:val="41"/>
              <w:rPr>
                <w:color w:val="auto"/>
                <w:highlight w:val="none"/>
              </w:rPr>
            </w:pPr>
            <w:r>
              <w:rPr>
                <w:rFonts w:hint="eastAsia"/>
                <w:color w:val="auto"/>
                <w:highlight w:val="none"/>
              </w:rPr>
              <w:t>302</w:t>
            </w:r>
            <w:r>
              <w:rPr>
                <w:color w:val="auto"/>
                <w:highlight w:val="none"/>
              </w:rPr>
              <w:t>万</w:t>
            </w:r>
          </w:p>
        </w:tc>
        <w:tc>
          <w:tcPr>
            <w:tcW w:w="1247" w:type="dxa"/>
            <w:tcBorders>
              <w:tl2br w:val="nil"/>
              <w:tr2bl w:val="nil"/>
            </w:tcBorders>
            <w:vAlign w:val="center"/>
          </w:tcPr>
          <w:p w14:paraId="107730CD">
            <w:pPr>
              <w:pStyle w:val="41"/>
              <w:rPr>
                <w:color w:val="auto"/>
                <w:highlight w:val="none"/>
              </w:rPr>
            </w:pPr>
            <w:r>
              <w:rPr>
                <w:color w:val="auto"/>
                <w:highlight w:val="none"/>
              </w:rPr>
              <w:t>前期汽车后期皮带运输</w:t>
            </w:r>
          </w:p>
        </w:tc>
        <w:tc>
          <w:tcPr>
            <w:tcW w:w="1138" w:type="dxa"/>
            <w:tcBorders>
              <w:tl2br w:val="nil"/>
              <w:tr2bl w:val="nil"/>
            </w:tcBorders>
            <w:vAlign w:val="center"/>
          </w:tcPr>
          <w:p w14:paraId="4797D162">
            <w:pPr>
              <w:pStyle w:val="41"/>
              <w:rPr>
                <w:color w:val="auto"/>
                <w:highlight w:val="none"/>
              </w:rPr>
            </w:pPr>
            <w:r>
              <w:rPr>
                <w:rFonts w:hint="eastAsia"/>
                <w:color w:val="auto"/>
                <w:highlight w:val="none"/>
                <w:lang w:val="en-US" w:eastAsia="zh-CN"/>
              </w:rPr>
              <w:t>302</w:t>
            </w:r>
          </w:p>
        </w:tc>
        <w:tc>
          <w:tcPr>
            <w:tcW w:w="2343" w:type="dxa"/>
            <w:tcBorders>
              <w:tl2br w:val="nil"/>
              <w:tr2bl w:val="nil"/>
            </w:tcBorders>
            <w:vAlign w:val="center"/>
          </w:tcPr>
          <w:p w14:paraId="26487D30">
            <w:pPr>
              <w:pStyle w:val="41"/>
              <w:rPr>
                <w:color w:val="auto"/>
                <w:highlight w:val="none"/>
              </w:rPr>
            </w:pPr>
            <w:r>
              <w:rPr>
                <w:color w:val="auto"/>
                <w:highlight w:val="none"/>
              </w:rPr>
              <w:t>输送至新建尾矿库</w:t>
            </w:r>
          </w:p>
        </w:tc>
      </w:tr>
      <w:tr w14:paraId="7895D2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166" w:type="dxa"/>
            <w:vMerge w:val="continue"/>
            <w:tcBorders>
              <w:tl2br w:val="nil"/>
              <w:tr2bl w:val="nil"/>
            </w:tcBorders>
            <w:vAlign w:val="center"/>
          </w:tcPr>
          <w:p w14:paraId="3C3B32C2">
            <w:pPr>
              <w:pStyle w:val="41"/>
              <w:rPr>
                <w:color w:val="auto"/>
                <w:highlight w:val="none"/>
              </w:rPr>
            </w:pPr>
          </w:p>
        </w:tc>
        <w:tc>
          <w:tcPr>
            <w:tcW w:w="1451" w:type="dxa"/>
            <w:tcBorders>
              <w:tl2br w:val="nil"/>
              <w:tr2bl w:val="nil"/>
            </w:tcBorders>
            <w:vAlign w:val="center"/>
          </w:tcPr>
          <w:p w14:paraId="4617060E">
            <w:pPr>
              <w:pStyle w:val="41"/>
              <w:rPr>
                <w:color w:val="auto"/>
                <w:highlight w:val="none"/>
              </w:rPr>
            </w:pPr>
            <w:r>
              <w:rPr>
                <w:rFonts w:hint="eastAsia"/>
                <w:color w:val="auto"/>
                <w:highlight w:val="none"/>
              </w:rPr>
              <w:t>破碎粗选</w:t>
            </w:r>
          </w:p>
        </w:tc>
        <w:tc>
          <w:tcPr>
            <w:tcW w:w="1265" w:type="dxa"/>
            <w:tcBorders>
              <w:tl2br w:val="nil"/>
              <w:tr2bl w:val="nil"/>
            </w:tcBorders>
            <w:vAlign w:val="center"/>
          </w:tcPr>
          <w:p w14:paraId="7C502F28">
            <w:pPr>
              <w:pStyle w:val="41"/>
              <w:rPr>
                <w:color w:val="auto"/>
                <w:highlight w:val="none"/>
              </w:rPr>
            </w:pPr>
            <w:r>
              <w:rPr>
                <w:color w:val="auto"/>
                <w:highlight w:val="none"/>
              </w:rPr>
              <w:t>废石</w:t>
            </w:r>
          </w:p>
        </w:tc>
        <w:tc>
          <w:tcPr>
            <w:tcW w:w="1409" w:type="dxa"/>
            <w:tcBorders>
              <w:tl2br w:val="nil"/>
              <w:tr2bl w:val="nil"/>
            </w:tcBorders>
            <w:vAlign w:val="center"/>
          </w:tcPr>
          <w:p w14:paraId="2B2E1D33">
            <w:pPr>
              <w:pStyle w:val="41"/>
              <w:rPr>
                <w:color w:val="auto"/>
                <w:highlight w:val="none"/>
              </w:rPr>
            </w:pPr>
            <w:r>
              <w:rPr>
                <w:color w:val="auto"/>
                <w:highlight w:val="none"/>
              </w:rPr>
              <w:t>081-001-S05</w:t>
            </w:r>
          </w:p>
        </w:tc>
        <w:tc>
          <w:tcPr>
            <w:tcW w:w="904" w:type="dxa"/>
            <w:tcBorders>
              <w:tl2br w:val="nil"/>
              <w:tr2bl w:val="nil"/>
            </w:tcBorders>
            <w:vAlign w:val="center"/>
          </w:tcPr>
          <w:p w14:paraId="2322F72F">
            <w:pPr>
              <w:pStyle w:val="41"/>
              <w:rPr>
                <w:color w:val="auto"/>
                <w:highlight w:val="none"/>
              </w:rPr>
            </w:pPr>
            <w:r>
              <w:rPr>
                <w:color w:val="auto"/>
                <w:highlight w:val="none"/>
              </w:rPr>
              <w:t>/</w:t>
            </w:r>
          </w:p>
        </w:tc>
        <w:tc>
          <w:tcPr>
            <w:tcW w:w="1211" w:type="dxa"/>
            <w:tcBorders>
              <w:tl2br w:val="nil"/>
              <w:tr2bl w:val="nil"/>
            </w:tcBorders>
            <w:vAlign w:val="center"/>
          </w:tcPr>
          <w:p w14:paraId="0F718EC2">
            <w:pPr>
              <w:pStyle w:val="41"/>
              <w:rPr>
                <w:color w:val="auto"/>
                <w:highlight w:val="none"/>
              </w:rPr>
            </w:pPr>
            <w:r>
              <w:rPr>
                <w:color w:val="auto"/>
                <w:highlight w:val="none"/>
              </w:rPr>
              <w:t>一般工业固体废物</w:t>
            </w:r>
          </w:p>
        </w:tc>
        <w:tc>
          <w:tcPr>
            <w:tcW w:w="976" w:type="dxa"/>
            <w:tcBorders>
              <w:tl2br w:val="nil"/>
              <w:tr2bl w:val="nil"/>
            </w:tcBorders>
            <w:vAlign w:val="center"/>
          </w:tcPr>
          <w:p w14:paraId="127E634C">
            <w:pPr>
              <w:pStyle w:val="41"/>
              <w:rPr>
                <w:color w:val="auto"/>
                <w:highlight w:val="none"/>
              </w:rPr>
            </w:pPr>
            <w:r>
              <w:rPr>
                <w:color w:val="auto"/>
                <w:highlight w:val="none"/>
              </w:rPr>
              <w:t>物料</w:t>
            </w:r>
          </w:p>
          <w:p w14:paraId="15B424A4">
            <w:pPr>
              <w:pStyle w:val="41"/>
              <w:rPr>
                <w:color w:val="auto"/>
                <w:highlight w:val="none"/>
              </w:rPr>
            </w:pPr>
            <w:r>
              <w:rPr>
                <w:color w:val="auto"/>
                <w:highlight w:val="none"/>
              </w:rPr>
              <w:t>衡算</w:t>
            </w:r>
          </w:p>
        </w:tc>
        <w:tc>
          <w:tcPr>
            <w:tcW w:w="1066" w:type="dxa"/>
            <w:tcBorders>
              <w:tl2br w:val="nil"/>
              <w:tr2bl w:val="nil"/>
            </w:tcBorders>
            <w:vAlign w:val="center"/>
          </w:tcPr>
          <w:p w14:paraId="3AEE6CBD">
            <w:pPr>
              <w:pStyle w:val="41"/>
              <w:rPr>
                <w:color w:val="auto"/>
                <w:highlight w:val="none"/>
              </w:rPr>
            </w:pPr>
            <w:r>
              <w:rPr>
                <w:rFonts w:hint="eastAsia"/>
                <w:color w:val="auto"/>
                <w:highlight w:val="none"/>
              </w:rPr>
              <w:t>232</w:t>
            </w:r>
            <w:r>
              <w:rPr>
                <w:color w:val="auto"/>
                <w:highlight w:val="none"/>
              </w:rPr>
              <w:t>万</w:t>
            </w:r>
          </w:p>
        </w:tc>
        <w:tc>
          <w:tcPr>
            <w:tcW w:w="1247" w:type="dxa"/>
            <w:tcBorders>
              <w:tl2br w:val="nil"/>
              <w:tr2bl w:val="nil"/>
            </w:tcBorders>
            <w:vAlign w:val="center"/>
          </w:tcPr>
          <w:p w14:paraId="67CE5B3C">
            <w:pPr>
              <w:pStyle w:val="41"/>
              <w:rPr>
                <w:color w:val="auto"/>
                <w:highlight w:val="none"/>
              </w:rPr>
            </w:pPr>
            <w:r>
              <w:rPr>
                <w:color w:val="auto"/>
                <w:highlight w:val="none"/>
              </w:rPr>
              <w:t>车辆</w:t>
            </w:r>
          </w:p>
        </w:tc>
        <w:tc>
          <w:tcPr>
            <w:tcW w:w="1138" w:type="dxa"/>
            <w:tcBorders>
              <w:tl2br w:val="nil"/>
              <w:tr2bl w:val="nil"/>
            </w:tcBorders>
            <w:vAlign w:val="center"/>
          </w:tcPr>
          <w:p w14:paraId="728EFF0F">
            <w:pPr>
              <w:pStyle w:val="41"/>
              <w:rPr>
                <w:rFonts w:hint="default" w:eastAsia="华文中宋"/>
                <w:color w:val="auto"/>
                <w:highlight w:val="none"/>
                <w:lang w:val="en-US" w:eastAsia="zh-CN"/>
              </w:rPr>
            </w:pPr>
            <w:r>
              <w:rPr>
                <w:rFonts w:hint="eastAsia"/>
                <w:color w:val="auto"/>
                <w:highlight w:val="none"/>
                <w:lang w:val="en-US" w:eastAsia="zh-CN"/>
              </w:rPr>
              <w:t>232</w:t>
            </w:r>
          </w:p>
        </w:tc>
        <w:tc>
          <w:tcPr>
            <w:tcW w:w="2343" w:type="dxa"/>
            <w:tcBorders>
              <w:tl2br w:val="nil"/>
              <w:tr2bl w:val="nil"/>
            </w:tcBorders>
            <w:vAlign w:val="center"/>
          </w:tcPr>
          <w:p w14:paraId="72DBE2B9">
            <w:pPr>
              <w:pStyle w:val="41"/>
              <w:rPr>
                <w:rFonts w:hint="eastAsia" w:eastAsia="华文中宋"/>
                <w:color w:val="auto"/>
                <w:highlight w:val="none"/>
                <w:lang w:eastAsia="zh-CN"/>
              </w:rPr>
            </w:pPr>
            <w:r>
              <w:rPr>
                <w:color w:val="auto"/>
                <w:highlight w:val="none"/>
              </w:rPr>
              <w:t>运往</w:t>
            </w:r>
            <w:r>
              <w:rPr>
                <w:rFonts w:hint="eastAsia"/>
                <w:color w:val="auto"/>
                <w:highlight w:val="none"/>
              </w:rPr>
              <w:t>采矿项目</w:t>
            </w:r>
            <w:r>
              <w:rPr>
                <w:rFonts w:hint="eastAsia"/>
                <w:color w:val="auto"/>
                <w:highlight w:val="none"/>
                <w:lang w:eastAsia="zh-CN"/>
              </w:rPr>
              <w:t>排土场</w:t>
            </w:r>
          </w:p>
        </w:tc>
      </w:tr>
      <w:tr w14:paraId="79FB14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166" w:type="dxa"/>
            <w:tcBorders>
              <w:tl2br w:val="nil"/>
              <w:tr2bl w:val="nil"/>
            </w:tcBorders>
            <w:vAlign w:val="center"/>
          </w:tcPr>
          <w:p w14:paraId="26AE36F6">
            <w:pPr>
              <w:pStyle w:val="41"/>
              <w:rPr>
                <w:color w:val="auto"/>
                <w:highlight w:val="none"/>
              </w:rPr>
            </w:pPr>
            <w:r>
              <w:rPr>
                <w:color w:val="auto"/>
                <w:highlight w:val="none"/>
              </w:rPr>
              <w:t>办公生活</w:t>
            </w:r>
          </w:p>
        </w:tc>
        <w:tc>
          <w:tcPr>
            <w:tcW w:w="1451" w:type="dxa"/>
            <w:tcBorders>
              <w:tl2br w:val="nil"/>
              <w:tr2bl w:val="nil"/>
            </w:tcBorders>
            <w:vAlign w:val="center"/>
          </w:tcPr>
          <w:p w14:paraId="047F5104">
            <w:pPr>
              <w:pStyle w:val="41"/>
              <w:rPr>
                <w:color w:val="auto"/>
                <w:highlight w:val="none"/>
              </w:rPr>
            </w:pPr>
            <w:r>
              <w:rPr>
                <w:color w:val="auto"/>
                <w:highlight w:val="none"/>
              </w:rPr>
              <w:t>/</w:t>
            </w:r>
          </w:p>
        </w:tc>
        <w:tc>
          <w:tcPr>
            <w:tcW w:w="1265" w:type="dxa"/>
            <w:tcBorders>
              <w:tl2br w:val="nil"/>
              <w:tr2bl w:val="nil"/>
            </w:tcBorders>
            <w:vAlign w:val="center"/>
          </w:tcPr>
          <w:p w14:paraId="2353AB2C">
            <w:pPr>
              <w:pStyle w:val="41"/>
              <w:rPr>
                <w:color w:val="auto"/>
                <w:highlight w:val="none"/>
              </w:rPr>
            </w:pPr>
            <w:r>
              <w:rPr>
                <w:color w:val="auto"/>
                <w:highlight w:val="none"/>
              </w:rPr>
              <w:t>生活垃圾</w:t>
            </w:r>
          </w:p>
        </w:tc>
        <w:tc>
          <w:tcPr>
            <w:tcW w:w="1409" w:type="dxa"/>
            <w:tcBorders>
              <w:tl2br w:val="nil"/>
              <w:tr2bl w:val="nil"/>
            </w:tcBorders>
            <w:vAlign w:val="center"/>
          </w:tcPr>
          <w:p w14:paraId="5BDA6A9C">
            <w:pPr>
              <w:pStyle w:val="41"/>
              <w:rPr>
                <w:color w:val="auto"/>
                <w:highlight w:val="none"/>
              </w:rPr>
            </w:pPr>
            <w:r>
              <w:rPr>
                <w:color w:val="auto"/>
                <w:highlight w:val="none"/>
              </w:rPr>
              <w:t xml:space="preserve">900-099-S64  </w:t>
            </w:r>
          </w:p>
        </w:tc>
        <w:tc>
          <w:tcPr>
            <w:tcW w:w="904" w:type="dxa"/>
            <w:tcBorders>
              <w:tl2br w:val="nil"/>
              <w:tr2bl w:val="nil"/>
            </w:tcBorders>
            <w:vAlign w:val="center"/>
          </w:tcPr>
          <w:p w14:paraId="6538C247">
            <w:pPr>
              <w:pStyle w:val="41"/>
              <w:rPr>
                <w:color w:val="auto"/>
                <w:highlight w:val="none"/>
              </w:rPr>
            </w:pPr>
            <w:r>
              <w:rPr>
                <w:color w:val="auto"/>
                <w:highlight w:val="none"/>
              </w:rPr>
              <w:t>/</w:t>
            </w:r>
          </w:p>
        </w:tc>
        <w:tc>
          <w:tcPr>
            <w:tcW w:w="1211" w:type="dxa"/>
            <w:tcBorders>
              <w:tl2br w:val="nil"/>
              <w:tr2bl w:val="nil"/>
            </w:tcBorders>
            <w:vAlign w:val="center"/>
          </w:tcPr>
          <w:p w14:paraId="4D82154E">
            <w:pPr>
              <w:pStyle w:val="41"/>
              <w:rPr>
                <w:color w:val="auto"/>
                <w:highlight w:val="none"/>
              </w:rPr>
            </w:pPr>
            <w:r>
              <w:rPr>
                <w:color w:val="auto"/>
                <w:highlight w:val="none"/>
              </w:rPr>
              <w:t>生活垃圾</w:t>
            </w:r>
          </w:p>
        </w:tc>
        <w:tc>
          <w:tcPr>
            <w:tcW w:w="976" w:type="dxa"/>
            <w:tcBorders>
              <w:tl2br w:val="nil"/>
              <w:tr2bl w:val="nil"/>
            </w:tcBorders>
            <w:vAlign w:val="center"/>
          </w:tcPr>
          <w:p w14:paraId="12782050">
            <w:pPr>
              <w:pStyle w:val="41"/>
              <w:rPr>
                <w:color w:val="auto"/>
                <w:highlight w:val="none"/>
              </w:rPr>
            </w:pPr>
            <w:r>
              <w:rPr>
                <w:color w:val="auto"/>
                <w:highlight w:val="none"/>
              </w:rPr>
              <w:t>系数法</w:t>
            </w:r>
          </w:p>
        </w:tc>
        <w:tc>
          <w:tcPr>
            <w:tcW w:w="1066" w:type="dxa"/>
            <w:tcBorders>
              <w:tl2br w:val="nil"/>
              <w:tr2bl w:val="nil"/>
            </w:tcBorders>
            <w:vAlign w:val="center"/>
          </w:tcPr>
          <w:p w14:paraId="257C61C6">
            <w:pPr>
              <w:pStyle w:val="41"/>
              <w:rPr>
                <w:color w:val="auto"/>
                <w:highlight w:val="none"/>
              </w:rPr>
            </w:pPr>
            <w:r>
              <w:rPr>
                <w:color w:val="auto"/>
                <w:highlight w:val="none"/>
              </w:rPr>
              <w:t>75.768</w:t>
            </w:r>
          </w:p>
        </w:tc>
        <w:tc>
          <w:tcPr>
            <w:tcW w:w="1247" w:type="dxa"/>
            <w:tcBorders>
              <w:tl2br w:val="nil"/>
              <w:tr2bl w:val="nil"/>
            </w:tcBorders>
            <w:vAlign w:val="center"/>
          </w:tcPr>
          <w:p w14:paraId="2FBFB210">
            <w:pPr>
              <w:pStyle w:val="41"/>
              <w:rPr>
                <w:color w:val="auto"/>
                <w:highlight w:val="none"/>
              </w:rPr>
            </w:pPr>
            <w:r>
              <w:rPr>
                <w:color w:val="auto"/>
                <w:highlight w:val="none"/>
              </w:rPr>
              <w:t>集中收集</w:t>
            </w:r>
          </w:p>
        </w:tc>
        <w:tc>
          <w:tcPr>
            <w:tcW w:w="1138" w:type="dxa"/>
            <w:tcBorders>
              <w:tl2br w:val="nil"/>
              <w:tr2bl w:val="nil"/>
            </w:tcBorders>
            <w:vAlign w:val="center"/>
          </w:tcPr>
          <w:p w14:paraId="681ECE13">
            <w:pPr>
              <w:pStyle w:val="41"/>
              <w:rPr>
                <w:color w:val="auto"/>
                <w:highlight w:val="none"/>
              </w:rPr>
            </w:pPr>
            <w:r>
              <w:rPr>
                <w:color w:val="auto"/>
                <w:highlight w:val="none"/>
              </w:rPr>
              <w:t>75.768</w:t>
            </w:r>
          </w:p>
        </w:tc>
        <w:tc>
          <w:tcPr>
            <w:tcW w:w="2343" w:type="dxa"/>
            <w:tcBorders>
              <w:tl2br w:val="nil"/>
              <w:tr2bl w:val="nil"/>
            </w:tcBorders>
            <w:vAlign w:val="center"/>
          </w:tcPr>
          <w:p w14:paraId="00D4ACF0">
            <w:pPr>
              <w:pStyle w:val="41"/>
              <w:rPr>
                <w:color w:val="auto"/>
                <w:highlight w:val="none"/>
              </w:rPr>
            </w:pPr>
            <w:r>
              <w:rPr>
                <w:color w:val="auto"/>
                <w:highlight w:val="none"/>
              </w:rPr>
              <w:t>集中收集定期清运至哈拉峻乡谢依提</w:t>
            </w:r>
            <w:r>
              <w:rPr>
                <w:rFonts w:hint="eastAsia"/>
                <w:color w:val="auto"/>
                <w:highlight w:val="none"/>
              </w:rPr>
              <w:t>村垃</w:t>
            </w:r>
            <w:r>
              <w:rPr>
                <w:color w:val="auto"/>
                <w:highlight w:val="none"/>
              </w:rPr>
              <w:t>圾场填埋处理</w:t>
            </w:r>
          </w:p>
        </w:tc>
      </w:tr>
      <w:tr w14:paraId="029BB9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166" w:type="dxa"/>
            <w:tcBorders>
              <w:tl2br w:val="nil"/>
              <w:tr2bl w:val="nil"/>
            </w:tcBorders>
            <w:vAlign w:val="center"/>
          </w:tcPr>
          <w:p w14:paraId="3043F93F">
            <w:pPr>
              <w:pStyle w:val="41"/>
              <w:rPr>
                <w:color w:val="auto"/>
                <w:highlight w:val="none"/>
              </w:rPr>
            </w:pPr>
            <w:r>
              <w:rPr>
                <w:color w:val="auto"/>
                <w:highlight w:val="none"/>
              </w:rPr>
              <w:t>选矿工艺</w:t>
            </w:r>
          </w:p>
        </w:tc>
        <w:tc>
          <w:tcPr>
            <w:tcW w:w="1451" w:type="dxa"/>
            <w:tcBorders>
              <w:tl2br w:val="nil"/>
              <w:tr2bl w:val="nil"/>
            </w:tcBorders>
            <w:vAlign w:val="center"/>
          </w:tcPr>
          <w:p w14:paraId="3ABDB4C9">
            <w:pPr>
              <w:pStyle w:val="41"/>
              <w:rPr>
                <w:color w:val="auto"/>
                <w:highlight w:val="none"/>
              </w:rPr>
            </w:pPr>
            <w:r>
              <w:rPr>
                <w:color w:val="auto"/>
                <w:highlight w:val="none"/>
              </w:rPr>
              <w:t>除尘器</w:t>
            </w:r>
          </w:p>
        </w:tc>
        <w:tc>
          <w:tcPr>
            <w:tcW w:w="1265" w:type="dxa"/>
            <w:tcBorders>
              <w:tl2br w:val="nil"/>
              <w:tr2bl w:val="nil"/>
            </w:tcBorders>
            <w:vAlign w:val="center"/>
          </w:tcPr>
          <w:p w14:paraId="1ACD6720">
            <w:pPr>
              <w:pStyle w:val="41"/>
              <w:rPr>
                <w:color w:val="auto"/>
                <w:highlight w:val="none"/>
              </w:rPr>
            </w:pPr>
            <w:r>
              <w:rPr>
                <w:color w:val="auto"/>
                <w:highlight w:val="none"/>
              </w:rPr>
              <w:t>除尘灰</w:t>
            </w:r>
          </w:p>
        </w:tc>
        <w:tc>
          <w:tcPr>
            <w:tcW w:w="1409" w:type="dxa"/>
            <w:tcBorders>
              <w:tl2br w:val="nil"/>
              <w:tr2bl w:val="nil"/>
            </w:tcBorders>
            <w:vAlign w:val="center"/>
          </w:tcPr>
          <w:p w14:paraId="54FA03E0">
            <w:pPr>
              <w:pStyle w:val="41"/>
              <w:rPr>
                <w:color w:val="auto"/>
                <w:highlight w:val="none"/>
              </w:rPr>
            </w:pPr>
            <w:r>
              <w:rPr>
                <w:color w:val="auto"/>
                <w:highlight w:val="none"/>
              </w:rPr>
              <w:t xml:space="preserve">900-099-S59 </w:t>
            </w:r>
          </w:p>
        </w:tc>
        <w:tc>
          <w:tcPr>
            <w:tcW w:w="904" w:type="dxa"/>
            <w:tcBorders>
              <w:tl2br w:val="nil"/>
              <w:tr2bl w:val="nil"/>
            </w:tcBorders>
            <w:vAlign w:val="center"/>
          </w:tcPr>
          <w:p w14:paraId="16738CA2">
            <w:pPr>
              <w:pStyle w:val="41"/>
              <w:rPr>
                <w:color w:val="auto"/>
                <w:highlight w:val="none"/>
              </w:rPr>
            </w:pPr>
            <w:r>
              <w:rPr>
                <w:color w:val="auto"/>
                <w:highlight w:val="none"/>
              </w:rPr>
              <w:t>/</w:t>
            </w:r>
          </w:p>
        </w:tc>
        <w:tc>
          <w:tcPr>
            <w:tcW w:w="1211" w:type="dxa"/>
            <w:tcBorders>
              <w:tl2br w:val="nil"/>
              <w:tr2bl w:val="nil"/>
            </w:tcBorders>
            <w:vAlign w:val="center"/>
          </w:tcPr>
          <w:p w14:paraId="69E6D7AC">
            <w:pPr>
              <w:pStyle w:val="41"/>
              <w:rPr>
                <w:color w:val="auto"/>
                <w:highlight w:val="none"/>
              </w:rPr>
            </w:pPr>
            <w:r>
              <w:rPr>
                <w:color w:val="auto"/>
                <w:highlight w:val="none"/>
              </w:rPr>
              <w:t>一般工业固体废物</w:t>
            </w:r>
          </w:p>
        </w:tc>
        <w:tc>
          <w:tcPr>
            <w:tcW w:w="976" w:type="dxa"/>
            <w:tcBorders>
              <w:tl2br w:val="nil"/>
              <w:tr2bl w:val="nil"/>
            </w:tcBorders>
            <w:vAlign w:val="center"/>
          </w:tcPr>
          <w:p w14:paraId="57ECE3DC">
            <w:pPr>
              <w:pStyle w:val="41"/>
              <w:rPr>
                <w:color w:val="auto"/>
                <w:highlight w:val="none"/>
              </w:rPr>
            </w:pPr>
            <w:r>
              <w:rPr>
                <w:color w:val="auto"/>
                <w:highlight w:val="none"/>
              </w:rPr>
              <w:t>物料衡算</w:t>
            </w:r>
          </w:p>
        </w:tc>
        <w:tc>
          <w:tcPr>
            <w:tcW w:w="1066" w:type="dxa"/>
            <w:tcBorders>
              <w:tl2br w:val="nil"/>
              <w:tr2bl w:val="nil"/>
            </w:tcBorders>
            <w:vAlign w:val="center"/>
          </w:tcPr>
          <w:p w14:paraId="35EE4ADC">
            <w:pPr>
              <w:pStyle w:val="41"/>
              <w:rPr>
                <w:color w:val="auto"/>
                <w:highlight w:val="none"/>
              </w:rPr>
            </w:pPr>
            <w:r>
              <w:rPr>
                <w:rFonts w:hint="eastAsia"/>
                <w:color w:val="auto"/>
                <w:highlight w:val="none"/>
              </w:rPr>
              <w:t>1090.441</w:t>
            </w:r>
          </w:p>
        </w:tc>
        <w:tc>
          <w:tcPr>
            <w:tcW w:w="1247" w:type="dxa"/>
            <w:tcBorders>
              <w:tl2br w:val="nil"/>
              <w:tr2bl w:val="nil"/>
            </w:tcBorders>
            <w:vAlign w:val="center"/>
          </w:tcPr>
          <w:p w14:paraId="11BAAEE5">
            <w:pPr>
              <w:pStyle w:val="41"/>
              <w:rPr>
                <w:color w:val="auto"/>
                <w:highlight w:val="none"/>
              </w:rPr>
            </w:pPr>
            <w:r>
              <w:rPr>
                <w:color w:val="auto"/>
                <w:highlight w:val="none"/>
              </w:rPr>
              <w:t>集中收集</w:t>
            </w:r>
          </w:p>
        </w:tc>
        <w:tc>
          <w:tcPr>
            <w:tcW w:w="1138" w:type="dxa"/>
            <w:tcBorders>
              <w:tl2br w:val="nil"/>
              <w:tr2bl w:val="nil"/>
            </w:tcBorders>
            <w:vAlign w:val="center"/>
          </w:tcPr>
          <w:p w14:paraId="41D439EB">
            <w:pPr>
              <w:pStyle w:val="41"/>
              <w:rPr>
                <w:rFonts w:hint="default" w:eastAsia="华文中宋"/>
                <w:color w:val="auto"/>
                <w:highlight w:val="none"/>
                <w:lang w:val="en-US" w:eastAsia="zh-CN"/>
              </w:rPr>
            </w:pPr>
            <w:r>
              <w:rPr>
                <w:rFonts w:hint="eastAsia"/>
                <w:color w:val="auto"/>
                <w:highlight w:val="none"/>
                <w:lang w:val="en-US" w:eastAsia="zh-CN"/>
              </w:rPr>
              <w:t>1090.441</w:t>
            </w:r>
          </w:p>
        </w:tc>
        <w:tc>
          <w:tcPr>
            <w:tcW w:w="2343" w:type="dxa"/>
            <w:tcBorders>
              <w:tl2br w:val="nil"/>
              <w:tr2bl w:val="nil"/>
            </w:tcBorders>
            <w:vAlign w:val="center"/>
          </w:tcPr>
          <w:p w14:paraId="05BEC517">
            <w:pPr>
              <w:pStyle w:val="41"/>
              <w:rPr>
                <w:color w:val="auto"/>
                <w:highlight w:val="none"/>
              </w:rPr>
            </w:pPr>
            <w:r>
              <w:rPr>
                <w:color w:val="auto"/>
                <w:highlight w:val="none"/>
              </w:rPr>
              <w:t>返回生产线</w:t>
            </w:r>
          </w:p>
        </w:tc>
      </w:tr>
      <w:tr w14:paraId="329E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166" w:type="dxa"/>
            <w:tcBorders>
              <w:tl2br w:val="nil"/>
              <w:tr2bl w:val="nil"/>
            </w:tcBorders>
            <w:vAlign w:val="center"/>
          </w:tcPr>
          <w:p w14:paraId="2B1DD6EA">
            <w:pPr>
              <w:pStyle w:val="41"/>
              <w:rPr>
                <w:color w:val="auto"/>
                <w:highlight w:val="none"/>
              </w:rPr>
            </w:pPr>
            <w:r>
              <w:rPr>
                <w:color w:val="auto"/>
                <w:highlight w:val="none"/>
              </w:rPr>
              <w:t>生活污水处理</w:t>
            </w:r>
          </w:p>
        </w:tc>
        <w:tc>
          <w:tcPr>
            <w:tcW w:w="1451" w:type="dxa"/>
            <w:tcBorders>
              <w:tl2br w:val="nil"/>
              <w:tr2bl w:val="nil"/>
            </w:tcBorders>
            <w:vAlign w:val="center"/>
          </w:tcPr>
          <w:p w14:paraId="32CA979E">
            <w:pPr>
              <w:pStyle w:val="41"/>
              <w:rPr>
                <w:color w:val="auto"/>
                <w:highlight w:val="none"/>
              </w:rPr>
            </w:pPr>
            <w:r>
              <w:rPr>
                <w:color w:val="auto"/>
                <w:highlight w:val="none"/>
              </w:rPr>
              <w:t>地埋式一体化生活污水处理设施</w:t>
            </w:r>
          </w:p>
        </w:tc>
        <w:tc>
          <w:tcPr>
            <w:tcW w:w="1265" w:type="dxa"/>
            <w:tcBorders>
              <w:tl2br w:val="nil"/>
              <w:tr2bl w:val="nil"/>
            </w:tcBorders>
            <w:vAlign w:val="center"/>
          </w:tcPr>
          <w:p w14:paraId="21275341">
            <w:pPr>
              <w:pStyle w:val="41"/>
              <w:rPr>
                <w:color w:val="auto"/>
                <w:highlight w:val="none"/>
              </w:rPr>
            </w:pPr>
            <w:r>
              <w:rPr>
                <w:color w:val="auto"/>
                <w:highlight w:val="none"/>
              </w:rPr>
              <w:t>污水处理设施污泥</w:t>
            </w:r>
          </w:p>
        </w:tc>
        <w:tc>
          <w:tcPr>
            <w:tcW w:w="1409" w:type="dxa"/>
            <w:tcBorders>
              <w:tl2br w:val="nil"/>
              <w:tr2bl w:val="nil"/>
            </w:tcBorders>
            <w:vAlign w:val="center"/>
          </w:tcPr>
          <w:p w14:paraId="7CB1A9B2">
            <w:pPr>
              <w:pStyle w:val="41"/>
              <w:rPr>
                <w:color w:val="auto"/>
                <w:highlight w:val="none"/>
              </w:rPr>
            </w:pPr>
            <w:r>
              <w:rPr>
                <w:color w:val="auto"/>
                <w:highlight w:val="none"/>
              </w:rPr>
              <w:t xml:space="preserve">900-099-S07 </w:t>
            </w:r>
          </w:p>
        </w:tc>
        <w:tc>
          <w:tcPr>
            <w:tcW w:w="904" w:type="dxa"/>
            <w:tcBorders>
              <w:tl2br w:val="nil"/>
              <w:tr2bl w:val="nil"/>
            </w:tcBorders>
            <w:vAlign w:val="center"/>
          </w:tcPr>
          <w:p w14:paraId="46C7FDA3">
            <w:pPr>
              <w:pStyle w:val="41"/>
              <w:rPr>
                <w:color w:val="auto"/>
                <w:highlight w:val="none"/>
              </w:rPr>
            </w:pPr>
            <w:r>
              <w:rPr>
                <w:color w:val="auto"/>
                <w:highlight w:val="none"/>
              </w:rPr>
              <w:t>/</w:t>
            </w:r>
          </w:p>
        </w:tc>
        <w:tc>
          <w:tcPr>
            <w:tcW w:w="1211" w:type="dxa"/>
            <w:tcBorders>
              <w:tl2br w:val="nil"/>
              <w:tr2bl w:val="nil"/>
            </w:tcBorders>
            <w:vAlign w:val="center"/>
          </w:tcPr>
          <w:p w14:paraId="015A2651">
            <w:pPr>
              <w:pStyle w:val="41"/>
              <w:rPr>
                <w:color w:val="auto"/>
                <w:highlight w:val="none"/>
              </w:rPr>
            </w:pPr>
            <w:r>
              <w:rPr>
                <w:color w:val="auto"/>
                <w:highlight w:val="none"/>
              </w:rPr>
              <w:t>一般工业固体废物</w:t>
            </w:r>
          </w:p>
        </w:tc>
        <w:tc>
          <w:tcPr>
            <w:tcW w:w="976" w:type="dxa"/>
            <w:tcBorders>
              <w:tl2br w:val="nil"/>
              <w:tr2bl w:val="nil"/>
            </w:tcBorders>
            <w:vAlign w:val="center"/>
          </w:tcPr>
          <w:p w14:paraId="7A7CAB91">
            <w:pPr>
              <w:pStyle w:val="41"/>
              <w:rPr>
                <w:color w:val="auto"/>
                <w:highlight w:val="none"/>
              </w:rPr>
            </w:pPr>
            <w:r>
              <w:rPr>
                <w:color w:val="auto"/>
                <w:highlight w:val="none"/>
              </w:rPr>
              <w:t>系数法</w:t>
            </w:r>
          </w:p>
        </w:tc>
        <w:tc>
          <w:tcPr>
            <w:tcW w:w="1066" w:type="dxa"/>
            <w:tcBorders>
              <w:tl2br w:val="nil"/>
              <w:tr2bl w:val="nil"/>
            </w:tcBorders>
            <w:vAlign w:val="center"/>
          </w:tcPr>
          <w:p w14:paraId="1BCED815">
            <w:pPr>
              <w:pStyle w:val="41"/>
              <w:rPr>
                <w:color w:val="auto"/>
                <w:highlight w:val="none"/>
              </w:rPr>
            </w:pPr>
            <w:r>
              <w:rPr>
                <w:color w:val="auto"/>
                <w:highlight w:val="none"/>
              </w:rPr>
              <w:t>6.63</w:t>
            </w:r>
          </w:p>
        </w:tc>
        <w:tc>
          <w:tcPr>
            <w:tcW w:w="1247" w:type="dxa"/>
            <w:tcBorders>
              <w:tl2br w:val="nil"/>
              <w:tr2bl w:val="nil"/>
            </w:tcBorders>
            <w:vAlign w:val="center"/>
          </w:tcPr>
          <w:p w14:paraId="69446D20">
            <w:pPr>
              <w:pStyle w:val="41"/>
              <w:rPr>
                <w:color w:val="auto"/>
                <w:highlight w:val="none"/>
              </w:rPr>
            </w:pPr>
            <w:r>
              <w:rPr>
                <w:color w:val="auto"/>
                <w:highlight w:val="none"/>
              </w:rPr>
              <w:t>集中收集</w:t>
            </w:r>
          </w:p>
        </w:tc>
        <w:tc>
          <w:tcPr>
            <w:tcW w:w="1138" w:type="dxa"/>
            <w:tcBorders>
              <w:tl2br w:val="nil"/>
              <w:tr2bl w:val="nil"/>
            </w:tcBorders>
            <w:vAlign w:val="center"/>
          </w:tcPr>
          <w:p w14:paraId="011B5A1E">
            <w:pPr>
              <w:pStyle w:val="41"/>
              <w:rPr>
                <w:color w:val="auto"/>
                <w:highlight w:val="none"/>
              </w:rPr>
            </w:pPr>
            <w:r>
              <w:rPr>
                <w:color w:val="auto"/>
                <w:highlight w:val="none"/>
              </w:rPr>
              <w:t>6.63</w:t>
            </w:r>
          </w:p>
        </w:tc>
        <w:tc>
          <w:tcPr>
            <w:tcW w:w="2343" w:type="dxa"/>
            <w:tcBorders>
              <w:tl2br w:val="nil"/>
              <w:tr2bl w:val="nil"/>
            </w:tcBorders>
            <w:vAlign w:val="center"/>
          </w:tcPr>
          <w:p w14:paraId="115CDD2F">
            <w:pPr>
              <w:pStyle w:val="41"/>
              <w:rPr>
                <w:color w:val="auto"/>
                <w:highlight w:val="none"/>
              </w:rPr>
            </w:pPr>
            <w:r>
              <w:rPr>
                <w:color w:val="auto"/>
                <w:highlight w:val="none"/>
              </w:rPr>
              <w:t>集中收集与生活垃圾一并清运处置</w:t>
            </w:r>
          </w:p>
        </w:tc>
      </w:tr>
      <w:tr w14:paraId="2A2AB4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166" w:type="dxa"/>
            <w:vMerge w:val="restart"/>
            <w:tcBorders>
              <w:tl2br w:val="nil"/>
              <w:tr2bl w:val="nil"/>
            </w:tcBorders>
            <w:vAlign w:val="center"/>
          </w:tcPr>
          <w:p w14:paraId="7597123E">
            <w:pPr>
              <w:pStyle w:val="41"/>
              <w:rPr>
                <w:color w:val="auto"/>
                <w:highlight w:val="none"/>
              </w:rPr>
            </w:pPr>
            <w:r>
              <w:rPr>
                <w:color w:val="auto"/>
                <w:highlight w:val="none"/>
              </w:rPr>
              <w:t>供热</w:t>
            </w:r>
          </w:p>
        </w:tc>
        <w:tc>
          <w:tcPr>
            <w:tcW w:w="1451" w:type="dxa"/>
            <w:vMerge w:val="restart"/>
            <w:tcBorders>
              <w:tl2br w:val="nil"/>
              <w:tr2bl w:val="nil"/>
            </w:tcBorders>
            <w:vAlign w:val="center"/>
          </w:tcPr>
          <w:p w14:paraId="3FA3DA29">
            <w:pPr>
              <w:pStyle w:val="41"/>
              <w:rPr>
                <w:color w:val="auto"/>
                <w:highlight w:val="none"/>
              </w:rPr>
            </w:pPr>
            <w:r>
              <w:rPr>
                <w:rFonts w:hint="eastAsia"/>
                <w:color w:val="auto"/>
                <w:highlight w:val="none"/>
              </w:rPr>
              <w:t>生物质炉窑</w:t>
            </w:r>
          </w:p>
        </w:tc>
        <w:tc>
          <w:tcPr>
            <w:tcW w:w="1265" w:type="dxa"/>
            <w:tcBorders>
              <w:tl2br w:val="nil"/>
              <w:tr2bl w:val="nil"/>
            </w:tcBorders>
            <w:vAlign w:val="center"/>
          </w:tcPr>
          <w:p w14:paraId="0BF51BE8">
            <w:pPr>
              <w:pStyle w:val="41"/>
              <w:rPr>
                <w:color w:val="auto"/>
                <w:highlight w:val="none"/>
              </w:rPr>
            </w:pPr>
            <w:r>
              <w:rPr>
                <w:color w:val="auto"/>
                <w:highlight w:val="none"/>
              </w:rPr>
              <w:t>锅炉灰渣</w:t>
            </w:r>
          </w:p>
        </w:tc>
        <w:tc>
          <w:tcPr>
            <w:tcW w:w="1409" w:type="dxa"/>
            <w:tcBorders>
              <w:tl2br w:val="nil"/>
              <w:tr2bl w:val="nil"/>
            </w:tcBorders>
            <w:vAlign w:val="center"/>
          </w:tcPr>
          <w:p w14:paraId="553C51EC">
            <w:pPr>
              <w:pStyle w:val="41"/>
              <w:rPr>
                <w:color w:val="auto"/>
                <w:highlight w:val="none"/>
              </w:rPr>
            </w:pPr>
            <w:r>
              <w:rPr>
                <w:color w:val="auto"/>
                <w:highlight w:val="none"/>
              </w:rPr>
              <w:t xml:space="preserve">900-099-S03 </w:t>
            </w:r>
          </w:p>
        </w:tc>
        <w:tc>
          <w:tcPr>
            <w:tcW w:w="904" w:type="dxa"/>
            <w:tcBorders>
              <w:tl2br w:val="nil"/>
              <w:tr2bl w:val="nil"/>
            </w:tcBorders>
            <w:vAlign w:val="center"/>
          </w:tcPr>
          <w:p w14:paraId="061F9EE2">
            <w:pPr>
              <w:pStyle w:val="41"/>
              <w:rPr>
                <w:color w:val="auto"/>
                <w:highlight w:val="none"/>
              </w:rPr>
            </w:pPr>
            <w:r>
              <w:rPr>
                <w:color w:val="auto"/>
                <w:highlight w:val="none"/>
              </w:rPr>
              <w:t>/</w:t>
            </w:r>
          </w:p>
        </w:tc>
        <w:tc>
          <w:tcPr>
            <w:tcW w:w="1211" w:type="dxa"/>
            <w:tcBorders>
              <w:tl2br w:val="nil"/>
              <w:tr2bl w:val="nil"/>
            </w:tcBorders>
            <w:vAlign w:val="center"/>
          </w:tcPr>
          <w:p w14:paraId="061EF6E8">
            <w:pPr>
              <w:pStyle w:val="41"/>
              <w:rPr>
                <w:color w:val="auto"/>
                <w:highlight w:val="none"/>
              </w:rPr>
            </w:pPr>
            <w:r>
              <w:rPr>
                <w:color w:val="auto"/>
                <w:highlight w:val="none"/>
              </w:rPr>
              <w:t>一般工业固体废物</w:t>
            </w:r>
          </w:p>
        </w:tc>
        <w:tc>
          <w:tcPr>
            <w:tcW w:w="976" w:type="dxa"/>
            <w:tcBorders>
              <w:tl2br w:val="nil"/>
              <w:tr2bl w:val="nil"/>
            </w:tcBorders>
            <w:vAlign w:val="center"/>
          </w:tcPr>
          <w:p w14:paraId="6CF2DB99">
            <w:pPr>
              <w:pStyle w:val="41"/>
              <w:rPr>
                <w:color w:val="auto"/>
                <w:highlight w:val="none"/>
              </w:rPr>
            </w:pPr>
            <w:r>
              <w:rPr>
                <w:color w:val="auto"/>
                <w:highlight w:val="none"/>
              </w:rPr>
              <w:t>类比</w:t>
            </w:r>
          </w:p>
        </w:tc>
        <w:tc>
          <w:tcPr>
            <w:tcW w:w="1066" w:type="dxa"/>
            <w:tcBorders>
              <w:tl2br w:val="nil"/>
              <w:tr2bl w:val="nil"/>
            </w:tcBorders>
            <w:vAlign w:val="center"/>
          </w:tcPr>
          <w:p w14:paraId="3BDF7B10">
            <w:pPr>
              <w:pStyle w:val="41"/>
              <w:rPr>
                <w:color w:val="auto"/>
                <w:highlight w:val="none"/>
              </w:rPr>
            </w:pPr>
            <w:r>
              <w:rPr>
                <w:color w:val="auto"/>
                <w:highlight w:val="none"/>
              </w:rPr>
              <w:t>42.37</w:t>
            </w:r>
          </w:p>
        </w:tc>
        <w:tc>
          <w:tcPr>
            <w:tcW w:w="1247" w:type="dxa"/>
            <w:tcBorders>
              <w:tl2br w:val="nil"/>
              <w:tr2bl w:val="nil"/>
            </w:tcBorders>
            <w:vAlign w:val="center"/>
          </w:tcPr>
          <w:p w14:paraId="0780DFAB">
            <w:pPr>
              <w:pStyle w:val="41"/>
              <w:rPr>
                <w:color w:val="auto"/>
                <w:highlight w:val="none"/>
              </w:rPr>
            </w:pPr>
            <w:r>
              <w:rPr>
                <w:color w:val="auto"/>
                <w:highlight w:val="none"/>
              </w:rPr>
              <w:t>集中收集</w:t>
            </w:r>
          </w:p>
        </w:tc>
        <w:tc>
          <w:tcPr>
            <w:tcW w:w="1138" w:type="dxa"/>
            <w:tcBorders>
              <w:tl2br w:val="nil"/>
              <w:tr2bl w:val="nil"/>
            </w:tcBorders>
            <w:vAlign w:val="center"/>
          </w:tcPr>
          <w:p w14:paraId="76116834">
            <w:pPr>
              <w:pStyle w:val="41"/>
              <w:rPr>
                <w:color w:val="auto"/>
                <w:highlight w:val="none"/>
              </w:rPr>
            </w:pPr>
            <w:r>
              <w:rPr>
                <w:color w:val="auto"/>
                <w:highlight w:val="none"/>
              </w:rPr>
              <w:t>42.37</w:t>
            </w:r>
          </w:p>
        </w:tc>
        <w:tc>
          <w:tcPr>
            <w:tcW w:w="2343" w:type="dxa"/>
            <w:tcBorders>
              <w:tl2br w:val="nil"/>
              <w:tr2bl w:val="nil"/>
            </w:tcBorders>
            <w:vAlign w:val="center"/>
          </w:tcPr>
          <w:p w14:paraId="14D77EDE">
            <w:pPr>
              <w:pStyle w:val="41"/>
              <w:rPr>
                <w:color w:val="auto"/>
                <w:highlight w:val="none"/>
              </w:rPr>
            </w:pPr>
            <w:r>
              <w:rPr>
                <w:color w:val="auto"/>
                <w:highlight w:val="none"/>
              </w:rPr>
              <w:t>作为土壤改良剂用于</w:t>
            </w:r>
            <w:r>
              <w:rPr>
                <w:rFonts w:hint="eastAsia"/>
                <w:color w:val="auto"/>
                <w:highlight w:val="none"/>
                <w:lang w:eastAsia="zh-CN"/>
              </w:rPr>
              <w:t>排土场</w:t>
            </w:r>
            <w:r>
              <w:rPr>
                <w:color w:val="auto"/>
                <w:highlight w:val="none"/>
              </w:rPr>
              <w:t>生态恢复治理</w:t>
            </w:r>
          </w:p>
        </w:tc>
      </w:tr>
      <w:tr w14:paraId="527901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166" w:type="dxa"/>
            <w:vMerge w:val="continue"/>
            <w:tcBorders>
              <w:tl2br w:val="nil"/>
              <w:tr2bl w:val="nil"/>
            </w:tcBorders>
            <w:vAlign w:val="center"/>
          </w:tcPr>
          <w:p w14:paraId="0D072411">
            <w:pPr>
              <w:pStyle w:val="41"/>
              <w:rPr>
                <w:color w:val="auto"/>
                <w:highlight w:val="none"/>
              </w:rPr>
            </w:pPr>
          </w:p>
        </w:tc>
        <w:tc>
          <w:tcPr>
            <w:tcW w:w="1451" w:type="dxa"/>
            <w:vMerge w:val="continue"/>
            <w:tcBorders>
              <w:tl2br w:val="nil"/>
              <w:tr2bl w:val="nil"/>
            </w:tcBorders>
            <w:vAlign w:val="center"/>
          </w:tcPr>
          <w:p w14:paraId="55B08424">
            <w:pPr>
              <w:pStyle w:val="41"/>
              <w:rPr>
                <w:rFonts w:hint="eastAsia"/>
                <w:color w:val="auto"/>
                <w:highlight w:val="none"/>
              </w:rPr>
            </w:pPr>
          </w:p>
        </w:tc>
        <w:tc>
          <w:tcPr>
            <w:tcW w:w="1265" w:type="dxa"/>
            <w:tcBorders>
              <w:tl2br w:val="nil"/>
              <w:tr2bl w:val="nil"/>
            </w:tcBorders>
            <w:vAlign w:val="center"/>
          </w:tcPr>
          <w:p w14:paraId="697AB0C7">
            <w:pPr>
              <w:pStyle w:val="41"/>
              <w:rPr>
                <w:rFonts w:hint="eastAsia" w:eastAsia="华文中宋"/>
                <w:color w:val="auto"/>
                <w:highlight w:val="none"/>
                <w:lang w:eastAsia="zh-CN"/>
              </w:rPr>
            </w:pPr>
            <w:r>
              <w:rPr>
                <w:rFonts w:hint="eastAsia"/>
                <w:color w:val="auto"/>
                <w:highlight w:val="none"/>
                <w:lang w:eastAsia="zh-CN"/>
              </w:rPr>
              <w:t>脱硫石膏</w:t>
            </w:r>
          </w:p>
        </w:tc>
        <w:tc>
          <w:tcPr>
            <w:tcW w:w="1409" w:type="dxa"/>
            <w:tcBorders>
              <w:tl2br w:val="nil"/>
              <w:tr2bl w:val="nil"/>
            </w:tcBorders>
            <w:vAlign w:val="center"/>
          </w:tcPr>
          <w:p w14:paraId="447BE3E8">
            <w:pPr>
              <w:pStyle w:val="41"/>
              <w:rPr>
                <w:rFonts w:hint="eastAsia" w:eastAsia="华文中宋"/>
                <w:color w:val="auto"/>
                <w:highlight w:val="none"/>
                <w:lang w:val="en-US" w:eastAsia="zh-CN"/>
              </w:rPr>
            </w:pPr>
            <w:r>
              <w:rPr>
                <w:color w:val="auto"/>
                <w:highlight w:val="none"/>
              </w:rPr>
              <w:t>900-099-S0</w:t>
            </w:r>
            <w:r>
              <w:rPr>
                <w:rFonts w:hint="eastAsia"/>
                <w:color w:val="auto"/>
                <w:highlight w:val="none"/>
                <w:lang w:val="en-US" w:eastAsia="zh-CN"/>
              </w:rPr>
              <w:t>6</w:t>
            </w:r>
          </w:p>
        </w:tc>
        <w:tc>
          <w:tcPr>
            <w:tcW w:w="904" w:type="dxa"/>
            <w:tcBorders>
              <w:tl2br w:val="nil"/>
              <w:tr2bl w:val="nil"/>
            </w:tcBorders>
            <w:vAlign w:val="center"/>
          </w:tcPr>
          <w:p w14:paraId="584968C7">
            <w:pPr>
              <w:pStyle w:val="41"/>
              <w:rPr>
                <w:color w:val="auto"/>
                <w:highlight w:val="none"/>
              </w:rPr>
            </w:pPr>
            <w:r>
              <w:rPr>
                <w:color w:val="auto"/>
                <w:highlight w:val="none"/>
              </w:rPr>
              <w:t>/</w:t>
            </w:r>
          </w:p>
        </w:tc>
        <w:tc>
          <w:tcPr>
            <w:tcW w:w="1211" w:type="dxa"/>
            <w:tcBorders>
              <w:tl2br w:val="nil"/>
              <w:tr2bl w:val="nil"/>
            </w:tcBorders>
            <w:vAlign w:val="center"/>
          </w:tcPr>
          <w:p w14:paraId="13EC9A5E">
            <w:pPr>
              <w:pStyle w:val="41"/>
              <w:rPr>
                <w:color w:val="auto"/>
                <w:highlight w:val="none"/>
              </w:rPr>
            </w:pPr>
            <w:r>
              <w:rPr>
                <w:color w:val="auto"/>
                <w:highlight w:val="none"/>
              </w:rPr>
              <w:t>一般工业固体废物</w:t>
            </w:r>
          </w:p>
        </w:tc>
        <w:tc>
          <w:tcPr>
            <w:tcW w:w="976" w:type="dxa"/>
            <w:tcBorders>
              <w:tl2br w:val="nil"/>
              <w:tr2bl w:val="nil"/>
            </w:tcBorders>
            <w:vAlign w:val="center"/>
          </w:tcPr>
          <w:p w14:paraId="73A8D7B6">
            <w:pPr>
              <w:pStyle w:val="41"/>
              <w:rPr>
                <w:color w:val="auto"/>
                <w:highlight w:val="none"/>
              </w:rPr>
            </w:pPr>
            <w:r>
              <w:rPr>
                <w:color w:val="auto"/>
                <w:highlight w:val="none"/>
              </w:rPr>
              <w:t>类比</w:t>
            </w:r>
          </w:p>
        </w:tc>
        <w:tc>
          <w:tcPr>
            <w:tcW w:w="1066" w:type="dxa"/>
            <w:tcBorders>
              <w:tl2br w:val="nil"/>
              <w:tr2bl w:val="nil"/>
            </w:tcBorders>
            <w:vAlign w:val="center"/>
          </w:tcPr>
          <w:p w14:paraId="0960D0EC">
            <w:pPr>
              <w:pStyle w:val="41"/>
              <w:rPr>
                <w:rFonts w:hint="default" w:eastAsia="华文中宋"/>
                <w:color w:val="auto"/>
                <w:highlight w:val="none"/>
                <w:lang w:val="en-US" w:eastAsia="zh-CN"/>
              </w:rPr>
            </w:pPr>
            <w:r>
              <w:rPr>
                <w:rFonts w:hint="eastAsia"/>
                <w:color w:val="auto"/>
                <w:highlight w:val="none"/>
                <w:lang w:val="en-US" w:eastAsia="zh-CN"/>
              </w:rPr>
              <w:t>12.18</w:t>
            </w:r>
          </w:p>
        </w:tc>
        <w:tc>
          <w:tcPr>
            <w:tcW w:w="1247" w:type="dxa"/>
            <w:tcBorders>
              <w:tl2br w:val="nil"/>
              <w:tr2bl w:val="nil"/>
            </w:tcBorders>
            <w:vAlign w:val="center"/>
          </w:tcPr>
          <w:p w14:paraId="1D7B7D34">
            <w:pPr>
              <w:pStyle w:val="41"/>
              <w:rPr>
                <w:color w:val="auto"/>
                <w:highlight w:val="none"/>
              </w:rPr>
            </w:pPr>
            <w:r>
              <w:rPr>
                <w:color w:val="auto"/>
                <w:highlight w:val="none"/>
              </w:rPr>
              <w:t>集中收集</w:t>
            </w:r>
          </w:p>
        </w:tc>
        <w:tc>
          <w:tcPr>
            <w:tcW w:w="1138" w:type="dxa"/>
            <w:tcBorders>
              <w:tl2br w:val="nil"/>
              <w:tr2bl w:val="nil"/>
            </w:tcBorders>
            <w:vAlign w:val="center"/>
          </w:tcPr>
          <w:p w14:paraId="50FAFBF7">
            <w:pPr>
              <w:pStyle w:val="41"/>
              <w:rPr>
                <w:rFonts w:hint="default" w:eastAsia="华文中宋"/>
                <w:color w:val="auto"/>
                <w:highlight w:val="none"/>
                <w:lang w:val="en-US" w:eastAsia="zh-CN"/>
              </w:rPr>
            </w:pPr>
            <w:r>
              <w:rPr>
                <w:rFonts w:hint="eastAsia"/>
                <w:color w:val="auto"/>
                <w:highlight w:val="none"/>
                <w:lang w:val="en-US" w:eastAsia="zh-CN"/>
              </w:rPr>
              <w:t>12.18</w:t>
            </w:r>
          </w:p>
        </w:tc>
        <w:tc>
          <w:tcPr>
            <w:tcW w:w="2343" w:type="dxa"/>
            <w:tcBorders>
              <w:tl2br w:val="nil"/>
              <w:tr2bl w:val="nil"/>
            </w:tcBorders>
            <w:vAlign w:val="center"/>
          </w:tcPr>
          <w:p w14:paraId="6BC24BBC">
            <w:pPr>
              <w:pStyle w:val="41"/>
              <w:rPr>
                <w:rFonts w:hint="eastAsia" w:eastAsia="华文中宋"/>
                <w:color w:val="auto"/>
                <w:highlight w:val="none"/>
                <w:lang w:eastAsia="zh-CN"/>
              </w:rPr>
            </w:pPr>
            <w:r>
              <w:rPr>
                <w:rFonts w:hint="eastAsia"/>
                <w:color w:val="auto"/>
                <w:highlight w:val="none"/>
                <w:lang w:eastAsia="zh-CN"/>
              </w:rPr>
              <w:t>外售进行综合利用</w:t>
            </w:r>
          </w:p>
        </w:tc>
      </w:tr>
      <w:tr w14:paraId="62E746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166" w:type="dxa"/>
            <w:tcBorders>
              <w:tl2br w:val="nil"/>
              <w:tr2bl w:val="nil"/>
            </w:tcBorders>
            <w:vAlign w:val="center"/>
          </w:tcPr>
          <w:p w14:paraId="4356F41C">
            <w:pPr>
              <w:pStyle w:val="41"/>
              <w:rPr>
                <w:color w:val="auto"/>
                <w:highlight w:val="none"/>
              </w:rPr>
            </w:pPr>
            <w:r>
              <w:rPr>
                <w:color w:val="auto"/>
                <w:highlight w:val="none"/>
              </w:rPr>
              <w:t>维护设施设备</w:t>
            </w:r>
          </w:p>
        </w:tc>
        <w:tc>
          <w:tcPr>
            <w:tcW w:w="1451" w:type="dxa"/>
            <w:tcBorders>
              <w:tl2br w:val="nil"/>
              <w:tr2bl w:val="nil"/>
            </w:tcBorders>
            <w:vAlign w:val="center"/>
          </w:tcPr>
          <w:p w14:paraId="79DFAE36">
            <w:pPr>
              <w:pStyle w:val="41"/>
              <w:rPr>
                <w:color w:val="auto"/>
                <w:highlight w:val="none"/>
              </w:rPr>
            </w:pPr>
            <w:r>
              <w:rPr>
                <w:color w:val="auto"/>
                <w:highlight w:val="none"/>
              </w:rPr>
              <w:t>/</w:t>
            </w:r>
          </w:p>
        </w:tc>
        <w:tc>
          <w:tcPr>
            <w:tcW w:w="1265" w:type="dxa"/>
            <w:tcBorders>
              <w:tl2br w:val="nil"/>
              <w:tr2bl w:val="nil"/>
            </w:tcBorders>
            <w:vAlign w:val="center"/>
          </w:tcPr>
          <w:p w14:paraId="152B37DE">
            <w:pPr>
              <w:pStyle w:val="41"/>
              <w:rPr>
                <w:color w:val="auto"/>
                <w:highlight w:val="none"/>
              </w:rPr>
            </w:pPr>
            <w:r>
              <w:rPr>
                <w:color w:val="auto"/>
                <w:highlight w:val="none"/>
              </w:rPr>
              <w:t>废机油</w:t>
            </w:r>
          </w:p>
        </w:tc>
        <w:tc>
          <w:tcPr>
            <w:tcW w:w="1409" w:type="dxa"/>
            <w:tcBorders>
              <w:tl2br w:val="nil"/>
              <w:tr2bl w:val="nil"/>
            </w:tcBorders>
            <w:vAlign w:val="center"/>
          </w:tcPr>
          <w:p w14:paraId="360B0901">
            <w:pPr>
              <w:pStyle w:val="41"/>
              <w:rPr>
                <w:color w:val="auto"/>
                <w:highlight w:val="none"/>
              </w:rPr>
            </w:pPr>
            <w:r>
              <w:rPr>
                <w:color w:val="auto"/>
                <w:highlight w:val="none"/>
              </w:rPr>
              <w:t>HW08</w:t>
            </w:r>
          </w:p>
          <w:p w14:paraId="60653E88">
            <w:pPr>
              <w:pStyle w:val="41"/>
              <w:rPr>
                <w:color w:val="auto"/>
                <w:highlight w:val="none"/>
              </w:rPr>
            </w:pPr>
            <w:r>
              <w:rPr>
                <w:color w:val="auto"/>
                <w:highlight w:val="none"/>
              </w:rPr>
              <w:t>900-214-08</w:t>
            </w:r>
          </w:p>
        </w:tc>
        <w:tc>
          <w:tcPr>
            <w:tcW w:w="904" w:type="dxa"/>
            <w:tcBorders>
              <w:tl2br w:val="nil"/>
              <w:tr2bl w:val="nil"/>
            </w:tcBorders>
            <w:vAlign w:val="center"/>
          </w:tcPr>
          <w:p w14:paraId="271CD913">
            <w:pPr>
              <w:pStyle w:val="41"/>
              <w:rPr>
                <w:color w:val="auto"/>
                <w:highlight w:val="none"/>
              </w:rPr>
            </w:pPr>
            <w:r>
              <w:rPr>
                <w:color w:val="auto"/>
                <w:highlight w:val="none"/>
              </w:rPr>
              <w:t>T</w:t>
            </w:r>
            <w:r>
              <w:rPr>
                <w:rFonts w:hint="eastAsia"/>
                <w:color w:val="auto"/>
                <w:highlight w:val="none"/>
              </w:rPr>
              <w:t xml:space="preserve">, </w:t>
            </w:r>
            <w:r>
              <w:rPr>
                <w:color w:val="auto"/>
                <w:highlight w:val="none"/>
              </w:rPr>
              <w:t>I</w:t>
            </w:r>
          </w:p>
        </w:tc>
        <w:tc>
          <w:tcPr>
            <w:tcW w:w="1211" w:type="dxa"/>
            <w:tcBorders>
              <w:tl2br w:val="nil"/>
              <w:tr2bl w:val="nil"/>
            </w:tcBorders>
            <w:vAlign w:val="center"/>
          </w:tcPr>
          <w:p w14:paraId="18C07670">
            <w:pPr>
              <w:pStyle w:val="41"/>
              <w:rPr>
                <w:color w:val="auto"/>
                <w:highlight w:val="none"/>
              </w:rPr>
            </w:pPr>
            <w:r>
              <w:rPr>
                <w:color w:val="auto"/>
                <w:highlight w:val="none"/>
              </w:rPr>
              <w:t>危险废物</w:t>
            </w:r>
          </w:p>
        </w:tc>
        <w:tc>
          <w:tcPr>
            <w:tcW w:w="976" w:type="dxa"/>
            <w:tcBorders>
              <w:tl2br w:val="nil"/>
              <w:tr2bl w:val="nil"/>
            </w:tcBorders>
            <w:vAlign w:val="center"/>
          </w:tcPr>
          <w:p w14:paraId="2A8C5392">
            <w:pPr>
              <w:pStyle w:val="41"/>
              <w:rPr>
                <w:color w:val="auto"/>
                <w:highlight w:val="none"/>
              </w:rPr>
            </w:pPr>
            <w:r>
              <w:rPr>
                <w:color w:val="auto"/>
                <w:highlight w:val="none"/>
              </w:rPr>
              <w:t>类比</w:t>
            </w:r>
          </w:p>
        </w:tc>
        <w:tc>
          <w:tcPr>
            <w:tcW w:w="1066" w:type="dxa"/>
            <w:tcBorders>
              <w:tl2br w:val="nil"/>
              <w:tr2bl w:val="nil"/>
            </w:tcBorders>
            <w:vAlign w:val="center"/>
          </w:tcPr>
          <w:p w14:paraId="646EDA4F">
            <w:pPr>
              <w:pStyle w:val="41"/>
              <w:rPr>
                <w:color w:val="auto"/>
                <w:highlight w:val="none"/>
              </w:rPr>
            </w:pPr>
            <w:r>
              <w:rPr>
                <w:color w:val="auto"/>
                <w:highlight w:val="none"/>
              </w:rPr>
              <w:t>3.0</w:t>
            </w:r>
          </w:p>
        </w:tc>
        <w:tc>
          <w:tcPr>
            <w:tcW w:w="1247" w:type="dxa"/>
            <w:tcBorders>
              <w:tl2br w:val="nil"/>
              <w:tr2bl w:val="nil"/>
            </w:tcBorders>
            <w:vAlign w:val="center"/>
          </w:tcPr>
          <w:p w14:paraId="0BB9F37A">
            <w:pPr>
              <w:pStyle w:val="41"/>
              <w:rPr>
                <w:color w:val="auto"/>
                <w:highlight w:val="none"/>
              </w:rPr>
            </w:pPr>
            <w:r>
              <w:rPr>
                <w:color w:val="auto"/>
                <w:highlight w:val="none"/>
              </w:rPr>
              <w:t>危废</w:t>
            </w:r>
            <w:r>
              <w:rPr>
                <w:rFonts w:hint="eastAsia"/>
                <w:color w:val="auto"/>
                <w:highlight w:val="none"/>
              </w:rPr>
              <w:t>贮存点</w:t>
            </w:r>
          </w:p>
        </w:tc>
        <w:tc>
          <w:tcPr>
            <w:tcW w:w="1138" w:type="dxa"/>
            <w:tcBorders>
              <w:tl2br w:val="nil"/>
              <w:tr2bl w:val="nil"/>
            </w:tcBorders>
            <w:vAlign w:val="center"/>
          </w:tcPr>
          <w:p w14:paraId="77BE3C93">
            <w:pPr>
              <w:pStyle w:val="41"/>
              <w:rPr>
                <w:color w:val="auto"/>
                <w:highlight w:val="none"/>
              </w:rPr>
            </w:pPr>
            <w:r>
              <w:rPr>
                <w:color w:val="auto"/>
                <w:highlight w:val="none"/>
              </w:rPr>
              <w:t>3.0</w:t>
            </w:r>
          </w:p>
        </w:tc>
        <w:tc>
          <w:tcPr>
            <w:tcW w:w="2343" w:type="dxa"/>
            <w:tcBorders>
              <w:tl2br w:val="nil"/>
              <w:tr2bl w:val="nil"/>
            </w:tcBorders>
            <w:vAlign w:val="center"/>
          </w:tcPr>
          <w:p w14:paraId="5826C884">
            <w:pPr>
              <w:pStyle w:val="41"/>
              <w:rPr>
                <w:color w:val="auto"/>
                <w:highlight w:val="none"/>
              </w:rPr>
            </w:pPr>
            <w:r>
              <w:rPr>
                <w:color w:val="auto"/>
                <w:highlight w:val="none"/>
              </w:rPr>
              <w:t>委托有资质单位处置</w:t>
            </w:r>
          </w:p>
        </w:tc>
      </w:tr>
    </w:tbl>
    <w:p w14:paraId="5D7CC8A0">
      <w:pPr>
        <w:pStyle w:val="3"/>
        <w:ind w:firstLine="480"/>
        <w:rPr>
          <w:color w:val="auto"/>
          <w:highlight w:val="none"/>
        </w:rPr>
        <w:sectPr>
          <w:pgSz w:w="16840" w:h="11900" w:orient="landscape"/>
          <w:pgMar w:top="1803" w:right="1440" w:bottom="1803" w:left="1440" w:header="1020" w:footer="675" w:gutter="0"/>
          <w:pgBorders>
            <w:top w:val="none" w:sz="0" w:space="0"/>
            <w:left w:val="none" w:sz="0" w:space="0"/>
            <w:bottom w:val="none" w:sz="0" w:space="0"/>
            <w:right w:val="none" w:sz="0" w:space="0"/>
          </w:pgBorders>
          <w:cols w:space="720" w:num="1"/>
          <w:docGrid w:linePitch="326" w:charSpace="0"/>
        </w:sectPr>
      </w:pPr>
    </w:p>
    <w:bookmarkEnd w:id="263"/>
    <w:bookmarkEnd w:id="264"/>
    <w:bookmarkEnd w:id="265"/>
    <w:bookmarkEnd w:id="266"/>
    <w:p w14:paraId="17298183">
      <w:pPr>
        <w:pStyle w:val="43"/>
        <w:rPr>
          <w:color w:val="auto"/>
          <w:highlight w:val="none"/>
        </w:rPr>
      </w:pPr>
      <w:bookmarkStart w:id="308" w:name="_Toc30624"/>
      <w:bookmarkStart w:id="309" w:name="_Toc481768463"/>
      <w:bookmarkStart w:id="310" w:name="_Toc481789502"/>
      <w:bookmarkStart w:id="311" w:name="_Toc12308"/>
      <w:bookmarkStart w:id="312" w:name="_Toc10709"/>
      <w:bookmarkStart w:id="313" w:name="_Toc481768111"/>
      <w:bookmarkStart w:id="314" w:name="_Toc11955"/>
      <w:bookmarkStart w:id="315" w:name="_Toc22999"/>
      <w:r>
        <w:rPr>
          <w:rFonts w:hint="eastAsia"/>
          <w:color w:val="auto"/>
          <w:highlight w:val="none"/>
        </w:rPr>
        <w:t>非正常工况</w:t>
      </w:r>
    </w:p>
    <w:p w14:paraId="2E5A3AD5">
      <w:pPr>
        <w:pStyle w:val="3"/>
        <w:ind w:firstLine="480"/>
        <w:rPr>
          <w:color w:val="auto"/>
          <w:highlight w:val="none"/>
        </w:rPr>
      </w:pPr>
      <w:r>
        <w:rPr>
          <w:color w:val="auto"/>
          <w:highlight w:val="none"/>
        </w:rPr>
        <w:t>（1）废气</w:t>
      </w:r>
    </w:p>
    <w:p w14:paraId="568FD8B7">
      <w:pPr>
        <w:pStyle w:val="3"/>
        <w:ind w:firstLine="480"/>
        <w:rPr>
          <w:color w:val="auto"/>
          <w:highlight w:val="none"/>
        </w:rPr>
      </w:pPr>
      <w:r>
        <w:rPr>
          <w:color w:val="auto"/>
          <w:highlight w:val="none"/>
        </w:rPr>
        <w:t>非正常工况指工艺运行过程中所有生产运行技术参数未达到设计范围的情况</w:t>
      </w:r>
      <w:r>
        <w:rPr>
          <w:rFonts w:hint="eastAsia"/>
          <w:color w:val="auto"/>
          <w:highlight w:val="none"/>
        </w:rPr>
        <w:t>，</w:t>
      </w:r>
      <w:r>
        <w:rPr>
          <w:color w:val="auto"/>
          <w:highlight w:val="none"/>
        </w:rPr>
        <w:t>包括生产运行阶段的开停车、检修，工艺设备的运转异常、污染物排放控制措施达不到应有效率等。本项目非正常排放主要考虑袋式除尘器</w:t>
      </w:r>
      <w:r>
        <w:rPr>
          <w:rFonts w:hint="eastAsia"/>
          <w:color w:val="auto"/>
          <w:highlight w:val="none"/>
        </w:rPr>
        <w:t>，</w:t>
      </w:r>
      <w:r>
        <w:rPr>
          <w:color w:val="auto"/>
          <w:highlight w:val="none"/>
        </w:rPr>
        <w:t>由于布袋破损导致除尘效率下降至50</w:t>
      </w:r>
      <w:r>
        <w:rPr>
          <w:rFonts w:hint="eastAsia"/>
          <w:color w:val="auto"/>
          <w:highlight w:val="none"/>
        </w:rPr>
        <w:t>%</w:t>
      </w:r>
      <w:r>
        <w:rPr>
          <w:color w:val="auto"/>
          <w:highlight w:val="none"/>
        </w:rPr>
        <w:t>，持续时间为1h。项目非正常排放情况见下表。</w:t>
      </w:r>
    </w:p>
    <w:p w14:paraId="6779CE6D">
      <w:pPr>
        <w:pStyle w:val="40"/>
        <w:spacing w:before="24" w:after="24"/>
        <w:rPr>
          <w:color w:val="auto"/>
          <w:highlight w:val="none"/>
        </w:rPr>
      </w:pPr>
      <w:r>
        <w:rPr>
          <w:color w:val="auto"/>
          <w:highlight w:val="none"/>
        </w:rPr>
        <w:t>表3.</w:t>
      </w:r>
      <w:r>
        <w:rPr>
          <w:rFonts w:hint="eastAsia"/>
          <w:color w:val="auto"/>
          <w:highlight w:val="none"/>
        </w:rPr>
        <w:t>4</w:t>
      </w:r>
      <w:r>
        <w:rPr>
          <w:color w:val="auto"/>
          <w:highlight w:val="none"/>
        </w:rPr>
        <w:t>-</w:t>
      </w:r>
      <w:r>
        <w:rPr>
          <w:rFonts w:hint="eastAsia"/>
          <w:color w:val="auto"/>
          <w:highlight w:val="none"/>
        </w:rPr>
        <w:t>16</w:t>
      </w:r>
      <w:r>
        <w:rPr>
          <w:color w:val="auto"/>
          <w:highlight w:val="none"/>
        </w:rPr>
        <w:t xml:space="preserve">    </w:t>
      </w:r>
      <w:r>
        <w:rPr>
          <w:rFonts w:hint="eastAsia"/>
          <w:color w:val="auto"/>
          <w:highlight w:val="none"/>
        </w:rPr>
        <w:t xml:space="preserve">        </w:t>
      </w:r>
      <w:r>
        <w:rPr>
          <w:color w:val="auto"/>
          <w:highlight w:val="none"/>
        </w:rPr>
        <w:t>项目非正常排放情况表</w:t>
      </w:r>
    </w:p>
    <w:tbl>
      <w:tblPr>
        <w:tblStyle w:val="25"/>
        <w:tblW w:w="499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053"/>
        <w:gridCol w:w="1315"/>
        <w:gridCol w:w="1776"/>
        <w:gridCol w:w="1577"/>
        <w:gridCol w:w="982"/>
        <w:gridCol w:w="1040"/>
        <w:gridCol w:w="762"/>
      </w:tblGrid>
      <w:tr w14:paraId="4F5044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619" w:type="pct"/>
            <w:tcBorders>
              <w:tl2br w:val="nil"/>
              <w:tr2bl w:val="nil"/>
            </w:tcBorders>
            <w:vAlign w:val="center"/>
          </w:tcPr>
          <w:p w14:paraId="46F125A8">
            <w:pPr>
              <w:pStyle w:val="41"/>
              <w:rPr>
                <w:color w:val="auto"/>
                <w:highlight w:val="none"/>
              </w:rPr>
            </w:pPr>
            <w:r>
              <w:rPr>
                <w:color w:val="auto"/>
                <w:highlight w:val="none"/>
              </w:rPr>
              <w:t>污染物</w:t>
            </w:r>
          </w:p>
        </w:tc>
        <w:tc>
          <w:tcPr>
            <w:tcW w:w="773" w:type="pct"/>
            <w:tcBorders>
              <w:tl2br w:val="nil"/>
              <w:tr2bl w:val="nil"/>
            </w:tcBorders>
            <w:vAlign w:val="center"/>
          </w:tcPr>
          <w:p w14:paraId="2C3E73C0">
            <w:pPr>
              <w:pStyle w:val="41"/>
              <w:rPr>
                <w:color w:val="auto"/>
                <w:highlight w:val="none"/>
              </w:rPr>
            </w:pPr>
            <w:r>
              <w:rPr>
                <w:color w:val="auto"/>
                <w:highlight w:val="none"/>
              </w:rPr>
              <w:t>非正常排放原因</w:t>
            </w:r>
          </w:p>
        </w:tc>
        <w:tc>
          <w:tcPr>
            <w:tcW w:w="1044" w:type="pct"/>
            <w:tcBorders>
              <w:tl2br w:val="nil"/>
              <w:tr2bl w:val="nil"/>
            </w:tcBorders>
            <w:vAlign w:val="center"/>
          </w:tcPr>
          <w:p w14:paraId="72EB5ECB">
            <w:pPr>
              <w:pStyle w:val="41"/>
              <w:rPr>
                <w:color w:val="auto"/>
                <w:highlight w:val="none"/>
              </w:rPr>
            </w:pPr>
            <w:r>
              <w:rPr>
                <w:color w:val="auto"/>
                <w:highlight w:val="none"/>
              </w:rPr>
              <w:t>非正常排放速率kg/h</w:t>
            </w:r>
          </w:p>
        </w:tc>
        <w:tc>
          <w:tcPr>
            <w:tcW w:w="927" w:type="pct"/>
            <w:tcBorders>
              <w:tl2br w:val="nil"/>
              <w:tr2bl w:val="nil"/>
            </w:tcBorders>
            <w:vAlign w:val="center"/>
          </w:tcPr>
          <w:p w14:paraId="4AA08DFA">
            <w:pPr>
              <w:pStyle w:val="41"/>
              <w:rPr>
                <w:color w:val="auto"/>
                <w:highlight w:val="none"/>
              </w:rPr>
            </w:pPr>
            <w:r>
              <w:rPr>
                <w:color w:val="auto"/>
                <w:highlight w:val="none"/>
              </w:rPr>
              <w:t>非正常排放浓度mg/m</w:t>
            </w:r>
            <w:r>
              <w:rPr>
                <w:color w:val="auto"/>
                <w:highlight w:val="none"/>
                <w:vertAlign w:val="superscript"/>
              </w:rPr>
              <w:t>3</w:t>
            </w:r>
          </w:p>
        </w:tc>
        <w:tc>
          <w:tcPr>
            <w:tcW w:w="577" w:type="pct"/>
            <w:tcBorders>
              <w:tl2br w:val="nil"/>
              <w:tr2bl w:val="nil"/>
            </w:tcBorders>
            <w:vAlign w:val="center"/>
          </w:tcPr>
          <w:p w14:paraId="0C738FF5">
            <w:pPr>
              <w:pStyle w:val="41"/>
              <w:rPr>
                <w:color w:val="auto"/>
                <w:highlight w:val="none"/>
              </w:rPr>
            </w:pPr>
            <w:r>
              <w:rPr>
                <w:color w:val="auto"/>
                <w:highlight w:val="none"/>
              </w:rPr>
              <w:t>持续时间h</w:t>
            </w:r>
          </w:p>
        </w:tc>
        <w:tc>
          <w:tcPr>
            <w:tcW w:w="611" w:type="pct"/>
            <w:tcBorders>
              <w:tl2br w:val="nil"/>
              <w:tr2bl w:val="nil"/>
            </w:tcBorders>
            <w:vAlign w:val="center"/>
          </w:tcPr>
          <w:p w14:paraId="48665F34">
            <w:pPr>
              <w:pStyle w:val="41"/>
              <w:rPr>
                <w:color w:val="auto"/>
                <w:highlight w:val="none"/>
              </w:rPr>
            </w:pPr>
            <w:r>
              <w:rPr>
                <w:color w:val="auto"/>
                <w:highlight w:val="none"/>
              </w:rPr>
              <w:t>发生频次/a</w:t>
            </w:r>
          </w:p>
        </w:tc>
        <w:tc>
          <w:tcPr>
            <w:tcW w:w="447" w:type="pct"/>
            <w:tcBorders>
              <w:tl2br w:val="nil"/>
              <w:tr2bl w:val="nil"/>
            </w:tcBorders>
            <w:vAlign w:val="center"/>
          </w:tcPr>
          <w:p w14:paraId="1A5F2662">
            <w:pPr>
              <w:pStyle w:val="41"/>
              <w:rPr>
                <w:color w:val="auto"/>
                <w:highlight w:val="none"/>
              </w:rPr>
            </w:pPr>
            <w:r>
              <w:rPr>
                <w:color w:val="auto"/>
                <w:highlight w:val="none"/>
              </w:rPr>
              <w:t>应对措施</w:t>
            </w:r>
          </w:p>
        </w:tc>
      </w:tr>
      <w:tr w14:paraId="2EE935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619" w:type="pct"/>
            <w:vMerge w:val="restart"/>
            <w:tcBorders>
              <w:tl2br w:val="nil"/>
              <w:tr2bl w:val="nil"/>
            </w:tcBorders>
            <w:vAlign w:val="center"/>
          </w:tcPr>
          <w:p w14:paraId="164DA7B4">
            <w:pPr>
              <w:pStyle w:val="41"/>
              <w:rPr>
                <w:color w:val="auto"/>
                <w:highlight w:val="none"/>
              </w:rPr>
            </w:pPr>
            <w:r>
              <w:rPr>
                <w:color w:val="auto"/>
                <w:highlight w:val="none"/>
              </w:rPr>
              <w:t>颗粒物</w:t>
            </w:r>
          </w:p>
        </w:tc>
        <w:tc>
          <w:tcPr>
            <w:tcW w:w="773" w:type="pct"/>
            <w:vMerge w:val="restart"/>
            <w:tcBorders>
              <w:tl2br w:val="nil"/>
              <w:tr2bl w:val="nil"/>
            </w:tcBorders>
            <w:vAlign w:val="center"/>
          </w:tcPr>
          <w:p w14:paraId="03E2A351">
            <w:pPr>
              <w:pStyle w:val="41"/>
              <w:rPr>
                <w:color w:val="auto"/>
                <w:highlight w:val="none"/>
              </w:rPr>
            </w:pPr>
            <w:r>
              <w:rPr>
                <w:color w:val="auto"/>
                <w:highlight w:val="none"/>
              </w:rPr>
              <w:t>布袋破损处理系统下降至50%</w:t>
            </w:r>
          </w:p>
        </w:tc>
        <w:tc>
          <w:tcPr>
            <w:tcW w:w="1776" w:type="dxa"/>
            <w:tcBorders>
              <w:tl2br w:val="nil"/>
              <w:tr2bl w:val="nil"/>
            </w:tcBorders>
            <w:vAlign w:val="center"/>
          </w:tcPr>
          <w:p w14:paraId="1CE578AC">
            <w:pPr>
              <w:pStyle w:val="41"/>
              <w:keepNext w:val="0"/>
              <w:keepLines w:val="0"/>
              <w:widowControl/>
              <w:suppressLineNumbers w:val="0"/>
              <w:spacing w:line="240" w:lineRule="atLeast"/>
              <w:ind w:firstLineChars="0"/>
              <w:jc w:val="center"/>
              <w:textAlignment w:val="center"/>
              <w:rPr>
                <w:rFonts w:ascii="Times New Roman" w:hAnsi="Times New Roman"/>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0.0758</w:t>
            </w:r>
          </w:p>
        </w:tc>
        <w:tc>
          <w:tcPr>
            <w:tcW w:w="1577" w:type="dxa"/>
            <w:tcBorders>
              <w:tl2br w:val="nil"/>
              <w:tr2bl w:val="nil"/>
            </w:tcBorders>
            <w:vAlign w:val="center"/>
          </w:tcPr>
          <w:p w14:paraId="31085022">
            <w:pPr>
              <w:pStyle w:val="41"/>
              <w:keepNext w:val="0"/>
              <w:keepLines w:val="0"/>
              <w:widowControl/>
              <w:suppressLineNumbers w:val="0"/>
              <w:spacing w:line="240" w:lineRule="atLeast"/>
              <w:ind w:firstLineChars="0"/>
              <w:jc w:val="center"/>
              <w:textAlignment w:val="center"/>
              <w:rPr>
                <w:rFonts w:ascii="Times New Roman" w:hAnsi="Times New Roman"/>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1.416</w:t>
            </w:r>
          </w:p>
        </w:tc>
        <w:tc>
          <w:tcPr>
            <w:tcW w:w="982" w:type="dxa"/>
            <w:tcBorders>
              <w:tl2br w:val="nil"/>
              <w:tr2bl w:val="nil"/>
            </w:tcBorders>
            <w:vAlign w:val="center"/>
          </w:tcPr>
          <w:p w14:paraId="50886507">
            <w:pPr>
              <w:pStyle w:val="41"/>
              <w:rPr>
                <w:color w:val="auto"/>
                <w:highlight w:val="none"/>
              </w:rPr>
            </w:pPr>
            <w:r>
              <w:rPr>
                <w:color w:val="auto"/>
                <w:highlight w:val="none"/>
              </w:rPr>
              <w:t>1</w:t>
            </w:r>
          </w:p>
        </w:tc>
        <w:tc>
          <w:tcPr>
            <w:tcW w:w="1040" w:type="dxa"/>
            <w:tcBorders>
              <w:tl2br w:val="nil"/>
              <w:tr2bl w:val="nil"/>
            </w:tcBorders>
            <w:vAlign w:val="center"/>
          </w:tcPr>
          <w:p w14:paraId="1E4D36BF">
            <w:pPr>
              <w:pStyle w:val="41"/>
              <w:rPr>
                <w:color w:val="auto"/>
                <w:highlight w:val="none"/>
              </w:rPr>
            </w:pPr>
            <w:r>
              <w:rPr>
                <w:color w:val="auto"/>
                <w:highlight w:val="none"/>
              </w:rPr>
              <w:t>1</w:t>
            </w:r>
          </w:p>
        </w:tc>
        <w:tc>
          <w:tcPr>
            <w:tcW w:w="447" w:type="pct"/>
            <w:vMerge w:val="restart"/>
            <w:tcBorders>
              <w:tl2br w:val="nil"/>
              <w:tr2bl w:val="nil"/>
            </w:tcBorders>
            <w:vAlign w:val="center"/>
          </w:tcPr>
          <w:p w14:paraId="68BDEB58">
            <w:pPr>
              <w:pStyle w:val="41"/>
              <w:rPr>
                <w:color w:val="auto"/>
                <w:highlight w:val="none"/>
              </w:rPr>
            </w:pPr>
            <w:r>
              <w:rPr>
                <w:color w:val="auto"/>
                <w:highlight w:val="none"/>
              </w:rPr>
              <w:t>加强检修</w:t>
            </w:r>
          </w:p>
        </w:tc>
      </w:tr>
      <w:tr w14:paraId="40125F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619" w:type="pct"/>
            <w:vMerge w:val="continue"/>
            <w:tcBorders>
              <w:tl2br w:val="nil"/>
              <w:tr2bl w:val="nil"/>
            </w:tcBorders>
            <w:vAlign w:val="center"/>
          </w:tcPr>
          <w:p w14:paraId="23AF79B6">
            <w:pPr>
              <w:pStyle w:val="41"/>
              <w:rPr>
                <w:color w:val="auto"/>
                <w:highlight w:val="none"/>
              </w:rPr>
            </w:pPr>
          </w:p>
        </w:tc>
        <w:tc>
          <w:tcPr>
            <w:tcW w:w="773" w:type="pct"/>
            <w:vMerge w:val="continue"/>
            <w:tcBorders>
              <w:tl2br w:val="nil"/>
              <w:tr2bl w:val="nil"/>
            </w:tcBorders>
            <w:vAlign w:val="center"/>
          </w:tcPr>
          <w:p w14:paraId="43FEC1E2">
            <w:pPr>
              <w:pStyle w:val="41"/>
              <w:rPr>
                <w:color w:val="auto"/>
                <w:highlight w:val="none"/>
              </w:rPr>
            </w:pPr>
          </w:p>
        </w:tc>
        <w:tc>
          <w:tcPr>
            <w:tcW w:w="1776" w:type="dxa"/>
            <w:tcBorders>
              <w:tl2br w:val="nil"/>
              <w:tr2bl w:val="nil"/>
            </w:tcBorders>
            <w:vAlign w:val="center"/>
          </w:tcPr>
          <w:p w14:paraId="126FE597">
            <w:pPr>
              <w:pStyle w:val="41"/>
              <w:keepNext w:val="0"/>
              <w:keepLines w:val="0"/>
              <w:widowControl/>
              <w:suppressLineNumbers w:val="0"/>
              <w:spacing w:line="240" w:lineRule="atLeast"/>
              <w:ind w:firstLineChars="0"/>
              <w:jc w:val="center"/>
              <w:textAlignment w:val="center"/>
              <w:rPr>
                <w:rFonts w:ascii="Times New Roman" w:hAnsi="Times New Roman"/>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0.0758</w:t>
            </w:r>
          </w:p>
        </w:tc>
        <w:tc>
          <w:tcPr>
            <w:tcW w:w="1577" w:type="dxa"/>
            <w:tcBorders>
              <w:tl2br w:val="nil"/>
              <w:tr2bl w:val="nil"/>
            </w:tcBorders>
            <w:vAlign w:val="center"/>
          </w:tcPr>
          <w:p w14:paraId="289C3FC4">
            <w:pPr>
              <w:pStyle w:val="41"/>
              <w:keepNext w:val="0"/>
              <w:keepLines w:val="0"/>
              <w:widowControl/>
              <w:suppressLineNumbers w:val="0"/>
              <w:spacing w:line="240" w:lineRule="atLeast"/>
              <w:ind w:firstLineChars="0"/>
              <w:jc w:val="center"/>
              <w:textAlignment w:val="center"/>
              <w:rPr>
                <w:rFonts w:ascii="Times New Roman" w:hAnsi="Times New Roman"/>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1.416</w:t>
            </w:r>
          </w:p>
        </w:tc>
        <w:tc>
          <w:tcPr>
            <w:tcW w:w="982" w:type="dxa"/>
            <w:tcBorders>
              <w:tl2br w:val="nil"/>
              <w:tr2bl w:val="nil"/>
            </w:tcBorders>
            <w:vAlign w:val="center"/>
          </w:tcPr>
          <w:p w14:paraId="4D764607">
            <w:pPr>
              <w:pStyle w:val="41"/>
              <w:rPr>
                <w:color w:val="auto"/>
                <w:highlight w:val="none"/>
              </w:rPr>
            </w:pPr>
            <w:r>
              <w:rPr>
                <w:color w:val="auto"/>
                <w:highlight w:val="none"/>
              </w:rPr>
              <w:t>1</w:t>
            </w:r>
          </w:p>
        </w:tc>
        <w:tc>
          <w:tcPr>
            <w:tcW w:w="1040" w:type="dxa"/>
            <w:tcBorders>
              <w:tl2br w:val="nil"/>
              <w:tr2bl w:val="nil"/>
            </w:tcBorders>
            <w:vAlign w:val="center"/>
          </w:tcPr>
          <w:p w14:paraId="2CC59D67">
            <w:pPr>
              <w:pStyle w:val="41"/>
              <w:rPr>
                <w:color w:val="auto"/>
                <w:highlight w:val="none"/>
              </w:rPr>
            </w:pPr>
            <w:r>
              <w:rPr>
                <w:color w:val="auto"/>
                <w:highlight w:val="none"/>
              </w:rPr>
              <w:t>1</w:t>
            </w:r>
          </w:p>
        </w:tc>
        <w:tc>
          <w:tcPr>
            <w:tcW w:w="447" w:type="pct"/>
            <w:vMerge w:val="continue"/>
            <w:tcBorders>
              <w:tl2br w:val="nil"/>
              <w:tr2bl w:val="nil"/>
            </w:tcBorders>
            <w:vAlign w:val="center"/>
          </w:tcPr>
          <w:p w14:paraId="0BFE4BD8">
            <w:pPr>
              <w:pStyle w:val="41"/>
              <w:rPr>
                <w:color w:val="auto"/>
                <w:highlight w:val="none"/>
              </w:rPr>
            </w:pPr>
          </w:p>
        </w:tc>
      </w:tr>
      <w:tr w14:paraId="23BB03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619" w:type="pct"/>
            <w:vMerge w:val="continue"/>
            <w:tcBorders>
              <w:tl2br w:val="nil"/>
              <w:tr2bl w:val="nil"/>
            </w:tcBorders>
            <w:vAlign w:val="center"/>
          </w:tcPr>
          <w:p w14:paraId="1F748F4D">
            <w:pPr>
              <w:pStyle w:val="41"/>
              <w:rPr>
                <w:color w:val="auto"/>
                <w:highlight w:val="none"/>
              </w:rPr>
            </w:pPr>
          </w:p>
        </w:tc>
        <w:tc>
          <w:tcPr>
            <w:tcW w:w="773" w:type="pct"/>
            <w:vMerge w:val="continue"/>
            <w:tcBorders>
              <w:tl2br w:val="nil"/>
              <w:tr2bl w:val="nil"/>
            </w:tcBorders>
            <w:vAlign w:val="center"/>
          </w:tcPr>
          <w:p w14:paraId="694B2184">
            <w:pPr>
              <w:pStyle w:val="41"/>
              <w:rPr>
                <w:color w:val="auto"/>
                <w:highlight w:val="none"/>
              </w:rPr>
            </w:pPr>
          </w:p>
        </w:tc>
        <w:tc>
          <w:tcPr>
            <w:tcW w:w="1776" w:type="dxa"/>
            <w:tcBorders>
              <w:tl2br w:val="nil"/>
              <w:tr2bl w:val="nil"/>
            </w:tcBorders>
            <w:vAlign w:val="center"/>
          </w:tcPr>
          <w:p w14:paraId="7B58D740">
            <w:pPr>
              <w:pStyle w:val="41"/>
              <w:keepNext w:val="0"/>
              <w:keepLines w:val="0"/>
              <w:widowControl/>
              <w:suppressLineNumbers w:val="0"/>
              <w:spacing w:line="240" w:lineRule="atLeast"/>
              <w:ind w:firstLineChars="0"/>
              <w:jc w:val="center"/>
              <w:textAlignment w:val="center"/>
              <w:rPr>
                <w:rFonts w:ascii="Times New Roman" w:hAnsi="Times New Roman"/>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0.0758</w:t>
            </w:r>
          </w:p>
        </w:tc>
        <w:tc>
          <w:tcPr>
            <w:tcW w:w="1577" w:type="dxa"/>
            <w:tcBorders>
              <w:tl2br w:val="nil"/>
              <w:tr2bl w:val="nil"/>
            </w:tcBorders>
            <w:vAlign w:val="center"/>
          </w:tcPr>
          <w:p w14:paraId="5AD84061">
            <w:pPr>
              <w:pStyle w:val="41"/>
              <w:keepNext w:val="0"/>
              <w:keepLines w:val="0"/>
              <w:widowControl/>
              <w:suppressLineNumbers w:val="0"/>
              <w:spacing w:line="240" w:lineRule="atLeast"/>
              <w:ind w:firstLineChars="0"/>
              <w:jc w:val="center"/>
              <w:textAlignment w:val="center"/>
              <w:rPr>
                <w:rFonts w:ascii="Times New Roman" w:hAnsi="Times New Roman"/>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1.416</w:t>
            </w:r>
          </w:p>
        </w:tc>
        <w:tc>
          <w:tcPr>
            <w:tcW w:w="982" w:type="dxa"/>
            <w:tcBorders>
              <w:tl2br w:val="nil"/>
              <w:tr2bl w:val="nil"/>
            </w:tcBorders>
            <w:vAlign w:val="center"/>
          </w:tcPr>
          <w:p w14:paraId="64AFE3CB">
            <w:pPr>
              <w:pStyle w:val="41"/>
              <w:rPr>
                <w:color w:val="auto"/>
                <w:highlight w:val="none"/>
              </w:rPr>
            </w:pPr>
            <w:r>
              <w:rPr>
                <w:color w:val="auto"/>
                <w:highlight w:val="none"/>
              </w:rPr>
              <w:t>1</w:t>
            </w:r>
          </w:p>
        </w:tc>
        <w:tc>
          <w:tcPr>
            <w:tcW w:w="1040" w:type="dxa"/>
            <w:tcBorders>
              <w:tl2br w:val="nil"/>
              <w:tr2bl w:val="nil"/>
            </w:tcBorders>
            <w:vAlign w:val="center"/>
          </w:tcPr>
          <w:p w14:paraId="510B5F54">
            <w:pPr>
              <w:pStyle w:val="41"/>
              <w:rPr>
                <w:color w:val="auto"/>
                <w:highlight w:val="none"/>
              </w:rPr>
            </w:pPr>
            <w:r>
              <w:rPr>
                <w:color w:val="auto"/>
                <w:highlight w:val="none"/>
              </w:rPr>
              <w:t>1</w:t>
            </w:r>
          </w:p>
        </w:tc>
        <w:tc>
          <w:tcPr>
            <w:tcW w:w="447" w:type="pct"/>
            <w:vMerge w:val="continue"/>
            <w:tcBorders>
              <w:tl2br w:val="nil"/>
              <w:tr2bl w:val="nil"/>
            </w:tcBorders>
            <w:vAlign w:val="center"/>
          </w:tcPr>
          <w:p w14:paraId="7710620B">
            <w:pPr>
              <w:pStyle w:val="41"/>
              <w:rPr>
                <w:color w:val="auto"/>
                <w:highlight w:val="none"/>
              </w:rPr>
            </w:pPr>
          </w:p>
        </w:tc>
      </w:tr>
      <w:tr w14:paraId="70003D8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619" w:type="pct"/>
            <w:vMerge w:val="continue"/>
            <w:tcBorders>
              <w:tl2br w:val="nil"/>
              <w:tr2bl w:val="nil"/>
            </w:tcBorders>
            <w:vAlign w:val="center"/>
          </w:tcPr>
          <w:p w14:paraId="282E77EE">
            <w:pPr>
              <w:pStyle w:val="41"/>
              <w:rPr>
                <w:color w:val="auto"/>
                <w:highlight w:val="none"/>
              </w:rPr>
            </w:pPr>
          </w:p>
        </w:tc>
        <w:tc>
          <w:tcPr>
            <w:tcW w:w="773" w:type="pct"/>
            <w:vMerge w:val="continue"/>
            <w:tcBorders>
              <w:tl2br w:val="nil"/>
              <w:tr2bl w:val="nil"/>
            </w:tcBorders>
            <w:vAlign w:val="center"/>
          </w:tcPr>
          <w:p w14:paraId="091E4F4C">
            <w:pPr>
              <w:pStyle w:val="41"/>
              <w:rPr>
                <w:color w:val="auto"/>
                <w:highlight w:val="none"/>
              </w:rPr>
            </w:pPr>
          </w:p>
        </w:tc>
        <w:tc>
          <w:tcPr>
            <w:tcW w:w="1776" w:type="dxa"/>
            <w:tcBorders>
              <w:tl2br w:val="nil"/>
              <w:tr2bl w:val="nil"/>
            </w:tcBorders>
            <w:vAlign w:val="center"/>
          </w:tcPr>
          <w:p w14:paraId="63616E81">
            <w:pPr>
              <w:pStyle w:val="41"/>
              <w:keepNext w:val="0"/>
              <w:keepLines w:val="0"/>
              <w:widowControl/>
              <w:suppressLineNumbers w:val="0"/>
              <w:spacing w:line="240" w:lineRule="atLeast"/>
              <w:ind w:firstLineChars="0"/>
              <w:jc w:val="center"/>
              <w:textAlignment w:val="center"/>
              <w:rPr>
                <w:rFonts w:ascii="Times New Roman" w:hAnsi="Times New Roman"/>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0.0758</w:t>
            </w:r>
          </w:p>
        </w:tc>
        <w:tc>
          <w:tcPr>
            <w:tcW w:w="1577" w:type="dxa"/>
            <w:tcBorders>
              <w:tl2br w:val="nil"/>
              <w:tr2bl w:val="nil"/>
            </w:tcBorders>
            <w:vAlign w:val="center"/>
          </w:tcPr>
          <w:p w14:paraId="622FFB46">
            <w:pPr>
              <w:pStyle w:val="41"/>
              <w:keepNext w:val="0"/>
              <w:keepLines w:val="0"/>
              <w:widowControl/>
              <w:suppressLineNumbers w:val="0"/>
              <w:spacing w:line="240" w:lineRule="atLeast"/>
              <w:ind w:firstLineChars="0"/>
              <w:jc w:val="center"/>
              <w:textAlignment w:val="center"/>
              <w:rPr>
                <w:rFonts w:ascii="Times New Roman" w:hAnsi="Times New Roman"/>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1.416</w:t>
            </w:r>
          </w:p>
        </w:tc>
        <w:tc>
          <w:tcPr>
            <w:tcW w:w="982" w:type="dxa"/>
            <w:tcBorders>
              <w:tl2br w:val="nil"/>
              <w:tr2bl w:val="nil"/>
            </w:tcBorders>
            <w:vAlign w:val="center"/>
          </w:tcPr>
          <w:p w14:paraId="5FE549E3">
            <w:pPr>
              <w:pStyle w:val="41"/>
              <w:rPr>
                <w:color w:val="auto"/>
                <w:highlight w:val="none"/>
              </w:rPr>
            </w:pPr>
            <w:r>
              <w:rPr>
                <w:color w:val="auto"/>
                <w:highlight w:val="none"/>
              </w:rPr>
              <w:t>1</w:t>
            </w:r>
          </w:p>
        </w:tc>
        <w:tc>
          <w:tcPr>
            <w:tcW w:w="1040" w:type="dxa"/>
            <w:tcBorders>
              <w:tl2br w:val="nil"/>
              <w:tr2bl w:val="nil"/>
            </w:tcBorders>
            <w:vAlign w:val="center"/>
          </w:tcPr>
          <w:p w14:paraId="1C05D8C9">
            <w:pPr>
              <w:pStyle w:val="41"/>
              <w:rPr>
                <w:color w:val="auto"/>
                <w:highlight w:val="none"/>
              </w:rPr>
            </w:pPr>
            <w:r>
              <w:rPr>
                <w:color w:val="auto"/>
                <w:highlight w:val="none"/>
              </w:rPr>
              <w:t>1</w:t>
            </w:r>
          </w:p>
        </w:tc>
        <w:tc>
          <w:tcPr>
            <w:tcW w:w="447" w:type="pct"/>
            <w:vMerge w:val="continue"/>
            <w:tcBorders>
              <w:tl2br w:val="nil"/>
              <w:tr2bl w:val="nil"/>
            </w:tcBorders>
            <w:vAlign w:val="center"/>
          </w:tcPr>
          <w:p w14:paraId="5A9942D9">
            <w:pPr>
              <w:pStyle w:val="41"/>
              <w:rPr>
                <w:color w:val="auto"/>
                <w:highlight w:val="none"/>
              </w:rPr>
            </w:pPr>
          </w:p>
        </w:tc>
      </w:tr>
      <w:tr w14:paraId="72777D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619" w:type="pct"/>
            <w:vMerge w:val="continue"/>
            <w:tcBorders>
              <w:tl2br w:val="nil"/>
              <w:tr2bl w:val="nil"/>
            </w:tcBorders>
            <w:vAlign w:val="center"/>
          </w:tcPr>
          <w:p w14:paraId="75897FF4">
            <w:pPr>
              <w:pStyle w:val="41"/>
              <w:rPr>
                <w:color w:val="auto"/>
                <w:highlight w:val="none"/>
              </w:rPr>
            </w:pPr>
          </w:p>
        </w:tc>
        <w:tc>
          <w:tcPr>
            <w:tcW w:w="773" w:type="pct"/>
            <w:vMerge w:val="continue"/>
            <w:tcBorders>
              <w:tl2br w:val="nil"/>
              <w:tr2bl w:val="nil"/>
            </w:tcBorders>
            <w:vAlign w:val="center"/>
          </w:tcPr>
          <w:p w14:paraId="585CA35C">
            <w:pPr>
              <w:pStyle w:val="41"/>
              <w:rPr>
                <w:color w:val="auto"/>
                <w:highlight w:val="none"/>
              </w:rPr>
            </w:pPr>
          </w:p>
        </w:tc>
        <w:tc>
          <w:tcPr>
            <w:tcW w:w="1776" w:type="dxa"/>
            <w:tcBorders>
              <w:tl2br w:val="nil"/>
              <w:tr2bl w:val="nil"/>
            </w:tcBorders>
            <w:vAlign w:val="center"/>
          </w:tcPr>
          <w:p w14:paraId="46ADF737">
            <w:pPr>
              <w:pStyle w:val="41"/>
              <w:keepNext w:val="0"/>
              <w:keepLines w:val="0"/>
              <w:widowControl/>
              <w:suppressLineNumbers w:val="0"/>
              <w:spacing w:line="240" w:lineRule="atLeast"/>
              <w:ind w:firstLineChars="0"/>
              <w:jc w:val="center"/>
              <w:textAlignment w:val="center"/>
              <w:rPr>
                <w:rFonts w:ascii="Times New Roman" w:hAnsi="Times New Roman"/>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0.0758</w:t>
            </w:r>
          </w:p>
        </w:tc>
        <w:tc>
          <w:tcPr>
            <w:tcW w:w="1577" w:type="dxa"/>
            <w:tcBorders>
              <w:tl2br w:val="nil"/>
              <w:tr2bl w:val="nil"/>
            </w:tcBorders>
            <w:vAlign w:val="center"/>
          </w:tcPr>
          <w:p w14:paraId="0E17772B">
            <w:pPr>
              <w:pStyle w:val="41"/>
              <w:keepNext w:val="0"/>
              <w:keepLines w:val="0"/>
              <w:widowControl/>
              <w:suppressLineNumbers w:val="0"/>
              <w:spacing w:line="240" w:lineRule="atLeast"/>
              <w:ind w:firstLineChars="0"/>
              <w:jc w:val="center"/>
              <w:textAlignment w:val="center"/>
              <w:rPr>
                <w:rFonts w:ascii="Times New Roman" w:hAnsi="Times New Roman"/>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1.416</w:t>
            </w:r>
          </w:p>
        </w:tc>
        <w:tc>
          <w:tcPr>
            <w:tcW w:w="982" w:type="dxa"/>
            <w:tcBorders>
              <w:tl2br w:val="nil"/>
              <w:tr2bl w:val="nil"/>
            </w:tcBorders>
            <w:vAlign w:val="center"/>
          </w:tcPr>
          <w:p w14:paraId="1FA6FA36">
            <w:pPr>
              <w:pStyle w:val="41"/>
              <w:rPr>
                <w:color w:val="auto"/>
                <w:highlight w:val="none"/>
              </w:rPr>
            </w:pPr>
            <w:r>
              <w:rPr>
                <w:color w:val="auto"/>
                <w:highlight w:val="none"/>
              </w:rPr>
              <w:t>1</w:t>
            </w:r>
          </w:p>
        </w:tc>
        <w:tc>
          <w:tcPr>
            <w:tcW w:w="1040" w:type="dxa"/>
            <w:tcBorders>
              <w:tl2br w:val="nil"/>
              <w:tr2bl w:val="nil"/>
            </w:tcBorders>
            <w:vAlign w:val="center"/>
          </w:tcPr>
          <w:p w14:paraId="310EAA55">
            <w:pPr>
              <w:pStyle w:val="41"/>
              <w:rPr>
                <w:color w:val="auto"/>
                <w:highlight w:val="none"/>
              </w:rPr>
            </w:pPr>
            <w:r>
              <w:rPr>
                <w:color w:val="auto"/>
                <w:highlight w:val="none"/>
              </w:rPr>
              <w:t>1</w:t>
            </w:r>
          </w:p>
        </w:tc>
        <w:tc>
          <w:tcPr>
            <w:tcW w:w="447" w:type="pct"/>
            <w:vMerge w:val="continue"/>
            <w:tcBorders>
              <w:tl2br w:val="nil"/>
              <w:tr2bl w:val="nil"/>
            </w:tcBorders>
            <w:vAlign w:val="center"/>
          </w:tcPr>
          <w:p w14:paraId="424C9EB8">
            <w:pPr>
              <w:pStyle w:val="41"/>
              <w:rPr>
                <w:color w:val="auto"/>
                <w:highlight w:val="none"/>
              </w:rPr>
            </w:pPr>
          </w:p>
        </w:tc>
      </w:tr>
      <w:tr w14:paraId="37AE6D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619" w:type="pct"/>
            <w:vMerge w:val="continue"/>
            <w:tcBorders>
              <w:tl2br w:val="nil"/>
              <w:tr2bl w:val="nil"/>
            </w:tcBorders>
            <w:vAlign w:val="center"/>
          </w:tcPr>
          <w:p w14:paraId="19BB1265">
            <w:pPr>
              <w:pStyle w:val="41"/>
              <w:rPr>
                <w:color w:val="auto"/>
                <w:highlight w:val="none"/>
              </w:rPr>
            </w:pPr>
          </w:p>
        </w:tc>
        <w:tc>
          <w:tcPr>
            <w:tcW w:w="773" w:type="pct"/>
            <w:vMerge w:val="continue"/>
            <w:tcBorders>
              <w:tl2br w:val="nil"/>
              <w:tr2bl w:val="nil"/>
            </w:tcBorders>
            <w:vAlign w:val="center"/>
          </w:tcPr>
          <w:p w14:paraId="75A8DA7C">
            <w:pPr>
              <w:pStyle w:val="41"/>
              <w:rPr>
                <w:color w:val="auto"/>
                <w:highlight w:val="none"/>
              </w:rPr>
            </w:pPr>
          </w:p>
        </w:tc>
        <w:tc>
          <w:tcPr>
            <w:tcW w:w="1776" w:type="dxa"/>
            <w:tcBorders>
              <w:tl2br w:val="nil"/>
              <w:tr2bl w:val="nil"/>
            </w:tcBorders>
            <w:vAlign w:val="center"/>
          </w:tcPr>
          <w:p w14:paraId="592DF1D9">
            <w:pPr>
              <w:pStyle w:val="41"/>
              <w:keepNext w:val="0"/>
              <w:keepLines w:val="0"/>
              <w:widowControl/>
              <w:suppressLineNumbers w:val="0"/>
              <w:spacing w:line="240" w:lineRule="atLeast"/>
              <w:ind w:firstLineChars="0"/>
              <w:jc w:val="center"/>
              <w:textAlignment w:val="center"/>
              <w:rPr>
                <w:rFonts w:ascii="Times New Roman" w:hAnsi="Times New Roman"/>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0.0758</w:t>
            </w:r>
          </w:p>
        </w:tc>
        <w:tc>
          <w:tcPr>
            <w:tcW w:w="1577" w:type="dxa"/>
            <w:tcBorders>
              <w:tl2br w:val="nil"/>
              <w:tr2bl w:val="nil"/>
            </w:tcBorders>
            <w:vAlign w:val="center"/>
          </w:tcPr>
          <w:p w14:paraId="63808E04">
            <w:pPr>
              <w:pStyle w:val="41"/>
              <w:keepNext w:val="0"/>
              <w:keepLines w:val="0"/>
              <w:widowControl/>
              <w:suppressLineNumbers w:val="0"/>
              <w:spacing w:line="240" w:lineRule="atLeast"/>
              <w:ind w:firstLineChars="0"/>
              <w:jc w:val="center"/>
              <w:textAlignment w:val="center"/>
              <w:rPr>
                <w:rFonts w:ascii="Times New Roman" w:hAnsi="Times New Roman"/>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1.416</w:t>
            </w:r>
          </w:p>
        </w:tc>
        <w:tc>
          <w:tcPr>
            <w:tcW w:w="982" w:type="dxa"/>
            <w:tcBorders>
              <w:tl2br w:val="nil"/>
              <w:tr2bl w:val="nil"/>
            </w:tcBorders>
            <w:vAlign w:val="center"/>
          </w:tcPr>
          <w:p w14:paraId="2ADC112E">
            <w:pPr>
              <w:pStyle w:val="41"/>
              <w:rPr>
                <w:color w:val="auto"/>
                <w:highlight w:val="none"/>
              </w:rPr>
            </w:pPr>
            <w:r>
              <w:rPr>
                <w:color w:val="auto"/>
                <w:highlight w:val="none"/>
              </w:rPr>
              <w:t>1</w:t>
            </w:r>
          </w:p>
        </w:tc>
        <w:tc>
          <w:tcPr>
            <w:tcW w:w="1040" w:type="dxa"/>
            <w:tcBorders>
              <w:tl2br w:val="nil"/>
              <w:tr2bl w:val="nil"/>
            </w:tcBorders>
            <w:vAlign w:val="center"/>
          </w:tcPr>
          <w:p w14:paraId="2F8D3CF1">
            <w:pPr>
              <w:pStyle w:val="41"/>
              <w:rPr>
                <w:color w:val="auto"/>
                <w:highlight w:val="none"/>
              </w:rPr>
            </w:pPr>
            <w:r>
              <w:rPr>
                <w:color w:val="auto"/>
                <w:highlight w:val="none"/>
              </w:rPr>
              <w:t>1</w:t>
            </w:r>
          </w:p>
        </w:tc>
        <w:tc>
          <w:tcPr>
            <w:tcW w:w="447" w:type="pct"/>
            <w:vMerge w:val="continue"/>
            <w:tcBorders>
              <w:tl2br w:val="nil"/>
              <w:tr2bl w:val="nil"/>
            </w:tcBorders>
            <w:vAlign w:val="center"/>
          </w:tcPr>
          <w:p w14:paraId="17B605AA">
            <w:pPr>
              <w:pStyle w:val="41"/>
              <w:rPr>
                <w:color w:val="auto"/>
                <w:highlight w:val="none"/>
              </w:rPr>
            </w:pPr>
          </w:p>
        </w:tc>
      </w:tr>
      <w:tr w14:paraId="4C47F5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619" w:type="pct"/>
            <w:vMerge w:val="continue"/>
            <w:tcBorders>
              <w:tl2br w:val="nil"/>
              <w:tr2bl w:val="nil"/>
            </w:tcBorders>
            <w:vAlign w:val="center"/>
          </w:tcPr>
          <w:p w14:paraId="1BFA31FC">
            <w:pPr>
              <w:pStyle w:val="41"/>
              <w:rPr>
                <w:color w:val="auto"/>
                <w:highlight w:val="none"/>
              </w:rPr>
            </w:pPr>
          </w:p>
        </w:tc>
        <w:tc>
          <w:tcPr>
            <w:tcW w:w="773" w:type="pct"/>
            <w:vMerge w:val="continue"/>
            <w:tcBorders>
              <w:tl2br w:val="nil"/>
              <w:tr2bl w:val="nil"/>
            </w:tcBorders>
            <w:vAlign w:val="center"/>
          </w:tcPr>
          <w:p w14:paraId="1B5089E9">
            <w:pPr>
              <w:pStyle w:val="41"/>
              <w:rPr>
                <w:color w:val="auto"/>
                <w:highlight w:val="none"/>
              </w:rPr>
            </w:pPr>
          </w:p>
        </w:tc>
        <w:tc>
          <w:tcPr>
            <w:tcW w:w="1776" w:type="dxa"/>
            <w:tcBorders>
              <w:tl2br w:val="nil"/>
              <w:tr2bl w:val="nil"/>
            </w:tcBorders>
            <w:vAlign w:val="center"/>
          </w:tcPr>
          <w:p w14:paraId="5B80EEBA">
            <w:pPr>
              <w:pStyle w:val="41"/>
              <w:keepNext w:val="0"/>
              <w:keepLines w:val="0"/>
              <w:widowControl/>
              <w:suppressLineNumbers w:val="0"/>
              <w:spacing w:line="240" w:lineRule="atLeast"/>
              <w:ind w:firstLineChars="0"/>
              <w:jc w:val="center"/>
              <w:textAlignment w:val="center"/>
              <w:rPr>
                <w:rFonts w:ascii="Times New Roman" w:hAnsi="Times New Roman"/>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0.0758</w:t>
            </w:r>
          </w:p>
        </w:tc>
        <w:tc>
          <w:tcPr>
            <w:tcW w:w="1577" w:type="dxa"/>
            <w:tcBorders>
              <w:tl2br w:val="nil"/>
              <w:tr2bl w:val="nil"/>
            </w:tcBorders>
            <w:vAlign w:val="center"/>
          </w:tcPr>
          <w:p w14:paraId="21687536">
            <w:pPr>
              <w:pStyle w:val="41"/>
              <w:keepNext w:val="0"/>
              <w:keepLines w:val="0"/>
              <w:widowControl/>
              <w:suppressLineNumbers w:val="0"/>
              <w:spacing w:line="240" w:lineRule="atLeast"/>
              <w:ind w:firstLineChars="0"/>
              <w:jc w:val="center"/>
              <w:textAlignment w:val="center"/>
              <w:rPr>
                <w:rFonts w:ascii="Times New Roman" w:hAnsi="Times New Roman"/>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1.416</w:t>
            </w:r>
          </w:p>
        </w:tc>
        <w:tc>
          <w:tcPr>
            <w:tcW w:w="982" w:type="dxa"/>
            <w:tcBorders>
              <w:tl2br w:val="nil"/>
              <w:tr2bl w:val="nil"/>
            </w:tcBorders>
            <w:vAlign w:val="center"/>
          </w:tcPr>
          <w:p w14:paraId="54A11561">
            <w:pPr>
              <w:pStyle w:val="41"/>
              <w:rPr>
                <w:color w:val="auto"/>
                <w:highlight w:val="none"/>
              </w:rPr>
            </w:pPr>
            <w:r>
              <w:rPr>
                <w:color w:val="auto"/>
                <w:highlight w:val="none"/>
              </w:rPr>
              <w:t>1</w:t>
            </w:r>
          </w:p>
        </w:tc>
        <w:tc>
          <w:tcPr>
            <w:tcW w:w="1040" w:type="dxa"/>
            <w:tcBorders>
              <w:tl2br w:val="nil"/>
              <w:tr2bl w:val="nil"/>
            </w:tcBorders>
            <w:vAlign w:val="center"/>
          </w:tcPr>
          <w:p w14:paraId="7A2BB75C">
            <w:pPr>
              <w:pStyle w:val="41"/>
              <w:rPr>
                <w:color w:val="auto"/>
                <w:highlight w:val="none"/>
              </w:rPr>
            </w:pPr>
            <w:r>
              <w:rPr>
                <w:color w:val="auto"/>
                <w:highlight w:val="none"/>
              </w:rPr>
              <w:t>1</w:t>
            </w:r>
          </w:p>
        </w:tc>
        <w:tc>
          <w:tcPr>
            <w:tcW w:w="447" w:type="pct"/>
            <w:vMerge w:val="continue"/>
            <w:tcBorders>
              <w:tl2br w:val="nil"/>
              <w:tr2bl w:val="nil"/>
            </w:tcBorders>
            <w:vAlign w:val="center"/>
          </w:tcPr>
          <w:p w14:paraId="127D4A35">
            <w:pPr>
              <w:pStyle w:val="41"/>
              <w:rPr>
                <w:color w:val="auto"/>
                <w:highlight w:val="none"/>
              </w:rPr>
            </w:pPr>
          </w:p>
        </w:tc>
      </w:tr>
      <w:tr w14:paraId="323D2B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619" w:type="pct"/>
            <w:vMerge w:val="continue"/>
            <w:tcBorders>
              <w:tl2br w:val="nil"/>
              <w:tr2bl w:val="nil"/>
            </w:tcBorders>
            <w:vAlign w:val="center"/>
          </w:tcPr>
          <w:p w14:paraId="5CC44211">
            <w:pPr>
              <w:pStyle w:val="41"/>
              <w:rPr>
                <w:color w:val="auto"/>
                <w:highlight w:val="none"/>
              </w:rPr>
            </w:pPr>
          </w:p>
        </w:tc>
        <w:tc>
          <w:tcPr>
            <w:tcW w:w="773" w:type="pct"/>
            <w:vMerge w:val="continue"/>
            <w:tcBorders>
              <w:tl2br w:val="nil"/>
              <w:tr2bl w:val="nil"/>
            </w:tcBorders>
            <w:vAlign w:val="center"/>
          </w:tcPr>
          <w:p w14:paraId="44F81B81">
            <w:pPr>
              <w:pStyle w:val="41"/>
              <w:rPr>
                <w:color w:val="auto"/>
                <w:highlight w:val="none"/>
              </w:rPr>
            </w:pPr>
          </w:p>
        </w:tc>
        <w:tc>
          <w:tcPr>
            <w:tcW w:w="1776" w:type="dxa"/>
            <w:tcBorders>
              <w:tl2br w:val="nil"/>
              <w:tr2bl w:val="nil"/>
            </w:tcBorders>
            <w:vAlign w:val="center"/>
          </w:tcPr>
          <w:p w14:paraId="6751A092">
            <w:pPr>
              <w:pStyle w:val="41"/>
              <w:keepNext w:val="0"/>
              <w:keepLines w:val="0"/>
              <w:widowControl/>
              <w:suppressLineNumbers w:val="0"/>
              <w:spacing w:line="240" w:lineRule="atLeast"/>
              <w:ind w:firstLineChars="0"/>
              <w:jc w:val="center"/>
              <w:textAlignment w:val="center"/>
              <w:rPr>
                <w:rFonts w:ascii="Times New Roman" w:hAnsi="Times New Roman"/>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0.196</w:t>
            </w:r>
          </w:p>
        </w:tc>
        <w:tc>
          <w:tcPr>
            <w:tcW w:w="1577" w:type="dxa"/>
            <w:tcBorders>
              <w:tl2br w:val="nil"/>
              <w:tr2bl w:val="nil"/>
            </w:tcBorders>
            <w:vAlign w:val="center"/>
          </w:tcPr>
          <w:p w14:paraId="6B317032">
            <w:pPr>
              <w:pStyle w:val="41"/>
              <w:keepNext w:val="0"/>
              <w:keepLines w:val="0"/>
              <w:widowControl/>
              <w:suppressLineNumbers w:val="0"/>
              <w:spacing w:line="240" w:lineRule="atLeast"/>
              <w:ind w:firstLineChars="0"/>
              <w:jc w:val="center"/>
              <w:textAlignment w:val="center"/>
              <w:rPr>
                <w:rFonts w:ascii="Times New Roman" w:hAnsi="Times New Roman"/>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2.314</w:t>
            </w:r>
          </w:p>
        </w:tc>
        <w:tc>
          <w:tcPr>
            <w:tcW w:w="982" w:type="dxa"/>
            <w:tcBorders>
              <w:tl2br w:val="nil"/>
              <w:tr2bl w:val="nil"/>
            </w:tcBorders>
            <w:vAlign w:val="center"/>
          </w:tcPr>
          <w:p w14:paraId="6A3069BB">
            <w:pPr>
              <w:pStyle w:val="41"/>
              <w:rPr>
                <w:color w:val="auto"/>
                <w:highlight w:val="none"/>
              </w:rPr>
            </w:pPr>
            <w:r>
              <w:rPr>
                <w:color w:val="auto"/>
                <w:highlight w:val="none"/>
              </w:rPr>
              <w:t>1</w:t>
            </w:r>
          </w:p>
        </w:tc>
        <w:tc>
          <w:tcPr>
            <w:tcW w:w="1040" w:type="dxa"/>
            <w:tcBorders>
              <w:tl2br w:val="nil"/>
              <w:tr2bl w:val="nil"/>
            </w:tcBorders>
            <w:vAlign w:val="center"/>
          </w:tcPr>
          <w:p w14:paraId="78380A5D">
            <w:pPr>
              <w:pStyle w:val="41"/>
              <w:rPr>
                <w:color w:val="auto"/>
                <w:highlight w:val="none"/>
              </w:rPr>
            </w:pPr>
            <w:r>
              <w:rPr>
                <w:color w:val="auto"/>
                <w:highlight w:val="none"/>
              </w:rPr>
              <w:t>1</w:t>
            </w:r>
          </w:p>
        </w:tc>
        <w:tc>
          <w:tcPr>
            <w:tcW w:w="447" w:type="pct"/>
            <w:vMerge w:val="continue"/>
            <w:tcBorders>
              <w:tl2br w:val="nil"/>
              <w:tr2bl w:val="nil"/>
            </w:tcBorders>
            <w:vAlign w:val="center"/>
          </w:tcPr>
          <w:p w14:paraId="743866F8">
            <w:pPr>
              <w:pStyle w:val="41"/>
              <w:rPr>
                <w:color w:val="auto"/>
                <w:highlight w:val="none"/>
              </w:rPr>
            </w:pPr>
          </w:p>
        </w:tc>
      </w:tr>
      <w:tr w14:paraId="33A139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619" w:type="pct"/>
            <w:tcBorders>
              <w:tl2br w:val="nil"/>
              <w:tr2bl w:val="nil"/>
            </w:tcBorders>
            <w:vAlign w:val="center"/>
          </w:tcPr>
          <w:p w14:paraId="55715BAA">
            <w:pPr>
              <w:pStyle w:val="41"/>
              <w:rPr>
                <w:color w:val="auto"/>
                <w:highlight w:val="none"/>
              </w:rPr>
            </w:pPr>
            <w:r>
              <w:rPr>
                <w:color w:val="auto"/>
                <w:highlight w:val="none"/>
              </w:rPr>
              <w:t>SO2</w:t>
            </w:r>
          </w:p>
        </w:tc>
        <w:tc>
          <w:tcPr>
            <w:tcW w:w="773" w:type="pct"/>
            <w:tcBorders>
              <w:tl2br w:val="nil"/>
              <w:tr2bl w:val="nil"/>
            </w:tcBorders>
            <w:vAlign w:val="center"/>
          </w:tcPr>
          <w:p w14:paraId="78D67699">
            <w:pPr>
              <w:pStyle w:val="41"/>
              <w:rPr>
                <w:rFonts w:hint="eastAsia"/>
                <w:color w:val="auto"/>
                <w:highlight w:val="none"/>
                <w:lang w:eastAsia="zh-CN"/>
              </w:rPr>
            </w:pPr>
            <w:r>
              <w:rPr>
                <w:rFonts w:hint="eastAsia"/>
                <w:color w:val="auto"/>
                <w:highlight w:val="none"/>
                <w:lang w:eastAsia="zh-CN"/>
              </w:rPr>
              <w:t>脱硫效率下降</w:t>
            </w:r>
            <w:r>
              <w:rPr>
                <w:color w:val="auto"/>
                <w:highlight w:val="none"/>
              </w:rPr>
              <w:t>50%</w:t>
            </w:r>
          </w:p>
        </w:tc>
        <w:tc>
          <w:tcPr>
            <w:tcW w:w="1044" w:type="pct"/>
            <w:tcBorders>
              <w:tl2br w:val="nil"/>
              <w:tr2bl w:val="nil"/>
            </w:tcBorders>
            <w:vAlign w:val="center"/>
          </w:tcPr>
          <w:p w14:paraId="5690D6B9">
            <w:pPr>
              <w:pStyle w:val="41"/>
              <w:rPr>
                <w:color w:val="auto"/>
                <w:highlight w:val="none"/>
              </w:rPr>
            </w:pPr>
            <w:r>
              <w:rPr>
                <w:rFonts w:hint="eastAsia"/>
                <w:color w:val="auto"/>
                <w:highlight w:val="none"/>
                <w:lang w:val="en-US" w:eastAsia="zh-CN"/>
              </w:rPr>
              <w:t>1.836</w:t>
            </w:r>
          </w:p>
        </w:tc>
        <w:tc>
          <w:tcPr>
            <w:tcW w:w="927" w:type="pct"/>
            <w:tcBorders>
              <w:tl2br w:val="nil"/>
              <w:tr2bl w:val="nil"/>
            </w:tcBorders>
            <w:vAlign w:val="center"/>
          </w:tcPr>
          <w:p w14:paraId="0D8A5CE3">
            <w:pPr>
              <w:pStyle w:val="41"/>
              <w:rPr>
                <w:color w:val="auto"/>
                <w:highlight w:val="none"/>
              </w:rPr>
            </w:pPr>
            <w:r>
              <w:rPr>
                <w:rFonts w:hint="eastAsia"/>
                <w:color w:val="auto"/>
                <w:highlight w:val="none"/>
                <w:lang w:val="en-US" w:eastAsia="zh-CN"/>
              </w:rPr>
              <w:t>0.255</w:t>
            </w:r>
          </w:p>
        </w:tc>
        <w:tc>
          <w:tcPr>
            <w:tcW w:w="577" w:type="pct"/>
            <w:tcBorders>
              <w:tl2br w:val="nil"/>
              <w:tr2bl w:val="nil"/>
            </w:tcBorders>
            <w:vAlign w:val="center"/>
          </w:tcPr>
          <w:p w14:paraId="101A369A">
            <w:pPr>
              <w:pStyle w:val="41"/>
              <w:rPr>
                <w:color w:val="auto"/>
                <w:highlight w:val="none"/>
              </w:rPr>
            </w:pPr>
            <w:r>
              <w:rPr>
                <w:color w:val="auto"/>
                <w:highlight w:val="none"/>
              </w:rPr>
              <w:t>1</w:t>
            </w:r>
          </w:p>
        </w:tc>
        <w:tc>
          <w:tcPr>
            <w:tcW w:w="611" w:type="pct"/>
            <w:tcBorders>
              <w:tl2br w:val="nil"/>
              <w:tr2bl w:val="nil"/>
            </w:tcBorders>
            <w:vAlign w:val="center"/>
          </w:tcPr>
          <w:p w14:paraId="58AD6605">
            <w:pPr>
              <w:pStyle w:val="41"/>
              <w:rPr>
                <w:color w:val="auto"/>
                <w:highlight w:val="none"/>
              </w:rPr>
            </w:pPr>
            <w:r>
              <w:rPr>
                <w:color w:val="auto"/>
                <w:highlight w:val="none"/>
              </w:rPr>
              <w:t>1</w:t>
            </w:r>
          </w:p>
        </w:tc>
        <w:tc>
          <w:tcPr>
            <w:tcW w:w="447" w:type="pct"/>
            <w:vMerge w:val="continue"/>
            <w:tcBorders>
              <w:tl2br w:val="nil"/>
              <w:tr2bl w:val="nil"/>
            </w:tcBorders>
            <w:vAlign w:val="center"/>
          </w:tcPr>
          <w:p w14:paraId="0F2FB0E0">
            <w:pPr>
              <w:pStyle w:val="41"/>
              <w:rPr>
                <w:color w:val="auto"/>
                <w:highlight w:val="none"/>
              </w:rPr>
            </w:pPr>
          </w:p>
        </w:tc>
      </w:tr>
    </w:tbl>
    <w:p w14:paraId="4D70D9D2">
      <w:pPr>
        <w:pStyle w:val="3"/>
        <w:ind w:firstLine="480"/>
        <w:rPr>
          <w:color w:val="auto"/>
          <w:highlight w:val="none"/>
        </w:rPr>
      </w:pPr>
      <w:r>
        <w:rPr>
          <w:color w:val="auto"/>
          <w:highlight w:val="none"/>
        </w:rPr>
        <w:t>建设单位必须加强废气处理设施的管理，定期检修，确保废气处理设施正常运行，在废气处理设备停止运行或出现故障时，产生废气的各工序也必须相应停止生产。为杜绝废气非正常排放，应采取以下措施确保废气达标排放：</w:t>
      </w:r>
    </w:p>
    <w:p w14:paraId="7D61190A">
      <w:pPr>
        <w:pStyle w:val="3"/>
        <w:ind w:firstLine="480"/>
        <w:rPr>
          <w:color w:val="auto"/>
          <w:highlight w:val="none"/>
        </w:rPr>
      </w:pPr>
      <w:r>
        <w:rPr>
          <w:rFonts w:hint="eastAsia"/>
          <w:color w:val="auto"/>
          <w:highlight w:val="none"/>
          <w:lang w:eastAsia="zh-CN"/>
        </w:rPr>
        <w:t>①</w:t>
      </w:r>
      <w:r>
        <w:rPr>
          <w:color w:val="auto"/>
          <w:highlight w:val="none"/>
        </w:rPr>
        <w:t>安排专人负责环保设备的日常维护和管理，每隔固定时间检查、汇报情况，及时发现废气处理设备的隐患，确保废气处理系统正常运行；</w:t>
      </w:r>
    </w:p>
    <w:p w14:paraId="110A86FA">
      <w:pPr>
        <w:pStyle w:val="3"/>
        <w:ind w:firstLine="480"/>
        <w:rPr>
          <w:color w:val="auto"/>
          <w:highlight w:val="none"/>
        </w:rPr>
      </w:pPr>
      <w:r>
        <w:rPr>
          <w:rFonts w:hint="eastAsia"/>
          <w:color w:val="auto"/>
          <w:highlight w:val="none"/>
          <w:lang w:eastAsia="zh-CN"/>
        </w:rPr>
        <w:t>②</w:t>
      </w:r>
      <w:r>
        <w:rPr>
          <w:color w:val="auto"/>
          <w:highlight w:val="none"/>
        </w:rPr>
        <w:t>建立健全的环保管理机构，对环保管理人员和技术人员进行岗位培训，委托具有专业资质的环境检测单位对项目排放的各类污染物进行定期检测；</w:t>
      </w:r>
    </w:p>
    <w:p w14:paraId="5BE8DF7D">
      <w:pPr>
        <w:pStyle w:val="3"/>
        <w:ind w:firstLine="480"/>
        <w:rPr>
          <w:color w:val="auto"/>
          <w:highlight w:val="none"/>
        </w:rPr>
      </w:pPr>
      <w:r>
        <w:rPr>
          <w:rFonts w:hint="eastAsia"/>
          <w:color w:val="auto"/>
          <w:highlight w:val="none"/>
          <w:lang w:eastAsia="zh-CN"/>
        </w:rPr>
        <w:t>③</w:t>
      </w:r>
      <w:r>
        <w:rPr>
          <w:color w:val="auto"/>
          <w:highlight w:val="none"/>
        </w:rPr>
        <w:t>应定期维护、检修废气处理装置，以保持废气处理装置的净化能力。</w:t>
      </w:r>
    </w:p>
    <w:p w14:paraId="0FD2A0DF">
      <w:pPr>
        <w:pStyle w:val="3"/>
        <w:ind w:firstLine="480"/>
        <w:rPr>
          <w:color w:val="auto"/>
          <w:highlight w:val="none"/>
        </w:rPr>
      </w:pPr>
      <w:r>
        <w:rPr>
          <w:color w:val="auto"/>
          <w:highlight w:val="none"/>
        </w:rPr>
        <w:t>（2）废水</w:t>
      </w:r>
    </w:p>
    <w:p w14:paraId="1E72320D">
      <w:pPr>
        <w:pStyle w:val="3"/>
        <w:ind w:firstLine="480"/>
        <w:rPr>
          <w:color w:val="auto"/>
          <w:highlight w:val="none"/>
        </w:rPr>
      </w:pPr>
      <w:r>
        <w:rPr>
          <w:color w:val="auto"/>
          <w:highlight w:val="none"/>
        </w:rPr>
        <w:t>本项目水环境非正常工况主要发生地埋式污水处理装置故障，生活污水无法进行及时处理，可能对污水处理设施造成冲击。本项目在</w:t>
      </w:r>
      <w:r>
        <w:rPr>
          <w:rFonts w:hint="eastAsia"/>
          <w:color w:val="auto"/>
          <w:highlight w:val="none"/>
        </w:rPr>
        <w:t>选矿厂生产区</w:t>
      </w:r>
      <w:r>
        <w:rPr>
          <w:color w:val="auto"/>
          <w:highlight w:val="none"/>
        </w:rPr>
        <w:t>建</w:t>
      </w:r>
      <w:r>
        <w:rPr>
          <w:rFonts w:hint="eastAsia"/>
          <w:color w:val="auto"/>
          <w:highlight w:val="none"/>
        </w:rPr>
        <w:t>有</w:t>
      </w:r>
      <w:r>
        <w:rPr>
          <w:color w:val="auto"/>
          <w:highlight w:val="none"/>
        </w:rPr>
        <w:t>事故池，因此要求污水处理设施接入通往事故池的管线，在非正常工况情况下</w:t>
      </w:r>
      <w:r>
        <w:rPr>
          <w:rFonts w:hint="eastAsia"/>
          <w:color w:val="auto"/>
          <w:highlight w:val="none"/>
        </w:rPr>
        <w:t>，将</w:t>
      </w:r>
      <w:r>
        <w:rPr>
          <w:color w:val="auto"/>
          <w:highlight w:val="none"/>
        </w:rPr>
        <w:t>未经污水处理设施处理的废水排</w:t>
      </w:r>
      <w:r>
        <w:rPr>
          <w:rFonts w:hint="eastAsia"/>
          <w:color w:val="auto"/>
          <w:highlight w:val="none"/>
        </w:rPr>
        <w:t>入</w:t>
      </w:r>
      <w:r>
        <w:rPr>
          <w:color w:val="auto"/>
          <w:highlight w:val="none"/>
        </w:rPr>
        <w:t>事故池内，避免其对环境产生影响，待</w:t>
      </w:r>
      <w:r>
        <w:rPr>
          <w:rFonts w:hint="eastAsia"/>
          <w:color w:val="auto"/>
          <w:highlight w:val="none"/>
        </w:rPr>
        <w:t>生活</w:t>
      </w:r>
      <w:r>
        <w:rPr>
          <w:color w:val="auto"/>
          <w:highlight w:val="none"/>
        </w:rPr>
        <w:t>污水处理站正常运行后再逐</w:t>
      </w:r>
      <w:r>
        <w:rPr>
          <w:rFonts w:hint="eastAsia"/>
          <w:color w:val="auto"/>
          <w:highlight w:val="none"/>
        </w:rPr>
        <w:t>批次</w:t>
      </w:r>
      <w:r>
        <w:rPr>
          <w:color w:val="auto"/>
          <w:highlight w:val="none"/>
        </w:rPr>
        <w:t>处理。因此，在非正常工况下，</w:t>
      </w:r>
      <w:r>
        <w:rPr>
          <w:rFonts w:hint="eastAsia"/>
          <w:color w:val="auto"/>
          <w:highlight w:val="none"/>
        </w:rPr>
        <w:t>生活污水</w:t>
      </w:r>
      <w:r>
        <w:rPr>
          <w:color w:val="auto"/>
          <w:highlight w:val="none"/>
        </w:rPr>
        <w:t>也不会排入外环境，对区域环境影响很小。</w:t>
      </w:r>
    </w:p>
    <w:p w14:paraId="1DF6E88D">
      <w:pPr>
        <w:pStyle w:val="43"/>
        <w:rPr>
          <w:color w:val="auto"/>
          <w:highlight w:val="none"/>
        </w:rPr>
      </w:pPr>
      <w:r>
        <w:rPr>
          <w:color w:val="auto"/>
          <w:highlight w:val="none"/>
        </w:rPr>
        <w:t>污染源变化情况</w:t>
      </w:r>
    </w:p>
    <w:p w14:paraId="2D0E5C1F">
      <w:pPr>
        <w:ind w:firstLine="480"/>
        <w:rPr>
          <w:color w:val="auto"/>
          <w:highlight w:val="none"/>
        </w:rPr>
      </w:pPr>
      <w:r>
        <w:rPr>
          <w:color w:val="auto"/>
          <w:highlight w:val="none"/>
        </w:rPr>
        <w:t>由于本矿为改扩建工程项目，现状与改扩建后存在一定差异，各项污染物排放量变化情况见表</w:t>
      </w:r>
      <w:r>
        <w:rPr>
          <w:rFonts w:hint="eastAsia"/>
          <w:color w:val="auto"/>
          <w:highlight w:val="none"/>
        </w:rPr>
        <w:t>3.4-17</w:t>
      </w:r>
      <w:r>
        <w:rPr>
          <w:color w:val="auto"/>
          <w:highlight w:val="none"/>
        </w:rPr>
        <w:t>。</w:t>
      </w:r>
    </w:p>
    <w:p w14:paraId="68C51A61">
      <w:pPr>
        <w:pStyle w:val="57"/>
        <w:tabs>
          <w:tab w:val="left" w:pos="540"/>
          <w:tab w:val="left" w:pos="1080"/>
          <w:tab w:val="left" w:pos="1260"/>
          <w:tab w:val="left" w:pos="1440"/>
          <w:tab w:val="clear" w:pos="6840"/>
        </w:tabs>
        <w:rPr>
          <w:rFonts w:ascii="Times New Roman" w:hAnsi="Times New Roman" w:eastAsia="华文中宋"/>
          <w:color w:val="auto"/>
          <w:highlight w:val="none"/>
        </w:rPr>
      </w:pPr>
      <w:bookmarkStart w:id="316" w:name="_Ref535818976"/>
      <w:r>
        <w:rPr>
          <w:rFonts w:ascii="Times New Roman" w:hAnsi="Times New Roman" w:eastAsia="华文中宋"/>
          <w:color w:val="auto"/>
          <w:highlight w:val="none"/>
        </w:rPr>
        <w:t>表</w:t>
      </w:r>
      <w:bookmarkEnd w:id="316"/>
      <w:r>
        <w:rPr>
          <w:rFonts w:hint="eastAsia" w:ascii="Times New Roman" w:hAnsi="Times New Roman" w:eastAsia="华文中宋"/>
          <w:color w:val="auto"/>
          <w:highlight w:val="none"/>
        </w:rPr>
        <w:t>3.4-17</w:t>
      </w:r>
      <w:r>
        <w:rPr>
          <w:rFonts w:ascii="Times New Roman" w:hAnsi="Times New Roman" w:eastAsia="华文中宋"/>
          <w:color w:val="auto"/>
          <w:highlight w:val="none"/>
        </w:rPr>
        <w:t xml:space="preserve">      改扩建前后主要污染物</w:t>
      </w:r>
      <w:r>
        <w:rPr>
          <w:rFonts w:hint="eastAsia" w:ascii="Times New Roman" w:hAnsi="Times New Roman" w:eastAsia="华文中宋"/>
          <w:color w:val="auto"/>
          <w:highlight w:val="none"/>
        </w:rPr>
        <w:t>“</w:t>
      </w:r>
      <w:r>
        <w:rPr>
          <w:rFonts w:ascii="Times New Roman" w:hAnsi="Times New Roman" w:eastAsia="华文中宋"/>
          <w:color w:val="auto"/>
          <w:highlight w:val="none"/>
        </w:rPr>
        <w:t>三本账</w:t>
      </w:r>
      <w:r>
        <w:rPr>
          <w:rFonts w:hint="eastAsia" w:ascii="Times New Roman" w:hAnsi="Times New Roman" w:eastAsia="华文中宋"/>
          <w:color w:val="auto"/>
          <w:highlight w:val="none"/>
        </w:rPr>
        <w:t>”</w:t>
      </w:r>
      <w:r>
        <w:rPr>
          <w:rFonts w:ascii="Times New Roman" w:hAnsi="Times New Roman" w:eastAsia="华文中宋"/>
          <w:color w:val="auto"/>
          <w:highlight w:val="none"/>
        </w:rPr>
        <w:t>表</w:t>
      </w:r>
    </w:p>
    <w:tbl>
      <w:tblPr>
        <w:tblStyle w:val="25"/>
        <w:tblW w:w="8670"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034"/>
        <w:gridCol w:w="1034"/>
        <w:gridCol w:w="1061"/>
        <w:gridCol w:w="1064"/>
        <w:gridCol w:w="1060"/>
        <w:gridCol w:w="1091"/>
        <w:gridCol w:w="1060"/>
        <w:gridCol w:w="1266"/>
      </w:tblGrid>
      <w:tr w14:paraId="26785C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0" w:hRule="atLeast"/>
        </w:trPr>
        <w:tc>
          <w:tcPr>
            <w:tcW w:w="1080" w:type="dxa"/>
            <w:vMerge w:val="restart"/>
            <w:tcBorders>
              <w:tl2br w:val="nil"/>
              <w:tr2bl w:val="nil"/>
            </w:tcBorders>
            <w:shd w:val="clear" w:color="auto" w:fill="auto"/>
            <w:vAlign w:val="center"/>
          </w:tcPr>
          <w:p w14:paraId="003BD1AF">
            <w:pPr>
              <w:pStyle w:val="41"/>
              <w:bidi w:val="0"/>
              <w:rPr>
                <w:color w:val="auto"/>
                <w:highlight w:val="none"/>
              </w:rPr>
            </w:pPr>
            <w:r>
              <w:rPr>
                <w:rFonts w:hint="eastAsia"/>
                <w:color w:val="auto"/>
                <w:highlight w:val="none"/>
                <w:lang w:val="en-US" w:eastAsia="zh-CN"/>
              </w:rPr>
              <w:t>污染源类型</w:t>
            </w:r>
          </w:p>
        </w:tc>
        <w:tc>
          <w:tcPr>
            <w:tcW w:w="2160" w:type="dxa"/>
            <w:gridSpan w:val="2"/>
            <w:vMerge w:val="restart"/>
            <w:tcBorders>
              <w:tl2br w:val="nil"/>
              <w:tr2bl w:val="nil"/>
            </w:tcBorders>
            <w:shd w:val="clear" w:color="auto" w:fill="auto"/>
            <w:vAlign w:val="center"/>
          </w:tcPr>
          <w:p w14:paraId="7C82C5CF">
            <w:pPr>
              <w:pStyle w:val="41"/>
              <w:bidi w:val="0"/>
              <w:rPr>
                <w:rFonts w:hint="eastAsia"/>
                <w:color w:val="auto"/>
                <w:highlight w:val="none"/>
              </w:rPr>
            </w:pPr>
            <w:r>
              <w:rPr>
                <w:rFonts w:hint="eastAsia"/>
                <w:color w:val="auto"/>
                <w:highlight w:val="none"/>
                <w:lang w:val="en-US" w:eastAsia="zh-CN"/>
              </w:rPr>
              <w:t>污染物</w:t>
            </w:r>
          </w:p>
        </w:tc>
        <w:tc>
          <w:tcPr>
            <w:tcW w:w="5430" w:type="dxa"/>
            <w:gridSpan w:val="5"/>
            <w:tcBorders>
              <w:tl2br w:val="nil"/>
              <w:tr2bl w:val="nil"/>
            </w:tcBorders>
            <w:shd w:val="clear" w:color="auto" w:fill="auto"/>
            <w:vAlign w:val="center"/>
          </w:tcPr>
          <w:p w14:paraId="0A44D478">
            <w:pPr>
              <w:pStyle w:val="41"/>
              <w:bidi w:val="0"/>
              <w:rPr>
                <w:rFonts w:hint="eastAsia"/>
                <w:color w:val="auto"/>
                <w:highlight w:val="none"/>
              </w:rPr>
            </w:pPr>
            <w:r>
              <w:rPr>
                <w:rFonts w:hint="eastAsia"/>
                <w:color w:val="auto"/>
                <w:highlight w:val="none"/>
                <w:lang w:val="en-US" w:eastAsia="zh-CN"/>
              </w:rPr>
              <w:t>污染物排放量</w:t>
            </w:r>
          </w:p>
        </w:tc>
      </w:tr>
      <w:tr w14:paraId="305863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30" w:hRule="atLeast"/>
        </w:trPr>
        <w:tc>
          <w:tcPr>
            <w:tcW w:w="1080" w:type="dxa"/>
            <w:vMerge w:val="continue"/>
            <w:tcBorders>
              <w:tl2br w:val="nil"/>
              <w:tr2bl w:val="nil"/>
            </w:tcBorders>
            <w:shd w:val="clear" w:color="auto" w:fill="auto"/>
            <w:vAlign w:val="center"/>
          </w:tcPr>
          <w:p w14:paraId="73357852">
            <w:pPr>
              <w:pStyle w:val="41"/>
              <w:bidi w:val="0"/>
              <w:rPr>
                <w:rFonts w:hint="eastAsia"/>
                <w:color w:val="auto"/>
                <w:highlight w:val="none"/>
              </w:rPr>
            </w:pPr>
          </w:p>
        </w:tc>
        <w:tc>
          <w:tcPr>
            <w:tcW w:w="2160" w:type="dxa"/>
            <w:gridSpan w:val="2"/>
            <w:vMerge w:val="continue"/>
            <w:tcBorders>
              <w:tl2br w:val="nil"/>
              <w:tr2bl w:val="nil"/>
            </w:tcBorders>
            <w:shd w:val="clear" w:color="auto" w:fill="auto"/>
            <w:vAlign w:val="center"/>
          </w:tcPr>
          <w:p w14:paraId="3AD11813">
            <w:pPr>
              <w:pStyle w:val="41"/>
              <w:bidi w:val="0"/>
              <w:rPr>
                <w:rFonts w:hint="eastAsia"/>
                <w:color w:val="auto"/>
                <w:highlight w:val="none"/>
              </w:rPr>
            </w:pPr>
          </w:p>
        </w:tc>
        <w:tc>
          <w:tcPr>
            <w:tcW w:w="1080" w:type="dxa"/>
            <w:tcBorders>
              <w:tl2br w:val="nil"/>
              <w:tr2bl w:val="nil"/>
            </w:tcBorders>
            <w:shd w:val="clear" w:color="auto" w:fill="auto"/>
            <w:vAlign w:val="center"/>
          </w:tcPr>
          <w:p w14:paraId="55E209B4">
            <w:pPr>
              <w:pStyle w:val="41"/>
              <w:bidi w:val="0"/>
              <w:rPr>
                <w:rFonts w:hint="eastAsia"/>
                <w:color w:val="auto"/>
                <w:highlight w:val="none"/>
              </w:rPr>
            </w:pPr>
            <w:r>
              <w:rPr>
                <w:rFonts w:hint="eastAsia"/>
                <w:color w:val="auto"/>
                <w:highlight w:val="none"/>
                <w:lang w:val="en-US" w:eastAsia="zh-CN"/>
              </w:rPr>
              <w:t>现有工程排放量</w:t>
            </w:r>
            <w:r>
              <w:rPr>
                <w:rFonts w:hint="eastAsia"/>
                <w:color w:val="auto"/>
                <w:highlight w:val="none"/>
                <w:lang w:val="en-US" w:eastAsia="zh-CN"/>
              </w:rPr>
              <w:t>（</w:t>
            </w:r>
            <w:r>
              <w:rPr>
                <w:rFonts w:hint="default"/>
                <w:color w:val="auto"/>
                <w:highlight w:val="none"/>
                <w:lang w:val="en-US" w:eastAsia="zh-CN"/>
              </w:rPr>
              <w:t>t/a</w:t>
            </w:r>
            <w:r>
              <w:rPr>
                <w:rFonts w:hint="eastAsia"/>
                <w:color w:val="auto"/>
                <w:highlight w:val="none"/>
                <w:lang w:val="en-US" w:eastAsia="zh-CN"/>
              </w:rPr>
              <w:t>）</w:t>
            </w:r>
          </w:p>
        </w:tc>
        <w:tc>
          <w:tcPr>
            <w:tcW w:w="1080" w:type="dxa"/>
            <w:tcBorders>
              <w:tl2br w:val="nil"/>
              <w:tr2bl w:val="nil"/>
            </w:tcBorders>
            <w:shd w:val="clear" w:color="auto" w:fill="auto"/>
            <w:vAlign w:val="center"/>
          </w:tcPr>
          <w:p w14:paraId="7D9D17CA">
            <w:pPr>
              <w:pStyle w:val="41"/>
              <w:bidi w:val="0"/>
              <w:rPr>
                <w:rFonts w:hint="eastAsia"/>
                <w:color w:val="auto"/>
                <w:highlight w:val="none"/>
              </w:rPr>
            </w:pPr>
            <w:r>
              <w:rPr>
                <w:rFonts w:hint="eastAsia"/>
                <w:color w:val="auto"/>
                <w:highlight w:val="none"/>
                <w:lang w:val="en-US" w:eastAsia="zh-CN"/>
              </w:rPr>
              <w:t>改扩建工程排放量</w:t>
            </w:r>
          </w:p>
        </w:tc>
        <w:tc>
          <w:tcPr>
            <w:tcW w:w="1110" w:type="dxa"/>
            <w:tcBorders>
              <w:tl2br w:val="nil"/>
              <w:tr2bl w:val="nil"/>
            </w:tcBorders>
            <w:shd w:val="clear" w:color="auto" w:fill="auto"/>
            <w:vAlign w:val="center"/>
          </w:tcPr>
          <w:p w14:paraId="0871538C">
            <w:pPr>
              <w:pStyle w:val="41"/>
              <w:bidi w:val="0"/>
              <w:rPr>
                <w:rFonts w:hint="eastAsia"/>
                <w:color w:val="auto"/>
                <w:highlight w:val="none"/>
              </w:rPr>
            </w:pPr>
            <w:r>
              <w:rPr>
                <w:rFonts w:hint="eastAsia"/>
                <w:color w:val="auto"/>
                <w:highlight w:val="none"/>
                <w:lang w:val="en-US" w:eastAsia="zh-CN"/>
              </w:rPr>
              <w:t>以新带老</w:t>
            </w:r>
            <w:r>
              <w:rPr>
                <w:rFonts w:hint="eastAsia"/>
                <w:color w:val="auto"/>
                <w:highlight w:val="none"/>
                <w:lang w:val="en-US" w:eastAsia="zh-CN"/>
              </w:rPr>
              <w:t>削</w:t>
            </w:r>
            <w:r>
              <w:rPr>
                <w:rFonts w:hint="eastAsia"/>
                <w:color w:val="auto"/>
                <w:highlight w:val="none"/>
                <w:lang w:val="en-US" w:eastAsia="zh-CN"/>
              </w:rPr>
              <w:t>减量</w:t>
            </w:r>
            <w:r>
              <w:rPr>
                <w:rFonts w:hint="eastAsia"/>
                <w:color w:val="auto"/>
                <w:highlight w:val="none"/>
                <w:lang w:val="en-US" w:eastAsia="zh-CN"/>
              </w:rPr>
              <w:t>（</w:t>
            </w:r>
            <w:r>
              <w:rPr>
                <w:rFonts w:hint="default"/>
                <w:color w:val="auto"/>
                <w:highlight w:val="none"/>
                <w:lang w:val="en-US" w:eastAsia="zh-CN"/>
              </w:rPr>
              <w:t>t/a</w:t>
            </w:r>
            <w:r>
              <w:rPr>
                <w:rFonts w:hint="eastAsia"/>
                <w:color w:val="auto"/>
                <w:highlight w:val="none"/>
                <w:lang w:val="en-US" w:eastAsia="zh-CN"/>
              </w:rPr>
              <w:t>）</w:t>
            </w:r>
          </w:p>
        </w:tc>
        <w:tc>
          <w:tcPr>
            <w:tcW w:w="1080" w:type="dxa"/>
            <w:tcBorders>
              <w:tl2br w:val="nil"/>
              <w:tr2bl w:val="nil"/>
            </w:tcBorders>
            <w:shd w:val="clear" w:color="auto" w:fill="auto"/>
            <w:vAlign w:val="center"/>
          </w:tcPr>
          <w:p w14:paraId="6FE18588">
            <w:pPr>
              <w:pStyle w:val="41"/>
              <w:bidi w:val="0"/>
              <w:rPr>
                <w:rFonts w:hint="eastAsia"/>
                <w:color w:val="auto"/>
                <w:highlight w:val="none"/>
              </w:rPr>
            </w:pPr>
            <w:r>
              <w:rPr>
                <w:rFonts w:hint="eastAsia"/>
                <w:color w:val="auto"/>
                <w:highlight w:val="none"/>
                <w:lang w:val="en-US" w:eastAsia="zh-CN"/>
              </w:rPr>
              <w:t>本工程最终排放量</w:t>
            </w:r>
          </w:p>
        </w:tc>
        <w:tc>
          <w:tcPr>
            <w:tcW w:w="1080" w:type="dxa"/>
            <w:tcBorders>
              <w:tl2br w:val="nil"/>
              <w:tr2bl w:val="nil"/>
            </w:tcBorders>
            <w:shd w:val="clear" w:color="auto" w:fill="auto"/>
            <w:vAlign w:val="center"/>
          </w:tcPr>
          <w:p w14:paraId="680F2D32">
            <w:pPr>
              <w:pStyle w:val="41"/>
              <w:bidi w:val="0"/>
              <w:rPr>
                <w:rFonts w:hint="eastAsia"/>
                <w:color w:val="auto"/>
                <w:highlight w:val="none"/>
              </w:rPr>
            </w:pPr>
            <w:r>
              <w:rPr>
                <w:rFonts w:hint="eastAsia"/>
                <w:color w:val="auto"/>
                <w:highlight w:val="none"/>
                <w:lang w:val="en-US" w:eastAsia="zh-CN"/>
              </w:rPr>
              <w:t>排放增减量</w:t>
            </w:r>
            <w:r>
              <w:rPr>
                <w:rFonts w:hint="eastAsia"/>
                <w:color w:val="auto"/>
                <w:highlight w:val="none"/>
                <w:lang w:val="en-US" w:eastAsia="zh-CN"/>
              </w:rPr>
              <w:t>（</w:t>
            </w:r>
            <w:r>
              <w:rPr>
                <w:rFonts w:hint="default"/>
                <w:color w:val="auto"/>
                <w:highlight w:val="none"/>
                <w:lang w:val="en-US" w:eastAsia="zh-CN"/>
              </w:rPr>
              <w:t>t/a</w:t>
            </w:r>
            <w:r>
              <w:rPr>
                <w:rFonts w:hint="eastAsia"/>
                <w:color w:val="auto"/>
                <w:highlight w:val="none"/>
                <w:lang w:val="en-US" w:eastAsia="zh-CN"/>
              </w:rPr>
              <w:t>）</w:t>
            </w:r>
          </w:p>
        </w:tc>
      </w:tr>
      <w:tr w14:paraId="2718A8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080" w:type="dxa"/>
            <w:vMerge w:val="restart"/>
            <w:tcBorders>
              <w:tl2br w:val="nil"/>
              <w:tr2bl w:val="nil"/>
            </w:tcBorders>
            <w:shd w:val="clear" w:color="auto" w:fill="auto"/>
            <w:vAlign w:val="center"/>
          </w:tcPr>
          <w:p w14:paraId="6B9D2D2D">
            <w:pPr>
              <w:pStyle w:val="41"/>
              <w:bidi w:val="0"/>
              <w:rPr>
                <w:rFonts w:hint="eastAsia"/>
                <w:color w:val="auto"/>
                <w:highlight w:val="none"/>
                <w:lang w:val="en-US" w:eastAsia="zh-CN"/>
              </w:rPr>
            </w:pPr>
            <w:r>
              <w:rPr>
                <w:rFonts w:hint="eastAsia"/>
                <w:color w:val="auto"/>
                <w:highlight w:val="none"/>
                <w:lang w:val="en-US" w:eastAsia="zh-CN"/>
              </w:rPr>
              <w:t>大气</w:t>
            </w:r>
          </w:p>
          <w:p w14:paraId="61DAD45F">
            <w:pPr>
              <w:pStyle w:val="41"/>
              <w:bidi w:val="0"/>
              <w:rPr>
                <w:rFonts w:hint="eastAsia"/>
                <w:color w:val="auto"/>
                <w:highlight w:val="none"/>
              </w:rPr>
            </w:pPr>
            <w:r>
              <w:rPr>
                <w:rFonts w:hint="eastAsia"/>
                <w:color w:val="auto"/>
                <w:highlight w:val="none"/>
                <w:lang w:val="en-US" w:eastAsia="zh-CN"/>
              </w:rPr>
              <w:t>污染源</w:t>
            </w:r>
          </w:p>
        </w:tc>
        <w:tc>
          <w:tcPr>
            <w:tcW w:w="2160" w:type="dxa"/>
            <w:gridSpan w:val="2"/>
            <w:tcBorders>
              <w:tl2br w:val="nil"/>
              <w:tr2bl w:val="nil"/>
            </w:tcBorders>
            <w:shd w:val="clear" w:color="auto" w:fill="auto"/>
            <w:vAlign w:val="center"/>
          </w:tcPr>
          <w:p w14:paraId="0F78E344">
            <w:pPr>
              <w:pStyle w:val="41"/>
              <w:bidi w:val="0"/>
              <w:rPr>
                <w:rFonts w:hint="default"/>
                <w:color w:val="auto"/>
                <w:highlight w:val="none"/>
              </w:rPr>
            </w:pPr>
            <w:r>
              <w:rPr>
                <w:rFonts w:hint="default"/>
                <w:color w:val="auto"/>
                <w:highlight w:val="none"/>
                <w:lang w:val="en-US" w:eastAsia="zh-CN"/>
              </w:rPr>
              <w:t>TSP</w:t>
            </w:r>
          </w:p>
        </w:tc>
        <w:tc>
          <w:tcPr>
            <w:tcW w:w="1080" w:type="dxa"/>
            <w:tcBorders>
              <w:tl2br w:val="nil"/>
              <w:tr2bl w:val="nil"/>
            </w:tcBorders>
            <w:shd w:val="clear" w:color="auto" w:fill="auto"/>
            <w:vAlign w:val="center"/>
          </w:tcPr>
          <w:p w14:paraId="6505447A">
            <w:pPr>
              <w:pStyle w:val="41"/>
              <w:bidi w:val="0"/>
              <w:rPr>
                <w:rFonts w:hint="default"/>
                <w:color w:val="auto"/>
                <w:highlight w:val="none"/>
                <w:lang w:val="en-US"/>
              </w:rPr>
            </w:pPr>
            <w:r>
              <w:rPr>
                <w:rFonts w:hint="eastAsia"/>
                <w:color w:val="auto"/>
                <w:highlight w:val="none"/>
                <w:lang w:val="en-US" w:eastAsia="zh-CN"/>
              </w:rPr>
              <w:t>0.13</w:t>
            </w:r>
          </w:p>
        </w:tc>
        <w:tc>
          <w:tcPr>
            <w:tcW w:w="1080" w:type="dxa"/>
            <w:tcBorders>
              <w:tl2br w:val="nil"/>
              <w:tr2bl w:val="nil"/>
            </w:tcBorders>
            <w:shd w:val="clear" w:color="auto" w:fill="auto"/>
            <w:vAlign w:val="center"/>
          </w:tcPr>
          <w:p w14:paraId="33C5C9C6">
            <w:pPr>
              <w:pStyle w:val="41"/>
              <w:bidi w:val="0"/>
              <w:rPr>
                <w:rFonts w:hint="default"/>
                <w:color w:val="auto"/>
                <w:highlight w:val="none"/>
                <w:lang w:val="en-US"/>
              </w:rPr>
            </w:pPr>
            <w:r>
              <w:rPr>
                <w:rFonts w:hint="eastAsia"/>
                <w:color w:val="auto"/>
                <w:highlight w:val="none"/>
                <w:lang w:val="en-US" w:eastAsia="zh-CN"/>
              </w:rPr>
              <w:t>0.9789</w:t>
            </w:r>
          </w:p>
        </w:tc>
        <w:tc>
          <w:tcPr>
            <w:tcW w:w="1110" w:type="dxa"/>
            <w:tcBorders>
              <w:tl2br w:val="nil"/>
              <w:tr2bl w:val="nil"/>
            </w:tcBorders>
            <w:shd w:val="clear" w:color="auto" w:fill="auto"/>
            <w:vAlign w:val="center"/>
          </w:tcPr>
          <w:p w14:paraId="2EFFDEE5">
            <w:pPr>
              <w:pStyle w:val="41"/>
              <w:bidi w:val="0"/>
              <w:rPr>
                <w:rFonts w:hint="default"/>
                <w:color w:val="auto"/>
                <w:highlight w:val="none"/>
              </w:rPr>
            </w:pPr>
            <w:r>
              <w:rPr>
                <w:rFonts w:hint="default"/>
                <w:color w:val="auto"/>
                <w:highlight w:val="none"/>
                <w:lang w:val="en-US" w:eastAsia="zh-CN"/>
              </w:rPr>
              <w:t>--</w:t>
            </w:r>
          </w:p>
        </w:tc>
        <w:tc>
          <w:tcPr>
            <w:tcW w:w="1080" w:type="dxa"/>
            <w:tcBorders>
              <w:tl2br w:val="nil"/>
              <w:tr2bl w:val="nil"/>
            </w:tcBorders>
            <w:shd w:val="clear" w:color="auto" w:fill="auto"/>
            <w:vAlign w:val="center"/>
          </w:tcPr>
          <w:p w14:paraId="63E95ABD">
            <w:pPr>
              <w:pStyle w:val="41"/>
              <w:bidi w:val="0"/>
              <w:rPr>
                <w:rFonts w:hint="default"/>
                <w:color w:val="auto"/>
                <w:highlight w:val="none"/>
                <w:lang w:val="en-US"/>
              </w:rPr>
            </w:pPr>
            <w:r>
              <w:rPr>
                <w:rFonts w:hint="eastAsia"/>
                <w:color w:val="auto"/>
                <w:highlight w:val="none"/>
                <w:lang w:val="en-US" w:eastAsia="zh-CN"/>
              </w:rPr>
              <w:t>0.9789</w:t>
            </w:r>
          </w:p>
        </w:tc>
        <w:tc>
          <w:tcPr>
            <w:tcW w:w="1080" w:type="dxa"/>
            <w:tcBorders>
              <w:tl2br w:val="nil"/>
              <w:tr2bl w:val="nil"/>
            </w:tcBorders>
            <w:shd w:val="clear" w:color="auto" w:fill="auto"/>
            <w:vAlign w:val="center"/>
          </w:tcPr>
          <w:p w14:paraId="4E2BAFD0">
            <w:pPr>
              <w:pStyle w:val="41"/>
              <w:bidi w:val="0"/>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w:t>
            </w:r>
            <w:r>
              <w:rPr>
                <w:rFonts w:hint="eastAsia"/>
                <w:color w:val="auto"/>
                <w:highlight w:val="none"/>
                <w:lang w:val="en-US" w:eastAsia="zh-CN"/>
              </w:rPr>
              <w:t>0.8489</w:t>
            </w:r>
          </w:p>
        </w:tc>
      </w:tr>
      <w:tr w14:paraId="27B653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080" w:type="dxa"/>
            <w:vMerge w:val="continue"/>
            <w:tcBorders>
              <w:tl2br w:val="nil"/>
              <w:tr2bl w:val="nil"/>
            </w:tcBorders>
            <w:shd w:val="clear" w:color="auto" w:fill="auto"/>
            <w:vAlign w:val="center"/>
          </w:tcPr>
          <w:p w14:paraId="03113244">
            <w:pPr>
              <w:pStyle w:val="41"/>
              <w:bidi w:val="0"/>
              <w:rPr>
                <w:rFonts w:hint="eastAsia"/>
                <w:color w:val="auto"/>
                <w:highlight w:val="none"/>
              </w:rPr>
            </w:pPr>
          </w:p>
        </w:tc>
        <w:tc>
          <w:tcPr>
            <w:tcW w:w="2160" w:type="dxa"/>
            <w:gridSpan w:val="2"/>
            <w:tcBorders>
              <w:tl2br w:val="nil"/>
              <w:tr2bl w:val="nil"/>
            </w:tcBorders>
            <w:shd w:val="clear" w:color="auto" w:fill="auto"/>
            <w:vAlign w:val="center"/>
          </w:tcPr>
          <w:p w14:paraId="01C628A4">
            <w:pPr>
              <w:pStyle w:val="41"/>
              <w:bidi w:val="0"/>
              <w:rPr>
                <w:rFonts w:hint="eastAsia"/>
                <w:color w:val="auto"/>
                <w:highlight w:val="none"/>
              </w:rPr>
            </w:pPr>
            <w:r>
              <w:rPr>
                <w:rFonts w:hint="eastAsia"/>
                <w:color w:val="auto"/>
                <w:highlight w:val="none"/>
                <w:lang w:val="en-US" w:eastAsia="zh-CN"/>
              </w:rPr>
              <w:t>颗粒物</w:t>
            </w:r>
          </w:p>
        </w:tc>
        <w:tc>
          <w:tcPr>
            <w:tcW w:w="1080" w:type="dxa"/>
            <w:tcBorders>
              <w:tl2br w:val="nil"/>
              <w:tr2bl w:val="nil"/>
            </w:tcBorders>
            <w:shd w:val="clear" w:color="auto" w:fill="auto"/>
            <w:vAlign w:val="center"/>
          </w:tcPr>
          <w:p w14:paraId="31AE3B0C">
            <w:pPr>
              <w:pStyle w:val="41"/>
              <w:bidi w:val="0"/>
              <w:rPr>
                <w:rFonts w:hint="default"/>
                <w:color w:val="auto"/>
                <w:highlight w:val="none"/>
              </w:rPr>
            </w:pPr>
            <w:r>
              <w:rPr>
                <w:rFonts w:hint="default"/>
                <w:color w:val="auto"/>
                <w:highlight w:val="none"/>
                <w:lang w:val="en-US" w:eastAsia="zh-CN"/>
              </w:rPr>
              <w:t>3.07</w:t>
            </w:r>
          </w:p>
        </w:tc>
        <w:tc>
          <w:tcPr>
            <w:tcW w:w="1080" w:type="dxa"/>
            <w:tcBorders>
              <w:tl2br w:val="nil"/>
              <w:tr2bl w:val="nil"/>
            </w:tcBorders>
            <w:shd w:val="clear" w:color="auto" w:fill="auto"/>
            <w:vAlign w:val="center"/>
          </w:tcPr>
          <w:p w14:paraId="2EB2AAF2">
            <w:pPr>
              <w:pStyle w:val="41"/>
              <w:bidi w:val="0"/>
              <w:rPr>
                <w:rFonts w:hint="default"/>
                <w:color w:val="auto"/>
                <w:highlight w:val="none"/>
              </w:rPr>
            </w:pPr>
            <w:r>
              <w:rPr>
                <w:rFonts w:hint="default"/>
                <w:color w:val="auto"/>
                <w:highlight w:val="none"/>
                <w:lang w:val="en-US" w:eastAsia="zh-CN"/>
              </w:rPr>
              <w:t>0.0135</w:t>
            </w:r>
          </w:p>
        </w:tc>
        <w:tc>
          <w:tcPr>
            <w:tcW w:w="1110" w:type="dxa"/>
            <w:tcBorders>
              <w:tl2br w:val="nil"/>
              <w:tr2bl w:val="nil"/>
            </w:tcBorders>
            <w:shd w:val="clear" w:color="auto" w:fill="auto"/>
            <w:vAlign w:val="center"/>
          </w:tcPr>
          <w:p w14:paraId="1EFFBD91">
            <w:pPr>
              <w:pStyle w:val="41"/>
              <w:bidi w:val="0"/>
              <w:rPr>
                <w:rFonts w:hint="eastAsia"/>
                <w:color w:val="auto"/>
                <w:highlight w:val="none"/>
              </w:rPr>
            </w:pPr>
            <w:r>
              <w:rPr>
                <w:rFonts w:hint="eastAsia"/>
                <w:color w:val="auto"/>
                <w:highlight w:val="none"/>
                <w:lang w:val="en-US" w:eastAsia="zh-CN"/>
              </w:rPr>
              <w:t>3.0565</w:t>
            </w:r>
          </w:p>
        </w:tc>
        <w:tc>
          <w:tcPr>
            <w:tcW w:w="1080" w:type="dxa"/>
            <w:tcBorders>
              <w:tl2br w:val="nil"/>
              <w:tr2bl w:val="nil"/>
            </w:tcBorders>
            <w:shd w:val="clear" w:color="auto" w:fill="auto"/>
            <w:vAlign w:val="center"/>
          </w:tcPr>
          <w:p w14:paraId="3BF98FFF">
            <w:pPr>
              <w:pStyle w:val="41"/>
              <w:bidi w:val="0"/>
              <w:rPr>
                <w:rFonts w:hint="default"/>
                <w:color w:val="auto"/>
                <w:highlight w:val="none"/>
              </w:rPr>
            </w:pPr>
            <w:r>
              <w:rPr>
                <w:rFonts w:hint="default"/>
                <w:color w:val="auto"/>
                <w:highlight w:val="none"/>
                <w:lang w:val="en-US" w:eastAsia="zh-CN"/>
              </w:rPr>
              <w:t>0.0135</w:t>
            </w:r>
          </w:p>
        </w:tc>
        <w:tc>
          <w:tcPr>
            <w:tcW w:w="1080" w:type="dxa"/>
            <w:tcBorders>
              <w:tl2br w:val="nil"/>
              <w:tr2bl w:val="nil"/>
            </w:tcBorders>
            <w:shd w:val="clear" w:color="auto" w:fill="auto"/>
            <w:vAlign w:val="center"/>
          </w:tcPr>
          <w:p w14:paraId="02C46756">
            <w:pPr>
              <w:pStyle w:val="41"/>
              <w:bidi w:val="0"/>
              <w:rPr>
                <w:rFonts w:hint="default" w:ascii="Times New Roman" w:hAnsi="Times New Roman"/>
                <w:color w:val="auto"/>
                <w:highlight w:val="none"/>
                <w:lang w:val="en-US" w:eastAsia="zh-CN"/>
              </w:rPr>
            </w:pPr>
            <w:r>
              <w:rPr>
                <w:rFonts w:hint="default" w:ascii="Times New Roman" w:hAnsi="Times New Roman"/>
                <w:color w:val="auto"/>
                <w:highlight w:val="none"/>
                <w:lang w:val="en-US" w:eastAsia="zh-CN"/>
              </w:rPr>
              <w:t>-3.0565</w:t>
            </w:r>
          </w:p>
        </w:tc>
      </w:tr>
      <w:tr w14:paraId="1C6040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080" w:type="dxa"/>
            <w:vMerge w:val="continue"/>
            <w:tcBorders>
              <w:tl2br w:val="nil"/>
              <w:tr2bl w:val="nil"/>
            </w:tcBorders>
            <w:shd w:val="clear" w:color="auto" w:fill="auto"/>
            <w:noWrap/>
            <w:vAlign w:val="center"/>
          </w:tcPr>
          <w:p w14:paraId="1D574372">
            <w:pPr>
              <w:pStyle w:val="41"/>
              <w:bidi w:val="0"/>
              <w:rPr>
                <w:rFonts w:hint="eastAsia"/>
                <w:color w:val="auto"/>
                <w:highlight w:val="none"/>
              </w:rPr>
            </w:pPr>
          </w:p>
        </w:tc>
        <w:tc>
          <w:tcPr>
            <w:tcW w:w="2160" w:type="dxa"/>
            <w:gridSpan w:val="2"/>
            <w:tcBorders>
              <w:tl2br w:val="nil"/>
              <w:tr2bl w:val="nil"/>
            </w:tcBorders>
            <w:shd w:val="clear" w:color="auto" w:fill="auto"/>
            <w:vAlign w:val="center"/>
          </w:tcPr>
          <w:p w14:paraId="1A8E2A24">
            <w:pPr>
              <w:pStyle w:val="41"/>
              <w:bidi w:val="0"/>
              <w:rPr>
                <w:rFonts w:hint="default"/>
                <w:color w:val="auto"/>
                <w:highlight w:val="none"/>
              </w:rPr>
            </w:pPr>
            <w:r>
              <w:rPr>
                <w:rFonts w:hint="default"/>
                <w:color w:val="auto"/>
                <w:highlight w:val="none"/>
                <w:lang w:val="en-US" w:eastAsia="zh-CN"/>
              </w:rPr>
              <w:t>SO</w:t>
            </w:r>
            <w:r>
              <w:rPr>
                <w:rFonts w:hint="default"/>
                <w:color w:val="auto"/>
                <w:highlight w:val="none"/>
                <w:vertAlign w:val="subscript"/>
                <w:lang w:val="en-US" w:eastAsia="zh-CN"/>
              </w:rPr>
              <w:t>2</w:t>
            </w:r>
          </w:p>
        </w:tc>
        <w:tc>
          <w:tcPr>
            <w:tcW w:w="1080" w:type="dxa"/>
            <w:tcBorders>
              <w:tl2br w:val="nil"/>
              <w:tr2bl w:val="nil"/>
            </w:tcBorders>
            <w:shd w:val="clear" w:color="auto" w:fill="auto"/>
            <w:vAlign w:val="center"/>
          </w:tcPr>
          <w:p w14:paraId="76F5F9E8">
            <w:pPr>
              <w:pStyle w:val="41"/>
              <w:bidi w:val="0"/>
              <w:rPr>
                <w:rFonts w:hint="default"/>
                <w:color w:val="auto"/>
                <w:highlight w:val="none"/>
              </w:rPr>
            </w:pPr>
            <w:r>
              <w:rPr>
                <w:rFonts w:hint="default"/>
                <w:color w:val="auto"/>
                <w:highlight w:val="none"/>
                <w:lang w:val="en-US" w:eastAsia="zh-CN"/>
              </w:rPr>
              <w:t>7.7</w:t>
            </w:r>
          </w:p>
        </w:tc>
        <w:tc>
          <w:tcPr>
            <w:tcW w:w="1080" w:type="dxa"/>
            <w:tcBorders>
              <w:tl2br w:val="nil"/>
              <w:tr2bl w:val="nil"/>
            </w:tcBorders>
            <w:shd w:val="clear" w:color="auto" w:fill="auto"/>
            <w:vAlign w:val="center"/>
          </w:tcPr>
          <w:p w14:paraId="4DC454FD">
            <w:pPr>
              <w:pStyle w:val="41"/>
              <w:bidi w:val="0"/>
              <w:rPr>
                <w:rFonts w:hint="default"/>
                <w:color w:val="auto"/>
                <w:highlight w:val="none"/>
              </w:rPr>
            </w:pPr>
            <w:r>
              <w:rPr>
                <w:rFonts w:hint="default"/>
                <w:color w:val="auto"/>
                <w:highlight w:val="none"/>
                <w:lang w:val="en-US" w:eastAsia="zh-CN"/>
              </w:rPr>
              <w:t>0.918</w:t>
            </w:r>
          </w:p>
        </w:tc>
        <w:tc>
          <w:tcPr>
            <w:tcW w:w="1110" w:type="dxa"/>
            <w:tcBorders>
              <w:tl2br w:val="nil"/>
              <w:tr2bl w:val="nil"/>
            </w:tcBorders>
            <w:shd w:val="clear" w:color="auto" w:fill="auto"/>
            <w:vAlign w:val="center"/>
          </w:tcPr>
          <w:p w14:paraId="32B1E334">
            <w:pPr>
              <w:pStyle w:val="41"/>
              <w:bidi w:val="0"/>
              <w:rPr>
                <w:rFonts w:hint="eastAsia"/>
                <w:color w:val="auto"/>
                <w:highlight w:val="none"/>
              </w:rPr>
            </w:pPr>
            <w:r>
              <w:rPr>
                <w:rFonts w:hint="eastAsia"/>
                <w:color w:val="auto"/>
                <w:highlight w:val="none"/>
                <w:lang w:val="en-US" w:eastAsia="zh-CN"/>
              </w:rPr>
              <w:t>6.782</w:t>
            </w:r>
          </w:p>
        </w:tc>
        <w:tc>
          <w:tcPr>
            <w:tcW w:w="1080" w:type="dxa"/>
            <w:tcBorders>
              <w:tl2br w:val="nil"/>
              <w:tr2bl w:val="nil"/>
            </w:tcBorders>
            <w:shd w:val="clear" w:color="auto" w:fill="auto"/>
            <w:vAlign w:val="center"/>
          </w:tcPr>
          <w:p w14:paraId="03153D82">
            <w:pPr>
              <w:pStyle w:val="41"/>
              <w:bidi w:val="0"/>
              <w:rPr>
                <w:rFonts w:hint="default"/>
                <w:color w:val="auto"/>
                <w:highlight w:val="none"/>
              </w:rPr>
            </w:pPr>
            <w:r>
              <w:rPr>
                <w:rFonts w:hint="default"/>
                <w:color w:val="auto"/>
                <w:highlight w:val="none"/>
                <w:lang w:val="en-US" w:eastAsia="zh-CN"/>
              </w:rPr>
              <w:t>0.918</w:t>
            </w:r>
          </w:p>
        </w:tc>
        <w:tc>
          <w:tcPr>
            <w:tcW w:w="1080" w:type="dxa"/>
            <w:tcBorders>
              <w:tl2br w:val="nil"/>
              <w:tr2bl w:val="nil"/>
            </w:tcBorders>
            <w:shd w:val="clear" w:color="auto" w:fill="auto"/>
            <w:vAlign w:val="center"/>
          </w:tcPr>
          <w:p w14:paraId="16A25F9A">
            <w:pPr>
              <w:pStyle w:val="41"/>
              <w:bidi w:val="0"/>
              <w:rPr>
                <w:rFonts w:hint="default" w:ascii="Times New Roman" w:hAnsi="Times New Roman"/>
                <w:color w:val="auto"/>
                <w:highlight w:val="none"/>
                <w:lang w:val="en-US" w:eastAsia="zh-CN"/>
              </w:rPr>
            </w:pPr>
            <w:r>
              <w:rPr>
                <w:rFonts w:hint="default" w:ascii="Times New Roman" w:hAnsi="Times New Roman"/>
                <w:color w:val="auto"/>
                <w:highlight w:val="none"/>
                <w:lang w:val="en-US" w:eastAsia="zh-CN"/>
              </w:rPr>
              <w:t>-6.782</w:t>
            </w:r>
          </w:p>
        </w:tc>
      </w:tr>
      <w:tr w14:paraId="20F604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080" w:type="dxa"/>
            <w:vMerge w:val="continue"/>
            <w:tcBorders>
              <w:tl2br w:val="nil"/>
              <w:tr2bl w:val="nil"/>
            </w:tcBorders>
            <w:shd w:val="clear" w:color="auto" w:fill="auto"/>
            <w:noWrap/>
            <w:vAlign w:val="center"/>
          </w:tcPr>
          <w:p w14:paraId="7423E25D">
            <w:pPr>
              <w:pStyle w:val="41"/>
              <w:bidi w:val="0"/>
              <w:rPr>
                <w:rFonts w:hint="eastAsia"/>
                <w:color w:val="auto"/>
                <w:highlight w:val="none"/>
              </w:rPr>
            </w:pPr>
          </w:p>
        </w:tc>
        <w:tc>
          <w:tcPr>
            <w:tcW w:w="2160" w:type="dxa"/>
            <w:gridSpan w:val="2"/>
            <w:tcBorders>
              <w:tl2br w:val="nil"/>
              <w:tr2bl w:val="nil"/>
            </w:tcBorders>
            <w:shd w:val="clear" w:color="auto" w:fill="auto"/>
            <w:vAlign w:val="center"/>
          </w:tcPr>
          <w:p w14:paraId="350FD21B">
            <w:pPr>
              <w:pStyle w:val="41"/>
              <w:bidi w:val="0"/>
              <w:rPr>
                <w:rFonts w:hint="default"/>
                <w:color w:val="auto"/>
                <w:highlight w:val="none"/>
              </w:rPr>
            </w:pPr>
            <w:r>
              <w:rPr>
                <w:rFonts w:hint="default"/>
                <w:color w:val="auto"/>
                <w:highlight w:val="none"/>
                <w:lang w:val="en-US" w:eastAsia="zh-CN"/>
              </w:rPr>
              <w:t>NO</w:t>
            </w:r>
            <w:r>
              <w:rPr>
                <w:rFonts w:hint="default"/>
                <w:color w:val="auto"/>
                <w:highlight w:val="none"/>
                <w:vertAlign w:val="subscript"/>
                <w:lang w:val="en-US" w:eastAsia="zh-CN"/>
              </w:rPr>
              <w:t>X</w:t>
            </w:r>
          </w:p>
        </w:tc>
        <w:tc>
          <w:tcPr>
            <w:tcW w:w="1080" w:type="dxa"/>
            <w:tcBorders>
              <w:tl2br w:val="nil"/>
              <w:tr2bl w:val="nil"/>
            </w:tcBorders>
            <w:shd w:val="clear" w:color="auto" w:fill="auto"/>
            <w:vAlign w:val="center"/>
          </w:tcPr>
          <w:p w14:paraId="1FF7439A">
            <w:pPr>
              <w:pStyle w:val="41"/>
              <w:bidi w:val="0"/>
              <w:rPr>
                <w:rFonts w:hint="default"/>
                <w:color w:val="auto"/>
                <w:highlight w:val="none"/>
              </w:rPr>
            </w:pPr>
            <w:r>
              <w:rPr>
                <w:rFonts w:hint="default"/>
                <w:color w:val="auto"/>
                <w:highlight w:val="none"/>
                <w:lang w:val="en-US" w:eastAsia="zh-CN"/>
              </w:rPr>
              <w:t>5.53</w:t>
            </w:r>
          </w:p>
        </w:tc>
        <w:tc>
          <w:tcPr>
            <w:tcW w:w="1080" w:type="dxa"/>
            <w:tcBorders>
              <w:tl2br w:val="nil"/>
              <w:tr2bl w:val="nil"/>
            </w:tcBorders>
            <w:shd w:val="clear" w:color="auto" w:fill="auto"/>
            <w:vAlign w:val="center"/>
          </w:tcPr>
          <w:p w14:paraId="7B10E489">
            <w:pPr>
              <w:pStyle w:val="41"/>
              <w:bidi w:val="0"/>
              <w:rPr>
                <w:rFonts w:hint="default"/>
                <w:color w:val="auto"/>
                <w:highlight w:val="none"/>
              </w:rPr>
            </w:pPr>
            <w:r>
              <w:rPr>
                <w:rFonts w:hint="default"/>
                <w:color w:val="auto"/>
                <w:highlight w:val="none"/>
                <w:lang w:val="en-US" w:eastAsia="zh-CN"/>
              </w:rPr>
              <w:t>2.754</w:t>
            </w:r>
          </w:p>
        </w:tc>
        <w:tc>
          <w:tcPr>
            <w:tcW w:w="1110" w:type="dxa"/>
            <w:tcBorders>
              <w:tl2br w:val="nil"/>
              <w:tr2bl w:val="nil"/>
            </w:tcBorders>
            <w:shd w:val="clear" w:color="auto" w:fill="auto"/>
            <w:vAlign w:val="center"/>
          </w:tcPr>
          <w:p w14:paraId="011E03F1">
            <w:pPr>
              <w:pStyle w:val="41"/>
              <w:bidi w:val="0"/>
              <w:rPr>
                <w:rFonts w:hint="eastAsia"/>
                <w:color w:val="auto"/>
                <w:highlight w:val="none"/>
              </w:rPr>
            </w:pPr>
            <w:r>
              <w:rPr>
                <w:rFonts w:hint="eastAsia"/>
                <w:color w:val="auto"/>
                <w:highlight w:val="none"/>
                <w:lang w:val="en-US" w:eastAsia="zh-CN"/>
              </w:rPr>
              <w:t>2.776</w:t>
            </w:r>
          </w:p>
        </w:tc>
        <w:tc>
          <w:tcPr>
            <w:tcW w:w="1080" w:type="dxa"/>
            <w:tcBorders>
              <w:tl2br w:val="nil"/>
              <w:tr2bl w:val="nil"/>
            </w:tcBorders>
            <w:shd w:val="clear" w:color="auto" w:fill="auto"/>
            <w:vAlign w:val="center"/>
          </w:tcPr>
          <w:p w14:paraId="54B0B3D5">
            <w:pPr>
              <w:pStyle w:val="41"/>
              <w:bidi w:val="0"/>
              <w:rPr>
                <w:rFonts w:hint="default"/>
                <w:color w:val="auto"/>
                <w:highlight w:val="none"/>
              </w:rPr>
            </w:pPr>
            <w:r>
              <w:rPr>
                <w:rFonts w:hint="default"/>
                <w:color w:val="auto"/>
                <w:highlight w:val="none"/>
                <w:lang w:val="en-US" w:eastAsia="zh-CN"/>
              </w:rPr>
              <w:t>2.754</w:t>
            </w:r>
          </w:p>
        </w:tc>
        <w:tc>
          <w:tcPr>
            <w:tcW w:w="1080" w:type="dxa"/>
            <w:tcBorders>
              <w:tl2br w:val="nil"/>
              <w:tr2bl w:val="nil"/>
            </w:tcBorders>
            <w:shd w:val="clear" w:color="auto" w:fill="auto"/>
            <w:vAlign w:val="center"/>
          </w:tcPr>
          <w:p w14:paraId="54D56680">
            <w:pPr>
              <w:pStyle w:val="41"/>
              <w:bidi w:val="0"/>
              <w:rPr>
                <w:rFonts w:hint="default" w:ascii="Times New Roman" w:hAnsi="Times New Roman"/>
                <w:color w:val="auto"/>
                <w:highlight w:val="none"/>
                <w:lang w:val="en-US" w:eastAsia="zh-CN"/>
              </w:rPr>
            </w:pPr>
            <w:r>
              <w:rPr>
                <w:rFonts w:hint="default" w:ascii="Times New Roman" w:hAnsi="Times New Roman"/>
                <w:color w:val="auto"/>
                <w:highlight w:val="none"/>
                <w:lang w:val="en-US" w:eastAsia="zh-CN"/>
              </w:rPr>
              <w:t>-2.776</w:t>
            </w:r>
          </w:p>
        </w:tc>
      </w:tr>
      <w:tr w14:paraId="70FE465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080" w:type="dxa"/>
            <w:vMerge w:val="restart"/>
            <w:tcBorders>
              <w:tl2br w:val="nil"/>
              <w:tr2bl w:val="nil"/>
            </w:tcBorders>
            <w:shd w:val="clear" w:color="auto" w:fill="auto"/>
            <w:vAlign w:val="center"/>
          </w:tcPr>
          <w:p w14:paraId="1DCE46AF">
            <w:pPr>
              <w:pStyle w:val="41"/>
              <w:bidi w:val="0"/>
              <w:rPr>
                <w:rFonts w:hint="eastAsia"/>
                <w:color w:val="auto"/>
                <w:highlight w:val="none"/>
                <w:lang w:val="en-US" w:eastAsia="zh-CN"/>
              </w:rPr>
            </w:pPr>
            <w:r>
              <w:rPr>
                <w:rFonts w:hint="eastAsia"/>
                <w:color w:val="auto"/>
                <w:highlight w:val="none"/>
                <w:lang w:val="en-US" w:eastAsia="zh-CN"/>
              </w:rPr>
              <w:t>水污</w:t>
            </w:r>
          </w:p>
          <w:p w14:paraId="038B76BB">
            <w:pPr>
              <w:pStyle w:val="41"/>
              <w:bidi w:val="0"/>
              <w:rPr>
                <w:rFonts w:hint="eastAsia"/>
                <w:color w:val="auto"/>
                <w:highlight w:val="none"/>
              </w:rPr>
            </w:pPr>
            <w:r>
              <w:rPr>
                <w:rFonts w:hint="eastAsia"/>
                <w:color w:val="auto"/>
                <w:highlight w:val="none"/>
                <w:lang w:val="en-US" w:eastAsia="zh-CN"/>
              </w:rPr>
              <w:t>染源</w:t>
            </w:r>
          </w:p>
        </w:tc>
        <w:tc>
          <w:tcPr>
            <w:tcW w:w="1080" w:type="dxa"/>
            <w:vMerge w:val="restart"/>
            <w:tcBorders>
              <w:tl2br w:val="nil"/>
              <w:tr2bl w:val="nil"/>
            </w:tcBorders>
            <w:shd w:val="clear" w:color="auto" w:fill="auto"/>
            <w:vAlign w:val="center"/>
          </w:tcPr>
          <w:p w14:paraId="5E4459CD">
            <w:pPr>
              <w:pStyle w:val="41"/>
              <w:bidi w:val="0"/>
              <w:rPr>
                <w:rFonts w:hint="eastAsia"/>
                <w:color w:val="auto"/>
                <w:highlight w:val="none"/>
              </w:rPr>
            </w:pPr>
            <w:r>
              <w:rPr>
                <w:rFonts w:hint="eastAsia"/>
                <w:color w:val="auto"/>
                <w:highlight w:val="none"/>
                <w:lang w:val="en-US" w:eastAsia="zh-CN"/>
              </w:rPr>
              <w:t>生活排水</w:t>
            </w:r>
          </w:p>
        </w:tc>
        <w:tc>
          <w:tcPr>
            <w:tcW w:w="1080" w:type="dxa"/>
            <w:tcBorders>
              <w:tl2br w:val="nil"/>
              <w:tr2bl w:val="nil"/>
            </w:tcBorders>
            <w:shd w:val="clear" w:color="auto" w:fill="auto"/>
            <w:vAlign w:val="center"/>
          </w:tcPr>
          <w:p w14:paraId="3E68CE74">
            <w:pPr>
              <w:pStyle w:val="41"/>
              <w:bidi w:val="0"/>
              <w:rPr>
                <w:rFonts w:hint="eastAsia"/>
                <w:color w:val="auto"/>
                <w:highlight w:val="none"/>
              </w:rPr>
            </w:pPr>
            <w:r>
              <w:rPr>
                <w:rFonts w:hint="eastAsia"/>
                <w:color w:val="auto"/>
                <w:highlight w:val="none"/>
                <w:lang w:val="en-US" w:eastAsia="zh-CN"/>
              </w:rPr>
              <w:t>水量</w:t>
            </w:r>
          </w:p>
        </w:tc>
        <w:tc>
          <w:tcPr>
            <w:tcW w:w="1080" w:type="dxa"/>
            <w:tcBorders>
              <w:tl2br w:val="nil"/>
              <w:tr2bl w:val="nil"/>
            </w:tcBorders>
            <w:shd w:val="clear" w:color="auto" w:fill="auto"/>
            <w:vAlign w:val="center"/>
          </w:tcPr>
          <w:p w14:paraId="2604316F">
            <w:pPr>
              <w:pStyle w:val="41"/>
              <w:bidi w:val="0"/>
              <w:rPr>
                <w:rFonts w:hint="default"/>
                <w:color w:val="auto"/>
                <w:highlight w:val="none"/>
              </w:rPr>
            </w:pPr>
            <w:r>
              <w:rPr>
                <w:rFonts w:hint="default"/>
                <w:color w:val="auto"/>
                <w:highlight w:val="none"/>
                <w:lang w:val="en-US" w:eastAsia="zh-CN"/>
              </w:rPr>
              <w:t>3000</w:t>
            </w:r>
          </w:p>
        </w:tc>
        <w:tc>
          <w:tcPr>
            <w:tcW w:w="1080" w:type="dxa"/>
            <w:tcBorders>
              <w:tl2br w:val="nil"/>
              <w:tr2bl w:val="nil"/>
            </w:tcBorders>
            <w:shd w:val="clear" w:color="auto" w:fill="auto"/>
            <w:vAlign w:val="center"/>
          </w:tcPr>
          <w:p w14:paraId="2F5545FD">
            <w:pPr>
              <w:pStyle w:val="41"/>
              <w:bidi w:val="0"/>
              <w:rPr>
                <w:rFonts w:hint="default"/>
                <w:color w:val="auto"/>
                <w:highlight w:val="none"/>
              </w:rPr>
            </w:pPr>
            <w:r>
              <w:rPr>
                <w:rFonts w:hint="default"/>
                <w:color w:val="auto"/>
                <w:highlight w:val="none"/>
                <w:lang w:val="en-US" w:eastAsia="zh-CN"/>
              </w:rPr>
              <w:t>16275</w:t>
            </w:r>
          </w:p>
        </w:tc>
        <w:tc>
          <w:tcPr>
            <w:tcW w:w="1110" w:type="dxa"/>
            <w:tcBorders>
              <w:tl2br w:val="nil"/>
              <w:tr2bl w:val="nil"/>
            </w:tcBorders>
            <w:shd w:val="clear" w:color="auto" w:fill="auto"/>
            <w:vAlign w:val="center"/>
          </w:tcPr>
          <w:p w14:paraId="797BCDD4">
            <w:pPr>
              <w:pStyle w:val="41"/>
              <w:bidi w:val="0"/>
              <w:rPr>
                <w:rFonts w:hint="default"/>
                <w:color w:val="auto"/>
                <w:highlight w:val="none"/>
              </w:rPr>
            </w:pPr>
            <w:r>
              <w:rPr>
                <w:rFonts w:hint="default"/>
                <w:color w:val="auto"/>
                <w:highlight w:val="none"/>
                <w:lang w:val="en-US" w:eastAsia="zh-CN"/>
              </w:rPr>
              <w:t>--</w:t>
            </w:r>
          </w:p>
        </w:tc>
        <w:tc>
          <w:tcPr>
            <w:tcW w:w="1080" w:type="dxa"/>
            <w:tcBorders>
              <w:tl2br w:val="nil"/>
              <w:tr2bl w:val="nil"/>
            </w:tcBorders>
            <w:shd w:val="clear" w:color="auto" w:fill="auto"/>
            <w:vAlign w:val="center"/>
          </w:tcPr>
          <w:p w14:paraId="53545B61">
            <w:pPr>
              <w:pStyle w:val="41"/>
              <w:bidi w:val="0"/>
              <w:rPr>
                <w:rFonts w:hint="default"/>
                <w:color w:val="auto"/>
                <w:highlight w:val="none"/>
              </w:rPr>
            </w:pPr>
            <w:r>
              <w:rPr>
                <w:rFonts w:hint="default"/>
                <w:color w:val="auto"/>
                <w:highlight w:val="none"/>
                <w:lang w:val="en-US" w:eastAsia="zh-CN"/>
              </w:rPr>
              <w:t>16275</w:t>
            </w:r>
          </w:p>
        </w:tc>
        <w:tc>
          <w:tcPr>
            <w:tcW w:w="1080" w:type="dxa"/>
            <w:tcBorders>
              <w:tl2br w:val="nil"/>
              <w:tr2bl w:val="nil"/>
            </w:tcBorders>
            <w:shd w:val="clear" w:color="auto" w:fill="auto"/>
            <w:vAlign w:val="center"/>
          </w:tcPr>
          <w:p w14:paraId="72CD67FD">
            <w:pPr>
              <w:pStyle w:val="41"/>
              <w:bidi w:val="0"/>
              <w:rPr>
                <w:rFonts w:hint="default" w:ascii="Times New Roman" w:hAnsi="Times New Roman"/>
                <w:color w:val="auto"/>
                <w:highlight w:val="none"/>
                <w:lang w:val="en-US" w:eastAsia="zh-CN"/>
              </w:rPr>
            </w:pPr>
            <w:r>
              <w:rPr>
                <w:rFonts w:hint="default" w:ascii="Times New Roman" w:hAnsi="Times New Roman"/>
                <w:color w:val="auto"/>
                <w:highlight w:val="none"/>
                <w:lang w:val="en-US" w:eastAsia="zh-CN"/>
              </w:rPr>
              <w:t>13275</w:t>
            </w:r>
          </w:p>
        </w:tc>
      </w:tr>
      <w:tr w14:paraId="7914577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080" w:type="dxa"/>
            <w:vMerge w:val="continue"/>
            <w:tcBorders>
              <w:tl2br w:val="nil"/>
              <w:tr2bl w:val="nil"/>
            </w:tcBorders>
            <w:shd w:val="clear" w:color="auto" w:fill="auto"/>
            <w:vAlign w:val="center"/>
          </w:tcPr>
          <w:p w14:paraId="41109E5D">
            <w:pPr>
              <w:pStyle w:val="41"/>
              <w:bidi w:val="0"/>
              <w:rPr>
                <w:rFonts w:hint="eastAsia"/>
                <w:color w:val="auto"/>
                <w:highlight w:val="none"/>
              </w:rPr>
            </w:pPr>
          </w:p>
        </w:tc>
        <w:tc>
          <w:tcPr>
            <w:tcW w:w="1080" w:type="dxa"/>
            <w:vMerge w:val="continue"/>
            <w:tcBorders>
              <w:tl2br w:val="nil"/>
              <w:tr2bl w:val="nil"/>
            </w:tcBorders>
            <w:shd w:val="clear" w:color="auto" w:fill="auto"/>
            <w:vAlign w:val="center"/>
          </w:tcPr>
          <w:p w14:paraId="7337BF7C">
            <w:pPr>
              <w:pStyle w:val="41"/>
              <w:bidi w:val="0"/>
              <w:rPr>
                <w:rFonts w:hint="eastAsia"/>
                <w:color w:val="auto"/>
                <w:highlight w:val="none"/>
              </w:rPr>
            </w:pPr>
          </w:p>
        </w:tc>
        <w:tc>
          <w:tcPr>
            <w:tcW w:w="1080" w:type="dxa"/>
            <w:tcBorders>
              <w:tl2br w:val="nil"/>
              <w:tr2bl w:val="nil"/>
            </w:tcBorders>
            <w:shd w:val="clear" w:color="auto" w:fill="auto"/>
            <w:vAlign w:val="center"/>
          </w:tcPr>
          <w:p w14:paraId="463AC425">
            <w:pPr>
              <w:pStyle w:val="41"/>
              <w:bidi w:val="0"/>
              <w:rPr>
                <w:rFonts w:hint="default"/>
                <w:color w:val="auto"/>
                <w:highlight w:val="none"/>
              </w:rPr>
            </w:pPr>
            <w:r>
              <w:rPr>
                <w:rFonts w:hint="default"/>
                <w:color w:val="auto"/>
                <w:highlight w:val="none"/>
                <w:lang w:val="en-US" w:eastAsia="zh-CN"/>
              </w:rPr>
              <w:t>COD</w:t>
            </w:r>
          </w:p>
        </w:tc>
        <w:tc>
          <w:tcPr>
            <w:tcW w:w="1080" w:type="dxa"/>
            <w:tcBorders>
              <w:tl2br w:val="nil"/>
              <w:tr2bl w:val="nil"/>
            </w:tcBorders>
            <w:shd w:val="clear" w:color="auto" w:fill="auto"/>
            <w:vAlign w:val="center"/>
          </w:tcPr>
          <w:p w14:paraId="08D8FF24">
            <w:pPr>
              <w:pStyle w:val="41"/>
              <w:bidi w:val="0"/>
              <w:rPr>
                <w:rFonts w:hint="default"/>
                <w:color w:val="auto"/>
                <w:highlight w:val="none"/>
              </w:rPr>
            </w:pPr>
            <w:r>
              <w:rPr>
                <w:rFonts w:hint="default"/>
                <w:color w:val="auto"/>
                <w:highlight w:val="none"/>
                <w:lang w:val="en-US" w:eastAsia="zh-CN"/>
              </w:rPr>
              <w:t>0.6</w:t>
            </w:r>
          </w:p>
        </w:tc>
        <w:tc>
          <w:tcPr>
            <w:tcW w:w="1080" w:type="dxa"/>
            <w:tcBorders>
              <w:tl2br w:val="nil"/>
              <w:tr2bl w:val="nil"/>
            </w:tcBorders>
            <w:shd w:val="clear" w:color="auto" w:fill="auto"/>
            <w:vAlign w:val="center"/>
          </w:tcPr>
          <w:p w14:paraId="51912FA0">
            <w:pPr>
              <w:pStyle w:val="41"/>
              <w:bidi w:val="0"/>
              <w:rPr>
                <w:rFonts w:hint="default"/>
                <w:color w:val="auto"/>
                <w:highlight w:val="none"/>
              </w:rPr>
            </w:pPr>
            <w:r>
              <w:rPr>
                <w:rFonts w:hint="default"/>
                <w:color w:val="auto"/>
                <w:highlight w:val="none"/>
                <w:lang w:val="en-US" w:eastAsia="zh-CN"/>
              </w:rPr>
              <w:t>3.255</w:t>
            </w:r>
          </w:p>
        </w:tc>
        <w:tc>
          <w:tcPr>
            <w:tcW w:w="1110" w:type="dxa"/>
            <w:tcBorders>
              <w:tl2br w:val="nil"/>
              <w:tr2bl w:val="nil"/>
            </w:tcBorders>
            <w:shd w:val="clear" w:color="auto" w:fill="auto"/>
            <w:vAlign w:val="center"/>
          </w:tcPr>
          <w:p w14:paraId="7F0BF05B">
            <w:pPr>
              <w:pStyle w:val="41"/>
              <w:bidi w:val="0"/>
              <w:rPr>
                <w:rFonts w:hint="default"/>
                <w:color w:val="auto"/>
                <w:highlight w:val="none"/>
              </w:rPr>
            </w:pPr>
            <w:r>
              <w:rPr>
                <w:rFonts w:hint="default"/>
                <w:color w:val="auto"/>
                <w:highlight w:val="none"/>
                <w:lang w:val="en-US" w:eastAsia="zh-CN"/>
              </w:rPr>
              <w:t>--</w:t>
            </w:r>
          </w:p>
        </w:tc>
        <w:tc>
          <w:tcPr>
            <w:tcW w:w="1080" w:type="dxa"/>
            <w:tcBorders>
              <w:tl2br w:val="nil"/>
              <w:tr2bl w:val="nil"/>
            </w:tcBorders>
            <w:shd w:val="clear" w:color="auto" w:fill="auto"/>
            <w:vAlign w:val="center"/>
          </w:tcPr>
          <w:p w14:paraId="0E0ED872">
            <w:pPr>
              <w:pStyle w:val="41"/>
              <w:bidi w:val="0"/>
              <w:rPr>
                <w:rFonts w:hint="default"/>
                <w:color w:val="auto"/>
                <w:highlight w:val="none"/>
              </w:rPr>
            </w:pPr>
            <w:r>
              <w:rPr>
                <w:rFonts w:hint="default"/>
                <w:color w:val="auto"/>
                <w:highlight w:val="none"/>
                <w:lang w:val="en-US" w:eastAsia="zh-CN"/>
              </w:rPr>
              <w:t>3.255</w:t>
            </w:r>
          </w:p>
        </w:tc>
        <w:tc>
          <w:tcPr>
            <w:tcW w:w="1080" w:type="dxa"/>
            <w:tcBorders>
              <w:tl2br w:val="nil"/>
              <w:tr2bl w:val="nil"/>
            </w:tcBorders>
            <w:shd w:val="clear" w:color="auto" w:fill="auto"/>
            <w:vAlign w:val="center"/>
          </w:tcPr>
          <w:p w14:paraId="4F3DB937">
            <w:pPr>
              <w:pStyle w:val="41"/>
              <w:bidi w:val="0"/>
              <w:rPr>
                <w:rFonts w:hint="default" w:ascii="Times New Roman" w:hAnsi="Times New Roman"/>
                <w:color w:val="auto"/>
                <w:highlight w:val="none"/>
                <w:lang w:val="en-US" w:eastAsia="zh-CN"/>
              </w:rPr>
            </w:pPr>
            <w:r>
              <w:rPr>
                <w:rFonts w:hint="default" w:ascii="Times New Roman" w:hAnsi="Times New Roman"/>
                <w:color w:val="auto"/>
                <w:highlight w:val="none"/>
                <w:lang w:val="en-US" w:eastAsia="zh-CN"/>
              </w:rPr>
              <w:t>2.655</w:t>
            </w:r>
          </w:p>
        </w:tc>
      </w:tr>
      <w:tr w14:paraId="261121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60" w:hRule="atLeast"/>
        </w:trPr>
        <w:tc>
          <w:tcPr>
            <w:tcW w:w="1080" w:type="dxa"/>
            <w:vMerge w:val="continue"/>
            <w:tcBorders>
              <w:tl2br w:val="nil"/>
              <w:tr2bl w:val="nil"/>
            </w:tcBorders>
            <w:shd w:val="clear" w:color="auto" w:fill="auto"/>
            <w:noWrap/>
            <w:vAlign w:val="center"/>
          </w:tcPr>
          <w:p w14:paraId="744E212A">
            <w:pPr>
              <w:pStyle w:val="41"/>
              <w:bidi w:val="0"/>
              <w:rPr>
                <w:rFonts w:hint="eastAsia"/>
                <w:color w:val="auto"/>
                <w:highlight w:val="none"/>
              </w:rPr>
            </w:pPr>
          </w:p>
        </w:tc>
        <w:tc>
          <w:tcPr>
            <w:tcW w:w="1080" w:type="dxa"/>
            <w:vMerge w:val="continue"/>
            <w:tcBorders>
              <w:tl2br w:val="nil"/>
              <w:tr2bl w:val="nil"/>
            </w:tcBorders>
            <w:shd w:val="clear" w:color="auto" w:fill="auto"/>
            <w:vAlign w:val="center"/>
          </w:tcPr>
          <w:p w14:paraId="5EE2CDA6">
            <w:pPr>
              <w:pStyle w:val="41"/>
              <w:bidi w:val="0"/>
              <w:rPr>
                <w:rFonts w:hint="eastAsia"/>
                <w:color w:val="auto"/>
                <w:highlight w:val="none"/>
              </w:rPr>
            </w:pPr>
          </w:p>
        </w:tc>
        <w:tc>
          <w:tcPr>
            <w:tcW w:w="1080" w:type="dxa"/>
            <w:tcBorders>
              <w:tl2br w:val="nil"/>
              <w:tr2bl w:val="nil"/>
            </w:tcBorders>
            <w:shd w:val="clear" w:color="auto" w:fill="auto"/>
            <w:vAlign w:val="center"/>
          </w:tcPr>
          <w:p w14:paraId="2439DFC7">
            <w:pPr>
              <w:pStyle w:val="41"/>
              <w:bidi w:val="0"/>
              <w:rPr>
                <w:rFonts w:hint="default"/>
                <w:color w:val="auto"/>
                <w:highlight w:val="none"/>
              </w:rPr>
            </w:pPr>
            <w:r>
              <w:rPr>
                <w:rFonts w:hint="default"/>
                <w:color w:val="auto"/>
                <w:highlight w:val="none"/>
                <w:lang w:val="en-US" w:eastAsia="zh-CN"/>
              </w:rPr>
              <w:t>BOD</w:t>
            </w:r>
            <w:r>
              <w:rPr>
                <w:rFonts w:hint="default"/>
                <w:color w:val="auto"/>
                <w:highlight w:val="none"/>
                <w:vertAlign w:val="subscript"/>
                <w:lang w:val="en-US" w:eastAsia="zh-CN"/>
              </w:rPr>
              <w:t>5</w:t>
            </w:r>
          </w:p>
        </w:tc>
        <w:tc>
          <w:tcPr>
            <w:tcW w:w="1080" w:type="dxa"/>
            <w:tcBorders>
              <w:tl2br w:val="nil"/>
              <w:tr2bl w:val="nil"/>
            </w:tcBorders>
            <w:shd w:val="clear" w:color="auto" w:fill="auto"/>
            <w:vAlign w:val="center"/>
          </w:tcPr>
          <w:p w14:paraId="7C4427B7">
            <w:pPr>
              <w:pStyle w:val="41"/>
              <w:bidi w:val="0"/>
              <w:rPr>
                <w:rFonts w:hint="default"/>
                <w:color w:val="auto"/>
                <w:highlight w:val="none"/>
              </w:rPr>
            </w:pPr>
            <w:r>
              <w:rPr>
                <w:rFonts w:hint="default"/>
                <w:color w:val="auto"/>
                <w:highlight w:val="none"/>
                <w:lang w:val="en-US" w:eastAsia="zh-CN"/>
              </w:rPr>
              <w:t>0.54</w:t>
            </w:r>
          </w:p>
        </w:tc>
        <w:tc>
          <w:tcPr>
            <w:tcW w:w="1080" w:type="dxa"/>
            <w:tcBorders>
              <w:tl2br w:val="nil"/>
              <w:tr2bl w:val="nil"/>
            </w:tcBorders>
            <w:shd w:val="clear" w:color="auto" w:fill="auto"/>
            <w:vAlign w:val="center"/>
          </w:tcPr>
          <w:p w14:paraId="58582560">
            <w:pPr>
              <w:pStyle w:val="41"/>
              <w:bidi w:val="0"/>
              <w:rPr>
                <w:rFonts w:hint="default"/>
                <w:color w:val="auto"/>
                <w:highlight w:val="none"/>
              </w:rPr>
            </w:pPr>
            <w:r>
              <w:rPr>
                <w:rFonts w:hint="default"/>
                <w:color w:val="auto"/>
                <w:highlight w:val="none"/>
                <w:lang w:val="en-US" w:eastAsia="zh-CN"/>
              </w:rPr>
              <w:t>2.93</w:t>
            </w:r>
          </w:p>
        </w:tc>
        <w:tc>
          <w:tcPr>
            <w:tcW w:w="1110" w:type="dxa"/>
            <w:tcBorders>
              <w:tl2br w:val="nil"/>
              <w:tr2bl w:val="nil"/>
            </w:tcBorders>
            <w:shd w:val="clear" w:color="auto" w:fill="auto"/>
            <w:vAlign w:val="center"/>
          </w:tcPr>
          <w:p w14:paraId="5230E79F">
            <w:pPr>
              <w:pStyle w:val="41"/>
              <w:bidi w:val="0"/>
              <w:rPr>
                <w:rFonts w:hint="default"/>
                <w:color w:val="auto"/>
                <w:highlight w:val="none"/>
              </w:rPr>
            </w:pPr>
            <w:r>
              <w:rPr>
                <w:rFonts w:hint="default"/>
                <w:color w:val="auto"/>
                <w:highlight w:val="none"/>
                <w:lang w:val="en-US" w:eastAsia="zh-CN"/>
              </w:rPr>
              <w:t>--</w:t>
            </w:r>
          </w:p>
        </w:tc>
        <w:tc>
          <w:tcPr>
            <w:tcW w:w="1080" w:type="dxa"/>
            <w:tcBorders>
              <w:tl2br w:val="nil"/>
              <w:tr2bl w:val="nil"/>
            </w:tcBorders>
            <w:shd w:val="clear" w:color="auto" w:fill="auto"/>
            <w:vAlign w:val="center"/>
          </w:tcPr>
          <w:p w14:paraId="2D428DBB">
            <w:pPr>
              <w:pStyle w:val="41"/>
              <w:bidi w:val="0"/>
              <w:rPr>
                <w:rFonts w:hint="default"/>
                <w:color w:val="auto"/>
                <w:highlight w:val="none"/>
              </w:rPr>
            </w:pPr>
            <w:r>
              <w:rPr>
                <w:rFonts w:hint="default"/>
                <w:color w:val="auto"/>
                <w:highlight w:val="none"/>
                <w:lang w:val="en-US" w:eastAsia="zh-CN"/>
              </w:rPr>
              <w:t>2.93</w:t>
            </w:r>
          </w:p>
        </w:tc>
        <w:tc>
          <w:tcPr>
            <w:tcW w:w="1080" w:type="dxa"/>
            <w:tcBorders>
              <w:tl2br w:val="nil"/>
              <w:tr2bl w:val="nil"/>
            </w:tcBorders>
            <w:shd w:val="clear" w:color="auto" w:fill="auto"/>
            <w:vAlign w:val="center"/>
          </w:tcPr>
          <w:p w14:paraId="03DAE7BE">
            <w:pPr>
              <w:pStyle w:val="41"/>
              <w:bidi w:val="0"/>
              <w:rPr>
                <w:rFonts w:hint="default" w:ascii="Times New Roman" w:hAnsi="Times New Roman"/>
                <w:color w:val="auto"/>
                <w:highlight w:val="none"/>
                <w:lang w:val="en-US" w:eastAsia="zh-CN"/>
              </w:rPr>
            </w:pPr>
            <w:r>
              <w:rPr>
                <w:rFonts w:hint="default" w:ascii="Times New Roman" w:hAnsi="Times New Roman"/>
                <w:color w:val="auto"/>
                <w:highlight w:val="none"/>
                <w:lang w:val="en-US" w:eastAsia="zh-CN"/>
              </w:rPr>
              <w:t>2.39</w:t>
            </w:r>
          </w:p>
        </w:tc>
      </w:tr>
      <w:tr w14:paraId="055F2C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60" w:hRule="atLeast"/>
        </w:trPr>
        <w:tc>
          <w:tcPr>
            <w:tcW w:w="1080" w:type="dxa"/>
            <w:vMerge w:val="continue"/>
            <w:tcBorders>
              <w:tl2br w:val="nil"/>
              <w:tr2bl w:val="nil"/>
            </w:tcBorders>
            <w:shd w:val="clear" w:color="auto" w:fill="auto"/>
            <w:noWrap/>
            <w:vAlign w:val="center"/>
          </w:tcPr>
          <w:p w14:paraId="445F12A3">
            <w:pPr>
              <w:pStyle w:val="41"/>
              <w:bidi w:val="0"/>
              <w:rPr>
                <w:rFonts w:hint="eastAsia"/>
                <w:color w:val="auto"/>
                <w:highlight w:val="none"/>
              </w:rPr>
            </w:pPr>
          </w:p>
        </w:tc>
        <w:tc>
          <w:tcPr>
            <w:tcW w:w="1080" w:type="dxa"/>
            <w:vMerge w:val="continue"/>
            <w:tcBorders>
              <w:tl2br w:val="nil"/>
              <w:tr2bl w:val="nil"/>
            </w:tcBorders>
            <w:shd w:val="clear" w:color="auto" w:fill="auto"/>
            <w:vAlign w:val="center"/>
          </w:tcPr>
          <w:p w14:paraId="3CB2B102">
            <w:pPr>
              <w:pStyle w:val="41"/>
              <w:bidi w:val="0"/>
              <w:rPr>
                <w:rFonts w:hint="eastAsia"/>
                <w:color w:val="auto"/>
                <w:highlight w:val="none"/>
              </w:rPr>
            </w:pPr>
          </w:p>
        </w:tc>
        <w:tc>
          <w:tcPr>
            <w:tcW w:w="1080" w:type="dxa"/>
            <w:tcBorders>
              <w:tl2br w:val="nil"/>
              <w:tr2bl w:val="nil"/>
            </w:tcBorders>
            <w:shd w:val="clear" w:color="auto" w:fill="auto"/>
            <w:vAlign w:val="center"/>
          </w:tcPr>
          <w:p w14:paraId="21F2E4E3">
            <w:pPr>
              <w:pStyle w:val="41"/>
              <w:bidi w:val="0"/>
              <w:rPr>
                <w:rFonts w:hint="default"/>
                <w:color w:val="auto"/>
                <w:highlight w:val="none"/>
              </w:rPr>
            </w:pPr>
            <w:r>
              <w:rPr>
                <w:rFonts w:hint="default"/>
                <w:color w:val="auto"/>
                <w:highlight w:val="none"/>
                <w:lang w:val="en-US" w:eastAsia="zh-CN"/>
              </w:rPr>
              <w:t>NH</w:t>
            </w:r>
            <w:r>
              <w:rPr>
                <w:rFonts w:hint="default"/>
                <w:color w:val="auto"/>
                <w:highlight w:val="none"/>
                <w:vertAlign w:val="subscript"/>
                <w:lang w:val="en-US" w:eastAsia="zh-CN"/>
              </w:rPr>
              <w:t>3</w:t>
            </w:r>
            <w:r>
              <w:rPr>
                <w:rFonts w:hint="default"/>
                <w:color w:val="auto"/>
                <w:highlight w:val="none"/>
                <w:lang w:val="en-US" w:eastAsia="zh-CN"/>
              </w:rPr>
              <w:t>-N</w:t>
            </w:r>
          </w:p>
        </w:tc>
        <w:tc>
          <w:tcPr>
            <w:tcW w:w="1080" w:type="dxa"/>
            <w:tcBorders>
              <w:tl2br w:val="nil"/>
              <w:tr2bl w:val="nil"/>
            </w:tcBorders>
            <w:shd w:val="clear" w:color="auto" w:fill="auto"/>
            <w:vAlign w:val="center"/>
          </w:tcPr>
          <w:p w14:paraId="3450C83A">
            <w:pPr>
              <w:pStyle w:val="41"/>
              <w:bidi w:val="0"/>
              <w:rPr>
                <w:rFonts w:hint="default"/>
                <w:color w:val="auto"/>
                <w:highlight w:val="none"/>
              </w:rPr>
            </w:pPr>
            <w:r>
              <w:rPr>
                <w:rFonts w:hint="default"/>
                <w:color w:val="auto"/>
                <w:highlight w:val="none"/>
                <w:lang w:val="en-US" w:eastAsia="zh-CN"/>
              </w:rPr>
              <w:t>0.09</w:t>
            </w:r>
          </w:p>
        </w:tc>
        <w:tc>
          <w:tcPr>
            <w:tcW w:w="1080" w:type="dxa"/>
            <w:tcBorders>
              <w:tl2br w:val="nil"/>
              <w:tr2bl w:val="nil"/>
            </w:tcBorders>
            <w:shd w:val="clear" w:color="auto" w:fill="auto"/>
            <w:vAlign w:val="center"/>
          </w:tcPr>
          <w:p w14:paraId="6420F384">
            <w:pPr>
              <w:pStyle w:val="41"/>
              <w:bidi w:val="0"/>
              <w:rPr>
                <w:rFonts w:hint="default"/>
                <w:color w:val="auto"/>
                <w:highlight w:val="none"/>
              </w:rPr>
            </w:pPr>
            <w:r>
              <w:rPr>
                <w:rFonts w:hint="default"/>
                <w:color w:val="auto"/>
                <w:highlight w:val="none"/>
                <w:lang w:val="en-US" w:eastAsia="zh-CN"/>
              </w:rPr>
              <w:t>0.49</w:t>
            </w:r>
          </w:p>
        </w:tc>
        <w:tc>
          <w:tcPr>
            <w:tcW w:w="1110" w:type="dxa"/>
            <w:tcBorders>
              <w:tl2br w:val="nil"/>
              <w:tr2bl w:val="nil"/>
            </w:tcBorders>
            <w:shd w:val="clear" w:color="auto" w:fill="auto"/>
            <w:vAlign w:val="center"/>
          </w:tcPr>
          <w:p w14:paraId="72A45456">
            <w:pPr>
              <w:pStyle w:val="41"/>
              <w:bidi w:val="0"/>
              <w:rPr>
                <w:rFonts w:hint="default"/>
                <w:color w:val="auto"/>
                <w:highlight w:val="none"/>
              </w:rPr>
            </w:pPr>
            <w:r>
              <w:rPr>
                <w:rFonts w:hint="default"/>
                <w:color w:val="auto"/>
                <w:highlight w:val="none"/>
                <w:lang w:val="en-US" w:eastAsia="zh-CN"/>
              </w:rPr>
              <w:t>--</w:t>
            </w:r>
          </w:p>
        </w:tc>
        <w:tc>
          <w:tcPr>
            <w:tcW w:w="1080" w:type="dxa"/>
            <w:tcBorders>
              <w:tl2br w:val="nil"/>
              <w:tr2bl w:val="nil"/>
            </w:tcBorders>
            <w:shd w:val="clear" w:color="auto" w:fill="auto"/>
            <w:vAlign w:val="center"/>
          </w:tcPr>
          <w:p w14:paraId="7539D000">
            <w:pPr>
              <w:pStyle w:val="41"/>
              <w:bidi w:val="0"/>
              <w:rPr>
                <w:rFonts w:hint="default"/>
                <w:color w:val="auto"/>
                <w:highlight w:val="none"/>
              </w:rPr>
            </w:pPr>
            <w:r>
              <w:rPr>
                <w:rFonts w:hint="default"/>
                <w:color w:val="auto"/>
                <w:highlight w:val="none"/>
                <w:lang w:val="en-US" w:eastAsia="zh-CN"/>
              </w:rPr>
              <w:t>0.49</w:t>
            </w:r>
          </w:p>
        </w:tc>
        <w:tc>
          <w:tcPr>
            <w:tcW w:w="1080" w:type="dxa"/>
            <w:tcBorders>
              <w:tl2br w:val="nil"/>
              <w:tr2bl w:val="nil"/>
            </w:tcBorders>
            <w:shd w:val="clear" w:color="auto" w:fill="auto"/>
            <w:vAlign w:val="center"/>
          </w:tcPr>
          <w:p w14:paraId="3C5DEAFC">
            <w:pPr>
              <w:pStyle w:val="41"/>
              <w:bidi w:val="0"/>
              <w:rPr>
                <w:rFonts w:hint="default" w:ascii="Times New Roman" w:hAnsi="Times New Roman"/>
                <w:color w:val="auto"/>
                <w:highlight w:val="none"/>
                <w:lang w:val="en-US" w:eastAsia="zh-CN"/>
              </w:rPr>
            </w:pPr>
            <w:r>
              <w:rPr>
                <w:rFonts w:hint="default" w:ascii="Times New Roman" w:hAnsi="Times New Roman"/>
                <w:color w:val="auto"/>
                <w:highlight w:val="none"/>
                <w:lang w:val="en-US" w:eastAsia="zh-CN"/>
              </w:rPr>
              <w:t>0.4</w:t>
            </w:r>
          </w:p>
        </w:tc>
      </w:tr>
      <w:tr w14:paraId="1BE41C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080" w:type="dxa"/>
            <w:vMerge w:val="restart"/>
            <w:tcBorders>
              <w:tl2br w:val="nil"/>
              <w:tr2bl w:val="nil"/>
            </w:tcBorders>
            <w:shd w:val="clear" w:color="auto" w:fill="auto"/>
            <w:vAlign w:val="center"/>
          </w:tcPr>
          <w:p w14:paraId="5035BB96">
            <w:pPr>
              <w:pStyle w:val="41"/>
              <w:bidi w:val="0"/>
              <w:rPr>
                <w:rFonts w:hint="eastAsia"/>
                <w:color w:val="auto"/>
                <w:highlight w:val="none"/>
                <w:lang w:val="en-US" w:eastAsia="zh-CN"/>
              </w:rPr>
            </w:pPr>
            <w:r>
              <w:rPr>
                <w:rFonts w:hint="eastAsia"/>
                <w:color w:val="auto"/>
                <w:highlight w:val="none"/>
                <w:lang w:val="en-US" w:eastAsia="zh-CN"/>
              </w:rPr>
              <w:t>固体</w:t>
            </w:r>
          </w:p>
          <w:p w14:paraId="554DD448">
            <w:pPr>
              <w:pStyle w:val="41"/>
              <w:bidi w:val="0"/>
              <w:rPr>
                <w:rFonts w:hint="eastAsia"/>
                <w:color w:val="auto"/>
                <w:highlight w:val="none"/>
              </w:rPr>
            </w:pPr>
            <w:r>
              <w:rPr>
                <w:rFonts w:hint="eastAsia"/>
                <w:color w:val="auto"/>
                <w:highlight w:val="none"/>
                <w:lang w:val="en-US" w:eastAsia="zh-CN"/>
              </w:rPr>
              <w:t>废弃物</w:t>
            </w:r>
          </w:p>
        </w:tc>
        <w:tc>
          <w:tcPr>
            <w:tcW w:w="2160" w:type="dxa"/>
            <w:gridSpan w:val="2"/>
            <w:tcBorders>
              <w:tl2br w:val="nil"/>
              <w:tr2bl w:val="nil"/>
            </w:tcBorders>
            <w:shd w:val="clear" w:color="auto" w:fill="auto"/>
            <w:vAlign w:val="center"/>
          </w:tcPr>
          <w:p w14:paraId="6A14C99C">
            <w:pPr>
              <w:pStyle w:val="41"/>
              <w:bidi w:val="0"/>
              <w:rPr>
                <w:rFonts w:hint="eastAsia"/>
                <w:color w:val="auto"/>
                <w:highlight w:val="none"/>
              </w:rPr>
            </w:pPr>
            <w:r>
              <w:rPr>
                <w:rFonts w:hint="eastAsia"/>
                <w:color w:val="auto"/>
                <w:highlight w:val="none"/>
                <w:lang w:val="en-US" w:eastAsia="zh-CN"/>
              </w:rPr>
              <w:t>生活垃圾</w:t>
            </w:r>
          </w:p>
        </w:tc>
        <w:tc>
          <w:tcPr>
            <w:tcW w:w="1080" w:type="dxa"/>
            <w:tcBorders>
              <w:tl2br w:val="nil"/>
              <w:tr2bl w:val="nil"/>
            </w:tcBorders>
            <w:shd w:val="clear" w:color="auto" w:fill="auto"/>
            <w:vAlign w:val="center"/>
          </w:tcPr>
          <w:p w14:paraId="7A4287AE">
            <w:pPr>
              <w:pStyle w:val="41"/>
              <w:bidi w:val="0"/>
              <w:rPr>
                <w:rFonts w:hint="default"/>
                <w:color w:val="auto"/>
                <w:highlight w:val="none"/>
              </w:rPr>
            </w:pPr>
            <w:r>
              <w:rPr>
                <w:rFonts w:hint="default"/>
                <w:color w:val="auto"/>
                <w:highlight w:val="none"/>
                <w:lang w:val="en-US" w:eastAsia="zh-CN"/>
              </w:rPr>
              <w:t>28</w:t>
            </w:r>
          </w:p>
        </w:tc>
        <w:tc>
          <w:tcPr>
            <w:tcW w:w="1080" w:type="dxa"/>
            <w:tcBorders>
              <w:tl2br w:val="nil"/>
              <w:tr2bl w:val="nil"/>
            </w:tcBorders>
            <w:shd w:val="clear" w:color="auto" w:fill="auto"/>
            <w:vAlign w:val="center"/>
          </w:tcPr>
          <w:p w14:paraId="3FE60FCB">
            <w:pPr>
              <w:pStyle w:val="41"/>
              <w:bidi w:val="0"/>
              <w:rPr>
                <w:rFonts w:hint="default"/>
                <w:color w:val="auto"/>
                <w:highlight w:val="none"/>
              </w:rPr>
            </w:pPr>
            <w:r>
              <w:rPr>
                <w:rFonts w:hint="default"/>
                <w:color w:val="auto"/>
                <w:highlight w:val="none"/>
                <w:lang w:val="en-US" w:eastAsia="zh-CN"/>
              </w:rPr>
              <w:t>75.768</w:t>
            </w:r>
          </w:p>
        </w:tc>
        <w:tc>
          <w:tcPr>
            <w:tcW w:w="1110" w:type="dxa"/>
            <w:tcBorders>
              <w:tl2br w:val="nil"/>
              <w:tr2bl w:val="nil"/>
            </w:tcBorders>
            <w:shd w:val="clear" w:color="auto" w:fill="auto"/>
            <w:vAlign w:val="center"/>
          </w:tcPr>
          <w:p w14:paraId="5BB1DD0A">
            <w:pPr>
              <w:pStyle w:val="41"/>
              <w:bidi w:val="0"/>
              <w:rPr>
                <w:rFonts w:hint="default"/>
                <w:color w:val="auto"/>
                <w:highlight w:val="none"/>
              </w:rPr>
            </w:pPr>
          </w:p>
        </w:tc>
        <w:tc>
          <w:tcPr>
            <w:tcW w:w="1080" w:type="dxa"/>
            <w:tcBorders>
              <w:tl2br w:val="nil"/>
              <w:tr2bl w:val="nil"/>
            </w:tcBorders>
            <w:shd w:val="clear" w:color="auto" w:fill="auto"/>
            <w:vAlign w:val="center"/>
          </w:tcPr>
          <w:p w14:paraId="63C828BE">
            <w:pPr>
              <w:pStyle w:val="41"/>
              <w:bidi w:val="0"/>
              <w:rPr>
                <w:rFonts w:hint="default"/>
                <w:color w:val="auto"/>
                <w:highlight w:val="none"/>
              </w:rPr>
            </w:pPr>
            <w:r>
              <w:rPr>
                <w:rFonts w:hint="default"/>
                <w:color w:val="auto"/>
                <w:highlight w:val="none"/>
                <w:lang w:val="en-US" w:eastAsia="zh-CN"/>
              </w:rPr>
              <w:t>75.768</w:t>
            </w:r>
          </w:p>
        </w:tc>
        <w:tc>
          <w:tcPr>
            <w:tcW w:w="1080" w:type="dxa"/>
            <w:tcBorders>
              <w:tl2br w:val="nil"/>
              <w:tr2bl w:val="nil"/>
            </w:tcBorders>
            <w:shd w:val="clear" w:color="auto" w:fill="auto"/>
            <w:vAlign w:val="center"/>
          </w:tcPr>
          <w:p w14:paraId="63FCA243">
            <w:pPr>
              <w:pStyle w:val="41"/>
              <w:bidi w:val="0"/>
              <w:rPr>
                <w:rFonts w:hint="default" w:ascii="Times New Roman" w:hAnsi="Times New Roman"/>
                <w:color w:val="auto"/>
                <w:highlight w:val="none"/>
                <w:lang w:val="en-US" w:eastAsia="zh-CN"/>
              </w:rPr>
            </w:pPr>
            <w:r>
              <w:rPr>
                <w:rFonts w:hint="default" w:ascii="Times New Roman" w:hAnsi="Times New Roman"/>
                <w:color w:val="auto"/>
                <w:highlight w:val="none"/>
                <w:lang w:val="en-US" w:eastAsia="zh-CN"/>
              </w:rPr>
              <w:t>47.768</w:t>
            </w:r>
          </w:p>
        </w:tc>
      </w:tr>
      <w:tr w14:paraId="336939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080" w:type="dxa"/>
            <w:vMerge w:val="continue"/>
            <w:tcBorders>
              <w:tl2br w:val="nil"/>
              <w:tr2bl w:val="nil"/>
            </w:tcBorders>
            <w:shd w:val="clear" w:color="auto" w:fill="auto"/>
            <w:vAlign w:val="center"/>
          </w:tcPr>
          <w:p w14:paraId="15AF9382">
            <w:pPr>
              <w:pStyle w:val="41"/>
              <w:bidi w:val="0"/>
              <w:rPr>
                <w:rFonts w:hint="eastAsia"/>
                <w:color w:val="auto"/>
                <w:highlight w:val="none"/>
              </w:rPr>
            </w:pPr>
          </w:p>
        </w:tc>
        <w:tc>
          <w:tcPr>
            <w:tcW w:w="2160" w:type="dxa"/>
            <w:gridSpan w:val="2"/>
            <w:tcBorders>
              <w:tl2br w:val="nil"/>
              <w:tr2bl w:val="nil"/>
            </w:tcBorders>
            <w:shd w:val="clear" w:color="auto" w:fill="auto"/>
            <w:vAlign w:val="center"/>
          </w:tcPr>
          <w:p w14:paraId="5EBD772F">
            <w:pPr>
              <w:pStyle w:val="41"/>
              <w:bidi w:val="0"/>
              <w:rPr>
                <w:rFonts w:hint="eastAsia"/>
                <w:color w:val="auto"/>
                <w:highlight w:val="none"/>
              </w:rPr>
            </w:pPr>
            <w:r>
              <w:rPr>
                <w:rFonts w:hint="eastAsia"/>
                <w:color w:val="auto"/>
                <w:highlight w:val="none"/>
                <w:lang w:val="en-US" w:eastAsia="zh-CN"/>
              </w:rPr>
              <w:t>生活水污泥</w:t>
            </w:r>
          </w:p>
        </w:tc>
        <w:tc>
          <w:tcPr>
            <w:tcW w:w="1080" w:type="dxa"/>
            <w:tcBorders>
              <w:tl2br w:val="nil"/>
              <w:tr2bl w:val="nil"/>
            </w:tcBorders>
            <w:shd w:val="clear" w:color="auto" w:fill="auto"/>
            <w:vAlign w:val="center"/>
          </w:tcPr>
          <w:p w14:paraId="106AB730">
            <w:pPr>
              <w:pStyle w:val="41"/>
              <w:bidi w:val="0"/>
              <w:rPr>
                <w:rFonts w:hint="default"/>
                <w:color w:val="auto"/>
                <w:highlight w:val="none"/>
              </w:rPr>
            </w:pPr>
            <w:r>
              <w:rPr>
                <w:rFonts w:hint="default"/>
                <w:color w:val="auto"/>
                <w:highlight w:val="none"/>
                <w:lang w:val="en-US" w:eastAsia="zh-CN"/>
              </w:rPr>
              <w:t>1.5</w:t>
            </w:r>
          </w:p>
        </w:tc>
        <w:tc>
          <w:tcPr>
            <w:tcW w:w="1080" w:type="dxa"/>
            <w:tcBorders>
              <w:tl2br w:val="nil"/>
              <w:tr2bl w:val="nil"/>
            </w:tcBorders>
            <w:shd w:val="clear" w:color="auto" w:fill="auto"/>
            <w:vAlign w:val="center"/>
          </w:tcPr>
          <w:p w14:paraId="1CB4D2B9">
            <w:pPr>
              <w:pStyle w:val="41"/>
              <w:bidi w:val="0"/>
              <w:rPr>
                <w:rFonts w:hint="default"/>
                <w:color w:val="auto"/>
                <w:highlight w:val="none"/>
              </w:rPr>
            </w:pPr>
            <w:r>
              <w:rPr>
                <w:rFonts w:hint="default"/>
                <w:color w:val="auto"/>
                <w:highlight w:val="none"/>
                <w:lang w:val="en-US" w:eastAsia="zh-CN"/>
              </w:rPr>
              <w:t>6.63</w:t>
            </w:r>
          </w:p>
        </w:tc>
        <w:tc>
          <w:tcPr>
            <w:tcW w:w="1110" w:type="dxa"/>
            <w:tcBorders>
              <w:tl2br w:val="nil"/>
              <w:tr2bl w:val="nil"/>
            </w:tcBorders>
            <w:shd w:val="clear" w:color="auto" w:fill="auto"/>
            <w:vAlign w:val="center"/>
          </w:tcPr>
          <w:p w14:paraId="5B8F6700">
            <w:pPr>
              <w:pStyle w:val="41"/>
              <w:bidi w:val="0"/>
              <w:rPr>
                <w:rFonts w:hint="default"/>
                <w:color w:val="auto"/>
                <w:highlight w:val="none"/>
              </w:rPr>
            </w:pPr>
          </w:p>
        </w:tc>
        <w:tc>
          <w:tcPr>
            <w:tcW w:w="1080" w:type="dxa"/>
            <w:tcBorders>
              <w:tl2br w:val="nil"/>
              <w:tr2bl w:val="nil"/>
            </w:tcBorders>
            <w:shd w:val="clear" w:color="auto" w:fill="auto"/>
            <w:vAlign w:val="center"/>
          </w:tcPr>
          <w:p w14:paraId="5F8F4F30">
            <w:pPr>
              <w:pStyle w:val="41"/>
              <w:bidi w:val="0"/>
              <w:rPr>
                <w:rFonts w:hint="default"/>
                <w:color w:val="auto"/>
                <w:highlight w:val="none"/>
              </w:rPr>
            </w:pPr>
            <w:r>
              <w:rPr>
                <w:rFonts w:hint="default"/>
                <w:color w:val="auto"/>
                <w:highlight w:val="none"/>
                <w:lang w:val="en-US" w:eastAsia="zh-CN"/>
              </w:rPr>
              <w:t>6.63</w:t>
            </w:r>
          </w:p>
        </w:tc>
        <w:tc>
          <w:tcPr>
            <w:tcW w:w="1080" w:type="dxa"/>
            <w:tcBorders>
              <w:tl2br w:val="nil"/>
              <w:tr2bl w:val="nil"/>
            </w:tcBorders>
            <w:shd w:val="clear" w:color="auto" w:fill="auto"/>
            <w:vAlign w:val="center"/>
          </w:tcPr>
          <w:p w14:paraId="4F1C760D">
            <w:pPr>
              <w:pStyle w:val="41"/>
              <w:bidi w:val="0"/>
              <w:rPr>
                <w:rFonts w:hint="default" w:ascii="Times New Roman" w:hAnsi="Times New Roman" w:eastAsia="华文中宋"/>
                <w:color w:val="auto"/>
                <w:highlight w:val="none"/>
                <w:lang w:val="en-US" w:eastAsia="zh-CN"/>
              </w:rPr>
            </w:pPr>
            <w:r>
              <w:rPr>
                <w:rFonts w:hint="eastAsia"/>
                <w:color w:val="auto"/>
                <w:highlight w:val="none"/>
                <w:lang w:val="en-US" w:eastAsia="zh-CN"/>
              </w:rPr>
              <w:t>+5.13</w:t>
            </w:r>
          </w:p>
        </w:tc>
      </w:tr>
      <w:tr w14:paraId="0D7D42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080" w:type="dxa"/>
            <w:vMerge w:val="continue"/>
            <w:tcBorders>
              <w:tl2br w:val="nil"/>
              <w:tr2bl w:val="nil"/>
            </w:tcBorders>
            <w:shd w:val="clear" w:color="auto" w:fill="auto"/>
            <w:noWrap/>
            <w:vAlign w:val="center"/>
          </w:tcPr>
          <w:p w14:paraId="61D1E898">
            <w:pPr>
              <w:pStyle w:val="41"/>
              <w:bidi w:val="0"/>
              <w:rPr>
                <w:rFonts w:hint="eastAsia"/>
                <w:color w:val="auto"/>
                <w:highlight w:val="none"/>
              </w:rPr>
            </w:pPr>
          </w:p>
        </w:tc>
        <w:tc>
          <w:tcPr>
            <w:tcW w:w="2160" w:type="dxa"/>
            <w:gridSpan w:val="2"/>
            <w:tcBorders>
              <w:tl2br w:val="nil"/>
              <w:tr2bl w:val="nil"/>
            </w:tcBorders>
            <w:shd w:val="clear" w:color="auto" w:fill="auto"/>
            <w:vAlign w:val="center"/>
          </w:tcPr>
          <w:p w14:paraId="5ABE7644">
            <w:pPr>
              <w:pStyle w:val="41"/>
              <w:bidi w:val="0"/>
              <w:rPr>
                <w:rFonts w:hint="eastAsia"/>
                <w:color w:val="auto"/>
                <w:highlight w:val="none"/>
              </w:rPr>
            </w:pPr>
            <w:r>
              <w:rPr>
                <w:rFonts w:hint="eastAsia"/>
                <w:color w:val="auto"/>
                <w:highlight w:val="none"/>
                <w:lang w:val="en-US" w:eastAsia="zh-CN"/>
              </w:rPr>
              <w:t>锅炉灰渣</w:t>
            </w:r>
          </w:p>
        </w:tc>
        <w:tc>
          <w:tcPr>
            <w:tcW w:w="1080" w:type="dxa"/>
            <w:tcBorders>
              <w:tl2br w:val="nil"/>
              <w:tr2bl w:val="nil"/>
            </w:tcBorders>
            <w:shd w:val="clear" w:color="auto" w:fill="auto"/>
            <w:vAlign w:val="center"/>
          </w:tcPr>
          <w:p w14:paraId="03BFD0AA">
            <w:pPr>
              <w:pStyle w:val="41"/>
              <w:bidi w:val="0"/>
              <w:rPr>
                <w:rFonts w:hint="default"/>
                <w:color w:val="auto"/>
                <w:highlight w:val="none"/>
              </w:rPr>
            </w:pPr>
            <w:r>
              <w:rPr>
                <w:rFonts w:hint="default"/>
                <w:color w:val="auto"/>
                <w:highlight w:val="none"/>
                <w:lang w:val="en-US" w:eastAsia="zh-CN"/>
              </w:rPr>
              <w:t>459</w:t>
            </w:r>
          </w:p>
        </w:tc>
        <w:tc>
          <w:tcPr>
            <w:tcW w:w="1080" w:type="dxa"/>
            <w:tcBorders>
              <w:tl2br w:val="nil"/>
              <w:tr2bl w:val="nil"/>
            </w:tcBorders>
            <w:shd w:val="clear" w:color="auto" w:fill="auto"/>
            <w:vAlign w:val="center"/>
          </w:tcPr>
          <w:p w14:paraId="32B4178D">
            <w:pPr>
              <w:pStyle w:val="41"/>
              <w:bidi w:val="0"/>
              <w:rPr>
                <w:rFonts w:hint="default"/>
                <w:color w:val="auto"/>
                <w:highlight w:val="none"/>
              </w:rPr>
            </w:pPr>
            <w:r>
              <w:rPr>
                <w:rFonts w:hint="default"/>
                <w:color w:val="auto"/>
                <w:highlight w:val="none"/>
                <w:lang w:val="en-US" w:eastAsia="zh-CN"/>
              </w:rPr>
              <w:t>42.37</w:t>
            </w:r>
          </w:p>
        </w:tc>
        <w:tc>
          <w:tcPr>
            <w:tcW w:w="1110" w:type="dxa"/>
            <w:tcBorders>
              <w:tl2br w:val="nil"/>
              <w:tr2bl w:val="nil"/>
            </w:tcBorders>
            <w:shd w:val="clear" w:color="auto" w:fill="auto"/>
            <w:vAlign w:val="center"/>
          </w:tcPr>
          <w:p w14:paraId="4EBB2044">
            <w:pPr>
              <w:pStyle w:val="41"/>
              <w:bidi w:val="0"/>
              <w:rPr>
                <w:rFonts w:hint="default"/>
                <w:color w:val="auto"/>
                <w:highlight w:val="none"/>
              </w:rPr>
            </w:pPr>
            <w:r>
              <w:rPr>
                <w:rFonts w:hint="default"/>
                <w:color w:val="auto"/>
                <w:highlight w:val="none"/>
                <w:lang w:val="en-US" w:eastAsia="zh-CN"/>
              </w:rPr>
              <w:t>416.63</w:t>
            </w:r>
          </w:p>
        </w:tc>
        <w:tc>
          <w:tcPr>
            <w:tcW w:w="1080" w:type="dxa"/>
            <w:tcBorders>
              <w:tl2br w:val="nil"/>
              <w:tr2bl w:val="nil"/>
            </w:tcBorders>
            <w:shd w:val="clear" w:color="auto" w:fill="auto"/>
            <w:vAlign w:val="center"/>
          </w:tcPr>
          <w:p w14:paraId="738FEB2E">
            <w:pPr>
              <w:pStyle w:val="41"/>
              <w:bidi w:val="0"/>
              <w:rPr>
                <w:rFonts w:hint="default"/>
                <w:color w:val="auto"/>
                <w:highlight w:val="none"/>
              </w:rPr>
            </w:pPr>
            <w:r>
              <w:rPr>
                <w:rFonts w:hint="default"/>
                <w:color w:val="auto"/>
                <w:highlight w:val="none"/>
                <w:lang w:val="en-US" w:eastAsia="zh-CN"/>
              </w:rPr>
              <w:t>42.37</w:t>
            </w:r>
          </w:p>
        </w:tc>
        <w:tc>
          <w:tcPr>
            <w:tcW w:w="1080" w:type="dxa"/>
            <w:tcBorders>
              <w:tl2br w:val="nil"/>
              <w:tr2bl w:val="nil"/>
            </w:tcBorders>
            <w:shd w:val="clear" w:color="auto" w:fill="auto"/>
            <w:vAlign w:val="center"/>
          </w:tcPr>
          <w:p w14:paraId="083CF7E1">
            <w:pPr>
              <w:pStyle w:val="41"/>
              <w:bidi w:val="0"/>
              <w:rPr>
                <w:rFonts w:hint="default" w:ascii="Times New Roman" w:hAnsi="Times New Roman"/>
                <w:color w:val="auto"/>
                <w:highlight w:val="none"/>
                <w:lang w:val="en-US" w:eastAsia="zh-CN"/>
              </w:rPr>
            </w:pPr>
            <w:r>
              <w:rPr>
                <w:rFonts w:hint="default" w:ascii="Times New Roman" w:hAnsi="Times New Roman"/>
                <w:color w:val="auto"/>
                <w:highlight w:val="none"/>
                <w:lang w:val="en-US" w:eastAsia="zh-CN"/>
              </w:rPr>
              <w:t>-416.63</w:t>
            </w:r>
          </w:p>
        </w:tc>
      </w:tr>
      <w:tr w14:paraId="70FF7D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080" w:type="dxa"/>
            <w:vMerge w:val="continue"/>
            <w:tcBorders>
              <w:tl2br w:val="nil"/>
              <w:tr2bl w:val="nil"/>
            </w:tcBorders>
            <w:shd w:val="clear" w:color="auto" w:fill="auto"/>
            <w:noWrap/>
            <w:vAlign w:val="center"/>
          </w:tcPr>
          <w:p w14:paraId="70C5B61C">
            <w:pPr>
              <w:pStyle w:val="41"/>
              <w:bidi w:val="0"/>
              <w:rPr>
                <w:rFonts w:hint="eastAsia"/>
                <w:color w:val="auto"/>
                <w:highlight w:val="none"/>
              </w:rPr>
            </w:pPr>
          </w:p>
        </w:tc>
        <w:tc>
          <w:tcPr>
            <w:tcW w:w="2160" w:type="dxa"/>
            <w:gridSpan w:val="2"/>
            <w:tcBorders>
              <w:tl2br w:val="nil"/>
              <w:tr2bl w:val="nil"/>
            </w:tcBorders>
            <w:shd w:val="clear" w:color="auto" w:fill="auto"/>
            <w:vAlign w:val="center"/>
          </w:tcPr>
          <w:p w14:paraId="7F94CDC6">
            <w:pPr>
              <w:pStyle w:val="41"/>
              <w:bidi w:val="0"/>
              <w:rPr>
                <w:rFonts w:hint="eastAsia"/>
                <w:color w:val="auto"/>
                <w:highlight w:val="none"/>
              </w:rPr>
            </w:pPr>
            <w:r>
              <w:rPr>
                <w:rFonts w:hint="eastAsia"/>
                <w:color w:val="auto"/>
                <w:highlight w:val="none"/>
                <w:lang w:val="en-US" w:eastAsia="zh-CN"/>
              </w:rPr>
              <w:t>废机油</w:t>
            </w:r>
          </w:p>
        </w:tc>
        <w:tc>
          <w:tcPr>
            <w:tcW w:w="1080" w:type="dxa"/>
            <w:tcBorders>
              <w:tl2br w:val="nil"/>
              <w:tr2bl w:val="nil"/>
            </w:tcBorders>
            <w:shd w:val="clear" w:color="auto" w:fill="auto"/>
            <w:vAlign w:val="center"/>
          </w:tcPr>
          <w:p w14:paraId="6E74380D">
            <w:pPr>
              <w:pStyle w:val="41"/>
              <w:bidi w:val="0"/>
              <w:rPr>
                <w:rFonts w:hint="default"/>
                <w:color w:val="auto"/>
                <w:highlight w:val="none"/>
              </w:rPr>
            </w:pPr>
            <w:r>
              <w:rPr>
                <w:rFonts w:hint="default"/>
                <w:color w:val="auto"/>
                <w:highlight w:val="none"/>
                <w:lang w:val="en-US" w:eastAsia="zh-CN"/>
              </w:rPr>
              <w:t>0.5</w:t>
            </w:r>
          </w:p>
        </w:tc>
        <w:tc>
          <w:tcPr>
            <w:tcW w:w="1080" w:type="dxa"/>
            <w:tcBorders>
              <w:tl2br w:val="nil"/>
              <w:tr2bl w:val="nil"/>
            </w:tcBorders>
            <w:shd w:val="clear" w:color="auto" w:fill="auto"/>
            <w:vAlign w:val="center"/>
          </w:tcPr>
          <w:p w14:paraId="0262A857">
            <w:pPr>
              <w:pStyle w:val="41"/>
              <w:bidi w:val="0"/>
              <w:rPr>
                <w:rFonts w:hint="default"/>
                <w:color w:val="auto"/>
                <w:highlight w:val="none"/>
              </w:rPr>
            </w:pPr>
            <w:r>
              <w:rPr>
                <w:rFonts w:hint="default"/>
                <w:color w:val="auto"/>
                <w:highlight w:val="none"/>
                <w:lang w:val="en-US" w:eastAsia="zh-CN"/>
              </w:rPr>
              <w:t>3</w:t>
            </w:r>
          </w:p>
        </w:tc>
        <w:tc>
          <w:tcPr>
            <w:tcW w:w="1110" w:type="dxa"/>
            <w:tcBorders>
              <w:tl2br w:val="nil"/>
              <w:tr2bl w:val="nil"/>
            </w:tcBorders>
            <w:shd w:val="clear" w:color="auto" w:fill="auto"/>
            <w:vAlign w:val="center"/>
          </w:tcPr>
          <w:p w14:paraId="2B6AC93E">
            <w:pPr>
              <w:pStyle w:val="41"/>
              <w:bidi w:val="0"/>
              <w:rPr>
                <w:rFonts w:hint="default"/>
                <w:color w:val="auto"/>
                <w:highlight w:val="none"/>
              </w:rPr>
            </w:pPr>
            <w:r>
              <w:rPr>
                <w:rFonts w:hint="default"/>
                <w:color w:val="auto"/>
                <w:highlight w:val="none"/>
                <w:lang w:val="en-US" w:eastAsia="zh-CN"/>
              </w:rPr>
              <w:t>--</w:t>
            </w:r>
          </w:p>
        </w:tc>
        <w:tc>
          <w:tcPr>
            <w:tcW w:w="1080" w:type="dxa"/>
            <w:tcBorders>
              <w:tl2br w:val="nil"/>
              <w:tr2bl w:val="nil"/>
            </w:tcBorders>
            <w:shd w:val="clear" w:color="auto" w:fill="auto"/>
            <w:vAlign w:val="center"/>
          </w:tcPr>
          <w:p w14:paraId="3716D8D0">
            <w:pPr>
              <w:pStyle w:val="41"/>
              <w:bidi w:val="0"/>
              <w:rPr>
                <w:rFonts w:hint="default"/>
                <w:color w:val="auto"/>
                <w:highlight w:val="none"/>
              </w:rPr>
            </w:pPr>
            <w:r>
              <w:rPr>
                <w:rFonts w:hint="default"/>
                <w:color w:val="auto"/>
                <w:highlight w:val="none"/>
                <w:lang w:val="en-US" w:eastAsia="zh-CN"/>
              </w:rPr>
              <w:t>3</w:t>
            </w:r>
          </w:p>
        </w:tc>
        <w:tc>
          <w:tcPr>
            <w:tcW w:w="1080" w:type="dxa"/>
            <w:tcBorders>
              <w:tl2br w:val="nil"/>
              <w:tr2bl w:val="nil"/>
            </w:tcBorders>
            <w:shd w:val="clear" w:color="auto" w:fill="auto"/>
            <w:vAlign w:val="center"/>
          </w:tcPr>
          <w:p w14:paraId="59BF9DF5">
            <w:pPr>
              <w:pStyle w:val="41"/>
              <w:bidi w:val="0"/>
              <w:rPr>
                <w:rFonts w:hint="default" w:ascii="Times New Roman" w:hAnsi="Times New Roman"/>
                <w:color w:val="auto"/>
                <w:highlight w:val="none"/>
                <w:lang w:val="en-US" w:eastAsia="zh-CN"/>
              </w:rPr>
            </w:pPr>
            <w:r>
              <w:rPr>
                <w:rFonts w:hint="default" w:ascii="Times New Roman" w:hAnsi="Times New Roman"/>
                <w:color w:val="auto"/>
                <w:highlight w:val="none"/>
                <w:lang w:val="en-US" w:eastAsia="zh-CN"/>
              </w:rPr>
              <w:t>2.5</w:t>
            </w:r>
          </w:p>
        </w:tc>
      </w:tr>
      <w:tr w14:paraId="65FAC2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080" w:type="dxa"/>
            <w:vMerge w:val="continue"/>
            <w:tcBorders>
              <w:tl2br w:val="nil"/>
              <w:tr2bl w:val="nil"/>
            </w:tcBorders>
            <w:shd w:val="clear" w:color="auto" w:fill="auto"/>
            <w:noWrap/>
            <w:vAlign w:val="center"/>
          </w:tcPr>
          <w:p w14:paraId="2B176AE8">
            <w:pPr>
              <w:pStyle w:val="41"/>
              <w:bidi w:val="0"/>
              <w:rPr>
                <w:rFonts w:hint="eastAsia"/>
                <w:color w:val="auto"/>
                <w:highlight w:val="none"/>
              </w:rPr>
            </w:pPr>
          </w:p>
        </w:tc>
        <w:tc>
          <w:tcPr>
            <w:tcW w:w="2160" w:type="dxa"/>
            <w:gridSpan w:val="2"/>
            <w:tcBorders>
              <w:tl2br w:val="nil"/>
              <w:tr2bl w:val="nil"/>
            </w:tcBorders>
            <w:shd w:val="clear" w:color="auto" w:fill="auto"/>
            <w:vAlign w:val="center"/>
          </w:tcPr>
          <w:p w14:paraId="03DA50D8">
            <w:pPr>
              <w:pStyle w:val="41"/>
              <w:bidi w:val="0"/>
              <w:rPr>
                <w:rFonts w:hint="eastAsia"/>
                <w:color w:val="auto"/>
                <w:highlight w:val="none"/>
              </w:rPr>
            </w:pPr>
            <w:r>
              <w:rPr>
                <w:rFonts w:hint="eastAsia"/>
                <w:color w:val="auto"/>
                <w:highlight w:val="none"/>
                <w:lang w:val="en-US" w:eastAsia="zh-CN"/>
              </w:rPr>
              <w:t>尾矿砂</w:t>
            </w:r>
          </w:p>
        </w:tc>
        <w:tc>
          <w:tcPr>
            <w:tcW w:w="1080" w:type="dxa"/>
            <w:tcBorders>
              <w:tl2br w:val="nil"/>
              <w:tr2bl w:val="nil"/>
            </w:tcBorders>
            <w:shd w:val="clear" w:color="auto" w:fill="auto"/>
            <w:vAlign w:val="center"/>
          </w:tcPr>
          <w:p w14:paraId="72273C77">
            <w:pPr>
              <w:pStyle w:val="41"/>
              <w:bidi w:val="0"/>
              <w:rPr>
                <w:rFonts w:hint="default"/>
                <w:color w:val="auto"/>
                <w:highlight w:val="none"/>
              </w:rPr>
            </w:pPr>
            <w:r>
              <w:rPr>
                <w:rFonts w:hint="default"/>
                <w:color w:val="auto"/>
                <w:highlight w:val="none"/>
                <w:lang w:val="en-US" w:eastAsia="zh-CN"/>
              </w:rPr>
              <w:t>17.74</w:t>
            </w:r>
            <w:r>
              <w:rPr>
                <w:rFonts w:hint="eastAsia"/>
                <w:color w:val="auto"/>
                <w:highlight w:val="none"/>
                <w:lang w:val="en-US" w:eastAsia="zh-CN"/>
              </w:rPr>
              <w:t>万</w:t>
            </w:r>
          </w:p>
        </w:tc>
        <w:tc>
          <w:tcPr>
            <w:tcW w:w="1080" w:type="dxa"/>
            <w:tcBorders>
              <w:tl2br w:val="nil"/>
              <w:tr2bl w:val="nil"/>
            </w:tcBorders>
            <w:shd w:val="clear" w:color="auto" w:fill="auto"/>
            <w:vAlign w:val="center"/>
          </w:tcPr>
          <w:p w14:paraId="2EC17735">
            <w:pPr>
              <w:pStyle w:val="41"/>
              <w:bidi w:val="0"/>
              <w:rPr>
                <w:rFonts w:hint="default"/>
                <w:color w:val="auto"/>
                <w:highlight w:val="none"/>
              </w:rPr>
            </w:pPr>
            <w:r>
              <w:rPr>
                <w:rFonts w:hint="default"/>
                <w:color w:val="auto"/>
                <w:highlight w:val="none"/>
                <w:lang w:val="en-US" w:eastAsia="zh-CN"/>
              </w:rPr>
              <w:t>302</w:t>
            </w:r>
            <w:r>
              <w:rPr>
                <w:rFonts w:hint="eastAsia"/>
                <w:color w:val="auto"/>
                <w:highlight w:val="none"/>
                <w:lang w:val="en-US" w:eastAsia="zh-CN"/>
              </w:rPr>
              <w:t>万</w:t>
            </w:r>
          </w:p>
        </w:tc>
        <w:tc>
          <w:tcPr>
            <w:tcW w:w="1110" w:type="dxa"/>
            <w:tcBorders>
              <w:tl2br w:val="nil"/>
              <w:tr2bl w:val="nil"/>
            </w:tcBorders>
            <w:shd w:val="clear" w:color="auto" w:fill="auto"/>
            <w:vAlign w:val="center"/>
          </w:tcPr>
          <w:p w14:paraId="7407C2C6">
            <w:pPr>
              <w:pStyle w:val="41"/>
              <w:bidi w:val="0"/>
              <w:rPr>
                <w:rFonts w:hint="default"/>
                <w:color w:val="auto"/>
                <w:highlight w:val="none"/>
              </w:rPr>
            </w:pPr>
            <w:r>
              <w:rPr>
                <w:rFonts w:hint="default"/>
                <w:color w:val="auto"/>
                <w:highlight w:val="none"/>
                <w:lang w:val="en-US" w:eastAsia="zh-CN"/>
              </w:rPr>
              <w:t>--</w:t>
            </w:r>
          </w:p>
        </w:tc>
        <w:tc>
          <w:tcPr>
            <w:tcW w:w="1080" w:type="dxa"/>
            <w:tcBorders>
              <w:tl2br w:val="nil"/>
              <w:tr2bl w:val="nil"/>
            </w:tcBorders>
            <w:shd w:val="clear" w:color="auto" w:fill="auto"/>
            <w:vAlign w:val="center"/>
          </w:tcPr>
          <w:p w14:paraId="779BFC52">
            <w:pPr>
              <w:pStyle w:val="41"/>
              <w:bidi w:val="0"/>
              <w:rPr>
                <w:rFonts w:hint="default"/>
                <w:color w:val="auto"/>
                <w:highlight w:val="none"/>
              </w:rPr>
            </w:pPr>
            <w:r>
              <w:rPr>
                <w:rFonts w:hint="default"/>
                <w:color w:val="auto"/>
                <w:highlight w:val="none"/>
                <w:lang w:val="en-US" w:eastAsia="zh-CN"/>
              </w:rPr>
              <w:t>302</w:t>
            </w:r>
            <w:r>
              <w:rPr>
                <w:rFonts w:hint="eastAsia"/>
                <w:color w:val="auto"/>
                <w:highlight w:val="none"/>
                <w:lang w:val="en-US" w:eastAsia="zh-CN"/>
              </w:rPr>
              <w:t>万</w:t>
            </w:r>
          </w:p>
        </w:tc>
        <w:tc>
          <w:tcPr>
            <w:tcW w:w="1080" w:type="dxa"/>
            <w:tcBorders>
              <w:tl2br w:val="nil"/>
              <w:tr2bl w:val="nil"/>
            </w:tcBorders>
            <w:shd w:val="clear" w:color="auto" w:fill="auto"/>
            <w:vAlign w:val="center"/>
          </w:tcPr>
          <w:p w14:paraId="139323B2">
            <w:pPr>
              <w:pStyle w:val="41"/>
              <w:bidi w:val="0"/>
              <w:rPr>
                <w:rFonts w:hint="default" w:ascii="Times New Roman" w:hAnsi="Times New Roman"/>
                <w:color w:val="auto"/>
                <w:highlight w:val="none"/>
                <w:lang w:val="en-US" w:eastAsia="zh-CN"/>
              </w:rPr>
            </w:pPr>
            <w:r>
              <w:rPr>
                <w:rFonts w:hint="default" w:ascii="Times New Roman" w:hAnsi="Times New Roman"/>
                <w:color w:val="auto"/>
                <w:highlight w:val="none"/>
                <w:lang w:val="en-US" w:eastAsia="zh-CN"/>
              </w:rPr>
              <w:t>284.26</w:t>
            </w:r>
            <w:r>
              <w:rPr>
                <w:rFonts w:hint="eastAsia" w:ascii="Times New Roman" w:hAnsi="Times New Roman"/>
                <w:color w:val="auto"/>
                <w:highlight w:val="none"/>
                <w:lang w:val="en-US" w:eastAsia="zh-CN"/>
              </w:rPr>
              <w:t>万</w:t>
            </w:r>
          </w:p>
        </w:tc>
      </w:tr>
      <w:tr w14:paraId="6CB91A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080" w:type="dxa"/>
            <w:vMerge w:val="continue"/>
            <w:tcBorders>
              <w:tl2br w:val="nil"/>
              <w:tr2bl w:val="nil"/>
            </w:tcBorders>
            <w:shd w:val="clear" w:color="auto" w:fill="auto"/>
            <w:noWrap/>
            <w:vAlign w:val="center"/>
          </w:tcPr>
          <w:p w14:paraId="0AA727D9">
            <w:pPr>
              <w:pStyle w:val="41"/>
              <w:bidi w:val="0"/>
              <w:rPr>
                <w:rFonts w:hint="eastAsia"/>
                <w:color w:val="auto"/>
                <w:highlight w:val="none"/>
              </w:rPr>
            </w:pPr>
          </w:p>
        </w:tc>
        <w:tc>
          <w:tcPr>
            <w:tcW w:w="2160" w:type="dxa"/>
            <w:gridSpan w:val="2"/>
            <w:tcBorders>
              <w:tl2br w:val="nil"/>
              <w:tr2bl w:val="nil"/>
            </w:tcBorders>
            <w:shd w:val="clear" w:color="auto" w:fill="auto"/>
            <w:vAlign w:val="center"/>
          </w:tcPr>
          <w:p w14:paraId="0F08087E">
            <w:pPr>
              <w:pStyle w:val="41"/>
              <w:bidi w:val="0"/>
              <w:rPr>
                <w:rFonts w:hint="eastAsia"/>
                <w:color w:val="auto"/>
                <w:highlight w:val="none"/>
              </w:rPr>
            </w:pPr>
            <w:r>
              <w:rPr>
                <w:rFonts w:hint="eastAsia"/>
                <w:color w:val="auto"/>
                <w:highlight w:val="none"/>
                <w:lang w:val="en-US" w:eastAsia="zh-CN"/>
              </w:rPr>
              <w:t>废石</w:t>
            </w:r>
          </w:p>
        </w:tc>
        <w:tc>
          <w:tcPr>
            <w:tcW w:w="1080" w:type="dxa"/>
            <w:tcBorders>
              <w:tl2br w:val="nil"/>
              <w:tr2bl w:val="nil"/>
            </w:tcBorders>
            <w:shd w:val="clear" w:color="auto" w:fill="auto"/>
            <w:vAlign w:val="center"/>
          </w:tcPr>
          <w:p w14:paraId="600CC862">
            <w:pPr>
              <w:pStyle w:val="41"/>
              <w:bidi w:val="0"/>
              <w:rPr>
                <w:rFonts w:hint="default"/>
                <w:color w:val="auto"/>
                <w:highlight w:val="none"/>
              </w:rPr>
            </w:pPr>
            <w:r>
              <w:rPr>
                <w:rFonts w:hint="default"/>
                <w:color w:val="auto"/>
                <w:highlight w:val="none"/>
                <w:lang w:val="en-US" w:eastAsia="zh-CN"/>
              </w:rPr>
              <w:t>10.42</w:t>
            </w:r>
            <w:r>
              <w:rPr>
                <w:rFonts w:hint="eastAsia"/>
                <w:color w:val="auto"/>
                <w:highlight w:val="none"/>
                <w:lang w:val="en-US" w:eastAsia="zh-CN"/>
              </w:rPr>
              <w:t>万</w:t>
            </w:r>
          </w:p>
        </w:tc>
        <w:tc>
          <w:tcPr>
            <w:tcW w:w="1080" w:type="dxa"/>
            <w:tcBorders>
              <w:tl2br w:val="nil"/>
              <w:tr2bl w:val="nil"/>
            </w:tcBorders>
            <w:shd w:val="clear" w:color="auto" w:fill="auto"/>
            <w:vAlign w:val="center"/>
          </w:tcPr>
          <w:p w14:paraId="49B7DECA">
            <w:pPr>
              <w:pStyle w:val="41"/>
              <w:bidi w:val="0"/>
              <w:rPr>
                <w:rFonts w:hint="default"/>
                <w:color w:val="auto"/>
                <w:highlight w:val="none"/>
              </w:rPr>
            </w:pPr>
            <w:r>
              <w:rPr>
                <w:rFonts w:hint="default"/>
                <w:color w:val="auto"/>
                <w:highlight w:val="none"/>
                <w:lang w:val="en-US" w:eastAsia="zh-CN"/>
              </w:rPr>
              <w:t>232</w:t>
            </w:r>
            <w:r>
              <w:rPr>
                <w:rFonts w:hint="eastAsia"/>
                <w:color w:val="auto"/>
                <w:highlight w:val="none"/>
                <w:lang w:val="en-US" w:eastAsia="zh-CN"/>
              </w:rPr>
              <w:t>万</w:t>
            </w:r>
          </w:p>
        </w:tc>
        <w:tc>
          <w:tcPr>
            <w:tcW w:w="1110" w:type="dxa"/>
            <w:tcBorders>
              <w:tl2br w:val="nil"/>
              <w:tr2bl w:val="nil"/>
            </w:tcBorders>
            <w:shd w:val="clear" w:color="auto" w:fill="auto"/>
            <w:vAlign w:val="center"/>
          </w:tcPr>
          <w:p w14:paraId="2C20992A">
            <w:pPr>
              <w:pStyle w:val="41"/>
              <w:bidi w:val="0"/>
              <w:rPr>
                <w:rFonts w:hint="default"/>
                <w:color w:val="auto"/>
                <w:highlight w:val="none"/>
              </w:rPr>
            </w:pPr>
            <w:r>
              <w:rPr>
                <w:rFonts w:hint="default"/>
                <w:color w:val="auto"/>
                <w:highlight w:val="none"/>
                <w:lang w:val="en-US" w:eastAsia="zh-CN"/>
              </w:rPr>
              <w:t>--</w:t>
            </w:r>
          </w:p>
        </w:tc>
        <w:tc>
          <w:tcPr>
            <w:tcW w:w="1080" w:type="dxa"/>
            <w:tcBorders>
              <w:tl2br w:val="nil"/>
              <w:tr2bl w:val="nil"/>
            </w:tcBorders>
            <w:shd w:val="clear" w:color="auto" w:fill="auto"/>
            <w:vAlign w:val="center"/>
          </w:tcPr>
          <w:p w14:paraId="64CBB994">
            <w:pPr>
              <w:pStyle w:val="41"/>
              <w:bidi w:val="0"/>
              <w:rPr>
                <w:rFonts w:hint="default"/>
                <w:color w:val="auto"/>
                <w:highlight w:val="none"/>
              </w:rPr>
            </w:pPr>
            <w:r>
              <w:rPr>
                <w:rFonts w:hint="default"/>
                <w:color w:val="auto"/>
                <w:highlight w:val="none"/>
                <w:lang w:val="en-US" w:eastAsia="zh-CN"/>
              </w:rPr>
              <w:t>232</w:t>
            </w:r>
            <w:r>
              <w:rPr>
                <w:rFonts w:hint="eastAsia"/>
                <w:color w:val="auto"/>
                <w:highlight w:val="none"/>
                <w:lang w:val="en-US" w:eastAsia="zh-CN"/>
              </w:rPr>
              <w:t>万</w:t>
            </w:r>
          </w:p>
        </w:tc>
        <w:tc>
          <w:tcPr>
            <w:tcW w:w="0" w:type="auto"/>
            <w:tcBorders>
              <w:tl2br w:val="nil"/>
              <w:tr2bl w:val="nil"/>
            </w:tcBorders>
            <w:shd w:val="clear" w:color="auto" w:fill="auto"/>
            <w:noWrap/>
            <w:vAlign w:val="center"/>
          </w:tcPr>
          <w:p w14:paraId="365FDB69">
            <w:pPr>
              <w:pStyle w:val="41"/>
              <w:bidi w:val="0"/>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221.58</w:t>
            </w:r>
            <w:r>
              <w:rPr>
                <w:rFonts w:hint="eastAsia"/>
                <w:color w:val="auto"/>
                <w:highlight w:val="none"/>
                <w:lang w:val="en-US" w:eastAsia="zh-CN"/>
              </w:rPr>
              <w:t>万元</w:t>
            </w:r>
          </w:p>
        </w:tc>
      </w:tr>
    </w:tbl>
    <w:p w14:paraId="284D56F7">
      <w:pPr>
        <w:bidi w:val="0"/>
        <w:rPr>
          <w:rFonts w:hint="eastAsia"/>
          <w:color w:val="auto"/>
          <w:highlight w:val="none"/>
        </w:rPr>
      </w:pPr>
      <w:r>
        <w:rPr>
          <w:rFonts w:hint="eastAsia"/>
          <w:color w:val="auto"/>
          <w:highlight w:val="none"/>
        </w:rPr>
        <w:t>由上表可知，排水及水污染物排放量为零排放，经改扩建后经处理后的生产废水和生活污水全部</w:t>
      </w:r>
      <w:r>
        <w:rPr>
          <w:rFonts w:hint="eastAsia"/>
          <w:color w:val="auto"/>
          <w:highlight w:val="none"/>
          <w:lang w:eastAsia="zh-CN"/>
        </w:rPr>
        <w:t>回用</w:t>
      </w:r>
      <w:r>
        <w:rPr>
          <w:rFonts w:hint="eastAsia"/>
          <w:color w:val="auto"/>
          <w:highlight w:val="none"/>
        </w:rPr>
        <w:t>，废水不外排。</w:t>
      </w:r>
    </w:p>
    <w:p w14:paraId="74F65A8F">
      <w:pPr>
        <w:bidi w:val="0"/>
        <w:rPr>
          <w:rFonts w:hint="eastAsia"/>
          <w:color w:val="auto"/>
          <w:highlight w:val="none"/>
        </w:rPr>
      </w:pPr>
      <w:r>
        <w:rPr>
          <w:rFonts w:hint="eastAsia"/>
          <w:color w:val="auto"/>
          <w:highlight w:val="none"/>
        </w:rPr>
        <w:t>项目拆除燃煤锅炉，安装</w:t>
      </w:r>
      <w:r>
        <w:rPr>
          <w:rFonts w:hint="eastAsia"/>
          <w:color w:val="auto"/>
          <w:highlight w:val="none"/>
          <w:lang w:eastAsia="zh-CN"/>
        </w:rPr>
        <w:t>生物质锅炉</w:t>
      </w:r>
      <w:r>
        <w:rPr>
          <w:rFonts w:hint="eastAsia"/>
          <w:color w:val="auto"/>
          <w:highlight w:val="none"/>
        </w:rPr>
        <w:t>，消减了原有大气污染物排放量，满足排放要求。</w:t>
      </w:r>
    </w:p>
    <w:p w14:paraId="5C11BC8A">
      <w:pPr>
        <w:pStyle w:val="39"/>
        <w:rPr>
          <w:rFonts w:hint="default"/>
          <w:color w:val="auto"/>
          <w:highlight w:val="none"/>
        </w:rPr>
      </w:pPr>
      <w:bookmarkStart w:id="317" w:name="_Toc528146393"/>
      <w:bookmarkStart w:id="318" w:name="_Toc30874"/>
      <w:bookmarkStart w:id="319" w:name="_Toc20087"/>
      <w:r>
        <w:rPr>
          <w:rFonts w:hint="default"/>
          <w:color w:val="auto"/>
          <w:highlight w:val="none"/>
        </w:rPr>
        <w:t>总量控制</w:t>
      </w:r>
      <w:bookmarkEnd w:id="317"/>
      <w:bookmarkEnd w:id="318"/>
      <w:bookmarkEnd w:id="319"/>
    </w:p>
    <w:p w14:paraId="2F7AEF52">
      <w:pPr>
        <w:pStyle w:val="3"/>
        <w:ind w:firstLine="480"/>
        <w:rPr>
          <w:rFonts w:hint="eastAsia"/>
          <w:color w:val="auto"/>
          <w:highlight w:val="none"/>
        </w:rPr>
      </w:pPr>
      <w:r>
        <w:rPr>
          <w:color w:val="auto"/>
          <w:highlight w:val="none"/>
        </w:rPr>
        <w:t>根据《关于进一步加强重金属污染防控的意见》（环固体〔2022〕17号），铅、汞、镉、铬、砷、铊、锑属于重点重金属污染物。本项目属于钛铁矿选矿项目，不属于《关于加强涉重金属行业污染防控的意见》及《关于印发新疆维吾尔自治区加强涉重金属行业污染防控工作方案的通知》中所提及的重有色金属矿采选业（铜、铅锌、镍钴、锡、锑和汞矿采选）、重有色金属冶炼业（铜、铅锌、镍钴、锡、锑和汞冶炼）等重点行业。</w:t>
      </w:r>
      <w:r>
        <w:rPr>
          <w:rFonts w:hint="eastAsia"/>
          <w:color w:val="auto"/>
          <w:highlight w:val="none"/>
        </w:rPr>
        <w:t>本项目为阿图什市环球矿业有限公司新疆阿图什市托斯莫铁矿配套的选矿厂，利用该矿的钒钛磁铁矿通过磨矿－弱磁分选磁铁矿－重选等</w:t>
      </w:r>
      <w:r>
        <w:rPr>
          <w:rFonts w:hint="eastAsia"/>
          <w:color w:val="auto"/>
          <w:highlight w:val="none"/>
          <w:lang w:eastAsia="zh-CN"/>
        </w:rPr>
        <w:t>物理方式</w:t>
      </w:r>
      <w:r>
        <w:rPr>
          <w:rFonts w:hint="eastAsia"/>
          <w:color w:val="auto"/>
          <w:highlight w:val="none"/>
        </w:rPr>
        <w:t>得到钛精粉和铁精粉，</w:t>
      </w:r>
      <w:r>
        <w:rPr>
          <w:rFonts w:hint="eastAsia"/>
          <w:color w:val="auto"/>
          <w:highlight w:val="none"/>
          <w:lang w:eastAsia="zh-CN"/>
        </w:rPr>
        <w:t>原矿石中虽含有“铅（</w:t>
      </w:r>
      <w:r>
        <w:rPr>
          <w:rFonts w:hint="eastAsia"/>
          <w:color w:val="auto"/>
          <w:highlight w:val="none"/>
          <w:lang w:val="en-US" w:eastAsia="zh-CN"/>
        </w:rPr>
        <w:t>0.003%</w:t>
      </w:r>
      <w:r>
        <w:rPr>
          <w:rFonts w:hint="eastAsia"/>
          <w:color w:val="auto"/>
          <w:highlight w:val="none"/>
          <w:lang w:eastAsia="zh-CN"/>
        </w:rPr>
        <w:t>）、镍（</w:t>
      </w:r>
      <w:r>
        <w:rPr>
          <w:rFonts w:hint="eastAsia"/>
          <w:color w:val="auto"/>
          <w:highlight w:val="none"/>
          <w:lang w:val="en-US" w:eastAsia="zh-CN"/>
        </w:rPr>
        <w:t>0.009%</w:t>
      </w:r>
      <w:r>
        <w:rPr>
          <w:rFonts w:hint="eastAsia"/>
          <w:color w:val="auto"/>
          <w:highlight w:val="none"/>
          <w:lang w:eastAsia="zh-CN"/>
        </w:rPr>
        <w:t>）、钴（</w:t>
      </w:r>
      <w:r>
        <w:rPr>
          <w:rFonts w:hint="eastAsia"/>
          <w:color w:val="auto"/>
          <w:highlight w:val="none"/>
          <w:lang w:val="en-US" w:eastAsia="zh-CN"/>
        </w:rPr>
        <w:t>0.006%</w:t>
      </w:r>
      <w:r>
        <w:rPr>
          <w:rFonts w:hint="eastAsia"/>
          <w:color w:val="auto"/>
          <w:highlight w:val="none"/>
          <w:lang w:eastAsia="zh-CN"/>
        </w:rPr>
        <w:t>）”等重金属，但</w:t>
      </w:r>
      <w:r>
        <w:rPr>
          <w:color w:val="auto"/>
          <w:highlight w:val="none"/>
        </w:rPr>
        <w:t>原矿石中重金属为微量，</w:t>
      </w:r>
      <w:r>
        <w:rPr>
          <w:rFonts w:hint="eastAsia"/>
          <w:color w:val="auto"/>
          <w:highlight w:val="none"/>
          <w:lang w:eastAsia="zh-CN"/>
        </w:rPr>
        <w:t>并且</w:t>
      </w:r>
      <w:r>
        <w:rPr>
          <w:rFonts w:hint="eastAsia"/>
          <w:color w:val="auto"/>
          <w:highlight w:val="none"/>
        </w:rPr>
        <w:t>项目废气执行</w:t>
      </w:r>
      <w:r>
        <w:rPr>
          <w:rFonts w:hint="eastAsia"/>
          <w:color w:val="auto"/>
          <w:highlight w:val="none"/>
          <w:lang w:val="en-US" w:eastAsia="zh-CN"/>
        </w:rPr>
        <w:t>的</w:t>
      </w:r>
      <w:r>
        <w:rPr>
          <w:color w:val="auto"/>
          <w:highlight w:val="none"/>
        </w:rPr>
        <w:t>《铁矿采选工业污染物排放标准》（GB28661-2012）</w:t>
      </w:r>
      <w:r>
        <w:rPr>
          <w:rFonts w:hint="eastAsia"/>
          <w:color w:val="auto"/>
          <w:highlight w:val="none"/>
        </w:rPr>
        <w:t>以及《排放源统计调查产排污核算方法和系数手册》中，大气污染因子为颗粒物，</w:t>
      </w:r>
      <w:r>
        <w:rPr>
          <w:rFonts w:hint="eastAsia"/>
          <w:color w:val="auto"/>
          <w:highlight w:val="none"/>
          <w:lang w:eastAsia="zh-CN"/>
        </w:rPr>
        <w:t>因此</w:t>
      </w:r>
      <w:r>
        <w:rPr>
          <w:rFonts w:hint="eastAsia"/>
          <w:color w:val="auto"/>
          <w:highlight w:val="none"/>
        </w:rPr>
        <w:t>，项目不需设置重金属污染总量控制指标。</w:t>
      </w:r>
    </w:p>
    <w:p w14:paraId="1A3BF9ED">
      <w:pPr>
        <w:pStyle w:val="3"/>
        <w:ind w:firstLine="480"/>
        <w:rPr>
          <w:color w:val="auto"/>
          <w:highlight w:val="none"/>
        </w:rPr>
      </w:pPr>
      <w:r>
        <w:rPr>
          <w:rFonts w:hint="eastAsia"/>
          <w:color w:val="auto"/>
          <w:highlight w:val="none"/>
        </w:rPr>
        <w:t>“</w:t>
      </w:r>
      <w:r>
        <w:rPr>
          <w:color w:val="auto"/>
          <w:highlight w:val="none"/>
        </w:rPr>
        <w:t>十四五</w:t>
      </w:r>
      <w:r>
        <w:rPr>
          <w:rFonts w:hint="eastAsia"/>
          <w:color w:val="auto"/>
          <w:highlight w:val="none"/>
        </w:rPr>
        <w:t>”</w:t>
      </w:r>
      <w:r>
        <w:rPr>
          <w:color w:val="auto"/>
          <w:highlight w:val="none"/>
        </w:rPr>
        <w:t>期间，国家对主要污染物总量控制指标体系进行了调整，调整后的主要污染物减排指标包括氮氧化物、挥发性有机物、化学需氧量、氨氮。生产废水</w:t>
      </w:r>
      <w:r>
        <w:rPr>
          <w:rFonts w:hint="eastAsia"/>
          <w:color w:val="auto"/>
          <w:highlight w:val="none"/>
        </w:rPr>
        <w:t>经</w:t>
      </w:r>
      <w:r>
        <w:rPr>
          <w:color w:val="auto"/>
          <w:highlight w:val="none"/>
        </w:rPr>
        <w:t>沉淀处理</w:t>
      </w:r>
      <w:r>
        <w:rPr>
          <w:rFonts w:hint="eastAsia"/>
          <w:color w:val="auto"/>
          <w:highlight w:val="none"/>
        </w:rPr>
        <w:t>回用于选矿生产</w:t>
      </w:r>
      <w:r>
        <w:rPr>
          <w:color w:val="auto"/>
          <w:highlight w:val="none"/>
        </w:rPr>
        <w:t>，不外排；生活污水集中收集经处理达标后用于项目区及周边绿化等进行综合利用。</w:t>
      </w:r>
      <w:r>
        <w:rPr>
          <w:rFonts w:hint="eastAsia"/>
          <w:color w:val="auto"/>
          <w:highlight w:val="none"/>
        </w:rPr>
        <w:t>本项目烘干采用生物质窑炉。</w:t>
      </w:r>
    </w:p>
    <w:p w14:paraId="09EFCA79">
      <w:pPr>
        <w:pStyle w:val="3"/>
        <w:ind w:firstLine="480"/>
        <w:rPr>
          <w:color w:val="auto"/>
          <w:highlight w:val="none"/>
        </w:rPr>
      </w:pPr>
      <w:r>
        <w:rPr>
          <w:color w:val="auto"/>
          <w:highlight w:val="none"/>
        </w:rPr>
        <w:t>根据项目实际的排污特点，确定项目大气污染物总量控制因子为氮氧化物</w:t>
      </w:r>
      <w:r>
        <w:rPr>
          <w:rFonts w:hint="eastAsia"/>
          <w:color w:val="auto"/>
          <w:highlight w:val="none"/>
        </w:rPr>
        <w:t>，</w:t>
      </w:r>
      <w:r>
        <w:rPr>
          <w:color w:val="auto"/>
          <w:highlight w:val="none"/>
        </w:rPr>
        <w:t>申请总量指标为NO</w:t>
      </w:r>
      <w:r>
        <w:rPr>
          <w:color w:val="auto"/>
          <w:highlight w:val="none"/>
          <w:vertAlign w:val="subscript"/>
        </w:rPr>
        <w:t>X</w:t>
      </w:r>
      <w:r>
        <w:rPr>
          <w:color w:val="auto"/>
          <w:highlight w:val="none"/>
        </w:rPr>
        <w:t>：</w:t>
      </w:r>
      <w:r>
        <w:rPr>
          <w:rFonts w:hint="eastAsia"/>
          <w:color w:val="auto"/>
          <w:highlight w:val="none"/>
        </w:rPr>
        <w:t>2.754</w:t>
      </w:r>
      <w:r>
        <w:rPr>
          <w:color w:val="auto"/>
          <w:highlight w:val="none"/>
        </w:rPr>
        <w:t>t/a。</w:t>
      </w:r>
    </w:p>
    <w:p w14:paraId="4F374179">
      <w:pPr>
        <w:pStyle w:val="39"/>
        <w:rPr>
          <w:rFonts w:hint="default"/>
          <w:color w:val="auto"/>
          <w:highlight w:val="none"/>
        </w:rPr>
      </w:pPr>
      <w:r>
        <w:rPr>
          <w:rFonts w:hint="default"/>
          <w:color w:val="auto"/>
          <w:highlight w:val="none"/>
        </w:rPr>
        <w:t xml:space="preserve"> </w:t>
      </w:r>
      <w:bookmarkStart w:id="320" w:name="_Toc29900"/>
      <w:bookmarkStart w:id="321" w:name="_Toc8424"/>
      <w:r>
        <w:rPr>
          <w:rFonts w:hint="default"/>
          <w:color w:val="auto"/>
          <w:highlight w:val="none"/>
        </w:rPr>
        <w:t>清洁生产</w:t>
      </w:r>
      <w:bookmarkEnd w:id="320"/>
      <w:bookmarkEnd w:id="321"/>
    </w:p>
    <w:p w14:paraId="15D79DAB">
      <w:pPr>
        <w:pStyle w:val="3"/>
        <w:ind w:firstLine="480"/>
        <w:rPr>
          <w:color w:val="auto"/>
          <w:highlight w:val="none"/>
        </w:rPr>
      </w:pPr>
      <w:r>
        <w:rPr>
          <w:color w:val="auto"/>
          <w:highlight w:val="none"/>
        </w:rPr>
        <w:t>清洁生产是指不断采取改进设计、使用清洁的能源和原料、采用先进的工艺技术与合理的综合利用等措施，从源头削减污染，提高资源利用率，减少或者避免生产、服务和产品使用过程中污染物的产生和排放，以减轻或者消除对人类健康和环境的危害。《中华人民共和国清洁生产促进法》第十八条要求</w:t>
      </w:r>
      <w:r>
        <w:rPr>
          <w:rFonts w:hint="eastAsia"/>
          <w:color w:val="auto"/>
          <w:highlight w:val="none"/>
        </w:rPr>
        <w:t>“</w:t>
      </w:r>
      <w:r>
        <w:rPr>
          <w:color w:val="auto"/>
          <w:highlight w:val="none"/>
        </w:rPr>
        <w:t>新建、改建和扩建项目应当进行环境影响评价，对原料使用、资源消耗、资源综合利用以及处置等进行分析论证。优先采用资源利用率高，污染物产生量少的清洁生产技术、工艺和设备</w:t>
      </w:r>
      <w:r>
        <w:rPr>
          <w:rFonts w:hint="eastAsia"/>
          <w:color w:val="auto"/>
          <w:highlight w:val="none"/>
        </w:rPr>
        <w:t>”</w:t>
      </w:r>
      <w:r>
        <w:rPr>
          <w:color w:val="auto"/>
          <w:highlight w:val="none"/>
        </w:rPr>
        <w:t>。</w:t>
      </w:r>
    </w:p>
    <w:p w14:paraId="0BC87361">
      <w:pPr>
        <w:pStyle w:val="42"/>
        <w:rPr>
          <w:rFonts w:hint="default"/>
          <w:color w:val="auto"/>
          <w:highlight w:val="none"/>
        </w:rPr>
      </w:pPr>
      <w:r>
        <w:rPr>
          <w:rFonts w:hint="default"/>
          <w:color w:val="auto"/>
          <w:highlight w:val="none"/>
        </w:rPr>
        <w:t>清洁生产水平控制指标</w:t>
      </w:r>
    </w:p>
    <w:p w14:paraId="23FF03F1">
      <w:pPr>
        <w:pStyle w:val="3"/>
        <w:ind w:firstLine="480"/>
        <w:rPr>
          <w:color w:val="auto"/>
          <w:highlight w:val="none"/>
        </w:rPr>
      </w:pPr>
      <w:r>
        <w:rPr>
          <w:rFonts w:hint="eastAsia"/>
          <w:color w:val="auto"/>
          <w:highlight w:val="none"/>
        </w:rPr>
        <w:t>本项目为钒钛磁铁矿选矿厂分选铁精矿和钛精矿，由于尚未发布钛矿采选业的相关清洁生产标准，因此本项目根据</w:t>
      </w:r>
      <w:r>
        <w:rPr>
          <w:color w:val="auto"/>
          <w:highlight w:val="none"/>
        </w:rPr>
        <w:t>《清洁生产标准 铁矿采选业》（HJ/T294-2006），按照清洁生产的一般要求，同时考虑到铁矿</w:t>
      </w:r>
      <w:r>
        <w:rPr>
          <w:rFonts w:hint="eastAsia"/>
          <w:color w:val="auto"/>
          <w:highlight w:val="none"/>
        </w:rPr>
        <w:t>、钛矿</w:t>
      </w:r>
      <w:r>
        <w:rPr>
          <w:color w:val="auto"/>
          <w:highlight w:val="none"/>
        </w:rPr>
        <w:t>采选行业的特点，从装备要求、资源能源利用指标、污染物产量指标、废物回收利用指标和环境管理要求5个指标分析论证项目清洁生产水平。</w:t>
      </w:r>
    </w:p>
    <w:p w14:paraId="0946F4C5">
      <w:pPr>
        <w:pStyle w:val="42"/>
        <w:rPr>
          <w:rFonts w:hint="default"/>
          <w:color w:val="auto"/>
          <w:highlight w:val="none"/>
        </w:rPr>
      </w:pPr>
      <w:r>
        <w:rPr>
          <w:color w:val="auto"/>
          <w:highlight w:val="none"/>
        </w:rPr>
        <w:t>清洁生产指标分级</w:t>
      </w:r>
    </w:p>
    <w:p w14:paraId="0228D03C">
      <w:pPr>
        <w:pStyle w:val="3"/>
        <w:ind w:firstLine="480"/>
        <w:rPr>
          <w:color w:val="auto"/>
          <w:highlight w:val="none"/>
        </w:rPr>
      </w:pPr>
      <w:r>
        <w:rPr>
          <w:color w:val="auto"/>
          <w:highlight w:val="none"/>
        </w:rPr>
        <w:t>《清洁生产标准 铁矿采选业》（HJ/T294-2006）</w:t>
      </w:r>
      <w:r>
        <w:rPr>
          <w:rFonts w:hint="eastAsia"/>
          <w:color w:val="auto"/>
          <w:highlight w:val="none"/>
        </w:rPr>
        <w:t>将铁矿采选行业生产过程清洁生产水平划分为三级技术指标：</w:t>
      </w:r>
    </w:p>
    <w:p w14:paraId="72C936C8">
      <w:pPr>
        <w:pStyle w:val="3"/>
        <w:ind w:firstLine="480"/>
        <w:rPr>
          <w:color w:val="auto"/>
          <w:highlight w:val="none"/>
        </w:rPr>
      </w:pPr>
      <w:r>
        <w:rPr>
          <w:color w:val="auto"/>
          <w:highlight w:val="none"/>
        </w:rPr>
        <w:t>一级：国际清洁生产先进水平；二级：国内清洁生产先进水平；三级：国内清洁生产基本水平。</w:t>
      </w:r>
    </w:p>
    <w:p w14:paraId="2C477E36">
      <w:pPr>
        <w:pStyle w:val="42"/>
        <w:rPr>
          <w:rFonts w:hint="default"/>
          <w:color w:val="auto"/>
          <w:highlight w:val="none"/>
        </w:rPr>
      </w:pPr>
      <w:r>
        <w:rPr>
          <w:rFonts w:hint="default"/>
          <w:color w:val="auto"/>
          <w:highlight w:val="none"/>
        </w:rPr>
        <w:t>清洁生产水平分析</w:t>
      </w:r>
    </w:p>
    <w:p w14:paraId="4DC1A938">
      <w:pPr>
        <w:pStyle w:val="3"/>
        <w:ind w:firstLine="480"/>
        <w:rPr>
          <w:color w:val="auto"/>
          <w:highlight w:val="none"/>
        </w:rPr>
      </w:pPr>
      <w:r>
        <w:rPr>
          <w:color w:val="auto"/>
          <w:highlight w:val="none"/>
        </w:rPr>
        <w:t>本次评价的清洁生产指标选用《清洁生产标准 铁矿采选业》（HJ/T294-2006）。具体内容见表3.</w:t>
      </w:r>
      <w:r>
        <w:rPr>
          <w:rFonts w:hint="eastAsia"/>
          <w:color w:val="auto"/>
          <w:highlight w:val="none"/>
        </w:rPr>
        <w:t>6</w:t>
      </w:r>
      <w:r>
        <w:rPr>
          <w:color w:val="auto"/>
          <w:highlight w:val="none"/>
        </w:rPr>
        <w:t>-1。</w:t>
      </w:r>
    </w:p>
    <w:p w14:paraId="1985ADC0">
      <w:pPr>
        <w:pStyle w:val="40"/>
        <w:spacing w:before="24" w:after="24"/>
        <w:rPr>
          <w:color w:val="auto"/>
          <w:highlight w:val="none"/>
        </w:rPr>
      </w:pPr>
      <w:r>
        <w:rPr>
          <w:color w:val="auto"/>
          <w:highlight w:val="none"/>
        </w:rPr>
        <w:t>表3.</w:t>
      </w:r>
      <w:r>
        <w:rPr>
          <w:rFonts w:hint="eastAsia"/>
          <w:color w:val="auto"/>
          <w:highlight w:val="none"/>
        </w:rPr>
        <w:t>6</w:t>
      </w:r>
      <w:r>
        <w:rPr>
          <w:color w:val="auto"/>
          <w:highlight w:val="none"/>
        </w:rPr>
        <w:t>-1    铁矿采选行业清洁生产标准（选矿类）</w:t>
      </w:r>
    </w:p>
    <w:tbl>
      <w:tblPr>
        <w:tblStyle w:val="25"/>
        <w:tblW w:w="506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324"/>
        <w:gridCol w:w="991"/>
        <w:gridCol w:w="1983"/>
        <w:gridCol w:w="2167"/>
        <w:gridCol w:w="2012"/>
        <w:gridCol w:w="949"/>
      </w:tblGrid>
      <w:tr w14:paraId="329567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80" w:type="pct"/>
            <w:gridSpan w:val="2"/>
            <w:tcBorders>
              <w:tl2br w:val="nil"/>
              <w:tr2bl w:val="nil"/>
            </w:tcBorders>
            <w:vAlign w:val="center"/>
          </w:tcPr>
          <w:p w14:paraId="38676183">
            <w:pPr>
              <w:pStyle w:val="41"/>
              <w:rPr>
                <w:color w:val="auto"/>
                <w:highlight w:val="none"/>
              </w:rPr>
            </w:pPr>
            <w:r>
              <w:rPr>
                <w:color w:val="auto"/>
                <w:highlight w:val="none"/>
              </w:rPr>
              <w:t>指标</w:t>
            </w:r>
          </w:p>
        </w:tc>
        <w:tc>
          <w:tcPr>
            <w:tcW w:w="1177" w:type="pct"/>
            <w:tcBorders>
              <w:tl2br w:val="nil"/>
              <w:tr2bl w:val="nil"/>
            </w:tcBorders>
            <w:vAlign w:val="center"/>
          </w:tcPr>
          <w:p w14:paraId="7114B25B">
            <w:pPr>
              <w:pStyle w:val="41"/>
              <w:rPr>
                <w:color w:val="auto"/>
                <w:highlight w:val="none"/>
              </w:rPr>
            </w:pPr>
            <w:r>
              <w:rPr>
                <w:color w:val="auto"/>
                <w:highlight w:val="none"/>
              </w:rPr>
              <w:t>一级</w:t>
            </w:r>
          </w:p>
        </w:tc>
        <w:tc>
          <w:tcPr>
            <w:tcW w:w="1285" w:type="pct"/>
            <w:tcBorders>
              <w:tl2br w:val="nil"/>
              <w:tr2bl w:val="nil"/>
            </w:tcBorders>
            <w:vAlign w:val="center"/>
          </w:tcPr>
          <w:p w14:paraId="420B501C">
            <w:pPr>
              <w:pStyle w:val="41"/>
              <w:rPr>
                <w:color w:val="auto"/>
                <w:highlight w:val="none"/>
              </w:rPr>
            </w:pPr>
            <w:r>
              <w:rPr>
                <w:color w:val="auto"/>
                <w:highlight w:val="none"/>
              </w:rPr>
              <w:t>二级</w:t>
            </w:r>
          </w:p>
        </w:tc>
        <w:tc>
          <w:tcPr>
            <w:tcW w:w="1194" w:type="pct"/>
            <w:tcBorders>
              <w:tl2br w:val="nil"/>
              <w:tr2bl w:val="nil"/>
            </w:tcBorders>
            <w:vAlign w:val="center"/>
          </w:tcPr>
          <w:p w14:paraId="470D102C">
            <w:pPr>
              <w:pStyle w:val="41"/>
              <w:rPr>
                <w:color w:val="auto"/>
                <w:highlight w:val="none"/>
              </w:rPr>
            </w:pPr>
            <w:r>
              <w:rPr>
                <w:color w:val="auto"/>
                <w:highlight w:val="none"/>
              </w:rPr>
              <w:t>三级</w:t>
            </w:r>
          </w:p>
        </w:tc>
        <w:tc>
          <w:tcPr>
            <w:tcW w:w="562" w:type="pct"/>
            <w:tcBorders>
              <w:tl2br w:val="nil"/>
              <w:tr2bl w:val="nil"/>
            </w:tcBorders>
            <w:vAlign w:val="center"/>
          </w:tcPr>
          <w:p w14:paraId="5B324532">
            <w:pPr>
              <w:pStyle w:val="41"/>
              <w:rPr>
                <w:color w:val="auto"/>
                <w:highlight w:val="none"/>
              </w:rPr>
            </w:pPr>
            <w:r>
              <w:rPr>
                <w:color w:val="auto"/>
                <w:highlight w:val="none"/>
              </w:rPr>
              <w:t>本项目</w:t>
            </w:r>
          </w:p>
        </w:tc>
      </w:tr>
      <w:tr w14:paraId="1AE87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00" w:type="pct"/>
            <w:gridSpan w:val="6"/>
            <w:tcBorders>
              <w:tl2br w:val="nil"/>
              <w:tr2bl w:val="nil"/>
            </w:tcBorders>
            <w:vAlign w:val="center"/>
          </w:tcPr>
          <w:p w14:paraId="28B09FA0">
            <w:pPr>
              <w:pStyle w:val="41"/>
              <w:rPr>
                <w:color w:val="auto"/>
                <w:highlight w:val="none"/>
              </w:rPr>
            </w:pPr>
            <w:r>
              <w:rPr>
                <w:color w:val="auto"/>
                <w:highlight w:val="none"/>
              </w:rPr>
              <w:t>一、工艺装备要求</w:t>
            </w:r>
          </w:p>
        </w:tc>
      </w:tr>
      <w:tr w14:paraId="07B1B2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80" w:type="pct"/>
            <w:gridSpan w:val="2"/>
            <w:tcBorders>
              <w:tl2br w:val="nil"/>
              <w:tr2bl w:val="nil"/>
            </w:tcBorders>
            <w:vAlign w:val="center"/>
          </w:tcPr>
          <w:p w14:paraId="62FDCC90">
            <w:pPr>
              <w:pStyle w:val="41"/>
              <w:rPr>
                <w:color w:val="auto"/>
                <w:highlight w:val="none"/>
              </w:rPr>
            </w:pPr>
            <w:r>
              <w:rPr>
                <w:color w:val="auto"/>
                <w:highlight w:val="none"/>
              </w:rPr>
              <w:t>破碎筛分</w:t>
            </w:r>
          </w:p>
        </w:tc>
        <w:tc>
          <w:tcPr>
            <w:tcW w:w="1177" w:type="pct"/>
            <w:tcBorders>
              <w:tl2br w:val="nil"/>
              <w:tr2bl w:val="nil"/>
            </w:tcBorders>
            <w:vAlign w:val="center"/>
          </w:tcPr>
          <w:p w14:paraId="3D9D9C23">
            <w:pPr>
              <w:pStyle w:val="41"/>
              <w:rPr>
                <w:color w:val="auto"/>
                <w:highlight w:val="none"/>
              </w:rPr>
            </w:pPr>
            <w:r>
              <w:rPr>
                <w:color w:val="auto"/>
                <w:highlight w:val="none"/>
              </w:rPr>
              <w:t>采用国际先进的处理量大、高效超细破碎机等破碎设备，配有除尘净化设施</w:t>
            </w:r>
          </w:p>
        </w:tc>
        <w:tc>
          <w:tcPr>
            <w:tcW w:w="1285" w:type="pct"/>
            <w:tcBorders>
              <w:tl2br w:val="nil"/>
              <w:tr2bl w:val="nil"/>
            </w:tcBorders>
            <w:vAlign w:val="center"/>
          </w:tcPr>
          <w:p w14:paraId="627BACCD">
            <w:pPr>
              <w:pStyle w:val="41"/>
              <w:rPr>
                <w:color w:val="auto"/>
                <w:highlight w:val="none"/>
              </w:rPr>
            </w:pPr>
            <w:r>
              <w:rPr>
                <w:color w:val="auto"/>
                <w:highlight w:val="none"/>
              </w:rPr>
              <w:t>采用国内先进的处理量较大、效率较高的超细破碎机等破碎设备，配有除尘净化设施</w:t>
            </w:r>
          </w:p>
        </w:tc>
        <w:tc>
          <w:tcPr>
            <w:tcW w:w="1194" w:type="pct"/>
            <w:tcBorders>
              <w:tl2br w:val="nil"/>
              <w:tr2bl w:val="nil"/>
            </w:tcBorders>
            <w:vAlign w:val="center"/>
          </w:tcPr>
          <w:p w14:paraId="3DA11641">
            <w:pPr>
              <w:pStyle w:val="41"/>
              <w:rPr>
                <w:color w:val="auto"/>
                <w:highlight w:val="none"/>
              </w:rPr>
            </w:pPr>
            <w:r>
              <w:rPr>
                <w:color w:val="auto"/>
                <w:highlight w:val="none"/>
              </w:rPr>
              <w:t>采用国内较先进的旋回、颚式、圆锥锤式破碎机等破碎设备，配有除尘净化设施</w:t>
            </w:r>
          </w:p>
        </w:tc>
        <w:tc>
          <w:tcPr>
            <w:tcW w:w="562" w:type="pct"/>
            <w:tcBorders>
              <w:tl2br w:val="nil"/>
              <w:tr2bl w:val="nil"/>
            </w:tcBorders>
            <w:vAlign w:val="center"/>
          </w:tcPr>
          <w:p w14:paraId="67DF9706">
            <w:pPr>
              <w:pStyle w:val="41"/>
              <w:rPr>
                <w:color w:val="auto"/>
                <w:highlight w:val="none"/>
              </w:rPr>
            </w:pPr>
            <w:r>
              <w:rPr>
                <w:rFonts w:hint="eastAsia"/>
                <w:color w:val="auto"/>
                <w:highlight w:val="none"/>
              </w:rPr>
              <w:t>三</w:t>
            </w:r>
            <w:r>
              <w:rPr>
                <w:color w:val="auto"/>
                <w:highlight w:val="none"/>
              </w:rPr>
              <w:t>级</w:t>
            </w:r>
          </w:p>
        </w:tc>
      </w:tr>
      <w:tr w14:paraId="54AF6B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80" w:type="pct"/>
            <w:gridSpan w:val="2"/>
            <w:tcBorders>
              <w:tl2br w:val="nil"/>
              <w:tr2bl w:val="nil"/>
            </w:tcBorders>
            <w:vAlign w:val="center"/>
          </w:tcPr>
          <w:p w14:paraId="470A38A8">
            <w:pPr>
              <w:pStyle w:val="41"/>
              <w:rPr>
                <w:color w:val="auto"/>
                <w:highlight w:val="none"/>
              </w:rPr>
            </w:pPr>
            <w:r>
              <w:rPr>
                <w:color w:val="auto"/>
                <w:highlight w:val="none"/>
              </w:rPr>
              <w:t>磨矿</w:t>
            </w:r>
          </w:p>
        </w:tc>
        <w:tc>
          <w:tcPr>
            <w:tcW w:w="1177" w:type="pct"/>
            <w:tcBorders>
              <w:tl2br w:val="nil"/>
              <w:tr2bl w:val="nil"/>
            </w:tcBorders>
            <w:vAlign w:val="center"/>
          </w:tcPr>
          <w:p w14:paraId="6E2C5B1F">
            <w:pPr>
              <w:pStyle w:val="41"/>
              <w:rPr>
                <w:color w:val="auto"/>
                <w:highlight w:val="none"/>
              </w:rPr>
            </w:pPr>
            <w:r>
              <w:rPr>
                <w:color w:val="auto"/>
                <w:highlight w:val="none"/>
              </w:rPr>
              <w:t>采用国际先进的处理量大，能耗低、效率高的筒式磨矿机、高压辊磨机等磨矿设备</w:t>
            </w:r>
          </w:p>
        </w:tc>
        <w:tc>
          <w:tcPr>
            <w:tcW w:w="1285" w:type="pct"/>
            <w:tcBorders>
              <w:tl2br w:val="nil"/>
              <w:tr2bl w:val="nil"/>
            </w:tcBorders>
            <w:vAlign w:val="center"/>
          </w:tcPr>
          <w:p w14:paraId="36B0A927">
            <w:pPr>
              <w:pStyle w:val="41"/>
              <w:rPr>
                <w:color w:val="auto"/>
                <w:highlight w:val="none"/>
              </w:rPr>
            </w:pPr>
            <w:r>
              <w:rPr>
                <w:color w:val="auto"/>
                <w:highlight w:val="none"/>
              </w:rPr>
              <w:t>采用国内先进的处理量较大，能耗较低、效率较高的筒式磨矿机、高压辊磨机等磨矿设备</w:t>
            </w:r>
          </w:p>
        </w:tc>
        <w:tc>
          <w:tcPr>
            <w:tcW w:w="1194" w:type="pct"/>
            <w:tcBorders>
              <w:tl2br w:val="nil"/>
              <w:tr2bl w:val="nil"/>
            </w:tcBorders>
            <w:vAlign w:val="center"/>
          </w:tcPr>
          <w:p w14:paraId="3255FE6F">
            <w:pPr>
              <w:pStyle w:val="41"/>
              <w:rPr>
                <w:color w:val="auto"/>
                <w:highlight w:val="none"/>
              </w:rPr>
            </w:pPr>
            <w:r>
              <w:rPr>
                <w:color w:val="auto"/>
                <w:highlight w:val="none"/>
              </w:rPr>
              <w:t>采用国内较先进的筒式磨矿、干式自磨、棒磨、球磨等磨矿设备</w:t>
            </w:r>
          </w:p>
        </w:tc>
        <w:tc>
          <w:tcPr>
            <w:tcW w:w="562" w:type="pct"/>
            <w:tcBorders>
              <w:tl2br w:val="nil"/>
              <w:tr2bl w:val="nil"/>
            </w:tcBorders>
            <w:vAlign w:val="center"/>
          </w:tcPr>
          <w:p w14:paraId="280EA3D2">
            <w:pPr>
              <w:pStyle w:val="41"/>
              <w:rPr>
                <w:color w:val="auto"/>
                <w:highlight w:val="none"/>
              </w:rPr>
            </w:pPr>
            <w:r>
              <w:rPr>
                <w:rFonts w:hint="eastAsia"/>
                <w:color w:val="auto"/>
                <w:highlight w:val="none"/>
              </w:rPr>
              <w:t>三</w:t>
            </w:r>
            <w:r>
              <w:rPr>
                <w:color w:val="auto"/>
                <w:highlight w:val="none"/>
              </w:rPr>
              <w:t>级</w:t>
            </w:r>
          </w:p>
        </w:tc>
      </w:tr>
      <w:tr w14:paraId="1CD15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80" w:type="pct"/>
            <w:gridSpan w:val="2"/>
            <w:tcBorders>
              <w:tl2br w:val="nil"/>
              <w:tr2bl w:val="nil"/>
            </w:tcBorders>
            <w:vAlign w:val="center"/>
          </w:tcPr>
          <w:p w14:paraId="68B47C21">
            <w:pPr>
              <w:pStyle w:val="41"/>
              <w:rPr>
                <w:color w:val="auto"/>
                <w:highlight w:val="none"/>
              </w:rPr>
            </w:pPr>
            <w:r>
              <w:rPr>
                <w:color w:val="auto"/>
                <w:highlight w:val="none"/>
              </w:rPr>
              <w:t>分级</w:t>
            </w:r>
          </w:p>
        </w:tc>
        <w:tc>
          <w:tcPr>
            <w:tcW w:w="1177" w:type="pct"/>
            <w:tcBorders>
              <w:tl2br w:val="nil"/>
              <w:tr2bl w:val="nil"/>
            </w:tcBorders>
            <w:vAlign w:val="center"/>
          </w:tcPr>
          <w:p w14:paraId="6F0AF44C">
            <w:pPr>
              <w:pStyle w:val="41"/>
              <w:rPr>
                <w:color w:val="auto"/>
                <w:highlight w:val="none"/>
              </w:rPr>
            </w:pPr>
            <w:r>
              <w:rPr>
                <w:color w:val="auto"/>
                <w:highlight w:val="none"/>
              </w:rPr>
              <w:t>采用国际先进的分级效率高的高频振动细筛分级机等分级设备</w:t>
            </w:r>
          </w:p>
        </w:tc>
        <w:tc>
          <w:tcPr>
            <w:tcW w:w="1285" w:type="pct"/>
            <w:tcBorders>
              <w:tl2br w:val="nil"/>
              <w:tr2bl w:val="nil"/>
            </w:tcBorders>
            <w:vAlign w:val="center"/>
          </w:tcPr>
          <w:p w14:paraId="124B008C">
            <w:pPr>
              <w:pStyle w:val="41"/>
              <w:rPr>
                <w:color w:val="auto"/>
                <w:highlight w:val="none"/>
              </w:rPr>
            </w:pPr>
            <w:r>
              <w:rPr>
                <w:color w:val="auto"/>
                <w:highlight w:val="none"/>
              </w:rPr>
              <w:t>采用国内先进的分级效率较高的电磁振动筛、高频细筛等分级设备</w:t>
            </w:r>
          </w:p>
        </w:tc>
        <w:tc>
          <w:tcPr>
            <w:tcW w:w="1194" w:type="pct"/>
            <w:tcBorders>
              <w:tl2br w:val="nil"/>
              <w:tr2bl w:val="nil"/>
            </w:tcBorders>
            <w:vAlign w:val="center"/>
          </w:tcPr>
          <w:p w14:paraId="6260B4ED">
            <w:pPr>
              <w:pStyle w:val="41"/>
              <w:rPr>
                <w:color w:val="auto"/>
                <w:highlight w:val="none"/>
              </w:rPr>
            </w:pPr>
            <w:r>
              <w:rPr>
                <w:color w:val="auto"/>
                <w:highlight w:val="none"/>
              </w:rPr>
              <w:t>采用国内较先进的旋流分级、振动筛、高频细筛等分级设备</w:t>
            </w:r>
          </w:p>
        </w:tc>
        <w:tc>
          <w:tcPr>
            <w:tcW w:w="562" w:type="pct"/>
            <w:tcBorders>
              <w:tl2br w:val="nil"/>
              <w:tr2bl w:val="nil"/>
            </w:tcBorders>
            <w:vAlign w:val="center"/>
          </w:tcPr>
          <w:p w14:paraId="3309DF89">
            <w:pPr>
              <w:pStyle w:val="41"/>
              <w:rPr>
                <w:color w:val="auto"/>
                <w:highlight w:val="none"/>
              </w:rPr>
            </w:pPr>
            <w:r>
              <w:rPr>
                <w:rFonts w:hint="eastAsia"/>
                <w:color w:val="auto"/>
                <w:highlight w:val="none"/>
              </w:rPr>
              <w:t>二</w:t>
            </w:r>
            <w:r>
              <w:rPr>
                <w:color w:val="auto"/>
                <w:highlight w:val="none"/>
              </w:rPr>
              <w:t>级</w:t>
            </w:r>
          </w:p>
        </w:tc>
      </w:tr>
      <w:tr w14:paraId="45C5F6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80" w:type="pct"/>
            <w:gridSpan w:val="2"/>
            <w:tcBorders>
              <w:tl2br w:val="nil"/>
              <w:tr2bl w:val="nil"/>
            </w:tcBorders>
            <w:vAlign w:val="center"/>
          </w:tcPr>
          <w:p w14:paraId="25616520">
            <w:pPr>
              <w:pStyle w:val="41"/>
              <w:rPr>
                <w:color w:val="auto"/>
                <w:highlight w:val="none"/>
              </w:rPr>
            </w:pPr>
            <w:r>
              <w:rPr>
                <w:color w:val="auto"/>
                <w:highlight w:val="none"/>
              </w:rPr>
              <w:t>选别</w:t>
            </w:r>
          </w:p>
        </w:tc>
        <w:tc>
          <w:tcPr>
            <w:tcW w:w="1177" w:type="pct"/>
            <w:tcBorders>
              <w:tl2br w:val="nil"/>
              <w:tr2bl w:val="nil"/>
            </w:tcBorders>
            <w:vAlign w:val="center"/>
          </w:tcPr>
          <w:p w14:paraId="24714562">
            <w:pPr>
              <w:pStyle w:val="41"/>
              <w:rPr>
                <w:color w:val="auto"/>
                <w:highlight w:val="none"/>
              </w:rPr>
            </w:pPr>
            <w:r>
              <w:rPr>
                <w:color w:val="auto"/>
                <w:highlight w:val="none"/>
              </w:rPr>
              <w:t>采用国际先进的回收率高、自动化程度高的大粒度中高场强磁选机和跳汰机、立环脉动高梯度强磁选机、冲气机械搅拌式浮选机等选别设备</w:t>
            </w:r>
          </w:p>
        </w:tc>
        <w:tc>
          <w:tcPr>
            <w:tcW w:w="1285" w:type="pct"/>
            <w:tcBorders>
              <w:tl2br w:val="nil"/>
              <w:tr2bl w:val="nil"/>
            </w:tcBorders>
            <w:vAlign w:val="center"/>
          </w:tcPr>
          <w:p w14:paraId="287F8264">
            <w:pPr>
              <w:pStyle w:val="41"/>
              <w:rPr>
                <w:color w:val="auto"/>
                <w:highlight w:val="none"/>
              </w:rPr>
            </w:pPr>
            <w:r>
              <w:rPr>
                <w:color w:val="auto"/>
                <w:highlight w:val="none"/>
              </w:rPr>
              <w:t>采用国内先进的回收率较高、自动化程度较高的大粒度中高场强磁选机和跳汰机、立环脉动高梯度强磁选机、冲气机械搅拌式浮选机等选别设备</w:t>
            </w:r>
          </w:p>
        </w:tc>
        <w:tc>
          <w:tcPr>
            <w:tcW w:w="1194" w:type="pct"/>
            <w:tcBorders>
              <w:tl2br w:val="nil"/>
              <w:tr2bl w:val="nil"/>
            </w:tcBorders>
            <w:vAlign w:val="center"/>
          </w:tcPr>
          <w:p w14:paraId="3EB9FC3D">
            <w:pPr>
              <w:pStyle w:val="41"/>
              <w:rPr>
                <w:color w:val="auto"/>
                <w:highlight w:val="none"/>
              </w:rPr>
            </w:pPr>
            <w:r>
              <w:rPr>
                <w:color w:val="auto"/>
                <w:highlight w:val="none"/>
              </w:rPr>
              <w:t>采用国内较先进的回收率较高的立环式、平环式强磁选机、机械搅拌式浮选机、棒型浮选机等选别设备</w:t>
            </w:r>
          </w:p>
        </w:tc>
        <w:tc>
          <w:tcPr>
            <w:tcW w:w="562" w:type="pct"/>
            <w:tcBorders>
              <w:tl2br w:val="nil"/>
              <w:tr2bl w:val="nil"/>
            </w:tcBorders>
            <w:vAlign w:val="center"/>
          </w:tcPr>
          <w:p w14:paraId="000E75B3">
            <w:pPr>
              <w:pStyle w:val="41"/>
              <w:rPr>
                <w:color w:val="auto"/>
                <w:highlight w:val="none"/>
              </w:rPr>
            </w:pPr>
            <w:r>
              <w:rPr>
                <w:color w:val="auto"/>
                <w:highlight w:val="none"/>
              </w:rPr>
              <w:t>二级</w:t>
            </w:r>
          </w:p>
        </w:tc>
      </w:tr>
      <w:tr w14:paraId="750562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80" w:type="pct"/>
            <w:gridSpan w:val="2"/>
            <w:tcBorders>
              <w:tl2br w:val="nil"/>
              <w:tr2bl w:val="nil"/>
            </w:tcBorders>
            <w:vAlign w:val="center"/>
          </w:tcPr>
          <w:p w14:paraId="5696CE81">
            <w:pPr>
              <w:pStyle w:val="41"/>
              <w:rPr>
                <w:color w:val="auto"/>
                <w:highlight w:val="none"/>
              </w:rPr>
            </w:pPr>
            <w:r>
              <w:rPr>
                <w:color w:val="auto"/>
                <w:highlight w:val="none"/>
              </w:rPr>
              <w:t>脱水过滤</w:t>
            </w:r>
          </w:p>
        </w:tc>
        <w:tc>
          <w:tcPr>
            <w:tcW w:w="1177" w:type="pct"/>
            <w:tcBorders>
              <w:tl2br w:val="nil"/>
              <w:tr2bl w:val="nil"/>
            </w:tcBorders>
            <w:vAlign w:val="center"/>
          </w:tcPr>
          <w:p w14:paraId="727D1449">
            <w:pPr>
              <w:pStyle w:val="41"/>
              <w:rPr>
                <w:color w:val="auto"/>
                <w:highlight w:val="none"/>
              </w:rPr>
            </w:pPr>
            <w:r>
              <w:rPr>
                <w:color w:val="auto"/>
                <w:highlight w:val="none"/>
              </w:rPr>
              <w:t>采用国际先进的效率高、自动化程度高的高效浓缩机和大型高效盘式过滤机等脱水过滤设备</w:t>
            </w:r>
          </w:p>
        </w:tc>
        <w:tc>
          <w:tcPr>
            <w:tcW w:w="1285" w:type="pct"/>
            <w:tcBorders>
              <w:tl2br w:val="nil"/>
              <w:tr2bl w:val="nil"/>
            </w:tcBorders>
            <w:vAlign w:val="center"/>
          </w:tcPr>
          <w:p w14:paraId="4380242A">
            <w:pPr>
              <w:pStyle w:val="41"/>
              <w:rPr>
                <w:color w:val="auto"/>
                <w:highlight w:val="none"/>
              </w:rPr>
            </w:pPr>
            <w:r>
              <w:rPr>
                <w:color w:val="auto"/>
                <w:highlight w:val="none"/>
              </w:rPr>
              <w:t>采用国内先进的脱水过滤效率较高、自动化程度较高的高效浓缩机和大型高效盘式压滤机等脱水过滤设备</w:t>
            </w:r>
          </w:p>
        </w:tc>
        <w:tc>
          <w:tcPr>
            <w:tcW w:w="1194" w:type="pct"/>
            <w:tcBorders>
              <w:tl2br w:val="nil"/>
              <w:tr2bl w:val="nil"/>
            </w:tcBorders>
            <w:vAlign w:val="center"/>
          </w:tcPr>
          <w:p w14:paraId="25F82B9D">
            <w:pPr>
              <w:pStyle w:val="41"/>
              <w:rPr>
                <w:color w:val="auto"/>
                <w:highlight w:val="none"/>
              </w:rPr>
            </w:pPr>
            <w:r>
              <w:rPr>
                <w:color w:val="auto"/>
                <w:highlight w:val="none"/>
              </w:rPr>
              <w:t>采用国内较先进的脱水过滤效率较高的浓缩机和筒式压滤机等脱水过滤设备</w:t>
            </w:r>
          </w:p>
        </w:tc>
        <w:tc>
          <w:tcPr>
            <w:tcW w:w="562" w:type="pct"/>
            <w:tcBorders>
              <w:tl2br w:val="nil"/>
              <w:tr2bl w:val="nil"/>
            </w:tcBorders>
            <w:vAlign w:val="center"/>
          </w:tcPr>
          <w:p w14:paraId="3CADDD08">
            <w:pPr>
              <w:pStyle w:val="41"/>
              <w:rPr>
                <w:color w:val="auto"/>
                <w:highlight w:val="none"/>
              </w:rPr>
            </w:pPr>
            <w:r>
              <w:rPr>
                <w:color w:val="auto"/>
                <w:highlight w:val="none"/>
              </w:rPr>
              <w:t>二级</w:t>
            </w:r>
          </w:p>
        </w:tc>
      </w:tr>
      <w:tr w14:paraId="5D7C8C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00" w:type="pct"/>
            <w:gridSpan w:val="6"/>
            <w:tcBorders>
              <w:tl2br w:val="nil"/>
              <w:tr2bl w:val="nil"/>
            </w:tcBorders>
            <w:vAlign w:val="center"/>
          </w:tcPr>
          <w:p w14:paraId="6A947C97">
            <w:pPr>
              <w:pStyle w:val="41"/>
              <w:rPr>
                <w:color w:val="auto"/>
                <w:highlight w:val="none"/>
              </w:rPr>
            </w:pPr>
            <w:r>
              <w:rPr>
                <w:color w:val="auto"/>
                <w:highlight w:val="none"/>
              </w:rPr>
              <w:t>二、资源能源利用指标</w:t>
            </w:r>
          </w:p>
        </w:tc>
      </w:tr>
      <w:tr w14:paraId="4362DC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80" w:type="pct"/>
            <w:gridSpan w:val="2"/>
            <w:tcBorders>
              <w:tl2br w:val="nil"/>
              <w:tr2bl w:val="nil"/>
            </w:tcBorders>
            <w:vAlign w:val="center"/>
          </w:tcPr>
          <w:p w14:paraId="0E2E21FE">
            <w:pPr>
              <w:pStyle w:val="41"/>
              <w:rPr>
                <w:color w:val="auto"/>
                <w:highlight w:val="none"/>
              </w:rPr>
            </w:pPr>
            <w:r>
              <w:rPr>
                <w:color w:val="auto"/>
                <w:highlight w:val="none"/>
              </w:rPr>
              <w:t>金属回收率/（%）</w:t>
            </w:r>
          </w:p>
        </w:tc>
        <w:tc>
          <w:tcPr>
            <w:tcW w:w="1177" w:type="pct"/>
            <w:tcBorders>
              <w:tl2br w:val="nil"/>
              <w:tr2bl w:val="nil"/>
            </w:tcBorders>
            <w:vAlign w:val="center"/>
          </w:tcPr>
          <w:p w14:paraId="1ADACFE3">
            <w:pPr>
              <w:pStyle w:val="41"/>
              <w:rPr>
                <w:color w:val="auto"/>
                <w:highlight w:val="none"/>
              </w:rPr>
            </w:pPr>
            <w:r>
              <w:rPr>
                <w:color w:val="auto"/>
                <w:highlight w:val="none"/>
              </w:rPr>
              <w:t>≥90</w:t>
            </w:r>
          </w:p>
        </w:tc>
        <w:tc>
          <w:tcPr>
            <w:tcW w:w="1285" w:type="pct"/>
            <w:tcBorders>
              <w:tl2br w:val="nil"/>
              <w:tr2bl w:val="nil"/>
            </w:tcBorders>
            <w:vAlign w:val="center"/>
          </w:tcPr>
          <w:p w14:paraId="5765FD4C">
            <w:pPr>
              <w:pStyle w:val="41"/>
              <w:rPr>
                <w:color w:val="auto"/>
                <w:highlight w:val="none"/>
              </w:rPr>
            </w:pPr>
            <w:r>
              <w:rPr>
                <w:color w:val="auto"/>
                <w:highlight w:val="none"/>
              </w:rPr>
              <w:t>≥80</w:t>
            </w:r>
          </w:p>
        </w:tc>
        <w:tc>
          <w:tcPr>
            <w:tcW w:w="1194" w:type="pct"/>
            <w:tcBorders>
              <w:tl2br w:val="nil"/>
              <w:tr2bl w:val="nil"/>
            </w:tcBorders>
            <w:vAlign w:val="center"/>
          </w:tcPr>
          <w:p w14:paraId="7EB33189">
            <w:pPr>
              <w:pStyle w:val="41"/>
              <w:rPr>
                <w:color w:val="auto"/>
                <w:highlight w:val="none"/>
              </w:rPr>
            </w:pPr>
            <w:r>
              <w:rPr>
                <w:color w:val="auto"/>
                <w:highlight w:val="none"/>
              </w:rPr>
              <w:t>≥70</w:t>
            </w:r>
          </w:p>
        </w:tc>
        <w:tc>
          <w:tcPr>
            <w:tcW w:w="562" w:type="pct"/>
            <w:tcBorders>
              <w:tl2br w:val="nil"/>
              <w:tr2bl w:val="nil"/>
            </w:tcBorders>
            <w:vAlign w:val="center"/>
          </w:tcPr>
          <w:p w14:paraId="3B80484F">
            <w:pPr>
              <w:pStyle w:val="41"/>
              <w:rPr>
                <w:color w:val="auto"/>
                <w:highlight w:val="none"/>
              </w:rPr>
            </w:pPr>
            <w:r>
              <w:rPr>
                <w:color w:val="auto"/>
                <w:highlight w:val="none"/>
              </w:rPr>
              <w:t>二级</w:t>
            </w:r>
          </w:p>
        </w:tc>
      </w:tr>
      <w:tr w14:paraId="1C0335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80" w:type="pct"/>
            <w:gridSpan w:val="2"/>
            <w:tcBorders>
              <w:tl2br w:val="nil"/>
              <w:tr2bl w:val="nil"/>
            </w:tcBorders>
            <w:vAlign w:val="center"/>
          </w:tcPr>
          <w:p w14:paraId="42A3F199">
            <w:pPr>
              <w:pStyle w:val="41"/>
              <w:rPr>
                <w:color w:val="auto"/>
                <w:highlight w:val="none"/>
              </w:rPr>
            </w:pPr>
            <w:r>
              <w:rPr>
                <w:color w:val="auto"/>
                <w:highlight w:val="none"/>
              </w:rPr>
              <w:t>电耗/（kW·h/t）</w:t>
            </w:r>
          </w:p>
        </w:tc>
        <w:tc>
          <w:tcPr>
            <w:tcW w:w="1177" w:type="pct"/>
            <w:tcBorders>
              <w:tl2br w:val="nil"/>
              <w:tr2bl w:val="nil"/>
            </w:tcBorders>
            <w:vAlign w:val="center"/>
          </w:tcPr>
          <w:p w14:paraId="26784DFB">
            <w:pPr>
              <w:pStyle w:val="41"/>
              <w:rPr>
                <w:color w:val="auto"/>
                <w:highlight w:val="none"/>
              </w:rPr>
            </w:pPr>
            <w:r>
              <w:rPr>
                <w:color w:val="auto"/>
                <w:highlight w:val="none"/>
              </w:rPr>
              <w:t>≤16</w:t>
            </w:r>
          </w:p>
        </w:tc>
        <w:tc>
          <w:tcPr>
            <w:tcW w:w="1285" w:type="pct"/>
            <w:tcBorders>
              <w:tl2br w:val="nil"/>
              <w:tr2bl w:val="nil"/>
            </w:tcBorders>
            <w:vAlign w:val="center"/>
          </w:tcPr>
          <w:p w14:paraId="70545007">
            <w:pPr>
              <w:pStyle w:val="41"/>
              <w:rPr>
                <w:color w:val="auto"/>
                <w:highlight w:val="none"/>
              </w:rPr>
            </w:pPr>
            <w:r>
              <w:rPr>
                <w:color w:val="auto"/>
                <w:highlight w:val="none"/>
              </w:rPr>
              <w:t>≤28</w:t>
            </w:r>
          </w:p>
        </w:tc>
        <w:tc>
          <w:tcPr>
            <w:tcW w:w="1194" w:type="pct"/>
            <w:tcBorders>
              <w:tl2br w:val="nil"/>
              <w:tr2bl w:val="nil"/>
            </w:tcBorders>
            <w:vAlign w:val="center"/>
          </w:tcPr>
          <w:p w14:paraId="6D8EFF12">
            <w:pPr>
              <w:pStyle w:val="41"/>
              <w:rPr>
                <w:color w:val="auto"/>
                <w:highlight w:val="none"/>
              </w:rPr>
            </w:pPr>
            <w:r>
              <w:rPr>
                <w:color w:val="auto"/>
                <w:highlight w:val="none"/>
              </w:rPr>
              <w:t>≤35</w:t>
            </w:r>
          </w:p>
        </w:tc>
        <w:tc>
          <w:tcPr>
            <w:tcW w:w="562" w:type="pct"/>
            <w:tcBorders>
              <w:tl2br w:val="nil"/>
              <w:tr2bl w:val="nil"/>
            </w:tcBorders>
            <w:vAlign w:val="center"/>
          </w:tcPr>
          <w:p w14:paraId="21DC5059">
            <w:pPr>
              <w:pStyle w:val="41"/>
              <w:rPr>
                <w:color w:val="auto"/>
                <w:highlight w:val="none"/>
              </w:rPr>
            </w:pPr>
            <w:r>
              <w:rPr>
                <w:rFonts w:hint="eastAsia"/>
                <w:color w:val="auto"/>
                <w:highlight w:val="none"/>
              </w:rPr>
              <w:t>一</w:t>
            </w:r>
            <w:r>
              <w:rPr>
                <w:color w:val="auto"/>
                <w:highlight w:val="none"/>
              </w:rPr>
              <w:t>级</w:t>
            </w:r>
            <w:r>
              <w:rPr>
                <w:rFonts w:hint="eastAsia"/>
                <w:color w:val="auto"/>
                <w:highlight w:val="none"/>
              </w:rPr>
              <w:t>（11.8）</w:t>
            </w:r>
          </w:p>
        </w:tc>
      </w:tr>
      <w:tr w14:paraId="4B27D5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780" w:type="pct"/>
            <w:gridSpan w:val="2"/>
            <w:tcBorders>
              <w:tl2br w:val="nil"/>
              <w:tr2bl w:val="nil"/>
            </w:tcBorders>
            <w:vAlign w:val="center"/>
          </w:tcPr>
          <w:p w14:paraId="42183CCC">
            <w:pPr>
              <w:pStyle w:val="41"/>
              <w:rPr>
                <w:color w:val="auto"/>
                <w:highlight w:val="none"/>
              </w:rPr>
            </w:pPr>
            <w:r>
              <w:rPr>
                <w:color w:val="auto"/>
                <w:highlight w:val="none"/>
              </w:rPr>
              <w:t>水耗/（m</w:t>
            </w:r>
            <w:r>
              <w:rPr>
                <w:color w:val="auto"/>
                <w:highlight w:val="none"/>
                <w:vertAlign w:val="superscript"/>
              </w:rPr>
              <w:t>3</w:t>
            </w:r>
            <w:r>
              <w:rPr>
                <w:color w:val="auto"/>
                <w:highlight w:val="none"/>
              </w:rPr>
              <w:t>/t）</w:t>
            </w:r>
          </w:p>
        </w:tc>
        <w:tc>
          <w:tcPr>
            <w:tcW w:w="1177" w:type="pct"/>
            <w:tcBorders>
              <w:tl2br w:val="nil"/>
              <w:tr2bl w:val="nil"/>
            </w:tcBorders>
            <w:vAlign w:val="center"/>
          </w:tcPr>
          <w:p w14:paraId="36E1339A">
            <w:pPr>
              <w:pStyle w:val="41"/>
              <w:rPr>
                <w:color w:val="auto"/>
                <w:highlight w:val="none"/>
              </w:rPr>
            </w:pPr>
            <w:r>
              <w:rPr>
                <w:color w:val="auto"/>
                <w:highlight w:val="none"/>
              </w:rPr>
              <w:t>≤2</w:t>
            </w:r>
          </w:p>
        </w:tc>
        <w:tc>
          <w:tcPr>
            <w:tcW w:w="1285" w:type="pct"/>
            <w:tcBorders>
              <w:tl2br w:val="nil"/>
              <w:tr2bl w:val="nil"/>
            </w:tcBorders>
            <w:vAlign w:val="center"/>
          </w:tcPr>
          <w:p w14:paraId="78857E72">
            <w:pPr>
              <w:pStyle w:val="41"/>
              <w:rPr>
                <w:color w:val="auto"/>
                <w:highlight w:val="none"/>
              </w:rPr>
            </w:pPr>
            <w:r>
              <w:rPr>
                <w:color w:val="auto"/>
                <w:highlight w:val="none"/>
              </w:rPr>
              <w:t>≤7</w:t>
            </w:r>
          </w:p>
        </w:tc>
        <w:tc>
          <w:tcPr>
            <w:tcW w:w="1194" w:type="pct"/>
            <w:tcBorders>
              <w:tl2br w:val="nil"/>
              <w:tr2bl w:val="nil"/>
            </w:tcBorders>
            <w:vAlign w:val="center"/>
          </w:tcPr>
          <w:p w14:paraId="3450E402">
            <w:pPr>
              <w:pStyle w:val="41"/>
              <w:rPr>
                <w:color w:val="auto"/>
                <w:highlight w:val="none"/>
              </w:rPr>
            </w:pPr>
            <w:r>
              <w:rPr>
                <w:color w:val="auto"/>
                <w:highlight w:val="none"/>
              </w:rPr>
              <w:t>≤10</w:t>
            </w:r>
          </w:p>
        </w:tc>
        <w:tc>
          <w:tcPr>
            <w:tcW w:w="562" w:type="pct"/>
            <w:tcBorders>
              <w:tl2br w:val="nil"/>
              <w:tr2bl w:val="nil"/>
            </w:tcBorders>
            <w:vAlign w:val="center"/>
          </w:tcPr>
          <w:p w14:paraId="1E47FFAA">
            <w:pPr>
              <w:pStyle w:val="41"/>
              <w:rPr>
                <w:color w:val="auto"/>
                <w:highlight w:val="none"/>
              </w:rPr>
            </w:pPr>
            <w:r>
              <w:rPr>
                <w:rFonts w:hint="eastAsia"/>
                <w:color w:val="auto"/>
                <w:highlight w:val="none"/>
              </w:rPr>
              <w:t>二</w:t>
            </w:r>
            <w:r>
              <w:rPr>
                <w:color w:val="auto"/>
                <w:highlight w:val="none"/>
              </w:rPr>
              <w:t>级</w:t>
            </w:r>
            <w:r>
              <w:rPr>
                <w:rFonts w:hint="eastAsia"/>
                <w:color w:val="auto"/>
                <w:highlight w:val="none"/>
              </w:rPr>
              <w:t>（2.96）</w:t>
            </w:r>
          </w:p>
        </w:tc>
      </w:tr>
      <w:tr w14:paraId="5B1EB6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00" w:type="pct"/>
            <w:gridSpan w:val="6"/>
            <w:tcBorders>
              <w:tl2br w:val="nil"/>
              <w:tr2bl w:val="nil"/>
            </w:tcBorders>
            <w:vAlign w:val="center"/>
          </w:tcPr>
          <w:p w14:paraId="52387649">
            <w:pPr>
              <w:pStyle w:val="41"/>
              <w:rPr>
                <w:color w:val="auto"/>
                <w:highlight w:val="none"/>
              </w:rPr>
            </w:pPr>
            <w:r>
              <w:rPr>
                <w:color w:val="auto"/>
                <w:highlight w:val="none"/>
              </w:rPr>
              <w:t>三、污染物产生指标</w:t>
            </w:r>
          </w:p>
        </w:tc>
      </w:tr>
      <w:tr w14:paraId="346715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80" w:type="pct"/>
            <w:gridSpan w:val="2"/>
            <w:tcBorders>
              <w:tl2br w:val="nil"/>
              <w:tr2bl w:val="nil"/>
            </w:tcBorders>
            <w:vAlign w:val="center"/>
          </w:tcPr>
          <w:p w14:paraId="44416B2B">
            <w:pPr>
              <w:pStyle w:val="41"/>
              <w:rPr>
                <w:color w:val="auto"/>
                <w:highlight w:val="none"/>
              </w:rPr>
            </w:pPr>
            <w:r>
              <w:rPr>
                <w:color w:val="auto"/>
                <w:highlight w:val="none"/>
              </w:rPr>
              <w:t>废水产生量（m</w:t>
            </w:r>
            <w:r>
              <w:rPr>
                <w:color w:val="auto"/>
                <w:highlight w:val="none"/>
                <w:vertAlign w:val="superscript"/>
              </w:rPr>
              <w:t>3</w:t>
            </w:r>
            <w:r>
              <w:rPr>
                <w:color w:val="auto"/>
                <w:highlight w:val="none"/>
              </w:rPr>
              <w:t>/t）</w:t>
            </w:r>
          </w:p>
        </w:tc>
        <w:tc>
          <w:tcPr>
            <w:tcW w:w="1177" w:type="pct"/>
            <w:tcBorders>
              <w:tl2br w:val="nil"/>
              <w:tr2bl w:val="nil"/>
            </w:tcBorders>
            <w:vAlign w:val="center"/>
          </w:tcPr>
          <w:p w14:paraId="1CB92EE2">
            <w:pPr>
              <w:pStyle w:val="41"/>
              <w:rPr>
                <w:color w:val="auto"/>
                <w:highlight w:val="none"/>
              </w:rPr>
            </w:pPr>
            <w:r>
              <w:rPr>
                <w:color w:val="auto"/>
                <w:highlight w:val="none"/>
              </w:rPr>
              <w:t>≤0.1</w:t>
            </w:r>
          </w:p>
        </w:tc>
        <w:tc>
          <w:tcPr>
            <w:tcW w:w="1285" w:type="pct"/>
            <w:tcBorders>
              <w:tl2br w:val="nil"/>
              <w:tr2bl w:val="nil"/>
            </w:tcBorders>
            <w:vAlign w:val="center"/>
          </w:tcPr>
          <w:p w14:paraId="07485AEA">
            <w:pPr>
              <w:pStyle w:val="41"/>
              <w:rPr>
                <w:color w:val="auto"/>
                <w:highlight w:val="none"/>
              </w:rPr>
            </w:pPr>
            <w:r>
              <w:rPr>
                <w:color w:val="auto"/>
                <w:highlight w:val="none"/>
              </w:rPr>
              <w:t>≤0.7</w:t>
            </w:r>
          </w:p>
        </w:tc>
        <w:tc>
          <w:tcPr>
            <w:tcW w:w="1194" w:type="pct"/>
            <w:tcBorders>
              <w:tl2br w:val="nil"/>
              <w:tr2bl w:val="nil"/>
            </w:tcBorders>
            <w:vAlign w:val="center"/>
          </w:tcPr>
          <w:p w14:paraId="7DD46911">
            <w:pPr>
              <w:pStyle w:val="41"/>
              <w:rPr>
                <w:color w:val="auto"/>
                <w:highlight w:val="none"/>
              </w:rPr>
            </w:pPr>
            <w:r>
              <w:rPr>
                <w:color w:val="auto"/>
                <w:highlight w:val="none"/>
              </w:rPr>
              <w:t>≤1.5</w:t>
            </w:r>
          </w:p>
        </w:tc>
        <w:tc>
          <w:tcPr>
            <w:tcW w:w="562" w:type="pct"/>
            <w:tcBorders>
              <w:tl2br w:val="nil"/>
              <w:tr2bl w:val="nil"/>
            </w:tcBorders>
            <w:vAlign w:val="center"/>
          </w:tcPr>
          <w:p w14:paraId="58CFBBDE">
            <w:pPr>
              <w:pStyle w:val="41"/>
              <w:rPr>
                <w:color w:val="auto"/>
                <w:highlight w:val="none"/>
              </w:rPr>
            </w:pPr>
            <w:r>
              <w:rPr>
                <w:color w:val="auto"/>
                <w:highlight w:val="none"/>
              </w:rPr>
              <w:t>一级</w:t>
            </w:r>
          </w:p>
        </w:tc>
      </w:tr>
      <w:tr w14:paraId="7F2A4B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80" w:type="pct"/>
            <w:gridSpan w:val="2"/>
            <w:tcBorders>
              <w:tl2br w:val="nil"/>
              <w:tr2bl w:val="nil"/>
            </w:tcBorders>
            <w:vAlign w:val="center"/>
          </w:tcPr>
          <w:p w14:paraId="71BF3798">
            <w:pPr>
              <w:pStyle w:val="41"/>
              <w:rPr>
                <w:color w:val="auto"/>
                <w:highlight w:val="none"/>
              </w:rPr>
            </w:pPr>
            <w:r>
              <w:rPr>
                <w:color w:val="auto"/>
                <w:highlight w:val="none"/>
              </w:rPr>
              <w:t>悬浮物/（kg/t）</w:t>
            </w:r>
          </w:p>
        </w:tc>
        <w:tc>
          <w:tcPr>
            <w:tcW w:w="1177" w:type="pct"/>
            <w:tcBorders>
              <w:tl2br w:val="nil"/>
              <w:tr2bl w:val="nil"/>
            </w:tcBorders>
            <w:vAlign w:val="center"/>
          </w:tcPr>
          <w:p w14:paraId="4FC4C0C6">
            <w:pPr>
              <w:pStyle w:val="41"/>
              <w:rPr>
                <w:color w:val="auto"/>
                <w:highlight w:val="none"/>
              </w:rPr>
            </w:pPr>
            <w:r>
              <w:rPr>
                <w:color w:val="auto"/>
                <w:highlight w:val="none"/>
              </w:rPr>
              <w:t>≤0.01</w:t>
            </w:r>
          </w:p>
        </w:tc>
        <w:tc>
          <w:tcPr>
            <w:tcW w:w="1285" w:type="pct"/>
            <w:tcBorders>
              <w:tl2br w:val="nil"/>
              <w:tr2bl w:val="nil"/>
            </w:tcBorders>
            <w:vAlign w:val="center"/>
          </w:tcPr>
          <w:p w14:paraId="4A243DD3">
            <w:pPr>
              <w:pStyle w:val="41"/>
              <w:rPr>
                <w:color w:val="auto"/>
                <w:highlight w:val="none"/>
              </w:rPr>
            </w:pPr>
            <w:r>
              <w:rPr>
                <w:color w:val="auto"/>
                <w:highlight w:val="none"/>
              </w:rPr>
              <w:t>≤0.21</w:t>
            </w:r>
          </w:p>
        </w:tc>
        <w:tc>
          <w:tcPr>
            <w:tcW w:w="1194" w:type="pct"/>
            <w:tcBorders>
              <w:tl2br w:val="nil"/>
              <w:tr2bl w:val="nil"/>
            </w:tcBorders>
            <w:vAlign w:val="center"/>
          </w:tcPr>
          <w:p w14:paraId="6B64B5F2">
            <w:pPr>
              <w:pStyle w:val="41"/>
              <w:rPr>
                <w:color w:val="auto"/>
                <w:highlight w:val="none"/>
              </w:rPr>
            </w:pPr>
            <w:r>
              <w:rPr>
                <w:color w:val="auto"/>
                <w:highlight w:val="none"/>
              </w:rPr>
              <w:t>≤0.60</w:t>
            </w:r>
          </w:p>
        </w:tc>
        <w:tc>
          <w:tcPr>
            <w:tcW w:w="562" w:type="pct"/>
            <w:tcBorders>
              <w:tl2br w:val="nil"/>
              <w:tr2bl w:val="nil"/>
            </w:tcBorders>
            <w:vAlign w:val="center"/>
          </w:tcPr>
          <w:p w14:paraId="11A4ED24">
            <w:pPr>
              <w:pStyle w:val="41"/>
              <w:rPr>
                <w:color w:val="auto"/>
                <w:highlight w:val="none"/>
              </w:rPr>
            </w:pPr>
            <w:r>
              <w:rPr>
                <w:color w:val="auto"/>
                <w:highlight w:val="none"/>
              </w:rPr>
              <w:t>一级</w:t>
            </w:r>
          </w:p>
        </w:tc>
      </w:tr>
      <w:tr w14:paraId="4ACC22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80" w:type="pct"/>
            <w:gridSpan w:val="2"/>
            <w:tcBorders>
              <w:tl2br w:val="nil"/>
              <w:tr2bl w:val="nil"/>
            </w:tcBorders>
            <w:vAlign w:val="center"/>
          </w:tcPr>
          <w:p w14:paraId="148D3A4A">
            <w:pPr>
              <w:pStyle w:val="41"/>
              <w:rPr>
                <w:color w:val="auto"/>
                <w:highlight w:val="none"/>
              </w:rPr>
            </w:pPr>
            <w:r>
              <w:rPr>
                <w:color w:val="auto"/>
                <w:highlight w:val="none"/>
              </w:rPr>
              <w:t>COD产生量（kg/t）</w:t>
            </w:r>
          </w:p>
        </w:tc>
        <w:tc>
          <w:tcPr>
            <w:tcW w:w="1177" w:type="pct"/>
            <w:tcBorders>
              <w:tl2br w:val="nil"/>
              <w:tr2bl w:val="nil"/>
            </w:tcBorders>
            <w:vAlign w:val="center"/>
          </w:tcPr>
          <w:p w14:paraId="0901EE58">
            <w:pPr>
              <w:pStyle w:val="41"/>
              <w:rPr>
                <w:color w:val="auto"/>
                <w:highlight w:val="none"/>
              </w:rPr>
            </w:pPr>
            <w:r>
              <w:rPr>
                <w:color w:val="auto"/>
                <w:highlight w:val="none"/>
              </w:rPr>
              <w:t>≤0.01</w:t>
            </w:r>
          </w:p>
        </w:tc>
        <w:tc>
          <w:tcPr>
            <w:tcW w:w="1285" w:type="pct"/>
            <w:tcBorders>
              <w:tl2br w:val="nil"/>
              <w:tr2bl w:val="nil"/>
            </w:tcBorders>
            <w:vAlign w:val="center"/>
          </w:tcPr>
          <w:p w14:paraId="2A21680F">
            <w:pPr>
              <w:pStyle w:val="41"/>
              <w:rPr>
                <w:color w:val="auto"/>
                <w:highlight w:val="none"/>
              </w:rPr>
            </w:pPr>
            <w:r>
              <w:rPr>
                <w:color w:val="auto"/>
                <w:highlight w:val="none"/>
              </w:rPr>
              <w:t>≤0.11</w:t>
            </w:r>
          </w:p>
        </w:tc>
        <w:tc>
          <w:tcPr>
            <w:tcW w:w="1194" w:type="pct"/>
            <w:tcBorders>
              <w:tl2br w:val="nil"/>
              <w:tr2bl w:val="nil"/>
            </w:tcBorders>
            <w:vAlign w:val="center"/>
          </w:tcPr>
          <w:p w14:paraId="5EA1C2DE">
            <w:pPr>
              <w:pStyle w:val="41"/>
              <w:rPr>
                <w:color w:val="auto"/>
                <w:highlight w:val="none"/>
              </w:rPr>
            </w:pPr>
            <w:r>
              <w:rPr>
                <w:color w:val="auto"/>
                <w:highlight w:val="none"/>
              </w:rPr>
              <w:t>≤0.75</w:t>
            </w:r>
          </w:p>
        </w:tc>
        <w:tc>
          <w:tcPr>
            <w:tcW w:w="562" w:type="pct"/>
            <w:tcBorders>
              <w:tl2br w:val="nil"/>
              <w:tr2bl w:val="nil"/>
            </w:tcBorders>
            <w:vAlign w:val="center"/>
          </w:tcPr>
          <w:p w14:paraId="7EBD9A0F">
            <w:pPr>
              <w:pStyle w:val="41"/>
              <w:rPr>
                <w:color w:val="auto"/>
                <w:highlight w:val="none"/>
              </w:rPr>
            </w:pPr>
            <w:r>
              <w:rPr>
                <w:color w:val="auto"/>
                <w:highlight w:val="none"/>
              </w:rPr>
              <w:t>一级</w:t>
            </w:r>
          </w:p>
        </w:tc>
      </w:tr>
      <w:tr w14:paraId="3F4F5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00" w:type="pct"/>
            <w:gridSpan w:val="6"/>
            <w:tcBorders>
              <w:tl2br w:val="nil"/>
              <w:tr2bl w:val="nil"/>
            </w:tcBorders>
            <w:vAlign w:val="center"/>
          </w:tcPr>
          <w:p w14:paraId="144F3FCD">
            <w:pPr>
              <w:pStyle w:val="41"/>
              <w:rPr>
                <w:color w:val="auto"/>
                <w:highlight w:val="none"/>
              </w:rPr>
            </w:pPr>
            <w:r>
              <w:rPr>
                <w:color w:val="auto"/>
                <w:highlight w:val="none"/>
              </w:rPr>
              <w:t>四、废物回收利用指标</w:t>
            </w:r>
          </w:p>
        </w:tc>
      </w:tr>
      <w:tr w14:paraId="1F7274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80" w:type="pct"/>
            <w:gridSpan w:val="2"/>
            <w:tcBorders>
              <w:tl2br w:val="nil"/>
              <w:tr2bl w:val="nil"/>
            </w:tcBorders>
            <w:vAlign w:val="center"/>
          </w:tcPr>
          <w:p w14:paraId="61102C63">
            <w:pPr>
              <w:pStyle w:val="41"/>
              <w:rPr>
                <w:color w:val="auto"/>
                <w:highlight w:val="none"/>
              </w:rPr>
            </w:pPr>
            <w:r>
              <w:rPr>
                <w:color w:val="auto"/>
                <w:highlight w:val="none"/>
              </w:rPr>
              <w:t>尾矿回水利用率（%）</w:t>
            </w:r>
          </w:p>
        </w:tc>
        <w:tc>
          <w:tcPr>
            <w:tcW w:w="1177" w:type="pct"/>
            <w:tcBorders>
              <w:tl2br w:val="nil"/>
              <w:tr2bl w:val="nil"/>
            </w:tcBorders>
            <w:vAlign w:val="center"/>
          </w:tcPr>
          <w:p w14:paraId="4483B9F7">
            <w:pPr>
              <w:pStyle w:val="41"/>
              <w:rPr>
                <w:color w:val="auto"/>
                <w:highlight w:val="none"/>
              </w:rPr>
            </w:pPr>
            <w:r>
              <w:rPr>
                <w:color w:val="auto"/>
                <w:highlight w:val="none"/>
              </w:rPr>
              <w:t>≥95</w:t>
            </w:r>
          </w:p>
        </w:tc>
        <w:tc>
          <w:tcPr>
            <w:tcW w:w="1285" w:type="pct"/>
            <w:tcBorders>
              <w:tl2br w:val="nil"/>
              <w:tr2bl w:val="nil"/>
            </w:tcBorders>
            <w:vAlign w:val="center"/>
          </w:tcPr>
          <w:p w14:paraId="0C821712">
            <w:pPr>
              <w:pStyle w:val="41"/>
              <w:rPr>
                <w:color w:val="auto"/>
                <w:highlight w:val="none"/>
              </w:rPr>
            </w:pPr>
            <w:r>
              <w:rPr>
                <w:color w:val="auto"/>
                <w:highlight w:val="none"/>
              </w:rPr>
              <w:t>≥90</w:t>
            </w:r>
          </w:p>
        </w:tc>
        <w:tc>
          <w:tcPr>
            <w:tcW w:w="1194" w:type="pct"/>
            <w:tcBorders>
              <w:tl2br w:val="nil"/>
              <w:tr2bl w:val="nil"/>
            </w:tcBorders>
            <w:vAlign w:val="center"/>
          </w:tcPr>
          <w:p w14:paraId="75BBB4F3">
            <w:pPr>
              <w:pStyle w:val="41"/>
              <w:rPr>
                <w:color w:val="auto"/>
                <w:highlight w:val="none"/>
              </w:rPr>
            </w:pPr>
            <w:r>
              <w:rPr>
                <w:color w:val="auto"/>
                <w:highlight w:val="none"/>
              </w:rPr>
              <w:t>≥85</w:t>
            </w:r>
          </w:p>
        </w:tc>
        <w:tc>
          <w:tcPr>
            <w:tcW w:w="562" w:type="pct"/>
            <w:tcBorders>
              <w:tl2br w:val="nil"/>
              <w:tr2bl w:val="nil"/>
            </w:tcBorders>
            <w:vAlign w:val="center"/>
          </w:tcPr>
          <w:p w14:paraId="3D19BCF2">
            <w:pPr>
              <w:pStyle w:val="41"/>
              <w:rPr>
                <w:color w:val="auto"/>
                <w:highlight w:val="none"/>
              </w:rPr>
            </w:pPr>
            <w:r>
              <w:rPr>
                <w:rFonts w:hint="eastAsia"/>
                <w:color w:val="auto"/>
                <w:highlight w:val="none"/>
              </w:rPr>
              <w:t>一</w:t>
            </w:r>
            <w:r>
              <w:rPr>
                <w:color w:val="auto"/>
                <w:highlight w:val="none"/>
              </w:rPr>
              <w:t>级</w:t>
            </w:r>
          </w:p>
        </w:tc>
      </w:tr>
      <w:tr w14:paraId="2309A2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80" w:type="pct"/>
            <w:gridSpan w:val="2"/>
            <w:tcBorders>
              <w:tl2br w:val="nil"/>
              <w:tr2bl w:val="nil"/>
            </w:tcBorders>
            <w:vAlign w:val="center"/>
          </w:tcPr>
          <w:p w14:paraId="04F38FE8">
            <w:pPr>
              <w:pStyle w:val="41"/>
              <w:rPr>
                <w:color w:val="auto"/>
                <w:highlight w:val="none"/>
              </w:rPr>
            </w:pPr>
            <w:r>
              <w:rPr>
                <w:color w:val="auto"/>
                <w:highlight w:val="none"/>
              </w:rPr>
              <w:t>尾矿综合利用率（%）</w:t>
            </w:r>
          </w:p>
        </w:tc>
        <w:tc>
          <w:tcPr>
            <w:tcW w:w="1177" w:type="pct"/>
            <w:tcBorders>
              <w:tl2br w:val="nil"/>
              <w:tr2bl w:val="nil"/>
            </w:tcBorders>
            <w:vAlign w:val="center"/>
          </w:tcPr>
          <w:p w14:paraId="0EE47673">
            <w:pPr>
              <w:pStyle w:val="41"/>
              <w:rPr>
                <w:color w:val="auto"/>
                <w:highlight w:val="none"/>
              </w:rPr>
            </w:pPr>
            <w:r>
              <w:rPr>
                <w:color w:val="auto"/>
                <w:highlight w:val="none"/>
              </w:rPr>
              <w:t>≥30</w:t>
            </w:r>
          </w:p>
        </w:tc>
        <w:tc>
          <w:tcPr>
            <w:tcW w:w="1285" w:type="pct"/>
            <w:tcBorders>
              <w:tl2br w:val="nil"/>
              <w:tr2bl w:val="nil"/>
            </w:tcBorders>
            <w:vAlign w:val="center"/>
          </w:tcPr>
          <w:p w14:paraId="6DA0D1F9">
            <w:pPr>
              <w:pStyle w:val="41"/>
              <w:rPr>
                <w:color w:val="auto"/>
                <w:highlight w:val="none"/>
              </w:rPr>
            </w:pPr>
            <w:r>
              <w:rPr>
                <w:color w:val="auto"/>
                <w:highlight w:val="none"/>
              </w:rPr>
              <w:t>≥15</w:t>
            </w:r>
          </w:p>
        </w:tc>
        <w:tc>
          <w:tcPr>
            <w:tcW w:w="1194" w:type="pct"/>
            <w:tcBorders>
              <w:tl2br w:val="nil"/>
              <w:tr2bl w:val="nil"/>
            </w:tcBorders>
            <w:vAlign w:val="center"/>
          </w:tcPr>
          <w:p w14:paraId="4DA42023">
            <w:pPr>
              <w:pStyle w:val="41"/>
              <w:rPr>
                <w:color w:val="auto"/>
                <w:highlight w:val="none"/>
              </w:rPr>
            </w:pPr>
            <w:r>
              <w:rPr>
                <w:color w:val="auto"/>
                <w:highlight w:val="none"/>
              </w:rPr>
              <w:t>≥8</w:t>
            </w:r>
          </w:p>
        </w:tc>
        <w:tc>
          <w:tcPr>
            <w:tcW w:w="562" w:type="pct"/>
            <w:tcBorders>
              <w:tl2br w:val="nil"/>
              <w:tr2bl w:val="nil"/>
            </w:tcBorders>
            <w:vAlign w:val="center"/>
          </w:tcPr>
          <w:p w14:paraId="2C71C119">
            <w:pPr>
              <w:pStyle w:val="41"/>
              <w:rPr>
                <w:color w:val="auto"/>
                <w:highlight w:val="none"/>
              </w:rPr>
            </w:pPr>
            <w:r>
              <w:rPr>
                <w:rFonts w:hint="eastAsia"/>
                <w:color w:val="auto"/>
                <w:highlight w:val="none"/>
              </w:rPr>
              <w:t>一</w:t>
            </w:r>
            <w:r>
              <w:rPr>
                <w:color w:val="auto"/>
                <w:highlight w:val="none"/>
              </w:rPr>
              <w:t>级</w:t>
            </w:r>
          </w:p>
        </w:tc>
      </w:tr>
      <w:tr w14:paraId="499A7D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00" w:type="pct"/>
            <w:gridSpan w:val="6"/>
            <w:tcBorders>
              <w:tl2br w:val="nil"/>
              <w:tr2bl w:val="nil"/>
            </w:tcBorders>
            <w:vAlign w:val="center"/>
          </w:tcPr>
          <w:p w14:paraId="43AC71E7">
            <w:pPr>
              <w:pStyle w:val="41"/>
              <w:rPr>
                <w:color w:val="auto"/>
                <w:highlight w:val="none"/>
              </w:rPr>
            </w:pPr>
            <w:r>
              <w:rPr>
                <w:color w:val="auto"/>
                <w:highlight w:val="none"/>
              </w:rPr>
              <w:t>五、环境管理要求</w:t>
            </w:r>
          </w:p>
        </w:tc>
      </w:tr>
      <w:tr w14:paraId="093324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80" w:type="pct"/>
            <w:gridSpan w:val="2"/>
            <w:tcBorders>
              <w:tl2br w:val="nil"/>
              <w:tr2bl w:val="nil"/>
            </w:tcBorders>
            <w:vAlign w:val="center"/>
          </w:tcPr>
          <w:p w14:paraId="46CD04B1">
            <w:pPr>
              <w:pStyle w:val="41"/>
              <w:rPr>
                <w:color w:val="auto"/>
                <w:highlight w:val="none"/>
              </w:rPr>
            </w:pPr>
            <w:r>
              <w:rPr>
                <w:color w:val="auto"/>
                <w:highlight w:val="none"/>
              </w:rPr>
              <w:t>环境法律法规标准</w:t>
            </w:r>
          </w:p>
        </w:tc>
        <w:tc>
          <w:tcPr>
            <w:tcW w:w="3657" w:type="pct"/>
            <w:gridSpan w:val="3"/>
            <w:tcBorders>
              <w:tl2br w:val="nil"/>
              <w:tr2bl w:val="nil"/>
            </w:tcBorders>
            <w:vAlign w:val="center"/>
          </w:tcPr>
          <w:p w14:paraId="4239E3CD">
            <w:pPr>
              <w:pStyle w:val="41"/>
              <w:rPr>
                <w:color w:val="auto"/>
                <w:highlight w:val="none"/>
              </w:rPr>
            </w:pPr>
            <w:r>
              <w:rPr>
                <w:color w:val="auto"/>
                <w:highlight w:val="none"/>
              </w:rPr>
              <w:t>符合国家和地方有关环境法律法规，污染物排放达到国家和地方排放标准、总量控制和排污许可证管理要求</w:t>
            </w:r>
          </w:p>
        </w:tc>
        <w:tc>
          <w:tcPr>
            <w:tcW w:w="562" w:type="pct"/>
            <w:tcBorders>
              <w:tl2br w:val="nil"/>
              <w:tr2bl w:val="nil"/>
            </w:tcBorders>
            <w:vAlign w:val="center"/>
          </w:tcPr>
          <w:p w14:paraId="41E4FFB9">
            <w:pPr>
              <w:pStyle w:val="41"/>
              <w:rPr>
                <w:color w:val="auto"/>
                <w:highlight w:val="none"/>
              </w:rPr>
            </w:pPr>
            <w:r>
              <w:rPr>
                <w:rFonts w:hint="eastAsia"/>
                <w:color w:val="auto"/>
                <w:highlight w:val="none"/>
              </w:rPr>
              <w:t>一</w:t>
            </w:r>
            <w:r>
              <w:rPr>
                <w:color w:val="auto"/>
                <w:highlight w:val="none"/>
              </w:rPr>
              <w:t>级</w:t>
            </w:r>
          </w:p>
        </w:tc>
      </w:tr>
      <w:tr w14:paraId="5FC32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80" w:type="pct"/>
            <w:gridSpan w:val="2"/>
            <w:tcBorders>
              <w:tl2br w:val="nil"/>
              <w:tr2bl w:val="nil"/>
            </w:tcBorders>
            <w:vAlign w:val="center"/>
          </w:tcPr>
          <w:p w14:paraId="0A03FAAF">
            <w:pPr>
              <w:pStyle w:val="41"/>
              <w:rPr>
                <w:color w:val="auto"/>
                <w:highlight w:val="none"/>
              </w:rPr>
            </w:pPr>
            <w:r>
              <w:rPr>
                <w:color w:val="auto"/>
                <w:highlight w:val="none"/>
              </w:rPr>
              <w:t>环境审核</w:t>
            </w:r>
          </w:p>
        </w:tc>
        <w:tc>
          <w:tcPr>
            <w:tcW w:w="1177" w:type="pct"/>
            <w:tcBorders>
              <w:tl2br w:val="nil"/>
              <w:tr2bl w:val="nil"/>
            </w:tcBorders>
            <w:vAlign w:val="center"/>
          </w:tcPr>
          <w:p w14:paraId="55B4D035">
            <w:pPr>
              <w:pStyle w:val="41"/>
              <w:rPr>
                <w:color w:val="auto"/>
                <w:highlight w:val="none"/>
              </w:rPr>
            </w:pPr>
            <w:r>
              <w:rPr>
                <w:color w:val="auto"/>
                <w:highlight w:val="none"/>
              </w:rPr>
              <w:t>按照企业清洁生产审核指南的要求进行了审核；按照ISO14001建立并运行环境管理体系，环境管理手册、程序文件及作业文件齐备</w:t>
            </w:r>
          </w:p>
        </w:tc>
        <w:tc>
          <w:tcPr>
            <w:tcW w:w="1285" w:type="pct"/>
            <w:tcBorders>
              <w:tl2br w:val="nil"/>
              <w:tr2bl w:val="nil"/>
            </w:tcBorders>
            <w:vAlign w:val="center"/>
          </w:tcPr>
          <w:p w14:paraId="14A469C8">
            <w:pPr>
              <w:pStyle w:val="41"/>
              <w:rPr>
                <w:color w:val="auto"/>
                <w:highlight w:val="none"/>
              </w:rPr>
            </w:pPr>
            <w:r>
              <w:rPr>
                <w:color w:val="auto"/>
                <w:highlight w:val="none"/>
              </w:rPr>
              <w:t>按照企业清洁生产审核指南的要求进行了审核；环境管理制度健全，原始记录及统计数据齐全有效</w:t>
            </w:r>
          </w:p>
        </w:tc>
        <w:tc>
          <w:tcPr>
            <w:tcW w:w="1194" w:type="pct"/>
            <w:tcBorders>
              <w:tl2br w:val="nil"/>
              <w:tr2bl w:val="nil"/>
            </w:tcBorders>
            <w:vAlign w:val="center"/>
          </w:tcPr>
          <w:p w14:paraId="027AE00C">
            <w:pPr>
              <w:pStyle w:val="41"/>
              <w:rPr>
                <w:color w:val="auto"/>
                <w:highlight w:val="none"/>
              </w:rPr>
            </w:pPr>
            <w:r>
              <w:rPr>
                <w:color w:val="auto"/>
                <w:highlight w:val="none"/>
              </w:rPr>
              <w:t>按照企业清洁生产审核指南的要求进行了审核；环境管理制度、原始记录及统计数据基本齐全</w:t>
            </w:r>
          </w:p>
        </w:tc>
        <w:tc>
          <w:tcPr>
            <w:tcW w:w="562" w:type="pct"/>
            <w:tcBorders>
              <w:tl2br w:val="nil"/>
              <w:tr2bl w:val="nil"/>
            </w:tcBorders>
            <w:vAlign w:val="center"/>
          </w:tcPr>
          <w:p w14:paraId="3EF1DD4A">
            <w:pPr>
              <w:pStyle w:val="41"/>
              <w:rPr>
                <w:color w:val="auto"/>
                <w:highlight w:val="none"/>
              </w:rPr>
            </w:pPr>
            <w:r>
              <w:rPr>
                <w:color w:val="auto"/>
                <w:highlight w:val="none"/>
              </w:rPr>
              <w:t>一级</w:t>
            </w:r>
          </w:p>
        </w:tc>
      </w:tr>
      <w:tr w14:paraId="3367D8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2" w:type="pct"/>
            <w:vMerge w:val="restart"/>
            <w:tcBorders>
              <w:tl2br w:val="nil"/>
              <w:tr2bl w:val="nil"/>
            </w:tcBorders>
            <w:vAlign w:val="center"/>
          </w:tcPr>
          <w:p w14:paraId="5D4E509E">
            <w:pPr>
              <w:pStyle w:val="41"/>
              <w:rPr>
                <w:color w:val="auto"/>
                <w:highlight w:val="none"/>
              </w:rPr>
            </w:pPr>
            <w:r>
              <w:rPr>
                <w:color w:val="auto"/>
                <w:highlight w:val="none"/>
              </w:rPr>
              <w:t>生产过程环境管理</w:t>
            </w:r>
          </w:p>
        </w:tc>
        <w:tc>
          <w:tcPr>
            <w:tcW w:w="587" w:type="pct"/>
            <w:tcBorders>
              <w:tl2br w:val="nil"/>
              <w:tr2bl w:val="nil"/>
            </w:tcBorders>
            <w:vAlign w:val="center"/>
          </w:tcPr>
          <w:p w14:paraId="20779C2F">
            <w:pPr>
              <w:pStyle w:val="41"/>
              <w:rPr>
                <w:color w:val="auto"/>
                <w:highlight w:val="none"/>
              </w:rPr>
            </w:pPr>
            <w:r>
              <w:rPr>
                <w:color w:val="auto"/>
                <w:highlight w:val="none"/>
              </w:rPr>
              <w:t>岗位培训</w:t>
            </w:r>
          </w:p>
        </w:tc>
        <w:tc>
          <w:tcPr>
            <w:tcW w:w="2463" w:type="pct"/>
            <w:gridSpan w:val="2"/>
            <w:tcBorders>
              <w:tl2br w:val="nil"/>
              <w:tr2bl w:val="nil"/>
            </w:tcBorders>
            <w:vAlign w:val="center"/>
          </w:tcPr>
          <w:p w14:paraId="27AF884C">
            <w:pPr>
              <w:pStyle w:val="41"/>
              <w:rPr>
                <w:color w:val="auto"/>
                <w:highlight w:val="none"/>
              </w:rPr>
            </w:pPr>
            <w:r>
              <w:rPr>
                <w:color w:val="auto"/>
                <w:highlight w:val="none"/>
              </w:rPr>
              <w:t>所有岗位进行过严格培训</w:t>
            </w:r>
          </w:p>
        </w:tc>
        <w:tc>
          <w:tcPr>
            <w:tcW w:w="1194" w:type="pct"/>
            <w:tcBorders>
              <w:tl2br w:val="nil"/>
              <w:tr2bl w:val="nil"/>
            </w:tcBorders>
            <w:vAlign w:val="center"/>
          </w:tcPr>
          <w:p w14:paraId="140CA18E">
            <w:pPr>
              <w:pStyle w:val="41"/>
              <w:rPr>
                <w:color w:val="auto"/>
                <w:highlight w:val="none"/>
              </w:rPr>
            </w:pPr>
            <w:r>
              <w:rPr>
                <w:color w:val="auto"/>
                <w:highlight w:val="none"/>
              </w:rPr>
              <w:t>主要岗位进行过严格培训</w:t>
            </w:r>
          </w:p>
        </w:tc>
        <w:tc>
          <w:tcPr>
            <w:tcW w:w="562" w:type="pct"/>
            <w:tcBorders>
              <w:tl2br w:val="nil"/>
              <w:tr2bl w:val="nil"/>
            </w:tcBorders>
            <w:vAlign w:val="center"/>
          </w:tcPr>
          <w:p w14:paraId="439E852D">
            <w:pPr>
              <w:pStyle w:val="41"/>
              <w:rPr>
                <w:color w:val="auto"/>
                <w:highlight w:val="none"/>
              </w:rPr>
            </w:pPr>
            <w:r>
              <w:rPr>
                <w:rFonts w:hint="eastAsia"/>
                <w:color w:val="auto"/>
                <w:highlight w:val="none"/>
              </w:rPr>
              <w:t>一</w:t>
            </w:r>
            <w:r>
              <w:rPr>
                <w:color w:val="auto"/>
                <w:highlight w:val="none"/>
              </w:rPr>
              <w:t>级</w:t>
            </w:r>
          </w:p>
        </w:tc>
      </w:tr>
      <w:tr w14:paraId="05AB8B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2" w:type="pct"/>
            <w:vMerge w:val="continue"/>
            <w:tcBorders>
              <w:tl2br w:val="nil"/>
              <w:tr2bl w:val="nil"/>
            </w:tcBorders>
            <w:vAlign w:val="center"/>
          </w:tcPr>
          <w:p w14:paraId="31F7044E">
            <w:pPr>
              <w:pStyle w:val="41"/>
              <w:rPr>
                <w:color w:val="auto"/>
                <w:highlight w:val="none"/>
              </w:rPr>
            </w:pPr>
          </w:p>
        </w:tc>
        <w:tc>
          <w:tcPr>
            <w:tcW w:w="587" w:type="pct"/>
            <w:tcBorders>
              <w:tl2br w:val="nil"/>
              <w:tr2bl w:val="nil"/>
            </w:tcBorders>
            <w:vAlign w:val="center"/>
          </w:tcPr>
          <w:p w14:paraId="6C6CE765">
            <w:pPr>
              <w:pStyle w:val="41"/>
              <w:rPr>
                <w:color w:val="auto"/>
                <w:highlight w:val="none"/>
              </w:rPr>
            </w:pPr>
            <w:r>
              <w:rPr>
                <w:color w:val="auto"/>
                <w:highlight w:val="none"/>
              </w:rPr>
              <w:t>破碎、磨矿、分级等主要工序的操作管理</w:t>
            </w:r>
          </w:p>
        </w:tc>
        <w:tc>
          <w:tcPr>
            <w:tcW w:w="1177" w:type="pct"/>
            <w:tcBorders>
              <w:tl2br w:val="nil"/>
              <w:tr2bl w:val="nil"/>
            </w:tcBorders>
            <w:vAlign w:val="center"/>
          </w:tcPr>
          <w:p w14:paraId="28F5FD56">
            <w:pPr>
              <w:pStyle w:val="41"/>
              <w:rPr>
                <w:color w:val="auto"/>
                <w:highlight w:val="none"/>
              </w:rPr>
            </w:pPr>
            <w:r>
              <w:rPr>
                <w:color w:val="auto"/>
                <w:highlight w:val="none"/>
              </w:rPr>
              <w:t>有完善的岗位操作规程；运行无故障、设备完好率达100%</w:t>
            </w:r>
          </w:p>
        </w:tc>
        <w:tc>
          <w:tcPr>
            <w:tcW w:w="1285" w:type="pct"/>
            <w:tcBorders>
              <w:tl2br w:val="nil"/>
              <w:tr2bl w:val="nil"/>
            </w:tcBorders>
            <w:vAlign w:val="center"/>
          </w:tcPr>
          <w:p w14:paraId="00049899">
            <w:pPr>
              <w:pStyle w:val="41"/>
              <w:rPr>
                <w:color w:val="auto"/>
                <w:highlight w:val="none"/>
              </w:rPr>
            </w:pPr>
            <w:r>
              <w:rPr>
                <w:color w:val="auto"/>
                <w:highlight w:val="none"/>
              </w:rPr>
              <w:t>有完善的岗位操作规程；运行无故障、设备完好率达98%</w:t>
            </w:r>
          </w:p>
        </w:tc>
        <w:tc>
          <w:tcPr>
            <w:tcW w:w="1194" w:type="pct"/>
            <w:tcBorders>
              <w:tl2br w:val="nil"/>
              <w:tr2bl w:val="nil"/>
            </w:tcBorders>
            <w:vAlign w:val="center"/>
          </w:tcPr>
          <w:p w14:paraId="4B5EDC94">
            <w:pPr>
              <w:pStyle w:val="41"/>
              <w:rPr>
                <w:color w:val="auto"/>
                <w:highlight w:val="none"/>
              </w:rPr>
            </w:pPr>
            <w:r>
              <w:rPr>
                <w:color w:val="auto"/>
                <w:highlight w:val="none"/>
              </w:rPr>
              <w:t>有较完善的岗位操作规程；运行无故障、设备完好率达95%</w:t>
            </w:r>
          </w:p>
        </w:tc>
        <w:tc>
          <w:tcPr>
            <w:tcW w:w="562" w:type="pct"/>
            <w:tcBorders>
              <w:tl2br w:val="nil"/>
              <w:tr2bl w:val="nil"/>
            </w:tcBorders>
            <w:vAlign w:val="center"/>
          </w:tcPr>
          <w:p w14:paraId="1141000C">
            <w:pPr>
              <w:pStyle w:val="41"/>
              <w:rPr>
                <w:color w:val="auto"/>
                <w:highlight w:val="none"/>
              </w:rPr>
            </w:pPr>
            <w:r>
              <w:rPr>
                <w:color w:val="auto"/>
                <w:highlight w:val="none"/>
              </w:rPr>
              <w:t>二级</w:t>
            </w:r>
          </w:p>
        </w:tc>
      </w:tr>
      <w:tr w14:paraId="15E2B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2" w:type="pct"/>
            <w:vMerge w:val="continue"/>
            <w:tcBorders>
              <w:tl2br w:val="nil"/>
              <w:tr2bl w:val="nil"/>
            </w:tcBorders>
            <w:vAlign w:val="center"/>
          </w:tcPr>
          <w:p w14:paraId="210EB280">
            <w:pPr>
              <w:pStyle w:val="41"/>
              <w:rPr>
                <w:color w:val="auto"/>
                <w:highlight w:val="none"/>
              </w:rPr>
            </w:pPr>
          </w:p>
        </w:tc>
        <w:tc>
          <w:tcPr>
            <w:tcW w:w="587" w:type="pct"/>
            <w:tcBorders>
              <w:tl2br w:val="nil"/>
              <w:tr2bl w:val="nil"/>
            </w:tcBorders>
            <w:vAlign w:val="center"/>
          </w:tcPr>
          <w:p w14:paraId="4BE29D0F">
            <w:pPr>
              <w:pStyle w:val="41"/>
              <w:rPr>
                <w:color w:val="auto"/>
                <w:highlight w:val="none"/>
              </w:rPr>
            </w:pPr>
            <w:r>
              <w:rPr>
                <w:color w:val="auto"/>
                <w:highlight w:val="none"/>
              </w:rPr>
              <w:t>设备的使用、维护、检修管理制度</w:t>
            </w:r>
          </w:p>
        </w:tc>
        <w:tc>
          <w:tcPr>
            <w:tcW w:w="1177" w:type="pct"/>
            <w:tcBorders>
              <w:tl2br w:val="nil"/>
              <w:tr2bl w:val="nil"/>
            </w:tcBorders>
            <w:vAlign w:val="center"/>
          </w:tcPr>
          <w:p w14:paraId="4FB02A01">
            <w:pPr>
              <w:pStyle w:val="41"/>
              <w:rPr>
                <w:color w:val="auto"/>
                <w:highlight w:val="none"/>
              </w:rPr>
            </w:pPr>
            <w:r>
              <w:rPr>
                <w:color w:val="auto"/>
                <w:highlight w:val="none"/>
              </w:rPr>
              <w:t>有完善的管理制度，并严格执行</w:t>
            </w:r>
          </w:p>
        </w:tc>
        <w:tc>
          <w:tcPr>
            <w:tcW w:w="1285" w:type="pct"/>
            <w:tcBorders>
              <w:tl2br w:val="nil"/>
              <w:tr2bl w:val="nil"/>
            </w:tcBorders>
            <w:vAlign w:val="center"/>
          </w:tcPr>
          <w:p w14:paraId="3448553C">
            <w:pPr>
              <w:pStyle w:val="41"/>
              <w:rPr>
                <w:color w:val="auto"/>
                <w:highlight w:val="none"/>
              </w:rPr>
            </w:pPr>
            <w:r>
              <w:rPr>
                <w:color w:val="auto"/>
                <w:highlight w:val="none"/>
              </w:rPr>
              <w:t>主要设备有具体的管理制度，并严格执行</w:t>
            </w:r>
          </w:p>
        </w:tc>
        <w:tc>
          <w:tcPr>
            <w:tcW w:w="1194" w:type="pct"/>
            <w:tcBorders>
              <w:tl2br w:val="nil"/>
              <w:tr2bl w:val="nil"/>
            </w:tcBorders>
            <w:vAlign w:val="center"/>
          </w:tcPr>
          <w:p w14:paraId="55FAB5B6">
            <w:pPr>
              <w:pStyle w:val="41"/>
              <w:rPr>
                <w:color w:val="auto"/>
                <w:highlight w:val="none"/>
              </w:rPr>
            </w:pPr>
            <w:r>
              <w:rPr>
                <w:color w:val="auto"/>
                <w:highlight w:val="none"/>
              </w:rPr>
              <w:t>主要设备有基本的管理制度，并严格执行</w:t>
            </w:r>
          </w:p>
        </w:tc>
        <w:tc>
          <w:tcPr>
            <w:tcW w:w="562" w:type="pct"/>
            <w:tcBorders>
              <w:tl2br w:val="nil"/>
              <w:tr2bl w:val="nil"/>
            </w:tcBorders>
            <w:vAlign w:val="center"/>
          </w:tcPr>
          <w:p w14:paraId="0E19FBEF">
            <w:pPr>
              <w:pStyle w:val="41"/>
              <w:rPr>
                <w:color w:val="auto"/>
                <w:highlight w:val="none"/>
              </w:rPr>
            </w:pPr>
            <w:r>
              <w:rPr>
                <w:rFonts w:hint="eastAsia"/>
                <w:color w:val="auto"/>
                <w:highlight w:val="none"/>
              </w:rPr>
              <w:t>一</w:t>
            </w:r>
            <w:r>
              <w:rPr>
                <w:color w:val="auto"/>
                <w:highlight w:val="none"/>
              </w:rPr>
              <w:t>级</w:t>
            </w:r>
          </w:p>
        </w:tc>
      </w:tr>
      <w:tr w14:paraId="217CF1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2" w:type="pct"/>
            <w:vMerge w:val="continue"/>
            <w:tcBorders>
              <w:tl2br w:val="nil"/>
              <w:tr2bl w:val="nil"/>
            </w:tcBorders>
            <w:vAlign w:val="center"/>
          </w:tcPr>
          <w:p w14:paraId="360AF6E0">
            <w:pPr>
              <w:pStyle w:val="41"/>
              <w:rPr>
                <w:color w:val="auto"/>
                <w:highlight w:val="none"/>
              </w:rPr>
            </w:pPr>
          </w:p>
        </w:tc>
        <w:tc>
          <w:tcPr>
            <w:tcW w:w="587" w:type="pct"/>
            <w:tcBorders>
              <w:tl2br w:val="nil"/>
              <w:tr2bl w:val="nil"/>
            </w:tcBorders>
            <w:vAlign w:val="center"/>
          </w:tcPr>
          <w:p w14:paraId="5DADD161">
            <w:pPr>
              <w:pStyle w:val="41"/>
              <w:rPr>
                <w:color w:val="auto"/>
                <w:highlight w:val="none"/>
              </w:rPr>
            </w:pPr>
            <w:r>
              <w:rPr>
                <w:color w:val="auto"/>
                <w:highlight w:val="none"/>
              </w:rPr>
              <w:t>生产工艺用水、用电管理</w:t>
            </w:r>
          </w:p>
        </w:tc>
        <w:tc>
          <w:tcPr>
            <w:tcW w:w="1177" w:type="pct"/>
            <w:tcBorders>
              <w:tl2br w:val="nil"/>
              <w:tr2bl w:val="nil"/>
            </w:tcBorders>
            <w:vAlign w:val="center"/>
          </w:tcPr>
          <w:p w14:paraId="7046668E">
            <w:pPr>
              <w:pStyle w:val="41"/>
              <w:rPr>
                <w:color w:val="auto"/>
                <w:highlight w:val="none"/>
              </w:rPr>
            </w:pPr>
            <w:r>
              <w:rPr>
                <w:color w:val="auto"/>
                <w:highlight w:val="none"/>
              </w:rPr>
              <w:t>各种计量装置齐全，并制定严格计量考核制度</w:t>
            </w:r>
          </w:p>
        </w:tc>
        <w:tc>
          <w:tcPr>
            <w:tcW w:w="1285" w:type="pct"/>
            <w:tcBorders>
              <w:tl2br w:val="nil"/>
              <w:tr2bl w:val="nil"/>
            </w:tcBorders>
            <w:vAlign w:val="center"/>
          </w:tcPr>
          <w:p w14:paraId="57D93A23">
            <w:pPr>
              <w:pStyle w:val="41"/>
              <w:rPr>
                <w:color w:val="auto"/>
                <w:highlight w:val="none"/>
              </w:rPr>
            </w:pPr>
            <w:r>
              <w:rPr>
                <w:color w:val="auto"/>
                <w:highlight w:val="none"/>
              </w:rPr>
              <w:t>主要环节进行计量，并制定定量考核制度</w:t>
            </w:r>
          </w:p>
        </w:tc>
        <w:tc>
          <w:tcPr>
            <w:tcW w:w="1194" w:type="pct"/>
            <w:tcBorders>
              <w:tl2br w:val="nil"/>
              <w:tr2bl w:val="nil"/>
            </w:tcBorders>
            <w:vAlign w:val="center"/>
          </w:tcPr>
          <w:p w14:paraId="439847ED">
            <w:pPr>
              <w:pStyle w:val="41"/>
              <w:rPr>
                <w:color w:val="auto"/>
                <w:highlight w:val="none"/>
              </w:rPr>
            </w:pPr>
            <w:r>
              <w:rPr>
                <w:color w:val="auto"/>
                <w:highlight w:val="none"/>
              </w:rPr>
              <w:t>主要环节进行计量</w:t>
            </w:r>
          </w:p>
        </w:tc>
        <w:tc>
          <w:tcPr>
            <w:tcW w:w="562" w:type="pct"/>
            <w:tcBorders>
              <w:tl2br w:val="nil"/>
              <w:tr2bl w:val="nil"/>
            </w:tcBorders>
            <w:vAlign w:val="center"/>
          </w:tcPr>
          <w:p w14:paraId="440C2890">
            <w:pPr>
              <w:pStyle w:val="41"/>
              <w:rPr>
                <w:color w:val="auto"/>
                <w:highlight w:val="none"/>
              </w:rPr>
            </w:pPr>
            <w:r>
              <w:rPr>
                <w:color w:val="auto"/>
                <w:highlight w:val="none"/>
              </w:rPr>
              <w:t>二级</w:t>
            </w:r>
          </w:p>
        </w:tc>
      </w:tr>
      <w:tr w14:paraId="4F8E46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2" w:type="pct"/>
            <w:vMerge w:val="continue"/>
            <w:tcBorders>
              <w:tl2br w:val="nil"/>
              <w:tr2bl w:val="nil"/>
            </w:tcBorders>
            <w:vAlign w:val="center"/>
          </w:tcPr>
          <w:p w14:paraId="5149CFDB">
            <w:pPr>
              <w:pStyle w:val="41"/>
              <w:rPr>
                <w:color w:val="auto"/>
                <w:highlight w:val="none"/>
              </w:rPr>
            </w:pPr>
          </w:p>
        </w:tc>
        <w:tc>
          <w:tcPr>
            <w:tcW w:w="587" w:type="pct"/>
            <w:tcBorders>
              <w:tl2br w:val="nil"/>
              <w:tr2bl w:val="nil"/>
            </w:tcBorders>
            <w:vAlign w:val="center"/>
          </w:tcPr>
          <w:p w14:paraId="17B7F747">
            <w:pPr>
              <w:pStyle w:val="41"/>
              <w:rPr>
                <w:color w:val="auto"/>
                <w:highlight w:val="none"/>
              </w:rPr>
            </w:pPr>
            <w:r>
              <w:rPr>
                <w:color w:val="auto"/>
                <w:highlight w:val="none"/>
              </w:rPr>
              <w:t>各种标识</w:t>
            </w:r>
          </w:p>
        </w:tc>
        <w:tc>
          <w:tcPr>
            <w:tcW w:w="3657" w:type="pct"/>
            <w:gridSpan w:val="3"/>
            <w:tcBorders>
              <w:tl2br w:val="nil"/>
              <w:tr2bl w:val="nil"/>
            </w:tcBorders>
            <w:vAlign w:val="center"/>
          </w:tcPr>
          <w:p w14:paraId="079615CB">
            <w:pPr>
              <w:pStyle w:val="41"/>
              <w:rPr>
                <w:color w:val="auto"/>
                <w:highlight w:val="none"/>
              </w:rPr>
            </w:pPr>
            <w:r>
              <w:rPr>
                <w:color w:val="auto"/>
                <w:highlight w:val="none"/>
              </w:rPr>
              <w:t>生产区内各种标识明显，严格进行定期检查</w:t>
            </w:r>
          </w:p>
        </w:tc>
        <w:tc>
          <w:tcPr>
            <w:tcW w:w="562" w:type="pct"/>
            <w:tcBorders>
              <w:tl2br w:val="nil"/>
              <w:tr2bl w:val="nil"/>
            </w:tcBorders>
            <w:vAlign w:val="center"/>
          </w:tcPr>
          <w:p w14:paraId="23CECCA9">
            <w:pPr>
              <w:pStyle w:val="41"/>
              <w:rPr>
                <w:color w:val="auto"/>
                <w:highlight w:val="none"/>
              </w:rPr>
            </w:pPr>
            <w:r>
              <w:rPr>
                <w:rFonts w:hint="eastAsia"/>
                <w:color w:val="auto"/>
                <w:highlight w:val="none"/>
              </w:rPr>
              <w:t>一</w:t>
            </w:r>
            <w:r>
              <w:rPr>
                <w:color w:val="auto"/>
                <w:highlight w:val="none"/>
              </w:rPr>
              <w:t>级</w:t>
            </w:r>
          </w:p>
        </w:tc>
      </w:tr>
      <w:tr w14:paraId="4043B7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2" w:type="pct"/>
            <w:vMerge w:val="restart"/>
            <w:tcBorders>
              <w:tl2br w:val="nil"/>
              <w:tr2bl w:val="nil"/>
            </w:tcBorders>
            <w:vAlign w:val="center"/>
          </w:tcPr>
          <w:p w14:paraId="2043387B">
            <w:pPr>
              <w:pStyle w:val="41"/>
              <w:rPr>
                <w:color w:val="auto"/>
                <w:highlight w:val="none"/>
              </w:rPr>
            </w:pPr>
            <w:r>
              <w:rPr>
                <w:color w:val="auto"/>
                <w:highlight w:val="none"/>
              </w:rPr>
              <w:t>环境管理</w:t>
            </w:r>
          </w:p>
        </w:tc>
        <w:tc>
          <w:tcPr>
            <w:tcW w:w="587" w:type="pct"/>
            <w:tcBorders>
              <w:tl2br w:val="nil"/>
              <w:tr2bl w:val="nil"/>
            </w:tcBorders>
            <w:vAlign w:val="center"/>
          </w:tcPr>
          <w:p w14:paraId="4DDA865F">
            <w:pPr>
              <w:pStyle w:val="41"/>
              <w:rPr>
                <w:color w:val="auto"/>
                <w:highlight w:val="none"/>
              </w:rPr>
            </w:pPr>
            <w:r>
              <w:rPr>
                <w:color w:val="auto"/>
                <w:highlight w:val="none"/>
              </w:rPr>
              <w:t>环境管理机构</w:t>
            </w:r>
          </w:p>
        </w:tc>
        <w:tc>
          <w:tcPr>
            <w:tcW w:w="3657" w:type="pct"/>
            <w:gridSpan w:val="3"/>
            <w:tcBorders>
              <w:tl2br w:val="nil"/>
              <w:tr2bl w:val="nil"/>
            </w:tcBorders>
            <w:vAlign w:val="center"/>
          </w:tcPr>
          <w:p w14:paraId="5361D37C">
            <w:pPr>
              <w:pStyle w:val="41"/>
              <w:rPr>
                <w:color w:val="auto"/>
                <w:highlight w:val="none"/>
              </w:rPr>
            </w:pPr>
            <w:r>
              <w:rPr>
                <w:color w:val="auto"/>
                <w:highlight w:val="none"/>
              </w:rPr>
              <w:t>建立并有专人负责</w:t>
            </w:r>
          </w:p>
        </w:tc>
        <w:tc>
          <w:tcPr>
            <w:tcW w:w="562" w:type="pct"/>
            <w:tcBorders>
              <w:tl2br w:val="nil"/>
              <w:tr2bl w:val="nil"/>
            </w:tcBorders>
            <w:vAlign w:val="center"/>
          </w:tcPr>
          <w:p w14:paraId="6AFB283E">
            <w:pPr>
              <w:pStyle w:val="41"/>
              <w:rPr>
                <w:color w:val="auto"/>
                <w:highlight w:val="none"/>
              </w:rPr>
            </w:pPr>
            <w:r>
              <w:rPr>
                <w:rFonts w:hint="eastAsia"/>
                <w:color w:val="auto"/>
                <w:highlight w:val="none"/>
              </w:rPr>
              <w:t>一</w:t>
            </w:r>
            <w:r>
              <w:rPr>
                <w:color w:val="auto"/>
                <w:highlight w:val="none"/>
              </w:rPr>
              <w:t>级</w:t>
            </w:r>
          </w:p>
        </w:tc>
      </w:tr>
      <w:tr w14:paraId="4BD2E4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2" w:type="pct"/>
            <w:vMerge w:val="continue"/>
            <w:tcBorders>
              <w:tl2br w:val="nil"/>
              <w:tr2bl w:val="nil"/>
            </w:tcBorders>
            <w:vAlign w:val="center"/>
          </w:tcPr>
          <w:p w14:paraId="00E1AA65">
            <w:pPr>
              <w:pStyle w:val="41"/>
              <w:rPr>
                <w:color w:val="auto"/>
                <w:highlight w:val="none"/>
              </w:rPr>
            </w:pPr>
          </w:p>
        </w:tc>
        <w:tc>
          <w:tcPr>
            <w:tcW w:w="587" w:type="pct"/>
            <w:tcBorders>
              <w:tl2br w:val="nil"/>
              <w:tr2bl w:val="nil"/>
            </w:tcBorders>
            <w:vAlign w:val="center"/>
          </w:tcPr>
          <w:p w14:paraId="6C52A294">
            <w:pPr>
              <w:pStyle w:val="41"/>
              <w:rPr>
                <w:color w:val="auto"/>
                <w:highlight w:val="none"/>
              </w:rPr>
            </w:pPr>
            <w:r>
              <w:rPr>
                <w:color w:val="auto"/>
                <w:highlight w:val="none"/>
              </w:rPr>
              <w:t>环境管理制度</w:t>
            </w:r>
          </w:p>
        </w:tc>
        <w:tc>
          <w:tcPr>
            <w:tcW w:w="2463" w:type="pct"/>
            <w:gridSpan w:val="2"/>
            <w:tcBorders>
              <w:tl2br w:val="nil"/>
              <w:tr2bl w:val="nil"/>
            </w:tcBorders>
            <w:vAlign w:val="center"/>
          </w:tcPr>
          <w:p w14:paraId="39340952">
            <w:pPr>
              <w:pStyle w:val="41"/>
              <w:rPr>
                <w:color w:val="auto"/>
                <w:highlight w:val="none"/>
              </w:rPr>
            </w:pPr>
            <w:r>
              <w:rPr>
                <w:color w:val="auto"/>
                <w:highlight w:val="none"/>
              </w:rPr>
              <w:t>健全、完善的环境管理制度，并纳入日常管理</w:t>
            </w:r>
          </w:p>
        </w:tc>
        <w:tc>
          <w:tcPr>
            <w:tcW w:w="1194" w:type="pct"/>
            <w:tcBorders>
              <w:tl2br w:val="nil"/>
              <w:tr2bl w:val="nil"/>
            </w:tcBorders>
            <w:vAlign w:val="center"/>
          </w:tcPr>
          <w:p w14:paraId="1C56500E">
            <w:pPr>
              <w:pStyle w:val="41"/>
              <w:rPr>
                <w:color w:val="auto"/>
                <w:highlight w:val="none"/>
              </w:rPr>
            </w:pPr>
            <w:r>
              <w:rPr>
                <w:color w:val="auto"/>
                <w:highlight w:val="none"/>
              </w:rPr>
              <w:t>较完善的环境管理制度</w:t>
            </w:r>
          </w:p>
        </w:tc>
        <w:tc>
          <w:tcPr>
            <w:tcW w:w="562" w:type="pct"/>
            <w:tcBorders>
              <w:tl2br w:val="nil"/>
              <w:tr2bl w:val="nil"/>
            </w:tcBorders>
            <w:vAlign w:val="center"/>
          </w:tcPr>
          <w:p w14:paraId="3649E494">
            <w:pPr>
              <w:pStyle w:val="41"/>
              <w:rPr>
                <w:color w:val="auto"/>
                <w:highlight w:val="none"/>
              </w:rPr>
            </w:pPr>
            <w:r>
              <w:rPr>
                <w:rFonts w:hint="eastAsia"/>
                <w:color w:val="auto"/>
                <w:highlight w:val="none"/>
              </w:rPr>
              <w:t>一级</w:t>
            </w:r>
          </w:p>
        </w:tc>
      </w:tr>
      <w:tr w14:paraId="381CD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2" w:type="pct"/>
            <w:vMerge w:val="continue"/>
            <w:tcBorders>
              <w:tl2br w:val="nil"/>
              <w:tr2bl w:val="nil"/>
            </w:tcBorders>
            <w:vAlign w:val="center"/>
          </w:tcPr>
          <w:p w14:paraId="74874C3C">
            <w:pPr>
              <w:pStyle w:val="41"/>
              <w:rPr>
                <w:color w:val="auto"/>
                <w:highlight w:val="none"/>
              </w:rPr>
            </w:pPr>
          </w:p>
        </w:tc>
        <w:tc>
          <w:tcPr>
            <w:tcW w:w="587" w:type="pct"/>
            <w:tcBorders>
              <w:tl2br w:val="nil"/>
              <w:tr2bl w:val="nil"/>
            </w:tcBorders>
            <w:vAlign w:val="center"/>
          </w:tcPr>
          <w:p w14:paraId="0584901D">
            <w:pPr>
              <w:pStyle w:val="41"/>
              <w:rPr>
                <w:color w:val="auto"/>
                <w:highlight w:val="none"/>
              </w:rPr>
            </w:pPr>
            <w:r>
              <w:rPr>
                <w:color w:val="auto"/>
                <w:highlight w:val="none"/>
              </w:rPr>
              <w:t>环境管理计划</w:t>
            </w:r>
          </w:p>
        </w:tc>
        <w:tc>
          <w:tcPr>
            <w:tcW w:w="1177" w:type="pct"/>
            <w:tcBorders>
              <w:tl2br w:val="nil"/>
              <w:tr2bl w:val="nil"/>
            </w:tcBorders>
            <w:vAlign w:val="center"/>
          </w:tcPr>
          <w:p w14:paraId="499954D1">
            <w:pPr>
              <w:pStyle w:val="41"/>
              <w:rPr>
                <w:color w:val="auto"/>
                <w:highlight w:val="none"/>
              </w:rPr>
            </w:pPr>
            <w:r>
              <w:rPr>
                <w:color w:val="auto"/>
                <w:highlight w:val="none"/>
              </w:rPr>
              <w:t>制定近、远期计划并监督实施</w:t>
            </w:r>
          </w:p>
        </w:tc>
        <w:tc>
          <w:tcPr>
            <w:tcW w:w="1285" w:type="pct"/>
            <w:tcBorders>
              <w:tl2br w:val="nil"/>
              <w:tr2bl w:val="nil"/>
            </w:tcBorders>
            <w:vAlign w:val="center"/>
          </w:tcPr>
          <w:p w14:paraId="1A57BD2E">
            <w:pPr>
              <w:pStyle w:val="41"/>
              <w:rPr>
                <w:color w:val="auto"/>
                <w:highlight w:val="none"/>
              </w:rPr>
            </w:pPr>
            <w:r>
              <w:rPr>
                <w:color w:val="auto"/>
                <w:highlight w:val="none"/>
              </w:rPr>
              <w:t>制定近期计划并监督实施</w:t>
            </w:r>
          </w:p>
        </w:tc>
        <w:tc>
          <w:tcPr>
            <w:tcW w:w="1194" w:type="pct"/>
            <w:tcBorders>
              <w:tl2br w:val="nil"/>
              <w:tr2bl w:val="nil"/>
            </w:tcBorders>
            <w:vAlign w:val="center"/>
          </w:tcPr>
          <w:p w14:paraId="33014CBA">
            <w:pPr>
              <w:pStyle w:val="41"/>
              <w:rPr>
                <w:color w:val="auto"/>
                <w:highlight w:val="none"/>
              </w:rPr>
            </w:pPr>
            <w:r>
              <w:rPr>
                <w:color w:val="auto"/>
                <w:highlight w:val="none"/>
              </w:rPr>
              <w:t>制定日常计划并监督实施</w:t>
            </w:r>
          </w:p>
        </w:tc>
        <w:tc>
          <w:tcPr>
            <w:tcW w:w="562" w:type="pct"/>
            <w:tcBorders>
              <w:tl2br w:val="nil"/>
              <w:tr2bl w:val="nil"/>
            </w:tcBorders>
            <w:vAlign w:val="center"/>
          </w:tcPr>
          <w:p w14:paraId="53E94C31">
            <w:pPr>
              <w:pStyle w:val="41"/>
              <w:rPr>
                <w:color w:val="auto"/>
                <w:highlight w:val="none"/>
              </w:rPr>
            </w:pPr>
            <w:r>
              <w:rPr>
                <w:rFonts w:hint="eastAsia"/>
                <w:color w:val="auto"/>
                <w:highlight w:val="none"/>
              </w:rPr>
              <w:t>一级</w:t>
            </w:r>
          </w:p>
        </w:tc>
      </w:tr>
      <w:tr w14:paraId="60F732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2" w:type="pct"/>
            <w:vMerge w:val="continue"/>
            <w:tcBorders>
              <w:tl2br w:val="nil"/>
              <w:tr2bl w:val="nil"/>
            </w:tcBorders>
            <w:vAlign w:val="center"/>
          </w:tcPr>
          <w:p w14:paraId="469940C3">
            <w:pPr>
              <w:pStyle w:val="41"/>
              <w:rPr>
                <w:color w:val="auto"/>
                <w:highlight w:val="none"/>
              </w:rPr>
            </w:pPr>
          </w:p>
        </w:tc>
        <w:tc>
          <w:tcPr>
            <w:tcW w:w="587" w:type="pct"/>
            <w:tcBorders>
              <w:tl2br w:val="nil"/>
              <w:tr2bl w:val="nil"/>
            </w:tcBorders>
            <w:vAlign w:val="center"/>
          </w:tcPr>
          <w:p w14:paraId="005665B7">
            <w:pPr>
              <w:pStyle w:val="41"/>
              <w:rPr>
                <w:color w:val="auto"/>
                <w:highlight w:val="none"/>
              </w:rPr>
            </w:pPr>
            <w:r>
              <w:rPr>
                <w:color w:val="auto"/>
                <w:highlight w:val="none"/>
              </w:rPr>
              <w:t>环保设施运行管理</w:t>
            </w:r>
          </w:p>
        </w:tc>
        <w:tc>
          <w:tcPr>
            <w:tcW w:w="2463" w:type="pct"/>
            <w:gridSpan w:val="2"/>
            <w:tcBorders>
              <w:tl2br w:val="nil"/>
              <w:tr2bl w:val="nil"/>
            </w:tcBorders>
            <w:vAlign w:val="center"/>
          </w:tcPr>
          <w:p w14:paraId="0D88CE0A">
            <w:pPr>
              <w:pStyle w:val="41"/>
              <w:rPr>
                <w:color w:val="auto"/>
                <w:highlight w:val="none"/>
              </w:rPr>
            </w:pPr>
            <w:r>
              <w:rPr>
                <w:color w:val="auto"/>
                <w:highlight w:val="none"/>
              </w:rPr>
              <w:t>记录运行数据并建立环保档案</w:t>
            </w:r>
          </w:p>
        </w:tc>
        <w:tc>
          <w:tcPr>
            <w:tcW w:w="1194" w:type="pct"/>
            <w:tcBorders>
              <w:tl2br w:val="nil"/>
              <w:tr2bl w:val="nil"/>
            </w:tcBorders>
            <w:vAlign w:val="center"/>
          </w:tcPr>
          <w:p w14:paraId="5454FDB8">
            <w:pPr>
              <w:pStyle w:val="41"/>
              <w:rPr>
                <w:color w:val="auto"/>
                <w:highlight w:val="none"/>
              </w:rPr>
            </w:pPr>
            <w:r>
              <w:rPr>
                <w:color w:val="auto"/>
                <w:highlight w:val="none"/>
              </w:rPr>
              <w:t>记录并统计运行</w:t>
            </w:r>
          </w:p>
          <w:p w14:paraId="5B966ADE">
            <w:pPr>
              <w:pStyle w:val="41"/>
              <w:rPr>
                <w:color w:val="auto"/>
                <w:highlight w:val="none"/>
              </w:rPr>
            </w:pPr>
            <w:r>
              <w:rPr>
                <w:color w:val="auto"/>
                <w:highlight w:val="none"/>
              </w:rPr>
              <w:t>数据</w:t>
            </w:r>
          </w:p>
        </w:tc>
        <w:tc>
          <w:tcPr>
            <w:tcW w:w="562" w:type="pct"/>
            <w:tcBorders>
              <w:tl2br w:val="nil"/>
              <w:tr2bl w:val="nil"/>
            </w:tcBorders>
            <w:vAlign w:val="center"/>
          </w:tcPr>
          <w:p w14:paraId="348EAFB3">
            <w:pPr>
              <w:pStyle w:val="41"/>
              <w:rPr>
                <w:color w:val="auto"/>
                <w:highlight w:val="none"/>
              </w:rPr>
            </w:pPr>
            <w:r>
              <w:rPr>
                <w:rFonts w:hint="eastAsia"/>
                <w:color w:val="auto"/>
                <w:highlight w:val="none"/>
              </w:rPr>
              <w:t>一级</w:t>
            </w:r>
          </w:p>
        </w:tc>
      </w:tr>
      <w:tr w14:paraId="468BA3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2" w:type="pct"/>
            <w:vMerge w:val="continue"/>
            <w:tcBorders>
              <w:tl2br w:val="nil"/>
              <w:tr2bl w:val="nil"/>
            </w:tcBorders>
            <w:vAlign w:val="center"/>
          </w:tcPr>
          <w:p w14:paraId="0665CFD4">
            <w:pPr>
              <w:pStyle w:val="41"/>
              <w:rPr>
                <w:color w:val="auto"/>
                <w:highlight w:val="none"/>
              </w:rPr>
            </w:pPr>
          </w:p>
        </w:tc>
        <w:tc>
          <w:tcPr>
            <w:tcW w:w="587" w:type="pct"/>
            <w:tcBorders>
              <w:tl2br w:val="nil"/>
              <w:tr2bl w:val="nil"/>
            </w:tcBorders>
            <w:vAlign w:val="center"/>
          </w:tcPr>
          <w:p w14:paraId="0AE29F35">
            <w:pPr>
              <w:pStyle w:val="41"/>
              <w:rPr>
                <w:color w:val="auto"/>
                <w:highlight w:val="none"/>
              </w:rPr>
            </w:pPr>
            <w:r>
              <w:rPr>
                <w:color w:val="auto"/>
                <w:highlight w:val="none"/>
              </w:rPr>
              <w:t>污染源监测系统</w:t>
            </w:r>
          </w:p>
        </w:tc>
        <w:tc>
          <w:tcPr>
            <w:tcW w:w="3657" w:type="pct"/>
            <w:gridSpan w:val="3"/>
            <w:tcBorders>
              <w:tl2br w:val="nil"/>
              <w:tr2bl w:val="nil"/>
            </w:tcBorders>
            <w:vAlign w:val="center"/>
          </w:tcPr>
          <w:p w14:paraId="330267A8">
            <w:pPr>
              <w:pStyle w:val="41"/>
              <w:rPr>
                <w:color w:val="auto"/>
                <w:highlight w:val="none"/>
              </w:rPr>
            </w:pPr>
            <w:r>
              <w:rPr>
                <w:color w:val="auto"/>
                <w:highlight w:val="none"/>
              </w:rPr>
              <w:t>对水、气、声主要污染源、主要污染物进行定期监测</w:t>
            </w:r>
          </w:p>
        </w:tc>
        <w:tc>
          <w:tcPr>
            <w:tcW w:w="562" w:type="pct"/>
            <w:tcBorders>
              <w:tl2br w:val="nil"/>
              <w:tr2bl w:val="nil"/>
            </w:tcBorders>
            <w:vAlign w:val="center"/>
          </w:tcPr>
          <w:p w14:paraId="7E4F62BB">
            <w:pPr>
              <w:pStyle w:val="41"/>
              <w:rPr>
                <w:color w:val="auto"/>
                <w:highlight w:val="none"/>
              </w:rPr>
            </w:pPr>
            <w:r>
              <w:rPr>
                <w:rFonts w:hint="eastAsia"/>
                <w:color w:val="auto"/>
                <w:highlight w:val="none"/>
              </w:rPr>
              <w:t>一级</w:t>
            </w:r>
          </w:p>
        </w:tc>
      </w:tr>
      <w:tr w14:paraId="2D5283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2" w:type="pct"/>
            <w:vMerge w:val="continue"/>
            <w:tcBorders>
              <w:tl2br w:val="nil"/>
              <w:tr2bl w:val="nil"/>
            </w:tcBorders>
            <w:vAlign w:val="center"/>
          </w:tcPr>
          <w:p w14:paraId="76180A0C">
            <w:pPr>
              <w:pStyle w:val="41"/>
              <w:rPr>
                <w:color w:val="auto"/>
                <w:highlight w:val="none"/>
              </w:rPr>
            </w:pPr>
          </w:p>
        </w:tc>
        <w:tc>
          <w:tcPr>
            <w:tcW w:w="587" w:type="pct"/>
            <w:tcBorders>
              <w:tl2br w:val="nil"/>
              <w:tr2bl w:val="nil"/>
            </w:tcBorders>
            <w:vAlign w:val="center"/>
          </w:tcPr>
          <w:p w14:paraId="13466400">
            <w:pPr>
              <w:pStyle w:val="41"/>
              <w:rPr>
                <w:color w:val="auto"/>
                <w:highlight w:val="none"/>
              </w:rPr>
            </w:pPr>
            <w:r>
              <w:rPr>
                <w:color w:val="auto"/>
                <w:highlight w:val="none"/>
              </w:rPr>
              <w:t>信息交流</w:t>
            </w:r>
          </w:p>
        </w:tc>
        <w:tc>
          <w:tcPr>
            <w:tcW w:w="2463" w:type="pct"/>
            <w:gridSpan w:val="2"/>
            <w:tcBorders>
              <w:tl2br w:val="nil"/>
              <w:tr2bl w:val="nil"/>
            </w:tcBorders>
            <w:vAlign w:val="center"/>
          </w:tcPr>
          <w:p w14:paraId="0E770E5F">
            <w:pPr>
              <w:pStyle w:val="41"/>
              <w:rPr>
                <w:color w:val="auto"/>
                <w:highlight w:val="none"/>
              </w:rPr>
            </w:pPr>
            <w:r>
              <w:rPr>
                <w:color w:val="auto"/>
                <w:highlight w:val="none"/>
              </w:rPr>
              <w:t>具备计算机网络化管理系统</w:t>
            </w:r>
          </w:p>
        </w:tc>
        <w:tc>
          <w:tcPr>
            <w:tcW w:w="1194" w:type="pct"/>
            <w:tcBorders>
              <w:tl2br w:val="nil"/>
              <w:tr2bl w:val="nil"/>
            </w:tcBorders>
            <w:vAlign w:val="center"/>
          </w:tcPr>
          <w:p w14:paraId="086F1919">
            <w:pPr>
              <w:pStyle w:val="41"/>
              <w:rPr>
                <w:color w:val="auto"/>
                <w:highlight w:val="none"/>
              </w:rPr>
            </w:pPr>
            <w:r>
              <w:rPr>
                <w:color w:val="auto"/>
                <w:highlight w:val="none"/>
              </w:rPr>
              <w:t>定期交流</w:t>
            </w:r>
          </w:p>
        </w:tc>
        <w:tc>
          <w:tcPr>
            <w:tcW w:w="562" w:type="pct"/>
            <w:tcBorders>
              <w:tl2br w:val="nil"/>
              <w:tr2bl w:val="nil"/>
            </w:tcBorders>
            <w:vAlign w:val="center"/>
          </w:tcPr>
          <w:p w14:paraId="29228B9B">
            <w:pPr>
              <w:pStyle w:val="41"/>
              <w:rPr>
                <w:color w:val="auto"/>
                <w:highlight w:val="none"/>
              </w:rPr>
            </w:pPr>
            <w:r>
              <w:rPr>
                <w:rFonts w:hint="eastAsia"/>
                <w:color w:val="auto"/>
                <w:highlight w:val="none"/>
              </w:rPr>
              <w:t>一级</w:t>
            </w:r>
          </w:p>
        </w:tc>
      </w:tr>
      <w:tr w14:paraId="05A495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80" w:type="pct"/>
            <w:gridSpan w:val="2"/>
            <w:tcBorders>
              <w:tl2br w:val="nil"/>
              <w:tr2bl w:val="nil"/>
            </w:tcBorders>
            <w:vAlign w:val="center"/>
          </w:tcPr>
          <w:p w14:paraId="5190E53F">
            <w:pPr>
              <w:pStyle w:val="41"/>
              <w:rPr>
                <w:color w:val="auto"/>
                <w:highlight w:val="none"/>
              </w:rPr>
            </w:pPr>
            <w:r>
              <w:rPr>
                <w:color w:val="auto"/>
                <w:highlight w:val="none"/>
              </w:rPr>
              <w:t>废物处理与处置</w:t>
            </w:r>
          </w:p>
        </w:tc>
        <w:tc>
          <w:tcPr>
            <w:tcW w:w="3657" w:type="pct"/>
            <w:gridSpan w:val="3"/>
            <w:tcBorders>
              <w:tl2br w:val="nil"/>
              <w:tr2bl w:val="nil"/>
            </w:tcBorders>
            <w:vAlign w:val="center"/>
          </w:tcPr>
          <w:p w14:paraId="3EB78458">
            <w:pPr>
              <w:pStyle w:val="41"/>
              <w:rPr>
                <w:color w:val="auto"/>
                <w:highlight w:val="none"/>
              </w:rPr>
            </w:pPr>
            <w:r>
              <w:rPr>
                <w:color w:val="auto"/>
                <w:highlight w:val="none"/>
              </w:rPr>
              <w:t>应建有尾矿贮存、处置场，并有防止扬尘、淋滤水污染、水土流失的措施</w:t>
            </w:r>
          </w:p>
        </w:tc>
        <w:tc>
          <w:tcPr>
            <w:tcW w:w="562" w:type="pct"/>
            <w:tcBorders>
              <w:tl2br w:val="nil"/>
              <w:tr2bl w:val="nil"/>
            </w:tcBorders>
            <w:vAlign w:val="center"/>
          </w:tcPr>
          <w:p w14:paraId="215CF15F">
            <w:pPr>
              <w:pStyle w:val="41"/>
              <w:rPr>
                <w:color w:val="auto"/>
                <w:highlight w:val="none"/>
              </w:rPr>
            </w:pPr>
            <w:r>
              <w:rPr>
                <w:rFonts w:hint="eastAsia"/>
                <w:color w:val="auto"/>
                <w:highlight w:val="none"/>
              </w:rPr>
              <w:t>一级</w:t>
            </w:r>
          </w:p>
        </w:tc>
      </w:tr>
      <w:tr w14:paraId="2A398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80" w:type="pct"/>
            <w:gridSpan w:val="2"/>
            <w:tcBorders>
              <w:tl2br w:val="nil"/>
              <w:tr2bl w:val="nil"/>
            </w:tcBorders>
            <w:vAlign w:val="center"/>
          </w:tcPr>
          <w:p w14:paraId="1601FD8E">
            <w:pPr>
              <w:pStyle w:val="41"/>
              <w:rPr>
                <w:color w:val="auto"/>
                <w:highlight w:val="none"/>
              </w:rPr>
            </w:pPr>
            <w:r>
              <w:rPr>
                <w:color w:val="auto"/>
                <w:highlight w:val="none"/>
              </w:rPr>
              <w:t>相关方环境管理</w:t>
            </w:r>
          </w:p>
        </w:tc>
        <w:tc>
          <w:tcPr>
            <w:tcW w:w="3657" w:type="pct"/>
            <w:gridSpan w:val="3"/>
            <w:tcBorders>
              <w:tl2br w:val="nil"/>
              <w:tr2bl w:val="nil"/>
            </w:tcBorders>
            <w:vAlign w:val="center"/>
          </w:tcPr>
          <w:p w14:paraId="6568E6FB">
            <w:pPr>
              <w:pStyle w:val="41"/>
              <w:rPr>
                <w:color w:val="auto"/>
                <w:highlight w:val="none"/>
              </w:rPr>
            </w:pPr>
            <w:r>
              <w:rPr>
                <w:color w:val="auto"/>
                <w:highlight w:val="none"/>
              </w:rPr>
              <w:t>服务协议中应明确原辅材料的供应方、协作方、服务方的环境要求</w:t>
            </w:r>
          </w:p>
        </w:tc>
        <w:tc>
          <w:tcPr>
            <w:tcW w:w="562" w:type="pct"/>
            <w:tcBorders>
              <w:tl2br w:val="nil"/>
              <w:tr2bl w:val="nil"/>
            </w:tcBorders>
            <w:vAlign w:val="center"/>
          </w:tcPr>
          <w:p w14:paraId="04722672">
            <w:pPr>
              <w:pStyle w:val="41"/>
              <w:rPr>
                <w:color w:val="auto"/>
                <w:highlight w:val="none"/>
              </w:rPr>
            </w:pPr>
            <w:r>
              <w:rPr>
                <w:rFonts w:hint="eastAsia"/>
                <w:color w:val="auto"/>
                <w:highlight w:val="none"/>
              </w:rPr>
              <w:t>一级</w:t>
            </w:r>
          </w:p>
        </w:tc>
      </w:tr>
      <w:tr w14:paraId="2B39BF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00" w:type="pct"/>
            <w:gridSpan w:val="6"/>
            <w:tcBorders>
              <w:tl2br w:val="nil"/>
              <w:tr2bl w:val="nil"/>
            </w:tcBorders>
            <w:vAlign w:val="center"/>
          </w:tcPr>
          <w:p w14:paraId="7D3667D1">
            <w:pPr>
              <w:pStyle w:val="41"/>
              <w:rPr>
                <w:color w:val="auto"/>
                <w:highlight w:val="none"/>
              </w:rPr>
            </w:pPr>
            <w:r>
              <w:rPr>
                <w:color w:val="auto"/>
                <w:highlight w:val="none"/>
              </w:rPr>
              <w:t>注：</w:t>
            </w:r>
            <w:r>
              <w:rPr>
                <w:rFonts w:hint="eastAsia"/>
                <w:color w:val="auto"/>
                <w:highlight w:val="none"/>
              </w:rPr>
              <w:t>*</w:t>
            </w:r>
            <w:r>
              <w:rPr>
                <w:color w:val="auto"/>
                <w:highlight w:val="none"/>
              </w:rPr>
              <w:t>选矿为单位原矿。</w:t>
            </w:r>
          </w:p>
        </w:tc>
      </w:tr>
    </w:tbl>
    <w:p w14:paraId="61670951">
      <w:pPr>
        <w:pStyle w:val="43"/>
        <w:rPr>
          <w:color w:val="auto"/>
          <w:highlight w:val="none"/>
        </w:rPr>
      </w:pPr>
      <w:r>
        <w:rPr>
          <w:color w:val="auto"/>
          <w:highlight w:val="none"/>
        </w:rPr>
        <w:t>清洁生产评价结论</w:t>
      </w:r>
    </w:p>
    <w:p w14:paraId="48DD5393">
      <w:pPr>
        <w:pStyle w:val="3"/>
        <w:ind w:firstLine="480"/>
        <w:rPr>
          <w:color w:val="auto"/>
          <w:highlight w:val="none"/>
        </w:rPr>
      </w:pPr>
      <w:r>
        <w:rPr>
          <w:rFonts w:hint="eastAsia"/>
          <w:color w:val="auto"/>
          <w:highlight w:val="none"/>
        </w:rPr>
        <w:t>（1）根据《清洁生产标准 铁矿采选业》（HJ/T294-2006）中的（选矿类），</w:t>
      </w:r>
      <w:r>
        <w:rPr>
          <w:color w:val="auto"/>
          <w:highlight w:val="none"/>
        </w:rPr>
        <w:t>本项目基本满足清洁生产</w:t>
      </w:r>
      <w:r>
        <w:rPr>
          <w:rFonts w:hint="eastAsia"/>
          <w:color w:val="auto"/>
          <w:highlight w:val="none"/>
        </w:rPr>
        <w:t>三</w:t>
      </w:r>
      <w:r>
        <w:rPr>
          <w:color w:val="auto"/>
          <w:highlight w:val="none"/>
        </w:rPr>
        <w:t>级及以上，</w:t>
      </w:r>
      <w:r>
        <w:rPr>
          <w:rFonts w:hint="eastAsia"/>
          <w:color w:val="auto"/>
          <w:highlight w:val="none"/>
        </w:rPr>
        <w:t>因此本项目清洁生产水平为国内清洁生产基本水平。</w:t>
      </w:r>
    </w:p>
    <w:p w14:paraId="6DDBFE80">
      <w:pPr>
        <w:pStyle w:val="3"/>
        <w:ind w:firstLine="480"/>
        <w:rPr>
          <w:color w:val="auto"/>
          <w:highlight w:val="none"/>
        </w:rPr>
      </w:pPr>
      <w:r>
        <w:rPr>
          <w:rFonts w:hint="eastAsia"/>
          <w:color w:val="auto"/>
          <w:highlight w:val="none"/>
        </w:rPr>
        <w:t>（2）在实际设备选购过程中，破碎筛分、磨矿、分级、选别和脱水过滤等主要生产工艺均采用国内较先进的生产设备并配备除尘设施，可有效防止生产过程中粉尘的扩散，减少对项目区及周边的大气环境污染。</w:t>
      </w:r>
    </w:p>
    <w:p w14:paraId="2BBF5502">
      <w:pPr>
        <w:pStyle w:val="3"/>
        <w:ind w:firstLine="480"/>
        <w:rPr>
          <w:color w:val="auto"/>
          <w:highlight w:val="none"/>
        </w:rPr>
      </w:pPr>
      <w:r>
        <w:rPr>
          <w:rFonts w:hint="eastAsia"/>
          <w:color w:val="auto"/>
          <w:highlight w:val="none"/>
        </w:rPr>
        <w:t>（3）通过采取科学合理建设选矿生产工艺及严格执行生产制度等措施，本项目选矿工艺流程拟采用破碎筛分干抛+磨选过滤+重选+烘干精选+尾矿干排工艺，该工艺通过前段干抛减废降负荷、湿法磨选保障金属回收率、重选物理预提纯、烘干精选产出高品级精矿、尾矿干排实现废水闭路与固废干堆资源化，兼具生产成本低、水资源消耗少、尾矿环保风险小、产品品质高、适配干旱寒冷</w:t>
      </w:r>
      <w:r>
        <w:rPr>
          <w:rFonts w:hint="eastAsia"/>
          <w:color w:val="auto"/>
          <w:highlight w:val="none"/>
          <w:lang w:eastAsia="zh-CN"/>
        </w:rPr>
        <w:t>区域</w:t>
      </w:r>
      <w:r>
        <w:rPr>
          <w:rFonts w:hint="eastAsia"/>
          <w:color w:val="auto"/>
          <w:highlight w:val="none"/>
        </w:rPr>
        <w:t>、绿色矿山合规性好等多重优势，实现选矿经济效益、生态环保效益双提升。</w:t>
      </w:r>
    </w:p>
    <w:p w14:paraId="662D05C4">
      <w:pPr>
        <w:pStyle w:val="3"/>
        <w:ind w:firstLine="480"/>
        <w:rPr>
          <w:color w:val="auto"/>
          <w:highlight w:val="none"/>
        </w:rPr>
      </w:pPr>
      <w:r>
        <w:rPr>
          <w:rFonts w:hint="eastAsia"/>
          <w:color w:val="auto"/>
          <w:highlight w:val="none"/>
        </w:rPr>
        <w:t>（4）本项目选矿废水沉淀处理后循环利用，不外排；生活污水排入原有地埋式一体化污水处理设施处理，废水处理达到《城市污水再生利用城市杂用水水质》（GB/T 18920-2020）中的城市绿化、道路清扫、消防、建筑施工限值后回用于厂区抑尘，不外排。废水的综合利用可有效提高水资源的利用，减少项目水耗。</w:t>
      </w:r>
    </w:p>
    <w:p w14:paraId="68431A73">
      <w:pPr>
        <w:pStyle w:val="3"/>
        <w:ind w:firstLine="480"/>
        <w:rPr>
          <w:color w:val="auto"/>
          <w:highlight w:val="none"/>
        </w:rPr>
      </w:pPr>
      <w:r>
        <w:rPr>
          <w:rFonts w:hint="eastAsia"/>
          <w:color w:val="auto"/>
          <w:highlight w:val="none"/>
        </w:rPr>
        <w:t>综上所述，本项目采用较为先进生产工艺，并对废水、尾矿采取了相应的有效措施，可有效控制生产对项目区及周边环境的影响；本项目清洁生产水平为国内清洁生产基本水平，</w:t>
      </w:r>
      <w:r>
        <w:rPr>
          <w:color w:val="auto"/>
          <w:highlight w:val="none"/>
        </w:rPr>
        <w:t>建议建设单位在后期运营过程中加强生产过程管理和环境管理等工作，严格执行环保“三同时”制度，提高企业的清洁生产水平。</w:t>
      </w:r>
    </w:p>
    <w:p w14:paraId="715A9D58">
      <w:pPr>
        <w:pStyle w:val="43"/>
        <w:rPr>
          <w:color w:val="auto"/>
          <w:highlight w:val="none"/>
        </w:rPr>
      </w:pPr>
      <w:bookmarkStart w:id="322" w:name="_Toc4273"/>
      <w:bookmarkStart w:id="323" w:name="_Toc7720"/>
      <w:bookmarkStart w:id="324" w:name="_Toc14542"/>
      <w:bookmarkStart w:id="325" w:name="_Toc24821"/>
      <w:r>
        <w:rPr>
          <w:color w:val="auto"/>
          <w:highlight w:val="none"/>
        </w:rPr>
        <w:t>持续改进对策及建议</w:t>
      </w:r>
      <w:bookmarkEnd w:id="322"/>
      <w:bookmarkEnd w:id="323"/>
      <w:bookmarkEnd w:id="324"/>
      <w:bookmarkEnd w:id="325"/>
    </w:p>
    <w:p w14:paraId="3C532491">
      <w:pPr>
        <w:pStyle w:val="3"/>
        <w:ind w:firstLine="480"/>
        <w:rPr>
          <w:color w:val="auto"/>
          <w:highlight w:val="none"/>
        </w:rPr>
      </w:pPr>
      <w:r>
        <w:rPr>
          <w:color w:val="auto"/>
          <w:highlight w:val="none"/>
        </w:rPr>
        <w:t>清洁生产是全过程的污染控制，建设单位可积极按照ISO14001系列标准的要求，规范组织生产，进一步提高产品的环境特性，提高企业生产的清洁化水平，具体如下：</w:t>
      </w:r>
    </w:p>
    <w:p w14:paraId="5CAEA238">
      <w:pPr>
        <w:pStyle w:val="3"/>
        <w:numPr>
          <w:ilvl w:val="0"/>
          <w:numId w:val="12"/>
        </w:numPr>
        <w:ind w:firstLine="480"/>
        <w:rPr>
          <w:color w:val="auto"/>
          <w:highlight w:val="none"/>
        </w:rPr>
      </w:pPr>
      <w:r>
        <w:rPr>
          <w:color w:val="auto"/>
          <w:highlight w:val="none"/>
        </w:rPr>
        <w:t>建立严格的管理制度，加强生产中的现场管理、生产管理和设备维修。</w:t>
      </w:r>
    </w:p>
    <w:p w14:paraId="32922C7D">
      <w:pPr>
        <w:pStyle w:val="3"/>
        <w:numPr>
          <w:ilvl w:val="0"/>
          <w:numId w:val="12"/>
        </w:numPr>
        <w:ind w:firstLine="480"/>
        <w:rPr>
          <w:color w:val="auto"/>
          <w:highlight w:val="none"/>
        </w:rPr>
      </w:pPr>
      <w:r>
        <w:rPr>
          <w:color w:val="auto"/>
          <w:highlight w:val="none"/>
        </w:rPr>
        <w:t>开展清洁生产宣传工作，得到企业领导的重视，同时进一步在普通职工中加强清洁生产宣传</w:t>
      </w:r>
      <w:r>
        <w:rPr>
          <w:rFonts w:hint="eastAsia"/>
          <w:color w:val="auto"/>
          <w:highlight w:val="none"/>
        </w:rPr>
        <w:t>；</w:t>
      </w:r>
      <w:r>
        <w:rPr>
          <w:color w:val="auto"/>
          <w:highlight w:val="none"/>
        </w:rPr>
        <w:t>落实清洁生产奖惩责任制，同时制定奖惩措施，并与职工收益挂钩。</w:t>
      </w:r>
    </w:p>
    <w:p w14:paraId="2CC191B3">
      <w:pPr>
        <w:pStyle w:val="3"/>
        <w:numPr>
          <w:ilvl w:val="0"/>
          <w:numId w:val="12"/>
        </w:numPr>
        <w:ind w:firstLine="480"/>
        <w:rPr>
          <w:color w:val="auto"/>
          <w:highlight w:val="none"/>
        </w:rPr>
      </w:pPr>
      <w:r>
        <w:rPr>
          <w:color w:val="auto"/>
          <w:highlight w:val="none"/>
        </w:rPr>
        <w:t>电气节能措施：回采、选矿等设备选用国家推荐的节能型设备；照明选用高效节能光源；低压配电采用电容自动补偿装置进行无功补偿。</w:t>
      </w:r>
    </w:p>
    <w:p w14:paraId="18FF5526">
      <w:pPr>
        <w:pStyle w:val="3"/>
        <w:numPr>
          <w:ilvl w:val="0"/>
          <w:numId w:val="12"/>
        </w:numPr>
        <w:ind w:firstLine="480"/>
        <w:rPr>
          <w:color w:val="auto"/>
          <w:highlight w:val="none"/>
        </w:rPr>
      </w:pPr>
      <w:r>
        <w:rPr>
          <w:color w:val="auto"/>
          <w:highlight w:val="none"/>
        </w:rPr>
        <w:t>推进企业清洁生产审计，能使企业行之有效地推行清洁生产。通过清洁生产审计，能够核对企业单元操作中原料、产品、水耗、能耗等因素，从而确定污染物的来源、数量和类型，进而制定污染削减目标，提出相应的技术措施。实施清洁生产审计还能提高企业管理水平，最终提高企业的产品质量和经济效益。</w:t>
      </w:r>
    </w:p>
    <w:p w14:paraId="16725378">
      <w:pPr>
        <w:pStyle w:val="3"/>
        <w:numPr>
          <w:ilvl w:val="0"/>
          <w:numId w:val="12"/>
        </w:numPr>
        <w:ind w:firstLine="480"/>
        <w:rPr>
          <w:color w:val="auto"/>
          <w:highlight w:val="none"/>
        </w:rPr>
      </w:pPr>
      <w:r>
        <w:rPr>
          <w:color w:val="auto"/>
          <w:highlight w:val="none"/>
        </w:rPr>
        <w:t>积极开展ISO14000环境管理体系认证，对产品从生产、设计、加工、流通、使用、报废处理到再生产利用整个生命周期实施评定制度，然后对其中每个环节进行资源和环境影响分析，通过不断审核和评价使体系有效运作。</w:t>
      </w:r>
    </w:p>
    <w:p w14:paraId="3AF8F311">
      <w:pPr>
        <w:pStyle w:val="3"/>
        <w:ind w:firstLine="480"/>
        <w:rPr>
          <w:color w:val="auto"/>
          <w:highlight w:val="none"/>
        </w:rPr>
        <w:sectPr>
          <w:pgSz w:w="11900" w:h="16840"/>
          <w:pgMar w:top="1440" w:right="1803" w:bottom="1440" w:left="1803" w:header="1020" w:footer="673" w:gutter="0"/>
          <w:pgBorders>
            <w:top w:val="none" w:sz="0" w:space="0"/>
            <w:left w:val="none" w:sz="0" w:space="0"/>
            <w:bottom w:val="none" w:sz="0" w:space="0"/>
            <w:right w:val="none" w:sz="0" w:space="0"/>
          </w:pgBorders>
          <w:cols w:space="720" w:num="1"/>
          <w:docGrid w:linePitch="326" w:charSpace="0"/>
        </w:sectPr>
      </w:pPr>
    </w:p>
    <w:bookmarkEnd w:id="308"/>
    <w:bookmarkEnd w:id="309"/>
    <w:bookmarkEnd w:id="310"/>
    <w:bookmarkEnd w:id="311"/>
    <w:bookmarkEnd w:id="312"/>
    <w:bookmarkEnd w:id="313"/>
    <w:bookmarkEnd w:id="314"/>
    <w:bookmarkEnd w:id="315"/>
    <w:p w14:paraId="7B91B029">
      <w:pPr>
        <w:pStyle w:val="38"/>
        <w:rPr>
          <w:color w:val="auto"/>
          <w:highlight w:val="none"/>
        </w:rPr>
      </w:pPr>
      <w:bookmarkStart w:id="326" w:name="_Toc1188"/>
      <w:bookmarkStart w:id="327" w:name="_Toc19544"/>
      <w:r>
        <w:rPr>
          <w:color w:val="auto"/>
          <w:highlight w:val="none"/>
        </w:rPr>
        <w:t>环境现状调查与评价</w:t>
      </w:r>
      <w:bookmarkEnd w:id="326"/>
      <w:bookmarkEnd w:id="327"/>
    </w:p>
    <w:p w14:paraId="1F1FFEB2">
      <w:pPr>
        <w:pStyle w:val="39"/>
        <w:rPr>
          <w:rFonts w:hint="default"/>
          <w:color w:val="auto"/>
          <w:highlight w:val="none"/>
        </w:rPr>
      </w:pPr>
      <w:bookmarkStart w:id="328" w:name="_Toc15511"/>
      <w:bookmarkStart w:id="329" w:name="_Toc481768112"/>
      <w:bookmarkStart w:id="330" w:name="_Toc481768464"/>
      <w:bookmarkStart w:id="331" w:name="_Toc21316"/>
      <w:bookmarkStart w:id="332" w:name="_Toc19595"/>
      <w:bookmarkStart w:id="333" w:name="_Toc471925973"/>
      <w:bookmarkStart w:id="334" w:name="_Toc10355"/>
      <w:bookmarkStart w:id="335" w:name="_Toc29378"/>
      <w:bookmarkStart w:id="336" w:name="_Toc3509"/>
      <w:bookmarkStart w:id="337" w:name="_Toc14382"/>
      <w:bookmarkStart w:id="338" w:name="_Toc481789503"/>
      <w:r>
        <w:rPr>
          <w:rFonts w:hint="default"/>
          <w:color w:val="auto"/>
          <w:highlight w:val="none"/>
        </w:rPr>
        <w:t>自然环境概况</w:t>
      </w:r>
      <w:bookmarkEnd w:id="328"/>
      <w:bookmarkEnd w:id="329"/>
      <w:bookmarkEnd w:id="330"/>
      <w:bookmarkEnd w:id="331"/>
      <w:bookmarkEnd w:id="332"/>
      <w:bookmarkEnd w:id="333"/>
      <w:bookmarkEnd w:id="334"/>
      <w:bookmarkEnd w:id="335"/>
      <w:bookmarkEnd w:id="336"/>
      <w:bookmarkEnd w:id="337"/>
      <w:bookmarkEnd w:id="338"/>
    </w:p>
    <w:p w14:paraId="297AB86D">
      <w:pPr>
        <w:pStyle w:val="42"/>
        <w:rPr>
          <w:rFonts w:hint="default"/>
          <w:color w:val="auto"/>
          <w:highlight w:val="none"/>
        </w:rPr>
      </w:pPr>
      <w:r>
        <w:rPr>
          <w:rFonts w:hint="default"/>
          <w:color w:val="auto"/>
          <w:highlight w:val="none"/>
        </w:rPr>
        <w:t xml:space="preserve"> 地理位置及交通</w:t>
      </w:r>
    </w:p>
    <w:p w14:paraId="6401E531">
      <w:pPr>
        <w:pStyle w:val="3"/>
        <w:ind w:firstLine="480"/>
        <w:rPr>
          <w:color w:val="auto"/>
          <w:highlight w:val="none"/>
        </w:rPr>
      </w:pPr>
      <w:r>
        <w:rPr>
          <w:color w:val="auto"/>
          <w:highlight w:val="none"/>
        </w:rPr>
        <w:t>阿图什市环球矿业钒钛磁铁矿900万吨/年选矿厂位于阿图什市区北东46°方位，直距59km处，行政区划隶属阿图什市管辖，选厂厂址</w:t>
      </w:r>
      <w:r>
        <w:rPr>
          <w:rFonts w:hint="eastAsia"/>
          <w:color w:val="auto"/>
          <w:highlight w:val="none"/>
          <w:lang w:eastAsia="zh-CN"/>
        </w:rPr>
        <w:t>紧邻</w:t>
      </w:r>
      <w:r>
        <w:rPr>
          <w:color w:val="auto"/>
          <w:highlight w:val="none"/>
        </w:rPr>
        <w:t>露天采场南部</w:t>
      </w:r>
      <w:r>
        <w:rPr>
          <w:rFonts w:hint="eastAsia"/>
          <w:color w:val="auto"/>
          <w:highlight w:val="none"/>
        </w:rPr>
        <w:t>。</w:t>
      </w:r>
    </w:p>
    <w:p w14:paraId="37C28076">
      <w:pPr>
        <w:pStyle w:val="3"/>
        <w:ind w:firstLine="480"/>
        <w:rPr>
          <w:color w:val="auto"/>
          <w:highlight w:val="none"/>
        </w:rPr>
      </w:pPr>
      <w:r>
        <w:rPr>
          <w:color w:val="auto"/>
          <w:highlight w:val="none"/>
        </w:rPr>
        <w:t>地理位置图见图4.1-1。</w:t>
      </w:r>
    </w:p>
    <w:p w14:paraId="3BC70BC7">
      <w:pPr>
        <w:pStyle w:val="42"/>
        <w:rPr>
          <w:rFonts w:hint="default"/>
          <w:color w:val="auto"/>
          <w:highlight w:val="none"/>
        </w:rPr>
      </w:pPr>
      <w:r>
        <w:rPr>
          <w:rFonts w:hint="default"/>
          <w:color w:val="auto"/>
          <w:highlight w:val="none"/>
        </w:rPr>
        <w:t xml:space="preserve"> 地形地貌</w:t>
      </w:r>
    </w:p>
    <w:p w14:paraId="5E1BB41F">
      <w:pPr>
        <w:pStyle w:val="3"/>
        <w:ind w:firstLine="480"/>
        <w:rPr>
          <w:color w:val="auto"/>
          <w:highlight w:val="none"/>
        </w:rPr>
      </w:pPr>
      <w:r>
        <w:rPr>
          <w:rFonts w:hint="eastAsia"/>
          <w:color w:val="auto"/>
          <w:highlight w:val="none"/>
          <w:lang w:eastAsia="zh-CN"/>
        </w:rPr>
        <w:t>项目区</w:t>
      </w:r>
      <w:r>
        <w:rPr>
          <w:rFonts w:hint="eastAsia"/>
          <w:color w:val="auto"/>
          <w:highlight w:val="none"/>
        </w:rPr>
        <w:t>地处阿图什市，依天山南脉，南靠昆仑山脉，西邻帕米尔高原东接塔克拉玛干沙漠，大地构造上为天山地槽、昆仑地槽与塔里木地台间过渡地带。拟建场区原始地貌单元属于山前洪冲积扇中上部，场地地形起伏不大，地势高差较大，场地高差约为2.5m左右。</w:t>
      </w:r>
    </w:p>
    <w:p w14:paraId="67D9F981">
      <w:pPr>
        <w:pStyle w:val="42"/>
        <w:rPr>
          <w:rFonts w:hint="default"/>
          <w:color w:val="auto"/>
          <w:highlight w:val="none"/>
        </w:rPr>
      </w:pPr>
      <w:r>
        <w:rPr>
          <w:rFonts w:hint="default"/>
          <w:color w:val="auto"/>
          <w:highlight w:val="none"/>
        </w:rPr>
        <w:t>气候气象</w:t>
      </w:r>
    </w:p>
    <w:p w14:paraId="3045A773">
      <w:pPr>
        <w:pStyle w:val="3"/>
        <w:ind w:firstLine="480"/>
        <w:rPr>
          <w:color w:val="auto"/>
          <w:highlight w:val="none"/>
        </w:rPr>
      </w:pPr>
      <w:r>
        <w:rPr>
          <w:color w:val="auto"/>
          <w:highlight w:val="none"/>
        </w:rPr>
        <w:t>厂区属大陆性中温带干旱气候区，光照充足，无霜期短，降水偏少，蒸发量较大，气温寒冷、日变化大，气候多变，昼夜温差大，夏季最高气温在38℃以上，冬季最冷达</w:t>
      </w:r>
      <w:r>
        <w:rPr>
          <w:rFonts w:hint="eastAsia"/>
          <w:color w:val="auto"/>
          <w:highlight w:val="none"/>
        </w:rPr>
        <w:t>-</w:t>
      </w:r>
      <w:r>
        <w:rPr>
          <w:color w:val="auto"/>
          <w:highlight w:val="none"/>
        </w:rPr>
        <w:t>20℃左右，昼夜温差可达20℃，年平均气温6.9℃。最大冻土深度1.50m，多年平均降水量118mm，多年平均蒸发量1500mm。6</w:t>
      </w:r>
      <w:r>
        <w:rPr>
          <w:rFonts w:hint="eastAsia"/>
          <w:color w:val="auto"/>
          <w:highlight w:val="none"/>
        </w:rPr>
        <w:t>-</w:t>
      </w:r>
      <w:r>
        <w:rPr>
          <w:color w:val="auto"/>
          <w:highlight w:val="none"/>
        </w:rPr>
        <w:t>8月为雨季，多雷</w:t>
      </w:r>
      <w:r>
        <w:rPr>
          <w:rFonts w:hint="eastAsia"/>
          <w:color w:val="auto"/>
          <w:highlight w:val="none"/>
          <w:lang w:eastAsia="zh-CN"/>
        </w:rPr>
        <w:t>阵雨</w:t>
      </w:r>
      <w:r>
        <w:rPr>
          <w:color w:val="auto"/>
          <w:highlight w:val="none"/>
        </w:rPr>
        <w:t>、冰雹，常导致洪水及小规模的泥石流。每年的11月初至来年1月为冰冻期，次年2月开始融化，2月底积雪融化完毕。</w:t>
      </w:r>
    </w:p>
    <w:p w14:paraId="7B35BB98">
      <w:pPr>
        <w:pStyle w:val="3"/>
        <w:ind w:firstLine="480"/>
        <w:rPr>
          <w:color w:val="auto"/>
          <w:highlight w:val="none"/>
        </w:rPr>
      </w:pPr>
      <w:r>
        <w:rPr>
          <w:color w:val="auto"/>
          <w:highlight w:val="none"/>
        </w:rPr>
        <w:t>春夏及秋冬交替季节常有西北风，风力一般在3-4级左右，平均风速3-5m/s，最大风速20m/s。</w:t>
      </w:r>
    </w:p>
    <w:p w14:paraId="576AA7BC">
      <w:pPr>
        <w:pStyle w:val="42"/>
        <w:rPr>
          <w:rFonts w:hint="default"/>
          <w:color w:val="auto"/>
          <w:highlight w:val="none"/>
        </w:rPr>
      </w:pPr>
      <w:r>
        <w:rPr>
          <w:rFonts w:hint="default"/>
          <w:color w:val="auto"/>
          <w:highlight w:val="none"/>
        </w:rPr>
        <w:t xml:space="preserve"> 水文及水文地质</w:t>
      </w:r>
    </w:p>
    <w:p w14:paraId="31B1B855">
      <w:pPr>
        <w:pStyle w:val="3"/>
        <w:ind w:firstLine="480"/>
        <w:rPr>
          <w:color w:val="auto"/>
          <w:highlight w:val="none"/>
        </w:rPr>
      </w:pPr>
      <w:r>
        <w:rPr>
          <w:color w:val="auto"/>
          <w:highlight w:val="none"/>
        </w:rPr>
        <w:t>（1）地表水</w:t>
      </w:r>
    </w:p>
    <w:p w14:paraId="09F950FA">
      <w:pPr>
        <w:pStyle w:val="3"/>
        <w:ind w:firstLine="480"/>
        <w:rPr>
          <w:color w:val="auto"/>
          <w:highlight w:val="none"/>
        </w:rPr>
      </w:pPr>
      <w:r>
        <w:rPr>
          <w:color w:val="auto"/>
          <w:highlight w:val="none"/>
        </w:rPr>
        <w:t>阿图什水资源较丰富，境内天然水资源7.376亿m</w:t>
      </w:r>
      <w:r>
        <w:rPr>
          <w:color w:val="auto"/>
          <w:highlight w:val="none"/>
          <w:vertAlign w:val="superscript"/>
        </w:rPr>
        <w:t>3</w:t>
      </w:r>
      <w:r>
        <w:rPr>
          <w:color w:val="auto"/>
          <w:highlight w:val="none"/>
        </w:rPr>
        <w:t>，其中地下水3.148亿m</w:t>
      </w:r>
      <w:r>
        <w:rPr>
          <w:color w:val="auto"/>
          <w:highlight w:val="none"/>
          <w:vertAlign w:val="superscript"/>
        </w:rPr>
        <w:t>3</w:t>
      </w:r>
      <w:r>
        <w:rPr>
          <w:color w:val="auto"/>
          <w:highlight w:val="none"/>
        </w:rPr>
        <w:t>，地表水4.228亿m</w:t>
      </w:r>
      <w:r>
        <w:rPr>
          <w:color w:val="auto"/>
          <w:highlight w:val="none"/>
          <w:vertAlign w:val="superscript"/>
        </w:rPr>
        <w:t>3</w:t>
      </w:r>
      <w:r>
        <w:rPr>
          <w:color w:val="auto"/>
          <w:highlight w:val="none"/>
        </w:rPr>
        <w:t>，区域内年引水量3.64亿m</w:t>
      </w:r>
      <w:r>
        <w:rPr>
          <w:color w:val="auto"/>
          <w:highlight w:val="none"/>
          <w:vertAlign w:val="superscript"/>
        </w:rPr>
        <w:t>3</w:t>
      </w:r>
      <w:r>
        <w:rPr>
          <w:color w:val="auto"/>
          <w:highlight w:val="none"/>
        </w:rPr>
        <w:t>，其中引用地表水3.22亿m</w:t>
      </w:r>
      <w:r>
        <w:rPr>
          <w:color w:val="auto"/>
          <w:highlight w:val="none"/>
          <w:vertAlign w:val="superscript"/>
        </w:rPr>
        <w:t>3</w:t>
      </w:r>
      <w:r>
        <w:rPr>
          <w:color w:val="auto"/>
          <w:highlight w:val="none"/>
        </w:rPr>
        <w:t>，引用地下水0.42亿m</w:t>
      </w:r>
      <w:r>
        <w:rPr>
          <w:color w:val="auto"/>
          <w:highlight w:val="none"/>
          <w:vertAlign w:val="superscript"/>
        </w:rPr>
        <w:t>3</w:t>
      </w:r>
      <w:r>
        <w:rPr>
          <w:color w:val="auto"/>
          <w:highlight w:val="none"/>
        </w:rPr>
        <w:t>。区域内有大小河流67条，河流大多是流量小、流程短的小河。年径流量在1亿m</w:t>
      </w:r>
      <w:r>
        <w:rPr>
          <w:color w:val="auto"/>
          <w:highlight w:val="none"/>
          <w:vertAlign w:val="superscript"/>
        </w:rPr>
        <w:t>3</w:t>
      </w:r>
      <w:r>
        <w:rPr>
          <w:color w:val="auto"/>
          <w:highlight w:val="none"/>
        </w:rPr>
        <w:t>以上的河流只有恰克马克河和布谷孜河。</w:t>
      </w:r>
    </w:p>
    <w:p w14:paraId="3CA42DDC">
      <w:pPr>
        <w:pStyle w:val="3"/>
        <w:ind w:firstLine="480"/>
        <w:rPr>
          <w:color w:val="auto"/>
          <w:highlight w:val="none"/>
        </w:rPr>
      </w:pPr>
      <w:r>
        <w:rPr>
          <w:color w:val="auto"/>
          <w:highlight w:val="none"/>
        </w:rPr>
        <w:t>恰克马克河流域面积3995km</w:t>
      </w:r>
      <w:r>
        <w:rPr>
          <w:color w:val="auto"/>
          <w:highlight w:val="none"/>
          <w:vertAlign w:val="superscript"/>
        </w:rPr>
        <w:t>2</w:t>
      </w:r>
      <w:r>
        <w:rPr>
          <w:color w:val="auto"/>
          <w:highlight w:val="none"/>
        </w:rPr>
        <w:t>，主流河道长度162km。年径流量1.64亿m</w:t>
      </w:r>
      <w:r>
        <w:rPr>
          <w:color w:val="auto"/>
          <w:highlight w:val="none"/>
          <w:vertAlign w:val="superscript"/>
        </w:rPr>
        <w:t>3</w:t>
      </w:r>
      <w:r>
        <w:rPr>
          <w:color w:val="auto"/>
          <w:highlight w:val="none"/>
        </w:rPr>
        <w:t>，多年平均流量5.2m</w:t>
      </w:r>
      <w:r>
        <w:rPr>
          <w:color w:val="auto"/>
          <w:highlight w:val="none"/>
          <w:vertAlign w:val="superscript"/>
        </w:rPr>
        <w:t>3</w:t>
      </w:r>
      <w:r>
        <w:rPr>
          <w:color w:val="auto"/>
          <w:highlight w:val="none"/>
        </w:rPr>
        <w:t>/s，历年最大流量234m</w:t>
      </w:r>
      <w:r>
        <w:rPr>
          <w:color w:val="auto"/>
          <w:highlight w:val="none"/>
          <w:vertAlign w:val="superscript"/>
        </w:rPr>
        <w:t>3</w:t>
      </w:r>
      <w:r>
        <w:rPr>
          <w:color w:val="auto"/>
          <w:highlight w:val="none"/>
        </w:rPr>
        <w:t>/s，历年最小流量0.1m</w:t>
      </w:r>
      <w:r>
        <w:rPr>
          <w:color w:val="auto"/>
          <w:highlight w:val="none"/>
          <w:vertAlign w:val="superscript"/>
        </w:rPr>
        <w:t>3</w:t>
      </w:r>
      <w:r>
        <w:rPr>
          <w:color w:val="auto"/>
          <w:highlight w:val="none"/>
        </w:rPr>
        <w:t>/s。</w:t>
      </w:r>
    </w:p>
    <w:p w14:paraId="01801CC1">
      <w:pPr>
        <w:pStyle w:val="3"/>
        <w:ind w:firstLine="480"/>
        <w:rPr>
          <w:color w:val="auto"/>
          <w:highlight w:val="none"/>
        </w:rPr>
      </w:pPr>
      <w:r>
        <w:rPr>
          <w:color w:val="auto"/>
          <w:highlight w:val="none"/>
        </w:rPr>
        <w:t>布谷孜河流域面积（州内）2112km</w:t>
      </w:r>
      <w:r>
        <w:rPr>
          <w:color w:val="auto"/>
          <w:highlight w:val="none"/>
          <w:vertAlign w:val="superscript"/>
        </w:rPr>
        <w:t>2</w:t>
      </w:r>
      <w:r>
        <w:rPr>
          <w:color w:val="auto"/>
          <w:highlight w:val="none"/>
        </w:rPr>
        <w:t>，分上中下三段，主流河道长度182km，年径流量1.04亿m</w:t>
      </w:r>
      <w:r>
        <w:rPr>
          <w:color w:val="auto"/>
          <w:highlight w:val="none"/>
          <w:vertAlign w:val="superscript"/>
        </w:rPr>
        <w:t>3</w:t>
      </w:r>
      <w:r>
        <w:rPr>
          <w:color w:val="auto"/>
          <w:highlight w:val="none"/>
        </w:rPr>
        <w:t>，多年平均流量3.2m</w:t>
      </w:r>
      <w:r>
        <w:rPr>
          <w:color w:val="auto"/>
          <w:highlight w:val="none"/>
          <w:vertAlign w:val="superscript"/>
        </w:rPr>
        <w:t>3</w:t>
      </w:r>
      <w:r>
        <w:rPr>
          <w:color w:val="auto"/>
          <w:highlight w:val="none"/>
        </w:rPr>
        <w:t>/s，历年最大流量472m</w:t>
      </w:r>
      <w:r>
        <w:rPr>
          <w:color w:val="auto"/>
          <w:highlight w:val="none"/>
          <w:vertAlign w:val="superscript"/>
        </w:rPr>
        <w:t>3</w:t>
      </w:r>
      <w:r>
        <w:rPr>
          <w:color w:val="auto"/>
          <w:highlight w:val="none"/>
        </w:rPr>
        <w:t>/s，历年最小流量1.0m</w:t>
      </w:r>
      <w:r>
        <w:rPr>
          <w:color w:val="auto"/>
          <w:highlight w:val="none"/>
          <w:vertAlign w:val="superscript"/>
        </w:rPr>
        <w:t>3</w:t>
      </w:r>
      <w:r>
        <w:rPr>
          <w:color w:val="auto"/>
          <w:highlight w:val="none"/>
        </w:rPr>
        <w:t>/s。该河是阿图什的主要水源，灌溉吐古买提、松他克、格达良等公社的全部和阿扎克公社的大部分土地及分布在上述地区的国营农场和工农业基地。由于它的径流主要由地下水补给，因而流量较稳定。</w:t>
      </w:r>
    </w:p>
    <w:p w14:paraId="2ADBC4B2">
      <w:pPr>
        <w:pStyle w:val="3"/>
        <w:ind w:firstLine="480"/>
        <w:rPr>
          <w:color w:val="auto"/>
          <w:highlight w:val="none"/>
        </w:rPr>
      </w:pPr>
      <w:r>
        <w:rPr>
          <w:color w:val="auto"/>
          <w:highlight w:val="none"/>
        </w:rPr>
        <w:t>上述两条河流均不在本项目附近，与项目无直接水力联系。项目区西南</w:t>
      </w:r>
      <w:r>
        <w:rPr>
          <w:rFonts w:hint="eastAsia"/>
          <w:color w:val="auto"/>
          <w:highlight w:val="none"/>
        </w:rPr>
        <w:t>0.5</w:t>
      </w:r>
      <w:r>
        <w:rPr>
          <w:color w:val="auto"/>
          <w:highlight w:val="none"/>
        </w:rPr>
        <w:t>km处为阿亚克苏洪木河，阿亚克苏洪木河为西北——东南走向，河水由北向南，常年流水，雨季、融雪期水流较大，冰冻期水流较小甚至断流，年径流量0.1亿m</w:t>
      </w:r>
      <w:r>
        <w:rPr>
          <w:color w:val="auto"/>
          <w:highlight w:val="none"/>
          <w:vertAlign w:val="superscript"/>
        </w:rPr>
        <w:t>3</w:t>
      </w:r>
      <w:r>
        <w:rPr>
          <w:color w:val="auto"/>
          <w:highlight w:val="none"/>
        </w:rPr>
        <w:t>。</w:t>
      </w:r>
    </w:p>
    <w:p w14:paraId="4C15BD6D">
      <w:pPr>
        <w:pStyle w:val="3"/>
        <w:ind w:firstLine="480"/>
        <w:rPr>
          <w:color w:val="auto"/>
          <w:highlight w:val="none"/>
        </w:rPr>
      </w:pPr>
      <w:r>
        <w:rPr>
          <w:color w:val="auto"/>
          <w:highlight w:val="none"/>
        </w:rPr>
        <w:t>（2）水文地质</w:t>
      </w:r>
    </w:p>
    <w:p w14:paraId="7910DEFD">
      <w:pPr>
        <w:pStyle w:val="3"/>
        <w:ind w:firstLine="480"/>
        <w:rPr>
          <w:color w:val="auto"/>
          <w:highlight w:val="none"/>
        </w:rPr>
      </w:pPr>
      <w:r>
        <w:rPr>
          <w:rFonts w:hint="eastAsia"/>
          <w:color w:val="auto"/>
          <w:highlight w:val="none"/>
          <w:lang w:eastAsia="zh-CN"/>
        </w:rPr>
        <w:t>本项目</w:t>
      </w:r>
      <w:r>
        <w:rPr>
          <w:rFonts w:hint="eastAsia"/>
          <w:color w:val="auto"/>
          <w:highlight w:val="none"/>
        </w:rPr>
        <w:t>位于西南天山中低山区，地势总趋势呈北高南低，北部最高海拔2042m，南部最低海拔1853m。</w:t>
      </w:r>
      <w:r>
        <w:rPr>
          <w:rFonts w:hint="eastAsia"/>
          <w:color w:val="auto"/>
          <w:highlight w:val="none"/>
          <w:lang w:eastAsia="zh-CN"/>
        </w:rPr>
        <w:t>项目区</w:t>
      </w:r>
      <w:r>
        <w:rPr>
          <w:rFonts w:hint="eastAsia"/>
          <w:color w:val="auto"/>
          <w:highlight w:val="none"/>
        </w:rPr>
        <w:t>内地表水不发育，</w:t>
      </w:r>
      <w:r>
        <w:rPr>
          <w:rFonts w:hint="eastAsia"/>
          <w:color w:val="auto"/>
          <w:highlight w:val="none"/>
          <w:lang w:eastAsia="zh-CN"/>
        </w:rPr>
        <w:t>项目区</w:t>
      </w:r>
      <w:r>
        <w:rPr>
          <w:rFonts w:hint="eastAsia"/>
          <w:color w:val="auto"/>
          <w:highlight w:val="none"/>
        </w:rPr>
        <w:t>外有一地表水，位于</w:t>
      </w:r>
      <w:r>
        <w:rPr>
          <w:rFonts w:hint="eastAsia"/>
          <w:color w:val="auto"/>
          <w:highlight w:val="none"/>
          <w:lang w:eastAsia="zh-CN"/>
        </w:rPr>
        <w:t>项目区</w:t>
      </w:r>
      <w:r>
        <w:rPr>
          <w:rFonts w:hint="eastAsia"/>
          <w:color w:val="auto"/>
          <w:highlight w:val="none"/>
        </w:rPr>
        <w:t>南约0.5km，即阿亚克苏洪木河，该河水为区域最低侵蚀基准面。</w:t>
      </w:r>
    </w:p>
    <w:p w14:paraId="17479715">
      <w:pPr>
        <w:pStyle w:val="3"/>
        <w:ind w:firstLine="480"/>
        <w:rPr>
          <w:color w:val="auto"/>
          <w:highlight w:val="none"/>
        </w:rPr>
      </w:pPr>
      <w:r>
        <w:rPr>
          <w:rFonts w:hint="eastAsia"/>
          <w:color w:val="auto"/>
          <w:highlight w:val="none"/>
        </w:rPr>
        <w:t>构造上处于一单斜构造下部，地表除南部、沟谷低洼处有少量第四系松散沉积物外多为基岩出露，地形北高南低，地表水汇入南部阿亚克苏洪木河，汇水点高程约为1673m，为矿区最低侵蚀基准面。根据钻孔水文简易观测，</w:t>
      </w:r>
      <w:r>
        <w:rPr>
          <w:rFonts w:hint="eastAsia"/>
          <w:color w:val="auto"/>
          <w:highlight w:val="none"/>
          <w:lang w:eastAsia="zh-CN"/>
        </w:rPr>
        <w:t>项目区</w:t>
      </w:r>
      <w:r>
        <w:rPr>
          <w:rFonts w:hint="eastAsia"/>
          <w:color w:val="auto"/>
          <w:highlight w:val="none"/>
        </w:rPr>
        <w:t>地下水位为1779.53-1753.14m，部分矿体位于地下水位之下。</w:t>
      </w:r>
    </w:p>
    <w:p w14:paraId="307BCE2E">
      <w:pPr>
        <w:pStyle w:val="3"/>
        <w:ind w:firstLine="480"/>
        <w:rPr>
          <w:color w:val="auto"/>
          <w:highlight w:val="none"/>
        </w:rPr>
      </w:pPr>
      <w:r>
        <w:rPr>
          <w:rFonts w:hint="eastAsia"/>
          <w:color w:val="auto"/>
          <w:highlight w:val="none"/>
        </w:rPr>
        <w:t>根据地下水埋藏条件特征，本次地表调查、钻孔水位观测和抽水试验等资料，按照地下水的赋存条件、水理性质及水力特征，划分为3个大的含（隔）水层（组）。</w:t>
      </w:r>
    </w:p>
    <w:p w14:paraId="18A1947A">
      <w:pPr>
        <w:pStyle w:val="42"/>
        <w:rPr>
          <w:rFonts w:hint="default"/>
          <w:color w:val="auto"/>
          <w:highlight w:val="none"/>
        </w:rPr>
      </w:pPr>
      <w:bookmarkStart w:id="339" w:name="_Toc54550379"/>
      <w:bookmarkStart w:id="340" w:name="_Toc192272056"/>
      <w:bookmarkStart w:id="341" w:name="_Toc395266297"/>
      <w:bookmarkStart w:id="342" w:name="_Toc277584143"/>
      <w:bookmarkStart w:id="343" w:name="_Toc85534982"/>
      <w:r>
        <w:rPr>
          <w:rFonts w:hint="default"/>
          <w:color w:val="auto"/>
          <w:highlight w:val="none"/>
        </w:rPr>
        <w:t>工程地质概况</w:t>
      </w:r>
      <w:bookmarkEnd w:id="339"/>
      <w:bookmarkEnd w:id="340"/>
      <w:bookmarkEnd w:id="341"/>
      <w:bookmarkEnd w:id="342"/>
    </w:p>
    <w:p w14:paraId="09C9D707">
      <w:pPr>
        <w:pStyle w:val="3"/>
        <w:ind w:firstLine="480"/>
        <w:rPr>
          <w:color w:val="auto"/>
          <w:highlight w:val="none"/>
        </w:rPr>
      </w:pPr>
      <w:r>
        <w:rPr>
          <w:rFonts w:hint="eastAsia"/>
          <w:color w:val="auto"/>
          <w:highlight w:val="none"/>
        </w:rPr>
        <w:t>（1）</w:t>
      </w:r>
      <w:r>
        <w:rPr>
          <w:color w:val="auto"/>
          <w:highlight w:val="none"/>
        </w:rPr>
        <w:t>地层</w:t>
      </w:r>
    </w:p>
    <w:p w14:paraId="1F4ADEB1">
      <w:pPr>
        <w:pStyle w:val="3"/>
        <w:ind w:firstLine="480"/>
        <w:rPr>
          <w:color w:val="auto"/>
          <w:highlight w:val="none"/>
        </w:rPr>
      </w:pPr>
      <w:r>
        <w:rPr>
          <w:rFonts w:hint="eastAsia"/>
          <w:color w:val="auto"/>
          <w:highlight w:val="none"/>
          <w:lang w:eastAsia="zh-CN"/>
        </w:rPr>
        <w:t>项目区</w:t>
      </w:r>
      <w:r>
        <w:rPr>
          <w:color w:val="auto"/>
          <w:highlight w:val="none"/>
        </w:rPr>
        <w:t>地层属塔北地层分区（Ⅳ2）柯坪地层小区（Ⅳ21-1）。出露下二叠统巴立克里克</w:t>
      </w:r>
      <w:r>
        <w:rPr>
          <w:rFonts w:hint="eastAsia"/>
          <w:color w:val="auto"/>
          <w:highlight w:val="none"/>
          <w:lang w:eastAsia="zh-CN"/>
        </w:rPr>
        <w:t>组</w:t>
      </w:r>
      <w:r>
        <w:rPr>
          <w:color w:val="auto"/>
          <w:highlight w:val="none"/>
        </w:rPr>
        <w:t>第一岩性段（P1b1）和第四系全新统（Qh）地层</w:t>
      </w:r>
    </w:p>
    <w:p w14:paraId="164DFA27">
      <w:pPr>
        <w:pStyle w:val="3"/>
        <w:ind w:firstLine="480"/>
        <w:rPr>
          <w:color w:val="auto"/>
          <w:highlight w:val="none"/>
        </w:rPr>
      </w:pPr>
      <w:r>
        <w:rPr>
          <w:rFonts w:hint="eastAsia"/>
          <w:color w:val="auto"/>
          <w:highlight w:val="none"/>
        </w:rPr>
        <w:t>（2）</w:t>
      </w:r>
      <w:r>
        <w:rPr>
          <w:color w:val="auto"/>
          <w:highlight w:val="none"/>
        </w:rPr>
        <w:t>构造</w:t>
      </w:r>
    </w:p>
    <w:p w14:paraId="48827971">
      <w:pPr>
        <w:pStyle w:val="3"/>
        <w:ind w:firstLine="480"/>
        <w:rPr>
          <w:color w:val="auto"/>
          <w:highlight w:val="none"/>
        </w:rPr>
      </w:pPr>
      <w:r>
        <w:rPr>
          <w:rFonts w:hint="eastAsia"/>
          <w:color w:val="auto"/>
          <w:highlight w:val="none"/>
          <w:lang w:eastAsia="zh-CN"/>
        </w:rPr>
        <w:t>项目区</w:t>
      </w:r>
      <w:r>
        <w:rPr>
          <w:color w:val="auto"/>
          <w:highlight w:val="none"/>
        </w:rPr>
        <w:t>位于塔里木西南缘隆起之柯坪前陆盆地托斯莫新生代坳陷。</w:t>
      </w:r>
      <w:r>
        <w:rPr>
          <w:rFonts w:hint="eastAsia"/>
          <w:color w:val="auto"/>
          <w:highlight w:val="none"/>
          <w:lang w:eastAsia="zh-CN"/>
        </w:rPr>
        <w:t>项目区</w:t>
      </w:r>
      <w:r>
        <w:rPr>
          <w:color w:val="auto"/>
          <w:highlight w:val="none"/>
        </w:rPr>
        <w:t>构造简单，断裂构造相对发育，未见规模性褶皱构造。</w:t>
      </w:r>
      <w:r>
        <w:rPr>
          <w:rFonts w:hint="eastAsia"/>
          <w:color w:val="auto"/>
          <w:highlight w:val="none"/>
          <w:lang w:eastAsia="zh-CN"/>
        </w:rPr>
        <w:t>项目区</w:t>
      </w:r>
      <w:r>
        <w:rPr>
          <w:color w:val="auto"/>
          <w:highlight w:val="none"/>
        </w:rPr>
        <w:t>断裂构造主要为托斯莫区域性断裂（F</w:t>
      </w:r>
      <w:r>
        <w:rPr>
          <w:color w:val="auto"/>
          <w:highlight w:val="none"/>
          <w:vertAlign w:val="subscript"/>
        </w:rPr>
        <w:t>1</w:t>
      </w:r>
      <w:r>
        <w:rPr>
          <w:color w:val="auto"/>
          <w:highlight w:val="none"/>
        </w:rPr>
        <w:t>）及其派生的次级断裂5条，目前依据主次、走向划分两组，北东向（F</w:t>
      </w:r>
      <w:r>
        <w:rPr>
          <w:color w:val="auto"/>
          <w:highlight w:val="none"/>
          <w:vertAlign w:val="subscript"/>
        </w:rPr>
        <w:t>1</w:t>
      </w:r>
      <w:r>
        <w:rPr>
          <w:color w:val="auto"/>
          <w:highlight w:val="none"/>
        </w:rPr>
        <w:t>、F</w:t>
      </w:r>
      <w:r>
        <w:rPr>
          <w:color w:val="auto"/>
          <w:highlight w:val="none"/>
          <w:vertAlign w:val="subscript"/>
        </w:rPr>
        <w:t>2</w:t>
      </w:r>
      <w:r>
        <w:rPr>
          <w:color w:val="auto"/>
          <w:highlight w:val="none"/>
        </w:rPr>
        <w:t>、F</w:t>
      </w:r>
      <w:r>
        <w:rPr>
          <w:color w:val="auto"/>
          <w:highlight w:val="none"/>
          <w:vertAlign w:val="subscript"/>
        </w:rPr>
        <w:t>5</w:t>
      </w:r>
      <w:r>
        <w:rPr>
          <w:color w:val="auto"/>
          <w:highlight w:val="none"/>
        </w:rPr>
        <w:t>）和北西向断裂（F</w:t>
      </w:r>
      <w:r>
        <w:rPr>
          <w:color w:val="auto"/>
          <w:highlight w:val="none"/>
          <w:vertAlign w:val="subscript"/>
        </w:rPr>
        <w:t>3</w:t>
      </w:r>
      <w:r>
        <w:rPr>
          <w:color w:val="auto"/>
          <w:highlight w:val="none"/>
        </w:rPr>
        <w:t>、F</w:t>
      </w:r>
      <w:r>
        <w:rPr>
          <w:color w:val="auto"/>
          <w:highlight w:val="none"/>
          <w:vertAlign w:val="subscript"/>
        </w:rPr>
        <w:t>4</w:t>
      </w:r>
      <w:r>
        <w:rPr>
          <w:color w:val="auto"/>
          <w:highlight w:val="none"/>
        </w:rPr>
        <w:t>）。</w:t>
      </w:r>
    </w:p>
    <w:p w14:paraId="5079C4A2">
      <w:pPr>
        <w:pStyle w:val="3"/>
        <w:ind w:firstLine="480"/>
        <w:rPr>
          <w:color w:val="auto"/>
          <w:highlight w:val="none"/>
        </w:rPr>
      </w:pPr>
      <w:r>
        <w:rPr>
          <w:rFonts w:hint="eastAsia"/>
          <w:color w:val="auto"/>
          <w:highlight w:val="none"/>
        </w:rPr>
        <w:t>（3）</w:t>
      </w:r>
      <w:r>
        <w:rPr>
          <w:color w:val="auto"/>
          <w:highlight w:val="none"/>
        </w:rPr>
        <w:t>岩浆岩</w:t>
      </w:r>
    </w:p>
    <w:p w14:paraId="6A7959DC">
      <w:pPr>
        <w:pStyle w:val="3"/>
        <w:ind w:firstLine="480"/>
        <w:rPr>
          <w:color w:val="auto"/>
          <w:highlight w:val="none"/>
        </w:rPr>
      </w:pPr>
      <w:r>
        <w:rPr>
          <w:color w:val="auto"/>
          <w:highlight w:val="none"/>
        </w:rPr>
        <w:t>1）侵入岩</w:t>
      </w:r>
    </w:p>
    <w:p w14:paraId="4C79330C">
      <w:pPr>
        <w:pStyle w:val="3"/>
        <w:ind w:firstLine="480"/>
        <w:rPr>
          <w:color w:val="auto"/>
          <w:highlight w:val="none"/>
        </w:rPr>
      </w:pPr>
      <w:r>
        <w:rPr>
          <w:rFonts w:hint="eastAsia"/>
          <w:color w:val="auto"/>
          <w:highlight w:val="none"/>
          <w:lang w:eastAsia="zh-CN"/>
        </w:rPr>
        <w:t>项目区</w:t>
      </w:r>
      <w:r>
        <w:rPr>
          <w:color w:val="auto"/>
          <w:highlight w:val="none"/>
        </w:rPr>
        <w:t>侵入岩较为发育，为华力西晚期中二叠纪巴什索贡壳幔源序列的基性至碱性岩，分布于</w:t>
      </w:r>
      <w:r>
        <w:rPr>
          <w:rFonts w:hint="eastAsia"/>
          <w:color w:val="auto"/>
          <w:highlight w:val="none"/>
          <w:lang w:eastAsia="zh-CN"/>
        </w:rPr>
        <w:t>项目区</w:t>
      </w:r>
      <w:r>
        <w:rPr>
          <w:color w:val="auto"/>
          <w:highlight w:val="none"/>
        </w:rPr>
        <w:t>中心位置，侵位于下</w:t>
      </w:r>
      <w:r>
        <w:rPr>
          <w:rFonts w:hint="eastAsia"/>
          <w:color w:val="auto"/>
          <w:highlight w:val="none"/>
          <w:lang w:eastAsia="zh-CN"/>
        </w:rPr>
        <w:t>二叠纪</w:t>
      </w:r>
      <w:r>
        <w:rPr>
          <w:color w:val="auto"/>
          <w:highlight w:val="none"/>
        </w:rPr>
        <w:t>巴立克里克组第一岩性段地层之中。按时空关系划分2个成岩期次，岩石类型为：第一期次黄褐色、灰</w:t>
      </w:r>
      <w:r>
        <w:rPr>
          <w:rFonts w:hint="eastAsia"/>
          <w:color w:val="auto"/>
          <w:highlight w:val="none"/>
          <w:lang w:eastAsia="zh-CN"/>
        </w:rPr>
        <w:t>－</w:t>
      </w:r>
      <w:r>
        <w:rPr>
          <w:color w:val="auto"/>
          <w:highlight w:val="none"/>
        </w:rPr>
        <w:t>灰绿色中细粒辉长岩（υp3aH）之</w:t>
      </w:r>
      <w:r>
        <w:rPr>
          <w:rFonts w:hint="eastAsia"/>
          <w:color w:val="auto"/>
          <w:highlight w:val="none"/>
          <w:lang w:eastAsia="zh-CN"/>
        </w:rPr>
        <w:t>“</w:t>
      </w:r>
      <w:r>
        <w:rPr>
          <w:color w:val="auto"/>
          <w:highlight w:val="none"/>
        </w:rPr>
        <w:t>阿亚克苏洪辉长岩体</w:t>
      </w:r>
      <w:r>
        <w:rPr>
          <w:rFonts w:hint="eastAsia"/>
          <w:color w:val="auto"/>
          <w:highlight w:val="none"/>
          <w:lang w:eastAsia="zh-CN"/>
        </w:rPr>
        <w:t>”</w:t>
      </w:r>
      <w:r>
        <w:rPr>
          <w:color w:val="auto"/>
          <w:highlight w:val="none"/>
        </w:rPr>
        <w:t>，该岩体相带总体不</w:t>
      </w:r>
      <w:r>
        <w:rPr>
          <w:rFonts w:hint="eastAsia"/>
          <w:color w:val="auto"/>
          <w:highlight w:val="none"/>
          <w:lang w:eastAsia="zh-CN"/>
        </w:rPr>
        <w:t>太</w:t>
      </w:r>
      <w:r>
        <w:rPr>
          <w:color w:val="auto"/>
          <w:highlight w:val="none"/>
        </w:rPr>
        <w:t>明显；第二期次灰白-浅灰色石英正长岩（ξ0p3bH），二者为突变接触关系。</w:t>
      </w:r>
    </w:p>
    <w:p w14:paraId="60A8434D">
      <w:pPr>
        <w:pStyle w:val="3"/>
        <w:ind w:firstLine="480"/>
        <w:rPr>
          <w:color w:val="auto"/>
          <w:highlight w:val="none"/>
        </w:rPr>
      </w:pPr>
      <w:r>
        <w:rPr>
          <w:color w:val="auto"/>
          <w:highlight w:val="none"/>
        </w:rPr>
        <w:t>2）脉岩</w:t>
      </w:r>
    </w:p>
    <w:p w14:paraId="322AC90D">
      <w:pPr>
        <w:pStyle w:val="3"/>
        <w:ind w:firstLine="480"/>
        <w:rPr>
          <w:color w:val="auto"/>
          <w:highlight w:val="none"/>
        </w:rPr>
      </w:pPr>
      <w:r>
        <w:rPr>
          <w:color w:val="auto"/>
          <w:highlight w:val="none"/>
        </w:rPr>
        <w:t>脉岩主要为华力西晚期中二叠纪的辉绿岩脉、石英正长岩脉，少量辉长岩脉和石英碳酸盐细脉，均为成矿期后脉岩。</w:t>
      </w:r>
    </w:p>
    <w:p w14:paraId="2E6FB6AA">
      <w:pPr>
        <w:pStyle w:val="3"/>
        <w:ind w:firstLine="480"/>
        <w:rPr>
          <w:color w:val="auto"/>
          <w:highlight w:val="none"/>
        </w:rPr>
      </w:pPr>
      <w:r>
        <w:rPr>
          <w:rFonts w:hint="eastAsia"/>
          <w:color w:val="auto"/>
          <w:highlight w:val="none"/>
        </w:rPr>
        <w:t>（4）</w:t>
      </w:r>
      <w:r>
        <w:rPr>
          <w:color w:val="auto"/>
          <w:highlight w:val="none"/>
        </w:rPr>
        <w:t>围岩蚀变</w:t>
      </w:r>
    </w:p>
    <w:p w14:paraId="0EBF616A">
      <w:pPr>
        <w:pStyle w:val="3"/>
        <w:ind w:firstLine="480"/>
        <w:rPr>
          <w:color w:val="auto"/>
          <w:highlight w:val="none"/>
        </w:rPr>
      </w:pPr>
      <w:r>
        <w:rPr>
          <w:color w:val="auto"/>
          <w:highlight w:val="none"/>
        </w:rPr>
        <w:t>下二叠统巴立克里克</w:t>
      </w:r>
      <w:r>
        <w:rPr>
          <w:rFonts w:hint="eastAsia"/>
          <w:color w:val="auto"/>
          <w:highlight w:val="none"/>
          <w:lang w:eastAsia="zh-CN"/>
        </w:rPr>
        <w:t>组</w:t>
      </w:r>
      <w:r>
        <w:rPr>
          <w:color w:val="auto"/>
          <w:highlight w:val="none"/>
        </w:rPr>
        <w:t>第一岩性段（P1b1）围岩蚀变较强烈。岩石地表呈碎块状，发育有绿泥石化、绢云母化、绿帘石化、高岭土化、透辉石化、黑云母化、褐铁矿化、大理岩化等，其中绿泥石化、绢云母化、褐铁矿化，是</w:t>
      </w:r>
      <w:r>
        <w:rPr>
          <w:rFonts w:hint="eastAsia"/>
          <w:color w:val="auto"/>
          <w:highlight w:val="none"/>
          <w:lang w:eastAsia="zh-CN"/>
        </w:rPr>
        <w:t>项目区</w:t>
      </w:r>
      <w:r>
        <w:rPr>
          <w:color w:val="auto"/>
          <w:highlight w:val="none"/>
        </w:rPr>
        <w:t>地表最明显的蚀变特征，与成矿关系不大。钛铁矿化、磁铁矿化、黄铁矿化大量发育于辉长岩或矿体（矿化域），多数为岩浆中后期分异成矿阶段形成，与成矿较为密切；绿泥石化、绿帘石、高岭化、碳酸盐化多数分布于辉长岩体，为岩浆后期蚀变或风氧化形成，与成矿有一定联系；硅化、黑云母化、绢云母化、绿帘石、阳起石化主要分布于碎屑岩地层中，为区域蚀变形成的产物；大理岩化、透辉石化、硅化主要分布于灰岩地层中，主要与区域变质或受岩浆热液蚀变有关，是近矿蚀变围岩。</w:t>
      </w:r>
    </w:p>
    <w:bookmarkEnd w:id="343"/>
    <w:p w14:paraId="5F08E830">
      <w:pPr>
        <w:pStyle w:val="39"/>
        <w:rPr>
          <w:rFonts w:hint="default"/>
          <w:color w:val="auto"/>
          <w:highlight w:val="none"/>
        </w:rPr>
      </w:pPr>
      <w:bookmarkStart w:id="344" w:name="_Toc26343"/>
      <w:bookmarkStart w:id="345" w:name="_Toc3751"/>
      <w:r>
        <w:rPr>
          <w:rFonts w:hint="default"/>
          <w:color w:val="auto"/>
          <w:highlight w:val="none"/>
        </w:rPr>
        <w:t>环境质量现状调查与评价</w:t>
      </w:r>
      <w:bookmarkEnd w:id="344"/>
      <w:bookmarkEnd w:id="345"/>
    </w:p>
    <w:p w14:paraId="73C05A9E">
      <w:pPr>
        <w:pStyle w:val="42"/>
        <w:rPr>
          <w:rFonts w:hint="default"/>
          <w:color w:val="auto"/>
          <w:highlight w:val="none"/>
        </w:rPr>
      </w:pPr>
      <w:r>
        <w:rPr>
          <w:rFonts w:hint="default"/>
          <w:color w:val="auto"/>
          <w:highlight w:val="none"/>
        </w:rPr>
        <w:t>环境空气质量现状调查与评价</w:t>
      </w:r>
    </w:p>
    <w:p w14:paraId="35614FCB">
      <w:pPr>
        <w:pStyle w:val="43"/>
        <w:rPr>
          <w:color w:val="auto"/>
          <w:highlight w:val="none"/>
        </w:rPr>
      </w:pPr>
      <w:r>
        <w:rPr>
          <w:color w:val="auto"/>
          <w:highlight w:val="none"/>
        </w:rPr>
        <w:t xml:space="preserve"> 基本污染物环境质量现状</w:t>
      </w:r>
    </w:p>
    <w:p w14:paraId="713EE3E7">
      <w:pPr>
        <w:pStyle w:val="3"/>
        <w:ind w:firstLine="480"/>
        <w:rPr>
          <w:color w:val="auto"/>
          <w:highlight w:val="none"/>
        </w:rPr>
      </w:pPr>
      <w:r>
        <w:rPr>
          <w:color w:val="auto"/>
          <w:highlight w:val="none"/>
        </w:rPr>
        <w:t>（1）数据来源</w:t>
      </w:r>
    </w:p>
    <w:p w14:paraId="14BA07DC">
      <w:pPr>
        <w:pStyle w:val="3"/>
        <w:ind w:firstLine="480"/>
        <w:rPr>
          <w:color w:val="auto"/>
          <w:highlight w:val="none"/>
        </w:rPr>
      </w:pPr>
      <w:r>
        <w:rPr>
          <w:color w:val="auto"/>
          <w:highlight w:val="none"/>
        </w:rPr>
        <w:t>根据生态环境部环境工程评估中心发布的“环境空气质量模型技术支持服务系统”，本次评价选取克州阿图什市监测点数据进行区域达标区判定。</w:t>
      </w:r>
    </w:p>
    <w:p w14:paraId="3FCC4EF9">
      <w:pPr>
        <w:pStyle w:val="3"/>
        <w:ind w:firstLine="480"/>
        <w:rPr>
          <w:color w:val="auto"/>
          <w:highlight w:val="none"/>
        </w:rPr>
      </w:pPr>
      <w:r>
        <w:rPr>
          <w:color w:val="auto"/>
          <w:highlight w:val="none"/>
        </w:rPr>
        <w:t>（2）评价标准</w:t>
      </w:r>
    </w:p>
    <w:p w14:paraId="1BFE8E4F">
      <w:pPr>
        <w:pStyle w:val="3"/>
        <w:ind w:firstLine="480"/>
        <w:rPr>
          <w:color w:val="auto"/>
          <w:highlight w:val="none"/>
        </w:rPr>
      </w:pPr>
      <w:r>
        <w:rPr>
          <w:color w:val="auto"/>
          <w:highlight w:val="none"/>
        </w:rPr>
        <w:t>基本污染物SO</w:t>
      </w:r>
      <w:r>
        <w:rPr>
          <w:color w:val="auto"/>
          <w:highlight w:val="none"/>
          <w:vertAlign w:val="subscript"/>
        </w:rPr>
        <w:t>2</w:t>
      </w:r>
      <w:r>
        <w:rPr>
          <w:color w:val="auto"/>
          <w:highlight w:val="none"/>
        </w:rPr>
        <w:t>、NO</w:t>
      </w:r>
      <w:r>
        <w:rPr>
          <w:color w:val="auto"/>
          <w:highlight w:val="none"/>
          <w:vertAlign w:val="subscript"/>
        </w:rPr>
        <w:t>2</w:t>
      </w:r>
      <w:r>
        <w:rPr>
          <w:color w:val="auto"/>
          <w:highlight w:val="none"/>
        </w:rPr>
        <w:t>、PM</w:t>
      </w:r>
      <w:r>
        <w:rPr>
          <w:color w:val="auto"/>
          <w:highlight w:val="none"/>
          <w:vertAlign w:val="subscript"/>
        </w:rPr>
        <w:t>10</w:t>
      </w:r>
      <w:r>
        <w:rPr>
          <w:color w:val="auto"/>
          <w:highlight w:val="none"/>
        </w:rPr>
        <w:t>、PM</w:t>
      </w:r>
      <w:r>
        <w:rPr>
          <w:color w:val="auto"/>
          <w:highlight w:val="none"/>
          <w:vertAlign w:val="subscript"/>
        </w:rPr>
        <w:t>2.5</w:t>
      </w:r>
      <w:r>
        <w:rPr>
          <w:color w:val="auto"/>
          <w:highlight w:val="none"/>
        </w:rPr>
        <w:t>、CO和O</w:t>
      </w:r>
      <w:r>
        <w:rPr>
          <w:color w:val="auto"/>
          <w:highlight w:val="none"/>
          <w:vertAlign w:val="subscript"/>
        </w:rPr>
        <w:t>3</w:t>
      </w:r>
      <w:r>
        <w:rPr>
          <w:color w:val="auto"/>
          <w:highlight w:val="none"/>
        </w:rPr>
        <w:t>执行《环境空气质量标准》（GB3095-20</w:t>
      </w:r>
      <w:r>
        <w:rPr>
          <w:rFonts w:hint="eastAsia"/>
          <w:color w:val="auto"/>
          <w:highlight w:val="none"/>
        </w:rPr>
        <w:t>26</w:t>
      </w:r>
      <w:r>
        <w:rPr>
          <w:color w:val="auto"/>
          <w:highlight w:val="none"/>
        </w:rPr>
        <w:t>）中的</w:t>
      </w:r>
      <w:r>
        <w:rPr>
          <w:rFonts w:hint="eastAsia"/>
          <w:color w:val="auto"/>
          <w:highlight w:val="none"/>
          <w:lang w:eastAsia="zh-CN"/>
        </w:rPr>
        <w:t>过渡阶段</w:t>
      </w:r>
      <w:r>
        <w:rPr>
          <w:color w:val="auto"/>
          <w:highlight w:val="none"/>
        </w:rPr>
        <w:t>二级标准</w:t>
      </w:r>
      <w:r>
        <w:rPr>
          <w:rFonts w:hint="eastAsia"/>
          <w:color w:val="auto"/>
          <w:highlight w:val="none"/>
          <w:lang w:eastAsia="zh-CN"/>
        </w:rPr>
        <w:t>限制</w:t>
      </w:r>
      <w:r>
        <w:rPr>
          <w:color w:val="auto"/>
          <w:highlight w:val="none"/>
        </w:rPr>
        <w:t>。</w:t>
      </w:r>
    </w:p>
    <w:p w14:paraId="0FA63D1A">
      <w:pPr>
        <w:pStyle w:val="3"/>
        <w:ind w:firstLine="480"/>
        <w:rPr>
          <w:color w:val="auto"/>
          <w:highlight w:val="none"/>
        </w:rPr>
      </w:pPr>
      <w:r>
        <w:rPr>
          <w:color w:val="auto"/>
          <w:highlight w:val="none"/>
        </w:rPr>
        <w:t>（3）评价方法</w:t>
      </w:r>
    </w:p>
    <w:p w14:paraId="7782BE19">
      <w:pPr>
        <w:pStyle w:val="3"/>
        <w:ind w:firstLine="480"/>
        <w:rPr>
          <w:color w:val="auto"/>
          <w:highlight w:val="none"/>
        </w:rPr>
      </w:pPr>
      <w:r>
        <w:rPr>
          <w:color w:val="auto"/>
          <w:highlight w:val="none"/>
        </w:rPr>
        <w:t>评价方法：基本污染物按照《环境空气质量评价技术规范（试行）》（HJ 663-2013）中各评价项目的年评价指标进行判定。年评价指标中的年均浓度和相应百分位数24h平均或8h平均质量浓度满足GB3095中浓度限值要求的即为达标。对于超标的污染物，计算其超标倍数和超标率。</w:t>
      </w:r>
    </w:p>
    <w:p w14:paraId="6DC3B300">
      <w:pPr>
        <w:pStyle w:val="3"/>
        <w:ind w:firstLine="480"/>
        <w:rPr>
          <w:color w:val="auto"/>
          <w:highlight w:val="none"/>
        </w:rPr>
      </w:pPr>
      <w:r>
        <w:rPr>
          <w:color w:val="auto"/>
          <w:highlight w:val="none"/>
        </w:rPr>
        <w:t>（4）空气质量达标区判定</w:t>
      </w:r>
    </w:p>
    <w:p w14:paraId="07B6F2D3">
      <w:pPr>
        <w:pStyle w:val="3"/>
        <w:ind w:firstLine="480"/>
        <w:rPr>
          <w:color w:val="auto"/>
          <w:highlight w:val="none"/>
        </w:rPr>
      </w:pPr>
      <w:r>
        <w:rPr>
          <w:color w:val="auto"/>
          <w:highlight w:val="none"/>
        </w:rPr>
        <w:t>阿图什市202</w:t>
      </w:r>
      <w:r>
        <w:rPr>
          <w:rFonts w:hint="eastAsia"/>
          <w:color w:val="auto"/>
          <w:highlight w:val="none"/>
        </w:rPr>
        <w:t>4</w:t>
      </w:r>
      <w:r>
        <w:rPr>
          <w:color w:val="auto"/>
          <w:highlight w:val="none"/>
        </w:rPr>
        <w:t>空气质量达标区判定结果见表4.2-1。</w:t>
      </w:r>
    </w:p>
    <w:p w14:paraId="108E4AD1">
      <w:pPr>
        <w:pStyle w:val="40"/>
        <w:spacing w:before="24" w:after="24"/>
        <w:rPr>
          <w:color w:val="auto"/>
          <w:highlight w:val="none"/>
        </w:rPr>
      </w:pPr>
      <w:r>
        <w:rPr>
          <w:color w:val="auto"/>
          <w:highlight w:val="none"/>
        </w:rPr>
        <w:t>表4.2-1     区域空气质量现状评价结果一览表</w:t>
      </w:r>
    </w:p>
    <w:tbl>
      <w:tblPr>
        <w:tblStyle w:val="25"/>
        <w:tblW w:w="499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032"/>
        <w:gridCol w:w="1575"/>
        <w:gridCol w:w="1578"/>
        <w:gridCol w:w="1498"/>
        <w:gridCol w:w="1578"/>
        <w:gridCol w:w="1058"/>
      </w:tblGrid>
      <w:tr w14:paraId="32B8D6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620" w:type="pct"/>
            <w:tcBorders>
              <w:tl2br w:val="nil"/>
              <w:tr2bl w:val="nil"/>
            </w:tcBorders>
            <w:vAlign w:val="center"/>
          </w:tcPr>
          <w:p w14:paraId="3DD8F650">
            <w:pPr>
              <w:pStyle w:val="41"/>
              <w:rPr>
                <w:color w:val="auto"/>
                <w:highlight w:val="none"/>
              </w:rPr>
            </w:pPr>
            <w:r>
              <w:rPr>
                <w:color w:val="auto"/>
                <w:highlight w:val="none"/>
              </w:rPr>
              <w:t>监测因子</w:t>
            </w:r>
          </w:p>
        </w:tc>
        <w:tc>
          <w:tcPr>
            <w:tcW w:w="946" w:type="pct"/>
            <w:tcBorders>
              <w:tl2br w:val="nil"/>
              <w:tr2bl w:val="nil"/>
            </w:tcBorders>
            <w:vAlign w:val="center"/>
          </w:tcPr>
          <w:p w14:paraId="476E325B">
            <w:pPr>
              <w:pStyle w:val="41"/>
              <w:rPr>
                <w:color w:val="auto"/>
                <w:highlight w:val="none"/>
              </w:rPr>
            </w:pPr>
            <w:r>
              <w:rPr>
                <w:color w:val="auto"/>
                <w:highlight w:val="none"/>
              </w:rPr>
              <w:t>年评价指标</w:t>
            </w:r>
          </w:p>
        </w:tc>
        <w:tc>
          <w:tcPr>
            <w:tcW w:w="948" w:type="pct"/>
            <w:tcBorders>
              <w:tl2br w:val="nil"/>
              <w:tr2bl w:val="nil"/>
            </w:tcBorders>
            <w:vAlign w:val="center"/>
          </w:tcPr>
          <w:p w14:paraId="698E97FC">
            <w:pPr>
              <w:pStyle w:val="41"/>
              <w:rPr>
                <w:color w:val="auto"/>
                <w:highlight w:val="none"/>
              </w:rPr>
            </w:pPr>
            <w:r>
              <w:rPr>
                <w:color w:val="auto"/>
                <w:highlight w:val="none"/>
              </w:rPr>
              <w:t>现状浓度</w:t>
            </w:r>
          </w:p>
          <w:p w14:paraId="1E6990F7">
            <w:pPr>
              <w:pStyle w:val="41"/>
              <w:rPr>
                <w:color w:val="auto"/>
                <w:highlight w:val="none"/>
              </w:rPr>
            </w:pPr>
            <w:r>
              <w:rPr>
                <w:rFonts w:hint="eastAsia"/>
                <w:color w:val="auto"/>
                <w:highlight w:val="none"/>
                <w:lang w:eastAsia="zh-CN"/>
              </w:rPr>
              <w:t>(</w:t>
            </w:r>
            <w:r>
              <w:rPr>
                <w:color w:val="auto"/>
                <w:highlight w:val="none"/>
              </w:rPr>
              <w:t>μg/m</w:t>
            </w:r>
            <w:r>
              <w:rPr>
                <w:color w:val="auto"/>
                <w:highlight w:val="none"/>
                <w:vertAlign w:val="superscript"/>
              </w:rPr>
              <w:t>3</w:t>
            </w:r>
            <w:r>
              <w:rPr>
                <w:rFonts w:hint="eastAsia"/>
                <w:color w:val="auto"/>
                <w:highlight w:val="none"/>
                <w:vertAlign w:val="superscript"/>
                <w:lang w:eastAsia="zh-CN"/>
              </w:rPr>
              <w:t>)</w:t>
            </w:r>
          </w:p>
        </w:tc>
        <w:tc>
          <w:tcPr>
            <w:tcW w:w="900" w:type="pct"/>
            <w:tcBorders>
              <w:tl2br w:val="nil"/>
              <w:tr2bl w:val="nil"/>
            </w:tcBorders>
            <w:vAlign w:val="center"/>
          </w:tcPr>
          <w:p w14:paraId="52EB1538">
            <w:pPr>
              <w:pStyle w:val="41"/>
              <w:rPr>
                <w:color w:val="auto"/>
                <w:highlight w:val="none"/>
              </w:rPr>
            </w:pPr>
            <w:r>
              <w:rPr>
                <w:color w:val="auto"/>
                <w:highlight w:val="none"/>
              </w:rPr>
              <w:t>标准值（μg/m</w:t>
            </w:r>
            <w:r>
              <w:rPr>
                <w:color w:val="auto"/>
                <w:highlight w:val="none"/>
                <w:vertAlign w:val="superscript"/>
              </w:rPr>
              <w:t>3</w:t>
            </w:r>
            <w:r>
              <w:rPr>
                <w:color w:val="auto"/>
                <w:highlight w:val="none"/>
              </w:rPr>
              <w:t>）</w:t>
            </w:r>
          </w:p>
        </w:tc>
        <w:tc>
          <w:tcPr>
            <w:tcW w:w="948" w:type="pct"/>
            <w:tcBorders>
              <w:tl2br w:val="nil"/>
              <w:tr2bl w:val="nil"/>
            </w:tcBorders>
            <w:vAlign w:val="center"/>
          </w:tcPr>
          <w:p w14:paraId="1F99D5BE">
            <w:pPr>
              <w:pStyle w:val="41"/>
              <w:rPr>
                <w:color w:val="auto"/>
                <w:highlight w:val="none"/>
              </w:rPr>
            </w:pPr>
            <w:r>
              <w:rPr>
                <w:color w:val="auto"/>
                <w:highlight w:val="none"/>
              </w:rPr>
              <w:t>最大浓度占标率</w:t>
            </w:r>
          </w:p>
          <w:p w14:paraId="6BA9B00A">
            <w:pPr>
              <w:pStyle w:val="41"/>
              <w:rPr>
                <w:color w:val="auto"/>
                <w:highlight w:val="none"/>
              </w:rPr>
            </w:pPr>
            <w:r>
              <w:rPr>
                <w:color w:val="auto"/>
                <w:highlight w:val="none"/>
              </w:rPr>
              <w:t>（%）</w:t>
            </w:r>
          </w:p>
        </w:tc>
        <w:tc>
          <w:tcPr>
            <w:tcW w:w="635" w:type="pct"/>
            <w:tcBorders>
              <w:tl2br w:val="nil"/>
              <w:tr2bl w:val="nil"/>
            </w:tcBorders>
            <w:vAlign w:val="center"/>
          </w:tcPr>
          <w:p w14:paraId="67D35D8D">
            <w:pPr>
              <w:pStyle w:val="41"/>
              <w:rPr>
                <w:color w:val="auto"/>
                <w:highlight w:val="none"/>
              </w:rPr>
            </w:pPr>
            <w:r>
              <w:rPr>
                <w:color w:val="auto"/>
                <w:highlight w:val="none"/>
              </w:rPr>
              <w:t>达标情况</w:t>
            </w:r>
          </w:p>
        </w:tc>
      </w:tr>
      <w:tr w14:paraId="04EC27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620" w:type="pct"/>
            <w:tcBorders>
              <w:tl2br w:val="nil"/>
              <w:tr2bl w:val="nil"/>
            </w:tcBorders>
            <w:vAlign w:val="center"/>
          </w:tcPr>
          <w:p w14:paraId="77F84C71">
            <w:pPr>
              <w:pStyle w:val="41"/>
              <w:rPr>
                <w:color w:val="auto"/>
                <w:highlight w:val="none"/>
              </w:rPr>
            </w:pPr>
            <w:r>
              <w:rPr>
                <w:color w:val="auto"/>
                <w:highlight w:val="none"/>
              </w:rPr>
              <w:t>SO</w:t>
            </w:r>
            <w:r>
              <w:rPr>
                <w:color w:val="auto"/>
                <w:highlight w:val="none"/>
                <w:vertAlign w:val="subscript"/>
              </w:rPr>
              <w:t>2</w:t>
            </w:r>
          </w:p>
        </w:tc>
        <w:tc>
          <w:tcPr>
            <w:tcW w:w="946" w:type="pct"/>
            <w:tcBorders>
              <w:tl2br w:val="nil"/>
              <w:tr2bl w:val="nil"/>
            </w:tcBorders>
            <w:vAlign w:val="center"/>
          </w:tcPr>
          <w:p w14:paraId="0B999333">
            <w:pPr>
              <w:pStyle w:val="41"/>
              <w:rPr>
                <w:color w:val="auto"/>
                <w:highlight w:val="none"/>
              </w:rPr>
            </w:pPr>
            <w:r>
              <w:rPr>
                <w:color w:val="auto"/>
                <w:highlight w:val="none"/>
              </w:rPr>
              <w:t>年平均值</w:t>
            </w:r>
          </w:p>
        </w:tc>
        <w:tc>
          <w:tcPr>
            <w:tcW w:w="948" w:type="pct"/>
            <w:tcBorders>
              <w:tl2br w:val="nil"/>
              <w:tr2bl w:val="nil"/>
            </w:tcBorders>
            <w:vAlign w:val="center"/>
          </w:tcPr>
          <w:p w14:paraId="1DB0C0A7">
            <w:pPr>
              <w:pStyle w:val="41"/>
              <w:rPr>
                <w:color w:val="auto"/>
                <w:highlight w:val="none"/>
              </w:rPr>
            </w:pPr>
            <w:r>
              <w:rPr>
                <w:rFonts w:hint="eastAsia"/>
                <w:color w:val="auto"/>
                <w:highlight w:val="none"/>
              </w:rPr>
              <w:t>9</w:t>
            </w:r>
          </w:p>
        </w:tc>
        <w:tc>
          <w:tcPr>
            <w:tcW w:w="900" w:type="pct"/>
            <w:tcBorders>
              <w:tl2br w:val="nil"/>
              <w:tr2bl w:val="nil"/>
            </w:tcBorders>
            <w:vAlign w:val="center"/>
          </w:tcPr>
          <w:p w14:paraId="20DB9831">
            <w:pPr>
              <w:pStyle w:val="41"/>
              <w:rPr>
                <w:color w:val="auto"/>
                <w:highlight w:val="none"/>
              </w:rPr>
            </w:pPr>
            <w:r>
              <w:rPr>
                <w:color w:val="auto"/>
                <w:highlight w:val="none"/>
              </w:rPr>
              <w:t>60</w:t>
            </w:r>
          </w:p>
        </w:tc>
        <w:tc>
          <w:tcPr>
            <w:tcW w:w="1574" w:type="dxa"/>
            <w:tcBorders>
              <w:tl2br w:val="nil"/>
              <w:tr2bl w:val="nil"/>
            </w:tcBorders>
            <w:vAlign w:val="center"/>
          </w:tcPr>
          <w:p w14:paraId="236A5B41">
            <w:pPr>
              <w:pStyle w:val="41"/>
              <w:rPr>
                <w:color w:val="auto"/>
                <w:highlight w:val="none"/>
              </w:rPr>
            </w:pPr>
            <w:r>
              <w:rPr>
                <w:color w:val="auto"/>
                <w:highlight w:val="none"/>
              </w:rPr>
              <w:t xml:space="preserve">15.00 </w:t>
            </w:r>
          </w:p>
        </w:tc>
        <w:tc>
          <w:tcPr>
            <w:tcW w:w="635" w:type="pct"/>
            <w:tcBorders>
              <w:tl2br w:val="nil"/>
              <w:tr2bl w:val="nil"/>
            </w:tcBorders>
            <w:vAlign w:val="center"/>
          </w:tcPr>
          <w:p w14:paraId="423BA315">
            <w:pPr>
              <w:pStyle w:val="41"/>
              <w:rPr>
                <w:color w:val="auto"/>
                <w:highlight w:val="none"/>
              </w:rPr>
            </w:pPr>
            <w:r>
              <w:rPr>
                <w:color w:val="auto"/>
                <w:highlight w:val="none"/>
              </w:rPr>
              <w:t>达标</w:t>
            </w:r>
          </w:p>
        </w:tc>
      </w:tr>
      <w:tr w14:paraId="6F2D99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620" w:type="pct"/>
            <w:tcBorders>
              <w:tl2br w:val="nil"/>
              <w:tr2bl w:val="nil"/>
            </w:tcBorders>
            <w:vAlign w:val="center"/>
          </w:tcPr>
          <w:p w14:paraId="72B944DF">
            <w:pPr>
              <w:pStyle w:val="41"/>
              <w:rPr>
                <w:color w:val="auto"/>
                <w:highlight w:val="none"/>
              </w:rPr>
            </w:pPr>
            <w:r>
              <w:rPr>
                <w:color w:val="auto"/>
                <w:highlight w:val="none"/>
              </w:rPr>
              <w:t>NO</w:t>
            </w:r>
            <w:r>
              <w:rPr>
                <w:color w:val="auto"/>
                <w:highlight w:val="none"/>
                <w:vertAlign w:val="subscript"/>
              </w:rPr>
              <w:t>2</w:t>
            </w:r>
          </w:p>
        </w:tc>
        <w:tc>
          <w:tcPr>
            <w:tcW w:w="946" w:type="pct"/>
            <w:tcBorders>
              <w:tl2br w:val="nil"/>
              <w:tr2bl w:val="nil"/>
            </w:tcBorders>
            <w:vAlign w:val="center"/>
          </w:tcPr>
          <w:p w14:paraId="489402BE">
            <w:pPr>
              <w:pStyle w:val="41"/>
              <w:rPr>
                <w:color w:val="auto"/>
                <w:highlight w:val="none"/>
              </w:rPr>
            </w:pPr>
            <w:r>
              <w:rPr>
                <w:color w:val="auto"/>
                <w:highlight w:val="none"/>
              </w:rPr>
              <w:t>年平均值</w:t>
            </w:r>
          </w:p>
        </w:tc>
        <w:tc>
          <w:tcPr>
            <w:tcW w:w="948" w:type="pct"/>
            <w:tcBorders>
              <w:tl2br w:val="nil"/>
              <w:tr2bl w:val="nil"/>
            </w:tcBorders>
            <w:vAlign w:val="center"/>
          </w:tcPr>
          <w:p w14:paraId="713A03DE">
            <w:pPr>
              <w:pStyle w:val="41"/>
              <w:rPr>
                <w:color w:val="auto"/>
                <w:highlight w:val="none"/>
              </w:rPr>
            </w:pPr>
            <w:r>
              <w:rPr>
                <w:color w:val="auto"/>
                <w:highlight w:val="none"/>
              </w:rPr>
              <w:t>12</w:t>
            </w:r>
          </w:p>
        </w:tc>
        <w:tc>
          <w:tcPr>
            <w:tcW w:w="900" w:type="pct"/>
            <w:tcBorders>
              <w:tl2br w:val="nil"/>
              <w:tr2bl w:val="nil"/>
            </w:tcBorders>
            <w:vAlign w:val="center"/>
          </w:tcPr>
          <w:p w14:paraId="59B35B7A">
            <w:pPr>
              <w:pStyle w:val="41"/>
              <w:rPr>
                <w:color w:val="auto"/>
                <w:highlight w:val="none"/>
              </w:rPr>
            </w:pPr>
            <w:r>
              <w:rPr>
                <w:color w:val="auto"/>
                <w:highlight w:val="none"/>
              </w:rPr>
              <w:t>40</w:t>
            </w:r>
          </w:p>
        </w:tc>
        <w:tc>
          <w:tcPr>
            <w:tcW w:w="1574" w:type="dxa"/>
            <w:tcBorders>
              <w:tl2br w:val="nil"/>
              <w:tr2bl w:val="nil"/>
            </w:tcBorders>
            <w:vAlign w:val="center"/>
          </w:tcPr>
          <w:p w14:paraId="50C92CAA">
            <w:pPr>
              <w:pStyle w:val="41"/>
              <w:rPr>
                <w:color w:val="auto"/>
                <w:highlight w:val="none"/>
              </w:rPr>
            </w:pPr>
            <w:r>
              <w:rPr>
                <w:color w:val="auto"/>
                <w:highlight w:val="none"/>
              </w:rPr>
              <w:t xml:space="preserve">30.00 </w:t>
            </w:r>
          </w:p>
        </w:tc>
        <w:tc>
          <w:tcPr>
            <w:tcW w:w="635" w:type="pct"/>
            <w:tcBorders>
              <w:tl2br w:val="nil"/>
              <w:tr2bl w:val="nil"/>
            </w:tcBorders>
            <w:vAlign w:val="center"/>
          </w:tcPr>
          <w:p w14:paraId="50C34B53">
            <w:pPr>
              <w:pStyle w:val="41"/>
              <w:rPr>
                <w:color w:val="auto"/>
                <w:highlight w:val="none"/>
              </w:rPr>
            </w:pPr>
            <w:r>
              <w:rPr>
                <w:color w:val="auto"/>
                <w:highlight w:val="none"/>
              </w:rPr>
              <w:t>达标</w:t>
            </w:r>
          </w:p>
        </w:tc>
      </w:tr>
      <w:tr w14:paraId="4A8AC1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620" w:type="pct"/>
            <w:tcBorders>
              <w:tl2br w:val="nil"/>
              <w:tr2bl w:val="nil"/>
            </w:tcBorders>
            <w:vAlign w:val="center"/>
          </w:tcPr>
          <w:p w14:paraId="436B6D3C">
            <w:pPr>
              <w:pStyle w:val="41"/>
              <w:rPr>
                <w:color w:val="auto"/>
                <w:highlight w:val="none"/>
              </w:rPr>
            </w:pPr>
            <w:r>
              <w:rPr>
                <w:color w:val="auto"/>
                <w:highlight w:val="none"/>
              </w:rPr>
              <w:t>PM</w:t>
            </w:r>
            <w:r>
              <w:rPr>
                <w:color w:val="auto"/>
                <w:highlight w:val="none"/>
                <w:vertAlign w:val="subscript"/>
              </w:rPr>
              <w:t>10</w:t>
            </w:r>
          </w:p>
        </w:tc>
        <w:tc>
          <w:tcPr>
            <w:tcW w:w="946" w:type="pct"/>
            <w:tcBorders>
              <w:tl2br w:val="nil"/>
              <w:tr2bl w:val="nil"/>
            </w:tcBorders>
            <w:vAlign w:val="center"/>
          </w:tcPr>
          <w:p w14:paraId="0B4A7609">
            <w:pPr>
              <w:pStyle w:val="41"/>
              <w:rPr>
                <w:color w:val="auto"/>
                <w:highlight w:val="none"/>
              </w:rPr>
            </w:pPr>
            <w:r>
              <w:rPr>
                <w:color w:val="auto"/>
                <w:highlight w:val="none"/>
              </w:rPr>
              <w:t>年平均值</w:t>
            </w:r>
          </w:p>
        </w:tc>
        <w:tc>
          <w:tcPr>
            <w:tcW w:w="948" w:type="pct"/>
            <w:tcBorders>
              <w:tl2br w:val="nil"/>
              <w:tr2bl w:val="nil"/>
            </w:tcBorders>
            <w:vAlign w:val="center"/>
          </w:tcPr>
          <w:p w14:paraId="429EE593">
            <w:pPr>
              <w:pStyle w:val="41"/>
              <w:rPr>
                <w:color w:val="auto"/>
                <w:highlight w:val="none"/>
              </w:rPr>
            </w:pPr>
            <w:r>
              <w:rPr>
                <w:rFonts w:hint="eastAsia"/>
                <w:color w:val="auto"/>
                <w:highlight w:val="none"/>
              </w:rPr>
              <w:t>65</w:t>
            </w:r>
          </w:p>
        </w:tc>
        <w:tc>
          <w:tcPr>
            <w:tcW w:w="900" w:type="pct"/>
            <w:tcBorders>
              <w:tl2br w:val="nil"/>
              <w:tr2bl w:val="nil"/>
            </w:tcBorders>
            <w:vAlign w:val="center"/>
          </w:tcPr>
          <w:p w14:paraId="64DA1BFB">
            <w:pPr>
              <w:pStyle w:val="41"/>
              <w:rPr>
                <w:color w:val="auto"/>
                <w:highlight w:val="none"/>
              </w:rPr>
            </w:pPr>
            <w:r>
              <w:rPr>
                <w:rFonts w:hint="eastAsia"/>
                <w:color w:val="auto"/>
                <w:highlight w:val="none"/>
              </w:rPr>
              <w:t>60</w:t>
            </w:r>
          </w:p>
        </w:tc>
        <w:tc>
          <w:tcPr>
            <w:tcW w:w="1574" w:type="dxa"/>
            <w:tcBorders>
              <w:tl2br w:val="nil"/>
              <w:tr2bl w:val="nil"/>
            </w:tcBorders>
            <w:vAlign w:val="center"/>
          </w:tcPr>
          <w:p w14:paraId="1E705563">
            <w:pPr>
              <w:pStyle w:val="41"/>
              <w:rPr>
                <w:color w:val="auto"/>
                <w:highlight w:val="none"/>
              </w:rPr>
            </w:pPr>
            <w:r>
              <w:rPr>
                <w:color w:val="auto"/>
                <w:highlight w:val="none"/>
              </w:rPr>
              <w:t xml:space="preserve">108.33 </w:t>
            </w:r>
          </w:p>
        </w:tc>
        <w:tc>
          <w:tcPr>
            <w:tcW w:w="635" w:type="pct"/>
            <w:tcBorders>
              <w:tl2br w:val="nil"/>
              <w:tr2bl w:val="nil"/>
            </w:tcBorders>
            <w:vAlign w:val="center"/>
          </w:tcPr>
          <w:p w14:paraId="56886B57">
            <w:pPr>
              <w:pStyle w:val="41"/>
              <w:rPr>
                <w:color w:val="auto"/>
                <w:highlight w:val="none"/>
              </w:rPr>
            </w:pPr>
            <w:r>
              <w:rPr>
                <w:rFonts w:hint="eastAsia"/>
                <w:color w:val="auto"/>
                <w:highlight w:val="none"/>
              </w:rPr>
              <w:t>超标</w:t>
            </w:r>
          </w:p>
        </w:tc>
      </w:tr>
      <w:tr w14:paraId="4848D3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620" w:type="pct"/>
            <w:tcBorders>
              <w:tl2br w:val="nil"/>
              <w:tr2bl w:val="nil"/>
            </w:tcBorders>
            <w:vAlign w:val="center"/>
          </w:tcPr>
          <w:p w14:paraId="48218349">
            <w:pPr>
              <w:pStyle w:val="41"/>
              <w:rPr>
                <w:color w:val="auto"/>
                <w:highlight w:val="none"/>
              </w:rPr>
            </w:pPr>
            <w:r>
              <w:rPr>
                <w:color w:val="auto"/>
                <w:highlight w:val="none"/>
              </w:rPr>
              <w:t>PM</w:t>
            </w:r>
            <w:r>
              <w:rPr>
                <w:color w:val="auto"/>
                <w:highlight w:val="none"/>
                <w:vertAlign w:val="subscript"/>
              </w:rPr>
              <w:t>2.5</w:t>
            </w:r>
          </w:p>
        </w:tc>
        <w:tc>
          <w:tcPr>
            <w:tcW w:w="946" w:type="pct"/>
            <w:tcBorders>
              <w:tl2br w:val="nil"/>
              <w:tr2bl w:val="nil"/>
            </w:tcBorders>
            <w:vAlign w:val="center"/>
          </w:tcPr>
          <w:p w14:paraId="48B65A3D">
            <w:pPr>
              <w:pStyle w:val="41"/>
              <w:rPr>
                <w:color w:val="auto"/>
                <w:highlight w:val="none"/>
              </w:rPr>
            </w:pPr>
            <w:r>
              <w:rPr>
                <w:color w:val="auto"/>
                <w:highlight w:val="none"/>
              </w:rPr>
              <w:t>年平均值</w:t>
            </w:r>
          </w:p>
        </w:tc>
        <w:tc>
          <w:tcPr>
            <w:tcW w:w="948" w:type="pct"/>
            <w:tcBorders>
              <w:tl2br w:val="nil"/>
              <w:tr2bl w:val="nil"/>
            </w:tcBorders>
            <w:vAlign w:val="center"/>
          </w:tcPr>
          <w:p w14:paraId="16B0C462">
            <w:pPr>
              <w:pStyle w:val="41"/>
              <w:rPr>
                <w:color w:val="auto"/>
                <w:highlight w:val="none"/>
              </w:rPr>
            </w:pPr>
            <w:r>
              <w:rPr>
                <w:rFonts w:hint="eastAsia"/>
                <w:color w:val="auto"/>
                <w:highlight w:val="none"/>
              </w:rPr>
              <w:t>29</w:t>
            </w:r>
          </w:p>
        </w:tc>
        <w:tc>
          <w:tcPr>
            <w:tcW w:w="900" w:type="pct"/>
            <w:tcBorders>
              <w:tl2br w:val="nil"/>
              <w:tr2bl w:val="nil"/>
            </w:tcBorders>
            <w:vAlign w:val="center"/>
          </w:tcPr>
          <w:p w14:paraId="166A9E80">
            <w:pPr>
              <w:pStyle w:val="41"/>
              <w:rPr>
                <w:color w:val="auto"/>
                <w:highlight w:val="none"/>
              </w:rPr>
            </w:pPr>
            <w:r>
              <w:rPr>
                <w:color w:val="auto"/>
                <w:highlight w:val="none"/>
              </w:rPr>
              <w:t>3</w:t>
            </w:r>
            <w:r>
              <w:rPr>
                <w:rFonts w:hint="eastAsia"/>
                <w:color w:val="auto"/>
                <w:highlight w:val="none"/>
              </w:rPr>
              <w:t>0</w:t>
            </w:r>
          </w:p>
        </w:tc>
        <w:tc>
          <w:tcPr>
            <w:tcW w:w="1574" w:type="dxa"/>
            <w:tcBorders>
              <w:tl2br w:val="nil"/>
              <w:tr2bl w:val="nil"/>
            </w:tcBorders>
            <w:vAlign w:val="center"/>
          </w:tcPr>
          <w:p w14:paraId="134F3F23">
            <w:pPr>
              <w:pStyle w:val="41"/>
              <w:rPr>
                <w:color w:val="auto"/>
                <w:highlight w:val="none"/>
              </w:rPr>
            </w:pPr>
            <w:r>
              <w:rPr>
                <w:color w:val="auto"/>
                <w:highlight w:val="none"/>
              </w:rPr>
              <w:t xml:space="preserve">96.67 </w:t>
            </w:r>
          </w:p>
        </w:tc>
        <w:tc>
          <w:tcPr>
            <w:tcW w:w="635" w:type="pct"/>
            <w:tcBorders>
              <w:tl2br w:val="nil"/>
              <w:tr2bl w:val="nil"/>
            </w:tcBorders>
            <w:vAlign w:val="center"/>
          </w:tcPr>
          <w:p w14:paraId="6235E2C0">
            <w:pPr>
              <w:pStyle w:val="41"/>
              <w:rPr>
                <w:color w:val="auto"/>
                <w:highlight w:val="none"/>
              </w:rPr>
            </w:pPr>
            <w:r>
              <w:rPr>
                <w:color w:val="auto"/>
                <w:highlight w:val="none"/>
              </w:rPr>
              <w:t>达标</w:t>
            </w:r>
          </w:p>
        </w:tc>
      </w:tr>
      <w:tr w14:paraId="52C513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620" w:type="pct"/>
            <w:tcBorders>
              <w:tl2br w:val="nil"/>
              <w:tr2bl w:val="nil"/>
            </w:tcBorders>
            <w:vAlign w:val="center"/>
          </w:tcPr>
          <w:p w14:paraId="2CD5FB8F">
            <w:pPr>
              <w:pStyle w:val="41"/>
              <w:rPr>
                <w:color w:val="auto"/>
                <w:highlight w:val="none"/>
              </w:rPr>
            </w:pPr>
            <w:r>
              <w:rPr>
                <w:color w:val="auto"/>
                <w:highlight w:val="none"/>
              </w:rPr>
              <w:t>CO</w:t>
            </w:r>
          </w:p>
        </w:tc>
        <w:tc>
          <w:tcPr>
            <w:tcW w:w="946" w:type="pct"/>
            <w:tcBorders>
              <w:tl2br w:val="nil"/>
              <w:tr2bl w:val="nil"/>
            </w:tcBorders>
            <w:vAlign w:val="center"/>
          </w:tcPr>
          <w:p w14:paraId="28206242">
            <w:pPr>
              <w:pStyle w:val="41"/>
              <w:rPr>
                <w:color w:val="auto"/>
                <w:highlight w:val="none"/>
              </w:rPr>
            </w:pPr>
            <w:r>
              <w:rPr>
                <w:color w:val="auto"/>
                <w:highlight w:val="none"/>
              </w:rPr>
              <w:t>24小时平均第95百分位数</w:t>
            </w:r>
          </w:p>
        </w:tc>
        <w:tc>
          <w:tcPr>
            <w:tcW w:w="948" w:type="pct"/>
            <w:tcBorders>
              <w:tl2br w:val="nil"/>
              <w:tr2bl w:val="nil"/>
            </w:tcBorders>
            <w:vAlign w:val="center"/>
          </w:tcPr>
          <w:p w14:paraId="7D66587D">
            <w:pPr>
              <w:pStyle w:val="41"/>
              <w:rPr>
                <w:color w:val="auto"/>
                <w:highlight w:val="none"/>
              </w:rPr>
            </w:pPr>
            <w:r>
              <w:rPr>
                <w:rFonts w:hint="eastAsia"/>
                <w:color w:val="auto"/>
                <w:highlight w:val="none"/>
              </w:rPr>
              <w:t>1100</w:t>
            </w:r>
          </w:p>
        </w:tc>
        <w:tc>
          <w:tcPr>
            <w:tcW w:w="900" w:type="pct"/>
            <w:tcBorders>
              <w:tl2br w:val="nil"/>
              <w:tr2bl w:val="nil"/>
            </w:tcBorders>
            <w:vAlign w:val="center"/>
          </w:tcPr>
          <w:p w14:paraId="5A5D9D6F">
            <w:pPr>
              <w:pStyle w:val="41"/>
              <w:rPr>
                <w:color w:val="auto"/>
                <w:highlight w:val="none"/>
              </w:rPr>
            </w:pPr>
            <w:r>
              <w:rPr>
                <w:color w:val="auto"/>
                <w:highlight w:val="none"/>
              </w:rPr>
              <w:t>4000</w:t>
            </w:r>
          </w:p>
        </w:tc>
        <w:tc>
          <w:tcPr>
            <w:tcW w:w="1574" w:type="dxa"/>
            <w:tcBorders>
              <w:tl2br w:val="nil"/>
              <w:tr2bl w:val="nil"/>
            </w:tcBorders>
            <w:vAlign w:val="center"/>
          </w:tcPr>
          <w:p w14:paraId="546D8610">
            <w:pPr>
              <w:pStyle w:val="41"/>
              <w:rPr>
                <w:color w:val="auto"/>
                <w:highlight w:val="none"/>
              </w:rPr>
            </w:pPr>
            <w:r>
              <w:rPr>
                <w:color w:val="auto"/>
                <w:highlight w:val="none"/>
              </w:rPr>
              <w:t xml:space="preserve">27.50 </w:t>
            </w:r>
          </w:p>
        </w:tc>
        <w:tc>
          <w:tcPr>
            <w:tcW w:w="635" w:type="pct"/>
            <w:tcBorders>
              <w:tl2br w:val="nil"/>
              <w:tr2bl w:val="nil"/>
            </w:tcBorders>
            <w:vAlign w:val="center"/>
          </w:tcPr>
          <w:p w14:paraId="08BCEC62">
            <w:pPr>
              <w:pStyle w:val="41"/>
              <w:rPr>
                <w:color w:val="auto"/>
                <w:highlight w:val="none"/>
              </w:rPr>
            </w:pPr>
            <w:r>
              <w:rPr>
                <w:color w:val="auto"/>
                <w:highlight w:val="none"/>
              </w:rPr>
              <w:t>达标</w:t>
            </w:r>
          </w:p>
        </w:tc>
      </w:tr>
      <w:tr w14:paraId="28B436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620" w:type="pct"/>
            <w:tcBorders>
              <w:tl2br w:val="nil"/>
              <w:tr2bl w:val="nil"/>
            </w:tcBorders>
            <w:vAlign w:val="center"/>
          </w:tcPr>
          <w:p w14:paraId="6D8B67DA">
            <w:pPr>
              <w:pStyle w:val="41"/>
              <w:rPr>
                <w:color w:val="auto"/>
                <w:highlight w:val="none"/>
              </w:rPr>
            </w:pPr>
            <w:r>
              <w:rPr>
                <w:color w:val="auto"/>
                <w:highlight w:val="none"/>
              </w:rPr>
              <w:t>O</w:t>
            </w:r>
            <w:r>
              <w:rPr>
                <w:color w:val="auto"/>
                <w:highlight w:val="none"/>
                <w:vertAlign w:val="subscript"/>
              </w:rPr>
              <w:t>3</w:t>
            </w:r>
          </w:p>
        </w:tc>
        <w:tc>
          <w:tcPr>
            <w:tcW w:w="946" w:type="pct"/>
            <w:tcBorders>
              <w:tl2br w:val="nil"/>
              <w:tr2bl w:val="nil"/>
            </w:tcBorders>
            <w:vAlign w:val="center"/>
          </w:tcPr>
          <w:p w14:paraId="181C046B">
            <w:pPr>
              <w:pStyle w:val="41"/>
              <w:rPr>
                <w:color w:val="auto"/>
                <w:highlight w:val="none"/>
              </w:rPr>
            </w:pPr>
            <w:r>
              <w:rPr>
                <w:color w:val="auto"/>
                <w:highlight w:val="none"/>
              </w:rPr>
              <w:t>最大8小时平均</w:t>
            </w:r>
          </w:p>
          <w:p w14:paraId="05E237D8">
            <w:pPr>
              <w:pStyle w:val="41"/>
              <w:rPr>
                <w:color w:val="auto"/>
                <w:highlight w:val="none"/>
              </w:rPr>
            </w:pPr>
            <w:r>
              <w:rPr>
                <w:color w:val="auto"/>
                <w:highlight w:val="none"/>
              </w:rPr>
              <w:t>第90百分位数</w:t>
            </w:r>
          </w:p>
        </w:tc>
        <w:tc>
          <w:tcPr>
            <w:tcW w:w="948" w:type="pct"/>
            <w:tcBorders>
              <w:tl2br w:val="nil"/>
              <w:tr2bl w:val="nil"/>
            </w:tcBorders>
            <w:vAlign w:val="center"/>
          </w:tcPr>
          <w:p w14:paraId="52850B12">
            <w:pPr>
              <w:pStyle w:val="41"/>
              <w:rPr>
                <w:color w:val="auto"/>
                <w:highlight w:val="none"/>
              </w:rPr>
            </w:pPr>
            <w:r>
              <w:rPr>
                <w:color w:val="auto"/>
                <w:highlight w:val="none"/>
              </w:rPr>
              <w:t>1</w:t>
            </w:r>
            <w:r>
              <w:rPr>
                <w:rFonts w:hint="eastAsia"/>
                <w:color w:val="auto"/>
                <w:highlight w:val="none"/>
              </w:rPr>
              <w:t>40</w:t>
            </w:r>
          </w:p>
        </w:tc>
        <w:tc>
          <w:tcPr>
            <w:tcW w:w="900" w:type="pct"/>
            <w:tcBorders>
              <w:tl2br w:val="nil"/>
              <w:tr2bl w:val="nil"/>
            </w:tcBorders>
            <w:vAlign w:val="center"/>
          </w:tcPr>
          <w:p w14:paraId="550694D1">
            <w:pPr>
              <w:pStyle w:val="41"/>
              <w:rPr>
                <w:color w:val="auto"/>
                <w:highlight w:val="none"/>
              </w:rPr>
            </w:pPr>
            <w:r>
              <w:rPr>
                <w:color w:val="auto"/>
                <w:highlight w:val="none"/>
              </w:rPr>
              <w:t>160</w:t>
            </w:r>
          </w:p>
        </w:tc>
        <w:tc>
          <w:tcPr>
            <w:tcW w:w="1574" w:type="dxa"/>
            <w:tcBorders>
              <w:tl2br w:val="nil"/>
              <w:tr2bl w:val="nil"/>
            </w:tcBorders>
            <w:vAlign w:val="center"/>
          </w:tcPr>
          <w:p w14:paraId="7888099D">
            <w:pPr>
              <w:pStyle w:val="41"/>
              <w:rPr>
                <w:color w:val="auto"/>
                <w:highlight w:val="none"/>
              </w:rPr>
            </w:pPr>
            <w:r>
              <w:rPr>
                <w:color w:val="auto"/>
                <w:highlight w:val="none"/>
              </w:rPr>
              <w:t xml:space="preserve">87.50 </w:t>
            </w:r>
          </w:p>
        </w:tc>
        <w:tc>
          <w:tcPr>
            <w:tcW w:w="635" w:type="pct"/>
            <w:tcBorders>
              <w:tl2br w:val="nil"/>
              <w:tr2bl w:val="nil"/>
            </w:tcBorders>
            <w:vAlign w:val="center"/>
          </w:tcPr>
          <w:p w14:paraId="15E5B743">
            <w:pPr>
              <w:pStyle w:val="41"/>
              <w:rPr>
                <w:color w:val="auto"/>
                <w:highlight w:val="none"/>
              </w:rPr>
            </w:pPr>
            <w:r>
              <w:rPr>
                <w:color w:val="auto"/>
                <w:highlight w:val="none"/>
              </w:rPr>
              <w:t>达标</w:t>
            </w:r>
          </w:p>
        </w:tc>
      </w:tr>
    </w:tbl>
    <w:p w14:paraId="248D0041">
      <w:pPr>
        <w:pStyle w:val="3"/>
        <w:ind w:firstLine="480"/>
        <w:rPr>
          <w:color w:val="auto"/>
          <w:highlight w:val="none"/>
        </w:rPr>
      </w:pPr>
      <w:r>
        <w:rPr>
          <w:color w:val="auto"/>
          <w:highlight w:val="none"/>
        </w:rPr>
        <w:t>根据《环境影响评价技术导则 大气环境》（HJ2.2-2018）可知，SO</w:t>
      </w:r>
      <w:r>
        <w:rPr>
          <w:color w:val="auto"/>
          <w:highlight w:val="none"/>
          <w:vertAlign w:val="subscript"/>
        </w:rPr>
        <w:t>2</w:t>
      </w:r>
      <w:r>
        <w:rPr>
          <w:color w:val="auto"/>
          <w:highlight w:val="none"/>
        </w:rPr>
        <w:t>、NO</w:t>
      </w:r>
      <w:r>
        <w:rPr>
          <w:color w:val="auto"/>
          <w:highlight w:val="none"/>
          <w:vertAlign w:val="subscript"/>
        </w:rPr>
        <w:t>2</w:t>
      </w:r>
      <w:r>
        <w:rPr>
          <w:color w:val="auto"/>
          <w:highlight w:val="none"/>
        </w:rPr>
        <w:t>、PM</w:t>
      </w:r>
      <w:r>
        <w:rPr>
          <w:color w:val="auto"/>
          <w:highlight w:val="none"/>
          <w:vertAlign w:val="subscript"/>
        </w:rPr>
        <w:t>10</w:t>
      </w:r>
      <w:r>
        <w:rPr>
          <w:color w:val="auto"/>
          <w:highlight w:val="none"/>
        </w:rPr>
        <w:t>、PM</w:t>
      </w:r>
      <w:r>
        <w:rPr>
          <w:color w:val="auto"/>
          <w:highlight w:val="none"/>
          <w:vertAlign w:val="subscript"/>
        </w:rPr>
        <w:t>2.5</w:t>
      </w:r>
      <w:r>
        <w:rPr>
          <w:color w:val="auto"/>
          <w:highlight w:val="none"/>
        </w:rPr>
        <w:t>、CO和O</w:t>
      </w:r>
      <w:r>
        <w:rPr>
          <w:color w:val="auto"/>
          <w:highlight w:val="none"/>
          <w:vertAlign w:val="subscript"/>
        </w:rPr>
        <w:t>3</w:t>
      </w:r>
      <w:r>
        <w:rPr>
          <w:rFonts w:hint="eastAsia"/>
          <w:color w:val="auto"/>
          <w:highlight w:val="none"/>
        </w:rPr>
        <w:t>满足</w:t>
      </w:r>
      <w:r>
        <w:rPr>
          <w:color w:val="auto"/>
          <w:highlight w:val="none"/>
        </w:rPr>
        <w:t>《环境空气质量标准》（GB3095-20</w:t>
      </w:r>
      <w:r>
        <w:rPr>
          <w:rFonts w:hint="eastAsia"/>
          <w:color w:val="auto"/>
          <w:highlight w:val="none"/>
        </w:rPr>
        <w:t>26</w:t>
      </w:r>
      <w:r>
        <w:rPr>
          <w:color w:val="auto"/>
          <w:highlight w:val="none"/>
        </w:rPr>
        <w:t>）中的</w:t>
      </w:r>
      <w:r>
        <w:rPr>
          <w:rFonts w:hint="eastAsia"/>
          <w:color w:val="auto"/>
          <w:highlight w:val="none"/>
          <w:lang w:val="en-US" w:eastAsia="zh-CN"/>
        </w:rPr>
        <w:t>过渡阶段</w:t>
      </w:r>
      <w:r>
        <w:rPr>
          <w:color w:val="auto"/>
          <w:highlight w:val="none"/>
        </w:rPr>
        <w:t>二级标准</w:t>
      </w:r>
      <w:r>
        <w:rPr>
          <w:rFonts w:hint="eastAsia"/>
          <w:color w:val="auto"/>
          <w:highlight w:val="none"/>
        </w:rPr>
        <w:t>要求</w:t>
      </w:r>
      <w:r>
        <w:rPr>
          <w:color w:val="auto"/>
          <w:highlight w:val="none"/>
        </w:rPr>
        <w:t>，</w:t>
      </w:r>
      <w:r>
        <w:rPr>
          <w:rFonts w:hint="eastAsia"/>
          <w:color w:val="auto"/>
          <w:highlight w:val="none"/>
        </w:rPr>
        <w:t>PM</w:t>
      </w:r>
      <w:r>
        <w:rPr>
          <w:rFonts w:hint="eastAsia"/>
          <w:color w:val="auto"/>
          <w:highlight w:val="none"/>
          <w:vertAlign w:val="subscript"/>
        </w:rPr>
        <w:t>10</w:t>
      </w:r>
      <w:r>
        <w:rPr>
          <w:rFonts w:hint="eastAsia"/>
          <w:color w:val="auto"/>
          <w:highlight w:val="none"/>
        </w:rPr>
        <w:t>超过</w:t>
      </w:r>
      <w:r>
        <w:rPr>
          <w:color w:val="auto"/>
          <w:highlight w:val="none"/>
        </w:rPr>
        <w:t>《环境空气质量标准》（GB3095-20</w:t>
      </w:r>
      <w:r>
        <w:rPr>
          <w:rFonts w:hint="eastAsia"/>
          <w:color w:val="auto"/>
          <w:highlight w:val="none"/>
        </w:rPr>
        <w:t>26</w:t>
      </w:r>
      <w:r>
        <w:rPr>
          <w:color w:val="auto"/>
          <w:highlight w:val="none"/>
        </w:rPr>
        <w:t>）中的</w:t>
      </w:r>
      <w:r>
        <w:rPr>
          <w:rFonts w:hint="eastAsia"/>
          <w:color w:val="auto"/>
          <w:highlight w:val="none"/>
          <w:lang w:val="en-US" w:eastAsia="zh-CN"/>
        </w:rPr>
        <w:t>过渡阶段</w:t>
      </w:r>
      <w:r>
        <w:rPr>
          <w:color w:val="auto"/>
          <w:highlight w:val="none"/>
        </w:rPr>
        <w:t>二级标准</w:t>
      </w:r>
      <w:r>
        <w:rPr>
          <w:rFonts w:hint="eastAsia"/>
          <w:color w:val="auto"/>
          <w:highlight w:val="none"/>
        </w:rPr>
        <w:t>要求</w:t>
      </w:r>
      <w:r>
        <w:rPr>
          <w:color w:val="auto"/>
          <w:highlight w:val="none"/>
        </w:rPr>
        <w:t>，阿图什市</w:t>
      </w:r>
      <w:r>
        <w:rPr>
          <w:rFonts w:hint="eastAsia"/>
          <w:color w:val="auto"/>
          <w:highlight w:val="none"/>
        </w:rPr>
        <w:t>大气环境质量超标，属于不达标区，超标原因主要是阿图什地处南疆地区，区域地表植被覆盖度较低，沙尘天气较多等原因造成的</w:t>
      </w:r>
      <w:r>
        <w:rPr>
          <w:color w:val="auto"/>
          <w:highlight w:val="none"/>
        </w:rPr>
        <w:t>。</w:t>
      </w:r>
    </w:p>
    <w:p w14:paraId="504F91E8">
      <w:pPr>
        <w:pStyle w:val="43"/>
        <w:rPr>
          <w:color w:val="auto"/>
          <w:highlight w:val="none"/>
        </w:rPr>
      </w:pPr>
      <w:r>
        <w:rPr>
          <w:color w:val="auto"/>
          <w:highlight w:val="none"/>
        </w:rPr>
        <w:t xml:space="preserve"> 其他污染物环境质量监测</w:t>
      </w:r>
    </w:p>
    <w:p w14:paraId="179D5863">
      <w:pPr>
        <w:pStyle w:val="3"/>
        <w:ind w:firstLine="480"/>
        <w:rPr>
          <w:color w:val="auto"/>
          <w:highlight w:val="none"/>
        </w:rPr>
      </w:pPr>
      <w:r>
        <w:rPr>
          <w:color w:val="auto"/>
          <w:highlight w:val="none"/>
        </w:rPr>
        <w:t>针对其他污染物（TSP）环境质量，本项目采用</w:t>
      </w:r>
      <w:r>
        <w:rPr>
          <w:rFonts w:hint="eastAsia"/>
          <w:color w:val="auto"/>
          <w:highlight w:val="none"/>
        </w:rPr>
        <w:t>新疆锡水金山环境科技有限公司</w:t>
      </w:r>
      <w:r>
        <w:rPr>
          <w:color w:val="auto"/>
          <w:highlight w:val="none"/>
        </w:rPr>
        <w:t>对项目区的实测数据。</w:t>
      </w:r>
    </w:p>
    <w:p w14:paraId="0A547F0C">
      <w:pPr>
        <w:pStyle w:val="3"/>
        <w:ind w:firstLine="480"/>
        <w:rPr>
          <w:color w:val="auto"/>
          <w:highlight w:val="none"/>
        </w:rPr>
      </w:pPr>
      <w:r>
        <w:rPr>
          <w:color w:val="auto"/>
          <w:highlight w:val="none"/>
        </w:rPr>
        <w:t>（1）监测点位</w:t>
      </w:r>
    </w:p>
    <w:p w14:paraId="669AA1DC">
      <w:pPr>
        <w:pStyle w:val="3"/>
        <w:ind w:firstLine="480"/>
        <w:rPr>
          <w:color w:val="auto"/>
          <w:highlight w:val="none"/>
        </w:rPr>
      </w:pPr>
      <w:r>
        <w:rPr>
          <w:color w:val="auto"/>
          <w:highlight w:val="none"/>
        </w:rPr>
        <w:t>监测点位于厂区及厂区下风向，大气监测布点图见图4.2-1。</w:t>
      </w:r>
    </w:p>
    <w:p w14:paraId="55405F18">
      <w:pPr>
        <w:pStyle w:val="3"/>
        <w:ind w:firstLine="480"/>
        <w:rPr>
          <w:color w:val="auto"/>
          <w:highlight w:val="none"/>
        </w:rPr>
      </w:pPr>
      <w:r>
        <w:rPr>
          <w:color w:val="auto"/>
          <w:highlight w:val="none"/>
        </w:rPr>
        <w:t>（2）监测时间及频率</w:t>
      </w:r>
    </w:p>
    <w:p w14:paraId="218D0452">
      <w:pPr>
        <w:pStyle w:val="3"/>
        <w:ind w:firstLine="480"/>
        <w:rPr>
          <w:color w:val="auto"/>
          <w:highlight w:val="none"/>
        </w:rPr>
      </w:pPr>
      <w:r>
        <w:rPr>
          <w:color w:val="auto"/>
          <w:highlight w:val="none"/>
        </w:rPr>
        <w:t>TSP监测时间为202</w:t>
      </w:r>
      <w:r>
        <w:rPr>
          <w:rFonts w:hint="eastAsia"/>
          <w:color w:val="auto"/>
          <w:highlight w:val="none"/>
        </w:rPr>
        <w:t>6</w:t>
      </w:r>
      <w:r>
        <w:rPr>
          <w:color w:val="auto"/>
          <w:highlight w:val="none"/>
        </w:rPr>
        <w:t>年</w:t>
      </w:r>
      <w:r>
        <w:rPr>
          <w:rFonts w:hint="eastAsia"/>
          <w:color w:val="auto"/>
          <w:highlight w:val="none"/>
        </w:rPr>
        <w:t>3</w:t>
      </w:r>
      <w:r>
        <w:rPr>
          <w:color w:val="auto"/>
          <w:highlight w:val="none"/>
        </w:rPr>
        <w:t>月</w:t>
      </w:r>
      <w:r>
        <w:rPr>
          <w:rFonts w:hint="eastAsia"/>
          <w:color w:val="auto"/>
          <w:highlight w:val="none"/>
        </w:rPr>
        <w:t>25</w:t>
      </w:r>
      <w:r>
        <w:rPr>
          <w:color w:val="auto"/>
          <w:highlight w:val="none"/>
        </w:rPr>
        <w:t>日至</w:t>
      </w:r>
      <w:r>
        <w:rPr>
          <w:rFonts w:hint="eastAsia"/>
          <w:color w:val="auto"/>
          <w:highlight w:val="none"/>
        </w:rPr>
        <w:t>4</w:t>
      </w:r>
      <w:r>
        <w:rPr>
          <w:color w:val="auto"/>
          <w:highlight w:val="none"/>
        </w:rPr>
        <w:t>月</w:t>
      </w:r>
      <w:r>
        <w:rPr>
          <w:rFonts w:hint="eastAsia"/>
          <w:color w:val="auto"/>
          <w:highlight w:val="none"/>
        </w:rPr>
        <w:t>1</w:t>
      </w:r>
      <w:r>
        <w:rPr>
          <w:color w:val="auto"/>
          <w:highlight w:val="none"/>
        </w:rPr>
        <w:t>日，连续7天。</w:t>
      </w:r>
    </w:p>
    <w:p w14:paraId="39EB8725">
      <w:pPr>
        <w:pStyle w:val="3"/>
        <w:ind w:firstLine="480"/>
        <w:rPr>
          <w:color w:val="auto"/>
          <w:highlight w:val="none"/>
        </w:rPr>
      </w:pPr>
      <w:r>
        <w:rPr>
          <w:color w:val="auto"/>
          <w:highlight w:val="none"/>
        </w:rPr>
        <w:t>（3）监测项目</w:t>
      </w:r>
    </w:p>
    <w:p w14:paraId="1BAC699D">
      <w:pPr>
        <w:pStyle w:val="3"/>
        <w:ind w:firstLine="480"/>
        <w:rPr>
          <w:color w:val="auto"/>
          <w:highlight w:val="none"/>
        </w:rPr>
      </w:pPr>
      <w:r>
        <w:rPr>
          <w:color w:val="auto"/>
          <w:highlight w:val="none"/>
        </w:rPr>
        <w:t>TSP</w:t>
      </w:r>
      <w:r>
        <w:rPr>
          <w:rFonts w:hint="eastAsia"/>
          <w:color w:val="auto"/>
          <w:highlight w:val="none"/>
        </w:rPr>
        <w:t>。</w:t>
      </w:r>
    </w:p>
    <w:p w14:paraId="405C7757">
      <w:pPr>
        <w:pStyle w:val="3"/>
        <w:ind w:firstLine="480"/>
        <w:rPr>
          <w:color w:val="auto"/>
          <w:highlight w:val="none"/>
        </w:rPr>
      </w:pPr>
      <w:r>
        <w:rPr>
          <w:color w:val="auto"/>
          <w:highlight w:val="none"/>
        </w:rPr>
        <w:t>（4）采样、分析方法</w:t>
      </w:r>
    </w:p>
    <w:p w14:paraId="365B0D23">
      <w:pPr>
        <w:pStyle w:val="3"/>
        <w:ind w:firstLine="480"/>
        <w:rPr>
          <w:color w:val="auto"/>
          <w:highlight w:val="none"/>
        </w:rPr>
      </w:pPr>
      <w:r>
        <w:rPr>
          <w:color w:val="auto"/>
          <w:highlight w:val="none"/>
        </w:rPr>
        <w:t>采样方法按《环境监测技术规范》进行，分析方法按相应的国标或《空气和废气监测分析方法》第四版要求，环境空气污染物监测分析方法见表4.2-2。</w:t>
      </w:r>
    </w:p>
    <w:p w14:paraId="5E13CAF5">
      <w:pPr>
        <w:pStyle w:val="40"/>
        <w:spacing w:before="24" w:after="24"/>
        <w:rPr>
          <w:color w:val="auto"/>
          <w:highlight w:val="none"/>
        </w:rPr>
      </w:pPr>
      <w:r>
        <w:rPr>
          <w:color w:val="auto"/>
          <w:highlight w:val="none"/>
        </w:rPr>
        <w:t>表4.2-2    环境空气分析方法</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51"/>
        <w:gridCol w:w="3899"/>
        <w:gridCol w:w="3357"/>
      </w:tblGrid>
      <w:tr w14:paraId="69487D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pct"/>
            <w:tcBorders>
              <w:tl2br w:val="nil"/>
              <w:tr2bl w:val="nil"/>
            </w:tcBorders>
            <w:vAlign w:val="center"/>
          </w:tcPr>
          <w:p w14:paraId="385E11A4">
            <w:pPr>
              <w:pStyle w:val="41"/>
              <w:rPr>
                <w:color w:val="auto"/>
                <w:highlight w:val="none"/>
              </w:rPr>
            </w:pPr>
            <w:r>
              <w:rPr>
                <w:color w:val="auto"/>
                <w:highlight w:val="none"/>
              </w:rPr>
              <w:t>项目</w:t>
            </w:r>
          </w:p>
        </w:tc>
        <w:tc>
          <w:tcPr>
            <w:tcW w:w="2291" w:type="pct"/>
            <w:tcBorders>
              <w:tl2br w:val="nil"/>
              <w:tr2bl w:val="nil"/>
            </w:tcBorders>
            <w:vAlign w:val="center"/>
          </w:tcPr>
          <w:p w14:paraId="0BD784FE">
            <w:pPr>
              <w:pStyle w:val="41"/>
              <w:rPr>
                <w:color w:val="auto"/>
                <w:highlight w:val="none"/>
              </w:rPr>
            </w:pPr>
            <w:r>
              <w:rPr>
                <w:color w:val="auto"/>
                <w:highlight w:val="none"/>
              </w:rPr>
              <w:t>分析方法</w:t>
            </w:r>
          </w:p>
        </w:tc>
        <w:tc>
          <w:tcPr>
            <w:tcW w:w="1972" w:type="pct"/>
            <w:tcBorders>
              <w:tl2br w:val="nil"/>
              <w:tr2bl w:val="nil"/>
            </w:tcBorders>
            <w:vAlign w:val="center"/>
          </w:tcPr>
          <w:p w14:paraId="6615B187">
            <w:pPr>
              <w:pStyle w:val="41"/>
              <w:rPr>
                <w:color w:val="auto"/>
                <w:highlight w:val="none"/>
              </w:rPr>
            </w:pPr>
            <w:r>
              <w:rPr>
                <w:color w:val="auto"/>
                <w:highlight w:val="none"/>
              </w:rPr>
              <w:t>最低检出限（mg/m</w:t>
            </w:r>
            <w:r>
              <w:rPr>
                <w:color w:val="auto"/>
                <w:highlight w:val="none"/>
                <w:vertAlign w:val="superscript"/>
              </w:rPr>
              <w:t>3</w:t>
            </w:r>
            <w:r>
              <w:rPr>
                <w:color w:val="auto"/>
                <w:highlight w:val="none"/>
              </w:rPr>
              <w:t>）</w:t>
            </w:r>
          </w:p>
        </w:tc>
      </w:tr>
      <w:tr w14:paraId="7DC060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pct"/>
            <w:tcBorders>
              <w:tl2br w:val="nil"/>
              <w:tr2bl w:val="nil"/>
            </w:tcBorders>
            <w:vAlign w:val="center"/>
          </w:tcPr>
          <w:p w14:paraId="1CF63DB4">
            <w:pPr>
              <w:pStyle w:val="41"/>
              <w:rPr>
                <w:color w:val="auto"/>
                <w:highlight w:val="none"/>
              </w:rPr>
            </w:pPr>
            <w:r>
              <w:rPr>
                <w:color w:val="auto"/>
                <w:highlight w:val="none"/>
              </w:rPr>
              <w:t>TSP</w:t>
            </w:r>
          </w:p>
        </w:tc>
        <w:tc>
          <w:tcPr>
            <w:tcW w:w="2291" w:type="pct"/>
            <w:tcBorders>
              <w:tl2br w:val="nil"/>
              <w:tr2bl w:val="nil"/>
            </w:tcBorders>
            <w:vAlign w:val="center"/>
          </w:tcPr>
          <w:p w14:paraId="2DA9D186">
            <w:pPr>
              <w:pStyle w:val="41"/>
              <w:rPr>
                <w:color w:val="auto"/>
                <w:highlight w:val="none"/>
              </w:rPr>
            </w:pPr>
            <w:r>
              <w:rPr>
                <w:color w:val="auto"/>
                <w:highlight w:val="none"/>
              </w:rPr>
              <w:t>重量法</w:t>
            </w:r>
          </w:p>
        </w:tc>
        <w:tc>
          <w:tcPr>
            <w:tcW w:w="1972" w:type="pct"/>
            <w:tcBorders>
              <w:tl2br w:val="nil"/>
              <w:tr2bl w:val="nil"/>
            </w:tcBorders>
            <w:vAlign w:val="center"/>
          </w:tcPr>
          <w:p w14:paraId="66D7BED2">
            <w:pPr>
              <w:pStyle w:val="41"/>
              <w:rPr>
                <w:color w:val="auto"/>
                <w:highlight w:val="none"/>
              </w:rPr>
            </w:pPr>
            <w:r>
              <w:rPr>
                <w:color w:val="auto"/>
                <w:highlight w:val="none"/>
              </w:rPr>
              <w:t>0.001</w:t>
            </w:r>
          </w:p>
        </w:tc>
      </w:tr>
    </w:tbl>
    <w:p w14:paraId="5843AD2D">
      <w:pPr>
        <w:pStyle w:val="3"/>
        <w:ind w:firstLine="480"/>
        <w:rPr>
          <w:color w:val="auto"/>
          <w:highlight w:val="none"/>
        </w:rPr>
      </w:pPr>
      <w:r>
        <w:rPr>
          <w:color w:val="auto"/>
          <w:highlight w:val="none"/>
        </w:rPr>
        <w:t>（5）评价标准</w:t>
      </w:r>
    </w:p>
    <w:p w14:paraId="37576FB0">
      <w:pPr>
        <w:pStyle w:val="3"/>
        <w:ind w:firstLine="480"/>
        <w:rPr>
          <w:color w:val="auto"/>
          <w:highlight w:val="none"/>
        </w:rPr>
      </w:pPr>
      <w:r>
        <w:rPr>
          <w:color w:val="auto"/>
          <w:highlight w:val="none"/>
        </w:rPr>
        <w:t>大气环境质量现状评价采用《环境空气质量标准》（GB3095-20</w:t>
      </w:r>
      <w:r>
        <w:rPr>
          <w:rFonts w:hint="eastAsia"/>
          <w:color w:val="auto"/>
          <w:highlight w:val="none"/>
        </w:rPr>
        <w:t>26</w:t>
      </w:r>
      <w:r>
        <w:rPr>
          <w:color w:val="auto"/>
          <w:highlight w:val="none"/>
        </w:rPr>
        <w:t>）中的二级标准进行，见表4.2-3。</w:t>
      </w:r>
    </w:p>
    <w:p w14:paraId="306492B2">
      <w:pPr>
        <w:pStyle w:val="40"/>
        <w:spacing w:before="24" w:after="24"/>
        <w:rPr>
          <w:color w:val="auto"/>
          <w:highlight w:val="none"/>
        </w:rPr>
      </w:pPr>
      <w:r>
        <w:rPr>
          <w:color w:val="auto"/>
          <w:highlight w:val="none"/>
        </w:rPr>
        <w:t>表4.2-3    大气环境质量标准    单位：mg/m</w:t>
      </w:r>
      <w:r>
        <w:rPr>
          <w:color w:val="auto"/>
          <w:highlight w:val="none"/>
          <w:vertAlign w:val="superscript"/>
        </w:rPr>
        <w:t>3</w:t>
      </w:r>
    </w:p>
    <w:tbl>
      <w:tblPr>
        <w:tblStyle w:val="25"/>
        <w:tblW w:w="499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3051"/>
        <w:gridCol w:w="1222"/>
        <w:gridCol w:w="1602"/>
        <w:gridCol w:w="2447"/>
      </w:tblGrid>
      <w:tr w14:paraId="0FA512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1832" w:type="pct"/>
            <w:tcBorders>
              <w:tl2br w:val="nil"/>
              <w:tr2bl w:val="nil"/>
            </w:tcBorders>
            <w:vAlign w:val="center"/>
          </w:tcPr>
          <w:p w14:paraId="1D5C95C0">
            <w:pPr>
              <w:pStyle w:val="41"/>
              <w:rPr>
                <w:color w:val="auto"/>
                <w:highlight w:val="none"/>
              </w:rPr>
            </w:pPr>
            <w:r>
              <w:rPr>
                <w:color w:val="auto"/>
                <w:highlight w:val="none"/>
              </w:rPr>
              <w:t>标准</w:t>
            </w:r>
          </w:p>
        </w:tc>
        <w:tc>
          <w:tcPr>
            <w:tcW w:w="734" w:type="pct"/>
            <w:tcBorders>
              <w:tl2br w:val="nil"/>
              <w:tr2bl w:val="nil"/>
            </w:tcBorders>
            <w:vAlign w:val="center"/>
          </w:tcPr>
          <w:p w14:paraId="03E9AD7C">
            <w:pPr>
              <w:pStyle w:val="41"/>
              <w:rPr>
                <w:color w:val="auto"/>
                <w:highlight w:val="none"/>
              </w:rPr>
            </w:pPr>
            <w:r>
              <w:rPr>
                <w:color w:val="auto"/>
                <w:highlight w:val="none"/>
              </w:rPr>
              <w:t>污染物称</w:t>
            </w:r>
          </w:p>
        </w:tc>
        <w:tc>
          <w:tcPr>
            <w:tcW w:w="962" w:type="pct"/>
            <w:tcBorders>
              <w:tl2br w:val="nil"/>
              <w:tr2bl w:val="nil"/>
            </w:tcBorders>
            <w:vAlign w:val="center"/>
          </w:tcPr>
          <w:p w14:paraId="36B13382">
            <w:pPr>
              <w:pStyle w:val="41"/>
              <w:rPr>
                <w:color w:val="auto"/>
                <w:highlight w:val="none"/>
              </w:rPr>
            </w:pPr>
            <w:r>
              <w:rPr>
                <w:color w:val="auto"/>
                <w:highlight w:val="none"/>
              </w:rPr>
              <w:t>取值时间</w:t>
            </w:r>
          </w:p>
        </w:tc>
        <w:tc>
          <w:tcPr>
            <w:tcW w:w="1469" w:type="pct"/>
            <w:tcBorders>
              <w:tl2br w:val="nil"/>
              <w:tr2bl w:val="nil"/>
            </w:tcBorders>
            <w:vAlign w:val="center"/>
          </w:tcPr>
          <w:p w14:paraId="4711C450">
            <w:pPr>
              <w:pStyle w:val="41"/>
              <w:rPr>
                <w:color w:val="auto"/>
                <w:highlight w:val="none"/>
              </w:rPr>
            </w:pPr>
            <w:r>
              <w:rPr>
                <w:color w:val="auto"/>
                <w:highlight w:val="none"/>
              </w:rPr>
              <w:t>二级标准浓度限值</w:t>
            </w:r>
          </w:p>
        </w:tc>
      </w:tr>
      <w:tr w14:paraId="006759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1832" w:type="pct"/>
            <w:vMerge w:val="restart"/>
            <w:tcBorders>
              <w:tl2br w:val="nil"/>
              <w:tr2bl w:val="nil"/>
            </w:tcBorders>
            <w:vAlign w:val="center"/>
          </w:tcPr>
          <w:p w14:paraId="4AD0C3E2">
            <w:pPr>
              <w:pStyle w:val="41"/>
              <w:rPr>
                <w:color w:val="auto"/>
                <w:highlight w:val="none"/>
              </w:rPr>
            </w:pPr>
            <w:r>
              <w:rPr>
                <w:color w:val="auto"/>
                <w:highlight w:val="none"/>
              </w:rPr>
              <w:t>《环境空气质量标准》</w:t>
            </w:r>
          </w:p>
          <w:p w14:paraId="45F77FA8">
            <w:pPr>
              <w:pStyle w:val="41"/>
              <w:rPr>
                <w:color w:val="auto"/>
                <w:highlight w:val="none"/>
              </w:rPr>
            </w:pPr>
            <w:r>
              <w:rPr>
                <w:rFonts w:hint="eastAsia"/>
                <w:color w:val="auto"/>
                <w:highlight w:val="none"/>
                <w:lang w:eastAsia="zh-CN"/>
              </w:rPr>
              <w:t>(</w:t>
            </w:r>
            <w:r>
              <w:rPr>
                <w:color w:val="auto"/>
                <w:highlight w:val="none"/>
              </w:rPr>
              <w:t>GB3095-20</w:t>
            </w:r>
            <w:r>
              <w:rPr>
                <w:rFonts w:hint="eastAsia"/>
                <w:color w:val="auto"/>
                <w:highlight w:val="none"/>
              </w:rPr>
              <w:t>26</w:t>
            </w:r>
            <w:r>
              <w:rPr>
                <w:rFonts w:hint="eastAsia"/>
                <w:color w:val="auto"/>
                <w:highlight w:val="none"/>
                <w:lang w:eastAsia="zh-CN"/>
              </w:rPr>
              <w:t>)</w:t>
            </w:r>
          </w:p>
        </w:tc>
        <w:tc>
          <w:tcPr>
            <w:tcW w:w="734" w:type="pct"/>
            <w:vMerge w:val="restart"/>
            <w:tcBorders>
              <w:tl2br w:val="nil"/>
              <w:tr2bl w:val="nil"/>
            </w:tcBorders>
            <w:vAlign w:val="center"/>
          </w:tcPr>
          <w:p w14:paraId="42E91F9B">
            <w:pPr>
              <w:pStyle w:val="41"/>
              <w:rPr>
                <w:color w:val="auto"/>
                <w:highlight w:val="none"/>
              </w:rPr>
            </w:pPr>
            <w:r>
              <w:rPr>
                <w:color w:val="auto"/>
                <w:highlight w:val="none"/>
              </w:rPr>
              <w:t>TSP</w:t>
            </w:r>
          </w:p>
        </w:tc>
        <w:tc>
          <w:tcPr>
            <w:tcW w:w="962" w:type="pct"/>
            <w:tcBorders>
              <w:tl2br w:val="nil"/>
              <w:tr2bl w:val="nil"/>
            </w:tcBorders>
            <w:vAlign w:val="center"/>
          </w:tcPr>
          <w:p w14:paraId="046E5368">
            <w:pPr>
              <w:pStyle w:val="41"/>
              <w:rPr>
                <w:color w:val="auto"/>
                <w:highlight w:val="none"/>
              </w:rPr>
            </w:pPr>
            <w:r>
              <w:rPr>
                <w:color w:val="auto"/>
                <w:highlight w:val="none"/>
              </w:rPr>
              <w:t>年平均</w:t>
            </w:r>
          </w:p>
        </w:tc>
        <w:tc>
          <w:tcPr>
            <w:tcW w:w="1469" w:type="pct"/>
            <w:tcBorders>
              <w:tl2br w:val="nil"/>
              <w:tr2bl w:val="nil"/>
            </w:tcBorders>
            <w:vAlign w:val="center"/>
          </w:tcPr>
          <w:p w14:paraId="178264F2">
            <w:pPr>
              <w:pStyle w:val="41"/>
              <w:rPr>
                <w:color w:val="auto"/>
                <w:highlight w:val="none"/>
              </w:rPr>
            </w:pPr>
            <w:r>
              <w:rPr>
                <w:rFonts w:hint="eastAsia"/>
                <w:color w:val="auto"/>
                <w:highlight w:val="none"/>
              </w:rPr>
              <w:t>200</w:t>
            </w:r>
            <w:r>
              <w:rPr>
                <w:color w:val="auto"/>
                <w:highlight w:val="none"/>
              </w:rPr>
              <w:t>µg/m</w:t>
            </w:r>
            <w:r>
              <w:rPr>
                <w:color w:val="auto"/>
                <w:highlight w:val="none"/>
                <w:vertAlign w:val="superscript"/>
              </w:rPr>
              <w:t>3</w:t>
            </w:r>
          </w:p>
        </w:tc>
      </w:tr>
      <w:tr w14:paraId="5D10CF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1832" w:type="pct"/>
            <w:vMerge w:val="continue"/>
            <w:tcBorders>
              <w:tl2br w:val="nil"/>
              <w:tr2bl w:val="nil"/>
            </w:tcBorders>
            <w:vAlign w:val="center"/>
          </w:tcPr>
          <w:p w14:paraId="17D4F535">
            <w:pPr>
              <w:pStyle w:val="41"/>
              <w:rPr>
                <w:color w:val="auto"/>
                <w:highlight w:val="none"/>
              </w:rPr>
            </w:pPr>
          </w:p>
        </w:tc>
        <w:tc>
          <w:tcPr>
            <w:tcW w:w="734" w:type="pct"/>
            <w:vMerge w:val="continue"/>
            <w:tcBorders>
              <w:tl2br w:val="nil"/>
              <w:tr2bl w:val="nil"/>
            </w:tcBorders>
            <w:vAlign w:val="center"/>
          </w:tcPr>
          <w:p w14:paraId="5FCFAE45">
            <w:pPr>
              <w:pStyle w:val="41"/>
              <w:rPr>
                <w:color w:val="auto"/>
                <w:highlight w:val="none"/>
              </w:rPr>
            </w:pPr>
          </w:p>
        </w:tc>
        <w:tc>
          <w:tcPr>
            <w:tcW w:w="962" w:type="pct"/>
            <w:tcBorders>
              <w:tl2br w:val="nil"/>
              <w:tr2bl w:val="nil"/>
            </w:tcBorders>
            <w:vAlign w:val="center"/>
          </w:tcPr>
          <w:p w14:paraId="3D5D883B">
            <w:pPr>
              <w:pStyle w:val="41"/>
              <w:rPr>
                <w:color w:val="auto"/>
                <w:highlight w:val="none"/>
              </w:rPr>
            </w:pPr>
            <w:r>
              <w:rPr>
                <w:color w:val="auto"/>
                <w:highlight w:val="none"/>
              </w:rPr>
              <w:t>24小时平均</w:t>
            </w:r>
          </w:p>
        </w:tc>
        <w:tc>
          <w:tcPr>
            <w:tcW w:w="1469" w:type="pct"/>
            <w:tcBorders>
              <w:tl2br w:val="nil"/>
              <w:tr2bl w:val="nil"/>
            </w:tcBorders>
            <w:vAlign w:val="center"/>
          </w:tcPr>
          <w:p w14:paraId="48401274">
            <w:pPr>
              <w:pStyle w:val="41"/>
              <w:rPr>
                <w:color w:val="auto"/>
                <w:highlight w:val="none"/>
              </w:rPr>
            </w:pPr>
            <w:r>
              <w:rPr>
                <w:rFonts w:hint="eastAsia"/>
                <w:color w:val="auto"/>
                <w:highlight w:val="none"/>
              </w:rPr>
              <w:t>300</w:t>
            </w:r>
            <w:r>
              <w:rPr>
                <w:color w:val="auto"/>
                <w:highlight w:val="none"/>
              </w:rPr>
              <w:t>µg/m</w:t>
            </w:r>
            <w:r>
              <w:rPr>
                <w:color w:val="auto"/>
                <w:highlight w:val="none"/>
                <w:vertAlign w:val="superscript"/>
              </w:rPr>
              <w:t>3</w:t>
            </w:r>
          </w:p>
        </w:tc>
      </w:tr>
    </w:tbl>
    <w:p w14:paraId="69036EC8">
      <w:pPr>
        <w:pStyle w:val="3"/>
        <w:ind w:firstLine="480"/>
        <w:rPr>
          <w:color w:val="auto"/>
          <w:highlight w:val="none"/>
        </w:rPr>
      </w:pPr>
      <w:r>
        <w:rPr>
          <w:color w:val="auto"/>
          <w:highlight w:val="none"/>
        </w:rPr>
        <w:t>（6）监测及评价结果</w:t>
      </w:r>
    </w:p>
    <w:p w14:paraId="43BDE784">
      <w:pPr>
        <w:pStyle w:val="3"/>
        <w:ind w:firstLine="480"/>
        <w:rPr>
          <w:color w:val="auto"/>
          <w:highlight w:val="none"/>
        </w:rPr>
      </w:pPr>
      <w:r>
        <w:rPr>
          <w:color w:val="auto"/>
          <w:highlight w:val="none"/>
        </w:rPr>
        <w:t>TSP监测及评价结果列于表4.2-4。</w:t>
      </w:r>
    </w:p>
    <w:p w14:paraId="67678C44">
      <w:pPr>
        <w:pStyle w:val="40"/>
        <w:spacing w:before="24" w:after="24"/>
        <w:rPr>
          <w:color w:val="auto"/>
          <w:highlight w:val="none"/>
        </w:rPr>
      </w:pPr>
      <w:r>
        <w:rPr>
          <w:color w:val="auto"/>
          <w:highlight w:val="none"/>
        </w:rPr>
        <w:t>表4.2-4    TSP环境质量现状监测结果及评价结果</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700"/>
        <w:gridCol w:w="1554"/>
        <w:gridCol w:w="1299"/>
        <w:gridCol w:w="1541"/>
        <w:gridCol w:w="1416"/>
      </w:tblGrid>
      <w:tr w14:paraId="0DFE09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86" w:type="pct"/>
            <w:vMerge w:val="restart"/>
            <w:tcBorders>
              <w:tl2br w:val="nil"/>
              <w:tr2bl w:val="nil"/>
            </w:tcBorders>
            <w:vAlign w:val="center"/>
          </w:tcPr>
          <w:p w14:paraId="0A7CFA54">
            <w:pPr>
              <w:pStyle w:val="41"/>
              <w:rPr>
                <w:color w:val="auto"/>
                <w:highlight w:val="none"/>
              </w:rPr>
            </w:pPr>
            <w:r>
              <w:rPr>
                <w:color w:val="auto"/>
                <w:highlight w:val="none"/>
              </w:rPr>
              <w:t>监测时间</w:t>
            </w:r>
          </w:p>
        </w:tc>
        <w:tc>
          <w:tcPr>
            <w:tcW w:w="1676" w:type="pct"/>
            <w:gridSpan w:val="2"/>
            <w:tcBorders>
              <w:tl2br w:val="nil"/>
              <w:tr2bl w:val="nil"/>
            </w:tcBorders>
            <w:vAlign w:val="center"/>
          </w:tcPr>
          <w:p w14:paraId="779C1206">
            <w:pPr>
              <w:pStyle w:val="41"/>
              <w:rPr>
                <w:color w:val="auto"/>
                <w:highlight w:val="none"/>
              </w:rPr>
            </w:pPr>
            <w:r>
              <w:rPr>
                <w:color w:val="auto"/>
                <w:highlight w:val="none"/>
              </w:rPr>
              <w:t>项目区</w:t>
            </w:r>
            <w:r>
              <w:rPr>
                <w:rFonts w:hint="eastAsia"/>
                <w:color w:val="auto"/>
                <w:highlight w:val="none"/>
              </w:rPr>
              <w:t>西南</w:t>
            </w:r>
          </w:p>
        </w:tc>
        <w:tc>
          <w:tcPr>
            <w:tcW w:w="1737" w:type="pct"/>
            <w:gridSpan w:val="2"/>
            <w:tcBorders>
              <w:tl2br w:val="nil"/>
              <w:tr2bl w:val="nil"/>
            </w:tcBorders>
            <w:vAlign w:val="center"/>
          </w:tcPr>
          <w:p w14:paraId="396C6225">
            <w:pPr>
              <w:pStyle w:val="41"/>
              <w:rPr>
                <w:color w:val="auto"/>
                <w:highlight w:val="none"/>
              </w:rPr>
            </w:pPr>
            <w:r>
              <w:rPr>
                <w:rFonts w:hint="eastAsia"/>
                <w:color w:val="auto"/>
                <w:highlight w:val="none"/>
              </w:rPr>
              <w:t>尾矿库</w:t>
            </w:r>
          </w:p>
        </w:tc>
      </w:tr>
      <w:tr w14:paraId="2EF60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86" w:type="pct"/>
            <w:vMerge w:val="continue"/>
            <w:tcBorders>
              <w:tl2br w:val="nil"/>
              <w:tr2bl w:val="nil"/>
            </w:tcBorders>
            <w:vAlign w:val="center"/>
          </w:tcPr>
          <w:p w14:paraId="65CF6C76">
            <w:pPr>
              <w:pStyle w:val="41"/>
              <w:rPr>
                <w:color w:val="auto"/>
                <w:highlight w:val="none"/>
              </w:rPr>
            </w:pPr>
          </w:p>
        </w:tc>
        <w:tc>
          <w:tcPr>
            <w:tcW w:w="913" w:type="pct"/>
            <w:tcBorders>
              <w:tl2br w:val="nil"/>
              <w:tr2bl w:val="nil"/>
            </w:tcBorders>
            <w:vAlign w:val="center"/>
          </w:tcPr>
          <w:p w14:paraId="6180E0E1">
            <w:pPr>
              <w:pStyle w:val="41"/>
              <w:rPr>
                <w:color w:val="auto"/>
                <w:highlight w:val="none"/>
              </w:rPr>
            </w:pPr>
            <w:r>
              <w:rPr>
                <w:color w:val="auto"/>
                <w:highlight w:val="none"/>
              </w:rPr>
              <w:t>日均值µg/m</w:t>
            </w:r>
            <w:r>
              <w:rPr>
                <w:color w:val="auto"/>
                <w:highlight w:val="none"/>
                <w:vertAlign w:val="superscript"/>
              </w:rPr>
              <w:t>3</w:t>
            </w:r>
          </w:p>
        </w:tc>
        <w:tc>
          <w:tcPr>
            <w:tcW w:w="763" w:type="pct"/>
            <w:tcBorders>
              <w:tl2br w:val="nil"/>
              <w:tr2bl w:val="nil"/>
            </w:tcBorders>
            <w:vAlign w:val="center"/>
          </w:tcPr>
          <w:p w14:paraId="283FF4CD">
            <w:pPr>
              <w:pStyle w:val="41"/>
              <w:rPr>
                <w:color w:val="auto"/>
                <w:highlight w:val="none"/>
              </w:rPr>
            </w:pPr>
            <w:r>
              <w:rPr>
                <w:color w:val="auto"/>
                <w:highlight w:val="none"/>
              </w:rPr>
              <w:t>占标率</w:t>
            </w:r>
          </w:p>
        </w:tc>
        <w:tc>
          <w:tcPr>
            <w:tcW w:w="905" w:type="pct"/>
            <w:tcBorders>
              <w:tl2br w:val="nil"/>
              <w:tr2bl w:val="nil"/>
            </w:tcBorders>
            <w:vAlign w:val="center"/>
          </w:tcPr>
          <w:p w14:paraId="389F26E1">
            <w:pPr>
              <w:pStyle w:val="41"/>
              <w:rPr>
                <w:color w:val="auto"/>
                <w:highlight w:val="none"/>
              </w:rPr>
            </w:pPr>
            <w:r>
              <w:rPr>
                <w:color w:val="auto"/>
                <w:highlight w:val="none"/>
              </w:rPr>
              <w:t>日均值µg/m</w:t>
            </w:r>
            <w:r>
              <w:rPr>
                <w:color w:val="auto"/>
                <w:highlight w:val="none"/>
                <w:vertAlign w:val="superscript"/>
              </w:rPr>
              <w:t>3</w:t>
            </w:r>
          </w:p>
        </w:tc>
        <w:tc>
          <w:tcPr>
            <w:tcW w:w="831" w:type="pct"/>
            <w:tcBorders>
              <w:tl2br w:val="nil"/>
              <w:tr2bl w:val="nil"/>
            </w:tcBorders>
            <w:vAlign w:val="center"/>
          </w:tcPr>
          <w:p w14:paraId="4CA34760">
            <w:pPr>
              <w:pStyle w:val="41"/>
              <w:rPr>
                <w:color w:val="auto"/>
                <w:highlight w:val="none"/>
              </w:rPr>
            </w:pPr>
            <w:r>
              <w:rPr>
                <w:color w:val="auto"/>
                <w:highlight w:val="none"/>
              </w:rPr>
              <w:t>占标率</w:t>
            </w:r>
          </w:p>
        </w:tc>
      </w:tr>
      <w:tr w14:paraId="570E8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86" w:type="pct"/>
            <w:tcBorders>
              <w:tl2br w:val="nil"/>
              <w:tr2bl w:val="nil"/>
            </w:tcBorders>
            <w:vAlign w:val="center"/>
          </w:tcPr>
          <w:p w14:paraId="303F4165">
            <w:pPr>
              <w:pStyle w:val="41"/>
              <w:rPr>
                <w:color w:val="auto"/>
                <w:highlight w:val="none"/>
              </w:rPr>
            </w:pPr>
            <w:r>
              <w:rPr>
                <w:rFonts w:hint="eastAsia"/>
                <w:color w:val="auto"/>
                <w:highlight w:val="none"/>
              </w:rPr>
              <w:t>2026年3月25日</w:t>
            </w:r>
            <w:r>
              <w:rPr>
                <w:rFonts w:hint="eastAsia"/>
                <w:color w:val="auto"/>
                <w:highlight w:val="none"/>
                <w:lang w:eastAsia="zh-CN"/>
              </w:rPr>
              <w:t>—</w:t>
            </w:r>
            <w:r>
              <w:rPr>
                <w:rFonts w:hint="eastAsia"/>
                <w:color w:val="auto"/>
                <w:highlight w:val="none"/>
              </w:rPr>
              <w:t>26日</w:t>
            </w:r>
          </w:p>
        </w:tc>
        <w:tc>
          <w:tcPr>
            <w:tcW w:w="913" w:type="pct"/>
            <w:tcBorders>
              <w:tl2br w:val="nil"/>
              <w:tr2bl w:val="nil"/>
            </w:tcBorders>
            <w:vAlign w:val="center"/>
          </w:tcPr>
          <w:p w14:paraId="05BC8800">
            <w:pPr>
              <w:pStyle w:val="41"/>
              <w:rPr>
                <w:color w:val="auto"/>
                <w:highlight w:val="none"/>
              </w:rPr>
            </w:pPr>
            <w:r>
              <w:rPr>
                <w:rFonts w:hint="eastAsia"/>
                <w:color w:val="auto"/>
                <w:highlight w:val="none"/>
              </w:rPr>
              <w:t>157</w:t>
            </w:r>
          </w:p>
        </w:tc>
        <w:tc>
          <w:tcPr>
            <w:tcW w:w="1299" w:type="dxa"/>
            <w:tcBorders>
              <w:tl2br w:val="nil"/>
              <w:tr2bl w:val="nil"/>
            </w:tcBorders>
            <w:vAlign w:val="bottom"/>
          </w:tcPr>
          <w:p w14:paraId="2CBA2658">
            <w:pPr>
              <w:pStyle w:val="41"/>
              <w:rPr>
                <w:color w:val="auto"/>
                <w:highlight w:val="none"/>
              </w:rPr>
            </w:pPr>
            <w:r>
              <w:rPr>
                <w:rFonts w:hint="eastAsia"/>
                <w:color w:val="auto"/>
                <w:highlight w:val="none"/>
              </w:rPr>
              <w:t xml:space="preserve">52.33 </w:t>
            </w:r>
          </w:p>
        </w:tc>
        <w:tc>
          <w:tcPr>
            <w:tcW w:w="905" w:type="pct"/>
            <w:tcBorders>
              <w:tl2br w:val="nil"/>
              <w:tr2bl w:val="nil"/>
            </w:tcBorders>
            <w:vAlign w:val="center"/>
          </w:tcPr>
          <w:p w14:paraId="7C5DB63D">
            <w:pPr>
              <w:pStyle w:val="41"/>
              <w:rPr>
                <w:color w:val="auto"/>
                <w:highlight w:val="none"/>
              </w:rPr>
            </w:pPr>
            <w:r>
              <w:rPr>
                <w:rFonts w:hint="eastAsia"/>
                <w:color w:val="auto"/>
                <w:highlight w:val="none"/>
              </w:rPr>
              <w:t>160</w:t>
            </w:r>
          </w:p>
        </w:tc>
        <w:tc>
          <w:tcPr>
            <w:tcW w:w="1416" w:type="dxa"/>
            <w:tcBorders>
              <w:tl2br w:val="nil"/>
              <w:tr2bl w:val="nil"/>
            </w:tcBorders>
            <w:vAlign w:val="bottom"/>
          </w:tcPr>
          <w:p w14:paraId="32252BCF">
            <w:pPr>
              <w:pStyle w:val="41"/>
              <w:rPr>
                <w:color w:val="auto"/>
                <w:highlight w:val="none"/>
              </w:rPr>
            </w:pPr>
            <w:r>
              <w:rPr>
                <w:rFonts w:hint="eastAsia"/>
                <w:color w:val="auto"/>
                <w:highlight w:val="none"/>
              </w:rPr>
              <w:t xml:space="preserve">0.53 </w:t>
            </w:r>
          </w:p>
        </w:tc>
      </w:tr>
      <w:tr w14:paraId="3EB760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86" w:type="pct"/>
            <w:tcBorders>
              <w:tl2br w:val="nil"/>
              <w:tr2bl w:val="nil"/>
            </w:tcBorders>
            <w:vAlign w:val="center"/>
          </w:tcPr>
          <w:p w14:paraId="62B28F8B">
            <w:pPr>
              <w:pStyle w:val="41"/>
              <w:rPr>
                <w:color w:val="auto"/>
                <w:highlight w:val="none"/>
              </w:rPr>
            </w:pPr>
            <w:r>
              <w:rPr>
                <w:rFonts w:hint="eastAsia"/>
                <w:color w:val="auto"/>
                <w:highlight w:val="none"/>
              </w:rPr>
              <w:t>2026年3月26日</w:t>
            </w:r>
            <w:r>
              <w:rPr>
                <w:rFonts w:hint="eastAsia"/>
                <w:color w:val="auto"/>
                <w:highlight w:val="none"/>
                <w:lang w:eastAsia="zh-CN"/>
              </w:rPr>
              <w:t>—</w:t>
            </w:r>
            <w:r>
              <w:rPr>
                <w:rFonts w:hint="eastAsia"/>
                <w:color w:val="auto"/>
                <w:highlight w:val="none"/>
              </w:rPr>
              <w:t>27日</w:t>
            </w:r>
          </w:p>
        </w:tc>
        <w:tc>
          <w:tcPr>
            <w:tcW w:w="913" w:type="pct"/>
            <w:tcBorders>
              <w:tl2br w:val="nil"/>
              <w:tr2bl w:val="nil"/>
            </w:tcBorders>
            <w:vAlign w:val="center"/>
          </w:tcPr>
          <w:p w14:paraId="7739B62A">
            <w:pPr>
              <w:pStyle w:val="41"/>
              <w:rPr>
                <w:color w:val="auto"/>
                <w:highlight w:val="none"/>
              </w:rPr>
            </w:pPr>
            <w:r>
              <w:rPr>
                <w:rFonts w:hint="eastAsia"/>
                <w:color w:val="auto"/>
                <w:highlight w:val="none"/>
              </w:rPr>
              <w:t>173</w:t>
            </w:r>
          </w:p>
        </w:tc>
        <w:tc>
          <w:tcPr>
            <w:tcW w:w="1299" w:type="dxa"/>
            <w:tcBorders>
              <w:tl2br w:val="nil"/>
              <w:tr2bl w:val="nil"/>
            </w:tcBorders>
            <w:vAlign w:val="bottom"/>
          </w:tcPr>
          <w:p w14:paraId="7C0E4DF5">
            <w:pPr>
              <w:pStyle w:val="41"/>
              <w:rPr>
                <w:color w:val="auto"/>
                <w:highlight w:val="none"/>
              </w:rPr>
            </w:pPr>
            <w:r>
              <w:rPr>
                <w:rFonts w:hint="eastAsia"/>
                <w:color w:val="auto"/>
                <w:highlight w:val="none"/>
              </w:rPr>
              <w:t xml:space="preserve">57.67 </w:t>
            </w:r>
          </w:p>
        </w:tc>
        <w:tc>
          <w:tcPr>
            <w:tcW w:w="905" w:type="pct"/>
            <w:tcBorders>
              <w:tl2br w:val="nil"/>
              <w:tr2bl w:val="nil"/>
            </w:tcBorders>
            <w:vAlign w:val="center"/>
          </w:tcPr>
          <w:p w14:paraId="4BD1B500">
            <w:pPr>
              <w:pStyle w:val="41"/>
              <w:rPr>
                <w:color w:val="auto"/>
                <w:highlight w:val="none"/>
              </w:rPr>
            </w:pPr>
            <w:r>
              <w:rPr>
                <w:rFonts w:hint="eastAsia"/>
                <w:color w:val="auto"/>
                <w:highlight w:val="none"/>
              </w:rPr>
              <w:t>168</w:t>
            </w:r>
          </w:p>
        </w:tc>
        <w:tc>
          <w:tcPr>
            <w:tcW w:w="1416" w:type="dxa"/>
            <w:tcBorders>
              <w:tl2br w:val="nil"/>
              <w:tr2bl w:val="nil"/>
            </w:tcBorders>
            <w:vAlign w:val="bottom"/>
          </w:tcPr>
          <w:p w14:paraId="4719AAB9">
            <w:pPr>
              <w:pStyle w:val="41"/>
              <w:rPr>
                <w:color w:val="auto"/>
                <w:highlight w:val="none"/>
              </w:rPr>
            </w:pPr>
            <w:r>
              <w:rPr>
                <w:rFonts w:hint="eastAsia"/>
                <w:color w:val="auto"/>
                <w:highlight w:val="none"/>
              </w:rPr>
              <w:t xml:space="preserve">0.56 </w:t>
            </w:r>
          </w:p>
        </w:tc>
      </w:tr>
      <w:tr w14:paraId="194D6D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86" w:type="pct"/>
            <w:tcBorders>
              <w:tl2br w:val="nil"/>
              <w:tr2bl w:val="nil"/>
            </w:tcBorders>
            <w:vAlign w:val="center"/>
          </w:tcPr>
          <w:p w14:paraId="1BF88B81">
            <w:pPr>
              <w:pStyle w:val="41"/>
              <w:rPr>
                <w:color w:val="auto"/>
                <w:highlight w:val="none"/>
              </w:rPr>
            </w:pPr>
            <w:r>
              <w:rPr>
                <w:rFonts w:hint="eastAsia"/>
                <w:color w:val="auto"/>
                <w:highlight w:val="none"/>
              </w:rPr>
              <w:t>2026年3月27日</w:t>
            </w:r>
            <w:r>
              <w:rPr>
                <w:rFonts w:hint="eastAsia"/>
                <w:color w:val="auto"/>
                <w:highlight w:val="none"/>
                <w:lang w:eastAsia="zh-CN"/>
              </w:rPr>
              <w:t>—</w:t>
            </w:r>
            <w:r>
              <w:rPr>
                <w:rFonts w:hint="eastAsia"/>
                <w:color w:val="auto"/>
                <w:highlight w:val="none"/>
              </w:rPr>
              <w:t>28日</w:t>
            </w:r>
          </w:p>
        </w:tc>
        <w:tc>
          <w:tcPr>
            <w:tcW w:w="913" w:type="pct"/>
            <w:tcBorders>
              <w:tl2br w:val="nil"/>
              <w:tr2bl w:val="nil"/>
            </w:tcBorders>
            <w:vAlign w:val="center"/>
          </w:tcPr>
          <w:p w14:paraId="290CA4CA">
            <w:pPr>
              <w:pStyle w:val="41"/>
              <w:rPr>
                <w:color w:val="auto"/>
                <w:highlight w:val="none"/>
              </w:rPr>
            </w:pPr>
            <w:r>
              <w:rPr>
                <w:rFonts w:hint="eastAsia"/>
                <w:color w:val="auto"/>
                <w:highlight w:val="none"/>
              </w:rPr>
              <w:t>277</w:t>
            </w:r>
          </w:p>
        </w:tc>
        <w:tc>
          <w:tcPr>
            <w:tcW w:w="1299" w:type="dxa"/>
            <w:tcBorders>
              <w:tl2br w:val="nil"/>
              <w:tr2bl w:val="nil"/>
            </w:tcBorders>
            <w:vAlign w:val="bottom"/>
          </w:tcPr>
          <w:p w14:paraId="651A9373">
            <w:pPr>
              <w:pStyle w:val="41"/>
              <w:rPr>
                <w:color w:val="auto"/>
                <w:highlight w:val="none"/>
              </w:rPr>
            </w:pPr>
            <w:r>
              <w:rPr>
                <w:rFonts w:hint="eastAsia"/>
                <w:color w:val="auto"/>
                <w:highlight w:val="none"/>
              </w:rPr>
              <w:t xml:space="preserve">92.33 </w:t>
            </w:r>
          </w:p>
        </w:tc>
        <w:tc>
          <w:tcPr>
            <w:tcW w:w="905" w:type="pct"/>
            <w:tcBorders>
              <w:tl2br w:val="nil"/>
              <w:tr2bl w:val="nil"/>
            </w:tcBorders>
            <w:vAlign w:val="center"/>
          </w:tcPr>
          <w:p w14:paraId="47979A37">
            <w:pPr>
              <w:pStyle w:val="41"/>
              <w:rPr>
                <w:color w:val="auto"/>
                <w:highlight w:val="none"/>
              </w:rPr>
            </w:pPr>
            <w:r>
              <w:rPr>
                <w:rFonts w:hint="eastAsia"/>
                <w:color w:val="auto"/>
                <w:highlight w:val="none"/>
              </w:rPr>
              <w:t>279</w:t>
            </w:r>
          </w:p>
        </w:tc>
        <w:tc>
          <w:tcPr>
            <w:tcW w:w="1416" w:type="dxa"/>
            <w:tcBorders>
              <w:tl2br w:val="nil"/>
              <w:tr2bl w:val="nil"/>
            </w:tcBorders>
            <w:vAlign w:val="bottom"/>
          </w:tcPr>
          <w:p w14:paraId="1E03F7FD">
            <w:pPr>
              <w:pStyle w:val="41"/>
              <w:rPr>
                <w:color w:val="auto"/>
                <w:highlight w:val="none"/>
              </w:rPr>
            </w:pPr>
            <w:r>
              <w:rPr>
                <w:rFonts w:hint="eastAsia"/>
                <w:color w:val="auto"/>
                <w:highlight w:val="none"/>
              </w:rPr>
              <w:t xml:space="preserve">0.93 </w:t>
            </w:r>
          </w:p>
        </w:tc>
      </w:tr>
      <w:tr w14:paraId="40034F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86" w:type="pct"/>
            <w:tcBorders>
              <w:tl2br w:val="nil"/>
              <w:tr2bl w:val="nil"/>
            </w:tcBorders>
            <w:vAlign w:val="center"/>
          </w:tcPr>
          <w:p w14:paraId="4A77DAC7">
            <w:pPr>
              <w:pStyle w:val="41"/>
              <w:rPr>
                <w:color w:val="auto"/>
                <w:highlight w:val="none"/>
              </w:rPr>
            </w:pPr>
            <w:r>
              <w:rPr>
                <w:rFonts w:hint="eastAsia"/>
                <w:color w:val="auto"/>
                <w:highlight w:val="none"/>
              </w:rPr>
              <w:t>2026年3月28日</w:t>
            </w:r>
            <w:r>
              <w:rPr>
                <w:rFonts w:hint="eastAsia"/>
                <w:color w:val="auto"/>
                <w:highlight w:val="none"/>
                <w:lang w:eastAsia="zh-CN"/>
              </w:rPr>
              <w:t>—</w:t>
            </w:r>
            <w:r>
              <w:rPr>
                <w:rFonts w:hint="eastAsia"/>
                <w:color w:val="auto"/>
                <w:highlight w:val="none"/>
              </w:rPr>
              <w:t>29日</w:t>
            </w:r>
          </w:p>
        </w:tc>
        <w:tc>
          <w:tcPr>
            <w:tcW w:w="913" w:type="pct"/>
            <w:tcBorders>
              <w:tl2br w:val="nil"/>
              <w:tr2bl w:val="nil"/>
            </w:tcBorders>
            <w:vAlign w:val="center"/>
          </w:tcPr>
          <w:p w14:paraId="7310EC71">
            <w:pPr>
              <w:pStyle w:val="41"/>
              <w:rPr>
                <w:color w:val="auto"/>
                <w:highlight w:val="none"/>
              </w:rPr>
            </w:pPr>
            <w:r>
              <w:rPr>
                <w:rFonts w:hint="eastAsia"/>
                <w:color w:val="auto"/>
                <w:highlight w:val="none"/>
              </w:rPr>
              <w:t>224</w:t>
            </w:r>
          </w:p>
        </w:tc>
        <w:tc>
          <w:tcPr>
            <w:tcW w:w="1299" w:type="dxa"/>
            <w:tcBorders>
              <w:tl2br w:val="nil"/>
              <w:tr2bl w:val="nil"/>
            </w:tcBorders>
            <w:vAlign w:val="bottom"/>
          </w:tcPr>
          <w:p w14:paraId="6B4B9752">
            <w:pPr>
              <w:pStyle w:val="41"/>
              <w:rPr>
                <w:color w:val="auto"/>
                <w:highlight w:val="none"/>
              </w:rPr>
            </w:pPr>
            <w:r>
              <w:rPr>
                <w:rFonts w:hint="eastAsia"/>
                <w:color w:val="auto"/>
                <w:highlight w:val="none"/>
              </w:rPr>
              <w:t xml:space="preserve">74.67 </w:t>
            </w:r>
          </w:p>
        </w:tc>
        <w:tc>
          <w:tcPr>
            <w:tcW w:w="905" w:type="pct"/>
            <w:tcBorders>
              <w:tl2br w:val="nil"/>
              <w:tr2bl w:val="nil"/>
            </w:tcBorders>
            <w:vAlign w:val="center"/>
          </w:tcPr>
          <w:p w14:paraId="4DF910C3">
            <w:pPr>
              <w:pStyle w:val="41"/>
              <w:rPr>
                <w:color w:val="auto"/>
                <w:highlight w:val="none"/>
              </w:rPr>
            </w:pPr>
            <w:r>
              <w:rPr>
                <w:rFonts w:hint="eastAsia"/>
                <w:color w:val="auto"/>
                <w:highlight w:val="none"/>
              </w:rPr>
              <w:t>230</w:t>
            </w:r>
          </w:p>
        </w:tc>
        <w:tc>
          <w:tcPr>
            <w:tcW w:w="1416" w:type="dxa"/>
            <w:tcBorders>
              <w:tl2br w:val="nil"/>
              <w:tr2bl w:val="nil"/>
            </w:tcBorders>
            <w:vAlign w:val="bottom"/>
          </w:tcPr>
          <w:p w14:paraId="6704D8F0">
            <w:pPr>
              <w:pStyle w:val="41"/>
              <w:rPr>
                <w:color w:val="auto"/>
                <w:highlight w:val="none"/>
              </w:rPr>
            </w:pPr>
            <w:r>
              <w:rPr>
                <w:rFonts w:hint="eastAsia"/>
                <w:color w:val="auto"/>
                <w:highlight w:val="none"/>
              </w:rPr>
              <w:t xml:space="preserve">0.77 </w:t>
            </w:r>
          </w:p>
        </w:tc>
      </w:tr>
      <w:tr w14:paraId="549B11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86" w:type="pct"/>
            <w:tcBorders>
              <w:tl2br w:val="nil"/>
              <w:tr2bl w:val="nil"/>
            </w:tcBorders>
            <w:vAlign w:val="center"/>
          </w:tcPr>
          <w:p w14:paraId="5A1537B4">
            <w:pPr>
              <w:pStyle w:val="41"/>
              <w:rPr>
                <w:color w:val="auto"/>
                <w:highlight w:val="none"/>
              </w:rPr>
            </w:pPr>
            <w:r>
              <w:rPr>
                <w:rFonts w:hint="eastAsia"/>
                <w:color w:val="auto"/>
                <w:highlight w:val="none"/>
              </w:rPr>
              <w:t>2026年3月29日</w:t>
            </w:r>
            <w:r>
              <w:rPr>
                <w:rFonts w:hint="eastAsia"/>
                <w:color w:val="auto"/>
                <w:highlight w:val="none"/>
                <w:lang w:eastAsia="zh-CN"/>
              </w:rPr>
              <w:t>—</w:t>
            </w:r>
            <w:r>
              <w:rPr>
                <w:rFonts w:hint="eastAsia"/>
                <w:color w:val="auto"/>
                <w:highlight w:val="none"/>
              </w:rPr>
              <w:t>30日</w:t>
            </w:r>
          </w:p>
        </w:tc>
        <w:tc>
          <w:tcPr>
            <w:tcW w:w="913" w:type="pct"/>
            <w:tcBorders>
              <w:tl2br w:val="nil"/>
              <w:tr2bl w:val="nil"/>
            </w:tcBorders>
            <w:vAlign w:val="center"/>
          </w:tcPr>
          <w:p w14:paraId="7B06DEA3">
            <w:pPr>
              <w:pStyle w:val="41"/>
              <w:rPr>
                <w:color w:val="auto"/>
                <w:highlight w:val="none"/>
              </w:rPr>
            </w:pPr>
            <w:r>
              <w:rPr>
                <w:rFonts w:hint="eastAsia"/>
                <w:color w:val="auto"/>
                <w:highlight w:val="none"/>
              </w:rPr>
              <w:t>183</w:t>
            </w:r>
          </w:p>
        </w:tc>
        <w:tc>
          <w:tcPr>
            <w:tcW w:w="1299" w:type="dxa"/>
            <w:tcBorders>
              <w:tl2br w:val="nil"/>
              <w:tr2bl w:val="nil"/>
            </w:tcBorders>
            <w:vAlign w:val="bottom"/>
          </w:tcPr>
          <w:p w14:paraId="519802C8">
            <w:pPr>
              <w:pStyle w:val="41"/>
              <w:rPr>
                <w:color w:val="auto"/>
                <w:highlight w:val="none"/>
              </w:rPr>
            </w:pPr>
            <w:r>
              <w:rPr>
                <w:rFonts w:hint="eastAsia"/>
                <w:color w:val="auto"/>
                <w:highlight w:val="none"/>
              </w:rPr>
              <w:t xml:space="preserve">61.00 </w:t>
            </w:r>
          </w:p>
        </w:tc>
        <w:tc>
          <w:tcPr>
            <w:tcW w:w="905" w:type="pct"/>
            <w:tcBorders>
              <w:tl2br w:val="nil"/>
              <w:tr2bl w:val="nil"/>
            </w:tcBorders>
            <w:vAlign w:val="center"/>
          </w:tcPr>
          <w:p w14:paraId="4FAF9E54">
            <w:pPr>
              <w:pStyle w:val="41"/>
              <w:rPr>
                <w:color w:val="auto"/>
                <w:highlight w:val="none"/>
              </w:rPr>
            </w:pPr>
            <w:r>
              <w:rPr>
                <w:rFonts w:hint="eastAsia"/>
                <w:color w:val="auto"/>
                <w:highlight w:val="none"/>
              </w:rPr>
              <w:t>180</w:t>
            </w:r>
          </w:p>
        </w:tc>
        <w:tc>
          <w:tcPr>
            <w:tcW w:w="1416" w:type="dxa"/>
            <w:tcBorders>
              <w:tl2br w:val="nil"/>
              <w:tr2bl w:val="nil"/>
            </w:tcBorders>
            <w:vAlign w:val="bottom"/>
          </w:tcPr>
          <w:p w14:paraId="1F59D708">
            <w:pPr>
              <w:pStyle w:val="41"/>
              <w:rPr>
                <w:color w:val="auto"/>
                <w:highlight w:val="none"/>
              </w:rPr>
            </w:pPr>
            <w:r>
              <w:rPr>
                <w:rFonts w:hint="eastAsia"/>
                <w:color w:val="auto"/>
                <w:highlight w:val="none"/>
              </w:rPr>
              <w:t xml:space="preserve">0.60 </w:t>
            </w:r>
          </w:p>
        </w:tc>
      </w:tr>
      <w:tr w14:paraId="0981EC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86" w:type="pct"/>
            <w:tcBorders>
              <w:tl2br w:val="nil"/>
              <w:tr2bl w:val="nil"/>
            </w:tcBorders>
            <w:vAlign w:val="center"/>
          </w:tcPr>
          <w:p w14:paraId="5BFDC256">
            <w:pPr>
              <w:pStyle w:val="41"/>
              <w:rPr>
                <w:color w:val="auto"/>
                <w:highlight w:val="none"/>
              </w:rPr>
            </w:pPr>
            <w:r>
              <w:rPr>
                <w:rFonts w:hint="eastAsia"/>
                <w:color w:val="auto"/>
                <w:highlight w:val="none"/>
              </w:rPr>
              <w:t>2026年3月30日</w:t>
            </w:r>
            <w:r>
              <w:rPr>
                <w:rFonts w:hint="eastAsia"/>
                <w:color w:val="auto"/>
                <w:highlight w:val="none"/>
                <w:lang w:eastAsia="zh-CN"/>
              </w:rPr>
              <w:t>—</w:t>
            </w:r>
            <w:r>
              <w:rPr>
                <w:rFonts w:hint="eastAsia"/>
                <w:color w:val="auto"/>
                <w:highlight w:val="none"/>
              </w:rPr>
              <w:t>31日</w:t>
            </w:r>
          </w:p>
        </w:tc>
        <w:tc>
          <w:tcPr>
            <w:tcW w:w="913" w:type="pct"/>
            <w:tcBorders>
              <w:tl2br w:val="nil"/>
              <w:tr2bl w:val="nil"/>
            </w:tcBorders>
            <w:vAlign w:val="center"/>
          </w:tcPr>
          <w:p w14:paraId="31155534">
            <w:pPr>
              <w:pStyle w:val="41"/>
              <w:rPr>
                <w:color w:val="auto"/>
                <w:highlight w:val="none"/>
              </w:rPr>
            </w:pPr>
            <w:r>
              <w:rPr>
                <w:rFonts w:hint="eastAsia"/>
                <w:color w:val="auto"/>
                <w:highlight w:val="none"/>
              </w:rPr>
              <w:t>270</w:t>
            </w:r>
          </w:p>
        </w:tc>
        <w:tc>
          <w:tcPr>
            <w:tcW w:w="1299" w:type="dxa"/>
            <w:tcBorders>
              <w:tl2br w:val="nil"/>
              <w:tr2bl w:val="nil"/>
            </w:tcBorders>
            <w:vAlign w:val="bottom"/>
          </w:tcPr>
          <w:p w14:paraId="1A727E50">
            <w:pPr>
              <w:pStyle w:val="41"/>
              <w:rPr>
                <w:color w:val="auto"/>
                <w:highlight w:val="none"/>
              </w:rPr>
            </w:pPr>
            <w:r>
              <w:rPr>
                <w:rFonts w:hint="eastAsia"/>
                <w:color w:val="auto"/>
                <w:highlight w:val="none"/>
              </w:rPr>
              <w:t xml:space="preserve">90.00 </w:t>
            </w:r>
          </w:p>
        </w:tc>
        <w:tc>
          <w:tcPr>
            <w:tcW w:w="905" w:type="pct"/>
            <w:tcBorders>
              <w:tl2br w:val="nil"/>
              <w:tr2bl w:val="nil"/>
            </w:tcBorders>
            <w:vAlign w:val="center"/>
          </w:tcPr>
          <w:p w14:paraId="35649569">
            <w:pPr>
              <w:pStyle w:val="41"/>
              <w:rPr>
                <w:color w:val="auto"/>
                <w:highlight w:val="none"/>
              </w:rPr>
            </w:pPr>
            <w:r>
              <w:rPr>
                <w:rFonts w:hint="eastAsia"/>
                <w:color w:val="auto"/>
                <w:highlight w:val="none"/>
              </w:rPr>
              <w:t>274</w:t>
            </w:r>
          </w:p>
        </w:tc>
        <w:tc>
          <w:tcPr>
            <w:tcW w:w="1416" w:type="dxa"/>
            <w:tcBorders>
              <w:tl2br w:val="nil"/>
              <w:tr2bl w:val="nil"/>
            </w:tcBorders>
            <w:vAlign w:val="bottom"/>
          </w:tcPr>
          <w:p w14:paraId="6EC4A885">
            <w:pPr>
              <w:pStyle w:val="41"/>
              <w:rPr>
                <w:color w:val="auto"/>
                <w:highlight w:val="none"/>
              </w:rPr>
            </w:pPr>
            <w:r>
              <w:rPr>
                <w:rFonts w:hint="eastAsia"/>
                <w:color w:val="auto"/>
                <w:highlight w:val="none"/>
              </w:rPr>
              <w:t xml:space="preserve">0.91 </w:t>
            </w:r>
          </w:p>
        </w:tc>
      </w:tr>
      <w:tr w14:paraId="301FD8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86" w:type="pct"/>
            <w:tcBorders>
              <w:tl2br w:val="nil"/>
              <w:tr2bl w:val="nil"/>
            </w:tcBorders>
            <w:vAlign w:val="center"/>
          </w:tcPr>
          <w:p w14:paraId="584E6FE9">
            <w:pPr>
              <w:pStyle w:val="41"/>
              <w:rPr>
                <w:color w:val="auto"/>
                <w:highlight w:val="none"/>
              </w:rPr>
            </w:pPr>
            <w:r>
              <w:rPr>
                <w:rFonts w:hint="eastAsia"/>
                <w:color w:val="auto"/>
                <w:highlight w:val="none"/>
              </w:rPr>
              <w:t>2026年3月31日</w:t>
            </w:r>
            <w:r>
              <w:rPr>
                <w:rFonts w:hint="eastAsia"/>
                <w:color w:val="auto"/>
                <w:highlight w:val="none"/>
                <w:lang w:eastAsia="zh-CN"/>
              </w:rPr>
              <w:t>—</w:t>
            </w:r>
            <w:r>
              <w:rPr>
                <w:rFonts w:hint="eastAsia"/>
                <w:color w:val="auto"/>
                <w:highlight w:val="none"/>
              </w:rPr>
              <w:t>4月1日</w:t>
            </w:r>
          </w:p>
        </w:tc>
        <w:tc>
          <w:tcPr>
            <w:tcW w:w="913" w:type="pct"/>
            <w:tcBorders>
              <w:tl2br w:val="nil"/>
              <w:tr2bl w:val="nil"/>
            </w:tcBorders>
            <w:vAlign w:val="center"/>
          </w:tcPr>
          <w:p w14:paraId="54281742">
            <w:pPr>
              <w:pStyle w:val="41"/>
              <w:rPr>
                <w:color w:val="auto"/>
                <w:highlight w:val="none"/>
              </w:rPr>
            </w:pPr>
            <w:r>
              <w:rPr>
                <w:rFonts w:hint="eastAsia"/>
                <w:color w:val="auto"/>
                <w:highlight w:val="none"/>
              </w:rPr>
              <w:t>238</w:t>
            </w:r>
          </w:p>
        </w:tc>
        <w:tc>
          <w:tcPr>
            <w:tcW w:w="1299" w:type="dxa"/>
            <w:tcBorders>
              <w:tl2br w:val="nil"/>
              <w:tr2bl w:val="nil"/>
            </w:tcBorders>
            <w:vAlign w:val="bottom"/>
          </w:tcPr>
          <w:p w14:paraId="2111221C">
            <w:pPr>
              <w:pStyle w:val="41"/>
              <w:rPr>
                <w:color w:val="auto"/>
                <w:highlight w:val="none"/>
              </w:rPr>
            </w:pPr>
            <w:r>
              <w:rPr>
                <w:rFonts w:hint="eastAsia"/>
                <w:color w:val="auto"/>
                <w:highlight w:val="none"/>
              </w:rPr>
              <w:t xml:space="preserve">79.33 </w:t>
            </w:r>
          </w:p>
        </w:tc>
        <w:tc>
          <w:tcPr>
            <w:tcW w:w="905" w:type="pct"/>
            <w:tcBorders>
              <w:tl2br w:val="nil"/>
              <w:tr2bl w:val="nil"/>
            </w:tcBorders>
            <w:vAlign w:val="center"/>
          </w:tcPr>
          <w:p w14:paraId="29564B90">
            <w:pPr>
              <w:pStyle w:val="41"/>
              <w:rPr>
                <w:color w:val="auto"/>
                <w:highlight w:val="none"/>
              </w:rPr>
            </w:pPr>
            <w:r>
              <w:rPr>
                <w:rFonts w:hint="eastAsia"/>
                <w:color w:val="auto"/>
                <w:highlight w:val="none"/>
              </w:rPr>
              <w:t>245</w:t>
            </w:r>
          </w:p>
        </w:tc>
        <w:tc>
          <w:tcPr>
            <w:tcW w:w="1416" w:type="dxa"/>
            <w:tcBorders>
              <w:tl2br w:val="nil"/>
              <w:tr2bl w:val="nil"/>
            </w:tcBorders>
            <w:vAlign w:val="bottom"/>
          </w:tcPr>
          <w:p w14:paraId="6E9DA069">
            <w:pPr>
              <w:pStyle w:val="41"/>
              <w:rPr>
                <w:color w:val="auto"/>
                <w:highlight w:val="none"/>
              </w:rPr>
            </w:pPr>
            <w:r>
              <w:rPr>
                <w:rFonts w:hint="eastAsia"/>
                <w:color w:val="auto"/>
                <w:highlight w:val="none"/>
              </w:rPr>
              <w:t xml:space="preserve">0.82 </w:t>
            </w:r>
          </w:p>
        </w:tc>
      </w:tr>
      <w:tr w14:paraId="141778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86" w:type="pct"/>
            <w:tcBorders>
              <w:tl2br w:val="nil"/>
              <w:tr2bl w:val="nil"/>
            </w:tcBorders>
            <w:vAlign w:val="center"/>
          </w:tcPr>
          <w:p w14:paraId="50CDFA15">
            <w:pPr>
              <w:pStyle w:val="41"/>
              <w:rPr>
                <w:color w:val="auto"/>
                <w:highlight w:val="none"/>
              </w:rPr>
            </w:pPr>
            <w:r>
              <w:rPr>
                <w:color w:val="auto"/>
                <w:highlight w:val="none"/>
              </w:rPr>
              <w:t>最大浓度占标率%</w:t>
            </w:r>
          </w:p>
        </w:tc>
        <w:tc>
          <w:tcPr>
            <w:tcW w:w="1676" w:type="pct"/>
            <w:gridSpan w:val="2"/>
            <w:tcBorders>
              <w:tl2br w:val="nil"/>
              <w:tr2bl w:val="nil"/>
            </w:tcBorders>
            <w:vAlign w:val="center"/>
          </w:tcPr>
          <w:p w14:paraId="08FFD2E5">
            <w:pPr>
              <w:pStyle w:val="41"/>
              <w:rPr>
                <w:color w:val="auto"/>
                <w:highlight w:val="none"/>
              </w:rPr>
            </w:pPr>
            <w:r>
              <w:rPr>
                <w:rFonts w:hint="eastAsia"/>
                <w:color w:val="auto"/>
                <w:highlight w:val="none"/>
              </w:rPr>
              <w:t>92.33</w:t>
            </w:r>
          </w:p>
        </w:tc>
        <w:tc>
          <w:tcPr>
            <w:tcW w:w="1737" w:type="pct"/>
            <w:gridSpan w:val="2"/>
            <w:tcBorders>
              <w:tl2br w:val="nil"/>
              <w:tr2bl w:val="nil"/>
            </w:tcBorders>
            <w:vAlign w:val="center"/>
          </w:tcPr>
          <w:p w14:paraId="594A57CF">
            <w:pPr>
              <w:pStyle w:val="41"/>
              <w:rPr>
                <w:color w:val="auto"/>
                <w:highlight w:val="none"/>
              </w:rPr>
            </w:pPr>
            <w:r>
              <w:rPr>
                <w:rFonts w:hint="eastAsia"/>
                <w:color w:val="auto"/>
                <w:highlight w:val="none"/>
              </w:rPr>
              <w:t>93</w:t>
            </w:r>
          </w:p>
        </w:tc>
      </w:tr>
      <w:tr w14:paraId="7CE23F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86" w:type="pct"/>
            <w:tcBorders>
              <w:tl2br w:val="nil"/>
              <w:tr2bl w:val="nil"/>
            </w:tcBorders>
            <w:vAlign w:val="center"/>
          </w:tcPr>
          <w:p w14:paraId="636406CB">
            <w:pPr>
              <w:pStyle w:val="41"/>
              <w:rPr>
                <w:color w:val="auto"/>
                <w:highlight w:val="none"/>
              </w:rPr>
            </w:pPr>
            <w:r>
              <w:rPr>
                <w:color w:val="auto"/>
                <w:highlight w:val="none"/>
              </w:rPr>
              <w:t>超标率%</w:t>
            </w:r>
          </w:p>
        </w:tc>
        <w:tc>
          <w:tcPr>
            <w:tcW w:w="1676" w:type="pct"/>
            <w:gridSpan w:val="2"/>
            <w:tcBorders>
              <w:tl2br w:val="nil"/>
              <w:tr2bl w:val="nil"/>
            </w:tcBorders>
            <w:vAlign w:val="center"/>
          </w:tcPr>
          <w:p w14:paraId="0F6595AE">
            <w:pPr>
              <w:pStyle w:val="41"/>
              <w:rPr>
                <w:color w:val="auto"/>
                <w:highlight w:val="none"/>
              </w:rPr>
            </w:pPr>
            <w:r>
              <w:rPr>
                <w:rFonts w:hint="eastAsia"/>
                <w:color w:val="auto"/>
                <w:highlight w:val="none"/>
              </w:rPr>
              <w:t>0</w:t>
            </w:r>
          </w:p>
        </w:tc>
        <w:tc>
          <w:tcPr>
            <w:tcW w:w="1737" w:type="pct"/>
            <w:gridSpan w:val="2"/>
            <w:tcBorders>
              <w:tl2br w:val="nil"/>
              <w:tr2bl w:val="nil"/>
            </w:tcBorders>
            <w:vAlign w:val="center"/>
          </w:tcPr>
          <w:p w14:paraId="472BF852">
            <w:pPr>
              <w:pStyle w:val="41"/>
              <w:rPr>
                <w:color w:val="auto"/>
                <w:highlight w:val="none"/>
              </w:rPr>
            </w:pPr>
            <w:r>
              <w:rPr>
                <w:rFonts w:hint="eastAsia"/>
                <w:color w:val="auto"/>
                <w:highlight w:val="none"/>
              </w:rPr>
              <w:t>0</w:t>
            </w:r>
          </w:p>
        </w:tc>
      </w:tr>
      <w:tr w14:paraId="5FBB22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86" w:type="pct"/>
            <w:tcBorders>
              <w:tl2br w:val="nil"/>
              <w:tr2bl w:val="nil"/>
            </w:tcBorders>
            <w:vAlign w:val="center"/>
          </w:tcPr>
          <w:p w14:paraId="0EBA39CB">
            <w:pPr>
              <w:pStyle w:val="41"/>
              <w:rPr>
                <w:color w:val="auto"/>
                <w:highlight w:val="none"/>
              </w:rPr>
            </w:pPr>
            <w:r>
              <w:rPr>
                <w:color w:val="auto"/>
                <w:highlight w:val="none"/>
              </w:rPr>
              <w:t>达标情况</w:t>
            </w:r>
          </w:p>
        </w:tc>
        <w:tc>
          <w:tcPr>
            <w:tcW w:w="1676" w:type="pct"/>
            <w:gridSpan w:val="2"/>
            <w:tcBorders>
              <w:tl2br w:val="nil"/>
              <w:tr2bl w:val="nil"/>
            </w:tcBorders>
            <w:vAlign w:val="center"/>
          </w:tcPr>
          <w:p w14:paraId="1947CF21">
            <w:pPr>
              <w:pStyle w:val="41"/>
              <w:rPr>
                <w:color w:val="auto"/>
                <w:highlight w:val="none"/>
              </w:rPr>
            </w:pPr>
            <w:r>
              <w:rPr>
                <w:rFonts w:hint="eastAsia"/>
                <w:color w:val="auto"/>
                <w:highlight w:val="none"/>
              </w:rPr>
              <w:t>达标</w:t>
            </w:r>
          </w:p>
        </w:tc>
        <w:tc>
          <w:tcPr>
            <w:tcW w:w="1737" w:type="pct"/>
            <w:gridSpan w:val="2"/>
            <w:tcBorders>
              <w:tl2br w:val="nil"/>
              <w:tr2bl w:val="nil"/>
            </w:tcBorders>
            <w:vAlign w:val="center"/>
          </w:tcPr>
          <w:p w14:paraId="72E1E92C">
            <w:pPr>
              <w:pStyle w:val="41"/>
              <w:rPr>
                <w:color w:val="auto"/>
                <w:highlight w:val="none"/>
              </w:rPr>
            </w:pPr>
            <w:r>
              <w:rPr>
                <w:rFonts w:hint="eastAsia"/>
                <w:color w:val="auto"/>
                <w:highlight w:val="none"/>
              </w:rPr>
              <w:t>达标</w:t>
            </w:r>
          </w:p>
        </w:tc>
      </w:tr>
    </w:tbl>
    <w:p w14:paraId="29169B01">
      <w:pPr>
        <w:pStyle w:val="3"/>
        <w:ind w:firstLine="480"/>
        <w:rPr>
          <w:color w:val="auto"/>
          <w:highlight w:val="none"/>
        </w:rPr>
      </w:pPr>
      <w:r>
        <w:rPr>
          <w:color w:val="auto"/>
          <w:highlight w:val="none"/>
        </w:rPr>
        <w:t>由监测结果看，2处监测点TSP均</w:t>
      </w:r>
      <w:r>
        <w:rPr>
          <w:rFonts w:hint="eastAsia"/>
          <w:color w:val="auto"/>
          <w:highlight w:val="none"/>
        </w:rPr>
        <w:t>达到</w:t>
      </w:r>
      <w:r>
        <w:rPr>
          <w:color w:val="auto"/>
          <w:highlight w:val="none"/>
        </w:rPr>
        <w:t>《环境空气质量标准》（GB3095-20</w:t>
      </w:r>
      <w:r>
        <w:rPr>
          <w:rFonts w:hint="eastAsia"/>
          <w:color w:val="auto"/>
          <w:highlight w:val="none"/>
        </w:rPr>
        <w:t>26</w:t>
      </w:r>
      <w:r>
        <w:rPr>
          <w:color w:val="auto"/>
          <w:highlight w:val="none"/>
        </w:rPr>
        <w:t>）二级标准要求</w:t>
      </w:r>
      <w:r>
        <w:rPr>
          <w:rFonts w:hint="eastAsia"/>
          <w:color w:val="auto"/>
          <w:highlight w:val="none"/>
        </w:rPr>
        <w:t>，监测期间项目区及附近大气环境质量较好</w:t>
      </w:r>
      <w:r>
        <w:rPr>
          <w:color w:val="auto"/>
          <w:highlight w:val="none"/>
        </w:rPr>
        <w:t>。</w:t>
      </w:r>
    </w:p>
    <w:p w14:paraId="63452B03">
      <w:pPr>
        <w:pStyle w:val="42"/>
        <w:rPr>
          <w:rFonts w:hint="default"/>
          <w:color w:val="auto"/>
          <w:highlight w:val="none"/>
        </w:rPr>
      </w:pPr>
      <w:r>
        <w:rPr>
          <w:rFonts w:hint="default"/>
          <w:color w:val="auto"/>
          <w:highlight w:val="none"/>
        </w:rPr>
        <w:t>水环境质量现状调查与评价</w:t>
      </w:r>
    </w:p>
    <w:p w14:paraId="6F8FEE06">
      <w:pPr>
        <w:pStyle w:val="43"/>
        <w:rPr>
          <w:color w:val="auto"/>
          <w:highlight w:val="none"/>
        </w:rPr>
      </w:pPr>
      <w:r>
        <w:rPr>
          <w:color w:val="auto"/>
          <w:highlight w:val="none"/>
        </w:rPr>
        <w:t>地表水环境质量现状调查与评价</w:t>
      </w:r>
    </w:p>
    <w:p w14:paraId="7FAB5782">
      <w:pPr>
        <w:pStyle w:val="3"/>
        <w:ind w:firstLine="480"/>
        <w:rPr>
          <w:color w:val="auto"/>
          <w:highlight w:val="none"/>
        </w:rPr>
      </w:pPr>
      <w:r>
        <w:rPr>
          <w:color w:val="auto"/>
          <w:highlight w:val="none"/>
        </w:rPr>
        <w:t>项目区西南侧</w:t>
      </w:r>
      <w:r>
        <w:rPr>
          <w:rFonts w:hint="eastAsia"/>
          <w:color w:val="auto"/>
          <w:highlight w:val="none"/>
        </w:rPr>
        <w:t>0.5</w:t>
      </w:r>
      <w:r>
        <w:rPr>
          <w:color w:val="auto"/>
          <w:highlight w:val="none"/>
        </w:rPr>
        <w:t>km为阿亚克苏洪木河，常年流水，年径流量0.1亿m</w:t>
      </w:r>
      <w:r>
        <w:rPr>
          <w:rFonts w:hint="eastAsia"/>
          <w:color w:val="auto"/>
          <w:highlight w:val="none"/>
          <w:vertAlign w:val="superscript"/>
        </w:rPr>
        <w:t>3</w:t>
      </w:r>
      <w:r>
        <w:rPr>
          <w:color w:val="auto"/>
          <w:highlight w:val="none"/>
        </w:rPr>
        <w:t>，该河为Ⅱ类水体。</w:t>
      </w:r>
    </w:p>
    <w:p w14:paraId="6B4915D4">
      <w:pPr>
        <w:pStyle w:val="3"/>
        <w:ind w:firstLine="480"/>
        <w:rPr>
          <w:color w:val="auto"/>
          <w:highlight w:val="none"/>
        </w:rPr>
      </w:pPr>
      <w:r>
        <w:rPr>
          <w:color w:val="auto"/>
          <w:highlight w:val="none"/>
        </w:rPr>
        <w:t>（1）监测点布设及监测时间</w:t>
      </w:r>
    </w:p>
    <w:p w14:paraId="6DD74CBD">
      <w:pPr>
        <w:pStyle w:val="3"/>
        <w:ind w:firstLine="480"/>
        <w:rPr>
          <w:color w:val="auto"/>
          <w:highlight w:val="none"/>
        </w:rPr>
      </w:pPr>
      <w:r>
        <w:rPr>
          <w:color w:val="auto"/>
          <w:highlight w:val="none"/>
        </w:rPr>
        <w:t>项目区西南侧直线距离约</w:t>
      </w:r>
      <w:r>
        <w:rPr>
          <w:rFonts w:hint="eastAsia"/>
          <w:color w:val="auto"/>
          <w:highlight w:val="none"/>
        </w:rPr>
        <w:t>0.5</w:t>
      </w:r>
      <w:r>
        <w:rPr>
          <w:color w:val="auto"/>
          <w:highlight w:val="none"/>
        </w:rPr>
        <w:t>km处的阿亚克苏洪木河，本次地表水环境现状调查布设2个地表水监测点，分别位于</w:t>
      </w:r>
      <w:r>
        <w:rPr>
          <w:rFonts w:hint="eastAsia"/>
          <w:color w:val="auto"/>
          <w:highlight w:val="none"/>
          <w:lang w:eastAsia="zh-CN"/>
        </w:rPr>
        <w:t>项目区</w:t>
      </w:r>
      <w:r>
        <w:rPr>
          <w:color w:val="auto"/>
          <w:highlight w:val="none"/>
        </w:rPr>
        <w:t>河流上游和下游。监测时间2026年3月27日。</w:t>
      </w:r>
    </w:p>
    <w:p w14:paraId="77A7F00F">
      <w:pPr>
        <w:pStyle w:val="3"/>
        <w:ind w:firstLine="480"/>
        <w:rPr>
          <w:color w:val="auto"/>
          <w:highlight w:val="none"/>
        </w:rPr>
      </w:pPr>
      <w:r>
        <w:rPr>
          <w:color w:val="auto"/>
          <w:highlight w:val="none"/>
        </w:rPr>
        <w:t>（2）监测项目</w:t>
      </w:r>
    </w:p>
    <w:p w14:paraId="00B163F8">
      <w:pPr>
        <w:pStyle w:val="3"/>
        <w:ind w:firstLine="480"/>
        <w:rPr>
          <w:color w:val="auto"/>
          <w:highlight w:val="none"/>
        </w:rPr>
      </w:pPr>
      <w:r>
        <w:rPr>
          <w:color w:val="auto"/>
          <w:highlight w:val="none"/>
        </w:rPr>
        <w:t>地表水监测项目为：pH、氨氮、溶解氧、COD、BOD、高锰酸盐指数、</w:t>
      </w:r>
      <w:r>
        <w:rPr>
          <w:rFonts w:hint="eastAsia"/>
          <w:color w:val="auto"/>
          <w:highlight w:val="none"/>
        </w:rPr>
        <w:t>悬浮物</w:t>
      </w:r>
      <w:r>
        <w:rPr>
          <w:color w:val="auto"/>
          <w:highlight w:val="none"/>
        </w:rPr>
        <w:t>、总磷、总氮、石油类、</w:t>
      </w:r>
      <w:r>
        <w:rPr>
          <w:rFonts w:hint="eastAsia"/>
          <w:color w:val="auto"/>
          <w:highlight w:val="none"/>
        </w:rPr>
        <w:t>铁</w:t>
      </w:r>
      <w:r>
        <w:rPr>
          <w:color w:val="auto"/>
          <w:highlight w:val="none"/>
        </w:rPr>
        <w:t>等共计</w:t>
      </w:r>
      <w:r>
        <w:rPr>
          <w:rFonts w:hint="eastAsia"/>
          <w:color w:val="auto"/>
          <w:highlight w:val="none"/>
        </w:rPr>
        <w:t>11</w:t>
      </w:r>
      <w:r>
        <w:rPr>
          <w:color w:val="auto"/>
          <w:highlight w:val="none"/>
        </w:rPr>
        <w:t>项。</w:t>
      </w:r>
    </w:p>
    <w:p w14:paraId="3054BF97">
      <w:pPr>
        <w:pStyle w:val="3"/>
        <w:ind w:firstLine="480"/>
        <w:rPr>
          <w:color w:val="auto"/>
          <w:highlight w:val="none"/>
        </w:rPr>
      </w:pPr>
      <w:r>
        <w:rPr>
          <w:color w:val="auto"/>
          <w:highlight w:val="none"/>
        </w:rPr>
        <w:t>（</w:t>
      </w:r>
      <w:r>
        <w:rPr>
          <w:rFonts w:hint="eastAsia"/>
          <w:color w:val="auto"/>
          <w:highlight w:val="none"/>
        </w:rPr>
        <w:t>3</w:t>
      </w:r>
      <w:r>
        <w:rPr>
          <w:color w:val="auto"/>
          <w:highlight w:val="none"/>
        </w:rPr>
        <w:t>）评价标准及评价方法</w:t>
      </w:r>
    </w:p>
    <w:p w14:paraId="3E46DAEC">
      <w:pPr>
        <w:pStyle w:val="3"/>
        <w:ind w:firstLine="480"/>
        <w:rPr>
          <w:color w:val="auto"/>
          <w:highlight w:val="none"/>
        </w:rPr>
      </w:pPr>
      <w:r>
        <w:rPr>
          <w:color w:val="auto"/>
          <w:highlight w:val="none"/>
        </w:rPr>
        <w:t>本次评价执行《地表水环境质量标准》（GB3838-2002）Ⅱ类标准。评价方法采用单项标准指数法对地</w:t>
      </w:r>
      <w:r>
        <w:rPr>
          <w:rFonts w:hint="eastAsia"/>
          <w:color w:val="auto"/>
          <w:highlight w:val="none"/>
          <w:lang w:eastAsia="zh-CN"/>
        </w:rPr>
        <w:t>表</w:t>
      </w:r>
      <w:r>
        <w:rPr>
          <w:color w:val="auto"/>
          <w:highlight w:val="none"/>
        </w:rPr>
        <w:t>水进行评价。公式如下：</w:t>
      </w:r>
    </w:p>
    <w:p w14:paraId="7BC5B5E1">
      <w:pPr>
        <w:pStyle w:val="3"/>
        <w:ind w:firstLine="480"/>
        <w:rPr>
          <w:color w:val="auto"/>
          <w:highlight w:val="none"/>
        </w:rPr>
      </w:pPr>
    </w:p>
    <w:p w14:paraId="3F49779F">
      <w:pPr>
        <w:pStyle w:val="3"/>
        <w:ind w:firstLine="480"/>
        <w:rPr>
          <w:color w:val="auto"/>
          <w:highlight w:val="none"/>
        </w:rPr>
      </w:pPr>
      <w:r>
        <w:rPr>
          <w:color w:val="auto"/>
          <w:highlight w:val="none"/>
        </w:rPr>
        <w:t>采用标准指数法对地表水水质监测结果进行评价。其单项水质参数i在第j点的标准指数为：</w:t>
      </w:r>
    </w:p>
    <w:p w14:paraId="007EF5DE">
      <w:pPr>
        <w:pStyle w:val="3"/>
        <w:spacing w:line="480" w:lineRule="auto"/>
        <w:ind w:firstLine="480"/>
        <w:jc w:val="center"/>
        <w:rPr>
          <w:color w:val="auto"/>
          <w:highlight w:val="none"/>
        </w:rPr>
      </w:pPr>
      <w:r>
        <w:rPr>
          <w:color w:val="auto"/>
          <w:highlight w:val="none"/>
        </w:rPr>
        <w:drawing>
          <wp:inline distT="0" distB="0" distL="114300" distR="114300">
            <wp:extent cx="628650" cy="457200"/>
            <wp:effectExtent l="0" t="0" r="0" b="0"/>
            <wp:docPr id="48"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5"/>
                    <pic:cNvPicPr>
                      <a:picLocks noChangeAspect="1"/>
                    </pic:cNvPicPr>
                  </pic:nvPicPr>
                  <pic:blipFill>
                    <a:blip r:embed="rId36"/>
                    <a:stretch>
                      <a:fillRect/>
                    </a:stretch>
                  </pic:blipFill>
                  <pic:spPr>
                    <a:xfrm>
                      <a:off x="0" y="0"/>
                      <a:ext cx="628650" cy="457200"/>
                    </a:xfrm>
                    <a:prstGeom prst="rect">
                      <a:avLst/>
                    </a:prstGeom>
                    <a:noFill/>
                    <a:ln>
                      <a:noFill/>
                    </a:ln>
                  </pic:spPr>
                </pic:pic>
              </a:graphicData>
            </a:graphic>
          </wp:inline>
        </w:drawing>
      </w:r>
    </w:p>
    <w:p w14:paraId="60E0B3BB">
      <w:pPr>
        <w:pStyle w:val="3"/>
        <w:ind w:firstLine="480"/>
        <w:rPr>
          <w:color w:val="auto"/>
          <w:highlight w:val="none"/>
        </w:rPr>
      </w:pPr>
      <w:r>
        <w:rPr>
          <w:rFonts w:hint="eastAsia"/>
          <w:color w:val="auto"/>
          <w:highlight w:val="none"/>
          <w:lang w:val="en-US" w:eastAsia="zh-CN"/>
        </w:rPr>
        <w:t>其中，</w:t>
      </w:r>
      <w:r>
        <w:rPr>
          <w:color w:val="auto"/>
          <w:highlight w:val="none"/>
        </w:rPr>
        <w:t>pH</w:t>
      </w:r>
      <w:r>
        <w:rPr>
          <w:rFonts w:hint="eastAsia"/>
          <w:color w:val="auto"/>
          <w:highlight w:val="none"/>
          <w:lang w:val="en-US" w:eastAsia="zh-CN"/>
        </w:rPr>
        <w:t>值指数计算公式</w:t>
      </w:r>
      <w:r>
        <w:rPr>
          <w:color w:val="auto"/>
          <w:highlight w:val="none"/>
        </w:rPr>
        <w:t>为：</w:t>
      </w:r>
    </w:p>
    <w:p w14:paraId="36C81670">
      <w:pPr>
        <w:pStyle w:val="3"/>
        <w:ind w:firstLine="480"/>
        <w:rPr>
          <w:color w:val="auto"/>
          <w:highlight w:val="none"/>
        </w:rPr>
      </w:pPr>
      <w:r>
        <w:rPr>
          <w:color w:val="auto"/>
          <w:highlight w:val="none"/>
        </w:rPr>
        <w:t>pHj≤7.0时，</w:t>
      </w:r>
    </w:p>
    <w:p w14:paraId="35119600">
      <w:pPr>
        <w:pStyle w:val="3"/>
        <w:spacing w:line="480" w:lineRule="auto"/>
        <w:ind w:firstLine="480"/>
        <w:jc w:val="center"/>
        <w:rPr>
          <w:color w:val="auto"/>
          <w:highlight w:val="none"/>
        </w:rPr>
      </w:pPr>
      <w:r>
        <w:rPr>
          <w:color w:val="auto"/>
          <w:highlight w:val="none"/>
        </w:rPr>
        <w:drawing>
          <wp:inline distT="0" distB="0" distL="114300" distR="114300">
            <wp:extent cx="1219200" cy="457200"/>
            <wp:effectExtent l="0" t="0" r="0" b="0"/>
            <wp:docPr id="5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6"/>
                    <pic:cNvPicPr>
                      <a:picLocks noChangeAspect="1"/>
                    </pic:cNvPicPr>
                  </pic:nvPicPr>
                  <pic:blipFill>
                    <a:blip r:embed="rId37"/>
                    <a:stretch>
                      <a:fillRect/>
                    </a:stretch>
                  </pic:blipFill>
                  <pic:spPr>
                    <a:xfrm>
                      <a:off x="0" y="0"/>
                      <a:ext cx="1219200" cy="457200"/>
                    </a:xfrm>
                    <a:prstGeom prst="rect">
                      <a:avLst/>
                    </a:prstGeom>
                    <a:noFill/>
                    <a:ln>
                      <a:noFill/>
                    </a:ln>
                  </pic:spPr>
                </pic:pic>
              </a:graphicData>
            </a:graphic>
          </wp:inline>
        </w:drawing>
      </w:r>
    </w:p>
    <w:p w14:paraId="7EB44EEB">
      <w:pPr>
        <w:pStyle w:val="3"/>
        <w:ind w:firstLine="480"/>
        <w:rPr>
          <w:color w:val="auto"/>
          <w:highlight w:val="none"/>
        </w:rPr>
      </w:pPr>
      <w:r>
        <w:rPr>
          <w:color w:val="auto"/>
          <w:highlight w:val="none"/>
        </w:rPr>
        <w:t>pHj＞7.0时，</w:t>
      </w:r>
    </w:p>
    <w:p w14:paraId="6644942A">
      <w:pPr>
        <w:pStyle w:val="3"/>
        <w:spacing w:line="480" w:lineRule="auto"/>
        <w:ind w:firstLine="480"/>
        <w:jc w:val="center"/>
        <w:rPr>
          <w:color w:val="auto"/>
          <w:highlight w:val="none"/>
        </w:rPr>
      </w:pPr>
      <w:r>
        <w:rPr>
          <w:color w:val="auto"/>
          <w:highlight w:val="none"/>
        </w:rPr>
        <w:drawing>
          <wp:inline distT="0" distB="0" distL="114300" distR="114300">
            <wp:extent cx="1219200" cy="457200"/>
            <wp:effectExtent l="0" t="0" r="0" b="0"/>
            <wp:docPr id="4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7"/>
                    <pic:cNvPicPr>
                      <a:picLocks noChangeAspect="1"/>
                    </pic:cNvPicPr>
                  </pic:nvPicPr>
                  <pic:blipFill>
                    <a:blip r:embed="rId38"/>
                    <a:stretch>
                      <a:fillRect/>
                    </a:stretch>
                  </pic:blipFill>
                  <pic:spPr>
                    <a:xfrm>
                      <a:off x="0" y="0"/>
                      <a:ext cx="1219200" cy="457200"/>
                    </a:xfrm>
                    <a:prstGeom prst="rect">
                      <a:avLst/>
                    </a:prstGeom>
                    <a:noFill/>
                    <a:ln>
                      <a:noFill/>
                    </a:ln>
                  </pic:spPr>
                </pic:pic>
              </a:graphicData>
            </a:graphic>
          </wp:inline>
        </w:drawing>
      </w:r>
    </w:p>
    <w:p w14:paraId="6FF506C4">
      <w:pPr>
        <w:pStyle w:val="3"/>
        <w:ind w:firstLine="480"/>
        <w:rPr>
          <w:color w:val="auto"/>
          <w:highlight w:val="none"/>
        </w:rPr>
      </w:pPr>
      <w:r>
        <w:rPr>
          <w:color w:val="auto"/>
          <w:highlight w:val="none"/>
        </w:rPr>
        <w:t>式中：S</w:t>
      </w:r>
      <w:r>
        <w:rPr>
          <w:color w:val="auto"/>
          <w:highlight w:val="none"/>
          <w:vertAlign w:val="subscript"/>
        </w:rPr>
        <w:t>i,j</w:t>
      </w:r>
      <w:r>
        <w:rPr>
          <w:color w:val="auto"/>
          <w:highlight w:val="none"/>
        </w:rPr>
        <w:t>——某污染物的污染指数；</w:t>
      </w:r>
    </w:p>
    <w:p w14:paraId="2611828B">
      <w:pPr>
        <w:pStyle w:val="3"/>
        <w:ind w:firstLine="480"/>
        <w:rPr>
          <w:color w:val="auto"/>
          <w:highlight w:val="none"/>
        </w:rPr>
      </w:pPr>
      <w:r>
        <w:rPr>
          <w:color w:val="auto"/>
          <w:highlight w:val="none"/>
        </w:rPr>
        <w:t>C</w:t>
      </w:r>
      <w:r>
        <w:rPr>
          <w:color w:val="auto"/>
          <w:highlight w:val="none"/>
          <w:vertAlign w:val="subscript"/>
        </w:rPr>
        <w:t>i,j</w:t>
      </w:r>
      <w:r>
        <w:rPr>
          <w:color w:val="auto"/>
          <w:highlight w:val="none"/>
        </w:rPr>
        <w:t>——某污染物的实际浓度</w:t>
      </w:r>
      <w:r>
        <w:rPr>
          <w:rFonts w:hint="eastAsia"/>
          <w:color w:val="auto"/>
          <w:highlight w:val="none"/>
          <w:lang w:eastAsia="zh-CN"/>
        </w:rPr>
        <w:t>（</w:t>
      </w:r>
      <w:r>
        <w:rPr>
          <w:color w:val="auto"/>
          <w:highlight w:val="none"/>
        </w:rPr>
        <w:t>mg/L</w:t>
      </w:r>
      <w:r>
        <w:rPr>
          <w:rFonts w:hint="eastAsia"/>
          <w:color w:val="auto"/>
          <w:highlight w:val="none"/>
          <w:lang w:eastAsia="zh-CN"/>
        </w:rPr>
        <w:t>）</w:t>
      </w:r>
      <w:r>
        <w:rPr>
          <w:color w:val="auto"/>
          <w:highlight w:val="none"/>
        </w:rPr>
        <w:t>；</w:t>
      </w:r>
    </w:p>
    <w:p w14:paraId="08C9D35C">
      <w:pPr>
        <w:pStyle w:val="3"/>
        <w:ind w:firstLine="480"/>
        <w:rPr>
          <w:color w:val="auto"/>
          <w:highlight w:val="none"/>
        </w:rPr>
      </w:pPr>
      <w:r>
        <w:rPr>
          <w:color w:val="auto"/>
          <w:highlight w:val="none"/>
        </w:rPr>
        <w:t>Csi——某污染物的评价标准</w:t>
      </w:r>
      <w:r>
        <w:rPr>
          <w:rFonts w:hint="eastAsia"/>
          <w:color w:val="auto"/>
          <w:highlight w:val="none"/>
          <w:lang w:eastAsia="zh-CN"/>
        </w:rPr>
        <w:t>（</w:t>
      </w:r>
      <w:r>
        <w:rPr>
          <w:color w:val="auto"/>
          <w:highlight w:val="none"/>
        </w:rPr>
        <w:t>mg/L</w:t>
      </w:r>
      <w:r>
        <w:rPr>
          <w:rFonts w:hint="eastAsia"/>
          <w:color w:val="auto"/>
          <w:highlight w:val="none"/>
          <w:lang w:eastAsia="zh-CN"/>
        </w:rPr>
        <w:t>）</w:t>
      </w:r>
      <w:r>
        <w:rPr>
          <w:color w:val="auto"/>
          <w:highlight w:val="none"/>
        </w:rPr>
        <w:t>；</w:t>
      </w:r>
    </w:p>
    <w:p w14:paraId="41BE2120">
      <w:pPr>
        <w:pStyle w:val="3"/>
        <w:ind w:firstLine="480"/>
        <w:rPr>
          <w:color w:val="auto"/>
          <w:highlight w:val="none"/>
        </w:rPr>
      </w:pPr>
      <w:r>
        <w:rPr>
          <w:color w:val="auto"/>
          <w:highlight w:val="none"/>
        </w:rPr>
        <w:t>SpH</w:t>
      </w:r>
      <w:r>
        <w:rPr>
          <w:color w:val="auto"/>
          <w:highlight w:val="none"/>
          <w:vertAlign w:val="subscript"/>
        </w:rPr>
        <w:t>j</w:t>
      </w:r>
      <w:r>
        <w:rPr>
          <w:color w:val="auto"/>
          <w:highlight w:val="none"/>
        </w:rPr>
        <w:t>——pH标准指数；</w:t>
      </w:r>
    </w:p>
    <w:p w14:paraId="350A5C61">
      <w:pPr>
        <w:pStyle w:val="3"/>
        <w:ind w:firstLine="480"/>
        <w:rPr>
          <w:color w:val="auto"/>
          <w:highlight w:val="none"/>
        </w:rPr>
      </w:pPr>
      <w:r>
        <w:rPr>
          <w:color w:val="auto"/>
          <w:highlight w:val="none"/>
        </w:rPr>
        <w:t>pHj——pH实测值；</w:t>
      </w:r>
    </w:p>
    <w:p w14:paraId="69CCC6AD">
      <w:pPr>
        <w:pStyle w:val="3"/>
        <w:ind w:firstLine="480"/>
        <w:rPr>
          <w:color w:val="auto"/>
          <w:highlight w:val="none"/>
        </w:rPr>
      </w:pPr>
      <w:r>
        <w:rPr>
          <w:color w:val="auto"/>
          <w:highlight w:val="none"/>
        </w:rPr>
        <w:t>pHsd——</w:t>
      </w:r>
      <w:r>
        <w:rPr>
          <w:rFonts w:hint="eastAsia"/>
          <w:color w:val="auto"/>
          <w:highlight w:val="none"/>
          <w:lang w:val="en-US" w:eastAsia="zh-CN"/>
        </w:rPr>
        <w:t>评价</w:t>
      </w:r>
      <w:r>
        <w:rPr>
          <w:color w:val="auto"/>
          <w:highlight w:val="none"/>
        </w:rPr>
        <w:t>标准中pH值的下限值；</w:t>
      </w:r>
    </w:p>
    <w:p w14:paraId="68941981">
      <w:pPr>
        <w:pStyle w:val="3"/>
        <w:ind w:firstLine="480"/>
        <w:rPr>
          <w:color w:val="auto"/>
          <w:highlight w:val="none"/>
        </w:rPr>
      </w:pPr>
      <w:r>
        <w:rPr>
          <w:color w:val="auto"/>
          <w:highlight w:val="none"/>
        </w:rPr>
        <w:t>pHsu——</w:t>
      </w:r>
      <w:r>
        <w:rPr>
          <w:rFonts w:hint="eastAsia"/>
          <w:color w:val="auto"/>
          <w:highlight w:val="none"/>
          <w:lang w:val="en-US" w:eastAsia="zh-CN"/>
        </w:rPr>
        <w:t>评价</w:t>
      </w:r>
      <w:r>
        <w:rPr>
          <w:color w:val="auto"/>
          <w:highlight w:val="none"/>
        </w:rPr>
        <w:t>标准中pH值的上限值。</w:t>
      </w:r>
    </w:p>
    <w:p w14:paraId="5F72571B">
      <w:pPr>
        <w:pStyle w:val="3"/>
        <w:ind w:firstLine="480"/>
        <w:rPr>
          <w:rFonts w:hint="default" w:eastAsia="华文中宋"/>
          <w:color w:val="auto"/>
          <w:highlight w:val="none"/>
          <w:lang w:val="en-US" w:eastAsia="zh-CN"/>
        </w:rPr>
      </w:pPr>
      <w:r>
        <w:rPr>
          <w:rFonts w:hint="eastAsia"/>
          <w:color w:val="auto"/>
          <w:highlight w:val="none"/>
          <w:lang w:val="en-US" w:eastAsia="zh-CN"/>
        </w:rPr>
        <w:t>溶解氧的标准指数计算公式为：</w:t>
      </w:r>
    </w:p>
    <w:p w14:paraId="550D9D1E">
      <w:pPr>
        <w:pStyle w:val="3"/>
        <w:spacing w:line="240" w:lineRule="auto"/>
        <w:ind w:firstLine="480"/>
        <w:jc w:val="center"/>
        <w:rPr>
          <w:rFonts w:hint="eastAsia" w:eastAsia="华文中宋"/>
          <w:color w:val="auto"/>
          <w:highlight w:val="none"/>
          <w:lang w:eastAsia="zh-CN"/>
        </w:rPr>
      </w:pPr>
      <w:r>
        <w:rPr>
          <w:rFonts w:hint="eastAsia" w:eastAsia="华文中宋"/>
          <w:color w:val="auto"/>
          <w:highlight w:val="none"/>
          <w:lang w:eastAsia="zh-CN"/>
        </w:rPr>
        <w:drawing>
          <wp:inline distT="0" distB="0" distL="114300" distR="114300">
            <wp:extent cx="2657475" cy="855980"/>
            <wp:effectExtent l="0" t="0" r="9525" b="1270"/>
            <wp:docPr id="55" name="图片 5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图片1"/>
                    <pic:cNvPicPr>
                      <a:picLocks noChangeAspect="1"/>
                    </pic:cNvPicPr>
                  </pic:nvPicPr>
                  <pic:blipFill>
                    <a:blip r:embed="rId39"/>
                    <a:stretch>
                      <a:fillRect/>
                    </a:stretch>
                  </pic:blipFill>
                  <pic:spPr>
                    <a:xfrm>
                      <a:off x="0" y="0"/>
                      <a:ext cx="2657475" cy="855980"/>
                    </a:xfrm>
                    <a:prstGeom prst="rect">
                      <a:avLst/>
                    </a:prstGeom>
                  </pic:spPr>
                </pic:pic>
              </a:graphicData>
            </a:graphic>
          </wp:inline>
        </w:drawing>
      </w:r>
    </w:p>
    <w:p w14:paraId="528A52E4">
      <w:pPr>
        <w:pStyle w:val="3"/>
        <w:ind w:firstLine="480"/>
        <w:rPr>
          <w:color w:val="auto"/>
          <w:highlight w:val="none"/>
        </w:rPr>
      </w:pPr>
      <w:r>
        <w:rPr>
          <w:color w:val="auto"/>
          <w:highlight w:val="none"/>
        </w:rPr>
        <w:t>S</w:t>
      </w:r>
      <w:r>
        <w:rPr>
          <w:rFonts w:hint="eastAsia"/>
          <w:color w:val="auto"/>
          <w:highlight w:val="none"/>
          <w:vertAlign w:val="subscript"/>
          <w:lang w:val="en-US" w:eastAsia="zh-CN"/>
        </w:rPr>
        <w:t>DO</w:t>
      </w:r>
      <w:r>
        <w:rPr>
          <w:rFonts w:hint="eastAsia"/>
          <w:color w:val="auto"/>
          <w:highlight w:val="none"/>
          <w:lang w:val="en-US" w:eastAsia="zh-CN"/>
        </w:rPr>
        <w:t>,</w:t>
      </w:r>
      <w:r>
        <w:rPr>
          <w:color w:val="auto"/>
          <w:highlight w:val="none"/>
          <w:vertAlign w:val="subscript"/>
        </w:rPr>
        <w:t>j</w:t>
      </w:r>
      <w:r>
        <w:rPr>
          <w:color w:val="auto"/>
          <w:highlight w:val="none"/>
        </w:rPr>
        <w:t>——</w:t>
      </w:r>
      <w:r>
        <w:rPr>
          <w:rFonts w:hint="eastAsia"/>
          <w:color w:val="auto"/>
          <w:highlight w:val="none"/>
          <w:lang w:val="en-US" w:eastAsia="zh-CN"/>
        </w:rPr>
        <w:t>溶解氧的标准指数</w:t>
      </w:r>
      <w:r>
        <w:rPr>
          <w:color w:val="auto"/>
          <w:highlight w:val="none"/>
        </w:rPr>
        <w:t>；</w:t>
      </w:r>
    </w:p>
    <w:p w14:paraId="418CB163">
      <w:pPr>
        <w:pStyle w:val="3"/>
        <w:ind w:firstLine="480"/>
        <w:rPr>
          <w:color w:val="auto"/>
          <w:highlight w:val="none"/>
        </w:rPr>
      </w:pPr>
      <w:r>
        <w:rPr>
          <w:rFonts w:hint="eastAsia"/>
          <w:color w:val="auto"/>
          <w:highlight w:val="none"/>
          <w:lang w:val="en-US" w:eastAsia="zh-CN"/>
        </w:rPr>
        <w:t>DO</w:t>
      </w:r>
      <w:r>
        <w:rPr>
          <w:color w:val="auto"/>
          <w:highlight w:val="none"/>
          <w:vertAlign w:val="subscript"/>
        </w:rPr>
        <w:t>j</w:t>
      </w:r>
      <w:r>
        <w:rPr>
          <w:color w:val="auto"/>
          <w:highlight w:val="none"/>
        </w:rPr>
        <w:t>——</w:t>
      </w:r>
      <w:r>
        <w:rPr>
          <w:rFonts w:hint="eastAsia"/>
          <w:color w:val="auto"/>
          <w:highlight w:val="none"/>
          <w:lang w:val="en-US" w:eastAsia="zh-CN"/>
        </w:rPr>
        <w:t>溶解氧实测</w:t>
      </w:r>
      <w:r>
        <w:rPr>
          <w:color w:val="auto"/>
          <w:highlight w:val="none"/>
        </w:rPr>
        <w:t>值；</w:t>
      </w:r>
    </w:p>
    <w:p w14:paraId="577450FF">
      <w:pPr>
        <w:pStyle w:val="3"/>
        <w:ind w:firstLine="480"/>
        <w:rPr>
          <w:color w:val="auto"/>
          <w:highlight w:val="none"/>
        </w:rPr>
      </w:pPr>
      <w:r>
        <w:rPr>
          <w:rFonts w:hint="eastAsia"/>
          <w:color w:val="auto"/>
          <w:highlight w:val="none"/>
          <w:lang w:val="en-US" w:eastAsia="zh-CN"/>
        </w:rPr>
        <w:t>DO</w:t>
      </w:r>
      <w:r>
        <w:rPr>
          <w:color w:val="auto"/>
          <w:highlight w:val="none"/>
        </w:rPr>
        <w:t>s——</w:t>
      </w:r>
      <w:r>
        <w:rPr>
          <w:rFonts w:hint="eastAsia"/>
          <w:color w:val="auto"/>
          <w:highlight w:val="none"/>
          <w:lang w:val="en-US" w:eastAsia="zh-CN"/>
        </w:rPr>
        <w:t>溶解氧的水质评价标准限值</w:t>
      </w:r>
      <w:r>
        <w:rPr>
          <w:color w:val="auto"/>
          <w:highlight w:val="none"/>
        </w:rPr>
        <w:t>；</w:t>
      </w:r>
    </w:p>
    <w:p w14:paraId="13148756">
      <w:pPr>
        <w:pStyle w:val="3"/>
        <w:ind w:firstLine="480"/>
        <w:rPr>
          <w:color w:val="auto"/>
          <w:highlight w:val="none"/>
        </w:rPr>
      </w:pPr>
      <w:r>
        <w:rPr>
          <w:rFonts w:hint="eastAsia"/>
          <w:color w:val="auto"/>
          <w:highlight w:val="none"/>
          <w:lang w:val="en-US" w:eastAsia="zh-CN"/>
        </w:rPr>
        <w:t>DO</w:t>
      </w:r>
      <w:r>
        <w:rPr>
          <w:rFonts w:hint="eastAsia"/>
          <w:color w:val="auto"/>
          <w:highlight w:val="none"/>
          <w:vertAlign w:val="subscript"/>
          <w:lang w:val="en-US" w:eastAsia="zh-CN"/>
        </w:rPr>
        <w:t>f</w:t>
      </w:r>
      <w:r>
        <w:rPr>
          <w:color w:val="auto"/>
          <w:highlight w:val="none"/>
        </w:rPr>
        <w:t>——</w:t>
      </w:r>
      <w:r>
        <w:rPr>
          <w:rFonts w:hint="eastAsia"/>
          <w:color w:val="auto"/>
          <w:highlight w:val="none"/>
          <w:lang w:val="en-US" w:eastAsia="zh-CN"/>
        </w:rPr>
        <w:t>饱和溶解氧浓度</w:t>
      </w:r>
      <w:r>
        <w:rPr>
          <w:color w:val="auto"/>
          <w:highlight w:val="none"/>
        </w:rPr>
        <w:t>。</w:t>
      </w:r>
    </w:p>
    <w:p w14:paraId="578206D1">
      <w:pPr>
        <w:pStyle w:val="3"/>
        <w:ind w:firstLine="480"/>
        <w:rPr>
          <w:color w:val="auto"/>
          <w:highlight w:val="none"/>
        </w:rPr>
      </w:pPr>
      <w:r>
        <w:rPr>
          <w:rFonts w:hint="eastAsia"/>
          <w:color w:val="auto"/>
          <w:highlight w:val="none"/>
        </w:rPr>
        <w:t>（4）评价结果</w:t>
      </w:r>
    </w:p>
    <w:p w14:paraId="72E4F7FB">
      <w:pPr>
        <w:pStyle w:val="40"/>
        <w:spacing w:before="24" w:after="24"/>
        <w:rPr>
          <w:color w:val="auto"/>
          <w:highlight w:val="none"/>
        </w:rPr>
        <w:sectPr>
          <w:pgSz w:w="11900" w:h="16840"/>
          <w:pgMar w:top="1440" w:right="1803" w:bottom="1440" w:left="1803" w:header="1020" w:footer="673" w:gutter="0"/>
          <w:pgBorders>
            <w:top w:val="none" w:sz="0" w:space="0"/>
            <w:left w:val="none" w:sz="0" w:space="0"/>
            <w:bottom w:val="none" w:sz="0" w:space="0"/>
            <w:right w:val="none" w:sz="0" w:space="0"/>
          </w:pgBorders>
          <w:cols w:space="720" w:num="1"/>
          <w:docGrid w:linePitch="326" w:charSpace="0"/>
        </w:sectPr>
      </w:pPr>
    </w:p>
    <w:p w14:paraId="47FF6380">
      <w:pPr>
        <w:pStyle w:val="40"/>
        <w:spacing w:before="0" w:after="0"/>
        <w:rPr>
          <w:color w:val="auto"/>
          <w:sz w:val="24"/>
          <w:szCs w:val="24"/>
          <w:highlight w:val="none"/>
        </w:rPr>
      </w:pPr>
      <w:r>
        <w:rPr>
          <w:color w:val="auto"/>
          <w:sz w:val="24"/>
          <w:szCs w:val="24"/>
          <w:highlight w:val="none"/>
        </w:rPr>
        <w:t>表4.2-</w:t>
      </w:r>
      <w:r>
        <w:rPr>
          <w:rFonts w:hint="eastAsia"/>
          <w:color w:val="auto"/>
          <w:sz w:val="24"/>
          <w:szCs w:val="24"/>
          <w:highlight w:val="none"/>
        </w:rPr>
        <w:t>5</w:t>
      </w:r>
      <w:r>
        <w:rPr>
          <w:color w:val="auto"/>
          <w:sz w:val="24"/>
          <w:szCs w:val="24"/>
          <w:highlight w:val="none"/>
        </w:rPr>
        <w:t xml:space="preserve"> 现状监测评价结果统计表    </w:t>
      </w:r>
      <w:r>
        <w:rPr>
          <w:rFonts w:hint="eastAsia"/>
          <w:color w:val="auto"/>
          <w:sz w:val="24"/>
          <w:szCs w:val="24"/>
          <w:highlight w:val="none"/>
        </w:rPr>
        <w:t>除pH外</w:t>
      </w:r>
      <w:r>
        <w:rPr>
          <w:color w:val="auto"/>
          <w:sz w:val="24"/>
          <w:szCs w:val="24"/>
          <w:highlight w:val="none"/>
        </w:rPr>
        <w:t>其余均为mg/L</w:t>
      </w:r>
    </w:p>
    <w:tbl>
      <w:tblPr>
        <w:tblStyle w:val="25"/>
        <w:tblW w:w="5000"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553"/>
        <w:gridCol w:w="1725"/>
        <w:gridCol w:w="1147"/>
        <w:gridCol w:w="1050"/>
        <w:gridCol w:w="953"/>
        <w:gridCol w:w="1136"/>
        <w:gridCol w:w="1157"/>
        <w:gridCol w:w="1265"/>
        <w:gridCol w:w="1103"/>
        <w:gridCol w:w="1039"/>
        <w:gridCol w:w="986"/>
        <w:gridCol w:w="879"/>
        <w:gridCol w:w="1183"/>
      </w:tblGrid>
      <w:tr w14:paraId="41E3B4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vMerge w:val="restart"/>
            <w:tcBorders>
              <w:tl2br w:val="nil"/>
              <w:tr2bl w:val="nil"/>
            </w:tcBorders>
            <w:shd w:val="clear" w:color="auto" w:fill="auto"/>
            <w:vAlign w:val="center"/>
          </w:tcPr>
          <w:p w14:paraId="7A600B27">
            <w:pPr>
              <w:pStyle w:val="41"/>
              <w:keepNext w:val="0"/>
              <w:keepLines w:val="0"/>
              <w:widowControl/>
              <w:suppressLineNumbers w:val="0"/>
              <w:ind w:firstLineChars="0"/>
              <w:textAlignment w:val="center"/>
              <w:rPr>
                <w:color w:val="auto"/>
                <w:highlight w:val="none"/>
              </w:rPr>
            </w:pPr>
            <w:r>
              <w:rPr>
                <w:rFonts w:hint="eastAsia"/>
                <w:color w:val="auto"/>
                <w:highlight w:val="none"/>
                <w:lang w:val="en-US" w:eastAsia="zh-CN"/>
              </w:rPr>
              <w:t>序号</w:t>
            </w:r>
          </w:p>
        </w:tc>
        <w:tc>
          <w:tcPr>
            <w:tcW w:w="608" w:type="pct"/>
            <w:vMerge w:val="restart"/>
            <w:tcBorders>
              <w:tl2br w:val="nil"/>
              <w:tr2bl w:val="nil"/>
            </w:tcBorders>
            <w:shd w:val="clear" w:color="auto" w:fill="auto"/>
            <w:vAlign w:val="center"/>
          </w:tcPr>
          <w:p w14:paraId="6E6DA8C7">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项目</w:t>
            </w:r>
          </w:p>
        </w:tc>
        <w:tc>
          <w:tcPr>
            <w:tcW w:w="404" w:type="pct"/>
            <w:vMerge w:val="restart"/>
            <w:tcBorders>
              <w:tl2br w:val="nil"/>
              <w:tr2bl w:val="nil"/>
            </w:tcBorders>
            <w:shd w:val="clear" w:color="auto" w:fill="auto"/>
            <w:vAlign w:val="center"/>
          </w:tcPr>
          <w:p w14:paraId="453BB0BC">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标准值</w:t>
            </w:r>
          </w:p>
        </w:tc>
        <w:tc>
          <w:tcPr>
            <w:tcW w:w="1961" w:type="pct"/>
            <w:gridSpan w:val="5"/>
            <w:tcBorders>
              <w:tl2br w:val="nil"/>
              <w:tr2bl w:val="nil"/>
            </w:tcBorders>
            <w:shd w:val="clear" w:color="auto" w:fill="auto"/>
            <w:vAlign w:val="center"/>
          </w:tcPr>
          <w:p w14:paraId="4C7A6B85">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1#（上游）</w:t>
            </w:r>
          </w:p>
        </w:tc>
        <w:tc>
          <w:tcPr>
            <w:tcW w:w="1830" w:type="pct"/>
            <w:gridSpan w:val="5"/>
            <w:tcBorders>
              <w:tl2br w:val="nil"/>
              <w:tr2bl w:val="nil"/>
            </w:tcBorders>
            <w:shd w:val="clear" w:color="auto" w:fill="auto"/>
            <w:vAlign w:val="center"/>
          </w:tcPr>
          <w:p w14:paraId="73C529F0">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2#（下游）</w:t>
            </w:r>
          </w:p>
        </w:tc>
      </w:tr>
      <w:tr w14:paraId="43A70DB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0" w:hRule="atLeast"/>
        </w:trPr>
        <w:tc>
          <w:tcPr>
            <w:tcW w:w="195" w:type="pct"/>
            <w:vMerge w:val="continue"/>
            <w:tcBorders>
              <w:tl2br w:val="nil"/>
              <w:tr2bl w:val="nil"/>
            </w:tcBorders>
            <w:shd w:val="clear" w:color="auto" w:fill="auto"/>
            <w:vAlign w:val="center"/>
          </w:tcPr>
          <w:p w14:paraId="2222DEF9">
            <w:pPr>
              <w:pStyle w:val="41"/>
              <w:rPr>
                <w:rFonts w:hint="eastAsia"/>
                <w:color w:val="auto"/>
                <w:highlight w:val="none"/>
              </w:rPr>
            </w:pPr>
          </w:p>
        </w:tc>
        <w:tc>
          <w:tcPr>
            <w:tcW w:w="608" w:type="pct"/>
            <w:vMerge w:val="continue"/>
            <w:tcBorders>
              <w:tl2br w:val="nil"/>
              <w:tr2bl w:val="nil"/>
            </w:tcBorders>
            <w:shd w:val="clear" w:color="auto" w:fill="auto"/>
            <w:vAlign w:val="center"/>
          </w:tcPr>
          <w:p w14:paraId="639CF773">
            <w:pPr>
              <w:pStyle w:val="41"/>
              <w:textAlignment w:val="center"/>
              <w:rPr>
                <w:rFonts w:hint="eastAsia"/>
                <w:color w:val="auto"/>
                <w:highlight w:val="none"/>
              </w:rPr>
            </w:pPr>
          </w:p>
        </w:tc>
        <w:tc>
          <w:tcPr>
            <w:tcW w:w="404" w:type="pct"/>
            <w:vMerge w:val="continue"/>
            <w:tcBorders>
              <w:tl2br w:val="nil"/>
              <w:tr2bl w:val="nil"/>
            </w:tcBorders>
            <w:shd w:val="clear" w:color="auto" w:fill="auto"/>
            <w:vAlign w:val="center"/>
          </w:tcPr>
          <w:p w14:paraId="24A9ECED">
            <w:pPr>
              <w:pStyle w:val="41"/>
              <w:textAlignment w:val="center"/>
              <w:rPr>
                <w:rFonts w:hint="eastAsia"/>
                <w:color w:val="auto"/>
                <w:highlight w:val="none"/>
              </w:rPr>
            </w:pPr>
          </w:p>
        </w:tc>
        <w:tc>
          <w:tcPr>
            <w:tcW w:w="1107" w:type="pct"/>
            <w:gridSpan w:val="3"/>
            <w:tcBorders>
              <w:tl2br w:val="nil"/>
              <w:tr2bl w:val="nil"/>
            </w:tcBorders>
            <w:shd w:val="clear" w:color="auto" w:fill="auto"/>
            <w:vAlign w:val="center"/>
          </w:tcPr>
          <w:p w14:paraId="1815D327">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监测值</w:t>
            </w:r>
          </w:p>
        </w:tc>
        <w:tc>
          <w:tcPr>
            <w:tcW w:w="408" w:type="pct"/>
            <w:tcBorders>
              <w:tl2br w:val="nil"/>
              <w:tr2bl w:val="nil"/>
            </w:tcBorders>
            <w:shd w:val="clear" w:color="auto" w:fill="auto"/>
            <w:vAlign w:val="center"/>
          </w:tcPr>
          <w:p w14:paraId="474CCE83">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最大值</w:t>
            </w:r>
          </w:p>
        </w:tc>
        <w:tc>
          <w:tcPr>
            <w:tcW w:w="446" w:type="pct"/>
            <w:tcBorders>
              <w:tl2br w:val="nil"/>
              <w:tr2bl w:val="nil"/>
            </w:tcBorders>
            <w:shd w:val="clear" w:color="auto" w:fill="auto"/>
            <w:vAlign w:val="center"/>
          </w:tcPr>
          <w:p w14:paraId="61ACBA04">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最大Pi</w:t>
            </w:r>
          </w:p>
        </w:tc>
        <w:tc>
          <w:tcPr>
            <w:tcW w:w="1103" w:type="pct"/>
            <w:gridSpan w:val="3"/>
            <w:tcBorders>
              <w:tl2br w:val="nil"/>
              <w:tr2bl w:val="nil"/>
            </w:tcBorders>
            <w:shd w:val="clear" w:color="auto" w:fill="auto"/>
            <w:vAlign w:val="center"/>
          </w:tcPr>
          <w:p w14:paraId="0D6B8E17">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监测值</w:t>
            </w:r>
          </w:p>
        </w:tc>
        <w:tc>
          <w:tcPr>
            <w:tcW w:w="310" w:type="pct"/>
            <w:tcBorders>
              <w:tl2br w:val="nil"/>
              <w:tr2bl w:val="nil"/>
            </w:tcBorders>
            <w:shd w:val="clear" w:color="auto" w:fill="auto"/>
            <w:vAlign w:val="center"/>
          </w:tcPr>
          <w:p w14:paraId="13A666DB">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最大值</w:t>
            </w:r>
          </w:p>
        </w:tc>
        <w:tc>
          <w:tcPr>
            <w:tcW w:w="417" w:type="pct"/>
            <w:tcBorders>
              <w:tl2br w:val="nil"/>
              <w:tr2bl w:val="nil"/>
            </w:tcBorders>
            <w:shd w:val="clear" w:color="auto" w:fill="auto"/>
            <w:vAlign w:val="center"/>
          </w:tcPr>
          <w:p w14:paraId="413730ED">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最大Pi</w:t>
            </w:r>
          </w:p>
        </w:tc>
      </w:tr>
      <w:tr w14:paraId="3D8D04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195" w:type="pct"/>
            <w:tcBorders>
              <w:tl2br w:val="nil"/>
              <w:tr2bl w:val="nil"/>
            </w:tcBorders>
            <w:shd w:val="clear" w:color="auto" w:fill="auto"/>
            <w:vAlign w:val="center"/>
          </w:tcPr>
          <w:p w14:paraId="45A95930">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w:t>
            </w:r>
          </w:p>
        </w:tc>
        <w:tc>
          <w:tcPr>
            <w:tcW w:w="608" w:type="pct"/>
            <w:tcBorders>
              <w:tl2br w:val="nil"/>
              <w:tr2bl w:val="nil"/>
            </w:tcBorders>
            <w:shd w:val="clear" w:color="auto" w:fill="auto"/>
            <w:vAlign w:val="center"/>
          </w:tcPr>
          <w:p w14:paraId="6DC891B7">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pH</w:t>
            </w:r>
          </w:p>
        </w:tc>
        <w:tc>
          <w:tcPr>
            <w:tcW w:w="404" w:type="pct"/>
            <w:tcBorders>
              <w:tl2br w:val="nil"/>
              <w:tr2bl w:val="nil"/>
            </w:tcBorders>
            <w:shd w:val="clear" w:color="auto" w:fill="auto"/>
            <w:vAlign w:val="center"/>
          </w:tcPr>
          <w:p w14:paraId="3DE42ACC">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6~9</w:t>
            </w:r>
          </w:p>
        </w:tc>
        <w:tc>
          <w:tcPr>
            <w:tcW w:w="370" w:type="pct"/>
            <w:tcBorders>
              <w:tl2br w:val="nil"/>
              <w:tr2bl w:val="nil"/>
            </w:tcBorders>
            <w:shd w:val="clear" w:color="auto" w:fill="auto"/>
            <w:vAlign w:val="center"/>
          </w:tcPr>
          <w:p w14:paraId="0F2DB81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7.5</w:t>
            </w:r>
          </w:p>
        </w:tc>
        <w:tc>
          <w:tcPr>
            <w:tcW w:w="336" w:type="pct"/>
            <w:tcBorders>
              <w:tl2br w:val="nil"/>
              <w:tr2bl w:val="nil"/>
            </w:tcBorders>
            <w:shd w:val="clear" w:color="auto" w:fill="auto"/>
            <w:vAlign w:val="center"/>
          </w:tcPr>
          <w:p w14:paraId="704D1A10">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7.7</w:t>
            </w:r>
          </w:p>
        </w:tc>
        <w:tc>
          <w:tcPr>
            <w:tcW w:w="400" w:type="pct"/>
            <w:tcBorders>
              <w:tl2br w:val="nil"/>
              <w:tr2bl w:val="nil"/>
            </w:tcBorders>
            <w:shd w:val="clear" w:color="auto" w:fill="auto"/>
            <w:vAlign w:val="center"/>
          </w:tcPr>
          <w:p w14:paraId="1C948942">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7.7</w:t>
            </w:r>
          </w:p>
        </w:tc>
        <w:tc>
          <w:tcPr>
            <w:tcW w:w="408" w:type="pct"/>
            <w:tcBorders>
              <w:tl2br w:val="nil"/>
              <w:tr2bl w:val="nil"/>
            </w:tcBorders>
            <w:shd w:val="clear" w:color="auto" w:fill="auto"/>
            <w:vAlign w:val="center"/>
          </w:tcPr>
          <w:p w14:paraId="7DC538BA">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7.7</w:t>
            </w:r>
          </w:p>
        </w:tc>
        <w:tc>
          <w:tcPr>
            <w:tcW w:w="446" w:type="pct"/>
            <w:tcBorders>
              <w:tl2br w:val="nil"/>
              <w:tr2bl w:val="nil"/>
            </w:tcBorders>
            <w:shd w:val="clear" w:color="auto" w:fill="auto"/>
            <w:vAlign w:val="center"/>
          </w:tcPr>
          <w:p w14:paraId="726EE42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0.35</w:t>
            </w:r>
          </w:p>
        </w:tc>
        <w:tc>
          <w:tcPr>
            <w:tcW w:w="389" w:type="pct"/>
            <w:tcBorders>
              <w:tl2br w:val="nil"/>
              <w:tr2bl w:val="nil"/>
            </w:tcBorders>
            <w:shd w:val="clear" w:color="auto" w:fill="auto"/>
            <w:vAlign w:val="center"/>
          </w:tcPr>
          <w:p w14:paraId="49D2C1C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7.8</w:t>
            </w:r>
          </w:p>
        </w:tc>
        <w:tc>
          <w:tcPr>
            <w:tcW w:w="366" w:type="pct"/>
            <w:tcBorders>
              <w:tl2br w:val="nil"/>
              <w:tr2bl w:val="nil"/>
            </w:tcBorders>
            <w:shd w:val="clear" w:color="auto" w:fill="auto"/>
            <w:vAlign w:val="center"/>
          </w:tcPr>
          <w:p w14:paraId="53D79E8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7.6</w:t>
            </w:r>
          </w:p>
        </w:tc>
        <w:tc>
          <w:tcPr>
            <w:tcW w:w="347" w:type="pct"/>
            <w:tcBorders>
              <w:tl2br w:val="nil"/>
              <w:tr2bl w:val="nil"/>
            </w:tcBorders>
            <w:shd w:val="clear" w:color="auto" w:fill="auto"/>
            <w:vAlign w:val="center"/>
          </w:tcPr>
          <w:p w14:paraId="69B2789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7.8</w:t>
            </w:r>
          </w:p>
        </w:tc>
        <w:tc>
          <w:tcPr>
            <w:tcW w:w="310" w:type="pct"/>
            <w:tcBorders>
              <w:tl2br w:val="nil"/>
              <w:tr2bl w:val="nil"/>
            </w:tcBorders>
            <w:shd w:val="clear" w:color="auto" w:fill="auto"/>
            <w:vAlign w:val="center"/>
          </w:tcPr>
          <w:p w14:paraId="40FB259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7.8</w:t>
            </w:r>
          </w:p>
        </w:tc>
        <w:tc>
          <w:tcPr>
            <w:tcW w:w="417" w:type="pct"/>
            <w:tcBorders>
              <w:tl2br w:val="nil"/>
              <w:tr2bl w:val="nil"/>
            </w:tcBorders>
            <w:shd w:val="clear" w:color="auto" w:fill="auto"/>
            <w:vAlign w:val="center"/>
          </w:tcPr>
          <w:p w14:paraId="78B3E672">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0.4</w:t>
            </w:r>
          </w:p>
        </w:tc>
      </w:tr>
      <w:tr w14:paraId="325DDA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7C7E481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2</w:t>
            </w:r>
          </w:p>
        </w:tc>
        <w:tc>
          <w:tcPr>
            <w:tcW w:w="608" w:type="pct"/>
            <w:tcBorders>
              <w:tl2br w:val="nil"/>
              <w:tr2bl w:val="nil"/>
            </w:tcBorders>
            <w:shd w:val="clear" w:color="auto" w:fill="auto"/>
            <w:vAlign w:val="center"/>
          </w:tcPr>
          <w:p w14:paraId="192743AC">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溶解氧</w:t>
            </w:r>
          </w:p>
        </w:tc>
        <w:tc>
          <w:tcPr>
            <w:tcW w:w="404" w:type="pct"/>
            <w:tcBorders>
              <w:tl2br w:val="nil"/>
              <w:tr2bl w:val="nil"/>
            </w:tcBorders>
            <w:shd w:val="clear" w:color="auto" w:fill="auto"/>
            <w:vAlign w:val="center"/>
          </w:tcPr>
          <w:p w14:paraId="61EC0C2D">
            <w:pPr>
              <w:pStyle w:val="41"/>
              <w:keepNext w:val="0"/>
              <w:keepLines w:val="0"/>
              <w:widowControl/>
              <w:suppressLineNumbers w:val="0"/>
              <w:ind w:firstLineChars="0"/>
              <w:textAlignment w:val="center"/>
              <w:rPr>
                <w:rFonts w:hint="default"/>
                <w:color w:val="auto"/>
                <w:highlight w:val="none"/>
              </w:rPr>
            </w:pPr>
            <w:r>
              <w:rPr>
                <w:rFonts w:hint="eastAsia"/>
                <w:color w:val="auto"/>
                <w:highlight w:val="none"/>
                <w:lang w:val="en-US" w:eastAsia="zh-CN"/>
              </w:rPr>
              <w:t>≥</w:t>
            </w:r>
            <w:r>
              <w:rPr>
                <w:rFonts w:hint="default"/>
                <w:color w:val="auto"/>
                <w:highlight w:val="none"/>
                <w:lang w:val="en-US" w:eastAsia="zh-CN"/>
              </w:rPr>
              <w:t>6</w:t>
            </w:r>
          </w:p>
        </w:tc>
        <w:tc>
          <w:tcPr>
            <w:tcW w:w="370" w:type="pct"/>
            <w:tcBorders>
              <w:tl2br w:val="nil"/>
              <w:tr2bl w:val="nil"/>
            </w:tcBorders>
            <w:shd w:val="clear" w:color="auto" w:fill="auto"/>
            <w:vAlign w:val="center"/>
          </w:tcPr>
          <w:p w14:paraId="3165CE2E">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7.7</w:t>
            </w:r>
          </w:p>
        </w:tc>
        <w:tc>
          <w:tcPr>
            <w:tcW w:w="336" w:type="pct"/>
            <w:tcBorders>
              <w:tl2br w:val="nil"/>
              <w:tr2bl w:val="nil"/>
            </w:tcBorders>
            <w:shd w:val="clear" w:color="auto" w:fill="auto"/>
            <w:vAlign w:val="center"/>
          </w:tcPr>
          <w:p w14:paraId="5036660E">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7.7</w:t>
            </w:r>
          </w:p>
        </w:tc>
        <w:tc>
          <w:tcPr>
            <w:tcW w:w="400" w:type="pct"/>
            <w:tcBorders>
              <w:tl2br w:val="nil"/>
              <w:tr2bl w:val="nil"/>
            </w:tcBorders>
            <w:shd w:val="clear" w:color="auto" w:fill="auto"/>
            <w:vAlign w:val="center"/>
          </w:tcPr>
          <w:p w14:paraId="4E65112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7.6</w:t>
            </w:r>
          </w:p>
        </w:tc>
        <w:tc>
          <w:tcPr>
            <w:tcW w:w="408" w:type="pct"/>
            <w:tcBorders>
              <w:tl2br w:val="nil"/>
              <w:tr2bl w:val="nil"/>
            </w:tcBorders>
            <w:shd w:val="clear" w:color="auto" w:fill="auto"/>
            <w:vAlign w:val="center"/>
          </w:tcPr>
          <w:p w14:paraId="3D9B26EE">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7.7</w:t>
            </w:r>
          </w:p>
        </w:tc>
        <w:tc>
          <w:tcPr>
            <w:tcW w:w="446" w:type="pct"/>
            <w:tcBorders>
              <w:tl2br w:val="nil"/>
              <w:tr2bl w:val="nil"/>
            </w:tcBorders>
            <w:shd w:val="clear" w:color="auto" w:fill="auto"/>
            <w:vAlign w:val="center"/>
          </w:tcPr>
          <w:p w14:paraId="164A9E6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0.78</w:t>
            </w:r>
          </w:p>
        </w:tc>
        <w:tc>
          <w:tcPr>
            <w:tcW w:w="389" w:type="pct"/>
            <w:tcBorders>
              <w:tl2br w:val="nil"/>
              <w:tr2bl w:val="nil"/>
            </w:tcBorders>
            <w:shd w:val="clear" w:color="auto" w:fill="auto"/>
            <w:vAlign w:val="center"/>
          </w:tcPr>
          <w:p w14:paraId="29A1289A">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7.8</w:t>
            </w:r>
          </w:p>
        </w:tc>
        <w:tc>
          <w:tcPr>
            <w:tcW w:w="366" w:type="pct"/>
            <w:tcBorders>
              <w:tl2br w:val="nil"/>
              <w:tr2bl w:val="nil"/>
            </w:tcBorders>
            <w:shd w:val="clear" w:color="auto" w:fill="auto"/>
            <w:vAlign w:val="center"/>
          </w:tcPr>
          <w:p w14:paraId="4FB1EA8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7.7</w:t>
            </w:r>
          </w:p>
        </w:tc>
        <w:tc>
          <w:tcPr>
            <w:tcW w:w="347" w:type="pct"/>
            <w:tcBorders>
              <w:tl2br w:val="nil"/>
              <w:tr2bl w:val="nil"/>
            </w:tcBorders>
            <w:shd w:val="clear" w:color="auto" w:fill="auto"/>
            <w:vAlign w:val="center"/>
          </w:tcPr>
          <w:p w14:paraId="459EC5CB">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7.7</w:t>
            </w:r>
          </w:p>
        </w:tc>
        <w:tc>
          <w:tcPr>
            <w:tcW w:w="310" w:type="pct"/>
            <w:tcBorders>
              <w:tl2br w:val="nil"/>
              <w:tr2bl w:val="nil"/>
            </w:tcBorders>
            <w:shd w:val="clear" w:color="auto" w:fill="auto"/>
            <w:vAlign w:val="center"/>
          </w:tcPr>
          <w:p w14:paraId="69F8B85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7.8</w:t>
            </w:r>
          </w:p>
        </w:tc>
        <w:tc>
          <w:tcPr>
            <w:tcW w:w="417" w:type="pct"/>
            <w:tcBorders>
              <w:tl2br w:val="nil"/>
              <w:tr2bl w:val="nil"/>
            </w:tcBorders>
            <w:shd w:val="clear" w:color="auto" w:fill="auto"/>
            <w:vAlign w:val="center"/>
          </w:tcPr>
          <w:p w14:paraId="62ECA1E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0.77</w:t>
            </w:r>
          </w:p>
        </w:tc>
      </w:tr>
      <w:tr w14:paraId="0192202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373F3301">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3</w:t>
            </w:r>
          </w:p>
        </w:tc>
        <w:tc>
          <w:tcPr>
            <w:tcW w:w="608" w:type="pct"/>
            <w:tcBorders>
              <w:tl2br w:val="nil"/>
              <w:tr2bl w:val="nil"/>
            </w:tcBorders>
            <w:shd w:val="clear" w:color="auto" w:fill="auto"/>
            <w:vAlign w:val="center"/>
          </w:tcPr>
          <w:p w14:paraId="4DC5D7A7">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化学需氧量</w:t>
            </w:r>
          </w:p>
        </w:tc>
        <w:tc>
          <w:tcPr>
            <w:tcW w:w="404" w:type="pct"/>
            <w:tcBorders>
              <w:tl2br w:val="nil"/>
              <w:tr2bl w:val="nil"/>
            </w:tcBorders>
            <w:shd w:val="clear" w:color="auto" w:fill="auto"/>
            <w:vAlign w:val="center"/>
          </w:tcPr>
          <w:p w14:paraId="67064B14">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≤15</w:t>
            </w:r>
          </w:p>
        </w:tc>
        <w:tc>
          <w:tcPr>
            <w:tcW w:w="370" w:type="pct"/>
            <w:tcBorders>
              <w:tl2br w:val="nil"/>
              <w:tr2bl w:val="nil"/>
            </w:tcBorders>
            <w:shd w:val="clear" w:color="auto" w:fill="auto"/>
            <w:vAlign w:val="center"/>
          </w:tcPr>
          <w:p w14:paraId="7B0FD2B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14</w:t>
            </w:r>
          </w:p>
        </w:tc>
        <w:tc>
          <w:tcPr>
            <w:tcW w:w="336" w:type="pct"/>
            <w:tcBorders>
              <w:tl2br w:val="nil"/>
              <w:tr2bl w:val="nil"/>
            </w:tcBorders>
            <w:shd w:val="clear" w:color="auto" w:fill="auto"/>
            <w:vAlign w:val="center"/>
          </w:tcPr>
          <w:p w14:paraId="64FAD96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13</w:t>
            </w:r>
          </w:p>
        </w:tc>
        <w:tc>
          <w:tcPr>
            <w:tcW w:w="400" w:type="pct"/>
            <w:tcBorders>
              <w:tl2br w:val="nil"/>
              <w:tr2bl w:val="nil"/>
            </w:tcBorders>
            <w:shd w:val="clear" w:color="auto" w:fill="auto"/>
            <w:vAlign w:val="center"/>
          </w:tcPr>
          <w:p w14:paraId="311A75FE">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13</w:t>
            </w:r>
          </w:p>
        </w:tc>
        <w:tc>
          <w:tcPr>
            <w:tcW w:w="408" w:type="pct"/>
            <w:tcBorders>
              <w:tl2br w:val="nil"/>
              <w:tr2bl w:val="nil"/>
            </w:tcBorders>
            <w:shd w:val="clear" w:color="auto" w:fill="auto"/>
            <w:vAlign w:val="center"/>
          </w:tcPr>
          <w:p w14:paraId="647A4B6B">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14</w:t>
            </w:r>
          </w:p>
        </w:tc>
        <w:tc>
          <w:tcPr>
            <w:tcW w:w="446" w:type="pct"/>
            <w:tcBorders>
              <w:tl2br w:val="nil"/>
              <w:tr2bl w:val="nil"/>
            </w:tcBorders>
            <w:shd w:val="clear" w:color="auto" w:fill="auto"/>
            <w:vAlign w:val="center"/>
          </w:tcPr>
          <w:p w14:paraId="692C5BA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0.933333333</w:t>
            </w:r>
          </w:p>
        </w:tc>
        <w:tc>
          <w:tcPr>
            <w:tcW w:w="389" w:type="pct"/>
            <w:tcBorders>
              <w:tl2br w:val="nil"/>
              <w:tr2bl w:val="nil"/>
            </w:tcBorders>
            <w:shd w:val="clear" w:color="auto" w:fill="auto"/>
            <w:vAlign w:val="center"/>
          </w:tcPr>
          <w:p w14:paraId="00A4E8C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12</w:t>
            </w:r>
          </w:p>
        </w:tc>
        <w:tc>
          <w:tcPr>
            <w:tcW w:w="366" w:type="pct"/>
            <w:tcBorders>
              <w:tl2br w:val="nil"/>
              <w:tr2bl w:val="nil"/>
            </w:tcBorders>
            <w:shd w:val="clear" w:color="auto" w:fill="auto"/>
            <w:vAlign w:val="center"/>
          </w:tcPr>
          <w:p w14:paraId="2C07FF72">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11</w:t>
            </w:r>
          </w:p>
        </w:tc>
        <w:tc>
          <w:tcPr>
            <w:tcW w:w="347" w:type="pct"/>
            <w:tcBorders>
              <w:tl2br w:val="nil"/>
              <w:tr2bl w:val="nil"/>
            </w:tcBorders>
            <w:shd w:val="clear" w:color="auto" w:fill="auto"/>
            <w:vAlign w:val="center"/>
          </w:tcPr>
          <w:p w14:paraId="1E1B082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10</w:t>
            </w:r>
          </w:p>
        </w:tc>
        <w:tc>
          <w:tcPr>
            <w:tcW w:w="310" w:type="pct"/>
            <w:tcBorders>
              <w:tl2br w:val="nil"/>
              <w:tr2bl w:val="nil"/>
            </w:tcBorders>
            <w:shd w:val="clear" w:color="auto" w:fill="auto"/>
            <w:vAlign w:val="center"/>
          </w:tcPr>
          <w:p w14:paraId="6C5F8576">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12</w:t>
            </w:r>
          </w:p>
        </w:tc>
        <w:tc>
          <w:tcPr>
            <w:tcW w:w="417" w:type="pct"/>
            <w:tcBorders>
              <w:tl2br w:val="nil"/>
              <w:tr2bl w:val="nil"/>
            </w:tcBorders>
            <w:shd w:val="clear" w:color="auto" w:fill="auto"/>
            <w:vAlign w:val="center"/>
          </w:tcPr>
          <w:p w14:paraId="30D1FE1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0.8</w:t>
            </w:r>
          </w:p>
        </w:tc>
      </w:tr>
      <w:tr w14:paraId="4BC3763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68A27FDC">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4</w:t>
            </w:r>
          </w:p>
        </w:tc>
        <w:tc>
          <w:tcPr>
            <w:tcW w:w="608" w:type="pct"/>
            <w:tcBorders>
              <w:tl2br w:val="nil"/>
              <w:tr2bl w:val="nil"/>
            </w:tcBorders>
            <w:shd w:val="clear" w:color="auto" w:fill="auto"/>
            <w:vAlign w:val="center"/>
          </w:tcPr>
          <w:p w14:paraId="2E559680">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五日生化需氧量</w:t>
            </w:r>
          </w:p>
        </w:tc>
        <w:tc>
          <w:tcPr>
            <w:tcW w:w="404" w:type="pct"/>
            <w:tcBorders>
              <w:tl2br w:val="nil"/>
              <w:tr2bl w:val="nil"/>
            </w:tcBorders>
            <w:shd w:val="clear" w:color="auto" w:fill="auto"/>
            <w:vAlign w:val="center"/>
          </w:tcPr>
          <w:p w14:paraId="2274191C">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≤3</w:t>
            </w:r>
          </w:p>
        </w:tc>
        <w:tc>
          <w:tcPr>
            <w:tcW w:w="370" w:type="pct"/>
            <w:tcBorders>
              <w:tl2br w:val="nil"/>
              <w:tr2bl w:val="nil"/>
            </w:tcBorders>
            <w:shd w:val="clear" w:color="auto" w:fill="auto"/>
            <w:vAlign w:val="center"/>
          </w:tcPr>
          <w:p w14:paraId="00247CB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2.8</w:t>
            </w:r>
          </w:p>
        </w:tc>
        <w:tc>
          <w:tcPr>
            <w:tcW w:w="336" w:type="pct"/>
            <w:tcBorders>
              <w:tl2br w:val="nil"/>
              <w:tr2bl w:val="nil"/>
            </w:tcBorders>
            <w:shd w:val="clear" w:color="auto" w:fill="auto"/>
            <w:vAlign w:val="center"/>
          </w:tcPr>
          <w:p w14:paraId="3AEB928E">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2.6</w:t>
            </w:r>
          </w:p>
        </w:tc>
        <w:tc>
          <w:tcPr>
            <w:tcW w:w="400" w:type="pct"/>
            <w:tcBorders>
              <w:tl2br w:val="nil"/>
              <w:tr2bl w:val="nil"/>
            </w:tcBorders>
            <w:shd w:val="clear" w:color="auto" w:fill="auto"/>
            <w:vAlign w:val="center"/>
          </w:tcPr>
          <w:p w14:paraId="4FF9895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2.4</w:t>
            </w:r>
          </w:p>
        </w:tc>
        <w:tc>
          <w:tcPr>
            <w:tcW w:w="408" w:type="pct"/>
            <w:tcBorders>
              <w:tl2br w:val="nil"/>
              <w:tr2bl w:val="nil"/>
            </w:tcBorders>
            <w:shd w:val="clear" w:color="auto" w:fill="auto"/>
            <w:vAlign w:val="center"/>
          </w:tcPr>
          <w:p w14:paraId="7EBD7EC1">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2.8</w:t>
            </w:r>
          </w:p>
        </w:tc>
        <w:tc>
          <w:tcPr>
            <w:tcW w:w="446" w:type="pct"/>
            <w:tcBorders>
              <w:tl2br w:val="nil"/>
              <w:tr2bl w:val="nil"/>
            </w:tcBorders>
            <w:shd w:val="clear" w:color="auto" w:fill="auto"/>
            <w:vAlign w:val="center"/>
          </w:tcPr>
          <w:p w14:paraId="27923FF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0.933333333</w:t>
            </w:r>
          </w:p>
        </w:tc>
        <w:tc>
          <w:tcPr>
            <w:tcW w:w="389" w:type="pct"/>
            <w:tcBorders>
              <w:tl2br w:val="nil"/>
              <w:tr2bl w:val="nil"/>
            </w:tcBorders>
            <w:shd w:val="clear" w:color="auto" w:fill="auto"/>
            <w:vAlign w:val="center"/>
          </w:tcPr>
          <w:p w14:paraId="24FB24F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2.4</w:t>
            </w:r>
          </w:p>
        </w:tc>
        <w:tc>
          <w:tcPr>
            <w:tcW w:w="366" w:type="pct"/>
            <w:tcBorders>
              <w:tl2br w:val="nil"/>
              <w:tr2bl w:val="nil"/>
            </w:tcBorders>
            <w:shd w:val="clear" w:color="auto" w:fill="auto"/>
            <w:vAlign w:val="center"/>
          </w:tcPr>
          <w:p w14:paraId="0E38621B">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2.4</w:t>
            </w:r>
          </w:p>
        </w:tc>
        <w:tc>
          <w:tcPr>
            <w:tcW w:w="347" w:type="pct"/>
            <w:tcBorders>
              <w:tl2br w:val="nil"/>
              <w:tr2bl w:val="nil"/>
            </w:tcBorders>
            <w:shd w:val="clear" w:color="auto" w:fill="auto"/>
            <w:vAlign w:val="center"/>
          </w:tcPr>
          <w:p w14:paraId="061F5E2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2.2</w:t>
            </w:r>
          </w:p>
        </w:tc>
        <w:tc>
          <w:tcPr>
            <w:tcW w:w="310" w:type="pct"/>
            <w:tcBorders>
              <w:tl2br w:val="nil"/>
              <w:tr2bl w:val="nil"/>
            </w:tcBorders>
            <w:shd w:val="clear" w:color="auto" w:fill="auto"/>
            <w:vAlign w:val="center"/>
          </w:tcPr>
          <w:p w14:paraId="408B5D7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2.4</w:t>
            </w:r>
          </w:p>
        </w:tc>
        <w:tc>
          <w:tcPr>
            <w:tcW w:w="417" w:type="pct"/>
            <w:tcBorders>
              <w:tl2br w:val="nil"/>
              <w:tr2bl w:val="nil"/>
            </w:tcBorders>
            <w:shd w:val="clear" w:color="auto" w:fill="auto"/>
            <w:vAlign w:val="center"/>
          </w:tcPr>
          <w:p w14:paraId="6DE7F2CC">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0.8</w:t>
            </w:r>
          </w:p>
        </w:tc>
      </w:tr>
      <w:tr w14:paraId="183A86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316B9D1C">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5</w:t>
            </w:r>
          </w:p>
        </w:tc>
        <w:tc>
          <w:tcPr>
            <w:tcW w:w="608" w:type="pct"/>
            <w:tcBorders>
              <w:tl2br w:val="nil"/>
              <w:tr2bl w:val="nil"/>
            </w:tcBorders>
            <w:shd w:val="clear" w:color="auto" w:fill="auto"/>
            <w:vAlign w:val="center"/>
          </w:tcPr>
          <w:p w14:paraId="643E5450">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氨氮</w:t>
            </w:r>
          </w:p>
        </w:tc>
        <w:tc>
          <w:tcPr>
            <w:tcW w:w="404" w:type="pct"/>
            <w:tcBorders>
              <w:tl2br w:val="nil"/>
              <w:tr2bl w:val="nil"/>
            </w:tcBorders>
            <w:shd w:val="clear" w:color="auto" w:fill="auto"/>
            <w:vAlign w:val="center"/>
          </w:tcPr>
          <w:p w14:paraId="376D0E9E">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≤0.5</w:t>
            </w:r>
          </w:p>
        </w:tc>
        <w:tc>
          <w:tcPr>
            <w:tcW w:w="370" w:type="pct"/>
            <w:tcBorders>
              <w:tl2br w:val="nil"/>
              <w:tr2bl w:val="nil"/>
            </w:tcBorders>
            <w:shd w:val="clear" w:color="auto" w:fill="auto"/>
            <w:vAlign w:val="center"/>
          </w:tcPr>
          <w:p w14:paraId="4AEA3AC0">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0.03</w:t>
            </w:r>
          </w:p>
        </w:tc>
        <w:tc>
          <w:tcPr>
            <w:tcW w:w="336" w:type="pct"/>
            <w:tcBorders>
              <w:tl2br w:val="nil"/>
              <w:tr2bl w:val="nil"/>
            </w:tcBorders>
            <w:shd w:val="clear" w:color="auto" w:fill="auto"/>
            <w:vAlign w:val="center"/>
          </w:tcPr>
          <w:p w14:paraId="07BBFF7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0.05</w:t>
            </w:r>
          </w:p>
        </w:tc>
        <w:tc>
          <w:tcPr>
            <w:tcW w:w="400" w:type="pct"/>
            <w:tcBorders>
              <w:tl2br w:val="nil"/>
              <w:tr2bl w:val="nil"/>
            </w:tcBorders>
            <w:shd w:val="clear" w:color="auto" w:fill="auto"/>
            <w:vAlign w:val="center"/>
          </w:tcPr>
          <w:p w14:paraId="116F94EB">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0.04</w:t>
            </w:r>
          </w:p>
        </w:tc>
        <w:tc>
          <w:tcPr>
            <w:tcW w:w="408" w:type="pct"/>
            <w:tcBorders>
              <w:tl2br w:val="nil"/>
              <w:tr2bl w:val="nil"/>
            </w:tcBorders>
            <w:shd w:val="clear" w:color="auto" w:fill="auto"/>
            <w:vAlign w:val="center"/>
          </w:tcPr>
          <w:p w14:paraId="36806CEC">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0.05</w:t>
            </w:r>
          </w:p>
        </w:tc>
        <w:tc>
          <w:tcPr>
            <w:tcW w:w="446" w:type="pct"/>
            <w:tcBorders>
              <w:tl2br w:val="nil"/>
              <w:tr2bl w:val="nil"/>
            </w:tcBorders>
            <w:shd w:val="clear" w:color="auto" w:fill="auto"/>
            <w:vAlign w:val="center"/>
          </w:tcPr>
          <w:p w14:paraId="6577722A">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0.1</w:t>
            </w:r>
          </w:p>
        </w:tc>
        <w:tc>
          <w:tcPr>
            <w:tcW w:w="389" w:type="pct"/>
            <w:tcBorders>
              <w:tl2br w:val="nil"/>
              <w:tr2bl w:val="nil"/>
            </w:tcBorders>
            <w:shd w:val="clear" w:color="auto" w:fill="auto"/>
            <w:vAlign w:val="center"/>
          </w:tcPr>
          <w:p w14:paraId="7EF98E6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0.07</w:t>
            </w:r>
          </w:p>
        </w:tc>
        <w:tc>
          <w:tcPr>
            <w:tcW w:w="366" w:type="pct"/>
            <w:tcBorders>
              <w:tl2br w:val="nil"/>
              <w:tr2bl w:val="nil"/>
            </w:tcBorders>
            <w:shd w:val="clear" w:color="auto" w:fill="auto"/>
            <w:vAlign w:val="center"/>
          </w:tcPr>
          <w:p w14:paraId="0B44F85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0.05</w:t>
            </w:r>
          </w:p>
        </w:tc>
        <w:tc>
          <w:tcPr>
            <w:tcW w:w="347" w:type="pct"/>
            <w:tcBorders>
              <w:tl2br w:val="nil"/>
              <w:tr2bl w:val="nil"/>
            </w:tcBorders>
            <w:shd w:val="clear" w:color="auto" w:fill="auto"/>
            <w:vAlign w:val="center"/>
          </w:tcPr>
          <w:p w14:paraId="5F8AE5A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0.07</w:t>
            </w:r>
          </w:p>
        </w:tc>
        <w:tc>
          <w:tcPr>
            <w:tcW w:w="310" w:type="pct"/>
            <w:tcBorders>
              <w:tl2br w:val="nil"/>
              <w:tr2bl w:val="nil"/>
            </w:tcBorders>
            <w:shd w:val="clear" w:color="auto" w:fill="auto"/>
            <w:vAlign w:val="center"/>
          </w:tcPr>
          <w:p w14:paraId="321AB06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0.07</w:t>
            </w:r>
          </w:p>
        </w:tc>
        <w:tc>
          <w:tcPr>
            <w:tcW w:w="417" w:type="pct"/>
            <w:tcBorders>
              <w:tl2br w:val="nil"/>
              <w:tr2bl w:val="nil"/>
            </w:tcBorders>
            <w:shd w:val="clear" w:color="auto" w:fill="auto"/>
            <w:vAlign w:val="center"/>
          </w:tcPr>
          <w:p w14:paraId="2EFD9DB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0.14</w:t>
            </w:r>
          </w:p>
        </w:tc>
      </w:tr>
      <w:tr w14:paraId="23D33F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574FD67A">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6</w:t>
            </w:r>
          </w:p>
        </w:tc>
        <w:tc>
          <w:tcPr>
            <w:tcW w:w="608" w:type="pct"/>
            <w:tcBorders>
              <w:tl2br w:val="nil"/>
              <w:tr2bl w:val="nil"/>
            </w:tcBorders>
            <w:shd w:val="clear" w:color="auto" w:fill="auto"/>
            <w:vAlign w:val="center"/>
          </w:tcPr>
          <w:p w14:paraId="52FFEA81">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总磷</w:t>
            </w:r>
          </w:p>
        </w:tc>
        <w:tc>
          <w:tcPr>
            <w:tcW w:w="404" w:type="pct"/>
            <w:tcBorders>
              <w:tl2br w:val="nil"/>
              <w:tr2bl w:val="nil"/>
            </w:tcBorders>
            <w:shd w:val="clear" w:color="auto" w:fill="auto"/>
            <w:vAlign w:val="center"/>
          </w:tcPr>
          <w:p w14:paraId="55E23218">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≤0.1</w:t>
            </w:r>
          </w:p>
        </w:tc>
        <w:tc>
          <w:tcPr>
            <w:tcW w:w="370" w:type="pct"/>
            <w:tcBorders>
              <w:tl2br w:val="nil"/>
              <w:tr2bl w:val="nil"/>
            </w:tcBorders>
            <w:shd w:val="clear" w:color="auto" w:fill="auto"/>
            <w:vAlign w:val="center"/>
          </w:tcPr>
          <w:p w14:paraId="0716ACC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0.07</w:t>
            </w:r>
          </w:p>
        </w:tc>
        <w:tc>
          <w:tcPr>
            <w:tcW w:w="336" w:type="pct"/>
            <w:tcBorders>
              <w:tl2br w:val="nil"/>
              <w:tr2bl w:val="nil"/>
            </w:tcBorders>
            <w:shd w:val="clear" w:color="auto" w:fill="auto"/>
            <w:vAlign w:val="center"/>
          </w:tcPr>
          <w:p w14:paraId="2AA7C2F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0.06</w:t>
            </w:r>
          </w:p>
        </w:tc>
        <w:tc>
          <w:tcPr>
            <w:tcW w:w="400" w:type="pct"/>
            <w:tcBorders>
              <w:tl2br w:val="nil"/>
              <w:tr2bl w:val="nil"/>
            </w:tcBorders>
            <w:shd w:val="clear" w:color="auto" w:fill="auto"/>
            <w:vAlign w:val="center"/>
          </w:tcPr>
          <w:p w14:paraId="278D7056">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0.04</w:t>
            </w:r>
          </w:p>
        </w:tc>
        <w:tc>
          <w:tcPr>
            <w:tcW w:w="408" w:type="pct"/>
            <w:tcBorders>
              <w:tl2br w:val="nil"/>
              <w:tr2bl w:val="nil"/>
            </w:tcBorders>
            <w:shd w:val="clear" w:color="auto" w:fill="auto"/>
            <w:vAlign w:val="center"/>
          </w:tcPr>
          <w:p w14:paraId="5588BA77">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0.07</w:t>
            </w:r>
          </w:p>
        </w:tc>
        <w:tc>
          <w:tcPr>
            <w:tcW w:w="446" w:type="pct"/>
            <w:tcBorders>
              <w:tl2br w:val="nil"/>
              <w:tr2bl w:val="nil"/>
            </w:tcBorders>
            <w:shd w:val="clear" w:color="auto" w:fill="auto"/>
            <w:vAlign w:val="center"/>
          </w:tcPr>
          <w:p w14:paraId="1818A32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0.7</w:t>
            </w:r>
          </w:p>
        </w:tc>
        <w:tc>
          <w:tcPr>
            <w:tcW w:w="389" w:type="pct"/>
            <w:tcBorders>
              <w:tl2br w:val="nil"/>
              <w:tr2bl w:val="nil"/>
            </w:tcBorders>
            <w:shd w:val="clear" w:color="auto" w:fill="auto"/>
            <w:vAlign w:val="center"/>
          </w:tcPr>
          <w:p w14:paraId="46E5424C">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0.06</w:t>
            </w:r>
          </w:p>
        </w:tc>
        <w:tc>
          <w:tcPr>
            <w:tcW w:w="366" w:type="pct"/>
            <w:tcBorders>
              <w:tl2br w:val="nil"/>
              <w:tr2bl w:val="nil"/>
            </w:tcBorders>
            <w:shd w:val="clear" w:color="auto" w:fill="auto"/>
            <w:vAlign w:val="center"/>
          </w:tcPr>
          <w:p w14:paraId="2E27901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0.04</w:t>
            </w:r>
          </w:p>
        </w:tc>
        <w:tc>
          <w:tcPr>
            <w:tcW w:w="347" w:type="pct"/>
            <w:tcBorders>
              <w:tl2br w:val="nil"/>
              <w:tr2bl w:val="nil"/>
            </w:tcBorders>
            <w:shd w:val="clear" w:color="auto" w:fill="auto"/>
            <w:vAlign w:val="center"/>
          </w:tcPr>
          <w:p w14:paraId="41551157">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0.03</w:t>
            </w:r>
          </w:p>
        </w:tc>
        <w:tc>
          <w:tcPr>
            <w:tcW w:w="310" w:type="pct"/>
            <w:tcBorders>
              <w:tl2br w:val="nil"/>
              <w:tr2bl w:val="nil"/>
            </w:tcBorders>
            <w:shd w:val="clear" w:color="auto" w:fill="auto"/>
            <w:vAlign w:val="center"/>
          </w:tcPr>
          <w:p w14:paraId="6FCDE73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0.06</w:t>
            </w:r>
          </w:p>
        </w:tc>
        <w:tc>
          <w:tcPr>
            <w:tcW w:w="417" w:type="pct"/>
            <w:tcBorders>
              <w:tl2br w:val="nil"/>
              <w:tr2bl w:val="nil"/>
            </w:tcBorders>
            <w:shd w:val="clear" w:color="auto" w:fill="auto"/>
            <w:vAlign w:val="center"/>
          </w:tcPr>
          <w:p w14:paraId="3E284356">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0.6</w:t>
            </w:r>
          </w:p>
        </w:tc>
      </w:tr>
      <w:tr w14:paraId="72E8367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2D99D33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7</w:t>
            </w:r>
          </w:p>
        </w:tc>
        <w:tc>
          <w:tcPr>
            <w:tcW w:w="608" w:type="pct"/>
            <w:tcBorders>
              <w:tl2br w:val="nil"/>
              <w:tr2bl w:val="nil"/>
            </w:tcBorders>
            <w:shd w:val="clear" w:color="auto" w:fill="auto"/>
            <w:vAlign w:val="center"/>
          </w:tcPr>
          <w:p w14:paraId="35149B2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总氮</w:t>
            </w:r>
          </w:p>
        </w:tc>
        <w:tc>
          <w:tcPr>
            <w:tcW w:w="404" w:type="pct"/>
            <w:tcBorders>
              <w:tl2br w:val="nil"/>
              <w:tr2bl w:val="nil"/>
            </w:tcBorders>
            <w:shd w:val="clear" w:color="auto" w:fill="auto"/>
            <w:vAlign w:val="center"/>
          </w:tcPr>
          <w:p w14:paraId="5C10AFB4">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≤0.5</w:t>
            </w:r>
          </w:p>
        </w:tc>
        <w:tc>
          <w:tcPr>
            <w:tcW w:w="370" w:type="pct"/>
            <w:tcBorders>
              <w:tl2br w:val="nil"/>
              <w:tr2bl w:val="nil"/>
            </w:tcBorders>
            <w:shd w:val="clear" w:color="auto" w:fill="auto"/>
            <w:vAlign w:val="center"/>
          </w:tcPr>
          <w:p w14:paraId="4B263BDE">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0.69</w:t>
            </w:r>
          </w:p>
        </w:tc>
        <w:tc>
          <w:tcPr>
            <w:tcW w:w="336" w:type="pct"/>
            <w:tcBorders>
              <w:tl2br w:val="nil"/>
              <w:tr2bl w:val="nil"/>
            </w:tcBorders>
            <w:shd w:val="clear" w:color="auto" w:fill="auto"/>
            <w:vAlign w:val="center"/>
          </w:tcPr>
          <w:p w14:paraId="192ACF2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0.7</w:t>
            </w:r>
          </w:p>
        </w:tc>
        <w:tc>
          <w:tcPr>
            <w:tcW w:w="400" w:type="pct"/>
            <w:tcBorders>
              <w:tl2br w:val="nil"/>
              <w:tr2bl w:val="nil"/>
            </w:tcBorders>
            <w:shd w:val="clear" w:color="auto" w:fill="auto"/>
            <w:vAlign w:val="center"/>
          </w:tcPr>
          <w:p w14:paraId="2FFC7196">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0.72</w:t>
            </w:r>
          </w:p>
        </w:tc>
        <w:tc>
          <w:tcPr>
            <w:tcW w:w="408" w:type="pct"/>
            <w:tcBorders>
              <w:tl2br w:val="nil"/>
              <w:tr2bl w:val="nil"/>
            </w:tcBorders>
            <w:shd w:val="clear" w:color="auto" w:fill="auto"/>
            <w:vAlign w:val="center"/>
          </w:tcPr>
          <w:p w14:paraId="1A6B1162">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0.72</w:t>
            </w:r>
          </w:p>
        </w:tc>
        <w:tc>
          <w:tcPr>
            <w:tcW w:w="446" w:type="pct"/>
            <w:tcBorders>
              <w:tl2br w:val="nil"/>
              <w:tr2bl w:val="nil"/>
            </w:tcBorders>
            <w:shd w:val="clear" w:color="auto" w:fill="auto"/>
            <w:vAlign w:val="center"/>
          </w:tcPr>
          <w:p w14:paraId="22927892">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1.44</w:t>
            </w:r>
          </w:p>
        </w:tc>
        <w:tc>
          <w:tcPr>
            <w:tcW w:w="389" w:type="pct"/>
            <w:tcBorders>
              <w:tl2br w:val="nil"/>
              <w:tr2bl w:val="nil"/>
            </w:tcBorders>
            <w:shd w:val="clear" w:color="auto" w:fill="auto"/>
            <w:vAlign w:val="center"/>
          </w:tcPr>
          <w:p w14:paraId="64AEF02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0.83</w:t>
            </w:r>
          </w:p>
        </w:tc>
        <w:tc>
          <w:tcPr>
            <w:tcW w:w="366" w:type="pct"/>
            <w:tcBorders>
              <w:tl2br w:val="nil"/>
              <w:tr2bl w:val="nil"/>
            </w:tcBorders>
            <w:shd w:val="clear" w:color="auto" w:fill="auto"/>
            <w:vAlign w:val="center"/>
          </w:tcPr>
          <w:p w14:paraId="0667E4D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0.87</w:t>
            </w:r>
          </w:p>
        </w:tc>
        <w:tc>
          <w:tcPr>
            <w:tcW w:w="347" w:type="pct"/>
            <w:tcBorders>
              <w:tl2br w:val="nil"/>
              <w:tr2bl w:val="nil"/>
            </w:tcBorders>
            <w:shd w:val="clear" w:color="auto" w:fill="auto"/>
            <w:vAlign w:val="center"/>
          </w:tcPr>
          <w:p w14:paraId="502FA87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0.85</w:t>
            </w:r>
          </w:p>
        </w:tc>
        <w:tc>
          <w:tcPr>
            <w:tcW w:w="310" w:type="pct"/>
            <w:tcBorders>
              <w:tl2br w:val="nil"/>
              <w:tr2bl w:val="nil"/>
            </w:tcBorders>
            <w:shd w:val="clear" w:color="auto" w:fill="auto"/>
            <w:vAlign w:val="center"/>
          </w:tcPr>
          <w:p w14:paraId="35C3ABCE">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0.87</w:t>
            </w:r>
          </w:p>
        </w:tc>
        <w:tc>
          <w:tcPr>
            <w:tcW w:w="417" w:type="pct"/>
            <w:tcBorders>
              <w:tl2br w:val="nil"/>
              <w:tr2bl w:val="nil"/>
            </w:tcBorders>
            <w:shd w:val="clear" w:color="auto" w:fill="auto"/>
            <w:vAlign w:val="center"/>
          </w:tcPr>
          <w:p w14:paraId="08F4ECA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1.74</w:t>
            </w:r>
          </w:p>
        </w:tc>
      </w:tr>
      <w:tr w14:paraId="1BB567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5B3593C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8</w:t>
            </w:r>
          </w:p>
        </w:tc>
        <w:tc>
          <w:tcPr>
            <w:tcW w:w="608" w:type="pct"/>
            <w:tcBorders>
              <w:tl2br w:val="nil"/>
              <w:tr2bl w:val="nil"/>
            </w:tcBorders>
            <w:shd w:val="clear" w:color="auto" w:fill="auto"/>
            <w:vAlign w:val="center"/>
          </w:tcPr>
          <w:p w14:paraId="747D90FB">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铜</w:t>
            </w:r>
          </w:p>
        </w:tc>
        <w:tc>
          <w:tcPr>
            <w:tcW w:w="404" w:type="pct"/>
            <w:tcBorders>
              <w:tl2br w:val="nil"/>
              <w:tr2bl w:val="nil"/>
            </w:tcBorders>
            <w:shd w:val="clear" w:color="auto" w:fill="auto"/>
            <w:vAlign w:val="center"/>
          </w:tcPr>
          <w:p w14:paraId="5F0A055B">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≤1.0</w:t>
            </w:r>
          </w:p>
        </w:tc>
        <w:tc>
          <w:tcPr>
            <w:tcW w:w="370" w:type="pct"/>
            <w:tcBorders>
              <w:tl2br w:val="nil"/>
              <w:tr2bl w:val="nil"/>
            </w:tcBorders>
            <w:shd w:val="clear" w:color="auto" w:fill="auto"/>
            <w:vAlign w:val="center"/>
          </w:tcPr>
          <w:p w14:paraId="2E82D9FA">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0.001L</w:t>
            </w:r>
          </w:p>
        </w:tc>
        <w:tc>
          <w:tcPr>
            <w:tcW w:w="336" w:type="pct"/>
            <w:tcBorders>
              <w:tl2br w:val="nil"/>
              <w:tr2bl w:val="nil"/>
            </w:tcBorders>
            <w:shd w:val="clear" w:color="auto" w:fill="auto"/>
            <w:vAlign w:val="center"/>
          </w:tcPr>
          <w:p w14:paraId="218CFBE7">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0.001L</w:t>
            </w:r>
          </w:p>
        </w:tc>
        <w:tc>
          <w:tcPr>
            <w:tcW w:w="400" w:type="pct"/>
            <w:tcBorders>
              <w:tl2br w:val="nil"/>
              <w:tr2bl w:val="nil"/>
            </w:tcBorders>
            <w:shd w:val="clear" w:color="auto" w:fill="auto"/>
            <w:vAlign w:val="center"/>
          </w:tcPr>
          <w:p w14:paraId="26FDA1D6">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0.001L</w:t>
            </w:r>
          </w:p>
        </w:tc>
        <w:tc>
          <w:tcPr>
            <w:tcW w:w="408" w:type="pct"/>
            <w:tcBorders>
              <w:tl2br w:val="nil"/>
              <w:tr2bl w:val="nil"/>
            </w:tcBorders>
            <w:shd w:val="clear" w:color="auto" w:fill="auto"/>
            <w:vAlign w:val="center"/>
          </w:tcPr>
          <w:p w14:paraId="69D278A0">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0.001</w:t>
            </w:r>
          </w:p>
        </w:tc>
        <w:tc>
          <w:tcPr>
            <w:tcW w:w="446" w:type="pct"/>
            <w:tcBorders>
              <w:tl2br w:val="nil"/>
              <w:tr2bl w:val="nil"/>
            </w:tcBorders>
            <w:shd w:val="clear" w:color="auto" w:fill="auto"/>
            <w:vAlign w:val="center"/>
          </w:tcPr>
          <w:p w14:paraId="7A87338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0.001</w:t>
            </w:r>
          </w:p>
        </w:tc>
        <w:tc>
          <w:tcPr>
            <w:tcW w:w="389" w:type="pct"/>
            <w:tcBorders>
              <w:tl2br w:val="nil"/>
              <w:tr2bl w:val="nil"/>
            </w:tcBorders>
            <w:shd w:val="clear" w:color="auto" w:fill="auto"/>
            <w:vAlign w:val="center"/>
          </w:tcPr>
          <w:p w14:paraId="2B9E275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0.001L</w:t>
            </w:r>
          </w:p>
        </w:tc>
        <w:tc>
          <w:tcPr>
            <w:tcW w:w="366" w:type="pct"/>
            <w:tcBorders>
              <w:tl2br w:val="nil"/>
              <w:tr2bl w:val="nil"/>
            </w:tcBorders>
            <w:shd w:val="clear" w:color="auto" w:fill="auto"/>
            <w:vAlign w:val="center"/>
          </w:tcPr>
          <w:p w14:paraId="7B58B4E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0.001L</w:t>
            </w:r>
          </w:p>
        </w:tc>
        <w:tc>
          <w:tcPr>
            <w:tcW w:w="347" w:type="pct"/>
            <w:tcBorders>
              <w:tl2br w:val="nil"/>
              <w:tr2bl w:val="nil"/>
            </w:tcBorders>
            <w:shd w:val="clear" w:color="auto" w:fill="auto"/>
            <w:vAlign w:val="center"/>
          </w:tcPr>
          <w:p w14:paraId="1576C48E">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0.001L</w:t>
            </w:r>
          </w:p>
        </w:tc>
        <w:tc>
          <w:tcPr>
            <w:tcW w:w="310" w:type="pct"/>
            <w:tcBorders>
              <w:tl2br w:val="nil"/>
              <w:tr2bl w:val="nil"/>
            </w:tcBorders>
            <w:shd w:val="clear" w:color="auto" w:fill="auto"/>
            <w:vAlign w:val="center"/>
          </w:tcPr>
          <w:p w14:paraId="61AA1B22">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0.001</w:t>
            </w:r>
          </w:p>
        </w:tc>
        <w:tc>
          <w:tcPr>
            <w:tcW w:w="417" w:type="pct"/>
            <w:tcBorders>
              <w:tl2br w:val="nil"/>
              <w:tr2bl w:val="nil"/>
            </w:tcBorders>
            <w:shd w:val="clear" w:color="auto" w:fill="auto"/>
            <w:vAlign w:val="center"/>
          </w:tcPr>
          <w:p w14:paraId="3EF3678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0.001</w:t>
            </w:r>
          </w:p>
        </w:tc>
      </w:tr>
      <w:tr w14:paraId="532BB0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0F83C3DB">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9</w:t>
            </w:r>
          </w:p>
        </w:tc>
        <w:tc>
          <w:tcPr>
            <w:tcW w:w="608" w:type="pct"/>
            <w:tcBorders>
              <w:tl2br w:val="nil"/>
              <w:tr2bl w:val="nil"/>
            </w:tcBorders>
            <w:shd w:val="clear" w:color="auto" w:fill="auto"/>
            <w:vAlign w:val="center"/>
          </w:tcPr>
          <w:p w14:paraId="5A9BCE0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锌</w:t>
            </w:r>
          </w:p>
        </w:tc>
        <w:tc>
          <w:tcPr>
            <w:tcW w:w="404" w:type="pct"/>
            <w:tcBorders>
              <w:tl2br w:val="nil"/>
              <w:tr2bl w:val="nil"/>
            </w:tcBorders>
            <w:shd w:val="clear" w:color="auto" w:fill="auto"/>
            <w:vAlign w:val="center"/>
          </w:tcPr>
          <w:p w14:paraId="322EBAF4">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≤1.0</w:t>
            </w:r>
          </w:p>
        </w:tc>
        <w:tc>
          <w:tcPr>
            <w:tcW w:w="370" w:type="pct"/>
            <w:tcBorders>
              <w:tl2br w:val="nil"/>
              <w:tr2bl w:val="nil"/>
            </w:tcBorders>
            <w:shd w:val="clear" w:color="auto" w:fill="auto"/>
            <w:vAlign w:val="center"/>
          </w:tcPr>
          <w:p w14:paraId="4393764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0.05L</w:t>
            </w:r>
          </w:p>
        </w:tc>
        <w:tc>
          <w:tcPr>
            <w:tcW w:w="336" w:type="pct"/>
            <w:tcBorders>
              <w:tl2br w:val="nil"/>
              <w:tr2bl w:val="nil"/>
            </w:tcBorders>
            <w:shd w:val="clear" w:color="auto" w:fill="auto"/>
            <w:vAlign w:val="center"/>
          </w:tcPr>
          <w:p w14:paraId="191A1FC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0.05L</w:t>
            </w:r>
          </w:p>
        </w:tc>
        <w:tc>
          <w:tcPr>
            <w:tcW w:w="400" w:type="pct"/>
            <w:tcBorders>
              <w:tl2br w:val="nil"/>
              <w:tr2bl w:val="nil"/>
            </w:tcBorders>
            <w:shd w:val="clear" w:color="auto" w:fill="auto"/>
            <w:vAlign w:val="center"/>
          </w:tcPr>
          <w:p w14:paraId="3C5C52FC">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0.05L</w:t>
            </w:r>
          </w:p>
        </w:tc>
        <w:tc>
          <w:tcPr>
            <w:tcW w:w="408" w:type="pct"/>
            <w:tcBorders>
              <w:tl2br w:val="nil"/>
              <w:tr2bl w:val="nil"/>
            </w:tcBorders>
            <w:shd w:val="clear" w:color="auto" w:fill="auto"/>
            <w:vAlign w:val="center"/>
          </w:tcPr>
          <w:p w14:paraId="4A8766FA">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0.05</w:t>
            </w:r>
          </w:p>
        </w:tc>
        <w:tc>
          <w:tcPr>
            <w:tcW w:w="446" w:type="pct"/>
            <w:tcBorders>
              <w:tl2br w:val="nil"/>
              <w:tr2bl w:val="nil"/>
            </w:tcBorders>
            <w:shd w:val="clear" w:color="auto" w:fill="auto"/>
            <w:vAlign w:val="center"/>
          </w:tcPr>
          <w:p w14:paraId="4476403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0.05</w:t>
            </w:r>
          </w:p>
        </w:tc>
        <w:tc>
          <w:tcPr>
            <w:tcW w:w="389" w:type="pct"/>
            <w:tcBorders>
              <w:tl2br w:val="nil"/>
              <w:tr2bl w:val="nil"/>
            </w:tcBorders>
            <w:shd w:val="clear" w:color="auto" w:fill="auto"/>
            <w:vAlign w:val="center"/>
          </w:tcPr>
          <w:p w14:paraId="60401A4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0.05L</w:t>
            </w:r>
          </w:p>
        </w:tc>
        <w:tc>
          <w:tcPr>
            <w:tcW w:w="366" w:type="pct"/>
            <w:tcBorders>
              <w:tl2br w:val="nil"/>
              <w:tr2bl w:val="nil"/>
            </w:tcBorders>
            <w:shd w:val="clear" w:color="auto" w:fill="auto"/>
            <w:vAlign w:val="center"/>
          </w:tcPr>
          <w:p w14:paraId="1C411390">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0.05L</w:t>
            </w:r>
          </w:p>
        </w:tc>
        <w:tc>
          <w:tcPr>
            <w:tcW w:w="347" w:type="pct"/>
            <w:tcBorders>
              <w:tl2br w:val="nil"/>
              <w:tr2bl w:val="nil"/>
            </w:tcBorders>
            <w:shd w:val="clear" w:color="auto" w:fill="auto"/>
            <w:vAlign w:val="center"/>
          </w:tcPr>
          <w:p w14:paraId="26AFB16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0.05L</w:t>
            </w:r>
          </w:p>
        </w:tc>
        <w:tc>
          <w:tcPr>
            <w:tcW w:w="310" w:type="pct"/>
            <w:tcBorders>
              <w:tl2br w:val="nil"/>
              <w:tr2bl w:val="nil"/>
            </w:tcBorders>
            <w:shd w:val="clear" w:color="auto" w:fill="auto"/>
            <w:vAlign w:val="center"/>
          </w:tcPr>
          <w:p w14:paraId="0CFA3C27">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0.05</w:t>
            </w:r>
          </w:p>
        </w:tc>
        <w:tc>
          <w:tcPr>
            <w:tcW w:w="417" w:type="pct"/>
            <w:tcBorders>
              <w:tl2br w:val="nil"/>
              <w:tr2bl w:val="nil"/>
            </w:tcBorders>
            <w:shd w:val="clear" w:color="auto" w:fill="auto"/>
            <w:vAlign w:val="center"/>
          </w:tcPr>
          <w:p w14:paraId="3E653680">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0.05</w:t>
            </w:r>
          </w:p>
        </w:tc>
      </w:tr>
      <w:tr w14:paraId="0769CD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69A8FB0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10</w:t>
            </w:r>
          </w:p>
        </w:tc>
        <w:tc>
          <w:tcPr>
            <w:tcW w:w="608" w:type="pct"/>
            <w:tcBorders>
              <w:tl2br w:val="nil"/>
              <w:tr2bl w:val="nil"/>
            </w:tcBorders>
            <w:shd w:val="clear" w:color="auto" w:fill="auto"/>
            <w:vAlign w:val="center"/>
          </w:tcPr>
          <w:p w14:paraId="4E6BC4D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氟化物</w:t>
            </w:r>
          </w:p>
        </w:tc>
        <w:tc>
          <w:tcPr>
            <w:tcW w:w="404" w:type="pct"/>
            <w:tcBorders>
              <w:tl2br w:val="nil"/>
              <w:tr2bl w:val="nil"/>
            </w:tcBorders>
            <w:shd w:val="clear" w:color="auto" w:fill="auto"/>
            <w:vAlign w:val="center"/>
          </w:tcPr>
          <w:p w14:paraId="22507B09">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≤1.0</w:t>
            </w:r>
          </w:p>
        </w:tc>
        <w:tc>
          <w:tcPr>
            <w:tcW w:w="370" w:type="pct"/>
            <w:tcBorders>
              <w:tl2br w:val="nil"/>
              <w:tr2bl w:val="nil"/>
            </w:tcBorders>
            <w:shd w:val="clear" w:color="auto" w:fill="auto"/>
            <w:vAlign w:val="center"/>
          </w:tcPr>
          <w:p w14:paraId="65C1436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0.52</w:t>
            </w:r>
          </w:p>
        </w:tc>
        <w:tc>
          <w:tcPr>
            <w:tcW w:w="336" w:type="pct"/>
            <w:tcBorders>
              <w:tl2br w:val="nil"/>
              <w:tr2bl w:val="nil"/>
            </w:tcBorders>
            <w:shd w:val="clear" w:color="auto" w:fill="auto"/>
            <w:vAlign w:val="center"/>
          </w:tcPr>
          <w:p w14:paraId="30EAC7EC">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0.55</w:t>
            </w:r>
          </w:p>
        </w:tc>
        <w:tc>
          <w:tcPr>
            <w:tcW w:w="400" w:type="pct"/>
            <w:tcBorders>
              <w:tl2br w:val="nil"/>
              <w:tr2bl w:val="nil"/>
            </w:tcBorders>
            <w:shd w:val="clear" w:color="auto" w:fill="auto"/>
            <w:vAlign w:val="center"/>
          </w:tcPr>
          <w:p w14:paraId="5D64B45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0.57</w:t>
            </w:r>
          </w:p>
        </w:tc>
        <w:tc>
          <w:tcPr>
            <w:tcW w:w="408" w:type="pct"/>
            <w:tcBorders>
              <w:tl2br w:val="nil"/>
              <w:tr2bl w:val="nil"/>
            </w:tcBorders>
            <w:shd w:val="clear" w:color="auto" w:fill="auto"/>
            <w:vAlign w:val="center"/>
          </w:tcPr>
          <w:p w14:paraId="2259C997">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0.57</w:t>
            </w:r>
          </w:p>
        </w:tc>
        <w:tc>
          <w:tcPr>
            <w:tcW w:w="446" w:type="pct"/>
            <w:tcBorders>
              <w:tl2br w:val="nil"/>
              <w:tr2bl w:val="nil"/>
            </w:tcBorders>
            <w:shd w:val="clear" w:color="auto" w:fill="auto"/>
            <w:vAlign w:val="center"/>
          </w:tcPr>
          <w:p w14:paraId="3E15B572">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0.57</w:t>
            </w:r>
          </w:p>
        </w:tc>
        <w:tc>
          <w:tcPr>
            <w:tcW w:w="389" w:type="pct"/>
            <w:tcBorders>
              <w:tl2br w:val="nil"/>
              <w:tr2bl w:val="nil"/>
            </w:tcBorders>
            <w:shd w:val="clear" w:color="auto" w:fill="auto"/>
            <w:vAlign w:val="center"/>
          </w:tcPr>
          <w:p w14:paraId="52A6579B">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0.59</w:t>
            </w:r>
          </w:p>
        </w:tc>
        <w:tc>
          <w:tcPr>
            <w:tcW w:w="366" w:type="pct"/>
            <w:tcBorders>
              <w:tl2br w:val="nil"/>
              <w:tr2bl w:val="nil"/>
            </w:tcBorders>
            <w:shd w:val="clear" w:color="auto" w:fill="auto"/>
            <w:vAlign w:val="center"/>
          </w:tcPr>
          <w:p w14:paraId="7A9101C6">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0.62</w:t>
            </w:r>
          </w:p>
        </w:tc>
        <w:tc>
          <w:tcPr>
            <w:tcW w:w="347" w:type="pct"/>
            <w:tcBorders>
              <w:tl2br w:val="nil"/>
              <w:tr2bl w:val="nil"/>
            </w:tcBorders>
            <w:shd w:val="clear" w:color="auto" w:fill="auto"/>
            <w:vAlign w:val="center"/>
          </w:tcPr>
          <w:p w14:paraId="2465BA92">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0.53</w:t>
            </w:r>
          </w:p>
        </w:tc>
        <w:tc>
          <w:tcPr>
            <w:tcW w:w="310" w:type="pct"/>
            <w:tcBorders>
              <w:tl2br w:val="nil"/>
              <w:tr2bl w:val="nil"/>
            </w:tcBorders>
            <w:shd w:val="clear" w:color="auto" w:fill="auto"/>
            <w:vAlign w:val="center"/>
          </w:tcPr>
          <w:p w14:paraId="60F60E4B">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0.62</w:t>
            </w:r>
          </w:p>
        </w:tc>
        <w:tc>
          <w:tcPr>
            <w:tcW w:w="417" w:type="pct"/>
            <w:tcBorders>
              <w:tl2br w:val="nil"/>
              <w:tr2bl w:val="nil"/>
            </w:tcBorders>
            <w:shd w:val="clear" w:color="auto" w:fill="auto"/>
            <w:vAlign w:val="center"/>
          </w:tcPr>
          <w:p w14:paraId="57B8C27B">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0.62</w:t>
            </w:r>
          </w:p>
        </w:tc>
      </w:tr>
      <w:tr w14:paraId="46AE981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08033E4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11</w:t>
            </w:r>
          </w:p>
        </w:tc>
        <w:tc>
          <w:tcPr>
            <w:tcW w:w="608" w:type="pct"/>
            <w:tcBorders>
              <w:tl2br w:val="nil"/>
              <w:tr2bl w:val="nil"/>
            </w:tcBorders>
            <w:shd w:val="clear" w:color="auto" w:fill="auto"/>
            <w:vAlign w:val="center"/>
          </w:tcPr>
          <w:p w14:paraId="568C72BB">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砷</w:t>
            </w:r>
          </w:p>
        </w:tc>
        <w:tc>
          <w:tcPr>
            <w:tcW w:w="404" w:type="pct"/>
            <w:tcBorders>
              <w:tl2br w:val="nil"/>
              <w:tr2bl w:val="nil"/>
            </w:tcBorders>
            <w:shd w:val="clear" w:color="auto" w:fill="auto"/>
            <w:vAlign w:val="center"/>
          </w:tcPr>
          <w:p w14:paraId="723BA678">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≤0.05</w:t>
            </w:r>
          </w:p>
        </w:tc>
        <w:tc>
          <w:tcPr>
            <w:tcW w:w="370" w:type="pct"/>
            <w:tcBorders>
              <w:tl2br w:val="nil"/>
              <w:tr2bl w:val="nil"/>
            </w:tcBorders>
            <w:shd w:val="clear" w:color="auto" w:fill="auto"/>
            <w:vAlign w:val="center"/>
          </w:tcPr>
          <w:p w14:paraId="67AA864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0.0039</w:t>
            </w:r>
          </w:p>
        </w:tc>
        <w:tc>
          <w:tcPr>
            <w:tcW w:w="336" w:type="pct"/>
            <w:tcBorders>
              <w:tl2br w:val="nil"/>
              <w:tr2bl w:val="nil"/>
            </w:tcBorders>
            <w:shd w:val="clear" w:color="auto" w:fill="auto"/>
            <w:vAlign w:val="center"/>
          </w:tcPr>
          <w:p w14:paraId="0517392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0.0037</w:t>
            </w:r>
          </w:p>
        </w:tc>
        <w:tc>
          <w:tcPr>
            <w:tcW w:w="400" w:type="pct"/>
            <w:tcBorders>
              <w:tl2br w:val="nil"/>
              <w:tr2bl w:val="nil"/>
            </w:tcBorders>
            <w:shd w:val="clear" w:color="auto" w:fill="auto"/>
            <w:vAlign w:val="center"/>
          </w:tcPr>
          <w:p w14:paraId="136EE1C1">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0.0035</w:t>
            </w:r>
          </w:p>
        </w:tc>
        <w:tc>
          <w:tcPr>
            <w:tcW w:w="408" w:type="pct"/>
            <w:tcBorders>
              <w:tl2br w:val="nil"/>
              <w:tr2bl w:val="nil"/>
            </w:tcBorders>
            <w:shd w:val="clear" w:color="auto" w:fill="auto"/>
            <w:vAlign w:val="center"/>
          </w:tcPr>
          <w:p w14:paraId="134ECB5B">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0.0039</w:t>
            </w:r>
          </w:p>
        </w:tc>
        <w:tc>
          <w:tcPr>
            <w:tcW w:w="446" w:type="pct"/>
            <w:tcBorders>
              <w:tl2br w:val="nil"/>
              <w:tr2bl w:val="nil"/>
            </w:tcBorders>
            <w:shd w:val="clear" w:color="auto" w:fill="auto"/>
            <w:vAlign w:val="center"/>
          </w:tcPr>
          <w:p w14:paraId="60725856">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0.078</w:t>
            </w:r>
          </w:p>
        </w:tc>
        <w:tc>
          <w:tcPr>
            <w:tcW w:w="389" w:type="pct"/>
            <w:tcBorders>
              <w:tl2br w:val="nil"/>
              <w:tr2bl w:val="nil"/>
            </w:tcBorders>
            <w:shd w:val="clear" w:color="auto" w:fill="auto"/>
            <w:vAlign w:val="center"/>
          </w:tcPr>
          <w:p w14:paraId="3BC3460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0.0038</w:t>
            </w:r>
          </w:p>
        </w:tc>
        <w:tc>
          <w:tcPr>
            <w:tcW w:w="366" w:type="pct"/>
            <w:tcBorders>
              <w:tl2br w:val="nil"/>
              <w:tr2bl w:val="nil"/>
            </w:tcBorders>
            <w:shd w:val="clear" w:color="auto" w:fill="auto"/>
            <w:vAlign w:val="center"/>
          </w:tcPr>
          <w:p w14:paraId="79EDB42A">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0.0033</w:t>
            </w:r>
          </w:p>
        </w:tc>
        <w:tc>
          <w:tcPr>
            <w:tcW w:w="347" w:type="pct"/>
            <w:tcBorders>
              <w:tl2br w:val="nil"/>
              <w:tr2bl w:val="nil"/>
            </w:tcBorders>
            <w:shd w:val="clear" w:color="auto" w:fill="auto"/>
            <w:vAlign w:val="center"/>
          </w:tcPr>
          <w:p w14:paraId="642B76DE">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0.0037</w:t>
            </w:r>
          </w:p>
        </w:tc>
        <w:tc>
          <w:tcPr>
            <w:tcW w:w="310" w:type="pct"/>
            <w:tcBorders>
              <w:tl2br w:val="nil"/>
              <w:tr2bl w:val="nil"/>
            </w:tcBorders>
            <w:shd w:val="clear" w:color="auto" w:fill="auto"/>
            <w:vAlign w:val="center"/>
          </w:tcPr>
          <w:p w14:paraId="63EFCB5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0.0038</w:t>
            </w:r>
          </w:p>
        </w:tc>
        <w:tc>
          <w:tcPr>
            <w:tcW w:w="417" w:type="pct"/>
            <w:tcBorders>
              <w:tl2br w:val="nil"/>
              <w:tr2bl w:val="nil"/>
            </w:tcBorders>
            <w:shd w:val="clear" w:color="auto" w:fill="auto"/>
            <w:vAlign w:val="center"/>
          </w:tcPr>
          <w:p w14:paraId="5464248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0.076</w:t>
            </w:r>
          </w:p>
        </w:tc>
      </w:tr>
      <w:tr w14:paraId="7497E7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417027F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12</w:t>
            </w:r>
          </w:p>
        </w:tc>
        <w:tc>
          <w:tcPr>
            <w:tcW w:w="608" w:type="pct"/>
            <w:tcBorders>
              <w:tl2br w:val="nil"/>
              <w:tr2bl w:val="nil"/>
            </w:tcBorders>
            <w:shd w:val="clear" w:color="auto" w:fill="auto"/>
            <w:vAlign w:val="center"/>
          </w:tcPr>
          <w:p w14:paraId="21EEBD91">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汞</w:t>
            </w:r>
          </w:p>
        </w:tc>
        <w:tc>
          <w:tcPr>
            <w:tcW w:w="404" w:type="pct"/>
            <w:tcBorders>
              <w:tl2br w:val="nil"/>
              <w:tr2bl w:val="nil"/>
            </w:tcBorders>
            <w:shd w:val="clear" w:color="auto" w:fill="auto"/>
            <w:vAlign w:val="center"/>
          </w:tcPr>
          <w:p w14:paraId="79ED43DB">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≤0.00005</w:t>
            </w:r>
          </w:p>
        </w:tc>
        <w:tc>
          <w:tcPr>
            <w:tcW w:w="370" w:type="pct"/>
            <w:tcBorders>
              <w:tl2br w:val="nil"/>
              <w:tr2bl w:val="nil"/>
            </w:tcBorders>
            <w:shd w:val="clear" w:color="auto" w:fill="auto"/>
            <w:vAlign w:val="center"/>
          </w:tcPr>
          <w:p w14:paraId="10585D90">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0.00004L</w:t>
            </w:r>
          </w:p>
        </w:tc>
        <w:tc>
          <w:tcPr>
            <w:tcW w:w="336" w:type="pct"/>
            <w:tcBorders>
              <w:tl2br w:val="nil"/>
              <w:tr2bl w:val="nil"/>
            </w:tcBorders>
            <w:shd w:val="clear" w:color="auto" w:fill="auto"/>
            <w:vAlign w:val="center"/>
          </w:tcPr>
          <w:p w14:paraId="6223A1C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0.00004L</w:t>
            </w:r>
          </w:p>
        </w:tc>
        <w:tc>
          <w:tcPr>
            <w:tcW w:w="400" w:type="pct"/>
            <w:tcBorders>
              <w:tl2br w:val="nil"/>
              <w:tr2bl w:val="nil"/>
            </w:tcBorders>
            <w:shd w:val="clear" w:color="auto" w:fill="auto"/>
            <w:vAlign w:val="center"/>
          </w:tcPr>
          <w:p w14:paraId="2DBAC42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0.00004L</w:t>
            </w:r>
          </w:p>
        </w:tc>
        <w:tc>
          <w:tcPr>
            <w:tcW w:w="408" w:type="pct"/>
            <w:tcBorders>
              <w:tl2br w:val="nil"/>
              <w:tr2bl w:val="nil"/>
            </w:tcBorders>
            <w:shd w:val="clear" w:color="auto" w:fill="auto"/>
            <w:vAlign w:val="center"/>
          </w:tcPr>
          <w:p w14:paraId="7CA1066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0.00004</w:t>
            </w:r>
          </w:p>
        </w:tc>
        <w:tc>
          <w:tcPr>
            <w:tcW w:w="446" w:type="pct"/>
            <w:tcBorders>
              <w:tl2br w:val="nil"/>
              <w:tr2bl w:val="nil"/>
            </w:tcBorders>
            <w:shd w:val="clear" w:color="auto" w:fill="auto"/>
            <w:vAlign w:val="center"/>
          </w:tcPr>
          <w:p w14:paraId="4FEB8E4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0.8</w:t>
            </w:r>
          </w:p>
        </w:tc>
        <w:tc>
          <w:tcPr>
            <w:tcW w:w="389" w:type="pct"/>
            <w:tcBorders>
              <w:tl2br w:val="nil"/>
              <w:tr2bl w:val="nil"/>
            </w:tcBorders>
            <w:shd w:val="clear" w:color="auto" w:fill="auto"/>
            <w:vAlign w:val="center"/>
          </w:tcPr>
          <w:p w14:paraId="5C67A6E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0.00004L</w:t>
            </w:r>
          </w:p>
        </w:tc>
        <w:tc>
          <w:tcPr>
            <w:tcW w:w="366" w:type="pct"/>
            <w:tcBorders>
              <w:tl2br w:val="nil"/>
              <w:tr2bl w:val="nil"/>
            </w:tcBorders>
            <w:shd w:val="clear" w:color="auto" w:fill="auto"/>
            <w:vAlign w:val="center"/>
          </w:tcPr>
          <w:p w14:paraId="759D10D1">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0.00004L</w:t>
            </w:r>
          </w:p>
        </w:tc>
        <w:tc>
          <w:tcPr>
            <w:tcW w:w="347" w:type="pct"/>
            <w:tcBorders>
              <w:tl2br w:val="nil"/>
              <w:tr2bl w:val="nil"/>
            </w:tcBorders>
            <w:shd w:val="clear" w:color="auto" w:fill="auto"/>
            <w:vAlign w:val="center"/>
          </w:tcPr>
          <w:p w14:paraId="0A495EB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0.00004L</w:t>
            </w:r>
          </w:p>
        </w:tc>
        <w:tc>
          <w:tcPr>
            <w:tcW w:w="310" w:type="pct"/>
            <w:tcBorders>
              <w:tl2br w:val="nil"/>
              <w:tr2bl w:val="nil"/>
            </w:tcBorders>
            <w:shd w:val="clear" w:color="auto" w:fill="auto"/>
            <w:vAlign w:val="center"/>
          </w:tcPr>
          <w:p w14:paraId="2BD9A38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0.00004</w:t>
            </w:r>
          </w:p>
        </w:tc>
        <w:tc>
          <w:tcPr>
            <w:tcW w:w="417" w:type="pct"/>
            <w:tcBorders>
              <w:tl2br w:val="nil"/>
              <w:tr2bl w:val="nil"/>
            </w:tcBorders>
            <w:shd w:val="clear" w:color="auto" w:fill="auto"/>
            <w:vAlign w:val="center"/>
          </w:tcPr>
          <w:p w14:paraId="5B60D78C">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0.8</w:t>
            </w:r>
          </w:p>
        </w:tc>
      </w:tr>
      <w:tr w14:paraId="731CC2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1695B71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13</w:t>
            </w:r>
          </w:p>
        </w:tc>
        <w:tc>
          <w:tcPr>
            <w:tcW w:w="608" w:type="pct"/>
            <w:tcBorders>
              <w:tl2br w:val="nil"/>
              <w:tr2bl w:val="nil"/>
            </w:tcBorders>
            <w:shd w:val="clear" w:color="auto" w:fill="auto"/>
            <w:vAlign w:val="center"/>
          </w:tcPr>
          <w:p w14:paraId="480B160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镉</w:t>
            </w:r>
          </w:p>
        </w:tc>
        <w:tc>
          <w:tcPr>
            <w:tcW w:w="404" w:type="pct"/>
            <w:tcBorders>
              <w:tl2br w:val="nil"/>
              <w:tr2bl w:val="nil"/>
            </w:tcBorders>
            <w:shd w:val="clear" w:color="auto" w:fill="auto"/>
            <w:vAlign w:val="center"/>
          </w:tcPr>
          <w:p w14:paraId="33FDA610">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≤0.005</w:t>
            </w:r>
          </w:p>
        </w:tc>
        <w:tc>
          <w:tcPr>
            <w:tcW w:w="370" w:type="pct"/>
            <w:tcBorders>
              <w:tl2br w:val="nil"/>
              <w:tr2bl w:val="nil"/>
            </w:tcBorders>
            <w:shd w:val="clear" w:color="auto" w:fill="auto"/>
            <w:vAlign w:val="center"/>
          </w:tcPr>
          <w:p w14:paraId="231845BC">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0.001L</w:t>
            </w:r>
          </w:p>
        </w:tc>
        <w:tc>
          <w:tcPr>
            <w:tcW w:w="336" w:type="pct"/>
            <w:tcBorders>
              <w:tl2br w:val="nil"/>
              <w:tr2bl w:val="nil"/>
            </w:tcBorders>
            <w:shd w:val="clear" w:color="auto" w:fill="auto"/>
            <w:vAlign w:val="center"/>
          </w:tcPr>
          <w:p w14:paraId="162A9AB7">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0.001L</w:t>
            </w:r>
          </w:p>
        </w:tc>
        <w:tc>
          <w:tcPr>
            <w:tcW w:w="400" w:type="pct"/>
            <w:tcBorders>
              <w:tl2br w:val="nil"/>
              <w:tr2bl w:val="nil"/>
            </w:tcBorders>
            <w:shd w:val="clear" w:color="auto" w:fill="auto"/>
            <w:vAlign w:val="center"/>
          </w:tcPr>
          <w:p w14:paraId="0C24B24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0.001L</w:t>
            </w:r>
          </w:p>
        </w:tc>
        <w:tc>
          <w:tcPr>
            <w:tcW w:w="408" w:type="pct"/>
            <w:tcBorders>
              <w:tl2br w:val="nil"/>
              <w:tr2bl w:val="nil"/>
            </w:tcBorders>
            <w:shd w:val="clear" w:color="auto" w:fill="auto"/>
            <w:vAlign w:val="center"/>
          </w:tcPr>
          <w:p w14:paraId="47B257F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0.001</w:t>
            </w:r>
          </w:p>
        </w:tc>
        <w:tc>
          <w:tcPr>
            <w:tcW w:w="446" w:type="pct"/>
            <w:tcBorders>
              <w:tl2br w:val="nil"/>
              <w:tr2bl w:val="nil"/>
            </w:tcBorders>
            <w:shd w:val="clear" w:color="auto" w:fill="auto"/>
            <w:vAlign w:val="center"/>
          </w:tcPr>
          <w:p w14:paraId="24479A1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0.2</w:t>
            </w:r>
          </w:p>
        </w:tc>
        <w:tc>
          <w:tcPr>
            <w:tcW w:w="389" w:type="pct"/>
            <w:tcBorders>
              <w:tl2br w:val="nil"/>
              <w:tr2bl w:val="nil"/>
            </w:tcBorders>
            <w:shd w:val="clear" w:color="auto" w:fill="auto"/>
            <w:vAlign w:val="center"/>
          </w:tcPr>
          <w:p w14:paraId="1BC7709B">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0.001L</w:t>
            </w:r>
          </w:p>
        </w:tc>
        <w:tc>
          <w:tcPr>
            <w:tcW w:w="366" w:type="pct"/>
            <w:tcBorders>
              <w:tl2br w:val="nil"/>
              <w:tr2bl w:val="nil"/>
            </w:tcBorders>
            <w:shd w:val="clear" w:color="auto" w:fill="auto"/>
            <w:vAlign w:val="center"/>
          </w:tcPr>
          <w:p w14:paraId="41161216">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0.001L</w:t>
            </w:r>
          </w:p>
        </w:tc>
        <w:tc>
          <w:tcPr>
            <w:tcW w:w="347" w:type="pct"/>
            <w:tcBorders>
              <w:tl2br w:val="nil"/>
              <w:tr2bl w:val="nil"/>
            </w:tcBorders>
            <w:shd w:val="clear" w:color="auto" w:fill="auto"/>
            <w:vAlign w:val="center"/>
          </w:tcPr>
          <w:p w14:paraId="7DE02DC1">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0.001L</w:t>
            </w:r>
          </w:p>
        </w:tc>
        <w:tc>
          <w:tcPr>
            <w:tcW w:w="310" w:type="pct"/>
            <w:tcBorders>
              <w:tl2br w:val="nil"/>
              <w:tr2bl w:val="nil"/>
            </w:tcBorders>
            <w:shd w:val="clear" w:color="auto" w:fill="auto"/>
            <w:vAlign w:val="center"/>
          </w:tcPr>
          <w:p w14:paraId="0B265E3E">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0.001</w:t>
            </w:r>
          </w:p>
        </w:tc>
        <w:tc>
          <w:tcPr>
            <w:tcW w:w="417" w:type="pct"/>
            <w:tcBorders>
              <w:tl2br w:val="nil"/>
              <w:tr2bl w:val="nil"/>
            </w:tcBorders>
            <w:shd w:val="clear" w:color="auto" w:fill="auto"/>
            <w:vAlign w:val="center"/>
          </w:tcPr>
          <w:p w14:paraId="2C2B22AB">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0.2</w:t>
            </w:r>
          </w:p>
        </w:tc>
      </w:tr>
      <w:tr w14:paraId="283856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353EB07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14</w:t>
            </w:r>
          </w:p>
        </w:tc>
        <w:tc>
          <w:tcPr>
            <w:tcW w:w="608" w:type="pct"/>
            <w:tcBorders>
              <w:tl2br w:val="nil"/>
              <w:tr2bl w:val="nil"/>
            </w:tcBorders>
            <w:shd w:val="clear" w:color="auto" w:fill="auto"/>
            <w:vAlign w:val="center"/>
          </w:tcPr>
          <w:p w14:paraId="7A2CBC10">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镍</w:t>
            </w:r>
          </w:p>
        </w:tc>
        <w:tc>
          <w:tcPr>
            <w:tcW w:w="404" w:type="pct"/>
            <w:tcBorders>
              <w:tl2br w:val="nil"/>
              <w:tr2bl w:val="nil"/>
            </w:tcBorders>
            <w:shd w:val="clear" w:color="auto" w:fill="auto"/>
            <w:vAlign w:val="center"/>
          </w:tcPr>
          <w:p w14:paraId="34D57073">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0.02</w:t>
            </w:r>
          </w:p>
        </w:tc>
        <w:tc>
          <w:tcPr>
            <w:tcW w:w="370" w:type="pct"/>
            <w:tcBorders>
              <w:tl2br w:val="nil"/>
              <w:tr2bl w:val="nil"/>
            </w:tcBorders>
            <w:shd w:val="clear" w:color="auto" w:fill="auto"/>
            <w:vAlign w:val="center"/>
          </w:tcPr>
          <w:p w14:paraId="60A4AE46">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0.02L</w:t>
            </w:r>
          </w:p>
        </w:tc>
        <w:tc>
          <w:tcPr>
            <w:tcW w:w="336" w:type="pct"/>
            <w:tcBorders>
              <w:tl2br w:val="nil"/>
              <w:tr2bl w:val="nil"/>
            </w:tcBorders>
            <w:shd w:val="clear" w:color="auto" w:fill="auto"/>
            <w:vAlign w:val="center"/>
          </w:tcPr>
          <w:p w14:paraId="28FB5A0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0.02L</w:t>
            </w:r>
          </w:p>
        </w:tc>
        <w:tc>
          <w:tcPr>
            <w:tcW w:w="400" w:type="pct"/>
            <w:tcBorders>
              <w:tl2br w:val="nil"/>
              <w:tr2bl w:val="nil"/>
            </w:tcBorders>
            <w:shd w:val="clear" w:color="auto" w:fill="auto"/>
            <w:vAlign w:val="center"/>
          </w:tcPr>
          <w:p w14:paraId="6B199D3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0.02L</w:t>
            </w:r>
          </w:p>
        </w:tc>
        <w:tc>
          <w:tcPr>
            <w:tcW w:w="408" w:type="pct"/>
            <w:tcBorders>
              <w:tl2br w:val="nil"/>
              <w:tr2bl w:val="nil"/>
            </w:tcBorders>
            <w:shd w:val="clear" w:color="auto" w:fill="auto"/>
            <w:vAlign w:val="center"/>
          </w:tcPr>
          <w:p w14:paraId="751D916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0.02</w:t>
            </w:r>
          </w:p>
        </w:tc>
        <w:tc>
          <w:tcPr>
            <w:tcW w:w="446" w:type="pct"/>
            <w:tcBorders>
              <w:tl2br w:val="nil"/>
              <w:tr2bl w:val="nil"/>
            </w:tcBorders>
            <w:shd w:val="clear" w:color="auto" w:fill="auto"/>
            <w:vAlign w:val="center"/>
          </w:tcPr>
          <w:p w14:paraId="722ED55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w:t>
            </w:r>
          </w:p>
        </w:tc>
        <w:tc>
          <w:tcPr>
            <w:tcW w:w="389" w:type="pct"/>
            <w:tcBorders>
              <w:tl2br w:val="nil"/>
              <w:tr2bl w:val="nil"/>
            </w:tcBorders>
            <w:shd w:val="clear" w:color="auto" w:fill="auto"/>
            <w:vAlign w:val="center"/>
          </w:tcPr>
          <w:p w14:paraId="4A2ABDA6">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0.02L</w:t>
            </w:r>
          </w:p>
        </w:tc>
        <w:tc>
          <w:tcPr>
            <w:tcW w:w="366" w:type="pct"/>
            <w:tcBorders>
              <w:tl2br w:val="nil"/>
              <w:tr2bl w:val="nil"/>
            </w:tcBorders>
            <w:shd w:val="clear" w:color="auto" w:fill="auto"/>
            <w:vAlign w:val="center"/>
          </w:tcPr>
          <w:p w14:paraId="485E3C72">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0.02L</w:t>
            </w:r>
          </w:p>
        </w:tc>
        <w:tc>
          <w:tcPr>
            <w:tcW w:w="347" w:type="pct"/>
            <w:tcBorders>
              <w:tl2br w:val="nil"/>
              <w:tr2bl w:val="nil"/>
            </w:tcBorders>
            <w:shd w:val="clear" w:color="auto" w:fill="auto"/>
            <w:vAlign w:val="center"/>
          </w:tcPr>
          <w:p w14:paraId="2CAE8FD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0.02L</w:t>
            </w:r>
          </w:p>
        </w:tc>
        <w:tc>
          <w:tcPr>
            <w:tcW w:w="310" w:type="pct"/>
            <w:tcBorders>
              <w:tl2br w:val="nil"/>
              <w:tr2bl w:val="nil"/>
            </w:tcBorders>
            <w:shd w:val="clear" w:color="auto" w:fill="auto"/>
            <w:vAlign w:val="center"/>
          </w:tcPr>
          <w:p w14:paraId="06C97F0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0.02</w:t>
            </w:r>
          </w:p>
        </w:tc>
        <w:tc>
          <w:tcPr>
            <w:tcW w:w="417" w:type="pct"/>
            <w:tcBorders>
              <w:tl2br w:val="nil"/>
              <w:tr2bl w:val="nil"/>
            </w:tcBorders>
            <w:shd w:val="clear" w:color="auto" w:fill="auto"/>
            <w:vAlign w:val="center"/>
          </w:tcPr>
          <w:p w14:paraId="20987221">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w:t>
            </w:r>
          </w:p>
        </w:tc>
      </w:tr>
      <w:tr w14:paraId="6C29FC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1358177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15</w:t>
            </w:r>
          </w:p>
        </w:tc>
        <w:tc>
          <w:tcPr>
            <w:tcW w:w="608" w:type="pct"/>
            <w:tcBorders>
              <w:tl2br w:val="nil"/>
              <w:tr2bl w:val="nil"/>
            </w:tcBorders>
            <w:shd w:val="clear" w:color="auto" w:fill="auto"/>
            <w:vAlign w:val="center"/>
          </w:tcPr>
          <w:p w14:paraId="1D479BA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六价铬</w:t>
            </w:r>
          </w:p>
        </w:tc>
        <w:tc>
          <w:tcPr>
            <w:tcW w:w="404" w:type="pct"/>
            <w:tcBorders>
              <w:tl2br w:val="nil"/>
              <w:tr2bl w:val="nil"/>
            </w:tcBorders>
            <w:shd w:val="clear" w:color="auto" w:fill="auto"/>
            <w:vAlign w:val="center"/>
          </w:tcPr>
          <w:p w14:paraId="4D2AC281">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≤0.05</w:t>
            </w:r>
          </w:p>
        </w:tc>
        <w:tc>
          <w:tcPr>
            <w:tcW w:w="370" w:type="pct"/>
            <w:tcBorders>
              <w:tl2br w:val="nil"/>
              <w:tr2bl w:val="nil"/>
            </w:tcBorders>
            <w:shd w:val="clear" w:color="auto" w:fill="auto"/>
            <w:vAlign w:val="center"/>
          </w:tcPr>
          <w:p w14:paraId="003AEFB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0.005</w:t>
            </w:r>
          </w:p>
        </w:tc>
        <w:tc>
          <w:tcPr>
            <w:tcW w:w="336" w:type="pct"/>
            <w:tcBorders>
              <w:tl2br w:val="nil"/>
              <w:tr2bl w:val="nil"/>
            </w:tcBorders>
            <w:shd w:val="clear" w:color="auto" w:fill="auto"/>
            <w:vAlign w:val="center"/>
          </w:tcPr>
          <w:p w14:paraId="7FDDA9E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0.005</w:t>
            </w:r>
          </w:p>
        </w:tc>
        <w:tc>
          <w:tcPr>
            <w:tcW w:w="400" w:type="pct"/>
            <w:tcBorders>
              <w:tl2br w:val="nil"/>
              <w:tr2bl w:val="nil"/>
            </w:tcBorders>
            <w:shd w:val="clear" w:color="auto" w:fill="auto"/>
            <w:vAlign w:val="center"/>
          </w:tcPr>
          <w:p w14:paraId="67F0F24C">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0.005</w:t>
            </w:r>
          </w:p>
        </w:tc>
        <w:tc>
          <w:tcPr>
            <w:tcW w:w="408" w:type="pct"/>
            <w:tcBorders>
              <w:tl2br w:val="nil"/>
              <w:tr2bl w:val="nil"/>
            </w:tcBorders>
            <w:shd w:val="clear" w:color="auto" w:fill="auto"/>
            <w:vAlign w:val="center"/>
          </w:tcPr>
          <w:p w14:paraId="3BE5A377">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0.005</w:t>
            </w:r>
          </w:p>
        </w:tc>
        <w:tc>
          <w:tcPr>
            <w:tcW w:w="446" w:type="pct"/>
            <w:tcBorders>
              <w:tl2br w:val="nil"/>
              <w:tr2bl w:val="nil"/>
            </w:tcBorders>
            <w:shd w:val="clear" w:color="auto" w:fill="auto"/>
            <w:vAlign w:val="center"/>
          </w:tcPr>
          <w:p w14:paraId="4D0BA2A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0.1</w:t>
            </w:r>
          </w:p>
        </w:tc>
        <w:tc>
          <w:tcPr>
            <w:tcW w:w="389" w:type="pct"/>
            <w:tcBorders>
              <w:tl2br w:val="nil"/>
              <w:tr2bl w:val="nil"/>
            </w:tcBorders>
            <w:shd w:val="clear" w:color="auto" w:fill="auto"/>
            <w:vAlign w:val="center"/>
          </w:tcPr>
          <w:p w14:paraId="5FA328B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0.006</w:t>
            </w:r>
          </w:p>
        </w:tc>
        <w:tc>
          <w:tcPr>
            <w:tcW w:w="366" w:type="pct"/>
            <w:tcBorders>
              <w:tl2br w:val="nil"/>
              <w:tr2bl w:val="nil"/>
            </w:tcBorders>
            <w:shd w:val="clear" w:color="auto" w:fill="auto"/>
            <w:vAlign w:val="center"/>
          </w:tcPr>
          <w:p w14:paraId="3343E44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0.005</w:t>
            </w:r>
          </w:p>
        </w:tc>
        <w:tc>
          <w:tcPr>
            <w:tcW w:w="347" w:type="pct"/>
            <w:tcBorders>
              <w:tl2br w:val="nil"/>
              <w:tr2bl w:val="nil"/>
            </w:tcBorders>
            <w:shd w:val="clear" w:color="auto" w:fill="auto"/>
            <w:vAlign w:val="center"/>
          </w:tcPr>
          <w:p w14:paraId="0D0DA98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0.006</w:t>
            </w:r>
          </w:p>
        </w:tc>
        <w:tc>
          <w:tcPr>
            <w:tcW w:w="310" w:type="pct"/>
            <w:tcBorders>
              <w:tl2br w:val="nil"/>
              <w:tr2bl w:val="nil"/>
            </w:tcBorders>
            <w:shd w:val="clear" w:color="auto" w:fill="auto"/>
            <w:vAlign w:val="center"/>
          </w:tcPr>
          <w:p w14:paraId="1388541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0.006</w:t>
            </w:r>
          </w:p>
        </w:tc>
        <w:tc>
          <w:tcPr>
            <w:tcW w:w="417" w:type="pct"/>
            <w:tcBorders>
              <w:tl2br w:val="nil"/>
              <w:tr2bl w:val="nil"/>
            </w:tcBorders>
            <w:shd w:val="clear" w:color="auto" w:fill="auto"/>
            <w:vAlign w:val="center"/>
          </w:tcPr>
          <w:p w14:paraId="2E8BD8E7">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0.12</w:t>
            </w:r>
          </w:p>
        </w:tc>
      </w:tr>
      <w:tr w14:paraId="32E4147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60" w:hRule="atLeast"/>
        </w:trPr>
        <w:tc>
          <w:tcPr>
            <w:tcW w:w="195" w:type="pct"/>
            <w:tcBorders>
              <w:tl2br w:val="nil"/>
              <w:tr2bl w:val="nil"/>
            </w:tcBorders>
            <w:shd w:val="clear" w:color="auto" w:fill="auto"/>
            <w:vAlign w:val="center"/>
          </w:tcPr>
          <w:p w14:paraId="48776720">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16</w:t>
            </w:r>
          </w:p>
        </w:tc>
        <w:tc>
          <w:tcPr>
            <w:tcW w:w="608" w:type="pct"/>
            <w:tcBorders>
              <w:tl2br w:val="nil"/>
              <w:tr2bl w:val="nil"/>
            </w:tcBorders>
            <w:shd w:val="clear" w:color="auto" w:fill="auto"/>
            <w:vAlign w:val="center"/>
          </w:tcPr>
          <w:p w14:paraId="47BD8EC6">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铅</w:t>
            </w:r>
          </w:p>
        </w:tc>
        <w:tc>
          <w:tcPr>
            <w:tcW w:w="404" w:type="pct"/>
            <w:tcBorders>
              <w:tl2br w:val="nil"/>
              <w:tr2bl w:val="nil"/>
            </w:tcBorders>
            <w:shd w:val="clear" w:color="auto" w:fill="auto"/>
            <w:vAlign w:val="center"/>
          </w:tcPr>
          <w:p w14:paraId="698D3EC6">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≤0.01</w:t>
            </w:r>
          </w:p>
        </w:tc>
        <w:tc>
          <w:tcPr>
            <w:tcW w:w="370" w:type="pct"/>
            <w:tcBorders>
              <w:tl2br w:val="nil"/>
              <w:tr2bl w:val="nil"/>
            </w:tcBorders>
            <w:shd w:val="clear" w:color="auto" w:fill="auto"/>
            <w:vAlign w:val="center"/>
          </w:tcPr>
          <w:p w14:paraId="31E42951">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0.01L</w:t>
            </w:r>
          </w:p>
        </w:tc>
        <w:tc>
          <w:tcPr>
            <w:tcW w:w="336" w:type="pct"/>
            <w:tcBorders>
              <w:tl2br w:val="nil"/>
              <w:tr2bl w:val="nil"/>
            </w:tcBorders>
            <w:shd w:val="clear" w:color="auto" w:fill="auto"/>
            <w:vAlign w:val="center"/>
          </w:tcPr>
          <w:p w14:paraId="0A2ABA92">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0.01L</w:t>
            </w:r>
          </w:p>
        </w:tc>
        <w:tc>
          <w:tcPr>
            <w:tcW w:w="400" w:type="pct"/>
            <w:tcBorders>
              <w:tl2br w:val="nil"/>
              <w:tr2bl w:val="nil"/>
            </w:tcBorders>
            <w:shd w:val="clear" w:color="auto" w:fill="auto"/>
            <w:vAlign w:val="center"/>
          </w:tcPr>
          <w:p w14:paraId="504FB4D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0.01L</w:t>
            </w:r>
          </w:p>
        </w:tc>
        <w:tc>
          <w:tcPr>
            <w:tcW w:w="408" w:type="pct"/>
            <w:tcBorders>
              <w:tl2br w:val="nil"/>
              <w:tr2bl w:val="nil"/>
            </w:tcBorders>
            <w:shd w:val="clear" w:color="auto" w:fill="auto"/>
            <w:vAlign w:val="center"/>
          </w:tcPr>
          <w:p w14:paraId="4F4E950B">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w:t>
            </w:r>
          </w:p>
        </w:tc>
        <w:tc>
          <w:tcPr>
            <w:tcW w:w="446" w:type="pct"/>
            <w:tcBorders>
              <w:tl2br w:val="nil"/>
              <w:tr2bl w:val="nil"/>
            </w:tcBorders>
            <w:shd w:val="clear" w:color="auto" w:fill="auto"/>
            <w:vAlign w:val="center"/>
          </w:tcPr>
          <w:p w14:paraId="1EC83AF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w:t>
            </w:r>
          </w:p>
        </w:tc>
        <w:tc>
          <w:tcPr>
            <w:tcW w:w="389" w:type="pct"/>
            <w:tcBorders>
              <w:tl2br w:val="nil"/>
              <w:tr2bl w:val="nil"/>
            </w:tcBorders>
            <w:shd w:val="clear" w:color="auto" w:fill="auto"/>
            <w:vAlign w:val="center"/>
          </w:tcPr>
          <w:p w14:paraId="5460701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0.01L</w:t>
            </w:r>
          </w:p>
        </w:tc>
        <w:tc>
          <w:tcPr>
            <w:tcW w:w="366" w:type="pct"/>
            <w:tcBorders>
              <w:tl2br w:val="nil"/>
              <w:tr2bl w:val="nil"/>
            </w:tcBorders>
            <w:shd w:val="clear" w:color="auto" w:fill="auto"/>
            <w:vAlign w:val="center"/>
          </w:tcPr>
          <w:p w14:paraId="14B8553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0.01L</w:t>
            </w:r>
          </w:p>
        </w:tc>
        <w:tc>
          <w:tcPr>
            <w:tcW w:w="347" w:type="pct"/>
            <w:tcBorders>
              <w:tl2br w:val="nil"/>
              <w:tr2bl w:val="nil"/>
            </w:tcBorders>
            <w:shd w:val="clear" w:color="auto" w:fill="auto"/>
            <w:vAlign w:val="center"/>
          </w:tcPr>
          <w:p w14:paraId="6F0340CC">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0.01L</w:t>
            </w:r>
          </w:p>
        </w:tc>
        <w:tc>
          <w:tcPr>
            <w:tcW w:w="310" w:type="pct"/>
            <w:tcBorders>
              <w:tl2br w:val="nil"/>
              <w:tr2bl w:val="nil"/>
            </w:tcBorders>
            <w:shd w:val="clear" w:color="auto" w:fill="auto"/>
            <w:vAlign w:val="center"/>
          </w:tcPr>
          <w:p w14:paraId="54ED3E9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w:t>
            </w:r>
          </w:p>
        </w:tc>
        <w:tc>
          <w:tcPr>
            <w:tcW w:w="417" w:type="pct"/>
            <w:tcBorders>
              <w:tl2br w:val="nil"/>
              <w:tr2bl w:val="nil"/>
            </w:tcBorders>
            <w:shd w:val="clear" w:color="auto" w:fill="auto"/>
            <w:vAlign w:val="center"/>
          </w:tcPr>
          <w:p w14:paraId="02B6A5A7">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w:t>
            </w:r>
          </w:p>
        </w:tc>
      </w:tr>
      <w:tr w14:paraId="27A6CC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60" w:hRule="atLeast"/>
        </w:trPr>
        <w:tc>
          <w:tcPr>
            <w:tcW w:w="195" w:type="pct"/>
            <w:tcBorders>
              <w:tl2br w:val="nil"/>
              <w:tr2bl w:val="nil"/>
            </w:tcBorders>
            <w:shd w:val="clear" w:color="auto" w:fill="auto"/>
            <w:vAlign w:val="center"/>
          </w:tcPr>
          <w:p w14:paraId="5AC2F65C">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17</w:t>
            </w:r>
          </w:p>
        </w:tc>
        <w:tc>
          <w:tcPr>
            <w:tcW w:w="608" w:type="pct"/>
            <w:tcBorders>
              <w:tl2br w:val="nil"/>
              <w:tr2bl w:val="nil"/>
            </w:tcBorders>
            <w:shd w:val="clear" w:color="auto" w:fill="auto"/>
            <w:vAlign w:val="center"/>
          </w:tcPr>
          <w:p w14:paraId="04B2D82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氰化物</w:t>
            </w:r>
          </w:p>
        </w:tc>
        <w:tc>
          <w:tcPr>
            <w:tcW w:w="404" w:type="pct"/>
            <w:tcBorders>
              <w:tl2br w:val="nil"/>
              <w:tr2bl w:val="nil"/>
            </w:tcBorders>
            <w:shd w:val="clear" w:color="auto" w:fill="auto"/>
            <w:vAlign w:val="center"/>
          </w:tcPr>
          <w:p w14:paraId="6C9EE436">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≤0.05</w:t>
            </w:r>
          </w:p>
        </w:tc>
        <w:tc>
          <w:tcPr>
            <w:tcW w:w="370" w:type="pct"/>
            <w:tcBorders>
              <w:tl2br w:val="nil"/>
              <w:tr2bl w:val="nil"/>
            </w:tcBorders>
            <w:shd w:val="clear" w:color="auto" w:fill="auto"/>
            <w:vAlign w:val="center"/>
          </w:tcPr>
          <w:p w14:paraId="685C6B62">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0.004L</w:t>
            </w:r>
          </w:p>
        </w:tc>
        <w:tc>
          <w:tcPr>
            <w:tcW w:w="336" w:type="pct"/>
            <w:tcBorders>
              <w:tl2br w:val="nil"/>
              <w:tr2bl w:val="nil"/>
            </w:tcBorders>
            <w:shd w:val="clear" w:color="auto" w:fill="auto"/>
            <w:vAlign w:val="center"/>
          </w:tcPr>
          <w:p w14:paraId="49A0203E">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0.004L</w:t>
            </w:r>
          </w:p>
        </w:tc>
        <w:tc>
          <w:tcPr>
            <w:tcW w:w="400" w:type="pct"/>
            <w:tcBorders>
              <w:tl2br w:val="nil"/>
              <w:tr2bl w:val="nil"/>
            </w:tcBorders>
            <w:shd w:val="clear" w:color="auto" w:fill="auto"/>
            <w:vAlign w:val="center"/>
          </w:tcPr>
          <w:p w14:paraId="0207B6AA">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0.004L</w:t>
            </w:r>
          </w:p>
        </w:tc>
        <w:tc>
          <w:tcPr>
            <w:tcW w:w="408" w:type="pct"/>
            <w:tcBorders>
              <w:tl2br w:val="nil"/>
              <w:tr2bl w:val="nil"/>
            </w:tcBorders>
            <w:shd w:val="clear" w:color="auto" w:fill="auto"/>
            <w:vAlign w:val="center"/>
          </w:tcPr>
          <w:p w14:paraId="5989A546">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0.004</w:t>
            </w:r>
          </w:p>
        </w:tc>
        <w:tc>
          <w:tcPr>
            <w:tcW w:w="446" w:type="pct"/>
            <w:tcBorders>
              <w:tl2br w:val="nil"/>
              <w:tr2bl w:val="nil"/>
            </w:tcBorders>
            <w:shd w:val="clear" w:color="auto" w:fill="auto"/>
            <w:vAlign w:val="center"/>
          </w:tcPr>
          <w:p w14:paraId="5715150E">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0.08</w:t>
            </w:r>
          </w:p>
        </w:tc>
        <w:tc>
          <w:tcPr>
            <w:tcW w:w="389" w:type="pct"/>
            <w:tcBorders>
              <w:tl2br w:val="nil"/>
              <w:tr2bl w:val="nil"/>
            </w:tcBorders>
            <w:shd w:val="clear" w:color="auto" w:fill="auto"/>
            <w:vAlign w:val="center"/>
          </w:tcPr>
          <w:p w14:paraId="6B49426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0.004L</w:t>
            </w:r>
          </w:p>
        </w:tc>
        <w:tc>
          <w:tcPr>
            <w:tcW w:w="366" w:type="pct"/>
            <w:tcBorders>
              <w:tl2br w:val="nil"/>
              <w:tr2bl w:val="nil"/>
            </w:tcBorders>
            <w:shd w:val="clear" w:color="auto" w:fill="auto"/>
            <w:vAlign w:val="center"/>
          </w:tcPr>
          <w:p w14:paraId="2E7E0F82">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0.004L</w:t>
            </w:r>
          </w:p>
        </w:tc>
        <w:tc>
          <w:tcPr>
            <w:tcW w:w="347" w:type="pct"/>
            <w:tcBorders>
              <w:tl2br w:val="nil"/>
              <w:tr2bl w:val="nil"/>
            </w:tcBorders>
            <w:shd w:val="clear" w:color="auto" w:fill="auto"/>
            <w:vAlign w:val="center"/>
          </w:tcPr>
          <w:p w14:paraId="354E728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0.004L</w:t>
            </w:r>
          </w:p>
        </w:tc>
        <w:tc>
          <w:tcPr>
            <w:tcW w:w="310" w:type="pct"/>
            <w:tcBorders>
              <w:tl2br w:val="nil"/>
              <w:tr2bl w:val="nil"/>
            </w:tcBorders>
            <w:shd w:val="clear" w:color="auto" w:fill="auto"/>
            <w:vAlign w:val="center"/>
          </w:tcPr>
          <w:p w14:paraId="7502C59C">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0.004</w:t>
            </w:r>
          </w:p>
        </w:tc>
        <w:tc>
          <w:tcPr>
            <w:tcW w:w="417" w:type="pct"/>
            <w:tcBorders>
              <w:tl2br w:val="nil"/>
              <w:tr2bl w:val="nil"/>
            </w:tcBorders>
            <w:shd w:val="clear" w:color="auto" w:fill="auto"/>
            <w:vAlign w:val="center"/>
          </w:tcPr>
          <w:p w14:paraId="470116D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0.08</w:t>
            </w:r>
          </w:p>
        </w:tc>
      </w:tr>
      <w:tr w14:paraId="091375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60" w:hRule="atLeast"/>
        </w:trPr>
        <w:tc>
          <w:tcPr>
            <w:tcW w:w="195" w:type="pct"/>
            <w:tcBorders>
              <w:tl2br w:val="nil"/>
              <w:tr2bl w:val="nil"/>
            </w:tcBorders>
            <w:shd w:val="clear" w:color="auto" w:fill="auto"/>
            <w:vAlign w:val="center"/>
          </w:tcPr>
          <w:p w14:paraId="2764AD6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18</w:t>
            </w:r>
          </w:p>
        </w:tc>
        <w:tc>
          <w:tcPr>
            <w:tcW w:w="608" w:type="pct"/>
            <w:tcBorders>
              <w:tl2br w:val="nil"/>
              <w:tr2bl w:val="nil"/>
            </w:tcBorders>
            <w:shd w:val="clear" w:color="auto" w:fill="auto"/>
            <w:vAlign w:val="center"/>
          </w:tcPr>
          <w:p w14:paraId="0DDFF1C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挥发酚</w:t>
            </w:r>
          </w:p>
        </w:tc>
        <w:tc>
          <w:tcPr>
            <w:tcW w:w="404" w:type="pct"/>
            <w:tcBorders>
              <w:tl2br w:val="nil"/>
              <w:tr2bl w:val="nil"/>
            </w:tcBorders>
            <w:shd w:val="clear" w:color="auto" w:fill="auto"/>
            <w:vAlign w:val="center"/>
          </w:tcPr>
          <w:p w14:paraId="07FF791C">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≤0.002</w:t>
            </w:r>
          </w:p>
        </w:tc>
        <w:tc>
          <w:tcPr>
            <w:tcW w:w="370" w:type="pct"/>
            <w:tcBorders>
              <w:tl2br w:val="nil"/>
              <w:tr2bl w:val="nil"/>
            </w:tcBorders>
            <w:shd w:val="clear" w:color="auto" w:fill="auto"/>
            <w:vAlign w:val="center"/>
          </w:tcPr>
          <w:p w14:paraId="3AE0AB8E">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0.0003L</w:t>
            </w:r>
          </w:p>
        </w:tc>
        <w:tc>
          <w:tcPr>
            <w:tcW w:w="336" w:type="pct"/>
            <w:tcBorders>
              <w:tl2br w:val="nil"/>
              <w:tr2bl w:val="nil"/>
            </w:tcBorders>
            <w:shd w:val="clear" w:color="auto" w:fill="auto"/>
            <w:vAlign w:val="center"/>
          </w:tcPr>
          <w:p w14:paraId="0B37BC7B">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0.0003L</w:t>
            </w:r>
          </w:p>
        </w:tc>
        <w:tc>
          <w:tcPr>
            <w:tcW w:w="400" w:type="pct"/>
            <w:tcBorders>
              <w:tl2br w:val="nil"/>
              <w:tr2bl w:val="nil"/>
            </w:tcBorders>
            <w:shd w:val="clear" w:color="auto" w:fill="auto"/>
            <w:vAlign w:val="center"/>
          </w:tcPr>
          <w:p w14:paraId="4252203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0.0003L</w:t>
            </w:r>
          </w:p>
        </w:tc>
        <w:tc>
          <w:tcPr>
            <w:tcW w:w="408" w:type="pct"/>
            <w:tcBorders>
              <w:tl2br w:val="nil"/>
              <w:tr2bl w:val="nil"/>
            </w:tcBorders>
            <w:shd w:val="clear" w:color="auto" w:fill="auto"/>
            <w:vAlign w:val="center"/>
          </w:tcPr>
          <w:p w14:paraId="4C1BEE5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0.0003</w:t>
            </w:r>
          </w:p>
        </w:tc>
        <w:tc>
          <w:tcPr>
            <w:tcW w:w="446" w:type="pct"/>
            <w:tcBorders>
              <w:tl2br w:val="nil"/>
              <w:tr2bl w:val="nil"/>
            </w:tcBorders>
            <w:shd w:val="clear" w:color="auto" w:fill="auto"/>
            <w:vAlign w:val="center"/>
          </w:tcPr>
          <w:p w14:paraId="279BD62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0.15</w:t>
            </w:r>
          </w:p>
        </w:tc>
        <w:tc>
          <w:tcPr>
            <w:tcW w:w="389" w:type="pct"/>
            <w:tcBorders>
              <w:tl2br w:val="nil"/>
              <w:tr2bl w:val="nil"/>
            </w:tcBorders>
            <w:shd w:val="clear" w:color="auto" w:fill="auto"/>
            <w:vAlign w:val="center"/>
          </w:tcPr>
          <w:p w14:paraId="3D985A7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0.0003L</w:t>
            </w:r>
          </w:p>
        </w:tc>
        <w:tc>
          <w:tcPr>
            <w:tcW w:w="366" w:type="pct"/>
            <w:tcBorders>
              <w:tl2br w:val="nil"/>
              <w:tr2bl w:val="nil"/>
            </w:tcBorders>
            <w:shd w:val="clear" w:color="auto" w:fill="auto"/>
            <w:vAlign w:val="center"/>
          </w:tcPr>
          <w:p w14:paraId="2AFCEEB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0.0003L</w:t>
            </w:r>
          </w:p>
        </w:tc>
        <w:tc>
          <w:tcPr>
            <w:tcW w:w="347" w:type="pct"/>
            <w:tcBorders>
              <w:tl2br w:val="nil"/>
              <w:tr2bl w:val="nil"/>
            </w:tcBorders>
            <w:shd w:val="clear" w:color="auto" w:fill="auto"/>
            <w:vAlign w:val="center"/>
          </w:tcPr>
          <w:p w14:paraId="0723A6C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0.0003L</w:t>
            </w:r>
          </w:p>
        </w:tc>
        <w:tc>
          <w:tcPr>
            <w:tcW w:w="310" w:type="pct"/>
            <w:tcBorders>
              <w:tl2br w:val="nil"/>
              <w:tr2bl w:val="nil"/>
            </w:tcBorders>
            <w:shd w:val="clear" w:color="auto" w:fill="auto"/>
            <w:vAlign w:val="center"/>
          </w:tcPr>
          <w:p w14:paraId="311825D1">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0.0003</w:t>
            </w:r>
          </w:p>
        </w:tc>
        <w:tc>
          <w:tcPr>
            <w:tcW w:w="417" w:type="pct"/>
            <w:tcBorders>
              <w:tl2br w:val="nil"/>
              <w:tr2bl w:val="nil"/>
            </w:tcBorders>
            <w:shd w:val="clear" w:color="auto" w:fill="auto"/>
            <w:vAlign w:val="center"/>
          </w:tcPr>
          <w:p w14:paraId="4EF281D6">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0.15</w:t>
            </w:r>
          </w:p>
        </w:tc>
      </w:tr>
      <w:tr w14:paraId="0EEF44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3D070F4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19</w:t>
            </w:r>
          </w:p>
        </w:tc>
        <w:tc>
          <w:tcPr>
            <w:tcW w:w="608" w:type="pct"/>
            <w:tcBorders>
              <w:tl2br w:val="nil"/>
              <w:tr2bl w:val="nil"/>
            </w:tcBorders>
            <w:shd w:val="clear" w:color="auto" w:fill="auto"/>
            <w:vAlign w:val="center"/>
          </w:tcPr>
          <w:p w14:paraId="2FF6225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石油类</w:t>
            </w:r>
          </w:p>
        </w:tc>
        <w:tc>
          <w:tcPr>
            <w:tcW w:w="404" w:type="pct"/>
            <w:tcBorders>
              <w:tl2br w:val="nil"/>
              <w:tr2bl w:val="nil"/>
            </w:tcBorders>
            <w:shd w:val="clear" w:color="auto" w:fill="auto"/>
            <w:vAlign w:val="center"/>
          </w:tcPr>
          <w:p w14:paraId="77D6A4CA">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≤0.05</w:t>
            </w:r>
          </w:p>
        </w:tc>
        <w:tc>
          <w:tcPr>
            <w:tcW w:w="370" w:type="pct"/>
            <w:tcBorders>
              <w:tl2br w:val="nil"/>
              <w:tr2bl w:val="nil"/>
            </w:tcBorders>
            <w:shd w:val="clear" w:color="auto" w:fill="auto"/>
            <w:vAlign w:val="center"/>
          </w:tcPr>
          <w:p w14:paraId="63325DD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0.01L</w:t>
            </w:r>
          </w:p>
        </w:tc>
        <w:tc>
          <w:tcPr>
            <w:tcW w:w="336" w:type="pct"/>
            <w:tcBorders>
              <w:tl2br w:val="nil"/>
              <w:tr2bl w:val="nil"/>
            </w:tcBorders>
            <w:shd w:val="clear" w:color="auto" w:fill="auto"/>
            <w:vAlign w:val="center"/>
          </w:tcPr>
          <w:p w14:paraId="3F0F9247">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0.01L</w:t>
            </w:r>
          </w:p>
        </w:tc>
        <w:tc>
          <w:tcPr>
            <w:tcW w:w="400" w:type="pct"/>
            <w:tcBorders>
              <w:tl2br w:val="nil"/>
              <w:tr2bl w:val="nil"/>
            </w:tcBorders>
            <w:shd w:val="clear" w:color="auto" w:fill="auto"/>
            <w:vAlign w:val="center"/>
          </w:tcPr>
          <w:p w14:paraId="156419E6">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0.01L</w:t>
            </w:r>
          </w:p>
        </w:tc>
        <w:tc>
          <w:tcPr>
            <w:tcW w:w="408" w:type="pct"/>
            <w:tcBorders>
              <w:tl2br w:val="nil"/>
              <w:tr2bl w:val="nil"/>
            </w:tcBorders>
            <w:shd w:val="clear" w:color="auto" w:fill="auto"/>
            <w:vAlign w:val="center"/>
          </w:tcPr>
          <w:p w14:paraId="0FA7BD3A">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w:t>
            </w:r>
          </w:p>
        </w:tc>
        <w:tc>
          <w:tcPr>
            <w:tcW w:w="446" w:type="pct"/>
            <w:tcBorders>
              <w:tl2br w:val="nil"/>
              <w:tr2bl w:val="nil"/>
            </w:tcBorders>
            <w:shd w:val="clear" w:color="auto" w:fill="auto"/>
            <w:vAlign w:val="center"/>
          </w:tcPr>
          <w:p w14:paraId="33C74717">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0.2</w:t>
            </w:r>
          </w:p>
        </w:tc>
        <w:tc>
          <w:tcPr>
            <w:tcW w:w="389" w:type="pct"/>
            <w:tcBorders>
              <w:tl2br w:val="nil"/>
              <w:tr2bl w:val="nil"/>
            </w:tcBorders>
            <w:shd w:val="clear" w:color="auto" w:fill="auto"/>
            <w:vAlign w:val="center"/>
          </w:tcPr>
          <w:p w14:paraId="7A0A732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0.01L</w:t>
            </w:r>
          </w:p>
        </w:tc>
        <w:tc>
          <w:tcPr>
            <w:tcW w:w="366" w:type="pct"/>
            <w:tcBorders>
              <w:tl2br w:val="nil"/>
              <w:tr2bl w:val="nil"/>
            </w:tcBorders>
            <w:shd w:val="clear" w:color="auto" w:fill="auto"/>
            <w:vAlign w:val="center"/>
          </w:tcPr>
          <w:p w14:paraId="33D79A22">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0.01L</w:t>
            </w:r>
          </w:p>
        </w:tc>
        <w:tc>
          <w:tcPr>
            <w:tcW w:w="347" w:type="pct"/>
            <w:tcBorders>
              <w:tl2br w:val="nil"/>
              <w:tr2bl w:val="nil"/>
            </w:tcBorders>
            <w:shd w:val="clear" w:color="auto" w:fill="auto"/>
            <w:vAlign w:val="center"/>
          </w:tcPr>
          <w:p w14:paraId="42A9703A">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0.01L</w:t>
            </w:r>
          </w:p>
        </w:tc>
        <w:tc>
          <w:tcPr>
            <w:tcW w:w="310" w:type="pct"/>
            <w:tcBorders>
              <w:tl2br w:val="nil"/>
              <w:tr2bl w:val="nil"/>
            </w:tcBorders>
            <w:shd w:val="clear" w:color="auto" w:fill="auto"/>
            <w:vAlign w:val="center"/>
          </w:tcPr>
          <w:p w14:paraId="3C1B262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w:t>
            </w:r>
          </w:p>
        </w:tc>
        <w:tc>
          <w:tcPr>
            <w:tcW w:w="417" w:type="pct"/>
            <w:tcBorders>
              <w:tl2br w:val="nil"/>
              <w:tr2bl w:val="nil"/>
            </w:tcBorders>
            <w:shd w:val="clear" w:color="auto" w:fill="auto"/>
            <w:vAlign w:val="center"/>
          </w:tcPr>
          <w:p w14:paraId="2B83AC8A">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0.2</w:t>
            </w:r>
          </w:p>
        </w:tc>
      </w:tr>
      <w:tr w14:paraId="5C791D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3AEB020C">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20</w:t>
            </w:r>
          </w:p>
        </w:tc>
        <w:tc>
          <w:tcPr>
            <w:tcW w:w="608" w:type="pct"/>
            <w:tcBorders>
              <w:tl2br w:val="nil"/>
              <w:tr2bl w:val="nil"/>
            </w:tcBorders>
            <w:shd w:val="clear" w:color="auto" w:fill="auto"/>
            <w:vAlign w:val="center"/>
          </w:tcPr>
          <w:p w14:paraId="388D89F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阴离子表面活性剂</w:t>
            </w:r>
          </w:p>
        </w:tc>
        <w:tc>
          <w:tcPr>
            <w:tcW w:w="404" w:type="pct"/>
            <w:tcBorders>
              <w:tl2br w:val="nil"/>
              <w:tr2bl w:val="nil"/>
            </w:tcBorders>
            <w:shd w:val="clear" w:color="auto" w:fill="auto"/>
            <w:vAlign w:val="center"/>
          </w:tcPr>
          <w:p w14:paraId="247CC043">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≤0.2</w:t>
            </w:r>
          </w:p>
        </w:tc>
        <w:tc>
          <w:tcPr>
            <w:tcW w:w="370" w:type="pct"/>
            <w:tcBorders>
              <w:tl2br w:val="nil"/>
              <w:tr2bl w:val="nil"/>
            </w:tcBorders>
            <w:shd w:val="clear" w:color="auto" w:fill="auto"/>
            <w:vAlign w:val="center"/>
          </w:tcPr>
          <w:p w14:paraId="0FA5FFFA">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0.04L</w:t>
            </w:r>
          </w:p>
        </w:tc>
        <w:tc>
          <w:tcPr>
            <w:tcW w:w="336" w:type="pct"/>
            <w:tcBorders>
              <w:tl2br w:val="nil"/>
              <w:tr2bl w:val="nil"/>
            </w:tcBorders>
            <w:shd w:val="clear" w:color="auto" w:fill="auto"/>
            <w:vAlign w:val="center"/>
          </w:tcPr>
          <w:p w14:paraId="3307CBC0">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0.04L</w:t>
            </w:r>
          </w:p>
        </w:tc>
        <w:tc>
          <w:tcPr>
            <w:tcW w:w="400" w:type="pct"/>
            <w:tcBorders>
              <w:tl2br w:val="nil"/>
              <w:tr2bl w:val="nil"/>
            </w:tcBorders>
            <w:shd w:val="clear" w:color="auto" w:fill="auto"/>
            <w:vAlign w:val="center"/>
          </w:tcPr>
          <w:p w14:paraId="255DC76E">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0.04L</w:t>
            </w:r>
          </w:p>
        </w:tc>
        <w:tc>
          <w:tcPr>
            <w:tcW w:w="408" w:type="pct"/>
            <w:tcBorders>
              <w:tl2br w:val="nil"/>
              <w:tr2bl w:val="nil"/>
            </w:tcBorders>
            <w:shd w:val="clear" w:color="auto" w:fill="auto"/>
            <w:vAlign w:val="center"/>
          </w:tcPr>
          <w:p w14:paraId="5EB0B18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0.04</w:t>
            </w:r>
          </w:p>
        </w:tc>
        <w:tc>
          <w:tcPr>
            <w:tcW w:w="446" w:type="pct"/>
            <w:tcBorders>
              <w:tl2br w:val="nil"/>
              <w:tr2bl w:val="nil"/>
            </w:tcBorders>
            <w:shd w:val="clear" w:color="auto" w:fill="auto"/>
            <w:vAlign w:val="center"/>
          </w:tcPr>
          <w:p w14:paraId="0E1DFD3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0.2</w:t>
            </w:r>
          </w:p>
        </w:tc>
        <w:tc>
          <w:tcPr>
            <w:tcW w:w="389" w:type="pct"/>
            <w:tcBorders>
              <w:tl2br w:val="nil"/>
              <w:tr2bl w:val="nil"/>
            </w:tcBorders>
            <w:shd w:val="clear" w:color="auto" w:fill="auto"/>
            <w:vAlign w:val="center"/>
          </w:tcPr>
          <w:p w14:paraId="741639B0">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0.04L</w:t>
            </w:r>
          </w:p>
        </w:tc>
        <w:tc>
          <w:tcPr>
            <w:tcW w:w="366" w:type="pct"/>
            <w:tcBorders>
              <w:tl2br w:val="nil"/>
              <w:tr2bl w:val="nil"/>
            </w:tcBorders>
            <w:shd w:val="clear" w:color="auto" w:fill="auto"/>
            <w:vAlign w:val="center"/>
          </w:tcPr>
          <w:p w14:paraId="3233A7E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0.04L</w:t>
            </w:r>
          </w:p>
        </w:tc>
        <w:tc>
          <w:tcPr>
            <w:tcW w:w="347" w:type="pct"/>
            <w:tcBorders>
              <w:tl2br w:val="nil"/>
              <w:tr2bl w:val="nil"/>
            </w:tcBorders>
            <w:shd w:val="clear" w:color="auto" w:fill="auto"/>
            <w:vAlign w:val="center"/>
          </w:tcPr>
          <w:p w14:paraId="7B32376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0.04L</w:t>
            </w:r>
          </w:p>
        </w:tc>
        <w:tc>
          <w:tcPr>
            <w:tcW w:w="310" w:type="pct"/>
            <w:tcBorders>
              <w:tl2br w:val="nil"/>
              <w:tr2bl w:val="nil"/>
            </w:tcBorders>
            <w:shd w:val="clear" w:color="auto" w:fill="auto"/>
            <w:vAlign w:val="center"/>
          </w:tcPr>
          <w:p w14:paraId="561C5A7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0.04</w:t>
            </w:r>
          </w:p>
        </w:tc>
        <w:tc>
          <w:tcPr>
            <w:tcW w:w="417" w:type="pct"/>
            <w:tcBorders>
              <w:tl2br w:val="nil"/>
              <w:tr2bl w:val="nil"/>
            </w:tcBorders>
            <w:shd w:val="clear" w:color="auto" w:fill="auto"/>
            <w:vAlign w:val="center"/>
          </w:tcPr>
          <w:p w14:paraId="572EFA5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0.2</w:t>
            </w:r>
          </w:p>
        </w:tc>
      </w:tr>
      <w:tr w14:paraId="388B4A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0DDB9E7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21</w:t>
            </w:r>
          </w:p>
        </w:tc>
        <w:tc>
          <w:tcPr>
            <w:tcW w:w="608" w:type="pct"/>
            <w:tcBorders>
              <w:tl2br w:val="nil"/>
              <w:tr2bl w:val="nil"/>
            </w:tcBorders>
            <w:shd w:val="clear" w:color="auto" w:fill="auto"/>
            <w:vAlign w:val="center"/>
          </w:tcPr>
          <w:p w14:paraId="4E871967">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硫化物</w:t>
            </w:r>
          </w:p>
        </w:tc>
        <w:tc>
          <w:tcPr>
            <w:tcW w:w="404" w:type="pct"/>
            <w:tcBorders>
              <w:tl2br w:val="nil"/>
              <w:tr2bl w:val="nil"/>
            </w:tcBorders>
            <w:shd w:val="clear" w:color="auto" w:fill="auto"/>
            <w:vAlign w:val="center"/>
          </w:tcPr>
          <w:p w14:paraId="776D306D">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≤0.1</w:t>
            </w:r>
          </w:p>
        </w:tc>
        <w:tc>
          <w:tcPr>
            <w:tcW w:w="370" w:type="pct"/>
            <w:tcBorders>
              <w:tl2br w:val="nil"/>
              <w:tr2bl w:val="nil"/>
            </w:tcBorders>
            <w:shd w:val="clear" w:color="auto" w:fill="auto"/>
            <w:vAlign w:val="center"/>
          </w:tcPr>
          <w:p w14:paraId="5908707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0.01L</w:t>
            </w:r>
          </w:p>
        </w:tc>
        <w:tc>
          <w:tcPr>
            <w:tcW w:w="336" w:type="pct"/>
            <w:tcBorders>
              <w:tl2br w:val="nil"/>
              <w:tr2bl w:val="nil"/>
            </w:tcBorders>
            <w:shd w:val="clear" w:color="auto" w:fill="auto"/>
            <w:vAlign w:val="center"/>
          </w:tcPr>
          <w:p w14:paraId="63BF3CDE">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0.01L</w:t>
            </w:r>
          </w:p>
        </w:tc>
        <w:tc>
          <w:tcPr>
            <w:tcW w:w="400" w:type="pct"/>
            <w:tcBorders>
              <w:tl2br w:val="nil"/>
              <w:tr2bl w:val="nil"/>
            </w:tcBorders>
            <w:shd w:val="clear" w:color="auto" w:fill="auto"/>
            <w:vAlign w:val="center"/>
          </w:tcPr>
          <w:p w14:paraId="692E77D0">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0.01L</w:t>
            </w:r>
          </w:p>
        </w:tc>
        <w:tc>
          <w:tcPr>
            <w:tcW w:w="408" w:type="pct"/>
            <w:tcBorders>
              <w:tl2br w:val="nil"/>
              <w:tr2bl w:val="nil"/>
            </w:tcBorders>
            <w:shd w:val="clear" w:color="auto" w:fill="auto"/>
            <w:vAlign w:val="center"/>
          </w:tcPr>
          <w:p w14:paraId="11D6F63A">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w:t>
            </w:r>
          </w:p>
        </w:tc>
        <w:tc>
          <w:tcPr>
            <w:tcW w:w="446" w:type="pct"/>
            <w:tcBorders>
              <w:tl2br w:val="nil"/>
              <w:tr2bl w:val="nil"/>
            </w:tcBorders>
            <w:shd w:val="clear" w:color="auto" w:fill="auto"/>
            <w:vAlign w:val="center"/>
          </w:tcPr>
          <w:p w14:paraId="681DEC56">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0.1</w:t>
            </w:r>
          </w:p>
        </w:tc>
        <w:tc>
          <w:tcPr>
            <w:tcW w:w="389" w:type="pct"/>
            <w:tcBorders>
              <w:tl2br w:val="nil"/>
              <w:tr2bl w:val="nil"/>
            </w:tcBorders>
            <w:shd w:val="clear" w:color="auto" w:fill="auto"/>
            <w:vAlign w:val="center"/>
          </w:tcPr>
          <w:p w14:paraId="16727E10">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0.01L</w:t>
            </w:r>
          </w:p>
        </w:tc>
        <w:tc>
          <w:tcPr>
            <w:tcW w:w="366" w:type="pct"/>
            <w:tcBorders>
              <w:tl2br w:val="nil"/>
              <w:tr2bl w:val="nil"/>
            </w:tcBorders>
            <w:shd w:val="clear" w:color="auto" w:fill="auto"/>
            <w:vAlign w:val="center"/>
          </w:tcPr>
          <w:p w14:paraId="55F286B2">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0.01L</w:t>
            </w:r>
          </w:p>
        </w:tc>
        <w:tc>
          <w:tcPr>
            <w:tcW w:w="347" w:type="pct"/>
            <w:tcBorders>
              <w:tl2br w:val="nil"/>
              <w:tr2bl w:val="nil"/>
            </w:tcBorders>
            <w:shd w:val="clear" w:color="auto" w:fill="auto"/>
            <w:vAlign w:val="center"/>
          </w:tcPr>
          <w:p w14:paraId="2F5825F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0.01L</w:t>
            </w:r>
          </w:p>
        </w:tc>
        <w:tc>
          <w:tcPr>
            <w:tcW w:w="310" w:type="pct"/>
            <w:tcBorders>
              <w:tl2br w:val="nil"/>
              <w:tr2bl w:val="nil"/>
            </w:tcBorders>
            <w:shd w:val="clear" w:color="auto" w:fill="auto"/>
            <w:vAlign w:val="center"/>
          </w:tcPr>
          <w:p w14:paraId="7307A68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0.01</w:t>
            </w:r>
          </w:p>
        </w:tc>
        <w:tc>
          <w:tcPr>
            <w:tcW w:w="417" w:type="pct"/>
            <w:tcBorders>
              <w:tl2br w:val="nil"/>
              <w:tr2bl w:val="nil"/>
            </w:tcBorders>
            <w:shd w:val="clear" w:color="auto" w:fill="auto"/>
            <w:vAlign w:val="center"/>
          </w:tcPr>
          <w:p w14:paraId="44FCAB37">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0.1</w:t>
            </w:r>
          </w:p>
        </w:tc>
      </w:tr>
      <w:tr w14:paraId="57446B9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4FBC533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22</w:t>
            </w:r>
          </w:p>
        </w:tc>
        <w:tc>
          <w:tcPr>
            <w:tcW w:w="608" w:type="pct"/>
            <w:tcBorders>
              <w:tl2br w:val="nil"/>
              <w:tr2bl w:val="nil"/>
            </w:tcBorders>
            <w:shd w:val="clear" w:color="auto" w:fill="auto"/>
            <w:vAlign w:val="center"/>
          </w:tcPr>
          <w:p w14:paraId="2A510D90">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锰</w:t>
            </w:r>
          </w:p>
        </w:tc>
        <w:tc>
          <w:tcPr>
            <w:tcW w:w="404" w:type="pct"/>
            <w:tcBorders>
              <w:tl2br w:val="nil"/>
              <w:tr2bl w:val="nil"/>
            </w:tcBorders>
            <w:shd w:val="clear" w:color="auto" w:fill="auto"/>
            <w:vAlign w:val="center"/>
          </w:tcPr>
          <w:p w14:paraId="10FFF2E8">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0.1</w:t>
            </w:r>
          </w:p>
        </w:tc>
        <w:tc>
          <w:tcPr>
            <w:tcW w:w="370" w:type="pct"/>
            <w:tcBorders>
              <w:tl2br w:val="nil"/>
              <w:tr2bl w:val="nil"/>
            </w:tcBorders>
            <w:shd w:val="clear" w:color="auto" w:fill="auto"/>
            <w:vAlign w:val="center"/>
          </w:tcPr>
          <w:p w14:paraId="2CEF1F0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0.004L</w:t>
            </w:r>
          </w:p>
        </w:tc>
        <w:tc>
          <w:tcPr>
            <w:tcW w:w="336" w:type="pct"/>
            <w:tcBorders>
              <w:tl2br w:val="nil"/>
              <w:tr2bl w:val="nil"/>
            </w:tcBorders>
            <w:shd w:val="clear" w:color="auto" w:fill="auto"/>
            <w:vAlign w:val="center"/>
          </w:tcPr>
          <w:p w14:paraId="208CC1B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0.004L</w:t>
            </w:r>
          </w:p>
        </w:tc>
        <w:tc>
          <w:tcPr>
            <w:tcW w:w="400" w:type="pct"/>
            <w:tcBorders>
              <w:tl2br w:val="nil"/>
              <w:tr2bl w:val="nil"/>
            </w:tcBorders>
            <w:shd w:val="clear" w:color="auto" w:fill="auto"/>
            <w:vAlign w:val="center"/>
          </w:tcPr>
          <w:p w14:paraId="117ED7AB">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0.004L</w:t>
            </w:r>
          </w:p>
        </w:tc>
        <w:tc>
          <w:tcPr>
            <w:tcW w:w="408" w:type="pct"/>
            <w:tcBorders>
              <w:tl2br w:val="nil"/>
              <w:tr2bl w:val="nil"/>
            </w:tcBorders>
            <w:shd w:val="clear" w:color="auto" w:fill="auto"/>
            <w:vAlign w:val="center"/>
          </w:tcPr>
          <w:p w14:paraId="0D131557">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0.004</w:t>
            </w:r>
          </w:p>
        </w:tc>
        <w:tc>
          <w:tcPr>
            <w:tcW w:w="446" w:type="pct"/>
            <w:tcBorders>
              <w:tl2br w:val="nil"/>
              <w:tr2bl w:val="nil"/>
            </w:tcBorders>
            <w:shd w:val="clear" w:color="auto" w:fill="auto"/>
            <w:vAlign w:val="center"/>
          </w:tcPr>
          <w:p w14:paraId="7013288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0.04</w:t>
            </w:r>
          </w:p>
        </w:tc>
        <w:tc>
          <w:tcPr>
            <w:tcW w:w="389" w:type="pct"/>
            <w:tcBorders>
              <w:tl2br w:val="nil"/>
              <w:tr2bl w:val="nil"/>
            </w:tcBorders>
            <w:shd w:val="clear" w:color="auto" w:fill="auto"/>
            <w:vAlign w:val="center"/>
          </w:tcPr>
          <w:p w14:paraId="72DFF1F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0.004L</w:t>
            </w:r>
          </w:p>
        </w:tc>
        <w:tc>
          <w:tcPr>
            <w:tcW w:w="366" w:type="pct"/>
            <w:tcBorders>
              <w:tl2br w:val="nil"/>
              <w:tr2bl w:val="nil"/>
            </w:tcBorders>
            <w:shd w:val="clear" w:color="auto" w:fill="auto"/>
            <w:vAlign w:val="center"/>
          </w:tcPr>
          <w:p w14:paraId="1537AD1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0.004L</w:t>
            </w:r>
          </w:p>
        </w:tc>
        <w:tc>
          <w:tcPr>
            <w:tcW w:w="347" w:type="pct"/>
            <w:tcBorders>
              <w:tl2br w:val="nil"/>
              <w:tr2bl w:val="nil"/>
            </w:tcBorders>
            <w:shd w:val="clear" w:color="auto" w:fill="auto"/>
            <w:vAlign w:val="center"/>
          </w:tcPr>
          <w:p w14:paraId="141B90D0">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0.004L</w:t>
            </w:r>
          </w:p>
        </w:tc>
        <w:tc>
          <w:tcPr>
            <w:tcW w:w="310" w:type="pct"/>
            <w:tcBorders>
              <w:tl2br w:val="nil"/>
              <w:tr2bl w:val="nil"/>
            </w:tcBorders>
            <w:shd w:val="clear" w:color="auto" w:fill="auto"/>
            <w:vAlign w:val="center"/>
          </w:tcPr>
          <w:p w14:paraId="5D2A4C1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0.004</w:t>
            </w:r>
          </w:p>
        </w:tc>
        <w:tc>
          <w:tcPr>
            <w:tcW w:w="417" w:type="pct"/>
            <w:tcBorders>
              <w:tl2br w:val="nil"/>
              <w:tr2bl w:val="nil"/>
            </w:tcBorders>
            <w:shd w:val="clear" w:color="auto" w:fill="auto"/>
            <w:vAlign w:val="center"/>
          </w:tcPr>
          <w:p w14:paraId="5068C96C">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0.04</w:t>
            </w:r>
          </w:p>
        </w:tc>
      </w:tr>
      <w:tr w14:paraId="2400F6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5768CDF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23</w:t>
            </w:r>
          </w:p>
        </w:tc>
        <w:tc>
          <w:tcPr>
            <w:tcW w:w="608" w:type="pct"/>
            <w:tcBorders>
              <w:tl2br w:val="nil"/>
              <w:tr2bl w:val="nil"/>
            </w:tcBorders>
            <w:shd w:val="clear" w:color="auto" w:fill="auto"/>
            <w:vAlign w:val="center"/>
          </w:tcPr>
          <w:p w14:paraId="5F1B07A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铁</w:t>
            </w:r>
          </w:p>
        </w:tc>
        <w:tc>
          <w:tcPr>
            <w:tcW w:w="404" w:type="pct"/>
            <w:tcBorders>
              <w:tl2br w:val="nil"/>
              <w:tr2bl w:val="nil"/>
            </w:tcBorders>
            <w:shd w:val="clear" w:color="auto" w:fill="auto"/>
            <w:vAlign w:val="center"/>
          </w:tcPr>
          <w:p w14:paraId="6B075777">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0.3</w:t>
            </w:r>
          </w:p>
        </w:tc>
        <w:tc>
          <w:tcPr>
            <w:tcW w:w="370" w:type="pct"/>
            <w:tcBorders>
              <w:tl2br w:val="nil"/>
              <w:tr2bl w:val="nil"/>
            </w:tcBorders>
            <w:shd w:val="clear" w:color="auto" w:fill="auto"/>
            <w:vAlign w:val="center"/>
          </w:tcPr>
          <w:p w14:paraId="5FE3C95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0.02L</w:t>
            </w:r>
          </w:p>
        </w:tc>
        <w:tc>
          <w:tcPr>
            <w:tcW w:w="336" w:type="pct"/>
            <w:tcBorders>
              <w:tl2br w:val="nil"/>
              <w:tr2bl w:val="nil"/>
            </w:tcBorders>
            <w:shd w:val="clear" w:color="auto" w:fill="auto"/>
            <w:vAlign w:val="center"/>
          </w:tcPr>
          <w:p w14:paraId="4029E18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0.02L</w:t>
            </w:r>
          </w:p>
        </w:tc>
        <w:tc>
          <w:tcPr>
            <w:tcW w:w="400" w:type="pct"/>
            <w:tcBorders>
              <w:tl2br w:val="nil"/>
              <w:tr2bl w:val="nil"/>
            </w:tcBorders>
            <w:shd w:val="clear" w:color="auto" w:fill="auto"/>
            <w:vAlign w:val="center"/>
          </w:tcPr>
          <w:p w14:paraId="4025A331">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0.02L</w:t>
            </w:r>
          </w:p>
        </w:tc>
        <w:tc>
          <w:tcPr>
            <w:tcW w:w="408" w:type="pct"/>
            <w:tcBorders>
              <w:tl2br w:val="nil"/>
              <w:tr2bl w:val="nil"/>
            </w:tcBorders>
            <w:shd w:val="clear" w:color="auto" w:fill="auto"/>
            <w:vAlign w:val="center"/>
          </w:tcPr>
          <w:p w14:paraId="3FCB646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0.02</w:t>
            </w:r>
          </w:p>
        </w:tc>
        <w:tc>
          <w:tcPr>
            <w:tcW w:w="446" w:type="pct"/>
            <w:tcBorders>
              <w:tl2br w:val="nil"/>
              <w:tr2bl w:val="nil"/>
            </w:tcBorders>
            <w:shd w:val="clear" w:color="auto" w:fill="auto"/>
            <w:vAlign w:val="center"/>
          </w:tcPr>
          <w:p w14:paraId="40786BA0">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0.066666667</w:t>
            </w:r>
          </w:p>
        </w:tc>
        <w:tc>
          <w:tcPr>
            <w:tcW w:w="389" w:type="pct"/>
            <w:tcBorders>
              <w:tl2br w:val="nil"/>
              <w:tr2bl w:val="nil"/>
            </w:tcBorders>
            <w:shd w:val="clear" w:color="auto" w:fill="auto"/>
            <w:vAlign w:val="center"/>
          </w:tcPr>
          <w:p w14:paraId="73112E8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0.02L</w:t>
            </w:r>
          </w:p>
        </w:tc>
        <w:tc>
          <w:tcPr>
            <w:tcW w:w="366" w:type="pct"/>
            <w:tcBorders>
              <w:tl2br w:val="nil"/>
              <w:tr2bl w:val="nil"/>
            </w:tcBorders>
            <w:shd w:val="clear" w:color="auto" w:fill="auto"/>
            <w:vAlign w:val="center"/>
          </w:tcPr>
          <w:p w14:paraId="1C4600A2">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0.02L</w:t>
            </w:r>
          </w:p>
        </w:tc>
        <w:tc>
          <w:tcPr>
            <w:tcW w:w="347" w:type="pct"/>
            <w:tcBorders>
              <w:tl2br w:val="nil"/>
              <w:tr2bl w:val="nil"/>
            </w:tcBorders>
            <w:shd w:val="clear" w:color="auto" w:fill="auto"/>
            <w:vAlign w:val="center"/>
          </w:tcPr>
          <w:p w14:paraId="533F4CB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0.02L</w:t>
            </w:r>
          </w:p>
        </w:tc>
        <w:tc>
          <w:tcPr>
            <w:tcW w:w="310" w:type="pct"/>
            <w:tcBorders>
              <w:tl2br w:val="nil"/>
              <w:tr2bl w:val="nil"/>
            </w:tcBorders>
            <w:shd w:val="clear" w:color="auto" w:fill="auto"/>
            <w:vAlign w:val="center"/>
          </w:tcPr>
          <w:p w14:paraId="1C559A4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0.02</w:t>
            </w:r>
          </w:p>
        </w:tc>
        <w:tc>
          <w:tcPr>
            <w:tcW w:w="417" w:type="pct"/>
            <w:tcBorders>
              <w:tl2br w:val="nil"/>
              <w:tr2bl w:val="nil"/>
            </w:tcBorders>
            <w:shd w:val="clear" w:color="auto" w:fill="auto"/>
            <w:vAlign w:val="center"/>
          </w:tcPr>
          <w:p w14:paraId="05958ED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0.066666667</w:t>
            </w:r>
          </w:p>
        </w:tc>
      </w:tr>
      <w:tr w14:paraId="01CEB1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281FC48E">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24</w:t>
            </w:r>
          </w:p>
        </w:tc>
        <w:tc>
          <w:tcPr>
            <w:tcW w:w="608" w:type="pct"/>
            <w:tcBorders>
              <w:tl2br w:val="nil"/>
              <w:tr2bl w:val="nil"/>
            </w:tcBorders>
            <w:shd w:val="clear" w:color="auto" w:fill="auto"/>
            <w:vAlign w:val="center"/>
          </w:tcPr>
          <w:p w14:paraId="1352133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氯化物</w:t>
            </w:r>
          </w:p>
        </w:tc>
        <w:tc>
          <w:tcPr>
            <w:tcW w:w="404" w:type="pct"/>
            <w:tcBorders>
              <w:tl2br w:val="nil"/>
              <w:tr2bl w:val="nil"/>
            </w:tcBorders>
            <w:shd w:val="clear" w:color="auto" w:fill="auto"/>
            <w:vAlign w:val="center"/>
          </w:tcPr>
          <w:p w14:paraId="019D9B32">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250</w:t>
            </w:r>
          </w:p>
        </w:tc>
        <w:tc>
          <w:tcPr>
            <w:tcW w:w="370" w:type="pct"/>
            <w:tcBorders>
              <w:tl2br w:val="nil"/>
              <w:tr2bl w:val="nil"/>
            </w:tcBorders>
            <w:shd w:val="clear" w:color="auto" w:fill="auto"/>
            <w:vAlign w:val="center"/>
          </w:tcPr>
          <w:p w14:paraId="6D719DA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41</w:t>
            </w:r>
          </w:p>
        </w:tc>
        <w:tc>
          <w:tcPr>
            <w:tcW w:w="336" w:type="pct"/>
            <w:tcBorders>
              <w:tl2br w:val="nil"/>
              <w:tr2bl w:val="nil"/>
            </w:tcBorders>
            <w:shd w:val="clear" w:color="auto" w:fill="auto"/>
            <w:vAlign w:val="center"/>
          </w:tcPr>
          <w:p w14:paraId="0BA68355">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40</w:t>
            </w:r>
          </w:p>
        </w:tc>
        <w:tc>
          <w:tcPr>
            <w:tcW w:w="400" w:type="pct"/>
            <w:tcBorders>
              <w:tl2br w:val="nil"/>
              <w:tr2bl w:val="nil"/>
            </w:tcBorders>
            <w:shd w:val="clear" w:color="auto" w:fill="auto"/>
            <w:vAlign w:val="center"/>
          </w:tcPr>
          <w:p w14:paraId="478FCA31">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41</w:t>
            </w:r>
          </w:p>
        </w:tc>
        <w:tc>
          <w:tcPr>
            <w:tcW w:w="408" w:type="pct"/>
            <w:tcBorders>
              <w:tl2br w:val="nil"/>
              <w:tr2bl w:val="nil"/>
            </w:tcBorders>
            <w:shd w:val="clear" w:color="auto" w:fill="auto"/>
            <w:vAlign w:val="center"/>
          </w:tcPr>
          <w:p w14:paraId="4B466D0E">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41</w:t>
            </w:r>
          </w:p>
        </w:tc>
        <w:tc>
          <w:tcPr>
            <w:tcW w:w="446" w:type="pct"/>
            <w:tcBorders>
              <w:tl2br w:val="nil"/>
              <w:tr2bl w:val="nil"/>
            </w:tcBorders>
            <w:shd w:val="clear" w:color="auto" w:fill="auto"/>
            <w:vAlign w:val="center"/>
          </w:tcPr>
          <w:p w14:paraId="3F91EE42">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0.164</w:t>
            </w:r>
          </w:p>
        </w:tc>
        <w:tc>
          <w:tcPr>
            <w:tcW w:w="389" w:type="pct"/>
            <w:tcBorders>
              <w:tl2br w:val="nil"/>
              <w:tr2bl w:val="nil"/>
            </w:tcBorders>
            <w:shd w:val="clear" w:color="auto" w:fill="auto"/>
            <w:vAlign w:val="center"/>
          </w:tcPr>
          <w:p w14:paraId="6971EBE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46</w:t>
            </w:r>
          </w:p>
        </w:tc>
        <w:tc>
          <w:tcPr>
            <w:tcW w:w="366" w:type="pct"/>
            <w:tcBorders>
              <w:tl2br w:val="nil"/>
              <w:tr2bl w:val="nil"/>
            </w:tcBorders>
            <w:shd w:val="clear" w:color="auto" w:fill="auto"/>
            <w:vAlign w:val="center"/>
          </w:tcPr>
          <w:p w14:paraId="2CF1A861">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44</w:t>
            </w:r>
          </w:p>
        </w:tc>
        <w:tc>
          <w:tcPr>
            <w:tcW w:w="347" w:type="pct"/>
            <w:tcBorders>
              <w:tl2br w:val="nil"/>
              <w:tr2bl w:val="nil"/>
            </w:tcBorders>
            <w:shd w:val="clear" w:color="auto" w:fill="auto"/>
            <w:vAlign w:val="center"/>
          </w:tcPr>
          <w:p w14:paraId="6BB1291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47</w:t>
            </w:r>
          </w:p>
        </w:tc>
        <w:tc>
          <w:tcPr>
            <w:tcW w:w="310" w:type="pct"/>
            <w:tcBorders>
              <w:tl2br w:val="nil"/>
              <w:tr2bl w:val="nil"/>
            </w:tcBorders>
            <w:shd w:val="clear" w:color="auto" w:fill="auto"/>
            <w:vAlign w:val="center"/>
          </w:tcPr>
          <w:p w14:paraId="51B53CEB">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47</w:t>
            </w:r>
          </w:p>
        </w:tc>
        <w:tc>
          <w:tcPr>
            <w:tcW w:w="417" w:type="pct"/>
            <w:tcBorders>
              <w:tl2br w:val="nil"/>
              <w:tr2bl w:val="nil"/>
            </w:tcBorders>
            <w:shd w:val="clear" w:color="auto" w:fill="auto"/>
            <w:vAlign w:val="center"/>
          </w:tcPr>
          <w:p w14:paraId="6473D1A2">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0.188</w:t>
            </w:r>
          </w:p>
        </w:tc>
      </w:tr>
      <w:tr w14:paraId="41EEDE5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6C0C7DA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25</w:t>
            </w:r>
          </w:p>
        </w:tc>
        <w:tc>
          <w:tcPr>
            <w:tcW w:w="608" w:type="pct"/>
            <w:tcBorders>
              <w:tl2br w:val="nil"/>
              <w:tr2bl w:val="nil"/>
            </w:tcBorders>
            <w:shd w:val="clear" w:color="auto" w:fill="auto"/>
            <w:vAlign w:val="center"/>
          </w:tcPr>
          <w:p w14:paraId="6832008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悬浮物</w:t>
            </w:r>
          </w:p>
        </w:tc>
        <w:tc>
          <w:tcPr>
            <w:tcW w:w="404" w:type="pct"/>
            <w:tcBorders>
              <w:tl2br w:val="nil"/>
              <w:tr2bl w:val="nil"/>
            </w:tcBorders>
            <w:shd w:val="clear" w:color="auto" w:fill="auto"/>
            <w:vAlign w:val="center"/>
          </w:tcPr>
          <w:p w14:paraId="252DBD65">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w:t>
            </w:r>
          </w:p>
        </w:tc>
        <w:tc>
          <w:tcPr>
            <w:tcW w:w="370" w:type="pct"/>
            <w:tcBorders>
              <w:tl2br w:val="nil"/>
              <w:tr2bl w:val="nil"/>
            </w:tcBorders>
            <w:shd w:val="clear" w:color="auto" w:fill="auto"/>
            <w:vAlign w:val="center"/>
          </w:tcPr>
          <w:p w14:paraId="021828E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8</w:t>
            </w:r>
          </w:p>
        </w:tc>
        <w:tc>
          <w:tcPr>
            <w:tcW w:w="336" w:type="pct"/>
            <w:tcBorders>
              <w:tl2br w:val="nil"/>
              <w:tr2bl w:val="nil"/>
            </w:tcBorders>
            <w:shd w:val="clear" w:color="auto" w:fill="auto"/>
            <w:vAlign w:val="center"/>
          </w:tcPr>
          <w:p w14:paraId="14B8EA3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7</w:t>
            </w:r>
          </w:p>
        </w:tc>
        <w:tc>
          <w:tcPr>
            <w:tcW w:w="400" w:type="pct"/>
            <w:tcBorders>
              <w:tl2br w:val="nil"/>
              <w:tr2bl w:val="nil"/>
            </w:tcBorders>
            <w:shd w:val="clear" w:color="auto" w:fill="auto"/>
            <w:vAlign w:val="center"/>
          </w:tcPr>
          <w:p w14:paraId="46D5540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7</w:t>
            </w:r>
          </w:p>
        </w:tc>
        <w:tc>
          <w:tcPr>
            <w:tcW w:w="408" w:type="pct"/>
            <w:tcBorders>
              <w:tl2br w:val="nil"/>
              <w:tr2bl w:val="nil"/>
            </w:tcBorders>
            <w:shd w:val="clear" w:color="auto" w:fill="auto"/>
            <w:vAlign w:val="center"/>
          </w:tcPr>
          <w:p w14:paraId="4D31F619">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8</w:t>
            </w:r>
          </w:p>
        </w:tc>
        <w:tc>
          <w:tcPr>
            <w:tcW w:w="446" w:type="pct"/>
            <w:tcBorders>
              <w:tl2br w:val="nil"/>
              <w:tr2bl w:val="nil"/>
            </w:tcBorders>
            <w:shd w:val="clear" w:color="auto" w:fill="auto"/>
            <w:vAlign w:val="center"/>
          </w:tcPr>
          <w:p w14:paraId="0AADA41F">
            <w:pPr>
              <w:pStyle w:val="41"/>
              <w:ind w:firstLineChars="0"/>
              <w:textAlignment w:val="center"/>
              <w:rPr>
                <w:rFonts w:hint="default"/>
                <w:color w:val="auto"/>
                <w:highlight w:val="none"/>
              </w:rPr>
            </w:pPr>
            <w:r>
              <w:rPr>
                <w:rFonts w:hint="default"/>
                <w:color w:val="auto"/>
                <w:highlight w:val="none"/>
                <w:lang w:val="en-US" w:eastAsia="zh-CN"/>
              </w:rPr>
              <w:t>/</w:t>
            </w:r>
          </w:p>
        </w:tc>
        <w:tc>
          <w:tcPr>
            <w:tcW w:w="389" w:type="pct"/>
            <w:tcBorders>
              <w:tl2br w:val="nil"/>
              <w:tr2bl w:val="nil"/>
            </w:tcBorders>
            <w:shd w:val="clear" w:color="auto" w:fill="auto"/>
            <w:vAlign w:val="center"/>
          </w:tcPr>
          <w:p w14:paraId="13AA21D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9</w:t>
            </w:r>
          </w:p>
        </w:tc>
        <w:tc>
          <w:tcPr>
            <w:tcW w:w="366" w:type="pct"/>
            <w:tcBorders>
              <w:tl2br w:val="nil"/>
              <w:tr2bl w:val="nil"/>
            </w:tcBorders>
            <w:shd w:val="clear" w:color="auto" w:fill="auto"/>
            <w:vAlign w:val="center"/>
          </w:tcPr>
          <w:p w14:paraId="4FFF801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9</w:t>
            </w:r>
          </w:p>
        </w:tc>
        <w:tc>
          <w:tcPr>
            <w:tcW w:w="347" w:type="pct"/>
            <w:tcBorders>
              <w:tl2br w:val="nil"/>
              <w:tr2bl w:val="nil"/>
            </w:tcBorders>
            <w:shd w:val="clear" w:color="auto" w:fill="auto"/>
            <w:vAlign w:val="center"/>
          </w:tcPr>
          <w:p w14:paraId="71EE2321">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8</w:t>
            </w:r>
          </w:p>
        </w:tc>
        <w:tc>
          <w:tcPr>
            <w:tcW w:w="310" w:type="pct"/>
            <w:tcBorders>
              <w:tl2br w:val="nil"/>
              <w:tr2bl w:val="nil"/>
            </w:tcBorders>
            <w:shd w:val="clear" w:color="auto" w:fill="auto"/>
            <w:vAlign w:val="center"/>
          </w:tcPr>
          <w:p w14:paraId="34A98C52">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9</w:t>
            </w:r>
          </w:p>
        </w:tc>
        <w:tc>
          <w:tcPr>
            <w:tcW w:w="417" w:type="pct"/>
            <w:tcBorders>
              <w:tl2br w:val="nil"/>
              <w:tr2bl w:val="nil"/>
            </w:tcBorders>
            <w:shd w:val="clear" w:color="auto" w:fill="auto"/>
            <w:vAlign w:val="center"/>
          </w:tcPr>
          <w:p w14:paraId="126B8FE5">
            <w:pPr>
              <w:pStyle w:val="41"/>
              <w:ind w:firstLineChars="0"/>
              <w:textAlignment w:val="center"/>
              <w:rPr>
                <w:rFonts w:hint="default"/>
                <w:color w:val="auto"/>
                <w:highlight w:val="none"/>
              </w:rPr>
            </w:pPr>
            <w:r>
              <w:rPr>
                <w:rFonts w:hint="default"/>
                <w:color w:val="auto"/>
                <w:highlight w:val="none"/>
                <w:lang w:val="en-US" w:eastAsia="zh-CN"/>
              </w:rPr>
              <w:t>/</w:t>
            </w:r>
          </w:p>
        </w:tc>
      </w:tr>
      <w:tr w14:paraId="62F7FC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1CD47492">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26</w:t>
            </w:r>
          </w:p>
        </w:tc>
        <w:tc>
          <w:tcPr>
            <w:tcW w:w="608" w:type="pct"/>
            <w:tcBorders>
              <w:tl2br w:val="nil"/>
              <w:tr2bl w:val="nil"/>
            </w:tcBorders>
            <w:shd w:val="clear" w:color="auto" w:fill="auto"/>
            <w:vAlign w:val="center"/>
          </w:tcPr>
          <w:p w14:paraId="4A734B16">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硫酸盐</w:t>
            </w:r>
          </w:p>
        </w:tc>
        <w:tc>
          <w:tcPr>
            <w:tcW w:w="404" w:type="pct"/>
            <w:tcBorders>
              <w:tl2br w:val="nil"/>
              <w:tr2bl w:val="nil"/>
            </w:tcBorders>
            <w:shd w:val="clear" w:color="auto" w:fill="auto"/>
            <w:vAlign w:val="center"/>
          </w:tcPr>
          <w:p w14:paraId="785884AD">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250</w:t>
            </w:r>
          </w:p>
        </w:tc>
        <w:tc>
          <w:tcPr>
            <w:tcW w:w="370" w:type="pct"/>
            <w:tcBorders>
              <w:tl2br w:val="nil"/>
              <w:tr2bl w:val="nil"/>
            </w:tcBorders>
            <w:shd w:val="clear" w:color="auto" w:fill="auto"/>
            <w:vAlign w:val="center"/>
          </w:tcPr>
          <w:p w14:paraId="6826E0D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112</w:t>
            </w:r>
          </w:p>
        </w:tc>
        <w:tc>
          <w:tcPr>
            <w:tcW w:w="336" w:type="pct"/>
            <w:tcBorders>
              <w:tl2br w:val="nil"/>
              <w:tr2bl w:val="nil"/>
            </w:tcBorders>
            <w:shd w:val="clear" w:color="auto" w:fill="auto"/>
            <w:vAlign w:val="center"/>
          </w:tcPr>
          <w:p w14:paraId="47D9FE1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111</w:t>
            </w:r>
          </w:p>
        </w:tc>
        <w:tc>
          <w:tcPr>
            <w:tcW w:w="400" w:type="pct"/>
            <w:tcBorders>
              <w:tl2br w:val="nil"/>
              <w:tr2bl w:val="nil"/>
            </w:tcBorders>
            <w:shd w:val="clear" w:color="auto" w:fill="auto"/>
            <w:vAlign w:val="center"/>
          </w:tcPr>
          <w:p w14:paraId="23D615A1">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106</w:t>
            </w:r>
          </w:p>
        </w:tc>
        <w:tc>
          <w:tcPr>
            <w:tcW w:w="408" w:type="pct"/>
            <w:tcBorders>
              <w:tl2br w:val="nil"/>
              <w:tr2bl w:val="nil"/>
            </w:tcBorders>
            <w:shd w:val="clear" w:color="auto" w:fill="auto"/>
            <w:vAlign w:val="center"/>
          </w:tcPr>
          <w:p w14:paraId="4688D1CB">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112</w:t>
            </w:r>
          </w:p>
        </w:tc>
        <w:tc>
          <w:tcPr>
            <w:tcW w:w="446" w:type="pct"/>
            <w:tcBorders>
              <w:tl2br w:val="nil"/>
              <w:tr2bl w:val="nil"/>
            </w:tcBorders>
            <w:shd w:val="clear" w:color="auto" w:fill="auto"/>
            <w:vAlign w:val="center"/>
          </w:tcPr>
          <w:p w14:paraId="32F40B66">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0.448</w:t>
            </w:r>
          </w:p>
        </w:tc>
        <w:tc>
          <w:tcPr>
            <w:tcW w:w="389" w:type="pct"/>
            <w:tcBorders>
              <w:tl2br w:val="nil"/>
              <w:tr2bl w:val="nil"/>
            </w:tcBorders>
            <w:shd w:val="clear" w:color="auto" w:fill="auto"/>
            <w:vAlign w:val="center"/>
          </w:tcPr>
          <w:p w14:paraId="3CD53A1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108</w:t>
            </w:r>
          </w:p>
        </w:tc>
        <w:tc>
          <w:tcPr>
            <w:tcW w:w="366" w:type="pct"/>
            <w:tcBorders>
              <w:tl2br w:val="nil"/>
              <w:tr2bl w:val="nil"/>
            </w:tcBorders>
            <w:shd w:val="clear" w:color="auto" w:fill="auto"/>
            <w:vAlign w:val="center"/>
          </w:tcPr>
          <w:p w14:paraId="4C3AF388">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116</w:t>
            </w:r>
          </w:p>
        </w:tc>
        <w:tc>
          <w:tcPr>
            <w:tcW w:w="347" w:type="pct"/>
            <w:tcBorders>
              <w:tl2br w:val="nil"/>
              <w:tr2bl w:val="nil"/>
            </w:tcBorders>
            <w:shd w:val="clear" w:color="auto" w:fill="auto"/>
            <w:vAlign w:val="center"/>
          </w:tcPr>
          <w:p w14:paraId="1A4980F4">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104</w:t>
            </w:r>
          </w:p>
        </w:tc>
        <w:tc>
          <w:tcPr>
            <w:tcW w:w="310" w:type="pct"/>
            <w:tcBorders>
              <w:tl2br w:val="nil"/>
              <w:tr2bl w:val="nil"/>
            </w:tcBorders>
            <w:shd w:val="clear" w:color="auto" w:fill="auto"/>
            <w:vAlign w:val="center"/>
          </w:tcPr>
          <w:p w14:paraId="63D4A23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116</w:t>
            </w:r>
          </w:p>
        </w:tc>
        <w:tc>
          <w:tcPr>
            <w:tcW w:w="417" w:type="pct"/>
            <w:tcBorders>
              <w:tl2br w:val="nil"/>
              <w:tr2bl w:val="nil"/>
            </w:tcBorders>
            <w:shd w:val="clear" w:color="auto" w:fill="auto"/>
            <w:vAlign w:val="center"/>
          </w:tcPr>
          <w:p w14:paraId="7BFB943C">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0.464</w:t>
            </w:r>
          </w:p>
        </w:tc>
      </w:tr>
      <w:tr w14:paraId="619BE7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95" w:type="pct"/>
            <w:tcBorders>
              <w:tl2br w:val="nil"/>
              <w:tr2bl w:val="nil"/>
            </w:tcBorders>
            <w:shd w:val="clear" w:color="auto" w:fill="auto"/>
            <w:vAlign w:val="center"/>
          </w:tcPr>
          <w:p w14:paraId="231CE543">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27</w:t>
            </w:r>
          </w:p>
        </w:tc>
        <w:tc>
          <w:tcPr>
            <w:tcW w:w="608" w:type="pct"/>
            <w:tcBorders>
              <w:tl2br w:val="nil"/>
              <w:tr2bl w:val="nil"/>
            </w:tcBorders>
            <w:shd w:val="clear" w:color="auto" w:fill="auto"/>
            <w:vAlign w:val="center"/>
          </w:tcPr>
          <w:p w14:paraId="2D030267">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溶解性总固体</w:t>
            </w:r>
          </w:p>
        </w:tc>
        <w:tc>
          <w:tcPr>
            <w:tcW w:w="404" w:type="pct"/>
            <w:tcBorders>
              <w:tl2br w:val="nil"/>
              <w:tr2bl w:val="nil"/>
            </w:tcBorders>
            <w:shd w:val="clear" w:color="auto" w:fill="auto"/>
            <w:vAlign w:val="center"/>
          </w:tcPr>
          <w:p w14:paraId="406B8889">
            <w:pPr>
              <w:pStyle w:val="41"/>
              <w:keepNext w:val="0"/>
              <w:keepLines w:val="0"/>
              <w:widowControl/>
              <w:suppressLineNumbers w:val="0"/>
              <w:ind w:firstLineChars="0"/>
              <w:textAlignment w:val="center"/>
              <w:rPr>
                <w:rFonts w:hint="eastAsia"/>
                <w:color w:val="auto"/>
                <w:highlight w:val="none"/>
              </w:rPr>
            </w:pPr>
            <w:r>
              <w:rPr>
                <w:rFonts w:hint="eastAsia"/>
                <w:color w:val="auto"/>
                <w:highlight w:val="none"/>
                <w:lang w:val="en-US" w:eastAsia="zh-CN"/>
              </w:rPr>
              <w:t>/</w:t>
            </w:r>
          </w:p>
        </w:tc>
        <w:tc>
          <w:tcPr>
            <w:tcW w:w="370" w:type="pct"/>
            <w:tcBorders>
              <w:tl2br w:val="nil"/>
              <w:tr2bl w:val="nil"/>
            </w:tcBorders>
            <w:shd w:val="clear" w:color="auto" w:fill="auto"/>
            <w:vAlign w:val="center"/>
          </w:tcPr>
          <w:p w14:paraId="17C0638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352</w:t>
            </w:r>
          </w:p>
        </w:tc>
        <w:tc>
          <w:tcPr>
            <w:tcW w:w="336" w:type="pct"/>
            <w:tcBorders>
              <w:tl2br w:val="nil"/>
              <w:tr2bl w:val="nil"/>
            </w:tcBorders>
            <w:shd w:val="clear" w:color="auto" w:fill="auto"/>
            <w:vAlign w:val="center"/>
          </w:tcPr>
          <w:p w14:paraId="5778CDAE">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363</w:t>
            </w:r>
          </w:p>
        </w:tc>
        <w:tc>
          <w:tcPr>
            <w:tcW w:w="400" w:type="pct"/>
            <w:tcBorders>
              <w:tl2br w:val="nil"/>
              <w:tr2bl w:val="nil"/>
            </w:tcBorders>
            <w:shd w:val="clear" w:color="auto" w:fill="auto"/>
            <w:vAlign w:val="center"/>
          </w:tcPr>
          <w:p w14:paraId="6E6A1BEB">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311</w:t>
            </w:r>
          </w:p>
        </w:tc>
        <w:tc>
          <w:tcPr>
            <w:tcW w:w="408" w:type="pct"/>
            <w:tcBorders>
              <w:tl2br w:val="nil"/>
              <w:tr2bl w:val="nil"/>
            </w:tcBorders>
            <w:shd w:val="clear" w:color="auto" w:fill="auto"/>
            <w:vAlign w:val="center"/>
          </w:tcPr>
          <w:p w14:paraId="6AD24231">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363</w:t>
            </w:r>
          </w:p>
        </w:tc>
        <w:tc>
          <w:tcPr>
            <w:tcW w:w="446" w:type="pct"/>
            <w:tcBorders>
              <w:tl2br w:val="nil"/>
              <w:tr2bl w:val="nil"/>
            </w:tcBorders>
            <w:shd w:val="clear" w:color="auto" w:fill="auto"/>
            <w:vAlign w:val="center"/>
          </w:tcPr>
          <w:p w14:paraId="7AC8B3B3">
            <w:pPr>
              <w:pStyle w:val="41"/>
              <w:widowControl/>
              <w:ind w:firstLineChars="0"/>
              <w:textAlignment w:val="center"/>
              <w:rPr>
                <w:rFonts w:hint="default"/>
                <w:color w:val="auto"/>
                <w:highlight w:val="none"/>
              </w:rPr>
            </w:pPr>
            <w:r>
              <w:rPr>
                <w:rFonts w:hint="default"/>
                <w:color w:val="auto"/>
                <w:highlight w:val="none"/>
                <w:lang w:val="en-US" w:eastAsia="zh-CN"/>
              </w:rPr>
              <w:t>/</w:t>
            </w:r>
          </w:p>
        </w:tc>
        <w:tc>
          <w:tcPr>
            <w:tcW w:w="389" w:type="pct"/>
            <w:tcBorders>
              <w:tl2br w:val="nil"/>
              <w:tr2bl w:val="nil"/>
            </w:tcBorders>
            <w:shd w:val="clear" w:color="auto" w:fill="auto"/>
            <w:vAlign w:val="center"/>
          </w:tcPr>
          <w:p w14:paraId="6384A78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312</w:t>
            </w:r>
          </w:p>
        </w:tc>
        <w:tc>
          <w:tcPr>
            <w:tcW w:w="366" w:type="pct"/>
            <w:tcBorders>
              <w:tl2br w:val="nil"/>
              <w:tr2bl w:val="nil"/>
            </w:tcBorders>
            <w:shd w:val="clear" w:color="auto" w:fill="auto"/>
            <w:vAlign w:val="center"/>
          </w:tcPr>
          <w:p w14:paraId="3D045446">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407</w:t>
            </w:r>
          </w:p>
        </w:tc>
        <w:tc>
          <w:tcPr>
            <w:tcW w:w="347" w:type="pct"/>
            <w:tcBorders>
              <w:tl2br w:val="nil"/>
              <w:tr2bl w:val="nil"/>
            </w:tcBorders>
            <w:shd w:val="clear" w:color="auto" w:fill="auto"/>
            <w:vAlign w:val="center"/>
          </w:tcPr>
          <w:p w14:paraId="221A4F9F">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320</w:t>
            </w:r>
          </w:p>
        </w:tc>
        <w:tc>
          <w:tcPr>
            <w:tcW w:w="310" w:type="pct"/>
            <w:tcBorders>
              <w:tl2br w:val="nil"/>
              <w:tr2bl w:val="nil"/>
            </w:tcBorders>
            <w:shd w:val="clear" w:color="auto" w:fill="auto"/>
            <w:vAlign w:val="center"/>
          </w:tcPr>
          <w:p w14:paraId="42A1954D">
            <w:pPr>
              <w:pStyle w:val="41"/>
              <w:keepNext w:val="0"/>
              <w:keepLines w:val="0"/>
              <w:widowControl/>
              <w:suppressLineNumbers w:val="0"/>
              <w:ind w:firstLineChars="0"/>
              <w:textAlignment w:val="center"/>
              <w:rPr>
                <w:rFonts w:hint="default"/>
                <w:color w:val="auto"/>
                <w:highlight w:val="none"/>
              </w:rPr>
            </w:pPr>
            <w:r>
              <w:rPr>
                <w:rFonts w:hint="default"/>
                <w:color w:val="auto"/>
                <w:highlight w:val="none"/>
                <w:lang w:val="en-US" w:eastAsia="zh-CN"/>
              </w:rPr>
              <w:t>407</w:t>
            </w:r>
          </w:p>
        </w:tc>
        <w:tc>
          <w:tcPr>
            <w:tcW w:w="417" w:type="pct"/>
            <w:tcBorders>
              <w:tl2br w:val="nil"/>
              <w:tr2bl w:val="nil"/>
            </w:tcBorders>
            <w:shd w:val="clear" w:color="auto" w:fill="auto"/>
            <w:vAlign w:val="center"/>
          </w:tcPr>
          <w:p w14:paraId="6E01987C">
            <w:pPr>
              <w:pStyle w:val="41"/>
              <w:widowControl/>
              <w:ind w:firstLineChars="0"/>
              <w:textAlignment w:val="center"/>
              <w:rPr>
                <w:rFonts w:hint="default"/>
                <w:color w:val="auto"/>
                <w:highlight w:val="none"/>
              </w:rPr>
            </w:pPr>
            <w:r>
              <w:rPr>
                <w:rFonts w:hint="default"/>
                <w:color w:val="auto"/>
                <w:highlight w:val="none"/>
                <w:lang w:val="en-US" w:eastAsia="zh-CN"/>
              </w:rPr>
              <w:t>/</w:t>
            </w:r>
          </w:p>
        </w:tc>
      </w:tr>
    </w:tbl>
    <w:p w14:paraId="7F04470F">
      <w:pPr>
        <w:pStyle w:val="3"/>
        <w:spacing w:line="240" w:lineRule="atLeast"/>
        <w:ind w:firstLine="0" w:firstLineChars="0"/>
        <w:rPr>
          <w:rFonts w:hint="eastAsia"/>
          <w:color w:val="auto"/>
          <w:highlight w:val="none"/>
        </w:rPr>
        <w:sectPr>
          <w:pgSz w:w="16840" w:h="11900" w:orient="landscape"/>
          <w:pgMar w:top="1803" w:right="1440" w:bottom="1803" w:left="1440" w:header="1020" w:footer="675" w:gutter="0"/>
          <w:pgBorders>
            <w:top w:val="none" w:sz="0" w:space="0"/>
            <w:left w:val="none" w:sz="0" w:space="0"/>
            <w:bottom w:val="none" w:sz="0" w:space="0"/>
            <w:right w:val="none" w:sz="0" w:space="0"/>
          </w:pgBorders>
          <w:cols w:space="0" w:num="1"/>
          <w:rtlGutter w:val="0"/>
          <w:docGrid w:linePitch="326" w:charSpace="0"/>
        </w:sectPr>
      </w:pPr>
      <w:r>
        <w:rPr>
          <w:rFonts w:hint="eastAsia" w:ascii="Times New Roman" w:hAnsi="Times New Roman" w:cs="Times New Roman"/>
          <w:color w:val="auto"/>
          <w:highlight w:val="none"/>
          <w:lang w:val="en-US" w:eastAsia="zh-CN"/>
        </w:rPr>
        <w:t>注：</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L</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DL</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表示浓度低于方法检出限，其数值为该项目的检出限</w:t>
      </w:r>
      <w:r>
        <w:rPr>
          <w:rFonts w:hint="eastAsia"/>
          <w:color w:val="auto"/>
          <w:highlight w:val="none"/>
          <w:lang w:eastAsia="zh-CN"/>
        </w:rPr>
        <w:t>。</w:t>
      </w:r>
    </w:p>
    <w:p w14:paraId="45BDE08A">
      <w:pPr>
        <w:pStyle w:val="43"/>
        <w:rPr>
          <w:color w:val="auto"/>
          <w:highlight w:val="none"/>
        </w:rPr>
      </w:pPr>
      <w:r>
        <w:rPr>
          <w:color w:val="auto"/>
          <w:highlight w:val="none"/>
        </w:rPr>
        <w:t>地下水环境质量现状调查与评价</w:t>
      </w:r>
    </w:p>
    <w:p w14:paraId="1CA1CE46">
      <w:pPr>
        <w:pStyle w:val="3"/>
        <w:ind w:firstLine="480"/>
        <w:rPr>
          <w:color w:val="auto"/>
          <w:highlight w:val="none"/>
        </w:rPr>
      </w:pPr>
      <w:r>
        <w:rPr>
          <w:color w:val="auto"/>
          <w:highlight w:val="none"/>
        </w:rPr>
        <w:t>（1）监测公司、监测时间及监测点位</w:t>
      </w:r>
    </w:p>
    <w:p w14:paraId="0673234F">
      <w:pPr>
        <w:pStyle w:val="3"/>
        <w:ind w:firstLine="480"/>
        <w:rPr>
          <w:color w:val="auto"/>
          <w:highlight w:val="none"/>
        </w:rPr>
      </w:pPr>
      <w:r>
        <w:rPr>
          <w:color w:val="auto"/>
          <w:highlight w:val="none"/>
        </w:rPr>
        <w:t>监测公司：新疆锡水金山环境科技有限公司。</w:t>
      </w:r>
    </w:p>
    <w:p w14:paraId="0A1E32F1">
      <w:pPr>
        <w:pStyle w:val="3"/>
        <w:ind w:firstLine="480"/>
        <w:rPr>
          <w:color w:val="auto"/>
          <w:highlight w:val="none"/>
        </w:rPr>
      </w:pPr>
      <w:r>
        <w:rPr>
          <w:color w:val="auto"/>
          <w:highlight w:val="none"/>
        </w:rPr>
        <w:t>监测时间：202</w:t>
      </w:r>
      <w:r>
        <w:rPr>
          <w:rFonts w:hint="eastAsia"/>
          <w:color w:val="auto"/>
          <w:highlight w:val="none"/>
        </w:rPr>
        <w:t>6</w:t>
      </w:r>
      <w:r>
        <w:rPr>
          <w:color w:val="auto"/>
          <w:highlight w:val="none"/>
        </w:rPr>
        <w:t>年3月2</w:t>
      </w:r>
      <w:r>
        <w:rPr>
          <w:rFonts w:hint="eastAsia"/>
          <w:color w:val="auto"/>
          <w:highlight w:val="none"/>
        </w:rPr>
        <w:t>7</w:t>
      </w:r>
      <w:r>
        <w:rPr>
          <w:color w:val="auto"/>
          <w:highlight w:val="none"/>
        </w:rPr>
        <w:t>日</w:t>
      </w:r>
      <w:r>
        <w:rPr>
          <w:rFonts w:hint="eastAsia"/>
          <w:color w:val="auto"/>
          <w:highlight w:val="none"/>
        </w:rPr>
        <w:t>、2026年5月12日</w:t>
      </w:r>
      <w:r>
        <w:rPr>
          <w:color w:val="auto"/>
          <w:highlight w:val="none"/>
        </w:rPr>
        <w:t>。</w:t>
      </w:r>
    </w:p>
    <w:p w14:paraId="43950597">
      <w:pPr>
        <w:pStyle w:val="3"/>
        <w:ind w:firstLine="480"/>
        <w:rPr>
          <w:color w:val="auto"/>
          <w:highlight w:val="none"/>
        </w:rPr>
      </w:pPr>
      <w:r>
        <w:rPr>
          <w:color w:val="auto"/>
          <w:highlight w:val="none"/>
        </w:rPr>
        <w:t>监测点位：采样点分布见表4.2-6。地下水监测布点图见图4.2-2。</w:t>
      </w:r>
    </w:p>
    <w:p w14:paraId="47045AFB">
      <w:pPr>
        <w:pStyle w:val="40"/>
        <w:spacing w:before="24" w:after="24"/>
        <w:rPr>
          <w:color w:val="auto"/>
          <w:highlight w:val="none"/>
        </w:rPr>
      </w:pPr>
      <w:r>
        <w:rPr>
          <w:color w:val="auto"/>
          <w:highlight w:val="none"/>
        </w:rPr>
        <w:t>表4.2-6     地下水采样点一览表</w:t>
      </w:r>
    </w:p>
    <w:tbl>
      <w:tblPr>
        <w:tblStyle w:val="26"/>
        <w:tblW w:w="8562" w:type="dxa"/>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82"/>
        <w:gridCol w:w="1169"/>
        <w:gridCol w:w="1332"/>
        <w:gridCol w:w="1269"/>
        <w:gridCol w:w="1982"/>
        <w:gridCol w:w="1014"/>
        <w:gridCol w:w="1014"/>
      </w:tblGrid>
      <w:tr w14:paraId="1A6A873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782" w:type="dxa"/>
            <w:tcBorders>
              <w:tl2br w:val="nil"/>
              <w:tr2bl w:val="nil"/>
            </w:tcBorders>
            <w:vAlign w:val="center"/>
          </w:tcPr>
          <w:p w14:paraId="0D2322F5">
            <w:pPr>
              <w:pStyle w:val="41"/>
              <w:widowControl w:val="0"/>
              <w:rPr>
                <w:color w:val="auto"/>
                <w:highlight w:val="none"/>
              </w:rPr>
            </w:pPr>
            <w:r>
              <w:rPr>
                <w:color w:val="auto"/>
                <w:highlight w:val="none"/>
              </w:rPr>
              <w:t>序号</w:t>
            </w:r>
          </w:p>
        </w:tc>
        <w:tc>
          <w:tcPr>
            <w:tcW w:w="1169" w:type="dxa"/>
            <w:tcBorders>
              <w:tl2br w:val="nil"/>
              <w:tr2bl w:val="nil"/>
            </w:tcBorders>
            <w:vAlign w:val="center"/>
          </w:tcPr>
          <w:p w14:paraId="1800C754">
            <w:pPr>
              <w:pStyle w:val="41"/>
              <w:widowControl w:val="0"/>
              <w:rPr>
                <w:color w:val="auto"/>
                <w:highlight w:val="none"/>
              </w:rPr>
            </w:pPr>
            <w:r>
              <w:rPr>
                <w:color w:val="auto"/>
                <w:highlight w:val="none"/>
              </w:rPr>
              <w:t>监测点</w:t>
            </w:r>
          </w:p>
        </w:tc>
        <w:tc>
          <w:tcPr>
            <w:tcW w:w="2601" w:type="dxa"/>
            <w:gridSpan w:val="2"/>
            <w:tcBorders>
              <w:tl2br w:val="nil"/>
              <w:tr2bl w:val="nil"/>
            </w:tcBorders>
            <w:vAlign w:val="center"/>
          </w:tcPr>
          <w:p w14:paraId="70EBAF70">
            <w:pPr>
              <w:pStyle w:val="41"/>
              <w:widowControl w:val="0"/>
              <w:rPr>
                <w:color w:val="auto"/>
                <w:highlight w:val="none"/>
              </w:rPr>
            </w:pPr>
            <w:r>
              <w:rPr>
                <w:color w:val="auto"/>
                <w:highlight w:val="none"/>
              </w:rPr>
              <w:t>坐标</w:t>
            </w:r>
          </w:p>
        </w:tc>
        <w:tc>
          <w:tcPr>
            <w:tcW w:w="1982" w:type="dxa"/>
            <w:tcBorders>
              <w:tl2br w:val="nil"/>
              <w:tr2bl w:val="nil"/>
            </w:tcBorders>
            <w:vAlign w:val="center"/>
          </w:tcPr>
          <w:p w14:paraId="1CB6584C">
            <w:pPr>
              <w:pStyle w:val="41"/>
              <w:widowControl w:val="0"/>
              <w:rPr>
                <w:color w:val="auto"/>
                <w:highlight w:val="none"/>
              </w:rPr>
            </w:pPr>
            <w:r>
              <w:rPr>
                <w:color w:val="auto"/>
                <w:highlight w:val="none"/>
              </w:rPr>
              <w:t>与本项目厂区位置及距离</w:t>
            </w:r>
          </w:p>
        </w:tc>
        <w:tc>
          <w:tcPr>
            <w:tcW w:w="1014" w:type="dxa"/>
            <w:tcBorders>
              <w:tl2br w:val="nil"/>
              <w:tr2bl w:val="nil"/>
            </w:tcBorders>
            <w:vAlign w:val="center"/>
          </w:tcPr>
          <w:p w14:paraId="1A6611C9">
            <w:pPr>
              <w:pStyle w:val="41"/>
              <w:widowControl w:val="0"/>
              <w:rPr>
                <w:color w:val="auto"/>
                <w:highlight w:val="none"/>
              </w:rPr>
            </w:pPr>
            <w:r>
              <w:rPr>
                <w:color w:val="auto"/>
                <w:highlight w:val="none"/>
              </w:rPr>
              <w:t>井深（m）</w:t>
            </w:r>
          </w:p>
        </w:tc>
        <w:tc>
          <w:tcPr>
            <w:tcW w:w="1014" w:type="dxa"/>
            <w:tcBorders>
              <w:tl2br w:val="nil"/>
              <w:tr2bl w:val="nil"/>
            </w:tcBorders>
            <w:vAlign w:val="center"/>
          </w:tcPr>
          <w:p w14:paraId="58C50C02">
            <w:pPr>
              <w:pStyle w:val="41"/>
              <w:widowControl w:val="0"/>
              <w:rPr>
                <w:color w:val="auto"/>
                <w:highlight w:val="none"/>
              </w:rPr>
            </w:pPr>
            <w:r>
              <w:rPr>
                <w:rFonts w:hint="eastAsia"/>
                <w:color w:val="auto"/>
                <w:highlight w:val="none"/>
              </w:rPr>
              <w:t>水位（m）</w:t>
            </w:r>
          </w:p>
        </w:tc>
      </w:tr>
      <w:tr w14:paraId="4319E13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782" w:type="dxa"/>
            <w:tcBorders>
              <w:tl2br w:val="nil"/>
              <w:tr2bl w:val="nil"/>
            </w:tcBorders>
            <w:vAlign w:val="center"/>
          </w:tcPr>
          <w:p w14:paraId="03D1FE55">
            <w:pPr>
              <w:pStyle w:val="41"/>
              <w:widowControl w:val="0"/>
              <w:rPr>
                <w:color w:val="auto"/>
                <w:highlight w:val="none"/>
              </w:rPr>
            </w:pPr>
            <w:r>
              <w:rPr>
                <w:color w:val="auto"/>
                <w:highlight w:val="none"/>
              </w:rPr>
              <w:t>1</w:t>
            </w:r>
          </w:p>
        </w:tc>
        <w:tc>
          <w:tcPr>
            <w:tcW w:w="1169" w:type="dxa"/>
            <w:tcBorders>
              <w:tl2br w:val="nil"/>
              <w:tr2bl w:val="nil"/>
            </w:tcBorders>
            <w:vAlign w:val="center"/>
          </w:tcPr>
          <w:p w14:paraId="2A16C2F2">
            <w:pPr>
              <w:pStyle w:val="41"/>
              <w:widowControl w:val="0"/>
              <w:rPr>
                <w:color w:val="auto"/>
                <w:highlight w:val="none"/>
              </w:rPr>
            </w:pPr>
            <w:r>
              <w:rPr>
                <w:color w:val="auto"/>
                <w:highlight w:val="none"/>
              </w:rPr>
              <w:t>监测井1#</w:t>
            </w:r>
          </w:p>
        </w:tc>
        <w:tc>
          <w:tcPr>
            <w:tcW w:w="1332" w:type="dxa"/>
            <w:tcBorders>
              <w:tl2br w:val="nil"/>
              <w:tr2bl w:val="nil"/>
            </w:tcBorders>
            <w:vAlign w:val="center"/>
          </w:tcPr>
          <w:p w14:paraId="46417D01">
            <w:pPr>
              <w:pStyle w:val="41"/>
              <w:widowControl w:val="0"/>
              <w:rPr>
                <w:color w:val="auto"/>
                <w:highlight w:val="none"/>
              </w:rPr>
            </w:pPr>
            <w:r>
              <w:rPr>
                <w:rFonts w:hint="eastAsia"/>
                <w:color w:val="auto"/>
                <w:highlight w:val="none"/>
              </w:rPr>
              <w:t>76</w:t>
            </w:r>
            <w:r>
              <w:rPr>
                <w:color w:val="auto"/>
                <w:highlight w:val="none"/>
              </w:rPr>
              <w:t>°</w:t>
            </w:r>
            <w:r>
              <w:rPr>
                <w:rFonts w:hint="eastAsia"/>
                <w:color w:val="auto"/>
                <w:highlight w:val="none"/>
              </w:rPr>
              <w:t>35</w:t>
            </w:r>
            <w:r>
              <w:rPr>
                <w:color w:val="auto"/>
                <w:highlight w:val="none"/>
              </w:rPr>
              <w:t>′</w:t>
            </w:r>
            <w:r>
              <w:rPr>
                <w:rFonts w:hint="eastAsia"/>
                <w:color w:val="auto"/>
                <w:highlight w:val="none"/>
              </w:rPr>
              <w:t>55.34</w:t>
            </w:r>
            <w:r>
              <w:rPr>
                <w:color w:val="auto"/>
                <w:highlight w:val="none"/>
              </w:rPr>
              <w:t>″</w:t>
            </w:r>
          </w:p>
        </w:tc>
        <w:tc>
          <w:tcPr>
            <w:tcW w:w="1269" w:type="dxa"/>
            <w:tcBorders>
              <w:tl2br w:val="nil"/>
              <w:tr2bl w:val="nil"/>
            </w:tcBorders>
            <w:vAlign w:val="center"/>
          </w:tcPr>
          <w:p w14:paraId="596566F4">
            <w:pPr>
              <w:pStyle w:val="41"/>
              <w:widowControl w:val="0"/>
              <w:rPr>
                <w:color w:val="auto"/>
                <w:highlight w:val="none"/>
              </w:rPr>
            </w:pPr>
            <w:r>
              <w:rPr>
                <w:rFonts w:hint="eastAsia"/>
                <w:color w:val="auto"/>
                <w:highlight w:val="none"/>
              </w:rPr>
              <w:t>40</w:t>
            </w:r>
            <w:r>
              <w:rPr>
                <w:color w:val="auto"/>
                <w:highlight w:val="none"/>
              </w:rPr>
              <w:t>°</w:t>
            </w:r>
            <w:r>
              <w:rPr>
                <w:rFonts w:hint="eastAsia"/>
                <w:color w:val="auto"/>
                <w:highlight w:val="none"/>
              </w:rPr>
              <w:t>4</w:t>
            </w:r>
            <w:r>
              <w:rPr>
                <w:color w:val="auto"/>
                <w:highlight w:val="none"/>
              </w:rPr>
              <w:t>′</w:t>
            </w:r>
            <w:r>
              <w:rPr>
                <w:rFonts w:hint="eastAsia"/>
                <w:color w:val="auto"/>
                <w:highlight w:val="none"/>
              </w:rPr>
              <w:t>9.46</w:t>
            </w:r>
            <w:r>
              <w:rPr>
                <w:color w:val="auto"/>
                <w:highlight w:val="none"/>
              </w:rPr>
              <w:t>″</w:t>
            </w:r>
          </w:p>
        </w:tc>
        <w:tc>
          <w:tcPr>
            <w:tcW w:w="1982" w:type="dxa"/>
            <w:tcBorders>
              <w:tl2br w:val="nil"/>
              <w:tr2bl w:val="nil"/>
            </w:tcBorders>
            <w:vAlign w:val="center"/>
          </w:tcPr>
          <w:p w14:paraId="222B8572">
            <w:pPr>
              <w:pStyle w:val="41"/>
              <w:widowControl w:val="0"/>
              <w:rPr>
                <w:color w:val="auto"/>
                <w:highlight w:val="none"/>
              </w:rPr>
            </w:pPr>
            <w:r>
              <w:rPr>
                <w:rFonts w:hint="eastAsia"/>
                <w:color w:val="auto"/>
                <w:highlight w:val="none"/>
              </w:rPr>
              <w:t>选矿厂西南300m</w:t>
            </w:r>
          </w:p>
        </w:tc>
        <w:tc>
          <w:tcPr>
            <w:tcW w:w="1014" w:type="dxa"/>
            <w:tcBorders>
              <w:tl2br w:val="nil"/>
              <w:tr2bl w:val="nil"/>
            </w:tcBorders>
            <w:vAlign w:val="center"/>
          </w:tcPr>
          <w:p w14:paraId="7AAB21FB">
            <w:pPr>
              <w:pStyle w:val="41"/>
              <w:widowControl w:val="0"/>
              <w:rPr>
                <w:color w:val="auto"/>
                <w:highlight w:val="none"/>
              </w:rPr>
            </w:pPr>
            <w:r>
              <w:rPr>
                <w:rFonts w:hint="eastAsia"/>
                <w:color w:val="auto"/>
                <w:highlight w:val="none"/>
              </w:rPr>
              <w:t>180</w:t>
            </w:r>
          </w:p>
        </w:tc>
        <w:tc>
          <w:tcPr>
            <w:tcW w:w="1014" w:type="dxa"/>
            <w:tcBorders>
              <w:tl2br w:val="nil"/>
              <w:tr2bl w:val="nil"/>
            </w:tcBorders>
            <w:vAlign w:val="center"/>
          </w:tcPr>
          <w:p w14:paraId="12438389">
            <w:pPr>
              <w:pStyle w:val="41"/>
              <w:widowControl w:val="0"/>
              <w:rPr>
                <w:color w:val="auto"/>
                <w:highlight w:val="none"/>
              </w:rPr>
            </w:pPr>
            <w:r>
              <w:rPr>
                <w:rFonts w:hint="eastAsia"/>
                <w:color w:val="auto"/>
                <w:highlight w:val="none"/>
              </w:rPr>
              <w:t>142.6</w:t>
            </w:r>
          </w:p>
        </w:tc>
      </w:tr>
      <w:tr w14:paraId="2C27AD9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782" w:type="dxa"/>
            <w:tcBorders>
              <w:tl2br w:val="nil"/>
              <w:tr2bl w:val="nil"/>
            </w:tcBorders>
            <w:vAlign w:val="center"/>
          </w:tcPr>
          <w:p w14:paraId="52E272B1">
            <w:pPr>
              <w:pStyle w:val="41"/>
              <w:widowControl w:val="0"/>
              <w:rPr>
                <w:color w:val="auto"/>
                <w:highlight w:val="none"/>
              </w:rPr>
            </w:pPr>
            <w:r>
              <w:rPr>
                <w:color w:val="auto"/>
                <w:highlight w:val="none"/>
              </w:rPr>
              <w:t>2</w:t>
            </w:r>
          </w:p>
        </w:tc>
        <w:tc>
          <w:tcPr>
            <w:tcW w:w="1169" w:type="dxa"/>
            <w:tcBorders>
              <w:tl2br w:val="nil"/>
              <w:tr2bl w:val="nil"/>
            </w:tcBorders>
            <w:vAlign w:val="center"/>
          </w:tcPr>
          <w:p w14:paraId="5456DD78">
            <w:pPr>
              <w:pStyle w:val="41"/>
              <w:widowControl w:val="0"/>
              <w:rPr>
                <w:color w:val="auto"/>
                <w:highlight w:val="none"/>
              </w:rPr>
            </w:pPr>
            <w:r>
              <w:rPr>
                <w:color w:val="auto"/>
                <w:highlight w:val="none"/>
              </w:rPr>
              <w:t>监测井2#</w:t>
            </w:r>
          </w:p>
        </w:tc>
        <w:tc>
          <w:tcPr>
            <w:tcW w:w="1332" w:type="dxa"/>
            <w:tcBorders>
              <w:tl2br w:val="nil"/>
              <w:tr2bl w:val="nil"/>
            </w:tcBorders>
            <w:vAlign w:val="center"/>
          </w:tcPr>
          <w:p w14:paraId="237B3763">
            <w:pPr>
              <w:pStyle w:val="41"/>
              <w:widowControl w:val="0"/>
              <w:rPr>
                <w:color w:val="auto"/>
                <w:highlight w:val="none"/>
              </w:rPr>
            </w:pPr>
            <w:r>
              <w:rPr>
                <w:rFonts w:hint="eastAsia"/>
                <w:color w:val="auto"/>
                <w:highlight w:val="none"/>
              </w:rPr>
              <w:t>76</w:t>
            </w:r>
            <w:r>
              <w:rPr>
                <w:color w:val="auto"/>
                <w:highlight w:val="none"/>
              </w:rPr>
              <w:t>°</w:t>
            </w:r>
            <w:r>
              <w:rPr>
                <w:rFonts w:hint="eastAsia"/>
                <w:color w:val="auto"/>
                <w:highlight w:val="none"/>
              </w:rPr>
              <w:t>36</w:t>
            </w:r>
            <w:r>
              <w:rPr>
                <w:color w:val="auto"/>
                <w:highlight w:val="none"/>
              </w:rPr>
              <w:t>′</w:t>
            </w:r>
            <w:r>
              <w:rPr>
                <w:rFonts w:hint="eastAsia"/>
                <w:color w:val="auto"/>
                <w:highlight w:val="none"/>
              </w:rPr>
              <w:t>28.87</w:t>
            </w:r>
            <w:r>
              <w:rPr>
                <w:color w:val="auto"/>
                <w:highlight w:val="none"/>
              </w:rPr>
              <w:t>″</w:t>
            </w:r>
          </w:p>
        </w:tc>
        <w:tc>
          <w:tcPr>
            <w:tcW w:w="1269" w:type="dxa"/>
            <w:tcBorders>
              <w:tl2br w:val="nil"/>
              <w:tr2bl w:val="nil"/>
            </w:tcBorders>
            <w:vAlign w:val="center"/>
          </w:tcPr>
          <w:p w14:paraId="49088EEE">
            <w:pPr>
              <w:pStyle w:val="41"/>
              <w:widowControl w:val="0"/>
              <w:rPr>
                <w:color w:val="auto"/>
                <w:highlight w:val="none"/>
              </w:rPr>
            </w:pPr>
            <w:r>
              <w:rPr>
                <w:rFonts w:hint="eastAsia"/>
                <w:color w:val="auto"/>
                <w:highlight w:val="none"/>
              </w:rPr>
              <w:t>40</w:t>
            </w:r>
            <w:r>
              <w:rPr>
                <w:color w:val="auto"/>
                <w:highlight w:val="none"/>
              </w:rPr>
              <w:t>°</w:t>
            </w:r>
            <w:r>
              <w:rPr>
                <w:rFonts w:hint="eastAsia"/>
                <w:color w:val="auto"/>
                <w:highlight w:val="none"/>
              </w:rPr>
              <w:t>4</w:t>
            </w:r>
            <w:r>
              <w:rPr>
                <w:color w:val="auto"/>
                <w:highlight w:val="none"/>
              </w:rPr>
              <w:t>′</w:t>
            </w:r>
            <w:r>
              <w:rPr>
                <w:rFonts w:hint="eastAsia"/>
                <w:color w:val="auto"/>
                <w:highlight w:val="none"/>
              </w:rPr>
              <w:t>9.43</w:t>
            </w:r>
            <w:r>
              <w:rPr>
                <w:color w:val="auto"/>
                <w:highlight w:val="none"/>
              </w:rPr>
              <w:t>″</w:t>
            </w:r>
          </w:p>
        </w:tc>
        <w:tc>
          <w:tcPr>
            <w:tcW w:w="1982" w:type="dxa"/>
            <w:tcBorders>
              <w:tl2br w:val="nil"/>
              <w:tr2bl w:val="nil"/>
            </w:tcBorders>
            <w:vAlign w:val="center"/>
          </w:tcPr>
          <w:p w14:paraId="6860229D">
            <w:pPr>
              <w:pStyle w:val="41"/>
              <w:widowControl w:val="0"/>
              <w:rPr>
                <w:color w:val="auto"/>
                <w:highlight w:val="none"/>
              </w:rPr>
            </w:pPr>
            <w:r>
              <w:rPr>
                <w:rFonts w:hint="eastAsia"/>
                <w:color w:val="auto"/>
                <w:highlight w:val="none"/>
              </w:rPr>
              <w:t>选矿厂</w:t>
            </w:r>
            <w:r>
              <w:rPr>
                <w:color w:val="auto"/>
                <w:highlight w:val="none"/>
              </w:rPr>
              <w:t>南侧</w:t>
            </w:r>
            <w:r>
              <w:rPr>
                <w:rFonts w:hint="eastAsia"/>
                <w:color w:val="auto"/>
                <w:highlight w:val="none"/>
              </w:rPr>
              <w:t>25</w:t>
            </w:r>
            <w:r>
              <w:rPr>
                <w:color w:val="auto"/>
                <w:highlight w:val="none"/>
              </w:rPr>
              <w:t>0m</w:t>
            </w:r>
          </w:p>
        </w:tc>
        <w:tc>
          <w:tcPr>
            <w:tcW w:w="1014" w:type="dxa"/>
            <w:tcBorders>
              <w:tl2br w:val="nil"/>
              <w:tr2bl w:val="nil"/>
            </w:tcBorders>
            <w:vAlign w:val="center"/>
          </w:tcPr>
          <w:p w14:paraId="4B1CDF4A">
            <w:pPr>
              <w:pStyle w:val="41"/>
              <w:widowControl w:val="0"/>
              <w:rPr>
                <w:color w:val="auto"/>
                <w:highlight w:val="none"/>
              </w:rPr>
            </w:pPr>
            <w:r>
              <w:rPr>
                <w:rFonts w:hint="eastAsia"/>
                <w:color w:val="auto"/>
                <w:highlight w:val="none"/>
              </w:rPr>
              <w:t>180</w:t>
            </w:r>
          </w:p>
        </w:tc>
        <w:tc>
          <w:tcPr>
            <w:tcW w:w="1014" w:type="dxa"/>
            <w:tcBorders>
              <w:tl2br w:val="nil"/>
              <w:tr2bl w:val="nil"/>
            </w:tcBorders>
            <w:vAlign w:val="center"/>
          </w:tcPr>
          <w:p w14:paraId="2DAEF632">
            <w:pPr>
              <w:pStyle w:val="41"/>
              <w:widowControl w:val="0"/>
              <w:rPr>
                <w:color w:val="auto"/>
                <w:highlight w:val="none"/>
              </w:rPr>
            </w:pPr>
            <w:r>
              <w:rPr>
                <w:rFonts w:hint="eastAsia"/>
                <w:color w:val="auto"/>
                <w:highlight w:val="none"/>
              </w:rPr>
              <w:t>141.8</w:t>
            </w:r>
          </w:p>
        </w:tc>
      </w:tr>
      <w:tr w14:paraId="714989B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782" w:type="dxa"/>
            <w:tcBorders>
              <w:tl2br w:val="nil"/>
              <w:tr2bl w:val="nil"/>
            </w:tcBorders>
            <w:vAlign w:val="center"/>
          </w:tcPr>
          <w:p w14:paraId="093C2486">
            <w:pPr>
              <w:pStyle w:val="41"/>
              <w:widowControl w:val="0"/>
              <w:rPr>
                <w:color w:val="auto"/>
                <w:highlight w:val="none"/>
              </w:rPr>
            </w:pPr>
            <w:r>
              <w:rPr>
                <w:color w:val="auto"/>
                <w:highlight w:val="none"/>
              </w:rPr>
              <w:t>3</w:t>
            </w:r>
          </w:p>
        </w:tc>
        <w:tc>
          <w:tcPr>
            <w:tcW w:w="1169" w:type="dxa"/>
            <w:tcBorders>
              <w:tl2br w:val="nil"/>
              <w:tr2bl w:val="nil"/>
            </w:tcBorders>
            <w:vAlign w:val="center"/>
          </w:tcPr>
          <w:p w14:paraId="6351DCE7">
            <w:pPr>
              <w:pStyle w:val="41"/>
              <w:widowControl w:val="0"/>
              <w:rPr>
                <w:color w:val="auto"/>
                <w:highlight w:val="none"/>
              </w:rPr>
            </w:pPr>
            <w:r>
              <w:rPr>
                <w:color w:val="auto"/>
                <w:highlight w:val="none"/>
              </w:rPr>
              <w:t>监测井3#</w:t>
            </w:r>
          </w:p>
        </w:tc>
        <w:tc>
          <w:tcPr>
            <w:tcW w:w="1332" w:type="dxa"/>
            <w:tcBorders>
              <w:tl2br w:val="nil"/>
              <w:tr2bl w:val="nil"/>
            </w:tcBorders>
            <w:vAlign w:val="center"/>
          </w:tcPr>
          <w:p w14:paraId="56947AE9">
            <w:pPr>
              <w:pStyle w:val="41"/>
              <w:widowControl w:val="0"/>
              <w:rPr>
                <w:color w:val="auto"/>
                <w:highlight w:val="none"/>
              </w:rPr>
            </w:pPr>
            <w:r>
              <w:rPr>
                <w:rFonts w:hint="eastAsia"/>
                <w:color w:val="auto"/>
                <w:highlight w:val="none"/>
              </w:rPr>
              <w:t>76</w:t>
            </w:r>
            <w:r>
              <w:rPr>
                <w:color w:val="auto"/>
                <w:highlight w:val="none"/>
              </w:rPr>
              <w:t>°</w:t>
            </w:r>
            <w:r>
              <w:rPr>
                <w:rFonts w:hint="eastAsia"/>
                <w:color w:val="auto"/>
                <w:highlight w:val="none"/>
              </w:rPr>
              <w:t>36</w:t>
            </w:r>
            <w:r>
              <w:rPr>
                <w:color w:val="auto"/>
                <w:highlight w:val="none"/>
              </w:rPr>
              <w:t>′</w:t>
            </w:r>
            <w:r>
              <w:rPr>
                <w:rFonts w:hint="eastAsia"/>
                <w:color w:val="auto"/>
                <w:highlight w:val="none"/>
              </w:rPr>
              <w:t>45.67</w:t>
            </w:r>
            <w:r>
              <w:rPr>
                <w:color w:val="auto"/>
                <w:highlight w:val="none"/>
              </w:rPr>
              <w:t>″</w:t>
            </w:r>
          </w:p>
        </w:tc>
        <w:tc>
          <w:tcPr>
            <w:tcW w:w="1269" w:type="dxa"/>
            <w:tcBorders>
              <w:tl2br w:val="nil"/>
              <w:tr2bl w:val="nil"/>
            </w:tcBorders>
            <w:vAlign w:val="center"/>
          </w:tcPr>
          <w:p w14:paraId="193C1330">
            <w:pPr>
              <w:pStyle w:val="41"/>
              <w:widowControl w:val="0"/>
              <w:rPr>
                <w:color w:val="auto"/>
                <w:highlight w:val="none"/>
              </w:rPr>
            </w:pPr>
            <w:r>
              <w:rPr>
                <w:rFonts w:hint="eastAsia"/>
                <w:color w:val="auto"/>
                <w:highlight w:val="none"/>
              </w:rPr>
              <w:t>40</w:t>
            </w:r>
            <w:r>
              <w:rPr>
                <w:color w:val="auto"/>
                <w:highlight w:val="none"/>
              </w:rPr>
              <w:t>°</w:t>
            </w:r>
            <w:r>
              <w:rPr>
                <w:rFonts w:hint="eastAsia"/>
                <w:color w:val="auto"/>
                <w:highlight w:val="none"/>
              </w:rPr>
              <w:t>4</w:t>
            </w:r>
            <w:r>
              <w:rPr>
                <w:color w:val="auto"/>
                <w:highlight w:val="none"/>
              </w:rPr>
              <w:t>′</w:t>
            </w:r>
            <w:r>
              <w:rPr>
                <w:rFonts w:hint="eastAsia"/>
                <w:color w:val="auto"/>
                <w:highlight w:val="none"/>
              </w:rPr>
              <w:t>10.08</w:t>
            </w:r>
            <w:r>
              <w:rPr>
                <w:color w:val="auto"/>
                <w:highlight w:val="none"/>
              </w:rPr>
              <w:t>″</w:t>
            </w:r>
          </w:p>
        </w:tc>
        <w:tc>
          <w:tcPr>
            <w:tcW w:w="1982" w:type="dxa"/>
            <w:tcBorders>
              <w:tl2br w:val="nil"/>
              <w:tr2bl w:val="nil"/>
            </w:tcBorders>
            <w:vAlign w:val="center"/>
          </w:tcPr>
          <w:p w14:paraId="30B8EA69">
            <w:pPr>
              <w:pStyle w:val="41"/>
              <w:widowControl w:val="0"/>
              <w:rPr>
                <w:color w:val="auto"/>
                <w:highlight w:val="none"/>
              </w:rPr>
            </w:pPr>
            <w:r>
              <w:rPr>
                <w:rFonts w:hint="eastAsia"/>
                <w:color w:val="auto"/>
                <w:highlight w:val="none"/>
              </w:rPr>
              <w:t>选矿厂</w:t>
            </w:r>
            <w:r>
              <w:rPr>
                <w:color w:val="auto"/>
                <w:highlight w:val="none"/>
              </w:rPr>
              <w:t>东</w:t>
            </w:r>
            <w:r>
              <w:rPr>
                <w:rFonts w:hint="eastAsia"/>
                <w:color w:val="auto"/>
                <w:highlight w:val="none"/>
              </w:rPr>
              <w:t>南5</w:t>
            </w:r>
            <w:r>
              <w:rPr>
                <w:color w:val="auto"/>
                <w:highlight w:val="none"/>
              </w:rPr>
              <w:t>00m</w:t>
            </w:r>
          </w:p>
        </w:tc>
        <w:tc>
          <w:tcPr>
            <w:tcW w:w="1014" w:type="dxa"/>
            <w:tcBorders>
              <w:tl2br w:val="nil"/>
              <w:tr2bl w:val="nil"/>
            </w:tcBorders>
            <w:vAlign w:val="center"/>
          </w:tcPr>
          <w:p w14:paraId="41058D0B">
            <w:pPr>
              <w:pStyle w:val="41"/>
              <w:widowControl w:val="0"/>
              <w:rPr>
                <w:color w:val="auto"/>
                <w:highlight w:val="none"/>
              </w:rPr>
            </w:pPr>
            <w:r>
              <w:rPr>
                <w:rFonts w:hint="eastAsia"/>
                <w:color w:val="auto"/>
                <w:highlight w:val="none"/>
              </w:rPr>
              <w:t>180</w:t>
            </w:r>
          </w:p>
        </w:tc>
        <w:tc>
          <w:tcPr>
            <w:tcW w:w="1014" w:type="dxa"/>
            <w:tcBorders>
              <w:tl2br w:val="nil"/>
              <w:tr2bl w:val="nil"/>
            </w:tcBorders>
            <w:vAlign w:val="center"/>
          </w:tcPr>
          <w:p w14:paraId="0D00C31B">
            <w:pPr>
              <w:pStyle w:val="41"/>
              <w:widowControl w:val="0"/>
              <w:rPr>
                <w:color w:val="auto"/>
                <w:highlight w:val="none"/>
              </w:rPr>
            </w:pPr>
            <w:r>
              <w:rPr>
                <w:rFonts w:hint="eastAsia"/>
                <w:color w:val="auto"/>
                <w:highlight w:val="none"/>
              </w:rPr>
              <w:t>149.3</w:t>
            </w:r>
          </w:p>
        </w:tc>
      </w:tr>
      <w:tr w14:paraId="55711E9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782" w:type="dxa"/>
            <w:tcBorders>
              <w:tl2br w:val="nil"/>
              <w:tr2bl w:val="nil"/>
            </w:tcBorders>
            <w:vAlign w:val="center"/>
          </w:tcPr>
          <w:p w14:paraId="2D3455EB">
            <w:pPr>
              <w:pStyle w:val="41"/>
              <w:widowControl w:val="0"/>
              <w:rPr>
                <w:color w:val="auto"/>
                <w:highlight w:val="none"/>
              </w:rPr>
            </w:pPr>
            <w:r>
              <w:rPr>
                <w:rFonts w:hint="eastAsia"/>
                <w:color w:val="auto"/>
                <w:highlight w:val="none"/>
              </w:rPr>
              <w:t>4</w:t>
            </w:r>
          </w:p>
        </w:tc>
        <w:tc>
          <w:tcPr>
            <w:tcW w:w="1169" w:type="dxa"/>
            <w:tcBorders>
              <w:tl2br w:val="nil"/>
              <w:tr2bl w:val="nil"/>
            </w:tcBorders>
            <w:shd w:val="clear" w:color="auto" w:fill="auto"/>
            <w:vAlign w:val="center"/>
          </w:tcPr>
          <w:p w14:paraId="4BD0F3B5">
            <w:pPr>
              <w:pStyle w:val="41"/>
              <w:widowControl w:val="0"/>
              <w:rPr>
                <w:color w:val="auto"/>
                <w:highlight w:val="none"/>
              </w:rPr>
            </w:pPr>
            <w:r>
              <w:rPr>
                <w:color w:val="auto"/>
                <w:highlight w:val="none"/>
              </w:rPr>
              <w:t>监测井</w:t>
            </w:r>
            <w:r>
              <w:rPr>
                <w:rFonts w:hint="eastAsia"/>
                <w:color w:val="auto"/>
                <w:highlight w:val="none"/>
              </w:rPr>
              <w:t>4</w:t>
            </w:r>
            <w:r>
              <w:rPr>
                <w:color w:val="auto"/>
                <w:highlight w:val="none"/>
              </w:rPr>
              <w:t>#</w:t>
            </w:r>
          </w:p>
        </w:tc>
        <w:tc>
          <w:tcPr>
            <w:tcW w:w="1332" w:type="dxa"/>
            <w:tcBorders>
              <w:tl2br w:val="nil"/>
              <w:tr2bl w:val="nil"/>
            </w:tcBorders>
            <w:shd w:val="clear" w:color="auto" w:fill="auto"/>
            <w:vAlign w:val="center"/>
          </w:tcPr>
          <w:p w14:paraId="2A2250B4">
            <w:pPr>
              <w:pStyle w:val="41"/>
              <w:widowControl w:val="0"/>
              <w:rPr>
                <w:color w:val="auto"/>
                <w:highlight w:val="none"/>
              </w:rPr>
            </w:pPr>
            <w:r>
              <w:rPr>
                <w:rFonts w:hint="eastAsia"/>
                <w:color w:val="auto"/>
                <w:highlight w:val="none"/>
              </w:rPr>
              <w:t>76</w:t>
            </w:r>
            <w:r>
              <w:rPr>
                <w:color w:val="auto"/>
                <w:highlight w:val="none"/>
              </w:rPr>
              <w:t>°</w:t>
            </w:r>
            <w:r>
              <w:rPr>
                <w:rFonts w:hint="eastAsia"/>
                <w:color w:val="auto"/>
                <w:highlight w:val="none"/>
              </w:rPr>
              <w:t>31</w:t>
            </w:r>
            <w:r>
              <w:rPr>
                <w:color w:val="auto"/>
                <w:highlight w:val="none"/>
              </w:rPr>
              <w:t>′</w:t>
            </w:r>
            <w:r>
              <w:rPr>
                <w:rFonts w:hint="eastAsia"/>
                <w:color w:val="auto"/>
                <w:highlight w:val="none"/>
              </w:rPr>
              <w:t>09.95</w:t>
            </w:r>
            <w:r>
              <w:rPr>
                <w:color w:val="auto"/>
                <w:highlight w:val="none"/>
              </w:rPr>
              <w:t>″</w:t>
            </w:r>
          </w:p>
        </w:tc>
        <w:tc>
          <w:tcPr>
            <w:tcW w:w="1269" w:type="dxa"/>
            <w:tcBorders>
              <w:tl2br w:val="nil"/>
              <w:tr2bl w:val="nil"/>
            </w:tcBorders>
            <w:shd w:val="clear" w:color="auto" w:fill="auto"/>
            <w:vAlign w:val="center"/>
          </w:tcPr>
          <w:p w14:paraId="017EDD17">
            <w:pPr>
              <w:pStyle w:val="41"/>
              <w:widowControl w:val="0"/>
              <w:rPr>
                <w:color w:val="auto"/>
                <w:highlight w:val="none"/>
              </w:rPr>
            </w:pPr>
            <w:r>
              <w:rPr>
                <w:rFonts w:hint="eastAsia"/>
                <w:color w:val="auto"/>
                <w:highlight w:val="none"/>
              </w:rPr>
              <w:t>40</w:t>
            </w:r>
            <w:r>
              <w:rPr>
                <w:color w:val="auto"/>
                <w:highlight w:val="none"/>
              </w:rPr>
              <w:t>°</w:t>
            </w:r>
            <w:r>
              <w:rPr>
                <w:rFonts w:hint="eastAsia"/>
                <w:color w:val="auto"/>
                <w:highlight w:val="none"/>
              </w:rPr>
              <w:t>5</w:t>
            </w:r>
            <w:r>
              <w:rPr>
                <w:color w:val="auto"/>
                <w:highlight w:val="none"/>
              </w:rPr>
              <w:t>′</w:t>
            </w:r>
            <w:r>
              <w:rPr>
                <w:rFonts w:hint="eastAsia"/>
                <w:color w:val="auto"/>
                <w:highlight w:val="none"/>
              </w:rPr>
              <w:t>29.75</w:t>
            </w:r>
            <w:r>
              <w:rPr>
                <w:color w:val="auto"/>
                <w:highlight w:val="none"/>
              </w:rPr>
              <w:t>″</w:t>
            </w:r>
          </w:p>
        </w:tc>
        <w:tc>
          <w:tcPr>
            <w:tcW w:w="1982" w:type="dxa"/>
            <w:tcBorders>
              <w:tl2br w:val="nil"/>
              <w:tr2bl w:val="nil"/>
            </w:tcBorders>
            <w:vAlign w:val="center"/>
          </w:tcPr>
          <w:p w14:paraId="7AF46AB5">
            <w:pPr>
              <w:pStyle w:val="41"/>
              <w:widowControl w:val="0"/>
              <w:rPr>
                <w:color w:val="auto"/>
                <w:highlight w:val="none"/>
              </w:rPr>
            </w:pPr>
            <w:r>
              <w:rPr>
                <w:rFonts w:hint="eastAsia"/>
                <w:color w:val="auto"/>
                <w:highlight w:val="none"/>
              </w:rPr>
              <w:t>尾矿库内北侧</w:t>
            </w:r>
          </w:p>
        </w:tc>
        <w:tc>
          <w:tcPr>
            <w:tcW w:w="1014" w:type="dxa"/>
            <w:tcBorders>
              <w:tl2br w:val="nil"/>
              <w:tr2bl w:val="nil"/>
            </w:tcBorders>
            <w:vAlign w:val="center"/>
          </w:tcPr>
          <w:p w14:paraId="6236403E">
            <w:pPr>
              <w:pStyle w:val="41"/>
              <w:widowControl w:val="0"/>
              <w:rPr>
                <w:rFonts w:hint="eastAsia" w:eastAsia="华文中宋"/>
                <w:color w:val="auto"/>
                <w:highlight w:val="none"/>
                <w:lang w:val="en-US" w:eastAsia="zh-CN"/>
              </w:rPr>
            </w:pPr>
            <w:r>
              <w:rPr>
                <w:rFonts w:hint="eastAsia"/>
                <w:color w:val="auto"/>
                <w:highlight w:val="none"/>
                <w:lang w:val="en-US" w:eastAsia="zh-CN"/>
              </w:rPr>
              <w:t>105</w:t>
            </w:r>
          </w:p>
        </w:tc>
        <w:tc>
          <w:tcPr>
            <w:tcW w:w="1014" w:type="dxa"/>
            <w:tcBorders>
              <w:tl2br w:val="nil"/>
              <w:tr2bl w:val="nil"/>
            </w:tcBorders>
            <w:vAlign w:val="center"/>
          </w:tcPr>
          <w:p w14:paraId="7E5D1EBC">
            <w:pPr>
              <w:pStyle w:val="41"/>
              <w:widowControl w:val="0"/>
              <w:rPr>
                <w:rFonts w:hint="default" w:eastAsia="华文中宋"/>
                <w:color w:val="auto"/>
                <w:highlight w:val="none"/>
                <w:lang w:val="en-US" w:eastAsia="zh-CN"/>
              </w:rPr>
            </w:pPr>
            <w:r>
              <w:rPr>
                <w:rFonts w:hint="eastAsia"/>
                <w:color w:val="auto"/>
                <w:highlight w:val="none"/>
                <w:lang w:val="en-US" w:eastAsia="zh-CN"/>
              </w:rPr>
              <w:t>63.5</w:t>
            </w:r>
          </w:p>
        </w:tc>
      </w:tr>
      <w:tr w14:paraId="637C724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782" w:type="dxa"/>
            <w:tcBorders>
              <w:tl2br w:val="nil"/>
              <w:tr2bl w:val="nil"/>
            </w:tcBorders>
            <w:vAlign w:val="center"/>
          </w:tcPr>
          <w:p w14:paraId="6FAE5559">
            <w:pPr>
              <w:pStyle w:val="41"/>
              <w:widowControl w:val="0"/>
              <w:rPr>
                <w:color w:val="auto"/>
                <w:highlight w:val="none"/>
              </w:rPr>
            </w:pPr>
            <w:r>
              <w:rPr>
                <w:rFonts w:hint="eastAsia"/>
                <w:color w:val="auto"/>
                <w:highlight w:val="none"/>
              </w:rPr>
              <w:t>5</w:t>
            </w:r>
          </w:p>
        </w:tc>
        <w:tc>
          <w:tcPr>
            <w:tcW w:w="1169" w:type="dxa"/>
            <w:tcBorders>
              <w:tl2br w:val="nil"/>
              <w:tr2bl w:val="nil"/>
            </w:tcBorders>
            <w:shd w:val="clear" w:color="auto" w:fill="auto"/>
            <w:vAlign w:val="center"/>
          </w:tcPr>
          <w:p w14:paraId="0E0D2BC6">
            <w:pPr>
              <w:pStyle w:val="41"/>
              <w:widowControl w:val="0"/>
              <w:rPr>
                <w:color w:val="auto"/>
                <w:highlight w:val="none"/>
              </w:rPr>
            </w:pPr>
            <w:r>
              <w:rPr>
                <w:color w:val="auto"/>
                <w:highlight w:val="none"/>
              </w:rPr>
              <w:t>监测井</w:t>
            </w:r>
            <w:r>
              <w:rPr>
                <w:rFonts w:hint="eastAsia"/>
                <w:color w:val="auto"/>
                <w:highlight w:val="none"/>
              </w:rPr>
              <w:t>5</w:t>
            </w:r>
            <w:r>
              <w:rPr>
                <w:color w:val="auto"/>
                <w:highlight w:val="none"/>
              </w:rPr>
              <w:t>#</w:t>
            </w:r>
          </w:p>
        </w:tc>
        <w:tc>
          <w:tcPr>
            <w:tcW w:w="1332" w:type="dxa"/>
            <w:tcBorders>
              <w:tl2br w:val="nil"/>
              <w:tr2bl w:val="nil"/>
            </w:tcBorders>
            <w:vAlign w:val="center"/>
          </w:tcPr>
          <w:p w14:paraId="2A5508E6">
            <w:pPr>
              <w:pStyle w:val="41"/>
              <w:widowControl w:val="0"/>
              <w:rPr>
                <w:color w:val="auto"/>
                <w:highlight w:val="none"/>
              </w:rPr>
            </w:pPr>
            <w:r>
              <w:rPr>
                <w:rFonts w:hint="eastAsia"/>
                <w:color w:val="auto"/>
                <w:highlight w:val="none"/>
              </w:rPr>
              <w:t>76</w:t>
            </w:r>
            <w:r>
              <w:rPr>
                <w:color w:val="auto"/>
                <w:highlight w:val="none"/>
              </w:rPr>
              <w:t>°</w:t>
            </w:r>
            <w:r>
              <w:rPr>
                <w:rFonts w:hint="eastAsia"/>
                <w:color w:val="auto"/>
                <w:highlight w:val="none"/>
              </w:rPr>
              <w:t>30</w:t>
            </w:r>
            <w:r>
              <w:rPr>
                <w:color w:val="auto"/>
                <w:highlight w:val="none"/>
              </w:rPr>
              <w:t>′</w:t>
            </w:r>
            <w:r>
              <w:rPr>
                <w:rFonts w:hint="eastAsia"/>
                <w:color w:val="auto"/>
                <w:highlight w:val="none"/>
              </w:rPr>
              <w:t>59.14</w:t>
            </w:r>
            <w:r>
              <w:rPr>
                <w:color w:val="auto"/>
                <w:highlight w:val="none"/>
              </w:rPr>
              <w:t>″</w:t>
            </w:r>
          </w:p>
        </w:tc>
        <w:tc>
          <w:tcPr>
            <w:tcW w:w="1269" w:type="dxa"/>
            <w:tcBorders>
              <w:tl2br w:val="nil"/>
              <w:tr2bl w:val="nil"/>
            </w:tcBorders>
            <w:vAlign w:val="center"/>
          </w:tcPr>
          <w:p w14:paraId="1B431B5A">
            <w:pPr>
              <w:pStyle w:val="41"/>
              <w:widowControl w:val="0"/>
              <w:rPr>
                <w:color w:val="auto"/>
                <w:highlight w:val="none"/>
              </w:rPr>
            </w:pPr>
            <w:r>
              <w:rPr>
                <w:rFonts w:hint="eastAsia"/>
                <w:color w:val="auto"/>
                <w:highlight w:val="none"/>
              </w:rPr>
              <w:t>40</w:t>
            </w:r>
            <w:r>
              <w:rPr>
                <w:color w:val="auto"/>
                <w:highlight w:val="none"/>
              </w:rPr>
              <w:t>°</w:t>
            </w:r>
            <w:r>
              <w:rPr>
                <w:rFonts w:hint="eastAsia"/>
                <w:color w:val="auto"/>
                <w:highlight w:val="none"/>
              </w:rPr>
              <w:t>6</w:t>
            </w:r>
            <w:r>
              <w:rPr>
                <w:color w:val="auto"/>
                <w:highlight w:val="none"/>
              </w:rPr>
              <w:t>′</w:t>
            </w:r>
            <w:r>
              <w:rPr>
                <w:rFonts w:hint="eastAsia"/>
                <w:color w:val="auto"/>
                <w:highlight w:val="none"/>
              </w:rPr>
              <w:t>8.04</w:t>
            </w:r>
            <w:r>
              <w:rPr>
                <w:color w:val="auto"/>
                <w:highlight w:val="none"/>
              </w:rPr>
              <w:t>″</w:t>
            </w:r>
          </w:p>
        </w:tc>
        <w:tc>
          <w:tcPr>
            <w:tcW w:w="1982" w:type="dxa"/>
            <w:tcBorders>
              <w:tl2br w:val="nil"/>
              <w:tr2bl w:val="nil"/>
            </w:tcBorders>
            <w:vAlign w:val="center"/>
          </w:tcPr>
          <w:p w14:paraId="787CFD38">
            <w:pPr>
              <w:pStyle w:val="41"/>
              <w:widowControl w:val="0"/>
              <w:rPr>
                <w:color w:val="auto"/>
                <w:highlight w:val="none"/>
              </w:rPr>
            </w:pPr>
            <w:r>
              <w:rPr>
                <w:rFonts w:hint="eastAsia"/>
                <w:color w:val="auto"/>
                <w:highlight w:val="none"/>
              </w:rPr>
              <w:t>尾矿库南侧400m</w:t>
            </w:r>
          </w:p>
        </w:tc>
        <w:tc>
          <w:tcPr>
            <w:tcW w:w="1014" w:type="dxa"/>
            <w:tcBorders>
              <w:tl2br w:val="nil"/>
              <w:tr2bl w:val="nil"/>
            </w:tcBorders>
            <w:vAlign w:val="center"/>
          </w:tcPr>
          <w:p w14:paraId="6E0B5004">
            <w:pPr>
              <w:pStyle w:val="41"/>
              <w:widowControl w:val="0"/>
              <w:rPr>
                <w:rFonts w:hint="eastAsia" w:eastAsia="华文中宋"/>
                <w:color w:val="auto"/>
                <w:highlight w:val="none"/>
                <w:lang w:val="en-US" w:eastAsia="zh-CN"/>
              </w:rPr>
            </w:pPr>
            <w:r>
              <w:rPr>
                <w:rFonts w:hint="eastAsia"/>
                <w:color w:val="auto"/>
                <w:highlight w:val="none"/>
                <w:lang w:val="en-US" w:eastAsia="zh-CN"/>
              </w:rPr>
              <w:t>102</w:t>
            </w:r>
          </w:p>
        </w:tc>
        <w:tc>
          <w:tcPr>
            <w:tcW w:w="1014" w:type="dxa"/>
            <w:tcBorders>
              <w:tl2br w:val="nil"/>
              <w:tr2bl w:val="nil"/>
            </w:tcBorders>
            <w:vAlign w:val="center"/>
          </w:tcPr>
          <w:p w14:paraId="4309A143">
            <w:pPr>
              <w:pStyle w:val="41"/>
              <w:widowControl w:val="0"/>
              <w:rPr>
                <w:rFonts w:hint="default" w:eastAsia="华文中宋"/>
                <w:color w:val="auto"/>
                <w:highlight w:val="none"/>
                <w:lang w:val="en-US" w:eastAsia="zh-CN"/>
              </w:rPr>
            </w:pPr>
            <w:r>
              <w:rPr>
                <w:rFonts w:hint="eastAsia"/>
                <w:color w:val="auto"/>
                <w:highlight w:val="none"/>
                <w:lang w:val="en-US" w:eastAsia="zh-CN"/>
              </w:rPr>
              <w:t>93.2</w:t>
            </w:r>
          </w:p>
        </w:tc>
      </w:tr>
    </w:tbl>
    <w:p w14:paraId="383855E6">
      <w:pPr>
        <w:pStyle w:val="3"/>
        <w:ind w:firstLine="480"/>
        <w:rPr>
          <w:color w:val="auto"/>
          <w:highlight w:val="none"/>
        </w:rPr>
      </w:pPr>
      <w:r>
        <w:rPr>
          <w:color w:val="auto"/>
          <w:highlight w:val="none"/>
        </w:rPr>
        <w:t>（</w:t>
      </w:r>
      <w:r>
        <w:rPr>
          <w:rFonts w:hint="eastAsia"/>
          <w:color w:val="auto"/>
          <w:highlight w:val="none"/>
        </w:rPr>
        <w:t>2</w:t>
      </w:r>
      <w:r>
        <w:rPr>
          <w:color w:val="auto"/>
          <w:highlight w:val="none"/>
        </w:rPr>
        <w:t>）监测项目</w:t>
      </w:r>
    </w:p>
    <w:p w14:paraId="23F57E23">
      <w:pPr>
        <w:pStyle w:val="3"/>
        <w:ind w:firstLine="480"/>
        <w:rPr>
          <w:color w:val="auto"/>
          <w:highlight w:val="none"/>
        </w:rPr>
      </w:pPr>
      <w:r>
        <w:rPr>
          <w:color w:val="auto"/>
          <w:highlight w:val="none"/>
        </w:rPr>
        <w:t>pH、挥发酚、镉、砷、汞、铅、</w:t>
      </w:r>
      <w:r>
        <w:rPr>
          <w:rFonts w:hint="eastAsia"/>
          <w:color w:val="auto"/>
          <w:highlight w:val="none"/>
        </w:rPr>
        <w:t>氯化物、硫酸盐、</w:t>
      </w:r>
      <w:r>
        <w:rPr>
          <w:color w:val="auto"/>
          <w:highlight w:val="none"/>
        </w:rPr>
        <w:t>总硬度、溶解性总固体、铁、锰、铜、锌、</w:t>
      </w:r>
      <w:r>
        <w:rPr>
          <w:rFonts w:hint="eastAsia"/>
          <w:color w:val="auto"/>
          <w:highlight w:val="none"/>
        </w:rPr>
        <w:t>铝、</w:t>
      </w:r>
      <w:r>
        <w:rPr>
          <w:color w:val="auto"/>
          <w:highlight w:val="none"/>
        </w:rPr>
        <w:t>氨氮、</w:t>
      </w:r>
      <w:r>
        <w:rPr>
          <w:rFonts w:hint="eastAsia"/>
          <w:color w:val="auto"/>
          <w:highlight w:val="none"/>
        </w:rPr>
        <w:t>硫化物、</w:t>
      </w:r>
      <w:r>
        <w:rPr>
          <w:color w:val="auto"/>
          <w:highlight w:val="none"/>
        </w:rPr>
        <w:t>氟化物、亚硝酸盐氮、硝酸盐氮等</w:t>
      </w:r>
      <w:r>
        <w:rPr>
          <w:rFonts w:hint="eastAsia"/>
          <w:color w:val="auto"/>
          <w:highlight w:val="none"/>
        </w:rPr>
        <w:t>20项及八大离子</w:t>
      </w:r>
      <w:r>
        <w:rPr>
          <w:rFonts w:hint="eastAsia"/>
          <w:color w:val="auto"/>
          <w:highlight w:val="none"/>
          <w:lang w:eastAsia="zh-CN"/>
        </w:rPr>
        <w:t>（</w:t>
      </w:r>
      <w:r>
        <w:rPr>
          <w:rFonts w:hint="eastAsia"/>
          <w:color w:val="auto"/>
          <w:highlight w:val="none"/>
        </w:rPr>
        <w:t>K</w:t>
      </w:r>
      <w:r>
        <w:rPr>
          <w:rFonts w:hint="eastAsia"/>
          <w:color w:val="auto"/>
          <w:highlight w:val="none"/>
          <w:vertAlign w:val="superscript"/>
        </w:rPr>
        <w:t>+</w:t>
      </w:r>
      <w:r>
        <w:rPr>
          <w:rFonts w:hint="eastAsia"/>
          <w:color w:val="auto"/>
          <w:highlight w:val="none"/>
        </w:rPr>
        <w:t>、Na</w:t>
      </w:r>
      <w:r>
        <w:rPr>
          <w:rFonts w:hint="eastAsia"/>
          <w:color w:val="auto"/>
          <w:highlight w:val="none"/>
          <w:vertAlign w:val="superscript"/>
        </w:rPr>
        <w:t>+</w:t>
      </w:r>
      <w:r>
        <w:rPr>
          <w:rFonts w:hint="eastAsia"/>
          <w:color w:val="auto"/>
          <w:highlight w:val="none"/>
        </w:rPr>
        <w:t>、Ca</w:t>
      </w:r>
      <w:r>
        <w:rPr>
          <w:rFonts w:hint="eastAsia"/>
          <w:color w:val="auto"/>
          <w:highlight w:val="none"/>
          <w:vertAlign w:val="superscript"/>
        </w:rPr>
        <w:t>2+</w:t>
      </w:r>
      <w:r>
        <w:rPr>
          <w:rFonts w:hint="eastAsia"/>
          <w:color w:val="auto"/>
          <w:highlight w:val="none"/>
        </w:rPr>
        <w:t>、Mg</w:t>
      </w:r>
      <w:r>
        <w:rPr>
          <w:rFonts w:hint="eastAsia"/>
          <w:color w:val="auto"/>
          <w:highlight w:val="none"/>
          <w:vertAlign w:val="superscript"/>
        </w:rPr>
        <w:t>2+</w:t>
      </w:r>
      <w:r>
        <w:rPr>
          <w:rFonts w:hint="eastAsia"/>
          <w:color w:val="auto"/>
          <w:highlight w:val="none"/>
        </w:rPr>
        <w:t>、CO</w:t>
      </w:r>
      <w:r>
        <w:rPr>
          <w:rFonts w:hint="eastAsia"/>
          <w:color w:val="auto"/>
          <w:highlight w:val="none"/>
          <w:vertAlign w:val="subscript"/>
        </w:rPr>
        <w:t>3</w:t>
      </w:r>
      <w:r>
        <w:rPr>
          <w:rFonts w:hint="eastAsia"/>
          <w:color w:val="auto"/>
          <w:highlight w:val="none"/>
          <w:vertAlign w:val="superscript"/>
        </w:rPr>
        <w:t>2-</w:t>
      </w:r>
      <w:r>
        <w:rPr>
          <w:rFonts w:hint="eastAsia"/>
          <w:color w:val="auto"/>
          <w:highlight w:val="none"/>
        </w:rPr>
        <w:t xml:space="preserve"> 、HCO</w:t>
      </w:r>
      <w:r>
        <w:rPr>
          <w:rFonts w:hint="eastAsia"/>
          <w:color w:val="auto"/>
          <w:highlight w:val="none"/>
          <w:vertAlign w:val="superscript"/>
        </w:rPr>
        <w:t>3-</w:t>
      </w:r>
      <w:r>
        <w:rPr>
          <w:rFonts w:hint="eastAsia"/>
          <w:color w:val="auto"/>
          <w:highlight w:val="none"/>
        </w:rPr>
        <w:t xml:space="preserve"> 、Cl</w:t>
      </w:r>
      <w:r>
        <w:rPr>
          <w:rFonts w:hint="eastAsia"/>
          <w:color w:val="auto"/>
          <w:highlight w:val="none"/>
          <w:vertAlign w:val="superscript"/>
        </w:rPr>
        <w:t>-</w:t>
      </w:r>
      <w:r>
        <w:rPr>
          <w:rFonts w:hint="eastAsia"/>
          <w:color w:val="auto"/>
          <w:highlight w:val="none"/>
        </w:rPr>
        <w:t>、SO</w:t>
      </w:r>
      <w:r>
        <w:rPr>
          <w:rFonts w:hint="eastAsia"/>
          <w:color w:val="auto"/>
          <w:highlight w:val="none"/>
          <w:vertAlign w:val="subscript"/>
        </w:rPr>
        <w:t>4</w:t>
      </w:r>
      <w:r>
        <w:rPr>
          <w:rFonts w:hint="eastAsia"/>
          <w:color w:val="auto"/>
          <w:highlight w:val="none"/>
          <w:vertAlign w:val="superscript"/>
        </w:rPr>
        <w:t>2-</w:t>
      </w:r>
      <w:r>
        <w:rPr>
          <w:rFonts w:hint="eastAsia"/>
          <w:color w:val="auto"/>
          <w:highlight w:val="none"/>
          <w:lang w:eastAsia="zh-CN"/>
        </w:rPr>
        <w:t>）</w:t>
      </w:r>
      <w:r>
        <w:rPr>
          <w:color w:val="auto"/>
          <w:highlight w:val="none"/>
        </w:rPr>
        <w:t>。</w:t>
      </w:r>
    </w:p>
    <w:p w14:paraId="24687FBB">
      <w:pPr>
        <w:pStyle w:val="3"/>
        <w:ind w:firstLine="480"/>
        <w:rPr>
          <w:color w:val="auto"/>
          <w:highlight w:val="none"/>
        </w:rPr>
      </w:pPr>
      <w:r>
        <w:rPr>
          <w:color w:val="auto"/>
          <w:highlight w:val="none"/>
        </w:rPr>
        <w:t>（4）评价方法</w:t>
      </w:r>
    </w:p>
    <w:p w14:paraId="57F8F762">
      <w:pPr>
        <w:pStyle w:val="3"/>
        <w:ind w:firstLine="480"/>
        <w:rPr>
          <w:color w:val="auto"/>
          <w:highlight w:val="none"/>
        </w:rPr>
      </w:pPr>
      <w:r>
        <w:rPr>
          <w:color w:val="auto"/>
          <w:highlight w:val="none"/>
        </w:rPr>
        <w:t>采用单因子污染指数法对地表水现状进行评价。公式如下：</w:t>
      </w:r>
    </w:p>
    <w:p w14:paraId="05374B43">
      <w:pPr>
        <w:pStyle w:val="3"/>
        <w:ind w:firstLine="480"/>
        <w:rPr>
          <w:color w:val="auto"/>
          <w:highlight w:val="none"/>
        </w:rPr>
      </w:pPr>
      <w:r>
        <w:rPr>
          <w:color w:val="auto"/>
          <w:highlight w:val="none"/>
        </w:rPr>
        <w:object>
          <v:shape id="_x0000_i1025" o:spt="75" type="#_x0000_t75" style="height:18pt;width:65.4pt;" o:ole="t" fillcolor="#000011" filled="f" o:preferrelative="t" stroked="f" coordsize="21600,21600">
            <v:path/>
            <v:fill on="f" focussize="0,0"/>
            <v:stroke on="f" joinstyle="miter"/>
            <v:imagedata r:id="rId41" o:title=""/>
            <o:lock v:ext="edit" aspectratio="t"/>
            <w10:wrap type="none"/>
            <w10:anchorlock/>
          </v:shape>
          <o:OLEObject Type="Embed" ProgID="Equation.3" ShapeID="_x0000_i1025" DrawAspect="Content" ObjectID="_1468075725" r:id="rId40">
            <o:LockedField>false</o:LockedField>
          </o:OLEObject>
        </w:object>
      </w:r>
    </w:p>
    <w:p w14:paraId="354F08F4">
      <w:pPr>
        <w:pStyle w:val="3"/>
        <w:ind w:firstLine="480"/>
        <w:rPr>
          <w:color w:val="auto"/>
          <w:highlight w:val="none"/>
        </w:rPr>
      </w:pPr>
      <w:r>
        <w:rPr>
          <w:color w:val="auto"/>
          <w:highlight w:val="none"/>
        </w:rPr>
        <w:t>式中：S</w:t>
      </w:r>
      <w:r>
        <w:rPr>
          <w:color w:val="auto"/>
          <w:highlight w:val="none"/>
          <w:vertAlign w:val="subscript"/>
        </w:rPr>
        <w:t>i—i</w:t>
      </w:r>
      <w:r>
        <w:rPr>
          <w:color w:val="auto"/>
          <w:highlight w:val="none"/>
        </w:rPr>
        <w:t>污染物单因子污染指数；</w:t>
      </w:r>
    </w:p>
    <w:p w14:paraId="34175AA6">
      <w:pPr>
        <w:pStyle w:val="3"/>
        <w:ind w:firstLine="480"/>
        <w:rPr>
          <w:color w:val="auto"/>
          <w:highlight w:val="none"/>
        </w:rPr>
      </w:pPr>
      <w:r>
        <w:rPr>
          <w:color w:val="auto"/>
          <w:highlight w:val="none"/>
        </w:rPr>
        <w:t>C</w:t>
      </w:r>
      <w:r>
        <w:rPr>
          <w:color w:val="auto"/>
          <w:highlight w:val="none"/>
          <w:vertAlign w:val="subscript"/>
        </w:rPr>
        <w:t>i—i</w:t>
      </w:r>
      <w:r>
        <w:rPr>
          <w:color w:val="auto"/>
          <w:highlight w:val="none"/>
        </w:rPr>
        <w:t>污染物的实测浓度均值，mg/l；</w:t>
      </w:r>
    </w:p>
    <w:p w14:paraId="7EFD5C41">
      <w:pPr>
        <w:pStyle w:val="3"/>
        <w:ind w:firstLine="480"/>
        <w:rPr>
          <w:color w:val="auto"/>
          <w:highlight w:val="none"/>
        </w:rPr>
      </w:pPr>
      <w:r>
        <w:rPr>
          <w:color w:val="auto"/>
          <w:highlight w:val="none"/>
        </w:rPr>
        <w:t>Csi—i污染物评价标准值，mg/l；</w:t>
      </w:r>
    </w:p>
    <w:p w14:paraId="58C93487">
      <w:pPr>
        <w:pStyle w:val="3"/>
        <w:ind w:firstLine="480"/>
        <w:rPr>
          <w:color w:val="auto"/>
          <w:highlight w:val="none"/>
        </w:rPr>
      </w:pPr>
      <w:r>
        <w:rPr>
          <w:color w:val="auto"/>
          <w:highlight w:val="none"/>
        </w:rPr>
        <w:t>pH值单值质量指数模式为：</w:t>
      </w:r>
    </w:p>
    <w:p w14:paraId="70EF9513">
      <w:pPr>
        <w:snapToGrid w:val="0"/>
        <w:spacing w:line="360" w:lineRule="auto"/>
        <w:ind w:firstLine="0" w:firstLineChars="0"/>
        <w:jc w:val="center"/>
        <w:rPr>
          <w:color w:val="auto"/>
          <w:highlight w:val="none"/>
        </w:rPr>
      </w:pPr>
      <w:r>
        <w:rPr>
          <w:color w:val="auto"/>
          <w:position w:val="-10"/>
          <w:highlight w:val="none"/>
        </w:rPr>
        <w:object>
          <v:shape id="_x0000_i1026" o:spt="75" type="#_x0000_t75" style="height:15.6pt;width:24pt;" o:ole="t" fillcolor="#000011" filled="f" o:preferrelative="t" stroked="f" coordsize="21600,21600">
            <v:path/>
            <v:fill on="f" focussize="0,0"/>
            <v:stroke on="f" joinstyle="miter"/>
            <v:imagedata r:id="rId43" o:title=""/>
            <o:lock v:ext="edit" aspectratio="t"/>
            <w10:wrap type="none"/>
            <w10:anchorlock/>
          </v:shape>
          <o:OLEObject Type="Embed" ProgID="Equation.3" ShapeID="_x0000_i1026" DrawAspect="Content" ObjectID="_1468075726" r:id="rId42">
            <o:LockedField>false</o:LockedField>
          </o:OLEObject>
        </w:object>
      </w:r>
      <w:r>
        <w:rPr>
          <w:color w:val="auto"/>
          <w:highlight w:val="none"/>
        </w:rPr>
        <w:t>≤7.0时：</w:t>
      </w:r>
      <w:r>
        <w:rPr>
          <w:color w:val="auto"/>
          <w:position w:val="-30"/>
          <w:highlight w:val="none"/>
        </w:rPr>
        <w:object>
          <v:shape id="_x0000_i1027" o:spt="75" type="#_x0000_t75" style="height:35.4pt;width:93pt;" o:ole="t" fillcolor="#000011" filled="f" o:preferrelative="t" stroked="f" coordsize="21600,21600">
            <v:path/>
            <v:fill on="f" focussize="0,0"/>
            <v:stroke on="f" joinstyle="miter"/>
            <v:imagedata r:id="rId45" o:title=""/>
            <o:lock v:ext="edit" aspectratio="t"/>
            <w10:wrap type="none"/>
            <w10:anchorlock/>
          </v:shape>
          <o:OLEObject Type="Embed" ProgID="Equation.3" ShapeID="_x0000_i1027" DrawAspect="Content" ObjectID="_1468075727" r:id="rId44">
            <o:LockedField>false</o:LockedField>
          </o:OLEObject>
        </w:object>
      </w:r>
    </w:p>
    <w:p w14:paraId="3236F576">
      <w:pPr>
        <w:pStyle w:val="3"/>
        <w:tabs>
          <w:tab w:val="left" w:pos="415"/>
        </w:tabs>
        <w:spacing w:line="240" w:lineRule="auto"/>
        <w:ind w:firstLine="480"/>
        <w:rPr>
          <w:color w:val="auto"/>
          <w:highlight w:val="none"/>
        </w:rPr>
      </w:pPr>
      <w:r>
        <w:rPr>
          <w:rFonts w:hint="eastAsia"/>
          <w:color w:val="auto"/>
          <w:position w:val="-10"/>
          <w:highlight w:val="none"/>
        </w:rPr>
        <w:tab/>
      </w:r>
      <w:r>
        <w:rPr>
          <w:rFonts w:hint="eastAsia"/>
          <w:color w:val="auto"/>
          <w:position w:val="-10"/>
          <w:highlight w:val="none"/>
        </w:rPr>
        <w:t xml:space="preserve">              </w:t>
      </w:r>
      <w:r>
        <w:rPr>
          <w:color w:val="auto"/>
          <w:position w:val="-10"/>
          <w:highlight w:val="none"/>
        </w:rPr>
        <w:object>
          <v:shape id="_x0000_i1028" o:spt="75" type="#_x0000_t75" style="height:15.6pt;width:24pt;" o:ole="t" fillcolor="#000011" filled="f" o:preferrelative="t" stroked="f" coordsize="21600,21600">
            <v:path/>
            <v:fill on="f" focussize="0,0"/>
            <v:stroke on="f" joinstyle="miter"/>
            <v:imagedata r:id="rId47" o:title=""/>
            <o:lock v:ext="edit" aspectratio="t"/>
            <w10:wrap type="none"/>
            <w10:anchorlock/>
          </v:shape>
          <o:OLEObject Type="Embed" ProgID="Equation.3" ShapeID="_x0000_i1028" DrawAspect="Content" ObjectID="_1468075728" r:id="rId46">
            <o:LockedField>false</o:LockedField>
          </o:OLEObject>
        </w:object>
      </w:r>
      <w:r>
        <w:rPr>
          <w:color w:val="auto"/>
          <w:highlight w:val="none"/>
        </w:rPr>
        <w:t>＞7.0时：</w:t>
      </w:r>
      <w:r>
        <w:rPr>
          <w:rFonts w:hint="eastAsia"/>
          <w:color w:val="auto"/>
          <w:highlight w:val="none"/>
        </w:rPr>
        <w:drawing>
          <wp:inline distT="0" distB="0" distL="114300" distR="114300">
            <wp:extent cx="1190625" cy="428625"/>
            <wp:effectExtent l="0" t="0" r="9525" b="8890"/>
            <wp:docPr id="81491772" name="图片 8149177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91772" name="图片 81491772" descr="图片1"/>
                    <pic:cNvPicPr>
                      <a:picLocks noChangeAspect="1"/>
                    </pic:cNvPicPr>
                  </pic:nvPicPr>
                  <pic:blipFill>
                    <a:blip r:embed="rId48"/>
                    <a:stretch>
                      <a:fillRect/>
                    </a:stretch>
                  </pic:blipFill>
                  <pic:spPr>
                    <a:xfrm>
                      <a:off x="0" y="0"/>
                      <a:ext cx="1190625" cy="428625"/>
                    </a:xfrm>
                    <a:prstGeom prst="rect">
                      <a:avLst/>
                    </a:prstGeom>
                  </pic:spPr>
                </pic:pic>
              </a:graphicData>
            </a:graphic>
          </wp:inline>
        </w:drawing>
      </w:r>
    </w:p>
    <w:p w14:paraId="01737794">
      <w:pPr>
        <w:pStyle w:val="3"/>
        <w:ind w:firstLine="480"/>
        <w:rPr>
          <w:color w:val="auto"/>
          <w:highlight w:val="none"/>
        </w:rPr>
      </w:pPr>
      <w:r>
        <w:rPr>
          <w:color w:val="auto"/>
          <w:highlight w:val="none"/>
        </w:rPr>
        <w:t>式中：SpH—pH值评价指数；</w:t>
      </w:r>
    </w:p>
    <w:p w14:paraId="45BF15B9">
      <w:pPr>
        <w:pStyle w:val="3"/>
        <w:ind w:firstLine="480"/>
        <w:rPr>
          <w:color w:val="auto"/>
          <w:highlight w:val="none"/>
        </w:rPr>
      </w:pPr>
      <w:r>
        <w:rPr>
          <w:color w:val="auto"/>
          <w:highlight w:val="none"/>
        </w:rPr>
        <w:t>pH</w:t>
      </w:r>
      <w:r>
        <w:rPr>
          <w:color w:val="auto"/>
          <w:highlight w:val="none"/>
          <w:vertAlign w:val="subscript"/>
        </w:rPr>
        <w:t>i</w:t>
      </w:r>
      <w:r>
        <w:rPr>
          <w:color w:val="auto"/>
          <w:highlight w:val="none"/>
        </w:rPr>
        <w:t>—i点实测pH值；</w:t>
      </w:r>
    </w:p>
    <w:p w14:paraId="4EB13372">
      <w:pPr>
        <w:pStyle w:val="3"/>
        <w:ind w:firstLine="480"/>
        <w:rPr>
          <w:color w:val="auto"/>
          <w:highlight w:val="none"/>
        </w:rPr>
      </w:pPr>
      <w:r>
        <w:rPr>
          <w:color w:val="auto"/>
          <w:highlight w:val="none"/>
        </w:rPr>
        <w:t>pH</w:t>
      </w:r>
      <w:r>
        <w:rPr>
          <w:color w:val="auto"/>
          <w:highlight w:val="none"/>
          <w:vertAlign w:val="subscript"/>
        </w:rPr>
        <w:t>sd</w:t>
      </w:r>
      <w:r>
        <w:rPr>
          <w:color w:val="auto"/>
          <w:highlight w:val="none"/>
        </w:rPr>
        <w:t>—标准中pH的下限值（6.5）；</w:t>
      </w:r>
    </w:p>
    <w:p w14:paraId="7F0F8E87">
      <w:pPr>
        <w:pStyle w:val="3"/>
        <w:ind w:firstLine="480"/>
        <w:rPr>
          <w:color w:val="auto"/>
          <w:highlight w:val="none"/>
        </w:rPr>
      </w:pPr>
      <w:r>
        <w:rPr>
          <w:color w:val="auto"/>
          <w:highlight w:val="none"/>
        </w:rPr>
        <w:t>pH</w:t>
      </w:r>
      <w:r>
        <w:rPr>
          <w:color w:val="auto"/>
          <w:highlight w:val="none"/>
          <w:vertAlign w:val="subscript"/>
        </w:rPr>
        <w:t>su</w:t>
      </w:r>
      <w:r>
        <w:rPr>
          <w:color w:val="auto"/>
          <w:highlight w:val="none"/>
        </w:rPr>
        <w:t>—标准中pH的上限值（8.5）。</w:t>
      </w:r>
    </w:p>
    <w:p w14:paraId="12DBC363">
      <w:pPr>
        <w:pStyle w:val="3"/>
        <w:ind w:firstLine="480"/>
        <w:rPr>
          <w:color w:val="auto"/>
          <w:highlight w:val="none"/>
        </w:rPr>
      </w:pPr>
      <w:r>
        <w:rPr>
          <w:color w:val="auto"/>
          <w:highlight w:val="none"/>
        </w:rPr>
        <w:t>⑤评价标准</w:t>
      </w:r>
    </w:p>
    <w:p w14:paraId="13E367A3">
      <w:pPr>
        <w:pStyle w:val="3"/>
        <w:ind w:firstLine="480"/>
        <w:rPr>
          <w:color w:val="auto"/>
          <w:highlight w:val="none"/>
        </w:rPr>
      </w:pPr>
      <w:r>
        <w:rPr>
          <w:color w:val="auto"/>
          <w:highlight w:val="none"/>
        </w:rPr>
        <w:t>执行地下水质量执行《地下水质量标准》（GB/T14848-2017）中Ⅲ类标准。</w:t>
      </w:r>
    </w:p>
    <w:p w14:paraId="160B944F">
      <w:pPr>
        <w:pStyle w:val="3"/>
        <w:ind w:firstLine="480"/>
        <w:rPr>
          <w:color w:val="auto"/>
          <w:highlight w:val="none"/>
        </w:rPr>
      </w:pPr>
      <w:r>
        <w:rPr>
          <w:color w:val="auto"/>
          <w:highlight w:val="none"/>
        </w:rPr>
        <w:t>⑥监测数据和评价结果</w:t>
      </w:r>
    </w:p>
    <w:p w14:paraId="5AD91EA7">
      <w:pPr>
        <w:pStyle w:val="3"/>
        <w:ind w:firstLine="480"/>
        <w:rPr>
          <w:rFonts w:hint="eastAsia"/>
          <w:color w:val="auto"/>
          <w:highlight w:val="none"/>
        </w:rPr>
        <w:sectPr>
          <w:pgSz w:w="11900" w:h="16840"/>
          <w:pgMar w:top="1440" w:right="1803" w:bottom="1440" w:left="1803" w:header="1020" w:footer="673" w:gutter="0"/>
          <w:pgBorders>
            <w:top w:val="none" w:sz="0" w:space="0"/>
            <w:left w:val="none" w:sz="0" w:space="0"/>
            <w:bottom w:val="none" w:sz="0" w:space="0"/>
            <w:right w:val="none" w:sz="0" w:space="0"/>
          </w:pgBorders>
          <w:cols w:space="720" w:num="1"/>
          <w:docGrid w:linePitch="326" w:charSpace="0"/>
        </w:sectPr>
      </w:pPr>
      <w:r>
        <w:rPr>
          <w:color w:val="auto"/>
          <w:highlight w:val="none"/>
        </w:rPr>
        <w:t>地下水监测及评价结果见表4.2-7</w:t>
      </w:r>
    </w:p>
    <w:p w14:paraId="42C17484">
      <w:pPr>
        <w:pStyle w:val="40"/>
        <w:spacing w:before="24" w:after="24"/>
        <w:rPr>
          <w:color w:val="auto"/>
          <w:highlight w:val="none"/>
        </w:rPr>
      </w:pPr>
      <w:r>
        <w:rPr>
          <w:color w:val="auto"/>
          <w:highlight w:val="none"/>
        </w:rPr>
        <w:t>表4.2-7     地下水监测及评价结果</w:t>
      </w:r>
    </w:p>
    <w:tbl>
      <w:tblPr>
        <w:tblStyle w:val="26"/>
        <w:tblW w:w="4994"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591"/>
        <w:gridCol w:w="1433"/>
        <w:gridCol w:w="814"/>
        <w:gridCol w:w="1027"/>
        <w:gridCol w:w="900"/>
        <w:gridCol w:w="1027"/>
        <w:gridCol w:w="900"/>
        <w:gridCol w:w="1027"/>
        <w:gridCol w:w="900"/>
        <w:gridCol w:w="1225"/>
        <w:gridCol w:w="1225"/>
        <w:gridCol w:w="1225"/>
        <w:gridCol w:w="1225"/>
        <w:gridCol w:w="1259"/>
      </w:tblGrid>
      <w:tr w14:paraId="3067505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vMerge w:val="restart"/>
            <w:tcBorders>
              <w:tl2br w:val="nil"/>
              <w:tr2bl w:val="nil"/>
            </w:tcBorders>
            <w:vAlign w:val="center"/>
          </w:tcPr>
          <w:p w14:paraId="129FCD4A">
            <w:pPr>
              <w:pStyle w:val="41"/>
              <w:widowControl w:val="0"/>
              <w:rPr>
                <w:color w:val="auto"/>
                <w:highlight w:val="none"/>
              </w:rPr>
            </w:pPr>
            <w:r>
              <w:rPr>
                <w:color w:val="auto"/>
                <w:highlight w:val="none"/>
              </w:rPr>
              <w:t>序号</w:t>
            </w:r>
          </w:p>
        </w:tc>
        <w:tc>
          <w:tcPr>
            <w:tcW w:w="484" w:type="pct"/>
            <w:vMerge w:val="restart"/>
            <w:tcBorders>
              <w:tl2br w:val="nil"/>
              <w:tr2bl w:val="nil"/>
            </w:tcBorders>
            <w:vAlign w:val="center"/>
          </w:tcPr>
          <w:p w14:paraId="1793417D">
            <w:pPr>
              <w:pStyle w:val="41"/>
              <w:widowControl w:val="0"/>
              <w:rPr>
                <w:color w:val="auto"/>
                <w:highlight w:val="none"/>
              </w:rPr>
            </w:pPr>
            <w:r>
              <w:rPr>
                <w:color w:val="auto"/>
                <w:highlight w:val="none"/>
              </w:rPr>
              <w:t>监测项目</w:t>
            </w:r>
          </w:p>
        </w:tc>
        <w:tc>
          <w:tcPr>
            <w:tcW w:w="275" w:type="pct"/>
            <w:vMerge w:val="restart"/>
            <w:tcBorders>
              <w:tl2br w:val="nil"/>
              <w:tr2bl w:val="nil"/>
            </w:tcBorders>
            <w:vAlign w:val="center"/>
          </w:tcPr>
          <w:p w14:paraId="07441555">
            <w:pPr>
              <w:pStyle w:val="41"/>
              <w:widowControl w:val="0"/>
              <w:rPr>
                <w:color w:val="auto"/>
                <w:highlight w:val="none"/>
              </w:rPr>
            </w:pPr>
            <w:r>
              <w:rPr>
                <w:color w:val="auto"/>
                <w:highlight w:val="none"/>
              </w:rPr>
              <w:t>单位</w:t>
            </w:r>
          </w:p>
        </w:tc>
        <w:tc>
          <w:tcPr>
            <w:tcW w:w="651" w:type="pct"/>
            <w:gridSpan w:val="2"/>
            <w:tcBorders>
              <w:tl2br w:val="nil"/>
              <w:tr2bl w:val="nil"/>
            </w:tcBorders>
            <w:vAlign w:val="center"/>
          </w:tcPr>
          <w:p w14:paraId="59F304D7">
            <w:pPr>
              <w:pStyle w:val="41"/>
              <w:widowControl w:val="0"/>
              <w:rPr>
                <w:color w:val="auto"/>
                <w:highlight w:val="none"/>
              </w:rPr>
            </w:pPr>
            <w:r>
              <w:rPr>
                <w:rFonts w:hint="eastAsia"/>
                <w:color w:val="auto"/>
                <w:highlight w:val="none"/>
              </w:rPr>
              <w:t>GW</w:t>
            </w:r>
            <w:r>
              <w:rPr>
                <w:color w:val="auto"/>
                <w:highlight w:val="none"/>
              </w:rPr>
              <w:t>1</w:t>
            </w:r>
          </w:p>
        </w:tc>
        <w:tc>
          <w:tcPr>
            <w:tcW w:w="651" w:type="pct"/>
            <w:gridSpan w:val="2"/>
            <w:tcBorders>
              <w:tl2br w:val="nil"/>
              <w:tr2bl w:val="nil"/>
            </w:tcBorders>
            <w:vAlign w:val="center"/>
          </w:tcPr>
          <w:p w14:paraId="5B0D9754">
            <w:pPr>
              <w:pStyle w:val="41"/>
              <w:widowControl w:val="0"/>
              <w:rPr>
                <w:color w:val="auto"/>
                <w:highlight w:val="none"/>
              </w:rPr>
            </w:pPr>
            <w:r>
              <w:rPr>
                <w:rFonts w:hint="eastAsia"/>
                <w:color w:val="auto"/>
                <w:highlight w:val="none"/>
              </w:rPr>
              <w:t>GW</w:t>
            </w:r>
            <w:r>
              <w:rPr>
                <w:color w:val="auto"/>
                <w:highlight w:val="none"/>
              </w:rPr>
              <w:t>2</w:t>
            </w:r>
          </w:p>
        </w:tc>
        <w:tc>
          <w:tcPr>
            <w:tcW w:w="651" w:type="pct"/>
            <w:gridSpan w:val="2"/>
            <w:tcBorders>
              <w:tl2br w:val="nil"/>
              <w:tr2bl w:val="nil"/>
            </w:tcBorders>
            <w:vAlign w:val="center"/>
          </w:tcPr>
          <w:p w14:paraId="33734895">
            <w:pPr>
              <w:pStyle w:val="41"/>
              <w:widowControl w:val="0"/>
              <w:rPr>
                <w:color w:val="auto"/>
                <w:highlight w:val="none"/>
              </w:rPr>
            </w:pPr>
            <w:r>
              <w:rPr>
                <w:rFonts w:hint="eastAsia"/>
                <w:color w:val="auto"/>
                <w:highlight w:val="none"/>
              </w:rPr>
              <w:t>GW</w:t>
            </w:r>
            <w:r>
              <w:rPr>
                <w:color w:val="auto"/>
                <w:highlight w:val="none"/>
              </w:rPr>
              <w:t>3</w:t>
            </w:r>
          </w:p>
        </w:tc>
        <w:tc>
          <w:tcPr>
            <w:tcW w:w="828" w:type="pct"/>
            <w:gridSpan w:val="2"/>
            <w:tcBorders>
              <w:tl2br w:val="nil"/>
              <w:tr2bl w:val="nil"/>
            </w:tcBorders>
            <w:vAlign w:val="center"/>
          </w:tcPr>
          <w:p w14:paraId="68B45883">
            <w:pPr>
              <w:pStyle w:val="41"/>
              <w:widowControl w:val="0"/>
              <w:rPr>
                <w:color w:val="auto"/>
                <w:highlight w:val="none"/>
              </w:rPr>
            </w:pPr>
            <w:r>
              <w:rPr>
                <w:rFonts w:hint="eastAsia"/>
                <w:color w:val="auto"/>
                <w:highlight w:val="none"/>
              </w:rPr>
              <w:t>GW4</w:t>
            </w:r>
          </w:p>
        </w:tc>
        <w:tc>
          <w:tcPr>
            <w:tcW w:w="828" w:type="pct"/>
            <w:gridSpan w:val="2"/>
            <w:tcBorders>
              <w:tl2br w:val="nil"/>
              <w:tr2bl w:val="nil"/>
            </w:tcBorders>
            <w:vAlign w:val="center"/>
          </w:tcPr>
          <w:p w14:paraId="69B4985E">
            <w:pPr>
              <w:pStyle w:val="41"/>
              <w:widowControl w:val="0"/>
              <w:rPr>
                <w:color w:val="auto"/>
                <w:highlight w:val="none"/>
              </w:rPr>
            </w:pPr>
            <w:r>
              <w:rPr>
                <w:rFonts w:hint="eastAsia"/>
                <w:color w:val="auto"/>
                <w:highlight w:val="none"/>
              </w:rPr>
              <w:t>GW5</w:t>
            </w:r>
          </w:p>
        </w:tc>
        <w:tc>
          <w:tcPr>
            <w:tcW w:w="425" w:type="pct"/>
            <w:vMerge w:val="restart"/>
            <w:tcBorders>
              <w:tl2br w:val="nil"/>
              <w:tr2bl w:val="nil"/>
            </w:tcBorders>
            <w:vAlign w:val="center"/>
          </w:tcPr>
          <w:p w14:paraId="504634E0">
            <w:pPr>
              <w:pStyle w:val="41"/>
              <w:widowControl w:val="0"/>
              <w:rPr>
                <w:color w:val="auto"/>
                <w:highlight w:val="none"/>
              </w:rPr>
            </w:pPr>
            <w:r>
              <w:rPr>
                <w:color w:val="auto"/>
                <w:highlight w:val="none"/>
              </w:rPr>
              <w:t>标准</w:t>
            </w:r>
          </w:p>
        </w:tc>
      </w:tr>
      <w:tr w14:paraId="0FEFB1B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vMerge w:val="continue"/>
            <w:tcBorders>
              <w:tl2br w:val="nil"/>
              <w:tr2bl w:val="nil"/>
            </w:tcBorders>
            <w:vAlign w:val="center"/>
          </w:tcPr>
          <w:p w14:paraId="0681E0B7">
            <w:pPr>
              <w:pStyle w:val="41"/>
              <w:widowControl w:val="0"/>
              <w:rPr>
                <w:color w:val="auto"/>
                <w:highlight w:val="none"/>
              </w:rPr>
            </w:pPr>
          </w:p>
        </w:tc>
        <w:tc>
          <w:tcPr>
            <w:tcW w:w="484" w:type="pct"/>
            <w:vMerge w:val="continue"/>
            <w:tcBorders>
              <w:tl2br w:val="nil"/>
              <w:tr2bl w:val="nil"/>
            </w:tcBorders>
            <w:vAlign w:val="center"/>
          </w:tcPr>
          <w:p w14:paraId="3F968E6B">
            <w:pPr>
              <w:pStyle w:val="41"/>
              <w:widowControl w:val="0"/>
              <w:rPr>
                <w:color w:val="auto"/>
                <w:highlight w:val="none"/>
              </w:rPr>
            </w:pPr>
          </w:p>
        </w:tc>
        <w:tc>
          <w:tcPr>
            <w:tcW w:w="275" w:type="pct"/>
            <w:vMerge w:val="continue"/>
            <w:tcBorders>
              <w:tl2br w:val="nil"/>
              <w:tr2bl w:val="nil"/>
            </w:tcBorders>
            <w:vAlign w:val="center"/>
          </w:tcPr>
          <w:p w14:paraId="0DE272B8">
            <w:pPr>
              <w:pStyle w:val="41"/>
              <w:widowControl w:val="0"/>
              <w:rPr>
                <w:color w:val="auto"/>
                <w:highlight w:val="none"/>
              </w:rPr>
            </w:pPr>
          </w:p>
        </w:tc>
        <w:tc>
          <w:tcPr>
            <w:tcW w:w="347" w:type="pct"/>
            <w:tcBorders>
              <w:tl2br w:val="nil"/>
              <w:tr2bl w:val="nil"/>
            </w:tcBorders>
            <w:vAlign w:val="center"/>
          </w:tcPr>
          <w:p w14:paraId="4357BA23">
            <w:pPr>
              <w:pStyle w:val="41"/>
              <w:widowControl w:val="0"/>
              <w:rPr>
                <w:color w:val="auto"/>
                <w:highlight w:val="none"/>
              </w:rPr>
            </w:pPr>
            <w:r>
              <w:rPr>
                <w:color w:val="auto"/>
                <w:highlight w:val="none"/>
              </w:rPr>
              <w:t>监测值</w:t>
            </w:r>
          </w:p>
        </w:tc>
        <w:tc>
          <w:tcPr>
            <w:tcW w:w="304" w:type="pct"/>
            <w:tcBorders>
              <w:tl2br w:val="nil"/>
              <w:tr2bl w:val="nil"/>
            </w:tcBorders>
            <w:vAlign w:val="center"/>
          </w:tcPr>
          <w:p w14:paraId="178C9A86">
            <w:pPr>
              <w:pStyle w:val="41"/>
              <w:widowControl w:val="0"/>
              <w:rPr>
                <w:color w:val="auto"/>
                <w:highlight w:val="none"/>
              </w:rPr>
            </w:pPr>
            <w:r>
              <w:rPr>
                <w:color w:val="auto"/>
                <w:highlight w:val="none"/>
              </w:rPr>
              <w:t>评价值</w:t>
            </w:r>
          </w:p>
        </w:tc>
        <w:tc>
          <w:tcPr>
            <w:tcW w:w="347" w:type="pct"/>
            <w:tcBorders>
              <w:tl2br w:val="nil"/>
              <w:tr2bl w:val="nil"/>
            </w:tcBorders>
            <w:vAlign w:val="center"/>
          </w:tcPr>
          <w:p w14:paraId="0810B6F0">
            <w:pPr>
              <w:pStyle w:val="41"/>
              <w:widowControl w:val="0"/>
              <w:rPr>
                <w:color w:val="auto"/>
                <w:highlight w:val="none"/>
              </w:rPr>
            </w:pPr>
            <w:r>
              <w:rPr>
                <w:color w:val="auto"/>
                <w:highlight w:val="none"/>
              </w:rPr>
              <w:t>监测值</w:t>
            </w:r>
          </w:p>
        </w:tc>
        <w:tc>
          <w:tcPr>
            <w:tcW w:w="304" w:type="pct"/>
            <w:tcBorders>
              <w:tl2br w:val="nil"/>
              <w:tr2bl w:val="nil"/>
            </w:tcBorders>
            <w:vAlign w:val="center"/>
          </w:tcPr>
          <w:p w14:paraId="0446C7C5">
            <w:pPr>
              <w:pStyle w:val="41"/>
              <w:widowControl w:val="0"/>
              <w:rPr>
                <w:color w:val="auto"/>
                <w:highlight w:val="none"/>
              </w:rPr>
            </w:pPr>
            <w:r>
              <w:rPr>
                <w:color w:val="auto"/>
                <w:highlight w:val="none"/>
              </w:rPr>
              <w:t>评价值</w:t>
            </w:r>
          </w:p>
        </w:tc>
        <w:tc>
          <w:tcPr>
            <w:tcW w:w="347" w:type="pct"/>
            <w:tcBorders>
              <w:tl2br w:val="nil"/>
              <w:tr2bl w:val="nil"/>
            </w:tcBorders>
            <w:vAlign w:val="center"/>
          </w:tcPr>
          <w:p w14:paraId="2A6A74FC">
            <w:pPr>
              <w:pStyle w:val="41"/>
              <w:widowControl w:val="0"/>
              <w:rPr>
                <w:color w:val="auto"/>
                <w:highlight w:val="none"/>
              </w:rPr>
            </w:pPr>
            <w:r>
              <w:rPr>
                <w:color w:val="auto"/>
                <w:highlight w:val="none"/>
              </w:rPr>
              <w:t>监测值</w:t>
            </w:r>
          </w:p>
        </w:tc>
        <w:tc>
          <w:tcPr>
            <w:tcW w:w="304" w:type="pct"/>
            <w:tcBorders>
              <w:tl2br w:val="nil"/>
              <w:tr2bl w:val="nil"/>
            </w:tcBorders>
            <w:vAlign w:val="center"/>
          </w:tcPr>
          <w:p w14:paraId="5116A5A9">
            <w:pPr>
              <w:pStyle w:val="41"/>
              <w:widowControl w:val="0"/>
              <w:rPr>
                <w:color w:val="auto"/>
                <w:highlight w:val="none"/>
              </w:rPr>
            </w:pPr>
            <w:r>
              <w:rPr>
                <w:color w:val="auto"/>
                <w:highlight w:val="none"/>
              </w:rPr>
              <w:t>评价值</w:t>
            </w:r>
          </w:p>
        </w:tc>
        <w:tc>
          <w:tcPr>
            <w:tcW w:w="414" w:type="pct"/>
            <w:tcBorders>
              <w:tl2br w:val="nil"/>
              <w:tr2bl w:val="nil"/>
            </w:tcBorders>
            <w:vAlign w:val="center"/>
          </w:tcPr>
          <w:p w14:paraId="6CDE347C">
            <w:pPr>
              <w:pStyle w:val="41"/>
              <w:widowControl w:val="0"/>
              <w:rPr>
                <w:color w:val="auto"/>
                <w:highlight w:val="none"/>
              </w:rPr>
            </w:pPr>
            <w:r>
              <w:rPr>
                <w:color w:val="auto"/>
                <w:highlight w:val="none"/>
              </w:rPr>
              <w:t>监测值</w:t>
            </w:r>
          </w:p>
        </w:tc>
        <w:tc>
          <w:tcPr>
            <w:tcW w:w="414" w:type="pct"/>
            <w:tcBorders>
              <w:tl2br w:val="nil"/>
              <w:tr2bl w:val="nil"/>
            </w:tcBorders>
            <w:vAlign w:val="center"/>
          </w:tcPr>
          <w:p w14:paraId="23906F10">
            <w:pPr>
              <w:pStyle w:val="41"/>
              <w:widowControl w:val="0"/>
              <w:rPr>
                <w:color w:val="auto"/>
                <w:highlight w:val="none"/>
              </w:rPr>
            </w:pPr>
            <w:r>
              <w:rPr>
                <w:color w:val="auto"/>
                <w:highlight w:val="none"/>
              </w:rPr>
              <w:t>评价值</w:t>
            </w:r>
          </w:p>
        </w:tc>
        <w:tc>
          <w:tcPr>
            <w:tcW w:w="414" w:type="pct"/>
            <w:tcBorders>
              <w:tl2br w:val="nil"/>
              <w:tr2bl w:val="nil"/>
            </w:tcBorders>
            <w:vAlign w:val="center"/>
          </w:tcPr>
          <w:p w14:paraId="77016F95">
            <w:pPr>
              <w:pStyle w:val="41"/>
              <w:widowControl w:val="0"/>
              <w:rPr>
                <w:color w:val="auto"/>
                <w:highlight w:val="none"/>
              </w:rPr>
            </w:pPr>
            <w:r>
              <w:rPr>
                <w:color w:val="auto"/>
                <w:highlight w:val="none"/>
              </w:rPr>
              <w:t>监测值</w:t>
            </w:r>
          </w:p>
        </w:tc>
        <w:tc>
          <w:tcPr>
            <w:tcW w:w="414" w:type="pct"/>
            <w:tcBorders>
              <w:tl2br w:val="nil"/>
              <w:tr2bl w:val="nil"/>
            </w:tcBorders>
            <w:vAlign w:val="center"/>
          </w:tcPr>
          <w:p w14:paraId="0D229EDE">
            <w:pPr>
              <w:pStyle w:val="41"/>
              <w:widowControl w:val="0"/>
              <w:rPr>
                <w:color w:val="auto"/>
                <w:highlight w:val="none"/>
              </w:rPr>
            </w:pPr>
            <w:r>
              <w:rPr>
                <w:color w:val="auto"/>
                <w:highlight w:val="none"/>
              </w:rPr>
              <w:t>评价值</w:t>
            </w:r>
          </w:p>
        </w:tc>
        <w:tc>
          <w:tcPr>
            <w:tcW w:w="425" w:type="pct"/>
            <w:vMerge w:val="continue"/>
            <w:tcBorders>
              <w:tl2br w:val="nil"/>
              <w:tr2bl w:val="nil"/>
            </w:tcBorders>
            <w:vAlign w:val="center"/>
          </w:tcPr>
          <w:p w14:paraId="04356852">
            <w:pPr>
              <w:pStyle w:val="41"/>
              <w:widowControl w:val="0"/>
              <w:rPr>
                <w:color w:val="auto"/>
                <w:highlight w:val="none"/>
              </w:rPr>
            </w:pPr>
          </w:p>
        </w:tc>
      </w:tr>
      <w:tr w14:paraId="12E2525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tcBorders>
              <w:tl2br w:val="nil"/>
              <w:tr2bl w:val="nil"/>
            </w:tcBorders>
            <w:vAlign w:val="center"/>
          </w:tcPr>
          <w:p w14:paraId="79815520">
            <w:pPr>
              <w:pStyle w:val="41"/>
              <w:widowControl w:val="0"/>
              <w:rPr>
                <w:color w:val="auto"/>
                <w:highlight w:val="none"/>
              </w:rPr>
            </w:pPr>
            <w:r>
              <w:rPr>
                <w:color w:val="auto"/>
                <w:highlight w:val="none"/>
              </w:rPr>
              <w:t>1</w:t>
            </w:r>
          </w:p>
        </w:tc>
        <w:tc>
          <w:tcPr>
            <w:tcW w:w="484" w:type="pct"/>
            <w:tcBorders>
              <w:tl2br w:val="nil"/>
              <w:tr2bl w:val="nil"/>
            </w:tcBorders>
            <w:vAlign w:val="center"/>
          </w:tcPr>
          <w:p w14:paraId="71ABADCC">
            <w:pPr>
              <w:pStyle w:val="41"/>
              <w:widowControl w:val="0"/>
              <w:rPr>
                <w:color w:val="auto"/>
                <w:highlight w:val="none"/>
              </w:rPr>
            </w:pPr>
            <w:r>
              <w:rPr>
                <w:color w:val="auto"/>
                <w:highlight w:val="none"/>
              </w:rPr>
              <w:t>pH</w:t>
            </w:r>
            <w:r>
              <w:rPr>
                <w:rFonts w:hint="eastAsia"/>
                <w:color w:val="auto"/>
                <w:highlight w:val="none"/>
              </w:rPr>
              <w:t>值</w:t>
            </w:r>
          </w:p>
        </w:tc>
        <w:tc>
          <w:tcPr>
            <w:tcW w:w="275" w:type="pct"/>
            <w:tcBorders>
              <w:tl2br w:val="nil"/>
              <w:tr2bl w:val="nil"/>
            </w:tcBorders>
            <w:vAlign w:val="center"/>
          </w:tcPr>
          <w:p w14:paraId="62377101">
            <w:pPr>
              <w:pStyle w:val="41"/>
              <w:widowControl w:val="0"/>
              <w:rPr>
                <w:color w:val="auto"/>
                <w:highlight w:val="none"/>
              </w:rPr>
            </w:pPr>
            <w:r>
              <w:rPr>
                <w:rFonts w:hint="eastAsia"/>
                <w:color w:val="auto"/>
                <w:highlight w:val="none"/>
              </w:rPr>
              <w:t>无量纲</w:t>
            </w:r>
          </w:p>
        </w:tc>
        <w:tc>
          <w:tcPr>
            <w:tcW w:w="347" w:type="pct"/>
            <w:tcBorders>
              <w:tl2br w:val="nil"/>
              <w:tr2bl w:val="nil"/>
            </w:tcBorders>
            <w:vAlign w:val="center"/>
          </w:tcPr>
          <w:p w14:paraId="03F723FC">
            <w:pPr>
              <w:pStyle w:val="41"/>
              <w:widowControl w:val="0"/>
              <w:rPr>
                <w:color w:val="auto"/>
                <w:highlight w:val="none"/>
              </w:rPr>
            </w:pPr>
            <w:r>
              <w:rPr>
                <w:color w:val="auto"/>
                <w:highlight w:val="none"/>
              </w:rPr>
              <w:t>7.3</w:t>
            </w:r>
          </w:p>
        </w:tc>
        <w:tc>
          <w:tcPr>
            <w:tcW w:w="304" w:type="pct"/>
            <w:tcBorders>
              <w:tl2br w:val="nil"/>
              <w:tr2bl w:val="nil"/>
            </w:tcBorders>
            <w:vAlign w:val="center"/>
          </w:tcPr>
          <w:p w14:paraId="3B2C2E3F">
            <w:pPr>
              <w:pStyle w:val="41"/>
              <w:widowControl w:val="0"/>
              <w:rPr>
                <w:color w:val="auto"/>
                <w:highlight w:val="none"/>
              </w:rPr>
            </w:pPr>
            <w:r>
              <w:rPr>
                <w:rFonts w:hint="eastAsia"/>
                <w:color w:val="auto"/>
                <w:highlight w:val="none"/>
              </w:rPr>
              <w:t>0.2</w:t>
            </w:r>
          </w:p>
        </w:tc>
        <w:tc>
          <w:tcPr>
            <w:tcW w:w="347" w:type="pct"/>
            <w:tcBorders>
              <w:tl2br w:val="nil"/>
              <w:tr2bl w:val="nil"/>
            </w:tcBorders>
            <w:vAlign w:val="center"/>
          </w:tcPr>
          <w:p w14:paraId="28F70D77">
            <w:pPr>
              <w:pStyle w:val="41"/>
              <w:widowControl w:val="0"/>
              <w:rPr>
                <w:color w:val="auto"/>
                <w:highlight w:val="none"/>
              </w:rPr>
            </w:pPr>
            <w:r>
              <w:rPr>
                <w:color w:val="auto"/>
                <w:highlight w:val="none"/>
              </w:rPr>
              <w:t>7.2</w:t>
            </w:r>
          </w:p>
        </w:tc>
        <w:tc>
          <w:tcPr>
            <w:tcW w:w="304" w:type="pct"/>
            <w:tcBorders>
              <w:tl2br w:val="nil"/>
              <w:tr2bl w:val="nil"/>
            </w:tcBorders>
            <w:vAlign w:val="center"/>
          </w:tcPr>
          <w:p w14:paraId="28CC5B42">
            <w:pPr>
              <w:pStyle w:val="41"/>
              <w:widowControl w:val="0"/>
              <w:rPr>
                <w:color w:val="auto"/>
                <w:highlight w:val="none"/>
              </w:rPr>
            </w:pPr>
            <w:r>
              <w:rPr>
                <w:rFonts w:hint="eastAsia"/>
                <w:color w:val="auto"/>
                <w:highlight w:val="none"/>
              </w:rPr>
              <w:t>0.133</w:t>
            </w:r>
          </w:p>
        </w:tc>
        <w:tc>
          <w:tcPr>
            <w:tcW w:w="347" w:type="pct"/>
            <w:tcBorders>
              <w:tl2br w:val="nil"/>
              <w:tr2bl w:val="nil"/>
            </w:tcBorders>
            <w:vAlign w:val="center"/>
          </w:tcPr>
          <w:p w14:paraId="42D5C253">
            <w:pPr>
              <w:pStyle w:val="41"/>
              <w:widowControl w:val="0"/>
              <w:rPr>
                <w:color w:val="auto"/>
                <w:highlight w:val="none"/>
              </w:rPr>
            </w:pPr>
            <w:r>
              <w:rPr>
                <w:color w:val="auto"/>
                <w:highlight w:val="none"/>
              </w:rPr>
              <w:t>7.3</w:t>
            </w:r>
          </w:p>
        </w:tc>
        <w:tc>
          <w:tcPr>
            <w:tcW w:w="304" w:type="pct"/>
            <w:tcBorders>
              <w:tl2br w:val="nil"/>
              <w:tr2bl w:val="nil"/>
            </w:tcBorders>
            <w:vAlign w:val="center"/>
          </w:tcPr>
          <w:p w14:paraId="1D8CD1B5">
            <w:pPr>
              <w:pStyle w:val="41"/>
              <w:widowControl w:val="0"/>
              <w:rPr>
                <w:color w:val="auto"/>
                <w:highlight w:val="none"/>
              </w:rPr>
            </w:pPr>
            <w:r>
              <w:rPr>
                <w:rFonts w:hint="eastAsia"/>
                <w:color w:val="auto"/>
                <w:highlight w:val="none"/>
              </w:rPr>
              <w:t>0.2</w:t>
            </w:r>
          </w:p>
        </w:tc>
        <w:tc>
          <w:tcPr>
            <w:tcW w:w="414" w:type="pct"/>
            <w:tcBorders>
              <w:tl2br w:val="nil"/>
              <w:tr2bl w:val="nil"/>
            </w:tcBorders>
            <w:vAlign w:val="center"/>
          </w:tcPr>
          <w:p w14:paraId="3E55C147">
            <w:pPr>
              <w:pStyle w:val="41"/>
              <w:widowControl w:val="0"/>
              <w:rPr>
                <w:color w:val="auto"/>
                <w:highlight w:val="none"/>
              </w:rPr>
            </w:pPr>
            <w:r>
              <w:rPr>
                <w:color w:val="auto"/>
                <w:highlight w:val="none"/>
              </w:rPr>
              <w:t>7.4</w:t>
            </w:r>
          </w:p>
        </w:tc>
        <w:tc>
          <w:tcPr>
            <w:tcW w:w="414" w:type="pct"/>
            <w:tcBorders>
              <w:tl2br w:val="nil"/>
              <w:tr2bl w:val="nil"/>
            </w:tcBorders>
            <w:vAlign w:val="center"/>
          </w:tcPr>
          <w:p w14:paraId="7AE4A74B">
            <w:pPr>
              <w:pStyle w:val="41"/>
              <w:widowControl w:val="0"/>
              <w:rPr>
                <w:color w:val="auto"/>
                <w:highlight w:val="none"/>
              </w:rPr>
            </w:pPr>
            <w:r>
              <w:rPr>
                <w:rFonts w:hint="eastAsia"/>
                <w:color w:val="auto"/>
                <w:highlight w:val="none"/>
              </w:rPr>
              <w:t>0.267</w:t>
            </w:r>
          </w:p>
        </w:tc>
        <w:tc>
          <w:tcPr>
            <w:tcW w:w="414" w:type="pct"/>
            <w:tcBorders>
              <w:tl2br w:val="nil"/>
              <w:tr2bl w:val="nil"/>
            </w:tcBorders>
            <w:vAlign w:val="center"/>
          </w:tcPr>
          <w:p w14:paraId="30F2D4AB">
            <w:pPr>
              <w:pStyle w:val="41"/>
              <w:widowControl w:val="0"/>
              <w:rPr>
                <w:color w:val="auto"/>
                <w:highlight w:val="none"/>
              </w:rPr>
            </w:pPr>
            <w:r>
              <w:rPr>
                <w:color w:val="auto"/>
                <w:highlight w:val="none"/>
              </w:rPr>
              <w:t>7.5</w:t>
            </w:r>
          </w:p>
        </w:tc>
        <w:tc>
          <w:tcPr>
            <w:tcW w:w="414" w:type="pct"/>
            <w:tcBorders>
              <w:tl2br w:val="nil"/>
              <w:tr2bl w:val="nil"/>
            </w:tcBorders>
            <w:vAlign w:val="center"/>
          </w:tcPr>
          <w:p w14:paraId="6ED577AA">
            <w:pPr>
              <w:pStyle w:val="41"/>
              <w:widowControl w:val="0"/>
              <w:rPr>
                <w:color w:val="auto"/>
                <w:highlight w:val="none"/>
              </w:rPr>
            </w:pPr>
            <w:r>
              <w:rPr>
                <w:rFonts w:hint="eastAsia"/>
                <w:color w:val="auto"/>
                <w:highlight w:val="none"/>
              </w:rPr>
              <w:t>0.333</w:t>
            </w:r>
          </w:p>
        </w:tc>
        <w:tc>
          <w:tcPr>
            <w:tcW w:w="425" w:type="pct"/>
            <w:tcBorders>
              <w:tl2br w:val="nil"/>
              <w:tr2bl w:val="nil"/>
            </w:tcBorders>
            <w:vAlign w:val="center"/>
          </w:tcPr>
          <w:p w14:paraId="0E5CA2E8">
            <w:pPr>
              <w:pStyle w:val="41"/>
              <w:widowControl w:val="0"/>
              <w:rPr>
                <w:color w:val="auto"/>
                <w:highlight w:val="none"/>
              </w:rPr>
            </w:pPr>
            <w:r>
              <w:rPr>
                <w:color w:val="auto"/>
                <w:highlight w:val="none"/>
              </w:rPr>
              <w:t>6.5≤pH≤8.5</w:t>
            </w:r>
          </w:p>
        </w:tc>
      </w:tr>
      <w:tr w14:paraId="7473EE3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tcBorders>
              <w:tl2br w:val="nil"/>
              <w:tr2bl w:val="nil"/>
            </w:tcBorders>
            <w:vAlign w:val="center"/>
          </w:tcPr>
          <w:p w14:paraId="0F7E501E">
            <w:pPr>
              <w:pStyle w:val="41"/>
              <w:widowControl w:val="0"/>
              <w:rPr>
                <w:color w:val="auto"/>
                <w:highlight w:val="none"/>
              </w:rPr>
            </w:pPr>
            <w:r>
              <w:rPr>
                <w:color w:val="auto"/>
                <w:highlight w:val="none"/>
              </w:rPr>
              <w:t>2</w:t>
            </w:r>
          </w:p>
        </w:tc>
        <w:tc>
          <w:tcPr>
            <w:tcW w:w="484" w:type="pct"/>
            <w:tcBorders>
              <w:tl2br w:val="nil"/>
              <w:tr2bl w:val="nil"/>
            </w:tcBorders>
            <w:vAlign w:val="center"/>
          </w:tcPr>
          <w:p w14:paraId="7BD44751">
            <w:pPr>
              <w:pStyle w:val="41"/>
              <w:widowControl w:val="0"/>
              <w:rPr>
                <w:color w:val="auto"/>
                <w:highlight w:val="none"/>
              </w:rPr>
            </w:pPr>
            <w:r>
              <w:rPr>
                <w:rFonts w:hint="eastAsia"/>
                <w:color w:val="auto"/>
                <w:highlight w:val="none"/>
              </w:rPr>
              <w:t>挥发酚</w:t>
            </w:r>
          </w:p>
        </w:tc>
        <w:tc>
          <w:tcPr>
            <w:tcW w:w="275" w:type="pct"/>
            <w:tcBorders>
              <w:tl2br w:val="nil"/>
              <w:tr2bl w:val="nil"/>
            </w:tcBorders>
            <w:vAlign w:val="center"/>
          </w:tcPr>
          <w:p w14:paraId="19C0E604">
            <w:pPr>
              <w:pStyle w:val="41"/>
              <w:widowControl w:val="0"/>
              <w:rPr>
                <w:color w:val="auto"/>
                <w:highlight w:val="none"/>
              </w:rPr>
            </w:pPr>
            <w:r>
              <w:rPr>
                <w:color w:val="auto"/>
                <w:highlight w:val="none"/>
              </w:rPr>
              <w:t>mg/L</w:t>
            </w:r>
          </w:p>
        </w:tc>
        <w:tc>
          <w:tcPr>
            <w:tcW w:w="347" w:type="pct"/>
            <w:tcBorders>
              <w:tl2br w:val="nil"/>
              <w:tr2bl w:val="nil"/>
            </w:tcBorders>
            <w:vAlign w:val="center"/>
          </w:tcPr>
          <w:p w14:paraId="1844D709">
            <w:pPr>
              <w:pStyle w:val="41"/>
              <w:widowControl w:val="0"/>
              <w:rPr>
                <w:color w:val="auto"/>
                <w:highlight w:val="none"/>
              </w:rPr>
            </w:pPr>
            <w:r>
              <w:rPr>
                <w:color w:val="auto"/>
                <w:highlight w:val="none"/>
              </w:rPr>
              <w:t>0.0003L</w:t>
            </w:r>
          </w:p>
        </w:tc>
        <w:tc>
          <w:tcPr>
            <w:tcW w:w="304" w:type="pct"/>
            <w:tcBorders>
              <w:tl2br w:val="nil"/>
              <w:tr2bl w:val="nil"/>
            </w:tcBorders>
            <w:vAlign w:val="center"/>
          </w:tcPr>
          <w:p w14:paraId="23FA34DC">
            <w:pPr>
              <w:pStyle w:val="41"/>
              <w:widowControl w:val="0"/>
              <w:rPr>
                <w:color w:val="auto"/>
                <w:highlight w:val="none"/>
              </w:rPr>
            </w:pPr>
            <w:r>
              <w:rPr>
                <w:rFonts w:hint="eastAsia"/>
                <w:color w:val="auto"/>
                <w:highlight w:val="none"/>
              </w:rPr>
              <w:t>0.15</w:t>
            </w:r>
          </w:p>
        </w:tc>
        <w:tc>
          <w:tcPr>
            <w:tcW w:w="347" w:type="pct"/>
            <w:tcBorders>
              <w:tl2br w:val="nil"/>
              <w:tr2bl w:val="nil"/>
            </w:tcBorders>
            <w:vAlign w:val="center"/>
          </w:tcPr>
          <w:p w14:paraId="50CAA56D">
            <w:pPr>
              <w:pStyle w:val="41"/>
              <w:widowControl w:val="0"/>
              <w:rPr>
                <w:color w:val="auto"/>
                <w:highlight w:val="none"/>
              </w:rPr>
            </w:pPr>
            <w:r>
              <w:rPr>
                <w:color w:val="auto"/>
                <w:highlight w:val="none"/>
              </w:rPr>
              <w:t>0.0003L</w:t>
            </w:r>
          </w:p>
        </w:tc>
        <w:tc>
          <w:tcPr>
            <w:tcW w:w="304" w:type="pct"/>
            <w:tcBorders>
              <w:tl2br w:val="nil"/>
              <w:tr2bl w:val="nil"/>
            </w:tcBorders>
            <w:vAlign w:val="center"/>
          </w:tcPr>
          <w:p w14:paraId="093927B5">
            <w:pPr>
              <w:pStyle w:val="41"/>
              <w:widowControl w:val="0"/>
              <w:rPr>
                <w:color w:val="auto"/>
                <w:highlight w:val="none"/>
              </w:rPr>
            </w:pPr>
            <w:r>
              <w:rPr>
                <w:rFonts w:hint="eastAsia"/>
                <w:color w:val="auto"/>
                <w:highlight w:val="none"/>
              </w:rPr>
              <w:t>0.15</w:t>
            </w:r>
          </w:p>
        </w:tc>
        <w:tc>
          <w:tcPr>
            <w:tcW w:w="347" w:type="pct"/>
            <w:tcBorders>
              <w:tl2br w:val="nil"/>
              <w:tr2bl w:val="nil"/>
            </w:tcBorders>
            <w:vAlign w:val="center"/>
          </w:tcPr>
          <w:p w14:paraId="70B50DD0">
            <w:pPr>
              <w:pStyle w:val="41"/>
              <w:widowControl w:val="0"/>
              <w:rPr>
                <w:color w:val="auto"/>
                <w:highlight w:val="none"/>
              </w:rPr>
            </w:pPr>
            <w:r>
              <w:rPr>
                <w:color w:val="auto"/>
                <w:highlight w:val="none"/>
              </w:rPr>
              <w:t>0.0003L</w:t>
            </w:r>
          </w:p>
        </w:tc>
        <w:tc>
          <w:tcPr>
            <w:tcW w:w="304" w:type="pct"/>
            <w:tcBorders>
              <w:tl2br w:val="nil"/>
              <w:tr2bl w:val="nil"/>
            </w:tcBorders>
            <w:vAlign w:val="center"/>
          </w:tcPr>
          <w:p w14:paraId="6CDFD434">
            <w:pPr>
              <w:pStyle w:val="41"/>
              <w:widowControl w:val="0"/>
              <w:rPr>
                <w:color w:val="auto"/>
                <w:highlight w:val="none"/>
              </w:rPr>
            </w:pPr>
            <w:r>
              <w:rPr>
                <w:rFonts w:hint="eastAsia"/>
                <w:color w:val="auto"/>
                <w:highlight w:val="none"/>
              </w:rPr>
              <w:t>0.15</w:t>
            </w:r>
          </w:p>
        </w:tc>
        <w:tc>
          <w:tcPr>
            <w:tcW w:w="414" w:type="pct"/>
            <w:tcBorders>
              <w:tl2br w:val="nil"/>
              <w:tr2bl w:val="nil"/>
            </w:tcBorders>
            <w:vAlign w:val="center"/>
          </w:tcPr>
          <w:p w14:paraId="61DCC19B">
            <w:pPr>
              <w:pStyle w:val="41"/>
              <w:widowControl w:val="0"/>
              <w:rPr>
                <w:color w:val="auto"/>
                <w:highlight w:val="none"/>
              </w:rPr>
            </w:pPr>
            <w:r>
              <w:rPr>
                <w:color w:val="auto"/>
                <w:highlight w:val="none"/>
              </w:rPr>
              <w:t>0.0003L</w:t>
            </w:r>
          </w:p>
        </w:tc>
        <w:tc>
          <w:tcPr>
            <w:tcW w:w="414" w:type="pct"/>
            <w:tcBorders>
              <w:tl2br w:val="nil"/>
              <w:tr2bl w:val="nil"/>
            </w:tcBorders>
            <w:vAlign w:val="center"/>
          </w:tcPr>
          <w:p w14:paraId="6CFC34BE">
            <w:pPr>
              <w:pStyle w:val="41"/>
              <w:widowControl w:val="0"/>
              <w:rPr>
                <w:color w:val="auto"/>
                <w:highlight w:val="none"/>
              </w:rPr>
            </w:pPr>
            <w:r>
              <w:rPr>
                <w:rFonts w:hint="eastAsia"/>
                <w:color w:val="auto"/>
                <w:highlight w:val="none"/>
              </w:rPr>
              <w:t>0.15</w:t>
            </w:r>
          </w:p>
        </w:tc>
        <w:tc>
          <w:tcPr>
            <w:tcW w:w="414" w:type="pct"/>
            <w:tcBorders>
              <w:tl2br w:val="nil"/>
              <w:tr2bl w:val="nil"/>
            </w:tcBorders>
            <w:vAlign w:val="center"/>
          </w:tcPr>
          <w:p w14:paraId="22804A45">
            <w:pPr>
              <w:pStyle w:val="41"/>
              <w:widowControl w:val="0"/>
              <w:rPr>
                <w:color w:val="auto"/>
                <w:highlight w:val="none"/>
              </w:rPr>
            </w:pPr>
            <w:r>
              <w:rPr>
                <w:color w:val="auto"/>
                <w:highlight w:val="none"/>
              </w:rPr>
              <w:t>0.0003L</w:t>
            </w:r>
          </w:p>
        </w:tc>
        <w:tc>
          <w:tcPr>
            <w:tcW w:w="414" w:type="pct"/>
            <w:tcBorders>
              <w:tl2br w:val="nil"/>
              <w:tr2bl w:val="nil"/>
            </w:tcBorders>
            <w:vAlign w:val="center"/>
          </w:tcPr>
          <w:p w14:paraId="2EAE0C9D">
            <w:pPr>
              <w:pStyle w:val="41"/>
              <w:widowControl w:val="0"/>
              <w:rPr>
                <w:color w:val="auto"/>
                <w:highlight w:val="none"/>
              </w:rPr>
            </w:pPr>
            <w:r>
              <w:rPr>
                <w:rFonts w:hint="eastAsia"/>
                <w:color w:val="auto"/>
                <w:highlight w:val="none"/>
              </w:rPr>
              <w:t>0.15</w:t>
            </w:r>
          </w:p>
        </w:tc>
        <w:tc>
          <w:tcPr>
            <w:tcW w:w="425" w:type="pct"/>
            <w:tcBorders>
              <w:tl2br w:val="nil"/>
              <w:tr2bl w:val="nil"/>
            </w:tcBorders>
            <w:vAlign w:val="center"/>
          </w:tcPr>
          <w:p w14:paraId="6626AAD1">
            <w:pPr>
              <w:pStyle w:val="41"/>
              <w:widowControl w:val="0"/>
              <w:rPr>
                <w:color w:val="auto"/>
                <w:highlight w:val="none"/>
              </w:rPr>
            </w:pPr>
            <w:r>
              <w:rPr>
                <w:color w:val="auto"/>
                <w:highlight w:val="none"/>
              </w:rPr>
              <w:t>≤0.002mg/L</w:t>
            </w:r>
          </w:p>
        </w:tc>
      </w:tr>
      <w:tr w14:paraId="6E6AAF9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tcBorders>
              <w:tl2br w:val="nil"/>
              <w:tr2bl w:val="nil"/>
            </w:tcBorders>
            <w:vAlign w:val="center"/>
          </w:tcPr>
          <w:p w14:paraId="1E86891A">
            <w:pPr>
              <w:pStyle w:val="41"/>
              <w:widowControl w:val="0"/>
              <w:rPr>
                <w:color w:val="auto"/>
                <w:highlight w:val="none"/>
              </w:rPr>
            </w:pPr>
            <w:r>
              <w:rPr>
                <w:color w:val="auto"/>
                <w:highlight w:val="none"/>
              </w:rPr>
              <w:t>3</w:t>
            </w:r>
          </w:p>
        </w:tc>
        <w:tc>
          <w:tcPr>
            <w:tcW w:w="484" w:type="pct"/>
            <w:tcBorders>
              <w:tl2br w:val="nil"/>
              <w:tr2bl w:val="nil"/>
            </w:tcBorders>
            <w:vAlign w:val="center"/>
          </w:tcPr>
          <w:p w14:paraId="2A466B1C">
            <w:pPr>
              <w:pStyle w:val="41"/>
              <w:widowControl w:val="0"/>
              <w:rPr>
                <w:color w:val="auto"/>
                <w:highlight w:val="none"/>
              </w:rPr>
            </w:pPr>
            <w:r>
              <w:rPr>
                <w:rFonts w:hint="eastAsia"/>
                <w:color w:val="auto"/>
                <w:highlight w:val="none"/>
              </w:rPr>
              <w:t>镉</w:t>
            </w:r>
          </w:p>
        </w:tc>
        <w:tc>
          <w:tcPr>
            <w:tcW w:w="275" w:type="pct"/>
            <w:tcBorders>
              <w:tl2br w:val="nil"/>
              <w:tr2bl w:val="nil"/>
            </w:tcBorders>
            <w:vAlign w:val="center"/>
          </w:tcPr>
          <w:p w14:paraId="6A87E1A5">
            <w:pPr>
              <w:pStyle w:val="41"/>
              <w:widowControl w:val="0"/>
              <w:rPr>
                <w:color w:val="auto"/>
                <w:highlight w:val="none"/>
              </w:rPr>
            </w:pPr>
            <w:r>
              <w:rPr>
                <w:color w:val="auto"/>
                <w:highlight w:val="none"/>
              </w:rPr>
              <w:t>mg/L</w:t>
            </w:r>
          </w:p>
        </w:tc>
        <w:tc>
          <w:tcPr>
            <w:tcW w:w="347" w:type="pct"/>
            <w:tcBorders>
              <w:tl2br w:val="nil"/>
              <w:tr2bl w:val="nil"/>
            </w:tcBorders>
            <w:vAlign w:val="center"/>
          </w:tcPr>
          <w:p w14:paraId="79E853ED">
            <w:pPr>
              <w:pStyle w:val="41"/>
              <w:widowControl w:val="0"/>
              <w:rPr>
                <w:color w:val="auto"/>
                <w:highlight w:val="none"/>
              </w:rPr>
            </w:pPr>
            <w:r>
              <w:rPr>
                <w:color w:val="auto"/>
                <w:highlight w:val="none"/>
              </w:rPr>
              <w:t>0.00005L</w:t>
            </w:r>
          </w:p>
        </w:tc>
        <w:tc>
          <w:tcPr>
            <w:tcW w:w="304" w:type="pct"/>
            <w:tcBorders>
              <w:tl2br w:val="nil"/>
              <w:tr2bl w:val="nil"/>
            </w:tcBorders>
            <w:vAlign w:val="center"/>
          </w:tcPr>
          <w:p w14:paraId="60E894E5">
            <w:pPr>
              <w:pStyle w:val="41"/>
              <w:widowControl w:val="0"/>
              <w:rPr>
                <w:color w:val="auto"/>
                <w:highlight w:val="none"/>
              </w:rPr>
            </w:pPr>
            <w:r>
              <w:rPr>
                <w:rFonts w:hint="eastAsia"/>
                <w:color w:val="auto"/>
                <w:highlight w:val="none"/>
              </w:rPr>
              <w:t>0.01</w:t>
            </w:r>
          </w:p>
        </w:tc>
        <w:tc>
          <w:tcPr>
            <w:tcW w:w="347" w:type="pct"/>
            <w:tcBorders>
              <w:tl2br w:val="nil"/>
              <w:tr2bl w:val="nil"/>
            </w:tcBorders>
            <w:vAlign w:val="center"/>
          </w:tcPr>
          <w:p w14:paraId="55A50150">
            <w:pPr>
              <w:pStyle w:val="41"/>
              <w:widowControl w:val="0"/>
              <w:rPr>
                <w:color w:val="auto"/>
                <w:highlight w:val="none"/>
              </w:rPr>
            </w:pPr>
            <w:r>
              <w:rPr>
                <w:color w:val="auto"/>
                <w:highlight w:val="none"/>
              </w:rPr>
              <w:t>0.00005L</w:t>
            </w:r>
          </w:p>
        </w:tc>
        <w:tc>
          <w:tcPr>
            <w:tcW w:w="304" w:type="pct"/>
            <w:tcBorders>
              <w:tl2br w:val="nil"/>
              <w:tr2bl w:val="nil"/>
            </w:tcBorders>
            <w:vAlign w:val="center"/>
          </w:tcPr>
          <w:p w14:paraId="36303806">
            <w:pPr>
              <w:pStyle w:val="41"/>
              <w:widowControl w:val="0"/>
              <w:rPr>
                <w:color w:val="auto"/>
                <w:highlight w:val="none"/>
              </w:rPr>
            </w:pPr>
            <w:r>
              <w:rPr>
                <w:rFonts w:hint="eastAsia"/>
                <w:color w:val="auto"/>
                <w:highlight w:val="none"/>
              </w:rPr>
              <w:t>0.01</w:t>
            </w:r>
          </w:p>
        </w:tc>
        <w:tc>
          <w:tcPr>
            <w:tcW w:w="347" w:type="pct"/>
            <w:tcBorders>
              <w:tl2br w:val="nil"/>
              <w:tr2bl w:val="nil"/>
            </w:tcBorders>
            <w:vAlign w:val="center"/>
          </w:tcPr>
          <w:p w14:paraId="72E20F79">
            <w:pPr>
              <w:pStyle w:val="41"/>
              <w:widowControl w:val="0"/>
              <w:rPr>
                <w:color w:val="auto"/>
                <w:highlight w:val="none"/>
              </w:rPr>
            </w:pPr>
            <w:r>
              <w:rPr>
                <w:color w:val="auto"/>
                <w:highlight w:val="none"/>
              </w:rPr>
              <w:t>0.00005L</w:t>
            </w:r>
          </w:p>
        </w:tc>
        <w:tc>
          <w:tcPr>
            <w:tcW w:w="304" w:type="pct"/>
            <w:tcBorders>
              <w:tl2br w:val="nil"/>
              <w:tr2bl w:val="nil"/>
            </w:tcBorders>
            <w:vAlign w:val="center"/>
          </w:tcPr>
          <w:p w14:paraId="6578983B">
            <w:pPr>
              <w:pStyle w:val="41"/>
              <w:widowControl w:val="0"/>
              <w:rPr>
                <w:color w:val="auto"/>
                <w:highlight w:val="none"/>
              </w:rPr>
            </w:pPr>
            <w:r>
              <w:rPr>
                <w:rFonts w:hint="eastAsia"/>
                <w:color w:val="auto"/>
                <w:highlight w:val="none"/>
              </w:rPr>
              <w:t>0.01</w:t>
            </w:r>
          </w:p>
        </w:tc>
        <w:tc>
          <w:tcPr>
            <w:tcW w:w="414" w:type="pct"/>
            <w:tcBorders>
              <w:tl2br w:val="nil"/>
              <w:tr2bl w:val="nil"/>
            </w:tcBorders>
            <w:vAlign w:val="center"/>
          </w:tcPr>
          <w:p w14:paraId="5E74F243">
            <w:pPr>
              <w:pStyle w:val="41"/>
              <w:widowControl w:val="0"/>
              <w:rPr>
                <w:color w:val="auto"/>
                <w:highlight w:val="none"/>
              </w:rPr>
            </w:pPr>
            <w:r>
              <w:rPr>
                <w:rFonts w:hint="eastAsia"/>
                <w:color w:val="auto"/>
                <w:highlight w:val="none"/>
              </w:rPr>
              <w:t>0.00</w:t>
            </w:r>
            <w:r>
              <w:rPr>
                <w:color w:val="auto"/>
                <w:highlight w:val="none"/>
              </w:rPr>
              <w:t>1L</w:t>
            </w:r>
          </w:p>
        </w:tc>
        <w:tc>
          <w:tcPr>
            <w:tcW w:w="414" w:type="pct"/>
            <w:tcBorders>
              <w:tl2br w:val="nil"/>
              <w:tr2bl w:val="nil"/>
            </w:tcBorders>
            <w:vAlign w:val="center"/>
          </w:tcPr>
          <w:p w14:paraId="477EE495">
            <w:pPr>
              <w:pStyle w:val="41"/>
              <w:widowControl w:val="0"/>
              <w:rPr>
                <w:color w:val="auto"/>
                <w:highlight w:val="none"/>
              </w:rPr>
            </w:pPr>
            <w:r>
              <w:rPr>
                <w:rFonts w:hint="eastAsia"/>
                <w:color w:val="auto"/>
                <w:highlight w:val="none"/>
              </w:rPr>
              <w:t>0.2</w:t>
            </w:r>
          </w:p>
        </w:tc>
        <w:tc>
          <w:tcPr>
            <w:tcW w:w="414" w:type="pct"/>
            <w:tcBorders>
              <w:tl2br w:val="nil"/>
              <w:tr2bl w:val="nil"/>
            </w:tcBorders>
            <w:vAlign w:val="center"/>
          </w:tcPr>
          <w:p w14:paraId="6A1405B6">
            <w:pPr>
              <w:pStyle w:val="41"/>
              <w:widowControl w:val="0"/>
              <w:rPr>
                <w:color w:val="auto"/>
                <w:highlight w:val="none"/>
              </w:rPr>
            </w:pPr>
            <w:r>
              <w:rPr>
                <w:rFonts w:hint="eastAsia"/>
                <w:color w:val="auto"/>
                <w:highlight w:val="none"/>
              </w:rPr>
              <w:t>0.00</w:t>
            </w:r>
            <w:r>
              <w:rPr>
                <w:color w:val="auto"/>
                <w:highlight w:val="none"/>
              </w:rPr>
              <w:t>1L</w:t>
            </w:r>
          </w:p>
        </w:tc>
        <w:tc>
          <w:tcPr>
            <w:tcW w:w="414" w:type="pct"/>
            <w:tcBorders>
              <w:tl2br w:val="nil"/>
              <w:tr2bl w:val="nil"/>
            </w:tcBorders>
            <w:vAlign w:val="center"/>
          </w:tcPr>
          <w:p w14:paraId="1D2C124D">
            <w:pPr>
              <w:pStyle w:val="41"/>
              <w:widowControl w:val="0"/>
              <w:rPr>
                <w:color w:val="auto"/>
                <w:highlight w:val="none"/>
              </w:rPr>
            </w:pPr>
            <w:r>
              <w:rPr>
                <w:rFonts w:hint="eastAsia"/>
                <w:color w:val="auto"/>
                <w:highlight w:val="none"/>
              </w:rPr>
              <w:t>0.2</w:t>
            </w:r>
          </w:p>
        </w:tc>
        <w:tc>
          <w:tcPr>
            <w:tcW w:w="425" w:type="pct"/>
            <w:tcBorders>
              <w:tl2br w:val="nil"/>
              <w:tr2bl w:val="nil"/>
            </w:tcBorders>
            <w:vAlign w:val="center"/>
          </w:tcPr>
          <w:p w14:paraId="3EC6DF20">
            <w:pPr>
              <w:pStyle w:val="41"/>
              <w:widowControl w:val="0"/>
              <w:rPr>
                <w:color w:val="auto"/>
                <w:highlight w:val="none"/>
              </w:rPr>
            </w:pPr>
            <w:r>
              <w:rPr>
                <w:color w:val="auto"/>
                <w:highlight w:val="none"/>
              </w:rPr>
              <w:t>≤0.005mg/L</w:t>
            </w:r>
          </w:p>
        </w:tc>
      </w:tr>
      <w:tr w14:paraId="3E0B9E7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tcBorders>
              <w:tl2br w:val="nil"/>
              <w:tr2bl w:val="nil"/>
            </w:tcBorders>
            <w:vAlign w:val="center"/>
          </w:tcPr>
          <w:p w14:paraId="0DDEC29F">
            <w:pPr>
              <w:pStyle w:val="41"/>
              <w:widowControl w:val="0"/>
              <w:rPr>
                <w:color w:val="auto"/>
                <w:highlight w:val="none"/>
              </w:rPr>
            </w:pPr>
            <w:r>
              <w:rPr>
                <w:color w:val="auto"/>
                <w:highlight w:val="none"/>
              </w:rPr>
              <w:t>4</w:t>
            </w:r>
          </w:p>
        </w:tc>
        <w:tc>
          <w:tcPr>
            <w:tcW w:w="484" w:type="pct"/>
            <w:tcBorders>
              <w:tl2br w:val="nil"/>
              <w:tr2bl w:val="nil"/>
            </w:tcBorders>
            <w:vAlign w:val="center"/>
          </w:tcPr>
          <w:p w14:paraId="35DCF8FF">
            <w:pPr>
              <w:pStyle w:val="41"/>
              <w:widowControl w:val="0"/>
              <w:rPr>
                <w:color w:val="auto"/>
                <w:highlight w:val="none"/>
              </w:rPr>
            </w:pPr>
            <w:r>
              <w:rPr>
                <w:rFonts w:hint="eastAsia"/>
                <w:color w:val="auto"/>
                <w:highlight w:val="none"/>
              </w:rPr>
              <w:t>砷</w:t>
            </w:r>
          </w:p>
        </w:tc>
        <w:tc>
          <w:tcPr>
            <w:tcW w:w="275" w:type="pct"/>
            <w:tcBorders>
              <w:tl2br w:val="nil"/>
              <w:tr2bl w:val="nil"/>
            </w:tcBorders>
            <w:vAlign w:val="center"/>
          </w:tcPr>
          <w:p w14:paraId="7949210E">
            <w:pPr>
              <w:pStyle w:val="41"/>
              <w:widowControl w:val="0"/>
              <w:rPr>
                <w:color w:val="auto"/>
                <w:highlight w:val="none"/>
              </w:rPr>
            </w:pPr>
            <w:r>
              <w:rPr>
                <w:color w:val="auto"/>
                <w:highlight w:val="none"/>
              </w:rPr>
              <w:t>mg/L</w:t>
            </w:r>
          </w:p>
        </w:tc>
        <w:tc>
          <w:tcPr>
            <w:tcW w:w="347" w:type="pct"/>
            <w:tcBorders>
              <w:tl2br w:val="nil"/>
              <w:tr2bl w:val="nil"/>
            </w:tcBorders>
            <w:vAlign w:val="center"/>
          </w:tcPr>
          <w:p w14:paraId="05860ECD">
            <w:pPr>
              <w:pStyle w:val="41"/>
              <w:widowControl w:val="0"/>
              <w:rPr>
                <w:color w:val="auto"/>
                <w:highlight w:val="none"/>
              </w:rPr>
            </w:pPr>
            <w:r>
              <w:rPr>
                <w:color w:val="auto"/>
                <w:highlight w:val="none"/>
              </w:rPr>
              <w:t>0.00012L</w:t>
            </w:r>
          </w:p>
        </w:tc>
        <w:tc>
          <w:tcPr>
            <w:tcW w:w="304" w:type="pct"/>
            <w:tcBorders>
              <w:tl2br w:val="nil"/>
              <w:tr2bl w:val="nil"/>
            </w:tcBorders>
            <w:vAlign w:val="center"/>
          </w:tcPr>
          <w:p w14:paraId="02F27391">
            <w:pPr>
              <w:pStyle w:val="41"/>
              <w:widowControl w:val="0"/>
              <w:rPr>
                <w:color w:val="auto"/>
                <w:highlight w:val="none"/>
              </w:rPr>
            </w:pPr>
            <w:r>
              <w:rPr>
                <w:rFonts w:hint="eastAsia"/>
                <w:color w:val="auto"/>
                <w:highlight w:val="none"/>
              </w:rPr>
              <w:t>0.012</w:t>
            </w:r>
          </w:p>
        </w:tc>
        <w:tc>
          <w:tcPr>
            <w:tcW w:w="347" w:type="pct"/>
            <w:tcBorders>
              <w:tl2br w:val="nil"/>
              <w:tr2bl w:val="nil"/>
            </w:tcBorders>
            <w:vAlign w:val="center"/>
          </w:tcPr>
          <w:p w14:paraId="2A4831C8">
            <w:pPr>
              <w:pStyle w:val="41"/>
              <w:widowControl w:val="0"/>
              <w:rPr>
                <w:color w:val="auto"/>
                <w:highlight w:val="none"/>
              </w:rPr>
            </w:pPr>
            <w:r>
              <w:rPr>
                <w:color w:val="auto"/>
                <w:highlight w:val="none"/>
              </w:rPr>
              <w:t>0.00012L</w:t>
            </w:r>
          </w:p>
        </w:tc>
        <w:tc>
          <w:tcPr>
            <w:tcW w:w="304" w:type="pct"/>
            <w:tcBorders>
              <w:tl2br w:val="nil"/>
              <w:tr2bl w:val="nil"/>
            </w:tcBorders>
            <w:vAlign w:val="center"/>
          </w:tcPr>
          <w:p w14:paraId="2EAA90AA">
            <w:pPr>
              <w:pStyle w:val="41"/>
              <w:widowControl w:val="0"/>
              <w:rPr>
                <w:color w:val="auto"/>
                <w:highlight w:val="none"/>
              </w:rPr>
            </w:pPr>
            <w:r>
              <w:rPr>
                <w:rFonts w:hint="eastAsia"/>
                <w:color w:val="auto"/>
                <w:highlight w:val="none"/>
              </w:rPr>
              <w:t>0.012</w:t>
            </w:r>
          </w:p>
        </w:tc>
        <w:tc>
          <w:tcPr>
            <w:tcW w:w="347" w:type="pct"/>
            <w:tcBorders>
              <w:tl2br w:val="nil"/>
              <w:tr2bl w:val="nil"/>
            </w:tcBorders>
            <w:vAlign w:val="center"/>
          </w:tcPr>
          <w:p w14:paraId="607C8D6B">
            <w:pPr>
              <w:pStyle w:val="41"/>
              <w:widowControl w:val="0"/>
              <w:rPr>
                <w:color w:val="auto"/>
                <w:highlight w:val="none"/>
              </w:rPr>
            </w:pPr>
            <w:r>
              <w:rPr>
                <w:color w:val="auto"/>
                <w:highlight w:val="none"/>
              </w:rPr>
              <w:t>0.00012L</w:t>
            </w:r>
          </w:p>
        </w:tc>
        <w:tc>
          <w:tcPr>
            <w:tcW w:w="304" w:type="pct"/>
            <w:tcBorders>
              <w:tl2br w:val="nil"/>
              <w:tr2bl w:val="nil"/>
            </w:tcBorders>
            <w:vAlign w:val="center"/>
          </w:tcPr>
          <w:p w14:paraId="254A1C89">
            <w:pPr>
              <w:pStyle w:val="41"/>
              <w:widowControl w:val="0"/>
              <w:rPr>
                <w:color w:val="auto"/>
                <w:highlight w:val="none"/>
              </w:rPr>
            </w:pPr>
            <w:r>
              <w:rPr>
                <w:rFonts w:hint="eastAsia"/>
                <w:color w:val="auto"/>
                <w:highlight w:val="none"/>
              </w:rPr>
              <w:t>0.012</w:t>
            </w:r>
          </w:p>
        </w:tc>
        <w:tc>
          <w:tcPr>
            <w:tcW w:w="414" w:type="pct"/>
            <w:tcBorders>
              <w:tl2br w:val="nil"/>
              <w:tr2bl w:val="nil"/>
            </w:tcBorders>
            <w:vAlign w:val="center"/>
          </w:tcPr>
          <w:p w14:paraId="2735855E">
            <w:pPr>
              <w:pStyle w:val="41"/>
              <w:widowControl w:val="0"/>
              <w:rPr>
                <w:color w:val="auto"/>
                <w:highlight w:val="none"/>
              </w:rPr>
            </w:pPr>
            <w:r>
              <w:rPr>
                <w:rFonts w:hint="eastAsia"/>
                <w:color w:val="auto"/>
                <w:highlight w:val="none"/>
              </w:rPr>
              <w:t>0.0017</w:t>
            </w:r>
          </w:p>
        </w:tc>
        <w:tc>
          <w:tcPr>
            <w:tcW w:w="414" w:type="pct"/>
            <w:tcBorders>
              <w:tl2br w:val="nil"/>
              <w:tr2bl w:val="nil"/>
            </w:tcBorders>
            <w:vAlign w:val="center"/>
          </w:tcPr>
          <w:p w14:paraId="4B4A3992">
            <w:pPr>
              <w:pStyle w:val="41"/>
              <w:widowControl w:val="0"/>
              <w:rPr>
                <w:color w:val="auto"/>
                <w:highlight w:val="none"/>
              </w:rPr>
            </w:pPr>
            <w:r>
              <w:rPr>
                <w:rFonts w:hint="eastAsia"/>
                <w:color w:val="auto"/>
                <w:highlight w:val="none"/>
              </w:rPr>
              <w:t>0.17</w:t>
            </w:r>
          </w:p>
        </w:tc>
        <w:tc>
          <w:tcPr>
            <w:tcW w:w="414" w:type="pct"/>
            <w:tcBorders>
              <w:tl2br w:val="nil"/>
              <w:tr2bl w:val="nil"/>
            </w:tcBorders>
            <w:vAlign w:val="center"/>
          </w:tcPr>
          <w:p w14:paraId="798F6862">
            <w:pPr>
              <w:pStyle w:val="41"/>
              <w:widowControl w:val="0"/>
              <w:rPr>
                <w:color w:val="auto"/>
                <w:highlight w:val="none"/>
              </w:rPr>
            </w:pPr>
            <w:r>
              <w:rPr>
                <w:rFonts w:hint="eastAsia"/>
                <w:color w:val="auto"/>
                <w:highlight w:val="none"/>
              </w:rPr>
              <w:t>0.0016</w:t>
            </w:r>
          </w:p>
        </w:tc>
        <w:tc>
          <w:tcPr>
            <w:tcW w:w="414" w:type="pct"/>
            <w:tcBorders>
              <w:tl2br w:val="nil"/>
              <w:tr2bl w:val="nil"/>
            </w:tcBorders>
            <w:vAlign w:val="center"/>
          </w:tcPr>
          <w:p w14:paraId="0DA46959">
            <w:pPr>
              <w:pStyle w:val="41"/>
              <w:widowControl w:val="0"/>
              <w:rPr>
                <w:color w:val="auto"/>
                <w:highlight w:val="none"/>
              </w:rPr>
            </w:pPr>
            <w:r>
              <w:rPr>
                <w:rFonts w:hint="eastAsia"/>
                <w:color w:val="auto"/>
                <w:highlight w:val="none"/>
              </w:rPr>
              <w:t>0.16</w:t>
            </w:r>
          </w:p>
        </w:tc>
        <w:tc>
          <w:tcPr>
            <w:tcW w:w="425" w:type="pct"/>
            <w:tcBorders>
              <w:tl2br w:val="nil"/>
              <w:tr2bl w:val="nil"/>
            </w:tcBorders>
            <w:vAlign w:val="center"/>
          </w:tcPr>
          <w:p w14:paraId="776A249D">
            <w:pPr>
              <w:pStyle w:val="41"/>
              <w:widowControl w:val="0"/>
              <w:rPr>
                <w:color w:val="auto"/>
                <w:highlight w:val="none"/>
              </w:rPr>
            </w:pPr>
            <w:r>
              <w:rPr>
                <w:color w:val="auto"/>
                <w:highlight w:val="none"/>
              </w:rPr>
              <w:t>≤0.01mg/L</w:t>
            </w:r>
          </w:p>
        </w:tc>
      </w:tr>
      <w:tr w14:paraId="07BFBCD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tcBorders>
              <w:tl2br w:val="nil"/>
              <w:tr2bl w:val="nil"/>
            </w:tcBorders>
            <w:vAlign w:val="center"/>
          </w:tcPr>
          <w:p w14:paraId="5ECADF6B">
            <w:pPr>
              <w:pStyle w:val="41"/>
              <w:widowControl w:val="0"/>
              <w:rPr>
                <w:color w:val="auto"/>
                <w:highlight w:val="none"/>
              </w:rPr>
            </w:pPr>
            <w:r>
              <w:rPr>
                <w:color w:val="auto"/>
                <w:highlight w:val="none"/>
              </w:rPr>
              <w:t>5</w:t>
            </w:r>
          </w:p>
        </w:tc>
        <w:tc>
          <w:tcPr>
            <w:tcW w:w="484" w:type="pct"/>
            <w:tcBorders>
              <w:tl2br w:val="nil"/>
              <w:tr2bl w:val="nil"/>
            </w:tcBorders>
            <w:vAlign w:val="center"/>
          </w:tcPr>
          <w:p w14:paraId="27EA01CF">
            <w:pPr>
              <w:pStyle w:val="41"/>
              <w:widowControl w:val="0"/>
              <w:rPr>
                <w:color w:val="auto"/>
                <w:highlight w:val="none"/>
              </w:rPr>
            </w:pPr>
            <w:r>
              <w:rPr>
                <w:rFonts w:hint="eastAsia"/>
                <w:color w:val="auto"/>
                <w:highlight w:val="none"/>
              </w:rPr>
              <w:t>汞</w:t>
            </w:r>
          </w:p>
        </w:tc>
        <w:tc>
          <w:tcPr>
            <w:tcW w:w="275" w:type="pct"/>
            <w:tcBorders>
              <w:tl2br w:val="nil"/>
              <w:tr2bl w:val="nil"/>
            </w:tcBorders>
            <w:vAlign w:val="center"/>
          </w:tcPr>
          <w:p w14:paraId="5754384A">
            <w:pPr>
              <w:pStyle w:val="41"/>
              <w:widowControl w:val="0"/>
              <w:rPr>
                <w:color w:val="auto"/>
                <w:highlight w:val="none"/>
              </w:rPr>
            </w:pPr>
            <w:r>
              <w:rPr>
                <w:color w:val="auto"/>
                <w:highlight w:val="none"/>
              </w:rPr>
              <w:t>mg/L</w:t>
            </w:r>
          </w:p>
        </w:tc>
        <w:tc>
          <w:tcPr>
            <w:tcW w:w="347" w:type="pct"/>
            <w:tcBorders>
              <w:tl2br w:val="nil"/>
              <w:tr2bl w:val="nil"/>
            </w:tcBorders>
            <w:vAlign w:val="center"/>
          </w:tcPr>
          <w:p w14:paraId="550063C5">
            <w:pPr>
              <w:pStyle w:val="41"/>
              <w:widowControl w:val="0"/>
              <w:rPr>
                <w:color w:val="auto"/>
                <w:highlight w:val="none"/>
              </w:rPr>
            </w:pPr>
            <w:r>
              <w:rPr>
                <w:color w:val="auto"/>
                <w:highlight w:val="none"/>
              </w:rPr>
              <w:t>0.00004L</w:t>
            </w:r>
          </w:p>
        </w:tc>
        <w:tc>
          <w:tcPr>
            <w:tcW w:w="304" w:type="pct"/>
            <w:tcBorders>
              <w:tl2br w:val="nil"/>
              <w:tr2bl w:val="nil"/>
            </w:tcBorders>
            <w:vAlign w:val="center"/>
          </w:tcPr>
          <w:p w14:paraId="0B006432">
            <w:pPr>
              <w:pStyle w:val="41"/>
              <w:widowControl w:val="0"/>
              <w:rPr>
                <w:color w:val="auto"/>
                <w:highlight w:val="none"/>
              </w:rPr>
            </w:pPr>
            <w:r>
              <w:rPr>
                <w:rFonts w:hint="eastAsia"/>
                <w:color w:val="auto"/>
                <w:highlight w:val="none"/>
              </w:rPr>
              <w:t>0.04</w:t>
            </w:r>
          </w:p>
        </w:tc>
        <w:tc>
          <w:tcPr>
            <w:tcW w:w="347" w:type="pct"/>
            <w:tcBorders>
              <w:tl2br w:val="nil"/>
              <w:tr2bl w:val="nil"/>
            </w:tcBorders>
            <w:vAlign w:val="center"/>
          </w:tcPr>
          <w:p w14:paraId="29108DA9">
            <w:pPr>
              <w:pStyle w:val="41"/>
              <w:widowControl w:val="0"/>
              <w:rPr>
                <w:color w:val="auto"/>
                <w:highlight w:val="none"/>
              </w:rPr>
            </w:pPr>
            <w:r>
              <w:rPr>
                <w:color w:val="auto"/>
                <w:highlight w:val="none"/>
              </w:rPr>
              <w:t>0.00004L</w:t>
            </w:r>
          </w:p>
        </w:tc>
        <w:tc>
          <w:tcPr>
            <w:tcW w:w="304" w:type="pct"/>
            <w:tcBorders>
              <w:tl2br w:val="nil"/>
              <w:tr2bl w:val="nil"/>
            </w:tcBorders>
            <w:vAlign w:val="center"/>
          </w:tcPr>
          <w:p w14:paraId="7B174869">
            <w:pPr>
              <w:pStyle w:val="41"/>
              <w:widowControl w:val="0"/>
              <w:rPr>
                <w:color w:val="auto"/>
                <w:highlight w:val="none"/>
              </w:rPr>
            </w:pPr>
            <w:r>
              <w:rPr>
                <w:rFonts w:hint="eastAsia"/>
                <w:color w:val="auto"/>
                <w:highlight w:val="none"/>
              </w:rPr>
              <w:t>0.04</w:t>
            </w:r>
          </w:p>
        </w:tc>
        <w:tc>
          <w:tcPr>
            <w:tcW w:w="347" w:type="pct"/>
            <w:tcBorders>
              <w:tl2br w:val="nil"/>
              <w:tr2bl w:val="nil"/>
            </w:tcBorders>
            <w:vAlign w:val="center"/>
          </w:tcPr>
          <w:p w14:paraId="4741D0F1">
            <w:pPr>
              <w:pStyle w:val="41"/>
              <w:widowControl w:val="0"/>
              <w:rPr>
                <w:color w:val="auto"/>
                <w:highlight w:val="none"/>
              </w:rPr>
            </w:pPr>
            <w:r>
              <w:rPr>
                <w:color w:val="auto"/>
                <w:highlight w:val="none"/>
              </w:rPr>
              <w:t>0.00004L</w:t>
            </w:r>
          </w:p>
        </w:tc>
        <w:tc>
          <w:tcPr>
            <w:tcW w:w="304" w:type="pct"/>
            <w:tcBorders>
              <w:tl2br w:val="nil"/>
              <w:tr2bl w:val="nil"/>
            </w:tcBorders>
            <w:vAlign w:val="center"/>
          </w:tcPr>
          <w:p w14:paraId="42F97D80">
            <w:pPr>
              <w:pStyle w:val="41"/>
              <w:widowControl w:val="0"/>
              <w:rPr>
                <w:color w:val="auto"/>
                <w:highlight w:val="none"/>
              </w:rPr>
            </w:pPr>
            <w:r>
              <w:rPr>
                <w:rFonts w:hint="eastAsia"/>
                <w:color w:val="auto"/>
                <w:highlight w:val="none"/>
              </w:rPr>
              <w:t>0.04</w:t>
            </w:r>
          </w:p>
        </w:tc>
        <w:tc>
          <w:tcPr>
            <w:tcW w:w="414" w:type="pct"/>
            <w:tcBorders>
              <w:tl2br w:val="nil"/>
              <w:tr2bl w:val="nil"/>
            </w:tcBorders>
            <w:vAlign w:val="center"/>
          </w:tcPr>
          <w:p w14:paraId="78506A11">
            <w:pPr>
              <w:pStyle w:val="41"/>
              <w:widowControl w:val="0"/>
              <w:rPr>
                <w:color w:val="auto"/>
                <w:highlight w:val="none"/>
              </w:rPr>
            </w:pPr>
            <w:r>
              <w:rPr>
                <w:color w:val="auto"/>
                <w:highlight w:val="none"/>
              </w:rPr>
              <w:t>0.00004L</w:t>
            </w:r>
          </w:p>
        </w:tc>
        <w:tc>
          <w:tcPr>
            <w:tcW w:w="414" w:type="pct"/>
            <w:tcBorders>
              <w:tl2br w:val="nil"/>
              <w:tr2bl w:val="nil"/>
            </w:tcBorders>
            <w:vAlign w:val="center"/>
          </w:tcPr>
          <w:p w14:paraId="400214D2">
            <w:pPr>
              <w:pStyle w:val="41"/>
              <w:widowControl w:val="0"/>
              <w:rPr>
                <w:color w:val="auto"/>
                <w:highlight w:val="none"/>
              </w:rPr>
            </w:pPr>
            <w:r>
              <w:rPr>
                <w:rFonts w:hint="eastAsia"/>
                <w:color w:val="auto"/>
                <w:highlight w:val="none"/>
              </w:rPr>
              <w:t>0.04</w:t>
            </w:r>
          </w:p>
        </w:tc>
        <w:tc>
          <w:tcPr>
            <w:tcW w:w="414" w:type="pct"/>
            <w:tcBorders>
              <w:tl2br w:val="nil"/>
              <w:tr2bl w:val="nil"/>
            </w:tcBorders>
            <w:vAlign w:val="center"/>
          </w:tcPr>
          <w:p w14:paraId="2AE5A5DD">
            <w:pPr>
              <w:pStyle w:val="41"/>
              <w:widowControl w:val="0"/>
              <w:rPr>
                <w:color w:val="auto"/>
                <w:highlight w:val="none"/>
              </w:rPr>
            </w:pPr>
            <w:r>
              <w:rPr>
                <w:color w:val="auto"/>
                <w:highlight w:val="none"/>
              </w:rPr>
              <w:t>0.00004L</w:t>
            </w:r>
          </w:p>
        </w:tc>
        <w:tc>
          <w:tcPr>
            <w:tcW w:w="414" w:type="pct"/>
            <w:tcBorders>
              <w:tl2br w:val="nil"/>
              <w:tr2bl w:val="nil"/>
            </w:tcBorders>
            <w:vAlign w:val="center"/>
          </w:tcPr>
          <w:p w14:paraId="4718E680">
            <w:pPr>
              <w:pStyle w:val="41"/>
              <w:widowControl w:val="0"/>
              <w:rPr>
                <w:color w:val="auto"/>
                <w:highlight w:val="none"/>
              </w:rPr>
            </w:pPr>
            <w:r>
              <w:rPr>
                <w:rFonts w:hint="eastAsia"/>
                <w:color w:val="auto"/>
                <w:highlight w:val="none"/>
              </w:rPr>
              <w:t>0.04</w:t>
            </w:r>
          </w:p>
        </w:tc>
        <w:tc>
          <w:tcPr>
            <w:tcW w:w="425" w:type="pct"/>
            <w:tcBorders>
              <w:tl2br w:val="nil"/>
              <w:tr2bl w:val="nil"/>
            </w:tcBorders>
            <w:vAlign w:val="center"/>
          </w:tcPr>
          <w:p w14:paraId="214FA6D3">
            <w:pPr>
              <w:pStyle w:val="41"/>
              <w:widowControl w:val="0"/>
              <w:rPr>
                <w:color w:val="auto"/>
                <w:highlight w:val="none"/>
              </w:rPr>
            </w:pPr>
            <w:r>
              <w:rPr>
                <w:color w:val="auto"/>
                <w:highlight w:val="none"/>
              </w:rPr>
              <w:t>≤0.001mg/L</w:t>
            </w:r>
          </w:p>
        </w:tc>
      </w:tr>
      <w:tr w14:paraId="2986522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tcBorders>
              <w:tl2br w:val="nil"/>
              <w:tr2bl w:val="nil"/>
            </w:tcBorders>
            <w:vAlign w:val="center"/>
          </w:tcPr>
          <w:p w14:paraId="61BBD220">
            <w:pPr>
              <w:pStyle w:val="41"/>
              <w:widowControl w:val="0"/>
              <w:rPr>
                <w:color w:val="auto"/>
                <w:highlight w:val="none"/>
              </w:rPr>
            </w:pPr>
            <w:r>
              <w:rPr>
                <w:color w:val="auto"/>
                <w:highlight w:val="none"/>
              </w:rPr>
              <w:t>6</w:t>
            </w:r>
          </w:p>
        </w:tc>
        <w:tc>
          <w:tcPr>
            <w:tcW w:w="484" w:type="pct"/>
            <w:tcBorders>
              <w:tl2br w:val="nil"/>
              <w:tr2bl w:val="nil"/>
            </w:tcBorders>
            <w:vAlign w:val="center"/>
          </w:tcPr>
          <w:p w14:paraId="7D790FE8">
            <w:pPr>
              <w:pStyle w:val="41"/>
              <w:widowControl w:val="0"/>
              <w:rPr>
                <w:color w:val="auto"/>
                <w:highlight w:val="none"/>
              </w:rPr>
            </w:pPr>
            <w:r>
              <w:rPr>
                <w:rFonts w:hint="eastAsia"/>
                <w:color w:val="auto"/>
                <w:highlight w:val="none"/>
              </w:rPr>
              <w:t>铅</w:t>
            </w:r>
          </w:p>
        </w:tc>
        <w:tc>
          <w:tcPr>
            <w:tcW w:w="275" w:type="pct"/>
            <w:tcBorders>
              <w:tl2br w:val="nil"/>
              <w:tr2bl w:val="nil"/>
            </w:tcBorders>
            <w:vAlign w:val="center"/>
          </w:tcPr>
          <w:p w14:paraId="286421E8">
            <w:pPr>
              <w:pStyle w:val="41"/>
              <w:widowControl w:val="0"/>
              <w:rPr>
                <w:color w:val="auto"/>
                <w:highlight w:val="none"/>
              </w:rPr>
            </w:pPr>
            <w:r>
              <w:rPr>
                <w:color w:val="auto"/>
                <w:highlight w:val="none"/>
              </w:rPr>
              <w:t>mg/L</w:t>
            </w:r>
          </w:p>
        </w:tc>
        <w:tc>
          <w:tcPr>
            <w:tcW w:w="347" w:type="pct"/>
            <w:tcBorders>
              <w:tl2br w:val="nil"/>
              <w:tr2bl w:val="nil"/>
            </w:tcBorders>
            <w:vAlign w:val="center"/>
          </w:tcPr>
          <w:p w14:paraId="2475870B">
            <w:pPr>
              <w:pStyle w:val="41"/>
              <w:widowControl w:val="0"/>
              <w:rPr>
                <w:color w:val="auto"/>
                <w:highlight w:val="none"/>
              </w:rPr>
            </w:pPr>
            <w:r>
              <w:rPr>
                <w:color w:val="auto"/>
                <w:highlight w:val="none"/>
              </w:rPr>
              <w:t>0.00009L</w:t>
            </w:r>
          </w:p>
        </w:tc>
        <w:tc>
          <w:tcPr>
            <w:tcW w:w="304" w:type="pct"/>
            <w:tcBorders>
              <w:tl2br w:val="nil"/>
              <w:tr2bl w:val="nil"/>
            </w:tcBorders>
            <w:vAlign w:val="center"/>
          </w:tcPr>
          <w:p w14:paraId="4BCA6898">
            <w:pPr>
              <w:pStyle w:val="41"/>
              <w:widowControl w:val="0"/>
              <w:rPr>
                <w:color w:val="auto"/>
                <w:highlight w:val="none"/>
              </w:rPr>
            </w:pPr>
            <w:r>
              <w:rPr>
                <w:rFonts w:hint="eastAsia"/>
                <w:color w:val="auto"/>
                <w:highlight w:val="none"/>
              </w:rPr>
              <w:t>0.009</w:t>
            </w:r>
          </w:p>
        </w:tc>
        <w:tc>
          <w:tcPr>
            <w:tcW w:w="347" w:type="pct"/>
            <w:tcBorders>
              <w:tl2br w:val="nil"/>
              <w:tr2bl w:val="nil"/>
            </w:tcBorders>
            <w:vAlign w:val="center"/>
          </w:tcPr>
          <w:p w14:paraId="2F1B6084">
            <w:pPr>
              <w:pStyle w:val="41"/>
              <w:widowControl w:val="0"/>
              <w:rPr>
                <w:color w:val="auto"/>
                <w:highlight w:val="none"/>
              </w:rPr>
            </w:pPr>
            <w:r>
              <w:rPr>
                <w:color w:val="auto"/>
                <w:highlight w:val="none"/>
              </w:rPr>
              <w:t>0.00009L</w:t>
            </w:r>
          </w:p>
        </w:tc>
        <w:tc>
          <w:tcPr>
            <w:tcW w:w="304" w:type="pct"/>
            <w:tcBorders>
              <w:tl2br w:val="nil"/>
              <w:tr2bl w:val="nil"/>
            </w:tcBorders>
            <w:vAlign w:val="center"/>
          </w:tcPr>
          <w:p w14:paraId="485284DD">
            <w:pPr>
              <w:pStyle w:val="41"/>
              <w:widowControl w:val="0"/>
              <w:rPr>
                <w:color w:val="auto"/>
                <w:highlight w:val="none"/>
              </w:rPr>
            </w:pPr>
            <w:r>
              <w:rPr>
                <w:rFonts w:hint="eastAsia"/>
                <w:color w:val="auto"/>
                <w:highlight w:val="none"/>
              </w:rPr>
              <w:t>0.009</w:t>
            </w:r>
          </w:p>
        </w:tc>
        <w:tc>
          <w:tcPr>
            <w:tcW w:w="347" w:type="pct"/>
            <w:tcBorders>
              <w:tl2br w:val="nil"/>
              <w:tr2bl w:val="nil"/>
            </w:tcBorders>
            <w:vAlign w:val="center"/>
          </w:tcPr>
          <w:p w14:paraId="20BFF51E">
            <w:pPr>
              <w:pStyle w:val="41"/>
              <w:widowControl w:val="0"/>
              <w:rPr>
                <w:color w:val="auto"/>
                <w:highlight w:val="none"/>
              </w:rPr>
            </w:pPr>
            <w:r>
              <w:rPr>
                <w:color w:val="auto"/>
                <w:highlight w:val="none"/>
              </w:rPr>
              <w:t>0.00009L</w:t>
            </w:r>
          </w:p>
        </w:tc>
        <w:tc>
          <w:tcPr>
            <w:tcW w:w="304" w:type="pct"/>
            <w:tcBorders>
              <w:tl2br w:val="nil"/>
              <w:tr2bl w:val="nil"/>
            </w:tcBorders>
            <w:vAlign w:val="center"/>
          </w:tcPr>
          <w:p w14:paraId="7F2B49C6">
            <w:pPr>
              <w:pStyle w:val="41"/>
              <w:widowControl w:val="0"/>
              <w:rPr>
                <w:color w:val="auto"/>
                <w:highlight w:val="none"/>
              </w:rPr>
            </w:pPr>
            <w:r>
              <w:rPr>
                <w:rFonts w:hint="eastAsia"/>
                <w:color w:val="auto"/>
                <w:highlight w:val="none"/>
              </w:rPr>
              <w:t>0.009</w:t>
            </w:r>
          </w:p>
        </w:tc>
        <w:tc>
          <w:tcPr>
            <w:tcW w:w="414" w:type="pct"/>
            <w:tcBorders>
              <w:tl2br w:val="nil"/>
              <w:tr2bl w:val="nil"/>
            </w:tcBorders>
            <w:vAlign w:val="center"/>
          </w:tcPr>
          <w:p w14:paraId="3ABA34E1">
            <w:pPr>
              <w:pStyle w:val="41"/>
              <w:widowControl w:val="0"/>
              <w:rPr>
                <w:color w:val="auto"/>
                <w:highlight w:val="none"/>
              </w:rPr>
            </w:pPr>
            <w:r>
              <w:rPr>
                <w:rFonts w:hint="eastAsia"/>
                <w:color w:val="auto"/>
                <w:highlight w:val="none"/>
              </w:rPr>
              <w:t>0.00124</w:t>
            </w:r>
            <w:r>
              <w:rPr>
                <w:color w:val="auto"/>
                <w:highlight w:val="none"/>
              </w:rPr>
              <w:t>L</w:t>
            </w:r>
          </w:p>
        </w:tc>
        <w:tc>
          <w:tcPr>
            <w:tcW w:w="414" w:type="pct"/>
            <w:tcBorders>
              <w:tl2br w:val="nil"/>
              <w:tr2bl w:val="nil"/>
            </w:tcBorders>
            <w:vAlign w:val="center"/>
          </w:tcPr>
          <w:p w14:paraId="148B70A3">
            <w:pPr>
              <w:pStyle w:val="41"/>
              <w:widowControl w:val="0"/>
              <w:rPr>
                <w:color w:val="auto"/>
                <w:highlight w:val="none"/>
              </w:rPr>
            </w:pPr>
            <w:r>
              <w:rPr>
                <w:rFonts w:hint="eastAsia"/>
                <w:color w:val="auto"/>
                <w:highlight w:val="none"/>
              </w:rPr>
              <w:t>0.124</w:t>
            </w:r>
          </w:p>
        </w:tc>
        <w:tc>
          <w:tcPr>
            <w:tcW w:w="414" w:type="pct"/>
            <w:tcBorders>
              <w:tl2br w:val="nil"/>
              <w:tr2bl w:val="nil"/>
            </w:tcBorders>
            <w:vAlign w:val="center"/>
          </w:tcPr>
          <w:p w14:paraId="446CC8F9">
            <w:pPr>
              <w:pStyle w:val="41"/>
              <w:widowControl w:val="0"/>
              <w:rPr>
                <w:color w:val="auto"/>
                <w:highlight w:val="none"/>
              </w:rPr>
            </w:pPr>
            <w:r>
              <w:rPr>
                <w:rFonts w:hint="eastAsia"/>
                <w:color w:val="auto"/>
                <w:highlight w:val="none"/>
              </w:rPr>
              <w:t>0.00124</w:t>
            </w:r>
            <w:r>
              <w:rPr>
                <w:color w:val="auto"/>
                <w:highlight w:val="none"/>
              </w:rPr>
              <w:t>L</w:t>
            </w:r>
          </w:p>
        </w:tc>
        <w:tc>
          <w:tcPr>
            <w:tcW w:w="414" w:type="pct"/>
            <w:tcBorders>
              <w:tl2br w:val="nil"/>
              <w:tr2bl w:val="nil"/>
            </w:tcBorders>
            <w:vAlign w:val="center"/>
          </w:tcPr>
          <w:p w14:paraId="1C66D54C">
            <w:pPr>
              <w:pStyle w:val="41"/>
              <w:widowControl w:val="0"/>
              <w:rPr>
                <w:color w:val="auto"/>
                <w:highlight w:val="none"/>
              </w:rPr>
            </w:pPr>
            <w:r>
              <w:rPr>
                <w:rFonts w:hint="eastAsia"/>
                <w:color w:val="auto"/>
                <w:highlight w:val="none"/>
              </w:rPr>
              <w:t>0.124</w:t>
            </w:r>
          </w:p>
        </w:tc>
        <w:tc>
          <w:tcPr>
            <w:tcW w:w="425" w:type="pct"/>
            <w:tcBorders>
              <w:tl2br w:val="nil"/>
              <w:tr2bl w:val="nil"/>
            </w:tcBorders>
            <w:vAlign w:val="center"/>
          </w:tcPr>
          <w:p w14:paraId="30117A1C">
            <w:pPr>
              <w:pStyle w:val="41"/>
              <w:widowControl w:val="0"/>
              <w:rPr>
                <w:color w:val="auto"/>
                <w:highlight w:val="none"/>
              </w:rPr>
            </w:pPr>
            <w:r>
              <w:rPr>
                <w:color w:val="auto"/>
                <w:highlight w:val="none"/>
              </w:rPr>
              <w:t>≤0.01mg/L</w:t>
            </w:r>
          </w:p>
        </w:tc>
      </w:tr>
      <w:tr w14:paraId="4DD4768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tcBorders>
              <w:tl2br w:val="nil"/>
              <w:tr2bl w:val="nil"/>
            </w:tcBorders>
            <w:vAlign w:val="center"/>
          </w:tcPr>
          <w:p w14:paraId="210B3F33">
            <w:pPr>
              <w:pStyle w:val="41"/>
              <w:widowControl w:val="0"/>
              <w:rPr>
                <w:color w:val="auto"/>
                <w:highlight w:val="none"/>
              </w:rPr>
            </w:pPr>
            <w:r>
              <w:rPr>
                <w:color w:val="auto"/>
                <w:highlight w:val="none"/>
              </w:rPr>
              <w:t>7</w:t>
            </w:r>
          </w:p>
        </w:tc>
        <w:tc>
          <w:tcPr>
            <w:tcW w:w="484" w:type="pct"/>
            <w:tcBorders>
              <w:tl2br w:val="nil"/>
              <w:tr2bl w:val="nil"/>
            </w:tcBorders>
            <w:vAlign w:val="center"/>
          </w:tcPr>
          <w:p w14:paraId="47843981">
            <w:pPr>
              <w:pStyle w:val="41"/>
              <w:widowControl w:val="0"/>
              <w:rPr>
                <w:color w:val="auto"/>
                <w:highlight w:val="none"/>
              </w:rPr>
            </w:pPr>
            <w:r>
              <w:rPr>
                <w:rFonts w:hint="eastAsia"/>
                <w:color w:val="auto"/>
                <w:highlight w:val="none"/>
              </w:rPr>
              <w:t>氯化物</w:t>
            </w:r>
          </w:p>
        </w:tc>
        <w:tc>
          <w:tcPr>
            <w:tcW w:w="275" w:type="pct"/>
            <w:tcBorders>
              <w:tl2br w:val="nil"/>
              <w:tr2bl w:val="nil"/>
            </w:tcBorders>
            <w:vAlign w:val="center"/>
          </w:tcPr>
          <w:p w14:paraId="369EE99F">
            <w:pPr>
              <w:pStyle w:val="41"/>
              <w:widowControl w:val="0"/>
              <w:rPr>
                <w:color w:val="auto"/>
                <w:highlight w:val="none"/>
              </w:rPr>
            </w:pPr>
            <w:r>
              <w:rPr>
                <w:color w:val="auto"/>
                <w:highlight w:val="none"/>
              </w:rPr>
              <w:t>mg/L</w:t>
            </w:r>
          </w:p>
        </w:tc>
        <w:tc>
          <w:tcPr>
            <w:tcW w:w="347" w:type="pct"/>
            <w:tcBorders>
              <w:tl2br w:val="nil"/>
              <w:tr2bl w:val="nil"/>
            </w:tcBorders>
            <w:vAlign w:val="center"/>
          </w:tcPr>
          <w:p w14:paraId="097557D9">
            <w:pPr>
              <w:pStyle w:val="41"/>
              <w:widowControl w:val="0"/>
              <w:rPr>
                <w:color w:val="auto"/>
                <w:highlight w:val="none"/>
              </w:rPr>
            </w:pPr>
            <w:r>
              <w:rPr>
                <w:color w:val="auto"/>
                <w:highlight w:val="none"/>
              </w:rPr>
              <w:t>125</w:t>
            </w:r>
          </w:p>
        </w:tc>
        <w:tc>
          <w:tcPr>
            <w:tcW w:w="304" w:type="pct"/>
            <w:tcBorders>
              <w:tl2br w:val="nil"/>
              <w:tr2bl w:val="nil"/>
            </w:tcBorders>
            <w:vAlign w:val="center"/>
          </w:tcPr>
          <w:p w14:paraId="75B7E690">
            <w:pPr>
              <w:pStyle w:val="41"/>
              <w:widowControl w:val="0"/>
              <w:rPr>
                <w:color w:val="auto"/>
                <w:highlight w:val="none"/>
              </w:rPr>
            </w:pPr>
            <w:r>
              <w:rPr>
                <w:rFonts w:hint="eastAsia"/>
                <w:color w:val="auto"/>
                <w:highlight w:val="none"/>
              </w:rPr>
              <w:t>0.5</w:t>
            </w:r>
          </w:p>
        </w:tc>
        <w:tc>
          <w:tcPr>
            <w:tcW w:w="347" w:type="pct"/>
            <w:tcBorders>
              <w:tl2br w:val="nil"/>
              <w:tr2bl w:val="nil"/>
            </w:tcBorders>
            <w:vAlign w:val="center"/>
          </w:tcPr>
          <w:p w14:paraId="2B150E23">
            <w:pPr>
              <w:pStyle w:val="41"/>
              <w:widowControl w:val="0"/>
              <w:rPr>
                <w:color w:val="auto"/>
                <w:highlight w:val="none"/>
              </w:rPr>
            </w:pPr>
            <w:r>
              <w:rPr>
                <w:color w:val="auto"/>
                <w:highlight w:val="none"/>
              </w:rPr>
              <w:t>115</w:t>
            </w:r>
          </w:p>
        </w:tc>
        <w:tc>
          <w:tcPr>
            <w:tcW w:w="304" w:type="pct"/>
            <w:tcBorders>
              <w:tl2br w:val="nil"/>
              <w:tr2bl w:val="nil"/>
            </w:tcBorders>
            <w:vAlign w:val="center"/>
          </w:tcPr>
          <w:p w14:paraId="61CC16E0">
            <w:pPr>
              <w:pStyle w:val="41"/>
              <w:widowControl w:val="0"/>
              <w:rPr>
                <w:color w:val="auto"/>
                <w:highlight w:val="none"/>
              </w:rPr>
            </w:pPr>
            <w:r>
              <w:rPr>
                <w:rFonts w:hint="eastAsia"/>
                <w:color w:val="auto"/>
                <w:highlight w:val="none"/>
              </w:rPr>
              <w:t>0.46</w:t>
            </w:r>
          </w:p>
        </w:tc>
        <w:tc>
          <w:tcPr>
            <w:tcW w:w="347" w:type="pct"/>
            <w:tcBorders>
              <w:tl2br w:val="nil"/>
              <w:tr2bl w:val="nil"/>
            </w:tcBorders>
            <w:vAlign w:val="center"/>
          </w:tcPr>
          <w:p w14:paraId="6D96781F">
            <w:pPr>
              <w:pStyle w:val="41"/>
              <w:widowControl w:val="0"/>
              <w:rPr>
                <w:color w:val="auto"/>
                <w:highlight w:val="none"/>
              </w:rPr>
            </w:pPr>
            <w:r>
              <w:rPr>
                <w:color w:val="auto"/>
                <w:highlight w:val="none"/>
              </w:rPr>
              <w:t>80</w:t>
            </w:r>
          </w:p>
        </w:tc>
        <w:tc>
          <w:tcPr>
            <w:tcW w:w="304" w:type="pct"/>
            <w:tcBorders>
              <w:tl2br w:val="nil"/>
              <w:tr2bl w:val="nil"/>
            </w:tcBorders>
            <w:vAlign w:val="center"/>
          </w:tcPr>
          <w:p w14:paraId="408B3AEB">
            <w:pPr>
              <w:pStyle w:val="41"/>
              <w:widowControl w:val="0"/>
              <w:rPr>
                <w:color w:val="auto"/>
                <w:highlight w:val="none"/>
              </w:rPr>
            </w:pPr>
            <w:r>
              <w:rPr>
                <w:rFonts w:hint="eastAsia"/>
                <w:color w:val="auto"/>
                <w:highlight w:val="none"/>
              </w:rPr>
              <w:t>0.32</w:t>
            </w:r>
          </w:p>
        </w:tc>
        <w:tc>
          <w:tcPr>
            <w:tcW w:w="414" w:type="pct"/>
            <w:tcBorders>
              <w:tl2br w:val="nil"/>
              <w:tr2bl w:val="nil"/>
            </w:tcBorders>
            <w:vAlign w:val="center"/>
          </w:tcPr>
          <w:p w14:paraId="38601460">
            <w:pPr>
              <w:pStyle w:val="41"/>
              <w:widowControl w:val="0"/>
              <w:rPr>
                <w:color w:val="auto"/>
                <w:highlight w:val="none"/>
              </w:rPr>
            </w:pPr>
            <w:r>
              <w:rPr>
                <w:color w:val="auto"/>
                <w:highlight w:val="none"/>
              </w:rPr>
              <w:t>217</w:t>
            </w:r>
          </w:p>
        </w:tc>
        <w:tc>
          <w:tcPr>
            <w:tcW w:w="414" w:type="pct"/>
            <w:tcBorders>
              <w:tl2br w:val="nil"/>
              <w:tr2bl w:val="nil"/>
            </w:tcBorders>
            <w:vAlign w:val="center"/>
          </w:tcPr>
          <w:p w14:paraId="58FA79E5">
            <w:pPr>
              <w:pStyle w:val="41"/>
              <w:widowControl w:val="0"/>
              <w:rPr>
                <w:color w:val="auto"/>
                <w:highlight w:val="none"/>
              </w:rPr>
            </w:pPr>
            <w:r>
              <w:rPr>
                <w:rFonts w:hint="eastAsia"/>
                <w:color w:val="auto"/>
                <w:highlight w:val="none"/>
              </w:rPr>
              <w:t>0.868</w:t>
            </w:r>
          </w:p>
        </w:tc>
        <w:tc>
          <w:tcPr>
            <w:tcW w:w="414" w:type="pct"/>
            <w:tcBorders>
              <w:tl2br w:val="nil"/>
              <w:tr2bl w:val="nil"/>
            </w:tcBorders>
            <w:vAlign w:val="center"/>
          </w:tcPr>
          <w:p w14:paraId="1C2329EC">
            <w:pPr>
              <w:pStyle w:val="41"/>
              <w:widowControl w:val="0"/>
              <w:rPr>
                <w:color w:val="auto"/>
                <w:highlight w:val="none"/>
              </w:rPr>
            </w:pPr>
            <w:r>
              <w:rPr>
                <w:color w:val="auto"/>
                <w:highlight w:val="none"/>
              </w:rPr>
              <w:t>234</w:t>
            </w:r>
          </w:p>
        </w:tc>
        <w:tc>
          <w:tcPr>
            <w:tcW w:w="414" w:type="pct"/>
            <w:tcBorders>
              <w:tl2br w:val="nil"/>
              <w:tr2bl w:val="nil"/>
            </w:tcBorders>
            <w:vAlign w:val="center"/>
          </w:tcPr>
          <w:p w14:paraId="0C0C1383">
            <w:pPr>
              <w:pStyle w:val="41"/>
              <w:widowControl w:val="0"/>
              <w:rPr>
                <w:color w:val="auto"/>
                <w:highlight w:val="none"/>
              </w:rPr>
            </w:pPr>
            <w:r>
              <w:rPr>
                <w:rFonts w:hint="eastAsia"/>
                <w:color w:val="auto"/>
                <w:highlight w:val="none"/>
              </w:rPr>
              <w:t>0.936</w:t>
            </w:r>
          </w:p>
        </w:tc>
        <w:tc>
          <w:tcPr>
            <w:tcW w:w="425" w:type="pct"/>
            <w:tcBorders>
              <w:tl2br w:val="nil"/>
              <w:tr2bl w:val="nil"/>
            </w:tcBorders>
            <w:vAlign w:val="center"/>
          </w:tcPr>
          <w:p w14:paraId="465534B9">
            <w:pPr>
              <w:pStyle w:val="41"/>
              <w:widowControl w:val="0"/>
              <w:rPr>
                <w:color w:val="auto"/>
                <w:highlight w:val="none"/>
              </w:rPr>
            </w:pPr>
            <w:r>
              <w:rPr>
                <w:color w:val="auto"/>
                <w:highlight w:val="none"/>
              </w:rPr>
              <w:t>≤250mg/L</w:t>
            </w:r>
          </w:p>
        </w:tc>
      </w:tr>
      <w:tr w14:paraId="36D3EF7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tcBorders>
              <w:tl2br w:val="nil"/>
              <w:tr2bl w:val="nil"/>
            </w:tcBorders>
            <w:vAlign w:val="center"/>
          </w:tcPr>
          <w:p w14:paraId="6AD3B9EF">
            <w:pPr>
              <w:pStyle w:val="41"/>
              <w:widowControl w:val="0"/>
              <w:rPr>
                <w:color w:val="auto"/>
                <w:highlight w:val="none"/>
              </w:rPr>
            </w:pPr>
            <w:r>
              <w:rPr>
                <w:color w:val="auto"/>
                <w:highlight w:val="none"/>
              </w:rPr>
              <w:t>8</w:t>
            </w:r>
          </w:p>
        </w:tc>
        <w:tc>
          <w:tcPr>
            <w:tcW w:w="484" w:type="pct"/>
            <w:tcBorders>
              <w:tl2br w:val="nil"/>
              <w:tr2bl w:val="nil"/>
            </w:tcBorders>
            <w:vAlign w:val="center"/>
          </w:tcPr>
          <w:p w14:paraId="5790FC0F">
            <w:pPr>
              <w:pStyle w:val="41"/>
              <w:widowControl w:val="0"/>
              <w:rPr>
                <w:color w:val="auto"/>
                <w:highlight w:val="none"/>
              </w:rPr>
            </w:pPr>
            <w:r>
              <w:rPr>
                <w:rFonts w:hint="eastAsia"/>
                <w:color w:val="auto"/>
                <w:highlight w:val="none"/>
              </w:rPr>
              <w:t>硫酸盐</w:t>
            </w:r>
          </w:p>
        </w:tc>
        <w:tc>
          <w:tcPr>
            <w:tcW w:w="275" w:type="pct"/>
            <w:tcBorders>
              <w:tl2br w:val="nil"/>
              <w:tr2bl w:val="nil"/>
            </w:tcBorders>
            <w:vAlign w:val="center"/>
          </w:tcPr>
          <w:p w14:paraId="7022BD90">
            <w:pPr>
              <w:pStyle w:val="41"/>
              <w:widowControl w:val="0"/>
              <w:rPr>
                <w:color w:val="auto"/>
                <w:highlight w:val="none"/>
              </w:rPr>
            </w:pPr>
            <w:r>
              <w:rPr>
                <w:color w:val="auto"/>
                <w:highlight w:val="none"/>
              </w:rPr>
              <w:t>mg/L</w:t>
            </w:r>
          </w:p>
        </w:tc>
        <w:tc>
          <w:tcPr>
            <w:tcW w:w="347" w:type="pct"/>
            <w:tcBorders>
              <w:tl2br w:val="nil"/>
              <w:tr2bl w:val="nil"/>
            </w:tcBorders>
            <w:vAlign w:val="center"/>
          </w:tcPr>
          <w:p w14:paraId="7FCF2FA6">
            <w:pPr>
              <w:pStyle w:val="41"/>
              <w:widowControl w:val="0"/>
              <w:rPr>
                <w:color w:val="auto"/>
                <w:highlight w:val="none"/>
              </w:rPr>
            </w:pPr>
            <w:r>
              <w:rPr>
                <w:color w:val="auto"/>
                <w:highlight w:val="none"/>
              </w:rPr>
              <w:t>235</w:t>
            </w:r>
          </w:p>
        </w:tc>
        <w:tc>
          <w:tcPr>
            <w:tcW w:w="304" w:type="pct"/>
            <w:tcBorders>
              <w:tl2br w:val="nil"/>
              <w:tr2bl w:val="nil"/>
            </w:tcBorders>
            <w:vAlign w:val="center"/>
          </w:tcPr>
          <w:p w14:paraId="4A63FAB3">
            <w:pPr>
              <w:pStyle w:val="41"/>
              <w:widowControl w:val="0"/>
              <w:rPr>
                <w:color w:val="auto"/>
                <w:highlight w:val="none"/>
              </w:rPr>
            </w:pPr>
            <w:r>
              <w:rPr>
                <w:rFonts w:hint="eastAsia"/>
                <w:color w:val="auto"/>
                <w:highlight w:val="none"/>
              </w:rPr>
              <w:t>0.94</w:t>
            </w:r>
          </w:p>
        </w:tc>
        <w:tc>
          <w:tcPr>
            <w:tcW w:w="347" w:type="pct"/>
            <w:tcBorders>
              <w:tl2br w:val="nil"/>
              <w:tr2bl w:val="nil"/>
            </w:tcBorders>
            <w:vAlign w:val="center"/>
          </w:tcPr>
          <w:p w14:paraId="7895878E">
            <w:pPr>
              <w:pStyle w:val="41"/>
              <w:widowControl w:val="0"/>
              <w:rPr>
                <w:color w:val="auto"/>
                <w:highlight w:val="none"/>
              </w:rPr>
            </w:pPr>
            <w:r>
              <w:rPr>
                <w:color w:val="auto"/>
                <w:highlight w:val="none"/>
              </w:rPr>
              <w:t>205</w:t>
            </w:r>
          </w:p>
        </w:tc>
        <w:tc>
          <w:tcPr>
            <w:tcW w:w="304" w:type="pct"/>
            <w:tcBorders>
              <w:tl2br w:val="nil"/>
              <w:tr2bl w:val="nil"/>
            </w:tcBorders>
            <w:vAlign w:val="center"/>
          </w:tcPr>
          <w:p w14:paraId="1B7E4D52">
            <w:pPr>
              <w:pStyle w:val="41"/>
              <w:widowControl w:val="0"/>
              <w:rPr>
                <w:color w:val="auto"/>
                <w:highlight w:val="none"/>
              </w:rPr>
            </w:pPr>
            <w:r>
              <w:rPr>
                <w:rFonts w:hint="eastAsia"/>
                <w:color w:val="auto"/>
                <w:highlight w:val="none"/>
              </w:rPr>
              <w:t>0.82</w:t>
            </w:r>
          </w:p>
        </w:tc>
        <w:tc>
          <w:tcPr>
            <w:tcW w:w="347" w:type="pct"/>
            <w:tcBorders>
              <w:tl2br w:val="nil"/>
              <w:tr2bl w:val="nil"/>
            </w:tcBorders>
            <w:vAlign w:val="center"/>
          </w:tcPr>
          <w:p w14:paraId="57690AA5">
            <w:pPr>
              <w:pStyle w:val="41"/>
              <w:widowControl w:val="0"/>
              <w:rPr>
                <w:color w:val="auto"/>
                <w:highlight w:val="none"/>
              </w:rPr>
            </w:pPr>
            <w:r>
              <w:rPr>
                <w:color w:val="auto"/>
                <w:highlight w:val="none"/>
              </w:rPr>
              <w:t>150</w:t>
            </w:r>
          </w:p>
        </w:tc>
        <w:tc>
          <w:tcPr>
            <w:tcW w:w="304" w:type="pct"/>
            <w:tcBorders>
              <w:tl2br w:val="nil"/>
              <w:tr2bl w:val="nil"/>
            </w:tcBorders>
            <w:vAlign w:val="center"/>
          </w:tcPr>
          <w:p w14:paraId="73CA3D32">
            <w:pPr>
              <w:pStyle w:val="41"/>
              <w:widowControl w:val="0"/>
              <w:rPr>
                <w:color w:val="auto"/>
                <w:highlight w:val="none"/>
              </w:rPr>
            </w:pPr>
            <w:r>
              <w:rPr>
                <w:rFonts w:hint="eastAsia"/>
                <w:color w:val="auto"/>
                <w:highlight w:val="none"/>
              </w:rPr>
              <w:t>0.6</w:t>
            </w:r>
          </w:p>
        </w:tc>
        <w:tc>
          <w:tcPr>
            <w:tcW w:w="414" w:type="pct"/>
            <w:tcBorders>
              <w:tl2br w:val="nil"/>
              <w:tr2bl w:val="nil"/>
            </w:tcBorders>
            <w:vAlign w:val="center"/>
          </w:tcPr>
          <w:p w14:paraId="309A9E87">
            <w:pPr>
              <w:pStyle w:val="41"/>
              <w:widowControl w:val="0"/>
              <w:rPr>
                <w:color w:val="auto"/>
                <w:highlight w:val="none"/>
              </w:rPr>
            </w:pPr>
            <w:r>
              <w:rPr>
                <w:color w:val="auto"/>
                <w:highlight w:val="none"/>
              </w:rPr>
              <w:t>232</w:t>
            </w:r>
          </w:p>
        </w:tc>
        <w:tc>
          <w:tcPr>
            <w:tcW w:w="414" w:type="pct"/>
            <w:tcBorders>
              <w:tl2br w:val="nil"/>
              <w:tr2bl w:val="nil"/>
            </w:tcBorders>
            <w:vAlign w:val="center"/>
          </w:tcPr>
          <w:p w14:paraId="36C06228">
            <w:pPr>
              <w:pStyle w:val="41"/>
              <w:widowControl w:val="0"/>
              <w:rPr>
                <w:color w:val="auto"/>
                <w:highlight w:val="none"/>
              </w:rPr>
            </w:pPr>
            <w:r>
              <w:rPr>
                <w:rFonts w:hint="eastAsia"/>
                <w:color w:val="auto"/>
                <w:highlight w:val="none"/>
              </w:rPr>
              <w:t>0.928</w:t>
            </w:r>
          </w:p>
        </w:tc>
        <w:tc>
          <w:tcPr>
            <w:tcW w:w="414" w:type="pct"/>
            <w:tcBorders>
              <w:tl2br w:val="nil"/>
              <w:tr2bl w:val="nil"/>
            </w:tcBorders>
            <w:vAlign w:val="center"/>
          </w:tcPr>
          <w:p w14:paraId="0D826C74">
            <w:pPr>
              <w:pStyle w:val="41"/>
              <w:widowControl w:val="0"/>
              <w:rPr>
                <w:color w:val="auto"/>
                <w:highlight w:val="none"/>
              </w:rPr>
            </w:pPr>
            <w:r>
              <w:rPr>
                <w:color w:val="auto"/>
                <w:highlight w:val="none"/>
              </w:rPr>
              <w:t>247</w:t>
            </w:r>
          </w:p>
        </w:tc>
        <w:tc>
          <w:tcPr>
            <w:tcW w:w="414" w:type="pct"/>
            <w:tcBorders>
              <w:tl2br w:val="nil"/>
              <w:tr2bl w:val="nil"/>
            </w:tcBorders>
            <w:vAlign w:val="center"/>
          </w:tcPr>
          <w:p w14:paraId="5F876266">
            <w:pPr>
              <w:pStyle w:val="41"/>
              <w:widowControl w:val="0"/>
              <w:rPr>
                <w:color w:val="auto"/>
                <w:highlight w:val="none"/>
              </w:rPr>
            </w:pPr>
            <w:r>
              <w:rPr>
                <w:rFonts w:hint="eastAsia"/>
                <w:color w:val="auto"/>
                <w:highlight w:val="none"/>
              </w:rPr>
              <w:t>0.988</w:t>
            </w:r>
          </w:p>
        </w:tc>
        <w:tc>
          <w:tcPr>
            <w:tcW w:w="425" w:type="pct"/>
            <w:tcBorders>
              <w:tl2br w:val="nil"/>
              <w:tr2bl w:val="nil"/>
            </w:tcBorders>
            <w:vAlign w:val="center"/>
          </w:tcPr>
          <w:p w14:paraId="67D6CF19">
            <w:pPr>
              <w:pStyle w:val="41"/>
              <w:widowControl w:val="0"/>
              <w:rPr>
                <w:color w:val="auto"/>
                <w:highlight w:val="none"/>
              </w:rPr>
            </w:pPr>
            <w:r>
              <w:rPr>
                <w:color w:val="auto"/>
                <w:highlight w:val="none"/>
              </w:rPr>
              <w:t>≤250mg/L</w:t>
            </w:r>
          </w:p>
        </w:tc>
      </w:tr>
      <w:tr w14:paraId="6C9C9AD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tcBorders>
              <w:tl2br w:val="nil"/>
              <w:tr2bl w:val="nil"/>
            </w:tcBorders>
            <w:vAlign w:val="center"/>
          </w:tcPr>
          <w:p w14:paraId="7B95711A">
            <w:pPr>
              <w:pStyle w:val="41"/>
              <w:widowControl w:val="0"/>
              <w:rPr>
                <w:color w:val="auto"/>
                <w:highlight w:val="none"/>
              </w:rPr>
            </w:pPr>
            <w:r>
              <w:rPr>
                <w:color w:val="auto"/>
                <w:highlight w:val="none"/>
              </w:rPr>
              <w:t>9</w:t>
            </w:r>
          </w:p>
        </w:tc>
        <w:tc>
          <w:tcPr>
            <w:tcW w:w="484" w:type="pct"/>
            <w:tcBorders>
              <w:tl2br w:val="nil"/>
              <w:tr2bl w:val="nil"/>
            </w:tcBorders>
            <w:vAlign w:val="center"/>
          </w:tcPr>
          <w:p w14:paraId="2F20F559">
            <w:pPr>
              <w:pStyle w:val="41"/>
              <w:widowControl w:val="0"/>
              <w:rPr>
                <w:color w:val="auto"/>
                <w:highlight w:val="none"/>
              </w:rPr>
            </w:pPr>
            <w:r>
              <w:rPr>
                <w:rFonts w:hint="eastAsia"/>
                <w:color w:val="auto"/>
                <w:highlight w:val="none"/>
              </w:rPr>
              <w:t>总硬度</w:t>
            </w:r>
          </w:p>
        </w:tc>
        <w:tc>
          <w:tcPr>
            <w:tcW w:w="275" w:type="pct"/>
            <w:tcBorders>
              <w:tl2br w:val="nil"/>
              <w:tr2bl w:val="nil"/>
            </w:tcBorders>
            <w:vAlign w:val="center"/>
          </w:tcPr>
          <w:p w14:paraId="1E711766">
            <w:pPr>
              <w:pStyle w:val="41"/>
              <w:widowControl w:val="0"/>
              <w:rPr>
                <w:color w:val="auto"/>
                <w:highlight w:val="none"/>
              </w:rPr>
            </w:pPr>
            <w:r>
              <w:rPr>
                <w:color w:val="auto"/>
                <w:highlight w:val="none"/>
              </w:rPr>
              <w:t>mg/L</w:t>
            </w:r>
          </w:p>
        </w:tc>
        <w:tc>
          <w:tcPr>
            <w:tcW w:w="347" w:type="pct"/>
            <w:tcBorders>
              <w:tl2br w:val="nil"/>
              <w:tr2bl w:val="nil"/>
            </w:tcBorders>
            <w:vAlign w:val="center"/>
          </w:tcPr>
          <w:p w14:paraId="739B6324">
            <w:pPr>
              <w:pStyle w:val="41"/>
              <w:widowControl w:val="0"/>
              <w:rPr>
                <w:color w:val="auto"/>
                <w:highlight w:val="none"/>
              </w:rPr>
            </w:pPr>
            <w:r>
              <w:rPr>
                <w:color w:val="auto"/>
                <w:highlight w:val="none"/>
              </w:rPr>
              <w:t>355</w:t>
            </w:r>
          </w:p>
        </w:tc>
        <w:tc>
          <w:tcPr>
            <w:tcW w:w="304" w:type="pct"/>
            <w:tcBorders>
              <w:tl2br w:val="nil"/>
              <w:tr2bl w:val="nil"/>
            </w:tcBorders>
            <w:vAlign w:val="center"/>
          </w:tcPr>
          <w:p w14:paraId="2B375A09">
            <w:pPr>
              <w:pStyle w:val="41"/>
              <w:widowControl w:val="0"/>
              <w:rPr>
                <w:color w:val="auto"/>
                <w:highlight w:val="none"/>
              </w:rPr>
            </w:pPr>
            <w:r>
              <w:rPr>
                <w:rFonts w:hint="eastAsia"/>
                <w:color w:val="auto"/>
                <w:highlight w:val="none"/>
              </w:rPr>
              <w:t>0.789</w:t>
            </w:r>
          </w:p>
        </w:tc>
        <w:tc>
          <w:tcPr>
            <w:tcW w:w="347" w:type="pct"/>
            <w:tcBorders>
              <w:tl2br w:val="nil"/>
              <w:tr2bl w:val="nil"/>
            </w:tcBorders>
            <w:vAlign w:val="center"/>
          </w:tcPr>
          <w:p w14:paraId="0585CBC9">
            <w:pPr>
              <w:pStyle w:val="41"/>
              <w:widowControl w:val="0"/>
              <w:rPr>
                <w:color w:val="auto"/>
                <w:highlight w:val="none"/>
              </w:rPr>
            </w:pPr>
            <w:r>
              <w:rPr>
                <w:color w:val="auto"/>
                <w:highlight w:val="none"/>
              </w:rPr>
              <w:t>314</w:t>
            </w:r>
          </w:p>
        </w:tc>
        <w:tc>
          <w:tcPr>
            <w:tcW w:w="304" w:type="pct"/>
            <w:tcBorders>
              <w:tl2br w:val="nil"/>
              <w:tr2bl w:val="nil"/>
            </w:tcBorders>
            <w:vAlign w:val="center"/>
          </w:tcPr>
          <w:p w14:paraId="78E7A08D">
            <w:pPr>
              <w:pStyle w:val="41"/>
              <w:widowControl w:val="0"/>
              <w:rPr>
                <w:color w:val="auto"/>
                <w:highlight w:val="none"/>
              </w:rPr>
            </w:pPr>
            <w:r>
              <w:rPr>
                <w:rFonts w:hint="eastAsia"/>
                <w:color w:val="auto"/>
                <w:highlight w:val="none"/>
              </w:rPr>
              <w:t>0.699</w:t>
            </w:r>
          </w:p>
        </w:tc>
        <w:tc>
          <w:tcPr>
            <w:tcW w:w="347" w:type="pct"/>
            <w:tcBorders>
              <w:tl2br w:val="nil"/>
              <w:tr2bl w:val="nil"/>
            </w:tcBorders>
            <w:vAlign w:val="center"/>
          </w:tcPr>
          <w:p w14:paraId="69074CD0">
            <w:pPr>
              <w:pStyle w:val="41"/>
              <w:widowControl w:val="0"/>
              <w:rPr>
                <w:color w:val="auto"/>
                <w:highlight w:val="none"/>
              </w:rPr>
            </w:pPr>
            <w:r>
              <w:rPr>
                <w:color w:val="auto"/>
                <w:highlight w:val="none"/>
              </w:rPr>
              <w:t>336</w:t>
            </w:r>
          </w:p>
        </w:tc>
        <w:tc>
          <w:tcPr>
            <w:tcW w:w="304" w:type="pct"/>
            <w:tcBorders>
              <w:tl2br w:val="nil"/>
              <w:tr2bl w:val="nil"/>
            </w:tcBorders>
            <w:vAlign w:val="center"/>
          </w:tcPr>
          <w:p w14:paraId="581AB0B0">
            <w:pPr>
              <w:pStyle w:val="41"/>
              <w:widowControl w:val="0"/>
              <w:rPr>
                <w:color w:val="auto"/>
                <w:highlight w:val="none"/>
              </w:rPr>
            </w:pPr>
            <w:r>
              <w:rPr>
                <w:rFonts w:hint="eastAsia"/>
                <w:color w:val="auto"/>
                <w:highlight w:val="none"/>
              </w:rPr>
              <w:t>0.747</w:t>
            </w:r>
          </w:p>
        </w:tc>
        <w:tc>
          <w:tcPr>
            <w:tcW w:w="414" w:type="pct"/>
            <w:tcBorders>
              <w:tl2br w:val="nil"/>
              <w:tr2bl w:val="nil"/>
            </w:tcBorders>
            <w:vAlign w:val="center"/>
          </w:tcPr>
          <w:p w14:paraId="12F923B6">
            <w:pPr>
              <w:pStyle w:val="41"/>
              <w:widowControl w:val="0"/>
              <w:rPr>
                <w:color w:val="auto"/>
                <w:highlight w:val="none"/>
              </w:rPr>
            </w:pPr>
            <w:r>
              <w:rPr>
                <w:color w:val="auto"/>
                <w:highlight w:val="none"/>
              </w:rPr>
              <w:t>330</w:t>
            </w:r>
          </w:p>
        </w:tc>
        <w:tc>
          <w:tcPr>
            <w:tcW w:w="414" w:type="pct"/>
            <w:tcBorders>
              <w:tl2br w:val="nil"/>
              <w:tr2bl w:val="nil"/>
            </w:tcBorders>
            <w:vAlign w:val="center"/>
          </w:tcPr>
          <w:p w14:paraId="7ADBB370">
            <w:pPr>
              <w:pStyle w:val="41"/>
              <w:widowControl w:val="0"/>
              <w:rPr>
                <w:color w:val="auto"/>
                <w:highlight w:val="none"/>
              </w:rPr>
            </w:pPr>
            <w:r>
              <w:rPr>
                <w:rFonts w:hint="eastAsia"/>
                <w:color w:val="auto"/>
                <w:highlight w:val="none"/>
              </w:rPr>
              <w:t>0.733</w:t>
            </w:r>
          </w:p>
        </w:tc>
        <w:tc>
          <w:tcPr>
            <w:tcW w:w="414" w:type="pct"/>
            <w:tcBorders>
              <w:tl2br w:val="nil"/>
              <w:tr2bl w:val="nil"/>
            </w:tcBorders>
            <w:vAlign w:val="center"/>
          </w:tcPr>
          <w:p w14:paraId="597FC3FA">
            <w:pPr>
              <w:pStyle w:val="41"/>
              <w:widowControl w:val="0"/>
              <w:rPr>
                <w:color w:val="auto"/>
                <w:highlight w:val="none"/>
              </w:rPr>
            </w:pPr>
            <w:r>
              <w:rPr>
                <w:color w:val="auto"/>
                <w:highlight w:val="none"/>
              </w:rPr>
              <w:t>360</w:t>
            </w:r>
          </w:p>
        </w:tc>
        <w:tc>
          <w:tcPr>
            <w:tcW w:w="414" w:type="pct"/>
            <w:tcBorders>
              <w:tl2br w:val="nil"/>
              <w:tr2bl w:val="nil"/>
            </w:tcBorders>
            <w:vAlign w:val="center"/>
          </w:tcPr>
          <w:p w14:paraId="158E2411">
            <w:pPr>
              <w:pStyle w:val="41"/>
              <w:widowControl w:val="0"/>
              <w:rPr>
                <w:color w:val="auto"/>
                <w:highlight w:val="none"/>
              </w:rPr>
            </w:pPr>
            <w:r>
              <w:rPr>
                <w:rFonts w:hint="eastAsia"/>
                <w:color w:val="auto"/>
                <w:highlight w:val="none"/>
              </w:rPr>
              <w:t>0.8</w:t>
            </w:r>
          </w:p>
        </w:tc>
        <w:tc>
          <w:tcPr>
            <w:tcW w:w="425" w:type="pct"/>
            <w:tcBorders>
              <w:tl2br w:val="nil"/>
              <w:tr2bl w:val="nil"/>
            </w:tcBorders>
            <w:vAlign w:val="center"/>
          </w:tcPr>
          <w:p w14:paraId="090A5647">
            <w:pPr>
              <w:pStyle w:val="41"/>
              <w:widowControl w:val="0"/>
              <w:rPr>
                <w:color w:val="auto"/>
                <w:highlight w:val="none"/>
              </w:rPr>
            </w:pPr>
            <w:r>
              <w:rPr>
                <w:color w:val="auto"/>
                <w:highlight w:val="none"/>
              </w:rPr>
              <w:t>≤450mg/L</w:t>
            </w:r>
          </w:p>
        </w:tc>
      </w:tr>
      <w:tr w14:paraId="654D5AB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tcBorders>
              <w:tl2br w:val="nil"/>
              <w:tr2bl w:val="nil"/>
            </w:tcBorders>
            <w:vAlign w:val="center"/>
          </w:tcPr>
          <w:p w14:paraId="4EEC002B">
            <w:pPr>
              <w:pStyle w:val="41"/>
              <w:widowControl w:val="0"/>
              <w:rPr>
                <w:color w:val="auto"/>
                <w:highlight w:val="none"/>
              </w:rPr>
            </w:pPr>
            <w:r>
              <w:rPr>
                <w:color w:val="auto"/>
                <w:highlight w:val="none"/>
              </w:rPr>
              <w:t>10</w:t>
            </w:r>
          </w:p>
        </w:tc>
        <w:tc>
          <w:tcPr>
            <w:tcW w:w="484" w:type="pct"/>
            <w:tcBorders>
              <w:tl2br w:val="nil"/>
              <w:tr2bl w:val="nil"/>
            </w:tcBorders>
            <w:vAlign w:val="center"/>
          </w:tcPr>
          <w:p w14:paraId="4ECF4CF5">
            <w:pPr>
              <w:pStyle w:val="41"/>
              <w:widowControl w:val="0"/>
              <w:rPr>
                <w:color w:val="auto"/>
                <w:highlight w:val="none"/>
              </w:rPr>
            </w:pPr>
            <w:r>
              <w:rPr>
                <w:rFonts w:hint="eastAsia"/>
                <w:color w:val="auto"/>
                <w:highlight w:val="none"/>
              </w:rPr>
              <w:t>溶解性总固体</w:t>
            </w:r>
          </w:p>
        </w:tc>
        <w:tc>
          <w:tcPr>
            <w:tcW w:w="275" w:type="pct"/>
            <w:tcBorders>
              <w:tl2br w:val="nil"/>
              <w:tr2bl w:val="nil"/>
            </w:tcBorders>
            <w:vAlign w:val="center"/>
          </w:tcPr>
          <w:p w14:paraId="01C83CF5">
            <w:pPr>
              <w:pStyle w:val="41"/>
              <w:widowControl w:val="0"/>
              <w:rPr>
                <w:color w:val="auto"/>
                <w:highlight w:val="none"/>
              </w:rPr>
            </w:pPr>
            <w:r>
              <w:rPr>
                <w:color w:val="auto"/>
                <w:highlight w:val="none"/>
              </w:rPr>
              <w:t>mg/L</w:t>
            </w:r>
          </w:p>
        </w:tc>
        <w:tc>
          <w:tcPr>
            <w:tcW w:w="347" w:type="pct"/>
            <w:tcBorders>
              <w:tl2br w:val="nil"/>
              <w:tr2bl w:val="nil"/>
            </w:tcBorders>
            <w:vAlign w:val="center"/>
          </w:tcPr>
          <w:p w14:paraId="79D73055">
            <w:pPr>
              <w:pStyle w:val="41"/>
              <w:widowControl w:val="0"/>
              <w:rPr>
                <w:color w:val="auto"/>
                <w:highlight w:val="none"/>
              </w:rPr>
            </w:pPr>
            <w:r>
              <w:rPr>
                <w:color w:val="auto"/>
                <w:highlight w:val="none"/>
              </w:rPr>
              <w:t>788</w:t>
            </w:r>
          </w:p>
        </w:tc>
        <w:tc>
          <w:tcPr>
            <w:tcW w:w="304" w:type="pct"/>
            <w:tcBorders>
              <w:tl2br w:val="nil"/>
              <w:tr2bl w:val="nil"/>
            </w:tcBorders>
            <w:vAlign w:val="center"/>
          </w:tcPr>
          <w:p w14:paraId="4F6628F6">
            <w:pPr>
              <w:pStyle w:val="41"/>
              <w:widowControl w:val="0"/>
              <w:rPr>
                <w:color w:val="auto"/>
                <w:highlight w:val="none"/>
              </w:rPr>
            </w:pPr>
            <w:r>
              <w:rPr>
                <w:rFonts w:hint="eastAsia"/>
                <w:color w:val="auto"/>
                <w:highlight w:val="none"/>
              </w:rPr>
              <w:t>0.788</w:t>
            </w:r>
          </w:p>
        </w:tc>
        <w:tc>
          <w:tcPr>
            <w:tcW w:w="347" w:type="pct"/>
            <w:tcBorders>
              <w:tl2br w:val="nil"/>
              <w:tr2bl w:val="nil"/>
            </w:tcBorders>
            <w:vAlign w:val="center"/>
          </w:tcPr>
          <w:p w14:paraId="1D3E4E7E">
            <w:pPr>
              <w:pStyle w:val="41"/>
              <w:widowControl w:val="0"/>
              <w:rPr>
                <w:color w:val="auto"/>
                <w:highlight w:val="none"/>
              </w:rPr>
            </w:pPr>
            <w:r>
              <w:rPr>
                <w:color w:val="auto"/>
                <w:highlight w:val="none"/>
              </w:rPr>
              <w:t>713</w:t>
            </w:r>
          </w:p>
        </w:tc>
        <w:tc>
          <w:tcPr>
            <w:tcW w:w="304" w:type="pct"/>
            <w:tcBorders>
              <w:tl2br w:val="nil"/>
              <w:tr2bl w:val="nil"/>
            </w:tcBorders>
            <w:vAlign w:val="center"/>
          </w:tcPr>
          <w:p w14:paraId="7A560B8A">
            <w:pPr>
              <w:pStyle w:val="41"/>
              <w:widowControl w:val="0"/>
              <w:rPr>
                <w:color w:val="auto"/>
                <w:highlight w:val="none"/>
              </w:rPr>
            </w:pPr>
            <w:r>
              <w:rPr>
                <w:rFonts w:hint="eastAsia"/>
                <w:color w:val="auto"/>
                <w:highlight w:val="none"/>
              </w:rPr>
              <w:t>0.713</w:t>
            </w:r>
          </w:p>
        </w:tc>
        <w:tc>
          <w:tcPr>
            <w:tcW w:w="347" w:type="pct"/>
            <w:tcBorders>
              <w:tl2br w:val="nil"/>
              <w:tr2bl w:val="nil"/>
            </w:tcBorders>
            <w:vAlign w:val="center"/>
          </w:tcPr>
          <w:p w14:paraId="5205B02E">
            <w:pPr>
              <w:pStyle w:val="41"/>
              <w:widowControl w:val="0"/>
              <w:rPr>
                <w:color w:val="auto"/>
                <w:highlight w:val="none"/>
              </w:rPr>
            </w:pPr>
            <w:r>
              <w:rPr>
                <w:color w:val="auto"/>
                <w:highlight w:val="none"/>
              </w:rPr>
              <w:t>710</w:t>
            </w:r>
          </w:p>
        </w:tc>
        <w:tc>
          <w:tcPr>
            <w:tcW w:w="304" w:type="pct"/>
            <w:tcBorders>
              <w:tl2br w:val="nil"/>
              <w:tr2bl w:val="nil"/>
            </w:tcBorders>
            <w:vAlign w:val="center"/>
          </w:tcPr>
          <w:p w14:paraId="3F44C913">
            <w:pPr>
              <w:pStyle w:val="41"/>
              <w:widowControl w:val="0"/>
              <w:rPr>
                <w:color w:val="auto"/>
                <w:highlight w:val="none"/>
              </w:rPr>
            </w:pPr>
            <w:r>
              <w:rPr>
                <w:rFonts w:hint="eastAsia"/>
                <w:color w:val="auto"/>
                <w:highlight w:val="none"/>
              </w:rPr>
              <w:t>0.71</w:t>
            </w:r>
          </w:p>
        </w:tc>
        <w:tc>
          <w:tcPr>
            <w:tcW w:w="414" w:type="pct"/>
            <w:tcBorders>
              <w:tl2br w:val="nil"/>
              <w:tr2bl w:val="nil"/>
            </w:tcBorders>
            <w:vAlign w:val="center"/>
          </w:tcPr>
          <w:p w14:paraId="4CE2BB1D">
            <w:pPr>
              <w:pStyle w:val="41"/>
              <w:widowControl w:val="0"/>
              <w:rPr>
                <w:color w:val="auto"/>
                <w:highlight w:val="none"/>
              </w:rPr>
            </w:pPr>
            <w:r>
              <w:rPr>
                <w:color w:val="auto"/>
                <w:highlight w:val="none"/>
              </w:rPr>
              <w:t>864</w:t>
            </w:r>
          </w:p>
        </w:tc>
        <w:tc>
          <w:tcPr>
            <w:tcW w:w="414" w:type="pct"/>
            <w:tcBorders>
              <w:tl2br w:val="nil"/>
              <w:tr2bl w:val="nil"/>
            </w:tcBorders>
            <w:vAlign w:val="center"/>
          </w:tcPr>
          <w:p w14:paraId="31311FE0">
            <w:pPr>
              <w:pStyle w:val="41"/>
              <w:widowControl w:val="0"/>
              <w:rPr>
                <w:color w:val="auto"/>
                <w:highlight w:val="none"/>
              </w:rPr>
            </w:pPr>
            <w:r>
              <w:rPr>
                <w:rFonts w:hint="eastAsia"/>
                <w:color w:val="auto"/>
                <w:highlight w:val="none"/>
              </w:rPr>
              <w:t>0.864</w:t>
            </w:r>
          </w:p>
        </w:tc>
        <w:tc>
          <w:tcPr>
            <w:tcW w:w="414" w:type="pct"/>
            <w:tcBorders>
              <w:tl2br w:val="nil"/>
              <w:tr2bl w:val="nil"/>
            </w:tcBorders>
            <w:vAlign w:val="center"/>
          </w:tcPr>
          <w:p w14:paraId="44A0B422">
            <w:pPr>
              <w:pStyle w:val="41"/>
              <w:widowControl w:val="0"/>
              <w:rPr>
                <w:color w:val="auto"/>
                <w:highlight w:val="none"/>
              </w:rPr>
            </w:pPr>
            <w:r>
              <w:rPr>
                <w:color w:val="auto"/>
                <w:highlight w:val="none"/>
              </w:rPr>
              <w:t>932</w:t>
            </w:r>
          </w:p>
        </w:tc>
        <w:tc>
          <w:tcPr>
            <w:tcW w:w="414" w:type="pct"/>
            <w:tcBorders>
              <w:tl2br w:val="nil"/>
              <w:tr2bl w:val="nil"/>
            </w:tcBorders>
            <w:vAlign w:val="center"/>
          </w:tcPr>
          <w:p w14:paraId="642B5B6F">
            <w:pPr>
              <w:pStyle w:val="41"/>
              <w:widowControl w:val="0"/>
              <w:rPr>
                <w:color w:val="auto"/>
                <w:highlight w:val="none"/>
              </w:rPr>
            </w:pPr>
            <w:r>
              <w:rPr>
                <w:rFonts w:hint="eastAsia"/>
                <w:color w:val="auto"/>
                <w:highlight w:val="none"/>
              </w:rPr>
              <w:t>0.932</w:t>
            </w:r>
          </w:p>
        </w:tc>
        <w:tc>
          <w:tcPr>
            <w:tcW w:w="425" w:type="pct"/>
            <w:tcBorders>
              <w:tl2br w:val="nil"/>
              <w:tr2bl w:val="nil"/>
            </w:tcBorders>
            <w:vAlign w:val="center"/>
          </w:tcPr>
          <w:p w14:paraId="6E5F9E6B">
            <w:pPr>
              <w:pStyle w:val="41"/>
              <w:widowControl w:val="0"/>
              <w:rPr>
                <w:color w:val="auto"/>
                <w:highlight w:val="none"/>
              </w:rPr>
            </w:pPr>
            <w:r>
              <w:rPr>
                <w:color w:val="auto"/>
                <w:highlight w:val="none"/>
              </w:rPr>
              <w:t>≤1000mg/L</w:t>
            </w:r>
          </w:p>
        </w:tc>
      </w:tr>
      <w:tr w14:paraId="4B40576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tcBorders>
              <w:tl2br w:val="nil"/>
              <w:tr2bl w:val="nil"/>
            </w:tcBorders>
            <w:vAlign w:val="center"/>
          </w:tcPr>
          <w:p w14:paraId="639D20D3">
            <w:pPr>
              <w:pStyle w:val="41"/>
              <w:widowControl w:val="0"/>
              <w:rPr>
                <w:color w:val="auto"/>
                <w:highlight w:val="none"/>
              </w:rPr>
            </w:pPr>
            <w:r>
              <w:rPr>
                <w:color w:val="auto"/>
                <w:highlight w:val="none"/>
              </w:rPr>
              <w:t>11</w:t>
            </w:r>
          </w:p>
        </w:tc>
        <w:tc>
          <w:tcPr>
            <w:tcW w:w="484" w:type="pct"/>
            <w:tcBorders>
              <w:tl2br w:val="nil"/>
              <w:tr2bl w:val="nil"/>
            </w:tcBorders>
            <w:vAlign w:val="center"/>
          </w:tcPr>
          <w:p w14:paraId="1E012768">
            <w:pPr>
              <w:pStyle w:val="41"/>
              <w:widowControl w:val="0"/>
              <w:rPr>
                <w:color w:val="auto"/>
                <w:highlight w:val="none"/>
              </w:rPr>
            </w:pPr>
            <w:r>
              <w:rPr>
                <w:rFonts w:hint="eastAsia"/>
                <w:color w:val="auto"/>
                <w:highlight w:val="none"/>
              </w:rPr>
              <w:t>铁</w:t>
            </w:r>
          </w:p>
        </w:tc>
        <w:tc>
          <w:tcPr>
            <w:tcW w:w="275" w:type="pct"/>
            <w:tcBorders>
              <w:tl2br w:val="nil"/>
              <w:tr2bl w:val="nil"/>
            </w:tcBorders>
            <w:vAlign w:val="center"/>
          </w:tcPr>
          <w:p w14:paraId="2D5171B6">
            <w:pPr>
              <w:pStyle w:val="41"/>
              <w:widowControl w:val="0"/>
              <w:rPr>
                <w:color w:val="auto"/>
                <w:highlight w:val="none"/>
              </w:rPr>
            </w:pPr>
            <w:r>
              <w:rPr>
                <w:color w:val="auto"/>
                <w:highlight w:val="none"/>
              </w:rPr>
              <w:t>mg/L</w:t>
            </w:r>
          </w:p>
        </w:tc>
        <w:tc>
          <w:tcPr>
            <w:tcW w:w="347" w:type="pct"/>
            <w:tcBorders>
              <w:tl2br w:val="nil"/>
              <w:tr2bl w:val="nil"/>
            </w:tcBorders>
            <w:vAlign w:val="center"/>
          </w:tcPr>
          <w:p w14:paraId="28841E0C">
            <w:pPr>
              <w:pStyle w:val="41"/>
              <w:widowControl w:val="0"/>
              <w:rPr>
                <w:color w:val="auto"/>
                <w:highlight w:val="none"/>
              </w:rPr>
            </w:pPr>
            <w:r>
              <w:rPr>
                <w:color w:val="auto"/>
                <w:highlight w:val="none"/>
              </w:rPr>
              <w:t>0.02L</w:t>
            </w:r>
          </w:p>
        </w:tc>
        <w:tc>
          <w:tcPr>
            <w:tcW w:w="304" w:type="pct"/>
            <w:tcBorders>
              <w:tl2br w:val="nil"/>
              <w:tr2bl w:val="nil"/>
            </w:tcBorders>
            <w:vAlign w:val="center"/>
          </w:tcPr>
          <w:p w14:paraId="6F817E69">
            <w:pPr>
              <w:pStyle w:val="41"/>
              <w:widowControl w:val="0"/>
              <w:rPr>
                <w:color w:val="auto"/>
                <w:highlight w:val="none"/>
              </w:rPr>
            </w:pPr>
            <w:r>
              <w:rPr>
                <w:rFonts w:hint="eastAsia"/>
                <w:color w:val="auto"/>
                <w:highlight w:val="none"/>
              </w:rPr>
              <w:t>0.067</w:t>
            </w:r>
          </w:p>
        </w:tc>
        <w:tc>
          <w:tcPr>
            <w:tcW w:w="347" w:type="pct"/>
            <w:tcBorders>
              <w:tl2br w:val="nil"/>
              <w:tr2bl w:val="nil"/>
            </w:tcBorders>
            <w:vAlign w:val="center"/>
          </w:tcPr>
          <w:p w14:paraId="55DB69FF">
            <w:pPr>
              <w:pStyle w:val="41"/>
              <w:widowControl w:val="0"/>
              <w:rPr>
                <w:color w:val="auto"/>
                <w:highlight w:val="none"/>
              </w:rPr>
            </w:pPr>
            <w:r>
              <w:rPr>
                <w:color w:val="auto"/>
                <w:highlight w:val="none"/>
              </w:rPr>
              <w:t>0.02L</w:t>
            </w:r>
          </w:p>
        </w:tc>
        <w:tc>
          <w:tcPr>
            <w:tcW w:w="304" w:type="pct"/>
            <w:tcBorders>
              <w:tl2br w:val="nil"/>
              <w:tr2bl w:val="nil"/>
            </w:tcBorders>
            <w:vAlign w:val="center"/>
          </w:tcPr>
          <w:p w14:paraId="5D7E2C2F">
            <w:pPr>
              <w:pStyle w:val="41"/>
              <w:widowControl w:val="0"/>
              <w:rPr>
                <w:color w:val="auto"/>
                <w:highlight w:val="none"/>
              </w:rPr>
            </w:pPr>
            <w:r>
              <w:rPr>
                <w:rFonts w:hint="eastAsia"/>
                <w:color w:val="auto"/>
                <w:highlight w:val="none"/>
              </w:rPr>
              <w:t>0.067</w:t>
            </w:r>
          </w:p>
        </w:tc>
        <w:tc>
          <w:tcPr>
            <w:tcW w:w="347" w:type="pct"/>
            <w:tcBorders>
              <w:tl2br w:val="nil"/>
              <w:tr2bl w:val="nil"/>
            </w:tcBorders>
            <w:vAlign w:val="center"/>
          </w:tcPr>
          <w:p w14:paraId="4C71EB07">
            <w:pPr>
              <w:pStyle w:val="41"/>
              <w:widowControl w:val="0"/>
              <w:rPr>
                <w:color w:val="auto"/>
                <w:highlight w:val="none"/>
              </w:rPr>
            </w:pPr>
            <w:r>
              <w:rPr>
                <w:color w:val="auto"/>
                <w:highlight w:val="none"/>
              </w:rPr>
              <w:t>0.02L</w:t>
            </w:r>
          </w:p>
        </w:tc>
        <w:tc>
          <w:tcPr>
            <w:tcW w:w="304" w:type="pct"/>
            <w:tcBorders>
              <w:tl2br w:val="nil"/>
              <w:tr2bl w:val="nil"/>
            </w:tcBorders>
            <w:vAlign w:val="center"/>
          </w:tcPr>
          <w:p w14:paraId="49525138">
            <w:pPr>
              <w:pStyle w:val="41"/>
              <w:widowControl w:val="0"/>
              <w:rPr>
                <w:color w:val="auto"/>
                <w:highlight w:val="none"/>
              </w:rPr>
            </w:pPr>
            <w:r>
              <w:rPr>
                <w:rFonts w:hint="eastAsia"/>
                <w:color w:val="auto"/>
                <w:highlight w:val="none"/>
              </w:rPr>
              <w:t>0.067</w:t>
            </w:r>
          </w:p>
        </w:tc>
        <w:tc>
          <w:tcPr>
            <w:tcW w:w="414" w:type="pct"/>
            <w:tcBorders>
              <w:tl2br w:val="nil"/>
              <w:tr2bl w:val="nil"/>
            </w:tcBorders>
            <w:vAlign w:val="center"/>
          </w:tcPr>
          <w:p w14:paraId="7602BDD6">
            <w:pPr>
              <w:pStyle w:val="41"/>
              <w:widowControl w:val="0"/>
              <w:rPr>
                <w:color w:val="auto"/>
                <w:highlight w:val="none"/>
              </w:rPr>
            </w:pPr>
            <w:r>
              <w:rPr>
                <w:color w:val="auto"/>
                <w:highlight w:val="none"/>
              </w:rPr>
              <w:t>0.02L</w:t>
            </w:r>
          </w:p>
        </w:tc>
        <w:tc>
          <w:tcPr>
            <w:tcW w:w="414" w:type="pct"/>
            <w:tcBorders>
              <w:tl2br w:val="nil"/>
              <w:tr2bl w:val="nil"/>
            </w:tcBorders>
            <w:vAlign w:val="center"/>
          </w:tcPr>
          <w:p w14:paraId="6239BB8B">
            <w:pPr>
              <w:pStyle w:val="41"/>
              <w:widowControl w:val="0"/>
              <w:rPr>
                <w:color w:val="auto"/>
                <w:highlight w:val="none"/>
              </w:rPr>
            </w:pPr>
            <w:r>
              <w:rPr>
                <w:rFonts w:hint="eastAsia"/>
                <w:color w:val="auto"/>
                <w:highlight w:val="none"/>
              </w:rPr>
              <w:t>0.067</w:t>
            </w:r>
          </w:p>
        </w:tc>
        <w:tc>
          <w:tcPr>
            <w:tcW w:w="414" w:type="pct"/>
            <w:tcBorders>
              <w:tl2br w:val="nil"/>
              <w:tr2bl w:val="nil"/>
            </w:tcBorders>
            <w:vAlign w:val="center"/>
          </w:tcPr>
          <w:p w14:paraId="5BDCA6A0">
            <w:pPr>
              <w:pStyle w:val="41"/>
              <w:widowControl w:val="0"/>
              <w:rPr>
                <w:color w:val="auto"/>
                <w:highlight w:val="none"/>
              </w:rPr>
            </w:pPr>
            <w:r>
              <w:rPr>
                <w:color w:val="auto"/>
                <w:highlight w:val="none"/>
              </w:rPr>
              <w:t>0.02L</w:t>
            </w:r>
          </w:p>
        </w:tc>
        <w:tc>
          <w:tcPr>
            <w:tcW w:w="414" w:type="pct"/>
            <w:tcBorders>
              <w:tl2br w:val="nil"/>
              <w:tr2bl w:val="nil"/>
            </w:tcBorders>
            <w:vAlign w:val="center"/>
          </w:tcPr>
          <w:p w14:paraId="3AF12DE1">
            <w:pPr>
              <w:pStyle w:val="41"/>
              <w:widowControl w:val="0"/>
              <w:rPr>
                <w:color w:val="auto"/>
                <w:highlight w:val="none"/>
              </w:rPr>
            </w:pPr>
            <w:r>
              <w:rPr>
                <w:rFonts w:hint="eastAsia"/>
                <w:color w:val="auto"/>
                <w:highlight w:val="none"/>
              </w:rPr>
              <w:t>0.067</w:t>
            </w:r>
          </w:p>
        </w:tc>
        <w:tc>
          <w:tcPr>
            <w:tcW w:w="425" w:type="pct"/>
            <w:tcBorders>
              <w:tl2br w:val="nil"/>
              <w:tr2bl w:val="nil"/>
            </w:tcBorders>
            <w:vAlign w:val="center"/>
          </w:tcPr>
          <w:p w14:paraId="5179DDD7">
            <w:pPr>
              <w:pStyle w:val="41"/>
              <w:widowControl w:val="0"/>
              <w:rPr>
                <w:color w:val="auto"/>
                <w:highlight w:val="none"/>
              </w:rPr>
            </w:pPr>
            <w:r>
              <w:rPr>
                <w:color w:val="auto"/>
                <w:highlight w:val="none"/>
              </w:rPr>
              <w:t>≤0.3mg/L</w:t>
            </w:r>
          </w:p>
        </w:tc>
      </w:tr>
      <w:tr w14:paraId="0DDD14D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00" w:type="pct"/>
            <w:tcBorders>
              <w:tl2br w:val="nil"/>
              <w:tr2bl w:val="nil"/>
            </w:tcBorders>
            <w:vAlign w:val="center"/>
          </w:tcPr>
          <w:p w14:paraId="7E66ADA9">
            <w:pPr>
              <w:pStyle w:val="41"/>
              <w:widowControl w:val="0"/>
              <w:rPr>
                <w:color w:val="auto"/>
                <w:highlight w:val="none"/>
              </w:rPr>
            </w:pPr>
            <w:r>
              <w:rPr>
                <w:color w:val="auto"/>
                <w:highlight w:val="none"/>
              </w:rPr>
              <w:t>12</w:t>
            </w:r>
          </w:p>
        </w:tc>
        <w:tc>
          <w:tcPr>
            <w:tcW w:w="484" w:type="pct"/>
            <w:tcBorders>
              <w:tl2br w:val="nil"/>
              <w:tr2bl w:val="nil"/>
            </w:tcBorders>
            <w:vAlign w:val="center"/>
          </w:tcPr>
          <w:p w14:paraId="44212E05">
            <w:pPr>
              <w:pStyle w:val="41"/>
              <w:widowControl w:val="0"/>
              <w:rPr>
                <w:color w:val="auto"/>
                <w:highlight w:val="none"/>
              </w:rPr>
            </w:pPr>
            <w:r>
              <w:rPr>
                <w:rFonts w:hint="eastAsia"/>
                <w:color w:val="auto"/>
                <w:highlight w:val="none"/>
              </w:rPr>
              <w:t>锰</w:t>
            </w:r>
          </w:p>
        </w:tc>
        <w:tc>
          <w:tcPr>
            <w:tcW w:w="275" w:type="pct"/>
            <w:tcBorders>
              <w:tl2br w:val="nil"/>
              <w:tr2bl w:val="nil"/>
            </w:tcBorders>
            <w:vAlign w:val="center"/>
          </w:tcPr>
          <w:p w14:paraId="47EF58F2">
            <w:pPr>
              <w:pStyle w:val="41"/>
              <w:widowControl w:val="0"/>
              <w:rPr>
                <w:color w:val="auto"/>
                <w:highlight w:val="none"/>
              </w:rPr>
            </w:pPr>
            <w:r>
              <w:rPr>
                <w:color w:val="auto"/>
                <w:highlight w:val="none"/>
              </w:rPr>
              <w:t>mg/L</w:t>
            </w:r>
          </w:p>
        </w:tc>
        <w:tc>
          <w:tcPr>
            <w:tcW w:w="347" w:type="pct"/>
            <w:tcBorders>
              <w:tl2br w:val="nil"/>
              <w:tr2bl w:val="nil"/>
            </w:tcBorders>
            <w:vAlign w:val="center"/>
          </w:tcPr>
          <w:p w14:paraId="443421AB">
            <w:pPr>
              <w:pStyle w:val="41"/>
              <w:widowControl w:val="0"/>
              <w:rPr>
                <w:color w:val="auto"/>
                <w:highlight w:val="none"/>
              </w:rPr>
            </w:pPr>
            <w:r>
              <w:rPr>
                <w:color w:val="auto"/>
                <w:highlight w:val="none"/>
              </w:rPr>
              <w:t>0.00012L</w:t>
            </w:r>
          </w:p>
        </w:tc>
        <w:tc>
          <w:tcPr>
            <w:tcW w:w="304" w:type="pct"/>
            <w:tcBorders>
              <w:tl2br w:val="nil"/>
              <w:tr2bl w:val="nil"/>
            </w:tcBorders>
            <w:vAlign w:val="center"/>
          </w:tcPr>
          <w:p w14:paraId="1EFC6A3A">
            <w:pPr>
              <w:pStyle w:val="41"/>
              <w:widowControl w:val="0"/>
              <w:rPr>
                <w:color w:val="auto"/>
                <w:highlight w:val="none"/>
              </w:rPr>
            </w:pPr>
            <w:r>
              <w:rPr>
                <w:rFonts w:hint="eastAsia"/>
                <w:color w:val="auto"/>
                <w:highlight w:val="none"/>
              </w:rPr>
              <w:t>0.0012</w:t>
            </w:r>
          </w:p>
        </w:tc>
        <w:tc>
          <w:tcPr>
            <w:tcW w:w="347" w:type="pct"/>
            <w:tcBorders>
              <w:tl2br w:val="nil"/>
              <w:tr2bl w:val="nil"/>
            </w:tcBorders>
            <w:vAlign w:val="center"/>
          </w:tcPr>
          <w:p w14:paraId="5483E306">
            <w:pPr>
              <w:pStyle w:val="41"/>
              <w:widowControl w:val="0"/>
              <w:rPr>
                <w:color w:val="auto"/>
                <w:highlight w:val="none"/>
              </w:rPr>
            </w:pPr>
            <w:r>
              <w:rPr>
                <w:color w:val="auto"/>
                <w:highlight w:val="none"/>
              </w:rPr>
              <w:t>0.00012L</w:t>
            </w:r>
          </w:p>
        </w:tc>
        <w:tc>
          <w:tcPr>
            <w:tcW w:w="304" w:type="pct"/>
            <w:tcBorders>
              <w:tl2br w:val="nil"/>
              <w:tr2bl w:val="nil"/>
            </w:tcBorders>
            <w:vAlign w:val="center"/>
          </w:tcPr>
          <w:p w14:paraId="62A9409C">
            <w:pPr>
              <w:pStyle w:val="41"/>
              <w:widowControl w:val="0"/>
              <w:rPr>
                <w:color w:val="auto"/>
                <w:highlight w:val="none"/>
              </w:rPr>
            </w:pPr>
            <w:r>
              <w:rPr>
                <w:rFonts w:hint="eastAsia"/>
                <w:color w:val="auto"/>
                <w:highlight w:val="none"/>
              </w:rPr>
              <w:t>0.0012</w:t>
            </w:r>
          </w:p>
        </w:tc>
        <w:tc>
          <w:tcPr>
            <w:tcW w:w="347" w:type="pct"/>
            <w:tcBorders>
              <w:tl2br w:val="nil"/>
              <w:tr2bl w:val="nil"/>
            </w:tcBorders>
            <w:vAlign w:val="center"/>
          </w:tcPr>
          <w:p w14:paraId="12207BF0">
            <w:pPr>
              <w:pStyle w:val="41"/>
              <w:widowControl w:val="0"/>
              <w:rPr>
                <w:color w:val="auto"/>
                <w:highlight w:val="none"/>
              </w:rPr>
            </w:pPr>
            <w:r>
              <w:rPr>
                <w:color w:val="auto"/>
                <w:highlight w:val="none"/>
              </w:rPr>
              <w:t>0.00012L</w:t>
            </w:r>
          </w:p>
        </w:tc>
        <w:tc>
          <w:tcPr>
            <w:tcW w:w="304" w:type="pct"/>
            <w:tcBorders>
              <w:tl2br w:val="nil"/>
              <w:tr2bl w:val="nil"/>
            </w:tcBorders>
            <w:vAlign w:val="center"/>
          </w:tcPr>
          <w:p w14:paraId="033F62CF">
            <w:pPr>
              <w:pStyle w:val="41"/>
              <w:widowControl w:val="0"/>
              <w:rPr>
                <w:color w:val="auto"/>
                <w:highlight w:val="none"/>
              </w:rPr>
            </w:pPr>
            <w:r>
              <w:rPr>
                <w:rFonts w:hint="eastAsia"/>
                <w:color w:val="auto"/>
                <w:highlight w:val="none"/>
              </w:rPr>
              <w:t>0.0012</w:t>
            </w:r>
          </w:p>
        </w:tc>
        <w:tc>
          <w:tcPr>
            <w:tcW w:w="414" w:type="pct"/>
            <w:tcBorders>
              <w:tl2br w:val="nil"/>
              <w:tr2bl w:val="nil"/>
            </w:tcBorders>
            <w:shd w:val="clear" w:color="auto" w:fill="auto"/>
            <w:vAlign w:val="center"/>
          </w:tcPr>
          <w:p w14:paraId="31BE50A7">
            <w:pPr>
              <w:pStyle w:val="41"/>
              <w:widowControl w:val="0"/>
              <w:rPr>
                <w:color w:val="auto"/>
                <w:highlight w:val="none"/>
              </w:rPr>
            </w:pPr>
            <w:r>
              <w:rPr>
                <w:color w:val="auto"/>
                <w:highlight w:val="none"/>
              </w:rPr>
              <w:t>0.000004L</w:t>
            </w:r>
          </w:p>
        </w:tc>
        <w:tc>
          <w:tcPr>
            <w:tcW w:w="414" w:type="pct"/>
            <w:tcBorders>
              <w:tl2br w:val="nil"/>
              <w:tr2bl w:val="nil"/>
            </w:tcBorders>
            <w:shd w:val="clear" w:color="auto" w:fill="auto"/>
            <w:vAlign w:val="center"/>
          </w:tcPr>
          <w:p w14:paraId="6D28EC03">
            <w:pPr>
              <w:pStyle w:val="41"/>
              <w:widowControl w:val="0"/>
              <w:rPr>
                <w:color w:val="auto"/>
                <w:highlight w:val="none"/>
              </w:rPr>
            </w:pPr>
            <w:r>
              <w:rPr>
                <w:rFonts w:hint="eastAsia"/>
                <w:color w:val="auto"/>
                <w:highlight w:val="none"/>
              </w:rPr>
              <w:t>0.00004</w:t>
            </w:r>
          </w:p>
        </w:tc>
        <w:tc>
          <w:tcPr>
            <w:tcW w:w="414" w:type="pct"/>
            <w:tcBorders>
              <w:tl2br w:val="nil"/>
              <w:tr2bl w:val="nil"/>
            </w:tcBorders>
            <w:vAlign w:val="center"/>
          </w:tcPr>
          <w:p w14:paraId="55F31BA9">
            <w:pPr>
              <w:pStyle w:val="41"/>
              <w:widowControl w:val="0"/>
              <w:rPr>
                <w:color w:val="auto"/>
                <w:highlight w:val="none"/>
              </w:rPr>
            </w:pPr>
            <w:r>
              <w:rPr>
                <w:color w:val="auto"/>
                <w:highlight w:val="none"/>
              </w:rPr>
              <w:t>0.000004L</w:t>
            </w:r>
          </w:p>
        </w:tc>
        <w:tc>
          <w:tcPr>
            <w:tcW w:w="414" w:type="pct"/>
            <w:tcBorders>
              <w:tl2br w:val="nil"/>
              <w:tr2bl w:val="nil"/>
            </w:tcBorders>
            <w:shd w:val="clear" w:color="auto" w:fill="auto"/>
            <w:vAlign w:val="center"/>
          </w:tcPr>
          <w:p w14:paraId="6A7903E0">
            <w:pPr>
              <w:pStyle w:val="41"/>
              <w:widowControl w:val="0"/>
              <w:rPr>
                <w:color w:val="auto"/>
                <w:highlight w:val="none"/>
              </w:rPr>
            </w:pPr>
            <w:r>
              <w:rPr>
                <w:rFonts w:hint="eastAsia"/>
                <w:color w:val="auto"/>
                <w:highlight w:val="none"/>
              </w:rPr>
              <w:t>0.00004</w:t>
            </w:r>
          </w:p>
        </w:tc>
        <w:tc>
          <w:tcPr>
            <w:tcW w:w="425" w:type="pct"/>
            <w:tcBorders>
              <w:tl2br w:val="nil"/>
              <w:tr2bl w:val="nil"/>
            </w:tcBorders>
            <w:vAlign w:val="center"/>
          </w:tcPr>
          <w:p w14:paraId="3F968E47">
            <w:pPr>
              <w:pStyle w:val="41"/>
              <w:widowControl w:val="0"/>
              <w:rPr>
                <w:color w:val="auto"/>
                <w:highlight w:val="none"/>
              </w:rPr>
            </w:pPr>
            <w:r>
              <w:rPr>
                <w:color w:val="auto"/>
                <w:highlight w:val="none"/>
              </w:rPr>
              <w:t>≤0.10mg/L</w:t>
            </w:r>
          </w:p>
        </w:tc>
      </w:tr>
      <w:tr w14:paraId="1C6327B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tcBorders>
              <w:tl2br w:val="nil"/>
              <w:tr2bl w:val="nil"/>
            </w:tcBorders>
            <w:vAlign w:val="center"/>
          </w:tcPr>
          <w:p w14:paraId="7574FD74">
            <w:pPr>
              <w:pStyle w:val="41"/>
              <w:widowControl w:val="0"/>
              <w:rPr>
                <w:color w:val="auto"/>
                <w:highlight w:val="none"/>
              </w:rPr>
            </w:pPr>
            <w:r>
              <w:rPr>
                <w:color w:val="auto"/>
                <w:highlight w:val="none"/>
              </w:rPr>
              <w:t>13</w:t>
            </w:r>
          </w:p>
        </w:tc>
        <w:tc>
          <w:tcPr>
            <w:tcW w:w="484" w:type="pct"/>
            <w:tcBorders>
              <w:tl2br w:val="nil"/>
              <w:tr2bl w:val="nil"/>
            </w:tcBorders>
            <w:vAlign w:val="center"/>
          </w:tcPr>
          <w:p w14:paraId="242C2F52">
            <w:pPr>
              <w:pStyle w:val="41"/>
              <w:widowControl w:val="0"/>
              <w:rPr>
                <w:color w:val="auto"/>
                <w:highlight w:val="none"/>
              </w:rPr>
            </w:pPr>
            <w:r>
              <w:rPr>
                <w:rFonts w:hint="eastAsia"/>
                <w:color w:val="auto"/>
                <w:highlight w:val="none"/>
              </w:rPr>
              <w:t>铜</w:t>
            </w:r>
          </w:p>
        </w:tc>
        <w:tc>
          <w:tcPr>
            <w:tcW w:w="275" w:type="pct"/>
            <w:tcBorders>
              <w:tl2br w:val="nil"/>
              <w:tr2bl w:val="nil"/>
            </w:tcBorders>
            <w:vAlign w:val="center"/>
          </w:tcPr>
          <w:p w14:paraId="4E203115">
            <w:pPr>
              <w:pStyle w:val="41"/>
              <w:widowControl w:val="0"/>
              <w:rPr>
                <w:color w:val="auto"/>
                <w:highlight w:val="none"/>
              </w:rPr>
            </w:pPr>
            <w:r>
              <w:rPr>
                <w:color w:val="auto"/>
                <w:highlight w:val="none"/>
              </w:rPr>
              <w:t>mg/L</w:t>
            </w:r>
          </w:p>
        </w:tc>
        <w:tc>
          <w:tcPr>
            <w:tcW w:w="347" w:type="pct"/>
            <w:tcBorders>
              <w:tl2br w:val="nil"/>
              <w:tr2bl w:val="nil"/>
            </w:tcBorders>
            <w:vAlign w:val="center"/>
          </w:tcPr>
          <w:p w14:paraId="4407D9BB">
            <w:pPr>
              <w:pStyle w:val="41"/>
              <w:widowControl w:val="0"/>
              <w:rPr>
                <w:color w:val="auto"/>
                <w:highlight w:val="none"/>
              </w:rPr>
            </w:pPr>
            <w:r>
              <w:rPr>
                <w:color w:val="auto"/>
                <w:highlight w:val="none"/>
              </w:rPr>
              <w:t>0.00321</w:t>
            </w:r>
          </w:p>
        </w:tc>
        <w:tc>
          <w:tcPr>
            <w:tcW w:w="304" w:type="pct"/>
            <w:tcBorders>
              <w:tl2br w:val="nil"/>
              <w:tr2bl w:val="nil"/>
            </w:tcBorders>
            <w:vAlign w:val="center"/>
          </w:tcPr>
          <w:p w14:paraId="7C38B25F">
            <w:pPr>
              <w:pStyle w:val="41"/>
              <w:widowControl w:val="0"/>
              <w:rPr>
                <w:color w:val="auto"/>
                <w:highlight w:val="none"/>
              </w:rPr>
            </w:pPr>
            <w:r>
              <w:rPr>
                <w:rFonts w:hint="eastAsia"/>
                <w:color w:val="auto"/>
                <w:highlight w:val="none"/>
              </w:rPr>
              <w:t>0.00321</w:t>
            </w:r>
          </w:p>
        </w:tc>
        <w:tc>
          <w:tcPr>
            <w:tcW w:w="347" w:type="pct"/>
            <w:tcBorders>
              <w:tl2br w:val="nil"/>
              <w:tr2bl w:val="nil"/>
            </w:tcBorders>
            <w:vAlign w:val="center"/>
          </w:tcPr>
          <w:p w14:paraId="261FE5BE">
            <w:pPr>
              <w:pStyle w:val="41"/>
              <w:widowControl w:val="0"/>
              <w:rPr>
                <w:color w:val="auto"/>
                <w:highlight w:val="none"/>
              </w:rPr>
            </w:pPr>
            <w:r>
              <w:rPr>
                <w:color w:val="auto"/>
                <w:highlight w:val="none"/>
              </w:rPr>
              <w:t>0.00351</w:t>
            </w:r>
          </w:p>
        </w:tc>
        <w:tc>
          <w:tcPr>
            <w:tcW w:w="304" w:type="pct"/>
            <w:tcBorders>
              <w:tl2br w:val="nil"/>
              <w:tr2bl w:val="nil"/>
            </w:tcBorders>
            <w:vAlign w:val="center"/>
          </w:tcPr>
          <w:p w14:paraId="30BD6DFC">
            <w:pPr>
              <w:pStyle w:val="41"/>
              <w:widowControl w:val="0"/>
              <w:rPr>
                <w:color w:val="auto"/>
                <w:highlight w:val="none"/>
              </w:rPr>
            </w:pPr>
            <w:r>
              <w:rPr>
                <w:rFonts w:hint="eastAsia"/>
                <w:color w:val="auto"/>
                <w:highlight w:val="none"/>
              </w:rPr>
              <w:t>0.00351</w:t>
            </w:r>
          </w:p>
        </w:tc>
        <w:tc>
          <w:tcPr>
            <w:tcW w:w="347" w:type="pct"/>
            <w:tcBorders>
              <w:tl2br w:val="nil"/>
              <w:tr2bl w:val="nil"/>
            </w:tcBorders>
            <w:vAlign w:val="center"/>
          </w:tcPr>
          <w:p w14:paraId="6E312CB8">
            <w:pPr>
              <w:pStyle w:val="41"/>
              <w:widowControl w:val="0"/>
              <w:rPr>
                <w:color w:val="auto"/>
                <w:highlight w:val="none"/>
              </w:rPr>
            </w:pPr>
            <w:r>
              <w:rPr>
                <w:color w:val="auto"/>
                <w:highlight w:val="none"/>
              </w:rPr>
              <w:t>0.00376</w:t>
            </w:r>
          </w:p>
        </w:tc>
        <w:tc>
          <w:tcPr>
            <w:tcW w:w="304" w:type="pct"/>
            <w:tcBorders>
              <w:tl2br w:val="nil"/>
              <w:tr2bl w:val="nil"/>
            </w:tcBorders>
            <w:vAlign w:val="center"/>
          </w:tcPr>
          <w:p w14:paraId="6F8D7651">
            <w:pPr>
              <w:pStyle w:val="41"/>
              <w:widowControl w:val="0"/>
              <w:rPr>
                <w:color w:val="auto"/>
                <w:highlight w:val="none"/>
              </w:rPr>
            </w:pPr>
            <w:r>
              <w:rPr>
                <w:rFonts w:hint="eastAsia"/>
                <w:color w:val="auto"/>
                <w:highlight w:val="none"/>
              </w:rPr>
              <w:t>0.00376</w:t>
            </w:r>
          </w:p>
        </w:tc>
        <w:tc>
          <w:tcPr>
            <w:tcW w:w="414" w:type="pct"/>
            <w:tcBorders>
              <w:tl2br w:val="nil"/>
              <w:tr2bl w:val="nil"/>
            </w:tcBorders>
            <w:vAlign w:val="center"/>
          </w:tcPr>
          <w:p w14:paraId="2100FBC9">
            <w:pPr>
              <w:pStyle w:val="41"/>
              <w:widowControl w:val="0"/>
              <w:rPr>
                <w:color w:val="auto"/>
                <w:highlight w:val="none"/>
              </w:rPr>
            </w:pPr>
            <w:r>
              <w:rPr>
                <w:rFonts w:hint="eastAsia"/>
                <w:color w:val="auto"/>
                <w:highlight w:val="none"/>
              </w:rPr>
              <w:t>0.001</w:t>
            </w:r>
            <w:r>
              <w:rPr>
                <w:color w:val="auto"/>
                <w:highlight w:val="none"/>
              </w:rPr>
              <w:t>L</w:t>
            </w:r>
          </w:p>
        </w:tc>
        <w:tc>
          <w:tcPr>
            <w:tcW w:w="414" w:type="pct"/>
            <w:tcBorders>
              <w:tl2br w:val="nil"/>
              <w:tr2bl w:val="nil"/>
            </w:tcBorders>
            <w:vAlign w:val="center"/>
          </w:tcPr>
          <w:p w14:paraId="3DC81953">
            <w:pPr>
              <w:pStyle w:val="41"/>
              <w:widowControl w:val="0"/>
              <w:rPr>
                <w:color w:val="auto"/>
                <w:highlight w:val="none"/>
              </w:rPr>
            </w:pPr>
            <w:r>
              <w:rPr>
                <w:rFonts w:hint="eastAsia"/>
                <w:color w:val="auto"/>
                <w:highlight w:val="none"/>
              </w:rPr>
              <w:t>0.001</w:t>
            </w:r>
          </w:p>
        </w:tc>
        <w:tc>
          <w:tcPr>
            <w:tcW w:w="414" w:type="pct"/>
            <w:tcBorders>
              <w:tl2br w:val="nil"/>
              <w:tr2bl w:val="nil"/>
            </w:tcBorders>
            <w:vAlign w:val="center"/>
          </w:tcPr>
          <w:p w14:paraId="40804DAF">
            <w:pPr>
              <w:pStyle w:val="41"/>
              <w:widowControl w:val="0"/>
              <w:rPr>
                <w:color w:val="auto"/>
                <w:highlight w:val="none"/>
              </w:rPr>
            </w:pPr>
            <w:r>
              <w:rPr>
                <w:rFonts w:hint="eastAsia"/>
                <w:color w:val="auto"/>
                <w:highlight w:val="none"/>
              </w:rPr>
              <w:t>0.001</w:t>
            </w:r>
            <w:r>
              <w:rPr>
                <w:color w:val="auto"/>
                <w:highlight w:val="none"/>
              </w:rPr>
              <w:t>L</w:t>
            </w:r>
          </w:p>
        </w:tc>
        <w:tc>
          <w:tcPr>
            <w:tcW w:w="414" w:type="pct"/>
            <w:tcBorders>
              <w:tl2br w:val="nil"/>
              <w:tr2bl w:val="nil"/>
            </w:tcBorders>
            <w:vAlign w:val="center"/>
          </w:tcPr>
          <w:p w14:paraId="153105D3">
            <w:pPr>
              <w:pStyle w:val="41"/>
              <w:widowControl w:val="0"/>
              <w:rPr>
                <w:color w:val="auto"/>
                <w:highlight w:val="none"/>
              </w:rPr>
            </w:pPr>
            <w:r>
              <w:rPr>
                <w:rFonts w:hint="eastAsia"/>
                <w:color w:val="auto"/>
                <w:highlight w:val="none"/>
              </w:rPr>
              <w:t>0.001</w:t>
            </w:r>
          </w:p>
        </w:tc>
        <w:tc>
          <w:tcPr>
            <w:tcW w:w="425" w:type="pct"/>
            <w:tcBorders>
              <w:tl2br w:val="nil"/>
              <w:tr2bl w:val="nil"/>
            </w:tcBorders>
            <w:vAlign w:val="center"/>
          </w:tcPr>
          <w:p w14:paraId="14B91B90">
            <w:pPr>
              <w:pStyle w:val="41"/>
              <w:widowControl w:val="0"/>
              <w:rPr>
                <w:color w:val="auto"/>
                <w:highlight w:val="none"/>
              </w:rPr>
            </w:pPr>
            <w:r>
              <w:rPr>
                <w:color w:val="auto"/>
                <w:highlight w:val="none"/>
              </w:rPr>
              <w:t>≤1.00mg/L</w:t>
            </w:r>
          </w:p>
        </w:tc>
      </w:tr>
      <w:tr w14:paraId="7CBA50E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tcBorders>
              <w:tl2br w:val="nil"/>
              <w:tr2bl w:val="nil"/>
            </w:tcBorders>
            <w:vAlign w:val="center"/>
          </w:tcPr>
          <w:p w14:paraId="22F7B7D4">
            <w:pPr>
              <w:pStyle w:val="41"/>
              <w:widowControl w:val="0"/>
              <w:rPr>
                <w:color w:val="auto"/>
                <w:highlight w:val="none"/>
              </w:rPr>
            </w:pPr>
            <w:r>
              <w:rPr>
                <w:color w:val="auto"/>
                <w:highlight w:val="none"/>
              </w:rPr>
              <w:t>14</w:t>
            </w:r>
          </w:p>
        </w:tc>
        <w:tc>
          <w:tcPr>
            <w:tcW w:w="484" w:type="pct"/>
            <w:tcBorders>
              <w:tl2br w:val="nil"/>
              <w:tr2bl w:val="nil"/>
            </w:tcBorders>
            <w:vAlign w:val="center"/>
          </w:tcPr>
          <w:p w14:paraId="14540EC5">
            <w:pPr>
              <w:pStyle w:val="41"/>
              <w:widowControl w:val="0"/>
              <w:rPr>
                <w:color w:val="auto"/>
                <w:highlight w:val="none"/>
              </w:rPr>
            </w:pPr>
            <w:r>
              <w:rPr>
                <w:rFonts w:hint="eastAsia"/>
                <w:color w:val="auto"/>
                <w:highlight w:val="none"/>
              </w:rPr>
              <w:t>锌</w:t>
            </w:r>
          </w:p>
        </w:tc>
        <w:tc>
          <w:tcPr>
            <w:tcW w:w="275" w:type="pct"/>
            <w:tcBorders>
              <w:tl2br w:val="nil"/>
              <w:tr2bl w:val="nil"/>
            </w:tcBorders>
            <w:vAlign w:val="center"/>
          </w:tcPr>
          <w:p w14:paraId="77C74B5E">
            <w:pPr>
              <w:pStyle w:val="41"/>
              <w:widowControl w:val="0"/>
              <w:rPr>
                <w:color w:val="auto"/>
                <w:highlight w:val="none"/>
              </w:rPr>
            </w:pPr>
            <w:r>
              <w:rPr>
                <w:color w:val="auto"/>
                <w:highlight w:val="none"/>
              </w:rPr>
              <w:t>mg/L</w:t>
            </w:r>
          </w:p>
        </w:tc>
        <w:tc>
          <w:tcPr>
            <w:tcW w:w="347" w:type="pct"/>
            <w:tcBorders>
              <w:tl2br w:val="nil"/>
              <w:tr2bl w:val="nil"/>
            </w:tcBorders>
            <w:vAlign w:val="center"/>
          </w:tcPr>
          <w:p w14:paraId="33A35102">
            <w:pPr>
              <w:pStyle w:val="41"/>
              <w:widowControl w:val="0"/>
              <w:rPr>
                <w:color w:val="auto"/>
                <w:highlight w:val="none"/>
              </w:rPr>
            </w:pPr>
            <w:r>
              <w:rPr>
                <w:color w:val="auto"/>
                <w:highlight w:val="none"/>
              </w:rPr>
              <w:t>0.14</w:t>
            </w:r>
          </w:p>
        </w:tc>
        <w:tc>
          <w:tcPr>
            <w:tcW w:w="304" w:type="pct"/>
            <w:tcBorders>
              <w:tl2br w:val="nil"/>
              <w:tr2bl w:val="nil"/>
            </w:tcBorders>
            <w:vAlign w:val="center"/>
          </w:tcPr>
          <w:p w14:paraId="1B6776F2">
            <w:pPr>
              <w:pStyle w:val="41"/>
              <w:widowControl w:val="0"/>
              <w:rPr>
                <w:color w:val="auto"/>
                <w:highlight w:val="none"/>
              </w:rPr>
            </w:pPr>
            <w:r>
              <w:rPr>
                <w:rFonts w:hint="eastAsia"/>
                <w:color w:val="auto"/>
                <w:highlight w:val="none"/>
              </w:rPr>
              <w:t>0.14</w:t>
            </w:r>
          </w:p>
        </w:tc>
        <w:tc>
          <w:tcPr>
            <w:tcW w:w="347" w:type="pct"/>
            <w:tcBorders>
              <w:tl2br w:val="nil"/>
              <w:tr2bl w:val="nil"/>
            </w:tcBorders>
            <w:vAlign w:val="center"/>
          </w:tcPr>
          <w:p w14:paraId="6B4AE4BF">
            <w:pPr>
              <w:pStyle w:val="41"/>
              <w:widowControl w:val="0"/>
              <w:rPr>
                <w:color w:val="auto"/>
                <w:highlight w:val="none"/>
              </w:rPr>
            </w:pPr>
            <w:r>
              <w:rPr>
                <w:color w:val="auto"/>
                <w:highlight w:val="none"/>
              </w:rPr>
              <w:t>0.22</w:t>
            </w:r>
          </w:p>
        </w:tc>
        <w:tc>
          <w:tcPr>
            <w:tcW w:w="304" w:type="pct"/>
            <w:tcBorders>
              <w:tl2br w:val="nil"/>
              <w:tr2bl w:val="nil"/>
            </w:tcBorders>
            <w:vAlign w:val="center"/>
          </w:tcPr>
          <w:p w14:paraId="3336747D">
            <w:pPr>
              <w:pStyle w:val="41"/>
              <w:widowControl w:val="0"/>
              <w:rPr>
                <w:color w:val="auto"/>
                <w:highlight w:val="none"/>
              </w:rPr>
            </w:pPr>
            <w:r>
              <w:rPr>
                <w:rFonts w:hint="eastAsia"/>
                <w:color w:val="auto"/>
                <w:highlight w:val="none"/>
              </w:rPr>
              <w:t>0.22</w:t>
            </w:r>
          </w:p>
        </w:tc>
        <w:tc>
          <w:tcPr>
            <w:tcW w:w="347" w:type="pct"/>
            <w:tcBorders>
              <w:tl2br w:val="nil"/>
              <w:tr2bl w:val="nil"/>
            </w:tcBorders>
            <w:vAlign w:val="center"/>
          </w:tcPr>
          <w:p w14:paraId="4B1FB80D">
            <w:pPr>
              <w:pStyle w:val="41"/>
              <w:widowControl w:val="0"/>
              <w:rPr>
                <w:color w:val="auto"/>
                <w:highlight w:val="none"/>
              </w:rPr>
            </w:pPr>
            <w:r>
              <w:rPr>
                <w:color w:val="auto"/>
                <w:highlight w:val="none"/>
              </w:rPr>
              <w:t>0.18</w:t>
            </w:r>
          </w:p>
        </w:tc>
        <w:tc>
          <w:tcPr>
            <w:tcW w:w="304" w:type="pct"/>
            <w:tcBorders>
              <w:tl2br w:val="nil"/>
              <w:tr2bl w:val="nil"/>
            </w:tcBorders>
            <w:vAlign w:val="center"/>
          </w:tcPr>
          <w:p w14:paraId="1AE49FFE">
            <w:pPr>
              <w:pStyle w:val="41"/>
              <w:widowControl w:val="0"/>
              <w:rPr>
                <w:color w:val="auto"/>
                <w:highlight w:val="none"/>
              </w:rPr>
            </w:pPr>
            <w:r>
              <w:rPr>
                <w:rFonts w:hint="eastAsia"/>
                <w:color w:val="auto"/>
                <w:highlight w:val="none"/>
              </w:rPr>
              <w:t>0.18</w:t>
            </w:r>
          </w:p>
        </w:tc>
        <w:tc>
          <w:tcPr>
            <w:tcW w:w="414" w:type="pct"/>
            <w:tcBorders>
              <w:tl2br w:val="nil"/>
              <w:tr2bl w:val="nil"/>
            </w:tcBorders>
            <w:vAlign w:val="center"/>
          </w:tcPr>
          <w:p w14:paraId="4FDAA1DF">
            <w:pPr>
              <w:pStyle w:val="41"/>
              <w:widowControl w:val="0"/>
              <w:rPr>
                <w:color w:val="auto"/>
                <w:highlight w:val="none"/>
              </w:rPr>
            </w:pPr>
            <w:r>
              <w:rPr>
                <w:color w:val="auto"/>
                <w:highlight w:val="none"/>
              </w:rPr>
              <w:t>0.05L</w:t>
            </w:r>
          </w:p>
        </w:tc>
        <w:tc>
          <w:tcPr>
            <w:tcW w:w="414" w:type="pct"/>
            <w:tcBorders>
              <w:tl2br w:val="nil"/>
              <w:tr2bl w:val="nil"/>
            </w:tcBorders>
            <w:vAlign w:val="center"/>
          </w:tcPr>
          <w:p w14:paraId="1180D69C">
            <w:pPr>
              <w:pStyle w:val="41"/>
              <w:widowControl w:val="0"/>
              <w:rPr>
                <w:color w:val="auto"/>
                <w:highlight w:val="none"/>
              </w:rPr>
            </w:pPr>
            <w:r>
              <w:rPr>
                <w:rFonts w:hint="eastAsia"/>
                <w:color w:val="auto"/>
                <w:highlight w:val="none"/>
              </w:rPr>
              <w:t>0.05</w:t>
            </w:r>
          </w:p>
        </w:tc>
        <w:tc>
          <w:tcPr>
            <w:tcW w:w="414" w:type="pct"/>
            <w:tcBorders>
              <w:tl2br w:val="nil"/>
              <w:tr2bl w:val="nil"/>
            </w:tcBorders>
            <w:vAlign w:val="center"/>
          </w:tcPr>
          <w:p w14:paraId="16B5D60C">
            <w:pPr>
              <w:pStyle w:val="41"/>
              <w:widowControl w:val="0"/>
              <w:rPr>
                <w:color w:val="auto"/>
                <w:highlight w:val="none"/>
              </w:rPr>
            </w:pPr>
            <w:r>
              <w:rPr>
                <w:color w:val="auto"/>
                <w:highlight w:val="none"/>
              </w:rPr>
              <w:t>0.05L</w:t>
            </w:r>
          </w:p>
        </w:tc>
        <w:tc>
          <w:tcPr>
            <w:tcW w:w="414" w:type="pct"/>
            <w:tcBorders>
              <w:tl2br w:val="nil"/>
              <w:tr2bl w:val="nil"/>
            </w:tcBorders>
            <w:vAlign w:val="center"/>
          </w:tcPr>
          <w:p w14:paraId="58E146C0">
            <w:pPr>
              <w:pStyle w:val="41"/>
              <w:widowControl w:val="0"/>
              <w:rPr>
                <w:color w:val="auto"/>
                <w:highlight w:val="none"/>
              </w:rPr>
            </w:pPr>
            <w:r>
              <w:rPr>
                <w:rFonts w:hint="eastAsia"/>
                <w:color w:val="auto"/>
                <w:highlight w:val="none"/>
              </w:rPr>
              <w:t>0.05</w:t>
            </w:r>
          </w:p>
        </w:tc>
        <w:tc>
          <w:tcPr>
            <w:tcW w:w="425" w:type="pct"/>
            <w:tcBorders>
              <w:tl2br w:val="nil"/>
              <w:tr2bl w:val="nil"/>
            </w:tcBorders>
            <w:vAlign w:val="center"/>
          </w:tcPr>
          <w:p w14:paraId="55641D06">
            <w:pPr>
              <w:pStyle w:val="41"/>
              <w:widowControl w:val="0"/>
              <w:rPr>
                <w:color w:val="auto"/>
                <w:highlight w:val="none"/>
              </w:rPr>
            </w:pPr>
            <w:r>
              <w:rPr>
                <w:color w:val="auto"/>
                <w:highlight w:val="none"/>
              </w:rPr>
              <w:t>≤1.00mg/L</w:t>
            </w:r>
          </w:p>
        </w:tc>
      </w:tr>
      <w:tr w14:paraId="615E167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tcBorders>
              <w:tl2br w:val="nil"/>
              <w:tr2bl w:val="nil"/>
            </w:tcBorders>
            <w:vAlign w:val="center"/>
          </w:tcPr>
          <w:p w14:paraId="12BDE8EA">
            <w:pPr>
              <w:pStyle w:val="41"/>
              <w:widowControl w:val="0"/>
              <w:rPr>
                <w:color w:val="auto"/>
                <w:highlight w:val="none"/>
              </w:rPr>
            </w:pPr>
            <w:r>
              <w:rPr>
                <w:color w:val="auto"/>
                <w:highlight w:val="none"/>
              </w:rPr>
              <w:t>15</w:t>
            </w:r>
          </w:p>
        </w:tc>
        <w:tc>
          <w:tcPr>
            <w:tcW w:w="484" w:type="pct"/>
            <w:tcBorders>
              <w:tl2br w:val="nil"/>
              <w:tr2bl w:val="nil"/>
            </w:tcBorders>
            <w:vAlign w:val="center"/>
          </w:tcPr>
          <w:p w14:paraId="1A9D0166">
            <w:pPr>
              <w:pStyle w:val="41"/>
              <w:widowControl w:val="0"/>
              <w:rPr>
                <w:color w:val="auto"/>
                <w:highlight w:val="none"/>
              </w:rPr>
            </w:pPr>
            <w:r>
              <w:rPr>
                <w:rFonts w:hint="eastAsia"/>
                <w:color w:val="auto"/>
                <w:highlight w:val="none"/>
              </w:rPr>
              <w:t>铝</w:t>
            </w:r>
          </w:p>
        </w:tc>
        <w:tc>
          <w:tcPr>
            <w:tcW w:w="275" w:type="pct"/>
            <w:tcBorders>
              <w:tl2br w:val="nil"/>
              <w:tr2bl w:val="nil"/>
            </w:tcBorders>
            <w:vAlign w:val="center"/>
          </w:tcPr>
          <w:p w14:paraId="144B55DD">
            <w:pPr>
              <w:pStyle w:val="41"/>
              <w:widowControl w:val="0"/>
              <w:rPr>
                <w:color w:val="auto"/>
                <w:highlight w:val="none"/>
              </w:rPr>
            </w:pPr>
            <w:r>
              <w:rPr>
                <w:color w:val="auto"/>
                <w:highlight w:val="none"/>
              </w:rPr>
              <w:t>mg/L</w:t>
            </w:r>
          </w:p>
        </w:tc>
        <w:tc>
          <w:tcPr>
            <w:tcW w:w="347" w:type="pct"/>
            <w:tcBorders>
              <w:tl2br w:val="nil"/>
              <w:tr2bl w:val="nil"/>
            </w:tcBorders>
            <w:vAlign w:val="center"/>
          </w:tcPr>
          <w:p w14:paraId="2929AE6B">
            <w:pPr>
              <w:pStyle w:val="41"/>
              <w:widowControl w:val="0"/>
              <w:rPr>
                <w:color w:val="auto"/>
                <w:highlight w:val="none"/>
              </w:rPr>
            </w:pPr>
            <w:r>
              <w:rPr>
                <w:rFonts w:hint="eastAsia"/>
                <w:color w:val="auto"/>
                <w:highlight w:val="none"/>
              </w:rPr>
              <w:t>0.07</w:t>
            </w:r>
            <w:r>
              <w:rPr>
                <w:color w:val="auto"/>
                <w:highlight w:val="none"/>
              </w:rPr>
              <w:t>L</w:t>
            </w:r>
          </w:p>
        </w:tc>
        <w:tc>
          <w:tcPr>
            <w:tcW w:w="304" w:type="pct"/>
            <w:tcBorders>
              <w:tl2br w:val="nil"/>
              <w:tr2bl w:val="nil"/>
            </w:tcBorders>
            <w:vAlign w:val="center"/>
          </w:tcPr>
          <w:p w14:paraId="3F14FC03">
            <w:pPr>
              <w:pStyle w:val="41"/>
              <w:widowControl w:val="0"/>
              <w:rPr>
                <w:color w:val="auto"/>
                <w:highlight w:val="none"/>
              </w:rPr>
            </w:pPr>
            <w:r>
              <w:rPr>
                <w:rFonts w:hint="eastAsia"/>
                <w:color w:val="auto"/>
                <w:highlight w:val="none"/>
              </w:rPr>
              <w:t>0.35</w:t>
            </w:r>
          </w:p>
        </w:tc>
        <w:tc>
          <w:tcPr>
            <w:tcW w:w="347" w:type="pct"/>
            <w:tcBorders>
              <w:tl2br w:val="nil"/>
              <w:tr2bl w:val="nil"/>
            </w:tcBorders>
            <w:vAlign w:val="center"/>
          </w:tcPr>
          <w:p w14:paraId="2314E153">
            <w:pPr>
              <w:pStyle w:val="41"/>
              <w:widowControl w:val="0"/>
              <w:rPr>
                <w:color w:val="auto"/>
                <w:highlight w:val="none"/>
              </w:rPr>
            </w:pPr>
            <w:r>
              <w:rPr>
                <w:rFonts w:hint="eastAsia"/>
                <w:color w:val="auto"/>
                <w:highlight w:val="none"/>
              </w:rPr>
              <w:t>0.07</w:t>
            </w:r>
            <w:r>
              <w:rPr>
                <w:color w:val="auto"/>
                <w:highlight w:val="none"/>
              </w:rPr>
              <w:t>L</w:t>
            </w:r>
          </w:p>
        </w:tc>
        <w:tc>
          <w:tcPr>
            <w:tcW w:w="304" w:type="pct"/>
            <w:tcBorders>
              <w:tl2br w:val="nil"/>
              <w:tr2bl w:val="nil"/>
            </w:tcBorders>
            <w:vAlign w:val="center"/>
          </w:tcPr>
          <w:p w14:paraId="7314E5A5">
            <w:pPr>
              <w:pStyle w:val="41"/>
              <w:widowControl w:val="0"/>
              <w:rPr>
                <w:color w:val="auto"/>
                <w:highlight w:val="none"/>
              </w:rPr>
            </w:pPr>
            <w:r>
              <w:rPr>
                <w:rFonts w:hint="eastAsia"/>
                <w:color w:val="auto"/>
                <w:highlight w:val="none"/>
              </w:rPr>
              <w:t>0.35</w:t>
            </w:r>
          </w:p>
        </w:tc>
        <w:tc>
          <w:tcPr>
            <w:tcW w:w="347" w:type="pct"/>
            <w:tcBorders>
              <w:tl2br w:val="nil"/>
              <w:tr2bl w:val="nil"/>
            </w:tcBorders>
            <w:vAlign w:val="center"/>
          </w:tcPr>
          <w:p w14:paraId="03BAE980">
            <w:pPr>
              <w:pStyle w:val="41"/>
              <w:widowControl w:val="0"/>
              <w:rPr>
                <w:color w:val="auto"/>
                <w:highlight w:val="none"/>
              </w:rPr>
            </w:pPr>
            <w:r>
              <w:rPr>
                <w:rFonts w:hint="eastAsia"/>
                <w:color w:val="auto"/>
                <w:highlight w:val="none"/>
              </w:rPr>
              <w:t>0.07</w:t>
            </w:r>
            <w:r>
              <w:rPr>
                <w:color w:val="auto"/>
                <w:highlight w:val="none"/>
              </w:rPr>
              <w:t>L</w:t>
            </w:r>
          </w:p>
        </w:tc>
        <w:tc>
          <w:tcPr>
            <w:tcW w:w="304" w:type="pct"/>
            <w:tcBorders>
              <w:tl2br w:val="nil"/>
              <w:tr2bl w:val="nil"/>
            </w:tcBorders>
            <w:vAlign w:val="center"/>
          </w:tcPr>
          <w:p w14:paraId="349C7F09">
            <w:pPr>
              <w:pStyle w:val="41"/>
              <w:widowControl w:val="0"/>
              <w:rPr>
                <w:color w:val="auto"/>
                <w:highlight w:val="none"/>
              </w:rPr>
            </w:pPr>
            <w:r>
              <w:rPr>
                <w:rFonts w:hint="eastAsia"/>
                <w:color w:val="auto"/>
                <w:highlight w:val="none"/>
              </w:rPr>
              <w:t>0.35</w:t>
            </w:r>
          </w:p>
        </w:tc>
        <w:tc>
          <w:tcPr>
            <w:tcW w:w="414" w:type="pct"/>
            <w:tcBorders>
              <w:tl2br w:val="nil"/>
              <w:tr2bl w:val="nil"/>
            </w:tcBorders>
            <w:vAlign w:val="center"/>
          </w:tcPr>
          <w:p w14:paraId="72C24433">
            <w:pPr>
              <w:pStyle w:val="41"/>
              <w:widowControl w:val="0"/>
              <w:rPr>
                <w:color w:val="auto"/>
                <w:highlight w:val="none"/>
              </w:rPr>
            </w:pPr>
            <w:r>
              <w:rPr>
                <w:color w:val="auto"/>
                <w:highlight w:val="none"/>
              </w:rPr>
              <w:t>0.07L</w:t>
            </w:r>
          </w:p>
        </w:tc>
        <w:tc>
          <w:tcPr>
            <w:tcW w:w="414" w:type="pct"/>
            <w:tcBorders>
              <w:tl2br w:val="nil"/>
              <w:tr2bl w:val="nil"/>
            </w:tcBorders>
            <w:vAlign w:val="center"/>
          </w:tcPr>
          <w:p w14:paraId="21BF40C1">
            <w:pPr>
              <w:pStyle w:val="41"/>
              <w:widowControl w:val="0"/>
              <w:rPr>
                <w:color w:val="auto"/>
                <w:highlight w:val="none"/>
              </w:rPr>
            </w:pPr>
            <w:r>
              <w:rPr>
                <w:rFonts w:hint="eastAsia"/>
                <w:color w:val="auto"/>
                <w:highlight w:val="none"/>
              </w:rPr>
              <w:t>0.35</w:t>
            </w:r>
          </w:p>
        </w:tc>
        <w:tc>
          <w:tcPr>
            <w:tcW w:w="414" w:type="pct"/>
            <w:tcBorders>
              <w:tl2br w:val="nil"/>
              <w:tr2bl w:val="nil"/>
            </w:tcBorders>
            <w:vAlign w:val="center"/>
          </w:tcPr>
          <w:p w14:paraId="4123F911">
            <w:pPr>
              <w:pStyle w:val="41"/>
              <w:widowControl w:val="0"/>
              <w:rPr>
                <w:color w:val="auto"/>
                <w:highlight w:val="none"/>
              </w:rPr>
            </w:pPr>
            <w:r>
              <w:rPr>
                <w:color w:val="auto"/>
                <w:highlight w:val="none"/>
              </w:rPr>
              <w:t>0.07L</w:t>
            </w:r>
          </w:p>
        </w:tc>
        <w:tc>
          <w:tcPr>
            <w:tcW w:w="414" w:type="pct"/>
            <w:tcBorders>
              <w:tl2br w:val="nil"/>
              <w:tr2bl w:val="nil"/>
            </w:tcBorders>
            <w:vAlign w:val="center"/>
          </w:tcPr>
          <w:p w14:paraId="1C16C98F">
            <w:pPr>
              <w:pStyle w:val="41"/>
              <w:widowControl w:val="0"/>
              <w:rPr>
                <w:color w:val="auto"/>
                <w:highlight w:val="none"/>
              </w:rPr>
            </w:pPr>
            <w:r>
              <w:rPr>
                <w:rFonts w:hint="eastAsia"/>
                <w:color w:val="auto"/>
                <w:highlight w:val="none"/>
              </w:rPr>
              <w:t>0.35</w:t>
            </w:r>
          </w:p>
        </w:tc>
        <w:tc>
          <w:tcPr>
            <w:tcW w:w="425" w:type="pct"/>
            <w:tcBorders>
              <w:tl2br w:val="nil"/>
              <w:tr2bl w:val="nil"/>
            </w:tcBorders>
            <w:vAlign w:val="center"/>
          </w:tcPr>
          <w:p w14:paraId="313F3842">
            <w:pPr>
              <w:pStyle w:val="41"/>
              <w:widowControl w:val="0"/>
              <w:rPr>
                <w:color w:val="auto"/>
                <w:highlight w:val="none"/>
              </w:rPr>
            </w:pPr>
            <w:r>
              <w:rPr>
                <w:color w:val="auto"/>
                <w:highlight w:val="none"/>
              </w:rPr>
              <w:t>≤0.20mg/L</w:t>
            </w:r>
          </w:p>
        </w:tc>
      </w:tr>
      <w:tr w14:paraId="6378ADC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tcBorders>
              <w:tl2br w:val="nil"/>
              <w:tr2bl w:val="nil"/>
            </w:tcBorders>
            <w:vAlign w:val="center"/>
          </w:tcPr>
          <w:p w14:paraId="7191A36E">
            <w:pPr>
              <w:pStyle w:val="41"/>
              <w:widowControl w:val="0"/>
              <w:rPr>
                <w:color w:val="auto"/>
                <w:highlight w:val="none"/>
              </w:rPr>
            </w:pPr>
            <w:r>
              <w:rPr>
                <w:color w:val="auto"/>
                <w:highlight w:val="none"/>
              </w:rPr>
              <w:t>16</w:t>
            </w:r>
          </w:p>
        </w:tc>
        <w:tc>
          <w:tcPr>
            <w:tcW w:w="484" w:type="pct"/>
            <w:tcBorders>
              <w:tl2br w:val="nil"/>
              <w:tr2bl w:val="nil"/>
            </w:tcBorders>
            <w:vAlign w:val="center"/>
          </w:tcPr>
          <w:p w14:paraId="7B37B3FC">
            <w:pPr>
              <w:pStyle w:val="41"/>
              <w:widowControl w:val="0"/>
              <w:rPr>
                <w:color w:val="auto"/>
                <w:highlight w:val="none"/>
              </w:rPr>
            </w:pPr>
            <w:r>
              <w:rPr>
                <w:rFonts w:hint="eastAsia"/>
                <w:color w:val="auto"/>
                <w:highlight w:val="none"/>
              </w:rPr>
              <w:t>氨氮</w:t>
            </w:r>
          </w:p>
        </w:tc>
        <w:tc>
          <w:tcPr>
            <w:tcW w:w="275" w:type="pct"/>
            <w:tcBorders>
              <w:tl2br w:val="nil"/>
              <w:tr2bl w:val="nil"/>
            </w:tcBorders>
            <w:vAlign w:val="center"/>
          </w:tcPr>
          <w:p w14:paraId="2300C2A9">
            <w:pPr>
              <w:pStyle w:val="41"/>
              <w:widowControl w:val="0"/>
              <w:rPr>
                <w:color w:val="auto"/>
                <w:highlight w:val="none"/>
              </w:rPr>
            </w:pPr>
            <w:r>
              <w:rPr>
                <w:color w:val="auto"/>
                <w:highlight w:val="none"/>
              </w:rPr>
              <w:t>mg/L</w:t>
            </w:r>
          </w:p>
        </w:tc>
        <w:tc>
          <w:tcPr>
            <w:tcW w:w="347" w:type="pct"/>
            <w:tcBorders>
              <w:tl2br w:val="nil"/>
              <w:tr2bl w:val="nil"/>
            </w:tcBorders>
            <w:vAlign w:val="center"/>
          </w:tcPr>
          <w:p w14:paraId="6F388776">
            <w:pPr>
              <w:pStyle w:val="41"/>
              <w:widowControl w:val="0"/>
              <w:rPr>
                <w:color w:val="auto"/>
                <w:highlight w:val="none"/>
              </w:rPr>
            </w:pPr>
            <w:r>
              <w:rPr>
                <w:color w:val="auto"/>
                <w:highlight w:val="none"/>
              </w:rPr>
              <w:t>0.03</w:t>
            </w:r>
          </w:p>
        </w:tc>
        <w:tc>
          <w:tcPr>
            <w:tcW w:w="304" w:type="pct"/>
            <w:tcBorders>
              <w:tl2br w:val="nil"/>
              <w:tr2bl w:val="nil"/>
            </w:tcBorders>
            <w:vAlign w:val="center"/>
          </w:tcPr>
          <w:p w14:paraId="66B1B14D">
            <w:pPr>
              <w:pStyle w:val="41"/>
              <w:widowControl w:val="0"/>
              <w:rPr>
                <w:color w:val="auto"/>
                <w:highlight w:val="none"/>
              </w:rPr>
            </w:pPr>
            <w:r>
              <w:rPr>
                <w:rFonts w:hint="eastAsia"/>
                <w:color w:val="auto"/>
                <w:highlight w:val="none"/>
              </w:rPr>
              <w:t>0.06</w:t>
            </w:r>
          </w:p>
        </w:tc>
        <w:tc>
          <w:tcPr>
            <w:tcW w:w="347" w:type="pct"/>
            <w:tcBorders>
              <w:tl2br w:val="nil"/>
              <w:tr2bl w:val="nil"/>
            </w:tcBorders>
            <w:vAlign w:val="center"/>
          </w:tcPr>
          <w:p w14:paraId="49EBC57E">
            <w:pPr>
              <w:pStyle w:val="41"/>
              <w:widowControl w:val="0"/>
              <w:rPr>
                <w:color w:val="auto"/>
                <w:highlight w:val="none"/>
              </w:rPr>
            </w:pPr>
            <w:r>
              <w:rPr>
                <w:color w:val="auto"/>
                <w:highlight w:val="none"/>
              </w:rPr>
              <w:t>0.01</w:t>
            </w:r>
          </w:p>
        </w:tc>
        <w:tc>
          <w:tcPr>
            <w:tcW w:w="304" w:type="pct"/>
            <w:tcBorders>
              <w:tl2br w:val="nil"/>
              <w:tr2bl w:val="nil"/>
            </w:tcBorders>
            <w:vAlign w:val="center"/>
          </w:tcPr>
          <w:p w14:paraId="7504498A">
            <w:pPr>
              <w:pStyle w:val="41"/>
              <w:widowControl w:val="0"/>
              <w:rPr>
                <w:color w:val="auto"/>
                <w:highlight w:val="none"/>
              </w:rPr>
            </w:pPr>
            <w:r>
              <w:rPr>
                <w:rFonts w:hint="eastAsia"/>
                <w:color w:val="auto"/>
                <w:highlight w:val="none"/>
              </w:rPr>
              <w:t>0.02</w:t>
            </w:r>
          </w:p>
        </w:tc>
        <w:tc>
          <w:tcPr>
            <w:tcW w:w="347" w:type="pct"/>
            <w:tcBorders>
              <w:tl2br w:val="nil"/>
              <w:tr2bl w:val="nil"/>
            </w:tcBorders>
            <w:vAlign w:val="center"/>
          </w:tcPr>
          <w:p w14:paraId="40861A02">
            <w:pPr>
              <w:pStyle w:val="41"/>
              <w:widowControl w:val="0"/>
              <w:rPr>
                <w:color w:val="auto"/>
                <w:highlight w:val="none"/>
              </w:rPr>
            </w:pPr>
            <w:r>
              <w:rPr>
                <w:color w:val="auto"/>
                <w:highlight w:val="none"/>
              </w:rPr>
              <w:t>0.01L</w:t>
            </w:r>
          </w:p>
        </w:tc>
        <w:tc>
          <w:tcPr>
            <w:tcW w:w="304" w:type="pct"/>
            <w:tcBorders>
              <w:tl2br w:val="nil"/>
              <w:tr2bl w:val="nil"/>
            </w:tcBorders>
            <w:vAlign w:val="center"/>
          </w:tcPr>
          <w:p w14:paraId="73A0A7B3">
            <w:pPr>
              <w:pStyle w:val="41"/>
              <w:widowControl w:val="0"/>
              <w:rPr>
                <w:color w:val="auto"/>
                <w:highlight w:val="none"/>
              </w:rPr>
            </w:pPr>
            <w:r>
              <w:rPr>
                <w:rFonts w:hint="eastAsia"/>
                <w:color w:val="auto"/>
                <w:highlight w:val="none"/>
              </w:rPr>
              <w:t>0.02</w:t>
            </w:r>
          </w:p>
        </w:tc>
        <w:tc>
          <w:tcPr>
            <w:tcW w:w="414" w:type="pct"/>
            <w:tcBorders>
              <w:tl2br w:val="nil"/>
              <w:tr2bl w:val="nil"/>
            </w:tcBorders>
            <w:vAlign w:val="center"/>
          </w:tcPr>
          <w:p w14:paraId="754E6A39">
            <w:pPr>
              <w:pStyle w:val="41"/>
              <w:widowControl w:val="0"/>
              <w:rPr>
                <w:color w:val="auto"/>
                <w:highlight w:val="none"/>
              </w:rPr>
            </w:pPr>
            <w:r>
              <w:rPr>
                <w:color w:val="auto"/>
                <w:highlight w:val="none"/>
              </w:rPr>
              <w:t>0.03</w:t>
            </w:r>
          </w:p>
        </w:tc>
        <w:tc>
          <w:tcPr>
            <w:tcW w:w="414" w:type="pct"/>
            <w:tcBorders>
              <w:tl2br w:val="nil"/>
              <w:tr2bl w:val="nil"/>
            </w:tcBorders>
            <w:vAlign w:val="center"/>
          </w:tcPr>
          <w:p w14:paraId="5C4DF1A2">
            <w:pPr>
              <w:pStyle w:val="41"/>
              <w:widowControl w:val="0"/>
              <w:rPr>
                <w:color w:val="auto"/>
                <w:highlight w:val="none"/>
              </w:rPr>
            </w:pPr>
            <w:r>
              <w:rPr>
                <w:rFonts w:hint="eastAsia"/>
                <w:color w:val="auto"/>
                <w:highlight w:val="none"/>
              </w:rPr>
              <w:t>0.06</w:t>
            </w:r>
          </w:p>
        </w:tc>
        <w:tc>
          <w:tcPr>
            <w:tcW w:w="414" w:type="pct"/>
            <w:tcBorders>
              <w:tl2br w:val="nil"/>
              <w:tr2bl w:val="nil"/>
            </w:tcBorders>
            <w:vAlign w:val="center"/>
          </w:tcPr>
          <w:p w14:paraId="353BC778">
            <w:pPr>
              <w:pStyle w:val="41"/>
              <w:widowControl w:val="0"/>
              <w:rPr>
                <w:color w:val="auto"/>
                <w:highlight w:val="none"/>
              </w:rPr>
            </w:pPr>
            <w:r>
              <w:rPr>
                <w:color w:val="auto"/>
                <w:highlight w:val="none"/>
              </w:rPr>
              <w:t>0.02</w:t>
            </w:r>
          </w:p>
        </w:tc>
        <w:tc>
          <w:tcPr>
            <w:tcW w:w="414" w:type="pct"/>
            <w:tcBorders>
              <w:tl2br w:val="nil"/>
              <w:tr2bl w:val="nil"/>
            </w:tcBorders>
            <w:vAlign w:val="center"/>
          </w:tcPr>
          <w:p w14:paraId="5160047C">
            <w:pPr>
              <w:pStyle w:val="41"/>
              <w:widowControl w:val="0"/>
              <w:rPr>
                <w:color w:val="auto"/>
                <w:highlight w:val="none"/>
              </w:rPr>
            </w:pPr>
            <w:r>
              <w:rPr>
                <w:rFonts w:hint="eastAsia"/>
                <w:color w:val="auto"/>
                <w:highlight w:val="none"/>
              </w:rPr>
              <w:t>0.04</w:t>
            </w:r>
          </w:p>
        </w:tc>
        <w:tc>
          <w:tcPr>
            <w:tcW w:w="425" w:type="pct"/>
            <w:tcBorders>
              <w:tl2br w:val="nil"/>
              <w:tr2bl w:val="nil"/>
            </w:tcBorders>
            <w:vAlign w:val="center"/>
          </w:tcPr>
          <w:p w14:paraId="6B98E43B">
            <w:pPr>
              <w:pStyle w:val="41"/>
              <w:widowControl w:val="0"/>
              <w:rPr>
                <w:color w:val="auto"/>
                <w:highlight w:val="none"/>
              </w:rPr>
            </w:pPr>
            <w:r>
              <w:rPr>
                <w:color w:val="auto"/>
                <w:highlight w:val="none"/>
              </w:rPr>
              <w:t>≤0.50mg/L</w:t>
            </w:r>
          </w:p>
        </w:tc>
      </w:tr>
      <w:tr w14:paraId="20551DC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tcBorders>
              <w:tl2br w:val="nil"/>
              <w:tr2bl w:val="nil"/>
            </w:tcBorders>
            <w:vAlign w:val="center"/>
          </w:tcPr>
          <w:p w14:paraId="27B0BA23">
            <w:pPr>
              <w:pStyle w:val="41"/>
              <w:widowControl w:val="0"/>
              <w:rPr>
                <w:color w:val="auto"/>
                <w:highlight w:val="none"/>
              </w:rPr>
            </w:pPr>
            <w:r>
              <w:rPr>
                <w:color w:val="auto"/>
                <w:highlight w:val="none"/>
              </w:rPr>
              <w:t>17</w:t>
            </w:r>
          </w:p>
        </w:tc>
        <w:tc>
          <w:tcPr>
            <w:tcW w:w="484" w:type="pct"/>
            <w:tcBorders>
              <w:tl2br w:val="nil"/>
              <w:tr2bl w:val="nil"/>
            </w:tcBorders>
            <w:vAlign w:val="center"/>
          </w:tcPr>
          <w:p w14:paraId="41E1A5AF">
            <w:pPr>
              <w:pStyle w:val="41"/>
              <w:widowControl w:val="0"/>
              <w:rPr>
                <w:color w:val="auto"/>
                <w:highlight w:val="none"/>
              </w:rPr>
            </w:pPr>
            <w:r>
              <w:rPr>
                <w:rFonts w:hint="eastAsia"/>
                <w:color w:val="auto"/>
                <w:highlight w:val="none"/>
              </w:rPr>
              <w:t>硫化物</w:t>
            </w:r>
          </w:p>
        </w:tc>
        <w:tc>
          <w:tcPr>
            <w:tcW w:w="275" w:type="pct"/>
            <w:tcBorders>
              <w:tl2br w:val="nil"/>
              <w:tr2bl w:val="nil"/>
            </w:tcBorders>
            <w:vAlign w:val="center"/>
          </w:tcPr>
          <w:p w14:paraId="089E03AB">
            <w:pPr>
              <w:pStyle w:val="41"/>
              <w:widowControl w:val="0"/>
              <w:rPr>
                <w:color w:val="auto"/>
                <w:highlight w:val="none"/>
              </w:rPr>
            </w:pPr>
            <w:r>
              <w:rPr>
                <w:color w:val="auto"/>
                <w:highlight w:val="none"/>
              </w:rPr>
              <w:t>mg/L</w:t>
            </w:r>
          </w:p>
        </w:tc>
        <w:tc>
          <w:tcPr>
            <w:tcW w:w="347" w:type="pct"/>
            <w:tcBorders>
              <w:tl2br w:val="nil"/>
              <w:tr2bl w:val="nil"/>
            </w:tcBorders>
            <w:vAlign w:val="center"/>
          </w:tcPr>
          <w:p w14:paraId="30FF6979">
            <w:pPr>
              <w:pStyle w:val="41"/>
              <w:widowControl w:val="0"/>
              <w:rPr>
                <w:color w:val="auto"/>
                <w:highlight w:val="none"/>
              </w:rPr>
            </w:pPr>
            <w:r>
              <w:rPr>
                <w:color w:val="auto"/>
                <w:highlight w:val="none"/>
              </w:rPr>
              <w:t>0.003L</w:t>
            </w:r>
          </w:p>
        </w:tc>
        <w:tc>
          <w:tcPr>
            <w:tcW w:w="304" w:type="pct"/>
            <w:tcBorders>
              <w:tl2br w:val="nil"/>
              <w:tr2bl w:val="nil"/>
            </w:tcBorders>
            <w:vAlign w:val="center"/>
          </w:tcPr>
          <w:p w14:paraId="517E2331">
            <w:pPr>
              <w:pStyle w:val="41"/>
              <w:widowControl w:val="0"/>
              <w:rPr>
                <w:color w:val="auto"/>
                <w:highlight w:val="none"/>
              </w:rPr>
            </w:pPr>
            <w:r>
              <w:rPr>
                <w:rFonts w:hint="eastAsia"/>
                <w:color w:val="auto"/>
                <w:highlight w:val="none"/>
              </w:rPr>
              <w:t>0.15</w:t>
            </w:r>
          </w:p>
        </w:tc>
        <w:tc>
          <w:tcPr>
            <w:tcW w:w="347" w:type="pct"/>
            <w:tcBorders>
              <w:tl2br w:val="nil"/>
              <w:tr2bl w:val="nil"/>
            </w:tcBorders>
            <w:vAlign w:val="center"/>
          </w:tcPr>
          <w:p w14:paraId="6F18FFA4">
            <w:pPr>
              <w:pStyle w:val="41"/>
              <w:widowControl w:val="0"/>
              <w:rPr>
                <w:color w:val="auto"/>
                <w:highlight w:val="none"/>
              </w:rPr>
            </w:pPr>
            <w:r>
              <w:rPr>
                <w:color w:val="auto"/>
                <w:highlight w:val="none"/>
              </w:rPr>
              <w:t>0.003L</w:t>
            </w:r>
          </w:p>
        </w:tc>
        <w:tc>
          <w:tcPr>
            <w:tcW w:w="304" w:type="pct"/>
            <w:tcBorders>
              <w:tl2br w:val="nil"/>
              <w:tr2bl w:val="nil"/>
            </w:tcBorders>
            <w:vAlign w:val="center"/>
          </w:tcPr>
          <w:p w14:paraId="2D14258C">
            <w:pPr>
              <w:pStyle w:val="41"/>
              <w:widowControl w:val="0"/>
              <w:rPr>
                <w:color w:val="auto"/>
                <w:highlight w:val="none"/>
              </w:rPr>
            </w:pPr>
            <w:r>
              <w:rPr>
                <w:rFonts w:hint="eastAsia"/>
                <w:color w:val="auto"/>
                <w:highlight w:val="none"/>
              </w:rPr>
              <w:t>0.15</w:t>
            </w:r>
          </w:p>
        </w:tc>
        <w:tc>
          <w:tcPr>
            <w:tcW w:w="347" w:type="pct"/>
            <w:tcBorders>
              <w:tl2br w:val="nil"/>
              <w:tr2bl w:val="nil"/>
            </w:tcBorders>
            <w:vAlign w:val="center"/>
          </w:tcPr>
          <w:p w14:paraId="78F14625">
            <w:pPr>
              <w:pStyle w:val="41"/>
              <w:widowControl w:val="0"/>
              <w:rPr>
                <w:color w:val="auto"/>
                <w:highlight w:val="none"/>
              </w:rPr>
            </w:pPr>
            <w:r>
              <w:rPr>
                <w:color w:val="auto"/>
                <w:highlight w:val="none"/>
              </w:rPr>
              <w:t>0.003L</w:t>
            </w:r>
          </w:p>
        </w:tc>
        <w:tc>
          <w:tcPr>
            <w:tcW w:w="304" w:type="pct"/>
            <w:tcBorders>
              <w:tl2br w:val="nil"/>
              <w:tr2bl w:val="nil"/>
            </w:tcBorders>
            <w:vAlign w:val="center"/>
          </w:tcPr>
          <w:p w14:paraId="5B1CF4EC">
            <w:pPr>
              <w:pStyle w:val="41"/>
              <w:widowControl w:val="0"/>
              <w:rPr>
                <w:color w:val="auto"/>
                <w:highlight w:val="none"/>
              </w:rPr>
            </w:pPr>
            <w:r>
              <w:rPr>
                <w:rFonts w:hint="eastAsia"/>
                <w:color w:val="auto"/>
                <w:highlight w:val="none"/>
              </w:rPr>
              <w:t>0.15</w:t>
            </w:r>
          </w:p>
        </w:tc>
        <w:tc>
          <w:tcPr>
            <w:tcW w:w="414" w:type="pct"/>
            <w:tcBorders>
              <w:tl2br w:val="nil"/>
              <w:tr2bl w:val="nil"/>
            </w:tcBorders>
            <w:vAlign w:val="center"/>
          </w:tcPr>
          <w:p w14:paraId="00ECE8C4">
            <w:pPr>
              <w:pStyle w:val="41"/>
              <w:widowControl w:val="0"/>
              <w:rPr>
                <w:color w:val="auto"/>
                <w:highlight w:val="none"/>
              </w:rPr>
            </w:pPr>
            <w:r>
              <w:rPr>
                <w:color w:val="auto"/>
                <w:highlight w:val="none"/>
              </w:rPr>
              <w:t>0.003L</w:t>
            </w:r>
          </w:p>
        </w:tc>
        <w:tc>
          <w:tcPr>
            <w:tcW w:w="414" w:type="pct"/>
            <w:tcBorders>
              <w:tl2br w:val="nil"/>
              <w:tr2bl w:val="nil"/>
            </w:tcBorders>
            <w:vAlign w:val="center"/>
          </w:tcPr>
          <w:p w14:paraId="1BAA5151">
            <w:pPr>
              <w:pStyle w:val="41"/>
              <w:widowControl w:val="0"/>
              <w:rPr>
                <w:color w:val="auto"/>
                <w:highlight w:val="none"/>
              </w:rPr>
            </w:pPr>
            <w:r>
              <w:rPr>
                <w:rFonts w:hint="eastAsia"/>
                <w:color w:val="auto"/>
                <w:highlight w:val="none"/>
              </w:rPr>
              <w:t>0.15</w:t>
            </w:r>
          </w:p>
        </w:tc>
        <w:tc>
          <w:tcPr>
            <w:tcW w:w="414" w:type="pct"/>
            <w:tcBorders>
              <w:tl2br w:val="nil"/>
              <w:tr2bl w:val="nil"/>
            </w:tcBorders>
            <w:vAlign w:val="center"/>
          </w:tcPr>
          <w:p w14:paraId="6FFE470C">
            <w:pPr>
              <w:pStyle w:val="41"/>
              <w:widowControl w:val="0"/>
              <w:rPr>
                <w:color w:val="auto"/>
                <w:highlight w:val="none"/>
              </w:rPr>
            </w:pPr>
            <w:r>
              <w:rPr>
                <w:color w:val="auto"/>
                <w:highlight w:val="none"/>
              </w:rPr>
              <w:t>0.003L</w:t>
            </w:r>
          </w:p>
        </w:tc>
        <w:tc>
          <w:tcPr>
            <w:tcW w:w="414" w:type="pct"/>
            <w:tcBorders>
              <w:tl2br w:val="nil"/>
              <w:tr2bl w:val="nil"/>
            </w:tcBorders>
            <w:vAlign w:val="center"/>
          </w:tcPr>
          <w:p w14:paraId="08F88CAA">
            <w:pPr>
              <w:pStyle w:val="41"/>
              <w:widowControl w:val="0"/>
              <w:rPr>
                <w:color w:val="auto"/>
                <w:highlight w:val="none"/>
              </w:rPr>
            </w:pPr>
            <w:r>
              <w:rPr>
                <w:rFonts w:hint="eastAsia"/>
                <w:color w:val="auto"/>
                <w:highlight w:val="none"/>
              </w:rPr>
              <w:t>0.15</w:t>
            </w:r>
          </w:p>
        </w:tc>
        <w:tc>
          <w:tcPr>
            <w:tcW w:w="425" w:type="pct"/>
            <w:tcBorders>
              <w:tl2br w:val="nil"/>
              <w:tr2bl w:val="nil"/>
            </w:tcBorders>
            <w:vAlign w:val="center"/>
          </w:tcPr>
          <w:p w14:paraId="423903D7">
            <w:pPr>
              <w:pStyle w:val="41"/>
              <w:widowControl w:val="0"/>
              <w:rPr>
                <w:color w:val="auto"/>
                <w:highlight w:val="none"/>
              </w:rPr>
            </w:pPr>
            <w:r>
              <w:rPr>
                <w:color w:val="auto"/>
                <w:highlight w:val="none"/>
              </w:rPr>
              <w:t>≤0.02mg/L</w:t>
            </w:r>
          </w:p>
        </w:tc>
      </w:tr>
      <w:tr w14:paraId="2494A43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tcBorders>
              <w:tl2br w:val="nil"/>
              <w:tr2bl w:val="nil"/>
            </w:tcBorders>
            <w:vAlign w:val="center"/>
          </w:tcPr>
          <w:p w14:paraId="7C6450DA">
            <w:pPr>
              <w:pStyle w:val="41"/>
              <w:widowControl w:val="0"/>
              <w:rPr>
                <w:color w:val="auto"/>
                <w:highlight w:val="none"/>
              </w:rPr>
            </w:pPr>
            <w:r>
              <w:rPr>
                <w:color w:val="auto"/>
                <w:highlight w:val="none"/>
              </w:rPr>
              <w:t>18</w:t>
            </w:r>
          </w:p>
        </w:tc>
        <w:tc>
          <w:tcPr>
            <w:tcW w:w="484" w:type="pct"/>
            <w:tcBorders>
              <w:tl2br w:val="nil"/>
              <w:tr2bl w:val="nil"/>
            </w:tcBorders>
            <w:vAlign w:val="center"/>
          </w:tcPr>
          <w:p w14:paraId="2F7EBB2D">
            <w:pPr>
              <w:pStyle w:val="41"/>
              <w:widowControl w:val="0"/>
              <w:rPr>
                <w:color w:val="auto"/>
                <w:highlight w:val="none"/>
              </w:rPr>
            </w:pPr>
            <w:r>
              <w:rPr>
                <w:rFonts w:hint="eastAsia"/>
                <w:color w:val="auto"/>
                <w:highlight w:val="none"/>
              </w:rPr>
              <w:t>氟化物</w:t>
            </w:r>
          </w:p>
        </w:tc>
        <w:tc>
          <w:tcPr>
            <w:tcW w:w="275" w:type="pct"/>
            <w:tcBorders>
              <w:tl2br w:val="nil"/>
              <w:tr2bl w:val="nil"/>
            </w:tcBorders>
            <w:vAlign w:val="center"/>
          </w:tcPr>
          <w:p w14:paraId="2BDF6A1E">
            <w:pPr>
              <w:pStyle w:val="41"/>
              <w:widowControl w:val="0"/>
              <w:rPr>
                <w:color w:val="auto"/>
                <w:highlight w:val="none"/>
              </w:rPr>
            </w:pPr>
            <w:r>
              <w:rPr>
                <w:color w:val="auto"/>
                <w:highlight w:val="none"/>
              </w:rPr>
              <w:t>mg/L</w:t>
            </w:r>
          </w:p>
        </w:tc>
        <w:tc>
          <w:tcPr>
            <w:tcW w:w="347" w:type="pct"/>
            <w:tcBorders>
              <w:tl2br w:val="nil"/>
              <w:tr2bl w:val="nil"/>
            </w:tcBorders>
            <w:vAlign w:val="center"/>
          </w:tcPr>
          <w:p w14:paraId="34F6C04A">
            <w:pPr>
              <w:pStyle w:val="41"/>
              <w:widowControl w:val="0"/>
              <w:rPr>
                <w:color w:val="auto"/>
                <w:highlight w:val="none"/>
              </w:rPr>
            </w:pPr>
            <w:r>
              <w:rPr>
                <w:color w:val="auto"/>
                <w:highlight w:val="none"/>
              </w:rPr>
              <w:t>0.38</w:t>
            </w:r>
          </w:p>
        </w:tc>
        <w:tc>
          <w:tcPr>
            <w:tcW w:w="304" w:type="pct"/>
            <w:tcBorders>
              <w:tl2br w:val="nil"/>
              <w:tr2bl w:val="nil"/>
            </w:tcBorders>
            <w:vAlign w:val="center"/>
          </w:tcPr>
          <w:p w14:paraId="793BA3FB">
            <w:pPr>
              <w:pStyle w:val="41"/>
              <w:widowControl w:val="0"/>
              <w:rPr>
                <w:color w:val="auto"/>
                <w:highlight w:val="none"/>
              </w:rPr>
            </w:pPr>
            <w:r>
              <w:rPr>
                <w:rFonts w:hint="eastAsia"/>
                <w:color w:val="auto"/>
                <w:highlight w:val="none"/>
              </w:rPr>
              <w:t>0.38</w:t>
            </w:r>
          </w:p>
        </w:tc>
        <w:tc>
          <w:tcPr>
            <w:tcW w:w="347" w:type="pct"/>
            <w:tcBorders>
              <w:tl2br w:val="nil"/>
              <w:tr2bl w:val="nil"/>
            </w:tcBorders>
            <w:vAlign w:val="center"/>
          </w:tcPr>
          <w:p w14:paraId="000ED0DE">
            <w:pPr>
              <w:pStyle w:val="41"/>
              <w:widowControl w:val="0"/>
              <w:rPr>
                <w:color w:val="auto"/>
                <w:highlight w:val="none"/>
              </w:rPr>
            </w:pPr>
            <w:r>
              <w:rPr>
                <w:color w:val="auto"/>
                <w:highlight w:val="none"/>
              </w:rPr>
              <w:t>0.36</w:t>
            </w:r>
          </w:p>
        </w:tc>
        <w:tc>
          <w:tcPr>
            <w:tcW w:w="304" w:type="pct"/>
            <w:tcBorders>
              <w:tl2br w:val="nil"/>
              <w:tr2bl w:val="nil"/>
            </w:tcBorders>
            <w:vAlign w:val="center"/>
          </w:tcPr>
          <w:p w14:paraId="536F91B7">
            <w:pPr>
              <w:pStyle w:val="41"/>
              <w:widowControl w:val="0"/>
              <w:rPr>
                <w:color w:val="auto"/>
                <w:highlight w:val="none"/>
              </w:rPr>
            </w:pPr>
            <w:r>
              <w:rPr>
                <w:rFonts w:hint="eastAsia"/>
                <w:color w:val="auto"/>
                <w:highlight w:val="none"/>
              </w:rPr>
              <w:t>0.36</w:t>
            </w:r>
          </w:p>
        </w:tc>
        <w:tc>
          <w:tcPr>
            <w:tcW w:w="347" w:type="pct"/>
            <w:tcBorders>
              <w:tl2br w:val="nil"/>
              <w:tr2bl w:val="nil"/>
            </w:tcBorders>
            <w:vAlign w:val="center"/>
          </w:tcPr>
          <w:p w14:paraId="7A35F4BE">
            <w:pPr>
              <w:pStyle w:val="41"/>
              <w:widowControl w:val="0"/>
              <w:rPr>
                <w:color w:val="auto"/>
                <w:highlight w:val="none"/>
              </w:rPr>
            </w:pPr>
            <w:r>
              <w:rPr>
                <w:color w:val="auto"/>
                <w:highlight w:val="none"/>
              </w:rPr>
              <w:t>0.42</w:t>
            </w:r>
          </w:p>
        </w:tc>
        <w:tc>
          <w:tcPr>
            <w:tcW w:w="304" w:type="pct"/>
            <w:tcBorders>
              <w:tl2br w:val="nil"/>
              <w:tr2bl w:val="nil"/>
            </w:tcBorders>
            <w:vAlign w:val="center"/>
          </w:tcPr>
          <w:p w14:paraId="02FB0DA5">
            <w:pPr>
              <w:pStyle w:val="41"/>
              <w:widowControl w:val="0"/>
              <w:rPr>
                <w:color w:val="auto"/>
                <w:highlight w:val="none"/>
              </w:rPr>
            </w:pPr>
            <w:r>
              <w:rPr>
                <w:rFonts w:hint="eastAsia"/>
                <w:color w:val="auto"/>
                <w:highlight w:val="none"/>
              </w:rPr>
              <w:t>0.42</w:t>
            </w:r>
          </w:p>
        </w:tc>
        <w:tc>
          <w:tcPr>
            <w:tcW w:w="414" w:type="pct"/>
            <w:tcBorders>
              <w:tl2br w:val="nil"/>
              <w:tr2bl w:val="nil"/>
            </w:tcBorders>
            <w:vAlign w:val="center"/>
          </w:tcPr>
          <w:p w14:paraId="744726B7">
            <w:pPr>
              <w:pStyle w:val="41"/>
              <w:widowControl w:val="0"/>
              <w:rPr>
                <w:color w:val="auto"/>
                <w:highlight w:val="none"/>
              </w:rPr>
            </w:pPr>
            <w:r>
              <w:rPr>
                <w:color w:val="auto"/>
                <w:highlight w:val="none"/>
              </w:rPr>
              <w:t>0.3</w:t>
            </w:r>
          </w:p>
        </w:tc>
        <w:tc>
          <w:tcPr>
            <w:tcW w:w="414" w:type="pct"/>
            <w:tcBorders>
              <w:tl2br w:val="nil"/>
              <w:tr2bl w:val="nil"/>
            </w:tcBorders>
            <w:vAlign w:val="center"/>
          </w:tcPr>
          <w:p w14:paraId="68A52807">
            <w:pPr>
              <w:pStyle w:val="41"/>
              <w:widowControl w:val="0"/>
              <w:rPr>
                <w:color w:val="auto"/>
                <w:highlight w:val="none"/>
              </w:rPr>
            </w:pPr>
            <w:r>
              <w:rPr>
                <w:rFonts w:hint="eastAsia"/>
                <w:color w:val="auto"/>
                <w:highlight w:val="none"/>
              </w:rPr>
              <w:t>0.3</w:t>
            </w:r>
          </w:p>
        </w:tc>
        <w:tc>
          <w:tcPr>
            <w:tcW w:w="414" w:type="pct"/>
            <w:tcBorders>
              <w:tl2br w:val="nil"/>
              <w:tr2bl w:val="nil"/>
            </w:tcBorders>
            <w:vAlign w:val="center"/>
          </w:tcPr>
          <w:p w14:paraId="22FD7487">
            <w:pPr>
              <w:pStyle w:val="41"/>
              <w:widowControl w:val="0"/>
              <w:rPr>
                <w:color w:val="auto"/>
                <w:highlight w:val="none"/>
              </w:rPr>
            </w:pPr>
            <w:r>
              <w:rPr>
                <w:color w:val="auto"/>
                <w:highlight w:val="none"/>
              </w:rPr>
              <w:t>0.33</w:t>
            </w:r>
          </w:p>
        </w:tc>
        <w:tc>
          <w:tcPr>
            <w:tcW w:w="414" w:type="pct"/>
            <w:tcBorders>
              <w:tl2br w:val="nil"/>
              <w:tr2bl w:val="nil"/>
            </w:tcBorders>
            <w:vAlign w:val="center"/>
          </w:tcPr>
          <w:p w14:paraId="706C2CAB">
            <w:pPr>
              <w:pStyle w:val="41"/>
              <w:widowControl w:val="0"/>
              <w:rPr>
                <w:color w:val="auto"/>
                <w:highlight w:val="none"/>
              </w:rPr>
            </w:pPr>
            <w:r>
              <w:rPr>
                <w:rFonts w:hint="eastAsia"/>
                <w:color w:val="auto"/>
                <w:highlight w:val="none"/>
              </w:rPr>
              <w:t>0.33</w:t>
            </w:r>
          </w:p>
        </w:tc>
        <w:tc>
          <w:tcPr>
            <w:tcW w:w="425" w:type="pct"/>
            <w:tcBorders>
              <w:tl2br w:val="nil"/>
              <w:tr2bl w:val="nil"/>
            </w:tcBorders>
            <w:vAlign w:val="center"/>
          </w:tcPr>
          <w:p w14:paraId="00FA7CDC">
            <w:pPr>
              <w:pStyle w:val="41"/>
              <w:widowControl w:val="0"/>
              <w:rPr>
                <w:color w:val="auto"/>
                <w:highlight w:val="none"/>
              </w:rPr>
            </w:pPr>
            <w:r>
              <w:rPr>
                <w:color w:val="auto"/>
                <w:highlight w:val="none"/>
              </w:rPr>
              <w:t>≤1.0mg/L</w:t>
            </w:r>
          </w:p>
        </w:tc>
      </w:tr>
      <w:tr w14:paraId="62DF7C5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tcBorders>
              <w:tl2br w:val="nil"/>
              <w:tr2bl w:val="nil"/>
            </w:tcBorders>
            <w:vAlign w:val="center"/>
          </w:tcPr>
          <w:p w14:paraId="756CB6D5">
            <w:pPr>
              <w:pStyle w:val="41"/>
              <w:widowControl w:val="0"/>
              <w:rPr>
                <w:color w:val="auto"/>
                <w:highlight w:val="none"/>
              </w:rPr>
            </w:pPr>
            <w:r>
              <w:rPr>
                <w:color w:val="auto"/>
                <w:highlight w:val="none"/>
              </w:rPr>
              <w:t>19</w:t>
            </w:r>
          </w:p>
        </w:tc>
        <w:tc>
          <w:tcPr>
            <w:tcW w:w="484" w:type="pct"/>
            <w:tcBorders>
              <w:tl2br w:val="nil"/>
              <w:tr2bl w:val="nil"/>
            </w:tcBorders>
            <w:vAlign w:val="center"/>
          </w:tcPr>
          <w:p w14:paraId="66AF0173">
            <w:pPr>
              <w:pStyle w:val="41"/>
              <w:widowControl w:val="0"/>
              <w:rPr>
                <w:color w:val="auto"/>
                <w:highlight w:val="none"/>
              </w:rPr>
            </w:pPr>
            <w:r>
              <w:rPr>
                <w:rFonts w:hint="eastAsia"/>
                <w:color w:val="auto"/>
                <w:highlight w:val="none"/>
              </w:rPr>
              <w:t>亚硝酸盐氮</w:t>
            </w:r>
          </w:p>
        </w:tc>
        <w:tc>
          <w:tcPr>
            <w:tcW w:w="275" w:type="pct"/>
            <w:tcBorders>
              <w:tl2br w:val="nil"/>
              <w:tr2bl w:val="nil"/>
            </w:tcBorders>
            <w:vAlign w:val="center"/>
          </w:tcPr>
          <w:p w14:paraId="62D788F1">
            <w:pPr>
              <w:pStyle w:val="41"/>
              <w:widowControl w:val="0"/>
              <w:rPr>
                <w:color w:val="auto"/>
                <w:highlight w:val="none"/>
              </w:rPr>
            </w:pPr>
            <w:r>
              <w:rPr>
                <w:color w:val="auto"/>
                <w:highlight w:val="none"/>
              </w:rPr>
              <w:t>mg/L</w:t>
            </w:r>
          </w:p>
        </w:tc>
        <w:tc>
          <w:tcPr>
            <w:tcW w:w="347" w:type="pct"/>
            <w:tcBorders>
              <w:tl2br w:val="nil"/>
              <w:tr2bl w:val="nil"/>
            </w:tcBorders>
            <w:vAlign w:val="center"/>
          </w:tcPr>
          <w:p w14:paraId="01AD8289">
            <w:pPr>
              <w:pStyle w:val="41"/>
              <w:widowControl w:val="0"/>
              <w:rPr>
                <w:color w:val="auto"/>
                <w:highlight w:val="none"/>
              </w:rPr>
            </w:pPr>
            <w:r>
              <w:rPr>
                <w:color w:val="auto"/>
                <w:highlight w:val="none"/>
              </w:rPr>
              <w:t>0.003L</w:t>
            </w:r>
          </w:p>
        </w:tc>
        <w:tc>
          <w:tcPr>
            <w:tcW w:w="304" w:type="pct"/>
            <w:tcBorders>
              <w:tl2br w:val="nil"/>
              <w:tr2bl w:val="nil"/>
            </w:tcBorders>
            <w:vAlign w:val="center"/>
          </w:tcPr>
          <w:p w14:paraId="78757458">
            <w:pPr>
              <w:pStyle w:val="41"/>
              <w:widowControl w:val="0"/>
              <w:rPr>
                <w:color w:val="auto"/>
                <w:highlight w:val="none"/>
              </w:rPr>
            </w:pPr>
            <w:r>
              <w:rPr>
                <w:rFonts w:hint="eastAsia"/>
                <w:color w:val="auto"/>
                <w:highlight w:val="none"/>
              </w:rPr>
              <w:t>0.003</w:t>
            </w:r>
          </w:p>
        </w:tc>
        <w:tc>
          <w:tcPr>
            <w:tcW w:w="347" w:type="pct"/>
            <w:tcBorders>
              <w:tl2br w:val="nil"/>
              <w:tr2bl w:val="nil"/>
            </w:tcBorders>
            <w:vAlign w:val="center"/>
          </w:tcPr>
          <w:p w14:paraId="4CFD451D">
            <w:pPr>
              <w:pStyle w:val="41"/>
              <w:widowControl w:val="0"/>
              <w:rPr>
                <w:color w:val="auto"/>
                <w:highlight w:val="none"/>
              </w:rPr>
            </w:pPr>
            <w:r>
              <w:rPr>
                <w:color w:val="auto"/>
                <w:highlight w:val="none"/>
              </w:rPr>
              <w:t>0.003L</w:t>
            </w:r>
          </w:p>
        </w:tc>
        <w:tc>
          <w:tcPr>
            <w:tcW w:w="304" w:type="pct"/>
            <w:tcBorders>
              <w:tl2br w:val="nil"/>
              <w:tr2bl w:val="nil"/>
            </w:tcBorders>
            <w:vAlign w:val="center"/>
          </w:tcPr>
          <w:p w14:paraId="2B513EBB">
            <w:pPr>
              <w:pStyle w:val="41"/>
              <w:widowControl w:val="0"/>
              <w:rPr>
                <w:color w:val="auto"/>
                <w:highlight w:val="none"/>
              </w:rPr>
            </w:pPr>
            <w:r>
              <w:rPr>
                <w:rFonts w:hint="eastAsia"/>
                <w:color w:val="auto"/>
                <w:highlight w:val="none"/>
              </w:rPr>
              <w:t>0.003</w:t>
            </w:r>
          </w:p>
        </w:tc>
        <w:tc>
          <w:tcPr>
            <w:tcW w:w="347" w:type="pct"/>
            <w:tcBorders>
              <w:tl2br w:val="nil"/>
              <w:tr2bl w:val="nil"/>
            </w:tcBorders>
            <w:vAlign w:val="center"/>
          </w:tcPr>
          <w:p w14:paraId="66E05390">
            <w:pPr>
              <w:pStyle w:val="41"/>
              <w:widowControl w:val="0"/>
              <w:rPr>
                <w:color w:val="auto"/>
                <w:highlight w:val="none"/>
              </w:rPr>
            </w:pPr>
            <w:r>
              <w:rPr>
                <w:color w:val="auto"/>
                <w:highlight w:val="none"/>
              </w:rPr>
              <w:t>0.003L</w:t>
            </w:r>
          </w:p>
        </w:tc>
        <w:tc>
          <w:tcPr>
            <w:tcW w:w="304" w:type="pct"/>
            <w:tcBorders>
              <w:tl2br w:val="nil"/>
              <w:tr2bl w:val="nil"/>
            </w:tcBorders>
            <w:vAlign w:val="center"/>
          </w:tcPr>
          <w:p w14:paraId="46F2AE07">
            <w:pPr>
              <w:pStyle w:val="41"/>
              <w:widowControl w:val="0"/>
              <w:rPr>
                <w:color w:val="auto"/>
                <w:highlight w:val="none"/>
              </w:rPr>
            </w:pPr>
            <w:r>
              <w:rPr>
                <w:rFonts w:hint="eastAsia"/>
                <w:color w:val="auto"/>
                <w:highlight w:val="none"/>
              </w:rPr>
              <w:t>0.003</w:t>
            </w:r>
          </w:p>
        </w:tc>
        <w:tc>
          <w:tcPr>
            <w:tcW w:w="414" w:type="pct"/>
            <w:tcBorders>
              <w:tl2br w:val="nil"/>
              <w:tr2bl w:val="nil"/>
            </w:tcBorders>
            <w:vAlign w:val="center"/>
          </w:tcPr>
          <w:p w14:paraId="670B1FE7">
            <w:pPr>
              <w:pStyle w:val="41"/>
              <w:widowControl w:val="0"/>
              <w:rPr>
                <w:color w:val="auto"/>
                <w:highlight w:val="none"/>
              </w:rPr>
            </w:pPr>
            <w:r>
              <w:rPr>
                <w:color w:val="auto"/>
                <w:highlight w:val="none"/>
              </w:rPr>
              <w:t>0.003L</w:t>
            </w:r>
          </w:p>
        </w:tc>
        <w:tc>
          <w:tcPr>
            <w:tcW w:w="414" w:type="pct"/>
            <w:tcBorders>
              <w:tl2br w:val="nil"/>
              <w:tr2bl w:val="nil"/>
            </w:tcBorders>
            <w:vAlign w:val="center"/>
          </w:tcPr>
          <w:p w14:paraId="30D3C732">
            <w:pPr>
              <w:pStyle w:val="41"/>
              <w:widowControl w:val="0"/>
              <w:rPr>
                <w:color w:val="auto"/>
                <w:highlight w:val="none"/>
              </w:rPr>
            </w:pPr>
            <w:r>
              <w:rPr>
                <w:rFonts w:hint="eastAsia"/>
                <w:color w:val="auto"/>
                <w:highlight w:val="none"/>
              </w:rPr>
              <w:t>0.003</w:t>
            </w:r>
          </w:p>
        </w:tc>
        <w:tc>
          <w:tcPr>
            <w:tcW w:w="414" w:type="pct"/>
            <w:tcBorders>
              <w:tl2br w:val="nil"/>
              <w:tr2bl w:val="nil"/>
            </w:tcBorders>
            <w:vAlign w:val="center"/>
          </w:tcPr>
          <w:p w14:paraId="478DA0AE">
            <w:pPr>
              <w:pStyle w:val="41"/>
              <w:widowControl w:val="0"/>
              <w:rPr>
                <w:color w:val="auto"/>
                <w:highlight w:val="none"/>
              </w:rPr>
            </w:pPr>
            <w:r>
              <w:rPr>
                <w:color w:val="auto"/>
                <w:highlight w:val="none"/>
              </w:rPr>
              <w:t>0.003L</w:t>
            </w:r>
          </w:p>
        </w:tc>
        <w:tc>
          <w:tcPr>
            <w:tcW w:w="414" w:type="pct"/>
            <w:tcBorders>
              <w:tl2br w:val="nil"/>
              <w:tr2bl w:val="nil"/>
            </w:tcBorders>
            <w:vAlign w:val="center"/>
          </w:tcPr>
          <w:p w14:paraId="1F5A130C">
            <w:pPr>
              <w:pStyle w:val="41"/>
              <w:widowControl w:val="0"/>
              <w:rPr>
                <w:color w:val="auto"/>
                <w:highlight w:val="none"/>
              </w:rPr>
            </w:pPr>
            <w:r>
              <w:rPr>
                <w:rFonts w:hint="eastAsia"/>
                <w:color w:val="auto"/>
                <w:highlight w:val="none"/>
              </w:rPr>
              <w:t>0.003</w:t>
            </w:r>
          </w:p>
        </w:tc>
        <w:tc>
          <w:tcPr>
            <w:tcW w:w="425" w:type="pct"/>
            <w:tcBorders>
              <w:tl2br w:val="nil"/>
              <w:tr2bl w:val="nil"/>
            </w:tcBorders>
            <w:vAlign w:val="center"/>
          </w:tcPr>
          <w:p w14:paraId="5D99730C">
            <w:pPr>
              <w:pStyle w:val="41"/>
              <w:widowControl w:val="0"/>
              <w:rPr>
                <w:color w:val="auto"/>
                <w:highlight w:val="none"/>
              </w:rPr>
            </w:pPr>
            <w:r>
              <w:rPr>
                <w:color w:val="auto"/>
                <w:highlight w:val="none"/>
              </w:rPr>
              <w:t>≤1.00mg/L</w:t>
            </w:r>
          </w:p>
        </w:tc>
      </w:tr>
      <w:tr w14:paraId="51C7036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200" w:type="pct"/>
            <w:tcBorders>
              <w:tl2br w:val="nil"/>
              <w:tr2bl w:val="nil"/>
            </w:tcBorders>
            <w:vAlign w:val="center"/>
          </w:tcPr>
          <w:p w14:paraId="32B1B514">
            <w:pPr>
              <w:pStyle w:val="41"/>
              <w:widowControl w:val="0"/>
              <w:rPr>
                <w:color w:val="auto"/>
                <w:highlight w:val="none"/>
              </w:rPr>
            </w:pPr>
            <w:r>
              <w:rPr>
                <w:rFonts w:hint="eastAsia"/>
                <w:color w:val="auto"/>
                <w:highlight w:val="none"/>
              </w:rPr>
              <w:t>20</w:t>
            </w:r>
          </w:p>
        </w:tc>
        <w:tc>
          <w:tcPr>
            <w:tcW w:w="484" w:type="pct"/>
            <w:tcBorders>
              <w:tl2br w:val="nil"/>
              <w:tr2bl w:val="nil"/>
            </w:tcBorders>
            <w:vAlign w:val="center"/>
          </w:tcPr>
          <w:p w14:paraId="667C7ED4">
            <w:pPr>
              <w:pStyle w:val="41"/>
              <w:widowControl w:val="0"/>
              <w:rPr>
                <w:color w:val="auto"/>
                <w:highlight w:val="none"/>
              </w:rPr>
            </w:pPr>
            <w:r>
              <w:rPr>
                <w:rFonts w:hint="eastAsia"/>
                <w:color w:val="auto"/>
                <w:highlight w:val="none"/>
              </w:rPr>
              <w:t>硝酸盐氮</w:t>
            </w:r>
          </w:p>
        </w:tc>
        <w:tc>
          <w:tcPr>
            <w:tcW w:w="275" w:type="pct"/>
            <w:tcBorders>
              <w:tl2br w:val="nil"/>
              <w:tr2bl w:val="nil"/>
            </w:tcBorders>
            <w:vAlign w:val="center"/>
          </w:tcPr>
          <w:p w14:paraId="511A7E8E">
            <w:pPr>
              <w:pStyle w:val="41"/>
              <w:widowControl w:val="0"/>
              <w:rPr>
                <w:color w:val="auto"/>
                <w:highlight w:val="none"/>
              </w:rPr>
            </w:pPr>
            <w:r>
              <w:rPr>
                <w:color w:val="auto"/>
                <w:highlight w:val="none"/>
              </w:rPr>
              <w:t>mg/L</w:t>
            </w:r>
          </w:p>
        </w:tc>
        <w:tc>
          <w:tcPr>
            <w:tcW w:w="347" w:type="pct"/>
            <w:tcBorders>
              <w:tl2br w:val="nil"/>
              <w:tr2bl w:val="nil"/>
            </w:tcBorders>
            <w:vAlign w:val="center"/>
          </w:tcPr>
          <w:p w14:paraId="0075EAE0">
            <w:pPr>
              <w:pStyle w:val="41"/>
              <w:widowControl w:val="0"/>
              <w:rPr>
                <w:color w:val="auto"/>
                <w:highlight w:val="none"/>
              </w:rPr>
            </w:pPr>
            <w:r>
              <w:rPr>
                <w:color w:val="auto"/>
                <w:highlight w:val="none"/>
              </w:rPr>
              <w:t>0.28</w:t>
            </w:r>
          </w:p>
        </w:tc>
        <w:tc>
          <w:tcPr>
            <w:tcW w:w="304" w:type="pct"/>
            <w:tcBorders>
              <w:tl2br w:val="nil"/>
              <w:tr2bl w:val="nil"/>
            </w:tcBorders>
            <w:vAlign w:val="center"/>
          </w:tcPr>
          <w:p w14:paraId="46C04C52">
            <w:pPr>
              <w:pStyle w:val="41"/>
              <w:widowControl w:val="0"/>
              <w:rPr>
                <w:color w:val="auto"/>
                <w:highlight w:val="none"/>
              </w:rPr>
            </w:pPr>
            <w:r>
              <w:rPr>
                <w:rFonts w:hint="eastAsia"/>
                <w:color w:val="auto"/>
                <w:highlight w:val="none"/>
              </w:rPr>
              <w:t>0.014</w:t>
            </w:r>
          </w:p>
        </w:tc>
        <w:tc>
          <w:tcPr>
            <w:tcW w:w="347" w:type="pct"/>
            <w:tcBorders>
              <w:tl2br w:val="nil"/>
              <w:tr2bl w:val="nil"/>
            </w:tcBorders>
            <w:vAlign w:val="center"/>
          </w:tcPr>
          <w:p w14:paraId="5A3CC16D">
            <w:pPr>
              <w:pStyle w:val="41"/>
              <w:widowControl w:val="0"/>
              <w:rPr>
                <w:color w:val="auto"/>
                <w:highlight w:val="none"/>
              </w:rPr>
            </w:pPr>
            <w:r>
              <w:rPr>
                <w:color w:val="auto"/>
                <w:highlight w:val="none"/>
              </w:rPr>
              <w:t>0.3</w:t>
            </w:r>
          </w:p>
        </w:tc>
        <w:tc>
          <w:tcPr>
            <w:tcW w:w="304" w:type="pct"/>
            <w:tcBorders>
              <w:tl2br w:val="nil"/>
              <w:tr2bl w:val="nil"/>
            </w:tcBorders>
            <w:vAlign w:val="center"/>
          </w:tcPr>
          <w:p w14:paraId="67D55D85">
            <w:pPr>
              <w:pStyle w:val="41"/>
              <w:widowControl w:val="0"/>
              <w:rPr>
                <w:color w:val="auto"/>
                <w:highlight w:val="none"/>
              </w:rPr>
            </w:pPr>
            <w:r>
              <w:rPr>
                <w:rFonts w:hint="eastAsia"/>
                <w:color w:val="auto"/>
                <w:highlight w:val="none"/>
              </w:rPr>
              <w:t>0.015</w:t>
            </w:r>
          </w:p>
        </w:tc>
        <w:tc>
          <w:tcPr>
            <w:tcW w:w="347" w:type="pct"/>
            <w:tcBorders>
              <w:tl2br w:val="nil"/>
              <w:tr2bl w:val="nil"/>
            </w:tcBorders>
            <w:vAlign w:val="center"/>
          </w:tcPr>
          <w:p w14:paraId="7F7198DF">
            <w:pPr>
              <w:pStyle w:val="41"/>
              <w:widowControl w:val="0"/>
              <w:rPr>
                <w:color w:val="auto"/>
                <w:highlight w:val="none"/>
              </w:rPr>
            </w:pPr>
            <w:r>
              <w:rPr>
                <w:color w:val="auto"/>
                <w:highlight w:val="none"/>
              </w:rPr>
              <w:t>0.29</w:t>
            </w:r>
          </w:p>
        </w:tc>
        <w:tc>
          <w:tcPr>
            <w:tcW w:w="304" w:type="pct"/>
            <w:tcBorders>
              <w:tl2br w:val="nil"/>
              <w:tr2bl w:val="nil"/>
            </w:tcBorders>
            <w:vAlign w:val="center"/>
          </w:tcPr>
          <w:p w14:paraId="44028FE2">
            <w:pPr>
              <w:pStyle w:val="41"/>
              <w:widowControl w:val="0"/>
              <w:rPr>
                <w:color w:val="auto"/>
                <w:highlight w:val="none"/>
              </w:rPr>
            </w:pPr>
            <w:r>
              <w:rPr>
                <w:rFonts w:hint="eastAsia"/>
                <w:color w:val="auto"/>
                <w:highlight w:val="none"/>
              </w:rPr>
              <w:t>0.0145</w:t>
            </w:r>
          </w:p>
        </w:tc>
        <w:tc>
          <w:tcPr>
            <w:tcW w:w="414" w:type="pct"/>
            <w:tcBorders>
              <w:tl2br w:val="nil"/>
              <w:tr2bl w:val="nil"/>
            </w:tcBorders>
            <w:vAlign w:val="center"/>
          </w:tcPr>
          <w:p w14:paraId="3156A818">
            <w:pPr>
              <w:pStyle w:val="41"/>
              <w:widowControl w:val="0"/>
              <w:rPr>
                <w:color w:val="auto"/>
                <w:highlight w:val="none"/>
              </w:rPr>
            </w:pPr>
            <w:r>
              <w:rPr>
                <w:color w:val="auto"/>
                <w:highlight w:val="none"/>
              </w:rPr>
              <w:t>0.31</w:t>
            </w:r>
          </w:p>
        </w:tc>
        <w:tc>
          <w:tcPr>
            <w:tcW w:w="414" w:type="pct"/>
            <w:tcBorders>
              <w:tl2br w:val="nil"/>
              <w:tr2bl w:val="nil"/>
            </w:tcBorders>
            <w:vAlign w:val="center"/>
          </w:tcPr>
          <w:p w14:paraId="647B7623">
            <w:pPr>
              <w:pStyle w:val="41"/>
              <w:widowControl w:val="0"/>
              <w:rPr>
                <w:color w:val="auto"/>
                <w:highlight w:val="none"/>
              </w:rPr>
            </w:pPr>
            <w:r>
              <w:rPr>
                <w:rFonts w:hint="eastAsia"/>
                <w:color w:val="auto"/>
                <w:highlight w:val="none"/>
              </w:rPr>
              <w:t>0.0155</w:t>
            </w:r>
          </w:p>
        </w:tc>
        <w:tc>
          <w:tcPr>
            <w:tcW w:w="414" w:type="pct"/>
            <w:tcBorders>
              <w:tl2br w:val="nil"/>
              <w:tr2bl w:val="nil"/>
            </w:tcBorders>
            <w:vAlign w:val="center"/>
          </w:tcPr>
          <w:p w14:paraId="6F6FF940">
            <w:pPr>
              <w:pStyle w:val="41"/>
              <w:widowControl w:val="0"/>
              <w:rPr>
                <w:color w:val="auto"/>
                <w:highlight w:val="none"/>
              </w:rPr>
            </w:pPr>
            <w:r>
              <w:rPr>
                <w:color w:val="auto"/>
                <w:highlight w:val="none"/>
              </w:rPr>
              <w:t>0.28</w:t>
            </w:r>
          </w:p>
        </w:tc>
        <w:tc>
          <w:tcPr>
            <w:tcW w:w="414" w:type="pct"/>
            <w:tcBorders>
              <w:tl2br w:val="nil"/>
              <w:tr2bl w:val="nil"/>
            </w:tcBorders>
            <w:vAlign w:val="center"/>
          </w:tcPr>
          <w:p w14:paraId="35B9F29A">
            <w:pPr>
              <w:pStyle w:val="41"/>
              <w:widowControl w:val="0"/>
              <w:rPr>
                <w:color w:val="auto"/>
                <w:highlight w:val="none"/>
              </w:rPr>
            </w:pPr>
            <w:r>
              <w:rPr>
                <w:rFonts w:hint="eastAsia"/>
                <w:color w:val="auto"/>
                <w:highlight w:val="none"/>
              </w:rPr>
              <w:t>0.014</w:t>
            </w:r>
          </w:p>
        </w:tc>
        <w:tc>
          <w:tcPr>
            <w:tcW w:w="425" w:type="pct"/>
            <w:tcBorders>
              <w:tl2br w:val="nil"/>
              <w:tr2bl w:val="nil"/>
            </w:tcBorders>
            <w:vAlign w:val="center"/>
          </w:tcPr>
          <w:p w14:paraId="399CDC95">
            <w:pPr>
              <w:pStyle w:val="41"/>
              <w:widowControl w:val="0"/>
              <w:rPr>
                <w:color w:val="auto"/>
                <w:highlight w:val="none"/>
              </w:rPr>
            </w:pPr>
            <w:r>
              <w:rPr>
                <w:color w:val="auto"/>
                <w:highlight w:val="none"/>
              </w:rPr>
              <w:t>≤20.0mg/L</w:t>
            </w:r>
          </w:p>
        </w:tc>
      </w:tr>
    </w:tbl>
    <w:p w14:paraId="470171A6">
      <w:pPr>
        <w:pStyle w:val="40"/>
        <w:spacing w:before="24" w:after="24"/>
        <w:rPr>
          <w:color w:val="auto"/>
          <w:highlight w:val="none"/>
        </w:rPr>
      </w:pPr>
    </w:p>
    <w:p w14:paraId="5ADAD7B1">
      <w:pPr>
        <w:pStyle w:val="40"/>
        <w:spacing w:before="24" w:after="24"/>
        <w:rPr>
          <w:color w:val="auto"/>
          <w:highlight w:val="none"/>
        </w:rPr>
      </w:pPr>
      <w:r>
        <w:rPr>
          <w:color w:val="auto"/>
          <w:highlight w:val="none"/>
        </w:rPr>
        <w:t>表4.2-</w:t>
      </w:r>
      <w:r>
        <w:rPr>
          <w:rFonts w:hint="eastAsia"/>
          <w:color w:val="auto"/>
          <w:highlight w:val="none"/>
        </w:rPr>
        <w:t>8</w:t>
      </w:r>
      <w:r>
        <w:rPr>
          <w:color w:val="auto"/>
          <w:highlight w:val="none"/>
        </w:rPr>
        <w:t xml:space="preserve">        地下水环境现状监测与评价结果（离子，mg/l）</w:t>
      </w:r>
    </w:p>
    <w:tbl>
      <w:tblPr>
        <w:tblStyle w:val="25"/>
        <w:tblW w:w="4997"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671"/>
        <w:gridCol w:w="646"/>
        <w:gridCol w:w="811"/>
        <w:gridCol w:w="705"/>
        <w:gridCol w:w="811"/>
        <w:gridCol w:w="724"/>
        <w:gridCol w:w="811"/>
        <w:gridCol w:w="649"/>
        <w:gridCol w:w="776"/>
        <w:gridCol w:w="679"/>
        <w:gridCol w:w="811"/>
        <w:gridCol w:w="1007"/>
        <w:gridCol w:w="957"/>
        <w:gridCol w:w="874"/>
        <w:gridCol w:w="966"/>
        <w:gridCol w:w="871"/>
        <w:gridCol w:w="924"/>
        <w:gridCol w:w="1094"/>
      </w:tblGrid>
      <w:tr w14:paraId="2C48B6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164" w:type="pct"/>
            <w:vMerge w:val="restart"/>
            <w:tcBorders>
              <w:tl2br w:val="nil"/>
              <w:tr2bl w:val="nil"/>
            </w:tcBorders>
            <w:vAlign w:val="center"/>
          </w:tcPr>
          <w:p w14:paraId="18918781">
            <w:pPr>
              <w:pStyle w:val="41"/>
              <w:rPr>
                <w:color w:val="auto"/>
                <w:highlight w:val="none"/>
              </w:rPr>
            </w:pPr>
            <w:r>
              <w:rPr>
                <w:color w:val="auto"/>
                <w:highlight w:val="none"/>
              </w:rPr>
              <w:t>点位</w:t>
            </w:r>
          </w:p>
        </w:tc>
        <w:tc>
          <w:tcPr>
            <w:tcW w:w="464" w:type="pct"/>
            <w:gridSpan w:val="2"/>
            <w:tcBorders>
              <w:tl2br w:val="nil"/>
              <w:tr2bl w:val="nil"/>
            </w:tcBorders>
            <w:vAlign w:val="center"/>
          </w:tcPr>
          <w:p w14:paraId="2208306A">
            <w:pPr>
              <w:pStyle w:val="41"/>
              <w:rPr>
                <w:color w:val="auto"/>
                <w:highlight w:val="none"/>
              </w:rPr>
            </w:pPr>
            <w:r>
              <w:rPr>
                <w:color w:val="auto"/>
                <w:highlight w:val="none"/>
              </w:rPr>
              <w:t>K+</w:t>
            </w:r>
          </w:p>
        </w:tc>
        <w:tc>
          <w:tcPr>
            <w:tcW w:w="527" w:type="pct"/>
            <w:gridSpan w:val="2"/>
            <w:tcBorders>
              <w:tl2br w:val="nil"/>
              <w:tr2bl w:val="nil"/>
            </w:tcBorders>
            <w:vAlign w:val="center"/>
          </w:tcPr>
          <w:p w14:paraId="2F36101A">
            <w:pPr>
              <w:pStyle w:val="41"/>
              <w:rPr>
                <w:color w:val="auto"/>
                <w:highlight w:val="none"/>
              </w:rPr>
            </w:pPr>
            <w:r>
              <w:rPr>
                <w:color w:val="auto"/>
                <w:highlight w:val="none"/>
              </w:rPr>
              <w:t>Na+</w:t>
            </w:r>
          </w:p>
        </w:tc>
        <w:tc>
          <w:tcPr>
            <w:tcW w:w="507" w:type="pct"/>
            <w:gridSpan w:val="2"/>
            <w:tcBorders>
              <w:tl2br w:val="nil"/>
              <w:tr2bl w:val="nil"/>
            </w:tcBorders>
            <w:vAlign w:val="center"/>
          </w:tcPr>
          <w:p w14:paraId="481474C2">
            <w:pPr>
              <w:pStyle w:val="41"/>
              <w:rPr>
                <w:color w:val="auto"/>
                <w:highlight w:val="none"/>
              </w:rPr>
            </w:pPr>
            <w:r>
              <w:rPr>
                <w:color w:val="auto"/>
                <w:highlight w:val="none"/>
              </w:rPr>
              <w:t>Ca</w:t>
            </w:r>
            <w:r>
              <w:rPr>
                <w:color w:val="auto"/>
                <w:highlight w:val="none"/>
                <w:vertAlign w:val="superscript"/>
              </w:rPr>
              <w:t>2+</w:t>
            </w:r>
          </w:p>
        </w:tc>
        <w:tc>
          <w:tcPr>
            <w:tcW w:w="507" w:type="pct"/>
            <w:gridSpan w:val="2"/>
            <w:tcBorders>
              <w:tl2br w:val="nil"/>
              <w:tr2bl w:val="nil"/>
            </w:tcBorders>
            <w:vAlign w:val="center"/>
          </w:tcPr>
          <w:p w14:paraId="53D022F9">
            <w:pPr>
              <w:pStyle w:val="41"/>
              <w:rPr>
                <w:color w:val="auto"/>
                <w:highlight w:val="none"/>
              </w:rPr>
            </w:pPr>
            <w:r>
              <w:rPr>
                <w:color w:val="auto"/>
                <w:highlight w:val="none"/>
              </w:rPr>
              <w:t>Mg</w:t>
            </w:r>
            <w:r>
              <w:rPr>
                <w:color w:val="auto"/>
                <w:highlight w:val="none"/>
                <w:vertAlign w:val="superscript"/>
              </w:rPr>
              <w:t>2+</w:t>
            </w:r>
          </w:p>
        </w:tc>
        <w:tc>
          <w:tcPr>
            <w:tcW w:w="475" w:type="pct"/>
            <w:gridSpan w:val="2"/>
            <w:tcBorders>
              <w:tl2br w:val="nil"/>
              <w:tr2bl w:val="nil"/>
            </w:tcBorders>
            <w:vAlign w:val="center"/>
          </w:tcPr>
          <w:p w14:paraId="72DA84E5">
            <w:pPr>
              <w:pStyle w:val="41"/>
              <w:rPr>
                <w:color w:val="auto"/>
                <w:highlight w:val="none"/>
              </w:rPr>
            </w:pPr>
            <w:r>
              <w:rPr>
                <w:color w:val="auto"/>
                <w:highlight w:val="none"/>
              </w:rPr>
              <w:t>CO</w:t>
            </w:r>
            <w:r>
              <w:rPr>
                <w:color w:val="auto"/>
                <w:highlight w:val="none"/>
                <w:vertAlign w:val="subscript"/>
              </w:rPr>
              <w:t>3</w:t>
            </w:r>
            <w:r>
              <w:rPr>
                <w:color w:val="auto"/>
                <w:highlight w:val="none"/>
                <w:vertAlign w:val="superscript"/>
              </w:rPr>
              <w:t>2-</w:t>
            </w:r>
          </w:p>
        </w:tc>
        <w:tc>
          <w:tcPr>
            <w:tcW w:w="689" w:type="pct"/>
            <w:gridSpan w:val="2"/>
            <w:tcBorders>
              <w:tl2br w:val="nil"/>
              <w:tr2bl w:val="nil"/>
            </w:tcBorders>
            <w:vAlign w:val="center"/>
          </w:tcPr>
          <w:p w14:paraId="4429283F">
            <w:pPr>
              <w:pStyle w:val="41"/>
              <w:rPr>
                <w:color w:val="auto"/>
                <w:highlight w:val="none"/>
              </w:rPr>
            </w:pPr>
            <w:r>
              <w:rPr>
                <w:color w:val="auto"/>
                <w:highlight w:val="none"/>
              </w:rPr>
              <w:t>HCO</w:t>
            </w:r>
            <w:r>
              <w:rPr>
                <w:color w:val="auto"/>
                <w:highlight w:val="none"/>
                <w:vertAlign w:val="superscript"/>
              </w:rPr>
              <w:t>3-</w:t>
            </w:r>
          </w:p>
        </w:tc>
        <w:tc>
          <w:tcPr>
            <w:tcW w:w="647" w:type="pct"/>
            <w:gridSpan w:val="2"/>
            <w:tcBorders>
              <w:tl2br w:val="nil"/>
              <w:tr2bl w:val="nil"/>
            </w:tcBorders>
            <w:vAlign w:val="center"/>
          </w:tcPr>
          <w:p w14:paraId="79F9D7D1">
            <w:pPr>
              <w:pStyle w:val="41"/>
              <w:rPr>
                <w:color w:val="auto"/>
                <w:highlight w:val="none"/>
              </w:rPr>
            </w:pPr>
            <w:r>
              <w:rPr>
                <w:color w:val="auto"/>
                <w:highlight w:val="none"/>
              </w:rPr>
              <w:t>Cl</w:t>
            </w:r>
            <w:r>
              <w:rPr>
                <w:color w:val="auto"/>
                <w:highlight w:val="none"/>
                <w:vertAlign w:val="superscript"/>
              </w:rPr>
              <w:t>-</w:t>
            </w:r>
          </w:p>
        </w:tc>
        <w:tc>
          <w:tcPr>
            <w:tcW w:w="632" w:type="pct"/>
            <w:gridSpan w:val="2"/>
            <w:tcBorders>
              <w:tl2br w:val="nil"/>
              <w:tr2bl w:val="nil"/>
            </w:tcBorders>
            <w:vAlign w:val="center"/>
          </w:tcPr>
          <w:p w14:paraId="00D97274">
            <w:pPr>
              <w:pStyle w:val="41"/>
              <w:rPr>
                <w:color w:val="auto"/>
                <w:highlight w:val="none"/>
              </w:rPr>
            </w:pPr>
            <w:r>
              <w:rPr>
                <w:color w:val="auto"/>
                <w:highlight w:val="none"/>
              </w:rPr>
              <w:t>SO</w:t>
            </w:r>
            <w:r>
              <w:rPr>
                <w:color w:val="auto"/>
                <w:highlight w:val="none"/>
                <w:vertAlign w:val="subscript"/>
              </w:rPr>
              <w:t>4</w:t>
            </w:r>
            <w:r>
              <w:rPr>
                <w:color w:val="auto"/>
                <w:highlight w:val="none"/>
                <w:vertAlign w:val="superscript"/>
              </w:rPr>
              <w:t>2-</w:t>
            </w:r>
          </w:p>
        </w:tc>
        <w:tc>
          <w:tcPr>
            <w:tcW w:w="382" w:type="pct"/>
            <w:vMerge w:val="restart"/>
            <w:tcBorders>
              <w:tl2br w:val="nil"/>
              <w:tr2bl w:val="nil"/>
            </w:tcBorders>
            <w:vAlign w:val="center"/>
          </w:tcPr>
          <w:p w14:paraId="310873A1">
            <w:pPr>
              <w:pStyle w:val="41"/>
              <w:rPr>
                <w:color w:val="auto"/>
                <w:highlight w:val="none"/>
              </w:rPr>
            </w:pPr>
            <w:r>
              <w:rPr>
                <w:color w:val="auto"/>
                <w:highlight w:val="none"/>
              </w:rPr>
              <w:t>水化学类型</w:t>
            </w:r>
          </w:p>
        </w:tc>
      </w:tr>
      <w:tr w14:paraId="5107FE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164" w:type="pct"/>
            <w:vMerge w:val="continue"/>
            <w:tcBorders>
              <w:tl2br w:val="nil"/>
              <w:tr2bl w:val="nil"/>
            </w:tcBorders>
            <w:vAlign w:val="center"/>
          </w:tcPr>
          <w:p w14:paraId="7C9842EC">
            <w:pPr>
              <w:pStyle w:val="41"/>
              <w:rPr>
                <w:color w:val="auto"/>
                <w:highlight w:val="none"/>
              </w:rPr>
            </w:pPr>
          </w:p>
        </w:tc>
        <w:tc>
          <w:tcPr>
            <w:tcW w:w="231" w:type="pct"/>
            <w:tcBorders>
              <w:tl2br w:val="nil"/>
              <w:tr2bl w:val="nil"/>
            </w:tcBorders>
            <w:vAlign w:val="center"/>
          </w:tcPr>
          <w:p w14:paraId="784C4564">
            <w:pPr>
              <w:pStyle w:val="41"/>
              <w:rPr>
                <w:color w:val="auto"/>
                <w:highlight w:val="none"/>
              </w:rPr>
            </w:pPr>
            <w:r>
              <w:rPr>
                <w:color w:val="auto"/>
                <w:highlight w:val="none"/>
              </w:rPr>
              <w:t>监测值</w:t>
            </w:r>
          </w:p>
        </w:tc>
        <w:tc>
          <w:tcPr>
            <w:tcW w:w="233" w:type="pct"/>
            <w:tcBorders>
              <w:tl2br w:val="nil"/>
              <w:tr2bl w:val="nil"/>
            </w:tcBorders>
            <w:vAlign w:val="center"/>
          </w:tcPr>
          <w:p w14:paraId="210EF3E8">
            <w:pPr>
              <w:pStyle w:val="41"/>
              <w:rPr>
                <w:color w:val="auto"/>
                <w:highlight w:val="none"/>
              </w:rPr>
            </w:pPr>
            <w:r>
              <w:rPr>
                <w:color w:val="auto"/>
                <w:highlight w:val="none"/>
              </w:rPr>
              <w:t>占比</w:t>
            </w:r>
            <w:r>
              <w:rPr>
                <w:rFonts w:hint="eastAsia"/>
                <w:color w:val="auto"/>
                <w:highlight w:val="none"/>
                <w:lang w:eastAsia="zh-CN"/>
              </w:rPr>
              <w:t>（</w:t>
            </w:r>
            <w:r>
              <w:rPr>
                <w:color w:val="auto"/>
                <w:highlight w:val="none"/>
              </w:rPr>
              <w:t>%</w:t>
            </w:r>
            <w:r>
              <w:rPr>
                <w:rFonts w:hint="eastAsia"/>
                <w:color w:val="auto"/>
                <w:highlight w:val="none"/>
                <w:lang w:eastAsia="zh-CN"/>
              </w:rPr>
              <w:t>）</w:t>
            </w:r>
          </w:p>
        </w:tc>
        <w:tc>
          <w:tcPr>
            <w:tcW w:w="251" w:type="pct"/>
            <w:tcBorders>
              <w:tl2br w:val="nil"/>
              <w:tr2bl w:val="nil"/>
            </w:tcBorders>
            <w:vAlign w:val="center"/>
          </w:tcPr>
          <w:p w14:paraId="55AFD862">
            <w:pPr>
              <w:pStyle w:val="41"/>
              <w:rPr>
                <w:color w:val="auto"/>
                <w:highlight w:val="none"/>
              </w:rPr>
            </w:pPr>
            <w:r>
              <w:rPr>
                <w:color w:val="auto"/>
                <w:highlight w:val="none"/>
              </w:rPr>
              <w:t>监测值</w:t>
            </w:r>
          </w:p>
        </w:tc>
        <w:tc>
          <w:tcPr>
            <w:tcW w:w="276" w:type="pct"/>
            <w:tcBorders>
              <w:tl2br w:val="nil"/>
              <w:tr2bl w:val="nil"/>
            </w:tcBorders>
            <w:vAlign w:val="center"/>
          </w:tcPr>
          <w:p w14:paraId="560CFDEB">
            <w:pPr>
              <w:pStyle w:val="41"/>
              <w:rPr>
                <w:color w:val="auto"/>
                <w:highlight w:val="none"/>
              </w:rPr>
            </w:pPr>
            <w:r>
              <w:rPr>
                <w:color w:val="auto"/>
                <w:highlight w:val="none"/>
              </w:rPr>
              <w:t>占比</w:t>
            </w:r>
            <w:r>
              <w:rPr>
                <w:rFonts w:hint="eastAsia"/>
                <w:color w:val="auto"/>
                <w:highlight w:val="none"/>
                <w:lang w:eastAsia="zh-CN"/>
              </w:rPr>
              <w:t>（</w:t>
            </w:r>
            <w:r>
              <w:rPr>
                <w:color w:val="auto"/>
                <w:highlight w:val="none"/>
              </w:rPr>
              <w:t>%</w:t>
            </w:r>
            <w:r>
              <w:rPr>
                <w:rFonts w:hint="eastAsia"/>
                <w:color w:val="auto"/>
                <w:highlight w:val="none"/>
                <w:lang w:eastAsia="zh-CN"/>
              </w:rPr>
              <w:t>）</w:t>
            </w:r>
          </w:p>
        </w:tc>
        <w:tc>
          <w:tcPr>
            <w:tcW w:w="268" w:type="pct"/>
            <w:tcBorders>
              <w:tl2br w:val="nil"/>
              <w:tr2bl w:val="nil"/>
            </w:tcBorders>
            <w:vAlign w:val="center"/>
          </w:tcPr>
          <w:p w14:paraId="4B7603CD">
            <w:pPr>
              <w:pStyle w:val="41"/>
              <w:rPr>
                <w:color w:val="auto"/>
                <w:highlight w:val="none"/>
              </w:rPr>
            </w:pPr>
            <w:r>
              <w:rPr>
                <w:color w:val="auto"/>
                <w:highlight w:val="none"/>
              </w:rPr>
              <w:t>监测值</w:t>
            </w:r>
          </w:p>
        </w:tc>
        <w:tc>
          <w:tcPr>
            <w:tcW w:w="239" w:type="pct"/>
            <w:tcBorders>
              <w:tl2br w:val="nil"/>
              <w:tr2bl w:val="nil"/>
            </w:tcBorders>
            <w:vAlign w:val="center"/>
          </w:tcPr>
          <w:p w14:paraId="097CAABD">
            <w:pPr>
              <w:pStyle w:val="41"/>
              <w:rPr>
                <w:color w:val="auto"/>
                <w:highlight w:val="none"/>
              </w:rPr>
            </w:pPr>
            <w:r>
              <w:rPr>
                <w:color w:val="auto"/>
                <w:highlight w:val="none"/>
              </w:rPr>
              <w:t>占比</w:t>
            </w:r>
            <w:r>
              <w:rPr>
                <w:rFonts w:hint="eastAsia"/>
                <w:color w:val="auto"/>
                <w:highlight w:val="none"/>
                <w:lang w:eastAsia="zh-CN"/>
              </w:rPr>
              <w:t>（</w:t>
            </w:r>
            <w:r>
              <w:rPr>
                <w:color w:val="auto"/>
                <w:highlight w:val="none"/>
              </w:rPr>
              <w:t>%</w:t>
            </w:r>
            <w:r>
              <w:rPr>
                <w:rFonts w:hint="eastAsia"/>
                <w:color w:val="auto"/>
                <w:highlight w:val="none"/>
                <w:lang w:eastAsia="zh-CN"/>
              </w:rPr>
              <w:t>）</w:t>
            </w:r>
          </w:p>
        </w:tc>
        <w:tc>
          <w:tcPr>
            <w:tcW w:w="232" w:type="pct"/>
            <w:tcBorders>
              <w:tl2br w:val="nil"/>
              <w:tr2bl w:val="nil"/>
            </w:tcBorders>
            <w:vAlign w:val="center"/>
          </w:tcPr>
          <w:p w14:paraId="0EAED148">
            <w:pPr>
              <w:pStyle w:val="41"/>
              <w:rPr>
                <w:color w:val="auto"/>
                <w:highlight w:val="none"/>
              </w:rPr>
            </w:pPr>
            <w:r>
              <w:rPr>
                <w:color w:val="auto"/>
                <w:highlight w:val="none"/>
              </w:rPr>
              <w:t>监测值</w:t>
            </w:r>
          </w:p>
        </w:tc>
        <w:tc>
          <w:tcPr>
            <w:tcW w:w="275" w:type="pct"/>
            <w:tcBorders>
              <w:tl2br w:val="nil"/>
              <w:tr2bl w:val="nil"/>
            </w:tcBorders>
            <w:vAlign w:val="center"/>
          </w:tcPr>
          <w:p w14:paraId="639F689B">
            <w:pPr>
              <w:pStyle w:val="41"/>
              <w:rPr>
                <w:color w:val="auto"/>
                <w:highlight w:val="none"/>
              </w:rPr>
            </w:pPr>
            <w:r>
              <w:rPr>
                <w:color w:val="auto"/>
                <w:highlight w:val="none"/>
              </w:rPr>
              <w:t>占比(%</w:t>
            </w:r>
            <w:r>
              <w:rPr>
                <w:rFonts w:hint="eastAsia"/>
                <w:color w:val="auto"/>
                <w:highlight w:val="none"/>
                <w:lang w:eastAsia="zh-CN"/>
              </w:rPr>
              <w:t>）</w:t>
            </w:r>
          </w:p>
        </w:tc>
        <w:tc>
          <w:tcPr>
            <w:tcW w:w="242" w:type="pct"/>
            <w:tcBorders>
              <w:tl2br w:val="nil"/>
              <w:tr2bl w:val="nil"/>
            </w:tcBorders>
            <w:vAlign w:val="center"/>
          </w:tcPr>
          <w:p w14:paraId="757CFE03">
            <w:pPr>
              <w:pStyle w:val="41"/>
              <w:rPr>
                <w:color w:val="auto"/>
                <w:highlight w:val="none"/>
              </w:rPr>
            </w:pPr>
            <w:r>
              <w:rPr>
                <w:color w:val="auto"/>
                <w:highlight w:val="none"/>
              </w:rPr>
              <w:t>监测值</w:t>
            </w:r>
          </w:p>
        </w:tc>
        <w:tc>
          <w:tcPr>
            <w:tcW w:w="233" w:type="pct"/>
            <w:tcBorders>
              <w:tl2br w:val="nil"/>
              <w:tr2bl w:val="nil"/>
            </w:tcBorders>
            <w:vAlign w:val="center"/>
          </w:tcPr>
          <w:p w14:paraId="5729B505">
            <w:pPr>
              <w:pStyle w:val="41"/>
              <w:rPr>
                <w:color w:val="auto"/>
                <w:highlight w:val="none"/>
              </w:rPr>
            </w:pPr>
            <w:r>
              <w:rPr>
                <w:color w:val="auto"/>
                <w:highlight w:val="none"/>
              </w:rPr>
              <w:t>占比</w:t>
            </w:r>
            <w:r>
              <w:rPr>
                <w:rFonts w:hint="eastAsia"/>
                <w:color w:val="auto"/>
                <w:highlight w:val="none"/>
                <w:lang w:eastAsia="zh-CN"/>
              </w:rPr>
              <w:t>（</w:t>
            </w:r>
            <w:r>
              <w:rPr>
                <w:color w:val="auto"/>
                <w:highlight w:val="none"/>
              </w:rPr>
              <w:t>%</w:t>
            </w:r>
            <w:r>
              <w:rPr>
                <w:rFonts w:hint="eastAsia"/>
                <w:color w:val="auto"/>
                <w:highlight w:val="none"/>
                <w:lang w:eastAsia="zh-CN"/>
              </w:rPr>
              <w:t>）</w:t>
            </w:r>
          </w:p>
        </w:tc>
        <w:tc>
          <w:tcPr>
            <w:tcW w:w="353" w:type="pct"/>
            <w:tcBorders>
              <w:tl2br w:val="nil"/>
              <w:tr2bl w:val="nil"/>
            </w:tcBorders>
            <w:vAlign w:val="center"/>
          </w:tcPr>
          <w:p w14:paraId="76126B70">
            <w:pPr>
              <w:pStyle w:val="41"/>
              <w:rPr>
                <w:color w:val="auto"/>
                <w:highlight w:val="none"/>
              </w:rPr>
            </w:pPr>
            <w:r>
              <w:rPr>
                <w:color w:val="auto"/>
                <w:highlight w:val="none"/>
              </w:rPr>
              <w:t>监测值</w:t>
            </w:r>
          </w:p>
        </w:tc>
        <w:tc>
          <w:tcPr>
            <w:tcW w:w="336" w:type="pct"/>
            <w:tcBorders>
              <w:tl2br w:val="nil"/>
              <w:tr2bl w:val="nil"/>
            </w:tcBorders>
            <w:vAlign w:val="center"/>
          </w:tcPr>
          <w:p w14:paraId="3BB093BC">
            <w:pPr>
              <w:pStyle w:val="41"/>
              <w:rPr>
                <w:color w:val="auto"/>
                <w:highlight w:val="none"/>
              </w:rPr>
            </w:pPr>
            <w:r>
              <w:rPr>
                <w:color w:val="auto"/>
                <w:highlight w:val="none"/>
              </w:rPr>
              <w:t>占比</w:t>
            </w:r>
            <w:r>
              <w:rPr>
                <w:rFonts w:hint="eastAsia"/>
                <w:color w:val="auto"/>
                <w:highlight w:val="none"/>
                <w:lang w:eastAsia="zh-CN"/>
              </w:rPr>
              <w:t>（</w:t>
            </w:r>
            <w:r>
              <w:rPr>
                <w:color w:val="auto"/>
                <w:highlight w:val="none"/>
              </w:rPr>
              <w:t>%</w:t>
            </w:r>
            <w:r>
              <w:rPr>
                <w:rFonts w:hint="eastAsia"/>
                <w:color w:val="auto"/>
                <w:highlight w:val="none"/>
                <w:lang w:eastAsia="zh-CN"/>
              </w:rPr>
              <w:t>）</w:t>
            </w:r>
          </w:p>
        </w:tc>
        <w:tc>
          <w:tcPr>
            <w:tcW w:w="308" w:type="pct"/>
            <w:tcBorders>
              <w:tl2br w:val="nil"/>
              <w:tr2bl w:val="nil"/>
            </w:tcBorders>
            <w:vAlign w:val="center"/>
          </w:tcPr>
          <w:p w14:paraId="00206A71">
            <w:pPr>
              <w:pStyle w:val="41"/>
              <w:rPr>
                <w:color w:val="auto"/>
                <w:highlight w:val="none"/>
              </w:rPr>
            </w:pPr>
            <w:r>
              <w:rPr>
                <w:color w:val="auto"/>
                <w:highlight w:val="none"/>
              </w:rPr>
              <w:t>监测值</w:t>
            </w:r>
          </w:p>
        </w:tc>
        <w:tc>
          <w:tcPr>
            <w:tcW w:w="339" w:type="pct"/>
            <w:tcBorders>
              <w:tl2br w:val="nil"/>
              <w:tr2bl w:val="nil"/>
            </w:tcBorders>
            <w:vAlign w:val="center"/>
          </w:tcPr>
          <w:p w14:paraId="76A02E0A">
            <w:pPr>
              <w:pStyle w:val="41"/>
              <w:rPr>
                <w:color w:val="auto"/>
                <w:highlight w:val="none"/>
              </w:rPr>
            </w:pPr>
            <w:r>
              <w:rPr>
                <w:color w:val="auto"/>
                <w:highlight w:val="none"/>
              </w:rPr>
              <w:t>占比</w:t>
            </w:r>
            <w:r>
              <w:rPr>
                <w:rFonts w:hint="eastAsia"/>
                <w:color w:val="auto"/>
                <w:highlight w:val="none"/>
                <w:lang w:eastAsia="zh-CN"/>
              </w:rPr>
              <w:t>（</w:t>
            </w:r>
            <w:r>
              <w:rPr>
                <w:color w:val="auto"/>
                <w:highlight w:val="none"/>
              </w:rPr>
              <w:t>%</w:t>
            </w:r>
            <w:r>
              <w:rPr>
                <w:rFonts w:hint="eastAsia"/>
                <w:color w:val="auto"/>
                <w:highlight w:val="none"/>
                <w:lang w:eastAsia="zh-CN"/>
              </w:rPr>
              <w:t>）</w:t>
            </w:r>
          </w:p>
        </w:tc>
        <w:tc>
          <w:tcPr>
            <w:tcW w:w="307" w:type="pct"/>
            <w:tcBorders>
              <w:tl2br w:val="nil"/>
              <w:tr2bl w:val="nil"/>
            </w:tcBorders>
            <w:vAlign w:val="center"/>
          </w:tcPr>
          <w:p w14:paraId="7A13304A">
            <w:pPr>
              <w:pStyle w:val="41"/>
              <w:rPr>
                <w:color w:val="auto"/>
                <w:highlight w:val="none"/>
              </w:rPr>
            </w:pPr>
            <w:r>
              <w:rPr>
                <w:color w:val="auto"/>
                <w:highlight w:val="none"/>
              </w:rPr>
              <w:t>监测值</w:t>
            </w:r>
          </w:p>
        </w:tc>
        <w:tc>
          <w:tcPr>
            <w:tcW w:w="325" w:type="pct"/>
            <w:tcBorders>
              <w:tl2br w:val="nil"/>
              <w:tr2bl w:val="nil"/>
            </w:tcBorders>
            <w:vAlign w:val="center"/>
          </w:tcPr>
          <w:p w14:paraId="4D307C72">
            <w:pPr>
              <w:pStyle w:val="41"/>
              <w:rPr>
                <w:color w:val="auto"/>
                <w:highlight w:val="none"/>
              </w:rPr>
            </w:pPr>
            <w:r>
              <w:rPr>
                <w:color w:val="auto"/>
                <w:highlight w:val="none"/>
              </w:rPr>
              <w:t>占比</w:t>
            </w:r>
            <w:r>
              <w:rPr>
                <w:rFonts w:hint="eastAsia"/>
                <w:color w:val="auto"/>
                <w:highlight w:val="none"/>
                <w:lang w:eastAsia="zh-CN"/>
              </w:rPr>
              <w:t>（</w:t>
            </w:r>
            <w:r>
              <w:rPr>
                <w:color w:val="auto"/>
                <w:highlight w:val="none"/>
              </w:rPr>
              <w:t>%</w:t>
            </w:r>
            <w:r>
              <w:rPr>
                <w:rFonts w:hint="eastAsia"/>
                <w:color w:val="auto"/>
                <w:highlight w:val="none"/>
                <w:lang w:eastAsia="zh-CN"/>
              </w:rPr>
              <w:t>）</w:t>
            </w:r>
          </w:p>
        </w:tc>
        <w:tc>
          <w:tcPr>
            <w:tcW w:w="382" w:type="pct"/>
            <w:vMerge w:val="continue"/>
            <w:tcBorders>
              <w:tl2br w:val="nil"/>
              <w:tr2bl w:val="nil"/>
            </w:tcBorders>
            <w:vAlign w:val="center"/>
          </w:tcPr>
          <w:p w14:paraId="5822FB1A">
            <w:pPr>
              <w:pStyle w:val="41"/>
              <w:rPr>
                <w:color w:val="auto"/>
                <w:highlight w:val="none"/>
              </w:rPr>
            </w:pPr>
          </w:p>
        </w:tc>
      </w:tr>
      <w:tr w14:paraId="5E3709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64" w:type="pct"/>
            <w:tcBorders>
              <w:tl2br w:val="nil"/>
              <w:tr2bl w:val="nil"/>
            </w:tcBorders>
            <w:noWrap/>
            <w:vAlign w:val="center"/>
          </w:tcPr>
          <w:p w14:paraId="3ABCFC21">
            <w:pPr>
              <w:pStyle w:val="41"/>
              <w:rPr>
                <w:color w:val="auto"/>
                <w:highlight w:val="none"/>
              </w:rPr>
            </w:pPr>
            <w:r>
              <w:rPr>
                <w:rFonts w:hint="eastAsia"/>
                <w:color w:val="auto"/>
                <w:highlight w:val="none"/>
              </w:rPr>
              <w:t>GW</w:t>
            </w:r>
            <w:r>
              <w:rPr>
                <w:color w:val="auto"/>
                <w:highlight w:val="none"/>
              </w:rPr>
              <w:t>1</w:t>
            </w:r>
          </w:p>
        </w:tc>
        <w:tc>
          <w:tcPr>
            <w:tcW w:w="231" w:type="pct"/>
            <w:tcBorders>
              <w:tl2br w:val="nil"/>
              <w:tr2bl w:val="nil"/>
            </w:tcBorders>
            <w:noWrap/>
            <w:vAlign w:val="center"/>
          </w:tcPr>
          <w:p w14:paraId="7F214B76">
            <w:pPr>
              <w:pStyle w:val="41"/>
              <w:rPr>
                <w:color w:val="auto"/>
                <w:highlight w:val="none"/>
              </w:rPr>
            </w:pPr>
            <w:r>
              <w:rPr>
                <w:color w:val="auto"/>
                <w:highlight w:val="none"/>
              </w:rPr>
              <w:t>6.8</w:t>
            </w:r>
          </w:p>
        </w:tc>
        <w:tc>
          <w:tcPr>
            <w:tcW w:w="233" w:type="pct"/>
            <w:tcBorders>
              <w:tl2br w:val="nil"/>
              <w:tr2bl w:val="nil"/>
            </w:tcBorders>
            <w:noWrap/>
            <w:vAlign w:val="center"/>
          </w:tcPr>
          <w:p w14:paraId="3B58E707">
            <w:pPr>
              <w:pStyle w:val="41"/>
              <w:rPr>
                <w:color w:val="auto"/>
                <w:highlight w:val="none"/>
              </w:rPr>
            </w:pPr>
            <w:r>
              <w:rPr>
                <w:color w:val="auto"/>
                <w:highlight w:val="none"/>
              </w:rPr>
              <w:t>0.46</w:t>
            </w:r>
          </w:p>
        </w:tc>
        <w:tc>
          <w:tcPr>
            <w:tcW w:w="251" w:type="pct"/>
            <w:tcBorders>
              <w:tl2br w:val="nil"/>
              <w:tr2bl w:val="nil"/>
            </w:tcBorders>
            <w:noWrap/>
            <w:vAlign w:val="center"/>
          </w:tcPr>
          <w:p w14:paraId="5CA3C671">
            <w:pPr>
              <w:pStyle w:val="41"/>
              <w:rPr>
                <w:color w:val="auto"/>
                <w:highlight w:val="none"/>
              </w:rPr>
            </w:pPr>
            <w:r>
              <w:rPr>
                <w:color w:val="auto"/>
                <w:highlight w:val="none"/>
              </w:rPr>
              <w:t>128</w:t>
            </w:r>
          </w:p>
        </w:tc>
        <w:tc>
          <w:tcPr>
            <w:tcW w:w="276" w:type="pct"/>
            <w:tcBorders>
              <w:tl2br w:val="nil"/>
              <w:tr2bl w:val="nil"/>
            </w:tcBorders>
            <w:noWrap/>
            <w:vAlign w:val="center"/>
          </w:tcPr>
          <w:p w14:paraId="1200C128">
            <w:pPr>
              <w:pStyle w:val="41"/>
              <w:rPr>
                <w:color w:val="auto"/>
                <w:highlight w:val="none"/>
              </w:rPr>
            </w:pPr>
            <w:r>
              <w:rPr>
                <w:color w:val="auto"/>
                <w:highlight w:val="none"/>
              </w:rPr>
              <w:t>14.70</w:t>
            </w:r>
          </w:p>
        </w:tc>
        <w:tc>
          <w:tcPr>
            <w:tcW w:w="268" w:type="pct"/>
            <w:tcBorders>
              <w:tl2br w:val="nil"/>
              <w:tr2bl w:val="nil"/>
            </w:tcBorders>
            <w:noWrap/>
            <w:vAlign w:val="center"/>
          </w:tcPr>
          <w:p w14:paraId="41FEE8C8">
            <w:pPr>
              <w:pStyle w:val="41"/>
              <w:rPr>
                <w:color w:val="auto"/>
                <w:highlight w:val="none"/>
              </w:rPr>
            </w:pPr>
            <w:r>
              <w:rPr>
                <w:color w:val="auto"/>
                <w:highlight w:val="none"/>
              </w:rPr>
              <w:t>78.6</w:t>
            </w:r>
          </w:p>
        </w:tc>
        <w:tc>
          <w:tcPr>
            <w:tcW w:w="239" w:type="pct"/>
            <w:tcBorders>
              <w:tl2br w:val="nil"/>
              <w:tr2bl w:val="nil"/>
            </w:tcBorders>
            <w:noWrap/>
            <w:vAlign w:val="center"/>
          </w:tcPr>
          <w:p w14:paraId="6B3524E8">
            <w:pPr>
              <w:pStyle w:val="41"/>
              <w:rPr>
                <w:color w:val="auto"/>
                <w:highlight w:val="none"/>
              </w:rPr>
            </w:pPr>
            <w:r>
              <w:rPr>
                <w:color w:val="auto"/>
                <w:highlight w:val="none"/>
              </w:rPr>
              <w:t>76.61</w:t>
            </w:r>
          </w:p>
        </w:tc>
        <w:tc>
          <w:tcPr>
            <w:tcW w:w="232" w:type="pct"/>
            <w:tcBorders>
              <w:tl2br w:val="nil"/>
              <w:tr2bl w:val="nil"/>
            </w:tcBorders>
            <w:noWrap/>
            <w:vAlign w:val="center"/>
          </w:tcPr>
          <w:p w14:paraId="70D5D9D4">
            <w:pPr>
              <w:pStyle w:val="41"/>
              <w:rPr>
                <w:color w:val="auto"/>
                <w:highlight w:val="none"/>
              </w:rPr>
            </w:pPr>
            <w:r>
              <w:rPr>
                <w:color w:val="auto"/>
                <w:highlight w:val="none"/>
              </w:rPr>
              <w:t>37.4</w:t>
            </w:r>
          </w:p>
        </w:tc>
        <w:tc>
          <w:tcPr>
            <w:tcW w:w="275" w:type="pct"/>
            <w:tcBorders>
              <w:tl2br w:val="nil"/>
              <w:tr2bl w:val="nil"/>
            </w:tcBorders>
            <w:noWrap/>
            <w:vAlign w:val="center"/>
          </w:tcPr>
          <w:p w14:paraId="57129C77">
            <w:pPr>
              <w:pStyle w:val="41"/>
              <w:rPr>
                <w:color w:val="auto"/>
                <w:highlight w:val="none"/>
              </w:rPr>
            </w:pPr>
            <w:r>
              <w:rPr>
                <w:color w:val="auto"/>
                <w:highlight w:val="none"/>
              </w:rPr>
              <w:t>8.23</w:t>
            </w:r>
          </w:p>
        </w:tc>
        <w:tc>
          <w:tcPr>
            <w:tcW w:w="242" w:type="pct"/>
            <w:tcBorders>
              <w:tl2br w:val="nil"/>
              <w:tr2bl w:val="nil"/>
            </w:tcBorders>
            <w:noWrap/>
            <w:vAlign w:val="center"/>
          </w:tcPr>
          <w:p w14:paraId="00096437">
            <w:pPr>
              <w:pStyle w:val="41"/>
              <w:rPr>
                <w:color w:val="auto"/>
                <w:highlight w:val="none"/>
              </w:rPr>
            </w:pPr>
            <w:r>
              <w:rPr>
                <w:color w:val="auto"/>
                <w:highlight w:val="none"/>
              </w:rPr>
              <w:t>5</w:t>
            </w:r>
            <w:r>
              <w:rPr>
                <w:rFonts w:hint="eastAsia"/>
                <w:color w:val="auto"/>
                <w:highlight w:val="none"/>
              </w:rPr>
              <w:t>L</w:t>
            </w:r>
          </w:p>
        </w:tc>
        <w:tc>
          <w:tcPr>
            <w:tcW w:w="233" w:type="pct"/>
            <w:tcBorders>
              <w:tl2br w:val="nil"/>
              <w:tr2bl w:val="nil"/>
            </w:tcBorders>
            <w:noWrap/>
            <w:vAlign w:val="center"/>
          </w:tcPr>
          <w:p w14:paraId="03564370">
            <w:pPr>
              <w:pStyle w:val="41"/>
              <w:rPr>
                <w:color w:val="auto"/>
                <w:highlight w:val="none"/>
              </w:rPr>
            </w:pPr>
            <w:r>
              <w:rPr>
                <w:color w:val="auto"/>
                <w:highlight w:val="none"/>
              </w:rPr>
              <w:t>0.35</w:t>
            </w:r>
          </w:p>
        </w:tc>
        <w:tc>
          <w:tcPr>
            <w:tcW w:w="353" w:type="pct"/>
            <w:tcBorders>
              <w:tl2br w:val="nil"/>
              <w:tr2bl w:val="nil"/>
            </w:tcBorders>
            <w:noWrap/>
            <w:vAlign w:val="center"/>
          </w:tcPr>
          <w:p w14:paraId="1F65CEAC">
            <w:pPr>
              <w:pStyle w:val="41"/>
              <w:rPr>
                <w:color w:val="auto"/>
                <w:highlight w:val="none"/>
              </w:rPr>
            </w:pPr>
            <w:r>
              <w:rPr>
                <w:color w:val="auto"/>
                <w:highlight w:val="none"/>
              </w:rPr>
              <w:t>248</w:t>
            </w:r>
          </w:p>
        </w:tc>
        <w:tc>
          <w:tcPr>
            <w:tcW w:w="336" w:type="pct"/>
            <w:tcBorders>
              <w:tl2br w:val="nil"/>
              <w:tr2bl w:val="nil"/>
            </w:tcBorders>
            <w:noWrap/>
            <w:vAlign w:val="center"/>
          </w:tcPr>
          <w:p w14:paraId="1FB65959">
            <w:pPr>
              <w:pStyle w:val="41"/>
              <w:rPr>
                <w:color w:val="auto"/>
                <w:highlight w:val="none"/>
              </w:rPr>
            </w:pPr>
            <w:r>
              <w:rPr>
                <w:color w:val="auto"/>
                <w:highlight w:val="none"/>
              </w:rPr>
              <w:t>8.45</w:t>
            </w:r>
          </w:p>
        </w:tc>
        <w:tc>
          <w:tcPr>
            <w:tcW w:w="308" w:type="pct"/>
            <w:tcBorders>
              <w:tl2br w:val="nil"/>
              <w:tr2bl w:val="nil"/>
            </w:tcBorders>
            <w:noWrap/>
            <w:vAlign w:val="center"/>
          </w:tcPr>
          <w:p w14:paraId="318E69D3">
            <w:pPr>
              <w:pStyle w:val="41"/>
              <w:rPr>
                <w:color w:val="auto"/>
                <w:highlight w:val="none"/>
              </w:rPr>
            </w:pPr>
            <w:r>
              <w:rPr>
                <w:color w:val="auto"/>
                <w:highlight w:val="none"/>
              </w:rPr>
              <w:t>125</w:t>
            </w:r>
          </w:p>
        </w:tc>
        <w:tc>
          <w:tcPr>
            <w:tcW w:w="339" w:type="pct"/>
            <w:tcBorders>
              <w:tl2br w:val="nil"/>
              <w:tr2bl w:val="nil"/>
            </w:tcBorders>
            <w:noWrap/>
            <w:vAlign w:val="center"/>
          </w:tcPr>
          <w:p w14:paraId="3F7E89DC">
            <w:pPr>
              <w:pStyle w:val="41"/>
              <w:rPr>
                <w:color w:val="auto"/>
                <w:highlight w:val="none"/>
              </w:rPr>
            </w:pPr>
            <w:r>
              <w:rPr>
                <w:color w:val="auto"/>
                <w:highlight w:val="none"/>
              </w:rPr>
              <w:t>81.03</w:t>
            </w:r>
          </w:p>
        </w:tc>
        <w:tc>
          <w:tcPr>
            <w:tcW w:w="307" w:type="pct"/>
            <w:tcBorders>
              <w:tl2br w:val="nil"/>
              <w:tr2bl w:val="nil"/>
            </w:tcBorders>
            <w:noWrap/>
            <w:vAlign w:val="center"/>
          </w:tcPr>
          <w:p w14:paraId="747B9E53">
            <w:pPr>
              <w:pStyle w:val="41"/>
              <w:rPr>
                <w:color w:val="auto"/>
                <w:highlight w:val="none"/>
              </w:rPr>
            </w:pPr>
            <w:r>
              <w:rPr>
                <w:color w:val="auto"/>
                <w:highlight w:val="none"/>
              </w:rPr>
              <w:t>235</w:t>
            </w:r>
          </w:p>
        </w:tc>
        <w:tc>
          <w:tcPr>
            <w:tcW w:w="325" w:type="pct"/>
            <w:tcBorders>
              <w:tl2br w:val="nil"/>
              <w:tr2bl w:val="nil"/>
            </w:tcBorders>
            <w:noWrap/>
            <w:vAlign w:val="center"/>
          </w:tcPr>
          <w:p w14:paraId="4575DB73">
            <w:pPr>
              <w:pStyle w:val="41"/>
              <w:rPr>
                <w:color w:val="auto"/>
                <w:highlight w:val="none"/>
              </w:rPr>
            </w:pPr>
            <w:r>
              <w:rPr>
                <w:rFonts w:hint="eastAsia"/>
                <w:color w:val="auto"/>
                <w:highlight w:val="none"/>
              </w:rPr>
              <w:t>10.17</w:t>
            </w:r>
          </w:p>
        </w:tc>
        <w:tc>
          <w:tcPr>
            <w:tcW w:w="382" w:type="pct"/>
            <w:tcBorders>
              <w:tl2br w:val="nil"/>
              <w:tr2bl w:val="nil"/>
            </w:tcBorders>
            <w:noWrap/>
            <w:vAlign w:val="center"/>
          </w:tcPr>
          <w:p w14:paraId="5570AA03">
            <w:pPr>
              <w:pStyle w:val="41"/>
              <w:rPr>
                <w:color w:val="auto"/>
                <w:highlight w:val="none"/>
              </w:rPr>
            </w:pPr>
            <w:r>
              <w:rPr>
                <w:color w:val="auto"/>
                <w:highlight w:val="none"/>
              </w:rPr>
              <w:t>Cl-Ca</w:t>
            </w:r>
          </w:p>
        </w:tc>
      </w:tr>
      <w:tr w14:paraId="0483BC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64" w:type="pct"/>
            <w:tcBorders>
              <w:tl2br w:val="nil"/>
              <w:tr2bl w:val="nil"/>
            </w:tcBorders>
            <w:noWrap/>
            <w:vAlign w:val="center"/>
          </w:tcPr>
          <w:p w14:paraId="007E3B0F">
            <w:pPr>
              <w:pStyle w:val="41"/>
              <w:rPr>
                <w:color w:val="auto"/>
                <w:highlight w:val="none"/>
              </w:rPr>
            </w:pPr>
            <w:r>
              <w:rPr>
                <w:rFonts w:hint="eastAsia"/>
                <w:color w:val="auto"/>
                <w:highlight w:val="none"/>
              </w:rPr>
              <w:t>GW</w:t>
            </w:r>
            <w:r>
              <w:rPr>
                <w:color w:val="auto"/>
                <w:highlight w:val="none"/>
              </w:rPr>
              <w:t>2</w:t>
            </w:r>
          </w:p>
        </w:tc>
        <w:tc>
          <w:tcPr>
            <w:tcW w:w="231" w:type="pct"/>
            <w:tcBorders>
              <w:tl2br w:val="nil"/>
              <w:tr2bl w:val="nil"/>
            </w:tcBorders>
            <w:noWrap/>
            <w:vAlign w:val="center"/>
          </w:tcPr>
          <w:p w14:paraId="05AC714A">
            <w:pPr>
              <w:pStyle w:val="41"/>
              <w:rPr>
                <w:color w:val="auto"/>
                <w:highlight w:val="none"/>
              </w:rPr>
            </w:pPr>
            <w:r>
              <w:rPr>
                <w:color w:val="auto"/>
                <w:highlight w:val="none"/>
              </w:rPr>
              <w:t>6.65</w:t>
            </w:r>
          </w:p>
        </w:tc>
        <w:tc>
          <w:tcPr>
            <w:tcW w:w="233" w:type="pct"/>
            <w:tcBorders>
              <w:tl2br w:val="nil"/>
              <w:tr2bl w:val="nil"/>
            </w:tcBorders>
            <w:noWrap/>
            <w:vAlign w:val="center"/>
          </w:tcPr>
          <w:p w14:paraId="4382D842">
            <w:pPr>
              <w:pStyle w:val="41"/>
              <w:rPr>
                <w:color w:val="auto"/>
                <w:highlight w:val="none"/>
              </w:rPr>
            </w:pPr>
            <w:r>
              <w:rPr>
                <w:color w:val="auto"/>
                <w:highlight w:val="none"/>
              </w:rPr>
              <w:t>0.45</w:t>
            </w:r>
          </w:p>
        </w:tc>
        <w:tc>
          <w:tcPr>
            <w:tcW w:w="251" w:type="pct"/>
            <w:tcBorders>
              <w:tl2br w:val="nil"/>
              <w:tr2bl w:val="nil"/>
            </w:tcBorders>
            <w:noWrap/>
            <w:vAlign w:val="center"/>
          </w:tcPr>
          <w:p w14:paraId="0DAF400B">
            <w:pPr>
              <w:pStyle w:val="41"/>
              <w:rPr>
                <w:color w:val="auto"/>
                <w:highlight w:val="none"/>
              </w:rPr>
            </w:pPr>
            <w:r>
              <w:rPr>
                <w:color w:val="auto"/>
                <w:highlight w:val="none"/>
              </w:rPr>
              <w:t>121</w:t>
            </w:r>
          </w:p>
        </w:tc>
        <w:tc>
          <w:tcPr>
            <w:tcW w:w="276" w:type="pct"/>
            <w:tcBorders>
              <w:tl2br w:val="nil"/>
              <w:tr2bl w:val="nil"/>
            </w:tcBorders>
            <w:noWrap/>
            <w:vAlign w:val="center"/>
          </w:tcPr>
          <w:p w14:paraId="173894FB">
            <w:pPr>
              <w:pStyle w:val="41"/>
              <w:rPr>
                <w:color w:val="auto"/>
                <w:highlight w:val="none"/>
              </w:rPr>
            </w:pPr>
            <w:r>
              <w:rPr>
                <w:color w:val="auto"/>
                <w:highlight w:val="none"/>
              </w:rPr>
              <w:t>13.78</w:t>
            </w:r>
          </w:p>
        </w:tc>
        <w:tc>
          <w:tcPr>
            <w:tcW w:w="268" w:type="pct"/>
            <w:tcBorders>
              <w:tl2br w:val="nil"/>
              <w:tr2bl w:val="nil"/>
            </w:tcBorders>
            <w:noWrap/>
            <w:vAlign w:val="center"/>
          </w:tcPr>
          <w:p w14:paraId="70B81063">
            <w:pPr>
              <w:pStyle w:val="41"/>
              <w:rPr>
                <w:color w:val="auto"/>
                <w:highlight w:val="none"/>
              </w:rPr>
            </w:pPr>
            <w:r>
              <w:rPr>
                <w:color w:val="auto"/>
                <w:highlight w:val="none"/>
              </w:rPr>
              <w:t>68.3</w:t>
            </w:r>
          </w:p>
        </w:tc>
        <w:tc>
          <w:tcPr>
            <w:tcW w:w="239" w:type="pct"/>
            <w:tcBorders>
              <w:tl2br w:val="nil"/>
              <w:tr2bl w:val="nil"/>
            </w:tcBorders>
            <w:noWrap/>
            <w:vAlign w:val="center"/>
          </w:tcPr>
          <w:p w14:paraId="60599070">
            <w:pPr>
              <w:pStyle w:val="41"/>
              <w:rPr>
                <w:color w:val="auto"/>
                <w:highlight w:val="none"/>
              </w:rPr>
            </w:pPr>
            <w:r>
              <w:rPr>
                <w:color w:val="auto"/>
                <w:highlight w:val="none"/>
              </w:rPr>
              <w:t>78.61</w:t>
            </w:r>
          </w:p>
        </w:tc>
        <w:tc>
          <w:tcPr>
            <w:tcW w:w="232" w:type="pct"/>
            <w:tcBorders>
              <w:tl2br w:val="nil"/>
              <w:tr2bl w:val="nil"/>
            </w:tcBorders>
            <w:noWrap/>
            <w:vAlign w:val="center"/>
          </w:tcPr>
          <w:p w14:paraId="6706F6DF">
            <w:pPr>
              <w:pStyle w:val="41"/>
              <w:rPr>
                <w:color w:val="auto"/>
                <w:highlight w:val="none"/>
              </w:rPr>
            </w:pPr>
            <w:r>
              <w:rPr>
                <w:color w:val="auto"/>
                <w:highlight w:val="none"/>
              </w:rPr>
              <w:t>32.8</w:t>
            </w:r>
          </w:p>
        </w:tc>
        <w:tc>
          <w:tcPr>
            <w:tcW w:w="275" w:type="pct"/>
            <w:tcBorders>
              <w:tl2br w:val="nil"/>
              <w:tr2bl w:val="nil"/>
            </w:tcBorders>
            <w:noWrap/>
            <w:vAlign w:val="center"/>
          </w:tcPr>
          <w:p w14:paraId="1139AF38">
            <w:pPr>
              <w:pStyle w:val="41"/>
              <w:rPr>
                <w:color w:val="auto"/>
                <w:highlight w:val="none"/>
              </w:rPr>
            </w:pPr>
            <w:r>
              <w:rPr>
                <w:color w:val="auto"/>
                <w:highlight w:val="none"/>
              </w:rPr>
              <w:t>7.16</w:t>
            </w:r>
          </w:p>
        </w:tc>
        <w:tc>
          <w:tcPr>
            <w:tcW w:w="242" w:type="pct"/>
            <w:tcBorders>
              <w:tl2br w:val="nil"/>
              <w:tr2bl w:val="nil"/>
            </w:tcBorders>
            <w:noWrap/>
            <w:vAlign w:val="center"/>
          </w:tcPr>
          <w:p w14:paraId="6D03A187">
            <w:pPr>
              <w:pStyle w:val="41"/>
              <w:rPr>
                <w:color w:val="auto"/>
                <w:highlight w:val="none"/>
              </w:rPr>
            </w:pPr>
            <w:r>
              <w:rPr>
                <w:color w:val="auto"/>
                <w:highlight w:val="none"/>
              </w:rPr>
              <w:t>5</w:t>
            </w:r>
            <w:r>
              <w:rPr>
                <w:rFonts w:hint="eastAsia"/>
                <w:color w:val="auto"/>
                <w:highlight w:val="none"/>
              </w:rPr>
              <w:t>L</w:t>
            </w:r>
          </w:p>
        </w:tc>
        <w:tc>
          <w:tcPr>
            <w:tcW w:w="233" w:type="pct"/>
            <w:tcBorders>
              <w:tl2br w:val="nil"/>
              <w:tr2bl w:val="nil"/>
            </w:tcBorders>
            <w:noWrap/>
            <w:vAlign w:val="center"/>
          </w:tcPr>
          <w:p w14:paraId="3F589BFF">
            <w:pPr>
              <w:pStyle w:val="41"/>
              <w:rPr>
                <w:color w:val="auto"/>
                <w:highlight w:val="none"/>
              </w:rPr>
            </w:pPr>
            <w:r>
              <w:rPr>
                <w:color w:val="auto"/>
                <w:highlight w:val="none"/>
              </w:rPr>
              <w:t>0.35</w:t>
            </w:r>
          </w:p>
        </w:tc>
        <w:tc>
          <w:tcPr>
            <w:tcW w:w="353" w:type="pct"/>
            <w:tcBorders>
              <w:tl2br w:val="nil"/>
              <w:tr2bl w:val="nil"/>
            </w:tcBorders>
            <w:noWrap/>
            <w:vAlign w:val="center"/>
          </w:tcPr>
          <w:p w14:paraId="45656B77">
            <w:pPr>
              <w:pStyle w:val="41"/>
              <w:rPr>
                <w:color w:val="auto"/>
                <w:highlight w:val="none"/>
              </w:rPr>
            </w:pPr>
            <w:r>
              <w:rPr>
                <w:color w:val="auto"/>
                <w:highlight w:val="none"/>
              </w:rPr>
              <w:t>236</w:t>
            </w:r>
          </w:p>
        </w:tc>
        <w:tc>
          <w:tcPr>
            <w:tcW w:w="336" w:type="pct"/>
            <w:tcBorders>
              <w:tl2br w:val="nil"/>
              <w:tr2bl w:val="nil"/>
            </w:tcBorders>
            <w:noWrap/>
            <w:vAlign w:val="center"/>
          </w:tcPr>
          <w:p w14:paraId="5ED8884C">
            <w:pPr>
              <w:pStyle w:val="41"/>
              <w:rPr>
                <w:color w:val="auto"/>
                <w:highlight w:val="none"/>
              </w:rPr>
            </w:pPr>
            <w:r>
              <w:rPr>
                <w:color w:val="auto"/>
                <w:highlight w:val="none"/>
              </w:rPr>
              <w:t>8.01</w:t>
            </w:r>
          </w:p>
        </w:tc>
        <w:tc>
          <w:tcPr>
            <w:tcW w:w="308" w:type="pct"/>
            <w:tcBorders>
              <w:tl2br w:val="nil"/>
              <w:tr2bl w:val="nil"/>
            </w:tcBorders>
            <w:noWrap/>
            <w:vAlign w:val="center"/>
          </w:tcPr>
          <w:p w14:paraId="33F1C42C">
            <w:pPr>
              <w:pStyle w:val="41"/>
              <w:rPr>
                <w:color w:val="auto"/>
                <w:highlight w:val="none"/>
              </w:rPr>
            </w:pPr>
            <w:r>
              <w:rPr>
                <w:color w:val="auto"/>
                <w:highlight w:val="none"/>
              </w:rPr>
              <w:t>115</w:t>
            </w:r>
          </w:p>
        </w:tc>
        <w:tc>
          <w:tcPr>
            <w:tcW w:w="339" w:type="pct"/>
            <w:tcBorders>
              <w:tl2br w:val="nil"/>
              <w:tr2bl w:val="nil"/>
            </w:tcBorders>
            <w:noWrap/>
            <w:vAlign w:val="center"/>
          </w:tcPr>
          <w:p w14:paraId="5CFF896D">
            <w:pPr>
              <w:pStyle w:val="41"/>
              <w:rPr>
                <w:color w:val="auto"/>
                <w:highlight w:val="none"/>
              </w:rPr>
            </w:pPr>
            <w:r>
              <w:rPr>
                <w:color w:val="auto"/>
                <w:highlight w:val="none"/>
              </w:rPr>
              <w:t>82.80</w:t>
            </w:r>
          </w:p>
        </w:tc>
        <w:tc>
          <w:tcPr>
            <w:tcW w:w="307" w:type="pct"/>
            <w:tcBorders>
              <w:tl2br w:val="nil"/>
              <w:tr2bl w:val="nil"/>
            </w:tcBorders>
            <w:noWrap/>
            <w:vAlign w:val="center"/>
          </w:tcPr>
          <w:p w14:paraId="5247F257">
            <w:pPr>
              <w:pStyle w:val="41"/>
              <w:rPr>
                <w:color w:val="auto"/>
                <w:highlight w:val="none"/>
              </w:rPr>
            </w:pPr>
            <w:r>
              <w:rPr>
                <w:color w:val="auto"/>
                <w:highlight w:val="none"/>
              </w:rPr>
              <w:t>205</w:t>
            </w:r>
          </w:p>
        </w:tc>
        <w:tc>
          <w:tcPr>
            <w:tcW w:w="325" w:type="pct"/>
            <w:tcBorders>
              <w:tl2br w:val="nil"/>
              <w:tr2bl w:val="nil"/>
            </w:tcBorders>
            <w:noWrap/>
            <w:vAlign w:val="center"/>
          </w:tcPr>
          <w:p w14:paraId="2D28C1FB">
            <w:pPr>
              <w:pStyle w:val="41"/>
              <w:rPr>
                <w:color w:val="auto"/>
                <w:highlight w:val="none"/>
              </w:rPr>
            </w:pPr>
            <w:r>
              <w:rPr>
                <w:rFonts w:hint="eastAsia"/>
                <w:color w:val="auto"/>
                <w:highlight w:val="none"/>
              </w:rPr>
              <w:t>8.84</w:t>
            </w:r>
          </w:p>
        </w:tc>
        <w:tc>
          <w:tcPr>
            <w:tcW w:w="382" w:type="pct"/>
            <w:tcBorders>
              <w:tl2br w:val="nil"/>
              <w:tr2bl w:val="nil"/>
            </w:tcBorders>
            <w:noWrap/>
            <w:vAlign w:val="center"/>
          </w:tcPr>
          <w:p w14:paraId="0FA693E0">
            <w:pPr>
              <w:pStyle w:val="41"/>
              <w:rPr>
                <w:color w:val="auto"/>
                <w:highlight w:val="none"/>
              </w:rPr>
            </w:pPr>
            <w:r>
              <w:rPr>
                <w:color w:val="auto"/>
                <w:highlight w:val="none"/>
              </w:rPr>
              <w:t>Cl-Ca</w:t>
            </w:r>
          </w:p>
        </w:tc>
      </w:tr>
      <w:tr w14:paraId="3F4423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64" w:type="pct"/>
            <w:tcBorders>
              <w:tl2br w:val="nil"/>
              <w:tr2bl w:val="nil"/>
            </w:tcBorders>
            <w:noWrap/>
            <w:vAlign w:val="center"/>
          </w:tcPr>
          <w:p w14:paraId="4CD45FCE">
            <w:pPr>
              <w:pStyle w:val="41"/>
              <w:rPr>
                <w:color w:val="auto"/>
                <w:highlight w:val="none"/>
              </w:rPr>
            </w:pPr>
            <w:r>
              <w:rPr>
                <w:rFonts w:hint="eastAsia"/>
                <w:color w:val="auto"/>
                <w:highlight w:val="none"/>
              </w:rPr>
              <w:t>GW</w:t>
            </w:r>
            <w:r>
              <w:rPr>
                <w:color w:val="auto"/>
                <w:highlight w:val="none"/>
              </w:rPr>
              <w:t>3</w:t>
            </w:r>
          </w:p>
        </w:tc>
        <w:tc>
          <w:tcPr>
            <w:tcW w:w="231" w:type="pct"/>
            <w:tcBorders>
              <w:tl2br w:val="nil"/>
              <w:tr2bl w:val="nil"/>
            </w:tcBorders>
            <w:noWrap/>
            <w:vAlign w:val="center"/>
          </w:tcPr>
          <w:p w14:paraId="0A6C2F51">
            <w:pPr>
              <w:pStyle w:val="41"/>
              <w:rPr>
                <w:color w:val="auto"/>
                <w:highlight w:val="none"/>
              </w:rPr>
            </w:pPr>
            <w:r>
              <w:rPr>
                <w:color w:val="auto"/>
                <w:highlight w:val="none"/>
              </w:rPr>
              <w:t>6.87</w:t>
            </w:r>
          </w:p>
        </w:tc>
        <w:tc>
          <w:tcPr>
            <w:tcW w:w="233" w:type="pct"/>
            <w:tcBorders>
              <w:tl2br w:val="nil"/>
              <w:tr2bl w:val="nil"/>
            </w:tcBorders>
            <w:noWrap/>
            <w:vAlign w:val="center"/>
          </w:tcPr>
          <w:p w14:paraId="735FE2DB">
            <w:pPr>
              <w:pStyle w:val="41"/>
              <w:rPr>
                <w:color w:val="auto"/>
                <w:highlight w:val="none"/>
              </w:rPr>
            </w:pPr>
            <w:r>
              <w:rPr>
                <w:color w:val="auto"/>
                <w:highlight w:val="none"/>
              </w:rPr>
              <w:t>0.45</w:t>
            </w:r>
          </w:p>
        </w:tc>
        <w:tc>
          <w:tcPr>
            <w:tcW w:w="251" w:type="pct"/>
            <w:tcBorders>
              <w:tl2br w:val="nil"/>
              <w:tr2bl w:val="nil"/>
            </w:tcBorders>
            <w:noWrap/>
            <w:vAlign w:val="center"/>
          </w:tcPr>
          <w:p w14:paraId="408EE0BF">
            <w:pPr>
              <w:pStyle w:val="41"/>
              <w:rPr>
                <w:color w:val="auto"/>
                <w:highlight w:val="none"/>
              </w:rPr>
            </w:pPr>
            <w:r>
              <w:rPr>
                <w:color w:val="auto"/>
                <w:highlight w:val="none"/>
              </w:rPr>
              <w:t>123</w:t>
            </w:r>
          </w:p>
        </w:tc>
        <w:tc>
          <w:tcPr>
            <w:tcW w:w="276" w:type="pct"/>
            <w:tcBorders>
              <w:tl2br w:val="nil"/>
              <w:tr2bl w:val="nil"/>
            </w:tcBorders>
            <w:noWrap/>
            <w:vAlign w:val="center"/>
          </w:tcPr>
          <w:p w14:paraId="4450DC86">
            <w:pPr>
              <w:pStyle w:val="41"/>
              <w:rPr>
                <w:color w:val="auto"/>
                <w:highlight w:val="none"/>
              </w:rPr>
            </w:pPr>
            <w:r>
              <w:rPr>
                <w:color w:val="auto"/>
                <w:highlight w:val="none"/>
              </w:rPr>
              <w:t>13.56</w:t>
            </w:r>
          </w:p>
        </w:tc>
        <w:tc>
          <w:tcPr>
            <w:tcW w:w="268" w:type="pct"/>
            <w:tcBorders>
              <w:tl2br w:val="nil"/>
              <w:tr2bl w:val="nil"/>
            </w:tcBorders>
            <w:noWrap/>
            <w:vAlign w:val="center"/>
          </w:tcPr>
          <w:p w14:paraId="6D28D20D">
            <w:pPr>
              <w:pStyle w:val="41"/>
              <w:rPr>
                <w:color w:val="auto"/>
                <w:highlight w:val="none"/>
              </w:rPr>
            </w:pPr>
            <w:r>
              <w:rPr>
                <w:color w:val="auto"/>
                <w:highlight w:val="none"/>
              </w:rPr>
              <w:t>72.7</w:t>
            </w:r>
          </w:p>
        </w:tc>
        <w:tc>
          <w:tcPr>
            <w:tcW w:w="239" w:type="pct"/>
            <w:tcBorders>
              <w:tl2br w:val="nil"/>
              <w:tr2bl w:val="nil"/>
            </w:tcBorders>
            <w:noWrap/>
            <w:vAlign w:val="center"/>
          </w:tcPr>
          <w:p w14:paraId="520F209A">
            <w:pPr>
              <w:pStyle w:val="41"/>
              <w:rPr>
                <w:color w:val="auto"/>
                <w:highlight w:val="none"/>
              </w:rPr>
            </w:pPr>
            <w:r>
              <w:rPr>
                <w:color w:val="auto"/>
                <w:highlight w:val="none"/>
              </w:rPr>
              <w:t>78.62</w:t>
            </w:r>
          </w:p>
        </w:tc>
        <w:tc>
          <w:tcPr>
            <w:tcW w:w="232" w:type="pct"/>
            <w:tcBorders>
              <w:tl2br w:val="nil"/>
              <w:tr2bl w:val="nil"/>
            </w:tcBorders>
            <w:noWrap/>
            <w:vAlign w:val="center"/>
          </w:tcPr>
          <w:p w14:paraId="296292BB">
            <w:pPr>
              <w:pStyle w:val="41"/>
              <w:rPr>
                <w:color w:val="auto"/>
                <w:highlight w:val="none"/>
              </w:rPr>
            </w:pPr>
            <w:r>
              <w:rPr>
                <w:color w:val="auto"/>
                <w:highlight w:val="none"/>
              </w:rPr>
              <w:t>34.9</w:t>
            </w:r>
          </w:p>
        </w:tc>
        <w:tc>
          <w:tcPr>
            <w:tcW w:w="275" w:type="pct"/>
            <w:tcBorders>
              <w:tl2br w:val="nil"/>
              <w:tr2bl w:val="nil"/>
            </w:tcBorders>
            <w:noWrap/>
            <w:vAlign w:val="center"/>
          </w:tcPr>
          <w:p w14:paraId="45A3E128">
            <w:pPr>
              <w:pStyle w:val="41"/>
              <w:rPr>
                <w:color w:val="auto"/>
                <w:highlight w:val="none"/>
              </w:rPr>
            </w:pPr>
            <w:r>
              <w:rPr>
                <w:color w:val="auto"/>
                <w:highlight w:val="none"/>
              </w:rPr>
              <w:t>7.38</w:t>
            </w:r>
          </w:p>
        </w:tc>
        <w:tc>
          <w:tcPr>
            <w:tcW w:w="242" w:type="pct"/>
            <w:tcBorders>
              <w:tl2br w:val="nil"/>
              <w:tr2bl w:val="nil"/>
            </w:tcBorders>
            <w:noWrap/>
            <w:vAlign w:val="center"/>
          </w:tcPr>
          <w:p w14:paraId="3B01917A">
            <w:pPr>
              <w:pStyle w:val="41"/>
              <w:rPr>
                <w:color w:val="auto"/>
                <w:highlight w:val="none"/>
              </w:rPr>
            </w:pPr>
            <w:r>
              <w:rPr>
                <w:color w:val="auto"/>
                <w:highlight w:val="none"/>
              </w:rPr>
              <w:t>5</w:t>
            </w:r>
            <w:r>
              <w:rPr>
                <w:rFonts w:hint="eastAsia"/>
                <w:color w:val="auto"/>
                <w:highlight w:val="none"/>
              </w:rPr>
              <w:t>L</w:t>
            </w:r>
          </w:p>
        </w:tc>
        <w:tc>
          <w:tcPr>
            <w:tcW w:w="233" w:type="pct"/>
            <w:tcBorders>
              <w:tl2br w:val="nil"/>
              <w:tr2bl w:val="nil"/>
            </w:tcBorders>
            <w:noWrap/>
            <w:vAlign w:val="center"/>
          </w:tcPr>
          <w:p w14:paraId="4636B5E9">
            <w:pPr>
              <w:pStyle w:val="41"/>
              <w:rPr>
                <w:color w:val="auto"/>
                <w:highlight w:val="none"/>
              </w:rPr>
            </w:pPr>
            <w:r>
              <w:rPr>
                <w:color w:val="auto"/>
                <w:highlight w:val="none"/>
              </w:rPr>
              <w:t>0.33</w:t>
            </w:r>
          </w:p>
        </w:tc>
        <w:tc>
          <w:tcPr>
            <w:tcW w:w="353" w:type="pct"/>
            <w:tcBorders>
              <w:tl2br w:val="nil"/>
              <w:tr2bl w:val="nil"/>
            </w:tcBorders>
            <w:noWrap/>
            <w:vAlign w:val="center"/>
          </w:tcPr>
          <w:p w14:paraId="3BED7526">
            <w:pPr>
              <w:pStyle w:val="41"/>
              <w:rPr>
                <w:color w:val="auto"/>
                <w:highlight w:val="none"/>
              </w:rPr>
            </w:pPr>
            <w:r>
              <w:rPr>
                <w:color w:val="auto"/>
                <w:highlight w:val="none"/>
              </w:rPr>
              <w:t>401</w:t>
            </w:r>
          </w:p>
        </w:tc>
        <w:tc>
          <w:tcPr>
            <w:tcW w:w="336" w:type="pct"/>
            <w:tcBorders>
              <w:tl2br w:val="nil"/>
              <w:tr2bl w:val="nil"/>
            </w:tcBorders>
            <w:noWrap/>
            <w:vAlign w:val="center"/>
          </w:tcPr>
          <w:p w14:paraId="1FB413EA">
            <w:pPr>
              <w:pStyle w:val="41"/>
              <w:rPr>
                <w:color w:val="auto"/>
                <w:highlight w:val="none"/>
              </w:rPr>
            </w:pPr>
            <w:r>
              <w:rPr>
                <w:color w:val="auto"/>
                <w:highlight w:val="none"/>
              </w:rPr>
              <w:t>12.92</w:t>
            </w:r>
          </w:p>
        </w:tc>
        <w:tc>
          <w:tcPr>
            <w:tcW w:w="308" w:type="pct"/>
            <w:tcBorders>
              <w:tl2br w:val="nil"/>
              <w:tr2bl w:val="nil"/>
            </w:tcBorders>
            <w:noWrap/>
            <w:vAlign w:val="center"/>
          </w:tcPr>
          <w:p w14:paraId="5A6CBB11">
            <w:pPr>
              <w:pStyle w:val="41"/>
              <w:rPr>
                <w:color w:val="auto"/>
                <w:highlight w:val="none"/>
              </w:rPr>
            </w:pPr>
            <w:r>
              <w:rPr>
                <w:color w:val="auto"/>
                <w:highlight w:val="none"/>
              </w:rPr>
              <w:t>80</w:t>
            </w:r>
          </w:p>
        </w:tc>
        <w:tc>
          <w:tcPr>
            <w:tcW w:w="339" w:type="pct"/>
            <w:tcBorders>
              <w:tl2br w:val="nil"/>
              <w:tr2bl w:val="nil"/>
            </w:tcBorders>
            <w:noWrap/>
            <w:vAlign w:val="center"/>
          </w:tcPr>
          <w:p w14:paraId="18516AD2">
            <w:pPr>
              <w:pStyle w:val="41"/>
              <w:rPr>
                <w:color w:val="auto"/>
                <w:highlight w:val="none"/>
              </w:rPr>
            </w:pPr>
            <w:r>
              <w:rPr>
                <w:color w:val="auto"/>
                <w:highlight w:val="none"/>
              </w:rPr>
              <w:t>80.60</w:t>
            </w:r>
          </w:p>
        </w:tc>
        <w:tc>
          <w:tcPr>
            <w:tcW w:w="307" w:type="pct"/>
            <w:tcBorders>
              <w:tl2br w:val="nil"/>
              <w:tr2bl w:val="nil"/>
            </w:tcBorders>
            <w:noWrap/>
            <w:vAlign w:val="center"/>
          </w:tcPr>
          <w:p w14:paraId="067BC67F">
            <w:pPr>
              <w:pStyle w:val="41"/>
              <w:rPr>
                <w:color w:val="auto"/>
                <w:highlight w:val="none"/>
              </w:rPr>
            </w:pPr>
            <w:r>
              <w:rPr>
                <w:color w:val="auto"/>
                <w:highlight w:val="none"/>
              </w:rPr>
              <w:t>150</w:t>
            </w:r>
          </w:p>
        </w:tc>
        <w:tc>
          <w:tcPr>
            <w:tcW w:w="325" w:type="pct"/>
            <w:tcBorders>
              <w:tl2br w:val="nil"/>
              <w:tr2bl w:val="nil"/>
            </w:tcBorders>
            <w:noWrap/>
            <w:vAlign w:val="center"/>
          </w:tcPr>
          <w:p w14:paraId="557A9F32">
            <w:pPr>
              <w:pStyle w:val="41"/>
              <w:rPr>
                <w:color w:val="auto"/>
                <w:highlight w:val="none"/>
              </w:rPr>
            </w:pPr>
            <w:r>
              <w:rPr>
                <w:rFonts w:hint="eastAsia"/>
                <w:color w:val="auto"/>
                <w:highlight w:val="none"/>
              </w:rPr>
              <w:t>6.14</w:t>
            </w:r>
          </w:p>
        </w:tc>
        <w:tc>
          <w:tcPr>
            <w:tcW w:w="382" w:type="pct"/>
            <w:tcBorders>
              <w:tl2br w:val="nil"/>
              <w:tr2bl w:val="nil"/>
            </w:tcBorders>
            <w:noWrap/>
            <w:vAlign w:val="center"/>
          </w:tcPr>
          <w:p w14:paraId="5C3A2FAF">
            <w:pPr>
              <w:pStyle w:val="41"/>
              <w:rPr>
                <w:color w:val="auto"/>
                <w:highlight w:val="none"/>
              </w:rPr>
            </w:pPr>
            <w:r>
              <w:rPr>
                <w:color w:val="auto"/>
                <w:highlight w:val="none"/>
              </w:rPr>
              <w:t>Cl-Ca</w:t>
            </w:r>
          </w:p>
        </w:tc>
      </w:tr>
      <w:tr w14:paraId="3B6752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64" w:type="pct"/>
            <w:tcBorders>
              <w:tl2br w:val="nil"/>
              <w:tr2bl w:val="nil"/>
            </w:tcBorders>
            <w:noWrap/>
            <w:vAlign w:val="center"/>
          </w:tcPr>
          <w:p w14:paraId="340CA77C">
            <w:pPr>
              <w:pStyle w:val="41"/>
              <w:rPr>
                <w:color w:val="auto"/>
                <w:highlight w:val="none"/>
              </w:rPr>
            </w:pPr>
            <w:r>
              <w:rPr>
                <w:rFonts w:hint="eastAsia"/>
                <w:color w:val="auto"/>
                <w:highlight w:val="none"/>
              </w:rPr>
              <w:t>GW4</w:t>
            </w:r>
          </w:p>
        </w:tc>
        <w:tc>
          <w:tcPr>
            <w:tcW w:w="231" w:type="pct"/>
            <w:tcBorders>
              <w:tl2br w:val="nil"/>
              <w:tr2bl w:val="nil"/>
            </w:tcBorders>
            <w:noWrap/>
            <w:vAlign w:val="center"/>
          </w:tcPr>
          <w:p w14:paraId="64820295">
            <w:pPr>
              <w:pStyle w:val="41"/>
              <w:rPr>
                <w:color w:val="auto"/>
                <w:highlight w:val="none"/>
              </w:rPr>
            </w:pPr>
            <w:r>
              <w:rPr>
                <w:rFonts w:hint="eastAsia"/>
                <w:color w:val="auto"/>
                <w:highlight w:val="none"/>
              </w:rPr>
              <w:t>10.7</w:t>
            </w:r>
          </w:p>
        </w:tc>
        <w:tc>
          <w:tcPr>
            <w:tcW w:w="233" w:type="pct"/>
            <w:tcBorders>
              <w:tl2br w:val="nil"/>
              <w:tr2bl w:val="nil"/>
            </w:tcBorders>
            <w:noWrap/>
            <w:vAlign w:val="center"/>
          </w:tcPr>
          <w:p w14:paraId="6AA9F35B">
            <w:pPr>
              <w:pStyle w:val="41"/>
              <w:rPr>
                <w:color w:val="auto"/>
                <w:highlight w:val="none"/>
              </w:rPr>
            </w:pPr>
            <w:r>
              <w:rPr>
                <w:rFonts w:hint="eastAsia"/>
                <w:color w:val="auto"/>
                <w:highlight w:val="none"/>
              </w:rPr>
              <w:t>0.69</w:t>
            </w:r>
          </w:p>
        </w:tc>
        <w:tc>
          <w:tcPr>
            <w:tcW w:w="251" w:type="pct"/>
            <w:tcBorders>
              <w:tl2br w:val="nil"/>
              <w:tr2bl w:val="nil"/>
            </w:tcBorders>
            <w:noWrap/>
            <w:vAlign w:val="center"/>
          </w:tcPr>
          <w:p w14:paraId="14E9D31C">
            <w:pPr>
              <w:pStyle w:val="41"/>
              <w:rPr>
                <w:color w:val="auto"/>
                <w:highlight w:val="none"/>
              </w:rPr>
            </w:pPr>
            <w:r>
              <w:rPr>
                <w:rFonts w:hint="eastAsia"/>
                <w:color w:val="auto"/>
                <w:highlight w:val="none"/>
              </w:rPr>
              <w:t>139</w:t>
            </w:r>
          </w:p>
        </w:tc>
        <w:tc>
          <w:tcPr>
            <w:tcW w:w="276" w:type="pct"/>
            <w:tcBorders>
              <w:tl2br w:val="nil"/>
              <w:tr2bl w:val="nil"/>
            </w:tcBorders>
            <w:noWrap/>
            <w:vAlign w:val="center"/>
          </w:tcPr>
          <w:p w14:paraId="6954A5F9">
            <w:pPr>
              <w:pStyle w:val="41"/>
              <w:rPr>
                <w:color w:val="auto"/>
                <w:highlight w:val="none"/>
              </w:rPr>
            </w:pPr>
            <w:r>
              <w:rPr>
                <w:rFonts w:hint="eastAsia"/>
                <w:color w:val="auto"/>
                <w:highlight w:val="none"/>
              </w:rPr>
              <w:t>15.21</w:t>
            </w:r>
          </w:p>
        </w:tc>
        <w:tc>
          <w:tcPr>
            <w:tcW w:w="268" w:type="pct"/>
            <w:tcBorders>
              <w:tl2br w:val="nil"/>
              <w:tr2bl w:val="nil"/>
            </w:tcBorders>
            <w:noWrap/>
            <w:vAlign w:val="center"/>
          </w:tcPr>
          <w:p w14:paraId="6F702243">
            <w:pPr>
              <w:pStyle w:val="41"/>
              <w:rPr>
                <w:color w:val="auto"/>
                <w:highlight w:val="none"/>
              </w:rPr>
            </w:pPr>
            <w:r>
              <w:rPr>
                <w:rFonts w:hint="eastAsia"/>
                <w:color w:val="auto"/>
                <w:highlight w:val="none"/>
              </w:rPr>
              <w:t>82</w:t>
            </w:r>
          </w:p>
        </w:tc>
        <w:tc>
          <w:tcPr>
            <w:tcW w:w="239" w:type="pct"/>
            <w:tcBorders>
              <w:tl2br w:val="nil"/>
              <w:tr2bl w:val="nil"/>
            </w:tcBorders>
            <w:noWrap/>
            <w:vAlign w:val="center"/>
          </w:tcPr>
          <w:p w14:paraId="3BDF5841">
            <w:pPr>
              <w:pStyle w:val="41"/>
              <w:rPr>
                <w:color w:val="auto"/>
                <w:highlight w:val="none"/>
              </w:rPr>
            </w:pPr>
            <w:r>
              <w:rPr>
                <w:rFonts w:hint="eastAsia"/>
                <w:color w:val="auto"/>
                <w:highlight w:val="none"/>
              </w:rPr>
              <w:t>78.02</w:t>
            </w:r>
          </w:p>
        </w:tc>
        <w:tc>
          <w:tcPr>
            <w:tcW w:w="232" w:type="pct"/>
            <w:tcBorders>
              <w:tl2br w:val="nil"/>
              <w:tr2bl w:val="nil"/>
            </w:tcBorders>
            <w:noWrap/>
            <w:vAlign w:val="center"/>
          </w:tcPr>
          <w:p w14:paraId="02498F75">
            <w:pPr>
              <w:pStyle w:val="41"/>
              <w:rPr>
                <w:color w:val="auto"/>
                <w:highlight w:val="none"/>
              </w:rPr>
            </w:pPr>
            <w:r>
              <w:rPr>
                <w:rFonts w:hint="eastAsia"/>
                <w:color w:val="auto"/>
                <w:highlight w:val="none"/>
              </w:rPr>
              <w:t>29</w:t>
            </w:r>
          </w:p>
        </w:tc>
        <w:tc>
          <w:tcPr>
            <w:tcW w:w="275" w:type="pct"/>
            <w:tcBorders>
              <w:tl2br w:val="nil"/>
              <w:tr2bl w:val="nil"/>
            </w:tcBorders>
            <w:noWrap/>
            <w:vAlign w:val="center"/>
          </w:tcPr>
          <w:p w14:paraId="5B1126D0">
            <w:pPr>
              <w:pStyle w:val="41"/>
              <w:rPr>
                <w:color w:val="auto"/>
                <w:highlight w:val="none"/>
              </w:rPr>
            </w:pPr>
            <w:r>
              <w:rPr>
                <w:rFonts w:hint="eastAsia"/>
                <w:color w:val="auto"/>
                <w:highlight w:val="none"/>
              </w:rPr>
              <w:t>6.08</w:t>
            </w:r>
          </w:p>
        </w:tc>
        <w:tc>
          <w:tcPr>
            <w:tcW w:w="242" w:type="pct"/>
            <w:tcBorders>
              <w:tl2br w:val="nil"/>
              <w:tr2bl w:val="nil"/>
            </w:tcBorders>
            <w:noWrap/>
            <w:vAlign w:val="center"/>
          </w:tcPr>
          <w:p w14:paraId="3C0AD2F4">
            <w:pPr>
              <w:pStyle w:val="41"/>
              <w:rPr>
                <w:color w:val="auto"/>
                <w:highlight w:val="none"/>
              </w:rPr>
            </w:pPr>
            <w:r>
              <w:rPr>
                <w:rFonts w:hint="eastAsia"/>
                <w:color w:val="auto"/>
                <w:highlight w:val="none"/>
              </w:rPr>
              <w:t>5L</w:t>
            </w:r>
          </w:p>
        </w:tc>
        <w:tc>
          <w:tcPr>
            <w:tcW w:w="233" w:type="pct"/>
            <w:tcBorders>
              <w:tl2br w:val="nil"/>
              <w:tr2bl w:val="nil"/>
            </w:tcBorders>
            <w:noWrap/>
            <w:vAlign w:val="center"/>
          </w:tcPr>
          <w:p w14:paraId="064BBFDF">
            <w:pPr>
              <w:pStyle w:val="41"/>
              <w:rPr>
                <w:color w:val="auto"/>
                <w:highlight w:val="none"/>
              </w:rPr>
            </w:pPr>
            <w:r>
              <w:rPr>
                <w:rFonts w:hint="eastAsia"/>
                <w:color w:val="auto"/>
                <w:highlight w:val="none"/>
              </w:rPr>
              <w:t>0.17</w:t>
            </w:r>
          </w:p>
        </w:tc>
        <w:tc>
          <w:tcPr>
            <w:tcW w:w="353" w:type="pct"/>
            <w:tcBorders>
              <w:tl2br w:val="nil"/>
              <w:tr2bl w:val="nil"/>
            </w:tcBorders>
            <w:noWrap/>
            <w:vAlign w:val="center"/>
          </w:tcPr>
          <w:p w14:paraId="230C90B3">
            <w:pPr>
              <w:pStyle w:val="41"/>
              <w:rPr>
                <w:color w:val="auto"/>
                <w:highlight w:val="none"/>
              </w:rPr>
            </w:pPr>
            <w:r>
              <w:rPr>
                <w:rFonts w:hint="eastAsia"/>
                <w:color w:val="auto"/>
                <w:highlight w:val="none"/>
              </w:rPr>
              <w:t>129</w:t>
            </w:r>
          </w:p>
        </w:tc>
        <w:tc>
          <w:tcPr>
            <w:tcW w:w="336" w:type="pct"/>
            <w:tcBorders>
              <w:tl2br w:val="nil"/>
              <w:tr2bl w:val="nil"/>
            </w:tcBorders>
            <w:noWrap/>
            <w:vAlign w:val="center"/>
          </w:tcPr>
          <w:p w14:paraId="3417EFD4">
            <w:pPr>
              <w:pStyle w:val="41"/>
              <w:rPr>
                <w:color w:val="auto"/>
                <w:highlight w:val="none"/>
              </w:rPr>
            </w:pPr>
            <w:r>
              <w:rPr>
                <w:rFonts w:hint="eastAsia"/>
                <w:color w:val="auto"/>
                <w:highlight w:val="none"/>
              </w:rPr>
              <w:t>4.40</w:t>
            </w:r>
          </w:p>
        </w:tc>
        <w:tc>
          <w:tcPr>
            <w:tcW w:w="308" w:type="pct"/>
            <w:tcBorders>
              <w:tl2br w:val="nil"/>
              <w:tr2bl w:val="nil"/>
            </w:tcBorders>
            <w:noWrap/>
            <w:vAlign w:val="center"/>
          </w:tcPr>
          <w:p w14:paraId="155878D3">
            <w:pPr>
              <w:pStyle w:val="41"/>
              <w:rPr>
                <w:color w:val="auto"/>
                <w:highlight w:val="none"/>
              </w:rPr>
            </w:pPr>
            <w:r>
              <w:rPr>
                <w:rFonts w:hint="eastAsia"/>
                <w:color w:val="auto"/>
                <w:highlight w:val="none"/>
              </w:rPr>
              <w:t>217</w:t>
            </w:r>
          </w:p>
        </w:tc>
        <w:tc>
          <w:tcPr>
            <w:tcW w:w="339" w:type="pct"/>
            <w:tcBorders>
              <w:tl2br w:val="nil"/>
              <w:tr2bl w:val="nil"/>
            </w:tcBorders>
            <w:noWrap/>
            <w:vAlign w:val="center"/>
          </w:tcPr>
          <w:p w14:paraId="7E200433">
            <w:pPr>
              <w:pStyle w:val="41"/>
              <w:rPr>
                <w:color w:val="auto"/>
                <w:highlight w:val="none"/>
              </w:rPr>
            </w:pPr>
            <w:r>
              <w:rPr>
                <w:rFonts w:hint="eastAsia"/>
                <w:color w:val="auto"/>
                <w:highlight w:val="none"/>
              </w:rPr>
              <w:t>85.21</w:t>
            </w:r>
          </w:p>
        </w:tc>
        <w:tc>
          <w:tcPr>
            <w:tcW w:w="307" w:type="pct"/>
            <w:tcBorders>
              <w:tl2br w:val="nil"/>
              <w:tr2bl w:val="nil"/>
            </w:tcBorders>
            <w:noWrap/>
            <w:vAlign w:val="center"/>
          </w:tcPr>
          <w:p w14:paraId="2D4E18A8">
            <w:pPr>
              <w:pStyle w:val="41"/>
              <w:rPr>
                <w:color w:val="auto"/>
                <w:highlight w:val="none"/>
              </w:rPr>
            </w:pPr>
            <w:r>
              <w:rPr>
                <w:rFonts w:hint="eastAsia"/>
                <w:color w:val="auto"/>
                <w:highlight w:val="none"/>
              </w:rPr>
              <w:t>232</w:t>
            </w:r>
          </w:p>
        </w:tc>
        <w:tc>
          <w:tcPr>
            <w:tcW w:w="325" w:type="pct"/>
            <w:tcBorders>
              <w:tl2br w:val="nil"/>
              <w:tr2bl w:val="nil"/>
            </w:tcBorders>
            <w:noWrap/>
            <w:vAlign w:val="center"/>
          </w:tcPr>
          <w:p w14:paraId="2814AFE3">
            <w:pPr>
              <w:pStyle w:val="41"/>
              <w:rPr>
                <w:color w:val="auto"/>
                <w:highlight w:val="none"/>
              </w:rPr>
            </w:pPr>
            <w:r>
              <w:rPr>
                <w:rFonts w:hint="eastAsia"/>
                <w:color w:val="auto"/>
                <w:highlight w:val="none"/>
              </w:rPr>
              <w:t>10.05</w:t>
            </w:r>
          </w:p>
        </w:tc>
        <w:tc>
          <w:tcPr>
            <w:tcW w:w="382" w:type="pct"/>
            <w:tcBorders>
              <w:tl2br w:val="nil"/>
              <w:tr2bl w:val="nil"/>
            </w:tcBorders>
            <w:noWrap/>
            <w:vAlign w:val="center"/>
          </w:tcPr>
          <w:p w14:paraId="3CAC5C8D">
            <w:pPr>
              <w:pStyle w:val="41"/>
              <w:rPr>
                <w:color w:val="auto"/>
                <w:highlight w:val="none"/>
              </w:rPr>
            </w:pPr>
            <w:r>
              <w:rPr>
                <w:color w:val="auto"/>
                <w:highlight w:val="none"/>
              </w:rPr>
              <w:t>Cl-Ca</w:t>
            </w:r>
          </w:p>
        </w:tc>
      </w:tr>
      <w:tr w14:paraId="07314F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64" w:type="pct"/>
            <w:tcBorders>
              <w:tl2br w:val="nil"/>
              <w:tr2bl w:val="nil"/>
            </w:tcBorders>
            <w:noWrap/>
            <w:vAlign w:val="center"/>
          </w:tcPr>
          <w:p w14:paraId="05E18568">
            <w:pPr>
              <w:pStyle w:val="41"/>
              <w:rPr>
                <w:color w:val="auto"/>
                <w:highlight w:val="none"/>
              </w:rPr>
            </w:pPr>
            <w:r>
              <w:rPr>
                <w:rFonts w:hint="eastAsia"/>
                <w:color w:val="auto"/>
                <w:highlight w:val="none"/>
              </w:rPr>
              <w:t>GW5</w:t>
            </w:r>
          </w:p>
        </w:tc>
        <w:tc>
          <w:tcPr>
            <w:tcW w:w="231" w:type="pct"/>
            <w:tcBorders>
              <w:tl2br w:val="nil"/>
              <w:tr2bl w:val="nil"/>
            </w:tcBorders>
            <w:noWrap/>
            <w:vAlign w:val="center"/>
          </w:tcPr>
          <w:p w14:paraId="37C799F5">
            <w:pPr>
              <w:pStyle w:val="41"/>
              <w:rPr>
                <w:color w:val="auto"/>
                <w:highlight w:val="none"/>
              </w:rPr>
            </w:pPr>
            <w:r>
              <w:rPr>
                <w:rFonts w:hint="eastAsia"/>
                <w:color w:val="auto"/>
                <w:highlight w:val="none"/>
              </w:rPr>
              <w:t>5.16</w:t>
            </w:r>
          </w:p>
        </w:tc>
        <w:tc>
          <w:tcPr>
            <w:tcW w:w="233" w:type="pct"/>
            <w:tcBorders>
              <w:tl2br w:val="nil"/>
              <w:tr2bl w:val="nil"/>
            </w:tcBorders>
            <w:noWrap/>
            <w:vAlign w:val="center"/>
          </w:tcPr>
          <w:p w14:paraId="7F6A282A">
            <w:pPr>
              <w:pStyle w:val="41"/>
              <w:rPr>
                <w:color w:val="auto"/>
                <w:highlight w:val="none"/>
              </w:rPr>
            </w:pPr>
            <w:r>
              <w:rPr>
                <w:rFonts w:hint="eastAsia"/>
                <w:color w:val="auto"/>
                <w:highlight w:val="none"/>
              </w:rPr>
              <w:t>0.33</w:t>
            </w:r>
          </w:p>
        </w:tc>
        <w:tc>
          <w:tcPr>
            <w:tcW w:w="251" w:type="pct"/>
            <w:tcBorders>
              <w:tl2br w:val="nil"/>
              <w:tr2bl w:val="nil"/>
            </w:tcBorders>
            <w:noWrap/>
            <w:vAlign w:val="center"/>
          </w:tcPr>
          <w:p w14:paraId="2693BD22">
            <w:pPr>
              <w:pStyle w:val="41"/>
              <w:rPr>
                <w:color w:val="auto"/>
                <w:highlight w:val="none"/>
              </w:rPr>
            </w:pPr>
            <w:r>
              <w:rPr>
                <w:rFonts w:hint="eastAsia"/>
                <w:color w:val="auto"/>
                <w:highlight w:val="none"/>
              </w:rPr>
              <w:t>153</w:t>
            </w:r>
          </w:p>
        </w:tc>
        <w:tc>
          <w:tcPr>
            <w:tcW w:w="276" w:type="pct"/>
            <w:tcBorders>
              <w:tl2br w:val="nil"/>
              <w:tr2bl w:val="nil"/>
            </w:tcBorders>
            <w:noWrap/>
            <w:vAlign w:val="center"/>
          </w:tcPr>
          <w:p w14:paraId="0CCB8E28">
            <w:pPr>
              <w:pStyle w:val="41"/>
              <w:rPr>
                <w:color w:val="auto"/>
                <w:highlight w:val="none"/>
              </w:rPr>
            </w:pPr>
            <w:r>
              <w:rPr>
                <w:rFonts w:hint="eastAsia"/>
                <w:color w:val="auto"/>
                <w:highlight w:val="none"/>
              </w:rPr>
              <w:t>16.61</w:t>
            </w:r>
          </w:p>
        </w:tc>
        <w:tc>
          <w:tcPr>
            <w:tcW w:w="268" w:type="pct"/>
            <w:tcBorders>
              <w:tl2br w:val="nil"/>
              <w:tr2bl w:val="nil"/>
            </w:tcBorders>
            <w:noWrap/>
            <w:vAlign w:val="center"/>
          </w:tcPr>
          <w:p w14:paraId="78194EF9">
            <w:pPr>
              <w:pStyle w:val="41"/>
              <w:rPr>
                <w:color w:val="auto"/>
                <w:highlight w:val="none"/>
              </w:rPr>
            </w:pPr>
            <w:r>
              <w:rPr>
                <w:rFonts w:hint="eastAsia"/>
                <w:color w:val="auto"/>
                <w:highlight w:val="none"/>
              </w:rPr>
              <w:t>96.4</w:t>
            </w:r>
          </w:p>
        </w:tc>
        <w:tc>
          <w:tcPr>
            <w:tcW w:w="239" w:type="pct"/>
            <w:tcBorders>
              <w:tl2br w:val="nil"/>
              <w:tr2bl w:val="nil"/>
            </w:tcBorders>
            <w:noWrap/>
            <w:vAlign w:val="center"/>
          </w:tcPr>
          <w:p w14:paraId="7DF79A5E">
            <w:pPr>
              <w:pStyle w:val="41"/>
              <w:rPr>
                <w:color w:val="auto"/>
                <w:highlight w:val="none"/>
              </w:rPr>
            </w:pPr>
            <w:r>
              <w:rPr>
                <w:rFonts w:hint="eastAsia"/>
                <w:color w:val="auto"/>
                <w:highlight w:val="none"/>
              </w:rPr>
              <w:t>77.40</w:t>
            </w:r>
          </w:p>
        </w:tc>
        <w:tc>
          <w:tcPr>
            <w:tcW w:w="232" w:type="pct"/>
            <w:tcBorders>
              <w:tl2br w:val="nil"/>
              <w:tr2bl w:val="nil"/>
            </w:tcBorders>
            <w:noWrap/>
            <w:vAlign w:val="center"/>
          </w:tcPr>
          <w:p w14:paraId="1EEA085A">
            <w:pPr>
              <w:pStyle w:val="41"/>
              <w:rPr>
                <w:color w:val="auto"/>
                <w:highlight w:val="none"/>
              </w:rPr>
            </w:pPr>
            <w:r>
              <w:rPr>
                <w:rFonts w:hint="eastAsia"/>
                <w:color w:val="auto"/>
                <w:highlight w:val="none"/>
              </w:rPr>
              <w:t>27.2</w:t>
            </w:r>
          </w:p>
        </w:tc>
        <w:tc>
          <w:tcPr>
            <w:tcW w:w="275" w:type="pct"/>
            <w:tcBorders>
              <w:tl2br w:val="nil"/>
              <w:tr2bl w:val="nil"/>
            </w:tcBorders>
            <w:noWrap/>
            <w:vAlign w:val="center"/>
          </w:tcPr>
          <w:p w14:paraId="134F3672">
            <w:pPr>
              <w:pStyle w:val="41"/>
              <w:rPr>
                <w:color w:val="auto"/>
                <w:highlight w:val="none"/>
              </w:rPr>
            </w:pPr>
            <w:r>
              <w:rPr>
                <w:rFonts w:hint="eastAsia"/>
                <w:color w:val="auto"/>
                <w:highlight w:val="none"/>
              </w:rPr>
              <w:t>5.66</w:t>
            </w:r>
          </w:p>
        </w:tc>
        <w:tc>
          <w:tcPr>
            <w:tcW w:w="242" w:type="pct"/>
            <w:tcBorders>
              <w:tl2br w:val="nil"/>
              <w:tr2bl w:val="nil"/>
            </w:tcBorders>
            <w:noWrap/>
            <w:vAlign w:val="center"/>
          </w:tcPr>
          <w:p w14:paraId="60E86D68">
            <w:pPr>
              <w:pStyle w:val="41"/>
              <w:rPr>
                <w:color w:val="auto"/>
                <w:highlight w:val="none"/>
              </w:rPr>
            </w:pPr>
            <w:r>
              <w:rPr>
                <w:rFonts w:hint="eastAsia"/>
                <w:color w:val="auto"/>
                <w:highlight w:val="none"/>
              </w:rPr>
              <w:t>5L</w:t>
            </w:r>
          </w:p>
        </w:tc>
        <w:tc>
          <w:tcPr>
            <w:tcW w:w="233" w:type="pct"/>
            <w:tcBorders>
              <w:tl2br w:val="nil"/>
              <w:tr2bl w:val="nil"/>
            </w:tcBorders>
            <w:noWrap/>
            <w:vAlign w:val="center"/>
          </w:tcPr>
          <w:p w14:paraId="4FBA1F3F">
            <w:pPr>
              <w:pStyle w:val="41"/>
              <w:rPr>
                <w:color w:val="auto"/>
                <w:highlight w:val="none"/>
              </w:rPr>
            </w:pPr>
            <w:r>
              <w:rPr>
                <w:rFonts w:hint="eastAsia"/>
                <w:color w:val="auto"/>
                <w:highlight w:val="none"/>
              </w:rPr>
              <w:t>0.17</w:t>
            </w:r>
          </w:p>
        </w:tc>
        <w:tc>
          <w:tcPr>
            <w:tcW w:w="353" w:type="pct"/>
            <w:tcBorders>
              <w:tl2br w:val="nil"/>
              <w:tr2bl w:val="nil"/>
            </w:tcBorders>
            <w:noWrap/>
            <w:vAlign w:val="center"/>
          </w:tcPr>
          <w:p w14:paraId="324DA661">
            <w:pPr>
              <w:pStyle w:val="41"/>
              <w:rPr>
                <w:color w:val="auto"/>
                <w:highlight w:val="none"/>
              </w:rPr>
            </w:pPr>
            <w:r>
              <w:rPr>
                <w:rFonts w:hint="eastAsia"/>
                <w:color w:val="auto"/>
                <w:highlight w:val="none"/>
              </w:rPr>
              <w:t>141</w:t>
            </w:r>
          </w:p>
        </w:tc>
        <w:tc>
          <w:tcPr>
            <w:tcW w:w="336" w:type="pct"/>
            <w:tcBorders>
              <w:tl2br w:val="nil"/>
              <w:tr2bl w:val="nil"/>
            </w:tcBorders>
            <w:noWrap/>
            <w:vAlign w:val="center"/>
          </w:tcPr>
          <w:p w14:paraId="67F49FB1">
            <w:pPr>
              <w:pStyle w:val="41"/>
              <w:rPr>
                <w:color w:val="auto"/>
                <w:highlight w:val="none"/>
              </w:rPr>
            </w:pPr>
            <w:r>
              <w:rPr>
                <w:rFonts w:hint="eastAsia"/>
                <w:color w:val="auto"/>
                <w:highlight w:val="none"/>
              </w:rPr>
              <w:t>4.75</w:t>
            </w:r>
          </w:p>
        </w:tc>
        <w:tc>
          <w:tcPr>
            <w:tcW w:w="308" w:type="pct"/>
            <w:tcBorders>
              <w:tl2br w:val="nil"/>
              <w:tr2bl w:val="nil"/>
            </w:tcBorders>
            <w:noWrap/>
            <w:vAlign w:val="center"/>
          </w:tcPr>
          <w:p w14:paraId="2E9F3BF1">
            <w:pPr>
              <w:pStyle w:val="41"/>
              <w:rPr>
                <w:color w:val="auto"/>
                <w:highlight w:val="none"/>
              </w:rPr>
            </w:pPr>
            <w:r>
              <w:rPr>
                <w:rFonts w:hint="eastAsia"/>
                <w:color w:val="auto"/>
                <w:highlight w:val="none"/>
              </w:rPr>
              <w:t>234</w:t>
            </w:r>
          </w:p>
        </w:tc>
        <w:tc>
          <w:tcPr>
            <w:tcW w:w="339" w:type="pct"/>
            <w:tcBorders>
              <w:tl2br w:val="nil"/>
              <w:tr2bl w:val="nil"/>
            </w:tcBorders>
            <w:noWrap/>
            <w:vAlign w:val="center"/>
          </w:tcPr>
          <w:p w14:paraId="2DCB62F2">
            <w:pPr>
              <w:pStyle w:val="41"/>
              <w:rPr>
                <w:color w:val="auto"/>
                <w:highlight w:val="none"/>
              </w:rPr>
            </w:pPr>
            <w:r>
              <w:rPr>
                <w:rFonts w:hint="eastAsia"/>
                <w:color w:val="auto"/>
                <w:highlight w:val="none"/>
              </w:rPr>
              <w:t>84.32</w:t>
            </w:r>
          </w:p>
        </w:tc>
        <w:tc>
          <w:tcPr>
            <w:tcW w:w="307" w:type="pct"/>
            <w:tcBorders>
              <w:tl2br w:val="nil"/>
              <w:tr2bl w:val="nil"/>
            </w:tcBorders>
            <w:noWrap/>
            <w:vAlign w:val="center"/>
          </w:tcPr>
          <w:p w14:paraId="6E9FA1F2">
            <w:pPr>
              <w:pStyle w:val="41"/>
              <w:rPr>
                <w:color w:val="auto"/>
                <w:highlight w:val="none"/>
              </w:rPr>
            </w:pPr>
            <w:r>
              <w:rPr>
                <w:rFonts w:hint="eastAsia"/>
                <w:color w:val="auto"/>
                <w:highlight w:val="none"/>
              </w:rPr>
              <w:t>247</w:t>
            </w:r>
          </w:p>
        </w:tc>
        <w:tc>
          <w:tcPr>
            <w:tcW w:w="325" w:type="pct"/>
            <w:tcBorders>
              <w:tl2br w:val="nil"/>
              <w:tr2bl w:val="nil"/>
            </w:tcBorders>
            <w:noWrap/>
            <w:vAlign w:val="center"/>
          </w:tcPr>
          <w:p w14:paraId="7D14BE6A">
            <w:pPr>
              <w:pStyle w:val="41"/>
              <w:rPr>
                <w:color w:val="auto"/>
                <w:highlight w:val="none"/>
              </w:rPr>
            </w:pPr>
            <w:r>
              <w:rPr>
                <w:rFonts w:hint="eastAsia"/>
                <w:color w:val="auto"/>
                <w:highlight w:val="none"/>
              </w:rPr>
              <w:t>10.58</w:t>
            </w:r>
          </w:p>
        </w:tc>
        <w:tc>
          <w:tcPr>
            <w:tcW w:w="382" w:type="pct"/>
            <w:tcBorders>
              <w:tl2br w:val="nil"/>
              <w:tr2bl w:val="nil"/>
            </w:tcBorders>
            <w:noWrap/>
            <w:vAlign w:val="center"/>
          </w:tcPr>
          <w:p w14:paraId="1FD9F24E">
            <w:pPr>
              <w:pStyle w:val="41"/>
              <w:rPr>
                <w:color w:val="auto"/>
                <w:highlight w:val="none"/>
              </w:rPr>
            </w:pPr>
            <w:r>
              <w:rPr>
                <w:color w:val="auto"/>
                <w:highlight w:val="none"/>
              </w:rPr>
              <w:t>Cl-Ca</w:t>
            </w:r>
          </w:p>
        </w:tc>
      </w:tr>
    </w:tbl>
    <w:p w14:paraId="7E93835B">
      <w:pPr>
        <w:pStyle w:val="3"/>
        <w:ind w:firstLine="480"/>
        <w:rPr>
          <w:color w:val="auto"/>
          <w:highlight w:val="none"/>
          <w:lang w:val="zh-CN"/>
        </w:rPr>
      </w:pPr>
      <w:r>
        <w:rPr>
          <w:color w:val="auto"/>
          <w:highlight w:val="none"/>
          <w:lang w:val="zh-CN"/>
        </w:rPr>
        <w:t>从地下水质量现状评价结果可知：地下水监测井</w:t>
      </w:r>
      <w:r>
        <w:rPr>
          <w:rFonts w:hint="eastAsia"/>
          <w:color w:val="auto"/>
          <w:highlight w:val="none"/>
          <w:lang w:val="en-US" w:eastAsia="zh-CN"/>
        </w:rPr>
        <w:t>各项</w:t>
      </w:r>
      <w:r>
        <w:rPr>
          <w:color w:val="auto"/>
          <w:highlight w:val="none"/>
          <w:lang w:val="zh-CN"/>
        </w:rPr>
        <w:t>监测指标</w:t>
      </w:r>
      <w:r>
        <w:rPr>
          <w:rFonts w:hint="eastAsia"/>
          <w:color w:val="auto"/>
          <w:highlight w:val="none"/>
          <w:lang w:val="en-US" w:eastAsia="zh-CN"/>
        </w:rPr>
        <w:t>均</w:t>
      </w:r>
      <w:r>
        <w:rPr>
          <w:color w:val="auto"/>
          <w:highlight w:val="none"/>
          <w:lang w:val="zh-CN"/>
        </w:rPr>
        <w:t>满足《地下水质量标准》（GB/T14848-2017）中Ⅲ类水标准的要求</w:t>
      </w:r>
      <w:r>
        <w:rPr>
          <w:rFonts w:hint="eastAsia"/>
          <w:color w:val="auto"/>
          <w:highlight w:val="none"/>
          <w:lang w:val="zh-CN"/>
        </w:rPr>
        <w:t>，</w:t>
      </w:r>
      <w:r>
        <w:rPr>
          <w:rFonts w:hint="eastAsia"/>
          <w:color w:val="auto"/>
          <w:highlight w:val="none"/>
          <w:lang w:val="en-US" w:eastAsia="zh-CN"/>
        </w:rPr>
        <w:t>地下水环境质量较好</w:t>
      </w:r>
      <w:r>
        <w:rPr>
          <w:color w:val="auto"/>
          <w:highlight w:val="none"/>
          <w:lang w:val="zh-CN"/>
        </w:rPr>
        <w:t>。</w:t>
      </w:r>
    </w:p>
    <w:p w14:paraId="623EE261">
      <w:pPr>
        <w:ind w:firstLine="480"/>
        <w:rPr>
          <w:color w:val="auto"/>
          <w:highlight w:val="none"/>
        </w:rPr>
        <w:sectPr>
          <w:pgSz w:w="16840" w:h="11900" w:orient="landscape"/>
          <w:pgMar w:top="1560" w:right="1400" w:bottom="1440" w:left="860" w:header="1020" w:footer="673" w:gutter="0"/>
          <w:pgBorders>
            <w:top w:val="none" w:sz="0" w:space="0"/>
            <w:left w:val="none" w:sz="0" w:space="0"/>
            <w:bottom w:val="none" w:sz="0" w:space="0"/>
            <w:right w:val="none" w:sz="0" w:space="0"/>
          </w:pgBorders>
          <w:cols w:space="720" w:num="1"/>
          <w:docGrid w:linePitch="326" w:charSpace="0"/>
        </w:sectPr>
      </w:pPr>
    </w:p>
    <w:p w14:paraId="252F8FBB">
      <w:pPr>
        <w:pStyle w:val="42"/>
        <w:rPr>
          <w:rFonts w:hint="default"/>
          <w:color w:val="auto"/>
          <w:highlight w:val="none"/>
        </w:rPr>
      </w:pPr>
      <w:r>
        <w:rPr>
          <w:rFonts w:hint="default"/>
          <w:color w:val="auto"/>
          <w:highlight w:val="none"/>
        </w:rPr>
        <w:t>声环境质量现状评价</w:t>
      </w:r>
    </w:p>
    <w:p w14:paraId="2CA9B7F3">
      <w:pPr>
        <w:pStyle w:val="3"/>
        <w:ind w:firstLine="480"/>
        <w:rPr>
          <w:color w:val="auto"/>
          <w:highlight w:val="none"/>
        </w:rPr>
      </w:pPr>
      <w:r>
        <w:rPr>
          <w:color w:val="auto"/>
          <w:highlight w:val="none"/>
        </w:rPr>
        <w:t>（1）数据来源</w:t>
      </w:r>
    </w:p>
    <w:p w14:paraId="0602B5E7">
      <w:pPr>
        <w:pStyle w:val="3"/>
        <w:ind w:firstLine="480"/>
        <w:rPr>
          <w:color w:val="auto"/>
          <w:highlight w:val="none"/>
        </w:rPr>
      </w:pPr>
      <w:r>
        <w:rPr>
          <w:rFonts w:hint="eastAsia"/>
          <w:color w:val="auto"/>
          <w:highlight w:val="none"/>
        </w:rPr>
        <w:t>委托</w:t>
      </w:r>
      <w:r>
        <w:rPr>
          <w:color w:val="auto"/>
          <w:highlight w:val="none"/>
        </w:rPr>
        <w:t>新疆锡水金山环境科技有限公司</w:t>
      </w:r>
      <w:r>
        <w:rPr>
          <w:rFonts w:hint="eastAsia"/>
          <w:color w:val="auto"/>
          <w:highlight w:val="none"/>
        </w:rPr>
        <w:t>进行现状</w:t>
      </w:r>
      <w:r>
        <w:rPr>
          <w:color w:val="auto"/>
          <w:highlight w:val="none"/>
        </w:rPr>
        <w:t>监测。</w:t>
      </w:r>
    </w:p>
    <w:p w14:paraId="3109237B">
      <w:pPr>
        <w:pStyle w:val="3"/>
        <w:ind w:firstLine="480"/>
        <w:rPr>
          <w:color w:val="auto"/>
          <w:highlight w:val="none"/>
        </w:rPr>
      </w:pPr>
      <w:r>
        <w:rPr>
          <w:color w:val="auto"/>
          <w:highlight w:val="none"/>
        </w:rPr>
        <w:t>（2）监测项目</w:t>
      </w:r>
    </w:p>
    <w:p w14:paraId="46A2E0E0">
      <w:pPr>
        <w:pStyle w:val="3"/>
        <w:ind w:firstLine="480"/>
        <w:rPr>
          <w:color w:val="auto"/>
          <w:highlight w:val="none"/>
        </w:rPr>
      </w:pPr>
      <w:r>
        <w:rPr>
          <w:color w:val="auto"/>
          <w:highlight w:val="none"/>
        </w:rPr>
        <w:t>昼间、夜间等效A声级。</w:t>
      </w:r>
    </w:p>
    <w:p w14:paraId="7199DE3E">
      <w:pPr>
        <w:pStyle w:val="3"/>
        <w:ind w:firstLine="480"/>
        <w:rPr>
          <w:color w:val="auto"/>
          <w:highlight w:val="none"/>
        </w:rPr>
      </w:pPr>
      <w:r>
        <w:rPr>
          <w:color w:val="auto"/>
          <w:highlight w:val="none"/>
        </w:rPr>
        <w:t>（3）监测时间及频次</w:t>
      </w:r>
    </w:p>
    <w:p w14:paraId="36EFEDCE">
      <w:pPr>
        <w:pStyle w:val="3"/>
        <w:ind w:firstLine="480"/>
        <w:rPr>
          <w:color w:val="auto"/>
          <w:highlight w:val="none"/>
        </w:rPr>
      </w:pPr>
      <w:r>
        <w:rPr>
          <w:color w:val="auto"/>
          <w:highlight w:val="none"/>
        </w:rPr>
        <w:t>202</w:t>
      </w:r>
      <w:r>
        <w:rPr>
          <w:rFonts w:hint="eastAsia"/>
          <w:color w:val="auto"/>
          <w:highlight w:val="none"/>
        </w:rPr>
        <w:t>6</w:t>
      </w:r>
      <w:r>
        <w:rPr>
          <w:color w:val="auto"/>
          <w:highlight w:val="none"/>
        </w:rPr>
        <w:t>年</w:t>
      </w:r>
      <w:r>
        <w:rPr>
          <w:rFonts w:hint="eastAsia"/>
          <w:color w:val="auto"/>
          <w:highlight w:val="none"/>
        </w:rPr>
        <w:t>3</w:t>
      </w:r>
      <w:r>
        <w:rPr>
          <w:color w:val="auto"/>
          <w:highlight w:val="none"/>
        </w:rPr>
        <w:t>月</w:t>
      </w:r>
      <w:r>
        <w:rPr>
          <w:rFonts w:hint="eastAsia"/>
          <w:color w:val="auto"/>
          <w:highlight w:val="none"/>
        </w:rPr>
        <w:t>28</w:t>
      </w:r>
      <w:r>
        <w:rPr>
          <w:color w:val="auto"/>
          <w:highlight w:val="none"/>
        </w:rPr>
        <w:t>日</w:t>
      </w:r>
      <w:r>
        <w:rPr>
          <w:rFonts w:hint="eastAsia"/>
          <w:color w:val="auto"/>
          <w:highlight w:val="none"/>
          <w:lang w:eastAsia="zh-CN"/>
        </w:rPr>
        <w:t>—</w:t>
      </w:r>
      <w:r>
        <w:rPr>
          <w:color w:val="auto"/>
          <w:highlight w:val="none"/>
        </w:rPr>
        <w:t>202</w:t>
      </w:r>
      <w:r>
        <w:rPr>
          <w:rFonts w:hint="eastAsia"/>
          <w:color w:val="auto"/>
          <w:highlight w:val="none"/>
        </w:rPr>
        <w:t>6</w:t>
      </w:r>
      <w:r>
        <w:rPr>
          <w:color w:val="auto"/>
          <w:highlight w:val="none"/>
        </w:rPr>
        <w:t>年</w:t>
      </w:r>
      <w:r>
        <w:rPr>
          <w:rFonts w:hint="eastAsia"/>
          <w:color w:val="auto"/>
          <w:highlight w:val="none"/>
        </w:rPr>
        <w:t>3</w:t>
      </w:r>
      <w:r>
        <w:rPr>
          <w:color w:val="auto"/>
          <w:highlight w:val="none"/>
        </w:rPr>
        <w:t>月</w:t>
      </w:r>
      <w:r>
        <w:rPr>
          <w:rFonts w:hint="eastAsia"/>
          <w:color w:val="auto"/>
          <w:highlight w:val="none"/>
        </w:rPr>
        <w:t>29</w:t>
      </w:r>
      <w:r>
        <w:rPr>
          <w:color w:val="auto"/>
          <w:highlight w:val="none"/>
        </w:rPr>
        <w:t>日，连续2个昼夜，昼间、夜间各1次。</w:t>
      </w:r>
    </w:p>
    <w:p w14:paraId="2D82C64A">
      <w:pPr>
        <w:pStyle w:val="3"/>
        <w:ind w:firstLine="480"/>
        <w:rPr>
          <w:color w:val="auto"/>
          <w:highlight w:val="none"/>
        </w:rPr>
      </w:pPr>
      <w:r>
        <w:rPr>
          <w:color w:val="auto"/>
          <w:highlight w:val="none"/>
        </w:rPr>
        <w:t>（4）评价方法</w:t>
      </w:r>
    </w:p>
    <w:p w14:paraId="0CFDBF2E">
      <w:pPr>
        <w:pStyle w:val="3"/>
        <w:ind w:firstLine="480"/>
        <w:rPr>
          <w:color w:val="auto"/>
          <w:highlight w:val="none"/>
        </w:rPr>
      </w:pPr>
      <w:r>
        <w:rPr>
          <w:color w:val="auto"/>
          <w:highlight w:val="none"/>
        </w:rPr>
        <w:t>比对法。</w:t>
      </w:r>
    </w:p>
    <w:p w14:paraId="7D9C0752">
      <w:pPr>
        <w:pStyle w:val="3"/>
        <w:ind w:firstLine="480"/>
        <w:rPr>
          <w:color w:val="auto"/>
          <w:highlight w:val="none"/>
        </w:rPr>
      </w:pPr>
      <w:r>
        <w:rPr>
          <w:color w:val="auto"/>
          <w:highlight w:val="none"/>
        </w:rPr>
        <w:t>（5）执行标准</w:t>
      </w:r>
    </w:p>
    <w:p w14:paraId="65D1DD28">
      <w:pPr>
        <w:pStyle w:val="3"/>
        <w:ind w:firstLine="480"/>
        <w:rPr>
          <w:color w:val="auto"/>
          <w:highlight w:val="none"/>
        </w:rPr>
      </w:pPr>
      <w:r>
        <w:rPr>
          <w:color w:val="auto"/>
          <w:highlight w:val="none"/>
        </w:rPr>
        <w:t>项目区及周边执行《声环境质量标准》（GB3096-2008）</w:t>
      </w:r>
      <w:r>
        <w:rPr>
          <w:rFonts w:hint="eastAsia"/>
          <w:color w:val="auto"/>
          <w:highlight w:val="none"/>
        </w:rPr>
        <w:t>2</w:t>
      </w:r>
      <w:r>
        <w:rPr>
          <w:color w:val="auto"/>
          <w:highlight w:val="none"/>
        </w:rPr>
        <w:t>类标准。</w:t>
      </w:r>
    </w:p>
    <w:p w14:paraId="3F1E37D9">
      <w:pPr>
        <w:pStyle w:val="3"/>
        <w:ind w:firstLine="480"/>
        <w:rPr>
          <w:color w:val="auto"/>
          <w:highlight w:val="none"/>
        </w:rPr>
      </w:pPr>
      <w:r>
        <w:rPr>
          <w:color w:val="auto"/>
          <w:highlight w:val="none"/>
        </w:rPr>
        <w:t>（6）监测结果与分析评价</w:t>
      </w:r>
    </w:p>
    <w:p w14:paraId="05516464">
      <w:pPr>
        <w:pStyle w:val="40"/>
        <w:rPr>
          <w:color w:val="auto"/>
          <w:highlight w:val="none"/>
        </w:rPr>
      </w:pPr>
      <w:r>
        <w:rPr>
          <w:color w:val="auto"/>
          <w:highlight w:val="none"/>
        </w:rPr>
        <w:t>表4.2-</w:t>
      </w:r>
      <w:r>
        <w:rPr>
          <w:rFonts w:hint="eastAsia"/>
          <w:color w:val="auto"/>
          <w:highlight w:val="none"/>
        </w:rPr>
        <w:t>9</w:t>
      </w:r>
      <w:r>
        <w:rPr>
          <w:color w:val="auto"/>
          <w:highlight w:val="none"/>
        </w:rPr>
        <w:t xml:space="preserve"> </w:t>
      </w:r>
      <w:r>
        <w:rPr>
          <w:rFonts w:hint="eastAsia"/>
          <w:color w:val="auto"/>
          <w:highlight w:val="none"/>
        </w:rPr>
        <w:t xml:space="preserve">    </w:t>
      </w:r>
      <w:r>
        <w:rPr>
          <w:color w:val="auto"/>
          <w:highlight w:val="none"/>
        </w:rPr>
        <w:t xml:space="preserve"> 声环境现状监测结果   单位dB（A）</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2323"/>
        <w:gridCol w:w="937"/>
        <w:gridCol w:w="904"/>
        <w:gridCol w:w="959"/>
        <w:gridCol w:w="821"/>
        <w:gridCol w:w="773"/>
        <w:gridCol w:w="1033"/>
      </w:tblGrid>
      <w:tr w14:paraId="179088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 w:type="pct"/>
            <w:vMerge w:val="restart"/>
            <w:tcBorders>
              <w:tl2br w:val="nil"/>
              <w:tr2bl w:val="nil"/>
            </w:tcBorders>
            <w:vAlign w:val="center"/>
          </w:tcPr>
          <w:p w14:paraId="1E84FAAA">
            <w:pPr>
              <w:pStyle w:val="41"/>
              <w:rPr>
                <w:color w:val="auto"/>
                <w:highlight w:val="none"/>
              </w:rPr>
            </w:pPr>
            <w:r>
              <w:rPr>
                <w:color w:val="auto"/>
                <w:highlight w:val="none"/>
              </w:rPr>
              <w:t>监测日期</w:t>
            </w:r>
          </w:p>
        </w:tc>
        <w:tc>
          <w:tcPr>
            <w:tcW w:w="1364" w:type="pct"/>
            <w:vMerge w:val="restart"/>
            <w:tcBorders>
              <w:tl2br w:val="nil"/>
              <w:tr2bl w:val="nil"/>
            </w:tcBorders>
            <w:vAlign w:val="center"/>
          </w:tcPr>
          <w:p w14:paraId="6E911748">
            <w:pPr>
              <w:pStyle w:val="41"/>
              <w:rPr>
                <w:color w:val="auto"/>
                <w:highlight w:val="none"/>
              </w:rPr>
            </w:pPr>
            <w:r>
              <w:rPr>
                <w:color w:val="auto"/>
                <w:highlight w:val="none"/>
              </w:rPr>
              <w:t>监测点位</w:t>
            </w:r>
          </w:p>
        </w:tc>
        <w:tc>
          <w:tcPr>
            <w:tcW w:w="1644" w:type="pct"/>
            <w:gridSpan w:val="3"/>
            <w:tcBorders>
              <w:tl2br w:val="nil"/>
              <w:tr2bl w:val="nil"/>
            </w:tcBorders>
            <w:vAlign w:val="center"/>
          </w:tcPr>
          <w:p w14:paraId="4F3728F4">
            <w:pPr>
              <w:pStyle w:val="41"/>
              <w:rPr>
                <w:color w:val="auto"/>
                <w:highlight w:val="none"/>
              </w:rPr>
            </w:pPr>
            <w:r>
              <w:rPr>
                <w:rFonts w:hint="eastAsia"/>
                <w:color w:val="auto"/>
                <w:highlight w:val="none"/>
              </w:rPr>
              <w:t>夜</w:t>
            </w:r>
            <w:r>
              <w:rPr>
                <w:color w:val="auto"/>
                <w:highlight w:val="none"/>
              </w:rPr>
              <w:t>间</w:t>
            </w:r>
          </w:p>
        </w:tc>
        <w:tc>
          <w:tcPr>
            <w:tcW w:w="1542" w:type="pct"/>
            <w:gridSpan w:val="3"/>
            <w:tcBorders>
              <w:tl2br w:val="nil"/>
              <w:tr2bl w:val="nil"/>
            </w:tcBorders>
            <w:vAlign w:val="center"/>
          </w:tcPr>
          <w:p w14:paraId="122B05F7">
            <w:pPr>
              <w:pStyle w:val="41"/>
              <w:rPr>
                <w:color w:val="auto"/>
                <w:highlight w:val="none"/>
              </w:rPr>
            </w:pPr>
            <w:r>
              <w:rPr>
                <w:rFonts w:hint="eastAsia"/>
                <w:color w:val="auto"/>
                <w:highlight w:val="none"/>
              </w:rPr>
              <w:t>昼间</w:t>
            </w:r>
          </w:p>
        </w:tc>
      </w:tr>
      <w:tr w14:paraId="4A99E5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 w:type="pct"/>
            <w:vMerge w:val="continue"/>
            <w:tcBorders>
              <w:tl2br w:val="nil"/>
              <w:tr2bl w:val="nil"/>
            </w:tcBorders>
            <w:vAlign w:val="center"/>
          </w:tcPr>
          <w:p w14:paraId="1EDA4A06">
            <w:pPr>
              <w:pStyle w:val="41"/>
              <w:rPr>
                <w:color w:val="auto"/>
                <w:highlight w:val="none"/>
              </w:rPr>
            </w:pPr>
          </w:p>
        </w:tc>
        <w:tc>
          <w:tcPr>
            <w:tcW w:w="1364" w:type="pct"/>
            <w:vMerge w:val="continue"/>
            <w:tcBorders>
              <w:tl2br w:val="nil"/>
              <w:tr2bl w:val="nil"/>
            </w:tcBorders>
            <w:vAlign w:val="center"/>
          </w:tcPr>
          <w:p w14:paraId="375684B9">
            <w:pPr>
              <w:pStyle w:val="41"/>
              <w:rPr>
                <w:color w:val="auto"/>
                <w:highlight w:val="none"/>
              </w:rPr>
            </w:pPr>
          </w:p>
        </w:tc>
        <w:tc>
          <w:tcPr>
            <w:tcW w:w="550" w:type="pct"/>
            <w:tcBorders>
              <w:tl2br w:val="nil"/>
              <w:tr2bl w:val="nil"/>
            </w:tcBorders>
            <w:vAlign w:val="center"/>
          </w:tcPr>
          <w:p w14:paraId="0D2E7E0F">
            <w:pPr>
              <w:pStyle w:val="41"/>
              <w:rPr>
                <w:color w:val="auto"/>
                <w:highlight w:val="none"/>
              </w:rPr>
            </w:pPr>
            <w:r>
              <w:rPr>
                <w:color w:val="auto"/>
                <w:highlight w:val="none"/>
              </w:rPr>
              <w:t>监测值</w:t>
            </w:r>
          </w:p>
        </w:tc>
        <w:tc>
          <w:tcPr>
            <w:tcW w:w="531" w:type="pct"/>
            <w:tcBorders>
              <w:tl2br w:val="nil"/>
              <w:tr2bl w:val="nil"/>
            </w:tcBorders>
            <w:vAlign w:val="center"/>
          </w:tcPr>
          <w:p w14:paraId="4BA6B88D">
            <w:pPr>
              <w:pStyle w:val="41"/>
              <w:rPr>
                <w:color w:val="auto"/>
                <w:highlight w:val="none"/>
              </w:rPr>
            </w:pPr>
            <w:r>
              <w:rPr>
                <w:color w:val="auto"/>
                <w:highlight w:val="none"/>
              </w:rPr>
              <w:t>标准限值</w:t>
            </w:r>
          </w:p>
        </w:tc>
        <w:tc>
          <w:tcPr>
            <w:tcW w:w="562" w:type="pct"/>
            <w:tcBorders>
              <w:tl2br w:val="nil"/>
              <w:tr2bl w:val="nil"/>
            </w:tcBorders>
            <w:vAlign w:val="center"/>
          </w:tcPr>
          <w:p w14:paraId="5602CE6A">
            <w:pPr>
              <w:pStyle w:val="41"/>
              <w:rPr>
                <w:color w:val="auto"/>
                <w:highlight w:val="none"/>
              </w:rPr>
            </w:pPr>
            <w:r>
              <w:rPr>
                <w:color w:val="auto"/>
                <w:highlight w:val="none"/>
              </w:rPr>
              <w:t>达标情况</w:t>
            </w:r>
          </w:p>
        </w:tc>
        <w:tc>
          <w:tcPr>
            <w:tcW w:w="482" w:type="pct"/>
            <w:tcBorders>
              <w:tl2br w:val="nil"/>
              <w:tr2bl w:val="nil"/>
            </w:tcBorders>
            <w:vAlign w:val="center"/>
          </w:tcPr>
          <w:p w14:paraId="44B5A681">
            <w:pPr>
              <w:pStyle w:val="41"/>
              <w:rPr>
                <w:color w:val="auto"/>
                <w:highlight w:val="none"/>
              </w:rPr>
            </w:pPr>
            <w:r>
              <w:rPr>
                <w:color w:val="auto"/>
                <w:highlight w:val="none"/>
              </w:rPr>
              <w:t>监测值</w:t>
            </w:r>
          </w:p>
        </w:tc>
        <w:tc>
          <w:tcPr>
            <w:tcW w:w="454" w:type="pct"/>
            <w:tcBorders>
              <w:tl2br w:val="nil"/>
              <w:tr2bl w:val="nil"/>
            </w:tcBorders>
            <w:vAlign w:val="center"/>
          </w:tcPr>
          <w:p w14:paraId="07C16F38">
            <w:pPr>
              <w:pStyle w:val="41"/>
              <w:rPr>
                <w:color w:val="auto"/>
                <w:highlight w:val="none"/>
              </w:rPr>
            </w:pPr>
            <w:r>
              <w:rPr>
                <w:color w:val="auto"/>
                <w:highlight w:val="none"/>
              </w:rPr>
              <w:t>标准限值</w:t>
            </w:r>
          </w:p>
        </w:tc>
        <w:tc>
          <w:tcPr>
            <w:tcW w:w="604" w:type="pct"/>
            <w:tcBorders>
              <w:tl2br w:val="nil"/>
              <w:tr2bl w:val="nil"/>
            </w:tcBorders>
            <w:vAlign w:val="center"/>
          </w:tcPr>
          <w:p w14:paraId="22D46E58">
            <w:pPr>
              <w:pStyle w:val="41"/>
              <w:rPr>
                <w:color w:val="auto"/>
                <w:highlight w:val="none"/>
              </w:rPr>
            </w:pPr>
            <w:r>
              <w:rPr>
                <w:color w:val="auto"/>
                <w:highlight w:val="none"/>
              </w:rPr>
              <w:t>达标情况</w:t>
            </w:r>
          </w:p>
        </w:tc>
      </w:tr>
      <w:tr w14:paraId="15124E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 w:type="pct"/>
            <w:vMerge w:val="restart"/>
            <w:tcBorders>
              <w:tl2br w:val="nil"/>
              <w:tr2bl w:val="nil"/>
            </w:tcBorders>
            <w:vAlign w:val="center"/>
          </w:tcPr>
          <w:p w14:paraId="0D14E69F">
            <w:pPr>
              <w:pStyle w:val="41"/>
              <w:rPr>
                <w:color w:val="auto"/>
                <w:highlight w:val="none"/>
              </w:rPr>
            </w:pPr>
            <w:r>
              <w:rPr>
                <w:color w:val="auto"/>
                <w:highlight w:val="none"/>
              </w:rPr>
              <w:t>202</w:t>
            </w:r>
            <w:r>
              <w:rPr>
                <w:rFonts w:hint="eastAsia"/>
                <w:color w:val="auto"/>
                <w:highlight w:val="none"/>
              </w:rPr>
              <w:t>6</w:t>
            </w:r>
            <w:r>
              <w:rPr>
                <w:color w:val="auto"/>
                <w:highlight w:val="none"/>
              </w:rPr>
              <w:t>年</w:t>
            </w:r>
            <w:r>
              <w:rPr>
                <w:rFonts w:hint="eastAsia"/>
                <w:color w:val="auto"/>
                <w:highlight w:val="none"/>
              </w:rPr>
              <w:t>3</w:t>
            </w:r>
            <w:r>
              <w:rPr>
                <w:color w:val="auto"/>
                <w:highlight w:val="none"/>
              </w:rPr>
              <w:t>月</w:t>
            </w:r>
            <w:r>
              <w:rPr>
                <w:rFonts w:hint="eastAsia"/>
                <w:color w:val="auto"/>
                <w:highlight w:val="none"/>
              </w:rPr>
              <w:t>28日</w:t>
            </w:r>
          </w:p>
        </w:tc>
        <w:tc>
          <w:tcPr>
            <w:tcW w:w="1364" w:type="pct"/>
            <w:tcBorders>
              <w:tl2br w:val="nil"/>
              <w:tr2bl w:val="nil"/>
            </w:tcBorders>
            <w:vAlign w:val="center"/>
          </w:tcPr>
          <w:p w14:paraId="75E01B3B">
            <w:pPr>
              <w:pStyle w:val="41"/>
              <w:rPr>
                <w:color w:val="auto"/>
                <w:highlight w:val="none"/>
              </w:rPr>
            </w:pPr>
            <w:r>
              <w:rPr>
                <w:color w:val="auto"/>
                <w:highlight w:val="none"/>
              </w:rPr>
              <w:t>项目区东侧</w:t>
            </w:r>
            <w:r>
              <w:rPr>
                <w:rFonts w:hint="eastAsia"/>
                <w:color w:val="auto"/>
                <w:highlight w:val="none"/>
              </w:rPr>
              <w:t>外1m</w:t>
            </w:r>
            <w:r>
              <w:rPr>
                <w:color w:val="auto"/>
                <w:highlight w:val="none"/>
              </w:rPr>
              <w:t>1#</w:t>
            </w:r>
          </w:p>
        </w:tc>
        <w:tc>
          <w:tcPr>
            <w:tcW w:w="550" w:type="pct"/>
            <w:tcBorders>
              <w:tl2br w:val="nil"/>
              <w:tr2bl w:val="nil"/>
            </w:tcBorders>
            <w:vAlign w:val="center"/>
          </w:tcPr>
          <w:p w14:paraId="31818C7D">
            <w:pPr>
              <w:pStyle w:val="41"/>
              <w:rPr>
                <w:color w:val="auto"/>
                <w:highlight w:val="none"/>
              </w:rPr>
            </w:pPr>
            <w:r>
              <w:rPr>
                <w:rFonts w:hint="eastAsia"/>
                <w:color w:val="auto"/>
                <w:highlight w:val="none"/>
              </w:rPr>
              <w:t>40</w:t>
            </w:r>
          </w:p>
        </w:tc>
        <w:tc>
          <w:tcPr>
            <w:tcW w:w="531" w:type="pct"/>
            <w:tcBorders>
              <w:tl2br w:val="nil"/>
              <w:tr2bl w:val="nil"/>
            </w:tcBorders>
            <w:vAlign w:val="center"/>
          </w:tcPr>
          <w:p w14:paraId="51F75A2C">
            <w:pPr>
              <w:pStyle w:val="41"/>
              <w:rPr>
                <w:color w:val="auto"/>
                <w:highlight w:val="none"/>
              </w:rPr>
            </w:pPr>
            <w:r>
              <w:rPr>
                <w:rFonts w:hint="eastAsia"/>
                <w:color w:val="auto"/>
                <w:highlight w:val="none"/>
              </w:rPr>
              <w:t>60</w:t>
            </w:r>
          </w:p>
        </w:tc>
        <w:tc>
          <w:tcPr>
            <w:tcW w:w="562" w:type="pct"/>
            <w:tcBorders>
              <w:tl2br w:val="nil"/>
              <w:tr2bl w:val="nil"/>
            </w:tcBorders>
            <w:vAlign w:val="center"/>
          </w:tcPr>
          <w:p w14:paraId="194B1DC2">
            <w:pPr>
              <w:pStyle w:val="41"/>
              <w:rPr>
                <w:color w:val="auto"/>
                <w:highlight w:val="none"/>
              </w:rPr>
            </w:pPr>
            <w:r>
              <w:rPr>
                <w:color w:val="auto"/>
                <w:highlight w:val="none"/>
              </w:rPr>
              <w:t>达标</w:t>
            </w:r>
          </w:p>
        </w:tc>
        <w:tc>
          <w:tcPr>
            <w:tcW w:w="482" w:type="pct"/>
            <w:tcBorders>
              <w:tl2br w:val="nil"/>
              <w:tr2bl w:val="nil"/>
            </w:tcBorders>
            <w:vAlign w:val="center"/>
          </w:tcPr>
          <w:p w14:paraId="71C151CC">
            <w:pPr>
              <w:pStyle w:val="41"/>
              <w:rPr>
                <w:color w:val="auto"/>
                <w:highlight w:val="none"/>
              </w:rPr>
            </w:pPr>
            <w:r>
              <w:rPr>
                <w:rFonts w:hint="eastAsia"/>
                <w:color w:val="auto"/>
                <w:highlight w:val="none"/>
              </w:rPr>
              <w:t>43</w:t>
            </w:r>
          </w:p>
        </w:tc>
        <w:tc>
          <w:tcPr>
            <w:tcW w:w="454" w:type="pct"/>
            <w:tcBorders>
              <w:tl2br w:val="nil"/>
              <w:tr2bl w:val="nil"/>
            </w:tcBorders>
            <w:vAlign w:val="center"/>
          </w:tcPr>
          <w:p w14:paraId="206BF366">
            <w:pPr>
              <w:pStyle w:val="41"/>
              <w:rPr>
                <w:color w:val="auto"/>
                <w:highlight w:val="none"/>
              </w:rPr>
            </w:pPr>
            <w:r>
              <w:rPr>
                <w:color w:val="auto"/>
                <w:highlight w:val="none"/>
              </w:rPr>
              <w:t>5</w:t>
            </w:r>
            <w:r>
              <w:rPr>
                <w:rFonts w:hint="eastAsia"/>
                <w:color w:val="auto"/>
                <w:highlight w:val="none"/>
              </w:rPr>
              <w:t>0</w:t>
            </w:r>
          </w:p>
        </w:tc>
        <w:tc>
          <w:tcPr>
            <w:tcW w:w="604" w:type="pct"/>
            <w:tcBorders>
              <w:tl2br w:val="nil"/>
              <w:tr2bl w:val="nil"/>
            </w:tcBorders>
            <w:vAlign w:val="center"/>
          </w:tcPr>
          <w:p w14:paraId="6865664C">
            <w:pPr>
              <w:pStyle w:val="41"/>
              <w:rPr>
                <w:color w:val="auto"/>
                <w:highlight w:val="none"/>
              </w:rPr>
            </w:pPr>
            <w:r>
              <w:rPr>
                <w:color w:val="auto"/>
                <w:highlight w:val="none"/>
              </w:rPr>
              <w:t>达标</w:t>
            </w:r>
          </w:p>
        </w:tc>
      </w:tr>
      <w:tr w14:paraId="7DA253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 w:type="pct"/>
            <w:vMerge w:val="continue"/>
            <w:tcBorders>
              <w:tl2br w:val="nil"/>
              <w:tr2bl w:val="nil"/>
            </w:tcBorders>
            <w:vAlign w:val="center"/>
          </w:tcPr>
          <w:p w14:paraId="7A49E7EB">
            <w:pPr>
              <w:pStyle w:val="41"/>
              <w:rPr>
                <w:color w:val="auto"/>
                <w:highlight w:val="none"/>
              </w:rPr>
            </w:pPr>
          </w:p>
        </w:tc>
        <w:tc>
          <w:tcPr>
            <w:tcW w:w="1364" w:type="pct"/>
            <w:tcBorders>
              <w:tl2br w:val="nil"/>
              <w:tr2bl w:val="nil"/>
            </w:tcBorders>
            <w:vAlign w:val="center"/>
          </w:tcPr>
          <w:p w14:paraId="00532B58">
            <w:pPr>
              <w:pStyle w:val="41"/>
              <w:rPr>
                <w:color w:val="auto"/>
                <w:highlight w:val="none"/>
              </w:rPr>
            </w:pPr>
            <w:r>
              <w:rPr>
                <w:color w:val="auto"/>
                <w:highlight w:val="none"/>
              </w:rPr>
              <w:t>项目区西侧外1m2#</w:t>
            </w:r>
          </w:p>
        </w:tc>
        <w:tc>
          <w:tcPr>
            <w:tcW w:w="550" w:type="pct"/>
            <w:tcBorders>
              <w:tl2br w:val="nil"/>
              <w:tr2bl w:val="nil"/>
            </w:tcBorders>
            <w:vAlign w:val="center"/>
          </w:tcPr>
          <w:p w14:paraId="11B283F2">
            <w:pPr>
              <w:pStyle w:val="41"/>
              <w:rPr>
                <w:color w:val="auto"/>
                <w:highlight w:val="none"/>
              </w:rPr>
            </w:pPr>
            <w:r>
              <w:rPr>
                <w:rFonts w:hint="eastAsia"/>
                <w:color w:val="auto"/>
                <w:highlight w:val="none"/>
              </w:rPr>
              <w:t>41</w:t>
            </w:r>
          </w:p>
        </w:tc>
        <w:tc>
          <w:tcPr>
            <w:tcW w:w="531" w:type="pct"/>
            <w:tcBorders>
              <w:tl2br w:val="nil"/>
              <w:tr2bl w:val="nil"/>
            </w:tcBorders>
            <w:vAlign w:val="center"/>
          </w:tcPr>
          <w:p w14:paraId="087C9E81">
            <w:pPr>
              <w:pStyle w:val="41"/>
              <w:rPr>
                <w:color w:val="auto"/>
                <w:highlight w:val="none"/>
              </w:rPr>
            </w:pPr>
            <w:r>
              <w:rPr>
                <w:rFonts w:hint="eastAsia"/>
                <w:color w:val="auto"/>
                <w:highlight w:val="none"/>
              </w:rPr>
              <w:t>60</w:t>
            </w:r>
          </w:p>
        </w:tc>
        <w:tc>
          <w:tcPr>
            <w:tcW w:w="562" w:type="pct"/>
            <w:tcBorders>
              <w:tl2br w:val="nil"/>
              <w:tr2bl w:val="nil"/>
            </w:tcBorders>
            <w:vAlign w:val="center"/>
          </w:tcPr>
          <w:p w14:paraId="2FD97690">
            <w:pPr>
              <w:pStyle w:val="41"/>
              <w:rPr>
                <w:color w:val="auto"/>
                <w:highlight w:val="none"/>
              </w:rPr>
            </w:pPr>
            <w:r>
              <w:rPr>
                <w:color w:val="auto"/>
                <w:highlight w:val="none"/>
              </w:rPr>
              <w:t>达标</w:t>
            </w:r>
          </w:p>
        </w:tc>
        <w:tc>
          <w:tcPr>
            <w:tcW w:w="482" w:type="pct"/>
            <w:tcBorders>
              <w:tl2br w:val="nil"/>
              <w:tr2bl w:val="nil"/>
            </w:tcBorders>
            <w:vAlign w:val="center"/>
          </w:tcPr>
          <w:p w14:paraId="44A64B15">
            <w:pPr>
              <w:pStyle w:val="41"/>
              <w:rPr>
                <w:color w:val="auto"/>
                <w:highlight w:val="none"/>
              </w:rPr>
            </w:pPr>
            <w:r>
              <w:rPr>
                <w:rFonts w:hint="eastAsia"/>
                <w:color w:val="auto"/>
                <w:highlight w:val="none"/>
              </w:rPr>
              <w:t>44</w:t>
            </w:r>
          </w:p>
        </w:tc>
        <w:tc>
          <w:tcPr>
            <w:tcW w:w="454" w:type="pct"/>
            <w:tcBorders>
              <w:tl2br w:val="nil"/>
              <w:tr2bl w:val="nil"/>
            </w:tcBorders>
            <w:vAlign w:val="center"/>
          </w:tcPr>
          <w:p w14:paraId="3A9B4FB4">
            <w:pPr>
              <w:pStyle w:val="41"/>
              <w:rPr>
                <w:color w:val="auto"/>
                <w:highlight w:val="none"/>
              </w:rPr>
            </w:pPr>
            <w:r>
              <w:rPr>
                <w:color w:val="auto"/>
                <w:highlight w:val="none"/>
              </w:rPr>
              <w:t>5</w:t>
            </w:r>
            <w:r>
              <w:rPr>
                <w:rFonts w:hint="eastAsia"/>
                <w:color w:val="auto"/>
                <w:highlight w:val="none"/>
              </w:rPr>
              <w:t>0</w:t>
            </w:r>
          </w:p>
        </w:tc>
        <w:tc>
          <w:tcPr>
            <w:tcW w:w="604" w:type="pct"/>
            <w:tcBorders>
              <w:tl2br w:val="nil"/>
              <w:tr2bl w:val="nil"/>
            </w:tcBorders>
            <w:vAlign w:val="center"/>
          </w:tcPr>
          <w:p w14:paraId="734D7585">
            <w:pPr>
              <w:pStyle w:val="41"/>
              <w:rPr>
                <w:color w:val="auto"/>
                <w:highlight w:val="none"/>
              </w:rPr>
            </w:pPr>
            <w:r>
              <w:rPr>
                <w:color w:val="auto"/>
                <w:highlight w:val="none"/>
              </w:rPr>
              <w:t>达标</w:t>
            </w:r>
          </w:p>
        </w:tc>
      </w:tr>
      <w:tr w14:paraId="49D9CE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 w:type="pct"/>
            <w:vMerge w:val="continue"/>
            <w:tcBorders>
              <w:tl2br w:val="nil"/>
              <w:tr2bl w:val="nil"/>
            </w:tcBorders>
            <w:vAlign w:val="center"/>
          </w:tcPr>
          <w:p w14:paraId="577B42A7">
            <w:pPr>
              <w:pStyle w:val="41"/>
              <w:rPr>
                <w:color w:val="auto"/>
                <w:highlight w:val="none"/>
              </w:rPr>
            </w:pPr>
          </w:p>
        </w:tc>
        <w:tc>
          <w:tcPr>
            <w:tcW w:w="1364" w:type="pct"/>
            <w:tcBorders>
              <w:tl2br w:val="nil"/>
              <w:tr2bl w:val="nil"/>
            </w:tcBorders>
            <w:vAlign w:val="center"/>
          </w:tcPr>
          <w:p w14:paraId="2EB8F57C">
            <w:pPr>
              <w:pStyle w:val="41"/>
              <w:rPr>
                <w:color w:val="auto"/>
                <w:highlight w:val="none"/>
              </w:rPr>
            </w:pPr>
            <w:r>
              <w:rPr>
                <w:color w:val="auto"/>
                <w:highlight w:val="none"/>
              </w:rPr>
              <w:t>项目区南侧外1m3#</w:t>
            </w:r>
          </w:p>
        </w:tc>
        <w:tc>
          <w:tcPr>
            <w:tcW w:w="550" w:type="pct"/>
            <w:tcBorders>
              <w:tl2br w:val="nil"/>
              <w:tr2bl w:val="nil"/>
            </w:tcBorders>
            <w:vAlign w:val="center"/>
          </w:tcPr>
          <w:p w14:paraId="08AE5058">
            <w:pPr>
              <w:pStyle w:val="41"/>
              <w:rPr>
                <w:color w:val="auto"/>
                <w:highlight w:val="none"/>
              </w:rPr>
            </w:pPr>
            <w:r>
              <w:rPr>
                <w:rFonts w:hint="eastAsia"/>
                <w:color w:val="auto"/>
                <w:highlight w:val="none"/>
              </w:rPr>
              <w:t>39</w:t>
            </w:r>
          </w:p>
        </w:tc>
        <w:tc>
          <w:tcPr>
            <w:tcW w:w="531" w:type="pct"/>
            <w:tcBorders>
              <w:tl2br w:val="nil"/>
              <w:tr2bl w:val="nil"/>
            </w:tcBorders>
            <w:vAlign w:val="center"/>
          </w:tcPr>
          <w:p w14:paraId="224CFF96">
            <w:pPr>
              <w:pStyle w:val="41"/>
              <w:rPr>
                <w:color w:val="auto"/>
                <w:highlight w:val="none"/>
              </w:rPr>
            </w:pPr>
            <w:r>
              <w:rPr>
                <w:rFonts w:hint="eastAsia"/>
                <w:color w:val="auto"/>
                <w:highlight w:val="none"/>
              </w:rPr>
              <w:t>60</w:t>
            </w:r>
          </w:p>
        </w:tc>
        <w:tc>
          <w:tcPr>
            <w:tcW w:w="562" w:type="pct"/>
            <w:tcBorders>
              <w:tl2br w:val="nil"/>
              <w:tr2bl w:val="nil"/>
            </w:tcBorders>
            <w:vAlign w:val="center"/>
          </w:tcPr>
          <w:p w14:paraId="7EF5D922">
            <w:pPr>
              <w:pStyle w:val="41"/>
              <w:rPr>
                <w:color w:val="auto"/>
                <w:highlight w:val="none"/>
              </w:rPr>
            </w:pPr>
            <w:r>
              <w:rPr>
                <w:color w:val="auto"/>
                <w:highlight w:val="none"/>
              </w:rPr>
              <w:t>达标</w:t>
            </w:r>
          </w:p>
        </w:tc>
        <w:tc>
          <w:tcPr>
            <w:tcW w:w="482" w:type="pct"/>
            <w:tcBorders>
              <w:tl2br w:val="nil"/>
              <w:tr2bl w:val="nil"/>
            </w:tcBorders>
            <w:vAlign w:val="center"/>
          </w:tcPr>
          <w:p w14:paraId="3897DDAB">
            <w:pPr>
              <w:pStyle w:val="41"/>
              <w:rPr>
                <w:color w:val="auto"/>
                <w:highlight w:val="none"/>
              </w:rPr>
            </w:pPr>
            <w:r>
              <w:rPr>
                <w:rFonts w:hint="eastAsia"/>
                <w:color w:val="auto"/>
                <w:highlight w:val="none"/>
              </w:rPr>
              <w:t>43</w:t>
            </w:r>
          </w:p>
        </w:tc>
        <w:tc>
          <w:tcPr>
            <w:tcW w:w="454" w:type="pct"/>
            <w:tcBorders>
              <w:tl2br w:val="nil"/>
              <w:tr2bl w:val="nil"/>
            </w:tcBorders>
            <w:vAlign w:val="center"/>
          </w:tcPr>
          <w:p w14:paraId="351FCDC0">
            <w:pPr>
              <w:pStyle w:val="41"/>
              <w:rPr>
                <w:color w:val="auto"/>
                <w:highlight w:val="none"/>
              </w:rPr>
            </w:pPr>
            <w:r>
              <w:rPr>
                <w:color w:val="auto"/>
                <w:highlight w:val="none"/>
              </w:rPr>
              <w:t>5</w:t>
            </w:r>
            <w:r>
              <w:rPr>
                <w:rFonts w:hint="eastAsia"/>
                <w:color w:val="auto"/>
                <w:highlight w:val="none"/>
              </w:rPr>
              <w:t>0</w:t>
            </w:r>
          </w:p>
        </w:tc>
        <w:tc>
          <w:tcPr>
            <w:tcW w:w="604" w:type="pct"/>
            <w:tcBorders>
              <w:tl2br w:val="nil"/>
              <w:tr2bl w:val="nil"/>
            </w:tcBorders>
            <w:vAlign w:val="center"/>
          </w:tcPr>
          <w:p w14:paraId="2025166B">
            <w:pPr>
              <w:pStyle w:val="41"/>
              <w:rPr>
                <w:color w:val="auto"/>
                <w:highlight w:val="none"/>
              </w:rPr>
            </w:pPr>
            <w:r>
              <w:rPr>
                <w:color w:val="auto"/>
                <w:highlight w:val="none"/>
              </w:rPr>
              <w:t>达标</w:t>
            </w:r>
          </w:p>
        </w:tc>
      </w:tr>
      <w:tr w14:paraId="6CD526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 w:type="pct"/>
            <w:vMerge w:val="continue"/>
            <w:tcBorders>
              <w:tl2br w:val="nil"/>
              <w:tr2bl w:val="nil"/>
            </w:tcBorders>
            <w:vAlign w:val="center"/>
          </w:tcPr>
          <w:p w14:paraId="43CB579A">
            <w:pPr>
              <w:pStyle w:val="41"/>
              <w:rPr>
                <w:color w:val="auto"/>
                <w:highlight w:val="none"/>
              </w:rPr>
            </w:pPr>
          </w:p>
        </w:tc>
        <w:tc>
          <w:tcPr>
            <w:tcW w:w="1364" w:type="pct"/>
            <w:tcBorders>
              <w:tl2br w:val="nil"/>
              <w:tr2bl w:val="nil"/>
            </w:tcBorders>
            <w:vAlign w:val="center"/>
          </w:tcPr>
          <w:p w14:paraId="6AEC98AB">
            <w:pPr>
              <w:pStyle w:val="41"/>
              <w:rPr>
                <w:color w:val="auto"/>
                <w:highlight w:val="none"/>
              </w:rPr>
            </w:pPr>
            <w:r>
              <w:rPr>
                <w:color w:val="auto"/>
                <w:highlight w:val="none"/>
              </w:rPr>
              <w:t>项目区北侧外1m4#</w:t>
            </w:r>
          </w:p>
        </w:tc>
        <w:tc>
          <w:tcPr>
            <w:tcW w:w="550" w:type="pct"/>
            <w:tcBorders>
              <w:tl2br w:val="nil"/>
              <w:tr2bl w:val="nil"/>
            </w:tcBorders>
            <w:vAlign w:val="center"/>
          </w:tcPr>
          <w:p w14:paraId="11A9BD47">
            <w:pPr>
              <w:pStyle w:val="41"/>
              <w:rPr>
                <w:color w:val="auto"/>
                <w:highlight w:val="none"/>
              </w:rPr>
            </w:pPr>
            <w:r>
              <w:rPr>
                <w:rFonts w:hint="eastAsia"/>
                <w:color w:val="auto"/>
                <w:highlight w:val="none"/>
              </w:rPr>
              <w:t>38</w:t>
            </w:r>
          </w:p>
        </w:tc>
        <w:tc>
          <w:tcPr>
            <w:tcW w:w="531" w:type="pct"/>
            <w:tcBorders>
              <w:tl2br w:val="nil"/>
              <w:tr2bl w:val="nil"/>
            </w:tcBorders>
            <w:vAlign w:val="center"/>
          </w:tcPr>
          <w:p w14:paraId="37CF08A9">
            <w:pPr>
              <w:pStyle w:val="41"/>
              <w:rPr>
                <w:color w:val="auto"/>
                <w:highlight w:val="none"/>
              </w:rPr>
            </w:pPr>
            <w:r>
              <w:rPr>
                <w:rFonts w:hint="eastAsia"/>
                <w:color w:val="auto"/>
                <w:highlight w:val="none"/>
              </w:rPr>
              <w:t>60</w:t>
            </w:r>
          </w:p>
        </w:tc>
        <w:tc>
          <w:tcPr>
            <w:tcW w:w="562" w:type="pct"/>
            <w:tcBorders>
              <w:tl2br w:val="nil"/>
              <w:tr2bl w:val="nil"/>
            </w:tcBorders>
            <w:vAlign w:val="center"/>
          </w:tcPr>
          <w:p w14:paraId="1C8C1A42">
            <w:pPr>
              <w:pStyle w:val="41"/>
              <w:rPr>
                <w:color w:val="auto"/>
                <w:highlight w:val="none"/>
              </w:rPr>
            </w:pPr>
            <w:r>
              <w:rPr>
                <w:color w:val="auto"/>
                <w:highlight w:val="none"/>
              </w:rPr>
              <w:t>达标</w:t>
            </w:r>
          </w:p>
        </w:tc>
        <w:tc>
          <w:tcPr>
            <w:tcW w:w="482" w:type="pct"/>
            <w:tcBorders>
              <w:tl2br w:val="nil"/>
              <w:tr2bl w:val="nil"/>
            </w:tcBorders>
            <w:vAlign w:val="center"/>
          </w:tcPr>
          <w:p w14:paraId="45D807CE">
            <w:pPr>
              <w:pStyle w:val="41"/>
              <w:rPr>
                <w:color w:val="auto"/>
                <w:highlight w:val="none"/>
              </w:rPr>
            </w:pPr>
            <w:r>
              <w:rPr>
                <w:rFonts w:hint="eastAsia"/>
                <w:color w:val="auto"/>
                <w:highlight w:val="none"/>
              </w:rPr>
              <w:t>42</w:t>
            </w:r>
          </w:p>
        </w:tc>
        <w:tc>
          <w:tcPr>
            <w:tcW w:w="454" w:type="pct"/>
            <w:tcBorders>
              <w:tl2br w:val="nil"/>
              <w:tr2bl w:val="nil"/>
            </w:tcBorders>
            <w:vAlign w:val="center"/>
          </w:tcPr>
          <w:p w14:paraId="0BB03BA9">
            <w:pPr>
              <w:pStyle w:val="41"/>
              <w:rPr>
                <w:color w:val="auto"/>
                <w:highlight w:val="none"/>
              </w:rPr>
            </w:pPr>
            <w:r>
              <w:rPr>
                <w:color w:val="auto"/>
                <w:highlight w:val="none"/>
              </w:rPr>
              <w:t>5</w:t>
            </w:r>
            <w:r>
              <w:rPr>
                <w:rFonts w:hint="eastAsia"/>
                <w:color w:val="auto"/>
                <w:highlight w:val="none"/>
              </w:rPr>
              <w:t>0</w:t>
            </w:r>
          </w:p>
        </w:tc>
        <w:tc>
          <w:tcPr>
            <w:tcW w:w="604" w:type="pct"/>
            <w:tcBorders>
              <w:tl2br w:val="nil"/>
              <w:tr2bl w:val="nil"/>
            </w:tcBorders>
            <w:vAlign w:val="center"/>
          </w:tcPr>
          <w:p w14:paraId="02ED835D">
            <w:pPr>
              <w:pStyle w:val="41"/>
              <w:rPr>
                <w:color w:val="auto"/>
                <w:highlight w:val="none"/>
              </w:rPr>
            </w:pPr>
            <w:r>
              <w:rPr>
                <w:color w:val="auto"/>
                <w:highlight w:val="none"/>
              </w:rPr>
              <w:t>达标</w:t>
            </w:r>
          </w:p>
        </w:tc>
      </w:tr>
      <w:tr w14:paraId="703A44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 w:type="pct"/>
            <w:vMerge w:val="restart"/>
            <w:tcBorders>
              <w:tl2br w:val="nil"/>
              <w:tr2bl w:val="nil"/>
            </w:tcBorders>
            <w:vAlign w:val="center"/>
          </w:tcPr>
          <w:p w14:paraId="482F3049">
            <w:pPr>
              <w:pStyle w:val="41"/>
              <w:rPr>
                <w:color w:val="auto"/>
                <w:highlight w:val="none"/>
              </w:rPr>
            </w:pPr>
            <w:r>
              <w:rPr>
                <w:color w:val="auto"/>
                <w:highlight w:val="none"/>
              </w:rPr>
              <w:t>202</w:t>
            </w:r>
            <w:r>
              <w:rPr>
                <w:rFonts w:hint="eastAsia"/>
                <w:color w:val="auto"/>
                <w:highlight w:val="none"/>
              </w:rPr>
              <w:t>6</w:t>
            </w:r>
            <w:r>
              <w:rPr>
                <w:color w:val="auto"/>
                <w:highlight w:val="none"/>
              </w:rPr>
              <w:t>年</w:t>
            </w:r>
            <w:r>
              <w:rPr>
                <w:rFonts w:hint="eastAsia"/>
                <w:color w:val="auto"/>
                <w:highlight w:val="none"/>
              </w:rPr>
              <w:t>3</w:t>
            </w:r>
            <w:r>
              <w:rPr>
                <w:color w:val="auto"/>
                <w:highlight w:val="none"/>
              </w:rPr>
              <w:t>月</w:t>
            </w:r>
            <w:r>
              <w:rPr>
                <w:rFonts w:hint="eastAsia"/>
                <w:color w:val="auto"/>
                <w:highlight w:val="none"/>
              </w:rPr>
              <w:t>29</w:t>
            </w:r>
            <w:r>
              <w:rPr>
                <w:color w:val="auto"/>
                <w:highlight w:val="none"/>
              </w:rPr>
              <w:t>日</w:t>
            </w:r>
          </w:p>
        </w:tc>
        <w:tc>
          <w:tcPr>
            <w:tcW w:w="1364" w:type="pct"/>
            <w:tcBorders>
              <w:tl2br w:val="nil"/>
              <w:tr2bl w:val="nil"/>
            </w:tcBorders>
            <w:vAlign w:val="center"/>
          </w:tcPr>
          <w:p w14:paraId="555C3C75">
            <w:pPr>
              <w:pStyle w:val="41"/>
              <w:rPr>
                <w:color w:val="auto"/>
                <w:highlight w:val="none"/>
              </w:rPr>
            </w:pPr>
            <w:r>
              <w:rPr>
                <w:color w:val="auto"/>
                <w:highlight w:val="none"/>
              </w:rPr>
              <w:t>项目区东侧外1m1#</w:t>
            </w:r>
          </w:p>
        </w:tc>
        <w:tc>
          <w:tcPr>
            <w:tcW w:w="550" w:type="pct"/>
            <w:tcBorders>
              <w:tl2br w:val="nil"/>
              <w:tr2bl w:val="nil"/>
            </w:tcBorders>
            <w:vAlign w:val="center"/>
          </w:tcPr>
          <w:p w14:paraId="4E882979">
            <w:pPr>
              <w:pStyle w:val="41"/>
              <w:rPr>
                <w:color w:val="auto"/>
                <w:highlight w:val="none"/>
              </w:rPr>
            </w:pPr>
            <w:r>
              <w:rPr>
                <w:rFonts w:hint="eastAsia"/>
                <w:color w:val="auto"/>
                <w:highlight w:val="none"/>
              </w:rPr>
              <w:t>39</w:t>
            </w:r>
          </w:p>
        </w:tc>
        <w:tc>
          <w:tcPr>
            <w:tcW w:w="531" w:type="pct"/>
            <w:tcBorders>
              <w:tl2br w:val="nil"/>
              <w:tr2bl w:val="nil"/>
            </w:tcBorders>
            <w:vAlign w:val="center"/>
          </w:tcPr>
          <w:p w14:paraId="58ABE00C">
            <w:pPr>
              <w:pStyle w:val="41"/>
              <w:rPr>
                <w:color w:val="auto"/>
                <w:highlight w:val="none"/>
              </w:rPr>
            </w:pPr>
            <w:r>
              <w:rPr>
                <w:rFonts w:hint="eastAsia"/>
                <w:color w:val="auto"/>
                <w:highlight w:val="none"/>
              </w:rPr>
              <w:t>60</w:t>
            </w:r>
          </w:p>
        </w:tc>
        <w:tc>
          <w:tcPr>
            <w:tcW w:w="562" w:type="pct"/>
            <w:tcBorders>
              <w:tl2br w:val="nil"/>
              <w:tr2bl w:val="nil"/>
            </w:tcBorders>
            <w:vAlign w:val="center"/>
          </w:tcPr>
          <w:p w14:paraId="54BF0513">
            <w:pPr>
              <w:pStyle w:val="41"/>
              <w:rPr>
                <w:color w:val="auto"/>
                <w:highlight w:val="none"/>
              </w:rPr>
            </w:pPr>
            <w:r>
              <w:rPr>
                <w:color w:val="auto"/>
                <w:highlight w:val="none"/>
              </w:rPr>
              <w:t>达标</w:t>
            </w:r>
          </w:p>
        </w:tc>
        <w:tc>
          <w:tcPr>
            <w:tcW w:w="482" w:type="pct"/>
            <w:tcBorders>
              <w:tl2br w:val="nil"/>
              <w:tr2bl w:val="nil"/>
            </w:tcBorders>
            <w:vAlign w:val="center"/>
          </w:tcPr>
          <w:p w14:paraId="3F328624">
            <w:pPr>
              <w:pStyle w:val="41"/>
              <w:rPr>
                <w:color w:val="auto"/>
                <w:highlight w:val="none"/>
              </w:rPr>
            </w:pPr>
            <w:r>
              <w:rPr>
                <w:rFonts w:hint="eastAsia"/>
                <w:color w:val="auto"/>
                <w:highlight w:val="none"/>
              </w:rPr>
              <w:t>44</w:t>
            </w:r>
          </w:p>
        </w:tc>
        <w:tc>
          <w:tcPr>
            <w:tcW w:w="454" w:type="pct"/>
            <w:tcBorders>
              <w:tl2br w:val="nil"/>
              <w:tr2bl w:val="nil"/>
            </w:tcBorders>
            <w:vAlign w:val="center"/>
          </w:tcPr>
          <w:p w14:paraId="1050DD8F">
            <w:pPr>
              <w:pStyle w:val="41"/>
              <w:rPr>
                <w:color w:val="auto"/>
                <w:highlight w:val="none"/>
              </w:rPr>
            </w:pPr>
            <w:r>
              <w:rPr>
                <w:color w:val="auto"/>
                <w:highlight w:val="none"/>
              </w:rPr>
              <w:t>5</w:t>
            </w:r>
            <w:r>
              <w:rPr>
                <w:rFonts w:hint="eastAsia"/>
                <w:color w:val="auto"/>
                <w:highlight w:val="none"/>
              </w:rPr>
              <w:t>0</w:t>
            </w:r>
          </w:p>
        </w:tc>
        <w:tc>
          <w:tcPr>
            <w:tcW w:w="604" w:type="pct"/>
            <w:tcBorders>
              <w:tl2br w:val="nil"/>
              <w:tr2bl w:val="nil"/>
            </w:tcBorders>
            <w:vAlign w:val="center"/>
          </w:tcPr>
          <w:p w14:paraId="09507F8F">
            <w:pPr>
              <w:pStyle w:val="41"/>
              <w:rPr>
                <w:color w:val="auto"/>
                <w:highlight w:val="none"/>
              </w:rPr>
            </w:pPr>
            <w:r>
              <w:rPr>
                <w:color w:val="auto"/>
                <w:highlight w:val="none"/>
              </w:rPr>
              <w:t>达标</w:t>
            </w:r>
          </w:p>
        </w:tc>
      </w:tr>
      <w:tr w14:paraId="18FC21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 w:type="pct"/>
            <w:vMerge w:val="continue"/>
            <w:tcBorders>
              <w:tl2br w:val="nil"/>
              <w:tr2bl w:val="nil"/>
            </w:tcBorders>
            <w:vAlign w:val="center"/>
          </w:tcPr>
          <w:p w14:paraId="066E3AA0">
            <w:pPr>
              <w:pStyle w:val="41"/>
              <w:rPr>
                <w:color w:val="auto"/>
                <w:highlight w:val="none"/>
              </w:rPr>
            </w:pPr>
          </w:p>
        </w:tc>
        <w:tc>
          <w:tcPr>
            <w:tcW w:w="1364" w:type="pct"/>
            <w:tcBorders>
              <w:tl2br w:val="nil"/>
              <w:tr2bl w:val="nil"/>
            </w:tcBorders>
            <w:vAlign w:val="center"/>
          </w:tcPr>
          <w:p w14:paraId="4DCBD0FC">
            <w:pPr>
              <w:pStyle w:val="41"/>
              <w:rPr>
                <w:color w:val="auto"/>
                <w:highlight w:val="none"/>
              </w:rPr>
            </w:pPr>
            <w:r>
              <w:rPr>
                <w:color w:val="auto"/>
                <w:highlight w:val="none"/>
              </w:rPr>
              <w:t>项目区西侧外1m2#</w:t>
            </w:r>
          </w:p>
        </w:tc>
        <w:tc>
          <w:tcPr>
            <w:tcW w:w="550" w:type="pct"/>
            <w:tcBorders>
              <w:tl2br w:val="nil"/>
              <w:tr2bl w:val="nil"/>
            </w:tcBorders>
            <w:vAlign w:val="center"/>
          </w:tcPr>
          <w:p w14:paraId="1F1D2A9E">
            <w:pPr>
              <w:pStyle w:val="41"/>
              <w:rPr>
                <w:color w:val="auto"/>
                <w:highlight w:val="none"/>
              </w:rPr>
            </w:pPr>
            <w:r>
              <w:rPr>
                <w:rFonts w:hint="eastAsia"/>
                <w:color w:val="auto"/>
                <w:highlight w:val="none"/>
              </w:rPr>
              <w:t>40</w:t>
            </w:r>
          </w:p>
        </w:tc>
        <w:tc>
          <w:tcPr>
            <w:tcW w:w="531" w:type="pct"/>
            <w:tcBorders>
              <w:tl2br w:val="nil"/>
              <w:tr2bl w:val="nil"/>
            </w:tcBorders>
            <w:vAlign w:val="center"/>
          </w:tcPr>
          <w:p w14:paraId="3CF8A56C">
            <w:pPr>
              <w:pStyle w:val="41"/>
              <w:rPr>
                <w:color w:val="auto"/>
                <w:highlight w:val="none"/>
              </w:rPr>
            </w:pPr>
            <w:r>
              <w:rPr>
                <w:rFonts w:hint="eastAsia"/>
                <w:color w:val="auto"/>
                <w:highlight w:val="none"/>
              </w:rPr>
              <w:t>60</w:t>
            </w:r>
          </w:p>
        </w:tc>
        <w:tc>
          <w:tcPr>
            <w:tcW w:w="562" w:type="pct"/>
            <w:tcBorders>
              <w:tl2br w:val="nil"/>
              <w:tr2bl w:val="nil"/>
            </w:tcBorders>
            <w:vAlign w:val="center"/>
          </w:tcPr>
          <w:p w14:paraId="29EEF8A7">
            <w:pPr>
              <w:pStyle w:val="41"/>
              <w:rPr>
                <w:color w:val="auto"/>
                <w:highlight w:val="none"/>
              </w:rPr>
            </w:pPr>
            <w:r>
              <w:rPr>
                <w:color w:val="auto"/>
                <w:highlight w:val="none"/>
              </w:rPr>
              <w:t>达标</w:t>
            </w:r>
          </w:p>
        </w:tc>
        <w:tc>
          <w:tcPr>
            <w:tcW w:w="482" w:type="pct"/>
            <w:tcBorders>
              <w:tl2br w:val="nil"/>
              <w:tr2bl w:val="nil"/>
            </w:tcBorders>
            <w:vAlign w:val="center"/>
          </w:tcPr>
          <w:p w14:paraId="4FC5DF08">
            <w:pPr>
              <w:pStyle w:val="41"/>
              <w:rPr>
                <w:color w:val="auto"/>
                <w:highlight w:val="none"/>
              </w:rPr>
            </w:pPr>
            <w:r>
              <w:rPr>
                <w:rFonts w:hint="eastAsia"/>
                <w:color w:val="auto"/>
                <w:highlight w:val="none"/>
              </w:rPr>
              <w:t>43</w:t>
            </w:r>
          </w:p>
        </w:tc>
        <w:tc>
          <w:tcPr>
            <w:tcW w:w="454" w:type="pct"/>
            <w:tcBorders>
              <w:tl2br w:val="nil"/>
              <w:tr2bl w:val="nil"/>
            </w:tcBorders>
            <w:vAlign w:val="center"/>
          </w:tcPr>
          <w:p w14:paraId="750A10DE">
            <w:pPr>
              <w:pStyle w:val="41"/>
              <w:rPr>
                <w:color w:val="auto"/>
                <w:highlight w:val="none"/>
              </w:rPr>
            </w:pPr>
            <w:r>
              <w:rPr>
                <w:color w:val="auto"/>
                <w:highlight w:val="none"/>
              </w:rPr>
              <w:t>5</w:t>
            </w:r>
            <w:r>
              <w:rPr>
                <w:rFonts w:hint="eastAsia"/>
                <w:color w:val="auto"/>
                <w:highlight w:val="none"/>
              </w:rPr>
              <w:t>0</w:t>
            </w:r>
          </w:p>
        </w:tc>
        <w:tc>
          <w:tcPr>
            <w:tcW w:w="604" w:type="pct"/>
            <w:tcBorders>
              <w:tl2br w:val="nil"/>
              <w:tr2bl w:val="nil"/>
            </w:tcBorders>
            <w:vAlign w:val="center"/>
          </w:tcPr>
          <w:p w14:paraId="1E36021F">
            <w:pPr>
              <w:pStyle w:val="41"/>
              <w:rPr>
                <w:color w:val="auto"/>
                <w:highlight w:val="none"/>
              </w:rPr>
            </w:pPr>
            <w:r>
              <w:rPr>
                <w:color w:val="auto"/>
                <w:highlight w:val="none"/>
              </w:rPr>
              <w:t>达标</w:t>
            </w:r>
          </w:p>
        </w:tc>
      </w:tr>
      <w:tr w14:paraId="29C3A7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 w:type="pct"/>
            <w:vMerge w:val="continue"/>
            <w:tcBorders>
              <w:tl2br w:val="nil"/>
              <w:tr2bl w:val="nil"/>
            </w:tcBorders>
            <w:vAlign w:val="center"/>
          </w:tcPr>
          <w:p w14:paraId="1B95553F">
            <w:pPr>
              <w:pStyle w:val="41"/>
              <w:rPr>
                <w:color w:val="auto"/>
                <w:highlight w:val="none"/>
              </w:rPr>
            </w:pPr>
          </w:p>
        </w:tc>
        <w:tc>
          <w:tcPr>
            <w:tcW w:w="1364" w:type="pct"/>
            <w:tcBorders>
              <w:tl2br w:val="nil"/>
              <w:tr2bl w:val="nil"/>
            </w:tcBorders>
            <w:vAlign w:val="center"/>
          </w:tcPr>
          <w:p w14:paraId="4AF40B0F">
            <w:pPr>
              <w:pStyle w:val="41"/>
              <w:rPr>
                <w:color w:val="auto"/>
                <w:highlight w:val="none"/>
              </w:rPr>
            </w:pPr>
            <w:r>
              <w:rPr>
                <w:color w:val="auto"/>
                <w:highlight w:val="none"/>
              </w:rPr>
              <w:t>项目区南侧外1m3#</w:t>
            </w:r>
          </w:p>
        </w:tc>
        <w:tc>
          <w:tcPr>
            <w:tcW w:w="550" w:type="pct"/>
            <w:tcBorders>
              <w:tl2br w:val="nil"/>
              <w:tr2bl w:val="nil"/>
            </w:tcBorders>
            <w:vAlign w:val="center"/>
          </w:tcPr>
          <w:p w14:paraId="0F5908A2">
            <w:pPr>
              <w:pStyle w:val="41"/>
              <w:rPr>
                <w:color w:val="auto"/>
                <w:highlight w:val="none"/>
              </w:rPr>
            </w:pPr>
            <w:r>
              <w:rPr>
                <w:rFonts w:hint="eastAsia"/>
                <w:color w:val="auto"/>
                <w:highlight w:val="none"/>
              </w:rPr>
              <w:t>40</w:t>
            </w:r>
          </w:p>
        </w:tc>
        <w:tc>
          <w:tcPr>
            <w:tcW w:w="531" w:type="pct"/>
            <w:tcBorders>
              <w:tl2br w:val="nil"/>
              <w:tr2bl w:val="nil"/>
            </w:tcBorders>
            <w:vAlign w:val="center"/>
          </w:tcPr>
          <w:p w14:paraId="65ACDB95">
            <w:pPr>
              <w:pStyle w:val="41"/>
              <w:rPr>
                <w:color w:val="auto"/>
                <w:highlight w:val="none"/>
              </w:rPr>
            </w:pPr>
            <w:r>
              <w:rPr>
                <w:rFonts w:hint="eastAsia"/>
                <w:color w:val="auto"/>
                <w:highlight w:val="none"/>
              </w:rPr>
              <w:t>60</w:t>
            </w:r>
          </w:p>
        </w:tc>
        <w:tc>
          <w:tcPr>
            <w:tcW w:w="562" w:type="pct"/>
            <w:tcBorders>
              <w:tl2br w:val="nil"/>
              <w:tr2bl w:val="nil"/>
            </w:tcBorders>
            <w:vAlign w:val="center"/>
          </w:tcPr>
          <w:p w14:paraId="3370CDD4">
            <w:pPr>
              <w:pStyle w:val="41"/>
              <w:rPr>
                <w:color w:val="auto"/>
                <w:highlight w:val="none"/>
              </w:rPr>
            </w:pPr>
            <w:r>
              <w:rPr>
                <w:color w:val="auto"/>
                <w:highlight w:val="none"/>
              </w:rPr>
              <w:t>达标</w:t>
            </w:r>
          </w:p>
        </w:tc>
        <w:tc>
          <w:tcPr>
            <w:tcW w:w="482" w:type="pct"/>
            <w:tcBorders>
              <w:tl2br w:val="nil"/>
              <w:tr2bl w:val="nil"/>
            </w:tcBorders>
            <w:vAlign w:val="center"/>
          </w:tcPr>
          <w:p w14:paraId="09950AAC">
            <w:pPr>
              <w:pStyle w:val="41"/>
              <w:rPr>
                <w:color w:val="auto"/>
                <w:highlight w:val="none"/>
              </w:rPr>
            </w:pPr>
            <w:r>
              <w:rPr>
                <w:rFonts w:hint="eastAsia"/>
                <w:color w:val="auto"/>
                <w:highlight w:val="none"/>
              </w:rPr>
              <w:t>44</w:t>
            </w:r>
          </w:p>
        </w:tc>
        <w:tc>
          <w:tcPr>
            <w:tcW w:w="454" w:type="pct"/>
            <w:tcBorders>
              <w:tl2br w:val="nil"/>
              <w:tr2bl w:val="nil"/>
            </w:tcBorders>
            <w:vAlign w:val="center"/>
          </w:tcPr>
          <w:p w14:paraId="35C714FE">
            <w:pPr>
              <w:pStyle w:val="41"/>
              <w:rPr>
                <w:color w:val="auto"/>
                <w:highlight w:val="none"/>
              </w:rPr>
            </w:pPr>
            <w:r>
              <w:rPr>
                <w:color w:val="auto"/>
                <w:highlight w:val="none"/>
              </w:rPr>
              <w:t>5</w:t>
            </w:r>
            <w:r>
              <w:rPr>
                <w:rFonts w:hint="eastAsia"/>
                <w:color w:val="auto"/>
                <w:highlight w:val="none"/>
              </w:rPr>
              <w:t>0</w:t>
            </w:r>
          </w:p>
        </w:tc>
        <w:tc>
          <w:tcPr>
            <w:tcW w:w="604" w:type="pct"/>
            <w:tcBorders>
              <w:tl2br w:val="nil"/>
              <w:tr2bl w:val="nil"/>
            </w:tcBorders>
            <w:vAlign w:val="center"/>
          </w:tcPr>
          <w:p w14:paraId="317D2A11">
            <w:pPr>
              <w:pStyle w:val="41"/>
              <w:rPr>
                <w:color w:val="auto"/>
                <w:highlight w:val="none"/>
              </w:rPr>
            </w:pPr>
            <w:r>
              <w:rPr>
                <w:color w:val="auto"/>
                <w:highlight w:val="none"/>
              </w:rPr>
              <w:t>达标</w:t>
            </w:r>
          </w:p>
        </w:tc>
      </w:tr>
      <w:tr w14:paraId="5323F5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 w:type="pct"/>
            <w:vMerge w:val="continue"/>
            <w:tcBorders>
              <w:tl2br w:val="nil"/>
              <w:tr2bl w:val="nil"/>
            </w:tcBorders>
            <w:vAlign w:val="center"/>
          </w:tcPr>
          <w:p w14:paraId="51F1D48C">
            <w:pPr>
              <w:pStyle w:val="41"/>
              <w:rPr>
                <w:color w:val="auto"/>
                <w:highlight w:val="none"/>
              </w:rPr>
            </w:pPr>
          </w:p>
        </w:tc>
        <w:tc>
          <w:tcPr>
            <w:tcW w:w="1364" w:type="pct"/>
            <w:tcBorders>
              <w:tl2br w:val="nil"/>
              <w:tr2bl w:val="nil"/>
            </w:tcBorders>
            <w:vAlign w:val="center"/>
          </w:tcPr>
          <w:p w14:paraId="4573DF38">
            <w:pPr>
              <w:pStyle w:val="41"/>
              <w:rPr>
                <w:color w:val="auto"/>
                <w:highlight w:val="none"/>
              </w:rPr>
            </w:pPr>
            <w:r>
              <w:rPr>
                <w:color w:val="auto"/>
                <w:highlight w:val="none"/>
              </w:rPr>
              <w:t>项目区北侧外1m4#</w:t>
            </w:r>
          </w:p>
        </w:tc>
        <w:tc>
          <w:tcPr>
            <w:tcW w:w="550" w:type="pct"/>
            <w:tcBorders>
              <w:tl2br w:val="nil"/>
              <w:tr2bl w:val="nil"/>
            </w:tcBorders>
            <w:vAlign w:val="center"/>
          </w:tcPr>
          <w:p w14:paraId="09473174">
            <w:pPr>
              <w:pStyle w:val="41"/>
              <w:rPr>
                <w:color w:val="auto"/>
                <w:highlight w:val="none"/>
              </w:rPr>
            </w:pPr>
            <w:r>
              <w:rPr>
                <w:rFonts w:hint="eastAsia"/>
                <w:color w:val="auto"/>
                <w:highlight w:val="none"/>
              </w:rPr>
              <w:t>39</w:t>
            </w:r>
          </w:p>
        </w:tc>
        <w:tc>
          <w:tcPr>
            <w:tcW w:w="531" w:type="pct"/>
            <w:tcBorders>
              <w:tl2br w:val="nil"/>
              <w:tr2bl w:val="nil"/>
            </w:tcBorders>
            <w:vAlign w:val="center"/>
          </w:tcPr>
          <w:p w14:paraId="0B40D4E8">
            <w:pPr>
              <w:pStyle w:val="41"/>
              <w:rPr>
                <w:color w:val="auto"/>
                <w:highlight w:val="none"/>
              </w:rPr>
            </w:pPr>
            <w:r>
              <w:rPr>
                <w:rFonts w:hint="eastAsia"/>
                <w:color w:val="auto"/>
                <w:highlight w:val="none"/>
              </w:rPr>
              <w:t>60</w:t>
            </w:r>
          </w:p>
        </w:tc>
        <w:tc>
          <w:tcPr>
            <w:tcW w:w="562" w:type="pct"/>
            <w:tcBorders>
              <w:tl2br w:val="nil"/>
              <w:tr2bl w:val="nil"/>
            </w:tcBorders>
            <w:vAlign w:val="center"/>
          </w:tcPr>
          <w:p w14:paraId="513490BC">
            <w:pPr>
              <w:pStyle w:val="41"/>
              <w:rPr>
                <w:color w:val="auto"/>
                <w:highlight w:val="none"/>
              </w:rPr>
            </w:pPr>
            <w:r>
              <w:rPr>
                <w:color w:val="auto"/>
                <w:highlight w:val="none"/>
              </w:rPr>
              <w:t>达标</w:t>
            </w:r>
          </w:p>
        </w:tc>
        <w:tc>
          <w:tcPr>
            <w:tcW w:w="482" w:type="pct"/>
            <w:tcBorders>
              <w:tl2br w:val="nil"/>
              <w:tr2bl w:val="nil"/>
            </w:tcBorders>
            <w:vAlign w:val="center"/>
          </w:tcPr>
          <w:p w14:paraId="68A16EEF">
            <w:pPr>
              <w:pStyle w:val="41"/>
              <w:rPr>
                <w:color w:val="auto"/>
                <w:highlight w:val="none"/>
              </w:rPr>
            </w:pPr>
            <w:r>
              <w:rPr>
                <w:rFonts w:hint="eastAsia"/>
                <w:color w:val="auto"/>
                <w:highlight w:val="none"/>
              </w:rPr>
              <w:t>45</w:t>
            </w:r>
          </w:p>
        </w:tc>
        <w:tc>
          <w:tcPr>
            <w:tcW w:w="454" w:type="pct"/>
            <w:tcBorders>
              <w:tl2br w:val="nil"/>
              <w:tr2bl w:val="nil"/>
            </w:tcBorders>
            <w:vAlign w:val="center"/>
          </w:tcPr>
          <w:p w14:paraId="1429C395">
            <w:pPr>
              <w:pStyle w:val="41"/>
              <w:rPr>
                <w:color w:val="auto"/>
                <w:highlight w:val="none"/>
              </w:rPr>
            </w:pPr>
            <w:r>
              <w:rPr>
                <w:color w:val="auto"/>
                <w:highlight w:val="none"/>
              </w:rPr>
              <w:t>5</w:t>
            </w:r>
            <w:r>
              <w:rPr>
                <w:rFonts w:hint="eastAsia"/>
                <w:color w:val="auto"/>
                <w:highlight w:val="none"/>
              </w:rPr>
              <w:t>0</w:t>
            </w:r>
          </w:p>
        </w:tc>
        <w:tc>
          <w:tcPr>
            <w:tcW w:w="604" w:type="pct"/>
            <w:tcBorders>
              <w:tl2br w:val="nil"/>
              <w:tr2bl w:val="nil"/>
            </w:tcBorders>
            <w:vAlign w:val="center"/>
          </w:tcPr>
          <w:p w14:paraId="2140EF2A">
            <w:pPr>
              <w:pStyle w:val="41"/>
              <w:rPr>
                <w:color w:val="auto"/>
                <w:highlight w:val="none"/>
              </w:rPr>
            </w:pPr>
            <w:r>
              <w:rPr>
                <w:color w:val="auto"/>
                <w:highlight w:val="none"/>
              </w:rPr>
              <w:t>达标</w:t>
            </w:r>
          </w:p>
        </w:tc>
      </w:tr>
    </w:tbl>
    <w:p w14:paraId="258A2D69">
      <w:pPr>
        <w:pStyle w:val="3"/>
        <w:ind w:firstLine="480"/>
        <w:rPr>
          <w:color w:val="auto"/>
          <w:highlight w:val="none"/>
        </w:rPr>
      </w:pPr>
      <w:r>
        <w:rPr>
          <w:color w:val="auto"/>
          <w:highlight w:val="none"/>
        </w:rPr>
        <w:t>由监测结果可知，项目区周边昼间和夜间最大噪声监测值为</w:t>
      </w:r>
      <w:r>
        <w:rPr>
          <w:rFonts w:hint="eastAsia"/>
          <w:color w:val="auto"/>
          <w:highlight w:val="none"/>
        </w:rPr>
        <w:t>45</w:t>
      </w:r>
      <w:r>
        <w:rPr>
          <w:color w:val="auto"/>
          <w:highlight w:val="none"/>
        </w:rPr>
        <w:t>dB（A）和</w:t>
      </w:r>
      <w:r>
        <w:rPr>
          <w:rFonts w:hint="eastAsia"/>
          <w:color w:val="auto"/>
          <w:highlight w:val="none"/>
        </w:rPr>
        <w:t>41</w:t>
      </w:r>
      <w:r>
        <w:rPr>
          <w:color w:val="auto"/>
          <w:highlight w:val="none"/>
        </w:rPr>
        <w:t>dB（A），分别出现在项目区厂界外</w:t>
      </w:r>
      <w:r>
        <w:rPr>
          <w:rFonts w:hint="eastAsia"/>
          <w:color w:val="auto"/>
          <w:highlight w:val="none"/>
        </w:rPr>
        <w:t>北侧和西</w:t>
      </w:r>
      <w:r>
        <w:rPr>
          <w:color w:val="auto"/>
          <w:highlight w:val="none"/>
        </w:rPr>
        <w:t>侧，区域声环境现状满足《声环境质量标准》（GB3096-2008）</w:t>
      </w:r>
      <w:r>
        <w:rPr>
          <w:rFonts w:hint="eastAsia"/>
          <w:color w:val="auto"/>
          <w:highlight w:val="none"/>
        </w:rPr>
        <w:t>2</w:t>
      </w:r>
      <w:r>
        <w:rPr>
          <w:color w:val="auto"/>
          <w:highlight w:val="none"/>
        </w:rPr>
        <w:t>类标准要求。</w:t>
      </w:r>
    </w:p>
    <w:p w14:paraId="40FCE970">
      <w:pPr>
        <w:pStyle w:val="42"/>
        <w:rPr>
          <w:rFonts w:hint="default"/>
          <w:color w:val="auto"/>
          <w:highlight w:val="none"/>
        </w:rPr>
      </w:pPr>
      <w:r>
        <w:rPr>
          <w:rFonts w:hint="default"/>
          <w:color w:val="auto"/>
          <w:highlight w:val="none"/>
        </w:rPr>
        <w:t>生态环境现状调查与评价</w:t>
      </w:r>
    </w:p>
    <w:p w14:paraId="419454CA">
      <w:pPr>
        <w:pStyle w:val="43"/>
        <w:rPr>
          <w:color w:val="auto"/>
          <w:highlight w:val="none"/>
        </w:rPr>
      </w:pPr>
      <w:r>
        <w:rPr>
          <w:color w:val="auto"/>
          <w:highlight w:val="none"/>
        </w:rPr>
        <w:t>生态功能区划</w:t>
      </w:r>
    </w:p>
    <w:p w14:paraId="7285A0D2">
      <w:pPr>
        <w:pStyle w:val="3"/>
        <w:ind w:firstLine="480"/>
        <w:rPr>
          <w:color w:val="auto"/>
          <w:highlight w:val="none"/>
          <w:lang w:val="zh-CN"/>
        </w:rPr>
      </w:pPr>
      <w:r>
        <w:rPr>
          <w:rFonts w:hint="eastAsia"/>
          <w:color w:val="auto"/>
          <w:highlight w:val="none"/>
        </w:rPr>
        <w:t>本项目位于</w:t>
      </w:r>
      <w:r>
        <w:rPr>
          <w:color w:val="auto"/>
          <w:highlight w:val="none"/>
        </w:rPr>
        <w:t>阿图什市区北东46°方位，直距59km处，行政区划隶属阿图什市管辖。</w:t>
      </w:r>
      <w:r>
        <w:rPr>
          <w:color w:val="auto"/>
          <w:highlight w:val="none"/>
          <w:lang w:val="zh-CN"/>
        </w:rPr>
        <w:t>根据《新疆生态功能区划》，项目所在地属于</w:t>
      </w:r>
      <w:r>
        <w:rPr>
          <w:color w:val="auto"/>
          <w:highlight w:val="none"/>
        </w:rPr>
        <w:t>Ⅲ</w:t>
      </w:r>
      <w:r>
        <w:rPr>
          <w:color w:val="auto"/>
          <w:highlight w:val="none"/>
          <w:lang w:val="zh-CN"/>
        </w:rPr>
        <w:t>天山山地温性草原、森林生态区，</w:t>
      </w:r>
      <w:r>
        <w:rPr>
          <w:color w:val="auto"/>
          <w:highlight w:val="none"/>
        </w:rPr>
        <w:t>Ⅲ3</w:t>
      </w:r>
      <w:r>
        <w:rPr>
          <w:color w:val="auto"/>
          <w:highlight w:val="none"/>
          <w:lang w:val="zh-CN"/>
        </w:rPr>
        <w:t>天山南坡草原牧业、绿洲农业生态亚区，</w:t>
      </w:r>
      <w:r>
        <w:rPr>
          <w:rFonts w:hint="eastAsia"/>
          <w:color w:val="auto"/>
          <w:highlight w:val="none"/>
          <w:lang w:val="zh-CN"/>
        </w:rPr>
        <w:t>39．天山南坡西段荒漠草原水土流失敏感生态功能区</w:t>
      </w:r>
      <w:r>
        <w:rPr>
          <w:color w:val="auto"/>
          <w:highlight w:val="none"/>
          <w:lang w:val="zh-CN"/>
        </w:rPr>
        <w:t>。项目区生态功能区划见表</w:t>
      </w:r>
      <w:r>
        <w:rPr>
          <w:color w:val="auto"/>
          <w:highlight w:val="none"/>
        </w:rPr>
        <w:t>4.2-</w:t>
      </w:r>
      <w:r>
        <w:rPr>
          <w:rFonts w:hint="eastAsia"/>
          <w:color w:val="auto"/>
          <w:highlight w:val="none"/>
        </w:rPr>
        <w:t>10</w:t>
      </w:r>
      <w:r>
        <w:rPr>
          <w:color w:val="auto"/>
          <w:highlight w:val="none"/>
          <w:lang w:val="zh-CN"/>
        </w:rPr>
        <w:t>与图</w:t>
      </w:r>
      <w:r>
        <w:rPr>
          <w:color w:val="auto"/>
          <w:highlight w:val="none"/>
        </w:rPr>
        <w:t>4.2-</w:t>
      </w:r>
      <w:r>
        <w:rPr>
          <w:rFonts w:hint="eastAsia"/>
          <w:color w:val="auto"/>
          <w:highlight w:val="none"/>
        </w:rPr>
        <w:t>2</w:t>
      </w:r>
      <w:r>
        <w:rPr>
          <w:color w:val="auto"/>
          <w:highlight w:val="none"/>
          <w:lang w:val="zh-CN"/>
        </w:rPr>
        <w:t>。</w:t>
      </w:r>
    </w:p>
    <w:p w14:paraId="0B779785">
      <w:pPr>
        <w:pStyle w:val="40"/>
        <w:rPr>
          <w:color w:val="auto"/>
          <w:highlight w:val="none"/>
        </w:rPr>
      </w:pPr>
      <w:r>
        <w:rPr>
          <w:color w:val="auto"/>
          <w:highlight w:val="none"/>
        </w:rPr>
        <w:t>表4.2-</w:t>
      </w:r>
      <w:r>
        <w:rPr>
          <w:rFonts w:hint="eastAsia"/>
          <w:color w:val="auto"/>
          <w:highlight w:val="none"/>
        </w:rPr>
        <w:t>10</w:t>
      </w:r>
      <w:r>
        <w:rPr>
          <w:color w:val="auto"/>
          <w:highlight w:val="none"/>
        </w:rPr>
        <w:t xml:space="preserve">     项目区生态功能区划</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456"/>
        <w:gridCol w:w="5695"/>
      </w:tblGrid>
      <w:tr w14:paraId="6A8030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34" w:hRule="atLeast"/>
          <w:jc w:val="center"/>
        </w:trPr>
        <w:tc>
          <w:tcPr>
            <w:tcW w:w="800" w:type="pct"/>
            <w:vMerge w:val="restart"/>
            <w:tcBorders>
              <w:tl2br w:val="nil"/>
              <w:tr2bl w:val="nil"/>
            </w:tcBorders>
            <w:vAlign w:val="center"/>
          </w:tcPr>
          <w:p w14:paraId="05FC8D48">
            <w:pPr>
              <w:pStyle w:val="41"/>
              <w:rPr>
                <w:color w:val="auto"/>
                <w:highlight w:val="none"/>
                <w:lang w:val="zh-CN"/>
              </w:rPr>
            </w:pPr>
            <w:r>
              <w:rPr>
                <w:color w:val="auto"/>
                <w:highlight w:val="none"/>
                <w:lang w:val="zh-CN"/>
              </w:rPr>
              <w:t>生态功能分区单元</w:t>
            </w:r>
          </w:p>
        </w:tc>
        <w:tc>
          <w:tcPr>
            <w:tcW w:w="855" w:type="pct"/>
            <w:tcBorders>
              <w:tl2br w:val="nil"/>
              <w:tr2bl w:val="nil"/>
            </w:tcBorders>
            <w:vAlign w:val="center"/>
          </w:tcPr>
          <w:p w14:paraId="44C4ACF7">
            <w:pPr>
              <w:pStyle w:val="41"/>
              <w:rPr>
                <w:color w:val="auto"/>
                <w:highlight w:val="none"/>
                <w:lang w:val="zh-CN"/>
              </w:rPr>
            </w:pPr>
            <w:r>
              <w:rPr>
                <w:color w:val="auto"/>
                <w:highlight w:val="none"/>
                <w:lang w:val="zh-CN"/>
              </w:rPr>
              <w:t>生态区</w:t>
            </w:r>
          </w:p>
        </w:tc>
        <w:tc>
          <w:tcPr>
            <w:tcW w:w="3344" w:type="pct"/>
            <w:tcBorders>
              <w:tl2br w:val="nil"/>
              <w:tr2bl w:val="nil"/>
            </w:tcBorders>
            <w:vAlign w:val="center"/>
          </w:tcPr>
          <w:p w14:paraId="482C6735">
            <w:pPr>
              <w:pStyle w:val="41"/>
              <w:rPr>
                <w:color w:val="auto"/>
                <w:highlight w:val="none"/>
                <w:lang w:val="zh-CN"/>
              </w:rPr>
            </w:pPr>
            <w:r>
              <w:rPr>
                <w:color w:val="auto"/>
                <w:highlight w:val="none"/>
                <w:lang w:val="zh-CN"/>
              </w:rPr>
              <w:t>天山山地温性草原、森林生态区</w:t>
            </w:r>
          </w:p>
        </w:tc>
      </w:tr>
      <w:tr w14:paraId="2C21AA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 w:hRule="atLeast"/>
          <w:jc w:val="center"/>
        </w:trPr>
        <w:tc>
          <w:tcPr>
            <w:tcW w:w="800" w:type="pct"/>
            <w:vMerge w:val="continue"/>
            <w:tcBorders>
              <w:tl2br w:val="nil"/>
              <w:tr2bl w:val="nil"/>
            </w:tcBorders>
            <w:vAlign w:val="center"/>
          </w:tcPr>
          <w:p w14:paraId="52C4F29B">
            <w:pPr>
              <w:pStyle w:val="41"/>
              <w:rPr>
                <w:color w:val="auto"/>
                <w:highlight w:val="none"/>
                <w:lang w:val="zh-CN"/>
              </w:rPr>
            </w:pPr>
          </w:p>
        </w:tc>
        <w:tc>
          <w:tcPr>
            <w:tcW w:w="855" w:type="pct"/>
            <w:tcBorders>
              <w:tl2br w:val="nil"/>
              <w:tr2bl w:val="nil"/>
            </w:tcBorders>
            <w:vAlign w:val="center"/>
          </w:tcPr>
          <w:p w14:paraId="689C105A">
            <w:pPr>
              <w:pStyle w:val="41"/>
              <w:rPr>
                <w:color w:val="auto"/>
                <w:highlight w:val="none"/>
                <w:lang w:val="zh-CN"/>
              </w:rPr>
            </w:pPr>
            <w:r>
              <w:rPr>
                <w:color w:val="auto"/>
                <w:highlight w:val="none"/>
                <w:lang w:val="zh-CN"/>
              </w:rPr>
              <w:t>生态亚区</w:t>
            </w:r>
          </w:p>
        </w:tc>
        <w:tc>
          <w:tcPr>
            <w:tcW w:w="3344" w:type="pct"/>
            <w:tcBorders>
              <w:tl2br w:val="nil"/>
              <w:tr2bl w:val="nil"/>
            </w:tcBorders>
            <w:vAlign w:val="center"/>
          </w:tcPr>
          <w:p w14:paraId="462C4A0D">
            <w:pPr>
              <w:pStyle w:val="41"/>
              <w:rPr>
                <w:color w:val="auto"/>
                <w:highlight w:val="none"/>
                <w:lang w:val="zh-CN"/>
              </w:rPr>
            </w:pPr>
            <w:r>
              <w:rPr>
                <w:color w:val="auto"/>
                <w:highlight w:val="none"/>
                <w:lang w:val="zh-CN"/>
              </w:rPr>
              <w:t>天山南坡草原牧业、绿洲农业生态亚区</w:t>
            </w:r>
          </w:p>
        </w:tc>
      </w:tr>
      <w:tr w14:paraId="47FE1F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 w:hRule="atLeast"/>
          <w:jc w:val="center"/>
        </w:trPr>
        <w:tc>
          <w:tcPr>
            <w:tcW w:w="800" w:type="pct"/>
            <w:vMerge w:val="continue"/>
            <w:tcBorders>
              <w:tl2br w:val="nil"/>
              <w:tr2bl w:val="nil"/>
            </w:tcBorders>
            <w:vAlign w:val="center"/>
          </w:tcPr>
          <w:p w14:paraId="2289039E">
            <w:pPr>
              <w:pStyle w:val="41"/>
              <w:rPr>
                <w:color w:val="auto"/>
                <w:highlight w:val="none"/>
                <w:lang w:val="zh-CN"/>
              </w:rPr>
            </w:pPr>
          </w:p>
        </w:tc>
        <w:tc>
          <w:tcPr>
            <w:tcW w:w="855" w:type="pct"/>
            <w:tcBorders>
              <w:tl2br w:val="nil"/>
              <w:tr2bl w:val="nil"/>
            </w:tcBorders>
            <w:vAlign w:val="center"/>
          </w:tcPr>
          <w:p w14:paraId="7D5C8462">
            <w:pPr>
              <w:pStyle w:val="41"/>
              <w:rPr>
                <w:color w:val="auto"/>
                <w:highlight w:val="none"/>
                <w:lang w:val="zh-CN"/>
              </w:rPr>
            </w:pPr>
            <w:r>
              <w:rPr>
                <w:color w:val="auto"/>
                <w:highlight w:val="none"/>
                <w:lang w:val="zh-CN"/>
              </w:rPr>
              <w:t>生态功能区</w:t>
            </w:r>
          </w:p>
        </w:tc>
        <w:tc>
          <w:tcPr>
            <w:tcW w:w="3344" w:type="pct"/>
            <w:tcBorders>
              <w:tl2br w:val="nil"/>
              <w:tr2bl w:val="nil"/>
            </w:tcBorders>
            <w:vAlign w:val="center"/>
          </w:tcPr>
          <w:p w14:paraId="614FA873">
            <w:pPr>
              <w:pStyle w:val="41"/>
              <w:rPr>
                <w:color w:val="auto"/>
                <w:highlight w:val="none"/>
                <w:lang w:val="zh-CN"/>
              </w:rPr>
            </w:pPr>
            <w:r>
              <w:rPr>
                <w:rFonts w:hint="eastAsia"/>
                <w:color w:val="auto"/>
                <w:highlight w:val="none"/>
                <w:lang w:val="zh-CN"/>
              </w:rPr>
              <w:t>天山南坡西段荒漠草原水土流失敏感生态功能区</w:t>
            </w:r>
          </w:p>
        </w:tc>
      </w:tr>
      <w:tr w14:paraId="6C4165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 w:hRule="atLeast"/>
          <w:jc w:val="center"/>
        </w:trPr>
        <w:tc>
          <w:tcPr>
            <w:tcW w:w="1655" w:type="pct"/>
            <w:gridSpan w:val="2"/>
            <w:tcBorders>
              <w:tl2br w:val="nil"/>
              <w:tr2bl w:val="nil"/>
            </w:tcBorders>
            <w:vAlign w:val="center"/>
          </w:tcPr>
          <w:p w14:paraId="7B0DC4B4">
            <w:pPr>
              <w:pStyle w:val="41"/>
              <w:rPr>
                <w:color w:val="auto"/>
                <w:highlight w:val="none"/>
                <w:lang w:val="zh-CN"/>
              </w:rPr>
            </w:pPr>
            <w:r>
              <w:rPr>
                <w:color w:val="auto"/>
                <w:highlight w:val="none"/>
                <w:lang w:val="zh-CN"/>
              </w:rPr>
              <w:t>主要生态服务功能</w:t>
            </w:r>
          </w:p>
        </w:tc>
        <w:tc>
          <w:tcPr>
            <w:tcW w:w="3344" w:type="pct"/>
            <w:tcBorders>
              <w:tl2br w:val="nil"/>
              <w:tr2bl w:val="nil"/>
            </w:tcBorders>
            <w:vAlign w:val="center"/>
          </w:tcPr>
          <w:p w14:paraId="5A403516">
            <w:pPr>
              <w:pStyle w:val="41"/>
              <w:rPr>
                <w:color w:val="auto"/>
                <w:highlight w:val="none"/>
                <w:lang w:val="zh-CN"/>
              </w:rPr>
            </w:pPr>
            <w:r>
              <w:rPr>
                <w:rFonts w:hint="eastAsia"/>
                <w:color w:val="auto"/>
                <w:highlight w:val="none"/>
                <w:lang w:val="zh-CN"/>
              </w:rPr>
              <w:t>土壤保持、荒漠化控制</w:t>
            </w:r>
          </w:p>
        </w:tc>
      </w:tr>
      <w:tr w14:paraId="7A37E0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 w:hRule="atLeast"/>
          <w:jc w:val="center"/>
        </w:trPr>
        <w:tc>
          <w:tcPr>
            <w:tcW w:w="1655" w:type="pct"/>
            <w:gridSpan w:val="2"/>
            <w:tcBorders>
              <w:tl2br w:val="nil"/>
              <w:tr2bl w:val="nil"/>
            </w:tcBorders>
            <w:vAlign w:val="center"/>
          </w:tcPr>
          <w:p w14:paraId="23CDCE28">
            <w:pPr>
              <w:pStyle w:val="41"/>
              <w:rPr>
                <w:color w:val="auto"/>
                <w:highlight w:val="none"/>
                <w:lang w:val="zh-CN"/>
              </w:rPr>
            </w:pPr>
            <w:r>
              <w:rPr>
                <w:color w:val="auto"/>
                <w:highlight w:val="none"/>
                <w:lang w:val="zh-CN"/>
              </w:rPr>
              <w:t>主要生态环境问题</w:t>
            </w:r>
          </w:p>
        </w:tc>
        <w:tc>
          <w:tcPr>
            <w:tcW w:w="3344" w:type="pct"/>
            <w:tcBorders>
              <w:tl2br w:val="nil"/>
              <w:tr2bl w:val="nil"/>
            </w:tcBorders>
          </w:tcPr>
          <w:p w14:paraId="296A9DE3">
            <w:pPr>
              <w:pStyle w:val="41"/>
              <w:rPr>
                <w:color w:val="auto"/>
                <w:highlight w:val="none"/>
                <w:lang w:val="zh-CN"/>
              </w:rPr>
            </w:pPr>
            <w:r>
              <w:rPr>
                <w:rFonts w:hint="eastAsia"/>
                <w:color w:val="auto"/>
                <w:highlight w:val="none"/>
                <w:lang w:val="zh-CN"/>
              </w:rPr>
              <w:t>草场退化、土壤风蚀水蚀</w:t>
            </w:r>
          </w:p>
        </w:tc>
      </w:tr>
      <w:tr w14:paraId="0DBEAD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 w:hRule="atLeast"/>
          <w:jc w:val="center"/>
        </w:trPr>
        <w:tc>
          <w:tcPr>
            <w:tcW w:w="1655" w:type="pct"/>
            <w:gridSpan w:val="2"/>
            <w:tcBorders>
              <w:tl2br w:val="nil"/>
              <w:tr2bl w:val="nil"/>
            </w:tcBorders>
            <w:vAlign w:val="center"/>
          </w:tcPr>
          <w:p w14:paraId="4CB19884">
            <w:pPr>
              <w:pStyle w:val="41"/>
              <w:rPr>
                <w:color w:val="auto"/>
                <w:highlight w:val="none"/>
                <w:lang w:val="zh-CN"/>
              </w:rPr>
            </w:pPr>
            <w:r>
              <w:rPr>
                <w:color w:val="auto"/>
                <w:highlight w:val="none"/>
                <w:lang w:val="zh-CN"/>
              </w:rPr>
              <w:t>主要生态敏感因子、敏感程度</w:t>
            </w:r>
          </w:p>
        </w:tc>
        <w:tc>
          <w:tcPr>
            <w:tcW w:w="3344" w:type="pct"/>
            <w:tcBorders>
              <w:tl2br w:val="nil"/>
              <w:tr2bl w:val="nil"/>
            </w:tcBorders>
            <w:vAlign w:val="center"/>
          </w:tcPr>
          <w:p w14:paraId="5434EEEC">
            <w:pPr>
              <w:pStyle w:val="41"/>
              <w:rPr>
                <w:rFonts w:hint="eastAsia" w:eastAsia="华文中宋"/>
                <w:color w:val="auto"/>
                <w:highlight w:val="none"/>
                <w:lang w:val="zh-CN" w:eastAsia="zh-CN"/>
              </w:rPr>
            </w:pPr>
            <w:r>
              <w:rPr>
                <w:rFonts w:hint="eastAsia"/>
                <w:color w:val="auto"/>
                <w:highlight w:val="none"/>
                <w:lang w:eastAsia="zh-CN"/>
              </w:rPr>
              <w:t>生物多样性和生境不敏感，土壤侵蚀中度敏感，土地沙漠化、土壤盐渍化不敏感。</w:t>
            </w:r>
          </w:p>
        </w:tc>
      </w:tr>
      <w:tr w14:paraId="172808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 w:hRule="atLeast"/>
          <w:jc w:val="center"/>
        </w:trPr>
        <w:tc>
          <w:tcPr>
            <w:tcW w:w="1655" w:type="pct"/>
            <w:gridSpan w:val="2"/>
            <w:tcBorders>
              <w:tl2br w:val="nil"/>
              <w:tr2bl w:val="nil"/>
            </w:tcBorders>
            <w:vAlign w:val="center"/>
          </w:tcPr>
          <w:p w14:paraId="6724116D">
            <w:pPr>
              <w:pStyle w:val="41"/>
              <w:rPr>
                <w:color w:val="auto"/>
                <w:highlight w:val="none"/>
                <w:lang w:val="zh-CN"/>
              </w:rPr>
            </w:pPr>
            <w:r>
              <w:rPr>
                <w:color w:val="auto"/>
                <w:highlight w:val="none"/>
                <w:lang w:val="zh-CN"/>
              </w:rPr>
              <w:t>主要保护目标</w:t>
            </w:r>
          </w:p>
        </w:tc>
        <w:tc>
          <w:tcPr>
            <w:tcW w:w="3344" w:type="pct"/>
            <w:tcBorders>
              <w:tl2br w:val="nil"/>
              <w:tr2bl w:val="nil"/>
            </w:tcBorders>
            <w:vAlign w:val="center"/>
          </w:tcPr>
          <w:p w14:paraId="6DBD6DBE">
            <w:pPr>
              <w:pStyle w:val="41"/>
              <w:rPr>
                <w:color w:val="auto"/>
                <w:highlight w:val="none"/>
                <w:lang w:val="zh-CN"/>
              </w:rPr>
            </w:pPr>
            <w:r>
              <w:rPr>
                <w:rFonts w:hint="eastAsia"/>
                <w:color w:val="auto"/>
                <w:highlight w:val="none"/>
                <w:lang w:val="zh-CN"/>
              </w:rPr>
              <w:t>保护山地草地植被、保护矮沙冬青</w:t>
            </w:r>
          </w:p>
        </w:tc>
      </w:tr>
      <w:tr w14:paraId="17869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 w:hRule="atLeast"/>
          <w:jc w:val="center"/>
        </w:trPr>
        <w:tc>
          <w:tcPr>
            <w:tcW w:w="1655" w:type="pct"/>
            <w:gridSpan w:val="2"/>
            <w:tcBorders>
              <w:tl2br w:val="nil"/>
              <w:tr2bl w:val="nil"/>
            </w:tcBorders>
            <w:vAlign w:val="center"/>
          </w:tcPr>
          <w:p w14:paraId="75DA5DA0">
            <w:pPr>
              <w:pStyle w:val="41"/>
              <w:rPr>
                <w:color w:val="auto"/>
                <w:highlight w:val="none"/>
                <w:lang w:val="zh-CN"/>
              </w:rPr>
            </w:pPr>
            <w:r>
              <w:rPr>
                <w:color w:val="auto"/>
                <w:highlight w:val="none"/>
                <w:lang w:val="zh-CN"/>
              </w:rPr>
              <w:t>主要保护措施</w:t>
            </w:r>
          </w:p>
        </w:tc>
        <w:tc>
          <w:tcPr>
            <w:tcW w:w="3344" w:type="pct"/>
            <w:tcBorders>
              <w:tl2br w:val="nil"/>
              <w:tr2bl w:val="nil"/>
            </w:tcBorders>
            <w:vAlign w:val="center"/>
          </w:tcPr>
          <w:p w14:paraId="5546C87F">
            <w:pPr>
              <w:pStyle w:val="41"/>
              <w:rPr>
                <w:color w:val="auto"/>
                <w:highlight w:val="none"/>
                <w:lang w:val="zh-CN"/>
              </w:rPr>
            </w:pPr>
            <w:r>
              <w:rPr>
                <w:rFonts w:hint="eastAsia"/>
                <w:color w:val="auto"/>
                <w:highlight w:val="none"/>
                <w:lang w:val="zh-CN"/>
              </w:rPr>
              <w:t>草场休牧和减牧、禁止樵采</w:t>
            </w:r>
          </w:p>
        </w:tc>
      </w:tr>
      <w:tr w14:paraId="758A9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 w:hRule="atLeast"/>
          <w:jc w:val="center"/>
        </w:trPr>
        <w:tc>
          <w:tcPr>
            <w:tcW w:w="1655" w:type="pct"/>
            <w:gridSpan w:val="2"/>
            <w:tcBorders>
              <w:tl2br w:val="nil"/>
              <w:tr2bl w:val="nil"/>
            </w:tcBorders>
            <w:vAlign w:val="center"/>
          </w:tcPr>
          <w:p w14:paraId="213F7849">
            <w:pPr>
              <w:pStyle w:val="41"/>
              <w:rPr>
                <w:color w:val="auto"/>
                <w:highlight w:val="none"/>
                <w:lang w:val="zh-CN"/>
              </w:rPr>
            </w:pPr>
            <w:r>
              <w:rPr>
                <w:color w:val="auto"/>
                <w:highlight w:val="none"/>
                <w:lang w:val="zh-CN"/>
              </w:rPr>
              <w:t>适宜发展方向</w:t>
            </w:r>
          </w:p>
        </w:tc>
        <w:tc>
          <w:tcPr>
            <w:tcW w:w="3344" w:type="pct"/>
            <w:tcBorders>
              <w:tl2br w:val="nil"/>
              <w:tr2bl w:val="nil"/>
            </w:tcBorders>
            <w:vAlign w:val="center"/>
          </w:tcPr>
          <w:p w14:paraId="1AF64A3C">
            <w:pPr>
              <w:pStyle w:val="41"/>
              <w:rPr>
                <w:color w:val="auto"/>
                <w:highlight w:val="none"/>
                <w:lang w:val="zh-CN"/>
              </w:rPr>
            </w:pPr>
            <w:r>
              <w:rPr>
                <w:rFonts w:hint="eastAsia"/>
                <w:color w:val="auto"/>
                <w:highlight w:val="none"/>
                <w:lang w:val="zh-CN"/>
              </w:rPr>
              <w:t xml:space="preserve">维护自然生态平衡，发挥草原生态效益。 </w:t>
            </w:r>
          </w:p>
        </w:tc>
      </w:tr>
    </w:tbl>
    <w:p w14:paraId="61F88250">
      <w:pPr>
        <w:pStyle w:val="43"/>
        <w:rPr>
          <w:color w:val="auto"/>
          <w:highlight w:val="none"/>
        </w:rPr>
      </w:pPr>
      <w:r>
        <w:rPr>
          <w:rFonts w:hint="eastAsia"/>
          <w:color w:val="auto"/>
          <w:highlight w:val="none"/>
        </w:rPr>
        <w:t>土地利用类型</w:t>
      </w:r>
    </w:p>
    <w:p w14:paraId="15AC262F">
      <w:pPr>
        <w:pStyle w:val="3"/>
        <w:ind w:firstLine="480"/>
        <w:rPr>
          <w:color w:val="auto"/>
          <w:highlight w:val="none"/>
        </w:rPr>
      </w:pPr>
      <w:r>
        <w:rPr>
          <w:color w:val="auto"/>
          <w:highlight w:val="none"/>
        </w:rPr>
        <w:t>依据《土地利用现状分类》（GB/T 21010-2017），结合</w:t>
      </w:r>
      <w:r>
        <w:rPr>
          <w:rFonts w:hint="eastAsia"/>
          <w:color w:val="auto"/>
          <w:highlight w:val="none"/>
        </w:rPr>
        <w:t>“</w:t>
      </w:r>
      <w:r>
        <w:rPr>
          <w:color w:val="auto"/>
          <w:highlight w:val="none"/>
        </w:rPr>
        <w:t>三调</w:t>
      </w:r>
      <w:r>
        <w:rPr>
          <w:rFonts w:hint="eastAsia"/>
          <w:color w:val="auto"/>
          <w:highlight w:val="none"/>
        </w:rPr>
        <w:t>”</w:t>
      </w:r>
      <w:r>
        <w:rPr>
          <w:color w:val="auto"/>
          <w:highlight w:val="none"/>
        </w:rPr>
        <w:t>成果，把评价区分为</w:t>
      </w:r>
      <w:r>
        <w:rPr>
          <w:rFonts w:hint="eastAsia"/>
          <w:color w:val="auto"/>
          <w:highlight w:val="none"/>
        </w:rPr>
        <w:t>7</w:t>
      </w:r>
      <w:r>
        <w:rPr>
          <w:color w:val="auto"/>
          <w:highlight w:val="none"/>
        </w:rPr>
        <w:t>个二级类。评价区土地利用见图</w:t>
      </w:r>
      <w:r>
        <w:rPr>
          <w:rFonts w:hint="eastAsia"/>
          <w:color w:val="auto"/>
          <w:highlight w:val="none"/>
        </w:rPr>
        <w:t>4.2-3、</w:t>
      </w:r>
      <w:r>
        <w:rPr>
          <w:color w:val="auto"/>
          <w:highlight w:val="none"/>
        </w:rPr>
        <w:t>评价区各土地利用类型面积统计分别见表</w:t>
      </w:r>
      <w:r>
        <w:rPr>
          <w:rFonts w:hint="eastAsia"/>
          <w:color w:val="auto"/>
          <w:highlight w:val="none"/>
        </w:rPr>
        <w:t>4.2-11</w:t>
      </w:r>
      <w:r>
        <w:rPr>
          <w:color w:val="auto"/>
          <w:highlight w:val="none"/>
        </w:rPr>
        <w:t>。</w:t>
      </w:r>
    </w:p>
    <w:p w14:paraId="08419ADD">
      <w:pPr>
        <w:pStyle w:val="40"/>
        <w:rPr>
          <w:color w:val="auto"/>
          <w:highlight w:val="none"/>
        </w:rPr>
      </w:pPr>
      <w:r>
        <w:rPr>
          <w:color w:val="auto"/>
          <w:highlight w:val="none"/>
        </w:rPr>
        <w:t>表</w:t>
      </w:r>
      <w:r>
        <w:rPr>
          <w:rFonts w:hint="eastAsia"/>
          <w:color w:val="auto"/>
          <w:highlight w:val="none"/>
        </w:rPr>
        <w:t>4.2-11</w:t>
      </w:r>
      <w:r>
        <w:rPr>
          <w:color w:val="auto"/>
          <w:highlight w:val="none"/>
        </w:rPr>
        <w:t xml:space="preserve">    评价区及</w:t>
      </w:r>
      <w:r>
        <w:rPr>
          <w:rFonts w:hint="eastAsia"/>
          <w:color w:val="auto"/>
          <w:highlight w:val="none"/>
        </w:rPr>
        <w:t>项目区</w:t>
      </w:r>
      <w:r>
        <w:rPr>
          <w:color w:val="auto"/>
          <w:highlight w:val="none"/>
        </w:rPr>
        <w:t>土地利用类型面积统</w:t>
      </w:r>
      <w:r>
        <w:rPr>
          <w:rFonts w:hint="eastAsia"/>
          <w:color w:val="auto"/>
          <w:highlight w:val="none"/>
        </w:rPr>
        <w:t>计表</w:t>
      </w:r>
    </w:p>
    <w:tbl>
      <w:tblPr>
        <w:tblStyle w:val="25"/>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974"/>
        <w:gridCol w:w="1524"/>
        <w:gridCol w:w="1764"/>
        <w:gridCol w:w="1231"/>
        <w:gridCol w:w="1636"/>
        <w:gridCol w:w="1384"/>
      </w:tblGrid>
      <w:tr w14:paraId="7E648A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597" w:type="pct"/>
            <w:vMerge w:val="restart"/>
            <w:tcBorders>
              <w:tl2br w:val="nil"/>
              <w:tr2bl w:val="nil"/>
            </w:tcBorders>
            <w:shd w:val="clear" w:color="auto" w:fill="auto"/>
            <w:noWrap/>
            <w:vAlign w:val="center"/>
          </w:tcPr>
          <w:p w14:paraId="57DED631">
            <w:pPr>
              <w:pStyle w:val="41"/>
              <w:rPr>
                <w:color w:val="auto"/>
                <w:highlight w:val="none"/>
              </w:rPr>
            </w:pPr>
            <w:r>
              <w:rPr>
                <w:color w:val="auto"/>
                <w:highlight w:val="none"/>
              </w:rPr>
              <w:t>序号</w:t>
            </w:r>
          </w:p>
        </w:tc>
        <w:tc>
          <w:tcPr>
            <w:tcW w:w="920" w:type="pct"/>
            <w:vMerge w:val="restart"/>
            <w:tcBorders>
              <w:tl2br w:val="nil"/>
              <w:tr2bl w:val="nil"/>
            </w:tcBorders>
            <w:shd w:val="clear" w:color="auto" w:fill="auto"/>
            <w:noWrap/>
            <w:vAlign w:val="center"/>
          </w:tcPr>
          <w:p w14:paraId="1ACC01B3">
            <w:pPr>
              <w:pStyle w:val="41"/>
              <w:rPr>
                <w:color w:val="auto"/>
                <w:highlight w:val="none"/>
              </w:rPr>
            </w:pPr>
            <w:r>
              <w:rPr>
                <w:color w:val="auto"/>
                <w:highlight w:val="none"/>
              </w:rPr>
              <w:t>土地类型</w:t>
            </w:r>
          </w:p>
        </w:tc>
        <w:tc>
          <w:tcPr>
            <w:tcW w:w="1658" w:type="pct"/>
            <w:gridSpan w:val="2"/>
            <w:tcBorders>
              <w:tl2br w:val="nil"/>
              <w:tr2bl w:val="nil"/>
            </w:tcBorders>
            <w:shd w:val="clear" w:color="auto" w:fill="auto"/>
            <w:noWrap/>
            <w:vAlign w:val="center"/>
          </w:tcPr>
          <w:p w14:paraId="1F69F916">
            <w:pPr>
              <w:pStyle w:val="41"/>
              <w:rPr>
                <w:color w:val="auto"/>
                <w:highlight w:val="none"/>
              </w:rPr>
            </w:pPr>
            <w:r>
              <w:rPr>
                <w:rFonts w:hint="eastAsia"/>
                <w:color w:val="auto"/>
                <w:highlight w:val="none"/>
              </w:rPr>
              <w:t>评价区</w:t>
            </w:r>
          </w:p>
        </w:tc>
        <w:tc>
          <w:tcPr>
            <w:tcW w:w="1823" w:type="pct"/>
            <w:gridSpan w:val="2"/>
            <w:tcBorders>
              <w:tl2br w:val="nil"/>
              <w:tr2bl w:val="nil"/>
            </w:tcBorders>
            <w:shd w:val="clear" w:color="auto" w:fill="auto"/>
            <w:noWrap/>
            <w:vAlign w:val="center"/>
          </w:tcPr>
          <w:p w14:paraId="3F85784A">
            <w:pPr>
              <w:pStyle w:val="41"/>
              <w:rPr>
                <w:color w:val="auto"/>
                <w:highlight w:val="none"/>
              </w:rPr>
            </w:pPr>
            <w:r>
              <w:rPr>
                <w:rFonts w:hint="eastAsia"/>
                <w:color w:val="auto"/>
                <w:highlight w:val="none"/>
              </w:rPr>
              <w:t>项目区</w:t>
            </w:r>
          </w:p>
        </w:tc>
      </w:tr>
      <w:tr w14:paraId="6218E2F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597" w:type="pct"/>
            <w:vMerge w:val="continue"/>
            <w:tcBorders>
              <w:tl2br w:val="nil"/>
              <w:tr2bl w:val="nil"/>
            </w:tcBorders>
            <w:shd w:val="clear" w:color="auto" w:fill="auto"/>
            <w:noWrap/>
            <w:vAlign w:val="center"/>
          </w:tcPr>
          <w:p w14:paraId="7228AF83">
            <w:pPr>
              <w:pStyle w:val="41"/>
              <w:rPr>
                <w:color w:val="auto"/>
                <w:highlight w:val="none"/>
              </w:rPr>
            </w:pPr>
          </w:p>
        </w:tc>
        <w:tc>
          <w:tcPr>
            <w:tcW w:w="920" w:type="pct"/>
            <w:vMerge w:val="continue"/>
            <w:tcBorders>
              <w:tl2br w:val="nil"/>
              <w:tr2bl w:val="nil"/>
            </w:tcBorders>
            <w:shd w:val="clear" w:color="auto" w:fill="auto"/>
            <w:noWrap/>
            <w:vAlign w:val="center"/>
          </w:tcPr>
          <w:p w14:paraId="1DE23C4A">
            <w:pPr>
              <w:pStyle w:val="41"/>
              <w:rPr>
                <w:color w:val="auto"/>
                <w:highlight w:val="none"/>
              </w:rPr>
            </w:pPr>
          </w:p>
        </w:tc>
        <w:tc>
          <w:tcPr>
            <w:tcW w:w="1061" w:type="pct"/>
            <w:tcBorders>
              <w:tl2br w:val="nil"/>
              <w:tr2bl w:val="nil"/>
            </w:tcBorders>
            <w:shd w:val="clear" w:color="auto" w:fill="auto"/>
            <w:noWrap/>
            <w:vAlign w:val="center"/>
          </w:tcPr>
          <w:p w14:paraId="0B2F9490">
            <w:pPr>
              <w:pStyle w:val="41"/>
              <w:rPr>
                <w:color w:val="auto"/>
                <w:highlight w:val="none"/>
              </w:rPr>
            </w:pPr>
            <w:r>
              <w:rPr>
                <w:color w:val="auto"/>
                <w:highlight w:val="none"/>
              </w:rPr>
              <w:t>面积</w:t>
            </w:r>
            <w:r>
              <w:rPr>
                <w:rFonts w:hint="eastAsia"/>
                <w:color w:val="auto"/>
                <w:highlight w:val="none"/>
                <w:lang w:eastAsia="zh-CN"/>
              </w:rPr>
              <w:t>（</w:t>
            </w:r>
            <w:r>
              <w:rPr>
                <w:color w:val="auto"/>
                <w:highlight w:val="none"/>
              </w:rPr>
              <w:t>公顷</w:t>
            </w:r>
            <w:r>
              <w:rPr>
                <w:rFonts w:hint="eastAsia"/>
                <w:color w:val="auto"/>
                <w:highlight w:val="none"/>
                <w:lang w:eastAsia="zh-CN"/>
              </w:rPr>
              <w:t>）</w:t>
            </w:r>
          </w:p>
        </w:tc>
        <w:tc>
          <w:tcPr>
            <w:tcW w:w="597" w:type="pct"/>
            <w:tcBorders>
              <w:tl2br w:val="nil"/>
              <w:tr2bl w:val="nil"/>
            </w:tcBorders>
            <w:shd w:val="clear" w:color="auto" w:fill="auto"/>
            <w:noWrap/>
            <w:vAlign w:val="center"/>
          </w:tcPr>
          <w:p w14:paraId="3B631C33">
            <w:pPr>
              <w:pStyle w:val="41"/>
              <w:rPr>
                <w:color w:val="auto"/>
                <w:highlight w:val="none"/>
              </w:rPr>
            </w:pPr>
            <w:r>
              <w:rPr>
                <w:rFonts w:hint="eastAsia"/>
                <w:color w:val="auto"/>
                <w:highlight w:val="none"/>
              </w:rPr>
              <w:t>占比（%）</w:t>
            </w:r>
          </w:p>
        </w:tc>
        <w:tc>
          <w:tcPr>
            <w:tcW w:w="986" w:type="pct"/>
            <w:tcBorders>
              <w:tl2br w:val="nil"/>
              <w:tr2bl w:val="nil"/>
            </w:tcBorders>
            <w:shd w:val="clear" w:color="auto" w:fill="auto"/>
            <w:noWrap/>
            <w:vAlign w:val="center"/>
          </w:tcPr>
          <w:p w14:paraId="643D99BB">
            <w:pPr>
              <w:pStyle w:val="41"/>
              <w:rPr>
                <w:color w:val="auto"/>
                <w:highlight w:val="none"/>
              </w:rPr>
            </w:pPr>
            <w:r>
              <w:rPr>
                <w:color w:val="auto"/>
                <w:highlight w:val="none"/>
              </w:rPr>
              <w:t>面积</w:t>
            </w:r>
            <w:r>
              <w:rPr>
                <w:rFonts w:hint="eastAsia"/>
                <w:color w:val="auto"/>
                <w:highlight w:val="none"/>
                <w:lang w:eastAsia="zh-CN"/>
              </w:rPr>
              <w:t>（</w:t>
            </w:r>
            <w:r>
              <w:rPr>
                <w:color w:val="auto"/>
                <w:highlight w:val="none"/>
              </w:rPr>
              <w:t>公顷</w:t>
            </w:r>
            <w:r>
              <w:rPr>
                <w:rFonts w:hint="eastAsia"/>
                <w:color w:val="auto"/>
                <w:highlight w:val="none"/>
                <w:lang w:eastAsia="zh-CN"/>
              </w:rPr>
              <w:t>）</w:t>
            </w:r>
          </w:p>
        </w:tc>
        <w:tc>
          <w:tcPr>
            <w:tcW w:w="837" w:type="pct"/>
            <w:tcBorders>
              <w:tl2br w:val="nil"/>
              <w:tr2bl w:val="nil"/>
            </w:tcBorders>
            <w:shd w:val="clear" w:color="auto" w:fill="auto"/>
            <w:noWrap/>
            <w:vAlign w:val="center"/>
          </w:tcPr>
          <w:p w14:paraId="2A3F8688">
            <w:pPr>
              <w:pStyle w:val="41"/>
              <w:rPr>
                <w:color w:val="auto"/>
                <w:highlight w:val="none"/>
              </w:rPr>
            </w:pPr>
            <w:r>
              <w:rPr>
                <w:rFonts w:hint="eastAsia"/>
                <w:color w:val="auto"/>
                <w:highlight w:val="none"/>
              </w:rPr>
              <w:t>占比（%）</w:t>
            </w:r>
          </w:p>
        </w:tc>
      </w:tr>
      <w:tr w14:paraId="31F1DA6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597" w:type="pct"/>
            <w:tcBorders>
              <w:tl2br w:val="nil"/>
              <w:tr2bl w:val="nil"/>
            </w:tcBorders>
            <w:shd w:val="clear" w:color="auto" w:fill="auto"/>
            <w:noWrap/>
            <w:vAlign w:val="center"/>
          </w:tcPr>
          <w:p w14:paraId="6FC7726B">
            <w:pPr>
              <w:pStyle w:val="41"/>
              <w:rPr>
                <w:color w:val="auto"/>
                <w:highlight w:val="none"/>
              </w:rPr>
            </w:pPr>
            <w:r>
              <w:rPr>
                <w:color w:val="auto"/>
                <w:highlight w:val="none"/>
              </w:rPr>
              <w:t>1</w:t>
            </w:r>
          </w:p>
        </w:tc>
        <w:tc>
          <w:tcPr>
            <w:tcW w:w="920" w:type="pct"/>
            <w:tcBorders>
              <w:tl2br w:val="nil"/>
              <w:tr2bl w:val="nil"/>
            </w:tcBorders>
            <w:shd w:val="clear" w:color="auto" w:fill="auto"/>
            <w:noWrap/>
            <w:vAlign w:val="center"/>
          </w:tcPr>
          <w:p w14:paraId="517D7386">
            <w:pPr>
              <w:pStyle w:val="41"/>
              <w:rPr>
                <w:color w:val="auto"/>
                <w:highlight w:val="none"/>
              </w:rPr>
            </w:pPr>
            <w:r>
              <w:rPr>
                <w:color w:val="auto"/>
                <w:highlight w:val="none"/>
              </w:rPr>
              <w:t>灌木林地</w:t>
            </w:r>
          </w:p>
        </w:tc>
        <w:tc>
          <w:tcPr>
            <w:tcW w:w="1061" w:type="pct"/>
            <w:tcBorders>
              <w:tl2br w:val="nil"/>
              <w:tr2bl w:val="nil"/>
            </w:tcBorders>
            <w:shd w:val="clear" w:color="auto" w:fill="auto"/>
            <w:noWrap/>
            <w:vAlign w:val="center"/>
          </w:tcPr>
          <w:p w14:paraId="54C5B0DF">
            <w:pPr>
              <w:pStyle w:val="41"/>
              <w:rPr>
                <w:color w:val="auto"/>
                <w:highlight w:val="none"/>
              </w:rPr>
            </w:pPr>
            <w:r>
              <w:rPr>
                <w:color w:val="auto"/>
                <w:highlight w:val="none"/>
              </w:rPr>
              <w:t xml:space="preserve">29.65 </w:t>
            </w:r>
          </w:p>
        </w:tc>
        <w:tc>
          <w:tcPr>
            <w:tcW w:w="597" w:type="pct"/>
            <w:tcBorders>
              <w:tl2br w:val="nil"/>
              <w:tr2bl w:val="nil"/>
            </w:tcBorders>
            <w:shd w:val="clear" w:color="auto" w:fill="auto"/>
            <w:noWrap/>
            <w:vAlign w:val="center"/>
          </w:tcPr>
          <w:p w14:paraId="3F1F4902">
            <w:pPr>
              <w:pStyle w:val="41"/>
              <w:rPr>
                <w:color w:val="auto"/>
                <w:highlight w:val="none"/>
              </w:rPr>
            </w:pPr>
            <w:r>
              <w:rPr>
                <w:color w:val="auto"/>
                <w:highlight w:val="none"/>
              </w:rPr>
              <w:t xml:space="preserve">1.53 </w:t>
            </w:r>
          </w:p>
        </w:tc>
        <w:tc>
          <w:tcPr>
            <w:tcW w:w="986" w:type="pct"/>
            <w:tcBorders>
              <w:tl2br w:val="nil"/>
              <w:tr2bl w:val="nil"/>
            </w:tcBorders>
            <w:shd w:val="clear" w:color="auto" w:fill="auto"/>
            <w:noWrap/>
            <w:vAlign w:val="center"/>
          </w:tcPr>
          <w:p w14:paraId="2E409E14">
            <w:pPr>
              <w:pStyle w:val="41"/>
              <w:rPr>
                <w:color w:val="auto"/>
                <w:highlight w:val="none"/>
              </w:rPr>
            </w:pPr>
            <w:r>
              <w:rPr>
                <w:color w:val="auto"/>
                <w:highlight w:val="none"/>
              </w:rPr>
              <w:t xml:space="preserve">1.07 </w:t>
            </w:r>
          </w:p>
        </w:tc>
        <w:tc>
          <w:tcPr>
            <w:tcW w:w="837" w:type="pct"/>
            <w:tcBorders>
              <w:tl2br w:val="nil"/>
              <w:tr2bl w:val="nil"/>
            </w:tcBorders>
            <w:shd w:val="clear" w:color="auto" w:fill="auto"/>
            <w:noWrap/>
            <w:vAlign w:val="center"/>
          </w:tcPr>
          <w:p w14:paraId="7FFD429F">
            <w:pPr>
              <w:pStyle w:val="41"/>
              <w:rPr>
                <w:color w:val="auto"/>
                <w:highlight w:val="none"/>
              </w:rPr>
            </w:pPr>
            <w:r>
              <w:rPr>
                <w:rFonts w:hint="eastAsia"/>
                <w:color w:val="auto"/>
                <w:highlight w:val="none"/>
              </w:rPr>
              <w:t xml:space="preserve">0.83 </w:t>
            </w:r>
          </w:p>
        </w:tc>
      </w:tr>
      <w:tr w14:paraId="43142D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597" w:type="pct"/>
            <w:tcBorders>
              <w:tl2br w:val="nil"/>
              <w:tr2bl w:val="nil"/>
            </w:tcBorders>
            <w:shd w:val="clear" w:color="auto" w:fill="auto"/>
            <w:noWrap/>
            <w:vAlign w:val="center"/>
          </w:tcPr>
          <w:p w14:paraId="26547903">
            <w:pPr>
              <w:pStyle w:val="41"/>
              <w:rPr>
                <w:color w:val="auto"/>
                <w:highlight w:val="none"/>
              </w:rPr>
            </w:pPr>
            <w:r>
              <w:rPr>
                <w:color w:val="auto"/>
                <w:highlight w:val="none"/>
              </w:rPr>
              <w:t>2</w:t>
            </w:r>
          </w:p>
        </w:tc>
        <w:tc>
          <w:tcPr>
            <w:tcW w:w="920" w:type="pct"/>
            <w:tcBorders>
              <w:tl2br w:val="nil"/>
              <w:tr2bl w:val="nil"/>
            </w:tcBorders>
            <w:shd w:val="clear" w:color="auto" w:fill="auto"/>
            <w:noWrap/>
            <w:vAlign w:val="center"/>
          </w:tcPr>
          <w:p w14:paraId="11B32888">
            <w:pPr>
              <w:pStyle w:val="41"/>
              <w:rPr>
                <w:color w:val="auto"/>
                <w:highlight w:val="none"/>
              </w:rPr>
            </w:pPr>
            <w:r>
              <w:rPr>
                <w:color w:val="auto"/>
                <w:highlight w:val="none"/>
              </w:rPr>
              <w:t>其他草地</w:t>
            </w:r>
          </w:p>
        </w:tc>
        <w:tc>
          <w:tcPr>
            <w:tcW w:w="1061" w:type="pct"/>
            <w:tcBorders>
              <w:tl2br w:val="nil"/>
              <w:tr2bl w:val="nil"/>
            </w:tcBorders>
            <w:shd w:val="clear" w:color="auto" w:fill="auto"/>
            <w:noWrap/>
            <w:vAlign w:val="center"/>
          </w:tcPr>
          <w:p w14:paraId="2126A4FA">
            <w:pPr>
              <w:pStyle w:val="41"/>
              <w:rPr>
                <w:color w:val="auto"/>
                <w:highlight w:val="none"/>
              </w:rPr>
            </w:pPr>
            <w:r>
              <w:rPr>
                <w:color w:val="auto"/>
                <w:highlight w:val="none"/>
              </w:rPr>
              <w:t xml:space="preserve">108.11 </w:t>
            </w:r>
          </w:p>
        </w:tc>
        <w:tc>
          <w:tcPr>
            <w:tcW w:w="597" w:type="pct"/>
            <w:tcBorders>
              <w:tl2br w:val="nil"/>
              <w:tr2bl w:val="nil"/>
            </w:tcBorders>
            <w:shd w:val="clear" w:color="auto" w:fill="auto"/>
            <w:noWrap/>
            <w:vAlign w:val="center"/>
          </w:tcPr>
          <w:p w14:paraId="6293CDCE">
            <w:pPr>
              <w:pStyle w:val="41"/>
              <w:rPr>
                <w:color w:val="auto"/>
                <w:highlight w:val="none"/>
              </w:rPr>
            </w:pPr>
            <w:r>
              <w:rPr>
                <w:color w:val="auto"/>
                <w:highlight w:val="none"/>
              </w:rPr>
              <w:t xml:space="preserve">5.58 </w:t>
            </w:r>
          </w:p>
        </w:tc>
        <w:tc>
          <w:tcPr>
            <w:tcW w:w="986" w:type="pct"/>
            <w:tcBorders>
              <w:tl2br w:val="nil"/>
              <w:tr2bl w:val="nil"/>
            </w:tcBorders>
            <w:shd w:val="clear" w:color="auto" w:fill="auto"/>
            <w:noWrap/>
            <w:vAlign w:val="center"/>
          </w:tcPr>
          <w:p w14:paraId="5B4B4082">
            <w:pPr>
              <w:pStyle w:val="41"/>
              <w:rPr>
                <w:color w:val="auto"/>
                <w:highlight w:val="none"/>
              </w:rPr>
            </w:pPr>
            <w:r>
              <w:rPr>
                <w:color w:val="auto"/>
                <w:highlight w:val="none"/>
              </w:rPr>
              <w:t xml:space="preserve">8.23 </w:t>
            </w:r>
          </w:p>
        </w:tc>
        <w:tc>
          <w:tcPr>
            <w:tcW w:w="837" w:type="pct"/>
            <w:tcBorders>
              <w:tl2br w:val="nil"/>
              <w:tr2bl w:val="nil"/>
            </w:tcBorders>
            <w:shd w:val="clear" w:color="auto" w:fill="auto"/>
            <w:noWrap/>
            <w:vAlign w:val="center"/>
          </w:tcPr>
          <w:p w14:paraId="70F6B1E9">
            <w:pPr>
              <w:pStyle w:val="41"/>
              <w:rPr>
                <w:color w:val="auto"/>
                <w:highlight w:val="none"/>
              </w:rPr>
            </w:pPr>
            <w:r>
              <w:rPr>
                <w:rFonts w:hint="eastAsia"/>
                <w:color w:val="auto"/>
                <w:highlight w:val="none"/>
              </w:rPr>
              <w:t xml:space="preserve">6.41 </w:t>
            </w:r>
          </w:p>
        </w:tc>
      </w:tr>
      <w:tr w14:paraId="14D9E32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597" w:type="pct"/>
            <w:tcBorders>
              <w:tl2br w:val="nil"/>
              <w:tr2bl w:val="nil"/>
            </w:tcBorders>
            <w:shd w:val="clear" w:color="auto" w:fill="auto"/>
            <w:noWrap/>
            <w:vAlign w:val="center"/>
          </w:tcPr>
          <w:p w14:paraId="78116433">
            <w:pPr>
              <w:pStyle w:val="41"/>
              <w:rPr>
                <w:color w:val="auto"/>
                <w:highlight w:val="none"/>
              </w:rPr>
            </w:pPr>
            <w:r>
              <w:rPr>
                <w:color w:val="auto"/>
                <w:highlight w:val="none"/>
              </w:rPr>
              <w:t>3</w:t>
            </w:r>
          </w:p>
        </w:tc>
        <w:tc>
          <w:tcPr>
            <w:tcW w:w="920" w:type="pct"/>
            <w:tcBorders>
              <w:tl2br w:val="nil"/>
              <w:tr2bl w:val="nil"/>
            </w:tcBorders>
            <w:shd w:val="clear" w:color="auto" w:fill="auto"/>
            <w:noWrap/>
            <w:vAlign w:val="center"/>
          </w:tcPr>
          <w:p w14:paraId="4E3DEADE">
            <w:pPr>
              <w:pStyle w:val="41"/>
              <w:rPr>
                <w:color w:val="auto"/>
                <w:highlight w:val="none"/>
              </w:rPr>
            </w:pPr>
            <w:r>
              <w:rPr>
                <w:color w:val="auto"/>
                <w:highlight w:val="none"/>
              </w:rPr>
              <w:t>裸岩石砾地</w:t>
            </w:r>
          </w:p>
        </w:tc>
        <w:tc>
          <w:tcPr>
            <w:tcW w:w="1061" w:type="pct"/>
            <w:tcBorders>
              <w:tl2br w:val="nil"/>
              <w:tr2bl w:val="nil"/>
            </w:tcBorders>
            <w:shd w:val="clear" w:color="auto" w:fill="auto"/>
            <w:noWrap/>
            <w:vAlign w:val="center"/>
          </w:tcPr>
          <w:p w14:paraId="386827AE">
            <w:pPr>
              <w:pStyle w:val="41"/>
              <w:rPr>
                <w:color w:val="auto"/>
                <w:highlight w:val="none"/>
              </w:rPr>
            </w:pPr>
            <w:r>
              <w:rPr>
                <w:color w:val="auto"/>
                <w:highlight w:val="none"/>
              </w:rPr>
              <w:t xml:space="preserve">1357.69 </w:t>
            </w:r>
          </w:p>
        </w:tc>
        <w:tc>
          <w:tcPr>
            <w:tcW w:w="597" w:type="pct"/>
            <w:tcBorders>
              <w:tl2br w:val="nil"/>
              <w:tr2bl w:val="nil"/>
            </w:tcBorders>
            <w:shd w:val="clear" w:color="auto" w:fill="auto"/>
            <w:noWrap/>
            <w:vAlign w:val="center"/>
          </w:tcPr>
          <w:p w14:paraId="0EC720AC">
            <w:pPr>
              <w:pStyle w:val="41"/>
              <w:rPr>
                <w:color w:val="auto"/>
                <w:highlight w:val="none"/>
              </w:rPr>
            </w:pPr>
            <w:r>
              <w:rPr>
                <w:color w:val="auto"/>
                <w:highlight w:val="none"/>
              </w:rPr>
              <w:t xml:space="preserve">70.11 </w:t>
            </w:r>
          </w:p>
        </w:tc>
        <w:tc>
          <w:tcPr>
            <w:tcW w:w="986" w:type="pct"/>
            <w:tcBorders>
              <w:tl2br w:val="nil"/>
              <w:tr2bl w:val="nil"/>
            </w:tcBorders>
            <w:shd w:val="clear" w:color="auto" w:fill="auto"/>
            <w:noWrap/>
            <w:vAlign w:val="center"/>
          </w:tcPr>
          <w:p w14:paraId="083D0D87">
            <w:pPr>
              <w:pStyle w:val="41"/>
              <w:rPr>
                <w:color w:val="auto"/>
                <w:highlight w:val="none"/>
              </w:rPr>
            </w:pPr>
            <w:r>
              <w:rPr>
                <w:color w:val="auto"/>
                <w:highlight w:val="none"/>
              </w:rPr>
              <w:t xml:space="preserve">87.41 </w:t>
            </w:r>
          </w:p>
        </w:tc>
        <w:tc>
          <w:tcPr>
            <w:tcW w:w="837" w:type="pct"/>
            <w:tcBorders>
              <w:tl2br w:val="nil"/>
              <w:tr2bl w:val="nil"/>
            </w:tcBorders>
            <w:shd w:val="clear" w:color="auto" w:fill="auto"/>
            <w:noWrap/>
            <w:vAlign w:val="center"/>
          </w:tcPr>
          <w:p w14:paraId="293C9982">
            <w:pPr>
              <w:pStyle w:val="41"/>
              <w:rPr>
                <w:color w:val="auto"/>
                <w:highlight w:val="none"/>
              </w:rPr>
            </w:pPr>
            <w:r>
              <w:rPr>
                <w:rFonts w:hint="eastAsia"/>
                <w:color w:val="auto"/>
                <w:highlight w:val="none"/>
              </w:rPr>
              <w:t xml:space="preserve">68.13 </w:t>
            </w:r>
          </w:p>
        </w:tc>
      </w:tr>
      <w:tr w14:paraId="16E97A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597" w:type="pct"/>
            <w:tcBorders>
              <w:tl2br w:val="nil"/>
              <w:tr2bl w:val="nil"/>
            </w:tcBorders>
            <w:shd w:val="clear" w:color="auto" w:fill="auto"/>
            <w:noWrap/>
            <w:vAlign w:val="center"/>
          </w:tcPr>
          <w:p w14:paraId="05ECEBC0">
            <w:pPr>
              <w:pStyle w:val="41"/>
              <w:rPr>
                <w:color w:val="auto"/>
                <w:highlight w:val="none"/>
              </w:rPr>
            </w:pPr>
            <w:r>
              <w:rPr>
                <w:color w:val="auto"/>
                <w:highlight w:val="none"/>
              </w:rPr>
              <w:t>4</w:t>
            </w:r>
          </w:p>
        </w:tc>
        <w:tc>
          <w:tcPr>
            <w:tcW w:w="920" w:type="pct"/>
            <w:tcBorders>
              <w:tl2br w:val="nil"/>
              <w:tr2bl w:val="nil"/>
            </w:tcBorders>
            <w:shd w:val="clear" w:color="auto" w:fill="auto"/>
            <w:noWrap/>
            <w:vAlign w:val="center"/>
          </w:tcPr>
          <w:p w14:paraId="6D1CD347">
            <w:pPr>
              <w:pStyle w:val="41"/>
              <w:rPr>
                <w:color w:val="auto"/>
                <w:highlight w:val="none"/>
              </w:rPr>
            </w:pPr>
            <w:r>
              <w:rPr>
                <w:color w:val="auto"/>
                <w:highlight w:val="none"/>
              </w:rPr>
              <w:t>裸土地</w:t>
            </w:r>
          </w:p>
        </w:tc>
        <w:tc>
          <w:tcPr>
            <w:tcW w:w="1061" w:type="pct"/>
            <w:tcBorders>
              <w:tl2br w:val="nil"/>
              <w:tr2bl w:val="nil"/>
            </w:tcBorders>
            <w:shd w:val="clear" w:color="auto" w:fill="auto"/>
            <w:noWrap/>
            <w:vAlign w:val="center"/>
          </w:tcPr>
          <w:p w14:paraId="05E24348">
            <w:pPr>
              <w:pStyle w:val="41"/>
              <w:rPr>
                <w:color w:val="auto"/>
                <w:highlight w:val="none"/>
              </w:rPr>
            </w:pPr>
            <w:r>
              <w:rPr>
                <w:color w:val="auto"/>
                <w:highlight w:val="none"/>
              </w:rPr>
              <w:t xml:space="preserve">362.54 </w:t>
            </w:r>
          </w:p>
        </w:tc>
        <w:tc>
          <w:tcPr>
            <w:tcW w:w="597" w:type="pct"/>
            <w:tcBorders>
              <w:tl2br w:val="nil"/>
              <w:tr2bl w:val="nil"/>
            </w:tcBorders>
            <w:shd w:val="clear" w:color="auto" w:fill="auto"/>
            <w:noWrap/>
            <w:vAlign w:val="center"/>
          </w:tcPr>
          <w:p w14:paraId="543BD7A1">
            <w:pPr>
              <w:pStyle w:val="41"/>
              <w:rPr>
                <w:color w:val="auto"/>
                <w:highlight w:val="none"/>
              </w:rPr>
            </w:pPr>
            <w:r>
              <w:rPr>
                <w:color w:val="auto"/>
                <w:highlight w:val="none"/>
              </w:rPr>
              <w:t xml:space="preserve">18.72 </w:t>
            </w:r>
          </w:p>
        </w:tc>
        <w:tc>
          <w:tcPr>
            <w:tcW w:w="986" w:type="pct"/>
            <w:tcBorders>
              <w:tl2br w:val="nil"/>
              <w:tr2bl w:val="nil"/>
            </w:tcBorders>
            <w:shd w:val="clear" w:color="auto" w:fill="auto"/>
            <w:noWrap/>
            <w:vAlign w:val="center"/>
          </w:tcPr>
          <w:p w14:paraId="16CC175A">
            <w:pPr>
              <w:pStyle w:val="41"/>
              <w:rPr>
                <w:color w:val="auto"/>
                <w:highlight w:val="none"/>
              </w:rPr>
            </w:pPr>
            <w:r>
              <w:rPr>
                <w:color w:val="auto"/>
                <w:highlight w:val="none"/>
              </w:rPr>
              <w:t xml:space="preserve">5.63 </w:t>
            </w:r>
          </w:p>
        </w:tc>
        <w:tc>
          <w:tcPr>
            <w:tcW w:w="837" w:type="pct"/>
            <w:tcBorders>
              <w:tl2br w:val="nil"/>
              <w:tr2bl w:val="nil"/>
            </w:tcBorders>
            <w:shd w:val="clear" w:color="auto" w:fill="auto"/>
            <w:noWrap/>
            <w:vAlign w:val="center"/>
          </w:tcPr>
          <w:p w14:paraId="2EA8A5B2">
            <w:pPr>
              <w:pStyle w:val="41"/>
              <w:rPr>
                <w:color w:val="auto"/>
                <w:highlight w:val="none"/>
              </w:rPr>
            </w:pPr>
            <w:r>
              <w:rPr>
                <w:rFonts w:hint="eastAsia"/>
                <w:color w:val="auto"/>
                <w:highlight w:val="none"/>
              </w:rPr>
              <w:t xml:space="preserve">4.39 </w:t>
            </w:r>
          </w:p>
        </w:tc>
      </w:tr>
      <w:tr w14:paraId="62392F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597" w:type="pct"/>
            <w:tcBorders>
              <w:tl2br w:val="nil"/>
              <w:tr2bl w:val="nil"/>
            </w:tcBorders>
            <w:shd w:val="clear" w:color="auto" w:fill="auto"/>
            <w:noWrap/>
            <w:vAlign w:val="center"/>
          </w:tcPr>
          <w:p w14:paraId="161BBBB8">
            <w:pPr>
              <w:pStyle w:val="41"/>
              <w:rPr>
                <w:color w:val="auto"/>
                <w:highlight w:val="none"/>
              </w:rPr>
            </w:pPr>
            <w:r>
              <w:rPr>
                <w:color w:val="auto"/>
                <w:highlight w:val="none"/>
              </w:rPr>
              <w:t>5</w:t>
            </w:r>
          </w:p>
        </w:tc>
        <w:tc>
          <w:tcPr>
            <w:tcW w:w="920" w:type="pct"/>
            <w:tcBorders>
              <w:tl2br w:val="nil"/>
              <w:tr2bl w:val="nil"/>
            </w:tcBorders>
            <w:shd w:val="clear" w:color="auto" w:fill="auto"/>
            <w:noWrap/>
            <w:vAlign w:val="center"/>
          </w:tcPr>
          <w:p w14:paraId="40FD3B3D">
            <w:pPr>
              <w:pStyle w:val="41"/>
              <w:rPr>
                <w:color w:val="auto"/>
                <w:highlight w:val="none"/>
              </w:rPr>
            </w:pPr>
            <w:r>
              <w:rPr>
                <w:color w:val="auto"/>
                <w:highlight w:val="none"/>
              </w:rPr>
              <w:t>工矿用地</w:t>
            </w:r>
          </w:p>
        </w:tc>
        <w:tc>
          <w:tcPr>
            <w:tcW w:w="1061" w:type="pct"/>
            <w:tcBorders>
              <w:tl2br w:val="nil"/>
              <w:tr2bl w:val="nil"/>
            </w:tcBorders>
            <w:shd w:val="clear" w:color="auto" w:fill="auto"/>
            <w:noWrap/>
            <w:vAlign w:val="center"/>
          </w:tcPr>
          <w:p w14:paraId="4DD6723E">
            <w:pPr>
              <w:pStyle w:val="41"/>
              <w:rPr>
                <w:color w:val="auto"/>
                <w:highlight w:val="none"/>
              </w:rPr>
            </w:pPr>
            <w:r>
              <w:rPr>
                <w:color w:val="auto"/>
                <w:highlight w:val="none"/>
              </w:rPr>
              <w:t xml:space="preserve">55.47 </w:t>
            </w:r>
          </w:p>
        </w:tc>
        <w:tc>
          <w:tcPr>
            <w:tcW w:w="597" w:type="pct"/>
            <w:tcBorders>
              <w:tl2br w:val="nil"/>
              <w:tr2bl w:val="nil"/>
            </w:tcBorders>
            <w:shd w:val="clear" w:color="auto" w:fill="auto"/>
            <w:noWrap/>
            <w:vAlign w:val="center"/>
          </w:tcPr>
          <w:p w14:paraId="36E9A19F">
            <w:pPr>
              <w:pStyle w:val="41"/>
              <w:rPr>
                <w:color w:val="auto"/>
                <w:highlight w:val="none"/>
              </w:rPr>
            </w:pPr>
            <w:r>
              <w:rPr>
                <w:color w:val="auto"/>
                <w:highlight w:val="none"/>
              </w:rPr>
              <w:t xml:space="preserve">2.86 </w:t>
            </w:r>
          </w:p>
        </w:tc>
        <w:tc>
          <w:tcPr>
            <w:tcW w:w="986" w:type="pct"/>
            <w:tcBorders>
              <w:tl2br w:val="nil"/>
              <w:tr2bl w:val="nil"/>
            </w:tcBorders>
            <w:shd w:val="clear" w:color="auto" w:fill="auto"/>
            <w:noWrap/>
            <w:vAlign w:val="center"/>
          </w:tcPr>
          <w:p w14:paraId="3BEA1639">
            <w:pPr>
              <w:pStyle w:val="41"/>
              <w:rPr>
                <w:color w:val="auto"/>
                <w:highlight w:val="none"/>
              </w:rPr>
            </w:pPr>
            <w:r>
              <w:rPr>
                <w:color w:val="auto"/>
                <w:highlight w:val="none"/>
              </w:rPr>
              <w:t xml:space="preserve">23.81 </w:t>
            </w:r>
          </w:p>
        </w:tc>
        <w:tc>
          <w:tcPr>
            <w:tcW w:w="837" w:type="pct"/>
            <w:tcBorders>
              <w:tl2br w:val="nil"/>
              <w:tr2bl w:val="nil"/>
            </w:tcBorders>
            <w:shd w:val="clear" w:color="auto" w:fill="auto"/>
            <w:noWrap/>
            <w:vAlign w:val="center"/>
          </w:tcPr>
          <w:p w14:paraId="1E634ACC">
            <w:pPr>
              <w:pStyle w:val="41"/>
              <w:rPr>
                <w:color w:val="auto"/>
                <w:highlight w:val="none"/>
              </w:rPr>
            </w:pPr>
            <w:r>
              <w:rPr>
                <w:rFonts w:hint="eastAsia"/>
                <w:color w:val="auto"/>
                <w:highlight w:val="none"/>
              </w:rPr>
              <w:t xml:space="preserve">18.56 </w:t>
            </w:r>
          </w:p>
        </w:tc>
      </w:tr>
      <w:tr w14:paraId="5F9BBA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597" w:type="pct"/>
            <w:tcBorders>
              <w:tl2br w:val="nil"/>
              <w:tr2bl w:val="nil"/>
            </w:tcBorders>
            <w:shd w:val="clear" w:color="auto" w:fill="auto"/>
            <w:noWrap/>
            <w:vAlign w:val="center"/>
          </w:tcPr>
          <w:p w14:paraId="46E12975">
            <w:pPr>
              <w:pStyle w:val="41"/>
              <w:rPr>
                <w:color w:val="auto"/>
                <w:highlight w:val="none"/>
              </w:rPr>
            </w:pPr>
            <w:r>
              <w:rPr>
                <w:color w:val="auto"/>
                <w:highlight w:val="none"/>
              </w:rPr>
              <w:t>6</w:t>
            </w:r>
          </w:p>
        </w:tc>
        <w:tc>
          <w:tcPr>
            <w:tcW w:w="920" w:type="pct"/>
            <w:tcBorders>
              <w:tl2br w:val="nil"/>
              <w:tr2bl w:val="nil"/>
            </w:tcBorders>
            <w:shd w:val="clear" w:color="auto" w:fill="auto"/>
            <w:noWrap/>
            <w:vAlign w:val="center"/>
          </w:tcPr>
          <w:p w14:paraId="4700380F">
            <w:pPr>
              <w:pStyle w:val="41"/>
              <w:rPr>
                <w:color w:val="auto"/>
                <w:highlight w:val="none"/>
              </w:rPr>
            </w:pPr>
            <w:r>
              <w:rPr>
                <w:color w:val="auto"/>
                <w:highlight w:val="none"/>
              </w:rPr>
              <w:t>道路用地</w:t>
            </w:r>
          </w:p>
        </w:tc>
        <w:tc>
          <w:tcPr>
            <w:tcW w:w="1061" w:type="pct"/>
            <w:tcBorders>
              <w:tl2br w:val="nil"/>
              <w:tr2bl w:val="nil"/>
            </w:tcBorders>
            <w:shd w:val="clear" w:color="auto" w:fill="auto"/>
            <w:noWrap/>
            <w:vAlign w:val="center"/>
          </w:tcPr>
          <w:p w14:paraId="6E736705">
            <w:pPr>
              <w:pStyle w:val="41"/>
              <w:rPr>
                <w:color w:val="auto"/>
                <w:highlight w:val="none"/>
              </w:rPr>
            </w:pPr>
            <w:r>
              <w:rPr>
                <w:color w:val="auto"/>
                <w:highlight w:val="none"/>
              </w:rPr>
              <w:t xml:space="preserve">8.77 </w:t>
            </w:r>
          </w:p>
        </w:tc>
        <w:tc>
          <w:tcPr>
            <w:tcW w:w="597" w:type="pct"/>
            <w:tcBorders>
              <w:tl2br w:val="nil"/>
              <w:tr2bl w:val="nil"/>
            </w:tcBorders>
            <w:shd w:val="clear" w:color="auto" w:fill="auto"/>
            <w:noWrap/>
            <w:vAlign w:val="center"/>
          </w:tcPr>
          <w:p w14:paraId="5C442745">
            <w:pPr>
              <w:pStyle w:val="41"/>
              <w:rPr>
                <w:color w:val="auto"/>
                <w:highlight w:val="none"/>
              </w:rPr>
            </w:pPr>
            <w:r>
              <w:rPr>
                <w:color w:val="auto"/>
                <w:highlight w:val="none"/>
              </w:rPr>
              <w:t xml:space="preserve">0.45 </w:t>
            </w:r>
          </w:p>
        </w:tc>
        <w:tc>
          <w:tcPr>
            <w:tcW w:w="986" w:type="pct"/>
            <w:tcBorders>
              <w:tl2br w:val="nil"/>
              <w:tr2bl w:val="nil"/>
            </w:tcBorders>
            <w:shd w:val="clear" w:color="auto" w:fill="auto"/>
            <w:noWrap/>
            <w:vAlign w:val="center"/>
          </w:tcPr>
          <w:p w14:paraId="3DA37708">
            <w:pPr>
              <w:pStyle w:val="41"/>
              <w:rPr>
                <w:color w:val="auto"/>
                <w:highlight w:val="none"/>
              </w:rPr>
            </w:pPr>
            <w:r>
              <w:rPr>
                <w:color w:val="auto"/>
                <w:highlight w:val="none"/>
              </w:rPr>
              <w:t xml:space="preserve">1.44 </w:t>
            </w:r>
          </w:p>
        </w:tc>
        <w:tc>
          <w:tcPr>
            <w:tcW w:w="837" w:type="pct"/>
            <w:tcBorders>
              <w:tl2br w:val="nil"/>
              <w:tr2bl w:val="nil"/>
            </w:tcBorders>
            <w:shd w:val="clear" w:color="auto" w:fill="auto"/>
            <w:noWrap/>
            <w:vAlign w:val="center"/>
          </w:tcPr>
          <w:p w14:paraId="431A3623">
            <w:pPr>
              <w:pStyle w:val="41"/>
              <w:rPr>
                <w:color w:val="auto"/>
                <w:highlight w:val="none"/>
              </w:rPr>
            </w:pPr>
            <w:r>
              <w:rPr>
                <w:rFonts w:hint="eastAsia"/>
                <w:color w:val="auto"/>
                <w:highlight w:val="none"/>
              </w:rPr>
              <w:t xml:space="preserve">1.12 </w:t>
            </w:r>
          </w:p>
        </w:tc>
      </w:tr>
      <w:tr w14:paraId="09DBF0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597" w:type="pct"/>
            <w:tcBorders>
              <w:tl2br w:val="nil"/>
              <w:tr2bl w:val="nil"/>
            </w:tcBorders>
            <w:shd w:val="clear" w:color="auto" w:fill="auto"/>
            <w:noWrap/>
            <w:vAlign w:val="center"/>
          </w:tcPr>
          <w:p w14:paraId="744CB088">
            <w:pPr>
              <w:pStyle w:val="41"/>
              <w:rPr>
                <w:color w:val="auto"/>
                <w:highlight w:val="none"/>
              </w:rPr>
            </w:pPr>
            <w:r>
              <w:rPr>
                <w:color w:val="auto"/>
                <w:highlight w:val="none"/>
              </w:rPr>
              <w:t>7</w:t>
            </w:r>
          </w:p>
        </w:tc>
        <w:tc>
          <w:tcPr>
            <w:tcW w:w="920" w:type="pct"/>
            <w:tcBorders>
              <w:tl2br w:val="nil"/>
              <w:tr2bl w:val="nil"/>
            </w:tcBorders>
            <w:shd w:val="clear" w:color="auto" w:fill="auto"/>
            <w:noWrap/>
            <w:vAlign w:val="center"/>
          </w:tcPr>
          <w:p w14:paraId="3D1D3AAE">
            <w:pPr>
              <w:pStyle w:val="41"/>
              <w:rPr>
                <w:color w:val="auto"/>
                <w:highlight w:val="none"/>
              </w:rPr>
            </w:pPr>
            <w:r>
              <w:rPr>
                <w:color w:val="auto"/>
                <w:highlight w:val="none"/>
              </w:rPr>
              <w:t>河流水域</w:t>
            </w:r>
          </w:p>
        </w:tc>
        <w:tc>
          <w:tcPr>
            <w:tcW w:w="1061" w:type="pct"/>
            <w:tcBorders>
              <w:tl2br w:val="nil"/>
              <w:tr2bl w:val="nil"/>
            </w:tcBorders>
            <w:shd w:val="clear" w:color="auto" w:fill="auto"/>
            <w:noWrap/>
            <w:vAlign w:val="center"/>
          </w:tcPr>
          <w:p w14:paraId="256106FF">
            <w:pPr>
              <w:pStyle w:val="41"/>
              <w:rPr>
                <w:color w:val="auto"/>
                <w:highlight w:val="none"/>
              </w:rPr>
            </w:pPr>
            <w:r>
              <w:rPr>
                <w:color w:val="auto"/>
                <w:highlight w:val="none"/>
              </w:rPr>
              <w:t xml:space="preserve">14.17 </w:t>
            </w:r>
          </w:p>
        </w:tc>
        <w:tc>
          <w:tcPr>
            <w:tcW w:w="597" w:type="pct"/>
            <w:tcBorders>
              <w:tl2br w:val="nil"/>
              <w:tr2bl w:val="nil"/>
            </w:tcBorders>
            <w:shd w:val="clear" w:color="auto" w:fill="auto"/>
            <w:noWrap/>
            <w:vAlign w:val="center"/>
          </w:tcPr>
          <w:p w14:paraId="165619B0">
            <w:pPr>
              <w:pStyle w:val="41"/>
              <w:rPr>
                <w:color w:val="auto"/>
                <w:highlight w:val="none"/>
              </w:rPr>
            </w:pPr>
            <w:r>
              <w:rPr>
                <w:color w:val="auto"/>
                <w:highlight w:val="none"/>
              </w:rPr>
              <w:t xml:space="preserve">0.73 </w:t>
            </w:r>
          </w:p>
        </w:tc>
        <w:tc>
          <w:tcPr>
            <w:tcW w:w="986" w:type="pct"/>
            <w:tcBorders>
              <w:tl2br w:val="nil"/>
              <w:tr2bl w:val="nil"/>
            </w:tcBorders>
            <w:shd w:val="clear" w:color="auto" w:fill="auto"/>
            <w:noWrap/>
            <w:vAlign w:val="center"/>
          </w:tcPr>
          <w:p w14:paraId="00243F7F">
            <w:pPr>
              <w:pStyle w:val="41"/>
              <w:rPr>
                <w:color w:val="auto"/>
                <w:highlight w:val="none"/>
              </w:rPr>
            </w:pPr>
            <w:r>
              <w:rPr>
                <w:color w:val="auto"/>
                <w:highlight w:val="none"/>
              </w:rPr>
              <w:t xml:space="preserve">0.71 </w:t>
            </w:r>
          </w:p>
        </w:tc>
        <w:tc>
          <w:tcPr>
            <w:tcW w:w="837" w:type="pct"/>
            <w:tcBorders>
              <w:tl2br w:val="nil"/>
              <w:tr2bl w:val="nil"/>
            </w:tcBorders>
            <w:shd w:val="clear" w:color="auto" w:fill="auto"/>
            <w:noWrap/>
            <w:vAlign w:val="center"/>
          </w:tcPr>
          <w:p w14:paraId="09A4945A">
            <w:pPr>
              <w:pStyle w:val="41"/>
              <w:rPr>
                <w:color w:val="auto"/>
                <w:highlight w:val="none"/>
              </w:rPr>
            </w:pPr>
            <w:r>
              <w:rPr>
                <w:rFonts w:hint="eastAsia"/>
                <w:color w:val="auto"/>
                <w:highlight w:val="none"/>
              </w:rPr>
              <w:t xml:space="preserve">0.55 </w:t>
            </w:r>
          </w:p>
        </w:tc>
      </w:tr>
      <w:tr w14:paraId="1BD572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1517" w:type="pct"/>
            <w:gridSpan w:val="2"/>
            <w:tcBorders>
              <w:tl2br w:val="nil"/>
              <w:tr2bl w:val="nil"/>
            </w:tcBorders>
            <w:shd w:val="clear" w:color="auto" w:fill="auto"/>
            <w:noWrap/>
            <w:vAlign w:val="center"/>
          </w:tcPr>
          <w:p w14:paraId="55A36280">
            <w:pPr>
              <w:pStyle w:val="41"/>
              <w:rPr>
                <w:color w:val="auto"/>
                <w:highlight w:val="none"/>
              </w:rPr>
            </w:pPr>
            <w:r>
              <w:rPr>
                <w:rFonts w:hint="eastAsia"/>
                <w:color w:val="auto"/>
                <w:highlight w:val="none"/>
              </w:rPr>
              <w:t>总计</w:t>
            </w:r>
          </w:p>
        </w:tc>
        <w:tc>
          <w:tcPr>
            <w:tcW w:w="1061" w:type="pct"/>
            <w:tcBorders>
              <w:tl2br w:val="nil"/>
              <w:tr2bl w:val="nil"/>
            </w:tcBorders>
            <w:shd w:val="clear" w:color="auto" w:fill="auto"/>
            <w:noWrap/>
            <w:vAlign w:val="center"/>
          </w:tcPr>
          <w:p w14:paraId="78069C12">
            <w:pPr>
              <w:pStyle w:val="41"/>
              <w:rPr>
                <w:color w:val="auto"/>
                <w:highlight w:val="none"/>
              </w:rPr>
            </w:pPr>
            <w:r>
              <w:rPr>
                <w:color w:val="auto"/>
                <w:highlight w:val="none"/>
              </w:rPr>
              <w:t xml:space="preserve">1936.40 </w:t>
            </w:r>
          </w:p>
        </w:tc>
        <w:tc>
          <w:tcPr>
            <w:tcW w:w="597" w:type="pct"/>
            <w:tcBorders>
              <w:tl2br w:val="nil"/>
              <w:tr2bl w:val="nil"/>
            </w:tcBorders>
            <w:shd w:val="clear" w:color="auto" w:fill="auto"/>
            <w:noWrap/>
            <w:vAlign w:val="center"/>
          </w:tcPr>
          <w:p w14:paraId="309E541A">
            <w:pPr>
              <w:pStyle w:val="41"/>
              <w:rPr>
                <w:color w:val="auto"/>
                <w:highlight w:val="none"/>
              </w:rPr>
            </w:pPr>
            <w:r>
              <w:rPr>
                <w:color w:val="auto"/>
                <w:highlight w:val="none"/>
              </w:rPr>
              <w:t xml:space="preserve">100.00 </w:t>
            </w:r>
          </w:p>
        </w:tc>
        <w:tc>
          <w:tcPr>
            <w:tcW w:w="986" w:type="pct"/>
            <w:tcBorders>
              <w:tl2br w:val="nil"/>
              <w:tr2bl w:val="nil"/>
            </w:tcBorders>
            <w:shd w:val="clear" w:color="auto" w:fill="auto"/>
            <w:noWrap/>
            <w:vAlign w:val="center"/>
          </w:tcPr>
          <w:p w14:paraId="450D4322">
            <w:pPr>
              <w:pStyle w:val="41"/>
              <w:rPr>
                <w:color w:val="auto"/>
                <w:highlight w:val="none"/>
              </w:rPr>
            </w:pPr>
            <w:r>
              <w:rPr>
                <w:color w:val="auto"/>
                <w:highlight w:val="none"/>
              </w:rPr>
              <w:t xml:space="preserve">128.30 </w:t>
            </w:r>
          </w:p>
        </w:tc>
        <w:tc>
          <w:tcPr>
            <w:tcW w:w="837" w:type="pct"/>
            <w:tcBorders>
              <w:tl2br w:val="nil"/>
              <w:tr2bl w:val="nil"/>
            </w:tcBorders>
            <w:shd w:val="clear" w:color="auto" w:fill="auto"/>
            <w:noWrap/>
            <w:vAlign w:val="center"/>
          </w:tcPr>
          <w:p w14:paraId="28D55974">
            <w:pPr>
              <w:pStyle w:val="41"/>
              <w:rPr>
                <w:color w:val="auto"/>
                <w:highlight w:val="none"/>
              </w:rPr>
            </w:pPr>
            <w:r>
              <w:rPr>
                <w:rFonts w:hint="eastAsia"/>
                <w:color w:val="auto"/>
                <w:highlight w:val="none"/>
              </w:rPr>
              <w:t xml:space="preserve">100.00 </w:t>
            </w:r>
          </w:p>
        </w:tc>
      </w:tr>
    </w:tbl>
    <w:p w14:paraId="6692F39E">
      <w:pPr>
        <w:pStyle w:val="3"/>
        <w:ind w:firstLine="480"/>
        <w:rPr>
          <w:color w:val="auto"/>
          <w:highlight w:val="none"/>
        </w:rPr>
      </w:pPr>
      <w:r>
        <w:rPr>
          <w:color w:val="auto"/>
          <w:highlight w:val="none"/>
        </w:rPr>
        <w:t>通过上表可以看出，</w:t>
      </w:r>
      <w:r>
        <w:rPr>
          <w:rFonts w:hint="eastAsia"/>
          <w:color w:val="auto"/>
          <w:highlight w:val="none"/>
        </w:rPr>
        <w:t>项目区内</w:t>
      </w:r>
      <w:r>
        <w:rPr>
          <w:color w:val="auto"/>
          <w:highlight w:val="none"/>
        </w:rPr>
        <w:t>主要土地利用类型为</w:t>
      </w:r>
      <w:r>
        <w:rPr>
          <w:rFonts w:hint="eastAsia"/>
          <w:color w:val="auto"/>
          <w:highlight w:val="none"/>
        </w:rPr>
        <w:t>裸岩石砾地、其次为工矿用地</w:t>
      </w:r>
      <w:r>
        <w:rPr>
          <w:color w:val="auto"/>
          <w:highlight w:val="none"/>
        </w:rPr>
        <w:t>，</w:t>
      </w:r>
      <w:r>
        <w:rPr>
          <w:rFonts w:hint="eastAsia"/>
          <w:color w:val="auto"/>
          <w:highlight w:val="none"/>
        </w:rPr>
        <w:t>工矿用地分布于选矿厂区域</w:t>
      </w:r>
      <w:r>
        <w:rPr>
          <w:color w:val="auto"/>
          <w:highlight w:val="none"/>
        </w:rPr>
        <w:t>。</w:t>
      </w:r>
      <w:r>
        <w:rPr>
          <w:rFonts w:hint="eastAsia"/>
          <w:color w:val="auto"/>
          <w:highlight w:val="none"/>
        </w:rPr>
        <w:t>项目区内的河流水域主要为选矿厂生产回水。</w:t>
      </w:r>
    </w:p>
    <w:p w14:paraId="2E98ED8F">
      <w:pPr>
        <w:pStyle w:val="43"/>
        <w:rPr>
          <w:color w:val="auto"/>
          <w:highlight w:val="none"/>
        </w:rPr>
      </w:pPr>
      <w:r>
        <w:rPr>
          <w:color w:val="auto"/>
          <w:highlight w:val="none"/>
        </w:rPr>
        <w:t>植被现状调查与评价</w:t>
      </w:r>
    </w:p>
    <w:p w14:paraId="3BDE55C6">
      <w:pPr>
        <w:pStyle w:val="3"/>
        <w:ind w:firstLine="480"/>
        <w:rPr>
          <w:color w:val="auto"/>
          <w:highlight w:val="none"/>
        </w:rPr>
      </w:pPr>
      <w:r>
        <w:rPr>
          <w:rFonts w:hint="eastAsia"/>
          <w:color w:val="auto"/>
          <w:highlight w:val="none"/>
        </w:rPr>
        <w:t>（1）植被区划</w:t>
      </w:r>
    </w:p>
    <w:p w14:paraId="5B8D6A10">
      <w:pPr>
        <w:pStyle w:val="3"/>
        <w:ind w:firstLine="480"/>
        <w:rPr>
          <w:color w:val="auto"/>
          <w:highlight w:val="none"/>
        </w:rPr>
      </w:pPr>
      <w:r>
        <w:rPr>
          <w:rFonts w:hint="eastAsia"/>
          <w:color w:val="auto"/>
          <w:highlight w:val="none"/>
        </w:rPr>
        <w:t>本区地处阿图什市，依天山南脉，南靠昆仑山脉，西邻帕米尔高原东接塔克拉玛干沙漠，大地构造上为天山地槽、昆仑地槽与塔里木地台间过渡地带。</w:t>
      </w:r>
    </w:p>
    <w:p w14:paraId="5B2ADF8C">
      <w:pPr>
        <w:pStyle w:val="3"/>
        <w:ind w:firstLine="480"/>
        <w:rPr>
          <w:color w:val="auto"/>
          <w:highlight w:val="none"/>
        </w:rPr>
      </w:pPr>
      <w:r>
        <w:rPr>
          <w:color w:val="auto"/>
          <w:highlight w:val="none"/>
        </w:rPr>
        <w:t>根据《中国植被》的分类原则和依据，评价区属于</w:t>
      </w:r>
      <w:r>
        <w:rPr>
          <w:rFonts w:hint="eastAsia"/>
          <w:color w:val="auto"/>
          <w:highlight w:val="none"/>
        </w:rPr>
        <w:t>Ⅶ</w:t>
      </w:r>
      <w:r>
        <w:rPr>
          <w:rFonts w:hint="eastAsia"/>
          <w:color w:val="auto"/>
          <w:highlight w:val="none"/>
          <w:lang w:eastAsia="zh-CN"/>
        </w:rPr>
        <w:t>。</w:t>
      </w:r>
      <w:r>
        <w:rPr>
          <w:color w:val="auto"/>
          <w:highlight w:val="none"/>
        </w:rPr>
        <w:t>温带荒漠区域</w:t>
      </w:r>
      <w:r>
        <w:rPr>
          <w:rFonts w:hint="eastAsia"/>
          <w:color w:val="auto"/>
          <w:highlight w:val="none"/>
        </w:rPr>
        <w:t>—ⅦB东部荒漠亚区—ⅦBii暖温带灌木、半灌木荒漠地带—ⅦBii-3天山南坡</w:t>
      </w:r>
      <w:r>
        <w:rPr>
          <w:rFonts w:hint="eastAsia"/>
          <w:color w:val="auto"/>
          <w:highlight w:val="none"/>
          <w:lang w:eastAsia="zh-CN"/>
        </w:rPr>
        <w:t>－</w:t>
      </w:r>
      <w:r>
        <w:rPr>
          <w:rFonts w:hint="eastAsia"/>
          <w:color w:val="auto"/>
          <w:highlight w:val="none"/>
        </w:rPr>
        <w:t>西昆仑山山地半灌木荒漠、草原区</w:t>
      </w:r>
      <w:r>
        <w:rPr>
          <w:color w:val="auto"/>
          <w:highlight w:val="none"/>
        </w:rPr>
        <w:t>。</w:t>
      </w:r>
    </w:p>
    <w:p w14:paraId="16CEE1BE">
      <w:pPr>
        <w:pStyle w:val="3"/>
        <w:ind w:firstLine="480"/>
        <w:rPr>
          <w:color w:val="auto"/>
          <w:highlight w:val="none"/>
        </w:rPr>
      </w:pPr>
      <w:r>
        <w:rPr>
          <w:color w:val="auto"/>
          <w:highlight w:val="none"/>
        </w:rPr>
        <w:t>根据《新疆植被及其利用》</w:t>
      </w:r>
      <w:r>
        <w:rPr>
          <w:rFonts w:hint="eastAsia"/>
          <w:color w:val="auto"/>
          <w:highlight w:val="none"/>
        </w:rPr>
        <w:t>，评价区属（二）新疆荒漠区——B</w:t>
      </w:r>
      <w:r>
        <w:rPr>
          <w:color w:val="auto"/>
          <w:highlight w:val="none"/>
        </w:rPr>
        <w:t>东疆</w:t>
      </w:r>
      <w:r>
        <w:rPr>
          <w:rFonts w:hint="eastAsia"/>
          <w:color w:val="auto"/>
          <w:highlight w:val="none"/>
          <w:lang w:eastAsia="zh-CN"/>
        </w:rPr>
        <w:t>－</w:t>
      </w:r>
      <w:r>
        <w:rPr>
          <w:color w:val="auto"/>
          <w:highlight w:val="none"/>
        </w:rPr>
        <w:t>南疆荒漠亚区</w:t>
      </w:r>
      <w:r>
        <w:rPr>
          <w:rFonts w:hint="eastAsia"/>
          <w:color w:val="auto"/>
          <w:highlight w:val="none"/>
        </w:rPr>
        <w:t>—Ⅶ</w:t>
      </w:r>
      <w:r>
        <w:rPr>
          <w:color w:val="auto"/>
          <w:highlight w:val="none"/>
        </w:rPr>
        <w:t>塔里木荒漠省</w:t>
      </w:r>
      <w:r>
        <w:rPr>
          <w:rFonts w:hint="eastAsia"/>
          <w:color w:val="auto"/>
          <w:highlight w:val="none"/>
        </w:rPr>
        <w:t>—a喀什荒漠亚省</w:t>
      </w:r>
      <w:r>
        <w:rPr>
          <w:color w:val="auto"/>
          <w:highlight w:val="none"/>
        </w:rPr>
        <w:t>。</w:t>
      </w:r>
    </w:p>
    <w:p w14:paraId="19B6EE5F">
      <w:pPr>
        <w:pStyle w:val="3"/>
        <w:ind w:firstLine="480"/>
        <w:rPr>
          <w:color w:val="auto"/>
          <w:highlight w:val="none"/>
        </w:rPr>
      </w:pPr>
      <w:r>
        <w:rPr>
          <w:color w:val="auto"/>
          <w:highlight w:val="none"/>
        </w:rPr>
        <w:t>自然植被以耐旱的荒漠植被为主，例如膜果麻黄、圆叶盐爪爪、合头草、琵琶柴、梭梭、红砂</w:t>
      </w:r>
      <w:r>
        <w:rPr>
          <w:rFonts w:hint="eastAsia"/>
          <w:color w:val="auto"/>
          <w:highlight w:val="none"/>
        </w:rPr>
        <w:t>、</w:t>
      </w:r>
      <w:r>
        <w:rPr>
          <w:color w:val="auto"/>
          <w:highlight w:val="none"/>
        </w:rPr>
        <w:t>局部区域有红柳灌丛分布。此外，人工种植的新疆杨、箭杆杨等是构成绿洲防护林和城市绿化的主要树种。</w:t>
      </w:r>
    </w:p>
    <w:p w14:paraId="19E37CC5">
      <w:pPr>
        <w:pStyle w:val="3"/>
        <w:ind w:firstLine="480"/>
        <w:rPr>
          <w:color w:val="auto"/>
          <w:highlight w:val="none"/>
        </w:rPr>
      </w:pPr>
      <w:r>
        <w:rPr>
          <w:rFonts w:hint="eastAsia"/>
          <w:color w:val="auto"/>
          <w:highlight w:val="none"/>
        </w:rPr>
        <w:t>（2）评价区内植被类型</w:t>
      </w:r>
    </w:p>
    <w:p w14:paraId="47364544">
      <w:pPr>
        <w:pStyle w:val="3"/>
        <w:ind w:firstLine="480"/>
        <w:rPr>
          <w:color w:val="auto"/>
          <w:highlight w:val="none"/>
        </w:rPr>
      </w:pPr>
      <w:r>
        <w:rPr>
          <w:color w:val="auto"/>
          <w:highlight w:val="none"/>
        </w:rPr>
        <w:t>通过现场调查并结合高分辨率卫星影像可以得到评价区及</w:t>
      </w:r>
      <w:r>
        <w:rPr>
          <w:rFonts w:hint="eastAsia"/>
          <w:color w:val="auto"/>
          <w:highlight w:val="none"/>
        </w:rPr>
        <w:t>项目区</w:t>
      </w:r>
      <w:r>
        <w:rPr>
          <w:color w:val="auto"/>
          <w:highlight w:val="none"/>
        </w:rPr>
        <w:t>内植被类型及面积。评价区及</w:t>
      </w:r>
      <w:r>
        <w:rPr>
          <w:rFonts w:hint="eastAsia"/>
          <w:color w:val="auto"/>
          <w:highlight w:val="none"/>
          <w:lang w:eastAsia="zh-CN"/>
        </w:rPr>
        <w:t>项目区</w:t>
      </w:r>
      <w:r>
        <w:rPr>
          <w:color w:val="auto"/>
          <w:highlight w:val="none"/>
        </w:rPr>
        <w:t>内各植被类型面积统计分别见表</w:t>
      </w:r>
      <w:r>
        <w:rPr>
          <w:rFonts w:hint="eastAsia"/>
          <w:color w:val="auto"/>
          <w:highlight w:val="none"/>
        </w:rPr>
        <w:t>4.2-12</w:t>
      </w:r>
      <w:r>
        <w:rPr>
          <w:color w:val="auto"/>
          <w:highlight w:val="none"/>
        </w:rPr>
        <w:t>，评价区植被类型及分布见图</w:t>
      </w:r>
      <w:r>
        <w:rPr>
          <w:rFonts w:hint="eastAsia"/>
          <w:color w:val="auto"/>
          <w:highlight w:val="none"/>
        </w:rPr>
        <w:t>4.2-4</w:t>
      </w:r>
      <w:r>
        <w:rPr>
          <w:color w:val="auto"/>
          <w:highlight w:val="none"/>
        </w:rPr>
        <w:t>。</w:t>
      </w:r>
    </w:p>
    <w:p w14:paraId="080C2849">
      <w:pPr>
        <w:topLinePunct/>
        <w:snapToGrid w:val="0"/>
        <w:spacing w:line="440" w:lineRule="exact"/>
        <w:ind w:firstLine="480"/>
        <w:jc w:val="center"/>
        <w:rPr>
          <w:b/>
          <w:bCs/>
          <w:color w:val="auto"/>
          <w:kern w:val="24"/>
          <w:highlight w:val="none"/>
        </w:rPr>
      </w:pPr>
      <w:r>
        <w:rPr>
          <w:b/>
          <w:bCs/>
          <w:color w:val="auto"/>
          <w:kern w:val="24"/>
          <w:highlight w:val="none"/>
        </w:rPr>
        <w:t>表</w:t>
      </w:r>
      <w:r>
        <w:rPr>
          <w:rFonts w:hint="eastAsia"/>
          <w:b/>
          <w:bCs/>
          <w:color w:val="auto"/>
          <w:kern w:val="24"/>
          <w:highlight w:val="none"/>
        </w:rPr>
        <w:t>4.2-12</w:t>
      </w:r>
      <w:r>
        <w:rPr>
          <w:b/>
          <w:bCs/>
          <w:color w:val="auto"/>
          <w:kern w:val="24"/>
          <w:highlight w:val="none"/>
        </w:rPr>
        <w:t xml:space="preserve">   </w:t>
      </w:r>
      <w:r>
        <w:rPr>
          <w:rFonts w:hint="eastAsia"/>
          <w:b/>
          <w:bCs/>
          <w:color w:val="auto"/>
          <w:kern w:val="24"/>
          <w:highlight w:val="none"/>
        </w:rPr>
        <w:t xml:space="preserve">   </w:t>
      </w:r>
      <w:r>
        <w:rPr>
          <w:b/>
          <w:bCs/>
          <w:color w:val="auto"/>
          <w:kern w:val="24"/>
          <w:highlight w:val="none"/>
        </w:rPr>
        <w:t>评价区及</w:t>
      </w:r>
      <w:r>
        <w:rPr>
          <w:rFonts w:hint="eastAsia"/>
          <w:b/>
          <w:bCs/>
          <w:color w:val="auto"/>
          <w:kern w:val="24"/>
          <w:highlight w:val="none"/>
        </w:rPr>
        <w:t>项目区</w:t>
      </w:r>
      <w:r>
        <w:rPr>
          <w:b/>
          <w:bCs/>
          <w:color w:val="auto"/>
          <w:kern w:val="24"/>
          <w:highlight w:val="none"/>
        </w:rPr>
        <w:t>植被类型面积统计表</w:t>
      </w:r>
    </w:p>
    <w:tbl>
      <w:tblPr>
        <w:tblStyle w:val="25"/>
        <w:tblW w:w="5000"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736"/>
        <w:gridCol w:w="1896"/>
        <w:gridCol w:w="1565"/>
        <w:gridCol w:w="1231"/>
        <w:gridCol w:w="1476"/>
        <w:gridCol w:w="1612"/>
      </w:tblGrid>
      <w:tr w14:paraId="4C2DF6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30" w:hRule="atLeast"/>
        </w:trPr>
        <w:tc>
          <w:tcPr>
            <w:tcW w:w="447" w:type="pct"/>
            <w:vMerge w:val="restart"/>
            <w:tcBorders>
              <w:tl2br w:val="nil"/>
              <w:tr2bl w:val="nil"/>
            </w:tcBorders>
            <w:shd w:val="clear" w:color="auto" w:fill="auto"/>
            <w:noWrap/>
            <w:vAlign w:val="center"/>
          </w:tcPr>
          <w:p w14:paraId="55721F2E">
            <w:pPr>
              <w:pStyle w:val="41"/>
              <w:rPr>
                <w:color w:val="auto"/>
                <w:highlight w:val="none"/>
              </w:rPr>
            </w:pPr>
            <w:r>
              <w:rPr>
                <w:color w:val="auto"/>
                <w:highlight w:val="none"/>
              </w:rPr>
              <w:t>序号</w:t>
            </w:r>
          </w:p>
        </w:tc>
        <w:tc>
          <w:tcPr>
            <w:tcW w:w="1113" w:type="pct"/>
            <w:vMerge w:val="restart"/>
            <w:tcBorders>
              <w:tl2br w:val="nil"/>
              <w:tr2bl w:val="nil"/>
            </w:tcBorders>
            <w:shd w:val="clear" w:color="auto" w:fill="auto"/>
            <w:noWrap/>
            <w:vAlign w:val="center"/>
          </w:tcPr>
          <w:p w14:paraId="16231D6D">
            <w:pPr>
              <w:pStyle w:val="41"/>
              <w:rPr>
                <w:color w:val="auto"/>
                <w:highlight w:val="none"/>
              </w:rPr>
            </w:pPr>
            <w:r>
              <w:rPr>
                <w:rFonts w:hint="eastAsia"/>
                <w:color w:val="auto"/>
                <w:highlight w:val="none"/>
              </w:rPr>
              <w:t>植被类型</w:t>
            </w:r>
          </w:p>
        </w:tc>
        <w:tc>
          <w:tcPr>
            <w:tcW w:w="1671" w:type="pct"/>
            <w:gridSpan w:val="2"/>
            <w:tcBorders>
              <w:tl2br w:val="nil"/>
              <w:tr2bl w:val="nil"/>
            </w:tcBorders>
            <w:shd w:val="clear" w:color="auto" w:fill="auto"/>
            <w:noWrap/>
            <w:vAlign w:val="center"/>
          </w:tcPr>
          <w:p w14:paraId="5C2C9FC9">
            <w:pPr>
              <w:pStyle w:val="41"/>
              <w:rPr>
                <w:color w:val="auto"/>
                <w:highlight w:val="none"/>
              </w:rPr>
            </w:pPr>
            <w:r>
              <w:rPr>
                <w:rFonts w:hint="eastAsia"/>
                <w:color w:val="auto"/>
                <w:highlight w:val="none"/>
              </w:rPr>
              <w:t>评价区</w:t>
            </w:r>
          </w:p>
        </w:tc>
        <w:tc>
          <w:tcPr>
            <w:tcW w:w="1766" w:type="pct"/>
            <w:gridSpan w:val="2"/>
            <w:tcBorders>
              <w:tl2br w:val="nil"/>
              <w:tr2bl w:val="nil"/>
            </w:tcBorders>
            <w:shd w:val="clear" w:color="auto" w:fill="auto"/>
            <w:noWrap/>
            <w:vAlign w:val="center"/>
          </w:tcPr>
          <w:p w14:paraId="36FABCE9">
            <w:pPr>
              <w:pStyle w:val="41"/>
              <w:rPr>
                <w:color w:val="auto"/>
                <w:highlight w:val="none"/>
              </w:rPr>
            </w:pPr>
            <w:r>
              <w:rPr>
                <w:rFonts w:hint="eastAsia"/>
                <w:color w:val="auto"/>
                <w:highlight w:val="none"/>
              </w:rPr>
              <w:t>项目区</w:t>
            </w:r>
          </w:p>
        </w:tc>
      </w:tr>
      <w:tr w14:paraId="58CD1A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447" w:type="pct"/>
            <w:vMerge w:val="continue"/>
            <w:tcBorders>
              <w:tl2br w:val="nil"/>
              <w:tr2bl w:val="nil"/>
            </w:tcBorders>
            <w:shd w:val="clear" w:color="auto" w:fill="auto"/>
            <w:noWrap/>
            <w:vAlign w:val="center"/>
          </w:tcPr>
          <w:p w14:paraId="1A614315">
            <w:pPr>
              <w:pStyle w:val="41"/>
              <w:rPr>
                <w:color w:val="auto"/>
                <w:highlight w:val="none"/>
              </w:rPr>
            </w:pPr>
          </w:p>
        </w:tc>
        <w:tc>
          <w:tcPr>
            <w:tcW w:w="1113" w:type="pct"/>
            <w:vMerge w:val="continue"/>
            <w:tcBorders>
              <w:tl2br w:val="nil"/>
              <w:tr2bl w:val="nil"/>
            </w:tcBorders>
            <w:shd w:val="clear" w:color="auto" w:fill="auto"/>
            <w:noWrap/>
            <w:vAlign w:val="center"/>
          </w:tcPr>
          <w:p w14:paraId="205729BD">
            <w:pPr>
              <w:pStyle w:val="41"/>
              <w:rPr>
                <w:color w:val="auto"/>
                <w:highlight w:val="none"/>
              </w:rPr>
            </w:pPr>
          </w:p>
        </w:tc>
        <w:tc>
          <w:tcPr>
            <w:tcW w:w="948" w:type="pct"/>
            <w:tcBorders>
              <w:tl2br w:val="nil"/>
              <w:tr2bl w:val="nil"/>
            </w:tcBorders>
            <w:shd w:val="clear" w:color="auto" w:fill="auto"/>
            <w:noWrap/>
            <w:vAlign w:val="center"/>
          </w:tcPr>
          <w:p w14:paraId="4AE8F879">
            <w:pPr>
              <w:pStyle w:val="41"/>
              <w:rPr>
                <w:color w:val="auto"/>
                <w:highlight w:val="none"/>
              </w:rPr>
            </w:pPr>
            <w:r>
              <w:rPr>
                <w:color w:val="auto"/>
                <w:highlight w:val="none"/>
              </w:rPr>
              <w:t>面积</w:t>
            </w:r>
            <w:r>
              <w:rPr>
                <w:rFonts w:hint="eastAsia"/>
                <w:color w:val="auto"/>
                <w:highlight w:val="none"/>
                <w:lang w:eastAsia="zh-CN"/>
              </w:rPr>
              <w:t>（</w:t>
            </w:r>
            <w:r>
              <w:rPr>
                <w:color w:val="auto"/>
                <w:highlight w:val="none"/>
              </w:rPr>
              <w:t>公顷</w:t>
            </w:r>
            <w:r>
              <w:rPr>
                <w:rFonts w:hint="eastAsia"/>
                <w:color w:val="auto"/>
                <w:highlight w:val="none"/>
                <w:lang w:eastAsia="zh-CN"/>
              </w:rPr>
              <w:t>）</w:t>
            </w:r>
          </w:p>
        </w:tc>
        <w:tc>
          <w:tcPr>
            <w:tcW w:w="723" w:type="pct"/>
            <w:tcBorders>
              <w:tl2br w:val="nil"/>
              <w:tr2bl w:val="nil"/>
            </w:tcBorders>
            <w:shd w:val="clear" w:color="auto" w:fill="auto"/>
            <w:noWrap/>
            <w:vAlign w:val="center"/>
          </w:tcPr>
          <w:p w14:paraId="6691185D">
            <w:pPr>
              <w:pStyle w:val="41"/>
              <w:rPr>
                <w:color w:val="auto"/>
                <w:highlight w:val="none"/>
              </w:rPr>
            </w:pPr>
            <w:r>
              <w:rPr>
                <w:rFonts w:hint="eastAsia"/>
                <w:color w:val="auto"/>
                <w:highlight w:val="none"/>
              </w:rPr>
              <w:t>占比（%）</w:t>
            </w:r>
          </w:p>
        </w:tc>
        <w:tc>
          <w:tcPr>
            <w:tcW w:w="790" w:type="pct"/>
            <w:tcBorders>
              <w:tl2br w:val="nil"/>
              <w:tr2bl w:val="nil"/>
            </w:tcBorders>
            <w:shd w:val="clear" w:color="auto" w:fill="auto"/>
            <w:noWrap/>
            <w:vAlign w:val="center"/>
          </w:tcPr>
          <w:p w14:paraId="6760A2E4">
            <w:pPr>
              <w:pStyle w:val="41"/>
              <w:rPr>
                <w:color w:val="auto"/>
                <w:highlight w:val="none"/>
              </w:rPr>
            </w:pPr>
            <w:r>
              <w:rPr>
                <w:color w:val="auto"/>
                <w:highlight w:val="none"/>
              </w:rPr>
              <w:t>面积</w:t>
            </w:r>
            <w:r>
              <w:rPr>
                <w:rFonts w:hint="eastAsia"/>
                <w:color w:val="auto"/>
                <w:highlight w:val="none"/>
                <w:lang w:eastAsia="zh-CN"/>
              </w:rPr>
              <w:t>（</w:t>
            </w:r>
            <w:r>
              <w:rPr>
                <w:color w:val="auto"/>
                <w:highlight w:val="none"/>
              </w:rPr>
              <w:t>公顷</w:t>
            </w:r>
            <w:r>
              <w:rPr>
                <w:rFonts w:hint="eastAsia"/>
                <w:color w:val="auto"/>
                <w:highlight w:val="none"/>
                <w:lang w:eastAsia="zh-CN"/>
              </w:rPr>
              <w:t>）</w:t>
            </w:r>
          </w:p>
        </w:tc>
        <w:tc>
          <w:tcPr>
            <w:tcW w:w="975" w:type="pct"/>
            <w:tcBorders>
              <w:tl2br w:val="nil"/>
              <w:tr2bl w:val="nil"/>
            </w:tcBorders>
            <w:shd w:val="clear" w:color="auto" w:fill="auto"/>
            <w:noWrap/>
            <w:vAlign w:val="center"/>
          </w:tcPr>
          <w:p w14:paraId="0155EF61">
            <w:pPr>
              <w:pStyle w:val="41"/>
              <w:rPr>
                <w:color w:val="auto"/>
                <w:highlight w:val="none"/>
              </w:rPr>
            </w:pPr>
            <w:r>
              <w:rPr>
                <w:rFonts w:hint="eastAsia"/>
                <w:color w:val="auto"/>
                <w:highlight w:val="none"/>
              </w:rPr>
              <w:t>占比（%）</w:t>
            </w:r>
          </w:p>
        </w:tc>
      </w:tr>
      <w:tr w14:paraId="55693F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447" w:type="pct"/>
            <w:tcBorders>
              <w:tl2br w:val="nil"/>
              <w:tr2bl w:val="nil"/>
            </w:tcBorders>
            <w:shd w:val="clear" w:color="auto" w:fill="auto"/>
            <w:noWrap/>
            <w:vAlign w:val="center"/>
          </w:tcPr>
          <w:p w14:paraId="4F8FDDC1">
            <w:pPr>
              <w:pStyle w:val="41"/>
              <w:rPr>
                <w:color w:val="auto"/>
                <w:highlight w:val="none"/>
              </w:rPr>
            </w:pPr>
            <w:r>
              <w:rPr>
                <w:color w:val="auto"/>
                <w:highlight w:val="none"/>
              </w:rPr>
              <w:t>1</w:t>
            </w:r>
          </w:p>
        </w:tc>
        <w:tc>
          <w:tcPr>
            <w:tcW w:w="1113" w:type="pct"/>
            <w:tcBorders>
              <w:tl2br w:val="nil"/>
              <w:tr2bl w:val="nil"/>
            </w:tcBorders>
            <w:shd w:val="clear" w:color="auto" w:fill="auto"/>
            <w:noWrap/>
            <w:vAlign w:val="center"/>
          </w:tcPr>
          <w:p w14:paraId="5D3B159F">
            <w:pPr>
              <w:pStyle w:val="41"/>
              <w:rPr>
                <w:color w:val="auto"/>
                <w:highlight w:val="none"/>
              </w:rPr>
            </w:pPr>
            <w:r>
              <w:rPr>
                <w:color w:val="auto"/>
                <w:highlight w:val="none"/>
              </w:rPr>
              <w:t>红柳、驼绒藜群落</w:t>
            </w:r>
          </w:p>
        </w:tc>
        <w:tc>
          <w:tcPr>
            <w:tcW w:w="948" w:type="pct"/>
            <w:tcBorders>
              <w:tl2br w:val="nil"/>
              <w:tr2bl w:val="nil"/>
            </w:tcBorders>
            <w:shd w:val="clear" w:color="auto" w:fill="auto"/>
            <w:noWrap/>
            <w:vAlign w:val="center"/>
          </w:tcPr>
          <w:p w14:paraId="3EB94CCE">
            <w:pPr>
              <w:pStyle w:val="41"/>
              <w:rPr>
                <w:color w:val="auto"/>
                <w:highlight w:val="none"/>
              </w:rPr>
            </w:pPr>
            <w:r>
              <w:rPr>
                <w:color w:val="auto"/>
                <w:highlight w:val="none"/>
              </w:rPr>
              <w:t xml:space="preserve">29.65 </w:t>
            </w:r>
          </w:p>
        </w:tc>
        <w:tc>
          <w:tcPr>
            <w:tcW w:w="723" w:type="pct"/>
            <w:tcBorders>
              <w:tl2br w:val="nil"/>
              <w:tr2bl w:val="nil"/>
            </w:tcBorders>
            <w:shd w:val="clear" w:color="auto" w:fill="auto"/>
            <w:noWrap/>
            <w:vAlign w:val="center"/>
          </w:tcPr>
          <w:p w14:paraId="65C43EB8">
            <w:pPr>
              <w:pStyle w:val="41"/>
              <w:rPr>
                <w:color w:val="auto"/>
                <w:highlight w:val="none"/>
              </w:rPr>
            </w:pPr>
            <w:r>
              <w:rPr>
                <w:color w:val="auto"/>
                <w:highlight w:val="none"/>
              </w:rPr>
              <w:t xml:space="preserve">1.53 </w:t>
            </w:r>
          </w:p>
        </w:tc>
        <w:tc>
          <w:tcPr>
            <w:tcW w:w="790" w:type="pct"/>
            <w:tcBorders>
              <w:tl2br w:val="nil"/>
              <w:tr2bl w:val="nil"/>
            </w:tcBorders>
            <w:shd w:val="clear" w:color="auto" w:fill="auto"/>
            <w:noWrap/>
            <w:vAlign w:val="center"/>
          </w:tcPr>
          <w:p w14:paraId="34A7086A">
            <w:pPr>
              <w:pStyle w:val="41"/>
              <w:rPr>
                <w:color w:val="auto"/>
                <w:highlight w:val="none"/>
              </w:rPr>
            </w:pPr>
            <w:r>
              <w:rPr>
                <w:color w:val="auto"/>
                <w:highlight w:val="none"/>
              </w:rPr>
              <w:t xml:space="preserve">1.07 </w:t>
            </w:r>
          </w:p>
        </w:tc>
        <w:tc>
          <w:tcPr>
            <w:tcW w:w="975" w:type="pct"/>
            <w:tcBorders>
              <w:tl2br w:val="nil"/>
              <w:tr2bl w:val="nil"/>
            </w:tcBorders>
            <w:shd w:val="clear" w:color="auto" w:fill="auto"/>
            <w:noWrap/>
            <w:vAlign w:val="center"/>
          </w:tcPr>
          <w:p w14:paraId="06FA8FBF">
            <w:pPr>
              <w:pStyle w:val="41"/>
              <w:rPr>
                <w:color w:val="auto"/>
                <w:highlight w:val="none"/>
              </w:rPr>
            </w:pPr>
            <w:r>
              <w:rPr>
                <w:rFonts w:hint="eastAsia"/>
                <w:color w:val="auto"/>
                <w:highlight w:val="none"/>
              </w:rPr>
              <w:t xml:space="preserve">0.83 </w:t>
            </w:r>
          </w:p>
        </w:tc>
      </w:tr>
      <w:tr w14:paraId="0A831D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447" w:type="pct"/>
            <w:tcBorders>
              <w:tl2br w:val="nil"/>
              <w:tr2bl w:val="nil"/>
            </w:tcBorders>
            <w:shd w:val="clear" w:color="auto" w:fill="auto"/>
            <w:noWrap/>
            <w:vAlign w:val="center"/>
          </w:tcPr>
          <w:p w14:paraId="41B88BD2">
            <w:pPr>
              <w:pStyle w:val="41"/>
              <w:rPr>
                <w:color w:val="auto"/>
                <w:highlight w:val="none"/>
              </w:rPr>
            </w:pPr>
            <w:r>
              <w:rPr>
                <w:color w:val="auto"/>
                <w:highlight w:val="none"/>
              </w:rPr>
              <w:t>2</w:t>
            </w:r>
          </w:p>
        </w:tc>
        <w:tc>
          <w:tcPr>
            <w:tcW w:w="1113" w:type="pct"/>
            <w:tcBorders>
              <w:tl2br w:val="nil"/>
              <w:tr2bl w:val="nil"/>
            </w:tcBorders>
            <w:shd w:val="clear" w:color="auto" w:fill="auto"/>
            <w:noWrap/>
            <w:vAlign w:val="center"/>
          </w:tcPr>
          <w:p w14:paraId="5FD8D193">
            <w:pPr>
              <w:pStyle w:val="41"/>
              <w:rPr>
                <w:color w:val="auto"/>
                <w:highlight w:val="none"/>
              </w:rPr>
            </w:pPr>
            <w:r>
              <w:rPr>
                <w:color w:val="auto"/>
                <w:highlight w:val="none"/>
              </w:rPr>
              <w:t>针茅、冷蒿群落</w:t>
            </w:r>
          </w:p>
        </w:tc>
        <w:tc>
          <w:tcPr>
            <w:tcW w:w="948" w:type="pct"/>
            <w:tcBorders>
              <w:tl2br w:val="nil"/>
              <w:tr2bl w:val="nil"/>
            </w:tcBorders>
            <w:shd w:val="clear" w:color="auto" w:fill="auto"/>
            <w:noWrap/>
            <w:vAlign w:val="center"/>
          </w:tcPr>
          <w:p w14:paraId="1BECEFE3">
            <w:pPr>
              <w:pStyle w:val="41"/>
              <w:rPr>
                <w:color w:val="auto"/>
                <w:highlight w:val="none"/>
              </w:rPr>
            </w:pPr>
            <w:r>
              <w:rPr>
                <w:color w:val="auto"/>
                <w:highlight w:val="none"/>
              </w:rPr>
              <w:t xml:space="preserve">108.11 </w:t>
            </w:r>
          </w:p>
        </w:tc>
        <w:tc>
          <w:tcPr>
            <w:tcW w:w="723" w:type="pct"/>
            <w:tcBorders>
              <w:tl2br w:val="nil"/>
              <w:tr2bl w:val="nil"/>
            </w:tcBorders>
            <w:shd w:val="clear" w:color="auto" w:fill="auto"/>
            <w:noWrap/>
            <w:vAlign w:val="center"/>
          </w:tcPr>
          <w:p w14:paraId="6BBB9820">
            <w:pPr>
              <w:pStyle w:val="41"/>
              <w:rPr>
                <w:color w:val="auto"/>
                <w:highlight w:val="none"/>
              </w:rPr>
            </w:pPr>
            <w:r>
              <w:rPr>
                <w:color w:val="auto"/>
                <w:highlight w:val="none"/>
              </w:rPr>
              <w:t xml:space="preserve">5.58 </w:t>
            </w:r>
          </w:p>
        </w:tc>
        <w:tc>
          <w:tcPr>
            <w:tcW w:w="790" w:type="pct"/>
            <w:tcBorders>
              <w:tl2br w:val="nil"/>
              <w:tr2bl w:val="nil"/>
            </w:tcBorders>
            <w:shd w:val="clear" w:color="auto" w:fill="auto"/>
            <w:noWrap/>
            <w:vAlign w:val="center"/>
          </w:tcPr>
          <w:p w14:paraId="16C7FA77">
            <w:pPr>
              <w:pStyle w:val="41"/>
              <w:rPr>
                <w:color w:val="auto"/>
                <w:highlight w:val="none"/>
              </w:rPr>
            </w:pPr>
            <w:r>
              <w:rPr>
                <w:color w:val="auto"/>
                <w:highlight w:val="none"/>
              </w:rPr>
              <w:t xml:space="preserve">8.23 </w:t>
            </w:r>
          </w:p>
        </w:tc>
        <w:tc>
          <w:tcPr>
            <w:tcW w:w="975" w:type="pct"/>
            <w:tcBorders>
              <w:tl2br w:val="nil"/>
              <w:tr2bl w:val="nil"/>
            </w:tcBorders>
            <w:shd w:val="clear" w:color="auto" w:fill="auto"/>
            <w:noWrap/>
            <w:vAlign w:val="center"/>
          </w:tcPr>
          <w:p w14:paraId="10E05E02">
            <w:pPr>
              <w:pStyle w:val="41"/>
              <w:rPr>
                <w:color w:val="auto"/>
                <w:highlight w:val="none"/>
              </w:rPr>
            </w:pPr>
            <w:r>
              <w:rPr>
                <w:rFonts w:hint="eastAsia"/>
                <w:color w:val="auto"/>
                <w:highlight w:val="none"/>
              </w:rPr>
              <w:t xml:space="preserve">6.41 </w:t>
            </w:r>
          </w:p>
        </w:tc>
      </w:tr>
      <w:tr w14:paraId="581DDB2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447" w:type="pct"/>
            <w:tcBorders>
              <w:tl2br w:val="nil"/>
              <w:tr2bl w:val="nil"/>
            </w:tcBorders>
            <w:shd w:val="clear" w:color="auto" w:fill="auto"/>
            <w:noWrap/>
            <w:vAlign w:val="center"/>
          </w:tcPr>
          <w:p w14:paraId="6318992D">
            <w:pPr>
              <w:pStyle w:val="41"/>
              <w:rPr>
                <w:color w:val="auto"/>
                <w:highlight w:val="none"/>
              </w:rPr>
            </w:pPr>
            <w:r>
              <w:rPr>
                <w:color w:val="auto"/>
                <w:highlight w:val="none"/>
              </w:rPr>
              <w:t>3</w:t>
            </w:r>
          </w:p>
        </w:tc>
        <w:tc>
          <w:tcPr>
            <w:tcW w:w="1113" w:type="pct"/>
            <w:tcBorders>
              <w:tl2br w:val="nil"/>
              <w:tr2bl w:val="nil"/>
            </w:tcBorders>
            <w:shd w:val="clear" w:color="auto" w:fill="auto"/>
            <w:noWrap/>
            <w:vAlign w:val="center"/>
          </w:tcPr>
          <w:p w14:paraId="41B9320F">
            <w:pPr>
              <w:pStyle w:val="41"/>
              <w:rPr>
                <w:color w:val="auto"/>
                <w:highlight w:val="none"/>
              </w:rPr>
            </w:pPr>
            <w:r>
              <w:rPr>
                <w:color w:val="auto"/>
                <w:highlight w:val="none"/>
              </w:rPr>
              <w:t>裸岩石砾地</w:t>
            </w:r>
          </w:p>
        </w:tc>
        <w:tc>
          <w:tcPr>
            <w:tcW w:w="948" w:type="pct"/>
            <w:tcBorders>
              <w:tl2br w:val="nil"/>
              <w:tr2bl w:val="nil"/>
            </w:tcBorders>
            <w:shd w:val="clear" w:color="auto" w:fill="auto"/>
            <w:noWrap/>
            <w:vAlign w:val="center"/>
          </w:tcPr>
          <w:p w14:paraId="78C233B3">
            <w:pPr>
              <w:pStyle w:val="41"/>
              <w:rPr>
                <w:color w:val="auto"/>
                <w:highlight w:val="none"/>
              </w:rPr>
            </w:pPr>
            <w:r>
              <w:rPr>
                <w:color w:val="auto"/>
                <w:highlight w:val="none"/>
              </w:rPr>
              <w:t xml:space="preserve">1357.69 </w:t>
            </w:r>
          </w:p>
        </w:tc>
        <w:tc>
          <w:tcPr>
            <w:tcW w:w="723" w:type="pct"/>
            <w:tcBorders>
              <w:tl2br w:val="nil"/>
              <w:tr2bl w:val="nil"/>
            </w:tcBorders>
            <w:shd w:val="clear" w:color="auto" w:fill="auto"/>
            <w:noWrap/>
            <w:vAlign w:val="center"/>
          </w:tcPr>
          <w:p w14:paraId="4D465A74">
            <w:pPr>
              <w:pStyle w:val="41"/>
              <w:rPr>
                <w:color w:val="auto"/>
                <w:highlight w:val="none"/>
              </w:rPr>
            </w:pPr>
            <w:r>
              <w:rPr>
                <w:color w:val="auto"/>
                <w:highlight w:val="none"/>
              </w:rPr>
              <w:t xml:space="preserve">70.11 </w:t>
            </w:r>
          </w:p>
        </w:tc>
        <w:tc>
          <w:tcPr>
            <w:tcW w:w="790" w:type="pct"/>
            <w:tcBorders>
              <w:tl2br w:val="nil"/>
              <w:tr2bl w:val="nil"/>
            </w:tcBorders>
            <w:shd w:val="clear" w:color="auto" w:fill="auto"/>
            <w:noWrap/>
            <w:vAlign w:val="center"/>
          </w:tcPr>
          <w:p w14:paraId="1F08FADF">
            <w:pPr>
              <w:pStyle w:val="41"/>
              <w:rPr>
                <w:color w:val="auto"/>
                <w:highlight w:val="none"/>
              </w:rPr>
            </w:pPr>
            <w:r>
              <w:rPr>
                <w:color w:val="auto"/>
                <w:highlight w:val="none"/>
              </w:rPr>
              <w:t xml:space="preserve">87.41 </w:t>
            </w:r>
          </w:p>
        </w:tc>
        <w:tc>
          <w:tcPr>
            <w:tcW w:w="975" w:type="pct"/>
            <w:tcBorders>
              <w:tl2br w:val="nil"/>
              <w:tr2bl w:val="nil"/>
            </w:tcBorders>
            <w:shd w:val="clear" w:color="auto" w:fill="auto"/>
            <w:noWrap/>
            <w:vAlign w:val="center"/>
          </w:tcPr>
          <w:p w14:paraId="368CF19D">
            <w:pPr>
              <w:pStyle w:val="41"/>
              <w:rPr>
                <w:color w:val="auto"/>
                <w:highlight w:val="none"/>
              </w:rPr>
            </w:pPr>
            <w:r>
              <w:rPr>
                <w:rFonts w:hint="eastAsia"/>
                <w:color w:val="auto"/>
                <w:highlight w:val="none"/>
              </w:rPr>
              <w:t xml:space="preserve">68.13 </w:t>
            </w:r>
          </w:p>
        </w:tc>
      </w:tr>
      <w:tr w14:paraId="537DF2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447" w:type="pct"/>
            <w:tcBorders>
              <w:tl2br w:val="nil"/>
              <w:tr2bl w:val="nil"/>
            </w:tcBorders>
            <w:shd w:val="clear" w:color="auto" w:fill="auto"/>
            <w:noWrap/>
            <w:vAlign w:val="center"/>
          </w:tcPr>
          <w:p w14:paraId="0C6CDC62">
            <w:pPr>
              <w:pStyle w:val="41"/>
              <w:rPr>
                <w:color w:val="auto"/>
                <w:highlight w:val="none"/>
              </w:rPr>
            </w:pPr>
            <w:r>
              <w:rPr>
                <w:color w:val="auto"/>
                <w:highlight w:val="none"/>
              </w:rPr>
              <w:t>4</w:t>
            </w:r>
          </w:p>
        </w:tc>
        <w:tc>
          <w:tcPr>
            <w:tcW w:w="1113" w:type="pct"/>
            <w:tcBorders>
              <w:tl2br w:val="nil"/>
              <w:tr2bl w:val="nil"/>
            </w:tcBorders>
            <w:shd w:val="clear" w:color="auto" w:fill="auto"/>
            <w:noWrap/>
            <w:vAlign w:val="center"/>
          </w:tcPr>
          <w:p w14:paraId="474F4915">
            <w:pPr>
              <w:pStyle w:val="41"/>
              <w:rPr>
                <w:color w:val="auto"/>
                <w:highlight w:val="none"/>
              </w:rPr>
            </w:pPr>
            <w:r>
              <w:rPr>
                <w:color w:val="auto"/>
                <w:highlight w:val="none"/>
              </w:rPr>
              <w:t>裸土地</w:t>
            </w:r>
          </w:p>
        </w:tc>
        <w:tc>
          <w:tcPr>
            <w:tcW w:w="948" w:type="pct"/>
            <w:tcBorders>
              <w:tl2br w:val="nil"/>
              <w:tr2bl w:val="nil"/>
            </w:tcBorders>
            <w:shd w:val="clear" w:color="auto" w:fill="auto"/>
            <w:noWrap/>
            <w:vAlign w:val="center"/>
          </w:tcPr>
          <w:p w14:paraId="47B38E49">
            <w:pPr>
              <w:pStyle w:val="41"/>
              <w:rPr>
                <w:color w:val="auto"/>
                <w:highlight w:val="none"/>
              </w:rPr>
            </w:pPr>
            <w:r>
              <w:rPr>
                <w:color w:val="auto"/>
                <w:highlight w:val="none"/>
              </w:rPr>
              <w:t xml:space="preserve">362.54 </w:t>
            </w:r>
          </w:p>
        </w:tc>
        <w:tc>
          <w:tcPr>
            <w:tcW w:w="723" w:type="pct"/>
            <w:tcBorders>
              <w:tl2br w:val="nil"/>
              <w:tr2bl w:val="nil"/>
            </w:tcBorders>
            <w:shd w:val="clear" w:color="auto" w:fill="auto"/>
            <w:noWrap/>
            <w:vAlign w:val="center"/>
          </w:tcPr>
          <w:p w14:paraId="4E665053">
            <w:pPr>
              <w:pStyle w:val="41"/>
              <w:rPr>
                <w:color w:val="auto"/>
                <w:highlight w:val="none"/>
              </w:rPr>
            </w:pPr>
            <w:r>
              <w:rPr>
                <w:color w:val="auto"/>
                <w:highlight w:val="none"/>
              </w:rPr>
              <w:t xml:space="preserve">18.72 </w:t>
            </w:r>
          </w:p>
        </w:tc>
        <w:tc>
          <w:tcPr>
            <w:tcW w:w="790" w:type="pct"/>
            <w:tcBorders>
              <w:tl2br w:val="nil"/>
              <w:tr2bl w:val="nil"/>
            </w:tcBorders>
            <w:shd w:val="clear" w:color="auto" w:fill="auto"/>
            <w:noWrap/>
            <w:vAlign w:val="center"/>
          </w:tcPr>
          <w:p w14:paraId="462456C5">
            <w:pPr>
              <w:pStyle w:val="41"/>
              <w:rPr>
                <w:color w:val="auto"/>
                <w:highlight w:val="none"/>
              </w:rPr>
            </w:pPr>
            <w:r>
              <w:rPr>
                <w:color w:val="auto"/>
                <w:highlight w:val="none"/>
              </w:rPr>
              <w:t xml:space="preserve">5.63 </w:t>
            </w:r>
          </w:p>
        </w:tc>
        <w:tc>
          <w:tcPr>
            <w:tcW w:w="975" w:type="pct"/>
            <w:tcBorders>
              <w:tl2br w:val="nil"/>
              <w:tr2bl w:val="nil"/>
            </w:tcBorders>
            <w:shd w:val="clear" w:color="auto" w:fill="auto"/>
            <w:noWrap/>
            <w:vAlign w:val="center"/>
          </w:tcPr>
          <w:p w14:paraId="7B219C81">
            <w:pPr>
              <w:pStyle w:val="41"/>
              <w:rPr>
                <w:color w:val="auto"/>
                <w:highlight w:val="none"/>
              </w:rPr>
            </w:pPr>
            <w:r>
              <w:rPr>
                <w:rFonts w:hint="eastAsia"/>
                <w:color w:val="auto"/>
                <w:highlight w:val="none"/>
              </w:rPr>
              <w:t xml:space="preserve">4.39 </w:t>
            </w:r>
          </w:p>
        </w:tc>
      </w:tr>
      <w:tr w14:paraId="61418D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447" w:type="pct"/>
            <w:tcBorders>
              <w:tl2br w:val="nil"/>
              <w:tr2bl w:val="nil"/>
            </w:tcBorders>
            <w:shd w:val="clear" w:color="auto" w:fill="auto"/>
            <w:noWrap/>
            <w:vAlign w:val="center"/>
          </w:tcPr>
          <w:p w14:paraId="21B9F4FF">
            <w:pPr>
              <w:pStyle w:val="41"/>
              <w:rPr>
                <w:color w:val="auto"/>
                <w:highlight w:val="none"/>
              </w:rPr>
            </w:pPr>
            <w:r>
              <w:rPr>
                <w:color w:val="auto"/>
                <w:highlight w:val="none"/>
              </w:rPr>
              <w:t>5</w:t>
            </w:r>
          </w:p>
        </w:tc>
        <w:tc>
          <w:tcPr>
            <w:tcW w:w="1113" w:type="pct"/>
            <w:tcBorders>
              <w:tl2br w:val="nil"/>
              <w:tr2bl w:val="nil"/>
            </w:tcBorders>
            <w:shd w:val="clear" w:color="auto" w:fill="auto"/>
            <w:noWrap/>
            <w:vAlign w:val="center"/>
          </w:tcPr>
          <w:p w14:paraId="75F88BF0">
            <w:pPr>
              <w:pStyle w:val="41"/>
              <w:rPr>
                <w:color w:val="auto"/>
                <w:highlight w:val="none"/>
              </w:rPr>
            </w:pPr>
            <w:r>
              <w:rPr>
                <w:color w:val="auto"/>
                <w:highlight w:val="none"/>
              </w:rPr>
              <w:t>工矿用地</w:t>
            </w:r>
          </w:p>
        </w:tc>
        <w:tc>
          <w:tcPr>
            <w:tcW w:w="948" w:type="pct"/>
            <w:tcBorders>
              <w:tl2br w:val="nil"/>
              <w:tr2bl w:val="nil"/>
            </w:tcBorders>
            <w:shd w:val="clear" w:color="auto" w:fill="auto"/>
            <w:noWrap/>
            <w:vAlign w:val="center"/>
          </w:tcPr>
          <w:p w14:paraId="5B1D63F5">
            <w:pPr>
              <w:pStyle w:val="41"/>
              <w:rPr>
                <w:color w:val="auto"/>
                <w:highlight w:val="none"/>
              </w:rPr>
            </w:pPr>
            <w:r>
              <w:rPr>
                <w:color w:val="auto"/>
                <w:highlight w:val="none"/>
              </w:rPr>
              <w:t xml:space="preserve">55.47 </w:t>
            </w:r>
          </w:p>
        </w:tc>
        <w:tc>
          <w:tcPr>
            <w:tcW w:w="723" w:type="pct"/>
            <w:tcBorders>
              <w:tl2br w:val="nil"/>
              <w:tr2bl w:val="nil"/>
            </w:tcBorders>
            <w:shd w:val="clear" w:color="auto" w:fill="auto"/>
            <w:noWrap/>
            <w:vAlign w:val="center"/>
          </w:tcPr>
          <w:p w14:paraId="11908BE4">
            <w:pPr>
              <w:pStyle w:val="41"/>
              <w:rPr>
                <w:color w:val="auto"/>
                <w:highlight w:val="none"/>
              </w:rPr>
            </w:pPr>
            <w:r>
              <w:rPr>
                <w:color w:val="auto"/>
                <w:highlight w:val="none"/>
              </w:rPr>
              <w:t xml:space="preserve">2.86 </w:t>
            </w:r>
          </w:p>
        </w:tc>
        <w:tc>
          <w:tcPr>
            <w:tcW w:w="790" w:type="pct"/>
            <w:tcBorders>
              <w:tl2br w:val="nil"/>
              <w:tr2bl w:val="nil"/>
            </w:tcBorders>
            <w:shd w:val="clear" w:color="auto" w:fill="auto"/>
            <w:noWrap/>
            <w:vAlign w:val="center"/>
          </w:tcPr>
          <w:p w14:paraId="71537428">
            <w:pPr>
              <w:pStyle w:val="41"/>
              <w:rPr>
                <w:color w:val="auto"/>
                <w:highlight w:val="none"/>
              </w:rPr>
            </w:pPr>
            <w:r>
              <w:rPr>
                <w:color w:val="auto"/>
                <w:highlight w:val="none"/>
              </w:rPr>
              <w:t xml:space="preserve">23.81 </w:t>
            </w:r>
          </w:p>
        </w:tc>
        <w:tc>
          <w:tcPr>
            <w:tcW w:w="975" w:type="pct"/>
            <w:tcBorders>
              <w:tl2br w:val="nil"/>
              <w:tr2bl w:val="nil"/>
            </w:tcBorders>
            <w:shd w:val="clear" w:color="auto" w:fill="auto"/>
            <w:noWrap/>
            <w:vAlign w:val="center"/>
          </w:tcPr>
          <w:p w14:paraId="299C0391">
            <w:pPr>
              <w:pStyle w:val="41"/>
              <w:rPr>
                <w:color w:val="auto"/>
                <w:highlight w:val="none"/>
              </w:rPr>
            </w:pPr>
            <w:r>
              <w:rPr>
                <w:rFonts w:hint="eastAsia"/>
                <w:color w:val="auto"/>
                <w:highlight w:val="none"/>
              </w:rPr>
              <w:t xml:space="preserve">18.56 </w:t>
            </w:r>
          </w:p>
        </w:tc>
      </w:tr>
      <w:tr w14:paraId="5047E7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447" w:type="pct"/>
            <w:tcBorders>
              <w:tl2br w:val="nil"/>
              <w:tr2bl w:val="nil"/>
            </w:tcBorders>
            <w:shd w:val="clear" w:color="auto" w:fill="auto"/>
            <w:noWrap/>
            <w:vAlign w:val="center"/>
          </w:tcPr>
          <w:p w14:paraId="2AEB6BD7">
            <w:pPr>
              <w:pStyle w:val="41"/>
              <w:rPr>
                <w:color w:val="auto"/>
                <w:highlight w:val="none"/>
              </w:rPr>
            </w:pPr>
            <w:r>
              <w:rPr>
                <w:color w:val="auto"/>
                <w:highlight w:val="none"/>
              </w:rPr>
              <w:t>6</w:t>
            </w:r>
          </w:p>
        </w:tc>
        <w:tc>
          <w:tcPr>
            <w:tcW w:w="1113" w:type="pct"/>
            <w:tcBorders>
              <w:tl2br w:val="nil"/>
              <w:tr2bl w:val="nil"/>
            </w:tcBorders>
            <w:shd w:val="clear" w:color="auto" w:fill="auto"/>
            <w:noWrap/>
            <w:vAlign w:val="center"/>
          </w:tcPr>
          <w:p w14:paraId="2494DED0">
            <w:pPr>
              <w:pStyle w:val="41"/>
              <w:rPr>
                <w:color w:val="auto"/>
                <w:highlight w:val="none"/>
              </w:rPr>
            </w:pPr>
            <w:r>
              <w:rPr>
                <w:color w:val="auto"/>
                <w:highlight w:val="none"/>
              </w:rPr>
              <w:t>道路用地</w:t>
            </w:r>
          </w:p>
        </w:tc>
        <w:tc>
          <w:tcPr>
            <w:tcW w:w="948" w:type="pct"/>
            <w:tcBorders>
              <w:tl2br w:val="nil"/>
              <w:tr2bl w:val="nil"/>
            </w:tcBorders>
            <w:shd w:val="clear" w:color="auto" w:fill="auto"/>
            <w:noWrap/>
            <w:vAlign w:val="center"/>
          </w:tcPr>
          <w:p w14:paraId="7E34A4E1">
            <w:pPr>
              <w:pStyle w:val="41"/>
              <w:rPr>
                <w:color w:val="auto"/>
                <w:highlight w:val="none"/>
              </w:rPr>
            </w:pPr>
            <w:r>
              <w:rPr>
                <w:color w:val="auto"/>
                <w:highlight w:val="none"/>
              </w:rPr>
              <w:t xml:space="preserve">8.77 </w:t>
            </w:r>
          </w:p>
        </w:tc>
        <w:tc>
          <w:tcPr>
            <w:tcW w:w="723" w:type="pct"/>
            <w:tcBorders>
              <w:tl2br w:val="nil"/>
              <w:tr2bl w:val="nil"/>
            </w:tcBorders>
            <w:shd w:val="clear" w:color="auto" w:fill="auto"/>
            <w:noWrap/>
            <w:vAlign w:val="center"/>
          </w:tcPr>
          <w:p w14:paraId="44A64B57">
            <w:pPr>
              <w:pStyle w:val="41"/>
              <w:rPr>
                <w:color w:val="auto"/>
                <w:highlight w:val="none"/>
              </w:rPr>
            </w:pPr>
            <w:r>
              <w:rPr>
                <w:color w:val="auto"/>
                <w:highlight w:val="none"/>
              </w:rPr>
              <w:t xml:space="preserve">0.45 </w:t>
            </w:r>
          </w:p>
        </w:tc>
        <w:tc>
          <w:tcPr>
            <w:tcW w:w="790" w:type="pct"/>
            <w:tcBorders>
              <w:tl2br w:val="nil"/>
              <w:tr2bl w:val="nil"/>
            </w:tcBorders>
            <w:shd w:val="clear" w:color="auto" w:fill="auto"/>
            <w:noWrap/>
            <w:vAlign w:val="center"/>
          </w:tcPr>
          <w:p w14:paraId="3AA52F55">
            <w:pPr>
              <w:pStyle w:val="41"/>
              <w:rPr>
                <w:color w:val="auto"/>
                <w:highlight w:val="none"/>
              </w:rPr>
            </w:pPr>
            <w:r>
              <w:rPr>
                <w:color w:val="auto"/>
                <w:highlight w:val="none"/>
              </w:rPr>
              <w:t xml:space="preserve">1.44 </w:t>
            </w:r>
          </w:p>
        </w:tc>
        <w:tc>
          <w:tcPr>
            <w:tcW w:w="975" w:type="pct"/>
            <w:tcBorders>
              <w:tl2br w:val="nil"/>
              <w:tr2bl w:val="nil"/>
            </w:tcBorders>
            <w:shd w:val="clear" w:color="auto" w:fill="auto"/>
            <w:noWrap/>
            <w:vAlign w:val="center"/>
          </w:tcPr>
          <w:p w14:paraId="6E15AAD7">
            <w:pPr>
              <w:pStyle w:val="41"/>
              <w:rPr>
                <w:color w:val="auto"/>
                <w:highlight w:val="none"/>
              </w:rPr>
            </w:pPr>
            <w:r>
              <w:rPr>
                <w:rFonts w:hint="eastAsia"/>
                <w:color w:val="auto"/>
                <w:highlight w:val="none"/>
              </w:rPr>
              <w:t xml:space="preserve">1.12 </w:t>
            </w:r>
          </w:p>
        </w:tc>
      </w:tr>
      <w:tr w14:paraId="225BF84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447" w:type="pct"/>
            <w:tcBorders>
              <w:tl2br w:val="nil"/>
              <w:tr2bl w:val="nil"/>
            </w:tcBorders>
            <w:shd w:val="clear" w:color="auto" w:fill="auto"/>
            <w:noWrap/>
            <w:vAlign w:val="center"/>
          </w:tcPr>
          <w:p w14:paraId="718BDAC6">
            <w:pPr>
              <w:pStyle w:val="41"/>
              <w:rPr>
                <w:color w:val="auto"/>
                <w:highlight w:val="none"/>
              </w:rPr>
            </w:pPr>
            <w:r>
              <w:rPr>
                <w:color w:val="auto"/>
                <w:highlight w:val="none"/>
              </w:rPr>
              <w:t>7</w:t>
            </w:r>
          </w:p>
        </w:tc>
        <w:tc>
          <w:tcPr>
            <w:tcW w:w="1113" w:type="pct"/>
            <w:tcBorders>
              <w:tl2br w:val="nil"/>
              <w:tr2bl w:val="nil"/>
            </w:tcBorders>
            <w:shd w:val="clear" w:color="auto" w:fill="auto"/>
            <w:noWrap/>
            <w:vAlign w:val="center"/>
          </w:tcPr>
          <w:p w14:paraId="1D54DF1C">
            <w:pPr>
              <w:pStyle w:val="41"/>
              <w:rPr>
                <w:color w:val="auto"/>
                <w:highlight w:val="none"/>
              </w:rPr>
            </w:pPr>
            <w:r>
              <w:rPr>
                <w:color w:val="auto"/>
                <w:highlight w:val="none"/>
              </w:rPr>
              <w:t>河流水域</w:t>
            </w:r>
          </w:p>
        </w:tc>
        <w:tc>
          <w:tcPr>
            <w:tcW w:w="948" w:type="pct"/>
            <w:tcBorders>
              <w:tl2br w:val="nil"/>
              <w:tr2bl w:val="nil"/>
            </w:tcBorders>
            <w:shd w:val="clear" w:color="auto" w:fill="auto"/>
            <w:noWrap/>
            <w:vAlign w:val="center"/>
          </w:tcPr>
          <w:p w14:paraId="5BFFEE57">
            <w:pPr>
              <w:pStyle w:val="41"/>
              <w:rPr>
                <w:color w:val="auto"/>
                <w:highlight w:val="none"/>
              </w:rPr>
            </w:pPr>
            <w:r>
              <w:rPr>
                <w:color w:val="auto"/>
                <w:highlight w:val="none"/>
              </w:rPr>
              <w:t xml:space="preserve">14.17 </w:t>
            </w:r>
          </w:p>
        </w:tc>
        <w:tc>
          <w:tcPr>
            <w:tcW w:w="723" w:type="pct"/>
            <w:tcBorders>
              <w:tl2br w:val="nil"/>
              <w:tr2bl w:val="nil"/>
            </w:tcBorders>
            <w:shd w:val="clear" w:color="auto" w:fill="auto"/>
            <w:noWrap/>
            <w:vAlign w:val="center"/>
          </w:tcPr>
          <w:p w14:paraId="04677027">
            <w:pPr>
              <w:pStyle w:val="41"/>
              <w:rPr>
                <w:color w:val="auto"/>
                <w:highlight w:val="none"/>
              </w:rPr>
            </w:pPr>
            <w:r>
              <w:rPr>
                <w:color w:val="auto"/>
                <w:highlight w:val="none"/>
              </w:rPr>
              <w:t xml:space="preserve">0.73 </w:t>
            </w:r>
          </w:p>
        </w:tc>
        <w:tc>
          <w:tcPr>
            <w:tcW w:w="790" w:type="pct"/>
            <w:tcBorders>
              <w:tl2br w:val="nil"/>
              <w:tr2bl w:val="nil"/>
            </w:tcBorders>
            <w:shd w:val="clear" w:color="auto" w:fill="auto"/>
            <w:noWrap/>
            <w:vAlign w:val="center"/>
          </w:tcPr>
          <w:p w14:paraId="0F4634E7">
            <w:pPr>
              <w:pStyle w:val="41"/>
              <w:rPr>
                <w:color w:val="auto"/>
                <w:highlight w:val="none"/>
              </w:rPr>
            </w:pPr>
            <w:r>
              <w:rPr>
                <w:color w:val="auto"/>
                <w:highlight w:val="none"/>
              </w:rPr>
              <w:t xml:space="preserve">0.71 </w:t>
            </w:r>
          </w:p>
        </w:tc>
        <w:tc>
          <w:tcPr>
            <w:tcW w:w="975" w:type="pct"/>
            <w:tcBorders>
              <w:tl2br w:val="nil"/>
              <w:tr2bl w:val="nil"/>
            </w:tcBorders>
            <w:shd w:val="clear" w:color="auto" w:fill="auto"/>
            <w:noWrap/>
            <w:vAlign w:val="center"/>
          </w:tcPr>
          <w:p w14:paraId="13684641">
            <w:pPr>
              <w:pStyle w:val="41"/>
              <w:rPr>
                <w:color w:val="auto"/>
                <w:highlight w:val="none"/>
              </w:rPr>
            </w:pPr>
            <w:r>
              <w:rPr>
                <w:rFonts w:hint="eastAsia"/>
                <w:color w:val="auto"/>
                <w:highlight w:val="none"/>
              </w:rPr>
              <w:t xml:space="preserve">0.55 </w:t>
            </w:r>
          </w:p>
        </w:tc>
      </w:tr>
      <w:tr w14:paraId="723DB5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1561" w:type="pct"/>
            <w:gridSpan w:val="2"/>
            <w:tcBorders>
              <w:tl2br w:val="nil"/>
              <w:tr2bl w:val="nil"/>
            </w:tcBorders>
            <w:shd w:val="clear" w:color="auto" w:fill="auto"/>
            <w:noWrap/>
            <w:vAlign w:val="center"/>
          </w:tcPr>
          <w:p w14:paraId="3D501B93">
            <w:pPr>
              <w:pStyle w:val="41"/>
              <w:rPr>
                <w:color w:val="auto"/>
                <w:highlight w:val="none"/>
              </w:rPr>
            </w:pPr>
            <w:r>
              <w:rPr>
                <w:rFonts w:hint="eastAsia"/>
                <w:color w:val="auto"/>
                <w:highlight w:val="none"/>
              </w:rPr>
              <w:t>总计</w:t>
            </w:r>
          </w:p>
        </w:tc>
        <w:tc>
          <w:tcPr>
            <w:tcW w:w="948" w:type="pct"/>
            <w:tcBorders>
              <w:tl2br w:val="nil"/>
              <w:tr2bl w:val="nil"/>
            </w:tcBorders>
            <w:shd w:val="clear" w:color="auto" w:fill="auto"/>
            <w:noWrap/>
            <w:vAlign w:val="center"/>
          </w:tcPr>
          <w:p w14:paraId="453EAC32">
            <w:pPr>
              <w:pStyle w:val="41"/>
              <w:rPr>
                <w:color w:val="auto"/>
                <w:highlight w:val="none"/>
              </w:rPr>
            </w:pPr>
            <w:r>
              <w:rPr>
                <w:color w:val="auto"/>
                <w:highlight w:val="none"/>
              </w:rPr>
              <w:t xml:space="preserve">1936.40 </w:t>
            </w:r>
          </w:p>
        </w:tc>
        <w:tc>
          <w:tcPr>
            <w:tcW w:w="723" w:type="pct"/>
            <w:tcBorders>
              <w:tl2br w:val="nil"/>
              <w:tr2bl w:val="nil"/>
            </w:tcBorders>
            <w:shd w:val="clear" w:color="auto" w:fill="auto"/>
            <w:noWrap/>
            <w:vAlign w:val="center"/>
          </w:tcPr>
          <w:p w14:paraId="1060D32F">
            <w:pPr>
              <w:pStyle w:val="41"/>
              <w:rPr>
                <w:color w:val="auto"/>
                <w:highlight w:val="none"/>
              </w:rPr>
            </w:pPr>
            <w:r>
              <w:rPr>
                <w:color w:val="auto"/>
                <w:highlight w:val="none"/>
              </w:rPr>
              <w:t xml:space="preserve">100.00 </w:t>
            </w:r>
          </w:p>
        </w:tc>
        <w:tc>
          <w:tcPr>
            <w:tcW w:w="790" w:type="pct"/>
            <w:tcBorders>
              <w:tl2br w:val="nil"/>
              <w:tr2bl w:val="nil"/>
            </w:tcBorders>
            <w:shd w:val="clear" w:color="auto" w:fill="auto"/>
            <w:noWrap/>
            <w:vAlign w:val="center"/>
          </w:tcPr>
          <w:p w14:paraId="6D925D75">
            <w:pPr>
              <w:pStyle w:val="41"/>
              <w:rPr>
                <w:color w:val="auto"/>
                <w:highlight w:val="none"/>
              </w:rPr>
            </w:pPr>
            <w:r>
              <w:rPr>
                <w:color w:val="auto"/>
                <w:highlight w:val="none"/>
              </w:rPr>
              <w:t xml:space="preserve">128.30 </w:t>
            </w:r>
          </w:p>
        </w:tc>
        <w:tc>
          <w:tcPr>
            <w:tcW w:w="975" w:type="pct"/>
            <w:tcBorders>
              <w:tl2br w:val="nil"/>
              <w:tr2bl w:val="nil"/>
            </w:tcBorders>
            <w:shd w:val="clear" w:color="auto" w:fill="auto"/>
            <w:noWrap/>
            <w:vAlign w:val="center"/>
          </w:tcPr>
          <w:p w14:paraId="231831DD">
            <w:pPr>
              <w:pStyle w:val="41"/>
              <w:rPr>
                <w:color w:val="auto"/>
                <w:highlight w:val="none"/>
              </w:rPr>
            </w:pPr>
            <w:r>
              <w:rPr>
                <w:rFonts w:hint="eastAsia"/>
                <w:color w:val="auto"/>
                <w:highlight w:val="none"/>
              </w:rPr>
              <w:t xml:space="preserve">100.00 </w:t>
            </w:r>
          </w:p>
        </w:tc>
      </w:tr>
    </w:tbl>
    <w:p w14:paraId="2F831413">
      <w:pPr>
        <w:pStyle w:val="3"/>
        <w:ind w:firstLine="480"/>
        <w:rPr>
          <w:color w:val="auto"/>
          <w:highlight w:val="none"/>
        </w:rPr>
      </w:pPr>
      <w:r>
        <w:rPr>
          <w:color w:val="auto"/>
          <w:highlight w:val="none"/>
        </w:rPr>
        <w:t>受项目前期建设及扩建工程地表扰动影响，选矿厂厂区原生植被已被人工绿化植被取代，人工植被集中分布在生活区与进场道路两侧，栽培植物包括速生白蜡、金叶榆杆球、紫叶稠李、龙柏、桃、杏、海棠及月季等园林苗木。</w:t>
      </w:r>
    </w:p>
    <w:p w14:paraId="446A4932">
      <w:pPr>
        <w:pStyle w:val="3"/>
        <w:ind w:firstLine="480"/>
        <w:rPr>
          <w:color w:val="auto"/>
          <w:highlight w:val="none"/>
        </w:rPr>
      </w:pPr>
      <w:r>
        <w:rPr>
          <w:color w:val="auto"/>
          <w:highlight w:val="none"/>
        </w:rPr>
        <w:t>尾矿库位于山前冲积扇戈壁地带，地表广泛分布厚层砾石、砂砾堆积物，立地干旱，植被整体盖度较低，原生荒漠植被以盐爪爪、白刺、霸王柴、红砂、新疆绢蒿等旱生灌木、半灌木为优势种群。</w:t>
      </w:r>
      <w:r>
        <w:rPr>
          <w:rFonts w:hint="eastAsia"/>
          <w:color w:val="auto"/>
          <w:highlight w:val="none"/>
        </w:rPr>
        <w:t>评价区无国家及自治区级保护植物。</w:t>
      </w:r>
    </w:p>
    <w:p w14:paraId="3C86E9E4">
      <w:pPr>
        <w:pStyle w:val="3"/>
        <w:ind w:firstLine="480"/>
        <w:rPr>
          <w:color w:val="auto"/>
          <w:highlight w:val="none"/>
        </w:rPr>
      </w:pPr>
      <w:r>
        <w:rPr>
          <w:rFonts w:hint="eastAsia"/>
          <w:color w:val="auto"/>
          <w:highlight w:val="none"/>
        </w:rPr>
        <w:t>评价区主要植被详见下表。</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246"/>
        <w:gridCol w:w="4270"/>
      </w:tblGrid>
      <w:tr w14:paraId="4C9137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93" w:type="pct"/>
            <w:tcBorders>
              <w:tl2br w:val="nil"/>
              <w:tr2bl w:val="nil"/>
            </w:tcBorders>
          </w:tcPr>
          <w:p w14:paraId="1EC7AACB">
            <w:pPr>
              <w:pStyle w:val="3"/>
              <w:spacing w:line="240" w:lineRule="atLeast"/>
              <w:ind w:firstLine="0" w:firstLineChars="0"/>
              <w:rPr>
                <w:color w:val="auto"/>
                <w:highlight w:val="none"/>
              </w:rPr>
            </w:pPr>
            <w:r>
              <w:rPr>
                <w:rFonts w:hint="eastAsia"/>
                <w:color w:val="auto"/>
                <w:highlight w:val="none"/>
              </w:rPr>
              <w:drawing>
                <wp:inline distT="0" distB="0" distL="114300" distR="114300">
                  <wp:extent cx="2548890" cy="1911985"/>
                  <wp:effectExtent l="0" t="0" r="3810" b="12065"/>
                  <wp:docPr id="1" name="图片 1" descr="0e6f3c1bcb3610cf12860888b8527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e6f3c1bcb3610cf12860888b8527160"/>
                          <pic:cNvPicPr>
                            <a:picLocks noChangeAspect="1"/>
                          </pic:cNvPicPr>
                        </pic:nvPicPr>
                        <pic:blipFill>
                          <a:blip r:embed="rId49"/>
                          <a:stretch>
                            <a:fillRect/>
                          </a:stretch>
                        </pic:blipFill>
                        <pic:spPr>
                          <a:xfrm>
                            <a:off x="0" y="0"/>
                            <a:ext cx="2548890" cy="1911985"/>
                          </a:xfrm>
                          <a:prstGeom prst="rect">
                            <a:avLst/>
                          </a:prstGeom>
                        </pic:spPr>
                      </pic:pic>
                    </a:graphicData>
                  </a:graphic>
                </wp:inline>
              </w:drawing>
            </w:r>
          </w:p>
        </w:tc>
        <w:tc>
          <w:tcPr>
            <w:tcW w:w="2506" w:type="pct"/>
            <w:tcBorders>
              <w:tl2br w:val="nil"/>
              <w:tr2bl w:val="nil"/>
            </w:tcBorders>
          </w:tcPr>
          <w:p w14:paraId="6CEFF4DA">
            <w:pPr>
              <w:pStyle w:val="3"/>
              <w:spacing w:line="240" w:lineRule="atLeast"/>
              <w:ind w:firstLine="0" w:firstLineChars="0"/>
              <w:rPr>
                <w:color w:val="auto"/>
                <w:highlight w:val="none"/>
              </w:rPr>
            </w:pPr>
            <w:r>
              <w:rPr>
                <w:rFonts w:hint="eastAsia"/>
                <w:color w:val="auto"/>
                <w:highlight w:val="none"/>
              </w:rPr>
              <w:drawing>
                <wp:inline distT="0" distB="0" distL="114300" distR="114300">
                  <wp:extent cx="2548890" cy="1911985"/>
                  <wp:effectExtent l="0" t="0" r="3810" b="12065"/>
                  <wp:docPr id="2" name="图片 2" descr="e35e47fd219e86dd0758775d2e2196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35e47fd219e86dd0758775d2e21964c"/>
                          <pic:cNvPicPr>
                            <a:picLocks noChangeAspect="1"/>
                          </pic:cNvPicPr>
                        </pic:nvPicPr>
                        <pic:blipFill>
                          <a:blip r:embed="rId50"/>
                          <a:stretch>
                            <a:fillRect/>
                          </a:stretch>
                        </pic:blipFill>
                        <pic:spPr>
                          <a:xfrm>
                            <a:off x="0" y="0"/>
                            <a:ext cx="2548890" cy="1911985"/>
                          </a:xfrm>
                          <a:prstGeom prst="rect">
                            <a:avLst/>
                          </a:prstGeom>
                        </pic:spPr>
                      </pic:pic>
                    </a:graphicData>
                  </a:graphic>
                </wp:inline>
              </w:drawing>
            </w:r>
          </w:p>
        </w:tc>
      </w:tr>
      <w:tr w14:paraId="780588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93" w:type="pct"/>
            <w:tcBorders>
              <w:tl2br w:val="nil"/>
              <w:tr2bl w:val="nil"/>
            </w:tcBorders>
          </w:tcPr>
          <w:p w14:paraId="7A0AD6FA">
            <w:pPr>
              <w:pStyle w:val="3"/>
              <w:spacing w:line="240" w:lineRule="atLeast"/>
              <w:ind w:firstLine="0" w:firstLineChars="0"/>
              <w:jc w:val="center"/>
              <w:rPr>
                <w:color w:val="auto"/>
                <w:highlight w:val="none"/>
              </w:rPr>
            </w:pPr>
            <w:r>
              <w:rPr>
                <w:rFonts w:hint="eastAsia"/>
                <w:color w:val="auto"/>
                <w:highlight w:val="none"/>
              </w:rPr>
              <w:t>选矿内人工植被</w:t>
            </w:r>
          </w:p>
        </w:tc>
        <w:tc>
          <w:tcPr>
            <w:tcW w:w="2506" w:type="pct"/>
            <w:tcBorders>
              <w:tl2br w:val="nil"/>
              <w:tr2bl w:val="nil"/>
            </w:tcBorders>
          </w:tcPr>
          <w:p w14:paraId="0CE63ED7">
            <w:pPr>
              <w:pStyle w:val="3"/>
              <w:spacing w:line="240" w:lineRule="atLeast"/>
              <w:ind w:firstLine="0" w:firstLineChars="0"/>
              <w:jc w:val="center"/>
              <w:rPr>
                <w:color w:val="auto"/>
                <w:highlight w:val="none"/>
              </w:rPr>
            </w:pPr>
            <w:r>
              <w:rPr>
                <w:rFonts w:hint="eastAsia"/>
                <w:color w:val="auto"/>
                <w:highlight w:val="none"/>
              </w:rPr>
              <w:t>进场道路两侧人工植被</w:t>
            </w:r>
          </w:p>
        </w:tc>
      </w:tr>
      <w:tr w14:paraId="66479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93" w:type="pct"/>
            <w:tcBorders>
              <w:tl2br w:val="nil"/>
              <w:tr2bl w:val="nil"/>
            </w:tcBorders>
          </w:tcPr>
          <w:p w14:paraId="07418C02">
            <w:pPr>
              <w:pStyle w:val="3"/>
              <w:spacing w:line="240" w:lineRule="atLeast"/>
              <w:ind w:firstLine="0" w:firstLineChars="0"/>
              <w:rPr>
                <w:color w:val="auto"/>
                <w:highlight w:val="none"/>
              </w:rPr>
            </w:pPr>
            <w:r>
              <w:rPr>
                <w:rFonts w:hint="eastAsia"/>
                <w:color w:val="auto"/>
                <w:highlight w:val="none"/>
              </w:rPr>
              <w:drawing>
                <wp:inline distT="0" distB="0" distL="114300" distR="114300">
                  <wp:extent cx="2534920" cy="1901190"/>
                  <wp:effectExtent l="0" t="0" r="17780" b="3810"/>
                  <wp:docPr id="52" name="图片 52" descr="IMG_3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IMG_3320"/>
                          <pic:cNvPicPr>
                            <a:picLocks noChangeAspect="1"/>
                          </pic:cNvPicPr>
                        </pic:nvPicPr>
                        <pic:blipFill>
                          <a:blip r:embed="rId51"/>
                          <a:stretch>
                            <a:fillRect/>
                          </a:stretch>
                        </pic:blipFill>
                        <pic:spPr>
                          <a:xfrm>
                            <a:off x="0" y="0"/>
                            <a:ext cx="2534920" cy="1901190"/>
                          </a:xfrm>
                          <a:prstGeom prst="rect">
                            <a:avLst/>
                          </a:prstGeom>
                        </pic:spPr>
                      </pic:pic>
                    </a:graphicData>
                  </a:graphic>
                </wp:inline>
              </w:drawing>
            </w:r>
          </w:p>
        </w:tc>
        <w:tc>
          <w:tcPr>
            <w:tcW w:w="2506" w:type="pct"/>
            <w:tcBorders>
              <w:tl2br w:val="nil"/>
              <w:tr2bl w:val="nil"/>
            </w:tcBorders>
          </w:tcPr>
          <w:p w14:paraId="78A4D335">
            <w:pPr>
              <w:pStyle w:val="3"/>
              <w:spacing w:line="240" w:lineRule="atLeast"/>
              <w:ind w:firstLine="0" w:firstLineChars="0"/>
              <w:rPr>
                <w:color w:val="auto"/>
                <w:highlight w:val="none"/>
              </w:rPr>
            </w:pPr>
            <w:r>
              <w:rPr>
                <w:rFonts w:hint="eastAsia"/>
                <w:color w:val="auto"/>
                <w:highlight w:val="none"/>
              </w:rPr>
              <w:drawing>
                <wp:inline distT="0" distB="0" distL="114300" distR="114300">
                  <wp:extent cx="2560320" cy="1920240"/>
                  <wp:effectExtent l="0" t="0" r="11430" b="3810"/>
                  <wp:docPr id="53" name="图片 53" descr="IMG_3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IMG_3323(1)"/>
                          <pic:cNvPicPr>
                            <a:picLocks noChangeAspect="1"/>
                          </pic:cNvPicPr>
                        </pic:nvPicPr>
                        <pic:blipFill>
                          <a:blip r:embed="rId52"/>
                          <a:stretch>
                            <a:fillRect/>
                          </a:stretch>
                        </pic:blipFill>
                        <pic:spPr>
                          <a:xfrm>
                            <a:off x="0" y="0"/>
                            <a:ext cx="2560320" cy="1920240"/>
                          </a:xfrm>
                          <a:prstGeom prst="rect">
                            <a:avLst/>
                          </a:prstGeom>
                        </pic:spPr>
                      </pic:pic>
                    </a:graphicData>
                  </a:graphic>
                </wp:inline>
              </w:drawing>
            </w:r>
          </w:p>
        </w:tc>
      </w:tr>
      <w:tr w14:paraId="608A50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gridSpan w:val="2"/>
            <w:tcBorders>
              <w:tl2br w:val="nil"/>
              <w:tr2bl w:val="nil"/>
            </w:tcBorders>
          </w:tcPr>
          <w:p w14:paraId="63A232F8">
            <w:pPr>
              <w:pStyle w:val="3"/>
              <w:spacing w:line="240" w:lineRule="atLeast"/>
              <w:ind w:firstLine="0" w:firstLineChars="0"/>
              <w:jc w:val="center"/>
              <w:rPr>
                <w:color w:val="auto"/>
                <w:highlight w:val="none"/>
              </w:rPr>
            </w:pPr>
            <w:r>
              <w:rPr>
                <w:rFonts w:hint="eastAsia"/>
                <w:color w:val="auto"/>
                <w:highlight w:val="none"/>
              </w:rPr>
              <w:t>选矿厂周边植被分布情况</w:t>
            </w:r>
          </w:p>
        </w:tc>
      </w:tr>
      <w:tr w14:paraId="196265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93" w:type="pct"/>
            <w:tcBorders>
              <w:tl2br w:val="nil"/>
              <w:tr2bl w:val="nil"/>
            </w:tcBorders>
          </w:tcPr>
          <w:p w14:paraId="352CE0A7">
            <w:pPr>
              <w:pStyle w:val="3"/>
              <w:spacing w:line="240" w:lineRule="atLeast"/>
              <w:ind w:firstLine="0" w:firstLineChars="0"/>
              <w:rPr>
                <w:color w:val="auto"/>
                <w:highlight w:val="none"/>
              </w:rPr>
            </w:pPr>
            <w:r>
              <w:rPr>
                <w:rFonts w:hint="eastAsia"/>
                <w:color w:val="auto"/>
                <w:highlight w:val="none"/>
              </w:rPr>
              <w:drawing>
                <wp:inline distT="0" distB="0" distL="114300" distR="114300">
                  <wp:extent cx="2551430" cy="1912620"/>
                  <wp:effectExtent l="0" t="0" r="1270" b="11430"/>
                  <wp:docPr id="21" name="图片 21" descr="微信图片_20260615115032_26_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微信图片_20260615115032_26_99"/>
                          <pic:cNvPicPr>
                            <a:picLocks noChangeAspect="1"/>
                          </pic:cNvPicPr>
                        </pic:nvPicPr>
                        <pic:blipFill>
                          <a:blip r:embed="rId53"/>
                          <a:stretch>
                            <a:fillRect/>
                          </a:stretch>
                        </pic:blipFill>
                        <pic:spPr>
                          <a:xfrm>
                            <a:off x="0" y="0"/>
                            <a:ext cx="2551430" cy="1912620"/>
                          </a:xfrm>
                          <a:prstGeom prst="rect">
                            <a:avLst/>
                          </a:prstGeom>
                        </pic:spPr>
                      </pic:pic>
                    </a:graphicData>
                  </a:graphic>
                </wp:inline>
              </w:drawing>
            </w:r>
          </w:p>
        </w:tc>
        <w:tc>
          <w:tcPr>
            <w:tcW w:w="2506" w:type="pct"/>
            <w:tcBorders>
              <w:tl2br w:val="nil"/>
              <w:tr2bl w:val="nil"/>
            </w:tcBorders>
          </w:tcPr>
          <w:p w14:paraId="15B344C8">
            <w:pPr>
              <w:pStyle w:val="3"/>
              <w:spacing w:line="240" w:lineRule="atLeast"/>
              <w:ind w:firstLine="0" w:firstLineChars="0"/>
              <w:rPr>
                <w:color w:val="auto"/>
                <w:highlight w:val="none"/>
              </w:rPr>
            </w:pPr>
            <w:r>
              <w:rPr>
                <w:rFonts w:hint="eastAsia"/>
                <w:color w:val="auto"/>
                <w:highlight w:val="none"/>
              </w:rPr>
              <w:drawing>
                <wp:inline distT="0" distB="0" distL="114300" distR="114300">
                  <wp:extent cx="2551430" cy="1912620"/>
                  <wp:effectExtent l="0" t="0" r="1270" b="11430"/>
                  <wp:docPr id="28" name="图片 28" descr="微信图片_20260615115244_38_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微信图片_20260615115244_38_99"/>
                          <pic:cNvPicPr>
                            <a:picLocks noChangeAspect="1"/>
                          </pic:cNvPicPr>
                        </pic:nvPicPr>
                        <pic:blipFill>
                          <a:blip r:embed="rId54"/>
                          <a:stretch>
                            <a:fillRect/>
                          </a:stretch>
                        </pic:blipFill>
                        <pic:spPr>
                          <a:xfrm>
                            <a:off x="0" y="0"/>
                            <a:ext cx="2551430" cy="1912620"/>
                          </a:xfrm>
                          <a:prstGeom prst="rect">
                            <a:avLst/>
                          </a:prstGeom>
                        </pic:spPr>
                      </pic:pic>
                    </a:graphicData>
                  </a:graphic>
                </wp:inline>
              </w:drawing>
            </w:r>
          </w:p>
        </w:tc>
      </w:tr>
      <w:tr w14:paraId="4C36E9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gridSpan w:val="2"/>
            <w:tcBorders>
              <w:tl2br w:val="nil"/>
              <w:tr2bl w:val="nil"/>
            </w:tcBorders>
          </w:tcPr>
          <w:p w14:paraId="6EDDC0B6">
            <w:pPr>
              <w:pStyle w:val="3"/>
              <w:ind w:firstLine="480"/>
              <w:jc w:val="center"/>
              <w:rPr>
                <w:color w:val="auto"/>
                <w:highlight w:val="none"/>
              </w:rPr>
            </w:pPr>
            <w:r>
              <w:rPr>
                <w:rFonts w:hint="eastAsia"/>
                <w:color w:val="auto"/>
                <w:highlight w:val="none"/>
              </w:rPr>
              <w:t>尾矿库植被分布情况</w:t>
            </w:r>
          </w:p>
        </w:tc>
      </w:tr>
      <w:tr w14:paraId="602D27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93" w:type="pct"/>
            <w:tcBorders>
              <w:tl2br w:val="nil"/>
              <w:tr2bl w:val="nil"/>
            </w:tcBorders>
          </w:tcPr>
          <w:p w14:paraId="71B03AF0">
            <w:pPr>
              <w:pStyle w:val="3"/>
              <w:spacing w:line="240" w:lineRule="atLeast"/>
              <w:ind w:firstLine="0" w:firstLineChars="0"/>
              <w:rPr>
                <w:color w:val="auto"/>
                <w:highlight w:val="none"/>
              </w:rPr>
            </w:pPr>
            <w:r>
              <w:rPr>
                <w:rFonts w:hint="eastAsia"/>
                <w:color w:val="auto"/>
                <w:highlight w:val="none"/>
              </w:rPr>
              <w:drawing>
                <wp:inline distT="0" distB="0" distL="114300" distR="114300">
                  <wp:extent cx="2551430" cy="1912620"/>
                  <wp:effectExtent l="0" t="0" r="1270" b="11430"/>
                  <wp:docPr id="7" name="图片 7" descr="微信图片_20260615115247_40_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60615115247_40_99"/>
                          <pic:cNvPicPr>
                            <a:picLocks noChangeAspect="1"/>
                          </pic:cNvPicPr>
                        </pic:nvPicPr>
                        <pic:blipFill>
                          <a:blip r:embed="rId55"/>
                          <a:stretch>
                            <a:fillRect/>
                          </a:stretch>
                        </pic:blipFill>
                        <pic:spPr>
                          <a:xfrm>
                            <a:off x="0" y="0"/>
                            <a:ext cx="2551430" cy="1912620"/>
                          </a:xfrm>
                          <a:prstGeom prst="rect">
                            <a:avLst/>
                          </a:prstGeom>
                        </pic:spPr>
                      </pic:pic>
                    </a:graphicData>
                  </a:graphic>
                </wp:inline>
              </w:drawing>
            </w:r>
          </w:p>
        </w:tc>
        <w:tc>
          <w:tcPr>
            <w:tcW w:w="2506" w:type="pct"/>
            <w:tcBorders>
              <w:tl2br w:val="nil"/>
              <w:tr2bl w:val="nil"/>
            </w:tcBorders>
          </w:tcPr>
          <w:p w14:paraId="10D1EAE6">
            <w:pPr>
              <w:pStyle w:val="3"/>
              <w:spacing w:line="240" w:lineRule="atLeast"/>
              <w:ind w:firstLine="0" w:firstLineChars="0"/>
              <w:rPr>
                <w:color w:val="auto"/>
                <w:highlight w:val="none"/>
              </w:rPr>
            </w:pPr>
            <w:r>
              <w:rPr>
                <w:rFonts w:hint="eastAsia"/>
                <w:color w:val="auto"/>
                <w:highlight w:val="none"/>
              </w:rPr>
              <w:drawing>
                <wp:inline distT="0" distB="0" distL="114300" distR="114300">
                  <wp:extent cx="2534920" cy="1901190"/>
                  <wp:effectExtent l="0" t="0" r="17780" b="3810"/>
                  <wp:docPr id="12" name="图片 12" descr="IMG_3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3258"/>
                          <pic:cNvPicPr>
                            <a:picLocks noChangeAspect="1"/>
                          </pic:cNvPicPr>
                        </pic:nvPicPr>
                        <pic:blipFill>
                          <a:blip r:embed="rId56"/>
                          <a:stretch>
                            <a:fillRect/>
                          </a:stretch>
                        </pic:blipFill>
                        <pic:spPr>
                          <a:xfrm>
                            <a:off x="0" y="0"/>
                            <a:ext cx="2534920" cy="1901190"/>
                          </a:xfrm>
                          <a:prstGeom prst="rect">
                            <a:avLst/>
                          </a:prstGeom>
                        </pic:spPr>
                      </pic:pic>
                    </a:graphicData>
                  </a:graphic>
                </wp:inline>
              </w:drawing>
            </w:r>
          </w:p>
        </w:tc>
      </w:tr>
      <w:tr w14:paraId="70B60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gridSpan w:val="2"/>
            <w:tcBorders>
              <w:tl2br w:val="nil"/>
              <w:tr2bl w:val="nil"/>
            </w:tcBorders>
          </w:tcPr>
          <w:p w14:paraId="3F5666E4">
            <w:pPr>
              <w:pStyle w:val="3"/>
              <w:ind w:firstLine="480"/>
              <w:jc w:val="center"/>
              <w:rPr>
                <w:color w:val="auto"/>
                <w:highlight w:val="none"/>
              </w:rPr>
            </w:pPr>
            <w:r>
              <w:rPr>
                <w:rFonts w:hint="eastAsia"/>
                <w:color w:val="auto"/>
                <w:highlight w:val="none"/>
              </w:rPr>
              <w:t>线性工程区域植被分布情况</w:t>
            </w:r>
          </w:p>
        </w:tc>
      </w:tr>
    </w:tbl>
    <w:p w14:paraId="125ECE29">
      <w:pPr>
        <w:pStyle w:val="43"/>
        <w:rPr>
          <w:color w:val="auto"/>
          <w:highlight w:val="none"/>
        </w:rPr>
      </w:pPr>
      <w:r>
        <w:rPr>
          <w:color w:val="auto"/>
          <w:highlight w:val="none"/>
        </w:rPr>
        <w:t>动物现状评价</w:t>
      </w:r>
    </w:p>
    <w:p w14:paraId="5A17B7A9">
      <w:pPr>
        <w:pStyle w:val="3"/>
        <w:ind w:firstLine="480"/>
        <w:rPr>
          <w:color w:val="auto"/>
          <w:highlight w:val="none"/>
        </w:rPr>
      </w:pPr>
      <w:r>
        <w:rPr>
          <w:rFonts w:hint="eastAsia"/>
          <w:color w:val="auto"/>
          <w:highlight w:val="none"/>
        </w:rPr>
        <w:t>根据《中国动物地理区划》，评价区属于古北界-中亚亚界-蒙新区-西部荒漠亚区。</w:t>
      </w:r>
    </w:p>
    <w:p w14:paraId="5AEDB425">
      <w:pPr>
        <w:pStyle w:val="3"/>
        <w:ind w:firstLine="480"/>
        <w:rPr>
          <w:color w:val="auto"/>
          <w:highlight w:val="none"/>
        </w:rPr>
      </w:pPr>
      <w:r>
        <w:rPr>
          <w:rFonts w:hint="eastAsia"/>
          <w:color w:val="auto"/>
          <w:highlight w:val="none"/>
        </w:rPr>
        <w:t>受荒漠植被生境控制，评价区以中亚荒漠耐旱物种为区系主体，爬行类有快步沙蜥，鸟类包括二斑百灵、小沙百灵，兽类以子午沙鼠、五趾跳鼠为代表，动植物群落均高度契合西部荒漠亚区的地域生态特征。评价区无国家及自治区级重点保护珍稀濒危物种。</w:t>
      </w:r>
    </w:p>
    <w:p w14:paraId="6C24E2E7">
      <w:pPr>
        <w:pStyle w:val="42"/>
        <w:rPr>
          <w:rFonts w:hint="default"/>
          <w:color w:val="auto"/>
          <w:highlight w:val="none"/>
        </w:rPr>
      </w:pPr>
      <w:r>
        <w:rPr>
          <w:rFonts w:hint="default"/>
          <w:color w:val="auto"/>
          <w:highlight w:val="none"/>
        </w:rPr>
        <w:t>土壤环境现状</w:t>
      </w:r>
    </w:p>
    <w:p w14:paraId="5E21B499">
      <w:pPr>
        <w:pStyle w:val="43"/>
        <w:rPr>
          <w:color w:val="auto"/>
          <w:highlight w:val="none"/>
        </w:rPr>
      </w:pPr>
      <w:r>
        <w:rPr>
          <w:rFonts w:hint="eastAsia"/>
          <w:color w:val="auto"/>
          <w:highlight w:val="none"/>
        </w:rPr>
        <w:t>土壤理化特性调查</w:t>
      </w:r>
    </w:p>
    <w:p w14:paraId="4E1A3503">
      <w:pPr>
        <w:pStyle w:val="3"/>
        <w:ind w:firstLine="480"/>
        <w:rPr>
          <w:color w:val="auto"/>
          <w:highlight w:val="none"/>
        </w:rPr>
      </w:pPr>
      <w:r>
        <w:rPr>
          <w:rFonts w:hint="eastAsia"/>
          <w:color w:val="auto"/>
          <w:highlight w:val="none"/>
        </w:rPr>
        <w:t>（1）土壤类型</w:t>
      </w:r>
    </w:p>
    <w:p w14:paraId="5E708F5A">
      <w:pPr>
        <w:pStyle w:val="3"/>
        <w:ind w:firstLine="480"/>
        <w:rPr>
          <w:color w:val="auto"/>
          <w:highlight w:val="none"/>
        </w:rPr>
      </w:pPr>
      <w:r>
        <w:rPr>
          <w:rFonts w:hint="eastAsia"/>
          <w:color w:val="auto"/>
          <w:highlight w:val="none"/>
        </w:rPr>
        <w:t>根据国家土壤信息服务平台查询，项目区土壤类型为棕漠土，暖温带极端干旱荒漠砂砾质洪积物和石质残积物或坡积残积物母质发育的，地表有明显</w:t>
      </w:r>
      <w:r>
        <w:rPr>
          <w:rFonts w:hint="eastAsia"/>
          <w:color w:val="auto"/>
          <w:highlight w:val="none"/>
          <w:lang w:eastAsia="zh-CN"/>
        </w:rPr>
        <w:t>砾幕</w:t>
      </w:r>
      <w:r>
        <w:rPr>
          <w:rFonts w:hint="eastAsia"/>
          <w:color w:val="auto"/>
          <w:highlight w:val="none"/>
        </w:rPr>
        <w:t>，具孔泡结皮层、紧实层、石膏层、石膏-盐磐层等土层序列的干旱土壤，有机质和养分含量较低。</w:t>
      </w:r>
    </w:p>
    <w:p w14:paraId="1F3852AE">
      <w:pPr>
        <w:pStyle w:val="3"/>
        <w:ind w:firstLine="480"/>
        <w:rPr>
          <w:color w:val="auto"/>
          <w:highlight w:val="none"/>
        </w:rPr>
      </w:pPr>
      <w:r>
        <w:rPr>
          <w:rFonts w:hint="eastAsia"/>
          <w:color w:val="auto"/>
          <w:highlight w:val="none"/>
        </w:rPr>
        <w:t>项目区土壤类型见图4.2-</w:t>
      </w:r>
      <w:r>
        <w:rPr>
          <w:rFonts w:hint="eastAsia"/>
          <w:color w:val="auto"/>
          <w:highlight w:val="none"/>
          <w:lang w:val="en-US" w:eastAsia="zh-CN"/>
        </w:rPr>
        <w:t>5</w:t>
      </w:r>
      <w:r>
        <w:rPr>
          <w:rFonts w:hint="eastAsia"/>
          <w:color w:val="auto"/>
          <w:highlight w:val="none"/>
        </w:rPr>
        <w:t>。</w:t>
      </w:r>
    </w:p>
    <w:p w14:paraId="4EC88EAA">
      <w:pPr>
        <w:pStyle w:val="3"/>
        <w:ind w:firstLine="480"/>
        <w:rPr>
          <w:color w:val="auto"/>
          <w:highlight w:val="none"/>
        </w:rPr>
      </w:pPr>
      <w:r>
        <w:rPr>
          <w:rFonts w:hint="eastAsia"/>
          <w:color w:val="auto"/>
          <w:highlight w:val="none"/>
        </w:rPr>
        <w:t>（2）土壤理化特性</w:t>
      </w:r>
    </w:p>
    <w:p w14:paraId="7F15E519">
      <w:pPr>
        <w:pStyle w:val="3"/>
        <w:ind w:firstLine="480"/>
        <w:rPr>
          <w:color w:val="auto"/>
          <w:highlight w:val="none"/>
        </w:rPr>
      </w:pPr>
      <w:r>
        <w:rPr>
          <w:rFonts w:hint="eastAsia"/>
          <w:color w:val="auto"/>
          <w:highlight w:val="none"/>
        </w:rPr>
        <w:t>本次评价代表性监测点位的理化特性调查见下表：</w:t>
      </w:r>
    </w:p>
    <w:p w14:paraId="0602EC04">
      <w:pPr>
        <w:pStyle w:val="40"/>
        <w:rPr>
          <w:color w:val="auto"/>
          <w:highlight w:val="none"/>
        </w:rPr>
      </w:pPr>
      <w:r>
        <w:rPr>
          <w:color w:val="auto"/>
          <w:highlight w:val="none"/>
        </w:rPr>
        <w:t>表4.2-</w:t>
      </w:r>
      <w:r>
        <w:rPr>
          <w:rFonts w:hint="eastAsia"/>
          <w:color w:val="auto"/>
          <w:highlight w:val="none"/>
        </w:rPr>
        <w:t>11</w:t>
      </w:r>
      <w:r>
        <w:rPr>
          <w:color w:val="auto"/>
          <w:highlight w:val="none"/>
        </w:rPr>
        <w:t xml:space="preserve">  </w:t>
      </w:r>
      <w:r>
        <w:rPr>
          <w:rFonts w:hint="eastAsia"/>
          <w:color w:val="auto"/>
          <w:highlight w:val="none"/>
        </w:rPr>
        <w:t xml:space="preserve">   </w:t>
      </w:r>
      <w:r>
        <w:rPr>
          <w:color w:val="auto"/>
          <w:highlight w:val="none"/>
        </w:rPr>
        <w:t xml:space="preserve"> 土壤理化特性调查表</w:t>
      </w:r>
    </w:p>
    <w:tbl>
      <w:tblPr>
        <w:tblStyle w:val="25"/>
        <w:tblpPr w:leftFromText="180" w:rightFromText="180" w:vertAnchor="text" w:horzAnchor="page" w:tblpX="1192" w:tblpY="63"/>
        <w:tblOverlap w:val="never"/>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15" w:type="dxa"/>
          <w:left w:w="15" w:type="dxa"/>
          <w:bottom w:w="15" w:type="dxa"/>
          <w:right w:w="15" w:type="dxa"/>
        </w:tblCellMar>
      </w:tblPr>
      <w:tblGrid>
        <w:gridCol w:w="1549"/>
        <w:gridCol w:w="2442"/>
        <w:gridCol w:w="720"/>
        <w:gridCol w:w="720"/>
        <w:gridCol w:w="728"/>
        <w:gridCol w:w="720"/>
        <w:gridCol w:w="720"/>
        <w:gridCol w:w="728"/>
      </w:tblGrid>
      <w:tr w14:paraId="27F2DD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wAfter w:w="0" w:type="auto"/>
          <w:trHeight w:val="0" w:hRule="atLeast"/>
          <w:jc w:val="center"/>
        </w:trPr>
        <w:tc>
          <w:tcPr>
            <w:tcW w:w="2396" w:type="pct"/>
            <w:gridSpan w:val="2"/>
            <w:tcBorders>
              <w:tl2br w:val="nil"/>
              <w:tr2bl w:val="nil"/>
            </w:tcBorders>
            <w:noWrap w:val="0"/>
            <w:vAlign w:val="center"/>
          </w:tcPr>
          <w:p w14:paraId="223CC3F7">
            <w:pPr>
              <w:pStyle w:val="41"/>
              <w:widowControl/>
              <w:textAlignment w:val="center"/>
              <w:rPr>
                <w:rFonts w:hint="eastAsia" w:ascii="Times New Roman" w:hAnsi="Times New Roman"/>
                <w:color w:val="auto"/>
                <w:highlight w:val="none"/>
              </w:rPr>
            </w:pPr>
            <w:r>
              <w:rPr>
                <w:rFonts w:hint="eastAsia" w:ascii="Times New Roman" w:hAnsi="Times New Roman"/>
                <w:color w:val="auto"/>
                <w:highlight w:val="none"/>
              </w:rPr>
              <w:t>样品编码</w:t>
            </w:r>
          </w:p>
        </w:tc>
        <w:tc>
          <w:tcPr>
            <w:tcW w:w="1301" w:type="pct"/>
            <w:gridSpan w:val="3"/>
            <w:tcBorders>
              <w:tl2br w:val="nil"/>
              <w:tr2bl w:val="nil"/>
            </w:tcBorders>
            <w:noWrap w:val="0"/>
            <w:vAlign w:val="center"/>
          </w:tcPr>
          <w:p w14:paraId="4DDFF33D">
            <w:pPr>
              <w:pStyle w:val="41"/>
              <w:widowControl/>
              <w:textAlignment w:val="center"/>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2#</w:t>
            </w:r>
          </w:p>
        </w:tc>
        <w:tc>
          <w:tcPr>
            <w:tcW w:w="1301" w:type="pct"/>
            <w:gridSpan w:val="3"/>
            <w:tcBorders>
              <w:tl2br w:val="nil"/>
              <w:tr2bl w:val="nil"/>
            </w:tcBorders>
            <w:noWrap w:val="0"/>
            <w:vAlign w:val="center"/>
          </w:tcPr>
          <w:p w14:paraId="36A64131">
            <w:pPr>
              <w:pStyle w:val="41"/>
              <w:widowControl/>
              <w:textAlignment w:val="center"/>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13#</w:t>
            </w:r>
          </w:p>
        </w:tc>
      </w:tr>
      <w:tr w14:paraId="1B5B25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2396" w:type="pct"/>
            <w:gridSpan w:val="2"/>
            <w:tcBorders>
              <w:tl2br w:val="nil"/>
              <w:tr2bl w:val="nil"/>
            </w:tcBorders>
            <w:noWrap w:val="0"/>
            <w:vAlign w:val="center"/>
          </w:tcPr>
          <w:p w14:paraId="1D487799">
            <w:pPr>
              <w:pStyle w:val="41"/>
              <w:widowControl/>
              <w:textAlignment w:val="center"/>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深度（cm）</w:t>
            </w:r>
          </w:p>
        </w:tc>
        <w:tc>
          <w:tcPr>
            <w:tcW w:w="432" w:type="pct"/>
            <w:tcBorders>
              <w:tl2br w:val="nil"/>
              <w:tr2bl w:val="nil"/>
            </w:tcBorders>
            <w:noWrap w:val="0"/>
            <w:vAlign w:val="center"/>
          </w:tcPr>
          <w:p w14:paraId="2C0FB3B9">
            <w:pPr>
              <w:pStyle w:val="41"/>
              <w:widowControl/>
              <w:textAlignment w:val="center"/>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45</w:t>
            </w:r>
          </w:p>
        </w:tc>
        <w:tc>
          <w:tcPr>
            <w:tcW w:w="432" w:type="pct"/>
            <w:tcBorders>
              <w:tl2br w:val="nil"/>
              <w:tr2bl w:val="nil"/>
            </w:tcBorders>
            <w:noWrap w:val="0"/>
            <w:vAlign w:val="center"/>
          </w:tcPr>
          <w:p w14:paraId="3D684A57">
            <w:pPr>
              <w:pStyle w:val="41"/>
              <w:widowControl/>
              <w:textAlignment w:val="center"/>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81</w:t>
            </w:r>
          </w:p>
        </w:tc>
        <w:tc>
          <w:tcPr>
            <w:tcW w:w="437" w:type="pct"/>
            <w:tcBorders>
              <w:tl2br w:val="nil"/>
              <w:tr2bl w:val="nil"/>
            </w:tcBorders>
            <w:noWrap w:val="0"/>
            <w:vAlign w:val="center"/>
          </w:tcPr>
          <w:p w14:paraId="5275B4AF">
            <w:pPr>
              <w:pStyle w:val="41"/>
              <w:widowControl/>
              <w:textAlignment w:val="center"/>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171</w:t>
            </w:r>
          </w:p>
        </w:tc>
        <w:tc>
          <w:tcPr>
            <w:tcW w:w="432" w:type="pct"/>
            <w:tcBorders>
              <w:tl2br w:val="nil"/>
              <w:tr2bl w:val="nil"/>
            </w:tcBorders>
            <w:noWrap w:val="0"/>
            <w:vAlign w:val="center"/>
          </w:tcPr>
          <w:p w14:paraId="719E9019">
            <w:pPr>
              <w:pStyle w:val="41"/>
              <w:widowControl/>
              <w:textAlignment w:val="center"/>
              <w:rPr>
                <w:rFonts w:hint="eastAsia" w:ascii="Times New Roman" w:hAnsi="Times New Roman"/>
                <w:color w:val="auto"/>
                <w:highlight w:val="none"/>
                <w:lang w:val="en-US" w:eastAsia="zh-CN"/>
              </w:rPr>
            </w:pPr>
            <w:r>
              <w:rPr>
                <w:rFonts w:hint="eastAsia" w:ascii="Times New Roman" w:hAnsi="Times New Roman" w:cstheme="minorBidi"/>
                <w:bCs w:val="0"/>
                <w:color w:val="auto"/>
                <w:kern w:val="0"/>
                <w:szCs w:val="21"/>
                <w:highlight w:val="none"/>
                <w:lang w:val="en-US" w:eastAsia="zh-CN" w:bidi="ar"/>
              </w:rPr>
              <w:t>41</w:t>
            </w:r>
          </w:p>
        </w:tc>
        <w:tc>
          <w:tcPr>
            <w:tcW w:w="432" w:type="pct"/>
            <w:tcBorders>
              <w:tl2br w:val="nil"/>
              <w:tr2bl w:val="nil"/>
            </w:tcBorders>
            <w:noWrap w:val="0"/>
            <w:vAlign w:val="center"/>
          </w:tcPr>
          <w:p w14:paraId="12F9174D">
            <w:pPr>
              <w:pStyle w:val="41"/>
              <w:widowControl/>
              <w:textAlignment w:val="center"/>
              <w:rPr>
                <w:rFonts w:hint="eastAsia" w:ascii="Times New Roman" w:hAnsi="Times New Roman"/>
                <w:color w:val="auto"/>
                <w:highlight w:val="none"/>
                <w:lang w:val="en-US" w:eastAsia="zh-CN"/>
              </w:rPr>
            </w:pPr>
            <w:r>
              <w:rPr>
                <w:rFonts w:hint="eastAsia" w:ascii="Times New Roman" w:hAnsi="Times New Roman" w:cstheme="minorBidi"/>
                <w:bCs w:val="0"/>
                <w:color w:val="auto"/>
                <w:kern w:val="0"/>
                <w:szCs w:val="21"/>
                <w:highlight w:val="none"/>
                <w:lang w:val="en-US" w:eastAsia="zh-CN" w:bidi="ar"/>
              </w:rPr>
              <w:t>88</w:t>
            </w:r>
          </w:p>
        </w:tc>
        <w:tc>
          <w:tcPr>
            <w:tcW w:w="437" w:type="pct"/>
            <w:tcBorders>
              <w:tl2br w:val="nil"/>
              <w:tr2bl w:val="nil"/>
            </w:tcBorders>
            <w:noWrap w:val="0"/>
            <w:vAlign w:val="center"/>
          </w:tcPr>
          <w:p w14:paraId="1CFADFDD">
            <w:pPr>
              <w:pStyle w:val="41"/>
              <w:widowControl/>
              <w:textAlignment w:val="center"/>
              <w:rPr>
                <w:rFonts w:hint="eastAsia" w:ascii="Times New Roman" w:hAnsi="Times New Roman"/>
                <w:color w:val="auto"/>
                <w:highlight w:val="none"/>
                <w:lang w:val="en-US" w:eastAsia="zh-CN"/>
              </w:rPr>
            </w:pPr>
            <w:r>
              <w:rPr>
                <w:rFonts w:hint="eastAsia" w:ascii="Times New Roman" w:hAnsi="Times New Roman" w:cstheme="minorBidi"/>
                <w:bCs w:val="0"/>
                <w:color w:val="auto"/>
                <w:kern w:val="0"/>
                <w:szCs w:val="21"/>
                <w:highlight w:val="none"/>
                <w:lang w:val="en-US" w:eastAsia="zh-CN" w:bidi="ar"/>
              </w:rPr>
              <w:t>175</w:t>
            </w:r>
          </w:p>
        </w:tc>
      </w:tr>
      <w:tr w14:paraId="27FA25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930" w:type="pct"/>
            <w:vMerge w:val="restart"/>
            <w:tcBorders>
              <w:tl2br w:val="nil"/>
              <w:tr2bl w:val="nil"/>
            </w:tcBorders>
            <w:noWrap w:val="0"/>
            <w:vAlign w:val="center"/>
          </w:tcPr>
          <w:p w14:paraId="7C7EDCE4">
            <w:pPr>
              <w:pStyle w:val="41"/>
              <w:rPr>
                <w:rFonts w:hint="eastAsia" w:ascii="Times New Roman" w:hAnsi="Times New Roman"/>
                <w:color w:val="auto"/>
                <w:highlight w:val="none"/>
              </w:rPr>
            </w:pPr>
            <w:r>
              <w:rPr>
                <w:rFonts w:hint="eastAsia" w:ascii="Times New Roman" w:hAnsi="Times New Roman"/>
                <w:color w:val="auto"/>
                <w:highlight w:val="none"/>
                <w:lang w:eastAsia="zh-CN"/>
              </w:rPr>
              <w:t>现场记录</w:t>
            </w:r>
          </w:p>
        </w:tc>
        <w:tc>
          <w:tcPr>
            <w:tcW w:w="1466" w:type="pct"/>
            <w:tcBorders>
              <w:tl2br w:val="nil"/>
              <w:tr2bl w:val="nil"/>
            </w:tcBorders>
            <w:noWrap w:val="0"/>
            <w:vAlign w:val="center"/>
          </w:tcPr>
          <w:p w14:paraId="5895CA3D">
            <w:pPr>
              <w:pStyle w:val="41"/>
              <w:rPr>
                <w:rFonts w:hint="eastAsia" w:ascii="Times New Roman" w:hAnsi="Times New Roman"/>
                <w:color w:val="auto"/>
                <w:highlight w:val="none"/>
              </w:rPr>
            </w:pPr>
            <w:r>
              <w:rPr>
                <w:rFonts w:hint="eastAsia" w:ascii="Times New Roman" w:hAnsi="Times New Roman"/>
                <w:color w:val="auto"/>
                <w:highlight w:val="none"/>
                <w:lang w:eastAsia="zh-CN"/>
              </w:rPr>
              <w:t>颜色</w:t>
            </w:r>
          </w:p>
        </w:tc>
        <w:tc>
          <w:tcPr>
            <w:tcW w:w="432" w:type="pct"/>
            <w:tcBorders>
              <w:tl2br w:val="nil"/>
              <w:tr2bl w:val="nil"/>
            </w:tcBorders>
            <w:noWrap w:val="0"/>
            <w:vAlign w:val="center"/>
          </w:tcPr>
          <w:p w14:paraId="104B9791">
            <w:pPr>
              <w:pStyle w:val="41"/>
              <w:widowControl/>
              <w:textAlignment w:val="center"/>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棕色</w:t>
            </w:r>
          </w:p>
        </w:tc>
        <w:tc>
          <w:tcPr>
            <w:tcW w:w="432" w:type="pct"/>
            <w:tcBorders>
              <w:tl2br w:val="nil"/>
              <w:tr2bl w:val="nil"/>
            </w:tcBorders>
            <w:noWrap w:val="0"/>
            <w:vAlign w:val="center"/>
          </w:tcPr>
          <w:p w14:paraId="760DD970">
            <w:pPr>
              <w:pStyle w:val="41"/>
              <w:widowControl/>
              <w:textAlignment w:val="center"/>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棕色</w:t>
            </w:r>
          </w:p>
        </w:tc>
        <w:tc>
          <w:tcPr>
            <w:tcW w:w="437" w:type="pct"/>
            <w:tcBorders>
              <w:tl2br w:val="nil"/>
              <w:tr2bl w:val="nil"/>
            </w:tcBorders>
            <w:noWrap w:val="0"/>
            <w:vAlign w:val="center"/>
          </w:tcPr>
          <w:p w14:paraId="5CC29058">
            <w:pPr>
              <w:pStyle w:val="41"/>
              <w:widowControl/>
              <w:textAlignment w:val="center"/>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棕色</w:t>
            </w:r>
          </w:p>
        </w:tc>
        <w:tc>
          <w:tcPr>
            <w:tcW w:w="432" w:type="pct"/>
            <w:tcBorders>
              <w:tl2br w:val="nil"/>
              <w:tr2bl w:val="nil"/>
            </w:tcBorders>
            <w:noWrap w:val="0"/>
            <w:vAlign w:val="center"/>
          </w:tcPr>
          <w:p w14:paraId="2E6AE958">
            <w:pPr>
              <w:pStyle w:val="41"/>
              <w:widowControl/>
              <w:textAlignment w:val="center"/>
              <w:rPr>
                <w:rFonts w:hint="eastAsia" w:ascii="Times New Roman" w:hAnsi="Times New Roman"/>
                <w:color w:val="auto"/>
                <w:highlight w:val="none"/>
                <w:lang w:val="en-US" w:eastAsia="zh-CN"/>
              </w:rPr>
            </w:pPr>
            <w:r>
              <w:rPr>
                <w:rFonts w:hint="eastAsia" w:ascii="Times New Roman" w:hAnsi="Times New Roman" w:cstheme="minorBidi"/>
                <w:bCs w:val="0"/>
                <w:color w:val="auto"/>
                <w:kern w:val="0"/>
                <w:szCs w:val="21"/>
                <w:highlight w:val="none"/>
                <w:lang w:val="en-US" w:eastAsia="zh-CN" w:bidi="ar"/>
              </w:rPr>
              <w:t>黑色</w:t>
            </w:r>
          </w:p>
        </w:tc>
        <w:tc>
          <w:tcPr>
            <w:tcW w:w="432" w:type="pct"/>
            <w:tcBorders>
              <w:tl2br w:val="nil"/>
              <w:tr2bl w:val="nil"/>
            </w:tcBorders>
            <w:noWrap w:val="0"/>
            <w:vAlign w:val="center"/>
          </w:tcPr>
          <w:p w14:paraId="594D2EDA">
            <w:pPr>
              <w:pStyle w:val="41"/>
              <w:widowControl/>
              <w:textAlignment w:val="center"/>
              <w:rPr>
                <w:rFonts w:hint="eastAsia" w:ascii="Times New Roman" w:hAnsi="Times New Roman"/>
                <w:color w:val="auto"/>
                <w:highlight w:val="none"/>
                <w:lang w:val="en-US" w:eastAsia="zh-CN"/>
              </w:rPr>
            </w:pPr>
            <w:r>
              <w:rPr>
                <w:rFonts w:hint="eastAsia" w:ascii="Times New Roman" w:hAnsi="Times New Roman" w:cstheme="minorBidi"/>
                <w:bCs w:val="0"/>
                <w:color w:val="auto"/>
                <w:kern w:val="0"/>
                <w:szCs w:val="21"/>
                <w:highlight w:val="none"/>
                <w:lang w:val="en-US" w:eastAsia="zh-CN" w:bidi="ar"/>
              </w:rPr>
              <w:t>黑色</w:t>
            </w:r>
          </w:p>
        </w:tc>
        <w:tc>
          <w:tcPr>
            <w:tcW w:w="437" w:type="pct"/>
            <w:tcBorders>
              <w:tl2br w:val="nil"/>
              <w:tr2bl w:val="nil"/>
            </w:tcBorders>
            <w:noWrap w:val="0"/>
            <w:vAlign w:val="center"/>
          </w:tcPr>
          <w:p w14:paraId="589C3B7A">
            <w:pPr>
              <w:pStyle w:val="41"/>
              <w:widowControl/>
              <w:textAlignment w:val="center"/>
              <w:rPr>
                <w:rFonts w:hint="eastAsia" w:ascii="Times New Roman" w:hAnsi="Times New Roman"/>
                <w:color w:val="auto"/>
                <w:highlight w:val="none"/>
                <w:lang w:val="en-US" w:eastAsia="zh-CN"/>
              </w:rPr>
            </w:pPr>
            <w:r>
              <w:rPr>
                <w:rFonts w:hint="eastAsia" w:ascii="Times New Roman" w:hAnsi="Times New Roman" w:cstheme="minorBidi"/>
                <w:bCs w:val="0"/>
                <w:color w:val="auto"/>
                <w:kern w:val="0"/>
                <w:szCs w:val="21"/>
                <w:highlight w:val="none"/>
                <w:lang w:val="en-US" w:eastAsia="zh-CN" w:bidi="ar"/>
              </w:rPr>
              <w:t>黑色</w:t>
            </w:r>
          </w:p>
        </w:tc>
      </w:tr>
      <w:tr w14:paraId="76AF3B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930" w:type="pct"/>
            <w:vMerge w:val="continue"/>
            <w:tcBorders>
              <w:tl2br w:val="nil"/>
              <w:tr2bl w:val="nil"/>
            </w:tcBorders>
            <w:noWrap w:val="0"/>
            <w:vAlign w:val="center"/>
          </w:tcPr>
          <w:p w14:paraId="083149D7">
            <w:pPr>
              <w:pStyle w:val="41"/>
              <w:rPr>
                <w:rFonts w:hint="eastAsia" w:ascii="Times New Roman" w:hAnsi="Times New Roman"/>
                <w:color w:val="auto"/>
                <w:highlight w:val="none"/>
                <w:lang w:val="en-US" w:eastAsia="zh-CN"/>
              </w:rPr>
            </w:pPr>
          </w:p>
        </w:tc>
        <w:tc>
          <w:tcPr>
            <w:tcW w:w="1466" w:type="pct"/>
            <w:tcBorders>
              <w:tl2br w:val="nil"/>
              <w:tr2bl w:val="nil"/>
            </w:tcBorders>
            <w:noWrap w:val="0"/>
            <w:vAlign w:val="center"/>
          </w:tcPr>
          <w:p w14:paraId="7F11E63C">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eastAsia="zh-CN"/>
              </w:rPr>
              <w:t>结构</w:t>
            </w:r>
          </w:p>
        </w:tc>
        <w:tc>
          <w:tcPr>
            <w:tcW w:w="432" w:type="pct"/>
            <w:tcBorders>
              <w:tl2br w:val="nil"/>
              <w:tr2bl w:val="nil"/>
            </w:tcBorders>
            <w:noWrap w:val="0"/>
            <w:vAlign w:val="center"/>
          </w:tcPr>
          <w:p w14:paraId="3B005A80">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团粒</w:t>
            </w:r>
          </w:p>
        </w:tc>
        <w:tc>
          <w:tcPr>
            <w:tcW w:w="432" w:type="pct"/>
            <w:tcBorders>
              <w:tl2br w:val="nil"/>
              <w:tr2bl w:val="nil"/>
            </w:tcBorders>
            <w:noWrap w:val="0"/>
            <w:vAlign w:val="center"/>
          </w:tcPr>
          <w:p w14:paraId="54B791E8">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团粒</w:t>
            </w:r>
          </w:p>
        </w:tc>
        <w:tc>
          <w:tcPr>
            <w:tcW w:w="437" w:type="pct"/>
            <w:tcBorders>
              <w:tl2br w:val="nil"/>
              <w:tr2bl w:val="nil"/>
            </w:tcBorders>
            <w:noWrap w:val="0"/>
            <w:vAlign w:val="center"/>
          </w:tcPr>
          <w:p w14:paraId="7B5059D5">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团粒</w:t>
            </w:r>
          </w:p>
        </w:tc>
        <w:tc>
          <w:tcPr>
            <w:tcW w:w="432" w:type="pct"/>
            <w:tcBorders>
              <w:tl2br w:val="nil"/>
              <w:tr2bl w:val="nil"/>
            </w:tcBorders>
            <w:noWrap w:val="0"/>
            <w:vAlign w:val="center"/>
          </w:tcPr>
          <w:p w14:paraId="6FFB2952">
            <w:pPr>
              <w:pStyle w:val="41"/>
              <w:rPr>
                <w:rFonts w:hint="eastAsia" w:ascii="Times New Roman" w:hAnsi="Times New Roman"/>
                <w:color w:val="auto"/>
                <w:highlight w:val="none"/>
                <w:lang w:val="en-US" w:eastAsia="zh-CN"/>
              </w:rPr>
            </w:pPr>
            <w:r>
              <w:rPr>
                <w:rFonts w:hint="eastAsia" w:ascii="Times New Roman" w:hAnsi="Times New Roman" w:eastAsia="华文中宋" w:cstheme="minorBidi"/>
                <w:bCs w:val="0"/>
                <w:color w:val="auto"/>
                <w:kern w:val="0"/>
                <w:sz w:val="21"/>
                <w:szCs w:val="21"/>
                <w:highlight w:val="none"/>
                <w:lang w:val="en-US" w:eastAsia="zh-CN" w:bidi="ar-SA"/>
              </w:rPr>
              <w:t>沙粒</w:t>
            </w:r>
          </w:p>
        </w:tc>
        <w:tc>
          <w:tcPr>
            <w:tcW w:w="432" w:type="pct"/>
            <w:tcBorders>
              <w:tl2br w:val="nil"/>
              <w:tr2bl w:val="nil"/>
            </w:tcBorders>
            <w:noWrap w:val="0"/>
            <w:vAlign w:val="center"/>
          </w:tcPr>
          <w:p w14:paraId="183C749B">
            <w:pPr>
              <w:pStyle w:val="41"/>
              <w:rPr>
                <w:rFonts w:hint="eastAsia" w:ascii="Times New Roman" w:hAnsi="Times New Roman"/>
                <w:color w:val="auto"/>
                <w:highlight w:val="none"/>
                <w:lang w:val="en-US" w:eastAsia="zh-CN"/>
              </w:rPr>
            </w:pPr>
            <w:r>
              <w:rPr>
                <w:rFonts w:hint="eastAsia" w:ascii="Times New Roman" w:hAnsi="Times New Roman" w:eastAsia="华文中宋" w:cstheme="minorBidi"/>
                <w:bCs w:val="0"/>
                <w:color w:val="auto"/>
                <w:kern w:val="0"/>
                <w:sz w:val="21"/>
                <w:szCs w:val="21"/>
                <w:highlight w:val="none"/>
                <w:lang w:val="en-US" w:eastAsia="zh-CN" w:bidi="ar-SA"/>
              </w:rPr>
              <w:t>沙粒</w:t>
            </w:r>
          </w:p>
        </w:tc>
        <w:tc>
          <w:tcPr>
            <w:tcW w:w="437" w:type="pct"/>
            <w:tcBorders>
              <w:tl2br w:val="nil"/>
              <w:tr2bl w:val="nil"/>
            </w:tcBorders>
            <w:noWrap w:val="0"/>
            <w:vAlign w:val="center"/>
          </w:tcPr>
          <w:p w14:paraId="3B541DE9">
            <w:pPr>
              <w:pStyle w:val="41"/>
              <w:rPr>
                <w:rFonts w:hint="eastAsia" w:ascii="Times New Roman" w:hAnsi="Times New Roman"/>
                <w:color w:val="auto"/>
                <w:highlight w:val="none"/>
                <w:lang w:val="en-US" w:eastAsia="zh-CN"/>
              </w:rPr>
            </w:pPr>
            <w:r>
              <w:rPr>
                <w:rFonts w:hint="eastAsia" w:ascii="Times New Roman" w:hAnsi="Times New Roman" w:eastAsia="华文中宋" w:cstheme="minorBidi"/>
                <w:bCs w:val="0"/>
                <w:color w:val="auto"/>
                <w:kern w:val="0"/>
                <w:sz w:val="21"/>
                <w:szCs w:val="21"/>
                <w:highlight w:val="none"/>
                <w:lang w:val="en-US" w:eastAsia="zh-CN" w:bidi="ar-SA"/>
              </w:rPr>
              <w:t>沙粒</w:t>
            </w:r>
          </w:p>
        </w:tc>
      </w:tr>
      <w:tr w14:paraId="5ABC5A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930" w:type="pct"/>
            <w:vMerge w:val="continue"/>
            <w:tcBorders>
              <w:tl2br w:val="nil"/>
              <w:tr2bl w:val="nil"/>
            </w:tcBorders>
            <w:noWrap w:val="0"/>
            <w:vAlign w:val="center"/>
          </w:tcPr>
          <w:p w14:paraId="646EF892">
            <w:pPr>
              <w:pStyle w:val="41"/>
              <w:rPr>
                <w:rFonts w:hint="eastAsia" w:ascii="Times New Roman" w:hAnsi="Times New Roman"/>
                <w:color w:val="auto"/>
                <w:highlight w:val="none"/>
                <w:lang w:val="en-US" w:eastAsia="zh-CN"/>
              </w:rPr>
            </w:pPr>
          </w:p>
        </w:tc>
        <w:tc>
          <w:tcPr>
            <w:tcW w:w="1466" w:type="pct"/>
            <w:tcBorders>
              <w:tl2br w:val="nil"/>
              <w:tr2bl w:val="nil"/>
            </w:tcBorders>
            <w:noWrap w:val="0"/>
            <w:vAlign w:val="center"/>
          </w:tcPr>
          <w:p w14:paraId="3A64DCB4">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eastAsia="zh-CN"/>
              </w:rPr>
              <w:t>质地</w:t>
            </w:r>
          </w:p>
        </w:tc>
        <w:tc>
          <w:tcPr>
            <w:tcW w:w="432" w:type="pct"/>
            <w:tcBorders>
              <w:tl2br w:val="nil"/>
              <w:tr2bl w:val="nil"/>
            </w:tcBorders>
            <w:noWrap w:val="0"/>
            <w:vAlign w:val="center"/>
          </w:tcPr>
          <w:p w14:paraId="4EE5C4E9">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沙石</w:t>
            </w:r>
          </w:p>
        </w:tc>
        <w:tc>
          <w:tcPr>
            <w:tcW w:w="432" w:type="pct"/>
            <w:tcBorders>
              <w:tl2br w:val="nil"/>
              <w:tr2bl w:val="nil"/>
            </w:tcBorders>
            <w:noWrap w:val="0"/>
            <w:vAlign w:val="center"/>
          </w:tcPr>
          <w:p w14:paraId="3A5003B4">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沙石</w:t>
            </w:r>
          </w:p>
        </w:tc>
        <w:tc>
          <w:tcPr>
            <w:tcW w:w="437" w:type="pct"/>
            <w:tcBorders>
              <w:tl2br w:val="nil"/>
              <w:tr2bl w:val="nil"/>
            </w:tcBorders>
            <w:noWrap w:val="0"/>
            <w:vAlign w:val="center"/>
          </w:tcPr>
          <w:p w14:paraId="585A9CE0">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沙石</w:t>
            </w:r>
          </w:p>
        </w:tc>
        <w:tc>
          <w:tcPr>
            <w:tcW w:w="432" w:type="pct"/>
            <w:tcBorders>
              <w:tl2br w:val="nil"/>
              <w:tr2bl w:val="nil"/>
            </w:tcBorders>
            <w:noWrap w:val="0"/>
            <w:vAlign w:val="center"/>
          </w:tcPr>
          <w:p w14:paraId="535E45DA">
            <w:pPr>
              <w:pStyle w:val="41"/>
              <w:rPr>
                <w:rFonts w:hint="eastAsia" w:ascii="Times New Roman" w:hAnsi="Times New Roman"/>
                <w:color w:val="auto"/>
                <w:highlight w:val="none"/>
                <w:lang w:val="en-US" w:eastAsia="zh-CN"/>
              </w:rPr>
            </w:pPr>
            <w:r>
              <w:rPr>
                <w:rFonts w:hint="eastAsia" w:ascii="Times New Roman" w:hAnsi="Times New Roman" w:eastAsia="华文中宋" w:cstheme="minorBidi"/>
                <w:bCs w:val="0"/>
                <w:color w:val="auto"/>
                <w:kern w:val="0"/>
                <w:sz w:val="21"/>
                <w:szCs w:val="21"/>
                <w:highlight w:val="none"/>
                <w:lang w:val="en-US" w:eastAsia="zh-CN" w:bidi="ar-SA"/>
              </w:rPr>
              <w:t>沙土</w:t>
            </w:r>
          </w:p>
        </w:tc>
        <w:tc>
          <w:tcPr>
            <w:tcW w:w="432" w:type="pct"/>
            <w:tcBorders>
              <w:tl2br w:val="nil"/>
              <w:tr2bl w:val="nil"/>
            </w:tcBorders>
            <w:noWrap w:val="0"/>
            <w:vAlign w:val="center"/>
          </w:tcPr>
          <w:p w14:paraId="1A90548C">
            <w:pPr>
              <w:pStyle w:val="41"/>
              <w:rPr>
                <w:rFonts w:hint="eastAsia" w:ascii="Times New Roman" w:hAnsi="Times New Roman"/>
                <w:color w:val="auto"/>
                <w:highlight w:val="none"/>
                <w:lang w:val="en-US" w:eastAsia="zh-CN"/>
              </w:rPr>
            </w:pPr>
            <w:r>
              <w:rPr>
                <w:rFonts w:hint="eastAsia" w:ascii="Times New Roman" w:hAnsi="Times New Roman" w:eastAsia="华文中宋" w:cstheme="minorBidi"/>
                <w:bCs w:val="0"/>
                <w:color w:val="auto"/>
                <w:kern w:val="0"/>
                <w:sz w:val="21"/>
                <w:szCs w:val="21"/>
                <w:highlight w:val="none"/>
                <w:lang w:val="en-US" w:eastAsia="zh-CN" w:bidi="ar-SA"/>
              </w:rPr>
              <w:t>沙土</w:t>
            </w:r>
          </w:p>
        </w:tc>
        <w:tc>
          <w:tcPr>
            <w:tcW w:w="437" w:type="pct"/>
            <w:tcBorders>
              <w:tl2br w:val="nil"/>
              <w:tr2bl w:val="nil"/>
            </w:tcBorders>
            <w:noWrap w:val="0"/>
            <w:vAlign w:val="center"/>
          </w:tcPr>
          <w:p w14:paraId="1C9C921B">
            <w:pPr>
              <w:pStyle w:val="41"/>
              <w:rPr>
                <w:rFonts w:hint="eastAsia" w:ascii="Times New Roman" w:hAnsi="Times New Roman"/>
                <w:color w:val="auto"/>
                <w:highlight w:val="none"/>
                <w:lang w:val="en-US" w:eastAsia="zh-CN"/>
              </w:rPr>
            </w:pPr>
            <w:r>
              <w:rPr>
                <w:rFonts w:hint="eastAsia" w:ascii="Times New Roman" w:hAnsi="Times New Roman" w:eastAsia="华文中宋" w:cstheme="minorBidi"/>
                <w:bCs w:val="0"/>
                <w:color w:val="auto"/>
                <w:kern w:val="0"/>
                <w:sz w:val="21"/>
                <w:szCs w:val="21"/>
                <w:highlight w:val="none"/>
                <w:lang w:val="en-US" w:eastAsia="zh-CN" w:bidi="ar-SA"/>
              </w:rPr>
              <w:t>沙土</w:t>
            </w:r>
          </w:p>
        </w:tc>
      </w:tr>
      <w:tr w14:paraId="16A62C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930" w:type="pct"/>
            <w:vMerge w:val="continue"/>
            <w:tcBorders>
              <w:tl2br w:val="nil"/>
              <w:tr2bl w:val="nil"/>
            </w:tcBorders>
            <w:noWrap w:val="0"/>
            <w:vAlign w:val="center"/>
          </w:tcPr>
          <w:p w14:paraId="33DE42FE">
            <w:pPr>
              <w:pStyle w:val="41"/>
              <w:rPr>
                <w:rFonts w:hint="eastAsia" w:ascii="Times New Roman" w:hAnsi="Times New Roman"/>
                <w:color w:val="auto"/>
                <w:highlight w:val="none"/>
                <w:lang w:val="en-US" w:eastAsia="zh-CN"/>
              </w:rPr>
            </w:pPr>
          </w:p>
        </w:tc>
        <w:tc>
          <w:tcPr>
            <w:tcW w:w="1466" w:type="pct"/>
            <w:tcBorders>
              <w:tl2br w:val="nil"/>
              <w:tr2bl w:val="nil"/>
            </w:tcBorders>
            <w:noWrap w:val="0"/>
            <w:vAlign w:val="center"/>
          </w:tcPr>
          <w:p w14:paraId="35CC4B80">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eastAsia="zh-CN"/>
              </w:rPr>
              <w:t>砂砾含量（</w:t>
            </w:r>
            <w:r>
              <w:rPr>
                <w:rFonts w:hint="eastAsia" w:ascii="Times New Roman" w:hAnsi="Times New Roman"/>
                <w:color w:val="auto"/>
                <w:highlight w:val="none"/>
                <w:lang w:val="en-US" w:eastAsia="zh-CN"/>
              </w:rPr>
              <w:t>%</w:t>
            </w:r>
            <w:r>
              <w:rPr>
                <w:rFonts w:hint="eastAsia" w:ascii="Times New Roman" w:hAnsi="Times New Roman"/>
                <w:color w:val="auto"/>
                <w:highlight w:val="none"/>
                <w:lang w:eastAsia="zh-CN"/>
              </w:rPr>
              <w:t>）</w:t>
            </w:r>
          </w:p>
        </w:tc>
        <w:tc>
          <w:tcPr>
            <w:tcW w:w="432" w:type="pct"/>
            <w:tcBorders>
              <w:tl2br w:val="nil"/>
              <w:tr2bl w:val="nil"/>
            </w:tcBorders>
            <w:noWrap w:val="0"/>
            <w:vAlign w:val="center"/>
          </w:tcPr>
          <w:p w14:paraId="489BE612">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45</w:t>
            </w:r>
          </w:p>
        </w:tc>
        <w:tc>
          <w:tcPr>
            <w:tcW w:w="432" w:type="pct"/>
            <w:tcBorders>
              <w:tl2br w:val="nil"/>
              <w:tr2bl w:val="nil"/>
            </w:tcBorders>
            <w:noWrap w:val="0"/>
            <w:vAlign w:val="center"/>
          </w:tcPr>
          <w:p w14:paraId="1F7519BE">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45</w:t>
            </w:r>
          </w:p>
        </w:tc>
        <w:tc>
          <w:tcPr>
            <w:tcW w:w="437" w:type="pct"/>
            <w:tcBorders>
              <w:tl2br w:val="nil"/>
              <w:tr2bl w:val="nil"/>
            </w:tcBorders>
            <w:noWrap w:val="0"/>
            <w:vAlign w:val="center"/>
          </w:tcPr>
          <w:p w14:paraId="1C3B46A8">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40</w:t>
            </w:r>
          </w:p>
        </w:tc>
        <w:tc>
          <w:tcPr>
            <w:tcW w:w="432" w:type="pct"/>
            <w:tcBorders>
              <w:tl2br w:val="nil"/>
              <w:tr2bl w:val="nil"/>
            </w:tcBorders>
            <w:noWrap w:val="0"/>
            <w:vAlign w:val="center"/>
          </w:tcPr>
          <w:p w14:paraId="45A401E4">
            <w:pPr>
              <w:pStyle w:val="41"/>
              <w:rPr>
                <w:rFonts w:hint="eastAsia" w:ascii="Times New Roman" w:hAnsi="Times New Roman"/>
                <w:color w:val="auto"/>
                <w:highlight w:val="none"/>
                <w:lang w:val="en-US" w:eastAsia="zh-CN"/>
              </w:rPr>
            </w:pPr>
            <w:r>
              <w:rPr>
                <w:rFonts w:hint="eastAsia" w:ascii="Times New Roman" w:hAnsi="Times New Roman" w:eastAsia="华文中宋" w:cstheme="minorBidi"/>
                <w:bCs w:val="0"/>
                <w:color w:val="auto"/>
                <w:kern w:val="0"/>
                <w:sz w:val="21"/>
                <w:szCs w:val="21"/>
                <w:highlight w:val="none"/>
                <w:lang w:val="en-US" w:eastAsia="zh-CN" w:bidi="ar-SA"/>
              </w:rPr>
              <w:t>30</w:t>
            </w:r>
          </w:p>
        </w:tc>
        <w:tc>
          <w:tcPr>
            <w:tcW w:w="432" w:type="pct"/>
            <w:tcBorders>
              <w:tl2br w:val="nil"/>
              <w:tr2bl w:val="nil"/>
            </w:tcBorders>
            <w:noWrap w:val="0"/>
            <w:vAlign w:val="center"/>
          </w:tcPr>
          <w:p w14:paraId="3A20D7CB">
            <w:pPr>
              <w:pStyle w:val="41"/>
              <w:rPr>
                <w:rFonts w:hint="eastAsia" w:ascii="Times New Roman" w:hAnsi="Times New Roman"/>
                <w:color w:val="auto"/>
                <w:highlight w:val="none"/>
                <w:lang w:val="en-US" w:eastAsia="zh-CN"/>
              </w:rPr>
            </w:pPr>
            <w:r>
              <w:rPr>
                <w:rFonts w:hint="eastAsia" w:ascii="Times New Roman" w:hAnsi="Times New Roman" w:eastAsia="华文中宋" w:cstheme="minorBidi"/>
                <w:bCs w:val="0"/>
                <w:color w:val="auto"/>
                <w:kern w:val="0"/>
                <w:sz w:val="21"/>
                <w:szCs w:val="21"/>
                <w:highlight w:val="none"/>
                <w:lang w:val="en-US" w:eastAsia="zh-CN" w:bidi="ar-SA"/>
              </w:rPr>
              <w:t>25</w:t>
            </w:r>
          </w:p>
        </w:tc>
        <w:tc>
          <w:tcPr>
            <w:tcW w:w="437" w:type="pct"/>
            <w:tcBorders>
              <w:tl2br w:val="nil"/>
              <w:tr2bl w:val="nil"/>
            </w:tcBorders>
            <w:noWrap w:val="0"/>
            <w:vAlign w:val="center"/>
          </w:tcPr>
          <w:p w14:paraId="10D7B2CC">
            <w:pPr>
              <w:pStyle w:val="41"/>
              <w:rPr>
                <w:rFonts w:hint="eastAsia" w:ascii="Times New Roman" w:hAnsi="Times New Roman"/>
                <w:color w:val="auto"/>
                <w:highlight w:val="none"/>
                <w:lang w:val="en-US" w:eastAsia="zh-CN"/>
              </w:rPr>
            </w:pPr>
            <w:r>
              <w:rPr>
                <w:rFonts w:hint="eastAsia" w:ascii="Times New Roman" w:hAnsi="Times New Roman" w:eastAsia="华文中宋" w:cstheme="minorBidi"/>
                <w:bCs w:val="0"/>
                <w:color w:val="auto"/>
                <w:kern w:val="0"/>
                <w:sz w:val="21"/>
                <w:szCs w:val="21"/>
                <w:highlight w:val="none"/>
                <w:lang w:val="en-US" w:eastAsia="zh-CN" w:bidi="ar-SA"/>
              </w:rPr>
              <w:t>25</w:t>
            </w:r>
          </w:p>
        </w:tc>
      </w:tr>
      <w:tr w14:paraId="7CB7C2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930" w:type="pct"/>
            <w:vMerge w:val="continue"/>
            <w:tcBorders>
              <w:tl2br w:val="nil"/>
              <w:tr2bl w:val="nil"/>
            </w:tcBorders>
            <w:noWrap w:val="0"/>
            <w:vAlign w:val="center"/>
          </w:tcPr>
          <w:p w14:paraId="331C8DC0">
            <w:pPr>
              <w:pStyle w:val="41"/>
              <w:rPr>
                <w:rFonts w:hint="eastAsia" w:ascii="Times New Roman" w:hAnsi="Times New Roman"/>
                <w:color w:val="auto"/>
                <w:highlight w:val="none"/>
                <w:lang w:val="en-US" w:eastAsia="zh-CN"/>
              </w:rPr>
            </w:pPr>
          </w:p>
        </w:tc>
        <w:tc>
          <w:tcPr>
            <w:tcW w:w="1466" w:type="pct"/>
            <w:tcBorders>
              <w:tl2br w:val="nil"/>
              <w:tr2bl w:val="nil"/>
            </w:tcBorders>
            <w:noWrap w:val="0"/>
            <w:vAlign w:val="center"/>
          </w:tcPr>
          <w:p w14:paraId="54EDDA03">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其他异物</w:t>
            </w:r>
          </w:p>
        </w:tc>
        <w:tc>
          <w:tcPr>
            <w:tcW w:w="432" w:type="pct"/>
            <w:tcBorders>
              <w:tl2br w:val="nil"/>
              <w:tr2bl w:val="nil"/>
            </w:tcBorders>
            <w:noWrap w:val="0"/>
            <w:vAlign w:val="center"/>
          </w:tcPr>
          <w:p w14:paraId="442D52F2">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无</w:t>
            </w:r>
          </w:p>
        </w:tc>
        <w:tc>
          <w:tcPr>
            <w:tcW w:w="432" w:type="pct"/>
            <w:tcBorders>
              <w:tl2br w:val="nil"/>
              <w:tr2bl w:val="nil"/>
            </w:tcBorders>
            <w:noWrap w:val="0"/>
            <w:vAlign w:val="center"/>
          </w:tcPr>
          <w:p w14:paraId="05F5BFA2">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无</w:t>
            </w:r>
          </w:p>
        </w:tc>
        <w:tc>
          <w:tcPr>
            <w:tcW w:w="437" w:type="pct"/>
            <w:tcBorders>
              <w:tl2br w:val="nil"/>
              <w:tr2bl w:val="nil"/>
            </w:tcBorders>
            <w:noWrap w:val="0"/>
            <w:vAlign w:val="center"/>
          </w:tcPr>
          <w:p w14:paraId="75CDD56D">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无</w:t>
            </w:r>
          </w:p>
        </w:tc>
        <w:tc>
          <w:tcPr>
            <w:tcW w:w="432" w:type="pct"/>
            <w:tcBorders>
              <w:tl2br w:val="nil"/>
              <w:tr2bl w:val="nil"/>
            </w:tcBorders>
            <w:noWrap w:val="0"/>
            <w:vAlign w:val="center"/>
          </w:tcPr>
          <w:p w14:paraId="0D085B85">
            <w:pPr>
              <w:pStyle w:val="41"/>
              <w:rPr>
                <w:rFonts w:hint="eastAsia" w:ascii="Times New Roman" w:hAnsi="Times New Roman"/>
                <w:color w:val="auto"/>
                <w:highlight w:val="none"/>
                <w:lang w:val="en-US" w:eastAsia="zh-CN"/>
              </w:rPr>
            </w:pPr>
            <w:r>
              <w:rPr>
                <w:rFonts w:hint="eastAsia" w:ascii="Times New Roman" w:hAnsi="Times New Roman" w:cstheme="minorBidi"/>
                <w:bCs w:val="0"/>
                <w:color w:val="auto"/>
                <w:szCs w:val="21"/>
                <w:highlight w:val="none"/>
                <w:lang w:val="en-US" w:eastAsia="zh-CN"/>
              </w:rPr>
              <w:t>无</w:t>
            </w:r>
          </w:p>
        </w:tc>
        <w:tc>
          <w:tcPr>
            <w:tcW w:w="432" w:type="pct"/>
            <w:tcBorders>
              <w:tl2br w:val="nil"/>
              <w:tr2bl w:val="nil"/>
            </w:tcBorders>
            <w:noWrap w:val="0"/>
            <w:vAlign w:val="center"/>
          </w:tcPr>
          <w:p w14:paraId="6182A13F">
            <w:pPr>
              <w:pStyle w:val="41"/>
              <w:rPr>
                <w:rFonts w:hint="eastAsia" w:ascii="Times New Roman" w:hAnsi="Times New Roman"/>
                <w:color w:val="auto"/>
                <w:highlight w:val="none"/>
                <w:lang w:val="en-US" w:eastAsia="zh-CN"/>
              </w:rPr>
            </w:pPr>
            <w:r>
              <w:rPr>
                <w:rFonts w:hint="eastAsia" w:ascii="Times New Roman" w:hAnsi="Times New Roman" w:cstheme="minorBidi"/>
                <w:bCs w:val="0"/>
                <w:color w:val="auto"/>
                <w:szCs w:val="21"/>
                <w:highlight w:val="none"/>
                <w:lang w:val="en-US" w:eastAsia="zh-CN"/>
              </w:rPr>
              <w:t>无</w:t>
            </w:r>
          </w:p>
        </w:tc>
        <w:tc>
          <w:tcPr>
            <w:tcW w:w="437" w:type="pct"/>
            <w:tcBorders>
              <w:tl2br w:val="nil"/>
              <w:tr2bl w:val="nil"/>
            </w:tcBorders>
            <w:noWrap w:val="0"/>
            <w:vAlign w:val="center"/>
          </w:tcPr>
          <w:p w14:paraId="3AF99022">
            <w:pPr>
              <w:pStyle w:val="41"/>
              <w:rPr>
                <w:rFonts w:hint="eastAsia" w:ascii="Times New Roman" w:hAnsi="Times New Roman"/>
                <w:color w:val="auto"/>
                <w:highlight w:val="none"/>
                <w:lang w:val="en-US" w:eastAsia="zh-CN"/>
              </w:rPr>
            </w:pPr>
            <w:r>
              <w:rPr>
                <w:rFonts w:hint="eastAsia" w:ascii="Times New Roman" w:hAnsi="Times New Roman" w:cstheme="minorBidi"/>
                <w:bCs w:val="0"/>
                <w:color w:val="auto"/>
                <w:szCs w:val="21"/>
                <w:highlight w:val="none"/>
                <w:lang w:val="en-US" w:eastAsia="zh-CN"/>
              </w:rPr>
              <w:t>无</w:t>
            </w:r>
          </w:p>
        </w:tc>
      </w:tr>
      <w:tr w14:paraId="2C2F37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930" w:type="pct"/>
            <w:vMerge w:val="continue"/>
            <w:tcBorders>
              <w:tl2br w:val="nil"/>
              <w:tr2bl w:val="nil"/>
            </w:tcBorders>
            <w:noWrap w:val="0"/>
            <w:vAlign w:val="center"/>
          </w:tcPr>
          <w:p w14:paraId="4F97CEA1">
            <w:pPr>
              <w:pStyle w:val="41"/>
              <w:rPr>
                <w:rFonts w:hint="eastAsia" w:ascii="Times New Roman" w:hAnsi="Times New Roman"/>
                <w:color w:val="auto"/>
                <w:highlight w:val="none"/>
                <w:lang w:val="en-US" w:eastAsia="zh-CN"/>
              </w:rPr>
            </w:pPr>
          </w:p>
        </w:tc>
        <w:tc>
          <w:tcPr>
            <w:tcW w:w="1466" w:type="pct"/>
            <w:tcBorders>
              <w:tl2br w:val="nil"/>
              <w:tr2bl w:val="nil"/>
            </w:tcBorders>
            <w:noWrap w:val="0"/>
            <w:vAlign w:val="center"/>
          </w:tcPr>
          <w:p w14:paraId="424C6919">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氧化还原电位（mv）</w:t>
            </w:r>
          </w:p>
        </w:tc>
        <w:tc>
          <w:tcPr>
            <w:tcW w:w="432" w:type="pct"/>
            <w:tcBorders>
              <w:tl2br w:val="nil"/>
              <w:tr2bl w:val="nil"/>
            </w:tcBorders>
            <w:noWrap w:val="0"/>
            <w:vAlign w:val="center"/>
          </w:tcPr>
          <w:p w14:paraId="29926F51">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480</w:t>
            </w:r>
          </w:p>
        </w:tc>
        <w:tc>
          <w:tcPr>
            <w:tcW w:w="432" w:type="pct"/>
            <w:tcBorders>
              <w:tl2br w:val="nil"/>
              <w:tr2bl w:val="nil"/>
            </w:tcBorders>
            <w:noWrap w:val="0"/>
            <w:vAlign w:val="center"/>
          </w:tcPr>
          <w:p w14:paraId="371F7A10">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450</w:t>
            </w:r>
          </w:p>
        </w:tc>
        <w:tc>
          <w:tcPr>
            <w:tcW w:w="437" w:type="pct"/>
            <w:tcBorders>
              <w:tl2br w:val="nil"/>
              <w:tr2bl w:val="nil"/>
            </w:tcBorders>
            <w:noWrap w:val="0"/>
            <w:vAlign w:val="center"/>
          </w:tcPr>
          <w:p w14:paraId="7386A79E">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420</w:t>
            </w:r>
          </w:p>
        </w:tc>
        <w:tc>
          <w:tcPr>
            <w:tcW w:w="432" w:type="pct"/>
            <w:tcBorders>
              <w:tl2br w:val="nil"/>
              <w:tr2bl w:val="nil"/>
            </w:tcBorders>
            <w:noWrap w:val="0"/>
            <w:vAlign w:val="center"/>
          </w:tcPr>
          <w:p w14:paraId="4DBF4D93">
            <w:pPr>
              <w:pStyle w:val="41"/>
              <w:rPr>
                <w:rFonts w:hint="eastAsia" w:ascii="Times New Roman" w:hAnsi="Times New Roman"/>
                <w:color w:val="auto"/>
                <w:highlight w:val="none"/>
                <w:lang w:val="en-US" w:eastAsia="zh-CN"/>
              </w:rPr>
            </w:pPr>
            <w:r>
              <w:rPr>
                <w:rFonts w:hint="eastAsia" w:ascii="Times New Roman" w:hAnsi="Times New Roman" w:cstheme="minorBidi"/>
                <w:bCs w:val="0"/>
                <w:color w:val="auto"/>
                <w:szCs w:val="21"/>
                <w:highlight w:val="none"/>
                <w:lang w:val="en-US" w:eastAsia="zh-CN"/>
              </w:rPr>
              <w:t>470</w:t>
            </w:r>
          </w:p>
        </w:tc>
        <w:tc>
          <w:tcPr>
            <w:tcW w:w="432" w:type="pct"/>
            <w:tcBorders>
              <w:tl2br w:val="nil"/>
              <w:tr2bl w:val="nil"/>
            </w:tcBorders>
            <w:noWrap w:val="0"/>
            <w:vAlign w:val="center"/>
          </w:tcPr>
          <w:p w14:paraId="5AF48E12">
            <w:pPr>
              <w:pStyle w:val="41"/>
              <w:rPr>
                <w:rFonts w:hint="eastAsia" w:ascii="Times New Roman" w:hAnsi="Times New Roman"/>
                <w:color w:val="auto"/>
                <w:highlight w:val="none"/>
                <w:lang w:val="en-US" w:eastAsia="zh-CN"/>
              </w:rPr>
            </w:pPr>
            <w:r>
              <w:rPr>
                <w:rFonts w:hint="eastAsia" w:ascii="Times New Roman" w:hAnsi="Times New Roman" w:cstheme="minorBidi"/>
                <w:bCs w:val="0"/>
                <w:color w:val="auto"/>
                <w:szCs w:val="21"/>
                <w:highlight w:val="none"/>
                <w:lang w:val="en-US" w:eastAsia="zh-CN"/>
              </w:rPr>
              <w:t>430</w:t>
            </w:r>
          </w:p>
        </w:tc>
        <w:tc>
          <w:tcPr>
            <w:tcW w:w="437" w:type="pct"/>
            <w:tcBorders>
              <w:tl2br w:val="nil"/>
              <w:tr2bl w:val="nil"/>
            </w:tcBorders>
            <w:noWrap w:val="0"/>
            <w:vAlign w:val="center"/>
          </w:tcPr>
          <w:p w14:paraId="3EF0CE78">
            <w:pPr>
              <w:pStyle w:val="41"/>
              <w:rPr>
                <w:rFonts w:hint="eastAsia" w:ascii="Times New Roman" w:hAnsi="Times New Roman"/>
                <w:color w:val="auto"/>
                <w:highlight w:val="none"/>
                <w:lang w:val="en-US" w:eastAsia="zh-CN"/>
              </w:rPr>
            </w:pPr>
            <w:r>
              <w:rPr>
                <w:rFonts w:hint="eastAsia" w:ascii="Times New Roman" w:hAnsi="Times New Roman" w:cstheme="minorBidi"/>
                <w:bCs w:val="0"/>
                <w:color w:val="auto"/>
                <w:szCs w:val="21"/>
                <w:highlight w:val="none"/>
                <w:lang w:val="en-US" w:eastAsia="zh-CN"/>
              </w:rPr>
              <w:t>410</w:t>
            </w:r>
          </w:p>
        </w:tc>
      </w:tr>
      <w:tr w14:paraId="5E1C09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930" w:type="pct"/>
            <w:vMerge w:val="restart"/>
            <w:tcBorders>
              <w:tl2br w:val="nil"/>
              <w:tr2bl w:val="nil"/>
            </w:tcBorders>
            <w:noWrap w:val="0"/>
            <w:vAlign w:val="center"/>
          </w:tcPr>
          <w:p w14:paraId="055FDC8D">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实验室测定</w:t>
            </w:r>
          </w:p>
        </w:tc>
        <w:tc>
          <w:tcPr>
            <w:tcW w:w="1466" w:type="pct"/>
            <w:tcBorders>
              <w:tl2br w:val="nil"/>
              <w:tr2bl w:val="nil"/>
            </w:tcBorders>
            <w:noWrap w:val="0"/>
            <w:vAlign w:val="center"/>
          </w:tcPr>
          <w:p w14:paraId="08159799">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pH（</w:t>
            </w:r>
            <w:r>
              <w:rPr>
                <w:rFonts w:hint="eastAsia" w:ascii="Times New Roman" w:hAnsi="Times New Roman"/>
                <w:color w:val="auto"/>
                <w:highlight w:val="none"/>
                <w:lang w:eastAsia="zh-CN"/>
              </w:rPr>
              <w:t>无量纲</w:t>
            </w:r>
            <w:r>
              <w:rPr>
                <w:rFonts w:hint="eastAsia" w:ascii="Times New Roman" w:hAnsi="Times New Roman"/>
                <w:color w:val="auto"/>
                <w:highlight w:val="none"/>
                <w:lang w:val="en-US" w:eastAsia="zh-CN"/>
              </w:rPr>
              <w:t>）</w:t>
            </w:r>
          </w:p>
        </w:tc>
        <w:tc>
          <w:tcPr>
            <w:tcW w:w="432" w:type="pct"/>
            <w:tcBorders>
              <w:tl2br w:val="nil"/>
              <w:tr2bl w:val="nil"/>
            </w:tcBorders>
            <w:noWrap w:val="0"/>
            <w:vAlign w:val="center"/>
          </w:tcPr>
          <w:p w14:paraId="20845491">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8.35</w:t>
            </w:r>
          </w:p>
        </w:tc>
        <w:tc>
          <w:tcPr>
            <w:tcW w:w="432" w:type="pct"/>
            <w:tcBorders>
              <w:tl2br w:val="nil"/>
              <w:tr2bl w:val="nil"/>
            </w:tcBorders>
            <w:noWrap w:val="0"/>
            <w:vAlign w:val="center"/>
          </w:tcPr>
          <w:p w14:paraId="1D98F012">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8.31</w:t>
            </w:r>
          </w:p>
        </w:tc>
        <w:tc>
          <w:tcPr>
            <w:tcW w:w="437" w:type="pct"/>
            <w:tcBorders>
              <w:tl2br w:val="nil"/>
              <w:tr2bl w:val="nil"/>
            </w:tcBorders>
            <w:noWrap w:val="0"/>
            <w:vAlign w:val="center"/>
          </w:tcPr>
          <w:p w14:paraId="0D82FA48">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8.30</w:t>
            </w:r>
          </w:p>
        </w:tc>
        <w:tc>
          <w:tcPr>
            <w:tcW w:w="432" w:type="pct"/>
            <w:tcBorders>
              <w:tl2br w:val="nil"/>
              <w:tr2bl w:val="nil"/>
            </w:tcBorders>
            <w:noWrap w:val="0"/>
            <w:vAlign w:val="center"/>
          </w:tcPr>
          <w:p w14:paraId="384B9DF0">
            <w:pPr>
              <w:pStyle w:val="41"/>
              <w:rPr>
                <w:rFonts w:hint="eastAsia" w:ascii="Times New Roman" w:hAnsi="Times New Roman"/>
                <w:color w:val="auto"/>
                <w:highlight w:val="none"/>
                <w:lang w:val="en-US" w:eastAsia="zh-CN"/>
              </w:rPr>
            </w:pPr>
            <w:r>
              <w:rPr>
                <w:rFonts w:hint="eastAsia" w:ascii="Times New Roman" w:hAnsi="Times New Roman" w:eastAsia="华文中宋" w:cstheme="minorBidi"/>
                <w:bCs w:val="0"/>
                <w:color w:val="auto"/>
                <w:kern w:val="0"/>
                <w:sz w:val="21"/>
                <w:szCs w:val="21"/>
                <w:highlight w:val="none"/>
                <w:lang w:val="en-US" w:eastAsia="zh-CN" w:bidi="ar-SA"/>
              </w:rPr>
              <w:t>8.38</w:t>
            </w:r>
          </w:p>
        </w:tc>
        <w:tc>
          <w:tcPr>
            <w:tcW w:w="432" w:type="pct"/>
            <w:tcBorders>
              <w:tl2br w:val="nil"/>
              <w:tr2bl w:val="nil"/>
            </w:tcBorders>
            <w:noWrap w:val="0"/>
            <w:vAlign w:val="center"/>
          </w:tcPr>
          <w:p w14:paraId="4E5DFD7B">
            <w:pPr>
              <w:pStyle w:val="41"/>
              <w:rPr>
                <w:rFonts w:hint="eastAsia" w:ascii="Times New Roman" w:hAnsi="Times New Roman"/>
                <w:color w:val="auto"/>
                <w:highlight w:val="none"/>
                <w:lang w:val="en-US" w:eastAsia="zh-CN"/>
              </w:rPr>
            </w:pPr>
            <w:r>
              <w:rPr>
                <w:rFonts w:hint="eastAsia" w:ascii="Times New Roman" w:hAnsi="Times New Roman" w:eastAsia="华文中宋" w:cstheme="minorBidi"/>
                <w:bCs w:val="0"/>
                <w:color w:val="auto"/>
                <w:kern w:val="0"/>
                <w:sz w:val="21"/>
                <w:szCs w:val="21"/>
                <w:highlight w:val="none"/>
                <w:lang w:val="en-US" w:eastAsia="zh-CN" w:bidi="ar-SA"/>
              </w:rPr>
              <w:t>8.34</w:t>
            </w:r>
          </w:p>
        </w:tc>
        <w:tc>
          <w:tcPr>
            <w:tcW w:w="437" w:type="pct"/>
            <w:tcBorders>
              <w:tl2br w:val="nil"/>
              <w:tr2bl w:val="nil"/>
            </w:tcBorders>
            <w:noWrap w:val="0"/>
            <w:vAlign w:val="center"/>
          </w:tcPr>
          <w:p w14:paraId="52824F05">
            <w:pPr>
              <w:pStyle w:val="41"/>
              <w:rPr>
                <w:rFonts w:hint="eastAsia" w:ascii="Times New Roman" w:hAnsi="Times New Roman"/>
                <w:color w:val="auto"/>
                <w:highlight w:val="none"/>
                <w:lang w:val="en-US" w:eastAsia="zh-CN"/>
              </w:rPr>
            </w:pPr>
            <w:r>
              <w:rPr>
                <w:rFonts w:hint="eastAsia" w:ascii="Times New Roman" w:hAnsi="Times New Roman" w:eastAsia="华文中宋" w:cstheme="minorBidi"/>
                <w:bCs w:val="0"/>
                <w:color w:val="auto"/>
                <w:kern w:val="0"/>
                <w:sz w:val="21"/>
                <w:szCs w:val="21"/>
                <w:highlight w:val="none"/>
                <w:lang w:val="en-US" w:eastAsia="zh-CN" w:bidi="ar-SA"/>
              </w:rPr>
              <w:t>8.30</w:t>
            </w:r>
          </w:p>
        </w:tc>
      </w:tr>
      <w:tr w14:paraId="030893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930" w:type="pct"/>
            <w:vMerge w:val="continue"/>
            <w:tcBorders>
              <w:tl2br w:val="nil"/>
              <w:tr2bl w:val="nil"/>
            </w:tcBorders>
            <w:noWrap w:val="0"/>
            <w:vAlign w:val="center"/>
          </w:tcPr>
          <w:p w14:paraId="3C66F43B">
            <w:pPr>
              <w:pStyle w:val="41"/>
              <w:rPr>
                <w:rFonts w:hint="eastAsia" w:ascii="Times New Roman" w:hAnsi="Times New Roman"/>
                <w:color w:val="auto"/>
                <w:highlight w:val="none"/>
                <w:lang w:val="en-US" w:eastAsia="zh-CN"/>
              </w:rPr>
            </w:pPr>
          </w:p>
        </w:tc>
        <w:tc>
          <w:tcPr>
            <w:tcW w:w="1466" w:type="pct"/>
            <w:tcBorders>
              <w:tl2br w:val="nil"/>
              <w:tr2bl w:val="nil"/>
            </w:tcBorders>
            <w:noWrap w:val="0"/>
            <w:vAlign w:val="center"/>
          </w:tcPr>
          <w:p w14:paraId="25C387E6">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阳离子交换量</w:t>
            </w:r>
          </w:p>
          <w:p w14:paraId="7549A736">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(cmol</w:t>
            </w:r>
            <w:r>
              <w:rPr>
                <w:rFonts w:hint="eastAsia" w:ascii="Times New Roman" w:hAnsi="Times New Roman"/>
                <w:color w:val="auto"/>
                <w:highlight w:val="none"/>
                <w:vertAlign w:val="superscript"/>
                <w:lang w:val="en-US" w:eastAsia="zh-CN"/>
              </w:rPr>
              <w:t>＋</w:t>
            </w:r>
            <w:r>
              <w:rPr>
                <w:rFonts w:hint="eastAsia" w:ascii="Times New Roman" w:hAnsi="Times New Roman"/>
                <w:color w:val="auto"/>
                <w:highlight w:val="none"/>
                <w:lang w:val="en-US" w:eastAsia="zh-CN"/>
              </w:rPr>
              <w:t>/kg)</w:t>
            </w:r>
          </w:p>
        </w:tc>
        <w:tc>
          <w:tcPr>
            <w:tcW w:w="432" w:type="pct"/>
            <w:tcBorders>
              <w:tl2br w:val="nil"/>
              <w:tr2bl w:val="nil"/>
            </w:tcBorders>
            <w:noWrap w:val="0"/>
            <w:vAlign w:val="center"/>
          </w:tcPr>
          <w:p w14:paraId="5B2BB3C7">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4.67</w:t>
            </w:r>
          </w:p>
        </w:tc>
        <w:tc>
          <w:tcPr>
            <w:tcW w:w="432" w:type="pct"/>
            <w:tcBorders>
              <w:tl2br w:val="nil"/>
              <w:tr2bl w:val="nil"/>
            </w:tcBorders>
            <w:noWrap w:val="0"/>
            <w:vAlign w:val="center"/>
          </w:tcPr>
          <w:p w14:paraId="4E64FB04">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4.43</w:t>
            </w:r>
          </w:p>
        </w:tc>
        <w:tc>
          <w:tcPr>
            <w:tcW w:w="437" w:type="pct"/>
            <w:tcBorders>
              <w:tl2br w:val="nil"/>
              <w:tr2bl w:val="nil"/>
            </w:tcBorders>
            <w:noWrap w:val="0"/>
            <w:vAlign w:val="center"/>
          </w:tcPr>
          <w:p w14:paraId="59E35659">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4.23</w:t>
            </w:r>
          </w:p>
        </w:tc>
        <w:tc>
          <w:tcPr>
            <w:tcW w:w="432" w:type="pct"/>
            <w:tcBorders>
              <w:tl2br w:val="nil"/>
              <w:tr2bl w:val="nil"/>
            </w:tcBorders>
            <w:noWrap w:val="0"/>
            <w:vAlign w:val="center"/>
          </w:tcPr>
          <w:p w14:paraId="705CE361">
            <w:pPr>
              <w:pStyle w:val="41"/>
              <w:rPr>
                <w:rFonts w:hint="eastAsia" w:ascii="Times New Roman" w:hAnsi="Times New Roman"/>
                <w:color w:val="auto"/>
                <w:highlight w:val="none"/>
                <w:lang w:val="en-US" w:eastAsia="zh-CN"/>
              </w:rPr>
            </w:pPr>
            <w:r>
              <w:rPr>
                <w:rFonts w:hint="eastAsia" w:ascii="Times New Roman" w:hAnsi="Times New Roman" w:cstheme="minorBidi"/>
                <w:bCs w:val="0"/>
                <w:color w:val="auto"/>
                <w:szCs w:val="21"/>
                <w:highlight w:val="none"/>
                <w:lang w:val="en-US" w:eastAsia="zh-CN"/>
              </w:rPr>
              <w:t>4.56</w:t>
            </w:r>
          </w:p>
        </w:tc>
        <w:tc>
          <w:tcPr>
            <w:tcW w:w="432" w:type="pct"/>
            <w:tcBorders>
              <w:tl2br w:val="nil"/>
              <w:tr2bl w:val="nil"/>
            </w:tcBorders>
            <w:noWrap w:val="0"/>
            <w:vAlign w:val="center"/>
          </w:tcPr>
          <w:p w14:paraId="436E1DEB">
            <w:pPr>
              <w:pStyle w:val="41"/>
              <w:rPr>
                <w:rFonts w:hint="eastAsia" w:ascii="Times New Roman" w:hAnsi="Times New Roman"/>
                <w:color w:val="auto"/>
                <w:highlight w:val="none"/>
                <w:lang w:val="en-US" w:eastAsia="zh-CN"/>
              </w:rPr>
            </w:pPr>
            <w:r>
              <w:rPr>
                <w:rFonts w:hint="eastAsia" w:ascii="Times New Roman" w:hAnsi="Times New Roman" w:cstheme="minorBidi"/>
                <w:bCs w:val="0"/>
                <w:color w:val="auto"/>
                <w:szCs w:val="21"/>
                <w:highlight w:val="none"/>
                <w:lang w:val="en-US" w:eastAsia="zh-CN"/>
              </w:rPr>
              <w:t>4.76</w:t>
            </w:r>
          </w:p>
        </w:tc>
        <w:tc>
          <w:tcPr>
            <w:tcW w:w="437" w:type="pct"/>
            <w:tcBorders>
              <w:tl2br w:val="nil"/>
              <w:tr2bl w:val="nil"/>
            </w:tcBorders>
            <w:noWrap w:val="0"/>
            <w:vAlign w:val="center"/>
          </w:tcPr>
          <w:p w14:paraId="5D266ADA">
            <w:pPr>
              <w:pStyle w:val="41"/>
              <w:rPr>
                <w:rFonts w:hint="eastAsia" w:ascii="Times New Roman" w:hAnsi="Times New Roman"/>
                <w:color w:val="auto"/>
                <w:highlight w:val="none"/>
                <w:lang w:val="en-US" w:eastAsia="zh-CN"/>
              </w:rPr>
            </w:pPr>
            <w:r>
              <w:rPr>
                <w:rFonts w:hint="eastAsia" w:ascii="Times New Roman" w:hAnsi="Times New Roman" w:cstheme="minorBidi"/>
                <w:bCs w:val="0"/>
                <w:color w:val="auto"/>
                <w:szCs w:val="21"/>
                <w:highlight w:val="none"/>
                <w:lang w:val="en-US" w:eastAsia="zh-CN"/>
              </w:rPr>
              <w:t>4.44</w:t>
            </w:r>
          </w:p>
        </w:tc>
      </w:tr>
      <w:tr w14:paraId="1F6A40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930" w:type="pct"/>
            <w:vMerge w:val="continue"/>
            <w:tcBorders>
              <w:tl2br w:val="nil"/>
              <w:tr2bl w:val="nil"/>
            </w:tcBorders>
            <w:noWrap w:val="0"/>
            <w:vAlign w:val="center"/>
          </w:tcPr>
          <w:p w14:paraId="41EEBCA1">
            <w:pPr>
              <w:pStyle w:val="41"/>
              <w:rPr>
                <w:rFonts w:hint="eastAsia" w:ascii="Times New Roman" w:hAnsi="Times New Roman"/>
                <w:color w:val="auto"/>
                <w:highlight w:val="none"/>
                <w:lang w:val="en-US" w:eastAsia="zh-CN"/>
              </w:rPr>
            </w:pPr>
          </w:p>
        </w:tc>
        <w:tc>
          <w:tcPr>
            <w:tcW w:w="1466" w:type="pct"/>
            <w:tcBorders>
              <w:tl2br w:val="nil"/>
              <w:tr2bl w:val="nil"/>
            </w:tcBorders>
            <w:noWrap w:val="0"/>
            <w:vAlign w:val="center"/>
          </w:tcPr>
          <w:p w14:paraId="28DE03B9">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渗滤率（mm/min）</w:t>
            </w:r>
          </w:p>
        </w:tc>
        <w:tc>
          <w:tcPr>
            <w:tcW w:w="432" w:type="pct"/>
            <w:tcBorders>
              <w:tl2br w:val="nil"/>
              <w:tr2bl w:val="nil"/>
            </w:tcBorders>
            <w:noWrap w:val="0"/>
            <w:vAlign w:val="center"/>
          </w:tcPr>
          <w:p w14:paraId="39F8ABA1">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0.420</w:t>
            </w:r>
          </w:p>
        </w:tc>
        <w:tc>
          <w:tcPr>
            <w:tcW w:w="432" w:type="pct"/>
            <w:tcBorders>
              <w:tl2br w:val="nil"/>
              <w:tr2bl w:val="nil"/>
            </w:tcBorders>
            <w:noWrap w:val="0"/>
            <w:vAlign w:val="center"/>
          </w:tcPr>
          <w:p w14:paraId="627B23C3">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0.444</w:t>
            </w:r>
          </w:p>
        </w:tc>
        <w:tc>
          <w:tcPr>
            <w:tcW w:w="437" w:type="pct"/>
            <w:tcBorders>
              <w:tl2br w:val="nil"/>
              <w:tr2bl w:val="nil"/>
            </w:tcBorders>
            <w:noWrap w:val="0"/>
            <w:vAlign w:val="center"/>
          </w:tcPr>
          <w:p w14:paraId="1060DA4E">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0.445</w:t>
            </w:r>
          </w:p>
        </w:tc>
        <w:tc>
          <w:tcPr>
            <w:tcW w:w="432" w:type="pct"/>
            <w:tcBorders>
              <w:tl2br w:val="nil"/>
              <w:tr2bl w:val="nil"/>
            </w:tcBorders>
            <w:noWrap w:val="0"/>
            <w:vAlign w:val="center"/>
          </w:tcPr>
          <w:p w14:paraId="0EEFDE48">
            <w:pPr>
              <w:pStyle w:val="41"/>
              <w:rPr>
                <w:rFonts w:hint="eastAsia" w:ascii="Times New Roman" w:hAnsi="Times New Roman"/>
                <w:color w:val="auto"/>
                <w:highlight w:val="none"/>
                <w:lang w:val="en-US" w:eastAsia="zh-CN"/>
              </w:rPr>
            </w:pPr>
            <w:r>
              <w:rPr>
                <w:rFonts w:hint="eastAsia" w:ascii="Times New Roman" w:hAnsi="Times New Roman" w:cstheme="minorBidi"/>
                <w:bCs w:val="0"/>
                <w:color w:val="auto"/>
                <w:szCs w:val="21"/>
                <w:highlight w:val="none"/>
                <w:lang w:val="en-US" w:eastAsia="zh-CN"/>
              </w:rPr>
              <w:t>0.459</w:t>
            </w:r>
          </w:p>
        </w:tc>
        <w:tc>
          <w:tcPr>
            <w:tcW w:w="432" w:type="pct"/>
            <w:tcBorders>
              <w:tl2br w:val="nil"/>
              <w:tr2bl w:val="nil"/>
            </w:tcBorders>
            <w:noWrap w:val="0"/>
            <w:vAlign w:val="center"/>
          </w:tcPr>
          <w:p w14:paraId="7F2D7714">
            <w:pPr>
              <w:pStyle w:val="41"/>
              <w:rPr>
                <w:rFonts w:hint="eastAsia" w:ascii="Times New Roman" w:hAnsi="Times New Roman"/>
                <w:color w:val="auto"/>
                <w:highlight w:val="none"/>
                <w:lang w:val="en-US" w:eastAsia="zh-CN"/>
              </w:rPr>
            </w:pPr>
            <w:r>
              <w:rPr>
                <w:rFonts w:hint="eastAsia" w:ascii="Times New Roman" w:hAnsi="Times New Roman" w:cstheme="minorBidi"/>
                <w:bCs w:val="0"/>
                <w:color w:val="auto"/>
                <w:szCs w:val="21"/>
                <w:highlight w:val="none"/>
                <w:lang w:val="en-US" w:eastAsia="zh-CN"/>
              </w:rPr>
              <w:t>0.426</w:t>
            </w:r>
          </w:p>
        </w:tc>
        <w:tc>
          <w:tcPr>
            <w:tcW w:w="437" w:type="pct"/>
            <w:tcBorders>
              <w:tl2br w:val="nil"/>
              <w:tr2bl w:val="nil"/>
            </w:tcBorders>
            <w:noWrap w:val="0"/>
            <w:vAlign w:val="center"/>
          </w:tcPr>
          <w:p w14:paraId="09724AD1">
            <w:pPr>
              <w:pStyle w:val="41"/>
              <w:rPr>
                <w:rFonts w:hint="eastAsia" w:ascii="Times New Roman" w:hAnsi="Times New Roman"/>
                <w:color w:val="auto"/>
                <w:highlight w:val="none"/>
                <w:lang w:val="en-US" w:eastAsia="zh-CN"/>
              </w:rPr>
            </w:pPr>
            <w:r>
              <w:rPr>
                <w:rFonts w:hint="eastAsia" w:ascii="Times New Roman" w:hAnsi="Times New Roman" w:cstheme="minorBidi"/>
                <w:bCs w:val="0"/>
                <w:color w:val="auto"/>
                <w:szCs w:val="21"/>
                <w:highlight w:val="none"/>
                <w:lang w:val="en-US" w:eastAsia="zh-CN"/>
              </w:rPr>
              <w:t>0.461</w:t>
            </w:r>
          </w:p>
        </w:tc>
      </w:tr>
      <w:tr w14:paraId="7402C7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930" w:type="pct"/>
            <w:vMerge w:val="continue"/>
            <w:tcBorders>
              <w:tl2br w:val="nil"/>
              <w:tr2bl w:val="nil"/>
            </w:tcBorders>
            <w:noWrap w:val="0"/>
            <w:vAlign w:val="center"/>
          </w:tcPr>
          <w:p w14:paraId="52B49C44">
            <w:pPr>
              <w:pStyle w:val="41"/>
              <w:rPr>
                <w:rFonts w:hint="eastAsia" w:ascii="Times New Roman" w:hAnsi="Times New Roman"/>
                <w:color w:val="auto"/>
                <w:highlight w:val="none"/>
                <w:lang w:val="en-US" w:eastAsia="zh-CN"/>
              </w:rPr>
            </w:pPr>
          </w:p>
        </w:tc>
        <w:tc>
          <w:tcPr>
            <w:tcW w:w="1466" w:type="pct"/>
            <w:tcBorders>
              <w:tl2br w:val="nil"/>
              <w:tr2bl w:val="nil"/>
            </w:tcBorders>
            <w:noWrap w:val="0"/>
            <w:vAlign w:val="center"/>
          </w:tcPr>
          <w:p w14:paraId="68CF6570">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土壤容重（g/cm</w:t>
            </w:r>
            <w:r>
              <w:rPr>
                <w:rFonts w:hint="eastAsia" w:ascii="Times New Roman" w:hAnsi="Times New Roman"/>
                <w:color w:val="auto"/>
                <w:highlight w:val="none"/>
                <w:vertAlign w:val="superscript"/>
                <w:lang w:val="en-US" w:eastAsia="zh-CN"/>
              </w:rPr>
              <w:t>3）</w:t>
            </w:r>
          </w:p>
        </w:tc>
        <w:tc>
          <w:tcPr>
            <w:tcW w:w="432" w:type="pct"/>
            <w:tcBorders>
              <w:tl2br w:val="nil"/>
              <w:tr2bl w:val="nil"/>
            </w:tcBorders>
            <w:noWrap w:val="0"/>
            <w:vAlign w:val="center"/>
          </w:tcPr>
          <w:p w14:paraId="59A211F4">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1.32</w:t>
            </w:r>
          </w:p>
        </w:tc>
        <w:tc>
          <w:tcPr>
            <w:tcW w:w="432" w:type="pct"/>
            <w:tcBorders>
              <w:tl2br w:val="nil"/>
              <w:tr2bl w:val="nil"/>
            </w:tcBorders>
            <w:noWrap w:val="0"/>
            <w:vAlign w:val="center"/>
          </w:tcPr>
          <w:p w14:paraId="16B580A5">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1.42</w:t>
            </w:r>
          </w:p>
        </w:tc>
        <w:tc>
          <w:tcPr>
            <w:tcW w:w="437" w:type="pct"/>
            <w:tcBorders>
              <w:tl2br w:val="nil"/>
              <w:tr2bl w:val="nil"/>
            </w:tcBorders>
            <w:noWrap w:val="0"/>
            <w:vAlign w:val="center"/>
          </w:tcPr>
          <w:p w14:paraId="16696667">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1.43</w:t>
            </w:r>
          </w:p>
        </w:tc>
        <w:tc>
          <w:tcPr>
            <w:tcW w:w="432" w:type="pct"/>
            <w:tcBorders>
              <w:tl2br w:val="nil"/>
              <w:tr2bl w:val="nil"/>
            </w:tcBorders>
            <w:noWrap w:val="0"/>
            <w:vAlign w:val="center"/>
          </w:tcPr>
          <w:p w14:paraId="64F9964D">
            <w:pPr>
              <w:pStyle w:val="41"/>
              <w:rPr>
                <w:rFonts w:hint="eastAsia" w:ascii="Times New Roman" w:hAnsi="Times New Roman"/>
                <w:color w:val="auto"/>
                <w:highlight w:val="none"/>
                <w:lang w:val="en-US" w:eastAsia="zh-CN"/>
              </w:rPr>
            </w:pPr>
            <w:r>
              <w:rPr>
                <w:rFonts w:hint="eastAsia" w:ascii="Times New Roman" w:hAnsi="Times New Roman" w:cstheme="minorBidi"/>
                <w:bCs w:val="0"/>
                <w:color w:val="auto"/>
                <w:szCs w:val="21"/>
                <w:highlight w:val="none"/>
                <w:lang w:val="en-US" w:eastAsia="zh-CN"/>
              </w:rPr>
              <w:t>1.59</w:t>
            </w:r>
          </w:p>
        </w:tc>
        <w:tc>
          <w:tcPr>
            <w:tcW w:w="432" w:type="pct"/>
            <w:tcBorders>
              <w:tl2br w:val="nil"/>
              <w:tr2bl w:val="nil"/>
            </w:tcBorders>
            <w:noWrap w:val="0"/>
            <w:vAlign w:val="center"/>
          </w:tcPr>
          <w:p w14:paraId="0E865ECE">
            <w:pPr>
              <w:pStyle w:val="41"/>
              <w:rPr>
                <w:rFonts w:hint="eastAsia" w:ascii="Times New Roman" w:hAnsi="Times New Roman"/>
                <w:color w:val="auto"/>
                <w:highlight w:val="none"/>
                <w:lang w:val="en-US" w:eastAsia="zh-CN"/>
              </w:rPr>
            </w:pPr>
            <w:r>
              <w:rPr>
                <w:rFonts w:hint="eastAsia" w:ascii="Times New Roman" w:hAnsi="Times New Roman" w:cstheme="minorBidi"/>
                <w:bCs w:val="0"/>
                <w:color w:val="auto"/>
                <w:szCs w:val="21"/>
                <w:highlight w:val="none"/>
                <w:lang w:val="en-US" w:eastAsia="zh-CN"/>
              </w:rPr>
              <w:t>1.57</w:t>
            </w:r>
          </w:p>
        </w:tc>
        <w:tc>
          <w:tcPr>
            <w:tcW w:w="437" w:type="pct"/>
            <w:tcBorders>
              <w:tl2br w:val="nil"/>
              <w:tr2bl w:val="nil"/>
            </w:tcBorders>
            <w:noWrap w:val="0"/>
            <w:vAlign w:val="center"/>
          </w:tcPr>
          <w:p w14:paraId="6EAC07AE">
            <w:pPr>
              <w:pStyle w:val="41"/>
              <w:rPr>
                <w:rFonts w:hint="eastAsia" w:ascii="Times New Roman" w:hAnsi="Times New Roman"/>
                <w:color w:val="auto"/>
                <w:highlight w:val="none"/>
                <w:lang w:val="en-US" w:eastAsia="zh-CN"/>
              </w:rPr>
            </w:pPr>
            <w:r>
              <w:rPr>
                <w:rFonts w:hint="eastAsia" w:ascii="Times New Roman" w:hAnsi="Times New Roman" w:cstheme="minorBidi"/>
                <w:bCs w:val="0"/>
                <w:color w:val="auto"/>
                <w:szCs w:val="21"/>
                <w:highlight w:val="none"/>
                <w:lang w:val="en-US" w:eastAsia="zh-CN"/>
              </w:rPr>
              <w:t>1.53</w:t>
            </w:r>
          </w:p>
        </w:tc>
      </w:tr>
      <w:tr w14:paraId="09B51E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930" w:type="pct"/>
            <w:vMerge w:val="continue"/>
            <w:tcBorders>
              <w:tl2br w:val="nil"/>
              <w:tr2bl w:val="nil"/>
            </w:tcBorders>
            <w:noWrap w:val="0"/>
            <w:vAlign w:val="center"/>
          </w:tcPr>
          <w:p w14:paraId="23DF1732">
            <w:pPr>
              <w:pStyle w:val="41"/>
              <w:rPr>
                <w:rFonts w:hint="eastAsia" w:ascii="Times New Roman" w:hAnsi="Times New Roman"/>
                <w:color w:val="auto"/>
                <w:highlight w:val="none"/>
                <w:lang w:val="en-US" w:eastAsia="zh-CN"/>
              </w:rPr>
            </w:pPr>
          </w:p>
        </w:tc>
        <w:tc>
          <w:tcPr>
            <w:tcW w:w="1466" w:type="pct"/>
            <w:tcBorders>
              <w:tl2br w:val="nil"/>
              <w:tr2bl w:val="nil"/>
            </w:tcBorders>
            <w:noWrap w:val="0"/>
            <w:vAlign w:val="center"/>
          </w:tcPr>
          <w:p w14:paraId="3300F139">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总孔隙度（%）</w:t>
            </w:r>
          </w:p>
        </w:tc>
        <w:tc>
          <w:tcPr>
            <w:tcW w:w="432" w:type="pct"/>
            <w:tcBorders>
              <w:tl2br w:val="nil"/>
              <w:tr2bl w:val="nil"/>
            </w:tcBorders>
            <w:noWrap w:val="0"/>
            <w:vAlign w:val="center"/>
          </w:tcPr>
          <w:p w14:paraId="377D223D">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36.2</w:t>
            </w:r>
          </w:p>
        </w:tc>
        <w:tc>
          <w:tcPr>
            <w:tcW w:w="432" w:type="pct"/>
            <w:tcBorders>
              <w:tl2br w:val="nil"/>
              <w:tr2bl w:val="nil"/>
            </w:tcBorders>
            <w:noWrap w:val="0"/>
            <w:vAlign w:val="center"/>
          </w:tcPr>
          <w:p w14:paraId="257E1114">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36.1</w:t>
            </w:r>
          </w:p>
        </w:tc>
        <w:tc>
          <w:tcPr>
            <w:tcW w:w="437" w:type="pct"/>
            <w:tcBorders>
              <w:tl2br w:val="nil"/>
              <w:tr2bl w:val="nil"/>
            </w:tcBorders>
            <w:noWrap w:val="0"/>
            <w:vAlign w:val="center"/>
          </w:tcPr>
          <w:p w14:paraId="72D90924">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36.0</w:t>
            </w:r>
          </w:p>
        </w:tc>
        <w:tc>
          <w:tcPr>
            <w:tcW w:w="432" w:type="pct"/>
            <w:tcBorders>
              <w:tl2br w:val="nil"/>
              <w:tr2bl w:val="nil"/>
            </w:tcBorders>
            <w:noWrap w:val="0"/>
            <w:vAlign w:val="center"/>
          </w:tcPr>
          <w:p w14:paraId="7692A622">
            <w:pPr>
              <w:pStyle w:val="41"/>
              <w:rPr>
                <w:rFonts w:hint="eastAsia" w:ascii="Times New Roman" w:hAnsi="Times New Roman"/>
                <w:color w:val="auto"/>
                <w:highlight w:val="none"/>
                <w:lang w:val="en-US" w:eastAsia="zh-CN"/>
              </w:rPr>
            </w:pPr>
            <w:r>
              <w:rPr>
                <w:rFonts w:hint="eastAsia" w:ascii="Times New Roman" w:hAnsi="Times New Roman" w:cstheme="minorBidi"/>
                <w:bCs w:val="0"/>
                <w:color w:val="auto"/>
                <w:szCs w:val="21"/>
                <w:highlight w:val="none"/>
                <w:lang w:val="en-US" w:eastAsia="zh-CN"/>
              </w:rPr>
              <w:t>34.9</w:t>
            </w:r>
          </w:p>
        </w:tc>
        <w:tc>
          <w:tcPr>
            <w:tcW w:w="432" w:type="pct"/>
            <w:tcBorders>
              <w:tl2br w:val="nil"/>
              <w:tr2bl w:val="nil"/>
            </w:tcBorders>
            <w:noWrap w:val="0"/>
            <w:vAlign w:val="center"/>
          </w:tcPr>
          <w:p w14:paraId="5C565535">
            <w:pPr>
              <w:pStyle w:val="41"/>
              <w:rPr>
                <w:rFonts w:hint="eastAsia" w:ascii="Times New Roman" w:hAnsi="Times New Roman"/>
                <w:color w:val="auto"/>
                <w:highlight w:val="none"/>
                <w:lang w:val="en-US" w:eastAsia="zh-CN"/>
              </w:rPr>
            </w:pPr>
            <w:r>
              <w:rPr>
                <w:rFonts w:hint="eastAsia" w:ascii="Times New Roman" w:hAnsi="Times New Roman" w:cstheme="minorBidi"/>
                <w:bCs w:val="0"/>
                <w:color w:val="auto"/>
                <w:szCs w:val="21"/>
                <w:highlight w:val="none"/>
                <w:lang w:val="en-US" w:eastAsia="zh-CN"/>
              </w:rPr>
              <w:t>34.7</w:t>
            </w:r>
          </w:p>
        </w:tc>
        <w:tc>
          <w:tcPr>
            <w:tcW w:w="437" w:type="pct"/>
            <w:tcBorders>
              <w:tl2br w:val="nil"/>
              <w:tr2bl w:val="nil"/>
            </w:tcBorders>
            <w:noWrap w:val="0"/>
            <w:vAlign w:val="center"/>
          </w:tcPr>
          <w:p w14:paraId="5AA86E58">
            <w:pPr>
              <w:pStyle w:val="41"/>
              <w:rPr>
                <w:rFonts w:hint="eastAsia" w:ascii="Times New Roman" w:hAnsi="Times New Roman"/>
                <w:color w:val="auto"/>
                <w:highlight w:val="none"/>
                <w:lang w:val="en-US" w:eastAsia="zh-CN"/>
              </w:rPr>
            </w:pPr>
            <w:r>
              <w:rPr>
                <w:rFonts w:hint="eastAsia" w:ascii="Times New Roman" w:hAnsi="Times New Roman" w:cstheme="minorBidi"/>
                <w:bCs w:val="0"/>
                <w:color w:val="auto"/>
                <w:szCs w:val="21"/>
                <w:highlight w:val="none"/>
                <w:lang w:val="en-US" w:eastAsia="zh-CN"/>
              </w:rPr>
              <w:t>35.1</w:t>
            </w:r>
          </w:p>
        </w:tc>
      </w:tr>
    </w:tbl>
    <w:p w14:paraId="08671442">
      <w:pPr>
        <w:pStyle w:val="43"/>
        <w:rPr>
          <w:color w:val="auto"/>
          <w:highlight w:val="none"/>
        </w:rPr>
      </w:pPr>
      <w:r>
        <w:rPr>
          <w:rFonts w:hint="eastAsia"/>
          <w:color w:val="auto"/>
          <w:highlight w:val="none"/>
        </w:rPr>
        <w:t>土壤环境质量现状调查</w:t>
      </w:r>
    </w:p>
    <w:p w14:paraId="7580D5C1">
      <w:pPr>
        <w:pStyle w:val="3"/>
        <w:ind w:firstLine="480"/>
        <w:rPr>
          <w:color w:val="auto"/>
          <w:highlight w:val="none"/>
        </w:rPr>
      </w:pPr>
      <w:r>
        <w:rPr>
          <w:rFonts w:hint="eastAsia"/>
          <w:color w:val="auto"/>
          <w:highlight w:val="none"/>
        </w:rPr>
        <w:t>（1）监测点位、时间</w:t>
      </w:r>
    </w:p>
    <w:p w14:paraId="6A954CA4">
      <w:pPr>
        <w:pStyle w:val="3"/>
        <w:ind w:firstLine="480"/>
        <w:rPr>
          <w:color w:val="auto"/>
          <w:highlight w:val="none"/>
        </w:rPr>
      </w:pPr>
      <w:r>
        <w:rPr>
          <w:rFonts w:hint="eastAsia"/>
          <w:color w:val="auto"/>
          <w:highlight w:val="none"/>
        </w:rPr>
        <w:t>本项目为污染影响型，本项目涉及的场地主要为尾矿库、选矿厂，尾矿库</w:t>
      </w:r>
      <w:r>
        <w:rPr>
          <w:color w:val="auto"/>
          <w:highlight w:val="none"/>
        </w:rPr>
        <w:t>土壤环境影响评价等级为一级</w:t>
      </w:r>
      <w:r>
        <w:rPr>
          <w:rFonts w:hint="eastAsia"/>
          <w:color w:val="auto"/>
          <w:highlight w:val="none"/>
        </w:rPr>
        <w:t>，选矿厂评价等级为二级</w:t>
      </w:r>
      <w:r>
        <w:rPr>
          <w:color w:val="auto"/>
          <w:highlight w:val="none"/>
        </w:rPr>
        <w:t>。根据《环境影响评价技术导则土壤环境》（HJ964-2018）</w:t>
      </w:r>
      <w:r>
        <w:rPr>
          <w:rFonts w:hint="eastAsia"/>
          <w:color w:val="auto"/>
          <w:highlight w:val="none"/>
        </w:rPr>
        <w:t>，尾矿厂需设置11个监测点位，其中占地范围内5个柱状样、2个表层样点，占地范围外4个表层点；选矿厂设置6个监测点，其中占地范围内设置3个柱状样、1个表层样点，占地范围外设置2个表层监测点位。</w:t>
      </w:r>
    </w:p>
    <w:p w14:paraId="7CAA0F68">
      <w:pPr>
        <w:pStyle w:val="3"/>
        <w:ind w:firstLine="480"/>
        <w:rPr>
          <w:color w:val="auto"/>
          <w:highlight w:val="none"/>
        </w:rPr>
      </w:pPr>
      <w:r>
        <w:rPr>
          <w:rFonts w:hint="eastAsia"/>
          <w:color w:val="auto"/>
          <w:highlight w:val="none"/>
        </w:rPr>
        <w:t>本次环评在选矿厂区域</w:t>
      </w:r>
      <w:r>
        <w:rPr>
          <w:color w:val="auto"/>
          <w:highlight w:val="none"/>
        </w:rPr>
        <w:t>内设置</w:t>
      </w:r>
      <w:r>
        <w:rPr>
          <w:rFonts w:hint="eastAsia"/>
          <w:color w:val="auto"/>
          <w:highlight w:val="none"/>
        </w:rPr>
        <w:t>了11</w:t>
      </w:r>
      <w:r>
        <w:rPr>
          <w:color w:val="auto"/>
          <w:highlight w:val="none"/>
        </w:rPr>
        <w:t>个监测点</w:t>
      </w:r>
      <w:r>
        <w:rPr>
          <w:rFonts w:hint="eastAsia"/>
          <w:color w:val="auto"/>
          <w:highlight w:val="none"/>
        </w:rPr>
        <w:t>（项目区占地范围内5个柱状样点</w:t>
      </w:r>
      <w:r>
        <w:rPr>
          <w:rFonts w:hint="eastAsia"/>
          <w:color w:val="auto"/>
          <w:highlight w:val="none"/>
          <w:lang w:eastAsia="zh-CN"/>
        </w:rPr>
        <w:t>（</w:t>
      </w:r>
      <w:r>
        <w:rPr>
          <w:rFonts w:hint="eastAsia"/>
          <w:color w:val="auto"/>
          <w:highlight w:val="none"/>
        </w:rPr>
        <w:t>T1-T5</w:t>
      </w:r>
      <w:r>
        <w:rPr>
          <w:rFonts w:hint="eastAsia"/>
          <w:color w:val="auto"/>
          <w:highlight w:val="none"/>
          <w:lang w:eastAsia="zh-CN"/>
        </w:rPr>
        <w:t>）</w:t>
      </w:r>
      <w:r>
        <w:rPr>
          <w:rFonts w:hint="eastAsia"/>
          <w:color w:val="auto"/>
          <w:highlight w:val="none"/>
        </w:rPr>
        <w:t>、2个表层样点</w:t>
      </w:r>
      <w:r>
        <w:rPr>
          <w:rFonts w:hint="eastAsia"/>
          <w:color w:val="auto"/>
          <w:highlight w:val="none"/>
          <w:lang w:eastAsia="zh-CN"/>
        </w:rPr>
        <w:t>（</w:t>
      </w:r>
      <w:r>
        <w:rPr>
          <w:rFonts w:hint="eastAsia"/>
          <w:color w:val="auto"/>
          <w:highlight w:val="none"/>
        </w:rPr>
        <w:t>T6-T7</w:t>
      </w:r>
      <w:r>
        <w:rPr>
          <w:rFonts w:hint="eastAsia"/>
          <w:color w:val="auto"/>
          <w:highlight w:val="none"/>
          <w:lang w:eastAsia="zh-CN"/>
        </w:rPr>
        <w:t>）</w:t>
      </w:r>
      <w:r>
        <w:rPr>
          <w:rFonts w:hint="eastAsia"/>
          <w:color w:val="auto"/>
          <w:highlight w:val="none"/>
        </w:rPr>
        <w:t>，项目区外4个表层样点（T8-T11））；尾矿库设置11</w:t>
      </w:r>
      <w:r>
        <w:rPr>
          <w:color w:val="auto"/>
          <w:highlight w:val="none"/>
        </w:rPr>
        <w:t>个监测点</w:t>
      </w:r>
      <w:r>
        <w:rPr>
          <w:rFonts w:hint="eastAsia"/>
          <w:color w:val="auto"/>
          <w:highlight w:val="none"/>
        </w:rPr>
        <w:t>，项目区占地范围内5个柱状样点</w:t>
      </w:r>
      <w:r>
        <w:rPr>
          <w:rFonts w:hint="eastAsia"/>
          <w:color w:val="auto"/>
          <w:highlight w:val="none"/>
          <w:lang w:eastAsia="zh-CN"/>
        </w:rPr>
        <w:t>（</w:t>
      </w:r>
      <w:r>
        <w:rPr>
          <w:rFonts w:hint="eastAsia"/>
          <w:color w:val="auto"/>
          <w:highlight w:val="none"/>
        </w:rPr>
        <w:t>T12-T16</w:t>
      </w:r>
      <w:r>
        <w:rPr>
          <w:rFonts w:hint="eastAsia"/>
          <w:color w:val="auto"/>
          <w:highlight w:val="none"/>
          <w:lang w:eastAsia="zh-CN"/>
        </w:rPr>
        <w:t>）</w:t>
      </w:r>
      <w:r>
        <w:rPr>
          <w:rFonts w:hint="eastAsia"/>
          <w:color w:val="auto"/>
          <w:highlight w:val="none"/>
        </w:rPr>
        <w:t>、2个表层样点</w:t>
      </w:r>
      <w:r>
        <w:rPr>
          <w:rFonts w:hint="eastAsia"/>
          <w:color w:val="auto"/>
          <w:highlight w:val="none"/>
          <w:lang w:eastAsia="zh-CN"/>
        </w:rPr>
        <w:t>（</w:t>
      </w:r>
      <w:r>
        <w:rPr>
          <w:rFonts w:hint="eastAsia"/>
          <w:color w:val="auto"/>
          <w:highlight w:val="none"/>
        </w:rPr>
        <w:t>T17-T18</w:t>
      </w:r>
      <w:r>
        <w:rPr>
          <w:rFonts w:hint="eastAsia"/>
          <w:color w:val="auto"/>
          <w:highlight w:val="none"/>
          <w:lang w:eastAsia="zh-CN"/>
        </w:rPr>
        <w:t>）</w:t>
      </w:r>
      <w:r>
        <w:rPr>
          <w:rFonts w:hint="eastAsia"/>
          <w:color w:val="auto"/>
          <w:highlight w:val="none"/>
        </w:rPr>
        <w:t>，项目区外4个表层样点</w:t>
      </w:r>
      <w:r>
        <w:rPr>
          <w:rFonts w:hint="eastAsia"/>
          <w:color w:val="auto"/>
          <w:highlight w:val="none"/>
          <w:lang w:eastAsia="zh-CN"/>
        </w:rPr>
        <w:t>（</w:t>
      </w:r>
      <w:r>
        <w:rPr>
          <w:rFonts w:hint="eastAsia"/>
          <w:color w:val="auto"/>
          <w:highlight w:val="none"/>
        </w:rPr>
        <w:t>T19-T22</w:t>
      </w:r>
      <w:r>
        <w:rPr>
          <w:rFonts w:hint="eastAsia"/>
          <w:color w:val="auto"/>
          <w:highlight w:val="none"/>
          <w:lang w:eastAsia="zh-CN"/>
        </w:rPr>
        <w:t>）。</w:t>
      </w:r>
    </w:p>
    <w:p w14:paraId="231E1533">
      <w:pPr>
        <w:pStyle w:val="3"/>
        <w:ind w:firstLine="480"/>
        <w:rPr>
          <w:color w:val="auto"/>
          <w:highlight w:val="none"/>
        </w:rPr>
      </w:pPr>
      <w:r>
        <w:rPr>
          <w:rFonts w:hint="eastAsia"/>
          <w:color w:val="auto"/>
          <w:highlight w:val="none"/>
        </w:rPr>
        <w:t>监测点位布设见下表：</w:t>
      </w:r>
    </w:p>
    <w:p w14:paraId="5420084A">
      <w:pPr>
        <w:pStyle w:val="40"/>
        <w:rPr>
          <w:color w:val="auto"/>
          <w:highlight w:val="none"/>
        </w:rPr>
      </w:pPr>
      <w:r>
        <w:rPr>
          <w:rFonts w:hint="eastAsia"/>
          <w:color w:val="auto"/>
          <w:highlight w:val="none"/>
        </w:rPr>
        <w:t>表4.2-12  土壤监测点位布设表</w:t>
      </w:r>
    </w:p>
    <w:tbl>
      <w:tblPr>
        <w:tblStyle w:val="25"/>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453"/>
        <w:gridCol w:w="2823"/>
        <w:gridCol w:w="1453"/>
        <w:gridCol w:w="2784"/>
      </w:tblGrid>
      <w:tr w14:paraId="5943F1B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tcBorders>
              <w:tl2br w:val="nil"/>
              <w:tr2bl w:val="nil"/>
            </w:tcBorders>
            <w:shd w:val="clear" w:color="auto" w:fill="auto"/>
            <w:vAlign w:val="center"/>
          </w:tcPr>
          <w:p w14:paraId="6BEAD2A6">
            <w:pPr>
              <w:pStyle w:val="41"/>
              <w:rPr>
                <w:color w:val="auto"/>
                <w:highlight w:val="none"/>
              </w:rPr>
            </w:pPr>
            <w:r>
              <w:rPr>
                <w:rFonts w:hint="eastAsia"/>
                <w:color w:val="auto"/>
                <w:highlight w:val="none"/>
              </w:rPr>
              <w:t>序号</w:t>
            </w:r>
          </w:p>
        </w:tc>
        <w:tc>
          <w:tcPr>
            <w:tcW w:w="1657" w:type="pct"/>
            <w:tcBorders>
              <w:tl2br w:val="nil"/>
              <w:tr2bl w:val="nil"/>
            </w:tcBorders>
            <w:shd w:val="clear" w:color="auto" w:fill="auto"/>
            <w:vAlign w:val="center"/>
          </w:tcPr>
          <w:p w14:paraId="2AA02D5B">
            <w:pPr>
              <w:pStyle w:val="41"/>
              <w:rPr>
                <w:color w:val="auto"/>
                <w:highlight w:val="none"/>
              </w:rPr>
            </w:pPr>
            <w:r>
              <w:rPr>
                <w:rFonts w:hint="eastAsia"/>
                <w:color w:val="auto"/>
                <w:highlight w:val="none"/>
              </w:rPr>
              <w:t>坐标</w:t>
            </w:r>
          </w:p>
        </w:tc>
        <w:tc>
          <w:tcPr>
            <w:tcW w:w="1453" w:type="dxa"/>
            <w:tcBorders>
              <w:tl2br w:val="nil"/>
              <w:tr2bl w:val="nil"/>
            </w:tcBorders>
            <w:shd w:val="clear" w:color="auto" w:fill="auto"/>
            <w:vAlign w:val="center"/>
          </w:tcPr>
          <w:p w14:paraId="5DF8CA0F">
            <w:pPr>
              <w:pStyle w:val="41"/>
              <w:rPr>
                <w:color w:val="auto"/>
                <w:highlight w:val="none"/>
              </w:rPr>
            </w:pPr>
            <w:r>
              <w:rPr>
                <w:rFonts w:hint="eastAsia"/>
                <w:color w:val="auto"/>
                <w:highlight w:val="none"/>
              </w:rPr>
              <w:t>序号</w:t>
            </w:r>
          </w:p>
        </w:tc>
        <w:tc>
          <w:tcPr>
            <w:tcW w:w="2784" w:type="dxa"/>
            <w:tcBorders>
              <w:tl2br w:val="nil"/>
              <w:tr2bl w:val="nil"/>
            </w:tcBorders>
            <w:shd w:val="clear" w:color="auto" w:fill="auto"/>
            <w:vAlign w:val="center"/>
          </w:tcPr>
          <w:p w14:paraId="2C6C7EA9">
            <w:pPr>
              <w:pStyle w:val="41"/>
              <w:rPr>
                <w:color w:val="auto"/>
                <w:highlight w:val="none"/>
              </w:rPr>
            </w:pPr>
            <w:r>
              <w:rPr>
                <w:rFonts w:hint="eastAsia"/>
                <w:color w:val="auto"/>
                <w:highlight w:val="none"/>
              </w:rPr>
              <w:t>坐标</w:t>
            </w:r>
          </w:p>
        </w:tc>
      </w:tr>
      <w:tr w14:paraId="4EAEF9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restart"/>
            <w:tcBorders>
              <w:tl2br w:val="nil"/>
              <w:tr2bl w:val="nil"/>
            </w:tcBorders>
            <w:shd w:val="clear" w:color="auto" w:fill="auto"/>
            <w:vAlign w:val="center"/>
          </w:tcPr>
          <w:p w14:paraId="1E9D990F">
            <w:pPr>
              <w:pStyle w:val="41"/>
              <w:rPr>
                <w:color w:val="auto"/>
                <w:highlight w:val="none"/>
              </w:rPr>
            </w:pPr>
            <w:r>
              <w:rPr>
                <w:color w:val="auto"/>
                <w:highlight w:val="none"/>
              </w:rPr>
              <w:t>TC-1#</w:t>
            </w:r>
          </w:p>
        </w:tc>
        <w:tc>
          <w:tcPr>
            <w:tcW w:w="1657" w:type="pct"/>
            <w:tcBorders>
              <w:tl2br w:val="nil"/>
              <w:tr2bl w:val="nil"/>
            </w:tcBorders>
            <w:shd w:val="clear" w:color="auto" w:fill="auto"/>
            <w:vAlign w:val="center"/>
          </w:tcPr>
          <w:p w14:paraId="1F058D2C">
            <w:pPr>
              <w:pStyle w:val="41"/>
              <w:rPr>
                <w:color w:val="auto"/>
                <w:highlight w:val="none"/>
              </w:rPr>
            </w:pPr>
            <w:r>
              <w:rPr>
                <w:color w:val="auto"/>
                <w:highlight w:val="none"/>
              </w:rPr>
              <w:t>E</w:t>
            </w:r>
            <w:r>
              <w:rPr>
                <w:rFonts w:hint="eastAsia"/>
                <w:color w:val="auto"/>
                <w:highlight w:val="none"/>
                <w:lang w:eastAsia="zh-CN"/>
              </w:rPr>
              <w:t>:</w:t>
            </w:r>
            <w:r>
              <w:rPr>
                <w:color w:val="auto"/>
                <w:highlight w:val="none"/>
              </w:rPr>
              <w:t>76°36′29.99″</w:t>
            </w:r>
          </w:p>
        </w:tc>
        <w:tc>
          <w:tcPr>
            <w:tcW w:w="853" w:type="pct"/>
            <w:vMerge w:val="restart"/>
            <w:tcBorders>
              <w:tl2br w:val="nil"/>
              <w:tr2bl w:val="nil"/>
            </w:tcBorders>
            <w:shd w:val="clear" w:color="auto" w:fill="auto"/>
            <w:vAlign w:val="center"/>
          </w:tcPr>
          <w:p w14:paraId="330597B8">
            <w:pPr>
              <w:pStyle w:val="41"/>
              <w:rPr>
                <w:color w:val="auto"/>
                <w:highlight w:val="none"/>
              </w:rPr>
            </w:pPr>
            <w:r>
              <w:rPr>
                <w:color w:val="auto"/>
                <w:highlight w:val="none"/>
              </w:rPr>
              <w:t>TC-12#</w:t>
            </w:r>
          </w:p>
        </w:tc>
        <w:tc>
          <w:tcPr>
            <w:tcW w:w="1634" w:type="pct"/>
            <w:tcBorders>
              <w:tl2br w:val="nil"/>
              <w:tr2bl w:val="nil"/>
            </w:tcBorders>
            <w:shd w:val="clear" w:color="auto" w:fill="auto"/>
            <w:vAlign w:val="center"/>
          </w:tcPr>
          <w:p w14:paraId="789A334D">
            <w:pPr>
              <w:pStyle w:val="41"/>
              <w:rPr>
                <w:color w:val="auto"/>
                <w:highlight w:val="none"/>
              </w:rPr>
            </w:pPr>
            <w:r>
              <w:rPr>
                <w:color w:val="auto"/>
                <w:highlight w:val="none"/>
              </w:rPr>
              <w:t>E</w:t>
            </w:r>
            <w:r>
              <w:rPr>
                <w:rFonts w:hint="eastAsia"/>
                <w:color w:val="auto"/>
                <w:highlight w:val="none"/>
                <w:lang w:eastAsia="zh-CN"/>
              </w:rPr>
              <w:t>:</w:t>
            </w:r>
            <w:r>
              <w:rPr>
                <w:color w:val="auto"/>
                <w:highlight w:val="none"/>
              </w:rPr>
              <w:t>76°36′26.47″</w:t>
            </w:r>
          </w:p>
        </w:tc>
      </w:tr>
      <w:tr w14:paraId="4642C8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continue"/>
            <w:tcBorders>
              <w:tl2br w:val="nil"/>
              <w:tr2bl w:val="nil"/>
            </w:tcBorders>
            <w:shd w:val="clear" w:color="auto" w:fill="auto"/>
            <w:vAlign w:val="center"/>
          </w:tcPr>
          <w:p w14:paraId="29A3862B">
            <w:pPr>
              <w:pStyle w:val="41"/>
              <w:rPr>
                <w:color w:val="auto"/>
                <w:highlight w:val="none"/>
              </w:rPr>
            </w:pPr>
          </w:p>
        </w:tc>
        <w:tc>
          <w:tcPr>
            <w:tcW w:w="1657" w:type="pct"/>
            <w:tcBorders>
              <w:tl2br w:val="nil"/>
              <w:tr2bl w:val="nil"/>
            </w:tcBorders>
            <w:shd w:val="clear" w:color="auto" w:fill="auto"/>
            <w:vAlign w:val="center"/>
          </w:tcPr>
          <w:p w14:paraId="015EE29C">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40°04′32.84″</w:t>
            </w:r>
          </w:p>
        </w:tc>
        <w:tc>
          <w:tcPr>
            <w:tcW w:w="853" w:type="pct"/>
            <w:vMerge w:val="continue"/>
            <w:tcBorders>
              <w:tl2br w:val="nil"/>
              <w:tr2bl w:val="nil"/>
            </w:tcBorders>
            <w:shd w:val="clear" w:color="auto" w:fill="auto"/>
            <w:vAlign w:val="center"/>
          </w:tcPr>
          <w:p w14:paraId="30283CFC">
            <w:pPr>
              <w:pStyle w:val="41"/>
              <w:rPr>
                <w:color w:val="auto"/>
                <w:highlight w:val="none"/>
              </w:rPr>
            </w:pPr>
          </w:p>
        </w:tc>
        <w:tc>
          <w:tcPr>
            <w:tcW w:w="1634" w:type="pct"/>
            <w:tcBorders>
              <w:tl2br w:val="nil"/>
              <w:tr2bl w:val="nil"/>
            </w:tcBorders>
            <w:shd w:val="clear" w:color="auto" w:fill="auto"/>
            <w:vAlign w:val="center"/>
          </w:tcPr>
          <w:p w14:paraId="12B85FE0">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40°4′20.96″</w:t>
            </w:r>
          </w:p>
        </w:tc>
      </w:tr>
      <w:tr w14:paraId="124465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restart"/>
            <w:tcBorders>
              <w:tl2br w:val="nil"/>
              <w:tr2bl w:val="nil"/>
            </w:tcBorders>
            <w:shd w:val="clear" w:color="auto" w:fill="auto"/>
            <w:vAlign w:val="center"/>
          </w:tcPr>
          <w:p w14:paraId="0B1516A4">
            <w:pPr>
              <w:pStyle w:val="41"/>
              <w:rPr>
                <w:color w:val="auto"/>
                <w:highlight w:val="none"/>
              </w:rPr>
            </w:pPr>
            <w:r>
              <w:rPr>
                <w:color w:val="auto"/>
                <w:highlight w:val="none"/>
              </w:rPr>
              <w:t>TC-2#</w:t>
            </w:r>
          </w:p>
        </w:tc>
        <w:tc>
          <w:tcPr>
            <w:tcW w:w="1657" w:type="pct"/>
            <w:tcBorders>
              <w:tl2br w:val="nil"/>
              <w:tr2bl w:val="nil"/>
            </w:tcBorders>
            <w:shd w:val="clear" w:color="auto" w:fill="auto"/>
            <w:vAlign w:val="center"/>
          </w:tcPr>
          <w:p w14:paraId="431256F6">
            <w:pPr>
              <w:pStyle w:val="41"/>
              <w:rPr>
                <w:color w:val="auto"/>
                <w:highlight w:val="none"/>
              </w:rPr>
            </w:pPr>
            <w:r>
              <w:rPr>
                <w:color w:val="auto"/>
                <w:highlight w:val="none"/>
              </w:rPr>
              <w:t>E</w:t>
            </w:r>
            <w:r>
              <w:rPr>
                <w:rFonts w:hint="eastAsia"/>
                <w:color w:val="auto"/>
                <w:highlight w:val="none"/>
                <w:lang w:eastAsia="zh-CN"/>
              </w:rPr>
              <w:t>:</w:t>
            </w:r>
            <w:r>
              <w:rPr>
                <w:color w:val="auto"/>
                <w:highlight w:val="none"/>
              </w:rPr>
              <w:t>76°36′38.18″</w:t>
            </w:r>
          </w:p>
        </w:tc>
        <w:tc>
          <w:tcPr>
            <w:tcW w:w="853" w:type="pct"/>
            <w:vMerge w:val="restart"/>
            <w:tcBorders>
              <w:tl2br w:val="nil"/>
              <w:tr2bl w:val="nil"/>
            </w:tcBorders>
            <w:shd w:val="clear" w:color="auto" w:fill="auto"/>
            <w:vAlign w:val="center"/>
          </w:tcPr>
          <w:p w14:paraId="319EFCDA">
            <w:pPr>
              <w:pStyle w:val="41"/>
              <w:rPr>
                <w:color w:val="auto"/>
                <w:highlight w:val="none"/>
              </w:rPr>
            </w:pPr>
            <w:r>
              <w:rPr>
                <w:color w:val="auto"/>
                <w:highlight w:val="none"/>
              </w:rPr>
              <w:t>TC-13#</w:t>
            </w:r>
          </w:p>
        </w:tc>
        <w:tc>
          <w:tcPr>
            <w:tcW w:w="1634" w:type="pct"/>
            <w:tcBorders>
              <w:tl2br w:val="nil"/>
              <w:tr2bl w:val="nil"/>
            </w:tcBorders>
            <w:shd w:val="clear" w:color="auto" w:fill="auto"/>
            <w:vAlign w:val="center"/>
          </w:tcPr>
          <w:p w14:paraId="3B56F6BC">
            <w:pPr>
              <w:pStyle w:val="41"/>
              <w:rPr>
                <w:color w:val="auto"/>
                <w:highlight w:val="none"/>
              </w:rPr>
            </w:pPr>
            <w:r>
              <w:rPr>
                <w:color w:val="auto"/>
                <w:highlight w:val="none"/>
              </w:rPr>
              <w:t>E</w:t>
            </w:r>
            <w:r>
              <w:rPr>
                <w:rFonts w:hint="eastAsia"/>
                <w:color w:val="auto"/>
                <w:highlight w:val="none"/>
                <w:lang w:eastAsia="zh-CN"/>
              </w:rPr>
              <w:t>:</w:t>
            </w:r>
            <w:r>
              <w:rPr>
                <w:color w:val="auto"/>
                <w:highlight w:val="none"/>
              </w:rPr>
              <w:t>76°36′26.47″</w:t>
            </w:r>
          </w:p>
        </w:tc>
      </w:tr>
      <w:tr w14:paraId="79648B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continue"/>
            <w:tcBorders>
              <w:tl2br w:val="nil"/>
              <w:tr2bl w:val="nil"/>
            </w:tcBorders>
            <w:shd w:val="clear" w:color="auto" w:fill="auto"/>
            <w:vAlign w:val="center"/>
          </w:tcPr>
          <w:p w14:paraId="64F06251">
            <w:pPr>
              <w:pStyle w:val="41"/>
              <w:rPr>
                <w:color w:val="auto"/>
                <w:highlight w:val="none"/>
              </w:rPr>
            </w:pPr>
          </w:p>
        </w:tc>
        <w:tc>
          <w:tcPr>
            <w:tcW w:w="1657" w:type="pct"/>
            <w:tcBorders>
              <w:tl2br w:val="nil"/>
              <w:tr2bl w:val="nil"/>
            </w:tcBorders>
            <w:shd w:val="clear" w:color="auto" w:fill="auto"/>
            <w:vAlign w:val="center"/>
          </w:tcPr>
          <w:p w14:paraId="74F8A19A">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40°04′35.38″</w:t>
            </w:r>
          </w:p>
        </w:tc>
        <w:tc>
          <w:tcPr>
            <w:tcW w:w="853" w:type="pct"/>
            <w:vMerge w:val="continue"/>
            <w:tcBorders>
              <w:tl2br w:val="nil"/>
              <w:tr2bl w:val="nil"/>
            </w:tcBorders>
            <w:shd w:val="clear" w:color="auto" w:fill="auto"/>
            <w:vAlign w:val="center"/>
          </w:tcPr>
          <w:p w14:paraId="015C8B88">
            <w:pPr>
              <w:pStyle w:val="41"/>
              <w:rPr>
                <w:color w:val="auto"/>
                <w:highlight w:val="none"/>
              </w:rPr>
            </w:pPr>
          </w:p>
        </w:tc>
        <w:tc>
          <w:tcPr>
            <w:tcW w:w="1634" w:type="pct"/>
            <w:tcBorders>
              <w:tl2br w:val="nil"/>
              <w:tr2bl w:val="nil"/>
            </w:tcBorders>
            <w:shd w:val="clear" w:color="auto" w:fill="auto"/>
            <w:vAlign w:val="center"/>
          </w:tcPr>
          <w:p w14:paraId="56619A2D">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40°4′17.26″</w:t>
            </w:r>
          </w:p>
        </w:tc>
      </w:tr>
      <w:tr w14:paraId="2F747E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restart"/>
            <w:tcBorders>
              <w:tl2br w:val="nil"/>
              <w:tr2bl w:val="nil"/>
            </w:tcBorders>
            <w:shd w:val="clear" w:color="auto" w:fill="auto"/>
            <w:vAlign w:val="center"/>
          </w:tcPr>
          <w:p w14:paraId="21584D9A">
            <w:pPr>
              <w:pStyle w:val="41"/>
              <w:rPr>
                <w:color w:val="auto"/>
                <w:highlight w:val="none"/>
              </w:rPr>
            </w:pPr>
            <w:r>
              <w:rPr>
                <w:color w:val="auto"/>
                <w:highlight w:val="none"/>
              </w:rPr>
              <w:t>TC-3#</w:t>
            </w:r>
          </w:p>
        </w:tc>
        <w:tc>
          <w:tcPr>
            <w:tcW w:w="1657" w:type="pct"/>
            <w:tcBorders>
              <w:tl2br w:val="nil"/>
              <w:tr2bl w:val="nil"/>
            </w:tcBorders>
            <w:shd w:val="clear" w:color="auto" w:fill="auto"/>
            <w:vAlign w:val="center"/>
          </w:tcPr>
          <w:p w14:paraId="53A5CC69">
            <w:pPr>
              <w:pStyle w:val="41"/>
              <w:rPr>
                <w:color w:val="auto"/>
                <w:highlight w:val="none"/>
              </w:rPr>
            </w:pPr>
            <w:r>
              <w:rPr>
                <w:color w:val="auto"/>
                <w:highlight w:val="none"/>
              </w:rPr>
              <w:t>E</w:t>
            </w:r>
            <w:r>
              <w:rPr>
                <w:rFonts w:hint="eastAsia"/>
                <w:color w:val="auto"/>
                <w:highlight w:val="none"/>
                <w:lang w:eastAsia="zh-CN"/>
              </w:rPr>
              <w:t>:</w:t>
            </w:r>
            <w:r>
              <w:rPr>
                <w:color w:val="auto"/>
                <w:highlight w:val="none"/>
              </w:rPr>
              <w:t>76°36′42.04″</w:t>
            </w:r>
          </w:p>
        </w:tc>
        <w:tc>
          <w:tcPr>
            <w:tcW w:w="853" w:type="pct"/>
            <w:vMerge w:val="restart"/>
            <w:tcBorders>
              <w:tl2br w:val="nil"/>
              <w:tr2bl w:val="nil"/>
            </w:tcBorders>
            <w:shd w:val="clear" w:color="auto" w:fill="auto"/>
            <w:vAlign w:val="center"/>
          </w:tcPr>
          <w:p w14:paraId="1A9FAC37">
            <w:pPr>
              <w:pStyle w:val="41"/>
              <w:rPr>
                <w:color w:val="auto"/>
                <w:highlight w:val="none"/>
              </w:rPr>
            </w:pPr>
            <w:r>
              <w:rPr>
                <w:color w:val="auto"/>
                <w:highlight w:val="none"/>
              </w:rPr>
              <w:t>TC-14#</w:t>
            </w:r>
          </w:p>
        </w:tc>
        <w:tc>
          <w:tcPr>
            <w:tcW w:w="1634" w:type="pct"/>
            <w:tcBorders>
              <w:tl2br w:val="nil"/>
              <w:tr2bl w:val="nil"/>
            </w:tcBorders>
            <w:shd w:val="clear" w:color="auto" w:fill="auto"/>
            <w:vAlign w:val="center"/>
          </w:tcPr>
          <w:p w14:paraId="7A9E8C2C">
            <w:pPr>
              <w:pStyle w:val="41"/>
              <w:rPr>
                <w:color w:val="auto"/>
                <w:highlight w:val="none"/>
              </w:rPr>
            </w:pPr>
            <w:r>
              <w:rPr>
                <w:color w:val="auto"/>
                <w:highlight w:val="none"/>
              </w:rPr>
              <w:t>E</w:t>
            </w:r>
            <w:r>
              <w:rPr>
                <w:rFonts w:hint="eastAsia"/>
                <w:color w:val="auto"/>
                <w:highlight w:val="none"/>
                <w:lang w:eastAsia="zh-CN"/>
              </w:rPr>
              <w:t>:</w:t>
            </w:r>
            <w:r>
              <w:rPr>
                <w:color w:val="auto"/>
                <w:highlight w:val="none"/>
              </w:rPr>
              <w:t>76°36′20.02″</w:t>
            </w:r>
          </w:p>
        </w:tc>
      </w:tr>
      <w:tr w14:paraId="174267F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continue"/>
            <w:tcBorders>
              <w:tl2br w:val="nil"/>
              <w:tr2bl w:val="nil"/>
            </w:tcBorders>
            <w:shd w:val="clear" w:color="auto" w:fill="auto"/>
            <w:vAlign w:val="center"/>
          </w:tcPr>
          <w:p w14:paraId="231875E9">
            <w:pPr>
              <w:pStyle w:val="41"/>
              <w:rPr>
                <w:color w:val="auto"/>
                <w:highlight w:val="none"/>
              </w:rPr>
            </w:pPr>
          </w:p>
        </w:tc>
        <w:tc>
          <w:tcPr>
            <w:tcW w:w="1657" w:type="pct"/>
            <w:tcBorders>
              <w:tl2br w:val="nil"/>
              <w:tr2bl w:val="nil"/>
            </w:tcBorders>
            <w:shd w:val="clear" w:color="auto" w:fill="auto"/>
            <w:vAlign w:val="center"/>
          </w:tcPr>
          <w:p w14:paraId="7C703A04">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40°04′37.33″</w:t>
            </w:r>
          </w:p>
        </w:tc>
        <w:tc>
          <w:tcPr>
            <w:tcW w:w="853" w:type="pct"/>
            <w:vMerge w:val="continue"/>
            <w:tcBorders>
              <w:tl2br w:val="nil"/>
              <w:tr2bl w:val="nil"/>
            </w:tcBorders>
            <w:shd w:val="clear" w:color="auto" w:fill="auto"/>
            <w:vAlign w:val="center"/>
          </w:tcPr>
          <w:p w14:paraId="786EAB81">
            <w:pPr>
              <w:pStyle w:val="41"/>
              <w:rPr>
                <w:color w:val="auto"/>
                <w:highlight w:val="none"/>
              </w:rPr>
            </w:pPr>
          </w:p>
        </w:tc>
        <w:tc>
          <w:tcPr>
            <w:tcW w:w="1634" w:type="pct"/>
            <w:tcBorders>
              <w:tl2br w:val="nil"/>
              <w:tr2bl w:val="nil"/>
            </w:tcBorders>
            <w:shd w:val="clear" w:color="auto" w:fill="auto"/>
            <w:vAlign w:val="center"/>
          </w:tcPr>
          <w:p w14:paraId="48B65E09">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40°4′17.45″</w:t>
            </w:r>
          </w:p>
        </w:tc>
      </w:tr>
      <w:tr w14:paraId="4B58C3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restart"/>
            <w:tcBorders>
              <w:tl2br w:val="nil"/>
              <w:tr2bl w:val="nil"/>
            </w:tcBorders>
            <w:shd w:val="clear" w:color="auto" w:fill="auto"/>
            <w:vAlign w:val="center"/>
          </w:tcPr>
          <w:p w14:paraId="699A7F3C">
            <w:pPr>
              <w:pStyle w:val="41"/>
              <w:rPr>
                <w:color w:val="auto"/>
                <w:highlight w:val="none"/>
              </w:rPr>
            </w:pPr>
            <w:r>
              <w:rPr>
                <w:color w:val="auto"/>
                <w:highlight w:val="none"/>
              </w:rPr>
              <w:t>TC-4#</w:t>
            </w:r>
          </w:p>
        </w:tc>
        <w:tc>
          <w:tcPr>
            <w:tcW w:w="1657" w:type="pct"/>
            <w:tcBorders>
              <w:tl2br w:val="nil"/>
              <w:tr2bl w:val="nil"/>
            </w:tcBorders>
            <w:shd w:val="clear" w:color="auto" w:fill="auto"/>
            <w:vAlign w:val="center"/>
          </w:tcPr>
          <w:p w14:paraId="67101635">
            <w:pPr>
              <w:pStyle w:val="41"/>
              <w:rPr>
                <w:color w:val="auto"/>
                <w:highlight w:val="none"/>
              </w:rPr>
            </w:pPr>
            <w:r>
              <w:rPr>
                <w:color w:val="auto"/>
                <w:highlight w:val="none"/>
              </w:rPr>
              <w:t>E</w:t>
            </w:r>
            <w:r>
              <w:rPr>
                <w:rFonts w:hint="eastAsia"/>
                <w:color w:val="auto"/>
                <w:highlight w:val="none"/>
                <w:lang w:eastAsia="zh-CN"/>
              </w:rPr>
              <w:t>:</w:t>
            </w:r>
            <w:r>
              <w:rPr>
                <w:color w:val="auto"/>
                <w:highlight w:val="none"/>
              </w:rPr>
              <w:t>76°36′43.74″</w:t>
            </w:r>
          </w:p>
        </w:tc>
        <w:tc>
          <w:tcPr>
            <w:tcW w:w="853" w:type="pct"/>
            <w:vMerge w:val="restart"/>
            <w:tcBorders>
              <w:tl2br w:val="nil"/>
              <w:tr2bl w:val="nil"/>
            </w:tcBorders>
            <w:shd w:val="clear" w:color="auto" w:fill="auto"/>
            <w:vAlign w:val="center"/>
          </w:tcPr>
          <w:p w14:paraId="6F30E14B">
            <w:pPr>
              <w:pStyle w:val="41"/>
              <w:rPr>
                <w:color w:val="auto"/>
                <w:highlight w:val="none"/>
              </w:rPr>
            </w:pPr>
            <w:r>
              <w:rPr>
                <w:color w:val="auto"/>
                <w:highlight w:val="none"/>
              </w:rPr>
              <w:t>TC-15#</w:t>
            </w:r>
          </w:p>
        </w:tc>
        <w:tc>
          <w:tcPr>
            <w:tcW w:w="1634" w:type="pct"/>
            <w:tcBorders>
              <w:tl2br w:val="nil"/>
              <w:tr2bl w:val="nil"/>
            </w:tcBorders>
            <w:shd w:val="clear" w:color="auto" w:fill="auto"/>
            <w:vAlign w:val="center"/>
          </w:tcPr>
          <w:p w14:paraId="413FE59E">
            <w:pPr>
              <w:pStyle w:val="41"/>
              <w:rPr>
                <w:color w:val="auto"/>
                <w:highlight w:val="none"/>
              </w:rPr>
            </w:pPr>
            <w:r>
              <w:rPr>
                <w:color w:val="auto"/>
                <w:highlight w:val="none"/>
              </w:rPr>
              <w:t>E</w:t>
            </w:r>
            <w:r>
              <w:rPr>
                <w:rFonts w:hint="eastAsia"/>
                <w:color w:val="auto"/>
                <w:highlight w:val="none"/>
                <w:lang w:eastAsia="zh-CN"/>
              </w:rPr>
              <w:t>:</w:t>
            </w:r>
            <w:r>
              <w:rPr>
                <w:color w:val="auto"/>
                <w:highlight w:val="none"/>
              </w:rPr>
              <w:t>76°36′20.14″</w:t>
            </w:r>
          </w:p>
        </w:tc>
      </w:tr>
      <w:tr w14:paraId="682C85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continue"/>
            <w:tcBorders>
              <w:tl2br w:val="nil"/>
              <w:tr2bl w:val="nil"/>
            </w:tcBorders>
            <w:shd w:val="clear" w:color="auto" w:fill="auto"/>
            <w:vAlign w:val="center"/>
          </w:tcPr>
          <w:p w14:paraId="274FFA6F">
            <w:pPr>
              <w:pStyle w:val="41"/>
              <w:rPr>
                <w:color w:val="auto"/>
                <w:highlight w:val="none"/>
              </w:rPr>
            </w:pPr>
          </w:p>
        </w:tc>
        <w:tc>
          <w:tcPr>
            <w:tcW w:w="1657" w:type="pct"/>
            <w:tcBorders>
              <w:tl2br w:val="nil"/>
              <w:tr2bl w:val="nil"/>
            </w:tcBorders>
            <w:shd w:val="clear" w:color="auto" w:fill="auto"/>
            <w:vAlign w:val="center"/>
          </w:tcPr>
          <w:p w14:paraId="4247495E">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40°04′29.47″</w:t>
            </w:r>
          </w:p>
        </w:tc>
        <w:tc>
          <w:tcPr>
            <w:tcW w:w="853" w:type="pct"/>
            <w:vMerge w:val="continue"/>
            <w:tcBorders>
              <w:tl2br w:val="nil"/>
              <w:tr2bl w:val="nil"/>
            </w:tcBorders>
            <w:shd w:val="clear" w:color="auto" w:fill="auto"/>
            <w:vAlign w:val="center"/>
          </w:tcPr>
          <w:p w14:paraId="43D67B35">
            <w:pPr>
              <w:pStyle w:val="41"/>
              <w:rPr>
                <w:color w:val="auto"/>
                <w:highlight w:val="none"/>
              </w:rPr>
            </w:pPr>
          </w:p>
        </w:tc>
        <w:tc>
          <w:tcPr>
            <w:tcW w:w="1634" w:type="pct"/>
            <w:tcBorders>
              <w:tl2br w:val="nil"/>
              <w:tr2bl w:val="nil"/>
            </w:tcBorders>
            <w:shd w:val="clear" w:color="auto" w:fill="auto"/>
            <w:vAlign w:val="center"/>
          </w:tcPr>
          <w:p w14:paraId="164174DA">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40°4′21.49″</w:t>
            </w:r>
          </w:p>
        </w:tc>
      </w:tr>
      <w:tr w14:paraId="7236E9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restart"/>
            <w:tcBorders>
              <w:tl2br w:val="nil"/>
              <w:tr2bl w:val="nil"/>
            </w:tcBorders>
            <w:shd w:val="clear" w:color="auto" w:fill="auto"/>
            <w:vAlign w:val="center"/>
          </w:tcPr>
          <w:p w14:paraId="0F082D60">
            <w:pPr>
              <w:pStyle w:val="41"/>
              <w:rPr>
                <w:color w:val="auto"/>
                <w:highlight w:val="none"/>
              </w:rPr>
            </w:pPr>
            <w:r>
              <w:rPr>
                <w:color w:val="auto"/>
                <w:highlight w:val="none"/>
              </w:rPr>
              <w:t>TC-5#</w:t>
            </w:r>
          </w:p>
        </w:tc>
        <w:tc>
          <w:tcPr>
            <w:tcW w:w="1657" w:type="pct"/>
            <w:tcBorders>
              <w:tl2br w:val="nil"/>
              <w:tr2bl w:val="nil"/>
            </w:tcBorders>
            <w:shd w:val="clear" w:color="auto" w:fill="auto"/>
            <w:vAlign w:val="center"/>
          </w:tcPr>
          <w:p w14:paraId="47C16FE0">
            <w:pPr>
              <w:pStyle w:val="41"/>
              <w:rPr>
                <w:color w:val="auto"/>
                <w:highlight w:val="none"/>
              </w:rPr>
            </w:pPr>
            <w:r>
              <w:rPr>
                <w:color w:val="auto"/>
                <w:highlight w:val="none"/>
              </w:rPr>
              <w:t>E</w:t>
            </w:r>
            <w:r>
              <w:rPr>
                <w:rFonts w:hint="eastAsia"/>
                <w:color w:val="auto"/>
                <w:highlight w:val="none"/>
                <w:lang w:eastAsia="zh-CN"/>
              </w:rPr>
              <w:t>:</w:t>
            </w:r>
            <w:r>
              <w:rPr>
                <w:color w:val="auto"/>
                <w:highlight w:val="none"/>
              </w:rPr>
              <w:t>76°36′19.52″</w:t>
            </w:r>
          </w:p>
        </w:tc>
        <w:tc>
          <w:tcPr>
            <w:tcW w:w="853" w:type="pct"/>
            <w:vMerge w:val="restart"/>
            <w:tcBorders>
              <w:tl2br w:val="nil"/>
              <w:tr2bl w:val="nil"/>
            </w:tcBorders>
            <w:shd w:val="clear" w:color="auto" w:fill="auto"/>
            <w:vAlign w:val="center"/>
          </w:tcPr>
          <w:p w14:paraId="62EDC076">
            <w:pPr>
              <w:pStyle w:val="41"/>
              <w:rPr>
                <w:color w:val="auto"/>
                <w:highlight w:val="none"/>
              </w:rPr>
            </w:pPr>
            <w:r>
              <w:rPr>
                <w:color w:val="auto"/>
                <w:highlight w:val="none"/>
              </w:rPr>
              <w:t>TC-16#</w:t>
            </w:r>
          </w:p>
        </w:tc>
        <w:tc>
          <w:tcPr>
            <w:tcW w:w="1634" w:type="pct"/>
            <w:tcBorders>
              <w:tl2br w:val="nil"/>
              <w:tr2bl w:val="nil"/>
            </w:tcBorders>
            <w:shd w:val="clear" w:color="auto" w:fill="auto"/>
            <w:vAlign w:val="center"/>
          </w:tcPr>
          <w:p w14:paraId="55FD51C6">
            <w:pPr>
              <w:pStyle w:val="41"/>
              <w:rPr>
                <w:color w:val="auto"/>
                <w:highlight w:val="none"/>
              </w:rPr>
            </w:pPr>
            <w:r>
              <w:rPr>
                <w:color w:val="auto"/>
                <w:highlight w:val="none"/>
              </w:rPr>
              <w:t>E</w:t>
            </w:r>
            <w:r>
              <w:rPr>
                <w:rFonts w:hint="eastAsia"/>
                <w:color w:val="auto"/>
                <w:highlight w:val="none"/>
                <w:lang w:eastAsia="zh-CN"/>
              </w:rPr>
              <w:t>:</w:t>
            </w:r>
            <w:r>
              <w:rPr>
                <w:color w:val="auto"/>
                <w:highlight w:val="none"/>
              </w:rPr>
              <w:t>76°36′23.19″</w:t>
            </w:r>
          </w:p>
        </w:tc>
      </w:tr>
      <w:tr w14:paraId="1212A5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continue"/>
            <w:tcBorders>
              <w:tl2br w:val="nil"/>
              <w:tr2bl w:val="nil"/>
            </w:tcBorders>
            <w:shd w:val="clear" w:color="auto" w:fill="auto"/>
            <w:vAlign w:val="center"/>
          </w:tcPr>
          <w:p w14:paraId="3FB350C2">
            <w:pPr>
              <w:pStyle w:val="41"/>
              <w:rPr>
                <w:color w:val="auto"/>
                <w:highlight w:val="none"/>
              </w:rPr>
            </w:pPr>
          </w:p>
        </w:tc>
        <w:tc>
          <w:tcPr>
            <w:tcW w:w="1657" w:type="pct"/>
            <w:tcBorders>
              <w:tl2br w:val="nil"/>
              <w:tr2bl w:val="nil"/>
            </w:tcBorders>
            <w:shd w:val="clear" w:color="auto" w:fill="auto"/>
            <w:vAlign w:val="center"/>
          </w:tcPr>
          <w:p w14:paraId="5D2DF7D2">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40°04′24.43″</w:t>
            </w:r>
          </w:p>
        </w:tc>
        <w:tc>
          <w:tcPr>
            <w:tcW w:w="853" w:type="pct"/>
            <w:vMerge w:val="continue"/>
            <w:tcBorders>
              <w:tl2br w:val="nil"/>
              <w:tr2bl w:val="nil"/>
            </w:tcBorders>
            <w:shd w:val="clear" w:color="auto" w:fill="auto"/>
            <w:vAlign w:val="center"/>
          </w:tcPr>
          <w:p w14:paraId="478908DB">
            <w:pPr>
              <w:pStyle w:val="41"/>
              <w:rPr>
                <w:color w:val="auto"/>
                <w:highlight w:val="none"/>
              </w:rPr>
            </w:pPr>
          </w:p>
        </w:tc>
        <w:tc>
          <w:tcPr>
            <w:tcW w:w="1634" w:type="pct"/>
            <w:tcBorders>
              <w:tl2br w:val="nil"/>
              <w:tr2bl w:val="nil"/>
            </w:tcBorders>
            <w:shd w:val="clear" w:color="auto" w:fill="auto"/>
            <w:vAlign w:val="center"/>
          </w:tcPr>
          <w:p w14:paraId="6F25A407">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40°4′16.31″</w:t>
            </w:r>
          </w:p>
        </w:tc>
      </w:tr>
      <w:tr w14:paraId="02CDA3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restart"/>
            <w:tcBorders>
              <w:tl2br w:val="nil"/>
              <w:tr2bl w:val="nil"/>
            </w:tcBorders>
            <w:shd w:val="clear" w:color="auto" w:fill="auto"/>
            <w:vAlign w:val="center"/>
          </w:tcPr>
          <w:p w14:paraId="705169AF">
            <w:pPr>
              <w:pStyle w:val="41"/>
              <w:rPr>
                <w:color w:val="auto"/>
                <w:highlight w:val="none"/>
              </w:rPr>
            </w:pPr>
            <w:r>
              <w:rPr>
                <w:color w:val="auto"/>
                <w:highlight w:val="none"/>
              </w:rPr>
              <w:t>TC-6#</w:t>
            </w:r>
          </w:p>
        </w:tc>
        <w:tc>
          <w:tcPr>
            <w:tcW w:w="1657" w:type="pct"/>
            <w:tcBorders>
              <w:tl2br w:val="nil"/>
              <w:tr2bl w:val="nil"/>
            </w:tcBorders>
            <w:shd w:val="clear" w:color="auto" w:fill="auto"/>
            <w:vAlign w:val="center"/>
          </w:tcPr>
          <w:p w14:paraId="7E50599A">
            <w:pPr>
              <w:pStyle w:val="41"/>
              <w:rPr>
                <w:color w:val="auto"/>
                <w:highlight w:val="none"/>
              </w:rPr>
            </w:pPr>
            <w:r>
              <w:rPr>
                <w:color w:val="auto"/>
                <w:highlight w:val="none"/>
              </w:rPr>
              <w:t>E：76°36′40.73″</w:t>
            </w:r>
          </w:p>
        </w:tc>
        <w:tc>
          <w:tcPr>
            <w:tcW w:w="853" w:type="pct"/>
            <w:vMerge w:val="restart"/>
            <w:tcBorders>
              <w:tl2br w:val="nil"/>
              <w:tr2bl w:val="nil"/>
            </w:tcBorders>
            <w:shd w:val="clear" w:color="auto" w:fill="auto"/>
            <w:vAlign w:val="center"/>
          </w:tcPr>
          <w:p w14:paraId="6B8A7309">
            <w:pPr>
              <w:pStyle w:val="41"/>
              <w:rPr>
                <w:color w:val="auto"/>
                <w:highlight w:val="none"/>
              </w:rPr>
            </w:pPr>
            <w:r>
              <w:rPr>
                <w:color w:val="auto"/>
                <w:highlight w:val="none"/>
              </w:rPr>
              <w:t>TC-17#</w:t>
            </w:r>
          </w:p>
        </w:tc>
        <w:tc>
          <w:tcPr>
            <w:tcW w:w="1634" w:type="pct"/>
            <w:tcBorders>
              <w:tl2br w:val="nil"/>
              <w:tr2bl w:val="nil"/>
            </w:tcBorders>
            <w:shd w:val="clear" w:color="auto" w:fill="auto"/>
            <w:vAlign w:val="center"/>
          </w:tcPr>
          <w:p w14:paraId="396C177B">
            <w:pPr>
              <w:pStyle w:val="41"/>
              <w:rPr>
                <w:color w:val="auto"/>
                <w:highlight w:val="none"/>
              </w:rPr>
            </w:pPr>
            <w:r>
              <w:rPr>
                <w:color w:val="auto"/>
                <w:highlight w:val="none"/>
              </w:rPr>
              <w:t>E</w:t>
            </w:r>
            <w:r>
              <w:rPr>
                <w:rFonts w:hint="eastAsia"/>
                <w:color w:val="auto"/>
                <w:highlight w:val="none"/>
                <w:lang w:eastAsia="zh-CN"/>
              </w:rPr>
              <w:t>:</w:t>
            </w:r>
            <w:r>
              <w:rPr>
                <w:color w:val="auto"/>
                <w:highlight w:val="none"/>
              </w:rPr>
              <w:t>76°36′25.64″</w:t>
            </w:r>
          </w:p>
        </w:tc>
      </w:tr>
      <w:tr w14:paraId="41BEB0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continue"/>
            <w:tcBorders>
              <w:tl2br w:val="nil"/>
              <w:tr2bl w:val="nil"/>
            </w:tcBorders>
            <w:shd w:val="clear" w:color="auto" w:fill="auto"/>
            <w:vAlign w:val="center"/>
          </w:tcPr>
          <w:p w14:paraId="25FB9DDF">
            <w:pPr>
              <w:pStyle w:val="41"/>
              <w:rPr>
                <w:color w:val="auto"/>
                <w:highlight w:val="none"/>
              </w:rPr>
            </w:pPr>
          </w:p>
        </w:tc>
        <w:tc>
          <w:tcPr>
            <w:tcW w:w="1657" w:type="pct"/>
            <w:tcBorders>
              <w:tl2br w:val="nil"/>
              <w:tr2bl w:val="nil"/>
            </w:tcBorders>
            <w:shd w:val="clear" w:color="auto" w:fill="auto"/>
            <w:vAlign w:val="center"/>
          </w:tcPr>
          <w:p w14:paraId="40E43786">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40°4′25.27″</w:t>
            </w:r>
          </w:p>
        </w:tc>
        <w:tc>
          <w:tcPr>
            <w:tcW w:w="853" w:type="pct"/>
            <w:vMerge w:val="continue"/>
            <w:tcBorders>
              <w:tl2br w:val="nil"/>
              <w:tr2bl w:val="nil"/>
            </w:tcBorders>
            <w:shd w:val="clear" w:color="auto" w:fill="auto"/>
            <w:vAlign w:val="center"/>
          </w:tcPr>
          <w:p w14:paraId="0E32F36A">
            <w:pPr>
              <w:pStyle w:val="41"/>
              <w:rPr>
                <w:color w:val="auto"/>
                <w:highlight w:val="none"/>
              </w:rPr>
            </w:pPr>
          </w:p>
        </w:tc>
        <w:tc>
          <w:tcPr>
            <w:tcW w:w="1634" w:type="pct"/>
            <w:tcBorders>
              <w:tl2br w:val="nil"/>
              <w:tr2bl w:val="nil"/>
            </w:tcBorders>
            <w:shd w:val="clear" w:color="auto" w:fill="auto"/>
            <w:vAlign w:val="center"/>
          </w:tcPr>
          <w:p w14:paraId="53B0D3EB">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40°4′23.16″</w:t>
            </w:r>
          </w:p>
        </w:tc>
      </w:tr>
      <w:tr w14:paraId="7DC28A2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restart"/>
            <w:tcBorders>
              <w:tl2br w:val="nil"/>
              <w:tr2bl w:val="nil"/>
            </w:tcBorders>
            <w:shd w:val="clear" w:color="auto" w:fill="auto"/>
            <w:vAlign w:val="center"/>
          </w:tcPr>
          <w:p w14:paraId="4B940DF6">
            <w:pPr>
              <w:pStyle w:val="41"/>
              <w:rPr>
                <w:color w:val="auto"/>
                <w:highlight w:val="none"/>
              </w:rPr>
            </w:pPr>
            <w:r>
              <w:rPr>
                <w:color w:val="auto"/>
                <w:highlight w:val="none"/>
              </w:rPr>
              <w:t>TC-7#</w:t>
            </w:r>
          </w:p>
        </w:tc>
        <w:tc>
          <w:tcPr>
            <w:tcW w:w="1657" w:type="pct"/>
            <w:tcBorders>
              <w:tl2br w:val="nil"/>
              <w:tr2bl w:val="nil"/>
            </w:tcBorders>
            <w:shd w:val="clear" w:color="auto" w:fill="auto"/>
            <w:vAlign w:val="center"/>
          </w:tcPr>
          <w:p w14:paraId="09E883FE">
            <w:pPr>
              <w:pStyle w:val="41"/>
              <w:rPr>
                <w:color w:val="auto"/>
                <w:highlight w:val="none"/>
              </w:rPr>
            </w:pPr>
            <w:r>
              <w:rPr>
                <w:color w:val="auto"/>
                <w:highlight w:val="none"/>
              </w:rPr>
              <w:t>E</w:t>
            </w:r>
            <w:r>
              <w:rPr>
                <w:rFonts w:hint="eastAsia"/>
                <w:color w:val="auto"/>
                <w:highlight w:val="none"/>
                <w:lang w:eastAsia="zh-CN"/>
              </w:rPr>
              <w:t>:</w:t>
            </w:r>
            <w:r>
              <w:rPr>
                <w:color w:val="auto"/>
                <w:highlight w:val="none"/>
              </w:rPr>
              <w:t>76°36′50.77″</w:t>
            </w:r>
          </w:p>
        </w:tc>
        <w:tc>
          <w:tcPr>
            <w:tcW w:w="853" w:type="pct"/>
            <w:vMerge w:val="restart"/>
            <w:tcBorders>
              <w:tl2br w:val="nil"/>
              <w:tr2bl w:val="nil"/>
            </w:tcBorders>
            <w:shd w:val="clear" w:color="auto" w:fill="auto"/>
            <w:vAlign w:val="center"/>
          </w:tcPr>
          <w:p w14:paraId="381C50C9">
            <w:pPr>
              <w:pStyle w:val="41"/>
              <w:rPr>
                <w:color w:val="auto"/>
                <w:highlight w:val="none"/>
              </w:rPr>
            </w:pPr>
            <w:r>
              <w:rPr>
                <w:color w:val="auto"/>
                <w:highlight w:val="none"/>
              </w:rPr>
              <w:t>TC-18#</w:t>
            </w:r>
          </w:p>
        </w:tc>
        <w:tc>
          <w:tcPr>
            <w:tcW w:w="1634" w:type="pct"/>
            <w:tcBorders>
              <w:tl2br w:val="nil"/>
              <w:tr2bl w:val="nil"/>
            </w:tcBorders>
            <w:shd w:val="clear" w:color="auto" w:fill="auto"/>
            <w:vAlign w:val="center"/>
          </w:tcPr>
          <w:p w14:paraId="3153FAA0">
            <w:pPr>
              <w:pStyle w:val="41"/>
              <w:rPr>
                <w:color w:val="auto"/>
                <w:highlight w:val="none"/>
              </w:rPr>
            </w:pPr>
            <w:r>
              <w:rPr>
                <w:color w:val="auto"/>
                <w:highlight w:val="none"/>
              </w:rPr>
              <w:t>E</w:t>
            </w:r>
            <w:r>
              <w:rPr>
                <w:rFonts w:hint="eastAsia"/>
                <w:color w:val="auto"/>
                <w:highlight w:val="none"/>
                <w:lang w:eastAsia="zh-CN"/>
              </w:rPr>
              <w:t>:</w:t>
            </w:r>
            <w:r>
              <w:rPr>
                <w:color w:val="auto"/>
                <w:highlight w:val="none"/>
              </w:rPr>
              <w:t>76°36′21.82″</w:t>
            </w:r>
          </w:p>
        </w:tc>
      </w:tr>
      <w:tr w14:paraId="586C58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continue"/>
            <w:tcBorders>
              <w:tl2br w:val="nil"/>
              <w:tr2bl w:val="nil"/>
            </w:tcBorders>
            <w:shd w:val="clear" w:color="auto" w:fill="auto"/>
            <w:vAlign w:val="center"/>
          </w:tcPr>
          <w:p w14:paraId="2B3B5662">
            <w:pPr>
              <w:pStyle w:val="41"/>
              <w:rPr>
                <w:color w:val="auto"/>
                <w:highlight w:val="none"/>
              </w:rPr>
            </w:pPr>
          </w:p>
        </w:tc>
        <w:tc>
          <w:tcPr>
            <w:tcW w:w="1657" w:type="pct"/>
            <w:tcBorders>
              <w:tl2br w:val="nil"/>
              <w:tr2bl w:val="nil"/>
            </w:tcBorders>
            <w:shd w:val="clear" w:color="auto" w:fill="auto"/>
            <w:vAlign w:val="center"/>
          </w:tcPr>
          <w:p w14:paraId="1E6DC173">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40°4′31.77″</w:t>
            </w:r>
          </w:p>
        </w:tc>
        <w:tc>
          <w:tcPr>
            <w:tcW w:w="853" w:type="pct"/>
            <w:vMerge w:val="continue"/>
            <w:tcBorders>
              <w:tl2br w:val="nil"/>
              <w:tr2bl w:val="nil"/>
            </w:tcBorders>
            <w:shd w:val="clear" w:color="auto" w:fill="auto"/>
            <w:vAlign w:val="center"/>
          </w:tcPr>
          <w:p w14:paraId="73A31611">
            <w:pPr>
              <w:pStyle w:val="41"/>
              <w:rPr>
                <w:color w:val="auto"/>
                <w:highlight w:val="none"/>
              </w:rPr>
            </w:pPr>
          </w:p>
        </w:tc>
        <w:tc>
          <w:tcPr>
            <w:tcW w:w="1634" w:type="pct"/>
            <w:tcBorders>
              <w:tl2br w:val="nil"/>
              <w:tr2bl w:val="nil"/>
            </w:tcBorders>
            <w:shd w:val="clear" w:color="auto" w:fill="auto"/>
            <w:vAlign w:val="center"/>
          </w:tcPr>
          <w:p w14:paraId="52927A58">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40°4′23.25″</w:t>
            </w:r>
          </w:p>
        </w:tc>
      </w:tr>
      <w:tr w14:paraId="6203FD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restart"/>
            <w:tcBorders>
              <w:tl2br w:val="nil"/>
              <w:tr2bl w:val="nil"/>
            </w:tcBorders>
            <w:shd w:val="clear" w:color="auto" w:fill="auto"/>
            <w:vAlign w:val="center"/>
          </w:tcPr>
          <w:p w14:paraId="4F922B4D">
            <w:pPr>
              <w:pStyle w:val="41"/>
              <w:rPr>
                <w:color w:val="auto"/>
                <w:highlight w:val="none"/>
              </w:rPr>
            </w:pPr>
            <w:r>
              <w:rPr>
                <w:color w:val="auto"/>
                <w:highlight w:val="none"/>
              </w:rPr>
              <w:t>TC-8#</w:t>
            </w:r>
          </w:p>
        </w:tc>
        <w:tc>
          <w:tcPr>
            <w:tcW w:w="1657" w:type="pct"/>
            <w:tcBorders>
              <w:tl2br w:val="nil"/>
              <w:tr2bl w:val="nil"/>
            </w:tcBorders>
            <w:shd w:val="clear" w:color="auto" w:fill="auto"/>
            <w:vAlign w:val="center"/>
          </w:tcPr>
          <w:p w14:paraId="359415FF">
            <w:pPr>
              <w:pStyle w:val="41"/>
              <w:rPr>
                <w:color w:val="auto"/>
                <w:highlight w:val="none"/>
              </w:rPr>
            </w:pPr>
            <w:r>
              <w:rPr>
                <w:color w:val="auto"/>
                <w:highlight w:val="none"/>
              </w:rPr>
              <w:t>E</w:t>
            </w:r>
            <w:r>
              <w:rPr>
                <w:rFonts w:hint="eastAsia"/>
                <w:color w:val="auto"/>
                <w:highlight w:val="none"/>
                <w:lang w:eastAsia="zh-CN"/>
              </w:rPr>
              <w:t>:</w:t>
            </w:r>
            <w:r>
              <w:rPr>
                <w:color w:val="auto"/>
                <w:highlight w:val="none"/>
              </w:rPr>
              <w:t>76°37′14.25″</w:t>
            </w:r>
          </w:p>
        </w:tc>
        <w:tc>
          <w:tcPr>
            <w:tcW w:w="853" w:type="pct"/>
            <w:vMerge w:val="restart"/>
            <w:tcBorders>
              <w:tl2br w:val="nil"/>
              <w:tr2bl w:val="nil"/>
            </w:tcBorders>
            <w:shd w:val="clear" w:color="auto" w:fill="auto"/>
            <w:vAlign w:val="center"/>
          </w:tcPr>
          <w:p w14:paraId="0D1C9621">
            <w:pPr>
              <w:pStyle w:val="41"/>
              <w:rPr>
                <w:color w:val="auto"/>
                <w:highlight w:val="none"/>
              </w:rPr>
            </w:pPr>
            <w:r>
              <w:rPr>
                <w:color w:val="auto"/>
                <w:highlight w:val="none"/>
              </w:rPr>
              <w:t>TC-19#</w:t>
            </w:r>
          </w:p>
        </w:tc>
        <w:tc>
          <w:tcPr>
            <w:tcW w:w="1634" w:type="pct"/>
            <w:tcBorders>
              <w:tl2br w:val="nil"/>
              <w:tr2bl w:val="nil"/>
            </w:tcBorders>
            <w:shd w:val="clear" w:color="auto" w:fill="auto"/>
            <w:vAlign w:val="center"/>
          </w:tcPr>
          <w:p w14:paraId="1CB83633">
            <w:pPr>
              <w:pStyle w:val="41"/>
              <w:rPr>
                <w:color w:val="auto"/>
                <w:highlight w:val="none"/>
              </w:rPr>
            </w:pPr>
            <w:r>
              <w:rPr>
                <w:color w:val="auto"/>
                <w:highlight w:val="none"/>
              </w:rPr>
              <w:t>E</w:t>
            </w:r>
            <w:r>
              <w:rPr>
                <w:rFonts w:hint="eastAsia"/>
                <w:color w:val="auto"/>
                <w:highlight w:val="none"/>
                <w:lang w:eastAsia="zh-CN"/>
              </w:rPr>
              <w:t>:</w:t>
            </w:r>
            <w:r>
              <w:rPr>
                <w:color w:val="auto"/>
                <w:highlight w:val="none"/>
              </w:rPr>
              <w:t>76°36′20.45″</w:t>
            </w:r>
          </w:p>
        </w:tc>
      </w:tr>
      <w:tr w14:paraId="09B5D5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continue"/>
            <w:tcBorders>
              <w:tl2br w:val="nil"/>
              <w:tr2bl w:val="nil"/>
            </w:tcBorders>
            <w:shd w:val="clear" w:color="auto" w:fill="auto"/>
            <w:vAlign w:val="center"/>
          </w:tcPr>
          <w:p w14:paraId="4E23A8F9">
            <w:pPr>
              <w:pStyle w:val="41"/>
              <w:rPr>
                <w:color w:val="auto"/>
                <w:highlight w:val="none"/>
              </w:rPr>
            </w:pPr>
          </w:p>
        </w:tc>
        <w:tc>
          <w:tcPr>
            <w:tcW w:w="1657" w:type="pct"/>
            <w:tcBorders>
              <w:tl2br w:val="nil"/>
              <w:tr2bl w:val="nil"/>
            </w:tcBorders>
            <w:shd w:val="clear" w:color="auto" w:fill="auto"/>
            <w:vAlign w:val="center"/>
          </w:tcPr>
          <w:p w14:paraId="4916379E">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40°4′32.25″</w:t>
            </w:r>
          </w:p>
        </w:tc>
        <w:tc>
          <w:tcPr>
            <w:tcW w:w="853" w:type="pct"/>
            <w:vMerge w:val="continue"/>
            <w:tcBorders>
              <w:tl2br w:val="nil"/>
              <w:tr2bl w:val="nil"/>
            </w:tcBorders>
            <w:shd w:val="clear" w:color="auto" w:fill="auto"/>
            <w:vAlign w:val="center"/>
          </w:tcPr>
          <w:p w14:paraId="74607619">
            <w:pPr>
              <w:pStyle w:val="41"/>
              <w:rPr>
                <w:color w:val="auto"/>
                <w:highlight w:val="none"/>
              </w:rPr>
            </w:pPr>
          </w:p>
        </w:tc>
        <w:tc>
          <w:tcPr>
            <w:tcW w:w="1634" w:type="pct"/>
            <w:tcBorders>
              <w:tl2br w:val="nil"/>
              <w:tr2bl w:val="nil"/>
            </w:tcBorders>
            <w:shd w:val="clear" w:color="auto" w:fill="auto"/>
            <w:vAlign w:val="center"/>
          </w:tcPr>
          <w:p w14:paraId="339F84C9">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40°4′14.51″</w:t>
            </w:r>
          </w:p>
        </w:tc>
      </w:tr>
      <w:tr w14:paraId="11A041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restart"/>
            <w:tcBorders>
              <w:tl2br w:val="nil"/>
              <w:tr2bl w:val="nil"/>
            </w:tcBorders>
            <w:shd w:val="clear" w:color="auto" w:fill="auto"/>
            <w:vAlign w:val="center"/>
          </w:tcPr>
          <w:p w14:paraId="1FCBADF2">
            <w:pPr>
              <w:pStyle w:val="41"/>
              <w:rPr>
                <w:color w:val="auto"/>
                <w:highlight w:val="none"/>
              </w:rPr>
            </w:pPr>
            <w:r>
              <w:rPr>
                <w:color w:val="auto"/>
                <w:highlight w:val="none"/>
              </w:rPr>
              <w:t>TC-9#</w:t>
            </w:r>
          </w:p>
        </w:tc>
        <w:tc>
          <w:tcPr>
            <w:tcW w:w="1657" w:type="pct"/>
            <w:tcBorders>
              <w:tl2br w:val="nil"/>
              <w:tr2bl w:val="nil"/>
            </w:tcBorders>
            <w:shd w:val="clear" w:color="auto" w:fill="auto"/>
            <w:vAlign w:val="center"/>
          </w:tcPr>
          <w:p w14:paraId="63DCE3B8">
            <w:pPr>
              <w:pStyle w:val="41"/>
              <w:rPr>
                <w:color w:val="auto"/>
                <w:highlight w:val="none"/>
              </w:rPr>
            </w:pPr>
            <w:r>
              <w:rPr>
                <w:color w:val="auto"/>
                <w:highlight w:val="none"/>
              </w:rPr>
              <w:t>E</w:t>
            </w:r>
            <w:r>
              <w:rPr>
                <w:rFonts w:hint="eastAsia"/>
                <w:color w:val="auto"/>
                <w:highlight w:val="none"/>
                <w:lang w:eastAsia="zh-CN"/>
              </w:rPr>
              <w:t>:</w:t>
            </w:r>
            <w:r>
              <w:rPr>
                <w:color w:val="auto"/>
                <w:highlight w:val="none"/>
              </w:rPr>
              <w:t>76°37′19.12″</w:t>
            </w:r>
          </w:p>
        </w:tc>
        <w:tc>
          <w:tcPr>
            <w:tcW w:w="853" w:type="pct"/>
            <w:vMerge w:val="restart"/>
            <w:tcBorders>
              <w:tl2br w:val="nil"/>
              <w:tr2bl w:val="nil"/>
            </w:tcBorders>
            <w:shd w:val="clear" w:color="auto" w:fill="auto"/>
            <w:vAlign w:val="center"/>
          </w:tcPr>
          <w:p w14:paraId="2C18FCA3">
            <w:pPr>
              <w:pStyle w:val="41"/>
              <w:rPr>
                <w:color w:val="auto"/>
                <w:highlight w:val="none"/>
              </w:rPr>
            </w:pPr>
            <w:r>
              <w:rPr>
                <w:color w:val="auto"/>
                <w:highlight w:val="none"/>
              </w:rPr>
              <w:t>TC-20#</w:t>
            </w:r>
          </w:p>
        </w:tc>
        <w:tc>
          <w:tcPr>
            <w:tcW w:w="1634" w:type="pct"/>
            <w:tcBorders>
              <w:tl2br w:val="nil"/>
              <w:tr2bl w:val="nil"/>
            </w:tcBorders>
            <w:shd w:val="clear" w:color="auto" w:fill="auto"/>
            <w:vAlign w:val="center"/>
          </w:tcPr>
          <w:p w14:paraId="55A0B72E">
            <w:pPr>
              <w:pStyle w:val="41"/>
              <w:rPr>
                <w:color w:val="auto"/>
                <w:highlight w:val="none"/>
              </w:rPr>
            </w:pPr>
            <w:r>
              <w:rPr>
                <w:color w:val="auto"/>
                <w:highlight w:val="none"/>
              </w:rPr>
              <w:t>E：76°36′23.42″</w:t>
            </w:r>
          </w:p>
        </w:tc>
      </w:tr>
      <w:tr w14:paraId="2824AB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continue"/>
            <w:tcBorders>
              <w:tl2br w:val="nil"/>
              <w:tr2bl w:val="nil"/>
            </w:tcBorders>
            <w:shd w:val="clear" w:color="auto" w:fill="auto"/>
            <w:vAlign w:val="center"/>
          </w:tcPr>
          <w:p w14:paraId="4C0BB98A">
            <w:pPr>
              <w:pStyle w:val="41"/>
              <w:rPr>
                <w:color w:val="auto"/>
                <w:highlight w:val="none"/>
              </w:rPr>
            </w:pPr>
          </w:p>
        </w:tc>
        <w:tc>
          <w:tcPr>
            <w:tcW w:w="1657" w:type="pct"/>
            <w:tcBorders>
              <w:tl2br w:val="nil"/>
              <w:tr2bl w:val="nil"/>
            </w:tcBorders>
            <w:shd w:val="clear" w:color="auto" w:fill="auto"/>
            <w:vAlign w:val="center"/>
          </w:tcPr>
          <w:p w14:paraId="78D9BF71">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40°4′40.52″</w:t>
            </w:r>
          </w:p>
        </w:tc>
        <w:tc>
          <w:tcPr>
            <w:tcW w:w="853" w:type="pct"/>
            <w:vMerge w:val="continue"/>
            <w:tcBorders>
              <w:tl2br w:val="nil"/>
              <w:tr2bl w:val="nil"/>
            </w:tcBorders>
            <w:shd w:val="clear" w:color="auto" w:fill="auto"/>
            <w:vAlign w:val="center"/>
          </w:tcPr>
          <w:p w14:paraId="549249DC">
            <w:pPr>
              <w:pStyle w:val="41"/>
              <w:rPr>
                <w:color w:val="auto"/>
                <w:highlight w:val="none"/>
              </w:rPr>
            </w:pPr>
          </w:p>
        </w:tc>
        <w:tc>
          <w:tcPr>
            <w:tcW w:w="1634" w:type="pct"/>
            <w:tcBorders>
              <w:tl2br w:val="nil"/>
              <w:tr2bl w:val="nil"/>
            </w:tcBorders>
            <w:shd w:val="clear" w:color="auto" w:fill="auto"/>
            <w:vAlign w:val="center"/>
          </w:tcPr>
          <w:p w14:paraId="0B2867D9">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40°4′14.54″</w:t>
            </w:r>
          </w:p>
        </w:tc>
      </w:tr>
      <w:tr w14:paraId="1F0C14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restart"/>
            <w:tcBorders>
              <w:tl2br w:val="nil"/>
              <w:tr2bl w:val="nil"/>
            </w:tcBorders>
            <w:shd w:val="clear" w:color="auto" w:fill="auto"/>
            <w:vAlign w:val="center"/>
          </w:tcPr>
          <w:p w14:paraId="21C1F20D">
            <w:pPr>
              <w:pStyle w:val="41"/>
              <w:rPr>
                <w:color w:val="auto"/>
                <w:highlight w:val="none"/>
              </w:rPr>
            </w:pPr>
            <w:r>
              <w:rPr>
                <w:color w:val="auto"/>
                <w:highlight w:val="none"/>
              </w:rPr>
              <w:t>TC-10#</w:t>
            </w:r>
          </w:p>
        </w:tc>
        <w:tc>
          <w:tcPr>
            <w:tcW w:w="1657" w:type="pct"/>
            <w:tcBorders>
              <w:tl2br w:val="nil"/>
              <w:tr2bl w:val="nil"/>
            </w:tcBorders>
            <w:shd w:val="clear" w:color="auto" w:fill="auto"/>
            <w:vAlign w:val="center"/>
          </w:tcPr>
          <w:p w14:paraId="286FB3A4">
            <w:pPr>
              <w:pStyle w:val="41"/>
              <w:rPr>
                <w:color w:val="auto"/>
                <w:highlight w:val="none"/>
              </w:rPr>
            </w:pPr>
            <w:r>
              <w:rPr>
                <w:color w:val="auto"/>
                <w:highlight w:val="none"/>
              </w:rPr>
              <w:t>E</w:t>
            </w:r>
            <w:r>
              <w:rPr>
                <w:rFonts w:hint="eastAsia"/>
                <w:color w:val="auto"/>
                <w:highlight w:val="none"/>
                <w:lang w:eastAsia="zh-CN"/>
              </w:rPr>
              <w:t>:</w:t>
            </w:r>
            <w:r>
              <w:rPr>
                <w:color w:val="auto"/>
                <w:highlight w:val="none"/>
              </w:rPr>
              <w:t>76°36′56.10″</w:t>
            </w:r>
          </w:p>
        </w:tc>
        <w:tc>
          <w:tcPr>
            <w:tcW w:w="853" w:type="pct"/>
            <w:vMerge w:val="restart"/>
            <w:tcBorders>
              <w:tl2br w:val="nil"/>
              <w:tr2bl w:val="nil"/>
            </w:tcBorders>
            <w:shd w:val="clear" w:color="auto" w:fill="auto"/>
            <w:vAlign w:val="center"/>
          </w:tcPr>
          <w:p w14:paraId="604B6907">
            <w:pPr>
              <w:pStyle w:val="41"/>
              <w:rPr>
                <w:color w:val="auto"/>
                <w:highlight w:val="none"/>
              </w:rPr>
            </w:pPr>
            <w:r>
              <w:rPr>
                <w:color w:val="auto"/>
                <w:highlight w:val="none"/>
              </w:rPr>
              <w:t>TC-21#</w:t>
            </w:r>
          </w:p>
        </w:tc>
        <w:tc>
          <w:tcPr>
            <w:tcW w:w="1634" w:type="pct"/>
            <w:tcBorders>
              <w:tl2br w:val="nil"/>
              <w:tr2bl w:val="nil"/>
            </w:tcBorders>
            <w:shd w:val="clear" w:color="auto" w:fill="auto"/>
            <w:vAlign w:val="center"/>
          </w:tcPr>
          <w:p w14:paraId="48091233">
            <w:pPr>
              <w:pStyle w:val="41"/>
              <w:rPr>
                <w:color w:val="auto"/>
                <w:highlight w:val="none"/>
              </w:rPr>
            </w:pPr>
            <w:r>
              <w:rPr>
                <w:color w:val="auto"/>
                <w:highlight w:val="none"/>
              </w:rPr>
              <w:t>E</w:t>
            </w:r>
            <w:r>
              <w:rPr>
                <w:rFonts w:hint="eastAsia"/>
                <w:color w:val="auto"/>
                <w:highlight w:val="none"/>
                <w:lang w:eastAsia="zh-CN"/>
              </w:rPr>
              <w:t>:</w:t>
            </w:r>
            <w:r>
              <w:rPr>
                <w:color w:val="auto"/>
                <w:highlight w:val="none"/>
              </w:rPr>
              <w:t>76°36′27.79″</w:t>
            </w:r>
          </w:p>
        </w:tc>
      </w:tr>
      <w:tr w14:paraId="5044D2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continue"/>
            <w:tcBorders>
              <w:tl2br w:val="nil"/>
              <w:tr2bl w:val="nil"/>
            </w:tcBorders>
            <w:shd w:val="clear" w:color="auto" w:fill="auto"/>
            <w:vAlign w:val="center"/>
          </w:tcPr>
          <w:p w14:paraId="2D7B7ADF">
            <w:pPr>
              <w:pStyle w:val="41"/>
              <w:rPr>
                <w:color w:val="auto"/>
                <w:highlight w:val="none"/>
              </w:rPr>
            </w:pPr>
          </w:p>
        </w:tc>
        <w:tc>
          <w:tcPr>
            <w:tcW w:w="1657" w:type="pct"/>
            <w:tcBorders>
              <w:tl2br w:val="nil"/>
              <w:tr2bl w:val="nil"/>
            </w:tcBorders>
            <w:shd w:val="clear" w:color="auto" w:fill="auto"/>
            <w:vAlign w:val="center"/>
          </w:tcPr>
          <w:p w14:paraId="752586F7">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40°4′42.35″</w:t>
            </w:r>
          </w:p>
        </w:tc>
        <w:tc>
          <w:tcPr>
            <w:tcW w:w="853" w:type="pct"/>
            <w:vMerge w:val="continue"/>
            <w:tcBorders>
              <w:tl2br w:val="nil"/>
              <w:tr2bl w:val="nil"/>
            </w:tcBorders>
            <w:shd w:val="clear" w:color="auto" w:fill="auto"/>
            <w:vAlign w:val="center"/>
          </w:tcPr>
          <w:p w14:paraId="3BB79649">
            <w:pPr>
              <w:pStyle w:val="41"/>
              <w:rPr>
                <w:color w:val="auto"/>
                <w:highlight w:val="none"/>
              </w:rPr>
            </w:pPr>
          </w:p>
        </w:tc>
        <w:tc>
          <w:tcPr>
            <w:tcW w:w="1634" w:type="pct"/>
            <w:tcBorders>
              <w:tl2br w:val="nil"/>
              <w:tr2bl w:val="nil"/>
            </w:tcBorders>
            <w:shd w:val="clear" w:color="auto" w:fill="auto"/>
            <w:vAlign w:val="center"/>
          </w:tcPr>
          <w:p w14:paraId="0D0D3F5F">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40°4′15.52″</w:t>
            </w:r>
          </w:p>
        </w:tc>
      </w:tr>
      <w:tr w14:paraId="72FBC6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restart"/>
            <w:tcBorders>
              <w:tl2br w:val="nil"/>
              <w:tr2bl w:val="nil"/>
            </w:tcBorders>
            <w:shd w:val="clear" w:color="auto" w:fill="auto"/>
            <w:vAlign w:val="center"/>
          </w:tcPr>
          <w:p w14:paraId="7B50A63A">
            <w:pPr>
              <w:pStyle w:val="41"/>
              <w:rPr>
                <w:color w:val="auto"/>
                <w:highlight w:val="none"/>
              </w:rPr>
            </w:pPr>
            <w:r>
              <w:rPr>
                <w:color w:val="auto"/>
                <w:highlight w:val="none"/>
              </w:rPr>
              <w:t>TC-11#</w:t>
            </w:r>
          </w:p>
        </w:tc>
        <w:tc>
          <w:tcPr>
            <w:tcW w:w="1657" w:type="pct"/>
            <w:tcBorders>
              <w:tl2br w:val="nil"/>
              <w:tr2bl w:val="nil"/>
            </w:tcBorders>
            <w:shd w:val="clear" w:color="auto" w:fill="auto"/>
            <w:vAlign w:val="center"/>
          </w:tcPr>
          <w:p w14:paraId="6005ED10">
            <w:pPr>
              <w:pStyle w:val="41"/>
              <w:rPr>
                <w:color w:val="auto"/>
                <w:highlight w:val="none"/>
              </w:rPr>
            </w:pPr>
            <w:r>
              <w:rPr>
                <w:color w:val="auto"/>
                <w:highlight w:val="none"/>
              </w:rPr>
              <w:t>E</w:t>
            </w:r>
            <w:r>
              <w:rPr>
                <w:rFonts w:hint="eastAsia"/>
                <w:color w:val="auto"/>
                <w:highlight w:val="none"/>
                <w:lang w:eastAsia="zh-CN"/>
              </w:rPr>
              <w:t>:</w:t>
            </w:r>
            <w:r>
              <w:rPr>
                <w:color w:val="auto"/>
                <w:highlight w:val="none"/>
              </w:rPr>
              <w:t>76°36′10.06″</w:t>
            </w:r>
          </w:p>
        </w:tc>
        <w:tc>
          <w:tcPr>
            <w:tcW w:w="853" w:type="pct"/>
            <w:vMerge w:val="restart"/>
            <w:tcBorders>
              <w:tl2br w:val="nil"/>
              <w:tr2bl w:val="nil"/>
            </w:tcBorders>
            <w:shd w:val="clear" w:color="auto" w:fill="auto"/>
            <w:vAlign w:val="center"/>
          </w:tcPr>
          <w:p w14:paraId="5E647187">
            <w:pPr>
              <w:pStyle w:val="41"/>
              <w:rPr>
                <w:color w:val="auto"/>
                <w:highlight w:val="none"/>
              </w:rPr>
            </w:pPr>
            <w:r>
              <w:rPr>
                <w:color w:val="auto"/>
                <w:highlight w:val="none"/>
              </w:rPr>
              <w:t>TC-22#</w:t>
            </w:r>
          </w:p>
        </w:tc>
        <w:tc>
          <w:tcPr>
            <w:tcW w:w="1634" w:type="pct"/>
            <w:tcBorders>
              <w:tl2br w:val="nil"/>
              <w:tr2bl w:val="nil"/>
            </w:tcBorders>
            <w:shd w:val="clear" w:color="auto" w:fill="auto"/>
            <w:vAlign w:val="center"/>
          </w:tcPr>
          <w:p w14:paraId="4E642567">
            <w:pPr>
              <w:pStyle w:val="41"/>
              <w:rPr>
                <w:color w:val="auto"/>
                <w:highlight w:val="none"/>
              </w:rPr>
            </w:pPr>
            <w:r>
              <w:rPr>
                <w:color w:val="auto"/>
                <w:highlight w:val="none"/>
              </w:rPr>
              <w:t>E</w:t>
            </w:r>
            <w:r>
              <w:rPr>
                <w:rFonts w:hint="eastAsia"/>
                <w:color w:val="auto"/>
                <w:highlight w:val="none"/>
                <w:lang w:eastAsia="zh-CN"/>
              </w:rPr>
              <w:t>:</w:t>
            </w:r>
            <w:r>
              <w:rPr>
                <w:color w:val="auto"/>
                <w:highlight w:val="none"/>
              </w:rPr>
              <w:t>76°36′15.23″</w:t>
            </w:r>
          </w:p>
        </w:tc>
      </w:tr>
      <w:tr w14:paraId="7A5B3E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3" w:type="pct"/>
            <w:vMerge w:val="continue"/>
            <w:tcBorders>
              <w:tl2br w:val="nil"/>
              <w:tr2bl w:val="nil"/>
            </w:tcBorders>
            <w:shd w:val="clear" w:color="auto" w:fill="auto"/>
            <w:vAlign w:val="center"/>
          </w:tcPr>
          <w:p w14:paraId="4002722E">
            <w:pPr>
              <w:pStyle w:val="41"/>
              <w:rPr>
                <w:color w:val="auto"/>
                <w:highlight w:val="none"/>
              </w:rPr>
            </w:pPr>
          </w:p>
        </w:tc>
        <w:tc>
          <w:tcPr>
            <w:tcW w:w="1657" w:type="pct"/>
            <w:tcBorders>
              <w:tl2br w:val="nil"/>
              <w:tr2bl w:val="nil"/>
            </w:tcBorders>
            <w:shd w:val="clear" w:color="auto" w:fill="auto"/>
            <w:vAlign w:val="center"/>
          </w:tcPr>
          <w:p w14:paraId="38E32E8C">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40°4′29.82″</w:t>
            </w:r>
          </w:p>
        </w:tc>
        <w:tc>
          <w:tcPr>
            <w:tcW w:w="853" w:type="pct"/>
            <w:vMerge w:val="continue"/>
            <w:tcBorders>
              <w:tl2br w:val="nil"/>
              <w:tr2bl w:val="nil"/>
            </w:tcBorders>
            <w:shd w:val="clear" w:color="auto" w:fill="auto"/>
            <w:vAlign w:val="center"/>
          </w:tcPr>
          <w:p w14:paraId="7E7D708C">
            <w:pPr>
              <w:pStyle w:val="41"/>
              <w:rPr>
                <w:color w:val="auto"/>
                <w:highlight w:val="none"/>
              </w:rPr>
            </w:pPr>
          </w:p>
        </w:tc>
        <w:tc>
          <w:tcPr>
            <w:tcW w:w="1634" w:type="pct"/>
            <w:tcBorders>
              <w:tl2br w:val="nil"/>
              <w:tr2bl w:val="nil"/>
            </w:tcBorders>
            <w:shd w:val="clear" w:color="auto" w:fill="auto"/>
            <w:vAlign w:val="center"/>
          </w:tcPr>
          <w:p w14:paraId="2D5393D6">
            <w:pPr>
              <w:pStyle w:val="41"/>
              <w:rPr>
                <w:color w:val="auto"/>
                <w:highlight w:val="none"/>
              </w:rPr>
            </w:pPr>
            <w:r>
              <w:rPr>
                <w:color w:val="auto"/>
                <w:highlight w:val="none"/>
              </w:rPr>
              <w:t>N</w:t>
            </w:r>
            <w:r>
              <w:rPr>
                <w:rFonts w:hint="eastAsia"/>
                <w:color w:val="auto"/>
                <w:highlight w:val="none"/>
                <w:lang w:eastAsia="zh-CN"/>
              </w:rPr>
              <w:t>:</w:t>
            </w:r>
            <w:r>
              <w:rPr>
                <w:color w:val="auto"/>
                <w:highlight w:val="none"/>
              </w:rPr>
              <w:t>40°4′15.16″</w:t>
            </w:r>
          </w:p>
        </w:tc>
      </w:tr>
    </w:tbl>
    <w:p w14:paraId="197F5234">
      <w:pPr>
        <w:pStyle w:val="3"/>
        <w:ind w:firstLine="480"/>
        <w:rPr>
          <w:color w:val="auto"/>
          <w:highlight w:val="none"/>
        </w:rPr>
      </w:pPr>
      <w:r>
        <w:rPr>
          <w:rFonts w:hint="eastAsia"/>
          <w:color w:val="auto"/>
          <w:highlight w:val="none"/>
        </w:rPr>
        <w:t>（2）监测标准及因子</w:t>
      </w:r>
    </w:p>
    <w:p w14:paraId="31FDEA93">
      <w:pPr>
        <w:pStyle w:val="3"/>
        <w:ind w:firstLine="480"/>
        <w:rPr>
          <w:color w:val="auto"/>
          <w:highlight w:val="none"/>
        </w:rPr>
      </w:pPr>
      <w:r>
        <w:rPr>
          <w:color w:val="auto"/>
          <w:highlight w:val="none"/>
        </w:rPr>
        <w:t>场地内《土壤环境质量建设用地土壤污染风险管控标准（试行）》（GB/36600-2018）》基本因子+特征因子：砷、镉、六价铬、铜、铅、汞、镍、pH值土壤环境质量 农用地土壤污染风险管控标准（试行）》（GB/15618-2018）中基本因子+特征因子：砷、镉、铬、铜、铅、汞、镍、锌、pH值、土壤含盐量10项。</w:t>
      </w:r>
    </w:p>
    <w:p w14:paraId="751CE530">
      <w:pPr>
        <w:pStyle w:val="3"/>
        <w:ind w:firstLine="480"/>
        <w:rPr>
          <w:color w:val="auto"/>
          <w:highlight w:val="none"/>
        </w:rPr>
      </w:pPr>
      <w:r>
        <w:rPr>
          <w:rFonts w:hint="eastAsia"/>
          <w:color w:val="auto"/>
          <w:highlight w:val="none"/>
        </w:rPr>
        <w:t>（3）评价方法</w:t>
      </w:r>
    </w:p>
    <w:p w14:paraId="70914FD5">
      <w:pPr>
        <w:pStyle w:val="3"/>
        <w:ind w:firstLine="480"/>
        <w:rPr>
          <w:color w:val="auto"/>
          <w:highlight w:val="none"/>
        </w:rPr>
      </w:pPr>
      <w:r>
        <w:rPr>
          <w:rFonts w:hint="eastAsia"/>
          <w:color w:val="auto"/>
          <w:highlight w:val="none"/>
        </w:rPr>
        <w:t>标准指数法。</w:t>
      </w:r>
    </w:p>
    <w:p w14:paraId="11B07FB7">
      <w:pPr>
        <w:pStyle w:val="3"/>
        <w:ind w:firstLine="480"/>
        <w:rPr>
          <w:color w:val="auto"/>
          <w:highlight w:val="none"/>
        </w:rPr>
      </w:pPr>
      <w:r>
        <w:rPr>
          <w:rFonts w:hint="eastAsia"/>
          <w:color w:val="auto"/>
          <w:highlight w:val="none"/>
        </w:rPr>
        <w:t>（4）监测结果与分析评价</w:t>
      </w:r>
    </w:p>
    <w:p w14:paraId="3B204129">
      <w:pPr>
        <w:pStyle w:val="3"/>
        <w:ind w:firstLine="480"/>
        <w:rPr>
          <w:color w:val="auto"/>
          <w:highlight w:val="none"/>
        </w:rPr>
      </w:pPr>
      <w:r>
        <w:rPr>
          <w:rFonts w:hint="eastAsia"/>
          <w:color w:val="auto"/>
          <w:highlight w:val="none"/>
        </w:rPr>
        <w:t>监测结果见下表：</w:t>
      </w:r>
    </w:p>
    <w:p w14:paraId="5F7085C7">
      <w:pPr>
        <w:pStyle w:val="40"/>
        <w:rPr>
          <w:color w:val="auto"/>
          <w:highlight w:val="none"/>
        </w:rPr>
      </w:pPr>
      <w:r>
        <w:rPr>
          <w:rFonts w:hint="eastAsia"/>
          <w:color w:val="auto"/>
          <w:highlight w:val="none"/>
        </w:rPr>
        <w:t>表4.2-</w:t>
      </w:r>
      <w:r>
        <w:rPr>
          <w:rFonts w:hint="eastAsia"/>
          <w:color w:val="auto"/>
          <w:highlight w:val="none"/>
          <w:lang w:val="en-US" w:eastAsia="zh-CN"/>
        </w:rPr>
        <w:t>13</w:t>
      </w:r>
      <w:r>
        <w:rPr>
          <w:rFonts w:hint="eastAsia"/>
          <w:color w:val="auto"/>
          <w:highlight w:val="none"/>
        </w:rPr>
        <w:t xml:space="preserve">    项目区内土壤监测结果（柱状样）</w:t>
      </w:r>
    </w:p>
    <w:tbl>
      <w:tblPr>
        <w:tblStyle w:val="25"/>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15" w:type="dxa"/>
          <w:left w:w="15" w:type="dxa"/>
          <w:bottom w:w="15" w:type="dxa"/>
          <w:right w:w="15" w:type="dxa"/>
        </w:tblCellMar>
      </w:tblPr>
      <w:tblGrid>
        <w:gridCol w:w="885"/>
        <w:gridCol w:w="567"/>
        <w:gridCol w:w="754"/>
        <w:gridCol w:w="929"/>
        <w:gridCol w:w="1104"/>
        <w:gridCol w:w="859"/>
        <w:gridCol w:w="1034"/>
        <w:gridCol w:w="1209"/>
        <w:gridCol w:w="987"/>
      </w:tblGrid>
      <w:tr w14:paraId="7414F8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323" w:type="pct"/>
            <w:gridSpan w:val="2"/>
            <w:tcBorders>
              <w:tl2br w:val="nil"/>
              <w:tr2bl w:val="nil"/>
            </w:tcBorders>
            <w:vAlign w:val="center"/>
          </w:tcPr>
          <w:p w14:paraId="7AC912DC">
            <w:pPr>
              <w:pStyle w:val="41"/>
              <w:rPr>
                <w:color w:val="auto"/>
                <w:highlight w:val="none"/>
              </w:rPr>
            </w:pPr>
            <w:r>
              <w:rPr>
                <w:rFonts w:hint="eastAsia"/>
                <w:color w:val="auto"/>
                <w:highlight w:val="none"/>
              </w:rPr>
              <w:t>监测点位</w:t>
            </w:r>
          </w:p>
        </w:tc>
        <w:tc>
          <w:tcPr>
            <w:tcW w:w="482" w:type="pct"/>
            <w:tcBorders>
              <w:tl2br w:val="nil"/>
              <w:tr2bl w:val="nil"/>
            </w:tcBorders>
            <w:vAlign w:val="center"/>
          </w:tcPr>
          <w:p w14:paraId="0EE56D86">
            <w:pPr>
              <w:pStyle w:val="41"/>
              <w:rPr>
                <w:color w:val="auto"/>
                <w:highlight w:val="none"/>
              </w:rPr>
            </w:pPr>
            <w:r>
              <w:rPr>
                <w:color w:val="auto"/>
                <w:highlight w:val="none"/>
              </w:rPr>
              <w:t>TC-1#-1</w:t>
            </w:r>
          </w:p>
        </w:tc>
        <w:tc>
          <w:tcPr>
            <w:tcW w:w="482" w:type="pct"/>
            <w:tcBorders>
              <w:tl2br w:val="nil"/>
              <w:tr2bl w:val="nil"/>
            </w:tcBorders>
            <w:vAlign w:val="center"/>
          </w:tcPr>
          <w:p w14:paraId="12A75ADD">
            <w:pPr>
              <w:pStyle w:val="41"/>
              <w:rPr>
                <w:color w:val="auto"/>
                <w:highlight w:val="none"/>
              </w:rPr>
            </w:pPr>
            <w:r>
              <w:rPr>
                <w:color w:val="auto"/>
                <w:highlight w:val="none"/>
              </w:rPr>
              <w:t>TC-1#-1-1</w:t>
            </w:r>
          </w:p>
        </w:tc>
        <w:tc>
          <w:tcPr>
            <w:tcW w:w="482" w:type="pct"/>
            <w:tcBorders>
              <w:tl2br w:val="nil"/>
              <w:tr2bl w:val="nil"/>
            </w:tcBorders>
            <w:vAlign w:val="center"/>
          </w:tcPr>
          <w:p w14:paraId="39559811">
            <w:pPr>
              <w:pStyle w:val="41"/>
              <w:rPr>
                <w:color w:val="auto"/>
                <w:highlight w:val="none"/>
              </w:rPr>
            </w:pPr>
            <w:r>
              <w:rPr>
                <w:color w:val="auto"/>
                <w:highlight w:val="none"/>
              </w:rPr>
              <w:t>TC-1#-1-1-1</w:t>
            </w:r>
          </w:p>
        </w:tc>
        <w:tc>
          <w:tcPr>
            <w:tcW w:w="482" w:type="pct"/>
            <w:tcBorders>
              <w:tl2br w:val="nil"/>
              <w:tr2bl w:val="nil"/>
            </w:tcBorders>
            <w:vAlign w:val="center"/>
          </w:tcPr>
          <w:p w14:paraId="23B79E77">
            <w:pPr>
              <w:pStyle w:val="41"/>
              <w:rPr>
                <w:color w:val="auto"/>
                <w:highlight w:val="none"/>
              </w:rPr>
            </w:pPr>
            <w:r>
              <w:rPr>
                <w:color w:val="auto"/>
                <w:highlight w:val="none"/>
              </w:rPr>
              <w:t>TC-12#-1</w:t>
            </w:r>
          </w:p>
        </w:tc>
        <w:tc>
          <w:tcPr>
            <w:tcW w:w="482" w:type="pct"/>
            <w:tcBorders>
              <w:tl2br w:val="nil"/>
              <w:tr2bl w:val="nil"/>
            </w:tcBorders>
            <w:vAlign w:val="center"/>
          </w:tcPr>
          <w:p w14:paraId="56471059">
            <w:pPr>
              <w:pStyle w:val="41"/>
              <w:rPr>
                <w:color w:val="auto"/>
                <w:highlight w:val="none"/>
              </w:rPr>
            </w:pPr>
            <w:r>
              <w:rPr>
                <w:color w:val="auto"/>
                <w:highlight w:val="none"/>
              </w:rPr>
              <w:t>TC-12#-1-1</w:t>
            </w:r>
          </w:p>
        </w:tc>
        <w:tc>
          <w:tcPr>
            <w:tcW w:w="482" w:type="pct"/>
            <w:tcBorders>
              <w:tl2br w:val="nil"/>
              <w:tr2bl w:val="nil"/>
            </w:tcBorders>
            <w:vAlign w:val="center"/>
          </w:tcPr>
          <w:p w14:paraId="7F4B0D5B">
            <w:pPr>
              <w:pStyle w:val="41"/>
              <w:rPr>
                <w:color w:val="auto"/>
                <w:highlight w:val="none"/>
              </w:rPr>
            </w:pPr>
            <w:r>
              <w:rPr>
                <w:color w:val="auto"/>
                <w:highlight w:val="none"/>
              </w:rPr>
              <w:t>TC-12#-1-1-1</w:t>
            </w:r>
          </w:p>
        </w:tc>
        <w:tc>
          <w:tcPr>
            <w:tcW w:w="784" w:type="pct"/>
            <w:vMerge w:val="restart"/>
            <w:tcBorders>
              <w:tl2br w:val="nil"/>
              <w:tr2bl w:val="nil"/>
            </w:tcBorders>
            <w:vAlign w:val="center"/>
          </w:tcPr>
          <w:p w14:paraId="7D4C52E4">
            <w:pPr>
              <w:pStyle w:val="41"/>
              <w:rPr>
                <w:color w:val="auto"/>
                <w:highlight w:val="none"/>
              </w:rPr>
            </w:pPr>
            <w:r>
              <w:rPr>
                <w:color w:val="auto"/>
                <w:highlight w:val="none"/>
              </w:rPr>
              <w:t>第二类用地的筛选值质量标准（mg/kg）</w:t>
            </w:r>
          </w:p>
        </w:tc>
      </w:tr>
      <w:tr w14:paraId="706271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323" w:type="pct"/>
            <w:gridSpan w:val="2"/>
            <w:tcBorders>
              <w:tl2br w:val="nil"/>
              <w:tr2bl w:val="nil"/>
            </w:tcBorders>
            <w:vAlign w:val="center"/>
          </w:tcPr>
          <w:p w14:paraId="63877FF6">
            <w:pPr>
              <w:pStyle w:val="41"/>
              <w:rPr>
                <w:color w:val="auto"/>
                <w:highlight w:val="none"/>
              </w:rPr>
            </w:pPr>
            <w:r>
              <w:rPr>
                <w:color w:val="auto"/>
                <w:highlight w:val="none"/>
              </w:rPr>
              <w:t>深度（cm）</w:t>
            </w:r>
          </w:p>
        </w:tc>
        <w:tc>
          <w:tcPr>
            <w:tcW w:w="482" w:type="pct"/>
            <w:tcBorders>
              <w:tl2br w:val="nil"/>
              <w:tr2bl w:val="nil"/>
            </w:tcBorders>
            <w:vAlign w:val="center"/>
          </w:tcPr>
          <w:p w14:paraId="6044EB4A">
            <w:pPr>
              <w:pStyle w:val="41"/>
              <w:rPr>
                <w:color w:val="auto"/>
                <w:highlight w:val="none"/>
              </w:rPr>
            </w:pPr>
            <w:r>
              <w:rPr>
                <w:color w:val="auto"/>
                <w:highlight w:val="none"/>
              </w:rPr>
              <w:t>38</w:t>
            </w:r>
          </w:p>
        </w:tc>
        <w:tc>
          <w:tcPr>
            <w:tcW w:w="482" w:type="pct"/>
            <w:tcBorders>
              <w:tl2br w:val="nil"/>
              <w:tr2bl w:val="nil"/>
            </w:tcBorders>
            <w:vAlign w:val="center"/>
          </w:tcPr>
          <w:p w14:paraId="4F035770">
            <w:pPr>
              <w:pStyle w:val="41"/>
              <w:rPr>
                <w:color w:val="auto"/>
                <w:highlight w:val="none"/>
              </w:rPr>
            </w:pPr>
            <w:r>
              <w:rPr>
                <w:color w:val="auto"/>
                <w:highlight w:val="none"/>
              </w:rPr>
              <w:t>79</w:t>
            </w:r>
          </w:p>
        </w:tc>
        <w:tc>
          <w:tcPr>
            <w:tcW w:w="482" w:type="pct"/>
            <w:tcBorders>
              <w:tl2br w:val="nil"/>
              <w:tr2bl w:val="nil"/>
            </w:tcBorders>
            <w:vAlign w:val="center"/>
          </w:tcPr>
          <w:p w14:paraId="4E3E508F">
            <w:pPr>
              <w:pStyle w:val="41"/>
              <w:rPr>
                <w:color w:val="auto"/>
                <w:highlight w:val="none"/>
              </w:rPr>
            </w:pPr>
            <w:r>
              <w:rPr>
                <w:color w:val="auto"/>
                <w:highlight w:val="none"/>
              </w:rPr>
              <w:t>198</w:t>
            </w:r>
          </w:p>
        </w:tc>
        <w:tc>
          <w:tcPr>
            <w:tcW w:w="482" w:type="pct"/>
            <w:tcBorders>
              <w:tl2br w:val="nil"/>
              <w:tr2bl w:val="nil"/>
            </w:tcBorders>
            <w:vAlign w:val="center"/>
          </w:tcPr>
          <w:p w14:paraId="47A554DE">
            <w:pPr>
              <w:pStyle w:val="41"/>
              <w:rPr>
                <w:color w:val="auto"/>
                <w:highlight w:val="none"/>
              </w:rPr>
            </w:pPr>
            <w:r>
              <w:rPr>
                <w:color w:val="auto"/>
                <w:highlight w:val="none"/>
              </w:rPr>
              <w:t>39</w:t>
            </w:r>
          </w:p>
        </w:tc>
        <w:tc>
          <w:tcPr>
            <w:tcW w:w="482" w:type="pct"/>
            <w:tcBorders>
              <w:tl2br w:val="nil"/>
              <w:tr2bl w:val="nil"/>
            </w:tcBorders>
            <w:vAlign w:val="center"/>
          </w:tcPr>
          <w:p w14:paraId="2CB5971A">
            <w:pPr>
              <w:pStyle w:val="41"/>
              <w:rPr>
                <w:color w:val="auto"/>
                <w:highlight w:val="none"/>
              </w:rPr>
            </w:pPr>
            <w:r>
              <w:rPr>
                <w:color w:val="auto"/>
                <w:highlight w:val="none"/>
              </w:rPr>
              <w:t>87</w:t>
            </w:r>
          </w:p>
        </w:tc>
        <w:tc>
          <w:tcPr>
            <w:tcW w:w="482" w:type="pct"/>
            <w:tcBorders>
              <w:tl2br w:val="nil"/>
              <w:tr2bl w:val="nil"/>
            </w:tcBorders>
            <w:vAlign w:val="center"/>
          </w:tcPr>
          <w:p w14:paraId="4D727ABD">
            <w:pPr>
              <w:pStyle w:val="41"/>
              <w:rPr>
                <w:color w:val="auto"/>
                <w:highlight w:val="none"/>
              </w:rPr>
            </w:pPr>
            <w:r>
              <w:rPr>
                <w:color w:val="auto"/>
                <w:highlight w:val="none"/>
              </w:rPr>
              <w:t>168</w:t>
            </w:r>
          </w:p>
        </w:tc>
        <w:tc>
          <w:tcPr>
            <w:tcW w:w="784" w:type="pct"/>
            <w:vMerge w:val="continue"/>
            <w:tcBorders>
              <w:tl2br w:val="nil"/>
              <w:tr2bl w:val="nil"/>
            </w:tcBorders>
            <w:vAlign w:val="center"/>
          </w:tcPr>
          <w:p w14:paraId="3BDB8AA3">
            <w:pPr>
              <w:pStyle w:val="41"/>
              <w:rPr>
                <w:color w:val="auto"/>
                <w:highlight w:val="none"/>
              </w:rPr>
            </w:pPr>
          </w:p>
        </w:tc>
      </w:tr>
      <w:tr w14:paraId="79F84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0B9E61AA">
            <w:pPr>
              <w:pStyle w:val="41"/>
              <w:rPr>
                <w:color w:val="auto"/>
                <w:highlight w:val="none"/>
              </w:rPr>
            </w:pPr>
            <w:r>
              <w:rPr>
                <w:color w:val="auto"/>
                <w:highlight w:val="none"/>
              </w:rPr>
              <w:t>检测项目</w:t>
            </w:r>
          </w:p>
        </w:tc>
        <w:tc>
          <w:tcPr>
            <w:tcW w:w="492" w:type="pct"/>
            <w:tcBorders>
              <w:tl2br w:val="nil"/>
              <w:tr2bl w:val="nil"/>
            </w:tcBorders>
            <w:vAlign w:val="center"/>
          </w:tcPr>
          <w:p w14:paraId="56157506">
            <w:pPr>
              <w:pStyle w:val="41"/>
              <w:rPr>
                <w:color w:val="auto"/>
                <w:highlight w:val="none"/>
              </w:rPr>
            </w:pPr>
            <w:r>
              <w:rPr>
                <w:color w:val="auto"/>
                <w:highlight w:val="none"/>
              </w:rPr>
              <w:t>单位</w:t>
            </w:r>
          </w:p>
        </w:tc>
        <w:tc>
          <w:tcPr>
            <w:tcW w:w="2892" w:type="pct"/>
            <w:gridSpan w:val="6"/>
            <w:tcBorders>
              <w:tl2br w:val="nil"/>
              <w:tr2bl w:val="nil"/>
            </w:tcBorders>
            <w:vAlign w:val="center"/>
          </w:tcPr>
          <w:p w14:paraId="10373ED9">
            <w:pPr>
              <w:pStyle w:val="41"/>
              <w:rPr>
                <w:color w:val="auto"/>
                <w:highlight w:val="none"/>
              </w:rPr>
            </w:pPr>
            <w:r>
              <w:rPr>
                <w:color w:val="auto"/>
                <w:highlight w:val="none"/>
              </w:rPr>
              <w:t>检测结果</w:t>
            </w:r>
          </w:p>
        </w:tc>
        <w:tc>
          <w:tcPr>
            <w:tcW w:w="784" w:type="pct"/>
            <w:vMerge w:val="continue"/>
            <w:tcBorders>
              <w:tl2br w:val="nil"/>
              <w:tr2bl w:val="nil"/>
            </w:tcBorders>
            <w:vAlign w:val="center"/>
          </w:tcPr>
          <w:p w14:paraId="3272D23D">
            <w:pPr>
              <w:pStyle w:val="41"/>
              <w:rPr>
                <w:color w:val="auto"/>
                <w:highlight w:val="none"/>
              </w:rPr>
            </w:pPr>
          </w:p>
        </w:tc>
      </w:tr>
      <w:tr w14:paraId="7BF8A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458752D1">
            <w:pPr>
              <w:pStyle w:val="41"/>
              <w:rPr>
                <w:color w:val="auto"/>
                <w:highlight w:val="none"/>
              </w:rPr>
            </w:pPr>
            <w:r>
              <w:rPr>
                <w:color w:val="auto"/>
                <w:highlight w:val="none"/>
              </w:rPr>
              <w:t>氯乙烯</w:t>
            </w:r>
          </w:p>
        </w:tc>
        <w:tc>
          <w:tcPr>
            <w:tcW w:w="492" w:type="pct"/>
            <w:tcBorders>
              <w:tl2br w:val="nil"/>
              <w:tr2bl w:val="nil"/>
            </w:tcBorders>
            <w:vAlign w:val="center"/>
          </w:tcPr>
          <w:p w14:paraId="73810127">
            <w:pPr>
              <w:pStyle w:val="41"/>
              <w:rPr>
                <w:color w:val="auto"/>
                <w:highlight w:val="none"/>
              </w:rPr>
            </w:pPr>
            <w:r>
              <w:rPr>
                <w:color w:val="auto"/>
                <w:highlight w:val="none"/>
              </w:rPr>
              <w:t>μg/kg</w:t>
            </w:r>
          </w:p>
        </w:tc>
        <w:tc>
          <w:tcPr>
            <w:tcW w:w="482" w:type="pct"/>
            <w:tcBorders>
              <w:tl2br w:val="nil"/>
              <w:tr2bl w:val="nil"/>
            </w:tcBorders>
            <w:vAlign w:val="center"/>
          </w:tcPr>
          <w:p w14:paraId="37161E38">
            <w:pPr>
              <w:pStyle w:val="41"/>
              <w:rPr>
                <w:color w:val="auto"/>
                <w:highlight w:val="none"/>
              </w:rPr>
            </w:pPr>
            <w:r>
              <w:rPr>
                <w:color w:val="auto"/>
                <w:highlight w:val="none"/>
              </w:rPr>
              <w:t>未检出</w:t>
            </w:r>
          </w:p>
        </w:tc>
        <w:tc>
          <w:tcPr>
            <w:tcW w:w="482" w:type="pct"/>
            <w:tcBorders>
              <w:tl2br w:val="nil"/>
              <w:tr2bl w:val="nil"/>
            </w:tcBorders>
            <w:vAlign w:val="center"/>
          </w:tcPr>
          <w:p w14:paraId="6692174B">
            <w:pPr>
              <w:pStyle w:val="41"/>
              <w:rPr>
                <w:color w:val="auto"/>
                <w:highlight w:val="none"/>
              </w:rPr>
            </w:pPr>
            <w:r>
              <w:rPr>
                <w:color w:val="auto"/>
                <w:highlight w:val="none"/>
              </w:rPr>
              <w:t>未检出</w:t>
            </w:r>
          </w:p>
        </w:tc>
        <w:tc>
          <w:tcPr>
            <w:tcW w:w="482" w:type="pct"/>
            <w:tcBorders>
              <w:tl2br w:val="nil"/>
              <w:tr2bl w:val="nil"/>
            </w:tcBorders>
            <w:vAlign w:val="center"/>
          </w:tcPr>
          <w:p w14:paraId="0D9486FE">
            <w:pPr>
              <w:pStyle w:val="41"/>
              <w:rPr>
                <w:color w:val="auto"/>
                <w:highlight w:val="none"/>
              </w:rPr>
            </w:pPr>
            <w:r>
              <w:rPr>
                <w:color w:val="auto"/>
                <w:highlight w:val="none"/>
              </w:rPr>
              <w:t>未检出</w:t>
            </w:r>
          </w:p>
        </w:tc>
        <w:tc>
          <w:tcPr>
            <w:tcW w:w="482" w:type="pct"/>
            <w:tcBorders>
              <w:tl2br w:val="nil"/>
              <w:tr2bl w:val="nil"/>
            </w:tcBorders>
            <w:vAlign w:val="center"/>
          </w:tcPr>
          <w:p w14:paraId="160B8396">
            <w:pPr>
              <w:pStyle w:val="41"/>
              <w:rPr>
                <w:color w:val="auto"/>
                <w:highlight w:val="none"/>
              </w:rPr>
            </w:pPr>
            <w:r>
              <w:rPr>
                <w:color w:val="auto"/>
                <w:highlight w:val="none"/>
              </w:rPr>
              <w:t>未检出</w:t>
            </w:r>
          </w:p>
        </w:tc>
        <w:tc>
          <w:tcPr>
            <w:tcW w:w="482" w:type="pct"/>
            <w:tcBorders>
              <w:tl2br w:val="nil"/>
              <w:tr2bl w:val="nil"/>
            </w:tcBorders>
            <w:vAlign w:val="center"/>
          </w:tcPr>
          <w:p w14:paraId="52C3C5A4">
            <w:pPr>
              <w:pStyle w:val="41"/>
              <w:rPr>
                <w:color w:val="auto"/>
                <w:highlight w:val="none"/>
              </w:rPr>
            </w:pPr>
            <w:r>
              <w:rPr>
                <w:color w:val="auto"/>
                <w:highlight w:val="none"/>
              </w:rPr>
              <w:t>未检出</w:t>
            </w:r>
          </w:p>
        </w:tc>
        <w:tc>
          <w:tcPr>
            <w:tcW w:w="482" w:type="pct"/>
            <w:tcBorders>
              <w:tl2br w:val="nil"/>
              <w:tr2bl w:val="nil"/>
            </w:tcBorders>
            <w:vAlign w:val="center"/>
          </w:tcPr>
          <w:p w14:paraId="3B820E9A">
            <w:pPr>
              <w:pStyle w:val="41"/>
              <w:rPr>
                <w:color w:val="auto"/>
                <w:highlight w:val="none"/>
              </w:rPr>
            </w:pPr>
            <w:r>
              <w:rPr>
                <w:color w:val="auto"/>
                <w:highlight w:val="none"/>
              </w:rPr>
              <w:t>未检出</w:t>
            </w:r>
          </w:p>
        </w:tc>
        <w:tc>
          <w:tcPr>
            <w:tcW w:w="784" w:type="pct"/>
            <w:tcBorders>
              <w:tl2br w:val="nil"/>
              <w:tr2bl w:val="nil"/>
            </w:tcBorders>
            <w:vAlign w:val="center"/>
          </w:tcPr>
          <w:p w14:paraId="0777049D">
            <w:pPr>
              <w:pStyle w:val="41"/>
              <w:rPr>
                <w:color w:val="auto"/>
                <w:highlight w:val="none"/>
              </w:rPr>
            </w:pPr>
            <w:r>
              <w:rPr>
                <w:color w:val="auto"/>
                <w:highlight w:val="none"/>
              </w:rPr>
              <w:t>0.43</w:t>
            </w:r>
          </w:p>
        </w:tc>
      </w:tr>
      <w:tr w14:paraId="300C21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0D0F777E">
            <w:pPr>
              <w:pStyle w:val="41"/>
              <w:rPr>
                <w:color w:val="auto"/>
                <w:highlight w:val="none"/>
              </w:rPr>
            </w:pPr>
            <w:r>
              <w:rPr>
                <w:color w:val="auto"/>
                <w:highlight w:val="none"/>
              </w:rPr>
              <w:t>1,1-二氯乙烯</w:t>
            </w:r>
          </w:p>
        </w:tc>
        <w:tc>
          <w:tcPr>
            <w:tcW w:w="492" w:type="pct"/>
            <w:tcBorders>
              <w:tl2br w:val="nil"/>
              <w:tr2bl w:val="nil"/>
            </w:tcBorders>
            <w:vAlign w:val="center"/>
          </w:tcPr>
          <w:p w14:paraId="2567C8C2">
            <w:pPr>
              <w:pStyle w:val="41"/>
              <w:rPr>
                <w:color w:val="auto"/>
                <w:highlight w:val="none"/>
              </w:rPr>
            </w:pPr>
            <w:r>
              <w:rPr>
                <w:color w:val="auto"/>
                <w:highlight w:val="none"/>
              </w:rPr>
              <w:t>μg/kg</w:t>
            </w:r>
          </w:p>
        </w:tc>
        <w:tc>
          <w:tcPr>
            <w:tcW w:w="482" w:type="pct"/>
            <w:tcBorders>
              <w:tl2br w:val="nil"/>
              <w:tr2bl w:val="nil"/>
            </w:tcBorders>
            <w:vAlign w:val="center"/>
          </w:tcPr>
          <w:p w14:paraId="198D85DB">
            <w:pPr>
              <w:pStyle w:val="41"/>
              <w:rPr>
                <w:color w:val="auto"/>
                <w:highlight w:val="none"/>
              </w:rPr>
            </w:pPr>
            <w:r>
              <w:rPr>
                <w:color w:val="auto"/>
                <w:highlight w:val="none"/>
              </w:rPr>
              <w:t>未检出</w:t>
            </w:r>
          </w:p>
        </w:tc>
        <w:tc>
          <w:tcPr>
            <w:tcW w:w="482" w:type="pct"/>
            <w:tcBorders>
              <w:tl2br w:val="nil"/>
              <w:tr2bl w:val="nil"/>
            </w:tcBorders>
            <w:vAlign w:val="center"/>
          </w:tcPr>
          <w:p w14:paraId="6554F20E">
            <w:pPr>
              <w:pStyle w:val="41"/>
              <w:rPr>
                <w:color w:val="auto"/>
                <w:highlight w:val="none"/>
              </w:rPr>
            </w:pPr>
            <w:r>
              <w:rPr>
                <w:color w:val="auto"/>
                <w:highlight w:val="none"/>
              </w:rPr>
              <w:t>未检出</w:t>
            </w:r>
          </w:p>
        </w:tc>
        <w:tc>
          <w:tcPr>
            <w:tcW w:w="482" w:type="pct"/>
            <w:tcBorders>
              <w:tl2br w:val="nil"/>
              <w:tr2bl w:val="nil"/>
            </w:tcBorders>
            <w:vAlign w:val="center"/>
          </w:tcPr>
          <w:p w14:paraId="06D6F894">
            <w:pPr>
              <w:pStyle w:val="41"/>
              <w:rPr>
                <w:color w:val="auto"/>
                <w:highlight w:val="none"/>
              </w:rPr>
            </w:pPr>
            <w:r>
              <w:rPr>
                <w:color w:val="auto"/>
                <w:highlight w:val="none"/>
              </w:rPr>
              <w:t>未检出</w:t>
            </w:r>
          </w:p>
        </w:tc>
        <w:tc>
          <w:tcPr>
            <w:tcW w:w="482" w:type="pct"/>
            <w:tcBorders>
              <w:tl2br w:val="nil"/>
              <w:tr2bl w:val="nil"/>
            </w:tcBorders>
            <w:vAlign w:val="center"/>
          </w:tcPr>
          <w:p w14:paraId="000AF20D">
            <w:pPr>
              <w:pStyle w:val="41"/>
              <w:rPr>
                <w:color w:val="auto"/>
                <w:highlight w:val="none"/>
              </w:rPr>
            </w:pPr>
            <w:r>
              <w:rPr>
                <w:color w:val="auto"/>
                <w:highlight w:val="none"/>
              </w:rPr>
              <w:t>未检出</w:t>
            </w:r>
          </w:p>
        </w:tc>
        <w:tc>
          <w:tcPr>
            <w:tcW w:w="482" w:type="pct"/>
            <w:tcBorders>
              <w:tl2br w:val="nil"/>
              <w:tr2bl w:val="nil"/>
            </w:tcBorders>
            <w:vAlign w:val="center"/>
          </w:tcPr>
          <w:p w14:paraId="3EF49D9C">
            <w:pPr>
              <w:pStyle w:val="41"/>
              <w:rPr>
                <w:color w:val="auto"/>
                <w:highlight w:val="none"/>
              </w:rPr>
            </w:pPr>
            <w:r>
              <w:rPr>
                <w:color w:val="auto"/>
                <w:highlight w:val="none"/>
              </w:rPr>
              <w:t>未检出</w:t>
            </w:r>
          </w:p>
        </w:tc>
        <w:tc>
          <w:tcPr>
            <w:tcW w:w="482" w:type="pct"/>
            <w:tcBorders>
              <w:tl2br w:val="nil"/>
              <w:tr2bl w:val="nil"/>
            </w:tcBorders>
            <w:vAlign w:val="center"/>
          </w:tcPr>
          <w:p w14:paraId="494F4F0D">
            <w:pPr>
              <w:pStyle w:val="41"/>
              <w:rPr>
                <w:color w:val="auto"/>
                <w:highlight w:val="none"/>
              </w:rPr>
            </w:pPr>
            <w:r>
              <w:rPr>
                <w:color w:val="auto"/>
                <w:highlight w:val="none"/>
              </w:rPr>
              <w:t>未检出</w:t>
            </w:r>
          </w:p>
        </w:tc>
        <w:tc>
          <w:tcPr>
            <w:tcW w:w="784" w:type="pct"/>
            <w:tcBorders>
              <w:tl2br w:val="nil"/>
              <w:tr2bl w:val="nil"/>
            </w:tcBorders>
            <w:vAlign w:val="center"/>
          </w:tcPr>
          <w:p w14:paraId="029883FD">
            <w:pPr>
              <w:pStyle w:val="41"/>
              <w:rPr>
                <w:color w:val="auto"/>
                <w:highlight w:val="none"/>
              </w:rPr>
            </w:pPr>
            <w:r>
              <w:rPr>
                <w:color w:val="auto"/>
                <w:highlight w:val="none"/>
              </w:rPr>
              <w:t>66</w:t>
            </w:r>
          </w:p>
        </w:tc>
      </w:tr>
      <w:tr w14:paraId="603FB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5C686C7D">
            <w:pPr>
              <w:pStyle w:val="41"/>
              <w:rPr>
                <w:color w:val="auto"/>
                <w:highlight w:val="none"/>
              </w:rPr>
            </w:pPr>
            <w:r>
              <w:rPr>
                <w:color w:val="auto"/>
                <w:highlight w:val="none"/>
              </w:rPr>
              <w:t>二氯甲烷</w:t>
            </w:r>
          </w:p>
        </w:tc>
        <w:tc>
          <w:tcPr>
            <w:tcW w:w="492" w:type="pct"/>
            <w:tcBorders>
              <w:tl2br w:val="nil"/>
              <w:tr2bl w:val="nil"/>
            </w:tcBorders>
            <w:vAlign w:val="center"/>
          </w:tcPr>
          <w:p w14:paraId="2D16CC61">
            <w:pPr>
              <w:pStyle w:val="41"/>
              <w:rPr>
                <w:color w:val="auto"/>
                <w:highlight w:val="none"/>
              </w:rPr>
            </w:pPr>
            <w:r>
              <w:rPr>
                <w:color w:val="auto"/>
                <w:highlight w:val="none"/>
              </w:rPr>
              <w:t>μg/kg</w:t>
            </w:r>
          </w:p>
        </w:tc>
        <w:tc>
          <w:tcPr>
            <w:tcW w:w="482" w:type="pct"/>
            <w:tcBorders>
              <w:tl2br w:val="nil"/>
              <w:tr2bl w:val="nil"/>
            </w:tcBorders>
            <w:vAlign w:val="center"/>
          </w:tcPr>
          <w:p w14:paraId="5EAB7E54">
            <w:pPr>
              <w:pStyle w:val="41"/>
              <w:rPr>
                <w:color w:val="auto"/>
                <w:highlight w:val="none"/>
              </w:rPr>
            </w:pPr>
            <w:r>
              <w:rPr>
                <w:color w:val="auto"/>
                <w:highlight w:val="none"/>
              </w:rPr>
              <w:t>未检出</w:t>
            </w:r>
          </w:p>
        </w:tc>
        <w:tc>
          <w:tcPr>
            <w:tcW w:w="482" w:type="pct"/>
            <w:tcBorders>
              <w:tl2br w:val="nil"/>
              <w:tr2bl w:val="nil"/>
            </w:tcBorders>
            <w:vAlign w:val="center"/>
          </w:tcPr>
          <w:p w14:paraId="741A353A">
            <w:pPr>
              <w:pStyle w:val="41"/>
              <w:rPr>
                <w:color w:val="auto"/>
                <w:highlight w:val="none"/>
              </w:rPr>
            </w:pPr>
            <w:r>
              <w:rPr>
                <w:color w:val="auto"/>
                <w:highlight w:val="none"/>
              </w:rPr>
              <w:t>未检出</w:t>
            </w:r>
          </w:p>
        </w:tc>
        <w:tc>
          <w:tcPr>
            <w:tcW w:w="482" w:type="pct"/>
            <w:tcBorders>
              <w:tl2br w:val="nil"/>
              <w:tr2bl w:val="nil"/>
            </w:tcBorders>
            <w:vAlign w:val="center"/>
          </w:tcPr>
          <w:p w14:paraId="2C78F4AC">
            <w:pPr>
              <w:pStyle w:val="41"/>
              <w:rPr>
                <w:color w:val="auto"/>
                <w:highlight w:val="none"/>
              </w:rPr>
            </w:pPr>
            <w:r>
              <w:rPr>
                <w:color w:val="auto"/>
                <w:highlight w:val="none"/>
              </w:rPr>
              <w:t>未检出</w:t>
            </w:r>
          </w:p>
        </w:tc>
        <w:tc>
          <w:tcPr>
            <w:tcW w:w="482" w:type="pct"/>
            <w:tcBorders>
              <w:tl2br w:val="nil"/>
              <w:tr2bl w:val="nil"/>
            </w:tcBorders>
            <w:vAlign w:val="center"/>
          </w:tcPr>
          <w:p w14:paraId="374F350A">
            <w:pPr>
              <w:pStyle w:val="41"/>
              <w:rPr>
                <w:color w:val="auto"/>
                <w:highlight w:val="none"/>
              </w:rPr>
            </w:pPr>
            <w:r>
              <w:rPr>
                <w:color w:val="auto"/>
                <w:highlight w:val="none"/>
              </w:rPr>
              <w:t>未检出</w:t>
            </w:r>
          </w:p>
        </w:tc>
        <w:tc>
          <w:tcPr>
            <w:tcW w:w="482" w:type="pct"/>
            <w:tcBorders>
              <w:tl2br w:val="nil"/>
              <w:tr2bl w:val="nil"/>
            </w:tcBorders>
            <w:vAlign w:val="center"/>
          </w:tcPr>
          <w:p w14:paraId="74B29034">
            <w:pPr>
              <w:pStyle w:val="41"/>
              <w:rPr>
                <w:color w:val="auto"/>
                <w:highlight w:val="none"/>
              </w:rPr>
            </w:pPr>
            <w:r>
              <w:rPr>
                <w:color w:val="auto"/>
                <w:highlight w:val="none"/>
              </w:rPr>
              <w:t>未检出</w:t>
            </w:r>
          </w:p>
        </w:tc>
        <w:tc>
          <w:tcPr>
            <w:tcW w:w="482" w:type="pct"/>
            <w:tcBorders>
              <w:tl2br w:val="nil"/>
              <w:tr2bl w:val="nil"/>
            </w:tcBorders>
            <w:vAlign w:val="center"/>
          </w:tcPr>
          <w:p w14:paraId="0153175A">
            <w:pPr>
              <w:pStyle w:val="41"/>
              <w:rPr>
                <w:color w:val="auto"/>
                <w:highlight w:val="none"/>
              </w:rPr>
            </w:pPr>
            <w:r>
              <w:rPr>
                <w:color w:val="auto"/>
                <w:highlight w:val="none"/>
              </w:rPr>
              <w:t>未检出</w:t>
            </w:r>
          </w:p>
        </w:tc>
        <w:tc>
          <w:tcPr>
            <w:tcW w:w="784" w:type="pct"/>
            <w:tcBorders>
              <w:tl2br w:val="nil"/>
              <w:tr2bl w:val="nil"/>
            </w:tcBorders>
            <w:vAlign w:val="center"/>
          </w:tcPr>
          <w:p w14:paraId="6BB37FEE">
            <w:pPr>
              <w:pStyle w:val="41"/>
              <w:rPr>
                <w:color w:val="auto"/>
                <w:highlight w:val="none"/>
              </w:rPr>
            </w:pPr>
            <w:r>
              <w:rPr>
                <w:color w:val="auto"/>
                <w:highlight w:val="none"/>
              </w:rPr>
              <w:t>616</w:t>
            </w:r>
          </w:p>
        </w:tc>
      </w:tr>
      <w:tr w14:paraId="200D50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081E4E5D">
            <w:pPr>
              <w:pStyle w:val="41"/>
              <w:rPr>
                <w:color w:val="auto"/>
                <w:highlight w:val="none"/>
              </w:rPr>
            </w:pPr>
            <w:r>
              <w:rPr>
                <w:color w:val="auto"/>
                <w:highlight w:val="none"/>
              </w:rPr>
              <w:t>反-1,2-二氯乙烯</w:t>
            </w:r>
          </w:p>
        </w:tc>
        <w:tc>
          <w:tcPr>
            <w:tcW w:w="492" w:type="pct"/>
            <w:tcBorders>
              <w:tl2br w:val="nil"/>
              <w:tr2bl w:val="nil"/>
            </w:tcBorders>
            <w:vAlign w:val="center"/>
          </w:tcPr>
          <w:p w14:paraId="0DB10122">
            <w:pPr>
              <w:pStyle w:val="41"/>
              <w:rPr>
                <w:color w:val="auto"/>
                <w:highlight w:val="none"/>
              </w:rPr>
            </w:pPr>
            <w:r>
              <w:rPr>
                <w:color w:val="auto"/>
                <w:highlight w:val="none"/>
              </w:rPr>
              <w:t>μg/kg</w:t>
            </w:r>
          </w:p>
        </w:tc>
        <w:tc>
          <w:tcPr>
            <w:tcW w:w="482" w:type="pct"/>
            <w:tcBorders>
              <w:tl2br w:val="nil"/>
              <w:tr2bl w:val="nil"/>
            </w:tcBorders>
            <w:vAlign w:val="center"/>
          </w:tcPr>
          <w:p w14:paraId="5A85236E">
            <w:pPr>
              <w:pStyle w:val="41"/>
              <w:rPr>
                <w:color w:val="auto"/>
                <w:highlight w:val="none"/>
              </w:rPr>
            </w:pPr>
            <w:r>
              <w:rPr>
                <w:color w:val="auto"/>
                <w:highlight w:val="none"/>
              </w:rPr>
              <w:t>未检出</w:t>
            </w:r>
          </w:p>
        </w:tc>
        <w:tc>
          <w:tcPr>
            <w:tcW w:w="482" w:type="pct"/>
            <w:tcBorders>
              <w:tl2br w:val="nil"/>
              <w:tr2bl w:val="nil"/>
            </w:tcBorders>
            <w:vAlign w:val="center"/>
          </w:tcPr>
          <w:p w14:paraId="40AD2800">
            <w:pPr>
              <w:pStyle w:val="41"/>
              <w:rPr>
                <w:color w:val="auto"/>
                <w:highlight w:val="none"/>
              </w:rPr>
            </w:pPr>
            <w:r>
              <w:rPr>
                <w:color w:val="auto"/>
                <w:highlight w:val="none"/>
              </w:rPr>
              <w:t>未检出</w:t>
            </w:r>
          </w:p>
        </w:tc>
        <w:tc>
          <w:tcPr>
            <w:tcW w:w="482" w:type="pct"/>
            <w:tcBorders>
              <w:tl2br w:val="nil"/>
              <w:tr2bl w:val="nil"/>
            </w:tcBorders>
            <w:vAlign w:val="center"/>
          </w:tcPr>
          <w:p w14:paraId="4DE45733">
            <w:pPr>
              <w:pStyle w:val="41"/>
              <w:rPr>
                <w:color w:val="auto"/>
                <w:highlight w:val="none"/>
              </w:rPr>
            </w:pPr>
            <w:r>
              <w:rPr>
                <w:color w:val="auto"/>
                <w:highlight w:val="none"/>
              </w:rPr>
              <w:t>未检出</w:t>
            </w:r>
          </w:p>
        </w:tc>
        <w:tc>
          <w:tcPr>
            <w:tcW w:w="482" w:type="pct"/>
            <w:tcBorders>
              <w:tl2br w:val="nil"/>
              <w:tr2bl w:val="nil"/>
            </w:tcBorders>
            <w:vAlign w:val="center"/>
          </w:tcPr>
          <w:p w14:paraId="4BF21924">
            <w:pPr>
              <w:pStyle w:val="41"/>
              <w:rPr>
                <w:color w:val="auto"/>
                <w:highlight w:val="none"/>
              </w:rPr>
            </w:pPr>
            <w:r>
              <w:rPr>
                <w:color w:val="auto"/>
                <w:highlight w:val="none"/>
              </w:rPr>
              <w:t>未检出</w:t>
            </w:r>
          </w:p>
        </w:tc>
        <w:tc>
          <w:tcPr>
            <w:tcW w:w="482" w:type="pct"/>
            <w:tcBorders>
              <w:tl2br w:val="nil"/>
              <w:tr2bl w:val="nil"/>
            </w:tcBorders>
            <w:vAlign w:val="center"/>
          </w:tcPr>
          <w:p w14:paraId="21BB5D36">
            <w:pPr>
              <w:pStyle w:val="41"/>
              <w:rPr>
                <w:color w:val="auto"/>
                <w:highlight w:val="none"/>
              </w:rPr>
            </w:pPr>
            <w:r>
              <w:rPr>
                <w:color w:val="auto"/>
                <w:highlight w:val="none"/>
              </w:rPr>
              <w:t>未检出</w:t>
            </w:r>
          </w:p>
        </w:tc>
        <w:tc>
          <w:tcPr>
            <w:tcW w:w="482" w:type="pct"/>
            <w:tcBorders>
              <w:tl2br w:val="nil"/>
              <w:tr2bl w:val="nil"/>
            </w:tcBorders>
            <w:vAlign w:val="center"/>
          </w:tcPr>
          <w:p w14:paraId="2BF3A002">
            <w:pPr>
              <w:pStyle w:val="41"/>
              <w:rPr>
                <w:color w:val="auto"/>
                <w:highlight w:val="none"/>
              </w:rPr>
            </w:pPr>
            <w:r>
              <w:rPr>
                <w:color w:val="auto"/>
                <w:highlight w:val="none"/>
              </w:rPr>
              <w:t>未检出</w:t>
            </w:r>
          </w:p>
        </w:tc>
        <w:tc>
          <w:tcPr>
            <w:tcW w:w="784" w:type="pct"/>
            <w:tcBorders>
              <w:tl2br w:val="nil"/>
              <w:tr2bl w:val="nil"/>
            </w:tcBorders>
            <w:vAlign w:val="center"/>
          </w:tcPr>
          <w:p w14:paraId="3C4E39D4">
            <w:pPr>
              <w:pStyle w:val="41"/>
              <w:rPr>
                <w:color w:val="auto"/>
                <w:highlight w:val="none"/>
              </w:rPr>
            </w:pPr>
            <w:r>
              <w:rPr>
                <w:color w:val="auto"/>
                <w:highlight w:val="none"/>
              </w:rPr>
              <w:t>54</w:t>
            </w:r>
          </w:p>
        </w:tc>
      </w:tr>
      <w:tr w14:paraId="4862F9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39CFB04F">
            <w:pPr>
              <w:pStyle w:val="41"/>
              <w:rPr>
                <w:color w:val="auto"/>
                <w:highlight w:val="none"/>
              </w:rPr>
            </w:pPr>
            <w:r>
              <w:rPr>
                <w:color w:val="auto"/>
                <w:highlight w:val="none"/>
              </w:rPr>
              <w:t>1,1-二氯乙烷</w:t>
            </w:r>
          </w:p>
        </w:tc>
        <w:tc>
          <w:tcPr>
            <w:tcW w:w="492" w:type="pct"/>
            <w:tcBorders>
              <w:tl2br w:val="nil"/>
              <w:tr2bl w:val="nil"/>
            </w:tcBorders>
            <w:vAlign w:val="center"/>
          </w:tcPr>
          <w:p w14:paraId="6FABA1F6">
            <w:pPr>
              <w:pStyle w:val="41"/>
              <w:rPr>
                <w:color w:val="auto"/>
                <w:highlight w:val="none"/>
              </w:rPr>
            </w:pPr>
            <w:r>
              <w:rPr>
                <w:color w:val="auto"/>
                <w:highlight w:val="none"/>
              </w:rPr>
              <w:t>μg/kg</w:t>
            </w:r>
          </w:p>
        </w:tc>
        <w:tc>
          <w:tcPr>
            <w:tcW w:w="482" w:type="pct"/>
            <w:tcBorders>
              <w:tl2br w:val="nil"/>
              <w:tr2bl w:val="nil"/>
            </w:tcBorders>
            <w:vAlign w:val="center"/>
          </w:tcPr>
          <w:p w14:paraId="26713D59">
            <w:pPr>
              <w:pStyle w:val="41"/>
              <w:rPr>
                <w:color w:val="auto"/>
                <w:highlight w:val="none"/>
              </w:rPr>
            </w:pPr>
            <w:r>
              <w:rPr>
                <w:color w:val="auto"/>
                <w:highlight w:val="none"/>
              </w:rPr>
              <w:t>未检出</w:t>
            </w:r>
          </w:p>
        </w:tc>
        <w:tc>
          <w:tcPr>
            <w:tcW w:w="482" w:type="pct"/>
            <w:tcBorders>
              <w:tl2br w:val="nil"/>
              <w:tr2bl w:val="nil"/>
            </w:tcBorders>
            <w:vAlign w:val="center"/>
          </w:tcPr>
          <w:p w14:paraId="614B5739">
            <w:pPr>
              <w:pStyle w:val="41"/>
              <w:rPr>
                <w:color w:val="auto"/>
                <w:highlight w:val="none"/>
              </w:rPr>
            </w:pPr>
            <w:r>
              <w:rPr>
                <w:color w:val="auto"/>
                <w:highlight w:val="none"/>
              </w:rPr>
              <w:t>未检出</w:t>
            </w:r>
          </w:p>
        </w:tc>
        <w:tc>
          <w:tcPr>
            <w:tcW w:w="482" w:type="pct"/>
            <w:tcBorders>
              <w:tl2br w:val="nil"/>
              <w:tr2bl w:val="nil"/>
            </w:tcBorders>
            <w:vAlign w:val="center"/>
          </w:tcPr>
          <w:p w14:paraId="225E0205">
            <w:pPr>
              <w:pStyle w:val="41"/>
              <w:rPr>
                <w:color w:val="auto"/>
                <w:highlight w:val="none"/>
              </w:rPr>
            </w:pPr>
            <w:r>
              <w:rPr>
                <w:color w:val="auto"/>
                <w:highlight w:val="none"/>
              </w:rPr>
              <w:t>未检出</w:t>
            </w:r>
          </w:p>
        </w:tc>
        <w:tc>
          <w:tcPr>
            <w:tcW w:w="482" w:type="pct"/>
            <w:tcBorders>
              <w:tl2br w:val="nil"/>
              <w:tr2bl w:val="nil"/>
            </w:tcBorders>
            <w:vAlign w:val="center"/>
          </w:tcPr>
          <w:p w14:paraId="0B804B44">
            <w:pPr>
              <w:pStyle w:val="41"/>
              <w:rPr>
                <w:color w:val="auto"/>
                <w:highlight w:val="none"/>
              </w:rPr>
            </w:pPr>
            <w:r>
              <w:rPr>
                <w:color w:val="auto"/>
                <w:highlight w:val="none"/>
              </w:rPr>
              <w:t>未检出</w:t>
            </w:r>
          </w:p>
        </w:tc>
        <w:tc>
          <w:tcPr>
            <w:tcW w:w="482" w:type="pct"/>
            <w:tcBorders>
              <w:tl2br w:val="nil"/>
              <w:tr2bl w:val="nil"/>
            </w:tcBorders>
            <w:vAlign w:val="center"/>
          </w:tcPr>
          <w:p w14:paraId="53D43430">
            <w:pPr>
              <w:pStyle w:val="41"/>
              <w:rPr>
                <w:color w:val="auto"/>
                <w:highlight w:val="none"/>
              </w:rPr>
            </w:pPr>
            <w:r>
              <w:rPr>
                <w:color w:val="auto"/>
                <w:highlight w:val="none"/>
              </w:rPr>
              <w:t>未检出</w:t>
            </w:r>
          </w:p>
        </w:tc>
        <w:tc>
          <w:tcPr>
            <w:tcW w:w="482" w:type="pct"/>
            <w:tcBorders>
              <w:tl2br w:val="nil"/>
              <w:tr2bl w:val="nil"/>
            </w:tcBorders>
            <w:vAlign w:val="center"/>
          </w:tcPr>
          <w:p w14:paraId="0EE2F007">
            <w:pPr>
              <w:pStyle w:val="41"/>
              <w:rPr>
                <w:color w:val="auto"/>
                <w:highlight w:val="none"/>
              </w:rPr>
            </w:pPr>
            <w:r>
              <w:rPr>
                <w:color w:val="auto"/>
                <w:highlight w:val="none"/>
              </w:rPr>
              <w:t>未检出</w:t>
            </w:r>
          </w:p>
        </w:tc>
        <w:tc>
          <w:tcPr>
            <w:tcW w:w="784" w:type="pct"/>
            <w:tcBorders>
              <w:tl2br w:val="nil"/>
              <w:tr2bl w:val="nil"/>
            </w:tcBorders>
            <w:vAlign w:val="center"/>
          </w:tcPr>
          <w:p w14:paraId="331F072C">
            <w:pPr>
              <w:pStyle w:val="41"/>
              <w:rPr>
                <w:color w:val="auto"/>
                <w:highlight w:val="none"/>
              </w:rPr>
            </w:pPr>
            <w:r>
              <w:rPr>
                <w:color w:val="auto"/>
                <w:highlight w:val="none"/>
              </w:rPr>
              <w:t>9</w:t>
            </w:r>
          </w:p>
        </w:tc>
      </w:tr>
      <w:tr w14:paraId="3A6736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180B8204">
            <w:pPr>
              <w:pStyle w:val="41"/>
              <w:rPr>
                <w:color w:val="auto"/>
                <w:highlight w:val="none"/>
              </w:rPr>
            </w:pPr>
            <w:r>
              <w:rPr>
                <w:color w:val="auto"/>
                <w:highlight w:val="none"/>
              </w:rPr>
              <w:t>顺-1,2-二氯乙烯</w:t>
            </w:r>
          </w:p>
        </w:tc>
        <w:tc>
          <w:tcPr>
            <w:tcW w:w="492" w:type="pct"/>
            <w:tcBorders>
              <w:tl2br w:val="nil"/>
              <w:tr2bl w:val="nil"/>
            </w:tcBorders>
            <w:vAlign w:val="center"/>
          </w:tcPr>
          <w:p w14:paraId="0C87A25B">
            <w:pPr>
              <w:pStyle w:val="41"/>
              <w:rPr>
                <w:color w:val="auto"/>
                <w:highlight w:val="none"/>
              </w:rPr>
            </w:pPr>
            <w:r>
              <w:rPr>
                <w:color w:val="auto"/>
                <w:highlight w:val="none"/>
              </w:rPr>
              <w:t>μg/kg</w:t>
            </w:r>
          </w:p>
        </w:tc>
        <w:tc>
          <w:tcPr>
            <w:tcW w:w="482" w:type="pct"/>
            <w:tcBorders>
              <w:tl2br w:val="nil"/>
              <w:tr2bl w:val="nil"/>
            </w:tcBorders>
            <w:vAlign w:val="center"/>
          </w:tcPr>
          <w:p w14:paraId="4A6C3ACD">
            <w:pPr>
              <w:pStyle w:val="41"/>
              <w:rPr>
                <w:color w:val="auto"/>
                <w:highlight w:val="none"/>
              </w:rPr>
            </w:pPr>
            <w:r>
              <w:rPr>
                <w:color w:val="auto"/>
                <w:highlight w:val="none"/>
              </w:rPr>
              <w:t>未检出</w:t>
            </w:r>
          </w:p>
        </w:tc>
        <w:tc>
          <w:tcPr>
            <w:tcW w:w="482" w:type="pct"/>
            <w:tcBorders>
              <w:tl2br w:val="nil"/>
              <w:tr2bl w:val="nil"/>
            </w:tcBorders>
            <w:vAlign w:val="center"/>
          </w:tcPr>
          <w:p w14:paraId="351897BA">
            <w:pPr>
              <w:pStyle w:val="41"/>
              <w:rPr>
                <w:color w:val="auto"/>
                <w:highlight w:val="none"/>
              </w:rPr>
            </w:pPr>
            <w:r>
              <w:rPr>
                <w:color w:val="auto"/>
                <w:highlight w:val="none"/>
              </w:rPr>
              <w:t>未检出</w:t>
            </w:r>
          </w:p>
        </w:tc>
        <w:tc>
          <w:tcPr>
            <w:tcW w:w="482" w:type="pct"/>
            <w:tcBorders>
              <w:tl2br w:val="nil"/>
              <w:tr2bl w:val="nil"/>
            </w:tcBorders>
            <w:vAlign w:val="center"/>
          </w:tcPr>
          <w:p w14:paraId="0B817877">
            <w:pPr>
              <w:pStyle w:val="41"/>
              <w:rPr>
                <w:color w:val="auto"/>
                <w:highlight w:val="none"/>
              </w:rPr>
            </w:pPr>
            <w:r>
              <w:rPr>
                <w:color w:val="auto"/>
                <w:highlight w:val="none"/>
              </w:rPr>
              <w:t>未检出</w:t>
            </w:r>
          </w:p>
        </w:tc>
        <w:tc>
          <w:tcPr>
            <w:tcW w:w="482" w:type="pct"/>
            <w:tcBorders>
              <w:tl2br w:val="nil"/>
              <w:tr2bl w:val="nil"/>
            </w:tcBorders>
            <w:vAlign w:val="center"/>
          </w:tcPr>
          <w:p w14:paraId="00F7220F">
            <w:pPr>
              <w:pStyle w:val="41"/>
              <w:rPr>
                <w:color w:val="auto"/>
                <w:highlight w:val="none"/>
              </w:rPr>
            </w:pPr>
            <w:r>
              <w:rPr>
                <w:color w:val="auto"/>
                <w:highlight w:val="none"/>
              </w:rPr>
              <w:t>未检出</w:t>
            </w:r>
          </w:p>
        </w:tc>
        <w:tc>
          <w:tcPr>
            <w:tcW w:w="482" w:type="pct"/>
            <w:tcBorders>
              <w:tl2br w:val="nil"/>
              <w:tr2bl w:val="nil"/>
            </w:tcBorders>
            <w:vAlign w:val="center"/>
          </w:tcPr>
          <w:p w14:paraId="23E24F1A">
            <w:pPr>
              <w:pStyle w:val="41"/>
              <w:rPr>
                <w:color w:val="auto"/>
                <w:highlight w:val="none"/>
              </w:rPr>
            </w:pPr>
            <w:r>
              <w:rPr>
                <w:color w:val="auto"/>
                <w:highlight w:val="none"/>
              </w:rPr>
              <w:t>未检出</w:t>
            </w:r>
          </w:p>
        </w:tc>
        <w:tc>
          <w:tcPr>
            <w:tcW w:w="482" w:type="pct"/>
            <w:tcBorders>
              <w:tl2br w:val="nil"/>
              <w:tr2bl w:val="nil"/>
            </w:tcBorders>
            <w:vAlign w:val="center"/>
          </w:tcPr>
          <w:p w14:paraId="3C014E05">
            <w:pPr>
              <w:pStyle w:val="41"/>
              <w:rPr>
                <w:color w:val="auto"/>
                <w:highlight w:val="none"/>
              </w:rPr>
            </w:pPr>
            <w:r>
              <w:rPr>
                <w:color w:val="auto"/>
                <w:highlight w:val="none"/>
              </w:rPr>
              <w:t>未检出</w:t>
            </w:r>
          </w:p>
        </w:tc>
        <w:tc>
          <w:tcPr>
            <w:tcW w:w="784" w:type="pct"/>
            <w:tcBorders>
              <w:tl2br w:val="nil"/>
              <w:tr2bl w:val="nil"/>
            </w:tcBorders>
            <w:vAlign w:val="center"/>
          </w:tcPr>
          <w:p w14:paraId="191AF64A">
            <w:pPr>
              <w:pStyle w:val="41"/>
              <w:rPr>
                <w:color w:val="auto"/>
                <w:highlight w:val="none"/>
              </w:rPr>
            </w:pPr>
            <w:r>
              <w:rPr>
                <w:color w:val="auto"/>
                <w:highlight w:val="none"/>
              </w:rPr>
              <w:t>596</w:t>
            </w:r>
          </w:p>
        </w:tc>
      </w:tr>
      <w:tr w14:paraId="46123E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2497EB2C">
            <w:pPr>
              <w:pStyle w:val="41"/>
              <w:rPr>
                <w:color w:val="auto"/>
                <w:highlight w:val="none"/>
              </w:rPr>
            </w:pPr>
            <w:r>
              <w:rPr>
                <w:color w:val="auto"/>
                <w:highlight w:val="none"/>
              </w:rPr>
              <w:t>氯仿</w:t>
            </w:r>
          </w:p>
        </w:tc>
        <w:tc>
          <w:tcPr>
            <w:tcW w:w="492" w:type="pct"/>
            <w:tcBorders>
              <w:tl2br w:val="nil"/>
              <w:tr2bl w:val="nil"/>
            </w:tcBorders>
            <w:vAlign w:val="center"/>
          </w:tcPr>
          <w:p w14:paraId="7325AEE1">
            <w:pPr>
              <w:pStyle w:val="41"/>
              <w:rPr>
                <w:color w:val="auto"/>
                <w:highlight w:val="none"/>
              </w:rPr>
            </w:pPr>
            <w:r>
              <w:rPr>
                <w:color w:val="auto"/>
                <w:highlight w:val="none"/>
              </w:rPr>
              <w:t>μg/kg</w:t>
            </w:r>
          </w:p>
        </w:tc>
        <w:tc>
          <w:tcPr>
            <w:tcW w:w="482" w:type="pct"/>
            <w:tcBorders>
              <w:tl2br w:val="nil"/>
              <w:tr2bl w:val="nil"/>
            </w:tcBorders>
            <w:vAlign w:val="center"/>
          </w:tcPr>
          <w:p w14:paraId="07B2DAEA">
            <w:pPr>
              <w:pStyle w:val="41"/>
              <w:rPr>
                <w:color w:val="auto"/>
                <w:highlight w:val="none"/>
              </w:rPr>
            </w:pPr>
            <w:r>
              <w:rPr>
                <w:color w:val="auto"/>
                <w:highlight w:val="none"/>
              </w:rPr>
              <w:t>未检出</w:t>
            </w:r>
          </w:p>
        </w:tc>
        <w:tc>
          <w:tcPr>
            <w:tcW w:w="482" w:type="pct"/>
            <w:tcBorders>
              <w:tl2br w:val="nil"/>
              <w:tr2bl w:val="nil"/>
            </w:tcBorders>
            <w:vAlign w:val="center"/>
          </w:tcPr>
          <w:p w14:paraId="7384E925">
            <w:pPr>
              <w:pStyle w:val="41"/>
              <w:rPr>
                <w:color w:val="auto"/>
                <w:highlight w:val="none"/>
              </w:rPr>
            </w:pPr>
            <w:r>
              <w:rPr>
                <w:color w:val="auto"/>
                <w:highlight w:val="none"/>
              </w:rPr>
              <w:t>未检出</w:t>
            </w:r>
          </w:p>
        </w:tc>
        <w:tc>
          <w:tcPr>
            <w:tcW w:w="482" w:type="pct"/>
            <w:tcBorders>
              <w:tl2br w:val="nil"/>
              <w:tr2bl w:val="nil"/>
            </w:tcBorders>
            <w:vAlign w:val="center"/>
          </w:tcPr>
          <w:p w14:paraId="4CF11BBD">
            <w:pPr>
              <w:pStyle w:val="41"/>
              <w:rPr>
                <w:color w:val="auto"/>
                <w:highlight w:val="none"/>
              </w:rPr>
            </w:pPr>
            <w:r>
              <w:rPr>
                <w:color w:val="auto"/>
                <w:highlight w:val="none"/>
              </w:rPr>
              <w:t>未检出</w:t>
            </w:r>
          </w:p>
        </w:tc>
        <w:tc>
          <w:tcPr>
            <w:tcW w:w="482" w:type="pct"/>
            <w:tcBorders>
              <w:tl2br w:val="nil"/>
              <w:tr2bl w:val="nil"/>
            </w:tcBorders>
            <w:vAlign w:val="center"/>
          </w:tcPr>
          <w:p w14:paraId="58C1FFB2">
            <w:pPr>
              <w:pStyle w:val="41"/>
              <w:rPr>
                <w:color w:val="auto"/>
                <w:highlight w:val="none"/>
              </w:rPr>
            </w:pPr>
            <w:r>
              <w:rPr>
                <w:color w:val="auto"/>
                <w:highlight w:val="none"/>
              </w:rPr>
              <w:t>未检出</w:t>
            </w:r>
          </w:p>
        </w:tc>
        <w:tc>
          <w:tcPr>
            <w:tcW w:w="482" w:type="pct"/>
            <w:tcBorders>
              <w:tl2br w:val="nil"/>
              <w:tr2bl w:val="nil"/>
            </w:tcBorders>
            <w:vAlign w:val="center"/>
          </w:tcPr>
          <w:p w14:paraId="257B27EE">
            <w:pPr>
              <w:pStyle w:val="41"/>
              <w:rPr>
                <w:color w:val="auto"/>
                <w:highlight w:val="none"/>
              </w:rPr>
            </w:pPr>
            <w:r>
              <w:rPr>
                <w:color w:val="auto"/>
                <w:highlight w:val="none"/>
              </w:rPr>
              <w:t>未检出</w:t>
            </w:r>
          </w:p>
        </w:tc>
        <w:tc>
          <w:tcPr>
            <w:tcW w:w="482" w:type="pct"/>
            <w:tcBorders>
              <w:tl2br w:val="nil"/>
              <w:tr2bl w:val="nil"/>
            </w:tcBorders>
            <w:vAlign w:val="center"/>
          </w:tcPr>
          <w:p w14:paraId="00B7AE41">
            <w:pPr>
              <w:pStyle w:val="41"/>
              <w:rPr>
                <w:color w:val="auto"/>
                <w:highlight w:val="none"/>
              </w:rPr>
            </w:pPr>
            <w:r>
              <w:rPr>
                <w:color w:val="auto"/>
                <w:highlight w:val="none"/>
              </w:rPr>
              <w:t>未检出</w:t>
            </w:r>
          </w:p>
        </w:tc>
        <w:tc>
          <w:tcPr>
            <w:tcW w:w="784" w:type="pct"/>
            <w:tcBorders>
              <w:tl2br w:val="nil"/>
              <w:tr2bl w:val="nil"/>
            </w:tcBorders>
            <w:vAlign w:val="center"/>
          </w:tcPr>
          <w:p w14:paraId="21A4B075">
            <w:pPr>
              <w:pStyle w:val="41"/>
              <w:rPr>
                <w:color w:val="auto"/>
                <w:highlight w:val="none"/>
              </w:rPr>
            </w:pPr>
            <w:r>
              <w:rPr>
                <w:color w:val="auto"/>
                <w:highlight w:val="none"/>
              </w:rPr>
              <w:t>0.9</w:t>
            </w:r>
          </w:p>
        </w:tc>
      </w:tr>
      <w:tr w14:paraId="2E8C9B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450278C4">
            <w:pPr>
              <w:pStyle w:val="41"/>
              <w:rPr>
                <w:color w:val="auto"/>
                <w:highlight w:val="none"/>
              </w:rPr>
            </w:pPr>
            <w:r>
              <w:rPr>
                <w:color w:val="auto"/>
                <w:highlight w:val="none"/>
              </w:rPr>
              <w:t>1,1,1-三氯乙烷</w:t>
            </w:r>
          </w:p>
        </w:tc>
        <w:tc>
          <w:tcPr>
            <w:tcW w:w="492" w:type="pct"/>
            <w:tcBorders>
              <w:tl2br w:val="nil"/>
              <w:tr2bl w:val="nil"/>
            </w:tcBorders>
            <w:vAlign w:val="center"/>
          </w:tcPr>
          <w:p w14:paraId="0ADFDC82">
            <w:pPr>
              <w:pStyle w:val="41"/>
              <w:rPr>
                <w:color w:val="auto"/>
                <w:highlight w:val="none"/>
              </w:rPr>
            </w:pPr>
            <w:r>
              <w:rPr>
                <w:color w:val="auto"/>
                <w:highlight w:val="none"/>
              </w:rPr>
              <w:t>μg/kg</w:t>
            </w:r>
          </w:p>
        </w:tc>
        <w:tc>
          <w:tcPr>
            <w:tcW w:w="482" w:type="pct"/>
            <w:tcBorders>
              <w:tl2br w:val="nil"/>
              <w:tr2bl w:val="nil"/>
            </w:tcBorders>
            <w:vAlign w:val="center"/>
          </w:tcPr>
          <w:p w14:paraId="491B30E1">
            <w:pPr>
              <w:pStyle w:val="41"/>
              <w:rPr>
                <w:color w:val="auto"/>
                <w:highlight w:val="none"/>
              </w:rPr>
            </w:pPr>
            <w:r>
              <w:rPr>
                <w:color w:val="auto"/>
                <w:highlight w:val="none"/>
              </w:rPr>
              <w:t>未检出</w:t>
            </w:r>
          </w:p>
        </w:tc>
        <w:tc>
          <w:tcPr>
            <w:tcW w:w="482" w:type="pct"/>
            <w:tcBorders>
              <w:tl2br w:val="nil"/>
              <w:tr2bl w:val="nil"/>
            </w:tcBorders>
            <w:vAlign w:val="center"/>
          </w:tcPr>
          <w:p w14:paraId="332F16C8">
            <w:pPr>
              <w:pStyle w:val="41"/>
              <w:rPr>
                <w:color w:val="auto"/>
                <w:highlight w:val="none"/>
              </w:rPr>
            </w:pPr>
            <w:r>
              <w:rPr>
                <w:color w:val="auto"/>
                <w:highlight w:val="none"/>
              </w:rPr>
              <w:t>未检出</w:t>
            </w:r>
          </w:p>
        </w:tc>
        <w:tc>
          <w:tcPr>
            <w:tcW w:w="482" w:type="pct"/>
            <w:tcBorders>
              <w:tl2br w:val="nil"/>
              <w:tr2bl w:val="nil"/>
            </w:tcBorders>
            <w:vAlign w:val="center"/>
          </w:tcPr>
          <w:p w14:paraId="3089D7D7">
            <w:pPr>
              <w:pStyle w:val="41"/>
              <w:rPr>
                <w:color w:val="auto"/>
                <w:highlight w:val="none"/>
              </w:rPr>
            </w:pPr>
            <w:r>
              <w:rPr>
                <w:color w:val="auto"/>
                <w:highlight w:val="none"/>
              </w:rPr>
              <w:t>未检出</w:t>
            </w:r>
          </w:p>
        </w:tc>
        <w:tc>
          <w:tcPr>
            <w:tcW w:w="482" w:type="pct"/>
            <w:tcBorders>
              <w:tl2br w:val="nil"/>
              <w:tr2bl w:val="nil"/>
            </w:tcBorders>
            <w:vAlign w:val="center"/>
          </w:tcPr>
          <w:p w14:paraId="332A1D23">
            <w:pPr>
              <w:pStyle w:val="41"/>
              <w:rPr>
                <w:color w:val="auto"/>
                <w:highlight w:val="none"/>
              </w:rPr>
            </w:pPr>
            <w:r>
              <w:rPr>
                <w:color w:val="auto"/>
                <w:highlight w:val="none"/>
              </w:rPr>
              <w:t>未检出</w:t>
            </w:r>
          </w:p>
        </w:tc>
        <w:tc>
          <w:tcPr>
            <w:tcW w:w="482" w:type="pct"/>
            <w:tcBorders>
              <w:tl2br w:val="nil"/>
              <w:tr2bl w:val="nil"/>
            </w:tcBorders>
            <w:vAlign w:val="center"/>
          </w:tcPr>
          <w:p w14:paraId="71AC8CDF">
            <w:pPr>
              <w:pStyle w:val="41"/>
              <w:rPr>
                <w:color w:val="auto"/>
                <w:highlight w:val="none"/>
              </w:rPr>
            </w:pPr>
            <w:r>
              <w:rPr>
                <w:color w:val="auto"/>
                <w:highlight w:val="none"/>
              </w:rPr>
              <w:t>未检出</w:t>
            </w:r>
          </w:p>
        </w:tc>
        <w:tc>
          <w:tcPr>
            <w:tcW w:w="482" w:type="pct"/>
            <w:tcBorders>
              <w:tl2br w:val="nil"/>
              <w:tr2bl w:val="nil"/>
            </w:tcBorders>
            <w:vAlign w:val="center"/>
          </w:tcPr>
          <w:p w14:paraId="03A539F5">
            <w:pPr>
              <w:pStyle w:val="41"/>
              <w:rPr>
                <w:color w:val="auto"/>
                <w:highlight w:val="none"/>
              </w:rPr>
            </w:pPr>
            <w:r>
              <w:rPr>
                <w:color w:val="auto"/>
                <w:highlight w:val="none"/>
              </w:rPr>
              <w:t>未检出</w:t>
            </w:r>
          </w:p>
        </w:tc>
        <w:tc>
          <w:tcPr>
            <w:tcW w:w="784" w:type="pct"/>
            <w:tcBorders>
              <w:tl2br w:val="nil"/>
              <w:tr2bl w:val="nil"/>
            </w:tcBorders>
            <w:vAlign w:val="center"/>
          </w:tcPr>
          <w:p w14:paraId="74AD11B1">
            <w:pPr>
              <w:pStyle w:val="41"/>
              <w:rPr>
                <w:color w:val="auto"/>
                <w:highlight w:val="none"/>
              </w:rPr>
            </w:pPr>
            <w:r>
              <w:rPr>
                <w:color w:val="auto"/>
                <w:highlight w:val="none"/>
              </w:rPr>
              <w:t>840</w:t>
            </w:r>
          </w:p>
        </w:tc>
      </w:tr>
      <w:tr w14:paraId="51DBF7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6328F7B7">
            <w:pPr>
              <w:pStyle w:val="41"/>
              <w:rPr>
                <w:color w:val="auto"/>
                <w:highlight w:val="none"/>
              </w:rPr>
            </w:pPr>
            <w:r>
              <w:rPr>
                <w:color w:val="auto"/>
                <w:highlight w:val="none"/>
              </w:rPr>
              <w:t>四氯化碳</w:t>
            </w:r>
          </w:p>
        </w:tc>
        <w:tc>
          <w:tcPr>
            <w:tcW w:w="492" w:type="pct"/>
            <w:tcBorders>
              <w:tl2br w:val="nil"/>
              <w:tr2bl w:val="nil"/>
            </w:tcBorders>
            <w:vAlign w:val="center"/>
          </w:tcPr>
          <w:p w14:paraId="35B40B70">
            <w:pPr>
              <w:pStyle w:val="41"/>
              <w:rPr>
                <w:color w:val="auto"/>
                <w:highlight w:val="none"/>
              </w:rPr>
            </w:pPr>
            <w:r>
              <w:rPr>
                <w:color w:val="auto"/>
                <w:highlight w:val="none"/>
              </w:rPr>
              <w:t>μg/kg</w:t>
            </w:r>
          </w:p>
        </w:tc>
        <w:tc>
          <w:tcPr>
            <w:tcW w:w="482" w:type="pct"/>
            <w:tcBorders>
              <w:tl2br w:val="nil"/>
              <w:tr2bl w:val="nil"/>
            </w:tcBorders>
            <w:vAlign w:val="center"/>
          </w:tcPr>
          <w:p w14:paraId="57278700">
            <w:pPr>
              <w:pStyle w:val="41"/>
              <w:rPr>
                <w:color w:val="auto"/>
                <w:highlight w:val="none"/>
              </w:rPr>
            </w:pPr>
            <w:r>
              <w:rPr>
                <w:color w:val="auto"/>
                <w:highlight w:val="none"/>
              </w:rPr>
              <w:t>未检出</w:t>
            </w:r>
          </w:p>
        </w:tc>
        <w:tc>
          <w:tcPr>
            <w:tcW w:w="482" w:type="pct"/>
            <w:tcBorders>
              <w:tl2br w:val="nil"/>
              <w:tr2bl w:val="nil"/>
            </w:tcBorders>
            <w:vAlign w:val="center"/>
          </w:tcPr>
          <w:p w14:paraId="2272F780">
            <w:pPr>
              <w:pStyle w:val="41"/>
              <w:rPr>
                <w:color w:val="auto"/>
                <w:highlight w:val="none"/>
              </w:rPr>
            </w:pPr>
            <w:r>
              <w:rPr>
                <w:color w:val="auto"/>
                <w:highlight w:val="none"/>
              </w:rPr>
              <w:t>未检出</w:t>
            </w:r>
          </w:p>
        </w:tc>
        <w:tc>
          <w:tcPr>
            <w:tcW w:w="482" w:type="pct"/>
            <w:tcBorders>
              <w:tl2br w:val="nil"/>
              <w:tr2bl w:val="nil"/>
            </w:tcBorders>
            <w:vAlign w:val="center"/>
          </w:tcPr>
          <w:p w14:paraId="2F8D9D94">
            <w:pPr>
              <w:pStyle w:val="41"/>
              <w:rPr>
                <w:color w:val="auto"/>
                <w:highlight w:val="none"/>
              </w:rPr>
            </w:pPr>
            <w:r>
              <w:rPr>
                <w:color w:val="auto"/>
                <w:highlight w:val="none"/>
              </w:rPr>
              <w:t>未检出</w:t>
            </w:r>
          </w:p>
        </w:tc>
        <w:tc>
          <w:tcPr>
            <w:tcW w:w="482" w:type="pct"/>
            <w:tcBorders>
              <w:tl2br w:val="nil"/>
              <w:tr2bl w:val="nil"/>
            </w:tcBorders>
            <w:vAlign w:val="center"/>
          </w:tcPr>
          <w:p w14:paraId="66E2F375">
            <w:pPr>
              <w:pStyle w:val="41"/>
              <w:rPr>
                <w:color w:val="auto"/>
                <w:highlight w:val="none"/>
              </w:rPr>
            </w:pPr>
            <w:r>
              <w:rPr>
                <w:color w:val="auto"/>
                <w:highlight w:val="none"/>
              </w:rPr>
              <w:t>未检出</w:t>
            </w:r>
          </w:p>
        </w:tc>
        <w:tc>
          <w:tcPr>
            <w:tcW w:w="482" w:type="pct"/>
            <w:tcBorders>
              <w:tl2br w:val="nil"/>
              <w:tr2bl w:val="nil"/>
            </w:tcBorders>
            <w:vAlign w:val="center"/>
          </w:tcPr>
          <w:p w14:paraId="2BA2AE4A">
            <w:pPr>
              <w:pStyle w:val="41"/>
              <w:rPr>
                <w:color w:val="auto"/>
                <w:highlight w:val="none"/>
              </w:rPr>
            </w:pPr>
            <w:r>
              <w:rPr>
                <w:color w:val="auto"/>
                <w:highlight w:val="none"/>
              </w:rPr>
              <w:t>未检出</w:t>
            </w:r>
          </w:p>
        </w:tc>
        <w:tc>
          <w:tcPr>
            <w:tcW w:w="482" w:type="pct"/>
            <w:tcBorders>
              <w:tl2br w:val="nil"/>
              <w:tr2bl w:val="nil"/>
            </w:tcBorders>
            <w:vAlign w:val="center"/>
          </w:tcPr>
          <w:p w14:paraId="1B051E1C">
            <w:pPr>
              <w:pStyle w:val="41"/>
              <w:rPr>
                <w:color w:val="auto"/>
                <w:highlight w:val="none"/>
              </w:rPr>
            </w:pPr>
            <w:r>
              <w:rPr>
                <w:color w:val="auto"/>
                <w:highlight w:val="none"/>
              </w:rPr>
              <w:t>未检出</w:t>
            </w:r>
          </w:p>
        </w:tc>
        <w:tc>
          <w:tcPr>
            <w:tcW w:w="784" w:type="pct"/>
            <w:tcBorders>
              <w:tl2br w:val="nil"/>
              <w:tr2bl w:val="nil"/>
            </w:tcBorders>
            <w:vAlign w:val="center"/>
          </w:tcPr>
          <w:p w14:paraId="2E60C7C1">
            <w:pPr>
              <w:pStyle w:val="41"/>
              <w:rPr>
                <w:color w:val="auto"/>
                <w:highlight w:val="none"/>
              </w:rPr>
            </w:pPr>
            <w:r>
              <w:rPr>
                <w:color w:val="auto"/>
                <w:highlight w:val="none"/>
              </w:rPr>
              <w:t>2.8</w:t>
            </w:r>
          </w:p>
        </w:tc>
      </w:tr>
      <w:tr w14:paraId="4DAAD6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7EBA7DE4">
            <w:pPr>
              <w:pStyle w:val="41"/>
              <w:rPr>
                <w:color w:val="auto"/>
                <w:highlight w:val="none"/>
              </w:rPr>
            </w:pPr>
            <w:r>
              <w:rPr>
                <w:color w:val="auto"/>
                <w:highlight w:val="none"/>
              </w:rPr>
              <w:t>1,2-二氯乙烷</w:t>
            </w:r>
          </w:p>
        </w:tc>
        <w:tc>
          <w:tcPr>
            <w:tcW w:w="492" w:type="pct"/>
            <w:tcBorders>
              <w:tl2br w:val="nil"/>
              <w:tr2bl w:val="nil"/>
            </w:tcBorders>
            <w:vAlign w:val="center"/>
          </w:tcPr>
          <w:p w14:paraId="537C9B4C">
            <w:pPr>
              <w:pStyle w:val="41"/>
              <w:rPr>
                <w:color w:val="auto"/>
                <w:highlight w:val="none"/>
              </w:rPr>
            </w:pPr>
            <w:r>
              <w:rPr>
                <w:color w:val="auto"/>
                <w:highlight w:val="none"/>
              </w:rPr>
              <w:t>μg/kg</w:t>
            </w:r>
          </w:p>
        </w:tc>
        <w:tc>
          <w:tcPr>
            <w:tcW w:w="482" w:type="pct"/>
            <w:tcBorders>
              <w:tl2br w:val="nil"/>
              <w:tr2bl w:val="nil"/>
            </w:tcBorders>
            <w:vAlign w:val="center"/>
          </w:tcPr>
          <w:p w14:paraId="6E5E9C08">
            <w:pPr>
              <w:pStyle w:val="41"/>
              <w:rPr>
                <w:color w:val="auto"/>
                <w:highlight w:val="none"/>
              </w:rPr>
            </w:pPr>
            <w:r>
              <w:rPr>
                <w:color w:val="auto"/>
                <w:highlight w:val="none"/>
              </w:rPr>
              <w:t>未检出</w:t>
            </w:r>
          </w:p>
        </w:tc>
        <w:tc>
          <w:tcPr>
            <w:tcW w:w="482" w:type="pct"/>
            <w:tcBorders>
              <w:tl2br w:val="nil"/>
              <w:tr2bl w:val="nil"/>
            </w:tcBorders>
            <w:vAlign w:val="center"/>
          </w:tcPr>
          <w:p w14:paraId="3E94CE8D">
            <w:pPr>
              <w:pStyle w:val="41"/>
              <w:rPr>
                <w:color w:val="auto"/>
                <w:highlight w:val="none"/>
              </w:rPr>
            </w:pPr>
            <w:r>
              <w:rPr>
                <w:color w:val="auto"/>
                <w:highlight w:val="none"/>
              </w:rPr>
              <w:t>未检出</w:t>
            </w:r>
          </w:p>
        </w:tc>
        <w:tc>
          <w:tcPr>
            <w:tcW w:w="482" w:type="pct"/>
            <w:tcBorders>
              <w:tl2br w:val="nil"/>
              <w:tr2bl w:val="nil"/>
            </w:tcBorders>
            <w:vAlign w:val="center"/>
          </w:tcPr>
          <w:p w14:paraId="6DC4C392">
            <w:pPr>
              <w:pStyle w:val="41"/>
              <w:rPr>
                <w:color w:val="auto"/>
                <w:highlight w:val="none"/>
              </w:rPr>
            </w:pPr>
            <w:r>
              <w:rPr>
                <w:color w:val="auto"/>
                <w:highlight w:val="none"/>
              </w:rPr>
              <w:t>未检出</w:t>
            </w:r>
          </w:p>
        </w:tc>
        <w:tc>
          <w:tcPr>
            <w:tcW w:w="482" w:type="pct"/>
            <w:tcBorders>
              <w:tl2br w:val="nil"/>
              <w:tr2bl w:val="nil"/>
            </w:tcBorders>
            <w:vAlign w:val="center"/>
          </w:tcPr>
          <w:p w14:paraId="308FBBC4">
            <w:pPr>
              <w:pStyle w:val="41"/>
              <w:rPr>
                <w:color w:val="auto"/>
                <w:highlight w:val="none"/>
              </w:rPr>
            </w:pPr>
            <w:r>
              <w:rPr>
                <w:color w:val="auto"/>
                <w:highlight w:val="none"/>
              </w:rPr>
              <w:t>未检出</w:t>
            </w:r>
          </w:p>
        </w:tc>
        <w:tc>
          <w:tcPr>
            <w:tcW w:w="482" w:type="pct"/>
            <w:tcBorders>
              <w:tl2br w:val="nil"/>
              <w:tr2bl w:val="nil"/>
            </w:tcBorders>
            <w:vAlign w:val="center"/>
          </w:tcPr>
          <w:p w14:paraId="15230E45">
            <w:pPr>
              <w:pStyle w:val="41"/>
              <w:rPr>
                <w:color w:val="auto"/>
                <w:highlight w:val="none"/>
              </w:rPr>
            </w:pPr>
            <w:r>
              <w:rPr>
                <w:color w:val="auto"/>
                <w:highlight w:val="none"/>
              </w:rPr>
              <w:t>未检出</w:t>
            </w:r>
          </w:p>
        </w:tc>
        <w:tc>
          <w:tcPr>
            <w:tcW w:w="482" w:type="pct"/>
            <w:tcBorders>
              <w:tl2br w:val="nil"/>
              <w:tr2bl w:val="nil"/>
            </w:tcBorders>
            <w:vAlign w:val="center"/>
          </w:tcPr>
          <w:p w14:paraId="7CE72C27">
            <w:pPr>
              <w:pStyle w:val="41"/>
              <w:rPr>
                <w:color w:val="auto"/>
                <w:highlight w:val="none"/>
              </w:rPr>
            </w:pPr>
            <w:r>
              <w:rPr>
                <w:color w:val="auto"/>
                <w:highlight w:val="none"/>
              </w:rPr>
              <w:t>未检出</w:t>
            </w:r>
          </w:p>
        </w:tc>
        <w:tc>
          <w:tcPr>
            <w:tcW w:w="784" w:type="pct"/>
            <w:tcBorders>
              <w:tl2br w:val="nil"/>
              <w:tr2bl w:val="nil"/>
            </w:tcBorders>
            <w:vAlign w:val="center"/>
          </w:tcPr>
          <w:p w14:paraId="4B95D21F">
            <w:pPr>
              <w:pStyle w:val="41"/>
              <w:rPr>
                <w:color w:val="auto"/>
                <w:highlight w:val="none"/>
              </w:rPr>
            </w:pPr>
            <w:r>
              <w:rPr>
                <w:color w:val="auto"/>
                <w:highlight w:val="none"/>
              </w:rPr>
              <w:t>5</w:t>
            </w:r>
          </w:p>
        </w:tc>
      </w:tr>
      <w:tr w14:paraId="3F503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2DE5E59E">
            <w:pPr>
              <w:pStyle w:val="41"/>
              <w:rPr>
                <w:color w:val="auto"/>
                <w:highlight w:val="none"/>
              </w:rPr>
            </w:pPr>
            <w:r>
              <w:rPr>
                <w:color w:val="auto"/>
                <w:highlight w:val="none"/>
              </w:rPr>
              <w:t>苯</w:t>
            </w:r>
          </w:p>
        </w:tc>
        <w:tc>
          <w:tcPr>
            <w:tcW w:w="492" w:type="pct"/>
            <w:tcBorders>
              <w:tl2br w:val="nil"/>
              <w:tr2bl w:val="nil"/>
            </w:tcBorders>
            <w:vAlign w:val="center"/>
          </w:tcPr>
          <w:p w14:paraId="67A69D43">
            <w:pPr>
              <w:pStyle w:val="41"/>
              <w:rPr>
                <w:color w:val="auto"/>
                <w:highlight w:val="none"/>
              </w:rPr>
            </w:pPr>
            <w:r>
              <w:rPr>
                <w:color w:val="auto"/>
                <w:highlight w:val="none"/>
              </w:rPr>
              <w:t>μg/kg</w:t>
            </w:r>
          </w:p>
        </w:tc>
        <w:tc>
          <w:tcPr>
            <w:tcW w:w="482" w:type="pct"/>
            <w:tcBorders>
              <w:tl2br w:val="nil"/>
              <w:tr2bl w:val="nil"/>
            </w:tcBorders>
            <w:vAlign w:val="center"/>
          </w:tcPr>
          <w:p w14:paraId="7DEBFC63">
            <w:pPr>
              <w:pStyle w:val="41"/>
              <w:rPr>
                <w:color w:val="auto"/>
                <w:highlight w:val="none"/>
              </w:rPr>
            </w:pPr>
            <w:r>
              <w:rPr>
                <w:color w:val="auto"/>
                <w:highlight w:val="none"/>
              </w:rPr>
              <w:t>未检出</w:t>
            </w:r>
          </w:p>
        </w:tc>
        <w:tc>
          <w:tcPr>
            <w:tcW w:w="482" w:type="pct"/>
            <w:tcBorders>
              <w:tl2br w:val="nil"/>
              <w:tr2bl w:val="nil"/>
            </w:tcBorders>
            <w:vAlign w:val="center"/>
          </w:tcPr>
          <w:p w14:paraId="613E5521">
            <w:pPr>
              <w:pStyle w:val="41"/>
              <w:rPr>
                <w:color w:val="auto"/>
                <w:highlight w:val="none"/>
              </w:rPr>
            </w:pPr>
            <w:r>
              <w:rPr>
                <w:color w:val="auto"/>
                <w:highlight w:val="none"/>
              </w:rPr>
              <w:t>未检出</w:t>
            </w:r>
          </w:p>
        </w:tc>
        <w:tc>
          <w:tcPr>
            <w:tcW w:w="482" w:type="pct"/>
            <w:tcBorders>
              <w:tl2br w:val="nil"/>
              <w:tr2bl w:val="nil"/>
            </w:tcBorders>
            <w:vAlign w:val="center"/>
          </w:tcPr>
          <w:p w14:paraId="2F54B3DF">
            <w:pPr>
              <w:pStyle w:val="41"/>
              <w:rPr>
                <w:color w:val="auto"/>
                <w:highlight w:val="none"/>
              </w:rPr>
            </w:pPr>
            <w:r>
              <w:rPr>
                <w:color w:val="auto"/>
                <w:highlight w:val="none"/>
              </w:rPr>
              <w:t>未检出</w:t>
            </w:r>
          </w:p>
        </w:tc>
        <w:tc>
          <w:tcPr>
            <w:tcW w:w="482" w:type="pct"/>
            <w:tcBorders>
              <w:tl2br w:val="nil"/>
              <w:tr2bl w:val="nil"/>
            </w:tcBorders>
            <w:vAlign w:val="center"/>
          </w:tcPr>
          <w:p w14:paraId="5F854687">
            <w:pPr>
              <w:pStyle w:val="41"/>
              <w:rPr>
                <w:color w:val="auto"/>
                <w:highlight w:val="none"/>
              </w:rPr>
            </w:pPr>
            <w:r>
              <w:rPr>
                <w:color w:val="auto"/>
                <w:highlight w:val="none"/>
              </w:rPr>
              <w:t>未检出</w:t>
            </w:r>
          </w:p>
        </w:tc>
        <w:tc>
          <w:tcPr>
            <w:tcW w:w="482" w:type="pct"/>
            <w:tcBorders>
              <w:tl2br w:val="nil"/>
              <w:tr2bl w:val="nil"/>
            </w:tcBorders>
            <w:vAlign w:val="center"/>
          </w:tcPr>
          <w:p w14:paraId="16EFA50D">
            <w:pPr>
              <w:pStyle w:val="41"/>
              <w:rPr>
                <w:color w:val="auto"/>
                <w:highlight w:val="none"/>
              </w:rPr>
            </w:pPr>
            <w:r>
              <w:rPr>
                <w:color w:val="auto"/>
                <w:highlight w:val="none"/>
              </w:rPr>
              <w:t>未检出</w:t>
            </w:r>
          </w:p>
        </w:tc>
        <w:tc>
          <w:tcPr>
            <w:tcW w:w="482" w:type="pct"/>
            <w:tcBorders>
              <w:tl2br w:val="nil"/>
              <w:tr2bl w:val="nil"/>
            </w:tcBorders>
            <w:vAlign w:val="center"/>
          </w:tcPr>
          <w:p w14:paraId="029BAECE">
            <w:pPr>
              <w:pStyle w:val="41"/>
              <w:rPr>
                <w:color w:val="auto"/>
                <w:highlight w:val="none"/>
              </w:rPr>
            </w:pPr>
            <w:r>
              <w:rPr>
                <w:color w:val="auto"/>
                <w:highlight w:val="none"/>
              </w:rPr>
              <w:t>未检出</w:t>
            </w:r>
          </w:p>
        </w:tc>
        <w:tc>
          <w:tcPr>
            <w:tcW w:w="784" w:type="pct"/>
            <w:tcBorders>
              <w:tl2br w:val="nil"/>
              <w:tr2bl w:val="nil"/>
            </w:tcBorders>
            <w:vAlign w:val="center"/>
          </w:tcPr>
          <w:p w14:paraId="298DC877">
            <w:pPr>
              <w:pStyle w:val="41"/>
              <w:rPr>
                <w:color w:val="auto"/>
                <w:highlight w:val="none"/>
              </w:rPr>
            </w:pPr>
            <w:r>
              <w:rPr>
                <w:color w:val="auto"/>
                <w:highlight w:val="none"/>
              </w:rPr>
              <w:t>4</w:t>
            </w:r>
          </w:p>
        </w:tc>
      </w:tr>
      <w:tr w14:paraId="2CC656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0346CE7A">
            <w:pPr>
              <w:pStyle w:val="41"/>
              <w:rPr>
                <w:color w:val="auto"/>
                <w:highlight w:val="none"/>
              </w:rPr>
            </w:pPr>
            <w:r>
              <w:rPr>
                <w:color w:val="auto"/>
                <w:highlight w:val="none"/>
              </w:rPr>
              <w:t>三氯乙烯</w:t>
            </w:r>
          </w:p>
        </w:tc>
        <w:tc>
          <w:tcPr>
            <w:tcW w:w="492" w:type="pct"/>
            <w:tcBorders>
              <w:tl2br w:val="nil"/>
              <w:tr2bl w:val="nil"/>
            </w:tcBorders>
            <w:vAlign w:val="center"/>
          </w:tcPr>
          <w:p w14:paraId="4E6BBDDD">
            <w:pPr>
              <w:pStyle w:val="41"/>
              <w:rPr>
                <w:color w:val="auto"/>
                <w:highlight w:val="none"/>
              </w:rPr>
            </w:pPr>
            <w:r>
              <w:rPr>
                <w:color w:val="auto"/>
                <w:highlight w:val="none"/>
              </w:rPr>
              <w:t>μg/kg</w:t>
            </w:r>
          </w:p>
        </w:tc>
        <w:tc>
          <w:tcPr>
            <w:tcW w:w="482" w:type="pct"/>
            <w:tcBorders>
              <w:tl2br w:val="nil"/>
              <w:tr2bl w:val="nil"/>
            </w:tcBorders>
            <w:vAlign w:val="center"/>
          </w:tcPr>
          <w:p w14:paraId="165FB330">
            <w:pPr>
              <w:pStyle w:val="41"/>
              <w:rPr>
                <w:color w:val="auto"/>
                <w:highlight w:val="none"/>
              </w:rPr>
            </w:pPr>
            <w:r>
              <w:rPr>
                <w:color w:val="auto"/>
                <w:highlight w:val="none"/>
              </w:rPr>
              <w:t>未检出</w:t>
            </w:r>
          </w:p>
        </w:tc>
        <w:tc>
          <w:tcPr>
            <w:tcW w:w="482" w:type="pct"/>
            <w:tcBorders>
              <w:tl2br w:val="nil"/>
              <w:tr2bl w:val="nil"/>
            </w:tcBorders>
            <w:vAlign w:val="center"/>
          </w:tcPr>
          <w:p w14:paraId="7069F221">
            <w:pPr>
              <w:pStyle w:val="41"/>
              <w:rPr>
                <w:color w:val="auto"/>
                <w:highlight w:val="none"/>
              </w:rPr>
            </w:pPr>
            <w:r>
              <w:rPr>
                <w:color w:val="auto"/>
                <w:highlight w:val="none"/>
              </w:rPr>
              <w:t>未检出</w:t>
            </w:r>
          </w:p>
        </w:tc>
        <w:tc>
          <w:tcPr>
            <w:tcW w:w="482" w:type="pct"/>
            <w:tcBorders>
              <w:tl2br w:val="nil"/>
              <w:tr2bl w:val="nil"/>
            </w:tcBorders>
            <w:vAlign w:val="center"/>
          </w:tcPr>
          <w:p w14:paraId="2B7AD6F2">
            <w:pPr>
              <w:pStyle w:val="41"/>
              <w:rPr>
                <w:color w:val="auto"/>
                <w:highlight w:val="none"/>
              </w:rPr>
            </w:pPr>
            <w:r>
              <w:rPr>
                <w:color w:val="auto"/>
                <w:highlight w:val="none"/>
              </w:rPr>
              <w:t>未检出</w:t>
            </w:r>
          </w:p>
        </w:tc>
        <w:tc>
          <w:tcPr>
            <w:tcW w:w="482" w:type="pct"/>
            <w:tcBorders>
              <w:tl2br w:val="nil"/>
              <w:tr2bl w:val="nil"/>
            </w:tcBorders>
            <w:vAlign w:val="center"/>
          </w:tcPr>
          <w:p w14:paraId="2294DE9A">
            <w:pPr>
              <w:pStyle w:val="41"/>
              <w:rPr>
                <w:color w:val="auto"/>
                <w:highlight w:val="none"/>
              </w:rPr>
            </w:pPr>
            <w:r>
              <w:rPr>
                <w:color w:val="auto"/>
                <w:highlight w:val="none"/>
              </w:rPr>
              <w:t>未检出</w:t>
            </w:r>
          </w:p>
        </w:tc>
        <w:tc>
          <w:tcPr>
            <w:tcW w:w="482" w:type="pct"/>
            <w:tcBorders>
              <w:tl2br w:val="nil"/>
              <w:tr2bl w:val="nil"/>
            </w:tcBorders>
            <w:vAlign w:val="center"/>
          </w:tcPr>
          <w:p w14:paraId="442C87DF">
            <w:pPr>
              <w:pStyle w:val="41"/>
              <w:rPr>
                <w:color w:val="auto"/>
                <w:highlight w:val="none"/>
              </w:rPr>
            </w:pPr>
            <w:r>
              <w:rPr>
                <w:color w:val="auto"/>
                <w:highlight w:val="none"/>
              </w:rPr>
              <w:t>未检出</w:t>
            </w:r>
          </w:p>
        </w:tc>
        <w:tc>
          <w:tcPr>
            <w:tcW w:w="482" w:type="pct"/>
            <w:tcBorders>
              <w:tl2br w:val="nil"/>
              <w:tr2bl w:val="nil"/>
            </w:tcBorders>
            <w:vAlign w:val="center"/>
          </w:tcPr>
          <w:p w14:paraId="7B654C40">
            <w:pPr>
              <w:pStyle w:val="41"/>
              <w:rPr>
                <w:color w:val="auto"/>
                <w:highlight w:val="none"/>
              </w:rPr>
            </w:pPr>
            <w:r>
              <w:rPr>
                <w:color w:val="auto"/>
                <w:highlight w:val="none"/>
              </w:rPr>
              <w:t>未检出</w:t>
            </w:r>
          </w:p>
        </w:tc>
        <w:tc>
          <w:tcPr>
            <w:tcW w:w="784" w:type="pct"/>
            <w:tcBorders>
              <w:tl2br w:val="nil"/>
              <w:tr2bl w:val="nil"/>
            </w:tcBorders>
            <w:vAlign w:val="center"/>
          </w:tcPr>
          <w:p w14:paraId="782B3612">
            <w:pPr>
              <w:pStyle w:val="41"/>
              <w:rPr>
                <w:color w:val="auto"/>
                <w:highlight w:val="none"/>
              </w:rPr>
            </w:pPr>
            <w:r>
              <w:rPr>
                <w:color w:val="auto"/>
                <w:highlight w:val="none"/>
              </w:rPr>
              <w:t>2.8</w:t>
            </w:r>
          </w:p>
        </w:tc>
      </w:tr>
      <w:tr w14:paraId="756B41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4FEED0F1">
            <w:pPr>
              <w:pStyle w:val="41"/>
              <w:rPr>
                <w:color w:val="auto"/>
                <w:highlight w:val="none"/>
              </w:rPr>
            </w:pPr>
            <w:r>
              <w:rPr>
                <w:color w:val="auto"/>
                <w:highlight w:val="none"/>
              </w:rPr>
              <w:t>1,2-二氯丙烷</w:t>
            </w:r>
          </w:p>
        </w:tc>
        <w:tc>
          <w:tcPr>
            <w:tcW w:w="492" w:type="pct"/>
            <w:tcBorders>
              <w:tl2br w:val="nil"/>
              <w:tr2bl w:val="nil"/>
            </w:tcBorders>
            <w:vAlign w:val="center"/>
          </w:tcPr>
          <w:p w14:paraId="17D2879E">
            <w:pPr>
              <w:pStyle w:val="41"/>
              <w:rPr>
                <w:color w:val="auto"/>
                <w:highlight w:val="none"/>
              </w:rPr>
            </w:pPr>
            <w:r>
              <w:rPr>
                <w:color w:val="auto"/>
                <w:highlight w:val="none"/>
              </w:rPr>
              <w:t>μg/kg</w:t>
            </w:r>
          </w:p>
        </w:tc>
        <w:tc>
          <w:tcPr>
            <w:tcW w:w="482" w:type="pct"/>
            <w:tcBorders>
              <w:tl2br w:val="nil"/>
              <w:tr2bl w:val="nil"/>
            </w:tcBorders>
            <w:vAlign w:val="center"/>
          </w:tcPr>
          <w:p w14:paraId="02A9789E">
            <w:pPr>
              <w:pStyle w:val="41"/>
              <w:rPr>
                <w:color w:val="auto"/>
                <w:highlight w:val="none"/>
              </w:rPr>
            </w:pPr>
            <w:r>
              <w:rPr>
                <w:color w:val="auto"/>
                <w:highlight w:val="none"/>
              </w:rPr>
              <w:t>未检出</w:t>
            </w:r>
          </w:p>
        </w:tc>
        <w:tc>
          <w:tcPr>
            <w:tcW w:w="482" w:type="pct"/>
            <w:tcBorders>
              <w:tl2br w:val="nil"/>
              <w:tr2bl w:val="nil"/>
            </w:tcBorders>
            <w:vAlign w:val="center"/>
          </w:tcPr>
          <w:p w14:paraId="3A84EC10">
            <w:pPr>
              <w:pStyle w:val="41"/>
              <w:rPr>
                <w:color w:val="auto"/>
                <w:highlight w:val="none"/>
              </w:rPr>
            </w:pPr>
            <w:r>
              <w:rPr>
                <w:color w:val="auto"/>
                <w:highlight w:val="none"/>
              </w:rPr>
              <w:t>未检出</w:t>
            </w:r>
          </w:p>
        </w:tc>
        <w:tc>
          <w:tcPr>
            <w:tcW w:w="482" w:type="pct"/>
            <w:tcBorders>
              <w:tl2br w:val="nil"/>
              <w:tr2bl w:val="nil"/>
            </w:tcBorders>
            <w:vAlign w:val="center"/>
          </w:tcPr>
          <w:p w14:paraId="1860F12B">
            <w:pPr>
              <w:pStyle w:val="41"/>
              <w:rPr>
                <w:color w:val="auto"/>
                <w:highlight w:val="none"/>
              </w:rPr>
            </w:pPr>
            <w:r>
              <w:rPr>
                <w:color w:val="auto"/>
                <w:highlight w:val="none"/>
              </w:rPr>
              <w:t>未检出</w:t>
            </w:r>
          </w:p>
        </w:tc>
        <w:tc>
          <w:tcPr>
            <w:tcW w:w="482" w:type="pct"/>
            <w:tcBorders>
              <w:tl2br w:val="nil"/>
              <w:tr2bl w:val="nil"/>
            </w:tcBorders>
            <w:vAlign w:val="center"/>
          </w:tcPr>
          <w:p w14:paraId="5A10B072">
            <w:pPr>
              <w:pStyle w:val="41"/>
              <w:rPr>
                <w:color w:val="auto"/>
                <w:highlight w:val="none"/>
              </w:rPr>
            </w:pPr>
            <w:r>
              <w:rPr>
                <w:color w:val="auto"/>
                <w:highlight w:val="none"/>
              </w:rPr>
              <w:t>未检出</w:t>
            </w:r>
          </w:p>
        </w:tc>
        <w:tc>
          <w:tcPr>
            <w:tcW w:w="482" w:type="pct"/>
            <w:tcBorders>
              <w:tl2br w:val="nil"/>
              <w:tr2bl w:val="nil"/>
            </w:tcBorders>
            <w:vAlign w:val="center"/>
          </w:tcPr>
          <w:p w14:paraId="4D4DFD99">
            <w:pPr>
              <w:pStyle w:val="41"/>
              <w:rPr>
                <w:color w:val="auto"/>
                <w:highlight w:val="none"/>
              </w:rPr>
            </w:pPr>
            <w:r>
              <w:rPr>
                <w:color w:val="auto"/>
                <w:highlight w:val="none"/>
              </w:rPr>
              <w:t>未检出</w:t>
            </w:r>
          </w:p>
        </w:tc>
        <w:tc>
          <w:tcPr>
            <w:tcW w:w="482" w:type="pct"/>
            <w:tcBorders>
              <w:tl2br w:val="nil"/>
              <w:tr2bl w:val="nil"/>
            </w:tcBorders>
            <w:vAlign w:val="center"/>
          </w:tcPr>
          <w:p w14:paraId="4406BDE9">
            <w:pPr>
              <w:pStyle w:val="41"/>
              <w:rPr>
                <w:color w:val="auto"/>
                <w:highlight w:val="none"/>
              </w:rPr>
            </w:pPr>
            <w:r>
              <w:rPr>
                <w:color w:val="auto"/>
                <w:highlight w:val="none"/>
              </w:rPr>
              <w:t>未检出</w:t>
            </w:r>
          </w:p>
        </w:tc>
        <w:tc>
          <w:tcPr>
            <w:tcW w:w="784" w:type="pct"/>
            <w:tcBorders>
              <w:tl2br w:val="nil"/>
              <w:tr2bl w:val="nil"/>
            </w:tcBorders>
            <w:vAlign w:val="center"/>
          </w:tcPr>
          <w:p w14:paraId="51B059A0">
            <w:pPr>
              <w:pStyle w:val="41"/>
              <w:rPr>
                <w:color w:val="auto"/>
                <w:highlight w:val="none"/>
              </w:rPr>
            </w:pPr>
            <w:r>
              <w:rPr>
                <w:color w:val="auto"/>
                <w:highlight w:val="none"/>
              </w:rPr>
              <w:t>5</w:t>
            </w:r>
          </w:p>
        </w:tc>
      </w:tr>
      <w:tr w14:paraId="030CFE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2ECF7235">
            <w:pPr>
              <w:pStyle w:val="41"/>
              <w:rPr>
                <w:color w:val="auto"/>
                <w:highlight w:val="none"/>
              </w:rPr>
            </w:pPr>
            <w:r>
              <w:rPr>
                <w:color w:val="auto"/>
                <w:highlight w:val="none"/>
              </w:rPr>
              <w:t>甲苯</w:t>
            </w:r>
          </w:p>
        </w:tc>
        <w:tc>
          <w:tcPr>
            <w:tcW w:w="492" w:type="pct"/>
            <w:tcBorders>
              <w:tl2br w:val="nil"/>
              <w:tr2bl w:val="nil"/>
            </w:tcBorders>
            <w:vAlign w:val="center"/>
          </w:tcPr>
          <w:p w14:paraId="675D3949">
            <w:pPr>
              <w:pStyle w:val="41"/>
              <w:rPr>
                <w:color w:val="auto"/>
                <w:highlight w:val="none"/>
              </w:rPr>
            </w:pPr>
            <w:r>
              <w:rPr>
                <w:color w:val="auto"/>
                <w:highlight w:val="none"/>
              </w:rPr>
              <w:t>μg/kg</w:t>
            </w:r>
          </w:p>
        </w:tc>
        <w:tc>
          <w:tcPr>
            <w:tcW w:w="482" w:type="pct"/>
            <w:tcBorders>
              <w:tl2br w:val="nil"/>
              <w:tr2bl w:val="nil"/>
            </w:tcBorders>
            <w:vAlign w:val="center"/>
          </w:tcPr>
          <w:p w14:paraId="7E6BA425">
            <w:pPr>
              <w:pStyle w:val="41"/>
              <w:rPr>
                <w:color w:val="auto"/>
                <w:highlight w:val="none"/>
              </w:rPr>
            </w:pPr>
            <w:r>
              <w:rPr>
                <w:color w:val="auto"/>
                <w:highlight w:val="none"/>
              </w:rPr>
              <w:t>未检出</w:t>
            </w:r>
          </w:p>
        </w:tc>
        <w:tc>
          <w:tcPr>
            <w:tcW w:w="482" w:type="pct"/>
            <w:tcBorders>
              <w:tl2br w:val="nil"/>
              <w:tr2bl w:val="nil"/>
            </w:tcBorders>
            <w:vAlign w:val="center"/>
          </w:tcPr>
          <w:p w14:paraId="02851E99">
            <w:pPr>
              <w:pStyle w:val="41"/>
              <w:rPr>
                <w:color w:val="auto"/>
                <w:highlight w:val="none"/>
              </w:rPr>
            </w:pPr>
            <w:r>
              <w:rPr>
                <w:color w:val="auto"/>
                <w:highlight w:val="none"/>
              </w:rPr>
              <w:t>未检出</w:t>
            </w:r>
          </w:p>
        </w:tc>
        <w:tc>
          <w:tcPr>
            <w:tcW w:w="482" w:type="pct"/>
            <w:tcBorders>
              <w:tl2br w:val="nil"/>
              <w:tr2bl w:val="nil"/>
            </w:tcBorders>
            <w:vAlign w:val="center"/>
          </w:tcPr>
          <w:p w14:paraId="47F39080">
            <w:pPr>
              <w:pStyle w:val="41"/>
              <w:rPr>
                <w:color w:val="auto"/>
                <w:highlight w:val="none"/>
              </w:rPr>
            </w:pPr>
            <w:r>
              <w:rPr>
                <w:color w:val="auto"/>
                <w:highlight w:val="none"/>
              </w:rPr>
              <w:t>未检出</w:t>
            </w:r>
          </w:p>
        </w:tc>
        <w:tc>
          <w:tcPr>
            <w:tcW w:w="482" w:type="pct"/>
            <w:tcBorders>
              <w:tl2br w:val="nil"/>
              <w:tr2bl w:val="nil"/>
            </w:tcBorders>
            <w:vAlign w:val="center"/>
          </w:tcPr>
          <w:p w14:paraId="65FB4BD4">
            <w:pPr>
              <w:pStyle w:val="41"/>
              <w:rPr>
                <w:color w:val="auto"/>
                <w:highlight w:val="none"/>
              </w:rPr>
            </w:pPr>
            <w:r>
              <w:rPr>
                <w:color w:val="auto"/>
                <w:highlight w:val="none"/>
              </w:rPr>
              <w:t>未检出</w:t>
            </w:r>
          </w:p>
        </w:tc>
        <w:tc>
          <w:tcPr>
            <w:tcW w:w="482" w:type="pct"/>
            <w:tcBorders>
              <w:tl2br w:val="nil"/>
              <w:tr2bl w:val="nil"/>
            </w:tcBorders>
            <w:vAlign w:val="center"/>
          </w:tcPr>
          <w:p w14:paraId="7498DFE0">
            <w:pPr>
              <w:pStyle w:val="41"/>
              <w:rPr>
                <w:color w:val="auto"/>
                <w:highlight w:val="none"/>
              </w:rPr>
            </w:pPr>
            <w:r>
              <w:rPr>
                <w:color w:val="auto"/>
                <w:highlight w:val="none"/>
              </w:rPr>
              <w:t>未检出</w:t>
            </w:r>
          </w:p>
        </w:tc>
        <w:tc>
          <w:tcPr>
            <w:tcW w:w="482" w:type="pct"/>
            <w:tcBorders>
              <w:tl2br w:val="nil"/>
              <w:tr2bl w:val="nil"/>
            </w:tcBorders>
            <w:vAlign w:val="center"/>
          </w:tcPr>
          <w:p w14:paraId="27D188BE">
            <w:pPr>
              <w:pStyle w:val="41"/>
              <w:rPr>
                <w:color w:val="auto"/>
                <w:highlight w:val="none"/>
              </w:rPr>
            </w:pPr>
            <w:r>
              <w:rPr>
                <w:color w:val="auto"/>
                <w:highlight w:val="none"/>
              </w:rPr>
              <w:t>未检出</w:t>
            </w:r>
          </w:p>
        </w:tc>
        <w:tc>
          <w:tcPr>
            <w:tcW w:w="784" w:type="pct"/>
            <w:tcBorders>
              <w:tl2br w:val="nil"/>
              <w:tr2bl w:val="nil"/>
            </w:tcBorders>
            <w:vAlign w:val="center"/>
          </w:tcPr>
          <w:p w14:paraId="2C7797F3">
            <w:pPr>
              <w:pStyle w:val="41"/>
              <w:rPr>
                <w:color w:val="auto"/>
                <w:highlight w:val="none"/>
              </w:rPr>
            </w:pPr>
            <w:r>
              <w:rPr>
                <w:color w:val="auto"/>
                <w:highlight w:val="none"/>
              </w:rPr>
              <w:t>1200</w:t>
            </w:r>
          </w:p>
        </w:tc>
      </w:tr>
      <w:tr w14:paraId="481D45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2481AC59">
            <w:pPr>
              <w:pStyle w:val="41"/>
              <w:rPr>
                <w:color w:val="auto"/>
                <w:highlight w:val="none"/>
              </w:rPr>
            </w:pPr>
            <w:r>
              <w:rPr>
                <w:color w:val="auto"/>
                <w:highlight w:val="none"/>
              </w:rPr>
              <w:t>1,1,2-三氯乙烷</w:t>
            </w:r>
          </w:p>
        </w:tc>
        <w:tc>
          <w:tcPr>
            <w:tcW w:w="492" w:type="pct"/>
            <w:tcBorders>
              <w:tl2br w:val="nil"/>
              <w:tr2bl w:val="nil"/>
            </w:tcBorders>
            <w:vAlign w:val="center"/>
          </w:tcPr>
          <w:p w14:paraId="1DBD8B6F">
            <w:pPr>
              <w:pStyle w:val="41"/>
              <w:rPr>
                <w:color w:val="auto"/>
                <w:highlight w:val="none"/>
              </w:rPr>
            </w:pPr>
            <w:r>
              <w:rPr>
                <w:color w:val="auto"/>
                <w:highlight w:val="none"/>
              </w:rPr>
              <w:t>μg/kg</w:t>
            </w:r>
          </w:p>
        </w:tc>
        <w:tc>
          <w:tcPr>
            <w:tcW w:w="482" w:type="pct"/>
            <w:tcBorders>
              <w:tl2br w:val="nil"/>
              <w:tr2bl w:val="nil"/>
            </w:tcBorders>
            <w:vAlign w:val="center"/>
          </w:tcPr>
          <w:p w14:paraId="0B9AD52E">
            <w:pPr>
              <w:pStyle w:val="41"/>
              <w:rPr>
                <w:color w:val="auto"/>
                <w:highlight w:val="none"/>
              </w:rPr>
            </w:pPr>
            <w:r>
              <w:rPr>
                <w:color w:val="auto"/>
                <w:highlight w:val="none"/>
              </w:rPr>
              <w:t>未检出</w:t>
            </w:r>
          </w:p>
        </w:tc>
        <w:tc>
          <w:tcPr>
            <w:tcW w:w="482" w:type="pct"/>
            <w:tcBorders>
              <w:tl2br w:val="nil"/>
              <w:tr2bl w:val="nil"/>
            </w:tcBorders>
            <w:vAlign w:val="center"/>
          </w:tcPr>
          <w:p w14:paraId="4DF0ED7F">
            <w:pPr>
              <w:pStyle w:val="41"/>
              <w:rPr>
                <w:color w:val="auto"/>
                <w:highlight w:val="none"/>
              </w:rPr>
            </w:pPr>
            <w:r>
              <w:rPr>
                <w:color w:val="auto"/>
                <w:highlight w:val="none"/>
              </w:rPr>
              <w:t>未检出</w:t>
            </w:r>
          </w:p>
        </w:tc>
        <w:tc>
          <w:tcPr>
            <w:tcW w:w="482" w:type="pct"/>
            <w:tcBorders>
              <w:tl2br w:val="nil"/>
              <w:tr2bl w:val="nil"/>
            </w:tcBorders>
            <w:vAlign w:val="center"/>
          </w:tcPr>
          <w:p w14:paraId="2ED40C49">
            <w:pPr>
              <w:pStyle w:val="41"/>
              <w:rPr>
                <w:color w:val="auto"/>
                <w:highlight w:val="none"/>
              </w:rPr>
            </w:pPr>
            <w:r>
              <w:rPr>
                <w:color w:val="auto"/>
                <w:highlight w:val="none"/>
              </w:rPr>
              <w:t>未检出</w:t>
            </w:r>
          </w:p>
        </w:tc>
        <w:tc>
          <w:tcPr>
            <w:tcW w:w="482" w:type="pct"/>
            <w:tcBorders>
              <w:tl2br w:val="nil"/>
              <w:tr2bl w:val="nil"/>
            </w:tcBorders>
            <w:vAlign w:val="center"/>
          </w:tcPr>
          <w:p w14:paraId="17E81C9F">
            <w:pPr>
              <w:pStyle w:val="41"/>
              <w:rPr>
                <w:color w:val="auto"/>
                <w:highlight w:val="none"/>
              </w:rPr>
            </w:pPr>
            <w:r>
              <w:rPr>
                <w:color w:val="auto"/>
                <w:highlight w:val="none"/>
              </w:rPr>
              <w:t>未检出</w:t>
            </w:r>
          </w:p>
        </w:tc>
        <w:tc>
          <w:tcPr>
            <w:tcW w:w="482" w:type="pct"/>
            <w:tcBorders>
              <w:tl2br w:val="nil"/>
              <w:tr2bl w:val="nil"/>
            </w:tcBorders>
            <w:vAlign w:val="center"/>
          </w:tcPr>
          <w:p w14:paraId="3E9EB9E8">
            <w:pPr>
              <w:pStyle w:val="41"/>
              <w:rPr>
                <w:color w:val="auto"/>
                <w:highlight w:val="none"/>
              </w:rPr>
            </w:pPr>
            <w:r>
              <w:rPr>
                <w:color w:val="auto"/>
                <w:highlight w:val="none"/>
              </w:rPr>
              <w:t>未检出</w:t>
            </w:r>
          </w:p>
        </w:tc>
        <w:tc>
          <w:tcPr>
            <w:tcW w:w="482" w:type="pct"/>
            <w:tcBorders>
              <w:tl2br w:val="nil"/>
              <w:tr2bl w:val="nil"/>
            </w:tcBorders>
            <w:vAlign w:val="center"/>
          </w:tcPr>
          <w:p w14:paraId="6A4ED152">
            <w:pPr>
              <w:pStyle w:val="41"/>
              <w:rPr>
                <w:color w:val="auto"/>
                <w:highlight w:val="none"/>
              </w:rPr>
            </w:pPr>
            <w:r>
              <w:rPr>
                <w:color w:val="auto"/>
                <w:highlight w:val="none"/>
              </w:rPr>
              <w:t>未检出</w:t>
            </w:r>
          </w:p>
        </w:tc>
        <w:tc>
          <w:tcPr>
            <w:tcW w:w="784" w:type="pct"/>
            <w:tcBorders>
              <w:tl2br w:val="nil"/>
              <w:tr2bl w:val="nil"/>
            </w:tcBorders>
            <w:vAlign w:val="center"/>
          </w:tcPr>
          <w:p w14:paraId="6CC12109">
            <w:pPr>
              <w:pStyle w:val="41"/>
              <w:rPr>
                <w:color w:val="auto"/>
                <w:highlight w:val="none"/>
              </w:rPr>
            </w:pPr>
            <w:r>
              <w:rPr>
                <w:color w:val="auto"/>
                <w:highlight w:val="none"/>
              </w:rPr>
              <w:t>2.8</w:t>
            </w:r>
          </w:p>
        </w:tc>
      </w:tr>
      <w:tr w14:paraId="4C8E11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260D0E6B">
            <w:pPr>
              <w:pStyle w:val="41"/>
              <w:rPr>
                <w:color w:val="auto"/>
                <w:highlight w:val="none"/>
              </w:rPr>
            </w:pPr>
            <w:r>
              <w:rPr>
                <w:color w:val="auto"/>
                <w:highlight w:val="none"/>
              </w:rPr>
              <w:t>四氯乙烯</w:t>
            </w:r>
          </w:p>
        </w:tc>
        <w:tc>
          <w:tcPr>
            <w:tcW w:w="492" w:type="pct"/>
            <w:tcBorders>
              <w:tl2br w:val="nil"/>
              <w:tr2bl w:val="nil"/>
            </w:tcBorders>
            <w:vAlign w:val="center"/>
          </w:tcPr>
          <w:p w14:paraId="5DEED305">
            <w:pPr>
              <w:pStyle w:val="41"/>
              <w:rPr>
                <w:color w:val="auto"/>
                <w:highlight w:val="none"/>
              </w:rPr>
            </w:pPr>
            <w:r>
              <w:rPr>
                <w:color w:val="auto"/>
                <w:highlight w:val="none"/>
              </w:rPr>
              <w:t>μg/kg</w:t>
            </w:r>
          </w:p>
        </w:tc>
        <w:tc>
          <w:tcPr>
            <w:tcW w:w="482" w:type="pct"/>
            <w:tcBorders>
              <w:tl2br w:val="nil"/>
              <w:tr2bl w:val="nil"/>
            </w:tcBorders>
            <w:vAlign w:val="center"/>
          </w:tcPr>
          <w:p w14:paraId="2E2250D7">
            <w:pPr>
              <w:pStyle w:val="41"/>
              <w:rPr>
                <w:color w:val="auto"/>
                <w:highlight w:val="none"/>
              </w:rPr>
            </w:pPr>
            <w:r>
              <w:rPr>
                <w:color w:val="auto"/>
                <w:highlight w:val="none"/>
              </w:rPr>
              <w:t>未检出</w:t>
            </w:r>
          </w:p>
        </w:tc>
        <w:tc>
          <w:tcPr>
            <w:tcW w:w="482" w:type="pct"/>
            <w:tcBorders>
              <w:tl2br w:val="nil"/>
              <w:tr2bl w:val="nil"/>
            </w:tcBorders>
            <w:vAlign w:val="center"/>
          </w:tcPr>
          <w:p w14:paraId="758422C4">
            <w:pPr>
              <w:pStyle w:val="41"/>
              <w:rPr>
                <w:color w:val="auto"/>
                <w:highlight w:val="none"/>
              </w:rPr>
            </w:pPr>
            <w:r>
              <w:rPr>
                <w:color w:val="auto"/>
                <w:highlight w:val="none"/>
              </w:rPr>
              <w:t>未检出</w:t>
            </w:r>
          </w:p>
        </w:tc>
        <w:tc>
          <w:tcPr>
            <w:tcW w:w="482" w:type="pct"/>
            <w:tcBorders>
              <w:tl2br w:val="nil"/>
              <w:tr2bl w:val="nil"/>
            </w:tcBorders>
            <w:vAlign w:val="center"/>
          </w:tcPr>
          <w:p w14:paraId="6936B129">
            <w:pPr>
              <w:pStyle w:val="41"/>
              <w:rPr>
                <w:color w:val="auto"/>
                <w:highlight w:val="none"/>
              </w:rPr>
            </w:pPr>
            <w:r>
              <w:rPr>
                <w:color w:val="auto"/>
                <w:highlight w:val="none"/>
              </w:rPr>
              <w:t>未检出</w:t>
            </w:r>
          </w:p>
        </w:tc>
        <w:tc>
          <w:tcPr>
            <w:tcW w:w="482" w:type="pct"/>
            <w:tcBorders>
              <w:tl2br w:val="nil"/>
              <w:tr2bl w:val="nil"/>
            </w:tcBorders>
            <w:vAlign w:val="center"/>
          </w:tcPr>
          <w:p w14:paraId="72376AC0">
            <w:pPr>
              <w:pStyle w:val="41"/>
              <w:rPr>
                <w:color w:val="auto"/>
                <w:highlight w:val="none"/>
              </w:rPr>
            </w:pPr>
            <w:r>
              <w:rPr>
                <w:color w:val="auto"/>
                <w:highlight w:val="none"/>
              </w:rPr>
              <w:t>未检出</w:t>
            </w:r>
          </w:p>
        </w:tc>
        <w:tc>
          <w:tcPr>
            <w:tcW w:w="482" w:type="pct"/>
            <w:tcBorders>
              <w:tl2br w:val="nil"/>
              <w:tr2bl w:val="nil"/>
            </w:tcBorders>
            <w:vAlign w:val="center"/>
          </w:tcPr>
          <w:p w14:paraId="5307476D">
            <w:pPr>
              <w:pStyle w:val="41"/>
              <w:rPr>
                <w:color w:val="auto"/>
                <w:highlight w:val="none"/>
              </w:rPr>
            </w:pPr>
            <w:r>
              <w:rPr>
                <w:color w:val="auto"/>
                <w:highlight w:val="none"/>
              </w:rPr>
              <w:t>未检出</w:t>
            </w:r>
          </w:p>
        </w:tc>
        <w:tc>
          <w:tcPr>
            <w:tcW w:w="482" w:type="pct"/>
            <w:tcBorders>
              <w:tl2br w:val="nil"/>
              <w:tr2bl w:val="nil"/>
            </w:tcBorders>
            <w:vAlign w:val="center"/>
          </w:tcPr>
          <w:p w14:paraId="594C0E37">
            <w:pPr>
              <w:pStyle w:val="41"/>
              <w:rPr>
                <w:color w:val="auto"/>
                <w:highlight w:val="none"/>
              </w:rPr>
            </w:pPr>
            <w:r>
              <w:rPr>
                <w:color w:val="auto"/>
                <w:highlight w:val="none"/>
              </w:rPr>
              <w:t>未检出</w:t>
            </w:r>
          </w:p>
        </w:tc>
        <w:tc>
          <w:tcPr>
            <w:tcW w:w="784" w:type="pct"/>
            <w:tcBorders>
              <w:tl2br w:val="nil"/>
              <w:tr2bl w:val="nil"/>
            </w:tcBorders>
            <w:vAlign w:val="center"/>
          </w:tcPr>
          <w:p w14:paraId="55CA4A37">
            <w:pPr>
              <w:pStyle w:val="41"/>
              <w:rPr>
                <w:color w:val="auto"/>
                <w:highlight w:val="none"/>
              </w:rPr>
            </w:pPr>
            <w:r>
              <w:rPr>
                <w:color w:val="auto"/>
                <w:highlight w:val="none"/>
              </w:rPr>
              <w:t>53</w:t>
            </w:r>
          </w:p>
        </w:tc>
      </w:tr>
      <w:tr w14:paraId="52C2A3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01535552">
            <w:pPr>
              <w:pStyle w:val="41"/>
              <w:rPr>
                <w:color w:val="auto"/>
                <w:highlight w:val="none"/>
              </w:rPr>
            </w:pPr>
            <w:r>
              <w:rPr>
                <w:color w:val="auto"/>
                <w:highlight w:val="none"/>
              </w:rPr>
              <w:t>氯苯</w:t>
            </w:r>
          </w:p>
        </w:tc>
        <w:tc>
          <w:tcPr>
            <w:tcW w:w="492" w:type="pct"/>
            <w:tcBorders>
              <w:tl2br w:val="nil"/>
              <w:tr2bl w:val="nil"/>
            </w:tcBorders>
            <w:vAlign w:val="center"/>
          </w:tcPr>
          <w:p w14:paraId="74FCED8C">
            <w:pPr>
              <w:pStyle w:val="41"/>
              <w:rPr>
                <w:color w:val="auto"/>
                <w:highlight w:val="none"/>
              </w:rPr>
            </w:pPr>
            <w:r>
              <w:rPr>
                <w:color w:val="auto"/>
                <w:highlight w:val="none"/>
              </w:rPr>
              <w:t>μg/kg</w:t>
            </w:r>
          </w:p>
        </w:tc>
        <w:tc>
          <w:tcPr>
            <w:tcW w:w="482" w:type="pct"/>
            <w:tcBorders>
              <w:tl2br w:val="nil"/>
              <w:tr2bl w:val="nil"/>
            </w:tcBorders>
            <w:vAlign w:val="center"/>
          </w:tcPr>
          <w:p w14:paraId="26320DFF">
            <w:pPr>
              <w:pStyle w:val="41"/>
              <w:rPr>
                <w:color w:val="auto"/>
                <w:highlight w:val="none"/>
              </w:rPr>
            </w:pPr>
            <w:r>
              <w:rPr>
                <w:color w:val="auto"/>
                <w:highlight w:val="none"/>
              </w:rPr>
              <w:t>未检出</w:t>
            </w:r>
          </w:p>
        </w:tc>
        <w:tc>
          <w:tcPr>
            <w:tcW w:w="482" w:type="pct"/>
            <w:tcBorders>
              <w:tl2br w:val="nil"/>
              <w:tr2bl w:val="nil"/>
            </w:tcBorders>
            <w:vAlign w:val="center"/>
          </w:tcPr>
          <w:p w14:paraId="694FB17F">
            <w:pPr>
              <w:pStyle w:val="41"/>
              <w:rPr>
                <w:color w:val="auto"/>
                <w:highlight w:val="none"/>
              </w:rPr>
            </w:pPr>
            <w:r>
              <w:rPr>
                <w:color w:val="auto"/>
                <w:highlight w:val="none"/>
              </w:rPr>
              <w:t>未检出</w:t>
            </w:r>
          </w:p>
        </w:tc>
        <w:tc>
          <w:tcPr>
            <w:tcW w:w="482" w:type="pct"/>
            <w:tcBorders>
              <w:tl2br w:val="nil"/>
              <w:tr2bl w:val="nil"/>
            </w:tcBorders>
            <w:vAlign w:val="center"/>
          </w:tcPr>
          <w:p w14:paraId="31594861">
            <w:pPr>
              <w:pStyle w:val="41"/>
              <w:rPr>
                <w:color w:val="auto"/>
                <w:highlight w:val="none"/>
              </w:rPr>
            </w:pPr>
            <w:r>
              <w:rPr>
                <w:color w:val="auto"/>
                <w:highlight w:val="none"/>
              </w:rPr>
              <w:t>未检出</w:t>
            </w:r>
          </w:p>
        </w:tc>
        <w:tc>
          <w:tcPr>
            <w:tcW w:w="482" w:type="pct"/>
            <w:tcBorders>
              <w:tl2br w:val="nil"/>
              <w:tr2bl w:val="nil"/>
            </w:tcBorders>
            <w:vAlign w:val="center"/>
          </w:tcPr>
          <w:p w14:paraId="493A72A7">
            <w:pPr>
              <w:pStyle w:val="41"/>
              <w:rPr>
                <w:color w:val="auto"/>
                <w:highlight w:val="none"/>
              </w:rPr>
            </w:pPr>
            <w:r>
              <w:rPr>
                <w:color w:val="auto"/>
                <w:highlight w:val="none"/>
              </w:rPr>
              <w:t>未检出</w:t>
            </w:r>
          </w:p>
        </w:tc>
        <w:tc>
          <w:tcPr>
            <w:tcW w:w="482" w:type="pct"/>
            <w:tcBorders>
              <w:tl2br w:val="nil"/>
              <w:tr2bl w:val="nil"/>
            </w:tcBorders>
            <w:vAlign w:val="center"/>
          </w:tcPr>
          <w:p w14:paraId="624D3A19">
            <w:pPr>
              <w:pStyle w:val="41"/>
              <w:rPr>
                <w:color w:val="auto"/>
                <w:highlight w:val="none"/>
              </w:rPr>
            </w:pPr>
            <w:r>
              <w:rPr>
                <w:color w:val="auto"/>
                <w:highlight w:val="none"/>
              </w:rPr>
              <w:t>未检出</w:t>
            </w:r>
          </w:p>
        </w:tc>
        <w:tc>
          <w:tcPr>
            <w:tcW w:w="482" w:type="pct"/>
            <w:tcBorders>
              <w:tl2br w:val="nil"/>
              <w:tr2bl w:val="nil"/>
            </w:tcBorders>
            <w:vAlign w:val="center"/>
          </w:tcPr>
          <w:p w14:paraId="47BAAB38">
            <w:pPr>
              <w:pStyle w:val="41"/>
              <w:rPr>
                <w:color w:val="auto"/>
                <w:highlight w:val="none"/>
              </w:rPr>
            </w:pPr>
            <w:r>
              <w:rPr>
                <w:color w:val="auto"/>
                <w:highlight w:val="none"/>
              </w:rPr>
              <w:t>未检出</w:t>
            </w:r>
          </w:p>
        </w:tc>
        <w:tc>
          <w:tcPr>
            <w:tcW w:w="784" w:type="pct"/>
            <w:tcBorders>
              <w:tl2br w:val="nil"/>
              <w:tr2bl w:val="nil"/>
            </w:tcBorders>
            <w:vAlign w:val="center"/>
          </w:tcPr>
          <w:p w14:paraId="5F4770E3">
            <w:pPr>
              <w:pStyle w:val="41"/>
              <w:rPr>
                <w:color w:val="auto"/>
                <w:highlight w:val="none"/>
              </w:rPr>
            </w:pPr>
            <w:r>
              <w:rPr>
                <w:color w:val="auto"/>
                <w:highlight w:val="none"/>
              </w:rPr>
              <w:t>270</w:t>
            </w:r>
          </w:p>
        </w:tc>
      </w:tr>
      <w:tr w14:paraId="63BDF6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10103306">
            <w:pPr>
              <w:pStyle w:val="41"/>
              <w:rPr>
                <w:color w:val="auto"/>
                <w:highlight w:val="none"/>
              </w:rPr>
            </w:pPr>
            <w:r>
              <w:rPr>
                <w:color w:val="auto"/>
                <w:highlight w:val="none"/>
              </w:rPr>
              <w:t>1,1,1,2-四氯乙烷</w:t>
            </w:r>
          </w:p>
        </w:tc>
        <w:tc>
          <w:tcPr>
            <w:tcW w:w="492" w:type="pct"/>
            <w:tcBorders>
              <w:tl2br w:val="nil"/>
              <w:tr2bl w:val="nil"/>
            </w:tcBorders>
            <w:vAlign w:val="center"/>
          </w:tcPr>
          <w:p w14:paraId="58822AD8">
            <w:pPr>
              <w:pStyle w:val="41"/>
              <w:rPr>
                <w:color w:val="auto"/>
                <w:highlight w:val="none"/>
              </w:rPr>
            </w:pPr>
            <w:r>
              <w:rPr>
                <w:color w:val="auto"/>
                <w:highlight w:val="none"/>
              </w:rPr>
              <w:t>μg/kg</w:t>
            </w:r>
          </w:p>
        </w:tc>
        <w:tc>
          <w:tcPr>
            <w:tcW w:w="482" w:type="pct"/>
            <w:tcBorders>
              <w:tl2br w:val="nil"/>
              <w:tr2bl w:val="nil"/>
            </w:tcBorders>
            <w:vAlign w:val="center"/>
          </w:tcPr>
          <w:p w14:paraId="14B28D1E">
            <w:pPr>
              <w:pStyle w:val="41"/>
              <w:rPr>
                <w:color w:val="auto"/>
                <w:highlight w:val="none"/>
              </w:rPr>
            </w:pPr>
            <w:r>
              <w:rPr>
                <w:color w:val="auto"/>
                <w:highlight w:val="none"/>
              </w:rPr>
              <w:t>未检出</w:t>
            </w:r>
          </w:p>
        </w:tc>
        <w:tc>
          <w:tcPr>
            <w:tcW w:w="482" w:type="pct"/>
            <w:tcBorders>
              <w:tl2br w:val="nil"/>
              <w:tr2bl w:val="nil"/>
            </w:tcBorders>
            <w:vAlign w:val="center"/>
          </w:tcPr>
          <w:p w14:paraId="20DC79EA">
            <w:pPr>
              <w:pStyle w:val="41"/>
              <w:rPr>
                <w:color w:val="auto"/>
                <w:highlight w:val="none"/>
              </w:rPr>
            </w:pPr>
            <w:r>
              <w:rPr>
                <w:color w:val="auto"/>
                <w:highlight w:val="none"/>
              </w:rPr>
              <w:t>未检出</w:t>
            </w:r>
          </w:p>
        </w:tc>
        <w:tc>
          <w:tcPr>
            <w:tcW w:w="482" w:type="pct"/>
            <w:tcBorders>
              <w:tl2br w:val="nil"/>
              <w:tr2bl w:val="nil"/>
            </w:tcBorders>
            <w:vAlign w:val="center"/>
          </w:tcPr>
          <w:p w14:paraId="453DBA75">
            <w:pPr>
              <w:pStyle w:val="41"/>
              <w:rPr>
                <w:color w:val="auto"/>
                <w:highlight w:val="none"/>
              </w:rPr>
            </w:pPr>
            <w:r>
              <w:rPr>
                <w:color w:val="auto"/>
                <w:highlight w:val="none"/>
              </w:rPr>
              <w:t>未检出</w:t>
            </w:r>
          </w:p>
        </w:tc>
        <w:tc>
          <w:tcPr>
            <w:tcW w:w="482" w:type="pct"/>
            <w:tcBorders>
              <w:tl2br w:val="nil"/>
              <w:tr2bl w:val="nil"/>
            </w:tcBorders>
            <w:vAlign w:val="center"/>
          </w:tcPr>
          <w:p w14:paraId="6C26FA09">
            <w:pPr>
              <w:pStyle w:val="41"/>
              <w:rPr>
                <w:color w:val="auto"/>
                <w:highlight w:val="none"/>
              </w:rPr>
            </w:pPr>
            <w:r>
              <w:rPr>
                <w:color w:val="auto"/>
                <w:highlight w:val="none"/>
              </w:rPr>
              <w:t>未检出</w:t>
            </w:r>
          </w:p>
        </w:tc>
        <w:tc>
          <w:tcPr>
            <w:tcW w:w="482" w:type="pct"/>
            <w:tcBorders>
              <w:tl2br w:val="nil"/>
              <w:tr2bl w:val="nil"/>
            </w:tcBorders>
            <w:vAlign w:val="center"/>
          </w:tcPr>
          <w:p w14:paraId="2E531BD0">
            <w:pPr>
              <w:pStyle w:val="41"/>
              <w:rPr>
                <w:color w:val="auto"/>
                <w:highlight w:val="none"/>
              </w:rPr>
            </w:pPr>
            <w:r>
              <w:rPr>
                <w:color w:val="auto"/>
                <w:highlight w:val="none"/>
              </w:rPr>
              <w:t>未检出</w:t>
            </w:r>
          </w:p>
        </w:tc>
        <w:tc>
          <w:tcPr>
            <w:tcW w:w="482" w:type="pct"/>
            <w:tcBorders>
              <w:tl2br w:val="nil"/>
              <w:tr2bl w:val="nil"/>
            </w:tcBorders>
            <w:vAlign w:val="center"/>
          </w:tcPr>
          <w:p w14:paraId="455ECDCF">
            <w:pPr>
              <w:pStyle w:val="41"/>
              <w:rPr>
                <w:color w:val="auto"/>
                <w:highlight w:val="none"/>
              </w:rPr>
            </w:pPr>
            <w:r>
              <w:rPr>
                <w:color w:val="auto"/>
                <w:highlight w:val="none"/>
              </w:rPr>
              <w:t>未检出</w:t>
            </w:r>
          </w:p>
        </w:tc>
        <w:tc>
          <w:tcPr>
            <w:tcW w:w="784" w:type="pct"/>
            <w:tcBorders>
              <w:tl2br w:val="nil"/>
              <w:tr2bl w:val="nil"/>
            </w:tcBorders>
            <w:vAlign w:val="center"/>
          </w:tcPr>
          <w:p w14:paraId="610A5078">
            <w:pPr>
              <w:pStyle w:val="41"/>
              <w:rPr>
                <w:color w:val="auto"/>
                <w:highlight w:val="none"/>
              </w:rPr>
            </w:pPr>
            <w:r>
              <w:rPr>
                <w:color w:val="auto"/>
                <w:highlight w:val="none"/>
              </w:rPr>
              <w:t>10</w:t>
            </w:r>
          </w:p>
        </w:tc>
      </w:tr>
      <w:tr w14:paraId="37FDCE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09A147C6">
            <w:pPr>
              <w:pStyle w:val="41"/>
              <w:rPr>
                <w:color w:val="auto"/>
                <w:highlight w:val="none"/>
              </w:rPr>
            </w:pPr>
            <w:r>
              <w:rPr>
                <w:color w:val="auto"/>
                <w:highlight w:val="none"/>
              </w:rPr>
              <w:t>乙苯</w:t>
            </w:r>
          </w:p>
        </w:tc>
        <w:tc>
          <w:tcPr>
            <w:tcW w:w="492" w:type="pct"/>
            <w:tcBorders>
              <w:tl2br w:val="nil"/>
              <w:tr2bl w:val="nil"/>
            </w:tcBorders>
            <w:vAlign w:val="center"/>
          </w:tcPr>
          <w:p w14:paraId="0B4B1F52">
            <w:pPr>
              <w:pStyle w:val="41"/>
              <w:rPr>
                <w:color w:val="auto"/>
                <w:highlight w:val="none"/>
              </w:rPr>
            </w:pPr>
            <w:r>
              <w:rPr>
                <w:color w:val="auto"/>
                <w:highlight w:val="none"/>
              </w:rPr>
              <w:t>μg/kg</w:t>
            </w:r>
          </w:p>
        </w:tc>
        <w:tc>
          <w:tcPr>
            <w:tcW w:w="482" w:type="pct"/>
            <w:tcBorders>
              <w:tl2br w:val="nil"/>
              <w:tr2bl w:val="nil"/>
            </w:tcBorders>
            <w:vAlign w:val="center"/>
          </w:tcPr>
          <w:p w14:paraId="5BFD3C98">
            <w:pPr>
              <w:pStyle w:val="41"/>
              <w:rPr>
                <w:color w:val="auto"/>
                <w:highlight w:val="none"/>
              </w:rPr>
            </w:pPr>
            <w:r>
              <w:rPr>
                <w:color w:val="auto"/>
                <w:highlight w:val="none"/>
              </w:rPr>
              <w:t>未检出</w:t>
            </w:r>
          </w:p>
        </w:tc>
        <w:tc>
          <w:tcPr>
            <w:tcW w:w="482" w:type="pct"/>
            <w:tcBorders>
              <w:tl2br w:val="nil"/>
              <w:tr2bl w:val="nil"/>
            </w:tcBorders>
            <w:vAlign w:val="center"/>
          </w:tcPr>
          <w:p w14:paraId="1D0A68B7">
            <w:pPr>
              <w:pStyle w:val="41"/>
              <w:rPr>
                <w:color w:val="auto"/>
                <w:highlight w:val="none"/>
              </w:rPr>
            </w:pPr>
            <w:r>
              <w:rPr>
                <w:color w:val="auto"/>
                <w:highlight w:val="none"/>
              </w:rPr>
              <w:t>未检出</w:t>
            </w:r>
          </w:p>
        </w:tc>
        <w:tc>
          <w:tcPr>
            <w:tcW w:w="482" w:type="pct"/>
            <w:tcBorders>
              <w:tl2br w:val="nil"/>
              <w:tr2bl w:val="nil"/>
            </w:tcBorders>
            <w:vAlign w:val="center"/>
          </w:tcPr>
          <w:p w14:paraId="335FF1A0">
            <w:pPr>
              <w:pStyle w:val="41"/>
              <w:rPr>
                <w:color w:val="auto"/>
                <w:highlight w:val="none"/>
              </w:rPr>
            </w:pPr>
            <w:r>
              <w:rPr>
                <w:color w:val="auto"/>
                <w:highlight w:val="none"/>
              </w:rPr>
              <w:t>未检出</w:t>
            </w:r>
          </w:p>
        </w:tc>
        <w:tc>
          <w:tcPr>
            <w:tcW w:w="482" w:type="pct"/>
            <w:tcBorders>
              <w:tl2br w:val="nil"/>
              <w:tr2bl w:val="nil"/>
            </w:tcBorders>
            <w:vAlign w:val="center"/>
          </w:tcPr>
          <w:p w14:paraId="02C542FF">
            <w:pPr>
              <w:pStyle w:val="41"/>
              <w:rPr>
                <w:color w:val="auto"/>
                <w:highlight w:val="none"/>
              </w:rPr>
            </w:pPr>
            <w:r>
              <w:rPr>
                <w:color w:val="auto"/>
                <w:highlight w:val="none"/>
              </w:rPr>
              <w:t>未检出</w:t>
            </w:r>
          </w:p>
        </w:tc>
        <w:tc>
          <w:tcPr>
            <w:tcW w:w="482" w:type="pct"/>
            <w:tcBorders>
              <w:tl2br w:val="nil"/>
              <w:tr2bl w:val="nil"/>
            </w:tcBorders>
            <w:vAlign w:val="center"/>
          </w:tcPr>
          <w:p w14:paraId="64A7E921">
            <w:pPr>
              <w:pStyle w:val="41"/>
              <w:rPr>
                <w:color w:val="auto"/>
                <w:highlight w:val="none"/>
              </w:rPr>
            </w:pPr>
            <w:r>
              <w:rPr>
                <w:color w:val="auto"/>
                <w:highlight w:val="none"/>
              </w:rPr>
              <w:t>未检出</w:t>
            </w:r>
          </w:p>
        </w:tc>
        <w:tc>
          <w:tcPr>
            <w:tcW w:w="482" w:type="pct"/>
            <w:tcBorders>
              <w:tl2br w:val="nil"/>
              <w:tr2bl w:val="nil"/>
            </w:tcBorders>
            <w:vAlign w:val="center"/>
          </w:tcPr>
          <w:p w14:paraId="18A7958C">
            <w:pPr>
              <w:pStyle w:val="41"/>
              <w:rPr>
                <w:color w:val="auto"/>
                <w:highlight w:val="none"/>
              </w:rPr>
            </w:pPr>
            <w:r>
              <w:rPr>
                <w:color w:val="auto"/>
                <w:highlight w:val="none"/>
              </w:rPr>
              <w:t>未检出</w:t>
            </w:r>
          </w:p>
        </w:tc>
        <w:tc>
          <w:tcPr>
            <w:tcW w:w="784" w:type="pct"/>
            <w:tcBorders>
              <w:tl2br w:val="nil"/>
              <w:tr2bl w:val="nil"/>
            </w:tcBorders>
            <w:vAlign w:val="center"/>
          </w:tcPr>
          <w:p w14:paraId="7020DE51">
            <w:pPr>
              <w:pStyle w:val="41"/>
              <w:rPr>
                <w:color w:val="auto"/>
                <w:highlight w:val="none"/>
              </w:rPr>
            </w:pPr>
            <w:r>
              <w:rPr>
                <w:color w:val="auto"/>
                <w:highlight w:val="none"/>
              </w:rPr>
              <w:t>28</w:t>
            </w:r>
          </w:p>
        </w:tc>
      </w:tr>
      <w:tr w14:paraId="5943ED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1ED68FAF">
            <w:pPr>
              <w:pStyle w:val="41"/>
              <w:rPr>
                <w:color w:val="auto"/>
                <w:highlight w:val="none"/>
              </w:rPr>
            </w:pPr>
            <w:r>
              <w:rPr>
                <w:color w:val="auto"/>
                <w:highlight w:val="none"/>
              </w:rPr>
              <w:t>间,对-二甲苯</w:t>
            </w:r>
          </w:p>
        </w:tc>
        <w:tc>
          <w:tcPr>
            <w:tcW w:w="492" w:type="pct"/>
            <w:tcBorders>
              <w:tl2br w:val="nil"/>
              <w:tr2bl w:val="nil"/>
            </w:tcBorders>
            <w:vAlign w:val="center"/>
          </w:tcPr>
          <w:p w14:paraId="2852E094">
            <w:pPr>
              <w:pStyle w:val="41"/>
              <w:rPr>
                <w:color w:val="auto"/>
                <w:highlight w:val="none"/>
              </w:rPr>
            </w:pPr>
            <w:r>
              <w:rPr>
                <w:color w:val="auto"/>
                <w:highlight w:val="none"/>
              </w:rPr>
              <w:t>μg/kg</w:t>
            </w:r>
          </w:p>
        </w:tc>
        <w:tc>
          <w:tcPr>
            <w:tcW w:w="482" w:type="pct"/>
            <w:tcBorders>
              <w:tl2br w:val="nil"/>
              <w:tr2bl w:val="nil"/>
            </w:tcBorders>
            <w:vAlign w:val="center"/>
          </w:tcPr>
          <w:p w14:paraId="0E7E437E">
            <w:pPr>
              <w:pStyle w:val="41"/>
              <w:rPr>
                <w:color w:val="auto"/>
                <w:highlight w:val="none"/>
              </w:rPr>
            </w:pPr>
            <w:r>
              <w:rPr>
                <w:color w:val="auto"/>
                <w:highlight w:val="none"/>
              </w:rPr>
              <w:t>未检出</w:t>
            </w:r>
          </w:p>
        </w:tc>
        <w:tc>
          <w:tcPr>
            <w:tcW w:w="482" w:type="pct"/>
            <w:tcBorders>
              <w:tl2br w:val="nil"/>
              <w:tr2bl w:val="nil"/>
            </w:tcBorders>
            <w:vAlign w:val="center"/>
          </w:tcPr>
          <w:p w14:paraId="1CEFF551">
            <w:pPr>
              <w:pStyle w:val="41"/>
              <w:rPr>
                <w:color w:val="auto"/>
                <w:highlight w:val="none"/>
              </w:rPr>
            </w:pPr>
            <w:r>
              <w:rPr>
                <w:color w:val="auto"/>
                <w:highlight w:val="none"/>
              </w:rPr>
              <w:t>未检出</w:t>
            </w:r>
          </w:p>
        </w:tc>
        <w:tc>
          <w:tcPr>
            <w:tcW w:w="482" w:type="pct"/>
            <w:tcBorders>
              <w:tl2br w:val="nil"/>
              <w:tr2bl w:val="nil"/>
            </w:tcBorders>
            <w:vAlign w:val="center"/>
          </w:tcPr>
          <w:p w14:paraId="3CA2F546">
            <w:pPr>
              <w:pStyle w:val="41"/>
              <w:rPr>
                <w:color w:val="auto"/>
                <w:highlight w:val="none"/>
              </w:rPr>
            </w:pPr>
            <w:r>
              <w:rPr>
                <w:color w:val="auto"/>
                <w:highlight w:val="none"/>
              </w:rPr>
              <w:t>未检出</w:t>
            </w:r>
          </w:p>
        </w:tc>
        <w:tc>
          <w:tcPr>
            <w:tcW w:w="482" w:type="pct"/>
            <w:tcBorders>
              <w:tl2br w:val="nil"/>
              <w:tr2bl w:val="nil"/>
            </w:tcBorders>
            <w:vAlign w:val="center"/>
          </w:tcPr>
          <w:p w14:paraId="52A857E5">
            <w:pPr>
              <w:pStyle w:val="41"/>
              <w:rPr>
                <w:color w:val="auto"/>
                <w:highlight w:val="none"/>
              </w:rPr>
            </w:pPr>
            <w:r>
              <w:rPr>
                <w:color w:val="auto"/>
                <w:highlight w:val="none"/>
              </w:rPr>
              <w:t>未检出</w:t>
            </w:r>
          </w:p>
        </w:tc>
        <w:tc>
          <w:tcPr>
            <w:tcW w:w="482" w:type="pct"/>
            <w:tcBorders>
              <w:tl2br w:val="nil"/>
              <w:tr2bl w:val="nil"/>
            </w:tcBorders>
            <w:vAlign w:val="center"/>
          </w:tcPr>
          <w:p w14:paraId="1F40C163">
            <w:pPr>
              <w:pStyle w:val="41"/>
              <w:rPr>
                <w:color w:val="auto"/>
                <w:highlight w:val="none"/>
              </w:rPr>
            </w:pPr>
            <w:r>
              <w:rPr>
                <w:color w:val="auto"/>
                <w:highlight w:val="none"/>
              </w:rPr>
              <w:t>未检出</w:t>
            </w:r>
          </w:p>
        </w:tc>
        <w:tc>
          <w:tcPr>
            <w:tcW w:w="482" w:type="pct"/>
            <w:tcBorders>
              <w:tl2br w:val="nil"/>
              <w:tr2bl w:val="nil"/>
            </w:tcBorders>
            <w:vAlign w:val="center"/>
          </w:tcPr>
          <w:p w14:paraId="1247BA99">
            <w:pPr>
              <w:pStyle w:val="41"/>
              <w:rPr>
                <w:color w:val="auto"/>
                <w:highlight w:val="none"/>
              </w:rPr>
            </w:pPr>
            <w:r>
              <w:rPr>
                <w:color w:val="auto"/>
                <w:highlight w:val="none"/>
              </w:rPr>
              <w:t>未检出</w:t>
            </w:r>
          </w:p>
        </w:tc>
        <w:tc>
          <w:tcPr>
            <w:tcW w:w="784" w:type="pct"/>
            <w:tcBorders>
              <w:tl2br w:val="nil"/>
              <w:tr2bl w:val="nil"/>
            </w:tcBorders>
            <w:vAlign w:val="center"/>
          </w:tcPr>
          <w:p w14:paraId="64CE4BEF">
            <w:pPr>
              <w:pStyle w:val="41"/>
              <w:rPr>
                <w:color w:val="auto"/>
                <w:highlight w:val="none"/>
              </w:rPr>
            </w:pPr>
            <w:r>
              <w:rPr>
                <w:color w:val="auto"/>
                <w:highlight w:val="none"/>
              </w:rPr>
              <w:t>570</w:t>
            </w:r>
          </w:p>
        </w:tc>
      </w:tr>
      <w:tr w14:paraId="60BF76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1DEF0A5B">
            <w:pPr>
              <w:pStyle w:val="41"/>
              <w:rPr>
                <w:color w:val="auto"/>
                <w:highlight w:val="none"/>
              </w:rPr>
            </w:pPr>
            <w:r>
              <w:rPr>
                <w:color w:val="auto"/>
                <w:highlight w:val="none"/>
              </w:rPr>
              <w:t>邻-二甲苯</w:t>
            </w:r>
          </w:p>
        </w:tc>
        <w:tc>
          <w:tcPr>
            <w:tcW w:w="492" w:type="pct"/>
            <w:tcBorders>
              <w:tl2br w:val="nil"/>
              <w:tr2bl w:val="nil"/>
            </w:tcBorders>
            <w:vAlign w:val="center"/>
          </w:tcPr>
          <w:p w14:paraId="766CF635">
            <w:pPr>
              <w:pStyle w:val="41"/>
              <w:rPr>
                <w:color w:val="auto"/>
                <w:highlight w:val="none"/>
              </w:rPr>
            </w:pPr>
            <w:r>
              <w:rPr>
                <w:color w:val="auto"/>
                <w:highlight w:val="none"/>
              </w:rPr>
              <w:t>μg/kg</w:t>
            </w:r>
          </w:p>
        </w:tc>
        <w:tc>
          <w:tcPr>
            <w:tcW w:w="482" w:type="pct"/>
            <w:tcBorders>
              <w:tl2br w:val="nil"/>
              <w:tr2bl w:val="nil"/>
            </w:tcBorders>
            <w:vAlign w:val="center"/>
          </w:tcPr>
          <w:p w14:paraId="4D2E5573">
            <w:pPr>
              <w:pStyle w:val="41"/>
              <w:rPr>
                <w:color w:val="auto"/>
                <w:highlight w:val="none"/>
              </w:rPr>
            </w:pPr>
            <w:r>
              <w:rPr>
                <w:color w:val="auto"/>
                <w:highlight w:val="none"/>
              </w:rPr>
              <w:t>未检出</w:t>
            </w:r>
          </w:p>
        </w:tc>
        <w:tc>
          <w:tcPr>
            <w:tcW w:w="482" w:type="pct"/>
            <w:tcBorders>
              <w:tl2br w:val="nil"/>
              <w:tr2bl w:val="nil"/>
            </w:tcBorders>
            <w:vAlign w:val="center"/>
          </w:tcPr>
          <w:p w14:paraId="059102E9">
            <w:pPr>
              <w:pStyle w:val="41"/>
              <w:rPr>
                <w:color w:val="auto"/>
                <w:highlight w:val="none"/>
              </w:rPr>
            </w:pPr>
            <w:r>
              <w:rPr>
                <w:color w:val="auto"/>
                <w:highlight w:val="none"/>
              </w:rPr>
              <w:t>未检出</w:t>
            </w:r>
          </w:p>
        </w:tc>
        <w:tc>
          <w:tcPr>
            <w:tcW w:w="482" w:type="pct"/>
            <w:tcBorders>
              <w:tl2br w:val="nil"/>
              <w:tr2bl w:val="nil"/>
            </w:tcBorders>
            <w:vAlign w:val="center"/>
          </w:tcPr>
          <w:p w14:paraId="272947DD">
            <w:pPr>
              <w:pStyle w:val="41"/>
              <w:rPr>
                <w:color w:val="auto"/>
                <w:highlight w:val="none"/>
              </w:rPr>
            </w:pPr>
            <w:r>
              <w:rPr>
                <w:color w:val="auto"/>
                <w:highlight w:val="none"/>
              </w:rPr>
              <w:t>未检出</w:t>
            </w:r>
          </w:p>
        </w:tc>
        <w:tc>
          <w:tcPr>
            <w:tcW w:w="482" w:type="pct"/>
            <w:tcBorders>
              <w:tl2br w:val="nil"/>
              <w:tr2bl w:val="nil"/>
            </w:tcBorders>
            <w:vAlign w:val="center"/>
          </w:tcPr>
          <w:p w14:paraId="75B6AAFF">
            <w:pPr>
              <w:pStyle w:val="41"/>
              <w:rPr>
                <w:color w:val="auto"/>
                <w:highlight w:val="none"/>
              </w:rPr>
            </w:pPr>
            <w:r>
              <w:rPr>
                <w:color w:val="auto"/>
                <w:highlight w:val="none"/>
              </w:rPr>
              <w:t>未检出</w:t>
            </w:r>
          </w:p>
        </w:tc>
        <w:tc>
          <w:tcPr>
            <w:tcW w:w="482" w:type="pct"/>
            <w:tcBorders>
              <w:tl2br w:val="nil"/>
              <w:tr2bl w:val="nil"/>
            </w:tcBorders>
            <w:vAlign w:val="center"/>
          </w:tcPr>
          <w:p w14:paraId="7BCADDF0">
            <w:pPr>
              <w:pStyle w:val="41"/>
              <w:rPr>
                <w:color w:val="auto"/>
                <w:highlight w:val="none"/>
              </w:rPr>
            </w:pPr>
            <w:r>
              <w:rPr>
                <w:color w:val="auto"/>
                <w:highlight w:val="none"/>
              </w:rPr>
              <w:t>未检出</w:t>
            </w:r>
          </w:p>
        </w:tc>
        <w:tc>
          <w:tcPr>
            <w:tcW w:w="482" w:type="pct"/>
            <w:tcBorders>
              <w:tl2br w:val="nil"/>
              <w:tr2bl w:val="nil"/>
            </w:tcBorders>
            <w:vAlign w:val="center"/>
          </w:tcPr>
          <w:p w14:paraId="30B13035">
            <w:pPr>
              <w:pStyle w:val="41"/>
              <w:rPr>
                <w:color w:val="auto"/>
                <w:highlight w:val="none"/>
              </w:rPr>
            </w:pPr>
            <w:r>
              <w:rPr>
                <w:color w:val="auto"/>
                <w:highlight w:val="none"/>
              </w:rPr>
              <w:t>未检出</w:t>
            </w:r>
          </w:p>
        </w:tc>
        <w:tc>
          <w:tcPr>
            <w:tcW w:w="784" w:type="pct"/>
            <w:tcBorders>
              <w:tl2br w:val="nil"/>
              <w:tr2bl w:val="nil"/>
            </w:tcBorders>
            <w:vAlign w:val="center"/>
          </w:tcPr>
          <w:p w14:paraId="18932A03">
            <w:pPr>
              <w:pStyle w:val="41"/>
              <w:rPr>
                <w:color w:val="auto"/>
                <w:highlight w:val="none"/>
              </w:rPr>
            </w:pPr>
            <w:r>
              <w:rPr>
                <w:color w:val="auto"/>
                <w:highlight w:val="none"/>
              </w:rPr>
              <w:t>640</w:t>
            </w:r>
          </w:p>
        </w:tc>
      </w:tr>
      <w:tr w14:paraId="37CE39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2C405BA6">
            <w:pPr>
              <w:pStyle w:val="41"/>
              <w:rPr>
                <w:color w:val="auto"/>
                <w:highlight w:val="none"/>
              </w:rPr>
            </w:pPr>
            <w:r>
              <w:rPr>
                <w:color w:val="auto"/>
                <w:highlight w:val="none"/>
              </w:rPr>
              <w:t>苯乙烯</w:t>
            </w:r>
          </w:p>
        </w:tc>
        <w:tc>
          <w:tcPr>
            <w:tcW w:w="492" w:type="pct"/>
            <w:tcBorders>
              <w:tl2br w:val="nil"/>
              <w:tr2bl w:val="nil"/>
            </w:tcBorders>
            <w:vAlign w:val="center"/>
          </w:tcPr>
          <w:p w14:paraId="3C08B4D7">
            <w:pPr>
              <w:pStyle w:val="41"/>
              <w:rPr>
                <w:color w:val="auto"/>
                <w:highlight w:val="none"/>
              </w:rPr>
            </w:pPr>
            <w:r>
              <w:rPr>
                <w:color w:val="auto"/>
                <w:highlight w:val="none"/>
              </w:rPr>
              <w:t>μg/kg</w:t>
            </w:r>
          </w:p>
        </w:tc>
        <w:tc>
          <w:tcPr>
            <w:tcW w:w="482" w:type="pct"/>
            <w:tcBorders>
              <w:tl2br w:val="nil"/>
              <w:tr2bl w:val="nil"/>
            </w:tcBorders>
            <w:vAlign w:val="center"/>
          </w:tcPr>
          <w:p w14:paraId="350E6529">
            <w:pPr>
              <w:pStyle w:val="41"/>
              <w:rPr>
                <w:color w:val="auto"/>
                <w:highlight w:val="none"/>
              </w:rPr>
            </w:pPr>
            <w:r>
              <w:rPr>
                <w:color w:val="auto"/>
                <w:highlight w:val="none"/>
              </w:rPr>
              <w:t>未检出</w:t>
            </w:r>
          </w:p>
        </w:tc>
        <w:tc>
          <w:tcPr>
            <w:tcW w:w="482" w:type="pct"/>
            <w:tcBorders>
              <w:tl2br w:val="nil"/>
              <w:tr2bl w:val="nil"/>
            </w:tcBorders>
            <w:vAlign w:val="center"/>
          </w:tcPr>
          <w:p w14:paraId="044BB38F">
            <w:pPr>
              <w:pStyle w:val="41"/>
              <w:rPr>
                <w:color w:val="auto"/>
                <w:highlight w:val="none"/>
              </w:rPr>
            </w:pPr>
            <w:r>
              <w:rPr>
                <w:color w:val="auto"/>
                <w:highlight w:val="none"/>
              </w:rPr>
              <w:t>未检出</w:t>
            </w:r>
          </w:p>
        </w:tc>
        <w:tc>
          <w:tcPr>
            <w:tcW w:w="482" w:type="pct"/>
            <w:tcBorders>
              <w:tl2br w:val="nil"/>
              <w:tr2bl w:val="nil"/>
            </w:tcBorders>
            <w:vAlign w:val="center"/>
          </w:tcPr>
          <w:p w14:paraId="67342A5F">
            <w:pPr>
              <w:pStyle w:val="41"/>
              <w:rPr>
                <w:color w:val="auto"/>
                <w:highlight w:val="none"/>
              </w:rPr>
            </w:pPr>
            <w:r>
              <w:rPr>
                <w:color w:val="auto"/>
                <w:highlight w:val="none"/>
              </w:rPr>
              <w:t>未检出</w:t>
            </w:r>
          </w:p>
        </w:tc>
        <w:tc>
          <w:tcPr>
            <w:tcW w:w="482" w:type="pct"/>
            <w:tcBorders>
              <w:tl2br w:val="nil"/>
              <w:tr2bl w:val="nil"/>
            </w:tcBorders>
            <w:vAlign w:val="center"/>
          </w:tcPr>
          <w:p w14:paraId="574A6BE8">
            <w:pPr>
              <w:pStyle w:val="41"/>
              <w:rPr>
                <w:color w:val="auto"/>
                <w:highlight w:val="none"/>
              </w:rPr>
            </w:pPr>
            <w:r>
              <w:rPr>
                <w:color w:val="auto"/>
                <w:highlight w:val="none"/>
              </w:rPr>
              <w:t>未检出</w:t>
            </w:r>
          </w:p>
        </w:tc>
        <w:tc>
          <w:tcPr>
            <w:tcW w:w="482" w:type="pct"/>
            <w:tcBorders>
              <w:tl2br w:val="nil"/>
              <w:tr2bl w:val="nil"/>
            </w:tcBorders>
            <w:vAlign w:val="center"/>
          </w:tcPr>
          <w:p w14:paraId="5D1A849D">
            <w:pPr>
              <w:pStyle w:val="41"/>
              <w:rPr>
                <w:color w:val="auto"/>
                <w:highlight w:val="none"/>
              </w:rPr>
            </w:pPr>
            <w:r>
              <w:rPr>
                <w:color w:val="auto"/>
                <w:highlight w:val="none"/>
              </w:rPr>
              <w:t>未检出</w:t>
            </w:r>
          </w:p>
        </w:tc>
        <w:tc>
          <w:tcPr>
            <w:tcW w:w="482" w:type="pct"/>
            <w:tcBorders>
              <w:tl2br w:val="nil"/>
              <w:tr2bl w:val="nil"/>
            </w:tcBorders>
            <w:vAlign w:val="center"/>
          </w:tcPr>
          <w:p w14:paraId="5D5E5300">
            <w:pPr>
              <w:pStyle w:val="41"/>
              <w:rPr>
                <w:color w:val="auto"/>
                <w:highlight w:val="none"/>
              </w:rPr>
            </w:pPr>
            <w:r>
              <w:rPr>
                <w:color w:val="auto"/>
                <w:highlight w:val="none"/>
              </w:rPr>
              <w:t>未检出</w:t>
            </w:r>
          </w:p>
        </w:tc>
        <w:tc>
          <w:tcPr>
            <w:tcW w:w="784" w:type="pct"/>
            <w:tcBorders>
              <w:tl2br w:val="nil"/>
              <w:tr2bl w:val="nil"/>
            </w:tcBorders>
            <w:vAlign w:val="center"/>
          </w:tcPr>
          <w:p w14:paraId="06A30A49">
            <w:pPr>
              <w:pStyle w:val="41"/>
              <w:rPr>
                <w:color w:val="auto"/>
                <w:highlight w:val="none"/>
              </w:rPr>
            </w:pPr>
            <w:r>
              <w:rPr>
                <w:color w:val="auto"/>
                <w:highlight w:val="none"/>
              </w:rPr>
              <w:t>1290</w:t>
            </w:r>
          </w:p>
        </w:tc>
      </w:tr>
      <w:tr w14:paraId="6087EC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7D800EE7">
            <w:pPr>
              <w:pStyle w:val="41"/>
              <w:rPr>
                <w:color w:val="auto"/>
                <w:highlight w:val="none"/>
              </w:rPr>
            </w:pPr>
            <w:r>
              <w:rPr>
                <w:color w:val="auto"/>
                <w:highlight w:val="none"/>
              </w:rPr>
              <w:t>1,1,2,2-四氯乙烷</w:t>
            </w:r>
          </w:p>
        </w:tc>
        <w:tc>
          <w:tcPr>
            <w:tcW w:w="492" w:type="pct"/>
            <w:tcBorders>
              <w:tl2br w:val="nil"/>
              <w:tr2bl w:val="nil"/>
            </w:tcBorders>
            <w:vAlign w:val="center"/>
          </w:tcPr>
          <w:p w14:paraId="34C8B159">
            <w:pPr>
              <w:pStyle w:val="41"/>
              <w:rPr>
                <w:color w:val="auto"/>
                <w:highlight w:val="none"/>
              </w:rPr>
            </w:pPr>
            <w:r>
              <w:rPr>
                <w:color w:val="auto"/>
                <w:highlight w:val="none"/>
              </w:rPr>
              <w:t>μg/kg</w:t>
            </w:r>
          </w:p>
        </w:tc>
        <w:tc>
          <w:tcPr>
            <w:tcW w:w="482" w:type="pct"/>
            <w:tcBorders>
              <w:tl2br w:val="nil"/>
              <w:tr2bl w:val="nil"/>
            </w:tcBorders>
            <w:vAlign w:val="center"/>
          </w:tcPr>
          <w:p w14:paraId="12487FDF">
            <w:pPr>
              <w:pStyle w:val="41"/>
              <w:rPr>
                <w:color w:val="auto"/>
                <w:highlight w:val="none"/>
              </w:rPr>
            </w:pPr>
            <w:r>
              <w:rPr>
                <w:color w:val="auto"/>
                <w:highlight w:val="none"/>
              </w:rPr>
              <w:t>未检出</w:t>
            </w:r>
          </w:p>
        </w:tc>
        <w:tc>
          <w:tcPr>
            <w:tcW w:w="482" w:type="pct"/>
            <w:tcBorders>
              <w:tl2br w:val="nil"/>
              <w:tr2bl w:val="nil"/>
            </w:tcBorders>
            <w:vAlign w:val="center"/>
          </w:tcPr>
          <w:p w14:paraId="025E4E01">
            <w:pPr>
              <w:pStyle w:val="41"/>
              <w:rPr>
                <w:color w:val="auto"/>
                <w:highlight w:val="none"/>
              </w:rPr>
            </w:pPr>
            <w:r>
              <w:rPr>
                <w:color w:val="auto"/>
                <w:highlight w:val="none"/>
              </w:rPr>
              <w:t>未检出</w:t>
            </w:r>
          </w:p>
        </w:tc>
        <w:tc>
          <w:tcPr>
            <w:tcW w:w="482" w:type="pct"/>
            <w:tcBorders>
              <w:tl2br w:val="nil"/>
              <w:tr2bl w:val="nil"/>
            </w:tcBorders>
            <w:vAlign w:val="center"/>
          </w:tcPr>
          <w:p w14:paraId="76E3347B">
            <w:pPr>
              <w:pStyle w:val="41"/>
              <w:rPr>
                <w:color w:val="auto"/>
                <w:highlight w:val="none"/>
              </w:rPr>
            </w:pPr>
            <w:r>
              <w:rPr>
                <w:color w:val="auto"/>
                <w:highlight w:val="none"/>
              </w:rPr>
              <w:t>未检出</w:t>
            </w:r>
          </w:p>
        </w:tc>
        <w:tc>
          <w:tcPr>
            <w:tcW w:w="482" w:type="pct"/>
            <w:tcBorders>
              <w:tl2br w:val="nil"/>
              <w:tr2bl w:val="nil"/>
            </w:tcBorders>
            <w:vAlign w:val="center"/>
          </w:tcPr>
          <w:p w14:paraId="056154C4">
            <w:pPr>
              <w:pStyle w:val="41"/>
              <w:rPr>
                <w:color w:val="auto"/>
                <w:highlight w:val="none"/>
              </w:rPr>
            </w:pPr>
            <w:r>
              <w:rPr>
                <w:color w:val="auto"/>
                <w:highlight w:val="none"/>
              </w:rPr>
              <w:t>未检出</w:t>
            </w:r>
          </w:p>
        </w:tc>
        <w:tc>
          <w:tcPr>
            <w:tcW w:w="482" w:type="pct"/>
            <w:tcBorders>
              <w:tl2br w:val="nil"/>
              <w:tr2bl w:val="nil"/>
            </w:tcBorders>
            <w:vAlign w:val="center"/>
          </w:tcPr>
          <w:p w14:paraId="01FD93FC">
            <w:pPr>
              <w:pStyle w:val="41"/>
              <w:rPr>
                <w:color w:val="auto"/>
                <w:highlight w:val="none"/>
              </w:rPr>
            </w:pPr>
            <w:r>
              <w:rPr>
                <w:color w:val="auto"/>
                <w:highlight w:val="none"/>
              </w:rPr>
              <w:t>未检出</w:t>
            </w:r>
          </w:p>
        </w:tc>
        <w:tc>
          <w:tcPr>
            <w:tcW w:w="482" w:type="pct"/>
            <w:tcBorders>
              <w:tl2br w:val="nil"/>
              <w:tr2bl w:val="nil"/>
            </w:tcBorders>
            <w:vAlign w:val="center"/>
          </w:tcPr>
          <w:p w14:paraId="7822E789">
            <w:pPr>
              <w:pStyle w:val="41"/>
              <w:rPr>
                <w:color w:val="auto"/>
                <w:highlight w:val="none"/>
              </w:rPr>
            </w:pPr>
            <w:r>
              <w:rPr>
                <w:color w:val="auto"/>
                <w:highlight w:val="none"/>
              </w:rPr>
              <w:t>未检出</w:t>
            </w:r>
          </w:p>
        </w:tc>
        <w:tc>
          <w:tcPr>
            <w:tcW w:w="784" w:type="pct"/>
            <w:tcBorders>
              <w:tl2br w:val="nil"/>
              <w:tr2bl w:val="nil"/>
            </w:tcBorders>
            <w:vAlign w:val="center"/>
          </w:tcPr>
          <w:p w14:paraId="6E196D6D">
            <w:pPr>
              <w:pStyle w:val="41"/>
              <w:rPr>
                <w:color w:val="auto"/>
                <w:highlight w:val="none"/>
              </w:rPr>
            </w:pPr>
            <w:r>
              <w:rPr>
                <w:color w:val="auto"/>
                <w:highlight w:val="none"/>
              </w:rPr>
              <w:t>6.8</w:t>
            </w:r>
          </w:p>
        </w:tc>
      </w:tr>
      <w:tr w14:paraId="2B06E4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599083D7">
            <w:pPr>
              <w:pStyle w:val="41"/>
              <w:rPr>
                <w:color w:val="auto"/>
                <w:highlight w:val="none"/>
              </w:rPr>
            </w:pPr>
            <w:r>
              <w:rPr>
                <w:color w:val="auto"/>
                <w:highlight w:val="none"/>
              </w:rPr>
              <w:t>1,2,3-三氯丙烷</w:t>
            </w:r>
          </w:p>
        </w:tc>
        <w:tc>
          <w:tcPr>
            <w:tcW w:w="492" w:type="pct"/>
            <w:tcBorders>
              <w:tl2br w:val="nil"/>
              <w:tr2bl w:val="nil"/>
            </w:tcBorders>
            <w:vAlign w:val="center"/>
          </w:tcPr>
          <w:p w14:paraId="181EAFC4">
            <w:pPr>
              <w:pStyle w:val="41"/>
              <w:rPr>
                <w:color w:val="auto"/>
                <w:highlight w:val="none"/>
              </w:rPr>
            </w:pPr>
            <w:r>
              <w:rPr>
                <w:color w:val="auto"/>
                <w:highlight w:val="none"/>
              </w:rPr>
              <w:t>μg/kg</w:t>
            </w:r>
          </w:p>
        </w:tc>
        <w:tc>
          <w:tcPr>
            <w:tcW w:w="482" w:type="pct"/>
            <w:tcBorders>
              <w:tl2br w:val="nil"/>
              <w:tr2bl w:val="nil"/>
            </w:tcBorders>
            <w:vAlign w:val="center"/>
          </w:tcPr>
          <w:p w14:paraId="6C49B1D1">
            <w:pPr>
              <w:pStyle w:val="41"/>
              <w:rPr>
                <w:color w:val="auto"/>
                <w:highlight w:val="none"/>
              </w:rPr>
            </w:pPr>
            <w:r>
              <w:rPr>
                <w:color w:val="auto"/>
                <w:highlight w:val="none"/>
              </w:rPr>
              <w:t>未检出</w:t>
            </w:r>
          </w:p>
        </w:tc>
        <w:tc>
          <w:tcPr>
            <w:tcW w:w="482" w:type="pct"/>
            <w:tcBorders>
              <w:tl2br w:val="nil"/>
              <w:tr2bl w:val="nil"/>
            </w:tcBorders>
            <w:vAlign w:val="center"/>
          </w:tcPr>
          <w:p w14:paraId="623780EE">
            <w:pPr>
              <w:pStyle w:val="41"/>
              <w:rPr>
                <w:color w:val="auto"/>
                <w:highlight w:val="none"/>
              </w:rPr>
            </w:pPr>
            <w:r>
              <w:rPr>
                <w:color w:val="auto"/>
                <w:highlight w:val="none"/>
              </w:rPr>
              <w:t>未检出</w:t>
            </w:r>
          </w:p>
        </w:tc>
        <w:tc>
          <w:tcPr>
            <w:tcW w:w="482" w:type="pct"/>
            <w:tcBorders>
              <w:tl2br w:val="nil"/>
              <w:tr2bl w:val="nil"/>
            </w:tcBorders>
            <w:vAlign w:val="center"/>
          </w:tcPr>
          <w:p w14:paraId="065A1AC8">
            <w:pPr>
              <w:pStyle w:val="41"/>
              <w:rPr>
                <w:color w:val="auto"/>
                <w:highlight w:val="none"/>
              </w:rPr>
            </w:pPr>
            <w:r>
              <w:rPr>
                <w:color w:val="auto"/>
                <w:highlight w:val="none"/>
              </w:rPr>
              <w:t>未检出</w:t>
            </w:r>
          </w:p>
        </w:tc>
        <w:tc>
          <w:tcPr>
            <w:tcW w:w="482" w:type="pct"/>
            <w:tcBorders>
              <w:tl2br w:val="nil"/>
              <w:tr2bl w:val="nil"/>
            </w:tcBorders>
            <w:vAlign w:val="center"/>
          </w:tcPr>
          <w:p w14:paraId="49C228D9">
            <w:pPr>
              <w:pStyle w:val="41"/>
              <w:rPr>
                <w:color w:val="auto"/>
                <w:highlight w:val="none"/>
              </w:rPr>
            </w:pPr>
            <w:r>
              <w:rPr>
                <w:color w:val="auto"/>
                <w:highlight w:val="none"/>
              </w:rPr>
              <w:t>未检出</w:t>
            </w:r>
          </w:p>
        </w:tc>
        <w:tc>
          <w:tcPr>
            <w:tcW w:w="482" w:type="pct"/>
            <w:tcBorders>
              <w:tl2br w:val="nil"/>
              <w:tr2bl w:val="nil"/>
            </w:tcBorders>
            <w:vAlign w:val="center"/>
          </w:tcPr>
          <w:p w14:paraId="38A5DD88">
            <w:pPr>
              <w:pStyle w:val="41"/>
              <w:rPr>
                <w:color w:val="auto"/>
                <w:highlight w:val="none"/>
              </w:rPr>
            </w:pPr>
            <w:r>
              <w:rPr>
                <w:color w:val="auto"/>
                <w:highlight w:val="none"/>
              </w:rPr>
              <w:t>未检出</w:t>
            </w:r>
          </w:p>
        </w:tc>
        <w:tc>
          <w:tcPr>
            <w:tcW w:w="482" w:type="pct"/>
            <w:tcBorders>
              <w:tl2br w:val="nil"/>
              <w:tr2bl w:val="nil"/>
            </w:tcBorders>
            <w:vAlign w:val="center"/>
          </w:tcPr>
          <w:p w14:paraId="4E3075EF">
            <w:pPr>
              <w:pStyle w:val="41"/>
              <w:rPr>
                <w:color w:val="auto"/>
                <w:highlight w:val="none"/>
              </w:rPr>
            </w:pPr>
            <w:r>
              <w:rPr>
                <w:color w:val="auto"/>
                <w:highlight w:val="none"/>
              </w:rPr>
              <w:t>未检出</w:t>
            </w:r>
          </w:p>
        </w:tc>
        <w:tc>
          <w:tcPr>
            <w:tcW w:w="784" w:type="pct"/>
            <w:tcBorders>
              <w:tl2br w:val="nil"/>
              <w:tr2bl w:val="nil"/>
            </w:tcBorders>
            <w:vAlign w:val="center"/>
          </w:tcPr>
          <w:p w14:paraId="34292F43">
            <w:pPr>
              <w:pStyle w:val="41"/>
              <w:rPr>
                <w:color w:val="auto"/>
                <w:highlight w:val="none"/>
              </w:rPr>
            </w:pPr>
            <w:r>
              <w:rPr>
                <w:color w:val="auto"/>
                <w:highlight w:val="none"/>
              </w:rPr>
              <w:t>0.5</w:t>
            </w:r>
          </w:p>
        </w:tc>
      </w:tr>
      <w:tr w14:paraId="74F6CA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426E321A">
            <w:pPr>
              <w:pStyle w:val="41"/>
              <w:rPr>
                <w:color w:val="auto"/>
                <w:highlight w:val="none"/>
              </w:rPr>
            </w:pPr>
            <w:r>
              <w:rPr>
                <w:color w:val="auto"/>
                <w:highlight w:val="none"/>
              </w:rPr>
              <w:t>1,4-二氯苯</w:t>
            </w:r>
          </w:p>
        </w:tc>
        <w:tc>
          <w:tcPr>
            <w:tcW w:w="492" w:type="pct"/>
            <w:tcBorders>
              <w:tl2br w:val="nil"/>
              <w:tr2bl w:val="nil"/>
            </w:tcBorders>
            <w:vAlign w:val="center"/>
          </w:tcPr>
          <w:p w14:paraId="1884EFA8">
            <w:pPr>
              <w:pStyle w:val="41"/>
              <w:rPr>
                <w:color w:val="auto"/>
                <w:highlight w:val="none"/>
              </w:rPr>
            </w:pPr>
            <w:r>
              <w:rPr>
                <w:color w:val="auto"/>
                <w:highlight w:val="none"/>
              </w:rPr>
              <w:t>μg/kg</w:t>
            </w:r>
          </w:p>
        </w:tc>
        <w:tc>
          <w:tcPr>
            <w:tcW w:w="482" w:type="pct"/>
            <w:tcBorders>
              <w:tl2br w:val="nil"/>
              <w:tr2bl w:val="nil"/>
            </w:tcBorders>
            <w:vAlign w:val="center"/>
          </w:tcPr>
          <w:p w14:paraId="3EEABC33">
            <w:pPr>
              <w:pStyle w:val="41"/>
              <w:rPr>
                <w:color w:val="auto"/>
                <w:highlight w:val="none"/>
              </w:rPr>
            </w:pPr>
            <w:r>
              <w:rPr>
                <w:color w:val="auto"/>
                <w:highlight w:val="none"/>
              </w:rPr>
              <w:t>未检出</w:t>
            </w:r>
          </w:p>
        </w:tc>
        <w:tc>
          <w:tcPr>
            <w:tcW w:w="482" w:type="pct"/>
            <w:tcBorders>
              <w:tl2br w:val="nil"/>
              <w:tr2bl w:val="nil"/>
            </w:tcBorders>
            <w:vAlign w:val="center"/>
          </w:tcPr>
          <w:p w14:paraId="4E42C4E5">
            <w:pPr>
              <w:pStyle w:val="41"/>
              <w:rPr>
                <w:color w:val="auto"/>
                <w:highlight w:val="none"/>
              </w:rPr>
            </w:pPr>
            <w:r>
              <w:rPr>
                <w:color w:val="auto"/>
                <w:highlight w:val="none"/>
              </w:rPr>
              <w:t>未检出</w:t>
            </w:r>
          </w:p>
        </w:tc>
        <w:tc>
          <w:tcPr>
            <w:tcW w:w="482" w:type="pct"/>
            <w:tcBorders>
              <w:tl2br w:val="nil"/>
              <w:tr2bl w:val="nil"/>
            </w:tcBorders>
            <w:vAlign w:val="center"/>
          </w:tcPr>
          <w:p w14:paraId="72887342">
            <w:pPr>
              <w:pStyle w:val="41"/>
              <w:rPr>
                <w:color w:val="auto"/>
                <w:highlight w:val="none"/>
              </w:rPr>
            </w:pPr>
            <w:r>
              <w:rPr>
                <w:color w:val="auto"/>
                <w:highlight w:val="none"/>
              </w:rPr>
              <w:t>未检出</w:t>
            </w:r>
          </w:p>
        </w:tc>
        <w:tc>
          <w:tcPr>
            <w:tcW w:w="482" w:type="pct"/>
            <w:tcBorders>
              <w:tl2br w:val="nil"/>
              <w:tr2bl w:val="nil"/>
            </w:tcBorders>
            <w:vAlign w:val="center"/>
          </w:tcPr>
          <w:p w14:paraId="77BAA4A8">
            <w:pPr>
              <w:pStyle w:val="41"/>
              <w:rPr>
                <w:color w:val="auto"/>
                <w:highlight w:val="none"/>
              </w:rPr>
            </w:pPr>
            <w:r>
              <w:rPr>
                <w:color w:val="auto"/>
                <w:highlight w:val="none"/>
              </w:rPr>
              <w:t>未检出</w:t>
            </w:r>
          </w:p>
        </w:tc>
        <w:tc>
          <w:tcPr>
            <w:tcW w:w="482" w:type="pct"/>
            <w:tcBorders>
              <w:tl2br w:val="nil"/>
              <w:tr2bl w:val="nil"/>
            </w:tcBorders>
            <w:vAlign w:val="center"/>
          </w:tcPr>
          <w:p w14:paraId="4E4BC0A2">
            <w:pPr>
              <w:pStyle w:val="41"/>
              <w:rPr>
                <w:color w:val="auto"/>
                <w:highlight w:val="none"/>
              </w:rPr>
            </w:pPr>
            <w:r>
              <w:rPr>
                <w:color w:val="auto"/>
                <w:highlight w:val="none"/>
              </w:rPr>
              <w:t>未检出</w:t>
            </w:r>
          </w:p>
        </w:tc>
        <w:tc>
          <w:tcPr>
            <w:tcW w:w="482" w:type="pct"/>
            <w:tcBorders>
              <w:tl2br w:val="nil"/>
              <w:tr2bl w:val="nil"/>
            </w:tcBorders>
            <w:vAlign w:val="center"/>
          </w:tcPr>
          <w:p w14:paraId="4B29ED94">
            <w:pPr>
              <w:pStyle w:val="41"/>
              <w:rPr>
                <w:color w:val="auto"/>
                <w:highlight w:val="none"/>
              </w:rPr>
            </w:pPr>
            <w:r>
              <w:rPr>
                <w:color w:val="auto"/>
                <w:highlight w:val="none"/>
              </w:rPr>
              <w:t>未检出</w:t>
            </w:r>
          </w:p>
        </w:tc>
        <w:tc>
          <w:tcPr>
            <w:tcW w:w="784" w:type="pct"/>
            <w:tcBorders>
              <w:tl2br w:val="nil"/>
              <w:tr2bl w:val="nil"/>
            </w:tcBorders>
            <w:vAlign w:val="center"/>
          </w:tcPr>
          <w:p w14:paraId="228C21BB">
            <w:pPr>
              <w:pStyle w:val="41"/>
              <w:rPr>
                <w:color w:val="auto"/>
                <w:highlight w:val="none"/>
              </w:rPr>
            </w:pPr>
            <w:r>
              <w:rPr>
                <w:color w:val="auto"/>
                <w:highlight w:val="none"/>
              </w:rPr>
              <w:t>20</w:t>
            </w:r>
          </w:p>
        </w:tc>
      </w:tr>
      <w:tr w14:paraId="1A7CA8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3AB1C9EF">
            <w:pPr>
              <w:pStyle w:val="41"/>
              <w:rPr>
                <w:color w:val="auto"/>
                <w:highlight w:val="none"/>
              </w:rPr>
            </w:pPr>
            <w:r>
              <w:rPr>
                <w:color w:val="auto"/>
                <w:highlight w:val="none"/>
              </w:rPr>
              <w:t>1,2-二氯苯</w:t>
            </w:r>
          </w:p>
        </w:tc>
        <w:tc>
          <w:tcPr>
            <w:tcW w:w="492" w:type="pct"/>
            <w:tcBorders>
              <w:tl2br w:val="nil"/>
              <w:tr2bl w:val="nil"/>
            </w:tcBorders>
            <w:vAlign w:val="center"/>
          </w:tcPr>
          <w:p w14:paraId="519CA9AB">
            <w:pPr>
              <w:pStyle w:val="41"/>
              <w:rPr>
                <w:color w:val="auto"/>
                <w:highlight w:val="none"/>
              </w:rPr>
            </w:pPr>
            <w:r>
              <w:rPr>
                <w:color w:val="auto"/>
                <w:highlight w:val="none"/>
              </w:rPr>
              <w:t>μg/kg</w:t>
            </w:r>
          </w:p>
        </w:tc>
        <w:tc>
          <w:tcPr>
            <w:tcW w:w="482" w:type="pct"/>
            <w:tcBorders>
              <w:tl2br w:val="nil"/>
              <w:tr2bl w:val="nil"/>
            </w:tcBorders>
            <w:vAlign w:val="center"/>
          </w:tcPr>
          <w:p w14:paraId="0225E8C8">
            <w:pPr>
              <w:pStyle w:val="41"/>
              <w:rPr>
                <w:color w:val="auto"/>
                <w:highlight w:val="none"/>
              </w:rPr>
            </w:pPr>
            <w:r>
              <w:rPr>
                <w:color w:val="auto"/>
                <w:highlight w:val="none"/>
              </w:rPr>
              <w:t>未检出</w:t>
            </w:r>
          </w:p>
        </w:tc>
        <w:tc>
          <w:tcPr>
            <w:tcW w:w="482" w:type="pct"/>
            <w:tcBorders>
              <w:tl2br w:val="nil"/>
              <w:tr2bl w:val="nil"/>
            </w:tcBorders>
            <w:vAlign w:val="center"/>
          </w:tcPr>
          <w:p w14:paraId="035FE41A">
            <w:pPr>
              <w:pStyle w:val="41"/>
              <w:rPr>
                <w:color w:val="auto"/>
                <w:highlight w:val="none"/>
              </w:rPr>
            </w:pPr>
            <w:r>
              <w:rPr>
                <w:color w:val="auto"/>
                <w:highlight w:val="none"/>
              </w:rPr>
              <w:t>未检出</w:t>
            </w:r>
          </w:p>
        </w:tc>
        <w:tc>
          <w:tcPr>
            <w:tcW w:w="482" w:type="pct"/>
            <w:tcBorders>
              <w:tl2br w:val="nil"/>
              <w:tr2bl w:val="nil"/>
            </w:tcBorders>
            <w:vAlign w:val="center"/>
          </w:tcPr>
          <w:p w14:paraId="10BE69B4">
            <w:pPr>
              <w:pStyle w:val="41"/>
              <w:rPr>
                <w:color w:val="auto"/>
                <w:highlight w:val="none"/>
              </w:rPr>
            </w:pPr>
            <w:r>
              <w:rPr>
                <w:color w:val="auto"/>
                <w:highlight w:val="none"/>
              </w:rPr>
              <w:t>未检出</w:t>
            </w:r>
          </w:p>
        </w:tc>
        <w:tc>
          <w:tcPr>
            <w:tcW w:w="482" w:type="pct"/>
            <w:tcBorders>
              <w:tl2br w:val="nil"/>
              <w:tr2bl w:val="nil"/>
            </w:tcBorders>
            <w:vAlign w:val="center"/>
          </w:tcPr>
          <w:p w14:paraId="73E9E7F5">
            <w:pPr>
              <w:pStyle w:val="41"/>
              <w:rPr>
                <w:color w:val="auto"/>
                <w:highlight w:val="none"/>
              </w:rPr>
            </w:pPr>
            <w:r>
              <w:rPr>
                <w:color w:val="auto"/>
                <w:highlight w:val="none"/>
              </w:rPr>
              <w:t>未检出</w:t>
            </w:r>
          </w:p>
        </w:tc>
        <w:tc>
          <w:tcPr>
            <w:tcW w:w="482" w:type="pct"/>
            <w:tcBorders>
              <w:tl2br w:val="nil"/>
              <w:tr2bl w:val="nil"/>
            </w:tcBorders>
            <w:vAlign w:val="center"/>
          </w:tcPr>
          <w:p w14:paraId="6F74A131">
            <w:pPr>
              <w:pStyle w:val="41"/>
              <w:rPr>
                <w:color w:val="auto"/>
                <w:highlight w:val="none"/>
              </w:rPr>
            </w:pPr>
            <w:r>
              <w:rPr>
                <w:color w:val="auto"/>
                <w:highlight w:val="none"/>
              </w:rPr>
              <w:t>未检出</w:t>
            </w:r>
          </w:p>
        </w:tc>
        <w:tc>
          <w:tcPr>
            <w:tcW w:w="482" w:type="pct"/>
            <w:tcBorders>
              <w:tl2br w:val="nil"/>
              <w:tr2bl w:val="nil"/>
            </w:tcBorders>
            <w:vAlign w:val="center"/>
          </w:tcPr>
          <w:p w14:paraId="6858CEB5">
            <w:pPr>
              <w:pStyle w:val="41"/>
              <w:rPr>
                <w:color w:val="auto"/>
                <w:highlight w:val="none"/>
              </w:rPr>
            </w:pPr>
            <w:r>
              <w:rPr>
                <w:color w:val="auto"/>
                <w:highlight w:val="none"/>
              </w:rPr>
              <w:t>未检出</w:t>
            </w:r>
          </w:p>
        </w:tc>
        <w:tc>
          <w:tcPr>
            <w:tcW w:w="784" w:type="pct"/>
            <w:tcBorders>
              <w:tl2br w:val="nil"/>
              <w:tr2bl w:val="nil"/>
            </w:tcBorders>
            <w:vAlign w:val="center"/>
          </w:tcPr>
          <w:p w14:paraId="31FEE3F9">
            <w:pPr>
              <w:pStyle w:val="41"/>
              <w:rPr>
                <w:color w:val="auto"/>
                <w:highlight w:val="none"/>
              </w:rPr>
            </w:pPr>
            <w:r>
              <w:rPr>
                <w:color w:val="auto"/>
                <w:highlight w:val="none"/>
              </w:rPr>
              <w:t>560</w:t>
            </w:r>
          </w:p>
        </w:tc>
      </w:tr>
      <w:tr w14:paraId="3EF8BA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3B61457B">
            <w:pPr>
              <w:pStyle w:val="41"/>
              <w:rPr>
                <w:color w:val="auto"/>
                <w:highlight w:val="none"/>
              </w:rPr>
            </w:pPr>
            <w:r>
              <w:rPr>
                <w:color w:val="auto"/>
                <w:highlight w:val="none"/>
              </w:rPr>
              <w:t>氯甲烷</w:t>
            </w:r>
          </w:p>
        </w:tc>
        <w:tc>
          <w:tcPr>
            <w:tcW w:w="492" w:type="pct"/>
            <w:tcBorders>
              <w:tl2br w:val="nil"/>
              <w:tr2bl w:val="nil"/>
            </w:tcBorders>
            <w:vAlign w:val="center"/>
          </w:tcPr>
          <w:p w14:paraId="1DB340B9">
            <w:pPr>
              <w:pStyle w:val="41"/>
              <w:rPr>
                <w:color w:val="auto"/>
                <w:highlight w:val="none"/>
              </w:rPr>
            </w:pPr>
            <w:r>
              <w:rPr>
                <w:color w:val="auto"/>
                <w:highlight w:val="none"/>
              </w:rPr>
              <w:t>μg/kg</w:t>
            </w:r>
          </w:p>
        </w:tc>
        <w:tc>
          <w:tcPr>
            <w:tcW w:w="482" w:type="pct"/>
            <w:tcBorders>
              <w:tl2br w:val="nil"/>
              <w:tr2bl w:val="nil"/>
            </w:tcBorders>
            <w:vAlign w:val="center"/>
          </w:tcPr>
          <w:p w14:paraId="00C6C62A">
            <w:pPr>
              <w:pStyle w:val="41"/>
              <w:rPr>
                <w:color w:val="auto"/>
                <w:highlight w:val="none"/>
              </w:rPr>
            </w:pPr>
            <w:r>
              <w:rPr>
                <w:color w:val="auto"/>
                <w:highlight w:val="none"/>
              </w:rPr>
              <w:t>未检出</w:t>
            </w:r>
          </w:p>
        </w:tc>
        <w:tc>
          <w:tcPr>
            <w:tcW w:w="482" w:type="pct"/>
            <w:tcBorders>
              <w:tl2br w:val="nil"/>
              <w:tr2bl w:val="nil"/>
            </w:tcBorders>
            <w:vAlign w:val="center"/>
          </w:tcPr>
          <w:p w14:paraId="64ACDB46">
            <w:pPr>
              <w:pStyle w:val="41"/>
              <w:rPr>
                <w:color w:val="auto"/>
                <w:highlight w:val="none"/>
              </w:rPr>
            </w:pPr>
            <w:r>
              <w:rPr>
                <w:color w:val="auto"/>
                <w:highlight w:val="none"/>
              </w:rPr>
              <w:t>未检出</w:t>
            </w:r>
          </w:p>
        </w:tc>
        <w:tc>
          <w:tcPr>
            <w:tcW w:w="482" w:type="pct"/>
            <w:tcBorders>
              <w:tl2br w:val="nil"/>
              <w:tr2bl w:val="nil"/>
            </w:tcBorders>
            <w:vAlign w:val="center"/>
          </w:tcPr>
          <w:p w14:paraId="5664F81A">
            <w:pPr>
              <w:pStyle w:val="41"/>
              <w:rPr>
                <w:color w:val="auto"/>
                <w:highlight w:val="none"/>
              </w:rPr>
            </w:pPr>
            <w:r>
              <w:rPr>
                <w:color w:val="auto"/>
                <w:highlight w:val="none"/>
              </w:rPr>
              <w:t>未检出</w:t>
            </w:r>
          </w:p>
        </w:tc>
        <w:tc>
          <w:tcPr>
            <w:tcW w:w="482" w:type="pct"/>
            <w:tcBorders>
              <w:tl2br w:val="nil"/>
              <w:tr2bl w:val="nil"/>
            </w:tcBorders>
            <w:vAlign w:val="center"/>
          </w:tcPr>
          <w:p w14:paraId="7A8EE36B">
            <w:pPr>
              <w:pStyle w:val="41"/>
              <w:rPr>
                <w:color w:val="auto"/>
                <w:highlight w:val="none"/>
              </w:rPr>
            </w:pPr>
            <w:r>
              <w:rPr>
                <w:color w:val="auto"/>
                <w:highlight w:val="none"/>
              </w:rPr>
              <w:t>未检出</w:t>
            </w:r>
          </w:p>
        </w:tc>
        <w:tc>
          <w:tcPr>
            <w:tcW w:w="482" w:type="pct"/>
            <w:tcBorders>
              <w:tl2br w:val="nil"/>
              <w:tr2bl w:val="nil"/>
            </w:tcBorders>
            <w:vAlign w:val="center"/>
          </w:tcPr>
          <w:p w14:paraId="56B7883D">
            <w:pPr>
              <w:pStyle w:val="41"/>
              <w:rPr>
                <w:color w:val="auto"/>
                <w:highlight w:val="none"/>
              </w:rPr>
            </w:pPr>
            <w:r>
              <w:rPr>
                <w:color w:val="auto"/>
                <w:highlight w:val="none"/>
              </w:rPr>
              <w:t>未检出</w:t>
            </w:r>
          </w:p>
        </w:tc>
        <w:tc>
          <w:tcPr>
            <w:tcW w:w="482" w:type="pct"/>
            <w:tcBorders>
              <w:tl2br w:val="nil"/>
              <w:tr2bl w:val="nil"/>
            </w:tcBorders>
            <w:vAlign w:val="center"/>
          </w:tcPr>
          <w:p w14:paraId="59F27C7A">
            <w:pPr>
              <w:pStyle w:val="41"/>
              <w:rPr>
                <w:color w:val="auto"/>
                <w:highlight w:val="none"/>
              </w:rPr>
            </w:pPr>
            <w:r>
              <w:rPr>
                <w:color w:val="auto"/>
                <w:highlight w:val="none"/>
              </w:rPr>
              <w:t>未检出</w:t>
            </w:r>
          </w:p>
        </w:tc>
        <w:tc>
          <w:tcPr>
            <w:tcW w:w="784" w:type="pct"/>
            <w:tcBorders>
              <w:tl2br w:val="nil"/>
              <w:tr2bl w:val="nil"/>
            </w:tcBorders>
            <w:vAlign w:val="center"/>
          </w:tcPr>
          <w:p w14:paraId="469E38E0">
            <w:pPr>
              <w:pStyle w:val="41"/>
              <w:rPr>
                <w:color w:val="auto"/>
                <w:highlight w:val="none"/>
              </w:rPr>
            </w:pPr>
            <w:r>
              <w:rPr>
                <w:color w:val="auto"/>
                <w:highlight w:val="none"/>
              </w:rPr>
              <w:t>37</w:t>
            </w:r>
          </w:p>
        </w:tc>
      </w:tr>
      <w:tr w14:paraId="607A36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6707366E">
            <w:pPr>
              <w:pStyle w:val="41"/>
              <w:rPr>
                <w:color w:val="auto"/>
                <w:highlight w:val="none"/>
              </w:rPr>
            </w:pPr>
            <w:r>
              <w:rPr>
                <w:color w:val="auto"/>
                <w:highlight w:val="none"/>
              </w:rPr>
              <w:t>硝基苯</w:t>
            </w:r>
          </w:p>
        </w:tc>
        <w:tc>
          <w:tcPr>
            <w:tcW w:w="492" w:type="pct"/>
            <w:tcBorders>
              <w:tl2br w:val="nil"/>
              <w:tr2bl w:val="nil"/>
            </w:tcBorders>
            <w:vAlign w:val="center"/>
          </w:tcPr>
          <w:p w14:paraId="1ABFF766">
            <w:pPr>
              <w:pStyle w:val="41"/>
              <w:rPr>
                <w:color w:val="auto"/>
                <w:highlight w:val="none"/>
              </w:rPr>
            </w:pPr>
            <w:r>
              <w:rPr>
                <w:color w:val="auto"/>
                <w:highlight w:val="none"/>
              </w:rPr>
              <w:t>mg/kg</w:t>
            </w:r>
          </w:p>
        </w:tc>
        <w:tc>
          <w:tcPr>
            <w:tcW w:w="482" w:type="pct"/>
            <w:tcBorders>
              <w:tl2br w:val="nil"/>
              <w:tr2bl w:val="nil"/>
            </w:tcBorders>
            <w:vAlign w:val="center"/>
          </w:tcPr>
          <w:p w14:paraId="5182CAF0">
            <w:pPr>
              <w:pStyle w:val="41"/>
              <w:rPr>
                <w:color w:val="auto"/>
                <w:highlight w:val="none"/>
              </w:rPr>
            </w:pPr>
            <w:r>
              <w:rPr>
                <w:color w:val="auto"/>
                <w:highlight w:val="none"/>
              </w:rPr>
              <w:t>未检出</w:t>
            </w:r>
          </w:p>
        </w:tc>
        <w:tc>
          <w:tcPr>
            <w:tcW w:w="482" w:type="pct"/>
            <w:tcBorders>
              <w:tl2br w:val="nil"/>
              <w:tr2bl w:val="nil"/>
            </w:tcBorders>
            <w:vAlign w:val="center"/>
          </w:tcPr>
          <w:p w14:paraId="21B02C96">
            <w:pPr>
              <w:pStyle w:val="41"/>
              <w:rPr>
                <w:color w:val="auto"/>
                <w:highlight w:val="none"/>
              </w:rPr>
            </w:pPr>
            <w:r>
              <w:rPr>
                <w:color w:val="auto"/>
                <w:highlight w:val="none"/>
              </w:rPr>
              <w:t>未检出</w:t>
            </w:r>
          </w:p>
        </w:tc>
        <w:tc>
          <w:tcPr>
            <w:tcW w:w="482" w:type="pct"/>
            <w:tcBorders>
              <w:tl2br w:val="nil"/>
              <w:tr2bl w:val="nil"/>
            </w:tcBorders>
            <w:vAlign w:val="center"/>
          </w:tcPr>
          <w:p w14:paraId="7EAB3055">
            <w:pPr>
              <w:pStyle w:val="41"/>
              <w:rPr>
                <w:color w:val="auto"/>
                <w:highlight w:val="none"/>
              </w:rPr>
            </w:pPr>
            <w:r>
              <w:rPr>
                <w:color w:val="auto"/>
                <w:highlight w:val="none"/>
              </w:rPr>
              <w:t>未检出</w:t>
            </w:r>
          </w:p>
        </w:tc>
        <w:tc>
          <w:tcPr>
            <w:tcW w:w="482" w:type="pct"/>
            <w:tcBorders>
              <w:tl2br w:val="nil"/>
              <w:tr2bl w:val="nil"/>
            </w:tcBorders>
            <w:vAlign w:val="center"/>
          </w:tcPr>
          <w:p w14:paraId="086A35C7">
            <w:pPr>
              <w:pStyle w:val="41"/>
              <w:rPr>
                <w:color w:val="auto"/>
                <w:highlight w:val="none"/>
              </w:rPr>
            </w:pPr>
            <w:r>
              <w:rPr>
                <w:color w:val="auto"/>
                <w:highlight w:val="none"/>
              </w:rPr>
              <w:t>未检出</w:t>
            </w:r>
          </w:p>
        </w:tc>
        <w:tc>
          <w:tcPr>
            <w:tcW w:w="482" w:type="pct"/>
            <w:tcBorders>
              <w:tl2br w:val="nil"/>
              <w:tr2bl w:val="nil"/>
            </w:tcBorders>
            <w:vAlign w:val="center"/>
          </w:tcPr>
          <w:p w14:paraId="6D9DC15F">
            <w:pPr>
              <w:pStyle w:val="41"/>
              <w:rPr>
                <w:color w:val="auto"/>
                <w:highlight w:val="none"/>
              </w:rPr>
            </w:pPr>
            <w:r>
              <w:rPr>
                <w:color w:val="auto"/>
                <w:highlight w:val="none"/>
              </w:rPr>
              <w:t>未检出</w:t>
            </w:r>
          </w:p>
        </w:tc>
        <w:tc>
          <w:tcPr>
            <w:tcW w:w="482" w:type="pct"/>
            <w:tcBorders>
              <w:tl2br w:val="nil"/>
              <w:tr2bl w:val="nil"/>
            </w:tcBorders>
            <w:vAlign w:val="center"/>
          </w:tcPr>
          <w:p w14:paraId="58104E8C">
            <w:pPr>
              <w:pStyle w:val="41"/>
              <w:rPr>
                <w:color w:val="auto"/>
                <w:highlight w:val="none"/>
              </w:rPr>
            </w:pPr>
            <w:r>
              <w:rPr>
                <w:color w:val="auto"/>
                <w:highlight w:val="none"/>
              </w:rPr>
              <w:t>未检出</w:t>
            </w:r>
          </w:p>
        </w:tc>
        <w:tc>
          <w:tcPr>
            <w:tcW w:w="784" w:type="pct"/>
            <w:tcBorders>
              <w:tl2br w:val="nil"/>
              <w:tr2bl w:val="nil"/>
            </w:tcBorders>
            <w:vAlign w:val="center"/>
          </w:tcPr>
          <w:p w14:paraId="04A24693">
            <w:pPr>
              <w:pStyle w:val="41"/>
              <w:rPr>
                <w:color w:val="auto"/>
                <w:highlight w:val="none"/>
              </w:rPr>
            </w:pPr>
            <w:r>
              <w:rPr>
                <w:color w:val="auto"/>
                <w:highlight w:val="none"/>
              </w:rPr>
              <w:t>76</w:t>
            </w:r>
          </w:p>
        </w:tc>
      </w:tr>
      <w:tr w14:paraId="0E2EB1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4B8D19BE">
            <w:pPr>
              <w:pStyle w:val="41"/>
              <w:rPr>
                <w:color w:val="auto"/>
                <w:highlight w:val="none"/>
              </w:rPr>
            </w:pPr>
            <w:r>
              <w:rPr>
                <w:color w:val="auto"/>
                <w:highlight w:val="none"/>
              </w:rPr>
              <w:t>苯胺</w:t>
            </w:r>
          </w:p>
        </w:tc>
        <w:tc>
          <w:tcPr>
            <w:tcW w:w="492" w:type="pct"/>
            <w:tcBorders>
              <w:tl2br w:val="nil"/>
              <w:tr2bl w:val="nil"/>
            </w:tcBorders>
            <w:vAlign w:val="center"/>
          </w:tcPr>
          <w:p w14:paraId="7F217486">
            <w:pPr>
              <w:pStyle w:val="41"/>
              <w:rPr>
                <w:color w:val="auto"/>
                <w:highlight w:val="none"/>
              </w:rPr>
            </w:pPr>
            <w:r>
              <w:rPr>
                <w:color w:val="auto"/>
                <w:highlight w:val="none"/>
              </w:rPr>
              <w:t>mg/kg</w:t>
            </w:r>
          </w:p>
        </w:tc>
        <w:tc>
          <w:tcPr>
            <w:tcW w:w="482" w:type="pct"/>
            <w:tcBorders>
              <w:tl2br w:val="nil"/>
              <w:tr2bl w:val="nil"/>
            </w:tcBorders>
            <w:vAlign w:val="center"/>
          </w:tcPr>
          <w:p w14:paraId="4180251A">
            <w:pPr>
              <w:pStyle w:val="41"/>
              <w:rPr>
                <w:color w:val="auto"/>
                <w:highlight w:val="none"/>
              </w:rPr>
            </w:pPr>
            <w:r>
              <w:rPr>
                <w:color w:val="auto"/>
                <w:highlight w:val="none"/>
              </w:rPr>
              <w:t>未检出</w:t>
            </w:r>
          </w:p>
        </w:tc>
        <w:tc>
          <w:tcPr>
            <w:tcW w:w="482" w:type="pct"/>
            <w:tcBorders>
              <w:tl2br w:val="nil"/>
              <w:tr2bl w:val="nil"/>
            </w:tcBorders>
            <w:vAlign w:val="center"/>
          </w:tcPr>
          <w:p w14:paraId="6C1C29FD">
            <w:pPr>
              <w:pStyle w:val="41"/>
              <w:rPr>
                <w:color w:val="auto"/>
                <w:highlight w:val="none"/>
              </w:rPr>
            </w:pPr>
            <w:r>
              <w:rPr>
                <w:color w:val="auto"/>
                <w:highlight w:val="none"/>
              </w:rPr>
              <w:t>未检出</w:t>
            </w:r>
          </w:p>
        </w:tc>
        <w:tc>
          <w:tcPr>
            <w:tcW w:w="482" w:type="pct"/>
            <w:tcBorders>
              <w:tl2br w:val="nil"/>
              <w:tr2bl w:val="nil"/>
            </w:tcBorders>
            <w:vAlign w:val="center"/>
          </w:tcPr>
          <w:p w14:paraId="0F83BD0F">
            <w:pPr>
              <w:pStyle w:val="41"/>
              <w:rPr>
                <w:color w:val="auto"/>
                <w:highlight w:val="none"/>
              </w:rPr>
            </w:pPr>
            <w:r>
              <w:rPr>
                <w:color w:val="auto"/>
                <w:highlight w:val="none"/>
              </w:rPr>
              <w:t>未检出</w:t>
            </w:r>
          </w:p>
        </w:tc>
        <w:tc>
          <w:tcPr>
            <w:tcW w:w="482" w:type="pct"/>
            <w:tcBorders>
              <w:tl2br w:val="nil"/>
              <w:tr2bl w:val="nil"/>
            </w:tcBorders>
            <w:vAlign w:val="center"/>
          </w:tcPr>
          <w:p w14:paraId="4BF89C86">
            <w:pPr>
              <w:pStyle w:val="41"/>
              <w:rPr>
                <w:color w:val="auto"/>
                <w:highlight w:val="none"/>
              </w:rPr>
            </w:pPr>
            <w:r>
              <w:rPr>
                <w:color w:val="auto"/>
                <w:highlight w:val="none"/>
              </w:rPr>
              <w:t>未检出</w:t>
            </w:r>
          </w:p>
        </w:tc>
        <w:tc>
          <w:tcPr>
            <w:tcW w:w="482" w:type="pct"/>
            <w:tcBorders>
              <w:tl2br w:val="nil"/>
              <w:tr2bl w:val="nil"/>
            </w:tcBorders>
            <w:vAlign w:val="center"/>
          </w:tcPr>
          <w:p w14:paraId="1B99A3BD">
            <w:pPr>
              <w:pStyle w:val="41"/>
              <w:rPr>
                <w:color w:val="auto"/>
                <w:highlight w:val="none"/>
              </w:rPr>
            </w:pPr>
            <w:r>
              <w:rPr>
                <w:color w:val="auto"/>
                <w:highlight w:val="none"/>
              </w:rPr>
              <w:t>未检出</w:t>
            </w:r>
          </w:p>
        </w:tc>
        <w:tc>
          <w:tcPr>
            <w:tcW w:w="482" w:type="pct"/>
            <w:tcBorders>
              <w:tl2br w:val="nil"/>
              <w:tr2bl w:val="nil"/>
            </w:tcBorders>
            <w:vAlign w:val="center"/>
          </w:tcPr>
          <w:p w14:paraId="702B4214">
            <w:pPr>
              <w:pStyle w:val="41"/>
              <w:rPr>
                <w:color w:val="auto"/>
                <w:highlight w:val="none"/>
              </w:rPr>
            </w:pPr>
            <w:r>
              <w:rPr>
                <w:color w:val="auto"/>
                <w:highlight w:val="none"/>
              </w:rPr>
              <w:t>未检出</w:t>
            </w:r>
          </w:p>
        </w:tc>
        <w:tc>
          <w:tcPr>
            <w:tcW w:w="784" w:type="pct"/>
            <w:tcBorders>
              <w:tl2br w:val="nil"/>
              <w:tr2bl w:val="nil"/>
            </w:tcBorders>
            <w:vAlign w:val="center"/>
          </w:tcPr>
          <w:p w14:paraId="4692F0DA">
            <w:pPr>
              <w:pStyle w:val="41"/>
              <w:rPr>
                <w:color w:val="auto"/>
                <w:highlight w:val="none"/>
              </w:rPr>
            </w:pPr>
            <w:r>
              <w:rPr>
                <w:color w:val="auto"/>
                <w:highlight w:val="none"/>
              </w:rPr>
              <w:t>260</w:t>
            </w:r>
          </w:p>
        </w:tc>
      </w:tr>
      <w:tr w14:paraId="7CD952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304E72AB">
            <w:pPr>
              <w:pStyle w:val="41"/>
              <w:rPr>
                <w:color w:val="auto"/>
                <w:highlight w:val="none"/>
              </w:rPr>
            </w:pPr>
            <w:r>
              <w:rPr>
                <w:color w:val="auto"/>
                <w:highlight w:val="none"/>
              </w:rPr>
              <w:t>2-氯苯酚</w:t>
            </w:r>
          </w:p>
        </w:tc>
        <w:tc>
          <w:tcPr>
            <w:tcW w:w="492" w:type="pct"/>
            <w:tcBorders>
              <w:tl2br w:val="nil"/>
              <w:tr2bl w:val="nil"/>
            </w:tcBorders>
            <w:vAlign w:val="center"/>
          </w:tcPr>
          <w:p w14:paraId="4C91D3A0">
            <w:pPr>
              <w:pStyle w:val="41"/>
              <w:rPr>
                <w:color w:val="auto"/>
                <w:highlight w:val="none"/>
              </w:rPr>
            </w:pPr>
            <w:r>
              <w:rPr>
                <w:color w:val="auto"/>
                <w:highlight w:val="none"/>
              </w:rPr>
              <w:t>mg/kg</w:t>
            </w:r>
          </w:p>
        </w:tc>
        <w:tc>
          <w:tcPr>
            <w:tcW w:w="482" w:type="pct"/>
            <w:tcBorders>
              <w:tl2br w:val="nil"/>
              <w:tr2bl w:val="nil"/>
            </w:tcBorders>
            <w:vAlign w:val="center"/>
          </w:tcPr>
          <w:p w14:paraId="1170823C">
            <w:pPr>
              <w:pStyle w:val="41"/>
              <w:rPr>
                <w:color w:val="auto"/>
                <w:highlight w:val="none"/>
              </w:rPr>
            </w:pPr>
            <w:r>
              <w:rPr>
                <w:color w:val="auto"/>
                <w:highlight w:val="none"/>
              </w:rPr>
              <w:t>未检出</w:t>
            </w:r>
          </w:p>
        </w:tc>
        <w:tc>
          <w:tcPr>
            <w:tcW w:w="482" w:type="pct"/>
            <w:tcBorders>
              <w:tl2br w:val="nil"/>
              <w:tr2bl w:val="nil"/>
            </w:tcBorders>
            <w:vAlign w:val="center"/>
          </w:tcPr>
          <w:p w14:paraId="2440FADC">
            <w:pPr>
              <w:pStyle w:val="41"/>
              <w:rPr>
                <w:color w:val="auto"/>
                <w:highlight w:val="none"/>
              </w:rPr>
            </w:pPr>
            <w:r>
              <w:rPr>
                <w:color w:val="auto"/>
                <w:highlight w:val="none"/>
              </w:rPr>
              <w:t>未检出</w:t>
            </w:r>
          </w:p>
        </w:tc>
        <w:tc>
          <w:tcPr>
            <w:tcW w:w="482" w:type="pct"/>
            <w:tcBorders>
              <w:tl2br w:val="nil"/>
              <w:tr2bl w:val="nil"/>
            </w:tcBorders>
            <w:vAlign w:val="center"/>
          </w:tcPr>
          <w:p w14:paraId="6BE49333">
            <w:pPr>
              <w:pStyle w:val="41"/>
              <w:rPr>
                <w:color w:val="auto"/>
                <w:highlight w:val="none"/>
              </w:rPr>
            </w:pPr>
            <w:r>
              <w:rPr>
                <w:color w:val="auto"/>
                <w:highlight w:val="none"/>
              </w:rPr>
              <w:t>未检出</w:t>
            </w:r>
          </w:p>
        </w:tc>
        <w:tc>
          <w:tcPr>
            <w:tcW w:w="482" w:type="pct"/>
            <w:tcBorders>
              <w:tl2br w:val="nil"/>
              <w:tr2bl w:val="nil"/>
            </w:tcBorders>
            <w:vAlign w:val="center"/>
          </w:tcPr>
          <w:p w14:paraId="3AEFFE18">
            <w:pPr>
              <w:pStyle w:val="41"/>
              <w:rPr>
                <w:color w:val="auto"/>
                <w:highlight w:val="none"/>
              </w:rPr>
            </w:pPr>
            <w:r>
              <w:rPr>
                <w:color w:val="auto"/>
                <w:highlight w:val="none"/>
              </w:rPr>
              <w:t>未检出</w:t>
            </w:r>
          </w:p>
        </w:tc>
        <w:tc>
          <w:tcPr>
            <w:tcW w:w="482" w:type="pct"/>
            <w:tcBorders>
              <w:tl2br w:val="nil"/>
              <w:tr2bl w:val="nil"/>
            </w:tcBorders>
            <w:vAlign w:val="center"/>
          </w:tcPr>
          <w:p w14:paraId="23F3AE38">
            <w:pPr>
              <w:pStyle w:val="41"/>
              <w:rPr>
                <w:color w:val="auto"/>
                <w:highlight w:val="none"/>
              </w:rPr>
            </w:pPr>
            <w:r>
              <w:rPr>
                <w:color w:val="auto"/>
                <w:highlight w:val="none"/>
              </w:rPr>
              <w:t>未检出</w:t>
            </w:r>
          </w:p>
        </w:tc>
        <w:tc>
          <w:tcPr>
            <w:tcW w:w="482" w:type="pct"/>
            <w:tcBorders>
              <w:tl2br w:val="nil"/>
              <w:tr2bl w:val="nil"/>
            </w:tcBorders>
            <w:vAlign w:val="center"/>
          </w:tcPr>
          <w:p w14:paraId="566F6978">
            <w:pPr>
              <w:pStyle w:val="41"/>
              <w:rPr>
                <w:color w:val="auto"/>
                <w:highlight w:val="none"/>
              </w:rPr>
            </w:pPr>
            <w:r>
              <w:rPr>
                <w:color w:val="auto"/>
                <w:highlight w:val="none"/>
              </w:rPr>
              <w:t>未检出</w:t>
            </w:r>
          </w:p>
        </w:tc>
        <w:tc>
          <w:tcPr>
            <w:tcW w:w="784" w:type="pct"/>
            <w:tcBorders>
              <w:tl2br w:val="nil"/>
              <w:tr2bl w:val="nil"/>
            </w:tcBorders>
            <w:vAlign w:val="center"/>
          </w:tcPr>
          <w:p w14:paraId="0B2DF33E">
            <w:pPr>
              <w:pStyle w:val="41"/>
              <w:rPr>
                <w:color w:val="auto"/>
                <w:highlight w:val="none"/>
              </w:rPr>
            </w:pPr>
            <w:r>
              <w:rPr>
                <w:color w:val="auto"/>
                <w:highlight w:val="none"/>
              </w:rPr>
              <w:t>2256</w:t>
            </w:r>
          </w:p>
        </w:tc>
      </w:tr>
      <w:tr w14:paraId="4783B9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383B6B86">
            <w:pPr>
              <w:pStyle w:val="41"/>
              <w:rPr>
                <w:color w:val="auto"/>
                <w:highlight w:val="none"/>
              </w:rPr>
            </w:pPr>
            <w:r>
              <w:rPr>
                <w:color w:val="auto"/>
                <w:highlight w:val="none"/>
              </w:rPr>
              <w:t>苯并[a]蒽</w:t>
            </w:r>
          </w:p>
        </w:tc>
        <w:tc>
          <w:tcPr>
            <w:tcW w:w="492" w:type="pct"/>
            <w:tcBorders>
              <w:tl2br w:val="nil"/>
              <w:tr2bl w:val="nil"/>
            </w:tcBorders>
            <w:vAlign w:val="center"/>
          </w:tcPr>
          <w:p w14:paraId="5A98C460">
            <w:pPr>
              <w:pStyle w:val="41"/>
              <w:rPr>
                <w:color w:val="auto"/>
                <w:highlight w:val="none"/>
              </w:rPr>
            </w:pPr>
            <w:r>
              <w:rPr>
                <w:color w:val="auto"/>
                <w:highlight w:val="none"/>
              </w:rPr>
              <w:t>mg/kg</w:t>
            </w:r>
          </w:p>
        </w:tc>
        <w:tc>
          <w:tcPr>
            <w:tcW w:w="482" w:type="pct"/>
            <w:tcBorders>
              <w:tl2br w:val="nil"/>
              <w:tr2bl w:val="nil"/>
            </w:tcBorders>
            <w:vAlign w:val="center"/>
          </w:tcPr>
          <w:p w14:paraId="31B288C4">
            <w:pPr>
              <w:pStyle w:val="41"/>
              <w:rPr>
                <w:color w:val="auto"/>
                <w:highlight w:val="none"/>
              </w:rPr>
            </w:pPr>
            <w:r>
              <w:rPr>
                <w:color w:val="auto"/>
                <w:highlight w:val="none"/>
              </w:rPr>
              <w:t>未检出</w:t>
            </w:r>
          </w:p>
        </w:tc>
        <w:tc>
          <w:tcPr>
            <w:tcW w:w="482" w:type="pct"/>
            <w:tcBorders>
              <w:tl2br w:val="nil"/>
              <w:tr2bl w:val="nil"/>
            </w:tcBorders>
            <w:vAlign w:val="center"/>
          </w:tcPr>
          <w:p w14:paraId="2935A4A4">
            <w:pPr>
              <w:pStyle w:val="41"/>
              <w:rPr>
                <w:color w:val="auto"/>
                <w:highlight w:val="none"/>
              </w:rPr>
            </w:pPr>
            <w:r>
              <w:rPr>
                <w:color w:val="auto"/>
                <w:highlight w:val="none"/>
              </w:rPr>
              <w:t>未检出</w:t>
            </w:r>
          </w:p>
        </w:tc>
        <w:tc>
          <w:tcPr>
            <w:tcW w:w="482" w:type="pct"/>
            <w:tcBorders>
              <w:tl2br w:val="nil"/>
              <w:tr2bl w:val="nil"/>
            </w:tcBorders>
            <w:vAlign w:val="center"/>
          </w:tcPr>
          <w:p w14:paraId="09F9EE77">
            <w:pPr>
              <w:pStyle w:val="41"/>
              <w:rPr>
                <w:color w:val="auto"/>
                <w:highlight w:val="none"/>
              </w:rPr>
            </w:pPr>
            <w:r>
              <w:rPr>
                <w:color w:val="auto"/>
                <w:highlight w:val="none"/>
              </w:rPr>
              <w:t>未检出</w:t>
            </w:r>
          </w:p>
        </w:tc>
        <w:tc>
          <w:tcPr>
            <w:tcW w:w="482" w:type="pct"/>
            <w:tcBorders>
              <w:tl2br w:val="nil"/>
              <w:tr2bl w:val="nil"/>
            </w:tcBorders>
            <w:vAlign w:val="center"/>
          </w:tcPr>
          <w:p w14:paraId="543DF843">
            <w:pPr>
              <w:pStyle w:val="41"/>
              <w:rPr>
                <w:color w:val="auto"/>
                <w:highlight w:val="none"/>
              </w:rPr>
            </w:pPr>
            <w:r>
              <w:rPr>
                <w:color w:val="auto"/>
                <w:highlight w:val="none"/>
              </w:rPr>
              <w:t>未检出</w:t>
            </w:r>
          </w:p>
        </w:tc>
        <w:tc>
          <w:tcPr>
            <w:tcW w:w="482" w:type="pct"/>
            <w:tcBorders>
              <w:tl2br w:val="nil"/>
              <w:tr2bl w:val="nil"/>
            </w:tcBorders>
            <w:vAlign w:val="center"/>
          </w:tcPr>
          <w:p w14:paraId="686A028C">
            <w:pPr>
              <w:pStyle w:val="41"/>
              <w:rPr>
                <w:color w:val="auto"/>
                <w:highlight w:val="none"/>
              </w:rPr>
            </w:pPr>
            <w:r>
              <w:rPr>
                <w:color w:val="auto"/>
                <w:highlight w:val="none"/>
              </w:rPr>
              <w:t>未检出</w:t>
            </w:r>
          </w:p>
        </w:tc>
        <w:tc>
          <w:tcPr>
            <w:tcW w:w="482" w:type="pct"/>
            <w:tcBorders>
              <w:tl2br w:val="nil"/>
              <w:tr2bl w:val="nil"/>
            </w:tcBorders>
            <w:vAlign w:val="center"/>
          </w:tcPr>
          <w:p w14:paraId="45F09764">
            <w:pPr>
              <w:pStyle w:val="41"/>
              <w:rPr>
                <w:color w:val="auto"/>
                <w:highlight w:val="none"/>
              </w:rPr>
            </w:pPr>
            <w:r>
              <w:rPr>
                <w:color w:val="auto"/>
                <w:highlight w:val="none"/>
              </w:rPr>
              <w:t>未检出</w:t>
            </w:r>
          </w:p>
        </w:tc>
        <w:tc>
          <w:tcPr>
            <w:tcW w:w="784" w:type="pct"/>
            <w:tcBorders>
              <w:tl2br w:val="nil"/>
              <w:tr2bl w:val="nil"/>
            </w:tcBorders>
            <w:vAlign w:val="center"/>
          </w:tcPr>
          <w:p w14:paraId="39ECABB3">
            <w:pPr>
              <w:pStyle w:val="41"/>
              <w:rPr>
                <w:color w:val="auto"/>
                <w:highlight w:val="none"/>
              </w:rPr>
            </w:pPr>
            <w:r>
              <w:rPr>
                <w:color w:val="auto"/>
                <w:highlight w:val="none"/>
              </w:rPr>
              <w:t>15</w:t>
            </w:r>
          </w:p>
        </w:tc>
      </w:tr>
      <w:tr w14:paraId="6A40E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2379349F">
            <w:pPr>
              <w:pStyle w:val="41"/>
              <w:rPr>
                <w:color w:val="auto"/>
                <w:highlight w:val="none"/>
              </w:rPr>
            </w:pPr>
            <w:r>
              <w:rPr>
                <w:color w:val="auto"/>
                <w:highlight w:val="none"/>
              </w:rPr>
              <w:t>苯并[a]芘</w:t>
            </w:r>
          </w:p>
        </w:tc>
        <w:tc>
          <w:tcPr>
            <w:tcW w:w="492" w:type="pct"/>
            <w:tcBorders>
              <w:tl2br w:val="nil"/>
              <w:tr2bl w:val="nil"/>
            </w:tcBorders>
            <w:vAlign w:val="center"/>
          </w:tcPr>
          <w:p w14:paraId="7BE46AA2">
            <w:pPr>
              <w:pStyle w:val="41"/>
              <w:rPr>
                <w:color w:val="auto"/>
                <w:highlight w:val="none"/>
              </w:rPr>
            </w:pPr>
            <w:r>
              <w:rPr>
                <w:color w:val="auto"/>
                <w:highlight w:val="none"/>
              </w:rPr>
              <w:t>mg/kg</w:t>
            </w:r>
          </w:p>
        </w:tc>
        <w:tc>
          <w:tcPr>
            <w:tcW w:w="482" w:type="pct"/>
            <w:tcBorders>
              <w:tl2br w:val="nil"/>
              <w:tr2bl w:val="nil"/>
            </w:tcBorders>
            <w:vAlign w:val="center"/>
          </w:tcPr>
          <w:p w14:paraId="04DBD5DF">
            <w:pPr>
              <w:pStyle w:val="41"/>
              <w:rPr>
                <w:color w:val="auto"/>
                <w:highlight w:val="none"/>
              </w:rPr>
            </w:pPr>
            <w:r>
              <w:rPr>
                <w:color w:val="auto"/>
                <w:highlight w:val="none"/>
              </w:rPr>
              <w:t>未检出</w:t>
            </w:r>
          </w:p>
        </w:tc>
        <w:tc>
          <w:tcPr>
            <w:tcW w:w="482" w:type="pct"/>
            <w:tcBorders>
              <w:tl2br w:val="nil"/>
              <w:tr2bl w:val="nil"/>
            </w:tcBorders>
            <w:vAlign w:val="center"/>
          </w:tcPr>
          <w:p w14:paraId="00A879CC">
            <w:pPr>
              <w:pStyle w:val="41"/>
              <w:rPr>
                <w:color w:val="auto"/>
                <w:highlight w:val="none"/>
              </w:rPr>
            </w:pPr>
            <w:r>
              <w:rPr>
                <w:color w:val="auto"/>
                <w:highlight w:val="none"/>
              </w:rPr>
              <w:t>未检出</w:t>
            </w:r>
          </w:p>
        </w:tc>
        <w:tc>
          <w:tcPr>
            <w:tcW w:w="482" w:type="pct"/>
            <w:tcBorders>
              <w:tl2br w:val="nil"/>
              <w:tr2bl w:val="nil"/>
            </w:tcBorders>
            <w:vAlign w:val="center"/>
          </w:tcPr>
          <w:p w14:paraId="5A5539E9">
            <w:pPr>
              <w:pStyle w:val="41"/>
              <w:rPr>
                <w:color w:val="auto"/>
                <w:highlight w:val="none"/>
              </w:rPr>
            </w:pPr>
            <w:r>
              <w:rPr>
                <w:color w:val="auto"/>
                <w:highlight w:val="none"/>
              </w:rPr>
              <w:t>未检出</w:t>
            </w:r>
          </w:p>
        </w:tc>
        <w:tc>
          <w:tcPr>
            <w:tcW w:w="482" w:type="pct"/>
            <w:tcBorders>
              <w:tl2br w:val="nil"/>
              <w:tr2bl w:val="nil"/>
            </w:tcBorders>
            <w:vAlign w:val="center"/>
          </w:tcPr>
          <w:p w14:paraId="129B7F55">
            <w:pPr>
              <w:pStyle w:val="41"/>
              <w:rPr>
                <w:color w:val="auto"/>
                <w:highlight w:val="none"/>
              </w:rPr>
            </w:pPr>
            <w:r>
              <w:rPr>
                <w:color w:val="auto"/>
                <w:highlight w:val="none"/>
              </w:rPr>
              <w:t>未检出</w:t>
            </w:r>
          </w:p>
        </w:tc>
        <w:tc>
          <w:tcPr>
            <w:tcW w:w="482" w:type="pct"/>
            <w:tcBorders>
              <w:tl2br w:val="nil"/>
              <w:tr2bl w:val="nil"/>
            </w:tcBorders>
            <w:vAlign w:val="center"/>
          </w:tcPr>
          <w:p w14:paraId="72709D18">
            <w:pPr>
              <w:pStyle w:val="41"/>
              <w:rPr>
                <w:color w:val="auto"/>
                <w:highlight w:val="none"/>
              </w:rPr>
            </w:pPr>
            <w:r>
              <w:rPr>
                <w:color w:val="auto"/>
                <w:highlight w:val="none"/>
              </w:rPr>
              <w:t>未检出</w:t>
            </w:r>
          </w:p>
        </w:tc>
        <w:tc>
          <w:tcPr>
            <w:tcW w:w="482" w:type="pct"/>
            <w:tcBorders>
              <w:tl2br w:val="nil"/>
              <w:tr2bl w:val="nil"/>
            </w:tcBorders>
            <w:vAlign w:val="center"/>
          </w:tcPr>
          <w:p w14:paraId="65478AEB">
            <w:pPr>
              <w:pStyle w:val="41"/>
              <w:rPr>
                <w:color w:val="auto"/>
                <w:highlight w:val="none"/>
              </w:rPr>
            </w:pPr>
            <w:r>
              <w:rPr>
                <w:color w:val="auto"/>
                <w:highlight w:val="none"/>
              </w:rPr>
              <w:t>未检出</w:t>
            </w:r>
          </w:p>
        </w:tc>
        <w:tc>
          <w:tcPr>
            <w:tcW w:w="784" w:type="pct"/>
            <w:tcBorders>
              <w:tl2br w:val="nil"/>
              <w:tr2bl w:val="nil"/>
            </w:tcBorders>
            <w:vAlign w:val="center"/>
          </w:tcPr>
          <w:p w14:paraId="04A9341D">
            <w:pPr>
              <w:pStyle w:val="41"/>
              <w:rPr>
                <w:color w:val="auto"/>
                <w:highlight w:val="none"/>
              </w:rPr>
            </w:pPr>
            <w:r>
              <w:rPr>
                <w:color w:val="auto"/>
                <w:highlight w:val="none"/>
              </w:rPr>
              <w:t>1.5</w:t>
            </w:r>
          </w:p>
        </w:tc>
      </w:tr>
      <w:tr w14:paraId="328AE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581396F6">
            <w:pPr>
              <w:pStyle w:val="41"/>
              <w:rPr>
                <w:color w:val="auto"/>
                <w:highlight w:val="none"/>
              </w:rPr>
            </w:pPr>
            <w:r>
              <w:rPr>
                <w:color w:val="auto"/>
                <w:highlight w:val="none"/>
              </w:rPr>
              <w:t>苯并[b]荧蒽</w:t>
            </w:r>
          </w:p>
        </w:tc>
        <w:tc>
          <w:tcPr>
            <w:tcW w:w="492" w:type="pct"/>
            <w:tcBorders>
              <w:tl2br w:val="nil"/>
              <w:tr2bl w:val="nil"/>
            </w:tcBorders>
            <w:vAlign w:val="center"/>
          </w:tcPr>
          <w:p w14:paraId="02932E18">
            <w:pPr>
              <w:pStyle w:val="41"/>
              <w:rPr>
                <w:color w:val="auto"/>
                <w:highlight w:val="none"/>
              </w:rPr>
            </w:pPr>
            <w:r>
              <w:rPr>
                <w:color w:val="auto"/>
                <w:highlight w:val="none"/>
              </w:rPr>
              <w:t>mg/kg</w:t>
            </w:r>
          </w:p>
        </w:tc>
        <w:tc>
          <w:tcPr>
            <w:tcW w:w="482" w:type="pct"/>
            <w:tcBorders>
              <w:tl2br w:val="nil"/>
              <w:tr2bl w:val="nil"/>
            </w:tcBorders>
            <w:vAlign w:val="center"/>
          </w:tcPr>
          <w:p w14:paraId="635BF036">
            <w:pPr>
              <w:pStyle w:val="41"/>
              <w:rPr>
                <w:color w:val="auto"/>
                <w:highlight w:val="none"/>
              </w:rPr>
            </w:pPr>
            <w:r>
              <w:rPr>
                <w:color w:val="auto"/>
                <w:highlight w:val="none"/>
              </w:rPr>
              <w:t>未检出</w:t>
            </w:r>
          </w:p>
        </w:tc>
        <w:tc>
          <w:tcPr>
            <w:tcW w:w="482" w:type="pct"/>
            <w:tcBorders>
              <w:tl2br w:val="nil"/>
              <w:tr2bl w:val="nil"/>
            </w:tcBorders>
            <w:vAlign w:val="center"/>
          </w:tcPr>
          <w:p w14:paraId="591B28E0">
            <w:pPr>
              <w:pStyle w:val="41"/>
              <w:rPr>
                <w:color w:val="auto"/>
                <w:highlight w:val="none"/>
              </w:rPr>
            </w:pPr>
            <w:r>
              <w:rPr>
                <w:color w:val="auto"/>
                <w:highlight w:val="none"/>
              </w:rPr>
              <w:t>未检出</w:t>
            </w:r>
          </w:p>
        </w:tc>
        <w:tc>
          <w:tcPr>
            <w:tcW w:w="482" w:type="pct"/>
            <w:tcBorders>
              <w:tl2br w:val="nil"/>
              <w:tr2bl w:val="nil"/>
            </w:tcBorders>
            <w:vAlign w:val="center"/>
          </w:tcPr>
          <w:p w14:paraId="01FC0161">
            <w:pPr>
              <w:pStyle w:val="41"/>
              <w:rPr>
                <w:color w:val="auto"/>
                <w:highlight w:val="none"/>
              </w:rPr>
            </w:pPr>
            <w:r>
              <w:rPr>
                <w:color w:val="auto"/>
                <w:highlight w:val="none"/>
              </w:rPr>
              <w:t>未检出</w:t>
            </w:r>
          </w:p>
        </w:tc>
        <w:tc>
          <w:tcPr>
            <w:tcW w:w="482" w:type="pct"/>
            <w:tcBorders>
              <w:tl2br w:val="nil"/>
              <w:tr2bl w:val="nil"/>
            </w:tcBorders>
            <w:vAlign w:val="center"/>
          </w:tcPr>
          <w:p w14:paraId="3BCD9E36">
            <w:pPr>
              <w:pStyle w:val="41"/>
              <w:rPr>
                <w:color w:val="auto"/>
                <w:highlight w:val="none"/>
              </w:rPr>
            </w:pPr>
            <w:r>
              <w:rPr>
                <w:color w:val="auto"/>
                <w:highlight w:val="none"/>
              </w:rPr>
              <w:t>未检出</w:t>
            </w:r>
          </w:p>
        </w:tc>
        <w:tc>
          <w:tcPr>
            <w:tcW w:w="482" w:type="pct"/>
            <w:tcBorders>
              <w:tl2br w:val="nil"/>
              <w:tr2bl w:val="nil"/>
            </w:tcBorders>
            <w:vAlign w:val="center"/>
          </w:tcPr>
          <w:p w14:paraId="5A3B4B65">
            <w:pPr>
              <w:pStyle w:val="41"/>
              <w:rPr>
                <w:color w:val="auto"/>
                <w:highlight w:val="none"/>
              </w:rPr>
            </w:pPr>
            <w:r>
              <w:rPr>
                <w:color w:val="auto"/>
                <w:highlight w:val="none"/>
              </w:rPr>
              <w:t>未检出</w:t>
            </w:r>
          </w:p>
        </w:tc>
        <w:tc>
          <w:tcPr>
            <w:tcW w:w="482" w:type="pct"/>
            <w:tcBorders>
              <w:tl2br w:val="nil"/>
              <w:tr2bl w:val="nil"/>
            </w:tcBorders>
            <w:vAlign w:val="center"/>
          </w:tcPr>
          <w:p w14:paraId="2FC84100">
            <w:pPr>
              <w:pStyle w:val="41"/>
              <w:rPr>
                <w:color w:val="auto"/>
                <w:highlight w:val="none"/>
              </w:rPr>
            </w:pPr>
            <w:r>
              <w:rPr>
                <w:color w:val="auto"/>
                <w:highlight w:val="none"/>
              </w:rPr>
              <w:t>未检出</w:t>
            </w:r>
          </w:p>
        </w:tc>
        <w:tc>
          <w:tcPr>
            <w:tcW w:w="784" w:type="pct"/>
            <w:tcBorders>
              <w:tl2br w:val="nil"/>
              <w:tr2bl w:val="nil"/>
            </w:tcBorders>
            <w:vAlign w:val="center"/>
          </w:tcPr>
          <w:p w14:paraId="307278A3">
            <w:pPr>
              <w:pStyle w:val="41"/>
              <w:rPr>
                <w:color w:val="auto"/>
                <w:highlight w:val="none"/>
              </w:rPr>
            </w:pPr>
            <w:r>
              <w:rPr>
                <w:color w:val="auto"/>
                <w:highlight w:val="none"/>
              </w:rPr>
              <w:t>15</w:t>
            </w:r>
          </w:p>
        </w:tc>
      </w:tr>
      <w:tr w14:paraId="0EF787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15738410">
            <w:pPr>
              <w:pStyle w:val="41"/>
              <w:rPr>
                <w:color w:val="auto"/>
                <w:highlight w:val="none"/>
              </w:rPr>
            </w:pPr>
            <w:r>
              <w:rPr>
                <w:color w:val="auto"/>
                <w:highlight w:val="none"/>
              </w:rPr>
              <w:t>苯并[k]荧蒽</w:t>
            </w:r>
          </w:p>
        </w:tc>
        <w:tc>
          <w:tcPr>
            <w:tcW w:w="492" w:type="pct"/>
            <w:tcBorders>
              <w:tl2br w:val="nil"/>
              <w:tr2bl w:val="nil"/>
            </w:tcBorders>
            <w:vAlign w:val="center"/>
          </w:tcPr>
          <w:p w14:paraId="0B9E0AAB">
            <w:pPr>
              <w:pStyle w:val="41"/>
              <w:rPr>
                <w:color w:val="auto"/>
                <w:highlight w:val="none"/>
              </w:rPr>
            </w:pPr>
            <w:r>
              <w:rPr>
                <w:color w:val="auto"/>
                <w:highlight w:val="none"/>
              </w:rPr>
              <w:t>mg/kg</w:t>
            </w:r>
          </w:p>
        </w:tc>
        <w:tc>
          <w:tcPr>
            <w:tcW w:w="482" w:type="pct"/>
            <w:tcBorders>
              <w:tl2br w:val="nil"/>
              <w:tr2bl w:val="nil"/>
            </w:tcBorders>
            <w:vAlign w:val="center"/>
          </w:tcPr>
          <w:p w14:paraId="490C0615">
            <w:pPr>
              <w:pStyle w:val="41"/>
              <w:rPr>
                <w:color w:val="auto"/>
                <w:highlight w:val="none"/>
              </w:rPr>
            </w:pPr>
            <w:r>
              <w:rPr>
                <w:color w:val="auto"/>
                <w:highlight w:val="none"/>
              </w:rPr>
              <w:t>未检出</w:t>
            </w:r>
          </w:p>
        </w:tc>
        <w:tc>
          <w:tcPr>
            <w:tcW w:w="482" w:type="pct"/>
            <w:tcBorders>
              <w:tl2br w:val="nil"/>
              <w:tr2bl w:val="nil"/>
            </w:tcBorders>
            <w:vAlign w:val="center"/>
          </w:tcPr>
          <w:p w14:paraId="6D5223CD">
            <w:pPr>
              <w:pStyle w:val="41"/>
              <w:rPr>
                <w:color w:val="auto"/>
                <w:highlight w:val="none"/>
              </w:rPr>
            </w:pPr>
            <w:r>
              <w:rPr>
                <w:color w:val="auto"/>
                <w:highlight w:val="none"/>
              </w:rPr>
              <w:t>未检出</w:t>
            </w:r>
          </w:p>
        </w:tc>
        <w:tc>
          <w:tcPr>
            <w:tcW w:w="482" w:type="pct"/>
            <w:tcBorders>
              <w:tl2br w:val="nil"/>
              <w:tr2bl w:val="nil"/>
            </w:tcBorders>
            <w:vAlign w:val="center"/>
          </w:tcPr>
          <w:p w14:paraId="033456F4">
            <w:pPr>
              <w:pStyle w:val="41"/>
              <w:rPr>
                <w:color w:val="auto"/>
                <w:highlight w:val="none"/>
              </w:rPr>
            </w:pPr>
            <w:r>
              <w:rPr>
                <w:color w:val="auto"/>
                <w:highlight w:val="none"/>
              </w:rPr>
              <w:t>未检出</w:t>
            </w:r>
          </w:p>
        </w:tc>
        <w:tc>
          <w:tcPr>
            <w:tcW w:w="482" w:type="pct"/>
            <w:tcBorders>
              <w:tl2br w:val="nil"/>
              <w:tr2bl w:val="nil"/>
            </w:tcBorders>
            <w:vAlign w:val="center"/>
          </w:tcPr>
          <w:p w14:paraId="09F87C47">
            <w:pPr>
              <w:pStyle w:val="41"/>
              <w:rPr>
                <w:color w:val="auto"/>
                <w:highlight w:val="none"/>
              </w:rPr>
            </w:pPr>
            <w:r>
              <w:rPr>
                <w:color w:val="auto"/>
                <w:highlight w:val="none"/>
              </w:rPr>
              <w:t>未检出</w:t>
            </w:r>
          </w:p>
        </w:tc>
        <w:tc>
          <w:tcPr>
            <w:tcW w:w="482" w:type="pct"/>
            <w:tcBorders>
              <w:tl2br w:val="nil"/>
              <w:tr2bl w:val="nil"/>
            </w:tcBorders>
            <w:vAlign w:val="center"/>
          </w:tcPr>
          <w:p w14:paraId="1CC454AA">
            <w:pPr>
              <w:pStyle w:val="41"/>
              <w:rPr>
                <w:color w:val="auto"/>
                <w:highlight w:val="none"/>
              </w:rPr>
            </w:pPr>
            <w:r>
              <w:rPr>
                <w:color w:val="auto"/>
                <w:highlight w:val="none"/>
              </w:rPr>
              <w:t>未检出</w:t>
            </w:r>
          </w:p>
        </w:tc>
        <w:tc>
          <w:tcPr>
            <w:tcW w:w="482" w:type="pct"/>
            <w:tcBorders>
              <w:tl2br w:val="nil"/>
              <w:tr2bl w:val="nil"/>
            </w:tcBorders>
            <w:vAlign w:val="center"/>
          </w:tcPr>
          <w:p w14:paraId="32F0AFF4">
            <w:pPr>
              <w:pStyle w:val="41"/>
              <w:rPr>
                <w:color w:val="auto"/>
                <w:highlight w:val="none"/>
              </w:rPr>
            </w:pPr>
            <w:r>
              <w:rPr>
                <w:color w:val="auto"/>
                <w:highlight w:val="none"/>
              </w:rPr>
              <w:t>未检出</w:t>
            </w:r>
          </w:p>
        </w:tc>
        <w:tc>
          <w:tcPr>
            <w:tcW w:w="784" w:type="pct"/>
            <w:tcBorders>
              <w:tl2br w:val="nil"/>
              <w:tr2bl w:val="nil"/>
            </w:tcBorders>
            <w:vAlign w:val="center"/>
          </w:tcPr>
          <w:p w14:paraId="569AE2B1">
            <w:pPr>
              <w:pStyle w:val="41"/>
              <w:rPr>
                <w:color w:val="auto"/>
                <w:highlight w:val="none"/>
              </w:rPr>
            </w:pPr>
            <w:r>
              <w:rPr>
                <w:color w:val="auto"/>
                <w:highlight w:val="none"/>
              </w:rPr>
              <w:t>151</w:t>
            </w:r>
          </w:p>
        </w:tc>
      </w:tr>
      <w:tr w14:paraId="6F0FBE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49198193">
            <w:pPr>
              <w:pStyle w:val="41"/>
              <w:rPr>
                <w:color w:val="auto"/>
                <w:highlight w:val="none"/>
              </w:rPr>
            </w:pPr>
            <w:r>
              <w:rPr>
                <w:color w:val="auto"/>
                <w:highlight w:val="none"/>
              </w:rPr>
              <w:t>䓛</w:t>
            </w:r>
          </w:p>
        </w:tc>
        <w:tc>
          <w:tcPr>
            <w:tcW w:w="492" w:type="pct"/>
            <w:tcBorders>
              <w:tl2br w:val="nil"/>
              <w:tr2bl w:val="nil"/>
            </w:tcBorders>
            <w:vAlign w:val="center"/>
          </w:tcPr>
          <w:p w14:paraId="728CB672">
            <w:pPr>
              <w:pStyle w:val="41"/>
              <w:rPr>
                <w:color w:val="auto"/>
                <w:highlight w:val="none"/>
              </w:rPr>
            </w:pPr>
            <w:r>
              <w:rPr>
                <w:color w:val="auto"/>
                <w:highlight w:val="none"/>
              </w:rPr>
              <w:t>mg/kg</w:t>
            </w:r>
          </w:p>
        </w:tc>
        <w:tc>
          <w:tcPr>
            <w:tcW w:w="482" w:type="pct"/>
            <w:tcBorders>
              <w:tl2br w:val="nil"/>
              <w:tr2bl w:val="nil"/>
            </w:tcBorders>
            <w:vAlign w:val="center"/>
          </w:tcPr>
          <w:p w14:paraId="1B402FA6">
            <w:pPr>
              <w:pStyle w:val="41"/>
              <w:rPr>
                <w:color w:val="auto"/>
                <w:highlight w:val="none"/>
              </w:rPr>
            </w:pPr>
            <w:r>
              <w:rPr>
                <w:color w:val="auto"/>
                <w:highlight w:val="none"/>
              </w:rPr>
              <w:t>未检出</w:t>
            </w:r>
          </w:p>
        </w:tc>
        <w:tc>
          <w:tcPr>
            <w:tcW w:w="482" w:type="pct"/>
            <w:tcBorders>
              <w:tl2br w:val="nil"/>
              <w:tr2bl w:val="nil"/>
            </w:tcBorders>
            <w:vAlign w:val="center"/>
          </w:tcPr>
          <w:p w14:paraId="0870AD14">
            <w:pPr>
              <w:pStyle w:val="41"/>
              <w:rPr>
                <w:color w:val="auto"/>
                <w:highlight w:val="none"/>
              </w:rPr>
            </w:pPr>
            <w:r>
              <w:rPr>
                <w:color w:val="auto"/>
                <w:highlight w:val="none"/>
              </w:rPr>
              <w:t>未检出</w:t>
            </w:r>
          </w:p>
        </w:tc>
        <w:tc>
          <w:tcPr>
            <w:tcW w:w="482" w:type="pct"/>
            <w:tcBorders>
              <w:tl2br w:val="nil"/>
              <w:tr2bl w:val="nil"/>
            </w:tcBorders>
            <w:vAlign w:val="center"/>
          </w:tcPr>
          <w:p w14:paraId="65AC8D76">
            <w:pPr>
              <w:pStyle w:val="41"/>
              <w:rPr>
                <w:color w:val="auto"/>
                <w:highlight w:val="none"/>
              </w:rPr>
            </w:pPr>
            <w:r>
              <w:rPr>
                <w:color w:val="auto"/>
                <w:highlight w:val="none"/>
              </w:rPr>
              <w:t>未检出</w:t>
            </w:r>
          </w:p>
        </w:tc>
        <w:tc>
          <w:tcPr>
            <w:tcW w:w="482" w:type="pct"/>
            <w:tcBorders>
              <w:tl2br w:val="nil"/>
              <w:tr2bl w:val="nil"/>
            </w:tcBorders>
            <w:vAlign w:val="center"/>
          </w:tcPr>
          <w:p w14:paraId="27BBE6B9">
            <w:pPr>
              <w:pStyle w:val="41"/>
              <w:rPr>
                <w:color w:val="auto"/>
                <w:highlight w:val="none"/>
              </w:rPr>
            </w:pPr>
            <w:r>
              <w:rPr>
                <w:color w:val="auto"/>
                <w:highlight w:val="none"/>
              </w:rPr>
              <w:t>未检出</w:t>
            </w:r>
          </w:p>
        </w:tc>
        <w:tc>
          <w:tcPr>
            <w:tcW w:w="482" w:type="pct"/>
            <w:tcBorders>
              <w:tl2br w:val="nil"/>
              <w:tr2bl w:val="nil"/>
            </w:tcBorders>
            <w:vAlign w:val="center"/>
          </w:tcPr>
          <w:p w14:paraId="6E8F0E89">
            <w:pPr>
              <w:pStyle w:val="41"/>
              <w:rPr>
                <w:color w:val="auto"/>
                <w:highlight w:val="none"/>
              </w:rPr>
            </w:pPr>
            <w:r>
              <w:rPr>
                <w:color w:val="auto"/>
                <w:highlight w:val="none"/>
              </w:rPr>
              <w:t>未检出</w:t>
            </w:r>
          </w:p>
        </w:tc>
        <w:tc>
          <w:tcPr>
            <w:tcW w:w="482" w:type="pct"/>
            <w:tcBorders>
              <w:tl2br w:val="nil"/>
              <w:tr2bl w:val="nil"/>
            </w:tcBorders>
            <w:vAlign w:val="center"/>
          </w:tcPr>
          <w:p w14:paraId="012D9AFB">
            <w:pPr>
              <w:pStyle w:val="41"/>
              <w:rPr>
                <w:color w:val="auto"/>
                <w:highlight w:val="none"/>
              </w:rPr>
            </w:pPr>
            <w:r>
              <w:rPr>
                <w:color w:val="auto"/>
                <w:highlight w:val="none"/>
              </w:rPr>
              <w:t>未检出</w:t>
            </w:r>
          </w:p>
        </w:tc>
        <w:tc>
          <w:tcPr>
            <w:tcW w:w="784" w:type="pct"/>
            <w:tcBorders>
              <w:tl2br w:val="nil"/>
              <w:tr2bl w:val="nil"/>
            </w:tcBorders>
            <w:vAlign w:val="center"/>
          </w:tcPr>
          <w:p w14:paraId="4D9F3060">
            <w:pPr>
              <w:pStyle w:val="41"/>
              <w:rPr>
                <w:color w:val="auto"/>
                <w:highlight w:val="none"/>
              </w:rPr>
            </w:pPr>
            <w:r>
              <w:rPr>
                <w:color w:val="auto"/>
                <w:highlight w:val="none"/>
              </w:rPr>
              <w:t>1293</w:t>
            </w:r>
          </w:p>
        </w:tc>
      </w:tr>
      <w:tr w14:paraId="46B2A2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4A10C6B5">
            <w:pPr>
              <w:pStyle w:val="41"/>
              <w:rPr>
                <w:color w:val="auto"/>
                <w:highlight w:val="none"/>
              </w:rPr>
            </w:pPr>
            <w:r>
              <w:rPr>
                <w:color w:val="auto"/>
                <w:highlight w:val="none"/>
              </w:rPr>
              <w:t>二苯并[a,h]蒽</w:t>
            </w:r>
          </w:p>
        </w:tc>
        <w:tc>
          <w:tcPr>
            <w:tcW w:w="492" w:type="pct"/>
            <w:tcBorders>
              <w:tl2br w:val="nil"/>
              <w:tr2bl w:val="nil"/>
            </w:tcBorders>
            <w:vAlign w:val="center"/>
          </w:tcPr>
          <w:p w14:paraId="00A3EBCB">
            <w:pPr>
              <w:pStyle w:val="41"/>
              <w:rPr>
                <w:color w:val="auto"/>
                <w:highlight w:val="none"/>
              </w:rPr>
            </w:pPr>
            <w:r>
              <w:rPr>
                <w:color w:val="auto"/>
                <w:highlight w:val="none"/>
              </w:rPr>
              <w:t>mg/kg</w:t>
            </w:r>
          </w:p>
        </w:tc>
        <w:tc>
          <w:tcPr>
            <w:tcW w:w="482" w:type="pct"/>
            <w:tcBorders>
              <w:tl2br w:val="nil"/>
              <w:tr2bl w:val="nil"/>
            </w:tcBorders>
            <w:vAlign w:val="center"/>
          </w:tcPr>
          <w:p w14:paraId="2B997CA6">
            <w:pPr>
              <w:pStyle w:val="41"/>
              <w:rPr>
                <w:color w:val="auto"/>
                <w:highlight w:val="none"/>
              </w:rPr>
            </w:pPr>
            <w:r>
              <w:rPr>
                <w:color w:val="auto"/>
                <w:highlight w:val="none"/>
              </w:rPr>
              <w:t>未检出</w:t>
            </w:r>
          </w:p>
        </w:tc>
        <w:tc>
          <w:tcPr>
            <w:tcW w:w="482" w:type="pct"/>
            <w:tcBorders>
              <w:tl2br w:val="nil"/>
              <w:tr2bl w:val="nil"/>
            </w:tcBorders>
            <w:vAlign w:val="center"/>
          </w:tcPr>
          <w:p w14:paraId="3A4FC519">
            <w:pPr>
              <w:pStyle w:val="41"/>
              <w:rPr>
                <w:color w:val="auto"/>
                <w:highlight w:val="none"/>
              </w:rPr>
            </w:pPr>
            <w:r>
              <w:rPr>
                <w:color w:val="auto"/>
                <w:highlight w:val="none"/>
              </w:rPr>
              <w:t>未检出</w:t>
            </w:r>
          </w:p>
        </w:tc>
        <w:tc>
          <w:tcPr>
            <w:tcW w:w="482" w:type="pct"/>
            <w:tcBorders>
              <w:tl2br w:val="nil"/>
              <w:tr2bl w:val="nil"/>
            </w:tcBorders>
            <w:vAlign w:val="center"/>
          </w:tcPr>
          <w:p w14:paraId="2149186D">
            <w:pPr>
              <w:pStyle w:val="41"/>
              <w:rPr>
                <w:color w:val="auto"/>
                <w:highlight w:val="none"/>
              </w:rPr>
            </w:pPr>
            <w:r>
              <w:rPr>
                <w:color w:val="auto"/>
                <w:highlight w:val="none"/>
              </w:rPr>
              <w:t>未检出</w:t>
            </w:r>
          </w:p>
        </w:tc>
        <w:tc>
          <w:tcPr>
            <w:tcW w:w="482" w:type="pct"/>
            <w:tcBorders>
              <w:tl2br w:val="nil"/>
              <w:tr2bl w:val="nil"/>
            </w:tcBorders>
            <w:vAlign w:val="center"/>
          </w:tcPr>
          <w:p w14:paraId="0C3AE292">
            <w:pPr>
              <w:pStyle w:val="41"/>
              <w:rPr>
                <w:color w:val="auto"/>
                <w:highlight w:val="none"/>
              </w:rPr>
            </w:pPr>
            <w:r>
              <w:rPr>
                <w:color w:val="auto"/>
                <w:highlight w:val="none"/>
              </w:rPr>
              <w:t>未检出</w:t>
            </w:r>
          </w:p>
        </w:tc>
        <w:tc>
          <w:tcPr>
            <w:tcW w:w="482" w:type="pct"/>
            <w:tcBorders>
              <w:tl2br w:val="nil"/>
              <w:tr2bl w:val="nil"/>
            </w:tcBorders>
            <w:vAlign w:val="center"/>
          </w:tcPr>
          <w:p w14:paraId="4A12ADC4">
            <w:pPr>
              <w:pStyle w:val="41"/>
              <w:rPr>
                <w:color w:val="auto"/>
                <w:highlight w:val="none"/>
              </w:rPr>
            </w:pPr>
            <w:r>
              <w:rPr>
                <w:color w:val="auto"/>
                <w:highlight w:val="none"/>
              </w:rPr>
              <w:t>未检出</w:t>
            </w:r>
          </w:p>
        </w:tc>
        <w:tc>
          <w:tcPr>
            <w:tcW w:w="482" w:type="pct"/>
            <w:tcBorders>
              <w:tl2br w:val="nil"/>
              <w:tr2bl w:val="nil"/>
            </w:tcBorders>
            <w:vAlign w:val="center"/>
          </w:tcPr>
          <w:p w14:paraId="49A110EB">
            <w:pPr>
              <w:pStyle w:val="41"/>
              <w:rPr>
                <w:color w:val="auto"/>
                <w:highlight w:val="none"/>
              </w:rPr>
            </w:pPr>
            <w:r>
              <w:rPr>
                <w:color w:val="auto"/>
                <w:highlight w:val="none"/>
              </w:rPr>
              <w:t>未检出</w:t>
            </w:r>
          </w:p>
        </w:tc>
        <w:tc>
          <w:tcPr>
            <w:tcW w:w="784" w:type="pct"/>
            <w:tcBorders>
              <w:tl2br w:val="nil"/>
              <w:tr2bl w:val="nil"/>
            </w:tcBorders>
            <w:vAlign w:val="center"/>
          </w:tcPr>
          <w:p w14:paraId="4312E39C">
            <w:pPr>
              <w:pStyle w:val="41"/>
              <w:rPr>
                <w:color w:val="auto"/>
                <w:highlight w:val="none"/>
              </w:rPr>
            </w:pPr>
            <w:r>
              <w:rPr>
                <w:color w:val="auto"/>
                <w:highlight w:val="none"/>
              </w:rPr>
              <w:t>1.5</w:t>
            </w:r>
          </w:p>
        </w:tc>
      </w:tr>
      <w:tr w14:paraId="1F783C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4E037AC6">
            <w:pPr>
              <w:pStyle w:val="41"/>
              <w:rPr>
                <w:color w:val="auto"/>
                <w:highlight w:val="none"/>
              </w:rPr>
            </w:pPr>
            <w:r>
              <w:rPr>
                <w:color w:val="auto"/>
                <w:highlight w:val="none"/>
              </w:rPr>
              <w:t>茚并[1,2,3-cd]芘</w:t>
            </w:r>
          </w:p>
        </w:tc>
        <w:tc>
          <w:tcPr>
            <w:tcW w:w="492" w:type="pct"/>
            <w:tcBorders>
              <w:tl2br w:val="nil"/>
              <w:tr2bl w:val="nil"/>
            </w:tcBorders>
            <w:vAlign w:val="center"/>
          </w:tcPr>
          <w:p w14:paraId="7689D824">
            <w:pPr>
              <w:pStyle w:val="41"/>
              <w:rPr>
                <w:color w:val="auto"/>
                <w:highlight w:val="none"/>
              </w:rPr>
            </w:pPr>
            <w:r>
              <w:rPr>
                <w:color w:val="auto"/>
                <w:highlight w:val="none"/>
              </w:rPr>
              <w:t>mg/kg</w:t>
            </w:r>
          </w:p>
        </w:tc>
        <w:tc>
          <w:tcPr>
            <w:tcW w:w="482" w:type="pct"/>
            <w:tcBorders>
              <w:tl2br w:val="nil"/>
              <w:tr2bl w:val="nil"/>
            </w:tcBorders>
            <w:vAlign w:val="center"/>
          </w:tcPr>
          <w:p w14:paraId="2135D198">
            <w:pPr>
              <w:pStyle w:val="41"/>
              <w:rPr>
                <w:color w:val="auto"/>
                <w:highlight w:val="none"/>
              </w:rPr>
            </w:pPr>
            <w:r>
              <w:rPr>
                <w:color w:val="auto"/>
                <w:highlight w:val="none"/>
              </w:rPr>
              <w:t>未检出</w:t>
            </w:r>
          </w:p>
        </w:tc>
        <w:tc>
          <w:tcPr>
            <w:tcW w:w="482" w:type="pct"/>
            <w:tcBorders>
              <w:tl2br w:val="nil"/>
              <w:tr2bl w:val="nil"/>
            </w:tcBorders>
            <w:vAlign w:val="center"/>
          </w:tcPr>
          <w:p w14:paraId="28B67914">
            <w:pPr>
              <w:pStyle w:val="41"/>
              <w:rPr>
                <w:color w:val="auto"/>
                <w:highlight w:val="none"/>
              </w:rPr>
            </w:pPr>
            <w:r>
              <w:rPr>
                <w:color w:val="auto"/>
                <w:highlight w:val="none"/>
              </w:rPr>
              <w:t>未检出</w:t>
            </w:r>
          </w:p>
        </w:tc>
        <w:tc>
          <w:tcPr>
            <w:tcW w:w="482" w:type="pct"/>
            <w:tcBorders>
              <w:tl2br w:val="nil"/>
              <w:tr2bl w:val="nil"/>
            </w:tcBorders>
            <w:vAlign w:val="center"/>
          </w:tcPr>
          <w:p w14:paraId="7B4FCB54">
            <w:pPr>
              <w:pStyle w:val="41"/>
              <w:rPr>
                <w:color w:val="auto"/>
                <w:highlight w:val="none"/>
              </w:rPr>
            </w:pPr>
            <w:r>
              <w:rPr>
                <w:color w:val="auto"/>
                <w:highlight w:val="none"/>
              </w:rPr>
              <w:t>未检出</w:t>
            </w:r>
          </w:p>
        </w:tc>
        <w:tc>
          <w:tcPr>
            <w:tcW w:w="482" w:type="pct"/>
            <w:tcBorders>
              <w:tl2br w:val="nil"/>
              <w:tr2bl w:val="nil"/>
            </w:tcBorders>
            <w:vAlign w:val="center"/>
          </w:tcPr>
          <w:p w14:paraId="3F385844">
            <w:pPr>
              <w:pStyle w:val="41"/>
              <w:rPr>
                <w:color w:val="auto"/>
                <w:highlight w:val="none"/>
              </w:rPr>
            </w:pPr>
            <w:r>
              <w:rPr>
                <w:color w:val="auto"/>
                <w:highlight w:val="none"/>
              </w:rPr>
              <w:t>未检出</w:t>
            </w:r>
          </w:p>
        </w:tc>
        <w:tc>
          <w:tcPr>
            <w:tcW w:w="482" w:type="pct"/>
            <w:tcBorders>
              <w:tl2br w:val="nil"/>
              <w:tr2bl w:val="nil"/>
            </w:tcBorders>
            <w:vAlign w:val="center"/>
          </w:tcPr>
          <w:p w14:paraId="6F9F0131">
            <w:pPr>
              <w:pStyle w:val="41"/>
              <w:rPr>
                <w:color w:val="auto"/>
                <w:highlight w:val="none"/>
              </w:rPr>
            </w:pPr>
            <w:r>
              <w:rPr>
                <w:color w:val="auto"/>
                <w:highlight w:val="none"/>
              </w:rPr>
              <w:t>未检出</w:t>
            </w:r>
          </w:p>
        </w:tc>
        <w:tc>
          <w:tcPr>
            <w:tcW w:w="482" w:type="pct"/>
            <w:tcBorders>
              <w:tl2br w:val="nil"/>
              <w:tr2bl w:val="nil"/>
            </w:tcBorders>
            <w:vAlign w:val="center"/>
          </w:tcPr>
          <w:p w14:paraId="41FDA27F">
            <w:pPr>
              <w:pStyle w:val="41"/>
              <w:rPr>
                <w:color w:val="auto"/>
                <w:highlight w:val="none"/>
              </w:rPr>
            </w:pPr>
            <w:r>
              <w:rPr>
                <w:color w:val="auto"/>
                <w:highlight w:val="none"/>
              </w:rPr>
              <w:t>未检出</w:t>
            </w:r>
          </w:p>
        </w:tc>
        <w:tc>
          <w:tcPr>
            <w:tcW w:w="784" w:type="pct"/>
            <w:tcBorders>
              <w:tl2br w:val="nil"/>
              <w:tr2bl w:val="nil"/>
            </w:tcBorders>
            <w:vAlign w:val="center"/>
          </w:tcPr>
          <w:p w14:paraId="3A4FB8FB">
            <w:pPr>
              <w:pStyle w:val="41"/>
              <w:rPr>
                <w:color w:val="auto"/>
                <w:highlight w:val="none"/>
              </w:rPr>
            </w:pPr>
            <w:r>
              <w:rPr>
                <w:color w:val="auto"/>
                <w:highlight w:val="none"/>
              </w:rPr>
              <w:t>15</w:t>
            </w:r>
          </w:p>
        </w:tc>
      </w:tr>
      <w:tr w14:paraId="296A37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62BC2A89">
            <w:pPr>
              <w:pStyle w:val="41"/>
              <w:rPr>
                <w:color w:val="auto"/>
                <w:highlight w:val="none"/>
              </w:rPr>
            </w:pPr>
            <w:r>
              <w:rPr>
                <w:color w:val="auto"/>
                <w:highlight w:val="none"/>
              </w:rPr>
              <w:t>萘</w:t>
            </w:r>
          </w:p>
        </w:tc>
        <w:tc>
          <w:tcPr>
            <w:tcW w:w="492" w:type="pct"/>
            <w:tcBorders>
              <w:tl2br w:val="nil"/>
              <w:tr2bl w:val="nil"/>
            </w:tcBorders>
            <w:vAlign w:val="center"/>
          </w:tcPr>
          <w:p w14:paraId="67B8AF5F">
            <w:pPr>
              <w:pStyle w:val="41"/>
              <w:rPr>
                <w:color w:val="auto"/>
                <w:highlight w:val="none"/>
              </w:rPr>
            </w:pPr>
            <w:r>
              <w:rPr>
                <w:color w:val="auto"/>
                <w:highlight w:val="none"/>
              </w:rPr>
              <w:t>mg/kg</w:t>
            </w:r>
          </w:p>
        </w:tc>
        <w:tc>
          <w:tcPr>
            <w:tcW w:w="482" w:type="pct"/>
            <w:tcBorders>
              <w:tl2br w:val="nil"/>
              <w:tr2bl w:val="nil"/>
            </w:tcBorders>
            <w:vAlign w:val="center"/>
          </w:tcPr>
          <w:p w14:paraId="332CB50A">
            <w:pPr>
              <w:pStyle w:val="41"/>
              <w:rPr>
                <w:color w:val="auto"/>
                <w:highlight w:val="none"/>
              </w:rPr>
            </w:pPr>
            <w:r>
              <w:rPr>
                <w:color w:val="auto"/>
                <w:highlight w:val="none"/>
              </w:rPr>
              <w:t>未检出</w:t>
            </w:r>
          </w:p>
        </w:tc>
        <w:tc>
          <w:tcPr>
            <w:tcW w:w="482" w:type="pct"/>
            <w:tcBorders>
              <w:tl2br w:val="nil"/>
              <w:tr2bl w:val="nil"/>
            </w:tcBorders>
            <w:vAlign w:val="center"/>
          </w:tcPr>
          <w:p w14:paraId="552A1F31">
            <w:pPr>
              <w:pStyle w:val="41"/>
              <w:rPr>
                <w:color w:val="auto"/>
                <w:highlight w:val="none"/>
              </w:rPr>
            </w:pPr>
            <w:r>
              <w:rPr>
                <w:color w:val="auto"/>
                <w:highlight w:val="none"/>
              </w:rPr>
              <w:t>未检出</w:t>
            </w:r>
          </w:p>
        </w:tc>
        <w:tc>
          <w:tcPr>
            <w:tcW w:w="482" w:type="pct"/>
            <w:tcBorders>
              <w:tl2br w:val="nil"/>
              <w:tr2bl w:val="nil"/>
            </w:tcBorders>
            <w:vAlign w:val="center"/>
          </w:tcPr>
          <w:p w14:paraId="4BFB7D7B">
            <w:pPr>
              <w:pStyle w:val="41"/>
              <w:rPr>
                <w:color w:val="auto"/>
                <w:highlight w:val="none"/>
              </w:rPr>
            </w:pPr>
            <w:r>
              <w:rPr>
                <w:color w:val="auto"/>
                <w:highlight w:val="none"/>
              </w:rPr>
              <w:t>未检出</w:t>
            </w:r>
          </w:p>
        </w:tc>
        <w:tc>
          <w:tcPr>
            <w:tcW w:w="482" w:type="pct"/>
            <w:tcBorders>
              <w:tl2br w:val="nil"/>
              <w:tr2bl w:val="nil"/>
            </w:tcBorders>
            <w:vAlign w:val="center"/>
          </w:tcPr>
          <w:p w14:paraId="0A09B9FE">
            <w:pPr>
              <w:pStyle w:val="41"/>
              <w:rPr>
                <w:color w:val="auto"/>
                <w:highlight w:val="none"/>
              </w:rPr>
            </w:pPr>
            <w:r>
              <w:rPr>
                <w:color w:val="auto"/>
                <w:highlight w:val="none"/>
              </w:rPr>
              <w:t>未检出</w:t>
            </w:r>
          </w:p>
        </w:tc>
        <w:tc>
          <w:tcPr>
            <w:tcW w:w="482" w:type="pct"/>
            <w:tcBorders>
              <w:tl2br w:val="nil"/>
              <w:tr2bl w:val="nil"/>
            </w:tcBorders>
            <w:vAlign w:val="center"/>
          </w:tcPr>
          <w:p w14:paraId="323104BD">
            <w:pPr>
              <w:pStyle w:val="41"/>
              <w:rPr>
                <w:color w:val="auto"/>
                <w:highlight w:val="none"/>
              </w:rPr>
            </w:pPr>
            <w:r>
              <w:rPr>
                <w:color w:val="auto"/>
                <w:highlight w:val="none"/>
              </w:rPr>
              <w:t>未检出</w:t>
            </w:r>
          </w:p>
        </w:tc>
        <w:tc>
          <w:tcPr>
            <w:tcW w:w="482" w:type="pct"/>
            <w:tcBorders>
              <w:tl2br w:val="nil"/>
              <w:tr2bl w:val="nil"/>
            </w:tcBorders>
            <w:vAlign w:val="center"/>
          </w:tcPr>
          <w:p w14:paraId="1D8F9ABB">
            <w:pPr>
              <w:pStyle w:val="41"/>
              <w:rPr>
                <w:color w:val="auto"/>
                <w:highlight w:val="none"/>
              </w:rPr>
            </w:pPr>
            <w:r>
              <w:rPr>
                <w:color w:val="auto"/>
                <w:highlight w:val="none"/>
              </w:rPr>
              <w:t>未检出</w:t>
            </w:r>
          </w:p>
        </w:tc>
        <w:tc>
          <w:tcPr>
            <w:tcW w:w="784" w:type="pct"/>
            <w:tcBorders>
              <w:tl2br w:val="nil"/>
              <w:tr2bl w:val="nil"/>
            </w:tcBorders>
            <w:vAlign w:val="center"/>
          </w:tcPr>
          <w:p w14:paraId="292FCA22">
            <w:pPr>
              <w:pStyle w:val="41"/>
              <w:rPr>
                <w:color w:val="auto"/>
                <w:highlight w:val="none"/>
              </w:rPr>
            </w:pPr>
            <w:r>
              <w:rPr>
                <w:color w:val="auto"/>
                <w:highlight w:val="none"/>
              </w:rPr>
              <w:t>70</w:t>
            </w:r>
          </w:p>
        </w:tc>
      </w:tr>
      <w:tr w14:paraId="5862A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6AEB3E7C">
            <w:pPr>
              <w:pStyle w:val="41"/>
              <w:rPr>
                <w:color w:val="auto"/>
                <w:highlight w:val="none"/>
              </w:rPr>
            </w:pPr>
            <w:r>
              <w:rPr>
                <w:color w:val="auto"/>
                <w:highlight w:val="none"/>
              </w:rPr>
              <w:t>pH值</w:t>
            </w:r>
          </w:p>
        </w:tc>
        <w:tc>
          <w:tcPr>
            <w:tcW w:w="492" w:type="pct"/>
            <w:tcBorders>
              <w:tl2br w:val="nil"/>
              <w:tr2bl w:val="nil"/>
            </w:tcBorders>
            <w:vAlign w:val="center"/>
          </w:tcPr>
          <w:p w14:paraId="5DC90FC9">
            <w:pPr>
              <w:pStyle w:val="41"/>
              <w:rPr>
                <w:color w:val="auto"/>
                <w:highlight w:val="none"/>
              </w:rPr>
            </w:pPr>
            <w:r>
              <w:rPr>
                <w:color w:val="auto"/>
                <w:highlight w:val="none"/>
              </w:rPr>
              <w:t>无量纲</w:t>
            </w:r>
          </w:p>
        </w:tc>
        <w:tc>
          <w:tcPr>
            <w:tcW w:w="482" w:type="pct"/>
            <w:tcBorders>
              <w:tl2br w:val="nil"/>
              <w:tr2bl w:val="nil"/>
            </w:tcBorders>
            <w:vAlign w:val="center"/>
          </w:tcPr>
          <w:p w14:paraId="056F6BDD">
            <w:pPr>
              <w:pStyle w:val="41"/>
              <w:rPr>
                <w:color w:val="auto"/>
                <w:highlight w:val="none"/>
              </w:rPr>
            </w:pPr>
            <w:r>
              <w:rPr>
                <w:color w:val="auto"/>
                <w:highlight w:val="none"/>
              </w:rPr>
              <w:t>7.84</w:t>
            </w:r>
          </w:p>
        </w:tc>
        <w:tc>
          <w:tcPr>
            <w:tcW w:w="482" w:type="pct"/>
            <w:tcBorders>
              <w:tl2br w:val="nil"/>
              <w:tr2bl w:val="nil"/>
            </w:tcBorders>
            <w:vAlign w:val="center"/>
          </w:tcPr>
          <w:p w14:paraId="1E89A899">
            <w:pPr>
              <w:pStyle w:val="41"/>
              <w:rPr>
                <w:color w:val="auto"/>
                <w:highlight w:val="none"/>
              </w:rPr>
            </w:pPr>
            <w:r>
              <w:rPr>
                <w:color w:val="auto"/>
                <w:highlight w:val="none"/>
              </w:rPr>
              <w:t>7.99</w:t>
            </w:r>
          </w:p>
        </w:tc>
        <w:tc>
          <w:tcPr>
            <w:tcW w:w="482" w:type="pct"/>
            <w:tcBorders>
              <w:tl2br w:val="nil"/>
              <w:tr2bl w:val="nil"/>
            </w:tcBorders>
            <w:vAlign w:val="center"/>
          </w:tcPr>
          <w:p w14:paraId="2215A89C">
            <w:pPr>
              <w:pStyle w:val="41"/>
              <w:rPr>
                <w:color w:val="auto"/>
                <w:highlight w:val="none"/>
              </w:rPr>
            </w:pPr>
            <w:r>
              <w:rPr>
                <w:color w:val="auto"/>
                <w:highlight w:val="none"/>
              </w:rPr>
              <w:t>8.04</w:t>
            </w:r>
          </w:p>
        </w:tc>
        <w:tc>
          <w:tcPr>
            <w:tcW w:w="482" w:type="pct"/>
            <w:tcBorders>
              <w:tl2br w:val="nil"/>
              <w:tr2bl w:val="nil"/>
            </w:tcBorders>
            <w:vAlign w:val="center"/>
          </w:tcPr>
          <w:p w14:paraId="33F236E6">
            <w:pPr>
              <w:pStyle w:val="41"/>
              <w:rPr>
                <w:color w:val="auto"/>
                <w:highlight w:val="none"/>
              </w:rPr>
            </w:pPr>
            <w:r>
              <w:rPr>
                <w:color w:val="auto"/>
                <w:highlight w:val="none"/>
              </w:rPr>
              <w:t>7.94</w:t>
            </w:r>
          </w:p>
        </w:tc>
        <w:tc>
          <w:tcPr>
            <w:tcW w:w="482" w:type="pct"/>
            <w:tcBorders>
              <w:tl2br w:val="nil"/>
              <w:tr2bl w:val="nil"/>
            </w:tcBorders>
            <w:vAlign w:val="center"/>
          </w:tcPr>
          <w:p w14:paraId="6E30E14E">
            <w:pPr>
              <w:pStyle w:val="41"/>
              <w:rPr>
                <w:color w:val="auto"/>
                <w:highlight w:val="none"/>
              </w:rPr>
            </w:pPr>
            <w:r>
              <w:rPr>
                <w:color w:val="auto"/>
                <w:highlight w:val="none"/>
              </w:rPr>
              <w:t>7.87</w:t>
            </w:r>
          </w:p>
        </w:tc>
        <w:tc>
          <w:tcPr>
            <w:tcW w:w="482" w:type="pct"/>
            <w:tcBorders>
              <w:tl2br w:val="nil"/>
              <w:tr2bl w:val="nil"/>
            </w:tcBorders>
            <w:vAlign w:val="center"/>
          </w:tcPr>
          <w:p w14:paraId="64405FAD">
            <w:pPr>
              <w:pStyle w:val="41"/>
              <w:rPr>
                <w:color w:val="auto"/>
                <w:highlight w:val="none"/>
              </w:rPr>
            </w:pPr>
            <w:r>
              <w:rPr>
                <w:color w:val="auto"/>
                <w:highlight w:val="none"/>
              </w:rPr>
              <w:t>7.91</w:t>
            </w:r>
          </w:p>
        </w:tc>
        <w:tc>
          <w:tcPr>
            <w:tcW w:w="784" w:type="pct"/>
            <w:tcBorders>
              <w:tl2br w:val="nil"/>
              <w:tr2bl w:val="nil"/>
            </w:tcBorders>
            <w:vAlign w:val="center"/>
          </w:tcPr>
          <w:p w14:paraId="14A350E2">
            <w:pPr>
              <w:pStyle w:val="41"/>
              <w:rPr>
                <w:color w:val="auto"/>
                <w:highlight w:val="none"/>
              </w:rPr>
            </w:pPr>
            <w:r>
              <w:rPr>
                <w:color w:val="auto"/>
                <w:highlight w:val="none"/>
              </w:rPr>
              <w:t>--</w:t>
            </w:r>
          </w:p>
        </w:tc>
      </w:tr>
      <w:tr w14:paraId="146808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5C280D90">
            <w:pPr>
              <w:pStyle w:val="41"/>
              <w:rPr>
                <w:color w:val="auto"/>
                <w:highlight w:val="none"/>
              </w:rPr>
            </w:pPr>
            <w:r>
              <w:rPr>
                <w:color w:val="auto"/>
                <w:highlight w:val="none"/>
              </w:rPr>
              <w:t>氟化物</w:t>
            </w:r>
          </w:p>
        </w:tc>
        <w:tc>
          <w:tcPr>
            <w:tcW w:w="492" w:type="pct"/>
            <w:tcBorders>
              <w:tl2br w:val="nil"/>
              <w:tr2bl w:val="nil"/>
            </w:tcBorders>
            <w:vAlign w:val="center"/>
          </w:tcPr>
          <w:p w14:paraId="079D3F82">
            <w:pPr>
              <w:pStyle w:val="41"/>
              <w:rPr>
                <w:color w:val="auto"/>
                <w:highlight w:val="none"/>
              </w:rPr>
            </w:pPr>
            <w:r>
              <w:rPr>
                <w:color w:val="auto"/>
                <w:highlight w:val="none"/>
              </w:rPr>
              <w:t>mg/kg</w:t>
            </w:r>
          </w:p>
        </w:tc>
        <w:tc>
          <w:tcPr>
            <w:tcW w:w="482" w:type="pct"/>
            <w:tcBorders>
              <w:tl2br w:val="nil"/>
              <w:tr2bl w:val="nil"/>
            </w:tcBorders>
            <w:vAlign w:val="center"/>
          </w:tcPr>
          <w:p w14:paraId="369A0ACF">
            <w:pPr>
              <w:pStyle w:val="41"/>
              <w:rPr>
                <w:color w:val="auto"/>
                <w:highlight w:val="none"/>
              </w:rPr>
            </w:pPr>
            <w:r>
              <w:rPr>
                <w:color w:val="auto"/>
                <w:highlight w:val="none"/>
              </w:rPr>
              <w:t>174</w:t>
            </w:r>
          </w:p>
        </w:tc>
        <w:tc>
          <w:tcPr>
            <w:tcW w:w="482" w:type="pct"/>
            <w:tcBorders>
              <w:tl2br w:val="nil"/>
              <w:tr2bl w:val="nil"/>
            </w:tcBorders>
            <w:vAlign w:val="center"/>
          </w:tcPr>
          <w:p w14:paraId="4E9D83F6">
            <w:pPr>
              <w:pStyle w:val="41"/>
              <w:rPr>
                <w:color w:val="auto"/>
                <w:highlight w:val="none"/>
              </w:rPr>
            </w:pPr>
            <w:r>
              <w:rPr>
                <w:color w:val="auto"/>
                <w:highlight w:val="none"/>
              </w:rPr>
              <w:t>186</w:t>
            </w:r>
          </w:p>
        </w:tc>
        <w:tc>
          <w:tcPr>
            <w:tcW w:w="482" w:type="pct"/>
            <w:tcBorders>
              <w:tl2br w:val="nil"/>
              <w:tr2bl w:val="nil"/>
            </w:tcBorders>
            <w:vAlign w:val="center"/>
          </w:tcPr>
          <w:p w14:paraId="0BDC4944">
            <w:pPr>
              <w:pStyle w:val="41"/>
              <w:rPr>
                <w:color w:val="auto"/>
                <w:highlight w:val="none"/>
              </w:rPr>
            </w:pPr>
            <w:r>
              <w:rPr>
                <w:color w:val="auto"/>
                <w:highlight w:val="none"/>
              </w:rPr>
              <w:t>194</w:t>
            </w:r>
          </w:p>
        </w:tc>
        <w:tc>
          <w:tcPr>
            <w:tcW w:w="482" w:type="pct"/>
            <w:tcBorders>
              <w:tl2br w:val="nil"/>
              <w:tr2bl w:val="nil"/>
            </w:tcBorders>
            <w:vAlign w:val="center"/>
          </w:tcPr>
          <w:p w14:paraId="1CF36177">
            <w:pPr>
              <w:pStyle w:val="41"/>
              <w:rPr>
                <w:color w:val="auto"/>
                <w:highlight w:val="none"/>
              </w:rPr>
            </w:pPr>
            <w:r>
              <w:rPr>
                <w:color w:val="auto"/>
                <w:highlight w:val="none"/>
              </w:rPr>
              <w:t>186</w:t>
            </w:r>
          </w:p>
        </w:tc>
        <w:tc>
          <w:tcPr>
            <w:tcW w:w="482" w:type="pct"/>
            <w:tcBorders>
              <w:tl2br w:val="nil"/>
              <w:tr2bl w:val="nil"/>
            </w:tcBorders>
            <w:vAlign w:val="center"/>
          </w:tcPr>
          <w:p w14:paraId="3FEEC8B4">
            <w:pPr>
              <w:pStyle w:val="41"/>
              <w:rPr>
                <w:color w:val="auto"/>
                <w:highlight w:val="none"/>
              </w:rPr>
            </w:pPr>
            <w:r>
              <w:rPr>
                <w:color w:val="auto"/>
                <w:highlight w:val="none"/>
              </w:rPr>
              <w:t>194</w:t>
            </w:r>
          </w:p>
        </w:tc>
        <w:tc>
          <w:tcPr>
            <w:tcW w:w="482" w:type="pct"/>
            <w:tcBorders>
              <w:tl2br w:val="nil"/>
              <w:tr2bl w:val="nil"/>
            </w:tcBorders>
            <w:vAlign w:val="center"/>
          </w:tcPr>
          <w:p w14:paraId="46967D41">
            <w:pPr>
              <w:pStyle w:val="41"/>
              <w:rPr>
                <w:color w:val="auto"/>
                <w:highlight w:val="none"/>
              </w:rPr>
            </w:pPr>
            <w:r>
              <w:rPr>
                <w:color w:val="auto"/>
                <w:highlight w:val="none"/>
              </w:rPr>
              <w:t>164</w:t>
            </w:r>
          </w:p>
        </w:tc>
        <w:tc>
          <w:tcPr>
            <w:tcW w:w="784" w:type="pct"/>
            <w:tcBorders>
              <w:tl2br w:val="nil"/>
              <w:tr2bl w:val="nil"/>
            </w:tcBorders>
            <w:vAlign w:val="center"/>
          </w:tcPr>
          <w:p w14:paraId="164FF49E">
            <w:pPr>
              <w:pStyle w:val="41"/>
              <w:rPr>
                <w:color w:val="auto"/>
                <w:highlight w:val="none"/>
              </w:rPr>
            </w:pPr>
            <w:r>
              <w:rPr>
                <w:color w:val="auto"/>
                <w:highlight w:val="none"/>
              </w:rPr>
              <w:t>--</w:t>
            </w:r>
          </w:p>
        </w:tc>
      </w:tr>
      <w:tr w14:paraId="7713E9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76113139">
            <w:pPr>
              <w:pStyle w:val="41"/>
              <w:rPr>
                <w:color w:val="auto"/>
                <w:highlight w:val="none"/>
              </w:rPr>
            </w:pPr>
            <w:r>
              <w:rPr>
                <w:color w:val="auto"/>
                <w:highlight w:val="none"/>
              </w:rPr>
              <w:t>铁</w:t>
            </w:r>
          </w:p>
        </w:tc>
        <w:tc>
          <w:tcPr>
            <w:tcW w:w="492" w:type="pct"/>
            <w:tcBorders>
              <w:tl2br w:val="nil"/>
              <w:tr2bl w:val="nil"/>
            </w:tcBorders>
            <w:vAlign w:val="center"/>
          </w:tcPr>
          <w:p w14:paraId="0C9A5DD5">
            <w:pPr>
              <w:pStyle w:val="41"/>
              <w:rPr>
                <w:color w:val="auto"/>
                <w:highlight w:val="none"/>
              </w:rPr>
            </w:pPr>
            <w:r>
              <w:rPr>
                <w:color w:val="auto"/>
                <w:highlight w:val="none"/>
              </w:rPr>
              <w:t>%</w:t>
            </w:r>
          </w:p>
        </w:tc>
        <w:tc>
          <w:tcPr>
            <w:tcW w:w="482" w:type="pct"/>
            <w:tcBorders>
              <w:tl2br w:val="nil"/>
              <w:tr2bl w:val="nil"/>
            </w:tcBorders>
            <w:vAlign w:val="center"/>
          </w:tcPr>
          <w:p w14:paraId="190E6D41">
            <w:pPr>
              <w:pStyle w:val="41"/>
              <w:rPr>
                <w:color w:val="auto"/>
                <w:highlight w:val="none"/>
              </w:rPr>
            </w:pPr>
            <w:r>
              <w:rPr>
                <w:color w:val="auto"/>
                <w:highlight w:val="none"/>
              </w:rPr>
              <w:t>0.05</w:t>
            </w:r>
          </w:p>
        </w:tc>
        <w:tc>
          <w:tcPr>
            <w:tcW w:w="482" w:type="pct"/>
            <w:tcBorders>
              <w:tl2br w:val="nil"/>
              <w:tr2bl w:val="nil"/>
            </w:tcBorders>
            <w:vAlign w:val="center"/>
          </w:tcPr>
          <w:p w14:paraId="598204EB">
            <w:pPr>
              <w:pStyle w:val="41"/>
              <w:rPr>
                <w:color w:val="auto"/>
                <w:highlight w:val="none"/>
              </w:rPr>
            </w:pPr>
            <w:r>
              <w:rPr>
                <w:color w:val="auto"/>
                <w:highlight w:val="none"/>
              </w:rPr>
              <w:t>0.08</w:t>
            </w:r>
          </w:p>
        </w:tc>
        <w:tc>
          <w:tcPr>
            <w:tcW w:w="482" w:type="pct"/>
            <w:tcBorders>
              <w:tl2br w:val="nil"/>
              <w:tr2bl w:val="nil"/>
            </w:tcBorders>
            <w:vAlign w:val="center"/>
          </w:tcPr>
          <w:p w14:paraId="6C038EF3">
            <w:pPr>
              <w:pStyle w:val="41"/>
              <w:rPr>
                <w:color w:val="auto"/>
                <w:highlight w:val="none"/>
              </w:rPr>
            </w:pPr>
            <w:r>
              <w:rPr>
                <w:color w:val="auto"/>
                <w:highlight w:val="none"/>
              </w:rPr>
              <w:t>0.05</w:t>
            </w:r>
          </w:p>
        </w:tc>
        <w:tc>
          <w:tcPr>
            <w:tcW w:w="482" w:type="pct"/>
            <w:tcBorders>
              <w:tl2br w:val="nil"/>
              <w:tr2bl w:val="nil"/>
            </w:tcBorders>
            <w:vAlign w:val="center"/>
          </w:tcPr>
          <w:p w14:paraId="5F8FE97A">
            <w:pPr>
              <w:pStyle w:val="41"/>
              <w:rPr>
                <w:color w:val="auto"/>
                <w:highlight w:val="none"/>
              </w:rPr>
            </w:pPr>
            <w:r>
              <w:rPr>
                <w:color w:val="auto"/>
                <w:highlight w:val="none"/>
              </w:rPr>
              <w:t>0.02</w:t>
            </w:r>
          </w:p>
        </w:tc>
        <w:tc>
          <w:tcPr>
            <w:tcW w:w="482" w:type="pct"/>
            <w:tcBorders>
              <w:tl2br w:val="nil"/>
              <w:tr2bl w:val="nil"/>
            </w:tcBorders>
            <w:vAlign w:val="center"/>
          </w:tcPr>
          <w:p w14:paraId="2EFCC80F">
            <w:pPr>
              <w:pStyle w:val="41"/>
              <w:rPr>
                <w:color w:val="auto"/>
                <w:highlight w:val="none"/>
              </w:rPr>
            </w:pPr>
            <w:r>
              <w:rPr>
                <w:color w:val="auto"/>
                <w:highlight w:val="none"/>
              </w:rPr>
              <w:t>0.05</w:t>
            </w:r>
          </w:p>
        </w:tc>
        <w:tc>
          <w:tcPr>
            <w:tcW w:w="482" w:type="pct"/>
            <w:tcBorders>
              <w:tl2br w:val="nil"/>
              <w:tr2bl w:val="nil"/>
            </w:tcBorders>
            <w:vAlign w:val="center"/>
          </w:tcPr>
          <w:p w14:paraId="3293C004">
            <w:pPr>
              <w:pStyle w:val="41"/>
              <w:rPr>
                <w:color w:val="auto"/>
                <w:highlight w:val="none"/>
              </w:rPr>
            </w:pPr>
            <w:r>
              <w:rPr>
                <w:color w:val="auto"/>
                <w:highlight w:val="none"/>
              </w:rPr>
              <w:t>0.04</w:t>
            </w:r>
          </w:p>
        </w:tc>
        <w:tc>
          <w:tcPr>
            <w:tcW w:w="784" w:type="pct"/>
            <w:tcBorders>
              <w:tl2br w:val="nil"/>
              <w:tr2bl w:val="nil"/>
            </w:tcBorders>
            <w:vAlign w:val="center"/>
          </w:tcPr>
          <w:p w14:paraId="693A27C0">
            <w:pPr>
              <w:pStyle w:val="41"/>
              <w:rPr>
                <w:color w:val="auto"/>
                <w:highlight w:val="none"/>
              </w:rPr>
            </w:pPr>
            <w:r>
              <w:rPr>
                <w:color w:val="auto"/>
                <w:highlight w:val="none"/>
              </w:rPr>
              <w:t>--</w:t>
            </w:r>
          </w:p>
        </w:tc>
      </w:tr>
      <w:tr w14:paraId="07446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51FE7E99">
            <w:pPr>
              <w:pStyle w:val="41"/>
              <w:rPr>
                <w:color w:val="auto"/>
                <w:highlight w:val="none"/>
              </w:rPr>
            </w:pPr>
            <w:r>
              <w:rPr>
                <w:color w:val="auto"/>
                <w:highlight w:val="none"/>
              </w:rPr>
              <w:t>砷</w:t>
            </w:r>
          </w:p>
        </w:tc>
        <w:tc>
          <w:tcPr>
            <w:tcW w:w="492" w:type="pct"/>
            <w:tcBorders>
              <w:tl2br w:val="nil"/>
              <w:tr2bl w:val="nil"/>
            </w:tcBorders>
            <w:vAlign w:val="center"/>
          </w:tcPr>
          <w:p w14:paraId="2B4B94EA">
            <w:pPr>
              <w:pStyle w:val="41"/>
              <w:rPr>
                <w:color w:val="auto"/>
                <w:highlight w:val="none"/>
              </w:rPr>
            </w:pPr>
            <w:r>
              <w:rPr>
                <w:color w:val="auto"/>
                <w:highlight w:val="none"/>
              </w:rPr>
              <w:t>mg/kg</w:t>
            </w:r>
          </w:p>
        </w:tc>
        <w:tc>
          <w:tcPr>
            <w:tcW w:w="482" w:type="pct"/>
            <w:tcBorders>
              <w:tl2br w:val="nil"/>
              <w:tr2bl w:val="nil"/>
            </w:tcBorders>
            <w:vAlign w:val="center"/>
          </w:tcPr>
          <w:p w14:paraId="0D9CACFA">
            <w:pPr>
              <w:pStyle w:val="41"/>
              <w:rPr>
                <w:color w:val="auto"/>
                <w:highlight w:val="none"/>
              </w:rPr>
            </w:pPr>
            <w:r>
              <w:rPr>
                <w:color w:val="auto"/>
                <w:highlight w:val="none"/>
              </w:rPr>
              <w:t>1.2</w:t>
            </w:r>
          </w:p>
        </w:tc>
        <w:tc>
          <w:tcPr>
            <w:tcW w:w="482" w:type="pct"/>
            <w:tcBorders>
              <w:tl2br w:val="nil"/>
              <w:tr2bl w:val="nil"/>
            </w:tcBorders>
            <w:vAlign w:val="center"/>
          </w:tcPr>
          <w:p w14:paraId="4EA4AFBD">
            <w:pPr>
              <w:pStyle w:val="41"/>
              <w:rPr>
                <w:color w:val="auto"/>
                <w:highlight w:val="none"/>
              </w:rPr>
            </w:pPr>
            <w:r>
              <w:rPr>
                <w:color w:val="auto"/>
                <w:highlight w:val="none"/>
              </w:rPr>
              <w:t>3.2</w:t>
            </w:r>
          </w:p>
        </w:tc>
        <w:tc>
          <w:tcPr>
            <w:tcW w:w="482" w:type="pct"/>
            <w:tcBorders>
              <w:tl2br w:val="nil"/>
              <w:tr2bl w:val="nil"/>
            </w:tcBorders>
            <w:vAlign w:val="center"/>
          </w:tcPr>
          <w:p w14:paraId="1EF6B2FD">
            <w:pPr>
              <w:pStyle w:val="41"/>
              <w:rPr>
                <w:color w:val="auto"/>
                <w:highlight w:val="none"/>
              </w:rPr>
            </w:pPr>
            <w:r>
              <w:rPr>
                <w:color w:val="auto"/>
                <w:highlight w:val="none"/>
              </w:rPr>
              <w:t>1.6</w:t>
            </w:r>
          </w:p>
        </w:tc>
        <w:tc>
          <w:tcPr>
            <w:tcW w:w="482" w:type="pct"/>
            <w:tcBorders>
              <w:tl2br w:val="nil"/>
              <w:tr2bl w:val="nil"/>
            </w:tcBorders>
            <w:vAlign w:val="center"/>
          </w:tcPr>
          <w:p w14:paraId="793D58C4">
            <w:pPr>
              <w:pStyle w:val="41"/>
              <w:rPr>
                <w:color w:val="auto"/>
                <w:highlight w:val="none"/>
              </w:rPr>
            </w:pPr>
            <w:r>
              <w:rPr>
                <w:color w:val="auto"/>
                <w:highlight w:val="none"/>
              </w:rPr>
              <w:t>4.4</w:t>
            </w:r>
          </w:p>
        </w:tc>
        <w:tc>
          <w:tcPr>
            <w:tcW w:w="482" w:type="pct"/>
            <w:tcBorders>
              <w:tl2br w:val="nil"/>
              <w:tr2bl w:val="nil"/>
            </w:tcBorders>
            <w:vAlign w:val="center"/>
          </w:tcPr>
          <w:p w14:paraId="418354A2">
            <w:pPr>
              <w:pStyle w:val="41"/>
              <w:rPr>
                <w:color w:val="auto"/>
                <w:highlight w:val="none"/>
              </w:rPr>
            </w:pPr>
            <w:r>
              <w:rPr>
                <w:color w:val="auto"/>
                <w:highlight w:val="none"/>
              </w:rPr>
              <w:t>2.9</w:t>
            </w:r>
          </w:p>
        </w:tc>
        <w:tc>
          <w:tcPr>
            <w:tcW w:w="482" w:type="pct"/>
            <w:tcBorders>
              <w:tl2br w:val="nil"/>
              <w:tr2bl w:val="nil"/>
            </w:tcBorders>
            <w:vAlign w:val="center"/>
          </w:tcPr>
          <w:p w14:paraId="6652A763">
            <w:pPr>
              <w:pStyle w:val="41"/>
              <w:rPr>
                <w:color w:val="auto"/>
                <w:highlight w:val="none"/>
              </w:rPr>
            </w:pPr>
            <w:r>
              <w:rPr>
                <w:color w:val="auto"/>
                <w:highlight w:val="none"/>
              </w:rPr>
              <w:t>3.7</w:t>
            </w:r>
          </w:p>
        </w:tc>
        <w:tc>
          <w:tcPr>
            <w:tcW w:w="784" w:type="pct"/>
            <w:tcBorders>
              <w:tl2br w:val="nil"/>
              <w:tr2bl w:val="nil"/>
            </w:tcBorders>
            <w:vAlign w:val="center"/>
          </w:tcPr>
          <w:p w14:paraId="0BEC6752">
            <w:pPr>
              <w:pStyle w:val="41"/>
              <w:rPr>
                <w:color w:val="auto"/>
                <w:highlight w:val="none"/>
              </w:rPr>
            </w:pPr>
            <w:r>
              <w:rPr>
                <w:color w:val="auto"/>
                <w:highlight w:val="none"/>
              </w:rPr>
              <w:t>60</w:t>
            </w:r>
          </w:p>
        </w:tc>
      </w:tr>
      <w:tr w14:paraId="4CC679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6713025B">
            <w:pPr>
              <w:pStyle w:val="41"/>
              <w:rPr>
                <w:color w:val="auto"/>
                <w:highlight w:val="none"/>
              </w:rPr>
            </w:pPr>
            <w:r>
              <w:rPr>
                <w:color w:val="auto"/>
                <w:highlight w:val="none"/>
              </w:rPr>
              <w:t>铅</w:t>
            </w:r>
          </w:p>
        </w:tc>
        <w:tc>
          <w:tcPr>
            <w:tcW w:w="492" w:type="pct"/>
            <w:tcBorders>
              <w:tl2br w:val="nil"/>
              <w:tr2bl w:val="nil"/>
            </w:tcBorders>
            <w:vAlign w:val="center"/>
          </w:tcPr>
          <w:p w14:paraId="5F4E437C">
            <w:pPr>
              <w:pStyle w:val="41"/>
              <w:rPr>
                <w:color w:val="auto"/>
                <w:highlight w:val="none"/>
              </w:rPr>
            </w:pPr>
            <w:r>
              <w:rPr>
                <w:color w:val="auto"/>
                <w:highlight w:val="none"/>
              </w:rPr>
              <w:t>mg/kg</w:t>
            </w:r>
          </w:p>
        </w:tc>
        <w:tc>
          <w:tcPr>
            <w:tcW w:w="482" w:type="pct"/>
            <w:tcBorders>
              <w:tl2br w:val="nil"/>
              <w:tr2bl w:val="nil"/>
            </w:tcBorders>
            <w:vAlign w:val="center"/>
          </w:tcPr>
          <w:p w14:paraId="587FD180">
            <w:pPr>
              <w:pStyle w:val="41"/>
              <w:rPr>
                <w:color w:val="auto"/>
                <w:highlight w:val="none"/>
              </w:rPr>
            </w:pPr>
            <w:r>
              <w:rPr>
                <w:color w:val="auto"/>
                <w:highlight w:val="none"/>
              </w:rPr>
              <w:t>2</w:t>
            </w:r>
          </w:p>
        </w:tc>
        <w:tc>
          <w:tcPr>
            <w:tcW w:w="482" w:type="pct"/>
            <w:tcBorders>
              <w:tl2br w:val="nil"/>
              <w:tr2bl w:val="nil"/>
            </w:tcBorders>
            <w:vAlign w:val="center"/>
          </w:tcPr>
          <w:p w14:paraId="3A94F318">
            <w:pPr>
              <w:pStyle w:val="41"/>
              <w:rPr>
                <w:color w:val="auto"/>
                <w:highlight w:val="none"/>
              </w:rPr>
            </w:pPr>
            <w:r>
              <w:rPr>
                <w:color w:val="auto"/>
                <w:highlight w:val="none"/>
              </w:rPr>
              <w:t>13</w:t>
            </w:r>
          </w:p>
        </w:tc>
        <w:tc>
          <w:tcPr>
            <w:tcW w:w="482" w:type="pct"/>
            <w:tcBorders>
              <w:tl2br w:val="nil"/>
              <w:tr2bl w:val="nil"/>
            </w:tcBorders>
            <w:vAlign w:val="center"/>
          </w:tcPr>
          <w:p w14:paraId="7F3EA027">
            <w:pPr>
              <w:pStyle w:val="41"/>
              <w:rPr>
                <w:color w:val="auto"/>
                <w:highlight w:val="none"/>
              </w:rPr>
            </w:pPr>
            <w:r>
              <w:rPr>
                <w:color w:val="auto"/>
                <w:highlight w:val="none"/>
              </w:rPr>
              <w:t>13</w:t>
            </w:r>
          </w:p>
        </w:tc>
        <w:tc>
          <w:tcPr>
            <w:tcW w:w="482" w:type="pct"/>
            <w:tcBorders>
              <w:tl2br w:val="nil"/>
              <w:tr2bl w:val="nil"/>
            </w:tcBorders>
            <w:vAlign w:val="center"/>
          </w:tcPr>
          <w:p w14:paraId="20930077">
            <w:pPr>
              <w:pStyle w:val="41"/>
              <w:rPr>
                <w:color w:val="auto"/>
                <w:highlight w:val="none"/>
              </w:rPr>
            </w:pPr>
            <w:r>
              <w:rPr>
                <w:color w:val="auto"/>
                <w:highlight w:val="none"/>
              </w:rPr>
              <w:t>17</w:t>
            </w:r>
          </w:p>
        </w:tc>
        <w:tc>
          <w:tcPr>
            <w:tcW w:w="482" w:type="pct"/>
            <w:tcBorders>
              <w:tl2br w:val="nil"/>
              <w:tr2bl w:val="nil"/>
            </w:tcBorders>
            <w:vAlign w:val="center"/>
          </w:tcPr>
          <w:p w14:paraId="4285984B">
            <w:pPr>
              <w:pStyle w:val="41"/>
              <w:rPr>
                <w:color w:val="auto"/>
                <w:highlight w:val="none"/>
              </w:rPr>
            </w:pPr>
            <w:r>
              <w:rPr>
                <w:color w:val="auto"/>
                <w:highlight w:val="none"/>
              </w:rPr>
              <w:t>18</w:t>
            </w:r>
          </w:p>
        </w:tc>
        <w:tc>
          <w:tcPr>
            <w:tcW w:w="482" w:type="pct"/>
            <w:tcBorders>
              <w:tl2br w:val="nil"/>
              <w:tr2bl w:val="nil"/>
            </w:tcBorders>
            <w:vAlign w:val="center"/>
          </w:tcPr>
          <w:p w14:paraId="1A303E87">
            <w:pPr>
              <w:pStyle w:val="41"/>
              <w:rPr>
                <w:color w:val="auto"/>
                <w:highlight w:val="none"/>
              </w:rPr>
            </w:pPr>
            <w:r>
              <w:rPr>
                <w:color w:val="auto"/>
                <w:highlight w:val="none"/>
              </w:rPr>
              <w:t>17</w:t>
            </w:r>
          </w:p>
        </w:tc>
        <w:tc>
          <w:tcPr>
            <w:tcW w:w="784" w:type="pct"/>
            <w:tcBorders>
              <w:tl2br w:val="nil"/>
              <w:tr2bl w:val="nil"/>
            </w:tcBorders>
            <w:vAlign w:val="center"/>
          </w:tcPr>
          <w:p w14:paraId="47DB8D3F">
            <w:pPr>
              <w:pStyle w:val="41"/>
              <w:rPr>
                <w:color w:val="auto"/>
                <w:highlight w:val="none"/>
              </w:rPr>
            </w:pPr>
            <w:r>
              <w:rPr>
                <w:color w:val="auto"/>
                <w:highlight w:val="none"/>
              </w:rPr>
              <w:t>800</w:t>
            </w:r>
          </w:p>
        </w:tc>
      </w:tr>
      <w:tr w14:paraId="53936B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7528BA37">
            <w:pPr>
              <w:pStyle w:val="41"/>
              <w:rPr>
                <w:color w:val="auto"/>
                <w:highlight w:val="none"/>
              </w:rPr>
            </w:pPr>
            <w:r>
              <w:rPr>
                <w:color w:val="auto"/>
                <w:highlight w:val="none"/>
              </w:rPr>
              <w:t>汞</w:t>
            </w:r>
          </w:p>
        </w:tc>
        <w:tc>
          <w:tcPr>
            <w:tcW w:w="492" w:type="pct"/>
            <w:tcBorders>
              <w:tl2br w:val="nil"/>
              <w:tr2bl w:val="nil"/>
            </w:tcBorders>
            <w:vAlign w:val="center"/>
          </w:tcPr>
          <w:p w14:paraId="367CCD1D">
            <w:pPr>
              <w:pStyle w:val="41"/>
              <w:rPr>
                <w:color w:val="auto"/>
                <w:highlight w:val="none"/>
              </w:rPr>
            </w:pPr>
            <w:r>
              <w:rPr>
                <w:color w:val="auto"/>
                <w:highlight w:val="none"/>
              </w:rPr>
              <w:t>mg/kg</w:t>
            </w:r>
          </w:p>
        </w:tc>
        <w:tc>
          <w:tcPr>
            <w:tcW w:w="482" w:type="pct"/>
            <w:tcBorders>
              <w:tl2br w:val="nil"/>
              <w:tr2bl w:val="nil"/>
            </w:tcBorders>
            <w:vAlign w:val="center"/>
          </w:tcPr>
          <w:p w14:paraId="6CD59232">
            <w:pPr>
              <w:pStyle w:val="41"/>
              <w:rPr>
                <w:color w:val="auto"/>
                <w:highlight w:val="none"/>
              </w:rPr>
            </w:pPr>
            <w:r>
              <w:rPr>
                <w:color w:val="auto"/>
                <w:highlight w:val="none"/>
              </w:rPr>
              <w:t>0.162</w:t>
            </w:r>
          </w:p>
        </w:tc>
        <w:tc>
          <w:tcPr>
            <w:tcW w:w="482" w:type="pct"/>
            <w:tcBorders>
              <w:tl2br w:val="nil"/>
              <w:tr2bl w:val="nil"/>
            </w:tcBorders>
            <w:vAlign w:val="center"/>
          </w:tcPr>
          <w:p w14:paraId="58567F00">
            <w:pPr>
              <w:pStyle w:val="41"/>
              <w:rPr>
                <w:color w:val="auto"/>
                <w:highlight w:val="none"/>
              </w:rPr>
            </w:pPr>
            <w:r>
              <w:rPr>
                <w:color w:val="auto"/>
                <w:highlight w:val="none"/>
              </w:rPr>
              <w:t>0.115</w:t>
            </w:r>
          </w:p>
        </w:tc>
        <w:tc>
          <w:tcPr>
            <w:tcW w:w="482" w:type="pct"/>
            <w:tcBorders>
              <w:tl2br w:val="nil"/>
              <w:tr2bl w:val="nil"/>
            </w:tcBorders>
            <w:vAlign w:val="center"/>
          </w:tcPr>
          <w:p w14:paraId="09530024">
            <w:pPr>
              <w:pStyle w:val="41"/>
              <w:rPr>
                <w:color w:val="auto"/>
                <w:highlight w:val="none"/>
              </w:rPr>
            </w:pPr>
            <w:r>
              <w:rPr>
                <w:color w:val="auto"/>
                <w:highlight w:val="none"/>
              </w:rPr>
              <w:t>0.054</w:t>
            </w:r>
          </w:p>
        </w:tc>
        <w:tc>
          <w:tcPr>
            <w:tcW w:w="482" w:type="pct"/>
            <w:tcBorders>
              <w:tl2br w:val="nil"/>
              <w:tr2bl w:val="nil"/>
            </w:tcBorders>
            <w:vAlign w:val="center"/>
          </w:tcPr>
          <w:p w14:paraId="50391016">
            <w:pPr>
              <w:pStyle w:val="41"/>
              <w:rPr>
                <w:color w:val="auto"/>
                <w:highlight w:val="none"/>
              </w:rPr>
            </w:pPr>
            <w:r>
              <w:rPr>
                <w:color w:val="auto"/>
                <w:highlight w:val="none"/>
              </w:rPr>
              <w:t>0.163</w:t>
            </w:r>
          </w:p>
        </w:tc>
        <w:tc>
          <w:tcPr>
            <w:tcW w:w="482" w:type="pct"/>
            <w:tcBorders>
              <w:tl2br w:val="nil"/>
              <w:tr2bl w:val="nil"/>
            </w:tcBorders>
            <w:vAlign w:val="center"/>
          </w:tcPr>
          <w:p w14:paraId="382AFFDF">
            <w:pPr>
              <w:pStyle w:val="41"/>
              <w:rPr>
                <w:color w:val="auto"/>
                <w:highlight w:val="none"/>
              </w:rPr>
            </w:pPr>
            <w:r>
              <w:rPr>
                <w:color w:val="auto"/>
                <w:highlight w:val="none"/>
              </w:rPr>
              <w:t>0.168</w:t>
            </w:r>
          </w:p>
        </w:tc>
        <w:tc>
          <w:tcPr>
            <w:tcW w:w="482" w:type="pct"/>
            <w:tcBorders>
              <w:tl2br w:val="nil"/>
              <w:tr2bl w:val="nil"/>
            </w:tcBorders>
            <w:vAlign w:val="center"/>
          </w:tcPr>
          <w:p w14:paraId="64A6ECB8">
            <w:pPr>
              <w:pStyle w:val="41"/>
              <w:rPr>
                <w:color w:val="auto"/>
                <w:highlight w:val="none"/>
              </w:rPr>
            </w:pPr>
            <w:r>
              <w:rPr>
                <w:color w:val="auto"/>
                <w:highlight w:val="none"/>
              </w:rPr>
              <w:t>0.126</w:t>
            </w:r>
          </w:p>
        </w:tc>
        <w:tc>
          <w:tcPr>
            <w:tcW w:w="784" w:type="pct"/>
            <w:tcBorders>
              <w:tl2br w:val="nil"/>
              <w:tr2bl w:val="nil"/>
            </w:tcBorders>
            <w:vAlign w:val="center"/>
          </w:tcPr>
          <w:p w14:paraId="72D43F75">
            <w:pPr>
              <w:pStyle w:val="41"/>
              <w:rPr>
                <w:color w:val="auto"/>
                <w:highlight w:val="none"/>
              </w:rPr>
            </w:pPr>
            <w:r>
              <w:rPr>
                <w:color w:val="auto"/>
                <w:highlight w:val="none"/>
              </w:rPr>
              <w:t>38</w:t>
            </w:r>
          </w:p>
        </w:tc>
      </w:tr>
      <w:tr w14:paraId="2235A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59A07030">
            <w:pPr>
              <w:pStyle w:val="41"/>
              <w:rPr>
                <w:color w:val="auto"/>
                <w:highlight w:val="none"/>
              </w:rPr>
            </w:pPr>
            <w:r>
              <w:rPr>
                <w:color w:val="auto"/>
                <w:highlight w:val="none"/>
              </w:rPr>
              <w:t>镉</w:t>
            </w:r>
          </w:p>
        </w:tc>
        <w:tc>
          <w:tcPr>
            <w:tcW w:w="492" w:type="pct"/>
            <w:tcBorders>
              <w:tl2br w:val="nil"/>
              <w:tr2bl w:val="nil"/>
            </w:tcBorders>
            <w:vAlign w:val="center"/>
          </w:tcPr>
          <w:p w14:paraId="7AFCBC66">
            <w:pPr>
              <w:pStyle w:val="41"/>
              <w:rPr>
                <w:color w:val="auto"/>
                <w:highlight w:val="none"/>
              </w:rPr>
            </w:pPr>
            <w:r>
              <w:rPr>
                <w:color w:val="auto"/>
                <w:highlight w:val="none"/>
              </w:rPr>
              <w:t>mg/kg</w:t>
            </w:r>
          </w:p>
        </w:tc>
        <w:tc>
          <w:tcPr>
            <w:tcW w:w="482" w:type="pct"/>
            <w:tcBorders>
              <w:tl2br w:val="nil"/>
              <w:tr2bl w:val="nil"/>
            </w:tcBorders>
            <w:vAlign w:val="center"/>
          </w:tcPr>
          <w:p w14:paraId="4CD48286">
            <w:pPr>
              <w:pStyle w:val="41"/>
              <w:rPr>
                <w:color w:val="auto"/>
                <w:highlight w:val="none"/>
              </w:rPr>
            </w:pPr>
            <w:r>
              <w:rPr>
                <w:color w:val="auto"/>
                <w:highlight w:val="none"/>
              </w:rPr>
              <w:t>未检出</w:t>
            </w:r>
          </w:p>
        </w:tc>
        <w:tc>
          <w:tcPr>
            <w:tcW w:w="482" w:type="pct"/>
            <w:tcBorders>
              <w:tl2br w:val="nil"/>
              <w:tr2bl w:val="nil"/>
            </w:tcBorders>
            <w:vAlign w:val="center"/>
          </w:tcPr>
          <w:p w14:paraId="0FA0370F">
            <w:pPr>
              <w:pStyle w:val="41"/>
              <w:rPr>
                <w:color w:val="auto"/>
                <w:highlight w:val="none"/>
              </w:rPr>
            </w:pPr>
            <w:r>
              <w:rPr>
                <w:color w:val="auto"/>
                <w:highlight w:val="none"/>
              </w:rPr>
              <w:t>未检出</w:t>
            </w:r>
          </w:p>
        </w:tc>
        <w:tc>
          <w:tcPr>
            <w:tcW w:w="482" w:type="pct"/>
            <w:tcBorders>
              <w:tl2br w:val="nil"/>
              <w:tr2bl w:val="nil"/>
            </w:tcBorders>
            <w:vAlign w:val="center"/>
          </w:tcPr>
          <w:p w14:paraId="106CEEE7">
            <w:pPr>
              <w:pStyle w:val="41"/>
              <w:rPr>
                <w:color w:val="auto"/>
                <w:highlight w:val="none"/>
              </w:rPr>
            </w:pPr>
            <w:r>
              <w:rPr>
                <w:color w:val="auto"/>
                <w:highlight w:val="none"/>
              </w:rPr>
              <w:t>未检出</w:t>
            </w:r>
          </w:p>
        </w:tc>
        <w:tc>
          <w:tcPr>
            <w:tcW w:w="482" w:type="pct"/>
            <w:tcBorders>
              <w:tl2br w:val="nil"/>
              <w:tr2bl w:val="nil"/>
            </w:tcBorders>
            <w:vAlign w:val="center"/>
          </w:tcPr>
          <w:p w14:paraId="3E15CD17">
            <w:pPr>
              <w:pStyle w:val="41"/>
              <w:rPr>
                <w:color w:val="auto"/>
                <w:highlight w:val="none"/>
              </w:rPr>
            </w:pPr>
            <w:r>
              <w:rPr>
                <w:color w:val="auto"/>
                <w:highlight w:val="none"/>
              </w:rPr>
              <w:t>未检出</w:t>
            </w:r>
          </w:p>
        </w:tc>
        <w:tc>
          <w:tcPr>
            <w:tcW w:w="482" w:type="pct"/>
            <w:tcBorders>
              <w:tl2br w:val="nil"/>
              <w:tr2bl w:val="nil"/>
            </w:tcBorders>
            <w:vAlign w:val="center"/>
          </w:tcPr>
          <w:p w14:paraId="6569B588">
            <w:pPr>
              <w:pStyle w:val="41"/>
              <w:rPr>
                <w:color w:val="auto"/>
                <w:highlight w:val="none"/>
              </w:rPr>
            </w:pPr>
            <w:r>
              <w:rPr>
                <w:color w:val="auto"/>
                <w:highlight w:val="none"/>
              </w:rPr>
              <w:t>未检出</w:t>
            </w:r>
          </w:p>
        </w:tc>
        <w:tc>
          <w:tcPr>
            <w:tcW w:w="482" w:type="pct"/>
            <w:tcBorders>
              <w:tl2br w:val="nil"/>
              <w:tr2bl w:val="nil"/>
            </w:tcBorders>
            <w:vAlign w:val="center"/>
          </w:tcPr>
          <w:p w14:paraId="23661BDE">
            <w:pPr>
              <w:pStyle w:val="41"/>
              <w:rPr>
                <w:color w:val="auto"/>
                <w:highlight w:val="none"/>
              </w:rPr>
            </w:pPr>
            <w:r>
              <w:rPr>
                <w:color w:val="auto"/>
                <w:highlight w:val="none"/>
              </w:rPr>
              <w:t>未检出</w:t>
            </w:r>
          </w:p>
        </w:tc>
        <w:tc>
          <w:tcPr>
            <w:tcW w:w="784" w:type="pct"/>
            <w:tcBorders>
              <w:tl2br w:val="nil"/>
              <w:tr2bl w:val="nil"/>
            </w:tcBorders>
            <w:vAlign w:val="center"/>
          </w:tcPr>
          <w:p w14:paraId="1F47D7FC">
            <w:pPr>
              <w:pStyle w:val="41"/>
              <w:rPr>
                <w:color w:val="auto"/>
                <w:highlight w:val="none"/>
              </w:rPr>
            </w:pPr>
            <w:r>
              <w:rPr>
                <w:color w:val="auto"/>
                <w:highlight w:val="none"/>
              </w:rPr>
              <w:t>65</w:t>
            </w:r>
          </w:p>
        </w:tc>
      </w:tr>
      <w:tr w14:paraId="7A3C60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7FF59665">
            <w:pPr>
              <w:pStyle w:val="41"/>
              <w:rPr>
                <w:color w:val="auto"/>
                <w:highlight w:val="none"/>
              </w:rPr>
            </w:pPr>
            <w:r>
              <w:rPr>
                <w:color w:val="auto"/>
                <w:highlight w:val="none"/>
              </w:rPr>
              <w:t>铜</w:t>
            </w:r>
          </w:p>
        </w:tc>
        <w:tc>
          <w:tcPr>
            <w:tcW w:w="492" w:type="pct"/>
            <w:tcBorders>
              <w:tl2br w:val="nil"/>
              <w:tr2bl w:val="nil"/>
            </w:tcBorders>
            <w:vAlign w:val="center"/>
          </w:tcPr>
          <w:p w14:paraId="0B979CDA">
            <w:pPr>
              <w:pStyle w:val="41"/>
              <w:rPr>
                <w:color w:val="auto"/>
                <w:highlight w:val="none"/>
              </w:rPr>
            </w:pPr>
            <w:r>
              <w:rPr>
                <w:color w:val="auto"/>
                <w:highlight w:val="none"/>
              </w:rPr>
              <w:t>mg/kg</w:t>
            </w:r>
          </w:p>
        </w:tc>
        <w:tc>
          <w:tcPr>
            <w:tcW w:w="482" w:type="pct"/>
            <w:tcBorders>
              <w:tl2br w:val="nil"/>
              <w:tr2bl w:val="nil"/>
            </w:tcBorders>
            <w:vAlign w:val="center"/>
          </w:tcPr>
          <w:p w14:paraId="526909EC">
            <w:pPr>
              <w:pStyle w:val="41"/>
              <w:rPr>
                <w:color w:val="auto"/>
                <w:highlight w:val="none"/>
              </w:rPr>
            </w:pPr>
            <w:r>
              <w:rPr>
                <w:color w:val="auto"/>
                <w:highlight w:val="none"/>
              </w:rPr>
              <w:t>6.5</w:t>
            </w:r>
          </w:p>
        </w:tc>
        <w:tc>
          <w:tcPr>
            <w:tcW w:w="482" w:type="pct"/>
            <w:tcBorders>
              <w:tl2br w:val="nil"/>
              <w:tr2bl w:val="nil"/>
            </w:tcBorders>
            <w:vAlign w:val="center"/>
          </w:tcPr>
          <w:p w14:paraId="22AE7B74">
            <w:pPr>
              <w:pStyle w:val="41"/>
              <w:rPr>
                <w:color w:val="auto"/>
                <w:highlight w:val="none"/>
              </w:rPr>
            </w:pPr>
            <w:r>
              <w:rPr>
                <w:color w:val="auto"/>
                <w:highlight w:val="none"/>
              </w:rPr>
              <w:t>1.9</w:t>
            </w:r>
          </w:p>
        </w:tc>
        <w:tc>
          <w:tcPr>
            <w:tcW w:w="482" w:type="pct"/>
            <w:tcBorders>
              <w:tl2br w:val="nil"/>
              <w:tr2bl w:val="nil"/>
            </w:tcBorders>
            <w:vAlign w:val="center"/>
          </w:tcPr>
          <w:p w14:paraId="1AC2C704">
            <w:pPr>
              <w:pStyle w:val="41"/>
              <w:rPr>
                <w:color w:val="auto"/>
                <w:highlight w:val="none"/>
              </w:rPr>
            </w:pPr>
            <w:r>
              <w:rPr>
                <w:color w:val="auto"/>
                <w:highlight w:val="none"/>
              </w:rPr>
              <w:t>1.8</w:t>
            </w:r>
          </w:p>
        </w:tc>
        <w:tc>
          <w:tcPr>
            <w:tcW w:w="482" w:type="pct"/>
            <w:tcBorders>
              <w:tl2br w:val="nil"/>
              <w:tr2bl w:val="nil"/>
            </w:tcBorders>
            <w:vAlign w:val="center"/>
          </w:tcPr>
          <w:p w14:paraId="3D59AEEF">
            <w:pPr>
              <w:pStyle w:val="41"/>
              <w:rPr>
                <w:color w:val="auto"/>
                <w:highlight w:val="none"/>
              </w:rPr>
            </w:pPr>
            <w:r>
              <w:rPr>
                <w:color w:val="auto"/>
                <w:highlight w:val="none"/>
              </w:rPr>
              <w:t>8.9</w:t>
            </w:r>
          </w:p>
        </w:tc>
        <w:tc>
          <w:tcPr>
            <w:tcW w:w="482" w:type="pct"/>
            <w:tcBorders>
              <w:tl2br w:val="nil"/>
              <w:tr2bl w:val="nil"/>
            </w:tcBorders>
            <w:vAlign w:val="center"/>
          </w:tcPr>
          <w:p w14:paraId="3498CF6E">
            <w:pPr>
              <w:pStyle w:val="41"/>
              <w:rPr>
                <w:color w:val="auto"/>
                <w:highlight w:val="none"/>
              </w:rPr>
            </w:pPr>
            <w:r>
              <w:rPr>
                <w:color w:val="auto"/>
                <w:highlight w:val="none"/>
              </w:rPr>
              <w:t>9.1</w:t>
            </w:r>
          </w:p>
        </w:tc>
        <w:tc>
          <w:tcPr>
            <w:tcW w:w="482" w:type="pct"/>
            <w:tcBorders>
              <w:tl2br w:val="nil"/>
              <w:tr2bl w:val="nil"/>
            </w:tcBorders>
            <w:vAlign w:val="center"/>
          </w:tcPr>
          <w:p w14:paraId="655A892C">
            <w:pPr>
              <w:pStyle w:val="41"/>
              <w:rPr>
                <w:color w:val="auto"/>
                <w:highlight w:val="none"/>
              </w:rPr>
            </w:pPr>
            <w:r>
              <w:rPr>
                <w:color w:val="auto"/>
                <w:highlight w:val="none"/>
              </w:rPr>
              <w:t>8.8</w:t>
            </w:r>
          </w:p>
        </w:tc>
        <w:tc>
          <w:tcPr>
            <w:tcW w:w="784" w:type="pct"/>
            <w:tcBorders>
              <w:tl2br w:val="nil"/>
              <w:tr2bl w:val="nil"/>
            </w:tcBorders>
            <w:vAlign w:val="center"/>
          </w:tcPr>
          <w:p w14:paraId="5D4D517F">
            <w:pPr>
              <w:pStyle w:val="41"/>
              <w:rPr>
                <w:color w:val="auto"/>
                <w:highlight w:val="none"/>
              </w:rPr>
            </w:pPr>
            <w:r>
              <w:rPr>
                <w:color w:val="auto"/>
                <w:highlight w:val="none"/>
              </w:rPr>
              <w:t>18000</w:t>
            </w:r>
          </w:p>
        </w:tc>
      </w:tr>
      <w:tr w14:paraId="09CF4A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7946A09D">
            <w:pPr>
              <w:pStyle w:val="41"/>
              <w:rPr>
                <w:color w:val="auto"/>
                <w:highlight w:val="none"/>
              </w:rPr>
            </w:pPr>
            <w:r>
              <w:rPr>
                <w:color w:val="auto"/>
                <w:highlight w:val="none"/>
              </w:rPr>
              <w:t>镍</w:t>
            </w:r>
          </w:p>
        </w:tc>
        <w:tc>
          <w:tcPr>
            <w:tcW w:w="492" w:type="pct"/>
            <w:tcBorders>
              <w:tl2br w:val="nil"/>
              <w:tr2bl w:val="nil"/>
            </w:tcBorders>
            <w:vAlign w:val="center"/>
          </w:tcPr>
          <w:p w14:paraId="258CADFC">
            <w:pPr>
              <w:pStyle w:val="41"/>
              <w:rPr>
                <w:color w:val="auto"/>
                <w:highlight w:val="none"/>
              </w:rPr>
            </w:pPr>
            <w:r>
              <w:rPr>
                <w:color w:val="auto"/>
                <w:highlight w:val="none"/>
              </w:rPr>
              <w:t>mg/kg</w:t>
            </w:r>
          </w:p>
        </w:tc>
        <w:tc>
          <w:tcPr>
            <w:tcW w:w="482" w:type="pct"/>
            <w:tcBorders>
              <w:tl2br w:val="nil"/>
              <w:tr2bl w:val="nil"/>
            </w:tcBorders>
            <w:vAlign w:val="center"/>
          </w:tcPr>
          <w:p w14:paraId="20FB5545">
            <w:pPr>
              <w:pStyle w:val="41"/>
              <w:rPr>
                <w:color w:val="auto"/>
                <w:highlight w:val="none"/>
              </w:rPr>
            </w:pPr>
            <w:r>
              <w:rPr>
                <w:color w:val="auto"/>
                <w:highlight w:val="none"/>
              </w:rPr>
              <w:t>14</w:t>
            </w:r>
          </w:p>
        </w:tc>
        <w:tc>
          <w:tcPr>
            <w:tcW w:w="482" w:type="pct"/>
            <w:tcBorders>
              <w:tl2br w:val="nil"/>
              <w:tr2bl w:val="nil"/>
            </w:tcBorders>
            <w:vAlign w:val="center"/>
          </w:tcPr>
          <w:p w14:paraId="6502FECC">
            <w:pPr>
              <w:pStyle w:val="41"/>
              <w:rPr>
                <w:color w:val="auto"/>
                <w:highlight w:val="none"/>
              </w:rPr>
            </w:pPr>
            <w:r>
              <w:rPr>
                <w:color w:val="auto"/>
                <w:highlight w:val="none"/>
              </w:rPr>
              <w:t>8</w:t>
            </w:r>
          </w:p>
        </w:tc>
        <w:tc>
          <w:tcPr>
            <w:tcW w:w="482" w:type="pct"/>
            <w:tcBorders>
              <w:tl2br w:val="nil"/>
              <w:tr2bl w:val="nil"/>
            </w:tcBorders>
            <w:vAlign w:val="center"/>
          </w:tcPr>
          <w:p w14:paraId="3EF5C3EE">
            <w:pPr>
              <w:pStyle w:val="41"/>
              <w:rPr>
                <w:color w:val="auto"/>
                <w:highlight w:val="none"/>
              </w:rPr>
            </w:pPr>
            <w:r>
              <w:rPr>
                <w:color w:val="auto"/>
                <w:highlight w:val="none"/>
              </w:rPr>
              <w:t>9</w:t>
            </w:r>
          </w:p>
        </w:tc>
        <w:tc>
          <w:tcPr>
            <w:tcW w:w="482" w:type="pct"/>
            <w:tcBorders>
              <w:tl2br w:val="nil"/>
              <w:tr2bl w:val="nil"/>
            </w:tcBorders>
            <w:vAlign w:val="center"/>
          </w:tcPr>
          <w:p w14:paraId="756A69E8">
            <w:pPr>
              <w:pStyle w:val="41"/>
              <w:rPr>
                <w:color w:val="auto"/>
                <w:highlight w:val="none"/>
              </w:rPr>
            </w:pPr>
            <w:r>
              <w:rPr>
                <w:color w:val="auto"/>
                <w:highlight w:val="none"/>
              </w:rPr>
              <w:t>14</w:t>
            </w:r>
          </w:p>
        </w:tc>
        <w:tc>
          <w:tcPr>
            <w:tcW w:w="482" w:type="pct"/>
            <w:tcBorders>
              <w:tl2br w:val="nil"/>
              <w:tr2bl w:val="nil"/>
            </w:tcBorders>
            <w:vAlign w:val="center"/>
          </w:tcPr>
          <w:p w14:paraId="0E6DF16E">
            <w:pPr>
              <w:pStyle w:val="41"/>
              <w:rPr>
                <w:color w:val="auto"/>
                <w:highlight w:val="none"/>
              </w:rPr>
            </w:pPr>
            <w:r>
              <w:rPr>
                <w:color w:val="auto"/>
                <w:highlight w:val="none"/>
              </w:rPr>
              <w:t>15</w:t>
            </w:r>
          </w:p>
        </w:tc>
        <w:tc>
          <w:tcPr>
            <w:tcW w:w="482" w:type="pct"/>
            <w:tcBorders>
              <w:tl2br w:val="nil"/>
              <w:tr2bl w:val="nil"/>
            </w:tcBorders>
            <w:vAlign w:val="center"/>
          </w:tcPr>
          <w:p w14:paraId="2AD3BE16">
            <w:pPr>
              <w:pStyle w:val="41"/>
              <w:rPr>
                <w:color w:val="auto"/>
                <w:highlight w:val="none"/>
              </w:rPr>
            </w:pPr>
            <w:r>
              <w:rPr>
                <w:color w:val="auto"/>
                <w:highlight w:val="none"/>
              </w:rPr>
              <w:t>14</w:t>
            </w:r>
          </w:p>
        </w:tc>
        <w:tc>
          <w:tcPr>
            <w:tcW w:w="784" w:type="pct"/>
            <w:tcBorders>
              <w:tl2br w:val="nil"/>
              <w:tr2bl w:val="nil"/>
            </w:tcBorders>
            <w:vAlign w:val="center"/>
          </w:tcPr>
          <w:p w14:paraId="18302384">
            <w:pPr>
              <w:pStyle w:val="41"/>
              <w:rPr>
                <w:color w:val="auto"/>
                <w:highlight w:val="none"/>
              </w:rPr>
            </w:pPr>
            <w:r>
              <w:rPr>
                <w:color w:val="auto"/>
                <w:highlight w:val="none"/>
              </w:rPr>
              <w:t>900</w:t>
            </w:r>
          </w:p>
        </w:tc>
      </w:tr>
      <w:tr w14:paraId="6E0C52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830" w:type="pct"/>
            <w:tcBorders>
              <w:tl2br w:val="nil"/>
              <w:tr2bl w:val="nil"/>
            </w:tcBorders>
            <w:vAlign w:val="center"/>
          </w:tcPr>
          <w:p w14:paraId="70664E3F">
            <w:pPr>
              <w:pStyle w:val="41"/>
              <w:rPr>
                <w:color w:val="auto"/>
                <w:highlight w:val="none"/>
              </w:rPr>
            </w:pPr>
            <w:r>
              <w:rPr>
                <w:color w:val="auto"/>
                <w:highlight w:val="none"/>
              </w:rPr>
              <w:t>六价铬</w:t>
            </w:r>
          </w:p>
        </w:tc>
        <w:tc>
          <w:tcPr>
            <w:tcW w:w="492" w:type="pct"/>
            <w:tcBorders>
              <w:tl2br w:val="nil"/>
              <w:tr2bl w:val="nil"/>
            </w:tcBorders>
            <w:vAlign w:val="center"/>
          </w:tcPr>
          <w:p w14:paraId="1FD4B841">
            <w:pPr>
              <w:pStyle w:val="41"/>
              <w:rPr>
                <w:color w:val="auto"/>
                <w:highlight w:val="none"/>
              </w:rPr>
            </w:pPr>
            <w:r>
              <w:rPr>
                <w:color w:val="auto"/>
                <w:highlight w:val="none"/>
              </w:rPr>
              <w:t>mg/kg</w:t>
            </w:r>
          </w:p>
        </w:tc>
        <w:tc>
          <w:tcPr>
            <w:tcW w:w="482" w:type="pct"/>
            <w:tcBorders>
              <w:tl2br w:val="nil"/>
              <w:tr2bl w:val="nil"/>
            </w:tcBorders>
            <w:vAlign w:val="center"/>
          </w:tcPr>
          <w:p w14:paraId="3EAD68B6">
            <w:pPr>
              <w:pStyle w:val="41"/>
              <w:rPr>
                <w:color w:val="auto"/>
                <w:highlight w:val="none"/>
              </w:rPr>
            </w:pPr>
            <w:r>
              <w:rPr>
                <w:color w:val="auto"/>
                <w:highlight w:val="none"/>
              </w:rPr>
              <w:t>未检出</w:t>
            </w:r>
          </w:p>
        </w:tc>
        <w:tc>
          <w:tcPr>
            <w:tcW w:w="482" w:type="pct"/>
            <w:tcBorders>
              <w:tl2br w:val="nil"/>
              <w:tr2bl w:val="nil"/>
            </w:tcBorders>
            <w:vAlign w:val="center"/>
          </w:tcPr>
          <w:p w14:paraId="1D96D274">
            <w:pPr>
              <w:pStyle w:val="41"/>
              <w:rPr>
                <w:color w:val="auto"/>
                <w:highlight w:val="none"/>
              </w:rPr>
            </w:pPr>
            <w:r>
              <w:rPr>
                <w:color w:val="auto"/>
                <w:highlight w:val="none"/>
              </w:rPr>
              <w:t>未检出</w:t>
            </w:r>
          </w:p>
        </w:tc>
        <w:tc>
          <w:tcPr>
            <w:tcW w:w="482" w:type="pct"/>
            <w:tcBorders>
              <w:tl2br w:val="nil"/>
              <w:tr2bl w:val="nil"/>
            </w:tcBorders>
            <w:vAlign w:val="center"/>
          </w:tcPr>
          <w:p w14:paraId="3E1478CB">
            <w:pPr>
              <w:pStyle w:val="41"/>
              <w:rPr>
                <w:color w:val="auto"/>
                <w:highlight w:val="none"/>
              </w:rPr>
            </w:pPr>
            <w:r>
              <w:rPr>
                <w:color w:val="auto"/>
                <w:highlight w:val="none"/>
              </w:rPr>
              <w:t>未检出</w:t>
            </w:r>
          </w:p>
        </w:tc>
        <w:tc>
          <w:tcPr>
            <w:tcW w:w="482" w:type="pct"/>
            <w:tcBorders>
              <w:tl2br w:val="nil"/>
              <w:tr2bl w:val="nil"/>
            </w:tcBorders>
            <w:vAlign w:val="center"/>
          </w:tcPr>
          <w:p w14:paraId="326AD69E">
            <w:pPr>
              <w:pStyle w:val="41"/>
              <w:rPr>
                <w:color w:val="auto"/>
                <w:highlight w:val="none"/>
              </w:rPr>
            </w:pPr>
            <w:r>
              <w:rPr>
                <w:color w:val="auto"/>
                <w:highlight w:val="none"/>
              </w:rPr>
              <w:t>未检出</w:t>
            </w:r>
          </w:p>
        </w:tc>
        <w:tc>
          <w:tcPr>
            <w:tcW w:w="482" w:type="pct"/>
            <w:tcBorders>
              <w:tl2br w:val="nil"/>
              <w:tr2bl w:val="nil"/>
            </w:tcBorders>
            <w:vAlign w:val="center"/>
          </w:tcPr>
          <w:p w14:paraId="47B84131">
            <w:pPr>
              <w:pStyle w:val="41"/>
              <w:rPr>
                <w:color w:val="auto"/>
                <w:highlight w:val="none"/>
              </w:rPr>
            </w:pPr>
            <w:r>
              <w:rPr>
                <w:color w:val="auto"/>
                <w:highlight w:val="none"/>
              </w:rPr>
              <w:t>未检出</w:t>
            </w:r>
          </w:p>
        </w:tc>
        <w:tc>
          <w:tcPr>
            <w:tcW w:w="482" w:type="pct"/>
            <w:tcBorders>
              <w:tl2br w:val="nil"/>
              <w:tr2bl w:val="nil"/>
            </w:tcBorders>
            <w:vAlign w:val="center"/>
          </w:tcPr>
          <w:p w14:paraId="02A9CDD2">
            <w:pPr>
              <w:pStyle w:val="41"/>
              <w:rPr>
                <w:color w:val="auto"/>
                <w:highlight w:val="none"/>
              </w:rPr>
            </w:pPr>
            <w:r>
              <w:rPr>
                <w:color w:val="auto"/>
                <w:highlight w:val="none"/>
              </w:rPr>
              <w:t>未检出</w:t>
            </w:r>
          </w:p>
        </w:tc>
        <w:tc>
          <w:tcPr>
            <w:tcW w:w="784" w:type="pct"/>
            <w:tcBorders>
              <w:tl2br w:val="nil"/>
              <w:tr2bl w:val="nil"/>
            </w:tcBorders>
            <w:vAlign w:val="center"/>
          </w:tcPr>
          <w:p w14:paraId="47499CAC">
            <w:pPr>
              <w:pStyle w:val="41"/>
              <w:rPr>
                <w:color w:val="auto"/>
                <w:highlight w:val="none"/>
              </w:rPr>
            </w:pPr>
            <w:r>
              <w:rPr>
                <w:color w:val="auto"/>
                <w:highlight w:val="none"/>
              </w:rPr>
              <w:t>5.7</w:t>
            </w:r>
          </w:p>
        </w:tc>
      </w:tr>
    </w:tbl>
    <w:p w14:paraId="69D30993">
      <w:pPr>
        <w:pStyle w:val="40"/>
        <w:rPr>
          <w:color w:val="auto"/>
          <w:highlight w:val="none"/>
        </w:rPr>
      </w:pPr>
      <w:r>
        <w:rPr>
          <w:rFonts w:hint="eastAsia"/>
          <w:color w:val="auto"/>
          <w:highlight w:val="none"/>
        </w:rPr>
        <w:t>表4.2-</w:t>
      </w:r>
      <w:r>
        <w:rPr>
          <w:rFonts w:hint="eastAsia"/>
          <w:color w:val="auto"/>
          <w:highlight w:val="none"/>
          <w:lang w:val="en-US" w:eastAsia="zh-CN"/>
        </w:rPr>
        <w:t>14</w:t>
      </w:r>
      <w:r>
        <w:rPr>
          <w:rFonts w:hint="eastAsia"/>
          <w:color w:val="auto"/>
          <w:highlight w:val="none"/>
        </w:rPr>
        <w:t xml:space="preserve">   项目区内土壤监测结果</w:t>
      </w:r>
    </w:p>
    <w:tbl>
      <w:tblPr>
        <w:tblStyle w:val="25"/>
        <w:tblW w:w="49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15" w:type="dxa"/>
          <w:left w:w="15" w:type="dxa"/>
          <w:bottom w:w="15" w:type="dxa"/>
          <w:right w:w="15" w:type="dxa"/>
        </w:tblCellMar>
      </w:tblPr>
      <w:tblGrid>
        <w:gridCol w:w="1756"/>
        <w:gridCol w:w="767"/>
        <w:gridCol w:w="606"/>
        <w:gridCol w:w="711"/>
        <w:gridCol w:w="711"/>
        <w:gridCol w:w="711"/>
        <w:gridCol w:w="711"/>
        <w:gridCol w:w="606"/>
        <w:gridCol w:w="606"/>
        <w:gridCol w:w="413"/>
        <w:gridCol w:w="724"/>
      </w:tblGrid>
      <w:tr w14:paraId="08E325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516" w:type="pct"/>
            <w:gridSpan w:val="2"/>
            <w:tcBorders>
              <w:tl2br w:val="nil"/>
              <w:tr2bl w:val="nil"/>
            </w:tcBorders>
            <w:vAlign w:val="center"/>
          </w:tcPr>
          <w:p w14:paraId="602335D3">
            <w:pPr>
              <w:pStyle w:val="41"/>
              <w:rPr>
                <w:color w:val="auto"/>
                <w:highlight w:val="none"/>
              </w:rPr>
            </w:pPr>
            <w:r>
              <w:rPr>
                <w:color w:val="auto"/>
                <w:highlight w:val="none"/>
              </w:rPr>
              <w:t>检测项目</w:t>
            </w:r>
          </w:p>
        </w:tc>
        <w:tc>
          <w:tcPr>
            <w:tcW w:w="364" w:type="pct"/>
            <w:tcBorders>
              <w:tl2br w:val="nil"/>
              <w:tr2bl w:val="nil"/>
            </w:tcBorders>
            <w:vAlign w:val="center"/>
          </w:tcPr>
          <w:p w14:paraId="41D4CF4C">
            <w:pPr>
              <w:pStyle w:val="41"/>
              <w:rPr>
                <w:color w:val="auto"/>
                <w:highlight w:val="none"/>
              </w:rPr>
            </w:pPr>
            <w:r>
              <w:rPr>
                <w:color w:val="auto"/>
                <w:highlight w:val="none"/>
              </w:rPr>
              <w:t>汞</w:t>
            </w:r>
          </w:p>
        </w:tc>
        <w:tc>
          <w:tcPr>
            <w:tcW w:w="427" w:type="pct"/>
            <w:tcBorders>
              <w:tl2br w:val="nil"/>
              <w:tr2bl w:val="nil"/>
            </w:tcBorders>
            <w:vAlign w:val="center"/>
          </w:tcPr>
          <w:p w14:paraId="1C2162D0">
            <w:pPr>
              <w:pStyle w:val="41"/>
              <w:rPr>
                <w:color w:val="auto"/>
                <w:highlight w:val="none"/>
              </w:rPr>
            </w:pPr>
            <w:r>
              <w:rPr>
                <w:color w:val="auto"/>
                <w:highlight w:val="none"/>
              </w:rPr>
              <w:t>砷</w:t>
            </w:r>
          </w:p>
        </w:tc>
        <w:tc>
          <w:tcPr>
            <w:tcW w:w="427" w:type="pct"/>
            <w:tcBorders>
              <w:tl2br w:val="nil"/>
              <w:tr2bl w:val="nil"/>
            </w:tcBorders>
            <w:vAlign w:val="center"/>
          </w:tcPr>
          <w:p w14:paraId="47D894FD">
            <w:pPr>
              <w:pStyle w:val="41"/>
              <w:rPr>
                <w:color w:val="auto"/>
                <w:highlight w:val="none"/>
              </w:rPr>
            </w:pPr>
            <w:r>
              <w:rPr>
                <w:color w:val="auto"/>
                <w:highlight w:val="none"/>
              </w:rPr>
              <w:t>铅</w:t>
            </w:r>
          </w:p>
        </w:tc>
        <w:tc>
          <w:tcPr>
            <w:tcW w:w="427" w:type="pct"/>
            <w:tcBorders>
              <w:tl2br w:val="nil"/>
              <w:tr2bl w:val="nil"/>
            </w:tcBorders>
            <w:vAlign w:val="center"/>
          </w:tcPr>
          <w:p w14:paraId="5AD87611">
            <w:pPr>
              <w:pStyle w:val="41"/>
              <w:rPr>
                <w:color w:val="auto"/>
                <w:highlight w:val="none"/>
              </w:rPr>
            </w:pPr>
            <w:r>
              <w:rPr>
                <w:color w:val="auto"/>
                <w:highlight w:val="none"/>
              </w:rPr>
              <w:t>镉</w:t>
            </w:r>
          </w:p>
        </w:tc>
        <w:tc>
          <w:tcPr>
            <w:tcW w:w="427" w:type="pct"/>
            <w:tcBorders>
              <w:tl2br w:val="nil"/>
              <w:tr2bl w:val="nil"/>
            </w:tcBorders>
            <w:vAlign w:val="center"/>
          </w:tcPr>
          <w:p w14:paraId="3D3640F1">
            <w:pPr>
              <w:pStyle w:val="41"/>
              <w:rPr>
                <w:color w:val="auto"/>
                <w:highlight w:val="none"/>
              </w:rPr>
            </w:pPr>
            <w:r>
              <w:rPr>
                <w:color w:val="auto"/>
                <w:highlight w:val="none"/>
              </w:rPr>
              <w:t>六价铬</w:t>
            </w:r>
          </w:p>
        </w:tc>
        <w:tc>
          <w:tcPr>
            <w:tcW w:w="364" w:type="pct"/>
            <w:tcBorders>
              <w:tl2br w:val="nil"/>
              <w:tr2bl w:val="nil"/>
            </w:tcBorders>
            <w:vAlign w:val="center"/>
          </w:tcPr>
          <w:p w14:paraId="6566446D">
            <w:pPr>
              <w:pStyle w:val="41"/>
              <w:rPr>
                <w:color w:val="auto"/>
                <w:highlight w:val="none"/>
              </w:rPr>
            </w:pPr>
            <w:r>
              <w:rPr>
                <w:color w:val="auto"/>
                <w:highlight w:val="none"/>
              </w:rPr>
              <w:t>铜</w:t>
            </w:r>
          </w:p>
        </w:tc>
        <w:tc>
          <w:tcPr>
            <w:tcW w:w="364" w:type="pct"/>
            <w:tcBorders>
              <w:tl2br w:val="nil"/>
              <w:tr2bl w:val="nil"/>
            </w:tcBorders>
            <w:vAlign w:val="center"/>
          </w:tcPr>
          <w:p w14:paraId="1F5BF280">
            <w:pPr>
              <w:pStyle w:val="41"/>
              <w:rPr>
                <w:color w:val="auto"/>
                <w:highlight w:val="none"/>
              </w:rPr>
            </w:pPr>
            <w:r>
              <w:rPr>
                <w:color w:val="auto"/>
                <w:highlight w:val="none"/>
              </w:rPr>
              <w:t>镍</w:t>
            </w:r>
          </w:p>
        </w:tc>
        <w:tc>
          <w:tcPr>
            <w:tcW w:w="248" w:type="pct"/>
            <w:tcBorders>
              <w:tl2br w:val="nil"/>
              <w:tr2bl w:val="nil"/>
            </w:tcBorders>
            <w:vAlign w:val="center"/>
          </w:tcPr>
          <w:p w14:paraId="2572D75E">
            <w:pPr>
              <w:pStyle w:val="41"/>
              <w:rPr>
                <w:color w:val="auto"/>
                <w:highlight w:val="none"/>
              </w:rPr>
            </w:pPr>
            <w:r>
              <w:rPr>
                <w:color w:val="auto"/>
                <w:highlight w:val="none"/>
              </w:rPr>
              <w:t>铁</w:t>
            </w:r>
          </w:p>
        </w:tc>
        <w:tc>
          <w:tcPr>
            <w:tcW w:w="431" w:type="pct"/>
            <w:tcBorders>
              <w:tl2br w:val="nil"/>
              <w:tr2bl w:val="nil"/>
            </w:tcBorders>
            <w:vAlign w:val="center"/>
          </w:tcPr>
          <w:p w14:paraId="41BCF3D6">
            <w:pPr>
              <w:pStyle w:val="41"/>
              <w:rPr>
                <w:color w:val="auto"/>
                <w:highlight w:val="none"/>
              </w:rPr>
            </w:pPr>
            <w:r>
              <w:rPr>
                <w:color w:val="auto"/>
                <w:highlight w:val="none"/>
              </w:rPr>
              <w:t>pH值</w:t>
            </w:r>
          </w:p>
        </w:tc>
      </w:tr>
      <w:tr w14:paraId="5B4B2D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516" w:type="pct"/>
            <w:gridSpan w:val="2"/>
            <w:tcBorders>
              <w:tl2br w:val="nil"/>
              <w:tr2bl w:val="nil"/>
            </w:tcBorders>
            <w:vAlign w:val="center"/>
          </w:tcPr>
          <w:p w14:paraId="0D24264F">
            <w:pPr>
              <w:pStyle w:val="41"/>
              <w:rPr>
                <w:color w:val="auto"/>
                <w:highlight w:val="none"/>
              </w:rPr>
            </w:pPr>
            <w:r>
              <w:rPr>
                <w:color w:val="auto"/>
                <w:highlight w:val="none"/>
              </w:rPr>
              <w:t>单位</w:t>
            </w:r>
          </w:p>
        </w:tc>
        <w:tc>
          <w:tcPr>
            <w:tcW w:w="364" w:type="pct"/>
            <w:tcBorders>
              <w:tl2br w:val="nil"/>
              <w:tr2bl w:val="nil"/>
            </w:tcBorders>
            <w:vAlign w:val="center"/>
          </w:tcPr>
          <w:p w14:paraId="3EDE4BE3">
            <w:pPr>
              <w:pStyle w:val="41"/>
              <w:rPr>
                <w:color w:val="auto"/>
                <w:highlight w:val="none"/>
              </w:rPr>
            </w:pPr>
            <w:r>
              <w:rPr>
                <w:color w:val="auto"/>
                <w:highlight w:val="none"/>
              </w:rPr>
              <w:t>mg/kg</w:t>
            </w:r>
          </w:p>
        </w:tc>
        <w:tc>
          <w:tcPr>
            <w:tcW w:w="427" w:type="pct"/>
            <w:tcBorders>
              <w:tl2br w:val="nil"/>
              <w:tr2bl w:val="nil"/>
            </w:tcBorders>
            <w:vAlign w:val="center"/>
          </w:tcPr>
          <w:p w14:paraId="71121D3A">
            <w:pPr>
              <w:pStyle w:val="41"/>
              <w:rPr>
                <w:color w:val="auto"/>
                <w:highlight w:val="none"/>
              </w:rPr>
            </w:pPr>
            <w:r>
              <w:rPr>
                <w:color w:val="auto"/>
                <w:highlight w:val="none"/>
              </w:rPr>
              <w:t>mg/kg</w:t>
            </w:r>
          </w:p>
        </w:tc>
        <w:tc>
          <w:tcPr>
            <w:tcW w:w="427" w:type="pct"/>
            <w:tcBorders>
              <w:tl2br w:val="nil"/>
              <w:tr2bl w:val="nil"/>
            </w:tcBorders>
            <w:vAlign w:val="center"/>
          </w:tcPr>
          <w:p w14:paraId="5EF82B23">
            <w:pPr>
              <w:pStyle w:val="41"/>
              <w:rPr>
                <w:color w:val="auto"/>
                <w:highlight w:val="none"/>
              </w:rPr>
            </w:pPr>
            <w:r>
              <w:rPr>
                <w:color w:val="auto"/>
                <w:highlight w:val="none"/>
              </w:rPr>
              <w:t>mg/kg</w:t>
            </w:r>
          </w:p>
        </w:tc>
        <w:tc>
          <w:tcPr>
            <w:tcW w:w="427" w:type="pct"/>
            <w:tcBorders>
              <w:tl2br w:val="nil"/>
              <w:tr2bl w:val="nil"/>
            </w:tcBorders>
            <w:vAlign w:val="center"/>
          </w:tcPr>
          <w:p w14:paraId="719BBB4C">
            <w:pPr>
              <w:pStyle w:val="41"/>
              <w:rPr>
                <w:color w:val="auto"/>
                <w:highlight w:val="none"/>
              </w:rPr>
            </w:pPr>
            <w:r>
              <w:rPr>
                <w:color w:val="auto"/>
                <w:highlight w:val="none"/>
              </w:rPr>
              <w:t>mg/kg</w:t>
            </w:r>
          </w:p>
        </w:tc>
        <w:tc>
          <w:tcPr>
            <w:tcW w:w="427" w:type="pct"/>
            <w:tcBorders>
              <w:tl2br w:val="nil"/>
              <w:tr2bl w:val="nil"/>
            </w:tcBorders>
            <w:vAlign w:val="center"/>
          </w:tcPr>
          <w:p w14:paraId="7E6D4DCA">
            <w:pPr>
              <w:pStyle w:val="41"/>
              <w:rPr>
                <w:color w:val="auto"/>
                <w:highlight w:val="none"/>
              </w:rPr>
            </w:pPr>
            <w:r>
              <w:rPr>
                <w:color w:val="auto"/>
                <w:highlight w:val="none"/>
              </w:rPr>
              <w:t>mg/kg</w:t>
            </w:r>
          </w:p>
        </w:tc>
        <w:tc>
          <w:tcPr>
            <w:tcW w:w="364" w:type="pct"/>
            <w:tcBorders>
              <w:tl2br w:val="nil"/>
              <w:tr2bl w:val="nil"/>
            </w:tcBorders>
            <w:vAlign w:val="center"/>
          </w:tcPr>
          <w:p w14:paraId="424E2FE6">
            <w:pPr>
              <w:pStyle w:val="41"/>
              <w:rPr>
                <w:color w:val="auto"/>
                <w:highlight w:val="none"/>
              </w:rPr>
            </w:pPr>
            <w:r>
              <w:rPr>
                <w:color w:val="auto"/>
                <w:highlight w:val="none"/>
              </w:rPr>
              <w:t>mg/kg</w:t>
            </w:r>
          </w:p>
        </w:tc>
        <w:tc>
          <w:tcPr>
            <w:tcW w:w="364" w:type="pct"/>
            <w:tcBorders>
              <w:tl2br w:val="nil"/>
              <w:tr2bl w:val="nil"/>
            </w:tcBorders>
            <w:vAlign w:val="center"/>
          </w:tcPr>
          <w:p w14:paraId="4C906B96">
            <w:pPr>
              <w:pStyle w:val="41"/>
              <w:rPr>
                <w:color w:val="auto"/>
                <w:highlight w:val="none"/>
              </w:rPr>
            </w:pPr>
            <w:r>
              <w:rPr>
                <w:color w:val="auto"/>
                <w:highlight w:val="none"/>
              </w:rPr>
              <w:t>mg/kg</w:t>
            </w:r>
          </w:p>
        </w:tc>
        <w:tc>
          <w:tcPr>
            <w:tcW w:w="248" w:type="pct"/>
            <w:tcBorders>
              <w:tl2br w:val="nil"/>
              <w:tr2bl w:val="nil"/>
            </w:tcBorders>
            <w:vAlign w:val="center"/>
          </w:tcPr>
          <w:p w14:paraId="5B7C3BF2">
            <w:pPr>
              <w:pStyle w:val="41"/>
              <w:rPr>
                <w:color w:val="auto"/>
                <w:highlight w:val="none"/>
              </w:rPr>
            </w:pPr>
            <w:r>
              <w:rPr>
                <w:color w:val="auto"/>
                <w:highlight w:val="none"/>
              </w:rPr>
              <w:t>%</w:t>
            </w:r>
          </w:p>
        </w:tc>
        <w:tc>
          <w:tcPr>
            <w:tcW w:w="431" w:type="pct"/>
            <w:tcBorders>
              <w:tl2br w:val="nil"/>
              <w:tr2bl w:val="nil"/>
            </w:tcBorders>
            <w:vAlign w:val="center"/>
          </w:tcPr>
          <w:p w14:paraId="4814A6AE">
            <w:pPr>
              <w:pStyle w:val="41"/>
              <w:rPr>
                <w:color w:val="auto"/>
                <w:highlight w:val="none"/>
              </w:rPr>
            </w:pPr>
            <w:r>
              <w:rPr>
                <w:color w:val="auto"/>
                <w:highlight w:val="none"/>
              </w:rPr>
              <w:t>无量纲</w:t>
            </w:r>
          </w:p>
        </w:tc>
      </w:tr>
      <w:tr w14:paraId="0B0F20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6E0BAB93">
            <w:pPr>
              <w:pStyle w:val="41"/>
              <w:rPr>
                <w:color w:val="auto"/>
                <w:highlight w:val="none"/>
              </w:rPr>
            </w:pPr>
            <w:r>
              <w:rPr>
                <w:rFonts w:hint="eastAsia"/>
                <w:color w:val="auto"/>
                <w:highlight w:val="none"/>
              </w:rPr>
              <w:t>监测点位</w:t>
            </w:r>
          </w:p>
        </w:tc>
        <w:tc>
          <w:tcPr>
            <w:tcW w:w="460" w:type="pct"/>
            <w:tcBorders>
              <w:tl2br w:val="nil"/>
              <w:tr2bl w:val="nil"/>
            </w:tcBorders>
            <w:vAlign w:val="center"/>
          </w:tcPr>
          <w:p w14:paraId="50C22987">
            <w:pPr>
              <w:pStyle w:val="41"/>
              <w:rPr>
                <w:color w:val="auto"/>
                <w:highlight w:val="none"/>
              </w:rPr>
            </w:pPr>
            <w:r>
              <w:rPr>
                <w:color w:val="auto"/>
                <w:highlight w:val="none"/>
              </w:rPr>
              <w:t>深度</w:t>
            </w:r>
          </w:p>
          <w:p w14:paraId="43BFF516">
            <w:pPr>
              <w:pStyle w:val="41"/>
              <w:rPr>
                <w:color w:val="auto"/>
                <w:highlight w:val="none"/>
              </w:rPr>
            </w:pPr>
            <w:r>
              <w:rPr>
                <w:rFonts w:hint="eastAsia"/>
                <w:color w:val="auto"/>
                <w:highlight w:val="none"/>
                <w:lang w:eastAsia="zh-CN"/>
              </w:rPr>
              <w:t>(</w:t>
            </w:r>
            <w:r>
              <w:rPr>
                <w:color w:val="auto"/>
                <w:highlight w:val="none"/>
              </w:rPr>
              <w:t>cm</w:t>
            </w:r>
            <w:r>
              <w:rPr>
                <w:rFonts w:hint="eastAsia"/>
                <w:color w:val="auto"/>
                <w:highlight w:val="none"/>
                <w:lang w:eastAsia="zh-CN"/>
              </w:rPr>
              <w:t>)</w:t>
            </w:r>
          </w:p>
        </w:tc>
        <w:tc>
          <w:tcPr>
            <w:tcW w:w="3483" w:type="pct"/>
            <w:gridSpan w:val="9"/>
            <w:tcBorders>
              <w:tl2br w:val="nil"/>
              <w:tr2bl w:val="nil"/>
            </w:tcBorders>
            <w:vAlign w:val="center"/>
          </w:tcPr>
          <w:p w14:paraId="362A2D0D">
            <w:pPr>
              <w:pStyle w:val="41"/>
              <w:rPr>
                <w:color w:val="auto"/>
                <w:highlight w:val="none"/>
              </w:rPr>
            </w:pPr>
            <w:r>
              <w:rPr>
                <w:color w:val="auto"/>
                <w:highlight w:val="none"/>
              </w:rPr>
              <w:t>检测结果</w:t>
            </w:r>
          </w:p>
        </w:tc>
      </w:tr>
      <w:tr w14:paraId="064A5A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5E57A009">
            <w:pPr>
              <w:pStyle w:val="41"/>
              <w:rPr>
                <w:color w:val="auto"/>
                <w:highlight w:val="none"/>
              </w:rPr>
            </w:pPr>
            <w:r>
              <w:rPr>
                <w:color w:val="auto"/>
                <w:highlight w:val="none"/>
              </w:rPr>
              <w:t>TC-2#-1</w:t>
            </w:r>
          </w:p>
        </w:tc>
        <w:tc>
          <w:tcPr>
            <w:tcW w:w="460" w:type="pct"/>
            <w:tcBorders>
              <w:tl2br w:val="nil"/>
              <w:tr2bl w:val="nil"/>
            </w:tcBorders>
            <w:vAlign w:val="center"/>
          </w:tcPr>
          <w:p w14:paraId="62A36697">
            <w:pPr>
              <w:pStyle w:val="41"/>
              <w:rPr>
                <w:color w:val="auto"/>
                <w:highlight w:val="none"/>
              </w:rPr>
            </w:pPr>
            <w:r>
              <w:rPr>
                <w:color w:val="auto"/>
                <w:highlight w:val="none"/>
              </w:rPr>
              <w:t>48</w:t>
            </w:r>
          </w:p>
        </w:tc>
        <w:tc>
          <w:tcPr>
            <w:tcW w:w="364" w:type="pct"/>
            <w:tcBorders>
              <w:tl2br w:val="nil"/>
              <w:tr2bl w:val="nil"/>
            </w:tcBorders>
            <w:vAlign w:val="center"/>
          </w:tcPr>
          <w:p w14:paraId="31A38938">
            <w:pPr>
              <w:pStyle w:val="41"/>
              <w:rPr>
                <w:color w:val="auto"/>
                <w:highlight w:val="none"/>
              </w:rPr>
            </w:pPr>
            <w:r>
              <w:rPr>
                <w:color w:val="auto"/>
                <w:highlight w:val="none"/>
              </w:rPr>
              <w:t>0.122</w:t>
            </w:r>
          </w:p>
        </w:tc>
        <w:tc>
          <w:tcPr>
            <w:tcW w:w="427" w:type="pct"/>
            <w:tcBorders>
              <w:tl2br w:val="nil"/>
              <w:tr2bl w:val="nil"/>
            </w:tcBorders>
            <w:vAlign w:val="center"/>
          </w:tcPr>
          <w:p w14:paraId="69D4056E">
            <w:pPr>
              <w:pStyle w:val="41"/>
              <w:rPr>
                <w:color w:val="auto"/>
                <w:highlight w:val="none"/>
              </w:rPr>
            </w:pPr>
            <w:r>
              <w:rPr>
                <w:color w:val="auto"/>
                <w:highlight w:val="none"/>
              </w:rPr>
              <w:t>0.8</w:t>
            </w:r>
          </w:p>
        </w:tc>
        <w:tc>
          <w:tcPr>
            <w:tcW w:w="427" w:type="pct"/>
            <w:tcBorders>
              <w:tl2br w:val="nil"/>
              <w:tr2bl w:val="nil"/>
            </w:tcBorders>
            <w:vAlign w:val="center"/>
          </w:tcPr>
          <w:p w14:paraId="05E12FDF">
            <w:pPr>
              <w:pStyle w:val="41"/>
              <w:rPr>
                <w:color w:val="auto"/>
                <w:highlight w:val="none"/>
              </w:rPr>
            </w:pPr>
            <w:r>
              <w:rPr>
                <w:color w:val="auto"/>
                <w:highlight w:val="none"/>
              </w:rPr>
              <w:t>未检出</w:t>
            </w:r>
          </w:p>
        </w:tc>
        <w:tc>
          <w:tcPr>
            <w:tcW w:w="427" w:type="pct"/>
            <w:tcBorders>
              <w:tl2br w:val="nil"/>
              <w:tr2bl w:val="nil"/>
            </w:tcBorders>
            <w:vAlign w:val="center"/>
          </w:tcPr>
          <w:p w14:paraId="2AF6287F">
            <w:pPr>
              <w:pStyle w:val="41"/>
              <w:rPr>
                <w:color w:val="auto"/>
                <w:highlight w:val="none"/>
              </w:rPr>
            </w:pPr>
            <w:r>
              <w:rPr>
                <w:color w:val="auto"/>
                <w:highlight w:val="none"/>
              </w:rPr>
              <w:t>0.07</w:t>
            </w:r>
          </w:p>
        </w:tc>
        <w:tc>
          <w:tcPr>
            <w:tcW w:w="427" w:type="pct"/>
            <w:tcBorders>
              <w:tl2br w:val="nil"/>
              <w:tr2bl w:val="nil"/>
            </w:tcBorders>
            <w:vAlign w:val="center"/>
          </w:tcPr>
          <w:p w14:paraId="407C699A">
            <w:pPr>
              <w:pStyle w:val="41"/>
              <w:rPr>
                <w:color w:val="auto"/>
                <w:highlight w:val="none"/>
              </w:rPr>
            </w:pPr>
            <w:r>
              <w:rPr>
                <w:color w:val="auto"/>
                <w:highlight w:val="none"/>
              </w:rPr>
              <w:t>未检出</w:t>
            </w:r>
          </w:p>
        </w:tc>
        <w:tc>
          <w:tcPr>
            <w:tcW w:w="364" w:type="pct"/>
            <w:tcBorders>
              <w:tl2br w:val="nil"/>
              <w:tr2bl w:val="nil"/>
            </w:tcBorders>
            <w:vAlign w:val="center"/>
          </w:tcPr>
          <w:p w14:paraId="7FEC0E23">
            <w:pPr>
              <w:pStyle w:val="41"/>
              <w:rPr>
                <w:color w:val="auto"/>
                <w:highlight w:val="none"/>
              </w:rPr>
            </w:pPr>
            <w:r>
              <w:rPr>
                <w:color w:val="auto"/>
                <w:highlight w:val="none"/>
              </w:rPr>
              <w:t>6.5</w:t>
            </w:r>
          </w:p>
        </w:tc>
        <w:tc>
          <w:tcPr>
            <w:tcW w:w="364" w:type="pct"/>
            <w:tcBorders>
              <w:tl2br w:val="nil"/>
              <w:tr2bl w:val="nil"/>
            </w:tcBorders>
            <w:vAlign w:val="center"/>
          </w:tcPr>
          <w:p w14:paraId="1DE742B6">
            <w:pPr>
              <w:pStyle w:val="41"/>
              <w:rPr>
                <w:color w:val="auto"/>
                <w:highlight w:val="none"/>
              </w:rPr>
            </w:pPr>
            <w:r>
              <w:rPr>
                <w:color w:val="auto"/>
                <w:highlight w:val="none"/>
              </w:rPr>
              <w:t>14</w:t>
            </w:r>
          </w:p>
        </w:tc>
        <w:tc>
          <w:tcPr>
            <w:tcW w:w="248" w:type="pct"/>
            <w:tcBorders>
              <w:tl2br w:val="nil"/>
              <w:tr2bl w:val="nil"/>
            </w:tcBorders>
            <w:vAlign w:val="center"/>
          </w:tcPr>
          <w:p w14:paraId="4BF70C78">
            <w:pPr>
              <w:pStyle w:val="41"/>
              <w:rPr>
                <w:color w:val="auto"/>
                <w:highlight w:val="none"/>
              </w:rPr>
            </w:pPr>
            <w:r>
              <w:rPr>
                <w:color w:val="auto"/>
                <w:highlight w:val="none"/>
              </w:rPr>
              <w:t>0.05</w:t>
            </w:r>
          </w:p>
        </w:tc>
        <w:tc>
          <w:tcPr>
            <w:tcW w:w="431" w:type="pct"/>
            <w:tcBorders>
              <w:tl2br w:val="nil"/>
              <w:tr2bl w:val="nil"/>
            </w:tcBorders>
            <w:vAlign w:val="center"/>
          </w:tcPr>
          <w:p w14:paraId="5FA634F4">
            <w:pPr>
              <w:pStyle w:val="41"/>
              <w:rPr>
                <w:color w:val="auto"/>
                <w:highlight w:val="none"/>
              </w:rPr>
            </w:pPr>
            <w:r>
              <w:rPr>
                <w:color w:val="auto"/>
                <w:highlight w:val="none"/>
              </w:rPr>
              <w:t>7.93</w:t>
            </w:r>
          </w:p>
        </w:tc>
      </w:tr>
      <w:tr w14:paraId="2C9280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6D8EC0E3">
            <w:pPr>
              <w:pStyle w:val="41"/>
              <w:rPr>
                <w:color w:val="auto"/>
                <w:highlight w:val="none"/>
              </w:rPr>
            </w:pPr>
            <w:r>
              <w:rPr>
                <w:color w:val="auto"/>
                <w:highlight w:val="none"/>
              </w:rPr>
              <w:t>TC-2#-1-1</w:t>
            </w:r>
          </w:p>
        </w:tc>
        <w:tc>
          <w:tcPr>
            <w:tcW w:w="460" w:type="pct"/>
            <w:tcBorders>
              <w:tl2br w:val="nil"/>
              <w:tr2bl w:val="nil"/>
            </w:tcBorders>
            <w:vAlign w:val="center"/>
          </w:tcPr>
          <w:p w14:paraId="188AA44D">
            <w:pPr>
              <w:pStyle w:val="41"/>
              <w:rPr>
                <w:color w:val="auto"/>
                <w:highlight w:val="none"/>
              </w:rPr>
            </w:pPr>
            <w:r>
              <w:rPr>
                <w:color w:val="auto"/>
                <w:highlight w:val="none"/>
              </w:rPr>
              <w:t>83</w:t>
            </w:r>
          </w:p>
        </w:tc>
        <w:tc>
          <w:tcPr>
            <w:tcW w:w="364" w:type="pct"/>
            <w:tcBorders>
              <w:tl2br w:val="nil"/>
              <w:tr2bl w:val="nil"/>
            </w:tcBorders>
            <w:vAlign w:val="center"/>
          </w:tcPr>
          <w:p w14:paraId="19CDDDBD">
            <w:pPr>
              <w:pStyle w:val="41"/>
              <w:rPr>
                <w:color w:val="auto"/>
                <w:highlight w:val="none"/>
              </w:rPr>
            </w:pPr>
            <w:r>
              <w:rPr>
                <w:color w:val="auto"/>
                <w:highlight w:val="none"/>
              </w:rPr>
              <w:t>0.096</w:t>
            </w:r>
          </w:p>
        </w:tc>
        <w:tc>
          <w:tcPr>
            <w:tcW w:w="427" w:type="pct"/>
            <w:tcBorders>
              <w:tl2br w:val="nil"/>
              <w:tr2bl w:val="nil"/>
            </w:tcBorders>
            <w:vAlign w:val="center"/>
          </w:tcPr>
          <w:p w14:paraId="09C0653E">
            <w:pPr>
              <w:pStyle w:val="41"/>
              <w:rPr>
                <w:color w:val="auto"/>
                <w:highlight w:val="none"/>
              </w:rPr>
            </w:pPr>
            <w:r>
              <w:rPr>
                <w:color w:val="auto"/>
                <w:highlight w:val="none"/>
              </w:rPr>
              <w:t>0.8</w:t>
            </w:r>
          </w:p>
        </w:tc>
        <w:tc>
          <w:tcPr>
            <w:tcW w:w="427" w:type="pct"/>
            <w:tcBorders>
              <w:tl2br w:val="nil"/>
              <w:tr2bl w:val="nil"/>
            </w:tcBorders>
            <w:vAlign w:val="center"/>
          </w:tcPr>
          <w:p w14:paraId="34F8BD3D">
            <w:pPr>
              <w:pStyle w:val="41"/>
              <w:rPr>
                <w:color w:val="auto"/>
                <w:highlight w:val="none"/>
              </w:rPr>
            </w:pPr>
            <w:r>
              <w:rPr>
                <w:color w:val="auto"/>
                <w:highlight w:val="none"/>
              </w:rPr>
              <w:t>13</w:t>
            </w:r>
          </w:p>
        </w:tc>
        <w:tc>
          <w:tcPr>
            <w:tcW w:w="427" w:type="pct"/>
            <w:tcBorders>
              <w:tl2br w:val="nil"/>
              <w:tr2bl w:val="nil"/>
            </w:tcBorders>
            <w:vAlign w:val="center"/>
          </w:tcPr>
          <w:p w14:paraId="45808C1A">
            <w:pPr>
              <w:pStyle w:val="41"/>
              <w:rPr>
                <w:color w:val="auto"/>
                <w:highlight w:val="none"/>
              </w:rPr>
            </w:pPr>
            <w:r>
              <w:rPr>
                <w:color w:val="auto"/>
                <w:highlight w:val="none"/>
              </w:rPr>
              <w:t>0.10</w:t>
            </w:r>
          </w:p>
        </w:tc>
        <w:tc>
          <w:tcPr>
            <w:tcW w:w="427" w:type="pct"/>
            <w:tcBorders>
              <w:tl2br w:val="nil"/>
              <w:tr2bl w:val="nil"/>
            </w:tcBorders>
            <w:vAlign w:val="center"/>
          </w:tcPr>
          <w:p w14:paraId="6F8B8B19">
            <w:pPr>
              <w:pStyle w:val="41"/>
              <w:rPr>
                <w:color w:val="auto"/>
                <w:highlight w:val="none"/>
              </w:rPr>
            </w:pPr>
            <w:r>
              <w:rPr>
                <w:color w:val="auto"/>
                <w:highlight w:val="none"/>
              </w:rPr>
              <w:t>未检出</w:t>
            </w:r>
          </w:p>
        </w:tc>
        <w:tc>
          <w:tcPr>
            <w:tcW w:w="364" w:type="pct"/>
            <w:tcBorders>
              <w:tl2br w:val="nil"/>
              <w:tr2bl w:val="nil"/>
            </w:tcBorders>
            <w:vAlign w:val="center"/>
          </w:tcPr>
          <w:p w14:paraId="57642D20">
            <w:pPr>
              <w:pStyle w:val="41"/>
              <w:rPr>
                <w:color w:val="auto"/>
                <w:highlight w:val="none"/>
              </w:rPr>
            </w:pPr>
            <w:r>
              <w:rPr>
                <w:color w:val="auto"/>
                <w:highlight w:val="none"/>
              </w:rPr>
              <w:t>2.1</w:t>
            </w:r>
          </w:p>
        </w:tc>
        <w:tc>
          <w:tcPr>
            <w:tcW w:w="364" w:type="pct"/>
            <w:tcBorders>
              <w:tl2br w:val="nil"/>
              <w:tr2bl w:val="nil"/>
            </w:tcBorders>
            <w:vAlign w:val="center"/>
          </w:tcPr>
          <w:p w14:paraId="392405F5">
            <w:pPr>
              <w:pStyle w:val="41"/>
              <w:rPr>
                <w:color w:val="auto"/>
                <w:highlight w:val="none"/>
              </w:rPr>
            </w:pPr>
            <w:r>
              <w:rPr>
                <w:color w:val="auto"/>
                <w:highlight w:val="none"/>
              </w:rPr>
              <w:t>8</w:t>
            </w:r>
          </w:p>
        </w:tc>
        <w:tc>
          <w:tcPr>
            <w:tcW w:w="248" w:type="pct"/>
            <w:tcBorders>
              <w:tl2br w:val="nil"/>
              <w:tr2bl w:val="nil"/>
            </w:tcBorders>
            <w:vAlign w:val="center"/>
          </w:tcPr>
          <w:p w14:paraId="36055FF8">
            <w:pPr>
              <w:pStyle w:val="41"/>
              <w:rPr>
                <w:color w:val="auto"/>
                <w:highlight w:val="none"/>
              </w:rPr>
            </w:pPr>
            <w:r>
              <w:rPr>
                <w:color w:val="auto"/>
                <w:highlight w:val="none"/>
              </w:rPr>
              <w:t>0.08</w:t>
            </w:r>
          </w:p>
        </w:tc>
        <w:tc>
          <w:tcPr>
            <w:tcW w:w="431" w:type="pct"/>
            <w:tcBorders>
              <w:tl2br w:val="nil"/>
              <w:tr2bl w:val="nil"/>
            </w:tcBorders>
            <w:vAlign w:val="center"/>
          </w:tcPr>
          <w:p w14:paraId="073F9061">
            <w:pPr>
              <w:pStyle w:val="41"/>
              <w:rPr>
                <w:color w:val="auto"/>
                <w:highlight w:val="none"/>
              </w:rPr>
            </w:pPr>
            <w:r>
              <w:rPr>
                <w:color w:val="auto"/>
                <w:highlight w:val="none"/>
              </w:rPr>
              <w:t>8.11</w:t>
            </w:r>
          </w:p>
        </w:tc>
      </w:tr>
      <w:tr w14:paraId="02BE62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0B4D0FC1">
            <w:pPr>
              <w:pStyle w:val="41"/>
              <w:rPr>
                <w:color w:val="auto"/>
                <w:highlight w:val="none"/>
              </w:rPr>
            </w:pPr>
            <w:r>
              <w:rPr>
                <w:color w:val="auto"/>
                <w:highlight w:val="none"/>
              </w:rPr>
              <w:t>TC-2#-1-1-1</w:t>
            </w:r>
          </w:p>
        </w:tc>
        <w:tc>
          <w:tcPr>
            <w:tcW w:w="460" w:type="pct"/>
            <w:tcBorders>
              <w:tl2br w:val="nil"/>
              <w:tr2bl w:val="nil"/>
            </w:tcBorders>
            <w:vAlign w:val="center"/>
          </w:tcPr>
          <w:p w14:paraId="26620FD2">
            <w:pPr>
              <w:pStyle w:val="41"/>
              <w:rPr>
                <w:color w:val="auto"/>
                <w:highlight w:val="none"/>
              </w:rPr>
            </w:pPr>
            <w:r>
              <w:rPr>
                <w:color w:val="auto"/>
                <w:highlight w:val="none"/>
              </w:rPr>
              <w:t>177</w:t>
            </w:r>
          </w:p>
        </w:tc>
        <w:tc>
          <w:tcPr>
            <w:tcW w:w="364" w:type="pct"/>
            <w:tcBorders>
              <w:tl2br w:val="nil"/>
              <w:tr2bl w:val="nil"/>
            </w:tcBorders>
            <w:vAlign w:val="center"/>
          </w:tcPr>
          <w:p w14:paraId="1B05A151">
            <w:pPr>
              <w:pStyle w:val="41"/>
              <w:rPr>
                <w:color w:val="auto"/>
                <w:highlight w:val="none"/>
              </w:rPr>
            </w:pPr>
            <w:r>
              <w:rPr>
                <w:color w:val="auto"/>
                <w:highlight w:val="none"/>
              </w:rPr>
              <w:t>0.038</w:t>
            </w:r>
          </w:p>
        </w:tc>
        <w:tc>
          <w:tcPr>
            <w:tcW w:w="427" w:type="pct"/>
            <w:tcBorders>
              <w:tl2br w:val="nil"/>
              <w:tr2bl w:val="nil"/>
            </w:tcBorders>
            <w:vAlign w:val="center"/>
          </w:tcPr>
          <w:p w14:paraId="420A527A">
            <w:pPr>
              <w:pStyle w:val="41"/>
              <w:rPr>
                <w:color w:val="auto"/>
                <w:highlight w:val="none"/>
              </w:rPr>
            </w:pPr>
            <w:r>
              <w:rPr>
                <w:color w:val="auto"/>
                <w:highlight w:val="none"/>
              </w:rPr>
              <w:t>未检出</w:t>
            </w:r>
          </w:p>
        </w:tc>
        <w:tc>
          <w:tcPr>
            <w:tcW w:w="427" w:type="pct"/>
            <w:tcBorders>
              <w:tl2br w:val="nil"/>
              <w:tr2bl w:val="nil"/>
            </w:tcBorders>
            <w:vAlign w:val="center"/>
          </w:tcPr>
          <w:p w14:paraId="210AF90D">
            <w:pPr>
              <w:pStyle w:val="41"/>
              <w:rPr>
                <w:color w:val="auto"/>
                <w:highlight w:val="none"/>
              </w:rPr>
            </w:pPr>
            <w:r>
              <w:rPr>
                <w:color w:val="auto"/>
                <w:highlight w:val="none"/>
              </w:rPr>
              <w:t>13</w:t>
            </w:r>
          </w:p>
        </w:tc>
        <w:tc>
          <w:tcPr>
            <w:tcW w:w="427" w:type="pct"/>
            <w:tcBorders>
              <w:tl2br w:val="nil"/>
              <w:tr2bl w:val="nil"/>
            </w:tcBorders>
            <w:vAlign w:val="center"/>
          </w:tcPr>
          <w:p w14:paraId="3D011C53">
            <w:pPr>
              <w:pStyle w:val="41"/>
              <w:rPr>
                <w:color w:val="auto"/>
                <w:highlight w:val="none"/>
              </w:rPr>
            </w:pPr>
            <w:r>
              <w:rPr>
                <w:color w:val="auto"/>
                <w:highlight w:val="none"/>
              </w:rPr>
              <w:t>0.08</w:t>
            </w:r>
          </w:p>
        </w:tc>
        <w:tc>
          <w:tcPr>
            <w:tcW w:w="427" w:type="pct"/>
            <w:tcBorders>
              <w:tl2br w:val="nil"/>
              <w:tr2bl w:val="nil"/>
            </w:tcBorders>
            <w:vAlign w:val="center"/>
          </w:tcPr>
          <w:p w14:paraId="6EA86342">
            <w:pPr>
              <w:pStyle w:val="41"/>
              <w:rPr>
                <w:color w:val="auto"/>
                <w:highlight w:val="none"/>
              </w:rPr>
            </w:pPr>
            <w:r>
              <w:rPr>
                <w:color w:val="auto"/>
                <w:highlight w:val="none"/>
              </w:rPr>
              <w:t>未检出</w:t>
            </w:r>
          </w:p>
        </w:tc>
        <w:tc>
          <w:tcPr>
            <w:tcW w:w="364" w:type="pct"/>
            <w:tcBorders>
              <w:tl2br w:val="nil"/>
              <w:tr2bl w:val="nil"/>
            </w:tcBorders>
            <w:vAlign w:val="center"/>
          </w:tcPr>
          <w:p w14:paraId="4CF4C347">
            <w:pPr>
              <w:pStyle w:val="41"/>
              <w:rPr>
                <w:color w:val="auto"/>
                <w:highlight w:val="none"/>
              </w:rPr>
            </w:pPr>
            <w:r>
              <w:rPr>
                <w:color w:val="auto"/>
                <w:highlight w:val="none"/>
              </w:rPr>
              <w:t>2.1</w:t>
            </w:r>
          </w:p>
        </w:tc>
        <w:tc>
          <w:tcPr>
            <w:tcW w:w="364" w:type="pct"/>
            <w:tcBorders>
              <w:tl2br w:val="nil"/>
              <w:tr2bl w:val="nil"/>
            </w:tcBorders>
            <w:vAlign w:val="center"/>
          </w:tcPr>
          <w:p w14:paraId="64F44EA3">
            <w:pPr>
              <w:pStyle w:val="41"/>
              <w:rPr>
                <w:color w:val="auto"/>
                <w:highlight w:val="none"/>
              </w:rPr>
            </w:pPr>
            <w:r>
              <w:rPr>
                <w:color w:val="auto"/>
                <w:highlight w:val="none"/>
              </w:rPr>
              <w:t>8</w:t>
            </w:r>
          </w:p>
        </w:tc>
        <w:tc>
          <w:tcPr>
            <w:tcW w:w="248" w:type="pct"/>
            <w:tcBorders>
              <w:tl2br w:val="nil"/>
              <w:tr2bl w:val="nil"/>
            </w:tcBorders>
            <w:vAlign w:val="center"/>
          </w:tcPr>
          <w:p w14:paraId="0B79A6DF">
            <w:pPr>
              <w:pStyle w:val="41"/>
              <w:rPr>
                <w:color w:val="auto"/>
                <w:highlight w:val="none"/>
              </w:rPr>
            </w:pPr>
            <w:r>
              <w:rPr>
                <w:color w:val="auto"/>
                <w:highlight w:val="none"/>
              </w:rPr>
              <w:t>0.07</w:t>
            </w:r>
          </w:p>
        </w:tc>
        <w:tc>
          <w:tcPr>
            <w:tcW w:w="431" w:type="pct"/>
            <w:tcBorders>
              <w:tl2br w:val="nil"/>
              <w:tr2bl w:val="nil"/>
            </w:tcBorders>
            <w:vAlign w:val="center"/>
          </w:tcPr>
          <w:p w14:paraId="550382D1">
            <w:pPr>
              <w:pStyle w:val="41"/>
              <w:rPr>
                <w:color w:val="auto"/>
                <w:highlight w:val="none"/>
              </w:rPr>
            </w:pPr>
            <w:r>
              <w:rPr>
                <w:color w:val="auto"/>
                <w:highlight w:val="none"/>
              </w:rPr>
              <w:t>8.15</w:t>
            </w:r>
          </w:p>
        </w:tc>
      </w:tr>
      <w:tr w14:paraId="29C2BF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5CD7476F">
            <w:pPr>
              <w:pStyle w:val="41"/>
              <w:rPr>
                <w:color w:val="auto"/>
                <w:highlight w:val="none"/>
              </w:rPr>
            </w:pPr>
            <w:r>
              <w:rPr>
                <w:color w:val="auto"/>
                <w:highlight w:val="none"/>
              </w:rPr>
              <w:t>TC-3#-1</w:t>
            </w:r>
          </w:p>
        </w:tc>
        <w:tc>
          <w:tcPr>
            <w:tcW w:w="460" w:type="pct"/>
            <w:tcBorders>
              <w:tl2br w:val="nil"/>
              <w:tr2bl w:val="nil"/>
            </w:tcBorders>
            <w:vAlign w:val="center"/>
          </w:tcPr>
          <w:p w14:paraId="49DC5E78">
            <w:pPr>
              <w:pStyle w:val="41"/>
              <w:rPr>
                <w:color w:val="auto"/>
                <w:highlight w:val="none"/>
              </w:rPr>
            </w:pPr>
            <w:r>
              <w:rPr>
                <w:color w:val="auto"/>
                <w:highlight w:val="none"/>
              </w:rPr>
              <w:t>44</w:t>
            </w:r>
          </w:p>
        </w:tc>
        <w:tc>
          <w:tcPr>
            <w:tcW w:w="364" w:type="pct"/>
            <w:tcBorders>
              <w:tl2br w:val="nil"/>
              <w:tr2bl w:val="nil"/>
            </w:tcBorders>
            <w:vAlign w:val="center"/>
          </w:tcPr>
          <w:p w14:paraId="2620F6B7">
            <w:pPr>
              <w:pStyle w:val="41"/>
              <w:rPr>
                <w:color w:val="auto"/>
                <w:highlight w:val="none"/>
              </w:rPr>
            </w:pPr>
            <w:r>
              <w:rPr>
                <w:color w:val="auto"/>
                <w:highlight w:val="none"/>
              </w:rPr>
              <w:t>0.124</w:t>
            </w:r>
          </w:p>
        </w:tc>
        <w:tc>
          <w:tcPr>
            <w:tcW w:w="427" w:type="pct"/>
            <w:tcBorders>
              <w:tl2br w:val="nil"/>
              <w:tr2bl w:val="nil"/>
            </w:tcBorders>
            <w:vAlign w:val="center"/>
          </w:tcPr>
          <w:p w14:paraId="59A58B24">
            <w:pPr>
              <w:pStyle w:val="41"/>
              <w:rPr>
                <w:color w:val="auto"/>
                <w:highlight w:val="none"/>
              </w:rPr>
            </w:pPr>
            <w:r>
              <w:rPr>
                <w:color w:val="auto"/>
                <w:highlight w:val="none"/>
              </w:rPr>
              <w:t>未检出</w:t>
            </w:r>
          </w:p>
        </w:tc>
        <w:tc>
          <w:tcPr>
            <w:tcW w:w="427" w:type="pct"/>
            <w:tcBorders>
              <w:tl2br w:val="nil"/>
              <w:tr2bl w:val="nil"/>
            </w:tcBorders>
            <w:vAlign w:val="center"/>
          </w:tcPr>
          <w:p w14:paraId="3ED7DAEA">
            <w:pPr>
              <w:pStyle w:val="41"/>
              <w:rPr>
                <w:color w:val="auto"/>
                <w:highlight w:val="none"/>
              </w:rPr>
            </w:pPr>
            <w:r>
              <w:rPr>
                <w:color w:val="auto"/>
                <w:highlight w:val="none"/>
              </w:rPr>
              <w:t>未检出</w:t>
            </w:r>
          </w:p>
        </w:tc>
        <w:tc>
          <w:tcPr>
            <w:tcW w:w="427" w:type="pct"/>
            <w:tcBorders>
              <w:tl2br w:val="nil"/>
              <w:tr2bl w:val="nil"/>
            </w:tcBorders>
            <w:vAlign w:val="center"/>
          </w:tcPr>
          <w:p w14:paraId="79F61FFE">
            <w:pPr>
              <w:pStyle w:val="41"/>
              <w:rPr>
                <w:color w:val="auto"/>
                <w:highlight w:val="none"/>
              </w:rPr>
            </w:pPr>
            <w:r>
              <w:rPr>
                <w:color w:val="auto"/>
                <w:highlight w:val="none"/>
              </w:rPr>
              <w:t>未检出</w:t>
            </w:r>
          </w:p>
        </w:tc>
        <w:tc>
          <w:tcPr>
            <w:tcW w:w="427" w:type="pct"/>
            <w:tcBorders>
              <w:tl2br w:val="nil"/>
              <w:tr2bl w:val="nil"/>
            </w:tcBorders>
            <w:vAlign w:val="center"/>
          </w:tcPr>
          <w:p w14:paraId="72363D12">
            <w:pPr>
              <w:pStyle w:val="41"/>
              <w:rPr>
                <w:color w:val="auto"/>
                <w:highlight w:val="none"/>
              </w:rPr>
            </w:pPr>
            <w:r>
              <w:rPr>
                <w:color w:val="auto"/>
                <w:highlight w:val="none"/>
              </w:rPr>
              <w:t>未检出</w:t>
            </w:r>
          </w:p>
        </w:tc>
        <w:tc>
          <w:tcPr>
            <w:tcW w:w="364" w:type="pct"/>
            <w:tcBorders>
              <w:tl2br w:val="nil"/>
              <w:tr2bl w:val="nil"/>
            </w:tcBorders>
            <w:vAlign w:val="center"/>
          </w:tcPr>
          <w:p w14:paraId="25D1C7AA">
            <w:pPr>
              <w:pStyle w:val="41"/>
              <w:rPr>
                <w:color w:val="auto"/>
                <w:highlight w:val="none"/>
              </w:rPr>
            </w:pPr>
            <w:r>
              <w:rPr>
                <w:color w:val="auto"/>
                <w:highlight w:val="none"/>
              </w:rPr>
              <w:t>7.1</w:t>
            </w:r>
          </w:p>
        </w:tc>
        <w:tc>
          <w:tcPr>
            <w:tcW w:w="364" w:type="pct"/>
            <w:tcBorders>
              <w:tl2br w:val="nil"/>
              <w:tr2bl w:val="nil"/>
            </w:tcBorders>
            <w:vAlign w:val="center"/>
          </w:tcPr>
          <w:p w14:paraId="7BE57C6D">
            <w:pPr>
              <w:pStyle w:val="41"/>
              <w:rPr>
                <w:color w:val="auto"/>
                <w:highlight w:val="none"/>
              </w:rPr>
            </w:pPr>
            <w:r>
              <w:rPr>
                <w:color w:val="auto"/>
                <w:highlight w:val="none"/>
              </w:rPr>
              <w:t>15</w:t>
            </w:r>
          </w:p>
        </w:tc>
        <w:tc>
          <w:tcPr>
            <w:tcW w:w="248" w:type="pct"/>
            <w:tcBorders>
              <w:tl2br w:val="nil"/>
              <w:tr2bl w:val="nil"/>
            </w:tcBorders>
            <w:vAlign w:val="center"/>
          </w:tcPr>
          <w:p w14:paraId="2DE3603A">
            <w:pPr>
              <w:pStyle w:val="41"/>
              <w:rPr>
                <w:color w:val="auto"/>
                <w:highlight w:val="none"/>
              </w:rPr>
            </w:pPr>
            <w:r>
              <w:rPr>
                <w:color w:val="auto"/>
                <w:highlight w:val="none"/>
              </w:rPr>
              <w:t>0.04</w:t>
            </w:r>
          </w:p>
        </w:tc>
        <w:tc>
          <w:tcPr>
            <w:tcW w:w="431" w:type="pct"/>
            <w:tcBorders>
              <w:tl2br w:val="nil"/>
              <w:tr2bl w:val="nil"/>
            </w:tcBorders>
            <w:vAlign w:val="center"/>
          </w:tcPr>
          <w:p w14:paraId="06EF6A04">
            <w:pPr>
              <w:pStyle w:val="41"/>
              <w:rPr>
                <w:color w:val="auto"/>
                <w:highlight w:val="none"/>
              </w:rPr>
            </w:pPr>
            <w:r>
              <w:rPr>
                <w:color w:val="auto"/>
                <w:highlight w:val="none"/>
              </w:rPr>
              <w:t>7.89</w:t>
            </w:r>
          </w:p>
        </w:tc>
      </w:tr>
      <w:tr w14:paraId="1B44F6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2F478C21">
            <w:pPr>
              <w:pStyle w:val="41"/>
              <w:rPr>
                <w:color w:val="auto"/>
                <w:highlight w:val="none"/>
              </w:rPr>
            </w:pPr>
            <w:r>
              <w:rPr>
                <w:color w:val="auto"/>
                <w:highlight w:val="none"/>
              </w:rPr>
              <w:t>TC-3#-1-1</w:t>
            </w:r>
          </w:p>
        </w:tc>
        <w:tc>
          <w:tcPr>
            <w:tcW w:w="460" w:type="pct"/>
            <w:tcBorders>
              <w:tl2br w:val="nil"/>
              <w:tr2bl w:val="nil"/>
            </w:tcBorders>
            <w:vAlign w:val="center"/>
          </w:tcPr>
          <w:p w14:paraId="66D797B7">
            <w:pPr>
              <w:pStyle w:val="41"/>
              <w:rPr>
                <w:color w:val="auto"/>
                <w:highlight w:val="none"/>
              </w:rPr>
            </w:pPr>
            <w:r>
              <w:rPr>
                <w:color w:val="auto"/>
                <w:highlight w:val="none"/>
              </w:rPr>
              <w:t>92</w:t>
            </w:r>
          </w:p>
        </w:tc>
        <w:tc>
          <w:tcPr>
            <w:tcW w:w="364" w:type="pct"/>
            <w:tcBorders>
              <w:tl2br w:val="nil"/>
              <w:tr2bl w:val="nil"/>
            </w:tcBorders>
            <w:vAlign w:val="center"/>
          </w:tcPr>
          <w:p w14:paraId="77E43D7D">
            <w:pPr>
              <w:pStyle w:val="41"/>
              <w:rPr>
                <w:color w:val="auto"/>
                <w:highlight w:val="none"/>
              </w:rPr>
            </w:pPr>
            <w:r>
              <w:rPr>
                <w:color w:val="auto"/>
                <w:highlight w:val="none"/>
              </w:rPr>
              <w:t>0.105</w:t>
            </w:r>
          </w:p>
        </w:tc>
        <w:tc>
          <w:tcPr>
            <w:tcW w:w="427" w:type="pct"/>
            <w:tcBorders>
              <w:tl2br w:val="nil"/>
              <w:tr2bl w:val="nil"/>
            </w:tcBorders>
            <w:vAlign w:val="center"/>
          </w:tcPr>
          <w:p w14:paraId="0A17E7D7">
            <w:pPr>
              <w:pStyle w:val="41"/>
              <w:rPr>
                <w:color w:val="auto"/>
                <w:highlight w:val="none"/>
              </w:rPr>
            </w:pPr>
            <w:r>
              <w:rPr>
                <w:color w:val="auto"/>
                <w:highlight w:val="none"/>
              </w:rPr>
              <w:t>1.6</w:t>
            </w:r>
          </w:p>
        </w:tc>
        <w:tc>
          <w:tcPr>
            <w:tcW w:w="427" w:type="pct"/>
            <w:tcBorders>
              <w:tl2br w:val="nil"/>
              <w:tr2bl w:val="nil"/>
            </w:tcBorders>
            <w:vAlign w:val="center"/>
          </w:tcPr>
          <w:p w14:paraId="5225C74C">
            <w:pPr>
              <w:pStyle w:val="41"/>
              <w:rPr>
                <w:color w:val="auto"/>
                <w:highlight w:val="none"/>
              </w:rPr>
            </w:pPr>
            <w:r>
              <w:rPr>
                <w:color w:val="auto"/>
                <w:highlight w:val="none"/>
              </w:rPr>
              <w:t>4</w:t>
            </w:r>
          </w:p>
        </w:tc>
        <w:tc>
          <w:tcPr>
            <w:tcW w:w="427" w:type="pct"/>
            <w:tcBorders>
              <w:tl2br w:val="nil"/>
              <w:tr2bl w:val="nil"/>
            </w:tcBorders>
            <w:vAlign w:val="center"/>
          </w:tcPr>
          <w:p w14:paraId="0E5B7E30">
            <w:pPr>
              <w:pStyle w:val="41"/>
              <w:rPr>
                <w:color w:val="auto"/>
                <w:highlight w:val="none"/>
              </w:rPr>
            </w:pPr>
            <w:r>
              <w:rPr>
                <w:color w:val="auto"/>
                <w:highlight w:val="none"/>
              </w:rPr>
              <w:t>0.09</w:t>
            </w:r>
          </w:p>
        </w:tc>
        <w:tc>
          <w:tcPr>
            <w:tcW w:w="427" w:type="pct"/>
            <w:tcBorders>
              <w:tl2br w:val="nil"/>
              <w:tr2bl w:val="nil"/>
            </w:tcBorders>
            <w:vAlign w:val="center"/>
          </w:tcPr>
          <w:p w14:paraId="6704A72A">
            <w:pPr>
              <w:pStyle w:val="41"/>
              <w:rPr>
                <w:color w:val="auto"/>
                <w:highlight w:val="none"/>
              </w:rPr>
            </w:pPr>
            <w:r>
              <w:rPr>
                <w:color w:val="auto"/>
                <w:highlight w:val="none"/>
              </w:rPr>
              <w:t>未检出</w:t>
            </w:r>
          </w:p>
        </w:tc>
        <w:tc>
          <w:tcPr>
            <w:tcW w:w="364" w:type="pct"/>
            <w:tcBorders>
              <w:tl2br w:val="nil"/>
              <w:tr2bl w:val="nil"/>
            </w:tcBorders>
            <w:vAlign w:val="center"/>
          </w:tcPr>
          <w:p w14:paraId="388DEB26">
            <w:pPr>
              <w:pStyle w:val="41"/>
              <w:rPr>
                <w:color w:val="auto"/>
                <w:highlight w:val="none"/>
              </w:rPr>
            </w:pPr>
            <w:r>
              <w:rPr>
                <w:color w:val="auto"/>
                <w:highlight w:val="none"/>
              </w:rPr>
              <w:t>40.2</w:t>
            </w:r>
          </w:p>
        </w:tc>
        <w:tc>
          <w:tcPr>
            <w:tcW w:w="364" w:type="pct"/>
            <w:tcBorders>
              <w:tl2br w:val="nil"/>
              <w:tr2bl w:val="nil"/>
            </w:tcBorders>
            <w:vAlign w:val="center"/>
          </w:tcPr>
          <w:p w14:paraId="3782D211">
            <w:pPr>
              <w:pStyle w:val="41"/>
              <w:rPr>
                <w:color w:val="auto"/>
                <w:highlight w:val="none"/>
              </w:rPr>
            </w:pPr>
            <w:r>
              <w:rPr>
                <w:color w:val="auto"/>
                <w:highlight w:val="none"/>
              </w:rPr>
              <w:t>28</w:t>
            </w:r>
          </w:p>
        </w:tc>
        <w:tc>
          <w:tcPr>
            <w:tcW w:w="248" w:type="pct"/>
            <w:tcBorders>
              <w:tl2br w:val="nil"/>
              <w:tr2bl w:val="nil"/>
            </w:tcBorders>
            <w:vAlign w:val="center"/>
          </w:tcPr>
          <w:p w14:paraId="30C1B809">
            <w:pPr>
              <w:pStyle w:val="41"/>
              <w:rPr>
                <w:color w:val="auto"/>
                <w:highlight w:val="none"/>
              </w:rPr>
            </w:pPr>
            <w:r>
              <w:rPr>
                <w:color w:val="auto"/>
                <w:highlight w:val="none"/>
              </w:rPr>
              <w:t>0.06</w:t>
            </w:r>
          </w:p>
        </w:tc>
        <w:tc>
          <w:tcPr>
            <w:tcW w:w="431" w:type="pct"/>
            <w:tcBorders>
              <w:tl2br w:val="nil"/>
              <w:tr2bl w:val="nil"/>
            </w:tcBorders>
            <w:vAlign w:val="center"/>
          </w:tcPr>
          <w:p w14:paraId="12BDED4A">
            <w:pPr>
              <w:pStyle w:val="41"/>
              <w:rPr>
                <w:color w:val="auto"/>
                <w:highlight w:val="none"/>
              </w:rPr>
            </w:pPr>
            <w:r>
              <w:rPr>
                <w:color w:val="auto"/>
                <w:highlight w:val="none"/>
              </w:rPr>
              <w:t>8.19</w:t>
            </w:r>
          </w:p>
        </w:tc>
      </w:tr>
      <w:tr w14:paraId="4B7B4C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3FAA5160">
            <w:pPr>
              <w:pStyle w:val="41"/>
              <w:rPr>
                <w:color w:val="auto"/>
                <w:highlight w:val="none"/>
              </w:rPr>
            </w:pPr>
            <w:r>
              <w:rPr>
                <w:color w:val="auto"/>
                <w:highlight w:val="none"/>
              </w:rPr>
              <w:t>TC-3#-1-1-1</w:t>
            </w:r>
          </w:p>
        </w:tc>
        <w:tc>
          <w:tcPr>
            <w:tcW w:w="460" w:type="pct"/>
            <w:tcBorders>
              <w:tl2br w:val="nil"/>
              <w:tr2bl w:val="nil"/>
            </w:tcBorders>
            <w:vAlign w:val="center"/>
          </w:tcPr>
          <w:p w14:paraId="0400A273">
            <w:pPr>
              <w:pStyle w:val="41"/>
              <w:rPr>
                <w:color w:val="auto"/>
                <w:highlight w:val="none"/>
              </w:rPr>
            </w:pPr>
            <w:r>
              <w:rPr>
                <w:color w:val="auto"/>
                <w:highlight w:val="none"/>
              </w:rPr>
              <w:t>189</w:t>
            </w:r>
          </w:p>
        </w:tc>
        <w:tc>
          <w:tcPr>
            <w:tcW w:w="364" w:type="pct"/>
            <w:tcBorders>
              <w:tl2br w:val="nil"/>
              <w:tr2bl w:val="nil"/>
            </w:tcBorders>
            <w:vAlign w:val="center"/>
          </w:tcPr>
          <w:p w14:paraId="2764CFB3">
            <w:pPr>
              <w:pStyle w:val="41"/>
              <w:rPr>
                <w:color w:val="auto"/>
                <w:highlight w:val="none"/>
              </w:rPr>
            </w:pPr>
            <w:r>
              <w:rPr>
                <w:color w:val="auto"/>
                <w:highlight w:val="none"/>
              </w:rPr>
              <w:t>0.048</w:t>
            </w:r>
          </w:p>
        </w:tc>
        <w:tc>
          <w:tcPr>
            <w:tcW w:w="427" w:type="pct"/>
            <w:tcBorders>
              <w:tl2br w:val="nil"/>
              <w:tr2bl w:val="nil"/>
            </w:tcBorders>
            <w:vAlign w:val="center"/>
          </w:tcPr>
          <w:p w14:paraId="6180C929">
            <w:pPr>
              <w:pStyle w:val="41"/>
              <w:rPr>
                <w:color w:val="auto"/>
                <w:highlight w:val="none"/>
              </w:rPr>
            </w:pPr>
            <w:r>
              <w:rPr>
                <w:color w:val="auto"/>
                <w:highlight w:val="none"/>
              </w:rPr>
              <w:t>7.8</w:t>
            </w:r>
          </w:p>
        </w:tc>
        <w:tc>
          <w:tcPr>
            <w:tcW w:w="427" w:type="pct"/>
            <w:tcBorders>
              <w:tl2br w:val="nil"/>
              <w:tr2bl w:val="nil"/>
            </w:tcBorders>
            <w:vAlign w:val="center"/>
          </w:tcPr>
          <w:p w14:paraId="24B22082">
            <w:pPr>
              <w:pStyle w:val="41"/>
              <w:rPr>
                <w:color w:val="auto"/>
                <w:highlight w:val="none"/>
              </w:rPr>
            </w:pPr>
            <w:r>
              <w:rPr>
                <w:color w:val="auto"/>
                <w:highlight w:val="none"/>
              </w:rPr>
              <w:t>5</w:t>
            </w:r>
          </w:p>
        </w:tc>
        <w:tc>
          <w:tcPr>
            <w:tcW w:w="427" w:type="pct"/>
            <w:tcBorders>
              <w:tl2br w:val="nil"/>
              <w:tr2bl w:val="nil"/>
            </w:tcBorders>
            <w:vAlign w:val="center"/>
          </w:tcPr>
          <w:p w14:paraId="6095E34E">
            <w:pPr>
              <w:pStyle w:val="41"/>
              <w:rPr>
                <w:color w:val="auto"/>
                <w:highlight w:val="none"/>
              </w:rPr>
            </w:pPr>
            <w:r>
              <w:rPr>
                <w:color w:val="auto"/>
                <w:highlight w:val="none"/>
              </w:rPr>
              <w:t>未检出</w:t>
            </w:r>
          </w:p>
        </w:tc>
        <w:tc>
          <w:tcPr>
            <w:tcW w:w="427" w:type="pct"/>
            <w:tcBorders>
              <w:tl2br w:val="nil"/>
              <w:tr2bl w:val="nil"/>
            </w:tcBorders>
            <w:vAlign w:val="center"/>
          </w:tcPr>
          <w:p w14:paraId="713E1D7F">
            <w:pPr>
              <w:pStyle w:val="41"/>
              <w:rPr>
                <w:color w:val="auto"/>
                <w:highlight w:val="none"/>
              </w:rPr>
            </w:pPr>
            <w:r>
              <w:rPr>
                <w:color w:val="auto"/>
                <w:highlight w:val="none"/>
              </w:rPr>
              <w:t>未检出</w:t>
            </w:r>
          </w:p>
        </w:tc>
        <w:tc>
          <w:tcPr>
            <w:tcW w:w="364" w:type="pct"/>
            <w:tcBorders>
              <w:tl2br w:val="nil"/>
              <w:tr2bl w:val="nil"/>
            </w:tcBorders>
            <w:vAlign w:val="center"/>
          </w:tcPr>
          <w:p w14:paraId="76FE7C22">
            <w:pPr>
              <w:pStyle w:val="41"/>
              <w:rPr>
                <w:color w:val="auto"/>
                <w:highlight w:val="none"/>
              </w:rPr>
            </w:pPr>
            <w:r>
              <w:rPr>
                <w:color w:val="auto"/>
                <w:highlight w:val="none"/>
              </w:rPr>
              <w:t>41.8</w:t>
            </w:r>
          </w:p>
        </w:tc>
        <w:tc>
          <w:tcPr>
            <w:tcW w:w="364" w:type="pct"/>
            <w:tcBorders>
              <w:tl2br w:val="nil"/>
              <w:tr2bl w:val="nil"/>
            </w:tcBorders>
            <w:vAlign w:val="center"/>
          </w:tcPr>
          <w:p w14:paraId="1BED0CE1">
            <w:pPr>
              <w:pStyle w:val="41"/>
              <w:rPr>
                <w:color w:val="auto"/>
                <w:highlight w:val="none"/>
              </w:rPr>
            </w:pPr>
            <w:r>
              <w:rPr>
                <w:color w:val="auto"/>
                <w:highlight w:val="none"/>
              </w:rPr>
              <w:t>27</w:t>
            </w:r>
          </w:p>
        </w:tc>
        <w:tc>
          <w:tcPr>
            <w:tcW w:w="248" w:type="pct"/>
            <w:tcBorders>
              <w:tl2br w:val="nil"/>
              <w:tr2bl w:val="nil"/>
            </w:tcBorders>
            <w:vAlign w:val="center"/>
          </w:tcPr>
          <w:p w14:paraId="7013D632">
            <w:pPr>
              <w:pStyle w:val="41"/>
              <w:rPr>
                <w:color w:val="auto"/>
                <w:highlight w:val="none"/>
              </w:rPr>
            </w:pPr>
            <w:r>
              <w:rPr>
                <w:color w:val="auto"/>
                <w:highlight w:val="none"/>
              </w:rPr>
              <w:t>0.05</w:t>
            </w:r>
          </w:p>
        </w:tc>
        <w:tc>
          <w:tcPr>
            <w:tcW w:w="431" w:type="pct"/>
            <w:tcBorders>
              <w:tl2br w:val="nil"/>
              <w:tr2bl w:val="nil"/>
            </w:tcBorders>
            <w:vAlign w:val="center"/>
          </w:tcPr>
          <w:p w14:paraId="440D40CA">
            <w:pPr>
              <w:pStyle w:val="41"/>
              <w:rPr>
                <w:color w:val="auto"/>
                <w:highlight w:val="none"/>
              </w:rPr>
            </w:pPr>
            <w:r>
              <w:rPr>
                <w:color w:val="auto"/>
                <w:highlight w:val="none"/>
              </w:rPr>
              <w:t>8.20</w:t>
            </w:r>
          </w:p>
        </w:tc>
      </w:tr>
      <w:tr w14:paraId="4606DE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542C7FF8">
            <w:pPr>
              <w:pStyle w:val="41"/>
              <w:rPr>
                <w:color w:val="auto"/>
                <w:highlight w:val="none"/>
              </w:rPr>
            </w:pPr>
            <w:r>
              <w:rPr>
                <w:color w:val="auto"/>
                <w:highlight w:val="none"/>
              </w:rPr>
              <w:t>TC-4#-1</w:t>
            </w:r>
          </w:p>
        </w:tc>
        <w:tc>
          <w:tcPr>
            <w:tcW w:w="460" w:type="pct"/>
            <w:tcBorders>
              <w:tl2br w:val="nil"/>
              <w:tr2bl w:val="nil"/>
            </w:tcBorders>
            <w:vAlign w:val="center"/>
          </w:tcPr>
          <w:p w14:paraId="4A36292E">
            <w:pPr>
              <w:pStyle w:val="41"/>
              <w:rPr>
                <w:color w:val="auto"/>
                <w:highlight w:val="none"/>
              </w:rPr>
            </w:pPr>
            <w:r>
              <w:rPr>
                <w:color w:val="auto"/>
                <w:highlight w:val="none"/>
              </w:rPr>
              <w:t>46</w:t>
            </w:r>
          </w:p>
        </w:tc>
        <w:tc>
          <w:tcPr>
            <w:tcW w:w="364" w:type="pct"/>
            <w:tcBorders>
              <w:tl2br w:val="nil"/>
              <w:tr2bl w:val="nil"/>
            </w:tcBorders>
            <w:vAlign w:val="center"/>
          </w:tcPr>
          <w:p w14:paraId="1AD6AC9E">
            <w:pPr>
              <w:pStyle w:val="41"/>
              <w:rPr>
                <w:color w:val="auto"/>
                <w:highlight w:val="none"/>
              </w:rPr>
            </w:pPr>
            <w:r>
              <w:rPr>
                <w:color w:val="auto"/>
                <w:highlight w:val="none"/>
              </w:rPr>
              <w:t>0.125</w:t>
            </w:r>
          </w:p>
        </w:tc>
        <w:tc>
          <w:tcPr>
            <w:tcW w:w="427" w:type="pct"/>
            <w:tcBorders>
              <w:tl2br w:val="nil"/>
              <w:tr2bl w:val="nil"/>
            </w:tcBorders>
            <w:vAlign w:val="center"/>
          </w:tcPr>
          <w:p w14:paraId="38A8FA3F">
            <w:pPr>
              <w:pStyle w:val="41"/>
              <w:rPr>
                <w:color w:val="auto"/>
                <w:highlight w:val="none"/>
              </w:rPr>
            </w:pPr>
            <w:r>
              <w:rPr>
                <w:color w:val="auto"/>
                <w:highlight w:val="none"/>
              </w:rPr>
              <w:t>未检出</w:t>
            </w:r>
          </w:p>
        </w:tc>
        <w:tc>
          <w:tcPr>
            <w:tcW w:w="427" w:type="pct"/>
            <w:tcBorders>
              <w:tl2br w:val="nil"/>
              <w:tr2bl w:val="nil"/>
            </w:tcBorders>
            <w:vAlign w:val="center"/>
          </w:tcPr>
          <w:p w14:paraId="45951C5A">
            <w:pPr>
              <w:pStyle w:val="41"/>
              <w:rPr>
                <w:color w:val="auto"/>
                <w:highlight w:val="none"/>
              </w:rPr>
            </w:pPr>
            <w:r>
              <w:rPr>
                <w:color w:val="auto"/>
                <w:highlight w:val="none"/>
              </w:rPr>
              <w:t>未检出</w:t>
            </w:r>
          </w:p>
        </w:tc>
        <w:tc>
          <w:tcPr>
            <w:tcW w:w="427" w:type="pct"/>
            <w:tcBorders>
              <w:tl2br w:val="nil"/>
              <w:tr2bl w:val="nil"/>
            </w:tcBorders>
            <w:vAlign w:val="center"/>
          </w:tcPr>
          <w:p w14:paraId="046D7DE5">
            <w:pPr>
              <w:pStyle w:val="41"/>
              <w:rPr>
                <w:color w:val="auto"/>
                <w:highlight w:val="none"/>
              </w:rPr>
            </w:pPr>
            <w:r>
              <w:rPr>
                <w:color w:val="auto"/>
                <w:highlight w:val="none"/>
              </w:rPr>
              <w:t>未检出</w:t>
            </w:r>
          </w:p>
        </w:tc>
        <w:tc>
          <w:tcPr>
            <w:tcW w:w="427" w:type="pct"/>
            <w:tcBorders>
              <w:tl2br w:val="nil"/>
              <w:tr2bl w:val="nil"/>
            </w:tcBorders>
            <w:vAlign w:val="center"/>
          </w:tcPr>
          <w:p w14:paraId="77835B75">
            <w:pPr>
              <w:pStyle w:val="41"/>
              <w:rPr>
                <w:color w:val="auto"/>
                <w:highlight w:val="none"/>
              </w:rPr>
            </w:pPr>
            <w:r>
              <w:rPr>
                <w:color w:val="auto"/>
                <w:highlight w:val="none"/>
              </w:rPr>
              <w:t>未检出</w:t>
            </w:r>
          </w:p>
        </w:tc>
        <w:tc>
          <w:tcPr>
            <w:tcW w:w="364" w:type="pct"/>
            <w:tcBorders>
              <w:tl2br w:val="nil"/>
              <w:tr2bl w:val="nil"/>
            </w:tcBorders>
            <w:vAlign w:val="center"/>
          </w:tcPr>
          <w:p w14:paraId="05588A39">
            <w:pPr>
              <w:pStyle w:val="41"/>
              <w:rPr>
                <w:color w:val="auto"/>
                <w:highlight w:val="none"/>
              </w:rPr>
            </w:pPr>
            <w:r>
              <w:rPr>
                <w:color w:val="auto"/>
                <w:highlight w:val="none"/>
              </w:rPr>
              <w:t>6.5</w:t>
            </w:r>
          </w:p>
        </w:tc>
        <w:tc>
          <w:tcPr>
            <w:tcW w:w="364" w:type="pct"/>
            <w:tcBorders>
              <w:tl2br w:val="nil"/>
              <w:tr2bl w:val="nil"/>
            </w:tcBorders>
            <w:vAlign w:val="center"/>
          </w:tcPr>
          <w:p w14:paraId="30BB63C8">
            <w:pPr>
              <w:pStyle w:val="41"/>
              <w:rPr>
                <w:color w:val="auto"/>
                <w:highlight w:val="none"/>
              </w:rPr>
            </w:pPr>
            <w:r>
              <w:rPr>
                <w:color w:val="auto"/>
                <w:highlight w:val="none"/>
              </w:rPr>
              <w:t>14</w:t>
            </w:r>
          </w:p>
        </w:tc>
        <w:tc>
          <w:tcPr>
            <w:tcW w:w="248" w:type="pct"/>
            <w:tcBorders>
              <w:tl2br w:val="nil"/>
              <w:tr2bl w:val="nil"/>
            </w:tcBorders>
            <w:vAlign w:val="center"/>
          </w:tcPr>
          <w:p w14:paraId="1FEFB68A">
            <w:pPr>
              <w:pStyle w:val="41"/>
              <w:rPr>
                <w:color w:val="auto"/>
                <w:highlight w:val="none"/>
              </w:rPr>
            </w:pPr>
            <w:r>
              <w:rPr>
                <w:color w:val="auto"/>
                <w:highlight w:val="none"/>
              </w:rPr>
              <w:t>0.06</w:t>
            </w:r>
          </w:p>
        </w:tc>
        <w:tc>
          <w:tcPr>
            <w:tcW w:w="431" w:type="pct"/>
            <w:tcBorders>
              <w:tl2br w:val="nil"/>
              <w:tr2bl w:val="nil"/>
            </w:tcBorders>
            <w:vAlign w:val="center"/>
          </w:tcPr>
          <w:p w14:paraId="4A3A9F87">
            <w:pPr>
              <w:pStyle w:val="41"/>
              <w:rPr>
                <w:color w:val="auto"/>
                <w:highlight w:val="none"/>
              </w:rPr>
            </w:pPr>
            <w:r>
              <w:rPr>
                <w:color w:val="auto"/>
                <w:highlight w:val="none"/>
              </w:rPr>
              <w:t>8.03</w:t>
            </w:r>
          </w:p>
        </w:tc>
      </w:tr>
      <w:tr w14:paraId="63512D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10891FC9">
            <w:pPr>
              <w:pStyle w:val="41"/>
              <w:rPr>
                <w:color w:val="auto"/>
                <w:highlight w:val="none"/>
              </w:rPr>
            </w:pPr>
            <w:r>
              <w:rPr>
                <w:color w:val="auto"/>
                <w:highlight w:val="none"/>
              </w:rPr>
              <w:t>TC-4#-1-1</w:t>
            </w:r>
          </w:p>
        </w:tc>
        <w:tc>
          <w:tcPr>
            <w:tcW w:w="460" w:type="pct"/>
            <w:tcBorders>
              <w:tl2br w:val="nil"/>
              <w:tr2bl w:val="nil"/>
            </w:tcBorders>
            <w:vAlign w:val="center"/>
          </w:tcPr>
          <w:p w14:paraId="77951006">
            <w:pPr>
              <w:pStyle w:val="41"/>
              <w:rPr>
                <w:color w:val="auto"/>
                <w:highlight w:val="none"/>
              </w:rPr>
            </w:pPr>
            <w:r>
              <w:rPr>
                <w:color w:val="auto"/>
                <w:highlight w:val="none"/>
              </w:rPr>
              <w:t>89</w:t>
            </w:r>
          </w:p>
        </w:tc>
        <w:tc>
          <w:tcPr>
            <w:tcW w:w="364" w:type="pct"/>
            <w:tcBorders>
              <w:tl2br w:val="nil"/>
              <w:tr2bl w:val="nil"/>
            </w:tcBorders>
            <w:vAlign w:val="center"/>
          </w:tcPr>
          <w:p w14:paraId="2C94A440">
            <w:pPr>
              <w:pStyle w:val="41"/>
              <w:rPr>
                <w:color w:val="auto"/>
                <w:highlight w:val="none"/>
              </w:rPr>
            </w:pPr>
            <w:r>
              <w:rPr>
                <w:color w:val="auto"/>
                <w:highlight w:val="none"/>
              </w:rPr>
              <w:t>0.108</w:t>
            </w:r>
          </w:p>
        </w:tc>
        <w:tc>
          <w:tcPr>
            <w:tcW w:w="427" w:type="pct"/>
            <w:tcBorders>
              <w:tl2br w:val="nil"/>
              <w:tr2bl w:val="nil"/>
            </w:tcBorders>
            <w:vAlign w:val="center"/>
          </w:tcPr>
          <w:p w14:paraId="5D6DFEA5">
            <w:pPr>
              <w:pStyle w:val="41"/>
              <w:rPr>
                <w:color w:val="auto"/>
                <w:highlight w:val="none"/>
              </w:rPr>
            </w:pPr>
            <w:r>
              <w:rPr>
                <w:color w:val="auto"/>
                <w:highlight w:val="none"/>
              </w:rPr>
              <w:t>5.4</w:t>
            </w:r>
          </w:p>
        </w:tc>
        <w:tc>
          <w:tcPr>
            <w:tcW w:w="427" w:type="pct"/>
            <w:tcBorders>
              <w:tl2br w:val="nil"/>
              <w:tr2bl w:val="nil"/>
            </w:tcBorders>
            <w:vAlign w:val="center"/>
          </w:tcPr>
          <w:p w14:paraId="5FCEE026">
            <w:pPr>
              <w:pStyle w:val="41"/>
              <w:rPr>
                <w:color w:val="auto"/>
                <w:highlight w:val="none"/>
              </w:rPr>
            </w:pPr>
            <w:r>
              <w:rPr>
                <w:color w:val="auto"/>
                <w:highlight w:val="none"/>
              </w:rPr>
              <w:t>5</w:t>
            </w:r>
          </w:p>
        </w:tc>
        <w:tc>
          <w:tcPr>
            <w:tcW w:w="427" w:type="pct"/>
            <w:tcBorders>
              <w:tl2br w:val="nil"/>
              <w:tr2bl w:val="nil"/>
            </w:tcBorders>
            <w:vAlign w:val="center"/>
          </w:tcPr>
          <w:p w14:paraId="1E79F456">
            <w:pPr>
              <w:pStyle w:val="41"/>
              <w:rPr>
                <w:color w:val="auto"/>
                <w:highlight w:val="none"/>
              </w:rPr>
            </w:pPr>
            <w:r>
              <w:rPr>
                <w:color w:val="auto"/>
                <w:highlight w:val="none"/>
              </w:rPr>
              <w:t>0.18</w:t>
            </w:r>
          </w:p>
        </w:tc>
        <w:tc>
          <w:tcPr>
            <w:tcW w:w="427" w:type="pct"/>
            <w:tcBorders>
              <w:tl2br w:val="nil"/>
              <w:tr2bl w:val="nil"/>
            </w:tcBorders>
            <w:vAlign w:val="center"/>
          </w:tcPr>
          <w:p w14:paraId="479F5B9C">
            <w:pPr>
              <w:pStyle w:val="41"/>
              <w:rPr>
                <w:color w:val="auto"/>
                <w:highlight w:val="none"/>
              </w:rPr>
            </w:pPr>
            <w:r>
              <w:rPr>
                <w:color w:val="auto"/>
                <w:highlight w:val="none"/>
              </w:rPr>
              <w:t>未检出</w:t>
            </w:r>
          </w:p>
        </w:tc>
        <w:tc>
          <w:tcPr>
            <w:tcW w:w="364" w:type="pct"/>
            <w:tcBorders>
              <w:tl2br w:val="nil"/>
              <w:tr2bl w:val="nil"/>
            </w:tcBorders>
            <w:vAlign w:val="center"/>
          </w:tcPr>
          <w:p w14:paraId="478A5DBE">
            <w:pPr>
              <w:pStyle w:val="41"/>
              <w:rPr>
                <w:color w:val="auto"/>
                <w:highlight w:val="none"/>
              </w:rPr>
            </w:pPr>
            <w:r>
              <w:rPr>
                <w:color w:val="auto"/>
                <w:highlight w:val="none"/>
              </w:rPr>
              <w:t>38.1</w:t>
            </w:r>
          </w:p>
        </w:tc>
        <w:tc>
          <w:tcPr>
            <w:tcW w:w="364" w:type="pct"/>
            <w:tcBorders>
              <w:tl2br w:val="nil"/>
              <w:tr2bl w:val="nil"/>
            </w:tcBorders>
            <w:vAlign w:val="center"/>
          </w:tcPr>
          <w:p w14:paraId="223B1559">
            <w:pPr>
              <w:pStyle w:val="41"/>
              <w:rPr>
                <w:color w:val="auto"/>
                <w:highlight w:val="none"/>
              </w:rPr>
            </w:pPr>
            <w:r>
              <w:rPr>
                <w:color w:val="auto"/>
                <w:highlight w:val="none"/>
              </w:rPr>
              <w:t>27</w:t>
            </w:r>
          </w:p>
        </w:tc>
        <w:tc>
          <w:tcPr>
            <w:tcW w:w="248" w:type="pct"/>
            <w:tcBorders>
              <w:tl2br w:val="nil"/>
              <w:tr2bl w:val="nil"/>
            </w:tcBorders>
            <w:vAlign w:val="center"/>
          </w:tcPr>
          <w:p w14:paraId="4FAEAA35">
            <w:pPr>
              <w:pStyle w:val="41"/>
              <w:rPr>
                <w:color w:val="auto"/>
                <w:highlight w:val="none"/>
              </w:rPr>
            </w:pPr>
            <w:r>
              <w:rPr>
                <w:color w:val="auto"/>
                <w:highlight w:val="none"/>
              </w:rPr>
              <w:t>0.09</w:t>
            </w:r>
          </w:p>
        </w:tc>
        <w:tc>
          <w:tcPr>
            <w:tcW w:w="431" w:type="pct"/>
            <w:tcBorders>
              <w:tl2br w:val="nil"/>
              <w:tr2bl w:val="nil"/>
            </w:tcBorders>
            <w:vAlign w:val="center"/>
          </w:tcPr>
          <w:p w14:paraId="7AC499E7">
            <w:pPr>
              <w:pStyle w:val="41"/>
              <w:rPr>
                <w:color w:val="auto"/>
                <w:highlight w:val="none"/>
              </w:rPr>
            </w:pPr>
            <w:r>
              <w:rPr>
                <w:color w:val="auto"/>
                <w:highlight w:val="none"/>
              </w:rPr>
              <w:t>8.22</w:t>
            </w:r>
          </w:p>
        </w:tc>
      </w:tr>
      <w:tr w14:paraId="66639F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3C42C819">
            <w:pPr>
              <w:pStyle w:val="41"/>
              <w:rPr>
                <w:color w:val="auto"/>
                <w:highlight w:val="none"/>
              </w:rPr>
            </w:pPr>
            <w:r>
              <w:rPr>
                <w:color w:val="auto"/>
                <w:highlight w:val="none"/>
              </w:rPr>
              <w:t>TC-4#-1-1-1</w:t>
            </w:r>
          </w:p>
        </w:tc>
        <w:tc>
          <w:tcPr>
            <w:tcW w:w="460" w:type="pct"/>
            <w:tcBorders>
              <w:tl2br w:val="nil"/>
              <w:tr2bl w:val="nil"/>
            </w:tcBorders>
            <w:vAlign w:val="center"/>
          </w:tcPr>
          <w:p w14:paraId="69032F9C">
            <w:pPr>
              <w:pStyle w:val="41"/>
              <w:rPr>
                <w:color w:val="auto"/>
                <w:highlight w:val="none"/>
              </w:rPr>
            </w:pPr>
            <w:r>
              <w:rPr>
                <w:color w:val="auto"/>
                <w:highlight w:val="none"/>
              </w:rPr>
              <w:t>169</w:t>
            </w:r>
          </w:p>
        </w:tc>
        <w:tc>
          <w:tcPr>
            <w:tcW w:w="364" w:type="pct"/>
            <w:tcBorders>
              <w:tl2br w:val="nil"/>
              <w:tr2bl w:val="nil"/>
            </w:tcBorders>
            <w:vAlign w:val="center"/>
          </w:tcPr>
          <w:p w14:paraId="3A466D48">
            <w:pPr>
              <w:pStyle w:val="41"/>
              <w:rPr>
                <w:color w:val="auto"/>
                <w:highlight w:val="none"/>
              </w:rPr>
            </w:pPr>
            <w:r>
              <w:rPr>
                <w:color w:val="auto"/>
                <w:highlight w:val="none"/>
              </w:rPr>
              <w:t>0.060</w:t>
            </w:r>
          </w:p>
        </w:tc>
        <w:tc>
          <w:tcPr>
            <w:tcW w:w="427" w:type="pct"/>
            <w:tcBorders>
              <w:tl2br w:val="nil"/>
              <w:tr2bl w:val="nil"/>
            </w:tcBorders>
            <w:vAlign w:val="center"/>
          </w:tcPr>
          <w:p w14:paraId="3ADB356E">
            <w:pPr>
              <w:pStyle w:val="41"/>
              <w:rPr>
                <w:color w:val="auto"/>
                <w:highlight w:val="none"/>
              </w:rPr>
            </w:pPr>
            <w:r>
              <w:rPr>
                <w:color w:val="auto"/>
                <w:highlight w:val="none"/>
              </w:rPr>
              <w:t>5.5</w:t>
            </w:r>
          </w:p>
        </w:tc>
        <w:tc>
          <w:tcPr>
            <w:tcW w:w="427" w:type="pct"/>
            <w:tcBorders>
              <w:tl2br w:val="nil"/>
              <w:tr2bl w:val="nil"/>
            </w:tcBorders>
            <w:vAlign w:val="center"/>
          </w:tcPr>
          <w:p w14:paraId="069D8160">
            <w:pPr>
              <w:pStyle w:val="41"/>
              <w:rPr>
                <w:color w:val="auto"/>
                <w:highlight w:val="none"/>
              </w:rPr>
            </w:pPr>
            <w:r>
              <w:rPr>
                <w:color w:val="auto"/>
                <w:highlight w:val="none"/>
              </w:rPr>
              <w:t>7</w:t>
            </w:r>
          </w:p>
        </w:tc>
        <w:tc>
          <w:tcPr>
            <w:tcW w:w="427" w:type="pct"/>
            <w:tcBorders>
              <w:tl2br w:val="nil"/>
              <w:tr2bl w:val="nil"/>
            </w:tcBorders>
            <w:vAlign w:val="center"/>
          </w:tcPr>
          <w:p w14:paraId="6378ED21">
            <w:pPr>
              <w:pStyle w:val="41"/>
              <w:rPr>
                <w:color w:val="auto"/>
                <w:highlight w:val="none"/>
              </w:rPr>
            </w:pPr>
            <w:r>
              <w:rPr>
                <w:color w:val="auto"/>
                <w:highlight w:val="none"/>
              </w:rPr>
              <w:t>0.15</w:t>
            </w:r>
          </w:p>
        </w:tc>
        <w:tc>
          <w:tcPr>
            <w:tcW w:w="427" w:type="pct"/>
            <w:tcBorders>
              <w:tl2br w:val="nil"/>
              <w:tr2bl w:val="nil"/>
            </w:tcBorders>
            <w:vAlign w:val="center"/>
          </w:tcPr>
          <w:p w14:paraId="312E001A">
            <w:pPr>
              <w:pStyle w:val="41"/>
              <w:rPr>
                <w:color w:val="auto"/>
                <w:highlight w:val="none"/>
              </w:rPr>
            </w:pPr>
            <w:r>
              <w:rPr>
                <w:color w:val="auto"/>
                <w:highlight w:val="none"/>
              </w:rPr>
              <w:t>未检出</w:t>
            </w:r>
          </w:p>
        </w:tc>
        <w:tc>
          <w:tcPr>
            <w:tcW w:w="364" w:type="pct"/>
            <w:tcBorders>
              <w:tl2br w:val="nil"/>
              <w:tr2bl w:val="nil"/>
            </w:tcBorders>
            <w:vAlign w:val="center"/>
          </w:tcPr>
          <w:p w14:paraId="4CC6BB9D">
            <w:pPr>
              <w:pStyle w:val="41"/>
              <w:rPr>
                <w:color w:val="auto"/>
                <w:highlight w:val="none"/>
              </w:rPr>
            </w:pPr>
            <w:r>
              <w:rPr>
                <w:color w:val="auto"/>
                <w:highlight w:val="none"/>
              </w:rPr>
              <w:t>40.7</w:t>
            </w:r>
          </w:p>
        </w:tc>
        <w:tc>
          <w:tcPr>
            <w:tcW w:w="364" w:type="pct"/>
            <w:tcBorders>
              <w:tl2br w:val="nil"/>
              <w:tr2bl w:val="nil"/>
            </w:tcBorders>
            <w:vAlign w:val="center"/>
          </w:tcPr>
          <w:p w14:paraId="7F184B86">
            <w:pPr>
              <w:pStyle w:val="41"/>
              <w:rPr>
                <w:color w:val="auto"/>
                <w:highlight w:val="none"/>
              </w:rPr>
            </w:pPr>
            <w:r>
              <w:rPr>
                <w:color w:val="auto"/>
                <w:highlight w:val="none"/>
              </w:rPr>
              <w:t>28</w:t>
            </w:r>
          </w:p>
        </w:tc>
        <w:tc>
          <w:tcPr>
            <w:tcW w:w="248" w:type="pct"/>
            <w:tcBorders>
              <w:tl2br w:val="nil"/>
              <w:tr2bl w:val="nil"/>
            </w:tcBorders>
            <w:vAlign w:val="center"/>
          </w:tcPr>
          <w:p w14:paraId="62165D8C">
            <w:pPr>
              <w:pStyle w:val="41"/>
              <w:rPr>
                <w:color w:val="auto"/>
                <w:highlight w:val="none"/>
              </w:rPr>
            </w:pPr>
            <w:r>
              <w:rPr>
                <w:color w:val="auto"/>
                <w:highlight w:val="none"/>
              </w:rPr>
              <w:t>0.08</w:t>
            </w:r>
          </w:p>
        </w:tc>
        <w:tc>
          <w:tcPr>
            <w:tcW w:w="431" w:type="pct"/>
            <w:tcBorders>
              <w:tl2br w:val="nil"/>
              <w:tr2bl w:val="nil"/>
            </w:tcBorders>
            <w:vAlign w:val="center"/>
          </w:tcPr>
          <w:p w14:paraId="0F0FA618">
            <w:pPr>
              <w:pStyle w:val="41"/>
              <w:rPr>
                <w:color w:val="auto"/>
                <w:highlight w:val="none"/>
              </w:rPr>
            </w:pPr>
            <w:r>
              <w:rPr>
                <w:color w:val="auto"/>
                <w:highlight w:val="none"/>
              </w:rPr>
              <w:t>8.23</w:t>
            </w:r>
          </w:p>
        </w:tc>
      </w:tr>
      <w:tr w14:paraId="48C530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16DFD92D">
            <w:pPr>
              <w:pStyle w:val="41"/>
              <w:rPr>
                <w:color w:val="auto"/>
                <w:highlight w:val="none"/>
              </w:rPr>
            </w:pPr>
            <w:r>
              <w:rPr>
                <w:color w:val="auto"/>
                <w:highlight w:val="none"/>
              </w:rPr>
              <w:t>TC-5#-1</w:t>
            </w:r>
          </w:p>
        </w:tc>
        <w:tc>
          <w:tcPr>
            <w:tcW w:w="460" w:type="pct"/>
            <w:tcBorders>
              <w:tl2br w:val="nil"/>
              <w:tr2bl w:val="nil"/>
            </w:tcBorders>
            <w:vAlign w:val="center"/>
          </w:tcPr>
          <w:p w14:paraId="249B3ECF">
            <w:pPr>
              <w:pStyle w:val="41"/>
              <w:rPr>
                <w:color w:val="auto"/>
                <w:highlight w:val="none"/>
              </w:rPr>
            </w:pPr>
            <w:r>
              <w:rPr>
                <w:color w:val="auto"/>
                <w:highlight w:val="none"/>
              </w:rPr>
              <w:t>47</w:t>
            </w:r>
          </w:p>
        </w:tc>
        <w:tc>
          <w:tcPr>
            <w:tcW w:w="364" w:type="pct"/>
            <w:tcBorders>
              <w:tl2br w:val="nil"/>
              <w:tr2bl w:val="nil"/>
            </w:tcBorders>
            <w:vAlign w:val="center"/>
          </w:tcPr>
          <w:p w14:paraId="72C54C29">
            <w:pPr>
              <w:pStyle w:val="41"/>
              <w:rPr>
                <w:color w:val="auto"/>
                <w:highlight w:val="none"/>
              </w:rPr>
            </w:pPr>
            <w:r>
              <w:rPr>
                <w:color w:val="auto"/>
                <w:highlight w:val="none"/>
              </w:rPr>
              <w:t>0.127</w:t>
            </w:r>
          </w:p>
        </w:tc>
        <w:tc>
          <w:tcPr>
            <w:tcW w:w="427" w:type="pct"/>
            <w:tcBorders>
              <w:tl2br w:val="nil"/>
              <w:tr2bl w:val="nil"/>
            </w:tcBorders>
            <w:vAlign w:val="center"/>
          </w:tcPr>
          <w:p w14:paraId="1607AD3E">
            <w:pPr>
              <w:pStyle w:val="41"/>
              <w:rPr>
                <w:color w:val="auto"/>
                <w:highlight w:val="none"/>
              </w:rPr>
            </w:pPr>
            <w:r>
              <w:rPr>
                <w:color w:val="auto"/>
                <w:highlight w:val="none"/>
              </w:rPr>
              <w:t>未检出</w:t>
            </w:r>
          </w:p>
        </w:tc>
        <w:tc>
          <w:tcPr>
            <w:tcW w:w="427" w:type="pct"/>
            <w:tcBorders>
              <w:tl2br w:val="nil"/>
              <w:tr2bl w:val="nil"/>
            </w:tcBorders>
            <w:vAlign w:val="center"/>
          </w:tcPr>
          <w:p w14:paraId="3F8DF02D">
            <w:pPr>
              <w:pStyle w:val="41"/>
              <w:rPr>
                <w:color w:val="auto"/>
                <w:highlight w:val="none"/>
              </w:rPr>
            </w:pPr>
            <w:r>
              <w:rPr>
                <w:color w:val="auto"/>
                <w:highlight w:val="none"/>
              </w:rPr>
              <w:t>未检出</w:t>
            </w:r>
          </w:p>
        </w:tc>
        <w:tc>
          <w:tcPr>
            <w:tcW w:w="427" w:type="pct"/>
            <w:tcBorders>
              <w:tl2br w:val="nil"/>
              <w:tr2bl w:val="nil"/>
            </w:tcBorders>
            <w:vAlign w:val="center"/>
          </w:tcPr>
          <w:p w14:paraId="4343C138">
            <w:pPr>
              <w:pStyle w:val="41"/>
              <w:rPr>
                <w:color w:val="auto"/>
                <w:highlight w:val="none"/>
              </w:rPr>
            </w:pPr>
            <w:r>
              <w:rPr>
                <w:color w:val="auto"/>
                <w:highlight w:val="none"/>
              </w:rPr>
              <w:t>未检出</w:t>
            </w:r>
          </w:p>
        </w:tc>
        <w:tc>
          <w:tcPr>
            <w:tcW w:w="427" w:type="pct"/>
            <w:tcBorders>
              <w:tl2br w:val="nil"/>
              <w:tr2bl w:val="nil"/>
            </w:tcBorders>
            <w:vAlign w:val="center"/>
          </w:tcPr>
          <w:p w14:paraId="19585724">
            <w:pPr>
              <w:pStyle w:val="41"/>
              <w:rPr>
                <w:color w:val="auto"/>
                <w:highlight w:val="none"/>
              </w:rPr>
            </w:pPr>
            <w:r>
              <w:rPr>
                <w:color w:val="auto"/>
                <w:highlight w:val="none"/>
              </w:rPr>
              <w:t>未检出</w:t>
            </w:r>
          </w:p>
        </w:tc>
        <w:tc>
          <w:tcPr>
            <w:tcW w:w="364" w:type="pct"/>
            <w:tcBorders>
              <w:tl2br w:val="nil"/>
              <w:tr2bl w:val="nil"/>
            </w:tcBorders>
            <w:vAlign w:val="center"/>
          </w:tcPr>
          <w:p w14:paraId="6D13B2BA">
            <w:pPr>
              <w:pStyle w:val="41"/>
              <w:rPr>
                <w:color w:val="auto"/>
                <w:highlight w:val="none"/>
              </w:rPr>
            </w:pPr>
            <w:r>
              <w:rPr>
                <w:color w:val="auto"/>
                <w:highlight w:val="none"/>
              </w:rPr>
              <w:t>7.4</w:t>
            </w:r>
          </w:p>
        </w:tc>
        <w:tc>
          <w:tcPr>
            <w:tcW w:w="364" w:type="pct"/>
            <w:tcBorders>
              <w:tl2br w:val="nil"/>
              <w:tr2bl w:val="nil"/>
            </w:tcBorders>
            <w:vAlign w:val="center"/>
          </w:tcPr>
          <w:p w14:paraId="27BC81AF">
            <w:pPr>
              <w:pStyle w:val="41"/>
              <w:rPr>
                <w:color w:val="auto"/>
                <w:highlight w:val="none"/>
              </w:rPr>
            </w:pPr>
            <w:r>
              <w:rPr>
                <w:color w:val="auto"/>
                <w:highlight w:val="none"/>
              </w:rPr>
              <w:t>15</w:t>
            </w:r>
          </w:p>
        </w:tc>
        <w:tc>
          <w:tcPr>
            <w:tcW w:w="248" w:type="pct"/>
            <w:tcBorders>
              <w:tl2br w:val="nil"/>
              <w:tr2bl w:val="nil"/>
            </w:tcBorders>
            <w:vAlign w:val="center"/>
          </w:tcPr>
          <w:p w14:paraId="05C7D0A6">
            <w:pPr>
              <w:pStyle w:val="41"/>
              <w:rPr>
                <w:color w:val="auto"/>
                <w:highlight w:val="none"/>
              </w:rPr>
            </w:pPr>
            <w:r>
              <w:rPr>
                <w:color w:val="auto"/>
                <w:highlight w:val="none"/>
              </w:rPr>
              <w:t>0.05</w:t>
            </w:r>
          </w:p>
        </w:tc>
        <w:tc>
          <w:tcPr>
            <w:tcW w:w="431" w:type="pct"/>
            <w:tcBorders>
              <w:tl2br w:val="nil"/>
              <w:tr2bl w:val="nil"/>
            </w:tcBorders>
            <w:vAlign w:val="center"/>
          </w:tcPr>
          <w:p w14:paraId="5D9C1B03">
            <w:pPr>
              <w:pStyle w:val="41"/>
              <w:rPr>
                <w:color w:val="auto"/>
                <w:highlight w:val="none"/>
              </w:rPr>
            </w:pPr>
            <w:r>
              <w:rPr>
                <w:color w:val="auto"/>
                <w:highlight w:val="none"/>
              </w:rPr>
              <w:t>7.94</w:t>
            </w:r>
          </w:p>
        </w:tc>
      </w:tr>
      <w:tr w14:paraId="651768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4FE0E7B2">
            <w:pPr>
              <w:pStyle w:val="41"/>
              <w:rPr>
                <w:color w:val="auto"/>
                <w:highlight w:val="none"/>
              </w:rPr>
            </w:pPr>
            <w:r>
              <w:rPr>
                <w:color w:val="auto"/>
                <w:highlight w:val="none"/>
              </w:rPr>
              <w:t>TC-5#-1-1</w:t>
            </w:r>
          </w:p>
        </w:tc>
        <w:tc>
          <w:tcPr>
            <w:tcW w:w="460" w:type="pct"/>
            <w:tcBorders>
              <w:tl2br w:val="nil"/>
              <w:tr2bl w:val="nil"/>
            </w:tcBorders>
            <w:vAlign w:val="center"/>
          </w:tcPr>
          <w:p w14:paraId="022586C9">
            <w:pPr>
              <w:pStyle w:val="41"/>
              <w:rPr>
                <w:color w:val="auto"/>
                <w:highlight w:val="none"/>
              </w:rPr>
            </w:pPr>
            <w:r>
              <w:rPr>
                <w:color w:val="auto"/>
                <w:highlight w:val="none"/>
              </w:rPr>
              <w:t>91</w:t>
            </w:r>
          </w:p>
        </w:tc>
        <w:tc>
          <w:tcPr>
            <w:tcW w:w="364" w:type="pct"/>
            <w:tcBorders>
              <w:tl2br w:val="nil"/>
              <w:tr2bl w:val="nil"/>
            </w:tcBorders>
            <w:vAlign w:val="center"/>
          </w:tcPr>
          <w:p w14:paraId="74B08ECE">
            <w:pPr>
              <w:pStyle w:val="41"/>
              <w:rPr>
                <w:color w:val="auto"/>
                <w:highlight w:val="none"/>
              </w:rPr>
            </w:pPr>
            <w:r>
              <w:rPr>
                <w:color w:val="auto"/>
                <w:highlight w:val="none"/>
              </w:rPr>
              <w:t>0.103</w:t>
            </w:r>
          </w:p>
        </w:tc>
        <w:tc>
          <w:tcPr>
            <w:tcW w:w="427" w:type="pct"/>
            <w:tcBorders>
              <w:tl2br w:val="nil"/>
              <w:tr2bl w:val="nil"/>
            </w:tcBorders>
            <w:vAlign w:val="center"/>
          </w:tcPr>
          <w:p w14:paraId="3463611C">
            <w:pPr>
              <w:pStyle w:val="41"/>
              <w:rPr>
                <w:color w:val="auto"/>
                <w:highlight w:val="none"/>
              </w:rPr>
            </w:pPr>
            <w:r>
              <w:rPr>
                <w:color w:val="auto"/>
                <w:highlight w:val="none"/>
              </w:rPr>
              <w:t>5.3</w:t>
            </w:r>
          </w:p>
        </w:tc>
        <w:tc>
          <w:tcPr>
            <w:tcW w:w="427" w:type="pct"/>
            <w:tcBorders>
              <w:tl2br w:val="nil"/>
              <w:tr2bl w:val="nil"/>
            </w:tcBorders>
            <w:vAlign w:val="center"/>
          </w:tcPr>
          <w:p w14:paraId="63914BB5">
            <w:pPr>
              <w:pStyle w:val="41"/>
              <w:rPr>
                <w:color w:val="auto"/>
                <w:highlight w:val="none"/>
              </w:rPr>
            </w:pPr>
            <w:r>
              <w:rPr>
                <w:color w:val="auto"/>
                <w:highlight w:val="none"/>
              </w:rPr>
              <w:t>8</w:t>
            </w:r>
          </w:p>
        </w:tc>
        <w:tc>
          <w:tcPr>
            <w:tcW w:w="427" w:type="pct"/>
            <w:tcBorders>
              <w:tl2br w:val="nil"/>
              <w:tr2bl w:val="nil"/>
            </w:tcBorders>
            <w:vAlign w:val="center"/>
          </w:tcPr>
          <w:p w14:paraId="5812451B">
            <w:pPr>
              <w:pStyle w:val="41"/>
              <w:rPr>
                <w:color w:val="auto"/>
                <w:highlight w:val="none"/>
              </w:rPr>
            </w:pPr>
            <w:r>
              <w:rPr>
                <w:color w:val="auto"/>
                <w:highlight w:val="none"/>
              </w:rPr>
              <w:t>0.08</w:t>
            </w:r>
          </w:p>
        </w:tc>
        <w:tc>
          <w:tcPr>
            <w:tcW w:w="427" w:type="pct"/>
            <w:tcBorders>
              <w:tl2br w:val="nil"/>
              <w:tr2bl w:val="nil"/>
            </w:tcBorders>
            <w:vAlign w:val="center"/>
          </w:tcPr>
          <w:p w14:paraId="4FF1FB4B">
            <w:pPr>
              <w:pStyle w:val="41"/>
              <w:rPr>
                <w:color w:val="auto"/>
                <w:highlight w:val="none"/>
              </w:rPr>
            </w:pPr>
            <w:r>
              <w:rPr>
                <w:color w:val="auto"/>
                <w:highlight w:val="none"/>
              </w:rPr>
              <w:t>未检出</w:t>
            </w:r>
          </w:p>
        </w:tc>
        <w:tc>
          <w:tcPr>
            <w:tcW w:w="364" w:type="pct"/>
            <w:tcBorders>
              <w:tl2br w:val="nil"/>
              <w:tr2bl w:val="nil"/>
            </w:tcBorders>
            <w:vAlign w:val="center"/>
          </w:tcPr>
          <w:p w14:paraId="114247F6">
            <w:pPr>
              <w:pStyle w:val="41"/>
              <w:rPr>
                <w:color w:val="auto"/>
                <w:highlight w:val="none"/>
              </w:rPr>
            </w:pPr>
            <w:r>
              <w:rPr>
                <w:color w:val="auto"/>
                <w:highlight w:val="none"/>
              </w:rPr>
              <w:t>36.7</w:t>
            </w:r>
          </w:p>
        </w:tc>
        <w:tc>
          <w:tcPr>
            <w:tcW w:w="364" w:type="pct"/>
            <w:tcBorders>
              <w:tl2br w:val="nil"/>
              <w:tr2bl w:val="nil"/>
            </w:tcBorders>
            <w:vAlign w:val="center"/>
          </w:tcPr>
          <w:p w14:paraId="36CF686F">
            <w:pPr>
              <w:pStyle w:val="41"/>
              <w:rPr>
                <w:color w:val="auto"/>
                <w:highlight w:val="none"/>
              </w:rPr>
            </w:pPr>
            <w:r>
              <w:rPr>
                <w:color w:val="auto"/>
                <w:highlight w:val="none"/>
              </w:rPr>
              <w:t>26</w:t>
            </w:r>
          </w:p>
        </w:tc>
        <w:tc>
          <w:tcPr>
            <w:tcW w:w="248" w:type="pct"/>
            <w:tcBorders>
              <w:tl2br w:val="nil"/>
              <w:tr2bl w:val="nil"/>
            </w:tcBorders>
            <w:vAlign w:val="center"/>
          </w:tcPr>
          <w:p w14:paraId="4DE6296A">
            <w:pPr>
              <w:pStyle w:val="41"/>
              <w:rPr>
                <w:color w:val="auto"/>
                <w:highlight w:val="none"/>
              </w:rPr>
            </w:pPr>
            <w:r>
              <w:rPr>
                <w:color w:val="auto"/>
                <w:highlight w:val="none"/>
              </w:rPr>
              <w:t>0.07</w:t>
            </w:r>
          </w:p>
        </w:tc>
        <w:tc>
          <w:tcPr>
            <w:tcW w:w="431" w:type="pct"/>
            <w:tcBorders>
              <w:tl2br w:val="nil"/>
              <w:tr2bl w:val="nil"/>
            </w:tcBorders>
            <w:vAlign w:val="center"/>
          </w:tcPr>
          <w:p w14:paraId="11CF9F1A">
            <w:pPr>
              <w:pStyle w:val="41"/>
              <w:rPr>
                <w:color w:val="auto"/>
                <w:highlight w:val="none"/>
              </w:rPr>
            </w:pPr>
            <w:r>
              <w:rPr>
                <w:color w:val="auto"/>
                <w:highlight w:val="none"/>
              </w:rPr>
              <w:t>8.19</w:t>
            </w:r>
          </w:p>
        </w:tc>
      </w:tr>
      <w:tr w14:paraId="625FF8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4E1F8808">
            <w:pPr>
              <w:pStyle w:val="41"/>
              <w:rPr>
                <w:color w:val="auto"/>
                <w:highlight w:val="none"/>
              </w:rPr>
            </w:pPr>
            <w:r>
              <w:rPr>
                <w:color w:val="auto"/>
                <w:highlight w:val="none"/>
              </w:rPr>
              <w:t>TC-5#-1-1-1</w:t>
            </w:r>
          </w:p>
        </w:tc>
        <w:tc>
          <w:tcPr>
            <w:tcW w:w="460" w:type="pct"/>
            <w:tcBorders>
              <w:tl2br w:val="nil"/>
              <w:tr2bl w:val="nil"/>
            </w:tcBorders>
            <w:vAlign w:val="center"/>
          </w:tcPr>
          <w:p w14:paraId="2AB28442">
            <w:pPr>
              <w:pStyle w:val="41"/>
              <w:rPr>
                <w:color w:val="auto"/>
                <w:highlight w:val="none"/>
              </w:rPr>
            </w:pPr>
            <w:r>
              <w:rPr>
                <w:color w:val="auto"/>
                <w:highlight w:val="none"/>
              </w:rPr>
              <w:t>191</w:t>
            </w:r>
          </w:p>
        </w:tc>
        <w:tc>
          <w:tcPr>
            <w:tcW w:w="364" w:type="pct"/>
            <w:tcBorders>
              <w:tl2br w:val="nil"/>
              <w:tr2bl w:val="nil"/>
            </w:tcBorders>
            <w:vAlign w:val="center"/>
          </w:tcPr>
          <w:p w14:paraId="1D889A4A">
            <w:pPr>
              <w:pStyle w:val="41"/>
              <w:rPr>
                <w:color w:val="auto"/>
                <w:highlight w:val="none"/>
              </w:rPr>
            </w:pPr>
            <w:r>
              <w:rPr>
                <w:color w:val="auto"/>
                <w:highlight w:val="none"/>
              </w:rPr>
              <w:t>0.053</w:t>
            </w:r>
          </w:p>
        </w:tc>
        <w:tc>
          <w:tcPr>
            <w:tcW w:w="427" w:type="pct"/>
            <w:tcBorders>
              <w:tl2br w:val="nil"/>
              <w:tr2bl w:val="nil"/>
            </w:tcBorders>
            <w:vAlign w:val="center"/>
          </w:tcPr>
          <w:p w14:paraId="1C93D935">
            <w:pPr>
              <w:pStyle w:val="41"/>
              <w:rPr>
                <w:color w:val="auto"/>
                <w:highlight w:val="none"/>
              </w:rPr>
            </w:pPr>
            <w:r>
              <w:rPr>
                <w:color w:val="auto"/>
                <w:highlight w:val="none"/>
              </w:rPr>
              <w:t>4.8</w:t>
            </w:r>
          </w:p>
        </w:tc>
        <w:tc>
          <w:tcPr>
            <w:tcW w:w="427" w:type="pct"/>
            <w:tcBorders>
              <w:tl2br w:val="nil"/>
              <w:tr2bl w:val="nil"/>
            </w:tcBorders>
            <w:vAlign w:val="center"/>
          </w:tcPr>
          <w:p w14:paraId="6F00954D">
            <w:pPr>
              <w:pStyle w:val="41"/>
              <w:rPr>
                <w:color w:val="auto"/>
                <w:highlight w:val="none"/>
              </w:rPr>
            </w:pPr>
            <w:r>
              <w:rPr>
                <w:color w:val="auto"/>
                <w:highlight w:val="none"/>
              </w:rPr>
              <w:t>5</w:t>
            </w:r>
          </w:p>
        </w:tc>
        <w:tc>
          <w:tcPr>
            <w:tcW w:w="427" w:type="pct"/>
            <w:tcBorders>
              <w:tl2br w:val="nil"/>
              <w:tr2bl w:val="nil"/>
            </w:tcBorders>
            <w:vAlign w:val="center"/>
          </w:tcPr>
          <w:p w14:paraId="046C9D04">
            <w:pPr>
              <w:pStyle w:val="41"/>
              <w:rPr>
                <w:color w:val="auto"/>
                <w:highlight w:val="none"/>
              </w:rPr>
            </w:pPr>
            <w:r>
              <w:rPr>
                <w:color w:val="auto"/>
                <w:highlight w:val="none"/>
              </w:rPr>
              <w:t>0.09</w:t>
            </w:r>
          </w:p>
        </w:tc>
        <w:tc>
          <w:tcPr>
            <w:tcW w:w="427" w:type="pct"/>
            <w:tcBorders>
              <w:tl2br w:val="nil"/>
              <w:tr2bl w:val="nil"/>
            </w:tcBorders>
            <w:vAlign w:val="center"/>
          </w:tcPr>
          <w:p w14:paraId="55D0679C">
            <w:pPr>
              <w:pStyle w:val="41"/>
              <w:rPr>
                <w:color w:val="auto"/>
                <w:highlight w:val="none"/>
              </w:rPr>
            </w:pPr>
            <w:r>
              <w:rPr>
                <w:color w:val="auto"/>
                <w:highlight w:val="none"/>
              </w:rPr>
              <w:t>未检出</w:t>
            </w:r>
          </w:p>
        </w:tc>
        <w:tc>
          <w:tcPr>
            <w:tcW w:w="364" w:type="pct"/>
            <w:tcBorders>
              <w:tl2br w:val="nil"/>
              <w:tr2bl w:val="nil"/>
            </w:tcBorders>
            <w:vAlign w:val="center"/>
          </w:tcPr>
          <w:p w14:paraId="3723BE9D">
            <w:pPr>
              <w:pStyle w:val="41"/>
              <w:rPr>
                <w:color w:val="auto"/>
                <w:highlight w:val="none"/>
              </w:rPr>
            </w:pPr>
            <w:r>
              <w:rPr>
                <w:color w:val="auto"/>
                <w:highlight w:val="none"/>
              </w:rPr>
              <w:t>36.7</w:t>
            </w:r>
          </w:p>
        </w:tc>
        <w:tc>
          <w:tcPr>
            <w:tcW w:w="364" w:type="pct"/>
            <w:tcBorders>
              <w:tl2br w:val="nil"/>
              <w:tr2bl w:val="nil"/>
            </w:tcBorders>
            <w:vAlign w:val="center"/>
          </w:tcPr>
          <w:p w14:paraId="715458EF">
            <w:pPr>
              <w:pStyle w:val="41"/>
              <w:rPr>
                <w:color w:val="auto"/>
                <w:highlight w:val="none"/>
              </w:rPr>
            </w:pPr>
            <w:r>
              <w:rPr>
                <w:color w:val="auto"/>
                <w:highlight w:val="none"/>
              </w:rPr>
              <w:t>27</w:t>
            </w:r>
          </w:p>
        </w:tc>
        <w:tc>
          <w:tcPr>
            <w:tcW w:w="248" w:type="pct"/>
            <w:tcBorders>
              <w:tl2br w:val="nil"/>
              <w:tr2bl w:val="nil"/>
            </w:tcBorders>
            <w:vAlign w:val="center"/>
          </w:tcPr>
          <w:p w14:paraId="4BE4C91A">
            <w:pPr>
              <w:pStyle w:val="41"/>
              <w:rPr>
                <w:color w:val="auto"/>
                <w:highlight w:val="none"/>
              </w:rPr>
            </w:pPr>
            <w:r>
              <w:rPr>
                <w:color w:val="auto"/>
                <w:highlight w:val="none"/>
              </w:rPr>
              <w:t>0.06</w:t>
            </w:r>
          </w:p>
        </w:tc>
        <w:tc>
          <w:tcPr>
            <w:tcW w:w="431" w:type="pct"/>
            <w:tcBorders>
              <w:tl2br w:val="nil"/>
              <w:tr2bl w:val="nil"/>
            </w:tcBorders>
            <w:vAlign w:val="center"/>
          </w:tcPr>
          <w:p w14:paraId="2303C316">
            <w:pPr>
              <w:pStyle w:val="41"/>
              <w:rPr>
                <w:color w:val="auto"/>
                <w:highlight w:val="none"/>
              </w:rPr>
            </w:pPr>
            <w:r>
              <w:rPr>
                <w:color w:val="auto"/>
                <w:highlight w:val="none"/>
              </w:rPr>
              <w:t>8.22</w:t>
            </w:r>
          </w:p>
        </w:tc>
      </w:tr>
      <w:tr w14:paraId="73B3BF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16C3F0F1">
            <w:pPr>
              <w:pStyle w:val="41"/>
              <w:rPr>
                <w:color w:val="auto"/>
                <w:highlight w:val="none"/>
              </w:rPr>
            </w:pPr>
            <w:r>
              <w:rPr>
                <w:color w:val="auto"/>
                <w:highlight w:val="none"/>
              </w:rPr>
              <w:t>TC-6#-1</w:t>
            </w:r>
          </w:p>
        </w:tc>
        <w:tc>
          <w:tcPr>
            <w:tcW w:w="460" w:type="pct"/>
            <w:tcBorders>
              <w:tl2br w:val="nil"/>
              <w:tr2bl w:val="nil"/>
            </w:tcBorders>
            <w:vAlign w:val="center"/>
          </w:tcPr>
          <w:p w14:paraId="75FF15C7">
            <w:pPr>
              <w:pStyle w:val="41"/>
              <w:rPr>
                <w:color w:val="auto"/>
                <w:highlight w:val="none"/>
              </w:rPr>
            </w:pPr>
            <w:r>
              <w:rPr>
                <w:color w:val="auto"/>
                <w:highlight w:val="none"/>
              </w:rPr>
              <w:t>17</w:t>
            </w:r>
          </w:p>
        </w:tc>
        <w:tc>
          <w:tcPr>
            <w:tcW w:w="364" w:type="pct"/>
            <w:tcBorders>
              <w:tl2br w:val="nil"/>
              <w:tr2bl w:val="nil"/>
            </w:tcBorders>
            <w:vAlign w:val="center"/>
          </w:tcPr>
          <w:p w14:paraId="55F37764">
            <w:pPr>
              <w:pStyle w:val="41"/>
              <w:rPr>
                <w:color w:val="auto"/>
                <w:highlight w:val="none"/>
              </w:rPr>
            </w:pPr>
            <w:r>
              <w:rPr>
                <w:color w:val="auto"/>
                <w:highlight w:val="none"/>
              </w:rPr>
              <w:t>0.130</w:t>
            </w:r>
          </w:p>
        </w:tc>
        <w:tc>
          <w:tcPr>
            <w:tcW w:w="427" w:type="pct"/>
            <w:tcBorders>
              <w:tl2br w:val="nil"/>
              <w:tr2bl w:val="nil"/>
            </w:tcBorders>
            <w:vAlign w:val="center"/>
          </w:tcPr>
          <w:p w14:paraId="78381A28">
            <w:pPr>
              <w:pStyle w:val="41"/>
              <w:rPr>
                <w:color w:val="auto"/>
                <w:highlight w:val="none"/>
              </w:rPr>
            </w:pPr>
            <w:r>
              <w:rPr>
                <w:color w:val="auto"/>
                <w:highlight w:val="none"/>
              </w:rPr>
              <w:t>5.3</w:t>
            </w:r>
          </w:p>
        </w:tc>
        <w:tc>
          <w:tcPr>
            <w:tcW w:w="427" w:type="pct"/>
            <w:tcBorders>
              <w:tl2br w:val="nil"/>
              <w:tr2bl w:val="nil"/>
            </w:tcBorders>
            <w:vAlign w:val="center"/>
          </w:tcPr>
          <w:p w14:paraId="1B5060C7">
            <w:pPr>
              <w:pStyle w:val="41"/>
              <w:rPr>
                <w:color w:val="auto"/>
                <w:highlight w:val="none"/>
              </w:rPr>
            </w:pPr>
            <w:r>
              <w:rPr>
                <w:color w:val="auto"/>
                <w:highlight w:val="none"/>
              </w:rPr>
              <w:t>19</w:t>
            </w:r>
          </w:p>
        </w:tc>
        <w:tc>
          <w:tcPr>
            <w:tcW w:w="427" w:type="pct"/>
            <w:tcBorders>
              <w:tl2br w:val="nil"/>
              <w:tr2bl w:val="nil"/>
            </w:tcBorders>
            <w:vAlign w:val="center"/>
          </w:tcPr>
          <w:p w14:paraId="759D69A9">
            <w:pPr>
              <w:pStyle w:val="41"/>
              <w:rPr>
                <w:color w:val="auto"/>
                <w:highlight w:val="none"/>
              </w:rPr>
            </w:pPr>
            <w:r>
              <w:rPr>
                <w:color w:val="auto"/>
                <w:highlight w:val="none"/>
              </w:rPr>
              <w:t>未检出</w:t>
            </w:r>
          </w:p>
        </w:tc>
        <w:tc>
          <w:tcPr>
            <w:tcW w:w="427" w:type="pct"/>
            <w:tcBorders>
              <w:tl2br w:val="nil"/>
              <w:tr2bl w:val="nil"/>
            </w:tcBorders>
            <w:vAlign w:val="center"/>
          </w:tcPr>
          <w:p w14:paraId="32EB8184">
            <w:pPr>
              <w:pStyle w:val="41"/>
              <w:rPr>
                <w:color w:val="auto"/>
                <w:highlight w:val="none"/>
              </w:rPr>
            </w:pPr>
            <w:r>
              <w:rPr>
                <w:color w:val="auto"/>
                <w:highlight w:val="none"/>
              </w:rPr>
              <w:t>未检出</w:t>
            </w:r>
          </w:p>
        </w:tc>
        <w:tc>
          <w:tcPr>
            <w:tcW w:w="364" w:type="pct"/>
            <w:tcBorders>
              <w:tl2br w:val="nil"/>
              <w:tr2bl w:val="nil"/>
            </w:tcBorders>
            <w:vAlign w:val="center"/>
          </w:tcPr>
          <w:p w14:paraId="0FD46804">
            <w:pPr>
              <w:pStyle w:val="41"/>
              <w:rPr>
                <w:color w:val="auto"/>
                <w:highlight w:val="none"/>
              </w:rPr>
            </w:pPr>
            <w:r>
              <w:rPr>
                <w:color w:val="auto"/>
                <w:highlight w:val="none"/>
              </w:rPr>
              <w:t>8.7</w:t>
            </w:r>
          </w:p>
        </w:tc>
        <w:tc>
          <w:tcPr>
            <w:tcW w:w="364" w:type="pct"/>
            <w:tcBorders>
              <w:tl2br w:val="nil"/>
              <w:tr2bl w:val="nil"/>
            </w:tcBorders>
            <w:vAlign w:val="center"/>
          </w:tcPr>
          <w:p w14:paraId="62A72ABB">
            <w:pPr>
              <w:pStyle w:val="41"/>
              <w:rPr>
                <w:color w:val="auto"/>
                <w:highlight w:val="none"/>
              </w:rPr>
            </w:pPr>
            <w:r>
              <w:rPr>
                <w:color w:val="auto"/>
                <w:highlight w:val="none"/>
              </w:rPr>
              <w:t>15</w:t>
            </w:r>
          </w:p>
        </w:tc>
        <w:tc>
          <w:tcPr>
            <w:tcW w:w="248" w:type="pct"/>
            <w:tcBorders>
              <w:tl2br w:val="nil"/>
              <w:tr2bl w:val="nil"/>
            </w:tcBorders>
            <w:vAlign w:val="center"/>
          </w:tcPr>
          <w:p w14:paraId="421F3A80">
            <w:pPr>
              <w:pStyle w:val="41"/>
              <w:rPr>
                <w:color w:val="auto"/>
                <w:highlight w:val="none"/>
              </w:rPr>
            </w:pPr>
            <w:r>
              <w:rPr>
                <w:color w:val="auto"/>
                <w:highlight w:val="none"/>
              </w:rPr>
              <w:t>0.05</w:t>
            </w:r>
          </w:p>
        </w:tc>
        <w:tc>
          <w:tcPr>
            <w:tcW w:w="431" w:type="pct"/>
            <w:tcBorders>
              <w:tl2br w:val="nil"/>
              <w:tr2bl w:val="nil"/>
            </w:tcBorders>
            <w:vAlign w:val="center"/>
          </w:tcPr>
          <w:p w14:paraId="43140FED">
            <w:pPr>
              <w:pStyle w:val="41"/>
              <w:rPr>
                <w:color w:val="auto"/>
                <w:highlight w:val="none"/>
              </w:rPr>
            </w:pPr>
            <w:r>
              <w:rPr>
                <w:color w:val="auto"/>
                <w:highlight w:val="none"/>
              </w:rPr>
              <w:t>7.87</w:t>
            </w:r>
          </w:p>
        </w:tc>
      </w:tr>
      <w:tr w14:paraId="23FD52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51BCF761">
            <w:pPr>
              <w:pStyle w:val="41"/>
              <w:rPr>
                <w:color w:val="auto"/>
                <w:highlight w:val="none"/>
              </w:rPr>
            </w:pPr>
            <w:r>
              <w:rPr>
                <w:color w:val="auto"/>
                <w:highlight w:val="none"/>
              </w:rPr>
              <w:t>TC-7#-1</w:t>
            </w:r>
          </w:p>
        </w:tc>
        <w:tc>
          <w:tcPr>
            <w:tcW w:w="460" w:type="pct"/>
            <w:tcBorders>
              <w:tl2br w:val="nil"/>
              <w:tr2bl w:val="nil"/>
            </w:tcBorders>
            <w:vAlign w:val="center"/>
          </w:tcPr>
          <w:p w14:paraId="596B2B43">
            <w:pPr>
              <w:pStyle w:val="41"/>
              <w:rPr>
                <w:color w:val="auto"/>
                <w:highlight w:val="none"/>
              </w:rPr>
            </w:pPr>
            <w:r>
              <w:rPr>
                <w:color w:val="auto"/>
                <w:highlight w:val="none"/>
              </w:rPr>
              <w:t>15</w:t>
            </w:r>
          </w:p>
        </w:tc>
        <w:tc>
          <w:tcPr>
            <w:tcW w:w="364" w:type="pct"/>
            <w:tcBorders>
              <w:tl2br w:val="nil"/>
              <w:tr2bl w:val="nil"/>
            </w:tcBorders>
            <w:vAlign w:val="center"/>
          </w:tcPr>
          <w:p w14:paraId="7F67A02C">
            <w:pPr>
              <w:pStyle w:val="41"/>
              <w:rPr>
                <w:color w:val="auto"/>
                <w:highlight w:val="none"/>
              </w:rPr>
            </w:pPr>
            <w:r>
              <w:rPr>
                <w:color w:val="auto"/>
                <w:highlight w:val="none"/>
              </w:rPr>
              <w:t>0.122</w:t>
            </w:r>
          </w:p>
        </w:tc>
        <w:tc>
          <w:tcPr>
            <w:tcW w:w="427" w:type="pct"/>
            <w:tcBorders>
              <w:tl2br w:val="nil"/>
              <w:tr2bl w:val="nil"/>
            </w:tcBorders>
            <w:vAlign w:val="center"/>
          </w:tcPr>
          <w:p w14:paraId="4578BB55">
            <w:pPr>
              <w:pStyle w:val="41"/>
              <w:rPr>
                <w:color w:val="auto"/>
                <w:highlight w:val="none"/>
              </w:rPr>
            </w:pPr>
            <w:r>
              <w:rPr>
                <w:color w:val="auto"/>
                <w:highlight w:val="none"/>
              </w:rPr>
              <w:t>3.0</w:t>
            </w:r>
          </w:p>
        </w:tc>
        <w:tc>
          <w:tcPr>
            <w:tcW w:w="427" w:type="pct"/>
            <w:tcBorders>
              <w:tl2br w:val="nil"/>
              <w:tr2bl w:val="nil"/>
            </w:tcBorders>
            <w:vAlign w:val="center"/>
          </w:tcPr>
          <w:p w14:paraId="43B795C1">
            <w:pPr>
              <w:pStyle w:val="41"/>
              <w:rPr>
                <w:color w:val="auto"/>
                <w:highlight w:val="none"/>
              </w:rPr>
            </w:pPr>
            <w:r>
              <w:rPr>
                <w:color w:val="auto"/>
                <w:highlight w:val="none"/>
              </w:rPr>
              <w:t>18</w:t>
            </w:r>
          </w:p>
        </w:tc>
        <w:tc>
          <w:tcPr>
            <w:tcW w:w="427" w:type="pct"/>
            <w:tcBorders>
              <w:tl2br w:val="nil"/>
              <w:tr2bl w:val="nil"/>
            </w:tcBorders>
            <w:vAlign w:val="center"/>
          </w:tcPr>
          <w:p w14:paraId="74F8D9D6">
            <w:pPr>
              <w:pStyle w:val="41"/>
              <w:rPr>
                <w:color w:val="auto"/>
                <w:highlight w:val="none"/>
              </w:rPr>
            </w:pPr>
            <w:r>
              <w:rPr>
                <w:color w:val="auto"/>
                <w:highlight w:val="none"/>
              </w:rPr>
              <w:t>未检出</w:t>
            </w:r>
          </w:p>
        </w:tc>
        <w:tc>
          <w:tcPr>
            <w:tcW w:w="427" w:type="pct"/>
            <w:tcBorders>
              <w:tl2br w:val="nil"/>
              <w:tr2bl w:val="nil"/>
            </w:tcBorders>
            <w:vAlign w:val="center"/>
          </w:tcPr>
          <w:p w14:paraId="09C9E6F3">
            <w:pPr>
              <w:pStyle w:val="41"/>
              <w:rPr>
                <w:color w:val="auto"/>
                <w:highlight w:val="none"/>
              </w:rPr>
            </w:pPr>
            <w:r>
              <w:rPr>
                <w:color w:val="auto"/>
                <w:highlight w:val="none"/>
              </w:rPr>
              <w:t>未检出</w:t>
            </w:r>
          </w:p>
        </w:tc>
        <w:tc>
          <w:tcPr>
            <w:tcW w:w="364" w:type="pct"/>
            <w:tcBorders>
              <w:tl2br w:val="nil"/>
              <w:tr2bl w:val="nil"/>
            </w:tcBorders>
            <w:vAlign w:val="center"/>
          </w:tcPr>
          <w:p w14:paraId="21ADA3AA">
            <w:pPr>
              <w:pStyle w:val="41"/>
              <w:rPr>
                <w:color w:val="auto"/>
                <w:highlight w:val="none"/>
              </w:rPr>
            </w:pPr>
            <w:r>
              <w:rPr>
                <w:color w:val="auto"/>
                <w:highlight w:val="none"/>
              </w:rPr>
              <w:t>9.2</w:t>
            </w:r>
          </w:p>
        </w:tc>
        <w:tc>
          <w:tcPr>
            <w:tcW w:w="364" w:type="pct"/>
            <w:tcBorders>
              <w:tl2br w:val="nil"/>
              <w:tr2bl w:val="nil"/>
            </w:tcBorders>
            <w:vAlign w:val="center"/>
          </w:tcPr>
          <w:p w14:paraId="1D6C6AC1">
            <w:pPr>
              <w:pStyle w:val="41"/>
              <w:rPr>
                <w:color w:val="auto"/>
                <w:highlight w:val="none"/>
              </w:rPr>
            </w:pPr>
            <w:r>
              <w:rPr>
                <w:color w:val="auto"/>
                <w:highlight w:val="none"/>
              </w:rPr>
              <w:t>15</w:t>
            </w:r>
          </w:p>
        </w:tc>
        <w:tc>
          <w:tcPr>
            <w:tcW w:w="248" w:type="pct"/>
            <w:tcBorders>
              <w:tl2br w:val="nil"/>
              <w:tr2bl w:val="nil"/>
            </w:tcBorders>
            <w:vAlign w:val="center"/>
          </w:tcPr>
          <w:p w14:paraId="63483837">
            <w:pPr>
              <w:pStyle w:val="41"/>
              <w:rPr>
                <w:color w:val="auto"/>
                <w:highlight w:val="none"/>
              </w:rPr>
            </w:pPr>
            <w:r>
              <w:rPr>
                <w:color w:val="auto"/>
                <w:highlight w:val="none"/>
              </w:rPr>
              <w:t>0.06</w:t>
            </w:r>
          </w:p>
        </w:tc>
        <w:tc>
          <w:tcPr>
            <w:tcW w:w="431" w:type="pct"/>
            <w:tcBorders>
              <w:tl2br w:val="nil"/>
              <w:tr2bl w:val="nil"/>
            </w:tcBorders>
            <w:vAlign w:val="center"/>
          </w:tcPr>
          <w:p w14:paraId="64A18878">
            <w:pPr>
              <w:pStyle w:val="41"/>
              <w:rPr>
                <w:color w:val="auto"/>
                <w:highlight w:val="none"/>
              </w:rPr>
            </w:pPr>
            <w:r>
              <w:rPr>
                <w:color w:val="auto"/>
                <w:highlight w:val="none"/>
              </w:rPr>
              <w:t>7.91</w:t>
            </w:r>
          </w:p>
        </w:tc>
      </w:tr>
      <w:tr w14:paraId="1C31B9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484F78C9">
            <w:pPr>
              <w:pStyle w:val="41"/>
              <w:rPr>
                <w:color w:val="auto"/>
                <w:highlight w:val="none"/>
              </w:rPr>
            </w:pPr>
            <w:r>
              <w:rPr>
                <w:color w:val="auto"/>
                <w:highlight w:val="none"/>
              </w:rPr>
              <w:t>TC-13#-1</w:t>
            </w:r>
          </w:p>
        </w:tc>
        <w:tc>
          <w:tcPr>
            <w:tcW w:w="460" w:type="pct"/>
            <w:tcBorders>
              <w:tl2br w:val="nil"/>
              <w:tr2bl w:val="nil"/>
            </w:tcBorders>
            <w:vAlign w:val="center"/>
          </w:tcPr>
          <w:p w14:paraId="2BD98D6A">
            <w:pPr>
              <w:pStyle w:val="41"/>
              <w:rPr>
                <w:color w:val="auto"/>
                <w:highlight w:val="none"/>
              </w:rPr>
            </w:pPr>
            <w:r>
              <w:rPr>
                <w:color w:val="auto"/>
                <w:highlight w:val="none"/>
              </w:rPr>
              <w:t>42</w:t>
            </w:r>
          </w:p>
        </w:tc>
        <w:tc>
          <w:tcPr>
            <w:tcW w:w="364" w:type="pct"/>
            <w:tcBorders>
              <w:tl2br w:val="nil"/>
              <w:tr2bl w:val="nil"/>
            </w:tcBorders>
            <w:vAlign w:val="center"/>
          </w:tcPr>
          <w:p w14:paraId="5412DF8B">
            <w:pPr>
              <w:pStyle w:val="41"/>
              <w:rPr>
                <w:color w:val="auto"/>
                <w:highlight w:val="none"/>
              </w:rPr>
            </w:pPr>
            <w:r>
              <w:rPr>
                <w:color w:val="auto"/>
                <w:highlight w:val="none"/>
              </w:rPr>
              <w:t>0.128</w:t>
            </w:r>
          </w:p>
        </w:tc>
        <w:tc>
          <w:tcPr>
            <w:tcW w:w="427" w:type="pct"/>
            <w:tcBorders>
              <w:tl2br w:val="nil"/>
              <w:tr2bl w:val="nil"/>
            </w:tcBorders>
            <w:vAlign w:val="center"/>
          </w:tcPr>
          <w:p w14:paraId="7316AEA3">
            <w:pPr>
              <w:pStyle w:val="41"/>
              <w:rPr>
                <w:color w:val="auto"/>
                <w:highlight w:val="none"/>
              </w:rPr>
            </w:pPr>
            <w:r>
              <w:rPr>
                <w:color w:val="auto"/>
                <w:highlight w:val="none"/>
              </w:rPr>
              <w:t>2.8</w:t>
            </w:r>
          </w:p>
        </w:tc>
        <w:tc>
          <w:tcPr>
            <w:tcW w:w="427" w:type="pct"/>
            <w:tcBorders>
              <w:tl2br w:val="nil"/>
              <w:tr2bl w:val="nil"/>
            </w:tcBorders>
            <w:vAlign w:val="center"/>
          </w:tcPr>
          <w:p w14:paraId="48368692">
            <w:pPr>
              <w:pStyle w:val="41"/>
              <w:rPr>
                <w:color w:val="auto"/>
                <w:highlight w:val="none"/>
              </w:rPr>
            </w:pPr>
            <w:r>
              <w:rPr>
                <w:color w:val="auto"/>
                <w:highlight w:val="none"/>
              </w:rPr>
              <w:t>16</w:t>
            </w:r>
          </w:p>
        </w:tc>
        <w:tc>
          <w:tcPr>
            <w:tcW w:w="427" w:type="pct"/>
            <w:tcBorders>
              <w:tl2br w:val="nil"/>
              <w:tr2bl w:val="nil"/>
            </w:tcBorders>
            <w:vAlign w:val="center"/>
          </w:tcPr>
          <w:p w14:paraId="6ED5637B">
            <w:pPr>
              <w:pStyle w:val="41"/>
              <w:rPr>
                <w:color w:val="auto"/>
                <w:highlight w:val="none"/>
              </w:rPr>
            </w:pPr>
            <w:r>
              <w:rPr>
                <w:color w:val="auto"/>
                <w:highlight w:val="none"/>
              </w:rPr>
              <w:t>未检出</w:t>
            </w:r>
          </w:p>
        </w:tc>
        <w:tc>
          <w:tcPr>
            <w:tcW w:w="427" w:type="pct"/>
            <w:tcBorders>
              <w:tl2br w:val="nil"/>
              <w:tr2bl w:val="nil"/>
            </w:tcBorders>
            <w:vAlign w:val="center"/>
          </w:tcPr>
          <w:p w14:paraId="0B565ABA">
            <w:pPr>
              <w:pStyle w:val="41"/>
              <w:rPr>
                <w:color w:val="auto"/>
                <w:highlight w:val="none"/>
              </w:rPr>
            </w:pPr>
            <w:r>
              <w:rPr>
                <w:color w:val="auto"/>
                <w:highlight w:val="none"/>
              </w:rPr>
              <w:t>未检出</w:t>
            </w:r>
          </w:p>
        </w:tc>
        <w:tc>
          <w:tcPr>
            <w:tcW w:w="364" w:type="pct"/>
            <w:tcBorders>
              <w:tl2br w:val="nil"/>
              <w:tr2bl w:val="nil"/>
            </w:tcBorders>
            <w:vAlign w:val="center"/>
          </w:tcPr>
          <w:p w14:paraId="0AE33A8F">
            <w:pPr>
              <w:pStyle w:val="41"/>
              <w:rPr>
                <w:color w:val="auto"/>
                <w:highlight w:val="none"/>
              </w:rPr>
            </w:pPr>
            <w:r>
              <w:rPr>
                <w:color w:val="auto"/>
                <w:highlight w:val="none"/>
              </w:rPr>
              <w:t>9.0</w:t>
            </w:r>
          </w:p>
        </w:tc>
        <w:tc>
          <w:tcPr>
            <w:tcW w:w="364" w:type="pct"/>
            <w:tcBorders>
              <w:tl2br w:val="nil"/>
              <w:tr2bl w:val="nil"/>
            </w:tcBorders>
            <w:vAlign w:val="center"/>
          </w:tcPr>
          <w:p w14:paraId="4A4A4123">
            <w:pPr>
              <w:pStyle w:val="41"/>
              <w:rPr>
                <w:color w:val="auto"/>
                <w:highlight w:val="none"/>
              </w:rPr>
            </w:pPr>
            <w:r>
              <w:rPr>
                <w:color w:val="auto"/>
                <w:highlight w:val="none"/>
              </w:rPr>
              <w:t>14</w:t>
            </w:r>
          </w:p>
        </w:tc>
        <w:tc>
          <w:tcPr>
            <w:tcW w:w="248" w:type="pct"/>
            <w:tcBorders>
              <w:tl2br w:val="nil"/>
              <w:tr2bl w:val="nil"/>
            </w:tcBorders>
            <w:vAlign w:val="center"/>
          </w:tcPr>
          <w:p w14:paraId="1DB1B69B">
            <w:pPr>
              <w:pStyle w:val="41"/>
              <w:rPr>
                <w:color w:val="auto"/>
                <w:highlight w:val="none"/>
              </w:rPr>
            </w:pPr>
            <w:r>
              <w:rPr>
                <w:color w:val="auto"/>
                <w:highlight w:val="none"/>
              </w:rPr>
              <w:t>0.05</w:t>
            </w:r>
          </w:p>
        </w:tc>
        <w:tc>
          <w:tcPr>
            <w:tcW w:w="431" w:type="pct"/>
            <w:tcBorders>
              <w:tl2br w:val="nil"/>
              <w:tr2bl w:val="nil"/>
            </w:tcBorders>
            <w:vAlign w:val="center"/>
          </w:tcPr>
          <w:p w14:paraId="45B71872">
            <w:pPr>
              <w:pStyle w:val="41"/>
              <w:rPr>
                <w:color w:val="auto"/>
                <w:highlight w:val="none"/>
              </w:rPr>
            </w:pPr>
            <w:r>
              <w:rPr>
                <w:color w:val="auto"/>
                <w:highlight w:val="none"/>
              </w:rPr>
              <w:t>8.01</w:t>
            </w:r>
          </w:p>
        </w:tc>
      </w:tr>
      <w:tr w14:paraId="44C907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3AB31A37">
            <w:pPr>
              <w:pStyle w:val="41"/>
              <w:rPr>
                <w:color w:val="auto"/>
                <w:highlight w:val="none"/>
              </w:rPr>
            </w:pPr>
            <w:r>
              <w:rPr>
                <w:color w:val="auto"/>
                <w:highlight w:val="none"/>
              </w:rPr>
              <w:t>TC-13#-1-1</w:t>
            </w:r>
          </w:p>
        </w:tc>
        <w:tc>
          <w:tcPr>
            <w:tcW w:w="460" w:type="pct"/>
            <w:tcBorders>
              <w:tl2br w:val="nil"/>
              <w:tr2bl w:val="nil"/>
            </w:tcBorders>
            <w:vAlign w:val="center"/>
          </w:tcPr>
          <w:p w14:paraId="040170CC">
            <w:pPr>
              <w:pStyle w:val="41"/>
              <w:rPr>
                <w:color w:val="auto"/>
                <w:highlight w:val="none"/>
              </w:rPr>
            </w:pPr>
            <w:r>
              <w:rPr>
                <w:color w:val="auto"/>
                <w:highlight w:val="none"/>
              </w:rPr>
              <w:t>91</w:t>
            </w:r>
          </w:p>
        </w:tc>
        <w:tc>
          <w:tcPr>
            <w:tcW w:w="364" w:type="pct"/>
            <w:tcBorders>
              <w:tl2br w:val="nil"/>
              <w:tr2bl w:val="nil"/>
            </w:tcBorders>
            <w:vAlign w:val="center"/>
          </w:tcPr>
          <w:p w14:paraId="4650FA28">
            <w:pPr>
              <w:pStyle w:val="41"/>
              <w:rPr>
                <w:color w:val="auto"/>
                <w:highlight w:val="none"/>
              </w:rPr>
            </w:pPr>
            <w:r>
              <w:rPr>
                <w:color w:val="auto"/>
                <w:highlight w:val="none"/>
              </w:rPr>
              <w:t>0.129</w:t>
            </w:r>
          </w:p>
        </w:tc>
        <w:tc>
          <w:tcPr>
            <w:tcW w:w="427" w:type="pct"/>
            <w:tcBorders>
              <w:tl2br w:val="nil"/>
              <w:tr2bl w:val="nil"/>
            </w:tcBorders>
            <w:vAlign w:val="center"/>
          </w:tcPr>
          <w:p w14:paraId="2B99A547">
            <w:pPr>
              <w:pStyle w:val="41"/>
              <w:rPr>
                <w:color w:val="auto"/>
                <w:highlight w:val="none"/>
              </w:rPr>
            </w:pPr>
            <w:r>
              <w:rPr>
                <w:color w:val="auto"/>
                <w:highlight w:val="none"/>
              </w:rPr>
              <w:t>5.0</w:t>
            </w:r>
          </w:p>
        </w:tc>
        <w:tc>
          <w:tcPr>
            <w:tcW w:w="427" w:type="pct"/>
            <w:tcBorders>
              <w:tl2br w:val="nil"/>
              <w:tr2bl w:val="nil"/>
            </w:tcBorders>
            <w:vAlign w:val="center"/>
          </w:tcPr>
          <w:p w14:paraId="406658FA">
            <w:pPr>
              <w:pStyle w:val="41"/>
              <w:rPr>
                <w:color w:val="auto"/>
                <w:highlight w:val="none"/>
              </w:rPr>
            </w:pPr>
            <w:r>
              <w:rPr>
                <w:color w:val="auto"/>
                <w:highlight w:val="none"/>
              </w:rPr>
              <w:t>16</w:t>
            </w:r>
          </w:p>
        </w:tc>
        <w:tc>
          <w:tcPr>
            <w:tcW w:w="427" w:type="pct"/>
            <w:tcBorders>
              <w:tl2br w:val="nil"/>
              <w:tr2bl w:val="nil"/>
            </w:tcBorders>
            <w:vAlign w:val="center"/>
          </w:tcPr>
          <w:p w14:paraId="317053E6">
            <w:pPr>
              <w:pStyle w:val="41"/>
              <w:rPr>
                <w:color w:val="auto"/>
                <w:highlight w:val="none"/>
              </w:rPr>
            </w:pPr>
            <w:r>
              <w:rPr>
                <w:color w:val="auto"/>
                <w:highlight w:val="none"/>
              </w:rPr>
              <w:t>未检出</w:t>
            </w:r>
          </w:p>
        </w:tc>
        <w:tc>
          <w:tcPr>
            <w:tcW w:w="427" w:type="pct"/>
            <w:tcBorders>
              <w:tl2br w:val="nil"/>
              <w:tr2bl w:val="nil"/>
            </w:tcBorders>
            <w:vAlign w:val="center"/>
          </w:tcPr>
          <w:p w14:paraId="3D4F79AB">
            <w:pPr>
              <w:pStyle w:val="41"/>
              <w:rPr>
                <w:color w:val="auto"/>
                <w:highlight w:val="none"/>
              </w:rPr>
            </w:pPr>
            <w:r>
              <w:rPr>
                <w:color w:val="auto"/>
                <w:highlight w:val="none"/>
              </w:rPr>
              <w:t>未检出</w:t>
            </w:r>
          </w:p>
        </w:tc>
        <w:tc>
          <w:tcPr>
            <w:tcW w:w="364" w:type="pct"/>
            <w:tcBorders>
              <w:tl2br w:val="nil"/>
              <w:tr2bl w:val="nil"/>
            </w:tcBorders>
            <w:vAlign w:val="center"/>
          </w:tcPr>
          <w:p w14:paraId="2CFB6A2B">
            <w:pPr>
              <w:pStyle w:val="41"/>
              <w:rPr>
                <w:color w:val="auto"/>
                <w:highlight w:val="none"/>
              </w:rPr>
            </w:pPr>
            <w:r>
              <w:rPr>
                <w:color w:val="auto"/>
                <w:highlight w:val="none"/>
              </w:rPr>
              <w:t>8.9</w:t>
            </w:r>
          </w:p>
        </w:tc>
        <w:tc>
          <w:tcPr>
            <w:tcW w:w="364" w:type="pct"/>
            <w:tcBorders>
              <w:tl2br w:val="nil"/>
              <w:tr2bl w:val="nil"/>
            </w:tcBorders>
            <w:vAlign w:val="center"/>
          </w:tcPr>
          <w:p w14:paraId="4424AD51">
            <w:pPr>
              <w:pStyle w:val="41"/>
              <w:rPr>
                <w:color w:val="auto"/>
                <w:highlight w:val="none"/>
              </w:rPr>
            </w:pPr>
            <w:r>
              <w:rPr>
                <w:color w:val="auto"/>
                <w:highlight w:val="none"/>
              </w:rPr>
              <w:t>14</w:t>
            </w:r>
          </w:p>
        </w:tc>
        <w:tc>
          <w:tcPr>
            <w:tcW w:w="248" w:type="pct"/>
            <w:tcBorders>
              <w:tl2br w:val="nil"/>
              <w:tr2bl w:val="nil"/>
            </w:tcBorders>
            <w:vAlign w:val="center"/>
          </w:tcPr>
          <w:p w14:paraId="4E19D105">
            <w:pPr>
              <w:pStyle w:val="41"/>
              <w:rPr>
                <w:color w:val="auto"/>
                <w:highlight w:val="none"/>
              </w:rPr>
            </w:pPr>
            <w:r>
              <w:rPr>
                <w:color w:val="auto"/>
                <w:highlight w:val="none"/>
              </w:rPr>
              <w:t>0.06</w:t>
            </w:r>
          </w:p>
        </w:tc>
        <w:tc>
          <w:tcPr>
            <w:tcW w:w="431" w:type="pct"/>
            <w:tcBorders>
              <w:tl2br w:val="nil"/>
              <w:tr2bl w:val="nil"/>
            </w:tcBorders>
            <w:vAlign w:val="center"/>
          </w:tcPr>
          <w:p w14:paraId="4F74896D">
            <w:pPr>
              <w:pStyle w:val="41"/>
              <w:rPr>
                <w:color w:val="auto"/>
                <w:highlight w:val="none"/>
              </w:rPr>
            </w:pPr>
            <w:r>
              <w:rPr>
                <w:color w:val="auto"/>
                <w:highlight w:val="none"/>
              </w:rPr>
              <w:t>7.97</w:t>
            </w:r>
          </w:p>
        </w:tc>
      </w:tr>
      <w:tr w14:paraId="322EF6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6F419CBB">
            <w:pPr>
              <w:pStyle w:val="41"/>
              <w:rPr>
                <w:color w:val="auto"/>
                <w:highlight w:val="none"/>
              </w:rPr>
            </w:pPr>
            <w:r>
              <w:rPr>
                <w:color w:val="auto"/>
                <w:highlight w:val="none"/>
              </w:rPr>
              <w:t>TC-13#-1-1-1</w:t>
            </w:r>
          </w:p>
        </w:tc>
        <w:tc>
          <w:tcPr>
            <w:tcW w:w="460" w:type="pct"/>
            <w:tcBorders>
              <w:tl2br w:val="nil"/>
              <w:tr2bl w:val="nil"/>
            </w:tcBorders>
            <w:vAlign w:val="center"/>
          </w:tcPr>
          <w:p w14:paraId="4326B462">
            <w:pPr>
              <w:pStyle w:val="41"/>
              <w:rPr>
                <w:color w:val="auto"/>
                <w:highlight w:val="none"/>
              </w:rPr>
            </w:pPr>
            <w:r>
              <w:rPr>
                <w:color w:val="auto"/>
                <w:highlight w:val="none"/>
              </w:rPr>
              <w:t>173</w:t>
            </w:r>
          </w:p>
        </w:tc>
        <w:tc>
          <w:tcPr>
            <w:tcW w:w="364" w:type="pct"/>
            <w:tcBorders>
              <w:tl2br w:val="nil"/>
              <w:tr2bl w:val="nil"/>
            </w:tcBorders>
            <w:vAlign w:val="center"/>
          </w:tcPr>
          <w:p w14:paraId="3EE2F695">
            <w:pPr>
              <w:pStyle w:val="41"/>
              <w:rPr>
                <w:color w:val="auto"/>
                <w:highlight w:val="none"/>
              </w:rPr>
            </w:pPr>
            <w:r>
              <w:rPr>
                <w:color w:val="auto"/>
                <w:highlight w:val="none"/>
              </w:rPr>
              <w:t>0.131</w:t>
            </w:r>
          </w:p>
        </w:tc>
        <w:tc>
          <w:tcPr>
            <w:tcW w:w="427" w:type="pct"/>
            <w:tcBorders>
              <w:tl2br w:val="nil"/>
              <w:tr2bl w:val="nil"/>
            </w:tcBorders>
            <w:vAlign w:val="center"/>
          </w:tcPr>
          <w:p w14:paraId="241A89F2">
            <w:pPr>
              <w:pStyle w:val="41"/>
              <w:rPr>
                <w:color w:val="auto"/>
                <w:highlight w:val="none"/>
              </w:rPr>
            </w:pPr>
            <w:r>
              <w:rPr>
                <w:color w:val="auto"/>
                <w:highlight w:val="none"/>
              </w:rPr>
              <w:t>2.9</w:t>
            </w:r>
          </w:p>
        </w:tc>
        <w:tc>
          <w:tcPr>
            <w:tcW w:w="427" w:type="pct"/>
            <w:tcBorders>
              <w:tl2br w:val="nil"/>
              <w:tr2bl w:val="nil"/>
            </w:tcBorders>
            <w:vAlign w:val="center"/>
          </w:tcPr>
          <w:p w14:paraId="292ADE42">
            <w:pPr>
              <w:pStyle w:val="41"/>
              <w:rPr>
                <w:color w:val="auto"/>
                <w:highlight w:val="none"/>
              </w:rPr>
            </w:pPr>
            <w:r>
              <w:rPr>
                <w:color w:val="auto"/>
                <w:highlight w:val="none"/>
              </w:rPr>
              <w:t>16</w:t>
            </w:r>
          </w:p>
        </w:tc>
        <w:tc>
          <w:tcPr>
            <w:tcW w:w="427" w:type="pct"/>
            <w:tcBorders>
              <w:tl2br w:val="nil"/>
              <w:tr2bl w:val="nil"/>
            </w:tcBorders>
            <w:vAlign w:val="center"/>
          </w:tcPr>
          <w:p w14:paraId="6C9D5F8B">
            <w:pPr>
              <w:pStyle w:val="41"/>
              <w:rPr>
                <w:color w:val="auto"/>
                <w:highlight w:val="none"/>
              </w:rPr>
            </w:pPr>
            <w:r>
              <w:rPr>
                <w:color w:val="auto"/>
                <w:highlight w:val="none"/>
              </w:rPr>
              <w:t>未检出</w:t>
            </w:r>
          </w:p>
        </w:tc>
        <w:tc>
          <w:tcPr>
            <w:tcW w:w="427" w:type="pct"/>
            <w:tcBorders>
              <w:tl2br w:val="nil"/>
              <w:tr2bl w:val="nil"/>
            </w:tcBorders>
            <w:vAlign w:val="center"/>
          </w:tcPr>
          <w:p w14:paraId="6C6741F8">
            <w:pPr>
              <w:pStyle w:val="41"/>
              <w:rPr>
                <w:color w:val="auto"/>
                <w:highlight w:val="none"/>
              </w:rPr>
            </w:pPr>
            <w:r>
              <w:rPr>
                <w:color w:val="auto"/>
                <w:highlight w:val="none"/>
              </w:rPr>
              <w:t>未检出</w:t>
            </w:r>
          </w:p>
        </w:tc>
        <w:tc>
          <w:tcPr>
            <w:tcW w:w="364" w:type="pct"/>
            <w:tcBorders>
              <w:tl2br w:val="nil"/>
              <w:tr2bl w:val="nil"/>
            </w:tcBorders>
            <w:vAlign w:val="center"/>
          </w:tcPr>
          <w:p w14:paraId="505AA547">
            <w:pPr>
              <w:pStyle w:val="41"/>
              <w:rPr>
                <w:color w:val="auto"/>
                <w:highlight w:val="none"/>
              </w:rPr>
            </w:pPr>
            <w:r>
              <w:rPr>
                <w:color w:val="auto"/>
                <w:highlight w:val="none"/>
              </w:rPr>
              <w:t>8.6</w:t>
            </w:r>
          </w:p>
        </w:tc>
        <w:tc>
          <w:tcPr>
            <w:tcW w:w="364" w:type="pct"/>
            <w:tcBorders>
              <w:tl2br w:val="nil"/>
              <w:tr2bl w:val="nil"/>
            </w:tcBorders>
            <w:vAlign w:val="center"/>
          </w:tcPr>
          <w:p w14:paraId="40837B12">
            <w:pPr>
              <w:pStyle w:val="41"/>
              <w:rPr>
                <w:color w:val="auto"/>
                <w:highlight w:val="none"/>
              </w:rPr>
            </w:pPr>
            <w:r>
              <w:rPr>
                <w:color w:val="auto"/>
                <w:highlight w:val="none"/>
              </w:rPr>
              <w:t>14</w:t>
            </w:r>
          </w:p>
        </w:tc>
        <w:tc>
          <w:tcPr>
            <w:tcW w:w="248" w:type="pct"/>
            <w:tcBorders>
              <w:tl2br w:val="nil"/>
              <w:tr2bl w:val="nil"/>
            </w:tcBorders>
            <w:vAlign w:val="center"/>
          </w:tcPr>
          <w:p w14:paraId="0F15390F">
            <w:pPr>
              <w:pStyle w:val="41"/>
              <w:rPr>
                <w:color w:val="auto"/>
                <w:highlight w:val="none"/>
              </w:rPr>
            </w:pPr>
            <w:r>
              <w:rPr>
                <w:color w:val="auto"/>
                <w:highlight w:val="none"/>
              </w:rPr>
              <w:t>0.04</w:t>
            </w:r>
          </w:p>
        </w:tc>
        <w:tc>
          <w:tcPr>
            <w:tcW w:w="431" w:type="pct"/>
            <w:tcBorders>
              <w:tl2br w:val="nil"/>
              <w:tr2bl w:val="nil"/>
            </w:tcBorders>
            <w:vAlign w:val="center"/>
          </w:tcPr>
          <w:p w14:paraId="3C3AADEB">
            <w:pPr>
              <w:pStyle w:val="41"/>
              <w:rPr>
                <w:color w:val="auto"/>
                <w:highlight w:val="none"/>
              </w:rPr>
            </w:pPr>
            <w:r>
              <w:rPr>
                <w:color w:val="auto"/>
                <w:highlight w:val="none"/>
              </w:rPr>
              <w:t>7.84</w:t>
            </w:r>
          </w:p>
        </w:tc>
      </w:tr>
      <w:tr w14:paraId="7AD23C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4EB07635">
            <w:pPr>
              <w:pStyle w:val="41"/>
              <w:rPr>
                <w:color w:val="auto"/>
                <w:highlight w:val="none"/>
              </w:rPr>
            </w:pPr>
            <w:r>
              <w:rPr>
                <w:color w:val="auto"/>
                <w:highlight w:val="none"/>
              </w:rPr>
              <w:t>TC-14#-1</w:t>
            </w:r>
          </w:p>
        </w:tc>
        <w:tc>
          <w:tcPr>
            <w:tcW w:w="460" w:type="pct"/>
            <w:tcBorders>
              <w:tl2br w:val="nil"/>
              <w:tr2bl w:val="nil"/>
            </w:tcBorders>
            <w:vAlign w:val="center"/>
          </w:tcPr>
          <w:p w14:paraId="62B3BB73">
            <w:pPr>
              <w:pStyle w:val="41"/>
              <w:rPr>
                <w:color w:val="auto"/>
                <w:highlight w:val="none"/>
              </w:rPr>
            </w:pPr>
            <w:r>
              <w:rPr>
                <w:color w:val="auto"/>
                <w:highlight w:val="none"/>
              </w:rPr>
              <w:t>45</w:t>
            </w:r>
          </w:p>
        </w:tc>
        <w:tc>
          <w:tcPr>
            <w:tcW w:w="364" w:type="pct"/>
            <w:tcBorders>
              <w:tl2br w:val="nil"/>
              <w:tr2bl w:val="nil"/>
            </w:tcBorders>
            <w:vAlign w:val="center"/>
          </w:tcPr>
          <w:p w14:paraId="242B0FB5">
            <w:pPr>
              <w:pStyle w:val="41"/>
              <w:rPr>
                <w:color w:val="auto"/>
                <w:highlight w:val="none"/>
              </w:rPr>
            </w:pPr>
            <w:r>
              <w:rPr>
                <w:color w:val="auto"/>
                <w:highlight w:val="none"/>
              </w:rPr>
              <w:t>0.180</w:t>
            </w:r>
          </w:p>
        </w:tc>
        <w:tc>
          <w:tcPr>
            <w:tcW w:w="427" w:type="pct"/>
            <w:tcBorders>
              <w:tl2br w:val="nil"/>
              <w:tr2bl w:val="nil"/>
            </w:tcBorders>
            <w:vAlign w:val="center"/>
          </w:tcPr>
          <w:p w14:paraId="23065FEF">
            <w:pPr>
              <w:pStyle w:val="41"/>
              <w:rPr>
                <w:color w:val="auto"/>
                <w:highlight w:val="none"/>
              </w:rPr>
            </w:pPr>
            <w:r>
              <w:rPr>
                <w:color w:val="auto"/>
                <w:highlight w:val="none"/>
              </w:rPr>
              <w:t>2.0</w:t>
            </w:r>
          </w:p>
        </w:tc>
        <w:tc>
          <w:tcPr>
            <w:tcW w:w="427" w:type="pct"/>
            <w:tcBorders>
              <w:tl2br w:val="nil"/>
              <w:tr2bl w:val="nil"/>
            </w:tcBorders>
            <w:vAlign w:val="center"/>
          </w:tcPr>
          <w:p w14:paraId="469B0ABF">
            <w:pPr>
              <w:pStyle w:val="41"/>
              <w:rPr>
                <w:color w:val="auto"/>
                <w:highlight w:val="none"/>
              </w:rPr>
            </w:pPr>
            <w:r>
              <w:rPr>
                <w:color w:val="auto"/>
                <w:highlight w:val="none"/>
              </w:rPr>
              <w:t>16</w:t>
            </w:r>
          </w:p>
        </w:tc>
        <w:tc>
          <w:tcPr>
            <w:tcW w:w="427" w:type="pct"/>
            <w:tcBorders>
              <w:tl2br w:val="nil"/>
              <w:tr2bl w:val="nil"/>
            </w:tcBorders>
            <w:vAlign w:val="center"/>
          </w:tcPr>
          <w:p w14:paraId="44F820B2">
            <w:pPr>
              <w:pStyle w:val="41"/>
              <w:rPr>
                <w:color w:val="auto"/>
                <w:highlight w:val="none"/>
              </w:rPr>
            </w:pPr>
            <w:r>
              <w:rPr>
                <w:color w:val="auto"/>
                <w:highlight w:val="none"/>
              </w:rPr>
              <w:t>未检出</w:t>
            </w:r>
          </w:p>
        </w:tc>
        <w:tc>
          <w:tcPr>
            <w:tcW w:w="427" w:type="pct"/>
            <w:tcBorders>
              <w:tl2br w:val="nil"/>
              <w:tr2bl w:val="nil"/>
            </w:tcBorders>
            <w:vAlign w:val="center"/>
          </w:tcPr>
          <w:p w14:paraId="7E0B284C">
            <w:pPr>
              <w:pStyle w:val="41"/>
              <w:rPr>
                <w:color w:val="auto"/>
                <w:highlight w:val="none"/>
              </w:rPr>
            </w:pPr>
            <w:r>
              <w:rPr>
                <w:color w:val="auto"/>
                <w:highlight w:val="none"/>
              </w:rPr>
              <w:t>未检出</w:t>
            </w:r>
          </w:p>
        </w:tc>
        <w:tc>
          <w:tcPr>
            <w:tcW w:w="364" w:type="pct"/>
            <w:tcBorders>
              <w:tl2br w:val="nil"/>
              <w:tr2bl w:val="nil"/>
            </w:tcBorders>
            <w:vAlign w:val="center"/>
          </w:tcPr>
          <w:p w14:paraId="0D15F16F">
            <w:pPr>
              <w:pStyle w:val="41"/>
              <w:rPr>
                <w:color w:val="auto"/>
                <w:highlight w:val="none"/>
              </w:rPr>
            </w:pPr>
            <w:r>
              <w:rPr>
                <w:color w:val="auto"/>
                <w:highlight w:val="none"/>
              </w:rPr>
              <w:t>7.0</w:t>
            </w:r>
          </w:p>
        </w:tc>
        <w:tc>
          <w:tcPr>
            <w:tcW w:w="364" w:type="pct"/>
            <w:tcBorders>
              <w:tl2br w:val="nil"/>
              <w:tr2bl w:val="nil"/>
            </w:tcBorders>
            <w:vAlign w:val="center"/>
          </w:tcPr>
          <w:p w14:paraId="1DDBF2B0">
            <w:pPr>
              <w:pStyle w:val="41"/>
              <w:rPr>
                <w:color w:val="auto"/>
                <w:highlight w:val="none"/>
              </w:rPr>
            </w:pPr>
            <w:r>
              <w:rPr>
                <w:color w:val="auto"/>
                <w:highlight w:val="none"/>
              </w:rPr>
              <w:t>13</w:t>
            </w:r>
          </w:p>
        </w:tc>
        <w:tc>
          <w:tcPr>
            <w:tcW w:w="248" w:type="pct"/>
            <w:tcBorders>
              <w:tl2br w:val="nil"/>
              <w:tr2bl w:val="nil"/>
            </w:tcBorders>
            <w:vAlign w:val="center"/>
          </w:tcPr>
          <w:p w14:paraId="19FA08BB">
            <w:pPr>
              <w:pStyle w:val="41"/>
              <w:rPr>
                <w:color w:val="auto"/>
                <w:highlight w:val="none"/>
              </w:rPr>
            </w:pPr>
            <w:r>
              <w:rPr>
                <w:color w:val="auto"/>
                <w:highlight w:val="none"/>
              </w:rPr>
              <w:t>0.04</w:t>
            </w:r>
          </w:p>
        </w:tc>
        <w:tc>
          <w:tcPr>
            <w:tcW w:w="431" w:type="pct"/>
            <w:tcBorders>
              <w:tl2br w:val="nil"/>
              <w:tr2bl w:val="nil"/>
            </w:tcBorders>
            <w:vAlign w:val="center"/>
          </w:tcPr>
          <w:p w14:paraId="282DA9A7">
            <w:pPr>
              <w:pStyle w:val="41"/>
              <w:rPr>
                <w:color w:val="auto"/>
                <w:highlight w:val="none"/>
              </w:rPr>
            </w:pPr>
            <w:r>
              <w:rPr>
                <w:color w:val="auto"/>
                <w:highlight w:val="none"/>
              </w:rPr>
              <w:t>7.86</w:t>
            </w:r>
          </w:p>
        </w:tc>
      </w:tr>
      <w:tr w14:paraId="7CE1FA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6E6B4D49">
            <w:pPr>
              <w:pStyle w:val="41"/>
              <w:rPr>
                <w:color w:val="auto"/>
                <w:highlight w:val="none"/>
              </w:rPr>
            </w:pPr>
            <w:r>
              <w:rPr>
                <w:color w:val="auto"/>
                <w:highlight w:val="none"/>
              </w:rPr>
              <w:t>TC-14#-1-1</w:t>
            </w:r>
          </w:p>
        </w:tc>
        <w:tc>
          <w:tcPr>
            <w:tcW w:w="460" w:type="pct"/>
            <w:tcBorders>
              <w:tl2br w:val="nil"/>
              <w:tr2bl w:val="nil"/>
            </w:tcBorders>
            <w:vAlign w:val="center"/>
          </w:tcPr>
          <w:p w14:paraId="2580E108">
            <w:pPr>
              <w:pStyle w:val="41"/>
              <w:rPr>
                <w:color w:val="auto"/>
                <w:highlight w:val="none"/>
              </w:rPr>
            </w:pPr>
            <w:r>
              <w:rPr>
                <w:color w:val="auto"/>
                <w:highlight w:val="none"/>
              </w:rPr>
              <w:t>89</w:t>
            </w:r>
          </w:p>
        </w:tc>
        <w:tc>
          <w:tcPr>
            <w:tcW w:w="364" w:type="pct"/>
            <w:tcBorders>
              <w:tl2br w:val="nil"/>
              <w:tr2bl w:val="nil"/>
            </w:tcBorders>
            <w:vAlign w:val="center"/>
          </w:tcPr>
          <w:p w14:paraId="5C45BEF4">
            <w:pPr>
              <w:pStyle w:val="41"/>
              <w:rPr>
                <w:color w:val="auto"/>
                <w:highlight w:val="none"/>
              </w:rPr>
            </w:pPr>
            <w:r>
              <w:rPr>
                <w:color w:val="auto"/>
                <w:highlight w:val="none"/>
              </w:rPr>
              <w:t>0.182</w:t>
            </w:r>
          </w:p>
        </w:tc>
        <w:tc>
          <w:tcPr>
            <w:tcW w:w="427" w:type="pct"/>
            <w:tcBorders>
              <w:tl2br w:val="nil"/>
              <w:tr2bl w:val="nil"/>
            </w:tcBorders>
            <w:vAlign w:val="center"/>
          </w:tcPr>
          <w:p w14:paraId="7ABB88AE">
            <w:pPr>
              <w:pStyle w:val="41"/>
              <w:rPr>
                <w:color w:val="auto"/>
                <w:highlight w:val="none"/>
              </w:rPr>
            </w:pPr>
            <w:r>
              <w:rPr>
                <w:color w:val="auto"/>
                <w:highlight w:val="none"/>
              </w:rPr>
              <w:t>0.8</w:t>
            </w:r>
          </w:p>
        </w:tc>
        <w:tc>
          <w:tcPr>
            <w:tcW w:w="427" w:type="pct"/>
            <w:tcBorders>
              <w:tl2br w:val="nil"/>
              <w:tr2bl w:val="nil"/>
            </w:tcBorders>
            <w:vAlign w:val="center"/>
          </w:tcPr>
          <w:p w14:paraId="07776696">
            <w:pPr>
              <w:pStyle w:val="41"/>
              <w:rPr>
                <w:color w:val="auto"/>
                <w:highlight w:val="none"/>
              </w:rPr>
            </w:pPr>
            <w:r>
              <w:rPr>
                <w:color w:val="auto"/>
                <w:highlight w:val="none"/>
              </w:rPr>
              <w:t>15</w:t>
            </w:r>
          </w:p>
        </w:tc>
        <w:tc>
          <w:tcPr>
            <w:tcW w:w="427" w:type="pct"/>
            <w:tcBorders>
              <w:tl2br w:val="nil"/>
              <w:tr2bl w:val="nil"/>
            </w:tcBorders>
            <w:vAlign w:val="center"/>
          </w:tcPr>
          <w:p w14:paraId="0AA74736">
            <w:pPr>
              <w:pStyle w:val="41"/>
              <w:rPr>
                <w:color w:val="auto"/>
                <w:highlight w:val="none"/>
              </w:rPr>
            </w:pPr>
            <w:r>
              <w:rPr>
                <w:color w:val="auto"/>
                <w:highlight w:val="none"/>
              </w:rPr>
              <w:t>未检出</w:t>
            </w:r>
          </w:p>
        </w:tc>
        <w:tc>
          <w:tcPr>
            <w:tcW w:w="427" w:type="pct"/>
            <w:tcBorders>
              <w:tl2br w:val="nil"/>
              <w:tr2bl w:val="nil"/>
            </w:tcBorders>
            <w:vAlign w:val="center"/>
          </w:tcPr>
          <w:p w14:paraId="4E63975E">
            <w:pPr>
              <w:pStyle w:val="41"/>
              <w:rPr>
                <w:color w:val="auto"/>
                <w:highlight w:val="none"/>
              </w:rPr>
            </w:pPr>
            <w:r>
              <w:rPr>
                <w:color w:val="auto"/>
                <w:highlight w:val="none"/>
              </w:rPr>
              <w:t>未检出</w:t>
            </w:r>
          </w:p>
        </w:tc>
        <w:tc>
          <w:tcPr>
            <w:tcW w:w="364" w:type="pct"/>
            <w:tcBorders>
              <w:tl2br w:val="nil"/>
              <w:tr2bl w:val="nil"/>
            </w:tcBorders>
            <w:vAlign w:val="center"/>
          </w:tcPr>
          <w:p w14:paraId="5DB2C631">
            <w:pPr>
              <w:pStyle w:val="41"/>
              <w:rPr>
                <w:color w:val="auto"/>
                <w:highlight w:val="none"/>
              </w:rPr>
            </w:pPr>
            <w:r>
              <w:rPr>
                <w:color w:val="auto"/>
                <w:highlight w:val="none"/>
              </w:rPr>
              <w:t>6.4</w:t>
            </w:r>
          </w:p>
        </w:tc>
        <w:tc>
          <w:tcPr>
            <w:tcW w:w="364" w:type="pct"/>
            <w:tcBorders>
              <w:tl2br w:val="nil"/>
              <w:tr2bl w:val="nil"/>
            </w:tcBorders>
            <w:vAlign w:val="center"/>
          </w:tcPr>
          <w:p w14:paraId="2E6A25DC">
            <w:pPr>
              <w:pStyle w:val="41"/>
              <w:rPr>
                <w:color w:val="auto"/>
                <w:highlight w:val="none"/>
              </w:rPr>
            </w:pPr>
            <w:r>
              <w:rPr>
                <w:color w:val="auto"/>
                <w:highlight w:val="none"/>
              </w:rPr>
              <w:t>12</w:t>
            </w:r>
          </w:p>
        </w:tc>
        <w:tc>
          <w:tcPr>
            <w:tcW w:w="248" w:type="pct"/>
            <w:tcBorders>
              <w:tl2br w:val="nil"/>
              <w:tr2bl w:val="nil"/>
            </w:tcBorders>
            <w:vAlign w:val="center"/>
          </w:tcPr>
          <w:p w14:paraId="393B3D84">
            <w:pPr>
              <w:pStyle w:val="41"/>
              <w:rPr>
                <w:color w:val="auto"/>
                <w:highlight w:val="none"/>
              </w:rPr>
            </w:pPr>
            <w:r>
              <w:rPr>
                <w:color w:val="auto"/>
                <w:highlight w:val="none"/>
              </w:rPr>
              <w:t>0.04</w:t>
            </w:r>
          </w:p>
        </w:tc>
        <w:tc>
          <w:tcPr>
            <w:tcW w:w="431" w:type="pct"/>
            <w:tcBorders>
              <w:tl2br w:val="nil"/>
              <w:tr2bl w:val="nil"/>
            </w:tcBorders>
            <w:vAlign w:val="center"/>
          </w:tcPr>
          <w:p w14:paraId="30B3CD91">
            <w:pPr>
              <w:pStyle w:val="41"/>
              <w:rPr>
                <w:color w:val="auto"/>
                <w:highlight w:val="none"/>
              </w:rPr>
            </w:pPr>
            <w:r>
              <w:rPr>
                <w:color w:val="auto"/>
                <w:highlight w:val="none"/>
              </w:rPr>
              <w:t>7.91</w:t>
            </w:r>
          </w:p>
        </w:tc>
      </w:tr>
      <w:tr w14:paraId="13C55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0458F338">
            <w:pPr>
              <w:pStyle w:val="41"/>
              <w:rPr>
                <w:color w:val="auto"/>
                <w:highlight w:val="none"/>
              </w:rPr>
            </w:pPr>
            <w:r>
              <w:rPr>
                <w:color w:val="auto"/>
                <w:highlight w:val="none"/>
              </w:rPr>
              <w:t>TC-14#-1-1-1</w:t>
            </w:r>
          </w:p>
        </w:tc>
        <w:tc>
          <w:tcPr>
            <w:tcW w:w="460" w:type="pct"/>
            <w:tcBorders>
              <w:tl2br w:val="nil"/>
              <w:tr2bl w:val="nil"/>
            </w:tcBorders>
            <w:vAlign w:val="center"/>
          </w:tcPr>
          <w:p w14:paraId="63776137">
            <w:pPr>
              <w:pStyle w:val="41"/>
              <w:rPr>
                <w:color w:val="auto"/>
                <w:highlight w:val="none"/>
              </w:rPr>
            </w:pPr>
            <w:r>
              <w:rPr>
                <w:color w:val="auto"/>
                <w:highlight w:val="none"/>
              </w:rPr>
              <w:t>181</w:t>
            </w:r>
          </w:p>
        </w:tc>
        <w:tc>
          <w:tcPr>
            <w:tcW w:w="364" w:type="pct"/>
            <w:tcBorders>
              <w:tl2br w:val="nil"/>
              <w:tr2bl w:val="nil"/>
            </w:tcBorders>
            <w:vAlign w:val="center"/>
          </w:tcPr>
          <w:p w14:paraId="75D96BD2">
            <w:pPr>
              <w:pStyle w:val="41"/>
              <w:rPr>
                <w:color w:val="auto"/>
                <w:highlight w:val="none"/>
              </w:rPr>
            </w:pPr>
            <w:r>
              <w:rPr>
                <w:color w:val="auto"/>
                <w:highlight w:val="none"/>
              </w:rPr>
              <w:t>0.118</w:t>
            </w:r>
          </w:p>
        </w:tc>
        <w:tc>
          <w:tcPr>
            <w:tcW w:w="427" w:type="pct"/>
            <w:tcBorders>
              <w:tl2br w:val="nil"/>
              <w:tr2bl w:val="nil"/>
            </w:tcBorders>
            <w:vAlign w:val="center"/>
          </w:tcPr>
          <w:p w14:paraId="310A4642">
            <w:pPr>
              <w:pStyle w:val="41"/>
              <w:rPr>
                <w:color w:val="auto"/>
                <w:highlight w:val="none"/>
              </w:rPr>
            </w:pPr>
            <w:r>
              <w:rPr>
                <w:color w:val="auto"/>
                <w:highlight w:val="none"/>
              </w:rPr>
              <w:t>3.8</w:t>
            </w:r>
          </w:p>
        </w:tc>
        <w:tc>
          <w:tcPr>
            <w:tcW w:w="427" w:type="pct"/>
            <w:tcBorders>
              <w:tl2br w:val="nil"/>
              <w:tr2bl w:val="nil"/>
            </w:tcBorders>
            <w:vAlign w:val="center"/>
          </w:tcPr>
          <w:p w14:paraId="72362C43">
            <w:pPr>
              <w:pStyle w:val="41"/>
              <w:rPr>
                <w:color w:val="auto"/>
                <w:highlight w:val="none"/>
              </w:rPr>
            </w:pPr>
            <w:r>
              <w:rPr>
                <w:color w:val="auto"/>
                <w:highlight w:val="none"/>
              </w:rPr>
              <w:t>16</w:t>
            </w:r>
          </w:p>
        </w:tc>
        <w:tc>
          <w:tcPr>
            <w:tcW w:w="427" w:type="pct"/>
            <w:tcBorders>
              <w:tl2br w:val="nil"/>
              <w:tr2bl w:val="nil"/>
            </w:tcBorders>
            <w:vAlign w:val="center"/>
          </w:tcPr>
          <w:p w14:paraId="234D01D3">
            <w:pPr>
              <w:pStyle w:val="41"/>
              <w:rPr>
                <w:color w:val="auto"/>
                <w:highlight w:val="none"/>
              </w:rPr>
            </w:pPr>
            <w:r>
              <w:rPr>
                <w:color w:val="auto"/>
                <w:highlight w:val="none"/>
              </w:rPr>
              <w:t>未检出</w:t>
            </w:r>
          </w:p>
        </w:tc>
        <w:tc>
          <w:tcPr>
            <w:tcW w:w="427" w:type="pct"/>
            <w:tcBorders>
              <w:tl2br w:val="nil"/>
              <w:tr2bl w:val="nil"/>
            </w:tcBorders>
            <w:vAlign w:val="center"/>
          </w:tcPr>
          <w:p w14:paraId="5C4BBC50">
            <w:pPr>
              <w:pStyle w:val="41"/>
              <w:rPr>
                <w:color w:val="auto"/>
                <w:highlight w:val="none"/>
              </w:rPr>
            </w:pPr>
            <w:r>
              <w:rPr>
                <w:color w:val="auto"/>
                <w:highlight w:val="none"/>
              </w:rPr>
              <w:t>未检出</w:t>
            </w:r>
          </w:p>
        </w:tc>
        <w:tc>
          <w:tcPr>
            <w:tcW w:w="364" w:type="pct"/>
            <w:tcBorders>
              <w:tl2br w:val="nil"/>
              <w:tr2bl w:val="nil"/>
            </w:tcBorders>
            <w:vAlign w:val="center"/>
          </w:tcPr>
          <w:p w14:paraId="60843FE6">
            <w:pPr>
              <w:pStyle w:val="41"/>
              <w:rPr>
                <w:color w:val="auto"/>
                <w:highlight w:val="none"/>
              </w:rPr>
            </w:pPr>
            <w:r>
              <w:rPr>
                <w:color w:val="auto"/>
                <w:highlight w:val="none"/>
              </w:rPr>
              <w:t>7.0</w:t>
            </w:r>
          </w:p>
        </w:tc>
        <w:tc>
          <w:tcPr>
            <w:tcW w:w="364" w:type="pct"/>
            <w:tcBorders>
              <w:tl2br w:val="nil"/>
              <w:tr2bl w:val="nil"/>
            </w:tcBorders>
            <w:vAlign w:val="center"/>
          </w:tcPr>
          <w:p w14:paraId="4C94378A">
            <w:pPr>
              <w:pStyle w:val="41"/>
              <w:rPr>
                <w:color w:val="auto"/>
                <w:highlight w:val="none"/>
              </w:rPr>
            </w:pPr>
            <w:r>
              <w:rPr>
                <w:color w:val="auto"/>
                <w:highlight w:val="none"/>
              </w:rPr>
              <w:t>13</w:t>
            </w:r>
          </w:p>
        </w:tc>
        <w:tc>
          <w:tcPr>
            <w:tcW w:w="248" w:type="pct"/>
            <w:tcBorders>
              <w:tl2br w:val="nil"/>
              <w:tr2bl w:val="nil"/>
            </w:tcBorders>
            <w:vAlign w:val="center"/>
          </w:tcPr>
          <w:p w14:paraId="6D2392EE">
            <w:pPr>
              <w:pStyle w:val="41"/>
              <w:rPr>
                <w:color w:val="auto"/>
                <w:highlight w:val="none"/>
              </w:rPr>
            </w:pPr>
            <w:r>
              <w:rPr>
                <w:color w:val="auto"/>
                <w:highlight w:val="none"/>
              </w:rPr>
              <w:t>0.04</w:t>
            </w:r>
          </w:p>
        </w:tc>
        <w:tc>
          <w:tcPr>
            <w:tcW w:w="431" w:type="pct"/>
            <w:tcBorders>
              <w:tl2br w:val="nil"/>
              <w:tr2bl w:val="nil"/>
            </w:tcBorders>
            <w:vAlign w:val="center"/>
          </w:tcPr>
          <w:p w14:paraId="08C8A096">
            <w:pPr>
              <w:pStyle w:val="41"/>
              <w:rPr>
                <w:color w:val="auto"/>
                <w:highlight w:val="none"/>
              </w:rPr>
            </w:pPr>
            <w:r>
              <w:rPr>
                <w:color w:val="auto"/>
                <w:highlight w:val="none"/>
              </w:rPr>
              <w:t>7.89</w:t>
            </w:r>
          </w:p>
        </w:tc>
      </w:tr>
      <w:tr w14:paraId="13914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13EDED87">
            <w:pPr>
              <w:pStyle w:val="41"/>
              <w:rPr>
                <w:color w:val="auto"/>
                <w:highlight w:val="none"/>
              </w:rPr>
            </w:pPr>
            <w:r>
              <w:rPr>
                <w:color w:val="auto"/>
                <w:highlight w:val="none"/>
              </w:rPr>
              <w:t>TC-15#-1</w:t>
            </w:r>
          </w:p>
        </w:tc>
        <w:tc>
          <w:tcPr>
            <w:tcW w:w="460" w:type="pct"/>
            <w:tcBorders>
              <w:tl2br w:val="nil"/>
              <w:tr2bl w:val="nil"/>
            </w:tcBorders>
            <w:vAlign w:val="center"/>
          </w:tcPr>
          <w:p w14:paraId="29BE0679">
            <w:pPr>
              <w:pStyle w:val="41"/>
              <w:rPr>
                <w:color w:val="auto"/>
                <w:highlight w:val="none"/>
              </w:rPr>
            </w:pPr>
            <w:r>
              <w:rPr>
                <w:color w:val="auto"/>
                <w:highlight w:val="none"/>
              </w:rPr>
              <w:t>45</w:t>
            </w:r>
          </w:p>
        </w:tc>
        <w:tc>
          <w:tcPr>
            <w:tcW w:w="364" w:type="pct"/>
            <w:tcBorders>
              <w:tl2br w:val="nil"/>
              <w:tr2bl w:val="nil"/>
            </w:tcBorders>
            <w:vAlign w:val="center"/>
          </w:tcPr>
          <w:p w14:paraId="7A0B0CCC">
            <w:pPr>
              <w:pStyle w:val="41"/>
              <w:rPr>
                <w:color w:val="auto"/>
                <w:highlight w:val="none"/>
              </w:rPr>
            </w:pPr>
            <w:r>
              <w:rPr>
                <w:color w:val="auto"/>
                <w:highlight w:val="none"/>
              </w:rPr>
              <w:t>0.158</w:t>
            </w:r>
          </w:p>
        </w:tc>
        <w:tc>
          <w:tcPr>
            <w:tcW w:w="427" w:type="pct"/>
            <w:tcBorders>
              <w:tl2br w:val="nil"/>
              <w:tr2bl w:val="nil"/>
            </w:tcBorders>
            <w:vAlign w:val="center"/>
          </w:tcPr>
          <w:p w14:paraId="14F6DAD5">
            <w:pPr>
              <w:pStyle w:val="41"/>
              <w:rPr>
                <w:color w:val="auto"/>
                <w:highlight w:val="none"/>
              </w:rPr>
            </w:pPr>
            <w:r>
              <w:rPr>
                <w:color w:val="auto"/>
                <w:highlight w:val="none"/>
              </w:rPr>
              <w:t>3.2</w:t>
            </w:r>
          </w:p>
        </w:tc>
        <w:tc>
          <w:tcPr>
            <w:tcW w:w="427" w:type="pct"/>
            <w:tcBorders>
              <w:tl2br w:val="nil"/>
              <w:tr2bl w:val="nil"/>
            </w:tcBorders>
            <w:vAlign w:val="center"/>
          </w:tcPr>
          <w:p w14:paraId="5D35E66F">
            <w:pPr>
              <w:pStyle w:val="41"/>
              <w:rPr>
                <w:color w:val="auto"/>
                <w:highlight w:val="none"/>
              </w:rPr>
            </w:pPr>
            <w:r>
              <w:rPr>
                <w:color w:val="auto"/>
                <w:highlight w:val="none"/>
              </w:rPr>
              <w:t>16</w:t>
            </w:r>
          </w:p>
        </w:tc>
        <w:tc>
          <w:tcPr>
            <w:tcW w:w="427" w:type="pct"/>
            <w:tcBorders>
              <w:tl2br w:val="nil"/>
              <w:tr2bl w:val="nil"/>
            </w:tcBorders>
            <w:vAlign w:val="center"/>
          </w:tcPr>
          <w:p w14:paraId="77D60DFB">
            <w:pPr>
              <w:pStyle w:val="41"/>
              <w:rPr>
                <w:color w:val="auto"/>
                <w:highlight w:val="none"/>
              </w:rPr>
            </w:pPr>
            <w:r>
              <w:rPr>
                <w:color w:val="auto"/>
                <w:highlight w:val="none"/>
              </w:rPr>
              <w:t>未检出</w:t>
            </w:r>
          </w:p>
        </w:tc>
        <w:tc>
          <w:tcPr>
            <w:tcW w:w="427" w:type="pct"/>
            <w:tcBorders>
              <w:tl2br w:val="nil"/>
              <w:tr2bl w:val="nil"/>
            </w:tcBorders>
            <w:vAlign w:val="center"/>
          </w:tcPr>
          <w:p w14:paraId="69E35855">
            <w:pPr>
              <w:pStyle w:val="41"/>
              <w:rPr>
                <w:color w:val="auto"/>
                <w:highlight w:val="none"/>
              </w:rPr>
            </w:pPr>
            <w:r>
              <w:rPr>
                <w:color w:val="auto"/>
                <w:highlight w:val="none"/>
              </w:rPr>
              <w:t>未检出</w:t>
            </w:r>
          </w:p>
        </w:tc>
        <w:tc>
          <w:tcPr>
            <w:tcW w:w="364" w:type="pct"/>
            <w:tcBorders>
              <w:tl2br w:val="nil"/>
              <w:tr2bl w:val="nil"/>
            </w:tcBorders>
            <w:vAlign w:val="center"/>
          </w:tcPr>
          <w:p w14:paraId="51C0A259">
            <w:pPr>
              <w:pStyle w:val="41"/>
              <w:rPr>
                <w:color w:val="auto"/>
                <w:highlight w:val="none"/>
              </w:rPr>
            </w:pPr>
            <w:r>
              <w:rPr>
                <w:color w:val="auto"/>
                <w:highlight w:val="none"/>
              </w:rPr>
              <w:t>6.9</w:t>
            </w:r>
          </w:p>
        </w:tc>
        <w:tc>
          <w:tcPr>
            <w:tcW w:w="364" w:type="pct"/>
            <w:tcBorders>
              <w:tl2br w:val="nil"/>
              <w:tr2bl w:val="nil"/>
            </w:tcBorders>
            <w:vAlign w:val="center"/>
          </w:tcPr>
          <w:p w14:paraId="662118A1">
            <w:pPr>
              <w:pStyle w:val="41"/>
              <w:rPr>
                <w:color w:val="auto"/>
                <w:highlight w:val="none"/>
              </w:rPr>
            </w:pPr>
            <w:r>
              <w:rPr>
                <w:color w:val="auto"/>
                <w:highlight w:val="none"/>
              </w:rPr>
              <w:t>13</w:t>
            </w:r>
          </w:p>
        </w:tc>
        <w:tc>
          <w:tcPr>
            <w:tcW w:w="248" w:type="pct"/>
            <w:tcBorders>
              <w:tl2br w:val="nil"/>
              <w:tr2bl w:val="nil"/>
            </w:tcBorders>
            <w:vAlign w:val="center"/>
          </w:tcPr>
          <w:p w14:paraId="1EBAD2B3">
            <w:pPr>
              <w:pStyle w:val="41"/>
              <w:rPr>
                <w:color w:val="auto"/>
                <w:highlight w:val="none"/>
              </w:rPr>
            </w:pPr>
            <w:r>
              <w:rPr>
                <w:color w:val="auto"/>
                <w:highlight w:val="none"/>
              </w:rPr>
              <w:t>0.05</w:t>
            </w:r>
          </w:p>
        </w:tc>
        <w:tc>
          <w:tcPr>
            <w:tcW w:w="431" w:type="pct"/>
            <w:tcBorders>
              <w:tl2br w:val="nil"/>
              <w:tr2bl w:val="nil"/>
            </w:tcBorders>
            <w:vAlign w:val="center"/>
          </w:tcPr>
          <w:p w14:paraId="0031DA53">
            <w:pPr>
              <w:pStyle w:val="41"/>
              <w:rPr>
                <w:color w:val="auto"/>
                <w:highlight w:val="none"/>
              </w:rPr>
            </w:pPr>
            <w:r>
              <w:rPr>
                <w:color w:val="auto"/>
                <w:highlight w:val="none"/>
              </w:rPr>
              <w:t>7.74</w:t>
            </w:r>
          </w:p>
        </w:tc>
      </w:tr>
      <w:tr w14:paraId="743131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4727AED6">
            <w:pPr>
              <w:pStyle w:val="41"/>
              <w:rPr>
                <w:color w:val="auto"/>
                <w:highlight w:val="none"/>
              </w:rPr>
            </w:pPr>
            <w:r>
              <w:rPr>
                <w:color w:val="auto"/>
                <w:highlight w:val="none"/>
              </w:rPr>
              <w:t>TC-15#-1-1</w:t>
            </w:r>
          </w:p>
        </w:tc>
        <w:tc>
          <w:tcPr>
            <w:tcW w:w="460" w:type="pct"/>
            <w:tcBorders>
              <w:tl2br w:val="nil"/>
              <w:tr2bl w:val="nil"/>
            </w:tcBorders>
            <w:vAlign w:val="center"/>
          </w:tcPr>
          <w:p w14:paraId="586B2F0C">
            <w:pPr>
              <w:pStyle w:val="41"/>
              <w:rPr>
                <w:color w:val="auto"/>
                <w:highlight w:val="none"/>
              </w:rPr>
            </w:pPr>
            <w:r>
              <w:rPr>
                <w:color w:val="auto"/>
                <w:highlight w:val="none"/>
              </w:rPr>
              <w:t>92</w:t>
            </w:r>
          </w:p>
        </w:tc>
        <w:tc>
          <w:tcPr>
            <w:tcW w:w="364" w:type="pct"/>
            <w:tcBorders>
              <w:tl2br w:val="nil"/>
              <w:tr2bl w:val="nil"/>
            </w:tcBorders>
            <w:vAlign w:val="center"/>
          </w:tcPr>
          <w:p w14:paraId="22F8D393">
            <w:pPr>
              <w:pStyle w:val="41"/>
              <w:rPr>
                <w:color w:val="auto"/>
                <w:highlight w:val="none"/>
              </w:rPr>
            </w:pPr>
            <w:r>
              <w:rPr>
                <w:color w:val="auto"/>
                <w:highlight w:val="none"/>
              </w:rPr>
              <w:t>0.117</w:t>
            </w:r>
          </w:p>
        </w:tc>
        <w:tc>
          <w:tcPr>
            <w:tcW w:w="427" w:type="pct"/>
            <w:tcBorders>
              <w:tl2br w:val="nil"/>
              <w:tr2bl w:val="nil"/>
            </w:tcBorders>
            <w:vAlign w:val="center"/>
          </w:tcPr>
          <w:p w14:paraId="3ED97DAD">
            <w:pPr>
              <w:pStyle w:val="41"/>
              <w:rPr>
                <w:color w:val="auto"/>
                <w:highlight w:val="none"/>
              </w:rPr>
            </w:pPr>
            <w:r>
              <w:rPr>
                <w:color w:val="auto"/>
                <w:highlight w:val="none"/>
              </w:rPr>
              <w:t>1.7</w:t>
            </w:r>
          </w:p>
        </w:tc>
        <w:tc>
          <w:tcPr>
            <w:tcW w:w="427" w:type="pct"/>
            <w:tcBorders>
              <w:tl2br w:val="nil"/>
              <w:tr2bl w:val="nil"/>
            </w:tcBorders>
            <w:vAlign w:val="center"/>
          </w:tcPr>
          <w:p w14:paraId="38B7366E">
            <w:pPr>
              <w:pStyle w:val="41"/>
              <w:rPr>
                <w:color w:val="auto"/>
                <w:highlight w:val="none"/>
              </w:rPr>
            </w:pPr>
            <w:r>
              <w:rPr>
                <w:color w:val="auto"/>
                <w:highlight w:val="none"/>
              </w:rPr>
              <w:t>15</w:t>
            </w:r>
          </w:p>
        </w:tc>
        <w:tc>
          <w:tcPr>
            <w:tcW w:w="427" w:type="pct"/>
            <w:tcBorders>
              <w:tl2br w:val="nil"/>
              <w:tr2bl w:val="nil"/>
            </w:tcBorders>
            <w:vAlign w:val="center"/>
          </w:tcPr>
          <w:p w14:paraId="67AFF8F8">
            <w:pPr>
              <w:pStyle w:val="41"/>
              <w:rPr>
                <w:color w:val="auto"/>
                <w:highlight w:val="none"/>
              </w:rPr>
            </w:pPr>
            <w:r>
              <w:rPr>
                <w:color w:val="auto"/>
                <w:highlight w:val="none"/>
              </w:rPr>
              <w:t>未检出</w:t>
            </w:r>
          </w:p>
        </w:tc>
        <w:tc>
          <w:tcPr>
            <w:tcW w:w="427" w:type="pct"/>
            <w:tcBorders>
              <w:tl2br w:val="nil"/>
              <w:tr2bl w:val="nil"/>
            </w:tcBorders>
            <w:vAlign w:val="center"/>
          </w:tcPr>
          <w:p w14:paraId="64EF2838">
            <w:pPr>
              <w:pStyle w:val="41"/>
              <w:rPr>
                <w:color w:val="auto"/>
                <w:highlight w:val="none"/>
              </w:rPr>
            </w:pPr>
            <w:r>
              <w:rPr>
                <w:color w:val="auto"/>
                <w:highlight w:val="none"/>
              </w:rPr>
              <w:t>未检出</w:t>
            </w:r>
          </w:p>
        </w:tc>
        <w:tc>
          <w:tcPr>
            <w:tcW w:w="364" w:type="pct"/>
            <w:tcBorders>
              <w:tl2br w:val="nil"/>
              <w:tr2bl w:val="nil"/>
            </w:tcBorders>
            <w:vAlign w:val="center"/>
          </w:tcPr>
          <w:p w14:paraId="45E6DC49">
            <w:pPr>
              <w:pStyle w:val="41"/>
              <w:rPr>
                <w:color w:val="auto"/>
                <w:highlight w:val="none"/>
              </w:rPr>
            </w:pPr>
            <w:r>
              <w:rPr>
                <w:color w:val="auto"/>
                <w:highlight w:val="none"/>
              </w:rPr>
              <w:t>6.7</w:t>
            </w:r>
          </w:p>
        </w:tc>
        <w:tc>
          <w:tcPr>
            <w:tcW w:w="364" w:type="pct"/>
            <w:tcBorders>
              <w:tl2br w:val="nil"/>
              <w:tr2bl w:val="nil"/>
            </w:tcBorders>
            <w:vAlign w:val="center"/>
          </w:tcPr>
          <w:p w14:paraId="449DC498">
            <w:pPr>
              <w:pStyle w:val="41"/>
              <w:rPr>
                <w:color w:val="auto"/>
                <w:highlight w:val="none"/>
              </w:rPr>
            </w:pPr>
            <w:r>
              <w:rPr>
                <w:color w:val="auto"/>
                <w:highlight w:val="none"/>
              </w:rPr>
              <w:t>12</w:t>
            </w:r>
          </w:p>
        </w:tc>
        <w:tc>
          <w:tcPr>
            <w:tcW w:w="248" w:type="pct"/>
            <w:tcBorders>
              <w:tl2br w:val="nil"/>
              <w:tr2bl w:val="nil"/>
            </w:tcBorders>
            <w:vAlign w:val="center"/>
          </w:tcPr>
          <w:p w14:paraId="738BE085">
            <w:pPr>
              <w:pStyle w:val="41"/>
              <w:rPr>
                <w:color w:val="auto"/>
                <w:highlight w:val="none"/>
              </w:rPr>
            </w:pPr>
            <w:r>
              <w:rPr>
                <w:color w:val="auto"/>
                <w:highlight w:val="none"/>
              </w:rPr>
              <w:t>0.05</w:t>
            </w:r>
          </w:p>
        </w:tc>
        <w:tc>
          <w:tcPr>
            <w:tcW w:w="431" w:type="pct"/>
            <w:tcBorders>
              <w:tl2br w:val="nil"/>
              <w:tr2bl w:val="nil"/>
            </w:tcBorders>
            <w:vAlign w:val="center"/>
          </w:tcPr>
          <w:p w14:paraId="58313E55">
            <w:pPr>
              <w:pStyle w:val="41"/>
              <w:rPr>
                <w:color w:val="auto"/>
                <w:highlight w:val="none"/>
              </w:rPr>
            </w:pPr>
            <w:r>
              <w:rPr>
                <w:color w:val="auto"/>
                <w:highlight w:val="none"/>
              </w:rPr>
              <w:t>7.81</w:t>
            </w:r>
          </w:p>
        </w:tc>
      </w:tr>
      <w:tr w14:paraId="67600E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1E57EBCA">
            <w:pPr>
              <w:pStyle w:val="41"/>
              <w:rPr>
                <w:color w:val="auto"/>
                <w:highlight w:val="none"/>
              </w:rPr>
            </w:pPr>
            <w:r>
              <w:rPr>
                <w:color w:val="auto"/>
                <w:highlight w:val="none"/>
              </w:rPr>
              <w:t>TC-15#-1-1-1</w:t>
            </w:r>
          </w:p>
        </w:tc>
        <w:tc>
          <w:tcPr>
            <w:tcW w:w="460" w:type="pct"/>
            <w:tcBorders>
              <w:tl2br w:val="nil"/>
              <w:tr2bl w:val="nil"/>
            </w:tcBorders>
            <w:vAlign w:val="center"/>
          </w:tcPr>
          <w:p w14:paraId="2DFD6A71">
            <w:pPr>
              <w:pStyle w:val="41"/>
              <w:rPr>
                <w:color w:val="auto"/>
                <w:highlight w:val="none"/>
              </w:rPr>
            </w:pPr>
            <w:r>
              <w:rPr>
                <w:color w:val="auto"/>
                <w:highlight w:val="none"/>
              </w:rPr>
              <w:t>193</w:t>
            </w:r>
          </w:p>
        </w:tc>
        <w:tc>
          <w:tcPr>
            <w:tcW w:w="364" w:type="pct"/>
            <w:tcBorders>
              <w:tl2br w:val="nil"/>
              <w:tr2bl w:val="nil"/>
            </w:tcBorders>
            <w:vAlign w:val="center"/>
          </w:tcPr>
          <w:p w14:paraId="6DE94485">
            <w:pPr>
              <w:pStyle w:val="41"/>
              <w:rPr>
                <w:color w:val="auto"/>
                <w:highlight w:val="none"/>
              </w:rPr>
            </w:pPr>
            <w:r>
              <w:rPr>
                <w:color w:val="auto"/>
                <w:highlight w:val="none"/>
              </w:rPr>
              <w:t>0.118</w:t>
            </w:r>
          </w:p>
        </w:tc>
        <w:tc>
          <w:tcPr>
            <w:tcW w:w="427" w:type="pct"/>
            <w:tcBorders>
              <w:tl2br w:val="nil"/>
              <w:tr2bl w:val="nil"/>
            </w:tcBorders>
            <w:vAlign w:val="center"/>
          </w:tcPr>
          <w:p w14:paraId="28F6897F">
            <w:pPr>
              <w:pStyle w:val="41"/>
              <w:rPr>
                <w:color w:val="auto"/>
                <w:highlight w:val="none"/>
              </w:rPr>
            </w:pPr>
            <w:r>
              <w:rPr>
                <w:color w:val="auto"/>
                <w:highlight w:val="none"/>
              </w:rPr>
              <w:t>3.9</w:t>
            </w:r>
          </w:p>
        </w:tc>
        <w:tc>
          <w:tcPr>
            <w:tcW w:w="427" w:type="pct"/>
            <w:tcBorders>
              <w:tl2br w:val="nil"/>
              <w:tr2bl w:val="nil"/>
            </w:tcBorders>
            <w:vAlign w:val="center"/>
          </w:tcPr>
          <w:p w14:paraId="15058543">
            <w:pPr>
              <w:pStyle w:val="41"/>
              <w:rPr>
                <w:color w:val="auto"/>
                <w:highlight w:val="none"/>
              </w:rPr>
            </w:pPr>
            <w:r>
              <w:rPr>
                <w:color w:val="auto"/>
                <w:highlight w:val="none"/>
              </w:rPr>
              <w:t>15</w:t>
            </w:r>
          </w:p>
        </w:tc>
        <w:tc>
          <w:tcPr>
            <w:tcW w:w="427" w:type="pct"/>
            <w:tcBorders>
              <w:tl2br w:val="nil"/>
              <w:tr2bl w:val="nil"/>
            </w:tcBorders>
            <w:vAlign w:val="center"/>
          </w:tcPr>
          <w:p w14:paraId="0FD610B1">
            <w:pPr>
              <w:pStyle w:val="41"/>
              <w:rPr>
                <w:color w:val="auto"/>
                <w:highlight w:val="none"/>
              </w:rPr>
            </w:pPr>
            <w:r>
              <w:rPr>
                <w:color w:val="auto"/>
                <w:highlight w:val="none"/>
              </w:rPr>
              <w:t>未检出</w:t>
            </w:r>
          </w:p>
        </w:tc>
        <w:tc>
          <w:tcPr>
            <w:tcW w:w="427" w:type="pct"/>
            <w:tcBorders>
              <w:tl2br w:val="nil"/>
              <w:tr2bl w:val="nil"/>
            </w:tcBorders>
            <w:vAlign w:val="center"/>
          </w:tcPr>
          <w:p w14:paraId="224B165E">
            <w:pPr>
              <w:pStyle w:val="41"/>
              <w:rPr>
                <w:color w:val="auto"/>
                <w:highlight w:val="none"/>
              </w:rPr>
            </w:pPr>
            <w:r>
              <w:rPr>
                <w:color w:val="auto"/>
                <w:highlight w:val="none"/>
              </w:rPr>
              <w:t>未检出</w:t>
            </w:r>
          </w:p>
        </w:tc>
        <w:tc>
          <w:tcPr>
            <w:tcW w:w="364" w:type="pct"/>
            <w:tcBorders>
              <w:tl2br w:val="nil"/>
              <w:tr2bl w:val="nil"/>
            </w:tcBorders>
            <w:vAlign w:val="center"/>
          </w:tcPr>
          <w:p w14:paraId="35A5D33D">
            <w:pPr>
              <w:pStyle w:val="41"/>
              <w:rPr>
                <w:color w:val="auto"/>
                <w:highlight w:val="none"/>
              </w:rPr>
            </w:pPr>
            <w:r>
              <w:rPr>
                <w:color w:val="auto"/>
                <w:highlight w:val="none"/>
              </w:rPr>
              <w:t>7.2</w:t>
            </w:r>
          </w:p>
        </w:tc>
        <w:tc>
          <w:tcPr>
            <w:tcW w:w="364" w:type="pct"/>
            <w:tcBorders>
              <w:tl2br w:val="nil"/>
              <w:tr2bl w:val="nil"/>
            </w:tcBorders>
            <w:vAlign w:val="center"/>
          </w:tcPr>
          <w:p w14:paraId="35A5A2C1">
            <w:pPr>
              <w:pStyle w:val="41"/>
              <w:rPr>
                <w:color w:val="auto"/>
                <w:highlight w:val="none"/>
              </w:rPr>
            </w:pPr>
            <w:r>
              <w:rPr>
                <w:color w:val="auto"/>
                <w:highlight w:val="none"/>
              </w:rPr>
              <w:t>12</w:t>
            </w:r>
          </w:p>
        </w:tc>
        <w:tc>
          <w:tcPr>
            <w:tcW w:w="248" w:type="pct"/>
            <w:tcBorders>
              <w:tl2br w:val="nil"/>
              <w:tr2bl w:val="nil"/>
            </w:tcBorders>
            <w:vAlign w:val="center"/>
          </w:tcPr>
          <w:p w14:paraId="2E61868E">
            <w:pPr>
              <w:pStyle w:val="41"/>
              <w:rPr>
                <w:color w:val="auto"/>
                <w:highlight w:val="none"/>
              </w:rPr>
            </w:pPr>
            <w:r>
              <w:rPr>
                <w:color w:val="auto"/>
                <w:highlight w:val="none"/>
              </w:rPr>
              <w:t>0.04</w:t>
            </w:r>
          </w:p>
        </w:tc>
        <w:tc>
          <w:tcPr>
            <w:tcW w:w="431" w:type="pct"/>
            <w:tcBorders>
              <w:tl2br w:val="nil"/>
              <w:tr2bl w:val="nil"/>
            </w:tcBorders>
            <w:vAlign w:val="center"/>
          </w:tcPr>
          <w:p w14:paraId="6E73B127">
            <w:pPr>
              <w:pStyle w:val="41"/>
              <w:rPr>
                <w:color w:val="auto"/>
                <w:highlight w:val="none"/>
              </w:rPr>
            </w:pPr>
            <w:r>
              <w:rPr>
                <w:color w:val="auto"/>
                <w:highlight w:val="none"/>
              </w:rPr>
              <w:t>7.91</w:t>
            </w:r>
          </w:p>
        </w:tc>
      </w:tr>
      <w:tr w14:paraId="5343CC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6B19C6C7">
            <w:pPr>
              <w:pStyle w:val="41"/>
              <w:rPr>
                <w:color w:val="auto"/>
                <w:highlight w:val="none"/>
              </w:rPr>
            </w:pPr>
            <w:r>
              <w:rPr>
                <w:color w:val="auto"/>
                <w:highlight w:val="none"/>
              </w:rPr>
              <w:t>TC-16#-1</w:t>
            </w:r>
          </w:p>
        </w:tc>
        <w:tc>
          <w:tcPr>
            <w:tcW w:w="460" w:type="pct"/>
            <w:tcBorders>
              <w:tl2br w:val="nil"/>
              <w:tr2bl w:val="nil"/>
            </w:tcBorders>
            <w:vAlign w:val="center"/>
          </w:tcPr>
          <w:p w14:paraId="56EB9E8D">
            <w:pPr>
              <w:pStyle w:val="41"/>
              <w:rPr>
                <w:color w:val="auto"/>
                <w:highlight w:val="none"/>
              </w:rPr>
            </w:pPr>
            <w:r>
              <w:rPr>
                <w:color w:val="auto"/>
                <w:highlight w:val="none"/>
              </w:rPr>
              <w:t>49</w:t>
            </w:r>
          </w:p>
        </w:tc>
        <w:tc>
          <w:tcPr>
            <w:tcW w:w="364" w:type="pct"/>
            <w:tcBorders>
              <w:tl2br w:val="nil"/>
              <w:tr2bl w:val="nil"/>
            </w:tcBorders>
            <w:vAlign w:val="center"/>
          </w:tcPr>
          <w:p w14:paraId="282E748B">
            <w:pPr>
              <w:pStyle w:val="41"/>
              <w:rPr>
                <w:color w:val="auto"/>
                <w:highlight w:val="none"/>
              </w:rPr>
            </w:pPr>
            <w:r>
              <w:rPr>
                <w:color w:val="auto"/>
                <w:highlight w:val="none"/>
              </w:rPr>
              <w:t>0.156</w:t>
            </w:r>
          </w:p>
        </w:tc>
        <w:tc>
          <w:tcPr>
            <w:tcW w:w="427" w:type="pct"/>
            <w:tcBorders>
              <w:tl2br w:val="nil"/>
              <w:tr2bl w:val="nil"/>
            </w:tcBorders>
            <w:vAlign w:val="center"/>
          </w:tcPr>
          <w:p w14:paraId="1939D2DD">
            <w:pPr>
              <w:pStyle w:val="41"/>
              <w:rPr>
                <w:color w:val="auto"/>
                <w:highlight w:val="none"/>
              </w:rPr>
            </w:pPr>
            <w:r>
              <w:rPr>
                <w:color w:val="auto"/>
                <w:highlight w:val="none"/>
              </w:rPr>
              <w:t>3.0</w:t>
            </w:r>
          </w:p>
        </w:tc>
        <w:tc>
          <w:tcPr>
            <w:tcW w:w="427" w:type="pct"/>
            <w:tcBorders>
              <w:tl2br w:val="nil"/>
              <w:tr2bl w:val="nil"/>
            </w:tcBorders>
            <w:vAlign w:val="center"/>
          </w:tcPr>
          <w:p w14:paraId="5A5B1E02">
            <w:pPr>
              <w:pStyle w:val="41"/>
              <w:rPr>
                <w:color w:val="auto"/>
                <w:highlight w:val="none"/>
              </w:rPr>
            </w:pPr>
            <w:r>
              <w:rPr>
                <w:color w:val="auto"/>
                <w:highlight w:val="none"/>
              </w:rPr>
              <w:t>16</w:t>
            </w:r>
          </w:p>
        </w:tc>
        <w:tc>
          <w:tcPr>
            <w:tcW w:w="427" w:type="pct"/>
            <w:tcBorders>
              <w:tl2br w:val="nil"/>
              <w:tr2bl w:val="nil"/>
            </w:tcBorders>
            <w:vAlign w:val="center"/>
          </w:tcPr>
          <w:p w14:paraId="749B15A1">
            <w:pPr>
              <w:pStyle w:val="41"/>
              <w:rPr>
                <w:color w:val="auto"/>
                <w:highlight w:val="none"/>
              </w:rPr>
            </w:pPr>
            <w:r>
              <w:rPr>
                <w:color w:val="auto"/>
                <w:highlight w:val="none"/>
              </w:rPr>
              <w:t>未检出</w:t>
            </w:r>
          </w:p>
        </w:tc>
        <w:tc>
          <w:tcPr>
            <w:tcW w:w="427" w:type="pct"/>
            <w:tcBorders>
              <w:tl2br w:val="nil"/>
              <w:tr2bl w:val="nil"/>
            </w:tcBorders>
            <w:vAlign w:val="center"/>
          </w:tcPr>
          <w:p w14:paraId="7C99B8B2">
            <w:pPr>
              <w:pStyle w:val="41"/>
              <w:rPr>
                <w:color w:val="auto"/>
                <w:highlight w:val="none"/>
              </w:rPr>
            </w:pPr>
            <w:r>
              <w:rPr>
                <w:color w:val="auto"/>
                <w:highlight w:val="none"/>
              </w:rPr>
              <w:t>未检出</w:t>
            </w:r>
          </w:p>
        </w:tc>
        <w:tc>
          <w:tcPr>
            <w:tcW w:w="364" w:type="pct"/>
            <w:tcBorders>
              <w:tl2br w:val="nil"/>
              <w:tr2bl w:val="nil"/>
            </w:tcBorders>
            <w:vAlign w:val="center"/>
          </w:tcPr>
          <w:p w14:paraId="304F8491">
            <w:pPr>
              <w:pStyle w:val="41"/>
              <w:rPr>
                <w:color w:val="auto"/>
                <w:highlight w:val="none"/>
              </w:rPr>
            </w:pPr>
            <w:r>
              <w:rPr>
                <w:color w:val="auto"/>
                <w:highlight w:val="none"/>
              </w:rPr>
              <w:t>7.7</w:t>
            </w:r>
          </w:p>
        </w:tc>
        <w:tc>
          <w:tcPr>
            <w:tcW w:w="364" w:type="pct"/>
            <w:tcBorders>
              <w:tl2br w:val="nil"/>
              <w:tr2bl w:val="nil"/>
            </w:tcBorders>
            <w:vAlign w:val="center"/>
          </w:tcPr>
          <w:p w14:paraId="759D8AE9">
            <w:pPr>
              <w:pStyle w:val="41"/>
              <w:rPr>
                <w:color w:val="auto"/>
                <w:highlight w:val="none"/>
              </w:rPr>
            </w:pPr>
            <w:r>
              <w:rPr>
                <w:color w:val="auto"/>
                <w:highlight w:val="none"/>
              </w:rPr>
              <w:t>12</w:t>
            </w:r>
          </w:p>
        </w:tc>
        <w:tc>
          <w:tcPr>
            <w:tcW w:w="248" w:type="pct"/>
            <w:tcBorders>
              <w:tl2br w:val="nil"/>
              <w:tr2bl w:val="nil"/>
            </w:tcBorders>
            <w:vAlign w:val="center"/>
          </w:tcPr>
          <w:p w14:paraId="37E6FD7D">
            <w:pPr>
              <w:pStyle w:val="41"/>
              <w:rPr>
                <w:color w:val="auto"/>
                <w:highlight w:val="none"/>
              </w:rPr>
            </w:pPr>
            <w:r>
              <w:rPr>
                <w:color w:val="auto"/>
                <w:highlight w:val="none"/>
              </w:rPr>
              <w:t>0.03</w:t>
            </w:r>
          </w:p>
        </w:tc>
        <w:tc>
          <w:tcPr>
            <w:tcW w:w="431" w:type="pct"/>
            <w:tcBorders>
              <w:tl2br w:val="nil"/>
              <w:tr2bl w:val="nil"/>
            </w:tcBorders>
            <w:vAlign w:val="center"/>
          </w:tcPr>
          <w:p w14:paraId="33976D2B">
            <w:pPr>
              <w:pStyle w:val="41"/>
              <w:rPr>
                <w:color w:val="auto"/>
                <w:highlight w:val="none"/>
              </w:rPr>
            </w:pPr>
            <w:r>
              <w:rPr>
                <w:color w:val="auto"/>
                <w:highlight w:val="none"/>
              </w:rPr>
              <w:t>7.88</w:t>
            </w:r>
          </w:p>
        </w:tc>
      </w:tr>
      <w:tr w14:paraId="2E7742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6B059E0D">
            <w:pPr>
              <w:pStyle w:val="41"/>
              <w:rPr>
                <w:color w:val="auto"/>
                <w:highlight w:val="none"/>
              </w:rPr>
            </w:pPr>
            <w:r>
              <w:rPr>
                <w:color w:val="auto"/>
                <w:highlight w:val="none"/>
              </w:rPr>
              <w:t>TC-16#-1-1</w:t>
            </w:r>
          </w:p>
        </w:tc>
        <w:tc>
          <w:tcPr>
            <w:tcW w:w="460" w:type="pct"/>
            <w:tcBorders>
              <w:tl2br w:val="nil"/>
              <w:tr2bl w:val="nil"/>
            </w:tcBorders>
            <w:vAlign w:val="center"/>
          </w:tcPr>
          <w:p w14:paraId="518D449E">
            <w:pPr>
              <w:pStyle w:val="41"/>
              <w:rPr>
                <w:color w:val="auto"/>
                <w:highlight w:val="none"/>
              </w:rPr>
            </w:pPr>
            <w:r>
              <w:rPr>
                <w:color w:val="auto"/>
                <w:highlight w:val="none"/>
              </w:rPr>
              <w:t>89</w:t>
            </w:r>
          </w:p>
        </w:tc>
        <w:tc>
          <w:tcPr>
            <w:tcW w:w="364" w:type="pct"/>
            <w:tcBorders>
              <w:tl2br w:val="nil"/>
              <w:tr2bl w:val="nil"/>
            </w:tcBorders>
            <w:vAlign w:val="center"/>
          </w:tcPr>
          <w:p w14:paraId="338E50D1">
            <w:pPr>
              <w:pStyle w:val="41"/>
              <w:rPr>
                <w:color w:val="auto"/>
                <w:highlight w:val="none"/>
              </w:rPr>
            </w:pPr>
            <w:r>
              <w:rPr>
                <w:color w:val="auto"/>
                <w:highlight w:val="none"/>
              </w:rPr>
              <w:t>0.119</w:t>
            </w:r>
          </w:p>
        </w:tc>
        <w:tc>
          <w:tcPr>
            <w:tcW w:w="427" w:type="pct"/>
            <w:tcBorders>
              <w:tl2br w:val="nil"/>
              <w:tr2bl w:val="nil"/>
            </w:tcBorders>
            <w:vAlign w:val="center"/>
          </w:tcPr>
          <w:p w14:paraId="75BF3F95">
            <w:pPr>
              <w:pStyle w:val="41"/>
              <w:rPr>
                <w:color w:val="auto"/>
                <w:highlight w:val="none"/>
              </w:rPr>
            </w:pPr>
            <w:r>
              <w:rPr>
                <w:color w:val="auto"/>
                <w:highlight w:val="none"/>
              </w:rPr>
              <w:t>4.8</w:t>
            </w:r>
          </w:p>
        </w:tc>
        <w:tc>
          <w:tcPr>
            <w:tcW w:w="427" w:type="pct"/>
            <w:tcBorders>
              <w:tl2br w:val="nil"/>
              <w:tr2bl w:val="nil"/>
            </w:tcBorders>
            <w:vAlign w:val="center"/>
          </w:tcPr>
          <w:p w14:paraId="44F73948">
            <w:pPr>
              <w:pStyle w:val="41"/>
              <w:rPr>
                <w:color w:val="auto"/>
                <w:highlight w:val="none"/>
              </w:rPr>
            </w:pPr>
            <w:r>
              <w:rPr>
                <w:color w:val="auto"/>
                <w:highlight w:val="none"/>
              </w:rPr>
              <w:t>15</w:t>
            </w:r>
          </w:p>
        </w:tc>
        <w:tc>
          <w:tcPr>
            <w:tcW w:w="427" w:type="pct"/>
            <w:tcBorders>
              <w:tl2br w:val="nil"/>
              <w:tr2bl w:val="nil"/>
            </w:tcBorders>
            <w:vAlign w:val="center"/>
          </w:tcPr>
          <w:p w14:paraId="5B5D4643">
            <w:pPr>
              <w:pStyle w:val="41"/>
              <w:rPr>
                <w:color w:val="auto"/>
                <w:highlight w:val="none"/>
              </w:rPr>
            </w:pPr>
            <w:r>
              <w:rPr>
                <w:color w:val="auto"/>
                <w:highlight w:val="none"/>
              </w:rPr>
              <w:t>未检出</w:t>
            </w:r>
          </w:p>
        </w:tc>
        <w:tc>
          <w:tcPr>
            <w:tcW w:w="427" w:type="pct"/>
            <w:tcBorders>
              <w:tl2br w:val="nil"/>
              <w:tr2bl w:val="nil"/>
            </w:tcBorders>
            <w:vAlign w:val="center"/>
          </w:tcPr>
          <w:p w14:paraId="245D60A4">
            <w:pPr>
              <w:pStyle w:val="41"/>
              <w:rPr>
                <w:color w:val="auto"/>
                <w:highlight w:val="none"/>
              </w:rPr>
            </w:pPr>
            <w:r>
              <w:rPr>
                <w:color w:val="auto"/>
                <w:highlight w:val="none"/>
              </w:rPr>
              <w:t>未检出</w:t>
            </w:r>
          </w:p>
        </w:tc>
        <w:tc>
          <w:tcPr>
            <w:tcW w:w="364" w:type="pct"/>
            <w:tcBorders>
              <w:tl2br w:val="nil"/>
              <w:tr2bl w:val="nil"/>
            </w:tcBorders>
            <w:vAlign w:val="center"/>
          </w:tcPr>
          <w:p w14:paraId="2D51476D">
            <w:pPr>
              <w:pStyle w:val="41"/>
              <w:rPr>
                <w:color w:val="auto"/>
                <w:highlight w:val="none"/>
              </w:rPr>
            </w:pPr>
            <w:r>
              <w:rPr>
                <w:color w:val="auto"/>
                <w:highlight w:val="none"/>
              </w:rPr>
              <w:t>7.5</w:t>
            </w:r>
          </w:p>
        </w:tc>
        <w:tc>
          <w:tcPr>
            <w:tcW w:w="364" w:type="pct"/>
            <w:tcBorders>
              <w:tl2br w:val="nil"/>
              <w:tr2bl w:val="nil"/>
            </w:tcBorders>
            <w:vAlign w:val="center"/>
          </w:tcPr>
          <w:p w14:paraId="222DDDE4">
            <w:pPr>
              <w:pStyle w:val="41"/>
              <w:rPr>
                <w:color w:val="auto"/>
                <w:highlight w:val="none"/>
              </w:rPr>
            </w:pPr>
            <w:r>
              <w:rPr>
                <w:color w:val="auto"/>
                <w:highlight w:val="none"/>
              </w:rPr>
              <w:t>13</w:t>
            </w:r>
          </w:p>
        </w:tc>
        <w:tc>
          <w:tcPr>
            <w:tcW w:w="248" w:type="pct"/>
            <w:tcBorders>
              <w:tl2br w:val="nil"/>
              <w:tr2bl w:val="nil"/>
            </w:tcBorders>
            <w:vAlign w:val="center"/>
          </w:tcPr>
          <w:p w14:paraId="54A63DA2">
            <w:pPr>
              <w:pStyle w:val="41"/>
              <w:rPr>
                <w:color w:val="auto"/>
                <w:highlight w:val="none"/>
              </w:rPr>
            </w:pPr>
            <w:r>
              <w:rPr>
                <w:color w:val="auto"/>
                <w:highlight w:val="none"/>
              </w:rPr>
              <w:t>0.04</w:t>
            </w:r>
          </w:p>
        </w:tc>
        <w:tc>
          <w:tcPr>
            <w:tcW w:w="431" w:type="pct"/>
            <w:tcBorders>
              <w:tl2br w:val="nil"/>
              <w:tr2bl w:val="nil"/>
            </w:tcBorders>
            <w:vAlign w:val="center"/>
          </w:tcPr>
          <w:p w14:paraId="08974679">
            <w:pPr>
              <w:pStyle w:val="41"/>
              <w:rPr>
                <w:color w:val="auto"/>
                <w:highlight w:val="none"/>
              </w:rPr>
            </w:pPr>
            <w:r>
              <w:rPr>
                <w:color w:val="auto"/>
                <w:highlight w:val="none"/>
              </w:rPr>
              <w:t>7.91</w:t>
            </w:r>
          </w:p>
        </w:tc>
      </w:tr>
      <w:tr w14:paraId="2DA81C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30404C8D">
            <w:pPr>
              <w:pStyle w:val="41"/>
              <w:rPr>
                <w:color w:val="auto"/>
                <w:highlight w:val="none"/>
              </w:rPr>
            </w:pPr>
            <w:r>
              <w:rPr>
                <w:color w:val="auto"/>
                <w:highlight w:val="none"/>
              </w:rPr>
              <w:t>TC-16#-1-1-1</w:t>
            </w:r>
          </w:p>
        </w:tc>
        <w:tc>
          <w:tcPr>
            <w:tcW w:w="460" w:type="pct"/>
            <w:tcBorders>
              <w:tl2br w:val="nil"/>
              <w:tr2bl w:val="nil"/>
            </w:tcBorders>
            <w:vAlign w:val="center"/>
          </w:tcPr>
          <w:p w14:paraId="2DC57B57">
            <w:pPr>
              <w:pStyle w:val="41"/>
              <w:rPr>
                <w:color w:val="auto"/>
                <w:highlight w:val="none"/>
              </w:rPr>
            </w:pPr>
            <w:r>
              <w:rPr>
                <w:color w:val="auto"/>
                <w:highlight w:val="none"/>
              </w:rPr>
              <w:t>181</w:t>
            </w:r>
          </w:p>
        </w:tc>
        <w:tc>
          <w:tcPr>
            <w:tcW w:w="364" w:type="pct"/>
            <w:tcBorders>
              <w:tl2br w:val="nil"/>
              <w:tr2bl w:val="nil"/>
            </w:tcBorders>
            <w:vAlign w:val="center"/>
          </w:tcPr>
          <w:p w14:paraId="0C198257">
            <w:pPr>
              <w:pStyle w:val="41"/>
              <w:rPr>
                <w:color w:val="auto"/>
                <w:highlight w:val="none"/>
              </w:rPr>
            </w:pPr>
            <w:r>
              <w:rPr>
                <w:color w:val="auto"/>
                <w:highlight w:val="none"/>
              </w:rPr>
              <w:t>0.157</w:t>
            </w:r>
          </w:p>
        </w:tc>
        <w:tc>
          <w:tcPr>
            <w:tcW w:w="427" w:type="pct"/>
            <w:tcBorders>
              <w:tl2br w:val="nil"/>
              <w:tr2bl w:val="nil"/>
            </w:tcBorders>
            <w:vAlign w:val="center"/>
          </w:tcPr>
          <w:p w14:paraId="49A9ECE4">
            <w:pPr>
              <w:pStyle w:val="41"/>
              <w:rPr>
                <w:color w:val="auto"/>
                <w:highlight w:val="none"/>
              </w:rPr>
            </w:pPr>
            <w:r>
              <w:rPr>
                <w:color w:val="auto"/>
                <w:highlight w:val="none"/>
              </w:rPr>
              <w:t>3.4</w:t>
            </w:r>
          </w:p>
        </w:tc>
        <w:tc>
          <w:tcPr>
            <w:tcW w:w="427" w:type="pct"/>
            <w:tcBorders>
              <w:tl2br w:val="nil"/>
              <w:tr2bl w:val="nil"/>
            </w:tcBorders>
            <w:vAlign w:val="center"/>
          </w:tcPr>
          <w:p w14:paraId="16F1C3E4">
            <w:pPr>
              <w:pStyle w:val="41"/>
              <w:rPr>
                <w:color w:val="auto"/>
                <w:highlight w:val="none"/>
              </w:rPr>
            </w:pPr>
            <w:r>
              <w:rPr>
                <w:color w:val="auto"/>
                <w:highlight w:val="none"/>
              </w:rPr>
              <w:t>15</w:t>
            </w:r>
          </w:p>
        </w:tc>
        <w:tc>
          <w:tcPr>
            <w:tcW w:w="427" w:type="pct"/>
            <w:tcBorders>
              <w:tl2br w:val="nil"/>
              <w:tr2bl w:val="nil"/>
            </w:tcBorders>
            <w:vAlign w:val="center"/>
          </w:tcPr>
          <w:p w14:paraId="53F4CC3B">
            <w:pPr>
              <w:pStyle w:val="41"/>
              <w:rPr>
                <w:color w:val="auto"/>
                <w:highlight w:val="none"/>
              </w:rPr>
            </w:pPr>
            <w:r>
              <w:rPr>
                <w:color w:val="auto"/>
                <w:highlight w:val="none"/>
              </w:rPr>
              <w:t>未检出</w:t>
            </w:r>
          </w:p>
        </w:tc>
        <w:tc>
          <w:tcPr>
            <w:tcW w:w="427" w:type="pct"/>
            <w:tcBorders>
              <w:tl2br w:val="nil"/>
              <w:tr2bl w:val="nil"/>
            </w:tcBorders>
            <w:vAlign w:val="center"/>
          </w:tcPr>
          <w:p w14:paraId="714BDB6E">
            <w:pPr>
              <w:pStyle w:val="41"/>
              <w:rPr>
                <w:color w:val="auto"/>
                <w:highlight w:val="none"/>
              </w:rPr>
            </w:pPr>
            <w:r>
              <w:rPr>
                <w:color w:val="auto"/>
                <w:highlight w:val="none"/>
              </w:rPr>
              <w:t>未检出</w:t>
            </w:r>
          </w:p>
        </w:tc>
        <w:tc>
          <w:tcPr>
            <w:tcW w:w="364" w:type="pct"/>
            <w:tcBorders>
              <w:tl2br w:val="nil"/>
              <w:tr2bl w:val="nil"/>
            </w:tcBorders>
            <w:vAlign w:val="center"/>
          </w:tcPr>
          <w:p w14:paraId="062E0FAA">
            <w:pPr>
              <w:pStyle w:val="41"/>
              <w:rPr>
                <w:color w:val="auto"/>
                <w:highlight w:val="none"/>
              </w:rPr>
            </w:pPr>
            <w:r>
              <w:rPr>
                <w:color w:val="auto"/>
                <w:highlight w:val="none"/>
              </w:rPr>
              <w:t>7.3</w:t>
            </w:r>
          </w:p>
        </w:tc>
        <w:tc>
          <w:tcPr>
            <w:tcW w:w="364" w:type="pct"/>
            <w:tcBorders>
              <w:tl2br w:val="nil"/>
              <w:tr2bl w:val="nil"/>
            </w:tcBorders>
            <w:vAlign w:val="center"/>
          </w:tcPr>
          <w:p w14:paraId="301B943F">
            <w:pPr>
              <w:pStyle w:val="41"/>
              <w:rPr>
                <w:color w:val="auto"/>
                <w:highlight w:val="none"/>
              </w:rPr>
            </w:pPr>
            <w:r>
              <w:rPr>
                <w:color w:val="auto"/>
                <w:highlight w:val="none"/>
              </w:rPr>
              <w:t>12</w:t>
            </w:r>
          </w:p>
        </w:tc>
        <w:tc>
          <w:tcPr>
            <w:tcW w:w="248" w:type="pct"/>
            <w:tcBorders>
              <w:tl2br w:val="nil"/>
              <w:tr2bl w:val="nil"/>
            </w:tcBorders>
            <w:vAlign w:val="center"/>
          </w:tcPr>
          <w:p w14:paraId="2D13042A">
            <w:pPr>
              <w:pStyle w:val="41"/>
              <w:rPr>
                <w:color w:val="auto"/>
                <w:highlight w:val="none"/>
              </w:rPr>
            </w:pPr>
            <w:r>
              <w:rPr>
                <w:color w:val="auto"/>
                <w:highlight w:val="none"/>
              </w:rPr>
              <w:t>0.04</w:t>
            </w:r>
          </w:p>
        </w:tc>
        <w:tc>
          <w:tcPr>
            <w:tcW w:w="431" w:type="pct"/>
            <w:tcBorders>
              <w:tl2br w:val="nil"/>
              <w:tr2bl w:val="nil"/>
            </w:tcBorders>
            <w:vAlign w:val="center"/>
          </w:tcPr>
          <w:p w14:paraId="4D93797A">
            <w:pPr>
              <w:pStyle w:val="41"/>
              <w:rPr>
                <w:color w:val="auto"/>
                <w:highlight w:val="none"/>
              </w:rPr>
            </w:pPr>
            <w:r>
              <w:rPr>
                <w:color w:val="auto"/>
                <w:highlight w:val="none"/>
              </w:rPr>
              <w:t>8.01</w:t>
            </w:r>
          </w:p>
        </w:tc>
      </w:tr>
      <w:tr w14:paraId="56A255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2553A8A5">
            <w:pPr>
              <w:pStyle w:val="41"/>
              <w:rPr>
                <w:color w:val="auto"/>
                <w:highlight w:val="none"/>
              </w:rPr>
            </w:pPr>
            <w:r>
              <w:rPr>
                <w:color w:val="auto"/>
                <w:highlight w:val="none"/>
              </w:rPr>
              <w:t>TC-17#-1</w:t>
            </w:r>
          </w:p>
        </w:tc>
        <w:tc>
          <w:tcPr>
            <w:tcW w:w="460" w:type="pct"/>
            <w:tcBorders>
              <w:tl2br w:val="nil"/>
              <w:tr2bl w:val="nil"/>
            </w:tcBorders>
            <w:vAlign w:val="center"/>
          </w:tcPr>
          <w:p w14:paraId="15798B86">
            <w:pPr>
              <w:pStyle w:val="41"/>
              <w:rPr>
                <w:color w:val="auto"/>
                <w:highlight w:val="none"/>
              </w:rPr>
            </w:pPr>
            <w:r>
              <w:rPr>
                <w:color w:val="auto"/>
                <w:highlight w:val="none"/>
              </w:rPr>
              <w:t>13</w:t>
            </w:r>
          </w:p>
        </w:tc>
        <w:tc>
          <w:tcPr>
            <w:tcW w:w="364" w:type="pct"/>
            <w:tcBorders>
              <w:tl2br w:val="nil"/>
              <w:tr2bl w:val="nil"/>
            </w:tcBorders>
            <w:vAlign w:val="center"/>
          </w:tcPr>
          <w:p w14:paraId="72EA5564">
            <w:pPr>
              <w:pStyle w:val="41"/>
              <w:rPr>
                <w:color w:val="auto"/>
                <w:highlight w:val="none"/>
              </w:rPr>
            </w:pPr>
            <w:r>
              <w:rPr>
                <w:color w:val="auto"/>
                <w:highlight w:val="none"/>
              </w:rPr>
              <w:t>0.107</w:t>
            </w:r>
          </w:p>
        </w:tc>
        <w:tc>
          <w:tcPr>
            <w:tcW w:w="427" w:type="pct"/>
            <w:tcBorders>
              <w:tl2br w:val="nil"/>
              <w:tr2bl w:val="nil"/>
            </w:tcBorders>
            <w:vAlign w:val="center"/>
          </w:tcPr>
          <w:p w14:paraId="22DAC2A2">
            <w:pPr>
              <w:pStyle w:val="41"/>
              <w:rPr>
                <w:color w:val="auto"/>
                <w:highlight w:val="none"/>
              </w:rPr>
            </w:pPr>
            <w:r>
              <w:rPr>
                <w:color w:val="auto"/>
                <w:highlight w:val="none"/>
              </w:rPr>
              <w:t>1.5</w:t>
            </w:r>
          </w:p>
        </w:tc>
        <w:tc>
          <w:tcPr>
            <w:tcW w:w="427" w:type="pct"/>
            <w:tcBorders>
              <w:tl2br w:val="nil"/>
              <w:tr2bl w:val="nil"/>
            </w:tcBorders>
            <w:vAlign w:val="center"/>
          </w:tcPr>
          <w:p w14:paraId="3D698A82">
            <w:pPr>
              <w:pStyle w:val="41"/>
              <w:rPr>
                <w:color w:val="auto"/>
                <w:highlight w:val="none"/>
              </w:rPr>
            </w:pPr>
            <w:r>
              <w:rPr>
                <w:color w:val="auto"/>
                <w:highlight w:val="none"/>
              </w:rPr>
              <w:t>14</w:t>
            </w:r>
          </w:p>
        </w:tc>
        <w:tc>
          <w:tcPr>
            <w:tcW w:w="427" w:type="pct"/>
            <w:tcBorders>
              <w:tl2br w:val="nil"/>
              <w:tr2bl w:val="nil"/>
            </w:tcBorders>
            <w:vAlign w:val="center"/>
          </w:tcPr>
          <w:p w14:paraId="14F365E9">
            <w:pPr>
              <w:pStyle w:val="41"/>
              <w:rPr>
                <w:color w:val="auto"/>
                <w:highlight w:val="none"/>
              </w:rPr>
            </w:pPr>
            <w:r>
              <w:rPr>
                <w:color w:val="auto"/>
                <w:highlight w:val="none"/>
              </w:rPr>
              <w:t>未检出</w:t>
            </w:r>
          </w:p>
        </w:tc>
        <w:tc>
          <w:tcPr>
            <w:tcW w:w="427" w:type="pct"/>
            <w:tcBorders>
              <w:tl2br w:val="nil"/>
              <w:tr2bl w:val="nil"/>
            </w:tcBorders>
            <w:vAlign w:val="center"/>
          </w:tcPr>
          <w:p w14:paraId="58995676">
            <w:pPr>
              <w:pStyle w:val="41"/>
              <w:rPr>
                <w:color w:val="auto"/>
                <w:highlight w:val="none"/>
              </w:rPr>
            </w:pPr>
            <w:r>
              <w:rPr>
                <w:color w:val="auto"/>
                <w:highlight w:val="none"/>
              </w:rPr>
              <w:t>未检出</w:t>
            </w:r>
          </w:p>
        </w:tc>
        <w:tc>
          <w:tcPr>
            <w:tcW w:w="364" w:type="pct"/>
            <w:tcBorders>
              <w:tl2br w:val="nil"/>
              <w:tr2bl w:val="nil"/>
            </w:tcBorders>
            <w:vAlign w:val="center"/>
          </w:tcPr>
          <w:p w14:paraId="0D96DD43">
            <w:pPr>
              <w:pStyle w:val="41"/>
              <w:rPr>
                <w:color w:val="auto"/>
                <w:highlight w:val="none"/>
              </w:rPr>
            </w:pPr>
            <w:r>
              <w:rPr>
                <w:color w:val="auto"/>
                <w:highlight w:val="none"/>
              </w:rPr>
              <w:t>7.2</w:t>
            </w:r>
          </w:p>
        </w:tc>
        <w:tc>
          <w:tcPr>
            <w:tcW w:w="364" w:type="pct"/>
            <w:tcBorders>
              <w:tl2br w:val="nil"/>
              <w:tr2bl w:val="nil"/>
            </w:tcBorders>
            <w:vAlign w:val="center"/>
          </w:tcPr>
          <w:p w14:paraId="6FB3187F">
            <w:pPr>
              <w:pStyle w:val="41"/>
              <w:rPr>
                <w:color w:val="auto"/>
                <w:highlight w:val="none"/>
              </w:rPr>
            </w:pPr>
            <w:r>
              <w:rPr>
                <w:color w:val="auto"/>
                <w:highlight w:val="none"/>
              </w:rPr>
              <w:t>12</w:t>
            </w:r>
          </w:p>
        </w:tc>
        <w:tc>
          <w:tcPr>
            <w:tcW w:w="248" w:type="pct"/>
            <w:tcBorders>
              <w:tl2br w:val="nil"/>
              <w:tr2bl w:val="nil"/>
            </w:tcBorders>
            <w:vAlign w:val="center"/>
          </w:tcPr>
          <w:p w14:paraId="44BFB314">
            <w:pPr>
              <w:pStyle w:val="41"/>
              <w:rPr>
                <w:color w:val="auto"/>
                <w:highlight w:val="none"/>
              </w:rPr>
            </w:pPr>
            <w:r>
              <w:rPr>
                <w:color w:val="auto"/>
                <w:highlight w:val="none"/>
              </w:rPr>
              <w:t>0.04</w:t>
            </w:r>
          </w:p>
        </w:tc>
        <w:tc>
          <w:tcPr>
            <w:tcW w:w="431" w:type="pct"/>
            <w:tcBorders>
              <w:tl2br w:val="nil"/>
              <w:tr2bl w:val="nil"/>
            </w:tcBorders>
            <w:vAlign w:val="center"/>
          </w:tcPr>
          <w:p w14:paraId="0945D252">
            <w:pPr>
              <w:pStyle w:val="41"/>
              <w:rPr>
                <w:color w:val="auto"/>
                <w:highlight w:val="none"/>
              </w:rPr>
            </w:pPr>
            <w:r>
              <w:rPr>
                <w:color w:val="auto"/>
                <w:highlight w:val="none"/>
              </w:rPr>
              <w:t>7.94</w:t>
            </w:r>
          </w:p>
        </w:tc>
      </w:tr>
      <w:tr w14:paraId="2360E0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055" w:type="pct"/>
            <w:tcBorders>
              <w:tl2br w:val="nil"/>
              <w:tr2bl w:val="nil"/>
            </w:tcBorders>
            <w:vAlign w:val="center"/>
          </w:tcPr>
          <w:p w14:paraId="2CAE5531">
            <w:pPr>
              <w:pStyle w:val="41"/>
              <w:rPr>
                <w:color w:val="auto"/>
                <w:highlight w:val="none"/>
              </w:rPr>
            </w:pPr>
            <w:r>
              <w:rPr>
                <w:color w:val="auto"/>
                <w:highlight w:val="none"/>
              </w:rPr>
              <w:t>TC-18#-1</w:t>
            </w:r>
          </w:p>
        </w:tc>
        <w:tc>
          <w:tcPr>
            <w:tcW w:w="460" w:type="pct"/>
            <w:tcBorders>
              <w:tl2br w:val="nil"/>
              <w:tr2bl w:val="nil"/>
            </w:tcBorders>
            <w:vAlign w:val="center"/>
          </w:tcPr>
          <w:p w14:paraId="37070ED2">
            <w:pPr>
              <w:pStyle w:val="41"/>
              <w:rPr>
                <w:color w:val="auto"/>
                <w:highlight w:val="none"/>
              </w:rPr>
            </w:pPr>
            <w:r>
              <w:rPr>
                <w:color w:val="auto"/>
                <w:highlight w:val="none"/>
              </w:rPr>
              <w:t>16</w:t>
            </w:r>
          </w:p>
        </w:tc>
        <w:tc>
          <w:tcPr>
            <w:tcW w:w="364" w:type="pct"/>
            <w:tcBorders>
              <w:tl2br w:val="nil"/>
              <w:tr2bl w:val="nil"/>
            </w:tcBorders>
            <w:vAlign w:val="center"/>
          </w:tcPr>
          <w:p w14:paraId="24D055D9">
            <w:pPr>
              <w:pStyle w:val="41"/>
              <w:rPr>
                <w:color w:val="auto"/>
                <w:highlight w:val="none"/>
              </w:rPr>
            </w:pPr>
            <w:r>
              <w:rPr>
                <w:color w:val="auto"/>
                <w:highlight w:val="none"/>
              </w:rPr>
              <w:t>0.156</w:t>
            </w:r>
          </w:p>
        </w:tc>
        <w:tc>
          <w:tcPr>
            <w:tcW w:w="427" w:type="pct"/>
            <w:tcBorders>
              <w:tl2br w:val="nil"/>
              <w:tr2bl w:val="nil"/>
            </w:tcBorders>
            <w:vAlign w:val="center"/>
          </w:tcPr>
          <w:p w14:paraId="677A2B37">
            <w:pPr>
              <w:pStyle w:val="41"/>
              <w:rPr>
                <w:color w:val="auto"/>
                <w:highlight w:val="none"/>
              </w:rPr>
            </w:pPr>
            <w:r>
              <w:rPr>
                <w:color w:val="auto"/>
                <w:highlight w:val="none"/>
              </w:rPr>
              <w:t>2.9</w:t>
            </w:r>
          </w:p>
        </w:tc>
        <w:tc>
          <w:tcPr>
            <w:tcW w:w="427" w:type="pct"/>
            <w:tcBorders>
              <w:tl2br w:val="nil"/>
              <w:tr2bl w:val="nil"/>
            </w:tcBorders>
            <w:vAlign w:val="center"/>
          </w:tcPr>
          <w:p w14:paraId="54D8BE76">
            <w:pPr>
              <w:pStyle w:val="41"/>
              <w:rPr>
                <w:color w:val="auto"/>
                <w:highlight w:val="none"/>
              </w:rPr>
            </w:pPr>
            <w:r>
              <w:rPr>
                <w:color w:val="auto"/>
                <w:highlight w:val="none"/>
              </w:rPr>
              <w:t>15</w:t>
            </w:r>
          </w:p>
        </w:tc>
        <w:tc>
          <w:tcPr>
            <w:tcW w:w="427" w:type="pct"/>
            <w:tcBorders>
              <w:tl2br w:val="nil"/>
              <w:tr2bl w:val="nil"/>
            </w:tcBorders>
            <w:vAlign w:val="center"/>
          </w:tcPr>
          <w:p w14:paraId="1A0F9AC6">
            <w:pPr>
              <w:pStyle w:val="41"/>
              <w:rPr>
                <w:color w:val="auto"/>
                <w:highlight w:val="none"/>
              </w:rPr>
            </w:pPr>
            <w:r>
              <w:rPr>
                <w:color w:val="auto"/>
                <w:highlight w:val="none"/>
              </w:rPr>
              <w:t>未检出</w:t>
            </w:r>
          </w:p>
        </w:tc>
        <w:tc>
          <w:tcPr>
            <w:tcW w:w="427" w:type="pct"/>
            <w:tcBorders>
              <w:tl2br w:val="nil"/>
              <w:tr2bl w:val="nil"/>
            </w:tcBorders>
            <w:vAlign w:val="center"/>
          </w:tcPr>
          <w:p w14:paraId="63B1529A">
            <w:pPr>
              <w:pStyle w:val="41"/>
              <w:rPr>
                <w:color w:val="auto"/>
                <w:highlight w:val="none"/>
              </w:rPr>
            </w:pPr>
            <w:r>
              <w:rPr>
                <w:color w:val="auto"/>
                <w:highlight w:val="none"/>
              </w:rPr>
              <w:t>未检出</w:t>
            </w:r>
          </w:p>
        </w:tc>
        <w:tc>
          <w:tcPr>
            <w:tcW w:w="364" w:type="pct"/>
            <w:tcBorders>
              <w:tl2br w:val="nil"/>
              <w:tr2bl w:val="nil"/>
            </w:tcBorders>
            <w:vAlign w:val="center"/>
          </w:tcPr>
          <w:p w14:paraId="24BAD263">
            <w:pPr>
              <w:pStyle w:val="41"/>
              <w:rPr>
                <w:color w:val="auto"/>
                <w:highlight w:val="none"/>
              </w:rPr>
            </w:pPr>
            <w:r>
              <w:rPr>
                <w:color w:val="auto"/>
                <w:highlight w:val="none"/>
              </w:rPr>
              <w:t>6.9</w:t>
            </w:r>
          </w:p>
        </w:tc>
        <w:tc>
          <w:tcPr>
            <w:tcW w:w="364" w:type="pct"/>
            <w:tcBorders>
              <w:tl2br w:val="nil"/>
              <w:tr2bl w:val="nil"/>
            </w:tcBorders>
            <w:vAlign w:val="center"/>
          </w:tcPr>
          <w:p w14:paraId="2E25DDC8">
            <w:pPr>
              <w:pStyle w:val="41"/>
              <w:rPr>
                <w:color w:val="auto"/>
                <w:highlight w:val="none"/>
              </w:rPr>
            </w:pPr>
            <w:r>
              <w:rPr>
                <w:color w:val="auto"/>
                <w:highlight w:val="none"/>
              </w:rPr>
              <w:t>12</w:t>
            </w:r>
          </w:p>
        </w:tc>
        <w:tc>
          <w:tcPr>
            <w:tcW w:w="248" w:type="pct"/>
            <w:tcBorders>
              <w:tl2br w:val="nil"/>
              <w:tr2bl w:val="nil"/>
            </w:tcBorders>
            <w:vAlign w:val="center"/>
          </w:tcPr>
          <w:p w14:paraId="7DBA15DF">
            <w:pPr>
              <w:pStyle w:val="41"/>
              <w:rPr>
                <w:color w:val="auto"/>
                <w:highlight w:val="none"/>
              </w:rPr>
            </w:pPr>
            <w:r>
              <w:rPr>
                <w:color w:val="auto"/>
                <w:highlight w:val="none"/>
              </w:rPr>
              <w:t>0.04</w:t>
            </w:r>
          </w:p>
        </w:tc>
        <w:tc>
          <w:tcPr>
            <w:tcW w:w="431" w:type="pct"/>
            <w:tcBorders>
              <w:tl2br w:val="nil"/>
              <w:tr2bl w:val="nil"/>
            </w:tcBorders>
            <w:vAlign w:val="center"/>
          </w:tcPr>
          <w:p w14:paraId="66E61282">
            <w:pPr>
              <w:pStyle w:val="41"/>
              <w:rPr>
                <w:color w:val="auto"/>
                <w:highlight w:val="none"/>
              </w:rPr>
            </w:pPr>
            <w:r>
              <w:rPr>
                <w:color w:val="auto"/>
                <w:highlight w:val="none"/>
              </w:rPr>
              <w:t>8.03</w:t>
            </w:r>
          </w:p>
        </w:tc>
      </w:tr>
      <w:tr w14:paraId="5A50B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1516" w:type="pct"/>
            <w:gridSpan w:val="2"/>
            <w:tcBorders>
              <w:tl2br w:val="nil"/>
              <w:tr2bl w:val="nil"/>
            </w:tcBorders>
            <w:vAlign w:val="center"/>
          </w:tcPr>
          <w:p w14:paraId="569F5DBE">
            <w:pPr>
              <w:pStyle w:val="41"/>
              <w:rPr>
                <w:color w:val="auto"/>
                <w:highlight w:val="none"/>
              </w:rPr>
            </w:pPr>
            <w:r>
              <w:rPr>
                <w:color w:val="auto"/>
                <w:highlight w:val="none"/>
              </w:rPr>
              <w:t>（GB36600-2018）表1第二类用地的筛选值质量标准（mg/kg）</w:t>
            </w:r>
          </w:p>
        </w:tc>
        <w:tc>
          <w:tcPr>
            <w:tcW w:w="364" w:type="pct"/>
            <w:tcBorders>
              <w:tl2br w:val="nil"/>
              <w:tr2bl w:val="nil"/>
            </w:tcBorders>
            <w:vAlign w:val="center"/>
          </w:tcPr>
          <w:p w14:paraId="3ADC2B99">
            <w:pPr>
              <w:pStyle w:val="41"/>
              <w:rPr>
                <w:color w:val="auto"/>
                <w:highlight w:val="none"/>
              </w:rPr>
            </w:pPr>
            <w:r>
              <w:rPr>
                <w:color w:val="auto"/>
                <w:highlight w:val="none"/>
              </w:rPr>
              <w:t>38</w:t>
            </w:r>
          </w:p>
        </w:tc>
        <w:tc>
          <w:tcPr>
            <w:tcW w:w="427" w:type="pct"/>
            <w:tcBorders>
              <w:tl2br w:val="nil"/>
              <w:tr2bl w:val="nil"/>
            </w:tcBorders>
            <w:vAlign w:val="center"/>
          </w:tcPr>
          <w:p w14:paraId="2B8163CD">
            <w:pPr>
              <w:pStyle w:val="41"/>
              <w:rPr>
                <w:color w:val="auto"/>
                <w:highlight w:val="none"/>
              </w:rPr>
            </w:pPr>
            <w:r>
              <w:rPr>
                <w:color w:val="auto"/>
                <w:highlight w:val="none"/>
              </w:rPr>
              <w:t>60</w:t>
            </w:r>
          </w:p>
        </w:tc>
        <w:tc>
          <w:tcPr>
            <w:tcW w:w="427" w:type="pct"/>
            <w:tcBorders>
              <w:tl2br w:val="nil"/>
              <w:tr2bl w:val="nil"/>
            </w:tcBorders>
            <w:vAlign w:val="center"/>
          </w:tcPr>
          <w:p w14:paraId="1DDE736F">
            <w:pPr>
              <w:pStyle w:val="41"/>
              <w:rPr>
                <w:color w:val="auto"/>
                <w:highlight w:val="none"/>
              </w:rPr>
            </w:pPr>
            <w:r>
              <w:rPr>
                <w:color w:val="auto"/>
                <w:highlight w:val="none"/>
              </w:rPr>
              <w:t>800</w:t>
            </w:r>
          </w:p>
        </w:tc>
        <w:tc>
          <w:tcPr>
            <w:tcW w:w="427" w:type="pct"/>
            <w:tcBorders>
              <w:tl2br w:val="nil"/>
              <w:tr2bl w:val="nil"/>
            </w:tcBorders>
            <w:vAlign w:val="center"/>
          </w:tcPr>
          <w:p w14:paraId="79FF397F">
            <w:pPr>
              <w:pStyle w:val="41"/>
              <w:rPr>
                <w:color w:val="auto"/>
                <w:highlight w:val="none"/>
              </w:rPr>
            </w:pPr>
            <w:r>
              <w:rPr>
                <w:color w:val="auto"/>
                <w:highlight w:val="none"/>
              </w:rPr>
              <w:t>65</w:t>
            </w:r>
          </w:p>
        </w:tc>
        <w:tc>
          <w:tcPr>
            <w:tcW w:w="427" w:type="pct"/>
            <w:tcBorders>
              <w:tl2br w:val="nil"/>
              <w:tr2bl w:val="nil"/>
            </w:tcBorders>
            <w:vAlign w:val="center"/>
          </w:tcPr>
          <w:p w14:paraId="4F4DA49D">
            <w:pPr>
              <w:pStyle w:val="41"/>
              <w:rPr>
                <w:color w:val="auto"/>
                <w:highlight w:val="none"/>
              </w:rPr>
            </w:pPr>
            <w:r>
              <w:rPr>
                <w:color w:val="auto"/>
                <w:highlight w:val="none"/>
              </w:rPr>
              <w:t>5.7</w:t>
            </w:r>
          </w:p>
        </w:tc>
        <w:tc>
          <w:tcPr>
            <w:tcW w:w="364" w:type="pct"/>
            <w:tcBorders>
              <w:tl2br w:val="nil"/>
              <w:tr2bl w:val="nil"/>
            </w:tcBorders>
            <w:vAlign w:val="center"/>
          </w:tcPr>
          <w:p w14:paraId="70B0EF07">
            <w:pPr>
              <w:pStyle w:val="41"/>
              <w:rPr>
                <w:color w:val="auto"/>
                <w:highlight w:val="none"/>
              </w:rPr>
            </w:pPr>
            <w:r>
              <w:rPr>
                <w:color w:val="auto"/>
                <w:highlight w:val="none"/>
              </w:rPr>
              <w:t>18000</w:t>
            </w:r>
          </w:p>
        </w:tc>
        <w:tc>
          <w:tcPr>
            <w:tcW w:w="364" w:type="pct"/>
            <w:tcBorders>
              <w:tl2br w:val="nil"/>
              <w:tr2bl w:val="nil"/>
            </w:tcBorders>
            <w:vAlign w:val="center"/>
          </w:tcPr>
          <w:p w14:paraId="4ECED122">
            <w:pPr>
              <w:pStyle w:val="41"/>
              <w:rPr>
                <w:color w:val="auto"/>
                <w:highlight w:val="none"/>
              </w:rPr>
            </w:pPr>
            <w:r>
              <w:rPr>
                <w:color w:val="auto"/>
                <w:highlight w:val="none"/>
              </w:rPr>
              <w:t>900</w:t>
            </w:r>
          </w:p>
        </w:tc>
        <w:tc>
          <w:tcPr>
            <w:tcW w:w="248" w:type="pct"/>
            <w:tcBorders>
              <w:tl2br w:val="nil"/>
              <w:tr2bl w:val="nil"/>
            </w:tcBorders>
            <w:vAlign w:val="center"/>
          </w:tcPr>
          <w:p w14:paraId="6F39ED46">
            <w:pPr>
              <w:pStyle w:val="41"/>
              <w:rPr>
                <w:color w:val="auto"/>
                <w:highlight w:val="none"/>
              </w:rPr>
            </w:pPr>
            <w:r>
              <w:rPr>
                <w:color w:val="auto"/>
                <w:highlight w:val="none"/>
              </w:rPr>
              <w:t>--</w:t>
            </w:r>
          </w:p>
        </w:tc>
        <w:tc>
          <w:tcPr>
            <w:tcW w:w="431" w:type="pct"/>
            <w:tcBorders>
              <w:tl2br w:val="nil"/>
              <w:tr2bl w:val="nil"/>
            </w:tcBorders>
            <w:vAlign w:val="center"/>
          </w:tcPr>
          <w:p w14:paraId="1C509429">
            <w:pPr>
              <w:pStyle w:val="41"/>
              <w:rPr>
                <w:color w:val="auto"/>
                <w:highlight w:val="none"/>
              </w:rPr>
            </w:pPr>
            <w:r>
              <w:rPr>
                <w:color w:val="auto"/>
                <w:highlight w:val="none"/>
              </w:rPr>
              <w:t>--</w:t>
            </w:r>
          </w:p>
        </w:tc>
      </w:tr>
    </w:tbl>
    <w:p w14:paraId="6620856B">
      <w:pPr>
        <w:pStyle w:val="3"/>
        <w:ind w:firstLine="480"/>
        <w:rPr>
          <w:color w:val="auto"/>
          <w:highlight w:val="none"/>
        </w:rPr>
        <w:sectPr>
          <w:pgSz w:w="11906" w:h="16838"/>
          <w:pgMar w:top="1440" w:right="1803" w:bottom="1440" w:left="1803" w:header="1020" w:footer="992" w:gutter="0"/>
          <w:pgBorders>
            <w:top w:val="none" w:sz="0" w:space="0"/>
            <w:left w:val="none" w:sz="0" w:space="0"/>
            <w:bottom w:val="none" w:sz="0" w:space="0"/>
            <w:right w:val="none" w:sz="0" w:space="0"/>
          </w:pgBorders>
          <w:cols w:space="720" w:num="1"/>
          <w:docGrid w:type="lines" w:linePitch="332" w:charSpace="0"/>
        </w:sectPr>
      </w:pPr>
    </w:p>
    <w:p w14:paraId="08AB39DC">
      <w:pPr>
        <w:pStyle w:val="40"/>
        <w:rPr>
          <w:color w:val="auto"/>
          <w:highlight w:val="none"/>
        </w:rPr>
      </w:pPr>
      <w:r>
        <w:rPr>
          <w:color w:val="auto"/>
          <w:highlight w:val="none"/>
        </w:rPr>
        <w:t>表4.2-</w:t>
      </w:r>
      <w:r>
        <w:rPr>
          <w:rFonts w:hint="eastAsia"/>
          <w:color w:val="auto"/>
          <w:highlight w:val="none"/>
          <w:lang w:val="en-US" w:eastAsia="zh-CN"/>
        </w:rPr>
        <w:t>15</w:t>
      </w:r>
      <w:r>
        <w:rPr>
          <w:rFonts w:hint="eastAsia"/>
          <w:color w:val="auto"/>
          <w:highlight w:val="none"/>
        </w:rPr>
        <w:t xml:space="preserve"> </w:t>
      </w:r>
      <w:r>
        <w:rPr>
          <w:color w:val="auto"/>
          <w:highlight w:val="none"/>
        </w:rPr>
        <w:t xml:space="preserve">   </w:t>
      </w:r>
      <w:r>
        <w:rPr>
          <w:rFonts w:hint="eastAsia"/>
          <w:color w:val="auto"/>
          <w:highlight w:val="none"/>
        </w:rPr>
        <w:t>厂区外</w:t>
      </w:r>
      <w:r>
        <w:rPr>
          <w:color w:val="auto"/>
          <w:highlight w:val="none"/>
        </w:rPr>
        <w:t>土壤环境质量现状监测结果统计表（表层样）</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15" w:type="dxa"/>
          <w:left w:w="15" w:type="dxa"/>
          <w:bottom w:w="15" w:type="dxa"/>
          <w:right w:w="15" w:type="dxa"/>
        </w:tblCellMar>
      </w:tblPr>
      <w:tblGrid>
        <w:gridCol w:w="897"/>
        <w:gridCol w:w="681"/>
        <w:gridCol w:w="776"/>
        <w:gridCol w:w="776"/>
        <w:gridCol w:w="886"/>
        <w:gridCol w:w="886"/>
        <w:gridCol w:w="859"/>
        <w:gridCol w:w="859"/>
        <w:gridCol w:w="859"/>
        <w:gridCol w:w="859"/>
        <w:gridCol w:w="5642"/>
      </w:tblGrid>
      <w:tr w14:paraId="0A8D1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567" w:type="pct"/>
            <w:gridSpan w:val="2"/>
            <w:tcBorders>
              <w:tl2br w:val="nil"/>
              <w:tr2bl w:val="nil"/>
            </w:tcBorders>
            <w:vAlign w:val="center"/>
          </w:tcPr>
          <w:p w14:paraId="2BD75430">
            <w:pPr>
              <w:pStyle w:val="41"/>
              <w:rPr>
                <w:color w:val="auto"/>
                <w:highlight w:val="none"/>
              </w:rPr>
            </w:pPr>
            <w:r>
              <w:rPr>
                <w:rFonts w:hint="eastAsia"/>
                <w:color w:val="auto"/>
                <w:highlight w:val="none"/>
              </w:rPr>
              <w:t>监测点位</w:t>
            </w:r>
          </w:p>
        </w:tc>
        <w:tc>
          <w:tcPr>
            <w:tcW w:w="279" w:type="pct"/>
            <w:tcBorders>
              <w:tl2br w:val="nil"/>
              <w:tr2bl w:val="nil"/>
            </w:tcBorders>
            <w:vAlign w:val="center"/>
          </w:tcPr>
          <w:p w14:paraId="7EC56FCE">
            <w:pPr>
              <w:pStyle w:val="41"/>
              <w:rPr>
                <w:color w:val="auto"/>
                <w:highlight w:val="none"/>
              </w:rPr>
            </w:pPr>
            <w:r>
              <w:rPr>
                <w:rFonts w:hint="eastAsia"/>
                <w:color w:val="auto"/>
                <w:highlight w:val="none"/>
              </w:rPr>
              <w:t>TC-8#-1</w:t>
            </w:r>
          </w:p>
        </w:tc>
        <w:tc>
          <w:tcPr>
            <w:tcW w:w="279" w:type="pct"/>
            <w:tcBorders>
              <w:tl2br w:val="nil"/>
              <w:tr2bl w:val="nil"/>
            </w:tcBorders>
            <w:vAlign w:val="center"/>
          </w:tcPr>
          <w:p w14:paraId="775F1EC7">
            <w:pPr>
              <w:pStyle w:val="41"/>
              <w:rPr>
                <w:color w:val="auto"/>
                <w:highlight w:val="none"/>
              </w:rPr>
            </w:pPr>
            <w:r>
              <w:rPr>
                <w:rFonts w:hint="eastAsia"/>
                <w:color w:val="auto"/>
                <w:highlight w:val="none"/>
              </w:rPr>
              <w:t>TC-9#-1</w:t>
            </w:r>
          </w:p>
        </w:tc>
        <w:tc>
          <w:tcPr>
            <w:tcW w:w="318" w:type="pct"/>
            <w:tcBorders>
              <w:tl2br w:val="nil"/>
              <w:tr2bl w:val="nil"/>
            </w:tcBorders>
            <w:vAlign w:val="center"/>
          </w:tcPr>
          <w:p w14:paraId="172CBCB2">
            <w:pPr>
              <w:pStyle w:val="41"/>
              <w:rPr>
                <w:color w:val="auto"/>
                <w:highlight w:val="none"/>
              </w:rPr>
            </w:pPr>
            <w:r>
              <w:rPr>
                <w:rFonts w:hint="eastAsia"/>
                <w:color w:val="auto"/>
                <w:highlight w:val="none"/>
              </w:rPr>
              <w:t>TC-10#-1</w:t>
            </w:r>
          </w:p>
        </w:tc>
        <w:tc>
          <w:tcPr>
            <w:tcW w:w="318" w:type="pct"/>
            <w:tcBorders>
              <w:tl2br w:val="nil"/>
              <w:tr2bl w:val="nil"/>
            </w:tcBorders>
            <w:vAlign w:val="center"/>
          </w:tcPr>
          <w:p w14:paraId="2A4FAAA5">
            <w:pPr>
              <w:pStyle w:val="41"/>
              <w:rPr>
                <w:color w:val="auto"/>
                <w:highlight w:val="none"/>
              </w:rPr>
            </w:pPr>
            <w:r>
              <w:rPr>
                <w:rFonts w:hint="eastAsia"/>
                <w:color w:val="auto"/>
                <w:highlight w:val="none"/>
              </w:rPr>
              <w:t>TC-11#-1</w:t>
            </w:r>
          </w:p>
        </w:tc>
        <w:tc>
          <w:tcPr>
            <w:tcW w:w="304" w:type="pct"/>
            <w:tcBorders>
              <w:tl2br w:val="nil"/>
              <w:tr2bl w:val="nil"/>
            </w:tcBorders>
            <w:vAlign w:val="center"/>
          </w:tcPr>
          <w:p w14:paraId="4D523556">
            <w:pPr>
              <w:pStyle w:val="41"/>
              <w:rPr>
                <w:color w:val="auto"/>
                <w:highlight w:val="none"/>
              </w:rPr>
            </w:pPr>
            <w:r>
              <w:rPr>
                <w:rFonts w:hint="eastAsia"/>
                <w:color w:val="auto"/>
                <w:highlight w:val="none"/>
              </w:rPr>
              <w:t>TC-19#-1</w:t>
            </w:r>
          </w:p>
        </w:tc>
        <w:tc>
          <w:tcPr>
            <w:tcW w:w="304" w:type="pct"/>
            <w:tcBorders>
              <w:tl2br w:val="nil"/>
              <w:tr2bl w:val="nil"/>
            </w:tcBorders>
            <w:vAlign w:val="center"/>
          </w:tcPr>
          <w:p w14:paraId="65D50353">
            <w:pPr>
              <w:pStyle w:val="41"/>
              <w:rPr>
                <w:color w:val="auto"/>
                <w:highlight w:val="none"/>
              </w:rPr>
            </w:pPr>
            <w:r>
              <w:rPr>
                <w:rFonts w:hint="eastAsia"/>
                <w:color w:val="auto"/>
                <w:highlight w:val="none"/>
              </w:rPr>
              <w:t>TC-20#-1</w:t>
            </w:r>
          </w:p>
        </w:tc>
        <w:tc>
          <w:tcPr>
            <w:tcW w:w="304" w:type="pct"/>
            <w:tcBorders>
              <w:tl2br w:val="nil"/>
              <w:tr2bl w:val="nil"/>
            </w:tcBorders>
            <w:vAlign w:val="center"/>
          </w:tcPr>
          <w:p w14:paraId="37ED7440">
            <w:pPr>
              <w:pStyle w:val="41"/>
              <w:rPr>
                <w:color w:val="auto"/>
                <w:highlight w:val="none"/>
              </w:rPr>
            </w:pPr>
            <w:r>
              <w:rPr>
                <w:rFonts w:hint="eastAsia"/>
                <w:color w:val="auto"/>
                <w:highlight w:val="none"/>
              </w:rPr>
              <w:t>TC-21#-1</w:t>
            </w:r>
          </w:p>
        </w:tc>
        <w:tc>
          <w:tcPr>
            <w:tcW w:w="304" w:type="pct"/>
            <w:tcBorders>
              <w:tl2br w:val="nil"/>
              <w:tr2bl w:val="nil"/>
            </w:tcBorders>
            <w:vAlign w:val="center"/>
          </w:tcPr>
          <w:p w14:paraId="2B9180B6">
            <w:pPr>
              <w:pStyle w:val="41"/>
              <w:rPr>
                <w:color w:val="auto"/>
                <w:highlight w:val="none"/>
              </w:rPr>
            </w:pPr>
            <w:r>
              <w:rPr>
                <w:rFonts w:hint="eastAsia"/>
                <w:color w:val="auto"/>
                <w:highlight w:val="none"/>
              </w:rPr>
              <w:t>TC-22#-1</w:t>
            </w:r>
          </w:p>
        </w:tc>
        <w:tc>
          <w:tcPr>
            <w:tcW w:w="2018" w:type="pct"/>
            <w:vMerge w:val="restart"/>
            <w:tcBorders>
              <w:tl2br w:val="nil"/>
              <w:tr2bl w:val="nil"/>
            </w:tcBorders>
            <w:vAlign w:val="center"/>
          </w:tcPr>
          <w:p w14:paraId="08038835">
            <w:pPr>
              <w:pStyle w:val="41"/>
              <w:rPr>
                <w:color w:val="auto"/>
                <w:highlight w:val="none"/>
              </w:rPr>
            </w:pPr>
            <w:r>
              <w:rPr>
                <w:rFonts w:hint="eastAsia"/>
                <w:color w:val="auto"/>
                <w:highlight w:val="none"/>
              </w:rPr>
              <w:t>（GB15618-2018）表1中的风险筛选值质量标准（m</w:t>
            </w:r>
            <w:r>
              <w:rPr>
                <w:color w:val="auto"/>
                <w:highlight w:val="none"/>
              </w:rPr>
              <w:t>g/kg</w:t>
            </w:r>
            <w:r>
              <w:rPr>
                <w:rFonts w:hint="eastAsia"/>
                <w:color w:val="auto"/>
                <w:highlight w:val="none"/>
              </w:rPr>
              <w:t>）</w:t>
            </w:r>
          </w:p>
        </w:tc>
      </w:tr>
      <w:tr w14:paraId="7CC807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567" w:type="pct"/>
            <w:gridSpan w:val="2"/>
            <w:tcBorders>
              <w:tl2br w:val="nil"/>
              <w:tr2bl w:val="nil"/>
            </w:tcBorders>
            <w:vAlign w:val="center"/>
          </w:tcPr>
          <w:p w14:paraId="615EE5E5">
            <w:pPr>
              <w:pStyle w:val="41"/>
              <w:rPr>
                <w:color w:val="auto"/>
                <w:highlight w:val="none"/>
              </w:rPr>
            </w:pPr>
            <w:r>
              <w:rPr>
                <w:rFonts w:hint="eastAsia"/>
                <w:color w:val="auto"/>
                <w:highlight w:val="none"/>
              </w:rPr>
              <w:t>深度（cm）</w:t>
            </w:r>
          </w:p>
        </w:tc>
        <w:tc>
          <w:tcPr>
            <w:tcW w:w="279" w:type="pct"/>
            <w:tcBorders>
              <w:tl2br w:val="nil"/>
              <w:tr2bl w:val="nil"/>
            </w:tcBorders>
            <w:vAlign w:val="center"/>
          </w:tcPr>
          <w:p w14:paraId="10A6731D">
            <w:pPr>
              <w:pStyle w:val="41"/>
              <w:rPr>
                <w:color w:val="auto"/>
                <w:highlight w:val="none"/>
              </w:rPr>
            </w:pPr>
            <w:r>
              <w:rPr>
                <w:rFonts w:hint="eastAsia"/>
                <w:color w:val="auto"/>
                <w:highlight w:val="none"/>
              </w:rPr>
              <w:t>16</w:t>
            </w:r>
          </w:p>
        </w:tc>
        <w:tc>
          <w:tcPr>
            <w:tcW w:w="279" w:type="pct"/>
            <w:tcBorders>
              <w:tl2br w:val="nil"/>
              <w:tr2bl w:val="nil"/>
            </w:tcBorders>
            <w:vAlign w:val="center"/>
          </w:tcPr>
          <w:p w14:paraId="5C9AC8BF">
            <w:pPr>
              <w:pStyle w:val="41"/>
              <w:rPr>
                <w:color w:val="auto"/>
                <w:highlight w:val="none"/>
              </w:rPr>
            </w:pPr>
            <w:r>
              <w:rPr>
                <w:rFonts w:hint="eastAsia"/>
                <w:color w:val="auto"/>
                <w:highlight w:val="none"/>
              </w:rPr>
              <w:t>18</w:t>
            </w:r>
          </w:p>
        </w:tc>
        <w:tc>
          <w:tcPr>
            <w:tcW w:w="318" w:type="pct"/>
            <w:tcBorders>
              <w:tl2br w:val="nil"/>
              <w:tr2bl w:val="nil"/>
            </w:tcBorders>
            <w:vAlign w:val="center"/>
          </w:tcPr>
          <w:p w14:paraId="39141D7B">
            <w:pPr>
              <w:pStyle w:val="41"/>
              <w:rPr>
                <w:color w:val="auto"/>
                <w:highlight w:val="none"/>
              </w:rPr>
            </w:pPr>
            <w:r>
              <w:rPr>
                <w:rFonts w:hint="eastAsia"/>
                <w:color w:val="auto"/>
                <w:highlight w:val="none"/>
              </w:rPr>
              <w:t>17</w:t>
            </w:r>
          </w:p>
        </w:tc>
        <w:tc>
          <w:tcPr>
            <w:tcW w:w="318" w:type="pct"/>
            <w:tcBorders>
              <w:tl2br w:val="nil"/>
              <w:tr2bl w:val="nil"/>
            </w:tcBorders>
            <w:vAlign w:val="center"/>
          </w:tcPr>
          <w:p w14:paraId="53BBC635">
            <w:pPr>
              <w:pStyle w:val="41"/>
              <w:rPr>
                <w:color w:val="auto"/>
                <w:highlight w:val="none"/>
              </w:rPr>
            </w:pPr>
            <w:r>
              <w:rPr>
                <w:rFonts w:hint="eastAsia"/>
                <w:color w:val="auto"/>
                <w:highlight w:val="none"/>
              </w:rPr>
              <w:t>17</w:t>
            </w:r>
          </w:p>
        </w:tc>
        <w:tc>
          <w:tcPr>
            <w:tcW w:w="304" w:type="pct"/>
            <w:tcBorders>
              <w:tl2br w:val="nil"/>
              <w:tr2bl w:val="nil"/>
            </w:tcBorders>
            <w:vAlign w:val="center"/>
          </w:tcPr>
          <w:p w14:paraId="65AFC6E1">
            <w:pPr>
              <w:pStyle w:val="41"/>
              <w:rPr>
                <w:color w:val="auto"/>
                <w:highlight w:val="none"/>
              </w:rPr>
            </w:pPr>
            <w:r>
              <w:rPr>
                <w:rFonts w:hint="eastAsia"/>
                <w:color w:val="auto"/>
                <w:highlight w:val="none"/>
              </w:rPr>
              <w:t>18</w:t>
            </w:r>
          </w:p>
        </w:tc>
        <w:tc>
          <w:tcPr>
            <w:tcW w:w="304" w:type="pct"/>
            <w:tcBorders>
              <w:tl2br w:val="nil"/>
              <w:tr2bl w:val="nil"/>
            </w:tcBorders>
            <w:vAlign w:val="center"/>
          </w:tcPr>
          <w:p w14:paraId="236D8799">
            <w:pPr>
              <w:pStyle w:val="41"/>
              <w:rPr>
                <w:color w:val="auto"/>
                <w:highlight w:val="none"/>
              </w:rPr>
            </w:pPr>
            <w:r>
              <w:rPr>
                <w:rFonts w:hint="eastAsia"/>
                <w:color w:val="auto"/>
                <w:highlight w:val="none"/>
              </w:rPr>
              <w:t>17</w:t>
            </w:r>
          </w:p>
        </w:tc>
        <w:tc>
          <w:tcPr>
            <w:tcW w:w="304" w:type="pct"/>
            <w:tcBorders>
              <w:tl2br w:val="nil"/>
              <w:tr2bl w:val="nil"/>
            </w:tcBorders>
            <w:vAlign w:val="center"/>
          </w:tcPr>
          <w:p w14:paraId="3BF7B49A">
            <w:pPr>
              <w:pStyle w:val="41"/>
              <w:rPr>
                <w:color w:val="auto"/>
                <w:highlight w:val="none"/>
              </w:rPr>
            </w:pPr>
            <w:r>
              <w:rPr>
                <w:rFonts w:hint="eastAsia"/>
                <w:color w:val="auto"/>
                <w:highlight w:val="none"/>
              </w:rPr>
              <w:t>14</w:t>
            </w:r>
          </w:p>
        </w:tc>
        <w:tc>
          <w:tcPr>
            <w:tcW w:w="304" w:type="pct"/>
            <w:tcBorders>
              <w:tl2br w:val="nil"/>
              <w:tr2bl w:val="nil"/>
            </w:tcBorders>
            <w:vAlign w:val="center"/>
          </w:tcPr>
          <w:p w14:paraId="28D83E61">
            <w:pPr>
              <w:pStyle w:val="41"/>
              <w:rPr>
                <w:color w:val="auto"/>
                <w:highlight w:val="none"/>
              </w:rPr>
            </w:pPr>
            <w:r>
              <w:rPr>
                <w:rFonts w:hint="eastAsia"/>
                <w:color w:val="auto"/>
                <w:highlight w:val="none"/>
              </w:rPr>
              <w:t>18</w:t>
            </w:r>
          </w:p>
        </w:tc>
        <w:tc>
          <w:tcPr>
            <w:tcW w:w="2018" w:type="pct"/>
            <w:vMerge w:val="continue"/>
            <w:tcBorders>
              <w:tl2br w:val="nil"/>
              <w:tr2bl w:val="nil"/>
            </w:tcBorders>
            <w:vAlign w:val="center"/>
          </w:tcPr>
          <w:p w14:paraId="0ADDDF31">
            <w:pPr>
              <w:pStyle w:val="41"/>
              <w:rPr>
                <w:color w:val="auto"/>
                <w:highlight w:val="none"/>
              </w:rPr>
            </w:pPr>
          </w:p>
        </w:tc>
      </w:tr>
      <w:tr w14:paraId="1CDC47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322" w:type="pct"/>
            <w:tcBorders>
              <w:tl2br w:val="nil"/>
              <w:tr2bl w:val="nil"/>
            </w:tcBorders>
            <w:vAlign w:val="center"/>
          </w:tcPr>
          <w:p w14:paraId="20C1B803">
            <w:pPr>
              <w:pStyle w:val="41"/>
              <w:rPr>
                <w:color w:val="auto"/>
                <w:highlight w:val="none"/>
              </w:rPr>
            </w:pPr>
            <w:r>
              <w:rPr>
                <w:color w:val="auto"/>
                <w:highlight w:val="none"/>
              </w:rPr>
              <w:t>检测项目</w:t>
            </w:r>
          </w:p>
        </w:tc>
        <w:tc>
          <w:tcPr>
            <w:tcW w:w="244" w:type="pct"/>
            <w:tcBorders>
              <w:tl2br w:val="nil"/>
              <w:tr2bl w:val="nil"/>
            </w:tcBorders>
            <w:vAlign w:val="center"/>
          </w:tcPr>
          <w:p w14:paraId="42BD0E4D">
            <w:pPr>
              <w:pStyle w:val="41"/>
              <w:rPr>
                <w:color w:val="auto"/>
                <w:highlight w:val="none"/>
              </w:rPr>
            </w:pPr>
            <w:r>
              <w:rPr>
                <w:color w:val="auto"/>
                <w:highlight w:val="none"/>
              </w:rPr>
              <w:t>单位</w:t>
            </w:r>
          </w:p>
        </w:tc>
        <w:tc>
          <w:tcPr>
            <w:tcW w:w="2413" w:type="pct"/>
            <w:gridSpan w:val="8"/>
            <w:tcBorders>
              <w:tl2br w:val="nil"/>
              <w:tr2bl w:val="nil"/>
            </w:tcBorders>
            <w:vAlign w:val="center"/>
          </w:tcPr>
          <w:p w14:paraId="69DA7730">
            <w:pPr>
              <w:pStyle w:val="41"/>
              <w:rPr>
                <w:color w:val="auto"/>
                <w:highlight w:val="none"/>
              </w:rPr>
            </w:pPr>
            <w:r>
              <w:rPr>
                <w:rFonts w:hint="eastAsia"/>
                <w:color w:val="auto"/>
                <w:highlight w:val="none"/>
              </w:rPr>
              <w:t>检测结果</w:t>
            </w:r>
          </w:p>
        </w:tc>
        <w:tc>
          <w:tcPr>
            <w:tcW w:w="2018" w:type="pct"/>
            <w:vMerge w:val="continue"/>
            <w:tcBorders>
              <w:tl2br w:val="nil"/>
              <w:tr2bl w:val="nil"/>
            </w:tcBorders>
            <w:vAlign w:val="center"/>
          </w:tcPr>
          <w:p w14:paraId="7D1B56C2">
            <w:pPr>
              <w:pStyle w:val="41"/>
              <w:rPr>
                <w:color w:val="auto"/>
                <w:highlight w:val="none"/>
              </w:rPr>
            </w:pPr>
          </w:p>
        </w:tc>
      </w:tr>
      <w:tr w14:paraId="42000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322" w:type="pct"/>
            <w:tcBorders>
              <w:tl2br w:val="nil"/>
              <w:tr2bl w:val="nil"/>
            </w:tcBorders>
            <w:vAlign w:val="center"/>
          </w:tcPr>
          <w:p w14:paraId="499D25B7">
            <w:pPr>
              <w:pStyle w:val="41"/>
              <w:rPr>
                <w:color w:val="auto"/>
                <w:highlight w:val="none"/>
              </w:rPr>
            </w:pPr>
            <w:r>
              <w:rPr>
                <w:rFonts w:hint="eastAsia"/>
                <w:color w:val="auto"/>
                <w:highlight w:val="none"/>
              </w:rPr>
              <w:t>pH值</w:t>
            </w:r>
          </w:p>
        </w:tc>
        <w:tc>
          <w:tcPr>
            <w:tcW w:w="244" w:type="pct"/>
            <w:tcBorders>
              <w:tl2br w:val="nil"/>
              <w:tr2bl w:val="nil"/>
            </w:tcBorders>
            <w:vAlign w:val="center"/>
          </w:tcPr>
          <w:p w14:paraId="2CBCBF57">
            <w:pPr>
              <w:pStyle w:val="41"/>
              <w:rPr>
                <w:color w:val="auto"/>
                <w:highlight w:val="none"/>
              </w:rPr>
            </w:pPr>
            <w:r>
              <w:rPr>
                <w:rFonts w:hint="eastAsia"/>
                <w:color w:val="auto"/>
                <w:highlight w:val="none"/>
              </w:rPr>
              <w:t>无量纲</w:t>
            </w:r>
          </w:p>
        </w:tc>
        <w:tc>
          <w:tcPr>
            <w:tcW w:w="279" w:type="pct"/>
            <w:tcBorders>
              <w:tl2br w:val="nil"/>
              <w:tr2bl w:val="nil"/>
            </w:tcBorders>
            <w:vAlign w:val="center"/>
          </w:tcPr>
          <w:p w14:paraId="6005289F">
            <w:pPr>
              <w:pStyle w:val="41"/>
              <w:rPr>
                <w:color w:val="auto"/>
                <w:highlight w:val="none"/>
              </w:rPr>
            </w:pPr>
            <w:r>
              <w:rPr>
                <w:rFonts w:hint="eastAsia"/>
                <w:color w:val="auto"/>
                <w:highlight w:val="none"/>
              </w:rPr>
              <w:t>8.04</w:t>
            </w:r>
          </w:p>
        </w:tc>
        <w:tc>
          <w:tcPr>
            <w:tcW w:w="279" w:type="pct"/>
            <w:tcBorders>
              <w:tl2br w:val="nil"/>
              <w:tr2bl w:val="nil"/>
            </w:tcBorders>
            <w:vAlign w:val="center"/>
          </w:tcPr>
          <w:p w14:paraId="40F4488F">
            <w:pPr>
              <w:pStyle w:val="41"/>
              <w:rPr>
                <w:color w:val="auto"/>
                <w:highlight w:val="none"/>
              </w:rPr>
            </w:pPr>
            <w:r>
              <w:rPr>
                <w:rFonts w:hint="eastAsia"/>
                <w:color w:val="auto"/>
                <w:highlight w:val="none"/>
              </w:rPr>
              <w:t>7.98</w:t>
            </w:r>
          </w:p>
        </w:tc>
        <w:tc>
          <w:tcPr>
            <w:tcW w:w="318" w:type="pct"/>
            <w:tcBorders>
              <w:tl2br w:val="nil"/>
              <w:tr2bl w:val="nil"/>
            </w:tcBorders>
            <w:vAlign w:val="center"/>
          </w:tcPr>
          <w:p w14:paraId="769065E5">
            <w:pPr>
              <w:pStyle w:val="41"/>
              <w:rPr>
                <w:color w:val="auto"/>
                <w:highlight w:val="none"/>
              </w:rPr>
            </w:pPr>
            <w:r>
              <w:rPr>
                <w:rFonts w:hint="eastAsia"/>
                <w:color w:val="auto"/>
                <w:highlight w:val="none"/>
              </w:rPr>
              <w:t>7.86</w:t>
            </w:r>
          </w:p>
        </w:tc>
        <w:tc>
          <w:tcPr>
            <w:tcW w:w="318" w:type="pct"/>
            <w:tcBorders>
              <w:tl2br w:val="nil"/>
              <w:tr2bl w:val="nil"/>
            </w:tcBorders>
            <w:vAlign w:val="center"/>
          </w:tcPr>
          <w:p w14:paraId="1CA1FB21">
            <w:pPr>
              <w:pStyle w:val="41"/>
              <w:rPr>
                <w:color w:val="auto"/>
                <w:highlight w:val="none"/>
              </w:rPr>
            </w:pPr>
            <w:r>
              <w:rPr>
                <w:rFonts w:hint="eastAsia"/>
                <w:color w:val="auto"/>
                <w:highlight w:val="none"/>
              </w:rPr>
              <w:t>7.84</w:t>
            </w:r>
          </w:p>
        </w:tc>
        <w:tc>
          <w:tcPr>
            <w:tcW w:w="304" w:type="pct"/>
            <w:tcBorders>
              <w:tl2br w:val="nil"/>
              <w:tr2bl w:val="nil"/>
            </w:tcBorders>
            <w:vAlign w:val="center"/>
          </w:tcPr>
          <w:p w14:paraId="0D2BDB10">
            <w:pPr>
              <w:pStyle w:val="41"/>
              <w:rPr>
                <w:color w:val="auto"/>
                <w:highlight w:val="none"/>
              </w:rPr>
            </w:pPr>
            <w:r>
              <w:rPr>
                <w:rFonts w:hint="eastAsia"/>
                <w:color w:val="auto"/>
                <w:highlight w:val="none"/>
              </w:rPr>
              <w:t>7.89</w:t>
            </w:r>
          </w:p>
        </w:tc>
        <w:tc>
          <w:tcPr>
            <w:tcW w:w="304" w:type="pct"/>
            <w:tcBorders>
              <w:tl2br w:val="nil"/>
              <w:tr2bl w:val="nil"/>
            </w:tcBorders>
            <w:vAlign w:val="center"/>
          </w:tcPr>
          <w:p w14:paraId="667F9F85">
            <w:pPr>
              <w:pStyle w:val="41"/>
              <w:rPr>
                <w:color w:val="auto"/>
                <w:highlight w:val="none"/>
              </w:rPr>
            </w:pPr>
            <w:r>
              <w:rPr>
                <w:rFonts w:hint="eastAsia"/>
                <w:color w:val="auto"/>
                <w:highlight w:val="none"/>
              </w:rPr>
              <w:t>7.84</w:t>
            </w:r>
          </w:p>
        </w:tc>
        <w:tc>
          <w:tcPr>
            <w:tcW w:w="304" w:type="pct"/>
            <w:tcBorders>
              <w:tl2br w:val="nil"/>
              <w:tr2bl w:val="nil"/>
            </w:tcBorders>
            <w:vAlign w:val="center"/>
          </w:tcPr>
          <w:p w14:paraId="49179FB0">
            <w:pPr>
              <w:pStyle w:val="41"/>
              <w:rPr>
                <w:color w:val="auto"/>
                <w:highlight w:val="none"/>
              </w:rPr>
            </w:pPr>
            <w:r>
              <w:rPr>
                <w:rFonts w:hint="eastAsia"/>
                <w:color w:val="auto"/>
                <w:highlight w:val="none"/>
              </w:rPr>
              <w:t>7.91</w:t>
            </w:r>
          </w:p>
        </w:tc>
        <w:tc>
          <w:tcPr>
            <w:tcW w:w="304" w:type="pct"/>
            <w:tcBorders>
              <w:tl2br w:val="nil"/>
              <w:tr2bl w:val="nil"/>
            </w:tcBorders>
            <w:vAlign w:val="center"/>
          </w:tcPr>
          <w:p w14:paraId="2A55EBC5">
            <w:pPr>
              <w:pStyle w:val="41"/>
              <w:rPr>
                <w:color w:val="auto"/>
                <w:highlight w:val="none"/>
              </w:rPr>
            </w:pPr>
            <w:r>
              <w:rPr>
                <w:rFonts w:hint="eastAsia"/>
                <w:color w:val="auto"/>
                <w:highlight w:val="none"/>
              </w:rPr>
              <w:t>8.00</w:t>
            </w:r>
          </w:p>
        </w:tc>
        <w:tc>
          <w:tcPr>
            <w:tcW w:w="2018" w:type="pct"/>
            <w:tcBorders>
              <w:tl2br w:val="nil"/>
              <w:tr2bl w:val="nil"/>
            </w:tcBorders>
            <w:vAlign w:val="center"/>
          </w:tcPr>
          <w:p w14:paraId="3D42AD53">
            <w:pPr>
              <w:pStyle w:val="41"/>
              <w:rPr>
                <w:color w:val="auto"/>
                <w:highlight w:val="none"/>
              </w:rPr>
            </w:pPr>
            <w:r>
              <w:rPr>
                <w:color w:val="auto"/>
                <w:highlight w:val="none"/>
              </w:rPr>
              <w:t>&gt;</w:t>
            </w:r>
            <w:r>
              <w:rPr>
                <w:rFonts w:hint="eastAsia"/>
                <w:color w:val="auto"/>
                <w:highlight w:val="none"/>
              </w:rPr>
              <w:t>7.5</w:t>
            </w:r>
          </w:p>
        </w:tc>
      </w:tr>
      <w:tr w14:paraId="5530EC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322" w:type="pct"/>
            <w:tcBorders>
              <w:tl2br w:val="nil"/>
              <w:tr2bl w:val="nil"/>
            </w:tcBorders>
            <w:vAlign w:val="center"/>
          </w:tcPr>
          <w:p w14:paraId="16B08576">
            <w:pPr>
              <w:pStyle w:val="41"/>
              <w:rPr>
                <w:color w:val="auto"/>
                <w:highlight w:val="none"/>
              </w:rPr>
            </w:pPr>
            <w:r>
              <w:rPr>
                <w:rFonts w:hint="eastAsia"/>
                <w:color w:val="auto"/>
                <w:highlight w:val="none"/>
              </w:rPr>
              <w:t>砷</w:t>
            </w:r>
          </w:p>
        </w:tc>
        <w:tc>
          <w:tcPr>
            <w:tcW w:w="244" w:type="pct"/>
            <w:tcBorders>
              <w:tl2br w:val="nil"/>
              <w:tr2bl w:val="nil"/>
            </w:tcBorders>
            <w:vAlign w:val="center"/>
          </w:tcPr>
          <w:p w14:paraId="0CFCC567">
            <w:pPr>
              <w:pStyle w:val="41"/>
              <w:rPr>
                <w:color w:val="auto"/>
                <w:highlight w:val="none"/>
              </w:rPr>
            </w:pPr>
            <w:r>
              <w:rPr>
                <w:color w:val="auto"/>
                <w:highlight w:val="none"/>
              </w:rPr>
              <w:t>mg/</w:t>
            </w:r>
            <w:r>
              <w:rPr>
                <w:rFonts w:hint="eastAsia"/>
                <w:color w:val="auto"/>
                <w:highlight w:val="none"/>
              </w:rPr>
              <w:t>kg</w:t>
            </w:r>
          </w:p>
        </w:tc>
        <w:tc>
          <w:tcPr>
            <w:tcW w:w="279" w:type="pct"/>
            <w:tcBorders>
              <w:tl2br w:val="nil"/>
              <w:tr2bl w:val="nil"/>
            </w:tcBorders>
            <w:vAlign w:val="center"/>
          </w:tcPr>
          <w:p w14:paraId="582DC979">
            <w:pPr>
              <w:pStyle w:val="41"/>
              <w:rPr>
                <w:color w:val="auto"/>
                <w:highlight w:val="none"/>
              </w:rPr>
            </w:pPr>
            <w:r>
              <w:rPr>
                <w:rFonts w:hint="eastAsia"/>
                <w:color w:val="auto"/>
                <w:highlight w:val="none"/>
              </w:rPr>
              <w:t>3.5</w:t>
            </w:r>
          </w:p>
        </w:tc>
        <w:tc>
          <w:tcPr>
            <w:tcW w:w="279" w:type="pct"/>
            <w:tcBorders>
              <w:tl2br w:val="nil"/>
              <w:tr2bl w:val="nil"/>
            </w:tcBorders>
            <w:vAlign w:val="center"/>
          </w:tcPr>
          <w:p w14:paraId="6F97049D">
            <w:pPr>
              <w:pStyle w:val="41"/>
              <w:rPr>
                <w:color w:val="auto"/>
                <w:highlight w:val="none"/>
              </w:rPr>
            </w:pPr>
            <w:r>
              <w:rPr>
                <w:rFonts w:hint="eastAsia"/>
                <w:color w:val="auto"/>
                <w:highlight w:val="none"/>
              </w:rPr>
              <w:t>2.7</w:t>
            </w:r>
          </w:p>
        </w:tc>
        <w:tc>
          <w:tcPr>
            <w:tcW w:w="318" w:type="pct"/>
            <w:tcBorders>
              <w:tl2br w:val="nil"/>
              <w:tr2bl w:val="nil"/>
            </w:tcBorders>
            <w:vAlign w:val="center"/>
          </w:tcPr>
          <w:p w14:paraId="0F98FD30">
            <w:pPr>
              <w:pStyle w:val="41"/>
              <w:rPr>
                <w:color w:val="auto"/>
                <w:highlight w:val="none"/>
              </w:rPr>
            </w:pPr>
            <w:r>
              <w:rPr>
                <w:rFonts w:hint="eastAsia"/>
                <w:color w:val="auto"/>
                <w:highlight w:val="none"/>
              </w:rPr>
              <w:t>3.3</w:t>
            </w:r>
          </w:p>
        </w:tc>
        <w:tc>
          <w:tcPr>
            <w:tcW w:w="318" w:type="pct"/>
            <w:tcBorders>
              <w:tl2br w:val="nil"/>
              <w:tr2bl w:val="nil"/>
            </w:tcBorders>
            <w:vAlign w:val="center"/>
          </w:tcPr>
          <w:p w14:paraId="7B35E18B">
            <w:pPr>
              <w:pStyle w:val="41"/>
              <w:rPr>
                <w:color w:val="auto"/>
                <w:highlight w:val="none"/>
              </w:rPr>
            </w:pPr>
            <w:r>
              <w:rPr>
                <w:rFonts w:hint="eastAsia"/>
                <w:color w:val="auto"/>
                <w:highlight w:val="none"/>
              </w:rPr>
              <w:t>3.8</w:t>
            </w:r>
          </w:p>
        </w:tc>
        <w:tc>
          <w:tcPr>
            <w:tcW w:w="304" w:type="pct"/>
            <w:tcBorders>
              <w:tl2br w:val="nil"/>
              <w:tr2bl w:val="nil"/>
            </w:tcBorders>
            <w:vAlign w:val="center"/>
          </w:tcPr>
          <w:p w14:paraId="5D1A79CB">
            <w:pPr>
              <w:pStyle w:val="41"/>
              <w:rPr>
                <w:color w:val="auto"/>
                <w:highlight w:val="none"/>
              </w:rPr>
            </w:pPr>
            <w:r>
              <w:rPr>
                <w:rFonts w:hint="eastAsia"/>
                <w:color w:val="auto"/>
                <w:highlight w:val="none"/>
              </w:rPr>
              <w:t>4.1</w:t>
            </w:r>
          </w:p>
        </w:tc>
        <w:tc>
          <w:tcPr>
            <w:tcW w:w="304" w:type="pct"/>
            <w:tcBorders>
              <w:tl2br w:val="nil"/>
              <w:tr2bl w:val="nil"/>
            </w:tcBorders>
            <w:vAlign w:val="center"/>
          </w:tcPr>
          <w:p w14:paraId="5BBF5AF4">
            <w:pPr>
              <w:pStyle w:val="41"/>
              <w:rPr>
                <w:color w:val="auto"/>
                <w:highlight w:val="none"/>
              </w:rPr>
            </w:pPr>
            <w:r>
              <w:rPr>
                <w:rFonts w:hint="eastAsia"/>
                <w:color w:val="auto"/>
                <w:highlight w:val="none"/>
              </w:rPr>
              <w:t>2.0</w:t>
            </w:r>
          </w:p>
        </w:tc>
        <w:tc>
          <w:tcPr>
            <w:tcW w:w="304" w:type="pct"/>
            <w:tcBorders>
              <w:tl2br w:val="nil"/>
              <w:tr2bl w:val="nil"/>
            </w:tcBorders>
            <w:vAlign w:val="center"/>
          </w:tcPr>
          <w:p w14:paraId="5711264B">
            <w:pPr>
              <w:pStyle w:val="41"/>
              <w:rPr>
                <w:color w:val="auto"/>
                <w:highlight w:val="none"/>
              </w:rPr>
            </w:pPr>
            <w:r>
              <w:rPr>
                <w:rFonts w:hint="eastAsia"/>
                <w:color w:val="auto"/>
                <w:highlight w:val="none"/>
              </w:rPr>
              <w:t>2.7</w:t>
            </w:r>
          </w:p>
        </w:tc>
        <w:tc>
          <w:tcPr>
            <w:tcW w:w="304" w:type="pct"/>
            <w:tcBorders>
              <w:tl2br w:val="nil"/>
              <w:tr2bl w:val="nil"/>
            </w:tcBorders>
            <w:vAlign w:val="center"/>
          </w:tcPr>
          <w:p w14:paraId="47F6FB6A">
            <w:pPr>
              <w:pStyle w:val="41"/>
              <w:rPr>
                <w:color w:val="auto"/>
                <w:highlight w:val="none"/>
              </w:rPr>
            </w:pPr>
            <w:r>
              <w:rPr>
                <w:rFonts w:hint="eastAsia"/>
                <w:color w:val="auto"/>
                <w:highlight w:val="none"/>
              </w:rPr>
              <w:t>3.5</w:t>
            </w:r>
          </w:p>
        </w:tc>
        <w:tc>
          <w:tcPr>
            <w:tcW w:w="2018" w:type="pct"/>
            <w:tcBorders>
              <w:tl2br w:val="nil"/>
              <w:tr2bl w:val="nil"/>
            </w:tcBorders>
            <w:vAlign w:val="center"/>
          </w:tcPr>
          <w:p w14:paraId="6917E81F">
            <w:pPr>
              <w:pStyle w:val="41"/>
              <w:rPr>
                <w:color w:val="auto"/>
                <w:highlight w:val="none"/>
              </w:rPr>
            </w:pPr>
            <w:r>
              <w:rPr>
                <w:rFonts w:hint="eastAsia"/>
                <w:color w:val="auto"/>
                <w:highlight w:val="none"/>
              </w:rPr>
              <w:t>25</w:t>
            </w:r>
          </w:p>
        </w:tc>
      </w:tr>
      <w:tr w14:paraId="2CFBC9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322" w:type="pct"/>
            <w:tcBorders>
              <w:tl2br w:val="nil"/>
              <w:tr2bl w:val="nil"/>
            </w:tcBorders>
            <w:vAlign w:val="center"/>
          </w:tcPr>
          <w:p w14:paraId="50F04174">
            <w:pPr>
              <w:pStyle w:val="41"/>
              <w:rPr>
                <w:color w:val="auto"/>
                <w:highlight w:val="none"/>
              </w:rPr>
            </w:pPr>
            <w:r>
              <w:rPr>
                <w:rFonts w:hint="eastAsia"/>
                <w:color w:val="auto"/>
                <w:highlight w:val="none"/>
              </w:rPr>
              <w:t>铅</w:t>
            </w:r>
          </w:p>
        </w:tc>
        <w:tc>
          <w:tcPr>
            <w:tcW w:w="244" w:type="pct"/>
            <w:tcBorders>
              <w:tl2br w:val="nil"/>
              <w:tr2bl w:val="nil"/>
            </w:tcBorders>
            <w:vAlign w:val="center"/>
          </w:tcPr>
          <w:p w14:paraId="2C0BE39F">
            <w:pPr>
              <w:pStyle w:val="41"/>
              <w:rPr>
                <w:color w:val="auto"/>
                <w:highlight w:val="none"/>
              </w:rPr>
            </w:pPr>
            <w:r>
              <w:rPr>
                <w:color w:val="auto"/>
                <w:highlight w:val="none"/>
              </w:rPr>
              <w:t>mg/</w:t>
            </w:r>
            <w:r>
              <w:rPr>
                <w:rFonts w:hint="eastAsia"/>
                <w:color w:val="auto"/>
                <w:highlight w:val="none"/>
              </w:rPr>
              <w:t>kg</w:t>
            </w:r>
          </w:p>
        </w:tc>
        <w:tc>
          <w:tcPr>
            <w:tcW w:w="279" w:type="pct"/>
            <w:tcBorders>
              <w:tl2br w:val="nil"/>
              <w:tr2bl w:val="nil"/>
            </w:tcBorders>
            <w:vAlign w:val="center"/>
          </w:tcPr>
          <w:p w14:paraId="5F28147D">
            <w:pPr>
              <w:pStyle w:val="41"/>
              <w:rPr>
                <w:color w:val="auto"/>
                <w:highlight w:val="none"/>
              </w:rPr>
            </w:pPr>
            <w:r>
              <w:rPr>
                <w:rFonts w:hint="eastAsia"/>
                <w:color w:val="auto"/>
                <w:highlight w:val="none"/>
              </w:rPr>
              <w:t>18</w:t>
            </w:r>
          </w:p>
        </w:tc>
        <w:tc>
          <w:tcPr>
            <w:tcW w:w="279" w:type="pct"/>
            <w:tcBorders>
              <w:tl2br w:val="nil"/>
              <w:tr2bl w:val="nil"/>
            </w:tcBorders>
            <w:vAlign w:val="center"/>
          </w:tcPr>
          <w:p w14:paraId="1FA6F56D">
            <w:pPr>
              <w:pStyle w:val="41"/>
              <w:rPr>
                <w:color w:val="auto"/>
                <w:highlight w:val="none"/>
              </w:rPr>
            </w:pPr>
            <w:r>
              <w:rPr>
                <w:rFonts w:hint="eastAsia"/>
                <w:color w:val="auto"/>
                <w:highlight w:val="none"/>
              </w:rPr>
              <w:t>18</w:t>
            </w:r>
          </w:p>
        </w:tc>
        <w:tc>
          <w:tcPr>
            <w:tcW w:w="318" w:type="pct"/>
            <w:tcBorders>
              <w:tl2br w:val="nil"/>
              <w:tr2bl w:val="nil"/>
            </w:tcBorders>
            <w:vAlign w:val="center"/>
          </w:tcPr>
          <w:p w14:paraId="63220D4B">
            <w:pPr>
              <w:pStyle w:val="41"/>
              <w:rPr>
                <w:color w:val="auto"/>
                <w:highlight w:val="none"/>
              </w:rPr>
            </w:pPr>
            <w:r>
              <w:rPr>
                <w:rFonts w:hint="eastAsia"/>
                <w:color w:val="auto"/>
                <w:highlight w:val="none"/>
              </w:rPr>
              <w:t>19</w:t>
            </w:r>
          </w:p>
        </w:tc>
        <w:tc>
          <w:tcPr>
            <w:tcW w:w="318" w:type="pct"/>
            <w:tcBorders>
              <w:tl2br w:val="nil"/>
              <w:tr2bl w:val="nil"/>
            </w:tcBorders>
            <w:vAlign w:val="center"/>
          </w:tcPr>
          <w:p w14:paraId="2C64E704">
            <w:pPr>
              <w:pStyle w:val="41"/>
              <w:rPr>
                <w:color w:val="auto"/>
                <w:highlight w:val="none"/>
              </w:rPr>
            </w:pPr>
            <w:r>
              <w:rPr>
                <w:rFonts w:hint="eastAsia"/>
                <w:color w:val="auto"/>
                <w:highlight w:val="none"/>
              </w:rPr>
              <w:t>18</w:t>
            </w:r>
          </w:p>
        </w:tc>
        <w:tc>
          <w:tcPr>
            <w:tcW w:w="304" w:type="pct"/>
            <w:tcBorders>
              <w:tl2br w:val="nil"/>
              <w:tr2bl w:val="nil"/>
            </w:tcBorders>
            <w:vAlign w:val="center"/>
          </w:tcPr>
          <w:p w14:paraId="35FF4617">
            <w:pPr>
              <w:pStyle w:val="41"/>
              <w:rPr>
                <w:color w:val="auto"/>
                <w:highlight w:val="none"/>
              </w:rPr>
            </w:pPr>
            <w:r>
              <w:rPr>
                <w:rFonts w:hint="eastAsia"/>
                <w:color w:val="auto"/>
                <w:highlight w:val="none"/>
              </w:rPr>
              <w:t>15</w:t>
            </w:r>
          </w:p>
        </w:tc>
        <w:tc>
          <w:tcPr>
            <w:tcW w:w="304" w:type="pct"/>
            <w:tcBorders>
              <w:tl2br w:val="nil"/>
              <w:tr2bl w:val="nil"/>
            </w:tcBorders>
            <w:vAlign w:val="center"/>
          </w:tcPr>
          <w:p w14:paraId="1D30BEB1">
            <w:pPr>
              <w:pStyle w:val="41"/>
              <w:rPr>
                <w:color w:val="auto"/>
                <w:highlight w:val="none"/>
              </w:rPr>
            </w:pPr>
            <w:r>
              <w:rPr>
                <w:rFonts w:hint="eastAsia"/>
                <w:color w:val="auto"/>
                <w:highlight w:val="none"/>
              </w:rPr>
              <w:t>16</w:t>
            </w:r>
          </w:p>
        </w:tc>
        <w:tc>
          <w:tcPr>
            <w:tcW w:w="304" w:type="pct"/>
            <w:tcBorders>
              <w:tl2br w:val="nil"/>
              <w:tr2bl w:val="nil"/>
            </w:tcBorders>
            <w:vAlign w:val="center"/>
          </w:tcPr>
          <w:p w14:paraId="72105A13">
            <w:pPr>
              <w:pStyle w:val="41"/>
              <w:rPr>
                <w:color w:val="auto"/>
                <w:highlight w:val="none"/>
              </w:rPr>
            </w:pPr>
            <w:r>
              <w:rPr>
                <w:rFonts w:hint="eastAsia"/>
                <w:color w:val="auto"/>
                <w:highlight w:val="none"/>
              </w:rPr>
              <w:t>15</w:t>
            </w:r>
          </w:p>
        </w:tc>
        <w:tc>
          <w:tcPr>
            <w:tcW w:w="304" w:type="pct"/>
            <w:tcBorders>
              <w:tl2br w:val="nil"/>
              <w:tr2bl w:val="nil"/>
            </w:tcBorders>
            <w:vAlign w:val="center"/>
          </w:tcPr>
          <w:p w14:paraId="785C7991">
            <w:pPr>
              <w:pStyle w:val="41"/>
              <w:rPr>
                <w:color w:val="auto"/>
                <w:highlight w:val="none"/>
              </w:rPr>
            </w:pPr>
            <w:r>
              <w:rPr>
                <w:rFonts w:hint="eastAsia"/>
                <w:color w:val="auto"/>
                <w:highlight w:val="none"/>
              </w:rPr>
              <w:t>15</w:t>
            </w:r>
          </w:p>
        </w:tc>
        <w:tc>
          <w:tcPr>
            <w:tcW w:w="2018" w:type="pct"/>
            <w:tcBorders>
              <w:tl2br w:val="nil"/>
              <w:tr2bl w:val="nil"/>
            </w:tcBorders>
            <w:vAlign w:val="center"/>
          </w:tcPr>
          <w:p w14:paraId="0EB0BAD2">
            <w:pPr>
              <w:pStyle w:val="41"/>
              <w:rPr>
                <w:color w:val="auto"/>
                <w:highlight w:val="none"/>
              </w:rPr>
            </w:pPr>
            <w:r>
              <w:rPr>
                <w:rFonts w:hint="eastAsia"/>
                <w:color w:val="auto"/>
                <w:highlight w:val="none"/>
              </w:rPr>
              <w:t>170</w:t>
            </w:r>
          </w:p>
        </w:tc>
      </w:tr>
      <w:tr w14:paraId="06591C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322" w:type="pct"/>
            <w:tcBorders>
              <w:tl2br w:val="nil"/>
              <w:tr2bl w:val="nil"/>
            </w:tcBorders>
            <w:vAlign w:val="center"/>
          </w:tcPr>
          <w:p w14:paraId="52720571">
            <w:pPr>
              <w:pStyle w:val="41"/>
              <w:rPr>
                <w:color w:val="auto"/>
                <w:highlight w:val="none"/>
              </w:rPr>
            </w:pPr>
            <w:r>
              <w:rPr>
                <w:rFonts w:hint="eastAsia"/>
                <w:color w:val="auto"/>
                <w:highlight w:val="none"/>
              </w:rPr>
              <w:t>汞</w:t>
            </w:r>
          </w:p>
        </w:tc>
        <w:tc>
          <w:tcPr>
            <w:tcW w:w="244" w:type="pct"/>
            <w:tcBorders>
              <w:tl2br w:val="nil"/>
              <w:tr2bl w:val="nil"/>
            </w:tcBorders>
            <w:vAlign w:val="center"/>
          </w:tcPr>
          <w:p w14:paraId="7B479A7C">
            <w:pPr>
              <w:pStyle w:val="41"/>
              <w:rPr>
                <w:color w:val="auto"/>
                <w:highlight w:val="none"/>
              </w:rPr>
            </w:pPr>
            <w:r>
              <w:rPr>
                <w:color w:val="auto"/>
                <w:highlight w:val="none"/>
              </w:rPr>
              <w:t>mg/</w:t>
            </w:r>
            <w:r>
              <w:rPr>
                <w:rFonts w:hint="eastAsia"/>
                <w:color w:val="auto"/>
                <w:highlight w:val="none"/>
              </w:rPr>
              <w:t>kg</w:t>
            </w:r>
          </w:p>
        </w:tc>
        <w:tc>
          <w:tcPr>
            <w:tcW w:w="279" w:type="pct"/>
            <w:tcBorders>
              <w:tl2br w:val="nil"/>
              <w:tr2bl w:val="nil"/>
            </w:tcBorders>
            <w:vAlign w:val="center"/>
          </w:tcPr>
          <w:p w14:paraId="04FE9078">
            <w:pPr>
              <w:pStyle w:val="41"/>
              <w:rPr>
                <w:color w:val="auto"/>
                <w:highlight w:val="none"/>
              </w:rPr>
            </w:pPr>
            <w:r>
              <w:rPr>
                <w:rFonts w:hint="eastAsia"/>
                <w:color w:val="auto"/>
                <w:highlight w:val="none"/>
              </w:rPr>
              <w:t>0.158</w:t>
            </w:r>
          </w:p>
        </w:tc>
        <w:tc>
          <w:tcPr>
            <w:tcW w:w="279" w:type="pct"/>
            <w:tcBorders>
              <w:tl2br w:val="nil"/>
              <w:tr2bl w:val="nil"/>
            </w:tcBorders>
            <w:vAlign w:val="center"/>
          </w:tcPr>
          <w:p w14:paraId="34F9042A">
            <w:pPr>
              <w:pStyle w:val="41"/>
              <w:rPr>
                <w:color w:val="auto"/>
                <w:highlight w:val="none"/>
              </w:rPr>
            </w:pPr>
            <w:r>
              <w:rPr>
                <w:rFonts w:hint="eastAsia"/>
                <w:color w:val="auto"/>
                <w:highlight w:val="none"/>
              </w:rPr>
              <w:t>0.159</w:t>
            </w:r>
          </w:p>
        </w:tc>
        <w:tc>
          <w:tcPr>
            <w:tcW w:w="318" w:type="pct"/>
            <w:tcBorders>
              <w:tl2br w:val="nil"/>
              <w:tr2bl w:val="nil"/>
            </w:tcBorders>
            <w:vAlign w:val="center"/>
          </w:tcPr>
          <w:p w14:paraId="50219E6B">
            <w:pPr>
              <w:pStyle w:val="41"/>
              <w:rPr>
                <w:color w:val="auto"/>
                <w:highlight w:val="none"/>
              </w:rPr>
            </w:pPr>
            <w:r>
              <w:rPr>
                <w:rFonts w:hint="eastAsia"/>
                <w:color w:val="auto"/>
                <w:highlight w:val="none"/>
              </w:rPr>
              <w:t>0.115</w:t>
            </w:r>
          </w:p>
        </w:tc>
        <w:tc>
          <w:tcPr>
            <w:tcW w:w="318" w:type="pct"/>
            <w:tcBorders>
              <w:tl2br w:val="nil"/>
              <w:tr2bl w:val="nil"/>
            </w:tcBorders>
            <w:vAlign w:val="center"/>
          </w:tcPr>
          <w:p w14:paraId="34C73C93">
            <w:pPr>
              <w:pStyle w:val="41"/>
              <w:rPr>
                <w:color w:val="auto"/>
                <w:highlight w:val="none"/>
              </w:rPr>
            </w:pPr>
            <w:r>
              <w:rPr>
                <w:rFonts w:hint="eastAsia"/>
                <w:color w:val="auto"/>
                <w:highlight w:val="none"/>
              </w:rPr>
              <w:t>0.116</w:t>
            </w:r>
          </w:p>
        </w:tc>
        <w:tc>
          <w:tcPr>
            <w:tcW w:w="304" w:type="pct"/>
            <w:tcBorders>
              <w:tl2br w:val="nil"/>
              <w:tr2bl w:val="nil"/>
            </w:tcBorders>
            <w:vAlign w:val="center"/>
          </w:tcPr>
          <w:p w14:paraId="5A6B94BD">
            <w:pPr>
              <w:pStyle w:val="41"/>
              <w:rPr>
                <w:color w:val="auto"/>
                <w:highlight w:val="none"/>
              </w:rPr>
            </w:pPr>
            <w:r>
              <w:rPr>
                <w:rFonts w:hint="eastAsia"/>
                <w:color w:val="auto"/>
                <w:highlight w:val="none"/>
              </w:rPr>
              <w:t>0.118</w:t>
            </w:r>
          </w:p>
        </w:tc>
        <w:tc>
          <w:tcPr>
            <w:tcW w:w="304" w:type="pct"/>
            <w:tcBorders>
              <w:tl2br w:val="nil"/>
              <w:tr2bl w:val="nil"/>
            </w:tcBorders>
            <w:vAlign w:val="center"/>
          </w:tcPr>
          <w:p w14:paraId="6C35FF7C">
            <w:pPr>
              <w:pStyle w:val="41"/>
              <w:rPr>
                <w:color w:val="auto"/>
                <w:highlight w:val="none"/>
              </w:rPr>
            </w:pPr>
            <w:r>
              <w:rPr>
                <w:rFonts w:hint="eastAsia"/>
                <w:color w:val="auto"/>
                <w:highlight w:val="none"/>
              </w:rPr>
              <w:t>0.089</w:t>
            </w:r>
          </w:p>
        </w:tc>
        <w:tc>
          <w:tcPr>
            <w:tcW w:w="304" w:type="pct"/>
            <w:tcBorders>
              <w:tl2br w:val="nil"/>
              <w:tr2bl w:val="nil"/>
            </w:tcBorders>
            <w:vAlign w:val="center"/>
          </w:tcPr>
          <w:p w14:paraId="6E97164E">
            <w:pPr>
              <w:pStyle w:val="41"/>
              <w:rPr>
                <w:color w:val="auto"/>
                <w:highlight w:val="none"/>
              </w:rPr>
            </w:pPr>
            <w:r>
              <w:rPr>
                <w:rFonts w:hint="eastAsia"/>
                <w:color w:val="auto"/>
                <w:highlight w:val="none"/>
              </w:rPr>
              <w:t>0.161</w:t>
            </w:r>
          </w:p>
        </w:tc>
        <w:tc>
          <w:tcPr>
            <w:tcW w:w="304" w:type="pct"/>
            <w:tcBorders>
              <w:tl2br w:val="nil"/>
              <w:tr2bl w:val="nil"/>
            </w:tcBorders>
            <w:vAlign w:val="center"/>
          </w:tcPr>
          <w:p w14:paraId="353F9BA8">
            <w:pPr>
              <w:pStyle w:val="41"/>
              <w:rPr>
                <w:color w:val="auto"/>
                <w:highlight w:val="none"/>
              </w:rPr>
            </w:pPr>
            <w:r>
              <w:rPr>
                <w:rFonts w:hint="eastAsia"/>
                <w:color w:val="auto"/>
                <w:highlight w:val="none"/>
              </w:rPr>
              <w:t>0.134</w:t>
            </w:r>
          </w:p>
        </w:tc>
        <w:tc>
          <w:tcPr>
            <w:tcW w:w="2018" w:type="pct"/>
            <w:tcBorders>
              <w:tl2br w:val="nil"/>
              <w:tr2bl w:val="nil"/>
            </w:tcBorders>
            <w:vAlign w:val="center"/>
          </w:tcPr>
          <w:p w14:paraId="64435678">
            <w:pPr>
              <w:pStyle w:val="41"/>
              <w:rPr>
                <w:color w:val="auto"/>
                <w:highlight w:val="none"/>
              </w:rPr>
            </w:pPr>
            <w:r>
              <w:rPr>
                <w:rFonts w:hint="eastAsia"/>
                <w:color w:val="auto"/>
                <w:highlight w:val="none"/>
              </w:rPr>
              <w:t>3.4</w:t>
            </w:r>
          </w:p>
        </w:tc>
      </w:tr>
      <w:tr w14:paraId="57E306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322" w:type="pct"/>
            <w:tcBorders>
              <w:tl2br w:val="nil"/>
              <w:tr2bl w:val="nil"/>
            </w:tcBorders>
            <w:vAlign w:val="center"/>
          </w:tcPr>
          <w:p w14:paraId="23ACEB17">
            <w:pPr>
              <w:pStyle w:val="41"/>
              <w:rPr>
                <w:color w:val="auto"/>
                <w:highlight w:val="none"/>
              </w:rPr>
            </w:pPr>
            <w:r>
              <w:rPr>
                <w:rFonts w:hint="eastAsia"/>
                <w:color w:val="auto"/>
                <w:highlight w:val="none"/>
              </w:rPr>
              <w:t>镉</w:t>
            </w:r>
          </w:p>
        </w:tc>
        <w:tc>
          <w:tcPr>
            <w:tcW w:w="244" w:type="pct"/>
            <w:tcBorders>
              <w:tl2br w:val="nil"/>
              <w:tr2bl w:val="nil"/>
            </w:tcBorders>
            <w:vAlign w:val="center"/>
          </w:tcPr>
          <w:p w14:paraId="3BC3A294">
            <w:pPr>
              <w:pStyle w:val="41"/>
              <w:rPr>
                <w:color w:val="auto"/>
                <w:highlight w:val="none"/>
              </w:rPr>
            </w:pPr>
            <w:r>
              <w:rPr>
                <w:color w:val="auto"/>
                <w:highlight w:val="none"/>
              </w:rPr>
              <w:t>mg/</w:t>
            </w:r>
            <w:r>
              <w:rPr>
                <w:rFonts w:hint="eastAsia"/>
                <w:color w:val="auto"/>
                <w:highlight w:val="none"/>
              </w:rPr>
              <w:t>kg</w:t>
            </w:r>
          </w:p>
        </w:tc>
        <w:tc>
          <w:tcPr>
            <w:tcW w:w="279" w:type="pct"/>
            <w:tcBorders>
              <w:tl2br w:val="nil"/>
              <w:tr2bl w:val="nil"/>
            </w:tcBorders>
            <w:vAlign w:val="center"/>
          </w:tcPr>
          <w:p w14:paraId="5B40DDB5">
            <w:pPr>
              <w:pStyle w:val="41"/>
              <w:rPr>
                <w:color w:val="auto"/>
                <w:highlight w:val="none"/>
              </w:rPr>
            </w:pPr>
            <w:r>
              <w:rPr>
                <w:rFonts w:hint="eastAsia"/>
                <w:color w:val="auto"/>
                <w:highlight w:val="none"/>
              </w:rPr>
              <w:t>未检出</w:t>
            </w:r>
          </w:p>
        </w:tc>
        <w:tc>
          <w:tcPr>
            <w:tcW w:w="279" w:type="pct"/>
            <w:tcBorders>
              <w:tl2br w:val="nil"/>
              <w:tr2bl w:val="nil"/>
            </w:tcBorders>
            <w:vAlign w:val="center"/>
          </w:tcPr>
          <w:p w14:paraId="62864FB4">
            <w:pPr>
              <w:pStyle w:val="41"/>
              <w:rPr>
                <w:color w:val="auto"/>
                <w:highlight w:val="none"/>
              </w:rPr>
            </w:pPr>
            <w:r>
              <w:rPr>
                <w:rFonts w:hint="eastAsia"/>
                <w:color w:val="auto"/>
                <w:highlight w:val="none"/>
              </w:rPr>
              <w:t>未检出</w:t>
            </w:r>
          </w:p>
        </w:tc>
        <w:tc>
          <w:tcPr>
            <w:tcW w:w="318" w:type="pct"/>
            <w:tcBorders>
              <w:tl2br w:val="nil"/>
              <w:tr2bl w:val="nil"/>
            </w:tcBorders>
            <w:vAlign w:val="center"/>
          </w:tcPr>
          <w:p w14:paraId="55AC9C42">
            <w:pPr>
              <w:pStyle w:val="41"/>
              <w:rPr>
                <w:color w:val="auto"/>
                <w:highlight w:val="none"/>
              </w:rPr>
            </w:pPr>
            <w:r>
              <w:rPr>
                <w:rFonts w:hint="eastAsia"/>
                <w:color w:val="auto"/>
                <w:highlight w:val="none"/>
              </w:rPr>
              <w:t>未检出</w:t>
            </w:r>
          </w:p>
        </w:tc>
        <w:tc>
          <w:tcPr>
            <w:tcW w:w="318" w:type="pct"/>
            <w:tcBorders>
              <w:tl2br w:val="nil"/>
              <w:tr2bl w:val="nil"/>
            </w:tcBorders>
            <w:vAlign w:val="center"/>
          </w:tcPr>
          <w:p w14:paraId="59F37115">
            <w:pPr>
              <w:pStyle w:val="41"/>
              <w:rPr>
                <w:color w:val="auto"/>
                <w:highlight w:val="none"/>
              </w:rPr>
            </w:pPr>
            <w:r>
              <w:rPr>
                <w:rFonts w:hint="eastAsia"/>
                <w:color w:val="auto"/>
                <w:highlight w:val="none"/>
              </w:rPr>
              <w:t>未检出</w:t>
            </w:r>
          </w:p>
        </w:tc>
        <w:tc>
          <w:tcPr>
            <w:tcW w:w="304" w:type="pct"/>
            <w:tcBorders>
              <w:tl2br w:val="nil"/>
              <w:tr2bl w:val="nil"/>
            </w:tcBorders>
            <w:vAlign w:val="center"/>
          </w:tcPr>
          <w:p w14:paraId="6B461C0D">
            <w:pPr>
              <w:pStyle w:val="41"/>
              <w:rPr>
                <w:color w:val="auto"/>
                <w:highlight w:val="none"/>
              </w:rPr>
            </w:pPr>
            <w:r>
              <w:rPr>
                <w:rFonts w:hint="eastAsia"/>
                <w:color w:val="auto"/>
                <w:highlight w:val="none"/>
              </w:rPr>
              <w:t>未检出</w:t>
            </w:r>
          </w:p>
        </w:tc>
        <w:tc>
          <w:tcPr>
            <w:tcW w:w="304" w:type="pct"/>
            <w:tcBorders>
              <w:tl2br w:val="nil"/>
              <w:tr2bl w:val="nil"/>
            </w:tcBorders>
            <w:vAlign w:val="center"/>
          </w:tcPr>
          <w:p w14:paraId="7BAF0E5D">
            <w:pPr>
              <w:pStyle w:val="41"/>
              <w:rPr>
                <w:color w:val="auto"/>
                <w:highlight w:val="none"/>
              </w:rPr>
            </w:pPr>
            <w:r>
              <w:rPr>
                <w:rFonts w:hint="eastAsia"/>
                <w:color w:val="auto"/>
                <w:highlight w:val="none"/>
              </w:rPr>
              <w:t>未检出</w:t>
            </w:r>
          </w:p>
        </w:tc>
        <w:tc>
          <w:tcPr>
            <w:tcW w:w="304" w:type="pct"/>
            <w:tcBorders>
              <w:tl2br w:val="nil"/>
              <w:tr2bl w:val="nil"/>
            </w:tcBorders>
            <w:vAlign w:val="center"/>
          </w:tcPr>
          <w:p w14:paraId="05C6F881">
            <w:pPr>
              <w:pStyle w:val="41"/>
              <w:rPr>
                <w:color w:val="auto"/>
                <w:highlight w:val="none"/>
              </w:rPr>
            </w:pPr>
            <w:r>
              <w:rPr>
                <w:rFonts w:hint="eastAsia"/>
                <w:color w:val="auto"/>
                <w:highlight w:val="none"/>
              </w:rPr>
              <w:t>未检出</w:t>
            </w:r>
          </w:p>
        </w:tc>
        <w:tc>
          <w:tcPr>
            <w:tcW w:w="304" w:type="pct"/>
            <w:tcBorders>
              <w:tl2br w:val="nil"/>
              <w:tr2bl w:val="nil"/>
            </w:tcBorders>
            <w:vAlign w:val="center"/>
          </w:tcPr>
          <w:p w14:paraId="3D3823F0">
            <w:pPr>
              <w:pStyle w:val="41"/>
              <w:rPr>
                <w:color w:val="auto"/>
                <w:highlight w:val="none"/>
              </w:rPr>
            </w:pPr>
            <w:r>
              <w:rPr>
                <w:rFonts w:hint="eastAsia"/>
                <w:color w:val="auto"/>
                <w:highlight w:val="none"/>
              </w:rPr>
              <w:t>未检出</w:t>
            </w:r>
          </w:p>
        </w:tc>
        <w:tc>
          <w:tcPr>
            <w:tcW w:w="2018" w:type="pct"/>
            <w:tcBorders>
              <w:tl2br w:val="nil"/>
              <w:tr2bl w:val="nil"/>
            </w:tcBorders>
            <w:vAlign w:val="center"/>
          </w:tcPr>
          <w:p w14:paraId="2DC77512">
            <w:pPr>
              <w:pStyle w:val="41"/>
              <w:rPr>
                <w:color w:val="auto"/>
                <w:highlight w:val="none"/>
              </w:rPr>
            </w:pPr>
            <w:r>
              <w:rPr>
                <w:rFonts w:hint="eastAsia"/>
                <w:color w:val="auto"/>
                <w:highlight w:val="none"/>
              </w:rPr>
              <w:t>0.6</w:t>
            </w:r>
          </w:p>
        </w:tc>
      </w:tr>
      <w:tr w14:paraId="7C4A61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322" w:type="pct"/>
            <w:tcBorders>
              <w:tl2br w:val="nil"/>
              <w:tr2bl w:val="nil"/>
            </w:tcBorders>
            <w:vAlign w:val="center"/>
          </w:tcPr>
          <w:p w14:paraId="3B8DDF08">
            <w:pPr>
              <w:pStyle w:val="41"/>
              <w:rPr>
                <w:color w:val="auto"/>
                <w:highlight w:val="none"/>
              </w:rPr>
            </w:pPr>
            <w:r>
              <w:rPr>
                <w:rFonts w:hint="eastAsia"/>
                <w:color w:val="auto"/>
                <w:highlight w:val="none"/>
              </w:rPr>
              <w:t>铜</w:t>
            </w:r>
          </w:p>
        </w:tc>
        <w:tc>
          <w:tcPr>
            <w:tcW w:w="244" w:type="pct"/>
            <w:tcBorders>
              <w:tl2br w:val="nil"/>
              <w:tr2bl w:val="nil"/>
            </w:tcBorders>
            <w:vAlign w:val="center"/>
          </w:tcPr>
          <w:p w14:paraId="4CB21870">
            <w:pPr>
              <w:pStyle w:val="41"/>
              <w:rPr>
                <w:color w:val="auto"/>
                <w:highlight w:val="none"/>
              </w:rPr>
            </w:pPr>
            <w:r>
              <w:rPr>
                <w:color w:val="auto"/>
                <w:highlight w:val="none"/>
              </w:rPr>
              <w:t>mg/</w:t>
            </w:r>
            <w:r>
              <w:rPr>
                <w:rFonts w:hint="eastAsia"/>
                <w:color w:val="auto"/>
                <w:highlight w:val="none"/>
              </w:rPr>
              <w:t>kg</w:t>
            </w:r>
          </w:p>
        </w:tc>
        <w:tc>
          <w:tcPr>
            <w:tcW w:w="279" w:type="pct"/>
            <w:tcBorders>
              <w:tl2br w:val="nil"/>
              <w:tr2bl w:val="nil"/>
            </w:tcBorders>
            <w:vAlign w:val="center"/>
          </w:tcPr>
          <w:p w14:paraId="6760550E">
            <w:pPr>
              <w:pStyle w:val="41"/>
              <w:rPr>
                <w:color w:val="auto"/>
                <w:highlight w:val="none"/>
              </w:rPr>
            </w:pPr>
            <w:r>
              <w:rPr>
                <w:rFonts w:hint="eastAsia"/>
                <w:color w:val="auto"/>
                <w:highlight w:val="none"/>
              </w:rPr>
              <w:t>8.5</w:t>
            </w:r>
          </w:p>
        </w:tc>
        <w:tc>
          <w:tcPr>
            <w:tcW w:w="279" w:type="pct"/>
            <w:tcBorders>
              <w:tl2br w:val="nil"/>
              <w:tr2bl w:val="nil"/>
            </w:tcBorders>
            <w:vAlign w:val="center"/>
          </w:tcPr>
          <w:p w14:paraId="75ABE827">
            <w:pPr>
              <w:pStyle w:val="41"/>
              <w:rPr>
                <w:color w:val="auto"/>
                <w:highlight w:val="none"/>
              </w:rPr>
            </w:pPr>
            <w:r>
              <w:rPr>
                <w:rFonts w:hint="eastAsia"/>
                <w:color w:val="auto"/>
                <w:highlight w:val="none"/>
              </w:rPr>
              <w:t>8.9</w:t>
            </w:r>
          </w:p>
        </w:tc>
        <w:tc>
          <w:tcPr>
            <w:tcW w:w="318" w:type="pct"/>
            <w:tcBorders>
              <w:tl2br w:val="nil"/>
              <w:tr2bl w:val="nil"/>
            </w:tcBorders>
            <w:vAlign w:val="center"/>
          </w:tcPr>
          <w:p w14:paraId="5EF619DA">
            <w:pPr>
              <w:pStyle w:val="41"/>
              <w:rPr>
                <w:color w:val="auto"/>
                <w:highlight w:val="none"/>
              </w:rPr>
            </w:pPr>
            <w:r>
              <w:rPr>
                <w:rFonts w:hint="eastAsia"/>
                <w:color w:val="auto"/>
                <w:highlight w:val="none"/>
              </w:rPr>
              <w:t>9.2</w:t>
            </w:r>
          </w:p>
        </w:tc>
        <w:tc>
          <w:tcPr>
            <w:tcW w:w="318" w:type="pct"/>
            <w:tcBorders>
              <w:tl2br w:val="nil"/>
              <w:tr2bl w:val="nil"/>
            </w:tcBorders>
            <w:vAlign w:val="center"/>
          </w:tcPr>
          <w:p w14:paraId="224A9970">
            <w:pPr>
              <w:pStyle w:val="41"/>
              <w:rPr>
                <w:color w:val="auto"/>
                <w:highlight w:val="none"/>
              </w:rPr>
            </w:pPr>
            <w:r>
              <w:rPr>
                <w:rFonts w:hint="eastAsia"/>
                <w:color w:val="auto"/>
                <w:highlight w:val="none"/>
              </w:rPr>
              <w:t>9.2</w:t>
            </w:r>
          </w:p>
        </w:tc>
        <w:tc>
          <w:tcPr>
            <w:tcW w:w="304" w:type="pct"/>
            <w:tcBorders>
              <w:tl2br w:val="nil"/>
              <w:tr2bl w:val="nil"/>
            </w:tcBorders>
            <w:vAlign w:val="center"/>
          </w:tcPr>
          <w:p w14:paraId="22ED1DFA">
            <w:pPr>
              <w:pStyle w:val="41"/>
              <w:rPr>
                <w:color w:val="auto"/>
                <w:highlight w:val="none"/>
              </w:rPr>
            </w:pPr>
            <w:r>
              <w:rPr>
                <w:rFonts w:hint="eastAsia"/>
                <w:color w:val="auto"/>
                <w:highlight w:val="none"/>
              </w:rPr>
              <w:t>7.2</w:t>
            </w:r>
          </w:p>
        </w:tc>
        <w:tc>
          <w:tcPr>
            <w:tcW w:w="304" w:type="pct"/>
            <w:tcBorders>
              <w:tl2br w:val="nil"/>
              <w:tr2bl w:val="nil"/>
            </w:tcBorders>
            <w:vAlign w:val="center"/>
          </w:tcPr>
          <w:p w14:paraId="7DA3D3D0">
            <w:pPr>
              <w:pStyle w:val="41"/>
              <w:rPr>
                <w:color w:val="auto"/>
                <w:highlight w:val="none"/>
              </w:rPr>
            </w:pPr>
            <w:r>
              <w:rPr>
                <w:rFonts w:hint="eastAsia"/>
                <w:color w:val="auto"/>
                <w:highlight w:val="none"/>
              </w:rPr>
              <w:t>7.4</w:t>
            </w:r>
          </w:p>
        </w:tc>
        <w:tc>
          <w:tcPr>
            <w:tcW w:w="304" w:type="pct"/>
            <w:tcBorders>
              <w:tl2br w:val="nil"/>
              <w:tr2bl w:val="nil"/>
            </w:tcBorders>
            <w:vAlign w:val="center"/>
          </w:tcPr>
          <w:p w14:paraId="1101C428">
            <w:pPr>
              <w:pStyle w:val="41"/>
              <w:rPr>
                <w:color w:val="auto"/>
                <w:highlight w:val="none"/>
              </w:rPr>
            </w:pPr>
            <w:r>
              <w:rPr>
                <w:rFonts w:hint="eastAsia"/>
                <w:color w:val="auto"/>
                <w:highlight w:val="none"/>
              </w:rPr>
              <w:t>7.2</w:t>
            </w:r>
          </w:p>
        </w:tc>
        <w:tc>
          <w:tcPr>
            <w:tcW w:w="304" w:type="pct"/>
            <w:tcBorders>
              <w:tl2br w:val="nil"/>
              <w:tr2bl w:val="nil"/>
            </w:tcBorders>
            <w:vAlign w:val="center"/>
          </w:tcPr>
          <w:p w14:paraId="0BCEF419">
            <w:pPr>
              <w:pStyle w:val="41"/>
              <w:rPr>
                <w:color w:val="auto"/>
                <w:highlight w:val="none"/>
              </w:rPr>
            </w:pPr>
            <w:r>
              <w:rPr>
                <w:rFonts w:hint="eastAsia"/>
                <w:color w:val="auto"/>
                <w:highlight w:val="none"/>
              </w:rPr>
              <w:t>7.9</w:t>
            </w:r>
          </w:p>
        </w:tc>
        <w:tc>
          <w:tcPr>
            <w:tcW w:w="2018" w:type="pct"/>
            <w:tcBorders>
              <w:tl2br w:val="nil"/>
              <w:tr2bl w:val="nil"/>
            </w:tcBorders>
            <w:vAlign w:val="center"/>
          </w:tcPr>
          <w:p w14:paraId="1D771416">
            <w:pPr>
              <w:pStyle w:val="41"/>
              <w:rPr>
                <w:color w:val="auto"/>
                <w:highlight w:val="none"/>
              </w:rPr>
            </w:pPr>
            <w:r>
              <w:rPr>
                <w:rFonts w:hint="eastAsia"/>
                <w:color w:val="auto"/>
                <w:highlight w:val="none"/>
              </w:rPr>
              <w:t>100</w:t>
            </w:r>
          </w:p>
        </w:tc>
      </w:tr>
      <w:tr w14:paraId="7BE2F7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322" w:type="pct"/>
            <w:tcBorders>
              <w:tl2br w:val="nil"/>
              <w:tr2bl w:val="nil"/>
            </w:tcBorders>
            <w:vAlign w:val="center"/>
          </w:tcPr>
          <w:p w14:paraId="4C9A2FC2">
            <w:pPr>
              <w:pStyle w:val="41"/>
              <w:rPr>
                <w:color w:val="auto"/>
                <w:highlight w:val="none"/>
              </w:rPr>
            </w:pPr>
            <w:r>
              <w:rPr>
                <w:rFonts w:hint="eastAsia"/>
                <w:color w:val="auto"/>
                <w:highlight w:val="none"/>
              </w:rPr>
              <w:t>镍</w:t>
            </w:r>
          </w:p>
        </w:tc>
        <w:tc>
          <w:tcPr>
            <w:tcW w:w="244" w:type="pct"/>
            <w:tcBorders>
              <w:tl2br w:val="nil"/>
              <w:tr2bl w:val="nil"/>
            </w:tcBorders>
            <w:vAlign w:val="center"/>
          </w:tcPr>
          <w:p w14:paraId="52270DB3">
            <w:pPr>
              <w:pStyle w:val="41"/>
              <w:rPr>
                <w:color w:val="auto"/>
                <w:highlight w:val="none"/>
              </w:rPr>
            </w:pPr>
            <w:r>
              <w:rPr>
                <w:color w:val="auto"/>
                <w:highlight w:val="none"/>
              </w:rPr>
              <w:t>mg/</w:t>
            </w:r>
            <w:r>
              <w:rPr>
                <w:rFonts w:hint="eastAsia"/>
                <w:color w:val="auto"/>
                <w:highlight w:val="none"/>
              </w:rPr>
              <w:t>kg</w:t>
            </w:r>
          </w:p>
        </w:tc>
        <w:tc>
          <w:tcPr>
            <w:tcW w:w="279" w:type="pct"/>
            <w:tcBorders>
              <w:tl2br w:val="nil"/>
              <w:tr2bl w:val="nil"/>
            </w:tcBorders>
            <w:vAlign w:val="center"/>
          </w:tcPr>
          <w:p w14:paraId="3F457F44">
            <w:pPr>
              <w:pStyle w:val="41"/>
              <w:rPr>
                <w:color w:val="auto"/>
                <w:highlight w:val="none"/>
              </w:rPr>
            </w:pPr>
            <w:r>
              <w:rPr>
                <w:rFonts w:hint="eastAsia"/>
                <w:color w:val="auto"/>
                <w:highlight w:val="none"/>
              </w:rPr>
              <w:t>15</w:t>
            </w:r>
          </w:p>
        </w:tc>
        <w:tc>
          <w:tcPr>
            <w:tcW w:w="279" w:type="pct"/>
            <w:tcBorders>
              <w:tl2br w:val="nil"/>
              <w:tr2bl w:val="nil"/>
            </w:tcBorders>
            <w:vAlign w:val="center"/>
          </w:tcPr>
          <w:p w14:paraId="68303B7A">
            <w:pPr>
              <w:pStyle w:val="41"/>
              <w:rPr>
                <w:color w:val="auto"/>
                <w:highlight w:val="none"/>
              </w:rPr>
            </w:pPr>
            <w:r>
              <w:rPr>
                <w:rFonts w:hint="eastAsia"/>
                <w:color w:val="auto"/>
                <w:highlight w:val="none"/>
              </w:rPr>
              <w:t>15</w:t>
            </w:r>
          </w:p>
        </w:tc>
        <w:tc>
          <w:tcPr>
            <w:tcW w:w="318" w:type="pct"/>
            <w:tcBorders>
              <w:tl2br w:val="nil"/>
              <w:tr2bl w:val="nil"/>
            </w:tcBorders>
            <w:vAlign w:val="center"/>
          </w:tcPr>
          <w:p w14:paraId="1D66A71E">
            <w:pPr>
              <w:pStyle w:val="41"/>
              <w:rPr>
                <w:color w:val="auto"/>
                <w:highlight w:val="none"/>
              </w:rPr>
            </w:pPr>
            <w:r>
              <w:rPr>
                <w:rFonts w:hint="eastAsia"/>
                <w:color w:val="auto"/>
                <w:highlight w:val="none"/>
              </w:rPr>
              <w:t>16</w:t>
            </w:r>
          </w:p>
        </w:tc>
        <w:tc>
          <w:tcPr>
            <w:tcW w:w="318" w:type="pct"/>
            <w:tcBorders>
              <w:tl2br w:val="nil"/>
              <w:tr2bl w:val="nil"/>
            </w:tcBorders>
            <w:vAlign w:val="center"/>
          </w:tcPr>
          <w:p w14:paraId="0625DDAE">
            <w:pPr>
              <w:pStyle w:val="41"/>
              <w:rPr>
                <w:color w:val="auto"/>
                <w:highlight w:val="none"/>
              </w:rPr>
            </w:pPr>
            <w:r>
              <w:rPr>
                <w:rFonts w:hint="eastAsia"/>
                <w:color w:val="auto"/>
                <w:highlight w:val="none"/>
              </w:rPr>
              <w:t>15</w:t>
            </w:r>
          </w:p>
        </w:tc>
        <w:tc>
          <w:tcPr>
            <w:tcW w:w="304" w:type="pct"/>
            <w:tcBorders>
              <w:tl2br w:val="nil"/>
              <w:tr2bl w:val="nil"/>
            </w:tcBorders>
            <w:vAlign w:val="center"/>
          </w:tcPr>
          <w:p w14:paraId="75B5FD07">
            <w:pPr>
              <w:pStyle w:val="41"/>
              <w:rPr>
                <w:color w:val="auto"/>
                <w:highlight w:val="none"/>
              </w:rPr>
            </w:pPr>
            <w:r>
              <w:rPr>
                <w:rFonts w:hint="eastAsia"/>
                <w:color w:val="auto"/>
                <w:highlight w:val="none"/>
              </w:rPr>
              <w:t>12</w:t>
            </w:r>
          </w:p>
        </w:tc>
        <w:tc>
          <w:tcPr>
            <w:tcW w:w="304" w:type="pct"/>
            <w:tcBorders>
              <w:tl2br w:val="nil"/>
              <w:tr2bl w:val="nil"/>
            </w:tcBorders>
            <w:vAlign w:val="center"/>
          </w:tcPr>
          <w:p w14:paraId="61B8E4CF">
            <w:pPr>
              <w:pStyle w:val="41"/>
              <w:rPr>
                <w:color w:val="auto"/>
                <w:highlight w:val="none"/>
              </w:rPr>
            </w:pPr>
            <w:r>
              <w:rPr>
                <w:rFonts w:hint="eastAsia"/>
                <w:color w:val="auto"/>
                <w:highlight w:val="none"/>
              </w:rPr>
              <w:t>13</w:t>
            </w:r>
          </w:p>
        </w:tc>
        <w:tc>
          <w:tcPr>
            <w:tcW w:w="304" w:type="pct"/>
            <w:tcBorders>
              <w:tl2br w:val="nil"/>
              <w:tr2bl w:val="nil"/>
            </w:tcBorders>
            <w:vAlign w:val="center"/>
          </w:tcPr>
          <w:p w14:paraId="0D2ECF5D">
            <w:pPr>
              <w:pStyle w:val="41"/>
              <w:rPr>
                <w:color w:val="auto"/>
                <w:highlight w:val="none"/>
              </w:rPr>
            </w:pPr>
            <w:r>
              <w:rPr>
                <w:rFonts w:hint="eastAsia"/>
                <w:color w:val="auto"/>
                <w:highlight w:val="none"/>
              </w:rPr>
              <w:t>12</w:t>
            </w:r>
          </w:p>
        </w:tc>
        <w:tc>
          <w:tcPr>
            <w:tcW w:w="304" w:type="pct"/>
            <w:tcBorders>
              <w:tl2br w:val="nil"/>
              <w:tr2bl w:val="nil"/>
            </w:tcBorders>
            <w:vAlign w:val="center"/>
          </w:tcPr>
          <w:p w14:paraId="57D5E76B">
            <w:pPr>
              <w:pStyle w:val="41"/>
              <w:rPr>
                <w:color w:val="auto"/>
                <w:highlight w:val="none"/>
              </w:rPr>
            </w:pPr>
            <w:r>
              <w:rPr>
                <w:rFonts w:hint="eastAsia"/>
                <w:color w:val="auto"/>
                <w:highlight w:val="none"/>
              </w:rPr>
              <w:t>13</w:t>
            </w:r>
          </w:p>
        </w:tc>
        <w:tc>
          <w:tcPr>
            <w:tcW w:w="2018" w:type="pct"/>
            <w:tcBorders>
              <w:tl2br w:val="nil"/>
              <w:tr2bl w:val="nil"/>
            </w:tcBorders>
            <w:vAlign w:val="center"/>
          </w:tcPr>
          <w:p w14:paraId="441BDC65">
            <w:pPr>
              <w:pStyle w:val="41"/>
              <w:rPr>
                <w:color w:val="auto"/>
                <w:highlight w:val="none"/>
              </w:rPr>
            </w:pPr>
            <w:r>
              <w:rPr>
                <w:rFonts w:hint="eastAsia"/>
                <w:color w:val="auto"/>
                <w:highlight w:val="none"/>
              </w:rPr>
              <w:t>190</w:t>
            </w:r>
          </w:p>
        </w:tc>
      </w:tr>
      <w:tr w14:paraId="39EE9B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322" w:type="pct"/>
            <w:tcBorders>
              <w:tl2br w:val="nil"/>
              <w:tr2bl w:val="nil"/>
            </w:tcBorders>
            <w:vAlign w:val="center"/>
          </w:tcPr>
          <w:p w14:paraId="4D3B8157">
            <w:pPr>
              <w:pStyle w:val="41"/>
              <w:rPr>
                <w:color w:val="auto"/>
                <w:highlight w:val="none"/>
              </w:rPr>
            </w:pPr>
            <w:r>
              <w:rPr>
                <w:rFonts w:hint="eastAsia"/>
                <w:color w:val="auto"/>
                <w:highlight w:val="none"/>
              </w:rPr>
              <w:t>铬</w:t>
            </w:r>
          </w:p>
        </w:tc>
        <w:tc>
          <w:tcPr>
            <w:tcW w:w="244" w:type="pct"/>
            <w:tcBorders>
              <w:tl2br w:val="nil"/>
              <w:tr2bl w:val="nil"/>
            </w:tcBorders>
            <w:vAlign w:val="center"/>
          </w:tcPr>
          <w:p w14:paraId="7EDDD7F8">
            <w:pPr>
              <w:pStyle w:val="41"/>
              <w:rPr>
                <w:color w:val="auto"/>
                <w:highlight w:val="none"/>
              </w:rPr>
            </w:pPr>
            <w:r>
              <w:rPr>
                <w:color w:val="auto"/>
                <w:highlight w:val="none"/>
              </w:rPr>
              <w:t>mg/</w:t>
            </w:r>
            <w:r>
              <w:rPr>
                <w:rFonts w:hint="eastAsia"/>
                <w:color w:val="auto"/>
                <w:highlight w:val="none"/>
              </w:rPr>
              <w:t>kg</w:t>
            </w:r>
          </w:p>
        </w:tc>
        <w:tc>
          <w:tcPr>
            <w:tcW w:w="279" w:type="pct"/>
            <w:tcBorders>
              <w:tl2br w:val="nil"/>
              <w:tr2bl w:val="nil"/>
            </w:tcBorders>
            <w:vAlign w:val="center"/>
          </w:tcPr>
          <w:p w14:paraId="1FB33E7B">
            <w:pPr>
              <w:pStyle w:val="41"/>
              <w:rPr>
                <w:color w:val="auto"/>
                <w:highlight w:val="none"/>
              </w:rPr>
            </w:pPr>
            <w:r>
              <w:rPr>
                <w:rFonts w:hint="eastAsia"/>
                <w:color w:val="auto"/>
                <w:highlight w:val="none"/>
              </w:rPr>
              <w:t>76.9</w:t>
            </w:r>
          </w:p>
        </w:tc>
        <w:tc>
          <w:tcPr>
            <w:tcW w:w="279" w:type="pct"/>
            <w:tcBorders>
              <w:tl2br w:val="nil"/>
              <w:tr2bl w:val="nil"/>
            </w:tcBorders>
            <w:vAlign w:val="center"/>
          </w:tcPr>
          <w:p w14:paraId="3A70B20D">
            <w:pPr>
              <w:pStyle w:val="41"/>
              <w:rPr>
                <w:color w:val="auto"/>
                <w:highlight w:val="none"/>
              </w:rPr>
            </w:pPr>
            <w:r>
              <w:rPr>
                <w:rFonts w:hint="eastAsia"/>
                <w:color w:val="auto"/>
                <w:highlight w:val="none"/>
              </w:rPr>
              <w:t>39.3</w:t>
            </w:r>
          </w:p>
        </w:tc>
        <w:tc>
          <w:tcPr>
            <w:tcW w:w="318" w:type="pct"/>
            <w:tcBorders>
              <w:tl2br w:val="nil"/>
              <w:tr2bl w:val="nil"/>
            </w:tcBorders>
            <w:vAlign w:val="center"/>
          </w:tcPr>
          <w:p w14:paraId="106B6D80">
            <w:pPr>
              <w:pStyle w:val="41"/>
              <w:rPr>
                <w:color w:val="auto"/>
                <w:highlight w:val="none"/>
              </w:rPr>
            </w:pPr>
            <w:r>
              <w:rPr>
                <w:rFonts w:hint="eastAsia"/>
                <w:color w:val="auto"/>
                <w:highlight w:val="none"/>
              </w:rPr>
              <w:t>13.4</w:t>
            </w:r>
          </w:p>
        </w:tc>
        <w:tc>
          <w:tcPr>
            <w:tcW w:w="318" w:type="pct"/>
            <w:tcBorders>
              <w:tl2br w:val="nil"/>
              <w:tr2bl w:val="nil"/>
            </w:tcBorders>
            <w:vAlign w:val="center"/>
          </w:tcPr>
          <w:p w14:paraId="045473A3">
            <w:pPr>
              <w:pStyle w:val="41"/>
              <w:rPr>
                <w:color w:val="auto"/>
                <w:highlight w:val="none"/>
              </w:rPr>
            </w:pPr>
            <w:r>
              <w:rPr>
                <w:rFonts w:hint="eastAsia"/>
                <w:color w:val="auto"/>
                <w:highlight w:val="none"/>
              </w:rPr>
              <w:t>49.0</w:t>
            </w:r>
          </w:p>
        </w:tc>
        <w:tc>
          <w:tcPr>
            <w:tcW w:w="304" w:type="pct"/>
            <w:tcBorders>
              <w:tl2br w:val="nil"/>
              <w:tr2bl w:val="nil"/>
            </w:tcBorders>
            <w:vAlign w:val="center"/>
          </w:tcPr>
          <w:p w14:paraId="36E4E72B">
            <w:pPr>
              <w:pStyle w:val="41"/>
              <w:rPr>
                <w:color w:val="auto"/>
                <w:highlight w:val="none"/>
              </w:rPr>
            </w:pPr>
            <w:r>
              <w:rPr>
                <w:rFonts w:hint="eastAsia"/>
                <w:color w:val="auto"/>
                <w:highlight w:val="none"/>
              </w:rPr>
              <w:t>62.0</w:t>
            </w:r>
          </w:p>
        </w:tc>
        <w:tc>
          <w:tcPr>
            <w:tcW w:w="304" w:type="pct"/>
            <w:tcBorders>
              <w:tl2br w:val="nil"/>
              <w:tr2bl w:val="nil"/>
            </w:tcBorders>
            <w:vAlign w:val="center"/>
          </w:tcPr>
          <w:p w14:paraId="068523E2">
            <w:pPr>
              <w:pStyle w:val="41"/>
              <w:rPr>
                <w:color w:val="auto"/>
                <w:highlight w:val="none"/>
              </w:rPr>
            </w:pPr>
            <w:r>
              <w:rPr>
                <w:rFonts w:hint="eastAsia"/>
                <w:color w:val="auto"/>
                <w:highlight w:val="none"/>
              </w:rPr>
              <w:t>44.6</w:t>
            </w:r>
          </w:p>
        </w:tc>
        <w:tc>
          <w:tcPr>
            <w:tcW w:w="304" w:type="pct"/>
            <w:tcBorders>
              <w:tl2br w:val="nil"/>
              <w:tr2bl w:val="nil"/>
            </w:tcBorders>
            <w:vAlign w:val="center"/>
          </w:tcPr>
          <w:p w14:paraId="3CBE3E9D">
            <w:pPr>
              <w:pStyle w:val="41"/>
              <w:rPr>
                <w:color w:val="auto"/>
                <w:highlight w:val="none"/>
              </w:rPr>
            </w:pPr>
            <w:r>
              <w:rPr>
                <w:rFonts w:hint="eastAsia"/>
                <w:color w:val="auto"/>
                <w:highlight w:val="none"/>
              </w:rPr>
              <w:t>69.8</w:t>
            </w:r>
          </w:p>
        </w:tc>
        <w:tc>
          <w:tcPr>
            <w:tcW w:w="304" w:type="pct"/>
            <w:tcBorders>
              <w:tl2br w:val="nil"/>
              <w:tr2bl w:val="nil"/>
            </w:tcBorders>
            <w:vAlign w:val="center"/>
          </w:tcPr>
          <w:p w14:paraId="6974D8A3">
            <w:pPr>
              <w:pStyle w:val="41"/>
              <w:rPr>
                <w:color w:val="auto"/>
                <w:highlight w:val="none"/>
              </w:rPr>
            </w:pPr>
            <w:r>
              <w:rPr>
                <w:rFonts w:hint="eastAsia"/>
                <w:color w:val="auto"/>
                <w:highlight w:val="none"/>
              </w:rPr>
              <w:t>79.8</w:t>
            </w:r>
          </w:p>
        </w:tc>
        <w:tc>
          <w:tcPr>
            <w:tcW w:w="2018" w:type="pct"/>
            <w:tcBorders>
              <w:tl2br w:val="nil"/>
              <w:tr2bl w:val="nil"/>
            </w:tcBorders>
            <w:vAlign w:val="center"/>
          </w:tcPr>
          <w:p w14:paraId="42A7C99E">
            <w:pPr>
              <w:pStyle w:val="41"/>
              <w:rPr>
                <w:color w:val="auto"/>
                <w:highlight w:val="none"/>
              </w:rPr>
            </w:pPr>
            <w:r>
              <w:rPr>
                <w:rFonts w:hint="eastAsia"/>
                <w:color w:val="auto"/>
                <w:highlight w:val="none"/>
              </w:rPr>
              <w:t>250</w:t>
            </w:r>
          </w:p>
        </w:tc>
      </w:tr>
      <w:tr w14:paraId="6C225B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322" w:type="pct"/>
            <w:tcBorders>
              <w:tl2br w:val="nil"/>
              <w:tr2bl w:val="nil"/>
            </w:tcBorders>
            <w:vAlign w:val="center"/>
          </w:tcPr>
          <w:p w14:paraId="11D13774">
            <w:pPr>
              <w:pStyle w:val="41"/>
              <w:rPr>
                <w:color w:val="auto"/>
                <w:highlight w:val="none"/>
              </w:rPr>
            </w:pPr>
            <w:r>
              <w:rPr>
                <w:rFonts w:hint="eastAsia"/>
                <w:color w:val="auto"/>
                <w:highlight w:val="none"/>
              </w:rPr>
              <w:t>锌</w:t>
            </w:r>
          </w:p>
        </w:tc>
        <w:tc>
          <w:tcPr>
            <w:tcW w:w="244" w:type="pct"/>
            <w:tcBorders>
              <w:tl2br w:val="nil"/>
              <w:tr2bl w:val="nil"/>
            </w:tcBorders>
            <w:vAlign w:val="center"/>
          </w:tcPr>
          <w:p w14:paraId="22491377">
            <w:pPr>
              <w:pStyle w:val="41"/>
              <w:rPr>
                <w:color w:val="auto"/>
                <w:highlight w:val="none"/>
              </w:rPr>
            </w:pPr>
            <w:r>
              <w:rPr>
                <w:color w:val="auto"/>
                <w:highlight w:val="none"/>
              </w:rPr>
              <w:t>mg/</w:t>
            </w:r>
            <w:r>
              <w:rPr>
                <w:rFonts w:hint="eastAsia"/>
                <w:color w:val="auto"/>
                <w:highlight w:val="none"/>
              </w:rPr>
              <w:t>kg</w:t>
            </w:r>
          </w:p>
        </w:tc>
        <w:tc>
          <w:tcPr>
            <w:tcW w:w="279" w:type="pct"/>
            <w:tcBorders>
              <w:tl2br w:val="nil"/>
              <w:tr2bl w:val="nil"/>
            </w:tcBorders>
            <w:vAlign w:val="center"/>
          </w:tcPr>
          <w:p w14:paraId="687C8A27">
            <w:pPr>
              <w:pStyle w:val="41"/>
              <w:rPr>
                <w:color w:val="auto"/>
                <w:highlight w:val="none"/>
              </w:rPr>
            </w:pPr>
            <w:r>
              <w:rPr>
                <w:rFonts w:hint="eastAsia"/>
                <w:color w:val="auto"/>
                <w:highlight w:val="none"/>
              </w:rPr>
              <w:t>44.5</w:t>
            </w:r>
          </w:p>
        </w:tc>
        <w:tc>
          <w:tcPr>
            <w:tcW w:w="279" w:type="pct"/>
            <w:tcBorders>
              <w:tl2br w:val="nil"/>
              <w:tr2bl w:val="nil"/>
            </w:tcBorders>
            <w:vAlign w:val="center"/>
          </w:tcPr>
          <w:p w14:paraId="0CCCF6C7">
            <w:pPr>
              <w:pStyle w:val="41"/>
              <w:rPr>
                <w:color w:val="auto"/>
                <w:highlight w:val="none"/>
              </w:rPr>
            </w:pPr>
            <w:r>
              <w:rPr>
                <w:rFonts w:hint="eastAsia"/>
                <w:color w:val="auto"/>
                <w:highlight w:val="none"/>
              </w:rPr>
              <w:t>68.4</w:t>
            </w:r>
          </w:p>
        </w:tc>
        <w:tc>
          <w:tcPr>
            <w:tcW w:w="318" w:type="pct"/>
            <w:tcBorders>
              <w:tl2br w:val="nil"/>
              <w:tr2bl w:val="nil"/>
            </w:tcBorders>
            <w:vAlign w:val="center"/>
          </w:tcPr>
          <w:p w14:paraId="2E23E665">
            <w:pPr>
              <w:pStyle w:val="41"/>
              <w:rPr>
                <w:color w:val="auto"/>
                <w:highlight w:val="none"/>
              </w:rPr>
            </w:pPr>
            <w:r>
              <w:rPr>
                <w:rFonts w:hint="eastAsia"/>
                <w:color w:val="auto"/>
                <w:highlight w:val="none"/>
              </w:rPr>
              <w:t>33.6</w:t>
            </w:r>
          </w:p>
        </w:tc>
        <w:tc>
          <w:tcPr>
            <w:tcW w:w="318" w:type="pct"/>
            <w:tcBorders>
              <w:tl2br w:val="nil"/>
              <w:tr2bl w:val="nil"/>
            </w:tcBorders>
            <w:vAlign w:val="center"/>
          </w:tcPr>
          <w:p w14:paraId="324A69B7">
            <w:pPr>
              <w:pStyle w:val="41"/>
              <w:rPr>
                <w:color w:val="auto"/>
                <w:highlight w:val="none"/>
              </w:rPr>
            </w:pPr>
            <w:r>
              <w:rPr>
                <w:rFonts w:hint="eastAsia"/>
                <w:color w:val="auto"/>
                <w:highlight w:val="none"/>
              </w:rPr>
              <w:t>30.7</w:t>
            </w:r>
          </w:p>
        </w:tc>
        <w:tc>
          <w:tcPr>
            <w:tcW w:w="304" w:type="pct"/>
            <w:tcBorders>
              <w:tl2br w:val="nil"/>
              <w:tr2bl w:val="nil"/>
            </w:tcBorders>
            <w:vAlign w:val="center"/>
          </w:tcPr>
          <w:p w14:paraId="6BC64DB8">
            <w:pPr>
              <w:pStyle w:val="41"/>
              <w:rPr>
                <w:color w:val="auto"/>
                <w:highlight w:val="none"/>
              </w:rPr>
            </w:pPr>
            <w:r>
              <w:rPr>
                <w:rFonts w:hint="eastAsia"/>
                <w:color w:val="auto"/>
                <w:highlight w:val="none"/>
              </w:rPr>
              <w:t>33.8</w:t>
            </w:r>
          </w:p>
        </w:tc>
        <w:tc>
          <w:tcPr>
            <w:tcW w:w="304" w:type="pct"/>
            <w:tcBorders>
              <w:tl2br w:val="nil"/>
              <w:tr2bl w:val="nil"/>
            </w:tcBorders>
            <w:vAlign w:val="center"/>
          </w:tcPr>
          <w:p w14:paraId="31A08D8C">
            <w:pPr>
              <w:pStyle w:val="41"/>
              <w:rPr>
                <w:color w:val="auto"/>
                <w:highlight w:val="none"/>
              </w:rPr>
            </w:pPr>
            <w:r>
              <w:rPr>
                <w:rFonts w:hint="eastAsia"/>
                <w:color w:val="auto"/>
                <w:highlight w:val="none"/>
              </w:rPr>
              <w:t>29.9</w:t>
            </w:r>
          </w:p>
        </w:tc>
        <w:tc>
          <w:tcPr>
            <w:tcW w:w="304" w:type="pct"/>
            <w:tcBorders>
              <w:tl2br w:val="nil"/>
              <w:tr2bl w:val="nil"/>
            </w:tcBorders>
            <w:vAlign w:val="center"/>
          </w:tcPr>
          <w:p w14:paraId="7762F784">
            <w:pPr>
              <w:pStyle w:val="41"/>
              <w:rPr>
                <w:color w:val="auto"/>
                <w:highlight w:val="none"/>
              </w:rPr>
            </w:pPr>
            <w:r>
              <w:rPr>
                <w:rFonts w:hint="eastAsia"/>
                <w:color w:val="auto"/>
                <w:highlight w:val="none"/>
              </w:rPr>
              <w:t>28.4</w:t>
            </w:r>
          </w:p>
        </w:tc>
        <w:tc>
          <w:tcPr>
            <w:tcW w:w="304" w:type="pct"/>
            <w:tcBorders>
              <w:tl2br w:val="nil"/>
              <w:tr2bl w:val="nil"/>
            </w:tcBorders>
            <w:vAlign w:val="center"/>
          </w:tcPr>
          <w:p w14:paraId="2ABE83FB">
            <w:pPr>
              <w:pStyle w:val="41"/>
              <w:rPr>
                <w:color w:val="auto"/>
                <w:highlight w:val="none"/>
              </w:rPr>
            </w:pPr>
            <w:r>
              <w:rPr>
                <w:rFonts w:hint="eastAsia"/>
                <w:color w:val="auto"/>
                <w:highlight w:val="none"/>
              </w:rPr>
              <w:t>32.2</w:t>
            </w:r>
          </w:p>
        </w:tc>
        <w:tc>
          <w:tcPr>
            <w:tcW w:w="2018" w:type="pct"/>
            <w:tcBorders>
              <w:tl2br w:val="nil"/>
              <w:tr2bl w:val="nil"/>
            </w:tcBorders>
            <w:vAlign w:val="center"/>
          </w:tcPr>
          <w:p w14:paraId="69DA05EE">
            <w:pPr>
              <w:pStyle w:val="41"/>
              <w:rPr>
                <w:color w:val="auto"/>
                <w:highlight w:val="none"/>
              </w:rPr>
            </w:pPr>
            <w:r>
              <w:rPr>
                <w:rFonts w:hint="eastAsia"/>
                <w:color w:val="auto"/>
                <w:highlight w:val="none"/>
              </w:rPr>
              <w:t>300</w:t>
            </w:r>
          </w:p>
        </w:tc>
      </w:tr>
      <w:tr w14:paraId="59EDF1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322" w:type="pct"/>
            <w:tcBorders>
              <w:tl2br w:val="nil"/>
              <w:tr2bl w:val="nil"/>
            </w:tcBorders>
            <w:vAlign w:val="center"/>
          </w:tcPr>
          <w:p w14:paraId="7D295164">
            <w:pPr>
              <w:pStyle w:val="41"/>
              <w:rPr>
                <w:color w:val="auto"/>
                <w:highlight w:val="none"/>
              </w:rPr>
            </w:pPr>
            <w:r>
              <w:rPr>
                <w:rFonts w:hint="eastAsia"/>
                <w:color w:val="auto"/>
                <w:highlight w:val="none"/>
              </w:rPr>
              <w:t>六价铬</w:t>
            </w:r>
          </w:p>
        </w:tc>
        <w:tc>
          <w:tcPr>
            <w:tcW w:w="244" w:type="pct"/>
            <w:tcBorders>
              <w:tl2br w:val="nil"/>
              <w:tr2bl w:val="nil"/>
            </w:tcBorders>
            <w:vAlign w:val="center"/>
          </w:tcPr>
          <w:p w14:paraId="35245BE5">
            <w:pPr>
              <w:pStyle w:val="41"/>
              <w:rPr>
                <w:color w:val="auto"/>
                <w:highlight w:val="none"/>
              </w:rPr>
            </w:pPr>
            <w:r>
              <w:rPr>
                <w:color w:val="auto"/>
                <w:highlight w:val="none"/>
              </w:rPr>
              <w:t>mg/</w:t>
            </w:r>
            <w:r>
              <w:rPr>
                <w:rFonts w:hint="eastAsia"/>
                <w:color w:val="auto"/>
                <w:highlight w:val="none"/>
              </w:rPr>
              <w:t>kg</w:t>
            </w:r>
          </w:p>
        </w:tc>
        <w:tc>
          <w:tcPr>
            <w:tcW w:w="279" w:type="pct"/>
            <w:tcBorders>
              <w:tl2br w:val="nil"/>
              <w:tr2bl w:val="nil"/>
            </w:tcBorders>
            <w:vAlign w:val="center"/>
          </w:tcPr>
          <w:p w14:paraId="4EE62FB1">
            <w:pPr>
              <w:pStyle w:val="41"/>
              <w:rPr>
                <w:color w:val="auto"/>
                <w:highlight w:val="none"/>
              </w:rPr>
            </w:pPr>
            <w:r>
              <w:rPr>
                <w:rFonts w:hint="eastAsia"/>
                <w:color w:val="auto"/>
                <w:highlight w:val="none"/>
              </w:rPr>
              <w:t>未检出</w:t>
            </w:r>
          </w:p>
        </w:tc>
        <w:tc>
          <w:tcPr>
            <w:tcW w:w="279" w:type="pct"/>
            <w:tcBorders>
              <w:tl2br w:val="nil"/>
              <w:tr2bl w:val="nil"/>
            </w:tcBorders>
            <w:vAlign w:val="center"/>
          </w:tcPr>
          <w:p w14:paraId="6FC0686C">
            <w:pPr>
              <w:pStyle w:val="41"/>
              <w:rPr>
                <w:color w:val="auto"/>
                <w:highlight w:val="none"/>
              </w:rPr>
            </w:pPr>
            <w:r>
              <w:rPr>
                <w:rFonts w:hint="eastAsia"/>
                <w:color w:val="auto"/>
                <w:highlight w:val="none"/>
              </w:rPr>
              <w:t>未检出</w:t>
            </w:r>
          </w:p>
        </w:tc>
        <w:tc>
          <w:tcPr>
            <w:tcW w:w="318" w:type="pct"/>
            <w:tcBorders>
              <w:tl2br w:val="nil"/>
              <w:tr2bl w:val="nil"/>
            </w:tcBorders>
            <w:vAlign w:val="center"/>
          </w:tcPr>
          <w:p w14:paraId="4372F03E">
            <w:pPr>
              <w:pStyle w:val="41"/>
              <w:rPr>
                <w:color w:val="auto"/>
                <w:highlight w:val="none"/>
              </w:rPr>
            </w:pPr>
            <w:r>
              <w:rPr>
                <w:rFonts w:hint="eastAsia"/>
                <w:color w:val="auto"/>
                <w:highlight w:val="none"/>
              </w:rPr>
              <w:t>未检出</w:t>
            </w:r>
          </w:p>
        </w:tc>
        <w:tc>
          <w:tcPr>
            <w:tcW w:w="318" w:type="pct"/>
            <w:tcBorders>
              <w:tl2br w:val="nil"/>
              <w:tr2bl w:val="nil"/>
            </w:tcBorders>
            <w:vAlign w:val="center"/>
          </w:tcPr>
          <w:p w14:paraId="2B7761DA">
            <w:pPr>
              <w:pStyle w:val="41"/>
              <w:rPr>
                <w:color w:val="auto"/>
                <w:highlight w:val="none"/>
              </w:rPr>
            </w:pPr>
            <w:r>
              <w:rPr>
                <w:rFonts w:hint="eastAsia"/>
                <w:color w:val="auto"/>
                <w:highlight w:val="none"/>
              </w:rPr>
              <w:t>未检出</w:t>
            </w:r>
          </w:p>
        </w:tc>
        <w:tc>
          <w:tcPr>
            <w:tcW w:w="304" w:type="pct"/>
            <w:tcBorders>
              <w:tl2br w:val="nil"/>
              <w:tr2bl w:val="nil"/>
            </w:tcBorders>
            <w:vAlign w:val="center"/>
          </w:tcPr>
          <w:p w14:paraId="1DF1AE2E">
            <w:pPr>
              <w:pStyle w:val="41"/>
              <w:rPr>
                <w:color w:val="auto"/>
                <w:highlight w:val="none"/>
              </w:rPr>
            </w:pPr>
            <w:r>
              <w:rPr>
                <w:rFonts w:hint="eastAsia"/>
                <w:color w:val="auto"/>
                <w:highlight w:val="none"/>
              </w:rPr>
              <w:t>未检出</w:t>
            </w:r>
          </w:p>
        </w:tc>
        <w:tc>
          <w:tcPr>
            <w:tcW w:w="304" w:type="pct"/>
            <w:tcBorders>
              <w:tl2br w:val="nil"/>
              <w:tr2bl w:val="nil"/>
            </w:tcBorders>
            <w:vAlign w:val="center"/>
          </w:tcPr>
          <w:p w14:paraId="5BB3E736">
            <w:pPr>
              <w:pStyle w:val="41"/>
              <w:rPr>
                <w:color w:val="auto"/>
                <w:highlight w:val="none"/>
              </w:rPr>
            </w:pPr>
            <w:r>
              <w:rPr>
                <w:rFonts w:hint="eastAsia"/>
                <w:color w:val="auto"/>
                <w:highlight w:val="none"/>
              </w:rPr>
              <w:t>未检出</w:t>
            </w:r>
          </w:p>
        </w:tc>
        <w:tc>
          <w:tcPr>
            <w:tcW w:w="304" w:type="pct"/>
            <w:tcBorders>
              <w:tl2br w:val="nil"/>
              <w:tr2bl w:val="nil"/>
            </w:tcBorders>
            <w:vAlign w:val="center"/>
          </w:tcPr>
          <w:p w14:paraId="1FB9EDEB">
            <w:pPr>
              <w:pStyle w:val="41"/>
              <w:rPr>
                <w:color w:val="auto"/>
                <w:highlight w:val="none"/>
              </w:rPr>
            </w:pPr>
            <w:r>
              <w:rPr>
                <w:rFonts w:hint="eastAsia"/>
                <w:color w:val="auto"/>
                <w:highlight w:val="none"/>
              </w:rPr>
              <w:t>未检出</w:t>
            </w:r>
          </w:p>
        </w:tc>
        <w:tc>
          <w:tcPr>
            <w:tcW w:w="304" w:type="pct"/>
            <w:tcBorders>
              <w:tl2br w:val="nil"/>
              <w:tr2bl w:val="nil"/>
            </w:tcBorders>
            <w:vAlign w:val="center"/>
          </w:tcPr>
          <w:p w14:paraId="3AE9080B">
            <w:pPr>
              <w:pStyle w:val="41"/>
              <w:rPr>
                <w:color w:val="auto"/>
                <w:highlight w:val="none"/>
              </w:rPr>
            </w:pPr>
            <w:r>
              <w:rPr>
                <w:rFonts w:hint="eastAsia"/>
                <w:color w:val="auto"/>
                <w:highlight w:val="none"/>
              </w:rPr>
              <w:t>未检出</w:t>
            </w:r>
          </w:p>
        </w:tc>
        <w:tc>
          <w:tcPr>
            <w:tcW w:w="2018" w:type="pct"/>
            <w:tcBorders>
              <w:tl2br w:val="nil"/>
              <w:tr2bl w:val="nil"/>
            </w:tcBorders>
            <w:vAlign w:val="center"/>
          </w:tcPr>
          <w:p w14:paraId="18E66644">
            <w:pPr>
              <w:pStyle w:val="41"/>
              <w:rPr>
                <w:color w:val="auto"/>
                <w:highlight w:val="none"/>
              </w:rPr>
            </w:pPr>
            <w:r>
              <w:rPr>
                <w:rFonts w:hint="eastAsia"/>
                <w:color w:val="auto"/>
                <w:highlight w:val="none"/>
              </w:rPr>
              <w:t>--</w:t>
            </w:r>
          </w:p>
        </w:tc>
      </w:tr>
      <w:tr w14:paraId="2D0317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jc w:val="center"/>
        </w:trPr>
        <w:tc>
          <w:tcPr>
            <w:tcW w:w="322" w:type="pct"/>
            <w:tcBorders>
              <w:tl2br w:val="nil"/>
              <w:tr2bl w:val="nil"/>
            </w:tcBorders>
            <w:vAlign w:val="center"/>
          </w:tcPr>
          <w:p w14:paraId="18486232">
            <w:pPr>
              <w:pStyle w:val="41"/>
              <w:rPr>
                <w:color w:val="auto"/>
                <w:highlight w:val="none"/>
              </w:rPr>
            </w:pPr>
            <w:r>
              <w:rPr>
                <w:rFonts w:hint="eastAsia"/>
                <w:color w:val="auto"/>
                <w:highlight w:val="none"/>
              </w:rPr>
              <w:t>铁</w:t>
            </w:r>
          </w:p>
        </w:tc>
        <w:tc>
          <w:tcPr>
            <w:tcW w:w="244" w:type="pct"/>
            <w:tcBorders>
              <w:tl2br w:val="nil"/>
              <w:tr2bl w:val="nil"/>
            </w:tcBorders>
            <w:vAlign w:val="center"/>
          </w:tcPr>
          <w:p w14:paraId="2BEBDE86">
            <w:pPr>
              <w:pStyle w:val="41"/>
              <w:rPr>
                <w:color w:val="auto"/>
                <w:highlight w:val="none"/>
              </w:rPr>
            </w:pPr>
            <w:r>
              <w:rPr>
                <w:rFonts w:hint="eastAsia"/>
                <w:color w:val="auto"/>
                <w:highlight w:val="none"/>
              </w:rPr>
              <w:t>%</w:t>
            </w:r>
          </w:p>
        </w:tc>
        <w:tc>
          <w:tcPr>
            <w:tcW w:w="279" w:type="pct"/>
            <w:tcBorders>
              <w:tl2br w:val="nil"/>
              <w:tr2bl w:val="nil"/>
            </w:tcBorders>
            <w:vAlign w:val="center"/>
          </w:tcPr>
          <w:p w14:paraId="12C483AA">
            <w:pPr>
              <w:pStyle w:val="41"/>
              <w:rPr>
                <w:color w:val="auto"/>
                <w:highlight w:val="none"/>
              </w:rPr>
            </w:pPr>
            <w:r>
              <w:rPr>
                <w:rFonts w:hint="eastAsia"/>
                <w:color w:val="auto"/>
                <w:highlight w:val="none"/>
              </w:rPr>
              <w:t>0.04</w:t>
            </w:r>
          </w:p>
        </w:tc>
        <w:tc>
          <w:tcPr>
            <w:tcW w:w="279" w:type="pct"/>
            <w:tcBorders>
              <w:tl2br w:val="nil"/>
              <w:tr2bl w:val="nil"/>
            </w:tcBorders>
            <w:vAlign w:val="center"/>
          </w:tcPr>
          <w:p w14:paraId="17FBC117">
            <w:pPr>
              <w:pStyle w:val="41"/>
              <w:rPr>
                <w:color w:val="auto"/>
                <w:highlight w:val="none"/>
              </w:rPr>
            </w:pPr>
            <w:r>
              <w:rPr>
                <w:rFonts w:hint="eastAsia"/>
                <w:color w:val="auto"/>
                <w:highlight w:val="none"/>
              </w:rPr>
              <w:t>0.05</w:t>
            </w:r>
          </w:p>
        </w:tc>
        <w:tc>
          <w:tcPr>
            <w:tcW w:w="318" w:type="pct"/>
            <w:tcBorders>
              <w:tl2br w:val="nil"/>
              <w:tr2bl w:val="nil"/>
            </w:tcBorders>
            <w:vAlign w:val="center"/>
          </w:tcPr>
          <w:p w14:paraId="302B48E7">
            <w:pPr>
              <w:pStyle w:val="41"/>
              <w:rPr>
                <w:color w:val="auto"/>
                <w:highlight w:val="none"/>
              </w:rPr>
            </w:pPr>
            <w:r>
              <w:rPr>
                <w:rFonts w:hint="eastAsia"/>
                <w:color w:val="auto"/>
                <w:highlight w:val="none"/>
              </w:rPr>
              <w:t>0.05</w:t>
            </w:r>
          </w:p>
        </w:tc>
        <w:tc>
          <w:tcPr>
            <w:tcW w:w="318" w:type="pct"/>
            <w:tcBorders>
              <w:tl2br w:val="nil"/>
              <w:tr2bl w:val="nil"/>
            </w:tcBorders>
            <w:vAlign w:val="center"/>
          </w:tcPr>
          <w:p w14:paraId="07988C94">
            <w:pPr>
              <w:pStyle w:val="41"/>
              <w:rPr>
                <w:color w:val="auto"/>
                <w:highlight w:val="none"/>
              </w:rPr>
            </w:pPr>
            <w:r>
              <w:rPr>
                <w:rFonts w:hint="eastAsia"/>
                <w:color w:val="auto"/>
                <w:highlight w:val="none"/>
              </w:rPr>
              <w:t>0.04</w:t>
            </w:r>
          </w:p>
        </w:tc>
        <w:tc>
          <w:tcPr>
            <w:tcW w:w="304" w:type="pct"/>
            <w:tcBorders>
              <w:tl2br w:val="nil"/>
              <w:tr2bl w:val="nil"/>
            </w:tcBorders>
            <w:vAlign w:val="center"/>
          </w:tcPr>
          <w:p w14:paraId="0255C843">
            <w:pPr>
              <w:pStyle w:val="41"/>
              <w:rPr>
                <w:color w:val="auto"/>
                <w:highlight w:val="none"/>
              </w:rPr>
            </w:pPr>
            <w:r>
              <w:rPr>
                <w:rFonts w:hint="eastAsia"/>
                <w:color w:val="auto"/>
                <w:highlight w:val="none"/>
              </w:rPr>
              <w:t>0.05</w:t>
            </w:r>
          </w:p>
        </w:tc>
        <w:tc>
          <w:tcPr>
            <w:tcW w:w="304" w:type="pct"/>
            <w:tcBorders>
              <w:tl2br w:val="nil"/>
              <w:tr2bl w:val="nil"/>
            </w:tcBorders>
            <w:vAlign w:val="center"/>
          </w:tcPr>
          <w:p w14:paraId="2FF05230">
            <w:pPr>
              <w:pStyle w:val="41"/>
              <w:rPr>
                <w:color w:val="auto"/>
                <w:highlight w:val="none"/>
              </w:rPr>
            </w:pPr>
            <w:r>
              <w:rPr>
                <w:rFonts w:hint="eastAsia"/>
                <w:color w:val="auto"/>
                <w:highlight w:val="none"/>
              </w:rPr>
              <w:t>0.06</w:t>
            </w:r>
          </w:p>
        </w:tc>
        <w:tc>
          <w:tcPr>
            <w:tcW w:w="304" w:type="pct"/>
            <w:tcBorders>
              <w:tl2br w:val="nil"/>
              <w:tr2bl w:val="nil"/>
            </w:tcBorders>
            <w:vAlign w:val="center"/>
          </w:tcPr>
          <w:p w14:paraId="318DB67C">
            <w:pPr>
              <w:pStyle w:val="41"/>
              <w:rPr>
                <w:color w:val="auto"/>
                <w:highlight w:val="none"/>
              </w:rPr>
            </w:pPr>
            <w:r>
              <w:rPr>
                <w:rFonts w:hint="eastAsia"/>
                <w:color w:val="auto"/>
                <w:highlight w:val="none"/>
              </w:rPr>
              <w:t>0.05</w:t>
            </w:r>
          </w:p>
        </w:tc>
        <w:tc>
          <w:tcPr>
            <w:tcW w:w="304" w:type="pct"/>
            <w:tcBorders>
              <w:tl2br w:val="nil"/>
              <w:tr2bl w:val="nil"/>
            </w:tcBorders>
            <w:vAlign w:val="center"/>
          </w:tcPr>
          <w:p w14:paraId="249E829F">
            <w:pPr>
              <w:pStyle w:val="41"/>
              <w:rPr>
                <w:color w:val="auto"/>
                <w:highlight w:val="none"/>
              </w:rPr>
            </w:pPr>
            <w:r>
              <w:rPr>
                <w:rFonts w:hint="eastAsia"/>
                <w:color w:val="auto"/>
                <w:highlight w:val="none"/>
              </w:rPr>
              <w:t>0.04</w:t>
            </w:r>
          </w:p>
        </w:tc>
        <w:tc>
          <w:tcPr>
            <w:tcW w:w="2018" w:type="pct"/>
            <w:tcBorders>
              <w:tl2br w:val="nil"/>
              <w:tr2bl w:val="nil"/>
            </w:tcBorders>
            <w:vAlign w:val="center"/>
          </w:tcPr>
          <w:p w14:paraId="7005E3DA">
            <w:pPr>
              <w:pStyle w:val="41"/>
              <w:rPr>
                <w:color w:val="auto"/>
                <w:highlight w:val="none"/>
              </w:rPr>
            </w:pPr>
            <w:r>
              <w:rPr>
                <w:rFonts w:hint="eastAsia"/>
                <w:color w:val="auto"/>
                <w:highlight w:val="none"/>
              </w:rPr>
              <w:t>--</w:t>
            </w:r>
          </w:p>
        </w:tc>
      </w:tr>
    </w:tbl>
    <w:p w14:paraId="6A996841">
      <w:pPr>
        <w:pStyle w:val="3"/>
        <w:ind w:firstLine="480"/>
        <w:rPr>
          <w:color w:val="auto"/>
          <w:highlight w:val="none"/>
        </w:rPr>
        <w:sectPr>
          <w:pgSz w:w="16838" w:h="11906" w:orient="landscape"/>
          <w:pgMar w:top="1803" w:right="1440" w:bottom="1803" w:left="1440" w:header="1020" w:footer="992" w:gutter="0"/>
          <w:pgBorders>
            <w:top w:val="none" w:sz="0" w:space="0"/>
            <w:left w:val="none" w:sz="0" w:space="0"/>
            <w:bottom w:val="none" w:sz="0" w:space="0"/>
            <w:right w:val="none" w:sz="0" w:space="0"/>
          </w:pgBorders>
          <w:cols w:space="720" w:num="1"/>
          <w:docGrid w:type="lines" w:linePitch="332" w:charSpace="0"/>
        </w:sectPr>
      </w:pPr>
      <w:r>
        <w:rPr>
          <w:rFonts w:hint="eastAsia"/>
          <w:color w:val="auto"/>
          <w:highlight w:val="none"/>
        </w:rPr>
        <w:t>由上表可知：项目区内土壤监测结果均低于《土壤环境质量 建设用地土壤污染风险管控标准（试行）（GB36600-2018）》二类用地土壤筛选值；项目区</w:t>
      </w:r>
      <w:r>
        <w:rPr>
          <w:color w:val="auto"/>
          <w:highlight w:val="none"/>
        </w:rPr>
        <w:t>外各监测点各项指标均低于《土壤环境质量农用地土壤污染风险管控标准（试行）》（GB/15618-2018）中的风险筛选值</w:t>
      </w:r>
      <w:r>
        <w:rPr>
          <w:rFonts w:hint="eastAsia"/>
          <w:color w:val="auto"/>
          <w:highlight w:val="none"/>
        </w:rPr>
        <w:t>。</w:t>
      </w:r>
    </w:p>
    <w:p w14:paraId="5A2B48F9">
      <w:pPr>
        <w:pStyle w:val="38"/>
        <w:rPr>
          <w:color w:val="auto"/>
          <w:highlight w:val="none"/>
        </w:rPr>
      </w:pPr>
      <w:bookmarkStart w:id="346" w:name="_Toc16921"/>
      <w:bookmarkStart w:id="347" w:name="_Toc31080"/>
      <w:bookmarkStart w:id="348" w:name="_Toc25439"/>
      <w:bookmarkStart w:id="349" w:name="_Toc7519"/>
      <w:bookmarkStart w:id="350" w:name="_Toc17460"/>
      <w:bookmarkStart w:id="351" w:name="_Toc2733"/>
      <w:bookmarkStart w:id="352" w:name="_Toc3582"/>
      <w:bookmarkStart w:id="353" w:name="_Toc29298040"/>
      <w:bookmarkStart w:id="354" w:name="_Toc84951536"/>
      <w:bookmarkStart w:id="355" w:name="_Toc84847039"/>
      <w:bookmarkStart w:id="356" w:name="_Toc106252813"/>
      <w:bookmarkStart w:id="357" w:name="_Toc90036234"/>
      <w:r>
        <w:rPr>
          <w:color w:val="auto"/>
          <w:highlight w:val="none"/>
        </w:rPr>
        <w:t>环境影响预测与评价</w:t>
      </w:r>
      <w:bookmarkEnd w:id="346"/>
      <w:bookmarkEnd w:id="347"/>
      <w:bookmarkEnd w:id="348"/>
      <w:bookmarkEnd w:id="349"/>
      <w:bookmarkEnd w:id="350"/>
      <w:bookmarkEnd w:id="351"/>
      <w:bookmarkEnd w:id="352"/>
    </w:p>
    <w:p w14:paraId="499B6541">
      <w:pPr>
        <w:pStyle w:val="39"/>
        <w:rPr>
          <w:rFonts w:hint="default"/>
          <w:color w:val="auto"/>
          <w:highlight w:val="none"/>
        </w:rPr>
      </w:pPr>
      <w:bookmarkStart w:id="358" w:name="_Toc8482"/>
      <w:bookmarkStart w:id="359" w:name="_Toc24618"/>
      <w:r>
        <w:rPr>
          <w:rFonts w:hint="default"/>
          <w:color w:val="auto"/>
          <w:highlight w:val="none"/>
        </w:rPr>
        <w:t>施工期环境影响预测与评价</w:t>
      </w:r>
      <w:bookmarkEnd w:id="358"/>
      <w:bookmarkEnd w:id="359"/>
    </w:p>
    <w:p w14:paraId="69883E8F">
      <w:pPr>
        <w:pStyle w:val="42"/>
        <w:rPr>
          <w:rFonts w:hint="default"/>
          <w:color w:val="auto"/>
          <w:highlight w:val="none"/>
        </w:rPr>
      </w:pPr>
      <w:r>
        <w:rPr>
          <w:rFonts w:hint="default"/>
          <w:color w:val="auto"/>
          <w:highlight w:val="none"/>
        </w:rPr>
        <w:t>施工期大气环境的影响</w:t>
      </w:r>
    </w:p>
    <w:p w14:paraId="2AD4ECE3">
      <w:pPr>
        <w:pStyle w:val="3"/>
        <w:ind w:firstLine="480"/>
        <w:rPr>
          <w:color w:val="auto"/>
          <w:highlight w:val="none"/>
        </w:rPr>
      </w:pPr>
      <w:r>
        <w:rPr>
          <w:color w:val="auto"/>
          <w:highlight w:val="none"/>
        </w:rPr>
        <w:t>影响施工区附近环境空气的主要污染物为扬尘，来源于各种无组织排放源，包括场地清理、挖填方、结构施工和物料装卸、运输、堆存、材料拌合等过程，其结果是造成局部地区大气污染及降尘量的增加。施工过程中产生的扬尘是对环境空气产生影响的首要因素，机械设备安装调试等产生的扬尘量较小或不产生扬尘。由于粉尘污染源多为间歇性分散源，排尘点低，扬尘排放在施工区及其周边距离范围内形成局部污染，对外界环境影响较小。</w:t>
      </w:r>
    </w:p>
    <w:p w14:paraId="45907A62">
      <w:pPr>
        <w:pStyle w:val="3"/>
        <w:ind w:firstLine="480"/>
        <w:rPr>
          <w:color w:val="auto"/>
          <w:highlight w:val="none"/>
        </w:rPr>
      </w:pPr>
      <w:r>
        <w:rPr>
          <w:color w:val="auto"/>
          <w:highlight w:val="none"/>
        </w:rPr>
        <w:t>施工区的扬尘未经充分扩散稀释就进入地面呼吸地带，会给现场施工人员的工作和身体健康带来一定不利影响。</w:t>
      </w:r>
    </w:p>
    <w:p w14:paraId="52B3EB1A">
      <w:pPr>
        <w:pStyle w:val="43"/>
        <w:rPr>
          <w:color w:val="auto"/>
          <w:highlight w:val="none"/>
        </w:rPr>
      </w:pPr>
      <w:r>
        <w:rPr>
          <w:color w:val="auto"/>
          <w:highlight w:val="none"/>
        </w:rPr>
        <w:t>施工扬尘来源</w:t>
      </w:r>
    </w:p>
    <w:p w14:paraId="5B4F14B1">
      <w:pPr>
        <w:pStyle w:val="3"/>
        <w:ind w:firstLine="480"/>
        <w:rPr>
          <w:color w:val="auto"/>
          <w:highlight w:val="none"/>
        </w:rPr>
      </w:pPr>
      <w:r>
        <w:rPr>
          <w:color w:val="auto"/>
          <w:highlight w:val="none"/>
        </w:rPr>
        <w:t>（1）场地平整产生的土方的挖掘、堆放和清运过</w:t>
      </w:r>
      <w:r>
        <w:rPr>
          <w:rFonts w:hint="eastAsia"/>
          <w:color w:val="auto"/>
          <w:highlight w:val="none"/>
          <w:lang w:eastAsia="zh-CN"/>
        </w:rPr>
        <w:t>程中</w:t>
      </w:r>
      <w:r>
        <w:rPr>
          <w:color w:val="auto"/>
          <w:highlight w:val="none"/>
        </w:rPr>
        <w:t>造成的扬尘；</w:t>
      </w:r>
    </w:p>
    <w:p w14:paraId="03D9B8C0">
      <w:pPr>
        <w:pStyle w:val="3"/>
        <w:ind w:firstLine="480"/>
        <w:rPr>
          <w:color w:val="auto"/>
          <w:highlight w:val="none"/>
        </w:rPr>
      </w:pPr>
      <w:r>
        <w:rPr>
          <w:color w:val="auto"/>
          <w:highlight w:val="none"/>
        </w:rPr>
        <w:t>（2）水泥、沙子等装卸、搅拌、堆放的扬尘；</w:t>
      </w:r>
    </w:p>
    <w:p w14:paraId="5291472F">
      <w:pPr>
        <w:pStyle w:val="3"/>
        <w:ind w:firstLine="480"/>
        <w:rPr>
          <w:color w:val="auto"/>
          <w:highlight w:val="none"/>
        </w:rPr>
      </w:pPr>
      <w:r>
        <w:rPr>
          <w:color w:val="auto"/>
          <w:highlight w:val="none"/>
        </w:rPr>
        <w:t>（3）运输车辆往来造成的扬尘；</w:t>
      </w:r>
    </w:p>
    <w:p w14:paraId="2A64C113">
      <w:pPr>
        <w:pStyle w:val="3"/>
        <w:ind w:firstLine="480"/>
        <w:rPr>
          <w:color w:val="auto"/>
          <w:highlight w:val="none"/>
        </w:rPr>
      </w:pPr>
      <w:r>
        <w:rPr>
          <w:color w:val="auto"/>
          <w:highlight w:val="none"/>
        </w:rPr>
        <w:t>（4）施工垃圾的堆放和清运过</w:t>
      </w:r>
      <w:r>
        <w:rPr>
          <w:rFonts w:hint="eastAsia"/>
          <w:color w:val="auto"/>
          <w:highlight w:val="none"/>
          <w:lang w:eastAsia="zh-CN"/>
        </w:rPr>
        <w:t>程中</w:t>
      </w:r>
      <w:r>
        <w:rPr>
          <w:color w:val="auto"/>
          <w:highlight w:val="none"/>
        </w:rPr>
        <w:t>造成的扬尘。</w:t>
      </w:r>
    </w:p>
    <w:p w14:paraId="764FB810">
      <w:pPr>
        <w:pStyle w:val="43"/>
        <w:rPr>
          <w:color w:val="auto"/>
          <w:highlight w:val="none"/>
        </w:rPr>
      </w:pPr>
      <w:r>
        <w:rPr>
          <w:color w:val="auto"/>
          <w:highlight w:val="none"/>
        </w:rPr>
        <w:t xml:space="preserve"> 施工扬尘对环境空气的影响</w:t>
      </w:r>
    </w:p>
    <w:p w14:paraId="6B55268F">
      <w:pPr>
        <w:pStyle w:val="3"/>
        <w:ind w:firstLine="480"/>
        <w:rPr>
          <w:color w:val="auto"/>
          <w:highlight w:val="none"/>
        </w:rPr>
      </w:pPr>
      <w:r>
        <w:rPr>
          <w:color w:val="auto"/>
          <w:highlight w:val="none"/>
        </w:rPr>
        <w:t>本项目建设期产生的废气主要来自施工扬尘与机械尾气。</w:t>
      </w:r>
    </w:p>
    <w:p w14:paraId="3CB539C1">
      <w:pPr>
        <w:pStyle w:val="3"/>
        <w:ind w:firstLine="480"/>
        <w:rPr>
          <w:color w:val="auto"/>
          <w:highlight w:val="none"/>
        </w:rPr>
      </w:pPr>
      <w:r>
        <w:rPr>
          <w:color w:val="auto"/>
          <w:highlight w:val="none"/>
        </w:rPr>
        <w:t>在施工过程中，建筑材料装卸以及运输车辆行驶等均会产生粉尘，这些粉尘随风扩散造成施工扬尘。施工扬尘的大小随施工季节、施工管理等不同差别甚大，影响可达150～300m。</w:t>
      </w:r>
    </w:p>
    <w:p w14:paraId="1476D605">
      <w:pPr>
        <w:pStyle w:val="3"/>
        <w:ind w:firstLine="480"/>
        <w:rPr>
          <w:color w:val="auto"/>
          <w:highlight w:val="none"/>
        </w:rPr>
      </w:pPr>
      <w:r>
        <w:rPr>
          <w:color w:val="auto"/>
          <w:highlight w:val="none"/>
        </w:rPr>
        <w:t>根据类比调查资料可知，施工及运输车辆引起的扬尘影响道路两侧各约50m的区域；表土剥离扬尘污染严重，空气中扬尘浓度可达20mg/m</w:t>
      </w:r>
      <w:r>
        <w:rPr>
          <w:color w:val="auto"/>
          <w:highlight w:val="none"/>
          <w:vertAlign w:val="superscript"/>
        </w:rPr>
        <w:t>3</w:t>
      </w:r>
      <w:r>
        <w:rPr>
          <w:color w:val="auto"/>
          <w:highlight w:val="none"/>
        </w:rPr>
        <w:t>，随着距离的增加，TSP浓度迅速下降，影响范围主要在周围50m内；建筑工地扬尘的影响范围主要在施工场地外100m以内。</w:t>
      </w:r>
    </w:p>
    <w:p w14:paraId="2DFD485F">
      <w:pPr>
        <w:pStyle w:val="3"/>
        <w:ind w:firstLine="480"/>
        <w:rPr>
          <w:color w:val="auto"/>
          <w:highlight w:val="none"/>
        </w:rPr>
      </w:pPr>
      <w:r>
        <w:rPr>
          <w:color w:val="auto"/>
          <w:highlight w:val="none"/>
        </w:rPr>
        <w:t>（3）施工废气影响分析</w:t>
      </w:r>
    </w:p>
    <w:p w14:paraId="68CE3415">
      <w:pPr>
        <w:pStyle w:val="3"/>
        <w:ind w:firstLine="480"/>
        <w:rPr>
          <w:color w:val="auto"/>
          <w:highlight w:val="none"/>
        </w:rPr>
      </w:pPr>
      <w:r>
        <w:rPr>
          <w:color w:val="auto"/>
          <w:highlight w:val="none"/>
        </w:rPr>
        <w:t>施工废气来源包括各种燃油机械的废气排放以及运输车辆产生的尾气。</w:t>
      </w:r>
    </w:p>
    <w:p w14:paraId="49B10616">
      <w:pPr>
        <w:pStyle w:val="3"/>
        <w:ind w:firstLine="480"/>
        <w:rPr>
          <w:color w:val="auto"/>
          <w:highlight w:val="none"/>
        </w:rPr>
      </w:pPr>
      <w:r>
        <w:rPr>
          <w:color w:val="auto"/>
          <w:highlight w:val="none"/>
        </w:rPr>
        <w:t>燃油机械和汽车尾气中的污染物主要有一氧化碳（CO）、碳氢化合物（CmHn）及氮氧化物（NOx）等。据有关单位在施工现场的测试结果表明：氮氧化物（NOx）的浓度可达到150μg/m</w:t>
      </w:r>
      <w:r>
        <w:rPr>
          <w:color w:val="auto"/>
          <w:highlight w:val="none"/>
          <w:vertAlign w:val="superscript"/>
        </w:rPr>
        <w:t>3</w:t>
      </w:r>
      <w:r>
        <w:rPr>
          <w:color w:val="auto"/>
          <w:highlight w:val="none"/>
        </w:rPr>
        <w:t>，其影响范围在下风向200m的范围内。</w:t>
      </w:r>
    </w:p>
    <w:p w14:paraId="27434885">
      <w:pPr>
        <w:pStyle w:val="3"/>
        <w:ind w:firstLine="480"/>
        <w:rPr>
          <w:color w:val="auto"/>
          <w:highlight w:val="none"/>
        </w:rPr>
      </w:pPr>
      <w:r>
        <w:rPr>
          <w:color w:val="auto"/>
          <w:highlight w:val="none"/>
        </w:rPr>
        <w:t>项目施工期大气污染主要影响对象为本项目施工人员。</w:t>
      </w:r>
    </w:p>
    <w:p w14:paraId="5B41D794">
      <w:pPr>
        <w:pStyle w:val="42"/>
        <w:rPr>
          <w:rFonts w:hint="default"/>
          <w:color w:val="auto"/>
          <w:highlight w:val="none"/>
        </w:rPr>
      </w:pPr>
      <w:r>
        <w:rPr>
          <w:rFonts w:hint="default"/>
          <w:color w:val="auto"/>
          <w:highlight w:val="none"/>
        </w:rPr>
        <w:t>施工污（废）水对环境的影响分析</w:t>
      </w:r>
    </w:p>
    <w:p w14:paraId="07F82AA0">
      <w:pPr>
        <w:pStyle w:val="3"/>
        <w:ind w:firstLine="480"/>
        <w:rPr>
          <w:color w:val="auto"/>
          <w:highlight w:val="none"/>
        </w:rPr>
      </w:pPr>
      <w:r>
        <w:rPr>
          <w:rFonts w:hint="eastAsia"/>
          <w:color w:val="auto"/>
          <w:highlight w:val="none"/>
        </w:rPr>
        <w:t>（1）影响因素</w:t>
      </w:r>
    </w:p>
    <w:p w14:paraId="5687F824">
      <w:pPr>
        <w:pStyle w:val="3"/>
        <w:ind w:firstLine="480"/>
        <w:rPr>
          <w:color w:val="auto"/>
          <w:highlight w:val="none"/>
        </w:rPr>
      </w:pPr>
      <w:r>
        <w:rPr>
          <w:rFonts w:hint="eastAsia"/>
          <w:color w:val="auto"/>
          <w:highlight w:val="none"/>
        </w:rPr>
        <w:t>施工期废水主要为生产废水和生活污水。</w:t>
      </w:r>
    </w:p>
    <w:p w14:paraId="394769E0">
      <w:pPr>
        <w:pStyle w:val="3"/>
        <w:ind w:firstLine="480"/>
        <w:rPr>
          <w:color w:val="auto"/>
          <w:highlight w:val="none"/>
        </w:rPr>
      </w:pPr>
      <w:r>
        <w:rPr>
          <w:rFonts w:hint="eastAsia"/>
          <w:color w:val="auto"/>
          <w:highlight w:val="none"/>
        </w:rPr>
        <w:t>施工废水主要是施工期的混凝土养护、进出车辆轮胎以及施工机械设备冲洗过程，或通过雨水冲刷等途径产生污水，主要污染物为SS、石油类。同时，在施工现场有管理人员和施工人员，会产生生活污水，主要污染因子为pH、SS、CODcr、BOD</w:t>
      </w:r>
      <w:r>
        <w:rPr>
          <w:rFonts w:hint="eastAsia"/>
          <w:color w:val="auto"/>
          <w:highlight w:val="none"/>
          <w:vertAlign w:val="subscript"/>
        </w:rPr>
        <w:t>5</w:t>
      </w:r>
      <w:r>
        <w:rPr>
          <w:rFonts w:hint="eastAsia"/>
          <w:color w:val="auto"/>
          <w:highlight w:val="none"/>
        </w:rPr>
        <w:t>、NH</w:t>
      </w:r>
      <w:r>
        <w:rPr>
          <w:rFonts w:hint="eastAsia"/>
          <w:color w:val="auto"/>
          <w:highlight w:val="none"/>
          <w:vertAlign w:val="subscript"/>
        </w:rPr>
        <w:t>3</w:t>
      </w:r>
      <w:r>
        <w:rPr>
          <w:rFonts w:hint="eastAsia"/>
          <w:color w:val="auto"/>
          <w:highlight w:val="none"/>
        </w:rPr>
        <w:t>-N、LAS、动植物油等。</w:t>
      </w:r>
    </w:p>
    <w:p w14:paraId="03B58654">
      <w:pPr>
        <w:pStyle w:val="3"/>
        <w:ind w:firstLine="480"/>
        <w:rPr>
          <w:color w:val="auto"/>
          <w:highlight w:val="none"/>
        </w:rPr>
      </w:pPr>
      <w:r>
        <w:rPr>
          <w:rFonts w:hint="eastAsia"/>
          <w:color w:val="auto"/>
          <w:highlight w:val="none"/>
        </w:rPr>
        <w:t>（2）控制措施及影响</w:t>
      </w:r>
    </w:p>
    <w:p w14:paraId="65EEF0B9">
      <w:pPr>
        <w:pStyle w:val="3"/>
        <w:ind w:firstLine="480"/>
        <w:rPr>
          <w:color w:val="auto"/>
          <w:highlight w:val="none"/>
        </w:rPr>
      </w:pPr>
      <w:r>
        <w:rPr>
          <w:rFonts w:hint="eastAsia"/>
          <w:color w:val="auto"/>
          <w:highlight w:val="none"/>
        </w:rPr>
        <w:t>施工期水污染治理措施包括：建设隔油沉淀池，施工废水经隔油沉淀处理后回用于施工场地洒水抑尘；施工生活污水排入现有地埋式一体化污水处理设施，经处理达标后用于厂区绿化灌溉和洒水降尘。</w:t>
      </w:r>
    </w:p>
    <w:p w14:paraId="1A95C97E">
      <w:pPr>
        <w:pStyle w:val="3"/>
        <w:ind w:firstLine="480"/>
        <w:rPr>
          <w:color w:val="auto"/>
          <w:highlight w:val="none"/>
        </w:rPr>
      </w:pPr>
      <w:r>
        <w:rPr>
          <w:color w:val="auto"/>
          <w:highlight w:val="none"/>
        </w:rPr>
        <w:t>综上所述，</w:t>
      </w:r>
      <w:r>
        <w:rPr>
          <w:rFonts w:hint="eastAsia"/>
          <w:color w:val="auto"/>
          <w:highlight w:val="none"/>
        </w:rPr>
        <w:t>采取以上措施后，项目施工期生产废水和生活污水对周围水环境影响较小，</w:t>
      </w:r>
      <w:r>
        <w:rPr>
          <w:color w:val="auto"/>
          <w:highlight w:val="none"/>
        </w:rPr>
        <w:t>在采取合理环保措施后，这种不利影响是轻微的、短暂的，也是环境可接受的。</w:t>
      </w:r>
    </w:p>
    <w:p w14:paraId="7F5FA9E8">
      <w:pPr>
        <w:pStyle w:val="42"/>
        <w:rPr>
          <w:rFonts w:hint="default"/>
          <w:color w:val="auto"/>
          <w:highlight w:val="none"/>
        </w:rPr>
      </w:pPr>
      <w:r>
        <w:rPr>
          <w:rFonts w:hint="default"/>
          <w:color w:val="auto"/>
          <w:highlight w:val="none"/>
        </w:rPr>
        <w:t>施工期声环境影响分析</w:t>
      </w:r>
    </w:p>
    <w:p w14:paraId="14061FE5">
      <w:pPr>
        <w:pStyle w:val="3"/>
        <w:ind w:firstLine="480"/>
        <w:rPr>
          <w:color w:val="auto"/>
          <w:highlight w:val="none"/>
        </w:rPr>
      </w:pPr>
      <w:r>
        <w:rPr>
          <w:color w:val="auto"/>
          <w:highlight w:val="none"/>
        </w:rPr>
        <w:t>（1）施工期源强</w:t>
      </w:r>
    </w:p>
    <w:p w14:paraId="4A025C59">
      <w:pPr>
        <w:pStyle w:val="3"/>
        <w:ind w:firstLine="480"/>
        <w:rPr>
          <w:color w:val="auto"/>
          <w:highlight w:val="none"/>
        </w:rPr>
      </w:pPr>
      <w:r>
        <w:rPr>
          <w:color w:val="auto"/>
          <w:highlight w:val="none"/>
        </w:rPr>
        <w:t>施工期噪声主要来自建筑施工、装修过程。建设期间产生的噪声具有阶段性、临时性和不固定性，噪声值基本在82~99dB之间。《环境噪声与振动控制工程设计导则》（HJ2034-2013）附录A中列出了常用施工机械所产生的噪声值，具体见下表：</w:t>
      </w:r>
    </w:p>
    <w:p w14:paraId="579D9919">
      <w:pPr>
        <w:pStyle w:val="40"/>
        <w:spacing w:before="31" w:after="31"/>
        <w:rPr>
          <w:color w:val="auto"/>
          <w:highlight w:val="none"/>
        </w:rPr>
      </w:pPr>
      <w:r>
        <w:rPr>
          <w:color w:val="auto"/>
          <w:highlight w:val="none"/>
        </w:rPr>
        <w:t>表5.1-1  常用施工机械噪声值单位：dB（A）</w:t>
      </w:r>
    </w:p>
    <w:tbl>
      <w:tblPr>
        <w:tblStyle w:val="25"/>
        <w:tblW w:w="499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3165"/>
        <w:gridCol w:w="2555"/>
        <w:gridCol w:w="2800"/>
      </w:tblGrid>
      <w:tr w14:paraId="3D9404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857" w:type="pct"/>
            <w:tcBorders>
              <w:tl2br w:val="nil"/>
              <w:tr2bl w:val="nil"/>
            </w:tcBorders>
            <w:vAlign w:val="center"/>
          </w:tcPr>
          <w:p w14:paraId="54073AF5">
            <w:pPr>
              <w:pStyle w:val="41"/>
              <w:rPr>
                <w:color w:val="auto"/>
                <w:highlight w:val="none"/>
              </w:rPr>
            </w:pPr>
            <w:r>
              <w:rPr>
                <w:color w:val="auto"/>
                <w:highlight w:val="none"/>
              </w:rPr>
              <w:t>施工设备名称</w:t>
            </w:r>
          </w:p>
        </w:tc>
        <w:tc>
          <w:tcPr>
            <w:tcW w:w="1499" w:type="pct"/>
            <w:tcBorders>
              <w:tl2br w:val="nil"/>
              <w:tr2bl w:val="nil"/>
            </w:tcBorders>
            <w:vAlign w:val="center"/>
          </w:tcPr>
          <w:p w14:paraId="346DB1E8">
            <w:pPr>
              <w:pStyle w:val="41"/>
              <w:rPr>
                <w:color w:val="auto"/>
                <w:highlight w:val="none"/>
              </w:rPr>
            </w:pPr>
            <w:r>
              <w:rPr>
                <w:color w:val="auto"/>
                <w:highlight w:val="none"/>
              </w:rPr>
              <w:t>距声源5m</w:t>
            </w:r>
          </w:p>
        </w:tc>
        <w:tc>
          <w:tcPr>
            <w:tcW w:w="1642" w:type="pct"/>
            <w:tcBorders>
              <w:tl2br w:val="nil"/>
              <w:tr2bl w:val="nil"/>
            </w:tcBorders>
            <w:vAlign w:val="center"/>
          </w:tcPr>
          <w:p w14:paraId="6F4ED025">
            <w:pPr>
              <w:pStyle w:val="41"/>
              <w:rPr>
                <w:color w:val="auto"/>
                <w:highlight w:val="none"/>
              </w:rPr>
            </w:pPr>
            <w:r>
              <w:rPr>
                <w:color w:val="auto"/>
                <w:highlight w:val="none"/>
              </w:rPr>
              <w:t>距声源10m</w:t>
            </w:r>
          </w:p>
        </w:tc>
      </w:tr>
      <w:tr w14:paraId="42F8AE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857" w:type="pct"/>
            <w:tcBorders>
              <w:tl2br w:val="nil"/>
              <w:tr2bl w:val="nil"/>
            </w:tcBorders>
            <w:vAlign w:val="center"/>
          </w:tcPr>
          <w:p w14:paraId="727D22B9">
            <w:pPr>
              <w:pStyle w:val="41"/>
              <w:rPr>
                <w:color w:val="auto"/>
                <w:highlight w:val="none"/>
              </w:rPr>
            </w:pPr>
            <w:r>
              <w:rPr>
                <w:color w:val="auto"/>
                <w:highlight w:val="none"/>
              </w:rPr>
              <w:t>液压挖掘机</w:t>
            </w:r>
          </w:p>
        </w:tc>
        <w:tc>
          <w:tcPr>
            <w:tcW w:w="1499" w:type="pct"/>
            <w:tcBorders>
              <w:tl2br w:val="nil"/>
              <w:tr2bl w:val="nil"/>
            </w:tcBorders>
            <w:vAlign w:val="center"/>
          </w:tcPr>
          <w:p w14:paraId="45AA01F3">
            <w:pPr>
              <w:pStyle w:val="41"/>
              <w:rPr>
                <w:color w:val="auto"/>
                <w:highlight w:val="none"/>
              </w:rPr>
            </w:pPr>
            <w:r>
              <w:rPr>
                <w:color w:val="auto"/>
                <w:highlight w:val="none"/>
              </w:rPr>
              <w:t>82~90</w:t>
            </w:r>
          </w:p>
        </w:tc>
        <w:tc>
          <w:tcPr>
            <w:tcW w:w="1642" w:type="pct"/>
            <w:tcBorders>
              <w:tl2br w:val="nil"/>
              <w:tr2bl w:val="nil"/>
            </w:tcBorders>
            <w:vAlign w:val="center"/>
          </w:tcPr>
          <w:p w14:paraId="2619B31A">
            <w:pPr>
              <w:pStyle w:val="41"/>
              <w:rPr>
                <w:color w:val="auto"/>
                <w:highlight w:val="none"/>
              </w:rPr>
            </w:pPr>
            <w:r>
              <w:rPr>
                <w:color w:val="auto"/>
                <w:highlight w:val="none"/>
              </w:rPr>
              <w:t>78~86</w:t>
            </w:r>
          </w:p>
        </w:tc>
      </w:tr>
      <w:tr w14:paraId="75AADF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857" w:type="pct"/>
            <w:tcBorders>
              <w:tl2br w:val="nil"/>
              <w:tr2bl w:val="nil"/>
            </w:tcBorders>
            <w:vAlign w:val="center"/>
          </w:tcPr>
          <w:p w14:paraId="594C7930">
            <w:pPr>
              <w:pStyle w:val="41"/>
              <w:rPr>
                <w:color w:val="auto"/>
                <w:highlight w:val="none"/>
              </w:rPr>
            </w:pPr>
            <w:r>
              <w:rPr>
                <w:color w:val="auto"/>
                <w:highlight w:val="none"/>
              </w:rPr>
              <w:t>推土机</w:t>
            </w:r>
          </w:p>
        </w:tc>
        <w:tc>
          <w:tcPr>
            <w:tcW w:w="1499" w:type="pct"/>
            <w:tcBorders>
              <w:tl2br w:val="nil"/>
              <w:tr2bl w:val="nil"/>
            </w:tcBorders>
            <w:vAlign w:val="center"/>
          </w:tcPr>
          <w:p w14:paraId="65D201D9">
            <w:pPr>
              <w:pStyle w:val="41"/>
              <w:rPr>
                <w:color w:val="auto"/>
                <w:highlight w:val="none"/>
              </w:rPr>
            </w:pPr>
            <w:r>
              <w:rPr>
                <w:color w:val="auto"/>
                <w:highlight w:val="none"/>
              </w:rPr>
              <w:t>83~88</w:t>
            </w:r>
          </w:p>
        </w:tc>
        <w:tc>
          <w:tcPr>
            <w:tcW w:w="1642" w:type="pct"/>
            <w:tcBorders>
              <w:tl2br w:val="nil"/>
              <w:tr2bl w:val="nil"/>
            </w:tcBorders>
            <w:vAlign w:val="center"/>
          </w:tcPr>
          <w:p w14:paraId="449DD2C0">
            <w:pPr>
              <w:pStyle w:val="41"/>
              <w:rPr>
                <w:color w:val="auto"/>
                <w:highlight w:val="none"/>
              </w:rPr>
            </w:pPr>
            <w:r>
              <w:rPr>
                <w:color w:val="auto"/>
                <w:highlight w:val="none"/>
              </w:rPr>
              <w:t>80~85</w:t>
            </w:r>
          </w:p>
        </w:tc>
      </w:tr>
      <w:tr w14:paraId="7D6BEC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857" w:type="pct"/>
            <w:tcBorders>
              <w:tl2br w:val="nil"/>
              <w:tr2bl w:val="nil"/>
            </w:tcBorders>
            <w:vAlign w:val="center"/>
          </w:tcPr>
          <w:p w14:paraId="3746493F">
            <w:pPr>
              <w:pStyle w:val="41"/>
              <w:rPr>
                <w:color w:val="auto"/>
                <w:highlight w:val="none"/>
              </w:rPr>
            </w:pPr>
            <w:r>
              <w:rPr>
                <w:color w:val="auto"/>
                <w:highlight w:val="none"/>
              </w:rPr>
              <w:t>重型运输车</w:t>
            </w:r>
          </w:p>
        </w:tc>
        <w:tc>
          <w:tcPr>
            <w:tcW w:w="1499" w:type="pct"/>
            <w:tcBorders>
              <w:tl2br w:val="nil"/>
              <w:tr2bl w:val="nil"/>
            </w:tcBorders>
            <w:vAlign w:val="center"/>
          </w:tcPr>
          <w:p w14:paraId="1E74C47D">
            <w:pPr>
              <w:pStyle w:val="41"/>
              <w:rPr>
                <w:color w:val="auto"/>
                <w:highlight w:val="none"/>
              </w:rPr>
            </w:pPr>
            <w:r>
              <w:rPr>
                <w:color w:val="auto"/>
                <w:highlight w:val="none"/>
              </w:rPr>
              <w:t>82~90</w:t>
            </w:r>
          </w:p>
        </w:tc>
        <w:tc>
          <w:tcPr>
            <w:tcW w:w="1642" w:type="pct"/>
            <w:tcBorders>
              <w:tl2br w:val="nil"/>
              <w:tr2bl w:val="nil"/>
            </w:tcBorders>
            <w:vAlign w:val="center"/>
          </w:tcPr>
          <w:p w14:paraId="00A2B7A5">
            <w:pPr>
              <w:pStyle w:val="41"/>
              <w:rPr>
                <w:color w:val="auto"/>
                <w:highlight w:val="none"/>
              </w:rPr>
            </w:pPr>
            <w:r>
              <w:rPr>
                <w:color w:val="auto"/>
                <w:highlight w:val="none"/>
              </w:rPr>
              <w:t>78~86</w:t>
            </w:r>
          </w:p>
        </w:tc>
      </w:tr>
      <w:tr w14:paraId="69D78D6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857" w:type="pct"/>
            <w:tcBorders>
              <w:tl2br w:val="nil"/>
              <w:tr2bl w:val="nil"/>
            </w:tcBorders>
            <w:vAlign w:val="center"/>
          </w:tcPr>
          <w:p w14:paraId="30559BD2">
            <w:pPr>
              <w:pStyle w:val="41"/>
              <w:rPr>
                <w:color w:val="auto"/>
                <w:highlight w:val="none"/>
              </w:rPr>
            </w:pPr>
            <w:r>
              <w:rPr>
                <w:color w:val="auto"/>
                <w:highlight w:val="none"/>
              </w:rPr>
              <w:t>木工电锯</w:t>
            </w:r>
          </w:p>
        </w:tc>
        <w:tc>
          <w:tcPr>
            <w:tcW w:w="1499" w:type="pct"/>
            <w:tcBorders>
              <w:tl2br w:val="nil"/>
              <w:tr2bl w:val="nil"/>
            </w:tcBorders>
            <w:vAlign w:val="center"/>
          </w:tcPr>
          <w:p w14:paraId="5F4795BD">
            <w:pPr>
              <w:pStyle w:val="41"/>
              <w:rPr>
                <w:color w:val="auto"/>
                <w:highlight w:val="none"/>
              </w:rPr>
            </w:pPr>
            <w:r>
              <w:rPr>
                <w:color w:val="auto"/>
                <w:highlight w:val="none"/>
              </w:rPr>
              <w:t>93~99</w:t>
            </w:r>
          </w:p>
        </w:tc>
        <w:tc>
          <w:tcPr>
            <w:tcW w:w="1642" w:type="pct"/>
            <w:tcBorders>
              <w:tl2br w:val="nil"/>
              <w:tr2bl w:val="nil"/>
            </w:tcBorders>
            <w:vAlign w:val="center"/>
          </w:tcPr>
          <w:p w14:paraId="58485451">
            <w:pPr>
              <w:pStyle w:val="41"/>
              <w:rPr>
                <w:color w:val="auto"/>
                <w:highlight w:val="none"/>
              </w:rPr>
            </w:pPr>
            <w:r>
              <w:rPr>
                <w:color w:val="auto"/>
                <w:highlight w:val="none"/>
              </w:rPr>
              <w:t>90~95</w:t>
            </w:r>
          </w:p>
        </w:tc>
      </w:tr>
      <w:tr w14:paraId="1A8F7C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857" w:type="pct"/>
            <w:tcBorders>
              <w:tl2br w:val="nil"/>
              <w:tr2bl w:val="nil"/>
            </w:tcBorders>
            <w:vAlign w:val="center"/>
          </w:tcPr>
          <w:p w14:paraId="0D588A6D">
            <w:pPr>
              <w:pStyle w:val="41"/>
              <w:rPr>
                <w:color w:val="auto"/>
                <w:highlight w:val="none"/>
              </w:rPr>
            </w:pPr>
            <w:r>
              <w:rPr>
                <w:color w:val="auto"/>
                <w:highlight w:val="none"/>
              </w:rPr>
              <w:t>混凝土输送泵</w:t>
            </w:r>
          </w:p>
        </w:tc>
        <w:tc>
          <w:tcPr>
            <w:tcW w:w="1499" w:type="pct"/>
            <w:tcBorders>
              <w:tl2br w:val="nil"/>
              <w:tr2bl w:val="nil"/>
            </w:tcBorders>
            <w:vAlign w:val="center"/>
          </w:tcPr>
          <w:p w14:paraId="18C3418E">
            <w:pPr>
              <w:pStyle w:val="41"/>
              <w:rPr>
                <w:color w:val="auto"/>
                <w:highlight w:val="none"/>
              </w:rPr>
            </w:pPr>
            <w:r>
              <w:rPr>
                <w:color w:val="auto"/>
                <w:highlight w:val="none"/>
              </w:rPr>
              <w:t>88~95</w:t>
            </w:r>
          </w:p>
        </w:tc>
        <w:tc>
          <w:tcPr>
            <w:tcW w:w="1642" w:type="pct"/>
            <w:tcBorders>
              <w:tl2br w:val="nil"/>
              <w:tr2bl w:val="nil"/>
            </w:tcBorders>
            <w:vAlign w:val="center"/>
          </w:tcPr>
          <w:p w14:paraId="15B6A2C8">
            <w:pPr>
              <w:pStyle w:val="41"/>
              <w:rPr>
                <w:color w:val="auto"/>
                <w:highlight w:val="none"/>
              </w:rPr>
            </w:pPr>
            <w:r>
              <w:rPr>
                <w:color w:val="auto"/>
                <w:highlight w:val="none"/>
              </w:rPr>
              <w:t>84~90</w:t>
            </w:r>
          </w:p>
        </w:tc>
      </w:tr>
      <w:tr w14:paraId="6B11DB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857" w:type="pct"/>
            <w:tcBorders>
              <w:tl2br w:val="nil"/>
              <w:tr2bl w:val="nil"/>
            </w:tcBorders>
            <w:vAlign w:val="center"/>
          </w:tcPr>
          <w:p w14:paraId="0DBAE7CE">
            <w:pPr>
              <w:pStyle w:val="41"/>
              <w:rPr>
                <w:color w:val="auto"/>
                <w:highlight w:val="none"/>
              </w:rPr>
            </w:pPr>
            <w:r>
              <w:rPr>
                <w:color w:val="auto"/>
                <w:highlight w:val="none"/>
              </w:rPr>
              <w:t>商砼搅拌车</w:t>
            </w:r>
          </w:p>
        </w:tc>
        <w:tc>
          <w:tcPr>
            <w:tcW w:w="1499" w:type="pct"/>
            <w:tcBorders>
              <w:tl2br w:val="nil"/>
              <w:tr2bl w:val="nil"/>
            </w:tcBorders>
            <w:vAlign w:val="center"/>
          </w:tcPr>
          <w:p w14:paraId="565B80E8">
            <w:pPr>
              <w:pStyle w:val="41"/>
              <w:rPr>
                <w:color w:val="auto"/>
                <w:highlight w:val="none"/>
              </w:rPr>
            </w:pPr>
            <w:r>
              <w:rPr>
                <w:color w:val="auto"/>
                <w:highlight w:val="none"/>
              </w:rPr>
              <w:t>85~90</w:t>
            </w:r>
          </w:p>
        </w:tc>
        <w:tc>
          <w:tcPr>
            <w:tcW w:w="1642" w:type="pct"/>
            <w:tcBorders>
              <w:tl2br w:val="nil"/>
              <w:tr2bl w:val="nil"/>
            </w:tcBorders>
            <w:vAlign w:val="center"/>
          </w:tcPr>
          <w:p w14:paraId="0F6D3188">
            <w:pPr>
              <w:pStyle w:val="41"/>
              <w:rPr>
                <w:color w:val="auto"/>
                <w:highlight w:val="none"/>
              </w:rPr>
            </w:pPr>
            <w:r>
              <w:rPr>
                <w:color w:val="auto"/>
                <w:highlight w:val="none"/>
              </w:rPr>
              <w:t>82~84</w:t>
            </w:r>
          </w:p>
        </w:tc>
      </w:tr>
      <w:tr w14:paraId="5F074C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857" w:type="pct"/>
            <w:tcBorders>
              <w:tl2br w:val="nil"/>
              <w:tr2bl w:val="nil"/>
            </w:tcBorders>
            <w:vAlign w:val="center"/>
          </w:tcPr>
          <w:p w14:paraId="271C37E6">
            <w:pPr>
              <w:pStyle w:val="41"/>
              <w:rPr>
                <w:color w:val="auto"/>
                <w:highlight w:val="none"/>
              </w:rPr>
            </w:pPr>
            <w:r>
              <w:rPr>
                <w:color w:val="auto"/>
                <w:highlight w:val="none"/>
              </w:rPr>
              <w:t>空压机</w:t>
            </w:r>
          </w:p>
        </w:tc>
        <w:tc>
          <w:tcPr>
            <w:tcW w:w="1499" w:type="pct"/>
            <w:tcBorders>
              <w:tl2br w:val="nil"/>
              <w:tr2bl w:val="nil"/>
            </w:tcBorders>
            <w:vAlign w:val="center"/>
          </w:tcPr>
          <w:p w14:paraId="00992EBA">
            <w:pPr>
              <w:pStyle w:val="41"/>
              <w:rPr>
                <w:color w:val="auto"/>
                <w:highlight w:val="none"/>
              </w:rPr>
            </w:pPr>
            <w:r>
              <w:rPr>
                <w:color w:val="auto"/>
                <w:highlight w:val="none"/>
              </w:rPr>
              <w:t>88~92</w:t>
            </w:r>
          </w:p>
        </w:tc>
        <w:tc>
          <w:tcPr>
            <w:tcW w:w="1642" w:type="pct"/>
            <w:tcBorders>
              <w:tl2br w:val="nil"/>
              <w:tr2bl w:val="nil"/>
            </w:tcBorders>
            <w:vAlign w:val="center"/>
          </w:tcPr>
          <w:p w14:paraId="0FA24394">
            <w:pPr>
              <w:pStyle w:val="41"/>
              <w:rPr>
                <w:color w:val="auto"/>
                <w:highlight w:val="none"/>
              </w:rPr>
            </w:pPr>
            <w:r>
              <w:rPr>
                <w:color w:val="auto"/>
                <w:highlight w:val="none"/>
              </w:rPr>
              <w:t>83~88</w:t>
            </w:r>
          </w:p>
        </w:tc>
      </w:tr>
    </w:tbl>
    <w:p w14:paraId="360D9CC8">
      <w:pPr>
        <w:pStyle w:val="3"/>
        <w:ind w:firstLine="480"/>
        <w:rPr>
          <w:color w:val="auto"/>
          <w:highlight w:val="none"/>
        </w:rPr>
      </w:pPr>
      <w:r>
        <w:rPr>
          <w:color w:val="auto"/>
          <w:highlight w:val="none"/>
        </w:rPr>
        <w:t>（2）声环境影响预测</w:t>
      </w:r>
    </w:p>
    <w:p w14:paraId="43446625">
      <w:pPr>
        <w:pStyle w:val="3"/>
        <w:ind w:firstLine="480"/>
        <w:rPr>
          <w:color w:val="auto"/>
          <w:highlight w:val="none"/>
        </w:rPr>
      </w:pPr>
      <w:r>
        <w:rPr>
          <w:color w:val="auto"/>
          <w:highlight w:val="none"/>
        </w:rPr>
        <w:t>1）预测模式</w:t>
      </w:r>
    </w:p>
    <w:p w14:paraId="320F69D7">
      <w:pPr>
        <w:pStyle w:val="3"/>
        <w:ind w:firstLine="480"/>
        <w:rPr>
          <w:color w:val="auto"/>
          <w:highlight w:val="none"/>
        </w:rPr>
      </w:pPr>
      <w:r>
        <w:rPr>
          <w:color w:val="auto"/>
          <w:highlight w:val="none"/>
        </w:rPr>
        <w:t>施工噪声可按点声源处理，根据点声源噪声衰减模式，估算出离声源不同距离处的噪声值，预测模式如下：</w:t>
      </w:r>
    </w:p>
    <w:p w14:paraId="145C3320">
      <w:pPr>
        <w:pStyle w:val="3"/>
        <w:ind w:firstLine="0" w:firstLineChars="0"/>
        <w:jc w:val="center"/>
        <w:rPr>
          <w:color w:val="auto"/>
          <w:highlight w:val="none"/>
        </w:rPr>
      </w:pPr>
      <w:r>
        <w:rPr>
          <w:color w:val="auto"/>
          <w:highlight w:val="none"/>
        </w:rPr>
        <w:t>Lp（r）=Lp（r0）-20lg（r/r0）</w:t>
      </w:r>
    </w:p>
    <w:p w14:paraId="30221A2F">
      <w:pPr>
        <w:pStyle w:val="3"/>
        <w:ind w:firstLine="480"/>
        <w:rPr>
          <w:color w:val="auto"/>
          <w:highlight w:val="none"/>
        </w:rPr>
      </w:pPr>
      <w:r>
        <w:rPr>
          <w:color w:val="auto"/>
          <w:highlight w:val="none"/>
        </w:rPr>
        <w:t>式中：Lp（r）——预测点处声压级，dB；</w:t>
      </w:r>
    </w:p>
    <w:p w14:paraId="27534276">
      <w:pPr>
        <w:pStyle w:val="3"/>
        <w:ind w:firstLine="480"/>
        <w:rPr>
          <w:color w:val="auto"/>
          <w:highlight w:val="none"/>
        </w:rPr>
      </w:pPr>
      <w:r>
        <w:rPr>
          <w:color w:val="auto"/>
          <w:highlight w:val="none"/>
        </w:rPr>
        <w:t xml:space="preserve">      Lp（r0）——参考位置r0处的声压级，dB；</w:t>
      </w:r>
    </w:p>
    <w:p w14:paraId="402963FC">
      <w:pPr>
        <w:pStyle w:val="3"/>
        <w:ind w:firstLine="480"/>
        <w:rPr>
          <w:color w:val="auto"/>
          <w:highlight w:val="none"/>
        </w:rPr>
      </w:pPr>
      <w:r>
        <w:rPr>
          <w:color w:val="auto"/>
          <w:highlight w:val="none"/>
        </w:rPr>
        <w:t xml:space="preserve">      r——预测点距声源的距离；</w:t>
      </w:r>
    </w:p>
    <w:p w14:paraId="0EEDA074">
      <w:pPr>
        <w:pStyle w:val="3"/>
        <w:ind w:firstLine="480"/>
        <w:rPr>
          <w:color w:val="auto"/>
          <w:highlight w:val="none"/>
        </w:rPr>
      </w:pPr>
      <w:r>
        <w:rPr>
          <w:color w:val="auto"/>
          <w:highlight w:val="none"/>
        </w:rPr>
        <w:t xml:space="preserve">      r0——参考位置距声源的距离。</w:t>
      </w:r>
    </w:p>
    <w:p w14:paraId="4D3136D1">
      <w:pPr>
        <w:pStyle w:val="3"/>
        <w:ind w:firstLine="480"/>
        <w:rPr>
          <w:color w:val="auto"/>
          <w:highlight w:val="none"/>
        </w:rPr>
      </w:pPr>
      <w:r>
        <w:rPr>
          <w:color w:val="auto"/>
          <w:highlight w:val="none"/>
        </w:rPr>
        <w:t>2）预测结果</w:t>
      </w:r>
    </w:p>
    <w:p w14:paraId="7410BE00">
      <w:pPr>
        <w:pStyle w:val="3"/>
        <w:ind w:firstLine="480"/>
        <w:rPr>
          <w:color w:val="auto"/>
          <w:highlight w:val="none"/>
        </w:rPr>
      </w:pPr>
      <w:r>
        <w:rPr>
          <w:color w:val="auto"/>
          <w:highlight w:val="none"/>
        </w:rPr>
        <w:t>根据预测模式对施工机械噪声的影响范围进行预测，预测结果见下表：</w:t>
      </w:r>
    </w:p>
    <w:p w14:paraId="4155EA2E">
      <w:pPr>
        <w:pStyle w:val="40"/>
        <w:spacing w:before="31" w:after="31"/>
        <w:rPr>
          <w:color w:val="auto"/>
          <w:highlight w:val="none"/>
        </w:rPr>
      </w:pPr>
      <w:r>
        <w:rPr>
          <w:color w:val="auto"/>
          <w:highlight w:val="none"/>
        </w:rPr>
        <w:t xml:space="preserve">表5.1-2  </w:t>
      </w:r>
      <w:r>
        <w:rPr>
          <w:rFonts w:hint="eastAsia"/>
          <w:color w:val="auto"/>
          <w:highlight w:val="none"/>
        </w:rPr>
        <w:t xml:space="preserve"> </w:t>
      </w:r>
      <w:r>
        <w:rPr>
          <w:color w:val="auto"/>
          <w:highlight w:val="none"/>
        </w:rPr>
        <w:t xml:space="preserve"> 主要施工项目不同距离处的噪声值  单位：dB（A）</w:t>
      </w:r>
    </w:p>
    <w:tbl>
      <w:tblPr>
        <w:tblStyle w:val="25"/>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2185"/>
        <w:gridCol w:w="896"/>
        <w:gridCol w:w="897"/>
        <w:gridCol w:w="897"/>
        <w:gridCol w:w="897"/>
        <w:gridCol w:w="896"/>
        <w:gridCol w:w="897"/>
        <w:gridCol w:w="957"/>
      </w:tblGrid>
      <w:tr w14:paraId="6A8C16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2185" w:type="dxa"/>
            <w:tcBorders>
              <w:tl2br w:val="nil"/>
              <w:tr2bl w:val="nil"/>
            </w:tcBorders>
            <w:vAlign w:val="center"/>
          </w:tcPr>
          <w:p w14:paraId="1805BB02">
            <w:pPr>
              <w:pStyle w:val="41"/>
              <w:rPr>
                <w:color w:val="auto"/>
                <w:highlight w:val="none"/>
              </w:rPr>
            </w:pPr>
            <w:r>
              <w:rPr>
                <w:color w:val="auto"/>
                <w:highlight w:val="none"/>
              </w:rPr>
              <w:t>距离（m）设备名称</w:t>
            </w:r>
          </w:p>
        </w:tc>
        <w:tc>
          <w:tcPr>
            <w:tcW w:w="896" w:type="dxa"/>
            <w:tcBorders>
              <w:tl2br w:val="nil"/>
              <w:tr2bl w:val="nil"/>
            </w:tcBorders>
            <w:vAlign w:val="center"/>
          </w:tcPr>
          <w:p w14:paraId="2EE3FC77">
            <w:pPr>
              <w:pStyle w:val="41"/>
              <w:rPr>
                <w:color w:val="auto"/>
                <w:highlight w:val="none"/>
              </w:rPr>
            </w:pPr>
            <w:r>
              <w:rPr>
                <w:color w:val="auto"/>
                <w:highlight w:val="none"/>
              </w:rPr>
              <w:t>50</w:t>
            </w:r>
          </w:p>
        </w:tc>
        <w:tc>
          <w:tcPr>
            <w:tcW w:w="897" w:type="dxa"/>
            <w:tcBorders>
              <w:tl2br w:val="nil"/>
              <w:tr2bl w:val="nil"/>
            </w:tcBorders>
            <w:vAlign w:val="center"/>
          </w:tcPr>
          <w:p w14:paraId="7B5938AB">
            <w:pPr>
              <w:pStyle w:val="41"/>
              <w:rPr>
                <w:color w:val="auto"/>
                <w:highlight w:val="none"/>
              </w:rPr>
            </w:pPr>
            <w:r>
              <w:rPr>
                <w:color w:val="auto"/>
                <w:highlight w:val="none"/>
              </w:rPr>
              <w:t>100</w:t>
            </w:r>
          </w:p>
        </w:tc>
        <w:tc>
          <w:tcPr>
            <w:tcW w:w="897" w:type="dxa"/>
            <w:tcBorders>
              <w:tl2br w:val="nil"/>
              <w:tr2bl w:val="nil"/>
            </w:tcBorders>
            <w:vAlign w:val="center"/>
          </w:tcPr>
          <w:p w14:paraId="28DFF75A">
            <w:pPr>
              <w:pStyle w:val="41"/>
              <w:rPr>
                <w:color w:val="auto"/>
                <w:highlight w:val="none"/>
              </w:rPr>
            </w:pPr>
            <w:r>
              <w:rPr>
                <w:color w:val="auto"/>
                <w:highlight w:val="none"/>
              </w:rPr>
              <w:t>150</w:t>
            </w:r>
          </w:p>
        </w:tc>
        <w:tc>
          <w:tcPr>
            <w:tcW w:w="897" w:type="dxa"/>
            <w:tcBorders>
              <w:tl2br w:val="nil"/>
              <w:tr2bl w:val="nil"/>
            </w:tcBorders>
            <w:vAlign w:val="center"/>
          </w:tcPr>
          <w:p w14:paraId="3320FBA8">
            <w:pPr>
              <w:pStyle w:val="41"/>
              <w:rPr>
                <w:color w:val="auto"/>
                <w:highlight w:val="none"/>
              </w:rPr>
            </w:pPr>
            <w:r>
              <w:rPr>
                <w:color w:val="auto"/>
                <w:highlight w:val="none"/>
              </w:rPr>
              <w:t>200</w:t>
            </w:r>
          </w:p>
        </w:tc>
        <w:tc>
          <w:tcPr>
            <w:tcW w:w="896" w:type="dxa"/>
            <w:tcBorders>
              <w:tl2br w:val="nil"/>
              <w:tr2bl w:val="nil"/>
            </w:tcBorders>
            <w:vAlign w:val="center"/>
          </w:tcPr>
          <w:p w14:paraId="13632C35">
            <w:pPr>
              <w:pStyle w:val="41"/>
              <w:rPr>
                <w:color w:val="auto"/>
                <w:highlight w:val="none"/>
              </w:rPr>
            </w:pPr>
            <w:r>
              <w:rPr>
                <w:color w:val="auto"/>
                <w:highlight w:val="none"/>
              </w:rPr>
              <w:t>250</w:t>
            </w:r>
          </w:p>
        </w:tc>
        <w:tc>
          <w:tcPr>
            <w:tcW w:w="897" w:type="dxa"/>
            <w:tcBorders>
              <w:tl2br w:val="nil"/>
              <w:tr2bl w:val="nil"/>
            </w:tcBorders>
            <w:vAlign w:val="center"/>
          </w:tcPr>
          <w:p w14:paraId="5EA3AE5D">
            <w:pPr>
              <w:pStyle w:val="41"/>
              <w:rPr>
                <w:color w:val="auto"/>
                <w:highlight w:val="none"/>
              </w:rPr>
            </w:pPr>
            <w:r>
              <w:rPr>
                <w:color w:val="auto"/>
                <w:highlight w:val="none"/>
              </w:rPr>
              <w:t>300</w:t>
            </w:r>
          </w:p>
        </w:tc>
        <w:tc>
          <w:tcPr>
            <w:tcW w:w="957" w:type="dxa"/>
            <w:tcBorders>
              <w:tl2br w:val="nil"/>
              <w:tr2bl w:val="nil"/>
            </w:tcBorders>
            <w:vAlign w:val="center"/>
          </w:tcPr>
          <w:p w14:paraId="48652011">
            <w:pPr>
              <w:pStyle w:val="41"/>
              <w:rPr>
                <w:color w:val="auto"/>
                <w:highlight w:val="none"/>
              </w:rPr>
            </w:pPr>
            <w:r>
              <w:rPr>
                <w:color w:val="auto"/>
                <w:highlight w:val="none"/>
              </w:rPr>
              <w:t>400</w:t>
            </w:r>
          </w:p>
        </w:tc>
      </w:tr>
      <w:tr w14:paraId="618E8F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2185" w:type="dxa"/>
            <w:tcBorders>
              <w:tl2br w:val="nil"/>
              <w:tr2bl w:val="nil"/>
            </w:tcBorders>
            <w:vAlign w:val="center"/>
          </w:tcPr>
          <w:p w14:paraId="1B537C29">
            <w:pPr>
              <w:pStyle w:val="41"/>
              <w:rPr>
                <w:color w:val="auto"/>
                <w:highlight w:val="none"/>
              </w:rPr>
            </w:pPr>
            <w:r>
              <w:rPr>
                <w:color w:val="auto"/>
                <w:highlight w:val="none"/>
              </w:rPr>
              <w:t>液压挖掘机</w:t>
            </w:r>
          </w:p>
        </w:tc>
        <w:tc>
          <w:tcPr>
            <w:tcW w:w="896" w:type="dxa"/>
            <w:tcBorders>
              <w:tl2br w:val="nil"/>
              <w:tr2bl w:val="nil"/>
            </w:tcBorders>
            <w:vAlign w:val="center"/>
          </w:tcPr>
          <w:p w14:paraId="6CCEE185">
            <w:pPr>
              <w:pStyle w:val="41"/>
              <w:rPr>
                <w:color w:val="auto"/>
                <w:highlight w:val="none"/>
              </w:rPr>
            </w:pPr>
            <w:r>
              <w:rPr>
                <w:color w:val="auto"/>
                <w:highlight w:val="none"/>
              </w:rPr>
              <w:t>70</w:t>
            </w:r>
          </w:p>
        </w:tc>
        <w:tc>
          <w:tcPr>
            <w:tcW w:w="897" w:type="dxa"/>
            <w:tcBorders>
              <w:tl2br w:val="nil"/>
              <w:tr2bl w:val="nil"/>
            </w:tcBorders>
            <w:vAlign w:val="center"/>
          </w:tcPr>
          <w:p w14:paraId="57AEA719">
            <w:pPr>
              <w:pStyle w:val="41"/>
              <w:rPr>
                <w:color w:val="auto"/>
                <w:highlight w:val="none"/>
              </w:rPr>
            </w:pPr>
            <w:r>
              <w:rPr>
                <w:color w:val="auto"/>
                <w:highlight w:val="none"/>
              </w:rPr>
              <w:t>64</w:t>
            </w:r>
          </w:p>
        </w:tc>
        <w:tc>
          <w:tcPr>
            <w:tcW w:w="897" w:type="dxa"/>
            <w:tcBorders>
              <w:tl2br w:val="nil"/>
              <w:tr2bl w:val="nil"/>
            </w:tcBorders>
            <w:vAlign w:val="center"/>
          </w:tcPr>
          <w:p w14:paraId="624D469E">
            <w:pPr>
              <w:pStyle w:val="41"/>
              <w:rPr>
                <w:color w:val="auto"/>
                <w:highlight w:val="none"/>
              </w:rPr>
            </w:pPr>
            <w:r>
              <w:rPr>
                <w:color w:val="auto"/>
                <w:highlight w:val="none"/>
              </w:rPr>
              <w:t>60</w:t>
            </w:r>
          </w:p>
        </w:tc>
        <w:tc>
          <w:tcPr>
            <w:tcW w:w="897" w:type="dxa"/>
            <w:tcBorders>
              <w:tl2br w:val="nil"/>
              <w:tr2bl w:val="nil"/>
            </w:tcBorders>
            <w:vAlign w:val="center"/>
          </w:tcPr>
          <w:p w14:paraId="499B01C0">
            <w:pPr>
              <w:pStyle w:val="41"/>
              <w:rPr>
                <w:color w:val="auto"/>
                <w:highlight w:val="none"/>
              </w:rPr>
            </w:pPr>
            <w:r>
              <w:rPr>
                <w:color w:val="auto"/>
                <w:highlight w:val="none"/>
              </w:rPr>
              <w:t>58</w:t>
            </w:r>
          </w:p>
        </w:tc>
        <w:tc>
          <w:tcPr>
            <w:tcW w:w="896" w:type="dxa"/>
            <w:tcBorders>
              <w:tl2br w:val="nil"/>
              <w:tr2bl w:val="nil"/>
            </w:tcBorders>
            <w:vAlign w:val="center"/>
          </w:tcPr>
          <w:p w14:paraId="5A9F013C">
            <w:pPr>
              <w:pStyle w:val="41"/>
              <w:rPr>
                <w:color w:val="auto"/>
                <w:highlight w:val="none"/>
              </w:rPr>
            </w:pPr>
            <w:r>
              <w:rPr>
                <w:color w:val="auto"/>
                <w:highlight w:val="none"/>
              </w:rPr>
              <w:t>56</w:t>
            </w:r>
          </w:p>
        </w:tc>
        <w:tc>
          <w:tcPr>
            <w:tcW w:w="897" w:type="dxa"/>
            <w:tcBorders>
              <w:tl2br w:val="nil"/>
              <w:tr2bl w:val="nil"/>
            </w:tcBorders>
            <w:vAlign w:val="center"/>
          </w:tcPr>
          <w:p w14:paraId="20FF3683">
            <w:pPr>
              <w:pStyle w:val="41"/>
              <w:rPr>
                <w:color w:val="auto"/>
                <w:highlight w:val="none"/>
              </w:rPr>
            </w:pPr>
            <w:r>
              <w:rPr>
                <w:color w:val="auto"/>
                <w:highlight w:val="none"/>
              </w:rPr>
              <w:t>54</w:t>
            </w:r>
          </w:p>
        </w:tc>
        <w:tc>
          <w:tcPr>
            <w:tcW w:w="957" w:type="dxa"/>
            <w:tcBorders>
              <w:tl2br w:val="nil"/>
              <w:tr2bl w:val="nil"/>
            </w:tcBorders>
            <w:vAlign w:val="center"/>
          </w:tcPr>
          <w:p w14:paraId="79DAFFA6">
            <w:pPr>
              <w:pStyle w:val="41"/>
              <w:rPr>
                <w:color w:val="auto"/>
                <w:highlight w:val="none"/>
              </w:rPr>
            </w:pPr>
            <w:r>
              <w:rPr>
                <w:color w:val="auto"/>
                <w:highlight w:val="none"/>
              </w:rPr>
              <w:t>52</w:t>
            </w:r>
          </w:p>
        </w:tc>
      </w:tr>
      <w:tr w14:paraId="0FB134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2185" w:type="dxa"/>
            <w:tcBorders>
              <w:tl2br w:val="nil"/>
              <w:tr2bl w:val="nil"/>
            </w:tcBorders>
            <w:vAlign w:val="center"/>
          </w:tcPr>
          <w:p w14:paraId="35157001">
            <w:pPr>
              <w:pStyle w:val="41"/>
              <w:rPr>
                <w:color w:val="auto"/>
                <w:highlight w:val="none"/>
              </w:rPr>
            </w:pPr>
            <w:r>
              <w:rPr>
                <w:color w:val="auto"/>
                <w:highlight w:val="none"/>
              </w:rPr>
              <w:t>推土机</w:t>
            </w:r>
          </w:p>
        </w:tc>
        <w:tc>
          <w:tcPr>
            <w:tcW w:w="896" w:type="dxa"/>
            <w:tcBorders>
              <w:tl2br w:val="nil"/>
              <w:tr2bl w:val="nil"/>
            </w:tcBorders>
            <w:vAlign w:val="center"/>
          </w:tcPr>
          <w:p w14:paraId="1276A4BE">
            <w:pPr>
              <w:pStyle w:val="41"/>
              <w:rPr>
                <w:color w:val="auto"/>
                <w:highlight w:val="none"/>
              </w:rPr>
            </w:pPr>
            <w:r>
              <w:rPr>
                <w:color w:val="auto"/>
                <w:highlight w:val="none"/>
              </w:rPr>
              <w:t>68</w:t>
            </w:r>
          </w:p>
        </w:tc>
        <w:tc>
          <w:tcPr>
            <w:tcW w:w="897" w:type="dxa"/>
            <w:tcBorders>
              <w:tl2br w:val="nil"/>
              <w:tr2bl w:val="nil"/>
            </w:tcBorders>
            <w:vAlign w:val="center"/>
          </w:tcPr>
          <w:p w14:paraId="6C9AC059">
            <w:pPr>
              <w:pStyle w:val="41"/>
              <w:rPr>
                <w:color w:val="auto"/>
                <w:highlight w:val="none"/>
              </w:rPr>
            </w:pPr>
            <w:r>
              <w:rPr>
                <w:color w:val="auto"/>
                <w:highlight w:val="none"/>
              </w:rPr>
              <w:t>62</w:t>
            </w:r>
          </w:p>
        </w:tc>
        <w:tc>
          <w:tcPr>
            <w:tcW w:w="897" w:type="dxa"/>
            <w:tcBorders>
              <w:tl2br w:val="nil"/>
              <w:tr2bl w:val="nil"/>
            </w:tcBorders>
            <w:vAlign w:val="center"/>
          </w:tcPr>
          <w:p w14:paraId="07D2006F">
            <w:pPr>
              <w:pStyle w:val="41"/>
              <w:rPr>
                <w:color w:val="auto"/>
                <w:highlight w:val="none"/>
              </w:rPr>
            </w:pPr>
            <w:r>
              <w:rPr>
                <w:color w:val="auto"/>
                <w:highlight w:val="none"/>
              </w:rPr>
              <w:t>58</w:t>
            </w:r>
          </w:p>
        </w:tc>
        <w:tc>
          <w:tcPr>
            <w:tcW w:w="897" w:type="dxa"/>
            <w:tcBorders>
              <w:tl2br w:val="nil"/>
              <w:tr2bl w:val="nil"/>
            </w:tcBorders>
            <w:vAlign w:val="center"/>
          </w:tcPr>
          <w:p w14:paraId="1E675D98">
            <w:pPr>
              <w:pStyle w:val="41"/>
              <w:rPr>
                <w:color w:val="auto"/>
                <w:highlight w:val="none"/>
              </w:rPr>
            </w:pPr>
            <w:r>
              <w:rPr>
                <w:color w:val="auto"/>
                <w:highlight w:val="none"/>
              </w:rPr>
              <w:t>56</w:t>
            </w:r>
          </w:p>
        </w:tc>
        <w:tc>
          <w:tcPr>
            <w:tcW w:w="896" w:type="dxa"/>
            <w:tcBorders>
              <w:tl2br w:val="nil"/>
              <w:tr2bl w:val="nil"/>
            </w:tcBorders>
            <w:vAlign w:val="center"/>
          </w:tcPr>
          <w:p w14:paraId="7E7E5DB1">
            <w:pPr>
              <w:pStyle w:val="41"/>
              <w:rPr>
                <w:color w:val="auto"/>
                <w:highlight w:val="none"/>
              </w:rPr>
            </w:pPr>
            <w:r>
              <w:rPr>
                <w:color w:val="auto"/>
                <w:highlight w:val="none"/>
              </w:rPr>
              <w:t>54</w:t>
            </w:r>
          </w:p>
        </w:tc>
        <w:tc>
          <w:tcPr>
            <w:tcW w:w="897" w:type="dxa"/>
            <w:tcBorders>
              <w:tl2br w:val="nil"/>
              <w:tr2bl w:val="nil"/>
            </w:tcBorders>
            <w:vAlign w:val="center"/>
          </w:tcPr>
          <w:p w14:paraId="50DD4876">
            <w:pPr>
              <w:pStyle w:val="41"/>
              <w:rPr>
                <w:color w:val="auto"/>
                <w:highlight w:val="none"/>
              </w:rPr>
            </w:pPr>
            <w:r>
              <w:rPr>
                <w:color w:val="auto"/>
                <w:highlight w:val="none"/>
              </w:rPr>
              <w:t>52</w:t>
            </w:r>
          </w:p>
        </w:tc>
        <w:tc>
          <w:tcPr>
            <w:tcW w:w="957" w:type="dxa"/>
            <w:tcBorders>
              <w:tl2br w:val="nil"/>
              <w:tr2bl w:val="nil"/>
            </w:tcBorders>
            <w:vAlign w:val="center"/>
          </w:tcPr>
          <w:p w14:paraId="5431A5C4">
            <w:pPr>
              <w:pStyle w:val="41"/>
              <w:rPr>
                <w:color w:val="auto"/>
                <w:highlight w:val="none"/>
              </w:rPr>
            </w:pPr>
            <w:r>
              <w:rPr>
                <w:color w:val="auto"/>
                <w:highlight w:val="none"/>
              </w:rPr>
              <w:t>50</w:t>
            </w:r>
          </w:p>
        </w:tc>
      </w:tr>
      <w:tr w14:paraId="02EFD1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2185" w:type="dxa"/>
            <w:tcBorders>
              <w:tl2br w:val="nil"/>
              <w:tr2bl w:val="nil"/>
            </w:tcBorders>
            <w:vAlign w:val="center"/>
          </w:tcPr>
          <w:p w14:paraId="1C3087F4">
            <w:pPr>
              <w:pStyle w:val="41"/>
              <w:rPr>
                <w:color w:val="auto"/>
                <w:highlight w:val="none"/>
              </w:rPr>
            </w:pPr>
            <w:r>
              <w:rPr>
                <w:color w:val="auto"/>
                <w:highlight w:val="none"/>
              </w:rPr>
              <w:t>重型运输车</w:t>
            </w:r>
          </w:p>
        </w:tc>
        <w:tc>
          <w:tcPr>
            <w:tcW w:w="896" w:type="dxa"/>
            <w:tcBorders>
              <w:tl2br w:val="nil"/>
              <w:tr2bl w:val="nil"/>
            </w:tcBorders>
            <w:vAlign w:val="center"/>
          </w:tcPr>
          <w:p w14:paraId="0CDC5989">
            <w:pPr>
              <w:pStyle w:val="41"/>
              <w:rPr>
                <w:color w:val="auto"/>
                <w:highlight w:val="none"/>
              </w:rPr>
            </w:pPr>
            <w:r>
              <w:rPr>
                <w:color w:val="auto"/>
                <w:highlight w:val="none"/>
              </w:rPr>
              <w:t>70</w:t>
            </w:r>
          </w:p>
        </w:tc>
        <w:tc>
          <w:tcPr>
            <w:tcW w:w="897" w:type="dxa"/>
            <w:tcBorders>
              <w:tl2br w:val="nil"/>
              <w:tr2bl w:val="nil"/>
            </w:tcBorders>
            <w:vAlign w:val="center"/>
          </w:tcPr>
          <w:p w14:paraId="7C639197">
            <w:pPr>
              <w:pStyle w:val="41"/>
              <w:rPr>
                <w:color w:val="auto"/>
                <w:highlight w:val="none"/>
              </w:rPr>
            </w:pPr>
            <w:r>
              <w:rPr>
                <w:color w:val="auto"/>
                <w:highlight w:val="none"/>
              </w:rPr>
              <w:t>64</w:t>
            </w:r>
          </w:p>
        </w:tc>
        <w:tc>
          <w:tcPr>
            <w:tcW w:w="897" w:type="dxa"/>
            <w:tcBorders>
              <w:tl2br w:val="nil"/>
              <w:tr2bl w:val="nil"/>
            </w:tcBorders>
            <w:vAlign w:val="center"/>
          </w:tcPr>
          <w:p w14:paraId="12D5503C">
            <w:pPr>
              <w:pStyle w:val="41"/>
              <w:rPr>
                <w:color w:val="auto"/>
                <w:highlight w:val="none"/>
              </w:rPr>
            </w:pPr>
            <w:r>
              <w:rPr>
                <w:color w:val="auto"/>
                <w:highlight w:val="none"/>
              </w:rPr>
              <w:t>60</w:t>
            </w:r>
          </w:p>
        </w:tc>
        <w:tc>
          <w:tcPr>
            <w:tcW w:w="897" w:type="dxa"/>
            <w:tcBorders>
              <w:tl2br w:val="nil"/>
              <w:tr2bl w:val="nil"/>
            </w:tcBorders>
            <w:vAlign w:val="center"/>
          </w:tcPr>
          <w:p w14:paraId="1C73C360">
            <w:pPr>
              <w:pStyle w:val="41"/>
              <w:rPr>
                <w:color w:val="auto"/>
                <w:highlight w:val="none"/>
              </w:rPr>
            </w:pPr>
            <w:r>
              <w:rPr>
                <w:color w:val="auto"/>
                <w:highlight w:val="none"/>
              </w:rPr>
              <w:t>58</w:t>
            </w:r>
          </w:p>
        </w:tc>
        <w:tc>
          <w:tcPr>
            <w:tcW w:w="896" w:type="dxa"/>
            <w:tcBorders>
              <w:tl2br w:val="nil"/>
              <w:tr2bl w:val="nil"/>
            </w:tcBorders>
            <w:vAlign w:val="center"/>
          </w:tcPr>
          <w:p w14:paraId="201AE87C">
            <w:pPr>
              <w:pStyle w:val="41"/>
              <w:rPr>
                <w:color w:val="auto"/>
                <w:highlight w:val="none"/>
              </w:rPr>
            </w:pPr>
            <w:r>
              <w:rPr>
                <w:color w:val="auto"/>
                <w:highlight w:val="none"/>
              </w:rPr>
              <w:t>56</w:t>
            </w:r>
          </w:p>
        </w:tc>
        <w:tc>
          <w:tcPr>
            <w:tcW w:w="897" w:type="dxa"/>
            <w:tcBorders>
              <w:tl2br w:val="nil"/>
              <w:tr2bl w:val="nil"/>
            </w:tcBorders>
            <w:vAlign w:val="center"/>
          </w:tcPr>
          <w:p w14:paraId="43558FC6">
            <w:pPr>
              <w:pStyle w:val="41"/>
              <w:rPr>
                <w:color w:val="auto"/>
                <w:highlight w:val="none"/>
              </w:rPr>
            </w:pPr>
            <w:r>
              <w:rPr>
                <w:color w:val="auto"/>
                <w:highlight w:val="none"/>
              </w:rPr>
              <w:t>54</w:t>
            </w:r>
          </w:p>
        </w:tc>
        <w:tc>
          <w:tcPr>
            <w:tcW w:w="957" w:type="dxa"/>
            <w:tcBorders>
              <w:tl2br w:val="nil"/>
              <w:tr2bl w:val="nil"/>
            </w:tcBorders>
            <w:vAlign w:val="center"/>
          </w:tcPr>
          <w:p w14:paraId="447977A5">
            <w:pPr>
              <w:pStyle w:val="41"/>
              <w:rPr>
                <w:color w:val="auto"/>
                <w:highlight w:val="none"/>
              </w:rPr>
            </w:pPr>
            <w:r>
              <w:rPr>
                <w:color w:val="auto"/>
                <w:highlight w:val="none"/>
              </w:rPr>
              <w:t>52</w:t>
            </w:r>
          </w:p>
        </w:tc>
      </w:tr>
      <w:tr w14:paraId="233599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2185" w:type="dxa"/>
            <w:tcBorders>
              <w:tl2br w:val="nil"/>
              <w:tr2bl w:val="nil"/>
            </w:tcBorders>
            <w:vAlign w:val="center"/>
          </w:tcPr>
          <w:p w14:paraId="45389C31">
            <w:pPr>
              <w:pStyle w:val="41"/>
              <w:rPr>
                <w:color w:val="auto"/>
                <w:highlight w:val="none"/>
              </w:rPr>
            </w:pPr>
            <w:r>
              <w:rPr>
                <w:color w:val="auto"/>
                <w:highlight w:val="none"/>
              </w:rPr>
              <w:t>木工电锯</w:t>
            </w:r>
          </w:p>
        </w:tc>
        <w:tc>
          <w:tcPr>
            <w:tcW w:w="896" w:type="dxa"/>
            <w:tcBorders>
              <w:tl2br w:val="nil"/>
              <w:tr2bl w:val="nil"/>
            </w:tcBorders>
            <w:vAlign w:val="center"/>
          </w:tcPr>
          <w:p w14:paraId="27CCCC69">
            <w:pPr>
              <w:pStyle w:val="41"/>
              <w:rPr>
                <w:color w:val="auto"/>
                <w:highlight w:val="none"/>
              </w:rPr>
            </w:pPr>
            <w:r>
              <w:rPr>
                <w:color w:val="auto"/>
                <w:highlight w:val="none"/>
              </w:rPr>
              <w:t>79</w:t>
            </w:r>
          </w:p>
        </w:tc>
        <w:tc>
          <w:tcPr>
            <w:tcW w:w="897" w:type="dxa"/>
            <w:tcBorders>
              <w:tl2br w:val="nil"/>
              <w:tr2bl w:val="nil"/>
            </w:tcBorders>
            <w:vAlign w:val="center"/>
          </w:tcPr>
          <w:p w14:paraId="76CAA2FF">
            <w:pPr>
              <w:pStyle w:val="41"/>
              <w:rPr>
                <w:color w:val="auto"/>
                <w:highlight w:val="none"/>
              </w:rPr>
            </w:pPr>
            <w:r>
              <w:rPr>
                <w:color w:val="auto"/>
                <w:highlight w:val="none"/>
              </w:rPr>
              <w:t>73</w:t>
            </w:r>
          </w:p>
        </w:tc>
        <w:tc>
          <w:tcPr>
            <w:tcW w:w="897" w:type="dxa"/>
            <w:tcBorders>
              <w:tl2br w:val="nil"/>
              <w:tr2bl w:val="nil"/>
            </w:tcBorders>
            <w:vAlign w:val="center"/>
          </w:tcPr>
          <w:p w14:paraId="56DBFC15">
            <w:pPr>
              <w:pStyle w:val="41"/>
              <w:rPr>
                <w:color w:val="auto"/>
                <w:highlight w:val="none"/>
              </w:rPr>
            </w:pPr>
            <w:r>
              <w:rPr>
                <w:color w:val="auto"/>
                <w:highlight w:val="none"/>
              </w:rPr>
              <w:t>69</w:t>
            </w:r>
          </w:p>
        </w:tc>
        <w:tc>
          <w:tcPr>
            <w:tcW w:w="897" w:type="dxa"/>
            <w:tcBorders>
              <w:tl2br w:val="nil"/>
              <w:tr2bl w:val="nil"/>
            </w:tcBorders>
            <w:vAlign w:val="center"/>
          </w:tcPr>
          <w:p w14:paraId="50629DC0">
            <w:pPr>
              <w:pStyle w:val="41"/>
              <w:rPr>
                <w:color w:val="auto"/>
                <w:highlight w:val="none"/>
              </w:rPr>
            </w:pPr>
            <w:r>
              <w:rPr>
                <w:color w:val="auto"/>
                <w:highlight w:val="none"/>
              </w:rPr>
              <w:t>67</w:t>
            </w:r>
          </w:p>
        </w:tc>
        <w:tc>
          <w:tcPr>
            <w:tcW w:w="896" w:type="dxa"/>
            <w:tcBorders>
              <w:tl2br w:val="nil"/>
              <w:tr2bl w:val="nil"/>
            </w:tcBorders>
            <w:vAlign w:val="center"/>
          </w:tcPr>
          <w:p w14:paraId="724AACB5">
            <w:pPr>
              <w:pStyle w:val="41"/>
              <w:rPr>
                <w:color w:val="auto"/>
                <w:highlight w:val="none"/>
              </w:rPr>
            </w:pPr>
            <w:r>
              <w:rPr>
                <w:color w:val="auto"/>
                <w:highlight w:val="none"/>
              </w:rPr>
              <w:t>65</w:t>
            </w:r>
          </w:p>
        </w:tc>
        <w:tc>
          <w:tcPr>
            <w:tcW w:w="897" w:type="dxa"/>
            <w:tcBorders>
              <w:tl2br w:val="nil"/>
              <w:tr2bl w:val="nil"/>
            </w:tcBorders>
            <w:vAlign w:val="center"/>
          </w:tcPr>
          <w:p w14:paraId="35D0936A">
            <w:pPr>
              <w:pStyle w:val="41"/>
              <w:rPr>
                <w:color w:val="auto"/>
                <w:highlight w:val="none"/>
              </w:rPr>
            </w:pPr>
            <w:r>
              <w:rPr>
                <w:color w:val="auto"/>
                <w:highlight w:val="none"/>
              </w:rPr>
              <w:t>63</w:t>
            </w:r>
          </w:p>
        </w:tc>
        <w:tc>
          <w:tcPr>
            <w:tcW w:w="957" w:type="dxa"/>
            <w:tcBorders>
              <w:tl2br w:val="nil"/>
              <w:tr2bl w:val="nil"/>
            </w:tcBorders>
            <w:vAlign w:val="center"/>
          </w:tcPr>
          <w:p w14:paraId="1DB4267F">
            <w:pPr>
              <w:pStyle w:val="41"/>
              <w:rPr>
                <w:color w:val="auto"/>
                <w:highlight w:val="none"/>
              </w:rPr>
            </w:pPr>
            <w:r>
              <w:rPr>
                <w:color w:val="auto"/>
                <w:highlight w:val="none"/>
              </w:rPr>
              <w:t>61</w:t>
            </w:r>
          </w:p>
        </w:tc>
      </w:tr>
      <w:tr w14:paraId="5BBE228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2185" w:type="dxa"/>
            <w:tcBorders>
              <w:tl2br w:val="nil"/>
              <w:tr2bl w:val="nil"/>
            </w:tcBorders>
            <w:vAlign w:val="center"/>
          </w:tcPr>
          <w:p w14:paraId="5A516229">
            <w:pPr>
              <w:pStyle w:val="41"/>
              <w:rPr>
                <w:color w:val="auto"/>
                <w:highlight w:val="none"/>
              </w:rPr>
            </w:pPr>
            <w:r>
              <w:rPr>
                <w:color w:val="auto"/>
                <w:highlight w:val="none"/>
              </w:rPr>
              <w:t>混凝土输送泵</w:t>
            </w:r>
          </w:p>
        </w:tc>
        <w:tc>
          <w:tcPr>
            <w:tcW w:w="896" w:type="dxa"/>
            <w:tcBorders>
              <w:tl2br w:val="nil"/>
              <w:tr2bl w:val="nil"/>
            </w:tcBorders>
            <w:vAlign w:val="center"/>
          </w:tcPr>
          <w:p w14:paraId="7F2F9CDA">
            <w:pPr>
              <w:pStyle w:val="41"/>
              <w:rPr>
                <w:color w:val="auto"/>
                <w:highlight w:val="none"/>
              </w:rPr>
            </w:pPr>
            <w:r>
              <w:rPr>
                <w:color w:val="auto"/>
                <w:highlight w:val="none"/>
              </w:rPr>
              <w:t>75</w:t>
            </w:r>
          </w:p>
        </w:tc>
        <w:tc>
          <w:tcPr>
            <w:tcW w:w="897" w:type="dxa"/>
            <w:tcBorders>
              <w:tl2br w:val="nil"/>
              <w:tr2bl w:val="nil"/>
            </w:tcBorders>
            <w:vAlign w:val="center"/>
          </w:tcPr>
          <w:p w14:paraId="60A14EDB">
            <w:pPr>
              <w:pStyle w:val="41"/>
              <w:rPr>
                <w:color w:val="auto"/>
                <w:highlight w:val="none"/>
              </w:rPr>
            </w:pPr>
            <w:r>
              <w:rPr>
                <w:color w:val="auto"/>
                <w:highlight w:val="none"/>
              </w:rPr>
              <w:t>69</w:t>
            </w:r>
          </w:p>
        </w:tc>
        <w:tc>
          <w:tcPr>
            <w:tcW w:w="897" w:type="dxa"/>
            <w:tcBorders>
              <w:tl2br w:val="nil"/>
              <w:tr2bl w:val="nil"/>
            </w:tcBorders>
            <w:vAlign w:val="center"/>
          </w:tcPr>
          <w:p w14:paraId="275B048C">
            <w:pPr>
              <w:pStyle w:val="41"/>
              <w:rPr>
                <w:color w:val="auto"/>
                <w:highlight w:val="none"/>
              </w:rPr>
            </w:pPr>
            <w:r>
              <w:rPr>
                <w:color w:val="auto"/>
                <w:highlight w:val="none"/>
              </w:rPr>
              <w:t>65</w:t>
            </w:r>
          </w:p>
        </w:tc>
        <w:tc>
          <w:tcPr>
            <w:tcW w:w="897" w:type="dxa"/>
            <w:tcBorders>
              <w:tl2br w:val="nil"/>
              <w:tr2bl w:val="nil"/>
            </w:tcBorders>
            <w:vAlign w:val="center"/>
          </w:tcPr>
          <w:p w14:paraId="69CA324B">
            <w:pPr>
              <w:pStyle w:val="41"/>
              <w:rPr>
                <w:color w:val="auto"/>
                <w:highlight w:val="none"/>
              </w:rPr>
            </w:pPr>
            <w:r>
              <w:rPr>
                <w:color w:val="auto"/>
                <w:highlight w:val="none"/>
              </w:rPr>
              <w:t>63</w:t>
            </w:r>
          </w:p>
        </w:tc>
        <w:tc>
          <w:tcPr>
            <w:tcW w:w="896" w:type="dxa"/>
            <w:tcBorders>
              <w:tl2br w:val="nil"/>
              <w:tr2bl w:val="nil"/>
            </w:tcBorders>
            <w:vAlign w:val="center"/>
          </w:tcPr>
          <w:p w14:paraId="0CF8535F">
            <w:pPr>
              <w:pStyle w:val="41"/>
              <w:rPr>
                <w:color w:val="auto"/>
                <w:highlight w:val="none"/>
              </w:rPr>
            </w:pPr>
            <w:r>
              <w:rPr>
                <w:color w:val="auto"/>
                <w:highlight w:val="none"/>
              </w:rPr>
              <w:t>61</w:t>
            </w:r>
          </w:p>
        </w:tc>
        <w:tc>
          <w:tcPr>
            <w:tcW w:w="897" w:type="dxa"/>
            <w:tcBorders>
              <w:tl2br w:val="nil"/>
              <w:tr2bl w:val="nil"/>
            </w:tcBorders>
            <w:vAlign w:val="center"/>
          </w:tcPr>
          <w:p w14:paraId="2DA31B1C">
            <w:pPr>
              <w:pStyle w:val="41"/>
              <w:rPr>
                <w:color w:val="auto"/>
                <w:highlight w:val="none"/>
              </w:rPr>
            </w:pPr>
            <w:r>
              <w:rPr>
                <w:color w:val="auto"/>
                <w:highlight w:val="none"/>
              </w:rPr>
              <w:t>59</w:t>
            </w:r>
          </w:p>
        </w:tc>
        <w:tc>
          <w:tcPr>
            <w:tcW w:w="957" w:type="dxa"/>
            <w:tcBorders>
              <w:tl2br w:val="nil"/>
              <w:tr2bl w:val="nil"/>
            </w:tcBorders>
            <w:vAlign w:val="center"/>
          </w:tcPr>
          <w:p w14:paraId="6553D278">
            <w:pPr>
              <w:pStyle w:val="41"/>
              <w:rPr>
                <w:color w:val="auto"/>
                <w:highlight w:val="none"/>
              </w:rPr>
            </w:pPr>
            <w:r>
              <w:rPr>
                <w:color w:val="auto"/>
                <w:highlight w:val="none"/>
              </w:rPr>
              <w:t>57</w:t>
            </w:r>
          </w:p>
        </w:tc>
      </w:tr>
      <w:tr w14:paraId="3ED655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2185" w:type="dxa"/>
            <w:tcBorders>
              <w:tl2br w:val="nil"/>
              <w:tr2bl w:val="nil"/>
            </w:tcBorders>
            <w:vAlign w:val="center"/>
          </w:tcPr>
          <w:p w14:paraId="283E91B2">
            <w:pPr>
              <w:pStyle w:val="41"/>
              <w:rPr>
                <w:color w:val="auto"/>
                <w:highlight w:val="none"/>
              </w:rPr>
            </w:pPr>
            <w:r>
              <w:rPr>
                <w:color w:val="auto"/>
                <w:highlight w:val="none"/>
              </w:rPr>
              <w:t>商砼搅拌车</w:t>
            </w:r>
          </w:p>
        </w:tc>
        <w:tc>
          <w:tcPr>
            <w:tcW w:w="896" w:type="dxa"/>
            <w:tcBorders>
              <w:tl2br w:val="nil"/>
              <w:tr2bl w:val="nil"/>
            </w:tcBorders>
            <w:vAlign w:val="center"/>
          </w:tcPr>
          <w:p w14:paraId="0368238C">
            <w:pPr>
              <w:pStyle w:val="41"/>
              <w:rPr>
                <w:color w:val="auto"/>
                <w:highlight w:val="none"/>
              </w:rPr>
            </w:pPr>
            <w:r>
              <w:rPr>
                <w:color w:val="auto"/>
                <w:highlight w:val="none"/>
              </w:rPr>
              <w:t>70</w:t>
            </w:r>
          </w:p>
        </w:tc>
        <w:tc>
          <w:tcPr>
            <w:tcW w:w="897" w:type="dxa"/>
            <w:tcBorders>
              <w:tl2br w:val="nil"/>
              <w:tr2bl w:val="nil"/>
            </w:tcBorders>
            <w:vAlign w:val="center"/>
          </w:tcPr>
          <w:p w14:paraId="4D286915">
            <w:pPr>
              <w:pStyle w:val="41"/>
              <w:rPr>
                <w:color w:val="auto"/>
                <w:highlight w:val="none"/>
              </w:rPr>
            </w:pPr>
            <w:r>
              <w:rPr>
                <w:color w:val="auto"/>
                <w:highlight w:val="none"/>
              </w:rPr>
              <w:t>64</w:t>
            </w:r>
          </w:p>
        </w:tc>
        <w:tc>
          <w:tcPr>
            <w:tcW w:w="897" w:type="dxa"/>
            <w:tcBorders>
              <w:tl2br w:val="nil"/>
              <w:tr2bl w:val="nil"/>
            </w:tcBorders>
            <w:vAlign w:val="center"/>
          </w:tcPr>
          <w:p w14:paraId="22541F73">
            <w:pPr>
              <w:pStyle w:val="41"/>
              <w:rPr>
                <w:color w:val="auto"/>
                <w:highlight w:val="none"/>
              </w:rPr>
            </w:pPr>
            <w:r>
              <w:rPr>
                <w:color w:val="auto"/>
                <w:highlight w:val="none"/>
              </w:rPr>
              <w:t>60</w:t>
            </w:r>
          </w:p>
        </w:tc>
        <w:tc>
          <w:tcPr>
            <w:tcW w:w="897" w:type="dxa"/>
            <w:tcBorders>
              <w:tl2br w:val="nil"/>
              <w:tr2bl w:val="nil"/>
            </w:tcBorders>
            <w:vAlign w:val="center"/>
          </w:tcPr>
          <w:p w14:paraId="104749EF">
            <w:pPr>
              <w:pStyle w:val="41"/>
              <w:rPr>
                <w:color w:val="auto"/>
                <w:highlight w:val="none"/>
              </w:rPr>
            </w:pPr>
            <w:r>
              <w:rPr>
                <w:color w:val="auto"/>
                <w:highlight w:val="none"/>
              </w:rPr>
              <w:t>58</w:t>
            </w:r>
          </w:p>
        </w:tc>
        <w:tc>
          <w:tcPr>
            <w:tcW w:w="896" w:type="dxa"/>
            <w:tcBorders>
              <w:tl2br w:val="nil"/>
              <w:tr2bl w:val="nil"/>
            </w:tcBorders>
            <w:vAlign w:val="center"/>
          </w:tcPr>
          <w:p w14:paraId="19EC106C">
            <w:pPr>
              <w:pStyle w:val="41"/>
              <w:rPr>
                <w:color w:val="auto"/>
                <w:highlight w:val="none"/>
              </w:rPr>
            </w:pPr>
            <w:r>
              <w:rPr>
                <w:color w:val="auto"/>
                <w:highlight w:val="none"/>
              </w:rPr>
              <w:t>56</w:t>
            </w:r>
          </w:p>
        </w:tc>
        <w:tc>
          <w:tcPr>
            <w:tcW w:w="897" w:type="dxa"/>
            <w:tcBorders>
              <w:tl2br w:val="nil"/>
              <w:tr2bl w:val="nil"/>
            </w:tcBorders>
            <w:vAlign w:val="center"/>
          </w:tcPr>
          <w:p w14:paraId="103EB45D">
            <w:pPr>
              <w:pStyle w:val="41"/>
              <w:rPr>
                <w:color w:val="auto"/>
                <w:highlight w:val="none"/>
              </w:rPr>
            </w:pPr>
            <w:r>
              <w:rPr>
                <w:color w:val="auto"/>
                <w:highlight w:val="none"/>
              </w:rPr>
              <w:t>54</w:t>
            </w:r>
          </w:p>
        </w:tc>
        <w:tc>
          <w:tcPr>
            <w:tcW w:w="957" w:type="dxa"/>
            <w:tcBorders>
              <w:tl2br w:val="nil"/>
              <w:tr2bl w:val="nil"/>
            </w:tcBorders>
            <w:vAlign w:val="center"/>
          </w:tcPr>
          <w:p w14:paraId="5099FEF1">
            <w:pPr>
              <w:pStyle w:val="41"/>
              <w:rPr>
                <w:color w:val="auto"/>
                <w:highlight w:val="none"/>
              </w:rPr>
            </w:pPr>
            <w:r>
              <w:rPr>
                <w:color w:val="auto"/>
                <w:highlight w:val="none"/>
              </w:rPr>
              <w:t>52</w:t>
            </w:r>
          </w:p>
        </w:tc>
      </w:tr>
      <w:tr w14:paraId="447FB0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2185" w:type="dxa"/>
            <w:tcBorders>
              <w:tl2br w:val="nil"/>
              <w:tr2bl w:val="nil"/>
            </w:tcBorders>
            <w:vAlign w:val="center"/>
          </w:tcPr>
          <w:p w14:paraId="3F95CD9E">
            <w:pPr>
              <w:pStyle w:val="41"/>
              <w:rPr>
                <w:color w:val="auto"/>
                <w:highlight w:val="none"/>
              </w:rPr>
            </w:pPr>
            <w:r>
              <w:rPr>
                <w:color w:val="auto"/>
                <w:highlight w:val="none"/>
              </w:rPr>
              <w:t>空压机</w:t>
            </w:r>
          </w:p>
        </w:tc>
        <w:tc>
          <w:tcPr>
            <w:tcW w:w="896" w:type="dxa"/>
            <w:tcBorders>
              <w:tl2br w:val="nil"/>
              <w:tr2bl w:val="nil"/>
            </w:tcBorders>
            <w:vAlign w:val="center"/>
          </w:tcPr>
          <w:p w14:paraId="70FDF166">
            <w:pPr>
              <w:pStyle w:val="41"/>
              <w:rPr>
                <w:color w:val="auto"/>
                <w:highlight w:val="none"/>
              </w:rPr>
            </w:pPr>
            <w:r>
              <w:rPr>
                <w:color w:val="auto"/>
                <w:highlight w:val="none"/>
              </w:rPr>
              <w:t>72</w:t>
            </w:r>
          </w:p>
        </w:tc>
        <w:tc>
          <w:tcPr>
            <w:tcW w:w="897" w:type="dxa"/>
            <w:tcBorders>
              <w:tl2br w:val="nil"/>
              <w:tr2bl w:val="nil"/>
            </w:tcBorders>
            <w:vAlign w:val="center"/>
          </w:tcPr>
          <w:p w14:paraId="5922CF70">
            <w:pPr>
              <w:pStyle w:val="41"/>
              <w:rPr>
                <w:color w:val="auto"/>
                <w:highlight w:val="none"/>
              </w:rPr>
            </w:pPr>
            <w:r>
              <w:rPr>
                <w:color w:val="auto"/>
                <w:highlight w:val="none"/>
              </w:rPr>
              <w:t>66</w:t>
            </w:r>
          </w:p>
        </w:tc>
        <w:tc>
          <w:tcPr>
            <w:tcW w:w="897" w:type="dxa"/>
            <w:tcBorders>
              <w:tl2br w:val="nil"/>
              <w:tr2bl w:val="nil"/>
            </w:tcBorders>
            <w:vAlign w:val="center"/>
          </w:tcPr>
          <w:p w14:paraId="277CDF6B">
            <w:pPr>
              <w:pStyle w:val="41"/>
              <w:rPr>
                <w:color w:val="auto"/>
                <w:highlight w:val="none"/>
              </w:rPr>
            </w:pPr>
            <w:r>
              <w:rPr>
                <w:color w:val="auto"/>
                <w:highlight w:val="none"/>
              </w:rPr>
              <w:t>62</w:t>
            </w:r>
          </w:p>
        </w:tc>
        <w:tc>
          <w:tcPr>
            <w:tcW w:w="897" w:type="dxa"/>
            <w:tcBorders>
              <w:tl2br w:val="nil"/>
              <w:tr2bl w:val="nil"/>
            </w:tcBorders>
            <w:vAlign w:val="center"/>
          </w:tcPr>
          <w:p w14:paraId="7C93DCA4">
            <w:pPr>
              <w:pStyle w:val="41"/>
              <w:rPr>
                <w:color w:val="auto"/>
                <w:highlight w:val="none"/>
              </w:rPr>
            </w:pPr>
            <w:r>
              <w:rPr>
                <w:color w:val="auto"/>
                <w:highlight w:val="none"/>
              </w:rPr>
              <w:t>60</w:t>
            </w:r>
          </w:p>
        </w:tc>
        <w:tc>
          <w:tcPr>
            <w:tcW w:w="896" w:type="dxa"/>
            <w:tcBorders>
              <w:tl2br w:val="nil"/>
              <w:tr2bl w:val="nil"/>
            </w:tcBorders>
            <w:vAlign w:val="center"/>
          </w:tcPr>
          <w:p w14:paraId="4F847870">
            <w:pPr>
              <w:pStyle w:val="41"/>
              <w:rPr>
                <w:color w:val="auto"/>
                <w:highlight w:val="none"/>
              </w:rPr>
            </w:pPr>
            <w:r>
              <w:rPr>
                <w:color w:val="auto"/>
                <w:highlight w:val="none"/>
              </w:rPr>
              <w:t>58</w:t>
            </w:r>
          </w:p>
        </w:tc>
        <w:tc>
          <w:tcPr>
            <w:tcW w:w="897" w:type="dxa"/>
            <w:tcBorders>
              <w:tl2br w:val="nil"/>
              <w:tr2bl w:val="nil"/>
            </w:tcBorders>
            <w:vAlign w:val="center"/>
          </w:tcPr>
          <w:p w14:paraId="280D3A14">
            <w:pPr>
              <w:pStyle w:val="41"/>
              <w:rPr>
                <w:color w:val="auto"/>
                <w:highlight w:val="none"/>
              </w:rPr>
            </w:pPr>
            <w:r>
              <w:rPr>
                <w:color w:val="auto"/>
                <w:highlight w:val="none"/>
              </w:rPr>
              <w:t>56</w:t>
            </w:r>
          </w:p>
        </w:tc>
        <w:tc>
          <w:tcPr>
            <w:tcW w:w="957" w:type="dxa"/>
            <w:tcBorders>
              <w:tl2br w:val="nil"/>
              <w:tr2bl w:val="nil"/>
            </w:tcBorders>
            <w:vAlign w:val="center"/>
          </w:tcPr>
          <w:p w14:paraId="1E79DF7E">
            <w:pPr>
              <w:pStyle w:val="41"/>
              <w:rPr>
                <w:color w:val="auto"/>
                <w:highlight w:val="none"/>
              </w:rPr>
            </w:pPr>
            <w:r>
              <w:rPr>
                <w:color w:val="auto"/>
                <w:highlight w:val="none"/>
              </w:rPr>
              <w:t>54</w:t>
            </w:r>
          </w:p>
        </w:tc>
      </w:tr>
    </w:tbl>
    <w:p w14:paraId="71A3F704">
      <w:pPr>
        <w:pStyle w:val="3"/>
        <w:ind w:firstLine="480"/>
        <w:rPr>
          <w:color w:val="auto"/>
          <w:highlight w:val="none"/>
        </w:rPr>
      </w:pPr>
      <w:r>
        <w:rPr>
          <w:color w:val="auto"/>
          <w:highlight w:val="none"/>
        </w:rPr>
        <w:t>（3）施工期声环境影响分析</w:t>
      </w:r>
    </w:p>
    <w:p w14:paraId="3A485BB3">
      <w:pPr>
        <w:pStyle w:val="3"/>
        <w:ind w:firstLine="480"/>
        <w:rPr>
          <w:color w:val="auto"/>
          <w:highlight w:val="none"/>
        </w:rPr>
      </w:pPr>
      <w:r>
        <w:rPr>
          <w:color w:val="auto"/>
          <w:highlight w:val="none"/>
        </w:rPr>
        <w:t>由上表可知，单台施工机械约在50m以外噪声值才基本能达到施工阶段《建筑施工噪声排放标准》（GB125</w:t>
      </w:r>
      <w:r>
        <w:rPr>
          <w:rFonts w:hint="eastAsia"/>
          <w:color w:val="auto"/>
          <w:highlight w:val="none"/>
          <w:lang w:val="en-US" w:eastAsia="zh-CN"/>
        </w:rPr>
        <w:t>23</w:t>
      </w:r>
      <w:r>
        <w:rPr>
          <w:color w:val="auto"/>
          <w:highlight w:val="none"/>
        </w:rPr>
        <w:t>-2025）场界昼间噪声限值，夜间</w:t>
      </w:r>
      <w:r>
        <w:rPr>
          <w:rFonts w:hint="eastAsia"/>
          <w:color w:val="auto"/>
          <w:highlight w:val="none"/>
          <w:lang w:eastAsia="zh-CN"/>
        </w:rPr>
        <w:t>不施工</w:t>
      </w:r>
      <w:r>
        <w:rPr>
          <w:color w:val="auto"/>
          <w:highlight w:val="none"/>
        </w:rPr>
        <w:t>。现场勘查，项目周边区域2km范围内无声环境保护目标，施工期的噪声影响是短暂的，伴随着施工期的结束而终止，对环境影响较小。</w:t>
      </w:r>
    </w:p>
    <w:p w14:paraId="04F2B6A0">
      <w:pPr>
        <w:pStyle w:val="42"/>
        <w:rPr>
          <w:rFonts w:hint="default"/>
          <w:color w:val="auto"/>
          <w:highlight w:val="none"/>
        </w:rPr>
      </w:pPr>
      <w:r>
        <w:rPr>
          <w:rFonts w:hint="default"/>
          <w:color w:val="auto"/>
          <w:highlight w:val="none"/>
        </w:rPr>
        <w:t>施工固废对环境影响分析</w:t>
      </w:r>
    </w:p>
    <w:p w14:paraId="6E54CE5F">
      <w:pPr>
        <w:pStyle w:val="3"/>
        <w:ind w:firstLine="480"/>
        <w:rPr>
          <w:color w:val="auto"/>
          <w:highlight w:val="none"/>
        </w:rPr>
      </w:pPr>
      <w:r>
        <w:rPr>
          <w:color w:val="auto"/>
          <w:highlight w:val="none"/>
        </w:rPr>
        <w:t>本项目施工期固体废物主要为施工中产生的建筑垃圾以及施工人员生活垃圾。</w:t>
      </w:r>
    </w:p>
    <w:p w14:paraId="467DFFD5">
      <w:pPr>
        <w:pStyle w:val="3"/>
        <w:ind w:firstLine="480"/>
        <w:rPr>
          <w:color w:val="auto"/>
          <w:highlight w:val="none"/>
        </w:rPr>
      </w:pPr>
      <w:r>
        <w:rPr>
          <w:color w:val="auto"/>
          <w:highlight w:val="none"/>
        </w:rPr>
        <w:t>（1）建筑垃圾</w:t>
      </w:r>
    </w:p>
    <w:p w14:paraId="6ACC68D1">
      <w:pPr>
        <w:pStyle w:val="3"/>
        <w:ind w:firstLine="480"/>
        <w:rPr>
          <w:color w:val="auto"/>
          <w:highlight w:val="none"/>
        </w:rPr>
      </w:pPr>
      <w:r>
        <w:rPr>
          <w:color w:val="auto"/>
          <w:highlight w:val="none"/>
        </w:rPr>
        <w:t>本项目施工过</w:t>
      </w:r>
      <w:r>
        <w:rPr>
          <w:rFonts w:hint="eastAsia"/>
          <w:color w:val="auto"/>
          <w:highlight w:val="none"/>
          <w:lang w:eastAsia="zh-CN"/>
        </w:rPr>
        <w:t>程中</w:t>
      </w:r>
      <w:r>
        <w:rPr>
          <w:color w:val="auto"/>
          <w:highlight w:val="none"/>
        </w:rPr>
        <w:t>会产生少量砂石、石块、碎砖瓦、废木料、废钢筋边角料等建筑垃圾。废钢筋、废木料边角料等集中收集后外售给废品收购站，砂石、石块、碎砖瓦等施工过程中就地回收利用，无法利用的集中收集运至阿图什市指定的建筑垃圾堆放场处置。</w:t>
      </w:r>
    </w:p>
    <w:p w14:paraId="3EDDFCFB">
      <w:pPr>
        <w:pStyle w:val="3"/>
        <w:ind w:firstLine="480"/>
        <w:rPr>
          <w:color w:val="auto"/>
          <w:highlight w:val="none"/>
        </w:rPr>
      </w:pPr>
      <w:r>
        <w:rPr>
          <w:color w:val="auto"/>
          <w:highlight w:val="none"/>
        </w:rPr>
        <w:t>（</w:t>
      </w:r>
      <w:r>
        <w:rPr>
          <w:rFonts w:hint="eastAsia"/>
          <w:color w:val="auto"/>
          <w:highlight w:val="none"/>
        </w:rPr>
        <w:t>2</w:t>
      </w:r>
      <w:r>
        <w:rPr>
          <w:color w:val="auto"/>
          <w:highlight w:val="none"/>
        </w:rPr>
        <w:t>）生活垃圾</w:t>
      </w:r>
    </w:p>
    <w:p w14:paraId="653F081E">
      <w:pPr>
        <w:pStyle w:val="3"/>
        <w:ind w:firstLine="480"/>
        <w:rPr>
          <w:color w:val="auto"/>
          <w:highlight w:val="none"/>
        </w:rPr>
      </w:pPr>
      <w:r>
        <w:rPr>
          <w:color w:val="auto"/>
          <w:highlight w:val="none"/>
        </w:rPr>
        <w:t>本项目施工生活垃圾产生量28.8t，在施工场地内设置生活垃圾桶，施工人员产生的生活垃圾集中收集后，运往哈拉峻乡谢依提村垃圾场填埋处置。</w:t>
      </w:r>
    </w:p>
    <w:p w14:paraId="3E27460F">
      <w:pPr>
        <w:pStyle w:val="3"/>
        <w:ind w:firstLine="480"/>
        <w:rPr>
          <w:color w:val="auto"/>
          <w:highlight w:val="none"/>
        </w:rPr>
      </w:pPr>
      <w:r>
        <w:rPr>
          <w:color w:val="auto"/>
          <w:highlight w:val="none"/>
        </w:rPr>
        <w:t>施工期在采取以上污染防治措施后，固体废物对周围环境影响较小。</w:t>
      </w:r>
    </w:p>
    <w:p w14:paraId="03B77B27">
      <w:pPr>
        <w:pStyle w:val="42"/>
        <w:rPr>
          <w:rFonts w:hint="default"/>
          <w:color w:val="auto"/>
          <w:highlight w:val="none"/>
        </w:rPr>
      </w:pPr>
      <w:r>
        <w:rPr>
          <w:color w:val="auto"/>
          <w:highlight w:val="none"/>
        </w:rPr>
        <w:t>施工期土壤环境影响分析与评价</w:t>
      </w:r>
    </w:p>
    <w:p w14:paraId="30FC4882">
      <w:pPr>
        <w:pStyle w:val="3"/>
        <w:ind w:firstLine="480"/>
        <w:rPr>
          <w:color w:val="auto"/>
          <w:highlight w:val="none"/>
        </w:rPr>
      </w:pPr>
      <w:r>
        <w:rPr>
          <w:rFonts w:hint="eastAsia"/>
          <w:color w:val="auto"/>
          <w:highlight w:val="none"/>
        </w:rPr>
        <w:t>施工期对土壤环境的影响主要表现为施工开挖对土壤理化性质、肥力的影响以及施工活动产生的废水、废气和固废等污染物，其中废水可能通过地面漫流和垂直入渗途径污染土壤环境，废气可能通过大气沉降途径污染土壤环境，固废可能通过垂直入渗途径污染土壤环境。</w:t>
      </w:r>
    </w:p>
    <w:p w14:paraId="597665B0">
      <w:pPr>
        <w:pStyle w:val="3"/>
        <w:ind w:firstLine="480"/>
        <w:rPr>
          <w:color w:val="auto"/>
          <w:highlight w:val="none"/>
        </w:rPr>
      </w:pPr>
      <w:r>
        <w:rPr>
          <w:rFonts w:hint="eastAsia"/>
          <w:color w:val="auto"/>
          <w:highlight w:val="none"/>
        </w:rPr>
        <w:t>地表开挖必定扰乱和破坏土壤表层，表土流失，破坏土体结构；雨水侵蚀致使土壤流失，土层变薄；养分流失，降低土壤肥力。</w:t>
      </w:r>
    </w:p>
    <w:p w14:paraId="2E27EF33">
      <w:pPr>
        <w:pStyle w:val="3"/>
        <w:ind w:firstLine="480"/>
        <w:rPr>
          <w:color w:val="auto"/>
          <w:highlight w:val="none"/>
        </w:rPr>
      </w:pPr>
      <w:r>
        <w:rPr>
          <w:rFonts w:hint="eastAsia"/>
          <w:color w:val="auto"/>
          <w:highlight w:val="none"/>
        </w:rPr>
        <w:t>建设期污废水主要来源于施工人员生活污水和建筑施工废水。其中生活污水依托厂区现状一体化污水处理设施处理达标后，用于项目区绿化、洒水等；施工废水采取临时沉淀池处理后回用于工程施工生产用水及降尘洒水不外排。因此，本项目建设期，无污废水外排，不会对土壤环境造成污染。</w:t>
      </w:r>
    </w:p>
    <w:p w14:paraId="4D103E56">
      <w:pPr>
        <w:pStyle w:val="3"/>
        <w:ind w:firstLine="480"/>
        <w:rPr>
          <w:color w:val="auto"/>
          <w:highlight w:val="none"/>
        </w:rPr>
      </w:pPr>
      <w:r>
        <w:rPr>
          <w:rFonts w:hint="eastAsia"/>
          <w:color w:val="auto"/>
          <w:highlight w:val="none"/>
        </w:rPr>
        <w:t>建设期大气污染主要为施工扬尘等。施工场地严格落实“6个100%”控尘措施，采取设置围栏、道路硬化、洒水抑尘、土料等覆盖防尘、限制车速、保持施工场地洁净、避免大风天气作业等防尘措施，起尘量较小。因此，本项目施工期产生的扬尘不会对土壤环境造成影响。</w:t>
      </w:r>
    </w:p>
    <w:p w14:paraId="51FDE400">
      <w:pPr>
        <w:pStyle w:val="12"/>
        <w:rPr>
          <w:color w:val="auto"/>
          <w:highlight w:val="none"/>
        </w:rPr>
      </w:pPr>
      <w:r>
        <w:rPr>
          <w:rFonts w:hint="eastAsia"/>
          <w:color w:val="auto"/>
          <w:highlight w:val="none"/>
        </w:rPr>
        <w:t>建设期固体废物主要来自土地平整和施工产生的建筑垃圾、施工人员生活垃圾，项目区挖方用于填方无弃方产生；建筑垃圾可回收利用的收集后外售给废品收购站，不可回收利用的运往当地建筑垃圾填埋场进行处置；生活垃圾在厂内集中收集后，</w:t>
      </w:r>
      <w:r>
        <w:rPr>
          <w:color w:val="auto"/>
          <w:highlight w:val="none"/>
        </w:rPr>
        <w:t>运往哈拉峻乡谢依提村垃圾场填埋处置</w:t>
      </w:r>
      <w:r>
        <w:rPr>
          <w:rFonts w:hint="eastAsia"/>
          <w:color w:val="auto"/>
          <w:highlight w:val="none"/>
        </w:rPr>
        <w:t>。因此，本项目施工期产生的固体废物基本不会对土壤环境造成影响。</w:t>
      </w:r>
    </w:p>
    <w:p w14:paraId="04FBC574">
      <w:pPr>
        <w:pStyle w:val="42"/>
        <w:rPr>
          <w:rFonts w:hint="default"/>
          <w:color w:val="auto"/>
          <w:highlight w:val="none"/>
        </w:rPr>
      </w:pPr>
      <w:r>
        <w:rPr>
          <w:color w:val="auto"/>
          <w:highlight w:val="none"/>
        </w:rPr>
        <w:t>施工期生态环境影响分析与评价</w:t>
      </w:r>
    </w:p>
    <w:p w14:paraId="49D2AEEF">
      <w:pPr>
        <w:pStyle w:val="43"/>
        <w:rPr>
          <w:color w:val="auto"/>
          <w:highlight w:val="none"/>
        </w:rPr>
      </w:pPr>
      <w:r>
        <w:rPr>
          <w:rFonts w:hint="eastAsia"/>
          <w:color w:val="auto"/>
          <w:highlight w:val="none"/>
        </w:rPr>
        <w:t>土地利用的影响分析</w:t>
      </w:r>
    </w:p>
    <w:p w14:paraId="4108E690">
      <w:pPr>
        <w:pStyle w:val="3"/>
        <w:ind w:firstLine="480"/>
        <w:rPr>
          <w:rFonts w:hint="eastAsia"/>
          <w:color w:val="auto"/>
          <w:highlight w:val="none"/>
        </w:rPr>
      </w:pPr>
      <w:r>
        <w:rPr>
          <w:rFonts w:hint="eastAsia"/>
          <w:color w:val="auto"/>
          <w:highlight w:val="none"/>
        </w:rPr>
        <w:t>本项目用地影响分为永久性占地和临时性占地两类，两者均会在不同程度上改变原有土地的使用功能。</w:t>
      </w:r>
    </w:p>
    <w:p w14:paraId="108AA9AF">
      <w:pPr>
        <w:pStyle w:val="3"/>
        <w:ind w:firstLine="480"/>
        <w:rPr>
          <w:rFonts w:hint="eastAsia"/>
          <w:color w:val="auto"/>
          <w:highlight w:val="none"/>
        </w:rPr>
      </w:pPr>
      <w:r>
        <w:rPr>
          <w:rFonts w:hint="eastAsia"/>
          <w:color w:val="auto"/>
          <w:highlight w:val="none"/>
        </w:rPr>
        <w:t>永久性占地主要</w:t>
      </w:r>
      <w:r>
        <w:rPr>
          <w:rFonts w:hint="eastAsia"/>
          <w:color w:val="auto"/>
          <w:highlight w:val="none"/>
          <w:lang w:eastAsia="zh-CN"/>
        </w:rPr>
        <w:t>为选矿厂各类建筑设施</w:t>
      </w:r>
      <w:r>
        <w:rPr>
          <w:rFonts w:hint="eastAsia"/>
          <w:color w:val="auto"/>
          <w:highlight w:val="none"/>
        </w:rPr>
        <w:t>，</w:t>
      </w:r>
      <w:r>
        <w:rPr>
          <w:rFonts w:hint="eastAsia"/>
          <w:color w:val="auto"/>
          <w:highlight w:val="none"/>
          <w:lang w:eastAsia="zh-CN"/>
        </w:rPr>
        <w:t>本项目在原有选矿厂基础上进行扩建，</w:t>
      </w:r>
      <w:r>
        <w:rPr>
          <w:rFonts w:hint="eastAsia"/>
          <w:color w:val="auto"/>
          <w:highlight w:val="none"/>
        </w:rPr>
        <w:t>扩建后厂区总用地面积增幅有限，</w:t>
      </w:r>
      <w:r>
        <w:rPr>
          <w:rFonts w:hint="eastAsia"/>
          <w:color w:val="auto"/>
          <w:highlight w:val="none"/>
          <w:lang w:eastAsia="zh-CN"/>
        </w:rPr>
        <w:t>新增占地类型为裸土地，</w:t>
      </w:r>
      <w:r>
        <w:rPr>
          <w:rFonts w:hint="eastAsia"/>
          <w:color w:val="auto"/>
          <w:highlight w:val="none"/>
        </w:rPr>
        <w:t>用地性质与区域土地利用总体规划相符，不会对区域土地利用格局产生显著影响。</w:t>
      </w:r>
    </w:p>
    <w:p w14:paraId="4CA6FE1D">
      <w:pPr>
        <w:pStyle w:val="3"/>
        <w:ind w:firstLine="480"/>
        <w:rPr>
          <w:rFonts w:hint="eastAsia"/>
          <w:color w:val="auto"/>
          <w:highlight w:val="none"/>
        </w:rPr>
      </w:pPr>
      <w:r>
        <w:rPr>
          <w:rFonts w:hint="eastAsia"/>
          <w:color w:val="auto"/>
          <w:highlight w:val="none"/>
        </w:rPr>
        <w:t>临时性占地主要包括施工期间的材料堆场、施工机械停放区以及施工过程中产生的弃土弃石、建筑垃圾堆放场所。这些占地将短期内改变地表覆被状态，造成植被破坏、地表裸露，进而加剧局部水土流失风险，并可能对土壤结构和地表径流产生干扰。但此类影响具有阶段性、局部性和可逆性，施工期结束后，通过采取表土剥离回用、土地平整、植被恢复或硬化复绿等综合整治措施，临时占地可基本恢复至原有土地功能或达到与周边环境协调的利用状态。</w:t>
      </w:r>
    </w:p>
    <w:p w14:paraId="05BC1B98">
      <w:pPr>
        <w:pStyle w:val="3"/>
        <w:ind w:firstLine="480"/>
        <w:rPr>
          <w:rFonts w:hint="eastAsia"/>
          <w:color w:val="auto"/>
          <w:highlight w:val="none"/>
        </w:rPr>
      </w:pPr>
      <w:r>
        <w:rPr>
          <w:rFonts w:hint="eastAsia"/>
          <w:color w:val="auto"/>
          <w:highlight w:val="none"/>
        </w:rPr>
        <w:t>总体而言，本项目在严格落实施工管理、划定作业边界、控制临时占地范围，并同步实施水土保持和生态恢复措施的前提下，其对区域土地利用类型和生态功能的总体影响有限，不会造成长期不可逆的环境改变。</w:t>
      </w:r>
    </w:p>
    <w:p w14:paraId="73958629">
      <w:pPr>
        <w:pStyle w:val="43"/>
        <w:rPr>
          <w:color w:val="auto"/>
          <w:highlight w:val="none"/>
        </w:rPr>
      </w:pPr>
      <w:r>
        <w:rPr>
          <w:rFonts w:hint="eastAsia"/>
          <w:color w:val="auto"/>
          <w:highlight w:val="none"/>
        </w:rPr>
        <w:t>植被、野生动物影响分析</w:t>
      </w:r>
    </w:p>
    <w:p w14:paraId="4A48CD2D">
      <w:pPr>
        <w:pStyle w:val="3"/>
        <w:ind w:firstLine="480"/>
        <w:rPr>
          <w:color w:val="auto"/>
          <w:highlight w:val="none"/>
        </w:rPr>
      </w:pPr>
      <w:r>
        <w:rPr>
          <w:rFonts w:hint="eastAsia"/>
          <w:color w:val="auto"/>
          <w:highlight w:val="none"/>
        </w:rPr>
        <w:t>选矿厂在原有场地</w:t>
      </w:r>
      <w:r>
        <w:rPr>
          <w:rFonts w:hint="eastAsia"/>
          <w:color w:val="auto"/>
          <w:highlight w:val="none"/>
          <w:lang w:eastAsia="zh-CN"/>
        </w:rPr>
        <w:t>基础上</w:t>
      </w:r>
      <w:r>
        <w:rPr>
          <w:rFonts w:hint="eastAsia"/>
          <w:color w:val="auto"/>
          <w:highlight w:val="none"/>
        </w:rPr>
        <w:t>进行扩建，由于项目前期运营及施工扰动，地面亦无植被；由于人类长期活动扰动，</w:t>
      </w:r>
      <w:r>
        <w:rPr>
          <w:color w:val="auto"/>
          <w:highlight w:val="none"/>
        </w:rPr>
        <w:t>施工区的主要动物是小型常见鸟类和鼠类，且数量不多，具有较强的迁移能力</w:t>
      </w:r>
      <w:r>
        <w:rPr>
          <w:rFonts w:hint="eastAsia"/>
          <w:color w:val="auto"/>
          <w:highlight w:val="none"/>
        </w:rPr>
        <w:t>；</w:t>
      </w:r>
      <w:r>
        <w:rPr>
          <w:color w:val="auto"/>
          <w:highlight w:val="none"/>
        </w:rPr>
        <w:t>因此，施工期对</w:t>
      </w:r>
      <w:r>
        <w:rPr>
          <w:rFonts w:hint="eastAsia"/>
          <w:color w:val="auto"/>
          <w:highlight w:val="none"/>
        </w:rPr>
        <w:t>项目区植被、野生动物影响有限</w:t>
      </w:r>
      <w:r>
        <w:rPr>
          <w:color w:val="auto"/>
          <w:highlight w:val="none"/>
        </w:rPr>
        <w:t>。</w:t>
      </w:r>
      <w:r>
        <w:rPr>
          <w:rFonts w:hint="eastAsia"/>
          <w:color w:val="auto"/>
          <w:highlight w:val="none"/>
        </w:rPr>
        <w:t>且随着施工活动的结束，植物资源将随着厂区规划的绿化体系的形成得以改善。</w:t>
      </w:r>
    </w:p>
    <w:p w14:paraId="65F421F8">
      <w:pPr>
        <w:pStyle w:val="43"/>
        <w:rPr>
          <w:color w:val="auto"/>
          <w:highlight w:val="none"/>
        </w:rPr>
      </w:pPr>
      <w:r>
        <w:rPr>
          <w:rFonts w:hint="eastAsia"/>
          <w:color w:val="auto"/>
          <w:highlight w:val="none"/>
        </w:rPr>
        <w:t xml:space="preserve">水土流失影响 </w:t>
      </w:r>
    </w:p>
    <w:p w14:paraId="61C81323">
      <w:pPr>
        <w:pStyle w:val="3"/>
        <w:ind w:firstLine="480"/>
        <w:rPr>
          <w:color w:val="auto"/>
          <w:highlight w:val="none"/>
        </w:rPr>
      </w:pPr>
      <w:r>
        <w:rPr>
          <w:rFonts w:hint="eastAsia"/>
          <w:color w:val="auto"/>
          <w:highlight w:val="none"/>
        </w:rPr>
        <w:t>本工程在施工过程中，由于项目区场地平整、建（构）筑物地基开挖、回填土料临时堆放等各类施工活动，对原地貌产生扰动和破坏，降低或使其丧失了原地貌具有的水土保持功能，加剧原地面水土流失的发生和发展。</w:t>
      </w:r>
    </w:p>
    <w:p w14:paraId="53932312">
      <w:pPr>
        <w:pStyle w:val="3"/>
        <w:ind w:firstLine="480"/>
        <w:rPr>
          <w:color w:val="auto"/>
          <w:highlight w:val="none"/>
        </w:rPr>
      </w:pPr>
      <w:r>
        <w:rPr>
          <w:rFonts w:hint="eastAsia"/>
          <w:color w:val="auto"/>
          <w:highlight w:val="none"/>
        </w:rPr>
        <w:t>根据本工程建设特点及工程总体布置，水土流失预测的范围主要是项目区。预测本工程建设期扰动面积143.738</w:t>
      </w:r>
      <w:r>
        <w:rPr>
          <w:color w:val="auto"/>
          <w:highlight w:val="none"/>
        </w:rPr>
        <w:t>hm</w:t>
      </w:r>
      <w:r>
        <w:rPr>
          <w:color w:val="auto"/>
          <w:highlight w:val="none"/>
          <w:vertAlign w:val="superscript"/>
        </w:rPr>
        <w:t>2</w:t>
      </w:r>
      <w:r>
        <w:rPr>
          <w:rFonts w:hint="eastAsia"/>
          <w:color w:val="auto"/>
          <w:highlight w:val="none"/>
        </w:rPr>
        <w:t>。</w:t>
      </w:r>
    </w:p>
    <w:p w14:paraId="4EB53EF5">
      <w:pPr>
        <w:pStyle w:val="3"/>
        <w:ind w:firstLine="480"/>
        <w:rPr>
          <w:color w:val="auto"/>
          <w:highlight w:val="none"/>
        </w:rPr>
      </w:pPr>
      <w:r>
        <w:rPr>
          <w:rFonts w:hint="eastAsia"/>
          <w:color w:val="auto"/>
          <w:highlight w:val="none"/>
        </w:rPr>
        <w:t>本工程在水土保持方面将采取各种类型的工程防治措施，场区四周因地制宜地进行植物措施，并针对施工过程中容易产生水土流失的地段布设了合理的临时措施，对工程建设中可能造成的水土流失提出具体防治措施。各项防治措施实施后，能有效控制项目防治责任范围内的水土流失，改善建设区及周围的生态环境。</w:t>
      </w:r>
    </w:p>
    <w:p w14:paraId="1A3D198B">
      <w:pPr>
        <w:pStyle w:val="3"/>
        <w:ind w:firstLine="480"/>
        <w:rPr>
          <w:color w:val="auto"/>
          <w:highlight w:val="none"/>
        </w:rPr>
      </w:pPr>
      <w:r>
        <w:rPr>
          <w:rFonts w:hint="eastAsia"/>
          <w:color w:val="auto"/>
          <w:highlight w:val="none"/>
        </w:rPr>
        <w:t>从水土保持角度讲，本工程不存在制约性因素，在工程建设和运行过程中实施相应的水土保持措施后，能有效防止新增水土流失，实现项目区环境的恢复和改善，工程的建设是可行的。</w:t>
      </w:r>
    </w:p>
    <w:p w14:paraId="3509A97C">
      <w:pPr>
        <w:pStyle w:val="43"/>
        <w:rPr>
          <w:color w:val="auto"/>
          <w:highlight w:val="none"/>
        </w:rPr>
      </w:pPr>
      <w:r>
        <w:rPr>
          <w:rFonts w:hint="eastAsia"/>
          <w:color w:val="auto"/>
          <w:highlight w:val="none"/>
        </w:rPr>
        <w:t>项目建设</w:t>
      </w:r>
      <w:r>
        <w:rPr>
          <w:color w:val="auto"/>
          <w:highlight w:val="none"/>
        </w:rPr>
        <w:t>对沙化的影响评价</w:t>
      </w:r>
    </w:p>
    <w:p w14:paraId="4EB7D888">
      <w:pPr>
        <w:pStyle w:val="3"/>
        <w:ind w:firstLine="480"/>
        <w:rPr>
          <w:color w:val="auto"/>
          <w:highlight w:val="none"/>
        </w:rPr>
      </w:pPr>
      <w:r>
        <w:rPr>
          <w:rFonts w:hint="eastAsia"/>
          <w:color w:val="auto"/>
          <w:highlight w:val="none"/>
        </w:rPr>
        <w:t>（1）国家及地方防沙治沙规划的相关要求</w:t>
      </w:r>
    </w:p>
    <w:p w14:paraId="7DFAB51D">
      <w:pPr>
        <w:pStyle w:val="3"/>
        <w:ind w:firstLine="480"/>
        <w:rPr>
          <w:color w:val="auto"/>
          <w:highlight w:val="none"/>
        </w:rPr>
      </w:pPr>
      <w:r>
        <w:rPr>
          <w:rFonts w:hint="eastAsia"/>
          <w:color w:val="auto"/>
          <w:highlight w:val="none"/>
        </w:rPr>
        <w:t>根据《全国防沙治沙规划（</w:t>
      </w:r>
      <w:r>
        <w:rPr>
          <w:color w:val="auto"/>
          <w:highlight w:val="none"/>
        </w:rPr>
        <w:t>2021</w:t>
      </w:r>
      <w:r>
        <w:rPr>
          <w:rFonts w:hint="eastAsia"/>
          <w:color w:val="auto"/>
          <w:highlight w:val="none"/>
        </w:rPr>
        <w:t>－</w:t>
      </w:r>
      <w:r>
        <w:rPr>
          <w:color w:val="auto"/>
          <w:highlight w:val="none"/>
        </w:rPr>
        <w:t>2030</w:t>
      </w:r>
      <w:r>
        <w:rPr>
          <w:rFonts w:hint="eastAsia"/>
          <w:color w:val="auto"/>
          <w:highlight w:val="none"/>
        </w:rPr>
        <w:t>年）》，项目区属于“干旱沙漠及绿洲类型区—塔克拉玛干沙漠</w:t>
      </w:r>
      <w:r>
        <w:rPr>
          <w:color w:val="auto"/>
          <w:highlight w:val="none"/>
        </w:rPr>
        <w:t>及绿洲生态保护修复区</w:t>
      </w:r>
      <w:r>
        <w:rPr>
          <w:rFonts w:hint="eastAsia"/>
          <w:color w:val="auto"/>
          <w:highlight w:val="none"/>
        </w:rPr>
        <w:t>中的重点县（阿图什）”。根据《新疆维吾尔自治区防沙治沙规划（</w:t>
      </w:r>
      <w:r>
        <w:rPr>
          <w:color w:val="auto"/>
          <w:highlight w:val="none"/>
        </w:rPr>
        <w:t>2021-2030</w:t>
      </w:r>
      <w:r>
        <w:rPr>
          <w:rFonts w:hint="eastAsia"/>
          <w:color w:val="auto"/>
          <w:highlight w:val="none"/>
        </w:rPr>
        <w:t>）》，项目位于“塔克拉玛干沙漠生态保护修复区-天山南麓丘陵-平原戈壁生态保护修复小区（13）”。详见图5.1-1项目区与沙化土地治理分区位置关系。</w:t>
      </w:r>
    </w:p>
    <w:p w14:paraId="16032654">
      <w:pPr>
        <w:pStyle w:val="3"/>
        <w:ind w:firstLine="480"/>
        <w:rPr>
          <w:color w:val="auto"/>
          <w:highlight w:val="none"/>
        </w:rPr>
      </w:pPr>
      <w:r>
        <w:rPr>
          <w:rFonts w:hint="eastAsia"/>
          <w:color w:val="auto"/>
          <w:highlight w:val="none"/>
        </w:rPr>
        <w:t>该区是塔里木河中游以北地区的带状区域，紧邻塔克拉玛干沙漠北缘，沙地类型以固定、半固定为主，在河流沿岸分布着多片较大的绿洲。该区属半荒漠地带，极干旱区，昼夜温差大，风沙日数多。主要生态问题：该区沙漠化土地呈零星分布，面积较小，加之人类活动较少、人为干预能力受限，风沙危害程度总体较轻。主攻方向：以自然保护为主，封沙育林育草，仅在局部区域视情况采取防风措施。</w:t>
      </w:r>
    </w:p>
    <w:p w14:paraId="11E223AF">
      <w:pPr>
        <w:pStyle w:val="3"/>
        <w:spacing w:line="240" w:lineRule="atLeast"/>
        <w:ind w:firstLine="0" w:firstLineChars="0"/>
        <w:rPr>
          <w:color w:val="auto"/>
          <w:highlight w:val="none"/>
        </w:rPr>
      </w:pPr>
      <w:r>
        <w:rPr>
          <w:rFonts w:hint="eastAsia"/>
          <w:color w:val="auto"/>
          <w:highlight w:val="none"/>
        </w:rPr>
        <w:drawing>
          <wp:inline distT="0" distB="0" distL="114300" distR="114300">
            <wp:extent cx="4977130" cy="3521710"/>
            <wp:effectExtent l="0" t="0" r="13970" b="2540"/>
            <wp:docPr id="4" name="图片 4" descr="20241106132328333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241106132328333071"/>
                    <pic:cNvPicPr>
                      <a:picLocks noChangeAspect="1"/>
                    </pic:cNvPicPr>
                  </pic:nvPicPr>
                  <pic:blipFill>
                    <a:blip r:embed="rId57"/>
                    <a:srcRect l="3218" t="3769" r="2314" b="1654"/>
                    <a:stretch>
                      <a:fillRect/>
                    </a:stretch>
                  </pic:blipFill>
                  <pic:spPr>
                    <a:xfrm>
                      <a:off x="0" y="0"/>
                      <a:ext cx="4977130" cy="3521710"/>
                    </a:xfrm>
                    <a:prstGeom prst="rect">
                      <a:avLst/>
                    </a:prstGeom>
                  </pic:spPr>
                </pic:pic>
              </a:graphicData>
            </a:graphic>
          </wp:inline>
        </w:drawing>
      </w:r>
    </w:p>
    <w:p w14:paraId="2B7FA8C6">
      <w:pPr>
        <w:pStyle w:val="3"/>
        <w:ind w:firstLine="480"/>
        <w:jc w:val="center"/>
        <w:rPr>
          <w:b/>
          <w:bCs/>
          <w:color w:val="auto"/>
          <w:highlight w:val="none"/>
        </w:rPr>
      </w:pPr>
      <w:r>
        <w:rPr>
          <w:rFonts w:hint="eastAsia"/>
          <w:b/>
          <w:bCs/>
          <w:color w:val="auto"/>
          <w:highlight w:val="none"/>
        </w:rPr>
        <w:t>图5.1-1     项目区与沙化土地治理分区位置关系</w:t>
      </w:r>
    </w:p>
    <w:p w14:paraId="5B7A703F">
      <w:pPr>
        <w:pStyle w:val="3"/>
        <w:ind w:firstLine="480"/>
        <w:rPr>
          <w:color w:val="auto"/>
          <w:highlight w:val="none"/>
        </w:rPr>
      </w:pPr>
      <w:r>
        <w:rPr>
          <w:rFonts w:hint="eastAsia"/>
          <w:color w:val="auto"/>
          <w:highlight w:val="none"/>
        </w:rPr>
        <w:t>（</w:t>
      </w:r>
      <w:r>
        <w:rPr>
          <w:color w:val="auto"/>
          <w:highlight w:val="none"/>
        </w:rPr>
        <w:t>2</w:t>
      </w:r>
      <w:r>
        <w:rPr>
          <w:rFonts w:hint="eastAsia"/>
          <w:color w:val="auto"/>
          <w:highlight w:val="none"/>
        </w:rPr>
        <w:t xml:space="preserve">）项目土地沙化现状 </w:t>
      </w:r>
    </w:p>
    <w:p w14:paraId="03310332">
      <w:pPr>
        <w:pStyle w:val="3"/>
        <w:ind w:firstLine="480"/>
        <w:rPr>
          <w:color w:val="auto"/>
          <w:highlight w:val="none"/>
        </w:rPr>
      </w:pPr>
      <w:r>
        <w:rPr>
          <w:rFonts w:hint="eastAsia"/>
          <w:color w:val="auto"/>
          <w:highlight w:val="none"/>
        </w:rPr>
        <w:t>根据《新疆维吾尔自治区防沙治沙规划（</w:t>
      </w:r>
      <w:r>
        <w:rPr>
          <w:color w:val="auto"/>
          <w:highlight w:val="none"/>
        </w:rPr>
        <w:t>2021-2030</w:t>
      </w:r>
      <w:r>
        <w:rPr>
          <w:rFonts w:hint="eastAsia"/>
          <w:color w:val="auto"/>
          <w:highlight w:val="none"/>
        </w:rPr>
        <w:t>）》，项目所在位置不属于沙化土地封禁保护区，且距离其他沙化土地封禁保护区较远。项目与新疆沙化土地封禁保护区位置关系见图5.1-2。</w:t>
      </w:r>
    </w:p>
    <w:p w14:paraId="0A5454A2">
      <w:pPr>
        <w:pStyle w:val="3"/>
        <w:ind w:firstLine="480"/>
        <w:rPr>
          <w:color w:val="auto"/>
          <w:highlight w:val="none"/>
        </w:rPr>
        <w:sectPr>
          <w:footerReference r:id="rId16"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color w:val="auto"/>
          <w:highlight w:val="none"/>
        </w:rPr>
        <w:t>根据《新疆维吾尔自治区防沙治沙规划（</w:t>
      </w:r>
      <w:r>
        <w:rPr>
          <w:color w:val="auto"/>
          <w:highlight w:val="none"/>
        </w:rPr>
        <w:t>2021-2030</w:t>
      </w:r>
      <w:r>
        <w:rPr>
          <w:rFonts w:hint="eastAsia"/>
          <w:color w:val="auto"/>
          <w:highlight w:val="none"/>
        </w:rPr>
        <w:t xml:space="preserve">）》，项目区与新疆沙化土地分布位置关系见图5.1-3。新疆沙化土地类型包括流动沙地（丘）、半固定沙地（丘）、固定沙地（丘）、沙化耕地、非生物治沙工程地、风蚀残丘（劣地）、戈壁，由图可知，项目区均不涉及。 </w:t>
      </w:r>
    </w:p>
    <w:p w14:paraId="603F788F">
      <w:pPr>
        <w:pStyle w:val="3"/>
        <w:spacing w:line="240" w:lineRule="atLeast"/>
        <w:ind w:firstLine="0" w:firstLineChars="0"/>
        <w:jc w:val="center"/>
        <w:rPr>
          <w:color w:val="auto"/>
          <w:highlight w:val="none"/>
        </w:rPr>
      </w:pPr>
      <w:r>
        <w:rPr>
          <w:rFonts w:hint="eastAsia"/>
          <w:color w:val="auto"/>
          <w:highlight w:val="none"/>
        </w:rPr>
        <w:drawing>
          <wp:inline distT="0" distB="0" distL="114300" distR="114300">
            <wp:extent cx="6654800" cy="4698365"/>
            <wp:effectExtent l="0" t="0" r="12700" b="6985"/>
            <wp:docPr id="6" name="图片 6" descr="20241106132328333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0241106132328333071"/>
                    <pic:cNvPicPr>
                      <a:picLocks noChangeAspect="1"/>
                    </pic:cNvPicPr>
                  </pic:nvPicPr>
                  <pic:blipFill>
                    <a:blip r:embed="rId58"/>
                    <a:srcRect l="3486" t="3160" r="3239" b="3667"/>
                    <a:stretch>
                      <a:fillRect/>
                    </a:stretch>
                  </pic:blipFill>
                  <pic:spPr>
                    <a:xfrm>
                      <a:off x="0" y="0"/>
                      <a:ext cx="6654800" cy="4698365"/>
                    </a:xfrm>
                    <a:prstGeom prst="rect">
                      <a:avLst/>
                    </a:prstGeom>
                  </pic:spPr>
                </pic:pic>
              </a:graphicData>
            </a:graphic>
          </wp:inline>
        </w:drawing>
      </w:r>
    </w:p>
    <w:p w14:paraId="7E00EF23">
      <w:pPr>
        <w:pStyle w:val="3"/>
        <w:ind w:firstLine="480"/>
        <w:jc w:val="center"/>
        <w:rPr>
          <w:color w:val="auto"/>
          <w:highlight w:val="none"/>
        </w:rPr>
      </w:pPr>
      <w:r>
        <w:rPr>
          <w:rFonts w:hint="eastAsia"/>
          <w:b/>
          <w:bCs/>
          <w:color w:val="auto"/>
          <w:highlight w:val="none"/>
        </w:rPr>
        <w:t>图5.1-2     项目区与新疆沙化土地封禁保护区位置关系图</w:t>
      </w:r>
    </w:p>
    <w:p w14:paraId="04E30389">
      <w:pPr>
        <w:pStyle w:val="3"/>
        <w:ind w:firstLine="480"/>
        <w:rPr>
          <w:color w:val="auto"/>
          <w:highlight w:val="none"/>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720" w:num="1"/>
          <w:docGrid w:type="lines" w:linePitch="332" w:charSpace="0"/>
        </w:sectPr>
      </w:pPr>
    </w:p>
    <w:p w14:paraId="140B4EF4">
      <w:pPr>
        <w:pStyle w:val="3"/>
        <w:spacing w:line="240" w:lineRule="atLeast"/>
        <w:ind w:firstLine="0" w:firstLineChars="0"/>
        <w:jc w:val="center"/>
        <w:rPr>
          <w:color w:val="auto"/>
          <w:highlight w:val="none"/>
        </w:rPr>
      </w:pPr>
      <w:r>
        <w:rPr>
          <w:rFonts w:hint="eastAsia"/>
          <w:color w:val="auto"/>
          <w:highlight w:val="none"/>
        </w:rPr>
        <w:drawing>
          <wp:inline distT="0" distB="0" distL="114300" distR="114300">
            <wp:extent cx="6990715" cy="4903470"/>
            <wp:effectExtent l="0" t="0" r="635" b="11430"/>
            <wp:docPr id="11" name="图片 11" descr="20241106132328333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0241106132328333071"/>
                    <pic:cNvPicPr>
                      <a:picLocks noChangeAspect="1"/>
                    </pic:cNvPicPr>
                  </pic:nvPicPr>
                  <pic:blipFill>
                    <a:blip r:embed="rId59"/>
                    <a:srcRect l="3384" t="3775" r="3614" b="3920"/>
                    <a:stretch>
                      <a:fillRect/>
                    </a:stretch>
                  </pic:blipFill>
                  <pic:spPr>
                    <a:xfrm>
                      <a:off x="0" y="0"/>
                      <a:ext cx="6990715" cy="4903470"/>
                    </a:xfrm>
                    <a:prstGeom prst="rect">
                      <a:avLst/>
                    </a:prstGeom>
                  </pic:spPr>
                </pic:pic>
              </a:graphicData>
            </a:graphic>
          </wp:inline>
        </w:drawing>
      </w:r>
    </w:p>
    <w:p w14:paraId="10E09241">
      <w:pPr>
        <w:pStyle w:val="3"/>
        <w:ind w:firstLine="480"/>
        <w:jc w:val="center"/>
        <w:rPr>
          <w:b/>
          <w:bCs/>
          <w:color w:val="auto"/>
          <w:highlight w:val="none"/>
        </w:rPr>
      </w:pPr>
      <w:r>
        <w:rPr>
          <w:rFonts w:hint="eastAsia"/>
          <w:b/>
          <w:bCs/>
          <w:color w:val="auto"/>
          <w:highlight w:val="none"/>
        </w:rPr>
        <w:t>图5.1-3     项目区与新疆沙化土地分布位置关系图</w:t>
      </w:r>
    </w:p>
    <w:p w14:paraId="12577027">
      <w:pPr>
        <w:pStyle w:val="3"/>
        <w:ind w:firstLine="480"/>
        <w:rPr>
          <w:color w:val="auto"/>
          <w:highlight w:val="none"/>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720" w:num="1"/>
          <w:docGrid w:type="lines" w:linePitch="332" w:charSpace="0"/>
        </w:sectPr>
      </w:pPr>
    </w:p>
    <w:p w14:paraId="3F7645E9">
      <w:pPr>
        <w:pStyle w:val="39"/>
        <w:rPr>
          <w:rFonts w:hint="default"/>
          <w:color w:val="auto"/>
          <w:highlight w:val="none"/>
        </w:rPr>
      </w:pPr>
      <w:bookmarkStart w:id="360" w:name="_Toc10222"/>
      <w:bookmarkStart w:id="361" w:name="_Toc6396"/>
      <w:r>
        <w:rPr>
          <w:rFonts w:hint="default"/>
          <w:color w:val="auto"/>
          <w:highlight w:val="none"/>
        </w:rPr>
        <w:t>运营期大气</w:t>
      </w:r>
      <w:r>
        <w:rPr>
          <w:rFonts w:hint="default"/>
          <w:color w:val="auto"/>
          <w:highlight w:val="none"/>
          <w:lang w:val="zh-CN"/>
        </w:rPr>
        <w:t>环境影响预测与评价</w:t>
      </w:r>
      <w:bookmarkEnd w:id="360"/>
      <w:bookmarkEnd w:id="361"/>
    </w:p>
    <w:p w14:paraId="3764C8E5">
      <w:pPr>
        <w:pStyle w:val="42"/>
        <w:rPr>
          <w:rFonts w:hint="default"/>
          <w:color w:val="auto"/>
          <w:highlight w:val="none"/>
        </w:rPr>
      </w:pPr>
      <w:bookmarkStart w:id="362" w:name="_Toc230058459"/>
      <w:bookmarkStart w:id="363" w:name="_Toc311190874"/>
      <w:bookmarkStart w:id="364" w:name="_Toc243972686"/>
      <w:bookmarkStart w:id="365" w:name="_Toc243972877"/>
      <w:bookmarkStart w:id="366" w:name="_Toc230408073"/>
      <w:r>
        <w:rPr>
          <w:rFonts w:hint="default"/>
          <w:color w:val="auto"/>
          <w:highlight w:val="none"/>
        </w:rPr>
        <w:t>气象观测</w:t>
      </w:r>
      <w:bookmarkEnd w:id="362"/>
      <w:bookmarkEnd w:id="363"/>
      <w:bookmarkEnd w:id="364"/>
      <w:bookmarkEnd w:id="365"/>
      <w:bookmarkEnd w:id="366"/>
      <w:r>
        <w:rPr>
          <w:rFonts w:hint="default"/>
          <w:color w:val="auto"/>
          <w:highlight w:val="none"/>
        </w:rPr>
        <w:t>调查</w:t>
      </w:r>
    </w:p>
    <w:p w14:paraId="307BDD72">
      <w:pPr>
        <w:pStyle w:val="3"/>
        <w:ind w:firstLine="480"/>
        <w:rPr>
          <w:color w:val="auto"/>
          <w:highlight w:val="none"/>
        </w:rPr>
      </w:pPr>
      <w:bookmarkStart w:id="367" w:name="_Toc69474068"/>
      <w:r>
        <w:rPr>
          <w:color w:val="auto"/>
          <w:highlight w:val="none"/>
        </w:rPr>
        <w:t>（1）地面温度特征</w:t>
      </w:r>
    </w:p>
    <w:p w14:paraId="1AEB399B">
      <w:pPr>
        <w:pStyle w:val="3"/>
        <w:ind w:firstLine="480"/>
        <w:rPr>
          <w:color w:val="auto"/>
          <w:highlight w:val="none"/>
        </w:rPr>
      </w:pPr>
      <w:bookmarkStart w:id="368" w:name="OLE_LINK3"/>
      <w:r>
        <w:rPr>
          <w:color w:val="auto"/>
          <w:highlight w:val="none"/>
        </w:rPr>
        <w:t>项目所在区域阿图什气象站2024年平均气温月变化见表5.2-1及图5.2-1。</w:t>
      </w:r>
      <w:bookmarkEnd w:id="368"/>
    </w:p>
    <w:p w14:paraId="4D0DA4F5">
      <w:pPr>
        <w:pStyle w:val="40"/>
        <w:spacing w:before="31" w:after="31"/>
        <w:rPr>
          <w:color w:val="auto"/>
          <w:highlight w:val="none"/>
        </w:rPr>
      </w:pPr>
      <w:r>
        <w:rPr>
          <w:color w:val="auto"/>
          <w:highlight w:val="none"/>
        </w:rPr>
        <w:t>表5.2-1           年平均温度的月变化</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21"/>
        <w:gridCol w:w="614"/>
        <w:gridCol w:w="614"/>
        <w:gridCol w:w="550"/>
        <w:gridCol w:w="647"/>
        <w:gridCol w:w="647"/>
        <w:gridCol w:w="647"/>
        <w:gridCol w:w="647"/>
        <w:gridCol w:w="647"/>
        <w:gridCol w:w="647"/>
        <w:gridCol w:w="647"/>
        <w:gridCol w:w="647"/>
        <w:gridCol w:w="647"/>
      </w:tblGrid>
      <w:tr w14:paraId="15304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noWrap/>
            <w:vAlign w:val="center"/>
          </w:tcPr>
          <w:p w14:paraId="1F7E26F1">
            <w:pPr>
              <w:pStyle w:val="41"/>
              <w:rPr>
                <w:color w:val="auto"/>
                <w:highlight w:val="none"/>
              </w:rPr>
            </w:pPr>
            <w:r>
              <w:rPr>
                <w:color w:val="auto"/>
                <w:highlight w:val="none"/>
              </w:rPr>
              <w:t>月份</w:t>
            </w:r>
          </w:p>
        </w:tc>
        <w:tc>
          <w:tcPr>
            <w:tcW w:w="0" w:type="auto"/>
            <w:noWrap/>
            <w:vAlign w:val="center"/>
          </w:tcPr>
          <w:p w14:paraId="45A8C085">
            <w:pPr>
              <w:pStyle w:val="41"/>
              <w:rPr>
                <w:color w:val="auto"/>
                <w:highlight w:val="none"/>
              </w:rPr>
            </w:pPr>
            <w:r>
              <w:rPr>
                <w:color w:val="auto"/>
                <w:highlight w:val="none"/>
              </w:rPr>
              <w:t>1月</w:t>
            </w:r>
          </w:p>
        </w:tc>
        <w:tc>
          <w:tcPr>
            <w:tcW w:w="0" w:type="auto"/>
            <w:noWrap/>
            <w:vAlign w:val="center"/>
          </w:tcPr>
          <w:p w14:paraId="75EE8767">
            <w:pPr>
              <w:pStyle w:val="41"/>
              <w:rPr>
                <w:color w:val="auto"/>
                <w:highlight w:val="none"/>
              </w:rPr>
            </w:pPr>
            <w:r>
              <w:rPr>
                <w:color w:val="auto"/>
                <w:highlight w:val="none"/>
              </w:rPr>
              <w:t>2月</w:t>
            </w:r>
          </w:p>
        </w:tc>
        <w:tc>
          <w:tcPr>
            <w:tcW w:w="0" w:type="auto"/>
            <w:noWrap/>
            <w:vAlign w:val="center"/>
          </w:tcPr>
          <w:p w14:paraId="5ACD797F">
            <w:pPr>
              <w:pStyle w:val="41"/>
              <w:rPr>
                <w:color w:val="auto"/>
                <w:highlight w:val="none"/>
              </w:rPr>
            </w:pPr>
            <w:r>
              <w:rPr>
                <w:color w:val="auto"/>
                <w:highlight w:val="none"/>
              </w:rPr>
              <w:t>3月</w:t>
            </w:r>
          </w:p>
        </w:tc>
        <w:tc>
          <w:tcPr>
            <w:tcW w:w="0" w:type="auto"/>
            <w:noWrap/>
            <w:vAlign w:val="center"/>
          </w:tcPr>
          <w:p w14:paraId="17BAD960">
            <w:pPr>
              <w:pStyle w:val="41"/>
              <w:rPr>
                <w:color w:val="auto"/>
                <w:highlight w:val="none"/>
              </w:rPr>
            </w:pPr>
            <w:r>
              <w:rPr>
                <w:color w:val="auto"/>
                <w:highlight w:val="none"/>
              </w:rPr>
              <w:t>4月</w:t>
            </w:r>
          </w:p>
        </w:tc>
        <w:tc>
          <w:tcPr>
            <w:tcW w:w="0" w:type="auto"/>
            <w:noWrap/>
            <w:vAlign w:val="center"/>
          </w:tcPr>
          <w:p w14:paraId="7632025A">
            <w:pPr>
              <w:pStyle w:val="41"/>
              <w:rPr>
                <w:color w:val="auto"/>
                <w:highlight w:val="none"/>
              </w:rPr>
            </w:pPr>
            <w:r>
              <w:rPr>
                <w:color w:val="auto"/>
                <w:highlight w:val="none"/>
              </w:rPr>
              <w:t>5月</w:t>
            </w:r>
          </w:p>
        </w:tc>
        <w:tc>
          <w:tcPr>
            <w:tcW w:w="0" w:type="auto"/>
            <w:noWrap/>
            <w:vAlign w:val="center"/>
          </w:tcPr>
          <w:p w14:paraId="779125A9">
            <w:pPr>
              <w:pStyle w:val="41"/>
              <w:rPr>
                <w:color w:val="auto"/>
                <w:highlight w:val="none"/>
              </w:rPr>
            </w:pPr>
            <w:r>
              <w:rPr>
                <w:color w:val="auto"/>
                <w:highlight w:val="none"/>
              </w:rPr>
              <w:t>6月</w:t>
            </w:r>
          </w:p>
        </w:tc>
        <w:tc>
          <w:tcPr>
            <w:tcW w:w="0" w:type="auto"/>
            <w:noWrap/>
            <w:vAlign w:val="center"/>
          </w:tcPr>
          <w:p w14:paraId="165EC50D">
            <w:pPr>
              <w:pStyle w:val="41"/>
              <w:rPr>
                <w:color w:val="auto"/>
                <w:highlight w:val="none"/>
              </w:rPr>
            </w:pPr>
            <w:r>
              <w:rPr>
                <w:color w:val="auto"/>
                <w:highlight w:val="none"/>
              </w:rPr>
              <w:t>7月</w:t>
            </w:r>
          </w:p>
        </w:tc>
        <w:tc>
          <w:tcPr>
            <w:tcW w:w="0" w:type="auto"/>
            <w:noWrap/>
            <w:vAlign w:val="center"/>
          </w:tcPr>
          <w:p w14:paraId="4CBA328D">
            <w:pPr>
              <w:pStyle w:val="41"/>
              <w:rPr>
                <w:color w:val="auto"/>
                <w:highlight w:val="none"/>
              </w:rPr>
            </w:pPr>
            <w:r>
              <w:rPr>
                <w:color w:val="auto"/>
                <w:highlight w:val="none"/>
              </w:rPr>
              <w:t>8月</w:t>
            </w:r>
          </w:p>
        </w:tc>
        <w:tc>
          <w:tcPr>
            <w:tcW w:w="0" w:type="auto"/>
            <w:noWrap/>
            <w:vAlign w:val="center"/>
          </w:tcPr>
          <w:p w14:paraId="1E323938">
            <w:pPr>
              <w:pStyle w:val="41"/>
              <w:rPr>
                <w:color w:val="auto"/>
                <w:highlight w:val="none"/>
              </w:rPr>
            </w:pPr>
            <w:r>
              <w:rPr>
                <w:color w:val="auto"/>
                <w:highlight w:val="none"/>
              </w:rPr>
              <w:t>9月</w:t>
            </w:r>
          </w:p>
        </w:tc>
        <w:tc>
          <w:tcPr>
            <w:tcW w:w="0" w:type="auto"/>
            <w:noWrap/>
            <w:vAlign w:val="center"/>
          </w:tcPr>
          <w:p w14:paraId="07C9E5B3">
            <w:pPr>
              <w:pStyle w:val="41"/>
              <w:rPr>
                <w:color w:val="auto"/>
                <w:highlight w:val="none"/>
              </w:rPr>
            </w:pPr>
            <w:r>
              <w:rPr>
                <w:color w:val="auto"/>
                <w:highlight w:val="none"/>
              </w:rPr>
              <w:t>10月</w:t>
            </w:r>
          </w:p>
        </w:tc>
        <w:tc>
          <w:tcPr>
            <w:tcW w:w="0" w:type="auto"/>
            <w:noWrap/>
            <w:vAlign w:val="center"/>
          </w:tcPr>
          <w:p w14:paraId="677DBB06">
            <w:pPr>
              <w:pStyle w:val="41"/>
              <w:rPr>
                <w:color w:val="auto"/>
                <w:highlight w:val="none"/>
              </w:rPr>
            </w:pPr>
            <w:r>
              <w:rPr>
                <w:color w:val="auto"/>
                <w:highlight w:val="none"/>
              </w:rPr>
              <w:t>11月</w:t>
            </w:r>
          </w:p>
        </w:tc>
        <w:tc>
          <w:tcPr>
            <w:tcW w:w="0" w:type="auto"/>
            <w:noWrap/>
            <w:vAlign w:val="center"/>
          </w:tcPr>
          <w:p w14:paraId="5D7CBB75">
            <w:pPr>
              <w:pStyle w:val="41"/>
              <w:rPr>
                <w:color w:val="auto"/>
                <w:highlight w:val="none"/>
              </w:rPr>
            </w:pPr>
            <w:r>
              <w:rPr>
                <w:color w:val="auto"/>
                <w:highlight w:val="none"/>
              </w:rPr>
              <w:t>12月</w:t>
            </w:r>
          </w:p>
        </w:tc>
      </w:tr>
      <w:tr w14:paraId="2B94A6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noWrap/>
            <w:vAlign w:val="center"/>
          </w:tcPr>
          <w:p w14:paraId="795452A6">
            <w:pPr>
              <w:pStyle w:val="41"/>
              <w:rPr>
                <w:color w:val="auto"/>
                <w:highlight w:val="none"/>
              </w:rPr>
            </w:pPr>
            <w:r>
              <w:rPr>
                <w:color w:val="auto"/>
                <w:highlight w:val="none"/>
              </w:rPr>
              <w:t>温度(℃)</w:t>
            </w:r>
          </w:p>
        </w:tc>
        <w:tc>
          <w:tcPr>
            <w:tcW w:w="615" w:type="dxa"/>
            <w:noWrap/>
            <w:vAlign w:val="bottom"/>
          </w:tcPr>
          <w:p w14:paraId="32F3905C">
            <w:pPr>
              <w:pStyle w:val="41"/>
              <w:rPr>
                <w:color w:val="auto"/>
                <w:highlight w:val="none"/>
              </w:rPr>
            </w:pPr>
            <w:r>
              <w:rPr>
                <w:color w:val="auto"/>
                <w:highlight w:val="none"/>
              </w:rPr>
              <w:t>-5.91</w:t>
            </w:r>
          </w:p>
        </w:tc>
        <w:tc>
          <w:tcPr>
            <w:tcW w:w="591" w:type="dxa"/>
            <w:noWrap/>
            <w:vAlign w:val="bottom"/>
          </w:tcPr>
          <w:p w14:paraId="44F5DC2F">
            <w:pPr>
              <w:pStyle w:val="41"/>
              <w:rPr>
                <w:color w:val="auto"/>
                <w:highlight w:val="none"/>
              </w:rPr>
            </w:pPr>
            <w:r>
              <w:rPr>
                <w:color w:val="auto"/>
                <w:highlight w:val="none"/>
              </w:rPr>
              <w:t>-1.71</w:t>
            </w:r>
          </w:p>
        </w:tc>
        <w:tc>
          <w:tcPr>
            <w:tcW w:w="531" w:type="dxa"/>
            <w:noWrap/>
            <w:vAlign w:val="bottom"/>
          </w:tcPr>
          <w:p w14:paraId="270CCAD9">
            <w:pPr>
              <w:pStyle w:val="41"/>
              <w:rPr>
                <w:color w:val="auto"/>
                <w:highlight w:val="none"/>
              </w:rPr>
            </w:pPr>
            <w:r>
              <w:rPr>
                <w:color w:val="auto"/>
                <w:highlight w:val="none"/>
              </w:rPr>
              <w:t>7.66</w:t>
            </w:r>
          </w:p>
        </w:tc>
        <w:tc>
          <w:tcPr>
            <w:tcW w:w="621" w:type="dxa"/>
            <w:noWrap/>
            <w:vAlign w:val="bottom"/>
          </w:tcPr>
          <w:p w14:paraId="30CE9D28">
            <w:pPr>
              <w:pStyle w:val="41"/>
              <w:rPr>
                <w:color w:val="auto"/>
                <w:highlight w:val="none"/>
              </w:rPr>
            </w:pPr>
            <w:r>
              <w:rPr>
                <w:color w:val="auto"/>
                <w:highlight w:val="none"/>
              </w:rPr>
              <w:t>17.09</w:t>
            </w:r>
          </w:p>
        </w:tc>
        <w:tc>
          <w:tcPr>
            <w:tcW w:w="621" w:type="dxa"/>
            <w:noWrap/>
            <w:vAlign w:val="bottom"/>
          </w:tcPr>
          <w:p w14:paraId="016FD576">
            <w:pPr>
              <w:pStyle w:val="41"/>
              <w:rPr>
                <w:color w:val="auto"/>
                <w:highlight w:val="none"/>
              </w:rPr>
            </w:pPr>
            <w:r>
              <w:rPr>
                <w:color w:val="auto"/>
                <w:highlight w:val="none"/>
              </w:rPr>
              <w:t>23.19</w:t>
            </w:r>
          </w:p>
        </w:tc>
        <w:tc>
          <w:tcPr>
            <w:tcW w:w="621" w:type="dxa"/>
            <w:noWrap/>
            <w:vAlign w:val="bottom"/>
          </w:tcPr>
          <w:p w14:paraId="3A5CBFBF">
            <w:pPr>
              <w:pStyle w:val="41"/>
              <w:rPr>
                <w:color w:val="auto"/>
                <w:highlight w:val="none"/>
              </w:rPr>
            </w:pPr>
            <w:r>
              <w:rPr>
                <w:color w:val="auto"/>
                <w:highlight w:val="none"/>
              </w:rPr>
              <w:t>26.25</w:t>
            </w:r>
          </w:p>
        </w:tc>
        <w:tc>
          <w:tcPr>
            <w:tcW w:w="621" w:type="dxa"/>
            <w:noWrap/>
            <w:vAlign w:val="bottom"/>
          </w:tcPr>
          <w:p w14:paraId="1334DEDA">
            <w:pPr>
              <w:pStyle w:val="41"/>
              <w:rPr>
                <w:color w:val="auto"/>
                <w:highlight w:val="none"/>
              </w:rPr>
            </w:pPr>
            <w:r>
              <w:rPr>
                <w:color w:val="auto"/>
                <w:highlight w:val="none"/>
              </w:rPr>
              <w:t>26.03</w:t>
            </w:r>
          </w:p>
        </w:tc>
        <w:tc>
          <w:tcPr>
            <w:tcW w:w="621" w:type="dxa"/>
            <w:noWrap/>
            <w:vAlign w:val="bottom"/>
          </w:tcPr>
          <w:p w14:paraId="6E5615AD">
            <w:pPr>
              <w:pStyle w:val="41"/>
              <w:rPr>
                <w:color w:val="auto"/>
                <w:highlight w:val="none"/>
              </w:rPr>
            </w:pPr>
            <w:r>
              <w:rPr>
                <w:color w:val="auto"/>
                <w:highlight w:val="none"/>
              </w:rPr>
              <w:t>24.58</w:t>
            </w:r>
          </w:p>
        </w:tc>
        <w:tc>
          <w:tcPr>
            <w:tcW w:w="621" w:type="dxa"/>
            <w:noWrap/>
            <w:vAlign w:val="bottom"/>
          </w:tcPr>
          <w:p w14:paraId="778A8ECC">
            <w:pPr>
              <w:pStyle w:val="41"/>
              <w:rPr>
                <w:color w:val="auto"/>
                <w:highlight w:val="none"/>
              </w:rPr>
            </w:pPr>
            <w:r>
              <w:rPr>
                <w:color w:val="auto"/>
                <w:highlight w:val="none"/>
              </w:rPr>
              <w:t>20.41</w:t>
            </w:r>
          </w:p>
        </w:tc>
        <w:tc>
          <w:tcPr>
            <w:tcW w:w="621" w:type="dxa"/>
            <w:noWrap/>
            <w:vAlign w:val="bottom"/>
          </w:tcPr>
          <w:p w14:paraId="1995192E">
            <w:pPr>
              <w:pStyle w:val="41"/>
              <w:rPr>
                <w:color w:val="auto"/>
                <w:highlight w:val="none"/>
              </w:rPr>
            </w:pPr>
            <w:r>
              <w:rPr>
                <w:color w:val="auto"/>
                <w:highlight w:val="none"/>
              </w:rPr>
              <w:t>12.29</w:t>
            </w:r>
          </w:p>
        </w:tc>
        <w:tc>
          <w:tcPr>
            <w:tcW w:w="615" w:type="dxa"/>
            <w:noWrap/>
            <w:vAlign w:val="bottom"/>
          </w:tcPr>
          <w:p w14:paraId="07F3B0F0">
            <w:pPr>
              <w:pStyle w:val="41"/>
              <w:rPr>
                <w:color w:val="auto"/>
                <w:highlight w:val="none"/>
              </w:rPr>
            </w:pPr>
            <w:r>
              <w:rPr>
                <w:color w:val="auto"/>
                <w:highlight w:val="none"/>
              </w:rPr>
              <w:t>2.04</w:t>
            </w:r>
          </w:p>
        </w:tc>
        <w:tc>
          <w:tcPr>
            <w:tcW w:w="675" w:type="dxa"/>
            <w:noWrap/>
            <w:vAlign w:val="bottom"/>
          </w:tcPr>
          <w:p w14:paraId="2AD795A5">
            <w:pPr>
              <w:pStyle w:val="41"/>
              <w:rPr>
                <w:color w:val="auto"/>
                <w:highlight w:val="none"/>
              </w:rPr>
            </w:pPr>
            <w:r>
              <w:rPr>
                <w:color w:val="auto"/>
                <w:highlight w:val="none"/>
              </w:rPr>
              <w:t>-3.12</w:t>
            </w:r>
          </w:p>
        </w:tc>
      </w:tr>
    </w:tbl>
    <w:p w14:paraId="00B4C7AE">
      <w:pPr>
        <w:pStyle w:val="3"/>
        <w:ind w:firstLine="480"/>
        <w:rPr>
          <w:color w:val="auto"/>
          <w:highlight w:val="none"/>
        </w:rPr>
      </w:pPr>
    </w:p>
    <w:p w14:paraId="325D1356">
      <w:pPr>
        <w:pStyle w:val="40"/>
        <w:spacing w:before="31" w:after="31" w:line="480" w:lineRule="auto"/>
        <w:rPr>
          <w:color w:val="auto"/>
          <w:highlight w:val="none"/>
        </w:rPr>
      </w:pPr>
      <w:r>
        <w:rPr>
          <w:color w:val="auto"/>
          <w:highlight w:val="none"/>
        </w:rPr>
        <w:drawing>
          <wp:inline distT="0" distB="0" distL="114300" distR="114300">
            <wp:extent cx="5273040" cy="1666875"/>
            <wp:effectExtent l="0" t="0" r="3810" b="9525"/>
            <wp:docPr id="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pic:cNvPicPr>
                      <a:picLocks noChangeAspect="1"/>
                    </pic:cNvPicPr>
                  </pic:nvPicPr>
                  <pic:blipFill>
                    <a:blip r:embed="rId60"/>
                    <a:stretch>
                      <a:fillRect/>
                    </a:stretch>
                  </pic:blipFill>
                  <pic:spPr>
                    <a:xfrm>
                      <a:off x="0" y="0"/>
                      <a:ext cx="5273040" cy="1666875"/>
                    </a:xfrm>
                    <a:prstGeom prst="rect">
                      <a:avLst/>
                    </a:prstGeom>
                    <a:noFill/>
                    <a:ln>
                      <a:noFill/>
                    </a:ln>
                  </pic:spPr>
                </pic:pic>
              </a:graphicData>
            </a:graphic>
          </wp:inline>
        </w:drawing>
      </w:r>
      <w:r>
        <w:rPr>
          <w:color w:val="auto"/>
          <w:highlight w:val="none"/>
        </w:rPr>
        <w:t>图5.2-1   2024年平均气温月变化图</w:t>
      </w:r>
    </w:p>
    <w:p w14:paraId="37BB9BC4">
      <w:pPr>
        <w:pStyle w:val="3"/>
        <w:ind w:firstLine="480"/>
        <w:rPr>
          <w:color w:val="auto"/>
          <w:highlight w:val="none"/>
        </w:rPr>
      </w:pPr>
      <w:r>
        <w:rPr>
          <w:color w:val="auto"/>
          <w:highlight w:val="none"/>
        </w:rPr>
        <w:t>（2）风速特征</w:t>
      </w:r>
    </w:p>
    <w:p w14:paraId="33538529">
      <w:pPr>
        <w:pStyle w:val="3"/>
        <w:ind w:firstLine="480"/>
        <w:rPr>
          <w:color w:val="auto"/>
          <w:highlight w:val="none"/>
        </w:rPr>
      </w:pPr>
      <w:r>
        <w:rPr>
          <w:color w:val="auto"/>
          <w:highlight w:val="none"/>
        </w:rPr>
        <w:t>项目所在区域阿图什气象站2024年平均风速月变化见表5.2-2及图5.2-2。</w:t>
      </w:r>
    </w:p>
    <w:p w14:paraId="262834B0">
      <w:pPr>
        <w:pStyle w:val="40"/>
        <w:spacing w:before="31" w:after="31"/>
        <w:rPr>
          <w:color w:val="auto"/>
          <w:highlight w:val="none"/>
        </w:rPr>
      </w:pPr>
      <w:r>
        <w:rPr>
          <w:color w:val="auto"/>
          <w:highlight w:val="none"/>
        </w:rPr>
        <w:t>表5.2-2    年平均风速的月变化</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80"/>
        <w:gridCol w:w="584"/>
        <w:gridCol w:w="584"/>
        <w:gridCol w:w="584"/>
        <w:gridCol w:w="584"/>
        <w:gridCol w:w="584"/>
        <w:gridCol w:w="584"/>
        <w:gridCol w:w="584"/>
        <w:gridCol w:w="584"/>
        <w:gridCol w:w="584"/>
        <w:gridCol w:w="584"/>
        <w:gridCol w:w="584"/>
        <w:gridCol w:w="584"/>
      </w:tblGrid>
      <w:tr w14:paraId="228DD5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noWrap/>
            <w:vAlign w:val="center"/>
          </w:tcPr>
          <w:p w14:paraId="6F79FFA7">
            <w:pPr>
              <w:pStyle w:val="41"/>
              <w:rPr>
                <w:color w:val="auto"/>
                <w:highlight w:val="none"/>
              </w:rPr>
            </w:pPr>
            <w:r>
              <w:rPr>
                <w:color w:val="auto"/>
                <w:highlight w:val="none"/>
              </w:rPr>
              <w:t>月份</w:t>
            </w:r>
          </w:p>
        </w:tc>
        <w:tc>
          <w:tcPr>
            <w:tcW w:w="0" w:type="auto"/>
            <w:noWrap/>
            <w:vAlign w:val="center"/>
          </w:tcPr>
          <w:p w14:paraId="3651A0F4">
            <w:pPr>
              <w:pStyle w:val="41"/>
              <w:rPr>
                <w:color w:val="auto"/>
                <w:highlight w:val="none"/>
              </w:rPr>
            </w:pPr>
            <w:r>
              <w:rPr>
                <w:color w:val="auto"/>
                <w:highlight w:val="none"/>
              </w:rPr>
              <w:t>1</w:t>
            </w:r>
          </w:p>
        </w:tc>
        <w:tc>
          <w:tcPr>
            <w:tcW w:w="0" w:type="auto"/>
            <w:noWrap/>
            <w:vAlign w:val="center"/>
          </w:tcPr>
          <w:p w14:paraId="74989112">
            <w:pPr>
              <w:pStyle w:val="41"/>
              <w:rPr>
                <w:color w:val="auto"/>
                <w:highlight w:val="none"/>
              </w:rPr>
            </w:pPr>
            <w:r>
              <w:rPr>
                <w:color w:val="auto"/>
                <w:highlight w:val="none"/>
              </w:rPr>
              <w:t>2</w:t>
            </w:r>
          </w:p>
        </w:tc>
        <w:tc>
          <w:tcPr>
            <w:tcW w:w="0" w:type="auto"/>
            <w:noWrap/>
            <w:vAlign w:val="center"/>
          </w:tcPr>
          <w:p w14:paraId="1C0256FA">
            <w:pPr>
              <w:pStyle w:val="41"/>
              <w:rPr>
                <w:color w:val="auto"/>
                <w:highlight w:val="none"/>
              </w:rPr>
            </w:pPr>
            <w:r>
              <w:rPr>
                <w:color w:val="auto"/>
                <w:highlight w:val="none"/>
              </w:rPr>
              <w:t>3</w:t>
            </w:r>
          </w:p>
        </w:tc>
        <w:tc>
          <w:tcPr>
            <w:tcW w:w="0" w:type="auto"/>
            <w:noWrap/>
            <w:vAlign w:val="center"/>
          </w:tcPr>
          <w:p w14:paraId="20CF7CFA">
            <w:pPr>
              <w:pStyle w:val="41"/>
              <w:rPr>
                <w:color w:val="auto"/>
                <w:highlight w:val="none"/>
              </w:rPr>
            </w:pPr>
            <w:r>
              <w:rPr>
                <w:color w:val="auto"/>
                <w:highlight w:val="none"/>
              </w:rPr>
              <w:t>4</w:t>
            </w:r>
          </w:p>
        </w:tc>
        <w:tc>
          <w:tcPr>
            <w:tcW w:w="0" w:type="auto"/>
            <w:noWrap/>
            <w:vAlign w:val="center"/>
          </w:tcPr>
          <w:p w14:paraId="52FA5996">
            <w:pPr>
              <w:pStyle w:val="41"/>
              <w:rPr>
                <w:color w:val="auto"/>
                <w:highlight w:val="none"/>
              </w:rPr>
            </w:pPr>
            <w:r>
              <w:rPr>
                <w:color w:val="auto"/>
                <w:highlight w:val="none"/>
              </w:rPr>
              <w:t>5</w:t>
            </w:r>
          </w:p>
        </w:tc>
        <w:tc>
          <w:tcPr>
            <w:tcW w:w="0" w:type="auto"/>
            <w:noWrap/>
            <w:vAlign w:val="center"/>
          </w:tcPr>
          <w:p w14:paraId="694BB65E">
            <w:pPr>
              <w:pStyle w:val="41"/>
              <w:rPr>
                <w:color w:val="auto"/>
                <w:highlight w:val="none"/>
              </w:rPr>
            </w:pPr>
            <w:r>
              <w:rPr>
                <w:color w:val="auto"/>
                <w:highlight w:val="none"/>
              </w:rPr>
              <w:t>6</w:t>
            </w:r>
          </w:p>
        </w:tc>
        <w:tc>
          <w:tcPr>
            <w:tcW w:w="0" w:type="auto"/>
            <w:noWrap/>
            <w:vAlign w:val="center"/>
          </w:tcPr>
          <w:p w14:paraId="18A01D0D">
            <w:pPr>
              <w:pStyle w:val="41"/>
              <w:rPr>
                <w:color w:val="auto"/>
                <w:highlight w:val="none"/>
              </w:rPr>
            </w:pPr>
            <w:r>
              <w:rPr>
                <w:color w:val="auto"/>
                <w:highlight w:val="none"/>
              </w:rPr>
              <w:t>7</w:t>
            </w:r>
          </w:p>
        </w:tc>
        <w:tc>
          <w:tcPr>
            <w:tcW w:w="0" w:type="auto"/>
            <w:noWrap/>
            <w:vAlign w:val="center"/>
          </w:tcPr>
          <w:p w14:paraId="51873A96">
            <w:pPr>
              <w:pStyle w:val="41"/>
              <w:rPr>
                <w:color w:val="auto"/>
                <w:highlight w:val="none"/>
              </w:rPr>
            </w:pPr>
            <w:r>
              <w:rPr>
                <w:color w:val="auto"/>
                <w:highlight w:val="none"/>
              </w:rPr>
              <w:t>8</w:t>
            </w:r>
          </w:p>
        </w:tc>
        <w:tc>
          <w:tcPr>
            <w:tcW w:w="0" w:type="auto"/>
            <w:noWrap/>
            <w:vAlign w:val="center"/>
          </w:tcPr>
          <w:p w14:paraId="4BDF758B">
            <w:pPr>
              <w:pStyle w:val="41"/>
              <w:rPr>
                <w:color w:val="auto"/>
                <w:highlight w:val="none"/>
              </w:rPr>
            </w:pPr>
            <w:r>
              <w:rPr>
                <w:color w:val="auto"/>
                <w:highlight w:val="none"/>
              </w:rPr>
              <w:t>9</w:t>
            </w:r>
          </w:p>
        </w:tc>
        <w:tc>
          <w:tcPr>
            <w:tcW w:w="0" w:type="auto"/>
            <w:noWrap/>
            <w:vAlign w:val="center"/>
          </w:tcPr>
          <w:p w14:paraId="56AD224C">
            <w:pPr>
              <w:pStyle w:val="41"/>
              <w:rPr>
                <w:color w:val="auto"/>
                <w:highlight w:val="none"/>
              </w:rPr>
            </w:pPr>
            <w:r>
              <w:rPr>
                <w:color w:val="auto"/>
                <w:highlight w:val="none"/>
              </w:rPr>
              <w:t>10</w:t>
            </w:r>
          </w:p>
        </w:tc>
        <w:tc>
          <w:tcPr>
            <w:tcW w:w="0" w:type="auto"/>
            <w:noWrap/>
            <w:vAlign w:val="center"/>
          </w:tcPr>
          <w:p w14:paraId="4B099E6B">
            <w:pPr>
              <w:pStyle w:val="41"/>
              <w:rPr>
                <w:color w:val="auto"/>
                <w:highlight w:val="none"/>
              </w:rPr>
            </w:pPr>
            <w:r>
              <w:rPr>
                <w:color w:val="auto"/>
                <w:highlight w:val="none"/>
              </w:rPr>
              <w:t>11</w:t>
            </w:r>
          </w:p>
        </w:tc>
        <w:tc>
          <w:tcPr>
            <w:tcW w:w="0" w:type="auto"/>
            <w:noWrap/>
            <w:vAlign w:val="center"/>
          </w:tcPr>
          <w:p w14:paraId="4B0F3C6C">
            <w:pPr>
              <w:pStyle w:val="41"/>
              <w:rPr>
                <w:color w:val="auto"/>
                <w:highlight w:val="none"/>
              </w:rPr>
            </w:pPr>
            <w:r>
              <w:rPr>
                <w:color w:val="auto"/>
                <w:highlight w:val="none"/>
              </w:rPr>
              <w:t>12</w:t>
            </w:r>
          </w:p>
        </w:tc>
      </w:tr>
      <w:tr w14:paraId="366B3A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noWrap/>
            <w:vAlign w:val="center"/>
          </w:tcPr>
          <w:p w14:paraId="36312BB4">
            <w:pPr>
              <w:pStyle w:val="41"/>
              <w:rPr>
                <w:color w:val="auto"/>
                <w:highlight w:val="none"/>
              </w:rPr>
            </w:pPr>
            <w:r>
              <w:rPr>
                <w:color w:val="auto"/>
                <w:highlight w:val="none"/>
              </w:rPr>
              <w:t>风速(m/s)</w:t>
            </w:r>
          </w:p>
        </w:tc>
        <w:tc>
          <w:tcPr>
            <w:tcW w:w="584" w:type="dxa"/>
            <w:noWrap/>
            <w:vAlign w:val="bottom"/>
          </w:tcPr>
          <w:p w14:paraId="176675E7">
            <w:pPr>
              <w:pStyle w:val="41"/>
              <w:rPr>
                <w:color w:val="auto"/>
                <w:highlight w:val="none"/>
              </w:rPr>
            </w:pPr>
            <w:r>
              <w:rPr>
                <w:color w:val="auto"/>
                <w:highlight w:val="none"/>
              </w:rPr>
              <w:t>1.31</w:t>
            </w:r>
          </w:p>
        </w:tc>
        <w:tc>
          <w:tcPr>
            <w:tcW w:w="584" w:type="dxa"/>
            <w:noWrap/>
            <w:vAlign w:val="bottom"/>
          </w:tcPr>
          <w:p w14:paraId="50C5ECC5">
            <w:pPr>
              <w:pStyle w:val="41"/>
              <w:rPr>
                <w:color w:val="auto"/>
                <w:highlight w:val="none"/>
              </w:rPr>
            </w:pPr>
            <w:r>
              <w:rPr>
                <w:color w:val="auto"/>
                <w:highlight w:val="none"/>
              </w:rPr>
              <w:t>1.27</w:t>
            </w:r>
          </w:p>
        </w:tc>
        <w:tc>
          <w:tcPr>
            <w:tcW w:w="584" w:type="dxa"/>
            <w:noWrap/>
            <w:vAlign w:val="bottom"/>
          </w:tcPr>
          <w:p w14:paraId="541910D7">
            <w:pPr>
              <w:pStyle w:val="41"/>
              <w:rPr>
                <w:color w:val="auto"/>
                <w:highlight w:val="none"/>
              </w:rPr>
            </w:pPr>
            <w:r>
              <w:rPr>
                <w:color w:val="auto"/>
                <w:highlight w:val="none"/>
              </w:rPr>
              <w:t>1.77</w:t>
            </w:r>
          </w:p>
        </w:tc>
        <w:tc>
          <w:tcPr>
            <w:tcW w:w="584" w:type="dxa"/>
            <w:noWrap/>
            <w:vAlign w:val="bottom"/>
          </w:tcPr>
          <w:p w14:paraId="60A7E8B0">
            <w:pPr>
              <w:pStyle w:val="41"/>
              <w:rPr>
                <w:color w:val="auto"/>
                <w:highlight w:val="none"/>
              </w:rPr>
            </w:pPr>
            <w:r>
              <w:rPr>
                <w:color w:val="auto"/>
                <w:highlight w:val="none"/>
              </w:rPr>
              <w:t>2.02</w:t>
            </w:r>
          </w:p>
        </w:tc>
        <w:tc>
          <w:tcPr>
            <w:tcW w:w="584" w:type="dxa"/>
            <w:noWrap/>
            <w:vAlign w:val="bottom"/>
          </w:tcPr>
          <w:p w14:paraId="249686F3">
            <w:pPr>
              <w:pStyle w:val="41"/>
              <w:rPr>
                <w:color w:val="auto"/>
                <w:highlight w:val="none"/>
              </w:rPr>
            </w:pPr>
            <w:r>
              <w:rPr>
                <w:color w:val="auto"/>
                <w:highlight w:val="none"/>
              </w:rPr>
              <w:t>2.31</w:t>
            </w:r>
          </w:p>
        </w:tc>
        <w:tc>
          <w:tcPr>
            <w:tcW w:w="584" w:type="dxa"/>
            <w:noWrap/>
            <w:vAlign w:val="bottom"/>
          </w:tcPr>
          <w:p w14:paraId="3DC3D80B">
            <w:pPr>
              <w:pStyle w:val="41"/>
              <w:rPr>
                <w:color w:val="auto"/>
                <w:highlight w:val="none"/>
              </w:rPr>
            </w:pPr>
            <w:r>
              <w:rPr>
                <w:color w:val="auto"/>
                <w:highlight w:val="none"/>
              </w:rPr>
              <w:t>2.23</w:t>
            </w:r>
          </w:p>
        </w:tc>
        <w:tc>
          <w:tcPr>
            <w:tcW w:w="584" w:type="dxa"/>
            <w:noWrap/>
            <w:vAlign w:val="bottom"/>
          </w:tcPr>
          <w:p w14:paraId="1D43E794">
            <w:pPr>
              <w:pStyle w:val="41"/>
              <w:rPr>
                <w:color w:val="auto"/>
                <w:highlight w:val="none"/>
              </w:rPr>
            </w:pPr>
            <w:r>
              <w:rPr>
                <w:color w:val="auto"/>
                <w:highlight w:val="none"/>
              </w:rPr>
              <w:t>1.65</w:t>
            </w:r>
          </w:p>
        </w:tc>
        <w:tc>
          <w:tcPr>
            <w:tcW w:w="584" w:type="dxa"/>
            <w:noWrap/>
            <w:vAlign w:val="bottom"/>
          </w:tcPr>
          <w:p w14:paraId="5117DA7A">
            <w:pPr>
              <w:pStyle w:val="41"/>
              <w:rPr>
                <w:color w:val="auto"/>
                <w:highlight w:val="none"/>
              </w:rPr>
            </w:pPr>
            <w:r>
              <w:rPr>
                <w:color w:val="auto"/>
                <w:highlight w:val="none"/>
              </w:rPr>
              <w:t>1.54</w:t>
            </w:r>
          </w:p>
        </w:tc>
        <w:tc>
          <w:tcPr>
            <w:tcW w:w="584" w:type="dxa"/>
            <w:noWrap/>
            <w:vAlign w:val="bottom"/>
          </w:tcPr>
          <w:p w14:paraId="1B255FA0">
            <w:pPr>
              <w:pStyle w:val="41"/>
              <w:rPr>
                <w:color w:val="auto"/>
                <w:highlight w:val="none"/>
              </w:rPr>
            </w:pPr>
            <w:r>
              <w:rPr>
                <w:color w:val="auto"/>
                <w:highlight w:val="none"/>
              </w:rPr>
              <w:t>1.44</w:t>
            </w:r>
          </w:p>
        </w:tc>
        <w:tc>
          <w:tcPr>
            <w:tcW w:w="584" w:type="dxa"/>
            <w:noWrap/>
            <w:vAlign w:val="bottom"/>
          </w:tcPr>
          <w:p w14:paraId="03D246C9">
            <w:pPr>
              <w:pStyle w:val="41"/>
              <w:rPr>
                <w:color w:val="auto"/>
                <w:highlight w:val="none"/>
              </w:rPr>
            </w:pPr>
            <w:r>
              <w:rPr>
                <w:color w:val="auto"/>
                <w:highlight w:val="none"/>
              </w:rPr>
              <w:t>1.50</w:t>
            </w:r>
          </w:p>
        </w:tc>
        <w:tc>
          <w:tcPr>
            <w:tcW w:w="584" w:type="dxa"/>
            <w:noWrap/>
            <w:vAlign w:val="bottom"/>
          </w:tcPr>
          <w:p w14:paraId="34F22F56">
            <w:pPr>
              <w:pStyle w:val="41"/>
              <w:rPr>
                <w:color w:val="auto"/>
                <w:highlight w:val="none"/>
              </w:rPr>
            </w:pPr>
            <w:r>
              <w:rPr>
                <w:color w:val="auto"/>
                <w:highlight w:val="none"/>
              </w:rPr>
              <w:t>1.36</w:t>
            </w:r>
          </w:p>
        </w:tc>
        <w:tc>
          <w:tcPr>
            <w:tcW w:w="584" w:type="dxa"/>
            <w:noWrap/>
            <w:vAlign w:val="bottom"/>
          </w:tcPr>
          <w:p w14:paraId="4A0ED76D">
            <w:pPr>
              <w:pStyle w:val="41"/>
              <w:rPr>
                <w:color w:val="auto"/>
                <w:highlight w:val="none"/>
              </w:rPr>
            </w:pPr>
            <w:r>
              <w:rPr>
                <w:color w:val="auto"/>
                <w:highlight w:val="none"/>
              </w:rPr>
              <w:t>1.05</w:t>
            </w:r>
          </w:p>
        </w:tc>
      </w:tr>
    </w:tbl>
    <w:p w14:paraId="4AB4F7A6">
      <w:pPr>
        <w:pStyle w:val="3"/>
        <w:spacing w:line="480" w:lineRule="auto"/>
        <w:ind w:firstLine="0" w:firstLineChars="0"/>
        <w:rPr>
          <w:color w:val="auto"/>
          <w:highlight w:val="none"/>
        </w:rPr>
      </w:pPr>
      <w:r>
        <w:rPr>
          <w:color w:val="auto"/>
          <w:highlight w:val="none"/>
        </w:rPr>
        <w:drawing>
          <wp:inline distT="0" distB="0" distL="114300" distR="114300">
            <wp:extent cx="5271135" cy="1777365"/>
            <wp:effectExtent l="0" t="0" r="5715" b="13335"/>
            <wp:docPr id="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5"/>
                    <pic:cNvPicPr>
                      <a:picLocks noChangeAspect="1"/>
                    </pic:cNvPicPr>
                  </pic:nvPicPr>
                  <pic:blipFill>
                    <a:blip r:embed="rId61"/>
                    <a:stretch>
                      <a:fillRect/>
                    </a:stretch>
                  </pic:blipFill>
                  <pic:spPr>
                    <a:xfrm>
                      <a:off x="0" y="0"/>
                      <a:ext cx="5271135" cy="1777365"/>
                    </a:xfrm>
                    <a:prstGeom prst="rect">
                      <a:avLst/>
                    </a:prstGeom>
                    <a:noFill/>
                    <a:ln>
                      <a:noFill/>
                    </a:ln>
                  </pic:spPr>
                </pic:pic>
              </a:graphicData>
            </a:graphic>
          </wp:inline>
        </w:drawing>
      </w:r>
    </w:p>
    <w:p w14:paraId="1B8D67E2">
      <w:pPr>
        <w:pStyle w:val="40"/>
        <w:spacing w:before="31" w:after="31"/>
        <w:rPr>
          <w:color w:val="auto"/>
          <w:highlight w:val="none"/>
        </w:rPr>
      </w:pPr>
      <w:r>
        <w:rPr>
          <w:color w:val="auto"/>
          <w:highlight w:val="none"/>
        </w:rPr>
        <w:t>图5.2-2</w:t>
      </w:r>
      <w:r>
        <w:rPr>
          <w:rFonts w:hint="eastAsia"/>
          <w:color w:val="auto"/>
          <w:highlight w:val="none"/>
        </w:rPr>
        <w:t xml:space="preserve">    </w:t>
      </w:r>
      <w:r>
        <w:rPr>
          <w:color w:val="auto"/>
          <w:highlight w:val="none"/>
        </w:rPr>
        <w:t>2024年平均风速月变化图</w:t>
      </w:r>
    </w:p>
    <w:p w14:paraId="1AD71502">
      <w:pPr>
        <w:pStyle w:val="3"/>
        <w:ind w:firstLine="480"/>
        <w:rPr>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color w:val="auto"/>
          <w:highlight w:val="none"/>
        </w:rPr>
        <w:t>项目所在区域阿图什气象站2024年平均风速月变化</w:t>
      </w:r>
      <w:r>
        <w:rPr>
          <w:rFonts w:hint="eastAsia"/>
          <w:color w:val="auto"/>
          <w:highlight w:val="none"/>
          <w:lang w:eastAsia="zh-CN"/>
        </w:rPr>
        <w:t>见下</w:t>
      </w:r>
      <w:r>
        <w:rPr>
          <w:color w:val="auto"/>
          <w:highlight w:val="none"/>
        </w:rPr>
        <w:t>表5.2-3。</w:t>
      </w:r>
    </w:p>
    <w:p w14:paraId="484DA147">
      <w:pPr>
        <w:pStyle w:val="40"/>
        <w:spacing w:before="31" w:after="31"/>
        <w:rPr>
          <w:color w:val="auto"/>
          <w:highlight w:val="none"/>
        </w:rPr>
      </w:pPr>
      <w:r>
        <w:rPr>
          <w:color w:val="auto"/>
          <w:highlight w:val="none"/>
        </w:rPr>
        <w:t>表5.2-3   季小时平均风速的日变化</w:t>
      </w:r>
    </w:p>
    <w:tbl>
      <w:tblPr>
        <w:tblStyle w:val="25"/>
        <w:tblW w:w="5000"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2260"/>
        <w:gridCol w:w="992"/>
        <w:gridCol w:w="992"/>
        <w:gridCol w:w="993"/>
        <w:gridCol w:w="993"/>
        <w:gridCol w:w="993"/>
        <w:gridCol w:w="993"/>
        <w:gridCol w:w="993"/>
        <w:gridCol w:w="993"/>
        <w:gridCol w:w="993"/>
        <w:gridCol w:w="993"/>
        <w:gridCol w:w="993"/>
        <w:gridCol w:w="993"/>
      </w:tblGrid>
      <w:tr w14:paraId="51ED10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2260" w:type="dxa"/>
            <w:tcBorders>
              <w:tl2br w:val="nil"/>
              <w:tr2bl w:val="nil"/>
            </w:tcBorders>
            <w:shd w:val="clear" w:color="auto" w:fill="auto"/>
            <w:noWrap/>
            <w:vAlign w:val="center"/>
          </w:tcPr>
          <w:p w14:paraId="6530F96E">
            <w:pPr>
              <w:pStyle w:val="41"/>
              <w:rPr>
                <w:color w:val="auto"/>
                <w:highlight w:val="none"/>
              </w:rPr>
            </w:pPr>
            <w:r>
              <w:rPr>
                <w:color w:val="auto"/>
                <w:highlight w:val="none"/>
              </w:rPr>
              <w:t>风速</w:t>
            </w:r>
            <w:r>
              <w:rPr>
                <w:rFonts w:hint="eastAsia"/>
                <w:color w:val="auto"/>
                <w:highlight w:val="none"/>
                <w:lang w:eastAsia="zh-CN"/>
              </w:rPr>
              <w:t>（</w:t>
            </w:r>
            <w:r>
              <w:rPr>
                <w:color w:val="auto"/>
                <w:highlight w:val="none"/>
              </w:rPr>
              <w:t>m/s</w:t>
            </w:r>
            <w:r>
              <w:rPr>
                <w:rFonts w:hint="eastAsia"/>
                <w:color w:val="auto"/>
                <w:highlight w:val="none"/>
                <w:lang w:eastAsia="zh-CN"/>
              </w:rPr>
              <w:t>）</w:t>
            </w:r>
            <w:r>
              <w:rPr>
                <w:color w:val="auto"/>
                <w:highlight w:val="none"/>
              </w:rPr>
              <w:t>小时</w:t>
            </w:r>
            <w:r>
              <w:rPr>
                <w:rFonts w:hint="eastAsia"/>
                <w:color w:val="auto"/>
                <w:highlight w:val="none"/>
                <w:lang w:eastAsia="zh-CN"/>
              </w:rPr>
              <w:t>（</w:t>
            </w:r>
            <w:r>
              <w:rPr>
                <w:color w:val="auto"/>
                <w:highlight w:val="none"/>
              </w:rPr>
              <w:t>h</w:t>
            </w:r>
            <w:r>
              <w:rPr>
                <w:rFonts w:hint="eastAsia"/>
                <w:color w:val="auto"/>
                <w:highlight w:val="none"/>
                <w:lang w:eastAsia="zh-CN"/>
              </w:rPr>
              <w:t>）</w:t>
            </w:r>
          </w:p>
        </w:tc>
        <w:tc>
          <w:tcPr>
            <w:tcW w:w="992" w:type="dxa"/>
            <w:tcBorders>
              <w:tl2br w:val="nil"/>
              <w:tr2bl w:val="nil"/>
            </w:tcBorders>
            <w:shd w:val="clear" w:color="auto" w:fill="auto"/>
            <w:noWrap/>
            <w:vAlign w:val="center"/>
          </w:tcPr>
          <w:p w14:paraId="22DDEC98">
            <w:pPr>
              <w:pStyle w:val="41"/>
              <w:rPr>
                <w:color w:val="auto"/>
                <w:highlight w:val="none"/>
              </w:rPr>
            </w:pPr>
            <w:r>
              <w:rPr>
                <w:color w:val="auto"/>
                <w:highlight w:val="none"/>
              </w:rPr>
              <w:t>1</w:t>
            </w:r>
          </w:p>
        </w:tc>
        <w:tc>
          <w:tcPr>
            <w:tcW w:w="992" w:type="dxa"/>
            <w:tcBorders>
              <w:tl2br w:val="nil"/>
              <w:tr2bl w:val="nil"/>
            </w:tcBorders>
            <w:shd w:val="clear" w:color="auto" w:fill="auto"/>
            <w:noWrap/>
            <w:vAlign w:val="center"/>
          </w:tcPr>
          <w:p w14:paraId="36CA51D2">
            <w:pPr>
              <w:pStyle w:val="41"/>
              <w:rPr>
                <w:color w:val="auto"/>
                <w:highlight w:val="none"/>
              </w:rPr>
            </w:pPr>
            <w:r>
              <w:rPr>
                <w:color w:val="auto"/>
                <w:highlight w:val="none"/>
              </w:rPr>
              <w:t>2</w:t>
            </w:r>
          </w:p>
        </w:tc>
        <w:tc>
          <w:tcPr>
            <w:tcW w:w="993" w:type="dxa"/>
            <w:tcBorders>
              <w:tl2br w:val="nil"/>
              <w:tr2bl w:val="nil"/>
            </w:tcBorders>
            <w:shd w:val="clear" w:color="auto" w:fill="auto"/>
            <w:noWrap/>
            <w:vAlign w:val="center"/>
          </w:tcPr>
          <w:p w14:paraId="0AB1AD86">
            <w:pPr>
              <w:pStyle w:val="41"/>
              <w:rPr>
                <w:color w:val="auto"/>
                <w:highlight w:val="none"/>
              </w:rPr>
            </w:pPr>
            <w:r>
              <w:rPr>
                <w:color w:val="auto"/>
                <w:highlight w:val="none"/>
              </w:rPr>
              <w:t>3</w:t>
            </w:r>
          </w:p>
        </w:tc>
        <w:tc>
          <w:tcPr>
            <w:tcW w:w="993" w:type="dxa"/>
            <w:tcBorders>
              <w:tl2br w:val="nil"/>
              <w:tr2bl w:val="nil"/>
            </w:tcBorders>
            <w:shd w:val="clear" w:color="auto" w:fill="auto"/>
            <w:noWrap/>
            <w:vAlign w:val="center"/>
          </w:tcPr>
          <w:p w14:paraId="5D5AA50D">
            <w:pPr>
              <w:pStyle w:val="41"/>
              <w:rPr>
                <w:color w:val="auto"/>
                <w:highlight w:val="none"/>
              </w:rPr>
            </w:pPr>
            <w:r>
              <w:rPr>
                <w:color w:val="auto"/>
                <w:highlight w:val="none"/>
              </w:rPr>
              <w:t>4</w:t>
            </w:r>
          </w:p>
        </w:tc>
        <w:tc>
          <w:tcPr>
            <w:tcW w:w="993" w:type="dxa"/>
            <w:tcBorders>
              <w:tl2br w:val="nil"/>
              <w:tr2bl w:val="nil"/>
            </w:tcBorders>
            <w:shd w:val="clear" w:color="auto" w:fill="auto"/>
            <w:noWrap/>
            <w:vAlign w:val="center"/>
          </w:tcPr>
          <w:p w14:paraId="797AC67A">
            <w:pPr>
              <w:pStyle w:val="41"/>
              <w:rPr>
                <w:color w:val="auto"/>
                <w:highlight w:val="none"/>
              </w:rPr>
            </w:pPr>
            <w:r>
              <w:rPr>
                <w:color w:val="auto"/>
                <w:highlight w:val="none"/>
              </w:rPr>
              <w:t>5</w:t>
            </w:r>
          </w:p>
        </w:tc>
        <w:tc>
          <w:tcPr>
            <w:tcW w:w="993" w:type="dxa"/>
            <w:tcBorders>
              <w:tl2br w:val="nil"/>
              <w:tr2bl w:val="nil"/>
            </w:tcBorders>
            <w:shd w:val="clear" w:color="auto" w:fill="auto"/>
            <w:noWrap/>
            <w:vAlign w:val="center"/>
          </w:tcPr>
          <w:p w14:paraId="761D1F97">
            <w:pPr>
              <w:pStyle w:val="41"/>
              <w:rPr>
                <w:color w:val="auto"/>
                <w:highlight w:val="none"/>
              </w:rPr>
            </w:pPr>
            <w:r>
              <w:rPr>
                <w:color w:val="auto"/>
                <w:highlight w:val="none"/>
              </w:rPr>
              <w:t>6</w:t>
            </w:r>
          </w:p>
        </w:tc>
        <w:tc>
          <w:tcPr>
            <w:tcW w:w="993" w:type="dxa"/>
            <w:tcBorders>
              <w:tl2br w:val="nil"/>
              <w:tr2bl w:val="nil"/>
            </w:tcBorders>
            <w:shd w:val="clear" w:color="auto" w:fill="auto"/>
            <w:noWrap/>
            <w:vAlign w:val="center"/>
          </w:tcPr>
          <w:p w14:paraId="5651EC00">
            <w:pPr>
              <w:pStyle w:val="41"/>
              <w:rPr>
                <w:color w:val="auto"/>
                <w:highlight w:val="none"/>
              </w:rPr>
            </w:pPr>
            <w:r>
              <w:rPr>
                <w:color w:val="auto"/>
                <w:highlight w:val="none"/>
              </w:rPr>
              <w:t>7</w:t>
            </w:r>
          </w:p>
        </w:tc>
        <w:tc>
          <w:tcPr>
            <w:tcW w:w="993" w:type="dxa"/>
            <w:tcBorders>
              <w:tl2br w:val="nil"/>
              <w:tr2bl w:val="nil"/>
            </w:tcBorders>
            <w:shd w:val="clear" w:color="auto" w:fill="auto"/>
            <w:noWrap/>
            <w:vAlign w:val="center"/>
          </w:tcPr>
          <w:p w14:paraId="1FD7977D">
            <w:pPr>
              <w:pStyle w:val="41"/>
              <w:rPr>
                <w:color w:val="auto"/>
                <w:highlight w:val="none"/>
              </w:rPr>
            </w:pPr>
            <w:r>
              <w:rPr>
                <w:color w:val="auto"/>
                <w:highlight w:val="none"/>
              </w:rPr>
              <w:t>8</w:t>
            </w:r>
          </w:p>
        </w:tc>
        <w:tc>
          <w:tcPr>
            <w:tcW w:w="993" w:type="dxa"/>
            <w:tcBorders>
              <w:tl2br w:val="nil"/>
              <w:tr2bl w:val="nil"/>
            </w:tcBorders>
            <w:shd w:val="clear" w:color="auto" w:fill="auto"/>
            <w:noWrap/>
            <w:vAlign w:val="center"/>
          </w:tcPr>
          <w:p w14:paraId="2CDB67EF">
            <w:pPr>
              <w:pStyle w:val="41"/>
              <w:rPr>
                <w:color w:val="auto"/>
                <w:highlight w:val="none"/>
              </w:rPr>
            </w:pPr>
            <w:r>
              <w:rPr>
                <w:color w:val="auto"/>
                <w:highlight w:val="none"/>
              </w:rPr>
              <w:t>9</w:t>
            </w:r>
          </w:p>
        </w:tc>
        <w:tc>
          <w:tcPr>
            <w:tcW w:w="993" w:type="dxa"/>
            <w:tcBorders>
              <w:tl2br w:val="nil"/>
              <w:tr2bl w:val="nil"/>
            </w:tcBorders>
            <w:shd w:val="clear" w:color="auto" w:fill="auto"/>
            <w:noWrap/>
            <w:vAlign w:val="center"/>
          </w:tcPr>
          <w:p w14:paraId="782F0746">
            <w:pPr>
              <w:pStyle w:val="41"/>
              <w:rPr>
                <w:color w:val="auto"/>
                <w:highlight w:val="none"/>
              </w:rPr>
            </w:pPr>
            <w:r>
              <w:rPr>
                <w:color w:val="auto"/>
                <w:highlight w:val="none"/>
              </w:rPr>
              <w:t>10</w:t>
            </w:r>
          </w:p>
        </w:tc>
        <w:tc>
          <w:tcPr>
            <w:tcW w:w="993" w:type="dxa"/>
            <w:tcBorders>
              <w:tl2br w:val="nil"/>
              <w:tr2bl w:val="nil"/>
            </w:tcBorders>
            <w:shd w:val="clear" w:color="auto" w:fill="auto"/>
            <w:noWrap/>
            <w:vAlign w:val="center"/>
          </w:tcPr>
          <w:p w14:paraId="3F370543">
            <w:pPr>
              <w:pStyle w:val="41"/>
              <w:rPr>
                <w:color w:val="auto"/>
                <w:highlight w:val="none"/>
              </w:rPr>
            </w:pPr>
            <w:r>
              <w:rPr>
                <w:color w:val="auto"/>
                <w:highlight w:val="none"/>
              </w:rPr>
              <w:t>11</w:t>
            </w:r>
          </w:p>
        </w:tc>
        <w:tc>
          <w:tcPr>
            <w:tcW w:w="993" w:type="dxa"/>
            <w:tcBorders>
              <w:tl2br w:val="nil"/>
              <w:tr2bl w:val="nil"/>
            </w:tcBorders>
            <w:shd w:val="clear" w:color="auto" w:fill="auto"/>
            <w:noWrap/>
            <w:vAlign w:val="center"/>
          </w:tcPr>
          <w:p w14:paraId="3CD1A67E">
            <w:pPr>
              <w:pStyle w:val="41"/>
              <w:rPr>
                <w:color w:val="auto"/>
                <w:highlight w:val="none"/>
              </w:rPr>
            </w:pPr>
            <w:r>
              <w:rPr>
                <w:color w:val="auto"/>
                <w:highlight w:val="none"/>
              </w:rPr>
              <w:t>12</w:t>
            </w:r>
          </w:p>
        </w:tc>
      </w:tr>
      <w:tr w14:paraId="640458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2260" w:type="dxa"/>
            <w:tcBorders>
              <w:tl2br w:val="nil"/>
              <w:tr2bl w:val="nil"/>
            </w:tcBorders>
            <w:shd w:val="clear" w:color="auto" w:fill="auto"/>
            <w:noWrap/>
            <w:vAlign w:val="bottom"/>
          </w:tcPr>
          <w:p w14:paraId="0EA7B16D">
            <w:pPr>
              <w:pStyle w:val="41"/>
              <w:rPr>
                <w:color w:val="auto"/>
                <w:highlight w:val="none"/>
              </w:rPr>
            </w:pPr>
            <w:r>
              <w:rPr>
                <w:color w:val="auto"/>
                <w:highlight w:val="none"/>
              </w:rPr>
              <w:t xml:space="preserve">春季   </w:t>
            </w:r>
          </w:p>
        </w:tc>
        <w:tc>
          <w:tcPr>
            <w:tcW w:w="992" w:type="dxa"/>
            <w:tcBorders>
              <w:tl2br w:val="nil"/>
              <w:tr2bl w:val="nil"/>
            </w:tcBorders>
            <w:shd w:val="clear" w:color="auto" w:fill="auto"/>
            <w:noWrap/>
            <w:vAlign w:val="bottom"/>
          </w:tcPr>
          <w:p w14:paraId="524E4DC1">
            <w:pPr>
              <w:pStyle w:val="41"/>
              <w:rPr>
                <w:color w:val="auto"/>
                <w:highlight w:val="none"/>
              </w:rPr>
            </w:pPr>
            <w:r>
              <w:rPr>
                <w:color w:val="auto"/>
                <w:highlight w:val="none"/>
              </w:rPr>
              <w:t>1.85</w:t>
            </w:r>
          </w:p>
        </w:tc>
        <w:tc>
          <w:tcPr>
            <w:tcW w:w="992" w:type="dxa"/>
            <w:tcBorders>
              <w:tl2br w:val="nil"/>
              <w:tr2bl w:val="nil"/>
            </w:tcBorders>
            <w:shd w:val="clear" w:color="auto" w:fill="auto"/>
            <w:noWrap/>
            <w:vAlign w:val="bottom"/>
          </w:tcPr>
          <w:p w14:paraId="2109D6EE">
            <w:pPr>
              <w:pStyle w:val="41"/>
              <w:rPr>
                <w:color w:val="auto"/>
                <w:highlight w:val="none"/>
              </w:rPr>
            </w:pPr>
            <w:r>
              <w:rPr>
                <w:color w:val="auto"/>
                <w:highlight w:val="none"/>
              </w:rPr>
              <w:t>1.70</w:t>
            </w:r>
          </w:p>
        </w:tc>
        <w:tc>
          <w:tcPr>
            <w:tcW w:w="993" w:type="dxa"/>
            <w:tcBorders>
              <w:tl2br w:val="nil"/>
              <w:tr2bl w:val="nil"/>
            </w:tcBorders>
            <w:shd w:val="clear" w:color="auto" w:fill="auto"/>
            <w:noWrap/>
            <w:vAlign w:val="bottom"/>
          </w:tcPr>
          <w:p w14:paraId="11873EEE">
            <w:pPr>
              <w:pStyle w:val="41"/>
              <w:rPr>
                <w:color w:val="auto"/>
                <w:highlight w:val="none"/>
              </w:rPr>
            </w:pPr>
            <w:r>
              <w:rPr>
                <w:color w:val="auto"/>
                <w:highlight w:val="none"/>
              </w:rPr>
              <w:t>1.73</w:t>
            </w:r>
          </w:p>
        </w:tc>
        <w:tc>
          <w:tcPr>
            <w:tcW w:w="993" w:type="dxa"/>
            <w:tcBorders>
              <w:tl2br w:val="nil"/>
              <w:tr2bl w:val="nil"/>
            </w:tcBorders>
            <w:shd w:val="clear" w:color="auto" w:fill="auto"/>
            <w:noWrap/>
            <w:vAlign w:val="bottom"/>
          </w:tcPr>
          <w:p w14:paraId="0C85FB78">
            <w:pPr>
              <w:pStyle w:val="41"/>
              <w:rPr>
                <w:color w:val="auto"/>
                <w:highlight w:val="none"/>
              </w:rPr>
            </w:pPr>
            <w:r>
              <w:rPr>
                <w:color w:val="auto"/>
                <w:highlight w:val="none"/>
              </w:rPr>
              <w:t>1.63</w:t>
            </w:r>
          </w:p>
        </w:tc>
        <w:tc>
          <w:tcPr>
            <w:tcW w:w="993" w:type="dxa"/>
            <w:tcBorders>
              <w:tl2br w:val="nil"/>
              <w:tr2bl w:val="nil"/>
            </w:tcBorders>
            <w:shd w:val="clear" w:color="auto" w:fill="auto"/>
            <w:noWrap/>
            <w:vAlign w:val="bottom"/>
          </w:tcPr>
          <w:p w14:paraId="0B0CD741">
            <w:pPr>
              <w:pStyle w:val="41"/>
              <w:rPr>
                <w:color w:val="auto"/>
                <w:highlight w:val="none"/>
              </w:rPr>
            </w:pPr>
            <w:r>
              <w:rPr>
                <w:color w:val="auto"/>
                <w:highlight w:val="none"/>
              </w:rPr>
              <w:t>1.59</w:t>
            </w:r>
          </w:p>
        </w:tc>
        <w:tc>
          <w:tcPr>
            <w:tcW w:w="993" w:type="dxa"/>
            <w:tcBorders>
              <w:tl2br w:val="nil"/>
              <w:tr2bl w:val="nil"/>
            </w:tcBorders>
            <w:shd w:val="clear" w:color="auto" w:fill="auto"/>
            <w:noWrap/>
            <w:vAlign w:val="bottom"/>
          </w:tcPr>
          <w:p w14:paraId="06AA95FC">
            <w:pPr>
              <w:pStyle w:val="41"/>
              <w:rPr>
                <w:color w:val="auto"/>
                <w:highlight w:val="none"/>
              </w:rPr>
            </w:pPr>
            <w:r>
              <w:rPr>
                <w:color w:val="auto"/>
                <w:highlight w:val="none"/>
              </w:rPr>
              <w:t>1.48</w:t>
            </w:r>
          </w:p>
        </w:tc>
        <w:tc>
          <w:tcPr>
            <w:tcW w:w="993" w:type="dxa"/>
            <w:tcBorders>
              <w:tl2br w:val="nil"/>
              <w:tr2bl w:val="nil"/>
            </w:tcBorders>
            <w:shd w:val="clear" w:color="auto" w:fill="auto"/>
            <w:noWrap/>
            <w:vAlign w:val="bottom"/>
          </w:tcPr>
          <w:p w14:paraId="59488EF4">
            <w:pPr>
              <w:pStyle w:val="41"/>
              <w:rPr>
                <w:color w:val="auto"/>
                <w:highlight w:val="none"/>
              </w:rPr>
            </w:pPr>
            <w:r>
              <w:rPr>
                <w:color w:val="auto"/>
                <w:highlight w:val="none"/>
              </w:rPr>
              <w:t>1.53</w:t>
            </w:r>
          </w:p>
        </w:tc>
        <w:tc>
          <w:tcPr>
            <w:tcW w:w="993" w:type="dxa"/>
            <w:tcBorders>
              <w:tl2br w:val="nil"/>
              <w:tr2bl w:val="nil"/>
            </w:tcBorders>
            <w:shd w:val="clear" w:color="auto" w:fill="auto"/>
            <w:noWrap/>
            <w:vAlign w:val="bottom"/>
          </w:tcPr>
          <w:p w14:paraId="4FA11F80">
            <w:pPr>
              <w:pStyle w:val="41"/>
              <w:rPr>
                <w:color w:val="auto"/>
                <w:highlight w:val="none"/>
              </w:rPr>
            </w:pPr>
            <w:r>
              <w:rPr>
                <w:color w:val="auto"/>
                <w:highlight w:val="none"/>
              </w:rPr>
              <w:t>1.68</w:t>
            </w:r>
          </w:p>
        </w:tc>
        <w:tc>
          <w:tcPr>
            <w:tcW w:w="993" w:type="dxa"/>
            <w:tcBorders>
              <w:tl2br w:val="nil"/>
              <w:tr2bl w:val="nil"/>
            </w:tcBorders>
            <w:shd w:val="clear" w:color="auto" w:fill="auto"/>
            <w:noWrap/>
            <w:vAlign w:val="bottom"/>
          </w:tcPr>
          <w:p w14:paraId="73424AD0">
            <w:pPr>
              <w:pStyle w:val="41"/>
              <w:rPr>
                <w:color w:val="auto"/>
                <w:highlight w:val="none"/>
              </w:rPr>
            </w:pPr>
            <w:r>
              <w:rPr>
                <w:color w:val="auto"/>
                <w:highlight w:val="none"/>
              </w:rPr>
              <w:t>1.94</w:t>
            </w:r>
          </w:p>
        </w:tc>
        <w:tc>
          <w:tcPr>
            <w:tcW w:w="993" w:type="dxa"/>
            <w:tcBorders>
              <w:tl2br w:val="nil"/>
              <w:tr2bl w:val="nil"/>
            </w:tcBorders>
            <w:shd w:val="clear" w:color="auto" w:fill="auto"/>
            <w:noWrap/>
            <w:vAlign w:val="bottom"/>
          </w:tcPr>
          <w:p w14:paraId="513CFB2F">
            <w:pPr>
              <w:pStyle w:val="41"/>
              <w:rPr>
                <w:color w:val="auto"/>
                <w:highlight w:val="none"/>
              </w:rPr>
            </w:pPr>
            <w:r>
              <w:rPr>
                <w:color w:val="auto"/>
                <w:highlight w:val="none"/>
              </w:rPr>
              <w:t>2.21</w:t>
            </w:r>
          </w:p>
        </w:tc>
        <w:tc>
          <w:tcPr>
            <w:tcW w:w="993" w:type="dxa"/>
            <w:tcBorders>
              <w:tl2br w:val="nil"/>
              <w:tr2bl w:val="nil"/>
            </w:tcBorders>
            <w:shd w:val="clear" w:color="auto" w:fill="auto"/>
            <w:noWrap/>
            <w:vAlign w:val="bottom"/>
          </w:tcPr>
          <w:p w14:paraId="2B7D0A06">
            <w:pPr>
              <w:pStyle w:val="41"/>
              <w:rPr>
                <w:color w:val="auto"/>
                <w:highlight w:val="none"/>
              </w:rPr>
            </w:pPr>
            <w:r>
              <w:rPr>
                <w:color w:val="auto"/>
                <w:highlight w:val="none"/>
              </w:rPr>
              <w:t>2.34</w:t>
            </w:r>
          </w:p>
        </w:tc>
        <w:tc>
          <w:tcPr>
            <w:tcW w:w="993" w:type="dxa"/>
            <w:tcBorders>
              <w:tl2br w:val="nil"/>
              <w:tr2bl w:val="nil"/>
            </w:tcBorders>
            <w:shd w:val="clear" w:color="auto" w:fill="auto"/>
            <w:noWrap/>
            <w:vAlign w:val="bottom"/>
          </w:tcPr>
          <w:p w14:paraId="76F65ABF">
            <w:pPr>
              <w:pStyle w:val="41"/>
              <w:rPr>
                <w:color w:val="auto"/>
                <w:highlight w:val="none"/>
              </w:rPr>
            </w:pPr>
            <w:r>
              <w:rPr>
                <w:color w:val="auto"/>
                <w:highlight w:val="none"/>
              </w:rPr>
              <w:t>2.55</w:t>
            </w:r>
          </w:p>
        </w:tc>
      </w:tr>
      <w:tr w14:paraId="735279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2260" w:type="dxa"/>
            <w:tcBorders>
              <w:tl2br w:val="nil"/>
              <w:tr2bl w:val="nil"/>
            </w:tcBorders>
            <w:shd w:val="clear" w:color="auto" w:fill="auto"/>
            <w:noWrap/>
            <w:vAlign w:val="bottom"/>
          </w:tcPr>
          <w:p w14:paraId="15B2147C">
            <w:pPr>
              <w:pStyle w:val="41"/>
              <w:rPr>
                <w:color w:val="auto"/>
                <w:highlight w:val="none"/>
              </w:rPr>
            </w:pPr>
            <w:r>
              <w:rPr>
                <w:color w:val="auto"/>
                <w:highlight w:val="none"/>
              </w:rPr>
              <w:t xml:space="preserve">夏季        </w:t>
            </w:r>
          </w:p>
        </w:tc>
        <w:tc>
          <w:tcPr>
            <w:tcW w:w="992" w:type="dxa"/>
            <w:tcBorders>
              <w:tl2br w:val="nil"/>
              <w:tr2bl w:val="nil"/>
            </w:tcBorders>
            <w:shd w:val="clear" w:color="auto" w:fill="auto"/>
            <w:noWrap/>
            <w:vAlign w:val="bottom"/>
          </w:tcPr>
          <w:p w14:paraId="6BC889E6">
            <w:pPr>
              <w:pStyle w:val="41"/>
              <w:rPr>
                <w:color w:val="auto"/>
                <w:highlight w:val="none"/>
              </w:rPr>
            </w:pPr>
            <w:r>
              <w:rPr>
                <w:color w:val="auto"/>
                <w:highlight w:val="none"/>
              </w:rPr>
              <w:t xml:space="preserve">1.58 </w:t>
            </w:r>
          </w:p>
        </w:tc>
        <w:tc>
          <w:tcPr>
            <w:tcW w:w="992" w:type="dxa"/>
            <w:tcBorders>
              <w:tl2br w:val="nil"/>
              <w:tr2bl w:val="nil"/>
            </w:tcBorders>
            <w:shd w:val="clear" w:color="auto" w:fill="auto"/>
            <w:noWrap/>
            <w:vAlign w:val="bottom"/>
          </w:tcPr>
          <w:p w14:paraId="075F26E2">
            <w:pPr>
              <w:pStyle w:val="41"/>
              <w:rPr>
                <w:color w:val="auto"/>
                <w:highlight w:val="none"/>
              </w:rPr>
            </w:pPr>
            <w:r>
              <w:rPr>
                <w:color w:val="auto"/>
                <w:highlight w:val="none"/>
              </w:rPr>
              <w:t xml:space="preserve">1.62 </w:t>
            </w:r>
          </w:p>
        </w:tc>
        <w:tc>
          <w:tcPr>
            <w:tcW w:w="993" w:type="dxa"/>
            <w:tcBorders>
              <w:tl2br w:val="nil"/>
              <w:tr2bl w:val="nil"/>
            </w:tcBorders>
            <w:shd w:val="clear" w:color="auto" w:fill="auto"/>
            <w:noWrap/>
            <w:vAlign w:val="bottom"/>
          </w:tcPr>
          <w:p w14:paraId="686355FC">
            <w:pPr>
              <w:pStyle w:val="41"/>
              <w:rPr>
                <w:color w:val="auto"/>
                <w:highlight w:val="none"/>
              </w:rPr>
            </w:pPr>
            <w:r>
              <w:rPr>
                <w:color w:val="auto"/>
                <w:highlight w:val="none"/>
              </w:rPr>
              <w:t xml:space="preserve">1.63 </w:t>
            </w:r>
          </w:p>
        </w:tc>
        <w:tc>
          <w:tcPr>
            <w:tcW w:w="993" w:type="dxa"/>
            <w:tcBorders>
              <w:tl2br w:val="nil"/>
              <w:tr2bl w:val="nil"/>
            </w:tcBorders>
            <w:shd w:val="clear" w:color="auto" w:fill="auto"/>
            <w:noWrap/>
            <w:vAlign w:val="bottom"/>
          </w:tcPr>
          <w:p w14:paraId="45E692FE">
            <w:pPr>
              <w:pStyle w:val="41"/>
              <w:rPr>
                <w:color w:val="auto"/>
                <w:highlight w:val="none"/>
              </w:rPr>
            </w:pPr>
            <w:r>
              <w:rPr>
                <w:color w:val="auto"/>
                <w:highlight w:val="none"/>
              </w:rPr>
              <w:t xml:space="preserve">1.43 </w:t>
            </w:r>
          </w:p>
        </w:tc>
        <w:tc>
          <w:tcPr>
            <w:tcW w:w="993" w:type="dxa"/>
            <w:tcBorders>
              <w:tl2br w:val="nil"/>
              <w:tr2bl w:val="nil"/>
            </w:tcBorders>
            <w:shd w:val="clear" w:color="auto" w:fill="auto"/>
            <w:noWrap/>
            <w:vAlign w:val="bottom"/>
          </w:tcPr>
          <w:p w14:paraId="39A1EA13">
            <w:pPr>
              <w:pStyle w:val="41"/>
              <w:rPr>
                <w:color w:val="auto"/>
                <w:highlight w:val="none"/>
              </w:rPr>
            </w:pPr>
            <w:r>
              <w:rPr>
                <w:color w:val="auto"/>
                <w:highlight w:val="none"/>
              </w:rPr>
              <w:t xml:space="preserve">1.38 </w:t>
            </w:r>
          </w:p>
        </w:tc>
        <w:tc>
          <w:tcPr>
            <w:tcW w:w="993" w:type="dxa"/>
            <w:tcBorders>
              <w:tl2br w:val="nil"/>
              <w:tr2bl w:val="nil"/>
            </w:tcBorders>
            <w:shd w:val="clear" w:color="auto" w:fill="auto"/>
            <w:noWrap/>
            <w:vAlign w:val="bottom"/>
          </w:tcPr>
          <w:p w14:paraId="139D9F8A">
            <w:pPr>
              <w:pStyle w:val="41"/>
              <w:rPr>
                <w:color w:val="auto"/>
                <w:highlight w:val="none"/>
              </w:rPr>
            </w:pPr>
            <w:r>
              <w:rPr>
                <w:color w:val="auto"/>
                <w:highlight w:val="none"/>
              </w:rPr>
              <w:t xml:space="preserve">1.29 </w:t>
            </w:r>
          </w:p>
        </w:tc>
        <w:tc>
          <w:tcPr>
            <w:tcW w:w="993" w:type="dxa"/>
            <w:tcBorders>
              <w:tl2br w:val="nil"/>
              <w:tr2bl w:val="nil"/>
            </w:tcBorders>
            <w:shd w:val="clear" w:color="auto" w:fill="auto"/>
            <w:noWrap/>
            <w:vAlign w:val="bottom"/>
          </w:tcPr>
          <w:p w14:paraId="20FE334C">
            <w:pPr>
              <w:pStyle w:val="41"/>
              <w:rPr>
                <w:color w:val="auto"/>
                <w:highlight w:val="none"/>
              </w:rPr>
            </w:pPr>
            <w:r>
              <w:rPr>
                <w:color w:val="auto"/>
                <w:highlight w:val="none"/>
              </w:rPr>
              <w:t xml:space="preserve">1.22 </w:t>
            </w:r>
          </w:p>
        </w:tc>
        <w:tc>
          <w:tcPr>
            <w:tcW w:w="993" w:type="dxa"/>
            <w:tcBorders>
              <w:tl2br w:val="nil"/>
              <w:tr2bl w:val="nil"/>
            </w:tcBorders>
            <w:shd w:val="clear" w:color="auto" w:fill="auto"/>
            <w:noWrap/>
            <w:vAlign w:val="bottom"/>
          </w:tcPr>
          <w:p w14:paraId="5302ACFF">
            <w:pPr>
              <w:pStyle w:val="41"/>
              <w:rPr>
                <w:color w:val="auto"/>
                <w:highlight w:val="none"/>
              </w:rPr>
            </w:pPr>
            <w:r>
              <w:rPr>
                <w:color w:val="auto"/>
                <w:highlight w:val="none"/>
              </w:rPr>
              <w:t xml:space="preserve">1.48 </w:t>
            </w:r>
          </w:p>
        </w:tc>
        <w:tc>
          <w:tcPr>
            <w:tcW w:w="993" w:type="dxa"/>
            <w:tcBorders>
              <w:tl2br w:val="nil"/>
              <w:tr2bl w:val="nil"/>
            </w:tcBorders>
            <w:shd w:val="clear" w:color="auto" w:fill="auto"/>
            <w:noWrap/>
            <w:vAlign w:val="bottom"/>
          </w:tcPr>
          <w:p w14:paraId="28B389EE">
            <w:pPr>
              <w:pStyle w:val="41"/>
              <w:rPr>
                <w:color w:val="auto"/>
                <w:highlight w:val="none"/>
              </w:rPr>
            </w:pPr>
            <w:r>
              <w:rPr>
                <w:color w:val="auto"/>
                <w:highlight w:val="none"/>
              </w:rPr>
              <w:t xml:space="preserve">1.63 </w:t>
            </w:r>
          </w:p>
        </w:tc>
        <w:tc>
          <w:tcPr>
            <w:tcW w:w="993" w:type="dxa"/>
            <w:tcBorders>
              <w:tl2br w:val="nil"/>
              <w:tr2bl w:val="nil"/>
            </w:tcBorders>
            <w:shd w:val="clear" w:color="auto" w:fill="auto"/>
            <w:noWrap/>
            <w:vAlign w:val="bottom"/>
          </w:tcPr>
          <w:p w14:paraId="0ABF3A65">
            <w:pPr>
              <w:pStyle w:val="41"/>
              <w:rPr>
                <w:color w:val="auto"/>
                <w:highlight w:val="none"/>
              </w:rPr>
            </w:pPr>
            <w:r>
              <w:rPr>
                <w:color w:val="auto"/>
                <w:highlight w:val="none"/>
              </w:rPr>
              <w:t xml:space="preserve">1.94 </w:t>
            </w:r>
          </w:p>
        </w:tc>
        <w:tc>
          <w:tcPr>
            <w:tcW w:w="993" w:type="dxa"/>
            <w:tcBorders>
              <w:tl2br w:val="nil"/>
              <w:tr2bl w:val="nil"/>
            </w:tcBorders>
            <w:shd w:val="clear" w:color="auto" w:fill="auto"/>
            <w:noWrap/>
            <w:vAlign w:val="bottom"/>
          </w:tcPr>
          <w:p w14:paraId="652FDA61">
            <w:pPr>
              <w:pStyle w:val="41"/>
              <w:rPr>
                <w:color w:val="auto"/>
                <w:highlight w:val="none"/>
              </w:rPr>
            </w:pPr>
            <w:r>
              <w:rPr>
                <w:color w:val="auto"/>
                <w:highlight w:val="none"/>
              </w:rPr>
              <w:t xml:space="preserve">2.04 </w:t>
            </w:r>
          </w:p>
        </w:tc>
        <w:tc>
          <w:tcPr>
            <w:tcW w:w="993" w:type="dxa"/>
            <w:tcBorders>
              <w:tl2br w:val="nil"/>
              <w:tr2bl w:val="nil"/>
            </w:tcBorders>
            <w:shd w:val="clear" w:color="auto" w:fill="auto"/>
            <w:noWrap/>
            <w:vAlign w:val="bottom"/>
          </w:tcPr>
          <w:p w14:paraId="77D9A316">
            <w:pPr>
              <w:pStyle w:val="41"/>
              <w:rPr>
                <w:color w:val="auto"/>
                <w:highlight w:val="none"/>
              </w:rPr>
            </w:pPr>
            <w:r>
              <w:rPr>
                <w:color w:val="auto"/>
                <w:highlight w:val="none"/>
              </w:rPr>
              <w:t xml:space="preserve">2.09 </w:t>
            </w:r>
          </w:p>
        </w:tc>
      </w:tr>
      <w:tr w14:paraId="007DAC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2260" w:type="dxa"/>
            <w:tcBorders>
              <w:tl2br w:val="nil"/>
              <w:tr2bl w:val="nil"/>
            </w:tcBorders>
            <w:shd w:val="clear" w:color="auto" w:fill="auto"/>
            <w:noWrap/>
            <w:vAlign w:val="bottom"/>
          </w:tcPr>
          <w:p w14:paraId="3E15B735">
            <w:pPr>
              <w:pStyle w:val="41"/>
              <w:rPr>
                <w:color w:val="auto"/>
                <w:highlight w:val="none"/>
              </w:rPr>
            </w:pPr>
            <w:r>
              <w:rPr>
                <w:color w:val="auto"/>
                <w:highlight w:val="none"/>
              </w:rPr>
              <w:t xml:space="preserve">秋季                </w:t>
            </w:r>
          </w:p>
        </w:tc>
        <w:tc>
          <w:tcPr>
            <w:tcW w:w="992" w:type="dxa"/>
            <w:tcBorders>
              <w:tl2br w:val="nil"/>
              <w:tr2bl w:val="nil"/>
            </w:tcBorders>
            <w:shd w:val="clear" w:color="auto" w:fill="auto"/>
            <w:noWrap/>
            <w:vAlign w:val="bottom"/>
          </w:tcPr>
          <w:p w14:paraId="62223ADA">
            <w:pPr>
              <w:pStyle w:val="41"/>
              <w:rPr>
                <w:color w:val="auto"/>
                <w:highlight w:val="none"/>
              </w:rPr>
            </w:pPr>
            <w:r>
              <w:rPr>
                <w:color w:val="auto"/>
                <w:highlight w:val="none"/>
              </w:rPr>
              <w:t xml:space="preserve">1.29 </w:t>
            </w:r>
          </w:p>
        </w:tc>
        <w:tc>
          <w:tcPr>
            <w:tcW w:w="992" w:type="dxa"/>
            <w:tcBorders>
              <w:tl2br w:val="nil"/>
              <w:tr2bl w:val="nil"/>
            </w:tcBorders>
            <w:shd w:val="clear" w:color="auto" w:fill="auto"/>
            <w:noWrap/>
            <w:vAlign w:val="bottom"/>
          </w:tcPr>
          <w:p w14:paraId="5638ABCA">
            <w:pPr>
              <w:pStyle w:val="41"/>
              <w:rPr>
                <w:color w:val="auto"/>
                <w:highlight w:val="none"/>
              </w:rPr>
            </w:pPr>
            <w:r>
              <w:rPr>
                <w:color w:val="auto"/>
                <w:highlight w:val="none"/>
              </w:rPr>
              <w:t xml:space="preserve">1.27 </w:t>
            </w:r>
          </w:p>
        </w:tc>
        <w:tc>
          <w:tcPr>
            <w:tcW w:w="993" w:type="dxa"/>
            <w:tcBorders>
              <w:tl2br w:val="nil"/>
              <w:tr2bl w:val="nil"/>
            </w:tcBorders>
            <w:shd w:val="clear" w:color="auto" w:fill="auto"/>
            <w:noWrap/>
            <w:vAlign w:val="bottom"/>
          </w:tcPr>
          <w:p w14:paraId="5723421E">
            <w:pPr>
              <w:pStyle w:val="41"/>
              <w:rPr>
                <w:color w:val="auto"/>
                <w:highlight w:val="none"/>
              </w:rPr>
            </w:pPr>
            <w:r>
              <w:rPr>
                <w:color w:val="auto"/>
                <w:highlight w:val="none"/>
              </w:rPr>
              <w:t xml:space="preserve">1.23 </w:t>
            </w:r>
          </w:p>
        </w:tc>
        <w:tc>
          <w:tcPr>
            <w:tcW w:w="993" w:type="dxa"/>
            <w:tcBorders>
              <w:tl2br w:val="nil"/>
              <w:tr2bl w:val="nil"/>
            </w:tcBorders>
            <w:shd w:val="clear" w:color="auto" w:fill="auto"/>
            <w:noWrap/>
            <w:vAlign w:val="bottom"/>
          </w:tcPr>
          <w:p w14:paraId="7EAC5BA7">
            <w:pPr>
              <w:pStyle w:val="41"/>
              <w:rPr>
                <w:color w:val="auto"/>
                <w:highlight w:val="none"/>
              </w:rPr>
            </w:pPr>
            <w:r>
              <w:rPr>
                <w:color w:val="auto"/>
                <w:highlight w:val="none"/>
              </w:rPr>
              <w:t xml:space="preserve">1.21 </w:t>
            </w:r>
          </w:p>
        </w:tc>
        <w:tc>
          <w:tcPr>
            <w:tcW w:w="993" w:type="dxa"/>
            <w:tcBorders>
              <w:tl2br w:val="nil"/>
              <w:tr2bl w:val="nil"/>
            </w:tcBorders>
            <w:shd w:val="clear" w:color="auto" w:fill="auto"/>
            <w:noWrap/>
            <w:vAlign w:val="bottom"/>
          </w:tcPr>
          <w:p w14:paraId="3544FEF1">
            <w:pPr>
              <w:pStyle w:val="41"/>
              <w:rPr>
                <w:color w:val="auto"/>
                <w:highlight w:val="none"/>
              </w:rPr>
            </w:pPr>
            <w:r>
              <w:rPr>
                <w:color w:val="auto"/>
                <w:highlight w:val="none"/>
              </w:rPr>
              <w:t xml:space="preserve">1.15 </w:t>
            </w:r>
          </w:p>
        </w:tc>
        <w:tc>
          <w:tcPr>
            <w:tcW w:w="993" w:type="dxa"/>
            <w:tcBorders>
              <w:tl2br w:val="nil"/>
              <w:tr2bl w:val="nil"/>
            </w:tcBorders>
            <w:shd w:val="clear" w:color="auto" w:fill="auto"/>
            <w:noWrap/>
            <w:vAlign w:val="bottom"/>
          </w:tcPr>
          <w:p w14:paraId="32F54555">
            <w:pPr>
              <w:pStyle w:val="41"/>
              <w:rPr>
                <w:color w:val="auto"/>
                <w:highlight w:val="none"/>
              </w:rPr>
            </w:pPr>
            <w:r>
              <w:rPr>
                <w:color w:val="auto"/>
                <w:highlight w:val="none"/>
              </w:rPr>
              <w:t xml:space="preserve">1.17 </w:t>
            </w:r>
          </w:p>
        </w:tc>
        <w:tc>
          <w:tcPr>
            <w:tcW w:w="993" w:type="dxa"/>
            <w:tcBorders>
              <w:tl2br w:val="nil"/>
              <w:tr2bl w:val="nil"/>
            </w:tcBorders>
            <w:shd w:val="clear" w:color="auto" w:fill="auto"/>
            <w:noWrap/>
            <w:vAlign w:val="bottom"/>
          </w:tcPr>
          <w:p w14:paraId="0671A94C">
            <w:pPr>
              <w:pStyle w:val="41"/>
              <w:rPr>
                <w:color w:val="auto"/>
                <w:highlight w:val="none"/>
              </w:rPr>
            </w:pPr>
            <w:r>
              <w:rPr>
                <w:color w:val="auto"/>
                <w:highlight w:val="none"/>
              </w:rPr>
              <w:t xml:space="preserve">1.20 </w:t>
            </w:r>
          </w:p>
        </w:tc>
        <w:tc>
          <w:tcPr>
            <w:tcW w:w="993" w:type="dxa"/>
            <w:tcBorders>
              <w:tl2br w:val="nil"/>
              <w:tr2bl w:val="nil"/>
            </w:tcBorders>
            <w:shd w:val="clear" w:color="auto" w:fill="auto"/>
            <w:noWrap/>
            <w:vAlign w:val="bottom"/>
          </w:tcPr>
          <w:p w14:paraId="51786CCD">
            <w:pPr>
              <w:pStyle w:val="41"/>
              <w:rPr>
                <w:color w:val="auto"/>
                <w:highlight w:val="none"/>
              </w:rPr>
            </w:pPr>
            <w:r>
              <w:rPr>
                <w:color w:val="auto"/>
                <w:highlight w:val="none"/>
              </w:rPr>
              <w:t xml:space="preserve">1.11 </w:t>
            </w:r>
          </w:p>
        </w:tc>
        <w:tc>
          <w:tcPr>
            <w:tcW w:w="993" w:type="dxa"/>
            <w:tcBorders>
              <w:tl2br w:val="nil"/>
              <w:tr2bl w:val="nil"/>
            </w:tcBorders>
            <w:shd w:val="clear" w:color="auto" w:fill="auto"/>
            <w:noWrap/>
            <w:vAlign w:val="bottom"/>
          </w:tcPr>
          <w:p w14:paraId="13F2C40D">
            <w:pPr>
              <w:pStyle w:val="41"/>
              <w:rPr>
                <w:color w:val="auto"/>
                <w:highlight w:val="none"/>
              </w:rPr>
            </w:pPr>
            <w:r>
              <w:rPr>
                <w:color w:val="auto"/>
                <w:highlight w:val="none"/>
              </w:rPr>
              <w:t xml:space="preserve">1.41 </w:t>
            </w:r>
          </w:p>
        </w:tc>
        <w:tc>
          <w:tcPr>
            <w:tcW w:w="993" w:type="dxa"/>
            <w:tcBorders>
              <w:tl2br w:val="nil"/>
              <w:tr2bl w:val="nil"/>
            </w:tcBorders>
            <w:shd w:val="clear" w:color="auto" w:fill="auto"/>
            <w:noWrap/>
            <w:vAlign w:val="bottom"/>
          </w:tcPr>
          <w:p w14:paraId="6357D673">
            <w:pPr>
              <w:pStyle w:val="41"/>
              <w:rPr>
                <w:color w:val="auto"/>
                <w:highlight w:val="none"/>
              </w:rPr>
            </w:pPr>
            <w:r>
              <w:rPr>
                <w:color w:val="auto"/>
                <w:highlight w:val="none"/>
              </w:rPr>
              <w:t xml:space="preserve">1.74 </w:t>
            </w:r>
          </w:p>
        </w:tc>
        <w:tc>
          <w:tcPr>
            <w:tcW w:w="993" w:type="dxa"/>
            <w:tcBorders>
              <w:tl2br w:val="nil"/>
              <w:tr2bl w:val="nil"/>
            </w:tcBorders>
            <w:shd w:val="clear" w:color="auto" w:fill="auto"/>
            <w:noWrap/>
            <w:vAlign w:val="bottom"/>
          </w:tcPr>
          <w:p w14:paraId="3BCAEEAB">
            <w:pPr>
              <w:pStyle w:val="41"/>
              <w:rPr>
                <w:color w:val="auto"/>
                <w:highlight w:val="none"/>
              </w:rPr>
            </w:pPr>
            <w:r>
              <w:rPr>
                <w:color w:val="auto"/>
                <w:highlight w:val="none"/>
              </w:rPr>
              <w:t xml:space="preserve">2.06 </w:t>
            </w:r>
          </w:p>
        </w:tc>
        <w:tc>
          <w:tcPr>
            <w:tcW w:w="993" w:type="dxa"/>
            <w:tcBorders>
              <w:tl2br w:val="nil"/>
              <w:tr2bl w:val="nil"/>
            </w:tcBorders>
            <w:shd w:val="clear" w:color="auto" w:fill="auto"/>
            <w:noWrap/>
            <w:vAlign w:val="bottom"/>
          </w:tcPr>
          <w:p w14:paraId="7332D761">
            <w:pPr>
              <w:pStyle w:val="41"/>
              <w:rPr>
                <w:color w:val="auto"/>
                <w:highlight w:val="none"/>
              </w:rPr>
            </w:pPr>
            <w:r>
              <w:rPr>
                <w:color w:val="auto"/>
                <w:highlight w:val="none"/>
              </w:rPr>
              <w:t xml:space="preserve">2.08 </w:t>
            </w:r>
          </w:p>
        </w:tc>
      </w:tr>
      <w:tr w14:paraId="53EF70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2260" w:type="dxa"/>
            <w:tcBorders>
              <w:tl2br w:val="nil"/>
              <w:tr2bl w:val="nil"/>
            </w:tcBorders>
            <w:shd w:val="clear" w:color="auto" w:fill="auto"/>
            <w:noWrap/>
            <w:vAlign w:val="bottom"/>
          </w:tcPr>
          <w:p w14:paraId="704DE708">
            <w:pPr>
              <w:pStyle w:val="41"/>
              <w:rPr>
                <w:color w:val="auto"/>
                <w:highlight w:val="none"/>
              </w:rPr>
            </w:pPr>
            <w:r>
              <w:rPr>
                <w:color w:val="auto"/>
                <w:highlight w:val="none"/>
              </w:rPr>
              <w:t xml:space="preserve">冬季                </w:t>
            </w:r>
          </w:p>
        </w:tc>
        <w:tc>
          <w:tcPr>
            <w:tcW w:w="992" w:type="dxa"/>
            <w:tcBorders>
              <w:tl2br w:val="nil"/>
              <w:tr2bl w:val="nil"/>
            </w:tcBorders>
            <w:shd w:val="clear" w:color="auto" w:fill="auto"/>
            <w:noWrap/>
            <w:vAlign w:val="bottom"/>
          </w:tcPr>
          <w:p w14:paraId="77A518A3">
            <w:pPr>
              <w:pStyle w:val="41"/>
              <w:rPr>
                <w:color w:val="auto"/>
                <w:highlight w:val="none"/>
              </w:rPr>
            </w:pPr>
            <w:r>
              <w:rPr>
                <w:color w:val="auto"/>
                <w:highlight w:val="none"/>
              </w:rPr>
              <w:t xml:space="preserve">1.03 </w:t>
            </w:r>
          </w:p>
        </w:tc>
        <w:tc>
          <w:tcPr>
            <w:tcW w:w="992" w:type="dxa"/>
            <w:tcBorders>
              <w:tl2br w:val="nil"/>
              <w:tr2bl w:val="nil"/>
            </w:tcBorders>
            <w:shd w:val="clear" w:color="auto" w:fill="auto"/>
            <w:noWrap/>
            <w:vAlign w:val="bottom"/>
          </w:tcPr>
          <w:p w14:paraId="13AF1ED4">
            <w:pPr>
              <w:pStyle w:val="41"/>
              <w:rPr>
                <w:color w:val="auto"/>
                <w:highlight w:val="none"/>
              </w:rPr>
            </w:pPr>
            <w:r>
              <w:rPr>
                <w:color w:val="auto"/>
                <w:highlight w:val="none"/>
              </w:rPr>
              <w:t xml:space="preserve">1.00 </w:t>
            </w:r>
          </w:p>
        </w:tc>
        <w:tc>
          <w:tcPr>
            <w:tcW w:w="993" w:type="dxa"/>
            <w:tcBorders>
              <w:tl2br w:val="nil"/>
              <w:tr2bl w:val="nil"/>
            </w:tcBorders>
            <w:shd w:val="clear" w:color="auto" w:fill="auto"/>
            <w:noWrap/>
            <w:vAlign w:val="bottom"/>
          </w:tcPr>
          <w:p w14:paraId="403E5700">
            <w:pPr>
              <w:pStyle w:val="41"/>
              <w:rPr>
                <w:color w:val="auto"/>
                <w:highlight w:val="none"/>
              </w:rPr>
            </w:pPr>
            <w:r>
              <w:rPr>
                <w:color w:val="auto"/>
                <w:highlight w:val="none"/>
              </w:rPr>
              <w:t xml:space="preserve">0.98 </w:t>
            </w:r>
          </w:p>
        </w:tc>
        <w:tc>
          <w:tcPr>
            <w:tcW w:w="993" w:type="dxa"/>
            <w:tcBorders>
              <w:tl2br w:val="nil"/>
              <w:tr2bl w:val="nil"/>
            </w:tcBorders>
            <w:shd w:val="clear" w:color="auto" w:fill="auto"/>
            <w:noWrap/>
            <w:vAlign w:val="bottom"/>
          </w:tcPr>
          <w:p w14:paraId="329C6661">
            <w:pPr>
              <w:pStyle w:val="41"/>
              <w:rPr>
                <w:color w:val="auto"/>
                <w:highlight w:val="none"/>
              </w:rPr>
            </w:pPr>
            <w:r>
              <w:rPr>
                <w:color w:val="auto"/>
                <w:highlight w:val="none"/>
              </w:rPr>
              <w:t xml:space="preserve">0.99 </w:t>
            </w:r>
          </w:p>
        </w:tc>
        <w:tc>
          <w:tcPr>
            <w:tcW w:w="993" w:type="dxa"/>
            <w:tcBorders>
              <w:tl2br w:val="nil"/>
              <w:tr2bl w:val="nil"/>
            </w:tcBorders>
            <w:shd w:val="clear" w:color="auto" w:fill="auto"/>
            <w:noWrap/>
            <w:vAlign w:val="bottom"/>
          </w:tcPr>
          <w:p w14:paraId="351066BD">
            <w:pPr>
              <w:pStyle w:val="41"/>
              <w:rPr>
                <w:color w:val="auto"/>
                <w:highlight w:val="none"/>
              </w:rPr>
            </w:pPr>
            <w:r>
              <w:rPr>
                <w:color w:val="auto"/>
                <w:highlight w:val="none"/>
              </w:rPr>
              <w:t xml:space="preserve">0.95 </w:t>
            </w:r>
          </w:p>
        </w:tc>
        <w:tc>
          <w:tcPr>
            <w:tcW w:w="993" w:type="dxa"/>
            <w:tcBorders>
              <w:tl2br w:val="nil"/>
              <w:tr2bl w:val="nil"/>
            </w:tcBorders>
            <w:shd w:val="clear" w:color="auto" w:fill="auto"/>
            <w:noWrap/>
            <w:vAlign w:val="bottom"/>
          </w:tcPr>
          <w:p w14:paraId="51422FC9">
            <w:pPr>
              <w:pStyle w:val="41"/>
              <w:rPr>
                <w:color w:val="auto"/>
                <w:highlight w:val="none"/>
              </w:rPr>
            </w:pPr>
            <w:r>
              <w:rPr>
                <w:color w:val="auto"/>
                <w:highlight w:val="none"/>
              </w:rPr>
              <w:t xml:space="preserve">0.95 </w:t>
            </w:r>
          </w:p>
        </w:tc>
        <w:tc>
          <w:tcPr>
            <w:tcW w:w="993" w:type="dxa"/>
            <w:tcBorders>
              <w:tl2br w:val="nil"/>
              <w:tr2bl w:val="nil"/>
            </w:tcBorders>
            <w:shd w:val="clear" w:color="auto" w:fill="auto"/>
            <w:noWrap/>
            <w:vAlign w:val="bottom"/>
          </w:tcPr>
          <w:p w14:paraId="733004AA">
            <w:pPr>
              <w:pStyle w:val="41"/>
              <w:rPr>
                <w:color w:val="auto"/>
                <w:highlight w:val="none"/>
              </w:rPr>
            </w:pPr>
            <w:r>
              <w:rPr>
                <w:color w:val="auto"/>
                <w:highlight w:val="none"/>
              </w:rPr>
              <w:t xml:space="preserve">0.92 </w:t>
            </w:r>
          </w:p>
        </w:tc>
        <w:tc>
          <w:tcPr>
            <w:tcW w:w="993" w:type="dxa"/>
            <w:tcBorders>
              <w:tl2br w:val="nil"/>
              <w:tr2bl w:val="nil"/>
            </w:tcBorders>
            <w:shd w:val="clear" w:color="auto" w:fill="auto"/>
            <w:noWrap/>
            <w:vAlign w:val="bottom"/>
          </w:tcPr>
          <w:p w14:paraId="142FD503">
            <w:pPr>
              <w:pStyle w:val="41"/>
              <w:rPr>
                <w:color w:val="auto"/>
                <w:highlight w:val="none"/>
              </w:rPr>
            </w:pPr>
            <w:r>
              <w:rPr>
                <w:color w:val="auto"/>
                <w:highlight w:val="none"/>
              </w:rPr>
              <w:t xml:space="preserve">0.87 </w:t>
            </w:r>
          </w:p>
        </w:tc>
        <w:tc>
          <w:tcPr>
            <w:tcW w:w="993" w:type="dxa"/>
            <w:tcBorders>
              <w:tl2br w:val="nil"/>
              <w:tr2bl w:val="nil"/>
            </w:tcBorders>
            <w:shd w:val="clear" w:color="auto" w:fill="auto"/>
            <w:noWrap/>
            <w:vAlign w:val="bottom"/>
          </w:tcPr>
          <w:p w14:paraId="0A0B9342">
            <w:pPr>
              <w:pStyle w:val="41"/>
              <w:rPr>
                <w:color w:val="auto"/>
                <w:highlight w:val="none"/>
              </w:rPr>
            </w:pPr>
            <w:r>
              <w:rPr>
                <w:color w:val="auto"/>
                <w:highlight w:val="none"/>
              </w:rPr>
              <w:t xml:space="preserve">0.88 </w:t>
            </w:r>
          </w:p>
        </w:tc>
        <w:tc>
          <w:tcPr>
            <w:tcW w:w="993" w:type="dxa"/>
            <w:tcBorders>
              <w:tl2br w:val="nil"/>
              <w:tr2bl w:val="nil"/>
            </w:tcBorders>
            <w:shd w:val="clear" w:color="auto" w:fill="auto"/>
            <w:noWrap/>
            <w:vAlign w:val="bottom"/>
          </w:tcPr>
          <w:p w14:paraId="791D032B">
            <w:pPr>
              <w:pStyle w:val="41"/>
              <w:rPr>
                <w:color w:val="auto"/>
                <w:highlight w:val="none"/>
              </w:rPr>
            </w:pPr>
            <w:r>
              <w:rPr>
                <w:color w:val="auto"/>
                <w:highlight w:val="none"/>
              </w:rPr>
              <w:t xml:space="preserve">1.12 </w:t>
            </w:r>
          </w:p>
        </w:tc>
        <w:tc>
          <w:tcPr>
            <w:tcW w:w="993" w:type="dxa"/>
            <w:tcBorders>
              <w:tl2br w:val="nil"/>
              <w:tr2bl w:val="nil"/>
            </w:tcBorders>
            <w:shd w:val="clear" w:color="auto" w:fill="auto"/>
            <w:noWrap/>
            <w:vAlign w:val="bottom"/>
          </w:tcPr>
          <w:p w14:paraId="690F91AA">
            <w:pPr>
              <w:pStyle w:val="41"/>
              <w:rPr>
                <w:color w:val="auto"/>
                <w:highlight w:val="none"/>
              </w:rPr>
            </w:pPr>
            <w:r>
              <w:rPr>
                <w:color w:val="auto"/>
                <w:highlight w:val="none"/>
              </w:rPr>
              <w:t xml:space="preserve">1.43 </w:t>
            </w:r>
          </w:p>
        </w:tc>
        <w:tc>
          <w:tcPr>
            <w:tcW w:w="993" w:type="dxa"/>
            <w:tcBorders>
              <w:tl2br w:val="nil"/>
              <w:tr2bl w:val="nil"/>
            </w:tcBorders>
            <w:shd w:val="clear" w:color="auto" w:fill="auto"/>
            <w:noWrap/>
            <w:vAlign w:val="bottom"/>
          </w:tcPr>
          <w:p w14:paraId="15540924">
            <w:pPr>
              <w:pStyle w:val="41"/>
              <w:rPr>
                <w:color w:val="auto"/>
                <w:highlight w:val="none"/>
              </w:rPr>
            </w:pPr>
            <w:r>
              <w:rPr>
                <w:color w:val="auto"/>
                <w:highlight w:val="none"/>
              </w:rPr>
              <w:t xml:space="preserve">1.64 </w:t>
            </w:r>
          </w:p>
        </w:tc>
      </w:tr>
      <w:tr w14:paraId="0E3CB1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2260" w:type="dxa"/>
            <w:tcBorders>
              <w:tl2br w:val="nil"/>
              <w:tr2bl w:val="nil"/>
            </w:tcBorders>
            <w:shd w:val="clear" w:color="auto" w:fill="auto"/>
            <w:noWrap/>
            <w:vAlign w:val="center"/>
          </w:tcPr>
          <w:p w14:paraId="23BC218A">
            <w:pPr>
              <w:pStyle w:val="41"/>
              <w:rPr>
                <w:color w:val="auto"/>
                <w:highlight w:val="none"/>
              </w:rPr>
            </w:pPr>
            <w:r>
              <w:rPr>
                <w:color w:val="auto"/>
                <w:highlight w:val="none"/>
              </w:rPr>
              <w:t>风速</w:t>
            </w:r>
            <w:r>
              <w:rPr>
                <w:rFonts w:hint="eastAsia"/>
                <w:color w:val="auto"/>
                <w:highlight w:val="none"/>
                <w:lang w:eastAsia="zh-CN"/>
              </w:rPr>
              <w:t>（</w:t>
            </w:r>
            <w:r>
              <w:rPr>
                <w:color w:val="auto"/>
                <w:highlight w:val="none"/>
              </w:rPr>
              <w:t>m/s</w:t>
            </w:r>
            <w:r>
              <w:rPr>
                <w:rFonts w:hint="eastAsia"/>
                <w:color w:val="auto"/>
                <w:highlight w:val="none"/>
                <w:lang w:eastAsia="zh-CN"/>
              </w:rPr>
              <w:t>）</w:t>
            </w:r>
            <w:r>
              <w:rPr>
                <w:color w:val="auto"/>
                <w:highlight w:val="none"/>
              </w:rPr>
              <w:t xml:space="preserve">  小时</w:t>
            </w:r>
            <w:r>
              <w:rPr>
                <w:rFonts w:hint="eastAsia"/>
                <w:color w:val="auto"/>
                <w:highlight w:val="none"/>
                <w:lang w:eastAsia="zh-CN"/>
              </w:rPr>
              <w:t>（</w:t>
            </w:r>
            <w:r>
              <w:rPr>
                <w:color w:val="auto"/>
                <w:highlight w:val="none"/>
              </w:rPr>
              <w:t>h</w:t>
            </w:r>
            <w:r>
              <w:rPr>
                <w:rFonts w:hint="eastAsia"/>
                <w:color w:val="auto"/>
                <w:highlight w:val="none"/>
                <w:lang w:eastAsia="zh-CN"/>
              </w:rPr>
              <w:t>）</w:t>
            </w:r>
            <w:r>
              <w:rPr>
                <w:color w:val="auto"/>
                <w:highlight w:val="none"/>
              </w:rPr>
              <w:t xml:space="preserve">  </w:t>
            </w:r>
          </w:p>
        </w:tc>
        <w:tc>
          <w:tcPr>
            <w:tcW w:w="992" w:type="dxa"/>
            <w:tcBorders>
              <w:tl2br w:val="nil"/>
              <w:tr2bl w:val="nil"/>
            </w:tcBorders>
            <w:shd w:val="clear" w:color="auto" w:fill="auto"/>
            <w:noWrap/>
            <w:vAlign w:val="center"/>
          </w:tcPr>
          <w:p w14:paraId="035F7DB5">
            <w:pPr>
              <w:pStyle w:val="41"/>
              <w:rPr>
                <w:color w:val="auto"/>
                <w:highlight w:val="none"/>
              </w:rPr>
            </w:pPr>
            <w:r>
              <w:rPr>
                <w:color w:val="auto"/>
                <w:highlight w:val="none"/>
              </w:rPr>
              <w:t>13</w:t>
            </w:r>
          </w:p>
        </w:tc>
        <w:tc>
          <w:tcPr>
            <w:tcW w:w="992" w:type="dxa"/>
            <w:tcBorders>
              <w:tl2br w:val="nil"/>
              <w:tr2bl w:val="nil"/>
            </w:tcBorders>
            <w:shd w:val="clear" w:color="auto" w:fill="auto"/>
            <w:noWrap/>
            <w:vAlign w:val="center"/>
          </w:tcPr>
          <w:p w14:paraId="016642AD">
            <w:pPr>
              <w:pStyle w:val="41"/>
              <w:rPr>
                <w:color w:val="auto"/>
                <w:highlight w:val="none"/>
              </w:rPr>
            </w:pPr>
            <w:r>
              <w:rPr>
                <w:color w:val="auto"/>
                <w:highlight w:val="none"/>
              </w:rPr>
              <w:t>14</w:t>
            </w:r>
          </w:p>
        </w:tc>
        <w:tc>
          <w:tcPr>
            <w:tcW w:w="993" w:type="dxa"/>
            <w:tcBorders>
              <w:tl2br w:val="nil"/>
              <w:tr2bl w:val="nil"/>
            </w:tcBorders>
            <w:shd w:val="clear" w:color="auto" w:fill="auto"/>
            <w:noWrap/>
            <w:vAlign w:val="center"/>
          </w:tcPr>
          <w:p w14:paraId="4B18A9FC">
            <w:pPr>
              <w:pStyle w:val="41"/>
              <w:rPr>
                <w:color w:val="auto"/>
                <w:highlight w:val="none"/>
              </w:rPr>
            </w:pPr>
            <w:r>
              <w:rPr>
                <w:color w:val="auto"/>
                <w:highlight w:val="none"/>
              </w:rPr>
              <w:t>15</w:t>
            </w:r>
          </w:p>
        </w:tc>
        <w:tc>
          <w:tcPr>
            <w:tcW w:w="993" w:type="dxa"/>
            <w:tcBorders>
              <w:tl2br w:val="nil"/>
              <w:tr2bl w:val="nil"/>
            </w:tcBorders>
            <w:shd w:val="clear" w:color="auto" w:fill="auto"/>
            <w:noWrap/>
            <w:vAlign w:val="center"/>
          </w:tcPr>
          <w:p w14:paraId="0C3DF8CD">
            <w:pPr>
              <w:pStyle w:val="41"/>
              <w:rPr>
                <w:color w:val="auto"/>
                <w:highlight w:val="none"/>
              </w:rPr>
            </w:pPr>
            <w:r>
              <w:rPr>
                <w:color w:val="auto"/>
                <w:highlight w:val="none"/>
              </w:rPr>
              <w:t>16</w:t>
            </w:r>
          </w:p>
        </w:tc>
        <w:tc>
          <w:tcPr>
            <w:tcW w:w="993" w:type="dxa"/>
            <w:tcBorders>
              <w:tl2br w:val="nil"/>
              <w:tr2bl w:val="nil"/>
            </w:tcBorders>
            <w:shd w:val="clear" w:color="auto" w:fill="auto"/>
            <w:noWrap/>
            <w:vAlign w:val="center"/>
          </w:tcPr>
          <w:p w14:paraId="407E7DA8">
            <w:pPr>
              <w:pStyle w:val="41"/>
              <w:rPr>
                <w:color w:val="auto"/>
                <w:highlight w:val="none"/>
              </w:rPr>
            </w:pPr>
            <w:r>
              <w:rPr>
                <w:color w:val="auto"/>
                <w:highlight w:val="none"/>
              </w:rPr>
              <w:t>17</w:t>
            </w:r>
          </w:p>
        </w:tc>
        <w:tc>
          <w:tcPr>
            <w:tcW w:w="993" w:type="dxa"/>
            <w:tcBorders>
              <w:tl2br w:val="nil"/>
              <w:tr2bl w:val="nil"/>
            </w:tcBorders>
            <w:shd w:val="clear" w:color="auto" w:fill="auto"/>
            <w:noWrap/>
            <w:vAlign w:val="center"/>
          </w:tcPr>
          <w:p w14:paraId="4FA75DD0">
            <w:pPr>
              <w:pStyle w:val="41"/>
              <w:rPr>
                <w:color w:val="auto"/>
                <w:highlight w:val="none"/>
              </w:rPr>
            </w:pPr>
            <w:r>
              <w:rPr>
                <w:color w:val="auto"/>
                <w:highlight w:val="none"/>
              </w:rPr>
              <w:t>18</w:t>
            </w:r>
          </w:p>
        </w:tc>
        <w:tc>
          <w:tcPr>
            <w:tcW w:w="993" w:type="dxa"/>
            <w:tcBorders>
              <w:tl2br w:val="nil"/>
              <w:tr2bl w:val="nil"/>
            </w:tcBorders>
            <w:shd w:val="clear" w:color="auto" w:fill="auto"/>
            <w:noWrap/>
            <w:vAlign w:val="center"/>
          </w:tcPr>
          <w:p w14:paraId="62C6CED9">
            <w:pPr>
              <w:pStyle w:val="41"/>
              <w:rPr>
                <w:color w:val="auto"/>
                <w:highlight w:val="none"/>
              </w:rPr>
            </w:pPr>
            <w:r>
              <w:rPr>
                <w:color w:val="auto"/>
                <w:highlight w:val="none"/>
              </w:rPr>
              <w:t>19</w:t>
            </w:r>
          </w:p>
        </w:tc>
        <w:tc>
          <w:tcPr>
            <w:tcW w:w="993" w:type="dxa"/>
            <w:tcBorders>
              <w:tl2br w:val="nil"/>
              <w:tr2bl w:val="nil"/>
            </w:tcBorders>
            <w:shd w:val="clear" w:color="auto" w:fill="auto"/>
            <w:noWrap/>
            <w:vAlign w:val="center"/>
          </w:tcPr>
          <w:p w14:paraId="7FFA564F">
            <w:pPr>
              <w:pStyle w:val="41"/>
              <w:rPr>
                <w:color w:val="auto"/>
                <w:highlight w:val="none"/>
              </w:rPr>
            </w:pPr>
            <w:r>
              <w:rPr>
                <w:color w:val="auto"/>
                <w:highlight w:val="none"/>
              </w:rPr>
              <w:t>20</w:t>
            </w:r>
          </w:p>
        </w:tc>
        <w:tc>
          <w:tcPr>
            <w:tcW w:w="993" w:type="dxa"/>
            <w:tcBorders>
              <w:tl2br w:val="nil"/>
              <w:tr2bl w:val="nil"/>
            </w:tcBorders>
            <w:shd w:val="clear" w:color="auto" w:fill="auto"/>
            <w:noWrap/>
            <w:vAlign w:val="center"/>
          </w:tcPr>
          <w:p w14:paraId="41CE2217">
            <w:pPr>
              <w:pStyle w:val="41"/>
              <w:rPr>
                <w:color w:val="auto"/>
                <w:highlight w:val="none"/>
              </w:rPr>
            </w:pPr>
            <w:r>
              <w:rPr>
                <w:color w:val="auto"/>
                <w:highlight w:val="none"/>
              </w:rPr>
              <w:t>21</w:t>
            </w:r>
          </w:p>
        </w:tc>
        <w:tc>
          <w:tcPr>
            <w:tcW w:w="993" w:type="dxa"/>
            <w:tcBorders>
              <w:tl2br w:val="nil"/>
              <w:tr2bl w:val="nil"/>
            </w:tcBorders>
            <w:shd w:val="clear" w:color="auto" w:fill="auto"/>
            <w:noWrap/>
            <w:vAlign w:val="center"/>
          </w:tcPr>
          <w:p w14:paraId="1BFE9CE8">
            <w:pPr>
              <w:pStyle w:val="41"/>
              <w:rPr>
                <w:color w:val="auto"/>
                <w:highlight w:val="none"/>
              </w:rPr>
            </w:pPr>
            <w:r>
              <w:rPr>
                <w:color w:val="auto"/>
                <w:highlight w:val="none"/>
              </w:rPr>
              <w:t>22</w:t>
            </w:r>
          </w:p>
        </w:tc>
        <w:tc>
          <w:tcPr>
            <w:tcW w:w="993" w:type="dxa"/>
            <w:tcBorders>
              <w:tl2br w:val="nil"/>
              <w:tr2bl w:val="nil"/>
            </w:tcBorders>
            <w:shd w:val="clear" w:color="auto" w:fill="auto"/>
            <w:noWrap/>
            <w:vAlign w:val="center"/>
          </w:tcPr>
          <w:p w14:paraId="11D62DE0">
            <w:pPr>
              <w:pStyle w:val="41"/>
              <w:rPr>
                <w:color w:val="auto"/>
                <w:highlight w:val="none"/>
              </w:rPr>
            </w:pPr>
            <w:r>
              <w:rPr>
                <w:color w:val="auto"/>
                <w:highlight w:val="none"/>
              </w:rPr>
              <w:t>23</w:t>
            </w:r>
          </w:p>
        </w:tc>
        <w:tc>
          <w:tcPr>
            <w:tcW w:w="993" w:type="dxa"/>
            <w:tcBorders>
              <w:tl2br w:val="nil"/>
              <w:tr2bl w:val="nil"/>
            </w:tcBorders>
            <w:shd w:val="clear" w:color="auto" w:fill="auto"/>
            <w:noWrap/>
            <w:vAlign w:val="center"/>
          </w:tcPr>
          <w:p w14:paraId="60AAA9B0">
            <w:pPr>
              <w:pStyle w:val="41"/>
              <w:rPr>
                <w:color w:val="auto"/>
                <w:highlight w:val="none"/>
              </w:rPr>
            </w:pPr>
            <w:r>
              <w:rPr>
                <w:color w:val="auto"/>
                <w:highlight w:val="none"/>
              </w:rPr>
              <w:t>24</w:t>
            </w:r>
          </w:p>
        </w:tc>
      </w:tr>
      <w:tr w14:paraId="10105E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2260" w:type="dxa"/>
            <w:tcBorders>
              <w:tl2br w:val="nil"/>
              <w:tr2bl w:val="nil"/>
            </w:tcBorders>
            <w:shd w:val="clear" w:color="auto" w:fill="auto"/>
            <w:noWrap/>
            <w:vAlign w:val="bottom"/>
          </w:tcPr>
          <w:p w14:paraId="496FC9C3">
            <w:pPr>
              <w:pStyle w:val="41"/>
              <w:rPr>
                <w:color w:val="auto"/>
                <w:highlight w:val="none"/>
              </w:rPr>
            </w:pPr>
            <w:r>
              <w:rPr>
                <w:color w:val="auto"/>
                <w:highlight w:val="none"/>
              </w:rPr>
              <w:t xml:space="preserve">春季                </w:t>
            </w:r>
          </w:p>
        </w:tc>
        <w:tc>
          <w:tcPr>
            <w:tcW w:w="992" w:type="dxa"/>
            <w:tcBorders>
              <w:tl2br w:val="nil"/>
              <w:tr2bl w:val="nil"/>
            </w:tcBorders>
            <w:shd w:val="clear" w:color="auto" w:fill="auto"/>
            <w:noWrap/>
            <w:vAlign w:val="bottom"/>
          </w:tcPr>
          <w:p w14:paraId="609C20E5">
            <w:pPr>
              <w:pStyle w:val="41"/>
              <w:rPr>
                <w:color w:val="auto"/>
                <w:highlight w:val="none"/>
              </w:rPr>
            </w:pPr>
            <w:r>
              <w:rPr>
                <w:color w:val="auto"/>
                <w:highlight w:val="none"/>
              </w:rPr>
              <w:t xml:space="preserve">2.65 </w:t>
            </w:r>
          </w:p>
        </w:tc>
        <w:tc>
          <w:tcPr>
            <w:tcW w:w="992" w:type="dxa"/>
            <w:tcBorders>
              <w:tl2br w:val="nil"/>
              <w:tr2bl w:val="nil"/>
            </w:tcBorders>
            <w:shd w:val="clear" w:color="auto" w:fill="auto"/>
            <w:noWrap/>
            <w:vAlign w:val="bottom"/>
          </w:tcPr>
          <w:p w14:paraId="60A6CFF9">
            <w:pPr>
              <w:pStyle w:val="41"/>
              <w:rPr>
                <w:color w:val="auto"/>
                <w:highlight w:val="none"/>
              </w:rPr>
            </w:pPr>
            <w:r>
              <w:rPr>
                <w:color w:val="auto"/>
                <w:highlight w:val="none"/>
              </w:rPr>
              <w:t xml:space="preserve">2.67 </w:t>
            </w:r>
          </w:p>
        </w:tc>
        <w:tc>
          <w:tcPr>
            <w:tcW w:w="993" w:type="dxa"/>
            <w:tcBorders>
              <w:tl2br w:val="nil"/>
              <w:tr2bl w:val="nil"/>
            </w:tcBorders>
            <w:shd w:val="clear" w:color="auto" w:fill="auto"/>
            <w:noWrap/>
            <w:vAlign w:val="bottom"/>
          </w:tcPr>
          <w:p w14:paraId="7A857B0A">
            <w:pPr>
              <w:pStyle w:val="41"/>
              <w:rPr>
                <w:color w:val="auto"/>
                <w:highlight w:val="none"/>
              </w:rPr>
            </w:pPr>
            <w:r>
              <w:rPr>
                <w:color w:val="auto"/>
                <w:highlight w:val="none"/>
              </w:rPr>
              <w:t xml:space="preserve">2.65 </w:t>
            </w:r>
          </w:p>
        </w:tc>
        <w:tc>
          <w:tcPr>
            <w:tcW w:w="993" w:type="dxa"/>
            <w:tcBorders>
              <w:tl2br w:val="nil"/>
              <w:tr2bl w:val="nil"/>
            </w:tcBorders>
            <w:shd w:val="clear" w:color="auto" w:fill="auto"/>
            <w:noWrap/>
            <w:vAlign w:val="bottom"/>
          </w:tcPr>
          <w:p w14:paraId="6DCE2AF0">
            <w:pPr>
              <w:pStyle w:val="41"/>
              <w:rPr>
                <w:color w:val="auto"/>
                <w:highlight w:val="none"/>
              </w:rPr>
            </w:pPr>
            <w:r>
              <w:rPr>
                <w:color w:val="auto"/>
                <w:highlight w:val="none"/>
              </w:rPr>
              <w:t xml:space="preserve">2.64 </w:t>
            </w:r>
          </w:p>
        </w:tc>
        <w:tc>
          <w:tcPr>
            <w:tcW w:w="993" w:type="dxa"/>
            <w:tcBorders>
              <w:tl2br w:val="nil"/>
              <w:tr2bl w:val="nil"/>
            </w:tcBorders>
            <w:shd w:val="clear" w:color="auto" w:fill="auto"/>
            <w:noWrap/>
            <w:vAlign w:val="bottom"/>
          </w:tcPr>
          <w:p w14:paraId="19522037">
            <w:pPr>
              <w:pStyle w:val="41"/>
              <w:rPr>
                <w:color w:val="auto"/>
                <w:highlight w:val="none"/>
              </w:rPr>
            </w:pPr>
            <w:r>
              <w:rPr>
                <w:color w:val="auto"/>
                <w:highlight w:val="none"/>
              </w:rPr>
              <w:t xml:space="preserve">2.39 </w:t>
            </w:r>
          </w:p>
        </w:tc>
        <w:tc>
          <w:tcPr>
            <w:tcW w:w="993" w:type="dxa"/>
            <w:tcBorders>
              <w:tl2br w:val="nil"/>
              <w:tr2bl w:val="nil"/>
            </w:tcBorders>
            <w:shd w:val="clear" w:color="auto" w:fill="auto"/>
            <w:noWrap/>
            <w:vAlign w:val="bottom"/>
          </w:tcPr>
          <w:p w14:paraId="7EAAAE86">
            <w:pPr>
              <w:pStyle w:val="41"/>
              <w:rPr>
                <w:color w:val="auto"/>
                <w:highlight w:val="none"/>
              </w:rPr>
            </w:pPr>
            <w:r>
              <w:rPr>
                <w:color w:val="auto"/>
                <w:highlight w:val="none"/>
              </w:rPr>
              <w:t xml:space="preserve">1.86 </w:t>
            </w:r>
          </w:p>
        </w:tc>
        <w:tc>
          <w:tcPr>
            <w:tcW w:w="993" w:type="dxa"/>
            <w:tcBorders>
              <w:tl2br w:val="nil"/>
              <w:tr2bl w:val="nil"/>
            </w:tcBorders>
            <w:shd w:val="clear" w:color="auto" w:fill="auto"/>
            <w:noWrap/>
            <w:vAlign w:val="bottom"/>
          </w:tcPr>
          <w:p w14:paraId="74F654FF">
            <w:pPr>
              <w:pStyle w:val="41"/>
              <w:rPr>
                <w:color w:val="auto"/>
                <w:highlight w:val="none"/>
              </w:rPr>
            </w:pPr>
            <w:r>
              <w:rPr>
                <w:color w:val="auto"/>
                <w:highlight w:val="none"/>
              </w:rPr>
              <w:t xml:space="preserve">1.93 </w:t>
            </w:r>
          </w:p>
        </w:tc>
        <w:tc>
          <w:tcPr>
            <w:tcW w:w="993" w:type="dxa"/>
            <w:tcBorders>
              <w:tl2br w:val="nil"/>
              <w:tr2bl w:val="nil"/>
            </w:tcBorders>
            <w:shd w:val="clear" w:color="auto" w:fill="auto"/>
            <w:noWrap/>
            <w:vAlign w:val="bottom"/>
          </w:tcPr>
          <w:p w14:paraId="2927A077">
            <w:pPr>
              <w:pStyle w:val="41"/>
              <w:rPr>
                <w:color w:val="auto"/>
                <w:highlight w:val="none"/>
              </w:rPr>
            </w:pPr>
            <w:r>
              <w:rPr>
                <w:color w:val="auto"/>
                <w:highlight w:val="none"/>
              </w:rPr>
              <w:t xml:space="preserve">1.99 </w:t>
            </w:r>
          </w:p>
        </w:tc>
        <w:tc>
          <w:tcPr>
            <w:tcW w:w="993" w:type="dxa"/>
            <w:tcBorders>
              <w:tl2br w:val="nil"/>
              <w:tr2bl w:val="nil"/>
            </w:tcBorders>
            <w:shd w:val="clear" w:color="auto" w:fill="auto"/>
            <w:noWrap/>
            <w:vAlign w:val="bottom"/>
          </w:tcPr>
          <w:p w14:paraId="7043C95F">
            <w:pPr>
              <w:pStyle w:val="41"/>
              <w:rPr>
                <w:color w:val="auto"/>
                <w:highlight w:val="none"/>
              </w:rPr>
            </w:pPr>
            <w:r>
              <w:rPr>
                <w:color w:val="auto"/>
                <w:highlight w:val="none"/>
              </w:rPr>
              <w:t xml:space="preserve">2.05 </w:t>
            </w:r>
          </w:p>
        </w:tc>
        <w:tc>
          <w:tcPr>
            <w:tcW w:w="993" w:type="dxa"/>
            <w:tcBorders>
              <w:tl2br w:val="nil"/>
              <w:tr2bl w:val="nil"/>
            </w:tcBorders>
            <w:shd w:val="clear" w:color="auto" w:fill="auto"/>
            <w:noWrap/>
            <w:vAlign w:val="bottom"/>
          </w:tcPr>
          <w:p w14:paraId="73914109">
            <w:pPr>
              <w:pStyle w:val="41"/>
              <w:rPr>
                <w:color w:val="auto"/>
                <w:highlight w:val="none"/>
              </w:rPr>
            </w:pPr>
            <w:r>
              <w:rPr>
                <w:color w:val="auto"/>
                <w:highlight w:val="none"/>
              </w:rPr>
              <w:t xml:space="preserve">1.95 </w:t>
            </w:r>
          </w:p>
        </w:tc>
        <w:tc>
          <w:tcPr>
            <w:tcW w:w="993" w:type="dxa"/>
            <w:tcBorders>
              <w:tl2br w:val="nil"/>
              <w:tr2bl w:val="nil"/>
            </w:tcBorders>
            <w:shd w:val="clear" w:color="auto" w:fill="auto"/>
            <w:noWrap/>
            <w:vAlign w:val="bottom"/>
          </w:tcPr>
          <w:p w14:paraId="2678FC78">
            <w:pPr>
              <w:pStyle w:val="41"/>
              <w:rPr>
                <w:color w:val="auto"/>
                <w:highlight w:val="none"/>
              </w:rPr>
            </w:pPr>
            <w:r>
              <w:rPr>
                <w:color w:val="auto"/>
                <w:highlight w:val="none"/>
              </w:rPr>
              <w:t xml:space="preserve">1.92 </w:t>
            </w:r>
          </w:p>
        </w:tc>
        <w:tc>
          <w:tcPr>
            <w:tcW w:w="993" w:type="dxa"/>
            <w:tcBorders>
              <w:tl2br w:val="nil"/>
              <w:tr2bl w:val="nil"/>
            </w:tcBorders>
            <w:shd w:val="clear" w:color="auto" w:fill="auto"/>
            <w:noWrap/>
            <w:vAlign w:val="bottom"/>
          </w:tcPr>
          <w:p w14:paraId="0A7A475C">
            <w:pPr>
              <w:pStyle w:val="41"/>
              <w:rPr>
                <w:color w:val="auto"/>
                <w:highlight w:val="none"/>
              </w:rPr>
            </w:pPr>
            <w:r>
              <w:rPr>
                <w:color w:val="auto"/>
                <w:highlight w:val="none"/>
              </w:rPr>
              <w:t xml:space="preserve">1.87 </w:t>
            </w:r>
          </w:p>
        </w:tc>
      </w:tr>
      <w:tr w14:paraId="6EE295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2260" w:type="dxa"/>
            <w:tcBorders>
              <w:tl2br w:val="nil"/>
              <w:tr2bl w:val="nil"/>
            </w:tcBorders>
            <w:shd w:val="clear" w:color="auto" w:fill="auto"/>
            <w:noWrap/>
            <w:vAlign w:val="bottom"/>
          </w:tcPr>
          <w:p w14:paraId="5EF30E13">
            <w:pPr>
              <w:pStyle w:val="41"/>
              <w:rPr>
                <w:color w:val="auto"/>
                <w:highlight w:val="none"/>
              </w:rPr>
            </w:pPr>
            <w:r>
              <w:rPr>
                <w:color w:val="auto"/>
                <w:highlight w:val="none"/>
              </w:rPr>
              <w:t xml:space="preserve">夏季                </w:t>
            </w:r>
          </w:p>
        </w:tc>
        <w:tc>
          <w:tcPr>
            <w:tcW w:w="992" w:type="dxa"/>
            <w:tcBorders>
              <w:tl2br w:val="nil"/>
              <w:tr2bl w:val="nil"/>
            </w:tcBorders>
            <w:shd w:val="clear" w:color="auto" w:fill="auto"/>
            <w:noWrap/>
            <w:vAlign w:val="bottom"/>
          </w:tcPr>
          <w:p w14:paraId="2D6FD435">
            <w:pPr>
              <w:pStyle w:val="41"/>
              <w:rPr>
                <w:color w:val="auto"/>
                <w:highlight w:val="none"/>
              </w:rPr>
            </w:pPr>
            <w:r>
              <w:rPr>
                <w:color w:val="auto"/>
                <w:highlight w:val="none"/>
              </w:rPr>
              <w:t xml:space="preserve">2.29 </w:t>
            </w:r>
          </w:p>
        </w:tc>
        <w:tc>
          <w:tcPr>
            <w:tcW w:w="992" w:type="dxa"/>
            <w:tcBorders>
              <w:tl2br w:val="nil"/>
              <w:tr2bl w:val="nil"/>
            </w:tcBorders>
            <w:shd w:val="clear" w:color="auto" w:fill="auto"/>
            <w:noWrap/>
            <w:vAlign w:val="bottom"/>
          </w:tcPr>
          <w:p w14:paraId="362CBEE9">
            <w:pPr>
              <w:pStyle w:val="41"/>
              <w:rPr>
                <w:color w:val="auto"/>
                <w:highlight w:val="none"/>
              </w:rPr>
            </w:pPr>
            <w:r>
              <w:rPr>
                <w:color w:val="auto"/>
                <w:highlight w:val="none"/>
              </w:rPr>
              <w:t xml:space="preserve">2.29 </w:t>
            </w:r>
          </w:p>
        </w:tc>
        <w:tc>
          <w:tcPr>
            <w:tcW w:w="993" w:type="dxa"/>
            <w:tcBorders>
              <w:tl2br w:val="nil"/>
              <w:tr2bl w:val="nil"/>
            </w:tcBorders>
            <w:shd w:val="clear" w:color="auto" w:fill="auto"/>
            <w:noWrap/>
            <w:vAlign w:val="bottom"/>
          </w:tcPr>
          <w:p w14:paraId="6DA4B953">
            <w:pPr>
              <w:pStyle w:val="41"/>
              <w:rPr>
                <w:color w:val="auto"/>
                <w:highlight w:val="none"/>
              </w:rPr>
            </w:pPr>
            <w:r>
              <w:rPr>
                <w:color w:val="auto"/>
                <w:highlight w:val="none"/>
              </w:rPr>
              <w:t xml:space="preserve">2.39 </w:t>
            </w:r>
          </w:p>
        </w:tc>
        <w:tc>
          <w:tcPr>
            <w:tcW w:w="993" w:type="dxa"/>
            <w:tcBorders>
              <w:tl2br w:val="nil"/>
              <w:tr2bl w:val="nil"/>
            </w:tcBorders>
            <w:shd w:val="clear" w:color="auto" w:fill="auto"/>
            <w:noWrap/>
            <w:vAlign w:val="bottom"/>
          </w:tcPr>
          <w:p w14:paraId="63668655">
            <w:pPr>
              <w:pStyle w:val="41"/>
              <w:rPr>
                <w:color w:val="auto"/>
                <w:highlight w:val="none"/>
              </w:rPr>
            </w:pPr>
            <w:r>
              <w:rPr>
                <w:color w:val="auto"/>
                <w:highlight w:val="none"/>
              </w:rPr>
              <w:t xml:space="preserve">2.07 </w:t>
            </w:r>
          </w:p>
        </w:tc>
        <w:tc>
          <w:tcPr>
            <w:tcW w:w="993" w:type="dxa"/>
            <w:tcBorders>
              <w:tl2br w:val="nil"/>
              <w:tr2bl w:val="nil"/>
            </w:tcBorders>
            <w:shd w:val="clear" w:color="auto" w:fill="auto"/>
            <w:noWrap/>
            <w:vAlign w:val="bottom"/>
          </w:tcPr>
          <w:p w14:paraId="6F3C5B58">
            <w:pPr>
              <w:pStyle w:val="41"/>
              <w:rPr>
                <w:color w:val="auto"/>
                <w:highlight w:val="none"/>
              </w:rPr>
            </w:pPr>
            <w:r>
              <w:rPr>
                <w:color w:val="auto"/>
                <w:highlight w:val="none"/>
              </w:rPr>
              <w:t xml:space="preserve">2.02 </w:t>
            </w:r>
          </w:p>
        </w:tc>
        <w:tc>
          <w:tcPr>
            <w:tcW w:w="993" w:type="dxa"/>
            <w:tcBorders>
              <w:tl2br w:val="nil"/>
              <w:tr2bl w:val="nil"/>
            </w:tcBorders>
            <w:shd w:val="clear" w:color="auto" w:fill="auto"/>
            <w:noWrap/>
            <w:vAlign w:val="bottom"/>
          </w:tcPr>
          <w:p w14:paraId="79893175">
            <w:pPr>
              <w:pStyle w:val="41"/>
              <w:rPr>
                <w:color w:val="auto"/>
                <w:highlight w:val="none"/>
              </w:rPr>
            </w:pPr>
            <w:r>
              <w:rPr>
                <w:color w:val="auto"/>
                <w:highlight w:val="none"/>
              </w:rPr>
              <w:t xml:space="preserve">1.74 </w:t>
            </w:r>
          </w:p>
        </w:tc>
        <w:tc>
          <w:tcPr>
            <w:tcW w:w="993" w:type="dxa"/>
            <w:tcBorders>
              <w:tl2br w:val="nil"/>
              <w:tr2bl w:val="nil"/>
            </w:tcBorders>
            <w:shd w:val="clear" w:color="auto" w:fill="auto"/>
            <w:noWrap/>
            <w:vAlign w:val="bottom"/>
          </w:tcPr>
          <w:p w14:paraId="1F3B4453">
            <w:pPr>
              <w:pStyle w:val="41"/>
              <w:rPr>
                <w:color w:val="auto"/>
                <w:highlight w:val="none"/>
              </w:rPr>
            </w:pPr>
            <w:r>
              <w:rPr>
                <w:color w:val="auto"/>
                <w:highlight w:val="none"/>
              </w:rPr>
              <w:t xml:space="preserve">1.59 </w:t>
            </w:r>
          </w:p>
        </w:tc>
        <w:tc>
          <w:tcPr>
            <w:tcW w:w="993" w:type="dxa"/>
            <w:tcBorders>
              <w:tl2br w:val="nil"/>
              <w:tr2bl w:val="nil"/>
            </w:tcBorders>
            <w:shd w:val="clear" w:color="auto" w:fill="auto"/>
            <w:noWrap/>
            <w:vAlign w:val="bottom"/>
          </w:tcPr>
          <w:p w14:paraId="3FB8F081">
            <w:pPr>
              <w:pStyle w:val="41"/>
              <w:rPr>
                <w:color w:val="auto"/>
                <w:highlight w:val="none"/>
              </w:rPr>
            </w:pPr>
            <w:r>
              <w:rPr>
                <w:color w:val="auto"/>
                <w:highlight w:val="none"/>
              </w:rPr>
              <w:t xml:space="preserve">1.66 </w:t>
            </w:r>
          </w:p>
        </w:tc>
        <w:tc>
          <w:tcPr>
            <w:tcW w:w="993" w:type="dxa"/>
            <w:tcBorders>
              <w:tl2br w:val="nil"/>
              <w:tr2bl w:val="nil"/>
            </w:tcBorders>
            <w:shd w:val="clear" w:color="auto" w:fill="auto"/>
            <w:noWrap/>
            <w:vAlign w:val="bottom"/>
          </w:tcPr>
          <w:p w14:paraId="34EF623A">
            <w:pPr>
              <w:pStyle w:val="41"/>
              <w:rPr>
                <w:color w:val="auto"/>
                <w:highlight w:val="none"/>
              </w:rPr>
            </w:pPr>
            <w:r>
              <w:rPr>
                <w:color w:val="auto"/>
                <w:highlight w:val="none"/>
              </w:rPr>
              <w:t xml:space="preserve">1.98 </w:t>
            </w:r>
          </w:p>
        </w:tc>
        <w:tc>
          <w:tcPr>
            <w:tcW w:w="993" w:type="dxa"/>
            <w:tcBorders>
              <w:tl2br w:val="nil"/>
              <w:tr2bl w:val="nil"/>
            </w:tcBorders>
            <w:shd w:val="clear" w:color="auto" w:fill="auto"/>
            <w:noWrap/>
            <w:vAlign w:val="bottom"/>
          </w:tcPr>
          <w:p w14:paraId="5E980AFC">
            <w:pPr>
              <w:pStyle w:val="41"/>
              <w:rPr>
                <w:color w:val="auto"/>
                <w:highlight w:val="none"/>
              </w:rPr>
            </w:pPr>
            <w:r>
              <w:rPr>
                <w:color w:val="auto"/>
                <w:highlight w:val="none"/>
              </w:rPr>
              <w:t xml:space="preserve">2.15 </w:t>
            </w:r>
          </w:p>
        </w:tc>
        <w:tc>
          <w:tcPr>
            <w:tcW w:w="993" w:type="dxa"/>
            <w:tcBorders>
              <w:tl2br w:val="nil"/>
              <w:tr2bl w:val="nil"/>
            </w:tcBorders>
            <w:shd w:val="clear" w:color="auto" w:fill="auto"/>
            <w:noWrap/>
            <w:vAlign w:val="bottom"/>
          </w:tcPr>
          <w:p w14:paraId="09EA3D11">
            <w:pPr>
              <w:pStyle w:val="41"/>
              <w:rPr>
                <w:color w:val="auto"/>
                <w:highlight w:val="none"/>
              </w:rPr>
            </w:pPr>
            <w:r>
              <w:rPr>
                <w:color w:val="auto"/>
                <w:highlight w:val="none"/>
              </w:rPr>
              <w:t xml:space="preserve">1.86 </w:t>
            </w:r>
          </w:p>
        </w:tc>
        <w:tc>
          <w:tcPr>
            <w:tcW w:w="993" w:type="dxa"/>
            <w:tcBorders>
              <w:tl2br w:val="nil"/>
              <w:tr2bl w:val="nil"/>
            </w:tcBorders>
            <w:shd w:val="clear" w:color="auto" w:fill="auto"/>
            <w:noWrap/>
            <w:vAlign w:val="bottom"/>
          </w:tcPr>
          <w:p w14:paraId="7A356EA4">
            <w:pPr>
              <w:pStyle w:val="41"/>
              <w:rPr>
                <w:color w:val="auto"/>
                <w:highlight w:val="none"/>
              </w:rPr>
            </w:pPr>
            <w:r>
              <w:rPr>
                <w:color w:val="auto"/>
                <w:highlight w:val="none"/>
              </w:rPr>
              <w:t xml:space="preserve">1.81 </w:t>
            </w:r>
          </w:p>
        </w:tc>
      </w:tr>
      <w:tr w14:paraId="3DA0968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2260" w:type="dxa"/>
            <w:tcBorders>
              <w:tl2br w:val="nil"/>
              <w:tr2bl w:val="nil"/>
            </w:tcBorders>
            <w:shd w:val="clear" w:color="auto" w:fill="auto"/>
            <w:noWrap/>
            <w:vAlign w:val="bottom"/>
          </w:tcPr>
          <w:p w14:paraId="05A11A67">
            <w:pPr>
              <w:pStyle w:val="41"/>
              <w:rPr>
                <w:color w:val="auto"/>
                <w:highlight w:val="none"/>
              </w:rPr>
            </w:pPr>
            <w:r>
              <w:rPr>
                <w:color w:val="auto"/>
                <w:highlight w:val="none"/>
              </w:rPr>
              <w:t xml:space="preserve">秋季                </w:t>
            </w:r>
          </w:p>
        </w:tc>
        <w:tc>
          <w:tcPr>
            <w:tcW w:w="992" w:type="dxa"/>
            <w:tcBorders>
              <w:tl2br w:val="nil"/>
              <w:tr2bl w:val="nil"/>
            </w:tcBorders>
            <w:shd w:val="clear" w:color="auto" w:fill="auto"/>
            <w:noWrap/>
            <w:vAlign w:val="bottom"/>
          </w:tcPr>
          <w:p w14:paraId="107E8EE7">
            <w:pPr>
              <w:pStyle w:val="41"/>
              <w:rPr>
                <w:color w:val="auto"/>
                <w:highlight w:val="none"/>
              </w:rPr>
            </w:pPr>
            <w:r>
              <w:rPr>
                <w:color w:val="auto"/>
                <w:highlight w:val="none"/>
              </w:rPr>
              <w:t xml:space="preserve">2.10 </w:t>
            </w:r>
          </w:p>
        </w:tc>
        <w:tc>
          <w:tcPr>
            <w:tcW w:w="992" w:type="dxa"/>
            <w:tcBorders>
              <w:tl2br w:val="nil"/>
              <w:tr2bl w:val="nil"/>
            </w:tcBorders>
            <w:shd w:val="clear" w:color="auto" w:fill="auto"/>
            <w:noWrap/>
            <w:vAlign w:val="bottom"/>
          </w:tcPr>
          <w:p w14:paraId="623CF135">
            <w:pPr>
              <w:pStyle w:val="41"/>
              <w:rPr>
                <w:color w:val="auto"/>
                <w:highlight w:val="none"/>
              </w:rPr>
            </w:pPr>
            <w:r>
              <w:rPr>
                <w:color w:val="auto"/>
                <w:highlight w:val="none"/>
              </w:rPr>
              <w:t xml:space="preserve">2.02 </w:t>
            </w:r>
          </w:p>
        </w:tc>
        <w:tc>
          <w:tcPr>
            <w:tcW w:w="993" w:type="dxa"/>
            <w:tcBorders>
              <w:tl2br w:val="nil"/>
              <w:tr2bl w:val="nil"/>
            </w:tcBorders>
            <w:shd w:val="clear" w:color="auto" w:fill="auto"/>
            <w:noWrap/>
            <w:vAlign w:val="bottom"/>
          </w:tcPr>
          <w:p w14:paraId="56FE6E6C">
            <w:pPr>
              <w:pStyle w:val="41"/>
              <w:rPr>
                <w:color w:val="auto"/>
                <w:highlight w:val="none"/>
              </w:rPr>
            </w:pPr>
            <w:r>
              <w:rPr>
                <w:color w:val="auto"/>
                <w:highlight w:val="none"/>
              </w:rPr>
              <w:t xml:space="preserve">1.85 </w:t>
            </w:r>
          </w:p>
        </w:tc>
        <w:tc>
          <w:tcPr>
            <w:tcW w:w="993" w:type="dxa"/>
            <w:tcBorders>
              <w:tl2br w:val="nil"/>
              <w:tr2bl w:val="nil"/>
            </w:tcBorders>
            <w:shd w:val="clear" w:color="auto" w:fill="auto"/>
            <w:noWrap/>
            <w:vAlign w:val="bottom"/>
          </w:tcPr>
          <w:p w14:paraId="79DEFBD9">
            <w:pPr>
              <w:pStyle w:val="41"/>
              <w:rPr>
                <w:color w:val="auto"/>
                <w:highlight w:val="none"/>
              </w:rPr>
            </w:pPr>
            <w:r>
              <w:rPr>
                <w:color w:val="auto"/>
                <w:highlight w:val="none"/>
              </w:rPr>
              <w:t xml:space="preserve">1.49 </w:t>
            </w:r>
          </w:p>
        </w:tc>
        <w:tc>
          <w:tcPr>
            <w:tcW w:w="993" w:type="dxa"/>
            <w:tcBorders>
              <w:tl2br w:val="nil"/>
              <w:tr2bl w:val="nil"/>
            </w:tcBorders>
            <w:shd w:val="clear" w:color="auto" w:fill="auto"/>
            <w:noWrap/>
            <w:vAlign w:val="bottom"/>
          </w:tcPr>
          <w:p w14:paraId="7A70B322">
            <w:pPr>
              <w:pStyle w:val="41"/>
              <w:rPr>
                <w:color w:val="auto"/>
                <w:highlight w:val="none"/>
              </w:rPr>
            </w:pPr>
            <w:r>
              <w:rPr>
                <w:color w:val="auto"/>
                <w:highlight w:val="none"/>
              </w:rPr>
              <w:t xml:space="preserve">1.05 </w:t>
            </w:r>
          </w:p>
        </w:tc>
        <w:tc>
          <w:tcPr>
            <w:tcW w:w="993" w:type="dxa"/>
            <w:tcBorders>
              <w:tl2br w:val="nil"/>
              <w:tr2bl w:val="nil"/>
            </w:tcBorders>
            <w:shd w:val="clear" w:color="auto" w:fill="auto"/>
            <w:noWrap/>
            <w:vAlign w:val="bottom"/>
          </w:tcPr>
          <w:p w14:paraId="50951091">
            <w:pPr>
              <w:pStyle w:val="41"/>
              <w:rPr>
                <w:color w:val="auto"/>
                <w:highlight w:val="none"/>
              </w:rPr>
            </w:pPr>
            <w:r>
              <w:rPr>
                <w:color w:val="auto"/>
                <w:highlight w:val="none"/>
              </w:rPr>
              <w:t xml:space="preserve">1.14 </w:t>
            </w:r>
          </w:p>
        </w:tc>
        <w:tc>
          <w:tcPr>
            <w:tcW w:w="993" w:type="dxa"/>
            <w:tcBorders>
              <w:tl2br w:val="nil"/>
              <w:tr2bl w:val="nil"/>
            </w:tcBorders>
            <w:shd w:val="clear" w:color="auto" w:fill="auto"/>
            <w:noWrap/>
            <w:vAlign w:val="bottom"/>
          </w:tcPr>
          <w:p w14:paraId="01A97634">
            <w:pPr>
              <w:pStyle w:val="41"/>
              <w:rPr>
                <w:color w:val="auto"/>
                <w:highlight w:val="none"/>
              </w:rPr>
            </w:pPr>
            <w:r>
              <w:rPr>
                <w:color w:val="auto"/>
                <w:highlight w:val="none"/>
              </w:rPr>
              <w:t xml:space="preserve">1.17 </w:t>
            </w:r>
          </w:p>
        </w:tc>
        <w:tc>
          <w:tcPr>
            <w:tcW w:w="993" w:type="dxa"/>
            <w:tcBorders>
              <w:tl2br w:val="nil"/>
              <w:tr2bl w:val="nil"/>
            </w:tcBorders>
            <w:shd w:val="clear" w:color="auto" w:fill="auto"/>
            <w:noWrap/>
            <w:vAlign w:val="bottom"/>
          </w:tcPr>
          <w:p w14:paraId="5D284F1A">
            <w:pPr>
              <w:pStyle w:val="41"/>
              <w:rPr>
                <w:color w:val="auto"/>
                <w:highlight w:val="none"/>
              </w:rPr>
            </w:pPr>
            <w:r>
              <w:rPr>
                <w:color w:val="auto"/>
                <w:highlight w:val="none"/>
              </w:rPr>
              <w:t xml:space="preserve">1.28 </w:t>
            </w:r>
          </w:p>
        </w:tc>
        <w:tc>
          <w:tcPr>
            <w:tcW w:w="993" w:type="dxa"/>
            <w:tcBorders>
              <w:tl2br w:val="nil"/>
              <w:tr2bl w:val="nil"/>
            </w:tcBorders>
            <w:shd w:val="clear" w:color="auto" w:fill="auto"/>
            <w:noWrap/>
            <w:vAlign w:val="bottom"/>
          </w:tcPr>
          <w:p w14:paraId="6E6F8AB6">
            <w:pPr>
              <w:pStyle w:val="41"/>
              <w:rPr>
                <w:color w:val="auto"/>
                <w:highlight w:val="none"/>
              </w:rPr>
            </w:pPr>
            <w:r>
              <w:rPr>
                <w:color w:val="auto"/>
                <w:highlight w:val="none"/>
              </w:rPr>
              <w:t xml:space="preserve">1.35 </w:t>
            </w:r>
          </w:p>
        </w:tc>
        <w:tc>
          <w:tcPr>
            <w:tcW w:w="993" w:type="dxa"/>
            <w:tcBorders>
              <w:tl2br w:val="nil"/>
              <w:tr2bl w:val="nil"/>
            </w:tcBorders>
            <w:shd w:val="clear" w:color="auto" w:fill="auto"/>
            <w:noWrap/>
            <w:vAlign w:val="bottom"/>
          </w:tcPr>
          <w:p w14:paraId="48294D7F">
            <w:pPr>
              <w:pStyle w:val="41"/>
              <w:rPr>
                <w:color w:val="auto"/>
                <w:highlight w:val="none"/>
              </w:rPr>
            </w:pPr>
            <w:r>
              <w:rPr>
                <w:color w:val="auto"/>
                <w:highlight w:val="none"/>
              </w:rPr>
              <w:t xml:space="preserve">1.36 </w:t>
            </w:r>
          </w:p>
        </w:tc>
        <w:tc>
          <w:tcPr>
            <w:tcW w:w="993" w:type="dxa"/>
            <w:tcBorders>
              <w:tl2br w:val="nil"/>
              <w:tr2bl w:val="nil"/>
            </w:tcBorders>
            <w:shd w:val="clear" w:color="auto" w:fill="auto"/>
            <w:noWrap/>
            <w:vAlign w:val="bottom"/>
          </w:tcPr>
          <w:p w14:paraId="738ED1D5">
            <w:pPr>
              <w:pStyle w:val="41"/>
              <w:rPr>
                <w:color w:val="auto"/>
                <w:highlight w:val="none"/>
              </w:rPr>
            </w:pPr>
            <w:r>
              <w:rPr>
                <w:color w:val="auto"/>
                <w:highlight w:val="none"/>
              </w:rPr>
              <w:t xml:space="preserve">1.37 </w:t>
            </w:r>
          </w:p>
        </w:tc>
        <w:tc>
          <w:tcPr>
            <w:tcW w:w="993" w:type="dxa"/>
            <w:tcBorders>
              <w:tl2br w:val="nil"/>
              <w:tr2bl w:val="nil"/>
            </w:tcBorders>
            <w:shd w:val="clear" w:color="auto" w:fill="auto"/>
            <w:noWrap/>
            <w:vAlign w:val="bottom"/>
          </w:tcPr>
          <w:p w14:paraId="4914CA45">
            <w:pPr>
              <w:pStyle w:val="41"/>
              <w:rPr>
                <w:color w:val="auto"/>
                <w:highlight w:val="none"/>
              </w:rPr>
            </w:pPr>
            <w:r>
              <w:rPr>
                <w:color w:val="auto"/>
                <w:highlight w:val="none"/>
              </w:rPr>
              <w:t xml:space="preserve">1.35 </w:t>
            </w:r>
          </w:p>
        </w:tc>
      </w:tr>
      <w:tr w14:paraId="1E9ECDC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2260" w:type="dxa"/>
            <w:tcBorders>
              <w:tl2br w:val="nil"/>
              <w:tr2bl w:val="nil"/>
            </w:tcBorders>
            <w:shd w:val="clear" w:color="auto" w:fill="auto"/>
            <w:noWrap/>
            <w:vAlign w:val="bottom"/>
          </w:tcPr>
          <w:p w14:paraId="54BA99BF">
            <w:pPr>
              <w:pStyle w:val="41"/>
              <w:rPr>
                <w:color w:val="auto"/>
                <w:highlight w:val="none"/>
              </w:rPr>
            </w:pPr>
            <w:r>
              <w:rPr>
                <w:color w:val="auto"/>
                <w:highlight w:val="none"/>
              </w:rPr>
              <w:t xml:space="preserve">冬季                </w:t>
            </w:r>
          </w:p>
        </w:tc>
        <w:tc>
          <w:tcPr>
            <w:tcW w:w="992" w:type="dxa"/>
            <w:tcBorders>
              <w:tl2br w:val="nil"/>
              <w:tr2bl w:val="nil"/>
            </w:tcBorders>
            <w:shd w:val="clear" w:color="auto" w:fill="auto"/>
            <w:noWrap/>
            <w:vAlign w:val="bottom"/>
          </w:tcPr>
          <w:p w14:paraId="15A907C9">
            <w:pPr>
              <w:pStyle w:val="41"/>
              <w:rPr>
                <w:color w:val="auto"/>
                <w:highlight w:val="none"/>
              </w:rPr>
            </w:pPr>
            <w:r>
              <w:rPr>
                <w:color w:val="auto"/>
                <w:highlight w:val="none"/>
              </w:rPr>
              <w:t xml:space="preserve">1.81 </w:t>
            </w:r>
          </w:p>
        </w:tc>
        <w:tc>
          <w:tcPr>
            <w:tcW w:w="992" w:type="dxa"/>
            <w:tcBorders>
              <w:tl2br w:val="nil"/>
              <w:tr2bl w:val="nil"/>
            </w:tcBorders>
            <w:shd w:val="clear" w:color="auto" w:fill="auto"/>
            <w:noWrap/>
            <w:vAlign w:val="bottom"/>
          </w:tcPr>
          <w:p w14:paraId="109C63DE">
            <w:pPr>
              <w:pStyle w:val="41"/>
              <w:rPr>
                <w:color w:val="auto"/>
                <w:highlight w:val="none"/>
              </w:rPr>
            </w:pPr>
            <w:r>
              <w:rPr>
                <w:color w:val="auto"/>
                <w:highlight w:val="none"/>
              </w:rPr>
              <w:t xml:space="preserve">1.77 </w:t>
            </w:r>
          </w:p>
        </w:tc>
        <w:tc>
          <w:tcPr>
            <w:tcW w:w="993" w:type="dxa"/>
            <w:tcBorders>
              <w:tl2br w:val="nil"/>
              <w:tr2bl w:val="nil"/>
            </w:tcBorders>
            <w:shd w:val="clear" w:color="auto" w:fill="auto"/>
            <w:noWrap/>
            <w:vAlign w:val="bottom"/>
          </w:tcPr>
          <w:p w14:paraId="5AAFF7D1">
            <w:pPr>
              <w:pStyle w:val="41"/>
              <w:rPr>
                <w:color w:val="auto"/>
                <w:highlight w:val="none"/>
              </w:rPr>
            </w:pPr>
            <w:r>
              <w:rPr>
                <w:color w:val="auto"/>
                <w:highlight w:val="none"/>
              </w:rPr>
              <w:t xml:space="preserve">1.86 </w:t>
            </w:r>
          </w:p>
        </w:tc>
        <w:tc>
          <w:tcPr>
            <w:tcW w:w="993" w:type="dxa"/>
            <w:tcBorders>
              <w:tl2br w:val="nil"/>
              <w:tr2bl w:val="nil"/>
            </w:tcBorders>
            <w:shd w:val="clear" w:color="auto" w:fill="auto"/>
            <w:noWrap/>
            <w:vAlign w:val="bottom"/>
          </w:tcPr>
          <w:p w14:paraId="2BC2E14C">
            <w:pPr>
              <w:pStyle w:val="41"/>
              <w:rPr>
                <w:color w:val="auto"/>
                <w:highlight w:val="none"/>
              </w:rPr>
            </w:pPr>
            <w:r>
              <w:rPr>
                <w:color w:val="auto"/>
                <w:highlight w:val="none"/>
              </w:rPr>
              <w:t xml:space="preserve">1.62 </w:t>
            </w:r>
          </w:p>
        </w:tc>
        <w:tc>
          <w:tcPr>
            <w:tcW w:w="993" w:type="dxa"/>
            <w:tcBorders>
              <w:tl2br w:val="nil"/>
              <w:tr2bl w:val="nil"/>
            </w:tcBorders>
            <w:shd w:val="clear" w:color="auto" w:fill="auto"/>
            <w:noWrap/>
            <w:vAlign w:val="bottom"/>
          </w:tcPr>
          <w:p w14:paraId="6E49E850">
            <w:pPr>
              <w:pStyle w:val="41"/>
              <w:rPr>
                <w:color w:val="auto"/>
                <w:highlight w:val="none"/>
              </w:rPr>
            </w:pPr>
            <w:r>
              <w:rPr>
                <w:color w:val="auto"/>
                <w:highlight w:val="none"/>
              </w:rPr>
              <w:t xml:space="preserve">1.16 </w:t>
            </w:r>
          </w:p>
        </w:tc>
        <w:tc>
          <w:tcPr>
            <w:tcW w:w="993" w:type="dxa"/>
            <w:tcBorders>
              <w:tl2br w:val="nil"/>
              <w:tr2bl w:val="nil"/>
            </w:tcBorders>
            <w:shd w:val="clear" w:color="auto" w:fill="auto"/>
            <w:noWrap/>
            <w:vAlign w:val="bottom"/>
          </w:tcPr>
          <w:p w14:paraId="24623EC0">
            <w:pPr>
              <w:pStyle w:val="41"/>
              <w:rPr>
                <w:color w:val="auto"/>
                <w:highlight w:val="none"/>
              </w:rPr>
            </w:pPr>
            <w:r>
              <w:rPr>
                <w:color w:val="auto"/>
                <w:highlight w:val="none"/>
              </w:rPr>
              <w:t xml:space="preserve">1.18 </w:t>
            </w:r>
          </w:p>
        </w:tc>
        <w:tc>
          <w:tcPr>
            <w:tcW w:w="993" w:type="dxa"/>
            <w:tcBorders>
              <w:tl2br w:val="nil"/>
              <w:tr2bl w:val="nil"/>
            </w:tcBorders>
            <w:shd w:val="clear" w:color="auto" w:fill="auto"/>
            <w:noWrap/>
            <w:vAlign w:val="bottom"/>
          </w:tcPr>
          <w:p w14:paraId="680DFEA0">
            <w:pPr>
              <w:pStyle w:val="41"/>
              <w:rPr>
                <w:color w:val="auto"/>
                <w:highlight w:val="none"/>
              </w:rPr>
            </w:pPr>
            <w:r>
              <w:rPr>
                <w:color w:val="auto"/>
                <w:highlight w:val="none"/>
              </w:rPr>
              <w:t xml:space="preserve">1.20 </w:t>
            </w:r>
          </w:p>
        </w:tc>
        <w:tc>
          <w:tcPr>
            <w:tcW w:w="993" w:type="dxa"/>
            <w:tcBorders>
              <w:tl2br w:val="nil"/>
              <w:tr2bl w:val="nil"/>
            </w:tcBorders>
            <w:shd w:val="clear" w:color="auto" w:fill="auto"/>
            <w:noWrap/>
            <w:vAlign w:val="bottom"/>
          </w:tcPr>
          <w:p w14:paraId="7BEE26C6">
            <w:pPr>
              <w:pStyle w:val="41"/>
              <w:rPr>
                <w:color w:val="auto"/>
                <w:highlight w:val="none"/>
              </w:rPr>
            </w:pPr>
            <w:r>
              <w:rPr>
                <w:color w:val="auto"/>
                <w:highlight w:val="none"/>
              </w:rPr>
              <w:t xml:space="preserve">1.25 </w:t>
            </w:r>
          </w:p>
        </w:tc>
        <w:tc>
          <w:tcPr>
            <w:tcW w:w="993" w:type="dxa"/>
            <w:tcBorders>
              <w:tl2br w:val="nil"/>
              <w:tr2bl w:val="nil"/>
            </w:tcBorders>
            <w:shd w:val="clear" w:color="auto" w:fill="auto"/>
            <w:noWrap/>
            <w:vAlign w:val="bottom"/>
          </w:tcPr>
          <w:p w14:paraId="7A527449">
            <w:pPr>
              <w:pStyle w:val="41"/>
              <w:rPr>
                <w:color w:val="auto"/>
                <w:highlight w:val="none"/>
              </w:rPr>
            </w:pPr>
            <w:r>
              <w:rPr>
                <w:color w:val="auto"/>
                <w:highlight w:val="none"/>
              </w:rPr>
              <w:t xml:space="preserve">1.13 </w:t>
            </w:r>
          </w:p>
        </w:tc>
        <w:tc>
          <w:tcPr>
            <w:tcW w:w="993" w:type="dxa"/>
            <w:tcBorders>
              <w:tl2br w:val="nil"/>
              <w:tr2bl w:val="nil"/>
            </w:tcBorders>
            <w:shd w:val="clear" w:color="auto" w:fill="auto"/>
            <w:noWrap/>
            <w:vAlign w:val="bottom"/>
          </w:tcPr>
          <w:p w14:paraId="48440630">
            <w:pPr>
              <w:pStyle w:val="41"/>
              <w:rPr>
                <w:color w:val="auto"/>
                <w:highlight w:val="none"/>
              </w:rPr>
            </w:pPr>
            <w:r>
              <w:rPr>
                <w:color w:val="auto"/>
                <w:highlight w:val="none"/>
              </w:rPr>
              <w:t xml:space="preserve">1.07 </w:t>
            </w:r>
          </w:p>
        </w:tc>
        <w:tc>
          <w:tcPr>
            <w:tcW w:w="993" w:type="dxa"/>
            <w:tcBorders>
              <w:tl2br w:val="nil"/>
              <w:tr2bl w:val="nil"/>
            </w:tcBorders>
            <w:shd w:val="clear" w:color="auto" w:fill="auto"/>
            <w:noWrap/>
            <w:vAlign w:val="bottom"/>
          </w:tcPr>
          <w:p w14:paraId="74AE280A">
            <w:pPr>
              <w:pStyle w:val="41"/>
              <w:rPr>
                <w:color w:val="auto"/>
                <w:highlight w:val="none"/>
              </w:rPr>
            </w:pPr>
            <w:r>
              <w:rPr>
                <w:color w:val="auto"/>
                <w:highlight w:val="none"/>
              </w:rPr>
              <w:t xml:space="preserve">1.08 </w:t>
            </w:r>
          </w:p>
        </w:tc>
        <w:tc>
          <w:tcPr>
            <w:tcW w:w="993" w:type="dxa"/>
            <w:tcBorders>
              <w:tl2br w:val="nil"/>
              <w:tr2bl w:val="nil"/>
            </w:tcBorders>
            <w:shd w:val="clear" w:color="auto" w:fill="auto"/>
            <w:noWrap/>
            <w:vAlign w:val="bottom"/>
          </w:tcPr>
          <w:p w14:paraId="58430835">
            <w:pPr>
              <w:pStyle w:val="41"/>
              <w:rPr>
                <w:color w:val="auto"/>
                <w:highlight w:val="none"/>
              </w:rPr>
            </w:pPr>
            <w:r>
              <w:rPr>
                <w:color w:val="auto"/>
                <w:highlight w:val="none"/>
              </w:rPr>
              <w:t xml:space="preserve">1.10 </w:t>
            </w:r>
          </w:p>
        </w:tc>
      </w:tr>
    </w:tbl>
    <w:p w14:paraId="4D48C35A">
      <w:pPr>
        <w:pStyle w:val="3"/>
        <w:ind w:firstLine="480"/>
        <w:rPr>
          <w:color w:val="auto"/>
          <w:highlight w:val="none"/>
        </w:rPr>
      </w:pPr>
      <w:r>
        <w:rPr>
          <w:color w:val="auto"/>
          <w:highlight w:val="none"/>
        </w:rPr>
        <w:t>（3）风频</w:t>
      </w:r>
    </w:p>
    <w:p w14:paraId="7B7B23CA">
      <w:pPr>
        <w:pStyle w:val="3"/>
        <w:ind w:firstLine="480"/>
        <w:rPr>
          <w:color w:val="auto"/>
          <w:highlight w:val="none"/>
        </w:rPr>
      </w:pPr>
      <w:r>
        <w:rPr>
          <w:color w:val="auto"/>
          <w:highlight w:val="none"/>
        </w:rPr>
        <w:t>统计结果表明，区域近年主导风向为西风（W），频率为13.30%；次多风向为西南偏南风（SSE），频率为12.11%。全年的静风频率为0.16%。</w:t>
      </w:r>
    </w:p>
    <w:p w14:paraId="3E190341">
      <w:pPr>
        <w:pStyle w:val="3"/>
        <w:ind w:firstLine="480"/>
        <w:rPr>
          <w:color w:val="auto"/>
          <w:highlight w:val="none"/>
        </w:rPr>
      </w:pPr>
      <w:r>
        <w:rPr>
          <w:color w:val="auto"/>
          <w:highlight w:val="none"/>
        </w:rPr>
        <w:t>项目所在区域阿图什气象站2024年风向频率统计见表5.2-4。风频玫瑰图见图5.2-3。</w:t>
      </w:r>
    </w:p>
    <w:p w14:paraId="6F293C93">
      <w:pPr>
        <w:pStyle w:val="40"/>
        <w:spacing w:before="31" w:after="31"/>
        <w:rPr>
          <w:color w:val="auto"/>
          <w:highlight w:val="none"/>
        </w:rPr>
      </w:pPr>
      <w:r>
        <w:rPr>
          <w:color w:val="auto"/>
          <w:highlight w:val="none"/>
        </w:rPr>
        <w:t>表5.2-4   年均风频的月变化</w:t>
      </w:r>
    </w:p>
    <w:tbl>
      <w:tblPr>
        <w:tblStyle w:val="25"/>
        <w:tblW w:w="5000"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2176"/>
        <w:gridCol w:w="681"/>
        <w:gridCol w:w="681"/>
        <w:gridCol w:w="681"/>
        <w:gridCol w:w="681"/>
        <w:gridCol w:w="681"/>
        <w:gridCol w:w="684"/>
        <w:gridCol w:w="743"/>
        <w:gridCol w:w="743"/>
        <w:gridCol w:w="743"/>
        <w:gridCol w:w="685"/>
        <w:gridCol w:w="685"/>
        <w:gridCol w:w="744"/>
        <w:gridCol w:w="744"/>
        <w:gridCol w:w="765"/>
        <w:gridCol w:w="685"/>
        <w:gridCol w:w="718"/>
        <w:gridCol w:w="654"/>
      </w:tblGrid>
      <w:tr w14:paraId="4CB6FE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69" w:type="pct"/>
            <w:tcBorders>
              <w:tl2br w:val="nil"/>
              <w:tr2bl w:val="nil"/>
            </w:tcBorders>
            <w:shd w:val="clear" w:color="auto" w:fill="auto"/>
            <w:noWrap/>
            <w:vAlign w:val="center"/>
          </w:tcPr>
          <w:p w14:paraId="1C05BF00">
            <w:pPr>
              <w:pStyle w:val="41"/>
              <w:rPr>
                <w:color w:val="auto"/>
                <w:highlight w:val="none"/>
              </w:rPr>
            </w:pPr>
            <w:r>
              <w:rPr>
                <w:color w:val="auto"/>
                <w:highlight w:val="none"/>
              </w:rPr>
              <w:t>风频</w:t>
            </w:r>
            <w:r>
              <w:rPr>
                <w:rFonts w:hint="eastAsia"/>
                <w:color w:val="auto"/>
                <w:highlight w:val="none"/>
                <w:lang w:eastAsia="zh-CN"/>
              </w:rPr>
              <w:t>（</w:t>
            </w:r>
            <w:r>
              <w:rPr>
                <w:color w:val="auto"/>
                <w:highlight w:val="none"/>
              </w:rPr>
              <w:t>%</w:t>
            </w:r>
            <w:r>
              <w:rPr>
                <w:rFonts w:hint="eastAsia"/>
                <w:color w:val="auto"/>
                <w:highlight w:val="none"/>
                <w:lang w:eastAsia="zh-CN"/>
              </w:rPr>
              <w:t>）</w:t>
            </w:r>
            <w:r>
              <w:rPr>
                <w:color w:val="auto"/>
                <w:highlight w:val="none"/>
              </w:rPr>
              <w:t xml:space="preserve">     风向  </w:t>
            </w:r>
          </w:p>
        </w:tc>
        <w:tc>
          <w:tcPr>
            <w:tcW w:w="259" w:type="pct"/>
            <w:tcBorders>
              <w:tl2br w:val="nil"/>
              <w:tr2bl w:val="nil"/>
            </w:tcBorders>
            <w:shd w:val="clear" w:color="auto" w:fill="auto"/>
            <w:noWrap/>
            <w:vAlign w:val="bottom"/>
          </w:tcPr>
          <w:p w14:paraId="237D368C">
            <w:pPr>
              <w:pStyle w:val="41"/>
              <w:rPr>
                <w:color w:val="auto"/>
                <w:highlight w:val="none"/>
              </w:rPr>
            </w:pPr>
            <w:r>
              <w:rPr>
                <w:color w:val="auto"/>
                <w:highlight w:val="none"/>
              </w:rPr>
              <w:t>N</w:t>
            </w:r>
          </w:p>
        </w:tc>
        <w:tc>
          <w:tcPr>
            <w:tcW w:w="259" w:type="pct"/>
            <w:tcBorders>
              <w:tl2br w:val="nil"/>
              <w:tr2bl w:val="nil"/>
            </w:tcBorders>
            <w:shd w:val="clear" w:color="auto" w:fill="auto"/>
            <w:noWrap/>
            <w:vAlign w:val="bottom"/>
          </w:tcPr>
          <w:p w14:paraId="15A260A5">
            <w:pPr>
              <w:pStyle w:val="41"/>
              <w:rPr>
                <w:color w:val="auto"/>
                <w:highlight w:val="none"/>
              </w:rPr>
            </w:pPr>
            <w:r>
              <w:rPr>
                <w:color w:val="auto"/>
                <w:highlight w:val="none"/>
              </w:rPr>
              <w:t>NNE</w:t>
            </w:r>
          </w:p>
        </w:tc>
        <w:tc>
          <w:tcPr>
            <w:tcW w:w="259" w:type="pct"/>
            <w:tcBorders>
              <w:tl2br w:val="nil"/>
              <w:tr2bl w:val="nil"/>
            </w:tcBorders>
            <w:shd w:val="clear" w:color="auto" w:fill="auto"/>
            <w:noWrap/>
            <w:vAlign w:val="bottom"/>
          </w:tcPr>
          <w:p w14:paraId="11624DDF">
            <w:pPr>
              <w:pStyle w:val="41"/>
              <w:rPr>
                <w:color w:val="auto"/>
                <w:highlight w:val="none"/>
              </w:rPr>
            </w:pPr>
            <w:r>
              <w:rPr>
                <w:color w:val="auto"/>
                <w:highlight w:val="none"/>
              </w:rPr>
              <w:t>NE</w:t>
            </w:r>
          </w:p>
        </w:tc>
        <w:tc>
          <w:tcPr>
            <w:tcW w:w="259" w:type="pct"/>
            <w:tcBorders>
              <w:tl2br w:val="nil"/>
              <w:tr2bl w:val="nil"/>
            </w:tcBorders>
            <w:shd w:val="clear" w:color="auto" w:fill="auto"/>
            <w:noWrap/>
            <w:vAlign w:val="bottom"/>
          </w:tcPr>
          <w:p w14:paraId="035212C5">
            <w:pPr>
              <w:pStyle w:val="41"/>
              <w:rPr>
                <w:color w:val="auto"/>
                <w:highlight w:val="none"/>
              </w:rPr>
            </w:pPr>
            <w:r>
              <w:rPr>
                <w:color w:val="auto"/>
                <w:highlight w:val="none"/>
              </w:rPr>
              <w:t>ENE</w:t>
            </w:r>
          </w:p>
        </w:tc>
        <w:tc>
          <w:tcPr>
            <w:tcW w:w="259" w:type="pct"/>
            <w:tcBorders>
              <w:tl2br w:val="nil"/>
              <w:tr2bl w:val="nil"/>
            </w:tcBorders>
            <w:shd w:val="clear" w:color="auto" w:fill="auto"/>
            <w:noWrap/>
            <w:vAlign w:val="bottom"/>
          </w:tcPr>
          <w:p w14:paraId="7EA6D03A">
            <w:pPr>
              <w:pStyle w:val="41"/>
              <w:rPr>
                <w:color w:val="auto"/>
                <w:highlight w:val="none"/>
              </w:rPr>
            </w:pPr>
            <w:r>
              <w:rPr>
                <w:color w:val="auto"/>
                <w:highlight w:val="none"/>
              </w:rPr>
              <w:t>E</w:t>
            </w:r>
          </w:p>
        </w:tc>
        <w:tc>
          <w:tcPr>
            <w:tcW w:w="260" w:type="pct"/>
            <w:tcBorders>
              <w:tl2br w:val="nil"/>
              <w:tr2bl w:val="nil"/>
            </w:tcBorders>
            <w:shd w:val="clear" w:color="auto" w:fill="auto"/>
            <w:noWrap/>
            <w:vAlign w:val="bottom"/>
          </w:tcPr>
          <w:p w14:paraId="608F37E8">
            <w:pPr>
              <w:pStyle w:val="41"/>
              <w:rPr>
                <w:color w:val="auto"/>
                <w:highlight w:val="none"/>
              </w:rPr>
            </w:pPr>
            <w:r>
              <w:rPr>
                <w:color w:val="auto"/>
                <w:highlight w:val="none"/>
              </w:rPr>
              <w:t>ESE</w:t>
            </w:r>
          </w:p>
        </w:tc>
        <w:tc>
          <w:tcPr>
            <w:tcW w:w="281" w:type="pct"/>
            <w:tcBorders>
              <w:tl2br w:val="nil"/>
              <w:tr2bl w:val="nil"/>
            </w:tcBorders>
            <w:shd w:val="clear" w:color="auto" w:fill="auto"/>
            <w:noWrap/>
            <w:vAlign w:val="bottom"/>
          </w:tcPr>
          <w:p w14:paraId="7160B358">
            <w:pPr>
              <w:pStyle w:val="41"/>
              <w:rPr>
                <w:color w:val="auto"/>
                <w:highlight w:val="none"/>
              </w:rPr>
            </w:pPr>
            <w:r>
              <w:rPr>
                <w:color w:val="auto"/>
                <w:highlight w:val="none"/>
              </w:rPr>
              <w:t>SE</w:t>
            </w:r>
          </w:p>
        </w:tc>
        <w:tc>
          <w:tcPr>
            <w:tcW w:w="281" w:type="pct"/>
            <w:tcBorders>
              <w:tl2br w:val="nil"/>
              <w:tr2bl w:val="nil"/>
            </w:tcBorders>
            <w:shd w:val="clear" w:color="auto" w:fill="auto"/>
            <w:noWrap/>
            <w:vAlign w:val="bottom"/>
          </w:tcPr>
          <w:p w14:paraId="25CD1EAC">
            <w:pPr>
              <w:pStyle w:val="41"/>
              <w:rPr>
                <w:color w:val="auto"/>
                <w:highlight w:val="none"/>
              </w:rPr>
            </w:pPr>
            <w:r>
              <w:rPr>
                <w:color w:val="auto"/>
                <w:highlight w:val="none"/>
              </w:rPr>
              <w:t>SSE</w:t>
            </w:r>
          </w:p>
        </w:tc>
        <w:tc>
          <w:tcPr>
            <w:tcW w:w="281" w:type="pct"/>
            <w:tcBorders>
              <w:tl2br w:val="nil"/>
              <w:tr2bl w:val="nil"/>
            </w:tcBorders>
            <w:shd w:val="clear" w:color="auto" w:fill="auto"/>
            <w:noWrap/>
            <w:vAlign w:val="bottom"/>
          </w:tcPr>
          <w:p w14:paraId="491E6EF2">
            <w:pPr>
              <w:pStyle w:val="41"/>
              <w:rPr>
                <w:color w:val="auto"/>
                <w:highlight w:val="none"/>
              </w:rPr>
            </w:pPr>
            <w:r>
              <w:rPr>
                <w:color w:val="auto"/>
                <w:highlight w:val="none"/>
              </w:rPr>
              <w:t>S</w:t>
            </w:r>
          </w:p>
        </w:tc>
        <w:tc>
          <w:tcPr>
            <w:tcW w:w="260" w:type="pct"/>
            <w:tcBorders>
              <w:tl2br w:val="nil"/>
              <w:tr2bl w:val="nil"/>
            </w:tcBorders>
            <w:shd w:val="clear" w:color="auto" w:fill="auto"/>
            <w:noWrap/>
            <w:vAlign w:val="bottom"/>
          </w:tcPr>
          <w:p w14:paraId="2F93182D">
            <w:pPr>
              <w:pStyle w:val="41"/>
              <w:rPr>
                <w:color w:val="auto"/>
                <w:highlight w:val="none"/>
              </w:rPr>
            </w:pPr>
            <w:r>
              <w:rPr>
                <w:color w:val="auto"/>
                <w:highlight w:val="none"/>
              </w:rPr>
              <w:t>SSW</w:t>
            </w:r>
          </w:p>
        </w:tc>
        <w:tc>
          <w:tcPr>
            <w:tcW w:w="260" w:type="pct"/>
            <w:tcBorders>
              <w:tl2br w:val="nil"/>
              <w:tr2bl w:val="nil"/>
            </w:tcBorders>
            <w:shd w:val="clear" w:color="auto" w:fill="auto"/>
            <w:noWrap/>
            <w:vAlign w:val="bottom"/>
          </w:tcPr>
          <w:p w14:paraId="39133D28">
            <w:pPr>
              <w:pStyle w:val="41"/>
              <w:rPr>
                <w:color w:val="auto"/>
                <w:highlight w:val="none"/>
              </w:rPr>
            </w:pPr>
            <w:r>
              <w:rPr>
                <w:color w:val="auto"/>
                <w:highlight w:val="none"/>
              </w:rPr>
              <w:t>SW</w:t>
            </w:r>
          </w:p>
        </w:tc>
        <w:tc>
          <w:tcPr>
            <w:tcW w:w="281" w:type="pct"/>
            <w:tcBorders>
              <w:tl2br w:val="nil"/>
              <w:tr2bl w:val="nil"/>
            </w:tcBorders>
            <w:shd w:val="clear" w:color="auto" w:fill="auto"/>
            <w:noWrap/>
            <w:vAlign w:val="bottom"/>
          </w:tcPr>
          <w:p w14:paraId="321DF3F6">
            <w:pPr>
              <w:pStyle w:val="41"/>
              <w:rPr>
                <w:color w:val="auto"/>
                <w:highlight w:val="none"/>
              </w:rPr>
            </w:pPr>
            <w:r>
              <w:rPr>
                <w:color w:val="auto"/>
                <w:highlight w:val="none"/>
              </w:rPr>
              <w:t>WSW</w:t>
            </w:r>
          </w:p>
        </w:tc>
        <w:tc>
          <w:tcPr>
            <w:tcW w:w="281" w:type="pct"/>
            <w:tcBorders>
              <w:tl2br w:val="nil"/>
              <w:tr2bl w:val="nil"/>
            </w:tcBorders>
            <w:shd w:val="clear" w:color="auto" w:fill="auto"/>
            <w:noWrap/>
            <w:vAlign w:val="bottom"/>
          </w:tcPr>
          <w:p w14:paraId="4224E255">
            <w:pPr>
              <w:pStyle w:val="41"/>
              <w:rPr>
                <w:color w:val="auto"/>
                <w:highlight w:val="none"/>
              </w:rPr>
            </w:pPr>
            <w:r>
              <w:rPr>
                <w:color w:val="auto"/>
                <w:highlight w:val="none"/>
              </w:rPr>
              <w:t>W</w:t>
            </w:r>
          </w:p>
        </w:tc>
        <w:tc>
          <w:tcPr>
            <w:tcW w:w="260" w:type="pct"/>
            <w:tcBorders>
              <w:tl2br w:val="nil"/>
              <w:tr2bl w:val="nil"/>
            </w:tcBorders>
            <w:shd w:val="clear" w:color="auto" w:fill="auto"/>
            <w:noWrap/>
            <w:vAlign w:val="bottom"/>
          </w:tcPr>
          <w:p w14:paraId="1C0BB90A">
            <w:pPr>
              <w:pStyle w:val="41"/>
              <w:rPr>
                <w:color w:val="auto"/>
                <w:highlight w:val="none"/>
              </w:rPr>
            </w:pPr>
            <w:r>
              <w:rPr>
                <w:color w:val="auto"/>
                <w:highlight w:val="none"/>
              </w:rPr>
              <w:t>WNW</w:t>
            </w:r>
          </w:p>
        </w:tc>
        <w:tc>
          <w:tcPr>
            <w:tcW w:w="260" w:type="pct"/>
            <w:tcBorders>
              <w:tl2br w:val="nil"/>
              <w:tr2bl w:val="nil"/>
            </w:tcBorders>
            <w:shd w:val="clear" w:color="auto" w:fill="auto"/>
            <w:noWrap/>
            <w:vAlign w:val="bottom"/>
          </w:tcPr>
          <w:p w14:paraId="08C6662A">
            <w:pPr>
              <w:pStyle w:val="41"/>
              <w:rPr>
                <w:color w:val="auto"/>
                <w:highlight w:val="none"/>
              </w:rPr>
            </w:pPr>
            <w:r>
              <w:rPr>
                <w:color w:val="auto"/>
                <w:highlight w:val="none"/>
              </w:rPr>
              <w:t>NW</w:t>
            </w:r>
          </w:p>
        </w:tc>
        <w:tc>
          <w:tcPr>
            <w:tcW w:w="260" w:type="pct"/>
            <w:tcBorders>
              <w:tl2br w:val="nil"/>
              <w:tr2bl w:val="nil"/>
            </w:tcBorders>
            <w:shd w:val="clear" w:color="auto" w:fill="auto"/>
            <w:noWrap/>
            <w:vAlign w:val="bottom"/>
          </w:tcPr>
          <w:p w14:paraId="3E4A0F35">
            <w:pPr>
              <w:pStyle w:val="41"/>
              <w:rPr>
                <w:color w:val="auto"/>
                <w:highlight w:val="none"/>
              </w:rPr>
            </w:pPr>
            <w:r>
              <w:rPr>
                <w:color w:val="auto"/>
                <w:highlight w:val="none"/>
              </w:rPr>
              <w:t>NNW</w:t>
            </w:r>
          </w:p>
        </w:tc>
        <w:tc>
          <w:tcPr>
            <w:tcW w:w="261" w:type="pct"/>
            <w:tcBorders>
              <w:tl2br w:val="nil"/>
              <w:tr2bl w:val="nil"/>
            </w:tcBorders>
            <w:shd w:val="clear" w:color="auto" w:fill="auto"/>
            <w:noWrap/>
            <w:vAlign w:val="bottom"/>
          </w:tcPr>
          <w:p w14:paraId="3A3635B4">
            <w:pPr>
              <w:pStyle w:val="41"/>
              <w:rPr>
                <w:color w:val="auto"/>
                <w:highlight w:val="none"/>
              </w:rPr>
            </w:pPr>
            <w:r>
              <w:rPr>
                <w:color w:val="auto"/>
                <w:highlight w:val="none"/>
              </w:rPr>
              <w:t xml:space="preserve"> C </w:t>
            </w:r>
          </w:p>
        </w:tc>
      </w:tr>
      <w:tr w14:paraId="17E68A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469" w:type="pct"/>
            <w:tcBorders>
              <w:tl2br w:val="nil"/>
              <w:tr2bl w:val="nil"/>
            </w:tcBorders>
            <w:shd w:val="clear" w:color="auto" w:fill="auto"/>
            <w:noWrap/>
            <w:vAlign w:val="bottom"/>
          </w:tcPr>
          <w:p w14:paraId="235CB1F7">
            <w:pPr>
              <w:pStyle w:val="41"/>
              <w:rPr>
                <w:color w:val="auto"/>
                <w:highlight w:val="none"/>
              </w:rPr>
            </w:pPr>
            <w:r>
              <w:rPr>
                <w:color w:val="auto"/>
                <w:highlight w:val="none"/>
              </w:rPr>
              <w:t xml:space="preserve">一月           </w:t>
            </w:r>
          </w:p>
        </w:tc>
        <w:tc>
          <w:tcPr>
            <w:tcW w:w="259" w:type="pct"/>
            <w:tcBorders>
              <w:tl2br w:val="nil"/>
              <w:tr2bl w:val="nil"/>
            </w:tcBorders>
            <w:shd w:val="clear" w:color="auto" w:fill="auto"/>
            <w:noWrap/>
            <w:vAlign w:val="bottom"/>
          </w:tcPr>
          <w:p w14:paraId="36241B5C">
            <w:pPr>
              <w:pStyle w:val="41"/>
              <w:rPr>
                <w:color w:val="auto"/>
                <w:highlight w:val="none"/>
              </w:rPr>
            </w:pPr>
            <w:r>
              <w:rPr>
                <w:color w:val="auto"/>
                <w:highlight w:val="none"/>
              </w:rPr>
              <w:t xml:space="preserve">8.20 </w:t>
            </w:r>
          </w:p>
        </w:tc>
        <w:tc>
          <w:tcPr>
            <w:tcW w:w="259" w:type="pct"/>
            <w:tcBorders>
              <w:tl2br w:val="nil"/>
              <w:tr2bl w:val="nil"/>
            </w:tcBorders>
            <w:shd w:val="clear" w:color="auto" w:fill="auto"/>
            <w:noWrap/>
            <w:vAlign w:val="bottom"/>
          </w:tcPr>
          <w:p w14:paraId="223A6EF7">
            <w:pPr>
              <w:pStyle w:val="41"/>
              <w:rPr>
                <w:color w:val="auto"/>
                <w:highlight w:val="none"/>
              </w:rPr>
            </w:pPr>
            <w:r>
              <w:rPr>
                <w:color w:val="auto"/>
                <w:highlight w:val="none"/>
              </w:rPr>
              <w:t xml:space="preserve">5.11 </w:t>
            </w:r>
          </w:p>
        </w:tc>
        <w:tc>
          <w:tcPr>
            <w:tcW w:w="259" w:type="pct"/>
            <w:tcBorders>
              <w:tl2br w:val="nil"/>
              <w:tr2bl w:val="nil"/>
            </w:tcBorders>
            <w:shd w:val="clear" w:color="auto" w:fill="auto"/>
            <w:noWrap/>
            <w:vAlign w:val="bottom"/>
          </w:tcPr>
          <w:p w14:paraId="36BFCBB4">
            <w:pPr>
              <w:pStyle w:val="41"/>
              <w:rPr>
                <w:color w:val="auto"/>
                <w:highlight w:val="none"/>
              </w:rPr>
            </w:pPr>
            <w:r>
              <w:rPr>
                <w:color w:val="auto"/>
                <w:highlight w:val="none"/>
              </w:rPr>
              <w:t xml:space="preserve">5.51 </w:t>
            </w:r>
          </w:p>
        </w:tc>
        <w:tc>
          <w:tcPr>
            <w:tcW w:w="259" w:type="pct"/>
            <w:tcBorders>
              <w:tl2br w:val="nil"/>
              <w:tr2bl w:val="nil"/>
            </w:tcBorders>
            <w:shd w:val="clear" w:color="auto" w:fill="auto"/>
            <w:noWrap/>
            <w:vAlign w:val="bottom"/>
          </w:tcPr>
          <w:p w14:paraId="76F68749">
            <w:pPr>
              <w:pStyle w:val="41"/>
              <w:rPr>
                <w:color w:val="auto"/>
                <w:highlight w:val="none"/>
              </w:rPr>
            </w:pPr>
            <w:r>
              <w:rPr>
                <w:color w:val="auto"/>
                <w:highlight w:val="none"/>
              </w:rPr>
              <w:t xml:space="preserve">5.24 </w:t>
            </w:r>
          </w:p>
        </w:tc>
        <w:tc>
          <w:tcPr>
            <w:tcW w:w="259" w:type="pct"/>
            <w:tcBorders>
              <w:tl2br w:val="nil"/>
              <w:tr2bl w:val="nil"/>
            </w:tcBorders>
            <w:shd w:val="clear" w:color="auto" w:fill="auto"/>
            <w:noWrap/>
            <w:vAlign w:val="bottom"/>
          </w:tcPr>
          <w:p w14:paraId="6AB105FC">
            <w:pPr>
              <w:pStyle w:val="41"/>
              <w:rPr>
                <w:color w:val="auto"/>
                <w:highlight w:val="none"/>
              </w:rPr>
            </w:pPr>
            <w:r>
              <w:rPr>
                <w:color w:val="auto"/>
                <w:highlight w:val="none"/>
              </w:rPr>
              <w:t xml:space="preserve">0.67 </w:t>
            </w:r>
          </w:p>
        </w:tc>
        <w:tc>
          <w:tcPr>
            <w:tcW w:w="260" w:type="pct"/>
            <w:tcBorders>
              <w:tl2br w:val="nil"/>
              <w:tr2bl w:val="nil"/>
            </w:tcBorders>
            <w:shd w:val="clear" w:color="auto" w:fill="auto"/>
            <w:noWrap/>
            <w:vAlign w:val="bottom"/>
          </w:tcPr>
          <w:p w14:paraId="243F882A">
            <w:pPr>
              <w:pStyle w:val="41"/>
              <w:rPr>
                <w:color w:val="auto"/>
                <w:highlight w:val="none"/>
              </w:rPr>
            </w:pPr>
            <w:r>
              <w:rPr>
                <w:color w:val="auto"/>
                <w:highlight w:val="none"/>
              </w:rPr>
              <w:t xml:space="preserve">1.08 </w:t>
            </w:r>
          </w:p>
        </w:tc>
        <w:tc>
          <w:tcPr>
            <w:tcW w:w="281" w:type="pct"/>
            <w:tcBorders>
              <w:tl2br w:val="nil"/>
              <w:tr2bl w:val="nil"/>
            </w:tcBorders>
            <w:shd w:val="clear" w:color="auto" w:fill="auto"/>
            <w:noWrap/>
            <w:vAlign w:val="bottom"/>
          </w:tcPr>
          <w:p w14:paraId="34577126">
            <w:pPr>
              <w:pStyle w:val="41"/>
              <w:rPr>
                <w:color w:val="auto"/>
                <w:highlight w:val="none"/>
              </w:rPr>
            </w:pPr>
            <w:r>
              <w:rPr>
                <w:color w:val="auto"/>
                <w:highlight w:val="none"/>
              </w:rPr>
              <w:t xml:space="preserve">3.23 </w:t>
            </w:r>
          </w:p>
        </w:tc>
        <w:tc>
          <w:tcPr>
            <w:tcW w:w="281" w:type="pct"/>
            <w:tcBorders>
              <w:tl2br w:val="nil"/>
              <w:tr2bl w:val="nil"/>
            </w:tcBorders>
            <w:shd w:val="clear" w:color="auto" w:fill="auto"/>
            <w:noWrap/>
            <w:vAlign w:val="bottom"/>
          </w:tcPr>
          <w:p w14:paraId="199C99FF">
            <w:pPr>
              <w:pStyle w:val="41"/>
              <w:rPr>
                <w:color w:val="auto"/>
                <w:highlight w:val="none"/>
              </w:rPr>
            </w:pPr>
            <w:r>
              <w:rPr>
                <w:color w:val="auto"/>
                <w:highlight w:val="none"/>
              </w:rPr>
              <w:t xml:space="preserve">10.08 </w:t>
            </w:r>
          </w:p>
        </w:tc>
        <w:tc>
          <w:tcPr>
            <w:tcW w:w="281" w:type="pct"/>
            <w:tcBorders>
              <w:tl2br w:val="nil"/>
              <w:tr2bl w:val="nil"/>
            </w:tcBorders>
            <w:shd w:val="clear" w:color="auto" w:fill="auto"/>
            <w:noWrap/>
            <w:vAlign w:val="bottom"/>
          </w:tcPr>
          <w:p w14:paraId="27CC814A">
            <w:pPr>
              <w:pStyle w:val="41"/>
              <w:rPr>
                <w:color w:val="auto"/>
                <w:highlight w:val="none"/>
              </w:rPr>
            </w:pPr>
            <w:r>
              <w:rPr>
                <w:color w:val="auto"/>
                <w:highlight w:val="none"/>
              </w:rPr>
              <w:t xml:space="preserve">12.37 </w:t>
            </w:r>
          </w:p>
        </w:tc>
        <w:tc>
          <w:tcPr>
            <w:tcW w:w="260" w:type="pct"/>
            <w:tcBorders>
              <w:tl2br w:val="nil"/>
              <w:tr2bl w:val="nil"/>
            </w:tcBorders>
            <w:shd w:val="clear" w:color="auto" w:fill="auto"/>
            <w:noWrap/>
            <w:vAlign w:val="bottom"/>
          </w:tcPr>
          <w:p w14:paraId="6B88A974">
            <w:pPr>
              <w:pStyle w:val="41"/>
              <w:rPr>
                <w:color w:val="auto"/>
                <w:highlight w:val="none"/>
              </w:rPr>
            </w:pPr>
            <w:r>
              <w:rPr>
                <w:color w:val="auto"/>
                <w:highlight w:val="none"/>
              </w:rPr>
              <w:t xml:space="preserve">5.24 </w:t>
            </w:r>
          </w:p>
        </w:tc>
        <w:tc>
          <w:tcPr>
            <w:tcW w:w="260" w:type="pct"/>
            <w:tcBorders>
              <w:tl2br w:val="nil"/>
              <w:tr2bl w:val="nil"/>
            </w:tcBorders>
            <w:shd w:val="clear" w:color="auto" w:fill="auto"/>
            <w:noWrap/>
            <w:vAlign w:val="bottom"/>
          </w:tcPr>
          <w:p w14:paraId="74D9C278">
            <w:pPr>
              <w:pStyle w:val="41"/>
              <w:rPr>
                <w:color w:val="auto"/>
                <w:highlight w:val="none"/>
              </w:rPr>
            </w:pPr>
            <w:r>
              <w:rPr>
                <w:color w:val="auto"/>
                <w:highlight w:val="none"/>
              </w:rPr>
              <w:t xml:space="preserve">4.03 </w:t>
            </w:r>
          </w:p>
        </w:tc>
        <w:tc>
          <w:tcPr>
            <w:tcW w:w="281" w:type="pct"/>
            <w:tcBorders>
              <w:tl2br w:val="nil"/>
              <w:tr2bl w:val="nil"/>
            </w:tcBorders>
            <w:shd w:val="clear" w:color="auto" w:fill="auto"/>
            <w:noWrap/>
            <w:vAlign w:val="bottom"/>
          </w:tcPr>
          <w:p w14:paraId="61067532">
            <w:pPr>
              <w:pStyle w:val="41"/>
              <w:rPr>
                <w:color w:val="auto"/>
                <w:highlight w:val="none"/>
              </w:rPr>
            </w:pPr>
            <w:r>
              <w:rPr>
                <w:color w:val="auto"/>
                <w:highlight w:val="none"/>
              </w:rPr>
              <w:t xml:space="preserve">7.66 </w:t>
            </w:r>
          </w:p>
        </w:tc>
        <w:tc>
          <w:tcPr>
            <w:tcW w:w="281" w:type="pct"/>
            <w:tcBorders>
              <w:tl2br w:val="nil"/>
              <w:tr2bl w:val="nil"/>
            </w:tcBorders>
            <w:shd w:val="clear" w:color="auto" w:fill="auto"/>
            <w:noWrap/>
            <w:vAlign w:val="bottom"/>
          </w:tcPr>
          <w:p w14:paraId="4FCAE5E4">
            <w:pPr>
              <w:pStyle w:val="41"/>
              <w:rPr>
                <w:color w:val="auto"/>
                <w:highlight w:val="none"/>
              </w:rPr>
            </w:pPr>
            <w:r>
              <w:rPr>
                <w:color w:val="auto"/>
                <w:highlight w:val="none"/>
              </w:rPr>
              <w:t xml:space="preserve">13.98 </w:t>
            </w:r>
          </w:p>
        </w:tc>
        <w:tc>
          <w:tcPr>
            <w:tcW w:w="260" w:type="pct"/>
            <w:tcBorders>
              <w:tl2br w:val="nil"/>
              <w:tr2bl w:val="nil"/>
            </w:tcBorders>
            <w:shd w:val="clear" w:color="auto" w:fill="auto"/>
            <w:noWrap/>
            <w:vAlign w:val="bottom"/>
          </w:tcPr>
          <w:p w14:paraId="35E236CB">
            <w:pPr>
              <w:pStyle w:val="41"/>
              <w:rPr>
                <w:color w:val="auto"/>
                <w:highlight w:val="none"/>
              </w:rPr>
            </w:pPr>
            <w:r>
              <w:rPr>
                <w:color w:val="auto"/>
                <w:highlight w:val="none"/>
              </w:rPr>
              <w:t xml:space="preserve">9.01 </w:t>
            </w:r>
          </w:p>
        </w:tc>
        <w:tc>
          <w:tcPr>
            <w:tcW w:w="260" w:type="pct"/>
            <w:tcBorders>
              <w:tl2br w:val="nil"/>
              <w:tr2bl w:val="nil"/>
            </w:tcBorders>
            <w:shd w:val="clear" w:color="auto" w:fill="auto"/>
            <w:noWrap/>
            <w:vAlign w:val="bottom"/>
          </w:tcPr>
          <w:p w14:paraId="425CD0DA">
            <w:pPr>
              <w:pStyle w:val="41"/>
              <w:rPr>
                <w:color w:val="auto"/>
                <w:highlight w:val="none"/>
              </w:rPr>
            </w:pPr>
            <w:r>
              <w:rPr>
                <w:color w:val="auto"/>
                <w:highlight w:val="none"/>
              </w:rPr>
              <w:t xml:space="preserve">3.90 </w:t>
            </w:r>
          </w:p>
        </w:tc>
        <w:tc>
          <w:tcPr>
            <w:tcW w:w="260" w:type="pct"/>
            <w:tcBorders>
              <w:tl2br w:val="nil"/>
              <w:tr2bl w:val="nil"/>
            </w:tcBorders>
            <w:shd w:val="clear" w:color="auto" w:fill="auto"/>
            <w:noWrap/>
            <w:vAlign w:val="bottom"/>
          </w:tcPr>
          <w:p w14:paraId="7DC5237E">
            <w:pPr>
              <w:pStyle w:val="41"/>
              <w:rPr>
                <w:color w:val="auto"/>
                <w:highlight w:val="none"/>
              </w:rPr>
            </w:pPr>
            <w:r>
              <w:rPr>
                <w:color w:val="auto"/>
                <w:highlight w:val="none"/>
              </w:rPr>
              <w:t xml:space="preserve">4.44 </w:t>
            </w:r>
          </w:p>
        </w:tc>
        <w:tc>
          <w:tcPr>
            <w:tcW w:w="261" w:type="pct"/>
            <w:tcBorders>
              <w:tl2br w:val="nil"/>
              <w:tr2bl w:val="nil"/>
            </w:tcBorders>
            <w:shd w:val="clear" w:color="auto" w:fill="auto"/>
            <w:noWrap/>
            <w:vAlign w:val="bottom"/>
          </w:tcPr>
          <w:p w14:paraId="0EEF92FC">
            <w:pPr>
              <w:pStyle w:val="41"/>
              <w:rPr>
                <w:color w:val="auto"/>
                <w:highlight w:val="none"/>
              </w:rPr>
            </w:pPr>
            <w:r>
              <w:rPr>
                <w:color w:val="auto"/>
                <w:highlight w:val="none"/>
              </w:rPr>
              <w:t xml:space="preserve">0.27 </w:t>
            </w:r>
          </w:p>
        </w:tc>
      </w:tr>
      <w:tr w14:paraId="781FEE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469" w:type="pct"/>
            <w:tcBorders>
              <w:tl2br w:val="nil"/>
              <w:tr2bl w:val="nil"/>
            </w:tcBorders>
            <w:shd w:val="clear" w:color="auto" w:fill="auto"/>
            <w:noWrap/>
            <w:vAlign w:val="bottom"/>
          </w:tcPr>
          <w:p w14:paraId="026C03C9">
            <w:pPr>
              <w:pStyle w:val="41"/>
              <w:rPr>
                <w:color w:val="auto"/>
                <w:highlight w:val="none"/>
              </w:rPr>
            </w:pPr>
            <w:r>
              <w:rPr>
                <w:color w:val="auto"/>
                <w:highlight w:val="none"/>
              </w:rPr>
              <w:t xml:space="preserve">二月           </w:t>
            </w:r>
          </w:p>
        </w:tc>
        <w:tc>
          <w:tcPr>
            <w:tcW w:w="259" w:type="pct"/>
            <w:tcBorders>
              <w:tl2br w:val="nil"/>
              <w:tr2bl w:val="nil"/>
            </w:tcBorders>
            <w:shd w:val="clear" w:color="auto" w:fill="auto"/>
            <w:noWrap/>
            <w:vAlign w:val="bottom"/>
          </w:tcPr>
          <w:p w14:paraId="04D9E228">
            <w:pPr>
              <w:pStyle w:val="41"/>
              <w:rPr>
                <w:color w:val="auto"/>
                <w:highlight w:val="none"/>
              </w:rPr>
            </w:pPr>
            <w:r>
              <w:rPr>
                <w:color w:val="auto"/>
                <w:highlight w:val="none"/>
              </w:rPr>
              <w:t xml:space="preserve">8.48 </w:t>
            </w:r>
          </w:p>
        </w:tc>
        <w:tc>
          <w:tcPr>
            <w:tcW w:w="259" w:type="pct"/>
            <w:tcBorders>
              <w:tl2br w:val="nil"/>
              <w:tr2bl w:val="nil"/>
            </w:tcBorders>
            <w:shd w:val="clear" w:color="auto" w:fill="auto"/>
            <w:noWrap/>
            <w:vAlign w:val="bottom"/>
          </w:tcPr>
          <w:p w14:paraId="35C5CB7C">
            <w:pPr>
              <w:pStyle w:val="41"/>
              <w:rPr>
                <w:color w:val="auto"/>
                <w:highlight w:val="none"/>
              </w:rPr>
            </w:pPr>
            <w:r>
              <w:rPr>
                <w:color w:val="auto"/>
                <w:highlight w:val="none"/>
              </w:rPr>
              <w:t xml:space="preserve">5.06 </w:t>
            </w:r>
          </w:p>
        </w:tc>
        <w:tc>
          <w:tcPr>
            <w:tcW w:w="259" w:type="pct"/>
            <w:tcBorders>
              <w:tl2br w:val="nil"/>
              <w:tr2bl w:val="nil"/>
            </w:tcBorders>
            <w:shd w:val="clear" w:color="auto" w:fill="auto"/>
            <w:noWrap/>
            <w:vAlign w:val="bottom"/>
          </w:tcPr>
          <w:p w14:paraId="001C324D">
            <w:pPr>
              <w:pStyle w:val="41"/>
              <w:rPr>
                <w:color w:val="auto"/>
                <w:highlight w:val="none"/>
              </w:rPr>
            </w:pPr>
            <w:r>
              <w:rPr>
                <w:color w:val="auto"/>
                <w:highlight w:val="none"/>
              </w:rPr>
              <w:t xml:space="preserve">4.02 </w:t>
            </w:r>
          </w:p>
        </w:tc>
        <w:tc>
          <w:tcPr>
            <w:tcW w:w="259" w:type="pct"/>
            <w:tcBorders>
              <w:tl2br w:val="nil"/>
              <w:tr2bl w:val="nil"/>
            </w:tcBorders>
            <w:shd w:val="clear" w:color="auto" w:fill="auto"/>
            <w:noWrap/>
            <w:vAlign w:val="bottom"/>
          </w:tcPr>
          <w:p w14:paraId="54C26B7E">
            <w:pPr>
              <w:pStyle w:val="41"/>
              <w:rPr>
                <w:color w:val="auto"/>
                <w:highlight w:val="none"/>
              </w:rPr>
            </w:pPr>
            <w:r>
              <w:rPr>
                <w:color w:val="auto"/>
                <w:highlight w:val="none"/>
              </w:rPr>
              <w:t xml:space="preserve">3.72 </w:t>
            </w:r>
          </w:p>
        </w:tc>
        <w:tc>
          <w:tcPr>
            <w:tcW w:w="259" w:type="pct"/>
            <w:tcBorders>
              <w:tl2br w:val="nil"/>
              <w:tr2bl w:val="nil"/>
            </w:tcBorders>
            <w:shd w:val="clear" w:color="auto" w:fill="auto"/>
            <w:noWrap/>
            <w:vAlign w:val="bottom"/>
          </w:tcPr>
          <w:p w14:paraId="41A2B178">
            <w:pPr>
              <w:pStyle w:val="41"/>
              <w:rPr>
                <w:color w:val="auto"/>
                <w:highlight w:val="none"/>
              </w:rPr>
            </w:pPr>
            <w:r>
              <w:rPr>
                <w:color w:val="auto"/>
                <w:highlight w:val="none"/>
              </w:rPr>
              <w:t xml:space="preserve">0.15 </w:t>
            </w:r>
          </w:p>
        </w:tc>
        <w:tc>
          <w:tcPr>
            <w:tcW w:w="260" w:type="pct"/>
            <w:tcBorders>
              <w:tl2br w:val="nil"/>
              <w:tr2bl w:val="nil"/>
            </w:tcBorders>
            <w:shd w:val="clear" w:color="auto" w:fill="auto"/>
            <w:noWrap/>
            <w:vAlign w:val="bottom"/>
          </w:tcPr>
          <w:p w14:paraId="197F11A7">
            <w:pPr>
              <w:pStyle w:val="41"/>
              <w:rPr>
                <w:color w:val="auto"/>
                <w:highlight w:val="none"/>
              </w:rPr>
            </w:pPr>
            <w:r>
              <w:rPr>
                <w:color w:val="auto"/>
                <w:highlight w:val="none"/>
              </w:rPr>
              <w:t xml:space="preserve">1.64 </w:t>
            </w:r>
          </w:p>
        </w:tc>
        <w:tc>
          <w:tcPr>
            <w:tcW w:w="281" w:type="pct"/>
            <w:tcBorders>
              <w:tl2br w:val="nil"/>
              <w:tr2bl w:val="nil"/>
            </w:tcBorders>
            <w:shd w:val="clear" w:color="auto" w:fill="auto"/>
            <w:noWrap/>
            <w:vAlign w:val="bottom"/>
          </w:tcPr>
          <w:p w14:paraId="3AD4EAF7">
            <w:pPr>
              <w:pStyle w:val="41"/>
              <w:rPr>
                <w:color w:val="auto"/>
                <w:highlight w:val="none"/>
              </w:rPr>
            </w:pPr>
            <w:r>
              <w:rPr>
                <w:color w:val="auto"/>
                <w:highlight w:val="none"/>
              </w:rPr>
              <w:t xml:space="preserve">4.32 </w:t>
            </w:r>
          </w:p>
        </w:tc>
        <w:tc>
          <w:tcPr>
            <w:tcW w:w="281" w:type="pct"/>
            <w:tcBorders>
              <w:tl2br w:val="nil"/>
              <w:tr2bl w:val="nil"/>
            </w:tcBorders>
            <w:shd w:val="clear" w:color="auto" w:fill="auto"/>
            <w:noWrap/>
            <w:vAlign w:val="bottom"/>
          </w:tcPr>
          <w:p w14:paraId="1546E185">
            <w:pPr>
              <w:pStyle w:val="41"/>
              <w:rPr>
                <w:color w:val="auto"/>
                <w:highlight w:val="none"/>
              </w:rPr>
            </w:pPr>
            <w:r>
              <w:rPr>
                <w:color w:val="auto"/>
                <w:highlight w:val="none"/>
              </w:rPr>
              <w:t xml:space="preserve">11.61 </w:t>
            </w:r>
          </w:p>
        </w:tc>
        <w:tc>
          <w:tcPr>
            <w:tcW w:w="281" w:type="pct"/>
            <w:tcBorders>
              <w:tl2br w:val="nil"/>
              <w:tr2bl w:val="nil"/>
            </w:tcBorders>
            <w:shd w:val="clear" w:color="auto" w:fill="auto"/>
            <w:noWrap/>
            <w:vAlign w:val="bottom"/>
          </w:tcPr>
          <w:p w14:paraId="5B467259">
            <w:pPr>
              <w:pStyle w:val="41"/>
              <w:rPr>
                <w:color w:val="auto"/>
                <w:highlight w:val="none"/>
              </w:rPr>
            </w:pPr>
            <w:r>
              <w:rPr>
                <w:color w:val="auto"/>
                <w:highlight w:val="none"/>
              </w:rPr>
              <w:t xml:space="preserve">8.93 </w:t>
            </w:r>
          </w:p>
        </w:tc>
        <w:tc>
          <w:tcPr>
            <w:tcW w:w="260" w:type="pct"/>
            <w:tcBorders>
              <w:tl2br w:val="nil"/>
              <w:tr2bl w:val="nil"/>
            </w:tcBorders>
            <w:shd w:val="clear" w:color="auto" w:fill="auto"/>
            <w:noWrap/>
            <w:vAlign w:val="bottom"/>
          </w:tcPr>
          <w:p w14:paraId="389DA1AA">
            <w:pPr>
              <w:pStyle w:val="41"/>
              <w:rPr>
                <w:color w:val="auto"/>
                <w:highlight w:val="none"/>
              </w:rPr>
            </w:pPr>
            <w:r>
              <w:rPr>
                <w:color w:val="auto"/>
                <w:highlight w:val="none"/>
              </w:rPr>
              <w:t xml:space="preserve">6.10 </w:t>
            </w:r>
          </w:p>
        </w:tc>
        <w:tc>
          <w:tcPr>
            <w:tcW w:w="260" w:type="pct"/>
            <w:tcBorders>
              <w:tl2br w:val="nil"/>
              <w:tr2bl w:val="nil"/>
            </w:tcBorders>
            <w:shd w:val="clear" w:color="auto" w:fill="auto"/>
            <w:noWrap/>
            <w:vAlign w:val="bottom"/>
          </w:tcPr>
          <w:p w14:paraId="124FCEBA">
            <w:pPr>
              <w:pStyle w:val="41"/>
              <w:rPr>
                <w:color w:val="auto"/>
                <w:highlight w:val="none"/>
              </w:rPr>
            </w:pPr>
            <w:r>
              <w:rPr>
                <w:color w:val="auto"/>
                <w:highlight w:val="none"/>
              </w:rPr>
              <w:t xml:space="preserve">4.91 </w:t>
            </w:r>
          </w:p>
        </w:tc>
        <w:tc>
          <w:tcPr>
            <w:tcW w:w="281" w:type="pct"/>
            <w:tcBorders>
              <w:tl2br w:val="nil"/>
              <w:tr2bl w:val="nil"/>
            </w:tcBorders>
            <w:shd w:val="clear" w:color="auto" w:fill="auto"/>
            <w:noWrap/>
            <w:vAlign w:val="bottom"/>
          </w:tcPr>
          <w:p w14:paraId="1ABA727D">
            <w:pPr>
              <w:pStyle w:val="41"/>
              <w:rPr>
                <w:color w:val="auto"/>
                <w:highlight w:val="none"/>
              </w:rPr>
            </w:pPr>
            <w:r>
              <w:rPr>
                <w:color w:val="auto"/>
                <w:highlight w:val="none"/>
              </w:rPr>
              <w:t xml:space="preserve">7.44 </w:t>
            </w:r>
          </w:p>
        </w:tc>
        <w:tc>
          <w:tcPr>
            <w:tcW w:w="281" w:type="pct"/>
            <w:tcBorders>
              <w:tl2br w:val="nil"/>
              <w:tr2bl w:val="nil"/>
            </w:tcBorders>
            <w:shd w:val="clear" w:color="auto" w:fill="auto"/>
            <w:noWrap/>
            <w:vAlign w:val="bottom"/>
          </w:tcPr>
          <w:p w14:paraId="7DC6F2BC">
            <w:pPr>
              <w:pStyle w:val="41"/>
              <w:rPr>
                <w:color w:val="auto"/>
                <w:highlight w:val="none"/>
              </w:rPr>
            </w:pPr>
            <w:r>
              <w:rPr>
                <w:color w:val="auto"/>
                <w:highlight w:val="none"/>
              </w:rPr>
              <w:t xml:space="preserve">15.33 </w:t>
            </w:r>
          </w:p>
        </w:tc>
        <w:tc>
          <w:tcPr>
            <w:tcW w:w="260" w:type="pct"/>
            <w:tcBorders>
              <w:tl2br w:val="nil"/>
              <w:tr2bl w:val="nil"/>
            </w:tcBorders>
            <w:shd w:val="clear" w:color="auto" w:fill="auto"/>
            <w:noWrap/>
            <w:vAlign w:val="bottom"/>
          </w:tcPr>
          <w:p w14:paraId="545B0185">
            <w:pPr>
              <w:pStyle w:val="41"/>
              <w:rPr>
                <w:color w:val="auto"/>
                <w:highlight w:val="none"/>
              </w:rPr>
            </w:pPr>
            <w:r>
              <w:rPr>
                <w:color w:val="auto"/>
                <w:highlight w:val="none"/>
              </w:rPr>
              <w:t xml:space="preserve">7.74 </w:t>
            </w:r>
          </w:p>
        </w:tc>
        <w:tc>
          <w:tcPr>
            <w:tcW w:w="260" w:type="pct"/>
            <w:tcBorders>
              <w:tl2br w:val="nil"/>
              <w:tr2bl w:val="nil"/>
            </w:tcBorders>
            <w:shd w:val="clear" w:color="auto" w:fill="auto"/>
            <w:noWrap/>
            <w:vAlign w:val="bottom"/>
          </w:tcPr>
          <w:p w14:paraId="42562275">
            <w:pPr>
              <w:pStyle w:val="41"/>
              <w:rPr>
                <w:color w:val="auto"/>
                <w:highlight w:val="none"/>
              </w:rPr>
            </w:pPr>
            <w:r>
              <w:rPr>
                <w:color w:val="auto"/>
                <w:highlight w:val="none"/>
              </w:rPr>
              <w:t xml:space="preserve">4.02 </w:t>
            </w:r>
          </w:p>
        </w:tc>
        <w:tc>
          <w:tcPr>
            <w:tcW w:w="260" w:type="pct"/>
            <w:tcBorders>
              <w:tl2br w:val="nil"/>
              <w:tr2bl w:val="nil"/>
            </w:tcBorders>
            <w:shd w:val="clear" w:color="auto" w:fill="auto"/>
            <w:noWrap/>
            <w:vAlign w:val="bottom"/>
          </w:tcPr>
          <w:p w14:paraId="7D74C5DB">
            <w:pPr>
              <w:pStyle w:val="41"/>
              <w:rPr>
                <w:color w:val="auto"/>
                <w:highlight w:val="none"/>
              </w:rPr>
            </w:pPr>
            <w:r>
              <w:rPr>
                <w:color w:val="auto"/>
                <w:highlight w:val="none"/>
              </w:rPr>
              <w:t xml:space="preserve">6.40 </w:t>
            </w:r>
          </w:p>
        </w:tc>
        <w:tc>
          <w:tcPr>
            <w:tcW w:w="261" w:type="pct"/>
            <w:tcBorders>
              <w:tl2br w:val="nil"/>
              <w:tr2bl w:val="nil"/>
            </w:tcBorders>
            <w:shd w:val="clear" w:color="auto" w:fill="auto"/>
            <w:noWrap/>
            <w:vAlign w:val="bottom"/>
          </w:tcPr>
          <w:p w14:paraId="03D75D38">
            <w:pPr>
              <w:pStyle w:val="41"/>
              <w:rPr>
                <w:color w:val="auto"/>
                <w:highlight w:val="none"/>
              </w:rPr>
            </w:pPr>
            <w:r>
              <w:rPr>
                <w:color w:val="auto"/>
                <w:highlight w:val="none"/>
              </w:rPr>
              <w:t xml:space="preserve">0.15 </w:t>
            </w:r>
          </w:p>
        </w:tc>
      </w:tr>
      <w:tr w14:paraId="4F0E5C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469" w:type="pct"/>
            <w:tcBorders>
              <w:tl2br w:val="nil"/>
              <w:tr2bl w:val="nil"/>
            </w:tcBorders>
            <w:shd w:val="clear" w:color="auto" w:fill="auto"/>
            <w:noWrap/>
            <w:vAlign w:val="bottom"/>
          </w:tcPr>
          <w:p w14:paraId="7C0052F0">
            <w:pPr>
              <w:pStyle w:val="41"/>
              <w:rPr>
                <w:color w:val="auto"/>
                <w:highlight w:val="none"/>
              </w:rPr>
            </w:pPr>
            <w:r>
              <w:rPr>
                <w:color w:val="auto"/>
                <w:highlight w:val="none"/>
              </w:rPr>
              <w:t xml:space="preserve">三月           </w:t>
            </w:r>
          </w:p>
        </w:tc>
        <w:tc>
          <w:tcPr>
            <w:tcW w:w="259" w:type="pct"/>
            <w:tcBorders>
              <w:tl2br w:val="nil"/>
              <w:tr2bl w:val="nil"/>
            </w:tcBorders>
            <w:shd w:val="clear" w:color="auto" w:fill="auto"/>
            <w:noWrap/>
            <w:vAlign w:val="bottom"/>
          </w:tcPr>
          <w:p w14:paraId="337ABC4C">
            <w:pPr>
              <w:pStyle w:val="41"/>
              <w:rPr>
                <w:color w:val="auto"/>
                <w:highlight w:val="none"/>
              </w:rPr>
            </w:pPr>
            <w:r>
              <w:rPr>
                <w:color w:val="auto"/>
                <w:highlight w:val="none"/>
              </w:rPr>
              <w:t xml:space="preserve">8.74 </w:t>
            </w:r>
          </w:p>
        </w:tc>
        <w:tc>
          <w:tcPr>
            <w:tcW w:w="259" w:type="pct"/>
            <w:tcBorders>
              <w:tl2br w:val="nil"/>
              <w:tr2bl w:val="nil"/>
            </w:tcBorders>
            <w:shd w:val="clear" w:color="auto" w:fill="auto"/>
            <w:noWrap/>
            <w:vAlign w:val="bottom"/>
          </w:tcPr>
          <w:p w14:paraId="069673DF">
            <w:pPr>
              <w:pStyle w:val="41"/>
              <w:rPr>
                <w:color w:val="auto"/>
                <w:highlight w:val="none"/>
              </w:rPr>
            </w:pPr>
            <w:r>
              <w:rPr>
                <w:color w:val="auto"/>
                <w:highlight w:val="none"/>
              </w:rPr>
              <w:t xml:space="preserve">5.11 </w:t>
            </w:r>
          </w:p>
        </w:tc>
        <w:tc>
          <w:tcPr>
            <w:tcW w:w="259" w:type="pct"/>
            <w:tcBorders>
              <w:tl2br w:val="nil"/>
              <w:tr2bl w:val="nil"/>
            </w:tcBorders>
            <w:shd w:val="clear" w:color="auto" w:fill="auto"/>
            <w:noWrap/>
            <w:vAlign w:val="bottom"/>
          </w:tcPr>
          <w:p w14:paraId="54E7F7B2">
            <w:pPr>
              <w:pStyle w:val="41"/>
              <w:rPr>
                <w:color w:val="auto"/>
                <w:highlight w:val="none"/>
              </w:rPr>
            </w:pPr>
            <w:r>
              <w:rPr>
                <w:color w:val="auto"/>
                <w:highlight w:val="none"/>
              </w:rPr>
              <w:t xml:space="preserve">5.11 </w:t>
            </w:r>
          </w:p>
        </w:tc>
        <w:tc>
          <w:tcPr>
            <w:tcW w:w="259" w:type="pct"/>
            <w:tcBorders>
              <w:tl2br w:val="nil"/>
              <w:tr2bl w:val="nil"/>
            </w:tcBorders>
            <w:shd w:val="clear" w:color="auto" w:fill="auto"/>
            <w:noWrap/>
            <w:vAlign w:val="bottom"/>
          </w:tcPr>
          <w:p w14:paraId="62163EA7">
            <w:pPr>
              <w:pStyle w:val="41"/>
              <w:rPr>
                <w:color w:val="auto"/>
                <w:highlight w:val="none"/>
              </w:rPr>
            </w:pPr>
            <w:r>
              <w:rPr>
                <w:color w:val="auto"/>
                <w:highlight w:val="none"/>
              </w:rPr>
              <w:t xml:space="preserve">2.55 </w:t>
            </w:r>
          </w:p>
        </w:tc>
        <w:tc>
          <w:tcPr>
            <w:tcW w:w="259" w:type="pct"/>
            <w:tcBorders>
              <w:tl2br w:val="nil"/>
              <w:tr2bl w:val="nil"/>
            </w:tcBorders>
            <w:shd w:val="clear" w:color="auto" w:fill="auto"/>
            <w:noWrap/>
            <w:vAlign w:val="bottom"/>
          </w:tcPr>
          <w:p w14:paraId="0A6E8874">
            <w:pPr>
              <w:pStyle w:val="41"/>
              <w:rPr>
                <w:color w:val="auto"/>
                <w:highlight w:val="none"/>
              </w:rPr>
            </w:pPr>
            <w:r>
              <w:rPr>
                <w:color w:val="auto"/>
                <w:highlight w:val="none"/>
              </w:rPr>
              <w:t xml:space="preserve">0.54 </w:t>
            </w:r>
          </w:p>
        </w:tc>
        <w:tc>
          <w:tcPr>
            <w:tcW w:w="260" w:type="pct"/>
            <w:tcBorders>
              <w:tl2br w:val="nil"/>
              <w:tr2bl w:val="nil"/>
            </w:tcBorders>
            <w:shd w:val="clear" w:color="auto" w:fill="auto"/>
            <w:noWrap/>
            <w:vAlign w:val="bottom"/>
          </w:tcPr>
          <w:p w14:paraId="4D758050">
            <w:pPr>
              <w:pStyle w:val="41"/>
              <w:rPr>
                <w:color w:val="auto"/>
                <w:highlight w:val="none"/>
              </w:rPr>
            </w:pPr>
            <w:r>
              <w:rPr>
                <w:color w:val="auto"/>
                <w:highlight w:val="none"/>
              </w:rPr>
              <w:t xml:space="preserve">1.75 </w:t>
            </w:r>
          </w:p>
        </w:tc>
        <w:tc>
          <w:tcPr>
            <w:tcW w:w="281" w:type="pct"/>
            <w:tcBorders>
              <w:tl2br w:val="nil"/>
              <w:tr2bl w:val="nil"/>
            </w:tcBorders>
            <w:shd w:val="clear" w:color="auto" w:fill="auto"/>
            <w:noWrap/>
            <w:vAlign w:val="bottom"/>
          </w:tcPr>
          <w:p w14:paraId="2FC8636A">
            <w:pPr>
              <w:pStyle w:val="41"/>
              <w:rPr>
                <w:color w:val="auto"/>
                <w:highlight w:val="none"/>
              </w:rPr>
            </w:pPr>
            <w:r>
              <w:rPr>
                <w:color w:val="auto"/>
                <w:highlight w:val="none"/>
              </w:rPr>
              <w:t xml:space="preserve">4.97 </w:t>
            </w:r>
          </w:p>
        </w:tc>
        <w:tc>
          <w:tcPr>
            <w:tcW w:w="281" w:type="pct"/>
            <w:tcBorders>
              <w:tl2br w:val="nil"/>
              <w:tr2bl w:val="nil"/>
            </w:tcBorders>
            <w:shd w:val="clear" w:color="auto" w:fill="auto"/>
            <w:noWrap/>
            <w:vAlign w:val="bottom"/>
          </w:tcPr>
          <w:p w14:paraId="359AB7FE">
            <w:pPr>
              <w:pStyle w:val="41"/>
              <w:rPr>
                <w:color w:val="auto"/>
                <w:highlight w:val="none"/>
              </w:rPr>
            </w:pPr>
            <w:r>
              <w:rPr>
                <w:color w:val="auto"/>
                <w:highlight w:val="none"/>
              </w:rPr>
              <w:t xml:space="preserve">11.29 </w:t>
            </w:r>
          </w:p>
        </w:tc>
        <w:tc>
          <w:tcPr>
            <w:tcW w:w="281" w:type="pct"/>
            <w:tcBorders>
              <w:tl2br w:val="nil"/>
              <w:tr2bl w:val="nil"/>
            </w:tcBorders>
            <w:shd w:val="clear" w:color="auto" w:fill="auto"/>
            <w:noWrap/>
            <w:vAlign w:val="bottom"/>
          </w:tcPr>
          <w:p w14:paraId="0B9166FD">
            <w:pPr>
              <w:pStyle w:val="41"/>
              <w:rPr>
                <w:color w:val="auto"/>
                <w:highlight w:val="none"/>
              </w:rPr>
            </w:pPr>
            <w:r>
              <w:rPr>
                <w:color w:val="auto"/>
                <w:highlight w:val="none"/>
              </w:rPr>
              <w:t xml:space="preserve">12.50 </w:t>
            </w:r>
          </w:p>
        </w:tc>
        <w:tc>
          <w:tcPr>
            <w:tcW w:w="260" w:type="pct"/>
            <w:tcBorders>
              <w:tl2br w:val="nil"/>
              <w:tr2bl w:val="nil"/>
            </w:tcBorders>
            <w:shd w:val="clear" w:color="auto" w:fill="auto"/>
            <w:noWrap/>
            <w:vAlign w:val="bottom"/>
          </w:tcPr>
          <w:p w14:paraId="6428B7F9">
            <w:pPr>
              <w:pStyle w:val="41"/>
              <w:rPr>
                <w:color w:val="auto"/>
                <w:highlight w:val="none"/>
              </w:rPr>
            </w:pPr>
            <w:r>
              <w:rPr>
                <w:color w:val="auto"/>
                <w:highlight w:val="none"/>
              </w:rPr>
              <w:t xml:space="preserve">5.78 </w:t>
            </w:r>
          </w:p>
        </w:tc>
        <w:tc>
          <w:tcPr>
            <w:tcW w:w="260" w:type="pct"/>
            <w:tcBorders>
              <w:tl2br w:val="nil"/>
              <w:tr2bl w:val="nil"/>
            </w:tcBorders>
            <w:shd w:val="clear" w:color="auto" w:fill="auto"/>
            <w:noWrap/>
            <w:vAlign w:val="bottom"/>
          </w:tcPr>
          <w:p w14:paraId="0926B0EA">
            <w:pPr>
              <w:pStyle w:val="41"/>
              <w:rPr>
                <w:color w:val="auto"/>
                <w:highlight w:val="none"/>
              </w:rPr>
            </w:pPr>
            <w:r>
              <w:rPr>
                <w:color w:val="auto"/>
                <w:highlight w:val="none"/>
              </w:rPr>
              <w:t xml:space="preserve">6.85 </w:t>
            </w:r>
          </w:p>
        </w:tc>
        <w:tc>
          <w:tcPr>
            <w:tcW w:w="281" w:type="pct"/>
            <w:tcBorders>
              <w:tl2br w:val="nil"/>
              <w:tr2bl w:val="nil"/>
            </w:tcBorders>
            <w:shd w:val="clear" w:color="auto" w:fill="auto"/>
            <w:noWrap/>
            <w:vAlign w:val="bottom"/>
          </w:tcPr>
          <w:p w14:paraId="2C5DB23D">
            <w:pPr>
              <w:pStyle w:val="41"/>
              <w:rPr>
                <w:color w:val="auto"/>
                <w:highlight w:val="none"/>
              </w:rPr>
            </w:pPr>
            <w:r>
              <w:rPr>
                <w:color w:val="auto"/>
                <w:highlight w:val="none"/>
              </w:rPr>
              <w:t xml:space="preserve">7.80 </w:t>
            </w:r>
          </w:p>
        </w:tc>
        <w:tc>
          <w:tcPr>
            <w:tcW w:w="281" w:type="pct"/>
            <w:tcBorders>
              <w:tl2br w:val="nil"/>
              <w:tr2bl w:val="nil"/>
            </w:tcBorders>
            <w:shd w:val="clear" w:color="auto" w:fill="auto"/>
            <w:noWrap/>
            <w:vAlign w:val="bottom"/>
          </w:tcPr>
          <w:p w14:paraId="218B8E9A">
            <w:pPr>
              <w:pStyle w:val="41"/>
              <w:rPr>
                <w:color w:val="auto"/>
                <w:highlight w:val="none"/>
              </w:rPr>
            </w:pPr>
            <w:r>
              <w:rPr>
                <w:color w:val="auto"/>
                <w:highlight w:val="none"/>
              </w:rPr>
              <w:t xml:space="preserve">9.95 </w:t>
            </w:r>
          </w:p>
        </w:tc>
        <w:tc>
          <w:tcPr>
            <w:tcW w:w="260" w:type="pct"/>
            <w:tcBorders>
              <w:tl2br w:val="nil"/>
              <w:tr2bl w:val="nil"/>
            </w:tcBorders>
            <w:shd w:val="clear" w:color="auto" w:fill="auto"/>
            <w:noWrap/>
            <w:vAlign w:val="bottom"/>
          </w:tcPr>
          <w:p w14:paraId="01EA6584">
            <w:pPr>
              <w:pStyle w:val="41"/>
              <w:rPr>
                <w:color w:val="auto"/>
                <w:highlight w:val="none"/>
              </w:rPr>
            </w:pPr>
            <w:r>
              <w:rPr>
                <w:color w:val="auto"/>
                <w:highlight w:val="none"/>
              </w:rPr>
              <w:t xml:space="preserve">6.45 </w:t>
            </w:r>
          </w:p>
        </w:tc>
        <w:tc>
          <w:tcPr>
            <w:tcW w:w="260" w:type="pct"/>
            <w:tcBorders>
              <w:tl2br w:val="nil"/>
              <w:tr2bl w:val="nil"/>
            </w:tcBorders>
            <w:shd w:val="clear" w:color="auto" w:fill="auto"/>
            <w:noWrap/>
            <w:vAlign w:val="bottom"/>
          </w:tcPr>
          <w:p w14:paraId="18453BF1">
            <w:pPr>
              <w:pStyle w:val="41"/>
              <w:rPr>
                <w:color w:val="auto"/>
                <w:highlight w:val="none"/>
              </w:rPr>
            </w:pPr>
            <w:r>
              <w:rPr>
                <w:color w:val="auto"/>
                <w:highlight w:val="none"/>
              </w:rPr>
              <w:t xml:space="preserve">4.03 </w:t>
            </w:r>
          </w:p>
        </w:tc>
        <w:tc>
          <w:tcPr>
            <w:tcW w:w="260" w:type="pct"/>
            <w:tcBorders>
              <w:tl2br w:val="nil"/>
              <w:tr2bl w:val="nil"/>
            </w:tcBorders>
            <w:shd w:val="clear" w:color="auto" w:fill="auto"/>
            <w:noWrap/>
            <w:vAlign w:val="bottom"/>
          </w:tcPr>
          <w:p w14:paraId="33194EDE">
            <w:pPr>
              <w:pStyle w:val="41"/>
              <w:rPr>
                <w:color w:val="auto"/>
                <w:highlight w:val="none"/>
              </w:rPr>
            </w:pPr>
            <w:r>
              <w:rPr>
                <w:color w:val="auto"/>
                <w:highlight w:val="none"/>
              </w:rPr>
              <w:t xml:space="preserve">6.45 </w:t>
            </w:r>
          </w:p>
        </w:tc>
        <w:tc>
          <w:tcPr>
            <w:tcW w:w="261" w:type="pct"/>
            <w:tcBorders>
              <w:tl2br w:val="nil"/>
              <w:tr2bl w:val="nil"/>
            </w:tcBorders>
            <w:shd w:val="clear" w:color="auto" w:fill="auto"/>
            <w:noWrap/>
            <w:vAlign w:val="bottom"/>
          </w:tcPr>
          <w:p w14:paraId="6CF35B9C">
            <w:pPr>
              <w:pStyle w:val="41"/>
              <w:rPr>
                <w:color w:val="auto"/>
                <w:highlight w:val="none"/>
              </w:rPr>
            </w:pPr>
            <w:r>
              <w:rPr>
                <w:color w:val="auto"/>
                <w:highlight w:val="none"/>
              </w:rPr>
              <w:t xml:space="preserve">0.13 </w:t>
            </w:r>
          </w:p>
        </w:tc>
      </w:tr>
      <w:tr w14:paraId="5FEDD1E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469" w:type="pct"/>
            <w:tcBorders>
              <w:tl2br w:val="nil"/>
              <w:tr2bl w:val="nil"/>
            </w:tcBorders>
            <w:shd w:val="clear" w:color="auto" w:fill="auto"/>
            <w:noWrap/>
            <w:vAlign w:val="bottom"/>
          </w:tcPr>
          <w:p w14:paraId="74ECF877">
            <w:pPr>
              <w:pStyle w:val="41"/>
              <w:rPr>
                <w:color w:val="auto"/>
                <w:highlight w:val="none"/>
              </w:rPr>
            </w:pPr>
            <w:r>
              <w:rPr>
                <w:color w:val="auto"/>
                <w:highlight w:val="none"/>
              </w:rPr>
              <w:t xml:space="preserve">四月           </w:t>
            </w:r>
          </w:p>
        </w:tc>
        <w:tc>
          <w:tcPr>
            <w:tcW w:w="259" w:type="pct"/>
            <w:tcBorders>
              <w:tl2br w:val="nil"/>
              <w:tr2bl w:val="nil"/>
            </w:tcBorders>
            <w:shd w:val="clear" w:color="auto" w:fill="auto"/>
            <w:noWrap/>
            <w:vAlign w:val="bottom"/>
          </w:tcPr>
          <w:p w14:paraId="4204E677">
            <w:pPr>
              <w:pStyle w:val="41"/>
              <w:rPr>
                <w:color w:val="auto"/>
                <w:highlight w:val="none"/>
              </w:rPr>
            </w:pPr>
            <w:r>
              <w:rPr>
                <w:color w:val="auto"/>
                <w:highlight w:val="none"/>
              </w:rPr>
              <w:t xml:space="preserve">7.08 </w:t>
            </w:r>
          </w:p>
        </w:tc>
        <w:tc>
          <w:tcPr>
            <w:tcW w:w="259" w:type="pct"/>
            <w:tcBorders>
              <w:tl2br w:val="nil"/>
              <w:tr2bl w:val="nil"/>
            </w:tcBorders>
            <w:shd w:val="clear" w:color="auto" w:fill="auto"/>
            <w:noWrap/>
            <w:vAlign w:val="bottom"/>
          </w:tcPr>
          <w:p w14:paraId="510A392C">
            <w:pPr>
              <w:pStyle w:val="41"/>
              <w:rPr>
                <w:color w:val="auto"/>
                <w:highlight w:val="none"/>
              </w:rPr>
            </w:pPr>
            <w:r>
              <w:rPr>
                <w:color w:val="auto"/>
                <w:highlight w:val="none"/>
              </w:rPr>
              <w:t xml:space="preserve">5.14 </w:t>
            </w:r>
          </w:p>
        </w:tc>
        <w:tc>
          <w:tcPr>
            <w:tcW w:w="259" w:type="pct"/>
            <w:tcBorders>
              <w:tl2br w:val="nil"/>
              <w:tr2bl w:val="nil"/>
            </w:tcBorders>
            <w:shd w:val="clear" w:color="auto" w:fill="auto"/>
            <w:noWrap/>
            <w:vAlign w:val="bottom"/>
          </w:tcPr>
          <w:p w14:paraId="104033F0">
            <w:pPr>
              <w:pStyle w:val="41"/>
              <w:rPr>
                <w:color w:val="auto"/>
                <w:highlight w:val="none"/>
              </w:rPr>
            </w:pPr>
            <w:r>
              <w:rPr>
                <w:color w:val="auto"/>
                <w:highlight w:val="none"/>
              </w:rPr>
              <w:t xml:space="preserve">3.61 </w:t>
            </w:r>
          </w:p>
        </w:tc>
        <w:tc>
          <w:tcPr>
            <w:tcW w:w="259" w:type="pct"/>
            <w:tcBorders>
              <w:tl2br w:val="nil"/>
              <w:tr2bl w:val="nil"/>
            </w:tcBorders>
            <w:shd w:val="clear" w:color="auto" w:fill="auto"/>
            <w:noWrap/>
            <w:vAlign w:val="bottom"/>
          </w:tcPr>
          <w:p w14:paraId="0A1547B2">
            <w:pPr>
              <w:pStyle w:val="41"/>
              <w:rPr>
                <w:color w:val="auto"/>
                <w:highlight w:val="none"/>
              </w:rPr>
            </w:pPr>
            <w:r>
              <w:rPr>
                <w:color w:val="auto"/>
                <w:highlight w:val="none"/>
              </w:rPr>
              <w:t xml:space="preserve">1.39 </w:t>
            </w:r>
          </w:p>
        </w:tc>
        <w:tc>
          <w:tcPr>
            <w:tcW w:w="259" w:type="pct"/>
            <w:tcBorders>
              <w:tl2br w:val="nil"/>
              <w:tr2bl w:val="nil"/>
            </w:tcBorders>
            <w:shd w:val="clear" w:color="auto" w:fill="auto"/>
            <w:noWrap/>
            <w:vAlign w:val="bottom"/>
          </w:tcPr>
          <w:p w14:paraId="6D6C3268">
            <w:pPr>
              <w:pStyle w:val="41"/>
              <w:rPr>
                <w:color w:val="auto"/>
                <w:highlight w:val="none"/>
              </w:rPr>
            </w:pPr>
            <w:r>
              <w:rPr>
                <w:color w:val="auto"/>
                <w:highlight w:val="none"/>
              </w:rPr>
              <w:t xml:space="preserve">0.56 </w:t>
            </w:r>
          </w:p>
        </w:tc>
        <w:tc>
          <w:tcPr>
            <w:tcW w:w="260" w:type="pct"/>
            <w:tcBorders>
              <w:tl2br w:val="nil"/>
              <w:tr2bl w:val="nil"/>
            </w:tcBorders>
            <w:shd w:val="clear" w:color="auto" w:fill="auto"/>
            <w:noWrap/>
            <w:vAlign w:val="bottom"/>
          </w:tcPr>
          <w:p w14:paraId="6AD6A934">
            <w:pPr>
              <w:pStyle w:val="41"/>
              <w:rPr>
                <w:color w:val="auto"/>
                <w:highlight w:val="none"/>
              </w:rPr>
            </w:pPr>
            <w:r>
              <w:rPr>
                <w:color w:val="auto"/>
                <w:highlight w:val="none"/>
              </w:rPr>
              <w:t xml:space="preserve">1.94 </w:t>
            </w:r>
          </w:p>
        </w:tc>
        <w:tc>
          <w:tcPr>
            <w:tcW w:w="281" w:type="pct"/>
            <w:tcBorders>
              <w:tl2br w:val="nil"/>
              <w:tr2bl w:val="nil"/>
            </w:tcBorders>
            <w:shd w:val="clear" w:color="auto" w:fill="auto"/>
            <w:noWrap/>
            <w:vAlign w:val="bottom"/>
          </w:tcPr>
          <w:p w14:paraId="48261F9C">
            <w:pPr>
              <w:pStyle w:val="41"/>
              <w:rPr>
                <w:color w:val="auto"/>
                <w:highlight w:val="none"/>
              </w:rPr>
            </w:pPr>
            <w:r>
              <w:rPr>
                <w:color w:val="auto"/>
                <w:highlight w:val="none"/>
              </w:rPr>
              <w:t xml:space="preserve">6.81 </w:t>
            </w:r>
          </w:p>
        </w:tc>
        <w:tc>
          <w:tcPr>
            <w:tcW w:w="281" w:type="pct"/>
            <w:tcBorders>
              <w:tl2br w:val="nil"/>
              <w:tr2bl w:val="nil"/>
            </w:tcBorders>
            <w:shd w:val="clear" w:color="auto" w:fill="auto"/>
            <w:noWrap/>
            <w:vAlign w:val="bottom"/>
          </w:tcPr>
          <w:p w14:paraId="799776EA">
            <w:pPr>
              <w:pStyle w:val="41"/>
              <w:rPr>
                <w:color w:val="auto"/>
                <w:highlight w:val="none"/>
              </w:rPr>
            </w:pPr>
            <w:r>
              <w:rPr>
                <w:color w:val="auto"/>
                <w:highlight w:val="none"/>
              </w:rPr>
              <w:t xml:space="preserve">12.50 </w:t>
            </w:r>
          </w:p>
        </w:tc>
        <w:tc>
          <w:tcPr>
            <w:tcW w:w="281" w:type="pct"/>
            <w:tcBorders>
              <w:tl2br w:val="nil"/>
              <w:tr2bl w:val="nil"/>
            </w:tcBorders>
            <w:shd w:val="clear" w:color="auto" w:fill="auto"/>
            <w:noWrap/>
            <w:vAlign w:val="bottom"/>
          </w:tcPr>
          <w:p w14:paraId="42B9E7A4">
            <w:pPr>
              <w:pStyle w:val="41"/>
              <w:rPr>
                <w:color w:val="auto"/>
                <w:highlight w:val="none"/>
              </w:rPr>
            </w:pPr>
            <w:r>
              <w:rPr>
                <w:color w:val="auto"/>
                <w:highlight w:val="none"/>
              </w:rPr>
              <w:t xml:space="preserve">14.44 </w:t>
            </w:r>
          </w:p>
        </w:tc>
        <w:tc>
          <w:tcPr>
            <w:tcW w:w="260" w:type="pct"/>
            <w:tcBorders>
              <w:tl2br w:val="nil"/>
              <w:tr2bl w:val="nil"/>
            </w:tcBorders>
            <w:shd w:val="clear" w:color="auto" w:fill="auto"/>
            <w:noWrap/>
            <w:vAlign w:val="bottom"/>
          </w:tcPr>
          <w:p w14:paraId="70F86980">
            <w:pPr>
              <w:pStyle w:val="41"/>
              <w:rPr>
                <w:color w:val="auto"/>
                <w:highlight w:val="none"/>
              </w:rPr>
            </w:pPr>
            <w:r>
              <w:rPr>
                <w:color w:val="auto"/>
                <w:highlight w:val="none"/>
              </w:rPr>
              <w:t xml:space="preserve">7.22 </w:t>
            </w:r>
          </w:p>
        </w:tc>
        <w:tc>
          <w:tcPr>
            <w:tcW w:w="260" w:type="pct"/>
            <w:tcBorders>
              <w:tl2br w:val="nil"/>
              <w:tr2bl w:val="nil"/>
            </w:tcBorders>
            <w:shd w:val="clear" w:color="auto" w:fill="auto"/>
            <w:noWrap/>
            <w:vAlign w:val="bottom"/>
          </w:tcPr>
          <w:p w14:paraId="04F43510">
            <w:pPr>
              <w:pStyle w:val="41"/>
              <w:rPr>
                <w:color w:val="auto"/>
                <w:highlight w:val="none"/>
              </w:rPr>
            </w:pPr>
            <w:r>
              <w:rPr>
                <w:color w:val="auto"/>
                <w:highlight w:val="none"/>
              </w:rPr>
              <w:t xml:space="preserve">5.56 </w:t>
            </w:r>
          </w:p>
        </w:tc>
        <w:tc>
          <w:tcPr>
            <w:tcW w:w="281" w:type="pct"/>
            <w:tcBorders>
              <w:tl2br w:val="nil"/>
              <w:tr2bl w:val="nil"/>
            </w:tcBorders>
            <w:shd w:val="clear" w:color="auto" w:fill="auto"/>
            <w:noWrap/>
            <w:vAlign w:val="bottom"/>
          </w:tcPr>
          <w:p w14:paraId="27A4471C">
            <w:pPr>
              <w:pStyle w:val="41"/>
              <w:rPr>
                <w:color w:val="auto"/>
                <w:highlight w:val="none"/>
              </w:rPr>
            </w:pPr>
            <w:r>
              <w:rPr>
                <w:color w:val="auto"/>
                <w:highlight w:val="none"/>
              </w:rPr>
              <w:t xml:space="preserve">8.47 </w:t>
            </w:r>
          </w:p>
        </w:tc>
        <w:tc>
          <w:tcPr>
            <w:tcW w:w="281" w:type="pct"/>
            <w:tcBorders>
              <w:tl2br w:val="nil"/>
              <w:tr2bl w:val="nil"/>
            </w:tcBorders>
            <w:shd w:val="clear" w:color="auto" w:fill="auto"/>
            <w:noWrap/>
            <w:vAlign w:val="bottom"/>
          </w:tcPr>
          <w:p w14:paraId="6448BBA9">
            <w:pPr>
              <w:pStyle w:val="41"/>
              <w:rPr>
                <w:color w:val="auto"/>
                <w:highlight w:val="none"/>
              </w:rPr>
            </w:pPr>
            <w:r>
              <w:rPr>
                <w:color w:val="auto"/>
                <w:highlight w:val="none"/>
              </w:rPr>
              <w:t xml:space="preserve">12.64 </w:t>
            </w:r>
          </w:p>
        </w:tc>
        <w:tc>
          <w:tcPr>
            <w:tcW w:w="260" w:type="pct"/>
            <w:tcBorders>
              <w:tl2br w:val="nil"/>
              <w:tr2bl w:val="nil"/>
            </w:tcBorders>
            <w:shd w:val="clear" w:color="auto" w:fill="auto"/>
            <w:noWrap/>
            <w:vAlign w:val="bottom"/>
          </w:tcPr>
          <w:p w14:paraId="55542EF7">
            <w:pPr>
              <w:pStyle w:val="41"/>
              <w:rPr>
                <w:color w:val="auto"/>
                <w:highlight w:val="none"/>
              </w:rPr>
            </w:pPr>
            <w:r>
              <w:rPr>
                <w:color w:val="auto"/>
                <w:highlight w:val="none"/>
              </w:rPr>
              <w:t xml:space="preserve">6.11 </w:t>
            </w:r>
          </w:p>
        </w:tc>
        <w:tc>
          <w:tcPr>
            <w:tcW w:w="260" w:type="pct"/>
            <w:tcBorders>
              <w:tl2br w:val="nil"/>
              <w:tr2bl w:val="nil"/>
            </w:tcBorders>
            <w:shd w:val="clear" w:color="auto" w:fill="auto"/>
            <w:noWrap/>
            <w:vAlign w:val="bottom"/>
          </w:tcPr>
          <w:p w14:paraId="199A9B24">
            <w:pPr>
              <w:pStyle w:val="41"/>
              <w:rPr>
                <w:color w:val="auto"/>
                <w:highlight w:val="none"/>
              </w:rPr>
            </w:pPr>
            <w:r>
              <w:rPr>
                <w:color w:val="auto"/>
                <w:highlight w:val="none"/>
              </w:rPr>
              <w:t xml:space="preserve">3.75 </w:t>
            </w:r>
          </w:p>
        </w:tc>
        <w:tc>
          <w:tcPr>
            <w:tcW w:w="260" w:type="pct"/>
            <w:tcBorders>
              <w:tl2br w:val="nil"/>
              <w:tr2bl w:val="nil"/>
            </w:tcBorders>
            <w:shd w:val="clear" w:color="auto" w:fill="auto"/>
            <w:noWrap/>
            <w:vAlign w:val="bottom"/>
          </w:tcPr>
          <w:p w14:paraId="5B3E6CA6">
            <w:pPr>
              <w:pStyle w:val="41"/>
              <w:rPr>
                <w:color w:val="auto"/>
                <w:highlight w:val="none"/>
              </w:rPr>
            </w:pPr>
            <w:r>
              <w:rPr>
                <w:color w:val="auto"/>
                <w:highlight w:val="none"/>
              </w:rPr>
              <w:t xml:space="preserve">2.78 </w:t>
            </w:r>
          </w:p>
        </w:tc>
        <w:tc>
          <w:tcPr>
            <w:tcW w:w="261" w:type="pct"/>
            <w:tcBorders>
              <w:tl2br w:val="nil"/>
              <w:tr2bl w:val="nil"/>
            </w:tcBorders>
            <w:shd w:val="clear" w:color="auto" w:fill="auto"/>
            <w:noWrap/>
            <w:vAlign w:val="bottom"/>
          </w:tcPr>
          <w:p w14:paraId="04DAFB78">
            <w:pPr>
              <w:pStyle w:val="41"/>
              <w:rPr>
                <w:color w:val="auto"/>
                <w:highlight w:val="none"/>
              </w:rPr>
            </w:pPr>
            <w:r>
              <w:rPr>
                <w:color w:val="auto"/>
                <w:highlight w:val="none"/>
              </w:rPr>
              <w:t xml:space="preserve">0.00 </w:t>
            </w:r>
          </w:p>
        </w:tc>
      </w:tr>
      <w:tr w14:paraId="33BEBBB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469" w:type="pct"/>
            <w:tcBorders>
              <w:tl2br w:val="nil"/>
              <w:tr2bl w:val="nil"/>
            </w:tcBorders>
            <w:shd w:val="clear" w:color="auto" w:fill="auto"/>
            <w:noWrap/>
            <w:vAlign w:val="bottom"/>
          </w:tcPr>
          <w:p w14:paraId="419B7F29">
            <w:pPr>
              <w:pStyle w:val="41"/>
              <w:rPr>
                <w:color w:val="auto"/>
                <w:highlight w:val="none"/>
              </w:rPr>
            </w:pPr>
            <w:r>
              <w:rPr>
                <w:color w:val="auto"/>
                <w:highlight w:val="none"/>
              </w:rPr>
              <w:t xml:space="preserve">五月           </w:t>
            </w:r>
          </w:p>
        </w:tc>
        <w:tc>
          <w:tcPr>
            <w:tcW w:w="259" w:type="pct"/>
            <w:tcBorders>
              <w:tl2br w:val="nil"/>
              <w:tr2bl w:val="nil"/>
            </w:tcBorders>
            <w:shd w:val="clear" w:color="auto" w:fill="auto"/>
            <w:noWrap/>
            <w:vAlign w:val="bottom"/>
          </w:tcPr>
          <w:p w14:paraId="056A30B9">
            <w:pPr>
              <w:pStyle w:val="41"/>
              <w:rPr>
                <w:color w:val="auto"/>
                <w:highlight w:val="none"/>
              </w:rPr>
            </w:pPr>
            <w:r>
              <w:rPr>
                <w:color w:val="auto"/>
                <w:highlight w:val="none"/>
              </w:rPr>
              <w:t xml:space="preserve">5.11 </w:t>
            </w:r>
          </w:p>
        </w:tc>
        <w:tc>
          <w:tcPr>
            <w:tcW w:w="259" w:type="pct"/>
            <w:tcBorders>
              <w:tl2br w:val="nil"/>
              <w:tr2bl w:val="nil"/>
            </w:tcBorders>
            <w:shd w:val="clear" w:color="auto" w:fill="auto"/>
            <w:noWrap/>
            <w:vAlign w:val="bottom"/>
          </w:tcPr>
          <w:p w14:paraId="55DBE11A">
            <w:pPr>
              <w:pStyle w:val="41"/>
              <w:rPr>
                <w:color w:val="auto"/>
                <w:highlight w:val="none"/>
              </w:rPr>
            </w:pPr>
            <w:r>
              <w:rPr>
                <w:color w:val="auto"/>
                <w:highlight w:val="none"/>
              </w:rPr>
              <w:t xml:space="preserve">3.76 </w:t>
            </w:r>
          </w:p>
        </w:tc>
        <w:tc>
          <w:tcPr>
            <w:tcW w:w="259" w:type="pct"/>
            <w:tcBorders>
              <w:tl2br w:val="nil"/>
              <w:tr2bl w:val="nil"/>
            </w:tcBorders>
            <w:shd w:val="clear" w:color="auto" w:fill="auto"/>
            <w:noWrap/>
            <w:vAlign w:val="bottom"/>
          </w:tcPr>
          <w:p w14:paraId="6F578F9D">
            <w:pPr>
              <w:pStyle w:val="41"/>
              <w:rPr>
                <w:color w:val="auto"/>
                <w:highlight w:val="none"/>
              </w:rPr>
            </w:pPr>
            <w:r>
              <w:rPr>
                <w:color w:val="auto"/>
                <w:highlight w:val="none"/>
              </w:rPr>
              <w:t xml:space="preserve">4.17 </w:t>
            </w:r>
          </w:p>
        </w:tc>
        <w:tc>
          <w:tcPr>
            <w:tcW w:w="259" w:type="pct"/>
            <w:tcBorders>
              <w:tl2br w:val="nil"/>
              <w:tr2bl w:val="nil"/>
            </w:tcBorders>
            <w:shd w:val="clear" w:color="auto" w:fill="auto"/>
            <w:noWrap/>
            <w:vAlign w:val="bottom"/>
          </w:tcPr>
          <w:p w14:paraId="0D2D6CD4">
            <w:pPr>
              <w:pStyle w:val="41"/>
              <w:rPr>
                <w:color w:val="auto"/>
                <w:highlight w:val="none"/>
              </w:rPr>
            </w:pPr>
            <w:r>
              <w:rPr>
                <w:color w:val="auto"/>
                <w:highlight w:val="none"/>
              </w:rPr>
              <w:t xml:space="preserve">1.21 </w:t>
            </w:r>
          </w:p>
        </w:tc>
        <w:tc>
          <w:tcPr>
            <w:tcW w:w="259" w:type="pct"/>
            <w:tcBorders>
              <w:tl2br w:val="nil"/>
              <w:tr2bl w:val="nil"/>
            </w:tcBorders>
            <w:shd w:val="clear" w:color="auto" w:fill="auto"/>
            <w:noWrap/>
            <w:vAlign w:val="bottom"/>
          </w:tcPr>
          <w:p w14:paraId="22B4BEFC">
            <w:pPr>
              <w:pStyle w:val="41"/>
              <w:rPr>
                <w:color w:val="auto"/>
                <w:highlight w:val="none"/>
              </w:rPr>
            </w:pPr>
            <w:r>
              <w:rPr>
                <w:color w:val="auto"/>
                <w:highlight w:val="none"/>
              </w:rPr>
              <w:t xml:space="preserve">0.54 </w:t>
            </w:r>
          </w:p>
        </w:tc>
        <w:tc>
          <w:tcPr>
            <w:tcW w:w="260" w:type="pct"/>
            <w:tcBorders>
              <w:tl2br w:val="nil"/>
              <w:tr2bl w:val="nil"/>
            </w:tcBorders>
            <w:shd w:val="clear" w:color="auto" w:fill="auto"/>
            <w:noWrap/>
            <w:vAlign w:val="bottom"/>
          </w:tcPr>
          <w:p w14:paraId="0B0F8558">
            <w:pPr>
              <w:pStyle w:val="41"/>
              <w:rPr>
                <w:color w:val="auto"/>
                <w:highlight w:val="none"/>
              </w:rPr>
            </w:pPr>
            <w:r>
              <w:rPr>
                <w:color w:val="auto"/>
                <w:highlight w:val="none"/>
              </w:rPr>
              <w:t xml:space="preserve">2.55 </w:t>
            </w:r>
          </w:p>
        </w:tc>
        <w:tc>
          <w:tcPr>
            <w:tcW w:w="281" w:type="pct"/>
            <w:tcBorders>
              <w:tl2br w:val="nil"/>
              <w:tr2bl w:val="nil"/>
            </w:tcBorders>
            <w:shd w:val="clear" w:color="auto" w:fill="auto"/>
            <w:noWrap/>
            <w:vAlign w:val="bottom"/>
          </w:tcPr>
          <w:p w14:paraId="6D7B327E">
            <w:pPr>
              <w:pStyle w:val="41"/>
              <w:rPr>
                <w:color w:val="auto"/>
                <w:highlight w:val="none"/>
              </w:rPr>
            </w:pPr>
            <w:r>
              <w:rPr>
                <w:color w:val="auto"/>
                <w:highlight w:val="none"/>
              </w:rPr>
              <w:t xml:space="preserve">8.87 </w:t>
            </w:r>
          </w:p>
        </w:tc>
        <w:tc>
          <w:tcPr>
            <w:tcW w:w="281" w:type="pct"/>
            <w:tcBorders>
              <w:tl2br w:val="nil"/>
              <w:tr2bl w:val="nil"/>
            </w:tcBorders>
            <w:shd w:val="clear" w:color="auto" w:fill="auto"/>
            <w:noWrap/>
            <w:vAlign w:val="bottom"/>
          </w:tcPr>
          <w:p w14:paraId="2A4D0E73">
            <w:pPr>
              <w:pStyle w:val="41"/>
              <w:rPr>
                <w:color w:val="auto"/>
                <w:highlight w:val="none"/>
              </w:rPr>
            </w:pPr>
            <w:r>
              <w:rPr>
                <w:color w:val="auto"/>
                <w:highlight w:val="none"/>
              </w:rPr>
              <w:t xml:space="preserve">12.63 </w:t>
            </w:r>
          </w:p>
        </w:tc>
        <w:tc>
          <w:tcPr>
            <w:tcW w:w="281" w:type="pct"/>
            <w:tcBorders>
              <w:tl2br w:val="nil"/>
              <w:tr2bl w:val="nil"/>
            </w:tcBorders>
            <w:shd w:val="clear" w:color="auto" w:fill="auto"/>
            <w:noWrap/>
            <w:vAlign w:val="bottom"/>
          </w:tcPr>
          <w:p w14:paraId="69302339">
            <w:pPr>
              <w:pStyle w:val="41"/>
              <w:rPr>
                <w:color w:val="auto"/>
                <w:highlight w:val="none"/>
              </w:rPr>
            </w:pPr>
            <w:r>
              <w:rPr>
                <w:color w:val="auto"/>
                <w:highlight w:val="none"/>
              </w:rPr>
              <w:t xml:space="preserve">9.95 </w:t>
            </w:r>
          </w:p>
        </w:tc>
        <w:tc>
          <w:tcPr>
            <w:tcW w:w="260" w:type="pct"/>
            <w:tcBorders>
              <w:tl2br w:val="nil"/>
              <w:tr2bl w:val="nil"/>
            </w:tcBorders>
            <w:shd w:val="clear" w:color="auto" w:fill="auto"/>
            <w:noWrap/>
            <w:vAlign w:val="bottom"/>
          </w:tcPr>
          <w:p w14:paraId="76C42C8D">
            <w:pPr>
              <w:pStyle w:val="41"/>
              <w:rPr>
                <w:color w:val="auto"/>
                <w:highlight w:val="none"/>
              </w:rPr>
            </w:pPr>
            <w:r>
              <w:rPr>
                <w:color w:val="auto"/>
                <w:highlight w:val="none"/>
              </w:rPr>
              <w:t xml:space="preserve">4.97 </w:t>
            </w:r>
          </w:p>
        </w:tc>
        <w:tc>
          <w:tcPr>
            <w:tcW w:w="260" w:type="pct"/>
            <w:tcBorders>
              <w:tl2br w:val="nil"/>
              <w:tr2bl w:val="nil"/>
            </w:tcBorders>
            <w:shd w:val="clear" w:color="auto" w:fill="auto"/>
            <w:noWrap/>
            <w:vAlign w:val="bottom"/>
          </w:tcPr>
          <w:p w14:paraId="5EEE1E2C">
            <w:pPr>
              <w:pStyle w:val="41"/>
              <w:rPr>
                <w:color w:val="auto"/>
                <w:highlight w:val="none"/>
              </w:rPr>
            </w:pPr>
            <w:r>
              <w:rPr>
                <w:color w:val="auto"/>
                <w:highlight w:val="none"/>
              </w:rPr>
              <w:t xml:space="preserve">5.11 </w:t>
            </w:r>
          </w:p>
        </w:tc>
        <w:tc>
          <w:tcPr>
            <w:tcW w:w="281" w:type="pct"/>
            <w:tcBorders>
              <w:tl2br w:val="nil"/>
              <w:tr2bl w:val="nil"/>
            </w:tcBorders>
            <w:shd w:val="clear" w:color="auto" w:fill="auto"/>
            <w:noWrap/>
            <w:vAlign w:val="bottom"/>
          </w:tcPr>
          <w:p w14:paraId="70086F0C">
            <w:pPr>
              <w:pStyle w:val="41"/>
              <w:rPr>
                <w:color w:val="auto"/>
                <w:highlight w:val="none"/>
              </w:rPr>
            </w:pPr>
            <w:r>
              <w:rPr>
                <w:color w:val="auto"/>
                <w:highlight w:val="none"/>
              </w:rPr>
              <w:t xml:space="preserve">6.99 </w:t>
            </w:r>
          </w:p>
        </w:tc>
        <w:tc>
          <w:tcPr>
            <w:tcW w:w="281" w:type="pct"/>
            <w:tcBorders>
              <w:tl2br w:val="nil"/>
              <w:tr2bl w:val="nil"/>
            </w:tcBorders>
            <w:shd w:val="clear" w:color="auto" w:fill="auto"/>
            <w:noWrap/>
            <w:vAlign w:val="bottom"/>
          </w:tcPr>
          <w:p w14:paraId="0E99233D">
            <w:pPr>
              <w:pStyle w:val="41"/>
              <w:rPr>
                <w:color w:val="auto"/>
                <w:highlight w:val="none"/>
              </w:rPr>
            </w:pPr>
            <w:r>
              <w:rPr>
                <w:color w:val="auto"/>
                <w:highlight w:val="none"/>
              </w:rPr>
              <w:t xml:space="preserve">15.73 </w:t>
            </w:r>
          </w:p>
        </w:tc>
        <w:tc>
          <w:tcPr>
            <w:tcW w:w="260" w:type="pct"/>
            <w:tcBorders>
              <w:tl2br w:val="nil"/>
              <w:tr2bl w:val="nil"/>
            </w:tcBorders>
            <w:shd w:val="clear" w:color="auto" w:fill="auto"/>
            <w:noWrap/>
            <w:vAlign w:val="bottom"/>
          </w:tcPr>
          <w:p w14:paraId="23E982A6">
            <w:pPr>
              <w:pStyle w:val="41"/>
              <w:rPr>
                <w:color w:val="auto"/>
                <w:highlight w:val="none"/>
              </w:rPr>
            </w:pPr>
            <w:r>
              <w:rPr>
                <w:color w:val="auto"/>
                <w:highlight w:val="none"/>
              </w:rPr>
              <w:t xml:space="preserve">9.27 </w:t>
            </w:r>
          </w:p>
        </w:tc>
        <w:tc>
          <w:tcPr>
            <w:tcW w:w="260" w:type="pct"/>
            <w:tcBorders>
              <w:tl2br w:val="nil"/>
              <w:tr2bl w:val="nil"/>
            </w:tcBorders>
            <w:shd w:val="clear" w:color="auto" w:fill="auto"/>
            <w:noWrap/>
            <w:vAlign w:val="bottom"/>
          </w:tcPr>
          <w:p w14:paraId="5045E994">
            <w:pPr>
              <w:pStyle w:val="41"/>
              <w:rPr>
                <w:color w:val="auto"/>
                <w:highlight w:val="none"/>
              </w:rPr>
            </w:pPr>
            <w:r>
              <w:rPr>
                <w:color w:val="auto"/>
                <w:highlight w:val="none"/>
              </w:rPr>
              <w:t xml:space="preserve">4.44 </w:t>
            </w:r>
          </w:p>
        </w:tc>
        <w:tc>
          <w:tcPr>
            <w:tcW w:w="260" w:type="pct"/>
            <w:tcBorders>
              <w:tl2br w:val="nil"/>
              <w:tr2bl w:val="nil"/>
            </w:tcBorders>
            <w:shd w:val="clear" w:color="auto" w:fill="auto"/>
            <w:noWrap/>
            <w:vAlign w:val="bottom"/>
          </w:tcPr>
          <w:p w14:paraId="251EB35A">
            <w:pPr>
              <w:pStyle w:val="41"/>
              <w:rPr>
                <w:color w:val="auto"/>
                <w:highlight w:val="none"/>
              </w:rPr>
            </w:pPr>
            <w:r>
              <w:rPr>
                <w:color w:val="auto"/>
                <w:highlight w:val="none"/>
              </w:rPr>
              <w:t xml:space="preserve">4.70 </w:t>
            </w:r>
          </w:p>
        </w:tc>
        <w:tc>
          <w:tcPr>
            <w:tcW w:w="261" w:type="pct"/>
            <w:tcBorders>
              <w:tl2br w:val="nil"/>
              <w:tr2bl w:val="nil"/>
            </w:tcBorders>
            <w:shd w:val="clear" w:color="auto" w:fill="auto"/>
            <w:noWrap/>
            <w:vAlign w:val="bottom"/>
          </w:tcPr>
          <w:p w14:paraId="25D33C58">
            <w:pPr>
              <w:pStyle w:val="41"/>
              <w:rPr>
                <w:color w:val="auto"/>
                <w:highlight w:val="none"/>
              </w:rPr>
            </w:pPr>
            <w:r>
              <w:rPr>
                <w:color w:val="auto"/>
                <w:highlight w:val="none"/>
              </w:rPr>
              <w:t xml:space="preserve">0.00 </w:t>
            </w:r>
          </w:p>
        </w:tc>
      </w:tr>
      <w:tr w14:paraId="158873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469" w:type="pct"/>
            <w:tcBorders>
              <w:tl2br w:val="nil"/>
              <w:tr2bl w:val="nil"/>
            </w:tcBorders>
            <w:shd w:val="clear" w:color="auto" w:fill="auto"/>
            <w:noWrap/>
            <w:vAlign w:val="bottom"/>
          </w:tcPr>
          <w:p w14:paraId="3734E4E1">
            <w:pPr>
              <w:pStyle w:val="41"/>
              <w:rPr>
                <w:color w:val="auto"/>
                <w:highlight w:val="none"/>
              </w:rPr>
            </w:pPr>
            <w:r>
              <w:rPr>
                <w:color w:val="auto"/>
                <w:highlight w:val="none"/>
              </w:rPr>
              <w:t xml:space="preserve">六月           </w:t>
            </w:r>
          </w:p>
        </w:tc>
        <w:tc>
          <w:tcPr>
            <w:tcW w:w="259" w:type="pct"/>
            <w:tcBorders>
              <w:tl2br w:val="nil"/>
              <w:tr2bl w:val="nil"/>
            </w:tcBorders>
            <w:shd w:val="clear" w:color="auto" w:fill="auto"/>
            <w:noWrap/>
            <w:vAlign w:val="bottom"/>
          </w:tcPr>
          <w:p w14:paraId="033D4D74">
            <w:pPr>
              <w:pStyle w:val="41"/>
              <w:rPr>
                <w:color w:val="auto"/>
                <w:highlight w:val="none"/>
              </w:rPr>
            </w:pPr>
            <w:r>
              <w:rPr>
                <w:color w:val="auto"/>
                <w:highlight w:val="none"/>
              </w:rPr>
              <w:t xml:space="preserve">5.28 </w:t>
            </w:r>
          </w:p>
        </w:tc>
        <w:tc>
          <w:tcPr>
            <w:tcW w:w="259" w:type="pct"/>
            <w:tcBorders>
              <w:tl2br w:val="nil"/>
              <w:tr2bl w:val="nil"/>
            </w:tcBorders>
            <w:shd w:val="clear" w:color="auto" w:fill="auto"/>
            <w:noWrap/>
            <w:vAlign w:val="bottom"/>
          </w:tcPr>
          <w:p w14:paraId="61D11A14">
            <w:pPr>
              <w:pStyle w:val="41"/>
              <w:rPr>
                <w:color w:val="auto"/>
                <w:highlight w:val="none"/>
              </w:rPr>
            </w:pPr>
            <w:r>
              <w:rPr>
                <w:color w:val="auto"/>
                <w:highlight w:val="none"/>
              </w:rPr>
              <w:t xml:space="preserve">4.17 </w:t>
            </w:r>
          </w:p>
        </w:tc>
        <w:tc>
          <w:tcPr>
            <w:tcW w:w="259" w:type="pct"/>
            <w:tcBorders>
              <w:tl2br w:val="nil"/>
              <w:tr2bl w:val="nil"/>
            </w:tcBorders>
            <w:shd w:val="clear" w:color="auto" w:fill="auto"/>
            <w:noWrap/>
            <w:vAlign w:val="bottom"/>
          </w:tcPr>
          <w:p w14:paraId="2DE2614A">
            <w:pPr>
              <w:pStyle w:val="41"/>
              <w:rPr>
                <w:color w:val="auto"/>
                <w:highlight w:val="none"/>
              </w:rPr>
            </w:pPr>
            <w:r>
              <w:rPr>
                <w:color w:val="auto"/>
                <w:highlight w:val="none"/>
              </w:rPr>
              <w:t xml:space="preserve">3.33 </w:t>
            </w:r>
          </w:p>
        </w:tc>
        <w:tc>
          <w:tcPr>
            <w:tcW w:w="259" w:type="pct"/>
            <w:tcBorders>
              <w:tl2br w:val="nil"/>
              <w:tr2bl w:val="nil"/>
            </w:tcBorders>
            <w:shd w:val="clear" w:color="auto" w:fill="auto"/>
            <w:noWrap/>
            <w:vAlign w:val="bottom"/>
          </w:tcPr>
          <w:p w14:paraId="60BB0D34">
            <w:pPr>
              <w:pStyle w:val="41"/>
              <w:rPr>
                <w:color w:val="auto"/>
                <w:highlight w:val="none"/>
              </w:rPr>
            </w:pPr>
            <w:r>
              <w:rPr>
                <w:color w:val="auto"/>
                <w:highlight w:val="none"/>
              </w:rPr>
              <w:t xml:space="preserve">2.22 </w:t>
            </w:r>
          </w:p>
        </w:tc>
        <w:tc>
          <w:tcPr>
            <w:tcW w:w="259" w:type="pct"/>
            <w:tcBorders>
              <w:tl2br w:val="nil"/>
              <w:tr2bl w:val="nil"/>
            </w:tcBorders>
            <w:shd w:val="clear" w:color="auto" w:fill="auto"/>
            <w:noWrap/>
            <w:vAlign w:val="bottom"/>
          </w:tcPr>
          <w:p w14:paraId="02F65C03">
            <w:pPr>
              <w:pStyle w:val="41"/>
              <w:rPr>
                <w:color w:val="auto"/>
                <w:highlight w:val="none"/>
              </w:rPr>
            </w:pPr>
            <w:r>
              <w:rPr>
                <w:color w:val="auto"/>
                <w:highlight w:val="none"/>
              </w:rPr>
              <w:t xml:space="preserve">0.42 </w:t>
            </w:r>
          </w:p>
        </w:tc>
        <w:tc>
          <w:tcPr>
            <w:tcW w:w="260" w:type="pct"/>
            <w:tcBorders>
              <w:tl2br w:val="nil"/>
              <w:tr2bl w:val="nil"/>
            </w:tcBorders>
            <w:shd w:val="clear" w:color="auto" w:fill="auto"/>
            <w:noWrap/>
            <w:vAlign w:val="bottom"/>
          </w:tcPr>
          <w:p w14:paraId="40348395">
            <w:pPr>
              <w:pStyle w:val="41"/>
              <w:rPr>
                <w:color w:val="auto"/>
                <w:highlight w:val="none"/>
              </w:rPr>
            </w:pPr>
            <w:r>
              <w:rPr>
                <w:color w:val="auto"/>
                <w:highlight w:val="none"/>
              </w:rPr>
              <w:t xml:space="preserve">3.19 </w:t>
            </w:r>
          </w:p>
        </w:tc>
        <w:tc>
          <w:tcPr>
            <w:tcW w:w="281" w:type="pct"/>
            <w:tcBorders>
              <w:tl2br w:val="nil"/>
              <w:tr2bl w:val="nil"/>
            </w:tcBorders>
            <w:shd w:val="clear" w:color="auto" w:fill="auto"/>
            <w:noWrap/>
            <w:vAlign w:val="bottom"/>
          </w:tcPr>
          <w:p w14:paraId="39A8B037">
            <w:pPr>
              <w:pStyle w:val="41"/>
              <w:rPr>
                <w:color w:val="auto"/>
                <w:highlight w:val="none"/>
              </w:rPr>
            </w:pPr>
            <w:r>
              <w:rPr>
                <w:color w:val="auto"/>
                <w:highlight w:val="none"/>
              </w:rPr>
              <w:t xml:space="preserve">10.14 </w:t>
            </w:r>
          </w:p>
        </w:tc>
        <w:tc>
          <w:tcPr>
            <w:tcW w:w="281" w:type="pct"/>
            <w:tcBorders>
              <w:tl2br w:val="nil"/>
              <w:tr2bl w:val="nil"/>
            </w:tcBorders>
            <w:shd w:val="clear" w:color="auto" w:fill="auto"/>
            <w:noWrap/>
            <w:vAlign w:val="bottom"/>
          </w:tcPr>
          <w:p w14:paraId="177D0A98">
            <w:pPr>
              <w:pStyle w:val="41"/>
              <w:rPr>
                <w:color w:val="auto"/>
                <w:highlight w:val="none"/>
              </w:rPr>
            </w:pPr>
            <w:r>
              <w:rPr>
                <w:color w:val="auto"/>
                <w:highlight w:val="none"/>
              </w:rPr>
              <w:t xml:space="preserve">11.81 </w:t>
            </w:r>
          </w:p>
        </w:tc>
        <w:tc>
          <w:tcPr>
            <w:tcW w:w="281" w:type="pct"/>
            <w:tcBorders>
              <w:tl2br w:val="nil"/>
              <w:tr2bl w:val="nil"/>
            </w:tcBorders>
            <w:shd w:val="clear" w:color="auto" w:fill="auto"/>
            <w:noWrap/>
            <w:vAlign w:val="bottom"/>
          </w:tcPr>
          <w:p w14:paraId="330C302D">
            <w:pPr>
              <w:pStyle w:val="41"/>
              <w:rPr>
                <w:color w:val="auto"/>
                <w:highlight w:val="none"/>
              </w:rPr>
            </w:pPr>
            <w:r>
              <w:rPr>
                <w:color w:val="auto"/>
                <w:highlight w:val="none"/>
              </w:rPr>
              <w:t xml:space="preserve">11.11 </w:t>
            </w:r>
          </w:p>
        </w:tc>
        <w:tc>
          <w:tcPr>
            <w:tcW w:w="260" w:type="pct"/>
            <w:tcBorders>
              <w:tl2br w:val="nil"/>
              <w:tr2bl w:val="nil"/>
            </w:tcBorders>
            <w:shd w:val="clear" w:color="auto" w:fill="auto"/>
            <w:noWrap/>
            <w:vAlign w:val="bottom"/>
          </w:tcPr>
          <w:p w14:paraId="75A108B5">
            <w:pPr>
              <w:pStyle w:val="41"/>
              <w:rPr>
                <w:color w:val="auto"/>
                <w:highlight w:val="none"/>
              </w:rPr>
            </w:pPr>
            <w:r>
              <w:rPr>
                <w:color w:val="auto"/>
                <w:highlight w:val="none"/>
              </w:rPr>
              <w:t xml:space="preserve">5.83 </w:t>
            </w:r>
          </w:p>
        </w:tc>
        <w:tc>
          <w:tcPr>
            <w:tcW w:w="260" w:type="pct"/>
            <w:tcBorders>
              <w:tl2br w:val="nil"/>
              <w:tr2bl w:val="nil"/>
            </w:tcBorders>
            <w:shd w:val="clear" w:color="auto" w:fill="auto"/>
            <w:noWrap/>
            <w:vAlign w:val="bottom"/>
          </w:tcPr>
          <w:p w14:paraId="3DD80A34">
            <w:pPr>
              <w:pStyle w:val="41"/>
              <w:rPr>
                <w:color w:val="auto"/>
                <w:highlight w:val="none"/>
              </w:rPr>
            </w:pPr>
            <w:r>
              <w:rPr>
                <w:color w:val="auto"/>
                <w:highlight w:val="none"/>
              </w:rPr>
              <w:t xml:space="preserve">5.56 </w:t>
            </w:r>
          </w:p>
        </w:tc>
        <w:tc>
          <w:tcPr>
            <w:tcW w:w="281" w:type="pct"/>
            <w:tcBorders>
              <w:tl2br w:val="nil"/>
              <w:tr2bl w:val="nil"/>
            </w:tcBorders>
            <w:shd w:val="clear" w:color="auto" w:fill="auto"/>
            <w:noWrap/>
            <w:vAlign w:val="bottom"/>
          </w:tcPr>
          <w:p w14:paraId="240C4FDF">
            <w:pPr>
              <w:pStyle w:val="41"/>
              <w:rPr>
                <w:color w:val="auto"/>
                <w:highlight w:val="none"/>
              </w:rPr>
            </w:pPr>
            <w:r>
              <w:rPr>
                <w:color w:val="auto"/>
                <w:highlight w:val="none"/>
              </w:rPr>
              <w:t xml:space="preserve">7.08 </w:t>
            </w:r>
          </w:p>
        </w:tc>
        <w:tc>
          <w:tcPr>
            <w:tcW w:w="281" w:type="pct"/>
            <w:tcBorders>
              <w:tl2br w:val="nil"/>
              <w:tr2bl w:val="nil"/>
            </w:tcBorders>
            <w:shd w:val="clear" w:color="auto" w:fill="auto"/>
            <w:noWrap/>
            <w:vAlign w:val="bottom"/>
          </w:tcPr>
          <w:p w14:paraId="0760F5D5">
            <w:pPr>
              <w:pStyle w:val="41"/>
              <w:rPr>
                <w:color w:val="auto"/>
                <w:highlight w:val="none"/>
              </w:rPr>
            </w:pPr>
            <w:r>
              <w:rPr>
                <w:color w:val="auto"/>
                <w:highlight w:val="none"/>
              </w:rPr>
              <w:t xml:space="preserve">17.78 </w:t>
            </w:r>
          </w:p>
        </w:tc>
        <w:tc>
          <w:tcPr>
            <w:tcW w:w="260" w:type="pct"/>
            <w:tcBorders>
              <w:tl2br w:val="nil"/>
              <w:tr2bl w:val="nil"/>
            </w:tcBorders>
            <w:shd w:val="clear" w:color="auto" w:fill="auto"/>
            <w:noWrap/>
            <w:vAlign w:val="bottom"/>
          </w:tcPr>
          <w:p w14:paraId="2DC39B5C">
            <w:pPr>
              <w:pStyle w:val="41"/>
              <w:rPr>
                <w:color w:val="auto"/>
                <w:highlight w:val="none"/>
              </w:rPr>
            </w:pPr>
            <w:r>
              <w:rPr>
                <w:color w:val="auto"/>
                <w:highlight w:val="none"/>
              </w:rPr>
              <w:t xml:space="preserve">5.69 </w:t>
            </w:r>
          </w:p>
        </w:tc>
        <w:tc>
          <w:tcPr>
            <w:tcW w:w="260" w:type="pct"/>
            <w:tcBorders>
              <w:tl2br w:val="nil"/>
              <w:tr2bl w:val="nil"/>
            </w:tcBorders>
            <w:shd w:val="clear" w:color="auto" w:fill="auto"/>
            <w:noWrap/>
            <w:vAlign w:val="bottom"/>
          </w:tcPr>
          <w:p w14:paraId="442BEDFD">
            <w:pPr>
              <w:pStyle w:val="41"/>
              <w:rPr>
                <w:color w:val="auto"/>
                <w:highlight w:val="none"/>
              </w:rPr>
            </w:pPr>
            <w:r>
              <w:rPr>
                <w:color w:val="auto"/>
                <w:highlight w:val="none"/>
              </w:rPr>
              <w:t xml:space="preserve">2.50 </w:t>
            </w:r>
          </w:p>
        </w:tc>
        <w:tc>
          <w:tcPr>
            <w:tcW w:w="260" w:type="pct"/>
            <w:tcBorders>
              <w:tl2br w:val="nil"/>
              <w:tr2bl w:val="nil"/>
            </w:tcBorders>
            <w:shd w:val="clear" w:color="auto" w:fill="auto"/>
            <w:noWrap/>
            <w:vAlign w:val="bottom"/>
          </w:tcPr>
          <w:p w14:paraId="6455ED62">
            <w:pPr>
              <w:pStyle w:val="41"/>
              <w:rPr>
                <w:color w:val="auto"/>
                <w:highlight w:val="none"/>
              </w:rPr>
            </w:pPr>
            <w:r>
              <w:rPr>
                <w:color w:val="auto"/>
                <w:highlight w:val="none"/>
              </w:rPr>
              <w:t xml:space="preserve">3.89 </w:t>
            </w:r>
          </w:p>
        </w:tc>
        <w:tc>
          <w:tcPr>
            <w:tcW w:w="261" w:type="pct"/>
            <w:tcBorders>
              <w:tl2br w:val="nil"/>
              <w:tr2bl w:val="nil"/>
            </w:tcBorders>
            <w:shd w:val="clear" w:color="auto" w:fill="auto"/>
            <w:noWrap/>
            <w:vAlign w:val="bottom"/>
          </w:tcPr>
          <w:p w14:paraId="4F80A6B6">
            <w:pPr>
              <w:pStyle w:val="41"/>
              <w:rPr>
                <w:color w:val="auto"/>
                <w:highlight w:val="none"/>
              </w:rPr>
            </w:pPr>
            <w:r>
              <w:rPr>
                <w:color w:val="auto"/>
                <w:highlight w:val="none"/>
              </w:rPr>
              <w:t xml:space="preserve">0.00 </w:t>
            </w:r>
          </w:p>
        </w:tc>
      </w:tr>
      <w:tr w14:paraId="2DBECC4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469" w:type="pct"/>
            <w:tcBorders>
              <w:tl2br w:val="nil"/>
              <w:tr2bl w:val="nil"/>
            </w:tcBorders>
            <w:shd w:val="clear" w:color="auto" w:fill="auto"/>
            <w:noWrap/>
            <w:vAlign w:val="bottom"/>
          </w:tcPr>
          <w:p w14:paraId="2EBE185E">
            <w:pPr>
              <w:pStyle w:val="41"/>
              <w:rPr>
                <w:color w:val="auto"/>
                <w:highlight w:val="none"/>
              </w:rPr>
            </w:pPr>
            <w:r>
              <w:rPr>
                <w:color w:val="auto"/>
                <w:highlight w:val="none"/>
              </w:rPr>
              <w:t xml:space="preserve">七月           </w:t>
            </w:r>
          </w:p>
        </w:tc>
        <w:tc>
          <w:tcPr>
            <w:tcW w:w="259" w:type="pct"/>
            <w:tcBorders>
              <w:tl2br w:val="nil"/>
              <w:tr2bl w:val="nil"/>
            </w:tcBorders>
            <w:shd w:val="clear" w:color="auto" w:fill="auto"/>
            <w:noWrap/>
            <w:vAlign w:val="bottom"/>
          </w:tcPr>
          <w:p w14:paraId="4DB98B5D">
            <w:pPr>
              <w:pStyle w:val="41"/>
              <w:rPr>
                <w:color w:val="auto"/>
                <w:highlight w:val="none"/>
              </w:rPr>
            </w:pPr>
            <w:r>
              <w:rPr>
                <w:color w:val="auto"/>
                <w:highlight w:val="none"/>
              </w:rPr>
              <w:t xml:space="preserve">5.38 </w:t>
            </w:r>
          </w:p>
        </w:tc>
        <w:tc>
          <w:tcPr>
            <w:tcW w:w="259" w:type="pct"/>
            <w:tcBorders>
              <w:tl2br w:val="nil"/>
              <w:tr2bl w:val="nil"/>
            </w:tcBorders>
            <w:shd w:val="clear" w:color="auto" w:fill="auto"/>
            <w:noWrap/>
            <w:vAlign w:val="bottom"/>
          </w:tcPr>
          <w:p w14:paraId="622457FC">
            <w:pPr>
              <w:pStyle w:val="41"/>
              <w:rPr>
                <w:color w:val="auto"/>
                <w:highlight w:val="none"/>
              </w:rPr>
            </w:pPr>
            <w:r>
              <w:rPr>
                <w:color w:val="auto"/>
                <w:highlight w:val="none"/>
              </w:rPr>
              <w:t xml:space="preserve">4.30 </w:t>
            </w:r>
          </w:p>
        </w:tc>
        <w:tc>
          <w:tcPr>
            <w:tcW w:w="259" w:type="pct"/>
            <w:tcBorders>
              <w:tl2br w:val="nil"/>
              <w:tr2bl w:val="nil"/>
            </w:tcBorders>
            <w:shd w:val="clear" w:color="auto" w:fill="auto"/>
            <w:noWrap/>
            <w:vAlign w:val="bottom"/>
          </w:tcPr>
          <w:p w14:paraId="27503949">
            <w:pPr>
              <w:pStyle w:val="41"/>
              <w:rPr>
                <w:color w:val="auto"/>
                <w:highlight w:val="none"/>
              </w:rPr>
            </w:pPr>
            <w:r>
              <w:rPr>
                <w:color w:val="auto"/>
                <w:highlight w:val="none"/>
              </w:rPr>
              <w:t xml:space="preserve">1.88 </w:t>
            </w:r>
          </w:p>
        </w:tc>
        <w:tc>
          <w:tcPr>
            <w:tcW w:w="259" w:type="pct"/>
            <w:tcBorders>
              <w:tl2br w:val="nil"/>
              <w:tr2bl w:val="nil"/>
            </w:tcBorders>
            <w:shd w:val="clear" w:color="auto" w:fill="auto"/>
            <w:noWrap/>
            <w:vAlign w:val="bottom"/>
          </w:tcPr>
          <w:p w14:paraId="4BB27E16">
            <w:pPr>
              <w:pStyle w:val="41"/>
              <w:rPr>
                <w:color w:val="auto"/>
                <w:highlight w:val="none"/>
              </w:rPr>
            </w:pPr>
            <w:r>
              <w:rPr>
                <w:color w:val="auto"/>
                <w:highlight w:val="none"/>
              </w:rPr>
              <w:t xml:space="preserve">0.94 </w:t>
            </w:r>
          </w:p>
        </w:tc>
        <w:tc>
          <w:tcPr>
            <w:tcW w:w="259" w:type="pct"/>
            <w:tcBorders>
              <w:tl2br w:val="nil"/>
              <w:tr2bl w:val="nil"/>
            </w:tcBorders>
            <w:shd w:val="clear" w:color="auto" w:fill="auto"/>
            <w:noWrap/>
            <w:vAlign w:val="bottom"/>
          </w:tcPr>
          <w:p w14:paraId="199BE04C">
            <w:pPr>
              <w:pStyle w:val="41"/>
              <w:rPr>
                <w:color w:val="auto"/>
                <w:highlight w:val="none"/>
              </w:rPr>
            </w:pPr>
            <w:r>
              <w:rPr>
                <w:color w:val="auto"/>
                <w:highlight w:val="none"/>
              </w:rPr>
              <w:t xml:space="preserve">0.13 </w:t>
            </w:r>
          </w:p>
        </w:tc>
        <w:tc>
          <w:tcPr>
            <w:tcW w:w="260" w:type="pct"/>
            <w:tcBorders>
              <w:tl2br w:val="nil"/>
              <w:tr2bl w:val="nil"/>
            </w:tcBorders>
            <w:shd w:val="clear" w:color="auto" w:fill="auto"/>
            <w:noWrap/>
            <w:vAlign w:val="bottom"/>
          </w:tcPr>
          <w:p w14:paraId="0BF86FF8">
            <w:pPr>
              <w:pStyle w:val="41"/>
              <w:rPr>
                <w:color w:val="auto"/>
                <w:highlight w:val="none"/>
              </w:rPr>
            </w:pPr>
            <w:r>
              <w:rPr>
                <w:color w:val="auto"/>
                <w:highlight w:val="none"/>
              </w:rPr>
              <w:t xml:space="preserve">2.55 </w:t>
            </w:r>
          </w:p>
        </w:tc>
        <w:tc>
          <w:tcPr>
            <w:tcW w:w="281" w:type="pct"/>
            <w:tcBorders>
              <w:tl2br w:val="nil"/>
              <w:tr2bl w:val="nil"/>
            </w:tcBorders>
            <w:shd w:val="clear" w:color="auto" w:fill="auto"/>
            <w:noWrap/>
            <w:vAlign w:val="bottom"/>
          </w:tcPr>
          <w:p w14:paraId="54EC44F3">
            <w:pPr>
              <w:pStyle w:val="41"/>
              <w:rPr>
                <w:color w:val="auto"/>
                <w:highlight w:val="none"/>
              </w:rPr>
            </w:pPr>
            <w:r>
              <w:rPr>
                <w:color w:val="auto"/>
                <w:highlight w:val="none"/>
              </w:rPr>
              <w:t xml:space="preserve">11.16 </w:t>
            </w:r>
          </w:p>
        </w:tc>
        <w:tc>
          <w:tcPr>
            <w:tcW w:w="281" w:type="pct"/>
            <w:tcBorders>
              <w:tl2br w:val="nil"/>
              <w:tr2bl w:val="nil"/>
            </w:tcBorders>
            <w:shd w:val="clear" w:color="auto" w:fill="auto"/>
            <w:noWrap/>
            <w:vAlign w:val="bottom"/>
          </w:tcPr>
          <w:p w14:paraId="071DFF8A">
            <w:pPr>
              <w:pStyle w:val="41"/>
              <w:rPr>
                <w:color w:val="auto"/>
                <w:highlight w:val="none"/>
              </w:rPr>
            </w:pPr>
            <w:r>
              <w:rPr>
                <w:color w:val="auto"/>
                <w:highlight w:val="none"/>
              </w:rPr>
              <w:t xml:space="preserve">16.26 </w:t>
            </w:r>
          </w:p>
        </w:tc>
        <w:tc>
          <w:tcPr>
            <w:tcW w:w="281" w:type="pct"/>
            <w:tcBorders>
              <w:tl2br w:val="nil"/>
              <w:tr2bl w:val="nil"/>
            </w:tcBorders>
            <w:shd w:val="clear" w:color="auto" w:fill="auto"/>
            <w:noWrap/>
            <w:vAlign w:val="bottom"/>
          </w:tcPr>
          <w:p w14:paraId="24E0FBC5">
            <w:pPr>
              <w:pStyle w:val="41"/>
              <w:rPr>
                <w:color w:val="auto"/>
                <w:highlight w:val="none"/>
              </w:rPr>
            </w:pPr>
            <w:r>
              <w:rPr>
                <w:color w:val="auto"/>
                <w:highlight w:val="none"/>
              </w:rPr>
              <w:t xml:space="preserve">12.77 </w:t>
            </w:r>
          </w:p>
        </w:tc>
        <w:tc>
          <w:tcPr>
            <w:tcW w:w="260" w:type="pct"/>
            <w:tcBorders>
              <w:tl2br w:val="nil"/>
              <w:tr2bl w:val="nil"/>
            </w:tcBorders>
            <w:shd w:val="clear" w:color="auto" w:fill="auto"/>
            <w:noWrap/>
            <w:vAlign w:val="bottom"/>
          </w:tcPr>
          <w:p w14:paraId="6627759A">
            <w:pPr>
              <w:pStyle w:val="41"/>
              <w:rPr>
                <w:color w:val="auto"/>
                <w:highlight w:val="none"/>
              </w:rPr>
            </w:pPr>
            <w:r>
              <w:rPr>
                <w:color w:val="auto"/>
                <w:highlight w:val="none"/>
              </w:rPr>
              <w:t xml:space="preserve">5.11 </w:t>
            </w:r>
          </w:p>
        </w:tc>
        <w:tc>
          <w:tcPr>
            <w:tcW w:w="260" w:type="pct"/>
            <w:tcBorders>
              <w:tl2br w:val="nil"/>
              <w:tr2bl w:val="nil"/>
            </w:tcBorders>
            <w:shd w:val="clear" w:color="auto" w:fill="auto"/>
            <w:noWrap/>
            <w:vAlign w:val="bottom"/>
          </w:tcPr>
          <w:p w14:paraId="12D78843">
            <w:pPr>
              <w:pStyle w:val="41"/>
              <w:rPr>
                <w:color w:val="auto"/>
                <w:highlight w:val="none"/>
              </w:rPr>
            </w:pPr>
            <w:r>
              <w:rPr>
                <w:color w:val="auto"/>
                <w:highlight w:val="none"/>
              </w:rPr>
              <w:t xml:space="preserve">6.32 </w:t>
            </w:r>
          </w:p>
        </w:tc>
        <w:tc>
          <w:tcPr>
            <w:tcW w:w="281" w:type="pct"/>
            <w:tcBorders>
              <w:tl2br w:val="nil"/>
              <w:tr2bl w:val="nil"/>
            </w:tcBorders>
            <w:shd w:val="clear" w:color="auto" w:fill="auto"/>
            <w:noWrap/>
            <w:vAlign w:val="bottom"/>
          </w:tcPr>
          <w:p w14:paraId="71933AB8">
            <w:pPr>
              <w:pStyle w:val="41"/>
              <w:rPr>
                <w:color w:val="auto"/>
                <w:highlight w:val="none"/>
              </w:rPr>
            </w:pPr>
            <w:r>
              <w:rPr>
                <w:color w:val="auto"/>
                <w:highlight w:val="none"/>
              </w:rPr>
              <w:t xml:space="preserve">9.14 </w:t>
            </w:r>
          </w:p>
        </w:tc>
        <w:tc>
          <w:tcPr>
            <w:tcW w:w="281" w:type="pct"/>
            <w:tcBorders>
              <w:tl2br w:val="nil"/>
              <w:tr2bl w:val="nil"/>
            </w:tcBorders>
            <w:shd w:val="clear" w:color="auto" w:fill="auto"/>
            <w:noWrap/>
            <w:vAlign w:val="bottom"/>
          </w:tcPr>
          <w:p w14:paraId="38409084">
            <w:pPr>
              <w:pStyle w:val="41"/>
              <w:rPr>
                <w:color w:val="auto"/>
                <w:highlight w:val="none"/>
              </w:rPr>
            </w:pPr>
            <w:r>
              <w:rPr>
                <w:color w:val="auto"/>
                <w:highlight w:val="none"/>
              </w:rPr>
              <w:t xml:space="preserve">10.89 </w:t>
            </w:r>
          </w:p>
        </w:tc>
        <w:tc>
          <w:tcPr>
            <w:tcW w:w="260" w:type="pct"/>
            <w:tcBorders>
              <w:tl2br w:val="nil"/>
              <w:tr2bl w:val="nil"/>
            </w:tcBorders>
            <w:shd w:val="clear" w:color="auto" w:fill="auto"/>
            <w:noWrap/>
            <w:vAlign w:val="bottom"/>
          </w:tcPr>
          <w:p w14:paraId="1FF4F28B">
            <w:pPr>
              <w:pStyle w:val="41"/>
              <w:rPr>
                <w:color w:val="auto"/>
                <w:highlight w:val="none"/>
              </w:rPr>
            </w:pPr>
            <w:r>
              <w:rPr>
                <w:color w:val="auto"/>
                <w:highlight w:val="none"/>
              </w:rPr>
              <w:t xml:space="preserve">4.44 </w:t>
            </w:r>
          </w:p>
        </w:tc>
        <w:tc>
          <w:tcPr>
            <w:tcW w:w="260" w:type="pct"/>
            <w:tcBorders>
              <w:tl2br w:val="nil"/>
              <w:tr2bl w:val="nil"/>
            </w:tcBorders>
            <w:shd w:val="clear" w:color="auto" w:fill="auto"/>
            <w:noWrap/>
            <w:vAlign w:val="bottom"/>
          </w:tcPr>
          <w:p w14:paraId="13098921">
            <w:pPr>
              <w:pStyle w:val="41"/>
              <w:rPr>
                <w:color w:val="auto"/>
                <w:highlight w:val="none"/>
              </w:rPr>
            </w:pPr>
            <w:r>
              <w:rPr>
                <w:color w:val="auto"/>
                <w:highlight w:val="none"/>
              </w:rPr>
              <w:t xml:space="preserve">2.82 </w:t>
            </w:r>
          </w:p>
        </w:tc>
        <w:tc>
          <w:tcPr>
            <w:tcW w:w="260" w:type="pct"/>
            <w:tcBorders>
              <w:tl2br w:val="nil"/>
              <w:tr2bl w:val="nil"/>
            </w:tcBorders>
            <w:shd w:val="clear" w:color="auto" w:fill="auto"/>
            <w:noWrap/>
            <w:vAlign w:val="bottom"/>
          </w:tcPr>
          <w:p w14:paraId="6FDE672A">
            <w:pPr>
              <w:pStyle w:val="41"/>
              <w:rPr>
                <w:color w:val="auto"/>
                <w:highlight w:val="none"/>
              </w:rPr>
            </w:pPr>
            <w:r>
              <w:rPr>
                <w:color w:val="auto"/>
                <w:highlight w:val="none"/>
              </w:rPr>
              <w:t xml:space="preserve">5.78 </w:t>
            </w:r>
          </w:p>
        </w:tc>
        <w:tc>
          <w:tcPr>
            <w:tcW w:w="261" w:type="pct"/>
            <w:tcBorders>
              <w:tl2br w:val="nil"/>
              <w:tr2bl w:val="nil"/>
            </w:tcBorders>
            <w:shd w:val="clear" w:color="auto" w:fill="auto"/>
            <w:noWrap/>
            <w:vAlign w:val="bottom"/>
          </w:tcPr>
          <w:p w14:paraId="4228AE98">
            <w:pPr>
              <w:pStyle w:val="41"/>
              <w:rPr>
                <w:color w:val="auto"/>
                <w:highlight w:val="none"/>
              </w:rPr>
            </w:pPr>
            <w:r>
              <w:rPr>
                <w:color w:val="auto"/>
                <w:highlight w:val="none"/>
              </w:rPr>
              <w:t xml:space="preserve">0.13 </w:t>
            </w:r>
          </w:p>
        </w:tc>
      </w:tr>
      <w:tr w14:paraId="2AE299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469" w:type="pct"/>
            <w:tcBorders>
              <w:tl2br w:val="nil"/>
              <w:tr2bl w:val="nil"/>
            </w:tcBorders>
            <w:shd w:val="clear" w:color="auto" w:fill="auto"/>
            <w:noWrap/>
            <w:vAlign w:val="bottom"/>
          </w:tcPr>
          <w:p w14:paraId="0BAF3EBF">
            <w:pPr>
              <w:pStyle w:val="41"/>
              <w:rPr>
                <w:color w:val="auto"/>
                <w:highlight w:val="none"/>
              </w:rPr>
            </w:pPr>
            <w:r>
              <w:rPr>
                <w:color w:val="auto"/>
                <w:highlight w:val="none"/>
              </w:rPr>
              <w:t xml:space="preserve">八月           </w:t>
            </w:r>
          </w:p>
        </w:tc>
        <w:tc>
          <w:tcPr>
            <w:tcW w:w="259" w:type="pct"/>
            <w:tcBorders>
              <w:tl2br w:val="nil"/>
              <w:tr2bl w:val="nil"/>
            </w:tcBorders>
            <w:shd w:val="clear" w:color="auto" w:fill="auto"/>
            <w:noWrap/>
            <w:vAlign w:val="bottom"/>
          </w:tcPr>
          <w:p w14:paraId="5D06EA65">
            <w:pPr>
              <w:pStyle w:val="41"/>
              <w:rPr>
                <w:color w:val="auto"/>
                <w:highlight w:val="none"/>
              </w:rPr>
            </w:pPr>
            <w:r>
              <w:rPr>
                <w:color w:val="auto"/>
                <w:highlight w:val="none"/>
              </w:rPr>
              <w:t xml:space="preserve">6.59 </w:t>
            </w:r>
          </w:p>
        </w:tc>
        <w:tc>
          <w:tcPr>
            <w:tcW w:w="259" w:type="pct"/>
            <w:tcBorders>
              <w:tl2br w:val="nil"/>
              <w:tr2bl w:val="nil"/>
            </w:tcBorders>
            <w:shd w:val="clear" w:color="auto" w:fill="auto"/>
            <w:noWrap/>
            <w:vAlign w:val="bottom"/>
          </w:tcPr>
          <w:p w14:paraId="6D5B09B1">
            <w:pPr>
              <w:pStyle w:val="41"/>
              <w:rPr>
                <w:color w:val="auto"/>
                <w:highlight w:val="none"/>
              </w:rPr>
            </w:pPr>
            <w:r>
              <w:rPr>
                <w:color w:val="auto"/>
                <w:highlight w:val="none"/>
              </w:rPr>
              <w:t xml:space="preserve">2.82 </w:t>
            </w:r>
          </w:p>
        </w:tc>
        <w:tc>
          <w:tcPr>
            <w:tcW w:w="259" w:type="pct"/>
            <w:tcBorders>
              <w:tl2br w:val="nil"/>
              <w:tr2bl w:val="nil"/>
            </w:tcBorders>
            <w:shd w:val="clear" w:color="auto" w:fill="auto"/>
            <w:noWrap/>
            <w:vAlign w:val="bottom"/>
          </w:tcPr>
          <w:p w14:paraId="588FC5CF">
            <w:pPr>
              <w:pStyle w:val="41"/>
              <w:rPr>
                <w:color w:val="auto"/>
                <w:highlight w:val="none"/>
              </w:rPr>
            </w:pPr>
            <w:r>
              <w:rPr>
                <w:color w:val="auto"/>
                <w:highlight w:val="none"/>
              </w:rPr>
              <w:t xml:space="preserve">2.15 </w:t>
            </w:r>
          </w:p>
        </w:tc>
        <w:tc>
          <w:tcPr>
            <w:tcW w:w="259" w:type="pct"/>
            <w:tcBorders>
              <w:tl2br w:val="nil"/>
              <w:tr2bl w:val="nil"/>
            </w:tcBorders>
            <w:shd w:val="clear" w:color="auto" w:fill="auto"/>
            <w:noWrap/>
            <w:vAlign w:val="bottom"/>
          </w:tcPr>
          <w:p w14:paraId="1EA46F71">
            <w:pPr>
              <w:pStyle w:val="41"/>
              <w:rPr>
                <w:color w:val="auto"/>
                <w:highlight w:val="none"/>
              </w:rPr>
            </w:pPr>
            <w:r>
              <w:rPr>
                <w:color w:val="auto"/>
                <w:highlight w:val="none"/>
              </w:rPr>
              <w:t xml:space="preserve">0.81 </w:t>
            </w:r>
          </w:p>
        </w:tc>
        <w:tc>
          <w:tcPr>
            <w:tcW w:w="259" w:type="pct"/>
            <w:tcBorders>
              <w:tl2br w:val="nil"/>
              <w:tr2bl w:val="nil"/>
            </w:tcBorders>
            <w:shd w:val="clear" w:color="auto" w:fill="auto"/>
            <w:noWrap/>
            <w:vAlign w:val="bottom"/>
          </w:tcPr>
          <w:p w14:paraId="25540257">
            <w:pPr>
              <w:pStyle w:val="41"/>
              <w:rPr>
                <w:color w:val="auto"/>
                <w:highlight w:val="none"/>
              </w:rPr>
            </w:pPr>
            <w:r>
              <w:rPr>
                <w:color w:val="auto"/>
                <w:highlight w:val="none"/>
              </w:rPr>
              <w:t xml:space="preserve">0.67 </w:t>
            </w:r>
          </w:p>
        </w:tc>
        <w:tc>
          <w:tcPr>
            <w:tcW w:w="260" w:type="pct"/>
            <w:tcBorders>
              <w:tl2br w:val="nil"/>
              <w:tr2bl w:val="nil"/>
            </w:tcBorders>
            <w:shd w:val="clear" w:color="auto" w:fill="auto"/>
            <w:noWrap/>
            <w:vAlign w:val="bottom"/>
          </w:tcPr>
          <w:p w14:paraId="22EA979A">
            <w:pPr>
              <w:pStyle w:val="41"/>
              <w:rPr>
                <w:color w:val="auto"/>
                <w:highlight w:val="none"/>
              </w:rPr>
            </w:pPr>
            <w:r>
              <w:rPr>
                <w:color w:val="auto"/>
                <w:highlight w:val="none"/>
              </w:rPr>
              <w:t xml:space="preserve">2.55 </w:t>
            </w:r>
          </w:p>
        </w:tc>
        <w:tc>
          <w:tcPr>
            <w:tcW w:w="281" w:type="pct"/>
            <w:tcBorders>
              <w:tl2br w:val="nil"/>
              <w:tr2bl w:val="nil"/>
            </w:tcBorders>
            <w:shd w:val="clear" w:color="auto" w:fill="auto"/>
            <w:noWrap/>
            <w:vAlign w:val="bottom"/>
          </w:tcPr>
          <w:p w14:paraId="1CC6BA2D">
            <w:pPr>
              <w:pStyle w:val="41"/>
              <w:rPr>
                <w:color w:val="auto"/>
                <w:highlight w:val="none"/>
              </w:rPr>
            </w:pPr>
            <w:r>
              <w:rPr>
                <w:color w:val="auto"/>
                <w:highlight w:val="none"/>
              </w:rPr>
              <w:t xml:space="preserve">10.89 </w:t>
            </w:r>
          </w:p>
        </w:tc>
        <w:tc>
          <w:tcPr>
            <w:tcW w:w="281" w:type="pct"/>
            <w:tcBorders>
              <w:tl2br w:val="nil"/>
              <w:tr2bl w:val="nil"/>
            </w:tcBorders>
            <w:shd w:val="clear" w:color="auto" w:fill="auto"/>
            <w:noWrap/>
            <w:vAlign w:val="bottom"/>
          </w:tcPr>
          <w:p w14:paraId="0EE111EA">
            <w:pPr>
              <w:pStyle w:val="41"/>
              <w:rPr>
                <w:color w:val="auto"/>
                <w:highlight w:val="none"/>
              </w:rPr>
            </w:pPr>
            <w:r>
              <w:rPr>
                <w:color w:val="auto"/>
                <w:highlight w:val="none"/>
              </w:rPr>
              <w:t xml:space="preserve">15.59 </w:t>
            </w:r>
          </w:p>
        </w:tc>
        <w:tc>
          <w:tcPr>
            <w:tcW w:w="281" w:type="pct"/>
            <w:tcBorders>
              <w:tl2br w:val="nil"/>
              <w:tr2bl w:val="nil"/>
            </w:tcBorders>
            <w:shd w:val="clear" w:color="auto" w:fill="auto"/>
            <w:noWrap/>
            <w:vAlign w:val="bottom"/>
          </w:tcPr>
          <w:p w14:paraId="6B78EF02">
            <w:pPr>
              <w:pStyle w:val="41"/>
              <w:rPr>
                <w:color w:val="auto"/>
                <w:highlight w:val="none"/>
              </w:rPr>
            </w:pPr>
            <w:r>
              <w:rPr>
                <w:color w:val="auto"/>
                <w:highlight w:val="none"/>
              </w:rPr>
              <w:t xml:space="preserve">13.44 </w:t>
            </w:r>
          </w:p>
        </w:tc>
        <w:tc>
          <w:tcPr>
            <w:tcW w:w="260" w:type="pct"/>
            <w:tcBorders>
              <w:tl2br w:val="nil"/>
              <w:tr2bl w:val="nil"/>
            </w:tcBorders>
            <w:shd w:val="clear" w:color="auto" w:fill="auto"/>
            <w:noWrap/>
            <w:vAlign w:val="bottom"/>
          </w:tcPr>
          <w:p w14:paraId="197617FD">
            <w:pPr>
              <w:pStyle w:val="41"/>
              <w:rPr>
                <w:color w:val="auto"/>
                <w:highlight w:val="none"/>
              </w:rPr>
            </w:pPr>
            <w:r>
              <w:rPr>
                <w:color w:val="auto"/>
                <w:highlight w:val="none"/>
              </w:rPr>
              <w:t xml:space="preserve">6.45 </w:t>
            </w:r>
          </w:p>
        </w:tc>
        <w:tc>
          <w:tcPr>
            <w:tcW w:w="260" w:type="pct"/>
            <w:tcBorders>
              <w:tl2br w:val="nil"/>
              <w:tr2bl w:val="nil"/>
            </w:tcBorders>
            <w:shd w:val="clear" w:color="auto" w:fill="auto"/>
            <w:noWrap/>
            <w:vAlign w:val="bottom"/>
          </w:tcPr>
          <w:p w14:paraId="62830CEA">
            <w:pPr>
              <w:pStyle w:val="41"/>
              <w:rPr>
                <w:color w:val="auto"/>
                <w:highlight w:val="none"/>
              </w:rPr>
            </w:pPr>
            <w:r>
              <w:rPr>
                <w:color w:val="auto"/>
                <w:highlight w:val="none"/>
              </w:rPr>
              <w:t xml:space="preserve">7.39 </w:t>
            </w:r>
          </w:p>
        </w:tc>
        <w:tc>
          <w:tcPr>
            <w:tcW w:w="281" w:type="pct"/>
            <w:tcBorders>
              <w:tl2br w:val="nil"/>
              <w:tr2bl w:val="nil"/>
            </w:tcBorders>
            <w:shd w:val="clear" w:color="auto" w:fill="auto"/>
            <w:noWrap/>
            <w:vAlign w:val="bottom"/>
          </w:tcPr>
          <w:p w14:paraId="58935C33">
            <w:pPr>
              <w:pStyle w:val="41"/>
              <w:rPr>
                <w:color w:val="auto"/>
                <w:highlight w:val="none"/>
              </w:rPr>
            </w:pPr>
            <w:r>
              <w:rPr>
                <w:color w:val="auto"/>
                <w:highlight w:val="none"/>
              </w:rPr>
              <w:t xml:space="preserve">8.20 </w:t>
            </w:r>
          </w:p>
        </w:tc>
        <w:tc>
          <w:tcPr>
            <w:tcW w:w="281" w:type="pct"/>
            <w:tcBorders>
              <w:tl2br w:val="nil"/>
              <w:tr2bl w:val="nil"/>
            </w:tcBorders>
            <w:shd w:val="clear" w:color="auto" w:fill="auto"/>
            <w:noWrap/>
            <w:vAlign w:val="bottom"/>
          </w:tcPr>
          <w:p w14:paraId="2844FFA6">
            <w:pPr>
              <w:pStyle w:val="41"/>
              <w:rPr>
                <w:color w:val="auto"/>
                <w:highlight w:val="none"/>
              </w:rPr>
            </w:pPr>
            <w:r>
              <w:rPr>
                <w:color w:val="auto"/>
                <w:highlight w:val="none"/>
              </w:rPr>
              <w:t xml:space="preserve">10.35 </w:t>
            </w:r>
          </w:p>
        </w:tc>
        <w:tc>
          <w:tcPr>
            <w:tcW w:w="260" w:type="pct"/>
            <w:tcBorders>
              <w:tl2br w:val="nil"/>
              <w:tr2bl w:val="nil"/>
            </w:tcBorders>
            <w:shd w:val="clear" w:color="auto" w:fill="auto"/>
            <w:noWrap/>
            <w:vAlign w:val="bottom"/>
          </w:tcPr>
          <w:p w14:paraId="7A104517">
            <w:pPr>
              <w:pStyle w:val="41"/>
              <w:rPr>
                <w:color w:val="auto"/>
                <w:highlight w:val="none"/>
              </w:rPr>
            </w:pPr>
            <w:r>
              <w:rPr>
                <w:color w:val="auto"/>
                <w:highlight w:val="none"/>
              </w:rPr>
              <w:t xml:space="preserve">3.90 </w:t>
            </w:r>
          </w:p>
        </w:tc>
        <w:tc>
          <w:tcPr>
            <w:tcW w:w="260" w:type="pct"/>
            <w:tcBorders>
              <w:tl2br w:val="nil"/>
              <w:tr2bl w:val="nil"/>
            </w:tcBorders>
            <w:shd w:val="clear" w:color="auto" w:fill="auto"/>
            <w:noWrap/>
            <w:vAlign w:val="bottom"/>
          </w:tcPr>
          <w:p w14:paraId="5D376FA0">
            <w:pPr>
              <w:pStyle w:val="41"/>
              <w:rPr>
                <w:color w:val="auto"/>
                <w:highlight w:val="none"/>
              </w:rPr>
            </w:pPr>
            <w:r>
              <w:rPr>
                <w:color w:val="auto"/>
                <w:highlight w:val="none"/>
              </w:rPr>
              <w:t xml:space="preserve">2.42 </w:t>
            </w:r>
          </w:p>
        </w:tc>
        <w:tc>
          <w:tcPr>
            <w:tcW w:w="260" w:type="pct"/>
            <w:tcBorders>
              <w:tl2br w:val="nil"/>
              <w:tr2bl w:val="nil"/>
            </w:tcBorders>
            <w:shd w:val="clear" w:color="auto" w:fill="auto"/>
            <w:noWrap/>
            <w:vAlign w:val="bottom"/>
          </w:tcPr>
          <w:p w14:paraId="32C23919">
            <w:pPr>
              <w:pStyle w:val="41"/>
              <w:rPr>
                <w:color w:val="auto"/>
                <w:highlight w:val="none"/>
              </w:rPr>
            </w:pPr>
            <w:r>
              <w:rPr>
                <w:color w:val="auto"/>
                <w:highlight w:val="none"/>
              </w:rPr>
              <w:t xml:space="preserve">5.38 </w:t>
            </w:r>
          </w:p>
        </w:tc>
        <w:tc>
          <w:tcPr>
            <w:tcW w:w="261" w:type="pct"/>
            <w:tcBorders>
              <w:tl2br w:val="nil"/>
              <w:tr2bl w:val="nil"/>
            </w:tcBorders>
            <w:shd w:val="clear" w:color="auto" w:fill="auto"/>
            <w:noWrap/>
            <w:vAlign w:val="bottom"/>
          </w:tcPr>
          <w:p w14:paraId="6015441B">
            <w:pPr>
              <w:pStyle w:val="41"/>
              <w:rPr>
                <w:color w:val="auto"/>
                <w:highlight w:val="none"/>
              </w:rPr>
            </w:pPr>
            <w:r>
              <w:rPr>
                <w:color w:val="auto"/>
                <w:highlight w:val="none"/>
              </w:rPr>
              <w:t xml:space="preserve">0.40 </w:t>
            </w:r>
          </w:p>
        </w:tc>
      </w:tr>
      <w:tr w14:paraId="17526D7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469" w:type="pct"/>
            <w:tcBorders>
              <w:tl2br w:val="nil"/>
              <w:tr2bl w:val="nil"/>
            </w:tcBorders>
            <w:shd w:val="clear" w:color="auto" w:fill="auto"/>
            <w:noWrap/>
            <w:vAlign w:val="bottom"/>
          </w:tcPr>
          <w:p w14:paraId="5221C77E">
            <w:pPr>
              <w:pStyle w:val="41"/>
              <w:rPr>
                <w:color w:val="auto"/>
                <w:highlight w:val="none"/>
              </w:rPr>
            </w:pPr>
            <w:r>
              <w:rPr>
                <w:color w:val="auto"/>
                <w:highlight w:val="none"/>
              </w:rPr>
              <w:t xml:space="preserve">九月           </w:t>
            </w:r>
          </w:p>
        </w:tc>
        <w:tc>
          <w:tcPr>
            <w:tcW w:w="259" w:type="pct"/>
            <w:tcBorders>
              <w:tl2br w:val="nil"/>
              <w:tr2bl w:val="nil"/>
            </w:tcBorders>
            <w:shd w:val="clear" w:color="auto" w:fill="auto"/>
            <w:noWrap/>
            <w:vAlign w:val="bottom"/>
          </w:tcPr>
          <w:p w14:paraId="74EF16A5">
            <w:pPr>
              <w:pStyle w:val="41"/>
              <w:rPr>
                <w:color w:val="auto"/>
                <w:highlight w:val="none"/>
              </w:rPr>
            </w:pPr>
            <w:r>
              <w:rPr>
                <w:color w:val="auto"/>
                <w:highlight w:val="none"/>
              </w:rPr>
              <w:t xml:space="preserve">6.67 </w:t>
            </w:r>
          </w:p>
        </w:tc>
        <w:tc>
          <w:tcPr>
            <w:tcW w:w="259" w:type="pct"/>
            <w:tcBorders>
              <w:tl2br w:val="nil"/>
              <w:tr2bl w:val="nil"/>
            </w:tcBorders>
            <w:shd w:val="clear" w:color="auto" w:fill="auto"/>
            <w:noWrap/>
            <w:vAlign w:val="bottom"/>
          </w:tcPr>
          <w:p w14:paraId="1344AB09">
            <w:pPr>
              <w:pStyle w:val="41"/>
              <w:rPr>
                <w:color w:val="auto"/>
                <w:highlight w:val="none"/>
              </w:rPr>
            </w:pPr>
            <w:r>
              <w:rPr>
                <w:color w:val="auto"/>
                <w:highlight w:val="none"/>
              </w:rPr>
              <w:t xml:space="preserve">1.67 </w:t>
            </w:r>
          </w:p>
        </w:tc>
        <w:tc>
          <w:tcPr>
            <w:tcW w:w="259" w:type="pct"/>
            <w:tcBorders>
              <w:tl2br w:val="nil"/>
              <w:tr2bl w:val="nil"/>
            </w:tcBorders>
            <w:shd w:val="clear" w:color="auto" w:fill="auto"/>
            <w:noWrap/>
            <w:vAlign w:val="bottom"/>
          </w:tcPr>
          <w:p w14:paraId="4C622BBF">
            <w:pPr>
              <w:pStyle w:val="41"/>
              <w:rPr>
                <w:color w:val="auto"/>
                <w:highlight w:val="none"/>
              </w:rPr>
            </w:pPr>
            <w:r>
              <w:rPr>
                <w:color w:val="auto"/>
                <w:highlight w:val="none"/>
              </w:rPr>
              <w:t xml:space="preserve">1.67 </w:t>
            </w:r>
          </w:p>
        </w:tc>
        <w:tc>
          <w:tcPr>
            <w:tcW w:w="259" w:type="pct"/>
            <w:tcBorders>
              <w:tl2br w:val="nil"/>
              <w:tr2bl w:val="nil"/>
            </w:tcBorders>
            <w:shd w:val="clear" w:color="auto" w:fill="auto"/>
            <w:noWrap/>
            <w:vAlign w:val="bottom"/>
          </w:tcPr>
          <w:p w14:paraId="6D35100E">
            <w:pPr>
              <w:pStyle w:val="41"/>
              <w:rPr>
                <w:color w:val="auto"/>
                <w:highlight w:val="none"/>
              </w:rPr>
            </w:pPr>
            <w:r>
              <w:rPr>
                <w:color w:val="auto"/>
                <w:highlight w:val="none"/>
              </w:rPr>
              <w:t xml:space="preserve">0.97 </w:t>
            </w:r>
          </w:p>
        </w:tc>
        <w:tc>
          <w:tcPr>
            <w:tcW w:w="259" w:type="pct"/>
            <w:tcBorders>
              <w:tl2br w:val="nil"/>
              <w:tr2bl w:val="nil"/>
            </w:tcBorders>
            <w:shd w:val="clear" w:color="auto" w:fill="auto"/>
            <w:noWrap/>
            <w:vAlign w:val="bottom"/>
          </w:tcPr>
          <w:p w14:paraId="27B5E8D7">
            <w:pPr>
              <w:pStyle w:val="41"/>
              <w:rPr>
                <w:color w:val="auto"/>
                <w:highlight w:val="none"/>
              </w:rPr>
            </w:pPr>
            <w:r>
              <w:rPr>
                <w:color w:val="auto"/>
                <w:highlight w:val="none"/>
              </w:rPr>
              <w:t xml:space="preserve">0.42 </w:t>
            </w:r>
          </w:p>
        </w:tc>
        <w:tc>
          <w:tcPr>
            <w:tcW w:w="260" w:type="pct"/>
            <w:tcBorders>
              <w:tl2br w:val="nil"/>
              <w:tr2bl w:val="nil"/>
            </w:tcBorders>
            <w:shd w:val="clear" w:color="auto" w:fill="auto"/>
            <w:noWrap/>
            <w:vAlign w:val="bottom"/>
          </w:tcPr>
          <w:p w14:paraId="08B24E69">
            <w:pPr>
              <w:pStyle w:val="41"/>
              <w:rPr>
                <w:color w:val="auto"/>
                <w:highlight w:val="none"/>
              </w:rPr>
            </w:pPr>
            <w:r>
              <w:rPr>
                <w:color w:val="auto"/>
                <w:highlight w:val="none"/>
              </w:rPr>
              <w:t xml:space="preserve">3.06 </w:t>
            </w:r>
          </w:p>
        </w:tc>
        <w:tc>
          <w:tcPr>
            <w:tcW w:w="281" w:type="pct"/>
            <w:tcBorders>
              <w:tl2br w:val="nil"/>
              <w:tr2bl w:val="nil"/>
            </w:tcBorders>
            <w:shd w:val="clear" w:color="auto" w:fill="auto"/>
            <w:noWrap/>
            <w:vAlign w:val="bottom"/>
          </w:tcPr>
          <w:p w14:paraId="3B76BE81">
            <w:pPr>
              <w:pStyle w:val="41"/>
              <w:rPr>
                <w:color w:val="auto"/>
                <w:highlight w:val="none"/>
              </w:rPr>
            </w:pPr>
            <w:r>
              <w:rPr>
                <w:color w:val="auto"/>
                <w:highlight w:val="none"/>
              </w:rPr>
              <w:t xml:space="preserve">11.25 </w:t>
            </w:r>
          </w:p>
        </w:tc>
        <w:tc>
          <w:tcPr>
            <w:tcW w:w="281" w:type="pct"/>
            <w:tcBorders>
              <w:tl2br w:val="nil"/>
              <w:tr2bl w:val="nil"/>
            </w:tcBorders>
            <w:shd w:val="clear" w:color="auto" w:fill="auto"/>
            <w:noWrap/>
            <w:vAlign w:val="bottom"/>
          </w:tcPr>
          <w:p w14:paraId="557722B8">
            <w:pPr>
              <w:pStyle w:val="41"/>
              <w:rPr>
                <w:color w:val="auto"/>
                <w:highlight w:val="none"/>
              </w:rPr>
            </w:pPr>
            <w:r>
              <w:rPr>
                <w:color w:val="auto"/>
                <w:highlight w:val="none"/>
              </w:rPr>
              <w:t xml:space="preserve">13.33 </w:t>
            </w:r>
          </w:p>
        </w:tc>
        <w:tc>
          <w:tcPr>
            <w:tcW w:w="281" w:type="pct"/>
            <w:tcBorders>
              <w:tl2br w:val="nil"/>
              <w:tr2bl w:val="nil"/>
            </w:tcBorders>
            <w:shd w:val="clear" w:color="auto" w:fill="auto"/>
            <w:noWrap/>
            <w:vAlign w:val="bottom"/>
          </w:tcPr>
          <w:p w14:paraId="567BCE1A">
            <w:pPr>
              <w:pStyle w:val="41"/>
              <w:rPr>
                <w:color w:val="auto"/>
                <w:highlight w:val="none"/>
              </w:rPr>
            </w:pPr>
            <w:r>
              <w:rPr>
                <w:color w:val="auto"/>
                <w:highlight w:val="none"/>
              </w:rPr>
              <w:t xml:space="preserve">11.25 </w:t>
            </w:r>
          </w:p>
        </w:tc>
        <w:tc>
          <w:tcPr>
            <w:tcW w:w="260" w:type="pct"/>
            <w:tcBorders>
              <w:tl2br w:val="nil"/>
              <w:tr2bl w:val="nil"/>
            </w:tcBorders>
            <w:shd w:val="clear" w:color="auto" w:fill="auto"/>
            <w:noWrap/>
            <w:vAlign w:val="bottom"/>
          </w:tcPr>
          <w:p w14:paraId="669E8C71">
            <w:pPr>
              <w:pStyle w:val="41"/>
              <w:rPr>
                <w:color w:val="auto"/>
                <w:highlight w:val="none"/>
              </w:rPr>
            </w:pPr>
            <w:r>
              <w:rPr>
                <w:color w:val="auto"/>
                <w:highlight w:val="none"/>
              </w:rPr>
              <w:t xml:space="preserve">7.92 </w:t>
            </w:r>
          </w:p>
        </w:tc>
        <w:tc>
          <w:tcPr>
            <w:tcW w:w="260" w:type="pct"/>
            <w:tcBorders>
              <w:tl2br w:val="nil"/>
              <w:tr2bl w:val="nil"/>
            </w:tcBorders>
            <w:shd w:val="clear" w:color="auto" w:fill="auto"/>
            <w:noWrap/>
            <w:vAlign w:val="bottom"/>
          </w:tcPr>
          <w:p w14:paraId="6B7EB273">
            <w:pPr>
              <w:pStyle w:val="41"/>
              <w:rPr>
                <w:color w:val="auto"/>
                <w:highlight w:val="none"/>
              </w:rPr>
            </w:pPr>
            <w:r>
              <w:rPr>
                <w:color w:val="auto"/>
                <w:highlight w:val="none"/>
              </w:rPr>
              <w:t xml:space="preserve">9.31 </w:t>
            </w:r>
          </w:p>
        </w:tc>
        <w:tc>
          <w:tcPr>
            <w:tcW w:w="281" w:type="pct"/>
            <w:tcBorders>
              <w:tl2br w:val="nil"/>
              <w:tr2bl w:val="nil"/>
            </w:tcBorders>
            <w:shd w:val="clear" w:color="auto" w:fill="auto"/>
            <w:noWrap/>
            <w:vAlign w:val="bottom"/>
          </w:tcPr>
          <w:p w14:paraId="7690D917">
            <w:pPr>
              <w:pStyle w:val="41"/>
              <w:rPr>
                <w:color w:val="auto"/>
                <w:highlight w:val="none"/>
              </w:rPr>
            </w:pPr>
            <w:r>
              <w:rPr>
                <w:color w:val="auto"/>
                <w:highlight w:val="none"/>
              </w:rPr>
              <w:t xml:space="preserve">9.58 </w:t>
            </w:r>
          </w:p>
        </w:tc>
        <w:tc>
          <w:tcPr>
            <w:tcW w:w="281" w:type="pct"/>
            <w:tcBorders>
              <w:tl2br w:val="nil"/>
              <w:tr2bl w:val="nil"/>
            </w:tcBorders>
            <w:shd w:val="clear" w:color="auto" w:fill="auto"/>
            <w:noWrap/>
            <w:vAlign w:val="bottom"/>
          </w:tcPr>
          <w:p w14:paraId="2DE5362D">
            <w:pPr>
              <w:pStyle w:val="41"/>
              <w:rPr>
                <w:color w:val="auto"/>
                <w:highlight w:val="none"/>
              </w:rPr>
            </w:pPr>
            <w:r>
              <w:rPr>
                <w:color w:val="auto"/>
                <w:highlight w:val="none"/>
              </w:rPr>
              <w:t xml:space="preserve">11.39 </w:t>
            </w:r>
          </w:p>
        </w:tc>
        <w:tc>
          <w:tcPr>
            <w:tcW w:w="260" w:type="pct"/>
            <w:tcBorders>
              <w:tl2br w:val="nil"/>
              <w:tr2bl w:val="nil"/>
            </w:tcBorders>
            <w:shd w:val="clear" w:color="auto" w:fill="auto"/>
            <w:noWrap/>
            <w:vAlign w:val="bottom"/>
          </w:tcPr>
          <w:p w14:paraId="4D5C28B3">
            <w:pPr>
              <w:pStyle w:val="41"/>
              <w:rPr>
                <w:color w:val="auto"/>
                <w:highlight w:val="none"/>
              </w:rPr>
            </w:pPr>
            <w:r>
              <w:rPr>
                <w:color w:val="auto"/>
                <w:highlight w:val="none"/>
              </w:rPr>
              <w:t xml:space="preserve">4.72 </w:t>
            </w:r>
          </w:p>
        </w:tc>
        <w:tc>
          <w:tcPr>
            <w:tcW w:w="260" w:type="pct"/>
            <w:tcBorders>
              <w:tl2br w:val="nil"/>
              <w:tr2bl w:val="nil"/>
            </w:tcBorders>
            <w:shd w:val="clear" w:color="auto" w:fill="auto"/>
            <w:noWrap/>
            <w:vAlign w:val="bottom"/>
          </w:tcPr>
          <w:p w14:paraId="63923863">
            <w:pPr>
              <w:pStyle w:val="41"/>
              <w:rPr>
                <w:color w:val="auto"/>
                <w:highlight w:val="none"/>
              </w:rPr>
            </w:pPr>
            <w:r>
              <w:rPr>
                <w:color w:val="auto"/>
                <w:highlight w:val="none"/>
              </w:rPr>
              <w:t xml:space="preserve">1.94 </w:t>
            </w:r>
          </w:p>
        </w:tc>
        <w:tc>
          <w:tcPr>
            <w:tcW w:w="260" w:type="pct"/>
            <w:tcBorders>
              <w:tl2br w:val="nil"/>
              <w:tr2bl w:val="nil"/>
            </w:tcBorders>
            <w:shd w:val="clear" w:color="auto" w:fill="auto"/>
            <w:noWrap/>
            <w:vAlign w:val="bottom"/>
          </w:tcPr>
          <w:p w14:paraId="7B8A143D">
            <w:pPr>
              <w:pStyle w:val="41"/>
              <w:rPr>
                <w:color w:val="auto"/>
                <w:highlight w:val="none"/>
              </w:rPr>
            </w:pPr>
            <w:r>
              <w:rPr>
                <w:color w:val="auto"/>
                <w:highlight w:val="none"/>
              </w:rPr>
              <w:t xml:space="preserve">4.72 </w:t>
            </w:r>
          </w:p>
        </w:tc>
        <w:tc>
          <w:tcPr>
            <w:tcW w:w="261" w:type="pct"/>
            <w:tcBorders>
              <w:tl2br w:val="nil"/>
              <w:tr2bl w:val="nil"/>
            </w:tcBorders>
            <w:shd w:val="clear" w:color="auto" w:fill="auto"/>
            <w:noWrap/>
            <w:vAlign w:val="bottom"/>
          </w:tcPr>
          <w:p w14:paraId="7B376609">
            <w:pPr>
              <w:pStyle w:val="41"/>
              <w:rPr>
                <w:color w:val="auto"/>
                <w:highlight w:val="none"/>
              </w:rPr>
            </w:pPr>
            <w:r>
              <w:rPr>
                <w:color w:val="auto"/>
                <w:highlight w:val="none"/>
              </w:rPr>
              <w:t xml:space="preserve">0.14 </w:t>
            </w:r>
          </w:p>
        </w:tc>
      </w:tr>
      <w:tr w14:paraId="4305E5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469" w:type="pct"/>
            <w:tcBorders>
              <w:tl2br w:val="nil"/>
              <w:tr2bl w:val="nil"/>
            </w:tcBorders>
            <w:shd w:val="clear" w:color="auto" w:fill="auto"/>
            <w:noWrap/>
            <w:vAlign w:val="bottom"/>
          </w:tcPr>
          <w:p w14:paraId="503E545B">
            <w:pPr>
              <w:pStyle w:val="41"/>
              <w:rPr>
                <w:color w:val="auto"/>
                <w:highlight w:val="none"/>
              </w:rPr>
            </w:pPr>
            <w:r>
              <w:rPr>
                <w:color w:val="auto"/>
                <w:highlight w:val="none"/>
              </w:rPr>
              <w:t xml:space="preserve">十月           </w:t>
            </w:r>
          </w:p>
        </w:tc>
        <w:tc>
          <w:tcPr>
            <w:tcW w:w="259" w:type="pct"/>
            <w:tcBorders>
              <w:tl2br w:val="nil"/>
              <w:tr2bl w:val="nil"/>
            </w:tcBorders>
            <w:shd w:val="clear" w:color="auto" w:fill="auto"/>
            <w:noWrap/>
            <w:vAlign w:val="bottom"/>
          </w:tcPr>
          <w:p w14:paraId="02371701">
            <w:pPr>
              <w:pStyle w:val="41"/>
              <w:rPr>
                <w:color w:val="auto"/>
                <w:highlight w:val="none"/>
              </w:rPr>
            </w:pPr>
            <w:r>
              <w:rPr>
                <w:color w:val="auto"/>
                <w:highlight w:val="none"/>
              </w:rPr>
              <w:t xml:space="preserve">5.65 </w:t>
            </w:r>
          </w:p>
        </w:tc>
        <w:tc>
          <w:tcPr>
            <w:tcW w:w="259" w:type="pct"/>
            <w:tcBorders>
              <w:tl2br w:val="nil"/>
              <w:tr2bl w:val="nil"/>
            </w:tcBorders>
            <w:shd w:val="clear" w:color="auto" w:fill="auto"/>
            <w:noWrap/>
            <w:vAlign w:val="bottom"/>
          </w:tcPr>
          <w:p w14:paraId="167A4314">
            <w:pPr>
              <w:pStyle w:val="41"/>
              <w:rPr>
                <w:color w:val="auto"/>
                <w:highlight w:val="none"/>
              </w:rPr>
            </w:pPr>
            <w:r>
              <w:rPr>
                <w:color w:val="auto"/>
                <w:highlight w:val="none"/>
              </w:rPr>
              <w:t xml:space="preserve">2.82 </w:t>
            </w:r>
          </w:p>
        </w:tc>
        <w:tc>
          <w:tcPr>
            <w:tcW w:w="259" w:type="pct"/>
            <w:tcBorders>
              <w:tl2br w:val="nil"/>
              <w:tr2bl w:val="nil"/>
            </w:tcBorders>
            <w:shd w:val="clear" w:color="auto" w:fill="auto"/>
            <w:noWrap/>
            <w:vAlign w:val="bottom"/>
          </w:tcPr>
          <w:p w14:paraId="6B6C1535">
            <w:pPr>
              <w:pStyle w:val="41"/>
              <w:rPr>
                <w:color w:val="auto"/>
                <w:highlight w:val="none"/>
              </w:rPr>
            </w:pPr>
            <w:r>
              <w:rPr>
                <w:color w:val="auto"/>
                <w:highlight w:val="none"/>
              </w:rPr>
              <w:t xml:space="preserve">1.75 </w:t>
            </w:r>
          </w:p>
        </w:tc>
        <w:tc>
          <w:tcPr>
            <w:tcW w:w="259" w:type="pct"/>
            <w:tcBorders>
              <w:tl2br w:val="nil"/>
              <w:tr2bl w:val="nil"/>
            </w:tcBorders>
            <w:shd w:val="clear" w:color="auto" w:fill="auto"/>
            <w:noWrap/>
            <w:vAlign w:val="bottom"/>
          </w:tcPr>
          <w:p w14:paraId="2C7672EA">
            <w:pPr>
              <w:pStyle w:val="41"/>
              <w:rPr>
                <w:color w:val="auto"/>
                <w:highlight w:val="none"/>
              </w:rPr>
            </w:pPr>
            <w:r>
              <w:rPr>
                <w:color w:val="auto"/>
                <w:highlight w:val="none"/>
              </w:rPr>
              <w:t xml:space="preserve">0.67 </w:t>
            </w:r>
          </w:p>
        </w:tc>
        <w:tc>
          <w:tcPr>
            <w:tcW w:w="259" w:type="pct"/>
            <w:tcBorders>
              <w:tl2br w:val="nil"/>
              <w:tr2bl w:val="nil"/>
            </w:tcBorders>
            <w:shd w:val="clear" w:color="auto" w:fill="auto"/>
            <w:noWrap/>
            <w:vAlign w:val="bottom"/>
          </w:tcPr>
          <w:p w14:paraId="57233AC5">
            <w:pPr>
              <w:pStyle w:val="41"/>
              <w:rPr>
                <w:color w:val="auto"/>
                <w:highlight w:val="none"/>
              </w:rPr>
            </w:pPr>
            <w:r>
              <w:rPr>
                <w:color w:val="auto"/>
                <w:highlight w:val="none"/>
              </w:rPr>
              <w:t xml:space="preserve">1.34 </w:t>
            </w:r>
          </w:p>
        </w:tc>
        <w:tc>
          <w:tcPr>
            <w:tcW w:w="260" w:type="pct"/>
            <w:tcBorders>
              <w:tl2br w:val="nil"/>
              <w:tr2bl w:val="nil"/>
            </w:tcBorders>
            <w:shd w:val="clear" w:color="auto" w:fill="auto"/>
            <w:noWrap/>
            <w:vAlign w:val="bottom"/>
          </w:tcPr>
          <w:p w14:paraId="7D928781">
            <w:pPr>
              <w:pStyle w:val="41"/>
              <w:rPr>
                <w:color w:val="auto"/>
                <w:highlight w:val="none"/>
              </w:rPr>
            </w:pPr>
            <w:r>
              <w:rPr>
                <w:color w:val="auto"/>
                <w:highlight w:val="none"/>
              </w:rPr>
              <w:t xml:space="preserve">2.69 </w:t>
            </w:r>
          </w:p>
        </w:tc>
        <w:tc>
          <w:tcPr>
            <w:tcW w:w="281" w:type="pct"/>
            <w:tcBorders>
              <w:tl2br w:val="nil"/>
              <w:tr2bl w:val="nil"/>
            </w:tcBorders>
            <w:shd w:val="clear" w:color="auto" w:fill="auto"/>
            <w:noWrap/>
            <w:vAlign w:val="bottom"/>
          </w:tcPr>
          <w:p w14:paraId="79656E4C">
            <w:pPr>
              <w:pStyle w:val="41"/>
              <w:rPr>
                <w:color w:val="auto"/>
                <w:highlight w:val="none"/>
              </w:rPr>
            </w:pPr>
            <w:r>
              <w:rPr>
                <w:color w:val="auto"/>
                <w:highlight w:val="none"/>
              </w:rPr>
              <w:t xml:space="preserve">6.32 </w:t>
            </w:r>
          </w:p>
        </w:tc>
        <w:tc>
          <w:tcPr>
            <w:tcW w:w="281" w:type="pct"/>
            <w:tcBorders>
              <w:tl2br w:val="nil"/>
              <w:tr2bl w:val="nil"/>
            </w:tcBorders>
            <w:shd w:val="clear" w:color="auto" w:fill="auto"/>
            <w:noWrap/>
            <w:vAlign w:val="bottom"/>
          </w:tcPr>
          <w:p w14:paraId="4345655A">
            <w:pPr>
              <w:pStyle w:val="41"/>
              <w:rPr>
                <w:color w:val="auto"/>
                <w:highlight w:val="none"/>
              </w:rPr>
            </w:pPr>
            <w:r>
              <w:rPr>
                <w:color w:val="auto"/>
                <w:highlight w:val="none"/>
              </w:rPr>
              <w:t xml:space="preserve">11.02 </w:t>
            </w:r>
          </w:p>
        </w:tc>
        <w:tc>
          <w:tcPr>
            <w:tcW w:w="281" w:type="pct"/>
            <w:tcBorders>
              <w:tl2br w:val="nil"/>
              <w:tr2bl w:val="nil"/>
            </w:tcBorders>
            <w:shd w:val="clear" w:color="auto" w:fill="auto"/>
            <w:noWrap/>
            <w:vAlign w:val="bottom"/>
          </w:tcPr>
          <w:p w14:paraId="584DFE64">
            <w:pPr>
              <w:pStyle w:val="41"/>
              <w:rPr>
                <w:color w:val="auto"/>
                <w:highlight w:val="none"/>
              </w:rPr>
            </w:pPr>
            <w:r>
              <w:rPr>
                <w:color w:val="auto"/>
                <w:highlight w:val="none"/>
              </w:rPr>
              <w:t xml:space="preserve">10.48 </w:t>
            </w:r>
          </w:p>
        </w:tc>
        <w:tc>
          <w:tcPr>
            <w:tcW w:w="260" w:type="pct"/>
            <w:tcBorders>
              <w:tl2br w:val="nil"/>
              <w:tr2bl w:val="nil"/>
            </w:tcBorders>
            <w:shd w:val="clear" w:color="auto" w:fill="auto"/>
            <w:noWrap/>
            <w:vAlign w:val="bottom"/>
          </w:tcPr>
          <w:p w14:paraId="43253438">
            <w:pPr>
              <w:pStyle w:val="41"/>
              <w:rPr>
                <w:color w:val="auto"/>
                <w:highlight w:val="none"/>
              </w:rPr>
            </w:pPr>
            <w:r>
              <w:rPr>
                <w:color w:val="auto"/>
                <w:highlight w:val="none"/>
              </w:rPr>
              <w:t xml:space="preserve">6.59 </w:t>
            </w:r>
          </w:p>
        </w:tc>
        <w:tc>
          <w:tcPr>
            <w:tcW w:w="260" w:type="pct"/>
            <w:tcBorders>
              <w:tl2br w:val="nil"/>
              <w:tr2bl w:val="nil"/>
            </w:tcBorders>
            <w:shd w:val="clear" w:color="auto" w:fill="auto"/>
            <w:noWrap/>
            <w:vAlign w:val="bottom"/>
          </w:tcPr>
          <w:p w14:paraId="055125C9">
            <w:pPr>
              <w:pStyle w:val="41"/>
              <w:rPr>
                <w:color w:val="auto"/>
                <w:highlight w:val="none"/>
              </w:rPr>
            </w:pPr>
            <w:r>
              <w:rPr>
                <w:color w:val="auto"/>
                <w:highlight w:val="none"/>
              </w:rPr>
              <w:t xml:space="preserve">9.68 </w:t>
            </w:r>
          </w:p>
        </w:tc>
        <w:tc>
          <w:tcPr>
            <w:tcW w:w="281" w:type="pct"/>
            <w:tcBorders>
              <w:tl2br w:val="nil"/>
              <w:tr2bl w:val="nil"/>
            </w:tcBorders>
            <w:shd w:val="clear" w:color="auto" w:fill="auto"/>
            <w:noWrap/>
            <w:vAlign w:val="bottom"/>
          </w:tcPr>
          <w:p w14:paraId="1523308B">
            <w:pPr>
              <w:pStyle w:val="41"/>
              <w:rPr>
                <w:color w:val="auto"/>
                <w:highlight w:val="none"/>
              </w:rPr>
            </w:pPr>
            <w:r>
              <w:rPr>
                <w:color w:val="auto"/>
                <w:highlight w:val="none"/>
              </w:rPr>
              <w:t xml:space="preserve">15.05 </w:t>
            </w:r>
          </w:p>
        </w:tc>
        <w:tc>
          <w:tcPr>
            <w:tcW w:w="281" w:type="pct"/>
            <w:tcBorders>
              <w:tl2br w:val="nil"/>
              <w:tr2bl w:val="nil"/>
            </w:tcBorders>
            <w:shd w:val="clear" w:color="auto" w:fill="auto"/>
            <w:noWrap/>
            <w:vAlign w:val="bottom"/>
          </w:tcPr>
          <w:p w14:paraId="0209F188">
            <w:pPr>
              <w:pStyle w:val="41"/>
              <w:rPr>
                <w:color w:val="auto"/>
                <w:highlight w:val="none"/>
              </w:rPr>
            </w:pPr>
            <w:r>
              <w:rPr>
                <w:color w:val="auto"/>
                <w:highlight w:val="none"/>
              </w:rPr>
              <w:t xml:space="preserve">12.63 </w:t>
            </w:r>
          </w:p>
        </w:tc>
        <w:tc>
          <w:tcPr>
            <w:tcW w:w="260" w:type="pct"/>
            <w:tcBorders>
              <w:tl2br w:val="nil"/>
              <w:tr2bl w:val="nil"/>
            </w:tcBorders>
            <w:shd w:val="clear" w:color="auto" w:fill="auto"/>
            <w:noWrap/>
            <w:vAlign w:val="bottom"/>
          </w:tcPr>
          <w:p w14:paraId="5283A840">
            <w:pPr>
              <w:pStyle w:val="41"/>
              <w:rPr>
                <w:color w:val="auto"/>
                <w:highlight w:val="none"/>
              </w:rPr>
            </w:pPr>
            <w:r>
              <w:rPr>
                <w:color w:val="auto"/>
                <w:highlight w:val="none"/>
              </w:rPr>
              <w:t xml:space="preserve">5.91 </w:t>
            </w:r>
          </w:p>
        </w:tc>
        <w:tc>
          <w:tcPr>
            <w:tcW w:w="260" w:type="pct"/>
            <w:tcBorders>
              <w:tl2br w:val="nil"/>
              <w:tr2bl w:val="nil"/>
            </w:tcBorders>
            <w:shd w:val="clear" w:color="auto" w:fill="auto"/>
            <w:noWrap/>
            <w:vAlign w:val="bottom"/>
          </w:tcPr>
          <w:p w14:paraId="1FDA81C9">
            <w:pPr>
              <w:pStyle w:val="41"/>
              <w:rPr>
                <w:color w:val="auto"/>
                <w:highlight w:val="none"/>
              </w:rPr>
            </w:pPr>
            <w:r>
              <w:rPr>
                <w:color w:val="auto"/>
                <w:highlight w:val="none"/>
              </w:rPr>
              <w:t xml:space="preserve">2.82 </w:t>
            </w:r>
          </w:p>
        </w:tc>
        <w:tc>
          <w:tcPr>
            <w:tcW w:w="260" w:type="pct"/>
            <w:tcBorders>
              <w:tl2br w:val="nil"/>
              <w:tr2bl w:val="nil"/>
            </w:tcBorders>
            <w:shd w:val="clear" w:color="auto" w:fill="auto"/>
            <w:noWrap/>
            <w:vAlign w:val="bottom"/>
          </w:tcPr>
          <w:p w14:paraId="1CB1C108">
            <w:pPr>
              <w:pStyle w:val="41"/>
              <w:rPr>
                <w:color w:val="auto"/>
                <w:highlight w:val="none"/>
              </w:rPr>
            </w:pPr>
            <w:r>
              <w:rPr>
                <w:color w:val="auto"/>
                <w:highlight w:val="none"/>
              </w:rPr>
              <w:t xml:space="preserve">4.57 </w:t>
            </w:r>
          </w:p>
        </w:tc>
        <w:tc>
          <w:tcPr>
            <w:tcW w:w="261" w:type="pct"/>
            <w:tcBorders>
              <w:tl2br w:val="nil"/>
              <w:tr2bl w:val="nil"/>
            </w:tcBorders>
            <w:shd w:val="clear" w:color="auto" w:fill="auto"/>
            <w:noWrap/>
            <w:vAlign w:val="bottom"/>
          </w:tcPr>
          <w:p w14:paraId="6A470E8B">
            <w:pPr>
              <w:pStyle w:val="41"/>
              <w:rPr>
                <w:color w:val="auto"/>
                <w:highlight w:val="none"/>
              </w:rPr>
            </w:pPr>
            <w:r>
              <w:rPr>
                <w:color w:val="auto"/>
                <w:highlight w:val="none"/>
              </w:rPr>
              <w:t xml:space="preserve">0.00 </w:t>
            </w:r>
          </w:p>
        </w:tc>
      </w:tr>
      <w:tr w14:paraId="1866B4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469" w:type="pct"/>
            <w:tcBorders>
              <w:tl2br w:val="nil"/>
              <w:tr2bl w:val="nil"/>
            </w:tcBorders>
            <w:shd w:val="clear" w:color="auto" w:fill="auto"/>
            <w:noWrap/>
            <w:vAlign w:val="bottom"/>
          </w:tcPr>
          <w:p w14:paraId="542F3087">
            <w:pPr>
              <w:pStyle w:val="41"/>
              <w:rPr>
                <w:color w:val="auto"/>
                <w:highlight w:val="none"/>
              </w:rPr>
            </w:pPr>
            <w:r>
              <w:rPr>
                <w:color w:val="auto"/>
                <w:highlight w:val="none"/>
              </w:rPr>
              <w:t xml:space="preserve">十一月         </w:t>
            </w:r>
          </w:p>
        </w:tc>
        <w:tc>
          <w:tcPr>
            <w:tcW w:w="259" w:type="pct"/>
            <w:tcBorders>
              <w:tl2br w:val="nil"/>
              <w:tr2bl w:val="nil"/>
            </w:tcBorders>
            <w:shd w:val="clear" w:color="auto" w:fill="auto"/>
            <w:noWrap/>
            <w:vAlign w:val="bottom"/>
          </w:tcPr>
          <w:p w14:paraId="31658ABA">
            <w:pPr>
              <w:pStyle w:val="41"/>
              <w:rPr>
                <w:color w:val="auto"/>
                <w:highlight w:val="none"/>
              </w:rPr>
            </w:pPr>
            <w:r>
              <w:rPr>
                <w:color w:val="auto"/>
                <w:highlight w:val="none"/>
              </w:rPr>
              <w:t xml:space="preserve">4.72 </w:t>
            </w:r>
          </w:p>
        </w:tc>
        <w:tc>
          <w:tcPr>
            <w:tcW w:w="259" w:type="pct"/>
            <w:tcBorders>
              <w:tl2br w:val="nil"/>
              <w:tr2bl w:val="nil"/>
            </w:tcBorders>
            <w:shd w:val="clear" w:color="auto" w:fill="auto"/>
            <w:noWrap/>
            <w:vAlign w:val="bottom"/>
          </w:tcPr>
          <w:p w14:paraId="1F87D9B0">
            <w:pPr>
              <w:pStyle w:val="41"/>
              <w:rPr>
                <w:color w:val="auto"/>
                <w:highlight w:val="none"/>
              </w:rPr>
            </w:pPr>
            <w:r>
              <w:rPr>
                <w:color w:val="auto"/>
                <w:highlight w:val="none"/>
              </w:rPr>
              <w:t xml:space="preserve">2.36 </w:t>
            </w:r>
          </w:p>
        </w:tc>
        <w:tc>
          <w:tcPr>
            <w:tcW w:w="259" w:type="pct"/>
            <w:tcBorders>
              <w:tl2br w:val="nil"/>
              <w:tr2bl w:val="nil"/>
            </w:tcBorders>
            <w:shd w:val="clear" w:color="auto" w:fill="auto"/>
            <w:noWrap/>
            <w:vAlign w:val="bottom"/>
          </w:tcPr>
          <w:p w14:paraId="39B6FFCB">
            <w:pPr>
              <w:pStyle w:val="41"/>
              <w:rPr>
                <w:color w:val="auto"/>
                <w:highlight w:val="none"/>
              </w:rPr>
            </w:pPr>
            <w:r>
              <w:rPr>
                <w:color w:val="auto"/>
                <w:highlight w:val="none"/>
              </w:rPr>
              <w:t xml:space="preserve">1.39 </w:t>
            </w:r>
          </w:p>
        </w:tc>
        <w:tc>
          <w:tcPr>
            <w:tcW w:w="259" w:type="pct"/>
            <w:tcBorders>
              <w:tl2br w:val="nil"/>
              <w:tr2bl w:val="nil"/>
            </w:tcBorders>
            <w:shd w:val="clear" w:color="auto" w:fill="auto"/>
            <w:noWrap/>
            <w:vAlign w:val="bottom"/>
          </w:tcPr>
          <w:p w14:paraId="3C7FD3D5">
            <w:pPr>
              <w:pStyle w:val="41"/>
              <w:rPr>
                <w:color w:val="auto"/>
                <w:highlight w:val="none"/>
              </w:rPr>
            </w:pPr>
            <w:r>
              <w:rPr>
                <w:color w:val="auto"/>
                <w:highlight w:val="none"/>
              </w:rPr>
              <w:t xml:space="preserve">0.56 </w:t>
            </w:r>
          </w:p>
        </w:tc>
        <w:tc>
          <w:tcPr>
            <w:tcW w:w="259" w:type="pct"/>
            <w:tcBorders>
              <w:tl2br w:val="nil"/>
              <w:tr2bl w:val="nil"/>
            </w:tcBorders>
            <w:shd w:val="clear" w:color="auto" w:fill="auto"/>
            <w:noWrap/>
            <w:vAlign w:val="bottom"/>
          </w:tcPr>
          <w:p w14:paraId="0EEE57FE">
            <w:pPr>
              <w:pStyle w:val="41"/>
              <w:rPr>
                <w:color w:val="auto"/>
                <w:highlight w:val="none"/>
              </w:rPr>
            </w:pPr>
            <w:r>
              <w:rPr>
                <w:color w:val="auto"/>
                <w:highlight w:val="none"/>
              </w:rPr>
              <w:t xml:space="preserve">0.28 </w:t>
            </w:r>
          </w:p>
        </w:tc>
        <w:tc>
          <w:tcPr>
            <w:tcW w:w="260" w:type="pct"/>
            <w:tcBorders>
              <w:tl2br w:val="nil"/>
              <w:tr2bl w:val="nil"/>
            </w:tcBorders>
            <w:shd w:val="clear" w:color="auto" w:fill="auto"/>
            <w:noWrap/>
            <w:vAlign w:val="bottom"/>
          </w:tcPr>
          <w:p w14:paraId="68B254EE">
            <w:pPr>
              <w:pStyle w:val="41"/>
              <w:rPr>
                <w:color w:val="auto"/>
                <w:highlight w:val="none"/>
              </w:rPr>
            </w:pPr>
            <w:r>
              <w:rPr>
                <w:color w:val="auto"/>
                <w:highlight w:val="none"/>
              </w:rPr>
              <w:t xml:space="preserve">1.53 </w:t>
            </w:r>
          </w:p>
        </w:tc>
        <w:tc>
          <w:tcPr>
            <w:tcW w:w="281" w:type="pct"/>
            <w:tcBorders>
              <w:tl2br w:val="nil"/>
              <w:tr2bl w:val="nil"/>
            </w:tcBorders>
            <w:shd w:val="clear" w:color="auto" w:fill="auto"/>
            <w:noWrap/>
            <w:vAlign w:val="bottom"/>
          </w:tcPr>
          <w:p w14:paraId="1C712E5E">
            <w:pPr>
              <w:pStyle w:val="41"/>
              <w:rPr>
                <w:color w:val="auto"/>
                <w:highlight w:val="none"/>
              </w:rPr>
            </w:pPr>
            <w:r>
              <w:rPr>
                <w:color w:val="auto"/>
                <w:highlight w:val="none"/>
              </w:rPr>
              <w:t xml:space="preserve">2.78 </w:t>
            </w:r>
          </w:p>
        </w:tc>
        <w:tc>
          <w:tcPr>
            <w:tcW w:w="281" w:type="pct"/>
            <w:tcBorders>
              <w:tl2br w:val="nil"/>
              <w:tr2bl w:val="nil"/>
            </w:tcBorders>
            <w:shd w:val="clear" w:color="auto" w:fill="auto"/>
            <w:noWrap/>
            <w:vAlign w:val="bottom"/>
          </w:tcPr>
          <w:p w14:paraId="3D0C81F3">
            <w:pPr>
              <w:pStyle w:val="41"/>
              <w:rPr>
                <w:color w:val="auto"/>
                <w:highlight w:val="none"/>
              </w:rPr>
            </w:pPr>
            <w:r>
              <w:rPr>
                <w:color w:val="auto"/>
                <w:highlight w:val="none"/>
              </w:rPr>
              <w:t xml:space="preserve">7.64 </w:t>
            </w:r>
          </w:p>
        </w:tc>
        <w:tc>
          <w:tcPr>
            <w:tcW w:w="281" w:type="pct"/>
            <w:tcBorders>
              <w:tl2br w:val="nil"/>
              <w:tr2bl w:val="nil"/>
            </w:tcBorders>
            <w:shd w:val="clear" w:color="auto" w:fill="auto"/>
            <w:noWrap/>
            <w:vAlign w:val="bottom"/>
          </w:tcPr>
          <w:p w14:paraId="23E20ACA">
            <w:pPr>
              <w:pStyle w:val="41"/>
              <w:rPr>
                <w:color w:val="auto"/>
                <w:highlight w:val="none"/>
              </w:rPr>
            </w:pPr>
            <w:r>
              <w:rPr>
                <w:color w:val="auto"/>
                <w:highlight w:val="none"/>
              </w:rPr>
              <w:t xml:space="preserve">12.64 </w:t>
            </w:r>
          </w:p>
        </w:tc>
        <w:tc>
          <w:tcPr>
            <w:tcW w:w="260" w:type="pct"/>
            <w:tcBorders>
              <w:tl2br w:val="nil"/>
              <w:tr2bl w:val="nil"/>
            </w:tcBorders>
            <w:shd w:val="clear" w:color="auto" w:fill="auto"/>
            <w:noWrap/>
            <w:vAlign w:val="bottom"/>
          </w:tcPr>
          <w:p w14:paraId="31C4B41C">
            <w:pPr>
              <w:pStyle w:val="41"/>
              <w:rPr>
                <w:color w:val="auto"/>
                <w:highlight w:val="none"/>
              </w:rPr>
            </w:pPr>
            <w:r>
              <w:rPr>
                <w:color w:val="auto"/>
                <w:highlight w:val="none"/>
              </w:rPr>
              <w:t xml:space="preserve">7.64 </w:t>
            </w:r>
          </w:p>
        </w:tc>
        <w:tc>
          <w:tcPr>
            <w:tcW w:w="260" w:type="pct"/>
            <w:tcBorders>
              <w:tl2br w:val="nil"/>
              <w:tr2bl w:val="nil"/>
            </w:tcBorders>
            <w:shd w:val="clear" w:color="auto" w:fill="auto"/>
            <w:noWrap/>
            <w:vAlign w:val="bottom"/>
          </w:tcPr>
          <w:p w14:paraId="623E7002">
            <w:pPr>
              <w:pStyle w:val="41"/>
              <w:rPr>
                <w:color w:val="auto"/>
                <w:highlight w:val="none"/>
              </w:rPr>
            </w:pPr>
            <w:r>
              <w:rPr>
                <w:color w:val="auto"/>
                <w:highlight w:val="none"/>
              </w:rPr>
              <w:t xml:space="preserve">8.06 </w:t>
            </w:r>
          </w:p>
        </w:tc>
        <w:tc>
          <w:tcPr>
            <w:tcW w:w="281" w:type="pct"/>
            <w:tcBorders>
              <w:tl2br w:val="nil"/>
              <w:tr2bl w:val="nil"/>
            </w:tcBorders>
            <w:shd w:val="clear" w:color="auto" w:fill="auto"/>
            <w:noWrap/>
            <w:vAlign w:val="bottom"/>
          </w:tcPr>
          <w:p w14:paraId="105BF4C4">
            <w:pPr>
              <w:pStyle w:val="41"/>
              <w:rPr>
                <w:color w:val="auto"/>
                <w:highlight w:val="none"/>
              </w:rPr>
            </w:pPr>
            <w:r>
              <w:rPr>
                <w:color w:val="auto"/>
                <w:highlight w:val="none"/>
              </w:rPr>
              <w:t xml:space="preserve">14.72 </w:t>
            </w:r>
          </w:p>
        </w:tc>
        <w:tc>
          <w:tcPr>
            <w:tcW w:w="281" w:type="pct"/>
            <w:tcBorders>
              <w:tl2br w:val="nil"/>
              <w:tr2bl w:val="nil"/>
            </w:tcBorders>
            <w:shd w:val="clear" w:color="auto" w:fill="auto"/>
            <w:noWrap/>
            <w:vAlign w:val="bottom"/>
          </w:tcPr>
          <w:p w14:paraId="32C9B63B">
            <w:pPr>
              <w:pStyle w:val="41"/>
              <w:rPr>
                <w:color w:val="auto"/>
                <w:highlight w:val="none"/>
              </w:rPr>
            </w:pPr>
            <w:r>
              <w:rPr>
                <w:color w:val="auto"/>
                <w:highlight w:val="none"/>
              </w:rPr>
              <w:t xml:space="preserve">18.06 </w:t>
            </w:r>
          </w:p>
        </w:tc>
        <w:tc>
          <w:tcPr>
            <w:tcW w:w="260" w:type="pct"/>
            <w:tcBorders>
              <w:tl2br w:val="nil"/>
              <w:tr2bl w:val="nil"/>
            </w:tcBorders>
            <w:shd w:val="clear" w:color="auto" w:fill="auto"/>
            <w:noWrap/>
            <w:vAlign w:val="bottom"/>
          </w:tcPr>
          <w:p w14:paraId="7F60C3A8">
            <w:pPr>
              <w:pStyle w:val="41"/>
              <w:rPr>
                <w:color w:val="auto"/>
                <w:highlight w:val="none"/>
              </w:rPr>
            </w:pPr>
            <w:r>
              <w:rPr>
                <w:color w:val="auto"/>
                <w:highlight w:val="none"/>
              </w:rPr>
              <w:t xml:space="preserve">8.89 </w:t>
            </w:r>
          </w:p>
        </w:tc>
        <w:tc>
          <w:tcPr>
            <w:tcW w:w="260" w:type="pct"/>
            <w:tcBorders>
              <w:tl2br w:val="nil"/>
              <w:tr2bl w:val="nil"/>
            </w:tcBorders>
            <w:shd w:val="clear" w:color="auto" w:fill="auto"/>
            <w:noWrap/>
            <w:vAlign w:val="bottom"/>
          </w:tcPr>
          <w:p w14:paraId="3E3EF626">
            <w:pPr>
              <w:pStyle w:val="41"/>
              <w:rPr>
                <w:color w:val="auto"/>
                <w:highlight w:val="none"/>
              </w:rPr>
            </w:pPr>
            <w:r>
              <w:rPr>
                <w:color w:val="auto"/>
                <w:highlight w:val="none"/>
              </w:rPr>
              <w:t xml:space="preserve">3.06 </w:t>
            </w:r>
          </w:p>
        </w:tc>
        <w:tc>
          <w:tcPr>
            <w:tcW w:w="260" w:type="pct"/>
            <w:tcBorders>
              <w:tl2br w:val="nil"/>
              <w:tr2bl w:val="nil"/>
            </w:tcBorders>
            <w:shd w:val="clear" w:color="auto" w:fill="auto"/>
            <w:noWrap/>
            <w:vAlign w:val="bottom"/>
          </w:tcPr>
          <w:p w14:paraId="1075DBDC">
            <w:pPr>
              <w:pStyle w:val="41"/>
              <w:rPr>
                <w:color w:val="auto"/>
                <w:highlight w:val="none"/>
              </w:rPr>
            </w:pPr>
            <w:r>
              <w:rPr>
                <w:color w:val="auto"/>
                <w:highlight w:val="none"/>
              </w:rPr>
              <w:t xml:space="preserve">5.42 </w:t>
            </w:r>
          </w:p>
        </w:tc>
        <w:tc>
          <w:tcPr>
            <w:tcW w:w="261" w:type="pct"/>
            <w:tcBorders>
              <w:tl2br w:val="nil"/>
              <w:tr2bl w:val="nil"/>
            </w:tcBorders>
            <w:shd w:val="clear" w:color="auto" w:fill="auto"/>
            <w:noWrap/>
            <w:vAlign w:val="bottom"/>
          </w:tcPr>
          <w:p w14:paraId="1480486A">
            <w:pPr>
              <w:pStyle w:val="41"/>
              <w:rPr>
                <w:color w:val="auto"/>
                <w:highlight w:val="none"/>
              </w:rPr>
            </w:pPr>
            <w:r>
              <w:rPr>
                <w:color w:val="auto"/>
                <w:highlight w:val="none"/>
              </w:rPr>
              <w:t xml:space="preserve">0.28 </w:t>
            </w:r>
          </w:p>
        </w:tc>
      </w:tr>
      <w:tr w14:paraId="636CCD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469" w:type="pct"/>
            <w:tcBorders>
              <w:tl2br w:val="nil"/>
              <w:tr2bl w:val="nil"/>
            </w:tcBorders>
            <w:shd w:val="clear" w:color="auto" w:fill="auto"/>
            <w:noWrap/>
            <w:vAlign w:val="bottom"/>
          </w:tcPr>
          <w:p w14:paraId="37290E84">
            <w:pPr>
              <w:pStyle w:val="41"/>
              <w:rPr>
                <w:color w:val="auto"/>
                <w:highlight w:val="none"/>
              </w:rPr>
            </w:pPr>
            <w:r>
              <w:rPr>
                <w:color w:val="auto"/>
                <w:highlight w:val="none"/>
              </w:rPr>
              <w:t xml:space="preserve">十二月         </w:t>
            </w:r>
          </w:p>
        </w:tc>
        <w:tc>
          <w:tcPr>
            <w:tcW w:w="259" w:type="pct"/>
            <w:tcBorders>
              <w:tl2br w:val="nil"/>
              <w:tr2bl w:val="nil"/>
            </w:tcBorders>
            <w:shd w:val="clear" w:color="auto" w:fill="auto"/>
            <w:noWrap/>
            <w:vAlign w:val="bottom"/>
          </w:tcPr>
          <w:p w14:paraId="3D1EA583">
            <w:pPr>
              <w:pStyle w:val="41"/>
              <w:rPr>
                <w:color w:val="auto"/>
                <w:highlight w:val="none"/>
              </w:rPr>
            </w:pPr>
            <w:r>
              <w:rPr>
                <w:color w:val="auto"/>
                <w:highlight w:val="none"/>
              </w:rPr>
              <w:t xml:space="preserve">9.14 </w:t>
            </w:r>
          </w:p>
        </w:tc>
        <w:tc>
          <w:tcPr>
            <w:tcW w:w="259" w:type="pct"/>
            <w:tcBorders>
              <w:tl2br w:val="nil"/>
              <w:tr2bl w:val="nil"/>
            </w:tcBorders>
            <w:shd w:val="clear" w:color="auto" w:fill="auto"/>
            <w:noWrap/>
            <w:vAlign w:val="bottom"/>
          </w:tcPr>
          <w:p w14:paraId="5BC057F9">
            <w:pPr>
              <w:pStyle w:val="41"/>
              <w:rPr>
                <w:color w:val="auto"/>
                <w:highlight w:val="none"/>
              </w:rPr>
            </w:pPr>
            <w:r>
              <w:rPr>
                <w:color w:val="auto"/>
                <w:highlight w:val="none"/>
              </w:rPr>
              <w:t xml:space="preserve">5.51 </w:t>
            </w:r>
          </w:p>
        </w:tc>
        <w:tc>
          <w:tcPr>
            <w:tcW w:w="259" w:type="pct"/>
            <w:tcBorders>
              <w:tl2br w:val="nil"/>
              <w:tr2bl w:val="nil"/>
            </w:tcBorders>
            <w:shd w:val="clear" w:color="auto" w:fill="auto"/>
            <w:noWrap/>
            <w:vAlign w:val="bottom"/>
          </w:tcPr>
          <w:p w14:paraId="7CFBCCEF">
            <w:pPr>
              <w:pStyle w:val="41"/>
              <w:rPr>
                <w:color w:val="auto"/>
                <w:highlight w:val="none"/>
              </w:rPr>
            </w:pPr>
            <w:r>
              <w:rPr>
                <w:color w:val="auto"/>
                <w:highlight w:val="none"/>
              </w:rPr>
              <w:t xml:space="preserve">3.36 </w:t>
            </w:r>
          </w:p>
        </w:tc>
        <w:tc>
          <w:tcPr>
            <w:tcW w:w="259" w:type="pct"/>
            <w:tcBorders>
              <w:tl2br w:val="nil"/>
              <w:tr2bl w:val="nil"/>
            </w:tcBorders>
            <w:shd w:val="clear" w:color="auto" w:fill="auto"/>
            <w:noWrap/>
            <w:vAlign w:val="bottom"/>
          </w:tcPr>
          <w:p w14:paraId="62F1F917">
            <w:pPr>
              <w:pStyle w:val="41"/>
              <w:rPr>
                <w:color w:val="auto"/>
                <w:highlight w:val="none"/>
              </w:rPr>
            </w:pPr>
            <w:r>
              <w:rPr>
                <w:color w:val="auto"/>
                <w:highlight w:val="none"/>
              </w:rPr>
              <w:t xml:space="preserve">1.34 </w:t>
            </w:r>
          </w:p>
        </w:tc>
        <w:tc>
          <w:tcPr>
            <w:tcW w:w="259" w:type="pct"/>
            <w:tcBorders>
              <w:tl2br w:val="nil"/>
              <w:tr2bl w:val="nil"/>
            </w:tcBorders>
            <w:shd w:val="clear" w:color="auto" w:fill="auto"/>
            <w:noWrap/>
            <w:vAlign w:val="bottom"/>
          </w:tcPr>
          <w:p w14:paraId="77EDC264">
            <w:pPr>
              <w:pStyle w:val="41"/>
              <w:rPr>
                <w:color w:val="auto"/>
                <w:highlight w:val="none"/>
              </w:rPr>
            </w:pPr>
            <w:r>
              <w:rPr>
                <w:color w:val="auto"/>
                <w:highlight w:val="none"/>
              </w:rPr>
              <w:t xml:space="preserve">0.94 </w:t>
            </w:r>
          </w:p>
        </w:tc>
        <w:tc>
          <w:tcPr>
            <w:tcW w:w="260" w:type="pct"/>
            <w:tcBorders>
              <w:tl2br w:val="nil"/>
              <w:tr2bl w:val="nil"/>
            </w:tcBorders>
            <w:shd w:val="clear" w:color="auto" w:fill="auto"/>
            <w:noWrap/>
            <w:vAlign w:val="bottom"/>
          </w:tcPr>
          <w:p w14:paraId="77476AC3">
            <w:pPr>
              <w:pStyle w:val="41"/>
              <w:rPr>
                <w:color w:val="auto"/>
                <w:highlight w:val="none"/>
              </w:rPr>
            </w:pPr>
            <w:r>
              <w:rPr>
                <w:color w:val="auto"/>
                <w:highlight w:val="none"/>
              </w:rPr>
              <w:t xml:space="preserve">1.88 </w:t>
            </w:r>
          </w:p>
        </w:tc>
        <w:tc>
          <w:tcPr>
            <w:tcW w:w="281" w:type="pct"/>
            <w:tcBorders>
              <w:tl2br w:val="nil"/>
              <w:tr2bl w:val="nil"/>
            </w:tcBorders>
            <w:shd w:val="clear" w:color="auto" w:fill="auto"/>
            <w:noWrap/>
            <w:vAlign w:val="bottom"/>
          </w:tcPr>
          <w:p w14:paraId="09D7C589">
            <w:pPr>
              <w:pStyle w:val="41"/>
              <w:rPr>
                <w:color w:val="auto"/>
                <w:highlight w:val="none"/>
              </w:rPr>
            </w:pPr>
            <w:r>
              <w:rPr>
                <w:color w:val="auto"/>
                <w:highlight w:val="none"/>
              </w:rPr>
              <w:t xml:space="preserve">4.84 </w:t>
            </w:r>
          </w:p>
        </w:tc>
        <w:tc>
          <w:tcPr>
            <w:tcW w:w="281" w:type="pct"/>
            <w:tcBorders>
              <w:tl2br w:val="nil"/>
              <w:tr2bl w:val="nil"/>
            </w:tcBorders>
            <w:shd w:val="clear" w:color="auto" w:fill="auto"/>
            <w:noWrap/>
            <w:vAlign w:val="bottom"/>
          </w:tcPr>
          <w:p w14:paraId="35C1D4A3">
            <w:pPr>
              <w:pStyle w:val="41"/>
              <w:rPr>
                <w:color w:val="auto"/>
                <w:highlight w:val="none"/>
              </w:rPr>
            </w:pPr>
            <w:r>
              <w:rPr>
                <w:color w:val="auto"/>
                <w:highlight w:val="none"/>
              </w:rPr>
              <w:t xml:space="preserve">11.42 </w:t>
            </w:r>
          </w:p>
        </w:tc>
        <w:tc>
          <w:tcPr>
            <w:tcW w:w="281" w:type="pct"/>
            <w:tcBorders>
              <w:tl2br w:val="nil"/>
              <w:tr2bl w:val="nil"/>
            </w:tcBorders>
            <w:shd w:val="clear" w:color="auto" w:fill="auto"/>
            <w:noWrap/>
            <w:vAlign w:val="bottom"/>
          </w:tcPr>
          <w:p w14:paraId="68075012">
            <w:pPr>
              <w:pStyle w:val="41"/>
              <w:rPr>
                <w:color w:val="auto"/>
                <w:highlight w:val="none"/>
              </w:rPr>
            </w:pPr>
            <w:r>
              <w:rPr>
                <w:color w:val="auto"/>
                <w:highlight w:val="none"/>
              </w:rPr>
              <w:t xml:space="preserve">12.23 </w:t>
            </w:r>
          </w:p>
        </w:tc>
        <w:tc>
          <w:tcPr>
            <w:tcW w:w="260" w:type="pct"/>
            <w:tcBorders>
              <w:tl2br w:val="nil"/>
              <w:tr2bl w:val="nil"/>
            </w:tcBorders>
            <w:shd w:val="clear" w:color="auto" w:fill="auto"/>
            <w:noWrap/>
            <w:vAlign w:val="bottom"/>
          </w:tcPr>
          <w:p w14:paraId="7B97C117">
            <w:pPr>
              <w:pStyle w:val="41"/>
              <w:rPr>
                <w:color w:val="auto"/>
                <w:highlight w:val="none"/>
              </w:rPr>
            </w:pPr>
            <w:r>
              <w:rPr>
                <w:color w:val="auto"/>
                <w:highlight w:val="none"/>
              </w:rPr>
              <w:t xml:space="preserve">8.74 </w:t>
            </w:r>
          </w:p>
        </w:tc>
        <w:tc>
          <w:tcPr>
            <w:tcW w:w="260" w:type="pct"/>
            <w:tcBorders>
              <w:tl2br w:val="nil"/>
              <w:tr2bl w:val="nil"/>
            </w:tcBorders>
            <w:shd w:val="clear" w:color="auto" w:fill="auto"/>
            <w:noWrap/>
            <w:vAlign w:val="bottom"/>
          </w:tcPr>
          <w:p w14:paraId="07D7878B">
            <w:pPr>
              <w:pStyle w:val="41"/>
              <w:rPr>
                <w:color w:val="auto"/>
                <w:highlight w:val="none"/>
              </w:rPr>
            </w:pPr>
            <w:r>
              <w:rPr>
                <w:color w:val="auto"/>
                <w:highlight w:val="none"/>
              </w:rPr>
              <w:t xml:space="preserve">4.17 </w:t>
            </w:r>
          </w:p>
        </w:tc>
        <w:tc>
          <w:tcPr>
            <w:tcW w:w="281" w:type="pct"/>
            <w:tcBorders>
              <w:tl2br w:val="nil"/>
              <w:tr2bl w:val="nil"/>
            </w:tcBorders>
            <w:shd w:val="clear" w:color="auto" w:fill="auto"/>
            <w:noWrap/>
            <w:vAlign w:val="bottom"/>
          </w:tcPr>
          <w:p w14:paraId="7277A075">
            <w:pPr>
              <w:pStyle w:val="41"/>
              <w:rPr>
                <w:color w:val="auto"/>
                <w:highlight w:val="none"/>
              </w:rPr>
            </w:pPr>
            <w:r>
              <w:rPr>
                <w:color w:val="auto"/>
                <w:highlight w:val="none"/>
              </w:rPr>
              <w:t xml:space="preserve">9.01 </w:t>
            </w:r>
          </w:p>
        </w:tc>
        <w:tc>
          <w:tcPr>
            <w:tcW w:w="281" w:type="pct"/>
            <w:tcBorders>
              <w:tl2br w:val="nil"/>
              <w:tr2bl w:val="nil"/>
            </w:tcBorders>
            <w:shd w:val="clear" w:color="auto" w:fill="auto"/>
            <w:noWrap/>
            <w:vAlign w:val="bottom"/>
          </w:tcPr>
          <w:p w14:paraId="725394D9">
            <w:pPr>
              <w:pStyle w:val="41"/>
              <w:rPr>
                <w:color w:val="auto"/>
                <w:highlight w:val="none"/>
              </w:rPr>
            </w:pPr>
            <w:r>
              <w:rPr>
                <w:color w:val="auto"/>
                <w:highlight w:val="none"/>
              </w:rPr>
              <w:t xml:space="preserve">11.29 </w:t>
            </w:r>
          </w:p>
        </w:tc>
        <w:tc>
          <w:tcPr>
            <w:tcW w:w="260" w:type="pct"/>
            <w:tcBorders>
              <w:tl2br w:val="nil"/>
              <w:tr2bl w:val="nil"/>
            </w:tcBorders>
            <w:shd w:val="clear" w:color="auto" w:fill="auto"/>
            <w:noWrap/>
            <w:vAlign w:val="bottom"/>
          </w:tcPr>
          <w:p w14:paraId="0B823BDA">
            <w:pPr>
              <w:pStyle w:val="41"/>
              <w:rPr>
                <w:color w:val="auto"/>
                <w:highlight w:val="none"/>
              </w:rPr>
            </w:pPr>
            <w:r>
              <w:rPr>
                <w:color w:val="auto"/>
                <w:highlight w:val="none"/>
              </w:rPr>
              <w:t xml:space="preserve">6.45 </w:t>
            </w:r>
          </w:p>
        </w:tc>
        <w:tc>
          <w:tcPr>
            <w:tcW w:w="260" w:type="pct"/>
            <w:tcBorders>
              <w:tl2br w:val="nil"/>
              <w:tr2bl w:val="nil"/>
            </w:tcBorders>
            <w:shd w:val="clear" w:color="auto" w:fill="auto"/>
            <w:noWrap/>
            <w:vAlign w:val="bottom"/>
          </w:tcPr>
          <w:p w14:paraId="1E3EC6C8">
            <w:pPr>
              <w:pStyle w:val="41"/>
              <w:rPr>
                <w:color w:val="auto"/>
                <w:highlight w:val="none"/>
              </w:rPr>
            </w:pPr>
            <w:r>
              <w:rPr>
                <w:color w:val="auto"/>
                <w:highlight w:val="none"/>
              </w:rPr>
              <w:t xml:space="preserve">3.49 </w:t>
            </w:r>
          </w:p>
        </w:tc>
        <w:tc>
          <w:tcPr>
            <w:tcW w:w="260" w:type="pct"/>
            <w:tcBorders>
              <w:tl2br w:val="nil"/>
              <w:tr2bl w:val="nil"/>
            </w:tcBorders>
            <w:shd w:val="clear" w:color="auto" w:fill="auto"/>
            <w:noWrap/>
            <w:vAlign w:val="bottom"/>
          </w:tcPr>
          <w:p w14:paraId="695C9D0D">
            <w:pPr>
              <w:pStyle w:val="41"/>
              <w:rPr>
                <w:color w:val="auto"/>
                <w:highlight w:val="none"/>
              </w:rPr>
            </w:pPr>
            <w:r>
              <w:rPr>
                <w:color w:val="auto"/>
                <w:highlight w:val="none"/>
              </w:rPr>
              <w:t xml:space="preserve">5.78 </w:t>
            </w:r>
          </w:p>
        </w:tc>
        <w:tc>
          <w:tcPr>
            <w:tcW w:w="261" w:type="pct"/>
            <w:tcBorders>
              <w:tl2br w:val="nil"/>
              <w:tr2bl w:val="nil"/>
            </w:tcBorders>
            <w:shd w:val="clear" w:color="auto" w:fill="auto"/>
            <w:noWrap/>
            <w:vAlign w:val="bottom"/>
          </w:tcPr>
          <w:p w14:paraId="2101F6FB">
            <w:pPr>
              <w:pStyle w:val="41"/>
              <w:rPr>
                <w:color w:val="auto"/>
                <w:highlight w:val="none"/>
              </w:rPr>
            </w:pPr>
            <w:r>
              <w:rPr>
                <w:color w:val="auto"/>
                <w:highlight w:val="none"/>
              </w:rPr>
              <w:t xml:space="preserve">0.40 </w:t>
            </w:r>
          </w:p>
        </w:tc>
      </w:tr>
    </w:tbl>
    <w:p w14:paraId="600D062C">
      <w:pPr>
        <w:pStyle w:val="40"/>
        <w:spacing w:before="31" w:after="31"/>
        <w:rPr>
          <w:color w:val="auto"/>
          <w:highlight w:val="none"/>
        </w:rPr>
      </w:pPr>
      <w:r>
        <w:rPr>
          <w:color w:val="auto"/>
          <w:highlight w:val="none"/>
        </w:rPr>
        <w:t>表5.2-5    年均风频的季变化及年均风频</w:t>
      </w:r>
    </w:p>
    <w:tbl>
      <w:tblPr>
        <w:tblStyle w:val="25"/>
        <w:tblW w:w="499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2176"/>
        <w:gridCol w:w="636"/>
        <w:gridCol w:w="706"/>
        <w:gridCol w:w="636"/>
        <w:gridCol w:w="682"/>
        <w:gridCol w:w="637"/>
        <w:gridCol w:w="645"/>
        <w:gridCol w:w="753"/>
        <w:gridCol w:w="753"/>
        <w:gridCol w:w="753"/>
        <w:gridCol w:w="707"/>
        <w:gridCol w:w="637"/>
        <w:gridCol w:w="798"/>
        <w:gridCol w:w="753"/>
        <w:gridCol w:w="835"/>
        <w:gridCol w:w="637"/>
        <w:gridCol w:w="784"/>
        <w:gridCol w:w="637"/>
      </w:tblGrid>
      <w:tr w14:paraId="2A39DBB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736" w:type="pct"/>
            <w:tcBorders>
              <w:tl2br w:val="nil"/>
              <w:tr2bl w:val="nil"/>
            </w:tcBorders>
            <w:shd w:val="clear" w:color="auto" w:fill="auto"/>
            <w:noWrap/>
            <w:vAlign w:val="center"/>
          </w:tcPr>
          <w:p w14:paraId="6EB2A1D8">
            <w:pPr>
              <w:pStyle w:val="41"/>
              <w:rPr>
                <w:color w:val="auto"/>
                <w:highlight w:val="none"/>
              </w:rPr>
            </w:pPr>
            <w:r>
              <w:rPr>
                <w:color w:val="auto"/>
                <w:highlight w:val="none"/>
              </w:rPr>
              <w:t>风频</w:t>
            </w:r>
            <w:r>
              <w:rPr>
                <w:rFonts w:hint="eastAsia"/>
                <w:color w:val="auto"/>
                <w:highlight w:val="none"/>
                <w:lang w:eastAsia="zh-CN"/>
              </w:rPr>
              <w:t>（</w:t>
            </w:r>
            <w:r>
              <w:rPr>
                <w:color w:val="auto"/>
                <w:highlight w:val="none"/>
              </w:rPr>
              <w:t>%</w:t>
            </w:r>
            <w:r>
              <w:rPr>
                <w:rFonts w:hint="eastAsia"/>
                <w:color w:val="auto"/>
                <w:highlight w:val="none"/>
                <w:lang w:eastAsia="zh-CN"/>
              </w:rPr>
              <w:t>）</w:t>
            </w:r>
            <w:r>
              <w:rPr>
                <w:color w:val="auto"/>
                <w:highlight w:val="none"/>
              </w:rPr>
              <w:t xml:space="preserve">     风向  </w:t>
            </w:r>
          </w:p>
        </w:tc>
        <w:tc>
          <w:tcPr>
            <w:tcW w:w="226" w:type="pct"/>
            <w:tcBorders>
              <w:tl2br w:val="nil"/>
              <w:tr2bl w:val="nil"/>
            </w:tcBorders>
            <w:shd w:val="clear" w:color="auto" w:fill="auto"/>
            <w:noWrap/>
            <w:vAlign w:val="bottom"/>
          </w:tcPr>
          <w:p w14:paraId="55F7CFD5">
            <w:pPr>
              <w:pStyle w:val="41"/>
              <w:rPr>
                <w:color w:val="auto"/>
                <w:highlight w:val="none"/>
              </w:rPr>
            </w:pPr>
            <w:r>
              <w:rPr>
                <w:color w:val="auto"/>
                <w:highlight w:val="none"/>
              </w:rPr>
              <w:t>N</w:t>
            </w:r>
          </w:p>
        </w:tc>
        <w:tc>
          <w:tcPr>
            <w:tcW w:w="251" w:type="pct"/>
            <w:tcBorders>
              <w:tl2br w:val="nil"/>
              <w:tr2bl w:val="nil"/>
            </w:tcBorders>
            <w:shd w:val="clear" w:color="auto" w:fill="auto"/>
            <w:noWrap/>
            <w:vAlign w:val="bottom"/>
          </w:tcPr>
          <w:p w14:paraId="1EECFBAB">
            <w:pPr>
              <w:pStyle w:val="41"/>
              <w:rPr>
                <w:color w:val="auto"/>
                <w:highlight w:val="none"/>
              </w:rPr>
            </w:pPr>
            <w:r>
              <w:rPr>
                <w:color w:val="auto"/>
                <w:highlight w:val="none"/>
              </w:rPr>
              <w:t>NNE</w:t>
            </w:r>
          </w:p>
        </w:tc>
        <w:tc>
          <w:tcPr>
            <w:tcW w:w="226" w:type="pct"/>
            <w:tcBorders>
              <w:tl2br w:val="nil"/>
              <w:tr2bl w:val="nil"/>
            </w:tcBorders>
            <w:shd w:val="clear" w:color="auto" w:fill="auto"/>
            <w:noWrap/>
            <w:vAlign w:val="bottom"/>
          </w:tcPr>
          <w:p w14:paraId="047F8812">
            <w:pPr>
              <w:pStyle w:val="41"/>
              <w:rPr>
                <w:color w:val="auto"/>
                <w:highlight w:val="none"/>
              </w:rPr>
            </w:pPr>
            <w:r>
              <w:rPr>
                <w:color w:val="auto"/>
                <w:highlight w:val="none"/>
              </w:rPr>
              <w:t>NE</w:t>
            </w:r>
          </w:p>
        </w:tc>
        <w:tc>
          <w:tcPr>
            <w:tcW w:w="242" w:type="pct"/>
            <w:tcBorders>
              <w:tl2br w:val="nil"/>
              <w:tr2bl w:val="nil"/>
            </w:tcBorders>
            <w:shd w:val="clear" w:color="auto" w:fill="auto"/>
            <w:noWrap/>
            <w:vAlign w:val="bottom"/>
          </w:tcPr>
          <w:p w14:paraId="2B93CFD1">
            <w:pPr>
              <w:pStyle w:val="41"/>
              <w:rPr>
                <w:color w:val="auto"/>
                <w:highlight w:val="none"/>
              </w:rPr>
            </w:pPr>
            <w:r>
              <w:rPr>
                <w:color w:val="auto"/>
                <w:highlight w:val="none"/>
              </w:rPr>
              <w:t>ENE</w:t>
            </w:r>
          </w:p>
        </w:tc>
        <w:tc>
          <w:tcPr>
            <w:tcW w:w="226" w:type="pct"/>
            <w:tcBorders>
              <w:tl2br w:val="nil"/>
              <w:tr2bl w:val="nil"/>
            </w:tcBorders>
            <w:shd w:val="clear" w:color="auto" w:fill="auto"/>
            <w:noWrap/>
            <w:vAlign w:val="bottom"/>
          </w:tcPr>
          <w:p w14:paraId="60983E05">
            <w:pPr>
              <w:pStyle w:val="41"/>
              <w:rPr>
                <w:color w:val="auto"/>
                <w:highlight w:val="none"/>
              </w:rPr>
            </w:pPr>
            <w:r>
              <w:rPr>
                <w:color w:val="auto"/>
                <w:highlight w:val="none"/>
              </w:rPr>
              <w:t>E</w:t>
            </w:r>
          </w:p>
        </w:tc>
        <w:tc>
          <w:tcPr>
            <w:tcW w:w="229" w:type="pct"/>
            <w:tcBorders>
              <w:tl2br w:val="nil"/>
              <w:tr2bl w:val="nil"/>
            </w:tcBorders>
            <w:shd w:val="clear" w:color="auto" w:fill="auto"/>
            <w:noWrap/>
            <w:vAlign w:val="bottom"/>
          </w:tcPr>
          <w:p w14:paraId="4B902F64">
            <w:pPr>
              <w:pStyle w:val="41"/>
              <w:rPr>
                <w:color w:val="auto"/>
                <w:highlight w:val="none"/>
              </w:rPr>
            </w:pPr>
            <w:r>
              <w:rPr>
                <w:color w:val="auto"/>
                <w:highlight w:val="none"/>
              </w:rPr>
              <w:t>ESE</w:t>
            </w:r>
          </w:p>
        </w:tc>
        <w:tc>
          <w:tcPr>
            <w:tcW w:w="267" w:type="pct"/>
            <w:tcBorders>
              <w:tl2br w:val="nil"/>
              <w:tr2bl w:val="nil"/>
            </w:tcBorders>
            <w:shd w:val="clear" w:color="auto" w:fill="auto"/>
            <w:noWrap/>
            <w:vAlign w:val="bottom"/>
          </w:tcPr>
          <w:p w14:paraId="7576E68B">
            <w:pPr>
              <w:pStyle w:val="41"/>
              <w:rPr>
                <w:color w:val="auto"/>
                <w:highlight w:val="none"/>
              </w:rPr>
            </w:pPr>
            <w:r>
              <w:rPr>
                <w:color w:val="auto"/>
                <w:highlight w:val="none"/>
              </w:rPr>
              <w:t>SE</w:t>
            </w:r>
          </w:p>
        </w:tc>
        <w:tc>
          <w:tcPr>
            <w:tcW w:w="267" w:type="pct"/>
            <w:tcBorders>
              <w:tl2br w:val="nil"/>
              <w:tr2bl w:val="nil"/>
            </w:tcBorders>
            <w:shd w:val="clear" w:color="auto" w:fill="auto"/>
            <w:noWrap/>
            <w:vAlign w:val="bottom"/>
          </w:tcPr>
          <w:p w14:paraId="6D774CD1">
            <w:pPr>
              <w:pStyle w:val="41"/>
              <w:rPr>
                <w:color w:val="auto"/>
                <w:highlight w:val="none"/>
              </w:rPr>
            </w:pPr>
            <w:r>
              <w:rPr>
                <w:color w:val="auto"/>
                <w:highlight w:val="none"/>
              </w:rPr>
              <w:t>SSE</w:t>
            </w:r>
          </w:p>
        </w:tc>
        <w:tc>
          <w:tcPr>
            <w:tcW w:w="267" w:type="pct"/>
            <w:tcBorders>
              <w:tl2br w:val="nil"/>
              <w:tr2bl w:val="nil"/>
            </w:tcBorders>
            <w:shd w:val="clear" w:color="auto" w:fill="auto"/>
            <w:noWrap/>
            <w:vAlign w:val="bottom"/>
          </w:tcPr>
          <w:p w14:paraId="14CAE48A">
            <w:pPr>
              <w:pStyle w:val="41"/>
              <w:rPr>
                <w:color w:val="auto"/>
                <w:highlight w:val="none"/>
              </w:rPr>
            </w:pPr>
            <w:r>
              <w:rPr>
                <w:color w:val="auto"/>
                <w:highlight w:val="none"/>
              </w:rPr>
              <w:t>S</w:t>
            </w:r>
          </w:p>
        </w:tc>
        <w:tc>
          <w:tcPr>
            <w:tcW w:w="251" w:type="pct"/>
            <w:tcBorders>
              <w:tl2br w:val="nil"/>
              <w:tr2bl w:val="nil"/>
            </w:tcBorders>
            <w:shd w:val="clear" w:color="auto" w:fill="auto"/>
            <w:noWrap/>
            <w:vAlign w:val="bottom"/>
          </w:tcPr>
          <w:p w14:paraId="46AE4A4A">
            <w:pPr>
              <w:pStyle w:val="41"/>
              <w:rPr>
                <w:color w:val="auto"/>
                <w:highlight w:val="none"/>
              </w:rPr>
            </w:pPr>
            <w:r>
              <w:rPr>
                <w:color w:val="auto"/>
                <w:highlight w:val="none"/>
              </w:rPr>
              <w:t>SSW</w:t>
            </w:r>
          </w:p>
        </w:tc>
        <w:tc>
          <w:tcPr>
            <w:tcW w:w="226" w:type="pct"/>
            <w:tcBorders>
              <w:tl2br w:val="nil"/>
              <w:tr2bl w:val="nil"/>
            </w:tcBorders>
            <w:shd w:val="clear" w:color="auto" w:fill="auto"/>
            <w:noWrap/>
            <w:vAlign w:val="bottom"/>
          </w:tcPr>
          <w:p w14:paraId="2764CFA7">
            <w:pPr>
              <w:pStyle w:val="41"/>
              <w:rPr>
                <w:color w:val="auto"/>
                <w:highlight w:val="none"/>
              </w:rPr>
            </w:pPr>
            <w:r>
              <w:rPr>
                <w:color w:val="auto"/>
                <w:highlight w:val="none"/>
              </w:rPr>
              <w:t>SW</w:t>
            </w:r>
          </w:p>
        </w:tc>
        <w:tc>
          <w:tcPr>
            <w:tcW w:w="283" w:type="pct"/>
            <w:tcBorders>
              <w:tl2br w:val="nil"/>
              <w:tr2bl w:val="nil"/>
            </w:tcBorders>
            <w:shd w:val="clear" w:color="auto" w:fill="auto"/>
            <w:noWrap/>
            <w:vAlign w:val="bottom"/>
          </w:tcPr>
          <w:p w14:paraId="617EFA2E">
            <w:pPr>
              <w:pStyle w:val="41"/>
              <w:rPr>
                <w:color w:val="auto"/>
                <w:highlight w:val="none"/>
              </w:rPr>
            </w:pPr>
            <w:r>
              <w:rPr>
                <w:color w:val="auto"/>
                <w:highlight w:val="none"/>
              </w:rPr>
              <w:t>WSW</w:t>
            </w:r>
          </w:p>
        </w:tc>
        <w:tc>
          <w:tcPr>
            <w:tcW w:w="267" w:type="pct"/>
            <w:tcBorders>
              <w:tl2br w:val="nil"/>
              <w:tr2bl w:val="nil"/>
            </w:tcBorders>
            <w:shd w:val="clear" w:color="auto" w:fill="auto"/>
            <w:noWrap/>
            <w:vAlign w:val="bottom"/>
          </w:tcPr>
          <w:p w14:paraId="5F509F9C">
            <w:pPr>
              <w:pStyle w:val="41"/>
              <w:rPr>
                <w:color w:val="auto"/>
                <w:highlight w:val="none"/>
              </w:rPr>
            </w:pPr>
            <w:r>
              <w:rPr>
                <w:color w:val="auto"/>
                <w:highlight w:val="none"/>
              </w:rPr>
              <w:t>W</w:t>
            </w:r>
          </w:p>
        </w:tc>
        <w:tc>
          <w:tcPr>
            <w:tcW w:w="296" w:type="pct"/>
            <w:tcBorders>
              <w:tl2br w:val="nil"/>
              <w:tr2bl w:val="nil"/>
            </w:tcBorders>
            <w:shd w:val="clear" w:color="auto" w:fill="auto"/>
            <w:noWrap/>
            <w:vAlign w:val="bottom"/>
          </w:tcPr>
          <w:p w14:paraId="330808E7">
            <w:pPr>
              <w:pStyle w:val="41"/>
              <w:rPr>
                <w:color w:val="auto"/>
                <w:highlight w:val="none"/>
              </w:rPr>
            </w:pPr>
            <w:r>
              <w:rPr>
                <w:color w:val="auto"/>
                <w:highlight w:val="none"/>
              </w:rPr>
              <w:t>WNW</w:t>
            </w:r>
          </w:p>
        </w:tc>
        <w:tc>
          <w:tcPr>
            <w:tcW w:w="226" w:type="pct"/>
            <w:tcBorders>
              <w:tl2br w:val="nil"/>
              <w:tr2bl w:val="nil"/>
            </w:tcBorders>
            <w:shd w:val="clear" w:color="auto" w:fill="auto"/>
            <w:noWrap/>
            <w:vAlign w:val="bottom"/>
          </w:tcPr>
          <w:p w14:paraId="564A489A">
            <w:pPr>
              <w:pStyle w:val="41"/>
              <w:rPr>
                <w:color w:val="auto"/>
                <w:highlight w:val="none"/>
              </w:rPr>
            </w:pPr>
            <w:r>
              <w:rPr>
                <w:color w:val="auto"/>
                <w:highlight w:val="none"/>
              </w:rPr>
              <w:t>NW</w:t>
            </w:r>
          </w:p>
        </w:tc>
        <w:tc>
          <w:tcPr>
            <w:tcW w:w="278" w:type="pct"/>
            <w:tcBorders>
              <w:tl2br w:val="nil"/>
              <w:tr2bl w:val="nil"/>
            </w:tcBorders>
            <w:shd w:val="clear" w:color="auto" w:fill="auto"/>
            <w:noWrap/>
            <w:vAlign w:val="bottom"/>
          </w:tcPr>
          <w:p w14:paraId="7AD02F1B">
            <w:pPr>
              <w:pStyle w:val="41"/>
              <w:rPr>
                <w:color w:val="auto"/>
                <w:highlight w:val="none"/>
              </w:rPr>
            </w:pPr>
            <w:r>
              <w:rPr>
                <w:color w:val="auto"/>
                <w:highlight w:val="none"/>
              </w:rPr>
              <w:t>NNW</w:t>
            </w:r>
          </w:p>
        </w:tc>
        <w:tc>
          <w:tcPr>
            <w:tcW w:w="226" w:type="pct"/>
            <w:tcBorders>
              <w:tl2br w:val="nil"/>
              <w:tr2bl w:val="nil"/>
            </w:tcBorders>
            <w:shd w:val="clear" w:color="auto" w:fill="auto"/>
            <w:noWrap/>
            <w:vAlign w:val="bottom"/>
          </w:tcPr>
          <w:p w14:paraId="1FAC25FB">
            <w:pPr>
              <w:pStyle w:val="41"/>
              <w:rPr>
                <w:color w:val="auto"/>
                <w:highlight w:val="none"/>
              </w:rPr>
            </w:pPr>
            <w:r>
              <w:rPr>
                <w:color w:val="auto"/>
                <w:highlight w:val="none"/>
              </w:rPr>
              <w:t xml:space="preserve"> C </w:t>
            </w:r>
          </w:p>
        </w:tc>
      </w:tr>
      <w:tr w14:paraId="320A6E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736" w:type="pct"/>
            <w:tcBorders>
              <w:tl2br w:val="nil"/>
              <w:tr2bl w:val="nil"/>
            </w:tcBorders>
            <w:shd w:val="clear" w:color="auto" w:fill="auto"/>
            <w:noWrap/>
            <w:vAlign w:val="bottom"/>
          </w:tcPr>
          <w:p w14:paraId="08AF9511">
            <w:pPr>
              <w:pStyle w:val="41"/>
              <w:rPr>
                <w:color w:val="auto"/>
                <w:highlight w:val="none"/>
              </w:rPr>
            </w:pPr>
            <w:r>
              <w:rPr>
                <w:color w:val="auto"/>
                <w:highlight w:val="none"/>
              </w:rPr>
              <w:t xml:space="preserve">春季           </w:t>
            </w:r>
          </w:p>
        </w:tc>
        <w:tc>
          <w:tcPr>
            <w:tcW w:w="226" w:type="pct"/>
            <w:tcBorders>
              <w:tl2br w:val="nil"/>
              <w:tr2bl w:val="nil"/>
            </w:tcBorders>
            <w:shd w:val="clear" w:color="auto" w:fill="auto"/>
            <w:noWrap/>
            <w:vAlign w:val="bottom"/>
          </w:tcPr>
          <w:p w14:paraId="52F65184">
            <w:pPr>
              <w:pStyle w:val="41"/>
              <w:rPr>
                <w:color w:val="auto"/>
                <w:highlight w:val="none"/>
              </w:rPr>
            </w:pPr>
            <w:r>
              <w:rPr>
                <w:color w:val="auto"/>
                <w:highlight w:val="none"/>
              </w:rPr>
              <w:t xml:space="preserve">6.97 </w:t>
            </w:r>
          </w:p>
        </w:tc>
        <w:tc>
          <w:tcPr>
            <w:tcW w:w="251" w:type="pct"/>
            <w:tcBorders>
              <w:tl2br w:val="nil"/>
              <w:tr2bl w:val="nil"/>
            </w:tcBorders>
            <w:shd w:val="clear" w:color="auto" w:fill="auto"/>
            <w:noWrap/>
            <w:vAlign w:val="bottom"/>
          </w:tcPr>
          <w:p w14:paraId="4EA21277">
            <w:pPr>
              <w:pStyle w:val="41"/>
              <w:rPr>
                <w:color w:val="auto"/>
                <w:highlight w:val="none"/>
              </w:rPr>
            </w:pPr>
            <w:r>
              <w:rPr>
                <w:color w:val="auto"/>
                <w:highlight w:val="none"/>
              </w:rPr>
              <w:t xml:space="preserve">4.66 </w:t>
            </w:r>
          </w:p>
        </w:tc>
        <w:tc>
          <w:tcPr>
            <w:tcW w:w="226" w:type="pct"/>
            <w:tcBorders>
              <w:tl2br w:val="nil"/>
              <w:tr2bl w:val="nil"/>
            </w:tcBorders>
            <w:shd w:val="clear" w:color="auto" w:fill="auto"/>
            <w:noWrap/>
            <w:vAlign w:val="bottom"/>
          </w:tcPr>
          <w:p w14:paraId="3AAB2D15">
            <w:pPr>
              <w:pStyle w:val="41"/>
              <w:rPr>
                <w:color w:val="auto"/>
                <w:highlight w:val="none"/>
              </w:rPr>
            </w:pPr>
            <w:r>
              <w:rPr>
                <w:color w:val="auto"/>
                <w:highlight w:val="none"/>
              </w:rPr>
              <w:t xml:space="preserve">4.30 </w:t>
            </w:r>
          </w:p>
        </w:tc>
        <w:tc>
          <w:tcPr>
            <w:tcW w:w="242" w:type="pct"/>
            <w:tcBorders>
              <w:tl2br w:val="nil"/>
              <w:tr2bl w:val="nil"/>
            </w:tcBorders>
            <w:shd w:val="clear" w:color="auto" w:fill="auto"/>
            <w:noWrap/>
            <w:vAlign w:val="bottom"/>
          </w:tcPr>
          <w:p w14:paraId="53ED4DE7">
            <w:pPr>
              <w:pStyle w:val="41"/>
              <w:rPr>
                <w:color w:val="auto"/>
                <w:highlight w:val="none"/>
              </w:rPr>
            </w:pPr>
            <w:r>
              <w:rPr>
                <w:color w:val="auto"/>
                <w:highlight w:val="none"/>
              </w:rPr>
              <w:t xml:space="preserve">1.72 </w:t>
            </w:r>
          </w:p>
        </w:tc>
        <w:tc>
          <w:tcPr>
            <w:tcW w:w="226" w:type="pct"/>
            <w:tcBorders>
              <w:tl2br w:val="nil"/>
              <w:tr2bl w:val="nil"/>
            </w:tcBorders>
            <w:shd w:val="clear" w:color="auto" w:fill="auto"/>
            <w:noWrap/>
            <w:vAlign w:val="bottom"/>
          </w:tcPr>
          <w:p w14:paraId="51D27780">
            <w:pPr>
              <w:pStyle w:val="41"/>
              <w:rPr>
                <w:color w:val="auto"/>
                <w:highlight w:val="none"/>
              </w:rPr>
            </w:pPr>
            <w:r>
              <w:rPr>
                <w:color w:val="auto"/>
                <w:highlight w:val="none"/>
              </w:rPr>
              <w:t xml:space="preserve">0.54 </w:t>
            </w:r>
          </w:p>
        </w:tc>
        <w:tc>
          <w:tcPr>
            <w:tcW w:w="229" w:type="pct"/>
            <w:tcBorders>
              <w:tl2br w:val="nil"/>
              <w:tr2bl w:val="nil"/>
            </w:tcBorders>
            <w:shd w:val="clear" w:color="auto" w:fill="auto"/>
            <w:noWrap/>
            <w:vAlign w:val="bottom"/>
          </w:tcPr>
          <w:p w14:paraId="123F4883">
            <w:pPr>
              <w:pStyle w:val="41"/>
              <w:rPr>
                <w:color w:val="auto"/>
                <w:highlight w:val="none"/>
              </w:rPr>
            </w:pPr>
            <w:r>
              <w:rPr>
                <w:color w:val="auto"/>
                <w:highlight w:val="none"/>
              </w:rPr>
              <w:t xml:space="preserve">2.08 </w:t>
            </w:r>
          </w:p>
        </w:tc>
        <w:tc>
          <w:tcPr>
            <w:tcW w:w="267" w:type="pct"/>
            <w:tcBorders>
              <w:tl2br w:val="nil"/>
              <w:tr2bl w:val="nil"/>
            </w:tcBorders>
            <w:shd w:val="clear" w:color="auto" w:fill="auto"/>
            <w:noWrap/>
            <w:vAlign w:val="bottom"/>
          </w:tcPr>
          <w:p w14:paraId="20CD895B">
            <w:pPr>
              <w:pStyle w:val="41"/>
              <w:rPr>
                <w:color w:val="auto"/>
                <w:highlight w:val="none"/>
              </w:rPr>
            </w:pPr>
            <w:r>
              <w:rPr>
                <w:color w:val="auto"/>
                <w:highlight w:val="none"/>
              </w:rPr>
              <w:t xml:space="preserve">6.88 </w:t>
            </w:r>
          </w:p>
        </w:tc>
        <w:tc>
          <w:tcPr>
            <w:tcW w:w="267" w:type="pct"/>
            <w:tcBorders>
              <w:tl2br w:val="nil"/>
              <w:tr2bl w:val="nil"/>
            </w:tcBorders>
            <w:shd w:val="clear" w:color="auto" w:fill="auto"/>
            <w:noWrap/>
            <w:vAlign w:val="bottom"/>
          </w:tcPr>
          <w:p w14:paraId="081B31A4">
            <w:pPr>
              <w:pStyle w:val="41"/>
              <w:rPr>
                <w:color w:val="auto"/>
                <w:highlight w:val="none"/>
              </w:rPr>
            </w:pPr>
            <w:r>
              <w:rPr>
                <w:color w:val="auto"/>
                <w:highlight w:val="none"/>
              </w:rPr>
              <w:t xml:space="preserve">12.14 </w:t>
            </w:r>
          </w:p>
        </w:tc>
        <w:tc>
          <w:tcPr>
            <w:tcW w:w="267" w:type="pct"/>
            <w:tcBorders>
              <w:tl2br w:val="nil"/>
              <w:tr2bl w:val="nil"/>
            </w:tcBorders>
            <w:shd w:val="clear" w:color="auto" w:fill="auto"/>
            <w:noWrap/>
            <w:vAlign w:val="bottom"/>
          </w:tcPr>
          <w:p w14:paraId="164C224B">
            <w:pPr>
              <w:pStyle w:val="41"/>
              <w:rPr>
                <w:color w:val="auto"/>
                <w:highlight w:val="none"/>
              </w:rPr>
            </w:pPr>
            <w:r>
              <w:rPr>
                <w:color w:val="auto"/>
                <w:highlight w:val="none"/>
              </w:rPr>
              <w:t xml:space="preserve">12.27 </w:t>
            </w:r>
          </w:p>
        </w:tc>
        <w:tc>
          <w:tcPr>
            <w:tcW w:w="251" w:type="pct"/>
            <w:tcBorders>
              <w:tl2br w:val="nil"/>
              <w:tr2bl w:val="nil"/>
            </w:tcBorders>
            <w:shd w:val="clear" w:color="auto" w:fill="auto"/>
            <w:noWrap/>
            <w:vAlign w:val="bottom"/>
          </w:tcPr>
          <w:p w14:paraId="01CC5631">
            <w:pPr>
              <w:pStyle w:val="41"/>
              <w:rPr>
                <w:color w:val="auto"/>
                <w:highlight w:val="none"/>
              </w:rPr>
            </w:pPr>
            <w:r>
              <w:rPr>
                <w:color w:val="auto"/>
                <w:highlight w:val="none"/>
              </w:rPr>
              <w:t xml:space="preserve">5.98 </w:t>
            </w:r>
          </w:p>
        </w:tc>
        <w:tc>
          <w:tcPr>
            <w:tcW w:w="226" w:type="pct"/>
            <w:tcBorders>
              <w:tl2br w:val="nil"/>
              <w:tr2bl w:val="nil"/>
            </w:tcBorders>
            <w:shd w:val="clear" w:color="auto" w:fill="auto"/>
            <w:noWrap/>
            <w:vAlign w:val="bottom"/>
          </w:tcPr>
          <w:p w14:paraId="17133918">
            <w:pPr>
              <w:pStyle w:val="41"/>
              <w:rPr>
                <w:color w:val="auto"/>
                <w:highlight w:val="none"/>
              </w:rPr>
            </w:pPr>
            <w:r>
              <w:rPr>
                <w:color w:val="auto"/>
                <w:highlight w:val="none"/>
              </w:rPr>
              <w:t xml:space="preserve">5.84 </w:t>
            </w:r>
          </w:p>
        </w:tc>
        <w:tc>
          <w:tcPr>
            <w:tcW w:w="283" w:type="pct"/>
            <w:tcBorders>
              <w:tl2br w:val="nil"/>
              <w:tr2bl w:val="nil"/>
            </w:tcBorders>
            <w:shd w:val="clear" w:color="auto" w:fill="auto"/>
            <w:noWrap/>
            <w:vAlign w:val="bottom"/>
          </w:tcPr>
          <w:p w14:paraId="57821667">
            <w:pPr>
              <w:pStyle w:val="41"/>
              <w:rPr>
                <w:color w:val="auto"/>
                <w:highlight w:val="none"/>
              </w:rPr>
            </w:pPr>
            <w:r>
              <w:rPr>
                <w:color w:val="auto"/>
                <w:highlight w:val="none"/>
              </w:rPr>
              <w:t xml:space="preserve">7.74 </w:t>
            </w:r>
          </w:p>
        </w:tc>
        <w:tc>
          <w:tcPr>
            <w:tcW w:w="267" w:type="pct"/>
            <w:tcBorders>
              <w:tl2br w:val="nil"/>
              <w:tr2bl w:val="nil"/>
            </w:tcBorders>
            <w:shd w:val="clear" w:color="auto" w:fill="auto"/>
            <w:noWrap/>
            <w:vAlign w:val="bottom"/>
          </w:tcPr>
          <w:p w14:paraId="34A23F3E">
            <w:pPr>
              <w:pStyle w:val="41"/>
              <w:rPr>
                <w:color w:val="auto"/>
                <w:highlight w:val="none"/>
              </w:rPr>
            </w:pPr>
            <w:r>
              <w:rPr>
                <w:color w:val="auto"/>
                <w:highlight w:val="none"/>
              </w:rPr>
              <w:t xml:space="preserve">12.77 </w:t>
            </w:r>
          </w:p>
        </w:tc>
        <w:tc>
          <w:tcPr>
            <w:tcW w:w="296" w:type="pct"/>
            <w:tcBorders>
              <w:tl2br w:val="nil"/>
              <w:tr2bl w:val="nil"/>
            </w:tcBorders>
            <w:shd w:val="clear" w:color="auto" w:fill="auto"/>
            <w:noWrap/>
            <w:vAlign w:val="bottom"/>
          </w:tcPr>
          <w:p w14:paraId="4F60EE7C">
            <w:pPr>
              <w:pStyle w:val="41"/>
              <w:rPr>
                <w:color w:val="auto"/>
                <w:highlight w:val="none"/>
              </w:rPr>
            </w:pPr>
            <w:r>
              <w:rPr>
                <w:color w:val="auto"/>
                <w:highlight w:val="none"/>
              </w:rPr>
              <w:t xml:space="preserve">7.29 </w:t>
            </w:r>
          </w:p>
        </w:tc>
        <w:tc>
          <w:tcPr>
            <w:tcW w:w="226" w:type="pct"/>
            <w:tcBorders>
              <w:tl2br w:val="nil"/>
              <w:tr2bl w:val="nil"/>
            </w:tcBorders>
            <w:shd w:val="clear" w:color="auto" w:fill="auto"/>
            <w:noWrap/>
            <w:vAlign w:val="bottom"/>
          </w:tcPr>
          <w:p w14:paraId="54A9F764">
            <w:pPr>
              <w:pStyle w:val="41"/>
              <w:rPr>
                <w:color w:val="auto"/>
                <w:highlight w:val="none"/>
              </w:rPr>
            </w:pPr>
            <w:r>
              <w:rPr>
                <w:color w:val="auto"/>
                <w:highlight w:val="none"/>
              </w:rPr>
              <w:t xml:space="preserve">4.08 </w:t>
            </w:r>
          </w:p>
        </w:tc>
        <w:tc>
          <w:tcPr>
            <w:tcW w:w="278" w:type="pct"/>
            <w:tcBorders>
              <w:tl2br w:val="nil"/>
              <w:tr2bl w:val="nil"/>
            </w:tcBorders>
            <w:shd w:val="clear" w:color="auto" w:fill="auto"/>
            <w:noWrap/>
            <w:vAlign w:val="bottom"/>
          </w:tcPr>
          <w:p w14:paraId="1784AA32">
            <w:pPr>
              <w:pStyle w:val="41"/>
              <w:rPr>
                <w:color w:val="auto"/>
                <w:highlight w:val="none"/>
              </w:rPr>
            </w:pPr>
            <w:r>
              <w:rPr>
                <w:color w:val="auto"/>
                <w:highlight w:val="none"/>
              </w:rPr>
              <w:t xml:space="preserve">4.66 </w:t>
            </w:r>
          </w:p>
        </w:tc>
        <w:tc>
          <w:tcPr>
            <w:tcW w:w="226" w:type="pct"/>
            <w:tcBorders>
              <w:tl2br w:val="nil"/>
              <w:tr2bl w:val="nil"/>
            </w:tcBorders>
            <w:shd w:val="clear" w:color="auto" w:fill="auto"/>
            <w:noWrap/>
            <w:vAlign w:val="bottom"/>
          </w:tcPr>
          <w:p w14:paraId="57820519">
            <w:pPr>
              <w:pStyle w:val="41"/>
              <w:rPr>
                <w:color w:val="auto"/>
                <w:highlight w:val="none"/>
              </w:rPr>
            </w:pPr>
            <w:r>
              <w:rPr>
                <w:color w:val="auto"/>
                <w:highlight w:val="none"/>
              </w:rPr>
              <w:t xml:space="preserve">0.05 </w:t>
            </w:r>
          </w:p>
        </w:tc>
      </w:tr>
      <w:tr w14:paraId="25E149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736" w:type="pct"/>
            <w:tcBorders>
              <w:tl2br w:val="nil"/>
              <w:tr2bl w:val="nil"/>
            </w:tcBorders>
            <w:shd w:val="clear" w:color="auto" w:fill="auto"/>
            <w:noWrap/>
            <w:vAlign w:val="bottom"/>
          </w:tcPr>
          <w:p w14:paraId="552F4D2A">
            <w:pPr>
              <w:pStyle w:val="41"/>
              <w:rPr>
                <w:color w:val="auto"/>
                <w:highlight w:val="none"/>
              </w:rPr>
            </w:pPr>
            <w:r>
              <w:rPr>
                <w:color w:val="auto"/>
                <w:highlight w:val="none"/>
              </w:rPr>
              <w:t xml:space="preserve">夏季           </w:t>
            </w:r>
          </w:p>
        </w:tc>
        <w:tc>
          <w:tcPr>
            <w:tcW w:w="226" w:type="pct"/>
            <w:tcBorders>
              <w:tl2br w:val="nil"/>
              <w:tr2bl w:val="nil"/>
            </w:tcBorders>
            <w:shd w:val="clear" w:color="auto" w:fill="auto"/>
            <w:noWrap/>
            <w:vAlign w:val="bottom"/>
          </w:tcPr>
          <w:p w14:paraId="12B01D0D">
            <w:pPr>
              <w:pStyle w:val="41"/>
              <w:rPr>
                <w:color w:val="auto"/>
                <w:highlight w:val="none"/>
              </w:rPr>
            </w:pPr>
            <w:r>
              <w:rPr>
                <w:color w:val="auto"/>
                <w:highlight w:val="none"/>
              </w:rPr>
              <w:t xml:space="preserve">5.75 </w:t>
            </w:r>
          </w:p>
        </w:tc>
        <w:tc>
          <w:tcPr>
            <w:tcW w:w="251" w:type="pct"/>
            <w:tcBorders>
              <w:tl2br w:val="nil"/>
              <w:tr2bl w:val="nil"/>
            </w:tcBorders>
            <w:shd w:val="clear" w:color="auto" w:fill="auto"/>
            <w:noWrap/>
            <w:vAlign w:val="bottom"/>
          </w:tcPr>
          <w:p w14:paraId="09573891">
            <w:pPr>
              <w:pStyle w:val="41"/>
              <w:rPr>
                <w:color w:val="auto"/>
                <w:highlight w:val="none"/>
              </w:rPr>
            </w:pPr>
            <w:r>
              <w:rPr>
                <w:color w:val="auto"/>
                <w:highlight w:val="none"/>
              </w:rPr>
              <w:t xml:space="preserve">3.76 </w:t>
            </w:r>
          </w:p>
        </w:tc>
        <w:tc>
          <w:tcPr>
            <w:tcW w:w="226" w:type="pct"/>
            <w:tcBorders>
              <w:tl2br w:val="nil"/>
              <w:tr2bl w:val="nil"/>
            </w:tcBorders>
            <w:shd w:val="clear" w:color="auto" w:fill="auto"/>
            <w:noWrap/>
            <w:vAlign w:val="bottom"/>
          </w:tcPr>
          <w:p w14:paraId="7221D908">
            <w:pPr>
              <w:pStyle w:val="41"/>
              <w:rPr>
                <w:color w:val="auto"/>
                <w:highlight w:val="none"/>
              </w:rPr>
            </w:pPr>
            <w:r>
              <w:rPr>
                <w:color w:val="auto"/>
                <w:highlight w:val="none"/>
              </w:rPr>
              <w:t xml:space="preserve">2.45 </w:t>
            </w:r>
          </w:p>
        </w:tc>
        <w:tc>
          <w:tcPr>
            <w:tcW w:w="242" w:type="pct"/>
            <w:tcBorders>
              <w:tl2br w:val="nil"/>
              <w:tr2bl w:val="nil"/>
            </w:tcBorders>
            <w:shd w:val="clear" w:color="auto" w:fill="auto"/>
            <w:noWrap/>
            <w:vAlign w:val="bottom"/>
          </w:tcPr>
          <w:p w14:paraId="178FF741">
            <w:pPr>
              <w:pStyle w:val="41"/>
              <w:rPr>
                <w:color w:val="auto"/>
                <w:highlight w:val="none"/>
              </w:rPr>
            </w:pPr>
            <w:r>
              <w:rPr>
                <w:color w:val="auto"/>
                <w:highlight w:val="none"/>
              </w:rPr>
              <w:t xml:space="preserve">1.31 </w:t>
            </w:r>
          </w:p>
        </w:tc>
        <w:tc>
          <w:tcPr>
            <w:tcW w:w="226" w:type="pct"/>
            <w:tcBorders>
              <w:tl2br w:val="nil"/>
              <w:tr2bl w:val="nil"/>
            </w:tcBorders>
            <w:shd w:val="clear" w:color="auto" w:fill="auto"/>
            <w:noWrap/>
            <w:vAlign w:val="bottom"/>
          </w:tcPr>
          <w:p w14:paraId="090D2918">
            <w:pPr>
              <w:pStyle w:val="41"/>
              <w:rPr>
                <w:color w:val="auto"/>
                <w:highlight w:val="none"/>
              </w:rPr>
            </w:pPr>
            <w:r>
              <w:rPr>
                <w:color w:val="auto"/>
                <w:highlight w:val="none"/>
              </w:rPr>
              <w:t xml:space="preserve">0.41 </w:t>
            </w:r>
          </w:p>
        </w:tc>
        <w:tc>
          <w:tcPr>
            <w:tcW w:w="229" w:type="pct"/>
            <w:tcBorders>
              <w:tl2br w:val="nil"/>
              <w:tr2bl w:val="nil"/>
            </w:tcBorders>
            <w:shd w:val="clear" w:color="auto" w:fill="auto"/>
            <w:noWrap/>
            <w:vAlign w:val="bottom"/>
          </w:tcPr>
          <w:p w14:paraId="58EE4533">
            <w:pPr>
              <w:pStyle w:val="41"/>
              <w:rPr>
                <w:color w:val="auto"/>
                <w:highlight w:val="none"/>
              </w:rPr>
            </w:pPr>
            <w:r>
              <w:rPr>
                <w:color w:val="auto"/>
                <w:highlight w:val="none"/>
              </w:rPr>
              <w:t xml:space="preserve">2.76 </w:t>
            </w:r>
          </w:p>
        </w:tc>
        <w:tc>
          <w:tcPr>
            <w:tcW w:w="267" w:type="pct"/>
            <w:tcBorders>
              <w:tl2br w:val="nil"/>
              <w:tr2bl w:val="nil"/>
            </w:tcBorders>
            <w:shd w:val="clear" w:color="auto" w:fill="auto"/>
            <w:noWrap/>
            <w:vAlign w:val="bottom"/>
          </w:tcPr>
          <w:p w14:paraId="47E19A4E">
            <w:pPr>
              <w:pStyle w:val="41"/>
              <w:rPr>
                <w:color w:val="auto"/>
                <w:highlight w:val="none"/>
              </w:rPr>
            </w:pPr>
            <w:r>
              <w:rPr>
                <w:color w:val="auto"/>
                <w:highlight w:val="none"/>
              </w:rPr>
              <w:t xml:space="preserve">10.73 </w:t>
            </w:r>
          </w:p>
        </w:tc>
        <w:tc>
          <w:tcPr>
            <w:tcW w:w="267" w:type="pct"/>
            <w:tcBorders>
              <w:tl2br w:val="nil"/>
              <w:tr2bl w:val="nil"/>
            </w:tcBorders>
            <w:shd w:val="clear" w:color="auto" w:fill="auto"/>
            <w:noWrap/>
            <w:vAlign w:val="bottom"/>
          </w:tcPr>
          <w:p w14:paraId="34E987F1">
            <w:pPr>
              <w:pStyle w:val="41"/>
              <w:rPr>
                <w:color w:val="auto"/>
                <w:highlight w:val="none"/>
              </w:rPr>
            </w:pPr>
            <w:r>
              <w:rPr>
                <w:color w:val="auto"/>
                <w:highlight w:val="none"/>
              </w:rPr>
              <w:t xml:space="preserve">14.58 </w:t>
            </w:r>
          </w:p>
        </w:tc>
        <w:tc>
          <w:tcPr>
            <w:tcW w:w="267" w:type="pct"/>
            <w:tcBorders>
              <w:tl2br w:val="nil"/>
              <w:tr2bl w:val="nil"/>
            </w:tcBorders>
            <w:shd w:val="clear" w:color="auto" w:fill="auto"/>
            <w:noWrap/>
            <w:vAlign w:val="bottom"/>
          </w:tcPr>
          <w:p w14:paraId="7E10E7B6">
            <w:pPr>
              <w:pStyle w:val="41"/>
              <w:rPr>
                <w:color w:val="auto"/>
                <w:highlight w:val="none"/>
              </w:rPr>
            </w:pPr>
            <w:r>
              <w:rPr>
                <w:color w:val="auto"/>
                <w:highlight w:val="none"/>
              </w:rPr>
              <w:t xml:space="preserve">12.45 </w:t>
            </w:r>
          </w:p>
        </w:tc>
        <w:tc>
          <w:tcPr>
            <w:tcW w:w="251" w:type="pct"/>
            <w:tcBorders>
              <w:tl2br w:val="nil"/>
              <w:tr2bl w:val="nil"/>
            </w:tcBorders>
            <w:shd w:val="clear" w:color="auto" w:fill="auto"/>
            <w:noWrap/>
            <w:vAlign w:val="bottom"/>
          </w:tcPr>
          <w:p w14:paraId="6996360A">
            <w:pPr>
              <w:pStyle w:val="41"/>
              <w:rPr>
                <w:color w:val="auto"/>
                <w:highlight w:val="none"/>
              </w:rPr>
            </w:pPr>
            <w:r>
              <w:rPr>
                <w:color w:val="auto"/>
                <w:highlight w:val="none"/>
              </w:rPr>
              <w:t xml:space="preserve">5.80 </w:t>
            </w:r>
          </w:p>
        </w:tc>
        <w:tc>
          <w:tcPr>
            <w:tcW w:w="226" w:type="pct"/>
            <w:tcBorders>
              <w:tl2br w:val="nil"/>
              <w:tr2bl w:val="nil"/>
            </w:tcBorders>
            <w:shd w:val="clear" w:color="auto" w:fill="auto"/>
            <w:noWrap/>
            <w:vAlign w:val="bottom"/>
          </w:tcPr>
          <w:p w14:paraId="42A40077">
            <w:pPr>
              <w:pStyle w:val="41"/>
              <w:rPr>
                <w:color w:val="auto"/>
                <w:highlight w:val="none"/>
              </w:rPr>
            </w:pPr>
            <w:r>
              <w:rPr>
                <w:color w:val="auto"/>
                <w:highlight w:val="none"/>
              </w:rPr>
              <w:t xml:space="preserve">6.43 </w:t>
            </w:r>
          </w:p>
        </w:tc>
        <w:tc>
          <w:tcPr>
            <w:tcW w:w="283" w:type="pct"/>
            <w:tcBorders>
              <w:tl2br w:val="nil"/>
              <w:tr2bl w:val="nil"/>
            </w:tcBorders>
            <w:shd w:val="clear" w:color="auto" w:fill="auto"/>
            <w:noWrap/>
            <w:vAlign w:val="bottom"/>
          </w:tcPr>
          <w:p w14:paraId="28B29F1D">
            <w:pPr>
              <w:pStyle w:val="41"/>
              <w:rPr>
                <w:color w:val="auto"/>
                <w:highlight w:val="none"/>
              </w:rPr>
            </w:pPr>
            <w:r>
              <w:rPr>
                <w:color w:val="auto"/>
                <w:highlight w:val="none"/>
              </w:rPr>
              <w:t xml:space="preserve">8.15 </w:t>
            </w:r>
          </w:p>
        </w:tc>
        <w:tc>
          <w:tcPr>
            <w:tcW w:w="267" w:type="pct"/>
            <w:tcBorders>
              <w:tl2br w:val="nil"/>
              <w:tr2bl w:val="nil"/>
            </w:tcBorders>
            <w:shd w:val="clear" w:color="auto" w:fill="auto"/>
            <w:noWrap/>
            <w:vAlign w:val="bottom"/>
          </w:tcPr>
          <w:p w14:paraId="678ED2C1">
            <w:pPr>
              <w:pStyle w:val="41"/>
              <w:rPr>
                <w:color w:val="auto"/>
                <w:highlight w:val="none"/>
              </w:rPr>
            </w:pPr>
            <w:r>
              <w:rPr>
                <w:color w:val="auto"/>
                <w:highlight w:val="none"/>
              </w:rPr>
              <w:t xml:space="preserve">12.95 </w:t>
            </w:r>
          </w:p>
        </w:tc>
        <w:tc>
          <w:tcPr>
            <w:tcW w:w="296" w:type="pct"/>
            <w:tcBorders>
              <w:tl2br w:val="nil"/>
              <w:tr2bl w:val="nil"/>
            </w:tcBorders>
            <w:shd w:val="clear" w:color="auto" w:fill="auto"/>
            <w:noWrap/>
            <w:vAlign w:val="bottom"/>
          </w:tcPr>
          <w:p w14:paraId="6D38314B">
            <w:pPr>
              <w:pStyle w:val="41"/>
              <w:rPr>
                <w:color w:val="auto"/>
                <w:highlight w:val="none"/>
              </w:rPr>
            </w:pPr>
            <w:r>
              <w:rPr>
                <w:color w:val="auto"/>
                <w:highlight w:val="none"/>
              </w:rPr>
              <w:t xml:space="preserve">4.66 </w:t>
            </w:r>
          </w:p>
        </w:tc>
        <w:tc>
          <w:tcPr>
            <w:tcW w:w="226" w:type="pct"/>
            <w:tcBorders>
              <w:tl2br w:val="nil"/>
              <w:tr2bl w:val="nil"/>
            </w:tcBorders>
            <w:shd w:val="clear" w:color="auto" w:fill="auto"/>
            <w:noWrap/>
            <w:vAlign w:val="bottom"/>
          </w:tcPr>
          <w:p w14:paraId="1FC7FBC4">
            <w:pPr>
              <w:pStyle w:val="41"/>
              <w:rPr>
                <w:color w:val="auto"/>
                <w:highlight w:val="none"/>
              </w:rPr>
            </w:pPr>
            <w:r>
              <w:rPr>
                <w:color w:val="auto"/>
                <w:highlight w:val="none"/>
              </w:rPr>
              <w:t xml:space="preserve">2.58 </w:t>
            </w:r>
          </w:p>
        </w:tc>
        <w:tc>
          <w:tcPr>
            <w:tcW w:w="278" w:type="pct"/>
            <w:tcBorders>
              <w:tl2br w:val="nil"/>
              <w:tr2bl w:val="nil"/>
            </w:tcBorders>
            <w:shd w:val="clear" w:color="auto" w:fill="auto"/>
            <w:noWrap/>
            <w:vAlign w:val="bottom"/>
          </w:tcPr>
          <w:p w14:paraId="561248DF">
            <w:pPr>
              <w:pStyle w:val="41"/>
              <w:rPr>
                <w:color w:val="auto"/>
                <w:highlight w:val="none"/>
              </w:rPr>
            </w:pPr>
            <w:r>
              <w:rPr>
                <w:color w:val="auto"/>
                <w:highlight w:val="none"/>
              </w:rPr>
              <w:t xml:space="preserve">5.03 </w:t>
            </w:r>
          </w:p>
        </w:tc>
        <w:tc>
          <w:tcPr>
            <w:tcW w:w="226" w:type="pct"/>
            <w:tcBorders>
              <w:tl2br w:val="nil"/>
              <w:tr2bl w:val="nil"/>
            </w:tcBorders>
            <w:shd w:val="clear" w:color="auto" w:fill="auto"/>
            <w:noWrap/>
            <w:vAlign w:val="bottom"/>
          </w:tcPr>
          <w:p w14:paraId="16827578">
            <w:pPr>
              <w:pStyle w:val="41"/>
              <w:rPr>
                <w:color w:val="auto"/>
                <w:highlight w:val="none"/>
              </w:rPr>
            </w:pPr>
            <w:r>
              <w:rPr>
                <w:color w:val="auto"/>
                <w:highlight w:val="none"/>
              </w:rPr>
              <w:t xml:space="preserve">0.18 </w:t>
            </w:r>
          </w:p>
        </w:tc>
      </w:tr>
      <w:tr w14:paraId="05ED20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736" w:type="pct"/>
            <w:tcBorders>
              <w:tl2br w:val="nil"/>
              <w:tr2bl w:val="nil"/>
            </w:tcBorders>
            <w:shd w:val="clear" w:color="auto" w:fill="auto"/>
            <w:noWrap/>
            <w:vAlign w:val="bottom"/>
          </w:tcPr>
          <w:p w14:paraId="4EE08777">
            <w:pPr>
              <w:pStyle w:val="41"/>
              <w:rPr>
                <w:color w:val="auto"/>
                <w:highlight w:val="none"/>
              </w:rPr>
            </w:pPr>
            <w:r>
              <w:rPr>
                <w:color w:val="auto"/>
                <w:highlight w:val="none"/>
              </w:rPr>
              <w:t xml:space="preserve">秋季           </w:t>
            </w:r>
          </w:p>
        </w:tc>
        <w:tc>
          <w:tcPr>
            <w:tcW w:w="226" w:type="pct"/>
            <w:tcBorders>
              <w:tl2br w:val="nil"/>
              <w:tr2bl w:val="nil"/>
            </w:tcBorders>
            <w:shd w:val="clear" w:color="auto" w:fill="auto"/>
            <w:noWrap/>
            <w:vAlign w:val="bottom"/>
          </w:tcPr>
          <w:p w14:paraId="16B9B32E">
            <w:pPr>
              <w:pStyle w:val="41"/>
              <w:rPr>
                <w:color w:val="auto"/>
                <w:highlight w:val="none"/>
              </w:rPr>
            </w:pPr>
            <w:r>
              <w:rPr>
                <w:color w:val="auto"/>
                <w:highlight w:val="none"/>
              </w:rPr>
              <w:t xml:space="preserve">5.68 </w:t>
            </w:r>
          </w:p>
        </w:tc>
        <w:tc>
          <w:tcPr>
            <w:tcW w:w="251" w:type="pct"/>
            <w:tcBorders>
              <w:tl2br w:val="nil"/>
              <w:tr2bl w:val="nil"/>
            </w:tcBorders>
            <w:shd w:val="clear" w:color="auto" w:fill="auto"/>
            <w:noWrap/>
            <w:vAlign w:val="bottom"/>
          </w:tcPr>
          <w:p w14:paraId="6D1BA21B">
            <w:pPr>
              <w:pStyle w:val="41"/>
              <w:rPr>
                <w:color w:val="auto"/>
                <w:highlight w:val="none"/>
              </w:rPr>
            </w:pPr>
            <w:r>
              <w:rPr>
                <w:color w:val="auto"/>
                <w:highlight w:val="none"/>
              </w:rPr>
              <w:t xml:space="preserve">2.29 </w:t>
            </w:r>
          </w:p>
        </w:tc>
        <w:tc>
          <w:tcPr>
            <w:tcW w:w="226" w:type="pct"/>
            <w:tcBorders>
              <w:tl2br w:val="nil"/>
              <w:tr2bl w:val="nil"/>
            </w:tcBorders>
            <w:shd w:val="clear" w:color="auto" w:fill="auto"/>
            <w:noWrap/>
            <w:vAlign w:val="bottom"/>
          </w:tcPr>
          <w:p w14:paraId="5826E111">
            <w:pPr>
              <w:pStyle w:val="41"/>
              <w:rPr>
                <w:color w:val="auto"/>
                <w:highlight w:val="none"/>
              </w:rPr>
            </w:pPr>
            <w:r>
              <w:rPr>
                <w:color w:val="auto"/>
                <w:highlight w:val="none"/>
              </w:rPr>
              <w:t xml:space="preserve">1.60 </w:t>
            </w:r>
          </w:p>
        </w:tc>
        <w:tc>
          <w:tcPr>
            <w:tcW w:w="242" w:type="pct"/>
            <w:tcBorders>
              <w:tl2br w:val="nil"/>
              <w:tr2bl w:val="nil"/>
            </w:tcBorders>
            <w:shd w:val="clear" w:color="auto" w:fill="auto"/>
            <w:noWrap/>
            <w:vAlign w:val="bottom"/>
          </w:tcPr>
          <w:p w14:paraId="66951B5F">
            <w:pPr>
              <w:pStyle w:val="41"/>
              <w:rPr>
                <w:color w:val="auto"/>
                <w:highlight w:val="none"/>
              </w:rPr>
            </w:pPr>
            <w:r>
              <w:rPr>
                <w:color w:val="auto"/>
                <w:highlight w:val="none"/>
              </w:rPr>
              <w:t xml:space="preserve">0.73 </w:t>
            </w:r>
          </w:p>
        </w:tc>
        <w:tc>
          <w:tcPr>
            <w:tcW w:w="226" w:type="pct"/>
            <w:tcBorders>
              <w:tl2br w:val="nil"/>
              <w:tr2bl w:val="nil"/>
            </w:tcBorders>
            <w:shd w:val="clear" w:color="auto" w:fill="auto"/>
            <w:noWrap/>
            <w:vAlign w:val="bottom"/>
          </w:tcPr>
          <w:p w14:paraId="0147EF52">
            <w:pPr>
              <w:pStyle w:val="41"/>
              <w:rPr>
                <w:color w:val="auto"/>
                <w:highlight w:val="none"/>
              </w:rPr>
            </w:pPr>
            <w:r>
              <w:rPr>
                <w:color w:val="auto"/>
                <w:highlight w:val="none"/>
              </w:rPr>
              <w:t xml:space="preserve">0.69 </w:t>
            </w:r>
          </w:p>
        </w:tc>
        <w:tc>
          <w:tcPr>
            <w:tcW w:w="229" w:type="pct"/>
            <w:tcBorders>
              <w:tl2br w:val="nil"/>
              <w:tr2bl w:val="nil"/>
            </w:tcBorders>
            <w:shd w:val="clear" w:color="auto" w:fill="auto"/>
            <w:noWrap/>
            <w:vAlign w:val="bottom"/>
          </w:tcPr>
          <w:p w14:paraId="3FB4CE2B">
            <w:pPr>
              <w:pStyle w:val="41"/>
              <w:rPr>
                <w:color w:val="auto"/>
                <w:highlight w:val="none"/>
              </w:rPr>
            </w:pPr>
            <w:r>
              <w:rPr>
                <w:color w:val="auto"/>
                <w:highlight w:val="none"/>
              </w:rPr>
              <w:t xml:space="preserve">2.43 </w:t>
            </w:r>
          </w:p>
        </w:tc>
        <w:tc>
          <w:tcPr>
            <w:tcW w:w="267" w:type="pct"/>
            <w:tcBorders>
              <w:tl2br w:val="nil"/>
              <w:tr2bl w:val="nil"/>
            </w:tcBorders>
            <w:shd w:val="clear" w:color="auto" w:fill="auto"/>
            <w:noWrap/>
            <w:vAlign w:val="bottom"/>
          </w:tcPr>
          <w:p w14:paraId="16561600">
            <w:pPr>
              <w:pStyle w:val="41"/>
              <w:rPr>
                <w:color w:val="auto"/>
                <w:highlight w:val="none"/>
              </w:rPr>
            </w:pPr>
            <w:r>
              <w:rPr>
                <w:color w:val="auto"/>
                <w:highlight w:val="none"/>
              </w:rPr>
              <w:t xml:space="preserve">6.78 </w:t>
            </w:r>
          </w:p>
        </w:tc>
        <w:tc>
          <w:tcPr>
            <w:tcW w:w="267" w:type="pct"/>
            <w:tcBorders>
              <w:tl2br w:val="nil"/>
              <w:tr2bl w:val="nil"/>
            </w:tcBorders>
            <w:shd w:val="clear" w:color="auto" w:fill="auto"/>
            <w:noWrap/>
            <w:vAlign w:val="bottom"/>
          </w:tcPr>
          <w:p w14:paraId="7F96BCC9">
            <w:pPr>
              <w:pStyle w:val="41"/>
              <w:rPr>
                <w:color w:val="auto"/>
                <w:highlight w:val="none"/>
              </w:rPr>
            </w:pPr>
            <w:r>
              <w:rPr>
                <w:color w:val="auto"/>
                <w:highlight w:val="none"/>
              </w:rPr>
              <w:t xml:space="preserve">10.67 </w:t>
            </w:r>
          </w:p>
        </w:tc>
        <w:tc>
          <w:tcPr>
            <w:tcW w:w="267" w:type="pct"/>
            <w:tcBorders>
              <w:tl2br w:val="nil"/>
              <w:tr2bl w:val="nil"/>
            </w:tcBorders>
            <w:shd w:val="clear" w:color="auto" w:fill="auto"/>
            <w:noWrap/>
            <w:vAlign w:val="bottom"/>
          </w:tcPr>
          <w:p w14:paraId="54D57377">
            <w:pPr>
              <w:pStyle w:val="41"/>
              <w:rPr>
                <w:color w:val="auto"/>
                <w:highlight w:val="none"/>
              </w:rPr>
            </w:pPr>
            <w:r>
              <w:rPr>
                <w:color w:val="auto"/>
                <w:highlight w:val="none"/>
              </w:rPr>
              <w:t xml:space="preserve">11.45 </w:t>
            </w:r>
          </w:p>
        </w:tc>
        <w:tc>
          <w:tcPr>
            <w:tcW w:w="251" w:type="pct"/>
            <w:tcBorders>
              <w:tl2br w:val="nil"/>
              <w:tr2bl w:val="nil"/>
            </w:tcBorders>
            <w:shd w:val="clear" w:color="auto" w:fill="auto"/>
            <w:noWrap/>
            <w:vAlign w:val="bottom"/>
          </w:tcPr>
          <w:p w14:paraId="1BBB6D3B">
            <w:pPr>
              <w:pStyle w:val="41"/>
              <w:rPr>
                <w:color w:val="auto"/>
                <w:highlight w:val="none"/>
              </w:rPr>
            </w:pPr>
            <w:r>
              <w:rPr>
                <w:color w:val="auto"/>
                <w:highlight w:val="none"/>
              </w:rPr>
              <w:t xml:space="preserve">7.37 </w:t>
            </w:r>
          </w:p>
        </w:tc>
        <w:tc>
          <w:tcPr>
            <w:tcW w:w="226" w:type="pct"/>
            <w:tcBorders>
              <w:tl2br w:val="nil"/>
              <w:tr2bl w:val="nil"/>
            </w:tcBorders>
            <w:shd w:val="clear" w:color="auto" w:fill="auto"/>
            <w:noWrap/>
            <w:vAlign w:val="bottom"/>
          </w:tcPr>
          <w:p w14:paraId="005A317A">
            <w:pPr>
              <w:pStyle w:val="41"/>
              <w:rPr>
                <w:color w:val="auto"/>
                <w:highlight w:val="none"/>
              </w:rPr>
            </w:pPr>
            <w:r>
              <w:rPr>
                <w:color w:val="auto"/>
                <w:highlight w:val="none"/>
              </w:rPr>
              <w:t xml:space="preserve">9.02 </w:t>
            </w:r>
          </w:p>
        </w:tc>
        <w:tc>
          <w:tcPr>
            <w:tcW w:w="283" w:type="pct"/>
            <w:tcBorders>
              <w:tl2br w:val="nil"/>
              <w:tr2bl w:val="nil"/>
            </w:tcBorders>
            <w:shd w:val="clear" w:color="auto" w:fill="auto"/>
            <w:noWrap/>
            <w:vAlign w:val="bottom"/>
          </w:tcPr>
          <w:p w14:paraId="1F28BBE9">
            <w:pPr>
              <w:pStyle w:val="41"/>
              <w:rPr>
                <w:color w:val="auto"/>
                <w:highlight w:val="none"/>
              </w:rPr>
            </w:pPr>
            <w:r>
              <w:rPr>
                <w:color w:val="auto"/>
                <w:highlight w:val="none"/>
              </w:rPr>
              <w:t xml:space="preserve">13.14 </w:t>
            </w:r>
          </w:p>
        </w:tc>
        <w:tc>
          <w:tcPr>
            <w:tcW w:w="267" w:type="pct"/>
            <w:tcBorders>
              <w:tl2br w:val="nil"/>
              <w:tr2bl w:val="nil"/>
            </w:tcBorders>
            <w:shd w:val="clear" w:color="auto" w:fill="auto"/>
            <w:noWrap/>
            <w:vAlign w:val="bottom"/>
          </w:tcPr>
          <w:p w14:paraId="78BDA206">
            <w:pPr>
              <w:pStyle w:val="41"/>
              <w:rPr>
                <w:color w:val="auto"/>
                <w:highlight w:val="none"/>
              </w:rPr>
            </w:pPr>
            <w:r>
              <w:rPr>
                <w:color w:val="auto"/>
                <w:highlight w:val="none"/>
              </w:rPr>
              <w:t xml:space="preserve">14.01 </w:t>
            </w:r>
          </w:p>
        </w:tc>
        <w:tc>
          <w:tcPr>
            <w:tcW w:w="296" w:type="pct"/>
            <w:tcBorders>
              <w:tl2br w:val="nil"/>
              <w:tr2bl w:val="nil"/>
            </w:tcBorders>
            <w:shd w:val="clear" w:color="auto" w:fill="auto"/>
            <w:noWrap/>
            <w:vAlign w:val="bottom"/>
          </w:tcPr>
          <w:p w14:paraId="1DFDBA3E">
            <w:pPr>
              <w:pStyle w:val="41"/>
              <w:rPr>
                <w:color w:val="auto"/>
                <w:highlight w:val="none"/>
              </w:rPr>
            </w:pPr>
            <w:r>
              <w:rPr>
                <w:color w:val="auto"/>
                <w:highlight w:val="none"/>
              </w:rPr>
              <w:t xml:space="preserve">6.50 </w:t>
            </w:r>
          </w:p>
        </w:tc>
        <w:tc>
          <w:tcPr>
            <w:tcW w:w="226" w:type="pct"/>
            <w:tcBorders>
              <w:tl2br w:val="nil"/>
              <w:tr2bl w:val="nil"/>
            </w:tcBorders>
            <w:shd w:val="clear" w:color="auto" w:fill="auto"/>
            <w:noWrap/>
            <w:vAlign w:val="bottom"/>
          </w:tcPr>
          <w:p w14:paraId="29DE8BF4">
            <w:pPr>
              <w:pStyle w:val="41"/>
              <w:rPr>
                <w:color w:val="auto"/>
                <w:highlight w:val="none"/>
              </w:rPr>
            </w:pPr>
            <w:r>
              <w:rPr>
                <w:color w:val="auto"/>
                <w:highlight w:val="none"/>
              </w:rPr>
              <w:t xml:space="preserve">2.61 </w:t>
            </w:r>
          </w:p>
        </w:tc>
        <w:tc>
          <w:tcPr>
            <w:tcW w:w="278" w:type="pct"/>
            <w:tcBorders>
              <w:tl2br w:val="nil"/>
              <w:tr2bl w:val="nil"/>
            </w:tcBorders>
            <w:shd w:val="clear" w:color="auto" w:fill="auto"/>
            <w:noWrap/>
            <w:vAlign w:val="bottom"/>
          </w:tcPr>
          <w:p w14:paraId="59ABE8A7">
            <w:pPr>
              <w:pStyle w:val="41"/>
              <w:rPr>
                <w:color w:val="auto"/>
                <w:highlight w:val="none"/>
              </w:rPr>
            </w:pPr>
            <w:r>
              <w:rPr>
                <w:color w:val="auto"/>
                <w:highlight w:val="none"/>
              </w:rPr>
              <w:t xml:space="preserve">4.90 </w:t>
            </w:r>
          </w:p>
        </w:tc>
        <w:tc>
          <w:tcPr>
            <w:tcW w:w="226" w:type="pct"/>
            <w:tcBorders>
              <w:tl2br w:val="nil"/>
              <w:tr2bl w:val="nil"/>
            </w:tcBorders>
            <w:shd w:val="clear" w:color="auto" w:fill="auto"/>
            <w:noWrap/>
            <w:vAlign w:val="bottom"/>
          </w:tcPr>
          <w:p w14:paraId="330946C7">
            <w:pPr>
              <w:pStyle w:val="41"/>
              <w:rPr>
                <w:color w:val="auto"/>
                <w:highlight w:val="none"/>
              </w:rPr>
            </w:pPr>
            <w:r>
              <w:rPr>
                <w:color w:val="auto"/>
                <w:highlight w:val="none"/>
              </w:rPr>
              <w:t xml:space="preserve">0.14 </w:t>
            </w:r>
          </w:p>
        </w:tc>
      </w:tr>
      <w:tr w14:paraId="0832E5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736" w:type="pct"/>
            <w:tcBorders>
              <w:tl2br w:val="nil"/>
              <w:tr2bl w:val="nil"/>
            </w:tcBorders>
            <w:shd w:val="clear" w:color="auto" w:fill="auto"/>
            <w:noWrap/>
            <w:vAlign w:val="bottom"/>
          </w:tcPr>
          <w:p w14:paraId="750A70C5">
            <w:pPr>
              <w:pStyle w:val="41"/>
              <w:rPr>
                <w:color w:val="auto"/>
                <w:highlight w:val="none"/>
              </w:rPr>
            </w:pPr>
            <w:r>
              <w:rPr>
                <w:color w:val="auto"/>
                <w:highlight w:val="none"/>
              </w:rPr>
              <w:t xml:space="preserve">冬季           </w:t>
            </w:r>
          </w:p>
        </w:tc>
        <w:tc>
          <w:tcPr>
            <w:tcW w:w="226" w:type="pct"/>
            <w:tcBorders>
              <w:tl2br w:val="nil"/>
              <w:tr2bl w:val="nil"/>
            </w:tcBorders>
            <w:shd w:val="clear" w:color="auto" w:fill="auto"/>
            <w:noWrap/>
            <w:vAlign w:val="bottom"/>
          </w:tcPr>
          <w:p w14:paraId="2C95280F">
            <w:pPr>
              <w:pStyle w:val="41"/>
              <w:rPr>
                <w:color w:val="auto"/>
                <w:highlight w:val="none"/>
              </w:rPr>
            </w:pPr>
            <w:r>
              <w:rPr>
                <w:color w:val="auto"/>
                <w:highlight w:val="none"/>
              </w:rPr>
              <w:t xml:space="preserve">8.61 </w:t>
            </w:r>
          </w:p>
        </w:tc>
        <w:tc>
          <w:tcPr>
            <w:tcW w:w="251" w:type="pct"/>
            <w:tcBorders>
              <w:tl2br w:val="nil"/>
              <w:tr2bl w:val="nil"/>
            </w:tcBorders>
            <w:shd w:val="clear" w:color="auto" w:fill="auto"/>
            <w:noWrap/>
            <w:vAlign w:val="bottom"/>
          </w:tcPr>
          <w:p w14:paraId="712E8FE7">
            <w:pPr>
              <w:pStyle w:val="41"/>
              <w:rPr>
                <w:color w:val="auto"/>
                <w:highlight w:val="none"/>
              </w:rPr>
            </w:pPr>
            <w:r>
              <w:rPr>
                <w:color w:val="auto"/>
                <w:highlight w:val="none"/>
              </w:rPr>
              <w:t xml:space="preserve">5.23 </w:t>
            </w:r>
          </w:p>
        </w:tc>
        <w:tc>
          <w:tcPr>
            <w:tcW w:w="226" w:type="pct"/>
            <w:tcBorders>
              <w:tl2br w:val="nil"/>
              <w:tr2bl w:val="nil"/>
            </w:tcBorders>
            <w:shd w:val="clear" w:color="auto" w:fill="auto"/>
            <w:noWrap/>
            <w:vAlign w:val="bottom"/>
          </w:tcPr>
          <w:p w14:paraId="2253838F">
            <w:pPr>
              <w:pStyle w:val="41"/>
              <w:rPr>
                <w:color w:val="auto"/>
                <w:highlight w:val="none"/>
              </w:rPr>
            </w:pPr>
            <w:r>
              <w:rPr>
                <w:color w:val="auto"/>
                <w:highlight w:val="none"/>
              </w:rPr>
              <w:t xml:space="preserve">4.31 </w:t>
            </w:r>
          </w:p>
        </w:tc>
        <w:tc>
          <w:tcPr>
            <w:tcW w:w="242" w:type="pct"/>
            <w:tcBorders>
              <w:tl2br w:val="nil"/>
              <w:tr2bl w:val="nil"/>
            </w:tcBorders>
            <w:shd w:val="clear" w:color="auto" w:fill="auto"/>
            <w:noWrap/>
            <w:vAlign w:val="bottom"/>
          </w:tcPr>
          <w:p w14:paraId="78EADB7D">
            <w:pPr>
              <w:pStyle w:val="41"/>
              <w:rPr>
                <w:color w:val="auto"/>
                <w:highlight w:val="none"/>
              </w:rPr>
            </w:pPr>
            <w:r>
              <w:rPr>
                <w:color w:val="auto"/>
                <w:highlight w:val="none"/>
              </w:rPr>
              <w:t xml:space="preserve">3.43 </w:t>
            </w:r>
          </w:p>
        </w:tc>
        <w:tc>
          <w:tcPr>
            <w:tcW w:w="226" w:type="pct"/>
            <w:tcBorders>
              <w:tl2br w:val="nil"/>
              <w:tr2bl w:val="nil"/>
            </w:tcBorders>
            <w:shd w:val="clear" w:color="auto" w:fill="auto"/>
            <w:noWrap/>
            <w:vAlign w:val="bottom"/>
          </w:tcPr>
          <w:p w14:paraId="64F342BE">
            <w:pPr>
              <w:pStyle w:val="41"/>
              <w:rPr>
                <w:color w:val="auto"/>
                <w:highlight w:val="none"/>
              </w:rPr>
            </w:pPr>
            <w:r>
              <w:rPr>
                <w:color w:val="auto"/>
                <w:highlight w:val="none"/>
              </w:rPr>
              <w:t xml:space="preserve">0.60 </w:t>
            </w:r>
          </w:p>
        </w:tc>
        <w:tc>
          <w:tcPr>
            <w:tcW w:w="229" w:type="pct"/>
            <w:tcBorders>
              <w:tl2br w:val="nil"/>
              <w:tr2bl w:val="nil"/>
            </w:tcBorders>
            <w:shd w:val="clear" w:color="auto" w:fill="auto"/>
            <w:noWrap/>
            <w:vAlign w:val="bottom"/>
          </w:tcPr>
          <w:p w14:paraId="6354686F">
            <w:pPr>
              <w:pStyle w:val="41"/>
              <w:rPr>
                <w:color w:val="auto"/>
                <w:highlight w:val="none"/>
              </w:rPr>
            </w:pPr>
            <w:r>
              <w:rPr>
                <w:color w:val="auto"/>
                <w:highlight w:val="none"/>
              </w:rPr>
              <w:t xml:space="preserve">1.53 </w:t>
            </w:r>
          </w:p>
        </w:tc>
        <w:tc>
          <w:tcPr>
            <w:tcW w:w="267" w:type="pct"/>
            <w:tcBorders>
              <w:tl2br w:val="nil"/>
              <w:tr2bl w:val="nil"/>
            </w:tcBorders>
            <w:shd w:val="clear" w:color="auto" w:fill="auto"/>
            <w:noWrap/>
            <w:vAlign w:val="bottom"/>
          </w:tcPr>
          <w:p w14:paraId="38375C5E">
            <w:pPr>
              <w:pStyle w:val="41"/>
              <w:rPr>
                <w:color w:val="auto"/>
                <w:highlight w:val="none"/>
              </w:rPr>
            </w:pPr>
            <w:r>
              <w:rPr>
                <w:color w:val="auto"/>
                <w:highlight w:val="none"/>
              </w:rPr>
              <w:t xml:space="preserve">4.12 </w:t>
            </w:r>
          </w:p>
        </w:tc>
        <w:tc>
          <w:tcPr>
            <w:tcW w:w="267" w:type="pct"/>
            <w:tcBorders>
              <w:tl2br w:val="nil"/>
              <w:tr2bl w:val="nil"/>
            </w:tcBorders>
            <w:shd w:val="clear" w:color="auto" w:fill="auto"/>
            <w:noWrap/>
            <w:vAlign w:val="bottom"/>
          </w:tcPr>
          <w:p w14:paraId="3EDF4728">
            <w:pPr>
              <w:pStyle w:val="41"/>
              <w:rPr>
                <w:color w:val="auto"/>
                <w:highlight w:val="none"/>
              </w:rPr>
            </w:pPr>
            <w:r>
              <w:rPr>
                <w:color w:val="auto"/>
                <w:highlight w:val="none"/>
              </w:rPr>
              <w:t xml:space="preserve">11.02 </w:t>
            </w:r>
          </w:p>
        </w:tc>
        <w:tc>
          <w:tcPr>
            <w:tcW w:w="267" w:type="pct"/>
            <w:tcBorders>
              <w:tl2br w:val="nil"/>
              <w:tr2bl w:val="nil"/>
            </w:tcBorders>
            <w:shd w:val="clear" w:color="auto" w:fill="auto"/>
            <w:noWrap/>
            <w:vAlign w:val="bottom"/>
          </w:tcPr>
          <w:p w14:paraId="16B9AE8A">
            <w:pPr>
              <w:pStyle w:val="41"/>
              <w:rPr>
                <w:color w:val="auto"/>
                <w:highlight w:val="none"/>
              </w:rPr>
            </w:pPr>
            <w:r>
              <w:rPr>
                <w:color w:val="auto"/>
                <w:highlight w:val="none"/>
              </w:rPr>
              <w:t xml:space="preserve">11.25 </w:t>
            </w:r>
          </w:p>
        </w:tc>
        <w:tc>
          <w:tcPr>
            <w:tcW w:w="251" w:type="pct"/>
            <w:tcBorders>
              <w:tl2br w:val="nil"/>
              <w:tr2bl w:val="nil"/>
            </w:tcBorders>
            <w:shd w:val="clear" w:color="auto" w:fill="auto"/>
            <w:noWrap/>
            <w:vAlign w:val="bottom"/>
          </w:tcPr>
          <w:p w14:paraId="6C6991E9">
            <w:pPr>
              <w:pStyle w:val="41"/>
              <w:rPr>
                <w:color w:val="auto"/>
                <w:highlight w:val="none"/>
              </w:rPr>
            </w:pPr>
            <w:r>
              <w:rPr>
                <w:color w:val="auto"/>
                <w:highlight w:val="none"/>
              </w:rPr>
              <w:t xml:space="preserve">6.71 </w:t>
            </w:r>
          </w:p>
        </w:tc>
        <w:tc>
          <w:tcPr>
            <w:tcW w:w="226" w:type="pct"/>
            <w:tcBorders>
              <w:tl2br w:val="nil"/>
              <w:tr2bl w:val="nil"/>
            </w:tcBorders>
            <w:shd w:val="clear" w:color="auto" w:fill="auto"/>
            <w:noWrap/>
            <w:vAlign w:val="bottom"/>
          </w:tcPr>
          <w:p w14:paraId="290F972D">
            <w:pPr>
              <w:pStyle w:val="41"/>
              <w:rPr>
                <w:color w:val="auto"/>
                <w:highlight w:val="none"/>
              </w:rPr>
            </w:pPr>
            <w:r>
              <w:rPr>
                <w:color w:val="auto"/>
                <w:highlight w:val="none"/>
              </w:rPr>
              <w:t xml:space="preserve">4.35 </w:t>
            </w:r>
          </w:p>
        </w:tc>
        <w:tc>
          <w:tcPr>
            <w:tcW w:w="283" w:type="pct"/>
            <w:tcBorders>
              <w:tl2br w:val="nil"/>
              <w:tr2bl w:val="nil"/>
            </w:tcBorders>
            <w:shd w:val="clear" w:color="auto" w:fill="auto"/>
            <w:noWrap/>
            <w:vAlign w:val="bottom"/>
          </w:tcPr>
          <w:p w14:paraId="562752D1">
            <w:pPr>
              <w:pStyle w:val="41"/>
              <w:rPr>
                <w:color w:val="auto"/>
                <w:highlight w:val="none"/>
              </w:rPr>
            </w:pPr>
            <w:r>
              <w:rPr>
                <w:color w:val="auto"/>
                <w:highlight w:val="none"/>
              </w:rPr>
              <w:t xml:space="preserve">8.06 </w:t>
            </w:r>
          </w:p>
        </w:tc>
        <w:tc>
          <w:tcPr>
            <w:tcW w:w="267" w:type="pct"/>
            <w:tcBorders>
              <w:tl2br w:val="nil"/>
              <w:tr2bl w:val="nil"/>
            </w:tcBorders>
            <w:shd w:val="clear" w:color="auto" w:fill="auto"/>
            <w:noWrap/>
            <w:vAlign w:val="bottom"/>
          </w:tcPr>
          <w:p w14:paraId="3DA101FB">
            <w:pPr>
              <w:pStyle w:val="41"/>
              <w:rPr>
                <w:color w:val="auto"/>
                <w:highlight w:val="none"/>
              </w:rPr>
            </w:pPr>
            <w:r>
              <w:rPr>
                <w:color w:val="auto"/>
                <w:highlight w:val="none"/>
              </w:rPr>
              <w:t xml:space="preserve">13.47 </w:t>
            </w:r>
          </w:p>
        </w:tc>
        <w:tc>
          <w:tcPr>
            <w:tcW w:w="296" w:type="pct"/>
            <w:tcBorders>
              <w:tl2br w:val="nil"/>
              <w:tr2bl w:val="nil"/>
            </w:tcBorders>
            <w:shd w:val="clear" w:color="auto" w:fill="auto"/>
            <w:noWrap/>
            <w:vAlign w:val="bottom"/>
          </w:tcPr>
          <w:p w14:paraId="64D5BCCB">
            <w:pPr>
              <w:pStyle w:val="41"/>
              <w:rPr>
                <w:color w:val="auto"/>
                <w:highlight w:val="none"/>
              </w:rPr>
            </w:pPr>
            <w:r>
              <w:rPr>
                <w:color w:val="auto"/>
                <w:highlight w:val="none"/>
              </w:rPr>
              <w:t xml:space="preserve">7.73 </w:t>
            </w:r>
          </w:p>
        </w:tc>
        <w:tc>
          <w:tcPr>
            <w:tcW w:w="226" w:type="pct"/>
            <w:tcBorders>
              <w:tl2br w:val="nil"/>
              <w:tr2bl w:val="nil"/>
            </w:tcBorders>
            <w:shd w:val="clear" w:color="auto" w:fill="auto"/>
            <w:noWrap/>
            <w:vAlign w:val="bottom"/>
          </w:tcPr>
          <w:p w14:paraId="76B8A3F1">
            <w:pPr>
              <w:pStyle w:val="41"/>
              <w:rPr>
                <w:color w:val="auto"/>
                <w:highlight w:val="none"/>
              </w:rPr>
            </w:pPr>
            <w:r>
              <w:rPr>
                <w:color w:val="auto"/>
                <w:highlight w:val="none"/>
              </w:rPr>
              <w:t xml:space="preserve">3.80 </w:t>
            </w:r>
          </w:p>
        </w:tc>
        <w:tc>
          <w:tcPr>
            <w:tcW w:w="278" w:type="pct"/>
            <w:tcBorders>
              <w:tl2br w:val="nil"/>
              <w:tr2bl w:val="nil"/>
            </w:tcBorders>
            <w:shd w:val="clear" w:color="auto" w:fill="auto"/>
            <w:noWrap/>
            <w:vAlign w:val="bottom"/>
          </w:tcPr>
          <w:p w14:paraId="2476397B">
            <w:pPr>
              <w:pStyle w:val="41"/>
              <w:rPr>
                <w:color w:val="auto"/>
                <w:highlight w:val="none"/>
              </w:rPr>
            </w:pPr>
            <w:r>
              <w:rPr>
                <w:color w:val="auto"/>
                <w:highlight w:val="none"/>
              </w:rPr>
              <w:t xml:space="preserve">5.51 </w:t>
            </w:r>
          </w:p>
        </w:tc>
        <w:tc>
          <w:tcPr>
            <w:tcW w:w="226" w:type="pct"/>
            <w:tcBorders>
              <w:tl2br w:val="nil"/>
              <w:tr2bl w:val="nil"/>
            </w:tcBorders>
            <w:shd w:val="clear" w:color="auto" w:fill="auto"/>
            <w:noWrap/>
            <w:vAlign w:val="bottom"/>
          </w:tcPr>
          <w:p w14:paraId="6687F0EF">
            <w:pPr>
              <w:pStyle w:val="41"/>
              <w:rPr>
                <w:color w:val="auto"/>
                <w:highlight w:val="none"/>
              </w:rPr>
            </w:pPr>
            <w:r>
              <w:rPr>
                <w:color w:val="auto"/>
                <w:highlight w:val="none"/>
              </w:rPr>
              <w:t xml:space="preserve">0.28 </w:t>
            </w:r>
          </w:p>
        </w:tc>
      </w:tr>
      <w:tr w14:paraId="1D146A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736" w:type="pct"/>
            <w:tcBorders>
              <w:tl2br w:val="nil"/>
              <w:tr2bl w:val="nil"/>
            </w:tcBorders>
            <w:shd w:val="clear" w:color="auto" w:fill="auto"/>
            <w:noWrap/>
            <w:vAlign w:val="bottom"/>
          </w:tcPr>
          <w:p w14:paraId="238B0B75">
            <w:pPr>
              <w:pStyle w:val="41"/>
              <w:rPr>
                <w:color w:val="auto"/>
                <w:highlight w:val="none"/>
              </w:rPr>
            </w:pPr>
            <w:r>
              <w:rPr>
                <w:color w:val="auto"/>
                <w:highlight w:val="none"/>
              </w:rPr>
              <w:t xml:space="preserve">全年           </w:t>
            </w:r>
          </w:p>
        </w:tc>
        <w:tc>
          <w:tcPr>
            <w:tcW w:w="226" w:type="pct"/>
            <w:tcBorders>
              <w:tl2br w:val="nil"/>
              <w:tr2bl w:val="nil"/>
            </w:tcBorders>
            <w:shd w:val="clear" w:color="auto" w:fill="auto"/>
            <w:noWrap/>
            <w:vAlign w:val="bottom"/>
          </w:tcPr>
          <w:p w14:paraId="28433D28">
            <w:pPr>
              <w:pStyle w:val="41"/>
              <w:rPr>
                <w:color w:val="auto"/>
                <w:highlight w:val="none"/>
              </w:rPr>
            </w:pPr>
            <w:r>
              <w:rPr>
                <w:color w:val="auto"/>
                <w:highlight w:val="none"/>
              </w:rPr>
              <w:t xml:space="preserve">6.75 </w:t>
            </w:r>
          </w:p>
        </w:tc>
        <w:tc>
          <w:tcPr>
            <w:tcW w:w="251" w:type="pct"/>
            <w:tcBorders>
              <w:tl2br w:val="nil"/>
              <w:tr2bl w:val="nil"/>
            </w:tcBorders>
            <w:shd w:val="clear" w:color="auto" w:fill="auto"/>
            <w:noWrap/>
            <w:vAlign w:val="bottom"/>
          </w:tcPr>
          <w:p w14:paraId="368DDD1B">
            <w:pPr>
              <w:pStyle w:val="41"/>
              <w:rPr>
                <w:color w:val="auto"/>
                <w:highlight w:val="none"/>
              </w:rPr>
            </w:pPr>
            <w:r>
              <w:rPr>
                <w:color w:val="auto"/>
                <w:highlight w:val="none"/>
              </w:rPr>
              <w:t xml:space="preserve">3.98 </w:t>
            </w:r>
          </w:p>
        </w:tc>
        <w:tc>
          <w:tcPr>
            <w:tcW w:w="226" w:type="pct"/>
            <w:tcBorders>
              <w:tl2br w:val="nil"/>
              <w:tr2bl w:val="nil"/>
            </w:tcBorders>
            <w:shd w:val="clear" w:color="auto" w:fill="auto"/>
            <w:noWrap/>
            <w:vAlign w:val="bottom"/>
          </w:tcPr>
          <w:p w14:paraId="7B6829C6">
            <w:pPr>
              <w:pStyle w:val="41"/>
              <w:rPr>
                <w:color w:val="auto"/>
                <w:highlight w:val="none"/>
              </w:rPr>
            </w:pPr>
            <w:r>
              <w:rPr>
                <w:color w:val="auto"/>
                <w:highlight w:val="none"/>
              </w:rPr>
              <w:t xml:space="preserve">3.16 </w:t>
            </w:r>
          </w:p>
        </w:tc>
        <w:tc>
          <w:tcPr>
            <w:tcW w:w="242" w:type="pct"/>
            <w:tcBorders>
              <w:tl2br w:val="nil"/>
              <w:tr2bl w:val="nil"/>
            </w:tcBorders>
            <w:shd w:val="clear" w:color="auto" w:fill="auto"/>
            <w:noWrap/>
            <w:vAlign w:val="bottom"/>
          </w:tcPr>
          <w:p w14:paraId="66179061">
            <w:pPr>
              <w:pStyle w:val="41"/>
              <w:rPr>
                <w:color w:val="auto"/>
                <w:highlight w:val="none"/>
              </w:rPr>
            </w:pPr>
            <w:r>
              <w:rPr>
                <w:color w:val="auto"/>
                <w:highlight w:val="none"/>
              </w:rPr>
              <w:t xml:space="preserve">1.79 </w:t>
            </w:r>
          </w:p>
        </w:tc>
        <w:tc>
          <w:tcPr>
            <w:tcW w:w="226" w:type="pct"/>
            <w:tcBorders>
              <w:tl2br w:val="nil"/>
              <w:tr2bl w:val="nil"/>
            </w:tcBorders>
            <w:shd w:val="clear" w:color="auto" w:fill="auto"/>
            <w:noWrap/>
            <w:vAlign w:val="bottom"/>
          </w:tcPr>
          <w:p w14:paraId="310AD865">
            <w:pPr>
              <w:pStyle w:val="41"/>
              <w:rPr>
                <w:color w:val="auto"/>
                <w:highlight w:val="none"/>
              </w:rPr>
            </w:pPr>
            <w:r>
              <w:rPr>
                <w:color w:val="auto"/>
                <w:highlight w:val="none"/>
              </w:rPr>
              <w:t xml:space="preserve">0.56 </w:t>
            </w:r>
          </w:p>
        </w:tc>
        <w:tc>
          <w:tcPr>
            <w:tcW w:w="229" w:type="pct"/>
            <w:tcBorders>
              <w:tl2br w:val="nil"/>
              <w:tr2bl w:val="nil"/>
            </w:tcBorders>
            <w:shd w:val="clear" w:color="auto" w:fill="auto"/>
            <w:noWrap/>
            <w:vAlign w:val="bottom"/>
          </w:tcPr>
          <w:p w14:paraId="081C5789">
            <w:pPr>
              <w:pStyle w:val="41"/>
              <w:rPr>
                <w:color w:val="auto"/>
                <w:highlight w:val="none"/>
              </w:rPr>
            </w:pPr>
            <w:r>
              <w:rPr>
                <w:color w:val="auto"/>
                <w:highlight w:val="none"/>
              </w:rPr>
              <w:t xml:space="preserve">2.20 </w:t>
            </w:r>
          </w:p>
        </w:tc>
        <w:tc>
          <w:tcPr>
            <w:tcW w:w="267" w:type="pct"/>
            <w:tcBorders>
              <w:tl2br w:val="nil"/>
              <w:tr2bl w:val="nil"/>
            </w:tcBorders>
            <w:shd w:val="clear" w:color="auto" w:fill="auto"/>
            <w:noWrap/>
            <w:vAlign w:val="bottom"/>
          </w:tcPr>
          <w:p w14:paraId="4256E921">
            <w:pPr>
              <w:pStyle w:val="41"/>
              <w:rPr>
                <w:color w:val="auto"/>
                <w:highlight w:val="none"/>
              </w:rPr>
            </w:pPr>
            <w:r>
              <w:rPr>
                <w:color w:val="auto"/>
                <w:highlight w:val="none"/>
              </w:rPr>
              <w:t xml:space="preserve">7.15 </w:t>
            </w:r>
          </w:p>
        </w:tc>
        <w:tc>
          <w:tcPr>
            <w:tcW w:w="267" w:type="pct"/>
            <w:tcBorders>
              <w:tl2br w:val="nil"/>
              <w:tr2bl w:val="nil"/>
            </w:tcBorders>
            <w:shd w:val="clear" w:color="auto" w:fill="auto"/>
            <w:noWrap/>
            <w:vAlign w:val="bottom"/>
          </w:tcPr>
          <w:p w14:paraId="1B3A5FF9">
            <w:pPr>
              <w:pStyle w:val="41"/>
              <w:rPr>
                <w:color w:val="auto"/>
                <w:highlight w:val="none"/>
              </w:rPr>
            </w:pPr>
            <w:r>
              <w:rPr>
                <w:color w:val="auto"/>
                <w:highlight w:val="none"/>
              </w:rPr>
              <w:t xml:space="preserve">12.11 </w:t>
            </w:r>
          </w:p>
        </w:tc>
        <w:tc>
          <w:tcPr>
            <w:tcW w:w="267" w:type="pct"/>
            <w:tcBorders>
              <w:tl2br w:val="nil"/>
              <w:tr2bl w:val="nil"/>
            </w:tcBorders>
            <w:shd w:val="clear" w:color="auto" w:fill="auto"/>
            <w:noWrap/>
            <w:vAlign w:val="bottom"/>
          </w:tcPr>
          <w:p w14:paraId="298083CA">
            <w:pPr>
              <w:pStyle w:val="41"/>
              <w:rPr>
                <w:color w:val="auto"/>
                <w:highlight w:val="none"/>
              </w:rPr>
            </w:pPr>
            <w:r>
              <w:rPr>
                <w:color w:val="auto"/>
                <w:highlight w:val="none"/>
              </w:rPr>
              <w:t xml:space="preserve">11.86 </w:t>
            </w:r>
          </w:p>
        </w:tc>
        <w:tc>
          <w:tcPr>
            <w:tcW w:w="251" w:type="pct"/>
            <w:tcBorders>
              <w:tl2br w:val="nil"/>
              <w:tr2bl w:val="nil"/>
            </w:tcBorders>
            <w:shd w:val="clear" w:color="auto" w:fill="auto"/>
            <w:noWrap/>
            <w:vAlign w:val="bottom"/>
          </w:tcPr>
          <w:p w14:paraId="424C95EE">
            <w:pPr>
              <w:pStyle w:val="41"/>
              <w:rPr>
                <w:color w:val="auto"/>
                <w:highlight w:val="none"/>
              </w:rPr>
            </w:pPr>
            <w:r>
              <w:rPr>
                <w:color w:val="auto"/>
                <w:highlight w:val="none"/>
              </w:rPr>
              <w:t xml:space="preserve">6.46 </w:t>
            </w:r>
          </w:p>
        </w:tc>
        <w:tc>
          <w:tcPr>
            <w:tcW w:w="226" w:type="pct"/>
            <w:tcBorders>
              <w:tl2br w:val="nil"/>
              <w:tr2bl w:val="nil"/>
            </w:tcBorders>
            <w:shd w:val="clear" w:color="auto" w:fill="auto"/>
            <w:noWrap/>
            <w:vAlign w:val="bottom"/>
          </w:tcPr>
          <w:p w14:paraId="0F20921F">
            <w:pPr>
              <w:pStyle w:val="41"/>
              <w:rPr>
                <w:color w:val="auto"/>
                <w:highlight w:val="none"/>
              </w:rPr>
            </w:pPr>
            <w:r>
              <w:rPr>
                <w:color w:val="auto"/>
                <w:highlight w:val="none"/>
              </w:rPr>
              <w:t xml:space="preserve">6.42 </w:t>
            </w:r>
          </w:p>
        </w:tc>
        <w:tc>
          <w:tcPr>
            <w:tcW w:w="283" w:type="pct"/>
            <w:tcBorders>
              <w:tl2br w:val="nil"/>
              <w:tr2bl w:val="nil"/>
            </w:tcBorders>
            <w:shd w:val="clear" w:color="auto" w:fill="auto"/>
            <w:noWrap/>
            <w:vAlign w:val="bottom"/>
          </w:tcPr>
          <w:p w14:paraId="6F926DC0">
            <w:pPr>
              <w:pStyle w:val="41"/>
              <w:rPr>
                <w:color w:val="auto"/>
                <w:highlight w:val="none"/>
              </w:rPr>
            </w:pPr>
            <w:r>
              <w:rPr>
                <w:color w:val="auto"/>
                <w:highlight w:val="none"/>
              </w:rPr>
              <w:t xml:space="preserve">9.27 </w:t>
            </w:r>
          </w:p>
        </w:tc>
        <w:tc>
          <w:tcPr>
            <w:tcW w:w="267" w:type="pct"/>
            <w:tcBorders>
              <w:tl2br w:val="nil"/>
              <w:tr2bl w:val="nil"/>
            </w:tcBorders>
            <w:shd w:val="clear" w:color="auto" w:fill="auto"/>
            <w:noWrap/>
            <w:vAlign w:val="bottom"/>
          </w:tcPr>
          <w:p w14:paraId="5F894B52">
            <w:pPr>
              <w:pStyle w:val="41"/>
              <w:rPr>
                <w:color w:val="auto"/>
                <w:highlight w:val="none"/>
              </w:rPr>
            </w:pPr>
            <w:r>
              <w:rPr>
                <w:color w:val="auto"/>
                <w:highlight w:val="none"/>
              </w:rPr>
              <w:t xml:space="preserve">13.30 </w:t>
            </w:r>
          </w:p>
        </w:tc>
        <w:tc>
          <w:tcPr>
            <w:tcW w:w="296" w:type="pct"/>
            <w:tcBorders>
              <w:tl2br w:val="nil"/>
              <w:tr2bl w:val="nil"/>
            </w:tcBorders>
            <w:shd w:val="clear" w:color="auto" w:fill="auto"/>
            <w:noWrap/>
            <w:vAlign w:val="bottom"/>
          </w:tcPr>
          <w:p w14:paraId="311B6A46">
            <w:pPr>
              <w:pStyle w:val="41"/>
              <w:rPr>
                <w:color w:val="auto"/>
                <w:highlight w:val="none"/>
              </w:rPr>
            </w:pPr>
            <w:r>
              <w:rPr>
                <w:color w:val="auto"/>
                <w:highlight w:val="none"/>
              </w:rPr>
              <w:t xml:space="preserve">6.54 </w:t>
            </w:r>
          </w:p>
        </w:tc>
        <w:tc>
          <w:tcPr>
            <w:tcW w:w="226" w:type="pct"/>
            <w:tcBorders>
              <w:tl2br w:val="nil"/>
              <w:tr2bl w:val="nil"/>
            </w:tcBorders>
            <w:shd w:val="clear" w:color="auto" w:fill="auto"/>
            <w:noWrap/>
            <w:vAlign w:val="bottom"/>
          </w:tcPr>
          <w:p w14:paraId="03C8BEF9">
            <w:pPr>
              <w:pStyle w:val="41"/>
              <w:rPr>
                <w:color w:val="auto"/>
                <w:highlight w:val="none"/>
              </w:rPr>
            </w:pPr>
            <w:r>
              <w:rPr>
                <w:color w:val="auto"/>
                <w:highlight w:val="none"/>
              </w:rPr>
              <w:t xml:space="preserve">3.26 </w:t>
            </w:r>
          </w:p>
        </w:tc>
        <w:tc>
          <w:tcPr>
            <w:tcW w:w="278" w:type="pct"/>
            <w:tcBorders>
              <w:tl2br w:val="nil"/>
              <w:tr2bl w:val="nil"/>
            </w:tcBorders>
            <w:shd w:val="clear" w:color="auto" w:fill="auto"/>
            <w:noWrap/>
            <w:vAlign w:val="bottom"/>
          </w:tcPr>
          <w:p w14:paraId="47530B22">
            <w:pPr>
              <w:pStyle w:val="41"/>
              <w:rPr>
                <w:color w:val="auto"/>
                <w:highlight w:val="none"/>
              </w:rPr>
            </w:pPr>
            <w:r>
              <w:rPr>
                <w:color w:val="auto"/>
                <w:highlight w:val="none"/>
              </w:rPr>
              <w:t xml:space="preserve">5.02 </w:t>
            </w:r>
          </w:p>
        </w:tc>
        <w:tc>
          <w:tcPr>
            <w:tcW w:w="226" w:type="pct"/>
            <w:tcBorders>
              <w:tl2br w:val="nil"/>
              <w:tr2bl w:val="nil"/>
            </w:tcBorders>
            <w:shd w:val="clear" w:color="auto" w:fill="auto"/>
            <w:noWrap/>
            <w:vAlign w:val="bottom"/>
          </w:tcPr>
          <w:p w14:paraId="57DEE56D">
            <w:pPr>
              <w:pStyle w:val="41"/>
              <w:rPr>
                <w:color w:val="auto"/>
                <w:highlight w:val="none"/>
              </w:rPr>
            </w:pPr>
            <w:r>
              <w:rPr>
                <w:color w:val="auto"/>
                <w:highlight w:val="none"/>
              </w:rPr>
              <w:t xml:space="preserve">0.16 </w:t>
            </w:r>
          </w:p>
        </w:tc>
      </w:tr>
    </w:tbl>
    <w:p w14:paraId="33512883">
      <w:pPr>
        <w:pStyle w:val="3"/>
        <w:ind w:firstLine="480"/>
        <w:rPr>
          <w:color w:val="auto"/>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p w14:paraId="4B8C09B9">
      <w:pPr>
        <w:pStyle w:val="40"/>
        <w:spacing w:before="31" w:after="31"/>
        <w:rPr>
          <w:color w:val="auto"/>
          <w:highlight w:val="none"/>
        </w:rPr>
      </w:pPr>
      <w:r>
        <w:rPr>
          <w:color w:val="auto"/>
          <w:highlight w:val="none"/>
        </w:rPr>
        <w:drawing>
          <wp:anchor distT="0" distB="0" distL="114300" distR="114300" simplePos="0" relativeHeight="251662336" behindDoc="0" locked="0" layoutInCell="1" allowOverlap="1">
            <wp:simplePos x="0" y="0"/>
            <wp:positionH relativeFrom="column">
              <wp:posOffset>-47625</wp:posOffset>
            </wp:positionH>
            <wp:positionV relativeFrom="paragraph">
              <wp:posOffset>19050</wp:posOffset>
            </wp:positionV>
            <wp:extent cx="5200650" cy="7124700"/>
            <wp:effectExtent l="0" t="0" r="0" b="0"/>
            <wp:wrapTopAndBottom/>
            <wp:docPr id="1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6"/>
                    <pic:cNvPicPr>
                      <a:picLocks noChangeAspect="1"/>
                    </pic:cNvPicPr>
                  </pic:nvPicPr>
                  <pic:blipFill>
                    <a:blip r:embed="rId62"/>
                    <a:stretch>
                      <a:fillRect/>
                    </a:stretch>
                  </pic:blipFill>
                  <pic:spPr>
                    <a:xfrm>
                      <a:off x="0" y="0"/>
                      <a:ext cx="5200650" cy="7124700"/>
                    </a:xfrm>
                    <a:prstGeom prst="rect">
                      <a:avLst/>
                    </a:prstGeom>
                    <a:noFill/>
                    <a:ln>
                      <a:noFill/>
                    </a:ln>
                  </pic:spPr>
                </pic:pic>
              </a:graphicData>
            </a:graphic>
          </wp:anchor>
        </w:drawing>
      </w:r>
      <w:r>
        <w:rPr>
          <w:color w:val="auto"/>
          <w:highlight w:val="none"/>
        </w:rPr>
        <w:t>图5.2-3   风玫瑰图</w:t>
      </w:r>
    </w:p>
    <w:p w14:paraId="565DD9C5">
      <w:pPr>
        <w:pStyle w:val="42"/>
        <w:rPr>
          <w:rFonts w:hint="default"/>
          <w:color w:val="auto"/>
          <w:highlight w:val="none"/>
        </w:rPr>
      </w:pPr>
      <w:r>
        <w:rPr>
          <w:rFonts w:hint="default"/>
          <w:color w:val="auto"/>
          <w:highlight w:val="none"/>
        </w:rPr>
        <w:t>预测方案</w:t>
      </w:r>
      <w:bookmarkEnd w:id="367"/>
    </w:p>
    <w:p w14:paraId="6978330E">
      <w:pPr>
        <w:pStyle w:val="43"/>
        <w:rPr>
          <w:color w:val="auto"/>
          <w:highlight w:val="none"/>
        </w:rPr>
      </w:pPr>
      <w:r>
        <w:rPr>
          <w:rFonts w:hint="eastAsia"/>
          <w:color w:val="auto"/>
          <w:highlight w:val="none"/>
        </w:rPr>
        <w:t>正常</w:t>
      </w:r>
      <w:r>
        <w:rPr>
          <w:rFonts w:hint="eastAsia"/>
          <w:color w:val="auto"/>
          <w:highlight w:val="none"/>
          <w:lang w:eastAsia="zh-CN"/>
        </w:rPr>
        <w:t>工况</w:t>
      </w:r>
    </w:p>
    <w:p w14:paraId="434B8DC8">
      <w:pPr>
        <w:pStyle w:val="3"/>
        <w:ind w:firstLine="480"/>
        <w:rPr>
          <w:color w:val="auto"/>
          <w:highlight w:val="none"/>
        </w:rPr>
      </w:pPr>
      <w:r>
        <w:rPr>
          <w:color w:val="auto"/>
          <w:highlight w:val="none"/>
        </w:rPr>
        <w:t>（1）预测内容</w:t>
      </w:r>
    </w:p>
    <w:p w14:paraId="343B5EA2">
      <w:pPr>
        <w:pStyle w:val="3"/>
        <w:ind w:firstLine="480"/>
        <w:rPr>
          <w:color w:val="auto"/>
          <w:highlight w:val="none"/>
        </w:rPr>
      </w:pPr>
    </w:p>
    <w:p w14:paraId="448B0880">
      <w:pPr>
        <w:pStyle w:val="3"/>
        <w:ind w:firstLine="480"/>
        <w:rPr>
          <w:color w:val="auto"/>
          <w:highlight w:val="none"/>
        </w:rPr>
      </w:pPr>
      <w:r>
        <w:rPr>
          <w:color w:val="auto"/>
          <w:highlight w:val="none"/>
        </w:rPr>
        <w:t>预测模式采用《环境影响评价技术导则 大气环境》（HJ2.2-2018）所推荐的AERSCREEN模型对大气污染物浓度进行估算预测。估算模型相关参数见下表：</w:t>
      </w:r>
    </w:p>
    <w:p w14:paraId="24D1DDFC">
      <w:pPr>
        <w:pStyle w:val="40"/>
        <w:spacing w:before="31" w:after="31"/>
        <w:rPr>
          <w:color w:val="auto"/>
          <w:highlight w:val="none"/>
        </w:rPr>
      </w:pPr>
      <w:r>
        <w:rPr>
          <w:color w:val="auto"/>
          <w:highlight w:val="none"/>
        </w:rPr>
        <w:t>表5.2-6    估算模型参数表</w:t>
      </w:r>
    </w:p>
    <w:tbl>
      <w:tblPr>
        <w:tblStyle w:val="26"/>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265"/>
        <w:gridCol w:w="2055"/>
        <w:gridCol w:w="1198"/>
        <w:gridCol w:w="4001"/>
      </w:tblGrid>
      <w:tr w14:paraId="2DDE69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949" w:type="pct"/>
            <w:gridSpan w:val="2"/>
            <w:tcBorders>
              <w:tl2br w:val="nil"/>
              <w:tr2bl w:val="nil"/>
            </w:tcBorders>
            <w:vAlign w:val="center"/>
          </w:tcPr>
          <w:p w14:paraId="223DCAF7">
            <w:pPr>
              <w:pStyle w:val="41"/>
              <w:widowControl w:val="0"/>
              <w:rPr>
                <w:color w:val="auto"/>
                <w:highlight w:val="none"/>
              </w:rPr>
            </w:pPr>
            <w:r>
              <w:rPr>
                <w:color w:val="auto"/>
                <w:highlight w:val="none"/>
              </w:rPr>
              <w:t>参数</w:t>
            </w:r>
          </w:p>
        </w:tc>
        <w:tc>
          <w:tcPr>
            <w:tcW w:w="703" w:type="pct"/>
            <w:tcBorders>
              <w:tl2br w:val="nil"/>
              <w:tr2bl w:val="nil"/>
            </w:tcBorders>
            <w:vAlign w:val="center"/>
          </w:tcPr>
          <w:p w14:paraId="37A024F9">
            <w:pPr>
              <w:pStyle w:val="41"/>
              <w:widowControl w:val="0"/>
              <w:rPr>
                <w:color w:val="auto"/>
                <w:highlight w:val="none"/>
              </w:rPr>
            </w:pPr>
            <w:r>
              <w:rPr>
                <w:color w:val="auto"/>
                <w:highlight w:val="none"/>
              </w:rPr>
              <w:t>取值</w:t>
            </w:r>
          </w:p>
        </w:tc>
        <w:tc>
          <w:tcPr>
            <w:tcW w:w="2347" w:type="pct"/>
            <w:tcBorders>
              <w:tl2br w:val="nil"/>
              <w:tr2bl w:val="nil"/>
            </w:tcBorders>
            <w:vAlign w:val="center"/>
          </w:tcPr>
          <w:p w14:paraId="15B723A0">
            <w:pPr>
              <w:pStyle w:val="41"/>
              <w:widowControl w:val="0"/>
              <w:rPr>
                <w:color w:val="auto"/>
                <w:highlight w:val="none"/>
              </w:rPr>
            </w:pPr>
            <w:r>
              <w:rPr>
                <w:color w:val="auto"/>
                <w:highlight w:val="none"/>
              </w:rPr>
              <w:t>取值依据</w:t>
            </w:r>
          </w:p>
        </w:tc>
      </w:tr>
      <w:tr w14:paraId="71F6A6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43" w:type="pct"/>
            <w:vMerge w:val="restart"/>
            <w:tcBorders>
              <w:tl2br w:val="nil"/>
              <w:tr2bl w:val="nil"/>
            </w:tcBorders>
            <w:vAlign w:val="center"/>
          </w:tcPr>
          <w:p w14:paraId="487B5178">
            <w:pPr>
              <w:pStyle w:val="41"/>
              <w:widowControl w:val="0"/>
              <w:rPr>
                <w:color w:val="auto"/>
                <w:highlight w:val="none"/>
              </w:rPr>
            </w:pPr>
            <w:r>
              <w:rPr>
                <w:color w:val="auto"/>
                <w:highlight w:val="none"/>
              </w:rPr>
              <w:t>城市/农村选项</w:t>
            </w:r>
          </w:p>
        </w:tc>
        <w:tc>
          <w:tcPr>
            <w:tcW w:w="1206" w:type="pct"/>
            <w:tcBorders>
              <w:tl2br w:val="nil"/>
              <w:tr2bl w:val="nil"/>
            </w:tcBorders>
            <w:vAlign w:val="center"/>
          </w:tcPr>
          <w:p w14:paraId="3DF14AE6">
            <w:pPr>
              <w:pStyle w:val="41"/>
              <w:widowControl w:val="0"/>
              <w:rPr>
                <w:color w:val="auto"/>
                <w:highlight w:val="none"/>
              </w:rPr>
            </w:pPr>
            <w:r>
              <w:rPr>
                <w:color w:val="auto"/>
                <w:highlight w:val="none"/>
              </w:rPr>
              <w:t>城市/农村</w:t>
            </w:r>
          </w:p>
        </w:tc>
        <w:tc>
          <w:tcPr>
            <w:tcW w:w="703" w:type="pct"/>
            <w:tcBorders>
              <w:tl2br w:val="nil"/>
              <w:tr2bl w:val="nil"/>
            </w:tcBorders>
            <w:vAlign w:val="center"/>
          </w:tcPr>
          <w:p w14:paraId="6CD33F61">
            <w:pPr>
              <w:pStyle w:val="41"/>
              <w:widowControl w:val="0"/>
              <w:rPr>
                <w:color w:val="auto"/>
                <w:highlight w:val="none"/>
              </w:rPr>
            </w:pPr>
            <w:r>
              <w:rPr>
                <w:color w:val="auto"/>
                <w:highlight w:val="none"/>
              </w:rPr>
              <w:t>农村</w:t>
            </w:r>
          </w:p>
        </w:tc>
        <w:tc>
          <w:tcPr>
            <w:tcW w:w="2347" w:type="pct"/>
            <w:tcBorders>
              <w:tl2br w:val="nil"/>
              <w:tr2bl w:val="nil"/>
            </w:tcBorders>
            <w:vAlign w:val="center"/>
          </w:tcPr>
          <w:p w14:paraId="7F3366AB">
            <w:pPr>
              <w:pStyle w:val="41"/>
              <w:widowControl w:val="0"/>
              <w:rPr>
                <w:color w:val="auto"/>
                <w:highlight w:val="none"/>
              </w:rPr>
            </w:pPr>
            <w:r>
              <w:rPr>
                <w:color w:val="auto"/>
                <w:highlight w:val="none"/>
              </w:rPr>
              <w:t>阿图什市区北东46°方位，直距59km处，周边3km半径范围内均为空地</w:t>
            </w:r>
          </w:p>
        </w:tc>
      </w:tr>
      <w:tr w14:paraId="582550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43" w:type="pct"/>
            <w:vMerge w:val="continue"/>
            <w:tcBorders>
              <w:tl2br w:val="nil"/>
              <w:tr2bl w:val="nil"/>
            </w:tcBorders>
            <w:vAlign w:val="center"/>
          </w:tcPr>
          <w:p w14:paraId="1E6B04D6">
            <w:pPr>
              <w:pStyle w:val="41"/>
              <w:widowControl w:val="0"/>
              <w:rPr>
                <w:color w:val="auto"/>
                <w:highlight w:val="none"/>
              </w:rPr>
            </w:pPr>
          </w:p>
        </w:tc>
        <w:tc>
          <w:tcPr>
            <w:tcW w:w="1206" w:type="pct"/>
            <w:tcBorders>
              <w:tl2br w:val="nil"/>
              <w:tr2bl w:val="nil"/>
            </w:tcBorders>
            <w:vAlign w:val="center"/>
          </w:tcPr>
          <w:p w14:paraId="0AA535ED">
            <w:pPr>
              <w:pStyle w:val="41"/>
              <w:widowControl w:val="0"/>
              <w:rPr>
                <w:color w:val="auto"/>
                <w:highlight w:val="none"/>
              </w:rPr>
            </w:pPr>
            <w:r>
              <w:rPr>
                <w:color w:val="auto"/>
                <w:highlight w:val="none"/>
              </w:rPr>
              <w:t>人口数（城市人口数）</w:t>
            </w:r>
          </w:p>
        </w:tc>
        <w:tc>
          <w:tcPr>
            <w:tcW w:w="703" w:type="pct"/>
            <w:tcBorders>
              <w:tl2br w:val="nil"/>
              <w:tr2bl w:val="nil"/>
            </w:tcBorders>
            <w:vAlign w:val="center"/>
          </w:tcPr>
          <w:p w14:paraId="7F1270B4">
            <w:pPr>
              <w:pStyle w:val="41"/>
              <w:widowControl w:val="0"/>
              <w:rPr>
                <w:color w:val="auto"/>
                <w:highlight w:val="none"/>
              </w:rPr>
            </w:pPr>
            <w:r>
              <w:rPr>
                <w:color w:val="auto"/>
                <w:highlight w:val="none"/>
              </w:rPr>
              <w:t>/</w:t>
            </w:r>
          </w:p>
        </w:tc>
        <w:tc>
          <w:tcPr>
            <w:tcW w:w="2347" w:type="pct"/>
            <w:tcBorders>
              <w:tl2br w:val="nil"/>
              <w:tr2bl w:val="nil"/>
            </w:tcBorders>
            <w:vAlign w:val="center"/>
          </w:tcPr>
          <w:p w14:paraId="017A9EA8">
            <w:pPr>
              <w:pStyle w:val="41"/>
              <w:widowControl w:val="0"/>
              <w:rPr>
                <w:color w:val="auto"/>
                <w:highlight w:val="none"/>
              </w:rPr>
            </w:pPr>
            <w:r>
              <w:rPr>
                <w:color w:val="auto"/>
                <w:highlight w:val="none"/>
              </w:rPr>
              <w:t>大气导则附录B中B6.1 当选择城市时，城市人口数按项目所属城市实际人口或者规划的人口数输入</w:t>
            </w:r>
          </w:p>
        </w:tc>
      </w:tr>
      <w:tr w14:paraId="522A8F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949" w:type="pct"/>
            <w:gridSpan w:val="2"/>
            <w:tcBorders>
              <w:tl2br w:val="nil"/>
              <w:tr2bl w:val="nil"/>
            </w:tcBorders>
            <w:vAlign w:val="center"/>
          </w:tcPr>
          <w:p w14:paraId="2A9B690E">
            <w:pPr>
              <w:pStyle w:val="41"/>
              <w:widowControl w:val="0"/>
              <w:rPr>
                <w:color w:val="auto"/>
                <w:highlight w:val="none"/>
              </w:rPr>
            </w:pPr>
            <w:r>
              <w:rPr>
                <w:color w:val="auto"/>
                <w:highlight w:val="none"/>
              </w:rPr>
              <w:t>最高环境温度</w:t>
            </w:r>
          </w:p>
        </w:tc>
        <w:tc>
          <w:tcPr>
            <w:tcW w:w="703" w:type="pct"/>
            <w:tcBorders>
              <w:tl2br w:val="nil"/>
              <w:tr2bl w:val="nil"/>
            </w:tcBorders>
            <w:vAlign w:val="center"/>
          </w:tcPr>
          <w:p w14:paraId="271A0352">
            <w:pPr>
              <w:pStyle w:val="41"/>
              <w:widowControl w:val="0"/>
              <w:rPr>
                <w:color w:val="auto"/>
                <w:highlight w:val="none"/>
              </w:rPr>
            </w:pPr>
            <w:r>
              <w:rPr>
                <w:color w:val="auto"/>
                <w:highlight w:val="none"/>
              </w:rPr>
              <w:t>38℃</w:t>
            </w:r>
          </w:p>
        </w:tc>
        <w:tc>
          <w:tcPr>
            <w:tcW w:w="2347" w:type="pct"/>
            <w:tcBorders>
              <w:tl2br w:val="nil"/>
              <w:tr2bl w:val="nil"/>
            </w:tcBorders>
            <w:vAlign w:val="center"/>
          </w:tcPr>
          <w:p w14:paraId="2BFE3456">
            <w:pPr>
              <w:pStyle w:val="41"/>
              <w:widowControl w:val="0"/>
              <w:rPr>
                <w:color w:val="auto"/>
                <w:highlight w:val="none"/>
              </w:rPr>
            </w:pPr>
            <w:r>
              <w:rPr>
                <w:color w:val="auto"/>
                <w:highlight w:val="none"/>
              </w:rPr>
              <w:t>20年气象统计数据</w:t>
            </w:r>
          </w:p>
        </w:tc>
      </w:tr>
      <w:tr w14:paraId="43A683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949" w:type="pct"/>
            <w:gridSpan w:val="2"/>
            <w:tcBorders>
              <w:tl2br w:val="nil"/>
              <w:tr2bl w:val="nil"/>
            </w:tcBorders>
            <w:vAlign w:val="center"/>
          </w:tcPr>
          <w:p w14:paraId="45BDB378">
            <w:pPr>
              <w:pStyle w:val="41"/>
              <w:widowControl w:val="0"/>
              <w:rPr>
                <w:color w:val="auto"/>
                <w:highlight w:val="none"/>
              </w:rPr>
            </w:pPr>
            <w:r>
              <w:rPr>
                <w:color w:val="auto"/>
                <w:highlight w:val="none"/>
              </w:rPr>
              <w:t>最低环境温度</w:t>
            </w:r>
          </w:p>
        </w:tc>
        <w:tc>
          <w:tcPr>
            <w:tcW w:w="703" w:type="pct"/>
            <w:tcBorders>
              <w:tl2br w:val="nil"/>
              <w:tr2bl w:val="nil"/>
            </w:tcBorders>
            <w:vAlign w:val="center"/>
          </w:tcPr>
          <w:p w14:paraId="199AD7B7">
            <w:pPr>
              <w:pStyle w:val="41"/>
              <w:widowControl w:val="0"/>
              <w:rPr>
                <w:color w:val="auto"/>
                <w:highlight w:val="none"/>
              </w:rPr>
            </w:pPr>
            <w:r>
              <w:rPr>
                <w:color w:val="auto"/>
                <w:highlight w:val="none"/>
              </w:rPr>
              <w:t>-20℃</w:t>
            </w:r>
          </w:p>
        </w:tc>
        <w:tc>
          <w:tcPr>
            <w:tcW w:w="2347" w:type="pct"/>
            <w:tcBorders>
              <w:tl2br w:val="nil"/>
              <w:tr2bl w:val="nil"/>
            </w:tcBorders>
            <w:vAlign w:val="center"/>
          </w:tcPr>
          <w:p w14:paraId="64524824">
            <w:pPr>
              <w:pStyle w:val="41"/>
              <w:widowControl w:val="0"/>
              <w:rPr>
                <w:color w:val="auto"/>
                <w:highlight w:val="none"/>
              </w:rPr>
            </w:pPr>
            <w:r>
              <w:rPr>
                <w:color w:val="auto"/>
                <w:highlight w:val="none"/>
              </w:rPr>
              <w:t>20年气象统计数据</w:t>
            </w:r>
          </w:p>
        </w:tc>
      </w:tr>
      <w:tr w14:paraId="2E9C75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949" w:type="pct"/>
            <w:gridSpan w:val="2"/>
            <w:tcBorders>
              <w:tl2br w:val="nil"/>
              <w:tr2bl w:val="nil"/>
            </w:tcBorders>
            <w:vAlign w:val="center"/>
          </w:tcPr>
          <w:p w14:paraId="661F84FE">
            <w:pPr>
              <w:pStyle w:val="41"/>
              <w:widowControl w:val="0"/>
              <w:rPr>
                <w:color w:val="auto"/>
                <w:highlight w:val="none"/>
              </w:rPr>
            </w:pPr>
            <w:r>
              <w:rPr>
                <w:color w:val="auto"/>
                <w:highlight w:val="none"/>
              </w:rPr>
              <w:t>土地利用类型</w:t>
            </w:r>
          </w:p>
        </w:tc>
        <w:tc>
          <w:tcPr>
            <w:tcW w:w="1198" w:type="dxa"/>
            <w:tcBorders>
              <w:tl2br w:val="nil"/>
              <w:tr2bl w:val="nil"/>
            </w:tcBorders>
            <w:vAlign w:val="center"/>
          </w:tcPr>
          <w:p w14:paraId="623DEE12">
            <w:pPr>
              <w:pStyle w:val="41"/>
              <w:widowControl w:val="0"/>
              <w:rPr>
                <w:color w:val="auto"/>
                <w:highlight w:val="none"/>
              </w:rPr>
            </w:pPr>
            <w:r>
              <w:rPr>
                <w:color w:val="auto"/>
                <w:highlight w:val="none"/>
              </w:rPr>
              <w:t>沙漠化荒地</w:t>
            </w:r>
          </w:p>
        </w:tc>
        <w:tc>
          <w:tcPr>
            <w:tcW w:w="4001" w:type="dxa"/>
            <w:tcBorders>
              <w:tl2br w:val="nil"/>
              <w:tr2bl w:val="nil"/>
            </w:tcBorders>
            <w:vAlign w:val="center"/>
          </w:tcPr>
          <w:p w14:paraId="7CE314A8">
            <w:pPr>
              <w:pStyle w:val="41"/>
              <w:widowControl w:val="0"/>
              <w:rPr>
                <w:color w:val="auto"/>
                <w:highlight w:val="none"/>
              </w:rPr>
            </w:pPr>
            <w:r>
              <w:rPr>
                <w:color w:val="auto"/>
                <w:highlight w:val="none"/>
              </w:rPr>
              <w:t>项目周边3km范围占地面积最大的土地类型为沙漠化荒地</w:t>
            </w:r>
          </w:p>
        </w:tc>
      </w:tr>
      <w:tr w14:paraId="7842CA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1949" w:type="pct"/>
            <w:gridSpan w:val="2"/>
            <w:tcBorders>
              <w:tl2br w:val="nil"/>
              <w:tr2bl w:val="nil"/>
            </w:tcBorders>
            <w:vAlign w:val="center"/>
          </w:tcPr>
          <w:p w14:paraId="434EF581">
            <w:pPr>
              <w:pStyle w:val="41"/>
              <w:widowControl w:val="0"/>
              <w:rPr>
                <w:color w:val="auto"/>
                <w:highlight w:val="none"/>
              </w:rPr>
            </w:pPr>
            <w:r>
              <w:rPr>
                <w:color w:val="auto"/>
                <w:highlight w:val="none"/>
              </w:rPr>
              <w:t>区域湿度条件</w:t>
            </w:r>
          </w:p>
        </w:tc>
        <w:tc>
          <w:tcPr>
            <w:tcW w:w="703" w:type="pct"/>
            <w:tcBorders>
              <w:tl2br w:val="nil"/>
              <w:tr2bl w:val="nil"/>
            </w:tcBorders>
            <w:vAlign w:val="center"/>
          </w:tcPr>
          <w:p w14:paraId="472D40B6">
            <w:pPr>
              <w:pStyle w:val="41"/>
              <w:widowControl w:val="0"/>
              <w:rPr>
                <w:color w:val="auto"/>
                <w:highlight w:val="none"/>
              </w:rPr>
            </w:pPr>
            <w:r>
              <w:rPr>
                <w:color w:val="auto"/>
                <w:highlight w:val="none"/>
              </w:rPr>
              <w:t>干旱区</w:t>
            </w:r>
          </w:p>
        </w:tc>
        <w:tc>
          <w:tcPr>
            <w:tcW w:w="2347" w:type="pct"/>
            <w:tcBorders>
              <w:tl2br w:val="nil"/>
              <w:tr2bl w:val="nil"/>
            </w:tcBorders>
            <w:vAlign w:val="center"/>
          </w:tcPr>
          <w:p w14:paraId="2E1860B5">
            <w:pPr>
              <w:pStyle w:val="41"/>
              <w:widowControl w:val="0"/>
              <w:rPr>
                <w:color w:val="auto"/>
                <w:highlight w:val="none"/>
              </w:rPr>
            </w:pPr>
            <w:r>
              <w:rPr>
                <w:color w:val="auto"/>
                <w:highlight w:val="none"/>
              </w:rPr>
              <w:t>中国干湿地区划分</w:t>
            </w:r>
          </w:p>
        </w:tc>
      </w:tr>
      <w:tr w14:paraId="629608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43" w:type="pct"/>
            <w:vMerge w:val="restart"/>
            <w:tcBorders>
              <w:tl2br w:val="nil"/>
              <w:tr2bl w:val="nil"/>
            </w:tcBorders>
            <w:vAlign w:val="center"/>
          </w:tcPr>
          <w:p w14:paraId="355AE825">
            <w:pPr>
              <w:pStyle w:val="41"/>
              <w:widowControl w:val="0"/>
              <w:rPr>
                <w:color w:val="auto"/>
                <w:highlight w:val="none"/>
              </w:rPr>
            </w:pPr>
            <w:r>
              <w:rPr>
                <w:color w:val="auto"/>
                <w:highlight w:val="none"/>
              </w:rPr>
              <w:t>是否考虑地形</w:t>
            </w:r>
          </w:p>
        </w:tc>
        <w:tc>
          <w:tcPr>
            <w:tcW w:w="1206" w:type="pct"/>
            <w:tcBorders>
              <w:tl2br w:val="nil"/>
              <w:tr2bl w:val="nil"/>
            </w:tcBorders>
            <w:vAlign w:val="center"/>
          </w:tcPr>
          <w:p w14:paraId="7B88A57C">
            <w:pPr>
              <w:pStyle w:val="41"/>
              <w:widowControl w:val="0"/>
              <w:rPr>
                <w:color w:val="auto"/>
                <w:highlight w:val="none"/>
              </w:rPr>
            </w:pPr>
            <w:r>
              <w:rPr>
                <w:color w:val="auto"/>
                <w:highlight w:val="none"/>
              </w:rPr>
              <w:t>考虑地形</w:t>
            </w:r>
          </w:p>
        </w:tc>
        <w:tc>
          <w:tcPr>
            <w:tcW w:w="703" w:type="pct"/>
            <w:tcBorders>
              <w:tl2br w:val="nil"/>
              <w:tr2bl w:val="nil"/>
            </w:tcBorders>
            <w:vAlign w:val="center"/>
          </w:tcPr>
          <w:p w14:paraId="44418247">
            <w:pPr>
              <w:pStyle w:val="41"/>
              <w:widowControl w:val="0"/>
              <w:rPr>
                <w:color w:val="auto"/>
                <w:highlight w:val="none"/>
              </w:rPr>
            </w:pPr>
            <w:r>
              <w:rPr>
                <w:color w:val="auto"/>
                <w:highlight w:val="none"/>
              </w:rPr>
              <w:t>是</w:t>
            </w:r>
          </w:p>
        </w:tc>
        <w:tc>
          <w:tcPr>
            <w:tcW w:w="2347" w:type="pct"/>
            <w:tcBorders>
              <w:tl2br w:val="nil"/>
              <w:tr2bl w:val="nil"/>
            </w:tcBorders>
            <w:vAlign w:val="center"/>
          </w:tcPr>
          <w:p w14:paraId="202FBDEE">
            <w:pPr>
              <w:pStyle w:val="41"/>
              <w:widowControl w:val="0"/>
              <w:rPr>
                <w:color w:val="auto"/>
                <w:highlight w:val="none"/>
              </w:rPr>
            </w:pPr>
          </w:p>
        </w:tc>
      </w:tr>
      <w:tr w14:paraId="77A8A4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43" w:type="pct"/>
            <w:vMerge w:val="continue"/>
            <w:tcBorders>
              <w:tl2br w:val="nil"/>
              <w:tr2bl w:val="nil"/>
            </w:tcBorders>
            <w:vAlign w:val="center"/>
          </w:tcPr>
          <w:p w14:paraId="30D713E3">
            <w:pPr>
              <w:pStyle w:val="41"/>
              <w:widowControl w:val="0"/>
              <w:rPr>
                <w:color w:val="auto"/>
                <w:highlight w:val="none"/>
              </w:rPr>
            </w:pPr>
          </w:p>
        </w:tc>
        <w:tc>
          <w:tcPr>
            <w:tcW w:w="1206" w:type="pct"/>
            <w:tcBorders>
              <w:tl2br w:val="nil"/>
              <w:tr2bl w:val="nil"/>
            </w:tcBorders>
            <w:vAlign w:val="center"/>
          </w:tcPr>
          <w:p w14:paraId="4622B2CC">
            <w:pPr>
              <w:pStyle w:val="41"/>
              <w:widowControl w:val="0"/>
              <w:rPr>
                <w:color w:val="auto"/>
                <w:highlight w:val="none"/>
              </w:rPr>
            </w:pPr>
            <w:r>
              <w:rPr>
                <w:color w:val="auto"/>
                <w:highlight w:val="none"/>
              </w:rPr>
              <w:t>地形数据分辨率（m）</w:t>
            </w:r>
          </w:p>
        </w:tc>
        <w:tc>
          <w:tcPr>
            <w:tcW w:w="703" w:type="pct"/>
            <w:tcBorders>
              <w:tl2br w:val="nil"/>
              <w:tr2bl w:val="nil"/>
            </w:tcBorders>
            <w:vAlign w:val="center"/>
          </w:tcPr>
          <w:p w14:paraId="3C3212F4">
            <w:pPr>
              <w:pStyle w:val="41"/>
              <w:widowControl w:val="0"/>
              <w:rPr>
                <w:color w:val="auto"/>
                <w:highlight w:val="none"/>
              </w:rPr>
            </w:pPr>
            <w:r>
              <w:rPr>
                <w:color w:val="auto"/>
                <w:highlight w:val="none"/>
              </w:rPr>
              <w:t>90</w:t>
            </w:r>
          </w:p>
        </w:tc>
        <w:tc>
          <w:tcPr>
            <w:tcW w:w="2347" w:type="pct"/>
            <w:tcBorders>
              <w:tl2br w:val="nil"/>
              <w:tr2bl w:val="nil"/>
            </w:tcBorders>
            <w:vAlign w:val="center"/>
          </w:tcPr>
          <w:p w14:paraId="680DE21F">
            <w:pPr>
              <w:pStyle w:val="41"/>
              <w:widowControl w:val="0"/>
              <w:rPr>
                <w:color w:val="auto"/>
                <w:highlight w:val="none"/>
              </w:rPr>
            </w:pPr>
          </w:p>
        </w:tc>
      </w:tr>
      <w:tr w14:paraId="68DEF26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43" w:type="pct"/>
            <w:vMerge w:val="restart"/>
            <w:tcBorders>
              <w:tl2br w:val="nil"/>
              <w:tr2bl w:val="nil"/>
            </w:tcBorders>
            <w:vAlign w:val="center"/>
          </w:tcPr>
          <w:p w14:paraId="1BA9F93D">
            <w:pPr>
              <w:pStyle w:val="41"/>
              <w:widowControl w:val="0"/>
              <w:rPr>
                <w:color w:val="auto"/>
                <w:highlight w:val="none"/>
              </w:rPr>
            </w:pPr>
            <w:r>
              <w:rPr>
                <w:color w:val="auto"/>
                <w:highlight w:val="none"/>
              </w:rPr>
              <w:t>是否考虑岸线熏烟</w:t>
            </w:r>
          </w:p>
        </w:tc>
        <w:tc>
          <w:tcPr>
            <w:tcW w:w="1206" w:type="pct"/>
            <w:tcBorders>
              <w:tl2br w:val="nil"/>
              <w:tr2bl w:val="nil"/>
            </w:tcBorders>
            <w:vAlign w:val="center"/>
          </w:tcPr>
          <w:p w14:paraId="62CB5853">
            <w:pPr>
              <w:pStyle w:val="41"/>
              <w:widowControl w:val="0"/>
              <w:rPr>
                <w:color w:val="auto"/>
                <w:highlight w:val="none"/>
              </w:rPr>
            </w:pPr>
            <w:r>
              <w:rPr>
                <w:color w:val="auto"/>
                <w:highlight w:val="none"/>
              </w:rPr>
              <w:t>考虑岸线熏烟</w:t>
            </w:r>
          </w:p>
        </w:tc>
        <w:tc>
          <w:tcPr>
            <w:tcW w:w="703" w:type="pct"/>
            <w:tcBorders>
              <w:tl2br w:val="nil"/>
              <w:tr2bl w:val="nil"/>
            </w:tcBorders>
            <w:vAlign w:val="center"/>
          </w:tcPr>
          <w:p w14:paraId="2E0846B7">
            <w:pPr>
              <w:pStyle w:val="41"/>
              <w:widowControl w:val="0"/>
              <w:rPr>
                <w:color w:val="auto"/>
                <w:highlight w:val="none"/>
              </w:rPr>
            </w:pPr>
            <w:r>
              <w:rPr>
                <w:color w:val="auto"/>
                <w:highlight w:val="none"/>
              </w:rPr>
              <w:t>否</w:t>
            </w:r>
          </w:p>
        </w:tc>
        <w:tc>
          <w:tcPr>
            <w:tcW w:w="2347" w:type="pct"/>
            <w:tcBorders>
              <w:tl2br w:val="nil"/>
              <w:tr2bl w:val="nil"/>
            </w:tcBorders>
            <w:vAlign w:val="center"/>
          </w:tcPr>
          <w:p w14:paraId="0E8D96CD">
            <w:pPr>
              <w:pStyle w:val="41"/>
              <w:widowControl w:val="0"/>
              <w:rPr>
                <w:color w:val="auto"/>
                <w:highlight w:val="none"/>
              </w:rPr>
            </w:pPr>
            <w:r>
              <w:rPr>
                <w:color w:val="auto"/>
                <w:highlight w:val="none"/>
              </w:rPr>
              <w:t>3km范围内无大型水体</w:t>
            </w:r>
          </w:p>
        </w:tc>
      </w:tr>
      <w:tr w14:paraId="52D687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43" w:type="pct"/>
            <w:vMerge w:val="continue"/>
            <w:tcBorders>
              <w:tl2br w:val="nil"/>
              <w:tr2bl w:val="nil"/>
            </w:tcBorders>
            <w:vAlign w:val="center"/>
          </w:tcPr>
          <w:p w14:paraId="4C06B256">
            <w:pPr>
              <w:pStyle w:val="41"/>
              <w:widowControl w:val="0"/>
              <w:rPr>
                <w:color w:val="auto"/>
                <w:highlight w:val="none"/>
              </w:rPr>
            </w:pPr>
          </w:p>
        </w:tc>
        <w:tc>
          <w:tcPr>
            <w:tcW w:w="1206" w:type="pct"/>
            <w:tcBorders>
              <w:tl2br w:val="nil"/>
              <w:tr2bl w:val="nil"/>
            </w:tcBorders>
            <w:vAlign w:val="center"/>
          </w:tcPr>
          <w:p w14:paraId="37F46150">
            <w:pPr>
              <w:pStyle w:val="41"/>
              <w:widowControl w:val="0"/>
              <w:rPr>
                <w:color w:val="auto"/>
                <w:highlight w:val="none"/>
              </w:rPr>
            </w:pPr>
            <w:r>
              <w:rPr>
                <w:color w:val="auto"/>
                <w:highlight w:val="none"/>
              </w:rPr>
              <w:t>岸线距离/m</w:t>
            </w:r>
          </w:p>
        </w:tc>
        <w:tc>
          <w:tcPr>
            <w:tcW w:w="703" w:type="pct"/>
            <w:tcBorders>
              <w:tl2br w:val="nil"/>
              <w:tr2bl w:val="nil"/>
            </w:tcBorders>
            <w:vAlign w:val="center"/>
          </w:tcPr>
          <w:p w14:paraId="35460C43">
            <w:pPr>
              <w:pStyle w:val="41"/>
              <w:widowControl w:val="0"/>
              <w:rPr>
                <w:color w:val="auto"/>
                <w:highlight w:val="none"/>
              </w:rPr>
            </w:pPr>
            <w:r>
              <w:rPr>
                <w:color w:val="auto"/>
                <w:highlight w:val="none"/>
              </w:rPr>
              <w:t>/</w:t>
            </w:r>
          </w:p>
        </w:tc>
        <w:tc>
          <w:tcPr>
            <w:tcW w:w="2347" w:type="pct"/>
            <w:tcBorders>
              <w:tl2br w:val="nil"/>
              <w:tr2bl w:val="nil"/>
            </w:tcBorders>
            <w:vAlign w:val="center"/>
          </w:tcPr>
          <w:p w14:paraId="5B5123C8">
            <w:pPr>
              <w:pStyle w:val="41"/>
              <w:widowControl w:val="0"/>
              <w:rPr>
                <w:color w:val="auto"/>
                <w:highlight w:val="none"/>
              </w:rPr>
            </w:pPr>
          </w:p>
        </w:tc>
      </w:tr>
      <w:tr w14:paraId="631532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743" w:type="pct"/>
            <w:vMerge w:val="continue"/>
            <w:tcBorders>
              <w:tl2br w:val="nil"/>
              <w:tr2bl w:val="nil"/>
            </w:tcBorders>
            <w:vAlign w:val="center"/>
          </w:tcPr>
          <w:p w14:paraId="0B15226F">
            <w:pPr>
              <w:pStyle w:val="41"/>
              <w:widowControl w:val="0"/>
              <w:rPr>
                <w:color w:val="auto"/>
                <w:highlight w:val="none"/>
              </w:rPr>
            </w:pPr>
          </w:p>
        </w:tc>
        <w:tc>
          <w:tcPr>
            <w:tcW w:w="1206" w:type="pct"/>
            <w:tcBorders>
              <w:tl2br w:val="nil"/>
              <w:tr2bl w:val="nil"/>
            </w:tcBorders>
            <w:vAlign w:val="center"/>
          </w:tcPr>
          <w:p w14:paraId="44D6AFA6">
            <w:pPr>
              <w:pStyle w:val="41"/>
              <w:widowControl w:val="0"/>
              <w:rPr>
                <w:color w:val="auto"/>
                <w:highlight w:val="none"/>
              </w:rPr>
            </w:pPr>
            <w:r>
              <w:rPr>
                <w:color w:val="auto"/>
                <w:highlight w:val="none"/>
              </w:rPr>
              <w:t>岸线方向/°</w:t>
            </w:r>
          </w:p>
        </w:tc>
        <w:tc>
          <w:tcPr>
            <w:tcW w:w="703" w:type="pct"/>
            <w:tcBorders>
              <w:tl2br w:val="nil"/>
              <w:tr2bl w:val="nil"/>
            </w:tcBorders>
            <w:vAlign w:val="center"/>
          </w:tcPr>
          <w:p w14:paraId="7B1D5D66">
            <w:pPr>
              <w:pStyle w:val="41"/>
              <w:widowControl w:val="0"/>
              <w:rPr>
                <w:color w:val="auto"/>
                <w:highlight w:val="none"/>
              </w:rPr>
            </w:pPr>
            <w:r>
              <w:rPr>
                <w:color w:val="auto"/>
                <w:highlight w:val="none"/>
              </w:rPr>
              <w:t>/</w:t>
            </w:r>
          </w:p>
        </w:tc>
        <w:tc>
          <w:tcPr>
            <w:tcW w:w="2347" w:type="pct"/>
            <w:tcBorders>
              <w:tl2br w:val="nil"/>
              <w:tr2bl w:val="nil"/>
            </w:tcBorders>
            <w:vAlign w:val="center"/>
          </w:tcPr>
          <w:p w14:paraId="30951A0D">
            <w:pPr>
              <w:pStyle w:val="41"/>
              <w:widowControl w:val="0"/>
              <w:rPr>
                <w:color w:val="auto"/>
                <w:highlight w:val="none"/>
              </w:rPr>
            </w:pPr>
          </w:p>
        </w:tc>
      </w:tr>
      <w:tr w14:paraId="290725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4"/>
            <w:tcBorders>
              <w:tl2br w:val="nil"/>
              <w:tr2bl w:val="nil"/>
            </w:tcBorders>
            <w:vAlign w:val="center"/>
          </w:tcPr>
          <w:p w14:paraId="3F368132">
            <w:pPr>
              <w:pStyle w:val="41"/>
              <w:widowControl w:val="0"/>
              <w:rPr>
                <w:color w:val="auto"/>
                <w:highlight w:val="none"/>
              </w:rPr>
            </w:pPr>
            <w:r>
              <w:rPr>
                <w:color w:val="auto"/>
                <w:highlight w:val="none"/>
              </w:rPr>
              <w:t>备注：根据《环境影响评价技术导则 大气环境》（HJ2.2-2018）中附录B推荐模型参数及说明中模型技术设置“当项目周边3km范围内一半以上面积属于城市建成区或规划区时，选择城市，否则选择农村”</w:t>
            </w:r>
          </w:p>
        </w:tc>
      </w:tr>
    </w:tbl>
    <w:p w14:paraId="12449329">
      <w:pPr>
        <w:pStyle w:val="3"/>
        <w:ind w:firstLine="480"/>
        <w:rPr>
          <w:color w:val="auto"/>
          <w:highlight w:val="none"/>
        </w:rPr>
      </w:pPr>
      <w:r>
        <w:rPr>
          <w:color w:val="auto"/>
          <w:highlight w:val="none"/>
        </w:rPr>
        <w:t>根据工程分析源强核算结果，本项目新增大气污染源强及相关参数见表5.2-7、表5.2-8。</w:t>
      </w:r>
    </w:p>
    <w:p w14:paraId="6BCE59BE">
      <w:pPr>
        <w:pStyle w:val="3"/>
        <w:ind w:firstLine="480"/>
        <w:rPr>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6655C3A9">
      <w:pPr>
        <w:pStyle w:val="40"/>
        <w:spacing w:before="31" w:after="31"/>
        <w:rPr>
          <w:color w:val="auto"/>
          <w:highlight w:val="none"/>
        </w:rPr>
      </w:pPr>
      <w:bookmarkStart w:id="369" w:name="_Ref104495868"/>
      <w:r>
        <w:rPr>
          <w:color w:val="auto"/>
          <w:highlight w:val="none"/>
        </w:rPr>
        <w:t xml:space="preserve">表5.2-7 </w:t>
      </w:r>
      <w:bookmarkEnd w:id="369"/>
      <w:r>
        <w:rPr>
          <w:color w:val="auto"/>
          <w:highlight w:val="none"/>
        </w:rPr>
        <w:t xml:space="preserve">   本项目主要有组织废气污染源参数表</w:t>
      </w:r>
    </w:p>
    <w:tbl>
      <w:tblPr>
        <w:tblStyle w:val="25"/>
        <w:tblW w:w="503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653"/>
        <w:gridCol w:w="3235"/>
        <w:gridCol w:w="1129"/>
        <w:gridCol w:w="1140"/>
        <w:gridCol w:w="1140"/>
        <w:gridCol w:w="1253"/>
        <w:gridCol w:w="1121"/>
        <w:gridCol w:w="1335"/>
        <w:gridCol w:w="1354"/>
        <w:gridCol w:w="1718"/>
      </w:tblGrid>
      <w:tr w14:paraId="0AF898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2" w:type="pct"/>
            <w:vMerge w:val="restart"/>
            <w:tcBorders>
              <w:tl2br w:val="nil"/>
              <w:tr2bl w:val="nil"/>
            </w:tcBorders>
            <w:vAlign w:val="center"/>
          </w:tcPr>
          <w:p w14:paraId="4DF8DC82">
            <w:pPr>
              <w:pStyle w:val="41"/>
              <w:rPr>
                <w:color w:val="auto"/>
                <w:highlight w:val="none"/>
              </w:rPr>
            </w:pPr>
            <w:r>
              <w:rPr>
                <w:color w:val="auto"/>
                <w:highlight w:val="none"/>
              </w:rPr>
              <w:t>编号</w:t>
            </w:r>
          </w:p>
        </w:tc>
        <w:tc>
          <w:tcPr>
            <w:tcW w:w="1149" w:type="pct"/>
            <w:vMerge w:val="restart"/>
            <w:tcBorders>
              <w:tl2br w:val="nil"/>
              <w:tr2bl w:val="nil"/>
            </w:tcBorders>
            <w:vAlign w:val="center"/>
          </w:tcPr>
          <w:p w14:paraId="44CFCBBD">
            <w:pPr>
              <w:pStyle w:val="41"/>
              <w:rPr>
                <w:color w:val="auto"/>
                <w:highlight w:val="none"/>
              </w:rPr>
            </w:pPr>
            <w:r>
              <w:rPr>
                <w:color w:val="auto"/>
                <w:highlight w:val="none"/>
              </w:rPr>
              <w:t>排放源</w:t>
            </w:r>
          </w:p>
        </w:tc>
        <w:tc>
          <w:tcPr>
            <w:tcW w:w="1656" w:type="pct"/>
            <w:gridSpan w:val="4"/>
            <w:tcBorders>
              <w:tl2br w:val="nil"/>
              <w:tr2bl w:val="nil"/>
            </w:tcBorders>
            <w:vAlign w:val="center"/>
          </w:tcPr>
          <w:p w14:paraId="46AD73BB">
            <w:pPr>
              <w:pStyle w:val="41"/>
              <w:rPr>
                <w:color w:val="auto"/>
                <w:highlight w:val="none"/>
              </w:rPr>
            </w:pPr>
            <w:r>
              <w:rPr>
                <w:color w:val="auto"/>
                <w:highlight w:val="none"/>
              </w:rPr>
              <w:t>排气筒参数</w:t>
            </w:r>
          </w:p>
        </w:tc>
        <w:tc>
          <w:tcPr>
            <w:tcW w:w="1961" w:type="pct"/>
            <w:gridSpan w:val="4"/>
            <w:tcBorders>
              <w:tl2br w:val="nil"/>
              <w:tr2bl w:val="nil"/>
            </w:tcBorders>
            <w:vAlign w:val="center"/>
          </w:tcPr>
          <w:p w14:paraId="77D0506B">
            <w:pPr>
              <w:pStyle w:val="41"/>
              <w:rPr>
                <w:color w:val="auto"/>
                <w:highlight w:val="none"/>
              </w:rPr>
            </w:pPr>
            <w:r>
              <w:rPr>
                <w:color w:val="auto"/>
                <w:highlight w:val="none"/>
              </w:rPr>
              <w:t>评价因子源强（kg/h）</w:t>
            </w:r>
          </w:p>
        </w:tc>
      </w:tr>
      <w:tr w14:paraId="283298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2" w:type="pct"/>
            <w:vMerge w:val="continue"/>
            <w:tcBorders>
              <w:tl2br w:val="nil"/>
              <w:tr2bl w:val="nil"/>
            </w:tcBorders>
            <w:vAlign w:val="center"/>
          </w:tcPr>
          <w:p w14:paraId="12AAEBB9">
            <w:pPr>
              <w:pStyle w:val="41"/>
              <w:rPr>
                <w:color w:val="auto"/>
                <w:highlight w:val="none"/>
              </w:rPr>
            </w:pPr>
          </w:p>
        </w:tc>
        <w:tc>
          <w:tcPr>
            <w:tcW w:w="1149" w:type="pct"/>
            <w:vMerge w:val="continue"/>
            <w:tcBorders>
              <w:tl2br w:val="nil"/>
              <w:tr2bl w:val="nil"/>
            </w:tcBorders>
            <w:vAlign w:val="center"/>
          </w:tcPr>
          <w:p w14:paraId="111006E1">
            <w:pPr>
              <w:pStyle w:val="41"/>
              <w:rPr>
                <w:color w:val="auto"/>
                <w:highlight w:val="none"/>
              </w:rPr>
            </w:pPr>
          </w:p>
        </w:tc>
        <w:tc>
          <w:tcPr>
            <w:tcW w:w="401" w:type="pct"/>
            <w:tcBorders>
              <w:tl2br w:val="nil"/>
              <w:tr2bl w:val="nil"/>
            </w:tcBorders>
            <w:vAlign w:val="center"/>
          </w:tcPr>
          <w:p w14:paraId="6ACD26D9">
            <w:pPr>
              <w:pStyle w:val="41"/>
              <w:rPr>
                <w:color w:val="auto"/>
                <w:highlight w:val="none"/>
              </w:rPr>
            </w:pPr>
            <w:r>
              <w:rPr>
                <w:color w:val="auto"/>
                <w:highlight w:val="none"/>
              </w:rPr>
              <w:t>高度（m）</w:t>
            </w:r>
          </w:p>
        </w:tc>
        <w:tc>
          <w:tcPr>
            <w:tcW w:w="405" w:type="pct"/>
            <w:tcBorders>
              <w:tl2br w:val="nil"/>
              <w:tr2bl w:val="nil"/>
            </w:tcBorders>
            <w:vAlign w:val="center"/>
          </w:tcPr>
          <w:p w14:paraId="7B0FFB40">
            <w:pPr>
              <w:pStyle w:val="41"/>
              <w:rPr>
                <w:color w:val="auto"/>
                <w:highlight w:val="none"/>
              </w:rPr>
            </w:pPr>
            <w:r>
              <w:rPr>
                <w:color w:val="auto"/>
                <w:highlight w:val="none"/>
              </w:rPr>
              <w:t>内径（m）</w:t>
            </w:r>
          </w:p>
        </w:tc>
        <w:tc>
          <w:tcPr>
            <w:tcW w:w="405" w:type="pct"/>
            <w:tcBorders>
              <w:tl2br w:val="nil"/>
              <w:tr2bl w:val="nil"/>
            </w:tcBorders>
            <w:vAlign w:val="center"/>
          </w:tcPr>
          <w:p w14:paraId="123E9BE4">
            <w:pPr>
              <w:pStyle w:val="41"/>
              <w:rPr>
                <w:color w:val="auto"/>
                <w:highlight w:val="none"/>
              </w:rPr>
            </w:pPr>
            <w:r>
              <w:rPr>
                <w:color w:val="auto"/>
                <w:highlight w:val="none"/>
              </w:rPr>
              <w:t>温度（℃）</w:t>
            </w:r>
          </w:p>
        </w:tc>
        <w:tc>
          <w:tcPr>
            <w:tcW w:w="444" w:type="pct"/>
            <w:tcBorders>
              <w:tl2br w:val="nil"/>
              <w:tr2bl w:val="nil"/>
            </w:tcBorders>
            <w:vAlign w:val="center"/>
          </w:tcPr>
          <w:p w14:paraId="42630097">
            <w:pPr>
              <w:pStyle w:val="41"/>
              <w:rPr>
                <w:color w:val="auto"/>
                <w:highlight w:val="none"/>
              </w:rPr>
            </w:pPr>
            <w:r>
              <w:rPr>
                <w:color w:val="auto"/>
                <w:highlight w:val="none"/>
              </w:rPr>
              <w:t>流量（m</w:t>
            </w:r>
            <w:r>
              <w:rPr>
                <w:color w:val="auto"/>
                <w:highlight w:val="none"/>
                <w:vertAlign w:val="superscript"/>
              </w:rPr>
              <w:t>3</w:t>
            </w:r>
            <w:r>
              <w:rPr>
                <w:color w:val="auto"/>
                <w:highlight w:val="none"/>
              </w:rPr>
              <w:t>/h）</w:t>
            </w:r>
          </w:p>
        </w:tc>
        <w:tc>
          <w:tcPr>
            <w:tcW w:w="398" w:type="pct"/>
            <w:tcBorders>
              <w:tl2br w:val="nil"/>
              <w:tr2bl w:val="nil"/>
            </w:tcBorders>
            <w:vAlign w:val="center"/>
          </w:tcPr>
          <w:p w14:paraId="31081122">
            <w:pPr>
              <w:pStyle w:val="41"/>
              <w:rPr>
                <w:color w:val="auto"/>
                <w:highlight w:val="none"/>
              </w:rPr>
            </w:pPr>
            <w:r>
              <w:rPr>
                <w:color w:val="auto"/>
                <w:highlight w:val="none"/>
              </w:rPr>
              <w:t>SO</w:t>
            </w:r>
            <w:r>
              <w:rPr>
                <w:color w:val="auto"/>
                <w:highlight w:val="none"/>
                <w:vertAlign w:val="subscript"/>
              </w:rPr>
              <w:t>2</w:t>
            </w:r>
          </w:p>
        </w:tc>
        <w:tc>
          <w:tcPr>
            <w:tcW w:w="474" w:type="pct"/>
            <w:tcBorders>
              <w:tl2br w:val="nil"/>
              <w:tr2bl w:val="nil"/>
            </w:tcBorders>
            <w:vAlign w:val="center"/>
          </w:tcPr>
          <w:p w14:paraId="714CA159">
            <w:pPr>
              <w:pStyle w:val="41"/>
              <w:rPr>
                <w:color w:val="auto"/>
                <w:highlight w:val="none"/>
              </w:rPr>
            </w:pPr>
            <w:r>
              <w:rPr>
                <w:color w:val="auto"/>
                <w:highlight w:val="none"/>
              </w:rPr>
              <w:t>NO</w:t>
            </w:r>
            <w:r>
              <w:rPr>
                <w:color w:val="auto"/>
                <w:highlight w:val="none"/>
                <w:vertAlign w:val="subscript"/>
              </w:rPr>
              <w:t>2</w:t>
            </w:r>
          </w:p>
        </w:tc>
        <w:tc>
          <w:tcPr>
            <w:tcW w:w="481" w:type="pct"/>
            <w:tcBorders>
              <w:tl2br w:val="nil"/>
              <w:tr2bl w:val="nil"/>
            </w:tcBorders>
            <w:vAlign w:val="center"/>
          </w:tcPr>
          <w:p w14:paraId="0071FA64">
            <w:pPr>
              <w:pStyle w:val="41"/>
              <w:rPr>
                <w:color w:val="auto"/>
                <w:highlight w:val="none"/>
              </w:rPr>
            </w:pPr>
            <w:r>
              <w:rPr>
                <w:color w:val="auto"/>
                <w:highlight w:val="none"/>
              </w:rPr>
              <w:t>TSP</w:t>
            </w:r>
          </w:p>
        </w:tc>
        <w:tc>
          <w:tcPr>
            <w:tcW w:w="606" w:type="pct"/>
            <w:tcBorders>
              <w:tl2br w:val="nil"/>
              <w:tr2bl w:val="nil"/>
            </w:tcBorders>
            <w:vAlign w:val="center"/>
          </w:tcPr>
          <w:p w14:paraId="4FBD39AA">
            <w:pPr>
              <w:pStyle w:val="41"/>
              <w:rPr>
                <w:color w:val="auto"/>
                <w:highlight w:val="none"/>
              </w:rPr>
            </w:pPr>
            <w:r>
              <w:rPr>
                <w:color w:val="auto"/>
                <w:highlight w:val="none"/>
              </w:rPr>
              <w:t>PM</w:t>
            </w:r>
            <w:r>
              <w:rPr>
                <w:color w:val="auto"/>
                <w:highlight w:val="none"/>
                <w:vertAlign w:val="subscript"/>
              </w:rPr>
              <w:t>10</w:t>
            </w:r>
          </w:p>
        </w:tc>
      </w:tr>
      <w:tr w14:paraId="21F2EB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2" w:type="pct"/>
            <w:tcBorders>
              <w:tl2br w:val="nil"/>
              <w:tr2bl w:val="nil"/>
            </w:tcBorders>
            <w:vAlign w:val="center"/>
          </w:tcPr>
          <w:p w14:paraId="5AD65C4C">
            <w:pPr>
              <w:pStyle w:val="41"/>
              <w:rPr>
                <w:color w:val="auto"/>
                <w:highlight w:val="none"/>
              </w:rPr>
            </w:pPr>
            <w:r>
              <w:rPr>
                <w:color w:val="auto"/>
                <w:highlight w:val="none"/>
              </w:rPr>
              <w:t>1</w:t>
            </w:r>
          </w:p>
        </w:tc>
        <w:tc>
          <w:tcPr>
            <w:tcW w:w="1149" w:type="pct"/>
            <w:tcBorders>
              <w:tl2br w:val="nil"/>
              <w:tr2bl w:val="nil"/>
            </w:tcBorders>
            <w:vAlign w:val="center"/>
          </w:tcPr>
          <w:p w14:paraId="5147CC79">
            <w:pPr>
              <w:pStyle w:val="41"/>
              <w:rPr>
                <w:color w:val="auto"/>
                <w:highlight w:val="none"/>
              </w:rPr>
            </w:pPr>
            <w:r>
              <w:rPr>
                <w:color w:val="auto"/>
                <w:highlight w:val="none"/>
              </w:rPr>
              <w:t>滚轴筛车间</w:t>
            </w:r>
          </w:p>
        </w:tc>
        <w:tc>
          <w:tcPr>
            <w:tcW w:w="401" w:type="pct"/>
            <w:tcBorders>
              <w:tl2br w:val="nil"/>
              <w:tr2bl w:val="nil"/>
            </w:tcBorders>
            <w:vAlign w:val="bottom"/>
          </w:tcPr>
          <w:p w14:paraId="72113EE7">
            <w:pPr>
              <w:pStyle w:val="41"/>
              <w:rPr>
                <w:color w:val="auto"/>
                <w:highlight w:val="none"/>
              </w:rPr>
            </w:pPr>
            <w:r>
              <w:rPr>
                <w:color w:val="auto"/>
                <w:highlight w:val="none"/>
              </w:rPr>
              <w:t>15</w:t>
            </w:r>
          </w:p>
        </w:tc>
        <w:tc>
          <w:tcPr>
            <w:tcW w:w="405" w:type="pct"/>
            <w:tcBorders>
              <w:tl2br w:val="nil"/>
              <w:tr2bl w:val="nil"/>
            </w:tcBorders>
            <w:vAlign w:val="bottom"/>
          </w:tcPr>
          <w:p w14:paraId="4F73AF83">
            <w:pPr>
              <w:pStyle w:val="41"/>
              <w:rPr>
                <w:color w:val="auto"/>
                <w:highlight w:val="none"/>
              </w:rPr>
            </w:pPr>
            <w:r>
              <w:rPr>
                <w:color w:val="auto"/>
                <w:highlight w:val="none"/>
              </w:rPr>
              <w:t>0.5</w:t>
            </w:r>
          </w:p>
        </w:tc>
        <w:tc>
          <w:tcPr>
            <w:tcW w:w="405" w:type="pct"/>
            <w:tcBorders>
              <w:tl2br w:val="nil"/>
              <w:tr2bl w:val="nil"/>
            </w:tcBorders>
            <w:vAlign w:val="bottom"/>
          </w:tcPr>
          <w:p w14:paraId="622D170F">
            <w:pPr>
              <w:pStyle w:val="41"/>
              <w:rPr>
                <w:color w:val="auto"/>
                <w:highlight w:val="none"/>
              </w:rPr>
            </w:pPr>
            <w:r>
              <w:rPr>
                <w:color w:val="auto"/>
                <w:highlight w:val="none"/>
              </w:rPr>
              <w:t>20</w:t>
            </w:r>
          </w:p>
        </w:tc>
        <w:tc>
          <w:tcPr>
            <w:tcW w:w="1251" w:type="dxa"/>
            <w:tcBorders>
              <w:tl2br w:val="nil"/>
              <w:tr2bl w:val="nil"/>
            </w:tcBorders>
            <w:vAlign w:val="center"/>
          </w:tcPr>
          <w:p w14:paraId="2F4D703B">
            <w:pPr>
              <w:pStyle w:val="41"/>
              <w:rPr>
                <w:rFonts w:hint="default" w:eastAsia="华文中宋"/>
                <w:color w:val="auto"/>
                <w:highlight w:val="none"/>
                <w:lang w:val="en-US" w:eastAsia="zh-CN"/>
              </w:rPr>
            </w:pPr>
            <w:r>
              <w:rPr>
                <w:rFonts w:hint="eastAsia"/>
                <w:color w:val="auto"/>
                <w:highlight w:val="none"/>
                <w:lang w:val="en-US" w:eastAsia="zh-CN"/>
              </w:rPr>
              <w:t>53641.65</w:t>
            </w:r>
          </w:p>
        </w:tc>
        <w:tc>
          <w:tcPr>
            <w:tcW w:w="398" w:type="pct"/>
            <w:tcBorders>
              <w:tl2br w:val="nil"/>
              <w:tr2bl w:val="nil"/>
            </w:tcBorders>
            <w:vAlign w:val="center"/>
          </w:tcPr>
          <w:p w14:paraId="63639A53">
            <w:pPr>
              <w:pStyle w:val="41"/>
              <w:rPr>
                <w:color w:val="auto"/>
                <w:highlight w:val="none"/>
              </w:rPr>
            </w:pPr>
            <w:r>
              <w:rPr>
                <w:color w:val="auto"/>
                <w:highlight w:val="none"/>
              </w:rPr>
              <w:t>/</w:t>
            </w:r>
          </w:p>
        </w:tc>
        <w:tc>
          <w:tcPr>
            <w:tcW w:w="474" w:type="pct"/>
            <w:tcBorders>
              <w:tl2br w:val="nil"/>
              <w:tr2bl w:val="nil"/>
            </w:tcBorders>
            <w:vAlign w:val="center"/>
          </w:tcPr>
          <w:p w14:paraId="079552C6">
            <w:pPr>
              <w:pStyle w:val="41"/>
              <w:rPr>
                <w:color w:val="auto"/>
                <w:highlight w:val="none"/>
              </w:rPr>
            </w:pPr>
            <w:r>
              <w:rPr>
                <w:color w:val="auto"/>
                <w:highlight w:val="none"/>
              </w:rPr>
              <w:t>/</w:t>
            </w:r>
          </w:p>
        </w:tc>
        <w:tc>
          <w:tcPr>
            <w:tcW w:w="481" w:type="pct"/>
            <w:tcBorders>
              <w:tl2br w:val="nil"/>
              <w:tr2bl w:val="nil"/>
            </w:tcBorders>
            <w:vAlign w:val="center"/>
          </w:tcPr>
          <w:p w14:paraId="5D41B669">
            <w:pPr>
              <w:pStyle w:val="41"/>
              <w:rPr>
                <w:color w:val="auto"/>
                <w:highlight w:val="none"/>
              </w:rPr>
            </w:pPr>
            <w:r>
              <w:rPr>
                <w:color w:val="auto"/>
                <w:highlight w:val="none"/>
              </w:rPr>
              <w:t>/</w:t>
            </w:r>
          </w:p>
        </w:tc>
        <w:tc>
          <w:tcPr>
            <w:tcW w:w="1715" w:type="dxa"/>
            <w:tcBorders>
              <w:tl2br w:val="nil"/>
              <w:tr2bl w:val="nil"/>
            </w:tcBorders>
            <w:vAlign w:val="center"/>
          </w:tcPr>
          <w:p w14:paraId="4D58D26C">
            <w:pPr>
              <w:pStyle w:val="41"/>
              <w:rPr>
                <w:rFonts w:hint="default" w:eastAsia="华文中宋"/>
                <w:color w:val="auto"/>
                <w:highlight w:val="none"/>
                <w:lang w:val="en-US" w:eastAsia="zh-CN"/>
              </w:rPr>
            </w:pPr>
            <w:r>
              <w:rPr>
                <w:color w:val="auto"/>
                <w:highlight w:val="none"/>
              </w:rPr>
              <w:t>0.0</w:t>
            </w:r>
            <w:r>
              <w:rPr>
                <w:rFonts w:hint="eastAsia"/>
                <w:color w:val="auto"/>
                <w:highlight w:val="none"/>
                <w:lang w:val="en-US" w:eastAsia="zh-CN"/>
              </w:rPr>
              <w:t>379</w:t>
            </w:r>
          </w:p>
        </w:tc>
      </w:tr>
      <w:tr w14:paraId="46B52C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2" w:type="pct"/>
            <w:tcBorders>
              <w:tl2br w:val="nil"/>
              <w:tr2bl w:val="nil"/>
            </w:tcBorders>
            <w:vAlign w:val="center"/>
          </w:tcPr>
          <w:p w14:paraId="17B3329A">
            <w:pPr>
              <w:pStyle w:val="41"/>
              <w:rPr>
                <w:color w:val="auto"/>
                <w:highlight w:val="none"/>
              </w:rPr>
            </w:pPr>
            <w:r>
              <w:rPr>
                <w:color w:val="auto"/>
                <w:highlight w:val="none"/>
              </w:rPr>
              <w:t>2</w:t>
            </w:r>
          </w:p>
        </w:tc>
        <w:tc>
          <w:tcPr>
            <w:tcW w:w="1149" w:type="pct"/>
            <w:tcBorders>
              <w:tl2br w:val="nil"/>
              <w:tr2bl w:val="nil"/>
            </w:tcBorders>
            <w:vAlign w:val="center"/>
          </w:tcPr>
          <w:p w14:paraId="637235D9">
            <w:pPr>
              <w:pStyle w:val="41"/>
              <w:rPr>
                <w:color w:val="auto"/>
                <w:highlight w:val="none"/>
              </w:rPr>
            </w:pPr>
            <w:r>
              <w:rPr>
                <w:color w:val="auto"/>
                <w:highlight w:val="none"/>
              </w:rPr>
              <w:t>粗中碎车间</w:t>
            </w:r>
          </w:p>
        </w:tc>
        <w:tc>
          <w:tcPr>
            <w:tcW w:w="401" w:type="pct"/>
            <w:tcBorders>
              <w:tl2br w:val="nil"/>
              <w:tr2bl w:val="nil"/>
            </w:tcBorders>
            <w:vAlign w:val="bottom"/>
          </w:tcPr>
          <w:p w14:paraId="57355F5A">
            <w:pPr>
              <w:pStyle w:val="41"/>
              <w:rPr>
                <w:color w:val="auto"/>
                <w:highlight w:val="none"/>
              </w:rPr>
            </w:pPr>
            <w:r>
              <w:rPr>
                <w:color w:val="auto"/>
                <w:highlight w:val="none"/>
              </w:rPr>
              <w:t>15</w:t>
            </w:r>
          </w:p>
        </w:tc>
        <w:tc>
          <w:tcPr>
            <w:tcW w:w="405" w:type="pct"/>
            <w:tcBorders>
              <w:tl2br w:val="nil"/>
              <w:tr2bl w:val="nil"/>
            </w:tcBorders>
            <w:vAlign w:val="bottom"/>
          </w:tcPr>
          <w:p w14:paraId="40873790">
            <w:pPr>
              <w:pStyle w:val="41"/>
              <w:rPr>
                <w:color w:val="auto"/>
                <w:highlight w:val="none"/>
              </w:rPr>
            </w:pPr>
            <w:r>
              <w:rPr>
                <w:color w:val="auto"/>
                <w:highlight w:val="none"/>
              </w:rPr>
              <w:t>0.5</w:t>
            </w:r>
          </w:p>
        </w:tc>
        <w:tc>
          <w:tcPr>
            <w:tcW w:w="405" w:type="pct"/>
            <w:tcBorders>
              <w:tl2br w:val="nil"/>
              <w:tr2bl w:val="nil"/>
            </w:tcBorders>
            <w:vAlign w:val="bottom"/>
          </w:tcPr>
          <w:p w14:paraId="6AF2EF72">
            <w:pPr>
              <w:pStyle w:val="41"/>
              <w:rPr>
                <w:color w:val="auto"/>
                <w:highlight w:val="none"/>
              </w:rPr>
            </w:pPr>
            <w:r>
              <w:rPr>
                <w:color w:val="auto"/>
                <w:highlight w:val="none"/>
              </w:rPr>
              <w:t>20</w:t>
            </w:r>
          </w:p>
        </w:tc>
        <w:tc>
          <w:tcPr>
            <w:tcW w:w="1251" w:type="dxa"/>
            <w:tcBorders>
              <w:tl2br w:val="nil"/>
              <w:tr2bl w:val="nil"/>
            </w:tcBorders>
            <w:vAlign w:val="center"/>
          </w:tcPr>
          <w:p w14:paraId="4BBEDC9D">
            <w:pPr>
              <w:pStyle w:val="41"/>
              <w:rPr>
                <w:rFonts w:hint="default" w:eastAsia="华文中宋"/>
                <w:color w:val="auto"/>
                <w:highlight w:val="none"/>
                <w:lang w:val="en-US" w:eastAsia="zh-CN"/>
              </w:rPr>
            </w:pPr>
            <w:r>
              <w:rPr>
                <w:rFonts w:hint="eastAsia"/>
                <w:color w:val="auto"/>
                <w:highlight w:val="none"/>
                <w:lang w:val="en-US" w:eastAsia="zh-CN"/>
              </w:rPr>
              <w:t>53641.65</w:t>
            </w:r>
          </w:p>
        </w:tc>
        <w:tc>
          <w:tcPr>
            <w:tcW w:w="398" w:type="pct"/>
            <w:tcBorders>
              <w:tl2br w:val="nil"/>
              <w:tr2bl w:val="nil"/>
            </w:tcBorders>
            <w:vAlign w:val="center"/>
          </w:tcPr>
          <w:p w14:paraId="28185957">
            <w:pPr>
              <w:pStyle w:val="41"/>
              <w:rPr>
                <w:color w:val="auto"/>
                <w:highlight w:val="none"/>
              </w:rPr>
            </w:pPr>
            <w:r>
              <w:rPr>
                <w:color w:val="auto"/>
                <w:highlight w:val="none"/>
              </w:rPr>
              <w:t>/</w:t>
            </w:r>
          </w:p>
        </w:tc>
        <w:tc>
          <w:tcPr>
            <w:tcW w:w="474" w:type="pct"/>
            <w:tcBorders>
              <w:tl2br w:val="nil"/>
              <w:tr2bl w:val="nil"/>
            </w:tcBorders>
            <w:vAlign w:val="center"/>
          </w:tcPr>
          <w:p w14:paraId="29D08C07">
            <w:pPr>
              <w:pStyle w:val="41"/>
              <w:rPr>
                <w:color w:val="auto"/>
                <w:highlight w:val="none"/>
              </w:rPr>
            </w:pPr>
            <w:r>
              <w:rPr>
                <w:color w:val="auto"/>
                <w:highlight w:val="none"/>
              </w:rPr>
              <w:t>/</w:t>
            </w:r>
          </w:p>
        </w:tc>
        <w:tc>
          <w:tcPr>
            <w:tcW w:w="481" w:type="pct"/>
            <w:tcBorders>
              <w:tl2br w:val="nil"/>
              <w:tr2bl w:val="nil"/>
            </w:tcBorders>
            <w:vAlign w:val="center"/>
          </w:tcPr>
          <w:p w14:paraId="6B4AE1E3">
            <w:pPr>
              <w:pStyle w:val="41"/>
              <w:rPr>
                <w:color w:val="auto"/>
                <w:highlight w:val="none"/>
              </w:rPr>
            </w:pPr>
            <w:r>
              <w:rPr>
                <w:color w:val="auto"/>
                <w:highlight w:val="none"/>
              </w:rPr>
              <w:t>/</w:t>
            </w:r>
          </w:p>
        </w:tc>
        <w:tc>
          <w:tcPr>
            <w:tcW w:w="1715" w:type="dxa"/>
            <w:tcBorders>
              <w:tl2br w:val="nil"/>
              <w:tr2bl w:val="nil"/>
            </w:tcBorders>
            <w:vAlign w:val="center"/>
          </w:tcPr>
          <w:p w14:paraId="5E5389FC">
            <w:pPr>
              <w:pStyle w:val="41"/>
              <w:rPr>
                <w:rFonts w:hint="default" w:eastAsia="华文中宋"/>
                <w:color w:val="auto"/>
                <w:highlight w:val="none"/>
                <w:lang w:val="en-US" w:eastAsia="zh-CN"/>
              </w:rPr>
            </w:pPr>
            <w:r>
              <w:rPr>
                <w:color w:val="auto"/>
                <w:highlight w:val="none"/>
              </w:rPr>
              <w:t>0.0</w:t>
            </w:r>
            <w:r>
              <w:rPr>
                <w:rFonts w:hint="eastAsia"/>
                <w:color w:val="auto"/>
                <w:highlight w:val="none"/>
                <w:lang w:val="en-US" w:eastAsia="zh-CN"/>
              </w:rPr>
              <w:t>379</w:t>
            </w:r>
          </w:p>
        </w:tc>
      </w:tr>
      <w:tr w14:paraId="61E01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2" w:type="pct"/>
            <w:tcBorders>
              <w:tl2br w:val="nil"/>
              <w:tr2bl w:val="nil"/>
            </w:tcBorders>
            <w:vAlign w:val="center"/>
          </w:tcPr>
          <w:p w14:paraId="336808E3">
            <w:pPr>
              <w:pStyle w:val="41"/>
              <w:rPr>
                <w:color w:val="auto"/>
                <w:highlight w:val="none"/>
              </w:rPr>
            </w:pPr>
            <w:r>
              <w:rPr>
                <w:color w:val="auto"/>
                <w:highlight w:val="none"/>
              </w:rPr>
              <w:t>3</w:t>
            </w:r>
          </w:p>
        </w:tc>
        <w:tc>
          <w:tcPr>
            <w:tcW w:w="1149" w:type="pct"/>
            <w:tcBorders>
              <w:tl2br w:val="nil"/>
              <w:tr2bl w:val="nil"/>
            </w:tcBorders>
            <w:vAlign w:val="center"/>
          </w:tcPr>
          <w:p w14:paraId="5678A26E">
            <w:pPr>
              <w:pStyle w:val="41"/>
              <w:rPr>
                <w:color w:val="auto"/>
                <w:highlight w:val="none"/>
              </w:rPr>
            </w:pPr>
            <w:r>
              <w:rPr>
                <w:color w:val="auto"/>
                <w:highlight w:val="none"/>
              </w:rPr>
              <w:t>细碎车间</w:t>
            </w:r>
          </w:p>
        </w:tc>
        <w:tc>
          <w:tcPr>
            <w:tcW w:w="401" w:type="pct"/>
            <w:tcBorders>
              <w:tl2br w:val="nil"/>
              <w:tr2bl w:val="nil"/>
            </w:tcBorders>
            <w:vAlign w:val="bottom"/>
          </w:tcPr>
          <w:p w14:paraId="344DC889">
            <w:pPr>
              <w:pStyle w:val="41"/>
              <w:rPr>
                <w:color w:val="auto"/>
                <w:highlight w:val="none"/>
              </w:rPr>
            </w:pPr>
            <w:r>
              <w:rPr>
                <w:color w:val="auto"/>
                <w:highlight w:val="none"/>
              </w:rPr>
              <w:t>15</w:t>
            </w:r>
          </w:p>
        </w:tc>
        <w:tc>
          <w:tcPr>
            <w:tcW w:w="405" w:type="pct"/>
            <w:tcBorders>
              <w:tl2br w:val="nil"/>
              <w:tr2bl w:val="nil"/>
            </w:tcBorders>
            <w:vAlign w:val="bottom"/>
          </w:tcPr>
          <w:p w14:paraId="39DCE0C9">
            <w:pPr>
              <w:pStyle w:val="41"/>
              <w:rPr>
                <w:color w:val="auto"/>
                <w:highlight w:val="none"/>
              </w:rPr>
            </w:pPr>
            <w:r>
              <w:rPr>
                <w:color w:val="auto"/>
                <w:highlight w:val="none"/>
              </w:rPr>
              <w:t>0.5</w:t>
            </w:r>
          </w:p>
        </w:tc>
        <w:tc>
          <w:tcPr>
            <w:tcW w:w="405" w:type="pct"/>
            <w:tcBorders>
              <w:tl2br w:val="nil"/>
              <w:tr2bl w:val="nil"/>
            </w:tcBorders>
            <w:vAlign w:val="bottom"/>
          </w:tcPr>
          <w:p w14:paraId="111B5D51">
            <w:pPr>
              <w:pStyle w:val="41"/>
              <w:rPr>
                <w:color w:val="auto"/>
                <w:highlight w:val="none"/>
              </w:rPr>
            </w:pPr>
            <w:r>
              <w:rPr>
                <w:color w:val="auto"/>
                <w:highlight w:val="none"/>
              </w:rPr>
              <w:t>20</w:t>
            </w:r>
          </w:p>
        </w:tc>
        <w:tc>
          <w:tcPr>
            <w:tcW w:w="1251" w:type="dxa"/>
            <w:tcBorders>
              <w:tl2br w:val="nil"/>
              <w:tr2bl w:val="nil"/>
            </w:tcBorders>
            <w:vAlign w:val="center"/>
          </w:tcPr>
          <w:p w14:paraId="1989F1DE">
            <w:pPr>
              <w:pStyle w:val="41"/>
              <w:rPr>
                <w:rFonts w:hint="default" w:eastAsia="华文中宋"/>
                <w:color w:val="auto"/>
                <w:highlight w:val="none"/>
                <w:lang w:val="en-US" w:eastAsia="zh-CN"/>
              </w:rPr>
            </w:pPr>
            <w:r>
              <w:rPr>
                <w:rFonts w:hint="eastAsia"/>
                <w:color w:val="auto"/>
                <w:highlight w:val="none"/>
                <w:lang w:val="en-US" w:eastAsia="zh-CN"/>
              </w:rPr>
              <w:t>53641.65</w:t>
            </w:r>
          </w:p>
        </w:tc>
        <w:tc>
          <w:tcPr>
            <w:tcW w:w="398" w:type="pct"/>
            <w:tcBorders>
              <w:tl2br w:val="nil"/>
              <w:tr2bl w:val="nil"/>
            </w:tcBorders>
            <w:vAlign w:val="center"/>
          </w:tcPr>
          <w:p w14:paraId="4BA0C4B5">
            <w:pPr>
              <w:pStyle w:val="41"/>
              <w:rPr>
                <w:color w:val="auto"/>
                <w:highlight w:val="none"/>
              </w:rPr>
            </w:pPr>
            <w:r>
              <w:rPr>
                <w:color w:val="auto"/>
                <w:highlight w:val="none"/>
              </w:rPr>
              <w:t>/</w:t>
            </w:r>
          </w:p>
        </w:tc>
        <w:tc>
          <w:tcPr>
            <w:tcW w:w="474" w:type="pct"/>
            <w:tcBorders>
              <w:tl2br w:val="nil"/>
              <w:tr2bl w:val="nil"/>
            </w:tcBorders>
            <w:vAlign w:val="center"/>
          </w:tcPr>
          <w:p w14:paraId="2912E7A9">
            <w:pPr>
              <w:pStyle w:val="41"/>
              <w:rPr>
                <w:color w:val="auto"/>
                <w:highlight w:val="none"/>
              </w:rPr>
            </w:pPr>
            <w:r>
              <w:rPr>
                <w:color w:val="auto"/>
                <w:highlight w:val="none"/>
              </w:rPr>
              <w:t>/</w:t>
            </w:r>
          </w:p>
        </w:tc>
        <w:tc>
          <w:tcPr>
            <w:tcW w:w="481" w:type="pct"/>
            <w:tcBorders>
              <w:tl2br w:val="nil"/>
              <w:tr2bl w:val="nil"/>
            </w:tcBorders>
            <w:vAlign w:val="center"/>
          </w:tcPr>
          <w:p w14:paraId="12E2D9B9">
            <w:pPr>
              <w:pStyle w:val="41"/>
              <w:rPr>
                <w:color w:val="auto"/>
                <w:highlight w:val="none"/>
              </w:rPr>
            </w:pPr>
            <w:r>
              <w:rPr>
                <w:color w:val="auto"/>
                <w:highlight w:val="none"/>
              </w:rPr>
              <w:t>/</w:t>
            </w:r>
          </w:p>
        </w:tc>
        <w:tc>
          <w:tcPr>
            <w:tcW w:w="1715" w:type="dxa"/>
            <w:tcBorders>
              <w:tl2br w:val="nil"/>
              <w:tr2bl w:val="nil"/>
            </w:tcBorders>
            <w:vAlign w:val="center"/>
          </w:tcPr>
          <w:p w14:paraId="44089C97">
            <w:pPr>
              <w:pStyle w:val="41"/>
              <w:rPr>
                <w:rFonts w:hint="default" w:eastAsia="华文中宋"/>
                <w:color w:val="auto"/>
                <w:highlight w:val="none"/>
                <w:lang w:val="en-US" w:eastAsia="zh-CN"/>
              </w:rPr>
            </w:pPr>
            <w:r>
              <w:rPr>
                <w:color w:val="auto"/>
                <w:highlight w:val="none"/>
              </w:rPr>
              <w:t>0.0</w:t>
            </w:r>
            <w:r>
              <w:rPr>
                <w:rFonts w:hint="eastAsia"/>
                <w:color w:val="auto"/>
                <w:highlight w:val="none"/>
                <w:lang w:val="en-US" w:eastAsia="zh-CN"/>
              </w:rPr>
              <w:t>379</w:t>
            </w:r>
          </w:p>
        </w:tc>
      </w:tr>
      <w:tr w14:paraId="0770E2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5" w:hRule="atLeast"/>
          <w:jc w:val="center"/>
        </w:trPr>
        <w:tc>
          <w:tcPr>
            <w:tcW w:w="232" w:type="pct"/>
            <w:tcBorders>
              <w:tl2br w:val="nil"/>
              <w:tr2bl w:val="nil"/>
            </w:tcBorders>
            <w:vAlign w:val="center"/>
          </w:tcPr>
          <w:p w14:paraId="77B880B1">
            <w:pPr>
              <w:pStyle w:val="41"/>
              <w:rPr>
                <w:color w:val="auto"/>
                <w:highlight w:val="none"/>
              </w:rPr>
            </w:pPr>
            <w:r>
              <w:rPr>
                <w:color w:val="auto"/>
                <w:highlight w:val="none"/>
              </w:rPr>
              <w:t>4</w:t>
            </w:r>
          </w:p>
        </w:tc>
        <w:tc>
          <w:tcPr>
            <w:tcW w:w="1149" w:type="pct"/>
            <w:tcBorders>
              <w:tl2br w:val="nil"/>
              <w:tr2bl w:val="nil"/>
            </w:tcBorders>
            <w:vAlign w:val="center"/>
          </w:tcPr>
          <w:p w14:paraId="54BB0DCE">
            <w:pPr>
              <w:pStyle w:val="41"/>
              <w:rPr>
                <w:color w:val="auto"/>
                <w:highlight w:val="none"/>
              </w:rPr>
            </w:pPr>
            <w:r>
              <w:rPr>
                <w:color w:val="auto"/>
                <w:highlight w:val="none"/>
              </w:rPr>
              <w:t>1号振动筛分车间</w:t>
            </w:r>
          </w:p>
        </w:tc>
        <w:tc>
          <w:tcPr>
            <w:tcW w:w="401" w:type="pct"/>
            <w:tcBorders>
              <w:tl2br w:val="nil"/>
              <w:tr2bl w:val="nil"/>
            </w:tcBorders>
            <w:vAlign w:val="bottom"/>
          </w:tcPr>
          <w:p w14:paraId="4F870187">
            <w:pPr>
              <w:pStyle w:val="41"/>
              <w:rPr>
                <w:color w:val="auto"/>
                <w:highlight w:val="none"/>
              </w:rPr>
            </w:pPr>
            <w:r>
              <w:rPr>
                <w:color w:val="auto"/>
                <w:highlight w:val="none"/>
              </w:rPr>
              <w:t>15</w:t>
            </w:r>
          </w:p>
        </w:tc>
        <w:tc>
          <w:tcPr>
            <w:tcW w:w="405" w:type="pct"/>
            <w:tcBorders>
              <w:tl2br w:val="nil"/>
              <w:tr2bl w:val="nil"/>
            </w:tcBorders>
            <w:vAlign w:val="bottom"/>
          </w:tcPr>
          <w:p w14:paraId="715DD94A">
            <w:pPr>
              <w:pStyle w:val="41"/>
              <w:rPr>
                <w:color w:val="auto"/>
                <w:highlight w:val="none"/>
              </w:rPr>
            </w:pPr>
            <w:r>
              <w:rPr>
                <w:color w:val="auto"/>
                <w:highlight w:val="none"/>
              </w:rPr>
              <w:t>0.5</w:t>
            </w:r>
          </w:p>
        </w:tc>
        <w:tc>
          <w:tcPr>
            <w:tcW w:w="405" w:type="pct"/>
            <w:tcBorders>
              <w:tl2br w:val="nil"/>
              <w:tr2bl w:val="nil"/>
            </w:tcBorders>
            <w:vAlign w:val="bottom"/>
          </w:tcPr>
          <w:p w14:paraId="3D88C467">
            <w:pPr>
              <w:pStyle w:val="41"/>
              <w:rPr>
                <w:color w:val="auto"/>
                <w:highlight w:val="none"/>
              </w:rPr>
            </w:pPr>
            <w:r>
              <w:rPr>
                <w:color w:val="auto"/>
                <w:highlight w:val="none"/>
              </w:rPr>
              <w:t>20</w:t>
            </w:r>
          </w:p>
        </w:tc>
        <w:tc>
          <w:tcPr>
            <w:tcW w:w="1251" w:type="dxa"/>
            <w:tcBorders>
              <w:tl2br w:val="nil"/>
              <w:tr2bl w:val="nil"/>
            </w:tcBorders>
            <w:vAlign w:val="center"/>
          </w:tcPr>
          <w:p w14:paraId="63CF45EC">
            <w:pPr>
              <w:pStyle w:val="41"/>
              <w:rPr>
                <w:rFonts w:hint="default" w:eastAsia="华文中宋"/>
                <w:color w:val="auto"/>
                <w:highlight w:val="none"/>
                <w:lang w:val="en-US" w:eastAsia="zh-CN"/>
              </w:rPr>
            </w:pPr>
            <w:r>
              <w:rPr>
                <w:rFonts w:hint="eastAsia"/>
                <w:color w:val="auto"/>
                <w:highlight w:val="none"/>
                <w:lang w:val="en-US" w:eastAsia="zh-CN"/>
              </w:rPr>
              <w:t>53641.65</w:t>
            </w:r>
          </w:p>
        </w:tc>
        <w:tc>
          <w:tcPr>
            <w:tcW w:w="398" w:type="pct"/>
            <w:tcBorders>
              <w:tl2br w:val="nil"/>
              <w:tr2bl w:val="nil"/>
            </w:tcBorders>
            <w:vAlign w:val="center"/>
          </w:tcPr>
          <w:p w14:paraId="46C27520">
            <w:pPr>
              <w:pStyle w:val="41"/>
              <w:rPr>
                <w:color w:val="auto"/>
                <w:highlight w:val="none"/>
              </w:rPr>
            </w:pPr>
            <w:r>
              <w:rPr>
                <w:color w:val="auto"/>
                <w:highlight w:val="none"/>
              </w:rPr>
              <w:t>/</w:t>
            </w:r>
          </w:p>
        </w:tc>
        <w:tc>
          <w:tcPr>
            <w:tcW w:w="474" w:type="pct"/>
            <w:tcBorders>
              <w:tl2br w:val="nil"/>
              <w:tr2bl w:val="nil"/>
            </w:tcBorders>
            <w:vAlign w:val="center"/>
          </w:tcPr>
          <w:p w14:paraId="040B6367">
            <w:pPr>
              <w:pStyle w:val="41"/>
              <w:rPr>
                <w:color w:val="auto"/>
                <w:highlight w:val="none"/>
              </w:rPr>
            </w:pPr>
            <w:r>
              <w:rPr>
                <w:color w:val="auto"/>
                <w:highlight w:val="none"/>
              </w:rPr>
              <w:t>/</w:t>
            </w:r>
          </w:p>
        </w:tc>
        <w:tc>
          <w:tcPr>
            <w:tcW w:w="481" w:type="pct"/>
            <w:tcBorders>
              <w:tl2br w:val="nil"/>
              <w:tr2bl w:val="nil"/>
            </w:tcBorders>
            <w:vAlign w:val="center"/>
          </w:tcPr>
          <w:p w14:paraId="01F55C73">
            <w:pPr>
              <w:pStyle w:val="41"/>
              <w:rPr>
                <w:color w:val="auto"/>
                <w:highlight w:val="none"/>
              </w:rPr>
            </w:pPr>
            <w:r>
              <w:rPr>
                <w:color w:val="auto"/>
                <w:highlight w:val="none"/>
              </w:rPr>
              <w:t>/</w:t>
            </w:r>
          </w:p>
        </w:tc>
        <w:tc>
          <w:tcPr>
            <w:tcW w:w="1715" w:type="dxa"/>
            <w:tcBorders>
              <w:tl2br w:val="nil"/>
              <w:tr2bl w:val="nil"/>
            </w:tcBorders>
            <w:vAlign w:val="center"/>
          </w:tcPr>
          <w:p w14:paraId="533AAFF9">
            <w:pPr>
              <w:pStyle w:val="41"/>
              <w:rPr>
                <w:rFonts w:hint="default" w:eastAsia="华文中宋"/>
                <w:color w:val="auto"/>
                <w:highlight w:val="none"/>
                <w:lang w:val="en-US" w:eastAsia="zh-CN"/>
              </w:rPr>
            </w:pPr>
            <w:r>
              <w:rPr>
                <w:color w:val="auto"/>
                <w:highlight w:val="none"/>
              </w:rPr>
              <w:t>0.0</w:t>
            </w:r>
            <w:r>
              <w:rPr>
                <w:rFonts w:hint="eastAsia"/>
                <w:color w:val="auto"/>
                <w:highlight w:val="none"/>
                <w:lang w:val="en-US" w:eastAsia="zh-CN"/>
              </w:rPr>
              <w:t>379</w:t>
            </w:r>
          </w:p>
        </w:tc>
      </w:tr>
      <w:tr w14:paraId="67DC8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2" w:type="pct"/>
            <w:tcBorders>
              <w:tl2br w:val="nil"/>
              <w:tr2bl w:val="nil"/>
            </w:tcBorders>
            <w:vAlign w:val="center"/>
          </w:tcPr>
          <w:p w14:paraId="66AACDEA">
            <w:pPr>
              <w:pStyle w:val="41"/>
              <w:rPr>
                <w:color w:val="auto"/>
                <w:highlight w:val="none"/>
              </w:rPr>
            </w:pPr>
            <w:r>
              <w:rPr>
                <w:color w:val="auto"/>
                <w:highlight w:val="none"/>
              </w:rPr>
              <w:t>5</w:t>
            </w:r>
          </w:p>
        </w:tc>
        <w:tc>
          <w:tcPr>
            <w:tcW w:w="1149" w:type="pct"/>
            <w:tcBorders>
              <w:tl2br w:val="nil"/>
              <w:tr2bl w:val="nil"/>
            </w:tcBorders>
            <w:vAlign w:val="center"/>
          </w:tcPr>
          <w:p w14:paraId="68202AFF">
            <w:pPr>
              <w:pStyle w:val="41"/>
              <w:rPr>
                <w:color w:val="auto"/>
                <w:highlight w:val="none"/>
              </w:rPr>
            </w:pPr>
            <w:r>
              <w:rPr>
                <w:color w:val="auto"/>
                <w:highlight w:val="none"/>
              </w:rPr>
              <w:t>2号振动筛分车间</w:t>
            </w:r>
          </w:p>
        </w:tc>
        <w:tc>
          <w:tcPr>
            <w:tcW w:w="401" w:type="pct"/>
            <w:tcBorders>
              <w:tl2br w:val="nil"/>
              <w:tr2bl w:val="nil"/>
            </w:tcBorders>
            <w:vAlign w:val="bottom"/>
          </w:tcPr>
          <w:p w14:paraId="722ACBBC">
            <w:pPr>
              <w:pStyle w:val="41"/>
              <w:rPr>
                <w:color w:val="auto"/>
                <w:highlight w:val="none"/>
              </w:rPr>
            </w:pPr>
            <w:r>
              <w:rPr>
                <w:color w:val="auto"/>
                <w:highlight w:val="none"/>
              </w:rPr>
              <w:t>15</w:t>
            </w:r>
          </w:p>
        </w:tc>
        <w:tc>
          <w:tcPr>
            <w:tcW w:w="405" w:type="pct"/>
            <w:tcBorders>
              <w:tl2br w:val="nil"/>
              <w:tr2bl w:val="nil"/>
            </w:tcBorders>
            <w:vAlign w:val="bottom"/>
          </w:tcPr>
          <w:p w14:paraId="30D124C3">
            <w:pPr>
              <w:pStyle w:val="41"/>
              <w:rPr>
                <w:color w:val="auto"/>
                <w:highlight w:val="none"/>
              </w:rPr>
            </w:pPr>
            <w:r>
              <w:rPr>
                <w:color w:val="auto"/>
                <w:highlight w:val="none"/>
              </w:rPr>
              <w:t>0.5</w:t>
            </w:r>
          </w:p>
        </w:tc>
        <w:tc>
          <w:tcPr>
            <w:tcW w:w="405" w:type="pct"/>
            <w:tcBorders>
              <w:tl2br w:val="nil"/>
              <w:tr2bl w:val="nil"/>
            </w:tcBorders>
            <w:vAlign w:val="bottom"/>
          </w:tcPr>
          <w:p w14:paraId="5D3B9F40">
            <w:pPr>
              <w:pStyle w:val="41"/>
              <w:rPr>
                <w:color w:val="auto"/>
                <w:highlight w:val="none"/>
              </w:rPr>
            </w:pPr>
            <w:r>
              <w:rPr>
                <w:color w:val="auto"/>
                <w:highlight w:val="none"/>
              </w:rPr>
              <w:t>20</w:t>
            </w:r>
          </w:p>
        </w:tc>
        <w:tc>
          <w:tcPr>
            <w:tcW w:w="1251" w:type="dxa"/>
            <w:tcBorders>
              <w:tl2br w:val="nil"/>
              <w:tr2bl w:val="nil"/>
            </w:tcBorders>
            <w:vAlign w:val="center"/>
          </w:tcPr>
          <w:p w14:paraId="1C0CC2DC">
            <w:pPr>
              <w:pStyle w:val="41"/>
              <w:rPr>
                <w:rFonts w:hint="default" w:eastAsia="华文中宋"/>
                <w:color w:val="auto"/>
                <w:highlight w:val="none"/>
                <w:lang w:val="en-US" w:eastAsia="zh-CN"/>
              </w:rPr>
            </w:pPr>
            <w:r>
              <w:rPr>
                <w:rFonts w:hint="eastAsia"/>
                <w:color w:val="auto"/>
                <w:highlight w:val="none"/>
                <w:lang w:val="en-US" w:eastAsia="zh-CN"/>
              </w:rPr>
              <w:t>53641.65</w:t>
            </w:r>
          </w:p>
        </w:tc>
        <w:tc>
          <w:tcPr>
            <w:tcW w:w="398" w:type="pct"/>
            <w:tcBorders>
              <w:tl2br w:val="nil"/>
              <w:tr2bl w:val="nil"/>
            </w:tcBorders>
            <w:vAlign w:val="center"/>
          </w:tcPr>
          <w:p w14:paraId="4CB4DCE1">
            <w:pPr>
              <w:pStyle w:val="41"/>
              <w:rPr>
                <w:color w:val="auto"/>
                <w:highlight w:val="none"/>
              </w:rPr>
            </w:pPr>
            <w:r>
              <w:rPr>
                <w:color w:val="auto"/>
                <w:highlight w:val="none"/>
              </w:rPr>
              <w:t>/</w:t>
            </w:r>
          </w:p>
        </w:tc>
        <w:tc>
          <w:tcPr>
            <w:tcW w:w="474" w:type="pct"/>
            <w:tcBorders>
              <w:tl2br w:val="nil"/>
              <w:tr2bl w:val="nil"/>
            </w:tcBorders>
            <w:vAlign w:val="center"/>
          </w:tcPr>
          <w:p w14:paraId="1A6BF41A">
            <w:pPr>
              <w:pStyle w:val="41"/>
              <w:rPr>
                <w:color w:val="auto"/>
                <w:highlight w:val="none"/>
              </w:rPr>
            </w:pPr>
            <w:r>
              <w:rPr>
                <w:color w:val="auto"/>
                <w:highlight w:val="none"/>
              </w:rPr>
              <w:t>/</w:t>
            </w:r>
          </w:p>
        </w:tc>
        <w:tc>
          <w:tcPr>
            <w:tcW w:w="481" w:type="pct"/>
            <w:tcBorders>
              <w:tl2br w:val="nil"/>
              <w:tr2bl w:val="nil"/>
            </w:tcBorders>
            <w:vAlign w:val="center"/>
          </w:tcPr>
          <w:p w14:paraId="3DC13BE8">
            <w:pPr>
              <w:pStyle w:val="41"/>
              <w:rPr>
                <w:color w:val="auto"/>
                <w:highlight w:val="none"/>
              </w:rPr>
            </w:pPr>
            <w:r>
              <w:rPr>
                <w:color w:val="auto"/>
                <w:highlight w:val="none"/>
              </w:rPr>
              <w:t>/</w:t>
            </w:r>
          </w:p>
        </w:tc>
        <w:tc>
          <w:tcPr>
            <w:tcW w:w="1715" w:type="dxa"/>
            <w:tcBorders>
              <w:tl2br w:val="nil"/>
              <w:tr2bl w:val="nil"/>
            </w:tcBorders>
            <w:vAlign w:val="center"/>
          </w:tcPr>
          <w:p w14:paraId="08A3F251">
            <w:pPr>
              <w:pStyle w:val="41"/>
              <w:rPr>
                <w:rFonts w:hint="default" w:eastAsia="华文中宋"/>
                <w:color w:val="auto"/>
                <w:highlight w:val="none"/>
                <w:lang w:val="en-US" w:eastAsia="zh-CN"/>
              </w:rPr>
            </w:pPr>
            <w:r>
              <w:rPr>
                <w:color w:val="auto"/>
                <w:highlight w:val="none"/>
              </w:rPr>
              <w:t>0.0</w:t>
            </w:r>
            <w:r>
              <w:rPr>
                <w:rFonts w:hint="eastAsia"/>
                <w:color w:val="auto"/>
                <w:highlight w:val="none"/>
                <w:lang w:val="en-US" w:eastAsia="zh-CN"/>
              </w:rPr>
              <w:t>379</w:t>
            </w:r>
          </w:p>
        </w:tc>
      </w:tr>
      <w:tr w14:paraId="58362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2" w:type="pct"/>
            <w:tcBorders>
              <w:tl2br w:val="nil"/>
              <w:tr2bl w:val="nil"/>
            </w:tcBorders>
            <w:vAlign w:val="center"/>
          </w:tcPr>
          <w:p w14:paraId="44193884">
            <w:pPr>
              <w:pStyle w:val="41"/>
              <w:rPr>
                <w:color w:val="auto"/>
                <w:highlight w:val="none"/>
              </w:rPr>
            </w:pPr>
            <w:r>
              <w:rPr>
                <w:color w:val="auto"/>
                <w:highlight w:val="none"/>
              </w:rPr>
              <w:t>6</w:t>
            </w:r>
          </w:p>
        </w:tc>
        <w:tc>
          <w:tcPr>
            <w:tcW w:w="1149" w:type="pct"/>
            <w:tcBorders>
              <w:tl2br w:val="nil"/>
              <w:tr2bl w:val="nil"/>
            </w:tcBorders>
            <w:vAlign w:val="center"/>
          </w:tcPr>
          <w:p w14:paraId="4BE46238">
            <w:pPr>
              <w:pStyle w:val="41"/>
              <w:rPr>
                <w:color w:val="auto"/>
                <w:highlight w:val="none"/>
              </w:rPr>
            </w:pPr>
            <w:r>
              <w:rPr>
                <w:color w:val="auto"/>
                <w:highlight w:val="none"/>
              </w:rPr>
              <w:t>3号振动筛分车间</w:t>
            </w:r>
          </w:p>
        </w:tc>
        <w:tc>
          <w:tcPr>
            <w:tcW w:w="401" w:type="pct"/>
            <w:tcBorders>
              <w:tl2br w:val="nil"/>
              <w:tr2bl w:val="nil"/>
            </w:tcBorders>
            <w:vAlign w:val="bottom"/>
          </w:tcPr>
          <w:p w14:paraId="29EE562C">
            <w:pPr>
              <w:pStyle w:val="41"/>
              <w:rPr>
                <w:color w:val="auto"/>
                <w:highlight w:val="none"/>
              </w:rPr>
            </w:pPr>
            <w:r>
              <w:rPr>
                <w:color w:val="auto"/>
                <w:highlight w:val="none"/>
              </w:rPr>
              <w:t>15</w:t>
            </w:r>
          </w:p>
        </w:tc>
        <w:tc>
          <w:tcPr>
            <w:tcW w:w="405" w:type="pct"/>
            <w:tcBorders>
              <w:tl2br w:val="nil"/>
              <w:tr2bl w:val="nil"/>
            </w:tcBorders>
            <w:vAlign w:val="bottom"/>
          </w:tcPr>
          <w:p w14:paraId="4A50AA3D">
            <w:pPr>
              <w:pStyle w:val="41"/>
              <w:rPr>
                <w:color w:val="auto"/>
                <w:highlight w:val="none"/>
              </w:rPr>
            </w:pPr>
            <w:r>
              <w:rPr>
                <w:color w:val="auto"/>
                <w:highlight w:val="none"/>
              </w:rPr>
              <w:t>0.5</w:t>
            </w:r>
          </w:p>
        </w:tc>
        <w:tc>
          <w:tcPr>
            <w:tcW w:w="405" w:type="pct"/>
            <w:tcBorders>
              <w:tl2br w:val="nil"/>
              <w:tr2bl w:val="nil"/>
            </w:tcBorders>
            <w:vAlign w:val="bottom"/>
          </w:tcPr>
          <w:p w14:paraId="2A3F2B92">
            <w:pPr>
              <w:pStyle w:val="41"/>
              <w:rPr>
                <w:color w:val="auto"/>
                <w:highlight w:val="none"/>
              </w:rPr>
            </w:pPr>
            <w:r>
              <w:rPr>
                <w:color w:val="auto"/>
                <w:highlight w:val="none"/>
              </w:rPr>
              <w:t>20</w:t>
            </w:r>
          </w:p>
        </w:tc>
        <w:tc>
          <w:tcPr>
            <w:tcW w:w="1251" w:type="dxa"/>
            <w:tcBorders>
              <w:tl2br w:val="nil"/>
              <w:tr2bl w:val="nil"/>
            </w:tcBorders>
            <w:vAlign w:val="center"/>
          </w:tcPr>
          <w:p w14:paraId="1E7983A5">
            <w:pPr>
              <w:pStyle w:val="41"/>
              <w:rPr>
                <w:rFonts w:hint="default" w:eastAsia="华文中宋"/>
                <w:color w:val="auto"/>
                <w:highlight w:val="none"/>
                <w:lang w:val="en-US" w:eastAsia="zh-CN"/>
              </w:rPr>
            </w:pPr>
            <w:r>
              <w:rPr>
                <w:rFonts w:hint="eastAsia"/>
                <w:color w:val="auto"/>
                <w:highlight w:val="none"/>
                <w:lang w:val="en-US" w:eastAsia="zh-CN"/>
              </w:rPr>
              <w:t>53641.65</w:t>
            </w:r>
          </w:p>
        </w:tc>
        <w:tc>
          <w:tcPr>
            <w:tcW w:w="398" w:type="pct"/>
            <w:tcBorders>
              <w:tl2br w:val="nil"/>
              <w:tr2bl w:val="nil"/>
            </w:tcBorders>
            <w:vAlign w:val="center"/>
          </w:tcPr>
          <w:p w14:paraId="12CA7C27">
            <w:pPr>
              <w:pStyle w:val="41"/>
              <w:rPr>
                <w:color w:val="auto"/>
                <w:highlight w:val="none"/>
              </w:rPr>
            </w:pPr>
            <w:r>
              <w:rPr>
                <w:color w:val="auto"/>
                <w:highlight w:val="none"/>
              </w:rPr>
              <w:t>/</w:t>
            </w:r>
          </w:p>
        </w:tc>
        <w:tc>
          <w:tcPr>
            <w:tcW w:w="474" w:type="pct"/>
            <w:tcBorders>
              <w:tl2br w:val="nil"/>
              <w:tr2bl w:val="nil"/>
            </w:tcBorders>
            <w:vAlign w:val="center"/>
          </w:tcPr>
          <w:p w14:paraId="3B1205E0">
            <w:pPr>
              <w:pStyle w:val="41"/>
              <w:rPr>
                <w:color w:val="auto"/>
                <w:highlight w:val="none"/>
              </w:rPr>
            </w:pPr>
            <w:r>
              <w:rPr>
                <w:color w:val="auto"/>
                <w:highlight w:val="none"/>
              </w:rPr>
              <w:t>/</w:t>
            </w:r>
          </w:p>
        </w:tc>
        <w:tc>
          <w:tcPr>
            <w:tcW w:w="481" w:type="pct"/>
            <w:tcBorders>
              <w:tl2br w:val="nil"/>
              <w:tr2bl w:val="nil"/>
            </w:tcBorders>
            <w:vAlign w:val="center"/>
          </w:tcPr>
          <w:p w14:paraId="3C53B5B9">
            <w:pPr>
              <w:pStyle w:val="41"/>
              <w:rPr>
                <w:color w:val="auto"/>
                <w:highlight w:val="none"/>
              </w:rPr>
            </w:pPr>
            <w:r>
              <w:rPr>
                <w:color w:val="auto"/>
                <w:highlight w:val="none"/>
              </w:rPr>
              <w:t>/</w:t>
            </w:r>
          </w:p>
        </w:tc>
        <w:tc>
          <w:tcPr>
            <w:tcW w:w="1715" w:type="dxa"/>
            <w:tcBorders>
              <w:tl2br w:val="nil"/>
              <w:tr2bl w:val="nil"/>
            </w:tcBorders>
            <w:vAlign w:val="center"/>
          </w:tcPr>
          <w:p w14:paraId="4CEB13B0">
            <w:pPr>
              <w:pStyle w:val="41"/>
              <w:rPr>
                <w:rFonts w:hint="default" w:eastAsia="华文中宋"/>
                <w:color w:val="auto"/>
                <w:highlight w:val="none"/>
                <w:lang w:val="en-US" w:eastAsia="zh-CN"/>
              </w:rPr>
            </w:pPr>
            <w:r>
              <w:rPr>
                <w:color w:val="auto"/>
                <w:highlight w:val="none"/>
              </w:rPr>
              <w:t>0.0</w:t>
            </w:r>
            <w:r>
              <w:rPr>
                <w:rFonts w:hint="eastAsia"/>
                <w:color w:val="auto"/>
                <w:highlight w:val="none"/>
                <w:lang w:val="en-US" w:eastAsia="zh-CN"/>
              </w:rPr>
              <w:t>379</w:t>
            </w:r>
          </w:p>
        </w:tc>
      </w:tr>
      <w:tr w14:paraId="56F1A0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2" w:type="pct"/>
            <w:tcBorders>
              <w:tl2br w:val="nil"/>
              <w:tr2bl w:val="nil"/>
            </w:tcBorders>
            <w:vAlign w:val="center"/>
          </w:tcPr>
          <w:p w14:paraId="395D52A7">
            <w:pPr>
              <w:pStyle w:val="41"/>
              <w:rPr>
                <w:color w:val="auto"/>
                <w:highlight w:val="none"/>
              </w:rPr>
            </w:pPr>
            <w:r>
              <w:rPr>
                <w:color w:val="auto"/>
                <w:highlight w:val="none"/>
              </w:rPr>
              <w:t>7</w:t>
            </w:r>
          </w:p>
        </w:tc>
        <w:tc>
          <w:tcPr>
            <w:tcW w:w="1149" w:type="pct"/>
            <w:tcBorders>
              <w:tl2br w:val="nil"/>
              <w:tr2bl w:val="nil"/>
            </w:tcBorders>
            <w:vAlign w:val="center"/>
          </w:tcPr>
          <w:p w14:paraId="1F38DF46">
            <w:pPr>
              <w:pStyle w:val="41"/>
              <w:rPr>
                <w:color w:val="auto"/>
                <w:highlight w:val="none"/>
              </w:rPr>
            </w:pPr>
            <w:r>
              <w:rPr>
                <w:color w:val="auto"/>
                <w:highlight w:val="none"/>
              </w:rPr>
              <w:t>干抛磁选车间</w:t>
            </w:r>
          </w:p>
        </w:tc>
        <w:tc>
          <w:tcPr>
            <w:tcW w:w="401" w:type="pct"/>
            <w:tcBorders>
              <w:tl2br w:val="nil"/>
              <w:tr2bl w:val="nil"/>
            </w:tcBorders>
            <w:vAlign w:val="bottom"/>
          </w:tcPr>
          <w:p w14:paraId="4F28B5F4">
            <w:pPr>
              <w:pStyle w:val="41"/>
              <w:rPr>
                <w:color w:val="auto"/>
                <w:highlight w:val="none"/>
              </w:rPr>
            </w:pPr>
            <w:r>
              <w:rPr>
                <w:color w:val="auto"/>
                <w:highlight w:val="none"/>
              </w:rPr>
              <w:t>20</w:t>
            </w:r>
          </w:p>
        </w:tc>
        <w:tc>
          <w:tcPr>
            <w:tcW w:w="405" w:type="pct"/>
            <w:tcBorders>
              <w:tl2br w:val="nil"/>
              <w:tr2bl w:val="nil"/>
            </w:tcBorders>
            <w:vAlign w:val="bottom"/>
          </w:tcPr>
          <w:p w14:paraId="6CEB5317">
            <w:pPr>
              <w:pStyle w:val="41"/>
              <w:rPr>
                <w:color w:val="auto"/>
                <w:highlight w:val="none"/>
              </w:rPr>
            </w:pPr>
            <w:r>
              <w:rPr>
                <w:color w:val="auto"/>
                <w:highlight w:val="none"/>
              </w:rPr>
              <w:t>2.0</w:t>
            </w:r>
          </w:p>
        </w:tc>
        <w:tc>
          <w:tcPr>
            <w:tcW w:w="405" w:type="pct"/>
            <w:tcBorders>
              <w:tl2br w:val="nil"/>
              <w:tr2bl w:val="nil"/>
            </w:tcBorders>
            <w:vAlign w:val="bottom"/>
          </w:tcPr>
          <w:p w14:paraId="043D46E0">
            <w:pPr>
              <w:pStyle w:val="41"/>
              <w:rPr>
                <w:color w:val="auto"/>
                <w:highlight w:val="none"/>
              </w:rPr>
            </w:pPr>
            <w:r>
              <w:rPr>
                <w:color w:val="auto"/>
                <w:highlight w:val="none"/>
              </w:rPr>
              <w:t>20</w:t>
            </w:r>
          </w:p>
        </w:tc>
        <w:tc>
          <w:tcPr>
            <w:tcW w:w="1251" w:type="dxa"/>
            <w:tcBorders>
              <w:tl2br w:val="nil"/>
              <w:tr2bl w:val="nil"/>
            </w:tcBorders>
            <w:vAlign w:val="center"/>
          </w:tcPr>
          <w:p w14:paraId="255A6958">
            <w:pPr>
              <w:pStyle w:val="41"/>
              <w:rPr>
                <w:color w:val="auto"/>
                <w:highlight w:val="none"/>
              </w:rPr>
            </w:pPr>
            <w:r>
              <w:rPr>
                <w:color w:val="auto"/>
                <w:highlight w:val="none"/>
              </w:rPr>
              <w:t>84990.69</w:t>
            </w:r>
          </w:p>
        </w:tc>
        <w:tc>
          <w:tcPr>
            <w:tcW w:w="398" w:type="pct"/>
            <w:tcBorders>
              <w:tl2br w:val="nil"/>
              <w:tr2bl w:val="nil"/>
            </w:tcBorders>
            <w:vAlign w:val="center"/>
          </w:tcPr>
          <w:p w14:paraId="4DDB0DCC">
            <w:pPr>
              <w:pStyle w:val="41"/>
              <w:rPr>
                <w:color w:val="auto"/>
                <w:highlight w:val="none"/>
              </w:rPr>
            </w:pPr>
            <w:r>
              <w:rPr>
                <w:color w:val="auto"/>
                <w:highlight w:val="none"/>
              </w:rPr>
              <w:t>/</w:t>
            </w:r>
          </w:p>
        </w:tc>
        <w:tc>
          <w:tcPr>
            <w:tcW w:w="474" w:type="pct"/>
            <w:tcBorders>
              <w:tl2br w:val="nil"/>
              <w:tr2bl w:val="nil"/>
            </w:tcBorders>
            <w:vAlign w:val="center"/>
          </w:tcPr>
          <w:p w14:paraId="2D950835">
            <w:pPr>
              <w:pStyle w:val="41"/>
              <w:rPr>
                <w:color w:val="auto"/>
                <w:highlight w:val="none"/>
              </w:rPr>
            </w:pPr>
            <w:r>
              <w:rPr>
                <w:color w:val="auto"/>
                <w:highlight w:val="none"/>
              </w:rPr>
              <w:t>/</w:t>
            </w:r>
          </w:p>
        </w:tc>
        <w:tc>
          <w:tcPr>
            <w:tcW w:w="481" w:type="pct"/>
            <w:tcBorders>
              <w:tl2br w:val="nil"/>
              <w:tr2bl w:val="nil"/>
            </w:tcBorders>
            <w:vAlign w:val="center"/>
          </w:tcPr>
          <w:p w14:paraId="40201660">
            <w:pPr>
              <w:pStyle w:val="41"/>
              <w:rPr>
                <w:color w:val="auto"/>
                <w:highlight w:val="none"/>
              </w:rPr>
            </w:pPr>
            <w:r>
              <w:rPr>
                <w:color w:val="auto"/>
                <w:highlight w:val="none"/>
              </w:rPr>
              <w:t>/</w:t>
            </w:r>
          </w:p>
        </w:tc>
        <w:tc>
          <w:tcPr>
            <w:tcW w:w="1715" w:type="dxa"/>
            <w:tcBorders>
              <w:tl2br w:val="nil"/>
              <w:tr2bl w:val="nil"/>
            </w:tcBorders>
            <w:vAlign w:val="center"/>
          </w:tcPr>
          <w:p w14:paraId="6E395A95">
            <w:pPr>
              <w:pStyle w:val="41"/>
              <w:rPr>
                <w:color w:val="auto"/>
                <w:highlight w:val="none"/>
              </w:rPr>
            </w:pPr>
            <w:r>
              <w:rPr>
                <w:color w:val="auto"/>
                <w:highlight w:val="none"/>
              </w:rPr>
              <w:t>0.098</w:t>
            </w:r>
          </w:p>
        </w:tc>
      </w:tr>
      <w:tr w14:paraId="5658C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2" w:type="pct"/>
            <w:tcBorders>
              <w:tl2br w:val="nil"/>
              <w:tr2bl w:val="nil"/>
            </w:tcBorders>
            <w:vAlign w:val="center"/>
          </w:tcPr>
          <w:p w14:paraId="10CA2D01">
            <w:pPr>
              <w:pStyle w:val="41"/>
              <w:rPr>
                <w:color w:val="auto"/>
                <w:highlight w:val="none"/>
              </w:rPr>
            </w:pPr>
            <w:r>
              <w:rPr>
                <w:color w:val="auto"/>
                <w:highlight w:val="none"/>
              </w:rPr>
              <w:t>8</w:t>
            </w:r>
          </w:p>
        </w:tc>
        <w:tc>
          <w:tcPr>
            <w:tcW w:w="1149" w:type="pct"/>
            <w:tcBorders>
              <w:tl2br w:val="nil"/>
              <w:tr2bl w:val="nil"/>
            </w:tcBorders>
            <w:vAlign w:val="center"/>
          </w:tcPr>
          <w:p w14:paraId="3EF431E7">
            <w:pPr>
              <w:pStyle w:val="41"/>
              <w:rPr>
                <w:color w:val="auto"/>
                <w:highlight w:val="none"/>
              </w:rPr>
            </w:pPr>
            <w:r>
              <w:rPr>
                <w:rFonts w:hint="eastAsia"/>
                <w:color w:val="auto"/>
                <w:highlight w:val="none"/>
              </w:rPr>
              <w:t>生物质炉窑</w:t>
            </w:r>
          </w:p>
        </w:tc>
        <w:tc>
          <w:tcPr>
            <w:tcW w:w="401" w:type="pct"/>
            <w:tcBorders>
              <w:tl2br w:val="nil"/>
              <w:tr2bl w:val="nil"/>
            </w:tcBorders>
            <w:vAlign w:val="bottom"/>
          </w:tcPr>
          <w:p w14:paraId="7C17137D">
            <w:pPr>
              <w:pStyle w:val="41"/>
              <w:rPr>
                <w:color w:val="auto"/>
                <w:highlight w:val="none"/>
              </w:rPr>
            </w:pPr>
            <w:r>
              <w:rPr>
                <w:color w:val="auto"/>
                <w:highlight w:val="none"/>
              </w:rPr>
              <w:t>40</w:t>
            </w:r>
          </w:p>
        </w:tc>
        <w:tc>
          <w:tcPr>
            <w:tcW w:w="405" w:type="pct"/>
            <w:tcBorders>
              <w:tl2br w:val="nil"/>
              <w:tr2bl w:val="nil"/>
            </w:tcBorders>
            <w:vAlign w:val="bottom"/>
          </w:tcPr>
          <w:p w14:paraId="28AF9A9C">
            <w:pPr>
              <w:pStyle w:val="41"/>
              <w:rPr>
                <w:color w:val="auto"/>
                <w:highlight w:val="none"/>
              </w:rPr>
            </w:pPr>
            <w:r>
              <w:rPr>
                <w:color w:val="auto"/>
                <w:highlight w:val="none"/>
              </w:rPr>
              <w:t>0.5</w:t>
            </w:r>
          </w:p>
        </w:tc>
        <w:tc>
          <w:tcPr>
            <w:tcW w:w="405" w:type="pct"/>
            <w:tcBorders>
              <w:tl2br w:val="nil"/>
              <w:tr2bl w:val="nil"/>
            </w:tcBorders>
            <w:vAlign w:val="bottom"/>
          </w:tcPr>
          <w:p w14:paraId="49BA786A">
            <w:pPr>
              <w:pStyle w:val="41"/>
              <w:rPr>
                <w:color w:val="auto"/>
                <w:highlight w:val="none"/>
              </w:rPr>
            </w:pPr>
            <w:r>
              <w:rPr>
                <w:color w:val="auto"/>
                <w:highlight w:val="none"/>
              </w:rPr>
              <w:t>25</w:t>
            </w:r>
          </w:p>
        </w:tc>
        <w:tc>
          <w:tcPr>
            <w:tcW w:w="1251" w:type="dxa"/>
            <w:tcBorders>
              <w:tl2br w:val="nil"/>
              <w:tr2bl w:val="nil"/>
            </w:tcBorders>
            <w:vAlign w:val="center"/>
          </w:tcPr>
          <w:p w14:paraId="136E86E6">
            <w:pPr>
              <w:pStyle w:val="41"/>
              <w:rPr>
                <w:color w:val="auto"/>
                <w:highlight w:val="none"/>
              </w:rPr>
            </w:pPr>
            <w:r>
              <w:rPr>
                <w:color w:val="auto"/>
                <w:highlight w:val="none"/>
              </w:rPr>
              <w:t>1684.8</w:t>
            </w:r>
          </w:p>
        </w:tc>
        <w:tc>
          <w:tcPr>
            <w:tcW w:w="398" w:type="pct"/>
            <w:tcBorders>
              <w:tl2br w:val="nil"/>
              <w:tr2bl w:val="nil"/>
            </w:tcBorders>
            <w:vAlign w:val="center"/>
          </w:tcPr>
          <w:p w14:paraId="19995D05">
            <w:pPr>
              <w:pStyle w:val="41"/>
              <w:rPr>
                <w:color w:val="auto"/>
                <w:highlight w:val="none"/>
              </w:rPr>
            </w:pPr>
            <w:r>
              <w:rPr>
                <w:color w:val="auto"/>
                <w:highlight w:val="none"/>
              </w:rPr>
              <w:t>0.1275</w:t>
            </w:r>
          </w:p>
        </w:tc>
        <w:tc>
          <w:tcPr>
            <w:tcW w:w="474" w:type="pct"/>
            <w:tcBorders>
              <w:tl2br w:val="nil"/>
              <w:tr2bl w:val="nil"/>
            </w:tcBorders>
            <w:vAlign w:val="center"/>
          </w:tcPr>
          <w:p w14:paraId="5BE59BEA">
            <w:pPr>
              <w:pStyle w:val="41"/>
              <w:rPr>
                <w:color w:val="auto"/>
                <w:highlight w:val="none"/>
              </w:rPr>
            </w:pPr>
            <w:r>
              <w:rPr>
                <w:color w:val="auto"/>
                <w:highlight w:val="none"/>
              </w:rPr>
              <w:t>0.3825</w:t>
            </w:r>
          </w:p>
        </w:tc>
        <w:tc>
          <w:tcPr>
            <w:tcW w:w="481" w:type="pct"/>
            <w:tcBorders>
              <w:tl2br w:val="nil"/>
              <w:tr2bl w:val="nil"/>
            </w:tcBorders>
            <w:vAlign w:val="center"/>
          </w:tcPr>
          <w:p w14:paraId="05D8AA8B">
            <w:pPr>
              <w:pStyle w:val="41"/>
              <w:rPr>
                <w:color w:val="auto"/>
                <w:highlight w:val="none"/>
              </w:rPr>
            </w:pPr>
            <w:r>
              <w:rPr>
                <w:color w:val="auto"/>
                <w:highlight w:val="none"/>
              </w:rPr>
              <w:t>/</w:t>
            </w:r>
          </w:p>
        </w:tc>
        <w:tc>
          <w:tcPr>
            <w:tcW w:w="606" w:type="pct"/>
            <w:tcBorders>
              <w:tl2br w:val="nil"/>
              <w:tr2bl w:val="nil"/>
            </w:tcBorders>
            <w:vAlign w:val="center"/>
          </w:tcPr>
          <w:p w14:paraId="4E201D7A">
            <w:pPr>
              <w:pStyle w:val="41"/>
              <w:rPr>
                <w:color w:val="auto"/>
                <w:highlight w:val="none"/>
              </w:rPr>
            </w:pPr>
            <w:r>
              <w:rPr>
                <w:color w:val="auto"/>
                <w:highlight w:val="none"/>
              </w:rPr>
              <w:t>0.001875</w:t>
            </w:r>
          </w:p>
        </w:tc>
      </w:tr>
      <w:tr w14:paraId="306080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00" w:type="pct"/>
            <w:gridSpan w:val="10"/>
            <w:tcBorders>
              <w:tl2br w:val="nil"/>
              <w:tr2bl w:val="nil"/>
            </w:tcBorders>
            <w:vAlign w:val="center"/>
          </w:tcPr>
          <w:p w14:paraId="5EF8F52D">
            <w:pPr>
              <w:pStyle w:val="41"/>
              <w:rPr>
                <w:color w:val="auto"/>
                <w:highlight w:val="none"/>
              </w:rPr>
            </w:pPr>
            <w:r>
              <w:rPr>
                <w:color w:val="auto"/>
                <w:highlight w:val="none"/>
              </w:rPr>
              <w:t>注：①锅炉供热废气，每小时排放量按照采暖季数据。</w:t>
            </w:r>
          </w:p>
        </w:tc>
      </w:tr>
    </w:tbl>
    <w:p w14:paraId="1510FBA5">
      <w:pPr>
        <w:pStyle w:val="40"/>
        <w:spacing w:before="31" w:after="31"/>
        <w:rPr>
          <w:color w:val="auto"/>
          <w:highlight w:val="none"/>
        </w:rPr>
      </w:pPr>
      <w:bookmarkStart w:id="370" w:name="_Ref104495872"/>
      <w:r>
        <w:rPr>
          <w:color w:val="auto"/>
          <w:highlight w:val="none"/>
        </w:rPr>
        <w:t>表</w:t>
      </w:r>
      <w:bookmarkEnd w:id="370"/>
      <w:r>
        <w:rPr>
          <w:color w:val="auto"/>
          <w:highlight w:val="none"/>
        </w:rPr>
        <w:t>5.2-8     本项目无组织废气污染源参数表</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1181"/>
        <w:gridCol w:w="2286"/>
        <w:gridCol w:w="1724"/>
        <w:gridCol w:w="2163"/>
        <w:gridCol w:w="2168"/>
        <w:gridCol w:w="4460"/>
      </w:tblGrid>
      <w:tr w14:paraId="60FBF4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422" w:type="pct"/>
            <w:vMerge w:val="restart"/>
            <w:tcBorders>
              <w:tl2br w:val="nil"/>
              <w:tr2bl w:val="nil"/>
            </w:tcBorders>
            <w:vAlign w:val="center"/>
          </w:tcPr>
          <w:p w14:paraId="4792AA5B">
            <w:pPr>
              <w:pStyle w:val="41"/>
              <w:rPr>
                <w:color w:val="auto"/>
                <w:highlight w:val="none"/>
              </w:rPr>
            </w:pPr>
            <w:r>
              <w:rPr>
                <w:color w:val="auto"/>
                <w:highlight w:val="none"/>
              </w:rPr>
              <w:t>序号</w:t>
            </w:r>
          </w:p>
        </w:tc>
        <w:tc>
          <w:tcPr>
            <w:tcW w:w="817" w:type="pct"/>
            <w:vMerge w:val="restart"/>
            <w:tcBorders>
              <w:tl2br w:val="nil"/>
              <w:tr2bl w:val="nil"/>
            </w:tcBorders>
            <w:vAlign w:val="center"/>
          </w:tcPr>
          <w:p w14:paraId="609E2E7D">
            <w:pPr>
              <w:pStyle w:val="41"/>
              <w:rPr>
                <w:color w:val="auto"/>
                <w:highlight w:val="none"/>
              </w:rPr>
            </w:pPr>
            <w:r>
              <w:rPr>
                <w:color w:val="auto"/>
                <w:highlight w:val="none"/>
              </w:rPr>
              <w:t>排放源</w:t>
            </w:r>
          </w:p>
        </w:tc>
        <w:tc>
          <w:tcPr>
            <w:tcW w:w="616" w:type="pct"/>
            <w:vMerge w:val="restart"/>
            <w:tcBorders>
              <w:tl2br w:val="nil"/>
              <w:tr2bl w:val="nil"/>
            </w:tcBorders>
            <w:vAlign w:val="center"/>
          </w:tcPr>
          <w:p w14:paraId="2F6A4B8D">
            <w:pPr>
              <w:pStyle w:val="41"/>
              <w:rPr>
                <w:color w:val="auto"/>
                <w:highlight w:val="none"/>
              </w:rPr>
            </w:pPr>
            <w:r>
              <w:rPr>
                <w:color w:val="auto"/>
                <w:highlight w:val="none"/>
              </w:rPr>
              <w:t>污染物</w:t>
            </w:r>
          </w:p>
        </w:tc>
        <w:tc>
          <w:tcPr>
            <w:tcW w:w="1548" w:type="pct"/>
            <w:gridSpan w:val="2"/>
            <w:tcBorders>
              <w:tl2br w:val="nil"/>
              <w:tr2bl w:val="nil"/>
            </w:tcBorders>
            <w:vAlign w:val="center"/>
          </w:tcPr>
          <w:p w14:paraId="1BE12768">
            <w:pPr>
              <w:pStyle w:val="41"/>
              <w:rPr>
                <w:color w:val="auto"/>
                <w:highlight w:val="none"/>
              </w:rPr>
            </w:pPr>
            <w:r>
              <w:rPr>
                <w:color w:val="auto"/>
                <w:highlight w:val="none"/>
              </w:rPr>
              <w:t>面源参数</w:t>
            </w:r>
          </w:p>
        </w:tc>
        <w:tc>
          <w:tcPr>
            <w:tcW w:w="1594" w:type="pct"/>
            <w:vMerge w:val="restart"/>
            <w:tcBorders>
              <w:tl2br w:val="nil"/>
              <w:tr2bl w:val="nil"/>
            </w:tcBorders>
            <w:vAlign w:val="center"/>
          </w:tcPr>
          <w:p w14:paraId="27B189B0">
            <w:pPr>
              <w:pStyle w:val="41"/>
              <w:rPr>
                <w:color w:val="auto"/>
                <w:highlight w:val="none"/>
              </w:rPr>
            </w:pPr>
            <w:r>
              <w:rPr>
                <w:color w:val="auto"/>
                <w:highlight w:val="none"/>
              </w:rPr>
              <w:t>排放速率（kg/h）</w:t>
            </w:r>
          </w:p>
        </w:tc>
      </w:tr>
      <w:tr w14:paraId="3F774C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422" w:type="pct"/>
            <w:vMerge w:val="continue"/>
            <w:tcBorders>
              <w:tl2br w:val="nil"/>
              <w:tr2bl w:val="nil"/>
            </w:tcBorders>
            <w:vAlign w:val="center"/>
          </w:tcPr>
          <w:p w14:paraId="3CE5DB6D">
            <w:pPr>
              <w:pStyle w:val="41"/>
              <w:rPr>
                <w:color w:val="auto"/>
                <w:highlight w:val="none"/>
              </w:rPr>
            </w:pPr>
          </w:p>
        </w:tc>
        <w:tc>
          <w:tcPr>
            <w:tcW w:w="817" w:type="pct"/>
            <w:vMerge w:val="continue"/>
            <w:tcBorders>
              <w:tl2br w:val="nil"/>
              <w:tr2bl w:val="nil"/>
            </w:tcBorders>
            <w:vAlign w:val="center"/>
          </w:tcPr>
          <w:p w14:paraId="591FAAE1">
            <w:pPr>
              <w:pStyle w:val="41"/>
              <w:rPr>
                <w:color w:val="auto"/>
                <w:highlight w:val="none"/>
              </w:rPr>
            </w:pPr>
          </w:p>
        </w:tc>
        <w:tc>
          <w:tcPr>
            <w:tcW w:w="616" w:type="pct"/>
            <w:vMerge w:val="continue"/>
            <w:tcBorders>
              <w:tl2br w:val="nil"/>
              <w:tr2bl w:val="nil"/>
            </w:tcBorders>
            <w:vAlign w:val="center"/>
          </w:tcPr>
          <w:p w14:paraId="2EEB621D">
            <w:pPr>
              <w:pStyle w:val="41"/>
              <w:rPr>
                <w:color w:val="auto"/>
                <w:highlight w:val="none"/>
              </w:rPr>
            </w:pPr>
          </w:p>
        </w:tc>
        <w:tc>
          <w:tcPr>
            <w:tcW w:w="773" w:type="pct"/>
            <w:tcBorders>
              <w:tl2br w:val="nil"/>
              <w:tr2bl w:val="nil"/>
            </w:tcBorders>
            <w:vAlign w:val="center"/>
          </w:tcPr>
          <w:p w14:paraId="171FCD5A">
            <w:pPr>
              <w:pStyle w:val="41"/>
              <w:rPr>
                <w:color w:val="auto"/>
                <w:highlight w:val="none"/>
              </w:rPr>
            </w:pPr>
            <w:r>
              <w:rPr>
                <w:color w:val="auto"/>
                <w:highlight w:val="none"/>
              </w:rPr>
              <w:t>长（m）</w:t>
            </w:r>
          </w:p>
        </w:tc>
        <w:tc>
          <w:tcPr>
            <w:tcW w:w="774" w:type="pct"/>
            <w:tcBorders>
              <w:tl2br w:val="nil"/>
              <w:tr2bl w:val="nil"/>
            </w:tcBorders>
            <w:vAlign w:val="center"/>
          </w:tcPr>
          <w:p w14:paraId="3A15AEDE">
            <w:pPr>
              <w:pStyle w:val="41"/>
              <w:rPr>
                <w:color w:val="auto"/>
                <w:highlight w:val="none"/>
              </w:rPr>
            </w:pPr>
            <w:r>
              <w:rPr>
                <w:color w:val="auto"/>
                <w:highlight w:val="none"/>
              </w:rPr>
              <w:t>宽（m）</w:t>
            </w:r>
          </w:p>
        </w:tc>
        <w:tc>
          <w:tcPr>
            <w:tcW w:w="1594" w:type="pct"/>
            <w:vMerge w:val="continue"/>
            <w:tcBorders>
              <w:tl2br w:val="nil"/>
              <w:tr2bl w:val="nil"/>
            </w:tcBorders>
            <w:vAlign w:val="center"/>
          </w:tcPr>
          <w:p w14:paraId="6CE244D3">
            <w:pPr>
              <w:pStyle w:val="41"/>
              <w:rPr>
                <w:color w:val="auto"/>
                <w:highlight w:val="none"/>
              </w:rPr>
            </w:pPr>
          </w:p>
        </w:tc>
      </w:tr>
      <w:tr w14:paraId="64ADC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422" w:type="pct"/>
            <w:tcBorders>
              <w:tl2br w:val="nil"/>
              <w:tr2bl w:val="nil"/>
            </w:tcBorders>
            <w:vAlign w:val="center"/>
          </w:tcPr>
          <w:p w14:paraId="5EAFB8F1">
            <w:pPr>
              <w:pStyle w:val="41"/>
              <w:rPr>
                <w:color w:val="auto"/>
                <w:highlight w:val="none"/>
              </w:rPr>
            </w:pPr>
            <w:r>
              <w:rPr>
                <w:color w:val="auto"/>
                <w:highlight w:val="none"/>
              </w:rPr>
              <w:t>1</w:t>
            </w:r>
          </w:p>
        </w:tc>
        <w:tc>
          <w:tcPr>
            <w:tcW w:w="817" w:type="pct"/>
            <w:tcBorders>
              <w:tl2br w:val="nil"/>
              <w:tr2bl w:val="nil"/>
            </w:tcBorders>
            <w:vAlign w:val="center"/>
          </w:tcPr>
          <w:p w14:paraId="1656EF89">
            <w:pPr>
              <w:pStyle w:val="41"/>
              <w:rPr>
                <w:color w:val="auto"/>
                <w:highlight w:val="none"/>
              </w:rPr>
            </w:pPr>
            <w:r>
              <w:rPr>
                <w:color w:val="auto"/>
                <w:highlight w:val="none"/>
              </w:rPr>
              <w:t>原矿堆场</w:t>
            </w:r>
          </w:p>
        </w:tc>
        <w:tc>
          <w:tcPr>
            <w:tcW w:w="616" w:type="pct"/>
            <w:tcBorders>
              <w:tl2br w:val="nil"/>
              <w:tr2bl w:val="nil"/>
            </w:tcBorders>
            <w:vAlign w:val="center"/>
          </w:tcPr>
          <w:p w14:paraId="20302985">
            <w:pPr>
              <w:pStyle w:val="41"/>
              <w:rPr>
                <w:color w:val="auto"/>
                <w:highlight w:val="none"/>
              </w:rPr>
            </w:pPr>
            <w:r>
              <w:rPr>
                <w:color w:val="auto"/>
                <w:highlight w:val="none"/>
              </w:rPr>
              <w:t>颗粒物</w:t>
            </w:r>
          </w:p>
        </w:tc>
        <w:tc>
          <w:tcPr>
            <w:tcW w:w="1548" w:type="pct"/>
            <w:gridSpan w:val="2"/>
            <w:tcBorders>
              <w:tl2br w:val="nil"/>
              <w:tr2bl w:val="nil"/>
            </w:tcBorders>
            <w:vAlign w:val="center"/>
          </w:tcPr>
          <w:p w14:paraId="72B5A97B">
            <w:pPr>
              <w:pStyle w:val="41"/>
              <w:rPr>
                <w:color w:val="auto"/>
                <w:highlight w:val="none"/>
              </w:rPr>
            </w:pPr>
            <w:r>
              <w:rPr>
                <w:color w:val="auto"/>
                <w:highlight w:val="none"/>
              </w:rPr>
              <w:t>面积8892m</w:t>
            </w:r>
            <w:r>
              <w:rPr>
                <w:color w:val="auto"/>
                <w:highlight w:val="none"/>
                <w:vertAlign w:val="superscript"/>
              </w:rPr>
              <w:t>2</w:t>
            </w:r>
          </w:p>
        </w:tc>
        <w:tc>
          <w:tcPr>
            <w:tcW w:w="1594" w:type="pct"/>
            <w:tcBorders>
              <w:tl2br w:val="nil"/>
              <w:tr2bl w:val="nil"/>
            </w:tcBorders>
            <w:vAlign w:val="center"/>
          </w:tcPr>
          <w:p w14:paraId="3E33CF8A">
            <w:pPr>
              <w:pStyle w:val="41"/>
              <w:rPr>
                <w:color w:val="auto"/>
                <w:highlight w:val="none"/>
              </w:rPr>
            </w:pPr>
            <w:r>
              <w:rPr>
                <w:color w:val="auto"/>
                <w:highlight w:val="none"/>
              </w:rPr>
              <w:t>0.48</w:t>
            </w:r>
          </w:p>
        </w:tc>
      </w:tr>
      <w:tr w14:paraId="3F5CD7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422" w:type="pct"/>
            <w:tcBorders>
              <w:tl2br w:val="nil"/>
              <w:tr2bl w:val="nil"/>
            </w:tcBorders>
            <w:vAlign w:val="center"/>
          </w:tcPr>
          <w:p w14:paraId="79606350">
            <w:pPr>
              <w:pStyle w:val="41"/>
              <w:rPr>
                <w:color w:val="auto"/>
                <w:highlight w:val="none"/>
              </w:rPr>
            </w:pPr>
            <w:r>
              <w:rPr>
                <w:color w:val="auto"/>
                <w:highlight w:val="none"/>
              </w:rPr>
              <w:t>2</w:t>
            </w:r>
          </w:p>
        </w:tc>
        <w:tc>
          <w:tcPr>
            <w:tcW w:w="817" w:type="pct"/>
            <w:tcBorders>
              <w:tl2br w:val="nil"/>
              <w:tr2bl w:val="nil"/>
            </w:tcBorders>
            <w:vAlign w:val="center"/>
          </w:tcPr>
          <w:p w14:paraId="01CEF52B">
            <w:pPr>
              <w:pStyle w:val="41"/>
              <w:rPr>
                <w:color w:val="auto"/>
                <w:highlight w:val="none"/>
              </w:rPr>
            </w:pPr>
            <w:r>
              <w:rPr>
                <w:color w:val="auto"/>
                <w:highlight w:val="none"/>
              </w:rPr>
              <w:t>尾矿库</w:t>
            </w:r>
          </w:p>
        </w:tc>
        <w:tc>
          <w:tcPr>
            <w:tcW w:w="616" w:type="pct"/>
            <w:tcBorders>
              <w:tl2br w:val="nil"/>
              <w:tr2bl w:val="nil"/>
            </w:tcBorders>
            <w:vAlign w:val="center"/>
          </w:tcPr>
          <w:p w14:paraId="7BA024E5">
            <w:pPr>
              <w:pStyle w:val="41"/>
              <w:rPr>
                <w:color w:val="auto"/>
                <w:highlight w:val="none"/>
              </w:rPr>
            </w:pPr>
            <w:r>
              <w:rPr>
                <w:color w:val="auto"/>
                <w:highlight w:val="none"/>
              </w:rPr>
              <w:t>颗粒物</w:t>
            </w:r>
          </w:p>
        </w:tc>
        <w:tc>
          <w:tcPr>
            <w:tcW w:w="1548" w:type="pct"/>
            <w:gridSpan w:val="2"/>
            <w:tcBorders>
              <w:tl2br w:val="nil"/>
              <w:tr2bl w:val="nil"/>
            </w:tcBorders>
            <w:vAlign w:val="center"/>
          </w:tcPr>
          <w:p w14:paraId="49B460D3">
            <w:pPr>
              <w:pStyle w:val="41"/>
              <w:rPr>
                <w:color w:val="auto"/>
                <w:highlight w:val="none"/>
              </w:rPr>
            </w:pPr>
            <w:r>
              <w:rPr>
                <w:color w:val="auto"/>
                <w:highlight w:val="none"/>
              </w:rPr>
              <w:t>面积857600m</w:t>
            </w:r>
            <w:r>
              <w:rPr>
                <w:color w:val="auto"/>
                <w:highlight w:val="none"/>
                <w:vertAlign w:val="superscript"/>
              </w:rPr>
              <w:t>2</w:t>
            </w:r>
          </w:p>
        </w:tc>
        <w:tc>
          <w:tcPr>
            <w:tcW w:w="1594" w:type="pct"/>
            <w:tcBorders>
              <w:tl2br w:val="nil"/>
              <w:tr2bl w:val="nil"/>
            </w:tcBorders>
            <w:vAlign w:val="center"/>
          </w:tcPr>
          <w:p w14:paraId="27F36455">
            <w:pPr>
              <w:pStyle w:val="41"/>
              <w:rPr>
                <w:color w:val="auto"/>
                <w:highlight w:val="none"/>
              </w:rPr>
            </w:pPr>
            <w:r>
              <w:rPr>
                <w:color w:val="auto"/>
                <w:highlight w:val="none"/>
              </w:rPr>
              <w:t>0.64</w:t>
            </w:r>
          </w:p>
        </w:tc>
      </w:tr>
    </w:tbl>
    <w:p w14:paraId="67B16887">
      <w:pPr>
        <w:pStyle w:val="3"/>
        <w:ind w:firstLine="0" w:firstLineChars="0"/>
        <w:rPr>
          <w:color w:val="auto"/>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p w14:paraId="1C03E61A">
      <w:pPr>
        <w:pStyle w:val="3"/>
        <w:ind w:firstLine="480"/>
        <w:rPr>
          <w:color w:val="auto"/>
          <w:highlight w:val="none"/>
        </w:rPr>
      </w:pPr>
      <w:r>
        <w:rPr>
          <w:color w:val="auto"/>
          <w:highlight w:val="none"/>
        </w:rPr>
        <w:t>（2）预测评价标准</w:t>
      </w:r>
    </w:p>
    <w:p w14:paraId="5C9F2BDD">
      <w:pPr>
        <w:pStyle w:val="3"/>
        <w:ind w:firstLine="480"/>
        <w:rPr>
          <w:color w:val="auto"/>
          <w:highlight w:val="none"/>
        </w:rPr>
      </w:pPr>
      <w:r>
        <w:rPr>
          <w:color w:val="auto"/>
          <w:highlight w:val="none"/>
        </w:rPr>
        <w:t>本项目所在区域属于环境空气二类功能区，SO</w:t>
      </w:r>
      <w:r>
        <w:rPr>
          <w:color w:val="auto"/>
          <w:highlight w:val="none"/>
          <w:vertAlign w:val="subscript"/>
        </w:rPr>
        <w:t>2</w:t>
      </w:r>
      <w:r>
        <w:rPr>
          <w:color w:val="auto"/>
          <w:highlight w:val="none"/>
        </w:rPr>
        <w:t>、NO</w:t>
      </w:r>
      <w:r>
        <w:rPr>
          <w:color w:val="auto"/>
          <w:highlight w:val="none"/>
          <w:vertAlign w:val="subscript"/>
        </w:rPr>
        <w:t>2</w:t>
      </w:r>
      <w:r>
        <w:rPr>
          <w:color w:val="auto"/>
          <w:highlight w:val="none"/>
        </w:rPr>
        <w:t>、PM</w:t>
      </w:r>
      <w:r>
        <w:rPr>
          <w:color w:val="auto"/>
          <w:highlight w:val="none"/>
          <w:vertAlign w:val="subscript"/>
        </w:rPr>
        <w:t>10</w:t>
      </w:r>
      <w:r>
        <w:rPr>
          <w:color w:val="auto"/>
          <w:highlight w:val="none"/>
        </w:rPr>
        <w:t>、PM</w:t>
      </w:r>
      <w:r>
        <w:rPr>
          <w:color w:val="auto"/>
          <w:highlight w:val="none"/>
          <w:vertAlign w:val="subscript"/>
        </w:rPr>
        <w:t>2.5</w:t>
      </w:r>
      <w:r>
        <w:rPr>
          <w:color w:val="auto"/>
          <w:highlight w:val="none"/>
        </w:rPr>
        <w:t>、TSP、执行《环境空气质量标准》（GB3095-2026）二级标准。</w:t>
      </w:r>
    </w:p>
    <w:p w14:paraId="6162B4DE">
      <w:pPr>
        <w:pStyle w:val="3"/>
        <w:ind w:firstLine="480"/>
        <w:rPr>
          <w:color w:val="auto"/>
          <w:highlight w:val="none"/>
        </w:rPr>
      </w:pPr>
      <w:r>
        <w:rPr>
          <w:color w:val="auto"/>
          <w:highlight w:val="none"/>
        </w:rPr>
        <w:t>预测标准见5.2-9。</w:t>
      </w:r>
    </w:p>
    <w:p w14:paraId="22C1A4F5">
      <w:pPr>
        <w:pStyle w:val="40"/>
        <w:spacing w:before="31" w:after="31"/>
        <w:rPr>
          <w:color w:val="auto"/>
          <w:highlight w:val="none"/>
        </w:rPr>
      </w:pPr>
      <w:bookmarkStart w:id="371" w:name="_Ref66900473"/>
      <w:r>
        <w:rPr>
          <w:color w:val="auto"/>
          <w:highlight w:val="none"/>
        </w:rPr>
        <w:t>表</w:t>
      </w:r>
      <w:bookmarkEnd w:id="371"/>
      <w:r>
        <w:rPr>
          <w:color w:val="auto"/>
          <w:highlight w:val="none"/>
        </w:rPr>
        <w:t xml:space="preserve">5.2-9    </w:t>
      </w:r>
      <w:r>
        <w:rPr>
          <w:color w:val="auto"/>
          <w:highlight w:val="none"/>
          <w:lang w:val="zh-CN"/>
        </w:rPr>
        <w:t xml:space="preserve">大气预测评价标准（二级） </w:t>
      </w:r>
      <w:r>
        <w:rPr>
          <w:color w:val="auto"/>
          <w:highlight w:val="none"/>
        </w:rPr>
        <w:t xml:space="preserve">  </w:t>
      </w:r>
      <w:r>
        <w:rPr>
          <w:color w:val="auto"/>
          <w:highlight w:val="none"/>
          <w:lang w:val="zh-CN"/>
        </w:rPr>
        <w:t xml:space="preserve"> 单位mg/m</w:t>
      </w:r>
      <w:r>
        <w:rPr>
          <w:color w:val="auto"/>
          <w:highlight w:val="none"/>
          <w:vertAlign w:val="superscript"/>
          <w:lang w:val="zh-CN"/>
        </w:rPr>
        <w:t>3</w:t>
      </w:r>
    </w:p>
    <w:tbl>
      <w:tblPr>
        <w:tblStyle w:val="26"/>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1021"/>
        <w:gridCol w:w="1568"/>
        <w:gridCol w:w="1436"/>
        <w:gridCol w:w="1436"/>
        <w:gridCol w:w="1436"/>
        <w:gridCol w:w="1436"/>
      </w:tblGrid>
      <w:tr w14:paraId="18AC54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2" w:type="pct"/>
            <w:tcBorders>
              <w:tl2br w:val="nil"/>
              <w:tr2bl w:val="nil"/>
            </w:tcBorders>
            <w:vAlign w:val="center"/>
          </w:tcPr>
          <w:p w14:paraId="79E20B97">
            <w:pPr>
              <w:pStyle w:val="41"/>
              <w:widowControl w:val="0"/>
              <w:rPr>
                <w:color w:val="auto"/>
                <w:highlight w:val="none"/>
              </w:rPr>
            </w:pPr>
            <w:r>
              <w:rPr>
                <w:color w:val="auto"/>
                <w:highlight w:val="none"/>
              </w:rPr>
              <w:t>序号</w:t>
            </w:r>
          </w:p>
        </w:tc>
        <w:tc>
          <w:tcPr>
            <w:tcW w:w="940" w:type="pct"/>
            <w:tcBorders>
              <w:tl2br w:val="nil"/>
              <w:tr2bl w:val="nil"/>
            </w:tcBorders>
            <w:vAlign w:val="center"/>
          </w:tcPr>
          <w:p w14:paraId="6FE38FB9">
            <w:pPr>
              <w:pStyle w:val="41"/>
              <w:widowControl w:val="0"/>
              <w:rPr>
                <w:color w:val="auto"/>
                <w:highlight w:val="none"/>
              </w:rPr>
            </w:pPr>
            <w:r>
              <w:rPr>
                <w:color w:val="auto"/>
                <w:highlight w:val="none"/>
              </w:rPr>
              <w:t>污染物</w:t>
            </w:r>
          </w:p>
        </w:tc>
        <w:tc>
          <w:tcPr>
            <w:tcW w:w="861" w:type="pct"/>
            <w:tcBorders>
              <w:tl2br w:val="nil"/>
              <w:tr2bl w:val="nil"/>
            </w:tcBorders>
            <w:vAlign w:val="center"/>
          </w:tcPr>
          <w:p w14:paraId="080D8D65">
            <w:pPr>
              <w:pStyle w:val="41"/>
              <w:widowControl w:val="0"/>
              <w:rPr>
                <w:color w:val="auto"/>
                <w:highlight w:val="none"/>
              </w:rPr>
            </w:pPr>
            <w:r>
              <w:rPr>
                <w:color w:val="auto"/>
                <w:highlight w:val="none"/>
              </w:rPr>
              <w:t>PM</w:t>
            </w:r>
            <w:r>
              <w:rPr>
                <w:color w:val="auto"/>
                <w:highlight w:val="none"/>
                <w:vertAlign w:val="subscript"/>
              </w:rPr>
              <w:t>10</w:t>
            </w:r>
          </w:p>
        </w:tc>
        <w:tc>
          <w:tcPr>
            <w:tcW w:w="861" w:type="pct"/>
            <w:tcBorders>
              <w:tl2br w:val="nil"/>
              <w:tr2bl w:val="nil"/>
            </w:tcBorders>
            <w:vAlign w:val="center"/>
          </w:tcPr>
          <w:p w14:paraId="0AF5FF70">
            <w:pPr>
              <w:pStyle w:val="41"/>
              <w:widowControl w:val="0"/>
              <w:rPr>
                <w:color w:val="auto"/>
                <w:highlight w:val="none"/>
              </w:rPr>
            </w:pPr>
            <w:r>
              <w:rPr>
                <w:color w:val="auto"/>
                <w:highlight w:val="none"/>
              </w:rPr>
              <w:t>SO</w:t>
            </w:r>
            <w:r>
              <w:rPr>
                <w:color w:val="auto"/>
                <w:highlight w:val="none"/>
                <w:vertAlign w:val="subscript"/>
              </w:rPr>
              <w:t>2</w:t>
            </w:r>
          </w:p>
        </w:tc>
        <w:tc>
          <w:tcPr>
            <w:tcW w:w="861" w:type="pct"/>
            <w:tcBorders>
              <w:tl2br w:val="nil"/>
              <w:tr2bl w:val="nil"/>
            </w:tcBorders>
            <w:vAlign w:val="center"/>
          </w:tcPr>
          <w:p w14:paraId="1A551174">
            <w:pPr>
              <w:pStyle w:val="41"/>
              <w:widowControl w:val="0"/>
              <w:rPr>
                <w:color w:val="auto"/>
                <w:highlight w:val="none"/>
              </w:rPr>
            </w:pPr>
            <w:r>
              <w:rPr>
                <w:color w:val="auto"/>
                <w:highlight w:val="none"/>
              </w:rPr>
              <w:t>NO</w:t>
            </w:r>
            <w:r>
              <w:rPr>
                <w:color w:val="auto"/>
                <w:highlight w:val="none"/>
                <w:vertAlign w:val="subscript"/>
              </w:rPr>
              <w:t>2</w:t>
            </w:r>
          </w:p>
        </w:tc>
        <w:tc>
          <w:tcPr>
            <w:tcW w:w="861" w:type="pct"/>
            <w:tcBorders>
              <w:tl2br w:val="nil"/>
              <w:tr2bl w:val="nil"/>
            </w:tcBorders>
            <w:vAlign w:val="center"/>
          </w:tcPr>
          <w:p w14:paraId="4C8B5799">
            <w:pPr>
              <w:pStyle w:val="41"/>
              <w:widowControl w:val="0"/>
              <w:rPr>
                <w:color w:val="auto"/>
                <w:highlight w:val="none"/>
              </w:rPr>
            </w:pPr>
            <w:r>
              <w:rPr>
                <w:color w:val="auto"/>
                <w:highlight w:val="none"/>
              </w:rPr>
              <w:t>TSP</w:t>
            </w:r>
          </w:p>
        </w:tc>
      </w:tr>
      <w:tr w14:paraId="025E5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2" w:type="pct"/>
            <w:tcBorders>
              <w:tl2br w:val="nil"/>
              <w:tr2bl w:val="nil"/>
            </w:tcBorders>
            <w:vAlign w:val="center"/>
          </w:tcPr>
          <w:p w14:paraId="26405251">
            <w:pPr>
              <w:pStyle w:val="41"/>
              <w:widowControl w:val="0"/>
              <w:rPr>
                <w:color w:val="auto"/>
                <w:highlight w:val="none"/>
              </w:rPr>
            </w:pPr>
            <w:r>
              <w:rPr>
                <w:color w:val="auto"/>
                <w:highlight w:val="none"/>
              </w:rPr>
              <w:t>1</w:t>
            </w:r>
          </w:p>
        </w:tc>
        <w:tc>
          <w:tcPr>
            <w:tcW w:w="940" w:type="pct"/>
            <w:tcBorders>
              <w:tl2br w:val="nil"/>
              <w:tr2bl w:val="nil"/>
            </w:tcBorders>
            <w:vAlign w:val="center"/>
          </w:tcPr>
          <w:p w14:paraId="0CA2B177">
            <w:pPr>
              <w:pStyle w:val="41"/>
              <w:widowControl w:val="0"/>
              <w:rPr>
                <w:color w:val="auto"/>
                <w:highlight w:val="none"/>
              </w:rPr>
            </w:pPr>
            <w:r>
              <w:rPr>
                <w:color w:val="auto"/>
                <w:highlight w:val="none"/>
              </w:rPr>
              <w:t>小时平均</w:t>
            </w:r>
          </w:p>
        </w:tc>
        <w:tc>
          <w:tcPr>
            <w:tcW w:w="861" w:type="pct"/>
            <w:tcBorders>
              <w:tl2br w:val="nil"/>
              <w:tr2bl w:val="nil"/>
            </w:tcBorders>
            <w:vAlign w:val="center"/>
          </w:tcPr>
          <w:p w14:paraId="587ED302">
            <w:pPr>
              <w:pStyle w:val="41"/>
              <w:widowControl w:val="0"/>
              <w:rPr>
                <w:color w:val="auto"/>
                <w:highlight w:val="none"/>
              </w:rPr>
            </w:pPr>
            <w:r>
              <w:rPr>
                <w:color w:val="auto"/>
                <w:highlight w:val="none"/>
              </w:rPr>
              <w:t>/</w:t>
            </w:r>
          </w:p>
        </w:tc>
        <w:tc>
          <w:tcPr>
            <w:tcW w:w="861" w:type="pct"/>
            <w:tcBorders>
              <w:tl2br w:val="nil"/>
              <w:tr2bl w:val="nil"/>
            </w:tcBorders>
            <w:vAlign w:val="center"/>
          </w:tcPr>
          <w:p w14:paraId="1471D716">
            <w:pPr>
              <w:pStyle w:val="41"/>
              <w:widowControl w:val="0"/>
              <w:rPr>
                <w:color w:val="auto"/>
                <w:highlight w:val="none"/>
              </w:rPr>
            </w:pPr>
            <w:r>
              <w:rPr>
                <w:color w:val="auto"/>
                <w:highlight w:val="none"/>
              </w:rPr>
              <w:t>0.50</w:t>
            </w:r>
          </w:p>
        </w:tc>
        <w:tc>
          <w:tcPr>
            <w:tcW w:w="861" w:type="pct"/>
            <w:tcBorders>
              <w:tl2br w:val="nil"/>
              <w:tr2bl w:val="nil"/>
            </w:tcBorders>
            <w:vAlign w:val="center"/>
          </w:tcPr>
          <w:p w14:paraId="6E5514EC">
            <w:pPr>
              <w:pStyle w:val="41"/>
              <w:widowControl w:val="0"/>
              <w:rPr>
                <w:color w:val="auto"/>
                <w:highlight w:val="none"/>
              </w:rPr>
            </w:pPr>
            <w:r>
              <w:rPr>
                <w:color w:val="auto"/>
                <w:highlight w:val="none"/>
              </w:rPr>
              <w:t>0.20</w:t>
            </w:r>
          </w:p>
        </w:tc>
        <w:tc>
          <w:tcPr>
            <w:tcW w:w="861" w:type="pct"/>
            <w:tcBorders>
              <w:tl2br w:val="nil"/>
              <w:tr2bl w:val="nil"/>
            </w:tcBorders>
            <w:vAlign w:val="center"/>
          </w:tcPr>
          <w:p w14:paraId="511088D6">
            <w:pPr>
              <w:pStyle w:val="41"/>
              <w:widowControl w:val="0"/>
              <w:rPr>
                <w:color w:val="auto"/>
                <w:highlight w:val="none"/>
              </w:rPr>
            </w:pPr>
            <w:r>
              <w:rPr>
                <w:color w:val="auto"/>
                <w:highlight w:val="none"/>
              </w:rPr>
              <w:t>/</w:t>
            </w:r>
          </w:p>
        </w:tc>
      </w:tr>
      <w:tr w14:paraId="5FE4AC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2" w:type="pct"/>
            <w:tcBorders>
              <w:tl2br w:val="nil"/>
              <w:tr2bl w:val="nil"/>
            </w:tcBorders>
            <w:vAlign w:val="center"/>
          </w:tcPr>
          <w:p w14:paraId="775D50F0">
            <w:pPr>
              <w:pStyle w:val="41"/>
              <w:widowControl w:val="0"/>
              <w:rPr>
                <w:color w:val="auto"/>
                <w:highlight w:val="none"/>
              </w:rPr>
            </w:pPr>
            <w:r>
              <w:rPr>
                <w:color w:val="auto"/>
                <w:highlight w:val="none"/>
              </w:rPr>
              <w:t>2</w:t>
            </w:r>
          </w:p>
        </w:tc>
        <w:tc>
          <w:tcPr>
            <w:tcW w:w="940" w:type="pct"/>
            <w:tcBorders>
              <w:tl2br w:val="nil"/>
              <w:tr2bl w:val="nil"/>
            </w:tcBorders>
            <w:vAlign w:val="center"/>
          </w:tcPr>
          <w:p w14:paraId="51F6F15D">
            <w:pPr>
              <w:pStyle w:val="41"/>
              <w:widowControl w:val="0"/>
              <w:rPr>
                <w:color w:val="auto"/>
                <w:highlight w:val="none"/>
              </w:rPr>
            </w:pPr>
            <w:r>
              <w:rPr>
                <w:color w:val="auto"/>
                <w:highlight w:val="none"/>
              </w:rPr>
              <w:t>日平均</w:t>
            </w:r>
          </w:p>
        </w:tc>
        <w:tc>
          <w:tcPr>
            <w:tcW w:w="861" w:type="pct"/>
            <w:tcBorders>
              <w:tl2br w:val="nil"/>
              <w:tr2bl w:val="nil"/>
            </w:tcBorders>
            <w:vAlign w:val="center"/>
          </w:tcPr>
          <w:p w14:paraId="09965607">
            <w:pPr>
              <w:pStyle w:val="41"/>
              <w:widowControl w:val="0"/>
              <w:rPr>
                <w:color w:val="auto"/>
                <w:highlight w:val="none"/>
              </w:rPr>
            </w:pPr>
            <w:r>
              <w:rPr>
                <w:color w:val="auto"/>
                <w:highlight w:val="none"/>
              </w:rPr>
              <w:t>0.12</w:t>
            </w:r>
          </w:p>
        </w:tc>
        <w:tc>
          <w:tcPr>
            <w:tcW w:w="861" w:type="pct"/>
            <w:tcBorders>
              <w:tl2br w:val="nil"/>
              <w:tr2bl w:val="nil"/>
            </w:tcBorders>
            <w:vAlign w:val="center"/>
          </w:tcPr>
          <w:p w14:paraId="676F0AD4">
            <w:pPr>
              <w:pStyle w:val="41"/>
              <w:widowControl w:val="0"/>
              <w:rPr>
                <w:color w:val="auto"/>
                <w:highlight w:val="none"/>
              </w:rPr>
            </w:pPr>
            <w:r>
              <w:rPr>
                <w:color w:val="auto"/>
                <w:highlight w:val="none"/>
              </w:rPr>
              <w:t>0.15</w:t>
            </w:r>
          </w:p>
        </w:tc>
        <w:tc>
          <w:tcPr>
            <w:tcW w:w="861" w:type="pct"/>
            <w:tcBorders>
              <w:tl2br w:val="nil"/>
              <w:tr2bl w:val="nil"/>
            </w:tcBorders>
            <w:vAlign w:val="center"/>
          </w:tcPr>
          <w:p w14:paraId="29FF6160">
            <w:pPr>
              <w:pStyle w:val="41"/>
              <w:widowControl w:val="0"/>
              <w:rPr>
                <w:color w:val="auto"/>
                <w:highlight w:val="none"/>
              </w:rPr>
            </w:pPr>
            <w:r>
              <w:rPr>
                <w:color w:val="auto"/>
                <w:highlight w:val="none"/>
              </w:rPr>
              <w:t>0.08</w:t>
            </w:r>
          </w:p>
        </w:tc>
        <w:tc>
          <w:tcPr>
            <w:tcW w:w="861" w:type="pct"/>
            <w:tcBorders>
              <w:tl2br w:val="nil"/>
              <w:tr2bl w:val="nil"/>
            </w:tcBorders>
            <w:vAlign w:val="center"/>
          </w:tcPr>
          <w:p w14:paraId="45476B1A">
            <w:pPr>
              <w:pStyle w:val="41"/>
              <w:widowControl w:val="0"/>
              <w:rPr>
                <w:color w:val="auto"/>
                <w:highlight w:val="none"/>
              </w:rPr>
            </w:pPr>
            <w:r>
              <w:rPr>
                <w:color w:val="auto"/>
                <w:highlight w:val="none"/>
              </w:rPr>
              <w:t>0.3</w:t>
            </w:r>
          </w:p>
        </w:tc>
      </w:tr>
      <w:tr w14:paraId="398CAD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2" w:type="pct"/>
            <w:tcBorders>
              <w:tl2br w:val="nil"/>
              <w:tr2bl w:val="nil"/>
            </w:tcBorders>
            <w:vAlign w:val="center"/>
          </w:tcPr>
          <w:p w14:paraId="62B58FE0">
            <w:pPr>
              <w:pStyle w:val="41"/>
              <w:widowControl w:val="0"/>
              <w:rPr>
                <w:color w:val="auto"/>
                <w:highlight w:val="none"/>
              </w:rPr>
            </w:pPr>
            <w:r>
              <w:rPr>
                <w:color w:val="auto"/>
                <w:highlight w:val="none"/>
              </w:rPr>
              <w:t>3</w:t>
            </w:r>
          </w:p>
        </w:tc>
        <w:tc>
          <w:tcPr>
            <w:tcW w:w="940" w:type="pct"/>
            <w:tcBorders>
              <w:tl2br w:val="nil"/>
              <w:tr2bl w:val="nil"/>
            </w:tcBorders>
            <w:vAlign w:val="center"/>
          </w:tcPr>
          <w:p w14:paraId="6A5D7CA2">
            <w:pPr>
              <w:pStyle w:val="41"/>
              <w:widowControl w:val="0"/>
              <w:rPr>
                <w:color w:val="auto"/>
                <w:highlight w:val="none"/>
              </w:rPr>
            </w:pPr>
            <w:r>
              <w:rPr>
                <w:color w:val="auto"/>
                <w:highlight w:val="none"/>
              </w:rPr>
              <w:t>年平均</w:t>
            </w:r>
          </w:p>
        </w:tc>
        <w:tc>
          <w:tcPr>
            <w:tcW w:w="861" w:type="pct"/>
            <w:tcBorders>
              <w:tl2br w:val="nil"/>
              <w:tr2bl w:val="nil"/>
            </w:tcBorders>
            <w:vAlign w:val="center"/>
          </w:tcPr>
          <w:p w14:paraId="1F834126">
            <w:pPr>
              <w:pStyle w:val="41"/>
              <w:widowControl w:val="0"/>
              <w:rPr>
                <w:color w:val="auto"/>
                <w:highlight w:val="none"/>
              </w:rPr>
            </w:pPr>
            <w:r>
              <w:rPr>
                <w:color w:val="auto"/>
                <w:highlight w:val="none"/>
              </w:rPr>
              <w:t>0.06</w:t>
            </w:r>
          </w:p>
        </w:tc>
        <w:tc>
          <w:tcPr>
            <w:tcW w:w="861" w:type="pct"/>
            <w:tcBorders>
              <w:tl2br w:val="nil"/>
              <w:tr2bl w:val="nil"/>
            </w:tcBorders>
            <w:vAlign w:val="center"/>
          </w:tcPr>
          <w:p w14:paraId="096710AC">
            <w:pPr>
              <w:pStyle w:val="41"/>
              <w:widowControl w:val="0"/>
              <w:rPr>
                <w:color w:val="auto"/>
                <w:highlight w:val="none"/>
              </w:rPr>
            </w:pPr>
            <w:r>
              <w:rPr>
                <w:color w:val="auto"/>
                <w:highlight w:val="none"/>
              </w:rPr>
              <w:t>0.06</w:t>
            </w:r>
          </w:p>
        </w:tc>
        <w:tc>
          <w:tcPr>
            <w:tcW w:w="861" w:type="pct"/>
            <w:tcBorders>
              <w:tl2br w:val="nil"/>
              <w:tr2bl w:val="nil"/>
            </w:tcBorders>
            <w:vAlign w:val="center"/>
          </w:tcPr>
          <w:p w14:paraId="51F73CFF">
            <w:pPr>
              <w:pStyle w:val="41"/>
              <w:widowControl w:val="0"/>
              <w:rPr>
                <w:color w:val="auto"/>
                <w:highlight w:val="none"/>
              </w:rPr>
            </w:pPr>
            <w:r>
              <w:rPr>
                <w:color w:val="auto"/>
                <w:highlight w:val="none"/>
              </w:rPr>
              <w:t>0.04</w:t>
            </w:r>
          </w:p>
        </w:tc>
        <w:tc>
          <w:tcPr>
            <w:tcW w:w="861" w:type="pct"/>
            <w:tcBorders>
              <w:tl2br w:val="nil"/>
              <w:tr2bl w:val="nil"/>
            </w:tcBorders>
            <w:vAlign w:val="center"/>
          </w:tcPr>
          <w:p w14:paraId="14EBEA6A">
            <w:pPr>
              <w:pStyle w:val="41"/>
              <w:widowControl w:val="0"/>
              <w:rPr>
                <w:color w:val="auto"/>
                <w:highlight w:val="none"/>
              </w:rPr>
            </w:pPr>
            <w:r>
              <w:rPr>
                <w:color w:val="auto"/>
                <w:highlight w:val="none"/>
              </w:rPr>
              <w:t>0.2</w:t>
            </w:r>
          </w:p>
        </w:tc>
      </w:tr>
    </w:tbl>
    <w:p w14:paraId="64F9AA53">
      <w:pPr>
        <w:pStyle w:val="3"/>
        <w:ind w:firstLine="480"/>
        <w:rPr>
          <w:color w:val="auto"/>
          <w:highlight w:val="none"/>
        </w:rPr>
      </w:pPr>
      <w:bookmarkStart w:id="372" w:name="_Toc69474069"/>
      <w:r>
        <w:rPr>
          <w:color w:val="auto"/>
          <w:highlight w:val="none"/>
        </w:rPr>
        <w:t>（3） 预测结果与分析</w:t>
      </w:r>
      <w:bookmarkEnd w:id="372"/>
    </w:p>
    <w:p w14:paraId="59081FB2">
      <w:pPr>
        <w:pStyle w:val="3"/>
        <w:ind w:firstLine="480"/>
        <w:rPr>
          <w:color w:val="auto"/>
          <w:highlight w:val="none"/>
        </w:rPr>
      </w:pPr>
      <w:r>
        <w:rPr>
          <w:color w:val="auto"/>
          <w:highlight w:val="none"/>
        </w:rPr>
        <w:t>将以上参数代入ARSCREEN估算模型，污染物扩散浓度预测结果见表5.2-10。</w:t>
      </w:r>
    </w:p>
    <w:p w14:paraId="27B4DEEF">
      <w:pPr>
        <w:pStyle w:val="40"/>
        <w:spacing w:before="31" w:after="31"/>
        <w:rPr>
          <w:color w:val="auto"/>
          <w:highlight w:val="none"/>
        </w:rPr>
      </w:pPr>
      <w:r>
        <w:rPr>
          <w:color w:val="auto"/>
          <w:highlight w:val="none"/>
        </w:rPr>
        <w:t>表5.2-10    有组织排放污染物（破碎筛分颗粒物）扩散浓度预测结果</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8"/>
        <w:gridCol w:w="1149"/>
        <w:gridCol w:w="1398"/>
        <w:gridCol w:w="873"/>
        <w:gridCol w:w="1398"/>
        <w:gridCol w:w="873"/>
        <w:gridCol w:w="1400"/>
        <w:gridCol w:w="873"/>
      </w:tblGrid>
      <w:tr w14:paraId="4ACAC6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vMerge w:val="restart"/>
            <w:noWrap/>
            <w:vAlign w:val="center"/>
          </w:tcPr>
          <w:p w14:paraId="5B645099">
            <w:pPr>
              <w:pStyle w:val="41"/>
              <w:spacing w:line="240" w:lineRule="atLeast"/>
              <w:rPr>
                <w:color w:val="auto"/>
                <w:highlight w:val="none"/>
              </w:rPr>
            </w:pPr>
            <w:r>
              <w:rPr>
                <w:color w:val="auto"/>
                <w:highlight w:val="none"/>
              </w:rPr>
              <w:t>序号</w:t>
            </w:r>
          </w:p>
        </w:tc>
        <w:tc>
          <w:tcPr>
            <w:tcW w:w="674" w:type="pct"/>
            <w:vMerge w:val="restart"/>
            <w:tcBorders>
              <w:right w:val="single" w:color="auto" w:sz="2" w:space="0"/>
            </w:tcBorders>
            <w:noWrap/>
            <w:vAlign w:val="center"/>
          </w:tcPr>
          <w:p w14:paraId="6836B877">
            <w:pPr>
              <w:pStyle w:val="41"/>
              <w:spacing w:line="240" w:lineRule="atLeast"/>
              <w:rPr>
                <w:color w:val="auto"/>
                <w:highlight w:val="none"/>
              </w:rPr>
            </w:pPr>
            <w:r>
              <w:rPr>
                <w:color w:val="auto"/>
                <w:highlight w:val="none"/>
              </w:rPr>
              <w:t>离源距离</w:t>
            </w:r>
            <w:r>
              <w:rPr>
                <w:rFonts w:hint="eastAsia"/>
                <w:color w:val="auto"/>
                <w:highlight w:val="none"/>
                <w:lang w:eastAsia="zh-CN"/>
              </w:rPr>
              <w:t>（</w:t>
            </w:r>
            <w:r>
              <w:rPr>
                <w:color w:val="auto"/>
                <w:highlight w:val="none"/>
              </w:rPr>
              <w:t>m</w:t>
            </w:r>
            <w:r>
              <w:rPr>
                <w:rFonts w:hint="eastAsia"/>
                <w:color w:val="auto"/>
                <w:highlight w:val="none"/>
                <w:lang w:eastAsia="zh-CN"/>
              </w:rPr>
              <w:t>）</w:t>
            </w:r>
          </w:p>
        </w:tc>
        <w:tc>
          <w:tcPr>
            <w:tcW w:w="1332" w:type="pct"/>
            <w:gridSpan w:val="2"/>
            <w:tcBorders>
              <w:left w:val="single" w:color="auto" w:sz="2" w:space="0"/>
            </w:tcBorders>
            <w:vAlign w:val="center"/>
          </w:tcPr>
          <w:p w14:paraId="3496C565">
            <w:pPr>
              <w:pStyle w:val="41"/>
              <w:spacing w:line="240" w:lineRule="atLeast"/>
              <w:rPr>
                <w:color w:val="auto"/>
                <w:highlight w:val="none"/>
              </w:rPr>
            </w:pPr>
            <w:r>
              <w:rPr>
                <w:color w:val="auto"/>
                <w:highlight w:val="none"/>
              </w:rPr>
              <w:t>滚筒筛车间PM</w:t>
            </w:r>
            <w:r>
              <w:rPr>
                <w:color w:val="auto"/>
                <w:highlight w:val="none"/>
                <w:vertAlign w:val="subscript"/>
              </w:rPr>
              <w:t>10</w:t>
            </w:r>
          </w:p>
        </w:tc>
        <w:tc>
          <w:tcPr>
            <w:tcW w:w="1332" w:type="pct"/>
            <w:gridSpan w:val="2"/>
            <w:noWrap/>
            <w:vAlign w:val="center"/>
          </w:tcPr>
          <w:p w14:paraId="1C6AE1CE">
            <w:pPr>
              <w:pStyle w:val="41"/>
              <w:spacing w:line="240" w:lineRule="atLeast"/>
              <w:rPr>
                <w:color w:val="auto"/>
                <w:highlight w:val="none"/>
              </w:rPr>
            </w:pPr>
            <w:r>
              <w:rPr>
                <w:color w:val="auto"/>
                <w:highlight w:val="none"/>
              </w:rPr>
              <w:t>粗中碎车间PM</w:t>
            </w:r>
            <w:r>
              <w:rPr>
                <w:color w:val="auto"/>
                <w:highlight w:val="none"/>
                <w:vertAlign w:val="subscript"/>
              </w:rPr>
              <w:t>10</w:t>
            </w:r>
          </w:p>
        </w:tc>
        <w:tc>
          <w:tcPr>
            <w:tcW w:w="1333" w:type="pct"/>
            <w:gridSpan w:val="2"/>
            <w:noWrap/>
            <w:vAlign w:val="center"/>
          </w:tcPr>
          <w:p w14:paraId="616DA768">
            <w:pPr>
              <w:pStyle w:val="41"/>
              <w:spacing w:line="240" w:lineRule="atLeast"/>
              <w:rPr>
                <w:color w:val="auto"/>
                <w:highlight w:val="none"/>
              </w:rPr>
            </w:pPr>
            <w:r>
              <w:rPr>
                <w:color w:val="auto"/>
                <w:highlight w:val="none"/>
              </w:rPr>
              <w:t>细碎车间PM</w:t>
            </w:r>
            <w:r>
              <w:rPr>
                <w:color w:val="auto"/>
                <w:highlight w:val="none"/>
                <w:vertAlign w:val="subscript"/>
              </w:rPr>
              <w:t>10</w:t>
            </w:r>
          </w:p>
        </w:tc>
      </w:tr>
      <w:tr w14:paraId="1B55DB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vMerge w:val="continue"/>
            <w:noWrap/>
            <w:vAlign w:val="center"/>
          </w:tcPr>
          <w:p w14:paraId="2A80F926">
            <w:pPr>
              <w:pStyle w:val="41"/>
              <w:spacing w:line="240" w:lineRule="atLeast"/>
              <w:rPr>
                <w:color w:val="auto"/>
                <w:highlight w:val="none"/>
              </w:rPr>
            </w:pPr>
          </w:p>
        </w:tc>
        <w:tc>
          <w:tcPr>
            <w:tcW w:w="674" w:type="pct"/>
            <w:vMerge w:val="continue"/>
            <w:tcBorders>
              <w:right w:val="single" w:color="auto" w:sz="2" w:space="0"/>
            </w:tcBorders>
            <w:noWrap/>
            <w:vAlign w:val="center"/>
          </w:tcPr>
          <w:p w14:paraId="6031FBF9">
            <w:pPr>
              <w:pStyle w:val="41"/>
              <w:spacing w:line="240" w:lineRule="atLeast"/>
              <w:rPr>
                <w:color w:val="auto"/>
                <w:highlight w:val="none"/>
              </w:rPr>
            </w:pPr>
          </w:p>
        </w:tc>
        <w:tc>
          <w:tcPr>
            <w:tcW w:w="820" w:type="pct"/>
            <w:tcBorders>
              <w:left w:val="single" w:color="auto" w:sz="2" w:space="0"/>
            </w:tcBorders>
            <w:noWrap/>
            <w:vAlign w:val="center"/>
          </w:tcPr>
          <w:p w14:paraId="14D6257F">
            <w:pPr>
              <w:pStyle w:val="41"/>
              <w:spacing w:line="240" w:lineRule="atLeast"/>
              <w:rPr>
                <w:color w:val="auto"/>
                <w:highlight w:val="none"/>
              </w:rPr>
            </w:pPr>
            <w:r>
              <w:rPr>
                <w:color w:val="auto"/>
                <w:highlight w:val="none"/>
              </w:rPr>
              <w:t>下风向</w:t>
            </w:r>
          </w:p>
          <w:p w14:paraId="5DB8B49F">
            <w:pPr>
              <w:pStyle w:val="41"/>
              <w:spacing w:line="240" w:lineRule="atLeast"/>
              <w:rPr>
                <w:color w:val="auto"/>
                <w:highlight w:val="none"/>
              </w:rPr>
            </w:pPr>
            <w:r>
              <w:rPr>
                <w:color w:val="auto"/>
                <w:highlight w:val="none"/>
              </w:rPr>
              <w:t>预测浓度mg/m</w:t>
            </w:r>
            <w:r>
              <w:rPr>
                <w:color w:val="auto"/>
                <w:highlight w:val="none"/>
                <w:vertAlign w:val="superscript"/>
              </w:rPr>
              <w:t>3</w:t>
            </w:r>
          </w:p>
        </w:tc>
        <w:tc>
          <w:tcPr>
            <w:tcW w:w="511" w:type="pct"/>
            <w:noWrap/>
            <w:vAlign w:val="center"/>
          </w:tcPr>
          <w:p w14:paraId="41F5FC90">
            <w:pPr>
              <w:pStyle w:val="41"/>
              <w:spacing w:line="240" w:lineRule="atLeast"/>
              <w:rPr>
                <w:color w:val="auto"/>
                <w:highlight w:val="none"/>
              </w:rPr>
            </w:pPr>
            <w:r>
              <w:rPr>
                <w:color w:val="auto"/>
                <w:highlight w:val="none"/>
              </w:rPr>
              <w:t>占标率%</w:t>
            </w:r>
          </w:p>
        </w:tc>
        <w:tc>
          <w:tcPr>
            <w:tcW w:w="820" w:type="pct"/>
            <w:noWrap/>
            <w:vAlign w:val="center"/>
          </w:tcPr>
          <w:p w14:paraId="030D520D">
            <w:pPr>
              <w:pStyle w:val="41"/>
              <w:spacing w:line="240" w:lineRule="atLeast"/>
              <w:rPr>
                <w:color w:val="auto"/>
                <w:highlight w:val="none"/>
              </w:rPr>
            </w:pPr>
            <w:r>
              <w:rPr>
                <w:color w:val="auto"/>
                <w:highlight w:val="none"/>
              </w:rPr>
              <w:t>下风向</w:t>
            </w:r>
          </w:p>
          <w:p w14:paraId="6615C91F">
            <w:pPr>
              <w:pStyle w:val="41"/>
              <w:spacing w:line="240" w:lineRule="atLeast"/>
              <w:rPr>
                <w:color w:val="auto"/>
                <w:highlight w:val="none"/>
              </w:rPr>
            </w:pPr>
            <w:r>
              <w:rPr>
                <w:color w:val="auto"/>
                <w:highlight w:val="none"/>
              </w:rPr>
              <w:t>预测浓度mg/m</w:t>
            </w:r>
            <w:r>
              <w:rPr>
                <w:color w:val="auto"/>
                <w:highlight w:val="none"/>
                <w:vertAlign w:val="superscript"/>
              </w:rPr>
              <w:t>3</w:t>
            </w:r>
          </w:p>
        </w:tc>
        <w:tc>
          <w:tcPr>
            <w:tcW w:w="511" w:type="pct"/>
            <w:noWrap/>
            <w:vAlign w:val="center"/>
          </w:tcPr>
          <w:p w14:paraId="6DA28C83">
            <w:pPr>
              <w:pStyle w:val="41"/>
              <w:spacing w:line="240" w:lineRule="atLeast"/>
              <w:rPr>
                <w:color w:val="auto"/>
                <w:highlight w:val="none"/>
              </w:rPr>
            </w:pPr>
            <w:r>
              <w:rPr>
                <w:color w:val="auto"/>
                <w:highlight w:val="none"/>
              </w:rPr>
              <w:t>占标率%</w:t>
            </w:r>
          </w:p>
        </w:tc>
        <w:tc>
          <w:tcPr>
            <w:tcW w:w="821" w:type="pct"/>
            <w:noWrap/>
            <w:vAlign w:val="center"/>
          </w:tcPr>
          <w:p w14:paraId="30BA6A2C">
            <w:pPr>
              <w:pStyle w:val="41"/>
              <w:spacing w:line="240" w:lineRule="atLeast"/>
              <w:rPr>
                <w:color w:val="auto"/>
                <w:highlight w:val="none"/>
              </w:rPr>
            </w:pPr>
            <w:r>
              <w:rPr>
                <w:color w:val="auto"/>
                <w:highlight w:val="none"/>
              </w:rPr>
              <w:t>下风向</w:t>
            </w:r>
          </w:p>
          <w:p w14:paraId="603724E7">
            <w:pPr>
              <w:pStyle w:val="41"/>
              <w:spacing w:line="240" w:lineRule="atLeast"/>
              <w:rPr>
                <w:color w:val="auto"/>
                <w:highlight w:val="none"/>
              </w:rPr>
            </w:pPr>
            <w:r>
              <w:rPr>
                <w:color w:val="auto"/>
                <w:highlight w:val="none"/>
              </w:rPr>
              <w:t>预测浓度mg/m</w:t>
            </w:r>
            <w:r>
              <w:rPr>
                <w:color w:val="auto"/>
                <w:highlight w:val="none"/>
                <w:vertAlign w:val="superscript"/>
              </w:rPr>
              <w:t>3</w:t>
            </w:r>
          </w:p>
        </w:tc>
        <w:tc>
          <w:tcPr>
            <w:tcW w:w="512" w:type="pct"/>
            <w:noWrap/>
            <w:vAlign w:val="center"/>
          </w:tcPr>
          <w:p w14:paraId="1E92BD61">
            <w:pPr>
              <w:pStyle w:val="41"/>
              <w:spacing w:line="240" w:lineRule="atLeast"/>
              <w:rPr>
                <w:color w:val="auto"/>
                <w:highlight w:val="none"/>
              </w:rPr>
            </w:pPr>
            <w:r>
              <w:rPr>
                <w:color w:val="auto"/>
                <w:highlight w:val="none"/>
              </w:rPr>
              <w:t>占标率%</w:t>
            </w:r>
          </w:p>
        </w:tc>
      </w:tr>
      <w:tr w14:paraId="0202AA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6BC36F81">
            <w:pPr>
              <w:pStyle w:val="41"/>
              <w:spacing w:line="240" w:lineRule="atLeast"/>
              <w:rPr>
                <w:color w:val="auto"/>
                <w:highlight w:val="none"/>
              </w:rPr>
            </w:pPr>
            <w:r>
              <w:rPr>
                <w:color w:val="auto"/>
                <w:highlight w:val="none"/>
              </w:rPr>
              <w:t>1</w:t>
            </w:r>
          </w:p>
        </w:tc>
        <w:tc>
          <w:tcPr>
            <w:tcW w:w="674" w:type="pct"/>
            <w:noWrap/>
            <w:vAlign w:val="center"/>
          </w:tcPr>
          <w:p w14:paraId="27093EC9">
            <w:pPr>
              <w:pStyle w:val="41"/>
              <w:spacing w:line="240" w:lineRule="atLeast"/>
              <w:rPr>
                <w:color w:val="auto"/>
                <w:highlight w:val="none"/>
              </w:rPr>
            </w:pPr>
            <w:r>
              <w:rPr>
                <w:color w:val="auto"/>
                <w:highlight w:val="none"/>
              </w:rPr>
              <w:t>10</w:t>
            </w:r>
          </w:p>
        </w:tc>
        <w:tc>
          <w:tcPr>
            <w:tcW w:w="1398" w:type="dxa"/>
            <w:noWrap/>
            <w:vAlign w:val="center"/>
          </w:tcPr>
          <w:p w14:paraId="64E35B81">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0.000037</w:t>
            </w:r>
          </w:p>
        </w:tc>
        <w:tc>
          <w:tcPr>
            <w:tcW w:w="873" w:type="dxa"/>
            <w:noWrap/>
            <w:vAlign w:val="center"/>
          </w:tcPr>
          <w:p w14:paraId="647452C9">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0.01</w:t>
            </w:r>
          </w:p>
        </w:tc>
        <w:tc>
          <w:tcPr>
            <w:tcW w:w="1398" w:type="dxa"/>
            <w:noWrap/>
            <w:vAlign w:val="center"/>
          </w:tcPr>
          <w:p w14:paraId="47875A8C">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0.000037</w:t>
            </w:r>
          </w:p>
        </w:tc>
        <w:tc>
          <w:tcPr>
            <w:tcW w:w="873" w:type="dxa"/>
            <w:noWrap/>
            <w:vAlign w:val="center"/>
          </w:tcPr>
          <w:p w14:paraId="44C37CAA">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0.01</w:t>
            </w:r>
          </w:p>
        </w:tc>
        <w:tc>
          <w:tcPr>
            <w:tcW w:w="1400" w:type="dxa"/>
            <w:noWrap/>
            <w:vAlign w:val="center"/>
          </w:tcPr>
          <w:p w14:paraId="6C8C13E8">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0.000037</w:t>
            </w:r>
          </w:p>
        </w:tc>
        <w:tc>
          <w:tcPr>
            <w:tcW w:w="873" w:type="dxa"/>
            <w:noWrap/>
            <w:vAlign w:val="center"/>
          </w:tcPr>
          <w:p w14:paraId="58E828D6">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0.01</w:t>
            </w:r>
          </w:p>
        </w:tc>
      </w:tr>
      <w:tr w14:paraId="110776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308A247B">
            <w:pPr>
              <w:pStyle w:val="41"/>
              <w:spacing w:line="240" w:lineRule="atLeast"/>
              <w:rPr>
                <w:color w:val="auto"/>
                <w:highlight w:val="none"/>
              </w:rPr>
            </w:pPr>
            <w:r>
              <w:rPr>
                <w:color w:val="auto"/>
                <w:highlight w:val="none"/>
              </w:rPr>
              <w:t>2</w:t>
            </w:r>
          </w:p>
        </w:tc>
        <w:tc>
          <w:tcPr>
            <w:tcW w:w="674" w:type="pct"/>
            <w:noWrap/>
            <w:vAlign w:val="center"/>
          </w:tcPr>
          <w:p w14:paraId="716304E4">
            <w:pPr>
              <w:pStyle w:val="41"/>
              <w:spacing w:line="240" w:lineRule="atLeast"/>
              <w:rPr>
                <w:color w:val="auto"/>
                <w:highlight w:val="none"/>
              </w:rPr>
            </w:pPr>
            <w:r>
              <w:rPr>
                <w:color w:val="auto"/>
                <w:highlight w:val="none"/>
              </w:rPr>
              <w:t>25</w:t>
            </w:r>
          </w:p>
        </w:tc>
        <w:tc>
          <w:tcPr>
            <w:tcW w:w="1398" w:type="dxa"/>
            <w:noWrap/>
            <w:vAlign w:val="center"/>
          </w:tcPr>
          <w:p w14:paraId="33FEA899">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0.000116</w:t>
            </w:r>
          </w:p>
        </w:tc>
        <w:tc>
          <w:tcPr>
            <w:tcW w:w="873" w:type="dxa"/>
            <w:noWrap/>
            <w:vAlign w:val="center"/>
          </w:tcPr>
          <w:p w14:paraId="24F08A1B">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0.03</w:t>
            </w:r>
          </w:p>
        </w:tc>
        <w:tc>
          <w:tcPr>
            <w:tcW w:w="1398" w:type="dxa"/>
            <w:noWrap/>
            <w:vAlign w:val="center"/>
          </w:tcPr>
          <w:p w14:paraId="6FB7836F">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0.000116</w:t>
            </w:r>
          </w:p>
        </w:tc>
        <w:tc>
          <w:tcPr>
            <w:tcW w:w="873" w:type="dxa"/>
            <w:noWrap/>
            <w:vAlign w:val="center"/>
          </w:tcPr>
          <w:p w14:paraId="716A2278">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0.03</w:t>
            </w:r>
          </w:p>
        </w:tc>
        <w:tc>
          <w:tcPr>
            <w:tcW w:w="1400" w:type="dxa"/>
            <w:noWrap/>
            <w:vAlign w:val="center"/>
          </w:tcPr>
          <w:p w14:paraId="45DF072A">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0.000116</w:t>
            </w:r>
          </w:p>
        </w:tc>
        <w:tc>
          <w:tcPr>
            <w:tcW w:w="873" w:type="dxa"/>
            <w:noWrap/>
            <w:vAlign w:val="center"/>
          </w:tcPr>
          <w:p w14:paraId="72274BDA">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0.03</w:t>
            </w:r>
          </w:p>
        </w:tc>
      </w:tr>
      <w:tr w14:paraId="4E6640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4B6C64AE">
            <w:pPr>
              <w:pStyle w:val="41"/>
              <w:spacing w:line="240" w:lineRule="atLeast"/>
              <w:rPr>
                <w:color w:val="auto"/>
                <w:highlight w:val="none"/>
              </w:rPr>
            </w:pPr>
            <w:r>
              <w:rPr>
                <w:color w:val="auto"/>
                <w:highlight w:val="none"/>
              </w:rPr>
              <w:t>3</w:t>
            </w:r>
          </w:p>
        </w:tc>
        <w:tc>
          <w:tcPr>
            <w:tcW w:w="674" w:type="pct"/>
            <w:noWrap/>
            <w:vAlign w:val="center"/>
          </w:tcPr>
          <w:p w14:paraId="28A337D8">
            <w:pPr>
              <w:pStyle w:val="41"/>
              <w:spacing w:line="240" w:lineRule="atLeast"/>
              <w:rPr>
                <w:color w:val="auto"/>
                <w:highlight w:val="none"/>
              </w:rPr>
            </w:pPr>
            <w:r>
              <w:rPr>
                <w:color w:val="auto"/>
                <w:highlight w:val="none"/>
              </w:rPr>
              <w:t>50</w:t>
            </w:r>
          </w:p>
        </w:tc>
        <w:tc>
          <w:tcPr>
            <w:tcW w:w="1398" w:type="dxa"/>
            <w:noWrap/>
            <w:vAlign w:val="center"/>
          </w:tcPr>
          <w:p w14:paraId="68AA48EB">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0.000242</w:t>
            </w:r>
          </w:p>
        </w:tc>
        <w:tc>
          <w:tcPr>
            <w:tcW w:w="873" w:type="dxa"/>
            <w:noWrap/>
            <w:vAlign w:val="center"/>
          </w:tcPr>
          <w:p w14:paraId="7924DC9D">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0.05</w:t>
            </w:r>
          </w:p>
        </w:tc>
        <w:tc>
          <w:tcPr>
            <w:tcW w:w="1398" w:type="dxa"/>
            <w:noWrap/>
            <w:vAlign w:val="center"/>
          </w:tcPr>
          <w:p w14:paraId="17613872">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0.000242</w:t>
            </w:r>
          </w:p>
        </w:tc>
        <w:tc>
          <w:tcPr>
            <w:tcW w:w="873" w:type="dxa"/>
            <w:noWrap/>
            <w:vAlign w:val="center"/>
          </w:tcPr>
          <w:p w14:paraId="3657AAA2">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0.05</w:t>
            </w:r>
          </w:p>
        </w:tc>
        <w:tc>
          <w:tcPr>
            <w:tcW w:w="1400" w:type="dxa"/>
            <w:noWrap/>
            <w:vAlign w:val="center"/>
          </w:tcPr>
          <w:p w14:paraId="1BC94297">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0.000242</w:t>
            </w:r>
          </w:p>
        </w:tc>
        <w:tc>
          <w:tcPr>
            <w:tcW w:w="873" w:type="dxa"/>
            <w:noWrap/>
            <w:vAlign w:val="center"/>
          </w:tcPr>
          <w:p w14:paraId="109BD99E">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0.05</w:t>
            </w:r>
          </w:p>
        </w:tc>
      </w:tr>
      <w:tr w14:paraId="0F759E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FFC2D4A">
            <w:pPr>
              <w:pStyle w:val="41"/>
              <w:spacing w:line="240" w:lineRule="atLeast"/>
              <w:rPr>
                <w:color w:val="auto"/>
                <w:highlight w:val="none"/>
              </w:rPr>
            </w:pPr>
            <w:r>
              <w:rPr>
                <w:color w:val="auto"/>
                <w:highlight w:val="none"/>
              </w:rPr>
              <w:t>4</w:t>
            </w:r>
          </w:p>
        </w:tc>
        <w:tc>
          <w:tcPr>
            <w:tcW w:w="674" w:type="pct"/>
            <w:noWrap/>
            <w:vAlign w:val="center"/>
          </w:tcPr>
          <w:p w14:paraId="0FF262F9">
            <w:pPr>
              <w:pStyle w:val="41"/>
              <w:spacing w:line="240" w:lineRule="atLeast"/>
              <w:rPr>
                <w:color w:val="auto"/>
                <w:highlight w:val="none"/>
              </w:rPr>
            </w:pPr>
            <w:r>
              <w:rPr>
                <w:color w:val="auto"/>
                <w:highlight w:val="none"/>
              </w:rPr>
              <w:t>75</w:t>
            </w:r>
          </w:p>
        </w:tc>
        <w:tc>
          <w:tcPr>
            <w:tcW w:w="1398" w:type="dxa"/>
            <w:noWrap/>
            <w:vAlign w:val="center"/>
          </w:tcPr>
          <w:p w14:paraId="5CCFAB8B">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0.001141</w:t>
            </w:r>
          </w:p>
        </w:tc>
        <w:tc>
          <w:tcPr>
            <w:tcW w:w="873" w:type="dxa"/>
            <w:noWrap/>
            <w:vAlign w:val="center"/>
          </w:tcPr>
          <w:p w14:paraId="71659716">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398" w:type="dxa"/>
            <w:noWrap/>
            <w:vAlign w:val="center"/>
          </w:tcPr>
          <w:p w14:paraId="455533B2">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0.001141</w:t>
            </w:r>
          </w:p>
        </w:tc>
        <w:tc>
          <w:tcPr>
            <w:tcW w:w="873" w:type="dxa"/>
            <w:noWrap/>
            <w:vAlign w:val="center"/>
          </w:tcPr>
          <w:p w14:paraId="7F929C1B">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400" w:type="dxa"/>
            <w:noWrap/>
            <w:vAlign w:val="center"/>
          </w:tcPr>
          <w:p w14:paraId="3AEF375D">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0.001141</w:t>
            </w:r>
          </w:p>
        </w:tc>
        <w:tc>
          <w:tcPr>
            <w:tcW w:w="873" w:type="dxa"/>
            <w:noWrap/>
            <w:vAlign w:val="center"/>
          </w:tcPr>
          <w:p w14:paraId="485AE953">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r>
      <w:tr w14:paraId="5FBFD2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08772207">
            <w:pPr>
              <w:pStyle w:val="41"/>
              <w:spacing w:line="240" w:lineRule="atLeast"/>
              <w:rPr>
                <w:color w:val="auto"/>
                <w:highlight w:val="none"/>
              </w:rPr>
            </w:pPr>
            <w:r>
              <w:rPr>
                <w:color w:val="auto"/>
                <w:highlight w:val="none"/>
              </w:rPr>
              <w:t>5</w:t>
            </w:r>
          </w:p>
        </w:tc>
        <w:tc>
          <w:tcPr>
            <w:tcW w:w="674" w:type="pct"/>
            <w:noWrap/>
            <w:vAlign w:val="center"/>
          </w:tcPr>
          <w:p w14:paraId="3AAC87F1">
            <w:pPr>
              <w:pStyle w:val="41"/>
              <w:spacing w:line="240" w:lineRule="atLeast"/>
              <w:rPr>
                <w:color w:val="auto"/>
                <w:highlight w:val="none"/>
              </w:rPr>
            </w:pPr>
            <w:r>
              <w:rPr>
                <w:color w:val="auto"/>
                <w:highlight w:val="none"/>
              </w:rPr>
              <w:t>100</w:t>
            </w:r>
          </w:p>
        </w:tc>
        <w:tc>
          <w:tcPr>
            <w:tcW w:w="1398" w:type="dxa"/>
            <w:noWrap/>
            <w:vAlign w:val="center"/>
          </w:tcPr>
          <w:p w14:paraId="0F30769C">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0.002897</w:t>
            </w:r>
          </w:p>
        </w:tc>
        <w:tc>
          <w:tcPr>
            <w:tcW w:w="873" w:type="dxa"/>
            <w:noWrap/>
            <w:vAlign w:val="center"/>
          </w:tcPr>
          <w:p w14:paraId="4CE9AC3B">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0.64</w:t>
            </w:r>
          </w:p>
        </w:tc>
        <w:tc>
          <w:tcPr>
            <w:tcW w:w="1398" w:type="dxa"/>
            <w:noWrap/>
            <w:vAlign w:val="center"/>
          </w:tcPr>
          <w:p w14:paraId="3D62DFFF">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0.002897</w:t>
            </w:r>
          </w:p>
        </w:tc>
        <w:tc>
          <w:tcPr>
            <w:tcW w:w="873" w:type="dxa"/>
            <w:noWrap/>
            <w:vAlign w:val="center"/>
          </w:tcPr>
          <w:p w14:paraId="42C1D255">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0.64</w:t>
            </w:r>
          </w:p>
        </w:tc>
        <w:tc>
          <w:tcPr>
            <w:tcW w:w="1400" w:type="dxa"/>
            <w:noWrap/>
            <w:vAlign w:val="center"/>
          </w:tcPr>
          <w:p w14:paraId="009253AE">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0.002897</w:t>
            </w:r>
          </w:p>
        </w:tc>
        <w:tc>
          <w:tcPr>
            <w:tcW w:w="873" w:type="dxa"/>
            <w:noWrap/>
            <w:vAlign w:val="center"/>
          </w:tcPr>
          <w:p w14:paraId="7C45E5EB">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0.64</w:t>
            </w:r>
          </w:p>
        </w:tc>
      </w:tr>
      <w:tr w14:paraId="00D308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0BF8AD7A">
            <w:pPr>
              <w:pStyle w:val="41"/>
              <w:spacing w:line="240" w:lineRule="atLeast"/>
              <w:rPr>
                <w:color w:val="auto"/>
                <w:highlight w:val="none"/>
              </w:rPr>
            </w:pPr>
            <w:r>
              <w:rPr>
                <w:color w:val="auto"/>
                <w:highlight w:val="none"/>
              </w:rPr>
              <w:t>6</w:t>
            </w:r>
          </w:p>
        </w:tc>
        <w:tc>
          <w:tcPr>
            <w:tcW w:w="674" w:type="pct"/>
            <w:noWrap/>
            <w:vAlign w:val="center"/>
          </w:tcPr>
          <w:p w14:paraId="0967C3BC">
            <w:pPr>
              <w:pStyle w:val="41"/>
              <w:spacing w:line="240" w:lineRule="atLeast"/>
              <w:rPr>
                <w:color w:val="auto"/>
                <w:highlight w:val="none"/>
              </w:rPr>
            </w:pPr>
            <w:r>
              <w:rPr>
                <w:color w:val="auto"/>
                <w:highlight w:val="none"/>
              </w:rPr>
              <w:t>125</w:t>
            </w:r>
          </w:p>
        </w:tc>
        <w:tc>
          <w:tcPr>
            <w:tcW w:w="1398" w:type="dxa"/>
            <w:noWrap/>
            <w:vAlign w:val="center"/>
          </w:tcPr>
          <w:p w14:paraId="4C4D9BDA">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0.003214</w:t>
            </w:r>
          </w:p>
        </w:tc>
        <w:tc>
          <w:tcPr>
            <w:tcW w:w="873" w:type="dxa"/>
            <w:noWrap/>
            <w:vAlign w:val="center"/>
          </w:tcPr>
          <w:p w14:paraId="709C9E05">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0.71</w:t>
            </w:r>
          </w:p>
        </w:tc>
        <w:tc>
          <w:tcPr>
            <w:tcW w:w="1398" w:type="dxa"/>
            <w:noWrap/>
            <w:vAlign w:val="center"/>
          </w:tcPr>
          <w:p w14:paraId="0AA5AFA0">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0.003214</w:t>
            </w:r>
          </w:p>
        </w:tc>
        <w:tc>
          <w:tcPr>
            <w:tcW w:w="873" w:type="dxa"/>
            <w:noWrap/>
            <w:vAlign w:val="center"/>
          </w:tcPr>
          <w:p w14:paraId="1573ABC6">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0.71</w:t>
            </w:r>
          </w:p>
        </w:tc>
        <w:tc>
          <w:tcPr>
            <w:tcW w:w="1400" w:type="dxa"/>
            <w:noWrap/>
            <w:vAlign w:val="center"/>
          </w:tcPr>
          <w:p w14:paraId="58CF1321">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0.003214</w:t>
            </w:r>
          </w:p>
        </w:tc>
        <w:tc>
          <w:tcPr>
            <w:tcW w:w="873" w:type="dxa"/>
            <w:noWrap/>
            <w:vAlign w:val="center"/>
          </w:tcPr>
          <w:p w14:paraId="5C564DF9">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0.71</w:t>
            </w:r>
          </w:p>
        </w:tc>
      </w:tr>
      <w:tr w14:paraId="4AC6D2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0A9A6FEA">
            <w:pPr>
              <w:pStyle w:val="41"/>
              <w:spacing w:line="240" w:lineRule="atLeast"/>
              <w:rPr>
                <w:color w:val="auto"/>
                <w:highlight w:val="none"/>
              </w:rPr>
            </w:pPr>
            <w:r>
              <w:rPr>
                <w:color w:val="auto"/>
                <w:highlight w:val="none"/>
              </w:rPr>
              <w:t>7</w:t>
            </w:r>
          </w:p>
        </w:tc>
        <w:tc>
          <w:tcPr>
            <w:tcW w:w="674" w:type="pct"/>
            <w:noWrap/>
            <w:vAlign w:val="center"/>
          </w:tcPr>
          <w:p w14:paraId="499C9151">
            <w:pPr>
              <w:pStyle w:val="41"/>
              <w:spacing w:line="240" w:lineRule="atLeast"/>
              <w:rPr>
                <w:color w:val="auto"/>
                <w:highlight w:val="none"/>
              </w:rPr>
            </w:pPr>
            <w:r>
              <w:rPr>
                <w:color w:val="auto"/>
                <w:highlight w:val="none"/>
              </w:rPr>
              <w:t>150</w:t>
            </w:r>
          </w:p>
        </w:tc>
        <w:tc>
          <w:tcPr>
            <w:tcW w:w="1398" w:type="dxa"/>
            <w:noWrap/>
            <w:vAlign w:val="center"/>
          </w:tcPr>
          <w:p w14:paraId="761BF6A3">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0.00391</w:t>
            </w:r>
          </w:p>
        </w:tc>
        <w:tc>
          <w:tcPr>
            <w:tcW w:w="873" w:type="dxa"/>
            <w:noWrap/>
            <w:vAlign w:val="center"/>
          </w:tcPr>
          <w:p w14:paraId="21EDC144">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0.87</w:t>
            </w:r>
          </w:p>
        </w:tc>
        <w:tc>
          <w:tcPr>
            <w:tcW w:w="1398" w:type="dxa"/>
            <w:noWrap/>
            <w:vAlign w:val="center"/>
          </w:tcPr>
          <w:p w14:paraId="337395C7">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0.00391</w:t>
            </w:r>
          </w:p>
        </w:tc>
        <w:tc>
          <w:tcPr>
            <w:tcW w:w="873" w:type="dxa"/>
            <w:noWrap/>
            <w:vAlign w:val="center"/>
          </w:tcPr>
          <w:p w14:paraId="36D3522D">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0.87</w:t>
            </w:r>
          </w:p>
        </w:tc>
        <w:tc>
          <w:tcPr>
            <w:tcW w:w="1400" w:type="dxa"/>
            <w:noWrap/>
            <w:vAlign w:val="center"/>
          </w:tcPr>
          <w:p w14:paraId="48EF8C18">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0.00391</w:t>
            </w:r>
          </w:p>
        </w:tc>
        <w:tc>
          <w:tcPr>
            <w:tcW w:w="873" w:type="dxa"/>
            <w:noWrap/>
            <w:vAlign w:val="center"/>
          </w:tcPr>
          <w:p w14:paraId="5AEC5558">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0.87</w:t>
            </w:r>
          </w:p>
        </w:tc>
      </w:tr>
      <w:tr w14:paraId="775646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533C0153">
            <w:pPr>
              <w:pStyle w:val="41"/>
              <w:spacing w:line="240" w:lineRule="atLeast"/>
              <w:rPr>
                <w:color w:val="auto"/>
                <w:highlight w:val="none"/>
              </w:rPr>
            </w:pPr>
            <w:r>
              <w:rPr>
                <w:color w:val="auto"/>
                <w:highlight w:val="none"/>
              </w:rPr>
              <w:t>8</w:t>
            </w:r>
          </w:p>
        </w:tc>
        <w:tc>
          <w:tcPr>
            <w:tcW w:w="674" w:type="pct"/>
            <w:noWrap/>
            <w:vAlign w:val="center"/>
          </w:tcPr>
          <w:p w14:paraId="1BC8C75C">
            <w:pPr>
              <w:pStyle w:val="41"/>
              <w:spacing w:line="240" w:lineRule="atLeast"/>
              <w:rPr>
                <w:color w:val="auto"/>
                <w:highlight w:val="none"/>
              </w:rPr>
            </w:pPr>
            <w:r>
              <w:rPr>
                <w:color w:val="auto"/>
                <w:highlight w:val="none"/>
              </w:rPr>
              <w:t>167</w:t>
            </w:r>
          </w:p>
        </w:tc>
        <w:tc>
          <w:tcPr>
            <w:tcW w:w="1398" w:type="dxa"/>
            <w:noWrap/>
            <w:vAlign w:val="center"/>
          </w:tcPr>
          <w:p w14:paraId="545E8110">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0.003971</w:t>
            </w:r>
          </w:p>
        </w:tc>
        <w:tc>
          <w:tcPr>
            <w:tcW w:w="873" w:type="dxa"/>
            <w:noWrap/>
            <w:vAlign w:val="center"/>
          </w:tcPr>
          <w:p w14:paraId="7F3E1768">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0.88</w:t>
            </w:r>
          </w:p>
        </w:tc>
        <w:tc>
          <w:tcPr>
            <w:tcW w:w="1398" w:type="dxa"/>
            <w:noWrap/>
            <w:vAlign w:val="center"/>
          </w:tcPr>
          <w:p w14:paraId="4EAAF772">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0.003971</w:t>
            </w:r>
          </w:p>
        </w:tc>
        <w:tc>
          <w:tcPr>
            <w:tcW w:w="873" w:type="dxa"/>
            <w:noWrap/>
            <w:vAlign w:val="center"/>
          </w:tcPr>
          <w:p w14:paraId="39530DF3">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0.88</w:t>
            </w:r>
          </w:p>
        </w:tc>
        <w:tc>
          <w:tcPr>
            <w:tcW w:w="1400" w:type="dxa"/>
            <w:noWrap/>
            <w:vAlign w:val="center"/>
          </w:tcPr>
          <w:p w14:paraId="7AE518E3">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0.003971</w:t>
            </w:r>
          </w:p>
        </w:tc>
        <w:tc>
          <w:tcPr>
            <w:tcW w:w="873" w:type="dxa"/>
            <w:noWrap/>
            <w:vAlign w:val="center"/>
          </w:tcPr>
          <w:p w14:paraId="69407FBB">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0.88</w:t>
            </w:r>
          </w:p>
        </w:tc>
      </w:tr>
      <w:tr w14:paraId="01B114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4DEBA7C9">
            <w:pPr>
              <w:pStyle w:val="41"/>
              <w:spacing w:line="240" w:lineRule="atLeast"/>
              <w:rPr>
                <w:color w:val="auto"/>
                <w:highlight w:val="none"/>
              </w:rPr>
            </w:pPr>
            <w:r>
              <w:rPr>
                <w:color w:val="auto"/>
                <w:highlight w:val="none"/>
              </w:rPr>
              <w:t>9</w:t>
            </w:r>
          </w:p>
        </w:tc>
        <w:tc>
          <w:tcPr>
            <w:tcW w:w="674" w:type="pct"/>
            <w:noWrap/>
            <w:vAlign w:val="center"/>
          </w:tcPr>
          <w:p w14:paraId="159E70F6">
            <w:pPr>
              <w:pStyle w:val="41"/>
              <w:spacing w:line="240" w:lineRule="atLeast"/>
              <w:rPr>
                <w:color w:val="auto"/>
                <w:highlight w:val="none"/>
              </w:rPr>
            </w:pPr>
            <w:r>
              <w:rPr>
                <w:color w:val="auto"/>
                <w:highlight w:val="none"/>
              </w:rPr>
              <w:t>175</w:t>
            </w:r>
          </w:p>
        </w:tc>
        <w:tc>
          <w:tcPr>
            <w:tcW w:w="1398" w:type="dxa"/>
            <w:noWrap/>
            <w:vAlign w:val="center"/>
          </w:tcPr>
          <w:p w14:paraId="7680BB4B">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0.003961</w:t>
            </w:r>
          </w:p>
        </w:tc>
        <w:tc>
          <w:tcPr>
            <w:tcW w:w="873" w:type="dxa"/>
            <w:noWrap/>
            <w:vAlign w:val="center"/>
          </w:tcPr>
          <w:p w14:paraId="606F1284">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0.88</w:t>
            </w:r>
          </w:p>
        </w:tc>
        <w:tc>
          <w:tcPr>
            <w:tcW w:w="1398" w:type="dxa"/>
            <w:noWrap/>
            <w:vAlign w:val="center"/>
          </w:tcPr>
          <w:p w14:paraId="7609EB1D">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0.003961</w:t>
            </w:r>
          </w:p>
        </w:tc>
        <w:tc>
          <w:tcPr>
            <w:tcW w:w="873" w:type="dxa"/>
            <w:noWrap/>
            <w:vAlign w:val="center"/>
          </w:tcPr>
          <w:p w14:paraId="0247A9E1">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0.88</w:t>
            </w:r>
          </w:p>
        </w:tc>
        <w:tc>
          <w:tcPr>
            <w:tcW w:w="1400" w:type="dxa"/>
            <w:noWrap/>
            <w:vAlign w:val="center"/>
          </w:tcPr>
          <w:p w14:paraId="4CB491CF">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0.003961</w:t>
            </w:r>
          </w:p>
        </w:tc>
        <w:tc>
          <w:tcPr>
            <w:tcW w:w="873" w:type="dxa"/>
            <w:noWrap/>
            <w:vAlign w:val="center"/>
          </w:tcPr>
          <w:p w14:paraId="4AFFF4A5">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0.88</w:t>
            </w:r>
          </w:p>
        </w:tc>
      </w:tr>
      <w:tr w14:paraId="01F85B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5FE84DF0">
            <w:pPr>
              <w:pStyle w:val="41"/>
              <w:spacing w:line="240" w:lineRule="atLeast"/>
              <w:rPr>
                <w:color w:val="auto"/>
                <w:highlight w:val="none"/>
              </w:rPr>
            </w:pPr>
            <w:r>
              <w:rPr>
                <w:color w:val="auto"/>
                <w:highlight w:val="none"/>
              </w:rPr>
              <w:t>10</w:t>
            </w:r>
          </w:p>
        </w:tc>
        <w:tc>
          <w:tcPr>
            <w:tcW w:w="674" w:type="pct"/>
            <w:noWrap/>
            <w:vAlign w:val="center"/>
          </w:tcPr>
          <w:p w14:paraId="6C77262F">
            <w:pPr>
              <w:pStyle w:val="41"/>
              <w:spacing w:line="240" w:lineRule="atLeast"/>
              <w:rPr>
                <w:color w:val="auto"/>
                <w:highlight w:val="none"/>
              </w:rPr>
            </w:pPr>
            <w:r>
              <w:rPr>
                <w:color w:val="auto"/>
                <w:highlight w:val="none"/>
              </w:rPr>
              <w:t>200</w:t>
            </w:r>
          </w:p>
        </w:tc>
        <w:tc>
          <w:tcPr>
            <w:tcW w:w="1398" w:type="dxa"/>
            <w:noWrap/>
            <w:vAlign w:val="center"/>
          </w:tcPr>
          <w:p w14:paraId="01B4802F">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0.003834</w:t>
            </w:r>
          </w:p>
        </w:tc>
        <w:tc>
          <w:tcPr>
            <w:tcW w:w="873" w:type="dxa"/>
            <w:noWrap/>
            <w:vAlign w:val="center"/>
          </w:tcPr>
          <w:p w14:paraId="6D650105">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0.85</w:t>
            </w:r>
          </w:p>
        </w:tc>
        <w:tc>
          <w:tcPr>
            <w:tcW w:w="1398" w:type="dxa"/>
            <w:noWrap/>
            <w:vAlign w:val="center"/>
          </w:tcPr>
          <w:p w14:paraId="0B4B8A43">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0.003834</w:t>
            </w:r>
          </w:p>
        </w:tc>
        <w:tc>
          <w:tcPr>
            <w:tcW w:w="873" w:type="dxa"/>
            <w:noWrap/>
            <w:vAlign w:val="center"/>
          </w:tcPr>
          <w:p w14:paraId="5D7FC5A2">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0.85</w:t>
            </w:r>
          </w:p>
        </w:tc>
        <w:tc>
          <w:tcPr>
            <w:tcW w:w="1400" w:type="dxa"/>
            <w:noWrap/>
            <w:vAlign w:val="center"/>
          </w:tcPr>
          <w:p w14:paraId="7294D9EF">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0.003834</w:t>
            </w:r>
          </w:p>
        </w:tc>
        <w:tc>
          <w:tcPr>
            <w:tcW w:w="873" w:type="dxa"/>
            <w:noWrap/>
            <w:vAlign w:val="center"/>
          </w:tcPr>
          <w:p w14:paraId="24F2F309">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0.85</w:t>
            </w:r>
          </w:p>
        </w:tc>
      </w:tr>
      <w:tr w14:paraId="446F2E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32242434">
            <w:pPr>
              <w:pStyle w:val="41"/>
              <w:spacing w:line="240" w:lineRule="atLeast"/>
              <w:rPr>
                <w:color w:val="auto"/>
                <w:highlight w:val="none"/>
              </w:rPr>
            </w:pPr>
            <w:r>
              <w:rPr>
                <w:color w:val="auto"/>
                <w:highlight w:val="none"/>
              </w:rPr>
              <w:t>11</w:t>
            </w:r>
          </w:p>
        </w:tc>
        <w:tc>
          <w:tcPr>
            <w:tcW w:w="674" w:type="pct"/>
            <w:noWrap/>
            <w:vAlign w:val="center"/>
          </w:tcPr>
          <w:p w14:paraId="0B967E3C">
            <w:pPr>
              <w:pStyle w:val="41"/>
              <w:spacing w:line="240" w:lineRule="atLeast"/>
              <w:rPr>
                <w:color w:val="auto"/>
                <w:highlight w:val="none"/>
              </w:rPr>
            </w:pPr>
            <w:r>
              <w:rPr>
                <w:color w:val="auto"/>
                <w:highlight w:val="none"/>
              </w:rPr>
              <w:t>225</w:t>
            </w:r>
          </w:p>
        </w:tc>
        <w:tc>
          <w:tcPr>
            <w:tcW w:w="1398" w:type="dxa"/>
            <w:noWrap/>
            <w:vAlign w:val="center"/>
          </w:tcPr>
          <w:p w14:paraId="174D73B3">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0.003629</w:t>
            </w:r>
          </w:p>
        </w:tc>
        <w:tc>
          <w:tcPr>
            <w:tcW w:w="873" w:type="dxa"/>
            <w:noWrap/>
            <w:vAlign w:val="center"/>
          </w:tcPr>
          <w:p w14:paraId="6444FF95">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0.81</w:t>
            </w:r>
          </w:p>
        </w:tc>
        <w:tc>
          <w:tcPr>
            <w:tcW w:w="1398" w:type="dxa"/>
            <w:noWrap/>
            <w:vAlign w:val="center"/>
          </w:tcPr>
          <w:p w14:paraId="2154CBD4">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0.003629</w:t>
            </w:r>
          </w:p>
        </w:tc>
        <w:tc>
          <w:tcPr>
            <w:tcW w:w="873" w:type="dxa"/>
            <w:noWrap/>
            <w:vAlign w:val="center"/>
          </w:tcPr>
          <w:p w14:paraId="22E3CCDB">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0.81</w:t>
            </w:r>
          </w:p>
        </w:tc>
        <w:tc>
          <w:tcPr>
            <w:tcW w:w="1400" w:type="dxa"/>
            <w:noWrap/>
            <w:vAlign w:val="center"/>
          </w:tcPr>
          <w:p w14:paraId="3825DE3D">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0.003629</w:t>
            </w:r>
          </w:p>
        </w:tc>
        <w:tc>
          <w:tcPr>
            <w:tcW w:w="873" w:type="dxa"/>
            <w:noWrap/>
            <w:vAlign w:val="center"/>
          </w:tcPr>
          <w:p w14:paraId="4703319A">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0.81</w:t>
            </w:r>
          </w:p>
        </w:tc>
      </w:tr>
      <w:tr w14:paraId="292B66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3E32A976">
            <w:pPr>
              <w:pStyle w:val="41"/>
              <w:spacing w:line="240" w:lineRule="atLeast"/>
              <w:rPr>
                <w:color w:val="auto"/>
                <w:highlight w:val="none"/>
              </w:rPr>
            </w:pPr>
            <w:r>
              <w:rPr>
                <w:color w:val="auto"/>
                <w:highlight w:val="none"/>
              </w:rPr>
              <w:t>12</w:t>
            </w:r>
          </w:p>
        </w:tc>
        <w:tc>
          <w:tcPr>
            <w:tcW w:w="674" w:type="pct"/>
            <w:noWrap/>
            <w:vAlign w:val="center"/>
          </w:tcPr>
          <w:p w14:paraId="1860F40C">
            <w:pPr>
              <w:pStyle w:val="41"/>
              <w:spacing w:line="240" w:lineRule="atLeast"/>
              <w:rPr>
                <w:color w:val="auto"/>
                <w:highlight w:val="none"/>
              </w:rPr>
            </w:pPr>
            <w:r>
              <w:rPr>
                <w:color w:val="auto"/>
                <w:highlight w:val="none"/>
              </w:rPr>
              <w:t>250</w:t>
            </w:r>
          </w:p>
        </w:tc>
        <w:tc>
          <w:tcPr>
            <w:tcW w:w="1398" w:type="dxa"/>
            <w:noWrap/>
            <w:vAlign w:val="center"/>
          </w:tcPr>
          <w:p w14:paraId="35317341">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0.003396</w:t>
            </w:r>
          </w:p>
        </w:tc>
        <w:tc>
          <w:tcPr>
            <w:tcW w:w="873" w:type="dxa"/>
            <w:noWrap/>
            <w:vAlign w:val="center"/>
          </w:tcPr>
          <w:p w14:paraId="06F095ED">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0.75</w:t>
            </w:r>
          </w:p>
        </w:tc>
        <w:tc>
          <w:tcPr>
            <w:tcW w:w="1398" w:type="dxa"/>
            <w:noWrap/>
            <w:vAlign w:val="center"/>
          </w:tcPr>
          <w:p w14:paraId="7420779F">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0.003396</w:t>
            </w:r>
          </w:p>
        </w:tc>
        <w:tc>
          <w:tcPr>
            <w:tcW w:w="873" w:type="dxa"/>
            <w:noWrap/>
            <w:vAlign w:val="center"/>
          </w:tcPr>
          <w:p w14:paraId="2153C7B2">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0.75</w:t>
            </w:r>
          </w:p>
        </w:tc>
        <w:tc>
          <w:tcPr>
            <w:tcW w:w="1400" w:type="dxa"/>
            <w:noWrap/>
            <w:vAlign w:val="center"/>
          </w:tcPr>
          <w:p w14:paraId="6DEE8A70">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0.003396</w:t>
            </w:r>
          </w:p>
        </w:tc>
        <w:tc>
          <w:tcPr>
            <w:tcW w:w="873" w:type="dxa"/>
            <w:noWrap/>
            <w:vAlign w:val="center"/>
          </w:tcPr>
          <w:p w14:paraId="4BC1D6E5">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0.75</w:t>
            </w:r>
          </w:p>
        </w:tc>
      </w:tr>
      <w:tr w14:paraId="0A016A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FA360DD">
            <w:pPr>
              <w:pStyle w:val="41"/>
              <w:spacing w:line="240" w:lineRule="atLeast"/>
              <w:rPr>
                <w:color w:val="auto"/>
                <w:highlight w:val="none"/>
              </w:rPr>
            </w:pPr>
            <w:r>
              <w:rPr>
                <w:color w:val="auto"/>
                <w:highlight w:val="none"/>
              </w:rPr>
              <w:t>13</w:t>
            </w:r>
          </w:p>
        </w:tc>
        <w:tc>
          <w:tcPr>
            <w:tcW w:w="674" w:type="pct"/>
            <w:noWrap/>
            <w:vAlign w:val="center"/>
          </w:tcPr>
          <w:p w14:paraId="460F2604">
            <w:pPr>
              <w:pStyle w:val="41"/>
              <w:spacing w:line="240" w:lineRule="atLeast"/>
              <w:rPr>
                <w:color w:val="auto"/>
                <w:highlight w:val="none"/>
              </w:rPr>
            </w:pPr>
            <w:r>
              <w:rPr>
                <w:color w:val="auto"/>
                <w:highlight w:val="none"/>
              </w:rPr>
              <w:t>275</w:t>
            </w:r>
          </w:p>
        </w:tc>
        <w:tc>
          <w:tcPr>
            <w:tcW w:w="1398" w:type="dxa"/>
            <w:noWrap/>
            <w:vAlign w:val="center"/>
          </w:tcPr>
          <w:p w14:paraId="302365CA">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0.003162</w:t>
            </w:r>
          </w:p>
        </w:tc>
        <w:tc>
          <w:tcPr>
            <w:tcW w:w="873" w:type="dxa"/>
            <w:noWrap/>
            <w:vAlign w:val="center"/>
          </w:tcPr>
          <w:p w14:paraId="3D2AD903">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0.7</w:t>
            </w:r>
          </w:p>
        </w:tc>
        <w:tc>
          <w:tcPr>
            <w:tcW w:w="1398" w:type="dxa"/>
            <w:noWrap/>
            <w:vAlign w:val="center"/>
          </w:tcPr>
          <w:p w14:paraId="275F32E7">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0.003162</w:t>
            </w:r>
          </w:p>
        </w:tc>
        <w:tc>
          <w:tcPr>
            <w:tcW w:w="873" w:type="dxa"/>
            <w:noWrap/>
            <w:vAlign w:val="center"/>
          </w:tcPr>
          <w:p w14:paraId="16C90023">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0.7</w:t>
            </w:r>
          </w:p>
        </w:tc>
        <w:tc>
          <w:tcPr>
            <w:tcW w:w="1400" w:type="dxa"/>
            <w:noWrap/>
            <w:vAlign w:val="center"/>
          </w:tcPr>
          <w:p w14:paraId="1B9777F2">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0.003162</w:t>
            </w:r>
          </w:p>
        </w:tc>
        <w:tc>
          <w:tcPr>
            <w:tcW w:w="873" w:type="dxa"/>
            <w:noWrap/>
            <w:vAlign w:val="center"/>
          </w:tcPr>
          <w:p w14:paraId="4787B703">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0.7</w:t>
            </w:r>
          </w:p>
        </w:tc>
      </w:tr>
      <w:tr w14:paraId="6EB0BA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7727191D">
            <w:pPr>
              <w:pStyle w:val="41"/>
              <w:spacing w:line="240" w:lineRule="atLeast"/>
              <w:rPr>
                <w:color w:val="auto"/>
                <w:highlight w:val="none"/>
              </w:rPr>
            </w:pPr>
            <w:r>
              <w:rPr>
                <w:color w:val="auto"/>
                <w:highlight w:val="none"/>
              </w:rPr>
              <w:t>14</w:t>
            </w:r>
          </w:p>
        </w:tc>
        <w:tc>
          <w:tcPr>
            <w:tcW w:w="674" w:type="pct"/>
            <w:noWrap/>
            <w:vAlign w:val="center"/>
          </w:tcPr>
          <w:p w14:paraId="78637012">
            <w:pPr>
              <w:pStyle w:val="41"/>
              <w:spacing w:line="240" w:lineRule="atLeast"/>
              <w:rPr>
                <w:color w:val="auto"/>
                <w:highlight w:val="none"/>
              </w:rPr>
            </w:pPr>
            <w:r>
              <w:rPr>
                <w:color w:val="auto"/>
                <w:highlight w:val="none"/>
              </w:rPr>
              <w:t>300</w:t>
            </w:r>
          </w:p>
        </w:tc>
        <w:tc>
          <w:tcPr>
            <w:tcW w:w="1398" w:type="dxa"/>
            <w:noWrap/>
            <w:vAlign w:val="center"/>
          </w:tcPr>
          <w:p w14:paraId="0AF6D544">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0.002939</w:t>
            </w:r>
          </w:p>
        </w:tc>
        <w:tc>
          <w:tcPr>
            <w:tcW w:w="873" w:type="dxa"/>
            <w:noWrap/>
            <w:vAlign w:val="center"/>
          </w:tcPr>
          <w:p w14:paraId="302B59AC">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0.65</w:t>
            </w:r>
          </w:p>
        </w:tc>
        <w:tc>
          <w:tcPr>
            <w:tcW w:w="1398" w:type="dxa"/>
            <w:noWrap/>
            <w:vAlign w:val="center"/>
          </w:tcPr>
          <w:p w14:paraId="5DDE9389">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0.002939</w:t>
            </w:r>
          </w:p>
        </w:tc>
        <w:tc>
          <w:tcPr>
            <w:tcW w:w="873" w:type="dxa"/>
            <w:noWrap/>
            <w:vAlign w:val="center"/>
          </w:tcPr>
          <w:p w14:paraId="66EC280B">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0.65</w:t>
            </w:r>
          </w:p>
        </w:tc>
        <w:tc>
          <w:tcPr>
            <w:tcW w:w="1400" w:type="dxa"/>
            <w:noWrap/>
            <w:vAlign w:val="center"/>
          </w:tcPr>
          <w:p w14:paraId="5CFF3BE0">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0.002939</w:t>
            </w:r>
          </w:p>
        </w:tc>
        <w:tc>
          <w:tcPr>
            <w:tcW w:w="873" w:type="dxa"/>
            <w:noWrap/>
            <w:vAlign w:val="center"/>
          </w:tcPr>
          <w:p w14:paraId="46485345">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0.65</w:t>
            </w:r>
          </w:p>
        </w:tc>
      </w:tr>
      <w:tr w14:paraId="6C79B7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0A46E06">
            <w:pPr>
              <w:pStyle w:val="41"/>
              <w:spacing w:line="240" w:lineRule="atLeast"/>
              <w:rPr>
                <w:color w:val="auto"/>
                <w:highlight w:val="none"/>
              </w:rPr>
            </w:pPr>
            <w:r>
              <w:rPr>
                <w:color w:val="auto"/>
                <w:highlight w:val="none"/>
              </w:rPr>
              <w:t>15</w:t>
            </w:r>
          </w:p>
        </w:tc>
        <w:tc>
          <w:tcPr>
            <w:tcW w:w="674" w:type="pct"/>
            <w:noWrap/>
            <w:vAlign w:val="center"/>
          </w:tcPr>
          <w:p w14:paraId="1882BFB9">
            <w:pPr>
              <w:pStyle w:val="41"/>
              <w:spacing w:line="240" w:lineRule="atLeast"/>
              <w:rPr>
                <w:color w:val="auto"/>
                <w:highlight w:val="none"/>
              </w:rPr>
            </w:pPr>
            <w:r>
              <w:rPr>
                <w:color w:val="auto"/>
                <w:highlight w:val="none"/>
              </w:rPr>
              <w:t>325</w:t>
            </w:r>
          </w:p>
        </w:tc>
        <w:tc>
          <w:tcPr>
            <w:tcW w:w="1398" w:type="dxa"/>
            <w:noWrap/>
            <w:vAlign w:val="center"/>
          </w:tcPr>
          <w:p w14:paraId="3C226A0A">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0.002732</w:t>
            </w:r>
          </w:p>
        </w:tc>
        <w:tc>
          <w:tcPr>
            <w:tcW w:w="873" w:type="dxa"/>
            <w:noWrap/>
            <w:vAlign w:val="center"/>
          </w:tcPr>
          <w:p w14:paraId="1DBA69CA">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0.61</w:t>
            </w:r>
          </w:p>
        </w:tc>
        <w:tc>
          <w:tcPr>
            <w:tcW w:w="1398" w:type="dxa"/>
            <w:noWrap/>
            <w:vAlign w:val="center"/>
          </w:tcPr>
          <w:p w14:paraId="7FAA77F4">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0.002732</w:t>
            </w:r>
          </w:p>
        </w:tc>
        <w:tc>
          <w:tcPr>
            <w:tcW w:w="873" w:type="dxa"/>
            <w:noWrap/>
            <w:vAlign w:val="center"/>
          </w:tcPr>
          <w:p w14:paraId="0C8EA750">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0.61</w:t>
            </w:r>
          </w:p>
        </w:tc>
        <w:tc>
          <w:tcPr>
            <w:tcW w:w="1400" w:type="dxa"/>
            <w:noWrap/>
            <w:vAlign w:val="center"/>
          </w:tcPr>
          <w:p w14:paraId="697718E9">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0.002732</w:t>
            </w:r>
          </w:p>
        </w:tc>
        <w:tc>
          <w:tcPr>
            <w:tcW w:w="873" w:type="dxa"/>
            <w:noWrap/>
            <w:vAlign w:val="center"/>
          </w:tcPr>
          <w:p w14:paraId="2A1CB075">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0.61</w:t>
            </w:r>
          </w:p>
        </w:tc>
      </w:tr>
      <w:tr w14:paraId="4F6ECB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2A5824F">
            <w:pPr>
              <w:pStyle w:val="41"/>
              <w:spacing w:line="240" w:lineRule="atLeast"/>
              <w:rPr>
                <w:color w:val="auto"/>
                <w:highlight w:val="none"/>
              </w:rPr>
            </w:pPr>
            <w:r>
              <w:rPr>
                <w:color w:val="auto"/>
                <w:highlight w:val="none"/>
              </w:rPr>
              <w:t>16</w:t>
            </w:r>
          </w:p>
        </w:tc>
        <w:tc>
          <w:tcPr>
            <w:tcW w:w="674" w:type="pct"/>
            <w:noWrap/>
            <w:vAlign w:val="center"/>
          </w:tcPr>
          <w:p w14:paraId="0617F256">
            <w:pPr>
              <w:pStyle w:val="41"/>
              <w:spacing w:line="240" w:lineRule="atLeast"/>
              <w:rPr>
                <w:color w:val="auto"/>
                <w:highlight w:val="none"/>
              </w:rPr>
            </w:pPr>
            <w:r>
              <w:rPr>
                <w:color w:val="auto"/>
                <w:highlight w:val="none"/>
              </w:rPr>
              <w:t>350</w:t>
            </w:r>
          </w:p>
        </w:tc>
        <w:tc>
          <w:tcPr>
            <w:tcW w:w="1398" w:type="dxa"/>
            <w:noWrap/>
            <w:vAlign w:val="center"/>
          </w:tcPr>
          <w:p w14:paraId="51B31E8A">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0.002542</w:t>
            </w:r>
          </w:p>
        </w:tc>
        <w:tc>
          <w:tcPr>
            <w:tcW w:w="873" w:type="dxa"/>
            <w:noWrap/>
            <w:vAlign w:val="center"/>
          </w:tcPr>
          <w:p w14:paraId="01EE0C7A">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0.56</w:t>
            </w:r>
          </w:p>
        </w:tc>
        <w:tc>
          <w:tcPr>
            <w:tcW w:w="1398" w:type="dxa"/>
            <w:noWrap/>
            <w:vAlign w:val="center"/>
          </w:tcPr>
          <w:p w14:paraId="71FA489C">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0.002542</w:t>
            </w:r>
          </w:p>
        </w:tc>
        <w:tc>
          <w:tcPr>
            <w:tcW w:w="873" w:type="dxa"/>
            <w:noWrap/>
            <w:vAlign w:val="center"/>
          </w:tcPr>
          <w:p w14:paraId="3D471088">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0.56</w:t>
            </w:r>
          </w:p>
        </w:tc>
        <w:tc>
          <w:tcPr>
            <w:tcW w:w="1400" w:type="dxa"/>
            <w:noWrap/>
            <w:vAlign w:val="center"/>
          </w:tcPr>
          <w:p w14:paraId="0772C639">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0.002542</w:t>
            </w:r>
          </w:p>
        </w:tc>
        <w:tc>
          <w:tcPr>
            <w:tcW w:w="873" w:type="dxa"/>
            <w:noWrap/>
            <w:vAlign w:val="center"/>
          </w:tcPr>
          <w:p w14:paraId="348112C9">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0.56</w:t>
            </w:r>
          </w:p>
        </w:tc>
      </w:tr>
      <w:tr w14:paraId="2A8DFC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3F43DC21">
            <w:pPr>
              <w:pStyle w:val="41"/>
              <w:spacing w:line="240" w:lineRule="atLeast"/>
              <w:rPr>
                <w:color w:val="auto"/>
                <w:highlight w:val="none"/>
              </w:rPr>
            </w:pPr>
            <w:r>
              <w:rPr>
                <w:color w:val="auto"/>
                <w:highlight w:val="none"/>
              </w:rPr>
              <w:t>17</w:t>
            </w:r>
          </w:p>
        </w:tc>
        <w:tc>
          <w:tcPr>
            <w:tcW w:w="674" w:type="pct"/>
            <w:noWrap/>
            <w:vAlign w:val="center"/>
          </w:tcPr>
          <w:p w14:paraId="006329E3">
            <w:pPr>
              <w:pStyle w:val="41"/>
              <w:spacing w:line="240" w:lineRule="atLeast"/>
              <w:rPr>
                <w:color w:val="auto"/>
                <w:highlight w:val="none"/>
              </w:rPr>
            </w:pPr>
            <w:r>
              <w:rPr>
                <w:color w:val="auto"/>
                <w:highlight w:val="none"/>
              </w:rPr>
              <w:t>375</w:t>
            </w:r>
          </w:p>
        </w:tc>
        <w:tc>
          <w:tcPr>
            <w:tcW w:w="1398" w:type="dxa"/>
            <w:noWrap/>
            <w:vAlign w:val="center"/>
          </w:tcPr>
          <w:p w14:paraId="58803FF1">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0.00237</w:t>
            </w:r>
          </w:p>
        </w:tc>
        <w:tc>
          <w:tcPr>
            <w:tcW w:w="873" w:type="dxa"/>
            <w:noWrap/>
            <w:vAlign w:val="center"/>
          </w:tcPr>
          <w:p w14:paraId="4E29933E">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0.53</w:t>
            </w:r>
          </w:p>
        </w:tc>
        <w:tc>
          <w:tcPr>
            <w:tcW w:w="1398" w:type="dxa"/>
            <w:noWrap/>
            <w:vAlign w:val="center"/>
          </w:tcPr>
          <w:p w14:paraId="665DF64A">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0.00237</w:t>
            </w:r>
          </w:p>
        </w:tc>
        <w:tc>
          <w:tcPr>
            <w:tcW w:w="873" w:type="dxa"/>
            <w:noWrap/>
            <w:vAlign w:val="center"/>
          </w:tcPr>
          <w:p w14:paraId="39787706">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0.53</w:t>
            </w:r>
          </w:p>
        </w:tc>
        <w:tc>
          <w:tcPr>
            <w:tcW w:w="1400" w:type="dxa"/>
            <w:noWrap/>
            <w:vAlign w:val="center"/>
          </w:tcPr>
          <w:p w14:paraId="79FCB04F">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0.00237</w:t>
            </w:r>
          </w:p>
        </w:tc>
        <w:tc>
          <w:tcPr>
            <w:tcW w:w="873" w:type="dxa"/>
            <w:noWrap/>
            <w:vAlign w:val="center"/>
          </w:tcPr>
          <w:p w14:paraId="04351C90">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0.53</w:t>
            </w:r>
          </w:p>
        </w:tc>
      </w:tr>
      <w:tr w14:paraId="00CD01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CF94198">
            <w:pPr>
              <w:pStyle w:val="41"/>
              <w:spacing w:line="240" w:lineRule="atLeast"/>
              <w:rPr>
                <w:color w:val="auto"/>
                <w:highlight w:val="none"/>
              </w:rPr>
            </w:pPr>
            <w:r>
              <w:rPr>
                <w:color w:val="auto"/>
                <w:highlight w:val="none"/>
              </w:rPr>
              <w:t>18</w:t>
            </w:r>
          </w:p>
        </w:tc>
        <w:tc>
          <w:tcPr>
            <w:tcW w:w="674" w:type="pct"/>
            <w:noWrap/>
            <w:vAlign w:val="center"/>
          </w:tcPr>
          <w:p w14:paraId="404B6E67">
            <w:pPr>
              <w:pStyle w:val="41"/>
              <w:spacing w:line="240" w:lineRule="atLeast"/>
              <w:rPr>
                <w:color w:val="auto"/>
                <w:highlight w:val="none"/>
              </w:rPr>
            </w:pPr>
            <w:r>
              <w:rPr>
                <w:color w:val="auto"/>
                <w:highlight w:val="none"/>
              </w:rPr>
              <w:t>400</w:t>
            </w:r>
          </w:p>
        </w:tc>
        <w:tc>
          <w:tcPr>
            <w:tcW w:w="1398" w:type="dxa"/>
            <w:noWrap/>
            <w:vAlign w:val="center"/>
          </w:tcPr>
          <w:p w14:paraId="56E34CEE">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0.002214</w:t>
            </w:r>
          </w:p>
        </w:tc>
        <w:tc>
          <w:tcPr>
            <w:tcW w:w="873" w:type="dxa"/>
            <w:noWrap/>
            <w:vAlign w:val="center"/>
          </w:tcPr>
          <w:p w14:paraId="6F25A939">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0.49</w:t>
            </w:r>
          </w:p>
        </w:tc>
        <w:tc>
          <w:tcPr>
            <w:tcW w:w="1398" w:type="dxa"/>
            <w:noWrap/>
            <w:vAlign w:val="center"/>
          </w:tcPr>
          <w:p w14:paraId="43382802">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0.002214</w:t>
            </w:r>
          </w:p>
        </w:tc>
        <w:tc>
          <w:tcPr>
            <w:tcW w:w="873" w:type="dxa"/>
            <w:noWrap/>
            <w:vAlign w:val="center"/>
          </w:tcPr>
          <w:p w14:paraId="7187590E">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0.49</w:t>
            </w:r>
          </w:p>
        </w:tc>
        <w:tc>
          <w:tcPr>
            <w:tcW w:w="1400" w:type="dxa"/>
            <w:noWrap/>
            <w:vAlign w:val="center"/>
          </w:tcPr>
          <w:p w14:paraId="662DCB30">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0.002214</w:t>
            </w:r>
          </w:p>
        </w:tc>
        <w:tc>
          <w:tcPr>
            <w:tcW w:w="873" w:type="dxa"/>
            <w:noWrap/>
            <w:vAlign w:val="center"/>
          </w:tcPr>
          <w:p w14:paraId="102EDCC4">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0.49</w:t>
            </w:r>
          </w:p>
        </w:tc>
      </w:tr>
      <w:tr w14:paraId="5C9940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D56B5FE">
            <w:pPr>
              <w:pStyle w:val="41"/>
              <w:spacing w:line="240" w:lineRule="atLeast"/>
              <w:rPr>
                <w:color w:val="auto"/>
                <w:highlight w:val="none"/>
              </w:rPr>
            </w:pPr>
            <w:r>
              <w:rPr>
                <w:color w:val="auto"/>
                <w:highlight w:val="none"/>
              </w:rPr>
              <w:t>19</w:t>
            </w:r>
          </w:p>
        </w:tc>
        <w:tc>
          <w:tcPr>
            <w:tcW w:w="674" w:type="pct"/>
            <w:noWrap/>
            <w:vAlign w:val="center"/>
          </w:tcPr>
          <w:p w14:paraId="31082C50">
            <w:pPr>
              <w:pStyle w:val="41"/>
              <w:spacing w:line="240" w:lineRule="atLeast"/>
              <w:rPr>
                <w:color w:val="auto"/>
                <w:highlight w:val="none"/>
              </w:rPr>
            </w:pPr>
            <w:r>
              <w:rPr>
                <w:color w:val="auto"/>
                <w:highlight w:val="none"/>
              </w:rPr>
              <w:t>425</w:t>
            </w:r>
          </w:p>
        </w:tc>
        <w:tc>
          <w:tcPr>
            <w:tcW w:w="1398" w:type="dxa"/>
            <w:noWrap/>
            <w:vAlign w:val="center"/>
          </w:tcPr>
          <w:p w14:paraId="387F635D">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0.002073</w:t>
            </w:r>
          </w:p>
        </w:tc>
        <w:tc>
          <w:tcPr>
            <w:tcW w:w="873" w:type="dxa"/>
            <w:noWrap/>
            <w:vAlign w:val="center"/>
          </w:tcPr>
          <w:p w14:paraId="29D2620D">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0.46</w:t>
            </w:r>
          </w:p>
        </w:tc>
        <w:tc>
          <w:tcPr>
            <w:tcW w:w="1398" w:type="dxa"/>
            <w:noWrap/>
            <w:vAlign w:val="center"/>
          </w:tcPr>
          <w:p w14:paraId="3887BF38">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0.002073</w:t>
            </w:r>
          </w:p>
        </w:tc>
        <w:tc>
          <w:tcPr>
            <w:tcW w:w="873" w:type="dxa"/>
            <w:noWrap/>
            <w:vAlign w:val="center"/>
          </w:tcPr>
          <w:p w14:paraId="147C9929">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0.46</w:t>
            </w:r>
          </w:p>
        </w:tc>
        <w:tc>
          <w:tcPr>
            <w:tcW w:w="1400" w:type="dxa"/>
            <w:noWrap/>
            <w:vAlign w:val="center"/>
          </w:tcPr>
          <w:p w14:paraId="24AEA88F">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0.002073</w:t>
            </w:r>
          </w:p>
        </w:tc>
        <w:tc>
          <w:tcPr>
            <w:tcW w:w="873" w:type="dxa"/>
            <w:noWrap/>
            <w:vAlign w:val="center"/>
          </w:tcPr>
          <w:p w14:paraId="29F7394A">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0.46</w:t>
            </w:r>
          </w:p>
        </w:tc>
      </w:tr>
      <w:tr w14:paraId="152A2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5D7D5CE1">
            <w:pPr>
              <w:pStyle w:val="41"/>
              <w:spacing w:line="240" w:lineRule="atLeast"/>
              <w:rPr>
                <w:color w:val="auto"/>
                <w:highlight w:val="none"/>
              </w:rPr>
            </w:pPr>
            <w:r>
              <w:rPr>
                <w:color w:val="auto"/>
                <w:highlight w:val="none"/>
              </w:rPr>
              <w:t>20</w:t>
            </w:r>
          </w:p>
        </w:tc>
        <w:tc>
          <w:tcPr>
            <w:tcW w:w="674" w:type="pct"/>
            <w:noWrap/>
            <w:vAlign w:val="center"/>
          </w:tcPr>
          <w:p w14:paraId="385E4934">
            <w:pPr>
              <w:pStyle w:val="41"/>
              <w:spacing w:line="240" w:lineRule="atLeast"/>
              <w:rPr>
                <w:color w:val="auto"/>
                <w:highlight w:val="none"/>
              </w:rPr>
            </w:pPr>
            <w:r>
              <w:rPr>
                <w:color w:val="auto"/>
                <w:highlight w:val="none"/>
              </w:rPr>
              <w:t>450</w:t>
            </w:r>
          </w:p>
        </w:tc>
        <w:tc>
          <w:tcPr>
            <w:tcW w:w="1398" w:type="dxa"/>
            <w:noWrap/>
            <w:vAlign w:val="center"/>
          </w:tcPr>
          <w:p w14:paraId="42317D31">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0.001944</w:t>
            </w:r>
          </w:p>
        </w:tc>
        <w:tc>
          <w:tcPr>
            <w:tcW w:w="873" w:type="dxa"/>
            <w:noWrap/>
            <w:vAlign w:val="center"/>
          </w:tcPr>
          <w:p w14:paraId="0FECD94B">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0.43</w:t>
            </w:r>
          </w:p>
        </w:tc>
        <w:tc>
          <w:tcPr>
            <w:tcW w:w="1398" w:type="dxa"/>
            <w:noWrap/>
            <w:vAlign w:val="center"/>
          </w:tcPr>
          <w:p w14:paraId="79DBCE02">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0.001944</w:t>
            </w:r>
          </w:p>
        </w:tc>
        <w:tc>
          <w:tcPr>
            <w:tcW w:w="873" w:type="dxa"/>
            <w:noWrap/>
            <w:vAlign w:val="center"/>
          </w:tcPr>
          <w:p w14:paraId="2458983E">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0.43</w:t>
            </w:r>
          </w:p>
        </w:tc>
        <w:tc>
          <w:tcPr>
            <w:tcW w:w="1400" w:type="dxa"/>
            <w:noWrap/>
            <w:vAlign w:val="center"/>
          </w:tcPr>
          <w:p w14:paraId="561E217A">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0.001944</w:t>
            </w:r>
          </w:p>
        </w:tc>
        <w:tc>
          <w:tcPr>
            <w:tcW w:w="873" w:type="dxa"/>
            <w:noWrap/>
            <w:vAlign w:val="center"/>
          </w:tcPr>
          <w:p w14:paraId="02C317E1">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0.43</w:t>
            </w:r>
          </w:p>
        </w:tc>
      </w:tr>
      <w:tr w14:paraId="3A0572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41818C3D">
            <w:pPr>
              <w:pStyle w:val="41"/>
              <w:spacing w:line="240" w:lineRule="atLeast"/>
              <w:rPr>
                <w:color w:val="auto"/>
                <w:highlight w:val="none"/>
              </w:rPr>
            </w:pPr>
            <w:r>
              <w:rPr>
                <w:color w:val="auto"/>
                <w:highlight w:val="none"/>
              </w:rPr>
              <w:t>21</w:t>
            </w:r>
          </w:p>
        </w:tc>
        <w:tc>
          <w:tcPr>
            <w:tcW w:w="674" w:type="pct"/>
            <w:noWrap/>
            <w:vAlign w:val="center"/>
          </w:tcPr>
          <w:p w14:paraId="76977462">
            <w:pPr>
              <w:pStyle w:val="41"/>
              <w:spacing w:line="240" w:lineRule="atLeast"/>
              <w:rPr>
                <w:color w:val="auto"/>
                <w:highlight w:val="none"/>
              </w:rPr>
            </w:pPr>
            <w:r>
              <w:rPr>
                <w:color w:val="auto"/>
                <w:highlight w:val="none"/>
              </w:rPr>
              <w:t>475</w:t>
            </w:r>
          </w:p>
        </w:tc>
        <w:tc>
          <w:tcPr>
            <w:tcW w:w="1398" w:type="dxa"/>
            <w:noWrap/>
            <w:vAlign w:val="center"/>
          </w:tcPr>
          <w:p w14:paraId="47EF2649">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0.001828</w:t>
            </w:r>
          </w:p>
        </w:tc>
        <w:tc>
          <w:tcPr>
            <w:tcW w:w="873" w:type="dxa"/>
            <w:noWrap/>
            <w:vAlign w:val="center"/>
          </w:tcPr>
          <w:p w14:paraId="00A76792">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0.41</w:t>
            </w:r>
          </w:p>
        </w:tc>
        <w:tc>
          <w:tcPr>
            <w:tcW w:w="1398" w:type="dxa"/>
            <w:noWrap/>
            <w:vAlign w:val="center"/>
          </w:tcPr>
          <w:p w14:paraId="3595FC39">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0.001828</w:t>
            </w:r>
          </w:p>
        </w:tc>
        <w:tc>
          <w:tcPr>
            <w:tcW w:w="873" w:type="dxa"/>
            <w:noWrap/>
            <w:vAlign w:val="center"/>
          </w:tcPr>
          <w:p w14:paraId="77F14D15">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0.41</w:t>
            </w:r>
          </w:p>
        </w:tc>
        <w:tc>
          <w:tcPr>
            <w:tcW w:w="1400" w:type="dxa"/>
            <w:noWrap/>
            <w:vAlign w:val="center"/>
          </w:tcPr>
          <w:p w14:paraId="6A710B07">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0.001828</w:t>
            </w:r>
          </w:p>
        </w:tc>
        <w:tc>
          <w:tcPr>
            <w:tcW w:w="873" w:type="dxa"/>
            <w:noWrap/>
            <w:vAlign w:val="center"/>
          </w:tcPr>
          <w:p w14:paraId="0108CF40">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0.41</w:t>
            </w:r>
          </w:p>
        </w:tc>
      </w:tr>
      <w:tr w14:paraId="45EF96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4763F7CA">
            <w:pPr>
              <w:pStyle w:val="41"/>
              <w:spacing w:line="240" w:lineRule="atLeast"/>
              <w:rPr>
                <w:color w:val="auto"/>
                <w:highlight w:val="none"/>
              </w:rPr>
            </w:pPr>
            <w:r>
              <w:rPr>
                <w:color w:val="auto"/>
                <w:highlight w:val="none"/>
              </w:rPr>
              <w:t>22</w:t>
            </w:r>
          </w:p>
        </w:tc>
        <w:tc>
          <w:tcPr>
            <w:tcW w:w="674" w:type="pct"/>
            <w:noWrap/>
            <w:vAlign w:val="center"/>
          </w:tcPr>
          <w:p w14:paraId="4E1B538D">
            <w:pPr>
              <w:pStyle w:val="41"/>
              <w:spacing w:line="240" w:lineRule="atLeast"/>
              <w:rPr>
                <w:color w:val="auto"/>
                <w:highlight w:val="none"/>
              </w:rPr>
            </w:pPr>
            <w:r>
              <w:rPr>
                <w:color w:val="auto"/>
                <w:highlight w:val="none"/>
              </w:rPr>
              <w:t>500</w:t>
            </w:r>
          </w:p>
        </w:tc>
        <w:tc>
          <w:tcPr>
            <w:tcW w:w="1398" w:type="dxa"/>
            <w:noWrap/>
            <w:vAlign w:val="center"/>
          </w:tcPr>
          <w:p w14:paraId="7652E5E1">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0.001723</w:t>
            </w:r>
          </w:p>
        </w:tc>
        <w:tc>
          <w:tcPr>
            <w:tcW w:w="873" w:type="dxa"/>
            <w:noWrap/>
            <w:vAlign w:val="center"/>
          </w:tcPr>
          <w:p w14:paraId="05F9333B">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0.38</w:t>
            </w:r>
          </w:p>
        </w:tc>
        <w:tc>
          <w:tcPr>
            <w:tcW w:w="1398" w:type="dxa"/>
            <w:noWrap/>
            <w:vAlign w:val="center"/>
          </w:tcPr>
          <w:p w14:paraId="2A30D2FA">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0.001723</w:t>
            </w:r>
          </w:p>
        </w:tc>
        <w:tc>
          <w:tcPr>
            <w:tcW w:w="873" w:type="dxa"/>
            <w:noWrap/>
            <w:vAlign w:val="center"/>
          </w:tcPr>
          <w:p w14:paraId="604E9BC2">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0.38</w:t>
            </w:r>
          </w:p>
        </w:tc>
        <w:tc>
          <w:tcPr>
            <w:tcW w:w="1400" w:type="dxa"/>
            <w:noWrap/>
            <w:vAlign w:val="center"/>
          </w:tcPr>
          <w:p w14:paraId="6872F5B6">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0.001723</w:t>
            </w:r>
          </w:p>
        </w:tc>
        <w:tc>
          <w:tcPr>
            <w:tcW w:w="873" w:type="dxa"/>
            <w:noWrap/>
            <w:vAlign w:val="center"/>
          </w:tcPr>
          <w:p w14:paraId="713D92DC">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0.38</w:t>
            </w:r>
          </w:p>
        </w:tc>
      </w:tr>
      <w:tr w14:paraId="003BC9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4815B50E">
            <w:pPr>
              <w:pStyle w:val="41"/>
              <w:spacing w:line="240" w:lineRule="atLeast"/>
              <w:rPr>
                <w:color w:val="auto"/>
                <w:highlight w:val="none"/>
              </w:rPr>
            </w:pPr>
            <w:r>
              <w:rPr>
                <w:color w:val="auto"/>
                <w:highlight w:val="none"/>
              </w:rPr>
              <w:t>23</w:t>
            </w:r>
          </w:p>
        </w:tc>
        <w:tc>
          <w:tcPr>
            <w:tcW w:w="674" w:type="pct"/>
            <w:noWrap/>
            <w:vAlign w:val="center"/>
          </w:tcPr>
          <w:p w14:paraId="4BD1BD32">
            <w:pPr>
              <w:pStyle w:val="41"/>
              <w:spacing w:line="240" w:lineRule="atLeast"/>
              <w:rPr>
                <w:color w:val="auto"/>
                <w:highlight w:val="none"/>
              </w:rPr>
            </w:pPr>
            <w:r>
              <w:rPr>
                <w:color w:val="auto"/>
                <w:highlight w:val="none"/>
              </w:rPr>
              <w:t>525</w:t>
            </w:r>
          </w:p>
        </w:tc>
        <w:tc>
          <w:tcPr>
            <w:tcW w:w="1398" w:type="dxa"/>
            <w:noWrap/>
            <w:vAlign w:val="center"/>
          </w:tcPr>
          <w:p w14:paraId="170FFBE1">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0.001626</w:t>
            </w:r>
          </w:p>
        </w:tc>
        <w:tc>
          <w:tcPr>
            <w:tcW w:w="873" w:type="dxa"/>
            <w:noWrap/>
            <w:vAlign w:val="center"/>
          </w:tcPr>
          <w:p w14:paraId="53933C85">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0.36</w:t>
            </w:r>
          </w:p>
        </w:tc>
        <w:tc>
          <w:tcPr>
            <w:tcW w:w="1398" w:type="dxa"/>
            <w:noWrap/>
            <w:vAlign w:val="center"/>
          </w:tcPr>
          <w:p w14:paraId="0A4AB829">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0.001626</w:t>
            </w:r>
          </w:p>
        </w:tc>
        <w:tc>
          <w:tcPr>
            <w:tcW w:w="873" w:type="dxa"/>
            <w:noWrap/>
            <w:vAlign w:val="center"/>
          </w:tcPr>
          <w:p w14:paraId="107C6851">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0.36</w:t>
            </w:r>
          </w:p>
        </w:tc>
        <w:tc>
          <w:tcPr>
            <w:tcW w:w="1400" w:type="dxa"/>
            <w:noWrap/>
            <w:vAlign w:val="center"/>
          </w:tcPr>
          <w:p w14:paraId="76EB05C1">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0.001626</w:t>
            </w:r>
          </w:p>
        </w:tc>
        <w:tc>
          <w:tcPr>
            <w:tcW w:w="873" w:type="dxa"/>
            <w:noWrap/>
            <w:vAlign w:val="center"/>
          </w:tcPr>
          <w:p w14:paraId="537431FD">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0.36</w:t>
            </w:r>
          </w:p>
        </w:tc>
      </w:tr>
      <w:tr w14:paraId="048124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64D7016D">
            <w:pPr>
              <w:pStyle w:val="41"/>
              <w:spacing w:line="240" w:lineRule="atLeast"/>
              <w:rPr>
                <w:color w:val="auto"/>
                <w:highlight w:val="none"/>
              </w:rPr>
            </w:pPr>
            <w:r>
              <w:rPr>
                <w:color w:val="auto"/>
                <w:highlight w:val="none"/>
              </w:rPr>
              <w:t>24</w:t>
            </w:r>
          </w:p>
        </w:tc>
        <w:tc>
          <w:tcPr>
            <w:tcW w:w="674" w:type="pct"/>
            <w:noWrap/>
            <w:vAlign w:val="center"/>
          </w:tcPr>
          <w:p w14:paraId="2AC0A893">
            <w:pPr>
              <w:pStyle w:val="41"/>
              <w:spacing w:line="240" w:lineRule="atLeast"/>
              <w:rPr>
                <w:color w:val="auto"/>
                <w:highlight w:val="none"/>
              </w:rPr>
            </w:pPr>
            <w:r>
              <w:rPr>
                <w:color w:val="auto"/>
                <w:highlight w:val="none"/>
              </w:rPr>
              <w:t>550</w:t>
            </w:r>
          </w:p>
        </w:tc>
        <w:tc>
          <w:tcPr>
            <w:tcW w:w="1398" w:type="dxa"/>
            <w:noWrap/>
            <w:vAlign w:val="center"/>
          </w:tcPr>
          <w:p w14:paraId="40D2608E">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0.001539</w:t>
            </w:r>
          </w:p>
        </w:tc>
        <w:tc>
          <w:tcPr>
            <w:tcW w:w="873" w:type="dxa"/>
            <w:noWrap/>
            <w:vAlign w:val="center"/>
          </w:tcPr>
          <w:p w14:paraId="1064A2A0">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0.34</w:t>
            </w:r>
          </w:p>
        </w:tc>
        <w:tc>
          <w:tcPr>
            <w:tcW w:w="1398" w:type="dxa"/>
            <w:noWrap/>
            <w:vAlign w:val="center"/>
          </w:tcPr>
          <w:p w14:paraId="219129C9">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0.001539</w:t>
            </w:r>
          </w:p>
        </w:tc>
        <w:tc>
          <w:tcPr>
            <w:tcW w:w="873" w:type="dxa"/>
            <w:noWrap/>
            <w:vAlign w:val="center"/>
          </w:tcPr>
          <w:p w14:paraId="299A2E2D">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0.34</w:t>
            </w:r>
          </w:p>
        </w:tc>
        <w:tc>
          <w:tcPr>
            <w:tcW w:w="1400" w:type="dxa"/>
            <w:noWrap/>
            <w:vAlign w:val="center"/>
          </w:tcPr>
          <w:p w14:paraId="7367F3CA">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0.001539</w:t>
            </w:r>
          </w:p>
        </w:tc>
        <w:tc>
          <w:tcPr>
            <w:tcW w:w="873" w:type="dxa"/>
            <w:noWrap/>
            <w:vAlign w:val="center"/>
          </w:tcPr>
          <w:p w14:paraId="2A5EF65C">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0.34</w:t>
            </w:r>
          </w:p>
        </w:tc>
      </w:tr>
      <w:tr w14:paraId="501A81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5340EDED">
            <w:pPr>
              <w:pStyle w:val="41"/>
              <w:spacing w:line="240" w:lineRule="atLeast"/>
              <w:rPr>
                <w:color w:val="auto"/>
                <w:highlight w:val="none"/>
              </w:rPr>
            </w:pPr>
            <w:r>
              <w:rPr>
                <w:color w:val="auto"/>
                <w:highlight w:val="none"/>
              </w:rPr>
              <w:t>25</w:t>
            </w:r>
          </w:p>
        </w:tc>
        <w:tc>
          <w:tcPr>
            <w:tcW w:w="674" w:type="pct"/>
            <w:noWrap/>
            <w:vAlign w:val="center"/>
          </w:tcPr>
          <w:p w14:paraId="2B75B864">
            <w:pPr>
              <w:pStyle w:val="41"/>
              <w:spacing w:line="240" w:lineRule="atLeast"/>
              <w:rPr>
                <w:color w:val="auto"/>
                <w:highlight w:val="none"/>
              </w:rPr>
            </w:pPr>
            <w:r>
              <w:rPr>
                <w:color w:val="auto"/>
                <w:highlight w:val="none"/>
              </w:rPr>
              <w:t>575</w:t>
            </w:r>
          </w:p>
        </w:tc>
        <w:tc>
          <w:tcPr>
            <w:tcW w:w="1398" w:type="dxa"/>
            <w:noWrap/>
            <w:vAlign w:val="center"/>
          </w:tcPr>
          <w:p w14:paraId="64CE47FC">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0.001458</w:t>
            </w:r>
          </w:p>
        </w:tc>
        <w:tc>
          <w:tcPr>
            <w:tcW w:w="873" w:type="dxa"/>
            <w:noWrap/>
            <w:vAlign w:val="center"/>
          </w:tcPr>
          <w:p w14:paraId="1C144519">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0.32</w:t>
            </w:r>
          </w:p>
        </w:tc>
        <w:tc>
          <w:tcPr>
            <w:tcW w:w="1398" w:type="dxa"/>
            <w:noWrap/>
            <w:vAlign w:val="center"/>
          </w:tcPr>
          <w:p w14:paraId="0BCB7933">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0.001458</w:t>
            </w:r>
          </w:p>
        </w:tc>
        <w:tc>
          <w:tcPr>
            <w:tcW w:w="873" w:type="dxa"/>
            <w:noWrap/>
            <w:vAlign w:val="center"/>
          </w:tcPr>
          <w:p w14:paraId="2F003871">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0.32</w:t>
            </w:r>
          </w:p>
        </w:tc>
        <w:tc>
          <w:tcPr>
            <w:tcW w:w="1400" w:type="dxa"/>
            <w:noWrap/>
            <w:vAlign w:val="center"/>
          </w:tcPr>
          <w:p w14:paraId="0316BF1F">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0.001458</w:t>
            </w:r>
          </w:p>
        </w:tc>
        <w:tc>
          <w:tcPr>
            <w:tcW w:w="873" w:type="dxa"/>
            <w:noWrap/>
            <w:vAlign w:val="center"/>
          </w:tcPr>
          <w:p w14:paraId="27410E73">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0.32</w:t>
            </w:r>
          </w:p>
        </w:tc>
      </w:tr>
      <w:tr w14:paraId="660422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09A8B72A">
            <w:pPr>
              <w:pStyle w:val="41"/>
              <w:spacing w:line="240" w:lineRule="atLeast"/>
              <w:rPr>
                <w:color w:val="auto"/>
                <w:highlight w:val="none"/>
              </w:rPr>
            </w:pPr>
            <w:r>
              <w:rPr>
                <w:color w:val="auto"/>
                <w:highlight w:val="none"/>
              </w:rPr>
              <w:t>26</w:t>
            </w:r>
          </w:p>
        </w:tc>
        <w:tc>
          <w:tcPr>
            <w:tcW w:w="674" w:type="pct"/>
            <w:noWrap/>
            <w:vAlign w:val="center"/>
          </w:tcPr>
          <w:p w14:paraId="289B55FF">
            <w:pPr>
              <w:pStyle w:val="41"/>
              <w:spacing w:line="240" w:lineRule="atLeast"/>
              <w:rPr>
                <w:color w:val="auto"/>
                <w:highlight w:val="none"/>
              </w:rPr>
            </w:pPr>
            <w:r>
              <w:rPr>
                <w:color w:val="auto"/>
                <w:highlight w:val="none"/>
              </w:rPr>
              <w:t>600</w:t>
            </w:r>
          </w:p>
        </w:tc>
        <w:tc>
          <w:tcPr>
            <w:tcW w:w="1398" w:type="dxa"/>
            <w:noWrap/>
            <w:vAlign w:val="center"/>
          </w:tcPr>
          <w:p w14:paraId="15F52C93">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0.001385</w:t>
            </w:r>
          </w:p>
        </w:tc>
        <w:tc>
          <w:tcPr>
            <w:tcW w:w="873" w:type="dxa"/>
            <w:noWrap/>
            <w:vAlign w:val="center"/>
          </w:tcPr>
          <w:p w14:paraId="2ED145F1">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0.31</w:t>
            </w:r>
          </w:p>
        </w:tc>
        <w:tc>
          <w:tcPr>
            <w:tcW w:w="1398" w:type="dxa"/>
            <w:noWrap/>
            <w:vAlign w:val="center"/>
          </w:tcPr>
          <w:p w14:paraId="66B8C661">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0.001385</w:t>
            </w:r>
          </w:p>
        </w:tc>
        <w:tc>
          <w:tcPr>
            <w:tcW w:w="873" w:type="dxa"/>
            <w:noWrap/>
            <w:vAlign w:val="center"/>
          </w:tcPr>
          <w:p w14:paraId="609B2513">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0.31</w:t>
            </w:r>
          </w:p>
        </w:tc>
        <w:tc>
          <w:tcPr>
            <w:tcW w:w="1400" w:type="dxa"/>
            <w:noWrap/>
            <w:vAlign w:val="center"/>
          </w:tcPr>
          <w:p w14:paraId="4A0A4075">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0.001385</w:t>
            </w:r>
          </w:p>
        </w:tc>
        <w:tc>
          <w:tcPr>
            <w:tcW w:w="873" w:type="dxa"/>
            <w:noWrap/>
            <w:vAlign w:val="center"/>
          </w:tcPr>
          <w:p w14:paraId="2B880277">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0.31</w:t>
            </w:r>
          </w:p>
        </w:tc>
      </w:tr>
      <w:tr w14:paraId="27DE9F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E3A265A">
            <w:pPr>
              <w:pStyle w:val="41"/>
              <w:spacing w:line="240" w:lineRule="atLeast"/>
              <w:rPr>
                <w:color w:val="auto"/>
                <w:highlight w:val="none"/>
              </w:rPr>
            </w:pPr>
            <w:r>
              <w:rPr>
                <w:color w:val="auto"/>
                <w:highlight w:val="none"/>
              </w:rPr>
              <w:t>27</w:t>
            </w:r>
          </w:p>
        </w:tc>
        <w:tc>
          <w:tcPr>
            <w:tcW w:w="674" w:type="pct"/>
            <w:noWrap/>
            <w:vAlign w:val="center"/>
          </w:tcPr>
          <w:p w14:paraId="57404094">
            <w:pPr>
              <w:pStyle w:val="41"/>
              <w:spacing w:line="240" w:lineRule="atLeast"/>
              <w:rPr>
                <w:color w:val="auto"/>
                <w:highlight w:val="none"/>
              </w:rPr>
            </w:pPr>
            <w:r>
              <w:rPr>
                <w:color w:val="auto"/>
                <w:highlight w:val="none"/>
              </w:rPr>
              <w:t>625</w:t>
            </w:r>
          </w:p>
        </w:tc>
        <w:tc>
          <w:tcPr>
            <w:tcW w:w="1398" w:type="dxa"/>
            <w:noWrap/>
            <w:vAlign w:val="center"/>
          </w:tcPr>
          <w:p w14:paraId="1D0BB69C">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0.001317</w:t>
            </w:r>
          </w:p>
        </w:tc>
        <w:tc>
          <w:tcPr>
            <w:tcW w:w="873" w:type="dxa"/>
            <w:noWrap/>
            <w:vAlign w:val="center"/>
          </w:tcPr>
          <w:p w14:paraId="1EEA87BF">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c>
          <w:tcPr>
            <w:tcW w:w="1398" w:type="dxa"/>
            <w:noWrap/>
            <w:vAlign w:val="center"/>
          </w:tcPr>
          <w:p w14:paraId="5E3DDC4F">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0.001317</w:t>
            </w:r>
          </w:p>
        </w:tc>
        <w:tc>
          <w:tcPr>
            <w:tcW w:w="873" w:type="dxa"/>
            <w:noWrap/>
            <w:vAlign w:val="center"/>
          </w:tcPr>
          <w:p w14:paraId="6F820A6E">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c>
          <w:tcPr>
            <w:tcW w:w="1400" w:type="dxa"/>
            <w:noWrap/>
            <w:vAlign w:val="center"/>
          </w:tcPr>
          <w:p w14:paraId="0FE8B2A0">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0.001317</w:t>
            </w:r>
          </w:p>
        </w:tc>
        <w:tc>
          <w:tcPr>
            <w:tcW w:w="873" w:type="dxa"/>
            <w:noWrap/>
            <w:vAlign w:val="center"/>
          </w:tcPr>
          <w:p w14:paraId="68DF9872">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r>
      <w:tr w14:paraId="635A48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0BEDEBC9">
            <w:pPr>
              <w:pStyle w:val="41"/>
              <w:spacing w:line="240" w:lineRule="atLeast"/>
              <w:rPr>
                <w:color w:val="auto"/>
                <w:highlight w:val="none"/>
              </w:rPr>
            </w:pPr>
            <w:r>
              <w:rPr>
                <w:color w:val="auto"/>
                <w:highlight w:val="none"/>
              </w:rPr>
              <w:t>28</w:t>
            </w:r>
          </w:p>
        </w:tc>
        <w:tc>
          <w:tcPr>
            <w:tcW w:w="674" w:type="pct"/>
            <w:noWrap/>
            <w:vAlign w:val="center"/>
          </w:tcPr>
          <w:p w14:paraId="387656A5">
            <w:pPr>
              <w:pStyle w:val="41"/>
              <w:spacing w:line="240" w:lineRule="atLeast"/>
              <w:rPr>
                <w:color w:val="auto"/>
                <w:highlight w:val="none"/>
              </w:rPr>
            </w:pPr>
            <w:r>
              <w:rPr>
                <w:color w:val="auto"/>
                <w:highlight w:val="none"/>
              </w:rPr>
              <w:t>650</w:t>
            </w:r>
          </w:p>
        </w:tc>
        <w:tc>
          <w:tcPr>
            <w:tcW w:w="1398" w:type="dxa"/>
            <w:noWrap/>
            <w:vAlign w:val="center"/>
          </w:tcPr>
          <w:p w14:paraId="4D4AEEBC">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0.001255</w:t>
            </w:r>
          </w:p>
        </w:tc>
        <w:tc>
          <w:tcPr>
            <w:tcW w:w="873" w:type="dxa"/>
            <w:noWrap/>
            <w:vAlign w:val="center"/>
          </w:tcPr>
          <w:p w14:paraId="2750FC30">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c>
          <w:tcPr>
            <w:tcW w:w="1398" w:type="dxa"/>
            <w:noWrap/>
            <w:vAlign w:val="center"/>
          </w:tcPr>
          <w:p w14:paraId="2D07DE59">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0.001255</w:t>
            </w:r>
          </w:p>
        </w:tc>
        <w:tc>
          <w:tcPr>
            <w:tcW w:w="873" w:type="dxa"/>
            <w:noWrap/>
            <w:vAlign w:val="center"/>
          </w:tcPr>
          <w:p w14:paraId="62A9DCB0">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c>
          <w:tcPr>
            <w:tcW w:w="1400" w:type="dxa"/>
            <w:noWrap/>
            <w:vAlign w:val="center"/>
          </w:tcPr>
          <w:p w14:paraId="48F8AF86">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0.001255</w:t>
            </w:r>
          </w:p>
        </w:tc>
        <w:tc>
          <w:tcPr>
            <w:tcW w:w="873" w:type="dxa"/>
            <w:noWrap/>
            <w:vAlign w:val="center"/>
          </w:tcPr>
          <w:p w14:paraId="6C180A63">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r>
      <w:tr w14:paraId="7C63AF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299827E">
            <w:pPr>
              <w:pStyle w:val="41"/>
              <w:spacing w:line="240" w:lineRule="atLeast"/>
              <w:rPr>
                <w:color w:val="auto"/>
                <w:highlight w:val="none"/>
              </w:rPr>
            </w:pPr>
            <w:r>
              <w:rPr>
                <w:color w:val="auto"/>
                <w:highlight w:val="none"/>
              </w:rPr>
              <w:t>29</w:t>
            </w:r>
          </w:p>
        </w:tc>
        <w:tc>
          <w:tcPr>
            <w:tcW w:w="674" w:type="pct"/>
            <w:noWrap/>
            <w:vAlign w:val="center"/>
          </w:tcPr>
          <w:p w14:paraId="011393B7">
            <w:pPr>
              <w:pStyle w:val="41"/>
              <w:spacing w:line="240" w:lineRule="atLeast"/>
              <w:rPr>
                <w:color w:val="auto"/>
                <w:highlight w:val="none"/>
              </w:rPr>
            </w:pPr>
            <w:r>
              <w:rPr>
                <w:color w:val="auto"/>
                <w:highlight w:val="none"/>
              </w:rPr>
              <w:t>675</w:t>
            </w:r>
          </w:p>
        </w:tc>
        <w:tc>
          <w:tcPr>
            <w:tcW w:w="1398" w:type="dxa"/>
            <w:noWrap/>
            <w:vAlign w:val="center"/>
          </w:tcPr>
          <w:p w14:paraId="4B451657">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0.001288</w:t>
            </w:r>
          </w:p>
        </w:tc>
        <w:tc>
          <w:tcPr>
            <w:tcW w:w="873" w:type="dxa"/>
            <w:noWrap/>
            <w:vAlign w:val="center"/>
          </w:tcPr>
          <w:p w14:paraId="7A599E37">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c>
          <w:tcPr>
            <w:tcW w:w="1398" w:type="dxa"/>
            <w:noWrap/>
            <w:vAlign w:val="center"/>
          </w:tcPr>
          <w:p w14:paraId="4522AF6E">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0.001288</w:t>
            </w:r>
          </w:p>
        </w:tc>
        <w:tc>
          <w:tcPr>
            <w:tcW w:w="873" w:type="dxa"/>
            <w:noWrap/>
            <w:vAlign w:val="center"/>
          </w:tcPr>
          <w:p w14:paraId="79ABCC2F">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c>
          <w:tcPr>
            <w:tcW w:w="1400" w:type="dxa"/>
            <w:noWrap/>
            <w:vAlign w:val="center"/>
          </w:tcPr>
          <w:p w14:paraId="638A9E1D">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0.001288</w:t>
            </w:r>
          </w:p>
        </w:tc>
        <w:tc>
          <w:tcPr>
            <w:tcW w:w="873" w:type="dxa"/>
            <w:noWrap/>
            <w:vAlign w:val="center"/>
          </w:tcPr>
          <w:p w14:paraId="310F19C3">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r>
      <w:tr w14:paraId="247596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FB263D3">
            <w:pPr>
              <w:pStyle w:val="41"/>
              <w:spacing w:line="240" w:lineRule="atLeast"/>
              <w:rPr>
                <w:color w:val="auto"/>
                <w:highlight w:val="none"/>
              </w:rPr>
            </w:pPr>
            <w:r>
              <w:rPr>
                <w:color w:val="auto"/>
                <w:highlight w:val="none"/>
              </w:rPr>
              <w:t>30</w:t>
            </w:r>
          </w:p>
        </w:tc>
        <w:tc>
          <w:tcPr>
            <w:tcW w:w="674" w:type="pct"/>
            <w:noWrap/>
            <w:vAlign w:val="center"/>
          </w:tcPr>
          <w:p w14:paraId="56A88688">
            <w:pPr>
              <w:pStyle w:val="41"/>
              <w:spacing w:line="240" w:lineRule="atLeast"/>
              <w:rPr>
                <w:color w:val="auto"/>
                <w:highlight w:val="none"/>
              </w:rPr>
            </w:pPr>
            <w:r>
              <w:rPr>
                <w:color w:val="auto"/>
                <w:highlight w:val="none"/>
              </w:rPr>
              <w:t>700</w:t>
            </w:r>
          </w:p>
        </w:tc>
        <w:tc>
          <w:tcPr>
            <w:tcW w:w="1398" w:type="dxa"/>
            <w:noWrap/>
            <w:vAlign w:val="center"/>
          </w:tcPr>
          <w:p w14:paraId="66FFD0C8">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0.00129</w:t>
            </w:r>
          </w:p>
        </w:tc>
        <w:tc>
          <w:tcPr>
            <w:tcW w:w="873" w:type="dxa"/>
            <w:noWrap/>
            <w:vAlign w:val="center"/>
          </w:tcPr>
          <w:p w14:paraId="49BD306D">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c>
          <w:tcPr>
            <w:tcW w:w="1398" w:type="dxa"/>
            <w:noWrap/>
            <w:vAlign w:val="center"/>
          </w:tcPr>
          <w:p w14:paraId="1E73BA9F">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0.00129</w:t>
            </w:r>
          </w:p>
        </w:tc>
        <w:tc>
          <w:tcPr>
            <w:tcW w:w="873" w:type="dxa"/>
            <w:noWrap/>
            <w:vAlign w:val="center"/>
          </w:tcPr>
          <w:p w14:paraId="6C0CC4E8">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c>
          <w:tcPr>
            <w:tcW w:w="1400" w:type="dxa"/>
            <w:noWrap/>
            <w:vAlign w:val="center"/>
          </w:tcPr>
          <w:p w14:paraId="208A0F62">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0.00129</w:t>
            </w:r>
          </w:p>
        </w:tc>
        <w:tc>
          <w:tcPr>
            <w:tcW w:w="873" w:type="dxa"/>
            <w:noWrap/>
            <w:vAlign w:val="center"/>
          </w:tcPr>
          <w:p w14:paraId="3F8AB1C9">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r>
      <w:tr w14:paraId="04CFEA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77E85CEA">
            <w:pPr>
              <w:pStyle w:val="41"/>
              <w:spacing w:line="240" w:lineRule="atLeast"/>
              <w:rPr>
                <w:color w:val="auto"/>
                <w:highlight w:val="none"/>
              </w:rPr>
            </w:pPr>
            <w:r>
              <w:rPr>
                <w:color w:val="auto"/>
                <w:highlight w:val="none"/>
              </w:rPr>
              <w:t>31</w:t>
            </w:r>
          </w:p>
        </w:tc>
        <w:tc>
          <w:tcPr>
            <w:tcW w:w="674" w:type="pct"/>
            <w:noWrap/>
            <w:vAlign w:val="center"/>
          </w:tcPr>
          <w:p w14:paraId="40FABC72">
            <w:pPr>
              <w:pStyle w:val="41"/>
              <w:spacing w:line="240" w:lineRule="atLeast"/>
              <w:rPr>
                <w:color w:val="auto"/>
                <w:highlight w:val="none"/>
              </w:rPr>
            </w:pPr>
            <w:r>
              <w:rPr>
                <w:color w:val="auto"/>
                <w:highlight w:val="none"/>
              </w:rPr>
              <w:t>725</w:t>
            </w:r>
          </w:p>
        </w:tc>
        <w:tc>
          <w:tcPr>
            <w:tcW w:w="1398" w:type="dxa"/>
            <w:noWrap/>
            <w:vAlign w:val="center"/>
          </w:tcPr>
          <w:p w14:paraId="5E27457B">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0.001288</w:t>
            </w:r>
          </w:p>
        </w:tc>
        <w:tc>
          <w:tcPr>
            <w:tcW w:w="873" w:type="dxa"/>
            <w:noWrap/>
            <w:vAlign w:val="center"/>
          </w:tcPr>
          <w:p w14:paraId="14A3DD1D">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c>
          <w:tcPr>
            <w:tcW w:w="1398" w:type="dxa"/>
            <w:noWrap/>
            <w:vAlign w:val="center"/>
          </w:tcPr>
          <w:p w14:paraId="26C714BC">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0.001288</w:t>
            </w:r>
          </w:p>
        </w:tc>
        <w:tc>
          <w:tcPr>
            <w:tcW w:w="873" w:type="dxa"/>
            <w:noWrap/>
            <w:vAlign w:val="center"/>
          </w:tcPr>
          <w:p w14:paraId="07C209CD">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c>
          <w:tcPr>
            <w:tcW w:w="1400" w:type="dxa"/>
            <w:noWrap/>
            <w:vAlign w:val="center"/>
          </w:tcPr>
          <w:p w14:paraId="73FA148B">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0.001288</w:t>
            </w:r>
          </w:p>
        </w:tc>
        <w:tc>
          <w:tcPr>
            <w:tcW w:w="873" w:type="dxa"/>
            <w:noWrap/>
            <w:vAlign w:val="center"/>
          </w:tcPr>
          <w:p w14:paraId="1214B826">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r>
      <w:tr w14:paraId="1BBD51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46DE21E1">
            <w:pPr>
              <w:pStyle w:val="41"/>
              <w:spacing w:line="240" w:lineRule="atLeast"/>
              <w:rPr>
                <w:color w:val="auto"/>
                <w:highlight w:val="none"/>
              </w:rPr>
            </w:pPr>
            <w:r>
              <w:rPr>
                <w:color w:val="auto"/>
                <w:highlight w:val="none"/>
              </w:rPr>
              <w:t>32</w:t>
            </w:r>
          </w:p>
        </w:tc>
        <w:tc>
          <w:tcPr>
            <w:tcW w:w="674" w:type="pct"/>
            <w:noWrap/>
            <w:vAlign w:val="center"/>
          </w:tcPr>
          <w:p w14:paraId="1BF4AF32">
            <w:pPr>
              <w:pStyle w:val="41"/>
              <w:spacing w:line="240" w:lineRule="atLeast"/>
              <w:rPr>
                <w:color w:val="auto"/>
                <w:highlight w:val="none"/>
              </w:rPr>
            </w:pPr>
            <w:r>
              <w:rPr>
                <w:color w:val="auto"/>
                <w:highlight w:val="none"/>
              </w:rPr>
              <w:t>750</w:t>
            </w:r>
          </w:p>
        </w:tc>
        <w:tc>
          <w:tcPr>
            <w:tcW w:w="1398" w:type="dxa"/>
            <w:noWrap/>
            <w:vAlign w:val="center"/>
          </w:tcPr>
          <w:p w14:paraId="18397261">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0.001283</w:t>
            </w:r>
          </w:p>
        </w:tc>
        <w:tc>
          <w:tcPr>
            <w:tcW w:w="873" w:type="dxa"/>
            <w:noWrap/>
            <w:vAlign w:val="center"/>
          </w:tcPr>
          <w:p w14:paraId="14F6D205">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c>
          <w:tcPr>
            <w:tcW w:w="1398" w:type="dxa"/>
            <w:noWrap/>
            <w:vAlign w:val="center"/>
          </w:tcPr>
          <w:p w14:paraId="34CECD83">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0.001283</w:t>
            </w:r>
          </w:p>
        </w:tc>
        <w:tc>
          <w:tcPr>
            <w:tcW w:w="873" w:type="dxa"/>
            <w:noWrap/>
            <w:vAlign w:val="center"/>
          </w:tcPr>
          <w:p w14:paraId="75F2873C">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c>
          <w:tcPr>
            <w:tcW w:w="1400" w:type="dxa"/>
            <w:noWrap/>
            <w:vAlign w:val="center"/>
          </w:tcPr>
          <w:p w14:paraId="35DBEFC8">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0.001283</w:t>
            </w:r>
          </w:p>
        </w:tc>
        <w:tc>
          <w:tcPr>
            <w:tcW w:w="873" w:type="dxa"/>
            <w:noWrap/>
            <w:vAlign w:val="center"/>
          </w:tcPr>
          <w:p w14:paraId="256FE833">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r>
      <w:tr w14:paraId="55557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52E4A5E1">
            <w:pPr>
              <w:pStyle w:val="41"/>
              <w:spacing w:line="240" w:lineRule="atLeast"/>
              <w:rPr>
                <w:color w:val="auto"/>
                <w:highlight w:val="none"/>
              </w:rPr>
            </w:pPr>
            <w:r>
              <w:rPr>
                <w:color w:val="auto"/>
                <w:highlight w:val="none"/>
              </w:rPr>
              <w:t>33</w:t>
            </w:r>
          </w:p>
        </w:tc>
        <w:tc>
          <w:tcPr>
            <w:tcW w:w="674" w:type="pct"/>
            <w:noWrap/>
            <w:vAlign w:val="center"/>
          </w:tcPr>
          <w:p w14:paraId="534DC533">
            <w:pPr>
              <w:pStyle w:val="41"/>
              <w:spacing w:line="240" w:lineRule="atLeast"/>
              <w:rPr>
                <w:color w:val="auto"/>
                <w:highlight w:val="none"/>
              </w:rPr>
            </w:pPr>
            <w:r>
              <w:rPr>
                <w:color w:val="auto"/>
                <w:highlight w:val="none"/>
              </w:rPr>
              <w:t>775</w:t>
            </w:r>
          </w:p>
        </w:tc>
        <w:tc>
          <w:tcPr>
            <w:tcW w:w="1398" w:type="dxa"/>
            <w:noWrap/>
            <w:vAlign w:val="center"/>
          </w:tcPr>
          <w:p w14:paraId="602ED33F">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0.001277</w:t>
            </w:r>
          </w:p>
        </w:tc>
        <w:tc>
          <w:tcPr>
            <w:tcW w:w="873" w:type="dxa"/>
            <w:noWrap/>
            <w:vAlign w:val="center"/>
          </w:tcPr>
          <w:p w14:paraId="383D32C2">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c>
          <w:tcPr>
            <w:tcW w:w="1398" w:type="dxa"/>
            <w:noWrap/>
            <w:vAlign w:val="center"/>
          </w:tcPr>
          <w:p w14:paraId="258BADBB">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0.001277</w:t>
            </w:r>
          </w:p>
        </w:tc>
        <w:tc>
          <w:tcPr>
            <w:tcW w:w="873" w:type="dxa"/>
            <w:noWrap/>
            <w:vAlign w:val="center"/>
          </w:tcPr>
          <w:p w14:paraId="2E0EF846">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c>
          <w:tcPr>
            <w:tcW w:w="1400" w:type="dxa"/>
            <w:noWrap/>
            <w:vAlign w:val="center"/>
          </w:tcPr>
          <w:p w14:paraId="143F8FBD">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0.001277</w:t>
            </w:r>
          </w:p>
        </w:tc>
        <w:tc>
          <w:tcPr>
            <w:tcW w:w="873" w:type="dxa"/>
            <w:noWrap/>
            <w:vAlign w:val="center"/>
          </w:tcPr>
          <w:p w14:paraId="7ED07B25">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r>
      <w:tr w14:paraId="0D6C34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D131D4B">
            <w:pPr>
              <w:pStyle w:val="41"/>
              <w:spacing w:line="240" w:lineRule="atLeast"/>
              <w:rPr>
                <w:color w:val="auto"/>
                <w:highlight w:val="none"/>
              </w:rPr>
            </w:pPr>
            <w:r>
              <w:rPr>
                <w:color w:val="auto"/>
                <w:highlight w:val="none"/>
              </w:rPr>
              <w:t>34</w:t>
            </w:r>
          </w:p>
        </w:tc>
        <w:tc>
          <w:tcPr>
            <w:tcW w:w="674" w:type="pct"/>
            <w:noWrap/>
            <w:vAlign w:val="center"/>
          </w:tcPr>
          <w:p w14:paraId="0F192029">
            <w:pPr>
              <w:pStyle w:val="41"/>
              <w:spacing w:line="240" w:lineRule="atLeast"/>
              <w:rPr>
                <w:color w:val="auto"/>
                <w:highlight w:val="none"/>
              </w:rPr>
            </w:pPr>
            <w:r>
              <w:rPr>
                <w:color w:val="auto"/>
                <w:highlight w:val="none"/>
              </w:rPr>
              <w:t>800</w:t>
            </w:r>
          </w:p>
        </w:tc>
        <w:tc>
          <w:tcPr>
            <w:tcW w:w="1398" w:type="dxa"/>
            <w:noWrap/>
            <w:vAlign w:val="center"/>
          </w:tcPr>
          <w:p w14:paraId="1C7DF879">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0.001269</w:t>
            </w:r>
          </w:p>
        </w:tc>
        <w:tc>
          <w:tcPr>
            <w:tcW w:w="873" w:type="dxa"/>
            <w:noWrap/>
            <w:vAlign w:val="center"/>
          </w:tcPr>
          <w:p w14:paraId="17FCE1CF">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c>
          <w:tcPr>
            <w:tcW w:w="1398" w:type="dxa"/>
            <w:noWrap/>
            <w:vAlign w:val="center"/>
          </w:tcPr>
          <w:p w14:paraId="5E4E3CFD">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0.001269</w:t>
            </w:r>
          </w:p>
        </w:tc>
        <w:tc>
          <w:tcPr>
            <w:tcW w:w="873" w:type="dxa"/>
            <w:noWrap/>
            <w:vAlign w:val="center"/>
          </w:tcPr>
          <w:p w14:paraId="26185C47">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c>
          <w:tcPr>
            <w:tcW w:w="1400" w:type="dxa"/>
            <w:noWrap/>
            <w:vAlign w:val="center"/>
          </w:tcPr>
          <w:p w14:paraId="6E0939C8">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0.001269</w:t>
            </w:r>
          </w:p>
        </w:tc>
        <w:tc>
          <w:tcPr>
            <w:tcW w:w="873" w:type="dxa"/>
            <w:noWrap/>
            <w:vAlign w:val="center"/>
          </w:tcPr>
          <w:p w14:paraId="7380F92E">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r>
      <w:tr w14:paraId="72327C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45F1EE0">
            <w:pPr>
              <w:pStyle w:val="41"/>
              <w:spacing w:line="240" w:lineRule="atLeast"/>
              <w:rPr>
                <w:color w:val="auto"/>
                <w:highlight w:val="none"/>
              </w:rPr>
            </w:pPr>
            <w:r>
              <w:rPr>
                <w:color w:val="auto"/>
                <w:highlight w:val="none"/>
              </w:rPr>
              <w:t>35</w:t>
            </w:r>
          </w:p>
        </w:tc>
        <w:tc>
          <w:tcPr>
            <w:tcW w:w="674" w:type="pct"/>
            <w:noWrap/>
            <w:vAlign w:val="center"/>
          </w:tcPr>
          <w:p w14:paraId="76E74C1B">
            <w:pPr>
              <w:pStyle w:val="41"/>
              <w:spacing w:line="240" w:lineRule="atLeast"/>
              <w:rPr>
                <w:color w:val="auto"/>
                <w:highlight w:val="none"/>
              </w:rPr>
            </w:pPr>
            <w:r>
              <w:rPr>
                <w:color w:val="auto"/>
                <w:highlight w:val="none"/>
              </w:rPr>
              <w:t>825</w:t>
            </w:r>
          </w:p>
        </w:tc>
        <w:tc>
          <w:tcPr>
            <w:tcW w:w="1398" w:type="dxa"/>
            <w:noWrap/>
            <w:vAlign w:val="center"/>
          </w:tcPr>
          <w:p w14:paraId="43C4B523">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0.001259</w:t>
            </w:r>
          </w:p>
        </w:tc>
        <w:tc>
          <w:tcPr>
            <w:tcW w:w="873" w:type="dxa"/>
            <w:noWrap/>
            <w:vAlign w:val="center"/>
          </w:tcPr>
          <w:p w14:paraId="1BAD5251">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c>
          <w:tcPr>
            <w:tcW w:w="1398" w:type="dxa"/>
            <w:noWrap/>
            <w:vAlign w:val="center"/>
          </w:tcPr>
          <w:p w14:paraId="1E283D45">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0.001259</w:t>
            </w:r>
          </w:p>
        </w:tc>
        <w:tc>
          <w:tcPr>
            <w:tcW w:w="873" w:type="dxa"/>
            <w:noWrap/>
            <w:vAlign w:val="center"/>
          </w:tcPr>
          <w:p w14:paraId="7671C4F6">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c>
          <w:tcPr>
            <w:tcW w:w="1400" w:type="dxa"/>
            <w:noWrap/>
            <w:vAlign w:val="center"/>
          </w:tcPr>
          <w:p w14:paraId="4EFC4AB6">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0.001259</w:t>
            </w:r>
          </w:p>
        </w:tc>
        <w:tc>
          <w:tcPr>
            <w:tcW w:w="873" w:type="dxa"/>
            <w:noWrap/>
            <w:vAlign w:val="center"/>
          </w:tcPr>
          <w:p w14:paraId="0C232172">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r>
      <w:tr w14:paraId="6C05DD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8ED6776">
            <w:pPr>
              <w:pStyle w:val="41"/>
              <w:spacing w:line="240" w:lineRule="atLeast"/>
              <w:rPr>
                <w:color w:val="auto"/>
                <w:highlight w:val="none"/>
              </w:rPr>
            </w:pPr>
            <w:r>
              <w:rPr>
                <w:color w:val="auto"/>
                <w:highlight w:val="none"/>
              </w:rPr>
              <w:t>36</w:t>
            </w:r>
          </w:p>
        </w:tc>
        <w:tc>
          <w:tcPr>
            <w:tcW w:w="674" w:type="pct"/>
            <w:noWrap/>
            <w:vAlign w:val="center"/>
          </w:tcPr>
          <w:p w14:paraId="0D391475">
            <w:pPr>
              <w:pStyle w:val="41"/>
              <w:spacing w:line="240" w:lineRule="atLeast"/>
              <w:rPr>
                <w:color w:val="auto"/>
                <w:highlight w:val="none"/>
              </w:rPr>
            </w:pPr>
            <w:r>
              <w:rPr>
                <w:color w:val="auto"/>
                <w:highlight w:val="none"/>
              </w:rPr>
              <w:t>850</w:t>
            </w:r>
          </w:p>
        </w:tc>
        <w:tc>
          <w:tcPr>
            <w:tcW w:w="1398" w:type="dxa"/>
            <w:noWrap/>
            <w:vAlign w:val="center"/>
          </w:tcPr>
          <w:p w14:paraId="771A06E8">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0.001248</w:t>
            </w:r>
          </w:p>
        </w:tc>
        <w:tc>
          <w:tcPr>
            <w:tcW w:w="873" w:type="dxa"/>
            <w:noWrap/>
            <w:vAlign w:val="center"/>
          </w:tcPr>
          <w:p w14:paraId="278A1450">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c>
          <w:tcPr>
            <w:tcW w:w="1398" w:type="dxa"/>
            <w:noWrap/>
            <w:vAlign w:val="center"/>
          </w:tcPr>
          <w:p w14:paraId="6193AD8C">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0.001248</w:t>
            </w:r>
          </w:p>
        </w:tc>
        <w:tc>
          <w:tcPr>
            <w:tcW w:w="873" w:type="dxa"/>
            <w:noWrap/>
            <w:vAlign w:val="center"/>
          </w:tcPr>
          <w:p w14:paraId="3539C943">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c>
          <w:tcPr>
            <w:tcW w:w="1400" w:type="dxa"/>
            <w:noWrap/>
            <w:vAlign w:val="center"/>
          </w:tcPr>
          <w:p w14:paraId="47ED8F6E">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0.001248</w:t>
            </w:r>
          </w:p>
        </w:tc>
        <w:tc>
          <w:tcPr>
            <w:tcW w:w="873" w:type="dxa"/>
            <w:noWrap/>
            <w:vAlign w:val="center"/>
          </w:tcPr>
          <w:p w14:paraId="45598646">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r>
      <w:tr w14:paraId="7288A1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4B035C59">
            <w:pPr>
              <w:pStyle w:val="41"/>
              <w:spacing w:line="240" w:lineRule="atLeast"/>
              <w:rPr>
                <w:color w:val="auto"/>
                <w:highlight w:val="none"/>
              </w:rPr>
            </w:pPr>
            <w:r>
              <w:rPr>
                <w:color w:val="auto"/>
                <w:highlight w:val="none"/>
              </w:rPr>
              <w:t>37</w:t>
            </w:r>
          </w:p>
        </w:tc>
        <w:tc>
          <w:tcPr>
            <w:tcW w:w="674" w:type="pct"/>
            <w:noWrap/>
            <w:vAlign w:val="center"/>
          </w:tcPr>
          <w:p w14:paraId="33440EEA">
            <w:pPr>
              <w:pStyle w:val="41"/>
              <w:spacing w:line="240" w:lineRule="atLeast"/>
              <w:rPr>
                <w:color w:val="auto"/>
                <w:highlight w:val="none"/>
              </w:rPr>
            </w:pPr>
            <w:r>
              <w:rPr>
                <w:color w:val="auto"/>
                <w:highlight w:val="none"/>
              </w:rPr>
              <w:t>875</w:t>
            </w:r>
          </w:p>
        </w:tc>
        <w:tc>
          <w:tcPr>
            <w:tcW w:w="1398" w:type="dxa"/>
            <w:noWrap/>
            <w:vAlign w:val="center"/>
          </w:tcPr>
          <w:p w14:paraId="6C904325">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0.001236</w:t>
            </w:r>
          </w:p>
        </w:tc>
        <w:tc>
          <w:tcPr>
            <w:tcW w:w="873" w:type="dxa"/>
            <w:noWrap/>
            <w:vAlign w:val="center"/>
          </w:tcPr>
          <w:p w14:paraId="0BB9AD0A">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c>
          <w:tcPr>
            <w:tcW w:w="1398" w:type="dxa"/>
            <w:noWrap/>
            <w:vAlign w:val="center"/>
          </w:tcPr>
          <w:p w14:paraId="05D69580">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0.001236</w:t>
            </w:r>
          </w:p>
        </w:tc>
        <w:tc>
          <w:tcPr>
            <w:tcW w:w="873" w:type="dxa"/>
            <w:noWrap/>
            <w:vAlign w:val="center"/>
          </w:tcPr>
          <w:p w14:paraId="25177579">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c>
          <w:tcPr>
            <w:tcW w:w="1400" w:type="dxa"/>
            <w:noWrap/>
            <w:vAlign w:val="center"/>
          </w:tcPr>
          <w:p w14:paraId="355D798D">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0.001236</w:t>
            </w:r>
          </w:p>
        </w:tc>
        <w:tc>
          <w:tcPr>
            <w:tcW w:w="873" w:type="dxa"/>
            <w:noWrap/>
            <w:vAlign w:val="center"/>
          </w:tcPr>
          <w:p w14:paraId="097BE35A">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r>
      <w:tr w14:paraId="10C5EF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39A790C4">
            <w:pPr>
              <w:pStyle w:val="41"/>
              <w:spacing w:line="240" w:lineRule="atLeast"/>
              <w:rPr>
                <w:color w:val="auto"/>
                <w:highlight w:val="none"/>
              </w:rPr>
            </w:pPr>
            <w:r>
              <w:rPr>
                <w:color w:val="auto"/>
                <w:highlight w:val="none"/>
              </w:rPr>
              <w:t>38</w:t>
            </w:r>
          </w:p>
        </w:tc>
        <w:tc>
          <w:tcPr>
            <w:tcW w:w="674" w:type="pct"/>
            <w:noWrap/>
            <w:vAlign w:val="center"/>
          </w:tcPr>
          <w:p w14:paraId="73DBE4F1">
            <w:pPr>
              <w:pStyle w:val="41"/>
              <w:spacing w:line="240" w:lineRule="atLeast"/>
              <w:rPr>
                <w:color w:val="auto"/>
                <w:highlight w:val="none"/>
              </w:rPr>
            </w:pPr>
            <w:r>
              <w:rPr>
                <w:color w:val="auto"/>
                <w:highlight w:val="none"/>
              </w:rPr>
              <w:t>900</w:t>
            </w:r>
          </w:p>
        </w:tc>
        <w:tc>
          <w:tcPr>
            <w:tcW w:w="1398" w:type="dxa"/>
            <w:noWrap/>
            <w:vAlign w:val="center"/>
          </w:tcPr>
          <w:p w14:paraId="68A78243">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0.001224</w:t>
            </w:r>
          </w:p>
        </w:tc>
        <w:tc>
          <w:tcPr>
            <w:tcW w:w="873" w:type="dxa"/>
            <w:noWrap/>
            <w:vAlign w:val="center"/>
          </w:tcPr>
          <w:p w14:paraId="3AD282C0">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c>
          <w:tcPr>
            <w:tcW w:w="1398" w:type="dxa"/>
            <w:noWrap/>
            <w:vAlign w:val="center"/>
          </w:tcPr>
          <w:p w14:paraId="7A8E8DF3">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0.001224</w:t>
            </w:r>
          </w:p>
        </w:tc>
        <w:tc>
          <w:tcPr>
            <w:tcW w:w="873" w:type="dxa"/>
            <w:noWrap/>
            <w:vAlign w:val="center"/>
          </w:tcPr>
          <w:p w14:paraId="6B833DD1">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c>
          <w:tcPr>
            <w:tcW w:w="1400" w:type="dxa"/>
            <w:noWrap/>
            <w:vAlign w:val="center"/>
          </w:tcPr>
          <w:p w14:paraId="05F81F78">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0.001224</w:t>
            </w:r>
          </w:p>
        </w:tc>
        <w:tc>
          <w:tcPr>
            <w:tcW w:w="873" w:type="dxa"/>
            <w:noWrap/>
            <w:vAlign w:val="center"/>
          </w:tcPr>
          <w:p w14:paraId="27375CEC">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r>
      <w:tr w14:paraId="0F9144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0847C812">
            <w:pPr>
              <w:pStyle w:val="41"/>
              <w:spacing w:line="240" w:lineRule="atLeast"/>
              <w:rPr>
                <w:color w:val="auto"/>
                <w:highlight w:val="none"/>
              </w:rPr>
            </w:pPr>
            <w:r>
              <w:rPr>
                <w:color w:val="auto"/>
                <w:highlight w:val="none"/>
              </w:rPr>
              <w:t>39</w:t>
            </w:r>
          </w:p>
        </w:tc>
        <w:tc>
          <w:tcPr>
            <w:tcW w:w="674" w:type="pct"/>
            <w:noWrap/>
            <w:vAlign w:val="center"/>
          </w:tcPr>
          <w:p w14:paraId="63A1CA6D">
            <w:pPr>
              <w:pStyle w:val="41"/>
              <w:spacing w:line="240" w:lineRule="atLeast"/>
              <w:rPr>
                <w:color w:val="auto"/>
                <w:highlight w:val="none"/>
              </w:rPr>
            </w:pPr>
            <w:r>
              <w:rPr>
                <w:color w:val="auto"/>
                <w:highlight w:val="none"/>
              </w:rPr>
              <w:t>925</w:t>
            </w:r>
          </w:p>
        </w:tc>
        <w:tc>
          <w:tcPr>
            <w:tcW w:w="1398" w:type="dxa"/>
            <w:noWrap/>
            <w:vAlign w:val="center"/>
          </w:tcPr>
          <w:p w14:paraId="747F8110">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0.00121</w:t>
            </w:r>
          </w:p>
        </w:tc>
        <w:tc>
          <w:tcPr>
            <w:tcW w:w="873" w:type="dxa"/>
            <w:noWrap/>
            <w:vAlign w:val="center"/>
          </w:tcPr>
          <w:p w14:paraId="3953EF75">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c>
          <w:tcPr>
            <w:tcW w:w="1398" w:type="dxa"/>
            <w:noWrap/>
            <w:vAlign w:val="center"/>
          </w:tcPr>
          <w:p w14:paraId="0A53D1F4">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0.00121</w:t>
            </w:r>
          </w:p>
        </w:tc>
        <w:tc>
          <w:tcPr>
            <w:tcW w:w="873" w:type="dxa"/>
            <w:noWrap/>
            <w:vAlign w:val="center"/>
          </w:tcPr>
          <w:p w14:paraId="776029CE">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c>
          <w:tcPr>
            <w:tcW w:w="1400" w:type="dxa"/>
            <w:noWrap/>
            <w:vAlign w:val="center"/>
          </w:tcPr>
          <w:p w14:paraId="572BD1A4">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0.00121</w:t>
            </w:r>
          </w:p>
        </w:tc>
        <w:tc>
          <w:tcPr>
            <w:tcW w:w="873" w:type="dxa"/>
            <w:noWrap/>
            <w:vAlign w:val="center"/>
          </w:tcPr>
          <w:p w14:paraId="0F628BEC">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r>
      <w:tr w14:paraId="65E194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63ECFDBA">
            <w:pPr>
              <w:pStyle w:val="41"/>
              <w:spacing w:line="240" w:lineRule="atLeast"/>
              <w:rPr>
                <w:color w:val="auto"/>
                <w:highlight w:val="none"/>
              </w:rPr>
            </w:pPr>
            <w:r>
              <w:rPr>
                <w:color w:val="auto"/>
                <w:highlight w:val="none"/>
              </w:rPr>
              <w:t>40</w:t>
            </w:r>
          </w:p>
        </w:tc>
        <w:tc>
          <w:tcPr>
            <w:tcW w:w="674" w:type="pct"/>
            <w:noWrap/>
            <w:vAlign w:val="center"/>
          </w:tcPr>
          <w:p w14:paraId="4BDCDE03">
            <w:pPr>
              <w:pStyle w:val="41"/>
              <w:spacing w:line="240" w:lineRule="atLeast"/>
              <w:rPr>
                <w:color w:val="auto"/>
                <w:highlight w:val="none"/>
              </w:rPr>
            </w:pPr>
            <w:r>
              <w:rPr>
                <w:color w:val="auto"/>
                <w:highlight w:val="none"/>
              </w:rPr>
              <w:t>950</w:t>
            </w:r>
          </w:p>
        </w:tc>
        <w:tc>
          <w:tcPr>
            <w:tcW w:w="1398" w:type="dxa"/>
            <w:noWrap/>
            <w:vAlign w:val="center"/>
          </w:tcPr>
          <w:p w14:paraId="301F9C6A">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0.001196</w:t>
            </w:r>
          </w:p>
        </w:tc>
        <w:tc>
          <w:tcPr>
            <w:tcW w:w="873" w:type="dxa"/>
            <w:noWrap/>
            <w:vAlign w:val="center"/>
          </w:tcPr>
          <w:p w14:paraId="361328F1">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c>
          <w:tcPr>
            <w:tcW w:w="1398" w:type="dxa"/>
            <w:noWrap/>
            <w:vAlign w:val="center"/>
          </w:tcPr>
          <w:p w14:paraId="1789228C">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0.001196</w:t>
            </w:r>
          </w:p>
        </w:tc>
        <w:tc>
          <w:tcPr>
            <w:tcW w:w="873" w:type="dxa"/>
            <w:noWrap/>
            <w:vAlign w:val="center"/>
          </w:tcPr>
          <w:p w14:paraId="2D33D6D6">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c>
          <w:tcPr>
            <w:tcW w:w="1400" w:type="dxa"/>
            <w:noWrap/>
            <w:vAlign w:val="center"/>
          </w:tcPr>
          <w:p w14:paraId="0264F8C1">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0.001196</w:t>
            </w:r>
          </w:p>
        </w:tc>
        <w:tc>
          <w:tcPr>
            <w:tcW w:w="873" w:type="dxa"/>
            <w:noWrap/>
            <w:vAlign w:val="center"/>
          </w:tcPr>
          <w:p w14:paraId="6C027287">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r>
      <w:tr w14:paraId="79A043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51F2037F">
            <w:pPr>
              <w:pStyle w:val="41"/>
              <w:spacing w:line="240" w:lineRule="atLeast"/>
              <w:rPr>
                <w:color w:val="auto"/>
                <w:highlight w:val="none"/>
              </w:rPr>
            </w:pPr>
            <w:r>
              <w:rPr>
                <w:color w:val="auto"/>
                <w:highlight w:val="none"/>
              </w:rPr>
              <w:t>41</w:t>
            </w:r>
          </w:p>
        </w:tc>
        <w:tc>
          <w:tcPr>
            <w:tcW w:w="674" w:type="pct"/>
            <w:noWrap/>
            <w:vAlign w:val="center"/>
          </w:tcPr>
          <w:p w14:paraId="5E419972">
            <w:pPr>
              <w:pStyle w:val="41"/>
              <w:spacing w:line="240" w:lineRule="atLeast"/>
              <w:rPr>
                <w:color w:val="auto"/>
                <w:highlight w:val="none"/>
              </w:rPr>
            </w:pPr>
            <w:r>
              <w:rPr>
                <w:color w:val="auto"/>
                <w:highlight w:val="none"/>
              </w:rPr>
              <w:t>975</w:t>
            </w:r>
          </w:p>
        </w:tc>
        <w:tc>
          <w:tcPr>
            <w:tcW w:w="1398" w:type="dxa"/>
            <w:noWrap/>
            <w:vAlign w:val="center"/>
          </w:tcPr>
          <w:p w14:paraId="40072CF5">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0.001182</w:t>
            </w:r>
          </w:p>
        </w:tc>
        <w:tc>
          <w:tcPr>
            <w:tcW w:w="873" w:type="dxa"/>
            <w:noWrap/>
            <w:vAlign w:val="center"/>
          </w:tcPr>
          <w:p w14:paraId="68FB0311">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398" w:type="dxa"/>
            <w:noWrap/>
            <w:vAlign w:val="center"/>
          </w:tcPr>
          <w:p w14:paraId="4B4AF079">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0.001182</w:t>
            </w:r>
          </w:p>
        </w:tc>
        <w:tc>
          <w:tcPr>
            <w:tcW w:w="873" w:type="dxa"/>
            <w:noWrap/>
            <w:vAlign w:val="center"/>
          </w:tcPr>
          <w:p w14:paraId="564C6E94">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400" w:type="dxa"/>
            <w:noWrap/>
            <w:vAlign w:val="center"/>
          </w:tcPr>
          <w:p w14:paraId="292702C1">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0.001182</w:t>
            </w:r>
          </w:p>
        </w:tc>
        <w:tc>
          <w:tcPr>
            <w:tcW w:w="873" w:type="dxa"/>
            <w:noWrap/>
            <w:vAlign w:val="center"/>
          </w:tcPr>
          <w:p w14:paraId="3608A55E">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08C39C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3A09A9FB">
            <w:pPr>
              <w:pStyle w:val="41"/>
              <w:spacing w:line="240" w:lineRule="atLeast"/>
              <w:rPr>
                <w:color w:val="auto"/>
                <w:highlight w:val="none"/>
              </w:rPr>
            </w:pPr>
            <w:r>
              <w:rPr>
                <w:color w:val="auto"/>
                <w:highlight w:val="none"/>
              </w:rPr>
              <w:t>42</w:t>
            </w:r>
          </w:p>
        </w:tc>
        <w:tc>
          <w:tcPr>
            <w:tcW w:w="674" w:type="pct"/>
            <w:noWrap/>
            <w:vAlign w:val="center"/>
          </w:tcPr>
          <w:p w14:paraId="6C29F17C">
            <w:pPr>
              <w:pStyle w:val="41"/>
              <w:spacing w:line="240" w:lineRule="atLeast"/>
              <w:rPr>
                <w:color w:val="auto"/>
                <w:highlight w:val="none"/>
              </w:rPr>
            </w:pPr>
            <w:r>
              <w:rPr>
                <w:color w:val="auto"/>
                <w:highlight w:val="none"/>
              </w:rPr>
              <w:t>1000</w:t>
            </w:r>
          </w:p>
        </w:tc>
        <w:tc>
          <w:tcPr>
            <w:tcW w:w="1398" w:type="dxa"/>
            <w:noWrap/>
            <w:vAlign w:val="center"/>
          </w:tcPr>
          <w:p w14:paraId="685FE27D">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0.001181</w:t>
            </w:r>
          </w:p>
        </w:tc>
        <w:tc>
          <w:tcPr>
            <w:tcW w:w="873" w:type="dxa"/>
            <w:noWrap/>
            <w:vAlign w:val="center"/>
          </w:tcPr>
          <w:p w14:paraId="3592FD62">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398" w:type="dxa"/>
            <w:noWrap/>
            <w:vAlign w:val="center"/>
          </w:tcPr>
          <w:p w14:paraId="303AA567">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0.001181</w:t>
            </w:r>
          </w:p>
        </w:tc>
        <w:tc>
          <w:tcPr>
            <w:tcW w:w="873" w:type="dxa"/>
            <w:noWrap/>
            <w:vAlign w:val="center"/>
          </w:tcPr>
          <w:p w14:paraId="0CCCAAAF">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400" w:type="dxa"/>
            <w:noWrap/>
            <w:vAlign w:val="center"/>
          </w:tcPr>
          <w:p w14:paraId="4C94C808">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0.001181</w:t>
            </w:r>
          </w:p>
        </w:tc>
        <w:tc>
          <w:tcPr>
            <w:tcW w:w="873" w:type="dxa"/>
            <w:noWrap/>
            <w:vAlign w:val="center"/>
          </w:tcPr>
          <w:p w14:paraId="38490018">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22AD86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7C224155">
            <w:pPr>
              <w:pStyle w:val="41"/>
              <w:spacing w:line="240" w:lineRule="atLeast"/>
              <w:rPr>
                <w:color w:val="auto"/>
                <w:highlight w:val="none"/>
              </w:rPr>
            </w:pPr>
            <w:r>
              <w:rPr>
                <w:color w:val="auto"/>
                <w:highlight w:val="none"/>
              </w:rPr>
              <w:t>43</w:t>
            </w:r>
          </w:p>
        </w:tc>
        <w:tc>
          <w:tcPr>
            <w:tcW w:w="674" w:type="pct"/>
            <w:noWrap/>
            <w:vAlign w:val="center"/>
          </w:tcPr>
          <w:p w14:paraId="55A36478">
            <w:pPr>
              <w:pStyle w:val="41"/>
              <w:spacing w:line="240" w:lineRule="atLeast"/>
              <w:rPr>
                <w:color w:val="auto"/>
                <w:highlight w:val="none"/>
              </w:rPr>
            </w:pPr>
            <w:r>
              <w:rPr>
                <w:color w:val="auto"/>
                <w:highlight w:val="none"/>
              </w:rPr>
              <w:t>1025</w:t>
            </w:r>
          </w:p>
        </w:tc>
        <w:tc>
          <w:tcPr>
            <w:tcW w:w="1398" w:type="dxa"/>
            <w:noWrap/>
            <w:vAlign w:val="center"/>
          </w:tcPr>
          <w:p w14:paraId="72029E8E">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0.001187</w:t>
            </w:r>
          </w:p>
        </w:tc>
        <w:tc>
          <w:tcPr>
            <w:tcW w:w="873" w:type="dxa"/>
            <w:noWrap/>
            <w:vAlign w:val="center"/>
          </w:tcPr>
          <w:p w14:paraId="1DF8AF0F">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398" w:type="dxa"/>
            <w:noWrap/>
            <w:vAlign w:val="center"/>
          </w:tcPr>
          <w:p w14:paraId="0FD2AC0B">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0.001187</w:t>
            </w:r>
          </w:p>
        </w:tc>
        <w:tc>
          <w:tcPr>
            <w:tcW w:w="873" w:type="dxa"/>
            <w:noWrap/>
            <w:vAlign w:val="center"/>
          </w:tcPr>
          <w:p w14:paraId="27476E5B">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400" w:type="dxa"/>
            <w:noWrap/>
            <w:vAlign w:val="center"/>
          </w:tcPr>
          <w:p w14:paraId="5C64C8D9">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0.001187</w:t>
            </w:r>
          </w:p>
        </w:tc>
        <w:tc>
          <w:tcPr>
            <w:tcW w:w="873" w:type="dxa"/>
            <w:noWrap/>
            <w:vAlign w:val="center"/>
          </w:tcPr>
          <w:p w14:paraId="29B8EC33">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7338FF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5AB671C">
            <w:pPr>
              <w:pStyle w:val="41"/>
              <w:spacing w:line="240" w:lineRule="atLeast"/>
              <w:rPr>
                <w:color w:val="auto"/>
                <w:highlight w:val="none"/>
              </w:rPr>
            </w:pPr>
            <w:r>
              <w:rPr>
                <w:color w:val="auto"/>
                <w:highlight w:val="none"/>
              </w:rPr>
              <w:t>44</w:t>
            </w:r>
          </w:p>
        </w:tc>
        <w:tc>
          <w:tcPr>
            <w:tcW w:w="674" w:type="pct"/>
            <w:noWrap/>
            <w:vAlign w:val="center"/>
          </w:tcPr>
          <w:p w14:paraId="584B1212">
            <w:pPr>
              <w:pStyle w:val="41"/>
              <w:spacing w:line="240" w:lineRule="atLeast"/>
              <w:rPr>
                <w:color w:val="auto"/>
                <w:highlight w:val="none"/>
              </w:rPr>
            </w:pPr>
            <w:r>
              <w:rPr>
                <w:color w:val="auto"/>
                <w:highlight w:val="none"/>
              </w:rPr>
              <w:t>1050</w:t>
            </w:r>
          </w:p>
        </w:tc>
        <w:tc>
          <w:tcPr>
            <w:tcW w:w="1398" w:type="dxa"/>
            <w:noWrap/>
            <w:vAlign w:val="center"/>
          </w:tcPr>
          <w:p w14:paraId="227CBC26">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0.001185</w:t>
            </w:r>
          </w:p>
        </w:tc>
        <w:tc>
          <w:tcPr>
            <w:tcW w:w="873" w:type="dxa"/>
            <w:noWrap/>
            <w:vAlign w:val="center"/>
          </w:tcPr>
          <w:p w14:paraId="30A3EE98">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398" w:type="dxa"/>
            <w:noWrap/>
            <w:vAlign w:val="center"/>
          </w:tcPr>
          <w:p w14:paraId="5A6476B5">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0.001185</w:t>
            </w:r>
          </w:p>
        </w:tc>
        <w:tc>
          <w:tcPr>
            <w:tcW w:w="873" w:type="dxa"/>
            <w:noWrap/>
            <w:vAlign w:val="center"/>
          </w:tcPr>
          <w:p w14:paraId="00D8EF1C">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400" w:type="dxa"/>
            <w:noWrap/>
            <w:vAlign w:val="center"/>
          </w:tcPr>
          <w:p w14:paraId="4A55C7D3">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0.001185</w:t>
            </w:r>
          </w:p>
        </w:tc>
        <w:tc>
          <w:tcPr>
            <w:tcW w:w="873" w:type="dxa"/>
            <w:noWrap/>
            <w:vAlign w:val="center"/>
          </w:tcPr>
          <w:p w14:paraId="573BD0B2">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11161E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04C6EF6">
            <w:pPr>
              <w:pStyle w:val="41"/>
              <w:spacing w:line="240" w:lineRule="atLeast"/>
              <w:rPr>
                <w:color w:val="auto"/>
                <w:highlight w:val="none"/>
              </w:rPr>
            </w:pPr>
            <w:r>
              <w:rPr>
                <w:color w:val="auto"/>
                <w:highlight w:val="none"/>
              </w:rPr>
              <w:t>45</w:t>
            </w:r>
          </w:p>
        </w:tc>
        <w:tc>
          <w:tcPr>
            <w:tcW w:w="674" w:type="pct"/>
            <w:noWrap/>
            <w:vAlign w:val="center"/>
          </w:tcPr>
          <w:p w14:paraId="46C43FC6">
            <w:pPr>
              <w:pStyle w:val="41"/>
              <w:spacing w:line="240" w:lineRule="atLeast"/>
              <w:rPr>
                <w:color w:val="auto"/>
                <w:highlight w:val="none"/>
              </w:rPr>
            </w:pPr>
            <w:r>
              <w:rPr>
                <w:color w:val="auto"/>
                <w:highlight w:val="none"/>
              </w:rPr>
              <w:t>1075</w:t>
            </w:r>
          </w:p>
        </w:tc>
        <w:tc>
          <w:tcPr>
            <w:tcW w:w="1398" w:type="dxa"/>
            <w:noWrap/>
            <w:vAlign w:val="center"/>
          </w:tcPr>
          <w:p w14:paraId="221B9518">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0.001183</w:t>
            </w:r>
          </w:p>
        </w:tc>
        <w:tc>
          <w:tcPr>
            <w:tcW w:w="873" w:type="dxa"/>
            <w:noWrap/>
            <w:vAlign w:val="center"/>
          </w:tcPr>
          <w:p w14:paraId="21646064">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398" w:type="dxa"/>
            <w:noWrap/>
            <w:vAlign w:val="center"/>
          </w:tcPr>
          <w:p w14:paraId="72C88F29">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0.001183</w:t>
            </w:r>
          </w:p>
        </w:tc>
        <w:tc>
          <w:tcPr>
            <w:tcW w:w="873" w:type="dxa"/>
            <w:noWrap/>
            <w:vAlign w:val="center"/>
          </w:tcPr>
          <w:p w14:paraId="2312CD2F">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400" w:type="dxa"/>
            <w:noWrap/>
            <w:vAlign w:val="center"/>
          </w:tcPr>
          <w:p w14:paraId="0893F657">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0.001183</w:t>
            </w:r>
          </w:p>
        </w:tc>
        <w:tc>
          <w:tcPr>
            <w:tcW w:w="873" w:type="dxa"/>
            <w:noWrap/>
            <w:vAlign w:val="center"/>
          </w:tcPr>
          <w:p w14:paraId="5C6C10F6">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205B41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4A4BC5AB">
            <w:pPr>
              <w:pStyle w:val="41"/>
              <w:spacing w:line="240" w:lineRule="atLeast"/>
              <w:rPr>
                <w:color w:val="auto"/>
                <w:highlight w:val="none"/>
              </w:rPr>
            </w:pPr>
            <w:r>
              <w:rPr>
                <w:color w:val="auto"/>
                <w:highlight w:val="none"/>
              </w:rPr>
              <w:t>46</w:t>
            </w:r>
          </w:p>
        </w:tc>
        <w:tc>
          <w:tcPr>
            <w:tcW w:w="674" w:type="pct"/>
            <w:noWrap/>
            <w:vAlign w:val="center"/>
          </w:tcPr>
          <w:p w14:paraId="5BCA9672">
            <w:pPr>
              <w:pStyle w:val="41"/>
              <w:spacing w:line="240" w:lineRule="atLeast"/>
              <w:rPr>
                <w:color w:val="auto"/>
                <w:highlight w:val="none"/>
              </w:rPr>
            </w:pPr>
            <w:r>
              <w:rPr>
                <w:color w:val="auto"/>
                <w:highlight w:val="none"/>
              </w:rPr>
              <w:t>1100</w:t>
            </w:r>
          </w:p>
        </w:tc>
        <w:tc>
          <w:tcPr>
            <w:tcW w:w="1398" w:type="dxa"/>
            <w:noWrap/>
            <w:vAlign w:val="center"/>
          </w:tcPr>
          <w:p w14:paraId="1036D779">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w:t>
            </w:r>
          </w:p>
        </w:tc>
        <w:tc>
          <w:tcPr>
            <w:tcW w:w="873" w:type="dxa"/>
            <w:noWrap/>
            <w:vAlign w:val="center"/>
          </w:tcPr>
          <w:p w14:paraId="6FDBAC91">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398" w:type="dxa"/>
            <w:noWrap/>
            <w:vAlign w:val="center"/>
          </w:tcPr>
          <w:p w14:paraId="0D252C1B">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0.00118</w:t>
            </w:r>
          </w:p>
        </w:tc>
        <w:tc>
          <w:tcPr>
            <w:tcW w:w="873" w:type="dxa"/>
            <w:noWrap/>
            <w:vAlign w:val="center"/>
          </w:tcPr>
          <w:p w14:paraId="5850B96B">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400" w:type="dxa"/>
            <w:noWrap/>
            <w:vAlign w:val="center"/>
          </w:tcPr>
          <w:p w14:paraId="09B4088D">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w:t>
            </w:r>
          </w:p>
        </w:tc>
        <w:tc>
          <w:tcPr>
            <w:tcW w:w="873" w:type="dxa"/>
            <w:noWrap/>
            <w:vAlign w:val="center"/>
          </w:tcPr>
          <w:p w14:paraId="0F42E334">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368B21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68AD6BD">
            <w:pPr>
              <w:pStyle w:val="41"/>
              <w:spacing w:line="240" w:lineRule="atLeast"/>
              <w:rPr>
                <w:color w:val="auto"/>
                <w:highlight w:val="none"/>
              </w:rPr>
            </w:pPr>
            <w:r>
              <w:rPr>
                <w:color w:val="auto"/>
                <w:highlight w:val="none"/>
              </w:rPr>
              <w:t>47</w:t>
            </w:r>
          </w:p>
        </w:tc>
        <w:tc>
          <w:tcPr>
            <w:tcW w:w="674" w:type="pct"/>
            <w:noWrap/>
            <w:vAlign w:val="center"/>
          </w:tcPr>
          <w:p w14:paraId="6523C283">
            <w:pPr>
              <w:pStyle w:val="41"/>
              <w:spacing w:line="240" w:lineRule="atLeast"/>
              <w:rPr>
                <w:color w:val="auto"/>
                <w:highlight w:val="none"/>
              </w:rPr>
            </w:pPr>
            <w:r>
              <w:rPr>
                <w:color w:val="auto"/>
                <w:highlight w:val="none"/>
              </w:rPr>
              <w:t>1125</w:t>
            </w:r>
          </w:p>
        </w:tc>
        <w:tc>
          <w:tcPr>
            <w:tcW w:w="1398" w:type="dxa"/>
            <w:noWrap/>
            <w:vAlign w:val="center"/>
          </w:tcPr>
          <w:p w14:paraId="2F3B1C72">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0.001176</w:t>
            </w:r>
          </w:p>
        </w:tc>
        <w:tc>
          <w:tcPr>
            <w:tcW w:w="873" w:type="dxa"/>
            <w:noWrap/>
            <w:vAlign w:val="center"/>
          </w:tcPr>
          <w:p w14:paraId="3C24CEB7">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398" w:type="dxa"/>
            <w:noWrap/>
            <w:vAlign w:val="center"/>
          </w:tcPr>
          <w:p w14:paraId="6476659A">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0.001176</w:t>
            </w:r>
          </w:p>
        </w:tc>
        <w:tc>
          <w:tcPr>
            <w:tcW w:w="873" w:type="dxa"/>
            <w:noWrap/>
            <w:vAlign w:val="center"/>
          </w:tcPr>
          <w:p w14:paraId="5AD306D8">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400" w:type="dxa"/>
            <w:noWrap/>
            <w:vAlign w:val="center"/>
          </w:tcPr>
          <w:p w14:paraId="62DB131D">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0.001176</w:t>
            </w:r>
          </w:p>
        </w:tc>
        <w:tc>
          <w:tcPr>
            <w:tcW w:w="873" w:type="dxa"/>
            <w:noWrap/>
            <w:vAlign w:val="center"/>
          </w:tcPr>
          <w:p w14:paraId="034F5A21">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212C0D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3D00D344">
            <w:pPr>
              <w:pStyle w:val="41"/>
              <w:spacing w:line="240" w:lineRule="atLeast"/>
              <w:rPr>
                <w:color w:val="auto"/>
                <w:highlight w:val="none"/>
              </w:rPr>
            </w:pPr>
            <w:r>
              <w:rPr>
                <w:color w:val="auto"/>
                <w:highlight w:val="none"/>
              </w:rPr>
              <w:t>48</w:t>
            </w:r>
          </w:p>
        </w:tc>
        <w:tc>
          <w:tcPr>
            <w:tcW w:w="674" w:type="pct"/>
            <w:noWrap/>
            <w:vAlign w:val="center"/>
          </w:tcPr>
          <w:p w14:paraId="7EA4D344">
            <w:pPr>
              <w:pStyle w:val="41"/>
              <w:spacing w:line="240" w:lineRule="atLeast"/>
              <w:rPr>
                <w:color w:val="auto"/>
                <w:highlight w:val="none"/>
              </w:rPr>
            </w:pPr>
            <w:r>
              <w:rPr>
                <w:color w:val="auto"/>
                <w:highlight w:val="none"/>
              </w:rPr>
              <w:t>1150</w:t>
            </w:r>
          </w:p>
        </w:tc>
        <w:tc>
          <w:tcPr>
            <w:tcW w:w="1398" w:type="dxa"/>
            <w:noWrap/>
            <w:vAlign w:val="center"/>
          </w:tcPr>
          <w:p w14:paraId="0A4BB2C0">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0.001171</w:t>
            </w:r>
          </w:p>
        </w:tc>
        <w:tc>
          <w:tcPr>
            <w:tcW w:w="873" w:type="dxa"/>
            <w:noWrap/>
            <w:vAlign w:val="center"/>
          </w:tcPr>
          <w:p w14:paraId="68B5A693">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398" w:type="dxa"/>
            <w:noWrap/>
            <w:vAlign w:val="center"/>
          </w:tcPr>
          <w:p w14:paraId="46D56871">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0.001171</w:t>
            </w:r>
          </w:p>
        </w:tc>
        <w:tc>
          <w:tcPr>
            <w:tcW w:w="873" w:type="dxa"/>
            <w:noWrap/>
            <w:vAlign w:val="center"/>
          </w:tcPr>
          <w:p w14:paraId="214C528F">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400" w:type="dxa"/>
            <w:noWrap/>
            <w:vAlign w:val="center"/>
          </w:tcPr>
          <w:p w14:paraId="21DC93D7">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0.001171</w:t>
            </w:r>
          </w:p>
        </w:tc>
        <w:tc>
          <w:tcPr>
            <w:tcW w:w="873" w:type="dxa"/>
            <w:noWrap/>
            <w:vAlign w:val="center"/>
          </w:tcPr>
          <w:p w14:paraId="1BAAA490">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4D9DB3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5854E60A">
            <w:pPr>
              <w:pStyle w:val="41"/>
              <w:spacing w:line="240" w:lineRule="atLeast"/>
              <w:rPr>
                <w:color w:val="auto"/>
                <w:highlight w:val="none"/>
              </w:rPr>
            </w:pPr>
            <w:r>
              <w:rPr>
                <w:color w:val="auto"/>
                <w:highlight w:val="none"/>
              </w:rPr>
              <w:t>49</w:t>
            </w:r>
          </w:p>
        </w:tc>
        <w:tc>
          <w:tcPr>
            <w:tcW w:w="674" w:type="pct"/>
            <w:noWrap/>
            <w:vAlign w:val="center"/>
          </w:tcPr>
          <w:p w14:paraId="34F5939F">
            <w:pPr>
              <w:pStyle w:val="41"/>
              <w:spacing w:line="240" w:lineRule="atLeast"/>
              <w:rPr>
                <w:color w:val="auto"/>
                <w:highlight w:val="none"/>
              </w:rPr>
            </w:pPr>
            <w:r>
              <w:rPr>
                <w:color w:val="auto"/>
                <w:highlight w:val="none"/>
              </w:rPr>
              <w:t>1175</w:t>
            </w:r>
          </w:p>
        </w:tc>
        <w:tc>
          <w:tcPr>
            <w:tcW w:w="1398" w:type="dxa"/>
            <w:noWrap/>
            <w:vAlign w:val="center"/>
          </w:tcPr>
          <w:p w14:paraId="7F8869C2">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0.001165</w:t>
            </w:r>
          </w:p>
        </w:tc>
        <w:tc>
          <w:tcPr>
            <w:tcW w:w="873" w:type="dxa"/>
            <w:noWrap/>
            <w:vAlign w:val="center"/>
          </w:tcPr>
          <w:p w14:paraId="43E8BAE1">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398" w:type="dxa"/>
            <w:noWrap/>
            <w:vAlign w:val="center"/>
          </w:tcPr>
          <w:p w14:paraId="072D3AED">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0.001165</w:t>
            </w:r>
          </w:p>
        </w:tc>
        <w:tc>
          <w:tcPr>
            <w:tcW w:w="873" w:type="dxa"/>
            <w:noWrap/>
            <w:vAlign w:val="center"/>
          </w:tcPr>
          <w:p w14:paraId="17C4C6AB">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400" w:type="dxa"/>
            <w:noWrap/>
            <w:vAlign w:val="center"/>
          </w:tcPr>
          <w:p w14:paraId="71691D21">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0.001165</w:t>
            </w:r>
          </w:p>
        </w:tc>
        <w:tc>
          <w:tcPr>
            <w:tcW w:w="873" w:type="dxa"/>
            <w:noWrap/>
            <w:vAlign w:val="center"/>
          </w:tcPr>
          <w:p w14:paraId="6B4B24EC">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0217D3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40A1DA0B">
            <w:pPr>
              <w:pStyle w:val="41"/>
              <w:spacing w:line="240" w:lineRule="atLeast"/>
              <w:rPr>
                <w:color w:val="auto"/>
                <w:highlight w:val="none"/>
              </w:rPr>
            </w:pPr>
            <w:r>
              <w:rPr>
                <w:color w:val="auto"/>
                <w:highlight w:val="none"/>
              </w:rPr>
              <w:t>50</w:t>
            </w:r>
          </w:p>
        </w:tc>
        <w:tc>
          <w:tcPr>
            <w:tcW w:w="674" w:type="pct"/>
            <w:noWrap/>
            <w:vAlign w:val="center"/>
          </w:tcPr>
          <w:p w14:paraId="790C96AC">
            <w:pPr>
              <w:pStyle w:val="41"/>
              <w:spacing w:line="240" w:lineRule="atLeast"/>
              <w:rPr>
                <w:color w:val="auto"/>
                <w:highlight w:val="none"/>
              </w:rPr>
            </w:pPr>
            <w:r>
              <w:rPr>
                <w:color w:val="auto"/>
                <w:highlight w:val="none"/>
              </w:rPr>
              <w:t>1200</w:t>
            </w:r>
          </w:p>
        </w:tc>
        <w:tc>
          <w:tcPr>
            <w:tcW w:w="1398" w:type="dxa"/>
            <w:noWrap/>
            <w:vAlign w:val="center"/>
          </w:tcPr>
          <w:p w14:paraId="750DA6FE">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0.00116</w:t>
            </w:r>
          </w:p>
        </w:tc>
        <w:tc>
          <w:tcPr>
            <w:tcW w:w="873" w:type="dxa"/>
            <w:noWrap/>
            <w:vAlign w:val="center"/>
          </w:tcPr>
          <w:p w14:paraId="7BBC2DF3">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398" w:type="dxa"/>
            <w:noWrap/>
            <w:vAlign w:val="center"/>
          </w:tcPr>
          <w:p w14:paraId="42D07F38">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0.00116</w:t>
            </w:r>
          </w:p>
        </w:tc>
        <w:tc>
          <w:tcPr>
            <w:tcW w:w="873" w:type="dxa"/>
            <w:noWrap/>
            <w:vAlign w:val="center"/>
          </w:tcPr>
          <w:p w14:paraId="43338745">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400" w:type="dxa"/>
            <w:noWrap/>
            <w:vAlign w:val="center"/>
          </w:tcPr>
          <w:p w14:paraId="595F745B">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0.00116</w:t>
            </w:r>
          </w:p>
        </w:tc>
        <w:tc>
          <w:tcPr>
            <w:tcW w:w="873" w:type="dxa"/>
            <w:noWrap/>
            <w:vAlign w:val="center"/>
          </w:tcPr>
          <w:p w14:paraId="69090275">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387165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AA1AF45">
            <w:pPr>
              <w:pStyle w:val="41"/>
              <w:spacing w:line="240" w:lineRule="atLeast"/>
              <w:rPr>
                <w:color w:val="auto"/>
                <w:highlight w:val="none"/>
              </w:rPr>
            </w:pPr>
            <w:r>
              <w:rPr>
                <w:color w:val="auto"/>
                <w:highlight w:val="none"/>
              </w:rPr>
              <w:t>51</w:t>
            </w:r>
          </w:p>
        </w:tc>
        <w:tc>
          <w:tcPr>
            <w:tcW w:w="674" w:type="pct"/>
            <w:noWrap/>
            <w:vAlign w:val="center"/>
          </w:tcPr>
          <w:p w14:paraId="6E49882E">
            <w:pPr>
              <w:pStyle w:val="41"/>
              <w:spacing w:line="240" w:lineRule="atLeast"/>
              <w:rPr>
                <w:color w:val="auto"/>
                <w:highlight w:val="none"/>
              </w:rPr>
            </w:pPr>
            <w:r>
              <w:rPr>
                <w:color w:val="auto"/>
                <w:highlight w:val="none"/>
              </w:rPr>
              <w:t>1225</w:t>
            </w:r>
          </w:p>
        </w:tc>
        <w:tc>
          <w:tcPr>
            <w:tcW w:w="1398" w:type="dxa"/>
            <w:noWrap/>
            <w:vAlign w:val="center"/>
          </w:tcPr>
          <w:p w14:paraId="47494EF0">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0.001153</w:t>
            </w:r>
          </w:p>
        </w:tc>
        <w:tc>
          <w:tcPr>
            <w:tcW w:w="873" w:type="dxa"/>
            <w:noWrap/>
            <w:vAlign w:val="center"/>
          </w:tcPr>
          <w:p w14:paraId="7394B66E">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398" w:type="dxa"/>
            <w:noWrap/>
            <w:vAlign w:val="center"/>
          </w:tcPr>
          <w:p w14:paraId="67B5C065">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0.001153</w:t>
            </w:r>
          </w:p>
        </w:tc>
        <w:tc>
          <w:tcPr>
            <w:tcW w:w="873" w:type="dxa"/>
            <w:noWrap/>
            <w:vAlign w:val="center"/>
          </w:tcPr>
          <w:p w14:paraId="3729087A">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400" w:type="dxa"/>
            <w:noWrap/>
            <w:vAlign w:val="center"/>
          </w:tcPr>
          <w:p w14:paraId="4A049C8F">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0.001153</w:t>
            </w:r>
          </w:p>
        </w:tc>
        <w:tc>
          <w:tcPr>
            <w:tcW w:w="873" w:type="dxa"/>
            <w:noWrap/>
            <w:vAlign w:val="center"/>
          </w:tcPr>
          <w:p w14:paraId="709F58CC">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7A25BA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7777D831">
            <w:pPr>
              <w:pStyle w:val="41"/>
              <w:spacing w:line="240" w:lineRule="atLeast"/>
              <w:rPr>
                <w:color w:val="auto"/>
                <w:highlight w:val="none"/>
              </w:rPr>
            </w:pPr>
            <w:r>
              <w:rPr>
                <w:color w:val="auto"/>
                <w:highlight w:val="none"/>
              </w:rPr>
              <w:t>52</w:t>
            </w:r>
          </w:p>
        </w:tc>
        <w:tc>
          <w:tcPr>
            <w:tcW w:w="674" w:type="pct"/>
            <w:noWrap/>
            <w:vAlign w:val="center"/>
          </w:tcPr>
          <w:p w14:paraId="6E65D036">
            <w:pPr>
              <w:pStyle w:val="41"/>
              <w:spacing w:line="240" w:lineRule="atLeast"/>
              <w:rPr>
                <w:color w:val="auto"/>
                <w:highlight w:val="none"/>
              </w:rPr>
            </w:pPr>
            <w:r>
              <w:rPr>
                <w:color w:val="auto"/>
                <w:highlight w:val="none"/>
              </w:rPr>
              <w:t>1250</w:t>
            </w:r>
          </w:p>
        </w:tc>
        <w:tc>
          <w:tcPr>
            <w:tcW w:w="1398" w:type="dxa"/>
            <w:noWrap/>
            <w:vAlign w:val="center"/>
          </w:tcPr>
          <w:p w14:paraId="04D42C2B">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0.001146</w:t>
            </w:r>
          </w:p>
        </w:tc>
        <w:tc>
          <w:tcPr>
            <w:tcW w:w="873" w:type="dxa"/>
            <w:noWrap/>
            <w:vAlign w:val="center"/>
          </w:tcPr>
          <w:p w14:paraId="0424B353">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398" w:type="dxa"/>
            <w:noWrap/>
            <w:vAlign w:val="center"/>
          </w:tcPr>
          <w:p w14:paraId="36FC8D21">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0.001146</w:t>
            </w:r>
          </w:p>
        </w:tc>
        <w:tc>
          <w:tcPr>
            <w:tcW w:w="873" w:type="dxa"/>
            <w:noWrap/>
            <w:vAlign w:val="center"/>
          </w:tcPr>
          <w:p w14:paraId="1520380B">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400" w:type="dxa"/>
            <w:noWrap/>
            <w:vAlign w:val="center"/>
          </w:tcPr>
          <w:p w14:paraId="6C6F159F">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0.001146</w:t>
            </w:r>
          </w:p>
        </w:tc>
        <w:tc>
          <w:tcPr>
            <w:tcW w:w="873" w:type="dxa"/>
            <w:noWrap/>
            <w:vAlign w:val="center"/>
          </w:tcPr>
          <w:p w14:paraId="3315E087">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r>
      <w:tr w14:paraId="64DC14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0D468D72">
            <w:pPr>
              <w:pStyle w:val="41"/>
              <w:spacing w:line="240" w:lineRule="atLeast"/>
              <w:rPr>
                <w:color w:val="auto"/>
                <w:highlight w:val="none"/>
              </w:rPr>
            </w:pPr>
            <w:r>
              <w:rPr>
                <w:color w:val="auto"/>
                <w:highlight w:val="none"/>
              </w:rPr>
              <w:t>53</w:t>
            </w:r>
          </w:p>
        </w:tc>
        <w:tc>
          <w:tcPr>
            <w:tcW w:w="674" w:type="pct"/>
            <w:noWrap/>
            <w:vAlign w:val="center"/>
          </w:tcPr>
          <w:p w14:paraId="32453E48">
            <w:pPr>
              <w:pStyle w:val="41"/>
              <w:spacing w:line="240" w:lineRule="atLeast"/>
              <w:rPr>
                <w:color w:val="auto"/>
                <w:highlight w:val="none"/>
              </w:rPr>
            </w:pPr>
            <w:r>
              <w:rPr>
                <w:color w:val="auto"/>
                <w:highlight w:val="none"/>
              </w:rPr>
              <w:t>1275</w:t>
            </w:r>
          </w:p>
        </w:tc>
        <w:tc>
          <w:tcPr>
            <w:tcW w:w="1398" w:type="dxa"/>
            <w:noWrap/>
            <w:vAlign w:val="center"/>
          </w:tcPr>
          <w:p w14:paraId="46DC5E2C">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0.001139</w:t>
            </w:r>
          </w:p>
        </w:tc>
        <w:tc>
          <w:tcPr>
            <w:tcW w:w="873" w:type="dxa"/>
            <w:noWrap/>
            <w:vAlign w:val="center"/>
          </w:tcPr>
          <w:p w14:paraId="0A1B1988">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398" w:type="dxa"/>
            <w:noWrap/>
            <w:vAlign w:val="center"/>
          </w:tcPr>
          <w:p w14:paraId="44B974EE">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0.001139</w:t>
            </w:r>
          </w:p>
        </w:tc>
        <w:tc>
          <w:tcPr>
            <w:tcW w:w="873" w:type="dxa"/>
            <w:noWrap/>
            <w:vAlign w:val="center"/>
          </w:tcPr>
          <w:p w14:paraId="13565766">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400" w:type="dxa"/>
            <w:noWrap/>
            <w:vAlign w:val="center"/>
          </w:tcPr>
          <w:p w14:paraId="6CCDBA8B">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0.001139</w:t>
            </w:r>
          </w:p>
        </w:tc>
        <w:tc>
          <w:tcPr>
            <w:tcW w:w="873" w:type="dxa"/>
            <w:noWrap/>
            <w:vAlign w:val="center"/>
          </w:tcPr>
          <w:p w14:paraId="14264652">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r>
      <w:tr w14:paraId="4B88DF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579A99B5">
            <w:pPr>
              <w:pStyle w:val="41"/>
              <w:spacing w:line="240" w:lineRule="atLeast"/>
              <w:rPr>
                <w:color w:val="auto"/>
                <w:highlight w:val="none"/>
              </w:rPr>
            </w:pPr>
            <w:r>
              <w:rPr>
                <w:color w:val="auto"/>
                <w:highlight w:val="none"/>
              </w:rPr>
              <w:t>54</w:t>
            </w:r>
          </w:p>
        </w:tc>
        <w:tc>
          <w:tcPr>
            <w:tcW w:w="674" w:type="pct"/>
            <w:noWrap/>
            <w:vAlign w:val="center"/>
          </w:tcPr>
          <w:p w14:paraId="4E4E0AA6">
            <w:pPr>
              <w:pStyle w:val="41"/>
              <w:spacing w:line="240" w:lineRule="atLeast"/>
              <w:rPr>
                <w:color w:val="auto"/>
                <w:highlight w:val="none"/>
              </w:rPr>
            </w:pPr>
            <w:r>
              <w:rPr>
                <w:color w:val="auto"/>
                <w:highlight w:val="none"/>
              </w:rPr>
              <w:t>1300</w:t>
            </w:r>
          </w:p>
        </w:tc>
        <w:tc>
          <w:tcPr>
            <w:tcW w:w="1398" w:type="dxa"/>
            <w:noWrap/>
            <w:vAlign w:val="center"/>
          </w:tcPr>
          <w:p w14:paraId="5B14D9AC">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0.001131</w:t>
            </w:r>
          </w:p>
        </w:tc>
        <w:tc>
          <w:tcPr>
            <w:tcW w:w="873" w:type="dxa"/>
            <w:noWrap/>
            <w:vAlign w:val="center"/>
          </w:tcPr>
          <w:p w14:paraId="6A5472EC">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398" w:type="dxa"/>
            <w:noWrap/>
            <w:vAlign w:val="center"/>
          </w:tcPr>
          <w:p w14:paraId="47040B13">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0.001131</w:t>
            </w:r>
          </w:p>
        </w:tc>
        <w:tc>
          <w:tcPr>
            <w:tcW w:w="873" w:type="dxa"/>
            <w:noWrap/>
            <w:vAlign w:val="center"/>
          </w:tcPr>
          <w:p w14:paraId="596C5977">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400" w:type="dxa"/>
            <w:noWrap/>
            <w:vAlign w:val="center"/>
          </w:tcPr>
          <w:p w14:paraId="0DCEC25F">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0.001131</w:t>
            </w:r>
          </w:p>
        </w:tc>
        <w:tc>
          <w:tcPr>
            <w:tcW w:w="873" w:type="dxa"/>
            <w:noWrap/>
            <w:vAlign w:val="center"/>
          </w:tcPr>
          <w:p w14:paraId="4F388CF6">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r>
      <w:tr w14:paraId="1723B4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75F271F">
            <w:pPr>
              <w:pStyle w:val="41"/>
              <w:spacing w:line="240" w:lineRule="atLeast"/>
              <w:rPr>
                <w:color w:val="auto"/>
                <w:highlight w:val="none"/>
              </w:rPr>
            </w:pPr>
            <w:r>
              <w:rPr>
                <w:color w:val="auto"/>
                <w:highlight w:val="none"/>
              </w:rPr>
              <w:t>55</w:t>
            </w:r>
          </w:p>
        </w:tc>
        <w:tc>
          <w:tcPr>
            <w:tcW w:w="674" w:type="pct"/>
            <w:noWrap/>
            <w:vAlign w:val="center"/>
          </w:tcPr>
          <w:p w14:paraId="5EE23823">
            <w:pPr>
              <w:pStyle w:val="41"/>
              <w:spacing w:line="240" w:lineRule="atLeast"/>
              <w:rPr>
                <w:color w:val="auto"/>
                <w:highlight w:val="none"/>
              </w:rPr>
            </w:pPr>
            <w:r>
              <w:rPr>
                <w:color w:val="auto"/>
                <w:highlight w:val="none"/>
              </w:rPr>
              <w:t>1325</w:t>
            </w:r>
          </w:p>
        </w:tc>
        <w:tc>
          <w:tcPr>
            <w:tcW w:w="1398" w:type="dxa"/>
            <w:noWrap/>
            <w:vAlign w:val="center"/>
          </w:tcPr>
          <w:p w14:paraId="67B62FC5">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0.001123</w:t>
            </w:r>
          </w:p>
        </w:tc>
        <w:tc>
          <w:tcPr>
            <w:tcW w:w="873" w:type="dxa"/>
            <w:noWrap/>
            <w:vAlign w:val="center"/>
          </w:tcPr>
          <w:p w14:paraId="6E2CD7C9">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398" w:type="dxa"/>
            <w:noWrap/>
            <w:vAlign w:val="center"/>
          </w:tcPr>
          <w:p w14:paraId="4F79C35F">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0.001123</w:t>
            </w:r>
          </w:p>
        </w:tc>
        <w:tc>
          <w:tcPr>
            <w:tcW w:w="873" w:type="dxa"/>
            <w:noWrap/>
            <w:vAlign w:val="center"/>
          </w:tcPr>
          <w:p w14:paraId="303B27C4">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400" w:type="dxa"/>
            <w:noWrap/>
            <w:vAlign w:val="center"/>
          </w:tcPr>
          <w:p w14:paraId="094B93B5">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0.001123</w:t>
            </w:r>
          </w:p>
        </w:tc>
        <w:tc>
          <w:tcPr>
            <w:tcW w:w="873" w:type="dxa"/>
            <w:noWrap/>
            <w:vAlign w:val="center"/>
          </w:tcPr>
          <w:p w14:paraId="185F4740">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r>
      <w:tr w14:paraId="68D234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948795B">
            <w:pPr>
              <w:pStyle w:val="41"/>
              <w:spacing w:line="240" w:lineRule="atLeast"/>
              <w:rPr>
                <w:color w:val="auto"/>
                <w:highlight w:val="none"/>
              </w:rPr>
            </w:pPr>
            <w:r>
              <w:rPr>
                <w:color w:val="auto"/>
                <w:highlight w:val="none"/>
              </w:rPr>
              <w:t>56</w:t>
            </w:r>
          </w:p>
        </w:tc>
        <w:tc>
          <w:tcPr>
            <w:tcW w:w="674" w:type="pct"/>
            <w:noWrap/>
            <w:vAlign w:val="center"/>
          </w:tcPr>
          <w:p w14:paraId="35273468">
            <w:pPr>
              <w:pStyle w:val="41"/>
              <w:spacing w:line="240" w:lineRule="atLeast"/>
              <w:rPr>
                <w:color w:val="auto"/>
                <w:highlight w:val="none"/>
              </w:rPr>
            </w:pPr>
            <w:r>
              <w:rPr>
                <w:color w:val="auto"/>
                <w:highlight w:val="none"/>
              </w:rPr>
              <w:t>1350</w:t>
            </w:r>
          </w:p>
        </w:tc>
        <w:tc>
          <w:tcPr>
            <w:tcW w:w="1398" w:type="dxa"/>
            <w:noWrap/>
            <w:vAlign w:val="center"/>
          </w:tcPr>
          <w:p w14:paraId="77EA868F">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0.001115</w:t>
            </w:r>
          </w:p>
        </w:tc>
        <w:tc>
          <w:tcPr>
            <w:tcW w:w="873" w:type="dxa"/>
            <w:noWrap/>
            <w:vAlign w:val="center"/>
          </w:tcPr>
          <w:p w14:paraId="38C6863D">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398" w:type="dxa"/>
            <w:noWrap/>
            <w:vAlign w:val="center"/>
          </w:tcPr>
          <w:p w14:paraId="7AE3B809">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0.001115</w:t>
            </w:r>
          </w:p>
        </w:tc>
        <w:tc>
          <w:tcPr>
            <w:tcW w:w="873" w:type="dxa"/>
            <w:noWrap/>
            <w:vAlign w:val="center"/>
          </w:tcPr>
          <w:p w14:paraId="36B69941">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400" w:type="dxa"/>
            <w:noWrap/>
            <w:vAlign w:val="center"/>
          </w:tcPr>
          <w:p w14:paraId="2DB6C6D8">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0.001115</w:t>
            </w:r>
          </w:p>
        </w:tc>
        <w:tc>
          <w:tcPr>
            <w:tcW w:w="873" w:type="dxa"/>
            <w:noWrap/>
            <w:vAlign w:val="center"/>
          </w:tcPr>
          <w:p w14:paraId="68E91DEB">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r>
      <w:tr w14:paraId="7B1E97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1803E71">
            <w:pPr>
              <w:pStyle w:val="41"/>
              <w:spacing w:line="240" w:lineRule="atLeast"/>
              <w:rPr>
                <w:color w:val="auto"/>
                <w:highlight w:val="none"/>
              </w:rPr>
            </w:pPr>
            <w:r>
              <w:rPr>
                <w:color w:val="auto"/>
                <w:highlight w:val="none"/>
              </w:rPr>
              <w:t>57</w:t>
            </w:r>
          </w:p>
        </w:tc>
        <w:tc>
          <w:tcPr>
            <w:tcW w:w="674" w:type="pct"/>
            <w:noWrap/>
            <w:vAlign w:val="center"/>
          </w:tcPr>
          <w:p w14:paraId="73A28A92">
            <w:pPr>
              <w:pStyle w:val="41"/>
              <w:spacing w:line="240" w:lineRule="atLeast"/>
              <w:rPr>
                <w:color w:val="auto"/>
                <w:highlight w:val="none"/>
              </w:rPr>
            </w:pPr>
            <w:r>
              <w:rPr>
                <w:color w:val="auto"/>
                <w:highlight w:val="none"/>
              </w:rPr>
              <w:t>1375</w:t>
            </w:r>
          </w:p>
        </w:tc>
        <w:tc>
          <w:tcPr>
            <w:tcW w:w="1398" w:type="dxa"/>
            <w:noWrap/>
            <w:vAlign w:val="center"/>
          </w:tcPr>
          <w:p w14:paraId="45ED58D7">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0.001107</w:t>
            </w:r>
          </w:p>
        </w:tc>
        <w:tc>
          <w:tcPr>
            <w:tcW w:w="873" w:type="dxa"/>
            <w:noWrap/>
            <w:vAlign w:val="center"/>
          </w:tcPr>
          <w:p w14:paraId="0C2E0FA7">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398" w:type="dxa"/>
            <w:noWrap/>
            <w:vAlign w:val="center"/>
          </w:tcPr>
          <w:p w14:paraId="141C1D5E">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0.001107</w:t>
            </w:r>
          </w:p>
        </w:tc>
        <w:tc>
          <w:tcPr>
            <w:tcW w:w="873" w:type="dxa"/>
            <w:noWrap/>
            <w:vAlign w:val="center"/>
          </w:tcPr>
          <w:p w14:paraId="1EADC31C">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400" w:type="dxa"/>
            <w:noWrap/>
            <w:vAlign w:val="center"/>
          </w:tcPr>
          <w:p w14:paraId="4C555719">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0.001107</w:t>
            </w:r>
          </w:p>
        </w:tc>
        <w:tc>
          <w:tcPr>
            <w:tcW w:w="873" w:type="dxa"/>
            <w:noWrap/>
            <w:vAlign w:val="center"/>
          </w:tcPr>
          <w:p w14:paraId="70C45D8D">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r>
      <w:tr w14:paraId="429BA4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34B86313">
            <w:pPr>
              <w:pStyle w:val="41"/>
              <w:spacing w:line="240" w:lineRule="atLeast"/>
              <w:rPr>
                <w:color w:val="auto"/>
                <w:highlight w:val="none"/>
              </w:rPr>
            </w:pPr>
            <w:r>
              <w:rPr>
                <w:color w:val="auto"/>
                <w:highlight w:val="none"/>
              </w:rPr>
              <w:t>58</w:t>
            </w:r>
          </w:p>
        </w:tc>
        <w:tc>
          <w:tcPr>
            <w:tcW w:w="674" w:type="pct"/>
            <w:noWrap/>
            <w:vAlign w:val="center"/>
          </w:tcPr>
          <w:p w14:paraId="0DE8FE1F">
            <w:pPr>
              <w:pStyle w:val="41"/>
              <w:spacing w:line="240" w:lineRule="atLeast"/>
              <w:rPr>
                <w:color w:val="auto"/>
                <w:highlight w:val="none"/>
              </w:rPr>
            </w:pPr>
            <w:r>
              <w:rPr>
                <w:color w:val="auto"/>
                <w:highlight w:val="none"/>
              </w:rPr>
              <w:t>1400</w:t>
            </w:r>
          </w:p>
        </w:tc>
        <w:tc>
          <w:tcPr>
            <w:tcW w:w="1398" w:type="dxa"/>
            <w:noWrap/>
            <w:vAlign w:val="center"/>
          </w:tcPr>
          <w:p w14:paraId="1BF006BA">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0.001098</w:t>
            </w:r>
          </w:p>
        </w:tc>
        <w:tc>
          <w:tcPr>
            <w:tcW w:w="873" w:type="dxa"/>
            <w:noWrap/>
            <w:vAlign w:val="center"/>
          </w:tcPr>
          <w:p w14:paraId="0A3B16BE">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c>
          <w:tcPr>
            <w:tcW w:w="1398" w:type="dxa"/>
            <w:noWrap/>
            <w:vAlign w:val="center"/>
          </w:tcPr>
          <w:p w14:paraId="7BCB1CD3">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0.001098</w:t>
            </w:r>
          </w:p>
        </w:tc>
        <w:tc>
          <w:tcPr>
            <w:tcW w:w="873" w:type="dxa"/>
            <w:noWrap/>
            <w:vAlign w:val="center"/>
          </w:tcPr>
          <w:p w14:paraId="1896D277">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c>
          <w:tcPr>
            <w:tcW w:w="1400" w:type="dxa"/>
            <w:noWrap/>
            <w:vAlign w:val="center"/>
          </w:tcPr>
          <w:p w14:paraId="4112BC0B">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0.001098</w:t>
            </w:r>
          </w:p>
        </w:tc>
        <w:tc>
          <w:tcPr>
            <w:tcW w:w="873" w:type="dxa"/>
            <w:noWrap/>
            <w:vAlign w:val="center"/>
          </w:tcPr>
          <w:p w14:paraId="5C960892">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r>
      <w:tr w14:paraId="4F46EA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797C1919">
            <w:pPr>
              <w:pStyle w:val="41"/>
              <w:spacing w:line="240" w:lineRule="atLeast"/>
              <w:rPr>
                <w:color w:val="auto"/>
                <w:highlight w:val="none"/>
              </w:rPr>
            </w:pPr>
            <w:r>
              <w:rPr>
                <w:color w:val="auto"/>
                <w:highlight w:val="none"/>
              </w:rPr>
              <w:t>59</w:t>
            </w:r>
          </w:p>
        </w:tc>
        <w:tc>
          <w:tcPr>
            <w:tcW w:w="674" w:type="pct"/>
            <w:noWrap/>
            <w:vAlign w:val="center"/>
          </w:tcPr>
          <w:p w14:paraId="04256079">
            <w:pPr>
              <w:pStyle w:val="41"/>
              <w:spacing w:line="240" w:lineRule="atLeast"/>
              <w:rPr>
                <w:color w:val="auto"/>
                <w:highlight w:val="none"/>
              </w:rPr>
            </w:pPr>
            <w:r>
              <w:rPr>
                <w:color w:val="auto"/>
                <w:highlight w:val="none"/>
              </w:rPr>
              <w:t>1425</w:t>
            </w:r>
          </w:p>
        </w:tc>
        <w:tc>
          <w:tcPr>
            <w:tcW w:w="1398" w:type="dxa"/>
            <w:noWrap/>
            <w:vAlign w:val="center"/>
          </w:tcPr>
          <w:p w14:paraId="768A9EC0">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0.001089</w:t>
            </w:r>
          </w:p>
        </w:tc>
        <w:tc>
          <w:tcPr>
            <w:tcW w:w="873" w:type="dxa"/>
            <w:noWrap/>
            <w:vAlign w:val="center"/>
          </w:tcPr>
          <w:p w14:paraId="483B0535">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c>
          <w:tcPr>
            <w:tcW w:w="1398" w:type="dxa"/>
            <w:noWrap/>
            <w:vAlign w:val="center"/>
          </w:tcPr>
          <w:p w14:paraId="035707ED">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0.001089</w:t>
            </w:r>
          </w:p>
        </w:tc>
        <w:tc>
          <w:tcPr>
            <w:tcW w:w="873" w:type="dxa"/>
            <w:noWrap/>
            <w:vAlign w:val="center"/>
          </w:tcPr>
          <w:p w14:paraId="422140A0">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c>
          <w:tcPr>
            <w:tcW w:w="1400" w:type="dxa"/>
            <w:noWrap/>
            <w:vAlign w:val="center"/>
          </w:tcPr>
          <w:p w14:paraId="4FB6B648">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0.001089</w:t>
            </w:r>
          </w:p>
        </w:tc>
        <w:tc>
          <w:tcPr>
            <w:tcW w:w="873" w:type="dxa"/>
            <w:noWrap/>
            <w:vAlign w:val="center"/>
          </w:tcPr>
          <w:p w14:paraId="365A4515">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r>
      <w:tr w14:paraId="249486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0627FBBE">
            <w:pPr>
              <w:pStyle w:val="41"/>
              <w:spacing w:line="240" w:lineRule="atLeast"/>
              <w:rPr>
                <w:color w:val="auto"/>
                <w:highlight w:val="none"/>
              </w:rPr>
            </w:pPr>
            <w:r>
              <w:rPr>
                <w:color w:val="auto"/>
                <w:highlight w:val="none"/>
              </w:rPr>
              <w:t>60</w:t>
            </w:r>
          </w:p>
        </w:tc>
        <w:tc>
          <w:tcPr>
            <w:tcW w:w="674" w:type="pct"/>
            <w:noWrap/>
            <w:vAlign w:val="center"/>
          </w:tcPr>
          <w:p w14:paraId="46D6DA82">
            <w:pPr>
              <w:pStyle w:val="41"/>
              <w:spacing w:line="240" w:lineRule="atLeast"/>
              <w:rPr>
                <w:color w:val="auto"/>
                <w:highlight w:val="none"/>
              </w:rPr>
            </w:pPr>
            <w:r>
              <w:rPr>
                <w:color w:val="auto"/>
                <w:highlight w:val="none"/>
              </w:rPr>
              <w:t>1450</w:t>
            </w:r>
          </w:p>
        </w:tc>
        <w:tc>
          <w:tcPr>
            <w:tcW w:w="1398" w:type="dxa"/>
            <w:noWrap/>
            <w:vAlign w:val="center"/>
          </w:tcPr>
          <w:p w14:paraId="4C64E827">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0.001081</w:t>
            </w:r>
          </w:p>
        </w:tc>
        <w:tc>
          <w:tcPr>
            <w:tcW w:w="873" w:type="dxa"/>
            <w:noWrap/>
            <w:vAlign w:val="center"/>
          </w:tcPr>
          <w:p w14:paraId="585F1D82">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c>
          <w:tcPr>
            <w:tcW w:w="1398" w:type="dxa"/>
            <w:noWrap/>
            <w:vAlign w:val="center"/>
          </w:tcPr>
          <w:p w14:paraId="56FF0E29">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0.001081</w:t>
            </w:r>
          </w:p>
        </w:tc>
        <w:tc>
          <w:tcPr>
            <w:tcW w:w="873" w:type="dxa"/>
            <w:noWrap/>
            <w:vAlign w:val="center"/>
          </w:tcPr>
          <w:p w14:paraId="33DD7C4C">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c>
          <w:tcPr>
            <w:tcW w:w="1400" w:type="dxa"/>
            <w:noWrap/>
            <w:vAlign w:val="center"/>
          </w:tcPr>
          <w:p w14:paraId="5CA023AC">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0.001081</w:t>
            </w:r>
          </w:p>
        </w:tc>
        <w:tc>
          <w:tcPr>
            <w:tcW w:w="873" w:type="dxa"/>
            <w:noWrap/>
            <w:vAlign w:val="center"/>
          </w:tcPr>
          <w:p w14:paraId="2EEB9F3A">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r>
      <w:tr w14:paraId="19E09F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78005A9">
            <w:pPr>
              <w:pStyle w:val="41"/>
              <w:spacing w:line="240" w:lineRule="atLeast"/>
              <w:rPr>
                <w:color w:val="auto"/>
                <w:highlight w:val="none"/>
              </w:rPr>
            </w:pPr>
            <w:r>
              <w:rPr>
                <w:color w:val="auto"/>
                <w:highlight w:val="none"/>
              </w:rPr>
              <w:t>61</w:t>
            </w:r>
          </w:p>
        </w:tc>
        <w:tc>
          <w:tcPr>
            <w:tcW w:w="674" w:type="pct"/>
            <w:noWrap/>
            <w:vAlign w:val="center"/>
          </w:tcPr>
          <w:p w14:paraId="50D19B80">
            <w:pPr>
              <w:pStyle w:val="41"/>
              <w:spacing w:line="240" w:lineRule="atLeast"/>
              <w:rPr>
                <w:color w:val="auto"/>
                <w:highlight w:val="none"/>
              </w:rPr>
            </w:pPr>
            <w:r>
              <w:rPr>
                <w:color w:val="auto"/>
                <w:highlight w:val="none"/>
              </w:rPr>
              <w:t>1475</w:t>
            </w:r>
          </w:p>
        </w:tc>
        <w:tc>
          <w:tcPr>
            <w:tcW w:w="1398" w:type="dxa"/>
            <w:noWrap/>
            <w:vAlign w:val="center"/>
          </w:tcPr>
          <w:p w14:paraId="46EF513B">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0.001072</w:t>
            </w:r>
          </w:p>
        </w:tc>
        <w:tc>
          <w:tcPr>
            <w:tcW w:w="873" w:type="dxa"/>
            <w:noWrap/>
            <w:vAlign w:val="center"/>
          </w:tcPr>
          <w:p w14:paraId="22029049">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c>
          <w:tcPr>
            <w:tcW w:w="1398" w:type="dxa"/>
            <w:noWrap/>
            <w:vAlign w:val="center"/>
          </w:tcPr>
          <w:p w14:paraId="1CE25C8F">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0.001072</w:t>
            </w:r>
          </w:p>
        </w:tc>
        <w:tc>
          <w:tcPr>
            <w:tcW w:w="873" w:type="dxa"/>
            <w:noWrap/>
            <w:vAlign w:val="center"/>
          </w:tcPr>
          <w:p w14:paraId="33DE190D">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c>
          <w:tcPr>
            <w:tcW w:w="1400" w:type="dxa"/>
            <w:noWrap/>
            <w:vAlign w:val="center"/>
          </w:tcPr>
          <w:p w14:paraId="204AD8F4">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0.001072</w:t>
            </w:r>
          </w:p>
        </w:tc>
        <w:tc>
          <w:tcPr>
            <w:tcW w:w="873" w:type="dxa"/>
            <w:noWrap/>
            <w:vAlign w:val="center"/>
          </w:tcPr>
          <w:p w14:paraId="650682CA">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r>
      <w:tr w14:paraId="05723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CF4FA3E">
            <w:pPr>
              <w:pStyle w:val="41"/>
              <w:spacing w:line="240" w:lineRule="atLeast"/>
              <w:rPr>
                <w:color w:val="auto"/>
                <w:highlight w:val="none"/>
              </w:rPr>
            </w:pPr>
            <w:r>
              <w:rPr>
                <w:color w:val="auto"/>
                <w:highlight w:val="none"/>
              </w:rPr>
              <w:t>62</w:t>
            </w:r>
          </w:p>
        </w:tc>
        <w:tc>
          <w:tcPr>
            <w:tcW w:w="674" w:type="pct"/>
            <w:noWrap/>
            <w:vAlign w:val="center"/>
          </w:tcPr>
          <w:p w14:paraId="30E9BAB2">
            <w:pPr>
              <w:pStyle w:val="41"/>
              <w:spacing w:line="240" w:lineRule="atLeast"/>
              <w:rPr>
                <w:color w:val="auto"/>
                <w:highlight w:val="none"/>
              </w:rPr>
            </w:pPr>
            <w:r>
              <w:rPr>
                <w:color w:val="auto"/>
                <w:highlight w:val="none"/>
              </w:rPr>
              <w:t>1500</w:t>
            </w:r>
          </w:p>
        </w:tc>
        <w:tc>
          <w:tcPr>
            <w:tcW w:w="1398" w:type="dxa"/>
            <w:noWrap/>
            <w:vAlign w:val="center"/>
          </w:tcPr>
          <w:p w14:paraId="7A59F796">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0.001062</w:t>
            </w:r>
          </w:p>
        </w:tc>
        <w:tc>
          <w:tcPr>
            <w:tcW w:w="873" w:type="dxa"/>
            <w:noWrap/>
            <w:vAlign w:val="center"/>
          </w:tcPr>
          <w:p w14:paraId="3F8F1572">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c>
          <w:tcPr>
            <w:tcW w:w="1398" w:type="dxa"/>
            <w:noWrap/>
            <w:vAlign w:val="center"/>
          </w:tcPr>
          <w:p w14:paraId="69135795">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0.001062</w:t>
            </w:r>
          </w:p>
        </w:tc>
        <w:tc>
          <w:tcPr>
            <w:tcW w:w="873" w:type="dxa"/>
            <w:noWrap/>
            <w:vAlign w:val="center"/>
          </w:tcPr>
          <w:p w14:paraId="451A1DC5">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c>
          <w:tcPr>
            <w:tcW w:w="1400" w:type="dxa"/>
            <w:noWrap/>
            <w:vAlign w:val="center"/>
          </w:tcPr>
          <w:p w14:paraId="1D9E58B4">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0.001062</w:t>
            </w:r>
          </w:p>
        </w:tc>
        <w:tc>
          <w:tcPr>
            <w:tcW w:w="873" w:type="dxa"/>
            <w:noWrap/>
            <w:vAlign w:val="center"/>
          </w:tcPr>
          <w:p w14:paraId="6B5EB078">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r>
      <w:tr w14:paraId="546AB6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559D35E6">
            <w:pPr>
              <w:pStyle w:val="41"/>
              <w:spacing w:line="240" w:lineRule="atLeast"/>
              <w:rPr>
                <w:color w:val="auto"/>
                <w:highlight w:val="none"/>
              </w:rPr>
            </w:pPr>
            <w:r>
              <w:rPr>
                <w:color w:val="auto"/>
                <w:highlight w:val="none"/>
              </w:rPr>
              <w:t>63</w:t>
            </w:r>
          </w:p>
        </w:tc>
        <w:tc>
          <w:tcPr>
            <w:tcW w:w="674" w:type="pct"/>
            <w:noWrap/>
            <w:vAlign w:val="center"/>
          </w:tcPr>
          <w:p w14:paraId="0359E7B0">
            <w:pPr>
              <w:pStyle w:val="41"/>
              <w:spacing w:line="240" w:lineRule="atLeast"/>
              <w:rPr>
                <w:color w:val="auto"/>
                <w:highlight w:val="none"/>
              </w:rPr>
            </w:pPr>
            <w:r>
              <w:rPr>
                <w:color w:val="auto"/>
                <w:highlight w:val="none"/>
              </w:rPr>
              <w:t>1525</w:t>
            </w:r>
          </w:p>
        </w:tc>
        <w:tc>
          <w:tcPr>
            <w:tcW w:w="1398" w:type="dxa"/>
            <w:noWrap/>
            <w:vAlign w:val="center"/>
          </w:tcPr>
          <w:p w14:paraId="3FB2E7F4">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0.001053</w:t>
            </w:r>
          </w:p>
        </w:tc>
        <w:tc>
          <w:tcPr>
            <w:tcW w:w="873" w:type="dxa"/>
            <w:noWrap/>
            <w:vAlign w:val="center"/>
          </w:tcPr>
          <w:p w14:paraId="540B969C">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c>
          <w:tcPr>
            <w:tcW w:w="1398" w:type="dxa"/>
            <w:noWrap/>
            <w:vAlign w:val="center"/>
          </w:tcPr>
          <w:p w14:paraId="1402A434">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0.001053</w:t>
            </w:r>
          </w:p>
        </w:tc>
        <w:tc>
          <w:tcPr>
            <w:tcW w:w="873" w:type="dxa"/>
            <w:noWrap/>
            <w:vAlign w:val="center"/>
          </w:tcPr>
          <w:p w14:paraId="55F9C5CB">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c>
          <w:tcPr>
            <w:tcW w:w="1400" w:type="dxa"/>
            <w:noWrap/>
            <w:vAlign w:val="center"/>
          </w:tcPr>
          <w:p w14:paraId="301E2E61">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0.001053</w:t>
            </w:r>
          </w:p>
        </w:tc>
        <w:tc>
          <w:tcPr>
            <w:tcW w:w="873" w:type="dxa"/>
            <w:noWrap/>
            <w:vAlign w:val="center"/>
          </w:tcPr>
          <w:p w14:paraId="43C5FD24">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r>
      <w:tr w14:paraId="452E48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00EDC451">
            <w:pPr>
              <w:pStyle w:val="41"/>
              <w:spacing w:line="240" w:lineRule="atLeast"/>
              <w:rPr>
                <w:color w:val="auto"/>
                <w:highlight w:val="none"/>
              </w:rPr>
            </w:pPr>
            <w:r>
              <w:rPr>
                <w:color w:val="auto"/>
                <w:highlight w:val="none"/>
              </w:rPr>
              <w:t>64</w:t>
            </w:r>
          </w:p>
        </w:tc>
        <w:tc>
          <w:tcPr>
            <w:tcW w:w="674" w:type="pct"/>
            <w:noWrap/>
            <w:vAlign w:val="center"/>
          </w:tcPr>
          <w:p w14:paraId="7E5F6E17">
            <w:pPr>
              <w:pStyle w:val="41"/>
              <w:spacing w:line="240" w:lineRule="atLeast"/>
              <w:rPr>
                <w:color w:val="auto"/>
                <w:highlight w:val="none"/>
              </w:rPr>
            </w:pPr>
            <w:r>
              <w:rPr>
                <w:color w:val="auto"/>
                <w:highlight w:val="none"/>
              </w:rPr>
              <w:t>1550</w:t>
            </w:r>
          </w:p>
        </w:tc>
        <w:tc>
          <w:tcPr>
            <w:tcW w:w="1398" w:type="dxa"/>
            <w:noWrap/>
            <w:vAlign w:val="center"/>
          </w:tcPr>
          <w:p w14:paraId="409E3EF1">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0.001044</w:t>
            </w:r>
          </w:p>
        </w:tc>
        <w:tc>
          <w:tcPr>
            <w:tcW w:w="873" w:type="dxa"/>
            <w:noWrap/>
            <w:vAlign w:val="center"/>
          </w:tcPr>
          <w:p w14:paraId="4CB5439E">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c>
          <w:tcPr>
            <w:tcW w:w="1398" w:type="dxa"/>
            <w:noWrap/>
            <w:vAlign w:val="center"/>
          </w:tcPr>
          <w:p w14:paraId="70438525">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0.001044</w:t>
            </w:r>
          </w:p>
        </w:tc>
        <w:tc>
          <w:tcPr>
            <w:tcW w:w="873" w:type="dxa"/>
            <w:noWrap/>
            <w:vAlign w:val="center"/>
          </w:tcPr>
          <w:p w14:paraId="0664A347">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c>
          <w:tcPr>
            <w:tcW w:w="1400" w:type="dxa"/>
            <w:noWrap/>
            <w:vAlign w:val="center"/>
          </w:tcPr>
          <w:p w14:paraId="6871B8F3">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0.001044</w:t>
            </w:r>
          </w:p>
        </w:tc>
        <w:tc>
          <w:tcPr>
            <w:tcW w:w="873" w:type="dxa"/>
            <w:noWrap/>
            <w:vAlign w:val="center"/>
          </w:tcPr>
          <w:p w14:paraId="17BF769A">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r>
      <w:tr w14:paraId="1F7C82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7EA0DDBE">
            <w:pPr>
              <w:pStyle w:val="41"/>
              <w:spacing w:line="240" w:lineRule="atLeast"/>
              <w:rPr>
                <w:color w:val="auto"/>
                <w:highlight w:val="none"/>
              </w:rPr>
            </w:pPr>
            <w:r>
              <w:rPr>
                <w:color w:val="auto"/>
                <w:highlight w:val="none"/>
              </w:rPr>
              <w:t>65</w:t>
            </w:r>
          </w:p>
        </w:tc>
        <w:tc>
          <w:tcPr>
            <w:tcW w:w="674" w:type="pct"/>
            <w:noWrap/>
            <w:vAlign w:val="center"/>
          </w:tcPr>
          <w:p w14:paraId="6DD5EA8D">
            <w:pPr>
              <w:pStyle w:val="41"/>
              <w:spacing w:line="240" w:lineRule="atLeast"/>
              <w:rPr>
                <w:color w:val="auto"/>
                <w:highlight w:val="none"/>
              </w:rPr>
            </w:pPr>
            <w:r>
              <w:rPr>
                <w:color w:val="auto"/>
                <w:highlight w:val="none"/>
              </w:rPr>
              <w:t>1575</w:t>
            </w:r>
          </w:p>
        </w:tc>
        <w:tc>
          <w:tcPr>
            <w:tcW w:w="1398" w:type="dxa"/>
            <w:noWrap/>
            <w:vAlign w:val="center"/>
          </w:tcPr>
          <w:p w14:paraId="1D194FFC">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0.001035</w:t>
            </w:r>
          </w:p>
        </w:tc>
        <w:tc>
          <w:tcPr>
            <w:tcW w:w="873" w:type="dxa"/>
            <w:noWrap/>
            <w:vAlign w:val="center"/>
          </w:tcPr>
          <w:p w14:paraId="35A801CE">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c>
          <w:tcPr>
            <w:tcW w:w="1398" w:type="dxa"/>
            <w:noWrap/>
            <w:vAlign w:val="center"/>
          </w:tcPr>
          <w:p w14:paraId="776BAB1E">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0.001035</w:t>
            </w:r>
          </w:p>
        </w:tc>
        <w:tc>
          <w:tcPr>
            <w:tcW w:w="873" w:type="dxa"/>
            <w:noWrap/>
            <w:vAlign w:val="center"/>
          </w:tcPr>
          <w:p w14:paraId="6B9C3017">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c>
          <w:tcPr>
            <w:tcW w:w="1400" w:type="dxa"/>
            <w:noWrap/>
            <w:vAlign w:val="center"/>
          </w:tcPr>
          <w:p w14:paraId="1C83052A">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0.001035</w:t>
            </w:r>
          </w:p>
        </w:tc>
        <w:tc>
          <w:tcPr>
            <w:tcW w:w="873" w:type="dxa"/>
            <w:noWrap/>
            <w:vAlign w:val="center"/>
          </w:tcPr>
          <w:p w14:paraId="10DCEB69">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r>
      <w:tr w14:paraId="1FFFE9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4B86AECA">
            <w:pPr>
              <w:pStyle w:val="41"/>
              <w:spacing w:line="240" w:lineRule="atLeast"/>
              <w:rPr>
                <w:color w:val="auto"/>
                <w:highlight w:val="none"/>
              </w:rPr>
            </w:pPr>
            <w:r>
              <w:rPr>
                <w:color w:val="auto"/>
                <w:highlight w:val="none"/>
              </w:rPr>
              <w:t>66</w:t>
            </w:r>
          </w:p>
        </w:tc>
        <w:tc>
          <w:tcPr>
            <w:tcW w:w="674" w:type="pct"/>
            <w:noWrap/>
            <w:vAlign w:val="center"/>
          </w:tcPr>
          <w:p w14:paraId="152F99AB">
            <w:pPr>
              <w:pStyle w:val="41"/>
              <w:spacing w:line="240" w:lineRule="atLeast"/>
              <w:rPr>
                <w:color w:val="auto"/>
                <w:highlight w:val="none"/>
              </w:rPr>
            </w:pPr>
            <w:r>
              <w:rPr>
                <w:color w:val="auto"/>
                <w:highlight w:val="none"/>
              </w:rPr>
              <w:t>1600</w:t>
            </w:r>
          </w:p>
        </w:tc>
        <w:tc>
          <w:tcPr>
            <w:tcW w:w="1398" w:type="dxa"/>
            <w:noWrap/>
            <w:vAlign w:val="center"/>
          </w:tcPr>
          <w:p w14:paraId="0CB78D80">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0.001026</w:t>
            </w:r>
          </w:p>
        </w:tc>
        <w:tc>
          <w:tcPr>
            <w:tcW w:w="873" w:type="dxa"/>
            <w:noWrap/>
            <w:vAlign w:val="center"/>
          </w:tcPr>
          <w:p w14:paraId="1D9ABDC4">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c>
          <w:tcPr>
            <w:tcW w:w="1398" w:type="dxa"/>
            <w:noWrap/>
            <w:vAlign w:val="center"/>
          </w:tcPr>
          <w:p w14:paraId="630E2FDB">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0.001026</w:t>
            </w:r>
          </w:p>
        </w:tc>
        <w:tc>
          <w:tcPr>
            <w:tcW w:w="873" w:type="dxa"/>
            <w:noWrap/>
            <w:vAlign w:val="center"/>
          </w:tcPr>
          <w:p w14:paraId="2CB3D719">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c>
          <w:tcPr>
            <w:tcW w:w="1400" w:type="dxa"/>
            <w:noWrap/>
            <w:vAlign w:val="center"/>
          </w:tcPr>
          <w:p w14:paraId="253B3F41">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0.001026</w:t>
            </w:r>
          </w:p>
        </w:tc>
        <w:tc>
          <w:tcPr>
            <w:tcW w:w="873" w:type="dxa"/>
            <w:noWrap/>
            <w:vAlign w:val="center"/>
          </w:tcPr>
          <w:p w14:paraId="4FAE957A">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r>
      <w:tr w14:paraId="3CCAE3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63B46681">
            <w:pPr>
              <w:pStyle w:val="41"/>
              <w:spacing w:line="240" w:lineRule="atLeast"/>
              <w:rPr>
                <w:color w:val="auto"/>
                <w:highlight w:val="none"/>
              </w:rPr>
            </w:pPr>
            <w:r>
              <w:rPr>
                <w:color w:val="auto"/>
                <w:highlight w:val="none"/>
              </w:rPr>
              <w:t>67</w:t>
            </w:r>
          </w:p>
        </w:tc>
        <w:tc>
          <w:tcPr>
            <w:tcW w:w="674" w:type="pct"/>
            <w:noWrap/>
            <w:vAlign w:val="center"/>
          </w:tcPr>
          <w:p w14:paraId="63A4FD25">
            <w:pPr>
              <w:pStyle w:val="41"/>
              <w:spacing w:line="240" w:lineRule="atLeast"/>
              <w:rPr>
                <w:color w:val="auto"/>
                <w:highlight w:val="none"/>
              </w:rPr>
            </w:pPr>
            <w:r>
              <w:rPr>
                <w:color w:val="auto"/>
                <w:highlight w:val="none"/>
              </w:rPr>
              <w:t>1625</w:t>
            </w:r>
          </w:p>
        </w:tc>
        <w:tc>
          <w:tcPr>
            <w:tcW w:w="1398" w:type="dxa"/>
            <w:noWrap/>
            <w:vAlign w:val="center"/>
          </w:tcPr>
          <w:p w14:paraId="424E20C3">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0.001016</w:t>
            </w:r>
          </w:p>
        </w:tc>
        <w:tc>
          <w:tcPr>
            <w:tcW w:w="873" w:type="dxa"/>
            <w:noWrap/>
            <w:vAlign w:val="center"/>
          </w:tcPr>
          <w:p w14:paraId="79DFB934">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c>
          <w:tcPr>
            <w:tcW w:w="1398" w:type="dxa"/>
            <w:noWrap/>
            <w:vAlign w:val="center"/>
          </w:tcPr>
          <w:p w14:paraId="0DF0C01D">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0.001016</w:t>
            </w:r>
          </w:p>
        </w:tc>
        <w:tc>
          <w:tcPr>
            <w:tcW w:w="873" w:type="dxa"/>
            <w:noWrap/>
            <w:vAlign w:val="center"/>
          </w:tcPr>
          <w:p w14:paraId="1FF4DD32">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c>
          <w:tcPr>
            <w:tcW w:w="1400" w:type="dxa"/>
            <w:noWrap/>
            <w:vAlign w:val="center"/>
          </w:tcPr>
          <w:p w14:paraId="692AA87D">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0.001016</w:t>
            </w:r>
          </w:p>
        </w:tc>
        <w:tc>
          <w:tcPr>
            <w:tcW w:w="873" w:type="dxa"/>
            <w:noWrap/>
            <w:vAlign w:val="center"/>
          </w:tcPr>
          <w:p w14:paraId="2C0D9852">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r>
      <w:tr w14:paraId="64C054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78A455BD">
            <w:pPr>
              <w:pStyle w:val="41"/>
              <w:spacing w:line="240" w:lineRule="atLeast"/>
              <w:rPr>
                <w:color w:val="auto"/>
                <w:highlight w:val="none"/>
              </w:rPr>
            </w:pPr>
            <w:r>
              <w:rPr>
                <w:color w:val="auto"/>
                <w:highlight w:val="none"/>
              </w:rPr>
              <w:t>68</w:t>
            </w:r>
          </w:p>
        </w:tc>
        <w:tc>
          <w:tcPr>
            <w:tcW w:w="674" w:type="pct"/>
            <w:noWrap/>
            <w:vAlign w:val="center"/>
          </w:tcPr>
          <w:p w14:paraId="2D44C68A">
            <w:pPr>
              <w:pStyle w:val="41"/>
              <w:spacing w:line="240" w:lineRule="atLeast"/>
              <w:rPr>
                <w:color w:val="auto"/>
                <w:highlight w:val="none"/>
              </w:rPr>
            </w:pPr>
            <w:r>
              <w:rPr>
                <w:color w:val="auto"/>
                <w:highlight w:val="none"/>
              </w:rPr>
              <w:t>1650</w:t>
            </w:r>
          </w:p>
        </w:tc>
        <w:tc>
          <w:tcPr>
            <w:tcW w:w="1398" w:type="dxa"/>
            <w:noWrap/>
            <w:vAlign w:val="center"/>
          </w:tcPr>
          <w:p w14:paraId="57899B9D">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0.001007</w:t>
            </w:r>
          </w:p>
        </w:tc>
        <w:tc>
          <w:tcPr>
            <w:tcW w:w="873" w:type="dxa"/>
            <w:noWrap/>
            <w:vAlign w:val="center"/>
          </w:tcPr>
          <w:p w14:paraId="749F235B">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c>
          <w:tcPr>
            <w:tcW w:w="1398" w:type="dxa"/>
            <w:noWrap/>
            <w:vAlign w:val="center"/>
          </w:tcPr>
          <w:p w14:paraId="60153AE2">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0.001007</w:t>
            </w:r>
          </w:p>
        </w:tc>
        <w:tc>
          <w:tcPr>
            <w:tcW w:w="873" w:type="dxa"/>
            <w:noWrap/>
            <w:vAlign w:val="center"/>
          </w:tcPr>
          <w:p w14:paraId="0683F934">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c>
          <w:tcPr>
            <w:tcW w:w="1400" w:type="dxa"/>
            <w:noWrap/>
            <w:vAlign w:val="center"/>
          </w:tcPr>
          <w:p w14:paraId="0D3C5182">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0.001007</w:t>
            </w:r>
          </w:p>
        </w:tc>
        <w:tc>
          <w:tcPr>
            <w:tcW w:w="873" w:type="dxa"/>
            <w:noWrap/>
            <w:vAlign w:val="center"/>
          </w:tcPr>
          <w:p w14:paraId="1642E17D">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r>
      <w:tr w14:paraId="24D05C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70812929">
            <w:pPr>
              <w:pStyle w:val="41"/>
              <w:spacing w:line="240" w:lineRule="atLeast"/>
              <w:rPr>
                <w:color w:val="auto"/>
                <w:highlight w:val="none"/>
              </w:rPr>
            </w:pPr>
            <w:r>
              <w:rPr>
                <w:color w:val="auto"/>
                <w:highlight w:val="none"/>
              </w:rPr>
              <w:t>69</w:t>
            </w:r>
          </w:p>
        </w:tc>
        <w:tc>
          <w:tcPr>
            <w:tcW w:w="674" w:type="pct"/>
            <w:noWrap/>
            <w:vAlign w:val="center"/>
          </w:tcPr>
          <w:p w14:paraId="74FB3104">
            <w:pPr>
              <w:pStyle w:val="41"/>
              <w:spacing w:line="240" w:lineRule="atLeast"/>
              <w:rPr>
                <w:color w:val="auto"/>
                <w:highlight w:val="none"/>
              </w:rPr>
            </w:pPr>
            <w:r>
              <w:rPr>
                <w:color w:val="auto"/>
                <w:highlight w:val="none"/>
              </w:rPr>
              <w:t>1675</w:t>
            </w:r>
          </w:p>
        </w:tc>
        <w:tc>
          <w:tcPr>
            <w:tcW w:w="1398" w:type="dxa"/>
            <w:noWrap/>
            <w:vAlign w:val="center"/>
          </w:tcPr>
          <w:p w14:paraId="60748403">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0.000998</w:t>
            </w:r>
          </w:p>
        </w:tc>
        <w:tc>
          <w:tcPr>
            <w:tcW w:w="873" w:type="dxa"/>
            <w:noWrap/>
            <w:vAlign w:val="center"/>
          </w:tcPr>
          <w:p w14:paraId="327159C3">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c>
          <w:tcPr>
            <w:tcW w:w="1398" w:type="dxa"/>
            <w:noWrap/>
            <w:vAlign w:val="center"/>
          </w:tcPr>
          <w:p w14:paraId="4BA88269">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0.000998</w:t>
            </w:r>
          </w:p>
        </w:tc>
        <w:tc>
          <w:tcPr>
            <w:tcW w:w="873" w:type="dxa"/>
            <w:noWrap/>
            <w:vAlign w:val="center"/>
          </w:tcPr>
          <w:p w14:paraId="2062B243">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c>
          <w:tcPr>
            <w:tcW w:w="1400" w:type="dxa"/>
            <w:noWrap/>
            <w:vAlign w:val="center"/>
          </w:tcPr>
          <w:p w14:paraId="0A739D37">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0.000998</w:t>
            </w:r>
          </w:p>
        </w:tc>
        <w:tc>
          <w:tcPr>
            <w:tcW w:w="873" w:type="dxa"/>
            <w:noWrap/>
            <w:vAlign w:val="center"/>
          </w:tcPr>
          <w:p w14:paraId="00B5562B">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r>
      <w:tr w14:paraId="0DCFBC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7497F3E1">
            <w:pPr>
              <w:pStyle w:val="41"/>
              <w:spacing w:line="240" w:lineRule="atLeast"/>
              <w:rPr>
                <w:color w:val="auto"/>
                <w:highlight w:val="none"/>
              </w:rPr>
            </w:pPr>
            <w:r>
              <w:rPr>
                <w:color w:val="auto"/>
                <w:highlight w:val="none"/>
              </w:rPr>
              <w:t>70</w:t>
            </w:r>
          </w:p>
        </w:tc>
        <w:tc>
          <w:tcPr>
            <w:tcW w:w="674" w:type="pct"/>
            <w:noWrap/>
            <w:vAlign w:val="center"/>
          </w:tcPr>
          <w:p w14:paraId="0503F223">
            <w:pPr>
              <w:pStyle w:val="41"/>
              <w:spacing w:line="240" w:lineRule="atLeast"/>
              <w:rPr>
                <w:color w:val="auto"/>
                <w:highlight w:val="none"/>
              </w:rPr>
            </w:pPr>
            <w:r>
              <w:rPr>
                <w:color w:val="auto"/>
                <w:highlight w:val="none"/>
              </w:rPr>
              <w:t>1700</w:t>
            </w:r>
          </w:p>
        </w:tc>
        <w:tc>
          <w:tcPr>
            <w:tcW w:w="1398" w:type="dxa"/>
            <w:noWrap/>
            <w:vAlign w:val="center"/>
          </w:tcPr>
          <w:p w14:paraId="49601340">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0.000989</w:t>
            </w:r>
          </w:p>
        </w:tc>
        <w:tc>
          <w:tcPr>
            <w:tcW w:w="873" w:type="dxa"/>
            <w:noWrap/>
            <w:vAlign w:val="center"/>
          </w:tcPr>
          <w:p w14:paraId="417D899B">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c>
          <w:tcPr>
            <w:tcW w:w="1398" w:type="dxa"/>
            <w:noWrap/>
            <w:vAlign w:val="center"/>
          </w:tcPr>
          <w:p w14:paraId="5AAF09B3">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0.000989</w:t>
            </w:r>
          </w:p>
        </w:tc>
        <w:tc>
          <w:tcPr>
            <w:tcW w:w="873" w:type="dxa"/>
            <w:noWrap/>
            <w:vAlign w:val="center"/>
          </w:tcPr>
          <w:p w14:paraId="368D9E9D">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c>
          <w:tcPr>
            <w:tcW w:w="1400" w:type="dxa"/>
            <w:noWrap/>
            <w:vAlign w:val="center"/>
          </w:tcPr>
          <w:p w14:paraId="68AEFB5D">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0.000989</w:t>
            </w:r>
          </w:p>
        </w:tc>
        <w:tc>
          <w:tcPr>
            <w:tcW w:w="873" w:type="dxa"/>
            <w:noWrap/>
            <w:vAlign w:val="center"/>
          </w:tcPr>
          <w:p w14:paraId="7509D6DD">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r>
      <w:tr w14:paraId="1CB9E9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3B6126A5">
            <w:pPr>
              <w:pStyle w:val="41"/>
              <w:spacing w:line="240" w:lineRule="atLeast"/>
              <w:rPr>
                <w:color w:val="auto"/>
                <w:highlight w:val="none"/>
              </w:rPr>
            </w:pPr>
            <w:r>
              <w:rPr>
                <w:color w:val="auto"/>
                <w:highlight w:val="none"/>
              </w:rPr>
              <w:t>71</w:t>
            </w:r>
          </w:p>
        </w:tc>
        <w:tc>
          <w:tcPr>
            <w:tcW w:w="674" w:type="pct"/>
            <w:noWrap/>
            <w:vAlign w:val="center"/>
          </w:tcPr>
          <w:p w14:paraId="3F3B9814">
            <w:pPr>
              <w:pStyle w:val="41"/>
              <w:spacing w:line="240" w:lineRule="atLeast"/>
              <w:rPr>
                <w:color w:val="auto"/>
                <w:highlight w:val="none"/>
              </w:rPr>
            </w:pPr>
            <w:r>
              <w:rPr>
                <w:color w:val="auto"/>
                <w:highlight w:val="none"/>
              </w:rPr>
              <w:t>1725</w:t>
            </w:r>
          </w:p>
        </w:tc>
        <w:tc>
          <w:tcPr>
            <w:tcW w:w="1398" w:type="dxa"/>
            <w:noWrap/>
            <w:vAlign w:val="center"/>
          </w:tcPr>
          <w:p w14:paraId="69A0719E">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0.000979</w:t>
            </w:r>
          </w:p>
        </w:tc>
        <w:tc>
          <w:tcPr>
            <w:tcW w:w="873" w:type="dxa"/>
            <w:noWrap/>
            <w:vAlign w:val="center"/>
          </w:tcPr>
          <w:p w14:paraId="5FAA515C">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c>
          <w:tcPr>
            <w:tcW w:w="1398" w:type="dxa"/>
            <w:noWrap/>
            <w:vAlign w:val="center"/>
          </w:tcPr>
          <w:p w14:paraId="612D9A97">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0.000979</w:t>
            </w:r>
          </w:p>
        </w:tc>
        <w:tc>
          <w:tcPr>
            <w:tcW w:w="873" w:type="dxa"/>
            <w:noWrap/>
            <w:vAlign w:val="center"/>
          </w:tcPr>
          <w:p w14:paraId="15F0E5A1">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c>
          <w:tcPr>
            <w:tcW w:w="1400" w:type="dxa"/>
            <w:noWrap/>
            <w:vAlign w:val="center"/>
          </w:tcPr>
          <w:p w14:paraId="479B788F">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0.000979</w:t>
            </w:r>
          </w:p>
        </w:tc>
        <w:tc>
          <w:tcPr>
            <w:tcW w:w="873" w:type="dxa"/>
            <w:noWrap/>
            <w:vAlign w:val="center"/>
          </w:tcPr>
          <w:p w14:paraId="593FB4E0">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r>
      <w:tr w14:paraId="2DB4A3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3DDAF195">
            <w:pPr>
              <w:pStyle w:val="41"/>
              <w:spacing w:line="240" w:lineRule="atLeast"/>
              <w:rPr>
                <w:color w:val="auto"/>
                <w:highlight w:val="none"/>
              </w:rPr>
            </w:pPr>
            <w:r>
              <w:rPr>
                <w:color w:val="auto"/>
                <w:highlight w:val="none"/>
              </w:rPr>
              <w:t>72</w:t>
            </w:r>
          </w:p>
        </w:tc>
        <w:tc>
          <w:tcPr>
            <w:tcW w:w="674" w:type="pct"/>
            <w:noWrap/>
            <w:vAlign w:val="center"/>
          </w:tcPr>
          <w:p w14:paraId="457E9ABC">
            <w:pPr>
              <w:pStyle w:val="41"/>
              <w:spacing w:line="240" w:lineRule="atLeast"/>
              <w:rPr>
                <w:color w:val="auto"/>
                <w:highlight w:val="none"/>
              </w:rPr>
            </w:pPr>
            <w:r>
              <w:rPr>
                <w:color w:val="auto"/>
                <w:highlight w:val="none"/>
              </w:rPr>
              <w:t>1750</w:t>
            </w:r>
          </w:p>
        </w:tc>
        <w:tc>
          <w:tcPr>
            <w:tcW w:w="1398" w:type="dxa"/>
            <w:noWrap/>
            <w:vAlign w:val="center"/>
          </w:tcPr>
          <w:p w14:paraId="3E25B53B">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0.00097</w:t>
            </w:r>
          </w:p>
        </w:tc>
        <w:tc>
          <w:tcPr>
            <w:tcW w:w="873" w:type="dxa"/>
            <w:noWrap/>
            <w:vAlign w:val="center"/>
          </w:tcPr>
          <w:p w14:paraId="7FE61A7B">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c>
          <w:tcPr>
            <w:tcW w:w="1398" w:type="dxa"/>
            <w:noWrap/>
            <w:vAlign w:val="center"/>
          </w:tcPr>
          <w:p w14:paraId="75770BB7">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0.00097</w:t>
            </w:r>
          </w:p>
        </w:tc>
        <w:tc>
          <w:tcPr>
            <w:tcW w:w="873" w:type="dxa"/>
            <w:noWrap/>
            <w:vAlign w:val="center"/>
          </w:tcPr>
          <w:p w14:paraId="4BED31BB">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c>
          <w:tcPr>
            <w:tcW w:w="1400" w:type="dxa"/>
            <w:noWrap/>
            <w:vAlign w:val="center"/>
          </w:tcPr>
          <w:p w14:paraId="78DA13E5">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0.00097</w:t>
            </w:r>
          </w:p>
        </w:tc>
        <w:tc>
          <w:tcPr>
            <w:tcW w:w="873" w:type="dxa"/>
            <w:noWrap/>
            <w:vAlign w:val="center"/>
          </w:tcPr>
          <w:p w14:paraId="1164D97A">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r>
      <w:tr w14:paraId="15BDE3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1A9DEDD7">
            <w:pPr>
              <w:pStyle w:val="41"/>
              <w:spacing w:line="240" w:lineRule="atLeast"/>
              <w:rPr>
                <w:color w:val="auto"/>
                <w:highlight w:val="none"/>
              </w:rPr>
            </w:pPr>
            <w:r>
              <w:rPr>
                <w:color w:val="auto"/>
                <w:highlight w:val="none"/>
              </w:rPr>
              <w:t>73</w:t>
            </w:r>
          </w:p>
        </w:tc>
        <w:tc>
          <w:tcPr>
            <w:tcW w:w="674" w:type="pct"/>
            <w:noWrap/>
            <w:vAlign w:val="center"/>
          </w:tcPr>
          <w:p w14:paraId="3F4C629D">
            <w:pPr>
              <w:pStyle w:val="41"/>
              <w:spacing w:line="240" w:lineRule="atLeast"/>
              <w:rPr>
                <w:color w:val="auto"/>
                <w:highlight w:val="none"/>
              </w:rPr>
            </w:pPr>
            <w:r>
              <w:rPr>
                <w:color w:val="auto"/>
                <w:highlight w:val="none"/>
              </w:rPr>
              <w:t>1775</w:t>
            </w:r>
          </w:p>
        </w:tc>
        <w:tc>
          <w:tcPr>
            <w:tcW w:w="1398" w:type="dxa"/>
            <w:noWrap/>
            <w:vAlign w:val="center"/>
          </w:tcPr>
          <w:p w14:paraId="67EC2388">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0.000961</w:t>
            </w:r>
          </w:p>
        </w:tc>
        <w:tc>
          <w:tcPr>
            <w:tcW w:w="873" w:type="dxa"/>
            <w:noWrap/>
            <w:vAlign w:val="center"/>
          </w:tcPr>
          <w:p w14:paraId="1F05D74A">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c>
          <w:tcPr>
            <w:tcW w:w="1398" w:type="dxa"/>
            <w:noWrap/>
            <w:vAlign w:val="center"/>
          </w:tcPr>
          <w:p w14:paraId="783BF465">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0.000961</w:t>
            </w:r>
          </w:p>
        </w:tc>
        <w:tc>
          <w:tcPr>
            <w:tcW w:w="873" w:type="dxa"/>
            <w:noWrap/>
            <w:vAlign w:val="center"/>
          </w:tcPr>
          <w:p w14:paraId="00D14786">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c>
          <w:tcPr>
            <w:tcW w:w="1400" w:type="dxa"/>
            <w:noWrap/>
            <w:vAlign w:val="center"/>
          </w:tcPr>
          <w:p w14:paraId="7716C380">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0.000961</w:t>
            </w:r>
          </w:p>
        </w:tc>
        <w:tc>
          <w:tcPr>
            <w:tcW w:w="873" w:type="dxa"/>
            <w:noWrap/>
            <w:vAlign w:val="center"/>
          </w:tcPr>
          <w:p w14:paraId="7357C1AB">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r>
      <w:tr w14:paraId="63681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1CDD759A">
            <w:pPr>
              <w:pStyle w:val="41"/>
              <w:spacing w:line="240" w:lineRule="atLeast"/>
              <w:rPr>
                <w:color w:val="auto"/>
                <w:highlight w:val="none"/>
              </w:rPr>
            </w:pPr>
            <w:r>
              <w:rPr>
                <w:color w:val="auto"/>
                <w:highlight w:val="none"/>
              </w:rPr>
              <w:t>74</w:t>
            </w:r>
          </w:p>
        </w:tc>
        <w:tc>
          <w:tcPr>
            <w:tcW w:w="674" w:type="pct"/>
            <w:noWrap/>
            <w:vAlign w:val="center"/>
          </w:tcPr>
          <w:p w14:paraId="71257E52">
            <w:pPr>
              <w:pStyle w:val="41"/>
              <w:spacing w:line="240" w:lineRule="atLeast"/>
              <w:rPr>
                <w:color w:val="auto"/>
                <w:highlight w:val="none"/>
              </w:rPr>
            </w:pPr>
            <w:r>
              <w:rPr>
                <w:color w:val="auto"/>
                <w:highlight w:val="none"/>
              </w:rPr>
              <w:t>1800</w:t>
            </w:r>
          </w:p>
        </w:tc>
        <w:tc>
          <w:tcPr>
            <w:tcW w:w="1398" w:type="dxa"/>
            <w:noWrap/>
            <w:vAlign w:val="center"/>
          </w:tcPr>
          <w:p w14:paraId="4C456461">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0.000952</w:t>
            </w:r>
          </w:p>
        </w:tc>
        <w:tc>
          <w:tcPr>
            <w:tcW w:w="873" w:type="dxa"/>
            <w:noWrap/>
            <w:vAlign w:val="center"/>
          </w:tcPr>
          <w:p w14:paraId="34DEFA62">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c>
          <w:tcPr>
            <w:tcW w:w="1398" w:type="dxa"/>
            <w:noWrap/>
            <w:vAlign w:val="center"/>
          </w:tcPr>
          <w:p w14:paraId="57469CBF">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0.000952</w:t>
            </w:r>
          </w:p>
        </w:tc>
        <w:tc>
          <w:tcPr>
            <w:tcW w:w="873" w:type="dxa"/>
            <w:noWrap/>
            <w:vAlign w:val="center"/>
          </w:tcPr>
          <w:p w14:paraId="0F52262D">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c>
          <w:tcPr>
            <w:tcW w:w="1400" w:type="dxa"/>
            <w:noWrap/>
            <w:vAlign w:val="center"/>
          </w:tcPr>
          <w:p w14:paraId="6B8EFB54">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0.000952</w:t>
            </w:r>
          </w:p>
        </w:tc>
        <w:tc>
          <w:tcPr>
            <w:tcW w:w="873" w:type="dxa"/>
            <w:noWrap/>
            <w:vAlign w:val="center"/>
          </w:tcPr>
          <w:p w14:paraId="50CC5F07">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r>
      <w:tr w14:paraId="527F21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2721D807">
            <w:pPr>
              <w:pStyle w:val="41"/>
              <w:spacing w:line="240" w:lineRule="atLeast"/>
              <w:rPr>
                <w:color w:val="auto"/>
                <w:highlight w:val="none"/>
              </w:rPr>
            </w:pPr>
            <w:r>
              <w:rPr>
                <w:color w:val="auto"/>
                <w:highlight w:val="none"/>
              </w:rPr>
              <w:t>75</w:t>
            </w:r>
          </w:p>
        </w:tc>
        <w:tc>
          <w:tcPr>
            <w:tcW w:w="674" w:type="pct"/>
            <w:noWrap/>
            <w:vAlign w:val="center"/>
          </w:tcPr>
          <w:p w14:paraId="084CA86F">
            <w:pPr>
              <w:pStyle w:val="41"/>
              <w:spacing w:line="240" w:lineRule="atLeast"/>
              <w:rPr>
                <w:color w:val="auto"/>
                <w:highlight w:val="none"/>
              </w:rPr>
            </w:pPr>
            <w:r>
              <w:rPr>
                <w:color w:val="auto"/>
                <w:highlight w:val="none"/>
              </w:rPr>
              <w:t>1825</w:t>
            </w:r>
          </w:p>
        </w:tc>
        <w:tc>
          <w:tcPr>
            <w:tcW w:w="1398" w:type="dxa"/>
            <w:noWrap/>
            <w:vAlign w:val="center"/>
          </w:tcPr>
          <w:p w14:paraId="728A91B8">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0.000943</w:t>
            </w:r>
          </w:p>
        </w:tc>
        <w:tc>
          <w:tcPr>
            <w:tcW w:w="873" w:type="dxa"/>
            <w:noWrap/>
            <w:vAlign w:val="center"/>
          </w:tcPr>
          <w:p w14:paraId="6FEED81B">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c>
          <w:tcPr>
            <w:tcW w:w="1398" w:type="dxa"/>
            <w:noWrap/>
            <w:vAlign w:val="center"/>
          </w:tcPr>
          <w:p w14:paraId="2FF32EB1">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0.000943</w:t>
            </w:r>
          </w:p>
        </w:tc>
        <w:tc>
          <w:tcPr>
            <w:tcW w:w="873" w:type="dxa"/>
            <w:noWrap/>
            <w:vAlign w:val="center"/>
          </w:tcPr>
          <w:p w14:paraId="36E941D2">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c>
          <w:tcPr>
            <w:tcW w:w="1400" w:type="dxa"/>
            <w:noWrap/>
            <w:vAlign w:val="center"/>
          </w:tcPr>
          <w:p w14:paraId="05EF304A">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0.000943</w:t>
            </w:r>
          </w:p>
        </w:tc>
        <w:tc>
          <w:tcPr>
            <w:tcW w:w="873" w:type="dxa"/>
            <w:noWrap/>
            <w:vAlign w:val="center"/>
          </w:tcPr>
          <w:p w14:paraId="12E4A789">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r>
      <w:tr w14:paraId="768C9A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C5150A7">
            <w:pPr>
              <w:pStyle w:val="41"/>
              <w:spacing w:line="240" w:lineRule="atLeast"/>
              <w:rPr>
                <w:color w:val="auto"/>
                <w:highlight w:val="none"/>
              </w:rPr>
            </w:pPr>
            <w:r>
              <w:rPr>
                <w:color w:val="auto"/>
                <w:highlight w:val="none"/>
              </w:rPr>
              <w:t>76</w:t>
            </w:r>
          </w:p>
        </w:tc>
        <w:tc>
          <w:tcPr>
            <w:tcW w:w="674" w:type="pct"/>
            <w:noWrap/>
            <w:vAlign w:val="center"/>
          </w:tcPr>
          <w:p w14:paraId="656D1DA7">
            <w:pPr>
              <w:pStyle w:val="41"/>
              <w:spacing w:line="240" w:lineRule="atLeast"/>
              <w:rPr>
                <w:color w:val="auto"/>
                <w:highlight w:val="none"/>
              </w:rPr>
            </w:pPr>
            <w:r>
              <w:rPr>
                <w:color w:val="auto"/>
                <w:highlight w:val="none"/>
              </w:rPr>
              <w:t>1850</w:t>
            </w:r>
          </w:p>
        </w:tc>
        <w:tc>
          <w:tcPr>
            <w:tcW w:w="1398" w:type="dxa"/>
            <w:noWrap/>
            <w:vAlign w:val="center"/>
          </w:tcPr>
          <w:p w14:paraId="701DDD6B">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0.000934</w:t>
            </w:r>
          </w:p>
        </w:tc>
        <w:tc>
          <w:tcPr>
            <w:tcW w:w="873" w:type="dxa"/>
            <w:noWrap/>
            <w:vAlign w:val="center"/>
          </w:tcPr>
          <w:p w14:paraId="64D7E745">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c>
          <w:tcPr>
            <w:tcW w:w="1398" w:type="dxa"/>
            <w:noWrap/>
            <w:vAlign w:val="center"/>
          </w:tcPr>
          <w:p w14:paraId="02AE3A1D">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0.000934</w:t>
            </w:r>
          </w:p>
        </w:tc>
        <w:tc>
          <w:tcPr>
            <w:tcW w:w="873" w:type="dxa"/>
            <w:noWrap/>
            <w:vAlign w:val="center"/>
          </w:tcPr>
          <w:p w14:paraId="0E2EFA8D">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c>
          <w:tcPr>
            <w:tcW w:w="1400" w:type="dxa"/>
            <w:noWrap/>
            <w:vAlign w:val="center"/>
          </w:tcPr>
          <w:p w14:paraId="74A983A0">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0.000934</w:t>
            </w:r>
          </w:p>
        </w:tc>
        <w:tc>
          <w:tcPr>
            <w:tcW w:w="873" w:type="dxa"/>
            <w:noWrap/>
            <w:vAlign w:val="center"/>
          </w:tcPr>
          <w:p w14:paraId="5C316BCD">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r>
      <w:tr w14:paraId="4DB9C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2B50CAB8">
            <w:pPr>
              <w:pStyle w:val="41"/>
              <w:spacing w:line="240" w:lineRule="atLeast"/>
              <w:rPr>
                <w:color w:val="auto"/>
                <w:highlight w:val="none"/>
              </w:rPr>
            </w:pPr>
            <w:r>
              <w:rPr>
                <w:color w:val="auto"/>
                <w:highlight w:val="none"/>
              </w:rPr>
              <w:t>77</w:t>
            </w:r>
          </w:p>
        </w:tc>
        <w:tc>
          <w:tcPr>
            <w:tcW w:w="674" w:type="pct"/>
            <w:noWrap/>
            <w:vAlign w:val="center"/>
          </w:tcPr>
          <w:p w14:paraId="425849E9">
            <w:pPr>
              <w:pStyle w:val="41"/>
              <w:spacing w:line="240" w:lineRule="atLeast"/>
              <w:rPr>
                <w:color w:val="auto"/>
                <w:highlight w:val="none"/>
              </w:rPr>
            </w:pPr>
            <w:r>
              <w:rPr>
                <w:color w:val="auto"/>
                <w:highlight w:val="none"/>
              </w:rPr>
              <w:t>1875</w:t>
            </w:r>
          </w:p>
        </w:tc>
        <w:tc>
          <w:tcPr>
            <w:tcW w:w="1398" w:type="dxa"/>
            <w:noWrap/>
            <w:vAlign w:val="center"/>
          </w:tcPr>
          <w:p w14:paraId="1CD1CF12">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0.000925</w:t>
            </w:r>
          </w:p>
        </w:tc>
        <w:tc>
          <w:tcPr>
            <w:tcW w:w="873" w:type="dxa"/>
            <w:noWrap/>
            <w:vAlign w:val="center"/>
          </w:tcPr>
          <w:p w14:paraId="76B8B699">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c>
          <w:tcPr>
            <w:tcW w:w="1398" w:type="dxa"/>
            <w:noWrap/>
            <w:vAlign w:val="center"/>
          </w:tcPr>
          <w:p w14:paraId="3CA09701">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0.000925</w:t>
            </w:r>
          </w:p>
        </w:tc>
        <w:tc>
          <w:tcPr>
            <w:tcW w:w="873" w:type="dxa"/>
            <w:noWrap/>
            <w:vAlign w:val="center"/>
          </w:tcPr>
          <w:p w14:paraId="1ED99BC7">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c>
          <w:tcPr>
            <w:tcW w:w="1400" w:type="dxa"/>
            <w:noWrap/>
            <w:vAlign w:val="center"/>
          </w:tcPr>
          <w:p w14:paraId="02D1A61D">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0.000925</w:t>
            </w:r>
          </w:p>
        </w:tc>
        <w:tc>
          <w:tcPr>
            <w:tcW w:w="873" w:type="dxa"/>
            <w:noWrap/>
            <w:vAlign w:val="center"/>
          </w:tcPr>
          <w:p w14:paraId="6A118895">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r>
      <w:tr w14:paraId="03261D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5C8BF787">
            <w:pPr>
              <w:pStyle w:val="41"/>
              <w:spacing w:line="240" w:lineRule="atLeast"/>
              <w:rPr>
                <w:color w:val="auto"/>
                <w:highlight w:val="none"/>
              </w:rPr>
            </w:pPr>
            <w:r>
              <w:rPr>
                <w:color w:val="auto"/>
                <w:highlight w:val="none"/>
              </w:rPr>
              <w:t>78</w:t>
            </w:r>
          </w:p>
        </w:tc>
        <w:tc>
          <w:tcPr>
            <w:tcW w:w="674" w:type="pct"/>
            <w:noWrap/>
            <w:vAlign w:val="center"/>
          </w:tcPr>
          <w:p w14:paraId="142B3FC3">
            <w:pPr>
              <w:pStyle w:val="41"/>
              <w:spacing w:line="240" w:lineRule="atLeast"/>
              <w:rPr>
                <w:color w:val="auto"/>
                <w:highlight w:val="none"/>
              </w:rPr>
            </w:pPr>
            <w:r>
              <w:rPr>
                <w:color w:val="auto"/>
                <w:highlight w:val="none"/>
              </w:rPr>
              <w:t>1900</w:t>
            </w:r>
          </w:p>
        </w:tc>
        <w:tc>
          <w:tcPr>
            <w:tcW w:w="1398" w:type="dxa"/>
            <w:noWrap/>
            <w:vAlign w:val="center"/>
          </w:tcPr>
          <w:p w14:paraId="40780EA7">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0.000917</w:t>
            </w:r>
          </w:p>
        </w:tc>
        <w:tc>
          <w:tcPr>
            <w:tcW w:w="873" w:type="dxa"/>
            <w:noWrap/>
            <w:vAlign w:val="center"/>
          </w:tcPr>
          <w:p w14:paraId="20E070B5">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c>
          <w:tcPr>
            <w:tcW w:w="1398" w:type="dxa"/>
            <w:noWrap/>
            <w:vAlign w:val="center"/>
          </w:tcPr>
          <w:p w14:paraId="7DF58626">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0.000917</w:t>
            </w:r>
          </w:p>
        </w:tc>
        <w:tc>
          <w:tcPr>
            <w:tcW w:w="873" w:type="dxa"/>
            <w:noWrap/>
            <w:vAlign w:val="center"/>
          </w:tcPr>
          <w:p w14:paraId="068E483B">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c>
          <w:tcPr>
            <w:tcW w:w="1400" w:type="dxa"/>
            <w:noWrap/>
            <w:vAlign w:val="center"/>
          </w:tcPr>
          <w:p w14:paraId="7B83B56C">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0.000917</w:t>
            </w:r>
          </w:p>
        </w:tc>
        <w:tc>
          <w:tcPr>
            <w:tcW w:w="873" w:type="dxa"/>
            <w:noWrap/>
            <w:vAlign w:val="center"/>
          </w:tcPr>
          <w:p w14:paraId="653B4327">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r>
      <w:tr w14:paraId="0F8BA2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321B55AF">
            <w:pPr>
              <w:pStyle w:val="41"/>
              <w:spacing w:line="240" w:lineRule="atLeast"/>
              <w:rPr>
                <w:color w:val="auto"/>
                <w:highlight w:val="none"/>
              </w:rPr>
            </w:pPr>
            <w:r>
              <w:rPr>
                <w:color w:val="auto"/>
                <w:highlight w:val="none"/>
              </w:rPr>
              <w:t>79</w:t>
            </w:r>
          </w:p>
        </w:tc>
        <w:tc>
          <w:tcPr>
            <w:tcW w:w="674" w:type="pct"/>
            <w:noWrap/>
            <w:vAlign w:val="center"/>
          </w:tcPr>
          <w:p w14:paraId="6A5FDCC3">
            <w:pPr>
              <w:pStyle w:val="41"/>
              <w:spacing w:line="240" w:lineRule="atLeast"/>
              <w:rPr>
                <w:color w:val="auto"/>
                <w:highlight w:val="none"/>
              </w:rPr>
            </w:pPr>
            <w:r>
              <w:rPr>
                <w:color w:val="auto"/>
                <w:highlight w:val="none"/>
              </w:rPr>
              <w:t>1925</w:t>
            </w:r>
          </w:p>
        </w:tc>
        <w:tc>
          <w:tcPr>
            <w:tcW w:w="1398" w:type="dxa"/>
            <w:noWrap/>
            <w:vAlign w:val="center"/>
          </w:tcPr>
          <w:p w14:paraId="5AA902B0">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0.000908</w:t>
            </w:r>
          </w:p>
        </w:tc>
        <w:tc>
          <w:tcPr>
            <w:tcW w:w="873" w:type="dxa"/>
            <w:noWrap/>
            <w:vAlign w:val="center"/>
          </w:tcPr>
          <w:p w14:paraId="2C1DB684">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c>
          <w:tcPr>
            <w:tcW w:w="1398" w:type="dxa"/>
            <w:noWrap/>
            <w:vAlign w:val="center"/>
          </w:tcPr>
          <w:p w14:paraId="7977EAAA">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0.000908</w:t>
            </w:r>
          </w:p>
        </w:tc>
        <w:tc>
          <w:tcPr>
            <w:tcW w:w="873" w:type="dxa"/>
            <w:noWrap/>
            <w:vAlign w:val="center"/>
          </w:tcPr>
          <w:p w14:paraId="54EB15D8">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c>
          <w:tcPr>
            <w:tcW w:w="1400" w:type="dxa"/>
            <w:noWrap/>
            <w:vAlign w:val="center"/>
          </w:tcPr>
          <w:p w14:paraId="026D4615">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0.000908</w:t>
            </w:r>
          </w:p>
        </w:tc>
        <w:tc>
          <w:tcPr>
            <w:tcW w:w="873" w:type="dxa"/>
            <w:noWrap/>
            <w:vAlign w:val="center"/>
          </w:tcPr>
          <w:p w14:paraId="6B7B62A0">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r>
      <w:tr w14:paraId="2B27C0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39EBBBE4">
            <w:pPr>
              <w:pStyle w:val="41"/>
              <w:spacing w:line="240" w:lineRule="atLeast"/>
              <w:rPr>
                <w:color w:val="auto"/>
                <w:highlight w:val="none"/>
              </w:rPr>
            </w:pPr>
            <w:r>
              <w:rPr>
                <w:color w:val="auto"/>
                <w:highlight w:val="none"/>
              </w:rPr>
              <w:t>80</w:t>
            </w:r>
          </w:p>
        </w:tc>
        <w:tc>
          <w:tcPr>
            <w:tcW w:w="674" w:type="pct"/>
            <w:noWrap/>
            <w:vAlign w:val="center"/>
          </w:tcPr>
          <w:p w14:paraId="2B1A3F8E">
            <w:pPr>
              <w:pStyle w:val="41"/>
              <w:spacing w:line="240" w:lineRule="atLeast"/>
              <w:rPr>
                <w:color w:val="auto"/>
                <w:highlight w:val="none"/>
              </w:rPr>
            </w:pPr>
            <w:r>
              <w:rPr>
                <w:color w:val="auto"/>
                <w:highlight w:val="none"/>
              </w:rPr>
              <w:t>1950</w:t>
            </w:r>
          </w:p>
        </w:tc>
        <w:tc>
          <w:tcPr>
            <w:tcW w:w="1398" w:type="dxa"/>
            <w:noWrap/>
            <w:vAlign w:val="center"/>
          </w:tcPr>
          <w:p w14:paraId="3F060E8A">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0.000899</w:t>
            </w:r>
          </w:p>
        </w:tc>
        <w:tc>
          <w:tcPr>
            <w:tcW w:w="873" w:type="dxa"/>
            <w:noWrap/>
            <w:vAlign w:val="center"/>
          </w:tcPr>
          <w:p w14:paraId="7F3C6D4C">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c>
          <w:tcPr>
            <w:tcW w:w="1398" w:type="dxa"/>
            <w:noWrap/>
            <w:vAlign w:val="center"/>
          </w:tcPr>
          <w:p w14:paraId="485541AA">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0.000899</w:t>
            </w:r>
          </w:p>
        </w:tc>
        <w:tc>
          <w:tcPr>
            <w:tcW w:w="873" w:type="dxa"/>
            <w:noWrap/>
            <w:vAlign w:val="center"/>
          </w:tcPr>
          <w:p w14:paraId="399DE825">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c>
          <w:tcPr>
            <w:tcW w:w="1400" w:type="dxa"/>
            <w:noWrap/>
            <w:vAlign w:val="center"/>
          </w:tcPr>
          <w:p w14:paraId="02DCB5A5">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0.000899</w:t>
            </w:r>
          </w:p>
        </w:tc>
        <w:tc>
          <w:tcPr>
            <w:tcW w:w="873" w:type="dxa"/>
            <w:noWrap/>
            <w:vAlign w:val="center"/>
          </w:tcPr>
          <w:p w14:paraId="6F60CBB3">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r>
      <w:tr w14:paraId="048F2B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3BA25795">
            <w:pPr>
              <w:pStyle w:val="41"/>
              <w:spacing w:line="240" w:lineRule="atLeast"/>
              <w:rPr>
                <w:color w:val="auto"/>
                <w:highlight w:val="none"/>
              </w:rPr>
            </w:pPr>
            <w:r>
              <w:rPr>
                <w:color w:val="auto"/>
                <w:highlight w:val="none"/>
              </w:rPr>
              <w:t>81</w:t>
            </w:r>
          </w:p>
        </w:tc>
        <w:tc>
          <w:tcPr>
            <w:tcW w:w="674" w:type="pct"/>
            <w:noWrap/>
            <w:vAlign w:val="center"/>
          </w:tcPr>
          <w:p w14:paraId="528D44A6">
            <w:pPr>
              <w:pStyle w:val="41"/>
              <w:spacing w:line="240" w:lineRule="atLeast"/>
              <w:rPr>
                <w:color w:val="auto"/>
                <w:highlight w:val="none"/>
              </w:rPr>
            </w:pPr>
            <w:r>
              <w:rPr>
                <w:color w:val="auto"/>
                <w:highlight w:val="none"/>
              </w:rPr>
              <w:t>1975</w:t>
            </w:r>
          </w:p>
        </w:tc>
        <w:tc>
          <w:tcPr>
            <w:tcW w:w="1398" w:type="dxa"/>
            <w:noWrap/>
            <w:vAlign w:val="center"/>
          </w:tcPr>
          <w:p w14:paraId="16565717">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0.000891</w:t>
            </w:r>
          </w:p>
        </w:tc>
        <w:tc>
          <w:tcPr>
            <w:tcW w:w="873" w:type="dxa"/>
            <w:noWrap/>
            <w:vAlign w:val="center"/>
          </w:tcPr>
          <w:p w14:paraId="56D3A8CE">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c>
          <w:tcPr>
            <w:tcW w:w="1398" w:type="dxa"/>
            <w:noWrap/>
            <w:vAlign w:val="center"/>
          </w:tcPr>
          <w:p w14:paraId="5D41E843">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0.000891</w:t>
            </w:r>
          </w:p>
        </w:tc>
        <w:tc>
          <w:tcPr>
            <w:tcW w:w="873" w:type="dxa"/>
            <w:noWrap/>
            <w:vAlign w:val="center"/>
          </w:tcPr>
          <w:p w14:paraId="7E609B0D">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c>
          <w:tcPr>
            <w:tcW w:w="1400" w:type="dxa"/>
            <w:noWrap/>
            <w:vAlign w:val="center"/>
          </w:tcPr>
          <w:p w14:paraId="364738D4">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0.000891</w:t>
            </w:r>
          </w:p>
        </w:tc>
        <w:tc>
          <w:tcPr>
            <w:tcW w:w="873" w:type="dxa"/>
            <w:noWrap/>
            <w:vAlign w:val="center"/>
          </w:tcPr>
          <w:p w14:paraId="2137EBEB">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r>
      <w:tr w14:paraId="075A0E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10991D1A">
            <w:pPr>
              <w:pStyle w:val="41"/>
              <w:spacing w:line="240" w:lineRule="atLeast"/>
              <w:rPr>
                <w:color w:val="auto"/>
                <w:highlight w:val="none"/>
              </w:rPr>
            </w:pPr>
            <w:r>
              <w:rPr>
                <w:color w:val="auto"/>
                <w:highlight w:val="none"/>
              </w:rPr>
              <w:t>82</w:t>
            </w:r>
          </w:p>
        </w:tc>
        <w:tc>
          <w:tcPr>
            <w:tcW w:w="674" w:type="pct"/>
            <w:noWrap/>
            <w:vAlign w:val="center"/>
          </w:tcPr>
          <w:p w14:paraId="393B97FD">
            <w:pPr>
              <w:pStyle w:val="41"/>
              <w:spacing w:line="240" w:lineRule="atLeast"/>
              <w:rPr>
                <w:color w:val="auto"/>
                <w:highlight w:val="none"/>
              </w:rPr>
            </w:pPr>
            <w:r>
              <w:rPr>
                <w:color w:val="auto"/>
                <w:highlight w:val="none"/>
              </w:rPr>
              <w:t>2000</w:t>
            </w:r>
          </w:p>
        </w:tc>
        <w:tc>
          <w:tcPr>
            <w:tcW w:w="1398" w:type="dxa"/>
            <w:noWrap/>
            <w:vAlign w:val="center"/>
          </w:tcPr>
          <w:p w14:paraId="527A055D">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0.000882</w:t>
            </w:r>
          </w:p>
        </w:tc>
        <w:tc>
          <w:tcPr>
            <w:tcW w:w="873" w:type="dxa"/>
            <w:noWrap/>
            <w:vAlign w:val="center"/>
          </w:tcPr>
          <w:p w14:paraId="3D061548">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c>
          <w:tcPr>
            <w:tcW w:w="1398" w:type="dxa"/>
            <w:noWrap/>
            <w:vAlign w:val="center"/>
          </w:tcPr>
          <w:p w14:paraId="281CFF7B">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0.000882</w:t>
            </w:r>
          </w:p>
        </w:tc>
        <w:tc>
          <w:tcPr>
            <w:tcW w:w="873" w:type="dxa"/>
            <w:noWrap/>
            <w:vAlign w:val="center"/>
          </w:tcPr>
          <w:p w14:paraId="1C229E62">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c>
          <w:tcPr>
            <w:tcW w:w="1400" w:type="dxa"/>
            <w:noWrap/>
            <w:vAlign w:val="center"/>
          </w:tcPr>
          <w:p w14:paraId="54A7CCC0">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0.000882</w:t>
            </w:r>
          </w:p>
        </w:tc>
        <w:tc>
          <w:tcPr>
            <w:tcW w:w="873" w:type="dxa"/>
            <w:noWrap/>
            <w:vAlign w:val="center"/>
          </w:tcPr>
          <w:p w14:paraId="4FFD4211">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r>
      <w:tr w14:paraId="63E2B3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6D275B92">
            <w:pPr>
              <w:pStyle w:val="41"/>
              <w:spacing w:line="240" w:lineRule="atLeast"/>
              <w:rPr>
                <w:color w:val="auto"/>
                <w:highlight w:val="none"/>
              </w:rPr>
            </w:pPr>
            <w:r>
              <w:rPr>
                <w:color w:val="auto"/>
                <w:highlight w:val="none"/>
              </w:rPr>
              <w:t>83</w:t>
            </w:r>
          </w:p>
        </w:tc>
        <w:tc>
          <w:tcPr>
            <w:tcW w:w="674" w:type="pct"/>
            <w:noWrap/>
            <w:vAlign w:val="center"/>
          </w:tcPr>
          <w:p w14:paraId="2CDB2E35">
            <w:pPr>
              <w:pStyle w:val="41"/>
              <w:spacing w:line="240" w:lineRule="atLeast"/>
              <w:rPr>
                <w:color w:val="auto"/>
                <w:highlight w:val="none"/>
              </w:rPr>
            </w:pPr>
            <w:r>
              <w:rPr>
                <w:color w:val="auto"/>
                <w:highlight w:val="none"/>
              </w:rPr>
              <w:t>2025</w:t>
            </w:r>
          </w:p>
        </w:tc>
        <w:tc>
          <w:tcPr>
            <w:tcW w:w="1398" w:type="dxa"/>
            <w:noWrap/>
            <w:vAlign w:val="center"/>
          </w:tcPr>
          <w:p w14:paraId="7102842B">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0.000874</w:t>
            </w:r>
          </w:p>
        </w:tc>
        <w:tc>
          <w:tcPr>
            <w:tcW w:w="873" w:type="dxa"/>
            <w:noWrap/>
            <w:vAlign w:val="center"/>
          </w:tcPr>
          <w:p w14:paraId="664F8D4E">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1398" w:type="dxa"/>
            <w:noWrap/>
            <w:vAlign w:val="center"/>
          </w:tcPr>
          <w:p w14:paraId="37CEBD09">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0.000874</w:t>
            </w:r>
          </w:p>
        </w:tc>
        <w:tc>
          <w:tcPr>
            <w:tcW w:w="873" w:type="dxa"/>
            <w:noWrap/>
            <w:vAlign w:val="center"/>
          </w:tcPr>
          <w:p w14:paraId="7594EC6B">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1400" w:type="dxa"/>
            <w:noWrap/>
            <w:vAlign w:val="center"/>
          </w:tcPr>
          <w:p w14:paraId="084A6E28">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0.000874</w:t>
            </w:r>
          </w:p>
        </w:tc>
        <w:tc>
          <w:tcPr>
            <w:tcW w:w="873" w:type="dxa"/>
            <w:noWrap/>
            <w:vAlign w:val="center"/>
          </w:tcPr>
          <w:p w14:paraId="106AEABC">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r>
      <w:tr w14:paraId="2EE12B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611BF47E">
            <w:pPr>
              <w:pStyle w:val="41"/>
              <w:spacing w:line="240" w:lineRule="atLeast"/>
              <w:rPr>
                <w:color w:val="auto"/>
                <w:highlight w:val="none"/>
              </w:rPr>
            </w:pPr>
            <w:r>
              <w:rPr>
                <w:color w:val="auto"/>
                <w:highlight w:val="none"/>
              </w:rPr>
              <w:t>84</w:t>
            </w:r>
          </w:p>
        </w:tc>
        <w:tc>
          <w:tcPr>
            <w:tcW w:w="674" w:type="pct"/>
            <w:noWrap/>
            <w:vAlign w:val="center"/>
          </w:tcPr>
          <w:p w14:paraId="11CA1701">
            <w:pPr>
              <w:pStyle w:val="41"/>
              <w:spacing w:line="240" w:lineRule="atLeast"/>
              <w:rPr>
                <w:color w:val="auto"/>
                <w:highlight w:val="none"/>
              </w:rPr>
            </w:pPr>
            <w:r>
              <w:rPr>
                <w:color w:val="auto"/>
                <w:highlight w:val="none"/>
              </w:rPr>
              <w:t>2050</w:t>
            </w:r>
          </w:p>
        </w:tc>
        <w:tc>
          <w:tcPr>
            <w:tcW w:w="1398" w:type="dxa"/>
            <w:noWrap/>
            <w:vAlign w:val="center"/>
          </w:tcPr>
          <w:p w14:paraId="25A5C833">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0.000866</w:t>
            </w:r>
          </w:p>
        </w:tc>
        <w:tc>
          <w:tcPr>
            <w:tcW w:w="873" w:type="dxa"/>
            <w:noWrap/>
            <w:vAlign w:val="center"/>
          </w:tcPr>
          <w:p w14:paraId="5C86D468">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1398" w:type="dxa"/>
            <w:noWrap/>
            <w:vAlign w:val="center"/>
          </w:tcPr>
          <w:p w14:paraId="228AF6BD">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0.000866</w:t>
            </w:r>
          </w:p>
        </w:tc>
        <w:tc>
          <w:tcPr>
            <w:tcW w:w="873" w:type="dxa"/>
            <w:noWrap/>
            <w:vAlign w:val="center"/>
          </w:tcPr>
          <w:p w14:paraId="5F022CF7">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1400" w:type="dxa"/>
            <w:noWrap/>
            <w:vAlign w:val="center"/>
          </w:tcPr>
          <w:p w14:paraId="7DD5B769">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0.000866</w:t>
            </w:r>
          </w:p>
        </w:tc>
        <w:tc>
          <w:tcPr>
            <w:tcW w:w="873" w:type="dxa"/>
            <w:noWrap/>
            <w:vAlign w:val="center"/>
          </w:tcPr>
          <w:p w14:paraId="3D103775">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r>
      <w:tr w14:paraId="57E377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26140D39">
            <w:pPr>
              <w:pStyle w:val="41"/>
              <w:spacing w:line="240" w:lineRule="atLeast"/>
              <w:rPr>
                <w:color w:val="auto"/>
                <w:highlight w:val="none"/>
              </w:rPr>
            </w:pPr>
            <w:r>
              <w:rPr>
                <w:color w:val="auto"/>
                <w:highlight w:val="none"/>
              </w:rPr>
              <w:t>85</w:t>
            </w:r>
          </w:p>
        </w:tc>
        <w:tc>
          <w:tcPr>
            <w:tcW w:w="674" w:type="pct"/>
            <w:noWrap/>
            <w:vAlign w:val="center"/>
          </w:tcPr>
          <w:p w14:paraId="7FF0913A">
            <w:pPr>
              <w:pStyle w:val="41"/>
              <w:spacing w:line="240" w:lineRule="atLeast"/>
              <w:rPr>
                <w:color w:val="auto"/>
                <w:highlight w:val="none"/>
              </w:rPr>
            </w:pPr>
            <w:r>
              <w:rPr>
                <w:color w:val="auto"/>
                <w:highlight w:val="none"/>
              </w:rPr>
              <w:t>2075</w:t>
            </w:r>
          </w:p>
        </w:tc>
        <w:tc>
          <w:tcPr>
            <w:tcW w:w="1398" w:type="dxa"/>
            <w:noWrap/>
            <w:vAlign w:val="center"/>
          </w:tcPr>
          <w:p w14:paraId="4F96E114">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0.000858</w:t>
            </w:r>
          </w:p>
        </w:tc>
        <w:tc>
          <w:tcPr>
            <w:tcW w:w="873" w:type="dxa"/>
            <w:noWrap/>
            <w:vAlign w:val="center"/>
          </w:tcPr>
          <w:p w14:paraId="188A2003">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1398" w:type="dxa"/>
            <w:noWrap/>
            <w:vAlign w:val="center"/>
          </w:tcPr>
          <w:p w14:paraId="147ADC6D">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0.000858</w:t>
            </w:r>
          </w:p>
        </w:tc>
        <w:tc>
          <w:tcPr>
            <w:tcW w:w="873" w:type="dxa"/>
            <w:noWrap/>
            <w:vAlign w:val="center"/>
          </w:tcPr>
          <w:p w14:paraId="222085C8">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1400" w:type="dxa"/>
            <w:noWrap/>
            <w:vAlign w:val="center"/>
          </w:tcPr>
          <w:p w14:paraId="36A547C2">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0.000858</w:t>
            </w:r>
          </w:p>
        </w:tc>
        <w:tc>
          <w:tcPr>
            <w:tcW w:w="873" w:type="dxa"/>
            <w:noWrap/>
            <w:vAlign w:val="center"/>
          </w:tcPr>
          <w:p w14:paraId="5C95EFF9">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r>
      <w:tr w14:paraId="7AD221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72CE6290">
            <w:pPr>
              <w:pStyle w:val="41"/>
              <w:spacing w:line="240" w:lineRule="atLeast"/>
              <w:rPr>
                <w:color w:val="auto"/>
                <w:highlight w:val="none"/>
              </w:rPr>
            </w:pPr>
            <w:r>
              <w:rPr>
                <w:color w:val="auto"/>
                <w:highlight w:val="none"/>
              </w:rPr>
              <w:t>86</w:t>
            </w:r>
          </w:p>
        </w:tc>
        <w:tc>
          <w:tcPr>
            <w:tcW w:w="674" w:type="pct"/>
            <w:noWrap/>
            <w:vAlign w:val="center"/>
          </w:tcPr>
          <w:p w14:paraId="23EFEA8C">
            <w:pPr>
              <w:pStyle w:val="41"/>
              <w:spacing w:line="240" w:lineRule="atLeast"/>
              <w:rPr>
                <w:color w:val="auto"/>
                <w:highlight w:val="none"/>
              </w:rPr>
            </w:pPr>
            <w:r>
              <w:rPr>
                <w:color w:val="auto"/>
                <w:highlight w:val="none"/>
              </w:rPr>
              <w:t>2100</w:t>
            </w:r>
          </w:p>
        </w:tc>
        <w:tc>
          <w:tcPr>
            <w:tcW w:w="1398" w:type="dxa"/>
            <w:noWrap/>
            <w:vAlign w:val="center"/>
          </w:tcPr>
          <w:p w14:paraId="1E656F7E">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0.000851</w:t>
            </w:r>
          </w:p>
        </w:tc>
        <w:tc>
          <w:tcPr>
            <w:tcW w:w="873" w:type="dxa"/>
            <w:noWrap/>
            <w:vAlign w:val="center"/>
          </w:tcPr>
          <w:p w14:paraId="460258D9">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1398" w:type="dxa"/>
            <w:noWrap/>
            <w:vAlign w:val="center"/>
          </w:tcPr>
          <w:p w14:paraId="54A08DB3">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0.000851</w:t>
            </w:r>
          </w:p>
        </w:tc>
        <w:tc>
          <w:tcPr>
            <w:tcW w:w="873" w:type="dxa"/>
            <w:noWrap/>
            <w:vAlign w:val="center"/>
          </w:tcPr>
          <w:p w14:paraId="67B7E172">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1400" w:type="dxa"/>
            <w:noWrap/>
            <w:vAlign w:val="center"/>
          </w:tcPr>
          <w:p w14:paraId="76A7A137">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0.000851</w:t>
            </w:r>
          </w:p>
        </w:tc>
        <w:tc>
          <w:tcPr>
            <w:tcW w:w="873" w:type="dxa"/>
            <w:noWrap/>
            <w:vAlign w:val="center"/>
          </w:tcPr>
          <w:p w14:paraId="0F773724">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r>
      <w:tr w14:paraId="15A600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7B30875E">
            <w:pPr>
              <w:pStyle w:val="41"/>
              <w:spacing w:line="240" w:lineRule="atLeast"/>
              <w:rPr>
                <w:color w:val="auto"/>
                <w:highlight w:val="none"/>
              </w:rPr>
            </w:pPr>
            <w:r>
              <w:rPr>
                <w:color w:val="auto"/>
                <w:highlight w:val="none"/>
              </w:rPr>
              <w:t>87</w:t>
            </w:r>
          </w:p>
        </w:tc>
        <w:tc>
          <w:tcPr>
            <w:tcW w:w="674" w:type="pct"/>
            <w:noWrap/>
            <w:vAlign w:val="center"/>
          </w:tcPr>
          <w:p w14:paraId="53FCA776">
            <w:pPr>
              <w:pStyle w:val="41"/>
              <w:spacing w:line="240" w:lineRule="atLeast"/>
              <w:rPr>
                <w:color w:val="auto"/>
                <w:highlight w:val="none"/>
              </w:rPr>
            </w:pPr>
            <w:r>
              <w:rPr>
                <w:color w:val="auto"/>
                <w:highlight w:val="none"/>
              </w:rPr>
              <w:t>2125</w:t>
            </w:r>
          </w:p>
        </w:tc>
        <w:tc>
          <w:tcPr>
            <w:tcW w:w="1398" w:type="dxa"/>
            <w:noWrap/>
            <w:vAlign w:val="center"/>
          </w:tcPr>
          <w:p w14:paraId="64FAA7E4">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0.000844</w:t>
            </w:r>
          </w:p>
        </w:tc>
        <w:tc>
          <w:tcPr>
            <w:tcW w:w="873" w:type="dxa"/>
            <w:noWrap/>
            <w:vAlign w:val="center"/>
          </w:tcPr>
          <w:p w14:paraId="415C3B56">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1398" w:type="dxa"/>
            <w:noWrap/>
            <w:vAlign w:val="center"/>
          </w:tcPr>
          <w:p w14:paraId="652C3FF6">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0.000844</w:t>
            </w:r>
          </w:p>
        </w:tc>
        <w:tc>
          <w:tcPr>
            <w:tcW w:w="873" w:type="dxa"/>
            <w:noWrap/>
            <w:vAlign w:val="center"/>
          </w:tcPr>
          <w:p w14:paraId="46C87847">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1400" w:type="dxa"/>
            <w:noWrap/>
            <w:vAlign w:val="center"/>
          </w:tcPr>
          <w:p w14:paraId="350C9180">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0.000844</w:t>
            </w:r>
          </w:p>
        </w:tc>
        <w:tc>
          <w:tcPr>
            <w:tcW w:w="873" w:type="dxa"/>
            <w:noWrap/>
            <w:vAlign w:val="center"/>
          </w:tcPr>
          <w:p w14:paraId="4502B396">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r>
      <w:tr w14:paraId="46968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2D833B51">
            <w:pPr>
              <w:pStyle w:val="41"/>
              <w:spacing w:line="240" w:lineRule="atLeast"/>
              <w:rPr>
                <w:color w:val="auto"/>
                <w:highlight w:val="none"/>
              </w:rPr>
            </w:pPr>
            <w:r>
              <w:rPr>
                <w:color w:val="auto"/>
                <w:highlight w:val="none"/>
              </w:rPr>
              <w:t>88</w:t>
            </w:r>
          </w:p>
        </w:tc>
        <w:tc>
          <w:tcPr>
            <w:tcW w:w="674" w:type="pct"/>
            <w:noWrap/>
            <w:vAlign w:val="center"/>
          </w:tcPr>
          <w:p w14:paraId="332299EA">
            <w:pPr>
              <w:pStyle w:val="41"/>
              <w:spacing w:line="240" w:lineRule="atLeast"/>
              <w:rPr>
                <w:color w:val="auto"/>
                <w:highlight w:val="none"/>
              </w:rPr>
            </w:pPr>
            <w:r>
              <w:rPr>
                <w:color w:val="auto"/>
                <w:highlight w:val="none"/>
              </w:rPr>
              <w:t>2150</w:t>
            </w:r>
          </w:p>
        </w:tc>
        <w:tc>
          <w:tcPr>
            <w:tcW w:w="1398" w:type="dxa"/>
            <w:noWrap/>
            <w:vAlign w:val="center"/>
          </w:tcPr>
          <w:p w14:paraId="0838457E">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0.000837</w:t>
            </w:r>
          </w:p>
        </w:tc>
        <w:tc>
          <w:tcPr>
            <w:tcW w:w="873" w:type="dxa"/>
            <w:noWrap/>
            <w:vAlign w:val="center"/>
          </w:tcPr>
          <w:p w14:paraId="4B4EE5BD">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1398" w:type="dxa"/>
            <w:noWrap/>
            <w:vAlign w:val="center"/>
          </w:tcPr>
          <w:p w14:paraId="1B90F253">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0.000837</w:t>
            </w:r>
          </w:p>
        </w:tc>
        <w:tc>
          <w:tcPr>
            <w:tcW w:w="873" w:type="dxa"/>
            <w:noWrap/>
            <w:vAlign w:val="center"/>
          </w:tcPr>
          <w:p w14:paraId="623C5EFC">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1400" w:type="dxa"/>
            <w:noWrap/>
            <w:vAlign w:val="center"/>
          </w:tcPr>
          <w:p w14:paraId="2DE477C7">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0.000837</w:t>
            </w:r>
          </w:p>
        </w:tc>
        <w:tc>
          <w:tcPr>
            <w:tcW w:w="873" w:type="dxa"/>
            <w:noWrap/>
            <w:vAlign w:val="center"/>
          </w:tcPr>
          <w:p w14:paraId="7661D07C">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r>
      <w:tr w14:paraId="178FDD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2A7F6730">
            <w:pPr>
              <w:pStyle w:val="41"/>
              <w:spacing w:line="240" w:lineRule="atLeast"/>
              <w:rPr>
                <w:color w:val="auto"/>
                <w:highlight w:val="none"/>
              </w:rPr>
            </w:pPr>
            <w:r>
              <w:rPr>
                <w:color w:val="auto"/>
                <w:highlight w:val="none"/>
              </w:rPr>
              <w:t>89</w:t>
            </w:r>
          </w:p>
        </w:tc>
        <w:tc>
          <w:tcPr>
            <w:tcW w:w="674" w:type="pct"/>
            <w:noWrap/>
            <w:vAlign w:val="center"/>
          </w:tcPr>
          <w:p w14:paraId="79EC785A">
            <w:pPr>
              <w:pStyle w:val="41"/>
              <w:spacing w:line="240" w:lineRule="atLeast"/>
              <w:rPr>
                <w:color w:val="auto"/>
                <w:highlight w:val="none"/>
              </w:rPr>
            </w:pPr>
            <w:r>
              <w:rPr>
                <w:color w:val="auto"/>
                <w:highlight w:val="none"/>
              </w:rPr>
              <w:t>2175</w:t>
            </w:r>
          </w:p>
        </w:tc>
        <w:tc>
          <w:tcPr>
            <w:tcW w:w="1398" w:type="dxa"/>
            <w:noWrap/>
            <w:vAlign w:val="center"/>
          </w:tcPr>
          <w:p w14:paraId="5D5BC635">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0.00083</w:t>
            </w:r>
          </w:p>
        </w:tc>
        <w:tc>
          <w:tcPr>
            <w:tcW w:w="873" w:type="dxa"/>
            <w:noWrap/>
            <w:vAlign w:val="center"/>
          </w:tcPr>
          <w:p w14:paraId="7D28EE29">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398" w:type="dxa"/>
            <w:noWrap/>
            <w:vAlign w:val="center"/>
          </w:tcPr>
          <w:p w14:paraId="373A2AB0">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0.00083</w:t>
            </w:r>
          </w:p>
        </w:tc>
        <w:tc>
          <w:tcPr>
            <w:tcW w:w="873" w:type="dxa"/>
            <w:noWrap/>
            <w:vAlign w:val="center"/>
          </w:tcPr>
          <w:p w14:paraId="3024A287">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400" w:type="dxa"/>
            <w:noWrap/>
            <w:vAlign w:val="center"/>
          </w:tcPr>
          <w:p w14:paraId="14BD7508">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0.00083</w:t>
            </w:r>
          </w:p>
        </w:tc>
        <w:tc>
          <w:tcPr>
            <w:tcW w:w="873" w:type="dxa"/>
            <w:noWrap/>
            <w:vAlign w:val="center"/>
          </w:tcPr>
          <w:p w14:paraId="010D5B2F">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r>
      <w:tr w14:paraId="66D721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5A33CBF4">
            <w:pPr>
              <w:pStyle w:val="41"/>
              <w:spacing w:line="240" w:lineRule="atLeast"/>
              <w:rPr>
                <w:color w:val="auto"/>
                <w:highlight w:val="none"/>
              </w:rPr>
            </w:pPr>
            <w:r>
              <w:rPr>
                <w:color w:val="auto"/>
                <w:highlight w:val="none"/>
              </w:rPr>
              <w:t>90</w:t>
            </w:r>
          </w:p>
        </w:tc>
        <w:tc>
          <w:tcPr>
            <w:tcW w:w="674" w:type="pct"/>
            <w:noWrap/>
            <w:vAlign w:val="center"/>
          </w:tcPr>
          <w:p w14:paraId="61650043">
            <w:pPr>
              <w:pStyle w:val="41"/>
              <w:spacing w:line="240" w:lineRule="atLeast"/>
              <w:rPr>
                <w:color w:val="auto"/>
                <w:highlight w:val="none"/>
              </w:rPr>
            </w:pPr>
            <w:r>
              <w:rPr>
                <w:color w:val="auto"/>
                <w:highlight w:val="none"/>
              </w:rPr>
              <w:t>2200</w:t>
            </w:r>
          </w:p>
        </w:tc>
        <w:tc>
          <w:tcPr>
            <w:tcW w:w="1398" w:type="dxa"/>
            <w:noWrap/>
            <w:vAlign w:val="center"/>
          </w:tcPr>
          <w:p w14:paraId="16EC349F">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0.000823</w:t>
            </w:r>
          </w:p>
        </w:tc>
        <w:tc>
          <w:tcPr>
            <w:tcW w:w="873" w:type="dxa"/>
            <w:noWrap/>
            <w:vAlign w:val="center"/>
          </w:tcPr>
          <w:p w14:paraId="29BCF6B2">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398" w:type="dxa"/>
            <w:noWrap/>
            <w:vAlign w:val="center"/>
          </w:tcPr>
          <w:p w14:paraId="044F277C">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0.000823</w:t>
            </w:r>
          </w:p>
        </w:tc>
        <w:tc>
          <w:tcPr>
            <w:tcW w:w="873" w:type="dxa"/>
            <w:noWrap/>
            <w:vAlign w:val="center"/>
          </w:tcPr>
          <w:p w14:paraId="3F8462A0">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400" w:type="dxa"/>
            <w:noWrap/>
            <w:vAlign w:val="center"/>
          </w:tcPr>
          <w:p w14:paraId="63792855">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0.000823</w:t>
            </w:r>
          </w:p>
        </w:tc>
        <w:tc>
          <w:tcPr>
            <w:tcW w:w="873" w:type="dxa"/>
            <w:noWrap/>
            <w:vAlign w:val="center"/>
          </w:tcPr>
          <w:p w14:paraId="0C0D4728">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r>
      <w:tr w14:paraId="06C182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4666DEDF">
            <w:pPr>
              <w:pStyle w:val="41"/>
              <w:spacing w:line="240" w:lineRule="atLeast"/>
              <w:rPr>
                <w:color w:val="auto"/>
                <w:highlight w:val="none"/>
              </w:rPr>
            </w:pPr>
            <w:r>
              <w:rPr>
                <w:color w:val="auto"/>
                <w:highlight w:val="none"/>
              </w:rPr>
              <w:t>91</w:t>
            </w:r>
          </w:p>
        </w:tc>
        <w:tc>
          <w:tcPr>
            <w:tcW w:w="674" w:type="pct"/>
            <w:noWrap/>
            <w:vAlign w:val="center"/>
          </w:tcPr>
          <w:p w14:paraId="776D3298">
            <w:pPr>
              <w:pStyle w:val="41"/>
              <w:spacing w:line="240" w:lineRule="atLeast"/>
              <w:rPr>
                <w:color w:val="auto"/>
                <w:highlight w:val="none"/>
              </w:rPr>
            </w:pPr>
            <w:r>
              <w:rPr>
                <w:color w:val="auto"/>
                <w:highlight w:val="none"/>
              </w:rPr>
              <w:t>2225</w:t>
            </w:r>
          </w:p>
        </w:tc>
        <w:tc>
          <w:tcPr>
            <w:tcW w:w="1398" w:type="dxa"/>
            <w:noWrap/>
            <w:vAlign w:val="center"/>
          </w:tcPr>
          <w:p w14:paraId="21764D56">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0.000816</w:t>
            </w:r>
          </w:p>
        </w:tc>
        <w:tc>
          <w:tcPr>
            <w:tcW w:w="873" w:type="dxa"/>
            <w:noWrap/>
            <w:vAlign w:val="center"/>
          </w:tcPr>
          <w:p w14:paraId="3465983C">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398" w:type="dxa"/>
            <w:noWrap/>
            <w:vAlign w:val="center"/>
          </w:tcPr>
          <w:p w14:paraId="6D4D1FFB">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0.000816</w:t>
            </w:r>
          </w:p>
        </w:tc>
        <w:tc>
          <w:tcPr>
            <w:tcW w:w="873" w:type="dxa"/>
            <w:noWrap/>
            <w:vAlign w:val="center"/>
          </w:tcPr>
          <w:p w14:paraId="6D94B450">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400" w:type="dxa"/>
            <w:noWrap/>
            <w:vAlign w:val="center"/>
          </w:tcPr>
          <w:p w14:paraId="003FFD79">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0.000816</w:t>
            </w:r>
          </w:p>
        </w:tc>
        <w:tc>
          <w:tcPr>
            <w:tcW w:w="873" w:type="dxa"/>
            <w:noWrap/>
            <w:vAlign w:val="center"/>
          </w:tcPr>
          <w:p w14:paraId="21F116AF">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r>
      <w:tr w14:paraId="6F0567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59068672">
            <w:pPr>
              <w:pStyle w:val="41"/>
              <w:spacing w:line="240" w:lineRule="atLeast"/>
              <w:rPr>
                <w:color w:val="auto"/>
                <w:highlight w:val="none"/>
              </w:rPr>
            </w:pPr>
            <w:r>
              <w:rPr>
                <w:color w:val="auto"/>
                <w:highlight w:val="none"/>
              </w:rPr>
              <w:t>92</w:t>
            </w:r>
          </w:p>
        </w:tc>
        <w:tc>
          <w:tcPr>
            <w:tcW w:w="674" w:type="pct"/>
            <w:noWrap/>
            <w:vAlign w:val="center"/>
          </w:tcPr>
          <w:p w14:paraId="13A93B5A">
            <w:pPr>
              <w:pStyle w:val="41"/>
              <w:spacing w:line="240" w:lineRule="atLeast"/>
              <w:rPr>
                <w:color w:val="auto"/>
                <w:highlight w:val="none"/>
              </w:rPr>
            </w:pPr>
            <w:r>
              <w:rPr>
                <w:color w:val="auto"/>
                <w:highlight w:val="none"/>
              </w:rPr>
              <w:t>2250</w:t>
            </w:r>
          </w:p>
        </w:tc>
        <w:tc>
          <w:tcPr>
            <w:tcW w:w="1398" w:type="dxa"/>
            <w:noWrap/>
            <w:vAlign w:val="center"/>
          </w:tcPr>
          <w:p w14:paraId="1AF752A5">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0.000809</w:t>
            </w:r>
          </w:p>
        </w:tc>
        <w:tc>
          <w:tcPr>
            <w:tcW w:w="873" w:type="dxa"/>
            <w:noWrap/>
            <w:vAlign w:val="center"/>
          </w:tcPr>
          <w:p w14:paraId="5A829C38">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398" w:type="dxa"/>
            <w:noWrap/>
            <w:vAlign w:val="center"/>
          </w:tcPr>
          <w:p w14:paraId="022FFFD7">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0.000809</w:t>
            </w:r>
          </w:p>
        </w:tc>
        <w:tc>
          <w:tcPr>
            <w:tcW w:w="873" w:type="dxa"/>
            <w:noWrap/>
            <w:vAlign w:val="center"/>
          </w:tcPr>
          <w:p w14:paraId="25C10A32">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400" w:type="dxa"/>
            <w:noWrap/>
            <w:vAlign w:val="center"/>
          </w:tcPr>
          <w:p w14:paraId="08B7168A">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0.000809</w:t>
            </w:r>
          </w:p>
        </w:tc>
        <w:tc>
          <w:tcPr>
            <w:tcW w:w="873" w:type="dxa"/>
            <w:noWrap/>
            <w:vAlign w:val="center"/>
          </w:tcPr>
          <w:p w14:paraId="162D8722">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r>
      <w:tr w14:paraId="3A33D4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459E157A">
            <w:pPr>
              <w:pStyle w:val="41"/>
              <w:spacing w:line="240" w:lineRule="atLeast"/>
              <w:rPr>
                <w:color w:val="auto"/>
                <w:highlight w:val="none"/>
              </w:rPr>
            </w:pPr>
            <w:r>
              <w:rPr>
                <w:color w:val="auto"/>
                <w:highlight w:val="none"/>
              </w:rPr>
              <w:t>93</w:t>
            </w:r>
          </w:p>
        </w:tc>
        <w:tc>
          <w:tcPr>
            <w:tcW w:w="674" w:type="pct"/>
            <w:noWrap/>
            <w:vAlign w:val="center"/>
          </w:tcPr>
          <w:p w14:paraId="63FC673E">
            <w:pPr>
              <w:pStyle w:val="41"/>
              <w:spacing w:line="240" w:lineRule="atLeast"/>
              <w:rPr>
                <w:color w:val="auto"/>
                <w:highlight w:val="none"/>
              </w:rPr>
            </w:pPr>
            <w:r>
              <w:rPr>
                <w:color w:val="auto"/>
                <w:highlight w:val="none"/>
              </w:rPr>
              <w:t>2275</w:t>
            </w:r>
          </w:p>
        </w:tc>
        <w:tc>
          <w:tcPr>
            <w:tcW w:w="1398" w:type="dxa"/>
            <w:noWrap/>
            <w:vAlign w:val="center"/>
          </w:tcPr>
          <w:p w14:paraId="2E5D5B23">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0.000802</w:t>
            </w:r>
          </w:p>
        </w:tc>
        <w:tc>
          <w:tcPr>
            <w:tcW w:w="873" w:type="dxa"/>
            <w:noWrap/>
            <w:vAlign w:val="center"/>
          </w:tcPr>
          <w:p w14:paraId="5666B7F1">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398" w:type="dxa"/>
            <w:noWrap/>
            <w:vAlign w:val="center"/>
          </w:tcPr>
          <w:p w14:paraId="16F88B0E">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0.000802</w:t>
            </w:r>
          </w:p>
        </w:tc>
        <w:tc>
          <w:tcPr>
            <w:tcW w:w="873" w:type="dxa"/>
            <w:noWrap/>
            <w:vAlign w:val="center"/>
          </w:tcPr>
          <w:p w14:paraId="1E8C9A32">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400" w:type="dxa"/>
            <w:noWrap/>
            <w:vAlign w:val="center"/>
          </w:tcPr>
          <w:p w14:paraId="75B9355B">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0.000802</w:t>
            </w:r>
          </w:p>
        </w:tc>
        <w:tc>
          <w:tcPr>
            <w:tcW w:w="873" w:type="dxa"/>
            <w:noWrap/>
            <w:vAlign w:val="center"/>
          </w:tcPr>
          <w:p w14:paraId="76975C75">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r>
      <w:tr w14:paraId="0A24EC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0C17669E">
            <w:pPr>
              <w:pStyle w:val="41"/>
              <w:spacing w:line="240" w:lineRule="atLeast"/>
              <w:rPr>
                <w:color w:val="auto"/>
                <w:highlight w:val="none"/>
              </w:rPr>
            </w:pPr>
            <w:r>
              <w:rPr>
                <w:color w:val="auto"/>
                <w:highlight w:val="none"/>
              </w:rPr>
              <w:t>94</w:t>
            </w:r>
          </w:p>
        </w:tc>
        <w:tc>
          <w:tcPr>
            <w:tcW w:w="674" w:type="pct"/>
            <w:noWrap/>
            <w:vAlign w:val="center"/>
          </w:tcPr>
          <w:p w14:paraId="74CD3E61">
            <w:pPr>
              <w:pStyle w:val="41"/>
              <w:spacing w:line="240" w:lineRule="atLeast"/>
              <w:rPr>
                <w:color w:val="auto"/>
                <w:highlight w:val="none"/>
              </w:rPr>
            </w:pPr>
            <w:r>
              <w:rPr>
                <w:color w:val="auto"/>
                <w:highlight w:val="none"/>
              </w:rPr>
              <w:t>2300</w:t>
            </w:r>
          </w:p>
        </w:tc>
        <w:tc>
          <w:tcPr>
            <w:tcW w:w="1398" w:type="dxa"/>
            <w:noWrap/>
            <w:vAlign w:val="center"/>
          </w:tcPr>
          <w:p w14:paraId="151E4470">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0.000796</w:t>
            </w:r>
          </w:p>
        </w:tc>
        <w:tc>
          <w:tcPr>
            <w:tcW w:w="873" w:type="dxa"/>
            <w:noWrap/>
            <w:vAlign w:val="center"/>
          </w:tcPr>
          <w:p w14:paraId="758D2044">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398" w:type="dxa"/>
            <w:noWrap/>
            <w:vAlign w:val="center"/>
          </w:tcPr>
          <w:p w14:paraId="09AD2F4F">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0.000796</w:t>
            </w:r>
          </w:p>
        </w:tc>
        <w:tc>
          <w:tcPr>
            <w:tcW w:w="873" w:type="dxa"/>
            <w:noWrap/>
            <w:vAlign w:val="center"/>
          </w:tcPr>
          <w:p w14:paraId="7600E68C">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400" w:type="dxa"/>
            <w:noWrap/>
            <w:vAlign w:val="center"/>
          </w:tcPr>
          <w:p w14:paraId="2067E94D">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0.000796</w:t>
            </w:r>
          </w:p>
        </w:tc>
        <w:tc>
          <w:tcPr>
            <w:tcW w:w="873" w:type="dxa"/>
            <w:noWrap/>
            <w:vAlign w:val="center"/>
          </w:tcPr>
          <w:p w14:paraId="3449330D">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r>
      <w:tr w14:paraId="52885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75050CDB">
            <w:pPr>
              <w:pStyle w:val="41"/>
              <w:spacing w:line="240" w:lineRule="atLeast"/>
              <w:rPr>
                <w:color w:val="auto"/>
                <w:highlight w:val="none"/>
              </w:rPr>
            </w:pPr>
            <w:r>
              <w:rPr>
                <w:color w:val="auto"/>
                <w:highlight w:val="none"/>
              </w:rPr>
              <w:t>95</w:t>
            </w:r>
          </w:p>
        </w:tc>
        <w:tc>
          <w:tcPr>
            <w:tcW w:w="674" w:type="pct"/>
            <w:noWrap/>
            <w:vAlign w:val="center"/>
          </w:tcPr>
          <w:p w14:paraId="1ADD5F7F">
            <w:pPr>
              <w:pStyle w:val="41"/>
              <w:spacing w:line="240" w:lineRule="atLeast"/>
              <w:rPr>
                <w:color w:val="auto"/>
                <w:highlight w:val="none"/>
              </w:rPr>
            </w:pPr>
            <w:r>
              <w:rPr>
                <w:color w:val="auto"/>
                <w:highlight w:val="none"/>
              </w:rPr>
              <w:t>2325</w:t>
            </w:r>
          </w:p>
        </w:tc>
        <w:tc>
          <w:tcPr>
            <w:tcW w:w="1398" w:type="dxa"/>
            <w:noWrap/>
            <w:vAlign w:val="center"/>
          </w:tcPr>
          <w:p w14:paraId="5FBD83B4">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0.00079</w:t>
            </w:r>
          </w:p>
        </w:tc>
        <w:tc>
          <w:tcPr>
            <w:tcW w:w="873" w:type="dxa"/>
            <w:noWrap/>
            <w:vAlign w:val="center"/>
          </w:tcPr>
          <w:p w14:paraId="64250951">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398" w:type="dxa"/>
            <w:noWrap/>
            <w:vAlign w:val="center"/>
          </w:tcPr>
          <w:p w14:paraId="0023E3AF">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0.00079</w:t>
            </w:r>
          </w:p>
        </w:tc>
        <w:tc>
          <w:tcPr>
            <w:tcW w:w="873" w:type="dxa"/>
            <w:noWrap/>
            <w:vAlign w:val="center"/>
          </w:tcPr>
          <w:p w14:paraId="04C99044">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400" w:type="dxa"/>
            <w:noWrap/>
            <w:vAlign w:val="center"/>
          </w:tcPr>
          <w:p w14:paraId="42F8FA91">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0.00079</w:t>
            </w:r>
          </w:p>
        </w:tc>
        <w:tc>
          <w:tcPr>
            <w:tcW w:w="873" w:type="dxa"/>
            <w:noWrap/>
            <w:vAlign w:val="center"/>
          </w:tcPr>
          <w:p w14:paraId="21A0B919">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r>
      <w:tr w14:paraId="1FC9EF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7293DEC0">
            <w:pPr>
              <w:pStyle w:val="41"/>
              <w:spacing w:line="240" w:lineRule="atLeast"/>
              <w:rPr>
                <w:color w:val="auto"/>
                <w:highlight w:val="none"/>
              </w:rPr>
            </w:pPr>
            <w:r>
              <w:rPr>
                <w:color w:val="auto"/>
                <w:highlight w:val="none"/>
              </w:rPr>
              <w:t>96</w:t>
            </w:r>
          </w:p>
        </w:tc>
        <w:tc>
          <w:tcPr>
            <w:tcW w:w="674" w:type="pct"/>
            <w:noWrap/>
            <w:vAlign w:val="center"/>
          </w:tcPr>
          <w:p w14:paraId="4FB3A9B7">
            <w:pPr>
              <w:pStyle w:val="41"/>
              <w:spacing w:line="240" w:lineRule="atLeast"/>
              <w:rPr>
                <w:color w:val="auto"/>
                <w:highlight w:val="none"/>
              </w:rPr>
            </w:pPr>
            <w:r>
              <w:rPr>
                <w:color w:val="auto"/>
                <w:highlight w:val="none"/>
              </w:rPr>
              <w:t>2350</w:t>
            </w:r>
          </w:p>
        </w:tc>
        <w:tc>
          <w:tcPr>
            <w:tcW w:w="1398" w:type="dxa"/>
            <w:noWrap/>
            <w:vAlign w:val="center"/>
          </w:tcPr>
          <w:p w14:paraId="24D0A32B">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0.000784</w:t>
            </w:r>
          </w:p>
        </w:tc>
        <w:tc>
          <w:tcPr>
            <w:tcW w:w="873" w:type="dxa"/>
            <w:noWrap/>
            <w:vAlign w:val="center"/>
          </w:tcPr>
          <w:p w14:paraId="4CAEEC33">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398" w:type="dxa"/>
            <w:noWrap/>
            <w:vAlign w:val="center"/>
          </w:tcPr>
          <w:p w14:paraId="0A5D4ACF">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0.000784</w:t>
            </w:r>
          </w:p>
        </w:tc>
        <w:tc>
          <w:tcPr>
            <w:tcW w:w="873" w:type="dxa"/>
            <w:noWrap/>
            <w:vAlign w:val="center"/>
          </w:tcPr>
          <w:p w14:paraId="24CF24CD">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400" w:type="dxa"/>
            <w:noWrap/>
            <w:vAlign w:val="center"/>
          </w:tcPr>
          <w:p w14:paraId="4E9F4D3B">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0.000784</w:t>
            </w:r>
          </w:p>
        </w:tc>
        <w:tc>
          <w:tcPr>
            <w:tcW w:w="873" w:type="dxa"/>
            <w:noWrap/>
            <w:vAlign w:val="center"/>
          </w:tcPr>
          <w:p w14:paraId="53B73632">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r>
      <w:tr w14:paraId="4D0590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112DADC6">
            <w:pPr>
              <w:pStyle w:val="41"/>
              <w:spacing w:line="240" w:lineRule="atLeast"/>
              <w:rPr>
                <w:color w:val="auto"/>
                <w:highlight w:val="none"/>
              </w:rPr>
            </w:pPr>
            <w:r>
              <w:rPr>
                <w:color w:val="auto"/>
                <w:highlight w:val="none"/>
              </w:rPr>
              <w:t>97</w:t>
            </w:r>
          </w:p>
        </w:tc>
        <w:tc>
          <w:tcPr>
            <w:tcW w:w="674" w:type="pct"/>
            <w:noWrap/>
            <w:vAlign w:val="center"/>
          </w:tcPr>
          <w:p w14:paraId="52881256">
            <w:pPr>
              <w:pStyle w:val="41"/>
              <w:spacing w:line="240" w:lineRule="atLeast"/>
              <w:rPr>
                <w:color w:val="auto"/>
                <w:highlight w:val="none"/>
              </w:rPr>
            </w:pPr>
            <w:r>
              <w:rPr>
                <w:color w:val="auto"/>
                <w:highlight w:val="none"/>
              </w:rPr>
              <w:t>2375</w:t>
            </w:r>
          </w:p>
        </w:tc>
        <w:tc>
          <w:tcPr>
            <w:tcW w:w="1398" w:type="dxa"/>
            <w:noWrap/>
            <w:vAlign w:val="center"/>
          </w:tcPr>
          <w:p w14:paraId="5551FB67">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0.000777</w:t>
            </w:r>
          </w:p>
        </w:tc>
        <w:tc>
          <w:tcPr>
            <w:tcW w:w="873" w:type="dxa"/>
            <w:noWrap/>
            <w:vAlign w:val="center"/>
          </w:tcPr>
          <w:p w14:paraId="5E5A58DE">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398" w:type="dxa"/>
            <w:noWrap/>
            <w:vAlign w:val="center"/>
          </w:tcPr>
          <w:p w14:paraId="65CA3A66">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0.000777</w:t>
            </w:r>
          </w:p>
        </w:tc>
        <w:tc>
          <w:tcPr>
            <w:tcW w:w="873" w:type="dxa"/>
            <w:noWrap/>
            <w:vAlign w:val="center"/>
          </w:tcPr>
          <w:p w14:paraId="6F1E59FD">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400" w:type="dxa"/>
            <w:noWrap/>
            <w:vAlign w:val="center"/>
          </w:tcPr>
          <w:p w14:paraId="0C821CD2">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0.000777</w:t>
            </w:r>
          </w:p>
        </w:tc>
        <w:tc>
          <w:tcPr>
            <w:tcW w:w="873" w:type="dxa"/>
            <w:noWrap/>
            <w:vAlign w:val="center"/>
          </w:tcPr>
          <w:p w14:paraId="2E80B527">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r>
      <w:tr w14:paraId="1D20FC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0E2C89EE">
            <w:pPr>
              <w:pStyle w:val="41"/>
              <w:spacing w:line="240" w:lineRule="atLeast"/>
              <w:rPr>
                <w:color w:val="auto"/>
                <w:highlight w:val="none"/>
              </w:rPr>
            </w:pPr>
            <w:r>
              <w:rPr>
                <w:color w:val="auto"/>
                <w:highlight w:val="none"/>
              </w:rPr>
              <w:t>98</w:t>
            </w:r>
          </w:p>
        </w:tc>
        <w:tc>
          <w:tcPr>
            <w:tcW w:w="674" w:type="pct"/>
            <w:noWrap/>
            <w:vAlign w:val="center"/>
          </w:tcPr>
          <w:p w14:paraId="57C5957F">
            <w:pPr>
              <w:pStyle w:val="41"/>
              <w:spacing w:line="240" w:lineRule="atLeast"/>
              <w:rPr>
                <w:color w:val="auto"/>
                <w:highlight w:val="none"/>
              </w:rPr>
            </w:pPr>
            <w:r>
              <w:rPr>
                <w:color w:val="auto"/>
                <w:highlight w:val="none"/>
              </w:rPr>
              <w:t>2400</w:t>
            </w:r>
          </w:p>
        </w:tc>
        <w:tc>
          <w:tcPr>
            <w:tcW w:w="1398" w:type="dxa"/>
            <w:noWrap/>
            <w:vAlign w:val="center"/>
          </w:tcPr>
          <w:p w14:paraId="402BCDB9">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0.000771</w:t>
            </w:r>
          </w:p>
        </w:tc>
        <w:tc>
          <w:tcPr>
            <w:tcW w:w="873" w:type="dxa"/>
            <w:noWrap/>
            <w:vAlign w:val="center"/>
          </w:tcPr>
          <w:p w14:paraId="2D0E6B8A">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398" w:type="dxa"/>
            <w:noWrap/>
            <w:vAlign w:val="center"/>
          </w:tcPr>
          <w:p w14:paraId="7EBB9E64">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0.000771</w:t>
            </w:r>
          </w:p>
        </w:tc>
        <w:tc>
          <w:tcPr>
            <w:tcW w:w="873" w:type="dxa"/>
            <w:noWrap/>
            <w:vAlign w:val="center"/>
          </w:tcPr>
          <w:p w14:paraId="2BE9FBB5">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400" w:type="dxa"/>
            <w:noWrap/>
            <w:vAlign w:val="center"/>
          </w:tcPr>
          <w:p w14:paraId="77485BFD">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0.000771</w:t>
            </w:r>
          </w:p>
        </w:tc>
        <w:tc>
          <w:tcPr>
            <w:tcW w:w="873" w:type="dxa"/>
            <w:noWrap/>
            <w:vAlign w:val="center"/>
          </w:tcPr>
          <w:p w14:paraId="3E5A5EBF">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r>
      <w:tr w14:paraId="55F4A1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190F7B56">
            <w:pPr>
              <w:pStyle w:val="41"/>
              <w:spacing w:line="240" w:lineRule="atLeast"/>
              <w:rPr>
                <w:color w:val="auto"/>
                <w:highlight w:val="none"/>
              </w:rPr>
            </w:pPr>
            <w:r>
              <w:rPr>
                <w:color w:val="auto"/>
                <w:highlight w:val="none"/>
              </w:rPr>
              <w:t>99</w:t>
            </w:r>
          </w:p>
        </w:tc>
        <w:tc>
          <w:tcPr>
            <w:tcW w:w="674" w:type="pct"/>
            <w:noWrap/>
            <w:vAlign w:val="center"/>
          </w:tcPr>
          <w:p w14:paraId="2CA85EC1">
            <w:pPr>
              <w:pStyle w:val="41"/>
              <w:spacing w:line="240" w:lineRule="atLeast"/>
              <w:rPr>
                <w:color w:val="auto"/>
                <w:highlight w:val="none"/>
              </w:rPr>
            </w:pPr>
            <w:r>
              <w:rPr>
                <w:color w:val="auto"/>
                <w:highlight w:val="none"/>
              </w:rPr>
              <w:t>2425</w:t>
            </w:r>
          </w:p>
        </w:tc>
        <w:tc>
          <w:tcPr>
            <w:tcW w:w="1398" w:type="dxa"/>
            <w:noWrap/>
            <w:vAlign w:val="center"/>
          </w:tcPr>
          <w:p w14:paraId="2A8799FE">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0.000765</w:t>
            </w:r>
          </w:p>
        </w:tc>
        <w:tc>
          <w:tcPr>
            <w:tcW w:w="873" w:type="dxa"/>
            <w:noWrap/>
            <w:vAlign w:val="center"/>
          </w:tcPr>
          <w:p w14:paraId="4EF2650D">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398" w:type="dxa"/>
            <w:noWrap/>
            <w:vAlign w:val="center"/>
          </w:tcPr>
          <w:p w14:paraId="0AB1EB51">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0.000765</w:t>
            </w:r>
          </w:p>
        </w:tc>
        <w:tc>
          <w:tcPr>
            <w:tcW w:w="873" w:type="dxa"/>
            <w:noWrap/>
            <w:vAlign w:val="center"/>
          </w:tcPr>
          <w:p w14:paraId="13E58AA2">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400" w:type="dxa"/>
            <w:noWrap/>
            <w:vAlign w:val="center"/>
          </w:tcPr>
          <w:p w14:paraId="6188CBA9">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0.000765</w:t>
            </w:r>
          </w:p>
        </w:tc>
        <w:tc>
          <w:tcPr>
            <w:tcW w:w="873" w:type="dxa"/>
            <w:noWrap/>
            <w:vAlign w:val="center"/>
          </w:tcPr>
          <w:p w14:paraId="58B625C3">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r>
      <w:tr w14:paraId="131253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62653887">
            <w:pPr>
              <w:pStyle w:val="41"/>
              <w:spacing w:line="240" w:lineRule="atLeast"/>
              <w:rPr>
                <w:color w:val="auto"/>
                <w:highlight w:val="none"/>
              </w:rPr>
            </w:pPr>
            <w:r>
              <w:rPr>
                <w:color w:val="auto"/>
                <w:highlight w:val="none"/>
              </w:rPr>
              <w:t>100</w:t>
            </w:r>
          </w:p>
        </w:tc>
        <w:tc>
          <w:tcPr>
            <w:tcW w:w="674" w:type="pct"/>
            <w:noWrap/>
            <w:vAlign w:val="center"/>
          </w:tcPr>
          <w:p w14:paraId="03351673">
            <w:pPr>
              <w:pStyle w:val="41"/>
              <w:spacing w:line="240" w:lineRule="atLeast"/>
              <w:rPr>
                <w:color w:val="auto"/>
                <w:highlight w:val="none"/>
              </w:rPr>
            </w:pPr>
            <w:r>
              <w:rPr>
                <w:color w:val="auto"/>
                <w:highlight w:val="none"/>
              </w:rPr>
              <w:t>2450</w:t>
            </w:r>
          </w:p>
        </w:tc>
        <w:tc>
          <w:tcPr>
            <w:tcW w:w="1398" w:type="dxa"/>
            <w:noWrap/>
            <w:vAlign w:val="center"/>
          </w:tcPr>
          <w:p w14:paraId="44933DF5">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0.000759</w:t>
            </w:r>
          </w:p>
        </w:tc>
        <w:tc>
          <w:tcPr>
            <w:tcW w:w="873" w:type="dxa"/>
            <w:noWrap/>
            <w:vAlign w:val="center"/>
          </w:tcPr>
          <w:p w14:paraId="5A396182">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398" w:type="dxa"/>
            <w:noWrap/>
            <w:vAlign w:val="center"/>
          </w:tcPr>
          <w:p w14:paraId="18014475">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0.000759</w:t>
            </w:r>
          </w:p>
        </w:tc>
        <w:tc>
          <w:tcPr>
            <w:tcW w:w="873" w:type="dxa"/>
            <w:noWrap/>
            <w:vAlign w:val="center"/>
          </w:tcPr>
          <w:p w14:paraId="3B9284B2">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400" w:type="dxa"/>
            <w:noWrap/>
            <w:vAlign w:val="center"/>
          </w:tcPr>
          <w:p w14:paraId="23BD3461">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0.000759</w:t>
            </w:r>
          </w:p>
        </w:tc>
        <w:tc>
          <w:tcPr>
            <w:tcW w:w="873" w:type="dxa"/>
            <w:noWrap/>
            <w:vAlign w:val="center"/>
          </w:tcPr>
          <w:p w14:paraId="54C20BD2">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r>
      <w:tr w14:paraId="3AE400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2EBDA41F">
            <w:pPr>
              <w:pStyle w:val="41"/>
              <w:spacing w:line="240" w:lineRule="atLeast"/>
              <w:rPr>
                <w:color w:val="auto"/>
                <w:highlight w:val="none"/>
              </w:rPr>
            </w:pPr>
            <w:r>
              <w:rPr>
                <w:color w:val="auto"/>
                <w:highlight w:val="none"/>
              </w:rPr>
              <w:t>101</w:t>
            </w:r>
          </w:p>
        </w:tc>
        <w:tc>
          <w:tcPr>
            <w:tcW w:w="674" w:type="pct"/>
            <w:noWrap/>
            <w:vAlign w:val="center"/>
          </w:tcPr>
          <w:p w14:paraId="6B948BB7">
            <w:pPr>
              <w:pStyle w:val="41"/>
              <w:spacing w:line="240" w:lineRule="atLeast"/>
              <w:rPr>
                <w:color w:val="auto"/>
                <w:highlight w:val="none"/>
              </w:rPr>
            </w:pPr>
            <w:r>
              <w:rPr>
                <w:color w:val="auto"/>
                <w:highlight w:val="none"/>
              </w:rPr>
              <w:t>2475</w:t>
            </w:r>
          </w:p>
        </w:tc>
        <w:tc>
          <w:tcPr>
            <w:tcW w:w="1398" w:type="dxa"/>
            <w:noWrap/>
            <w:vAlign w:val="center"/>
          </w:tcPr>
          <w:p w14:paraId="0D9549FA">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0.000753</w:t>
            </w:r>
          </w:p>
        </w:tc>
        <w:tc>
          <w:tcPr>
            <w:tcW w:w="873" w:type="dxa"/>
            <w:noWrap/>
            <w:vAlign w:val="center"/>
          </w:tcPr>
          <w:p w14:paraId="374494A7">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398" w:type="dxa"/>
            <w:noWrap/>
            <w:vAlign w:val="center"/>
          </w:tcPr>
          <w:p w14:paraId="34D08C27">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0.000753</w:t>
            </w:r>
          </w:p>
        </w:tc>
        <w:tc>
          <w:tcPr>
            <w:tcW w:w="873" w:type="dxa"/>
            <w:noWrap/>
            <w:vAlign w:val="center"/>
          </w:tcPr>
          <w:p w14:paraId="17BEB552">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400" w:type="dxa"/>
            <w:noWrap/>
            <w:vAlign w:val="center"/>
          </w:tcPr>
          <w:p w14:paraId="6E435639">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0.000753</w:t>
            </w:r>
          </w:p>
        </w:tc>
        <w:tc>
          <w:tcPr>
            <w:tcW w:w="873" w:type="dxa"/>
            <w:noWrap/>
            <w:vAlign w:val="center"/>
          </w:tcPr>
          <w:p w14:paraId="16512926">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r>
      <w:tr w14:paraId="7644E1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5781F280">
            <w:pPr>
              <w:pStyle w:val="41"/>
              <w:spacing w:line="240" w:lineRule="atLeast"/>
              <w:rPr>
                <w:color w:val="auto"/>
                <w:highlight w:val="none"/>
              </w:rPr>
            </w:pPr>
            <w:r>
              <w:rPr>
                <w:color w:val="auto"/>
                <w:highlight w:val="none"/>
              </w:rPr>
              <w:t>102</w:t>
            </w:r>
          </w:p>
        </w:tc>
        <w:tc>
          <w:tcPr>
            <w:tcW w:w="674" w:type="pct"/>
            <w:noWrap/>
            <w:vAlign w:val="center"/>
          </w:tcPr>
          <w:p w14:paraId="206E8FAF">
            <w:pPr>
              <w:pStyle w:val="41"/>
              <w:spacing w:line="240" w:lineRule="atLeast"/>
              <w:rPr>
                <w:color w:val="auto"/>
                <w:highlight w:val="none"/>
              </w:rPr>
            </w:pPr>
            <w:r>
              <w:rPr>
                <w:color w:val="auto"/>
                <w:highlight w:val="none"/>
              </w:rPr>
              <w:t>2500</w:t>
            </w:r>
          </w:p>
        </w:tc>
        <w:tc>
          <w:tcPr>
            <w:tcW w:w="1398" w:type="dxa"/>
            <w:noWrap/>
            <w:vAlign w:val="center"/>
          </w:tcPr>
          <w:p w14:paraId="49D9CC96">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0.000747</w:t>
            </w:r>
          </w:p>
        </w:tc>
        <w:tc>
          <w:tcPr>
            <w:tcW w:w="873" w:type="dxa"/>
            <w:noWrap/>
            <w:vAlign w:val="center"/>
          </w:tcPr>
          <w:p w14:paraId="0FDF9BAC">
            <w:pPr>
              <w:pStyle w:val="41"/>
              <w:keepNext w:val="0"/>
              <w:keepLines w:val="0"/>
              <w:widowControl/>
              <w:suppressLineNumbers w:val="0"/>
              <w:spacing w:line="240" w:lineRule="atLeast"/>
              <w:ind w:firstLineChars="0"/>
              <w:jc w:val="right"/>
              <w:textAlignment w:val="center"/>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398" w:type="dxa"/>
            <w:noWrap/>
            <w:vAlign w:val="center"/>
          </w:tcPr>
          <w:p w14:paraId="04899170">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0.000747</w:t>
            </w:r>
          </w:p>
        </w:tc>
        <w:tc>
          <w:tcPr>
            <w:tcW w:w="873" w:type="dxa"/>
            <w:noWrap/>
            <w:vAlign w:val="center"/>
          </w:tcPr>
          <w:p w14:paraId="6578EFEF">
            <w:pPr>
              <w:pStyle w:val="41"/>
              <w:keepNext w:val="0"/>
              <w:keepLines w:val="0"/>
              <w:widowControl/>
              <w:suppressLineNumbers w:val="0"/>
              <w:spacing w:line="240" w:lineRule="atLeast"/>
              <w:ind w:firstLine="0" w:firstLineChars="0"/>
              <w:jc w:val="left"/>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400" w:type="dxa"/>
            <w:noWrap/>
            <w:vAlign w:val="center"/>
          </w:tcPr>
          <w:p w14:paraId="04E48BE1">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0.000747</w:t>
            </w:r>
          </w:p>
        </w:tc>
        <w:tc>
          <w:tcPr>
            <w:tcW w:w="873" w:type="dxa"/>
            <w:noWrap/>
            <w:vAlign w:val="center"/>
          </w:tcPr>
          <w:p w14:paraId="4F09C1BF">
            <w:pPr>
              <w:pStyle w:val="41"/>
              <w:keepNext w:val="0"/>
              <w:keepLines w:val="0"/>
              <w:widowControl/>
              <w:suppressLineNumbers w:val="0"/>
              <w:spacing w:line="240" w:lineRule="atLeast"/>
              <w:ind w:firstLine="0" w:firstLineChars="0"/>
              <w:jc w:val="left"/>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r>
    </w:tbl>
    <w:p w14:paraId="7346E92C">
      <w:pPr>
        <w:pStyle w:val="40"/>
        <w:spacing w:before="31" w:after="31"/>
        <w:rPr>
          <w:color w:val="auto"/>
          <w:highlight w:val="none"/>
        </w:rPr>
      </w:pPr>
      <w:r>
        <w:rPr>
          <w:color w:val="auto"/>
          <w:highlight w:val="none"/>
        </w:rPr>
        <w:t>表5.2-11    有组织排放污染物（振动筛颗粒物）扩散浓度预测结果</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8"/>
        <w:gridCol w:w="935"/>
        <w:gridCol w:w="1215"/>
        <w:gridCol w:w="693"/>
        <w:gridCol w:w="1832"/>
        <w:gridCol w:w="1017"/>
        <w:gridCol w:w="1398"/>
        <w:gridCol w:w="874"/>
      </w:tblGrid>
      <w:tr w14:paraId="51D1EC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vMerge w:val="restart"/>
            <w:noWrap/>
            <w:vAlign w:val="center"/>
          </w:tcPr>
          <w:p w14:paraId="17D404E5">
            <w:pPr>
              <w:pStyle w:val="41"/>
              <w:rPr>
                <w:color w:val="auto"/>
                <w:highlight w:val="none"/>
              </w:rPr>
            </w:pPr>
            <w:r>
              <w:rPr>
                <w:color w:val="auto"/>
                <w:highlight w:val="none"/>
              </w:rPr>
              <w:t>序号</w:t>
            </w:r>
          </w:p>
        </w:tc>
        <w:tc>
          <w:tcPr>
            <w:tcW w:w="548" w:type="pct"/>
            <w:vMerge w:val="restart"/>
            <w:tcBorders>
              <w:right w:val="single" w:color="auto" w:sz="2" w:space="0"/>
            </w:tcBorders>
            <w:noWrap/>
            <w:vAlign w:val="center"/>
          </w:tcPr>
          <w:p w14:paraId="70A93583">
            <w:pPr>
              <w:pStyle w:val="41"/>
              <w:rPr>
                <w:color w:val="auto"/>
                <w:highlight w:val="none"/>
              </w:rPr>
            </w:pPr>
            <w:r>
              <w:rPr>
                <w:color w:val="auto"/>
                <w:highlight w:val="none"/>
              </w:rPr>
              <w:t>离源距离</w:t>
            </w:r>
            <w:r>
              <w:rPr>
                <w:rFonts w:hint="eastAsia"/>
                <w:color w:val="auto"/>
                <w:highlight w:val="none"/>
                <w:lang w:eastAsia="zh-CN"/>
              </w:rPr>
              <w:t>（</w:t>
            </w:r>
            <w:r>
              <w:rPr>
                <w:color w:val="auto"/>
                <w:highlight w:val="none"/>
              </w:rPr>
              <w:t>m</w:t>
            </w:r>
            <w:r>
              <w:rPr>
                <w:rFonts w:hint="eastAsia"/>
                <w:color w:val="auto"/>
                <w:highlight w:val="none"/>
                <w:lang w:eastAsia="zh-CN"/>
              </w:rPr>
              <w:t>）</w:t>
            </w:r>
          </w:p>
        </w:tc>
        <w:tc>
          <w:tcPr>
            <w:tcW w:w="1119" w:type="pct"/>
            <w:gridSpan w:val="2"/>
            <w:tcBorders>
              <w:left w:val="single" w:color="auto" w:sz="2" w:space="0"/>
            </w:tcBorders>
            <w:vAlign w:val="center"/>
          </w:tcPr>
          <w:p w14:paraId="5C3845CB">
            <w:pPr>
              <w:pStyle w:val="41"/>
              <w:rPr>
                <w:color w:val="auto"/>
                <w:highlight w:val="none"/>
              </w:rPr>
            </w:pPr>
            <w:r>
              <w:rPr>
                <w:color w:val="auto"/>
                <w:highlight w:val="none"/>
              </w:rPr>
              <w:t>1号</w:t>
            </w:r>
            <w:r>
              <w:rPr>
                <w:rFonts w:hint="eastAsia"/>
                <w:color w:val="auto"/>
                <w:highlight w:val="none"/>
                <w:lang w:eastAsia="zh-CN"/>
              </w:rPr>
              <w:t>振动筛</w:t>
            </w:r>
            <w:r>
              <w:rPr>
                <w:color w:val="auto"/>
                <w:highlight w:val="none"/>
              </w:rPr>
              <w:t>分车间PM</w:t>
            </w:r>
            <w:r>
              <w:rPr>
                <w:color w:val="auto"/>
                <w:highlight w:val="none"/>
                <w:vertAlign w:val="subscript"/>
              </w:rPr>
              <w:t>10</w:t>
            </w:r>
          </w:p>
        </w:tc>
        <w:tc>
          <w:tcPr>
            <w:tcW w:w="1671" w:type="pct"/>
            <w:gridSpan w:val="2"/>
            <w:noWrap/>
            <w:vAlign w:val="center"/>
          </w:tcPr>
          <w:p w14:paraId="4C1F8E84">
            <w:pPr>
              <w:pStyle w:val="41"/>
              <w:rPr>
                <w:color w:val="auto"/>
                <w:highlight w:val="none"/>
              </w:rPr>
            </w:pPr>
            <w:r>
              <w:rPr>
                <w:color w:val="auto"/>
                <w:highlight w:val="none"/>
              </w:rPr>
              <w:t>2号</w:t>
            </w:r>
            <w:r>
              <w:rPr>
                <w:rFonts w:hint="eastAsia"/>
                <w:color w:val="auto"/>
                <w:highlight w:val="none"/>
                <w:lang w:eastAsia="zh-CN"/>
              </w:rPr>
              <w:t>振动筛</w:t>
            </w:r>
            <w:r>
              <w:rPr>
                <w:color w:val="auto"/>
                <w:highlight w:val="none"/>
              </w:rPr>
              <w:t>分车间PM</w:t>
            </w:r>
            <w:r>
              <w:rPr>
                <w:color w:val="auto"/>
                <w:highlight w:val="none"/>
                <w:vertAlign w:val="subscript"/>
              </w:rPr>
              <w:t>10</w:t>
            </w:r>
          </w:p>
        </w:tc>
        <w:tc>
          <w:tcPr>
            <w:tcW w:w="1333" w:type="pct"/>
            <w:gridSpan w:val="2"/>
            <w:noWrap/>
            <w:vAlign w:val="center"/>
          </w:tcPr>
          <w:p w14:paraId="67920F7D">
            <w:pPr>
              <w:pStyle w:val="41"/>
              <w:rPr>
                <w:color w:val="auto"/>
                <w:highlight w:val="none"/>
              </w:rPr>
            </w:pPr>
            <w:r>
              <w:rPr>
                <w:color w:val="auto"/>
                <w:highlight w:val="none"/>
              </w:rPr>
              <w:t>3号</w:t>
            </w:r>
            <w:r>
              <w:rPr>
                <w:rFonts w:hint="eastAsia"/>
                <w:color w:val="auto"/>
                <w:highlight w:val="none"/>
                <w:lang w:eastAsia="zh-CN"/>
              </w:rPr>
              <w:t>振动筛</w:t>
            </w:r>
            <w:r>
              <w:rPr>
                <w:color w:val="auto"/>
                <w:highlight w:val="none"/>
              </w:rPr>
              <w:t>分车间PM</w:t>
            </w:r>
            <w:r>
              <w:rPr>
                <w:color w:val="auto"/>
                <w:highlight w:val="none"/>
                <w:vertAlign w:val="subscript"/>
              </w:rPr>
              <w:t>10</w:t>
            </w:r>
          </w:p>
        </w:tc>
      </w:tr>
      <w:tr w14:paraId="25417E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vMerge w:val="continue"/>
            <w:noWrap/>
            <w:vAlign w:val="center"/>
          </w:tcPr>
          <w:p w14:paraId="7EB96BD1">
            <w:pPr>
              <w:pStyle w:val="41"/>
              <w:rPr>
                <w:color w:val="auto"/>
                <w:highlight w:val="none"/>
              </w:rPr>
            </w:pPr>
          </w:p>
        </w:tc>
        <w:tc>
          <w:tcPr>
            <w:tcW w:w="548" w:type="pct"/>
            <w:vMerge w:val="continue"/>
            <w:tcBorders>
              <w:right w:val="single" w:color="auto" w:sz="2" w:space="0"/>
            </w:tcBorders>
            <w:noWrap/>
            <w:vAlign w:val="center"/>
          </w:tcPr>
          <w:p w14:paraId="764A447F">
            <w:pPr>
              <w:pStyle w:val="41"/>
              <w:rPr>
                <w:color w:val="auto"/>
                <w:highlight w:val="none"/>
              </w:rPr>
            </w:pPr>
          </w:p>
        </w:tc>
        <w:tc>
          <w:tcPr>
            <w:tcW w:w="712" w:type="pct"/>
            <w:tcBorders>
              <w:left w:val="single" w:color="auto" w:sz="2" w:space="0"/>
            </w:tcBorders>
            <w:noWrap/>
            <w:vAlign w:val="center"/>
          </w:tcPr>
          <w:p w14:paraId="0D6D6BD7">
            <w:pPr>
              <w:pStyle w:val="41"/>
              <w:rPr>
                <w:color w:val="auto"/>
                <w:highlight w:val="none"/>
              </w:rPr>
            </w:pPr>
            <w:r>
              <w:rPr>
                <w:color w:val="auto"/>
                <w:highlight w:val="none"/>
              </w:rPr>
              <w:t>下风向</w:t>
            </w:r>
          </w:p>
          <w:p w14:paraId="00453571">
            <w:pPr>
              <w:pStyle w:val="41"/>
              <w:rPr>
                <w:color w:val="auto"/>
                <w:highlight w:val="none"/>
              </w:rPr>
            </w:pPr>
            <w:r>
              <w:rPr>
                <w:color w:val="auto"/>
                <w:highlight w:val="none"/>
              </w:rPr>
              <w:t>预测浓度mg/m</w:t>
            </w:r>
            <w:r>
              <w:rPr>
                <w:color w:val="auto"/>
                <w:highlight w:val="none"/>
                <w:vertAlign w:val="superscript"/>
              </w:rPr>
              <w:t>3</w:t>
            </w:r>
          </w:p>
        </w:tc>
        <w:tc>
          <w:tcPr>
            <w:tcW w:w="406" w:type="pct"/>
            <w:noWrap/>
            <w:vAlign w:val="center"/>
          </w:tcPr>
          <w:p w14:paraId="15F13CC1">
            <w:pPr>
              <w:pStyle w:val="41"/>
              <w:rPr>
                <w:color w:val="auto"/>
                <w:highlight w:val="none"/>
              </w:rPr>
            </w:pPr>
            <w:r>
              <w:rPr>
                <w:color w:val="auto"/>
                <w:highlight w:val="none"/>
              </w:rPr>
              <w:t>占标率%</w:t>
            </w:r>
          </w:p>
        </w:tc>
        <w:tc>
          <w:tcPr>
            <w:tcW w:w="1074" w:type="pct"/>
            <w:noWrap/>
            <w:vAlign w:val="center"/>
          </w:tcPr>
          <w:p w14:paraId="273CEC7D">
            <w:pPr>
              <w:pStyle w:val="41"/>
              <w:rPr>
                <w:color w:val="auto"/>
                <w:highlight w:val="none"/>
              </w:rPr>
            </w:pPr>
            <w:r>
              <w:rPr>
                <w:color w:val="auto"/>
                <w:highlight w:val="none"/>
              </w:rPr>
              <w:t>下风向</w:t>
            </w:r>
          </w:p>
          <w:p w14:paraId="43D76657">
            <w:pPr>
              <w:pStyle w:val="41"/>
              <w:rPr>
                <w:color w:val="auto"/>
                <w:highlight w:val="none"/>
              </w:rPr>
            </w:pPr>
            <w:r>
              <w:rPr>
                <w:color w:val="auto"/>
                <w:highlight w:val="none"/>
              </w:rPr>
              <w:t>预测浓度mg/m</w:t>
            </w:r>
            <w:r>
              <w:rPr>
                <w:color w:val="auto"/>
                <w:highlight w:val="none"/>
                <w:vertAlign w:val="superscript"/>
              </w:rPr>
              <w:t>3</w:t>
            </w:r>
          </w:p>
        </w:tc>
        <w:tc>
          <w:tcPr>
            <w:tcW w:w="596" w:type="pct"/>
            <w:noWrap/>
            <w:vAlign w:val="center"/>
          </w:tcPr>
          <w:p w14:paraId="61BAFD6F">
            <w:pPr>
              <w:pStyle w:val="41"/>
              <w:rPr>
                <w:color w:val="auto"/>
                <w:highlight w:val="none"/>
              </w:rPr>
            </w:pPr>
            <w:r>
              <w:rPr>
                <w:color w:val="auto"/>
                <w:highlight w:val="none"/>
              </w:rPr>
              <w:t>占标率%</w:t>
            </w:r>
          </w:p>
        </w:tc>
        <w:tc>
          <w:tcPr>
            <w:tcW w:w="820" w:type="pct"/>
            <w:noWrap/>
            <w:vAlign w:val="center"/>
          </w:tcPr>
          <w:p w14:paraId="5A184A8C">
            <w:pPr>
              <w:pStyle w:val="41"/>
              <w:rPr>
                <w:color w:val="auto"/>
                <w:highlight w:val="none"/>
              </w:rPr>
            </w:pPr>
            <w:r>
              <w:rPr>
                <w:color w:val="auto"/>
                <w:highlight w:val="none"/>
              </w:rPr>
              <w:t>下风向</w:t>
            </w:r>
          </w:p>
          <w:p w14:paraId="35888C2C">
            <w:pPr>
              <w:pStyle w:val="41"/>
              <w:rPr>
                <w:color w:val="auto"/>
                <w:highlight w:val="none"/>
              </w:rPr>
            </w:pPr>
            <w:r>
              <w:rPr>
                <w:color w:val="auto"/>
                <w:highlight w:val="none"/>
              </w:rPr>
              <w:t>预测浓度mg/m</w:t>
            </w:r>
            <w:r>
              <w:rPr>
                <w:color w:val="auto"/>
                <w:highlight w:val="none"/>
                <w:vertAlign w:val="superscript"/>
              </w:rPr>
              <w:t>3</w:t>
            </w:r>
          </w:p>
        </w:tc>
        <w:tc>
          <w:tcPr>
            <w:tcW w:w="512" w:type="pct"/>
            <w:noWrap/>
            <w:vAlign w:val="center"/>
          </w:tcPr>
          <w:p w14:paraId="659407A5">
            <w:pPr>
              <w:pStyle w:val="41"/>
              <w:rPr>
                <w:color w:val="auto"/>
                <w:highlight w:val="none"/>
              </w:rPr>
            </w:pPr>
            <w:r>
              <w:rPr>
                <w:color w:val="auto"/>
                <w:highlight w:val="none"/>
              </w:rPr>
              <w:t>占标率%</w:t>
            </w:r>
          </w:p>
        </w:tc>
      </w:tr>
      <w:tr w14:paraId="35BFC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4A5A817">
            <w:pPr>
              <w:pStyle w:val="41"/>
              <w:rPr>
                <w:color w:val="auto"/>
                <w:highlight w:val="none"/>
              </w:rPr>
            </w:pPr>
            <w:r>
              <w:rPr>
                <w:color w:val="auto"/>
                <w:highlight w:val="none"/>
              </w:rPr>
              <w:t>1</w:t>
            </w:r>
          </w:p>
        </w:tc>
        <w:tc>
          <w:tcPr>
            <w:tcW w:w="548" w:type="pct"/>
            <w:noWrap/>
            <w:vAlign w:val="center"/>
          </w:tcPr>
          <w:p w14:paraId="70164F06">
            <w:pPr>
              <w:pStyle w:val="41"/>
              <w:rPr>
                <w:color w:val="auto"/>
                <w:highlight w:val="none"/>
              </w:rPr>
            </w:pPr>
            <w:r>
              <w:rPr>
                <w:color w:val="auto"/>
                <w:highlight w:val="none"/>
              </w:rPr>
              <w:t>10</w:t>
            </w:r>
          </w:p>
        </w:tc>
        <w:tc>
          <w:tcPr>
            <w:tcW w:w="712" w:type="pct"/>
            <w:noWrap/>
            <w:vAlign w:val="center"/>
          </w:tcPr>
          <w:p w14:paraId="4BEF93E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0.000037</w:t>
            </w:r>
          </w:p>
        </w:tc>
        <w:tc>
          <w:tcPr>
            <w:tcW w:w="406" w:type="pct"/>
            <w:noWrap/>
            <w:vAlign w:val="center"/>
          </w:tcPr>
          <w:p w14:paraId="22780A0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0.01</w:t>
            </w:r>
          </w:p>
        </w:tc>
        <w:tc>
          <w:tcPr>
            <w:tcW w:w="1074" w:type="pct"/>
            <w:noWrap/>
            <w:vAlign w:val="center"/>
          </w:tcPr>
          <w:p w14:paraId="1E94F84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0.000037</w:t>
            </w:r>
          </w:p>
        </w:tc>
        <w:tc>
          <w:tcPr>
            <w:tcW w:w="596" w:type="pct"/>
            <w:noWrap/>
            <w:vAlign w:val="center"/>
          </w:tcPr>
          <w:p w14:paraId="29D10BF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0.01</w:t>
            </w:r>
          </w:p>
        </w:tc>
        <w:tc>
          <w:tcPr>
            <w:tcW w:w="820" w:type="pct"/>
            <w:noWrap/>
            <w:vAlign w:val="center"/>
          </w:tcPr>
          <w:p w14:paraId="0865B09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0.000037</w:t>
            </w:r>
          </w:p>
        </w:tc>
        <w:tc>
          <w:tcPr>
            <w:tcW w:w="512" w:type="pct"/>
            <w:noWrap/>
            <w:vAlign w:val="center"/>
          </w:tcPr>
          <w:p w14:paraId="5FE5453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0.01</w:t>
            </w:r>
          </w:p>
        </w:tc>
      </w:tr>
      <w:tr w14:paraId="77F80A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55D4CBCD">
            <w:pPr>
              <w:pStyle w:val="41"/>
              <w:rPr>
                <w:color w:val="auto"/>
                <w:highlight w:val="none"/>
              </w:rPr>
            </w:pPr>
            <w:r>
              <w:rPr>
                <w:color w:val="auto"/>
                <w:highlight w:val="none"/>
              </w:rPr>
              <w:t>2</w:t>
            </w:r>
          </w:p>
        </w:tc>
        <w:tc>
          <w:tcPr>
            <w:tcW w:w="548" w:type="pct"/>
            <w:noWrap/>
            <w:vAlign w:val="center"/>
          </w:tcPr>
          <w:p w14:paraId="195F300D">
            <w:pPr>
              <w:pStyle w:val="41"/>
              <w:rPr>
                <w:color w:val="auto"/>
                <w:highlight w:val="none"/>
              </w:rPr>
            </w:pPr>
            <w:r>
              <w:rPr>
                <w:color w:val="auto"/>
                <w:highlight w:val="none"/>
              </w:rPr>
              <w:t>25</w:t>
            </w:r>
          </w:p>
        </w:tc>
        <w:tc>
          <w:tcPr>
            <w:tcW w:w="712" w:type="pct"/>
            <w:noWrap/>
            <w:vAlign w:val="center"/>
          </w:tcPr>
          <w:p w14:paraId="641CCBD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0.000116</w:t>
            </w:r>
          </w:p>
        </w:tc>
        <w:tc>
          <w:tcPr>
            <w:tcW w:w="406" w:type="pct"/>
            <w:noWrap/>
            <w:vAlign w:val="center"/>
          </w:tcPr>
          <w:p w14:paraId="340FC92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0.03</w:t>
            </w:r>
          </w:p>
        </w:tc>
        <w:tc>
          <w:tcPr>
            <w:tcW w:w="1074" w:type="pct"/>
            <w:noWrap/>
            <w:vAlign w:val="center"/>
          </w:tcPr>
          <w:p w14:paraId="18FF0EB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0.000116</w:t>
            </w:r>
          </w:p>
        </w:tc>
        <w:tc>
          <w:tcPr>
            <w:tcW w:w="596" w:type="pct"/>
            <w:noWrap/>
            <w:vAlign w:val="center"/>
          </w:tcPr>
          <w:p w14:paraId="37A8C8F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0.03</w:t>
            </w:r>
          </w:p>
        </w:tc>
        <w:tc>
          <w:tcPr>
            <w:tcW w:w="820" w:type="pct"/>
            <w:noWrap/>
            <w:vAlign w:val="center"/>
          </w:tcPr>
          <w:p w14:paraId="5556CB6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0.000116</w:t>
            </w:r>
          </w:p>
        </w:tc>
        <w:tc>
          <w:tcPr>
            <w:tcW w:w="512" w:type="pct"/>
            <w:noWrap/>
            <w:vAlign w:val="center"/>
          </w:tcPr>
          <w:p w14:paraId="24E9CD2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0.03</w:t>
            </w:r>
          </w:p>
        </w:tc>
      </w:tr>
      <w:tr w14:paraId="061271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49FAB43">
            <w:pPr>
              <w:pStyle w:val="41"/>
              <w:rPr>
                <w:color w:val="auto"/>
                <w:highlight w:val="none"/>
              </w:rPr>
            </w:pPr>
            <w:r>
              <w:rPr>
                <w:color w:val="auto"/>
                <w:highlight w:val="none"/>
              </w:rPr>
              <w:t>3</w:t>
            </w:r>
          </w:p>
        </w:tc>
        <w:tc>
          <w:tcPr>
            <w:tcW w:w="548" w:type="pct"/>
            <w:noWrap/>
            <w:vAlign w:val="center"/>
          </w:tcPr>
          <w:p w14:paraId="6F9B5D89">
            <w:pPr>
              <w:pStyle w:val="41"/>
              <w:rPr>
                <w:color w:val="auto"/>
                <w:highlight w:val="none"/>
              </w:rPr>
            </w:pPr>
            <w:r>
              <w:rPr>
                <w:color w:val="auto"/>
                <w:highlight w:val="none"/>
              </w:rPr>
              <w:t>50</w:t>
            </w:r>
          </w:p>
        </w:tc>
        <w:tc>
          <w:tcPr>
            <w:tcW w:w="712" w:type="pct"/>
            <w:noWrap/>
            <w:vAlign w:val="center"/>
          </w:tcPr>
          <w:p w14:paraId="3A0E1C5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0.000242</w:t>
            </w:r>
          </w:p>
        </w:tc>
        <w:tc>
          <w:tcPr>
            <w:tcW w:w="406" w:type="pct"/>
            <w:noWrap/>
            <w:vAlign w:val="center"/>
          </w:tcPr>
          <w:p w14:paraId="10F19ADA">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0.05</w:t>
            </w:r>
          </w:p>
        </w:tc>
        <w:tc>
          <w:tcPr>
            <w:tcW w:w="1074" w:type="pct"/>
            <w:noWrap/>
            <w:vAlign w:val="center"/>
          </w:tcPr>
          <w:p w14:paraId="7C9C2A0E">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0.000242</w:t>
            </w:r>
          </w:p>
        </w:tc>
        <w:tc>
          <w:tcPr>
            <w:tcW w:w="596" w:type="pct"/>
            <w:noWrap/>
            <w:vAlign w:val="center"/>
          </w:tcPr>
          <w:p w14:paraId="7AC8EB1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0.05</w:t>
            </w:r>
          </w:p>
        </w:tc>
        <w:tc>
          <w:tcPr>
            <w:tcW w:w="820" w:type="pct"/>
            <w:noWrap/>
            <w:vAlign w:val="center"/>
          </w:tcPr>
          <w:p w14:paraId="72135EC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0.000242</w:t>
            </w:r>
          </w:p>
        </w:tc>
        <w:tc>
          <w:tcPr>
            <w:tcW w:w="512" w:type="pct"/>
            <w:noWrap/>
            <w:vAlign w:val="center"/>
          </w:tcPr>
          <w:p w14:paraId="786B18E2">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0.05</w:t>
            </w:r>
          </w:p>
        </w:tc>
      </w:tr>
      <w:tr w14:paraId="205425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79DB094A">
            <w:pPr>
              <w:pStyle w:val="41"/>
              <w:rPr>
                <w:color w:val="auto"/>
                <w:highlight w:val="none"/>
              </w:rPr>
            </w:pPr>
            <w:r>
              <w:rPr>
                <w:color w:val="auto"/>
                <w:highlight w:val="none"/>
              </w:rPr>
              <w:t>4</w:t>
            </w:r>
          </w:p>
        </w:tc>
        <w:tc>
          <w:tcPr>
            <w:tcW w:w="548" w:type="pct"/>
            <w:noWrap/>
            <w:vAlign w:val="center"/>
          </w:tcPr>
          <w:p w14:paraId="14E36CA1">
            <w:pPr>
              <w:pStyle w:val="41"/>
              <w:rPr>
                <w:color w:val="auto"/>
                <w:highlight w:val="none"/>
              </w:rPr>
            </w:pPr>
            <w:r>
              <w:rPr>
                <w:color w:val="auto"/>
                <w:highlight w:val="none"/>
              </w:rPr>
              <w:t>75</w:t>
            </w:r>
          </w:p>
        </w:tc>
        <w:tc>
          <w:tcPr>
            <w:tcW w:w="712" w:type="pct"/>
            <w:noWrap/>
            <w:vAlign w:val="center"/>
          </w:tcPr>
          <w:p w14:paraId="412ACE8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0.001141</w:t>
            </w:r>
          </w:p>
        </w:tc>
        <w:tc>
          <w:tcPr>
            <w:tcW w:w="406" w:type="pct"/>
            <w:noWrap/>
            <w:vAlign w:val="center"/>
          </w:tcPr>
          <w:p w14:paraId="4C9A950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074" w:type="pct"/>
            <w:noWrap/>
            <w:vAlign w:val="center"/>
          </w:tcPr>
          <w:p w14:paraId="36C905D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0.001141</w:t>
            </w:r>
          </w:p>
        </w:tc>
        <w:tc>
          <w:tcPr>
            <w:tcW w:w="596" w:type="pct"/>
            <w:noWrap/>
            <w:vAlign w:val="center"/>
          </w:tcPr>
          <w:p w14:paraId="15606E4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820" w:type="pct"/>
            <w:noWrap/>
            <w:vAlign w:val="center"/>
          </w:tcPr>
          <w:p w14:paraId="1CA97D6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0.001141</w:t>
            </w:r>
          </w:p>
        </w:tc>
        <w:tc>
          <w:tcPr>
            <w:tcW w:w="512" w:type="pct"/>
            <w:noWrap/>
            <w:vAlign w:val="center"/>
          </w:tcPr>
          <w:p w14:paraId="582682C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r>
      <w:tr w14:paraId="7FA76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77958F23">
            <w:pPr>
              <w:pStyle w:val="41"/>
              <w:rPr>
                <w:color w:val="auto"/>
                <w:highlight w:val="none"/>
              </w:rPr>
            </w:pPr>
            <w:r>
              <w:rPr>
                <w:color w:val="auto"/>
                <w:highlight w:val="none"/>
              </w:rPr>
              <w:t>5</w:t>
            </w:r>
          </w:p>
        </w:tc>
        <w:tc>
          <w:tcPr>
            <w:tcW w:w="548" w:type="pct"/>
            <w:noWrap/>
            <w:vAlign w:val="center"/>
          </w:tcPr>
          <w:p w14:paraId="0DB25C15">
            <w:pPr>
              <w:pStyle w:val="41"/>
              <w:rPr>
                <w:color w:val="auto"/>
                <w:highlight w:val="none"/>
              </w:rPr>
            </w:pPr>
            <w:r>
              <w:rPr>
                <w:color w:val="auto"/>
                <w:highlight w:val="none"/>
              </w:rPr>
              <w:t>100</w:t>
            </w:r>
          </w:p>
        </w:tc>
        <w:tc>
          <w:tcPr>
            <w:tcW w:w="712" w:type="pct"/>
            <w:noWrap/>
            <w:vAlign w:val="center"/>
          </w:tcPr>
          <w:p w14:paraId="15EF991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0.002897</w:t>
            </w:r>
          </w:p>
        </w:tc>
        <w:tc>
          <w:tcPr>
            <w:tcW w:w="406" w:type="pct"/>
            <w:noWrap/>
            <w:vAlign w:val="center"/>
          </w:tcPr>
          <w:p w14:paraId="31AB5B1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0.64</w:t>
            </w:r>
          </w:p>
        </w:tc>
        <w:tc>
          <w:tcPr>
            <w:tcW w:w="1074" w:type="pct"/>
            <w:noWrap/>
            <w:vAlign w:val="center"/>
          </w:tcPr>
          <w:p w14:paraId="1326FB9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0.002897</w:t>
            </w:r>
          </w:p>
        </w:tc>
        <w:tc>
          <w:tcPr>
            <w:tcW w:w="596" w:type="pct"/>
            <w:noWrap/>
            <w:vAlign w:val="center"/>
          </w:tcPr>
          <w:p w14:paraId="49721C2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0.64</w:t>
            </w:r>
          </w:p>
        </w:tc>
        <w:tc>
          <w:tcPr>
            <w:tcW w:w="820" w:type="pct"/>
            <w:noWrap/>
            <w:vAlign w:val="center"/>
          </w:tcPr>
          <w:p w14:paraId="7359526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0.002897</w:t>
            </w:r>
          </w:p>
        </w:tc>
        <w:tc>
          <w:tcPr>
            <w:tcW w:w="512" w:type="pct"/>
            <w:noWrap/>
            <w:vAlign w:val="center"/>
          </w:tcPr>
          <w:p w14:paraId="017019A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0.64</w:t>
            </w:r>
          </w:p>
        </w:tc>
      </w:tr>
      <w:tr w14:paraId="4C7580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4FA718F1">
            <w:pPr>
              <w:pStyle w:val="41"/>
              <w:rPr>
                <w:color w:val="auto"/>
                <w:highlight w:val="none"/>
              </w:rPr>
            </w:pPr>
            <w:r>
              <w:rPr>
                <w:color w:val="auto"/>
                <w:highlight w:val="none"/>
              </w:rPr>
              <w:t>6</w:t>
            </w:r>
          </w:p>
        </w:tc>
        <w:tc>
          <w:tcPr>
            <w:tcW w:w="548" w:type="pct"/>
            <w:noWrap/>
            <w:vAlign w:val="center"/>
          </w:tcPr>
          <w:p w14:paraId="419034A2">
            <w:pPr>
              <w:pStyle w:val="41"/>
              <w:rPr>
                <w:color w:val="auto"/>
                <w:highlight w:val="none"/>
              </w:rPr>
            </w:pPr>
            <w:r>
              <w:rPr>
                <w:color w:val="auto"/>
                <w:highlight w:val="none"/>
              </w:rPr>
              <w:t>125</w:t>
            </w:r>
          </w:p>
        </w:tc>
        <w:tc>
          <w:tcPr>
            <w:tcW w:w="712" w:type="pct"/>
            <w:noWrap/>
            <w:vAlign w:val="center"/>
          </w:tcPr>
          <w:p w14:paraId="6B957788">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0.003214</w:t>
            </w:r>
          </w:p>
        </w:tc>
        <w:tc>
          <w:tcPr>
            <w:tcW w:w="406" w:type="pct"/>
            <w:noWrap/>
            <w:vAlign w:val="center"/>
          </w:tcPr>
          <w:p w14:paraId="5F577D3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0.71</w:t>
            </w:r>
          </w:p>
        </w:tc>
        <w:tc>
          <w:tcPr>
            <w:tcW w:w="1074" w:type="pct"/>
            <w:noWrap/>
            <w:vAlign w:val="center"/>
          </w:tcPr>
          <w:p w14:paraId="538954A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0.003214</w:t>
            </w:r>
          </w:p>
        </w:tc>
        <w:tc>
          <w:tcPr>
            <w:tcW w:w="596" w:type="pct"/>
            <w:noWrap/>
            <w:vAlign w:val="center"/>
          </w:tcPr>
          <w:p w14:paraId="2EE453A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0.71</w:t>
            </w:r>
          </w:p>
        </w:tc>
        <w:tc>
          <w:tcPr>
            <w:tcW w:w="820" w:type="pct"/>
            <w:noWrap/>
            <w:vAlign w:val="center"/>
          </w:tcPr>
          <w:p w14:paraId="10A9293C">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0.003214</w:t>
            </w:r>
          </w:p>
        </w:tc>
        <w:tc>
          <w:tcPr>
            <w:tcW w:w="512" w:type="pct"/>
            <w:noWrap/>
            <w:vAlign w:val="center"/>
          </w:tcPr>
          <w:p w14:paraId="16FFFBEC">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0.71</w:t>
            </w:r>
          </w:p>
        </w:tc>
      </w:tr>
      <w:tr w14:paraId="4A38F9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28D5C44">
            <w:pPr>
              <w:pStyle w:val="41"/>
              <w:rPr>
                <w:color w:val="auto"/>
                <w:highlight w:val="none"/>
              </w:rPr>
            </w:pPr>
            <w:r>
              <w:rPr>
                <w:color w:val="auto"/>
                <w:highlight w:val="none"/>
              </w:rPr>
              <w:t>7</w:t>
            </w:r>
          </w:p>
        </w:tc>
        <w:tc>
          <w:tcPr>
            <w:tcW w:w="548" w:type="pct"/>
            <w:noWrap/>
            <w:vAlign w:val="center"/>
          </w:tcPr>
          <w:p w14:paraId="3821D509">
            <w:pPr>
              <w:pStyle w:val="41"/>
              <w:rPr>
                <w:color w:val="auto"/>
                <w:highlight w:val="none"/>
              </w:rPr>
            </w:pPr>
            <w:r>
              <w:rPr>
                <w:color w:val="auto"/>
                <w:highlight w:val="none"/>
              </w:rPr>
              <w:t>150</w:t>
            </w:r>
          </w:p>
        </w:tc>
        <w:tc>
          <w:tcPr>
            <w:tcW w:w="712" w:type="pct"/>
            <w:noWrap/>
            <w:vAlign w:val="center"/>
          </w:tcPr>
          <w:p w14:paraId="389CA1E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0.00391</w:t>
            </w:r>
          </w:p>
        </w:tc>
        <w:tc>
          <w:tcPr>
            <w:tcW w:w="406" w:type="pct"/>
            <w:noWrap/>
            <w:vAlign w:val="center"/>
          </w:tcPr>
          <w:p w14:paraId="214BD07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0.87</w:t>
            </w:r>
          </w:p>
        </w:tc>
        <w:tc>
          <w:tcPr>
            <w:tcW w:w="1074" w:type="pct"/>
            <w:noWrap/>
            <w:vAlign w:val="center"/>
          </w:tcPr>
          <w:p w14:paraId="2EE8C77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0.00391</w:t>
            </w:r>
          </w:p>
        </w:tc>
        <w:tc>
          <w:tcPr>
            <w:tcW w:w="596" w:type="pct"/>
            <w:noWrap/>
            <w:vAlign w:val="center"/>
          </w:tcPr>
          <w:p w14:paraId="7B7252F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0.87</w:t>
            </w:r>
          </w:p>
        </w:tc>
        <w:tc>
          <w:tcPr>
            <w:tcW w:w="820" w:type="pct"/>
            <w:noWrap/>
            <w:vAlign w:val="center"/>
          </w:tcPr>
          <w:p w14:paraId="7358E45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0.00391</w:t>
            </w:r>
          </w:p>
        </w:tc>
        <w:tc>
          <w:tcPr>
            <w:tcW w:w="512" w:type="pct"/>
            <w:noWrap/>
            <w:vAlign w:val="center"/>
          </w:tcPr>
          <w:p w14:paraId="7996077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0.87</w:t>
            </w:r>
          </w:p>
        </w:tc>
      </w:tr>
      <w:tr w14:paraId="374E9F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535ADB72">
            <w:pPr>
              <w:pStyle w:val="41"/>
              <w:rPr>
                <w:color w:val="auto"/>
                <w:highlight w:val="none"/>
              </w:rPr>
            </w:pPr>
            <w:r>
              <w:rPr>
                <w:color w:val="auto"/>
                <w:highlight w:val="none"/>
              </w:rPr>
              <w:t>8</w:t>
            </w:r>
          </w:p>
        </w:tc>
        <w:tc>
          <w:tcPr>
            <w:tcW w:w="548" w:type="pct"/>
            <w:noWrap/>
            <w:vAlign w:val="center"/>
          </w:tcPr>
          <w:p w14:paraId="2712CB7E">
            <w:pPr>
              <w:pStyle w:val="41"/>
              <w:rPr>
                <w:color w:val="auto"/>
                <w:highlight w:val="none"/>
              </w:rPr>
            </w:pPr>
            <w:r>
              <w:rPr>
                <w:color w:val="auto"/>
                <w:highlight w:val="none"/>
              </w:rPr>
              <w:t>167</w:t>
            </w:r>
          </w:p>
        </w:tc>
        <w:tc>
          <w:tcPr>
            <w:tcW w:w="712" w:type="pct"/>
            <w:noWrap/>
            <w:vAlign w:val="center"/>
          </w:tcPr>
          <w:p w14:paraId="3526D55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0.003971</w:t>
            </w:r>
          </w:p>
        </w:tc>
        <w:tc>
          <w:tcPr>
            <w:tcW w:w="406" w:type="pct"/>
            <w:noWrap/>
            <w:vAlign w:val="center"/>
          </w:tcPr>
          <w:p w14:paraId="1817217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0.88</w:t>
            </w:r>
          </w:p>
        </w:tc>
        <w:tc>
          <w:tcPr>
            <w:tcW w:w="1074" w:type="pct"/>
            <w:noWrap/>
            <w:vAlign w:val="center"/>
          </w:tcPr>
          <w:p w14:paraId="77CC535C">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0.003971</w:t>
            </w:r>
          </w:p>
        </w:tc>
        <w:tc>
          <w:tcPr>
            <w:tcW w:w="596" w:type="pct"/>
            <w:noWrap/>
            <w:vAlign w:val="center"/>
          </w:tcPr>
          <w:p w14:paraId="4600D9C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0.88</w:t>
            </w:r>
          </w:p>
        </w:tc>
        <w:tc>
          <w:tcPr>
            <w:tcW w:w="820" w:type="pct"/>
            <w:noWrap/>
            <w:vAlign w:val="center"/>
          </w:tcPr>
          <w:p w14:paraId="16D2059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0.003971</w:t>
            </w:r>
          </w:p>
        </w:tc>
        <w:tc>
          <w:tcPr>
            <w:tcW w:w="512" w:type="pct"/>
            <w:noWrap/>
            <w:vAlign w:val="center"/>
          </w:tcPr>
          <w:p w14:paraId="64B378DE">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0.88</w:t>
            </w:r>
          </w:p>
        </w:tc>
      </w:tr>
      <w:tr w14:paraId="2BE749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D754961">
            <w:pPr>
              <w:pStyle w:val="41"/>
              <w:rPr>
                <w:color w:val="auto"/>
                <w:highlight w:val="none"/>
              </w:rPr>
            </w:pPr>
            <w:r>
              <w:rPr>
                <w:color w:val="auto"/>
                <w:highlight w:val="none"/>
              </w:rPr>
              <w:t>9</w:t>
            </w:r>
          </w:p>
        </w:tc>
        <w:tc>
          <w:tcPr>
            <w:tcW w:w="548" w:type="pct"/>
            <w:noWrap/>
            <w:vAlign w:val="center"/>
          </w:tcPr>
          <w:p w14:paraId="52FA4AA9">
            <w:pPr>
              <w:pStyle w:val="41"/>
              <w:rPr>
                <w:color w:val="auto"/>
                <w:highlight w:val="none"/>
              </w:rPr>
            </w:pPr>
            <w:r>
              <w:rPr>
                <w:color w:val="auto"/>
                <w:highlight w:val="none"/>
              </w:rPr>
              <w:t>175</w:t>
            </w:r>
          </w:p>
        </w:tc>
        <w:tc>
          <w:tcPr>
            <w:tcW w:w="712" w:type="pct"/>
            <w:noWrap/>
            <w:vAlign w:val="center"/>
          </w:tcPr>
          <w:p w14:paraId="0CB05094">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0.003961</w:t>
            </w:r>
          </w:p>
        </w:tc>
        <w:tc>
          <w:tcPr>
            <w:tcW w:w="406" w:type="pct"/>
            <w:noWrap/>
            <w:vAlign w:val="center"/>
          </w:tcPr>
          <w:p w14:paraId="4F4616B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0.88</w:t>
            </w:r>
          </w:p>
        </w:tc>
        <w:tc>
          <w:tcPr>
            <w:tcW w:w="1074" w:type="pct"/>
            <w:noWrap/>
            <w:vAlign w:val="center"/>
          </w:tcPr>
          <w:p w14:paraId="5E3B1A39">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0.003961</w:t>
            </w:r>
          </w:p>
        </w:tc>
        <w:tc>
          <w:tcPr>
            <w:tcW w:w="596" w:type="pct"/>
            <w:noWrap/>
            <w:vAlign w:val="center"/>
          </w:tcPr>
          <w:p w14:paraId="7A3C1C3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0.88</w:t>
            </w:r>
          </w:p>
        </w:tc>
        <w:tc>
          <w:tcPr>
            <w:tcW w:w="820" w:type="pct"/>
            <w:noWrap/>
            <w:vAlign w:val="center"/>
          </w:tcPr>
          <w:p w14:paraId="426C296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0.003961</w:t>
            </w:r>
          </w:p>
        </w:tc>
        <w:tc>
          <w:tcPr>
            <w:tcW w:w="512" w:type="pct"/>
            <w:noWrap/>
            <w:vAlign w:val="center"/>
          </w:tcPr>
          <w:p w14:paraId="186A0BF9">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0.88</w:t>
            </w:r>
          </w:p>
        </w:tc>
      </w:tr>
      <w:tr w14:paraId="4C702A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6463B68">
            <w:pPr>
              <w:pStyle w:val="41"/>
              <w:rPr>
                <w:color w:val="auto"/>
                <w:highlight w:val="none"/>
              </w:rPr>
            </w:pPr>
            <w:r>
              <w:rPr>
                <w:color w:val="auto"/>
                <w:highlight w:val="none"/>
              </w:rPr>
              <w:t>10</w:t>
            </w:r>
          </w:p>
        </w:tc>
        <w:tc>
          <w:tcPr>
            <w:tcW w:w="548" w:type="pct"/>
            <w:noWrap/>
            <w:vAlign w:val="center"/>
          </w:tcPr>
          <w:p w14:paraId="6A3D7BDC">
            <w:pPr>
              <w:pStyle w:val="41"/>
              <w:rPr>
                <w:color w:val="auto"/>
                <w:highlight w:val="none"/>
              </w:rPr>
            </w:pPr>
            <w:r>
              <w:rPr>
                <w:color w:val="auto"/>
                <w:highlight w:val="none"/>
              </w:rPr>
              <w:t>200</w:t>
            </w:r>
          </w:p>
        </w:tc>
        <w:tc>
          <w:tcPr>
            <w:tcW w:w="712" w:type="pct"/>
            <w:noWrap/>
            <w:vAlign w:val="center"/>
          </w:tcPr>
          <w:p w14:paraId="232E9B74">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0.003834</w:t>
            </w:r>
          </w:p>
        </w:tc>
        <w:tc>
          <w:tcPr>
            <w:tcW w:w="406" w:type="pct"/>
            <w:noWrap/>
            <w:vAlign w:val="center"/>
          </w:tcPr>
          <w:p w14:paraId="22D0002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0.85</w:t>
            </w:r>
          </w:p>
        </w:tc>
        <w:tc>
          <w:tcPr>
            <w:tcW w:w="1074" w:type="pct"/>
            <w:noWrap/>
            <w:vAlign w:val="center"/>
          </w:tcPr>
          <w:p w14:paraId="5CD7A71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0.003834</w:t>
            </w:r>
          </w:p>
        </w:tc>
        <w:tc>
          <w:tcPr>
            <w:tcW w:w="596" w:type="pct"/>
            <w:noWrap/>
            <w:vAlign w:val="center"/>
          </w:tcPr>
          <w:p w14:paraId="71F90D9E">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0.85</w:t>
            </w:r>
          </w:p>
        </w:tc>
        <w:tc>
          <w:tcPr>
            <w:tcW w:w="820" w:type="pct"/>
            <w:noWrap/>
            <w:vAlign w:val="center"/>
          </w:tcPr>
          <w:p w14:paraId="595BFD9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0.003834</w:t>
            </w:r>
          </w:p>
        </w:tc>
        <w:tc>
          <w:tcPr>
            <w:tcW w:w="512" w:type="pct"/>
            <w:noWrap/>
            <w:vAlign w:val="center"/>
          </w:tcPr>
          <w:p w14:paraId="5DFB9A02">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0.85</w:t>
            </w:r>
          </w:p>
        </w:tc>
      </w:tr>
      <w:tr w14:paraId="68B46C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45B96E87">
            <w:pPr>
              <w:pStyle w:val="41"/>
              <w:rPr>
                <w:color w:val="auto"/>
                <w:highlight w:val="none"/>
              </w:rPr>
            </w:pPr>
            <w:r>
              <w:rPr>
                <w:color w:val="auto"/>
                <w:highlight w:val="none"/>
              </w:rPr>
              <w:t>11</w:t>
            </w:r>
          </w:p>
        </w:tc>
        <w:tc>
          <w:tcPr>
            <w:tcW w:w="548" w:type="pct"/>
            <w:noWrap/>
            <w:vAlign w:val="center"/>
          </w:tcPr>
          <w:p w14:paraId="0F824DA4">
            <w:pPr>
              <w:pStyle w:val="41"/>
              <w:rPr>
                <w:color w:val="auto"/>
                <w:highlight w:val="none"/>
              </w:rPr>
            </w:pPr>
            <w:r>
              <w:rPr>
                <w:color w:val="auto"/>
                <w:highlight w:val="none"/>
              </w:rPr>
              <w:t>225</w:t>
            </w:r>
          </w:p>
        </w:tc>
        <w:tc>
          <w:tcPr>
            <w:tcW w:w="712" w:type="pct"/>
            <w:noWrap/>
            <w:vAlign w:val="center"/>
          </w:tcPr>
          <w:p w14:paraId="23990B48">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0.003629</w:t>
            </w:r>
          </w:p>
        </w:tc>
        <w:tc>
          <w:tcPr>
            <w:tcW w:w="406" w:type="pct"/>
            <w:noWrap/>
            <w:vAlign w:val="center"/>
          </w:tcPr>
          <w:p w14:paraId="72A6F4C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0.81</w:t>
            </w:r>
          </w:p>
        </w:tc>
        <w:tc>
          <w:tcPr>
            <w:tcW w:w="1074" w:type="pct"/>
            <w:noWrap/>
            <w:vAlign w:val="center"/>
          </w:tcPr>
          <w:p w14:paraId="2726799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0.003629</w:t>
            </w:r>
          </w:p>
        </w:tc>
        <w:tc>
          <w:tcPr>
            <w:tcW w:w="596" w:type="pct"/>
            <w:noWrap/>
            <w:vAlign w:val="center"/>
          </w:tcPr>
          <w:p w14:paraId="57BB7D7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0.81</w:t>
            </w:r>
          </w:p>
        </w:tc>
        <w:tc>
          <w:tcPr>
            <w:tcW w:w="820" w:type="pct"/>
            <w:noWrap/>
            <w:vAlign w:val="center"/>
          </w:tcPr>
          <w:p w14:paraId="34B1405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0.003629</w:t>
            </w:r>
          </w:p>
        </w:tc>
        <w:tc>
          <w:tcPr>
            <w:tcW w:w="512" w:type="pct"/>
            <w:noWrap/>
            <w:vAlign w:val="center"/>
          </w:tcPr>
          <w:p w14:paraId="19486B9E">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0.81</w:t>
            </w:r>
          </w:p>
        </w:tc>
      </w:tr>
      <w:tr w14:paraId="06CBB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7BA6951A">
            <w:pPr>
              <w:pStyle w:val="41"/>
              <w:rPr>
                <w:color w:val="auto"/>
                <w:highlight w:val="none"/>
              </w:rPr>
            </w:pPr>
            <w:r>
              <w:rPr>
                <w:color w:val="auto"/>
                <w:highlight w:val="none"/>
              </w:rPr>
              <w:t>12</w:t>
            </w:r>
          </w:p>
        </w:tc>
        <w:tc>
          <w:tcPr>
            <w:tcW w:w="548" w:type="pct"/>
            <w:noWrap/>
            <w:vAlign w:val="center"/>
          </w:tcPr>
          <w:p w14:paraId="50CACCFE">
            <w:pPr>
              <w:pStyle w:val="41"/>
              <w:rPr>
                <w:color w:val="auto"/>
                <w:highlight w:val="none"/>
              </w:rPr>
            </w:pPr>
            <w:r>
              <w:rPr>
                <w:color w:val="auto"/>
                <w:highlight w:val="none"/>
              </w:rPr>
              <w:t>250</w:t>
            </w:r>
          </w:p>
        </w:tc>
        <w:tc>
          <w:tcPr>
            <w:tcW w:w="712" w:type="pct"/>
            <w:noWrap/>
            <w:vAlign w:val="center"/>
          </w:tcPr>
          <w:p w14:paraId="289B51FC">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0.003396</w:t>
            </w:r>
          </w:p>
        </w:tc>
        <w:tc>
          <w:tcPr>
            <w:tcW w:w="406" w:type="pct"/>
            <w:noWrap/>
            <w:vAlign w:val="center"/>
          </w:tcPr>
          <w:p w14:paraId="0FED2FA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0.75</w:t>
            </w:r>
          </w:p>
        </w:tc>
        <w:tc>
          <w:tcPr>
            <w:tcW w:w="1074" w:type="pct"/>
            <w:noWrap/>
            <w:vAlign w:val="center"/>
          </w:tcPr>
          <w:p w14:paraId="0AA3144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0.003396</w:t>
            </w:r>
          </w:p>
        </w:tc>
        <w:tc>
          <w:tcPr>
            <w:tcW w:w="596" w:type="pct"/>
            <w:noWrap/>
            <w:vAlign w:val="center"/>
          </w:tcPr>
          <w:p w14:paraId="31412D5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0.75</w:t>
            </w:r>
          </w:p>
        </w:tc>
        <w:tc>
          <w:tcPr>
            <w:tcW w:w="820" w:type="pct"/>
            <w:noWrap/>
            <w:vAlign w:val="center"/>
          </w:tcPr>
          <w:p w14:paraId="624A3A2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0.003396</w:t>
            </w:r>
          </w:p>
        </w:tc>
        <w:tc>
          <w:tcPr>
            <w:tcW w:w="512" w:type="pct"/>
            <w:noWrap/>
            <w:vAlign w:val="center"/>
          </w:tcPr>
          <w:p w14:paraId="57D6DD3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0.75</w:t>
            </w:r>
          </w:p>
        </w:tc>
      </w:tr>
      <w:tr w14:paraId="0CDC12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92B917A">
            <w:pPr>
              <w:pStyle w:val="41"/>
              <w:rPr>
                <w:color w:val="auto"/>
                <w:highlight w:val="none"/>
              </w:rPr>
            </w:pPr>
            <w:r>
              <w:rPr>
                <w:color w:val="auto"/>
                <w:highlight w:val="none"/>
              </w:rPr>
              <w:t>13</w:t>
            </w:r>
          </w:p>
        </w:tc>
        <w:tc>
          <w:tcPr>
            <w:tcW w:w="548" w:type="pct"/>
            <w:noWrap/>
            <w:vAlign w:val="center"/>
          </w:tcPr>
          <w:p w14:paraId="37334B0D">
            <w:pPr>
              <w:pStyle w:val="41"/>
              <w:rPr>
                <w:color w:val="auto"/>
                <w:highlight w:val="none"/>
              </w:rPr>
            </w:pPr>
            <w:r>
              <w:rPr>
                <w:color w:val="auto"/>
                <w:highlight w:val="none"/>
              </w:rPr>
              <w:t>275</w:t>
            </w:r>
          </w:p>
        </w:tc>
        <w:tc>
          <w:tcPr>
            <w:tcW w:w="712" w:type="pct"/>
            <w:noWrap/>
            <w:vAlign w:val="center"/>
          </w:tcPr>
          <w:p w14:paraId="4BA2612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0.003162</w:t>
            </w:r>
          </w:p>
        </w:tc>
        <w:tc>
          <w:tcPr>
            <w:tcW w:w="406" w:type="pct"/>
            <w:noWrap/>
            <w:vAlign w:val="center"/>
          </w:tcPr>
          <w:p w14:paraId="3F11775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0.7</w:t>
            </w:r>
          </w:p>
        </w:tc>
        <w:tc>
          <w:tcPr>
            <w:tcW w:w="1074" w:type="pct"/>
            <w:noWrap/>
            <w:vAlign w:val="center"/>
          </w:tcPr>
          <w:p w14:paraId="76BF685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0.003162</w:t>
            </w:r>
          </w:p>
        </w:tc>
        <w:tc>
          <w:tcPr>
            <w:tcW w:w="596" w:type="pct"/>
            <w:noWrap/>
            <w:vAlign w:val="center"/>
          </w:tcPr>
          <w:p w14:paraId="11D2B27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0.7</w:t>
            </w:r>
          </w:p>
        </w:tc>
        <w:tc>
          <w:tcPr>
            <w:tcW w:w="820" w:type="pct"/>
            <w:noWrap/>
            <w:vAlign w:val="center"/>
          </w:tcPr>
          <w:p w14:paraId="7427392E">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0.003162</w:t>
            </w:r>
          </w:p>
        </w:tc>
        <w:tc>
          <w:tcPr>
            <w:tcW w:w="512" w:type="pct"/>
            <w:noWrap/>
            <w:vAlign w:val="center"/>
          </w:tcPr>
          <w:p w14:paraId="307E936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0.7</w:t>
            </w:r>
          </w:p>
        </w:tc>
      </w:tr>
      <w:tr w14:paraId="70D86E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0488509E">
            <w:pPr>
              <w:pStyle w:val="41"/>
              <w:rPr>
                <w:color w:val="auto"/>
                <w:highlight w:val="none"/>
              </w:rPr>
            </w:pPr>
            <w:r>
              <w:rPr>
                <w:color w:val="auto"/>
                <w:highlight w:val="none"/>
              </w:rPr>
              <w:t>14</w:t>
            </w:r>
          </w:p>
        </w:tc>
        <w:tc>
          <w:tcPr>
            <w:tcW w:w="548" w:type="pct"/>
            <w:noWrap/>
            <w:vAlign w:val="center"/>
          </w:tcPr>
          <w:p w14:paraId="2B9B8794">
            <w:pPr>
              <w:pStyle w:val="41"/>
              <w:rPr>
                <w:color w:val="auto"/>
                <w:highlight w:val="none"/>
              </w:rPr>
            </w:pPr>
            <w:r>
              <w:rPr>
                <w:color w:val="auto"/>
                <w:highlight w:val="none"/>
              </w:rPr>
              <w:t>300</w:t>
            </w:r>
          </w:p>
        </w:tc>
        <w:tc>
          <w:tcPr>
            <w:tcW w:w="712" w:type="pct"/>
            <w:noWrap/>
            <w:vAlign w:val="center"/>
          </w:tcPr>
          <w:p w14:paraId="50183D2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0.002939</w:t>
            </w:r>
          </w:p>
        </w:tc>
        <w:tc>
          <w:tcPr>
            <w:tcW w:w="406" w:type="pct"/>
            <w:noWrap/>
            <w:vAlign w:val="center"/>
          </w:tcPr>
          <w:p w14:paraId="6289A62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0.65</w:t>
            </w:r>
          </w:p>
        </w:tc>
        <w:tc>
          <w:tcPr>
            <w:tcW w:w="1074" w:type="pct"/>
            <w:noWrap/>
            <w:vAlign w:val="center"/>
          </w:tcPr>
          <w:p w14:paraId="10B46B6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0.002939</w:t>
            </w:r>
          </w:p>
        </w:tc>
        <w:tc>
          <w:tcPr>
            <w:tcW w:w="596" w:type="pct"/>
            <w:noWrap/>
            <w:vAlign w:val="center"/>
          </w:tcPr>
          <w:p w14:paraId="5E193F6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0.65</w:t>
            </w:r>
          </w:p>
        </w:tc>
        <w:tc>
          <w:tcPr>
            <w:tcW w:w="820" w:type="pct"/>
            <w:noWrap/>
            <w:vAlign w:val="center"/>
          </w:tcPr>
          <w:p w14:paraId="0867E8D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0.002939</w:t>
            </w:r>
          </w:p>
        </w:tc>
        <w:tc>
          <w:tcPr>
            <w:tcW w:w="512" w:type="pct"/>
            <w:noWrap/>
            <w:vAlign w:val="center"/>
          </w:tcPr>
          <w:p w14:paraId="30619A3C">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0.65</w:t>
            </w:r>
          </w:p>
        </w:tc>
      </w:tr>
      <w:tr w14:paraId="4766B9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7E71077">
            <w:pPr>
              <w:pStyle w:val="41"/>
              <w:rPr>
                <w:color w:val="auto"/>
                <w:highlight w:val="none"/>
              </w:rPr>
            </w:pPr>
            <w:r>
              <w:rPr>
                <w:color w:val="auto"/>
                <w:highlight w:val="none"/>
              </w:rPr>
              <w:t>15</w:t>
            </w:r>
          </w:p>
        </w:tc>
        <w:tc>
          <w:tcPr>
            <w:tcW w:w="548" w:type="pct"/>
            <w:noWrap/>
            <w:vAlign w:val="center"/>
          </w:tcPr>
          <w:p w14:paraId="5D528160">
            <w:pPr>
              <w:pStyle w:val="41"/>
              <w:rPr>
                <w:color w:val="auto"/>
                <w:highlight w:val="none"/>
              </w:rPr>
            </w:pPr>
            <w:r>
              <w:rPr>
                <w:color w:val="auto"/>
                <w:highlight w:val="none"/>
              </w:rPr>
              <w:t>325</w:t>
            </w:r>
          </w:p>
        </w:tc>
        <w:tc>
          <w:tcPr>
            <w:tcW w:w="712" w:type="pct"/>
            <w:noWrap/>
            <w:vAlign w:val="center"/>
          </w:tcPr>
          <w:p w14:paraId="403D1CE8">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0.002732</w:t>
            </w:r>
          </w:p>
        </w:tc>
        <w:tc>
          <w:tcPr>
            <w:tcW w:w="406" w:type="pct"/>
            <w:noWrap/>
            <w:vAlign w:val="center"/>
          </w:tcPr>
          <w:p w14:paraId="04B9374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0.61</w:t>
            </w:r>
          </w:p>
        </w:tc>
        <w:tc>
          <w:tcPr>
            <w:tcW w:w="1074" w:type="pct"/>
            <w:noWrap/>
            <w:vAlign w:val="center"/>
          </w:tcPr>
          <w:p w14:paraId="4C9B73D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0.002732</w:t>
            </w:r>
          </w:p>
        </w:tc>
        <w:tc>
          <w:tcPr>
            <w:tcW w:w="596" w:type="pct"/>
            <w:noWrap/>
            <w:vAlign w:val="center"/>
          </w:tcPr>
          <w:p w14:paraId="55986D1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0.61</w:t>
            </w:r>
          </w:p>
        </w:tc>
        <w:tc>
          <w:tcPr>
            <w:tcW w:w="820" w:type="pct"/>
            <w:noWrap/>
            <w:vAlign w:val="center"/>
          </w:tcPr>
          <w:p w14:paraId="298BE78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0.002732</w:t>
            </w:r>
          </w:p>
        </w:tc>
        <w:tc>
          <w:tcPr>
            <w:tcW w:w="512" w:type="pct"/>
            <w:noWrap/>
            <w:vAlign w:val="center"/>
          </w:tcPr>
          <w:p w14:paraId="6D733212">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0.61</w:t>
            </w:r>
          </w:p>
        </w:tc>
      </w:tr>
      <w:tr w14:paraId="518D7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6B1C7E53">
            <w:pPr>
              <w:pStyle w:val="41"/>
              <w:rPr>
                <w:color w:val="auto"/>
                <w:highlight w:val="none"/>
              </w:rPr>
            </w:pPr>
            <w:r>
              <w:rPr>
                <w:color w:val="auto"/>
                <w:highlight w:val="none"/>
              </w:rPr>
              <w:t>16</w:t>
            </w:r>
          </w:p>
        </w:tc>
        <w:tc>
          <w:tcPr>
            <w:tcW w:w="548" w:type="pct"/>
            <w:noWrap/>
            <w:vAlign w:val="center"/>
          </w:tcPr>
          <w:p w14:paraId="0506300E">
            <w:pPr>
              <w:pStyle w:val="41"/>
              <w:rPr>
                <w:color w:val="auto"/>
                <w:highlight w:val="none"/>
              </w:rPr>
            </w:pPr>
            <w:r>
              <w:rPr>
                <w:color w:val="auto"/>
                <w:highlight w:val="none"/>
              </w:rPr>
              <w:t>350</w:t>
            </w:r>
          </w:p>
        </w:tc>
        <w:tc>
          <w:tcPr>
            <w:tcW w:w="712" w:type="pct"/>
            <w:noWrap/>
            <w:vAlign w:val="center"/>
          </w:tcPr>
          <w:p w14:paraId="39545AE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0.002542</w:t>
            </w:r>
          </w:p>
        </w:tc>
        <w:tc>
          <w:tcPr>
            <w:tcW w:w="406" w:type="pct"/>
            <w:noWrap/>
            <w:vAlign w:val="center"/>
          </w:tcPr>
          <w:p w14:paraId="0A3C221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0.56</w:t>
            </w:r>
          </w:p>
        </w:tc>
        <w:tc>
          <w:tcPr>
            <w:tcW w:w="1074" w:type="pct"/>
            <w:noWrap/>
            <w:vAlign w:val="center"/>
          </w:tcPr>
          <w:p w14:paraId="3B5D07E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0.002542</w:t>
            </w:r>
          </w:p>
        </w:tc>
        <w:tc>
          <w:tcPr>
            <w:tcW w:w="596" w:type="pct"/>
            <w:noWrap/>
            <w:vAlign w:val="center"/>
          </w:tcPr>
          <w:p w14:paraId="154FCCFE">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0.56</w:t>
            </w:r>
          </w:p>
        </w:tc>
        <w:tc>
          <w:tcPr>
            <w:tcW w:w="820" w:type="pct"/>
            <w:noWrap/>
            <w:vAlign w:val="center"/>
          </w:tcPr>
          <w:p w14:paraId="2256036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0.002542</w:t>
            </w:r>
          </w:p>
        </w:tc>
        <w:tc>
          <w:tcPr>
            <w:tcW w:w="512" w:type="pct"/>
            <w:noWrap/>
            <w:vAlign w:val="center"/>
          </w:tcPr>
          <w:p w14:paraId="612EBBFE">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0.56</w:t>
            </w:r>
          </w:p>
        </w:tc>
      </w:tr>
      <w:tr w14:paraId="2E7861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3EDB8EF8">
            <w:pPr>
              <w:pStyle w:val="41"/>
              <w:rPr>
                <w:color w:val="auto"/>
                <w:highlight w:val="none"/>
              </w:rPr>
            </w:pPr>
            <w:r>
              <w:rPr>
                <w:color w:val="auto"/>
                <w:highlight w:val="none"/>
              </w:rPr>
              <w:t>17</w:t>
            </w:r>
          </w:p>
        </w:tc>
        <w:tc>
          <w:tcPr>
            <w:tcW w:w="548" w:type="pct"/>
            <w:noWrap/>
            <w:vAlign w:val="center"/>
          </w:tcPr>
          <w:p w14:paraId="2BFBC8F7">
            <w:pPr>
              <w:pStyle w:val="41"/>
              <w:rPr>
                <w:color w:val="auto"/>
                <w:highlight w:val="none"/>
              </w:rPr>
            </w:pPr>
            <w:r>
              <w:rPr>
                <w:color w:val="auto"/>
                <w:highlight w:val="none"/>
              </w:rPr>
              <w:t>375</w:t>
            </w:r>
          </w:p>
        </w:tc>
        <w:tc>
          <w:tcPr>
            <w:tcW w:w="712" w:type="pct"/>
            <w:noWrap/>
            <w:vAlign w:val="center"/>
          </w:tcPr>
          <w:p w14:paraId="6A7FCD5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0.00237</w:t>
            </w:r>
          </w:p>
        </w:tc>
        <w:tc>
          <w:tcPr>
            <w:tcW w:w="406" w:type="pct"/>
            <w:noWrap/>
            <w:vAlign w:val="center"/>
          </w:tcPr>
          <w:p w14:paraId="6406FAAE">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0.53</w:t>
            </w:r>
          </w:p>
        </w:tc>
        <w:tc>
          <w:tcPr>
            <w:tcW w:w="1074" w:type="pct"/>
            <w:noWrap/>
            <w:vAlign w:val="center"/>
          </w:tcPr>
          <w:p w14:paraId="3F24585E">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0.00237</w:t>
            </w:r>
          </w:p>
        </w:tc>
        <w:tc>
          <w:tcPr>
            <w:tcW w:w="596" w:type="pct"/>
            <w:noWrap/>
            <w:vAlign w:val="center"/>
          </w:tcPr>
          <w:p w14:paraId="1A069F3C">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0.53</w:t>
            </w:r>
          </w:p>
        </w:tc>
        <w:tc>
          <w:tcPr>
            <w:tcW w:w="820" w:type="pct"/>
            <w:noWrap/>
            <w:vAlign w:val="center"/>
          </w:tcPr>
          <w:p w14:paraId="6C1A6432">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0.00237</w:t>
            </w:r>
          </w:p>
        </w:tc>
        <w:tc>
          <w:tcPr>
            <w:tcW w:w="512" w:type="pct"/>
            <w:noWrap/>
            <w:vAlign w:val="center"/>
          </w:tcPr>
          <w:p w14:paraId="3DA594D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0.53</w:t>
            </w:r>
          </w:p>
        </w:tc>
      </w:tr>
      <w:tr w14:paraId="7E5F81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5342C101">
            <w:pPr>
              <w:pStyle w:val="41"/>
              <w:rPr>
                <w:color w:val="auto"/>
                <w:highlight w:val="none"/>
              </w:rPr>
            </w:pPr>
            <w:r>
              <w:rPr>
                <w:color w:val="auto"/>
                <w:highlight w:val="none"/>
              </w:rPr>
              <w:t>18</w:t>
            </w:r>
          </w:p>
        </w:tc>
        <w:tc>
          <w:tcPr>
            <w:tcW w:w="548" w:type="pct"/>
            <w:noWrap/>
            <w:vAlign w:val="center"/>
          </w:tcPr>
          <w:p w14:paraId="69F5DF56">
            <w:pPr>
              <w:pStyle w:val="41"/>
              <w:rPr>
                <w:color w:val="auto"/>
                <w:highlight w:val="none"/>
              </w:rPr>
            </w:pPr>
            <w:r>
              <w:rPr>
                <w:color w:val="auto"/>
                <w:highlight w:val="none"/>
              </w:rPr>
              <w:t>400</w:t>
            </w:r>
          </w:p>
        </w:tc>
        <w:tc>
          <w:tcPr>
            <w:tcW w:w="712" w:type="pct"/>
            <w:noWrap/>
            <w:vAlign w:val="center"/>
          </w:tcPr>
          <w:p w14:paraId="1890746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0.002214</w:t>
            </w:r>
          </w:p>
        </w:tc>
        <w:tc>
          <w:tcPr>
            <w:tcW w:w="406" w:type="pct"/>
            <w:noWrap/>
            <w:vAlign w:val="center"/>
          </w:tcPr>
          <w:p w14:paraId="0A853D3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0.49</w:t>
            </w:r>
          </w:p>
        </w:tc>
        <w:tc>
          <w:tcPr>
            <w:tcW w:w="1074" w:type="pct"/>
            <w:noWrap/>
            <w:vAlign w:val="center"/>
          </w:tcPr>
          <w:p w14:paraId="4192AF8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0.002214</w:t>
            </w:r>
          </w:p>
        </w:tc>
        <w:tc>
          <w:tcPr>
            <w:tcW w:w="596" w:type="pct"/>
            <w:noWrap/>
            <w:vAlign w:val="center"/>
          </w:tcPr>
          <w:p w14:paraId="47D2EA7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0.49</w:t>
            </w:r>
          </w:p>
        </w:tc>
        <w:tc>
          <w:tcPr>
            <w:tcW w:w="820" w:type="pct"/>
            <w:noWrap/>
            <w:vAlign w:val="center"/>
          </w:tcPr>
          <w:p w14:paraId="45CED40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0.002214</w:t>
            </w:r>
          </w:p>
        </w:tc>
        <w:tc>
          <w:tcPr>
            <w:tcW w:w="512" w:type="pct"/>
            <w:noWrap/>
            <w:vAlign w:val="center"/>
          </w:tcPr>
          <w:p w14:paraId="1E03ED9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0.49</w:t>
            </w:r>
          </w:p>
        </w:tc>
      </w:tr>
      <w:tr w14:paraId="33CA0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69617C8A">
            <w:pPr>
              <w:pStyle w:val="41"/>
              <w:rPr>
                <w:color w:val="auto"/>
                <w:highlight w:val="none"/>
              </w:rPr>
            </w:pPr>
            <w:r>
              <w:rPr>
                <w:color w:val="auto"/>
                <w:highlight w:val="none"/>
              </w:rPr>
              <w:t>19</w:t>
            </w:r>
          </w:p>
        </w:tc>
        <w:tc>
          <w:tcPr>
            <w:tcW w:w="548" w:type="pct"/>
            <w:noWrap/>
            <w:vAlign w:val="center"/>
          </w:tcPr>
          <w:p w14:paraId="44E01029">
            <w:pPr>
              <w:pStyle w:val="41"/>
              <w:rPr>
                <w:color w:val="auto"/>
                <w:highlight w:val="none"/>
              </w:rPr>
            </w:pPr>
            <w:r>
              <w:rPr>
                <w:color w:val="auto"/>
                <w:highlight w:val="none"/>
              </w:rPr>
              <w:t>425</w:t>
            </w:r>
          </w:p>
        </w:tc>
        <w:tc>
          <w:tcPr>
            <w:tcW w:w="712" w:type="pct"/>
            <w:noWrap/>
            <w:vAlign w:val="center"/>
          </w:tcPr>
          <w:p w14:paraId="5FDD550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0.002073</w:t>
            </w:r>
          </w:p>
        </w:tc>
        <w:tc>
          <w:tcPr>
            <w:tcW w:w="406" w:type="pct"/>
            <w:noWrap/>
            <w:vAlign w:val="center"/>
          </w:tcPr>
          <w:p w14:paraId="62C4A04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0.46</w:t>
            </w:r>
          </w:p>
        </w:tc>
        <w:tc>
          <w:tcPr>
            <w:tcW w:w="1074" w:type="pct"/>
            <w:noWrap/>
            <w:vAlign w:val="center"/>
          </w:tcPr>
          <w:p w14:paraId="114D1AE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0.002073</w:t>
            </w:r>
          </w:p>
        </w:tc>
        <w:tc>
          <w:tcPr>
            <w:tcW w:w="596" w:type="pct"/>
            <w:noWrap/>
            <w:vAlign w:val="center"/>
          </w:tcPr>
          <w:p w14:paraId="49A02CB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0.46</w:t>
            </w:r>
          </w:p>
        </w:tc>
        <w:tc>
          <w:tcPr>
            <w:tcW w:w="820" w:type="pct"/>
            <w:noWrap/>
            <w:vAlign w:val="center"/>
          </w:tcPr>
          <w:p w14:paraId="11287DE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0.002073</w:t>
            </w:r>
          </w:p>
        </w:tc>
        <w:tc>
          <w:tcPr>
            <w:tcW w:w="512" w:type="pct"/>
            <w:noWrap/>
            <w:vAlign w:val="center"/>
          </w:tcPr>
          <w:p w14:paraId="3BE5BB8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0.46</w:t>
            </w:r>
          </w:p>
        </w:tc>
      </w:tr>
      <w:tr w14:paraId="2AA9E3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D2EEC1C">
            <w:pPr>
              <w:pStyle w:val="41"/>
              <w:rPr>
                <w:color w:val="auto"/>
                <w:highlight w:val="none"/>
              </w:rPr>
            </w:pPr>
            <w:r>
              <w:rPr>
                <w:color w:val="auto"/>
                <w:highlight w:val="none"/>
              </w:rPr>
              <w:t>20</w:t>
            </w:r>
          </w:p>
        </w:tc>
        <w:tc>
          <w:tcPr>
            <w:tcW w:w="548" w:type="pct"/>
            <w:noWrap/>
            <w:vAlign w:val="center"/>
          </w:tcPr>
          <w:p w14:paraId="1BD3C02B">
            <w:pPr>
              <w:pStyle w:val="41"/>
              <w:rPr>
                <w:color w:val="auto"/>
                <w:highlight w:val="none"/>
              </w:rPr>
            </w:pPr>
            <w:r>
              <w:rPr>
                <w:color w:val="auto"/>
                <w:highlight w:val="none"/>
              </w:rPr>
              <w:t>450</w:t>
            </w:r>
          </w:p>
        </w:tc>
        <w:tc>
          <w:tcPr>
            <w:tcW w:w="712" w:type="pct"/>
            <w:noWrap/>
            <w:vAlign w:val="center"/>
          </w:tcPr>
          <w:p w14:paraId="71C1844E">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0.001944</w:t>
            </w:r>
          </w:p>
        </w:tc>
        <w:tc>
          <w:tcPr>
            <w:tcW w:w="406" w:type="pct"/>
            <w:noWrap/>
            <w:vAlign w:val="center"/>
          </w:tcPr>
          <w:p w14:paraId="32C03D38">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0.43</w:t>
            </w:r>
          </w:p>
        </w:tc>
        <w:tc>
          <w:tcPr>
            <w:tcW w:w="1074" w:type="pct"/>
            <w:noWrap/>
            <w:vAlign w:val="center"/>
          </w:tcPr>
          <w:p w14:paraId="64FE50C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0.001944</w:t>
            </w:r>
          </w:p>
        </w:tc>
        <w:tc>
          <w:tcPr>
            <w:tcW w:w="596" w:type="pct"/>
            <w:noWrap/>
            <w:vAlign w:val="center"/>
          </w:tcPr>
          <w:p w14:paraId="35EA364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0.43</w:t>
            </w:r>
          </w:p>
        </w:tc>
        <w:tc>
          <w:tcPr>
            <w:tcW w:w="820" w:type="pct"/>
            <w:noWrap/>
            <w:vAlign w:val="center"/>
          </w:tcPr>
          <w:p w14:paraId="535ADB6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0.001944</w:t>
            </w:r>
          </w:p>
        </w:tc>
        <w:tc>
          <w:tcPr>
            <w:tcW w:w="512" w:type="pct"/>
            <w:noWrap/>
            <w:vAlign w:val="center"/>
          </w:tcPr>
          <w:p w14:paraId="5994550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0.43</w:t>
            </w:r>
          </w:p>
        </w:tc>
      </w:tr>
      <w:tr w14:paraId="55A4D7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340E0939">
            <w:pPr>
              <w:pStyle w:val="41"/>
              <w:rPr>
                <w:color w:val="auto"/>
                <w:highlight w:val="none"/>
              </w:rPr>
            </w:pPr>
            <w:r>
              <w:rPr>
                <w:color w:val="auto"/>
                <w:highlight w:val="none"/>
              </w:rPr>
              <w:t>21</w:t>
            </w:r>
          </w:p>
        </w:tc>
        <w:tc>
          <w:tcPr>
            <w:tcW w:w="548" w:type="pct"/>
            <w:noWrap/>
            <w:vAlign w:val="center"/>
          </w:tcPr>
          <w:p w14:paraId="534F2EB3">
            <w:pPr>
              <w:pStyle w:val="41"/>
              <w:rPr>
                <w:color w:val="auto"/>
                <w:highlight w:val="none"/>
              </w:rPr>
            </w:pPr>
            <w:r>
              <w:rPr>
                <w:color w:val="auto"/>
                <w:highlight w:val="none"/>
              </w:rPr>
              <w:t>475</w:t>
            </w:r>
          </w:p>
        </w:tc>
        <w:tc>
          <w:tcPr>
            <w:tcW w:w="712" w:type="pct"/>
            <w:noWrap/>
            <w:vAlign w:val="center"/>
          </w:tcPr>
          <w:p w14:paraId="6D0CEB2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0.001828</w:t>
            </w:r>
          </w:p>
        </w:tc>
        <w:tc>
          <w:tcPr>
            <w:tcW w:w="406" w:type="pct"/>
            <w:noWrap/>
            <w:vAlign w:val="center"/>
          </w:tcPr>
          <w:p w14:paraId="0EA0B8E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0.41</w:t>
            </w:r>
          </w:p>
        </w:tc>
        <w:tc>
          <w:tcPr>
            <w:tcW w:w="1074" w:type="pct"/>
            <w:noWrap/>
            <w:vAlign w:val="center"/>
          </w:tcPr>
          <w:p w14:paraId="3621796E">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0.001828</w:t>
            </w:r>
          </w:p>
        </w:tc>
        <w:tc>
          <w:tcPr>
            <w:tcW w:w="596" w:type="pct"/>
            <w:noWrap/>
            <w:vAlign w:val="center"/>
          </w:tcPr>
          <w:p w14:paraId="150B537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0.41</w:t>
            </w:r>
          </w:p>
        </w:tc>
        <w:tc>
          <w:tcPr>
            <w:tcW w:w="820" w:type="pct"/>
            <w:noWrap/>
            <w:vAlign w:val="center"/>
          </w:tcPr>
          <w:p w14:paraId="7952E12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0.001828</w:t>
            </w:r>
          </w:p>
        </w:tc>
        <w:tc>
          <w:tcPr>
            <w:tcW w:w="512" w:type="pct"/>
            <w:noWrap/>
            <w:vAlign w:val="center"/>
          </w:tcPr>
          <w:p w14:paraId="64304AD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0.41</w:t>
            </w:r>
          </w:p>
        </w:tc>
      </w:tr>
      <w:tr w14:paraId="624DBB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39D622FF">
            <w:pPr>
              <w:pStyle w:val="41"/>
              <w:rPr>
                <w:color w:val="auto"/>
                <w:highlight w:val="none"/>
              </w:rPr>
            </w:pPr>
            <w:r>
              <w:rPr>
                <w:color w:val="auto"/>
                <w:highlight w:val="none"/>
              </w:rPr>
              <w:t>22</w:t>
            </w:r>
          </w:p>
        </w:tc>
        <w:tc>
          <w:tcPr>
            <w:tcW w:w="548" w:type="pct"/>
            <w:noWrap/>
            <w:vAlign w:val="center"/>
          </w:tcPr>
          <w:p w14:paraId="2A1636C3">
            <w:pPr>
              <w:pStyle w:val="41"/>
              <w:rPr>
                <w:color w:val="auto"/>
                <w:highlight w:val="none"/>
              </w:rPr>
            </w:pPr>
            <w:r>
              <w:rPr>
                <w:color w:val="auto"/>
                <w:highlight w:val="none"/>
              </w:rPr>
              <w:t>500</w:t>
            </w:r>
          </w:p>
        </w:tc>
        <w:tc>
          <w:tcPr>
            <w:tcW w:w="712" w:type="pct"/>
            <w:noWrap/>
            <w:vAlign w:val="center"/>
          </w:tcPr>
          <w:p w14:paraId="006341C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0.001723</w:t>
            </w:r>
          </w:p>
        </w:tc>
        <w:tc>
          <w:tcPr>
            <w:tcW w:w="406" w:type="pct"/>
            <w:noWrap/>
            <w:vAlign w:val="center"/>
          </w:tcPr>
          <w:p w14:paraId="2963140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0.38</w:t>
            </w:r>
          </w:p>
        </w:tc>
        <w:tc>
          <w:tcPr>
            <w:tcW w:w="1074" w:type="pct"/>
            <w:noWrap/>
            <w:vAlign w:val="center"/>
          </w:tcPr>
          <w:p w14:paraId="36BE525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0.001723</w:t>
            </w:r>
          </w:p>
        </w:tc>
        <w:tc>
          <w:tcPr>
            <w:tcW w:w="596" w:type="pct"/>
            <w:noWrap/>
            <w:vAlign w:val="center"/>
          </w:tcPr>
          <w:p w14:paraId="586D363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0.38</w:t>
            </w:r>
          </w:p>
        </w:tc>
        <w:tc>
          <w:tcPr>
            <w:tcW w:w="820" w:type="pct"/>
            <w:noWrap/>
            <w:vAlign w:val="center"/>
          </w:tcPr>
          <w:p w14:paraId="5EA394F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0.001723</w:t>
            </w:r>
          </w:p>
        </w:tc>
        <w:tc>
          <w:tcPr>
            <w:tcW w:w="512" w:type="pct"/>
            <w:noWrap/>
            <w:vAlign w:val="center"/>
          </w:tcPr>
          <w:p w14:paraId="6D77476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0.38</w:t>
            </w:r>
          </w:p>
        </w:tc>
      </w:tr>
      <w:tr w14:paraId="56C456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4B7EAFD">
            <w:pPr>
              <w:pStyle w:val="41"/>
              <w:rPr>
                <w:color w:val="auto"/>
                <w:highlight w:val="none"/>
              </w:rPr>
            </w:pPr>
            <w:r>
              <w:rPr>
                <w:color w:val="auto"/>
                <w:highlight w:val="none"/>
              </w:rPr>
              <w:t>23</w:t>
            </w:r>
          </w:p>
        </w:tc>
        <w:tc>
          <w:tcPr>
            <w:tcW w:w="548" w:type="pct"/>
            <w:noWrap/>
            <w:vAlign w:val="center"/>
          </w:tcPr>
          <w:p w14:paraId="62566FAB">
            <w:pPr>
              <w:pStyle w:val="41"/>
              <w:rPr>
                <w:color w:val="auto"/>
                <w:highlight w:val="none"/>
              </w:rPr>
            </w:pPr>
            <w:r>
              <w:rPr>
                <w:color w:val="auto"/>
                <w:highlight w:val="none"/>
              </w:rPr>
              <w:t>525</w:t>
            </w:r>
          </w:p>
        </w:tc>
        <w:tc>
          <w:tcPr>
            <w:tcW w:w="712" w:type="pct"/>
            <w:noWrap/>
            <w:vAlign w:val="center"/>
          </w:tcPr>
          <w:p w14:paraId="0428455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0.001626</w:t>
            </w:r>
          </w:p>
        </w:tc>
        <w:tc>
          <w:tcPr>
            <w:tcW w:w="406" w:type="pct"/>
            <w:noWrap/>
            <w:vAlign w:val="center"/>
          </w:tcPr>
          <w:p w14:paraId="688671CC">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0.36</w:t>
            </w:r>
          </w:p>
        </w:tc>
        <w:tc>
          <w:tcPr>
            <w:tcW w:w="1074" w:type="pct"/>
            <w:noWrap/>
            <w:vAlign w:val="center"/>
          </w:tcPr>
          <w:p w14:paraId="0949155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0.001626</w:t>
            </w:r>
          </w:p>
        </w:tc>
        <w:tc>
          <w:tcPr>
            <w:tcW w:w="596" w:type="pct"/>
            <w:noWrap/>
            <w:vAlign w:val="center"/>
          </w:tcPr>
          <w:p w14:paraId="2A99ED9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0.36</w:t>
            </w:r>
          </w:p>
        </w:tc>
        <w:tc>
          <w:tcPr>
            <w:tcW w:w="820" w:type="pct"/>
            <w:noWrap/>
            <w:vAlign w:val="center"/>
          </w:tcPr>
          <w:p w14:paraId="3644ED09">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0.001626</w:t>
            </w:r>
          </w:p>
        </w:tc>
        <w:tc>
          <w:tcPr>
            <w:tcW w:w="512" w:type="pct"/>
            <w:noWrap/>
            <w:vAlign w:val="center"/>
          </w:tcPr>
          <w:p w14:paraId="700A5BCC">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0.36</w:t>
            </w:r>
          </w:p>
        </w:tc>
      </w:tr>
      <w:tr w14:paraId="53E467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78573417">
            <w:pPr>
              <w:pStyle w:val="41"/>
              <w:rPr>
                <w:color w:val="auto"/>
                <w:highlight w:val="none"/>
              </w:rPr>
            </w:pPr>
            <w:r>
              <w:rPr>
                <w:color w:val="auto"/>
                <w:highlight w:val="none"/>
              </w:rPr>
              <w:t>24</w:t>
            </w:r>
          </w:p>
        </w:tc>
        <w:tc>
          <w:tcPr>
            <w:tcW w:w="548" w:type="pct"/>
            <w:noWrap/>
            <w:vAlign w:val="center"/>
          </w:tcPr>
          <w:p w14:paraId="3BE5E624">
            <w:pPr>
              <w:pStyle w:val="41"/>
              <w:rPr>
                <w:color w:val="auto"/>
                <w:highlight w:val="none"/>
              </w:rPr>
            </w:pPr>
            <w:r>
              <w:rPr>
                <w:color w:val="auto"/>
                <w:highlight w:val="none"/>
              </w:rPr>
              <w:t>550</w:t>
            </w:r>
          </w:p>
        </w:tc>
        <w:tc>
          <w:tcPr>
            <w:tcW w:w="712" w:type="pct"/>
            <w:noWrap/>
            <w:vAlign w:val="center"/>
          </w:tcPr>
          <w:p w14:paraId="1CB48FB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0.001539</w:t>
            </w:r>
          </w:p>
        </w:tc>
        <w:tc>
          <w:tcPr>
            <w:tcW w:w="406" w:type="pct"/>
            <w:noWrap/>
            <w:vAlign w:val="center"/>
          </w:tcPr>
          <w:p w14:paraId="58ED05BC">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0.34</w:t>
            </w:r>
          </w:p>
        </w:tc>
        <w:tc>
          <w:tcPr>
            <w:tcW w:w="1074" w:type="pct"/>
            <w:noWrap/>
            <w:vAlign w:val="center"/>
          </w:tcPr>
          <w:p w14:paraId="21FD120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0.001539</w:t>
            </w:r>
          </w:p>
        </w:tc>
        <w:tc>
          <w:tcPr>
            <w:tcW w:w="596" w:type="pct"/>
            <w:noWrap/>
            <w:vAlign w:val="center"/>
          </w:tcPr>
          <w:p w14:paraId="47AEF1A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0.34</w:t>
            </w:r>
          </w:p>
        </w:tc>
        <w:tc>
          <w:tcPr>
            <w:tcW w:w="820" w:type="pct"/>
            <w:noWrap/>
            <w:vAlign w:val="center"/>
          </w:tcPr>
          <w:p w14:paraId="1946D27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0.001539</w:t>
            </w:r>
          </w:p>
        </w:tc>
        <w:tc>
          <w:tcPr>
            <w:tcW w:w="512" w:type="pct"/>
            <w:noWrap/>
            <w:vAlign w:val="center"/>
          </w:tcPr>
          <w:p w14:paraId="71758ED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0.34</w:t>
            </w:r>
          </w:p>
        </w:tc>
      </w:tr>
      <w:tr w14:paraId="106CC8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6005160B">
            <w:pPr>
              <w:pStyle w:val="41"/>
              <w:rPr>
                <w:color w:val="auto"/>
                <w:highlight w:val="none"/>
              </w:rPr>
            </w:pPr>
            <w:r>
              <w:rPr>
                <w:color w:val="auto"/>
                <w:highlight w:val="none"/>
              </w:rPr>
              <w:t>25</w:t>
            </w:r>
          </w:p>
        </w:tc>
        <w:tc>
          <w:tcPr>
            <w:tcW w:w="548" w:type="pct"/>
            <w:noWrap/>
            <w:vAlign w:val="center"/>
          </w:tcPr>
          <w:p w14:paraId="6703B2D1">
            <w:pPr>
              <w:pStyle w:val="41"/>
              <w:rPr>
                <w:color w:val="auto"/>
                <w:highlight w:val="none"/>
              </w:rPr>
            </w:pPr>
            <w:r>
              <w:rPr>
                <w:color w:val="auto"/>
                <w:highlight w:val="none"/>
              </w:rPr>
              <w:t>575</w:t>
            </w:r>
          </w:p>
        </w:tc>
        <w:tc>
          <w:tcPr>
            <w:tcW w:w="712" w:type="pct"/>
            <w:noWrap/>
            <w:vAlign w:val="center"/>
          </w:tcPr>
          <w:p w14:paraId="31F9D2E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0.001458</w:t>
            </w:r>
          </w:p>
        </w:tc>
        <w:tc>
          <w:tcPr>
            <w:tcW w:w="406" w:type="pct"/>
            <w:noWrap/>
            <w:vAlign w:val="center"/>
          </w:tcPr>
          <w:p w14:paraId="4D435A6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0.32</w:t>
            </w:r>
          </w:p>
        </w:tc>
        <w:tc>
          <w:tcPr>
            <w:tcW w:w="1074" w:type="pct"/>
            <w:noWrap/>
            <w:vAlign w:val="center"/>
          </w:tcPr>
          <w:p w14:paraId="7877936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0.001458</w:t>
            </w:r>
          </w:p>
        </w:tc>
        <w:tc>
          <w:tcPr>
            <w:tcW w:w="596" w:type="pct"/>
            <w:noWrap/>
            <w:vAlign w:val="center"/>
          </w:tcPr>
          <w:p w14:paraId="00AFAD19">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0.32</w:t>
            </w:r>
          </w:p>
        </w:tc>
        <w:tc>
          <w:tcPr>
            <w:tcW w:w="820" w:type="pct"/>
            <w:noWrap/>
            <w:vAlign w:val="center"/>
          </w:tcPr>
          <w:p w14:paraId="7F28BF3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0.001458</w:t>
            </w:r>
          </w:p>
        </w:tc>
        <w:tc>
          <w:tcPr>
            <w:tcW w:w="512" w:type="pct"/>
            <w:noWrap/>
            <w:vAlign w:val="center"/>
          </w:tcPr>
          <w:p w14:paraId="6BA3ACA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0.32</w:t>
            </w:r>
          </w:p>
        </w:tc>
      </w:tr>
      <w:tr w14:paraId="73242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411207E0">
            <w:pPr>
              <w:pStyle w:val="41"/>
              <w:rPr>
                <w:color w:val="auto"/>
                <w:highlight w:val="none"/>
              </w:rPr>
            </w:pPr>
            <w:r>
              <w:rPr>
                <w:color w:val="auto"/>
                <w:highlight w:val="none"/>
              </w:rPr>
              <w:t>26</w:t>
            </w:r>
          </w:p>
        </w:tc>
        <w:tc>
          <w:tcPr>
            <w:tcW w:w="548" w:type="pct"/>
            <w:noWrap/>
            <w:vAlign w:val="center"/>
          </w:tcPr>
          <w:p w14:paraId="2603A9C9">
            <w:pPr>
              <w:pStyle w:val="41"/>
              <w:rPr>
                <w:color w:val="auto"/>
                <w:highlight w:val="none"/>
              </w:rPr>
            </w:pPr>
            <w:r>
              <w:rPr>
                <w:color w:val="auto"/>
                <w:highlight w:val="none"/>
              </w:rPr>
              <w:t>600</w:t>
            </w:r>
          </w:p>
        </w:tc>
        <w:tc>
          <w:tcPr>
            <w:tcW w:w="712" w:type="pct"/>
            <w:noWrap/>
            <w:vAlign w:val="center"/>
          </w:tcPr>
          <w:p w14:paraId="23670AFC">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0.001385</w:t>
            </w:r>
          </w:p>
        </w:tc>
        <w:tc>
          <w:tcPr>
            <w:tcW w:w="406" w:type="pct"/>
            <w:noWrap/>
            <w:vAlign w:val="center"/>
          </w:tcPr>
          <w:p w14:paraId="1ADACF2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0.31</w:t>
            </w:r>
          </w:p>
        </w:tc>
        <w:tc>
          <w:tcPr>
            <w:tcW w:w="1074" w:type="pct"/>
            <w:noWrap/>
            <w:vAlign w:val="center"/>
          </w:tcPr>
          <w:p w14:paraId="78F9A71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0.001385</w:t>
            </w:r>
          </w:p>
        </w:tc>
        <w:tc>
          <w:tcPr>
            <w:tcW w:w="596" w:type="pct"/>
            <w:noWrap/>
            <w:vAlign w:val="center"/>
          </w:tcPr>
          <w:p w14:paraId="46723C6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0.31</w:t>
            </w:r>
          </w:p>
        </w:tc>
        <w:tc>
          <w:tcPr>
            <w:tcW w:w="820" w:type="pct"/>
            <w:noWrap/>
            <w:vAlign w:val="center"/>
          </w:tcPr>
          <w:p w14:paraId="3CB7DFB9">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0.001385</w:t>
            </w:r>
          </w:p>
        </w:tc>
        <w:tc>
          <w:tcPr>
            <w:tcW w:w="512" w:type="pct"/>
            <w:noWrap/>
            <w:vAlign w:val="center"/>
          </w:tcPr>
          <w:p w14:paraId="08179D3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0.31</w:t>
            </w:r>
          </w:p>
        </w:tc>
      </w:tr>
      <w:tr w14:paraId="40FB49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trPr>
        <w:tc>
          <w:tcPr>
            <w:tcW w:w="327" w:type="pct"/>
            <w:noWrap/>
            <w:vAlign w:val="center"/>
          </w:tcPr>
          <w:p w14:paraId="76DF0B72">
            <w:pPr>
              <w:pStyle w:val="41"/>
              <w:rPr>
                <w:color w:val="auto"/>
                <w:highlight w:val="none"/>
              </w:rPr>
            </w:pPr>
            <w:r>
              <w:rPr>
                <w:color w:val="auto"/>
                <w:highlight w:val="none"/>
              </w:rPr>
              <w:t>27</w:t>
            </w:r>
          </w:p>
        </w:tc>
        <w:tc>
          <w:tcPr>
            <w:tcW w:w="548" w:type="pct"/>
            <w:noWrap/>
            <w:vAlign w:val="center"/>
          </w:tcPr>
          <w:p w14:paraId="5B7CC1BE">
            <w:pPr>
              <w:pStyle w:val="41"/>
              <w:rPr>
                <w:color w:val="auto"/>
                <w:highlight w:val="none"/>
              </w:rPr>
            </w:pPr>
            <w:r>
              <w:rPr>
                <w:color w:val="auto"/>
                <w:highlight w:val="none"/>
              </w:rPr>
              <w:t>625</w:t>
            </w:r>
          </w:p>
        </w:tc>
        <w:tc>
          <w:tcPr>
            <w:tcW w:w="712" w:type="pct"/>
            <w:noWrap/>
            <w:vAlign w:val="center"/>
          </w:tcPr>
          <w:p w14:paraId="7CEF6F1E">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0.001317</w:t>
            </w:r>
          </w:p>
        </w:tc>
        <w:tc>
          <w:tcPr>
            <w:tcW w:w="406" w:type="pct"/>
            <w:noWrap/>
            <w:vAlign w:val="center"/>
          </w:tcPr>
          <w:p w14:paraId="0D4B495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c>
          <w:tcPr>
            <w:tcW w:w="1074" w:type="pct"/>
            <w:noWrap/>
            <w:vAlign w:val="center"/>
          </w:tcPr>
          <w:p w14:paraId="4BA4921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0.001317</w:t>
            </w:r>
          </w:p>
        </w:tc>
        <w:tc>
          <w:tcPr>
            <w:tcW w:w="596" w:type="pct"/>
            <w:noWrap/>
            <w:vAlign w:val="center"/>
          </w:tcPr>
          <w:p w14:paraId="4D95ADB9">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c>
          <w:tcPr>
            <w:tcW w:w="820" w:type="pct"/>
            <w:noWrap/>
            <w:vAlign w:val="center"/>
          </w:tcPr>
          <w:p w14:paraId="634A191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0.001317</w:t>
            </w:r>
          </w:p>
        </w:tc>
        <w:tc>
          <w:tcPr>
            <w:tcW w:w="512" w:type="pct"/>
            <w:noWrap/>
            <w:vAlign w:val="center"/>
          </w:tcPr>
          <w:p w14:paraId="3C51E76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r>
      <w:tr w14:paraId="5A8E9B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439B4348">
            <w:pPr>
              <w:pStyle w:val="41"/>
              <w:rPr>
                <w:color w:val="auto"/>
                <w:highlight w:val="none"/>
              </w:rPr>
            </w:pPr>
            <w:r>
              <w:rPr>
                <w:color w:val="auto"/>
                <w:highlight w:val="none"/>
              </w:rPr>
              <w:t>28</w:t>
            </w:r>
          </w:p>
        </w:tc>
        <w:tc>
          <w:tcPr>
            <w:tcW w:w="548" w:type="pct"/>
            <w:noWrap/>
            <w:vAlign w:val="center"/>
          </w:tcPr>
          <w:p w14:paraId="1DEB078C">
            <w:pPr>
              <w:pStyle w:val="41"/>
              <w:rPr>
                <w:color w:val="auto"/>
                <w:highlight w:val="none"/>
              </w:rPr>
            </w:pPr>
            <w:r>
              <w:rPr>
                <w:color w:val="auto"/>
                <w:highlight w:val="none"/>
              </w:rPr>
              <w:t>650</w:t>
            </w:r>
          </w:p>
        </w:tc>
        <w:tc>
          <w:tcPr>
            <w:tcW w:w="712" w:type="pct"/>
            <w:noWrap/>
            <w:vAlign w:val="center"/>
          </w:tcPr>
          <w:p w14:paraId="05536B1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0.001255</w:t>
            </w:r>
          </w:p>
        </w:tc>
        <w:tc>
          <w:tcPr>
            <w:tcW w:w="406" w:type="pct"/>
            <w:noWrap/>
            <w:vAlign w:val="center"/>
          </w:tcPr>
          <w:p w14:paraId="3C7D3B5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c>
          <w:tcPr>
            <w:tcW w:w="1074" w:type="pct"/>
            <w:noWrap/>
            <w:vAlign w:val="center"/>
          </w:tcPr>
          <w:p w14:paraId="3019031C">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0.001255</w:t>
            </w:r>
          </w:p>
        </w:tc>
        <w:tc>
          <w:tcPr>
            <w:tcW w:w="596" w:type="pct"/>
            <w:noWrap/>
            <w:vAlign w:val="center"/>
          </w:tcPr>
          <w:p w14:paraId="2E9E80DC">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c>
          <w:tcPr>
            <w:tcW w:w="820" w:type="pct"/>
            <w:noWrap/>
            <w:vAlign w:val="center"/>
          </w:tcPr>
          <w:p w14:paraId="5A12883C">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0.001255</w:t>
            </w:r>
          </w:p>
        </w:tc>
        <w:tc>
          <w:tcPr>
            <w:tcW w:w="512" w:type="pct"/>
            <w:noWrap/>
            <w:vAlign w:val="center"/>
          </w:tcPr>
          <w:p w14:paraId="1FB00382">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r>
      <w:tr w14:paraId="64CA6F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76C640E1">
            <w:pPr>
              <w:pStyle w:val="41"/>
              <w:rPr>
                <w:color w:val="auto"/>
                <w:highlight w:val="none"/>
              </w:rPr>
            </w:pPr>
            <w:r>
              <w:rPr>
                <w:color w:val="auto"/>
                <w:highlight w:val="none"/>
              </w:rPr>
              <w:t>29</w:t>
            </w:r>
          </w:p>
        </w:tc>
        <w:tc>
          <w:tcPr>
            <w:tcW w:w="548" w:type="pct"/>
            <w:noWrap/>
            <w:vAlign w:val="center"/>
          </w:tcPr>
          <w:p w14:paraId="76E12ED2">
            <w:pPr>
              <w:pStyle w:val="41"/>
              <w:rPr>
                <w:color w:val="auto"/>
                <w:highlight w:val="none"/>
              </w:rPr>
            </w:pPr>
            <w:r>
              <w:rPr>
                <w:color w:val="auto"/>
                <w:highlight w:val="none"/>
              </w:rPr>
              <w:t>675</w:t>
            </w:r>
          </w:p>
        </w:tc>
        <w:tc>
          <w:tcPr>
            <w:tcW w:w="712" w:type="pct"/>
            <w:noWrap/>
            <w:vAlign w:val="center"/>
          </w:tcPr>
          <w:p w14:paraId="28D265FC">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0.001288</w:t>
            </w:r>
          </w:p>
        </w:tc>
        <w:tc>
          <w:tcPr>
            <w:tcW w:w="406" w:type="pct"/>
            <w:noWrap/>
            <w:vAlign w:val="center"/>
          </w:tcPr>
          <w:p w14:paraId="3AE7AF1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c>
          <w:tcPr>
            <w:tcW w:w="1074" w:type="pct"/>
            <w:noWrap/>
            <w:vAlign w:val="center"/>
          </w:tcPr>
          <w:p w14:paraId="084B1CE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0.001288</w:t>
            </w:r>
          </w:p>
        </w:tc>
        <w:tc>
          <w:tcPr>
            <w:tcW w:w="596" w:type="pct"/>
            <w:noWrap/>
            <w:vAlign w:val="center"/>
          </w:tcPr>
          <w:p w14:paraId="67DB92C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c>
          <w:tcPr>
            <w:tcW w:w="820" w:type="pct"/>
            <w:noWrap/>
            <w:vAlign w:val="center"/>
          </w:tcPr>
          <w:p w14:paraId="0B23CF8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0.001288</w:t>
            </w:r>
          </w:p>
        </w:tc>
        <w:tc>
          <w:tcPr>
            <w:tcW w:w="512" w:type="pct"/>
            <w:noWrap/>
            <w:vAlign w:val="center"/>
          </w:tcPr>
          <w:p w14:paraId="33B04CA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r>
      <w:tr w14:paraId="11594A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71417316">
            <w:pPr>
              <w:pStyle w:val="41"/>
              <w:rPr>
                <w:color w:val="auto"/>
                <w:highlight w:val="none"/>
              </w:rPr>
            </w:pPr>
            <w:r>
              <w:rPr>
                <w:color w:val="auto"/>
                <w:highlight w:val="none"/>
              </w:rPr>
              <w:t>30</w:t>
            </w:r>
          </w:p>
        </w:tc>
        <w:tc>
          <w:tcPr>
            <w:tcW w:w="548" w:type="pct"/>
            <w:noWrap/>
            <w:vAlign w:val="center"/>
          </w:tcPr>
          <w:p w14:paraId="338049CA">
            <w:pPr>
              <w:pStyle w:val="41"/>
              <w:rPr>
                <w:color w:val="auto"/>
                <w:highlight w:val="none"/>
              </w:rPr>
            </w:pPr>
            <w:r>
              <w:rPr>
                <w:color w:val="auto"/>
                <w:highlight w:val="none"/>
              </w:rPr>
              <w:t>700</w:t>
            </w:r>
          </w:p>
        </w:tc>
        <w:tc>
          <w:tcPr>
            <w:tcW w:w="712" w:type="pct"/>
            <w:noWrap/>
            <w:vAlign w:val="center"/>
          </w:tcPr>
          <w:p w14:paraId="5828343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0.00129</w:t>
            </w:r>
          </w:p>
        </w:tc>
        <w:tc>
          <w:tcPr>
            <w:tcW w:w="406" w:type="pct"/>
            <w:noWrap/>
            <w:vAlign w:val="center"/>
          </w:tcPr>
          <w:p w14:paraId="72F64D5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c>
          <w:tcPr>
            <w:tcW w:w="1074" w:type="pct"/>
            <w:noWrap/>
            <w:vAlign w:val="center"/>
          </w:tcPr>
          <w:p w14:paraId="6C6AEDE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0.00129</w:t>
            </w:r>
          </w:p>
        </w:tc>
        <w:tc>
          <w:tcPr>
            <w:tcW w:w="596" w:type="pct"/>
            <w:noWrap/>
            <w:vAlign w:val="center"/>
          </w:tcPr>
          <w:p w14:paraId="02984B2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c>
          <w:tcPr>
            <w:tcW w:w="820" w:type="pct"/>
            <w:noWrap/>
            <w:vAlign w:val="center"/>
          </w:tcPr>
          <w:p w14:paraId="4EF0C10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0.00129</w:t>
            </w:r>
          </w:p>
        </w:tc>
        <w:tc>
          <w:tcPr>
            <w:tcW w:w="512" w:type="pct"/>
            <w:noWrap/>
            <w:vAlign w:val="center"/>
          </w:tcPr>
          <w:p w14:paraId="74CF827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r>
      <w:tr w14:paraId="41D1FE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5E16099E">
            <w:pPr>
              <w:pStyle w:val="41"/>
              <w:rPr>
                <w:color w:val="auto"/>
                <w:highlight w:val="none"/>
              </w:rPr>
            </w:pPr>
            <w:r>
              <w:rPr>
                <w:color w:val="auto"/>
                <w:highlight w:val="none"/>
              </w:rPr>
              <w:t>31</w:t>
            </w:r>
          </w:p>
        </w:tc>
        <w:tc>
          <w:tcPr>
            <w:tcW w:w="548" w:type="pct"/>
            <w:noWrap/>
            <w:vAlign w:val="center"/>
          </w:tcPr>
          <w:p w14:paraId="2282ACE4">
            <w:pPr>
              <w:pStyle w:val="41"/>
              <w:rPr>
                <w:color w:val="auto"/>
                <w:highlight w:val="none"/>
              </w:rPr>
            </w:pPr>
            <w:r>
              <w:rPr>
                <w:color w:val="auto"/>
                <w:highlight w:val="none"/>
              </w:rPr>
              <w:t>725</w:t>
            </w:r>
          </w:p>
        </w:tc>
        <w:tc>
          <w:tcPr>
            <w:tcW w:w="712" w:type="pct"/>
            <w:noWrap/>
            <w:vAlign w:val="center"/>
          </w:tcPr>
          <w:p w14:paraId="03A7567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0.001288</w:t>
            </w:r>
          </w:p>
        </w:tc>
        <w:tc>
          <w:tcPr>
            <w:tcW w:w="406" w:type="pct"/>
            <w:noWrap/>
            <w:vAlign w:val="center"/>
          </w:tcPr>
          <w:p w14:paraId="66F2314A">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c>
          <w:tcPr>
            <w:tcW w:w="1074" w:type="pct"/>
            <w:noWrap/>
            <w:vAlign w:val="center"/>
          </w:tcPr>
          <w:p w14:paraId="1B33738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0.001288</w:t>
            </w:r>
          </w:p>
        </w:tc>
        <w:tc>
          <w:tcPr>
            <w:tcW w:w="596" w:type="pct"/>
            <w:noWrap/>
            <w:vAlign w:val="center"/>
          </w:tcPr>
          <w:p w14:paraId="4D2EC57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c>
          <w:tcPr>
            <w:tcW w:w="820" w:type="pct"/>
            <w:noWrap/>
            <w:vAlign w:val="center"/>
          </w:tcPr>
          <w:p w14:paraId="4292BB1E">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0.001288</w:t>
            </w:r>
          </w:p>
        </w:tc>
        <w:tc>
          <w:tcPr>
            <w:tcW w:w="512" w:type="pct"/>
            <w:noWrap/>
            <w:vAlign w:val="center"/>
          </w:tcPr>
          <w:p w14:paraId="1588CE1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r>
      <w:tr w14:paraId="67D6CF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33415FE">
            <w:pPr>
              <w:pStyle w:val="41"/>
              <w:rPr>
                <w:color w:val="auto"/>
                <w:highlight w:val="none"/>
              </w:rPr>
            </w:pPr>
            <w:r>
              <w:rPr>
                <w:color w:val="auto"/>
                <w:highlight w:val="none"/>
              </w:rPr>
              <w:t>32</w:t>
            </w:r>
          </w:p>
        </w:tc>
        <w:tc>
          <w:tcPr>
            <w:tcW w:w="548" w:type="pct"/>
            <w:noWrap/>
            <w:vAlign w:val="center"/>
          </w:tcPr>
          <w:p w14:paraId="6687620B">
            <w:pPr>
              <w:pStyle w:val="41"/>
              <w:rPr>
                <w:color w:val="auto"/>
                <w:highlight w:val="none"/>
              </w:rPr>
            </w:pPr>
            <w:r>
              <w:rPr>
                <w:color w:val="auto"/>
                <w:highlight w:val="none"/>
              </w:rPr>
              <w:t>750</w:t>
            </w:r>
          </w:p>
        </w:tc>
        <w:tc>
          <w:tcPr>
            <w:tcW w:w="712" w:type="pct"/>
            <w:noWrap/>
            <w:vAlign w:val="center"/>
          </w:tcPr>
          <w:p w14:paraId="65C28300">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0.001283</w:t>
            </w:r>
          </w:p>
        </w:tc>
        <w:tc>
          <w:tcPr>
            <w:tcW w:w="406" w:type="pct"/>
            <w:noWrap/>
            <w:vAlign w:val="center"/>
          </w:tcPr>
          <w:p w14:paraId="55C8AE1E">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c>
          <w:tcPr>
            <w:tcW w:w="1074" w:type="pct"/>
            <w:noWrap/>
            <w:vAlign w:val="center"/>
          </w:tcPr>
          <w:p w14:paraId="123CCB4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0.001283</w:t>
            </w:r>
          </w:p>
        </w:tc>
        <w:tc>
          <w:tcPr>
            <w:tcW w:w="596" w:type="pct"/>
            <w:noWrap/>
            <w:vAlign w:val="center"/>
          </w:tcPr>
          <w:p w14:paraId="43A4BE7E">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c>
          <w:tcPr>
            <w:tcW w:w="820" w:type="pct"/>
            <w:noWrap/>
            <w:vAlign w:val="center"/>
          </w:tcPr>
          <w:p w14:paraId="36A96EC2">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0.001283</w:t>
            </w:r>
          </w:p>
        </w:tc>
        <w:tc>
          <w:tcPr>
            <w:tcW w:w="512" w:type="pct"/>
            <w:noWrap/>
            <w:vAlign w:val="center"/>
          </w:tcPr>
          <w:p w14:paraId="79C32A8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0.29</w:t>
            </w:r>
          </w:p>
        </w:tc>
      </w:tr>
      <w:tr w14:paraId="267181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5720E25D">
            <w:pPr>
              <w:pStyle w:val="41"/>
              <w:rPr>
                <w:color w:val="auto"/>
                <w:highlight w:val="none"/>
              </w:rPr>
            </w:pPr>
            <w:r>
              <w:rPr>
                <w:color w:val="auto"/>
                <w:highlight w:val="none"/>
              </w:rPr>
              <w:t>33</w:t>
            </w:r>
          </w:p>
        </w:tc>
        <w:tc>
          <w:tcPr>
            <w:tcW w:w="548" w:type="pct"/>
            <w:noWrap/>
            <w:vAlign w:val="center"/>
          </w:tcPr>
          <w:p w14:paraId="472490D8">
            <w:pPr>
              <w:pStyle w:val="41"/>
              <w:rPr>
                <w:color w:val="auto"/>
                <w:highlight w:val="none"/>
              </w:rPr>
            </w:pPr>
            <w:r>
              <w:rPr>
                <w:color w:val="auto"/>
                <w:highlight w:val="none"/>
              </w:rPr>
              <w:t>775</w:t>
            </w:r>
          </w:p>
        </w:tc>
        <w:tc>
          <w:tcPr>
            <w:tcW w:w="712" w:type="pct"/>
            <w:noWrap/>
            <w:vAlign w:val="center"/>
          </w:tcPr>
          <w:p w14:paraId="45DF93D8">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0.001277</w:t>
            </w:r>
          </w:p>
        </w:tc>
        <w:tc>
          <w:tcPr>
            <w:tcW w:w="406" w:type="pct"/>
            <w:noWrap/>
            <w:vAlign w:val="center"/>
          </w:tcPr>
          <w:p w14:paraId="70B4DAE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c>
          <w:tcPr>
            <w:tcW w:w="1074" w:type="pct"/>
            <w:noWrap/>
            <w:vAlign w:val="center"/>
          </w:tcPr>
          <w:p w14:paraId="49B44B6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0.001277</w:t>
            </w:r>
          </w:p>
        </w:tc>
        <w:tc>
          <w:tcPr>
            <w:tcW w:w="596" w:type="pct"/>
            <w:noWrap/>
            <w:vAlign w:val="center"/>
          </w:tcPr>
          <w:p w14:paraId="5F9C4B62">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c>
          <w:tcPr>
            <w:tcW w:w="820" w:type="pct"/>
            <w:noWrap/>
            <w:vAlign w:val="center"/>
          </w:tcPr>
          <w:p w14:paraId="6D1875C9">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0.001277</w:t>
            </w:r>
          </w:p>
        </w:tc>
        <w:tc>
          <w:tcPr>
            <w:tcW w:w="512" w:type="pct"/>
            <w:noWrap/>
            <w:vAlign w:val="center"/>
          </w:tcPr>
          <w:p w14:paraId="2292D67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r>
      <w:tr w14:paraId="09018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35B2B44C">
            <w:pPr>
              <w:pStyle w:val="41"/>
              <w:rPr>
                <w:color w:val="auto"/>
                <w:highlight w:val="none"/>
              </w:rPr>
            </w:pPr>
            <w:r>
              <w:rPr>
                <w:color w:val="auto"/>
                <w:highlight w:val="none"/>
              </w:rPr>
              <w:t>34</w:t>
            </w:r>
          </w:p>
        </w:tc>
        <w:tc>
          <w:tcPr>
            <w:tcW w:w="548" w:type="pct"/>
            <w:noWrap/>
            <w:vAlign w:val="center"/>
          </w:tcPr>
          <w:p w14:paraId="3FCF91B1">
            <w:pPr>
              <w:pStyle w:val="41"/>
              <w:rPr>
                <w:color w:val="auto"/>
                <w:highlight w:val="none"/>
              </w:rPr>
            </w:pPr>
            <w:r>
              <w:rPr>
                <w:color w:val="auto"/>
                <w:highlight w:val="none"/>
              </w:rPr>
              <w:t>800</w:t>
            </w:r>
          </w:p>
        </w:tc>
        <w:tc>
          <w:tcPr>
            <w:tcW w:w="712" w:type="pct"/>
            <w:noWrap/>
            <w:vAlign w:val="center"/>
          </w:tcPr>
          <w:p w14:paraId="6FF5960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0.001269</w:t>
            </w:r>
          </w:p>
        </w:tc>
        <w:tc>
          <w:tcPr>
            <w:tcW w:w="406" w:type="pct"/>
            <w:noWrap/>
            <w:vAlign w:val="center"/>
          </w:tcPr>
          <w:p w14:paraId="2A214BCC">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c>
          <w:tcPr>
            <w:tcW w:w="1074" w:type="pct"/>
            <w:noWrap/>
            <w:vAlign w:val="center"/>
          </w:tcPr>
          <w:p w14:paraId="0A44052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0.001269</w:t>
            </w:r>
          </w:p>
        </w:tc>
        <w:tc>
          <w:tcPr>
            <w:tcW w:w="596" w:type="pct"/>
            <w:noWrap/>
            <w:vAlign w:val="center"/>
          </w:tcPr>
          <w:p w14:paraId="20733D5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c>
          <w:tcPr>
            <w:tcW w:w="820" w:type="pct"/>
            <w:noWrap/>
            <w:vAlign w:val="center"/>
          </w:tcPr>
          <w:p w14:paraId="4773264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0.001269</w:t>
            </w:r>
          </w:p>
        </w:tc>
        <w:tc>
          <w:tcPr>
            <w:tcW w:w="512" w:type="pct"/>
            <w:noWrap/>
            <w:vAlign w:val="center"/>
          </w:tcPr>
          <w:p w14:paraId="428D6C1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r>
      <w:tr w14:paraId="6731FD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477F9330">
            <w:pPr>
              <w:pStyle w:val="41"/>
              <w:rPr>
                <w:color w:val="auto"/>
                <w:highlight w:val="none"/>
              </w:rPr>
            </w:pPr>
            <w:r>
              <w:rPr>
                <w:color w:val="auto"/>
                <w:highlight w:val="none"/>
              </w:rPr>
              <w:t>35</w:t>
            </w:r>
          </w:p>
        </w:tc>
        <w:tc>
          <w:tcPr>
            <w:tcW w:w="548" w:type="pct"/>
            <w:noWrap/>
            <w:vAlign w:val="center"/>
          </w:tcPr>
          <w:p w14:paraId="28832D76">
            <w:pPr>
              <w:pStyle w:val="41"/>
              <w:rPr>
                <w:color w:val="auto"/>
                <w:highlight w:val="none"/>
              </w:rPr>
            </w:pPr>
            <w:r>
              <w:rPr>
                <w:color w:val="auto"/>
                <w:highlight w:val="none"/>
              </w:rPr>
              <w:t>825</w:t>
            </w:r>
          </w:p>
        </w:tc>
        <w:tc>
          <w:tcPr>
            <w:tcW w:w="712" w:type="pct"/>
            <w:noWrap/>
            <w:vAlign w:val="center"/>
          </w:tcPr>
          <w:p w14:paraId="684E97B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0.001259</w:t>
            </w:r>
          </w:p>
        </w:tc>
        <w:tc>
          <w:tcPr>
            <w:tcW w:w="406" w:type="pct"/>
            <w:noWrap/>
            <w:vAlign w:val="center"/>
          </w:tcPr>
          <w:p w14:paraId="229E7B8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c>
          <w:tcPr>
            <w:tcW w:w="1074" w:type="pct"/>
            <w:noWrap/>
            <w:vAlign w:val="center"/>
          </w:tcPr>
          <w:p w14:paraId="08A06C6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0.001259</w:t>
            </w:r>
          </w:p>
        </w:tc>
        <w:tc>
          <w:tcPr>
            <w:tcW w:w="596" w:type="pct"/>
            <w:noWrap/>
            <w:vAlign w:val="center"/>
          </w:tcPr>
          <w:p w14:paraId="25B4C62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c>
          <w:tcPr>
            <w:tcW w:w="820" w:type="pct"/>
            <w:noWrap/>
            <w:vAlign w:val="center"/>
          </w:tcPr>
          <w:p w14:paraId="5A08A03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0.001259</w:t>
            </w:r>
          </w:p>
        </w:tc>
        <w:tc>
          <w:tcPr>
            <w:tcW w:w="512" w:type="pct"/>
            <w:noWrap/>
            <w:vAlign w:val="center"/>
          </w:tcPr>
          <w:p w14:paraId="1A7A0DCE">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r>
      <w:tr w14:paraId="771BD0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33F82A45">
            <w:pPr>
              <w:pStyle w:val="41"/>
              <w:rPr>
                <w:color w:val="auto"/>
                <w:highlight w:val="none"/>
              </w:rPr>
            </w:pPr>
            <w:r>
              <w:rPr>
                <w:color w:val="auto"/>
                <w:highlight w:val="none"/>
              </w:rPr>
              <w:t>36</w:t>
            </w:r>
          </w:p>
        </w:tc>
        <w:tc>
          <w:tcPr>
            <w:tcW w:w="548" w:type="pct"/>
            <w:noWrap/>
            <w:vAlign w:val="center"/>
          </w:tcPr>
          <w:p w14:paraId="6E5E4925">
            <w:pPr>
              <w:pStyle w:val="41"/>
              <w:rPr>
                <w:color w:val="auto"/>
                <w:highlight w:val="none"/>
              </w:rPr>
            </w:pPr>
            <w:r>
              <w:rPr>
                <w:color w:val="auto"/>
                <w:highlight w:val="none"/>
              </w:rPr>
              <w:t>850</w:t>
            </w:r>
          </w:p>
        </w:tc>
        <w:tc>
          <w:tcPr>
            <w:tcW w:w="712" w:type="pct"/>
            <w:noWrap/>
            <w:vAlign w:val="center"/>
          </w:tcPr>
          <w:p w14:paraId="02B381B0">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0.001248</w:t>
            </w:r>
          </w:p>
        </w:tc>
        <w:tc>
          <w:tcPr>
            <w:tcW w:w="406" w:type="pct"/>
            <w:noWrap/>
            <w:vAlign w:val="center"/>
          </w:tcPr>
          <w:p w14:paraId="05ACEFB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c>
          <w:tcPr>
            <w:tcW w:w="1074" w:type="pct"/>
            <w:noWrap/>
            <w:vAlign w:val="center"/>
          </w:tcPr>
          <w:p w14:paraId="434A04A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0.001248</w:t>
            </w:r>
          </w:p>
        </w:tc>
        <w:tc>
          <w:tcPr>
            <w:tcW w:w="596" w:type="pct"/>
            <w:noWrap/>
            <w:vAlign w:val="center"/>
          </w:tcPr>
          <w:p w14:paraId="0519163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c>
          <w:tcPr>
            <w:tcW w:w="820" w:type="pct"/>
            <w:noWrap/>
            <w:vAlign w:val="center"/>
          </w:tcPr>
          <w:p w14:paraId="3DD68E0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0.001248</w:t>
            </w:r>
          </w:p>
        </w:tc>
        <w:tc>
          <w:tcPr>
            <w:tcW w:w="512" w:type="pct"/>
            <w:noWrap/>
            <w:vAlign w:val="center"/>
          </w:tcPr>
          <w:p w14:paraId="4E76D7E9">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0.28</w:t>
            </w:r>
          </w:p>
        </w:tc>
      </w:tr>
      <w:tr w14:paraId="5B5059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48E452EB">
            <w:pPr>
              <w:pStyle w:val="41"/>
              <w:rPr>
                <w:color w:val="auto"/>
                <w:highlight w:val="none"/>
              </w:rPr>
            </w:pPr>
            <w:r>
              <w:rPr>
                <w:color w:val="auto"/>
                <w:highlight w:val="none"/>
              </w:rPr>
              <w:t>37</w:t>
            </w:r>
          </w:p>
        </w:tc>
        <w:tc>
          <w:tcPr>
            <w:tcW w:w="548" w:type="pct"/>
            <w:noWrap/>
            <w:vAlign w:val="center"/>
          </w:tcPr>
          <w:p w14:paraId="376BE18D">
            <w:pPr>
              <w:pStyle w:val="41"/>
              <w:rPr>
                <w:color w:val="auto"/>
                <w:highlight w:val="none"/>
              </w:rPr>
            </w:pPr>
            <w:r>
              <w:rPr>
                <w:color w:val="auto"/>
                <w:highlight w:val="none"/>
              </w:rPr>
              <w:t>875</w:t>
            </w:r>
          </w:p>
        </w:tc>
        <w:tc>
          <w:tcPr>
            <w:tcW w:w="712" w:type="pct"/>
            <w:noWrap/>
            <w:vAlign w:val="center"/>
          </w:tcPr>
          <w:p w14:paraId="71321FB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0.001236</w:t>
            </w:r>
          </w:p>
        </w:tc>
        <w:tc>
          <w:tcPr>
            <w:tcW w:w="406" w:type="pct"/>
            <w:noWrap/>
            <w:vAlign w:val="center"/>
          </w:tcPr>
          <w:p w14:paraId="3D847FB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c>
          <w:tcPr>
            <w:tcW w:w="1074" w:type="pct"/>
            <w:noWrap/>
            <w:vAlign w:val="center"/>
          </w:tcPr>
          <w:p w14:paraId="69A1BA3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0.001236</w:t>
            </w:r>
          </w:p>
        </w:tc>
        <w:tc>
          <w:tcPr>
            <w:tcW w:w="596" w:type="pct"/>
            <w:noWrap/>
            <w:vAlign w:val="center"/>
          </w:tcPr>
          <w:p w14:paraId="64804E9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c>
          <w:tcPr>
            <w:tcW w:w="820" w:type="pct"/>
            <w:noWrap/>
            <w:vAlign w:val="center"/>
          </w:tcPr>
          <w:p w14:paraId="1380EC2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0.001236</w:t>
            </w:r>
          </w:p>
        </w:tc>
        <w:tc>
          <w:tcPr>
            <w:tcW w:w="512" w:type="pct"/>
            <w:noWrap/>
            <w:vAlign w:val="center"/>
          </w:tcPr>
          <w:p w14:paraId="2ACF528C">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r>
      <w:tr w14:paraId="5C02A3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5CC406A4">
            <w:pPr>
              <w:pStyle w:val="41"/>
              <w:rPr>
                <w:color w:val="auto"/>
                <w:highlight w:val="none"/>
              </w:rPr>
            </w:pPr>
            <w:r>
              <w:rPr>
                <w:color w:val="auto"/>
                <w:highlight w:val="none"/>
              </w:rPr>
              <w:t>38</w:t>
            </w:r>
          </w:p>
        </w:tc>
        <w:tc>
          <w:tcPr>
            <w:tcW w:w="548" w:type="pct"/>
            <w:noWrap/>
            <w:vAlign w:val="center"/>
          </w:tcPr>
          <w:p w14:paraId="47F6FB51">
            <w:pPr>
              <w:pStyle w:val="41"/>
              <w:rPr>
                <w:color w:val="auto"/>
                <w:highlight w:val="none"/>
              </w:rPr>
            </w:pPr>
            <w:r>
              <w:rPr>
                <w:color w:val="auto"/>
                <w:highlight w:val="none"/>
              </w:rPr>
              <w:t>900</w:t>
            </w:r>
          </w:p>
        </w:tc>
        <w:tc>
          <w:tcPr>
            <w:tcW w:w="712" w:type="pct"/>
            <w:noWrap/>
            <w:vAlign w:val="center"/>
          </w:tcPr>
          <w:p w14:paraId="493DBB2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0.001224</w:t>
            </w:r>
          </w:p>
        </w:tc>
        <w:tc>
          <w:tcPr>
            <w:tcW w:w="406" w:type="pct"/>
            <w:noWrap/>
            <w:vAlign w:val="center"/>
          </w:tcPr>
          <w:p w14:paraId="49F3E6F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c>
          <w:tcPr>
            <w:tcW w:w="1074" w:type="pct"/>
            <w:noWrap/>
            <w:vAlign w:val="center"/>
          </w:tcPr>
          <w:p w14:paraId="63F1CEC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0.001224</w:t>
            </w:r>
          </w:p>
        </w:tc>
        <w:tc>
          <w:tcPr>
            <w:tcW w:w="596" w:type="pct"/>
            <w:noWrap/>
            <w:vAlign w:val="center"/>
          </w:tcPr>
          <w:p w14:paraId="09AB07A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c>
          <w:tcPr>
            <w:tcW w:w="820" w:type="pct"/>
            <w:noWrap/>
            <w:vAlign w:val="center"/>
          </w:tcPr>
          <w:p w14:paraId="320C312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0.001224</w:t>
            </w:r>
          </w:p>
        </w:tc>
        <w:tc>
          <w:tcPr>
            <w:tcW w:w="512" w:type="pct"/>
            <w:noWrap/>
            <w:vAlign w:val="center"/>
          </w:tcPr>
          <w:p w14:paraId="75A26D3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r>
      <w:tr w14:paraId="22605A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6B5DC8DF">
            <w:pPr>
              <w:pStyle w:val="41"/>
              <w:rPr>
                <w:color w:val="auto"/>
                <w:highlight w:val="none"/>
              </w:rPr>
            </w:pPr>
            <w:r>
              <w:rPr>
                <w:color w:val="auto"/>
                <w:highlight w:val="none"/>
              </w:rPr>
              <w:t>39</w:t>
            </w:r>
          </w:p>
        </w:tc>
        <w:tc>
          <w:tcPr>
            <w:tcW w:w="548" w:type="pct"/>
            <w:noWrap/>
            <w:vAlign w:val="center"/>
          </w:tcPr>
          <w:p w14:paraId="6BBAC90B">
            <w:pPr>
              <w:pStyle w:val="41"/>
              <w:rPr>
                <w:color w:val="auto"/>
                <w:highlight w:val="none"/>
              </w:rPr>
            </w:pPr>
            <w:r>
              <w:rPr>
                <w:color w:val="auto"/>
                <w:highlight w:val="none"/>
              </w:rPr>
              <w:t>925</w:t>
            </w:r>
          </w:p>
        </w:tc>
        <w:tc>
          <w:tcPr>
            <w:tcW w:w="712" w:type="pct"/>
            <w:noWrap/>
            <w:vAlign w:val="center"/>
          </w:tcPr>
          <w:p w14:paraId="30713224">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0.00121</w:t>
            </w:r>
          </w:p>
        </w:tc>
        <w:tc>
          <w:tcPr>
            <w:tcW w:w="406" w:type="pct"/>
            <w:noWrap/>
            <w:vAlign w:val="center"/>
          </w:tcPr>
          <w:p w14:paraId="462B8FA8">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c>
          <w:tcPr>
            <w:tcW w:w="1074" w:type="pct"/>
            <w:noWrap/>
            <w:vAlign w:val="center"/>
          </w:tcPr>
          <w:p w14:paraId="2419564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0.00121</w:t>
            </w:r>
          </w:p>
        </w:tc>
        <w:tc>
          <w:tcPr>
            <w:tcW w:w="596" w:type="pct"/>
            <w:noWrap/>
            <w:vAlign w:val="center"/>
          </w:tcPr>
          <w:p w14:paraId="37BAD63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c>
          <w:tcPr>
            <w:tcW w:w="820" w:type="pct"/>
            <w:noWrap/>
            <w:vAlign w:val="center"/>
          </w:tcPr>
          <w:p w14:paraId="5313BEC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0.00121</w:t>
            </w:r>
          </w:p>
        </w:tc>
        <w:tc>
          <w:tcPr>
            <w:tcW w:w="512" w:type="pct"/>
            <w:noWrap/>
            <w:vAlign w:val="center"/>
          </w:tcPr>
          <w:p w14:paraId="4CBD476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r>
      <w:tr w14:paraId="0F15B2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03F8C864">
            <w:pPr>
              <w:pStyle w:val="41"/>
              <w:rPr>
                <w:color w:val="auto"/>
                <w:highlight w:val="none"/>
              </w:rPr>
            </w:pPr>
            <w:r>
              <w:rPr>
                <w:color w:val="auto"/>
                <w:highlight w:val="none"/>
              </w:rPr>
              <w:t>40</w:t>
            </w:r>
          </w:p>
        </w:tc>
        <w:tc>
          <w:tcPr>
            <w:tcW w:w="548" w:type="pct"/>
            <w:noWrap/>
            <w:vAlign w:val="center"/>
          </w:tcPr>
          <w:p w14:paraId="14BBC093">
            <w:pPr>
              <w:pStyle w:val="41"/>
              <w:rPr>
                <w:color w:val="auto"/>
                <w:highlight w:val="none"/>
              </w:rPr>
            </w:pPr>
            <w:r>
              <w:rPr>
                <w:color w:val="auto"/>
                <w:highlight w:val="none"/>
              </w:rPr>
              <w:t>950</w:t>
            </w:r>
          </w:p>
        </w:tc>
        <w:tc>
          <w:tcPr>
            <w:tcW w:w="712" w:type="pct"/>
            <w:noWrap/>
            <w:vAlign w:val="center"/>
          </w:tcPr>
          <w:p w14:paraId="7057ACF0">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0.001196</w:t>
            </w:r>
          </w:p>
        </w:tc>
        <w:tc>
          <w:tcPr>
            <w:tcW w:w="406" w:type="pct"/>
            <w:noWrap/>
            <w:vAlign w:val="center"/>
          </w:tcPr>
          <w:p w14:paraId="4F815A6A">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c>
          <w:tcPr>
            <w:tcW w:w="1074" w:type="pct"/>
            <w:noWrap/>
            <w:vAlign w:val="center"/>
          </w:tcPr>
          <w:p w14:paraId="1CD15DA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0.001196</w:t>
            </w:r>
          </w:p>
        </w:tc>
        <w:tc>
          <w:tcPr>
            <w:tcW w:w="596" w:type="pct"/>
            <w:noWrap/>
            <w:vAlign w:val="center"/>
          </w:tcPr>
          <w:p w14:paraId="6A30389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c>
          <w:tcPr>
            <w:tcW w:w="820" w:type="pct"/>
            <w:noWrap/>
            <w:vAlign w:val="center"/>
          </w:tcPr>
          <w:p w14:paraId="012344A9">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0.001196</w:t>
            </w:r>
          </w:p>
        </w:tc>
        <w:tc>
          <w:tcPr>
            <w:tcW w:w="512" w:type="pct"/>
            <w:noWrap/>
            <w:vAlign w:val="center"/>
          </w:tcPr>
          <w:p w14:paraId="74C2D09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0.27</w:t>
            </w:r>
          </w:p>
        </w:tc>
      </w:tr>
      <w:tr w14:paraId="3D7DD9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681B8278">
            <w:pPr>
              <w:pStyle w:val="41"/>
              <w:rPr>
                <w:color w:val="auto"/>
                <w:highlight w:val="none"/>
              </w:rPr>
            </w:pPr>
            <w:r>
              <w:rPr>
                <w:color w:val="auto"/>
                <w:highlight w:val="none"/>
              </w:rPr>
              <w:t>41</w:t>
            </w:r>
          </w:p>
        </w:tc>
        <w:tc>
          <w:tcPr>
            <w:tcW w:w="548" w:type="pct"/>
            <w:noWrap/>
            <w:vAlign w:val="center"/>
          </w:tcPr>
          <w:p w14:paraId="22F9083D">
            <w:pPr>
              <w:pStyle w:val="41"/>
              <w:rPr>
                <w:color w:val="auto"/>
                <w:highlight w:val="none"/>
              </w:rPr>
            </w:pPr>
            <w:r>
              <w:rPr>
                <w:color w:val="auto"/>
                <w:highlight w:val="none"/>
              </w:rPr>
              <w:t>975</w:t>
            </w:r>
          </w:p>
        </w:tc>
        <w:tc>
          <w:tcPr>
            <w:tcW w:w="712" w:type="pct"/>
            <w:noWrap/>
            <w:vAlign w:val="center"/>
          </w:tcPr>
          <w:p w14:paraId="7002F2A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0.001182</w:t>
            </w:r>
          </w:p>
        </w:tc>
        <w:tc>
          <w:tcPr>
            <w:tcW w:w="406" w:type="pct"/>
            <w:noWrap/>
            <w:vAlign w:val="center"/>
          </w:tcPr>
          <w:p w14:paraId="578C85A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074" w:type="pct"/>
            <w:noWrap/>
            <w:vAlign w:val="center"/>
          </w:tcPr>
          <w:p w14:paraId="56340922">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0.001182</w:t>
            </w:r>
          </w:p>
        </w:tc>
        <w:tc>
          <w:tcPr>
            <w:tcW w:w="596" w:type="pct"/>
            <w:noWrap/>
            <w:vAlign w:val="center"/>
          </w:tcPr>
          <w:p w14:paraId="2EF1F1D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820" w:type="pct"/>
            <w:noWrap/>
            <w:vAlign w:val="center"/>
          </w:tcPr>
          <w:p w14:paraId="00A415B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0.001182</w:t>
            </w:r>
          </w:p>
        </w:tc>
        <w:tc>
          <w:tcPr>
            <w:tcW w:w="512" w:type="pct"/>
            <w:noWrap/>
            <w:vAlign w:val="center"/>
          </w:tcPr>
          <w:p w14:paraId="053B7D3C">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16331C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36A7EA9D">
            <w:pPr>
              <w:pStyle w:val="41"/>
              <w:rPr>
                <w:color w:val="auto"/>
                <w:highlight w:val="none"/>
              </w:rPr>
            </w:pPr>
            <w:r>
              <w:rPr>
                <w:color w:val="auto"/>
                <w:highlight w:val="none"/>
              </w:rPr>
              <w:t>42</w:t>
            </w:r>
          </w:p>
        </w:tc>
        <w:tc>
          <w:tcPr>
            <w:tcW w:w="548" w:type="pct"/>
            <w:noWrap/>
            <w:vAlign w:val="center"/>
          </w:tcPr>
          <w:p w14:paraId="25CE8B04">
            <w:pPr>
              <w:pStyle w:val="41"/>
              <w:rPr>
                <w:color w:val="auto"/>
                <w:highlight w:val="none"/>
              </w:rPr>
            </w:pPr>
            <w:r>
              <w:rPr>
                <w:color w:val="auto"/>
                <w:highlight w:val="none"/>
              </w:rPr>
              <w:t>1000</w:t>
            </w:r>
          </w:p>
        </w:tc>
        <w:tc>
          <w:tcPr>
            <w:tcW w:w="712" w:type="pct"/>
            <w:noWrap/>
            <w:vAlign w:val="center"/>
          </w:tcPr>
          <w:p w14:paraId="5949256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0.001181</w:t>
            </w:r>
          </w:p>
        </w:tc>
        <w:tc>
          <w:tcPr>
            <w:tcW w:w="406" w:type="pct"/>
            <w:noWrap/>
            <w:vAlign w:val="center"/>
          </w:tcPr>
          <w:p w14:paraId="6CD8107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074" w:type="pct"/>
            <w:noWrap/>
            <w:vAlign w:val="center"/>
          </w:tcPr>
          <w:p w14:paraId="4E47E6B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0.001181</w:t>
            </w:r>
          </w:p>
        </w:tc>
        <w:tc>
          <w:tcPr>
            <w:tcW w:w="596" w:type="pct"/>
            <w:noWrap/>
            <w:vAlign w:val="center"/>
          </w:tcPr>
          <w:p w14:paraId="09B4A6F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820" w:type="pct"/>
            <w:noWrap/>
            <w:vAlign w:val="center"/>
          </w:tcPr>
          <w:p w14:paraId="4DFCF59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0.001181</w:t>
            </w:r>
          </w:p>
        </w:tc>
        <w:tc>
          <w:tcPr>
            <w:tcW w:w="512" w:type="pct"/>
            <w:noWrap/>
            <w:vAlign w:val="center"/>
          </w:tcPr>
          <w:p w14:paraId="3DB1572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164F80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35F9AE71">
            <w:pPr>
              <w:pStyle w:val="41"/>
              <w:rPr>
                <w:color w:val="auto"/>
                <w:highlight w:val="none"/>
              </w:rPr>
            </w:pPr>
            <w:r>
              <w:rPr>
                <w:color w:val="auto"/>
                <w:highlight w:val="none"/>
              </w:rPr>
              <w:t>43</w:t>
            </w:r>
          </w:p>
        </w:tc>
        <w:tc>
          <w:tcPr>
            <w:tcW w:w="548" w:type="pct"/>
            <w:noWrap/>
            <w:vAlign w:val="center"/>
          </w:tcPr>
          <w:p w14:paraId="09CA8F19">
            <w:pPr>
              <w:pStyle w:val="41"/>
              <w:rPr>
                <w:color w:val="auto"/>
                <w:highlight w:val="none"/>
              </w:rPr>
            </w:pPr>
            <w:r>
              <w:rPr>
                <w:color w:val="auto"/>
                <w:highlight w:val="none"/>
              </w:rPr>
              <w:t>1025</w:t>
            </w:r>
          </w:p>
        </w:tc>
        <w:tc>
          <w:tcPr>
            <w:tcW w:w="712" w:type="pct"/>
            <w:noWrap/>
            <w:vAlign w:val="center"/>
          </w:tcPr>
          <w:p w14:paraId="7F789EBC">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0.001187</w:t>
            </w:r>
          </w:p>
        </w:tc>
        <w:tc>
          <w:tcPr>
            <w:tcW w:w="406" w:type="pct"/>
            <w:noWrap/>
            <w:vAlign w:val="center"/>
          </w:tcPr>
          <w:p w14:paraId="04423288">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074" w:type="pct"/>
            <w:noWrap/>
            <w:vAlign w:val="center"/>
          </w:tcPr>
          <w:p w14:paraId="770FE102">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0.001187</w:t>
            </w:r>
          </w:p>
        </w:tc>
        <w:tc>
          <w:tcPr>
            <w:tcW w:w="596" w:type="pct"/>
            <w:noWrap/>
            <w:vAlign w:val="center"/>
          </w:tcPr>
          <w:p w14:paraId="2C2A39E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820" w:type="pct"/>
            <w:noWrap/>
            <w:vAlign w:val="center"/>
          </w:tcPr>
          <w:p w14:paraId="09865C3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0.001187</w:t>
            </w:r>
          </w:p>
        </w:tc>
        <w:tc>
          <w:tcPr>
            <w:tcW w:w="512" w:type="pct"/>
            <w:noWrap/>
            <w:vAlign w:val="center"/>
          </w:tcPr>
          <w:p w14:paraId="37267FA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074BBC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63F6F76A">
            <w:pPr>
              <w:pStyle w:val="41"/>
              <w:rPr>
                <w:color w:val="auto"/>
                <w:highlight w:val="none"/>
              </w:rPr>
            </w:pPr>
            <w:r>
              <w:rPr>
                <w:color w:val="auto"/>
                <w:highlight w:val="none"/>
              </w:rPr>
              <w:t>44</w:t>
            </w:r>
          </w:p>
        </w:tc>
        <w:tc>
          <w:tcPr>
            <w:tcW w:w="548" w:type="pct"/>
            <w:noWrap/>
            <w:vAlign w:val="center"/>
          </w:tcPr>
          <w:p w14:paraId="643EFFD4">
            <w:pPr>
              <w:pStyle w:val="41"/>
              <w:rPr>
                <w:color w:val="auto"/>
                <w:highlight w:val="none"/>
              </w:rPr>
            </w:pPr>
            <w:r>
              <w:rPr>
                <w:color w:val="auto"/>
                <w:highlight w:val="none"/>
              </w:rPr>
              <w:t>1050</w:t>
            </w:r>
          </w:p>
        </w:tc>
        <w:tc>
          <w:tcPr>
            <w:tcW w:w="712" w:type="pct"/>
            <w:noWrap/>
            <w:vAlign w:val="center"/>
          </w:tcPr>
          <w:p w14:paraId="41E9916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0.001185</w:t>
            </w:r>
          </w:p>
        </w:tc>
        <w:tc>
          <w:tcPr>
            <w:tcW w:w="406" w:type="pct"/>
            <w:noWrap/>
            <w:vAlign w:val="center"/>
          </w:tcPr>
          <w:p w14:paraId="7265EFB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074" w:type="pct"/>
            <w:noWrap/>
            <w:vAlign w:val="center"/>
          </w:tcPr>
          <w:p w14:paraId="75E02E7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0.001185</w:t>
            </w:r>
          </w:p>
        </w:tc>
        <w:tc>
          <w:tcPr>
            <w:tcW w:w="596" w:type="pct"/>
            <w:noWrap/>
            <w:vAlign w:val="center"/>
          </w:tcPr>
          <w:p w14:paraId="54C8491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820" w:type="pct"/>
            <w:noWrap/>
            <w:vAlign w:val="center"/>
          </w:tcPr>
          <w:p w14:paraId="6C305D6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0.001185</w:t>
            </w:r>
          </w:p>
        </w:tc>
        <w:tc>
          <w:tcPr>
            <w:tcW w:w="512" w:type="pct"/>
            <w:noWrap/>
            <w:vAlign w:val="center"/>
          </w:tcPr>
          <w:p w14:paraId="2FD251A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0448B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042D13C">
            <w:pPr>
              <w:pStyle w:val="41"/>
              <w:rPr>
                <w:color w:val="auto"/>
                <w:highlight w:val="none"/>
              </w:rPr>
            </w:pPr>
            <w:r>
              <w:rPr>
                <w:color w:val="auto"/>
                <w:highlight w:val="none"/>
              </w:rPr>
              <w:t>45</w:t>
            </w:r>
          </w:p>
        </w:tc>
        <w:tc>
          <w:tcPr>
            <w:tcW w:w="548" w:type="pct"/>
            <w:noWrap/>
            <w:vAlign w:val="center"/>
          </w:tcPr>
          <w:p w14:paraId="777F44D4">
            <w:pPr>
              <w:pStyle w:val="41"/>
              <w:rPr>
                <w:color w:val="auto"/>
                <w:highlight w:val="none"/>
              </w:rPr>
            </w:pPr>
            <w:r>
              <w:rPr>
                <w:color w:val="auto"/>
                <w:highlight w:val="none"/>
              </w:rPr>
              <w:t>1075</w:t>
            </w:r>
          </w:p>
        </w:tc>
        <w:tc>
          <w:tcPr>
            <w:tcW w:w="712" w:type="pct"/>
            <w:noWrap/>
            <w:vAlign w:val="center"/>
          </w:tcPr>
          <w:p w14:paraId="11E70BF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0.001183</w:t>
            </w:r>
          </w:p>
        </w:tc>
        <w:tc>
          <w:tcPr>
            <w:tcW w:w="406" w:type="pct"/>
            <w:noWrap/>
            <w:vAlign w:val="center"/>
          </w:tcPr>
          <w:p w14:paraId="4A9D363A">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074" w:type="pct"/>
            <w:noWrap/>
            <w:vAlign w:val="center"/>
          </w:tcPr>
          <w:p w14:paraId="1F82353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0.001183</w:t>
            </w:r>
          </w:p>
        </w:tc>
        <w:tc>
          <w:tcPr>
            <w:tcW w:w="596" w:type="pct"/>
            <w:noWrap/>
            <w:vAlign w:val="center"/>
          </w:tcPr>
          <w:p w14:paraId="23B4DE6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820" w:type="pct"/>
            <w:noWrap/>
            <w:vAlign w:val="center"/>
          </w:tcPr>
          <w:p w14:paraId="26E8C82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0.001183</w:t>
            </w:r>
          </w:p>
        </w:tc>
        <w:tc>
          <w:tcPr>
            <w:tcW w:w="512" w:type="pct"/>
            <w:noWrap/>
            <w:vAlign w:val="center"/>
          </w:tcPr>
          <w:p w14:paraId="1423C2A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74333F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4258A7F9">
            <w:pPr>
              <w:pStyle w:val="41"/>
              <w:rPr>
                <w:color w:val="auto"/>
                <w:highlight w:val="none"/>
              </w:rPr>
            </w:pPr>
            <w:r>
              <w:rPr>
                <w:color w:val="auto"/>
                <w:highlight w:val="none"/>
              </w:rPr>
              <w:t>46</w:t>
            </w:r>
          </w:p>
        </w:tc>
        <w:tc>
          <w:tcPr>
            <w:tcW w:w="548" w:type="pct"/>
            <w:noWrap/>
            <w:vAlign w:val="center"/>
          </w:tcPr>
          <w:p w14:paraId="6387095A">
            <w:pPr>
              <w:pStyle w:val="41"/>
              <w:rPr>
                <w:color w:val="auto"/>
                <w:highlight w:val="none"/>
              </w:rPr>
            </w:pPr>
            <w:r>
              <w:rPr>
                <w:color w:val="auto"/>
                <w:highlight w:val="none"/>
              </w:rPr>
              <w:t>1100</w:t>
            </w:r>
          </w:p>
        </w:tc>
        <w:tc>
          <w:tcPr>
            <w:tcW w:w="712" w:type="pct"/>
            <w:noWrap/>
            <w:vAlign w:val="center"/>
          </w:tcPr>
          <w:p w14:paraId="29FCA84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0.00118</w:t>
            </w:r>
          </w:p>
        </w:tc>
        <w:tc>
          <w:tcPr>
            <w:tcW w:w="406" w:type="pct"/>
            <w:noWrap/>
            <w:vAlign w:val="center"/>
          </w:tcPr>
          <w:p w14:paraId="5FEE9C6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074" w:type="pct"/>
            <w:noWrap/>
            <w:vAlign w:val="center"/>
          </w:tcPr>
          <w:p w14:paraId="6FA2968E">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w:t>
            </w:r>
          </w:p>
        </w:tc>
        <w:tc>
          <w:tcPr>
            <w:tcW w:w="596" w:type="pct"/>
            <w:noWrap/>
            <w:vAlign w:val="center"/>
          </w:tcPr>
          <w:p w14:paraId="3D39C30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820" w:type="pct"/>
            <w:noWrap/>
            <w:vAlign w:val="center"/>
          </w:tcPr>
          <w:p w14:paraId="58DF129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0.00118</w:t>
            </w:r>
          </w:p>
        </w:tc>
        <w:tc>
          <w:tcPr>
            <w:tcW w:w="512" w:type="pct"/>
            <w:noWrap/>
            <w:vAlign w:val="center"/>
          </w:tcPr>
          <w:p w14:paraId="7418E5F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089406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98EBAAE">
            <w:pPr>
              <w:pStyle w:val="41"/>
              <w:rPr>
                <w:color w:val="auto"/>
                <w:highlight w:val="none"/>
              </w:rPr>
            </w:pPr>
            <w:r>
              <w:rPr>
                <w:color w:val="auto"/>
                <w:highlight w:val="none"/>
              </w:rPr>
              <w:t>47</w:t>
            </w:r>
          </w:p>
        </w:tc>
        <w:tc>
          <w:tcPr>
            <w:tcW w:w="548" w:type="pct"/>
            <w:noWrap/>
            <w:vAlign w:val="center"/>
          </w:tcPr>
          <w:p w14:paraId="6D3A47C0">
            <w:pPr>
              <w:pStyle w:val="41"/>
              <w:rPr>
                <w:color w:val="auto"/>
                <w:highlight w:val="none"/>
              </w:rPr>
            </w:pPr>
            <w:r>
              <w:rPr>
                <w:color w:val="auto"/>
                <w:highlight w:val="none"/>
              </w:rPr>
              <w:t>1125</w:t>
            </w:r>
          </w:p>
        </w:tc>
        <w:tc>
          <w:tcPr>
            <w:tcW w:w="712" w:type="pct"/>
            <w:noWrap/>
            <w:vAlign w:val="center"/>
          </w:tcPr>
          <w:p w14:paraId="0C4BC72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0.001176</w:t>
            </w:r>
          </w:p>
        </w:tc>
        <w:tc>
          <w:tcPr>
            <w:tcW w:w="406" w:type="pct"/>
            <w:noWrap/>
            <w:vAlign w:val="center"/>
          </w:tcPr>
          <w:p w14:paraId="745BCA8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074" w:type="pct"/>
            <w:noWrap/>
            <w:vAlign w:val="center"/>
          </w:tcPr>
          <w:p w14:paraId="2154463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0.001176</w:t>
            </w:r>
          </w:p>
        </w:tc>
        <w:tc>
          <w:tcPr>
            <w:tcW w:w="596" w:type="pct"/>
            <w:noWrap/>
            <w:vAlign w:val="center"/>
          </w:tcPr>
          <w:p w14:paraId="2AC3DAD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820" w:type="pct"/>
            <w:noWrap/>
            <w:vAlign w:val="center"/>
          </w:tcPr>
          <w:p w14:paraId="26C0CB9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0.001176</w:t>
            </w:r>
          </w:p>
        </w:tc>
        <w:tc>
          <w:tcPr>
            <w:tcW w:w="512" w:type="pct"/>
            <w:noWrap/>
            <w:vAlign w:val="center"/>
          </w:tcPr>
          <w:p w14:paraId="1983E33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13A33E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4ABE08F4">
            <w:pPr>
              <w:pStyle w:val="41"/>
              <w:rPr>
                <w:color w:val="auto"/>
                <w:highlight w:val="none"/>
              </w:rPr>
            </w:pPr>
            <w:r>
              <w:rPr>
                <w:color w:val="auto"/>
                <w:highlight w:val="none"/>
              </w:rPr>
              <w:t>48</w:t>
            </w:r>
          </w:p>
        </w:tc>
        <w:tc>
          <w:tcPr>
            <w:tcW w:w="548" w:type="pct"/>
            <w:noWrap/>
            <w:vAlign w:val="center"/>
          </w:tcPr>
          <w:p w14:paraId="0120AB04">
            <w:pPr>
              <w:pStyle w:val="41"/>
              <w:rPr>
                <w:color w:val="auto"/>
                <w:highlight w:val="none"/>
              </w:rPr>
            </w:pPr>
            <w:r>
              <w:rPr>
                <w:color w:val="auto"/>
                <w:highlight w:val="none"/>
              </w:rPr>
              <w:t>1150</w:t>
            </w:r>
          </w:p>
        </w:tc>
        <w:tc>
          <w:tcPr>
            <w:tcW w:w="712" w:type="pct"/>
            <w:noWrap/>
            <w:vAlign w:val="center"/>
          </w:tcPr>
          <w:p w14:paraId="6FB3897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0.001171</w:t>
            </w:r>
          </w:p>
        </w:tc>
        <w:tc>
          <w:tcPr>
            <w:tcW w:w="406" w:type="pct"/>
            <w:noWrap/>
            <w:vAlign w:val="center"/>
          </w:tcPr>
          <w:p w14:paraId="613250CC">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074" w:type="pct"/>
            <w:noWrap/>
            <w:vAlign w:val="center"/>
          </w:tcPr>
          <w:p w14:paraId="18F42879">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0.001171</w:t>
            </w:r>
          </w:p>
        </w:tc>
        <w:tc>
          <w:tcPr>
            <w:tcW w:w="596" w:type="pct"/>
            <w:noWrap/>
            <w:vAlign w:val="center"/>
          </w:tcPr>
          <w:p w14:paraId="45457B9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820" w:type="pct"/>
            <w:noWrap/>
            <w:vAlign w:val="center"/>
          </w:tcPr>
          <w:p w14:paraId="43070FDC">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0.001171</w:t>
            </w:r>
          </w:p>
        </w:tc>
        <w:tc>
          <w:tcPr>
            <w:tcW w:w="512" w:type="pct"/>
            <w:noWrap/>
            <w:vAlign w:val="center"/>
          </w:tcPr>
          <w:p w14:paraId="2CAA683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194527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0BC4864F">
            <w:pPr>
              <w:pStyle w:val="41"/>
              <w:rPr>
                <w:color w:val="auto"/>
                <w:highlight w:val="none"/>
              </w:rPr>
            </w:pPr>
            <w:r>
              <w:rPr>
                <w:color w:val="auto"/>
                <w:highlight w:val="none"/>
              </w:rPr>
              <w:t>49</w:t>
            </w:r>
          </w:p>
        </w:tc>
        <w:tc>
          <w:tcPr>
            <w:tcW w:w="548" w:type="pct"/>
            <w:noWrap/>
            <w:vAlign w:val="center"/>
          </w:tcPr>
          <w:p w14:paraId="5B2DF5EA">
            <w:pPr>
              <w:pStyle w:val="41"/>
              <w:rPr>
                <w:color w:val="auto"/>
                <w:highlight w:val="none"/>
              </w:rPr>
            </w:pPr>
            <w:r>
              <w:rPr>
                <w:color w:val="auto"/>
                <w:highlight w:val="none"/>
              </w:rPr>
              <w:t>1175</w:t>
            </w:r>
          </w:p>
        </w:tc>
        <w:tc>
          <w:tcPr>
            <w:tcW w:w="712" w:type="pct"/>
            <w:noWrap/>
            <w:vAlign w:val="center"/>
          </w:tcPr>
          <w:p w14:paraId="1F2030B0">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0.001165</w:t>
            </w:r>
          </w:p>
        </w:tc>
        <w:tc>
          <w:tcPr>
            <w:tcW w:w="406" w:type="pct"/>
            <w:noWrap/>
            <w:vAlign w:val="center"/>
          </w:tcPr>
          <w:p w14:paraId="3E1A018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074" w:type="pct"/>
            <w:noWrap/>
            <w:vAlign w:val="center"/>
          </w:tcPr>
          <w:p w14:paraId="7C2337A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0.001165</w:t>
            </w:r>
          </w:p>
        </w:tc>
        <w:tc>
          <w:tcPr>
            <w:tcW w:w="596" w:type="pct"/>
            <w:noWrap/>
            <w:vAlign w:val="center"/>
          </w:tcPr>
          <w:p w14:paraId="0EF764E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820" w:type="pct"/>
            <w:noWrap/>
            <w:vAlign w:val="center"/>
          </w:tcPr>
          <w:p w14:paraId="02321C0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0.001165</w:t>
            </w:r>
          </w:p>
        </w:tc>
        <w:tc>
          <w:tcPr>
            <w:tcW w:w="512" w:type="pct"/>
            <w:noWrap/>
            <w:vAlign w:val="center"/>
          </w:tcPr>
          <w:p w14:paraId="29EA725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163BB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518F6D4B">
            <w:pPr>
              <w:pStyle w:val="41"/>
              <w:rPr>
                <w:color w:val="auto"/>
                <w:highlight w:val="none"/>
              </w:rPr>
            </w:pPr>
            <w:r>
              <w:rPr>
                <w:color w:val="auto"/>
                <w:highlight w:val="none"/>
              </w:rPr>
              <w:t>50</w:t>
            </w:r>
          </w:p>
        </w:tc>
        <w:tc>
          <w:tcPr>
            <w:tcW w:w="548" w:type="pct"/>
            <w:noWrap/>
            <w:vAlign w:val="center"/>
          </w:tcPr>
          <w:p w14:paraId="5F94E32A">
            <w:pPr>
              <w:pStyle w:val="41"/>
              <w:rPr>
                <w:color w:val="auto"/>
                <w:highlight w:val="none"/>
              </w:rPr>
            </w:pPr>
            <w:r>
              <w:rPr>
                <w:color w:val="auto"/>
                <w:highlight w:val="none"/>
              </w:rPr>
              <w:t>1200</w:t>
            </w:r>
          </w:p>
        </w:tc>
        <w:tc>
          <w:tcPr>
            <w:tcW w:w="712" w:type="pct"/>
            <w:noWrap/>
            <w:vAlign w:val="center"/>
          </w:tcPr>
          <w:p w14:paraId="1A29C150">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0.00116</w:t>
            </w:r>
          </w:p>
        </w:tc>
        <w:tc>
          <w:tcPr>
            <w:tcW w:w="406" w:type="pct"/>
            <w:noWrap/>
            <w:vAlign w:val="center"/>
          </w:tcPr>
          <w:p w14:paraId="4C5F424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074" w:type="pct"/>
            <w:noWrap/>
            <w:vAlign w:val="center"/>
          </w:tcPr>
          <w:p w14:paraId="30993CD2">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0.00116</w:t>
            </w:r>
          </w:p>
        </w:tc>
        <w:tc>
          <w:tcPr>
            <w:tcW w:w="596" w:type="pct"/>
            <w:noWrap/>
            <w:vAlign w:val="center"/>
          </w:tcPr>
          <w:p w14:paraId="00A5E3F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820" w:type="pct"/>
            <w:noWrap/>
            <w:vAlign w:val="center"/>
          </w:tcPr>
          <w:p w14:paraId="39A7C23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0.00116</w:t>
            </w:r>
          </w:p>
        </w:tc>
        <w:tc>
          <w:tcPr>
            <w:tcW w:w="512" w:type="pct"/>
            <w:noWrap/>
            <w:vAlign w:val="center"/>
          </w:tcPr>
          <w:p w14:paraId="3AFC48B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373667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67F13255">
            <w:pPr>
              <w:pStyle w:val="41"/>
              <w:rPr>
                <w:color w:val="auto"/>
                <w:highlight w:val="none"/>
              </w:rPr>
            </w:pPr>
            <w:r>
              <w:rPr>
                <w:color w:val="auto"/>
                <w:highlight w:val="none"/>
              </w:rPr>
              <w:t>51</w:t>
            </w:r>
          </w:p>
        </w:tc>
        <w:tc>
          <w:tcPr>
            <w:tcW w:w="548" w:type="pct"/>
            <w:noWrap/>
            <w:vAlign w:val="center"/>
          </w:tcPr>
          <w:p w14:paraId="0D266989">
            <w:pPr>
              <w:pStyle w:val="41"/>
              <w:rPr>
                <w:color w:val="auto"/>
                <w:highlight w:val="none"/>
              </w:rPr>
            </w:pPr>
            <w:r>
              <w:rPr>
                <w:color w:val="auto"/>
                <w:highlight w:val="none"/>
              </w:rPr>
              <w:t>1225</w:t>
            </w:r>
          </w:p>
        </w:tc>
        <w:tc>
          <w:tcPr>
            <w:tcW w:w="712" w:type="pct"/>
            <w:noWrap/>
            <w:vAlign w:val="center"/>
          </w:tcPr>
          <w:p w14:paraId="24F4A32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0.001153</w:t>
            </w:r>
          </w:p>
        </w:tc>
        <w:tc>
          <w:tcPr>
            <w:tcW w:w="406" w:type="pct"/>
            <w:noWrap/>
            <w:vAlign w:val="center"/>
          </w:tcPr>
          <w:p w14:paraId="438E0C8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1074" w:type="pct"/>
            <w:noWrap/>
            <w:vAlign w:val="center"/>
          </w:tcPr>
          <w:p w14:paraId="1244844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0.001153</w:t>
            </w:r>
          </w:p>
        </w:tc>
        <w:tc>
          <w:tcPr>
            <w:tcW w:w="596" w:type="pct"/>
            <w:noWrap/>
            <w:vAlign w:val="center"/>
          </w:tcPr>
          <w:p w14:paraId="4D713F4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c>
          <w:tcPr>
            <w:tcW w:w="820" w:type="pct"/>
            <w:noWrap/>
            <w:vAlign w:val="center"/>
          </w:tcPr>
          <w:p w14:paraId="34B9533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0.001153</w:t>
            </w:r>
          </w:p>
        </w:tc>
        <w:tc>
          <w:tcPr>
            <w:tcW w:w="512" w:type="pct"/>
            <w:noWrap/>
            <w:vAlign w:val="center"/>
          </w:tcPr>
          <w:p w14:paraId="32CF355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0.26</w:t>
            </w:r>
          </w:p>
        </w:tc>
      </w:tr>
      <w:tr w14:paraId="5AC64D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3BE6E06D">
            <w:pPr>
              <w:pStyle w:val="41"/>
              <w:rPr>
                <w:color w:val="auto"/>
                <w:highlight w:val="none"/>
              </w:rPr>
            </w:pPr>
            <w:r>
              <w:rPr>
                <w:color w:val="auto"/>
                <w:highlight w:val="none"/>
              </w:rPr>
              <w:t>52</w:t>
            </w:r>
          </w:p>
        </w:tc>
        <w:tc>
          <w:tcPr>
            <w:tcW w:w="548" w:type="pct"/>
            <w:noWrap/>
            <w:vAlign w:val="center"/>
          </w:tcPr>
          <w:p w14:paraId="3F692187">
            <w:pPr>
              <w:pStyle w:val="41"/>
              <w:rPr>
                <w:color w:val="auto"/>
                <w:highlight w:val="none"/>
              </w:rPr>
            </w:pPr>
            <w:r>
              <w:rPr>
                <w:color w:val="auto"/>
                <w:highlight w:val="none"/>
              </w:rPr>
              <w:t>1250</w:t>
            </w:r>
          </w:p>
        </w:tc>
        <w:tc>
          <w:tcPr>
            <w:tcW w:w="712" w:type="pct"/>
            <w:noWrap/>
            <w:vAlign w:val="center"/>
          </w:tcPr>
          <w:p w14:paraId="59C6D1F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0.001146</w:t>
            </w:r>
          </w:p>
        </w:tc>
        <w:tc>
          <w:tcPr>
            <w:tcW w:w="406" w:type="pct"/>
            <w:noWrap/>
            <w:vAlign w:val="center"/>
          </w:tcPr>
          <w:p w14:paraId="624F240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074" w:type="pct"/>
            <w:noWrap/>
            <w:vAlign w:val="center"/>
          </w:tcPr>
          <w:p w14:paraId="63924E5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0.001146</w:t>
            </w:r>
          </w:p>
        </w:tc>
        <w:tc>
          <w:tcPr>
            <w:tcW w:w="596" w:type="pct"/>
            <w:noWrap/>
            <w:vAlign w:val="center"/>
          </w:tcPr>
          <w:p w14:paraId="4C72A7F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820" w:type="pct"/>
            <w:noWrap/>
            <w:vAlign w:val="center"/>
          </w:tcPr>
          <w:p w14:paraId="0C57721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0.001146</w:t>
            </w:r>
          </w:p>
        </w:tc>
        <w:tc>
          <w:tcPr>
            <w:tcW w:w="512" w:type="pct"/>
            <w:noWrap/>
            <w:vAlign w:val="center"/>
          </w:tcPr>
          <w:p w14:paraId="21ED9E8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r>
      <w:tr w14:paraId="5408EB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68E70A47">
            <w:pPr>
              <w:pStyle w:val="41"/>
              <w:rPr>
                <w:color w:val="auto"/>
                <w:highlight w:val="none"/>
              </w:rPr>
            </w:pPr>
            <w:r>
              <w:rPr>
                <w:color w:val="auto"/>
                <w:highlight w:val="none"/>
              </w:rPr>
              <w:t>53</w:t>
            </w:r>
          </w:p>
        </w:tc>
        <w:tc>
          <w:tcPr>
            <w:tcW w:w="548" w:type="pct"/>
            <w:noWrap/>
            <w:vAlign w:val="center"/>
          </w:tcPr>
          <w:p w14:paraId="081A12AF">
            <w:pPr>
              <w:pStyle w:val="41"/>
              <w:rPr>
                <w:color w:val="auto"/>
                <w:highlight w:val="none"/>
              </w:rPr>
            </w:pPr>
            <w:r>
              <w:rPr>
                <w:color w:val="auto"/>
                <w:highlight w:val="none"/>
              </w:rPr>
              <w:t>1275</w:t>
            </w:r>
          </w:p>
        </w:tc>
        <w:tc>
          <w:tcPr>
            <w:tcW w:w="712" w:type="pct"/>
            <w:noWrap/>
            <w:vAlign w:val="center"/>
          </w:tcPr>
          <w:p w14:paraId="37816D5E">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0.001139</w:t>
            </w:r>
          </w:p>
        </w:tc>
        <w:tc>
          <w:tcPr>
            <w:tcW w:w="406" w:type="pct"/>
            <w:noWrap/>
            <w:vAlign w:val="center"/>
          </w:tcPr>
          <w:p w14:paraId="7A21C228">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074" w:type="pct"/>
            <w:noWrap/>
            <w:vAlign w:val="center"/>
          </w:tcPr>
          <w:p w14:paraId="0A1C9E5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0.001139</w:t>
            </w:r>
          </w:p>
        </w:tc>
        <w:tc>
          <w:tcPr>
            <w:tcW w:w="596" w:type="pct"/>
            <w:noWrap/>
            <w:vAlign w:val="center"/>
          </w:tcPr>
          <w:p w14:paraId="0A8D107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820" w:type="pct"/>
            <w:noWrap/>
            <w:vAlign w:val="center"/>
          </w:tcPr>
          <w:p w14:paraId="45B4548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0.001139</w:t>
            </w:r>
          </w:p>
        </w:tc>
        <w:tc>
          <w:tcPr>
            <w:tcW w:w="512" w:type="pct"/>
            <w:noWrap/>
            <w:vAlign w:val="center"/>
          </w:tcPr>
          <w:p w14:paraId="2CB4553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r>
      <w:tr w14:paraId="1ECDEC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EE4234A">
            <w:pPr>
              <w:pStyle w:val="41"/>
              <w:rPr>
                <w:color w:val="auto"/>
                <w:highlight w:val="none"/>
              </w:rPr>
            </w:pPr>
            <w:r>
              <w:rPr>
                <w:color w:val="auto"/>
                <w:highlight w:val="none"/>
              </w:rPr>
              <w:t>54</w:t>
            </w:r>
          </w:p>
        </w:tc>
        <w:tc>
          <w:tcPr>
            <w:tcW w:w="548" w:type="pct"/>
            <w:noWrap/>
            <w:vAlign w:val="center"/>
          </w:tcPr>
          <w:p w14:paraId="235F6E5E">
            <w:pPr>
              <w:pStyle w:val="41"/>
              <w:rPr>
                <w:color w:val="auto"/>
                <w:highlight w:val="none"/>
              </w:rPr>
            </w:pPr>
            <w:r>
              <w:rPr>
                <w:color w:val="auto"/>
                <w:highlight w:val="none"/>
              </w:rPr>
              <w:t>1300</w:t>
            </w:r>
          </w:p>
        </w:tc>
        <w:tc>
          <w:tcPr>
            <w:tcW w:w="712" w:type="pct"/>
            <w:noWrap/>
            <w:vAlign w:val="center"/>
          </w:tcPr>
          <w:p w14:paraId="22C0ECB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0.001131</w:t>
            </w:r>
          </w:p>
        </w:tc>
        <w:tc>
          <w:tcPr>
            <w:tcW w:w="406" w:type="pct"/>
            <w:noWrap/>
            <w:vAlign w:val="center"/>
          </w:tcPr>
          <w:p w14:paraId="0450136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074" w:type="pct"/>
            <w:noWrap/>
            <w:vAlign w:val="center"/>
          </w:tcPr>
          <w:p w14:paraId="082EFBD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0.001131</w:t>
            </w:r>
          </w:p>
        </w:tc>
        <w:tc>
          <w:tcPr>
            <w:tcW w:w="596" w:type="pct"/>
            <w:noWrap/>
            <w:vAlign w:val="center"/>
          </w:tcPr>
          <w:p w14:paraId="1719E89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820" w:type="pct"/>
            <w:noWrap/>
            <w:vAlign w:val="center"/>
          </w:tcPr>
          <w:p w14:paraId="5C764529">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0.001131</w:t>
            </w:r>
          </w:p>
        </w:tc>
        <w:tc>
          <w:tcPr>
            <w:tcW w:w="512" w:type="pct"/>
            <w:noWrap/>
            <w:vAlign w:val="center"/>
          </w:tcPr>
          <w:p w14:paraId="0A909D0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r>
      <w:tr w14:paraId="0B8560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015BB816">
            <w:pPr>
              <w:pStyle w:val="41"/>
              <w:rPr>
                <w:color w:val="auto"/>
                <w:highlight w:val="none"/>
              </w:rPr>
            </w:pPr>
            <w:r>
              <w:rPr>
                <w:color w:val="auto"/>
                <w:highlight w:val="none"/>
              </w:rPr>
              <w:t>55</w:t>
            </w:r>
          </w:p>
        </w:tc>
        <w:tc>
          <w:tcPr>
            <w:tcW w:w="548" w:type="pct"/>
            <w:noWrap/>
            <w:vAlign w:val="center"/>
          </w:tcPr>
          <w:p w14:paraId="332F36CC">
            <w:pPr>
              <w:pStyle w:val="41"/>
              <w:rPr>
                <w:color w:val="auto"/>
                <w:highlight w:val="none"/>
              </w:rPr>
            </w:pPr>
            <w:r>
              <w:rPr>
                <w:color w:val="auto"/>
                <w:highlight w:val="none"/>
              </w:rPr>
              <w:t>1325</w:t>
            </w:r>
          </w:p>
        </w:tc>
        <w:tc>
          <w:tcPr>
            <w:tcW w:w="712" w:type="pct"/>
            <w:noWrap/>
            <w:vAlign w:val="center"/>
          </w:tcPr>
          <w:p w14:paraId="2AA991C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0.001123</w:t>
            </w:r>
          </w:p>
        </w:tc>
        <w:tc>
          <w:tcPr>
            <w:tcW w:w="406" w:type="pct"/>
            <w:noWrap/>
            <w:vAlign w:val="center"/>
          </w:tcPr>
          <w:p w14:paraId="06B59F1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074" w:type="pct"/>
            <w:noWrap/>
            <w:vAlign w:val="center"/>
          </w:tcPr>
          <w:p w14:paraId="7216E9D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0.001123</w:t>
            </w:r>
          </w:p>
        </w:tc>
        <w:tc>
          <w:tcPr>
            <w:tcW w:w="596" w:type="pct"/>
            <w:noWrap/>
            <w:vAlign w:val="center"/>
          </w:tcPr>
          <w:p w14:paraId="34A39B9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820" w:type="pct"/>
            <w:noWrap/>
            <w:vAlign w:val="center"/>
          </w:tcPr>
          <w:p w14:paraId="31214C8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0.001123</w:t>
            </w:r>
          </w:p>
        </w:tc>
        <w:tc>
          <w:tcPr>
            <w:tcW w:w="512" w:type="pct"/>
            <w:noWrap/>
            <w:vAlign w:val="center"/>
          </w:tcPr>
          <w:p w14:paraId="24BA454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r>
      <w:tr w14:paraId="7226FA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445F3B9">
            <w:pPr>
              <w:pStyle w:val="41"/>
              <w:rPr>
                <w:color w:val="auto"/>
                <w:highlight w:val="none"/>
              </w:rPr>
            </w:pPr>
            <w:r>
              <w:rPr>
                <w:color w:val="auto"/>
                <w:highlight w:val="none"/>
              </w:rPr>
              <w:t>56</w:t>
            </w:r>
          </w:p>
        </w:tc>
        <w:tc>
          <w:tcPr>
            <w:tcW w:w="548" w:type="pct"/>
            <w:noWrap/>
            <w:vAlign w:val="center"/>
          </w:tcPr>
          <w:p w14:paraId="71FCA3C6">
            <w:pPr>
              <w:pStyle w:val="41"/>
              <w:rPr>
                <w:color w:val="auto"/>
                <w:highlight w:val="none"/>
              </w:rPr>
            </w:pPr>
            <w:r>
              <w:rPr>
                <w:color w:val="auto"/>
                <w:highlight w:val="none"/>
              </w:rPr>
              <w:t>1350</w:t>
            </w:r>
          </w:p>
        </w:tc>
        <w:tc>
          <w:tcPr>
            <w:tcW w:w="712" w:type="pct"/>
            <w:noWrap/>
            <w:vAlign w:val="center"/>
          </w:tcPr>
          <w:p w14:paraId="5FFE91F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0.001115</w:t>
            </w:r>
          </w:p>
        </w:tc>
        <w:tc>
          <w:tcPr>
            <w:tcW w:w="406" w:type="pct"/>
            <w:noWrap/>
            <w:vAlign w:val="center"/>
          </w:tcPr>
          <w:p w14:paraId="4991B13E">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074" w:type="pct"/>
            <w:noWrap/>
            <w:vAlign w:val="center"/>
          </w:tcPr>
          <w:p w14:paraId="09AF2402">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0.001115</w:t>
            </w:r>
          </w:p>
        </w:tc>
        <w:tc>
          <w:tcPr>
            <w:tcW w:w="596" w:type="pct"/>
            <w:noWrap/>
            <w:vAlign w:val="center"/>
          </w:tcPr>
          <w:p w14:paraId="320BCDB9">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820" w:type="pct"/>
            <w:noWrap/>
            <w:vAlign w:val="center"/>
          </w:tcPr>
          <w:p w14:paraId="02068FB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0.001115</w:t>
            </w:r>
          </w:p>
        </w:tc>
        <w:tc>
          <w:tcPr>
            <w:tcW w:w="512" w:type="pct"/>
            <w:noWrap/>
            <w:vAlign w:val="center"/>
          </w:tcPr>
          <w:p w14:paraId="553B1CC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r>
      <w:tr w14:paraId="451DCC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63C06562">
            <w:pPr>
              <w:pStyle w:val="41"/>
              <w:rPr>
                <w:color w:val="auto"/>
                <w:highlight w:val="none"/>
              </w:rPr>
            </w:pPr>
            <w:r>
              <w:rPr>
                <w:color w:val="auto"/>
                <w:highlight w:val="none"/>
              </w:rPr>
              <w:t>57</w:t>
            </w:r>
          </w:p>
        </w:tc>
        <w:tc>
          <w:tcPr>
            <w:tcW w:w="548" w:type="pct"/>
            <w:noWrap/>
            <w:vAlign w:val="center"/>
          </w:tcPr>
          <w:p w14:paraId="4FBB48BA">
            <w:pPr>
              <w:pStyle w:val="41"/>
              <w:rPr>
                <w:color w:val="auto"/>
                <w:highlight w:val="none"/>
              </w:rPr>
            </w:pPr>
            <w:r>
              <w:rPr>
                <w:color w:val="auto"/>
                <w:highlight w:val="none"/>
              </w:rPr>
              <w:t>1375</w:t>
            </w:r>
          </w:p>
        </w:tc>
        <w:tc>
          <w:tcPr>
            <w:tcW w:w="712" w:type="pct"/>
            <w:noWrap/>
            <w:vAlign w:val="center"/>
          </w:tcPr>
          <w:p w14:paraId="3D79E9B4">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0.001107</w:t>
            </w:r>
          </w:p>
        </w:tc>
        <w:tc>
          <w:tcPr>
            <w:tcW w:w="406" w:type="pct"/>
            <w:noWrap/>
            <w:vAlign w:val="center"/>
          </w:tcPr>
          <w:p w14:paraId="6AB59CE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1074" w:type="pct"/>
            <w:noWrap/>
            <w:vAlign w:val="center"/>
          </w:tcPr>
          <w:p w14:paraId="77A5A4AC">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0.001107</w:t>
            </w:r>
          </w:p>
        </w:tc>
        <w:tc>
          <w:tcPr>
            <w:tcW w:w="596" w:type="pct"/>
            <w:noWrap/>
            <w:vAlign w:val="center"/>
          </w:tcPr>
          <w:p w14:paraId="41F915FE">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c>
          <w:tcPr>
            <w:tcW w:w="820" w:type="pct"/>
            <w:noWrap/>
            <w:vAlign w:val="center"/>
          </w:tcPr>
          <w:p w14:paraId="7AC5AF19">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0.001107</w:t>
            </w:r>
          </w:p>
        </w:tc>
        <w:tc>
          <w:tcPr>
            <w:tcW w:w="512" w:type="pct"/>
            <w:noWrap/>
            <w:vAlign w:val="center"/>
          </w:tcPr>
          <w:p w14:paraId="2417722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0.25</w:t>
            </w:r>
          </w:p>
        </w:tc>
      </w:tr>
      <w:tr w14:paraId="1F9C58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52CE9EA7">
            <w:pPr>
              <w:pStyle w:val="41"/>
              <w:rPr>
                <w:color w:val="auto"/>
                <w:highlight w:val="none"/>
              </w:rPr>
            </w:pPr>
            <w:r>
              <w:rPr>
                <w:color w:val="auto"/>
                <w:highlight w:val="none"/>
              </w:rPr>
              <w:t>58</w:t>
            </w:r>
          </w:p>
        </w:tc>
        <w:tc>
          <w:tcPr>
            <w:tcW w:w="548" w:type="pct"/>
            <w:noWrap/>
            <w:vAlign w:val="center"/>
          </w:tcPr>
          <w:p w14:paraId="5CE680F5">
            <w:pPr>
              <w:pStyle w:val="41"/>
              <w:rPr>
                <w:color w:val="auto"/>
                <w:highlight w:val="none"/>
              </w:rPr>
            </w:pPr>
            <w:r>
              <w:rPr>
                <w:color w:val="auto"/>
                <w:highlight w:val="none"/>
              </w:rPr>
              <w:t>1400</w:t>
            </w:r>
          </w:p>
        </w:tc>
        <w:tc>
          <w:tcPr>
            <w:tcW w:w="712" w:type="pct"/>
            <w:noWrap/>
            <w:vAlign w:val="center"/>
          </w:tcPr>
          <w:p w14:paraId="700F2B28">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0.001098</w:t>
            </w:r>
          </w:p>
        </w:tc>
        <w:tc>
          <w:tcPr>
            <w:tcW w:w="406" w:type="pct"/>
            <w:noWrap/>
            <w:vAlign w:val="center"/>
          </w:tcPr>
          <w:p w14:paraId="0B3CB3AA">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c>
          <w:tcPr>
            <w:tcW w:w="1074" w:type="pct"/>
            <w:noWrap/>
            <w:vAlign w:val="center"/>
          </w:tcPr>
          <w:p w14:paraId="7B198C6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0.001098</w:t>
            </w:r>
          </w:p>
        </w:tc>
        <w:tc>
          <w:tcPr>
            <w:tcW w:w="596" w:type="pct"/>
            <w:noWrap/>
            <w:vAlign w:val="center"/>
          </w:tcPr>
          <w:p w14:paraId="1077D25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c>
          <w:tcPr>
            <w:tcW w:w="820" w:type="pct"/>
            <w:noWrap/>
            <w:vAlign w:val="center"/>
          </w:tcPr>
          <w:p w14:paraId="4D06F14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0.001098</w:t>
            </w:r>
          </w:p>
        </w:tc>
        <w:tc>
          <w:tcPr>
            <w:tcW w:w="512" w:type="pct"/>
            <w:noWrap/>
            <w:vAlign w:val="center"/>
          </w:tcPr>
          <w:p w14:paraId="2697282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r>
      <w:tr w14:paraId="7215E3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6D265C2B">
            <w:pPr>
              <w:pStyle w:val="41"/>
              <w:rPr>
                <w:color w:val="auto"/>
                <w:highlight w:val="none"/>
              </w:rPr>
            </w:pPr>
            <w:r>
              <w:rPr>
                <w:color w:val="auto"/>
                <w:highlight w:val="none"/>
              </w:rPr>
              <w:t>59</w:t>
            </w:r>
          </w:p>
        </w:tc>
        <w:tc>
          <w:tcPr>
            <w:tcW w:w="548" w:type="pct"/>
            <w:noWrap/>
            <w:vAlign w:val="center"/>
          </w:tcPr>
          <w:p w14:paraId="5065DAEE">
            <w:pPr>
              <w:pStyle w:val="41"/>
              <w:rPr>
                <w:color w:val="auto"/>
                <w:highlight w:val="none"/>
              </w:rPr>
            </w:pPr>
            <w:r>
              <w:rPr>
                <w:color w:val="auto"/>
                <w:highlight w:val="none"/>
              </w:rPr>
              <w:t>1425</w:t>
            </w:r>
          </w:p>
        </w:tc>
        <w:tc>
          <w:tcPr>
            <w:tcW w:w="712" w:type="pct"/>
            <w:noWrap/>
            <w:vAlign w:val="center"/>
          </w:tcPr>
          <w:p w14:paraId="27BDF3F0">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0.001089</w:t>
            </w:r>
          </w:p>
        </w:tc>
        <w:tc>
          <w:tcPr>
            <w:tcW w:w="406" w:type="pct"/>
            <w:noWrap/>
            <w:vAlign w:val="center"/>
          </w:tcPr>
          <w:p w14:paraId="035E423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c>
          <w:tcPr>
            <w:tcW w:w="1074" w:type="pct"/>
            <w:noWrap/>
            <w:vAlign w:val="center"/>
          </w:tcPr>
          <w:p w14:paraId="542DE5E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0.001089</w:t>
            </w:r>
          </w:p>
        </w:tc>
        <w:tc>
          <w:tcPr>
            <w:tcW w:w="596" w:type="pct"/>
            <w:noWrap/>
            <w:vAlign w:val="center"/>
          </w:tcPr>
          <w:p w14:paraId="0519D9F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c>
          <w:tcPr>
            <w:tcW w:w="820" w:type="pct"/>
            <w:noWrap/>
            <w:vAlign w:val="center"/>
          </w:tcPr>
          <w:p w14:paraId="2C9D852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0.001089</w:t>
            </w:r>
          </w:p>
        </w:tc>
        <w:tc>
          <w:tcPr>
            <w:tcW w:w="512" w:type="pct"/>
            <w:noWrap/>
            <w:vAlign w:val="center"/>
          </w:tcPr>
          <w:p w14:paraId="658EB65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r>
      <w:tr w14:paraId="12FC7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6800C78">
            <w:pPr>
              <w:pStyle w:val="41"/>
              <w:rPr>
                <w:color w:val="auto"/>
                <w:highlight w:val="none"/>
              </w:rPr>
            </w:pPr>
            <w:r>
              <w:rPr>
                <w:color w:val="auto"/>
                <w:highlight w:val="none"/>
              </w:rPr>
              <w:t>60</w:t>
            </w:r>
          </w:p>
        </w:tc>
        <w:tc>
          <w:tcPr>
            <w:tcW w:w="548" w:type="pct"/>
            <w:noWrap/>
            <w:vAlign w:val="center"/>
          </w:tcPr>
          <w:p w14:paraId="15219472">
            <w:pPr>
              <w:pStyle w:val="41"/>
              <w:rPr>
                <w:color w:val="auto"/>
                <w:highlight w:val="none"/>
              </w:rPr>
            </w:pPr>
            <w:r>
              <w:rPr>
                <w:color w:val="auto"/>
                <w:highlight w:val="none"/>
              </w:rPr>
              <w:t>1450</w:t>
            </w:r>
          </w:p>
        </w:tc>
        <w:tc>
          <w:tcPr>
            <w:tcW w:w="712" w:type="pct"/>
            <w:noWrap/>
            <w:vAlign w:val="center"/>
          </w:tcPr>
          <w:p w14:paraId="1FBF75CC">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0.001081</w:t>
            </w:r>
          </w:p>
        </w:tc>
        <w:tc>
          <w:tcPr>
            <w:tcW w:w="406" w:type="pct"/>
            <w:noWrap/>
            <w:vAlign w:val="center"/>
          </w:tcPr>
          <w:p w14:paraId="542161E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c>
          <w:tcPr>
            <w:tcW w:w="1074" w:type="pct"/>
            <w:noWrap/>
            <w:vAlign w:val="center"/>
          </w:tcPr>
          <w:p w14:paraId="2FFBEF9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0.001081</w:t>
            </w:r>
          </w:p>
        </w:tc>
        <w:tc>
          <w:tcPr>
            <w:tcW w:w="596" w:type="pct"/>
            <w:noWrap/>
            <w:vAlign w:val="center"/>
          </w:tcPr>
          <w:p w14:paraId="007B42A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c>
          <w:tcPr>
            <w:tcW w:w="820" w:type="pct"/>
            <w:noWrap/>
            <w:vAlign w:val="center"/>
          </w:tcPr>
          <w:p w14:paraId="2A8672D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0.001081</w:t>
            </w:r>
          </w:p>
        </w:tc>
        <w:tc>
          <w:tcPr>
            <w:tcW w:w="512" w:type="pct"/>
            <w:noWrap/>
            <w:vAlign w:val="center"/>
          </w:tcPr>
          <w:p w14:paraId="4A3AA44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r>
      <w:tr w14:paraId="7F22D4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6A24BB85">
            <w:pPr>
              <w:pStyle w:val="41"/>
              <w:rPr>
                <w:color w:val="auto"/>
                <w:highlight w:val="none"/>
              </w:rPr>
            </w:pPr>
            <w:r>
              <w:rPr>
                <w:color w:val="auto"/>
                <w:highlight w:val="none"/>
              </w:rPr>
              <w:t>61</w:t>
            </w:r>
          </w:p>
        </w:tc>
        <w:tc>
          <w:tcPr>
            <w:tcW w:w="548" w:type="pct"/>
            <w:noWrap/>
            <w:vAlign w:val="center"/>
          </w:tcPr>
          <w:p w14:paraId="4377FFF8">
            <w:pPr>
              <w:pStyle w:val="41"/>
              <w:rPr>
                <w:color w:val="auto"/>
                <w:highlight w:val="none"/>
              </w:rPr>
            </w:pPr>
            <w:r>
              <w:rPr>
                <w:color w:val="auto"/>
                <w:highlight w:val="none"/>
              </w:rPr>
              <w:t>1475</w:t>
            </w:r>
          </w:p>
        </w:tc>
        <w:tc>
          <w:tcPr>
            <w:tcW w:w="712" w:type="pct"/>
            <w:noWrap/>
            <w:vAlign w:val="center"/>
          </w:tcPr>
          <w:p w14:paraId="298CE2C8">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0.001072</w:t>
            </w:r>
          </w:p>
        </w:tc>
        <w:tc>
          <w:tcPr>
            <w:tcW w:w="406" w:type="pct"/>
            <w:noWrap/>
            <w:vAlign w:val="center"/>
          </w:tcPr>
          <w:p w14:paraId="178AA78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c>
          <w:tcPr>
            <w:tcW w:w="1074" w:type="pct"/>
            <w:noWrap/>
            <w:vAlign w:val="center"/>
          </w:tcPr>
          <w:p w14:paraId="12957EB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0.001072</w:t>
            </w:r>
          </w:p>
        </w:tc>
        <w:tc>
          <w:tcPr>
            <w:tcW w:w="596" w:type="pct"/>
            <w:noWrap/>
            <w:vAlign w:val="center"/>
          </w:tcPr>
          <w:p w14:paraId="2567E96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c>
          <w:tcPr>
            <w:tcW w:w="820" w:type="pct"/>
            <w:noWrap/>
            <w:vAlign w:val="center"/>
          </w:tcPr>
          <w:p w14:paraId="7261ABC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0.001072</w:t>
            </w:r>
          </w:p>
        </w:tc>
        <w:tc>
          <w:tcPr>
            <w:tcW w:w="512" w:type="pct"/>
            <w:noWrap/>
            <w:vAlign w:val="center"/>
          </w:tcPr>
          <w:p w14:paraId="1FD90F8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r>
      <w:tr w14:paraId="7EC79F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6E474874">
            <w:pPr>
              <w:pStyle w:val="41"/>
              <w:rPr>
                <w:color w:val="auto"/>
                <w:highlight w:val="none"/>
              </w:rPr>
            </w:pPr>
            <w:r>
              <w:rPr>
                <w:color w:val="auto"/>
                <w:highlight w:val="none"/>
              </w:rPr>
              <w:t>62</w:t>
            </w:r>
          </w:p>
        </w:tc>
        <w:tc>
          <w:tcPr>
            <w:tcW w:w="548" w:type="pct"/>
            <w:noWrap/>
            <w:vAlign w:val="center"/>
          </w:tcPr>
          <w:p w14:paraId="0C0271D1">
            <w:pPr>
              <w:pStyle w:val="41"/>
              <w:rPr>
                <w:color w:val="auto"/>
                <w:highlight w:val="none"/>
              </w:rPr>
            </w:pPr>
            <w:r>
              <w:rPr>
                <w:color w:val="auto"/>
                <w:highlight w:val="none"/>
              </w:rPr>
              <w:t>1500</w:t>
            </w:r>
          </w:p>
        </w:tc>
        <w:tc>
          <w:tcPr>
            <w:tcW w:w="712" w:type="pct"/>
            <w:noWrap/>
            <w:vAlign w:val="center"/>
          </w:tcPr>
          <w:p w14:paraId="545DEEF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0.001062</w:t>
            </w:r>
          </w:p>
        </w:tc>
        <w:tc>
          <w:tcPr>
            <w:tcW w:w="406" w:type="pct"/>
            <w:noWrap/>
            <w:vAlign w:val="center"/>
          </w:tcPr>
          <w:p w14:paraId="73B120E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c>
          <w:tcPr>
            <w:tcW w:w="1074" w:type="pct"/>
            <w:noWrap/>
            <w:vAlign w:val="center"/>
          </w:tcPr>
          <w:p w14:paraId="2E5FE3F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0.001062</w:t>
            </w:r>
          </w:p>
        </w:tc>
        <w:tc>
          <w:tcPr>
            <w:tcW w:w="596" w:type="pct"/>
            <w:noWrap/>
            <w:vAlign w:val="center"/>
          </w:tcPr>
          <w:p w14:paraId="648E1CD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c>
          <w:tcPr>
            <w:tcW w:w="820" w:type="pct"/>
            <w:noWrap/>
            <w:vAlign w:val="center"/>
          </w:tcPr>
          <w:p w14:paraId="50A4975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0.001062</w:t>
            </w:r>
          </w:p>
        </w:tc>
        <w:tc>
          <w:tcPr>
            <w:tcW w:w="512" w:type="pct"/>
            <w:noWrap/>
            <w:vAlign w:val="center"/>
          </w:tcPr>
          <w:p w14:paraId="67C5E3D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w:t>
            </w:r>
          </w:p>
        </w:tc>
      </w:tr>
      <w:tr w14:paraId="3718D3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5C8C4ABB">
            <w:pPr>
              <w:pStyle w:val="41"/>
              <w:rPr>
                <w:color w:val="auto"/>
                <w:highlight w:val="none"/>
              </w:rPr>
            </w:pPr>
            <w:r>
              <w:rPr>
                <w:color w:val="auto"/>
                <w:highlight w:val="none"/>
              </w:rPr>
              <w:t>63</w:t>
            </w:r>
          </w:p>
        </w:tc>
        <w:tc>
          <w:tcPr>
            <w:tcW w:w="548" w:type="pct"/>
            <w:noWrap/>
            <w:vAlign w:val="center"/>
          </w:tcPr>
          <w:p w14:paraId="58D97EA0">
            <w:pPr>
              <w:pStyle w:val="41"/>
              <w:rPr>
                <w:color w:val="auto"/>
                <w:highlight w:val="none"/>
              </w:rPr>
            </w:pPr>
            <w:r>
              <w:rPr>
                <w:color w:val="auto"/>
                <w:highlight w:val="none"/>
              </w:rPr>
              <w:t>1525</w:t>
            </w:r>
          </w:p>
        </w:tc>
        <w:tc>
          <w:tcPr>
            <w:tcW w:w="712" w:type="pct"/>
            <w:noWrap/>
            <w:vAlign w:val="center"/>
          </w:tcPr>
          <w:p w14:paraId="4D6660D4">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0.001053</w:t>
            </w:r>
          </w:p>
        </w:tc>
        <w:tc>
          <w:tcPr>
            <w:tcW w:w="406" w:type="pct"/>
            <w:noWrap/>
            <w:vAlign w:val="center"/>
          </w:tcPr>
          <w:p w14:paraId="4BF29A6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c>
          <w:tcPr>
            <w:tcW w:w="1074" w:type="pct"/>
            <w:noWrap/>
            <w:vAlign w:val="center"/>
          </w:tcPr>
          <w:p w14:paraId="7A82809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0.001053</w:t>
            </w:r>
          </w:p>
        </w:tc>
        <w:tc>
          <w:tcPr>
            <w:tcW w:w="596" w:type="pct"/>
            <w:noWrap/>
            <w:vAlign w:val="center"/>
          </w:tcPr>
          <w:p w14:paraId="2448EE1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c>
          <w:tcPr>
            <w:tcW w:w="820" w:type="pct"/>
            <w:noWrap/>
            <w:vAlign w:val="center"/>
          </w:tcPr>
          <w:p w14:paraId="064EC6A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0.001053</w:t>
            </w:r>
          </w:p>
        </w:tc>
        <w:tc>
          <w:tcPr>
            <w:tcW w:w="512" w:type="pct"/>
            <w:noWrap/>
            <w:vAlign w:val="center"/>
          </w:tcPr>
          <w:p w14:paraId="53D2976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r>
      <w:tr w14:paraId="1736CF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3A27C2EA">
            <w:pPr>
              <w:pStyle w:val="41"/>
              <w:rPr>
                <w:color w:val="auto"/>
                <w:highlight w:val="none"/>
              </w:rPr>
            </w:pPr>
            <w:r>
              <w:rPr>
                <w:color w:val="auto"/>
                <w:highlight w:val="none"/>
              </w:rPr>
              <w:t>64</w:t>
            </w:r>
          </w:p>
        </w:tc>
        <w:tc>
          <w:tcPr>
            <w:tcW w:w="548" w:type="pct"/>
            <w:noWrap/>
            <w:vAlign w:val="center"/>
          </w:tcPr>
          <w:p w14:paraId="4AFB320E">
            <w:pPr>
              <w:pStyle w:val="41"/>
              <w:rPr>
                <w:color w:val="auto"/>
                <w:highlight w:val="none"/>
              </w:rPr>
            </w:pPr>
            <w:r>
              <w:rPr>
                <w:color w:val="auto"/>
                <w:highlight w:val="none"/>
              </w:rPr>
              <w:t>1550</w:t>
            </w:r>
          </w:p>
        </w:tc>
        <w:tc>
          <w:tcPr>
            <w:tcW w:w="712" w:type="pct"/>
            <w:noWrap/>
            <w:vAlign w:val="center"/>
          </w:tcPr>
          <w:p w14:paraId="3A1ECC0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0.001044</w:t>
            </w:r>
          </w:p>
        </w:tc>
        <w:tc>
          <w:tcPr>
            <w:tcW w:w="406" w:type="pct"/>
            <w:noWrap/>
            <w:vAlign w:val="center"/>
          </w:tcPr>
          <w:p w14:paraId="6FCE67F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c>
          <w:tcPr>
            <w:tcW w:w="1074" w:type="pct"/>
            <w:noWrap/>
            <w:vAlign w:val="center"/>
          </w:tcPr>
          <w:p w14:paraId="7BD5CA6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0.001044</w:t>
            </w:r>
          </w:p>
        </w:tc>
        <w:tc>
          <w:tcPr>
            <w:tcW w:w="596" w:type="pct"/>
            <w:noWrap/>
            <w:vAlign w:val="center"/>
          </w:tcPr>
          <w:p w14:paraId="7CA7EF1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c>
          <w:tcPr>
            <w:tcW w:w="820" w:type="pct"/>
            <w:noWrap/>
            <w:vAlign w:val="center"/>
          </w:tcPr>
          <w:p w14:paraId="31BCF3E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0.001044</w:t>
            </w:r>
          </w:p>
        </w:tc>
        <w:tc>
          <w:tcPr>
            <w:tcW w:w="512" w:type="pct"/>
            <w:noWrap/>
            <w:vAlign w:val="center"/>
          </w:tcPr>
          <w:p w14:paraId="59A806EC">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r>
      <w:tr w14:paraId="59D8CF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7D9C2DBD">
            <w:pPr>
              <w:pStyle w:val="41"/>
              <w:rPr>
                <w:color w:val="auto"/>
                <w:highlight w:val="none"/>
              </w:rPr>
            </w:pPr>
            <w:r>
              <w:rPr>
                <w:color w:val="auto"/>
                <w:highlight w:val="none"/>
              </w:rPr>
              <w:t>65</w:t>
            </w:r>
          </w:p>
        </w:tc>
        <w:tc>
          <w:tcPr>
            <w:tcW w:w="548" w:type="pct"/>
            <w:noWrap/>
            <w:vAlign w:val="center"/>
          </w:tcPr>
          <w:p w14:paraId="3F82C17A">
            <w:pPr>
              <w:pStyle w:val="41"/>
              <w:rPr>
                <w:color w:val="auto"/>
                <w:highlight w:val="none"/>
              </w:rPr>
            </w:pPr>
            <w:r>
              <w:rPr>
                <w:color w:val="auto"/>
                <w:highlight w:val="none"/>
              </w:rPr>
              <w:t>1575</w:t>
            </w:r>
          </w:p>
        </w:tc>
        <w:tc>
          <w:tcPr>
            <w:tcW w:w="712" w:type="pct"/>
            <w:noWrap/>
            <w:vAlign w:val="center"/>
          </w:tcPr>
          <w:p w14:paraId="1849C94A">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0.001035</w:t>
            </w:r>
          </w:p>
        </w:tc>
        <w:tc>
          <w:tcPr>
            <w:tcW w:w="406" w:type="pct"/>
            <w:noWrap/>
            <w:vAlign w:val="center"/>
          </w:tcPr>
          <w:p w14:paraId="4D2AB95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c>
          <w:tcPr>
            <w:tcW w:w="1074" w:type="pct"/>
            <w:noWrap/>
            <w:vAlign w:val="center"/>
          </w:tcPr>
          <w:p w14:paraId="1FBE76E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0.001035</w:t>
            </w:r>
          </w:p>
        </w:tc>
        <w:tc>
          <w:tcPr>
            <w:tcW w:w="596" w:type="pct"/>
            <w:noWrap/>
            <w:vAlign w:val="center"/>
          </w:tcPr>
          <w:p w14:paraId="06BB4BA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c>
          <w:tcPr>
            <w:tcW w:w="820" w:type="pct"/>
            <w:noWrap/>
            <w:vAlign w:val="center"/>
          </w:tcPr>
          <w:p w14:paraId="41978B8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0.001035</w:t>
            </w:r>
          </w:p>
        </w:tc>
        <w:tc>
          <w:tcPr>
            <w:tcW w:w="512" w:type="pct"/>
            <w:noWrap/>
            <w:vAlign w:val="center"/>
          </w:tcPr>
          <w:p w14:paraId="4F544E9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r>
      <w:tr w14:paraId="7D60B1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602003B3">
            <w:pPr>
              <w:pStyle w:val="41"/>
              <w:rPr>
                <w:color w:val="auto"/>
                <w:highlight w:val="none"/>
              </w:rPr>
            </w:pPr>
            <w:r>
              <w:rPr>
                <w:color w:val="auto"/>
                <w:highlight w:val="none"/>
              </w:rPr>
              <w:t>66</w:t>
            </w:r>
          </w:p>
        </w:tc>
        <w:tc>
          <w:tcPr>
            <w:tcW w:w="548" w:type="pct"/>
            <w:noWrap/>
            <w:vAlign w:val="center"/>
          </w:tcPr>
          <w:p w14:paraId="19D21127">
            <w:pPr>
              <w:pStyle w:val="41"/>
              <w:rPr>
                <w:color w:val="auto"/>
                <w:highlight w:val="none"/>
              </w:rPr>
            </w:pPr>
            <w:r>
              <w:rPr>
                <w:color w:val="auto"/>
                <w:highlight w:val="none"/>
              </w:rPr>
              <w:t>1600</w:t>
            </w:r>
          </w:p>
        </w:tc>
        <w:tc>
          <w:tcPr>
            <w:tcW w:w="712" w:type="pct"/>
            <w:noWrap/>
            <w:vAlign w:val="center"/>
          </w:tcPr>
          <w:p w14:paraId="6CE5534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0.001026</w:t>
            </w:r>
          </w:p>
        </w:tc>
        <w:tc>
          <w:tcPr>
            <w:tcW w:w="406" w:type="pct"/>
            <w:noWrap/>
            <w:vAlign w:val="center"/>
          </w:tcPr>
          <w:p w14:paraId="77A23C8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c>
          <w:tcPr>
            <w:tcW w:w="1074" w:type="pct"/>
            <w:noWrap/>
            <w:vAlign w:val="center"/>
          </w:tcPr>
          <w:p w14:paraId="3C9003F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0.001026</w:t>
            </w:r>
          </w:p>
        </w:tc>
        <w:tc>
          <w:tcPr>
            <w:tcW w:w="596" w:type="pct"/>
            <w:noWrap/>
            <w:vAlign w:val="center"/>
          </w:tcPr>
          <w:p w14:paraId="45AFA43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c>
          <w:tcPr>
            <w:tcW w:w="820" w:type="pct"/>
            <w:noWrap/>
            <w:vAlign w:val="center"/>
          </w:tcPr>
          <w:p w14:paraId="1399611C">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0.001026</w:t>
            </w:r>
          </w:p>
        </w:tc>
        <w:tc>
          <w:tcPr>
            <w:tcW w:w="512" w:type="pct"/>
            <w:noWrap/>
            <w:vAlign w:val="center"/>
          </w:tcPr>
          <w:p w14:paraId="76E88AB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r>
      <w:tr w14:paraId="5C561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059A1C0C">
            <w:pPr>
              <w:pStyle w:val="41"/>
              <w:rPr>
                <w:color w:val="auto"/>
                <w:highlight w:val="none"/>
              </w:rPr>
            </w:pPr>
            <w:r>
              <w:rPr>
                <w:color w:val="auto"/>
                <w:highlight w:val="none"/>
              </w:rPr>
              <w:t>67</w:t>
            </w:r>
          </w:p>
        </w:tc>
        <w:tc>
          <w:tcPr>
            <w:tcW w:w="548" w:type="pct"/>
            <w:noWrap/>
            <w:vAlign w:val="center"/>
          </w:tcPr>
          <w:p w14:paraId="0C938719">
            <w:pPr>
              <w:pStyle w:val="41"/>
              <w:rPr>
                <w:color w:val="auto"/>
                <w:highlight w:val="none"/>
              </w:rPr>
            </w:pPr>
            <w:r>
              <w:rPr>
                <w:color w:val="auto"/>
                <w:highlight w:val="none"/>
              </w:rPr>
              <w:t>1625</w:t>
            </w:r>
          </w:p>
        </w:tc>
        <w:tc>
          <w:tcPr>
            <w:tcW w:w="712" w:type="pct"/>
            <w:noWrap/>
            <w:vAlign w:val="center"/>
          </w:tcPr>
          <w:p w14:paraId="6B0F466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0.001016</w:t>
            </w:r>
          </w:p>
        </w:tc>
        <w:tc>
          <w:tcPr>
            <w:tcW w:w="406" w:type="pct"/>
            <w:noWrap/>
            <w:vAlign w:val="center"/>
          </w:tcPr>
          <w:p w14:paraId="0C32265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c>
          <w:tcPr>
            <w:tcW w:w="1074" w:type="pct"/>
            <w:noWrap/>
            <w:vAlign w:val="center"/>
          </w:tcPr>
          <w:p w14:paraId="0D71EBB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0.001016</w:t>
            </w:r>
          </w:p>
        </w:tc>
        <w:tc>
          <w:tcPr>
            <w:tcW w:w="596" w:type="pct"/>
            <w:noWrap/>
            <w:vAlign w:val="center"/>
          </w:tcPr>
          <w:p w14:paraId="6AF188D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c>
          <w:tcPr>
            <w:tcW w:w="820" w:type="pct"/>
            <w:noWrap/>
            <w:vAlign w:val="center"/>
          </w:tcPr>
          <w:p w14:paraId="7796521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0.001016</w:t>
            </w:r>
          </w:p>
        </w:tc>
        <w:tc>
          <w:tcPr>
            <w:tcW w:w="512" w:type="pct"/>
            <w:noWrap/>
            <w:vAlign w:val="center"/>
          </w:tcPr>
          <w:p w14:paraId="53912F4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0.23</w:t>
            </w:r>
          </w:p>
        </w:tc>
      </w:tr>
      <w:tr w14:paraId="5DA83B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45A4F0DB">
            <w:pPr>
              <w:pStyle w:val="41"/>
              <w:rPr>
                <w:color w:val="auto"/>
                <w:highlight w:val="none"/>
              </w:rPr>
            </w:pPr>
            <w:r>
              <w:rPr>
                <w:color w:val="auto"/>
                <w:highlight w:val="none"/>
              </w:rPr>
              <w:t>68</w:t>
            </w:r>
          </w:p>
        </w:tc>
        <w:tc>
          <w:tcPr>
            <w:tcW w:w="548" w:type="pct"/>
            <w:noWrap/>
            <w:vAlign w:val="center"/>
          </w:tcPr>
          <w:p w14:paraId="43B32CDB">
            <w:pPr>
              <w:pStyle w:val="41"/>
              <w:rPr>
                <w:color w:val="auto"/>
                <w:highlight w:val="none"/>
              </w:rPr>
            </w:pPr>
            <w:r>
              <w:rPr>
                <w:color w:val="auto"/>
                <w:highlight w:val="none"/>
              </w:rPr>
              <w:t>1650</w:t>
            </w:r>
          </w:p>
        </w:tc>
        <w:tc>
          <w:tcPr>
            <w:tcW w:w="712" w:type="pct"/>
            <w:noWrap/>
            <w:vAlign w:val="center"/>
          </w:tcPr>
          <w:p w14:paraId="645AB50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0.001007</w:t>
            </w:r>
          </w:p>
        </w:tc>
        <w:tc>
          <w:tcPr>
            <w:tcW w:w="406" w:type="pct"/>
            <w:noWrap/>
            <w:vAlign w:val="center"/>
          </w:tcPr>
          <w:p w14:paraId="441CA77A">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c>
          <w:tcPr>
            <w:tcW w:w="1074" w:type="pct"/>
            <w:noWrap/>
            <w:vAlign w:val="center"/>
          </w:tcPr>
          <w:p w14:paraId="1354C60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0.001007</w:t>
            </w:r>
          </w:p>
        </w:tc>
        <w:tc>
          <w:tcPr>
            <w:tcW w:w="596" w:type="pct"/>
            <w:noWrap/>
            <w:vAlign w:val="center"/>
          </w:tcPr>
          <w:p w14:paraId="7061B90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c>
          <w:tcPr>
            <w:tcW w:w="820" w:type="pct"/>
            <w:noWrap/>
            <w:vAlign w:val="center"/>
          </w:tcPr>
          <w:p w14:paraId="0321C17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0.001007</w:t>
            </w:r>
          </w:p>
        </w:tc>
        <w:tc>
          <w:tcPr>
            <w:tcW w:w="512" w:type="pct"/>
            <w:noWrap/>
            <w:vAlign w:val="center"/>
          </w:tcPr>
          <w:p w14:paraId="2ABB616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r>
      <w:tr w14:paraId="6C669F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65A08837">
            <w:pPr>
              <w:pStyle w:val="41"/>
              <w:rPr>
                <w:color w:val="auto"/>
                <w:highlight w:val="none"/>
              </w:rPr>
            </w:pPr>
            <w:r>
              <w:rPr>
                <w:color w:val="auto"/>
                <w:highlight w:val="none"/>
              </w:rPr>
              <w:t>69</w:t>
            </w:r>
          </w:p>
        </w:tc>
        <w:tc>
          <w:tcPr>
            <w:tcW w:w="548" w:type="pct"/>
            <w:noWrap/>
            <w:vAlign w:val="center"/>
          </w:tcPr>
          <w:p w14:paraId="62837466">
            <w:pPr>
              <w:pStyle w:val="41"/>
              <w:rPr>
                <w:color w:val="auto"/>
                <w:highlight w:val="none"/>
              </w:rPr>
            </w:pPr>
            <w:r>
              <w:rPr>
                <w:color w:val="auto"/>
                <w:highlight w:val="none"/>
              </w:rPr>
              <w:t>1675</w:t>
            </w:r>
          </w:p>
        </w:tc>
        <w:tc>
          <w:tcPr>
            <w:tcW w:w="712" w:type="pct"/>
            <w:noWrap/>
            <w:vAlign w:val="center"/>
          </w:tcPr>
          <w:p w14:paraId="176994D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0.000998</w:t>
            </w:r>
          </w:p>
        </w:tc>
        <w:tc>
          <w:tcPr>
            <w:tcW w:w="406" w:type="pct"/>
            <w:noWrap/>
            <w:vAlign w:val="center"/>
          </w:tcPr>
          <w:p w14:paraId="59480DA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c>
          <w:tcPr>
            <w:tcW w:w="1074" w:type="pct"/>
            <w:noWrap/>
            <w:vAlign w:val="center"/>
          </w:tcPr>
          <w:p w14:paraId="57A3BCE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0.000998</w:t>
            </w:r>
          </w:p>
        </w:tc>
        <w:tc>
          <w:tcPr>
            <w:tcW w:w="596" w:type="pct"/>
            <w:noWrap/>
            <w:vAlign w:val="center"/>
          </w:tcPr>
          <w:p w14:paraId="534B2B8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c>
          <w:tcPr>
            <w:tcW w:w="820" w:type="pct"/>
            <w:noWrap/>
            <w:vAlign w:val="center"/>
          </w:tcPr>
          <w:p w14:paraId="5D0F0FB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0.000998</w:t>
            </w:r>
          </w:p>
        </w:tc>
        <w:tc>
          <w:tcPr>
            <w:tcW w:w="512" w:type="pct"/>
            <w:noWrap/>
            <w:vAlign w:val="center"/>
          </w:tcPr>
          <w:p w14:paraId="4F68B61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r>
      <w:tr w14:paraId="1D4A62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00DF1E28">
            <w:pPr>
              <w:pStyle w:val="41"/>
              <w:rPr>
                <w:color w:val="auto"/>
                <w:highlight w:val="none"/>
              </w:rPr>
            </w:pPr>
            <w:r>
              <w:rPr>
                <w:color w:val="auto"/>
                <w:highlight w:val="none"/>
              </w:rPr>
              <w:t>70</w:t>
            </w:r>
          </w:p>
        </w:tc>
        <w:tc>
          <w:tcPr>
            <w:tcW w:w="548" w:type="pct"/>
            <w:noWrap/>
            <w:vAlign w:val="center"/>
          </w:tcPr>
          <w:p w14:paraId="2A1E23D1">
            <w:pPr>
              <w:pStyle w:val="41"/>
              <w:rPr>
                <w:color w:val="auto"/>
                <w:highlight w:val="none"/>
              </w:rPr>
            </w:pPr>
            <w:r>
              <w:rPr>
                <w:color w:val="auto"/>
                <w:highlight w:val="none"/>
              </w:rPr>
              <w:t>1700</w:t>
            </w:r>
          </w:p>
        </w:tc>
        <w:tc>
          <w:tcPr>
            <w:tcW w:w="712" w:type="pct"/>
            <w:noWrap/>
            <w:vAlign w:val="center"/>
          </w:tcPr>
          <w:p w14:paraId="2DFC228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0.000989</w:t>
            </w:r>
          </w:p>
        </w:tc>
        <w:tc>
          <w:tcPr>
            <w:tcW w:w="406" w:type="pct"/>
            <w:noWrap/>
            <w:vAlign w:val="center"/>
          </w:tcPr>
          <w:p w14:paraId="2B6F9A8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c>
          <w:tcPr>
            <w:tcW w:w="1074" w:type="pct"/>
            <w:noWrap/>
            <w:vAlign w:val="center"/>
          </w:tcPr>
          <w:p w14:paraId="45CC2B0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0.000989</w:t>
            </w:r>
          </w:p>
        </w:tc>
        <w:tc>
          <w:tcPr>
            <w:tcW w:w="596" w:type="pct"/>
            <w:noWrap/>
            <w:vAlign w:val="center"/>
          </w:tcPr>
          <w:p w14:paraId="4D1DD99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c>
          <w:tcPr>
            <w:tcW w:w="820" w:type="pct"/>
            <w:noWrap/>
            <w:vAlign w:val="center"/>
          </w:tcPr>
          <w:p w14:paraId="37B7EF0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0.000989</w:t>
            </w:r>
          </w:p>
        </w:tc>
        <w:tc>
          <w:tcPr>
            <w:tcW w:w="512" w:type="pct"/>
            <w:noWrap/>
            <w:vAlign w:val="center"/>
          </w:tcPr>
          <w:p w14:paraId="01A95F2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r>
      <w:tr w14:paraId="3547AA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79253A08">
            <w:pPr>
              <w:pStyle w:val="41"/>
              <w:rPr>
                <w:color w:val="auto"/>
                <w:highlight w:val="none"/>
              </w:rPr>
            </w:pPr>
            <w:r>
              <w:rPr>
                <w:color w:val="auto"/>
                <w:highlight w:val="none"/>
              </w:rPr>
              <w:t>71</w:t>
            </w:r>
          </w:p>
        </w:tc>
        <w:tc>
          <w:tcPr>
            <w:tcW w:w="548" w:type="pct"/>
            <w:noWrap/>
            <w:vAlign w:val="center"/>
          </w:tcPr>
          <w:p w14:paraId="2B9E39B6">
            <w:pPr>
              <w:pStyle w:val="41"/>
              <w:rPr>
                <w:color w:val="auto"/>
                <w:highlight w:val="none"/>
              </w:rPr>
            </w:pPr>
            <w:r>
              <w:rPr>
                <w:color w:val="auto"/>
                <w:highlight w:val="none"/>
              </w:rPr>
              <w:t>1725</w:t>
            </w:r>
          </w:p>
        </w:tc>
        <w:tc>
          <w:tcPr>
            <w:tcW w:w="712" w:type="pct"/>
            <w:noWrap/>
            <w:vAlign w:val="center"/>
          </w:tcPr>
          <w:p w14:paraId="13E30DB4">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0.000979</w:t>
            </w:r>
          </w:p>
        </w:tc>
        <w:tc>
          <w:tcPr>
            <w:tcW w:w="406" w:type="pct"/>
            <w:noWrap/>
            <w:vAlign w:val="center"/>
          </w:tcPr>
          <w:p w14:paraId="0364379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c>
          <w:tcPr>
            <w:tcW w:w="1074" w:type="pct"/>
            <w:noWrap/>
            <w:vAlign w:val="center"/>
          </w:tcPr>
          <w:p w14:paraId="6A2A2CC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0.000979</w:t>
            </w:r>
          </w:p>
        </w:tc>
        <w:tc>
          <w:tcPr>
            <w:tcW w:w="596" w:type="pct"/>
            <w:noWrap/>
            <w:vAlign w:val="center"/>
          </w:tcPr>
          <w:p w14:paraId="005E0B3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c>
          <w:tcPr>
            <w:tcW w:w="820" w:type="pct"/>
            <w:noWrap/>
            <w:vAlign w:val="center"/>
          </w:tcPr>
          <w:p w14:paraId="04FF2C0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0.000979</w:t>
            </w:r>
          </w:p>
        </w:tc>
        <w:tc>
          <w:tcPr>
            <w:tcW w:w="512" w:type="pct"/>
            <w:noWrap/>
            <w:vAlign w:val="center"/>
          </w:tcPr>
          <w:p w14:paraId="531B43B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r>
      <w:tr w14:paraId="081A2B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0A85E88A">
            <w:pPr>
              <w:pStyle w:val="41"/>
              <w:rPr>
                <w:color w:val="auto"/>
                <w:highlight w:val="none"/>
              </w:rPr>
            </w:pPr>
            <w:r>
              <w:rPr>
                <w:color w:val="auto"/>
                <w:highlight w:val="none"/>
              </w:rPr>
              <w:t>72</w:t>
            </w:r>
          </w:p>
        </w:tc>
        <w:tc>
          <w:tcPr>
            <w:tcW w:w="548" w:type="pct"/>
            <w:noWrap/>
            <w:vAlign w:val="center"/>
          </w:tcPr>
          <w:p w14:paraId="1E77CF2D">
            <w:pPr>
              <w:pStyle w:val="41"/>
              <w:rPr>
                <w:color w:val="auto"/>
                <w:highlight w:val="none"/>
              </w:rPr>
            </w:pPr>
            <w:r>
              <w:rPr>
                <w:color w:val="auto"/>
                <w:highlight w:val="none"/>
              </w:rPr>
              <w:t>1750</w:t>
            </w:r>
          </w:p>
        </w:tc>
        <w:tc>
          <w:tcPr>
            <w:tcW w:w="712" w:type="pct"/>
            <w:noWrap/>
            <w:vAlign w:val="center"/>
          </w:tcPr>
          <w:p w14:paraId="7C9C157C">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0.00097</w:t>
            </w:r>
          </w:p>
        </w:tc>
        <w:tc>
          <w:tcPr>
            <w:tcW w:w="406" w:type="pct"/>
            <w:noWrap/>
            <w:vAlign w:val="center"/>
          </w:tcPr>
          <w:p w14:paraId="566CAA0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c>
          <w:tcPr>
            <w:tcW w:w="1074" w:type="pct"/>
            <w:noWrap/>
            <w:vAlign w:val="center"/>
          </w:tcPr>
          <w:p w14:paraId="35AF79D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0.00097</w:t>
            </w:r>
          </w:p>
        </w:tc>
        <w:tc>
          <w:tcPr>
            <w:tcW w:w="596" w:type="pct"/>
            <w:noWrap/>
            <w:vAlign w:val="center"/>
          </w:tcPr>
          <w:p w14:paraId="3837729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c>
          <w:tcPr>
            <w:tcW w:w="820" w:type="pct"/>
            <w:noWrap/>
            <w:vAlign w:val="center"/>
          </w:tcPr>
          <w:p w14:paraId="0CFA37C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0.00097</w:t>
            </w:r>
          </w:p>
        </w:tc>
        <w:tc>
          <w:tcPr>
            <w:tcW w:w="512" w:type="pct"/>
            <w:noWrap/>
            <w:vAlign w:val="center"/>
          </w:tcPr>
          <w:p w14:paraId="30AECE7C">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0.22</w:t>
            </w:r>
          </w:p>
        </w:tc>
      </w:tr>
      <w:tr w14:paraId="441338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64A3F494">
            <w:pPr>
              <w:pStyle w:val="41"/>
              <w:rPr>
                <w:color w:val="auto"/>
                <w:highlight w:val="none"/>
              </w:rPr>
            </w:pPr>
            <w:r>
              <w:rPr>
                <w:color w:val="auto"/>
                <w:highlight w:val="none"/>
              </w:rPr>
              <w:t>73</w:t>
            </w:r>
          </w:p>
        </w:tc>
        <w:tc>
          <w:tcPr>
            <w:tcW w:w="548" w:type="pct"/>
            <w:noWrap/>
            <w:vAlign w:val="center"/>
          </w:tcPr>
          <w:p w14:paraId="2BCFA3C6">
            <w:pPr>
              <w:pStyle w:val="41"/>
              <w:rPr>
                <w:color w:val="auto"/>
                <w:highlight w:val="none"/>
              </w:rPr>
            </w:pPr>
            <w:r>
              <w:rPr>
                <w:color w:val="auto"/>
                <w:highlight w:val="none"/>
              </w:rPr>
              <w:t>1775</w:t>
            </w:r>
          </w:p>
        </w:tc>
        <w:tc>
          <w:tcPr>
            <w:tcW w:w="712" w:type="pct"/>
            <w:noWrap/>
            <w:vAlign w:val="center"/>
          </w:tcPr>
          <w:p w14:paraId="31A73B7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0.000961</w:t>
            </w:r>
          </w:p>
        </w:tc>
        <w:tc>
          <w:tcPr>
            <w:tcW w:w="406" w:type="pct"/>
            <w:noWrap/>
            <w:vAlign w:val="center"/>
          </w:tcPr>
          <w:p w14:paraId="208B8688">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c>
          <w:tcPr>
            <w:tcW w:w="1074" w:type="pct"/>
            <w:noWrap/>
            <w:vAlign w:val="center"/>
          </w:tcPr>
          <w:p w14:paraId="71D71762">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0.000961</w:t>
            </w:r>
          </w:p>
        </w:tc>
        <w:tc>
          <w:tcPr>
            <w:tcW w:w="596" w:type="pct"/>
            <w:noWrap/>
            <w:vAlign w:val="center"/>
          </w:tcPr>
          <w:p w14:paraId="20EFF94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c>
          <w:tcPr>
            <w:tcW w:w="820" w:type="pct"/>
            <w:noWrap/>
            <w:vAlign w:val="center"/>
          </w:tcPr>
          <w:p w14:paraId="6EAB594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0.000961</w:t>
            </w:r>
          </w:p>
        </w:tc>
        <w:tc>
          <w:tcPr>
            <w:tcW w:w="512" w:type="pct"/>
            <w:noWrap/>
            <w:vAlign w:val="center"/>
          </w:tcPr>
          <w:p w14:paraId="7CAE1142">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r>
      <w:tr w14:paraId="65180A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25768034">
            <w:pPr>
              <w:pStyle w:val="41"/>
              <w:rPr>
                <w:color w:val="auto"/>
                <w:highlight w:val="none"/>
              </w:rPr>
            </w:pPr>
            <w:r>
              <w:rPr>
                <w:color w:val="auto"/>
                <w:highlight w:val="none"/>
              </w:rPr>
              <w:t>74</w:t>
            </w:r>
          </w:p>
        </w:tc>
        <w:tc>
          <w:tcPr>
            <w:tcW w:w="548" w:type="pct"/>
            <w:noWrap/>
            <w:vAlign w:val="center"/>
          </w:tcPr>
          <w:p w14:paraId="19540D0D">
            <w:pPr>
              <w:pStyle w:val="41"/>
              <w:rPr>
                <w:color w:val="auto"/>
                <w:highlight w:val="none"/>
              </w:rPr>
            </w:pPr>
            <w:r>
              <w:rPr>
                <w:color w:val="auto"/>
                <w:highlight w:val="none"/>
              </w:rPr>
              <w:t>1800</w:t>
            </w:r>
          </w:p>
        </w:tc>
        <w:tc>
          <w:tcPr>
            <w:tcW w:w="712" w:type="pct"/>
            <w:noWrap/>
            <w:vAlign w:val="center"/>
          </w:tcPr>
          <w:p w14:paraId="5775C9E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0.000952</w:t>
            </w:r>
          </w:p>
        </w:tc>
        <w:tc>
          <w:tcPr>
            <w:tcW w:w="406" w:type="pct"/>
            <w:noWrap/>
            <w:vAlign w:val="center"/>
          </w:tcPr>
          <w:p w14:paraId="55F269F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c>
          <w:tcPr>
            <w:tcW w:w="1074" w:type="pct"/>
            <w:noWrap/>
            <w:vAlign w:val="center"/>
          </w:tcPr>
          <w:p w14:paraId="00B4BE1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0.000952</w:t>
            </w:r>
          </w:p>
        </w:tc>
        <w:tc>
          <w:tcPr>
            <w:tcW w:w="596" w:type="pct"/>
            <w:noWrap/>
            <w:vAlign w:val="center"/>
          </w:tcPr>
          <w:p w14:paraId="278563E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c>
          <w:tcPr>
            <w:tcW w:w="820" w:type="pct"/>
            <w:noWrap/>
            <w:vAlign w:val="center"/>
          </w:tcPr>
          <w:p w14:paraId="6879B1CE">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0.000952</w:t>
            </w:r>
          </w:p>
        </w:tc>
        <w:tc>
          <w:tcPr>
            <w:tcW w:w="512" w:type="pct"/>
            <w:noWrap/>
            <w:vAlign w:val="center"/>
          </w:tcPr>
          <w:p w14:paraId="728A793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r>
      <w:tr w14:paraId="473200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6BF72326">
            <w:pPr>
              <w:pStyle w:val="41"/>
              <w:rPr>
                <w:color w:val="auto"/>
                <w:highlight w:val="none"/>
              </w:rPr>
            </w:pPr>
            <w:r>
              <w:rPr>
                <w:color w:val="auto"/>
                <w:highlight w:val="none"/>
              </w:rPr>
              <w:t>75</w:t>
            </w:r>
          </w:p>
        </w:tc>
        <w:tc>
          <w:tcPr>
            <w:tcW w:w="548" w:type="pct"/>
            <w:noWrap/>
            <w:vAlign w:val="center"/>
          </w:tcPr>
          <w:p w14:paraId="3842657D">
            <w:pPr>
              <w:pStyle w:val="41"/>
              <w:rPr>
                <w:color w:val="auto"/>
                <w:highlight w:val="none"/>
              </w:rPr>
            </w:pPr>
            <w:r>
              <w:rPr>
                <w:color w:val="auto"/>
                <w:highlight w:val="none"/>
              </w:rPr>
              <w:t>1825</w:t>
            </w:r>
          </w:p>
        </w:tc>
        <w:tc>
          <w:tcPr>
            <w:tcW w:w="712" w:type="pct"/>
            <w:noWrap/>
            <w:vAlign w:val="center"/>
          </w:tcPr>
          <w:p w14:paraId="6F5B674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0.000943</w:t>
            </w:r>
          </w:p>
        </w:tc>
        <w:tc>
          <w:tcPr>
            <w:tcW w:w="406" w:type="pct"/>
            <w:noWrap/>
            <w:vAlign w:val="center"/>
          </w:tcPr>
          <w:p w14:paraId="5431205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c>
          <w:tcPr>
            <w:tcW w:w="1074" w:type="pct"/>
            <w:noWrap/>
            <w:vAlign w:val="center"/>
          </w:tcPr>
          <w:p w14:paraId="2659CE6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0.000943</w:t>
            </w:r>
          </w:p>
        </w:tc>
        <w:tc>
          <w:tcPr>
            <w:tcW w:w="596" w:type="pct"/>
            <w:noWrap/>
            <w:vAlign w:val="center"/>
          </w:tcPr>
          <w:p w14:paraId="02F3E38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c>
          <w:tcPr>
            <w:tcW w:w="820" w:type="pct"/>
            <w:noWrap/>
            <w:vAlign w:val="center"/>
          </w:tcPr>
          <w:p w14:paraId="11D6686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0.000943</w:t>
            </w:r>
          </w:p>
        </w:tc>
        <w:tc>
          <w:tcPr>
            <w:tcW w:w="512" w:type="pct"/>
            <w:noWrap/>
            <w:vAlign w:val="center"/>
          </w:tcPr>
          <w:p w14:paraId="2340644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r>
      <w:tr w14:paraId="73EE7A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01B9659">
            <w:pPr>
              <w:pStyle w:val="41"/>
              <w:rPr>
                <w:color w:val="auto"/>
                <w:highlight w:val="none"/>
              </w:rPr>
            </w:pPr>
            <w:r>
              <w:rPr>
                <w:color w:val="auto"/>
                <w:highlight w:val="none"/>
              </w:rPr>
              <w:t>76</w:t>
            </w:r>
          </w:p>
        </w:tc>
        <w:tc>
          <w:tcPr>
            <w:tcW w:w="548" w:type="pct"/>
            <w:noWrap/>
            <w:vAlign w:val="center"/>
          </w:tcPr>
          <w:p w14:paraId="4DA6A2D8">
            <w:pPr>
              <w:pStyle w:val="41"/>
              <w:rPr>
                <w:color w:val="auto"/>
                <w:highlight w:val="none"/>
              </w:rPr>
            </w:pPr>
            <w:r>
              <w:rPr>
                <w:color w:val="auto"/>
                <w:highlight w:val="none"/>
              </w:rPr>
              <w:t>1850</w:t>
            </w:r>
          </w:p>
        </w:tc>
        <w:tc>
          <w:tcPr>
            <w:tcW w:w="712" w:type="pct"/>
            <w:noWrap/>
            <w:vAlign w:val="center"/>
          </w:tcPr>
          <w:p w14:paraId="48EF655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0.000934</w:t>
            </w:r>
          </w:p>
        </w:tc>
        <w:tc>
          <w:tcPr>
            <w:tcW w:w="406" w:type="pct"/>
            <w:noWrap/>
            <w:vAlign w:val="center"/>
          </w:tcPr>
          <w:p w14:paraId="7FD415B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c>
          <w:tcPr>
            <w:tcW w:w="1074" w:type="pct"/>
            <w:noWrap/>
            <w:vAlign w:val="center"/>
          </w:tcPr>
          <w:p w14:paraId="5AF9259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0.000934</w:t>
            </w:r>
          </w:p>
        </w:tc>
        <w:tc>
          <w:tcPr>
            <w:tcW w:w="596" w:type="pct"/>
            <w:noWrap/>
            <w:vAlign w:val="center"/>
          </w:tcPr>
          <w:p w14:paraId="3EDC093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c>
          <w:tcPr>
            <w:tcW w:w="820" w:type="pct"/>
            <w:noWrap/>
            <w:vAlign w:val="center"/>
          </w:tcPr>
          <w:p w14:paraId="4084D52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0.000934</w:t>
            </w:r>
          </w:p>
        </w:tc>
        <w:tc>
          <w:tcPr>
            <w:tcW w:w="512" w:type="pct"/>
            <w:noWrap/>
            <w:vAlign w:val="center"/>
          </w:tcPr>
          <w:p w14:paraId="7A7584EC">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r>
      <w:tr w14:paraId="5E0090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1FD1E696">
            <w:pPr>
              <w:pStyle w:val="41"/>
              <w:rPr>
                <w:color w:val="auto"/>
                <w:highlight w:val="none"/>
              </w:rPr>
            </w:pPr>
            <w:r>
              <w:rPr>
                <w:color w:val="auto"/>
                <w:highlight w:val="none"/>
              </w:rPr>
              <w:t>77</w:t>
            </w:r>
          </w:p>
        </w:tc>
        <w:tc>
          <w:tcPr>
            <w:tcW w:w="548" w:type="pct"/>
            <w:noWrap/>
            <w:vAlign w:val="center"/>
          </w:tcPr>
          <w:p w14:paraId="3C71B5DA">
            <w:pPr>
              <w:pStyle w:val="41"/>
              <w:rPr>
                <w:color w:val="auto"/>
                <w:highlight w:val="none"/>
              </w:rPr>
            </w:pPr>
            <w:r>
              <w:rPr>
                <w:color w:val="auto"/>
                <w:highlight w:val="none"/>
              </w:rPr>
              <w:t>1875</w:t>
            </w:r>
          </w:p>
        </w:tc>
        <w:tc>
          <w:tcPr>
            <w:tcW w:w="712" w:type="pct"/>
            <w:noWrap/>
            <w:vAlign w:val="center"/>
          </w:tcPr>
          <w:p w14:paraId="7C872848">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0.000925</w:t>
            </w:r>
          </w:p>
        </w:tc>
        <w:tc>
          <w:tcPr>
            <w:tcW w:w="406" w:type="pct"/>
            <w:noWrap/>
            <w:vAlign w:val="center"/>
          </w:tcPr>
          <w:p w14:paraId="37D5470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c>
          <w:tcPr>
            <w:tcW w:w="1074" w:type="pct"/>
            <w:noWrap/>
            <w:vAlign w:val="center"/>
          </w:tcPr>
          <w:p w14:paraId="0B044E8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0.000925</w:t>
            </w:r>
          </w:p>
        </w:tc>
        <w:tc>
          <w:tcPr>
            <w:tcW w:w="596" w:type="pct"/>
            <w:noWrap/>
            <w:vAlign w:val="center"/>
          </w:tcPr>
          <w:p w14:paraId="50BD6B3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c>
          <w:tcPr>
            <w:tcW w:w="820" w:type="pct"/>
            <w:noWrap/>
            <w:vAlign w:val="center"/>
          </w:tcPr>
          <w:p w14:paraId="4AE01DD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0.000925</w:t>
            </w:r>
          </w:p>
        </w:tc>
        <w:tc>
          <w:tcPr>
            <w:tcW w:w="512" w:type="pct"/>
            <w:noWrap/>
            <w:vAlign w:val="center"/>
          </w:tcPr>
          <w:p w14:paraId="3924DDB9">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0.21</w:t>
            </w:r>
          </w:p>
        </w:tc>
      </w:tr>
      <w:tr w14:paraId="00D26F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521EF0C6">
            <w:pPr>
              <w:pStyle w:val="41"/>
              <w:rPr>
                <w:color w:val="auto"/>
                <w:highlight w:val="none"/>
              </w:rPr>
            </w:pPr>
            <w:r>
              <w:rPr>
                <w:color w:val="auto"/>
                <w:highlight w:val="none"/>
              </w:rPr>
              <w:t>78</w:t>
            </w:r>
          </w:p>
        </w:tc>
        <w:tc>
          <w:tcPr>
            <w:tcW w:w="548" w:type="pct"/>
            <w:noWrap/>
            <w:vAlign w:val="center"/>
          </w:tcPr>
          <w:p w14:paraId="6122CB6B">
            <w:pPr>
              <w:pStyle w:val="41"/>
              <w:rPr>
                <w:color w:val="auto"/>
                <w:highlight w:val="none"/>
              </w:rPr>
            </w:pPr>
            <w:r>
              <w:rPr>
                <w:color w:val="auto"/>
                <w:highlight w:val="none"/>
              </w:rPr>
              <w:t>1900</w:t>
            </w:r>
          </w:p>
        </w:tc>
        <w:tc>
          <w:tcPr>
            <w:tcW w:w="712" w:type="pct"/>
            <w:noWrap/>
            <w:vAlign w:val="center"/>
          </w:tcPr>
          <w:p w14:paraId="3C13941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0.000917</w:t>
            </w:r>
          </w:p>
        </w:tc>
        <w:tc>
          <w:tcPr>
            <w:tcW w:w="406" w:type="pct"/>
            <w:noWrap/>
            <w:vAlign w:val="center"/>
          </w:tcPr>
          <w:p w14:paraId="40F2185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c>
          <w:tcPr>
            <w:tcW w:w="1074" w:type="pct"/>
            <w:noWrap/>
            <w:vAlign w:val="center"/>
          </w:tcPr>
          <w:p w14:paraId="43404FD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0.000917</w:t>
            </w:r>
          </w:p>
        </w:tc>
        <w:tc>
          <w:tcPr>
            <w:tcW w:w="596" w:type="pct"/>
            <w:noWrap/>
            <w:vAlign w:val="center"/>
          </w:tcPr>
          <w:p w14:paraId="1A6D904E">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c>
          <w:tcPr>
            <w:tcW w:w="820" w:type="pct"/>
            <w:noWrap/>
            <w:vAlign w:val="center"/>
          </w:tcPr>
          <w:p w14:paraId="3265349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0.000917</w:t>
            </w:r>
          </w:p>
        </w:tc>
        <w:tc>
          <w:tcPr>
            <w:tcW w:w="512" w:type="pct"/>
            <w:noWrap/>
            <w:vAlign w:val="center"/>
          </w:tcPr>
          <w:p w14:paraId="7BCBDF22">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r>
      <w:tr w14:paraId="74A9DB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7BC35AD7">
            <w:pPr>
              <w:pStyle w:val="41"/>
              <w:rPr>
                <w:color w:val="auto"/>
                <w:highlight w:val="none"/>
              </w:rPr>
            </w:pPr>
            <w:r>
              <w:rPr>
                <w:color w:val="auto"/>
                <w:highlight w:val="none"/>
              </w:rPr>
              <w:t>79</w:t>
            </w:r>
          </w:p>
        </w:tc>
        <w:tc>
          <w:tcPr>
            <w:tcW w:w="548" w:type="pct"/>
            <w:noWrap/>
            <w:vAlign w:val="center"/>
          </w:tcPr>
          <w:p w14:paraId="05810F14">
            <w:pPr>
              <w:pStyle w:val="41"/>
              <w:rPr>
                <w:color w:val="auto"/>
                <w:highlight w:val="none"/>
              </w:rPr>
            </w:pPr>
            <w:r>
              <w:rPr>
                <w:color w:val="auto"/>
                <w:highlight w:val="none"/>
              </w:rPr>
              <w:t>1925</w:t>
            </w:r>
          </w:p>
        </w:tc>
        <w:tc>
          <w:tcPr>
            <w:tcW w:w="712" w:type="pct"/>
            <w:noWrap/>
            <w:vAlign w:val="center"/>
          </w:tcPr>
          <w:p w14:paraId="1C9A6C7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0.000908</w:t>
            </w:r>
          </w:p>
        </w:tc>
        <w:tc>
          <w:tcPr>
            <w:tcW w:w="406" w:type="pct"/>
            <w:noWrap/>
            <w:vAlign w:val="center"/>
          </w:tcPr>
          <w:p w14:paraId="43630F8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c>
          <w:tcPr>
            <w:tcW w:w="1074" w:type="pct"/>
            <w:noWrap/>
            <w:vAlign w:val="center"/>
          </w:tcPr>
          <w:p w14:paraId="43F2D72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0.000908</w:t>
            </w:r>
          </w:p>
        </w:tc>
        <w:tc>
          <w:tcPr>
            <w:tcW w:w="596" w:type="pct"/>
            <w:noWrap/>
            <w:vAlign w:val="center"/>
          </w:tcPr>
          <w:p w14:paraId="4A0BABE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c>
          <w:tcPr>
            <w:tcW w:w="820" w:type="pct"/>
            <w:noWrap/>
            <w:vAlign w:val="center"/>
          </w:tcPr>
          <w:p w14:paraId="346AAF3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0.000908</w:t>
            </w:r>
          </w:p>
        </w:tc>
        <w:tc>
          <w:tcPr>
            <w:tcW w:w="512" w:type="pct"/>
            <w:noWrap/>
            <w:vAlign w:val="center"/>
          </w:tcPr>
          <w:p w14:paraId="620B74E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r>
      <w:tr w14:paraId="45D368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2B1AEB56">
            <w:pPr>
              <w:pStyle w:val="41"/>
              <w:rPr>
                <w:color w:val="auto"/>
                <w:highlight w:val="none"/>
              </w:rPr>
            </w:pPr>
            <w:r>
              <w:rPr>
                <w:color w:val="auto"/>
                <w:highlight w:val="none"/>
              </w:rPr>
              <w:t>80</w:t>
            </w:r>
          </w:p>
        </w:tc>
        <w:tc>
          <w:tcPr>
            <w:tcW w:w="548" w:type="pct"/>
            <w:noWrap/>
            <w:vAlign w:val="center"/>
          </w:tcPr>
          <w:p w14:paraId="27FA2C19">
            <w:pPr>
              <w:pStyle w:val="41"/>
              <w:rPr>
                <w:color w:val="auto"/>
                <w:highlight w:val="none"/>
              </w:rPr>
            </w:pPr>
            <w:r>
              <w:rPr>
                <w:color w:val="auto"/>
                <w:highlight w:val="none"/>
              </w:rPr>
              <w:t>1950</w:t>
            </w:r>
          </w:p>
        </w:tc>
        <w:tc>
          <w:tcPr>
            <w:tcW w:w="712" w:type="pct"/>
            <w:noWrap/>
            <w:vAlign w:val="center"/>
          </w:tcPr>
          <w:p w14:paraId="3B4FA9A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0.000899</w:t>
            </w:r>
          </w:p>
        </w:tc>
        <w:tc>
          <w:tcPr>
            <w:tcW w:w="406" w:type="pct"/>
            <w:noWrap/>
            <w:vAlign w:val="center"/>
          </w:tcPr>
          <w:p w14:paraId="194AF53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c>
          <w:tcPr>
            <w:tcW w:w="1074" w:type="pct"/>
            <w:noWrap/>
            <w:vAlign w:val="center"/>
          </w:tcPr>
          <w:p w14:paraId="66A277D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0.000899</w:t>
            </w:r>
          </w:p>
        </w:tc>
        <w:tc>
          <w:tcPr>
            <w:tcW w:w="596" w:type="pct"/>
            <w:noWrap/>
            <w:vAlign w:val="center"/>
          </w:tcPr>
          <w:p w14:paraId="384A766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c>
          <w:tcPr>
            <w:tcW w:w="820" w:type="pct"/>
            <w:noWrap/>
            <w:vAlign w:val="center"/>
          </w:tcPr>
          <w:p w14:paraId="3084984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0.000899</w:t>
            </w:r>
          </w:p>
        </w:tc>
        <w:tc>
          <w:tcPr>
            <w:tcW w:w="512" w:type="pct"/>
            <w:noWrap/>
            <w:vAlign w:val="center"/>
          </w:tcPr>
          <w:p w14:paraId="60EE64A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r>
      <w:tr w14:paraId="6BEA43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10CBC987">
            <w:pPr>
              <w:pStyle w:val="41"/>
              <w:rPr>
                <w:color w:val="auto"/>
                <w:highlight w:val="none"/>
              </w:rPr>
            </w:pPr>
            <w:r>
              <w:rPr>
                <w:color w:val="auto"/>
                <w:highlight w:val="none"/>
              </w:rPr>
              <w:t>81</w:t>
            </w:r>
          </w:p>
        </w:tc>
        <w:tc>
          <w:tcPr>
            <w:tcW w:w="548" w:type="pct"/>
            <w:noWrap/>
            <w:vAlign w:val="center"/>
          </w:tcPr>
          <w:p w14:paraId="0C1EDB0C">
            <w:pPr>
              <w:pStyle w:val="41"/>
              <w:rPr>
                <w:color w:val="auto"/>
                <w:highlight w:val="none"/>
              </w:rPr>
            </w:pPr>
            <w:r>
              <w:rPr>
                <w:color w:val="auto"/>
                <w:highlight w:val="none"/>
              </w:rPr>
              <w:t>1975</w:t>
            </w:r>
          </w:p>
        </w:tc>
        <w:tc>
          <w:tcPr>
            <w:tcW w:w="712" w:type="pct"/>
            <w:noWrap/>
            <w:vAlign w:val="center"/>
          </w:tcPr>
          <w:p w14:paraId="12D14A9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0.000891</w:t>
            </w:r>
          </w:p>
        </w:tc>
        <w:tc>
          <w:tcPr>
            <w:tcW w:w="406" w:type="pct"/>
            <w:noWrap/>
            <w:vAlign w:val="center"/>
          </w:tcPr>
          <w:p w14:paraId="44426D3E">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c>
          <w:tcPr>
            <w:tcW w:w="1074" w:type="pct"/>
            <w:noWrap/>
            <w:vAlign w:val="center"/>
          </w:tcPr>
          <w:p w14:paraId="72DD3B7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0.000891</w:t>
            </w:r>
          </w:p>
        </w:tc>
        <w:tc>
          <w:tcPr>
            <w:tcW w:w="596" w:type="pct"/>
            <w:noWrap/>
            <w:vAlign w:val="center"/>
          </w:tcPr>
          <w:p w14:paraId="76921A4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c>
          <w:tcPr>
            <w:tcW w:w="820" w:type="pct"/>
            <w:noWrap/>
            <w:vAlign w:val="center"/>
          </w:tcPr>
          <w:p w14:paraId="3FB0784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0.000891</w:t>
            </w:r>
          </w:p>
        </w:tc>
        <w:tc>
          <w:tcPr>
            <w:tcW w:w="512" w:type="pct"/>
            <w:noWrap/>
            <w:vAlign w:val="center"/>
          </w:tcPr>
          <w:p w14:paraId="5AFD139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r>
      <w:tr w14:paraId="0FF2EC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00D08E43">
            <w:pPr>
              <w:pStyle w:val="41"/>
              <w:rPr>
                <w:color w:val="auto"/>
                <w:highlight w:val="none"/>
              </w:rPr>
            </w:pPr>
            <w:r>
              <w:rPr>
                <w:color w:val="auto"/>
                <w:highlight w:val="none"/>
              </w:rPr>
              <w:t>82</w:t>
            </w:r>
          </w:p>
        </w:tc>
        <w:tc>
          <w:tcPr>
            <w:tcW w:w="548" w:type="pct"/>
            <w:noWrap/>
            <w:vAlign w:val="center"/>
          </w:tcPr>
          <w:p w14:paraId="0FD24B95">
            <w:pPr>
              <w:pStyle w:val="41"/>
              <w:rPr>
                <w:color w:val="auto"/>
                <w:highlight w:val="none"/>
              </w:rPr>
            </w:pPr>
            <w:r>
              <w:rPr>
                <w:color w:val="auto"/>
                <w:highlight w:val="none"/>
              </w:rPr>
              <w:t>2000</w:t>
            </w:r>
          </w:p>
        </w:tc>
        <w:tc>
          <w:tcPr>
            <w:tcW w:w="712" w:type="pct"/>
            <w:noWrap/>
            <w:vAlign w:val="center"/>
          </w:tcPr>
          <w:p w14:paraId="1E5456B8">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0.000882</w:t>
            </w:r>
          </w:p>
        </w:tc>
        <w:tc>
          <w:tcPr>
            <w:tcW w:w="406" w:type="pct"/>
            <w:noWrap/>
            <w:vAlign w:val="center"/>
          </w:tcPr>
          <w:p w14:paraId="7FCBFA0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c>
          <w:tcPr>
            <w:tcW w:w="1074" w:type="pct"/>
            <w:noWrap/>
            <w:vAlign w:val="center"/>
          </w:tcPr>
          <w:p w14:paraId="48F6FB3E">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0.000882</w:t>
            </w:r>
          </w:p>
        </w:tc>
        <w:tc>
          <w:tcPr>
            <w:tcW w:w="596" w:type="pct"/>
            <w:noWrap/>
            <w:vAlign w:val="center"/>
          </w:tcPr>
          <w:p w14:paraId="5FB534F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c>
          <w:tcPr>
            <w:tcW w:w="820" w:type="pct"/>
            <w:noWrap/>
            <w:vAlign w:val="center"/>
          </w:tcPr>
          <w:p w14:paraId="13773E29">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0.000882</w:t>
            </w:r>
          </w:p>
        </w:tc>
        <w:tc>
          <w:tcPr>
            <w:tcW w:w="512" w:type="pct"/>
            <w:noWrap/>
            <w:vAlign w:val="center"/>
          </w:tcPr>
          <w:p w14:paraId="63BE869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w:t>
            </w:r>
          </w:p>
        </w:tc>
      </w:tr>
      <w:tr w14:paraId="023285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2230C408">
            <w:pPr>
              <w:pStyle w:val="41"/>
              <w:rPr>
                <w:color w:val="auto"/>
                <w:highlight w:val="none"/>
              </w:rPr>
            </w:pPr>
            <w:r>
              <w:rPr>
                <w:color w:val="auto"/>
                <w:highlight w:val="none"/>
              </w:rPr>
              <w:t>83</w:t>
            </w:r>
          </w:p>
        </w:tc>
        <w:tc>
          <w:tcPr>
            <w:tcW w:w="548" w:type="pct"/>
            <w:noWrap/>
            <w:vAlign w:val="center"/>
          </w:tcPr>
          <w:p w14:paraId="5470F286">
            <w:pPr>
              <w:pStyle w:val="41"/>
              <w:rPr>
                <w:color w:val="auto"/>
                <w:highlight w:val="none"/>
              </w:rPr>
            </w:pPr>
            <w:r>
              <w:rPr>
                <w:color w:val="auto"/>
                <w:highlight w:val="none"/>
              </w:rPr>
              <w:t>2025</w:t>
            </w:r>
          </w:p>
        </w:tc>
        <w:tc>
          <w:tcPr>
            <w:tcW w:w="712" w:type="pct"/>
            <w:noWrap/>
            <w:vAlign w:val="center"/>
          </w:tcPr>
          <w:p w14:paraId="42EAB25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0.000874</w:t>
            </w:r>
          </w:p>
        </w:tc>
        <w:tc>
          <w:tcPr>
            <w:tcW w:w="406" w:type="pct"/>
            <w:noWrap/>
            <w:vAlign w:val="center"/>
          </w:tcPr>
          <w:p w14:paraId="595C894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1074" w:type="pct"/>
            <w:noWrap/>
            <w:vAlign w:val="center"/>
          </w:tcPr>
          <w:p w14:paraId="107C748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0.000874</w:t>
            </w:r>
          </w:p>
        </w:tc>
        <w:tc>
          <w:tcPr>
            <w:tcW w:w="596" w:type="pct"/>
            <w:noWrap/>
            <w:vAlign w:val="center"/>
          </w:tcPr>
          <w:p w14:paraId="33DD3929">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820" w:type="pct"/>
            <w:noWrap/>
            <w:vAlign w:val="center"/>
          </w:tcPr>
          <w:p w14:paraId="69834B2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0.000874</w:t>
            </w:r>
          </w:p>
        </w:tc>
        <w:tc>
          <w:tcPr>
            <w:tcW w:w="512" w:type="pct"/>
            <w:noWrap/>
            <w:vAlign w:val="center"/>
          </w:tcPr>
          <w:p w14:paraId="65021329">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r>
      <w:tr w14:paraId="0B3D40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31D18EDD">
            <w:pPr>
              <w:pStyle w:val="41"/>
              <w:rPr>
                <w:color w:val="auto"/>
                <w:highlight w:val="none"/>
              </w:rPr>
            </w:pPr>
            <w:r>
              <w:rPr>
                <w:color w:val="auto"/>
                <w:highlight w:val="none"/>
              </w:rPr>
              <w:t>84</w:t>
            </w:r>
          </w:p>
        </w:tc>
        <w:tc>
          <w:tcPr>
            <w:tcW w:w="548" w:type="pct"/>
            <w:noWrap/>
            <w:vAlign w:val="center"/>
          </w:tcPr>
          <w:p w14:paraId="6E843615">
            <w:pPr>
              <w:pStyle w:val="41"/>
              <w:rPr>
                <w:color w:val="auto"/>
                <w:highlight w:val="none"/>
              </w:rPr>
            </w:pPr>
            <w:r>
              <w:rPr>
                <w:color w:val="auto"/>
                <w:highlight w:val="none"/>
              </w:rPr>
              <w:t>2050</w:t>
            </w:r>
          </w:p>
        </w:tc>
        <w:tc>
          <w:tcPr>
            <w:tcW w:w="712" w:type="pct"/>
            <w:noWrap/>
            <w:vAlign w:val="center"/>
          </w:tcPr>
          <w:p w14:paraId="1397772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0.000866</w:t>
            </w:r>
          </w:p>
        </w:tc>
        <w:tc>
          <w:tcPr>
            <w:tcW w:w="406" w:type="pct"/>
            <w:noWrap/>
            <w:vAlign w:val="center"/>
          </w:tcPr>
          <w:p w14:paraId="03AAE0BE">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1074" w:type="pct"/>
            <w:noWrap/>
            <w:vAlign w:val="center"/>
          </w:tcPr>
          <w:p w14:paraId="2346CF8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0.000866</w:t>
            </w:r>
          </w:p>
        </w:tc>
        <w:tc>
          <w:tcPr>
            <w:tcW w:w="596" w:type="pct"/>
            <w:noWrap/>
            <w:vAlign w:val="center"/>
          </w:tcPr>
          <w:p w14:paraId="1290F7FE">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820" w:type="pct"/>
            <w:noWrap/>
            <w:vAlign w:val="center"/>
          </w:tcPr>
          <w:p w14:paraId="67DDF30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0.000866</w:t>
            </w:r>
          </w:p>
        </w:tc>
        <w:tc>
          <w:tcPr>
            <w:tcW w:w="512" w:type="pct"/>
            <w:noWrap/>
            <w:vAlign w:val="center"/>
          </w:tcPr>
          <w:p w14:paraId="0A53AB5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r>
      <w:tr w14:paraId="2B3361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5E271F6E">
            <w:pPr>
              <w:pStyle w:val="41"/>
              <w:rPr>
                <w:color w:val="auto"/>
                <w:highlight w:val="none"/>
              </w:rPr>
            </w:pPr>
            <w:r>
              <w:rPr>
                <w:color w:val="auto"/>
                <w:highlight w:val="none"/>
              </w:rPr>
              <w:t>85</w:t>
            </w:r>
          </w:p>
        </w:tc>
        <w:tc>
          <w:tcPr>
            <w:tcW w:w="548" w:type="pct"/>
            <w:noWrap/>
            <w:vAlign w:val="center"/>
          </w:tcPr>
          <w:p w14:paraId="6C8E4A30">
            <w:pPr>
              <w:pStyle w:val="41"/>
              <w:rPr>
                <w:color w:val="auto"/>
                <w:highlight w:val="none"/>
              </w:rPr>
            </w:pPr>
            <w:r>
              <w:rPr>
                <w:color w:val="auto"/>
                <w:highlight w:val="none"/>
              </w:rPr>
              <w:t>2075</w:t>
            </w:r>
          </w:p>
        </w:tc>
        <w:tc>
          <w:tcPr>
            <w:tcW w:w="712" w:type="pct"/>
            <w:noWrap/>
            <w:vAlign w:val="center"/>
          </w:tcPr>
          <w:p w14:paraId="54AD637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0.000858</w:t>
            </w:r>
          </w:p>
        </w:tc>
        <w:tc>
          <w:tcPr>
            <w:tcW w:w="406" w:type="pct"/>
            <w:noWrap/>
            <w:vAlign w:val="center"/>
          </w:tcPr>
          <w:p w14:paraId="2BF0973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1074" w:type="pct"/>
            <w:noWrap/>
            <w:vAlign w:val="center"/>
          </w:tcPr>
          <w:p w14:paraId="69E1FCF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0.000858</w:t>
            </w:r>
          </w:p>
        </w:tc>
        <w:tc>
          <w:tcPr>
            <w:tcW w:w="596" w:type="pct"/>
            <w:noWrap/>
            <w:vAlign w:val="center"/>
          </w:tcPr>
          <w:p w14:paraId="36B9566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820" w:type="pct"/>
            <w:noWrap/>
            <w:vAlign w:val="center"/>
          </w:tcPr>
          <w:p w14:paraId="18979F2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0.000858</w:t>
            </w:r>
          </w:p>
        </w:tc>
        <w:tc>
          <w:tcPr>
            <w:tcW w:w="512" w:type="pct"/>
            <w:noWrap/>
            <w:vAlign w:val="center"/>
          </w:tcPr>
          <w:p w14:paraId="39589E3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r>
      <w:tr w14:paraId="7ADEF0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70A07428">
            <w:pPr>
              <w:pStyle w:val="41"/>
              <w:rPr>
                <w:color w:val="auto"/>
                <w:highlight w:val="none"/>
              </w:rPr>
            </w:pPr>
            <w:r>
              <w:rPr>
                <w:color w:val="auto"/>
                <w:highlight w:val="none"/>
              </w:rPr>
              <w:t>86</w:t>
            </w:r>
          </w:p>
        </w:tc>
        <w:tc>
          <w:tcPr>
            <w:tcW w:w="548" w:type="pct"/>
            <w:noWrap/>
            <w:vAlign w:val="center"/>
          </w:tcPr>
          <w:p w14:paraId="11543C90">
            <w:pPr>
              <w:pStyle w:val="41"/>
              <w:rPr>
                <w:color w:val="auto"/>
                <w:highlight w:val="none"/>
              </w:rPr>
            </w:pPr>
            <w:r>
              <w:rPr>
                <w:color w:val="auto"/>
                <w:highlight w:val="none"/>
              </w:rPr>
              <w:t>2100</w:t>
            </w:r>
          </w:p>
        </w:tc>
        <w:tc>
          <w:tcPr>
            <w:tcW w:w="712" w:type="pct"/>
            <w:noWrap/>
            <w:vAlign w:val="center"/>
          </w:tcPr>
          <w:p w14:paraId="058BA07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0.000851</w:t>
            </w:r>
          </w:p>
        </w:tc>
        <w:tc>
          <w:tcPr>
            <w:tcW w:w="406" w:type="pct"/>
            <w:noWrap/>
            <w:vAlign w:val="center"/>
          </w:tcPr>
          <w:p w14:paraId="2F6659E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1074" w:type="pct"/>
            <w:noWrap/>
            <w:vAlign w:val="center"/>
          </w:tcPr>
          <w:p w14:paraId="2985B6DC">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0.000851</w:t>
            </w:r>
          </w:p>
        </w:tc>
        <w:tc>
          <w:tcPr>
            <w:tcW w:w="596" w:type="pct"/>
            <w:noWrap/>
            <w:vAlign w:val="center"/>
          </w:tcPr>
          <w:p w14:paraId="4DAB782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820" w:type="pct"/>
            <w:noWrap/>
            <w:vAlign w:val="center"/>
          </w:tcPr>
          <w:p w14:paraId="66680A1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0.000851</w:t>
            </w:r>
          </w:p>
        </w:tc>
        <w:tc>
          <w:tcPr>
            <w:tcW w:w="512" w:type="pct"/>
            <w:noWrap/>
            <w:vAlign w:val="center"/>
          </w:tcPr>
          <w:p w14:paraId="72ABD04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r>
      <w:tr w14:paraId="38F61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1BE3BD62">
            <w:pPr>
              <w:pStyle w:val="41"/>
              <w:rPr>
                <w:color w:val="auto"/>
                <w:highlight w:val="none"/>
              </w:rPr>
            </w:pPr>
            <w:r>
              <w:rPr>
                <w:color w:val="auto"/>
                <w:highlight w:val="none"/>
              </w:rPr>
              <w:t>87</w:t>
            </w:r>
          </w:p>
        </w:tc>
        <w:tc>
          <w:tcPr>
            <w:tcW w:w="548" w:type="pct"/>
            <w:noWrap/>
            <w:vAlign w:val="center"/>
          </w:tcPr>
          <w:p w14:paraId="641D08B8">
            <w:pPr>
              <w:pStyle w:val="41"/>
              <w:rPr>
                <w:color w:val="auto"/>
                <w:highlight w:val="none"/>
              </w:rPr>
            </w:pPr>
            <w:r>
              <w:rPr>
                <w:color w:val="auto"/>
                <w:highlight w:val="none"/>
              </w:rPr>
              <w:t>2125</w:t>
            </w:r>
          </w:p>
        </w:tc>
        <w:tc>
          <w:tcPr>
            <w:tcW w:w="712" w:type="pct"/>
            <w:noWrap/>
            <w:vAlign w:val="center"/>
          </w:tcPr>
          <w:p w14:paraId="14AE30C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0.000844</w:t>
            </w:r>
          </w:p>
        </w:tc>
        <w:tc>
          <w:tcPr>
            <w:tcW w:w="406" w:type="pct"/>
            <w:noWrap/>
            <w:vAlign w:val="center"/>
          </w:tcPr>
          <w:p w14:paraId="3AD2F7B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1074" w:type="pct"/>
            <w:noWrap/>
            <w:vAlign w:val="center"/>
          </w:tcPr>
          <w:p w14:paraId="2D0C86F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0.000844</w:t>
            </w:r>
          </w:p>
        </w:tc>
        <w:tc>
          <w:tcPr>
            <w:tcW w:w="596" w:type="pct"/>
            <w:noWrap/>
            <w:vAlign w:val="center"/>
          </w:tcPr>
          <w:p w14:paraId="325B4FA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820" w:type="pct"/>
            <w:noWrap/>
            <w:vAlign w:val="center"/>
          </w:tcPr>
          <w:p w14:paraId="0B40FC0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0.000844</w:t>
            </w:r>
          </w:p>
        </w:tc>
        <w:tc>
          <w:tcPr>
            <w:tcW w:w="512" w:type="pct"/>
            <w:noWrap/>
            <w:vAlign w:val="center"/>
          </w:tcPr>
          <w:p w14:paraId="5658408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r>
      <w:tr w14:paraId="108A61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4347BD9B">
            <w:pPr>
              <w:pStyle w:val="41"/>
              <w:rPr>
                <w:color w:val="auto"/>
                <w:highlight w:val="none"/>
              </w:rPr>
            </w:pPr>
            <w:r>
              <w:rPr>
                <w:color w:val="auto"/>
                <w:highlight w:val="none"/>
              </w:rPr>
              <w:t>88</w:t>
            </w:r>
          </w:p>
        </w:tc>
        <w:tc>
          <w:tcPr>
            <w:tcW w:w="548" w:type="pct"/>
            <w:noWrap/>
            <w:vAlign w:val="center"/>
          </w:tcPr>
          <w:p w14:paraId="77E27791">
            <w:pPr>
              <w:pStyle w:val="41"/>
              <w:rPr>
                <w:color w:val="auto"/>
                <w:highlight w:val="none"/>
              </w:rPr>
            </w:pPr>
            <w:r>
              <w:rPr>
                <w:color w:val="auto"/>
                <w:highlight w:val="none"/>
              </w:rPr>
              <w:t>2150</w:t>
            </w:r>
          </w:p>
        </w:tc>
        <w:tc>
          <w:tcPr>
            <w:tcW w:w="712" w:type="pct"/>
            <w:noWrap/>
            <w:vAlign w:val="center"/>
          </w:tcPr>
          <w:p w14:paraId="4952589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0.000837</w:t>
            </w:r>
          </w:p>
        </w:tc>
        <w:tc>
          <w:tcPr>
            <w:tcW w:w="406" w:type="pct"/>
            <w:noWrap/>
            <w:vAlign w:val="center"/>
          </w:tcPr>
          <w:p w14:paraId="675D117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1074" w:type="pct"/>
            <w:noWrap/>
            <w:vAlign w:val="center"/>
          </w:tcPr>
          <w:p w14:paraId="3592997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0.000837</w:t>
            </w:r>
          </w:p>
        </w:tc>
        <w:tc>
          <w:tcPr>
            <w:tcW w:w="596" w:type="pct"/>
            <w:noWrap/>
            <w:vAlign w:val="center"/>
          </w:tcPr>
          <w:p w14:paraId="0CC3644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c>
          <w:tcPr>
            <w:tcW w:w="820" w:type="pct"/>
            <w:noWrap/>
            <w:vAlign w:val="center"/>
          </w:tcPr>
          <w:p w14:paraId="2D26161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0.000837</w:t>
            </w:r>
          </w:p>
        </w:tc>
        <w:tc>
          <w:tcPr>
            <w:tcW w:w="512" w:type="pct"/>
            <w:noWrap/>
            <w:vAlign w:val="center"/>
          </w:tcPr>
          <w:p w14:paraId="21817182">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0.19</w:t>
            </w:r>
          </w:p>
        </w:tc>
      </w:tr>
      <w:tr w14:paraId="2F1ACD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5FF69319">
            <w:pPr>
              <w:pStyle w:val="41"/>
              <w:rPr>
                <w:color w:val="auto"/>
                <w:highlight w:val="none"/>
              </w:rPr>
            </w:pPr>
            <w:r>
              <w:rPr>
                <w:color w:val="auto"/>
                <w:highlight w:val="none"/>
              </w:rPr>
              <w:t>89</w:t>
            </w:r>
          </w:p>
        </w:tc>
        <w:tc>
          <w:tcPr>
            <w:tcW w:w="548" w:type="pct"/>
            <w:noWrap/>
            <w:vAlign w:val="center"/>
          </w:tcPr>
          <w:p w14:paraId="6CEE1130">
            <w:pPr>
              <w:pStyle w:val="41"/>
              <w:rPr>
                <w:color w:val="auto"/>
                <w:highlight w:val="none"/>
              </w:rPr>
            </w:pPr>
            <w:r>
              <w:rPr>
                <w:color w:val="auto"/>
                <w:highlight w:val="none"/>
              </w:rPr>
              <w:t>2175</w:t>
            </w:r>
          </w:p>
        </w:tc>
        <w:tc>
          <w:tcPr>
            <w:tcW w:w="712" w:type="pct"/>
            <w:noWrap/>
            <w:vAlign w:val="center"/>
          </w:tcPr>
          <w:p w14:paraId="2FE24F6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0.00083</w:t>
            </w:r>
          </w:p>
        </w:tc>
        <w:tc>
          <w:tcPr>
            <w:tcW w:w="406" w:type="pct"/>
            <w:noWrap/>
            <w:vAlign w:val="center"/>
          </w:tcPr>
          <w:p w14:paraId="2CD39988">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074" w:type="pct"/>
            <w:noWrap/>
            <w:vAlign w:val="center"/>
          </w:tcPr>
          <w:p w14:paraId="3FDDC59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0.00083</w:t>
            </w:r>
          </w:p>
        </w:tc>
        <w:tc>
          <w:tcPr>
            <w:tcW w:w="596" w:type="pct"/>
            <w:noWrap/>
            <w:vAlign w:val="center"/>
          </w:tcPr>
          <w:p w14:paraId="44E6536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820" w:type="pct"/>
            <w:noWrap/>
            <w:vAlign w:val="center"/>
          </w:tcPr>
          <w:p w14:paraId="4A4A341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0.00083</w:t>
            </w:r>
          </w:p>
        </w:tc>
        <w:tc>
          <w:tcPr>
            <w:tcW w:w="512" w:type="pct"/>
            <w:noWrap/>
            <w:vAlign w:val="center"/>
          </w:tcPr>
          <w:p w14:paraId="4564FD3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r>
      <w:tr w14:paraId="77CE36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56DCBA83">
            <w:pPr>
              <w:pStyle w:val="41"/>
              <w:rPr>
                <w:color w:val="auto"/>
                <w:highlight w:val="none"/>
              </w:rPr>
            </w:pPr>
            <w:r>
              <w:rPr>
                <w:color w:val="auto"/>
                <w:highlight w:val="none"/>
              </w:rPr>
              <w:t>90</w:t>
            </w:r>
          </w:p>
        </w:tc>
        <w:tc>
          <w:tcPr>
            <w:tcW w:w="548" w:type="pct"/>
            <w:noWrap/>
            <w:vAlign w:val="center"/>
          </w:tcPr>
          <w:p w14:paraId="78CAABEA">
            <w:pPr>
              <w:pStyle w:val="41"/>
              <w:rPr>
                <w:color w:val="auto"/>
                <w:highlight w:val="none"/>
              </w:rPr>
            </w:pPr>
            <w:r>
              <w:rPr>
                <w:color w:val="auto"/>
                <w:highlight w:val="none"/>
              </w:rPr>
              <w:t>2200</w:t>
            </w:r>
          </w:p>
        </w:tc>
        <w:tc>
          <w:tcPr>
            <w:tcW w:w="712" w:type="pct"/>
            <w:noWrap/>
            <w:vAlign w:val="center"/>
          </w:tcPr>
          <w:p w14:paraId="560416EC">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0.000823</w:t>
            </w:r>
          </w:p>
        </w:tc>
        <w:tc>
          <w:tcPr>
            <w:tcW w:w="406" w:type="pct"/>
            <w:noWrap/>
            <w:vAlign w:val="center"/>
          </w:tcPr>
          <w:p w14:paraId="5FB5003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074" w:type="pct"/>
            <w:noWrap/>
            <w:vAlign w:val="center"/>
          </w:tcPr>
          <w:p w14:paraId="6E93B76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0.000823</w:t>
            </w:r>
          </w:p>
        </w:tc>
        <w:tc>
          <w:tcPr>
            <w:tcW w:w="596" w:type="pct"/>
            <w:noWrap/>
            <w:vAlign w:val="center"/>
          </w:tcPr>
          <w:p w14:paraId="670E304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820" w:type="pct"/>
            <w:noWrap/>
            <w:vAlign w:val="center"/>
          </w:tcPr>
          <w:p w14:paraId="7A044EA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0.000823</w:t>
            </w:r>
          </w:p>
        </w:tc>
        <w:tc>
          <w:tcPr>
            <w:tcW w:w="512" w:type="pct"/>
            <w:noWrap/>
            <w:vAlign w:val="center"/>
          </w:tcPr>
          <w:p w14:paraId="1928978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r>
      <w:tr w14:paraId="651AE2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06D778C3">
            <w:pPr>
              <w:pStyle w:val="41"/>
              <w:rPr>
                <w:color w:val="auto"/>
                <w:highlight w:val="none"/>
              </w:rPr>
            </w:pPr>
            <w:r>
              <w:rPr>
                <w:color w:val="auto"/>
                <w:highlight w:val="none"/>
              </w:rPr>
              <w:t>91</w:t>
            </w:r>
          </w:p>
        </w:tc>
        <w:tc>
          <w:tcPr>
            <w:tcW w:w="548" w:type="pct"/>
            <w:noWrap/>
            <w:vAlign w:val="center"/>
          </w:tcPr>
          <w:p w14:paraId="4759C394">
            <w:pPr>
              <w:pStyle w:val="41"/>
              <w:rPr>
                <w:color w:val="auto"/>
                <w:highlight w:val="none"/>
              </w:rPr>
            </w:pPr>
            <w:r>
              <w:rPr>
                <w:color w:val="auto"/>
                <w:highlight w:val="none"/>
              </w:rPr>
              <w:t>2225</w:t>
            </w:r>
          </w:p>
        </w:tc>
        <w:tc>
          <w:tcPr>
            <w:tcW w:w="712" w:type="pct"/>
            <w:noWrap/>
            <w:vAlign w:val="center"/>
          </w:tcPr>
          <w:p w14:paraId="509A010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0.000816</w:t>
            </w:r>
          </w:p>
        </w:tc>
        <w:tc>
          <w:tcPr>
            <w:tcW w:w="406" w:type="pct"/>
            <w:noWrap/>
            <w:vAlign w:val="center"/>
          </w:tcPr>
          <w:p w14:paraId="1BD66BD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074" w:type="pct"/>
            <w:noWrap/>
            <w:vAlign w:val="center"/>
          </w:tcPr>
          <w:p w14:paraId="23E1EEB2">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0.000816</w:t>
            </w:r>
          </w:p>
        </w:tc>
        <w:tc>
          <w:tcPr>
            <w:tcW w:w="596" w:type="pct"/>
            <w:noWrap/>
            <w:vAlign w:val="center"/>
          </w:tcPr>
          <w:p w14:paraId="7C1626D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820" w:type="pct"/>
            <w:noWrap/>
            <w:vAlign w:val="center"/>
          </w:tcPr>
          <w:p w14:paraId="5A7EF93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0.000816</w:t>
            </w:r>
          </w:p>
        </w:tc>
        <w:tc>
          <w:tcPr>
            <w:tcW w:w="512" w:type="pct"/>
            <w:noWrap/>
            <w:vAlign w:val="center"/>
          </w:tcPr>
          <w:p w14:paraId="3598796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r>
      <w:tr w14:paraId="693095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0F0B03F6">
            <w:pPr>
              <w:pStyle w:val="41"/>
              <w:rPr>
                <w:color w:val="auto"/>
                <w:highlight w:val="none"/>
              </w:rPr>
            </w:pPr>
            <w:r>
              <w:rPr>
                <w:color w:val="auto"/>
                <w:highlight w:val="none"/>
              </w:rPr>
              <w:t>92</w:t>
            </w:r>
          </w:p>
        </w:tc>
        <w:tc>
          <w:tcPr>
            <w:tcW w:w="548" w:type="pct"/>
            <w:noWrap/>
            <w:vAlign w:val="center"/>
          </w:tcPr>
          <w:p w14:paraId="50D69173">
            <w:pPr>
              <w:pStyle w:val="41"/>
              <w:rPr>
                <w:color w:val="auto"/>
                <w:highlight w:val="none"/>
              </w:rPr>
            </w:pPr>
            <w:r>
              <w:rPr>
                <w:color w:val="auto"/>
                <w:highlight w:val="none"/>
              </w:rPr>
              <w:t>2250</w:t>
            </w:r>
          </w:p>
        </w:tc>
        <w:tc>
          <w:tcPr>
            <w:tcW w:w="712" w:type="pct"/>
            <w:noWrap/>
            <w:vAlign w:val="center"/>
          </w:tcPr>
          <w:p w14:paraId="1E0D7090">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0.000809</w:t>
            </w:r>
          </w:p>
        </w:tc>
        <w:tc>
          <w:tcPr>
            <w:tcW w:w="406" w:type="pct"/>
            <w:noWrap/>
            <w:vAlign w:val="center"/>
          </w:tcPr>
          <w:p w14:paraId="1ACC8048">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074" w:type="pct"/>
            <w:noWrap/>
            <w:vAlign w:val="center"/>
          </w:tcPr>
          <w:p w14:paraId="79F9150E">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0.000809</w:t>
            </w:r>
          </w:p>
        </w:tc>
        <w:tc>
          <w:tcPr>
            <w:tcW w:w="596" w:type="pct"/>
            <w:noWrap/>
            <w:vAlign w:val="center"/>
          </w:tcPr>
          <w:p w14:paraId="6785E4C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820" w:type="pct"/>
            <w:noWrap/>
            <w:vAlign w:val="center"/>
          </w:tcPr>
          <w:p w14:paraId="6C081349">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0.000809</w:t>
            </w:r>
          </w:p>
        </w:tc>
        <w:tc>
          <w:tcPr>
            <w:tcW w:w="512" w:type="pct"/>
            <w:noWrap/>
            <w:vAlign w:val="center"/>
          </w:tcPr>
          <w:p w14:paraId="2E4D816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r>
      <w:tr w14:paraId="47158D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12FBB623">
            <w:pPr>
              <w:pStyle w:val="41"/>
              <w:rPr>
                <w:color w:val="auto"/>
                <w:highlight w:val="none"/>
              </w:rPr>
            </w:pPr>
            <w:r>
              <w:rPr>
                <w:color w:val="auto"/>
                <w:highlight w:val="none"/>
              </w:rPr>
              <w:t>93</w:t>
            </w:r>
          </w:p>
        </w:tc>
        <w:tc>
          <w:tcPr>
            <w:tcW w:w="548" w:type="pct"/>
            <w:noWrap/>
            <w:vAlign w:val="center"/>
          </w:tcPr>
          <w:p w14:paraId="53C15F10">
            <w:pPr>
              <w:pStyle w:val="41"/>
              <w:rPr>
                <w:color w:val="auto"/>
                <w:highlight w:val="none"/>
              </w:rPr>
            </w:pPr>
            <w:r>
              <w:rPr>
                <w:color w:val="auto"/>
                <w:highlight w:val="none"/>
              </w:rPr>
              <w:t>2275</w:t>
            </w:r>
          </w:p>
        </w:tc>
        <w:tc>
          <w:tcPr>
            <w:tcW w:w="712" w:type="pct"/>
            <w:noWrap/>
            <w:vAlign w:val="center"/>
          </w:tcPr>
          <w:p w14:paraId="75D2668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0.000802</w:t>
            </w:r>
          </w:p>
        </w:tc>
        <w:tc>
          <w:tcPr>
            <w:tcW w:w="406" w:type="pct"/>
            <w:noWrap/>
            <w:vAlign w:val="center"/>
          </w:tcPr>
          <w:p w14:paraId="79914DCA">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074" w:type="pct"/>
            <w:noWrap/>
            <w:vAlign w:val="center"/>
          </w:tcPr>
          <w:p w14:paraId="0403866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0.000802</w:t>
            </w:r>
          </w:p>
        </w:tc>
        <w:tc>
          <w:tcPr>
            <w:tcW w:w="596" w:type="pct"/>
            <w:noWrap/>
            <w:vAlign w:val="center"/>
          </w:tcPr>
          <w:p w14:paraId="0BDB2F29">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820" w:type="pct"/>
            <w:noWrap/>
            <w:vAlign w:val="center"/>
          </w:tcPr>
          <w:p w14:paraId="26D8502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0.000802</w:t>
            </w:r>
          </w:p>
        </w:tc>
        <w:tc>
          <w:tcPr>
            <w:tcW w:w="512" w:type="pct"/>
            <w:noWrap/>
            <w:vAlign w:val="center"/>
          </w:tcPr>
          <w:p w14:paraId="33DC58C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r>
      <w:tr w14:paraId="75A0AD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21E2B14A">
            <w:pPr>
              <w:pStyle w:val="41"/>
              <w:rPr>
                <w:color w:val="auto"/>
                <w:highlight w:val="none"/>
              </w:rPr>
            </w:pPr>
            <w:r>
              <w:rPr>
                <w:color w:val="auto"/>
                <w:highlight w:val="none"/>
              </w:rPr>
              <w:t>94</w:t>
            </w:r>
          </w:p>
        </w:tc>
        <w:tc>
          <w:tcPr>
            <w:tcW w:w="548" w:type="pct"/>
            <w:noWrap/>
            <w:vAlign w:val="center"/>
          </w:tcPr>
          <w:p w14:paraId="413F6F48">
            <w:pPr>
              <w:pStyle w:val="41"/>
              <w:rPr>
                <w:color w:val="auto"/>
                <w:highlight w:val="none"/>
              </w:rPr>
            </w:pPr>
            <w:r>
              <w:rPr>
                <w:color w:val="auto"/>
                <w:highlight w:val="none"/>
              </w:rPr>
              <w:t>2300</w:t>
            </w:r>
          </w:p>
        </w:tc>
        <w:tc>
          <w:tcPr>
            <w:tcW w:w="712" w:type="pct"/>
            <w:noWrap/>
            <w:vAlign w:val="center"/>
          </w:tcPr>
          <w:p w14:paraId="362B9C6E">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0.000796</w:t>
            </w:r>
          </w:p>
        </w:tc>
        <w:tc>
          <w:tcPr>
            <w:tcW w:w="406" w:type="pct"/>
            <w:noWrap/>
            <w:vAlign w:val="center"/>
          </w:tcPr>
          <w:p w14:paraId="7A764BC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074" w:type="pct"/>
            <w:noWrap/>
            <w:vAlign w:val="center"/>
          </w:tcPr>
          <w:p w14:paraId="7F88164E">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0.000796</w:t>
            </w:r>
          </w:p>
        </w:tc>
        <w:tc>
          <w:tcPr>
            <w:tcW w:w="596" w:type="pct"/>
            <w:noWrap/>
            <w:vAlign w:val="center"/>
          </w:tcPr>
          <w:p w14:paraId="7E15E9D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820" w:type="pct"/>
            <w:noWrap/>
            <w:vAlign w:val="center"/>
          </w:tcPr>
          <w:p w14:paraId="6F92F48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0.000796</w:t>
            </w:r>
          </w:p>
        </w:tc>
        <w:tc>
          <w:tcPr>
            <w:tcW w:w="512" w:type="pct"/>
            <w:noWrap/>
            <w:vAlign w:val="center"/>
          </w:tcPr>
          <w:p w14:paraId="48BCEF5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r>
      <w:tr w14:paraId="359B84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5743488A">
            <w:pPr>
              <w:pStyle w:val="41"/>
              <w:rPr>
                <w:color w:val="auto"/>
                <w:highlight w:val="none"/>
              </w:rPr>
            </w:pPr>
            <w:r>
              <w:rPr>
                <w:color w:val="auto"/>
                <w:highlight w:val="none"/>
              </w:rPr>
              <w:t>95</w:t>
            </w:r>
          </w:p>
        </w:tc>
        <w:tc>
          <w:tcPr>
            <w:tcW w:w="548" w:type="pct"/>
            <w:noWrap/>
            <w:vAlign w:val="center"/>
          </w:tcPr>
          <w:p w14:paraId="7FCBE19F">
            <w:pPr>
              <w:pStyle w:val="41"/>
              <w:rPr>
                <w:color w:val="auto"/>
                <w:highlight w:val="none"/>
              </w:rPr>
            </w:pPr>
            <w:r>
              <w:rPr>
                <w:color w:val="auto"/>
                <w:highlight w:val="none"/>
              </w:rPr>
              <w:t>2325</w:t>
            </w:r>
          </w:p>
        </w:tc>
        <w:tc>
          <w:tcPr>
            <w:tcW w:w="712" w:type="pct"/>
            <w:noWrap/>
            <w:vAlign w:val="center"/>
          </w:tcPr>
          <w:p w14:paraId="0B96FF6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0.00079</w:t>
            </w:r>
          </w:p>
        </w:tc>
        <w:tc>
          <w:tcPr>
            <w:tcW w:w="406" w:type="pct"/>
            <w:noWrap/>
            <w:vAlign w:val="center"/>
          </w:tcPr>
          <w:p w14:paraId="17FDCBF0">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1074" w:type="pct"/>
            <w:noWrap/>
            <w:vAlign w:val="center"/>
          </w:tcPr>
          <w:p w14:paraId="2CE96301">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0.00079</w:t>
            </w:r>
          </w:p>
        </w:tc>
        <w:tc>
          <w:tcPr>
            <w:tcW w:w="596" w:type="pct"/>
            <w:noWrap/>
            <w:vAlign w:val="center"/>
          </w:tcPr>
          <w:p w14:paraId="551078C9">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c>
          <w:tcPr>
            <w:tcW w:w="820" w:type="pct"/>
            <w:noWrap/>
            <w:vAlign w:val="center"/>
          </w:tcPr>
          <w:p w14:paraId="2D2A903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0.00079</w:t>
            </w:r>
          </w:p>
        </w:tc>
        <w:tc>
          <w:tcPr>
            <w:tcW w:w="512" w:type="pct"/>
            <w:noWrap/>
            <w:vAlign w:val="center"/>
          </w:tcPr>
          <w:p w14:paraId="5D8B3FB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0.18</w:t>
            </w:r>
          </w:p>
        </w:tc>
      </w:tr>
      <w:tr w14:paraId="131E80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2DDED682">
            <w:pPr>
              <w:pStyle w:val="41"/>
              <w:rPr>
                <w:color w:val="auto"/>
                <w:highlight w:val="none"/>
              </w:rPr>
            </w:pPr>
            <w:r>
              <w:rPr>
                <w:color w:val="auto"/>
                <w:highlight w:val="none"/>
              </w:rPr>
              <w:t>96</w:t>
            </w:r>
          </w:p>
        </w:tc>
        <w:tc>
          <w:tcPr>
            <w:tcW w:w="548" w:type="pct"/>
            <w:noWrap/>
            <w:vAlign w:val="center"/>
          </w:tcPr>
          <w:p w14:paraId="13466C66">
            <w:pPr>
              <w:pStyle w:val="41"/>
              <w:rPr>
                <w:color w:val="auto"/>
                <w:highlight w:val="none"/>
              </w:rPr>
            </w:pPr>
            <w:r>
              <w:rPr>
                <w:color w:val="auto"/>
                <w:highlight w:val="none"/>
              </w:rPr>
              <w:t>2350</w:t>
            </w:r>
          </w:p>
        </w:tc>
        <w:tc>
          <w:tcPr>
            <w:tcW w:w="712" w:type="pct"/>
            <w:noWrap/>
            <w:vAlign w:val="center"/>
          </w:tcPr>
          <w:p w14:paraId="0748C9C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0.000784</w:t>
            </w:r>
          </w:p>
        </w:tc>
        <w:tc>
          <w:tcPr>
            <w:tcW w:w="406" w:type="pct"/>
            <w:noWrap/>
            <w:vAlign w:val="center"/>
          </w:tcPr>
          <w:p w14:paraId="608310A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074" w:type="pct"/>
            <w:noWrap/>
            <w:vAlign w:val="center"/>
          </w:tcPr>
          <w:p w14:paraId="36C91E0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0.000784</w:t>
            </w:r>
          </w:p>
        </w:tc>
        <w:tc>
          <w:tcPr>
            <w:tcW w:w="596" w:type="pct"/>
            <w:noWrap/>
            <w:vAlign w:val="center"/>
          </w:tcPr>
          <w:p w14:paraId="77CB3CD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820" w:type="pct"/>
            <w:noWrap/>
            <w:vAlign w:val="center"/>
          </w:tcPr>
          <w:p w14:paraId="017A8B4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0.000784</w:t>
            </w:r>
          </w:p>
        </w:tc>
        <w:tc>
          <w:tcPr>
            <w:tcW w:w="512" w:type="pct"/>
            <w:noWrap/>
            <w:vAlign w:val="center"/>
          </w:tcPr>
          <w:p w14:paraId="08D082DD">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r>
      <w:tr w14:paraId="0B5357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124A7DFD">
            <w:pPr>
              <w:pStyle w:val="41"/>
              <w:rPr>
                <w:color w:val="auto"/>
                <w:highlight w:val="none"/>
              </w:rPr>
            </w:pPr>
            <w:r>
              <w:rPr>
                <w:color w:val="auto"/>
                <w:highlight w:val="none"/>
              </w:rPr>
              <w:t>97</w:t>
            </w:r>
          </w:p>
        </w:tc>
        <w:tc>
          <w:tcPr>
            <w:tcW w:w="548" w:type="pct"/>
            <w:noWrap/>
            <w:vAlign w:val="center"/>
          </w:tcPr>
          <w:p w14:paraId="080B3685">
            <w:pPr>
              <w:pStyle w:val="41"/>
              <w:rPr>
                <w:color w:val="auto"/>
                <w:highlight w:val="none"/>
              </w:rPr>
            </w:pPr>
            <w:r>
              <w:rPr>
                <w:color w:val="auto"/>
                <w:highlight w:val="none"/>
              </w:rPr>
              <w:t>2375</w:t>
            </w:r>
          </w:p>
        </w:tc>
        <w:tc>
          <w:tcPr>
            <w:tcW w:w="712" w:type="pct"/>
            <w:noWrap/>
            <w:vAlign w:val="center"/>
          </w:tcPr>
          <w:p w14:paraId="7D866DF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0.000777</w:t>
            </w:r>
          </w:p>
        </w:tc>
        <w:tc>
          <w:tcPr>
            <w:tcW w:w="406" w:type="pct"/>
            <w:noWrap/>
            <w:vAlign w:val="center"/>
          </w:tcPr>
          <w:p w14:paraId="4B85B86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074" w:type="pct"/>
            <w:noWrap/>
            <w:vAlign w:val="center"/>
          </w:tcPr>
          <w:p w14:paraId="260C55C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0.000777</w:t>
            </w:r>
          </w:p>
        </w:tc>
        <w:tc>
          <w:tcPr>
            <w:tcW w:w="596" w:type="pct"/>
            <w:noWrap/>
            <w:vAlign w:val="center"/>
          </w:tcPr>
          <w:p w14:paraId="6B752AE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820" w:type="pct"/>
            <w:noWrap/>
            <w:vAlign w:val="center"/>
          </w:tcPr>
          <w:p w14:paraId="6C685CF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0.000777</w:t>
            </w:r>
          </w:p>
        </w:tc>
        <w:tc>
          <w:tcPr>
            <w:tcW w:w="512" w:type="pct"/>
            <w:noWrap/>
            <w:vAlign w:val="center"/>
          </w:tcPr>
          <w:p w14:paraId="6100A1F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r>
      <w:tr w14:paraId="518ED5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2243E843">
            <w:pPr>
              <w:pStyle w:val="41"/>
              <w:rPr>
                <w:color w:val="auto"/>
                <w:highlight w:val="none"/>
              </w:rPr>
            </w:pPr>
            <w:r>
              <w:rPr>
                <w:color w:val="auto"/>
                <w:highlight w:val="none"/>
              </w:rPr>
              <w:t>98</w:t>
            </w:r>
          </w:p>
        </w:tc>
        <w:tc>
          <w:tcPr>
            <w:tcW w:w="548" w:type="pct"/>
            <w:noWrap/>
            <w:vAlign w:val="center"/>
          </w:tcPr>
          <w:p w14:paraId="6C7E826D">
            <w:pPr>
              <w:pStyle w:val="41"/>
              <w:rPr>
                <w:color w:val="auto"/>
                <w:highlight w:val="none"/>
              </w:rPr>
            </w:pPr>
            <w:r>
              <w:rPr>
                <w:color w:val="auto"/>
                <w:highlight w:val="none"/>
              </w:rPr>
              <w:t>2400</w:t>
            </w:r>
          </w:p>
        </w:tc>
        <w:tc>
          <w:tcPr>
            <w:tcW w:w="712" w:type="pct"/>
            <w:noWrap/>
            <w:vAlign w:val="center"/>
          </w:tcPr>
          <w:p w14:paraId="023073F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0.000771</w:t>
            </w:r>
          </w:p>
        </w:tc>
        <w:tc>
          <w:tcPr>
            <w:tcW w:w="406" w:type="pct"/>
            <w:noWrap/>
            <w:vAlign w:val="center"/>
          </w:tcPr>
          <w:p w14:paraId="786B927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074" w:type="pct"/>
            <w:noWrap/>
            <w:vAlign w:val="center"/>
          </w:tcPr>
          <w:p w14:paraId="5449DAD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0.000771</w:t>
            </w:r>
          </w:p>
        </w:tc>
        <w:tc>
          <w:tcPr>
            <w:tcW w:w="596" w:type="pct"/>
            <w:noWrap/>
            <w:vAlign w:val="center"/>
          </w:tcPr>
          <w:p w14:paraId="102702B5">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820" w:type="pct"/>
            <w:noWrap/>
            <w:vAlign w:val="center"/>
          </w:tcPr>
          <w:p w14:paraId="4BC241E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0.000771</w:t>
            </w:r>
          </w:p>
        </w:tc>
        <w:tc>
          <w:tcPr>
            <w:tcW w:w="512" w:type="pct"/>
            <w:noWrap/>
            <w:vAlign w:val="center"/>
          </w:tcPr>
          <w:p w14:paraId="1CEC65C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r>
      <w:tr w14:paraId="46B175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5BAC33F2">
            <w:pPr>
              <w:pStyle w:val="41"/>
              <w:rPr>
                <w:color w:val="auto"/>
                <w:highlight w:val="none"/>
              </w:rPr>
            </w:pPr>
            <w:r>
              <w:rPr>
                <w:color w:val="auto"/>
                <w:highlight w:val="none"/>
              </w:rPr>
              <w:t>99</w:t>
            </w:r>
          </w:p>
        </w:tc>
        <w:tc>
          <w:tcPr>
            <w:tcW w:w="548" w:type="pct"/>
            <w:noWrap/>
            <w:vAlign w:val="center"/>
          </w:tcPr>
          <w:p w14:paraId="3912591A">
            <w:pPr>
              <w:pStyle w:val="41"/>
              <w:rPr>
                <w:color w:val="auto"/>
                <w:highlight w:val="none"/>
              </w:rPr>
            </w:pPr>
            <w:r>
              <w:rPr>
                <w:color w:val="auto"/>
                <w:highlight w:val="none"/>
              </w:rPr>
              <w:t>2425</w:t>
            </w:r>
          </w:p>
        </w:tc>
        <w:tc>
          <w:tcPr>
            <w:tcW w:w="712" w:type="pct"/>
            <w:noWrap/>
            <w:vAlign w:val="center"/>
          </w:tcPr>
          <w:p w14:paraId="64292A7C">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0.000765</w:t>
            </w:r>
          </w:p>
        </w:tc>
        <w:tc>
          <w:tcPr>
            <w:tcW w:w="406" w:type="pct"/>
            <w:noWrap/>
            <w:vAlign w:val="center"/>
          </w:tcPr>
          <w:p w14:paraId="67EFAC9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074" w:type="pct"/>
            <w:noWrap/>
            <w:vAlign w:val="center"/>
          </w:tcPr>
          <w:p w14:paraId="3456C33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0.000765</w:t>
            </w:r>
          </w:p>
        </w:tc>
        <w:tc>
          <w:tcPr>
            <w:tcW w:w="596" w:type="pct"/>
            <w:noWrap/>
            <w:vAlign w:val="center"/>
          </w:tcPr>
          <w:p w14:paraId="4B632CF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820" w:type="pct"/>
            <w:noWrap/>
            <w:vAlign w:val="center"/>
          </w:tcPr>
          <w:p w14:paraId="1ADB857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0.000765</w:t>
            </w:r>
          </w:p>
        </w:tc>
        <w:tc>
          <w:tcPr>
            <w:tcW w:w="512" w:type="pct"/>
            <w:noWrap/>
            <w:vAlign w:val="center"/>
          </w:tcPr>
          <w:p w14:paraId="57AE4FB2">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r>
      <w:tr w14:paraId="3D3610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7AF47CED">
            <w:pPr>
              <w:pStyle w:val="41"/>
              <w:rPr>
                <w:color w:val="auto"/>
                <w:highlight w:val="none"/>
              </w:rPr>
            </w:pPr>
            <w:r>
              <w:rPr>
                <w:color w:val="auto"/>
                <w:highlight w:val="none"/>
              </w:rPr>
              <w:t>100</w:t>
            </w:r>
          </w:p>
        </w:tc>
        <w:tc>
          <w:tcPr>
            <w:tcW w:w="548" w:type="pct"/>
            <w:noWrap/>
            <w:vAlign w:val="center"/>
          </w:tcPr>
          <w:p w14:paraId="0EF84D26">
            <w:pPr>
              <w:pStyle w:val="41"/>
              <w:rPr>
                <w:color w:val="auto"/>
                <w:highlight w:val="none"/>
              </w:rPr>
            </w:pPr>
            <w:r>
              <w:rPr>
                <w:color w:val="auto"/>
                <w:highlight w:val="none"/>
              </w:rPr>
              <w:t>2450</w:t>
            </w:r>
          </w:p>
        </w:tc>
        <w:tc>
          <w:tcPr>
            <w:tcW w:w="712" w:type="pct"/>
            <w:noWrap/>
            <w:vAlign w:val="center"/>
          </w:tcPr>
          <w:p w14:paraId="323DE44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0.000759</w:t>
            </w:r>
          </w:p>
        </w:tc>
        <w:tc>
          <w:tcPr>
            <w:tcW w:w="406" w:type="pct"/>
            <w:noWrap/>
            <w:vAlign w:val="center"/>
          </w:tcPr>
          <w:p w14:paraId="367D24FA">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074" w:type="pct"/>
            <w:noWrap/>
            <w:vAlign w:val="center"/>
          </w:tcPr>
          <w:p w14:paraId="47A88ABF">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0.000759</w:t>
            </w:r>
          </w:p>
        </w:tc>
        <w:tc>
          <w:tcPr>
            <w:tcW w:w="596" w:type="pct"/>
            <w:noWrap/>
            <w:vAlign w:val="center"/>
          </w:tcPr>
          <w:p w14:paraId="2D450B5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820" w:type="pct"/>
            <w:noWrap/>
            <w:vAlign w:val="center"/>
          </w:tcPr>
          <w:p w14:paraId="76AA4E28">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0.000759</w:t>
            </w:r>
          </w:p>
        </w:tc>
        <w:tc>
          <w:tcPr>
            <w:tcW w:w="512" w:type="pct"/>
            <w:noWrap/>
            <w:vAlign w:val="center"/>
          </w:tcPr>
          <w:p w14:paraId="6BFC37C4">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r>
      <w:tr w14:paraId="76C49F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07641B65">
            <w:pPr>
              <w:pStyle w:val="41"/>
              <w:rPr>
                <w:color w:val="auto"/>
                <w:highlight w:val="none"/>
              </w:rPr>
            </w:pPr>
            <w:r>
              <w:rPr>
                <w:color w:val="auto"/>
                <w:highlight w:val="none"/>
              </w:rPr>
              <w:t>101</w:t>
            </w:r>
          </w:p>
        </w:tc>
        <w:tc>
          <w:tcPr>
            <w:tcW w:w="548" w:type="pct"/>
            <w:noWrap/>
            <w:vAlign w:val="center"/>
          </w:tcPr>
          <w:p w14:paraId="22980E40">
            <w:pPr>
              <w:pStyle w:val="41"/>
              <w:rPr>
                <w:color w:val="auto"/>
                <w:highlight w:val="none"/>
              </w:rPr>
            </w:pPr>
            <w:r>
              <w:rPr>
                <w:color w:val="auto"/>
                <w:highlight w:val="none"/>
              </w:rPr>
              <w:t>2475</w:t>
            </w:r>
          </w:p>
        </w:tc>
        <w:tc>
          <w:tcPr>
            <w:tcW w:w="712" w:type="pct"/>
            <w:noWrap/>
            <w:vAlign w:val="center"/>
          </w:tcPr>
          <w:p w14:paraId="03C9B65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0.000753</w:t>
            </w:r>
          </w:p>
        </w:tc>
        <w:tc>
          <w:tcPr>
            <w:tcW w:w="406" w:type="pct"/>
            <w:noWrap/>
            <w:vAlign w:val="center"/>
          </w:tcPr>
          <w:p w14:paraId="02DCEF8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074" w:type="pct"/>
            <w:noWrap/>
            <w:vAlign w:val="center"/>
          </w:tcPr>
          <w:p w14:paraId="57FAFA6A">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0.000753</w:t>
            </w:r>
          </w:p>
        </w:tc>
        <w:tc>
          <w:tcPr>
            <w:tcW w:w="596" w:type="pct"/>
            <w:noWrap/>
            <w:vAlign w:val="center"/>
          </w:tcPr>
          <w:p w14:paraId="6366C2DB">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820" w:type="pct"/>
            <w:noWrap/>
            <w:vAlign w:val="center"/>
          </w:tcPr>
          <w:p w14:paraId="3FFEB722">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0.000753</w:t>
            </w:r>
          </w:p>
        </w:tc>
        <w:tc>
          <w:tcPr>
            <w:tcW w:w="512" w:type="pct"/>
            <w:noWrap/>
            <w:vAlign w:val="center"/>
          </w:tcPr>
          <w:p w14:paraId="667FDFA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r>
      <w:tr w14:paraId="4E3297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7" w:type="pct"/>
            <w:noWrap/>
            <w:vAlign w:val="center"/>
          </w:tcPr>
          <w:p w14:paraId="76D8FFA1">
            <w:pPr>
              <w:pStyle w:val="41"/>
              <w:rPr>
                <w:color w:val="auto"/>
                <w:highlight w:val="none"/>
              </w:rPr>
            </w:pPr>
            <w:r>
              <w:rPr>
                <w:color w:val="auto"/>
                <w:highlight w:val="none"/>
              </w:rPr>
              <w:t>102</w:t>
            </w:r>
          </w:p>
        </w:tc>
        <w:tc>
          <w:tcPr>
            <w:tcW w:w="548" w:type="pct"/>
            <w:noWrap/>
            <w:vAlign w:val="center"/>
          </w:tcPr>
          <w:p w14:paraId="5508AF1B">
            <w:pPr>
              <w:pStyle w:val="41"/>
              <w:rPr>
                <w:color w:val="auto"/>
                <w:highlight w:val="none"/>
              </w:rPr>
            </w:pPr>
            <w:r>
              <w:rPr>
                <w:color w:val="auto"/>
                <w:highlight w:val="none"/>
              </w:rPr>
              <w:t>2500</w:t>
            </w:r>
          </w:p>
        </w:tc>
        <w:tc>
          <w:tcPr>
            <w:tcW w:w="712" w:type="pct"/>
            <w:noWrap/>
            <w:vAlign w:val="center"/>
          </w:tcPr>
          <w:p w14:paraId="2ACCA24A">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0.000747</w:t>
            </w:r>
          </w:p>
        </w:tc>
        <w:tc>
          <w:tcPr>
            <w:tcW w:w="406" w:type="pct"/>
            <w:noWrap/>
            <w:vAlign w:val="center"/>
          </w:tcPr>
          <w:p w14:paraId="40C616B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1074" w:type="pct"/>
            <w:noWrap/>
            <w:vAlign w:val="center"/>
          </w:tcPr>
          <w:p w14:paraId="5AF856A3">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0.000747</w:t>
            </w:r>
          </w:p>
        </w:tc>
        <w:tc>
          <w:tcPr>
            <w:tcW w:w="596" w:type="pct"/>
            <w:noWrap/>
            <w:vAlign w:val="center"/>
          </w:tcPr>
          <w:p w14:paraId="654FA8D6">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c>
          <w:tcPr>
            <w:tcW w:w="820" w:type="pct"/>
            <w:noWrap/>
            <w:vAlign w:val="center"/>
          </w:tcPr>
          <w:p w14:paraId="129B4567">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0.000747</w:t>
            </w:r>
          </w:p>
        </w:tc>
        <w:tc>
          <w:tcPr>
            <w:tcW w:w="512" w:type="pct"/>
            <w:noWrap/>
            <w:vAlign w:val="center"/>
          </w:tcPr>
          <w:p w14:paraId="17A7C7B0">
            <w:pPr>
              <w:pStyle w:val="41"/>
              <w:keepNext w:val="0"/>
              <w:keepLines w:val="0"/>
              <w:widowControl/>
              <w:suppressLineNumbers w:val="0"/>
              <w:ind w:firstLine="0"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0.17</w:t>
            </w:r>
          </w:p>
        </w:tc>
      </w:tr>
    </w:tbl>
    <w:p w14:paraId="678AB672">
      <w:pPr>
        <w:pStyle w:val="40"/>
        <w:spacing w:before="31" w:after="31"/>
        <w:rPr>
          <w:color w:val="auto"/>
          <w:highlight w:val="none"/>
        </w:rPr>
      </w:pPr>
      <w:r>
        <w:rPr>
          <w:color w:val="auto"/>
          <w:highlight w:val="none"/>
        </w:rPr>
        <w:t>表5.2-12   有组织排放污染物（干抛磁选颗粒物）扩散浓度预测结果</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174"/>
        <w:gridCol w:w="2469"/>
        <w:gridCol w:w="3014"/>
        <w:gridCol w:w="1865"/>
      </w:tblGrid>
      <w:tr w14:paraId="428356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trPr>
        <w:tc>
          <w:tcPr>
            <w:tcW w:w="321" w:type="pct"/>
            <w:vMerge w:val="restart"/>
            <w:noWrap/>
            <w:vAlign w:val="center"/>
          </w:tcPr>
          <w:p w14:paraId="4F863125">
            <w:pPr>
              <w:pStyle w:val="41"/>
              <w:rPr>
                <w:color w:val="auto"/>
                <w:highlight w:val="none"/>
              </w:rPr>
            </w:pPr>
            <w:r>
              <w:rPr>
                <w:color w:val="auto"/>
                <w:highlight w:val="none"/>
              </w:rPr>
              <w:t>序号</w:t>
            </w:r>
          </w:p>
        </w:tc>
        <w:tc>
          <w:tcPr>
            <w:tcW w:w="675" w:type="pct"/>
            <w:vMerge w:val="restart"/>
            <w:tcBorders>
              <w:right w:val="single" w:color="auto" w:sz="2" w:space="0"/>
            </w:tcBorders>
            <w:noWrap/>
            <w:vAlign w:val="center"/>
          </w:tcPr>
          <w:p w14:paraId="6A182A56">
            <w:pPr>
              <w:pStyle w:val="41"/>
              <w:rPr>
                <w:color w:val="auto"/>
                <w:highlight w:val="none"/>
              </w:rPr>
            </w:pPr>
            <w:r>
              <w:rPr>
                <w:color w:val="auto"/>
                <w:highlight w:val="none"/>
              </w:rPr>
              <w:t>离源距离</w:t>
            </w:r>
            <w:r>
              <w:rPr>
                <w:rFonts w:hint="eastAsia"/>
                <w:color w:val="auto"/>
                <w:highlight w:val="none"/>
                <w:lang w:eastAsia="zh-CN"/>
              </w:rPr>
              <w:t>（</w:t>
            </w:r>
            <w:r>
              <w:rPr>
                <w:color w:val="auto"/>
                <w:highlight w:val="none"/>
              </w:rPr>
              <w:t>m</w:t>
            </w:r>
            <w:r>
              <w:rPr>
                <w:rFonts w:hint="eastAsia"/>
                <w:color w:val="auto"/>
                <w:highlight w:val="none"/>
                <w:lang w:eastAsia="zh-CN"/>
              </w:rPr>
              <w:t>）</w:t>
            </w:r>
          </w:p>
        </w:tc>
        <w:tc>
          <w:tcPr>
            <w:tcW w:w="1334" w:type="pct"/>
            <w:gridSpan w:val="2"/>
            <w:tcBorders>
              <w:left w:val="single" w:color="auto" w:sz="2" w:space="0"/>
            </w:tcBorders>
            <w:vAlign w:val="center"/>
          </w:tcPr>
          <w:p w14:paraId="3C1D138A">
            <w:pPr>
              <w:pStyle w:val="41"/>
              <w:rPr>
                <w:color w:val="auto"/>
                <w:highlight w:val="none"/>
              </w:rPr>
            </w:pPr>
            <w:r>
              <w:rPr>
                <w:color w:val="auto"/>
                <w:highlight w:val="none"/>
              </w:rPr>
              <w:t>干抛磁选车间PM</w:t>
            </w:r>
            <w:r>
              <w:rPr>
                <w:color w:val="auto"/>
                <w:highlight w:val="none"/>
                <w:vertAlign w:val="superscript"/>
              </w:rPr>
              <w:t>10</w:t>
            </w:r>
          </w:p>
        </w:tc>
      </w:tr>
      <w:tr w14:paraId="1CF2EB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vMerge w:val="continue"/>
            <w:noWrap/>
            <w:vAlign w:val="center"/>
          </w:tcPr>
          <w:p w14:paraId="43AD4183">
            <w:pPr>
              <w:pStyle w:val="41"/>
              <w:rPr>
                <w:color w:val="auto"/>
                <w:highlight w:val="none"/>
              </w:rPr>
            </w:pPr>
          </w:p>
        </w:tc>
        <w:tc>
          <w:tcPr>
            <w:tcW w:w="675" w:type="pct"/>
            <w:vMerge w:val="continue"/>
            <w:tcBorders>
              <w:right w:val="single" w:color="auto" w:sz="2" w:space="0"/>
            </w:tcBorders>
            <w:noWrap/>
            <w:vAlign w:val="center"/>
          </w:tcPr>
          <w:p w14:paraId="68B7265D">
            <w:pPr>
              <w:pStyle w:val="41"/>
              <w:rPr>
                <w:color w:val="auto"/>
                <w:highlight w:val="none"/>
              </w:rPr>
            </w:pPr>
          </w:p>
        </w:tc>
        <w:tc>
          <w:tcPr>
            <w:tcW w:w="824" w:type="pct"/>
            <w:tcBorders>
              <w:left w:val="single" w:color="auto" w:sz="2" w:space="0"/>
            </w:tcBorders>
            <w:noWrap/>
            <w:vAlign w:val="center"/>
          </w:tcPr>
          <w:p w14:paraId="5547AD94">
            <w:pPr>
              <w:pStyle w:val="41"/>
              <w:rPr>
                <w:color w:val="auto"/>
                <w:highlight w:val="none"/>
              </w:rPr>
            </w:pPr>
            <w:r>
              <w:rPr>
                <w:color w:val="auto"/>
                <w:highlight w:val="none"/>
              </w:rPr>
              <w:t>下风向预测浓度mg/m</w:t>
            </w:r>
            <w:r>
              <w:rPr>
                <w:color w:val="auto"/>
                <w:highlight w:val="none"/>
                <w:vertAlign w:val="superscript"/>
              </w:rPr>
              <w:t>3</w:t>
            </w:r>
          </w:p>
        </w:tc>
        <w:tc>
          <w:tcPr>
            <w:tcW w:w="509" w:type="pct"/>
            <w:noWrap/>
            <w:vAlign w:val="center"/>
          </w:tcPr>
          <w:p w14:paraId="39DAE0E8">
            <w:pPr>
              <w:pStyle w:val="41"/>
              <w:rPr>
                <w:color w:val="auto"/>
                <w:highlight w:val="none"/>
              </w:rPr>
            </w:pPr>
            <w:r>
              <w:rPr>
                <w:color w:val="auto"/>
                <w:highlight w:val="none"/>
              </w:rPr>
              <w:t>占标率%</w:t>
            </w:r>
          </w:p>
        </w:tc>
      </w:tr>
      <w:tr w14:paraId="498AE8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E3FFD23">
            <w:pPr>
              <w:pStyle w:val="41"/>
              <w:rPr>
                <w:color w:val="auto"/>
                <w:highlight w:val="none"/>
              </w:rPr>
            </w:pPr>
            <w:r>
              <w:rPr>
                <w:color w:val="auto"/>
                <w:highlight w:val="none"/>
              </w:rPr>
              <w:t>1</w:t>
            </w:r>
          </w:p>
        </w:tc>
        <w:tc>
          <w:tcPr>
            <w:tcW w:w="1254" w:type="dxa"/>
            <w:noWrap/>
            <w:vAlign w:val="center"/>
          </w:tcPr>
          <w:p w14:paraId="67DEF770">
            <w:pPr>
              <w:pStyle w:val="41"/>
              <w:rPr>
                <w:color w:val="auto"/>
                <w:highlight w:val="none"/>
              </w:rPr>
            </w:pPr>
            <w:r>
              <w:rPr>
                <w:color w:val="auto"/>
                <w:highlight w:val="none"/>
              </w:rPr>
              <w:t>10</w:t>
            </w:r>
          </w:p>
        </w:tc>
        <w:tc>
          <w:tcPr>
            <w:tcW w:w="1532" w:type="dxa"/>
            <w:noWrap/>
            <w:vAlign w:val="center"/>
          </w:tcPr>
          <w:p w14:paraId="6FC767B7">
            <w:pPr>
              <w:pStyle w:val="41"/>
              <w:rPr>
                <w:color w:val="auto"/>
                <w:highlight w:val="none"/>
              </w:rPr>
            </w:pPr>
            <w:r>
              <w:rPr>
                <w:color w:val="auto"/>
                <w:highlight w:val="none"/>
              </w:rPr>
              <w:t>0.000052</w:t>
            </w:r>
          </w:p>
        </w:tc>
        <w:tc>
          <w:tcPr>
            <w:tcW w:w="946" w:type="dxa"/>
            <w:noWrap/>
            <w:vAlign w:val="center"/>
          </w:tcPr>
          <w:p w14:paraId="4FE2C420">
            <w:pPr>
              <w:pStyle w:val="41"/>
              <w:rPr>
                <w:color w:val="auto"/>
                <w:highlight w:val="none"/>
              </w:rPr>
            </w:pPr>
            <w:r>
              <w:rPr>
                <w:color w:val="auto"/>
                <w:highlight w:val="none"/>
              </w:rPr>
              <w:t xml:space="preserve">0.01 </w:t>
            </w:r>
          </w:p>
        </w:tc>
      </w:tr>
      <w:tr w14:paraId="4D0E4F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0F8E28D">
            <w:pPr>
              <w:pStyle w:val="41"/>
              <w:rPr>
                <w:color w:val="auto"/>
                <w:highlight w:val="none"/>
              </w:rPr>
            </w:pPr>
            <w:r>
              <w:rPr>
                <w:color w:val="auto"/>
                <w:highlight w:val="none"/>
              </w:rPr>
              <w:t>2</w:t>
            </w:r>
          </w:p>
        </w:tc>
        <w:tc>
          <w:tcPr>
            <w:tcW w:w="1254" w:type="dxa"/>
            <w:noWrap/>
            <w:vAlign w:val="center"/>
          </w:tcPr>
          <w:p w14:paraId="171838E1">
            <w:pPr>
              <w:pStyle w:val="41"/>
              <w:rPr>
                <w:color w:val="auto"/>
                <w:highlight w:val="none"/>
              </w:rPr>
            </w:pPr>
            <w:r>
              <w:rPr>
                <w:color w:val="auto"/>
                <w:highlight w:val="none"/>
              </w:rPr>
              <w:t>25</w:t>
            </w:r>
          </w:p>
        </w:tc>
        <w:tc>
          <w:tcPr>
            <w:tcW w:w="1532" w:type="dxa"/>
            <w:noWrap/>
            <w:vAlign w:val="center"/>
          </w:tcPr>
          <w:p w14:paraId="174ADABF">
            <w:pPr>
              <w:pStyle w:val="41"/>
              <w:rPr>
                <w:color w:val="auto"/>
                <w:highlight w:val="none"/>
              </w:rPr>
            </w:pPr>
            <w:r>
              <w:rPr>
                <w:color w:val="auto"/>
                <w:highlight w:val="none"/>
              </w:rPr>
              <w:t>0.000916</w:t>
            </w:r>
          </w:p>
        </w:tc>
        <w:tc>
          <w:tcPr>
            <w:tcW w:w="946" w:type="dxa"/>
            <w:noWrap/>
            <w:vAlign w:val="center"/>
          </w:tcPr>
          <w:p w14:paraId="2DB67E0C">
            <w:pPr>
              <w:pStyle w:val="41"/>
              <w:rPr>
                <w:color w:val="auto"/>
                <w:highlight w:val="none"/>
              </w:rPr>
            </w:pPr>
            <w:r>
              <w:rPr>
                <w:color w:val="auto"/>
                <w:highlight w:val="none"/>
              </w:rPr>
              <w:t xml:space="preserve">0.20 </w:t>
            </w:r>
          </w:p>
        </w:tc>
      </w:tr>
      <w:tr w14:paraId="510A43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9156358">
            <w:pPr>
              <w:pStyle w:val="41"/>
              <w:rPr>
                <w:color w:val="auto"/>
                <w:highlight w:val="none"/>
              </w:rPr>
            </w:pPr>
            <w:r>
              <w:rPr>
                <w:color w:val="auto"/>
                <w:highlight w:val="none"/>
              </w:rPr>
              <w:t>3</w:t>
            </w:r>
          </w:p>
        </w:tc>
        <w:tc>
          <w:tcPr>
            <w:tcW w:w="1254" w:type="dxa"/>
            <w:noWrap/>
            <w:vAlign w:val="center"/>
          </w:tcPr>
          <w:p w14:paraId="0490F978">
            <w:pPr>
              <w:pStyle w:val="41"/>
              <w:rPr>
                <w:color w:val="auto"/>
                <w:highlight w:val="none"/>
              </w:rPr>
            </w:pPr>
            <w:r>
              <w:rPr>
                <w:color w:val="auto"/>
                <w:highlight w:val="none"/>
              </w:rPr>
              <w:t>50</w:t>
            </w:r>
          </w:p>
        </w:tc>
        <w:tc>
          <w:tcPr>
            <w:tcW w:w="1532" w:type="dxa"/>
            <w:noWrap/>
            <w:vAlign w:val="center"/>
          </w:tcPr>
          <w:p w14:paraId="48BF238B">
            <w:pPr>
              <w:pStyle w:val="41"/>
              <w:rPr>
                <w:color w:val="auto"/>
                <w:highlight w:val="none"/>
              </w:rPr>
            </w:pPr>
            <w:r>
              <w:rPr>
                <w:color w:val="auto"/>
                <w:highlight w:val="none"/>
              </w:rPr>
              <w:t>0.001397</w:t>
            </w:r>
          </w:p>
        </w:tc>
        <w:tc>
          <w:tcPr>
            <w:tcW w:w="946" w:type="dxa"/>
            <w:noWrap/>
            <w:vAlign w:val="center"/>
          </w:tcPr>
          <w:p w14:paraId="67C3791D">
            <w:pPr>
              <w:pStyle w:val="41"/>
              <w:rPr>
                <w:color w:val="auto"/>
                <w:highlight w:val="none"/>
              </w:rPr>
            </w:pPr>
            <w:r>
              <w:rPr>
                <w:color w:val="auto"/>
                <w:highlight w:val="none"/>
              </w:rPr>
              <w:t xml:space="preserve">0.31 </w:t>
            </w:r>
          </w:p>
        </w:tc>
      </w:tr>
      <w:tr w14:paraId="2B54D6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1D6CE89">
            <w:pPr>
              <w:pStyle w:val="41"/>
              <w:rPr>
                <w:color w:val="auto"/>
                <w:highlight w:val="none"/>
              </w:rPr>
            </w:pPr>
            <w:r>
              <w:rPr>
                <w:color w:val="auto"/>
                <w:highlight w:val="none"/>
              </w:rPr>
              <w:t>4</w:t>
            </w:r>
          </w:p>
        </w:tc>
        <w:tc>
          <w:tcPr>
            <w:tcW w:w="1254" w:type="dxa"/>
            <w:noWrap/>
            <w:vAlign w:val="center"/>
          </w:tcPr>
          <w:p w14:paraId="78BE1BCF">
            <w:pPr>
              <w:pStyle w:val="41"/>
              <w:rPr>
                <w:color w:val="auto"/>
                <w:highlight w:val="none"/>
              </w:rPr>
            </w:pPr>
            <w:r>
              <w:rPr>
                <w:color w:val="auto"/>
                <w:highlight w:val="none"/>
              </w:rPr>
              <w:t>75</w:t>
            </w:r>
          </w:p>
        </w:tc>
        <w:tc>
          <w:tcPr>
            <w:tcW w:w="1532" w:type="dxa"/>
            <w:noWrap/>
            <w:vAlign w:val="center"/>
          </w:tcPr>
          <w:p w14:paraId="303DBD53">
            <w:pPr>
              <w:pStyle w:val="41"/>
              <w:rPr>
                <w:color w:val="auto"/>
                <w:highlight w:val="none"/>
              </w:rPr>
            </w:pPr>
            <w:r>
              <w:rPr>
                <w:color w:val="auto"/>
                <w:highlight w:val="none"/>
              </w:rPr>
              <w:t>0.000945</w:t>
            </w:r>
          </w:p>
        </w:tc>
        <w:tc>
          <w:tcPr>
            <w:tcW w:w="946" w:type="dxa"/>
            <w:noWrap/>
            <w:vAlign w:val="center"/>
          </w:tcPr>
          <w:p w14:paraId="4B94ECFF">
            <w:pPr>
              <w:pStyle w:val="41"/>
              <w:rPr>
                <w:color w:val="auto"/>
                <w:highlight w:val="none"/>
              </w:rPr>
            </w:pPr>
            <w:r>
              <w:rPr>
                <w:color w:val="auto"/>
                <w:highlight w:val="none"/>
              </w:rPr>
              <w:t xml:space="preserve">0.21 </w:t>
            </w:r>
          </w:p>
        </w:tc>
      </w:tr>
      <w:tr w14:paraId="424716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0ADC50C">
            <w:pPr>
              <w:pStyle w:val="41"/>
              <w:rPr>
                <w:color w:val="auto"/>
                <w:highlight w:val="none"/>
              </w:rPr>
            </w:pPr>
            <w:r>
              <w:rPr>
                <w:color w:val="auto"/>
                <w:highlight w:val="none"/>
              </w:rPr>
              <w:t>5</w:t>
            </w:r>
          </w:p>
        </w:tc>
        <w:tc>
          <w:tcPr>
            <w:tcW w:w="1254" w:type="dxa"/>
            <w:noWrap/>
            <w:vAlign w:val="center"/>
          </w:tcPr>
          <w:p w14:paraId="556D5A57">
            <w:pPr>
              <w:pStyle w:val="41"/>
              <w:rPr>
                <w:color w:val="auto"/>
                <w:highlight w:val="none"/>
              </w:rPr>
            </w:pPr>
            <w:r>
              <w:rPr>
                <w:color w:val="auto"/>
                <w:highlight w:val="none"/>
              </w:rPr>
              <w:t>100</w:t>
            </w:r>
          </w:p>
        </w:tc>
        <w:tc>
          <w:tcPr>
            <w:tcW w:w="1532" w:type="dxa"/>
            <w:noWrap/>
            <w:vAlign w:val="center"/>
          </w:tcPr>
          <w:p w14:paraId="5F2F948B">
            <w:pPr>
              <w:pStyle w:val="41"/>
              <w:rPr>
                <w:color w:val="auto"/>
                <w:highlight w:val="none"/>
              </w:rPr>
            </w:pPr>
            <w:r>
              <w:rPr>
                <w:color w:val="auto"/>
                <w:highlight w:val="none"/>
              </w:rPr>
              <w:t>0.001202</w:t>
            </w:r>
          </w:p>
        </w:tc>
        <w:tc>
          <w:tcPr>
            <w:tcW w:w="946" w:type="dxa"/>
            <w:noWrap/>
            <w:vAlign w:val="center"/>
          </w:tcPr>
          <w:p w14:paraId="3F6289A3">
            <w:pPr>
              <w:pStyle w:val="41"/>
              <w:rPr>
                <w:color w:val="auto"/>
                <w:highlight w:val="none"/>
              </w:rPr>
            </w:pPr>
            <w:r>
              <w:rPr>
                <w:color w:val="auto"/>
                <w:highlight w:val="none"/>
              </w:rPr>
              <w:t xml:space="preserve">0.27 </w:t>
            </w:r>
          </w:p>
        </w:tc>
      </w:tr>
      <w:tr w14:paraId="4E3982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C3E7465">
            <w:pPr>
              <w:pStyle w:val="41"/>
              <w:rPr>
                <w:color w:val="auto"/>
                <w:highlight w:val="none"/>
              </w:rPr>
            </w:pPr>
            <w:r>
              <w:rPr>
                <w:color w:val="auto"/>
                <w:highlight w:val="none"/>
              </w:rPr>
              <w:t>6</w:t>
            </w:r>
          </w:p>
        </w:tc>
        <w:tc>
          <w:tcPr>
            <w:tcW w:w="1254" w:type="dxa"/>
            <w:noWrap/>
            <w:vAlign w:val="center"/>
          </w:tcPr>
          <w:p w14:paraId="43041657">
            <w:pPr>
              <w:pStyle w:val="41"/>
              <w:rPr>
                <w:color w:val="auto"/>
                <w:highlight w:val="none"/>
              </w:rPr>
            </w:pPr>
            <w:r>
              <w:rPr>
                <w:color w:val="auto"/>
                <w:highlight w:val="none"/>
              </w:rPr>
              <w:t>125</w:t>
            </w:r>
          </w:p>
        </w:tc>
        <w:tc>
          <w:tcPr>
            <w:tcW w:w="1532" w:type="dxa"/>
            <w:noWrap/>
            <w:vAlign w:val="center"/>
          </w:tcPr>
          <w:p w14:paraId="0ED9E4AB">
            <w:pPr>
              <w:pStyle w:val="41"/>
              <w:rPr>
                <w:color w:val="auto"/>
                <w:highlight w:val="none"/>
              </w:rPr>
            </w:pPr>
            <w:r>
              <w:rPr>
                <w:color w:val="auto"/>
                <w:highlight w:val="none"/>
              </w:rPr>
              <w:t>0.002262</w:t>
            </w:r>
          </w:p>
        </w:tc>
        <w:tc>
          <w:tcPr>
            <w:tcW w:w="946" w:type="dxa"/>
            <w:noWrap/>
            <w:vAlign w:val="center"/>
          </w:tcPr>
          <w:p w14:paraId="58263E86">
            <w:pPr>
              <w:pStyle w:val="41"/>
              <w:rPr>
                <w:color w:val="auto"/>
                <w:highlight w:val="none"/>
              </w:rPr>
            </w:pPr>
            <w:r>
              <w:rPr>
                <w:color w:val="auto"/>
                <w:highlight w:val="none"/>
              </w:rPr>
              <w:t xml:space="preserve">0.50 </w:t>
            </w:r>
          </w:p>
        </w:tc>
      </w:tr>
      <w:tr w14:paraId="6503E5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F572B8D">
            <w:pPr>
              <w:pStyle w:val="41"/>
              <w:rPr>
                <w:color w:val="auto"/>
                <w:highlight w:val="none"/>
              </w:rPr>
            </w:pPr>
            <w:r>
              <w:rPr>
                <w:color w:val="auto"/>
                <w:highlight w:val="none"/>
              </w:rPr>
              <w:t>7</w:t>
            </w:r>
          </w:p>
        </w:tc>
        <w:tc>
          <w:tcPr>
            <w:tcW w:w="1254" w:type="dxa"/>
            <w:noWrap/>
            <w:vAlign w:val="center"/>
          </w:tcPr>
          <w:p w14:paraId="1E2E67A3">
            <w:pPr>
              <w:pStyle w:val="41"/>
              <w:rPr>
                <w:color w:val="auto"/>
                <w:highlight w:val="none"/>
              </w:rPr>
            </w:pPr>
            <w:r>
              <w:rPr>
                <w:color w:val="auto"/>
                <w:highlight w:val="none"/>
              </w:rPr>
              <w:t>150</w:t>
            </w:r>
          </w:p>
        </w:tc>
        <w:tc>
          <w:tcPr>
            <w:tcW w:w="1532" w:type="dxa"/>
            <w:noWrap/>
            <w:vAlign w:val="center"/>
          </w:tcPr>
          <w:p w14:paraId="754AA085">
            <w:pPr>
              <w:pStyle w:val="41"/>
              <w:rPr>
                <w:color w:val="auto"/>
                <w:highlight w:val="none"/>
              </w:rPr>
            </w:pPr>
            <w:r>
              <w:rPr>
                <w:color w:val="auto"/>
                <w:highlight w:val="none"/>
              </w:rPr>
              <w:t>0.003519</w:t>
            </w:r>
          </w:p>
        </w:tc>
        <w:tc>
          <w:tcPr>
            <w:tcW w:w="946" w:type="dxa"/>
            <w:noWrap/>
            <w:vAlign w:val="center"/>
          </w:tcPr>
          <w:p w14:paraId="4AFCF305">
            <w:pPr>
              <w:pStyle w:val="41"/>
              <w:rPr>
                <w:color w:val="auto"/>
                <w:highlight w:val="none"/>
              </w:rPr>
            </w:pPr>
            <w:r>
              <w:rPr>
                <w:color w:val="auto"/>
                <w:highlight w:val="none"/>
              </w:rPr>
              <w:t xml:space="preserve">0.78 </w:t>
            </w:r>
          </w:p>
        </w:tc>
      </w:tr>
      <w:tr w14:paraId="2EAF0A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186566D">
            <w:pPr>
              <w:pStyle w:val="41"/>
              <w:rPr>
                <w:color w:val="auto"/>
                <w:highlight w:val="none"/>
              </w:rPr>
            </w:pPr>
            <w:r>
              <w:rPr>
                <w:color w:val="auto"/>
                <w:highlight w:val="none"/>
              </w:rPr>
              <w:t>8</w:t>
            </w:r>
          </w:p>
        </w:tc>
        <w:tc>
          <w:tcPr>
            <w:tcW w:w="1254" w:type="dxa"/>
            <w:noWrap/>
            <w:vAlign w:val="center"/>
          </w:tcPr>
          <w:p w14:paraId="79AE71C8">
            <w:pPr>
              <w:pStyle w:val="41"/>
              <w:rPr>
                <w:color w:val="auto"/>
                <w:highlight w:val="none"/>
              </w:rPr>
            </w:pPr>
            <w:r>
              <w:rPr>
                <w:color w:val="auto"/>
                <w:highlight w:val="none"/>
              </w:rPr>
              <w:t>175</w:t>
            </w:r>
          </w:p>
        </w:tc>
        <w:tc>
          <w:tcPr>
            <w:tcW w:w="1532" w:type="dxa"/>
            <w:noWrap/>
            <w:vAlign w:val="center"/>
          </w:tcPr>
          <w:p w14:paraId="344FEBDC">
            <w:pPr>
              <w:pStyle w:val="41"/>
              <w:rPr>
                <w:color w:val="auto"/>
                <w:highlight w:val="none"/>
              </w:rPr>
            </w:pPr>
            <w:r>
              <w:rPr>
                <w:color w:val="auto"/>
                <w:highlight w:val="none"/>
              </w:rPr>
              <w:t>0.004051</w:t>
            </w:r>
          </w:p>
        </w:tc>
        <w:tc>
          <w:tcPr>
            <w:tcW w:w="946" w:type="dxa"/>
            <w:noWrap/>
            <w:vAlign w:val="center"/>
          </w:tcPr>
          <w:p w14:paraId="79182777">
            <w:pPr>
              <w:pStyle w:val="41"/>
              <w:rPr>
                <w:color w:val="auto"/>
                <w:highlight w:val="none"/>
              </w:rPr>
            </w:pPr>
            <w:r>
              <w:rPr>
                <w:color w:val="auto"/>
                <w:highlight w:val="none"/>
              </w:rPr>
              <w:t xml:space="preserve">0.90 </w:t>
            </w:r>
          </w:p>
        </w:tc>
      </w:tr>
      <w:tr w14:paraId="4F51D6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C3482B1">
            <w:pPr>
              <w:pStyle w:val="41"/>
              <w:rPr>
                <w:color w:val="auto"/>
                <w:highlight w:val="none"/>
              </w:rPr>
            </w:pPr>
            <w:r>
              <w:rPr>
                <w:color w:val="auto"/>
                <w:highlight w:val="none"/>
              </w:rPr>
              <w:t>9</w:t>
            </w:r>
          </w:p>
        </w:tc>
        <w:tc>
          <w:tcPr>
            <w:tcW w:w="1254" w:type="dxa"/>
            <w:noWrap/>
            <w:vAlign w:val="center"/>
          </w:tcPr>
          <w:p w14:paraId="55866E02">
            <w:pPr>
              <w:pStyle w:val="41"/>
              <w:rPr>
                <w:color w:val="auto"/>
                <w:highlight w:val="none"/>
              </w:rPr>
            </w:pPr>
            <w:r>
              <w:rPr>
                <w:color w:val="auto"/>
                <w:highlight w:val="none"/>
              </w:rPr>
              <w:t>200</w:t>
            </w:r>
          </w:p>
        </w:tc>
        <w:tc>
          <w:tcPr>
            <w:tcW w:w="1532" w:type="dxa"/>
            <w:noWrap/>
            <w:vAlign w:val="center"/>
          </w:tcPr>
          <w:p w14:paraId="213714ED">
            <w:pPr>
              <w:pStyle w:val="41"/>
              <w:rPr>
                <w:color w:val="auto"/>
                <w:highlight w:val="none"/>
              </w:rPr>
            </w:pPr>
            <w:r>
              <w:rPr>
                <w:color w:val="auto"/>
                <w:highlight w:val="none"/>
              </w:rPr>
              <w:t>0.004085</w:t>
            </w:r>
          </w:p>
        </w:tc>
        <w:tc>
          <w:tcPr>
            <w:tcW w:w="946" w:type="dxa"/>
            <w:noWrap/>
            <w:vAlign w:val="center"/>
          </w:tcPr>
          <w:p w14:paraId="592A858A">
            <w:pPr>
              <w:pStyle w:val="41"/>
              <w:rPr>
                <w:color w:val="auto"/>
                <w:highlight w:val="none"/>
              </w:rPr>
            </w:pPr>
            <w:r>
              <w:rPr>
                <w:color w:val="auto"/>
                <w:highlight w:val="none"/>
              </w:rPr>
              <w:t xml:space="preserve">0.91 </w:t>
            </w:r>
          </w:p>
        </w:tc>
      </w:tr>
      <w:tr w14:paraId="2E875E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1AD1DC1">
            <w:pPr>
              <w:pStyle w:val="41"/>
              <w:rPr>
                <w:color w:val="auto"/>
                <w:highlight w:val="none"/>
              </w:rPr>
            </w:pPr>
            <w:r>
              <w:rPr>
                <w:color w:val="auto"/>
                <w:highlight w:val="none"/>
              </w:rPr>
              <w:t>10</w:t>
            </w:r>
          </w:p>
        </w:tc>
        <w:tc>
          <w:tcPr>
            <w:tcW w:w="1254" w:type="dxa"/>
            <w:noWrap/>
            <w:vAlign w:val="center"/>
          </w:tcPr>
          <w:p w14:paraId="395B2871">
            <w:pPr>
              <w:pStyle w:val="41"/>
              <w:rPr>
                <w:color w:val="auto"/>
                <w:highlight w:val="none"/>
              </w:rPr>
            </w:pPr>
            <w:r>
              <w:rPr>
                <w:color w:val="auto"/>
                <w:highlight w:val="none"/>
              </w:rPr>
              <w:t>225</w:t>
            </w:r>
          </w:p>
        </w:tc>
        <w:tc>
          <w:tcPr>
            <w:tcW w:w="1532" w:type="dxa"/>
            <w:noWrap/>
            <w:vAlign w:val="center"/>
          </w:tcPr>
          <w:p w14:paraId="792B3AC8">
            <w:pPr>
              <w:pStyle w:val="41"/>
              <w:rPr>
                <w:color w:val="auto"/>
                <w:highlight w:val="none"/>
              </w:rPr>
            </w:pPr>
            <w:r>
              <w:rPr>
                <w:color w:val="auto"/>
                <w:highlight w:val="none"/>
              </w:rPr>
              <w:t>0.00417</w:t>
            </w:r>
          </w:p>
        </w:tc>
        <w:tc>
          <w:tcPr>
            <w:tcW w:w="946" w:type="dxa"/>
            <w:noWrap/>
            <w:vAlign w:val="center"/>
          </w:tcPr>
          <w:p w14:paraId="0A7B12A8">
            <w:pPr>
              <w:pStyle w:val="41"/>
              <w:rPr>
                <w:color w:val="auto"/>
                <w:highlight w:val="none"/>
              </w:rPr>
            </w:pPr>
            <w:r>
              <w:rPr>
                <w:color w:val="auto"/>
                <w:highlight w:val="none"/>
              </w:rPr>
              <w:t xml:space="preserve">0.93 </w:t>
            </w:r>
          </w:p>
        </w:tc>
      </w:tr>
      <w:tr w14:paraId="67CA2A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A36641C">
            <w:pPr>
              <w:pStyle w:val="41"/>
              <w:rPr>
                <w:color w:val="auto"/>
                <w:highlight w:val="none"/>
              </w:rPr>
            </w:pPr>
            <w:r>
              <w:rPr>
                <w:color w:val="auto"/>
                <w:highlight w:val="none"/>
              </w:rPr>
              <w:t>11</w:t>
            </w:r>
          </w:p>
        </w:tc>
        <w:tc>
          <w:tcPr>
            <w:tcW w:w="1254" w:type="dxa"/>
            <w:noWrap/>
            <w:vAlign w:val="center"/>
          </w:tcPr>
          <w:p w14:paraId="33AB50E0">
            <w:pPr>
              <w:pStyle w:val="41"/>
              <w:rPr>
                <w:color w:val="auto"/>
                <w:highlight w:val="none"/>
              </w:rPr>
            </w:pPr>
            <w:r>
              <w:rPr>
                <w:color w:val="auto"/>
                <w:highlight w:val="none"/>
              </w:rPr>
              <w:t>250</w:t>
            </w:r>
          </w:p>
        </w:tc>
        <w:tc>
          <w:tcPr>
            <w:tcW w:w="1532" w:type="dxa"/>
            <w:noWrap/>
            <w:vAlign w:val="center"/>
          </w:tcPr>
          <w:p w14:paraId="4E4A7EE3">
            <w:pPr>
              <w:pStyle w:val="41"/>
              <w:rPr>
                <w:color w:val="auto"/>
                <w:highlight w:val="none"/>
              </w:rPr>
            </w:pPr>
            <w:r>
              <w:rPr>
                <w:color w:val="auto"/>
                <w:highlight w:val="none"/>
              </w:rPr>
              <w:t>0.004586</w:t>
            </w:r>
          </w:p>
        </w:tc>
        <w:tc>
          <w:tcPr>
            <w:tcW w:w="946" w:type="dxa"/>
            <w:noWrap/>
            <w:vAlign w:val="center"/>
          </w:tcPr>
          <w:p w14:paraId="1AF29851">
            <w:pPr>
              <w:pStyle w:val="41"/>
              <w:rPr>
                <w:color w:val="auto"/>
                <w:highlight w:val="none"/>
              </w:rPr>
            </w:pPr>
            <w:r>
              <w:rPr>
                <w:color w:val="auto"/>
                <w:highlight w:val="none"/>
              </w:rPr>
              <w:t xml:space="preserve">1.02 </w:t>
            </w:r>
          </w:p>
        </w:tc>
      </w:tr>
      <w:tr w14:paraId="0A953B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1D4F59C">
            <w:pPr>
              <w:pStyle w:val="41"/>
              <w:rPr>
                <w:color w:val="auto"/>
                <w:highlight w:val="none"/>
              </w:rPr>
            </w:pPr>
            <w:r>
              <w:rPr>
                <w:color w:val="auto"/>
                <w:highlight w:val="none"/>
              </w:rPr>
              <w:t>12</w:t>
            </w:r>
          </w:p>
        </w:tc>
        <w:tc>
          <w:tcPr>
            <w:tcW w:w="1254" w:type="dxa"/>
            <w:noWrap/>
            <w:vAlign w:val="center"/>
          </w:tcPr>
          <w:p w14:paraId="71DF40AE">
            <w:pPr>
              <w:pStyle w:val="41"/>
              <w:rPr>
                <w:color w:val="auto"/>
                <w:highlight w:val="none"/>
              </w:rPr>
            </w:pPr>
            <w:r>
              <w:rPr>
                <w:color w:val="auto"/>
                <w:highlight w:val="none"/>
              </w:rPr>
              <w:t>275</w:t>
            </w:r>
          </w:p>
        </w:tc>
        <w:tc>
          <w:tcPr>
            <w:tcW w:w="1532" w:type="dxa"/>
            <w:noWrap/>
            <w:vAlign w:val="center"/>
          </w:tcPr>
          <w:p w14:paraId="1CC13957">
            <w:pPr>
              <w:pStyle w:val="41"/>
              <w:rPr>
                <w:color w:val="auto"/>
                <w:highlight w:val="none"/>
              </w:rPr>
            </w:pPr>
            <w:r>
              <w:rPr>
                <w:color w:val="auto"/>
                <w:highlight w:val="none"/>
              </w:rPr>
              <w:t>0.004667</w:t>
            </w:r>
          </w:p>
        </w:tc>
        <w:tc>
          <w:tcPr>
            <w:tcW w:w="946" w:type="dxa"/>
            <w:noWrap/>
            <w:vAlign w:val="center"/>
          </w:tcPr>
          <w:p w14:paraId="3BC18843">
            <w:pPr>
              <w:pStyle w:val="41"/>
              <w:rPr>
                <w:color w:val="auto"/>
                <w:highlight w:val="none"/>
              </w:rPr>
            </w:pPr>
            <w:r>
              <w:rPr>
                <w:color w:val="auto"/>
                <w:highlight w:val="none"/>
              </w:rPr>
              <w:t xml:space="preserve">1.04 </w:t>
            </w:r>
          </w:p>
        </w:tc>
      </w:tr>
      <w:tr w14:paraId="7F5249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A061000">
            <w:pPr>
              <w:pStyle w:val="41"/>
              <w:rPr>
                <w:color w:val="auto"/>
                <w:highlight w:val="none"/>
              </w:rPr>
            </w:pPr>
            <w:r>
              <w:rPr>
                <w:color w:val="auto"/>
                <w:highlight w:val="none"/>
              </w:rPr>
              <w:t>13</w:t>
            </w:r>
          </w:p>
        </w:tc>
        <w:tc>
          <w:tcPr>
            <w:tcW w:w="1254" w:type="dxa"/>
            <w:noWrap/>
            <w:vAlign w:val="center"/>
          </w:tcPr>
          <w:p w14:paraId="75A09A07">
            <w:pPr>
              <w:pStyle w:val="41"/>
              <w:rPr>
                <w:color w:val="auto"/>
                <w:highlight w:val="none"/>
              </w:rPr>
            </w:pPr>
            <w:r>
              <w:rPr>
                <w:color w:val="auto"/>
                <w:highlight w:val="none"/>
              </w:rPr>
              <w:t>284</w:t>
            </w:r>
          </w:p>
        </w:tc>
        <w:tc>
          <w:tcPr>
            <w:tcW w:w="1532" w:type="dxa"/>
            <w:noWrap/>
            <w:vAlign w:val="center"/>
          </w:tcPr>
          <w:p w14:paraId="2D41EA11">
            <w:pPr>
              <w:pStyle w:val="41"/>
              <w:rPr>
                <w:color w:val="auto"/>
                <w:highlight w:val="none"/>
              </w:rPr>
            </w:pPr>
            <w:r>
              <w:rPr>
                <w:color w:val="auto"/>
                <w:highlight w:val="none"/>
              </w:rPr>
              <w:t>0.004671</w:t>
            </w:r>
          </w:p>
        </w:tc>
        <w:tc>
          <w:tcPr>
            <w:tcW w:w="946" w:type="dxa"/>
            <w:noWrap/>
            <w:vAlign w:val="center"/>
          </w:tcPr>
          <w:p w14:paraId="54BD5AD4">
            <w:pPr>
              <w:pStyle w:val="41"/>
              <w:rPr>
                <w:color w:val="auto"/>
                <w:highlight w:val="none"/>
              </w:rPr>
            </w:pPr>
            <w:r>
              <w:rPr>
                <w:color w:val="auto"/>
                <w:highlight w:val="none"/>
              </w:rPr>
              <w:t xml:space="preserve">1.04 </w:t>
            </w:r>
          </w:p>
        </w:tc>
      </w:tr>
      <w:tr w14:paraId="75F1A5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2E95F43">
            <w:pPr>
              <w:pStyle w:val="41"/>
              <w:rPr>
                <w:color w:val="auto"/>
                <w:highlight w:val="none"/>
              </w:rPr>
            </w:pPr>
            <w:r>
              <w:rPr>
                <w:color w:val="auto"/>
                <w:highlight w:val="none"/>
              </w:rPr>
              <w:t>14</w:t>
            </w:r>
          </w:p>
        </w:tc>
        <w:tc>
          <w:tcPr>
            <w:tcW w:w="1254" w:type="dxa"/>
            <w:noWrap/>
            <w:vAlign w:val="center"/>
          </w:tcPr>
          <w:p w14:paraId="1DF84012">
            <w:pPr>
              <w:pStyle w:val="41"/>
              <w:rPr>
                <w:color w:val="auto"/>
                <w:highlight w:val="none"/>
              </w:rPr>
            </w:pPr>
            <w:r>
              <w:rPr>
                <w:color w:val="auto"/>
                <w:highlight w:val="none"/>
              </w:rPr>
              <w:t>300</w:t>
            </w:r>
          </w:p>
        </w:tc>
        <w:tc>
          <w:tcPr>
            <w:tcW w:w="1532" w:type="dxa"/>
            <w:noWrap/>
            <w:vAlign w:val="center"/>
          </w:tcPr>
          <w:p w14:paraId="57BEA4E4">
            <w:pPr>
              <w:pStyle w:val="41"/>
              <w:rPr>
                <w:color w:val="auto"/>
                <w:highlight w:val="none"/>
              </w:rPr>
            </w:pPr>
            <w:r>
              <w:rPr>
                <w:color w:val="auto"/>
                <w:highlight w:val="none"/>
              </w:rPr>
              <w:t>0.004656</w:t>
            </w:r>
          </w:p>
        </w:tc>
        <w:tc>
          <w:tcPr>
            <w:tcW w:w="946" w:type="dxa"/>
            <w:noWrap/>
            <w:vAlign w:val="center"/>
          </w:tcPr>
          <w:p w14:paraId="47C89B11">
            <w:pPr>
              <w:pStyle w:val="41"/>
              <w:rPr>
                <w:color w:val="auto"/>
                <w:highlight w:val="none"/>
              </w:rPr>
            </w:pPr>
            <w:r>
              <w:rPr>
                <w:color w:val="auto"/>
                <w:highlight w:val="none"/>
              </w:rPr>
              <w:t xml:space="preserve">1.03 </w:t>
            </w:r>
          </w:p>
        </w:tc>
      </w:tr>
      <w:tr w14:paraId="253036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26CE6A3">
            <w:pPr>
              <w:pStyle w:val="41"/>
              <w:rPr>
                <w:color w:val="auto"/>
                <w:highlight w:val="none"/>
              </w:rPr>
            </w:pPr>
            <w:r>
              <w:rPr>
                <w:color w:val="auto"/>
                <w:highlight w:val="none"/>
              </w:rPr>
              <w:t>15</w:t>
            </w:r>
          </w:p>
        </w:tc>
        <w:tc>
          <w:tcPr>
            <w:tcW w:w="1254" w:type="dxa"/>
            <w:noWrap/>
            <w:vAlign w:val="center"/>
          </w:tcPr>
          <w:p w14:paraId="36D8D581">
            <w:pPr>
              <w:pStyle w:val="41"/>
              <w:rPr>
                <w:color w:val="auto"/>
                <w:highlight w:val="none"/>
              </w:rPr>
            </w:pPr>
            <w:r>
              <w:rPr>
                <w:color w:val="auto"/>
                <w:highlight w:val="none"/>
              </w:rPr>
              <w:t>325</w:t>
            </w:r>
          </w:p>
        </w:tc>
        <w:tc>
          <w:tcPr>
            <w:tcW w:w="1532" w:type="dxa"/>
            <w:noWrap/>
            <w:vAlign w:val="center"/>
          </w:tcPr>
          <w:p w14:paraId="37838AFC">
            <w:pPr>
              <w:pStyle w:val="41"/>
              <w:rPr>
                <w:color w:val="auto"/>
                <w:highlight w:val="none"/>
              </w:rPr>
            </w:pPr>
            <w:r>
              <w:rPr>
                <w:color w:val="auto"/>
                <w:highlight w:val="none"/>
              </w:rPr>
              <w:t>0.004584</w:t>
            </w:r>
          </w:p>
        </w:tc>
        <w:tc>
          <w:tcPr>
            <w:tcW w:w="946" w:type="dxa"/>
            <w:noWrap/>
            <w:vAlign w:val="center"/>
          </w:tcPr>
          <w:p w14:paraId="4C77A636">
            <w:pPr>
              <w:pStyle w:val="41"/>
              <w:rPr>
                <w:color w:val="auto"/>
                <w:highlight w:val="none"/>
              </w:rPr>
            </w:pPr>
            <w:r>
              <w:rPr>
                <w:color w:val="auto"/>
                <w:highlight w:val="none"/>
              </w:rPr>
              <w:t xml:space="preserve">1.02 </w:t>
            </w:r>
          </w:p>
        </w:tc>
      </w:tr>
      <w:tr w14:paraId="363AD4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597ED57">
            <w:pPr>
              <w:pStyle w:val="41"/>
              <w:rPr>
                <w:color w:val="auto"/>
                <w:highlight w:val="none"/>
              </w:rPr>
            </w:pPr>
            <w:r>
              <w:rPr>
                <w:color w:val="auto"/>
                <w:highlight w:val="none"/>
              </w:rPr>
              <w:t>16</w:t>
            </w:r>
          </w:p>
        </w:tc>
        <w:tc>
          <w:tcPr>
            <w:tcW w:w="1254" w:type="dxa"/>
            <w:noWrap/>
            <w:vAlign w:val="center"/>
          </w:tcPr>
          <w:p w14:paraId="70790C67">
            <w:pPr>
              <w:pStyle w:val="41"/>
              <w:rPr>
                <w:color w:val="auto"/>
                <w:highlight w:val="none"/>
              </w:rPr>
            </w:pPr>
            <w:r>
              <w:rPr>
                <w:color w:val="auto"/>
                <w:highlight w:val="none"/>
              </w:rPr>
              <w:t>350</w:t>
            </w:r>
          </w:p>
        </w:tc>
        <w:tc>
          <w:tcPr>
            <w:tcW w:w="1532" w:type="dxa"/>
            <w:noWrap/>
            <w:vAlign w:val="center"/>
          </w:tcPr>
          <w:p w14:paraId="6EDDB789">
            <w:pPr>
              <w:pStyle w:val="41"/>
              <w:rPr>
                <w:color w:val="auto"/>
                <w:highlight w:val="none"/>
              </w:rPr>
            </w:pPr>
            <w:r>
              <w:rPr>
                <w:color w:val="auto"/>
                <w:highlight w:val="none"/>
              </w:rPr>
              <w:t>0.004474</w:t>
            </w:r>
          </w:p>
        </w:tc>
        <w:tc>
          <w:tcPr>
            <w:tcW w:w="946" w:type="dxa"/>
            <w:noWrap/>
            <w:vAlign w:val="center"/>
          </w:tcPr>
          <w:p w14:paraId="4AD7072B">
            <w:pPr>
              <w:pStyle w:val="41"/>
              <w:rPr>
                <w:color w:val="auto"/>
                <w:highlight w:val="none"/>
              </w:rPr>
            </w:pPr>
            <w:r>
              <w:rPr>
                <w:color w:val="auto"/>
                <w:highlight w:val="none"/>
              </w:rPr>
              <w:t xml:space="preserve">0.99 </w:t>
            </w:r>
          </w:p>
        </w:tc>
      </w:tr>
      <w:tr w14:paraId="5989EE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A08C121">
            <w:pPr>
              <w:pStyle w:val="41"/>
              <w:rPr>
                <w:color w:val="auto"/>
                <w:highlight w:val="none"/>
              </w:rPr>
            </w:pPr>
            <w:r>
              <w:rPr>
                <w:color w:val="auto"/>
                <w:highlight w:val="none"/>
              </w:rPr>
              <w:t>17</w:t>
            </w:r>
          </w:p>
        </w:tc>
        <w:tc>
          <w:tcPr>
            <w:tcW w:w="1254" w:type="dxa"/>
            <w:noWrap/>
            <w:vAlign w:val="center"/>
          </w:tcPr>
          <w:p w14:paraId="0CE5C7B6">
            <w:pPr>
              <w:pStyle w:val="41"/>
              <w:rPr>
                <w:color w:val="auto"/>
                <w:highlight w:val="none"/>
              </w:rPr>
            </w:pPr>
            <w:r>
              <w:rPr>
                <w:color w:val="auto"/>
                <w:highlight w:val="none"/>
              </w:rPr>
              <w:t>375</w:t>
            </w:r>
          </w:p>
        </w:tc>
        <w:tc>
          <w:tcPr>
            <w:tcW w:w="1532" w:type="dxa"/>
            <w:noWrap/>
            <w:vAlign w:val="center"/>
          </w:tcPr>
          <w:p w14:paraId="662B57D9">
            <w:pPr>
              <w:pStyle w:val="41"/>
              <w:rPr>
                <w:color w:val="auto"/>
                <w:highlight w:val="none"/>
              </w:rPr>
            </w:pPr>
            <w:r>
              <w:rPr>
                <w:color w:val="auto"/>
                <w:highlight w:val="none"/>
              </w:rPr>
              <w:t>0.00434</w:t>
            </w:r>
          </w:p>
        </w:tc>
        <w:tc>
          <w:tcPr>
            <w:tcW w:w="946" w:type="dxa"/>
            <w:noWrap/>
            <w:vAlign w:val="center"/>
          </w:tcPr>
          <w:p w14:paraId="27D60BA8">
            <w:pPr>
              <w:pStyle w:val="41"/>
              <w:rPr>
                <w:color w:val="auto"/>
                <w:highlight w:val="none"/>
              </w:rPr>
            </w:pPr>
            <w:r>
              <w:rPr>
                <w:color w:val="auto"/>
                <w:highlight w:val="none"/>
              </w:rPr>
              <w:t xml:space="preserve">0.96 </w:t>
            </w:r>
          </w:p>
        </w:tc>
      </w:tr>
      <w:tr w14:paraId="14644F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B80D6AF">
            <w:pPr>
              <w:pStyle w:val="41"/>
              <w:rPr>
                <w:color w:val="auto"/>
                <w:highlight w:val="none"/>
              </w:rPr>
            </w:pPr>
            <w:r>
              <w:rPr>
                <w:color w:val="auto"/>
                <w:highlight w:val="none"/>
              </w:rPr>
              <w:t>18</w:t>
            </w:r>
          </w:p>
        </w:tc>
        <w:tc>
          <w:tcPr>
            <w:tcW w:w="1254" w:type="dxa"/>
            <w:noWrap/>
            <w:vAlign w:val="center"/>
          </w:tcPr>
          <w:p w14:paraId="38B8ACA0">
            <w:pPr>
              <w:pStyle w:val="41"/>
              <w:rPr>
                <w:color w:val="auto"/>
                <w:highlight w:val="none"/>
              </w:rPr>
            </w:pPr>
            <w:r>
              <w:rPr>
                <w:color w:val="auto"/>
                <w:highlight w:val="none"/>
              </w:rPr>
              <w:t>400</w:t>
            </w:r>
          </w:p>
        </w:tc>
        <w:tc>
          <w:tcPr>
            <w:tcW w:w="1532" w:type="dxa"/>
            <w:noWrap/>
            <w:vAlign w:val="center"/>
          </w:tcPr>
          <w:p w14:paraId="1FC340AE">
            <w:pPr>
              <w:pStyle w:val="41"/>
              <w:rPr>
                <w:color w:val="auto"/>
                <w:highlight w:val="none"/>
              </w:rPr>
            </w:pPr>
            <w:r>
              <w:rPr>
                <w:color w:val="auto"/>
                <w:highlight w:val="none"/>
              </w:rPr>
              <w:t>0.004194</w:t>
            </w:r>
          </w:p>
        </w:tc>
        <w:tc>
          <w:tcPr>
            <w:tcW w:w="946" w:type="dxa"/>
            <w:noWrap/>
            <w:vAlign w:val="center"/>
          </w:tcPr>
          <w:p w14:paraId="209522C9">
            <w:pPr>
              <w:pStyle w:val="41"/>
              <w:rPr>
                <w:color w:val="auto"/>
                <w:highlight w:val="none"/>
              </w:rPr>
            </w:pPr>
            <w:r>
              <w:rPr>
                <w:color w:val="auto"/>
                <w:highlight w:val="none"/>
              </w:rPr>
              <w:t xml:space="preserve">0.93 </w:t>
            </w:r>
          </w:p>
        </w:tc>
      </w:tr>
      <w:tr w14:paraId="74AAE9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73BDA0F">
            <w:pPr>
              <w:pStyle w:val="41"/>
              <w:rPr>
                <w:color w:val="auto"/>
                <w:highlight w:val="none"/>
              </w:rPr>
            </w:pPr>
            <w:r>
              <w:rPr>
                <w:color w:val="auto"/>
                <w:highlight w:val="none"/>
              </w:rPr>
              <w:t>19</w:t>
            </w:r>
          </w:p>
        </w:tc>
        <w:tc>
          <w:tcPr>
            <w:tcW w:w="1254" w:type="dxa"/>
            <w:noWrap/>
            <w:vAlign w:val="center"/>
          </w:tcPr>
          <w:p w14:paraId="7E295912">
            <w:pPr>
              <w:pStyle w:val="41"/>
              <w:rPr>
                <w:color w:val="auto"/>
                <w:highlight w:val="none"/>
              </w:rPr>
            </w:pPr>
            <w:r>
              <w:rPr>
                <w:color w:val="auto"/>
                <w:highlight w:val="none"/>
              </w:rPr>
              <w:t>425</w:t>
            </w:r>
          </w:p>
        </w:tc>
        <w:tc>
          <w:tcPr>
            <w:tcW w:w="1532" w:type="dxa"/>
            <w:noWrap/>
            <w:vAlign w:val="center"/>
          </w:tcPr>
          <w:p w14:paraId="134B0FC3">
            <w:pPr>
              <w:pStyle w:val="41"/>
              <w:rPr>
                <w:color w:val="auto"/>
                <w:highlight w:val="none"/>
              </w:rPr>
            </w:pPr>
            <w:r>
              <w:rPr>
                <w:color w:val="auto"/>
                <w:highlight w:val="none"/>
              </w:rPr>
              <w:t>0.004042</w:t>
            </w:r>
          </w:p>
        </w:tc>
        <w:tc>
          <w:tcPr>
            <w:tcW w:w="946" w:type="dxa"/>
            <w:noWrap/>
            <w:vAlign w:val="center"/>
          </w:tcPr>
          <w:p w14:paraId="41A86802">
            <w:pPr>
              <w:pStyle w:val="41"/>
              <w:rPr>
                <w:color w:val="auto"/>
                <w:highlight w:val="none"/>
              </w:rPr>
            </w:pPr>
            <w:r>
              <w:rPr>
                <w:color w:val="auto"/>
                <w:highlight w:val="none"/>
              </w:rPr>
              <w:t xml:space="preserve">0.90 </w:t>
            </w:r>
          </w:p>
        </w:tc>
      </w:tr>
      <w:tr w14:paraId="3C7EA0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BBD2BC9">
            <w:pPr>
              <w:pStyle w:val="41"/>
              <w:rPr>
                <w:color w:val="auto"/>
                <w:highlight w:val="none"/>
              </w:rPr>
            </w:pPr>
            <w:r>
              <w:rPr>
                <w:color w:val="auto"/>
                <w:highlight w:val="none"/>
              </w:rPr>
              <w:t>20</w:t>
            </w:r>
          </w:p>
        </w:tc>
        <w:tc>
          <w:tcPr>
            <w:tcW w:w="1254" w:type="dxa"/>
            <w:noWrap/>
            <w:vAlign w:val="center"/>
          </w:tcPr>
          <w:p w14:paraId="0345B7C8">
            <w:pPr>
              <w:pStyle w:val="41"/>
              <w:rPr>
                <w:color w:val="auto"/>
                <w:highlight w:val="none"/>
              </w:rPr>
            </w:pPr>
            <w:r>
              <w:rPr>
                <w:color w:val="auto"/>
                <w:highlight w:val="none"/>
              </w:rPr>
              <w:t>450</w:t>
            </w:r>
          </w:p>
        </w:tc>
        <w:tc>
          <w:tcPr>
            <w:tcW w:w="1532" w:type="dxa"/>
            <w:noWrap/>
            <w:vAlign w:val="center"/>
          </w:tcPr>
          <w:p w14:paraId="24A82D81">
            <w:pPr>
              <w:pStyle w:val="41"/>
              <w:rPr>
                <w:color w:val="auto"/>
                <w:highlight w:val="none"/>
              </w:rPr>
            </w:pPr>
            <w:r>
              <w:rPr>
                <w:color w:val="auto"/>
                <w:highlight w:val="none"/>
              </w:rPr>
              <w:t>0.003889</w:t>
            </w:r>
          </w:p>
        </w:tc>
        <w:tc>
          <w:tcPr>
            <w:tcW w:w="946" w:type="dxa"/>
            <w:noWrap/>
            <w:vAlign w:val="center"/>
          </w:tcPr>
          <w:p w14:paraId="62E66A08">
            <w:pPr>
              <w:pStyle w:val="41"/>
              <w:rPr>
                <w:color w:val="auto"/>
                <w:highlight w:val="none"/>
              </w:rPr>
            </w:pPr>
            <w:r>
              <w:rPr>
                <w:color w:val="auto"/>
                <w:highlight w:val="none"/>
              </w:rPr>
              <w:t xml:space="preserve">0.86 </w:t>
            </w:r>
          </w:p>
        </w:tc>
      </w:tr>
      <w:tr w14:paraId="01A587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0D7A8CB">
            <w:pPr>
              <w:pStyle w:val="41"/>
              <w:rPr>
                <w:color w:val="auto"/>
                <w:highlight w:val="none"/>
              </w:rPr>
            </w:pPr>
            <w:r>
              <w:rPr>
                <w:color w:val="auto"/>
                <w:highlight w:val="none"/>
              </w:rPr>
              <w:t>21</w:t>
            </w:r>
          </w:p>
        </w:tc>
        <w:tc>
          <w:tcPr>
            <w:tcW w:w="1254" w:type="dxa"/>
            <w:noWrap/>
            <w:vAlign w:val="center"/>
          </w:tcPr>
          <w:p w14:paraId="4C736E41">
            <w:pPr>
              <w:pStyle w:val="41"/>
              <w:rPr>
                <w:color w:val="auto"/>
                <w:highlight w:val="none"/>
              </w:rPr>
            </w:pPr>
            <w:r>
              <w:rPr>
                <w:color w:val="auto"/>
                <w:highlight w:val="none"/>
              </w:rPr>
              <w:t>475</w:t>
            </w:r>
          </w:p>
        </w:tc>
        <w:tc>
          <w:tcPr>
            <w:tcW w:w="1532" w:type="dxa"/>
            <w:noWrap/>
            <w:vAlign w:val="center"/>
          </w:tcPr>
          <w:p w14:paraId="03598CC8">
            <w:pPr>
              <w:pStyle w:val="41"/>
              <w:rPr>
                <w:color w:val="auto"/>
                <w:highlight w:val="none"/>
              </w:rPr>
            </w:pPr>
            <w:r>
              <w:rPr>
                <w:color w:val="auto"/>
                <w:highlight w:val="none"/>
              </w:rPr>
              <w:t>0.003738</w:t>
            </w:r>
          </w:p>
        </w:tc>
        <w:tc>
          <w:tcPr>
            <w:tcW w:w="946" w:type="dxa"/>
            <w:noWrap/>
            <w:vAlign w:val="center"/>
          </w:tcPr>
          <w:p w14:paraId="1D7A8DFB">
            <w:pPr>
              <w:pStyle w:val="41"/>
              <w:rPr>
                <w:color w:val="auto"/>
                <w:highlight w:val="none"/>
              </w:rPr>
            </w:pPr>
            <w:r>
              <w:rPr>
                <w:color w:val="auto"/>
                <w:highlight w:val="none"/>
              </w:rPr>
              <w:t xml:space="preserve">0.83 </w:t>
            </w:r>
          </w:p>
        </w:tc>
      </w:tr>
      <w:tr w14:paraId="557D88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65CCD0A">
            <w:pPr>
              <w:pStyle w:val="41"/>
              <w:rPr>
                <w:color w:val="auto"/>
                <w:highlight w:val="none"/>
              </w:rPr>
            </w:pPr>
            <w:r>
              <w:rPr>
                <w:color w:val="auto"/>
                <w:highlight w:val="none"/>
              </w:rPr>
              <w:t>22</w:t>
            </w:r>
          </w:p>
        </w:tc>
        <w:tc>
          <w:tcPr>
            <w:tcW w:w="1254" w:type="dxa"/>
            <w:noWrap/>
            <w:vAlign w:val="center"/>
          </w:tcPr>
          <w:p w14:paraId="7132E414">
            <w:pPr>
              <w:pStyle w:val="41"/>
              <w:rPr>
                <w:color w:val="auto"/>
                <w:highlight w:val="none"/>
              </w:rPr>
            </w:pPr>
            <w:r>
              <w:rPr>
                <w:color w:val="auto"/>
                <w:highlight w:val="none"/>
              </w:rPr>
              <w:t>500</w:t>
            </w:r>
          </w:p>
        </w:tc>
        <w:tc>
          <w:tcPr>
            <w:tcW w:w="1532" w:type="dxa"/>
            <w:noWrap/>
            <w:vAlign w:val="center"/>
          </w:tcPr>
          <w:p w14:paraId="4864CAB3">
            <w:pPr>
              <w:pStyle w:val="41"/>
              <w:rPr>
                <w:color w:val="auto"/>
                <w:highlight w:val="none"/>
              </w:rPr>
            </w:pPr>
            <w:r>
              <w:rPr>
                <w:color w:val="auto"/>
                <w:highlight w:val="none"/>
              </w:rPr>
              <w:t>0.003591</w:t>
            </w:r>
          </w:p>
        </w:tc>
        <w:tc>
          <w:tcPr>
            <w:tcW w:w="946" w:type="dxa"/>
            <w:noWrap/>
            <w:vAlign w:val="center"/>
          </w:tcPr>
          <w:p w14:paraId="5DC1238C">
            <w:pPr>
              <w:pStyle w:val="41"/>
              <w:rPr>
                <w:color w:val="auto"/>
                <w:highlight w:val="none"/>
              </w:rPr>
            </w:pPr>
            <w:r>
              <w:rPr>
                <w:color w:val="auto"/>
                <w:highlight w:val="none"/>
              </w:rPr>
              <w:t xml:space="preserve">0.80 </w:t>
            </w:r>
          </w:p>
        </w:tc>
      </w:tr>
      <w:tr w14:paraId="037706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BEF4900">
            <w:pPr>
              <w:pStyle w:val="41"/>
              <w:rPr>
                <w:color w:val="auto"/>
                <w:highlight w:val="none"/>
              </w:rPr>
            </w:pPr>
            <w:r>
              <w:rPr>
                <w:color w:val="auto"/>
                <w:highlight w:val="none"/>
              </w:rPr>
              <w:t>23</w:t>
            </w:r>
          </w:p>
        </w:tc>
        <w:tc>
          <w:tcPr>
            <w:tcW w:w="1254" w:type="dxa"/>
            <w:noWrap/>
            <w:vAlign w:val="center"/>
          </w:tcPr>
          <w:p w14:paraId="35D06DE7">
            <w:pPr>
              <w:pStyle w:val="41"/>
              <w:rPr>
                <w:color w:val="auto"/>
                <w:highlight w:val="none"/>
              </w:rPr>
            </w:pPr>
            <w:r>
              <w:rPr>
                <w:color w:val="auto"/>
                <w:highlight w:val="none"/>
              </w:rPr>
              <w:t>525</w:t>
            </w:r>
          </w:p>
        </w:tc>
        <w:tc>
          <w:tcPr>
            <w:tcW w:w="1532" w:type="dxa"/>
            <w:noWrap/>
            <w:vAlign w:val="center"/>
          </w:tcPr>
          <w:p w14:paraId="1814F5C9">
            <w:pPr>
              <w:pStyle w:val="41"/>
              <w:rPr>
                <w:color w:val="auto"/>
                <w:highlight w:val="none"/>
              </w:rPr>
            </w:pPr>
            <w:r>
              <w:rPr>
                <w:color w:val="auto"/>
                <w:highlight w:val="none"/>
              </w:rPr>
              <w:t>0.003449</w:t>
            </w:r>
          </w:p>
        </w:tc>
        <w:tc>
          <w:tcPr>
            <w:tcW w:w="946" w:type="dxa"/>
            <w:noWrap/>
            <w:vAlign w:val="center"/>
          </w:tcPr>
          <w:p w14:paraId="7725E2B4">
            <w:pPr>
              <w:pStyle w:val="41"/>
              <w:rPr>
                <w:color w:val="auto"/>
                <w:highlight w:val="none"/>
              </w:rPr>
            </w:pPr>
            <w:r>
              <w:rPr>
                <w:color w:val="auto"/>
                <w:highlight w:val="none"/>
              </w:rPr>
              <w:t xml:space="preserve">0.77 </w:t>
            </w:r>
          </w:p>
        </w:tc>
      </w:tr>
      <w:tr w14:paraId="3F6C16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8435679">
            <w:pPr>
              <w:pStyle w:val="41"/>
              <w:rPr>
                <w:color w:val="auto"/>
                <w:highlight w:val="none"/>
              </w:rPr>
            </w:pPr>
            <w:r>
              <w:rPr>
                <w:color w:val="auto"/>
                <w:highlight w:val="none"/>
              </w:rPr>
              <w:t>24</w:t>
            </w:r>
          </w:p>
        </w:tc>
        <w:tc>
          <w:tcPr>
            <w:tcW w:w="1254" w:type="dxa"/>
            <w:noWrap/>
            <w:vAlign w:val="center"/>
          </w:tcPr>
          <w:p w14:paraId="1A590E1E">
            <w:pPr>
              <w:pStyle w:val="41"/>
              <w:rPr>
                <w:color w:val="auto"/>
                <w:highlight w:val="none"/>
              </w:rPr>
            </w:pPr>
            <w:r>
              <w:rPr>
                <w:color w:val="auto"/>
                <w:highlight w:val="none"/>
              </w:rPr>
              <w:t>550</w:t>
            </w:r>
          </w:p>
        </w:tc>
        <w:tc>
          <w:tcPr>
            <w:tcW w:w="1532" w:type="dxa"/>
            <w:noWrap/>
            <w:vAlign w:val="center"/>
          </w:tcPr>
          <w:p w14:paraId="657F442D">
            <w:pPr>
              <w:pStyle w:val="41"/>
              <w:rPr>
                <w:color w:val="auto"/>
                <w:highlight w:val="none"/>
              </w:rPr>
            </w:pPr>
            <w:r>
              <w:rPr>
                <w:color w:val="auto"/>
                <w:highlight w:val="none"/>
              </w:rPr>
              <w:t>0.003313</w:t>
            </w:r>
          </w:p>
        </w:tc>
        <w:tc>
          <w:tcPr>
            <w:tcW w:w="946" w:type="dxa"/>
            <w:noWrap/>
            <w:vAlign w:val="center"/>
          </w:tcPr>
          <w:p w14:paraId="5E6763CA">
            <w:pPr>
              <w:pStyle w:val="41"/>
              <w:rPr>
                <w:color w:val="auto"/>
                <w:highlight w:val="none"/>
              </w:rPr>
            </w:pPr>
            <w:r>
              <w:rPr>
                <w:color w:val="auto"/>
                <w:highlight w:val="none"/>
              </w:rPr>
              <w:t xml:space="preserve">0.74 </w:t>
            </w:r>
          </w:p>
        </w:tc>
      </w:tr>
      <w:tr w14:paraId="194EA9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0A31A1F">
            <w:pPr>
              <w:pStyle w:val="41"/>
              <w:rPr>
                <w:color w:val="auto"/>
                <w:highlight w:val="none"/>
              </w:rPr>
            </w:pPr>
            <w:r>
              <w:rPr>
                <w:color w:val="auto"/>
                <w:highlight w:val="none"/>
              </w:rPr>
              <w:t>25</w:t>
            </w:r>
          </w:p>
        </w:tc>
        <w:tc>
          <w:tcPr>
            <w:tcW w:w="1254" w:type="dxa"/>
            <w:noWrap/>
            <w:vAlign w:val="center"/>
          </w:tcPr>
          <w:p w14:paraId="7C2DE868">
            <w:pPr>
              <w:pStyle w:val="41"/>
              <w:rPr>
                <w:color w:val="auto"/>
                <w:highlight w:val="none"/>
              </w:rPr>
            </w:pPr>
            <w:r>
              <w:rPr>
                <w:color w:val="auto"/>
                <w:highlight w:val="none"/>
              </w:rPr>
              <w:t>575</w:t>
            </w:r>
          </w:p>
        </w:tc>
        <w:tc>
          <w:tcPr>
            <w:tcW w:w="1532" w:type="dxa"/>
            <w:noWrap/>
            <w:vAlign w:val="center"/>
          </w:tcPr>
          <w:p w14:paraId="0839D31F">
            <w:pPr>
              <w:pStyle w:val="41"/>
              <w:rPr>
                <w:color w:val="auto"/>
                <w:highlight w:val="none"/>
              </w:rPr>
            </w:pPr>
            <w:r>
              <w:rPr>
                <w:color w:val="auto"/>
                <w:highlight w:val="none"/>
              </w:rPr>
              <w:t>0.003184</w:t>
            </w:r>
          </w:p>
        </w:tc>
        <w:tc>
          <w:tcPr>
            <w:tcW w:w="946" w:type="dxa"/>
            <w:noWrap/>
            <w:vAlign w:val="center"/>
          </w:tcPr>
          <w:p w14:paraId="2D65111F">
            <w:pPr>
              <w:pStyle w:val="41"/>
              <w:rPr>
                <w:color w:val="auto"/>
                <w:highlight w:val="none"/>
              </w:rPr>
            </w:pPr>
            <w:r>
              <w:rPr>
                <w:color w:val="auto"/>
                <w:highlight w:val="none"/>
              </w:rPr>
              <w:t xml:space="preserve">0.71 </w:t>
            </w:r>
          </w:p>
        </w:tc>
      </w:tr>
      <w:tr w14:paraId="2E78B5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9C2D7E6">
            <w:pPr>
              <w:pStyle w:val="41"/>
              <w:rPr>
                <w:color w:val="auto"/>
                <w:highlight w:val="none"/>
              </w:rPr>
            </w:pPr>
            <w:r>
              <w:rPr>
                <w:color w:val="auto"/>
                <w:highlight w:val="none"/>
              </w:rPr>
              <w:t>26</w:t>
            </w:r>
          </w:p>
        </w:tc>
        <w:tc>
          <w:tcPr>
            <w:tcW w:w="1254" w:type="dxa"/>
            <w:noWrap/>
            <w:vAlign w:val="center"/>
          </w:tcPr>
          <w:p w14:paraId="42E19155">
            <w:pPr>
              <w:pStyle w:val="41"/>
              <w:rPr>
                <w:color w:val="auto"/>
                <w:highlight w:val="none"/>
              </w:rPr>
            </w:pPr>
            <w:r>
              <w:rPr>
                <w:color w:val="auto"/>
                <w:highlight w:val="none"/>
              </w:rPr>
              <w:t>600</w:t>
            </w:r>
          </w:p>
        </w:tc>
        <w:tc>
          <w:tcPr>
            <w:tcW w:w="1532" w:type="dxa"/>
            <w:noWrap/>
            <w:vAlign w:val="center"/>
          </w:tcPr>
          <w:p w14:paraId="6291509B">
            <w:pPr>
              <w:pStyle w:val="41"/>
              <w:rPr>
                <w:color w:val="auto"/>
                <w:highlight w:val="none"/>
              </w:rPr>
            </w:pPr>
            <w:r>
              <w:rPr>
                <w:color w:val="auto"/>
                <w:highlight w:val="none"/>
              </w:rPr>
              <w:t>0.00306</w:t>
            </w:r>
          </w:p>
        </w:tc>
        <w:tc>
          <w:tcPr>
            <w:tcW w:w="946" w:type="dxa"/>
            <w:noWrap/>
            <w:vAlign w:val="center"/>
          </w:tcPr>
          <w:p w14:paraId="7BCE2545">
            <w:pPr>
              <w:pStyle w:val="41"/>
              <w:rPr>
                <w:color w:val="auto"/>
                <w:highlight w:val="none"/>
              </w:rPr>
            </w:pPr>
            <w:r>
              <w:rPr>
                <w:color w:val="auto"/>
                <w:highlight w:val="none"/>
              </w:rPr>
              <w:t xml:space="preserve">0.68 </w:t>
            </w:r>
          </w:p>
        </w:tc>
      </w:tr>
      <w:tr w14:paraId="0CE989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7D93124">
            <w:pPr>
              <w:pStyle w:val="41"/>
              <w:rPr>
                <w:color w:val="auto"/>
                <w:highlight w:val="none"/>
              </w:rPr>
            </w:pPr>
            <w:r>
              <w:rPr>
                <w:color w:val="auto"/>
                <w:highlight w:val="none"/>
              </w:rPr>
              <w:t>27</w:t>
            </w:r>
          </w:p>
        </w:tc>
        <w:tc>
          <w:tcPr>
            <w:tcW w:w="1254" w:type="dxa"/>
            <w:noWrap/>
            <w:vAlign w:val="center"/>
          </w:tcPr>
          <w:p w14:paraId="123F3342">
            <w:pPr>
              <w:pStyle w:val="41"/>
              <w:rPr>
                <w:color w:val="auto"/>
                <w:highlight w:val="none"/>
              </w:rPr>
            </w:pPr>
            <w:r>
              <w:rPr>
                <w:color w:val="auto"/>
                <w:highlight w:val="none"/>
              </w:rPr>
              <w:t>625</w:t>
            </w:r>
          </w:p>
        </w:tc>
        <w:tc>
          <w:tcPr>
            <w:tcW w:w="1532" w:type="dxa"/>
            <w:noWrap/>
            <w:vAlign w:val="center"/>
          </w:tcPr>
          <w:p w14:paraId="1D9E2426">
            <w:pPr>
              <w:pStyle w:val="41"/>
              <w:rPr>
                <w:color w:val="auto"/>
                <w:highlight w:val="none"/>
              </w:rPr>
            </w:pPr>
            <w:r>
              <w:rPr>
                <w:color w:val="auto"/>
                <w:highlight w:val="none"/>
              </w:rPr>
              <w:t>0.002944</w:t>
            </w:r>
          </w:p>
        </w:tc>
        <w:tc>
          <w:tcPr>
            <w:tcW w:w="946" w:type="dxa"/>
            <w:noWrap/>
            <w:vAlign w:val="center"/>
          </w:tcPr>
          <w:p w14:paraId="56DD8FFC">
            <w:pPr>
              <w:pStyle w:val="41"/>
              <w:rPr>
                <w:color w:val="auto"/>
                <w:highlight w:val="none"/>
              </w:rPr>
            </w:pPr>
            <w:r>
              <w:rPr>
                <w:color w:val="auto"/>
                <w:highlight w:val="none"/>
              </w:rPr>
              <w:t xml:space="preserve">0.65 </w:t>
            </w:r>
          </w:p>
        </w:tc>
      </w:tr>
      <w:tr w14:paraId="183C38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6524346">
            <w:pPr>
              <w:pStyle w:val="41"/>
              <w:rPr>
                <w:color w:val="auto"/>
                <w:highlight w:val="none"/>
              </w:rPr>
            </w:pPr>
            <w:r>
              <w:rPr>
                <w:color w:val="auto"/>
                <w:highlight w:val="none"/>
              </w:rPr>
              <w:t>28</w:t>
            </w:r>
          </w:p>
        </w:tc>
        <w:tc>
          <w:tcPr>
            <w:tcW w:w="1254" w:type="dxa"/>
            <w:noWrap/>
            <w:vAlign w:val="center"/>
          </w:tcPr>
          <w:p w14:paraId="4CEBC772">
            <w:pPr>
              <w:pStyle w:val="41"/>
              <w:rPr>
                <w:color w:val="auto"/>
                <w:highlight w:val="none"/>
              </w:rPr>
            </w:pPr>
            <w:r>
              <w:rPr>
                <w:color w:val="auto"/>
                <w:highlight w:val="none"/>
              </w:rPr>
              <w:t>650</w:t>
            </w:r>
          </w:p>
        </w:tc>
        <w:tc>
          <w:tcPr>
            <w:tcW w:w="1532" w:type="dxa"/>
            <w:noWrap/>
            <w:vAlign w:val="center"/>
          </w:tcPr>
          <w:p w14:paraId="0C4F335D">
            <w:pPr>
              <w:pStyle w:val="41"/>
              <w:rPr>
                <w:color w:val="auto"/>
                <w:highlight w:val="none"/>
              </w:rPr>
            </w:pPr>
            <w:r>
              <w:rPr>
                <w:color w:val="auto"/>
                <w:highlight w:val="none"/>
              </w:rPr>
              <w:t>0.002833</w:t>
            </w:r>
          </w:p>
        </w:tc>
        <w:tc>
          <w:tcPr>
            <w:tcW w:w="946" w:type="dxa"/>
            <w:noWrap/>
            <w:vAlign w:val="center"/>
          </w:tcPr>
          <w:p w14:paraId="55722D2F">
            <w:pPr>
              <w:pStyle w:val="41"/>
              <w:rPr>
                <w:color w:val="auto"/>
                <w:highlight w:val="none"/>
              </w:rPr>
            </w:pPr>
            <w:r>
              <w:rPr>
                <w:color w:val="auto"/>
                <w:highlight w:val="none"/>
              </w:rPr>
              <w:t xml:space="preserve">0.63 </w:t>
            </w:r>
          </w:p>
        </w:tc>
      </w:tr>
      <w:tr w14:paraId="5F47DE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9625437">
            <w:pPr>
              <w:pStyle w:val="41"/>
              <w:rPr>
                <w:color w:val="auto"/>
                <w:highlight w:val="none"/>
              </w:rPr>
            </w:pPr>
            <w:r>
              <w:rPr>
                <w:color w:val="auto"/>
                <w:highlight w:val="none"/>
              </w:rPr>
              <w:t>29</w:t>
            </w:r>
          </w:p>
        </w:tc>
        <w:tc>
          <w:tcPr>
            <w:tcW w:w="1254" w:type="dxa"/>
            <w:noWrap/>
            <w:vAlign w:val="center"/>
          </w:tcPr>
          <w:p w14:paraId="2C459ED1">
            <w:pPr>
              <w:pStyle w:val="41"/>
              <w:rPr>
                <w:color w:val="auto"/>
                <w:highlight w:val="none"/>
              </w:rPr>
            </w:pPr>
            <w:r>
              <w:rPr>
                <w:color w:val="auto"/>
                <w:highlight w:val="none"/>
              </w:rPr>
              <w:t>675</w:t>
            </w:r>
          </w:p>
        </w:tc>
        <w:tc>
          <w:tcPr>
            <w:tcW w:w="1532" w:type="dxa"/>
            <w:noWrap/>
            <w:vAlign w:val="center"/>
          </w:tcPr>
          <w:p w14:paraId="05EA93CB">
            <w:pPr>
              <w:pStyle w:val="41"/>
              <w:rPr>
                <w:color w:val="auto"/>
                <w:highlight w:val="none"/>
              </w:rPr>
            </w:pPr>
            <w:r>
              <w:rPr>
                <w:color w:val="auto"/>
                <w:highlight w:val="none"/>
              </w:rPr>
              <w:t>0.002728</w:t>
            </w:r>
          </w:p>
        </w:tc>
        <w:tc>
          <w:tcPr>
            <w:tcW w:w="946" w:type="dxa"/>
            <w:noWrap/>
            <w:vAlign w:val="center"/>
          </w:tcPr>
          <w:p w14:paraId="13347A63">
            <w:pPr>
              <w:pStyle w:val="41"/>
              <w:rPr>
                <w:color w:val="auto"/>
                <w:highlight w:val="none"/>
              </w:rPr>
            </w:pPr>
            <w:r>
              <w:rPr>
                <w:color w:val="auto"/>
                <w:highlight w:val="none"/>
              </w:rPr>
              <w:t xml:space="preserve">0.61 </w:t>
            </w:r>
          </w:p>
        </w:tc>
      </w:tr>
      <w:tr w14:paraId="69D0F2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33BA9E7">
            <w:pPr>
              <w:pStyle w:val="41"/>
              <w:rPr>
                <w:color w:val="auto"/>
                <w:highlight w:val="none"/>
              </w:rPr>
            </w:pPr>
            <w:r>
              <w:rPr>
                <w:color w:val="auto"/>
                <w:highlight w:val="none"/>
              </w:rPr>
              <w:t>30</w:t>
            </w:r>
          </w:p>
        </w:tc>
        <w:tc>
          <w:tcPr>
            <w:tcW w:w="1254" w:type="dxa"/>
            <w:noWrap/>
            <w:vAlign w:val="center"/>
          </w:tcPr>
          <w:p w14:paraId="02F1E2AE">
            <w:pPr>
              <w:pStyle w:val="41"/>
              <w:rPr>
                <w:color w:val="auto"/>
                <w:highlight w:val="none"/>
              </w:rPr>
            </w:pPr>
            <w:r>
              <w:rPr>
                <w:color w:val="auto"/>
                <w:highlight w:val="none"/>
              </w:rPr>
              <w:t>700</w:t>
            </w:r>
          </w:p>
        </w:tc>
        <w:tc>
          <w:tcPr>
            <w:tcW w:w="1532" w:type="dxa"/>
            <w:noWrap/>
            <w:vAlign w:val="center"/>
          </w:tcPr>
          <w:p w14:paraId="1491E5EF">
            <w:pPr>
              <w:pStyle w:val="41"/>
              <w:rPr>
                <w:color w:val="auto"/>
                <w:highlight w:val="none"/>
              </w:rPr>
            </w:pPr>
            <w:r>
              <w:rPr>
                <w:color w:val="auto"/>
                <w:highlight w:val="none"/>
              </w:rPr>
              <w:t>0.002629</w:t>
            </w:r>
          </w:p>
        </w:tc>
        <w:tc>
          <w:tcPr>
            <w:tcW w:w="946" w:type="dxa"/>
            <w:noWrap/>
            <w:vAlign w:val="center"/>
          </w:tcPr>
          <w:p w14:paraId="3C2EC88F">
            <w:pPr>
              <w:pStyle w:val="41"/>
              <w:rPr>
                <w:color w:val="auto"/>
                <w:highlight w:val="none"/>
              </w:rPr>
            </w:pPr>
            <w:r>
              <w:rPr>
                <w:color w:val="auto"/>
                <w:highlight w:val="none"/>
              </w:rPr>
              <w:t xml:space="preserve">0.58 </w:t>
            </w:r>
          </w:p>
        </w:tc>
      </w:tr>
      <w:tr w14:paraId="6F2970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FF08588">
            <w:pPr>
              <w:pStyle w:val="41"/>
              <w:rPr>
                <w:color w:val="auto"/>
                <w:highlight w:val="none"/>
              </w:rPr>
            </w:pPr>
            <w:r>
              <w:rPr>
                <w:color w:val="auto"/>
                <w:highlight w:val="none"/>
              </w:rPr>
              <w:t>31</w:t>
            </w:r>
          </w:p>
        </w:tc>
        <w:tc>
          <w:tcPr>
            <w:tcW w:w="1254" w:type="dxa"/>
            <w:noWrap/>
            <w:vAlign w:val="center"/>
          </w:tcPr>
          <w:p w14:paraId="193F6EA7">
            <w:pPr>
              <w:pStyle w:val="41"/>
              <w:rPr>
                <w:color w:val="auto"/>
                <w:highlight w:val="none"/>
              </w:rPr>
            </w:pPr>
            <w:r>
              <w:rPr>
                <w:color w:val="auto"/>
                <w:highlight w:val="none"/>
              </w:rPr>
              <w:t>725</w:t>
            </w:r>
          </w:p>
        </w:tc>
        <w:tc>
          <w:tcPr>
            <w:tcW w:w="1532" w:type="dxa"/>
            <w:noWrap/>
            <w:vAlign w:val="center"/>
          </w:tcPr>
          <w:p w14:paraId="3184B1A5">
            <w:pPr>
              <w:pStyle w:val="41"/>
              <w:rPr>
                <w:color w:val="auto"/>
                <w:highlight w:val="none"/>
              </w:rPr>
            </w:pPr>
            <w:r>
              <w:rPr>
                <w:color w:val="auto"/>
                <w:highlight w:val="none"/>
              </w:rPr>
              <w:t>0.002535</w:t>
            </w:r>
          </w:p>
        </w:tc>
        <w:tc>
          <w:tcPr>
            <w:tcW w:w="946" w:type="dxa"/>
            <w:noWrap/>
            <w:vAlign w:val="center"/>
          </w:tcPr>
          <w:p w14:paraId="4A9FCA87">
            <w:pPr>
              <w:pStyle w:val="41"/>
              <w:rPr>
                <w:color w:val="auto"/>
                <w:highlight w:val="none"/>
              </w:rPr>
            </w:pPr>
            <w:r>
              <w:rPr>
                <w:color w:val="auto"/>
                <w:highlight w:val="none"/>
              </w:rPr>
              <w:t xml:space="preserve">0.56 </w:t>
            </w:r>
          </w:p>
        </w:tc>
      </w:tr>
      <w:tr w14:paraId="38E78D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3D6D861">
            <w:pPr>
              <w:pStyle w:val="41"/>
              <w:rPr>
                <w:color w:val="auto"/>
                <w:highlight w:val="none"/>
              </w:rPr>
            </w:pPr>
            <w:r>
              <w:rPr>
                <w:color w:val="auto"/>
                <w:highlight w:val="none"/>
              </w:rPr>
              <w:t>32</w:t>
            </w:r>
          </w:p>
        </w:tc>
        <w:tc>
          <w:tcPr>
            <w:tcW w:w="1254" w:type="dxa"/>
            <w:noWrap/>
            <w:vAlign w:val="center"/>
          </w:tcPr>
          <w:p w14:paraId="0437D34A">
            <w:pPr>
              <w:pStyle w:val="41"/>
              <w:rPr>
                <w:color w:val="auto"/>
                <w:highlight w:val="none"/>
              </w:rPr>
            </w:pPr>
            <w:r>
              <w:rPr>
                <w:color w:val="auto"/>
                <w:highlight w:val="none"/>
              </w:rPr>
              <w:t>750</w:t>
            </w:r>
          </w:p>
        </w:tc>
        <w:tc>
          <w:tcPr>
            <w:tcW w:w="1532" w:type="dxa"/>
            <w:noWrap/>
            <w:vAlign w:val="center"/>
          </w:tcPr>
          <w:p w14:paraId="6CB16D63">
            <w:pPr>
              <w:pStyle w:val="41"/>
              <w:rPr>
                <w:color w:val="auto"/>
                <w:highlight w:val="none"/>
              </w:rPr>
            </w:pPr>
            <w:r>
              <w:rPr>
                <w:color w:val="auto"/>
                <w:highlight w:val="none"/>
              </w:rPr>
              <w:t>0.002446</w:t>
            </w:r>
          </w:p>
        </w:tc>
        <w:tc>
          <w:tcPr>
            <w:tcW w:w="946" w:type="dxa"/>
            <w:noWrap/>
            <w:vAlign w:val="center"/>
          </w:tcPr>
          <w:p w14:paraId="6DBE4EF2">
            <w:pPr>
              <w:pStyle w:val="41"/>
              <w:rPr>
                <w:color w:val="auto"/>
                <w:highlight w:val="none"/>
              </w:rPr>
            </w:pPr>
            <w:r>
              <w:rPr>
                <w:color w:val="auto"/>
                <w:highlight w:val="none"/>
              </w:rPr>
              <w:t xml:space="preserve">0.54 </w:t>
            </w:r>
          </w:p>
        </w:tc>
      </w:tr>
      <w:tr w14:paraId="35422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63E9799">
            <w:pPr>
              <w:pStyle w:val="41"/>
              <w:rPr>
                <w:color w:val="auto"/>
                <w:highlight w:val="none"/>
              </w:rPr>
            </w:pPr>
            <w:r>
              <w:rPr>
                <w:color w:val="auto"/>
                <w:highlight w:val="none"/>
              </w:rPr>
              <w:t>33</w:t>
            </w:r>
          </w:p>
        </w:tc>
        <w:tc>
          <w:tcPr>
            <w:tcW w:w="1254" w:type="dxa"/>
            <w:noWrap/>
            <w:vAlign w:val="center"/>
          </w:tcPr>
          <w:p w14:paraId="4A4A9203">
            <w:pPr>
              <w:pStyle w:val="41"/>
              <w:rPr>
                <w:color w:val="auto"/>
                <w:highlight w:val="none"/>
              </w:rPr>
            </w:pPr>
            <w:r>
              <w:rPr>
                <w:color w:val="auto"/>
                <w:highlight w:val="none"/>
              </w:rPr>
              <w:t>775</w:t>
            </w:r>
          </w:p>
        </w:tc>
        <w:tc>
          <w:tcPr>
            <w:tcW w:w="1532" w:type="dxa"/>
            <w:noWrap/>
            <w:vAlign w:val="center"/>
          </w:tcPr>
          <w:p w14:paraId="29D0573B">
            <w:pPr>
              <w:pStyle w:val="41"/>
              <w:rPr>
                <w:color w:val="auto"/>
                <w:highlight w:val="none"/>
              </w:rPr>
            </w:pPr>
            <w:r>
              <w:rPr>
                <w:color w:val="auto"/>
                <w:highlight w:val="none"/>
              </w:rPr>
              <w:t>0.002362</w:t>
            </w:r>
          </w:p>
        </w:tc>
        <w:tc>
          <w:tcPr>
            <w:tcW w:w="946" w:type="dxa"/>
            <w:noWrap/>
            <w:vAlign w:val="center"/>
          </w:tcPr>
          <w:p w14:paraId="38AF399E">
            <w:pPr>
              <w:pStyle w:val="41"/>
              <w:rPr>
                <w:color w:val="auto"/>
                <w:highlight w:val="none"/>
              </w:rPr>
            </w:pPr>
            <w:r>
              <w:rPr>
                <w:color w:val="auto"/>
                <w:highlight w:val="none"/>
              </w:rPr>
              <w:t xml:space="preserve">0.52 </w:t>
            </w:r>
          </w:p>
        </w:tc>
      </w:tr>
      <w:tr w14:paraId="541974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6841F0F">
            <w:pPr>
              <w:pStyle w:val="41"/>
              <w:rPr>
                <w:color w:val="auto"/>
                <w:highlight w:val="none"/>
              </w:rPr>
            </w:pPr>
            <w:r>
              <w:rPr>
                <w:color w:val="auto"/>
                <w:highlight w:val="none"/>
              </w:rPr>
              <w:t>34</w:t>
            </w:r>
          </w:p>
        </w:tc>
        <w:tc>
          <w:tcPr>
            <w:tcW w:w="1254" w:type="dxa"/>
            <w:noWrap/>
            <w:vAlign w:val="center"/>
          </w:tcPr>
          <w:p w14:paraId="55A8667A">
            <w:pPr>
              <w:pStyle w:val="41"/>
              <w:rPr>
                <w:color w:val="auto"/>
                <w:highlight w:val="none"/>
              </w:rPr>
            </w:pPr>
            <w:r>
              <w:rPr>
                <w:color w:val="auto"/>
                <w:highlight w:val="none"/>
              </w:rPr>
              <w:t>800</w:t>
            </w:r>
          </w:p>
        </w:tc>
        <w:tc>
          <w:tcPr>
            <w:tcW w:w="1532" w:type="dxa"/>
            <w:noWrap/>
            <w:vAlign w:val="center"/>
          </w:tcPr>
          <w:p w14:paraId="387042F8">
            <w:pPr>
              <w:pStyle w:val="41"/>
              <w:rPr>
                <w:color w:val="auto"/>
                <w:highlight w:val="none"/>
              </w:rPr>
            </w:pPr>
            <w:r>
              <w:rPr>
                <w:color w:val="auto"/>
                <w:highlight w:val="none"/>
              </w:rPr>
              <w:t>0.002282</w:t>
            </w:r>
          </w:p>
        </w:tc>
        <w:tc>
          <w:tcPr>
            <w:tcW w:w="946" w:type="dxa"/>
            <w:noWrap/>
            <w:vAlign w:val="center"/>
          </w:tcPr>
          <w:p w14:paraId="45C5E61B">
            <w:pPr>
              <w:pStyle w:val="41"/>
              <w:rPr>
                <w:color w:val="auto"/>
                <w:highlight w:val="none"/>
              </w:rPr>
            </w:pPr>
            <w:r>
              <w:rPr>
                <w:color w:val="auto"/>
                <w:highlight w:val="none"/>
              </w:rPr>
              <w:t xml:space="preserve">0.51 </w:t>
            </w:r>
          </w:p>
        </w:tc>
      </w:tr>
      <w:tr w14:paraId="346C27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F9BD74B">
            <w:pPr>
              <w:pStyle w:val="41"/>
              <w:rPr>
                <w:color w:val="auto"/>
                <w:highlight w:val="none"/>
              </w:rPr>
            </w:pPr>
            <w:r>
              <w:rPr>
                <w:color w:val="auto"/>
                <w:highlight w:val="none"/>
              </w:rPr>
              <w:t>35</w:t>
            </w:r>
          </w:p>
        </w:tc>
        <w:tc>
          <w:tcPr>
            <w:tcW w:w="1254" w:type="dxa"/>
            <w:noWrap/>
            <w:vAlign w:val="center"/>
          </w:tcPr>
          <w:p w14:paraId="489F48CA">
            <w:pPr>
              <w:pStyle w:val="41"/>
              <w:rPr>
                <w:color w:val="auto"/>
                <w:highlight w:val="none"/>
              </w:rPr>
            </w:pPr>
            <w:r>
              <w:rPr>
                <w:color w:val="auto"/>
                <w:highlight w:val="none"/>
              </w:rPr>
              <w:t>825</w:t>
            </w:r>
          </w:p>
        </w:tc>
        <w:tc>
          <w:tcPr>
            <w:tcW w:w="1532" w:type="dxa"/>
            <w:noWrap/>
            <w:vAlign w:val="center"/>
          </w:tcPr>
          <w:p w14:paraId="21B840A1">
            <w:pPr>
              <w:pStyle w:val="41"/>
              <w:rPr>
                <w:color w:val="auto"/>
                <w:highlight w:val="none"/>
              </w:rPr>
            </w:pPr>
            <w:r>
              <w:rPr>
                <w:color w:val="auto"/>
                <w:highlight w:val="none"/>
              </w:rPr>
              <w:t>0.002206</w:t>
            </w:r>
          </w:p>
        </w:tc>
        <w:tc>
          <w:tcPr>
            <w:tcW w:w="946" w:type="dxa"/>
            <w:noWrap/>
            <w:vAlign w:val="center"/>
          </w:tcPr>
          <w:p w14:paraId="349432C3">
            <w:pPr>
              <w:pStyle w:val="41"/>
              <w:rPr>
                <w:color w:val="auto"/>
                <w:highlight w:val="none"/>
              </w:rPr>
            </w:pPr>
            <w:r>
              <w:rPr>
                <w:color w:val="auto"/>
                <w:highlight w:val="none"/>
              </w:rPr>
              <w:t xml:space="preserve">0.49 </w:t>
            </w:r>
          </w:p>
        </w:tc>
      </w:tr>
      <w:tr w14:paraId="6C252A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42A95DF">
            <w:pPr>
              <w:pStyle w:val="41"/>
              <w:rPr>
                <w:color w:val="auto"/>
                <w:highlight w:val="none"/>
              </w:rPr>
            </w:pPr>
            <w:r>
              <w:rPr>
                <w:color w:val="auto"/>
                <w:highlight w:val="none"/>
              </w:rPr>
              <w:t>36</w:t>
            </w:r>
          </w:p>
        </w:tc>
        <w:tc>
          <w:tcPr>
            <w:tcW w:w="1254" w:type="dxa"/>
            <w:noWrap/>
            <w:vAlign w:val="center"/>
          </w:tcPr>
          <w:p w14:paraId="60C45AC2">
            <w:pPr>
              <w:pStyle w:val="41"/>
              <w:rPr>
                <w:color w:val="auto"/>
                <w:highlight w:val="none"/>
              </w:rPr>
            </w:pPr>
            <w:r>
              <w:rPr>
                <w:color w:val="auto"/>
                <w:highlight w:val="none"/>
              </w:rPr>
              <w:t>850</w:t>
            </w:r>
          </w:p>
        </w:tc>
        <w:tc>
          <w:tcPr>
            <w:tcW w:w="1532" w:type="dxa"/>
            <w:noWrap/>
            <w:vAlign w:val="center"/>
          </w:tcPr>
          <w:p w14:paraId="67DAC101">
            <w:pPr>
              <w:pStyle w:val="41"/>
              <w:rPr>
                <w:color w:val="auto"/>
                <w:highlight w:val="none"/>
              </w:rPr>
            </w:pPr>
            <w:r>
              <w:rPr>
                <w:color w:val="auto"/>
                <w:highlight w:val="none"/>
              </w:rPr>
              <w:t>0.002134</w:t>
            </w:r>
          </w:p>
        </w:tc>
        <w:tc>
          <w:tcPr>
            <w:tcW w:w="946" w:type="dxa"/>
            <w:noWrap/>
            <w:vAlign w:val="center"/>
          </w:tcPr>
          <w:p w14:paraId="4E2B3F38">
            <w:pPr>
              <w:pStyle w:val="41"/>
              <w:rPr>
                <w:color w:val="auto"/>
                <w:highlight w:val="none"/>
              </w:rPr>
            </w:pPr>
            <w:r>
              <w:rPr>
                <w:color w:val="auto"/>
                <w:highlight w:val="none"/>
              </w:rPr>
              <w:t xml:space="preserve">0.47 </w:t>
            </w:r>
          </w:p>
        </w:tc>
      </w:tr>
      <w:tr w14:paraId="3BE038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8E9A910">
            <w:pPr>
              <w:pStyle w:val="41"/>
              <w:rPr>
                <w:color w:val="auto"/>
                <w:highlight w:val="none"/>
              </w:rPr>
            </w:pPr>
            <w:r>
              <w:rPr>
                <w:color w:val="auto"/>
                <w:highlight w:val="none"/>
              </w:rPr>
              <w:t>37</w:t>
            </w:r>
          </w:p>
        </w:tc>
        <w:tc>
          <w:tcPr>
            <w:tcW w:w="1254" w:type="dxa"/>
            <w:noWrap/>
            <w:vAlign w:val="center"/>
          </w:tcPr>
          <w:p w14:paraId="6707A9BF">
            <w:pPr>
              <w:pStyle w:val="41"/>
              <w:rPr>
                <w:color w:val="auto"/>
                <w:highlight w:val="none"/>
              </w:rPr>
            </w:pPr>
            <w:r>
              <w:rPr>
                <w:color w:val="auto"/>
                <w:highlight w:val="none"/>
              </w:rPr>
              <w:t>875</w:t>
            </w:r>
          </w:p>
        </w:tc>
        <w:tc>
          <w:tcPr>
            <w:tcW w:w="1532" w:type="dxa"/>
            <w:noWrap/>
            <w:vAlign w:val="center"/>
          </w:tcPr>
          <w:p w14:paraId="2C07E38C">
            <w:pPr>
              <w:pStyle w:val="41"/>
              <w:rPr>
                <w:color w:val="auto"/>
                <w:highlight w:val="none"/>
              </w:rPr>
            </w:pPr>
            <w:r>
              <w:rPr>
                <w:color w:val="auto"/>
                <w:highlight w:val="none"/>
              </w:rPr>
              <w:t>0.002066</w:t>
            </w:r>
          </w:p>
        </w:tc>
        <w:tc>
          <w:tcPr>
            <w:tcW w:w="946" w:type="dxa"/>
            <w:noWrap/>
            <w:vAlign w:val="center"/>
          </w:tcPr>
          <w:p w14:paraId="45B13F8F">
            <w:pPr>
              <w:pStyle w:val="41"/>
              <w:rPr>
                <w:color w:val="auto"/>
                <w:highlight w:val="none"/>
              </w:rPr>
            </w:pPr>
            <w:r>
              <w:rPr>
                <w:color w:val="auto"/>
                <w:highlight w:val="none"/>
              </w:rPr>
              <w:t xml:space="preserve">0.46 </w:t>
            </w:r>
          </w:p>
        </w:tc>
      </w:tr>
      <w:tr w14:paraId="1C8243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3EA2122">
            <w:pPr>
              <w:pStyle w:val="41"/>
              <w:rPr>
                <w:color w:val="auto"/>
                <w:highlight w:val="none"/>
              </w:rPr>
            </w:pPr>
            <w:r>
              <w:rPr>
                <w:color w:val="auto"/>
                <w:highlight w:val="none"/>
              </w:rPr>
              <w:t>38</w:t>
            </w:r>
          </w:p>
        </w:tc>
        <w:tc>
          <w:tcPr>
            <w:tcW w:w="1254" w:type="dxa"/>
            <w:noWrap/>
            <w:vAlign w:val="center"/>
          </w:tcPr>
          <w:p w14:paraId="6805CD3F">
            <w:pPr>
              <w:pStyle w:val="41"/>
              <w:rPr>
                <w:color w:val="auto"/>
                <w:highlight w:val="none"/>
              </w:rPr>
            </w:pPr>
            <w:r>
              <w:rPr>
                <w:color w:val="auto"/>
                <w:highlight w:val="none"/>
              </w:rPr>
              <w:t>900</w:t>
            </w:r>
          </w:p>
        </w:tc>
        <w:tc>
          <w:tcPr>
            <w:tcW w:w="1532" w:type="dxa"/>
            <w:noWrap/>
            <w:vAlign w:val="center"/>
          </w:tcPr>
          <w:p w14:paraId="419FD70F">
            <w:pPr>
              <w:pStyle w:val="41"/>
              <w:rPr>
                <w:color w:val="auto"/>
                <w:highlight w:val="none"/>
              </w:rPr>
            </w:pPr>
            <w:r>
              <w:rPr>
                <w:color w:val="auto"/>
                <w:highlight w:val="none"/>
              </w:rPr>
              <w:t>0.002002</w:t>
            </w:r>
          </w:p>
        </w:tc>
        <w:tc>
          <w:tcPr>
            <w:tcW w:w="946" w:type="dxa"/>
            <w:noWrap/>
            <w:vAlign w:val="center"/>
          </w:tcPr>
          <w:p w14:paraId="2C0A26E1">
            <w:pPr>
              <w:pStyle w:val="41"/>
              <w:rPr>
                <w:color w:val="auto"/>
                <w:highlight w:val="none"/>
              </w:rPr>
            </w:pPr>
            <w:r>
              <w:rPr>
                <w:color w:val="auto"/>
                <w:highlight w:val="none"/>
              </w:rPr>
              <w:t xml:space="preserve">0.44 </w:t>
            </w:r>
          </w:p>
        </w:tc>
      </w:tr>
      <w:tr w14:paraId="563DE7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C6C328C">
            <w:pPr>
              <w:pStyle w:val="41"/>
              <w:rPr>
                <w:color w:val="auto"/>
                <w:highlight w:val="none"/>
              </w:rPr>
            </w:pPr>
            <w:r>
              <w:rPr>
                <w:color w:val="auto"/>
                <w:highlight w:val="none"/>
              </w:rPr>
              <w:t>39</w:t>
            </w:r>
          </w:p>
        </w:tc>
        <w:tc>
          <w:tcPr>
            <w:tcW w:w="1254" w:type="dxa"/>
            <w:noWrap/>
            <w:vAlign w:val="center"/>
          </w:tcPr>
          <w:p w14:paraId="6DDBFCBF">
            <w:pPr>
              <w:pStyle w:val="41"/>
              <w:rPr>
                <w:color w:val="auto"/>
                <w:highlight w:val="none"/>
              </w:rPr>
            </w:pPr>
            <w:r>
              <w:rPr>
                <w:color w:val="auto"/>
                <w:highlight w:val="none"/>
              </w:rPr>
              <w:t>925</w:t>
            </w:r>
          </w:p>
        </w:tc>
        <w:tc>
          <w:tcPr>
            <w:tcW w:w="1532" w:type="dxa"/>
            <w:noWrap/>
            <w:vAlign w:val="center"/>
          </w:tcPr>
          <w:p w14:paraId="2B7C2E10">
            <w:pPr>
              <w:pStyle w:val="41"/>
              <w:rPr>
                <w:color w:val="auto"/>
                <w:highlight w:val="none"/>
              </w:rPr>
            </w:pPr>
            <w:r>
              <w:rPr>
                <w:color w:val="auto"/>
                <w:highlight w:val="none"/>
              </w:rPr>
              <w:t>0.00194</w:t>
            </w:r>
          </w:p>
        </w:tc>
        <w:tc>
          <w:tcPr>
            <w:tcW w:w="946" w:type="dxa"/>
            <w:noWrap/>
            <w:vAlign w:val="center"/>
          </w:tcPr>
          <w:p w14:paraId="55FFED42">
            <w:pPr>
              <w:pStyle w:val="41"/>
              <w:rPr>
                <w:color w:val="auto"/>
                <w:highlight w:val="none"/>
              </w:rPr>
            </w:pPr>
            <w:r>
              <w:rPr>
                <w:color w:val="auto"/>
                <w:highlight w:val="none"/>
              </w:rPr>
              <w:t xml:space="preserve">0.43 </w:t>
            </w:r>
          </w:p>
        </w:tc>
      </w:tr>
      <w:tr w14:paraId="6418A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FF3643E">
            <w:pPr>
              <w:pStyle w:val="41"/>
              <w:rPr>
                <w:color w:val="auto"/>
                <w:highlight w:val="none"/>
              </w:rPr>
            </w:pPr>
            <w:r>
              <w:rPr>
                <w:color w:val="auto"/>
                <w:highlight w:val="none"/>
              </w:rPr>
              <w:t>40</w:t>
            </w:r>
          </w:p>
        </w:tc>
        <w:tc>
          <w:tcPr>
            <w:tcW w:w="1254" w:type="dxa"/>
            <w:noWrap/>
            <w:vAlign w:val="center"/>
          </w:tcPr>
          <w:p w14:paraId="57596927">
            <w:pPr>
              <w:pStyle w:val="41"/>
              <w:rPr>
                <w:color w:val="auto"/>
                <w:highlight w:val="none"/>
              </w:rPr>
            </w:pPr>
            <w:r>
              <w:rPr>
                <w:color w:val="auto"/>
                <w:highlight w:val="none"/>
              </w:rPr>
              <w:t>950</w:t>
            </w:r>
          </w:p>
        </w:tc>
        <w:tc>
          <w:tcPr>
            <w:tcW w:w="1532" w:type="dxa"/>
            <w:noWrap/>
            <w:vAlign w:val="center"/>
          </w:tcPr>
          <w:p w14:paraId="1C23D3B6">
            <w:pPr>
              <w:pStyle w:val="41"/>
              <w:rPr>
                <w:color w:val="auto"/>
                <w:highlight w:val="none"/>
              </w:rPr>
            </w:pPr>
            <w:r>
              <w:rPr>
                <w:color w:val="auto"/>
                <w:highlight w:val="none"/>
              </w:rPr>
              <w:t>0.001881</w:t>
            </w:r>
          </w:p>
        </w:tc>
        <w:tc>
          <w:tcPr>
            <w:tcW w:w="946" w:type="dxa"/>
            <w:noWrap/>
            <w:vAlign w:val="center"/>
          </w:tcPr>
          <w:p w14:paraId="257DBF17">
            <w:pPr>
              <w:pStyle w:val="41"/>
              <w:rPr>
                <w:color w:val="auto"/>
                <w:highlight w:val="none"/>
              </w:rPr>
            </w:pPr>
            <w:r>
              <w:rPr>
                <w:color w:val="auto"/>
                <w:highlight w:val="none"/>
              </w:rPr>
              <w:t xml:space="preserve">0.42 </w:t>
            </w:r>
          </w:p>
        </w:tc>
      </w:tr>
      <w:tr w14:paraId="248E75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06235B8">
            <w:pPr>
              <w:pStyle w:val="41"/>
              <w:rPr>
                <w:color w:val="auto"/>
                <w:highlight w:val="none"/>
              </w:rPr>
            </w:pPr>
            <w:r>
              <w:rPr>
                <w:color w:val="auto"/>
                <w:highlight w:val="none"/>
              </w:rPr>
              <w:t>41</w:t>
            </w:r>
          </w:p>
        </w:tc>
        <w:tc>
          <w:tcPr>
            <w:tcW w:w="1254" w:type="dxa"/>
            <w:noWrap/>
            <w:vAlign w:val="center"/>
          </w:tcPr>
          <w:p w14:paraId="72B3A118">
            <w:pPr>
              <w:pStyle w:val="41"/>
              <w:rPr>
                <w:color w:val="auto"/>
                <w:highlight w:val="none"/>
              </w:rPr>
            </w:pPr>
            <w:r>
              <w:rPr>
                <w:color w:val="auto"/>
                <w:highlight w:val="none"/>
              </w:rPr>
              <w:t>975</w:t>
            </w:r>
          </w:p>
        </w:tc>
        <w:tc>
          <w:tcPr>
            <w:tcW w:w="1532" w:type="dxa"/>
            <w:noWrap/>
            <w:vAlign w:val="center"/>
          </w:tcPr>
          <w:p w14:paraId="7037F9F8">
            <w:pPr>
              <w:pStyle w:val="41"/>
              <w:rPr>
                <w:color w:val="auto"/>
                <w:highlight w:val="none"/>
              </w:rPr>
            </w:pPr>
            <w:r>
              <w:rPr>
                <w:color w:val="auto"/>
                <w:highlight w:val="none"/>
              </w:rPr>
              <w:t>0.001826</w:t>
            </w:r>
          </w:p>
        </w:tc>
        <w:tc>
          <w:tcPr>
            <w:tcW w:w="946" w:type="dxa"/>
            <w:noWrap/>
            <w:vAlign w:val="center"/>
          </w:tcPr>
          <w:p w14:paraId="2E7DA0CC">
            <w:pPr>
              <w:pStyle w:val="41"/>
              <w:rPr>
                <w:color w:val="auto"/>
                <w:highlight w:val="none"/>
              </w:rPr>
            </w:pPr>
            <w:r>
              <w:rPr>
                <w:color w:val="auto"/>
                <w:highlight w:val="none"/>
              </w:rPr>
              <w:t xml:space="preserve">0.41 </w:t>
            </w:r>
          </w:p>
        </w:tc>
      </w:tr>
      <w:tr w14:paraId="00069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trPr>
        <w:tc>
          <w:tcPr>
            <w:tcW w:w="321" w:type="pct"/>
            <w:noWrap/>
            <w:vAlign w:val="center"/>
          </w:tcPr>
          <w:p w14:paraId="0848E13C">
            <w:pPr>
              <w:pStyle w:val="41"/>
              <w:rPr>
                <w:color w:val="auto"/>
                <w:highlight w:val="none"/>
              </w:rPr>
            </w:pPr>
            <w:r>
              <w:rPr>
                <w:color w:val="auto"/>
                <w:highlight w:val="none"/>
              </w:rPr>
              <w:t>42</w:t>
            </w:r>
          </w:p>
        </w:tc>
        <w:tc>
          <w:tcPr>
            <w:tcW w:w="1254" w:type="dxa"/>
            <w:noWrap/>
            <w:vAlign w:val="center"/>
          </w:tcPr>
          <w:p w14:paraId="6EF56607">
            <w:pPr>
              <w:pStyle w:val="41"/>
              <w:rPr>
                <w:color w:val="auto"/>
                <w:highlight w:val="none"/>
              </w:rPr>
            </w:pPr>
            <w:r>
              <w:rPr>
                <w:color w:val="auto"/>
                <w:highlight w:val="none"/>
              </w:rPr>
              <w:t>1000</w:t>
            </w:r>
          </w:p>
        </w:tc>
        <w:tc>
          <w:tcPr>
            <w:tcW w:w="1532" w:type="dxa"/>
            <w:noWrap/>
            <w:vAlign w:val="center"/>
          </w:tcPr>
          <w:p w14:paraId="57581354">
            <w:pPr>
              <w:pStyle w:val="41"/>
              <w:rPr>
                <w:color w:val="auto"/>
                <w:highlight w:val="none"/>
              </w:rPr>
            </w:pPr>
            <w:r>
              <w:rPr>
                <w:color w:val="auto"/>
                <w:highlight w:val="none"/>
              </w:rPr>
              <w:t>0.001773</w:t>
            </w:r>
          </w:p>
        </w:tc>
        <w:tc>
          <w:tcPr>
            <w:tcW w:w="946" w:type="dxa"/>
            <w:noWrap/>
            <w:vAlign w:val="center"/>
          </w:tcPr>
          <w:p w14:paraId="68EA4FDC">
            <w:pPr>
              <w:pStyle w:val="41"/>
              <w:rPr>
                <w:color w:val="auto"/>
                <w:highlight w:val="none"/>
              </w:rPr>
            </w:pPr>
            <w:r>
              <w:rPr>
                <w:color w:val="auto"/>
                <w:highlight w:val="none"/>
              </w:rPr>
              <w:t xml:space="preserve">0.39 </w:t>
            </w:r>
          </w:p>
        </w:tc>
      </w:tr>
      <w:tr w14:paraId="25815B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trPr>
        <w:tc>
          <w:tcPr>
            <w:tcW w:w="321" w:type="pct"/>
            <w:noWrap/>
            <w:vAlign w:val="center"/>
          </w:tcPr>
          <w:p w14:paraId="18B4F542">
            <w:pPr>
              <w:pStyle w:val="41"/>
              <w:rPr>
                <w:color w:val="auto"/>
                <w:highlight w:val="none"/>
              </w:rPr>
            </w:pPr>
            <w:r>
              <w:rPr>
                <w:color w:val="auto"/>
                <w:highlight w:val="none"/>
              </w:rPr>
              <w:t>43</w:t>
            </w:r>
          </w:p>
        </w:tc>
        <w:tc>
          <w:tcPr>
            <w:tcW w:w="1254" w:type="dxa"/>
            <w:noWrap/>
            <w:vAlign w:val="center"/>
          </w:tcPr>
          <w:p w14:paraId="7131B419">
            <w:pPr>
              <w:pStyle w:val="41"/>
              <w:rPr>
                <w:color w:val="auto"/>
                <w:highlight w:val="none"/>
              </w:rPr>
            </w:pPr>
            <w:r>
              <w:rPr>
                <w:color w:val="auto"/>
                <w:highlight w:val="none"/>
              </w:rPr>
              <w:t>1025</w:t>
            </w:r>
          </w:p>
        </w:tc>
        <w:tc>
          <w:tcPr>
            <w:tcW w:w="1532" w:type="dxa"/>
            <w:noWrap/>
            <w:vAlign w:val="center"/>
          </w:tcPr>
          <w:p w14:paraId="1AD729C0">
            <w:pPr>
              <w:pStyle w:val="41"/>
              <w:rPr>
                <w:color w:val="auto"/>
                <w:highlight w:val="none"/>
              </w:rPr>
            </w:pPr>
            <w:r>
              <w:rPr>
                <w:color w:val="auto"/>
                <w:highlight w:val="none"/>
              </w:rPr>
              <w:t>0.001722</w:t>
            </w:r>
          </w:p>
        </w:tc>
        <w:tc>
          <w:tcPr>
            <w:tcW w:w="946" w:type="dxa"/>
            <w:noWrap/>
            <w:vAlign w:val="center"/>
          </w:tcPr>
          <w:p w14:paraId="4B69662B">
            <w:pPr>
              <w:pStyle w:val="41"/>
              <w:rPr>
                <w:color w:val="auto"/>
                <w:highlight w:val="none"/>
              </w:rPr>
            </w:pPr>
            <w:r>
              <w:rPr>
                <w:color w:val="auto"/>
                <w:highlight w:val="none"/>
              </w:rPr>
              <w:t xml:space="preserve">0.38 </w:t>
            </w:r>
          </w:p>
        </w:tc>
      </w:tr>
      <w:tr w14:paraId="24F2C0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E8E32D2">
            <w:pPr>
              <w:pStyle w:val="41"/>
              <w:rPr>
                <w:color w:val="auto"/>
                <w:highlight w:val="none"/>
              </w:rPr>
            </w:pPr>
            <w:r>
              <w:rPr>
                <w:color w:val="auto"/>
                <w:highlight w:val="none"/>
              </w:rPr>
              <w:t>44</w:t>
            </w:r>
          </w:p>
        </w:tc>
        <w:tc>
          <w:tcPr>
            <w:tcW w:w="1254" w:type="dxa"/>
            <w:noWrap/>
            <w:vAlign w:val="center"/>
          </w:tcPr>
          <w:p w14:paraId="60409839">
            <w:pPr>
              <w:pStyle w:val="41"/>
              <w:rPr>
                <w:color w:val="auto"/>
                <w:highlight w:val="none"/>
              </w:rPr>
            </w:pPr>
            <w:r>
              <w:rPr>
                <w:color w:val="auto"/>
                <w:highlight w:val="none"/>
              </w:rPr>
              <w:t>1050</w:t>
            </w:r>
          </w:p>
        </w:tc>
        <w:tc>
          <w:tcPr>
            <w:tcW w:w="1532" w:type="dxa"/>
            <w:noWrap/>
            <w:vAlign w:val="center"/>
          </w:tcPr>
          <w:p w14:paraId="291CBF51">
            <w:pPr>
              <w:pStyle w:val="41"/>
              <w:rPr>
                <w:color w:val="auto"/>
                <w:highlight w:val="none"/>
              </w:rPr>
            </w:pPr>
            <w:r>
              <w:rPr>
                <w:color w:val="auto"/>
                <w:highlight w:val="none"/>
              </w:rPr>
              <w:t>0.001674</w:t>
            </w:r>
          </w:p>
        </w:tc>
        <w:tc>
          <w:tcPr>
            <w:tcW w:w="946" w:type="dxa"/>
            <w:noWrap/>
            <w:vAlign w:val="center"/>
          </w:tcPr>
          <w:p w14:paraId="4EE43C86">
            <w:pPr>
              <w:pStyle w:val="41"/>
              <w:rPr>
                <w:color w:val="auto"/>
                <w:highlight w:val="none"/>
              </w:rPr>
            </w:pPr>
            <w:r>
              <w:rPr>
                <w:color w:val="auto"/>
                <w:highlight w:val="none"/>
              </w:rPr>
              <w:t xml:space="preserve">0.37 </w:t>
            </w:r>
          </w:p>
        </w:tc>
      </w:tr>
      <w:tr w14:paraId="4C01A5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FBF086C">
            <w:pPr>
              <w:pStyle w:val="41"/>
              <w:rPr>
                <w:color w:val="auto"/>
                <w:highlight w:val="none"/>
              </w:rPr>
            </w:pPr>
            <w:r>
              <w:rPr>
                <w:color w:val="auto"/>
                <w:highlight w:val="none"/>
              </w:rPr>
              <w:t>45</w:t>
            </w:r>
          </w:p>
        </w:tc>
        <w:tc>
          <w:tcPr>
            <w:tcW w:w="1254" w:type="dxa"/>
            <w:noWrap/>
            <w:vAlign w:val="center"/>
          </w:tcPr>
          <w:p w14:paraId="2EB2CC36">
            <w:pPr>
              <w:pStyle w:val="41"/>
              <w:rPr>
                <w:color w:val="auto"/>
                <w:highlight w:val="none"/>
              </w:rPr>
            </w:pPr>
            <w:r>
              <w:rPr>
                <w:color w:val="auto"/>
                <w:highlight w:val="none"/>
              </w:rPr>
              <w:t>1075</w:t>
            </w:r>
          </w:p>
        </w:tc>
        <w:tc>
          <w:tcPr>
            <w:tcW w:w="1532" w:type="dxa"/>
            <w:noWrap/>
            <w:vAlign w:val="center"/>
          </w:tcPr>
          <w:p w14:paraId="1C50F734">
            <w:pPr>
              <w:pStyle w:val="41"/>
              <w:rPr>
                <w:color w:val="auto"/>
                <w:highlight w:val="none"/>
              </w:rPr>
            </w:pPr>
            <w:r>
              <w:rPr>
                <w:color w:val="auto"/>
                <w:highlight w:val="none"/>
              </w:rPr>
              <w:t>0.001628</w:t>
            </w:r>
          </w:p>
        </w:tc>
        <w:tc>
          <w:tcPr>
            <w:tcW w:w="946" w:type="dxa"/>
            <w:noWrap/>
            <w:vAlign w:val="center"/>
          </w:tcPr>
          <w:p w14:paraId="69285995">
            <w:pPr>
              <w:pStyle w:val="41"/>
              <w:rPr>
                <w:color w:val="auto"/>
                <w:highlight w:val="none"/>
              </w:rPr>
            </w:pPr>
            <w:r>
              <w:rPr>
                <w:color w:val="auto"/>
                <w:highlight w:val="none"/>
              </w:rPr>
              <w:t xml:space="preserve">0.36 </w:t>
            </w:r>
          </w:p>
        </w:tc>
      </w:tr>
      <w:tr w14:paraId="6E9A9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62BDAA9">
            <w:pPr>
              <w:pStyle w:val="41"/>
              <w:rPr>
                <w:color w:val="auto"/>
                <w:highlight w:val="none"/>
              </w:rPr>
            </w:pPr>
            <w:r>
              <w:rPr>
                <w:color w:val="auto"/>
                <w:highlight w:val="none"/>
              </w:rPr>
              <w:t>46</w:t>
            </w:r>
          </w:p>
        </w:tc>
        <w:tc>
          <w:tcPr>
            <w:tcW w:w="1254" w:type="dxa"/>
            <w:noWrap/>
            <w:vAlign w:val="center"/>
          </w:tcPr>
          <w:p w14:paraId="0B7081A1">
            <w:pPr>
              <w:pStyle w:val="41"/>
              <w:rPr>
                <w:color w:val="auto"/>
                <w:highlight w:val="none"/>
              </w:rPr>
            </w:pPr>
            <w:r>
              <w:rPr>
                <w:color w:val="auto"/>
                <w:highlight w:val="none"/>
              </w:rPr>
              <w:t>1100</w:t>
            </w:r>
          </w:p>
        </w:tc>
        <w:tc>
          <w:tcPr>
            <w:tcW w:w="1532" w:type="dxa"/>
            <w:noWrap/>
            <w:vAlign w:val="center"/>
          </w:tcPr>
          <w:p w14:paraId="7629B741">
            <w:pPr>
              <w:pStyle w:val="41"/>
              <w:rPr>
                <w:color w:val="auto"/>
                <w:highlight w:val="none"/>
              </w:rPr>
            </w:pPr>
            <w:r>
              <w:rPr>
                <w:color w:val="auto"/>
                <w:highlight w:val="none"/>
              </w:rPr>
              <w:t>0.001584</w:t>
            </w:r>
          </w:p>
        </w:tc>
        <w:tc>
          <w:tcPr>
            <w:tcW w:w="946" w:type="dxa"/>
            <w:noWrap/>
            <w:vAlign w:val="center"/>
          </w:tcPr>
          <w:p w14:paraId="39683A8A">
            <w:pPr>
              <w:pStyle w:val="41"/>
              <w:rPr>
                <w:color w:val="auto"/>
                <w:highlight w:val="none"/>
              </w:rPr>
            </w:pPr>
            <w:r>
              <w:rPr>
                <w:color w:val="auto"/>
                <w:highlight w:val="none"/>
              </w:rPr>
              <w:t xml:space="preserve">0.35 </w:t>
            </w:r>
          </w:p>
        </w:tc>
      </w:tr>
      <w:tr w14:paraId="2C01CE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BE3B933">
            <w:pPr>
              <w:pStyle w:val="41"/>
              <w:rPr>
                <w:color w:val="auto"/>
                <w:highlight w:val="none"/>
              </w:rPr>
            </w:pPr>
            <w:r>
              <w:rPr>
                <w:color w:val="auto"/>
                <w:highlight w:val="none"/>
              </w:rPr>
              <w:t>47</w:t>
            </w:r>
          </w:p>
        </w:tc>
        <w:tc>
          <w:tcPr>
            <w:tcW w:w="1254" w:type="dxa"/>
            <w:noWrap/>
            <w:vAlign w:val="center"/>
          </w:tcPr>
          <w:p w14:paraId="2A44A847">
            <w:pPr>
              <w:pStyle w:val="41"/>
              <w:rPr>
                <w:color w:val="auto"/>
                <w:highlight w:val="none"/>
              </w:rPr>
            </w:pPr>
            <w:r>
              <w:rPr>
                <w:color w:val="auto"/>
                <w:highlight w:val="none"/>
              </w:rPr>
              <w:t>1125</w:t>
            </w:r>
          </w:p>
        </w:tc>
        <w:tc>
          <w:tcPr>
            <w:tcW w:w="1532" w:type="dxa"/>
            <w:noWrap/>
            <w:vAlign w:val="center"/>
          </w:tcPr>
          <w:p w14:paraId="26F881F6">
            <w:pPr>
              <w:pStyle w:val="41"/>
              <w:rPr>
                <w:color w:val="auto"/>
                <w:highlight w:val="none"/>
              </w:rPr>
            </w:pPr>
            <w:r>
              <w:rPr>
                <w:color w:val="auto"/>
                <w:highlight w:val="none"/>
              </w:rPr>
              <w:t>0.001542</w:t>
            </w:r>
          </w:p>
        </w:tc>
        <w:tc>
          <w:tcPr>
            <w:tcW w:w="946" w:type="dxa"/>
            <w:noWrap/>
            <w:vAlign w:val="center"/>
          </w:tcPr>
          <w:p w14:paraId="269E8FDD">
            <w:pPr>
              <w:pStyle w:val="41"/>
              <w:rPr>
                <w:color w:val="auto"/>
                <w:highlight w:val="none"/>
              </w:rPr>
            </w:pPr>
            <w:r>
              <w:rPr>
                <w:color w:val="auto"/>
                <w:highlight w:val="none"/>
              </w:rPr>
              <w:t xml:space="preserve">0.34 </w:t>
            </w:r>
          </w:p>
        </w:tc>
      </w:tr>
      <w:tr w14:paraId="22900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C590DD4">
            <w:pPr>
              <w:pStyle w:val="41"/>
              <w:rPr>
                <w:color w:val="auto"/>
                <w:highlight w:val="none"/>
              </w:rPr>
            </w:pPr>
            <w:r>
              <w:rPr>
                <w:color w:val="auto"/>
                <w:highlight w:val="none"/>
              </w:rPr>
              <w:t>48</w:t>
            </w:r>
          </w:p>
        </w:tc>
        <w:tc>
          <w:tcPr>
            <w:tcW w:w="1254" w:type="dxa"/>
            <w:noWrap/>
            <w:vAlign w:val="center"/>
          </w:tcPr>
          <w:p w14:paraId="5F745CE0">
            <w:pPr>
              <w:pStyle w:val="41"/>
              <w:rPr>
                <w:color w:val="auto"/>
                <w:highlight w:val="none"/>
              </w:rPr>
            </w:pPr>
            <w:r>
              <w:rPr>
                <w:color w:val="auto"/>
                <w:highlight w:val="none"/>
              </w:rPr>
              <w:t>1150</w:t>
            </w:r>
          </w:p>
        </w:tc>
        <w:tc>
          <w:tcPr>
            <w:tcW w:w="1532" w:type="dxa"/>
            <w:noWrap/>
            <w:vAlign w:val="center"/>
          </w:tcPr>
          <w:p w14:paraId="0E1BD592">
            <w:pPr>
              <w:pStyle w:val="41"/>
              <w:rPr>
                <w:color w:val="auto"/>
                <w:highlight w:val="none"/>
              </w:rPr>
            </w:pPr>
            <w:r>
              <w:rPr>
                <w:color w:val="auto"/>
                <w:highlight w:val="none"/>
              </w:rPr>
              <w:t>0.001501</w:t>
            </w:r>
          </w:p>
        </w:tc>
        <w:tc>
          <w:tcPr>
            <w:tcW w:w="946" w:type="dxa"/>
            <w:noWrap/>
            <w:vAlign w:val="center"/>
          </w:tcPr>
          <w:p w14:paraId="5CDCED7F">
            <w:pPr>
              <w:pStyle w:val="41"/>
              <w:rPr>
                <w:color w:val="auto"/>
                <w:highlight w:val="none"/>
              </w:rPr>
            </w:pPr>
            <w:r>
              <w:rPr>
                <w:color w:val="auto"/>
                <w:highlight w:val="none"/>
              </w:rPr>
              <w:t xml:space="preserve">0.33 </w:t>
            </w:r>
          </w:p>
        </w:tc>
      </w:tr>
      <w:tr w14:paraId="10C9F1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AA18338">
            <w:pPr>
              <w:pStyle w:val="41"/>
              <w:rPr>
                <w:color w:val="auto"/>
                <w:highlight w:val="none"/>
              </w:rPr>
            </w:pPr>
            <w:r>
              <w:rPr>
                <w:color w:val="auto"/>
                <w:highlight w:val="none"/>
              </w:rPr>
              <w:t>49</w:t>
            </w:r>
          </w:p>
        </w:tc>
        <w:tc>
          <w:tcPr>
            <w:tcW w:w="1254" w:type="dxa"/>
            <w:noWrap/>
            <w:vAlign w:val="center"/>
          </w:tcPr>
          <w:p w14:paraId="7133A17B">
            <w:pPr>
              <w:pStyle w:val="41"/>
              <w:rPr>
                <w:color w:val="auto"/>
                <w:highlight w:val="none"/>
              </w:rPr>
            </w:pPr>
            <w:r>
              <w:rPr>
                <w:color w:val="auto"/>
                <w:highlight w:val="none"/>
              </w:rPr>
              <w:t>1175</w:t>
            </w:r>
          </w:p>
        </w:tc>
        <w:tc>
          <w:tcPr>
            <w:tcW w:w="1532" w:type="dxa"/>
            <w:noWrap/>
            <w:vAlign w:val="center"/>
          </w:tcPr>
          <w:p w14:paraId="64C6D6FB">
            <w:pPr>
              <w:pStyle w:val="41"/>
              <w:rPr>
                <w:color w:val="auto"/>
                <w:highlight w:val="none"/>
              </w:rPr>
            </w:pPr>
            <w:r>
              <w:rPr>
                <w:color w:val="auto"/>
                <w:highlight w:val="none"/>
              </w:rPr>
              <w:t>0.001463</w:t>
            </w:r>
          </w:p>
        </w:tc>
        <w:tc>
          <w:tcPr>
            <w:tcW w:w="946" w:type="dxa"/>
            <w:noWrap/>
            <w:vAlign w:val="center"/>
          </w:tcPr>
          <w:p w14:paraId="3B323938">
            <w:pPr>
              <w:pStyle w:val="41"/>
              <w:rPr>
                <w:color w:val="auto"/>
                <w:highlight w:val="none"/>
              </w:rPr>
            </w:pPr>
            <w:r>
              <w:rPr>
                <w:color w:val="auto"/>
                <w:highlight w:val="none"/>
              </w:rPr>
              <w:t xml:space="preserve">0.33 </w:t>
            </w:r>
          </w:p>
        </w:tc>
      </w:tr>
      <w:tr w14:paraId="7F79FE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E46C677">
            <w:pPr>
              <w:pStyle w:val="41"/>
              <w:rPr>
                <w:color w:val="auto"/>
                <w:highlight w:val="none"/>
              </w:rPr>
            </w:pPr>
            <w:r>
              <w:rPr>
                <w:color w:val="auto"/>
                <w:highlight w:val="none"/>
              </w:rPr>
              <w:t>50</w:t>
            </w:r>
          </w:p>
        </w:tc>
        <w:tc>
          <w:tcPr>
            <w:tcW w:w="1254" w:type="dxa"/>
            <w:noWrap/>
            <w:vAlign w:val="center"/>
          </w:tcPr>
          <w:p w14:paraId="6C388012">
            <w:pPr>
              <w:pStyle w:val="41"/>
              <w:rPr>
                <w:color w:val="auto"/>
                <w:highlight w:val="none"/>
              </w:rPr>
            </w:pPr>
            <w:r>
              <w:rPr>
                <w:color w:val="auto"/>
                <w:highlight w:val="none"/>
              </w:rPr>
              <w:t>1200</w:t>
            </w:r>
          </w:p>
        </w:tc>
        <w:tc>
          <w:tcPr>
            <w:tcW w:w="1532" w:type="dxa"/>
            <w:noWrap/>
            <w:vAlign w:val="center"/>
          </w:tcPr>
          <w:p w14:paraId="4E961F42">
            <w:pPr>
              <w:pStyle w:val="41"/>
              <w:rPr>
                <w:color w:val="auto"/>
                <w:highlight w:val="none"/>
              </w:rPr>
            </w:pPr>
            <w:r>
              <w:rPr>
                <w:color w:val="auto"/>
                <w:highlight w:val="none"/>
              </w:rPr>
              <w:t>0.001426</w:t>
            </w:r>
          </w:p>
        </w:tc>
        <w:tc>
          <w:tcPr>
            <w:tcW w:w="946" w:type="dxa"/>
            <w:noWrap/>
            <w:vAlign w:val="center"/>
          </w:tcPr>
          <w:p w14:paraId="703A1664">
            <w:pPr>
              <w:pStyle w:val="41"/>
              <w:rPr>
                <w:color w:val="auto"/>
                <w:highlight w:val="none"/>
              </w:rPr>
            </w:pPr>
            <w:r>
              <w:rPr>
                <w:color w:val="auto"/>
                <w:highlight w:val="none"/>
              </w:rPr>
              <w:t xml:space="preserve">0.32 </w:t>
            </w:r>
          </w:p>
        </w:tc>
      </w:tr>
      <w:tr w14:paraId="42A218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61F9EA3">
            <w:pPr>
              <w:pStyle w:val="41"/>
              <w:rPr>
                <w:color w:val="auto"/>
                <w:highlight w:val="none"/>
              </w:rPr>
            </w:pPr>
            <w:r>
              <w:rPr>
                <w:color w:val="auto"/>
                <w:highlight w:val="none"/>
              </w:rPr>
              <w:t>51</w:t>
            </w:r>
          </w:p>
        </w:tc>
        <w:tc>
          <w:tcPr>
            <w:tcW w:w="1254" w:type="dxa"/>
            <w:noWrap/>
            <w:vAlign w:val="center"/>
          </w:tcPr>
          <w:p w14:paraId="061581E6">
            <w:pPr>
              <w:pStyle w:val="41"/>
              <w:rPr>
                <w:color w:val="auto"/>
                <w:highlight w:val="none"/>
              </w:rPr>
            </w:pPr>
            <w:r>
              <w:rPr>
                <w:color w:val="auto"/>
                <w:highlight w:val="none"/>
              </w:rPr>
              <w:t>1225</w:t>
            </w:r>
          </w:p>
        </w:tc>
        <w:tc>
          <w:tcPr>
            <w:tcW w:w="1532" w:type="dxa"/>
            <w:noWrap/>
            <w:vAlign w:val="center"/>
          </w:tcPr>
          <w:p w14:paraId="02250E41">
            <w:pPr>
              <w:pStyle w:val="41"/>
              <w:rPr>
                <w:color w:val="auto"/>
                <w:highlight w:val="none"/>
              </w:rPr>
            </w:pPr>
            <w:r>
              <w:rPr>
                <w:color w:val="auto"/>
                <w:highlight w:val="none"/>
              </w:rPr>
              <w:t>0.001391</w:t>
            </w:r>
          </w:p>
        </w:tc>
        <w:tc>
          <w:tcPr>
            <w:tcW w:w="946" w:type="dxa"/>
            <w:noWrap/>
            <w:vAlign w:val="center"/>
          </w:tcPr>
          <w:p w14:paraId="62A081D8">
            <w:pPr>
              <w:pStyle w:val="41"/>
              <w:rPr>
                <w:color w:val="auto"/>
                <w:highlight w:val="none"/>
              </w:rPr>
            </w:pPr>
            <w:r>
              <w:rPr>
                <w:color w:val="auto"/>
                <w:highlight w:val="none"/>
              </w:rPr>
              <w:t xml:space="preserve">0.31 </w:t>
            </w:r>
          </w:p>
        </w:tc>
      </w:tr>
      <w:tr w14:paraId="096BA4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F82BB96">
            <w:pPr>
              <w:pStyle w:val="41"/>
              <w:rPr>
                <w:color w:val="auto"/>
                <w:highlight w:val="none"/>
              </w:rPr>
            </w:pPr>
            <w:r>
              <w:rPr>
                <w:color w:val="auto"/>
                <w:highlight w:val="none"/>
              </w:rPr>
              <w:t>52</w:t>
            </w:r>
          </w:p>
        </w:tc>
        <w:tc>
          <w:tcPr>
            <w:tcW w:w="1254" w:type="dxa"/>
            <w:noWrap/>
            <w:vAlign w:val="center"/>
          </w:tcPr>
          <w:p w14:paraId="35636127">
            <w:pPr>
              <w:pStyle w:val="41"/>
              <w:rPr>
                <w:color w:val="auto"/>
                <w:highlight w:val="none"/>
              </w:rPr>
            </w:pPr>
            <w:r>
              <w:rPr>
                <w:color w:val="auto"/>
                <w:highlight w:val="none"/>
              </w:rPr>
              <w:t>1250</w:t>
            </w:r>
          </w:p>
        </w:tc>
        <w:tc>
          <w:tcPr>
            <w:tcW w:w="1532" w:type="dxa"/>
            <w:noWrap/>
            <w:vAlign w:val="center"/>
          </w:tcPr>
          <w:p w14:paraId="4092F214">
            <w:pPr>
              <w:pStyle w:val="41"/>
              <w:rPr>
                <w:color w:val="auto"/>
                <w:highlight w:val="none"/>
              </w:rPr>
            </w:pPr>
            <w:r>
              <w:rPr>
                <w:color w:val="auto"/>
                <w:highlight w:val="none"/>
              </w:rPr>
              <w:t>0.001357</w:t>
            </w:r>
          </w:p>
        </w:tc>
        <w:tc>
          <w:tcPr>
            <w:tcW w:w="946" w:type="dxa"/>
            <w:noWrap/>
            <w:vAlign w:val="center"/>
          </w:tcPr>
          <w:p w14:paraId="605DCC18">
            <w:pPr>
              <w:pStyle w:val="41"/>
              <w:rPr>
                <w:color w:val="auto"/>
                <w:highlight w:val="none"/>
              </w:rPr>
            </w:pPr>
            <w:r>
              <w:rPr>
                <w:color w:val="auto"/>
                <w:highlight w:val="none"/>
              </w:rPr>
              <w:t xml:space="preserve">0.30 </w:t>
            </w:r>
          </w:p>
        </w:tc>
      </w:tr>
      <w:tr w14:paraId="57FB54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1A44EF5">
            <w:pPr>
              <w:pStyle w:val="41"/>
              <w:rPr>
                <w:color w:val="auto"/>
                <w:highlight w:val="none"/>
              </w:rPr>
            </w:pPr>
            <w:r>
              <w:rPr>
                <w:color w:val="auto"/>
                <w:highlight w:val="none"/>
              </w:rPr>
              <w:t>53</w:t>
            </w:r>
          </w:p>
        </w:tc>
        <w:tc>
          <w:tcPr>
            <w:tcW w:w="1254" w:type="dxa"/>
            <w:noWrap/>
            <w:vAlign w:val="center"/>
          </w:tcPr>
          <w:p w14:paraId="1775BB76">
            <w:pPr>
              <w:pStyle w:val="41"/>
              <w:rPr>
                <w:color w:val="auto"/>
                <w:highlight w:val="none"/>
              </w:rPr>
            </w:pPr>
            <w:r>
              <w:rPr>
                <w:color w:val="auto"/>
                <w:highlight w:val="none"/>
              </w:rPr>
              <w:t>1275</w:t>
            </w:r>
          </w:p>
        </w:tc>
        <w:tc>
          <w:tcPr>
            <w:tcW w:w="1532" w:type="dxa"/>
            <w:noWrap/>
            <w:vAlign w:val="center"/>
          </w:tcPr>
          <w:p w14:paraId="1AA56906">
            <w:pPr>
              <w:pStyle w:val="41"/>
              <w:rPr>
                <w:color w:val="auto"/>
                <w:highlight w:val="none"/>
              </w:rPr>
            </w:pPr>
            <w:r>
              <w:rPr>
                <w:color w:val="auto"/>
                <w:highlight w:val="none"/>
              </w:rPr>
              <w:t>0.001324</w:t>
            </w:r>
          </w:p>
        </w:tc>
        <w:tc>
          <w:tcPr>
            <w:tcW w:w="946" w:type="dxa"/>
            <w:noWrap/>
            <w:vAlign w:val="center"/>
          </w:tcPr>
          <w:p w14:paraId="56BAD146">
            <w:pPr>
              <w:pStyle w:val="41"/>
              <w:rPr>
                <w:color w:val="auto"/>
                <w:highlight w:val="none"/>
              </w:rPr>
            </w:pPr>
            <w:r>
              <w:rPr>
                <w:color w:val="auto"/>
                <w:highlight w:val="none"/>
              </w:rPr>
              <w:t xml:space="preserve">0.29 </w:t>
            </w:r>
          </w:p>
        </w:tc>
      </w:tr>
      <w:tr w14:paraId="493518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FE810A5">
            <w:pPr>
              <w:pStyle w:val="41"/>
              <w:rPr>
                <w:color w:val="auto"/>
                <w:highlight w:val="none"/>
              </w:rPr>
            </w:pPr>
            <w:r>
              <w:rPr>
                <w:color w:val="auto"/>
                <w:highlight w:val="none"/>
              </w:rPr>
              <w:t>54</w:t>
            </w:r>
          </w:p>
        </w:tc>
        <w:tc>
          <w:tcPr>
            <w:tcW w:w="1254" w:type="dxa"/>
            <w:noWrap/>
            <w:vAlign w:val="center"/>
          </w:tcPr>
          <w:p w14:paraId="64D37F34">
            <w:pPr>
              <w:pStyle w:val="41"/>
              <w:rPr>
                <w:color w:val="auto"/>
                <w:highlight w:val="none"/>
              </w:rPr>
            </w:pPr>
            <w:r>
              <w:rPr>
                <w:color w:val="auto"/>
                <w:highlight w:val="none"/>
              </w:rPr>
              <w:t>1300</w:t>
            </w:r>
          </w:p>
        </w:tc>
        <w:tc>
          <w:tcPr>
            <w:tcW w:w="1532" w:type="dxa"/>
            <w:noWrap/>
            <w:vAlign w:val="center"/>
          </w:tcPr>
          <w:p w14:paraId="20C3D1FF">
            <w:pPr>
              <w:pStyle w:val="41"/>
              <w:rPr>
                <w:color w:val="auto"/>
                <w:highlight w:val="none"/>
              </w:rPr>
            </w:pPr>
            <w:r>
              <w:rPr>
                <w:color w:val="auto"/>
                <w:highlight w:val="none"/>
              </w:rPr>
              <w:t>0.001293</w:t>
            </w:r>
          </w:p>
        </w:tc>
        <w:tc>
          <w:tcPr>
            <w:tcW w:w="946" w:type="dxa"/>
            <w:noWrap/>
            <w:vAlign w:val="center"/>
          </w:tcPr>
          <w:p w14:paraId="135BF0E4">
            <w:pPr>
              <w:pStyle w:val="41"/>
              <w:rPr>
                <w:color w:val="auto"/>
                <w:highlight w:val="none"/>
              </w:rPr>
            </w:pPr>
            <w:r>
              <w:rPr>
                <w:color w:val="auto"/>
                <w:highlight w:val="none"/>
              </w:rPr>
              <w:t xml:space="preserve">0.29 </w:t>
            </w:r>
          </w:p>
        </w:tc>
      </w:tr>
      <w:tr w14:paraId="7085CF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trPr>
        <w:tc>
          <w:tcPr>
            <w:tcW w:w="321" w:type="pct"/>
            <w:noWrap/>
            <w:vAlign w:val="center"/>
          </w:tcPr>
          <w:p w14:paraId="15022609">
            <w:pPr>
              <w:pStyle w:val="41"/>
              <w:rPr>
                <w:color w:val="auto"/>
                <w:highlight w:val="none"/>
              </w:rPr>
            </w:pPr>
            <w:r>
              <w:rPr>
                <w:color w:val="auto"/>
                <w:highlight w:val="none"/>
              </w:rPr>
              <w:t>55</w:t>
            </w:r>
          </w:p>
        </w:tc>
        <w:tc>
          <w:tcPr>
            <w:tcW w:w="1254" w:type="dxa"/>
            <w:noWrap/>
            <w:vAlign w:val="center"/>
          </w:tcPr>
          <w:p w14:paraId="0E79DCEC">
            <w:pPr>
              <w:pStyle w:val="41"/>
              <w:rPr>
                <w:color w:val="auto"/>
                <w:highlight w:val="none"/>
              </w:rPr>
            </w:pPr>
            <w:r>
              <w:rPr>
                <w:color w:val="auto"/>
                <w:highlight w:val="none"/>
              </w:rPr>
              <w:t>1325</w:t>
            </w:r>
          </w:p>
        </w:tc>
        <w:tc>
          <w:tcPr>
            <w:tcW w:w="1532" w:type="dxa"/>
            <w:noWrap/>
            <w:vAlign w:val="center"/>
          </w:tcPr>
          <w:p w14:paraId="741CFF4E">
            <w:pPr>
              <w:pStyle w:val="41"/>
              <w:rPr>
                <w:color w:val="auto"/>
                <w:highlight w:val="none"/>
              </w:rPr>
            </w:pPr>
            <w:r>
              <w:rPr>
                <w:color w:val="auto"/>
                <w:highlight w:val="none"/>
              </w:rPr>
              <w:t>0.001263</w:t>
            </w:r>
          </w:p>
        </w:tc>
        <w:tc>
          <w:tcPr>
            <w:tcW w:w="946" w:type="dxa"/>
            <w:noWrap/>
            <w:vAlign w:val="center"/>
          </w:tcPr>
          <w:p w14:paraId="177B4EAC">
            <w:pPr>
              <w:pStyle w:val="41"/>
              <w:rPr>
                <w:color w:val="auto"/>
                <w:highlight w:val="none"/>
              </w:rPr>
            </w:pPr>
            <w:r>
              <w:rPr>
                <w:color w:val="auto"/>
                <w:highlight w:val="none"/>
              </w:rPr>
              <w:t xml:space="preserve">0.28 </w:t>
            </w:r>
          </w:p>
        </w:tc>
      </w:tr>
      <w:tr w14:paraId="60966C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870E313">
            <w:pPr>
              <w:pStyle w:val="41"/>
              <w:rPr>
                <w:color w:val="auto"/>
                <w:highlight w:val="none"/>
              </w:rPr>
            </w:pPr>
            <w:r>
              <w:rPr>
                <w:color w:val="auto"/>
                <w:highlight w:val="none"/>
              </w:rPr>
              <w:t>56</w:t>
            </w:r>
          </w:p>
        </w:tc>
        <w:tc>
          <w:tcPr>
            <w:tcW w:w="1254" w:type="dxa"/>
            <w:noWrap/>
            <w:vAlign w:val="center"/>
          </w:tcPr>
          <w:p w14:paraId="7DC4240B">
            <w:pPr>
              <w:pStyle w:val="41"/>
              <w:rPr>
                <w:color w:val="auto"/>
                <w:highlight w:val="none"/>
              </w:rPr>
            </w:pPr>
            <w:r>
              <w:rPr>
                <w:color w:val="auto"/>
                <w:highlight w:val="none"/>
              </w:rPr>
              <w:t>1350</w:t>
            </w:r>
          </w:p>
        </w:tc>
        <w:tc>
          <w:tcPr>
            <w:tcW w:w="1532" w:type="dxa"/>
            <w:noWrap/>
            <w:vAlign w:val="center"/>
          </w:tcPr>
          <w:p w14:paraId="68A7B986">
            <w:pPr>
              <w:pStyle w:val="41"/>
              <w:rPr>
                <w:color w:val="auto"/>
                <w:highlight w:val="none"/>
              </w:rPr>
            </w:pPr>
            <w:r>
              <w:rPr>
                <w:color w:val="auto"/>
                <w:highlight w:val="none"/>
              </w:rPr>
              <w:t>0.001266</w:t>
            </w:r>
          </w:p>
        </w:tc>
        <w:tc>
          <w:tcPr>
            <w:tcW w:w="946" w:type="dxa"/>
            <w:noWrap/>
            <w:vAlign w:val="center"/>
          </w:tcPr>
          <w:p w14:paraId="05852984">
            <w:pPr>
              <w:pStyle w:val="41"/>
              <w:rPr>
                <w:color w:val="auto"/>
                <w:highlight w:val="none"/>
              </w:rPr>
            </w:pPr>
            <w:r>
              <w:rPr>
                <w:color w:val="auto"/>
                <w:highlight w:val="none"/>
              </w:rPr>
              <w:t xml:space="preserve">0.28 </w:t>
            </w:r>
          </w:p>
        </w:tc>
      </w:tr>
      <w:tr w14:paraId="49477C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5D2B88E">
            <w:pPr>
              <w:pStyle w:val="41"/>
              <w:rPr>
                <w:color w:val="auto"/>
                <w:highlight w:val="none"/>
              </w:rPr>
            </w:pPr>
            <w:r>
              <w:rPr>
                <w:color w:val="auto"/>
                <w:highlight w:val="none"/>
              </w:rPr>
              <w:t>57</w:t>
            </w:r>
          </w:p>
        </w:tc>
        <w:tc>
          <w:tcPr>
            <w:tcW w:w="1254" w:type="dxa"/>
            <w:noWrap/>
            <w:vAlign w:val="center"/>
          </w:tcPr>
          <w:p w14:paraId="7FFEE56A">
            <w:pPr>
              <w:pStyle w:val="41"/>
              <w:rPr>
                <w:color w:val="auto"/>
                <w:highlight w:val="none"/>
              </w:rPr>
            </w:pPr>
            <w:r>
              <w:rPr>
                <w:color w:val="auto"/>
                <w:highlight w:val="none"/>
              </w:rPr>
              <w:t>1375</w:t>
            </w:r>
          </w:p>
        </w:tc>
        <w:tc>
          <w:tcPr>
            <w:tcW w:w="1532" w:type="dxa"/>
            <w:noWrap/>
            <w:vAlign w:val="center"/>
          </w:tcPr>
          <w:p w14:paraId="70B41ECC">
            <w:pPr>
              <w:pStyle w:val="41"/>
              <w:rPr>
                <w:color w:val="auto"/>
                <w:highlight w:val="none"/>
              </w:rPr>
            </w:pPr>
            <w:r>
              <w:rPr>
                <w:color w:val="auto"/>
                <w:highlight w:val="none"/>
              </w:rPr>
              <w:t>0.001285</w:t>
            </w:r>
          </w:p>
        </w:tc>
        <w:tc>
          <w:tcPr>
            <w:tcW w:w="946" w:type="dxa"/>
            <w:noWrap/>
            <w:vAlign w:val="center"/>
          </w:tcPr>
          <w:p w14:paraId="490E6BB9">
            <w:pPr>
              <w:pStyle w:val="41"/>
              <w:rPr>
                <w:color w:val="auto"/>
                <w:highlight w:val="none"/>
              </w:rPr>
            </w:pPr>
            <w:r>
              <w:rPr>
                <w:color w:val="auto"/>
                <w:highlight w:val="none"/>
              </w:rPr>
              <w:t xml:space="preserve">0.29 </w:t>
            </w:r>
          </w:p>
        </w:tc>
      </w:tr>
      <w:tr w14:paraId="5455F1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68175ED">
            <w:pPr>
              <w:pStyle w:val="41"/>
              <w:rPr>
                <w:color w:val="auto"/>
                <w:highlight w:val="none"/>
              </w:rPr>
            </w:pPr>
            <w:r>
              <w:rPr>
                <w:color w:val="auto"/>
                <w:highlight w:val="none"/>
              </w:rPr>
              <w:t>58</w:t>
            </w:r>
          </w:p>
        </w:tc>
        <w:tc>
          <w:tcPr>
            <w:tcW w:w="1254" w:type="dxa"/>
            <w:noWrap/>
            <w:vAlign w:val="center"/>
          </w:tcPr>
          <w:p w14:paraId="3F95DCFD">
            <w:pPr>
              <w:pStyle w:val="41"/>
              <w:rPr>
                <w:color w:val="auto"/>
                <w:highlight w:val="none"/>
              </w:rPr>
            </w:pPr>
            <w:r>
              <w:rPr>
                <w:color w:val="auto"/>
                <w:highlight w:val="none"/>
              </w:rPr>
              <w:t>1400</w:t>
            </w:r>
          </w:p>
        </w:tc>
        <w:tc>
          <w:tcPr>
            <w:tcW w:w="1532" w:type="dxa"/>
            <w:noWrap/>
            <w:vAlign w:val="center"/>
          </w:tcPr>
          <w:p w14:paraId="734BB238">
            <w:pPr>
              <w:pStyle w:val="41"/>
              <w:rPr>
                <w:color w:val="auto"/>
                <w:highlight w:val="none"/>
              </w:rPr>
            </w:pPr>
            <w:r>
              <w:rPr>
                <w:color w:val="auto"/>
                <w:highlight w:val="none"/>
              </w:rPr>
              <w:t>0.001302</w:t>
            </w:r>
          </w:p>
        </w:tc>
        <w:tc>
          <w:tcPr>
            <w:tcW w:w="946" w:type="dxa"/>
            <w:noWrap/>
            <w:vAlign w:val="center"/>
          </w:tcPr>
          <w:p w14:paraId="3A010628">
            <w:pPr>
              <w:pStyle w:val="41"/>
              <w:rPr>
                <w:color w:val="auto"/>
                <w:highlight w:val="none"/>
              </w:rPr>
            </w:pPr>
            <w:r>
              <w:rPr>
                <w:color w:val="auto"/>
                <w:highlight w:val="none"/>
              </w:rPr>
              <w:t xml:space="preserve">0.29 </w:t>
            </w:r>
          </w:p>
        </w:tc>
      </w:tr>
      <w:tr w14:paraId="41D88D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00EE0EB">
            <w:pPr>
              <w:pStyle w:val="41"/>
              <w:rPr>
                <w:color w:val="auto"/>
                <w:highlight w:val="none"/>
              </w:rPr>
            </w:pPr>
            <w:r>
              <w:rPr>
                <w:color w:val="auto"/>
                <w:highlight w:val="none"/>
              </w:rPr>
              <w:t>59</w:t>
            </w:r>
          </w:p>
        </w:tc>
        <w:tc>
          <w:tcPr>
            <w:tcW w:w="1254" w:type="dxa"/>
            <w:noWrap/>
            <w:vAlign w:val="center"/>
          </w:tcPr>
          <w:p w14:paraId="55D73784">
            <w:pPr>
              <w:pStyle w:val="41"/>
              <w:rPr>
                <w:color w:val="auto"/>
                <w:highlight w:val="none"/>
              </w:rPr>
            </w:pPr>
            <w:r>
              <w:rPr>
                <w:color w:val="auto"/>
                <w:highlight w:val="none"/>
              </w:rPr>
              <w:t>1425</w:t>
            </w:r>
          </w:p>
        </w:tc>
        <w:tc>
          <w:tcPr>
            <w:tcW w:w="1532" w:type="dxa"/>
            <w:noWrap/>
            <w:vAlign w:val="center"/>
          </w:tcPr>
          <w:p w14:paraId="3C7999DF">
            <w:pPr>
              <w:pStyle w:val="41"/>
              <w:rPr>
                <w:color w:val="auto"/>
                <w:highlight w:val="none"/>
              </w:rPr>
            </w:pPr>
            <w:r>
              <w:rPr>
                <w:color w:val="auto"/>
                <w:highlight w:val="none"/>
              </w:rPr>
              <w:t>0.001308</w:t>
            </w:r>
          </w:p>
        </w:tc>
        <w:tc>
          <w:tcPr>
            <w:tcW w:w="946" w:type="dxa"/>
            <w:noWrap/>
            <w:vAlign w:val="center"/>
          </w:tcPr>
          <w:p w14:paraId="2010DC1A">
            <w:pPr>
              <w:pStyle w:val="41"/>
              <w:rPr>
                <w:color w:val="auto"/>
                <w:highlight w:val="none"/>
              </w:rPr>
            </w:pPr>
            <w:r>
              <w:rPr>
                <w:color w:val="auto"/>
                <w:highlight w:val="none"/>
              </w:rPr>
              <w:t xml:space="preserve">0.29 </w:t>
            </w:r>
          </w:p>
        </w:tc>
      </w:tr>
      <w:tr w14:paraId="5129F3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BCBF3C2">
            <w:pPr>
              <w:pStyle w:val="41"/>
              <w:rPr>
                <w:color w:val="auto"/>
                <w:highlight w:val="none"/>
              </w:rPr>
            </w:pPr>
            <w:r>
              <w:rPr>
                <w:color w:val="auto"/>
                <w:highlight w:val="none"/>
              </w:rPr>
              <w:t>60</w:t>
            </w:r>
          </w:p>
        </w:tc>
        <w:tc>
          <w:tcPr>
            <w:tcW w:w="1254" w:type="dxa"/>
            <w:noWrap/>
            <w:vAlign w:val="center"/>
          </w:tcPr>
          <w:p w14:paraId="4A5332F1">
            <w:pPr>
              <w:pStyle w:val="41"/>
              <w:rPr>
                <w:color w:val="auto"/>
                <w:highlight w:val="none"/>
              </w:rPr>
            </w:pPr>
            <w:r>
              <w:rPr>
                <w:color w:val="auto"/>
                <w:highlight w:val="none"/>
              </w:rPr>
              <w:t>1450</w:t>
            </w:r>
          </w:p>
        </w:tc>
        <w:tc>
          <w:tcPr>
            <w:tcW w:w="1532" w:type="dxa"/>
            <w:noWrap/>
            <w:vAlign w:val="center"/>
          </w:tcPr>
          <w:p w14:paraId="74D61CBE">
            <w:pPr>
              <w:pStyle w:val="41"/>
              <w:rPr>
                <w:color w:val="auto"/>
                <w:highlight w:val="none"/>
              </w:rPr>
            </w:pPr>
            <w:r>
              <w:rPr>
                <w:color w:val="auto"/>
                <w:highlight w:val="none"/>
              </w:rPr>
              <w:t>0.001308</w:t>
            </w:r>
          </w:p>
        </w:tc>
        <w:tc>
          <w:tcPr>
            <w:tcW w:w="946" w:type="dxa"/>
            <w:noWrap/>
            <w:vAlign w:val="center"/>
          </w:tcPr>
          <w:p w14:paraId="55199304">
            <w:pPr>
              <w:pStyle w:val="41"/>
              <w:rPr>
                <w:color w:val="auto"/>
                <w:highlight w:val="none"/>
              </w:rPr>
            </w:pPr>
            <w:r>
              <w:rPr>
                <w:color w:val="auto"/>
                <w:highlight w:val="none"/>
              </w:rPr>
              <w:t xml:space="preserve">0.29 </w:t>
            </w:r>
          </w:p>
        </w:tc>
      </w:tr>
      <w:tr w14:paraId="0C02E5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16295FB">
            <w:pPr>
              <w:pStyle w:val="41"/>
              <w:rPr>
                <w:color w:val="auto"/>
                <w:highlight w:val="none"/>
              </w:rPr>
            </w:pPr>
            <w:r>
              <w:rPr>
                <w:color w:val="auto"/>
                <w:highlight w:val="none"/>
              </w:rPr>
              <w:t>61</w:t>
            </w:r>
          </w:p>
        </w:tc>
        <w:tc>
          <w:tcPr>
            <w:tcW w:w="1254" w:type="dxa"/>
            <w:noWrap/>
            <w:vAlign w:val="center"/>
          </w:tcPr>
          <w:p w14:paraId="4E20A476">
            <w:pPr>
              <w:pStyle w:val="41"/>
              <w:rPr>
                <w:color w:val="auto"/>
                <w:highlight w:val="none"/>
              </w:rPr>
            </w:pPr>
            <w:r>
              <w:rPr>
                <w:color w:val="auto"/>
                <w:highlight w:val="none"/>
              </w:rPr>
              <w:t>1475</w:t>
            </w:r>
          </w:p>
        </w:tc>
        <w:tc>
          <w:tcPr>
            <w:tcW w:w="1532" w:type="dxa"/>
            <w:noWrap/>
            <w:vAlign w:val="center"/>
          </w:tcPr>
          <w:p w14:paraId="55521A62">
            <w:pPr>
              <w:pStyle w:val="41"/>
              <w:rPr>
                <w:color w:val="auto"/>
                <w:highlight w:val="none"/>
              </w:rPr>
            </w:pPr>
            <w:r>
              <w:rPr>
                <w:color w:val="auto"/>
                <w:highlight w:val="none"/>
              </w:rPr>
              <w:t>0.001307</w:t>
            </w:r>
          </w:p>
        </w:tc>
        <w:tc>
          <w:tcPr>
            <w:tcW w:w="946" w:type="dxa"/>
            <w:noWrap/>
            <w:vAlign w:val="center"/>
          </w:tcPr>
          <w:p w14:paraId="49CB016F">
            <w:pPr>
              <w:pStyle w:val="41"/>
              <w:rPr>
                <w:color w:val="auto"/>
                <w:highlight w:val="none"/>
              </w:rPr>
            </w:pPr>
            <w:r>
              <w:rPr>
                <w:color w:val="auto"/>
                <w:highlight w:val="none"/>
              </w:rPr>
              <w:t xml:space="preserve">0.29 </w:t>
            </w:r>
          </w:p>
        </w:tc>
      </w:tr>
      <w:tr w14:paraId="712552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6267CD9">
            <w:pPr>
              <w:pStyle w:val="41"/>
              <w:rPr>
                <w:color w:val="auto"/>
                <w:highlight w:val="none"/>
              </w:rPr>
            </w:pPr>
            <w:r>
              <w:rPr>
                <w:color w:val="auto"/>
                <w:highlight w:val="none"/>
              </w:rPr>
              <w:t>62</w:t>
            </w:r>
          </w:p>
        </w:tc>
        <w:tc>
          <w:tcPr>
            <w:tcW w:w="1254" w:type="dxa"/>
            <w:noWrap/>
            <w:vAlign w:val="center"/>
          </w:tcPr>
          <w:p w14:paraId="6D907D07">
            <w:pPr>
              <w:pStyle w:val="41"/>
              <w:rPr>
                <w:color w:val="auto"/>
                <w:highlight w:val="none"/>
              </w:rPr>
            </w:pPr>
            <w:r>
              <w:rPr>
                <w:color w:val="auto"/>
                <w:highlight w:val="none"/>
              </w:rPr>
              <w:t>1500</w:t>
            </w:r>
          </w:p>
        </w:tc>
        <w:tc>
          <w:tcPr>
            <w:tcW w:w="1532" w:type="dxa"/>
            <w:noWrap/>
            <w:vAlign w:val="center"/>
          </w:tcPr>
          <w:p w14:paraId="5B195A78">
            <w:pPr>
              <w:pStyle w:val="41"/>
              <w:rPr>
                <w:color w:val="auto"/>
                <w:highlight w:val="none"/>
              </w:rPr>
            </w:pPr>
            <w:r>
              <w:rPr>
                <w:color w:val="auto"/>
                <w:highlight w:val="none"/>
              </w:rPr>
              <w:t>0.001305</w:t>
            </w:r>
          </w:p>
        </w:tc>
        <w:tc>
          <w:tcPr>
            <w:tcW w:w="946" w:type="dxa"/>
            <w:noWrap/>
            <w:vAlign w:val="center"/>
          </w:tcPr>
          <w:p w14:paraId="76B0A135">
            <w:pPr>
              <w:pStyle w:val="41"/>
              <w:rPr>
                <w:color w:val="auto"/>
                <w:highlight w:val="none"/>
              </w:rPr>
            </w:pPr>
            <w:r>
              <w:rPr>
                <w:color w:val="auto"/>
                <w:highlight w:val="none"/>
              </w:rPr>
              <w:t xml:space="preserve">0.29 </w:t>
            </w:r>
          </w:p>
        </w:tc>
      </w:tr>
      <w:tr w14:paraId="7635A6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FDB2091">
            <w:pPr>
              <w:pStyle w:val="41"/>
              <w:rPr>
                <w:color w:val="auto"/>
                <w:highlight w:val="none"/>
              </w:rPr>
            </w:pPr>
            <w:r>
              <w:rPr>
                <w:color w:val="auto"/>
                <w:highlight w:val="none"/>
              </w:rPr>
              <w:t>63</w:t>
            </w:r>
          </w:p>
        </w:tc>
        <w:tc>
          <w:tcPr>
            <w:tcW w:w="1254" w:type="dxa"/>
            <w:noWrap/>
            <w:vAlign w:val="center"/>
          </w:tcPr>
          <w:p w14:paraId="547D1E56">
            <w:pPr>
              <w:pStyle w:val="41"/>
              <w:rPr>
                <w:color w:val="auto"/>
                <w:highlight w:val="none"/>
              </w:rPr>
            </w:pPr>
            <w:r>
              <w:rPr>
                <w:color w:val="auto"/>
                <w:highlight w:val="none"/>
              </w:rPr>
              <w:t>1525</w:t>
            </w:r>
          </w:p>
        </w:tc>
        <w:tc>
          <w:tcPr>
            <w:tcW w:w="1532" w:type="dxa"/>
            <w:noWrap/>
            <w:vAlign w:val="center"/>
          </w:tcPr>
          <w:p w14:paraId="5F01A3E7">
            <w:pPr>
              <w:pStyle w:val="41"/>
              <w:rPr>
                <w:color w:val="auto"/>
                <w:highlight w:val="none"/>
              </w:rPr>
            </w:pPr>
            <w:r>
              <w:rPr>
                <w:color w:val="auto"/>
                <w:highlight w:val="none"/>
              </w:rPr>
              <w:t>0.001303</w:t>
            </w:r>
          </w:p>
        </w:tc>
        <w:tc>
          <w:tcPr>
            <w:tcW w:w="946" w:type="dxa"/>
            <w:noWrap/>
            <w:vAlign w:val="center"/>
          </w:tcPr>
          <w:p w14:paraId="5CF9CCE0">
            <w:pPr>
              <w:pStyle w:val="41"/>
              <w:rPr>
                <w:color w:val="auto"/>
                <w:highlight w:val="none"/>
              </w:rPr>
            </w:pPr>
            <w:r>
              <w:rPr>
                <w:color w:val="auto"/>
                <w:highlight w:val="none"/>
              </w:rPr>
              <w:t xml:space="preserve">0.29 </w:t>
            </w:r>
          </w:p>
        </w:tc>
      </w:tr>
      <w:tr w14:paraId="4E50E3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334453F">
            <w:pPr>
              <w:pStyle w:val="41"/>
              <w:rPr>
                <w:color w:val="auto"/>
                <w:highlight w:val="none"/>
              </w:rPr>
            </w:pPr>
            <w:r>
              <w:rPr>
                <w:color w:val="auto"/>
                <w:highlight w:val="none"/>
              </w:rPr>
              <w:t>64</w:t>
            </w:r>
          </w:p>
        </w:tc>
        <w:tc>
          <w:tcPr>
            <w:tcW w:w="1254" w:type="dxa"/>
            <w:noWrap/>
            <w:vAlign w:val="center"/>
          </w:tcPr>
          <w:p w14:paraId="075126FB">
            <w:pPr>
              <w:pStyle w:val="41"/>
              <w:rPr>
                <w:color w:val="auto"/>
                <w:highlight w:val="none"/>
              </w:rPr>
            </w:pPr>
            <w:r>
              <w:rPr>
                <w:color w:val="auto"/>
                <w:highlight w:val="none"/>
              </w:rPr>
              <w:t>1550</w:t>
            </w:r>
          </w:p>
        </w:tc>
        <w:tc>
          <w:tcPr>
            <w:tcW w:w="1532" w:type="dxa"/>
            <w:noWrap/>
            <w:vAlign w:val="center"/>
          </w:tcPr>
          <w:p w14:paraId="4F511B4A">
            <w:pPr>
              <w:pStyle w:val="41"/>
              <w:rPr>
                <w:color w:val="auto"/>
                <w:highlight w:val="none"/>
              </w:rPr>
            </w:pPr>
            <w:r>
              <w:rPr>
                <w:color w:val="auto"/>
                <w:highlight w:val="none"/>
              </w:rPr>
              <w:t>0.001301</w:t>
            </w:r>
          </w:p>
        </w:tc>
        <w:tc>
          <w:tcPr>
            <w:tcW w:w="946" w:type="dxa"/>
            <w:noWrap/>
            <w:vAlign w:val="center"/>
          </w:tcPr>
          <w:p w14:paraId="7590C7E0">
            <w:pPr>
              <w:pStyle w:val="41"/>
              <w:rPr>
                <w:color w:val="auto"/>
                <w:highlight w:val="none"/>
              </w:rPr>
            </w:pPr>
            <w:r>
              <w:rPr>
                <w:color w:val="auto"/>
                <w:highlight w:val="none"/>
              </w:rPr>
              <w:t xml:space="preserve">0.29 </w:t>
            </w:r>
          </w:p>
        </w:tc>
      </w:tr>
      <w:tr w14:paraId="6DC6C8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03EDF1A">
            <w:pPr>
              <w:pStyle w:val="41"/>
              <w:rPr>
                <w:color w:val="auto"/>
                <w:highlight w:val="none"/>
              </w:rPr>
            </w:pPr>
            <w:r>
              <w:rPr>
                <w:color w:val="auto"/>
                <w:highlight w:val="none"/>
              </w:rPr>
              <w:t>65</w:t>
            </w:r>
          </w:p>
        </w:tc>
        <w:tc>
          <w:tcPr>
            <w:tcW w:w="1254" w:type="dxa"/>
            <w:noWrap/>
            <w:vAlign w:val="center"/>
          </w:tcPr>
          <w:p w14:paraId="57019673">
            <w:pPr>
              <w:pStyle w:val="41"/>
              <w:rPr>
                <w:color w:val="auto"/>
                <w:highlight w:val="none"/>
              </w:rPr>
            </w:pPr>
            <w:r>
              <w:rPr>
                <w:color w:val="auto"/>
                <w:highlight w:val="none"/>
              </w:rPr>
              <w:t>1575</w:t>
            </w:r>
          </w:p>
        </w:tc>
        <w:tc>
          <w:tcPr>
            <w:tcW w:w="1532" w:type="dxa"/>
            <w:noWrap/>
            <w:vAlign w:val="center"/>
          </w:tcPr>
          <w:p w14:paraId="72F5A7D8">
            <w:pPr>
              <w:pStyle w:val="41"/>
              <w:rPr>
                <w:color w:val="auto"/>
                <w:highlight w:val="none"/>
              </w:rPr>
            </w:pPr>
            <w:r>
              <w:rPr>
                <w:color w:val="auto"/>
                <w:highlight w:val="none"/>
              </w:rPr>
              <w:t>0.001298</w:t>
            </w:r>
          </w:p>
        </w:tc>
        <w:tc>
          <w:tcPr>
            <w:tcW w:w="946" w:type="dxa"/>
            <w:noWrap/>
            <w:vAlign w:val="center"/>
          </w:tcPr>
          <w:p w14:paraId="55350327">
            <w:pPr>
              <w:pStyle w:val="41"/>
              <w:rPr>
                <w:color w:val="auto"/>
                <w:highlight w:val="none"/>
              </w:rPr>
            </w:pPr>
            <w:r>
              <w:rPr>
                <w:color w:val="auto"/>
                <w:highlight w:val="none"/>
              </w:rPr>
              <w:t xml:space="preserve">0.29 </w:t>
            </w:r>
          </w:p>
        </w:tc>
      </w:tr>
      <w:tr w14:paraId="4D0A77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E03246E">
            <w:pPr>
              <w:pStyle w:val="41"/>
              <w:rPr>
                <w:color w:val="auto"/>
                <w:highlight w:val="none"/>
              </w:rPr>
            </w:pPr>
            <w:r>
              <w:rPr>
                <w:color w:val="auto"/>
                <w:highlight w:val="none"/>
              </w:rPr>
              <w:t>66</w:t>
            </w:r>
          </w:p>
        </w:tc>
        <w:tc>
          <w:tcPr>
            <w:tcW w:w="1254" w:type="dxa"/>
            <w:noWrap/>
            <w:vAlign w:val="center"/>
          </w:tcPr>
          <w:p w14:paraId="59998A78">
            <w:pPr>
              <w:pStyle w:val="41"/>
              <w:rPr>
                <w:color w:val="auto"/>
                <w:highlight w:val="none"/>
              </w:rPr>
            </w:pPr>
            <w:r>
              <w:rPr>
                <w:color w:val="auto"/>
                <w:highlight w:val="none"/>
              </w:rPr>
              <w:t>1600</w:t>
            </w:r>
          </w:p>
        </w:tc>
        <w:tc>
          <w:tcPr>
            <w:tcW w:w="1532" w:type="dxa"/>
            <w:noWrap/>
            <w:vAlign w:val="center"/>
          </w:tcPr>
          <w:p w14:paraId="7261F6D5">
            <w:pPr>
              <w:pStyle w:val="41"/>
              <w:rPr>
                <w:color w:val="auto"/>
                <w:highlight w:val="none"/>
              </w:rPr>
            </w:pPr>
            <w:r>
              <w:rPr>
                <w:color w:val="auto"/>
                <w:highlight w:val="none"/>
              </w:rPr>
              <w:t>0.001294</w:t>
            </w:r>
          </w:p>
        </w:tc>
        <w:tc>
          <w:tcPr>
            <w:tcW w:w="946" w:type="dxa"/>
            <w:noWrap/>
            <w:vAlign w:val="center"/>
          </w:tcPr>
          <w:p w14:paraId="33473008">
            <w:pPr>
              <w:pStyle w:val="41"/>
              <w:rPr>
                <w:color w:val="auto"/>
                <w:highlight w:val="none"/>
              </w:rPr>
            </w:pPr>
            <w:r>
              <w:rPr>
                <w:color w:val="auto"/>
                <w:highlight w:val="none"/>
              </w:rPr>
              <w:t xml:space="preserve">0.29 </w:t>
            </w:r>
          </w:p>
        </w:tc>
      </w:tr>
      <w:tr w14:paraId="2E23D8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258606E4">
            <w:pPr>
              <w:pStyle w:val="41"/>
              <w:rPr>
                <w:color w:val="auto"/>
                <w:highlight w:val="none"/>
              </w:rPr>
            </w:pPr>
            <w:r>
              <w:rPr>
                <w:color w:val="auto"/>
                <w:highlight w:val="none"/>
              </w:rPr>
              <w:t>67</w:t>
            </w:r>
          </w:p>
        </w:tc>
        <w:tc>
          <w:tcPr>
            <w:tcW w:w="1254" w:type="dxa"/>
            <w:noWrap/>
            <w:vAlign w:val="center"/>
          </w:tcPr>
          <w:p w14:paraId="21C31227">
            <w:pPr>
              <w:pStyle w:val="41"/>
              <w:rPr>
                <w:color w:val="auto"/>
                <w:highlight w:val="none"/>
              </w:rPr>
            </w:pPr>
            <w:r>
              <w:rPr>
                <w:color w:val="auto"/>
                <w:highlight w:val="none"/>
              </w:rPr>
              <w:t>1625</w:t>
            </w:r>
          </w:p>
        </w:tc>
        <w:tc>
          <w:tcPr>
            <w:tcW w:w="1532" w:type="dxa"/>
            <w:noWrap/>
            <w:vAlign w:val="center"/>
          </w:tcPr>
          <w:p w14:paraId="539C13EB">
            <w:pPr>
              <w:pStyle w:val="41"/>
              <w:rPr>
                <w:color w:val="auto"/>
                <w:highlight w:val="none"/>
              </w:rPr>
            </w:pPr>
            <w:r>
              <w:rPr>
                <w:color w:val="auto"/>
                <w:highlight w:val="none"/>
              </w:rPr>
              <w:t>0.001291</w:t>
            </w:r>
          </w:p>
        </w:tc>
        <w:tc>
          <w:tcPr>
            <w:tcW w:w="946" w:type="dxa"/>
            <w:noWrap/>
            <w:vAlign w:val="center"/>
          </w:tcPr>
          <w:p w14:paraId="25B50F97">
            <w:pPr>
              <w:pStyle w:val="41"/>
              <w:rPr>
                <w:color w:val="auto"/>
                <w:highlight w:val="none"/>
              </w:rPr>
            </w:pPr>
            <w:r>
              <w:rPr>
                <w:color w:val="auto"/>
                <w:highlight w:val="none"/>
              </w:rPr>
              <w:t xml:space="preserve">0.29 </w:t>
            </w:r>
          </w:p>
        </w:tc>
      </w:tr>
      <w:tr w14:paraId="618355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30465B29">
            <w:pPr>
              <w:pStyle w:val="41"/>
              <w:rPr>
                <w:color w:val="auto"/>
                <w:highlight w:val="none"/>
              </w:rPr>
            </w:pPr>
            <w:r>
              <w:rPr>
                <w:color w:val="auto"/>
                <w:highlight w:val="none"/>
              </w:rPr>
              <w:t>68</w:t>
            </w:r>
          </w:p>
        </w:tc>
        <w:tc>
          <w:tcPr>
            <w:tcW w:w="1254" w:type="dxa"/>
            <w:noWrap/>
            <w:vAlign w:val="center"/>
          </w:tcPr>
          <w:p w14:paraId="162403EC">
            <w:pPr>
              <w:pStyle w:val="41"/>
              <w:rPr>
                <w:color w:val="auto"/>
                <w:highlight w:val="none"/>
              </w:rPr>
            </w:pPr>
            <w:r>
              <w:rPr>
                <w:color w:val="auto"/>
                <w:highlight w:val="none"/>
              </w:rPr>
              <w:t>1650</w:t>
            </w:r>
          </w:p>
        </w:tc>
        <w:tc>
          <w:tcPr>
            <w:tcW w:w="1532" w:type="dxa"/>
            <w:noWrap/>
            <w:vAlign w:val="center"/>
          </w:tcPr>
          <w:p w14:paraId="7EB727E8">
            <w:pPr>
              <w:pStyle w:val="41"/>
              <w:rPr>
                <w:color w:val="auto"/>
                <w:highlight w:val="none"/>
              </w:rPr>
            </w:pPr>
            <w:r>
              <w:rPr>
                <w:color w:val="auto"/>
                <w:highlight w:val="none"/>
              </w:rPr>
              <w:t>0.001286</w:t>
            </w:r>
          </w:p>
        </w:tc>
        <w:tc>
          <w:tcPr>
            <w:tcW w:w="946" w:type="dxa"/>
            <w:noWrap/>
            <w:vAlign w:val="center"/>
          </w:tcPr>
          <w:p w14:paraId="5382F1CE">
            <w:pPr>
              <w:pStyle w:val="41"/>
              <w:rPr>
                <w:color w:val="auto"/>
                <w:highlight w:val="none"/>
              </w:rPr>
            </w:pPr>
            <w:r>
              <w:rPr>
                <w:color w:val="auto"/>
                <w:highlight w:val="none"/>
              </w:rPr>
              <w:t xml:space="preserve">0.29 </w:t>
            </w:r>
          </w:p>
        </w:tc>
      </w:tr>
      <w:tr w14:paraId="69ECF5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0681B397">
            <w:pPr>
              <w:pStyle w:val="41"/>
              <w:rPr>
                <w:color w:val="auto"/>
                <w:highlight w:val="none"/>
              </w:rPr>
            </w:pPr>
            <w:r>
              <w:rPr>
                <w:color w:val="auto"/>
                <w:highlight w:val="none"/>
              </w:rPr>
              <w:t>69</w:t>
            </w:r>
          </w:p>
        </w:tc>
        <w:tc>
          <w:tcPr>
            <w:tcW w:w="1254" w:type="dxa"/>
            <w:noWrap/>
            <w:vAlign w:val="center"/>
          </w:tcPr>
          <w:p w14:paraId="38D35317">
            <w:pPr>
              <w:pStyle w:val="41"/>
              <w:rPr>
                <w:color w:val="auto"/>
                <w:highlight w:val="none"/>
              </w:rPr>
            </w:pPr>
            <w:r>
              <w:rPr>
                <w:color w:val="auto"/>
                <w:highlight w:val="none"/>
              </w:rPr>
              <w:t>1675</w:t>
            </w:r>
          </w:p>
        </w:tc>
        <w:tc>
          <w:tcPr>
            <w:tcW w:w="1532" w:type="dxa"/>
            <w:noWrap/>
            <w:vAlign w:val="center"/>
          </w:tcPr>
          <w:p w14:paraId="1E276BC7">
            <w:pPr>
              <w:pStyle w:val="41"/>
              <w:rPr>
                <w:color w:val="auto"/>
                <w:highlight w:val="none"/>
              </w:rPr>
            </w:pPr>
            <w:r>
              <w:rPr>
                <w:color w:val="auto"/>
                <w:highlight w:val="none"/>
              </w:rPr>
              <w:t>0.001282</w:t>
            </w:r>
          </w:p>
        </w:tc>
        <w:tc>
          <w:tcPr>
            <w:tcW w:w="946" w:type="dxa"/>
            <w:noWrap/>
            <w:vAlign w:val="center"/>
          </w:tcPr>
          <w:p w14:paraId="695E83A3">
            <w:pPr>
              <w:pStyle w:val="41"/>
              <w:rPr>
                <w:color w:val="auto"/>
                <w:highlight w:val="none"/>
              </w:rPr>
            </w:pPr>
            <w:r>
              <w:rPr>
                <w:color w:val="auto"/>
                <w:highlight w:val="none"/>
              </w:rPr>
              <w:t xml:space="preserve">0.28 </w:t>
            </w:r>
          </w:p>
        </w:tc>
      </w:tr>
      <w:tr w14:paraId="13A92F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283" w:hRule="atLeast"/>
        </w:trPr>
        <w:tc>
          <w:tcPr>
            <w:tcW w:w="321" w:type="pct"/>
            <w:noWrap/>
            <w:vAlign w:val="center"/>
          </w:tcPr>
          <w:p w14:paraId="42A48781">
            <w:pPr>
              <w:pStyle w:val="41"/>
              <w:rPr>
                <w:color w:val="auto"/>
                <w:highlight w:val="none"/>
              </w:rPr>
            </w:pPr>
            <w:r>
              <w:rPr>
                <w:color w:val="auto"/>
                <w:highlight w:val="none"/>
              </w:rPr>
              <w:t>70</w:t>
            </w:r>
          </w:p>
        </w:tc>
        <w:tc>
          <w:tcPr>
            <w:tcW w:w="1254" w:type="dxa"/>
            <w:noWrap/>
            <w:vAlign w:val="center"/>
          </w:tcPr>
          <w:p w14:paraId="3CEF2EFD">
            <w:pPr>
              <w:pStyle w:val="41"/>
              <w:rPr>
                <w:color w:val="auto"/>
                <w:highlight w:val="none"/>
              </w:rPr>
            </w:pPr>
            <w:r>
              <w:rPr>
                <w:color w:val="auto"/>
                <w:highlight w:val="none"/>
              </w:rPr>
              <w:t>1700</w:t>
            </w:r>
          </w:p>
        </w:tc>
        <w:tc>
          <w:tcPr>
            <w:tcW w:w="1532" w:type="dxa"/>
            <w:noWrap/>
            <w:vAlign w:val="center"/>
          </w:tcPr>
          <w:p w14:paraId="3EEA728E">
            <w:pPr>
              <w:pStyle w:val="41"/>
              <w:rPr>
                <w:color w:val="auto"/>
                <w:highlight w:val="none"/>
              </w:rPr>
            </w:pPr>
            <w:r>
              <w:rPr>
                <w:color w:val="auto"/>
                <w:highlight w:val="none"/>
              </w:rPr>
              <w:t>0.001277</w:t>
            </w:r>
          </w:p>
        </w:tc>
        <w:tc>
          <w:tcPr>
            <w:tcW w:w="946" w:type="dxa"/>
            <w:noWrap/>
            <w:vAlign w:val="center"/>
          </w:tcPr>
          <w:p w14:paraId="433998D6">
            <w:pPr>
              <w:pStyle w:val="41"/>
              <w:rPr>
                <w:color w:val="auto"/>
                <w:highlight w:val="none"/>
              </w:rPr>
            </w:pPr>
            <w:r>
              <w:rPr>
                <w:color w:val="auto"/>
                <w:highlight w:val="none"/>
              </w:rPr>
              <w:t xml:space="preserve">0.28 </w:t>
            </w:r>
          </w:p>
        </w:tc>
      </w:tr>
      <w:tr w14:paraId="58E351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5C8188E2">
            <w:pPr>
              <w:pStyle w:val="41"/>
              <w:rPr>
                <w:color w:val="auto"/>
                <w:highlight w:val="none"/>
              </w:rPr>
            </w:pPr>
            <w:r>
              <w:rPr>
                <w:color w:val="auto"/>
                <w:highlight w:val="none"/>
              </w:rPr>
              <w:t>71</w:t>
            </w:r>
          </w:p>
        </w:tc>
        <w:tc>
          <w:tcPr>
            <w:tcW w:w="1254" w:type="dxa"/>
            <w:noWrap/>
            <w:vAlign w:val="center"/>
          </w:tcPr>
          <w:p w14:paraId="706D3106">
            <w:pPr>
              <w:pStyle w:val="41"/>
              <w:rPr>
                <w:color w:val="auto"/>
                <w:highlight w:val="none"/>
              </w:rPr>
            </w:pPr>
            <w:r>
              <w:rPr>
                <w:color w:val="auto"/>
                <w:highlight w:val="none"/>
              </w:rPr>
              <w:t>1725</w:t>
            </w:r>
          </w:p>
        </w:tc>
        <w:tc>
          <w:tcPr>
            <w:tcW w:w="1532" w:type="dxa"/>
            <w:noWrap/>
            <w:vAlign w:val="center"/>
          </w:tcPr>
          <w:p w14:paraId="27FE94BD">
            <w:pPr>
              <w:pStyle w:val="41"/>
              <w:rPr>
                <w:color w:val="auto"/>
                <w:highlight w:val="none"/>
              </w:rPr>
            </w:pPr>
            <w:r>
              <w:rPr>
                <w:color w:val="auto"/>
                <w:highlight w:val="none"/>
              </w:rPr>
              <w:t>0.001272</w:t>
            </w:r>
          </w:p>
        </w:tc>
        <w:tc>
          <w:tcPr>
            <w:tcW w:w="946" w:type="dxa"/>
            <w:noWrap/>
            <w:vAlign w:val="center"/>
          </w:tcPr>
          <w:p w14:paraId="6C9CDD51">
            <w:pPr>
              <w:pStyle w:val="41"/>
              <w:rPr>
                <w:color w:val="auto"/>
                <w:highlight w:val="none"/>
              </w:rPr>
            </w:pPr>
            <w:r>
              <w:rPr>
                <w:color w:val="auto"/>
                <w:highlight w:val="none"/>
              </w:rPr>
              <w:t xml:space="preserve">0.28 </w:t>
            </w:r>
          </w:p>
        </w:tc>
      </w:tr>
      <w:tr w14:paraId="3592EB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23B1FD84">
            <w:pPr>
              <w:pStyle w:val="41"/>
              <w:rPr>
                <w:color w:val="auto"/>
                <w:highlight w:val="none"/>
              </w:rPr>
            </w:pPr>
            <w:r>
              <w:rPr>
                <w:color w:val="auto"/>
                <w:highlight w:val="none"/>
              </w:rPr>
              <w:t>72</w:t>
            </w:r>
          </w:p>
        </w:tc>
        <w:tc>
          <w:tcPr>
            <w:tcW w:w="1254" w:type="dxa"/>
            <w:noWrap/>
            <w:vAlign w:val="center"/>
          </w:tcPr>
          <w:p w14:paraId="7E5779EE">
            <w:pPr>
              <w:pStyle w:val="41"/>
              <w:rPr>
                <w:color w:val="auto"/>
                <w:highlight w:val="none"/>
              </w:rPr>
            </w:pPr>
            <w:r>
              <w:rPr>
                <w:color w:val="auto"/>
                <w:highlight w:val="none"/>
              </w:rPr>
              <w:t>1750</w:t>
            </w:r>
          </w:p>
        </w:tc>
        <w:tc>
          <w:tcPr>
            <w:tcW w:w="1532" w:type="dxa"/>
            <w:noWrap/>
            <w:vAlign w:val="center"/>
          </w:tcPr>
          <w:p w14:paraId="7CED9C83">
            <w:pPr>
              <w:pStyle w:val="41"/>
              <w:rPr>
                <w:color w:val="auto"/>
                <w:highlight w:val="none"/>
              </w:rPr>
            </w:pPr>
            <w:r>
              <w:rPr>
                <w:color w:val="auto"/>
                <w:highlight w:val="none"/>
              </w:rPr>
              <w:t>0.001267</w:t>
            </w:r>
          </w:p>
        </w:tc>
        <w:tc>
          <w:tcPr>
            <w:tcW w:w="946" w:type="dxa"/>
            <w:noWrap/>
            <w:vAlign w:val="center"/>
          </w:tcPr>
          <w:p w14:paraId="429A53F0">
            <w:pPr>
              <w:pStyle w:val="41"/>
              <w:rPr>
                <w:color w:val="auto"/>
                <w:highlight w:val="none"/>
              </w:rPr>
            </w:pPr>
            <w:r>
              <w:rPr>
                <w:color w:val="auto"/>
                <w:highlight w:val="none"/>
              </w:rPr>
              <w:t xml:space="preserve">0.28 </w:t>
            </w:r>
          </w:p>
        </w:tc>
      </w:tr>
      <w:tr w14:paraId="6F9C60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60704B2A">
            <w:pPr>
              <w:pStyle w:val="41"/>
              <w:rPr>
                <w:color w:val="auto"/>
                <w:highlight w:val="none"/>
              </w:rPr>
            </w:pPr>
            <w:r>
              <w:rPr>
                <w:color w:val="auto"/>
                <w:highlight w:val="none"/>
              </w:rPr>
              <w:t>73</w:t>
            </w:r>
          </w:p>
        </w:tc>
        <w:tc>
          <w:tcPr>
            <w:tcW w:w="1254" w:type="dxa"/>
            <w:noWrap/>
            <w:vAlign w:val="center"/>
          </w:tcPr>
          <w:p w14:paraId="4F007315">
            <w:pPr>
              <w:pStyle w:val="41"/>
              <w:rPr>
                <w:color w:val="auto"/>
                <w:highlight w:val="none"/>
              </w:rPr>
            </w:pPr>
            <w:r>
              <w:rPr>
                <w:color w:val="auto"/>
                <w:highlight w:val="none"/>
              </w:rPr>
              <w:t>1775</w:t>
            </w:r>
          </w:p>
        </w:tc>
        <w:tc>
          <w:tcPr>
            <w:tcW w:w="1532" w:type="dxa"/>
            <w:noWrap/>
            <w:vAlign w:val="center"/>
          </w:tcPr>
          <w:p w14:paraId="5F4BCAE3">
            <w:pPr>
              <w:pStyle w:val="41"/>
              <w:rPr>
                <w:color w:val="auto"/>
                <w:highlight w:val="none"/>
              </w:rPr>
            </w:pPr>
            <w:r>
              <w:rPr>
                <w:color w:val="auto"/>
                <w:highlight w:val="none"/>
              </w:rPr>
              <w:t>0.001261</w:t>
            </w:r>
          </w:p>
        </w:tc>
        <w:tc>
          <w:tcPr>
            <w:tcW w:w="946" w:type="dxa"/>
            <w:noWrap/>
            <w:vAlign w:val="center"/>
          </w:tcPr>
          <w:p w14:paraId="79B353A2">
            <w:pPr>
              <w:pStyle w:val="41"/>
              <w:rPr>
                <w:color w:val="auto"/>
                <w:highlight w:val="none"/>
              </w:rPr>
            </w:pPr>
            <w:r>
              <w:rPr>
                <w:color w:val="auto"/>
                <w:highlight w:val="none"/>
              </w:rPr>
              <w:t xml:space="preserve">0.28 </w:t>
            </w:r>
          </w:p>
        </w:tc>
      </w:tr>
      <w:tr w14:paraId="514FA7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5D3457E8">
            <w:pPr>
              <w:pStyle w:val="41"/>
              <w:rPr>
                <w:color w:val="auto"/>
                <w:highlight w:val="none"/>
              </w:rPr>
            </w:pPr>
            <w:r>
              <w:rPr>
                <w:color w:val="auto"/>
                <w:highlight w:val="none"/>
              </w:rPr>
              <w:t>74</w:t>
            </w:r>
          </w:p>
        </w:tc>
        <w:tc>
          <w:tcPr>
            <w:tcW w:w="1254" w:type="dxa"/>
            <w:noWrap/>
            <w:vAlign w:val="center"/>
          </w:tcPr>
          <w:p w14:paraId="3C1D4183">
            <w:pPr>
              <w:pStyle w:val="41"/>
              <w:rPr>
                <w:color w:val="auto"/>
                <w:highlight w:val="none"/>
              </w:rPr>
            </w:pPr>
            <w:r>
              <w:rPr>
                <w:color w:val="auto"/>
                <w:highlight w:val="none"/>
              </w:rPr>
              <w:t>1800</w:t>
            </w:r>
          </w:p>
        </w:tc>
        <w:tc>
          <w:tcPr>
            <w:tcW w:w="1532" w:type="dxa"/>
            <w:noWrap/>
            <w:vAlign w:val="center"/>
          </w:tcPr>
          <w:p w14:paraId="49671D73">
            <w:pPr>
              <w:pStyle w:val="41"/>
              <w:rPr>
                <w:color w:val="auto"/>
                <w:highlight w:val="none"/>
              </w:rPr>
            </w:pPr>
            <w:r>
              <w:rPr>
                <w:color w:val="auto"/>
                <w:highlight w:val="none"/>
              </w:rPr>
              <w:t>0.001255</w:t>
            </w:r>
          </w:p>
        </w:tc>
        <w:tc>
          <w:tcPr>
            <w:tcW w:w="946" w:type="dxa"/>
            <w:noWrap/>
            <w:vAlign w:val="center"/>
          </w:tcPr>
          <w:p w14:paraId="13E19CF9">
            <w:pPr>
              <w:pStyle w:val="41"/>
              <w:rPr>
                <w:color w:val="auto"/>
                <w:highlight w:val="none"/>
              </w:rPr>
            </w:pPr>
            <w:r>
              <w:rPr>
                <w:color w:val="auto"/>
                <w:highlight w:val="none"/>
              </w:rPr>
              <w:t xml:space="preserve">0.28 </w:t>
            </w:r>
          </w:p>
        </w:tc>
      </w:tr>
      <w:tr w14:paraId="06963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77E9A355">
            <w:pPr>
              <w:pStyle w:val="41"/>
              <w:rPr>
                <w:color w:val="auto"/>
                <w:highlight w:val="none"/>
              </w:rPr>
            </w:pPr>
            <w:r>
              <w:rPr>
                <w:color w:val="auto"/>
                <w:highlight w:val="none"/>
              </w:rPr>
              <w:t>75</w:t>
            </w:r>
          </w:p>
        </w:tc>
        <w:tc>
          <w:tcPr>
            <w:tcW w:w="1254" w:type="dxa"/>
            <w:noWrap/>
            <w:vAlign w:val="center"/>
          </w:tcPr>
          <w:p w14:paraId="592BE039">
            <w:pPr>
              <w:pStyle w:val="41"/>
              <w:rPr>
                <w:color w:val="auto"/>
                <w:highlight w:val="none"/>
              </w:rPr>
            </w:pPr>
            <w:r>
              <w:rPr>
                <w:color w:val="auto"/>
                <w:highlight w:val="none"/>
              </w:rPr>
              <w:t>1825</w:t>
            </w:r>
          </w:p>
        </w:tc>
        <w:tc>
          <w:tcPr>
            <w:tcW w:w="1532" w:type="dxa"/>
            <w:noWrap/>
            <w:vAlign w:val="center"/>
          </w:tcPr>
          <w:p w14:paraId="0345DDBA">
            <w:pPr>
              <w:pStyle w:val="41"/>
              <w:rPr>
                <w:color w:val="auto"/>
                <w:highlight w:val="none"/>
              </w:rPr>
            </w:pPr>
            <w:r>
              <w:rPr>
                <w:color w:val="auto"/>
                <w:highlight w:val="none"/>
              </w:rPr>
              <w:t>0.001249</w:t>
            </w:r>
          </w:p>
        </w:tc>
        <w:tc>
          <w:tcPr>
            <w:tcW w:w="946" w:type="dxa"/>
            <w:noWrap/>
            <w:vAlign w:val="center"/>
          </w:tcPr>
          <w:p w14:paraId="2A57D514">
            <w:pPr>
              <w:pStyle w:val="41"/>
              <w:rPr>
                <w:color w:val="auto"/>
                <w:highlight w:val="none"/>
              </w:rPr>
            </w:pPr>
            <w:r>
              <w:rPr>
                <w:color w:val="auto"/>
                <w:highlight w:val="none"/>
              </w:rPr>
              <w:t xml:space="preserve">0.28 </w:t>
            </w:r>
          </w:p>
        </w:tc>
      </w:tr>
      <w:tr w14:paraId="4FC5BD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BA4CD77">
            <w:pPr>
              <w:pStyle w:val="41"/>
              <w:rPr>
                <w:color w:val="auto"/>
                <w:highlight w:val="none"/>
              </w:rPr>
            </w:pPr>
            <w:r>
              <w:rPr>
                <w:color w:val="auto"/>
                <w:highlight w:val="none"/>
              </w:rPr>
              <w:t>76</w:t>
            </w:r>
          </w:p>
        </w:tc>
        <w:tc>
          <w:tcPr>
            <w:tcW w:w="1254" w:type="dxa"/>
            <w:noWrap/>
            <w:vAlign w:val="center"/>
          </w:tcPr>
          <w:p w14:paraId="0C6B3D47">
            <w:pPr>
              <w:pStyle w:val="41"/>
              <w:rPr>
                <w:color w:val="auto"/>
                <w:highlight w:val="none"/>
              </w:rPr>
            </w:pPr>
            <w:r>
              <w:rPr>
                <w:color w:val="auto"/>
                <w:highlight w:val="none"/>
              </w:rPr>
              <w:t>1850</w:t>
            </w:r>
          </w:p>
        </w:tc>
        <w:tc>
          <w:tcPr>
            <w:tcW w:w="1532" w:type="dxa"/>
            <w:noWrap/>
            <w:vAlign w:val="center"/>
          </w:tcPr>
          <w:p w14:paraId="091A879E">
            <w:pPr>
              <w:pStyle w:val="41"/>
              <w:rPr>
                <w:color w:val="auto"/>
                <w:highlight w:val="none"/>
              </w:rPr>
            </w:pPr>
            <w:r>
              <w:rPr>
                <w:color w:val="auto"/>
                <w:highlight w:val="none"/>
              </w:rPr>
              <w:t>0.001243</w:t>
            </w:r>
          </w:p>
        </w:tc>
        <w:tc>
          <w:tcPr>
            <w:tcW w:w="946" w:type="dxa"/>
            <w:noWrap/>
            <w:vAlign w:val="center"/>
          </w:tcPr>
          <w:p w14:paraId="59D15C10">
            <w:pPr>
              <w:pStyle w:val="41"/>
              <w:rPr>
                <w:color w:val="auto"/>
                <w:highlight w:val="none"/>
              </w:rPr>
            </w:pPr>
            <w:r>
              <w:rPr>
                <w:color w:val="auto"/>
                <w:highlight w:val="none"/>
              </w:rPr>
              <w:t xml:space="preserve">0.28 </w:t>
            </w:r>
          </w:p>
        </w:tc>
      </w:tr>
      <w:tr w14:paraId="20789A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6FFD58D1">
            <w:pPr>
              <w:pStyle w:val="41"/>
              <w:rPr>
                <w:color w:val="auto"/>
                <w:highlight w:val="none"/>
              </w:rPr>
            </w:pPr>
            <w:r>
              <w:rPr>
                <w:color w:val="auto"/>
                <w:highlight w:val="none"/>
              </w:rPr>
              <w:t>77</w:t>
            </w:r>
          </w:p>
        </w:tc>
        <w:tc>
          <w:tcPr>
            <w:tcW w:w="1254" w:type="dxa"/>
            <w:noWrap/>
            <w:vAlign w:val="center"/>
          </w:tcPr>
          <w:p w14:paraId="65453C31">
            <w:pPr>
              <w:pStyle w:val="41"/>
              <w:rPr>
                <w:color w:val="auto"/>
                <w:highlight w:val="none"/>
              </w:rPr>
            </w:pPr>
            <w:r>
              <w:rPr>
                <w:color w:val="auto"/>
                <w:highlight w:val="none"/>
              </w:rPr>
              <w:t>1875</w:t>
            </w:r>
          </w:p>
        </w:tc>
        <w:tc>
          <w:tcPr>
            <w:tcW w:w="1532" w:type="dxa"/>
            <w:noWrap/>
            <w:vAlign w:val="center"/>
          </w:tcPr>
          <w:p w14:paraId="2C22FDCB">
            <w:pPr>
              <w:pStyle w:val="41"/>
              <w:rPr>
                <w:color w:val="auto"/>
                <w:highlight w:val="none"/>
              </w:rPr>
            </w:pPr>
            <w:r>
              <w:rPr>
                <w:color w:val="auto"/>
                <w:highlight w:val="none"/>
              </w:rPr>
              <w:t>0.001237</w:t>
            </w:r>
          </w:p>
        </w:tc>
        <w:tc>
          <w:tcPr>
            <w:tcW w:w="946" w:type="dxa"/>
            <w:noWrap/>
            <w:vAlign w:val="center"/>
          </w:tcPr>
          <w:p w14:paraId="556F0DFE">
            <w:pPr>
              <w:pStyle w:val="41"/>
              <w:rPr>
                <w:color w:val="auto"/>
                <w:highlight w:val="none"/>
              </w:rPr>
            </w:pPr>
            <w:r>
              <w:rPr>
                <w:color w:val="auto"/>
                <w:highlight w:val="none"/>
              </w:rPr>
              <w:t xml:space="preserve">0.27 </w:t>
            </w:r>
          </w:p>
        </w:tc>
      </w:tr>
      <w:tr w14:paraId="7133F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283" w:hRule="atLeast"/>
        </w:trPr>
        <w:tc>
          <w:tcPr>
            <w:tcW w:w="321" w:type="pct"/>
            <w:noWrap/>
            <w:vAlign w:val="center"/>
          </w:tcPr>
          <w:p w14:paraId="4DC8F035">
            <w:pPr>
              <w:pStyle w:val="41"/>
              <w:rPr>
                <w:color w:val="auto"/>
                <w:highlight w:val="none"/>
              </w:rPr>
            </w:pPr>
            <w:r>
              <w:rPr>
                <w:color w:val="auto"/>
                <w:highlight w:val="none"/>
              </w:rPr>
              <w:t>78</w:t>
            </w:r>
          </w:p>
        </w:tc>
        <w:tc>
          <w:tcPr>
            <w:tcW w:w="1254" w:type="dxa"/>
            <w:noWrap/>
            <w:vAlign w:val="center"/>
          </w:tcPr>
          <w:p w14:paraId="30B40C54">
            <w:pPr>
              <w:pStyle w:val="41"/>
              <w:rPr>
                <w:color w:val="auto"/>
                <w:highlight w:val="none"/>
              </w:rPr>
            </w:pPr>
            <w:r>
              <w:rPr>
                <w:color w:val="auto"/>
                <w:highlight w:val="none"/>
              </w:rPr>
              <w:t>1900</w:t>
            </w:r>
          </w:p>
        </w:tc>
        <w:tc>
          <w:tcPr>
            <w:tcW w:w="1532" w:type="dxa"/>
            <w:noWrap/>
            <w:vAlign w:val="center"/>
          </w:tcPr>
          <w:p w14:paraId="0649BBA6">
            <w:pPr>
              <w:pStyle w:val="41"/>
              <w:rPr>
                <w:color w:val="auto"/>
                <w:highlight w:val="none"/>
              </w:rPr>
            </w:pPr>
            <w:r>
              <w:rPr>
                <w:color w:val="auto"/>
                <w:highlight w:val="none"/>
              </w:rPr>
              <w:t>0.00123</w:t>
            </w:r>
          </w:p>
        </w:tc>
        <w:tc>
          <w:tcPr>
            <w:tcW w:w="946" w:type="dxa"/>
            <w:noWrap/>
            <w:vAlign w:val="center"/>
          </w:tcPr>
          <w:p w14:paraId="55B08D92">
            <w:pPr>
              <w:pStyle w:val="41"/>
              <w:rPr>
                <w:color w:val="auto"/>
                <w:highlight w:val="none"/>
              </w:rPr>
            </w:pPr>
            <w:r>
              <w:rPr>
                <w:color w:val="auto"/>
                <w:highlight w:val="none"/>
              </w:rPr>
              <w:t xml:space="preserve">0.27 </w:t>
            </w:r>
          </w:p>
        </w:tc>
      </w:tr>
      <w:tr w14:paraId="737BFD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70CC7428">
            <w:pPr>
              <w:pStyle w:val="41"/>
              <w:rPr>
                <w:color w:val="auto"/>
                <w:highlight w:val="none"/>
              </w:rPr>
            </w:pPr>
            <w:r>
              <w:rPr>
                <w:color w:val="auto"/>
                <w:highlight w:val="none"/>
              </w:rPr>
              <w:t>79</w:t>
            </w:r>
          </w:p>
        </w:tc>
        <w:tc>
          <w:tcPr>
            <w:tcW w:w="1254" w:type="dxa"/>
            <w:noWrap/>
            <w:vAlign w:val="center"/>
          </w:tcPr>
          <w:p w14:paraId="6E9126C7">
            <w:pPr>
              <w:pStyle w:val="41"/>
              <w:rPr>
                <w:color w:val="auto"/>
                <w:highlight w:val="none"/>
              </w:rPr>
            </w:pPr>
            <w:r>
              <w:rPr>
                <w:color w:val="auto"/>
                <w:highlight w:val="none"/>
              </w:rPr>
              <w:t>1925</w:t>
            </w:r>
          </w:p>
        </w:tc>
        <w:tc>
          <w:tcPr>
            <w:tcW w:w="1532" w:type="dxa"/>
            <w:noWrap/>
            <w:vAlign w:val="center"/>
          </w:tcPr>
          <w:p w14:paraId="5189910F">
            <w:pPr>
              <w:pStyle w:val="41"/>
              <w:rPr>
                <w:color w:val="auto"/>
                <w:highlight w:val="none"/>
              </w:rPr>
            </w:pPr>
            <w:r>
              <w:rPr>
                <w:color w:val="auto"/>
                <w:highlight w:val="none"/>
              </w:rPr>
              <w:t>0.001224</w:t>
            </w:r>
          </w:p>
        </w:tc>
        <w:tc>
          <w:tcPr>
            <w:tcW w:w="946" w:type="dxa"/>
            <w:noWrap/>
            <w:vAlign w:val="center"/>
          </w:tcPr>
          <w:p w14:paraId="258ED487">
            <w:pPr>
              <w:pStyle w:val="41"/>
              <w:rPr>
                <w:color w:val="auto"/>
                <w:highlight w:val="none"/>
              </w:rPr>
            </w:pPr>
            <w:r>
              <w:rPr>
                <w:color w:val="auto"/>
                <w:highlight w:val="none"/>
              </w:rPr>
              <w:t xml:space="preserve">0.27 </w:t>
            </w:r>
          </w:p>
        </w:tc>
      </w:tr>
      <w:tr w14:paraId="1F4EBC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76CB7633">
            <w:pPr>
              <w:pStyle w:val="41"/>
              <w:rPr>
                <w:color w:val="auto"/>
                <w:highlight w:val="none"/>
              </w:rPr>
            </w:pPr>
            <w:r>
              <w:rPr>
                <w:color w:val="auto"/>
                <w:highlight w:val="none"/>
              </w:rPr>
              <w:t>80</w:t>
            </w:r>
          </w:p>
        </w:tc>
        <w:tc>
          <w:tcPr>
            <w:tcW w:w="1254" w:type="dxa"/>
            <w:noWrap/>
            <w:vAlign w:val="center"/>
          </w:tcPr>
          <w:p w14:paraId="768271A5">
            <w:pPr>
              <w:pStyle w:val="41"/>
              <w:rPr>
                <w:color w:val="auto"/>
                <w:highlight w:val="none"/>
              </w:rPr>
            </w:pPr>
            <w:r>
              <w:rPr>
                <w:color w:val="auto"/>
                <w:highlight w:val="none"/>
              </w:rPr>
              <w:t>1950</w:t>
            </w:r>
          </w:p>
        </w:tc>
        <w:tc>
          <w:tcPr>
            <w:tcW w:w="1532" w:type="dxa"/>
            <w:noWrap/>
            <w:vAlign w:val="center"/>
          </w:tcPr>
          <w:p w14:paraId="054EAF2C">
            <w:pPr>
              <w:pStyle w:val="41"/>
              <w:rPr>
                <w:color w:val="auto"/>
                <w:highlight w:val="none"/>
              </w:rPr>
            </w:pPr>
            <w:r>
              <w:rPr>
                <w:color w:val="auto"/>
                <w:highlight w:val="none"/>
              </w:rPr>
              <w:t>0.001217</w:t>
            </w:r>
          </w:p>
        </w:tc>
        <w:tc>
          <w:tcPr>
            <w:tcW w:w="946" w:type="dxa"/>
            <w:noWrap/>
            <w:vAlign w:val="center"/>
          </w:tcPr>
          <w:p w14:paraId="36A2D193">
            <w:pPr>
              <w:pStyle w:val="41"/>
              <w:rPr>
                <w:color w:val="auto"/>
                <w:highlight w:val="none"/>
              </w:rPr>
            </w:pPr>
            <w:r>
              <w:rPr>
                <w:color w:val="auto"/>
                <w:highlight w:val="none"/>
              </w:rPr>
              <w:t xml:space="preserve">0.27 </w:t>
            </w:r>
          </w:p>
        </w:tc>
      </w:tr>
      <w:tr w14:paraId="3FD78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2AAD3054">
            <w:pPr>
              <w:pStyle w:val="41"/>
              <w:rPr>
                <w:color w:val="auto"/>
                <w:highlight w:val="none"/>
              </w:rPr>
            </w:pPr>
            <w:r>
              <w:rPr>
                <w:color w:val="auto"/>
                <w:highlight w:val="none"/>
              </w:rPr>
              <w:t>81</w:t>
            </w:r>
          </w:p>
        </w:tc>
        <w:tc>
          <w:tcPr>
            <w:tcW w:w="1254" w:type="dxa"/>
            <w:noWrap/>
            <w:vAlign w:val="center"/>
          </w:tcPr>
          <w:p w14:paraId="5123E107">
            <w:pPr>
              <w:pStyle w:val="41"/>
              <w:rPr>
                <w:color w:val="auto"/>
                <w:highlight w:val="none"/>
              </w:rPr>
            </w:pPr>
            <w:r>
              <w:rPr>
                <w:color w:val="auto"/>
                <w:highlight w:val="none"/>
              </w:rPr>
              <w:t>1975</w:t>
            </w:r>
          </w:p>
        </w:tc>
        <w:tc>
          <w:tcPr>
            <w:tcW w:w="1532" w:type="dxa"/>
            <w:noWrap/>
            <w:vAlign w:val="center"/>
          </w:tcPr>
          <w:p w14:paraId="687CB390">
            <w:pPr>
              <w:pStyle w:val="41"/>
              <w:rPr>
                <w:color w:val="auto"/>
                <w:highlight w:val="none"/>
              </w:rPr>
            </w:pPr>
            <w:r>
              <w:rPr>
                <w:color w:val="auto"/>
                <w:highlight w:val="none"/>
              </w:rPr>
              <w:t>0.00121</w:t>
            </w:r>
          </w:p>
        </w:tc>
        <w:tc>
          <w:tcPr>
            <w:tcW w:w="946" w:type="dxa"/>
            <w:noWrap/>
            <w:vAlign w:val="center"/>
          </w:tcPr>
          <w:p w14:paraId="13019C58">
            <w:pPr>
              <w:pStyle w:val="41"/>
              <w:rPr>
                <w:color w:val="auto"/>
                <w:highlight w:val="none"/>
              </w:rPr>
            </w:pPr>
            <w:r>
              <w:rPr>
                <w:color w:val="auto"/>
                <w:highlight w:val="none"/>
              </w:rPr>
              <w:t xml:space="preserve">0.27 </w:t>
            </w:r>
          </w:p>
        </w:tc>
      </w:tr>
      <w:tr w14:paraId="1AD479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4A6AA850">
            <w:pPr>
              <w:pStyle w:val="41"/>
              <w:rPr>
                <w:color w:val="auto"/>
                <w:highlight w:val="none"/>
              </w:rPr>
            </w:pPr>
            <w:r>
              <w:rPr>
                <w:color w:val="auto"/>
                <w:highlight w:val="none"/>
              </w:rPr>
              <w:t>82</w:t>
            </w:r>
          </w:p>
        </w:tc>
        <w:tc>
          <w:tcPr>
            <w:tcW w:w="1254" w:type="dxa"/>
            <w:noWrap/>
            <w:vAlign w:val="center"/>
          </w:tcPr>
          <w:p w14:paraId="78C7D768">
            <w:pPr>
              <w:pStyle w:val="41"/>
              <w:rPr>
                <w:color w:val="auto"/>
                <w:highlight w:val="none"/>
              </w:rPr>
            </w:pPr>
            <w:r>
              <w:rPr>
                <w:color w:val="auto"/>
                <w:highlight w:val="none"/>
              </w:rPr>
              <w:t>2000</w:t>
            </w:r>
          </w:p>
        </w:tc>
        <w:tc>
          <w:tcPr>
            <w:tcW w:w="1532" w:type="dxa"/>
            <w:noWrap/>
            <w:vAlign w:val="center"/>
          </w:tcPr>
          <w:p w14:paraId="259FA286">
            <w:pPr>
              <w:pStyle w:val="41"/>
              <w:rPr>
                <w:color w:val="auto"/>
                <w:highlight w:val="none"/>
              </w:rPr>
            </w:pPr>
            <w:r>
              <w:rPr>
                <w:color w:val="auto"/>
                <w:highlight w:val="none"/>
              </w:rPr>
              <w:t>0.001203</w:t>
            </w:r>
          </w:p>
        </w:tc>
        <w:tc>
          <w:tcPr>
            <w:tcW w:w="946" w:type="dxa"/>
            <w:noWrap/>
            <w:vAlign w:val="center"/>
          </w:tcPr>
          <w:p w14:paraId="782ABE53">
            <w:pPr>
              <w:pStyle w:val="41"/>
              <w:rPr>
                <w:color w:val="auto"/>
                <w:highlight w:val="none"/>
              </w:rPr>
            </w:pPr>
            <w:r>
              <w:rPr>
                <w:color w:val="auto"/>
                <w:highlight w:val="none"/>
              </w:rPr>
              <w:t xml:space="preserve">0.27 </w:t>
            </w:r>
          </w:p>
        </w:tc>
      </w:tr>
      <w:tr w14:paraId="7E4146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6448ED51">
            <w:pPr>
              <w:pStyle w:val="41"/>
              <w:rPr>
                <w:color w:val="auto"/>
                <w:highlight w:val="none"/>
              </w:rPr>
            </w:pPr>
            <w:r>
              <w:rPr>
                <w:color w:val="auto"/>
                <w:highlight w:val="none"/>
              </w:rPr>
              <w:t>83</w:t>
            </w:r>
          </w:p>
        </w:tc>
        <w:tc>
          <w:tcPr>
            <w:tcW w:w="1254" w:type="dxa"/>
            <w:noWrap/>
            <w:vAlign w:val="center"/>
          </w:tcPr>
          <w:p w14:paraId="5CC5325D">
            <w:pPr>
              <w:pStyle w:val="41"/>
              <w:rPr>
                <w:color w:val="auto"/>
                <w:highlight w:val="none"/>
              </w:rPr>
            </w:pPr>
            <w:r>
              <w:rPr>
                <w:color w:val="auto"/>
                <w:highlight w:val="none"/>
              </w:rPr>
              <w:t>2025</w:t>
            </w:r>
          </w:p>
        </w:tc>
        <w:tc>
          <w:tcPr>
            <w:tcW w:w="1532" w:type="dxa"/>
            <w:noWrap/>
            <w:vAlign w:val="center"/>
          </w:tcPr>
          <w:p w14:paraId="1429EFE1">
            <w:pPr>
              <w:pStyle w:val="41"/>
              <w:rPr>
                <w:color w:val="auto"/>
                <w:highlight w:val="none"/>
              </w:rPr>
            </w:pPr>
            <w:r>
              <w:rPr>
                <w:color w:val="auto"/>
                <w:highlight w:val="none"/>
              </w:rPr>
              <w:t>0.001196</w:t>
            </w:r>
          </w:p>
        </w:tc>
        <w:tc>
          <w:tcPr>
            <w:tcW w:w="946" w:type="dxa"/>
            <w:noWrap/>
            <w:vAlign w:val="center"/>
          </w:tcPr>
          <w:p w14:paraId="27E45944">
            <w:pPr>
              <w:pStyle w:val="41"/>
              <w:rPr>
                <w:color w:val="auto"/>
                <w:highlight w:val="none"/>
              </w:rPr>
            </w:pPr>
            <w:r>
              <w:rPr>
                <w:color w:val="auto"/>
                <w:highlight w:val="none"/>
              </w:rPr>
              <w:t xml:space="preserve">0.27 </w:t>
            </w:r>
          </w:p>
        </w:tc>
      </w:tr>
      <w:tr w14:paraId="411E23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294C5397">
            <w:pPr>
              <w:pStyle w:val="41"/>
              <w:rPr>
                <w:color w:val="auto"/>
                <w:highlight w:val="none"/>
              </w:rPr>
            </w:pPr>
            <w:r>
              <w:rPr>
                <w:color w:val="auto"/>
                <w:highlight w:val="none"/>
              </w:rPr>
              <w:t>84</w:t>
            </w:r>
          </w:p>
        </w:tc>
        <w:tc>
          <w:tcPr>
            <w:tcW w:w="1254" w:type="dxa"/>
            <w:noWrap/>
            <w:vAlign w:val="center"/>
          </w:tcPr>
          <w:p w14:paraId="702F8405">
            <w:pPr>
              <w:pStyle w:val="41"/>
              <w:rPr>
                <w:color w:val="auto"/>
                <w:highlight w:val="none"/>
              </w:rPr>
            </w:pPr>
            <w:r>
              <w:rPr>
                <w:color w:val="auto"/>
                <w:highlight w:val="none"/>
              </w:rPr>
              <w:t>2050</w:t>
            </w:r>
          </w:p>
        </w:tc>
        <w:tc>
          <w:tcPr>
            <w:tcW w:w="1532" w:type="dxa"/>
            <w:noWrap/>
            <w:vAlign w:val="center"/>
          </w:tcPr>
          <w:p w14:paraId="69E8AE8C">
            <w:pPr>
              <w:pStyle w:val="41"/>
              <w:rPr>
                <w:color w:val="auto"/>
                <w:highlight w:val="none"/>
              </w:rPr>
            </w:pPr>
            <w:r>
              <w:rPr>
                <w:color w:val="auto"/>
                <w:highlight w:val="none"/>
              </w:rPr>
              <w:t>0.001189</w:t>
            </w:r>
          </w:p>
        </w:tc>
        <w:tc>
          <w:tcPr>
            <w:tcW w:w="946" w:type="dxa"/>
            <w:noWrap/>
            <w:vAlign w:val="center"/>
          </w:tcPr>
          <w:p w14:paraId="1E7D1F15">
            <w:pPr>
              <w:pStyle w:val="41"/>
              <w:rPr>
                <w:color w:val="auto"/>
                <w:highlight w:val="none"/>
              </w:rPr>
            </w:pPr>
            <w:r>
              <w:rPr>
                <w:color w:val="auto"/>
                <w:highlight w:val="none"/>
              </w:rPr>
              <w:t xml:space="preserve">0.26 </w:t>
            </w:r>
          </w:p>
        </w:tc>
      </w:tr>
      <w:tr w14:paraId="37C5AD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3C459CAD">
            <w:pPr>
              <w:pStyle w:val="41"/>
              <w:rPr>
                <w:color w:val="auto"/>
                <w:highlight w:val="none"/>
              </w:rPr>
            </w:pPr>
            <w:r>
              <w:rPr>
                <w:color w:val="auto"/>
                <w:highlight w:val="none"/>
              </w:rPr>
              <w:t>85</w:t>
            </w:r>
          </w:p>
        </w:tc>
        <w:tc>
          <w:tcPr>
            <w:tcW w:w="1254" w:type="dxa"/>
            <w:noWrap/>
            <w:vAlign w:val="center"/>
          </w:tcPr>
          <w:p w14:paraId="5598803F">
            <w:pPr>
              <w:pStyle w:val="41"/>
              <w:rPr>
                <w:color w:val="auto"/>
                <w:highlight w:val="none"/>
              </w:rPr>
            </w:pPr>
            <w:r>
              <w:rPr>
                <w:color w:val="auto"/>
                <w:highlight w:val="none"/>
              </w:rPr>
              <w:t>2075</w:t>
            </w:r>
          </w:p>
        </w:tc>
        <w:tc>
          <w:tcPr>
            <w:tcW w:w="1532" w:type="dxa"/>
            <w:noWrap/>
            <w:vAlign w:val="center"/>
          </w:tcPr>
          <w:p w14:paraId="567CE433">
            <w:pPr>
              <w:pStyle w:val="41"/>
              <w:rPr>
                <w:color w:val="auto"/>
                <w:highlight w:val="none"/>
              </w:rPr>
            </w:pPr>
            <w:r>
              <w:rPr>
                <w:color w:val="auto"/>
                <w:highlight w:val="none"/>
              </w:rPr>
              <w:t>0.001182</w:t>
            </w:r>
          </w:p>
        </w:tc>
        <w:tc>
          <w:tcPr>
            <w:tcW w:w="946" w:type="dxa"/>
            <w:noWrap/>
            <w:vAlign w:val="center"/>
          </w:tcPr>
          <w:p w14:paraId="104B6746">
            <w:pPr>
              <w:pStyle w:val="41"/>
              <w:rPr>
                <w:color w:val="auto"/>
                <w:highlight w:val="none"/>
              </w:rPr>
            </w:pPr>
            <w:r>
              <w:rPr>
                <w:color w:val="auto"/>
                <w:highlight w:val="none"/>
              </w:rPr>
              <w:t xml:space="preserve">0.26 </w:t>
            </w:r>
          </w:p>
        </w:tc>
      </w:tr>
      <w:tr w14:paraId="4C8DDE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35A7062D">
            <w:pPr>
              <w:pStyle w:val="41"/>
              <w:rPr>
                <w:color w:val="auto"/>
                <w:highlight w:val="none"/>
              </w:rPr>
            </w:pPr>
            <w:r>
              <w:rPr>
                <w:color w:val="auto"/>
                <w:highlight w:val="none"/>
              </w:rPr>
              <w:t>86</w:t>
            </w:r>
          </w:p>
        </w:tc>
        <w:tc>
          <w:tcPr>
            <w:tcW w:w="1254" w:type="dxa"/>
            <w:noWrap/>
            <w:vAlign w:val="center"/>
          </w:tcPr>
          <w:p w14:paraId="63A4B002">
            <w:pPr>
              <w:pStyle w:val="41"/>
              <w:rPr>
                <w:color w:val="auto"/>
                <w:highlight w:val="none"/>
              </w:rPr>
            </w:pPr>
            <w:r>
              <w:rPr>
                <w:color w:val="auto"/>
                <w:highlight w:val="none"/>
              </w:rPr>
              <w:t>2100</w:t>
            </w:r>
          </w:p>
        </w:tc>
        <w:tc>
          <w:tcPr>
            <w:tcW w:w="1532" w:type="dxa"/>
            <w:noWrap/>
            <w:vAlign w:val="center"/>
          </w:tcPr>
          <w:p w14:paraId="40011764">
            <w:pPr>
              <w:pStyle w:val="41"/>
              <w:rPr>
                <w:color w:val="auto"/>
                <w:highlight w:val="none"/>
              </w:rPr>
            </w:pPr>
            <w:r>
              <w:rPr>
                <w:color w:val="auto"/>
                <w:highlight w:val="none"/>
              </w:rPr>
              <w:t>0.001174</w:t>
            </w:r>
          </w:p>
        </w:tc>
        <w:tc>
          <w:tcPr>
            <w:tcW w:w="946" w:type="dxa"/>
            <w:noWrap/>
            <w:vAlign w:val="center"/>
          </w:tcPr>
          <w:p w14:paraId="04EB28EE">
            <w:pPr>
              <w:pStyle w:val="41"/>
              <w:rPr>
                <w:color w:val="auto"/>
                <w:highlight w:val="none"/>
              </w:rPr>
            </w:pPr>
            <w:r>
              <w:rPr>
                <w:color w:val="auto"/>
                <w:highlight w:val="none"/>
              </w:rPr>
              <w:t xml:space="preserve">0.26 </w:t>
            </w:r>
          </w:p>
        </w:tc>
      </w:tr>
      <w:tr w14:paraId="07B708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799E66A9">
            <w:pPr>
              <w:pStyle w:val="41"/>
              <w:rPr>
                <w:color w:val="auto"/>
                <w:highlight w:val="none"/>
              </w:rPr>
            </w:pPr>
            <w:r>
              <w:rPr>
                <w:color w:val="auto"/>
                <w:highlight w:val="none"/>
              </w:rPr>
              <w:t>87</w:t>
            </w:r>
          </w:p>
        </w:tc>
        <w:tc>
          <w:tcPr>
            <w:tcW w:w="1254" w:type="dxa"/>
            <w:noWrap/>
            <w:vAlign w:val="center"/>
          </w:tcPr>
          <w:p w14:paraId="4CD55323">
            <w:pPr>
              <w:pStyle w:val="41"/>
              <w:rPr>
                <w:color w:val="auto"/>
                <w:highlight w:val="none"/>
              </w:rPr>
            </w:pPr>
            <w:r>
              <w:rPr>
                <w:color w:val="auto"/>
                <w:highlight w:val="none"/>
              </w:rPr>
              <w:t>2125</w:t>
            </w:r>
          </w:p>
        </w:tc>
        <w:tc>
          <w:tcPr>
            <w:tcW w:w="1532" w:type="dxa"/>
            <w:noWrap/>
            <w:vAlign w:val="center"/>
          </w:tcPr>
          <w:p w14:paraId="2EE3355D">
            <w:pPr>
              <w:pStyle w:val="41"/>
              <w:rPr>
                <w:color w:val="auto"/>
                <w:highlight w:val="none"/>
              </w:rPr>
            </w:pPr>
            <w:r>
              <w:rPr>
                <w:color w:val="auto"/>
                <w:highlight w:val="none"/>
              </w:rPr>
              <w:t>0.001167</w:t>
            </w:r>
          </w:p>
        </w:tc>
        <w:tc>
          <w:tcPr>
            <w:tcW w:w="946" w:type="dxa"/>
            <w:noWrap/>
            <w:vAlign w:val="center"/>
          </w:tcPr>
          <w:p w14:paraId="5D830DD8">
            <w:pPr>
              <w:pStyle w:val="41"/>
              <w:rPr>
                <w:color w:val="auto"/>
                <w:highlight w:val="none"/>
              </w:rPr>
            </w:pPr>
            <w:r>
              <w:rPr>
                <w:color w:val="auto"/>
                <w:highlight w:val="none"/>
              </w:rPr>
              <w:t xml:space="preserve">0.26 </w:t>
            </w:r>
          </w:p>
        </w:tc>
      </w:tr>
      <w:tr w14:paraId="77DD58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13C3CDCD">
            <w:pPr>
              <w:pStyle w:val="41"/>
              <w:rPr>
                <w:color w:val="auto"/>
                <w:highlight w:val="none"/>
              </w:rPr>
            </w:pPr>
            <w:r>
              <w:rPr>
                <w:color w:val="auto"/>
                <w:highlight w:val="none"/>
              </w:rPr>
              <w:t>88</w:t>
            </w:r>
          </w:p>
        </w:tc>
        <w:tc>
          <w:tcPr>
            <w:tcW w:w="1254" w:type="dxa"/>
            <w:noWrap/>
            <w:vAlign w:val="center"/>
          </w:tcPr>
          <w:p w14:paraId="59BAE971">
            <w:pPr>
              <w:pStyle w:val="41"/>
              <w:rPr>
                <w:color w:val="auto"/>
                <w:highlight w:val="none"/>
              </w:rPr>
            </w:pPr>
            <w:r>
              <w:rPr>
                <w:color w:val="auto"/>
                <w:highlight w:val="none"/>
              </w:rPr>
              <w:t>2150</w:t>
            </w:r>
          </w:p>
        </w:tc>
        <w:tc>
          <w:tcPr>
            <w:tcW w:w="1532" w:type="dxa"/>
            <w:noWrap/>
            <w:vAlign w:val="center"/>
          </w:tcPr>
          <w:p w14:paraId="729A8830">
            <w:pPr>
              <w:pStyle w:val="41"/>
              <w:rPr>
                <w:color w:val="auto"/>
                <w:highlight w:val="none"/>
              </w:rPr>
            </w:pPr>
            <w:r>
              <w:rPr>
                <w:color w:val="auto"/>
                <w:highlight w:val="none"/>
              </w:rPr>
              <w:t>0.00116</w:t>
            </w:r>
          </w:p>
        </w:tc>
        <w:tc>
          <w:tcPr>
            <w:tcW w:w="946" w:type="dxa"/>
            <w:noWrap/>
            <w:vAlign w:val="center"/>
          </w:tcPr>
          <w:p w14:paraId="2D67881C">
            <w:pPr>
              <w:pStyle w:val="41"/>
              <w:rPr>
                <w:color w:val="auto"/>
                <w:highlight w:val="none"/>
              </w:rPr>
            </w:pPr>
            <w:r>
              <w:rPr>
                <w:color w:val="auto"/>
                <w:highlight w:val="none"/>
              </w:rPr>
              <w:t xml:space="preserve">0.26 </w:t>
            </w:r>
          </w:p>
        </w:tc>
      </w:tr>
      <w:tr w14:paraId="1320B4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019C5819">
            <w:pPr>
              <w:pStyle w:val="41"/>
              <w:rPr>
                <w:color w:val="auto"/>
                <w:highlight w:val="none"/>
              </w:rPr>
            </w:pPr>
            <w:r>
              <w:rPr>
                <w:color w:val="auto"/>
                <w:highlight w:val="none"/>
              </w:rPr>
              <w:t>89</w:t>
            </w:r>
          </w:p>
        </w:tc>
        <w:tc>
          <w:tcPr>
            <w:tcW w:w="1254" w:type="dxa"/>
            <w:noWrap/>
            <w:vAlign w:val="center"/>
          </w:tcPr>
          <w:p w14:paraId="65EC763F">
            <w:pPr>
              <w:pStyle w:val="41"/>
              <w:rPr>
                <w:color w:val="auto"/>
                <w:highlight w:val="none"/>
              </w:rPr>
            </w:pPr>
            <w:r>
              <w:rPr>
                <w:color w:val="auto"/>
                <w:highlight w:val="none"/>
              </w:rPr>
              <w:t>2175</w:t>
            </w:r>
          </w:p>
        </w:tc>
        <w:tc>
          <w:tcPr>
            <w:tcW w:w="1532" w:type="dxa"/>
            <w:noWrap/>
            <w:vAlign w:val="center"/>
          </w:tcPr>
          <w:p w14:paraId="3B812D73">
            <w:pPr>
              <w:pStyle w:val="41"/>
              <w:rPr>
                <w:color w:val="auto"/>
                <w:highlight w:val="none"/>
              </w:rPr>
            </w:pPr>
            <w:r>
              <w:rPr>
                <w:color w:val="auto"/>
                <w:highlight w:val="none"/>
              </w:rPr>
              <w:t>0.001153</w:t>
            </w:r>
          </w:p>
        </w:tc>
        <w:tc>
          <w:tcPr>
            <w:tcW w:w="946" w:type="dxa"/>
            <w:noWrap/>
            <w:vAlign w:val="center"/>
          </w:tcPr>
          <w:p w14:paraId="65B95C8F">
            <w:pPr>
              <w:pStyle w:val="41"/>
              <w:rPr>
                <w:color w:val="auto"/>
                <w:highlight w:val="none"/>
              </w:rPr>
            </w:pPr>
            <w:r>
              <w:rPr>
                <w:color w:val="auto"/>
                <w:highlight w:val="none"/>
              </w:rPr>
              <w:t xml:space="preserve">0.26 </w:t>
            </w:r>
          </w:p>
        </w:tc>
      </w:tr>
      <w:tr w14:paraId="465C50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68AF5D47">
            <w:pPr>
              <w:pStyle w:val="41"/>
              <w:rPr>
                <w:color w:val="auto"/>
                <w:highlight w:val="none"/>
              </w:rPr>
            </w:pPr>
            <w:r>
              <w:rPr>
                <w:color w:val="auto"/>
                <w:highlight w:val="none"/>
              </w:rPr>
              <w:t>90</w:t>
            </w:r>
          </w:p>
        </w:tc>
        <w:tc>
          <w:tcPr>
            <w:tcW w:w="1254" w:type="dxa"/>
            <w:noWrap/>
            <w:vAlign w:val="center"/>
          </w:tcPr>
          <w:p w14:paraId="2A9A53D2">
            <w:pPr>
              <w:pStyle w:val="41"/>
              <w:rPr>
                <w:color w:val="auto"/>
                <w:highlight w:val="none"/>
              </w:rPr>
            </w:pPr>
            <w:r>
              <w:rPr>
                <w:color w:val="auto"/>
                <w:highlight w:val="none"/>
              </w:rPr>
              <w:t>2200</w:t>
            </w:r>
          </w:p>
        </w:tc>
        <w:tc>
          <w:tcPr>
            <w:tcW w:w="1532" w:type="dxa"/>
            <w:noWrap/>
            <w:vAlign w:val="center"/>
          </w:tcPr>
          <w:p w14:paraId="7D8E6FC2">
            <w:pPr>
              <w:pStyle w:val="41"/>
              <w:rPr>
                <w:color w:val="auto"/>
                <w:highlight w:val="none"/>
              </w:rPr>
            </w:pPr>
            <w:r>
              <w:rPr>
                <w:color w:val="auto"/>
                <w:highlight w:val="none"/>
              </w:rPr>
              <w:t>0.001145</w:t>
            </w:r>
          </w:p>
        </w:tc>
        <w:tc>
          <w:tcPr>
            <w:tcW w:w="946" w:type="dxa"/>
            <w:noWrap/>
            <w:vAlign w:val="center"/>
          </w:tcPr>
          <w:p w14:paraId="5C6268D3">
            <w:pPr>
              <w:pStyle w:val="41"/>
              <w:rPr>
                <w:color w:val="auto"/>
                <w:highlight w:val="none"/>
              </w:rPr>
            </w:pPr>
            <w:r>
              <w:rPr>
                <w:color w:val="auto"/>
                <w:highlight w:val="none"/>
              </w:rPr>
              <w:t xml:space="preserve">0.25 </w:t>
            </w:r>
          </w:p>
        </w:tc>
      </w:tr>
      <w:tr w14:paraId="1945DF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5E8A17C5">
            <w:pPr>
              <w:pStyle w:val="41"/>
              <w:rPr>
                <w:color w:val="auto"/>
                <w:highlight w:val="none"/>
              </w:rPr>
            </w:pPr>
            <w:r>
              <w:rPr>
                <w:color w:val="auto"/>
                <w:highlight w:val="none"/>
              </w:rPr>
              <w:t>91</w:t>
            </w:r>
          </w:p>
        </w:tc>
        <w:tc>
          <w:tcPr>
            <w:tcW w:w="1254" w:type="dxa"/>
            <w:noWrap/>
            <w:vAlign w:val="center"/>
          </w:tcPr>
          <w:p w14:paraId="72BEBA67">
            <w:pPr>
              <w:pStyle w:val="41"/>
              <w:rPr>
                <w:color w:val="auto"/>
                <w:highlight w:val="none"/>
              </w:rPr>
            </w:pPr>
            <w:r>
              <w:rPr>
                <w:color w:val="auto"/>
                <w:highlight w:val="none"/>
              </w:rPr>
              <w:t>2225</w:t>
            </w:r>
          </w:p>
        </w:tc>
        <w:tc>
          <w:tcPr>
            <w:tcW w:w="1532" w:type="dxa"/>
            <w:noWrap/>
            <w:vAlign w:val="center"/>
          </w:tcPr>
          <w:p w14:paraId="1A01F975">
            <w:pPr>
              <w:pStyle w:val="41"/>
              <w:rPr>
                <w:color w:val="auto"/>
                <w:highlight w:val="none"/>
              </w:rPr>
            </w:pPr>
            <w:r>
              <w:rPr>
                <w:color w:val="auto"/>
                <w:highlight w:val="none"/>
              </w:rPr>
              <w:t>0.001138</w:t>
            </w:r>
          </w:p>
        </w:tc>
        <w:tc>
          <w:tcPr>
            <w:tcW w:w="946" w:type="dxa"/>
            <w:noWrap/>
            <w:vAlign w:val="center"/>
          </w:tcPr>
          <w:p w14:paraId="58CBB0AE">
            <w:pPr>
              <w:pStyle w:val="41"/>
              <w:rPr>
                <w:color w:val="auto"/>
                <w:highlight w:val="none"/>
              </w:rPr>
            </w:pPr>
            <w:r>
              <w:rPr>
                <w:color w:val="auto"/>
                <w:highlight w:val="none"/>
              </w:rPr>
              <w:t xml:space="preserve">0.25 </w:t>
            </w:r>
          </w:p>
        </w:tc>
      </w:tr>
      <w:tr w14:paraId="61974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28972963">
            <w:pPr>
              <w:pStyle w:val="41"/>
              <w:rPr>
                <w:color w:val="auto"/>
                <w:highlight w:val="none"/>
              </w:rPr>
            </w:pPr>
            <w:r>
              <w:rPr>
                <w:color w:val="auto"/>
                <w:highlight w:val="none"/>
              </w:rPr>
              <w:t>92</w:t>
            </w:r>
          </w:p>
        </w:tc>
        <w:tc>
          <w:tcPr>
            <w:tcW w:w="1254" w:type="dxa"/>
            <w:noWrap/>
            <w:vAlign w:val="center"/>
          </w:tcPr>
          <w:p w14:paraId="4A1B87B1">
            <w:pPr>
              <w:pStyle w:val="41"/>
              <w:rPr>
                <w:color w:val="auto"/>
                <w:highlight w:val="none"/>
              </w:rPr>
            </w:pPr>
            <w:r>
              <w:rPr>
                <w:color w:val="auto"/>
                <w:highlight w:val="none"/>
              </w:rPr>
              <w:t>2250</w:t>
            </w:r>
          </w:p>
        </w:tc>
        <w:tc>
          <w:tcPr>
            <w:tcW w:w="1532" w:type="dxa"/>
            <w:noWrap/>
            <w:vAlign w:val="center"/>
          </w:tcPr>
          <w:p w14:paraId="1D316B24">
            <w:pPr>
              <w:pStyle w:val="41"/>
              <w:rPr>
                <w:color w:val="auto"/>
                <w:highlight w:val="none"/>
              </w:rPr>
            </w:pPr>
            <w:r>
              <w:rPr>
                <w:color w:val="auto"/>
                <w:highlight w:val="none"/>
              </w:rPr>
              <w:t>0.001131</w:t>
            </w:r>
          </w:p>
        </w:tc>
        <w:tc>
          <w:tcPr>
            <w:tcW w:w="946" w:type="dxa"/>
            <w:noWrap/>
            <w:vAlign w:val="center"/>
          </w:tcPr>
          <w:p w14:paraId="0BE815C1">
            <w:pPr>
              <w:pStyle w:val="41"/>
              <w:rPr>
                <w:color w:val="auto"/>
                <w:highlight w:val="none"/>
              </w:rPr>
            </w:pPr>
            <w:r>
              <w:rPr>
                <w:color w:val="auto"/>
                <w:highlight w:val="none"/>
              </w:rPr>
              <w:t xml:space="preserve">0.25 </w:t>
            </w:r>
          </w:p>
        </w:tc>
      </w:tr>
      <w:tr w14:paraId="58808B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0284734F">
            <w:pPr>
              <w:pStyle w:val="41"/>
              <w:rPr>
                <w:color w:val="auto"/>
                <w:highlight w:val="none"/>
              </w:rPr>
            </w:pPr>
            <w:r>
              <w:rPr>
                <w:color w:val="auto"/>
                <w:highlight w:val="none"/>
              </w:rPr>
              <w:t>93</w:t>
            </w:r>
          </w:p>
        </w:tc>
        <w:tc>
          <w:tcPr>
            <w:tcW w:w="1254" w:type="dxa"/>
            <w:noWrap/>
            <w:vAlign w:val="center"/>
          </w:tcPr>
          <w:p w14:paraId="2E484317">
            <w:pPr>
              <w:pStyle w:val="41"/>
              <w:rPr>
                <w:color w:val="auto"/>
                <w:highlight w:val="none"/>
              </w:rPr>
            </w:pPr>
            <w:r>
              <w:rPr>
                <w:color w:val="auto"/>
                <w:highlight w:val="none"/>
              </w:rPr>
              <w:t>2275</w:t>
            </w:r>
          </w:p>
        </w:tc>
        <w:tc>
          <w:tcPr>
            <w:tcW w:w="1532" w:type="dxa"/>
            <w:noWrap/>
            <w:vAlign w:val="center"/>
          </w:tcPr>
          <w:p w14:paraId="25429556">
            <w:pPr>
              <w:pStyle w:val="41"/>
              <w:rPr>
                <w:color w:val="auto"/>
                <w:highlight w:val="none"/>
              </w:rPr>
            </w:pPr>
            <w:r>
              <w:rPr>
                <w:color w:val="auto"/>
                <w:highlight w:val="none"/>
              </w:rPr>
              <w:t>0.001123</w:t>
            </w:r>
          </w:p>
        </w:tc>
        <w:tc>
          <w:tcPr>
            <w:tcW w:w="946" w:type="dxa"/>
            <w:noWrap/>
            <w:vAlign w:val="center"/>
          </w:tcPr>
          <w:p w14:paraId="0667D5C5">
            <w:pPr>
              <w:pStyle w:val="41"/>
              <w:rPr>
                <w:color w:val="auto"/>
                <w:highlight w:val="none"/>
              </w:rPr>
            </w:pPr>
            <w:r>
              <w:rPr>
                <w:color w:val="auto"/>
                <w:highlight w:val="none"/>
              </w:rPr>
              <w:t xml:space="preserve">0.25 </w:t>
            </w:r>
          </w:p>
        </w:tc>
      </w:tr>
      <w:tr w14:paraId="6F5277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567A827F">
            <w:pPr>
              <w:pStyle w:val="41"/>
              <w:rPr>
                <w:color w:val="auto"/>
                <w:highlight w:val="none"/>
              </w:rPr>
            </w:pPr>
            <w:r>
              <w:rPr>
                <w:color w:val="auto"/>
                <w:highlight w:val="none"/>
              </w:rPr>
              <w:t>94</w:t>
            </w:r>
          </w:p>
        </w:tc>
        <w:tc>
          <w:tcPr>
            <w:tcW w:w="1254" w:type="dxa"/>
            <w:noWrap/>
            <w:vAlign w:val="center"/>
          </w:tcPr>
          <w:p w14:paraId="34ED3381">
            <w:pPr>
              <w:pStyle w:val="41"/>
              <w:rPr>
                <w:color w:val="auto"/>
                <w:highlight w:val="none"/>
              </w:rPr>
            </w:pPr>
            <w:r>
              <w:rPr>
                <w:color w:val="auto"/>
                <w:highlight w:val="none"/>
              </w:rPr>
              <w:t>2300</w:t>
            </w:r>
          </w:p>
        </w:tc>
        <w:tc>
          <w:tcPr>
            <w:tcW w:w="1532" w:type="dxa"/>
            <w:noWrap/>
            <w:vAlign w:val="center"/>
          </w:tcPr>
          <w:p w14:paraId="0ADDAEE3">
            <w:pPr>
              <w:pStyle w:val="41"/>
              <w:rPr>
                <w:color w:val="auto"/>
                <w:highlight w:val="none"/>
              </w:rPr>
            </w:pPr>
            <w:r>
              <w:rPr>
                <w:color w:val="auto"/>
                <w:highlight w:val="none"/>
              </w:rPr>
              <w:t>0.001116</w:t>
            </w:r>
          </w:p>
        </w:tc>
        <w:tc>
          <w:tcPr>
            <w:tcW w:w="946" w:type="dxa"/>
            <w:noWrap/>
            <w:vAlign w:val="center"/>
          </w:tcPr>
          <w:p w14:paraId="758AF7D4">
            <w:pPr>
              <w:pStyle w:val="41"/>
              <w:rPr>
                <w:color w:val="auto"/>
                <w:highlight w:val="none"/>
              </w:rPr>
            </w:pPr>
            <w:r>
              <w:rPr>
                <w:color w:val="auto"/>
                <w:highlight w:val="none"/>
              </w:rPr>
              <w:t xml:space="preserve">0.25 </w:t>
            </w:r>
          </w:p>
        </w:tc>
      </w:tr>
      <w:tr w14:paraId="392E28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49B1E5D0">
            <w:pPr>
              <w:pStyle w:val="41"/>
              <w:rPr>
                <w:color w:val="auto"/>
                <w:highlight w:val="none"/>
              </w:rPr>
            </w:pPr>
            <w:r>
              <w:rPr>
                <w:color w:val="auto"/>
                <w:highlight w:val="none"/>
              </w:rPr>
              <w:t>95</w:t>
            </w:r>
          </w:p>
        </w:tc>
        <w:tc>
          <w:tcPr>
            <w:tcW w:w="1254" w:type="dxa"/>
            <w:noWrap/>
            <w:vAlign w:val="center"/>
          </w:tcPr>
          <w:p w14:paraId="48CA43E3">
            <w:pPr>
              <w:pStyle w:val="41"/>
              <w:rPr>
                <w:color w:val="auto"/>
                <w:highlight w:val="none"/>
              </w:rPr>
            </w:pPr>
            <w:r>
              <w:rPr>
                <w:color w:val="auto"/>
                <w:highlight w:val="none"/>
              </w:rPr>
              <w:t>2325</w:t>
            </w:r>
          </w:p>
        </w:tc>
        <w:tc>
          <w:tcPr>
            <w:tcW w:w="1532" w:type="dxa"/>
            <w:noWrap/>
            <w:vAlign w:val="center"/>
          </w:tcPr>
          <w:p w14:paraId="129B47D0">
            <w:pPr>
              <w:pStyle w:val="41"/>
              <w:rPr>
                <w:color w:val="auto"/>
                <w:highlight w:val="none"/>
              </w:rPr>
            </w:pPr>
            <w:r>
              <w:rPr>
                <w:color w:val="auto"/>
                <w:highlight w:val="none"/>
              </w:rPr>
              <w:t>0.001108</w:t>
            </w:r>
          </w:p>
        </w:tc>
        <w:tc>
          <w:tcPr>
            <w:tcW w:w="946" w:type="dxa"/>
            <w:noWrap/>
            <w:vAlign w:val="center"/>
          </w:tcPr>
          <w:p w14:paraId="6A1EC310">
            <w:pPr>
              <w:pStyle w:val="41"/>
              <w:rPr>
                <w:color w:val="auto"/>
                <w:highlight w:val="none"/>
              </w:rPr>
            </w:pPr>
            <w:r>
              <w:rPr>
                <w:color w:val="auto"/>
                <w:highlight w:val="none"/>
              </w:rPr>
              <w:t xml:space="preserve">0.25 </w:t>
            </w:r>
          </w:p>
        </w:tc>
      </w:tr>
      <w:tr w14:paraId="573E76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3AC59835">
            <w:pPr>
              <w:pStyle w:val="41"/>
              <w:rPr>
                <w:color w:val="auto"/>
                <w:highlight w:val="none"/>
              </w:rPr>
            </w:pPr>
            <w:r>
              <w:rPr>
                <w:color w:val="auto"/>
                <w:highlight w:val="none"/>
              </w:rPr>
              <w:t>96</w:t>
            </w:r>
          </w:p>
        </w:tc>
        <w:tc>
          <w:tcPr>
            <w:tcW w:w="1254" w:type="dxa"/>
            <w:noWrap/>
            <w:vAlign w:val="center"/>
          </w:tcPr>
          <w:p w14:paraId="496D0185">
            <w:pPr>
              <w:pStyle w:val="41"/>
              <w:rPr>
                <w:color w:val="auto"/>
                <w:highlight w:val="none"/>
              </w:rPr>
            </w:pPr>
            <w:r>
              <w:rPr>
                <w:color w:val="auto"/>
                <w:highlight w:val="none"/>
              </w:rPr>
              <w:t>2350</w:t>
            </w:r>
          </w:p>
        </w:tc>
        <w:tc>
          <w:tcPr>
            <w:tcW w:w="1532" w:type="dxa"/>
            <w:noWrap/>
            <w:vAlign w:val="center"/>
          </w:tcPr>
          <w:p w14:paraId="75E0241A">
            <w:pPr>
              <w:pStyle w:val="41"/>
              <w:rPr>
                <w:color w:val="auto"/>
                <w:highlight w:val="none"/>
              </w:rPr>
            </w:pPr>
            <w:r>
              <w:rPr>
                <w:color w:val="auto"/>
                <w:highlight w:val="none"/>
              </w:rPr>
              <w:t>0.001101</w:t>
            </w:r>
          </w:p>
        </w:tc>
        <w:tc>
          <w:tcPr>
            <w:tcW w:w="946" w:type="dxa"/>
            <w:noWrap/>
            <w:vAlign w:val="center"/>
          </w:tcPr>
          <w:p w14:paraId="32D60304">
            <w:pPr>
              <w:pStyle w:val="41"/>
              <w:rPr>
                <w:color w:val="auto"/>
                <w:highlight w:val="none"/>
              </w:rPr>
            </w:pPr>
            <w:r>
              <w:rPr>
                <w:color w:val="auto"/>
                <w:highlight w:val="none"/>
              </w:rPr>
              <w:t xml:space="preserve">0.24 </w:t>
            </w:r>
          </w:p>
        </w:tc>
      </w:tr>
      <w:tr w14:paraId="11EF1C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1260D28C">
            <w:pPr>
              <w:pStyle w:val="41"/>
              <w:rPr>
                <w:color w:val="auto"/>
                <w:highlight w:val="none"/>
              </w:rPr>
            </w:pPr>
            <w:r>
              <w:rPr>
                <w:color w:val="auto"/>
                <w:highlight w:val="none"/>
              </w:rPr>
              <w:t>97</w:t>
            </w:r>
          </w:p>
        </w:tc>
        <w:tc>
          <w:tcPr>
            <w:tcW w:w="1254" w:type="dxa"/>
            <w:noWrap/>
            <w:vAlign w:val="center"/>
          </w:tcPr>
          <w:p w14:paraId="2779F531">
            <w:pPr>
              <w:pStyle w:val="41"/>
              <w:rPr>
                <w:color w:val="auto"/>
                <w:highlight w:val="none"/>
              </w:rPr>
            </w:pPr>
            <w:r>
              <w:rPr>
                <w:color w:val="auto"/>
                <w:highlight w:val="none"/>
              </w:rPr>
              <w:t>2375</w:t>
            </w:r>
          </w:p>
        </w:tc>
        <w:tc>
          <w:tcPr>
            <w:tcW w:w="1532" w:type="dxa"/>
            <w:noWrap/>
            <w:vAlign w:val="center"/>
          </w:tcPr>
          <w:p w14:paraId="0CC01259">
            <w:pPr>
              <w:pStyle w:val="41"/>
              <w:rPr>
                <w:color w:val="auto"/>
                <w:highlight w:val="none"/>
              </w:rPr>
            </w:pPr>
            <w:r>
              <w:rPr>
                <w:color w:val="auto"/>
                <w:highlight w:val="none"/>
              </w:rPr>
              <w:t>0.001094</w:t>
            </w:r>
          </w:p>
        </w:tc>
        <w:tc>
          <w:tcPr>
            <w:tcW w:w="946" w:type="dxa"/>
            <w:noWrap/>
            <w:vAlign w:val="center"/>
          </w:tcPr>
          <w:p w14:paraId="3F8CA6FD">
            <w:pPr>
              <w:pStyle w:val="41"/>
              <w:rPr>
                <w:color w:val="auto"/>
                <w:highlight w:val="none"/>
              </w:rPr>
            </w:pPr>
            <w:r>
              <w:rPr>
                <w:color w:val="auto"/>
                <w:highlight w:val="none"/>
              </w:rPr>
              <w:t xml:space="preserve">0.24 </w:t>
            </w:r>
          </w:p>
        </w:tc>
      </w:tr>
      <w:tr w14:paraId="6BF0CF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1D2F516A">
            <w:pPr>
              <w:pStyle w:val="41"/>
              <w:rPr>
                <w:color w:val="auto"/>
                <w:highlight w:val="none"/>
              </w:rPr>
            </w:pPr>
            <w:r>
              <w:rPr>
                <w:color w:val="auto"/>
                <w:highlight w:val="none"/>
              </w:rPr>
              <w:t>98</w:t>
            </w:r>
          </w:p>
        </w:tc>
        <w:tc>
          <w:tcPr>
            <w:tcW w:w="1254" w:type="dxa"/>
            <w:noWrap/>
            <w:vAlign w:val="center"/>
          </w:tcPr>
          <w:p w14:paraId="3B530A8D">
            <w:pPr>
              <w:pStyle w:val="41"/>
              <w:rPr>
                <w:color w:val="auto"/>
                <w:highlight w:val="none"/>
              </w:rPr>
            </w:pPr>
            <w:r>
              <w:rPr>
                <w:color w:val="auto"/>
                <w:highlight w:val="none"/>
              </w:rPr>
              <w:t>2400</w:t>
            </w:r>
          </w:p>
        </w:tc>
        <w:tc>
          <w:tcPr>
            <w:tcW w:w="1532" w:type="dxa"/>
            <w:noWrap/>
            <w:vAlign w:val="center"/>
          </w:tcPr>
          <w:p w14:paraId="7BC8A227">
            <w:pPr>
              <w:pStyle w:val="41"/>
              <w:rPr>
                <w:color w:val="auto"/>
                <w:highlight w:val="none"/>
              </w:rPr>
            </w:pPr>
            <w:r>
              <w:rPr>
                <w:color w:val="auto"/>
                <w:highlight w:val="none"/>
              </w:rPr>
              <w:t>0.001086</w:t>
            </w:r>
          </w:p>
        </w:tc>
        <w:tc>
          <w:tcPr>
            <w:tcW w:w="946" w:type="dxa"/>
            <w:noWrap/>
            <w:vAlign w:val="center"/>
          </w:tcPr>
          <w:p w14:paraId="5B01B7B0">
            <w:pPr>
              <w:pStyle w:val="41"/>
              <w:rPr>
                <w:color w:val="auto"/>
                <w:highlight w:val="none"/>
              </w:rPr>
            </w:pPr>
            <w:r>
              <w:rPr>
                <w:color w:val="auto"/>
                <w:highlight w:val="none"/>
              </w:rPr>
              <w:t xml:space="preserve">0.24 </w:t>
            </w:r>
          </w:p>
        </w:tc>
      </w:tr>
      <w:tr w14:paraId="096C14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1047DA72">
            <w:pPr>
              <w:pStyle w:val="41"/>
              <w:rPr>
                <w:color w:val="auto"/>
                <w:highlight w:val="none"/>
              </w:rPr>
            </w:pPr>
            <w:r>
              <w:rPr>
                <w:color w:val="auto"/>
                <w:highlight w:val="none"/>
              </w:rPr>
              <w:t>99</w:t>
            </w:r>
          </w:p>
        </w:tc>
        <w:tc>
          <w:tcPr>
            <w:tcW w:w="1254" w:type="dxa"/>
            <w:noWrap/>
            <w:vAlign w:val="center"/>
          </w:tcPr>
          <w:p w14:paraId="2F9401C9">
            <w:pPr>
              <w:pStyle w:val="41"/>
              <w:rPr>
                <w:color w:val="auto"/>
                <w:highlight w:val="none"/>
              </w:rPr>
            </w:pPr>
            <w:r>
              <w:rPr>
                <w:color w:val="auto"/>
                <w:highlight w:val="none"/>
              </w:rPr>
              <w:t>2425</w:t>
            </w:r>
          </w:p>
        </w:tc>
        <w:tc>
          <w:tcPr>
            <w:tcW w:w="1532" w:type="dxa"/>
            <w:noWrap/>
            <w:vAlign w:val="center"/>
          </w:tcPr>
          <w:p w14:paraId="5C15429A">
            <w:pPr>
              <w:pStyle w:val="41"/>
              <w:rPr>
                <w:color w:val="auto"/>
                <w:highlight w:val="none"/>
              </w:rPr>
            </w:pPr>
            <w:r>
              <w:rPr>
                <w:color w:val="auto"/>
                <w:highlight w:val="none"/>
              </w:rPr>
              <w:t>0.001079</w:t>
            </w:r>
          </w:p>
        </w:tc>
        <w:tc>
          <w:tcPr>
            <w:tcW w:w="946" w:type="dxa"/>
            <w:noWrap/>
            <w:vAlign w:val="center"/>
          </w:tcPr>
          <w:p w14:paraId="36A8EBD5">
            <w:pPr>
              <w:pStyle w:val="41"/>
              <w:rPr>
                <w:color w:val="auto"/>
                <w:highlight w:val="none"/>
              </w:rPr>
            </w:pPr>
            <w:r>
              <w:rPr>
                <w:color w:val="auto"/>
                <w:highlight w:val="none"/>
              </w:rPr>
              <w:t xml:space="preserve">0.24 </w:t>
            </w:r>
          </w:p>
        </w:tc>
      </w:tr>
      <w:tr w14:paraId="4C728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126344CA">
            <w:pPr>
              <w:pStyle w:val="41"/>
              <w:rPr>
                <w:color w:val="auto"/>
                <w:highlight w:val="none"/>
              </w:rPr>
            </w:pPr>
            <w:r>
              <w:rPr>
                <w:color w:val="auto"/>
                <w:highlight w:val="none"/>
              </w:rPr>
              <w:t>100</w:t>
            </w:r>
          </w:p>
        </w:tc>
        <w:tc>
          <w:tcPr>
            <w:tcW w:w="1254" w:type="dxa"/>
            <w:noWrap/>
            <w:vAlign w:val="center"/>
          </w:tcPr>
          <w:p w14:paraId="0552B57B">
            <w:pPr>
              <w:pStyle w:val="41"/>
              <w:rPr>
                <w:color w:val="auto"/>
                <w:highlight w:val="none"/>
              </w:rPr>
            </w:pPr>
            <w:r>
              <w:rPr>
                <w:color w:val="auto"/>
                <w:highlight w:val="none"/>
              </w:rPr>
              <w:t>2450</w:t>
            </w:r>
          </w:p>
        </w:tc>
        <w:tc>
          <w:tcPr>
            <w:tcW w:w="1532" w:type="dxa"/>
            <w:noWrap/>
            <w:vAlign w:val="center"/>
          </w:tcPr>
          <w:p w14:paraId="5108D6B8">
            <w:pPr>
              <w:pStyle w:val="41"/>
              <w:rPr>
                <w:color w:val="auto"/>
                <w:highlight w:val="none"/>
              </w:rPr>
            </w:pPr>
            <w:r>
              <w:rPr>
                <w:color w:val="auto"/>
                <w:highlight w:val="none"/>
              </w:rPr>
              <w:t>0.001081</w:t>
            </w:r>
          </w:p>
        </w:tc>
        <w:tc>
          <w:tcPr>
            <w:tcW w:w="946" w:type="dxa"/>
            <w:noWrap/>
            <w:vAlign w:val="center"/>
          </w:tcPr>
          <w:p w14:paraId="5B224308">
            <w:pPr>
              <w:pStyle w:val="41"/>
              <w:rPr>
                <w:color w:val="auto"/>
                <w:highlight w:val="none"/>
              </w:rPr>
            </w:pPr>
            <w:r>
              <w:rPr>
                <w:color w:val="auto"/>
                <w:highlight w:val="none"/>
              </w:rPr>
              <w:t xml:space="preserve">0.24 </w:t>
            </w:r>
          </w:p>
        </w:tc>
      </w:tr>
      <w:tr w14:paraId="371A55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6020B1BD">
            <w:pPr>
              <w:pStyle w:val="41"/>
              <w:rPr>
                <w:color w:val="auto"/>
                <w:highlight w:val="none"/>
              </w:rPr>
            </w:pPr>
            <w:r>
              <w:rPr>
                <w:color w:val="auto"/>
                <w:highlight w:val="none"/>
              </w:rPr>
              <w:t>101</w:t>
            </w:r>
          </w:p>
        </w:tc>
        <w:tc>
          <w:tcPr>
            <w:tcW w:w="1254" w:type="dxa"/>
            <w:noWrap/>
            <w:vAlign w:val="center"/>
          </w:tcPr>
          <w:p w14:paraId="614F9AEA">
            <w:pPr>
              <w:pStyle w:val="41"/>
              <w:rPr>
                <w:color w:val="auto"/>
                <w:highlight w:val="none"/>
              </w:rPr>
            </w:pPr>
            <w:r>
              <w:rPr>
                <w:color w:val="auto"/>
                <w:highlight w:val="none"/>
              </w:rPr>
              <w:t>2475</w:t>
            </w:r>
          </w:p>
        </w:tc>
        <w:tc>
          <w:tcPr>
            <w:tcW w:w="1532" w:type="dxa"/>
            <w:noWrap/>
            <w:vAlign w:val="center"/>
          </w:tcPr>
          <w:p w14:paraId="45F6FB7E">
            <w:pPr>
              <w:pStyle w:val="41"/>
              <w:rPr>
                <w:color w:val="auto"/>
                <w:highlight w:val="none"/>
              </w:rPr>
            </w:pPr>
            <w:r>
              <w:rPr>
                <w:color w:val="auto"/>
                <w:highlight w:val="none"/>
              </w:rPr>
              <w:t>0.001086</w:t>
            </w:r>
          </w:p>
        </w:tc>
        <w:tc>
          <w:tcPr>
            <w:tcW w:w="946" w:type="dxa"/>
            <w:noWrap/>
            <w:vAlign w:val="center"/>
          </w:tcPr>
          <w:p w14:paraId="2F1AED9C">
            <w:pPr>
              <w:pStyle w:val="41"/>
              <w:rPr>
                <w:color w:val="auto"/>
                <w:highlight w:val="none"/>
              </w:rPr>
            </w:pPr>
            <w:r>
              <w:rPr>
                <w:color w:val="auto"/>
                <w:highlight w:val="none"/>
              </w:rPr>
              <w:t xml:space="preserve">0.24 </w:t>
            </w:r>
          </w:p>
        </w:tc>
      </w:tr>
      <w:tr w14:paraId="5EE287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085036C6">
            <w:pPr>
              <w:pStyle w:val="41"/>
              <w:rPr>
                <w:color w:val="auto"/>
                <w:highlight w:val="none"/>
              </w:rPr>
            </w:pPr>
            <w:r>
              <w:rPr>
                <w:color w:val="auto"/>
                <w:highlight w:val="none"/>
              </w:rPr>
              <w:t>102</w:t>
            </w:r>
          </w:p>
        </w:tc>
        <w:tc>
          <w:tcPr>
            <w:tcW w:w="1254" w:type="dxa"/>
            <w:noWrap/>
            <w:vAlign w:val="center"/>
          </w:tcPr>
          <w:p w14:paraId="085200C8">
            <w:pPr>
              <w:pStyle w:val="41"/>
              <w:rPr>
                <w:color w:val="auto"/>
                <w:highlight w:val="none"/>
              </w:rPr>
            </w:pPr>
            <w:r>
              <w:rPr>
                <w:color w:val="auto"/>
                <w:highlight w:val="none"/>
              </w:rPr>
              <w:t>2500</w:t>
            </w:r>
          </w:p>
        </w:tc>
        <w:tc>
          <w:tcPr>
            <w:tcW w:w="1532" w:type="dxa"/>
            <w:noWrap/>
            <w:vAlign w:val="center"/>
          </w:tcPr>
          <w:p w14:paraId="4CF4AAA2">
            <w:pPr>
              <w:pStyle w:val="41"/>
              <w:rPr>
                <w:color w:val="auto"/>
                <w:highlight w:val="none"/>
              </w:rPr>
            </w:pPr>
            <w:r>
              <w:rPr>
                <w:color w:val="auto"/>
                <w:highlight w:val="none"/>
              </w:rPr>
              <w:t>0.001091</w:t>
            </w:r>
          </w:p>
        </w:tc>
        <w:tc>
          <w:tcPr>
            <w:tcW w:w="946" w:type="dxa"/>
            <w:noWrap/>
            <w:vAlign w:val="center"/>
          </w:tcPr>
          <w:p w14:paraId="6142E89C">
            <w:pPr>
              <w:pStyle w:val="41"/>
              <w:rPr>
                <w:color w:val="auto"/>
                <w:highlight w:val="none"/>
              </w:rPr>
            </w:pPr>
            <w:r>
              <w:rPr>
                <w:color w:val="auto"/>
                <w:highlight w:val="none"/>
              </w:rPr>
              <w:t xml:space="preserve">0.24 </w:t>
            </w:r>
          </w:p>
        </w:tc>
      </w:tr>
    </w:tbl>
    <w:p w14:paraId="337EE436">
      <w:pPr>
        <w:pStyle w:val="40"/>
        <w:spacing w:before="31" w:after="31"/>
        <w:rPr>
          <w:color w:val="auto"/>
          <w:highlight w:val="none"/>
        </w:rPr>
      </w:pPr>
      <w:r>
        <w:rPr>
          <w:color w:val="auto"/>
          <w:highlight w:val="none"/>
        </w:rPr>
        <w:t>表5.2-13    有组织排放污染物（锅炉房）扩散浓度预测结果</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47"/>
        <w:gridCol w:w="1339"/>
        <w:gridCol w:w="1361"/>
        <w:gridCol w:w="851"/>
        <w:gridCol w:w="1361"/>
        <w:gridCol w:w="851"/>
        <w:gridCol w:w="1361"/>
        <w:gridCol w:w="851"/>
      </w:tblGrid>
      <w:tr w14:paraId="4B9497C5">
        <w:trPr>
          <w:trHeight w:val="340" w:hRule="atLeast"/>
        </w:trPr>
        <w:tc>
          <w:tcPr>
            <w:tcW w:w="321" w:type="pct"/>
            <w:vMerge w:val="restart"/>
            <w:noWrap/>
            <w:vAlign w:val="center"/>
          </w:tcPr>
          <w:p w14:paraId="2605B114">
            <w:pPr>
              <w:pStyle w:val="41"/>
              <w:rPr>
                <w:color w:val="auto"/>
                <w:highlight w:val="none"/>
              </w:rPr>
            </w:pPr>
            <w:r>
              <w:rPr>
                <w:color w:val="auto"/>
                <w:highlight w:val="none"/>
              </w:rPr>
              <w:t>序号</w:t>
            </w:r>
          </w:p>
        </w:tc>
        <w:tc>
          <w:tcPr>
            <w:tcW w:w="675" w:type="pct"/>
            <w:vMerge w:val="restart"/>
            <w:tcBorders>
              <w:right w:val="single" w:color="auto" w:sz="2" w:space="0"/>
            </w:tcBorders>
            <w:noWrap/>
            <w:vAlign w:val="center"/>
          </w:tcPr>
          <w:p w14:paraId="43670E5A">
            <w:pPr>
              <w:pStyle w:val="41"/>
              <w:rPr>
                <w:color w:val="auto"/>
                <w:highlight w:val="none"/>
              </w:rPr>
            </w:pPr>
            <w:r>
              <w:rPr>
                <w:color w:val="auto"/>
                <w:highlight w:val="none"/>
              </w:rPr>
              <w:t>离源距离</w:t>
            </w:r>
            <w:r>
              <w:rPr>
                <w:rFonts w:hint="eastAsia"/>
                <w:color w:val="auto"/>
                <w:highlight w:val="none"/>
                <w:lang w:eastAsia="zh-CN"/>
              </w:rPr>
              <w:t>（</w:t>
            </w:r>
            <w:r>
              <w:rPr>
                <w:color w:val="auto"/>
                <w:highlight w:val="none"/>
              </w:rPr>
              <w:t>m</w:t>
            </w:r>
            <w:r>
              <w:rPr>
                <w:rFonts w:hint="eastAsia"/>
                <w:color w:val="auto"/>
                <w:highlight w:val="none"/>
                <w:lang w:eastAsia="zh-CN"/>
              </w:rPr>
              <w:t>）</w:t>
            </w:r>
          </w:p>
        </w:tc>
        <w:tc>
          <w:tcPr>
            <w:tcW w:w="1334" w:type="pct"/>
            <w:gridSpan w:val="2"/>
            <w:tcBorders>
              <w:left w:val="single" w:color="auto" w:sz="2" w:space="0"/>
            </w:tcBorders>
            <w:vAlign w:val="center"/>
          </w:tcPr>
          <w:p w14:paraId="639E747A">
            <w:pPr>
              <w:pStyle w:val="41"/>
              <w:rPr>
                <w:color w:val="auto"/>
                <w:highlight w:val="none"/>
              </w:rPr>
            </w:pPr>
            <w:r>
              <w:rPr>
                <w:color w:val="auto"/>
                <w:highlight w:val="none"/>
              </w:rPr>
              <w:t>锅炉房SO</w:t>
            </w:r>
            <w:r>
              <w:rPr>
                <w:color w:val="auto"/>
                <w:highlight w:val="none"/>
                <w:vertAlign w:val="subscript"/>
              </w:rPr>
              <w:t>2</w:t>
            </w:r>
          </w:p>
        </w:tc>
        <w:tc>
          <w:tcPr>
            <w:tcW w:w="1334" w:type="pct"/>
            <w:gridSpan w:val="2"/>
            <w:noWrap/>
            <w:vAlign w:val="center"/>
          </w:tcPr>
          <w:p w14:paraId="50E747BB">
            <w:pPr>
              <w:pStyle w:val="41"/>
              <w:rPr>
                <w:color w:val="auto"/>
                <w:highlight w:val="none"/>
              </w:rPr>
            </w:pPr>
            <w:r>
              <w:rPr>
                <w:color w:val="auto"/>
                <w:highlight w:val="none"/>
              </w:rPr>
              <w:t>锅炉房NO</w:t>
            </w:r>
            <w:r>
              <w:rPr>
                <w:color w:val="auto"/>
                <w:highlight w:val="none"/>
                <w:vertAlign w:val="subscript"/>
              </w:rPr>
              <w:t>2</w:t>
            </w:r>
          </w:p>
        </w:tc>
        <w:tc>
          <w:tcPr>
            <w:tcW w:w="1334" w:type="pct"/>
            <w:gridSpan w:val="2"/>
            <w:noWrap/>
            <w:vAlign w:val="center"/>
          </w:tcPr>
          <w:p w14:paraId="53B7C1DA">
            <w:pPr>
              <w:pStyle w:val="41"/>
              <w:rPr>
                <w:color w:val="auto"/>
                <w:highlight w:val="none"/>
              </w:rPr>
            </w:pPr>
            <w:r>
              <w:rPr>
                <w:color w:val="auto"/>
                <w:highlight w:val="none"/>
              </w:rPr>
              <w:t>锅炉房PM</w:t>
            </w:r>
            <w:r>
              <w:rPr>
                <w:color w:val="auto"/>
                <w:highlight w:val="none"/>
                <w:vertAlign w:val="subscript"/>
              </w:rPr>
              <w:t>10</w:t>
            </w:r>
          </w:p>
        </w:tc>
      </w:tr>
      <w:tr w14:paraId="1946E0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vMerge w:val="continue"/>
            <w:noWrap/>
            <w:vAlign w:val="center"/>
          </w:tcPr>
          <w:p w14:paraId="1E8F36A9">
            <w:pPr>
              <w:pStyle w:val="41"/>
              <w:rPr>
                <w:color w:val="auto"/>
                <w:highlight w:val="none"/>
              </w:rPr>
            </w:pPr>
          </w:p>
        </w:tc>
        <w:tc>
          <w:tcPr>
            <w:tcW w:w="675" w:type="pct"/>
            <w:vMerge w:val="continue"/>
            <w:tcBorders>
              <w:right w:val="single" w:color="auto" w:sz="2" w:space="0"/>
            </w:tcBorders>
            <w:noWrap/>
            <w:vAlign w:val="center"/>
          </w:tcPr>
          <w:p w14:paraId="7730BFEB">
            <w:pPr>
              <w:pStyle w:val="41"/>
              <w:rPr>
                <w:color w:val="auto"/>
                <w:highlight w:val="none"/>
              </w:rPr>
            </w:pPr>
          </w:p>
        </w:tc>
        <w:tc>
          <w:tcPr>
            <w:tcW w:w="824" w:type="pct"/>
            <w:tcBorders>
              <w:left w:val="single" w:color="auto" w:sz="2" w:space="0"/>
            </w:tcBorders>
            <w:noWrap/>
            <w:vAlign w:val="center"/>
          </w:tcPr>
          <w:p w14:paraId="243F8200">
            <w:pPr>
              <w:pStyle w:val="41"/>
              <w:rPr>
                <w:color w:val="auto"/>
                <w:highlight w:val="none"/>
              </w:rPr>
            </w:pPr>
            <w:r>
              <w:rPr>
                <w:color w:val="auto"/>
                <w:highlight w:val="none"/>
              </w:rPr>
              <w:t>下风向</w:t>
            </w:r>
          </w:p>
          <w:p w14:paraId="336AF592">
            <w:pPr>
              <w:pStyle w:val="41"/>
              <w:rPr>
                <w:color w:val="auto"/>
                <w:highlight w:val="none"/>
              </w:rPr>
            </w:pPr>
            <w:r>
              <w:rPr>
                <w:color w:val="auto"/>
                <w:highlight w:val="none"/>
              </w:rPr>
              <w:t>预测浓度mg/m</w:t>
            </w:r>
            <w:r>
              <w:rPr>
                <w:color w:val="auto"/>
                <w:highlight w:val="none"/>
                <w:vertAlign w:val="superscript"/>
              </w:rPr>
              <w:t>3</w:t>
            </w:r>
          </w:p>
        </w:tc>
        <w:tc>
          <w:tcPr>
            <w:tcW w:w="509" w:type="pct"/>
            <w:noWrap/>
            <w:vAlign w:val="center"/>
          </w:tcPr>
          <w:p w14:paraId="295BA507">
            <w:pPr>
              <w:pStyle w:val="41"/>
              <w:rPr>
                <w:color w:val="auto"/>
                <w:highlight w:val="none"/>
              </w:rPr>
            </w:pPr>
            <w:r>
              <w:rPr>
                <w:color w:val="auto"/>
                <w:highlight w:val="none"/>
              </w:rPr>
              <w:t>占标率%</w:t>
            </w:r>
          </w:p>
        </w:tc>
        <w:tc>
          <w:tcPr>
            <w:tcW w:w="824" w:type="pct"/>
            <w:noWrap/>
            <w:vAlign w:val="center"/>
          </w:tcPr>
          <w:p w14:paraId="3BD6BFDB">
            <w:pPr>
              <w:pStyle w:val="41"/>
              <w:rPr>
                <w:color w:val="auto"/>
                <w:highlight w:val="none"/>
              </w:rPr>
            </w:pPr>
            <w:r>
              <w:rPr>
                <w:color w:val="auto"/>
                <w:highlight w:val="none"/>
              </w:rPr>
              <w:t>下风向</w:t>
            </w:r>
          </w:p>
          <w:p w14:paraId="388B04E2">
            <w:pPr>
              <w:pStyle w:val="41"/>
              <w:rPr>
                <w:color w:val="auto"/>
                <w:highlight w:val="none"/>
              </w:rPr>
            </w:pPr>
            <w:r>
              <w:rPr>
                <w:color w:val="auto"/>
                <w:highlight w:val="none"/>
              </w:rPr>
              <w:t>预测浓度mg/m</w:t>
            </w:r>
            <w:r>
              <w:rPr>
                <w:color w:val="auto"/>
                <w:highlight w:val="none"/>
                <w:vertAlign w:val="superscript"/>
              </w:rPr>
              <w:t>3</w:t>
            </w:r>
          </w:p>
        </w:tc>
        <w:tc>
          <w:tcPr>
            <w:tcW w:w="509" w:type="pct"/>
            <w:noWrap/>
            <w:vAlign w:val="center"/>
          </w:tcPr>
          <w:p w14:paraId="48472127">
            <w:pPr>
              <w:pStyle w:val="41"/>
              <w:rPr>
                <w:color w:val="auto"/>
                <w:highlight w:val="none"/>
              </w:rPr>
            </w:pPr>
            <w:r>
              <w:rPr>
                <w:color w:val="auto"/>
                <w:highlight w:val="none"/>
              </w:rPr>
              <w:t>占标率%</w:t>
            </w:r>
          </w:p>
        </w:tc>
        <w:tc>
          <w:tcPr>
            <w:tcW w:w="824" w:type="pct"/>
            <w:noWrap/>
            <w:vAlign w:val="center"/>
          </w:tcPr>
          <w:p w14:paraId="6BCFA0D8">
            <w:pPr>
              <w:pStyle w:val="41"/>
              <w:rPr>
                <w:color w:val="auto"/>
                <w:highlight w:val="none"/>
              </w:rPr>
            </w:pPr>
            <w:r>
              <w:rPr>
                <w:color w:val="auto"/>
                <w:highlight w:val="none"/>
              </w:rPr>
              <w:t>下风向</w:t>
            </w:r>
          </w:p>
          <w:p w14:paraId="175A69D8">
            <w:pPr>
              <w:pStyle w:val="41"/>
              <w:rPr>
                <w:color w:val="auto"/>
                <w:highlight w:val="none"/>
              </w:rPr>
            </w:pPr>
            <w:r>
              <w:rPr>
                <w:color w:val="auto"/>
                <w:highlight w:val="none"/>
              </w:rPr>
              <w:t>预测浓度mg/m</w:t>
            </w:r>
            <w:r>
              <w:rPr>
                <w:color w:val="auto"/>
                <w:highlight w:val="none"/>
                <w:vertAlign w:val="superscript"/>
              </w:rPr>
              <w:t>3</w:t>
            </w:r>
          </w:p>
        </w:tc>
        <w:tc>
          <w:tcPr>
            <w:tcW w:w="509" w:type="pct"/>
            <w:noWrap/>
            <w:vAlign w:val="center"/>
          </w:tcPr>
          <w:p w14:paraId="029B4230">
            <w:pPr>
              <w:pStyle w:val="41"/>
              <w:rPr>
                <w:color w:val="auto"/>
                <w:highlight w:val="none"/>
              </w:rPr>
            </w:pPr>
            <w:r>
              <w:rPr>
                <w:color w:val="auto"/>
                <w:highlight w:val="none"/>
              </w:rPr>
              <w:t>占标率%</w:t>
            </w:r>
          </w:p>
        </w:tc>
      </w:tr>
      <w:tr w14:paraId="5F1238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F13667C">
            <w:pPr>
              <w:pStyle w:val="41"/>
              <w:rPr>
                <w:color w:val="auto"/>
                <w:highlight w:val="none"/>
              </w:rPr>
            </w:pPr>
            <w:r>
              <w:rPr>
                <w:color w:val="auto"/>
                <w:highlight w:val="none"/>
              </w:rPr>
              <w:t>1</w:t>
            </w:r>
          </w:p>
        </w:tc>
        <w:tc>
          <w:tcPr>
            <w:tcW w:w="1254" w:type="dxa"/>
            <w:noWrap/>
            <w:vAlign w:val="center"/>
          </w:tcPr>
          <w:p w14:paraId="364F73BF">
            <w:pPr>
              <w:pStyle w:val="41"/>
              <w:rPr>
                <w:color w:val="auto"/>
                <w:highlight w:val="none"/>
              </w:rPr>
            </w:pPr>
            <w:r>
              <w:rPr>
                <w:color w:val="auto"/>
                <w:highlight w:val="none"/>
              </w:rPr>
              <w:t>10</w:t>
            </w:r>
          </w:p>
        </w:tc>
        <w:tc>
          <w:tcPr>
            <w:tcW w:w="1532" w:type="dxa"/>
            <w:noWrap/>
            <w:vAlign w:val="center"/>
          </w:tcPr>
          <w:p w14:paraId="211831EB">
            <w:pPr>
              <w:pStyle w:val="41"/>
              <w:rPr>
                <w:color w:val="auto"/>
                <w:highlight w:val="none"/>
              </w:rPr>
            </w:pPr>
            <w:r>
              <w:rPr>
                <w:color w:val="auto"/>
                <w:highlight w:val="none"/>
              </w:rPr>
              <w:t>0.000023</w:t>
            </w:r>
          </w:p>
        </w:tc>
        <w:tc>
          <w:tcPr>
            <w:tcW w:w="946" w:type="dxa"/>
            <w:noWrap/>
            <w:vAlign w:val="center"/>
          </w:tcPr>
          <w:p w14:paraId="383FBB72">
            <w:pPr>
              <w:pStyle w:val="41"/>
              <w:rPr>
                <w:color w:val="auto"/>
                <w:highlight w:val="none"/>
              </w:rPr>
            </w:pPr>
            <w:r>
              <w:rPr>
                <w:color w:val="auto"/>
                <w:highlight w:val="none"/>
              </w:rPr>
              <w:t xml:space="preserve">0.00 </w:t>
            </w:r>
          </w:p>
        </w:tc>
        <w:tc>
          <w:tcPr>
            <w:tcW w:w="1398" w:type="dxa"/>
            <w:noWrap/>
            <w:vAlign w:val="center"/>
          </w:tcPr>
          <w:p w14:paraId="0006CB4D">
            <w:pPr>
              <w:pStyle w:val="41"/>
              <w:rPr>
                <w:color w:val="auto"/>
                <w:highlight w:val="none"/>
              </w:rPr>
            </w:pPr>
            <w:r>
              <w:rPr>
                <w:color w:val="auto"/>
                <w:highlight w:val="none"/>
              </w:rPr>
              <w:t>0.000051</w:t>
            </w:r>
          </w:p>
        </w:tc>
        <w:tc>
          <w:tcPr>
            <w:tcW w:w="872" w:type="dxa"/>
            <w:noWrap/>
            <w:vAlign w:val="center"/>
          </w:tcPr>
          <w:p w14:paraId="1FB1F602">
            <w:pPr>
              <w:pStyle w:val="41"/>
              <w:rPr>
                <w:color w:val="auto"/>
                <w:highlight w:val="none"/>
              </w:rPr>
            </w:pPr>
            <w:r>
              <w:rPr>
                <w:color w:val="auto"/>
                <w:highlight w:val="none"/>
              </w:rPr>
              <w:t xml:space="preserve">0.03 </w:t>
            </w:r>
          </w:p>
        </w:tc>
        <w:tc>
          <w:tcPr>
            <w:tcW w:w="1398" w:type="dxa"/>
            <w:noWrap/>
            <w:vAlign w:val="center"/>
          </w:tcPr>
          <w:p w14:paraId="09376494">
            <w:pPr>
              <w:pStyle w:val="41"/>
              <w:rPr>
                <w:color w:val="auto"/>
                <w:highlight w:val="none"/>
              </w:rPr>
            </w:pPr>
            <w:r>
              <w:rPr>
                <w:color w:val="auto"/>
                <w:highlight w:val="none"/>
              </w:rPr>
              <w:t>0</w:t>
            </w:r>
          </w:p>
        </w:tc>
        <w:tc>
          <w:tcPr>
            <w:tcW w:w="872" w:type="dxa"/>
            <w:noWrap/>
            <w:vAlign w:val="center"/>
          </w:tcPr>
          <w:p w14:paraId="2D1A2535">
            <w:pPr>
              <w:pStyle w:val="41"/>
              <w:rPr>
                <w:color w:val="auto"/>
                <w:highlight w:val="none"/>
              </w:rPr>
            </w:pPr>
            <w:r>
              <w:rPr>
                <w:color w:val="auto"/>
                <w:highlight w:val="none"/>
              </w:rPr>
              <w:t>0</w:t>
            </w:r>
          </w:p>
        </w:tc>
      </w:tr>
      <w:tr w14:paraId="66D373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91C9BF3">
            <w:pPr>
              <w:pStyle w:val="41"/>
              <w:rPr>
                <w:color w:val="auto"/>
                <w:highlight w:val="none"/>
              </w:rPr>
            </w:pPr>
            <w:r>
              <w:rPr>
                <w:color w:val="auto"/>
                <w:highlight w:val="none"/>
              </w:rPr>
              <w:t>2</w:t>
            </w:r>
          </w:p>
        </w:tc>
        <w:tc>
          <w:tcPr>
            <w:tcW w:w="1254" w:type="dxa"/>
            <w:noWrap/>
            <w:vAlign w:val="center"/>
          </w:tcPr>
          <w:p w14:paraId="3997AA6B">
            <w:pPr>
              <w:pStyle w:val="41"/>
              <w:rPr>
                <w:color w:val="auto"/>
                <w:highlight w:val="none"/>
              </w:rPr>
            </w:pPr>
            <w:r>
              <w:rPr>
                <w:color w:val="auto"/>
                <w:highlight w:val="none"/>
              </w:rPr>
              <w:t>25</w:t>
            </w:r>
          </w:p>
        </w:tc>
        <w:tc>
          <w:tcPr>
            <w:tcW w:w="1532" w:type="dxa"/>
            <w:noWrap/>
            <w:vAlign w:val="center"/>
          </w:tcPr>
          <w:p w14:paraId="0A71AF5B">
            <w:pPr>
              <w:pStyle w:val="41"/>
              <w:rPr>
                <w:color w:val="auto"/>
                <w:highlight w:val="none"/>
              </w:rPr>
            </w:pPr>
            <w:r>
              <w:rPr>
                <w:color w:val="auto"/>
                <w:highlight w:val="none"/>
              </w:rPr>
              <w:t>0.001519</w:t>
            </w:r>
          </w:p>
        </w:tc>
        <w:tc>
          <w:tcPr>
            <w:tcW w:w="946" w:type="dxa"/>
            <w:noWrap/>
            <w:vAlign w:val="center"/>
          </w:tcPr>
          <w:p w14:paraId="4660D96D">
            <w:pPr>
              <w:pStyle w:val="41"/>
              <w:rPr>
                <w:color w:val="auto"/>
                <w:highlight w:val="none"/>
              </w:rPr>
            </w:pPr>
            <w:r>
              <w:rPr>
                <w:color w:val="auto"/>
                <w:highlight w:val="none"/>
              </w:rPr>
              <w:t xml:space="preserve">0.30 </w:t>
            </w:r>
          </w:p>
        </w:tc>
        <w:tc>
          <w:tcPr>
            <w:tcW w:w="1398" w:type="dxa"/>
            <w:noWrap/>
            <w:vAlign w:val="center"/>
          </w:tcPr>
          <w:p w14:paraId="0C81FA40">
            <w:pPr>
              <w:pStyle w:val="41"/>
              <w:rPr>
                <w:color w:val="auto"/>
                <w:highlight w:val="none"/>
              </w:rPr>
            </w:pPr>
            <w:r>
              <w:rPr>
                <w:color w:val="auto"/>
                <w:highlight w:val="none"/>
              </w:rPr>
              <w:t>0.003418</w:t>
            </w:r>
          </w:p>
        </w:tc>
        <w:tc>
          <w:tcPr>
            <w:tcW w:w="872" w:type="dxa"/>
            <w:noWrap/>
            <w:vAlign w:val="center"/>
          </w:tcPr>
          <w:p w14:paraId="716A1FF2">
            <w:pPr>
              <w:pStyle w:val="41"/>
              <w:rPr>
                <w:color w:val="auto"/>
                <w:highlight w:val="none"/>
              </w:rPr>
            </w:pPr>
            <w:r>
              <w:rPr>
                <w:color w:val="auto"/>
                <w:highlight w:val="none"/>
              </w:rPr>
              <w:t xml:space="preserve">1.71 </w:t>
            </w:r>
          </w:p>
        </w:tc>
        <w:tc>
          <w:tcPr>
            <w:tcW w:w="1398" w:type="dxa"/>
            <w:noWrap/>
            <w:vAlign w:val="center"/>
          </w:tcPr>
          <w:p w14:paraId="0F5877AF">
            <w:pPr>
              <w:pStyle w:val="41"/>
              <w:rPr>
                <w:color w:val="auto"/>
                <w:highlight w:val="none"/>
              </w:rPr>
            </w:pPr>
            <w:r>
              <w:rPr>
                <w:color w:val="auto"/>
                <w:highlight w:val="none"/>
              </w:rPr>
              <w:t>0.000022</w:t>
            </w:r>
          </w:p>
        </w:tc>
        <w:tc>
          <w:tcPr>
            <w:tcW w:w="872" w:type="dxa"/>
            <w:noWrap/>
            <w:vAlign w:val="center"/>
          </w:tcPr>
          <w:p w14:paraId="4FF43649">
            <w:pPr>
              <w:pStyle w:val="41"/>
              <w:rPr>
                <w:color w:val="auto"/>
                <w:highlight w:val="none"/>
              </w:rPr>
            </w:pPr>
            <w:r>
              <w:rPr>
                <w:color w:val="auto"/>
                <w:highlight w:val="none"/>
              </w:rPr>
              <w:t>0</w:t>
            </w:r>
          </w:p>
        </w:tc>
      </w:tr>
      <w:tr w14:paraId="17EC6E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90F2F4E">
            <w:pPr>
              <w:pStyle w:val="41"/>
              <w:rPr>
                <w:color w:val="auto"/>
                <w:highlight w:val="none"/>
              </w:rPr>
            </w:pPr>
            <w:r>
              <w:rPr>
                <w:color w:val="auto"/>
                <w:highlight w:val="none"/>
              </w:rPr>
              <w:t>3</w:t>
            </w:r>
          </w:p>
        </w:tc>
        <w:tc>
          <w:tcPr>
            <w:tcW w:w="1254" w:type="dxa"/>
            <w:noWrap/>
            <w:vAlign w:val="center"/>
          </w:tcPr>
          <w:p w14:paraId="3696B261">
            <w:pPr>
              <w:pStyle w:val="41"/>
              <w:rPr>
                <w:color w:val="auto"/>
                <w:highlight w:val="none"/>
              </w:rPr>
            </w:pPr>
            <w:r>
              <w:rPr>
                <w:color w:val="auto"/>
                <w:highlight w:val="none"/>
              </w:rPr>
              <w:t>39</w:t>
            </w:r>
          </w:p>
        </w:tc>
        <w:tc>
          <w:tcPr>
            <w:tcW w:w="1532" w:type="dxa"/>
            <w:noWrap/>
            <w:vAlign w:val="center"/>
          </w:tcPr>
          <w:p w14:paraId="4E46146B">
            <w:pPr>
              <w:pStyle w:val="41"/>
              <w:rPr>
                <w:color w:val="auto"/>
                <w:highlight w:val="none"/>
              </w:rPr>
            </w:pPr>
            <w:r>
              <w:rPr>
                <w:color w:val="auto"/>
                <w:highlight w:val="none"/>
              </w:rPr>
              <w:t>0.002957</w:t>
            </w:r>
          </w:p>
        </w:tc>
        <w:tc>
          <w:tcPr>
            <w:tcW w:w="946" w:type="dxa"/>
            <w:noWrap/>
            <w:vAlign w:val="center"/>
          </w:tcPr>
          <w:p w14:paraId="718A3D43">
            <w:pPr>
              <w:pStyle w:val="41"/>
              <w:rPr>
                <w:color w:val="auto"/>
                <w:highlight w:val="none"/>
              </w:rPr>
            </w:pPr>
            <w:r>
              <w:rPr>
                <w:color w:val="auto"/>
                <w:highlight w:val="none"/>
              </w:rPr>
              <w:t xml:space="preserve">0.59 </w:t>
            </w:r>
          </w:p>
        </w:tc>
        <w:tc>
          <w:tcPr>
            <w:tcW w:w="1398" w:type="dxa"/>
            <w:noWrap/>
            <w:vAlign w:val="center"/>
          </w:tcPr>
          <w:p w14:paraId="5F5D1EDC">
            <w:pPr>
              <w:pStyle w:val="41"/>
              <w:rPr>
                <w:color w:val="auto"/>
                <w:highlight w:val="none"/>
              </w:rPr>
            </w:pPr>
            <w:r>
              <w:rPr>
                <w:color w:val="auto"/>
                <w:highlight w:val="none"/>
              </w:rPr>
              <w:t>0.006652</w:t>
            </w:r>
          </w:p>
        </w:tc>
        <w:tc>
          <w:tcPr>
            <w:tcW w:w="872" w:type="dxa"/>
            <w:noWrap/>
            <w:vAlign w:val="center"/>
          </w:tcPr>
          <w:p w14:paraId="1275D0F1">
            <w:pPr>
              <w:pStyle w:val="41"/>
              <w:rPr>
                <w:color w:val="auto"/>
                <w:highlight w:val="none"/>
              </w:rPr>
            </w:pPr>
            <w:r>
              <w:rPr>
                <w:color w:val="auto"/>
                <w:highlight w:val="none"/>
              </w:rPr>
              <w:t xml:space="preserve">3.33 </w:t>
            </w:r>
          </w:p>
        </w:tc>
        <w:tc>
          <w:tcPr>
            <w:tcW w:w="1398" w:type="dxa"/>
            <w:noWrap/>
            <w:vAlign w:val="center"/>
          </w:tcPr>
          <w:p w14:paraId="4CDD5A0F">
            <w:pPr>
              <w:pStyle w:val="41"/>
              <w:rPr>
                <w:color w:val="auto"/>
                <w:highlight w:val="none"/>
              </w:rPr>
            </w:pPr>
            <w:r>
              <w:rPr>
                <w:color w:val="auto"/>
                <w:highlight w:val="none"/>
              </w:rPr>
              <w:t>0.000043</w:t>
            </w:r>
          </w:p>
        </w:tc>
        <w:tc>
          <w:tcPr>
            <w:tcW w:w="872" w:type="dxa"/>
            <w:noWrap/>
            <w:vAlign w:val="center"/>
          </w:tcPr>
          <w:p w14:paraId="62D4C73E">
            <w:pPr>
              <w:pStyle w:val="41"/>
              <w:rPr>
                <w:color w:val="auto"/>
                <w:highlight w:val="none"/>
              </w:rPr>
            </w:pPr>
            <w:r>
              <w:rPr>
                <w:color w:val="auto"/>
                <w:highlight w:val="none"/>
              </w:rPr>
              <w:t>0.01</w:t>
            </w:r>
          </w:p>
        </w:tc>
      </w:tr>
      <w:tr w14:paraId="37FD23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45975E1">
            <w:pPr>
              <w:pStyle w:val="41"/>
              <w:rPr>
                <w:color w:val="auto"/>
                <w:highlight w:val="none"/>
              </w:rPr>
            </w:pPr>
            <w:r>
              <w:rPr>
                <w:color w:val="auto"/>
                <w:highlight w:val="none"/>
              </w:rPr>
              <w:t>4</w:t>
            </w:r>
          </w:p>
        </w:tc>
        <w:tc>
          <w:tcPr>
            <w:tcW w:w="1254" w:type="dxa"/>
            <w:noWrap/>
            <w:vAlign w:val="center"/>
          </w:tcPr>
          <w:p w14:paraId="570C1918">
            <w:pPr>
              <w:pStyle w:val="41"/>
              <w:rPr>
                <w:color w:val="auto"/>
                <w:highlight w:val="none"/>
              </w:rPr>
            </w:pPr>
            <w:r>
              <w:rPr>
                <w:color w:val="auto"/>
                <w:highlight w:val="none"/>
              </w:rPr>
              <w:t>50</w:t>
            </w:r>
          </w:p>
        </w:tc>
        <w:tc>
          <w:tcPr>
            <w:tcW w:w="1532" w:type="dxa"/>
            <w:noWrap/>
            <w:vAlign w:val="center"/>
          </w:tcPr>
          <w:p w14:paraId="062B9E31">
            <w:pPr>
              <w:pStyle w:val="41"/>
              <w:rPr>
                <w:color w:val="auto"/>
                <w:highlight w:val="none"/>
              </w:rPr>
            </w:pPr>
            <w:r>
              <w:rPr>
                <w:color w:val="auto"/>
                <w:highlight w:val="none"/>
              </w:rPr>
              <w:t>0.002576</w:t>
            </w:r>
          </w:p>
        </w:tc>
        <w:tc>
          <w:tcPr>
            <w:tcW w:w="946" w:type="dxa"/>
            <w:noWrap/>
            <w:vAlign w:val="center"/>
          </w:tcPr>
          <w:p w14:paraId="52606390">
            <w:pPr>
              <w:pStyle w:val="41"/>
              <w:rPr>
                <w:color w:val="auto"/>
                <w:highlight w:val="none"/>
              </w:rPr>
            </w:pPr>
            <w:r>
              <w:rPr>
                <w:color w:val="auto"/>
                <w:highlight w:val="none"/>
              </w:rPr>
              <w:t xml:space="preserve">0.52 </w:t>
            </w:r>
          </w:p>
        </w:tc>
        <w:tc>
          <w:tcPr>
            <w:tcW w:w="1398" w:type="dxa"/>
            <w:noWrap/>
            <w:vAlign w:val="center"/>
          </w:tcPr>
          <w:p w14:paraId="56D87A21">
            <w:pPr>
              <w:pStyle w:val="41"/>
              <w:rPr>
                <w:color w:val="auto"/>
                <w:highlight w:val="none"/>
              </w:rPr>
            </w:pPr>
            <w:r>
              <w:rPr>
                <w:color w:val="auto"/>
                <w:highlight w:val="none"/>
              </w:rPr>
              <w:t>0.005795</w:t>
            </w:r>
          </w:p>
        </w:tc>
        <w:tc>
          <w:tcPr>
            <w:tcW w:w="872" w:type="dxa"/>
            <w:noWrap/>
            <w:vAlign w:val="center"/>
          </w:tcPr>
          <w:p w14:paraId="49D236A1">
            <w:pPr>
              <w:pStyle w:val="41"/>
              <w:rPr>
                <w:color w:val="auto"/>
                <w:highlight w:val="none"/>
              </w:rPr>
            </w:pPr>
            <w:r>
              <w:rPr>
                <w:color w:val="auto"/>
                <w:highlight w:val="none"/>
              </w:rPr>
              <w:t xml:space="preserve">2.90 </w:t>
            </w:r>
          </w:p>
        </w:tc>
        <w:tc>
          <w:tcPr>
            <w:tcW w:w="1398" w:type="dxa"/>
            <w:noWrap/>
            <w:vAlign w:val="center"/>
          </w:tcPr>
          <w:p w14:paraId="208694E2">
            <w:pPr>
              <w:pStyle w:val="41"/>
              <w:rPr>
                <w:color w:val="auto"/>
                <w:highlight w:val="none"/>
              </w:rPr>
            </w:pPr>
            <w:r>
              <w:rPr>
                <w:color w:val="auto"/>
                <w:highlight w:val="none"/>
              </w:rPr>
              <w:t>0.000038</w:t>
            </w:r>
          </w:p>
        </w:tc>
        <w:tc>
          <w:tcPr>
            <w:tcW w:w="872" w:type="dxa"/>
            <w:noWrap/>
            <w:vAlign w:val="center"/>
          </w:tcPr>
          <w:p w14:paraId="660A6622">
            <w:pPr>
              <w:pStyle w:val="41"/>
              <w:rPr>
                <w:color w:val="auto"/>
                <w:highlight w:val="none"/>
              </w:rPr>
            </w:pPr>
            <w:r>
              <w:rPr>
                <w:color w:val="auto"/>
                <w:highlight w:val="none"/>
              </w:rPr>
              <w:t>0.01</w:t>
            </w:r>
          </w:p>
        </w:tc>
      </w:tr>
      <w:tr w14:paraId="794FB6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5556BEB">
            <w:pPr>
              <w:pStyle w:val="41"/>
              <w:rPr>
                <w:color w:val="auto"/>
                <w:highlight w:val="none"/>
              </w:rPr>
            </w:pPr>
            <w:r>
              <w:rPr>
                <w:color w:val="auto"/>
                <w:highlight w:val="none"/>
              </w:rPr>
              <w:t>5</w:t>
            </w:r>
          </w:p>
        </w:tc>
        <w:tc>
          <w:tcPr>
            <w:tcW w:w="1254" w:type="dxa"/>
            <w:noWrap/>
            <w:vAlign w:val="center"/>
          </w:tcPr>
          <w:p w14:paraId="3919C44E">
            <w:pPr>
              <w:pStyle w:val="41"/>
              <w:rPr>
                <w:color w:val="auto"/>
                <w:highlight w:val="none"/>
              </w:rPr>
            </w:pPr>
            <w:r>
              <w:rPr>
                <w:color w:val="auto"/>
                <w:highlight w:val="none"/>
              </w:rPr>
              <w:t>75</w:t>
            </w:r>
          </w:p>
        </w:tc>
        <w:tc>
          <w:tcPr>
            <w:tcW w:w="1532" w:type="dxa"/>
            <w:noWrap/>
            <w:vAlign w:val="center"/>
          </w:tcPr>
          <w:p w14:paraId="2C8CA513">
            <w:pPr>
              <w:pStyle w:val="41"/>
              <w:rPr>
                <w:color w:val="auto"/>
                <w:highlight w:val="none"/>
              </w:rPr>
            </w:pPr>
            <w:r>
              <w:rPr>
                <w:color w:val="auto"/>
                <w:highlight w:val="none"/>
              </w:rPr>
              <w:t>0.001691</w:t>
            </w:r>
          </w:p>
        </w:tc>
        <w:tc>
          <w:tcPr>
            <w:tcW w:w="946" w:type="dxa"/>
            <w:noWrap/>
            <w:vAlign w:val="center"/>
          </w:tcPr>
          <w:p w14:paraId="2AA5A158">
            <w:pPr>
              <w:pStyle w:val="41"/>
              <w:rPr>
                <w:color w:val="auto"/>
                <w:highlight w:val="none"/>
              </w:rPr>
            </w:pPr>
            <w:r>
              <w:rPr>
                <w:color w:val="auto"/>
                <w:highlight w:val="none"/>
              </w:rPr>
              <w:t xml:space="preserve">0.34 </w:t>
            </w:r>
          </w:p>
        </w:tc>
        <w:tc>
          <w:tcPr>
            <w:tcW w:w="1398" w:type="dxa"/>
            <w:noWrap/>
            <w:vAlign w:val="center"/>
          </w:tcPr>
          <w:p w14:paraId="2F2B85D6">
            <w:pPr>
              <w:pStyle w:val="41"/>
              <w:rPr>
                <w:color w:val="auto"/>
                <w:highlight w:val="none"/>
              </w:rPr>
            </w:pPr>
            <w:r>
              <w:rPr>
                <w:color w:val="auto"/>
                <w:highlight w:val="none"/>
              </w:rPr>
              <w:t>0.003804</w:t>
            </w:r>
          </w:p>
        </w:tc>
        <w:tc>
          <w:tcPr>
            <w:tcW w:w="872" w:type="dxa"/>
            <w:noWrap/>
            <w:vAlign w:val="center"/>
          </w:tcPr>
          <w:p w14:paraId="33BA268E">
            <w:pPr>
              <w:pStyle w:val="41"/>
              <w:rPr>
                <w:color w:val="auto"/>
                <w:highlight w:val="none"/>
              </w:rPr>
            </w:pPr>
            <w:r>
              <w:rPr>
                <w:color w:val="auto"/>
                <w:highlight w:val="none"/>
              </w:rPr>
              <w:t xml:space="preserve">1.90 </w:t>
            </w:r>
          </w:p>
        </w:tc>
        <w:tc>
          <w:tcPr>
            <w:tcW w:w="1398" w:type="dxa"/>
            <w:noWrap/>
            <w:vAlign w:val="center"/>
          </w:tcPr>
          <w:p w14:paraId="0765D7D4">
            <w:pPr>
              <w:pStyle w:val="41"/>
              <w:rPr>
                <w:color w:val="auto"/>
                <w:highlight w:val="none"/>
              </w:rPr>
            </w:pPr>
            <w:r>
              <w:rPr>
                <w:color w:val="auto"/>
                <w:highlight w:val="none"/>
              </w:rPr>
              <w:t>0.000025</w:t>
            </w:r>
          </w:p>
        </w:tc>
        <w:tc>
          <w:tcPr>
            <w:tcW w:w="872" w:type="dxa"/>
            <w:noWrap/>
            <w:vAlign w:val="center"/>
          </w:tcPr>
          <w:p w14:paraId="69158301">
            <w:pPr>
              <w:pStyle w:val="41"/>
              <w:rPr>
                <w:color w:val="auto"/>
                <w:highlight w:val="none"/>
              </w:rPr>
            </w:pPr>
            <w:r>
              <w:rPr>
                <w:color w:val="auto"/>
                <w:highlight w:val="none"/>
              </w:rPr>
              <w:t>0.01</w:t>
            </w:r>
          </w:p>
        </w:tc>
      </w:tr>
      <w:tr w14:paraId="072B1F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22860DD">
            <w:pPr>
              <w:pStyle w:val="41"/>
              <w:rPr>
                <w:color w:val="auto"/>
                <w:highlight w:val="none"/>
              </w:rPr>
            </w:pPr>
            <w:r>
              <w:rPr>
                <w:color w:val="auto"/>
                <w:highlight w:val="none"/>
              </w:rPr>
              <w:t>6</w:t>
            </w:r>
          </w:p>
        </w:tc>
        <w:tc>
          <w:tcPr>
            <w:tcW w:w="1254" w:type="dxa"/>
            <w:noWrap/>
            <w:vAlign w:val="center"/>
          </w:tcPr>
          <w:p w14:paraId="6218A087">
            <w:pPr>
              <w:pStyle w:val="41"/>
              <w:rPr>
                <w:color w:val="auto"/>
                <w:highlight w:val="none"/>
              </w:rPr>
            </w:pPr>
            <w:r>
              <w:rPr>
                <w:color w:val="auto"/>
                <w:highlight w:val="none"/>
              </w:rPr>
              <w:t>100</w:t>
            </w:r>
          </w:p>
        </w:tc>
        <w:tc>
          <w:tcPr>
            <w:tcW w:w="1532" w:type="dxa"/>
            <w:noWrap/>
            <w:vAlign w:val="center"/>
          </w:tcPr>
          <w:p w14:paraId="65D33542">
            <w:pPr>
              <w:pStyle w:val="41"/>
              <w:rPr>
                <w:color w:val="auto"/>
                <w:highlight w:val="none"/>
              </w:rPr>
            </w:pPr>
            <w:r>
              <w:rPr>
                <w:color w:val="auto"/>
                <w:highlight w:val="none"/>
              </w:rPr>
              <w:t>0.002199</w:t>
            </w:r>
          </w:p>
        </w:tc>
        <w:tc>
          <w:tcPr>
            <w:tcW w:w="946" w:type="dxa"/>
            <w:noWrap/>
            <w:vAlign w:val="center"/>
          </w:tcPr>
          <w:p w14:paraId="72AF0A21">
            <w:pPr>
              <w:pStyle w:val="41"/>
              <w:rPr>
                <w:color w:val="auto"/>
                <w:highlight w:val="none"/>
              </w:rPr>
            </w:pPr>
            <w:r>
              <w:rPr>
                <w:color w:val="auto"/>
                <w:highlight w:val="none"/>
              </w:rPr>
              <w:t xml:space="preserve">0.44 </w:t>
            </w:r>
          </w:p>
        </w:tc>
        <w:tc>
          <w:tcPr>
            <w:tcW w:w="1398" w:type="dxa"/>
            <w:noWrap/>
            <w:vAlign w:val="center"/>
          </w:tcPr>
          <w:p w14:paraId="40247612">
            <w:pPr>
              <w:pStyle w:val="41"/>
              <w:rPr>
                <w:color w:val="auto"/>
                <w:highlight w:val="none"/>
              </w:rPr>
            </w:pPr>
            <w:r>
              <w:rPr>
                <w:color w:val="auto"/>
                <w:highlight w:val="none"/>
              </w:rPr>
              <w:t>0.004947</w:t>
            </w:r>
          </w:p>
        </w:tc>
        <w:tc>
          <w:tcPr>
            <w:tcW w:w="872" w:type="dxa"/>
            <w:noWrap/>
            <w:vAlign w:val="center"/>
          </w:tcPr>
          <w:p w14:paraId="51D26189">
            <w:pPr>
              <w:pStyle w:val="41"/>
              <w:rPr>
                <w:color w:val="auto"/>
                <w:highlight w:val="none"/>
              </w:rPr>
            </w:pPr>
            <w:r>
              <w:rPr>
                <w:color w:val="auto"/>
                <w:highlight w:val="none"/>
              </w:rPr>
              <w:t xml:space="preserve">2.47 </w:t>
            </w:r>
          </w:p>
        </w:tc>
        <w:tc>
          <w:tcPr>
            <w:tcW w:w="1398" w:type="dxa"/>
            <w:noWrap/>
            <w:vAlign w:val="center"/>
          </w:tcPr>
          <w:p w14:paraId="0EF4AC2D">
            <w:pPr>
              <w:pStyle w:val="41"/>
              <w:rPr>
                <w:color w:val="auto"/>
                <w:highlight w:val="none"/>
              </w:rPr>
            </w:pPr>
            <w:r>
              <w:rPr>
                <w:color w:val="auto"/>
                <w:highlight w:val="none"/>
              </w:rPr>
              <w:t>0.000032</w:t>
            </w:r>
          </w:p>
        </w:tc>
        <w:tc>
          <w:tcPr>
            <w:tcW w:w="872" w:type="dxa"/>
            <w:noWrap/>
            <w:vAlign w:val="center"/>
          </w:tcPr>
          <w:p w14:paraId="5B7DE0EF">
            <w:pPr>
              <w:pStyle w:val="41"/>
              <w:rPr>
                <w:color w:val="auto"/>
                <w:highlight w:val="none"/>
              </w:rPr>
            </w:pPr>
            <w:r>
              <w:rPr>
                <w:color w:val="auto"/>
                <w:highlight w:val="none"/>
              </w:rPr>
              <w:t>0.01</w:t>
            </w:r>
          </w:p>
        </w:tc>
      </w:tr>
      <w:tr w14:paraId="09A2B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C66E95A">
            <w:pPr>
              <w:pStyle w:val="41"/>
              <w:rPr>
                <w:color w:val="auto"/>
                <w:highlight w:val="none"/>
              </w:rPr>
            </w:pPr>
            <w:r>
              <w:rPr>
                <w:color w:val="auto"/>
                <w:highlight w:val="none"/>
              </w:rPr>
              <w:t>7</w:t>
            </w:r>
          </w:p>
        </w:tc>
        <w:tc>
          <w:tcPr>
            <w:tcW w:w="1254" w:type="dxa"/>
            <w:noWrap/>
            <w:vAlign w:val="center"/>
          </w:tcPr>
          <w:p w14:paraId="3312D5D9">
            <w:pPr>
              <w:pStyle w:val="41"/>
              <w:rPr>
                <w:color w:val="auto"/>
                <w:highlight w:val="none"/>
              </w:rPr>
            </w:pPr>
            <w:r>
              <w:rPr>
                <w:color w:val="auto"/>
                <w:highlight w:val="none"/>
              </w:rPr>
              <w:t>125</w:t>
            </w:r>
          </w:p>
        </w:tc>
        <w:tc>
          <w:tcPr>
            <w:tcW w:w="1532" w:type="dxa"/>
            <w:noWrap/>
            <w:vAlign w:val="center"/>
          </w:tcPr>
          <w:p w14:paraId="74A2A97D">
            <w:pPr>
              <w:pStyle w:val="41"/>
              <w:rPr>
                <w:color w:val="auto"/>
                <w:highlight w:val="none"/>
              </w:rPr>
            </w:pPr>
            <w:r>
              <w:rPr>
                <w:color w:val="auto"/>
                <w:highlight w:val="none"/>
              </w:rPr>
              <w:t>0.002135</w:t>
            </w:r>
          </w:p>
        </w:tc>
        <w:tc>
          <w:tcPr>
            <w:tcW w:w="946" w:type="dxa"/>
            <w:noWrap/>
            <w:vAlign w:val="center"/>
          </w:tcPr>
          <w:p w14:paraId="1F4D2170">
            <w:pPr>
              <w:pStyle w:val="41"/>
              <w:rPr>
                <w:color w:val="auto"/>
                <w:highlight w:val="none"/>
              </w:rPr>
            </w:pPr>
            <w:r>
              <w:rPr>
                <w:color w:val="auto"/>
                <w:highlight w:val="none"/>
              </w:rPr>
              <w:t xml:space="preserve">0.43 </w:t>
            </w:r>
          </w:p>
        </w:tc>
        <w:tc>
          <w:tcPr>
            <w:tcW w:w="1398" w:type="dxa"/>
            <w:noWrap/>
            <w:vAlign w:val="center"/>
          </w:tcPr>
          <w:p w14:paraId="6D08976F">
            <w:pPr>
              <w:pStyle w:val="41"/>
              <w:rPr>
                <w:color w:val="auto"/>
                <w:highlight w:val="none"/>
              </w:rPr>
            </w:pPr>
            <w:r>
              <w:rPr>
                <w:color w:val="auto"/>
                <w:highlight w:val="none"/>
              </w:rPr>
              <w:t>0.004803</w:t>
            </w:r>
          </w:p>
        </w:tc>
        <w:tc>
          <w:tcPr>
            <w:tcW w:w="872" w:type="dxa"/>
            <w:noWrap/>
            <w:vAlign w:val="center"/>
          </w:tcPr>
          <w:p w14:paraId="7DA65DAE">
            <w:pPr>
              <w:pStyle w:val="41"/>
              <w:rPr>
                <w:color w:val="auto"/>
                <w:highlight w:val="none"/>
              </w:rPr>
            </w:pPr>
            <w:r>
              <w:rPr>
                <w:color w:val="auto"/>
                <w:highlight w:val="none"/>
              </w:rPr>
              <w:t xml:space="preserve">2.40 </w:t>
            </w:r>
          </w:p>
        </w:tc>
        <w:tc>
          <w:tcPr>
            <w:tcW w:w="1398" w:type="dxa"/>
            <w:noWrap/>
            <w:vAlign w:val="center"/>
          </w:tcPr>
          <w:p w14:paraId="7264CCD3">
            <w:pPr>
              <w:pStyle w:val="41"/>
              <w:rPr>
                <w:color w:val="auto"/>
                <w:highlight w:val="none"/>
              </w:rPr>
            </w:pPr>
            <w:r>
              <w:rPr>
                <w:color w:val="auto"/>
                <w:highlight w:val="none"/>
              </w:rPr>
              <w:t>0.000031</w:t>
            </w:r>
          </w:p>
        </w:tc>
        <w:tc>
          <w:tcPr>
            <w:tcW w:w="872" w:type="dxa"/>
            <w:noWrap/>
            <w:vAlign w:val="center"/>
          </w:tcPr>
          <w:p w14:paraId="2012BB28">
            <w:pPr>
              <w:pStyle w:val="41"/>
              <w:rPr>
                <w:color w:val="auto"/>
                <w:highlight w:val="none"/>
              </w:rPr>
            </w:pPr>
            <w:r>
              <w:rPr>
                <w:color w:val="auto"/>
                <w:highlight w:val="none"/>
              </w:rPr>
              <w:t>0.01</w:t>
            </w:r>
          </w:p>
        </w:tc>
      </w:tr>
      <w:tr w14:paraId="0B6100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1FE7942">
            <w:pPr>
              <w:pStyle w:val="41"/>
              <w:rPr>
                <w:color w:val="auto"/>
                <w:highlight w:val="none"/>
              </w:rPr>
            </w:pPr>
            <w:r>
              <w:rPr>
                <w:color w:val="auto"/>
                <w:highlight w:val="none"/>
              </w:rPr>
              <w:t>8</w:t>
            </w:r>
          </w:p>
        </w:tc>
        <w:tc>
          <w:tcPr>
            <w:tcW w:w="1254" w:type="dxa"/>
            <w:noWrap/>
            <w:vAlign w:val="center"/>
          </w:tcPr>
          <w:p w14:paraId="5A7EA494">
            <w:pPr>
              <w:pStyle w:val="41"/>
              <w:rPr>
                <w:color w:val="auto"/>
                <w:highlight w:val="none"/>
              </w:rPr>
            </w:pPr>
            <w:r>
              <w:rPr>
                <w:color w:val="auto"/>
                <w:highlight w:val="none"/>
              </w:rPr>
              <w:t>150</w:t>
            </w:r>
          </w:p>
        </w:tc>
        <w:tc>
          <w:tcPr>
            <w:tcW w:w="1532" w:type="dxa"/>
            <w:noWrap/>
            <w:vAlign w:val="center"/>
          </w:tcPr>
          <w:p w14:paraId="477CA62B">
            <w:pPr>
              <w:pStyle w:val="41"/>
              <w:rPr>
                <w:color w:val="auto"/>
                <w:highlight w:val="none"/>
              </w:rPr>
            </w:pPr>
            <w:r>
              <w:rPr>
                <w:color w:val="auto"/>
                <w:highlight w:val="none"/>
              </w:rPr>
              <w:t>0.001855</w:t>
            </w:r>
          </w:p>
        </w:tc>
        <w:tc>
          <w:tcPr>
            <w:tcW w:w="946" w:type="dxa"/>
            <w:noWrap/>
            <w:vAlign w:val="center"/>
          </w:tcPr>
          <w:p w14:paraId="13FFA8C0">
            <w:pPr>
              <w:pStyle w:val="41"/>
              <w:rPr>
                <w:color w:val="auto"/>
                <w:highlight w:val="none"/>
              </w:rPr>
            </w:pPr>
            <w:r>
              <w:rPr>
                <w:color w:val="auto"/>
                <w:highlight w:val="none"/>
              </w:rPr>
              <w:t xml:space="preserve">0.37 </w:t>
            </w:r>
          </w:p>
        </w:tc>
        <w:tc>
          <w:tcPr>
            <w:tcW w:w="1398" w:type="dxa"/>
            <w:noWrap/>
            <w:vAlign w:val="center"/>
          </w:tcPr>
          <w:p w14:paraId="51F97B28">
            <w:pPr>
              <w:pStyle w:val="41"/>
              <w:rPr>
                <w:color w:val="auto"/>
                <w:highlight w:val="none"/>
              </w:rPr>
            </w:pPr>
            <w:r>
              <w:rPr>
                <w:color w:val="auto"/>
                <w:highlight w:val="none"/>
              </w:rPr>
              <w:t>0.004172</w:t>
            </w:r>
          </w:p>
        </w:tc>
        <w:tc>
          <w:tcPr>
            <w:tcW w:w="872" w:type="dxa"/>
            <w:noWrap/>
            <w:vAlign w:val="center"/>
          </w:tcPr>
          <w:p w14:paraId="6AF68A37">
            <w:pPr>
              <w:pStyle w:val="41"/>
              <w:rPr>
                <w:color w:val="auto"/>
                <w:highlight w:val="none"/>
              </w:rPr>
            </w:pPr>
            <w:r>
              <w:rPr>
                <w:color w:val="auto"/>
                <w:highlight w:val="none"/>
              </w:rPr>
              <w:t xml:space="preserve">2.09 </w:t>
            </w:r>
          </w:p>
        </w:tc>
        <w:tc>
          <w:tcPr>
            <w:tcW w:w="1398" w:type="dxa"/>
            <w:noWrap/>
            <w:vAlign w:val="center"/>
          </w:tcPr>
          <w:p w14:paraId="0F215446">
            <w:pPr>
              <w:pStyle w:val="41"/>
              <w:rPr>
                <w:color w:val="auto"/>
                <w:highlight w:val="none"/>
              </w:rPr>
            </w:pPr>
            <w:r>
              <w:rPr>
                <w:color w:val="auto"/>
                <w:highlight w:val="none"/>
              </w:rPr>
              <w:t>0.000027</w:t>
            </w:r>
          </w:p>
        </w:tc>
        <w:tc>
          <w:tcPr>
            <w:tcW w:w="872" w:type="dxa"/>
            <w:noWrap/>
            <w:vAlign w:val="center"/>
          </w:tcPr>
          <w:p w14:paraId="0CAAB150">
            <w:pPr>
              <w:pStyle w:val="41"/>
              <w:rPr>
                <w:color w:val="auto"/>
                <w:highlight w:val="none"/>
              </w:rPr>
            </w:pPr>
            <w:r>
              <w:rPr>
                <w:color w:val="auto"/>
                <w:highlight w:val="none"/>
              </w:rPr>
              <w:t>0.01</w:t>
            </w:r>
          </w:p>
        </w:tc>
      </w:tr>
      <w:tr w14:paraId="007F05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3500448">
            <w:pPr>
              <w:pStyle w:val="41"/>
              <w:rPr>
                <w:color w:val="auto"/>
                <w:highlight w:val="none"/>
              </w:rPr>
            </w:pPr>
            <w:r>
              <w:rPr>
                <w:color w:val="auto"/>
                <w:highlight w:val="none"/>
              </w:rPr>
              <w:t>9</w:t>
            </w:r>
          </w:p>
        </w:tc>
        <w:tc>
          <w:tcPr>
            <w:tcW w:w="1254" w:type="dxa"/>
            <w:noWrap/>
            <w:vAlign w:val="center"/>
          </w:tcPr>
          <w:p w14:paraId="4FC0FA66">
            <w:pPr>
              <w:pStyle w:val="41"/>
              <w:rPr>
                <w:color w:val="auto"/>
                <w:highlight w:val="none"/>
              </w:rPr>
            </w:pPr>
            <w:r>
              <w:rPr>
                <w:color w:val="auto"/>
                <w:highlight w:val="none"/>
              </w:rPr>
              <w:t>175</w:t>
            </w:r>
          </w:p>
        </w:tc>
        <w:tc>
          <w:tcPr>
            <w:tcW w:w="1532" w:type="dxa"/>
            <w:noWrap/>
            <w:vAlign w:val="center"/>
          </w:tcPr>
          <w:p w14:paraId="3952F665">
            <w:pPr>
              <w:pStyle w:val="41"/>
              <w:rPr>
                <w:color w:val="auto"/>
                <w:highlight w:val="none"/>
              </w:rPr>
            </w:pPr>
            <w:r>
              <w:rPr>
                <w:color w:val="auto"/>
                <w:highlight w:val="none"/>
              </w:rPr>
              <w:t>0.001625</w:t>
            </w:r>
          </w:p>
        </w:tc>
        <w:tc>
          <w:tcPr>
            <w:tcW w:w="946" w:type="dxa"/>
            <w:noWrap/>
            <w:vAlign w:val="center"/>
          </w:tcPr>
          <w:p w14:paraId="3EC34447">
            <w:pPr>
              <w:pStyle w:val="41"/>
              <w:rPr>
                <w:color w:val="auto"/>
                <w:highlight w:val="none"/>
              </w:rPr>
            </w:pPr>
            <w:r>
              <w:rPr>
                <w:color w:val="auto"/>
                <w:highlight w:val="none"/>
              </w:rPr>
              <w:t xml:space="preserve">0.33 </w:t>
            </w:r>
          </w:p>
        </w:tc>
        <w:tc>
          <w:tcPr>
            <w:tcW w:w="1398" w:type="dxa"/>
            <w:noWrap/>
            <w:vAlign w:val="center"/>
          </w:tcPr>
          <w:p w14:paraId="641F2B7C">
            <w:pPr>
              <w:pStyle w:val="41"/>
              <w:rPr>
                <w:color w:val="auto"/>
                <w:highlight w:val="none"/>
              </w:rPr>
            </w:pPr>
            <w:r>
              <w:rPr>
                <w:color w:val="auto"/>
                <w:highlight w:val="none"/>
              </w:rPr>
              <w:t>0.003656</w:t>
            </w:r>
          </w:p>
        </w:tc>
        <w:tc>
          <w:tcPr>
            <w:tcW w:w="872" w:type="dxa"/>
            <w:noWrap/>
            <w:vAlign w:val="center"/>
          </w:tcPr>
          <w:p w14:paraId="1AD43021">
            <w:pPr>
              <w:pStyle w:val="41"/>
              <w:rPr>
                <w:color w:val="auto"/>
                <w:highlight w:val="none"/>
              </w:rPr>
            </w:pPr>
            <w:r>
              <w:rPr>
                <w:color w:val="auto"/>
                <w:highlight w:val="none"/>
              </w:rPr>
              <w:t xml:space="preserve">1.83 </w:t>
            </w:r>
          </w:p>
        </w:tc>
        <w:tc>
          <w:tcPr>
            <w:tcW w:w="1398" w:type="dxa"/>
            <w:noWrap/>
            <w:vAlign w:val="center"/>
          </w:tcPr>
          <w:p w14:paraId="59473409">
            <w:pPr>
              <w:pStyle w:val="41"/>
              <w:rPr>
                <w:color w:val="auto"/>
                <w:highlight w:val="none"/>
              </w:rPr>
            </w:pPr>
            <w:r>
              <w:rPr>
                <w:color w:val="auto"/>
                <w:highlight w:val="none"/>
              </w:rPr>
              <w:t>0.000024</w:t>
            </w:r>
          </w:p>
        </w:tc>
        <w:tc>
          <w:tcPr>
            <w:tcW w:w="872" w:type="dxa"/>
            <w:noWrap/>
            <w:vAlign w:val="center"/>
          </w:tcPr>
          <w:p w14:paraId="1BA41324">
            <w:pPr>
              <w:pStyle w:val="41"/>
              <w:rPr>
                <w:color w:val="auto"/>
                <w:highlight w:val="none"/>
              </w:rPr>
            </w:pPr>
            <w:r>
              <w:rPr>
                <w:color w:val="auto"/>
                <w:highlight w:val="none"/>
              </w:rPr>
              <w:t>0.01</w:t>
            </w:r>
          </w:p>
        </w:tc>
      </w:tr>
      <w:tr w14:paraId="3C9D02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40A71A8">
            <w:pPr>
              <w:pStyle w:val="41"/>
              <w:rPr>
                <w:color w:val="auto"/>
                <w:highlight w:val="none"/>
              </w:rPr>
            </w:pPr>
            <w:r>
              <w:rPr>
                <w:color w:val="auto"/>
                <w:highlight w:val="none"/>
              </w:rPr>
              <w:t>10</w:t>
            </w:r>
          </w:p>
        </w:tc>
        <w:tc>
          <w:tcPr>
            <w:tcW w:w="1254" w:type="dxa"/>
            <w:noWrap/>
            <w:vAlign w:val="center"/>
          </w:tcPr>
          <w:p w14:paraId="3FB6F467">
            <w:pPr>
              <w:pStyle w:val="41"/>
              <w:rPr>
                <w:color w:val="auto"/>
                <w:highlight w:val="none"/>
              </w:rPr>
            </w:pPr>
            <w:r>
              <w:rPr>
                <w:color w:val="auto"/>
                <w:highlight w:val="none"/>
              </w:rPr>
              <w:t>200</w:t>
            </w:r>
          </w:p>
        </w:tc>
        <w:tc>
          <w:tcPr>
            <w:tcW w:w="1532" w:type="dxa"/>
            <w:noWrap/>
            <w:vAlign w:val="center"/>
          </w:tcPr>
          <w:p w14:paraId="68CAE580">
            <w:pPr>
              <w:pStyle w:val="41"/>
              <w:rPr>
                <w:color w:val="auto"/>
                <w:highlight w:val="none"/>
              </w:rPr>
            </w:pPr>
            <w:r>
              <w:rPr>
                <w:color w:val="auto"/>
                <w:highlight w:val="none"/>
              </w:rPr>
              <w:t>0.001639</w:t>
            </w:r>
          </w:p>
        </w:tc>
        <w:tc>
          <w:tcPr>
            <w:tcW w:w="946" w:type="dxa"/>
            <w:noWrap/>
            <w:vAlign w:val="center"/>
          </w:tcPr>
          <w:p w14:paraId="4AD34BFF">
            <w:pPr>
              <w:pStyle w:val="41"/>
              <w:rPr>
                <w:color w:val="auto"/>
                <w:highlight w:val="none"/>
              </w:rPr>
            </w:pPr>
            <w:r>
              <w:rPr>
                <w:color w:val="auto"/>
                <w:highlight w:val="none"/>
              </w:rPr>
              <w:t xml:space="preserve">0.33 </w:t>
            </w:r>
          </w:p>
        </w:tc>
        <w:tc>
          <w:tcPr>
            <w:tcW w:w="1398" w:type="dxa"/>
            <w:noWrap/>
            <w:vAlign w:val="center"/>
          </w:tcPr>
          <w:p w14:paraId="27175014">
            <w:pPr>
              <w:pStyle w:val="41"/>
              <w:rPr>
                <w:color w:val="auto"/>
                <w:highlight w:val="none"/>
              </w:rPr>
            </w:pPr>
            <w:r>
              <w:rPr>
                <w:color w:val="auto"/>
                <w:highlight w:val="none"/>
              </w:rPr>
              <w:t>0.003686</w:t>
            </w:r>
          </w:p>
        </w:tc>
        <w:tc>
          <w:tcPr>
            <w:tcW w:w="872" w:type="dxa"/>
            <w:noWrap/>
            <w:vAlign w:val="center"/>
          </w:tcPr>
          <w:p w14:paraId="4467CBF5">
            <w:pPr>
              <w:pStyle w:val="41"/>
              <w:rPr>
                <w:color w:val="auto"/>
                <w:highlight w:val="none"/>
              </w:rPr>
            </w:pPr>
            <w:r>
              <w:rPr>
                <w:color w:val="auto"/>
                <w:highlight w:val="none"/>
              </w:rPr>
              <w:t xml:space="preserve">1.84 </w:t>
            </w:r>
          </w:p>
        </w:tc>
        <w:tc>
          <w:tcPr>
            <w:tcW w:w="1398" w:type="dxa"/>
            <w:noWrap/>
            <w:vAlign w:val="center"/>
          </w:tcPr>
          <w:p w14:paraId="5D0854C9">
            <w:pPr>
              <w:pStyle w:val="41"/>
              <w:rPr>
                <w:color w:val="auto"/>
                <w:highlight w:val="none"/>
              </w:rPr>
            </w:pPr>
            <w:r>
              <w:rPr>
                <w:color w:val="auto"/>
                <w:highlight w:val="none"/>
              </w:rPr>
              <w:t>0.000024</w:t>
            </w:r>
          </w:p>
        </w:tc>
        <w:tc>
          <w:tcPr>
            <w:tcW w:w="872" w:type="dxa"/>
            <w:noWrap/>
            <w:vAlign w:val="center"/>
          </w:tcPr>
          <w:p w14:paraId="23A99A9B">
            <w:pPr>
              <w:pStyle w:val="41"/>
              <w:rPr>
                <w:color w:val="auto"/>
                <w:highlight w:val="none"/>
              </w:rPr>
            </w:pPr>
            <w:r>
              <w:rPr>
                <w:color w:val="auto"/>
                <w:highlight w:val="none"/>
              </w:rPr>
              <w:t>0.01</w:t>
            </w:r>
          </w:p>
        </w:tc>
      </w:tr>
      <w:tr w14:paraId="0B021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E6C3833">
            <w:pPr>
              <w:pStyle w:val="41"/>
              <w:rPr>
                <w:color w:val="auto"/>
                <w:highlight w:val="none"/>
              </w:rPr>
            </w:pPr>
            <w:r>
              <w:rPr>
                <w:color w:val="auto"/>
                <w:highlight w:val="none"/>
              </w:rPr>
              <w:t>11</w:t>
            </w:r>
          </w:p>
        </w:tc>
        <w:tc>
          <w:tcPr>
            <w:tcW w:w="1254" w:type="dxa"/>
            <w:noWrap/>
            <w:vAlign w:val="center"/>
          </w:tcPr>
          <w:p w14:paraId="48B4EC65">
            <w:pPr>
              <w:pStyle w:val="41"/>
              <w:rPr>
                <w:color w:val="auto"/>
                <w:highlight w:val="none"/>
              </w:rPr>
            </w:pPr>
            <w:r>
              <w:rPr>
                <w:color w:val="auto"/>
                <w:highlight w:val="none"/>
              </w:rPr>
              <w:t>225</w:t>
            </w:r>
          </w:p>
        </w:tc>
        <w:tc>
          <w:tcPr>
            <w:tcW w:w="1532" w:type="dxa"/>
            <w:noWrap/>
            <w:vAlign w:val="center"/>
          </w:tcPr>
          <w:p w14:paraId="5FDDBFDF">
            <w:pPr>
              <w:pStyle w:val="41"/>
              <w:rPr>
                <w:color w:val="auto"/>
                <w:highlight w:val="none"/>
              </w:rPr>
            </w:pPr>
            <w:r>
              <w:rPr>
                <w:color w:val="auto"/>
                <w:highlight w:val="none"/>
              </w:rPr>
              <w:t>0.001604</w:t>
            </w:r>
          </w:p>
        </w:tc>
        <w:tc>
          <w:tcPr>
            <w:tcW w:w="946" w:type="dxa"/>
            <w:noWrap/>
            <w:vAlign w:val="center"/>
          </w:tcPr>
          <w:p w14:paraId="5916BE67">
            <w:pPr>
              <w:pStyle w:val="41"/>
              <w:rPr>
                <w:color w:val="auto"/>
                <w:highlight w:val="none"/>
              </w:rPr>
            </w:pPr>
            <w:r>
              <w:rPr>
                <w:color w:val="auto"/>
                <w:highlight w:val="none"/>
              </w:rPr>
              <w:t xml:space="preserve">0.32 </w:t>
            </w:r>
          </w:p>
        </w:tc>
        <w:tc>
          <w:tcPr>
            <w:tcW w:w="1398" w:type="dxa"/>
            <w:noWrap/>
            <w:vAlign w:val="center"/>
          </w:tcPr>
          <w:p w14:paraId="589360F0">
            <w:pPr>
              <w:pStyle w:val="41"/>
              <w:rPr>
                <w:color w:val="auto"/>
                <w:highlight w:val="none"/>
              </w:rPr>
            </w:pPr>
            <w:r>
              <w:rPr>
                <w:color w:val="auto"/>
                <w:highlight w:val="none"/>
              </w:rPr>
              <w:t>0.003609</w:t>
            </w:r>
          </w:p>
        </w:tc>
        <w:tc>
          <w:tcPr>
            <w:tcW w:w="872" w:type="dxa"/>
            <w:noWrap/>
            <w:vAlign w:val="center"/>
          </w:tcPr>
          <w:p w14:paraId="28FACA21">
            <w:pPr>
              <w:pStyle w:val="41"/>
              <w:rPr>
                <w:color w:val="auto"/>
                <w:highlight w:val="none"/>
              </w:rPr>
            </w:pPr>
            <w:r>
              <w:rPr>
                <w:color w:val="auto"/>
                <w:highlight w:val="none"/>
              </w:rPr>
              <w:t xml:space="preserve">1.80 </w:t>
            </w:r>
          </w:p>
        </w:tc>
        <w:tc>
          <w:tcPr>
            <w:tcW w:w="1398" w:type="dxa"/>
            <w:noWrap/>
            <w:vAlign w:val="center"/>
          </w:tcPr>
          <w:p w14:paraId="38291FE4">
            <w:pPr>
              <w:pStyle w:val="41"/>
              <w:rPr>
                <w:color w:val="auto"/>
                <w:highlight w:val="none"/>
              </w:rPr>
            </w:pPr>
            <w:r>
              <w:rPr>
                <w:color w:val="auto"/>
                <w:highlight w:val="none"/>
              </w:rPr>
              <w:t>0.000024</w:t>
            </w:r>
          </w:p>
        </w:tc>
        <w:tc>
          <w:tcPr>
            <w:tcW w:w="872" w:type="dxa"/>
            <w:noWrap/>
            <w:vAlign w:val="center"/>
          </w:tcPr>
          <w:p w14:paraId="1CB947BF">
            <w:pPr>
              <w:pStyle w:val="41"/>
              <w:rPr>
                <w:color w:val="auto"/>
                <w:highlight w:val="none"/>
              </w:rPr>
            </w:pPr>
            <w:r>
              <w:rPr>
                <w:color w:val="auto"/>
                <w:highlight w:val="none"/>
              </w:rPr>
              <w:t>0.01</w:t>
            </w:r>
          </w:p>
        </w:tc>
      </w:tr>
      <w:tr w14:paraId="620BD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B127B06">
            <w:pPr>
              <w:pStyle w:val="41"/>
              <w:rPr>
                <w:color w:val="auto"/>
                <w:highlight w:val="none"/>
              </w:rPr>
            </w:pPr>
            <w:r>
              <w:rPr>
                <w:color w:val="auto"/>
                <w:highlight w:val="none"/>
              </w:rPr>
              <w:t>12</w:t>
            </w:r>
          </w:p>
        </w:tc>
        <w:tc>
          <w:tcPr>
            <w:tcW w:w="1254" w:type="dxa"/>
            <w:noWrap/>
            <w:vAlign w:val="center"/>
          </w:tcPr>
          <w:p w14:paraId="3F068A25">
            <w:pPr>
              <w:pStyle w:val="41"/>
              <w:rPr>
                <w:color w:val="auto"/>
                <w:highlight w:val="none"/>
              </w:rPr>
            </w:pPr>
            <w:r>
              <w:rPr>
                <w:color w:val="auto"/>
                <w:highlight w:val="none"/>
              </w:rPr>
              <w:t>250</w:t>
            </w:r>
          </w:p>
        </w:tc>
        <w:tc>
          <w:tcPr>
            <w:tcW w:w="1532" w:type="dxa"/>
            <w:noWrap/>
            <w:vAlign w:val="center"/>
          </w:tcPr>
          <w:p w14:paraId="78EE75BE">
            <w:pPr>
              <w:pStyle w:val="41"/>
              <w:rPr>
                <w:color w:val="auto"/>
                <w:highlight w:val="none"/>
              </w:rPr>
            </w:pPr>
            <w:r>
              <w:rPr>
                <w:color w:val="auto"/>
                <w:highlight w:val="none"/>
              </w:rPr>
              <w:t>0.001556</w:t>
            </w:r>
          </w:p>
        </w:tc>
        <w:tc>
          <w:tcPr>
            <w:tcW w:w="946" w:type="dxa"/>
            <w:noWrap/>
            <w:vAlign w:val="center"/>
          </w:tcPr>
          <w:p w14:paraId="6F280516">
            <w:pPr>
              <w:pStyle w:val="41"/>
              <w:rPr>
                <w:color w:val="auto"/>
                <w:highlight w:val="none"/>
              </w:rPr>
            </w:pPr>
            <w:r>
              <w:rPr>
                <w:color w:val="auto"/>
                <w:highlight w:val="none"/>
              </w:rPr>
              <w:t xml:space="preserve">0.31 </w:t>
            </w:r>
          </w:p>
        </w:tc>
        <w:tc>
          <w:tcPr>
            <w:tcW w:w="1398" w:type="dxa"/>
            <w:noWrap/>
            <w:vAlign w:val="center"/>
          </w:tcPr>
          <w:p w14:paraId="6D5821FD">
            <w:pPr>
              <w:pStyle w:val="41"/>
              <w:rPr>
                <w:color w:val="auto"/>
                <w:highlight w:val="none"/>
              </w:rPr>
            </w:pPr>
            <w:r>
              <w:rPr>
                <w:color w:val="auto"/>
                <w:highlight w:val="none"/>
              </w:rPr>
              <w:t>0.003499</w:t>
            </w:r>
          </w:p>
        </w:tc>
        <w:tc>
          <w:tcPr>
            <w:tcW w:w="872" w:type="dxa"/>
            <w:noWrap/>
            <w:vAlign w:val="center"/>
          </w:tcPr>
          <w:p w14:paraId="691CD0A2">
            <w:pPr>
              <w:pStyle w:val="41"/>
              <w:rPr>
                <w:color w:val="auto"/>
                <w:highlight w:val="none"/>
              </w:rPr>
            </w:pPr>
            <w:r>
              <w:rPr>
                <w:color w:val="auto"/>
                <w:highlight w:val="none"/>
              </w:rPr>
              <w:t xml:space="preserve">1.75 </w:t>
            </w:r>
          </w:p>
        </w:tc>
        <w:tc>
          <w:tcPr>
            <w:tcW w:w="1398" w:type="dxa"/>
            <w:noWrap/>
            <w:vAlign w:val="center"/>
          </w:tcPr>
          <w:p w14:paraId="117CBC15">
            <w:pPr>
              <w:pStyle w:val="41"/>
              <w:rPr>
                <w:color w:val="auto"/>
                <w:highlight w:val="none"/>
              </w:rPr>
            </w:pPr>
            <w:r>
              <w:rPr>
                <w:color w:val="auto"/>
                <w:highlight w:val="none"/>
              </w:rPr>
              <w:t>0.000023</w:t>
            </w:r>
          </w:p>
        </w:tc>
        <w:tc>
          <w:tcPr>
            <w:tcW w:w="872" w:type="dxa"/>
            <w:noWrap/>
            <w:vAlign w:val="center"/>
          </w:tcPr>
          <w:p w14:paraId="79483450">
            <w:pPr>
              <w:pStyle w:val="41"/>
              <w:rPr>
                <w:color w:val="auto"/>
                <w:highlight w:val="none"/>
              </w:rPr>
            </w:pPr>
            <w:r>
              <w:rPr>
                <w:color w:val="auto"/>
                <w:highlight w:val="none"/>
              </w:rPr>
              <w:t>0.01</w:t>
            </w:r>
          </w:p>
        </w:tc>
      </w:tr>
      <w:tr w14:paraId="198F9D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AD995F3">
            <w:pPr>
              <w:pStyle w:val="41"/>
              <w:rPr>
                <w:color w:val="auto"/>
                <w:highlight w:val="none"/>
              </w:rPr>
            </w:pPr>
            <w:r>
              <w:rPr>
                <w:color w:val="auto"/>
                <w:highlight w:val="none"/>
              </w:rPr>
              <w:t>13</w:t>
            </w:r>
          </w:p>
        </w:tc>
        <w:tc>
          <w:tcPr>
            <w:tcW w:w="1254" w:type="dxa"/>
            <w:noWrap/>
            <w:vAlign w:val="center"/>
          </w:tcPr>
          <w:p w14:paraId="085A862A">
            <w:pPr>
              <w:pStyle w:val="41"/>
              <w:rPr>
                <w:color w:val="auto"/>
                <w:highlight w:val="none"/>
              </w:rPr>
            </w:pPr>
            <w:r>
              <w:rPr>
                <w:color w:val="auto"/>
                <w:highlight w:val="none"/>
              </w:rPr>
              <w:t>275</w:t>
            </w:r>
          </w:p>
        </w:tc>
        <w:tc>
          <w:tcPr>
            <w:tcW w:w="1532" w:type="dxa"/>
            <w:noWrap/>
            <w:vAlign w:val="center"/>
          </w:tcPr>
          <w:p w14:paraId="13D9A88A">
            <w:pPr>
              <w:pStyle w:val="41"/>
              <w:rPr>
                <w:color w:val="auto"/>
                <w:highlight w:val="none"/>
              </w:rPr>
            </w:pPr>
            <w:r>
              <w:rPr>
                <w:color w:val="auto"/>
                <w:highlight w:val="none"/>
              </w:rPr>
              <w:t>0.001503</w:t>
            </w:r>
          </w:p>
        </w:tc>
        <w:tc>
          <w:tcPr>
            <w:tcW w:w="946" w:type="dxa"/>
            <w:noWrap/>
            <w:vAlign w:val="center"/>
          </w:tcPr>
          <w:p w14:paraId="20238137">
            <w:pPr>
              <w:pStyle w:val="41"/>
              <w:rPr>
                <w:color w:val="auto"/>
                <w:highlight w:val="none"/>
              </w:rPr>
            </w:pPr>
            <w:r>
              <w:rPr>
                <w:color w:val="auto"/>
                <w:highlight w:val="none"/>
              </w:rPr>
              <w:t xml:space="preserve">0.30 </w:t>
            </w:r>
          </w:p>
        </w:tc>
        <w:tc>
          <w:tcPr>
            <w:tcW w:w="1398" w:type="dxa"/>
            <w:noWrap/>
            <w:vAlign w:val="center"/>
          </w:tcPr>
          <w:p w14:paraId="0D20CE9C">
            <w:pPr>
              <w:pStyle w:val="41"/>
              <w:rPr>
                <w:color w:val="auto"/>
                <w:highlight w:val="none"/>
              </w:rPr>
            </w:pPr>
            <w:r>
              <w:rPr>
                <w:color w:val="auto"/>
                <w:highlight w:val="none"/>
              </w:rPr>
              <w:t>0.00338</w:t>
            </w:r>
          </w:p>
        </w:tc>
        <w:tc>
          <w:tcPr>
            <w:tcW w:w="872" w:type="dxa"/>
            <w:noWrap/>
            <w:vAlign w:val="center"/>
          </w:tcPr>
          <w:p w14:paraId="3EA2EFEB">
            <w:pPr>
              <w:pStyle w:val="41"/>
              <w:rPr>
                <w:color w:val="auto"/>
                <w:highlight w:val="none"/>
              </w:rPr>
            </w:pPr>
            <w:r>
              <w:rPr>
                <w:color w:val="auto"/>
                <w:highlight w:val="none"/>
              </w:rPr>
              <w:t xml:space="preserve">1.69 </w:t>
            </w:r>
          </w:p>
        </w:tc>
        <w:tc>
          <w:tcPr>
            <w:tcW w:w="1398" w:type="dxa"/>
            <w:noWrap/>
            <w:vAlign w:val="center"/>
          </w:tcPr>
          <w:p w14:paraId="0BDADB86">
            <w:pPr>
              <w:pStyle w:val="41"/>
              <w:rPr>
                <w:color w:val="auto"/>
                <w:highlight w:val="none"/>
              </w:rPr>
            </w:pPr>
            <w:r>
              <w:rPr>
                <w:color w:val="auto"/>
                <w:highlight w:val="none"/>
              </w:rPr>
              <w:t>0.000022</w:t>
            </w:r>
          </w:p>
        </w:tc>
        <w:tc>
          <w:tcPr>
            <w:tcW w:w="872" w:type="dxa"/>
            <w:noWrap/>
            <w:vAlign w:val="center"/>
          </w:tcPr>
          <w:p w14:paraId="66244C4A">
            <w:pPr>
              <w:pStyle w:val="41"/>
              <w:rPr>
                <w:color w:val="auto"/>
                <w:highlight w:val="none"/>
              </w:rPr>
            </w:pPr>
            <w:r>
              <w:rPr>
                <w:color w:val="auto"/>
                <w:highlight w:val="none"/>
              </w:rPr>
              <w:t>0</w:t>
            </w:r>
          </w:p>
        </w:tc>
      </w:tr>
      <w:tr w14:paraId="18C003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5AB8923">
            <w:pPr>
              <w:pStyle w:val="41"/>
              <w:rPr>
                <w:color w:val="auto"/>
                <w:highlight w:val="none"/>
              </w:rPr>
            </w:pPr>
            <w:r>
              <w:rPr>
                <w:color w:val="auto"/>
                <w:highlight w:val="none"/>
              </w:rPr>
              <w:t>14</w:t>
            </w:r>
          </w:p>
        </w:tc>
        <w:tc>
          <w:tcPr>
            <w:tcW w:w="1254" w:type="dxa"/>
            <w:noWrap/>
            <w:vAlign w:val="center"/>
          </w:tcPr>
          <w:p w14:paraId="10B8C1FC">
            <w:pPr>
              <w:pStyle w:val="41"/>
              <w:rPr>
                <w:color w:val="auto"/>
                <w:highlight w:val="none"/>
              </w:rPr>
            </w:pPr>
            <w:r>
              <w:rPr>
                <w:color w:val="auto"/>
                <w:highlight w:val="none"/>
              </w:rPr>
              <w:t>300</w:t>
            </w:r>
          </w:p>
        </w:tc>
        <w:tc>
          <w:tcPr>
            <w:tcW w:w="1532" w:type="dxa"/>
            <w:noWrap/>
            <w:vAlign w:val="center"/>
          </w:tcPr>
          <w:p w14:paraId="1AF691DA">
            <w:pPr>
              <w:pStyle w:val="41"/>
              <w:rPr>
                <w:color w:val="auto"/>
                <w:highlight w:val="none"/>
              </w:rPr>
            </w:pPr>
            <w:r>
              <w:rPr>
                <w:color w:val="auto"/>
                <w:highlight w:val="none"/>
              </w:rPr>
              <w:t>0.001449</w:t>
            </w:r>
          </w:p>
        </w:tc>
        <w:tc>
          <w:tcPr>
            <w:tcW w:w="946" w:type="dxa"/>
            <w:noWrap/>
            <w:vAlign w:val="center"/>
          </w:tcPr>
          <w:p w14:paraId="00461F9B">
            <w:pPr>
              <w:pStyle w:val="41"/>
              <w:rPr>
                <w:color w:val="auto"/>
                <w:highlight w:val="none"/>
              </w:rPr>
            </w:pPr>
            <w:r>
              <w:rPr>
                <w:color w:val="auto"/>
                <w:highlight w:val="none"/>
              </w:rPr>
              <w:t xml:space="preserve">0.29 </w:t>
            </w:r>
          </w:p>
        </w:tc>
        <w:tc>
          <w:tcPr>
            <w:tcW w:w="1398" w:type="dxa"/>
            <w:noWrap/>
            <w:vAlign w:val="center"/>
          </w:tcPr>
          <w:p w14:paraId="1D3734C2">
            <w:pPr>
              <w:pStyle w:val="41"/>
              <w:rPr>
                <w:color w:val="auto"/>
                <w:highlight w:val="none"/>
              </w:rPr>
            </w:pPr>
            <w:r>
              <w:rPr>
                <w:color w:val="auto"/>
                <w:highlight w:val="none"/>
              </w:rPr>
              <w:t>0.003259</w:t>
            </w:r>
          </w:p>
        </w:tc>
        <w:tc>
          <w:tcPr>
            <w:tcW w:w="872" w:type="dxa"/>
            <w:noWrap/>
            <w:vAlign w:val="center"/>
          </w:tcPr>
          <w:p w14:paraId="69EFB9D6">
            <w:pPr>
              <w:pStyle w:val="41"/>
              <w:rPr>
                <w:color w:val="auto"/>
                <w:highlight w:val="none"/>
              </w:rPr>
            </w:pPr>
            <w:r>
              <w:rPr>
                <w:color w:val="auto"/>
                <w:highlight w:val="none"/>
              </w:rPr>
              <w:t xml:space="preserve">1.63 </w:t>
            </w:r>
          </w:p>
        </w:tc>
        <w:tc>
          <w:tcPr>
            <w:tcW w:w="1398" w:type="dxa"/>
            <w:noWrap/>
            <w:vAlign w:val="center"/>
          </w:tcPr>
          <w:p w14:paraId="2CB93A48">
            <w:pPr>
              <w:pStyle w:val="41"/>
              <w:rPr>
                <w:color w:val="auto"/>
                <w:highlight w:val="none"/>
              </w:rPr>
            </w:pPr>
            <w:r>
              <w:rPr>
                <w:color w:val="auto"/>
                <w:highlight w:val="none"/>
              </w:rPr>
              <w:t>0.000021</w:t>
            </w:r>
          </w:p>
        </w:tc>
        <w:tc>
          <w:tcPr>
            <w:tcW w:w="872" w:type="dxa"/>
            <w:noWrap/>
            <w:vAlign w:val="center"/>
          </w:tcPr>
          <w:p w14:paraId="58FDB971">
            <w:pPr>
              <w:pStyle w:val="41"/>
              <w:rPr>
                <w:color w:val="auto"/>
                <w:highlight w:val="none"/>
              </w:rPr>
            </w:pPr>
            <w:r>
              <w:rPr>
                <w:color w:val="auto"/>
                <w:highlight w:val="none"/>
              </w:rPr>
              <w:t>0</w:t>
            </w:r>
          </w:p>
        </w:tc>
      </w:tr>
      <w:tr w14:paraId="1415F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94DBC10">
            <w:pPr>
              <w:pStyle w:val="41"/>
              <w:rPr>
                <w:color w:val="auto"/>
                <w:highlight w:val="none"/>
              </w:rPr>
            </w:pPr>
            <w:r>
              <w:rPr>
                <w:color w:val="auto"/>
                <w:highlight w:val="none"/>
              </w:rPr>
              <w:t>15</w:t>
            </w:r>
          </w:p>
        </w:tc>
        <w:tc>
          <w:tcPr>
            <w:tcW w:w="1254" w:type="dxa"/>
            <w:noWrap/>
            <w:vAlign w:val="center"/>
          </w:tcPr>
          <w:p w14:paraId="56346AE8">
            <w:pPr>
              <w:pStyle w:val="41"/>
              <w:rPr>
                <w:color w:val="auto"/>
                <w:highlight w:val="none"/>
              </w:rPr>
            </w:pPr>
            <w:r>
              <w:rPr>
                <w:color w:val="auto"/>
                <w:highlight w:val="none"/>
              </w:rPr>
              <w:t>325</w:t>
            </w:r>
          </w:p>
        </w:tc>
        <w:tc>
          <w:tcPr>
            <w:tcW w:w="1532" w:type="dxa"/>
            <w:noWrap/>
            <w:vAlign w:val="center"/>
          </w:tcPr>
          <w:p w14:paraId="33F62FDB">
            <w:pPr>
              <w:pStyle w:val="41"/>
              <w:rPr>
                <w:color w:val="auto"/>
                <w:highlight w:val="none"/>
              </w:rPr>
            </w:pPr>
            <w:r>
              <w:rPr>
                <w:color w:val="auto"/>
                <w:highlight w:val="none"/>
              </w:rPr>
              <w:t>0.001396</w:t>
            </w:r>
          </w:p>
        </w:tc>
        <w:tc>
          <w:tcPr>
            <w:tcW w:w="946" w:type="dxa"/>
            <w:noWrap/>
            <w:vAlign w:val="center"/>
          </w:tcPr>
          <w:p w14:paraId="0696BBC7">
            <w:pPr>
              <w:pStyle w:val="41"/>
              <w:rPr>
                <w:color w:val="auto"/>
                <w:highlight w:val="none"/>
              </w:rPr>
            </w:pPr>
            <w:r>
              <w:rPr>
                <w:color w:val="auto"/>
                <w:highlight w:val="none"/>
              </w:rPr>
              <w:t xml:space="preserve">0.28 </w:t>
            </w:r>
          </w:p>
        </w:tc>
        <w:tc>
          <w:tcPr>
            <w:tcW w:w="1398" w:type="dxa"/>
            <w:noWrap/>
            <w:vAlign w:val="center"/>
          </w:tcPr>
          <w:p w14:paraId="5FAE8540">
            <w:pPr>
              <w:pStyle w:val="41"/>
              <w:rPr>
                <w:color w:val="auto"/>
                <w:highlight w:val="none"/>
              </w:rPr>
            </w:pPr>
            <w:r>
              <w:rPr>
                <w:color w:val="auto"/>
                <w:highlight w:val="none"/>
              </w:rPr>
              <w:t>0.003141</w:t>
            </w:r>
          </w:p>
        </w:tc>
        <w:tc>
          <w:tcPr>
            <w:tcW w:w="872" w:type="dxa"/>
            <w:noWrap/>
            <w:vAlign w:val="center"/>
          </w:tcPr>
          <w:p w14:paraId="453ADEC9">
            <w:pPr>
              <w:pStyle w:val="41"/>
              <w:rPr>
                <w:color w:val="auto"/>
                <w:highlight w:val="none"/>
              </w:rPr>
            </w:pPr>
            <w:r>
              <w:rPr>
                <w:color w:val="auto"/>
                <w:highlight w:val="none"/>
              </w:rPr>
              <w:t xml:space="preserve">1.57 </w:t>
            </w:r>
          </w:p>
        </w:tc>
        <w:tc>
          <w:tcPr>
            <w:tcW w:w="1398" w:type="dxa"/>
            <w:noWrap/>
            <w:vAlign w:val="center"/>
          </w:tcPr>
          <w:p w14:paraId="7E81AC7E">
            <w:pPr>
              <w:pStyle w:val="41"/>
              <w:rPr>
                <w:color w:val="auto"/>
                <w:highlight w:val="none"/>
              </w:rPr>
            </w:pPr>
            <w:r>
              <w:rPr>
                <w:color w:val="auto"/>
                <w:highlight w:val="none"/>
              </w:rPr>
              <w:t>0.000021</w:t>
            </w:r>
          </w:p>
        </w:tc>
        <w:tc>
          <w:tcPr>
            <w:tcW w:w="872" w:type="dxa"/>
            <w:noWrap/>
            <w:vAlign w:val="center"/>
          </w:tcPr>
          <w:p w14:paraId="4FC3580E">
            <w:pPr>
              <w:pStyle w:val="41"/>
              <w:rPr>
                <w:color w:val="auto"/>
                <w:highlight w:val="none"/>
              </w:rPr>
            </w:pPr>
            <w:r>
              <w:rPr>
                <w:color w:val="auto"/>
                <w:highlight w:val="none"/>
              </w:rPr>
              <w:t>0</w:t>
            </w:r>
          </w:p>
        </w:tc>
      </w:tr>
      <w:tr w14:paraId="763184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A663ACD">
            <w:pPr>
              <w:pStyle w:val="41"/>
              <w:rPr>
                <w:color w:val="auto"/>
                <w:highlight w:val="none"/>
              </w:rPr>
            </w:pPr>
            <w:r>
              <w:rPr>
                <w:color w:val="auto"/>
                <w:highlight w:val="none"/>
              </w:rPr>
              <w:t>16</w:t>
            </w:r>
          </w:p>
        </w:tc>
        <w:tc>
          <w:tcPr>
            <w:tcW w:w="1254" w:type="dxa"/>
            <w:noWrap/>
            <w:vAlign w:val="center"/>
          </w:tcPr>
          <w:p w14:paraId="2EEAA177">
            <w:pPr>
              <w:pStyle w:val="41"/>
              <w:rPr>
                <w:color w:val="auto"/>
                <w:highlight w:val="none"/>
              </w:rPr>
            </w:pPr>
            <w:r>
              <w:rPr>
                <w:color w:val="auto"/>
                <w:highlight w:val="none"/>
              </w:rPr>
              <w:t>350</w:t>
            </w:r>
          </w:p>
        </w:tc>
        <w:tc>
          <w:tcPr>
            <w:tcW w:w="1532" w:type="dxa"/>
            <w:noWrap/>
            <w:vAlign w:val="center"/>
          </w:tcPr>
          <w:p w14:paraId="7A4127A5">
            <w:pPr>
              <w:pStyle w:val="41"/>
              <w:rPr>
                <w:color w:val="auto"/>
                <w:highlight w:val="none"/>
              </w:rPr>
            </w:pPr>
            <w:r>
              <w:rPr>
                <w:color w:val="auto"/>
                <w:highlight w:val="none"/>
              </w:rPr>
              <w:t>0.001346</w:t>
            </w:r>
          </w:p>
        </w:tc>
        <w:tc>
          <w:tcPr>
            <w:tcW w:w="946" w:type="dxa"/>
            <w:noWrap/>
            <w:vAlign w:val="center"/>
          </w:tcPr>
          <w:p w14:paraId="309AE7D8">
            <w:pPr>
              <w:pStyle w:val="41"/>
              <w:rPr>
                <w:color w:val="auto"/>
                <w:highlight w:val="none"/>
              </w:rPr>
            </w:pPr>
            <w:r>
              <w:rPr>
                <w:color w:val="auto"/>
                <w:highlight w:val="none"/>
              </w:rPr>
              <w:t xml:space="preserve">0.27 </w:t>
            </w:r>
          </w:p>
        </w:tc>
        <w:tc>
          <w:tcPr>
            <w:tcW w:w="1398" w:type="dxa"/>
            <w:noWrap/>
            <w:vAlign w:val="center"/>
          </w:tcPr>
          <w:p w14:paraId="41BD0988">
            <w:pPr>
              <w:pStyle w:val="41"/>
              <w:rPr>
                <w:color w:val="auto"/>
                <w:highlight w:val="none"/>
              </w:rPr>
            </w:pPr>
            <w:r>
              <w:rPr>
                <w:color w:val="auto"/>
                <w:highlight w:val="none"/>
              </w:rPr>
              <w:t>0.003027</w:t>
            </w:r>
          </w:p>
        </w:tc>
        <w:tc>
          <w:tcPr>
            <w:tcW w:w="872" w:type="dxa"/>
            <w:noWrap/>
            <w:vAlign w:val="center"/>
          </w:tcPr>
          <w:p w14:paraId="0C238BDD">
            <w:pPr>
              <w:pStyle w:val="41"/>
              <w:rPr>
                <w:color w:val="auto"/>
                <w:highlight w:val="none"/>
              </w:rPr>
            </w:pPr>
            <w:r>
              <w:rPr>
                <w:color w:val="auto"/>
                <w:highlight w:val="none"/>
              </w:rPr>
              <w:t xml:space="preserve">1.51 </w:t>
            </w:r>
          </w:p>
        </w:tc>
        <w:tc>
          <w:tcPr>
            <w:tcW w:w="1398" w:type="dxa"/>
            <w:noWrap/>
            <w:vAlign w:val="center"/>
          </w:tcPr>
          <w:p w14:paraId="4AB94E83">
            <w:pPr>
              <w:pStyle w:val="41"/>
              <w:rPr>
                <w:color w:val="auto"/>
                <w:highlight w:val="none"/>
              </w:rPr>
            </w:pPr>
            <w:r>
              <w:rPr>
                <w:color w:val="auto"/>
                <w:highlight w:val="none"/>
              </w:rPr>
              <w:t>0.00002</w:t>
            </w:r>
          </w:p>
        </w:tc>
        <w:tc>
          <w:tcPr>
            <w:tcW w:w="872" w:type="dxa"/>
            <w:noWrap/>
            <w:vAlign w:val="center"/>
          </w:tcPr>
          <w:p w14:paraId="4205DE64">
            <w:pPr>
              <w:pStyle w:val="41"/>
              <w:rPr>
                <w:color w:val="auto"/>
                <w:highlight w:val="none"/>
              </w:rPr>
            </w:pPr>
            <w:r>
              <w:rPr>
                <w:color w:val="auto"/>
                <w:highlight w:val="none"/>
              </w:rPr>
              <w:t>0</w:t>
            </w:r>
          </w:p>
        </w:tc>
      </w:tr>
      <w:tr w14:paraId="096693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4ABC153">
            <w:pPr>
              <w:pStyle w:val="41"/>
              <w:rPr>
                <w:color w:val="auto"/>
                <w:highlight w:val="none"/>
              </w:rPr>
            </w:pPr>
            <w:r>
              <w:rPr>
                <w:color w:val="auto"/>
                <w:highlight w:val="none"/>
              </w:rPr>
              <w:t>17</w:t>
            </w:r>
          </w:p>
        </w:tc>
        <w:tc>
          <w:tcPr>
            <w:tcW w:w="1254" w:type="dxa"/>
            <w:noWrap/>
            <w:vAlign w:val="center"/>
          </w:tcPr>
          <w:p w14:paraId="2C2475FB">
            <w:pPr>
              <w:pStyle w:val="41"/>
              <w:rPr>
                <w:color w:val="auto"/>
                <w:highlight w:val="none"/>
              </w:rPr>
            </w:pPr>
            <w:r>
              <w:rPr>
                <w:color w:val="auto"/>
                <w:highlight w:val="none"/>
              </w:rPr>
              <w:t>375</w:t>
            </w:r>
          </w:p>
        </w:tc>
        <w:tc>
          <w:tcPr>
            <w:tcW w:w="1532" w:type="dxa"/>
            <w:noWrap/>
            <w:vAlign w:val="center"/>
          </w:tcPr>
          <w:p w14:paraId="0DCED615">
            <w:pPr>
              <w:pStyle w:val="41"/>
              <w:rPr>
                <w:color w:val="auto"/>
                <w:highlight w:val="none"/>
              </w:rPr>
            </w:pPr>
            <w:r>
              <w:rPr>
                <w:color w:val="auto"/>
                <w:highlight w:val="none"/>
              </w:rPr>
              <w:t>0.001297</w:t>
            </w:r>
          </w:p>
        </w:tc>
        <w:tc>
          <w:tcPr>
            <w:tcW w:w="946" w:type="dxa"/>
            <w:noWrap/>
            <w:vAlign w:val="center"/>
          </w:tcPr>
          <w:p w14:paraId="52F7AA6F">
            <w:pPr>
              <w:pStyle w:val="41"/>
              <w:rPr>
                <w:color w:val="auto"/>
                <w:highlight w:val="none"/>
              </w:rPr>
            </w:pPr>
            <w:r>
              <w:rPr>
                <w:color w:val="auto"/>
                <w:highlight w:val="none"/>
              </w:rPr>
              <w:t xml:space="preserve">0.26 </w:t>
            </w:r>
          </w:p>
        </w:tc>
        <w:tc>
          <w:tcPr>
            <w:tcW w:w="1398" w:type="dxa"/>
            <w:noWrap/>
            <w:vAlign w:val="center"/>
          </w:tcPr>
          <w:p w14:paraId="0252571E">
            <w:pPr>
              <w:pStyle w:val="41"/>
              <w:rPr>
                <w:color w:val="auto"/>
                <w:highlight w:val="none"/>
              </w:rPr>
            </w:pPr>
            <w:r>
              <w:rPr>
                <w:color w:val="auto"/>
                <w:highlight w:val="none"/>
              </w:rPr>
              <w:t>0.002918</w:t>
            </w:r>
          </w:p>
        </w:tc>
        <w:tc>
          <w:tcPr>
            <w:tcW w:w="872" w:type="dxa"/>
            <w:noWrap/>
            <w:vAlign w:val="center"/>
          </w:tcPr>
          <w:p w14:paraId="2BE4D7DE">
            <w:pPr>
              <w:pStyle w:val="41"/>
              <w:rPr>
                <w:color w:val="auto"/>
                <w:highlight w:val="none"/>
              </w:rPr>
            </w:pPr>
            <w:r>
              <w:rPr>
                <w:color w:val="auto"/>
                <w:highlight w:val="none"/>
              </w:rPr>
              <w:t xml:space="preserve">1.46 </w:t>
            </w:r>
          </w:p>
        </w:tc>
        <w:tc>
          <w:tcPr>
            <w:tcW w:w="1398" w:type="dxa"/>
            <w:noWrap/>
            <w:vAlign w:val="center"/>
          </w:tcPr>
          <w:p w14:paraId="053A1B73">
            <w:pPr>
              <w:pStyle w:val="41"/>
              <w:rPr>
                <w:color w:val="auto"/>
                <w:highlight w:val="none"/>
              </w:rPr>
            </w:pPr>
            <w:r>
              <w:rPr>
                <w:color w:val="auto"/>
                <w:highlight w:val="none"/>
              </w:rPr>
              <w:t>0.000019</w:t>
            </w:r>
          </w:p>
        </w:tc>
        <w:tc>
          <w:tcPr>
            <w:tcW w:w="872" w:type="dxa"/>
            <w:noWrap/>
            <w:vAlign w:val="center"/>
          </w:tcPr>
          <w:p w14:paraId="213BACF2">
            <w:pPr>
              <w:pStyle w:val="41"/>
              <w:rPr>
                <w:color w:val="auto"/>
                <w:highlight w:val="none"/>
              </w:rPr>
            </w:pPr>
            <w:r>
              <w:rPr>
                <w:color w:val="auto"/>
                <w:highlight w:val="none"/>
              </w:rPr>
              <w:t>0</w:t>
            </w:r>
          </w:p>
        </w:tc>
      </w:tr>
      <w:tr w14:paraId="489756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F285E2B">
            <w:pPr>
              <w:pStyle w:val="41"/>
              <w:rPr>
                <w:color w:val="auto"/>
                <w:highlight w:val="none"/>
              </w:rPr>
            </w:pPr>
            <w:r>
              <w:rPr>
                <w:color w:val="auto"/>
                <w:highlight w:val="none"/>
              </w:rPr>
              <w:t>18</w:t>
            </w:r>
          </w:p>
        </w:tc>
        <w:tc>
          <w:tcPr>
            <w:tcW w:w="1254" w:type="dxa"/>
            <w:noWrap/>
            <w:vAlign w:val="center"/>
          </w:tcPr>
          <w:p w14:paraId="0AB15C09">
            <w:pPr>
              <w:pStyle w:val="41"/>
              <w:rPr>
                <w:color w:val="auto"/>
                <w:highlight w:val="none"/>
              </w:rPr>
            </w:pPr>
            <w:r>
              <w:rPr>
                <w:color w:val="auto"/>
                <w:highlight w:val="none"/>
              </w:rPr>
              <w:t>400</w:t>
            </w:r>
          </w:p>
        </w:tc>
        <w:tc>
          <w:tcPr>
            <w:tcW w:w="1532" w:type="dxa"/>
            <w:noWrap/>
            <w:vAlign w:val="center"/>
          </w:tcPr>
          <w:p w14:paraId="51247287">
            <w:pPr>
              <w:pStyle w:val="41"/>
              <w:rPr>
                <w:color w:val="auto"/>
                <w:highlight w:val="none"/>
              </w:rPr>
            </w:pPr>
            <w:r>
              <w:rPr>
                <w:color w:val="auto"/>
                <w:highlight w:val="none"/>
              </w:rPr>
              <w:t>0.001252</w:t>
            </w:r>
          </w:p>
        </w:tc>
        <w:tc>
          <w:tcPr>
            <w:tcW w:w="946" w:type="dxa"/>
            <w:noWrap/>
            <w:vAlign w:val="center"/>
          </w:tcPr>
          <w:p w14:paraId="7E4A73CA">
            <w:pPr>
              <w:pStyle w:val="41"/>
              <w:rPr>
                <w:color w:val="auto"/>
                <w:highlight w:val="none"/>
              </w:rPr>
            </w:pPr>
            <w:r>
              <w:rPr>
                <w:color w:val="auto"/>
                <w:highlight w:val="none"/>
              </w:rPr>
              <w:t xml:space="preserve">0.25 </w:t>
            </w:r>
          </w:p>
        </w:tc>
        <w:tc>
          <w:tcPr>
            <w:tcW w:w="1398" w:type="dxa"/>
            <w:noWrap/>
            <w:vAlign w:val="center"/>
          </w:tcPr>
          <w:p w14:paraId="094908EB">
            <w:pPr>
              <w:pStyle w:val="41"/>
              <w:rPr>
                <w:color w:val="auto"/>
                <w:highlight w:val="none"/>
              </w:rPr>
            </w:pPr>
            <w:r>
              <w:rPr>
                <w:color w:val="auto"/>
                <w:highlight w:val="none"/>
              </w:rPr>
              <w:t>0.002815</w:t>
            </w:r>
          </w:p>
        </w:tc>
        <w:tc>
          <w:tcPr>
            <w:tcW w:w="872" w:type="dxa"/>
            <w:noWrap/>
            <w:vAlign w:val="center"/>
          </w:tcPr>
          <w:p w14:paraId="51E7CEA6">
            <w:pPr>
              <w:pStyle w:val="41"/>
              <w:rPr>
                <w:color w:val="auto"/>
                <w:highlight w:val="none"/>
              </w:rPr>
            </w:pPr>
            <w:r>
              <w:rPr>
                <w:color w:val="auto"/>
                <w:highlight w:val="none"/>
              </w:rPr>
              <w:t xml:space="preserve">1.41 </w:t>
            </w:r>
          </w:p>
        </w:tc>
        <w:tc>
          <w:tcPr>
            <w:tcW w:w="1398" w:type="dxa"/>
            <w:noWrap/>
            <w:vAlign w:val="center"/>
          </w:tcPr>
          <w:p w14:paraId="44EFA7BF">
            <w:pPr>
              <w:pStyle w:val="41"/>
              <w:rPr>
                <w:color w:val="auto"/>
                <w:highlight w:val="none"/>
              </w:rPr>
            </w:pPr>
            <w:r>
              <w:rPr>
                <w:color w:val="auto"/>
                <w:highlight w:val="none"/>
              </w:rPr>
              <w:t>0.000018</w:t>
            </w:r>
          </w:p>
        </w:tc>
        <w:tc>
          <w:tcPr>
            <w:tcW w:w="872" w:type="dxa"/>
            <w:noWrap/>
            <w:vAlign w:val="center"/>
          </w:tcPr>
          <w:p w14:paraId="39032460">
            <w:pPr>
              <w:pStyle w:val="41"/>
              <w:rPr>
                <w:color w:val="auto"/>
                <w:highlight w:val="none"/>
              </w:rPr>
            </w:pPr>
            <w:r>
              <w:rPr>
                <w:color w:val="auto"/>
                <w:highlight w:val="none"/>
              </w:rPr>
              <w:t>0</w:t>
            </w:r>
          </w:p>
        </w:tc>
      </w:tr>
      <w:tr w14:paraId="6A32AD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0DDA431">
            <w:pPr>
              <w:pStyle w:val="41"/>
              <w:rPr>
                <w:color w:val="auto"/>
                <w:highlight w:val="none"/>
              </w:rPr>
            </w:pPr>
            <w:r>
              <w:rPr>
                <w:color w:val="auto"/>
                <w:highlight w:val="none"/>
              </w:rPr>
              <w:t>19</w:t>
            </w:r>
          </w:p>
        </w:tc>
        <w:tc>
          <w:tcPr>
            <w:tcW w:w="1254" w:type="dxa"/>
            <w:noWrap/>
            <w:vAlign w:val="center"/>
          </w:tcPr>
          <w:p w14:paraId="01F0E125">
            <w:pPr>
              <w:pStyle w:val="41"/>
              <w:rPr>
                <w:color w:val="auto"/>
                <w:highlight w:val="none"/>
              </w:rPr>
            </w:pPr>
            <w:r>
              <w:rPr>
                <w:color w:val="auto"/>
                <w:highlight w:val="none"/>
              </w:rPr>
              <w:t>425</w:t>
            </w:r>
          </w:p>
        </w:tc>
        <w:tc>
          <w:tcPr>
            <w:tcW w:w="1532" w:type="dxa"/>
            <w:noWrap/>
            <w:vAlign w:val="center"/>
          </w:tcPr>
          <w:p w14:paraId="10F9E6F1">
            <w:pPr>
              <w:pStyle w:val="41"/>
              <w:rPr>
                <w:color w:val="auto"/>
                <w:highlight w:val="none"/>
              </w:rPr>
            </w:pPr>
            <w:r>
              <w:rPr>
                <w:color w:val="auto"/>
                <w:highlight w:val="none"/>
              </w:rPr>
              <w:t>0.001209</w:t>
            </w:r>
          </w:p>
        </w:tc>
        <w:tc>
          <w:tcPr>
            <w:tcW w:w="946" w:type="dxa"/>
            <w:noWrap/>
            <w:vAlign w:val="center"/>
          </w:tcPr>
          <w:p w14:paraId="5E1D5C41">
            <w:pPr>
              <w:pStyle w:val="41"/>
              <w:rPr>
                <w:color w:val="auto"/>
                <w:highlight w:val="none"/>
              </w:rPr>
            </w:pPr>
            <w:r>
              <w:rPr>
                <w:color w:val="auto"/>
                <w:highlight w:val="none"/>
              </w:rPr>
              <w:t xml:space="preserve">0.24 </w:t>
            </w:r>
          </w:p>
        </w:tc>
        <w:tc>
          <w:tcPr>
            <w:tcW w:w="1398" w:type="dxa"/>
            <w:noWrap/>
            <w:vAlign w:val="center"/>
          </w:tcPr>
          <w:p w14:paraId="27691D01">
            <w:pPr>
              <w:pStyle w:val="41"/>
              <w:rPr>
                <w:color w:val="auto"/>
                <w:highlight w:val="none"/>
              </w:rPr>
            </w:pPr>
            <w:r>
              <w:rPr>
                <w:color w:val="auto"/>
                <w:highlight w:val="none"/>
              </w:rPr>
              <w:t>0.002718</w:t>
            </w:r>
          </w:p>
        </w:tc>
        <w:tc>
          <w:tcPr>
            <w:tcW w:w="872" w:type="dxa"/>
            <w:noWrap/>
            <w:vAlign w:val="center"/>
          </w:tcPr>
          <w:p w14:paraId="068A7EB7">
            <w:pPr>
              <w:pStyle w:val="41"/>
              <w:rPr>
                <w:color w:val="auto"/>
                <w:highlight w:val="none"/>
              </w:rPr>
            </w:pPr>
            <w:r>
              <w:rPr>
                <w:color w:val="auto"/>
                <w:highlight w:val="none"/>
              </w:rPr>
              <w:t xml:space="preserve">1.36 </w:t>
            </w:r>
          </w:p>
        </w:tc>
        <w:tc>
          <w:tcPr>
            <w:tcW w:w="1398" w:type="dxa"/>
            <w:noWrap/>
            <w:vAlign w:val="center"/>
          </w:tcPr>
          <w:p w14:paraId="0A2BF3AC">
            <w:pPr>
              <w:pStyle w:val="41"/>
              <w:rPr>
                <w:color w:val="auto"/>
                <w:highlight w:val="none"/>
              </w:rPr>
            </w:pPr>
            <w:r>
              <w:rPr>
                <w:color w:val="auto"/>
                <w:highlight w:val="none"/>
              </w:rPr>
              <w:t>0.000018</w:t>
            </w:r>
          </w:p>
        </w:tc>
        <w:tc>
          <w:tcPr>
            <w:tcW w:w="872" w:type="dxa"/>
            <w:noWrap/>
            <w:vAlign w:val="center"/>
          </w:tcPr>
          <w:p w14:paraId="532FC202">
            <w:pPr>
              <w:pStyle w:val="41"/>
              <w:rPr>
                <w:color w:val="auto"/>
                <w:highlight w:val="none"/>
              </w:rPr>
            </w:pPr>
            <w:r>
              <w:rPr>
                <w:color w:val="auto"/>
                <w:highlight w:val="none"/>
              </w:rPr>
              <w:t>0</w:t>
            </w:r>
          </w:p>
        </w:tc>
      </w:tr>
      <w:tr w14:paraId="6041CF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52C767E">
            <w:pPr>
              <w:pStyle w:val="41"/>
              <w:rPr>
                <w:color w:val="auto"/>
                <w:highlight w:val="none"/>
              </w:rPr>
            </w:pPr>
            <w:r>
              <w:rPr>
                <w:color w:val="auto"/>
                <w:highlight w:val="none"/>
              </w:rPr>
              <w:t>20</w:t>
            </w:r>
          </w:p>
        </w:tc>
        <w:tc>
          <w:tcPr>
            <w:tcW w:w="1254" w:type="dxa"/>
            <w:noWrap/>
            <w:vAlign w:val="center"/>
          </w:tcPr>
          <w:p w14:paraId="05CA933F">
            <w:pPr>
              <w:pStyle w:val="41"/>
              <w:rPr>
                <w:color w:val="auto"/>
                <w:highlight w:val="none"/>
              </w:rPr>
            </w:pPr>
            <w:r>
              <w:rPr>
                <w:color w:val="auto"/>
                <w:highlight w:val="none"/>
              </w:rPr>
              <w:t>450</w:t>
            </w:r>
          </w:p>
        </w:tc>
        <w:tc>
          <w:tcPr>
            <w:tcW w:w="1532" w:type="dxa"/>
            <w:noWrap/>
            <w:vAlign w:val="center"/>
          </w:tcPr>
          <w:p w14:paraId="477F98B3">
            <w:pPr>
              <w:pStyle w:val="41"/>
              <w:rPr>
                <w:color w:val="auto"/>
                <w:highlight w:val="none"/>
              </w:rPr>
            </w:pPr>
            <w:r>
              <w:rPr>
                <w:color w:val="auto"/>
                <w:highlight w:val="none"/>
              </w:rPr>
              <w:t>0.001168</w:t>
            </w:r>
          </w:p>
        </w:tc>
        <w:tc>
          <w:tcPr>
            <w:tcW w:w="946" w:type="dxa"/>
            <w:noWrap/>
            <w:vAlign w:val="center"/>
          </w:tcPr>
          <w:p w14:paraId="0511E971">
            <w:pPr>
              <w:pStyle w:val="41"/>
              <w:rPr>
                <w:color w:val="auto"/>
                <w:highlight w:val="none"/>
              </w:rPr>
            </w:pPr>
            <w:r>
              <w:rPr>
                <w:color w:val="auto"/>
                <w:highlight w:val="none"/>
              </w:rPr>
              <w:t xml:space="preserve">0.23 </w:t>
            </w:r>
          </w:p>
        </w:tc>
        <w:tc>
          <w:tcPr>
            <w:tcW w:w="1398" w:type="dxa"/>
            <w:noWrap/>
            <w:vAlign w:val="center"/>
          </w:tcPr>
          <w:p w14:paraId="1B35426F">
            <w:pPr>
              <w:pStyle w:val="41"/>
              <w:rPr>
                <w:color w:val="auto"/>
                <w:highlight w:val="none"/>
              </w:rPr>
            </w:pPr>
            <w:r>
              <w:rPr>
                <w:color w:val="auto"/>
                <w:highlight w:val="none"/>
              </w:rPr>
              <w:t>0.002627</w:t>
            </w:r>
          </w:p>
        </w:tc>
        <w:tc>
          <w:tcPr>
            <w:tcW w:w="872" w:type="dxa"/>
            <w:noWrap/>
            <w:vAlign w:val="center"/>
          </w:tcPr>
          <w:p w14:paraId="65426082">
            <w:pPr>
              <w:pStyle w:val="41"/>
              <w:rPr>
                <w:color w:val="auto"/>
                <w:highlight w:val="none"/>
              </w:rPr>
            </w:pPr>
            <w:r>
              <w:rPr>
                <w:color w:val="auto"/>
                <w:highlight w:val="none"/>
              </w:rPr>
              <w:t xml:space="preserve">1.31 </w:t>
            </w:r>
          </w:p>
        </w:tc>
        <w:tc>
          <w:tcPr>
            <w:tcW w:w="1398" w:type="dxa"/>
            <w:noWrap/>
            <w:vAlign w:val="center"/>
          </w:tcPr>
          <w:p w14:paraId="3E7D404E">
            <w:pPr>
              <w:pStyle w:val="41"/>
              <w:rPr>
                <w:color w:val="auto"/>
                <w:highlight w:val="none"/>
              </w:rPr>
            </w:pPr>
            <w:r>
              <w:rPr>
                <w:color w:val="auto"/>
                <w:highlight w:val="none"/>
              </w:rPr>
              <w:t>0.000017</w:t>
            </w:r>
          </w:p>
        </w:tc>
        <w:tc>
          <w:tcPr>
            <w:tcW w:w="872" w:type="dxa"/>
            <w:noWrap/>
            <w:vAlign w:val="center"/>
          </w:tcPr>
          <w:p w14:paraId="6618CB72">
            <w:pPr>
              <w:pStyle w:val="41"/>
              <w:rPr>
                <w:color w:val="auto"/>
                <w:highlight w:val="none"/>
              </w:rPr>
            </w:pPr>
            <w:r>
              <w:rPr>
                <w:color w:val="auto"/>
                <w:highlight w:val="none"/>
              </w:rPr>
              <w:t>0</w:t>
            </w:r>
          </w:p>
        </w:tc>
      </w:tr>
      <w:tr w14:paraId="1B78AE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7CE8B59">
            <w:pPr>
              <w:pStyle w:val="41"/>
              <w:rPr>
                <w:color w:val="auto"/>
                <w:highlight w:val="none"/>
              </w:rPr>
            </w:pPr>
            <w:r>
              <w:rPr>
                <w:color w:val="auto"/>
                <w:highlight w:val="none"/>
              </w:rPr>
              <w:t>21</w:t>
            </w:r>
          </w:p>
        </w:tc>
        <w:tc>
          <w:tcPr>
            <w:tcW w:w="1254" w:type="dxa"/>
            <w:noWrap/>
            <w:vAlign w:val="center"/>
          </w:tcPr>
          <w:p w14:paraId="29C4A9EE">
            <w:pPr>
              <w:pStyle w:val="41"/>
              <w:rPr>
                <w:color w:val="auto"/>
                <w:highlight w:val="none"/>
              </w:rPr>
            </w:pPr>
            <w:r>
              <w:rPr>
                <w:color w:val="auto"/>
                <w:highlight w:val="none"/>
              </w:rPr>
              <w:t>475</w:t>
            </w:r>
          </w:p>
        </w:tc>
        <w:tc>
          <w:tcPr>
            <w:tcW w:w="1532" w:type="dxa"/>
            <w:noWrap/>
            <w:vAlign w:val="center"/>
          </w:tcPr>
          <w:p w14:paraId="78B7C5B5">
            <w:pPr>
              <w:pStyle w:val="41"/>
              <w:rPr>
                <w:color w:val="auto"/>
                <w:highlight w:val="none"/>
              </w:rPr>
            </w:pPr>
            <w:r>
              <w:rPr>
                <w:color w:val="auto"/>
                <w:highlight w:val="none"/>
              </w:rPr>
              <w:t>0.00113</w:t>
            </w:r>
          </w:p>
        </w:tc>
        <w:tc>
          <w:tcPr>
            <w:tcW w:w="946" w:type="dxa"/>
            <w:noWrap/>
            <w:vAlign w:val="center"/>
          </w:tcPr>
          <w:p w14:paraId="3D289E13">
            <w:pPr>
              <w:pStyle w:val="41"/>
              <w:rPr>
                <w:color w:val="auto"/>
                <w:highlight w:val="none"/>
              </w:rPr>
            </w:pPr>
            <w:r>
              <w:rPr>
                <w:color w:val="auto"/>
                <w:highlight w:val="none"/>
              </w:rPr>
              <w:t xml:space="preserve">0.23 </w:t>
            </w:r>
          </w:p>
        </w:tc>
        <w:tc>
          <w:tcPr>
            <w:tcW w:w="1398" w:type="dxa"/>
            <w:noWrap/>
            <w:vAlign w:val="center"/>
          </w:tcPr>
          <w:p w14:paraId="5A451957">
            <w:pPr>
              <w:pStyle w:val="41"/>
              <w:rPr>
                <w:color w:val="auto"/>
                <w:highlight w:val="none"/>
              </w:rPr>
            </w:pPr>
            <w:r>
              <w:rPr>
                <w:color w:val="auto"/>
                <w:highlight w:val="none"/>
              </w:rPr>
              <w:t>0.002541</w:t>
            </w:r>
          </w:p>
        </w:tc>
        <w:tc>
          <w:tcPr>
            <w:tcW w:w="872" w:type="dxa"/>
            <w:noWrap/>
            <w:vAlign w:val="center"/>
          </w:tcPr>
          <w:p w14:paraId="27EA01AA">
            <w:pPr>
              <w:pStyle w:val="41"/>
              <w:rPr>
                <w:color w:val="auto"/>
                <w:highlight w:val="none"/>
              </w:rPr>
            </w:pPr>
            <w:r>
              <w:rPr>
                <w:color w:val="auto"/>
                <w:highlight w:val="none"/>
              </w:rPr>
              <w:t xml:space="preserve">1.27 </w:t>
            </w:r>
          </w:p>
        </w:tc>
        <w:tc>
          <w:tcPr>
            <w:tcW w:w="1398" w:type="dxa"/>
            <w:noWrap/>
            <w:vAlign w:val="center"/>
          </w:tcPr>
          <w:p w14:paraId="574E8F2D">
            <w:pPr>
              <w:pStyle w:val="41"/>
              <w:rPr>
                <w:color w:val="auto"/>
                <w:highlight w:val="none"/>
              </w:rPr>
            </w:pPr>
            <w:r>
              <w:rPr>
                <w:color w:val="auto"/>
                <w:highlight w:val="none"/>
              </w:rPr>
              <w:t>0.000017</w:t>
            </w:r>
          </w:p>
        </w:tc>
        <w:tc>
          <w:tcPr>
            <w:tcW w:w="872" w:type="dxa"/>
            <w:noWrap/>
            <w:vAlign w:val="center"/>
          </w:tcPr>
          <w:p w14:paraId="7BD7A8EE">
            <w:pPr>
              <w:pStyle w:val="41"/>
              <w:rPr>
                <w:color w:val="auto"/>
                <w:highlight w:val="none"/>
              </w:rPr>
            </w:pPr>
            <w:r>
              <w:rPr>
                <w:color w:val="auto"/>
                <w:highlight w:val="none"/>
              </w:rPr>
              <w:t>0</w:t>
            </w:r>
          </w:p>
        </w:tc>
      </w:tr>
      <w:tr w14:paraId="0ED15F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FD57C3A">
            <w:pPr>
              <w:pStyle w:val="41"/>
              <w:rPr>
                <w:color w:val="auto"/>
                <w:highlight w:val="none"/>
              </w:rPr>
            </w:pPr>
            <w:r>
              <w:rPr>
                <w:color w:val="auto"/>
                <w:highlight w:val="none"/>
              </w:rPr>
              <w:t>22</w:t>
            </w:r>
          </w:p>
        </w:tc>
        <w:tc>
          <w:tcPr>
            <w:tcW w:w="1254" w:type="dxa"/>
            <w:noWrap/>
            <w:vAlign w:val="center"/>
          </w:tcPr>
          <w:p w14:paraId="3C0BB3E8">
            <w:pPr>
              <w:pStyle w:val="41"/>
              <w:rPr>
                <w:color w:val="auto"/>
                <w:highlight w:val="none"/>
              </w:rPr>
            </w:pPr>
            <w:r>
              <w:rPr>
                <w:color w:val="auto"/>
                <w:highlight w:val="none"/>
              </w:rPr>
              <w:t>500</w:t>
            </w:r>
          </w:p>
        </w:tc>
        <w:tc>
          <w:tcPr>
            <w:tcW w:w="1532" w:type="dxa"/>
            <w:noWrap/>
            <w:vAlign w:val="center"/>
          </w:tcPr>
          <w:p w14:paraId="2801A86B">
            <w:pPr>
              <w:pStyle w:val="41"/>
              <w:rPr>
                <w:color w:val="auto"/>
                <w:highlight w:val="none"/>
              </w:rPr>
            </w:pPr>
            <w:r>
              <w:rPr>
                <w:color w:val="auto"/>
                <w:highlight w:val="none"/>
              </w:rPr>
              <w:t>0.001094</w:t>
            </w:r>
          </w:p>
        </w:tc>
        <w:tc>
          <w:tcPr>
            <w:tcW w:w="946" w:type="dxa"/>
            <w:noWrap/>
            <w:vAlign w:val="center"/>
          </w:tcPr>
          <w:p w14:paraId="62A6E23E">
            <w:pPr>
              <w:pStyle w:val="41"/>
              <w:rPr>
                <w:color w:val="auto"/>
                <w:highlight w:val="none"/>
              </w:rPr>
            </w:pPr>
            <w:r>
              <w:rPr>
                <w:color w:val="auto"/>
                <w:highlight w:val="none"/>
              </w:rPr>
              <w:t xml:space="preserve">0.22 </w:t>
            </w:r>
          </w:p>
        </w:tc>
        <w:tc>
          <w:tcPr>
            <w:tcW w:w="1398" w:type="dxa"/>
            <w:noWrap/>
            <w:vAlign w:val="center"/>
          </w:tcPr>
          <w:p w14:paraId="37424867">
            <w:pPr>
              <w:pStyle w:val="41"/>
              <w:rPr>
                <w:color w:val="auto"/>
                <w:highlight w:val="none"/>
              </w:rPr>
            </w:pPr>
            <w:r>
              <w:rPr>
                <w:color w:val="auto"/>
                <w:highlight w:val="none"/>
              </w:rPr>
              <w:t>0.002461</w:t>
            </w:r>
          </w:p>
        </w:tc>
        <w:tc>
          <w:tcPr>
            <w:tcW w:w="872" w:type="dxa"/>
            <w:noWrap/>
            <w:vAlign w:val="center"/>
          </w:tcPr>
          <w:p w14:paraId="04E07622">
            <w:pPr>
              <w:pStyle w:val="41"/>
              <w:rPr>
                <w:color w:val="auto"/>
                <w:highlight w:val="none"/>
              </w:rPr>
            </w:pPr>
            <w:r>
              <w:rPr>
                <w:color w:val="auto"/>
                <w:highlight w:val="none"/>
              </w:rPr>
              <w:t xml:space="preserve">1.23 </w:t>
            </w:r>
          </w:p>
        </w:tc>
        <w:tc>
          <w:tcPr>
            <w:tcW w:w="1398" w:type="dxa"/>
            <w:noWrap/>
            <w:vAlign w:val="center"/>
          </w:tcPr>
          <w:p w14:paraId="32209A3E">
            <w:pPr>
              <w:pStyle w:val="41"/>
              <w:rPr>
                <w:color w:val="auto"/>
                <w:highlight w:val="none"/>
              </w:rPr>
            </w:pPr>
            <w:r>
              <w:rPr>
                <w:color w:val="auto"/>
                <w:highlight w:val="none"/>
              </w:rPr>
              <w:t>0.000016</w:t>
            </w:r>
          </w:p>
        </w:tc>
        <w:tc>
          <w:tcPr>
            <w:tcW w:w="872" w:type="dxa"/>
            <w:noWrap/>
            <w:vAlign w:val="center"/>
          </w:tcPr>
          <w:p w14:paraId="27CA1697">
            <w:pPr>
              <w:pStyle w:val="41"/>
              <w:rPr>
                <w:color w:val="auto"/>
                <w:highlight w:val="none"/>
              </w:rPr>
            </w:pPr>
            <w:r>
              <w:rPr>
                <w:color w:val="auto"/>
                <w:highlight w:val="none"/>
              </w:rPr>
              <w:t>0</w:t>
            </w:r>
          </w:p>
        </w:tc>
      </w:tr>
      <w:tr w14:paraId="27DC12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1390292">
            <w:pPr>
              <w:pStyle w:val="41"/>
              <w:rPr>
                <w:color w:val="auto"/>
                <w:highlight w:val="none"/>
              </w:rPr>
            </w:pPr>
            <w:r>
              <w:rPr>
                <w:color w:val="auto"/>
                <w:highlight w:val="none"/>
              </w:rPr>
              <w:t>23</w:t>
            </w:r>
          </w:p>
        </w:tc>
        <w:tc>
          <w:tcPr>
            <w:tcW w:w="1254" w:type="dxa"/>
            <w:noWrap/>
            <w:vAlign w:val="center"/>
          </w:tcPr>
          <w:p w14:paraId="53244406">
            <w:pPr>
              <w:pStyle w:val="41"/>
              <w:rPr>
                <w:color w:val="auto"/>
                <w:highlight w:val="none"/>
              </w:rPr>
            </w:pPr>
            <w:r>
              <w:rPr>
                <w:color w:val="auto"/>
                <w:highlight w:val="none"/>
              </w:rPr>
              <w:t>525</w:t>
            </w:r>
          </w:p>
        </w:tc>
        <w:tc>
          <w:tcPr>
            <w:tcW w:w="1532" w:type="dxa"/>
            <w:noWrap/>
            <w:vAlign w:val="center"/>
          </w:tcPr>
          <w:p w14:paraId="315281BB">
            <w:pPr>
              <w:pStyle w:val="41"/>
              <w:rPr>
                <w:color w:val="auto"/>
                <w:highlight w:val="none"/>
              </w:rPr>
            </w:pPr>
            <w:r>
              <w:rPr>
                <w:color w:val="auto"/>
                <w:highlight w:val="none"/>
              </w:rPr>
              <w:t>0.00106</w:t>
            </w:r>
          </w:p>
        </w:tc>
        <w:tc>
          <w:tcPr>
            <w:tcW w:w="946" w:type="dxa"/>
            <w:noWrap/>
            <w:vAlign w:val="center"/>
          </w:tcPr>
          <w:p w14:paraId="4547BDD2">
            <w:pPr>
              <w:pStyle w:val="41"/>
              <w:rPr>
                <w:color w:val="auto"/>
                <w:highlight w:val="none"/>
              </w:rPr>
            </w:pPr>
            <w:r>
              <w:rPr>
                <w:color w:val="auto"/>
                <w:highlight w:val="none"/>
              </w:rPr>
              <w:t xml:space="preserve">0.21 </w:t>
            </w:r>
          </w:p>
        </w:tc>
        <w:tc>
          <w:tcPr>
            <w:tcW w:w="1398" w:type="dxa"/>
            <w:noWrap/>
            <w:vAlign w:val="center"/>
          </w:tcPr>
          <w:p w14:paraId="6C4A07CA">
            <w:pPr>
              <w:pStyle w:val="41"/>
              <w:rPr>
                <w:color w:val="auto"/>
                <w:highlight w:val="none"/>
              </w:rPr>
            </w:pPr>
            <w:r>
              <w:rPr>
                <w:color w:val="auto"/>
                <w:highlight w:val="none"/>
              </w:rPr>
              <w:t>0.002385</w:t>
            </w:r>
          </w:p>
        </w:tc>
        <w:tc>
          <w:tcPr>
            <w:tcW w:w="872" w:type="dxa"/>
            <w:noWrap/>
            <w:vAlign w:val="center"/>
          </w:tcPr>
          <w:p w14:paraId="6F19BCCD">
            <w:pPr>
              <w:pStyle w:val="41"/>
              <w:rPr>
                <w:color w:val="auto"/>
                <w:highlight w:val="none"/>
              </w:rPr>
            </w:pPr>
            <w:r>
              <w:rPr>
                <w:color w:val="auto"/>
                <w:highlight w:val="none"/>
              </w:rPr>
              <w:t xml:space="preserve">1.19 </w:t>
            </w:r>
          </w:p>
        </w:tc>
        <w:tc>
          <w:tcPr>
            <w:tcW w:w="1398" w:type="dxa"/>
            <w:noWrap/>
            <w:vAlign w:val="center"/>
          </w:tcPr>
          <w:p w14:paraId="496CFE61">
            <w:pPr>
              <w:pStyle w:val="41"/>
              <w:rPr>
                <w:color w:val="auto"/>
                <w:highlight w:val="none"/>
              </w:rPr>
            </w:pPr>
            <w:r>
              <w:rPr>
                <w:color w:val="auto"/>
                <w:highlight w:val="none"/>
              </w:rPr>
              <w:t>0.000016</w:t>
            </w:r>
          </w:p>
        </w:tc>
        <w:tc>
          <w:tcPr>
            <w:tcW w:w="872" w:type="dxa"/>
            <w:noWrap/>
            <w:vAlign w:val="center"/>
          </w:tcPr>
          <w:p w14:paraId="7567BD74">
            <w:pPr>
              <w:pStyle w:val="41"/>
              <w:rPr>
                <w:color w:val="auto"/>
                <w:highlight w:val="none"/>
              </w:rPr>
            </w:pPr>
            <w:r>
              <w:rPr>
                <w:color w:val="auto"/>
                <w:highlight w:val="none"/>
              </w:rPr>
              <w:t>0</w:t>
            </w:r>
          </w:p>
        </w:tc>
      </w:tr>
      <w:tr w14:paraId="4D5AD1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0C893FD">
            <w:pPr>
              <w:pStyle w:val="41"/>
              <w:rPr>
                <w:color w:val="auto"/>
                <w:highlight w:val="none"/>
              </w:rPr>
            </w:pPr>
            <w:r>
              <w:rPr>
                <w:color w:val="auto"/>
                <w:highlight w:val="none"/>
              </w:rPr>
              <w:t>24</w:t>
            </w:r>
          </w:p>
        </w:tc>
        <w:tc>
          <w:tcPr>
            <w:tcW w:w="1254" w:type="dxa"/>
            <w:noWrap/>
            <w:vAlign w:val="center"/>
          </w:tcPr>
          <w:p w14:paraId="69E21FE2">
            <w:pPr>
              <w:pStyle w:val="41"/>
              <w:rPr>
                <w:color w:val="auto"/>
                <w:highlight w:val="none"/>
              </w:rPr>
            </w:pPr>
            <w:r>
              <w:rPr>
                <w:color w:val="auto"/>
                <w:highlight w:val="none"/>
              </w:rPr>
              <w:t>550</w:t>
            </w:r>
          </w:p>
        </w:tc>
        <w:tc>
          <w:tcPr>
            <w:tcW w:w="1532" w:type="dxa"/>
            <w:noWrap/>
            <w:vAlign w:val="center"/>
          </w:tcPr>
          <w:p w14:paraId="22EE0C2D">
            <w:pPr>
              <w:pStyle w:val="41"/>
              <w:rPr>
                <w:color w:val="auto"/>
                <w:highlight w:val="none"/>
              </w:rPr>
            </w:pPr>
            <w:r>
              <w:rPr>
                <w:color w:val="auto"/>
                <w:highlight w:val="none"/>
              </w:rPr>
              <w:t>0.001029</w:t>
            </w:r>
          </w:p>
        </w:tc>
        <w:tc>
          <w:tcPr>
            <w:tcW w:w="946" w:type="dxa"/>
            <w:noWrap/>
            <w:vAlign w:val="center"/>
          </w:tcPr>
          <w:p w14:paraId="2155E37B">
            <w:pPr>
              <w:pStyle w:val="41"/>
              <w:rPr>
                <w:color w:val="auto"/>
                <w:highlight w:val="none"/>
              </w:rPr>
            </w:pPr>
            <w:r>
              <w:rPr>
                <w:color w:val="auto"/>
                <w:highlight w:val="none"/>
              </w:rPr>
              <w:t xml:space="preserve">0.21 </w:t>
            </w:r>
          </w:p>
        </w:tc>
        <w:tc>
          <w:tcPr>
            <w:tcW w:w="1398" w:type="dxa"/>
            <w:noWrap/>
            <w:vAlign w:val="center"/>
          </w:tcPr>
          <w:p w14:paraId="7704A3F2">
            <w:pPr>
              <w:pStyle w:val="41"/>
              <w:rPr>
                <w:color w:val="auto"/>
                <w:highlight w:val="none"/>
              </w:rPr>
            </w:pPr>
            <w:r>
              <w:rPr>
                <w:color w:val="auto"/>
                <w:highlight w:val="none"/>
              </w:rPr>
              <w:t>0.002314</w:t>
            </w:r>
          </w:p>
        </w:tc>
        <w:tc>
          <w:tcPr>
            <w:tcW w:w="872" w:type="dxa"/>
            <w:noWrap/>
            <w:vAlign w:val="center"/>
          </w:tcPr>
          <w:p w14:paraId="081278F2">
            <w:pPr>
              <w:pStyle w:val="41"/>
              <w:rPr>
                <w:color w:val="auto"/>
                <w:highlight w:val="none"/>
              </w:rPr>
            </w:pPr>
            <w:r>
              <w:rPr>
                <w:color w:val="auto"/>
                <w:highlight w:val="none"/>
              </w:rPr>
              <w:t xml:space="preserve">1.16 </w:t>
            </w:r>
          </w:p>
        </w:tc>
        <w:tc>
          <w:tcPr>
            <w:tcW w:w="1398" w:type="dxa"/>
            <w:noWrap/>
            <w:vAlign w:val="center"/>
          </w:tcPr>
          <w:p w14:paraId="47B6A378">
            <w:pPr>
              <w:pStyle w:val="41"/>
              <w:rPr>
                <w:color w:val="auto"/>
                <w:highlight w:val="none"/>
              </w:rPr>
            </w:pPr>
            <w:r>
              <w:rPr>
                <w:color w:val="auto"/>
                <w:highlight w:val="none"/>
              </w:rPr>
              <w:t>0.000015</w:t>
            </w:r>
          </w:p>
        </w:tc>
        <w:tc>
          <w:tcPr>
            <w:tcW w:w="872" w:type="dxa"/>
            <w:noWrap/>
            <w:vAlign w:val="center"/>
          </w:tcPr>
          <w:p w14:paraId="44AA1E57">
            <w:pPr>
              <w:pStyle w:val="41"/>
              <w:rPr>
                <w:color w:val="auto"/>
                <w:highlight w:val="none"/>
              </w:rPr>
            </w:pPr>
            <w:r>
              <w:rPr>
                <w:color w:val="auto"/>
                <w:highlight w:val="none"/>
              </w:rPr>
              <w:t>0</w:t>
            </w:r>
          </w:p>
        </w:tc>
      </w:tr>
      <w:tr w14:paraId="4AA8B1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0141EE5">
            <w:pPr>
              <w:pStyle w:val="41"/>
              <w:rPr>
                <w:color w:val="auto"/>
                <w:highlight w:val="none"/>
              </w:rPr>
            </w:pPr>
            <w:r>
              <w:rPr>
                <w:color w:val="auto"/>
                <w:highlight w:val="none"/>
              </w:rPr>
              <w:t>25</w:t>
            </w:r>
          </w:p>
        </w:tc>
        <w:tc>
          <w:tcPr>
            <w:tcW w:w="1254" w:type="dxa"/>
            <w:noWrap/>
            <w:vAlign w:val="center"/>
          </w:tcPr>
          <w:p w14:paraId="0EF2123C">
            <w:pPr>
              <w:pStyle w:val="41"/>
              <w:rPr>
                <w:color w:val="auto"/>
                <w:highlight w:val="none"/>
              </w:rPr>
            </w:pPr>
            <w:r>
              <w:rPr>
                <w:color w:val="auto"/>
                <w:highlight w:val="none"/>
              </w:rPr>
              <w:t>575</w:t>
            </w:r>
          </w:p>
        </w:tc>
        <w:tc>
          <w:tcPr>
            <w:tcW w:w="1532" w:type="dxa"/>
            <w:noWrap/>
            <w:vAlign w:val="center"/>
          </w:tcPr>
          <w:p w14:paraId="77B22F81">
            <w:pPr>
              <w:pStyle w:val="41"/>
              <w:rPr>
                <w:color w:val="auto"/>
                <w:highlight w:val="none"/>
              </w:rPr>
            </w:pPr>
            <w:r>
              <w:rPr>
                <w:color w:val="auto"/>
                <w:highlight w:val="none"/>
              </w:rPr>
              <w:t>0.000999</w:t>
            </w:r>
          </w:p>
        </w:tc>
        <w:tc>
          <w:tcPr>
            <w:tcW w:w="946" w:type="dxa"/>
            <w:noWrap/>
            <w:vAlign w:val="center"/>
          </w:tcPr>
          <w:p w14:paraId="09D57269">
            <w:pPr>
              <w:pStyle w:val="41"/>
              <w:rPr>
                <w:color w:val="auto"/>
                <w:highlight w:val="none"/>
              </w:rPr>
            </w:pPr>
            <w:r>
              <w:rPr>
                <w:color w:val="auto"/>
                <w:highlight w:val="none"/>
              </w:rPr>
              <w:t xml:space="preserve">0.20 </w:t>
            </w:r>
          </w:p>
        </w:tc>
        <w:tc>
          <w:tcPr>
            <w:tcW w:w="1398" w:type="dxa"/>
            <w:noWrap/>
            <w:vAlign w:val="center"/>
          </w:tcPr>
          <w:p w14:paraId="5C92D413">
            <w:pPr>
              <w:pStyle w:val="41"/>
              <w:rPr>
                <w:color w:val="auto"/>
                <w:highlight w:val="none"/>
              </w:rPr>
            </w:pPr>
            <w:r>
              <w:rPr>
                <w:color w:val="auto"/>
                <w:highlight w:val="none"/>
              </w:rPr>
              <w:t>0.002247</w:t>
            </w:r>
          </w:p>
        </w:tc>
        <w:tc>
          <w:tcPr>
            <w:tcW w:w="872" w:type="dxa"/>
            <w:noWrap/>
            <w:vAlign w:val="center"/>
          </w:tcPr>
          <w:p w14:paraId="07DEC402">
            <w:pPr>
              <w:pStyle w:val="41"/>
              <w:rPr>
                <w:color w:val="auto"/>
                <w:highlight w:val="none"/>
              </w:rPr>
            </w:pPr>
            <w:r>
              <w:rPr>
                <w:color w:val="auto"/>
                <w:highlight w:val="none"/>
              </w:rPr>
              <w:t xml:space="preserve">1.12 </w:t>
            </w:r>
          </w:p>
        </w:tc>
        <w:tc>
          <w:tcPr>
            <w:tcW w:w="1398" w:type="dxa"/>
            <w:noWrap/>
            <w:vAlign w:val="center"/>
          </w:tcPr>
          <w:p w14:paraId="081231CF">
            <w:pPr>
              <w:pStyle w:val="41"/>
              <w:rPr>
                <w:color w:val="auto"/>
                <w:highlight w:val="none"/>
              </w:rPr>
            </w:pPr>
            <w:r>
              <w:rPr>
                <w:color w:val="auto"/>
                <w:highlight w:val="none"/>
              </w:rPr>
              <w:t>0.000015</w:t>
            </w:r>
          </w:p>
        </w:tc>
        <w:tc>
          <w:tcPr>
            <w:tcW w:w="872" w:type="dxa"/>
            <w:noWrap/>
            <w:vAlign w:val="center"/>
          </w:tcPr>
          <w:p w14:paraId="3D0D84B4">
            <w:pPr>
              <w:pStyle w:val="41"/>
              <w:rPr>
                <w:color w:val="auto"/>
                <w:highlight w:val="none"/>
              </w:rPr>
            </w:pPr>
            <w:r>
              <w:rPr>
                <w:color w:val="auto"/>
                <w:highlight w:val="none"/>
              </w:rPr>
              <w:t>0</w:t>
            </w:r>
          </w:p>
        </w:tc>
      </w:tr>
      <w:tr w14:paraId="492ED0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4A2DA21">
            <w:pPr>
              <w:pStyle w:val="41"/>
              <w:rPr>
                <w:color w:val="auto"/>
                <w:highlight w:val="none"/>
              </w:rPr>
            </w:pPr>
            <w:r>
              <w:rPr>
                <w:color w:val="auto"/>
                <w:highlight w:val="none"/>
              </w:rPr>
              <w:t>26</w:t>
            </w:r>
          </w:p>
        </w:tc>
        <w:tc>
          <w:tcPr>
            <w:tcW w:w="1254" w:type="dxa"/>
            <w:noWrap/>
            <w:vAlign w:val="center"/>
          </w:tcPr>
          <w:p w14:paraId="3696ED58">
            <w:pPr>
              <w:pStyle w:val="41"/>
              <w:rPr>
                <w:color w:val="auto"/>
                <w:highlight w:val="none"/>
              </w:rPr>
            </w:pPr>
            <w:r>
              <w:rPr>
                <w:color w:val="auto"/>
                <w:highlight w:val="none"/>
              </w:rPr>
              <w:t>600</w:t>
            </w:r>
          </w:p>
        </w:tc>
        <w:tc>
          <w:tcPr>
            <w:tcW w:w="1532" w:type="dxa"/>
            <w:noWrap/>
            <w:vAlign w:val="center"/>
          </w:tcPr>
          <w:p w14:paraId="571C1C23">
            <w:pPr>
              <w:pStyle w:val="41"/>
              <w:rPr>
                <w:color w:val="auto"/>
                <w:highlight w:val="none"/>
              </w:rPr>
            </w:pPr>
            <w:r>
              <w:rPr>
                <w:color w:val="auto"/>
                <w:highlight w:val="none"/>
              </w:rPr>
              <w:t>0.000971</w:t>
            </w:r>
          </w:p>
        </w:tc>
        <w:tc>
          <w:tcPr>
            <w:tcW w:w="946" w:type="dxa"/>
            <w:noWrap/>
            <w:vAlign w:val="center"/>
          </w:tcPr>
          <w:p w14:paraId="6C705C61">
            <w:pPr>
              <w:pStyle w:val="41"/>
              <w:rPr>
                <w:color w:val="auto"/>
                <w:highlight w:val="none"/>
              </w:rPr>
            </w:pPr>
            <w:r>
              <w:rPr>
                <w:color w:val="auto"/>
                <w:highlight w:val="none"/>
              </w:rPr>
              <w:t xml:space="preserve">0.19 </w:t>
            </w:r>
          </w:p>
        </w:tc>
        <w:tc>
          <w:tcPr>
            <w:tcW w:w="1398" w:type="dxa"/>
            <w:noWrap/>
            <w:vAlign w:val="center"/>
          </w:tcPr>
          <w:p w14:paraId="2D94E422">
            <w:pPr>
              <w:pStyle w:val="41"/>
              <w:rPr>
                <w:color w:val="auto"/>
                <w:highlight w:val="none"/>
              </w:rPr>
            </w:pPr>
            <w:r>
              <w:rPr>
                <w:color w:val="auto"/>
                <w:highlight w:val="none"/>
              </w:rPr>
              <w:t>0.002184</w:t>
            </w:r>
          </w:p>
        </w:tc>
        <w:tc>
          <w:tcPr>
            <w:tcW w:w="872" w:type="dxa"/>
            <w:noWrap/>
            <w:vAlign w:val="center"/>
          </w:tcPr>
          <w:p w14:paraId="4400BF99">
            <w:pPr>
              <w:pStyle w:val="41"/>
              <w:rPr>
                <w:color w:val="auto"/>
                <w:highlight w:val="none"/>
              </w:rPr>
            </w:pPr>
            <w:r>
              <w:rPr>
                <w:color w:val="auto"/>
                <w:highlight w:val="none"/>
              </w:rPr>
              <w:t xml:space="preserve">1.09 </w:t>
            </w:r>
          </w:p>
        </w:tc>
        <w:tc>
          <w:tcPr>
            <w:tcW w:w="1398" w:type="dxa"/>
            <w:noWrap/>
            <w:vAlign w:val="center"/>
          </w:tcPr>
          <w:p w14:paraId="6BC322DA">
            <w:pPr>
              <w:pStyle w:val="41"/>
              <w:rPr>
                <w:color w:val="auto"/>
                <w:highlight w:val="none"/>
              </w:rPr>
            </w:pPr>
            <w:r>
              <w:rPr>
                <w:color w:val="auto"/>
                <w:highlight w:val="none"/>
              </w:rPr>
              <w:t>0.000014</w:t>
            </w:r>
          </w:p>
        </w:tc>
        <w:tc>
          <w:tcPr>
            <w:tcW w:w="872" w:type="dxa"/>
            <w:noWrap/>
            <w:vAlign w:val="center"/>
          </w:tcPr>
          <w:p w14:paraId="381CEFF8">
            <w:pPr>
              <w:pStyle w:val="41"/>
              <w:rPr>
                <w:color w:val="auto"/>
                <w:highlight w:val="none"/>
              </w:rPr>
            </w:pPr>
            <w:r>
              <w:rPr>
                <w:color w:val="auto"/>
                <w:highlight w:val="none"/>
              </w:rPr>
              <w:t>0</w:t>
            </w:r>
          </w:p>
        </w:tc>
      </w:tr>
      <w:tr w14:paraId="63B8B0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40CAB1A">
            <w:pPr>
              <w:pStyle w:val="41"/>
              <w:rPr>
                <w:color w:val="auto"/>
                <w:highlight w:val="none"/>
              </w:rPr>
            </w:pPr>
            <w:r>
              <w:rPr>
                <w:color w:val="auto"/>
                <w:highlight w:val="none"/>
              </w:rPr>
              <w:t>27</w:t>
            </w:r>
          </w:p>
        </w:tc>
        <w:tc>
          <w:tcPr>
            <w:tcW w:w="1254" w:type="dxa"/>
            <w:noWrap/>
            <w:vAlign w:val="center"/>
          </w:tcPr>
          <w:p w14:paraId="150CD67F">
            <w:pPr>
              <w:pStyle w:val="41"/>
              <w:rPr>
                <w:color w:val="auto"/>
                <w:highlight w:val="none"/>
              </w:rPr>
            </w:pPr>
            <w:r>
              <w:rPr>
                <w:color w:val="auto"/>
                <w:highlight w:val="none"/>
              </w:rPr>
              <w:t>625</w:t>
            </w:r>
          </w:p>
        </w:tc>
        <w:tc>
          <w:tcPr>
            <w:tcW w:w="1532" w:type="dxa"/>
            <w:noWrap/>
            <w:vAlign w:val="center"/>
          </w:tcPr>
          <w:p w14:paraId="288D75A5">
            <w:pPr>
              <w:pStyle w:val="41"/>
              <w:rPr>
                <w:color w:val="auto"/>
                <w:highlight w:val="none"/>
              </w:rPr>
            </w:pPr>
            <w:r>
              <w:rPr>
                <w:color w:val="auto"/>
                <w:highlight w:val="none"/>
              </w:rPr>
              <w:t>0.000944</w:t>
            </w:r>
          </w:p>
        </w:tc>
        <w:tc>
          <w:tcPr>
            <w:tcW w:w="946" w:type="dxa"/>
            <w:noWrap/>
            <w:vAlign w:val="center"/>
          </w:tcPr>
          <w:p w14:paraId="55E6F48F">
            <w:pPr>
              <w:pStyle w:val="41"/>
              <w:rPr>
                <w:color w:val="auto"/>
                <w:highlight w:val="none"/>
              </w:rPr>
            </w:pPr>
            <w:r>
              <w:rPr>
                <w:color w:val="auto"/>
                <w:highlight w:val="none"/>
              </w:rPr>
              <w:t xml:space="preserve">0.19 </w:t>
            </w:r>
          </w:p>
        </w:tc>
        <w:tc>
          <w:tcPr>
            <w:tcW w:w="1398" w:type="dxa"/>
            <w:noWrap/>
            <w:vAlign w:val="center"/>
          </w:tcPr>
          <w:p w14:paraId="184105F1">
            <w:pPr>
              <w:pStyle w:val="41"/>
              <w:rPr>
                <w:color w:val="auto"/>
                <w:highlight w:val="none"/>
              </w:rPr>
            </w:pPr>
            <w:r>
              <w:rPr>
                <w:color w:val="auto"/>
                <w:highlight w:val="none"/>
              </w:rPr>
              <w:t>0.002124</w:t>
            </w:r>
          </w:p>
        </w:tc>
        <w:tc>
          <w:tcPr>
            <w:tcW w:w="872" w:type="dxa"/>
            <w:noWrap/>
            <w:vAlign w:val="center"/>
          </w:tcPr>
          <w:p w14:paraId="118DA8EC">
            <w:pPr>
              <w:pStyle w:val="41"/>
              <w:rPr>
                <w:color w:val="auto"/>
                <w:highlight w:val="none"/>
              </w:rPr>
            </w:pPr>
            <w:r>
              <w:rPr>
                <w:color w:val="auto"/>
                <w:highlight w:val="none"/>
              </w:rPr>
              <w:t xml:space="preserve">1.06 </w:t>
            </w:r>
          </w:p>
        </w:tc>
        <w:tc>
          <w:tcPr>
            <w:tcW w:w="1398" w:type="dxa"/>
            <w:noWrap/>
            <w:vAlign w:val="center"/>
          </w:tcPr>
          <w:p w14:paraId="02962C52">
            <w:pPr>
              <w:pStyle w:val="41"/>
              <w:rPr>
                <w:color w:val="auto"/>
                <w:highlight w:val="none"/>
              </w:rPr>
            </w:pPr>
            <w:r>
              <w:rPr>
                <w:color w:val="auto"/>
                <w:highlight w:val="none"/>
              </w:rPr>
              <w:t>0.000014</w:t>
            </w:r>
          </w:p>
        </w:tc>
        <w:tc>
          <w:tcPr>
            <w:tcW w:w="872" w:type="dxa"/>
            <w:noWrap/>
            <w:vAlign w:val="center"/>
          </w:tcPr>
          <w:p w14:paraId="562EFD4F">
            <w:pPr>
              <w:pStyle w:val="41"/>
              <w:rPr>
                <w:color w:val="auto"/>
                <w:highlight w:val="none"/>
              </w:rPr>
            </w:pPr>
            <w:r>
              <w:rPr>
                <w:color w:val="auto"/>
                <w:highlight w:val="none"/>
              </w:rPr>
              <w:t>0</w:t>
            </w:r>
          </w:p>
        </w:tc>
      </w:tr>
      <w:tr w14:paraId="651F6D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F53E45D">
            <w:pPr>
              <w:pStyle w:val="41"/>
              <w:rPr>
                <w:color w:val="auto"/>
                <w:highlight w:val="none"/>
              </w:rPr>
            </w:pPr>
            <w:r>
              <w:rPr>
                <w:color w:val="auto"/>
                <w:highlight w:val="none"/>
              </w:rPr>
              <w:t>28</w:t>
            </w:r>
          </w:p>
        </w:tc>
        <w:tc>
          <w:tcPr>
            <w:tcW w:w="1254" w:type="dxa"/>
            <w:noWrap/>
            <w:vAlign w:val="center"/>
          </w:tcPr>
          <w:p w14:paraId="106C9D2E">
            <w:pPr>
              <w:pStyle w:val="41"/>
              <w:rPr>
                <w:color w:val="auto"/>
                <w:highlight w:val="none"/>
              </w:rPr>
            </w:pPr>
            <w:r>
              <w:rPr>
                <w:color w:val="auto"/>
                <w:highlight w:val="none"/>
              </w:rPr>
              <w:t>650</w:t>
            </w:r>
          </w:p>
        </w:tc>
        <w:tc>
          <w:tcPr>
            <w:tcW w:w="1532" w:type="dxa"/>
            <w:noWrap/>
            <w:vAlign w:val="center"/>
          </w:tcPr>
          <w:p w14:paraId="31D69593">
            <w:pPr>
              <w:pStyle w:val="41"/>
              <w:rPr>
                <w:color w:val="auto"/>
                <w:highlight w:val="none"/>
              </w:rPr>
            </w:pPr>
            <w:r>
              <w:rPr>
                <w:color w:val="auto"/>
                <w:highlight w:val="none"/>
              </w:rPr>
              <w:t>0.001043</w:t>
            </w:r>
          </w:p>
        </w:tc>
        <w:tc>
          <w:tcPr>
            <w:tcW w:w="946" w:type="dxa"/>
            <w:noWrap/>
            <w:vAlign w:val="center"/>
          </w:tcPr>
          <w:p w14:paraId="1034F428">
            <w:pPr>
              <w:pStyle w:val="41"/>
              <w:rPr>
                <w:color w:val="auto"/>
                <w:highlight w:val="none"/>
              </w:rPr>
            </w:pPr>
            <w:r>
              <w:rPr>
                <w:color w:val="auto"/>
                <w:highlight w:val="none"/>
              </w:rPr>
              <w:t xml:space="preserve">0.21 </w:t>
            </w:r>
          </w:p>
        </w:tc>
        <w:tc>
          <w:tcPr>
            <w:tcW w:w="1398" w:type="dxa"/>
            <w:noWrap/>
            <w:vAlign w:val="center"/>
          </w:tcPr>
          <w:p w14:paraId="5A876E82">
            <w:pPr>
              <w:pStyle w:val="41"/>
              <w:rPr>
                <w:color w:val="auto"/>
                <w:highlight w:val="none"/>
              </w:rPr>
            </w:pPr>
            <w:r>
              <w:rPr>
                <w:color w:val="auto"/>
                <w:highlight w:val="none"/>
              </w:rPr>
              <w:t>0.002345</w:t>
            </w:r>
          </w:p>
        </w:tc>
        <w:tc>
          <w:tcPr>
            <w:tcW w:w="872" w:type="dxa"/>
            <w:noWrap/>
            <w:vAlign w:val="center"/>
          </w:tcPr>
          <w:p w14:paraId="18A7521D">
            <w:pPr>
              <w:pStyle w:val="41"/>
              <w:rPr>
                <w:color w:val="auto"/>
                <w:highlight w:val="none"/>
              </w:rPr>
            </w:pPr>
            <w:r>
              <w:rPr>
                <w:color w:val="auto"/>
                <w:highlight w:val="none"/>
              </w:rPr>
              <w:t xml:space="preserve">1.17 </w:t>
            </w:r>
          </w:p>
        </w:tc>
        <w:tc>
          <w:tcPr>
            <w:tcW w:w="1398" w:type="dxa"/>
            <w:noWrap/>
            <w:vAlign w:val="center"/>
          </w:tcPr>
          <w:p w14:paraId="6605D0B0">
            <w:pPr>
              <w:pStyle w:val="41"/>
              <w:rPr>
                <w:color w:val="auto"/>
                <w:highlight w:val="none"/>
              </w:rPr>
            </w:pPr>
            <w:r>
              <w:rPr>
                <w:color w:val="auto"/>
                <w:highlight w:val="none"/>
              </w:rPr>
              <w:t>0.000015</w:t>
            </w:r>
          </w:p>
        </w:tc>
        <w:tc>
          <w:tcPr>
            <w:tcW w:w="872" w:type="dxa"/>
            <w:noWrap/>
            <w:vAlign w:val="center"/>
          </w:tcPr>
          <w:p w14:paraId="0823EBF3">
            <w:pPr>
              <w:pStyle w:val="41"/>
              <w:rPr>
                <w:color w:val="auto"/>
                <w:highlight w:val="none"/>
              </w:rPr>
            </w:pPr>
            <w:r>
              <w:rPr>
                <w:color w:val="auto"/>
                <w:highlight w:val="none"/>
              </w:rPr>
              <w:t>0</w:t>
            </w:r>
          </w:p>
        </w:tc>
      </w:tr>
      <w:tr w14:paraId="6119B9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1CB8344">
            <w:pPr>
              <w:pStyle w:val="41"/>
              <w:rPr>
                <w:color w:val="auto"/>
                <w:highlight w:val="none"/>
              </w:rPr>
            </w:pPr>
            <w:r>
              <w:rPr>
                <w:color w:val="auto"/>
                <w:highlight w:val="none"/>
              </w:rPr>
              <w:t>29</w:t>
            </w:r>
          </w:p>
        </w:tc>
        <w:tc>
          <w:tcPr>
            <w:tcW w:w="1254" w:type="dxa"/>
            <w:noWrap/>
            <w:vAlign w:val="center"/>
          </w:tcPr>
          <w:p w14:paraId="777780F2">
            <w:pPr>
              <w:pStyle w:val="41"/>
              <w:rPr>
                <w:color w:val="auto"/>
                <w:highlight w:val="none"/>
              </w:rPr>
            </w:pPr>
            <w:r>
              <w:rPr>
                <w:color w:val="auto"/>
                <w:highlight w:val="none"/>
              </w:rPr>
              <w:t>675</w:t>
            </w:r>
          </w:p>
        </w:tc>
        <w:tc>
          <w:tcPr>
            <w:tcW w:w="1532" w:type="dxa"/>
            <w:noWrap/>
            <w:vAlign w:val="center"/>
          </w:tcPr>
          <w:p w14:paraId="3E9ABB6D">
            <w:pPr>
              <w:pStyle w:val="41"/>
              <w:rPr>
                <w:color w:val="auto"/>
                <w:highlight w:val="none"/>
              </w:rPr>
            </w:pPr>
            <w:r>
              <w:rPr>
                <w:color w:val="auto"/>
                <w:highlight w:val="none"/>
              </w:rPr>
              <w:t>0.001131</w:t>
            </w:r>
          </w:p>
        </w:tc>
        <w:tc>
          <w:tcPr>
            <w:tcW w:w="946" w:type="dxa"/>
            <w:noWrap/>
            <w:vAlign w:val="center"/>
          </w:tcPr>
          <w:p w14:paraId="51152A93">
            <w:pPr>
              <w:pStyle w:val="41"/>
              <w:rPr>
                <w:color w:val="auto"/>
                <w:highlight w:val="none"/>
              </w:rPr>
            </w:pPr>
            <w:r>
              <w:rPr>
                <w:color w:val="auto"/>
                <w:highlight w:val="none"/>
              </w:rPr>
              <w:t xml:space="preserve">0.23 </w:t>
            </w:r>
          </w:p>
        </w:tc>
        <w:tc>
          <w:tcPr>
            <w:tcW w:w="1398" w:type="dxa"/>
            <w:noWrap/>
            <w:vAlign w:val="center"/>
          </w:tcPr>
          <w:p w14:paraId="340F2B69">
            <w:pPr>
              <w:pStyle w:val="41"/>
              <w:rPr>
                <w:color w:val="auto"/>
                <w:highlight w:val="none"/>
              </w:rPr>
            </w:pPr>
            <w:r>
              <w:rPr>
                <w:color w:val="auto"/>
                <w:highlight w:val="none"/>
              </w:rPr>
              <w:t>0.002545</w:t>
            </w:r>
          </w:p>
        </w:tc>
        <w:tc>
          <w:tcPr>
            <w:tcW w:w="872" w:type="dxa"/>
            <w:noWrap/>
            <w:vAlign w:val="center"/>
          </w:tcPr>
          <w:p w14:paraId="45012519">
            <w:pPr>
              <w:pStyle w:val="41"/>
              <w:rPr>
                <w:color w:val="auto"/>
                <w:highlight w:val="none"/>
              </w:rPr>
            </w:pPr>
            <w:r>
              <w:rPr>
                <w:color w:val="auto"/>
                <w:highlight w:val="none"/>
              </w:rPr>
              <w:t xml:space="preserve">1.27 </w:t>
            </w:r>
          </w:p>
        </w:tc>
        <w:tc>
          <w:tcPr>
            <w:tcW w:w="1398" w:type="dxa"/>
            <w:noWrap/>
            <w:vAlign w:val="center"/>
          </w:tcPr>
          <w:p w14:paraId="57F914A2">
            <w:pPr>
              <w:pStyle w:val="41"/>
              <w:rPr>
                <w:color w:val="auto"/>
                <w:highlight w:val="none"/>
              </w:rPr>
            </w:pPr>
            <w:r>
              <w:rPr>
                <w:color w:val="auto"/>
                <w:highlight w:val="none"/>
              </w:rPr>
              <w:t>0.000017</w:t>
            </w:r>
          </w:p>
        </w:tc>
        <w:tc>
          <w:tcPr>
            <w:tcW w:w="872" w:type="dxa"/>
            <w:noWrap/>
            <w:vAlign w:val="center"/>
          </w:tcPr>
          <w:p w14:paraId="099981EB">
            <w:pPr>
              <w:pStyle w:val="41"/>
              <w:rPr>
                <w:color w:val="auto"/>
                <w:highlight w:val="none"/>
              </w:rPr>
            </w:pPr>
            <w:r>
              <w:rPr>
                <w:color w:val="auto"/>
                <w:highlight w:val="none"/>
              </w:rPr>
              <w:t>0</w:t>
            </w:r>
          </w:p>
        </w:tc>
      </w:tr>
      <w:tr w14:paraId="6F7332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2EF9A35">
            <w:pPr>
              <w:pStyle w:val="41"/>
              <w:rPr>
                <w:color w:val="auto"/>
                <w:highlight w:val="none"/>
              </w:rPr>
            </w:pPr>
            <w:r>
              <w:rPr>
                <w:color w:val="auto"/>
                <w:highlight w:val="none"/>
              </w:rPr>
              <w:t>30</w:t>
            </w:r>
          </w:p>
        </w:tc>
        <w:tc>
          <w:tcPr>
            <w:tcW w:w="1254" w:type="dxa"/>
            <w:noWrap/>
            <w:vAlign w:val="center"/>
          </w:tcPr>
          <w:p w14:paraId="2CFBAA23">
            <w:pPr>
              <w:pStyle w:val="41"/>
              <w:rPr>
                <w:color w:val="auto"/>
                <w:highlight w:val="none"/>
              </w:rPr>
            </w:pPr>
            <w:r>
              <w:rPr>
                <w:color w:val="auto"/>
                <w:highlight w:val="none"/>
              </w:rPr>
              <w:t>700</w:t>
            </w:r>
          </w:p>
        </w:tc>
        <w:tc>
          <w:tcPr>
            <w:tcW w:w="1532" w:type="dxa"/>
            <w:noWrap/>
            <w:vAlign w:val="center"/>
          </w:tcPr>
          <w:p w14:paraId="4DBAD41C">
            <w:pPr>
              <w:pStyle w:val="41"/>
              <w:rPr>
                <w:color w:val="auto"/>
                <w:highlight w:val="none"/>
              </w:rPr>
            </w:pPr>
            <w:r>
              <w:rPr>
                <w:color w:val="auto"/>
                <w:highlight w:val="none"/>
              </w:rPr>
              <w:t>0.001205</w:t>
            </w:r>
          </w:p>
        </w:tc>
        <w:tc>
          <w:tcPr>
            <w:tcW w:w="946" w:type="dxa"/>
            <w:noWrap/>
            <w:vAlign w:val="center"/>
          </w:tcPr>
          <w:p w14:paraId="13681662">
            <w:pPr>
              <w:pStyle w:val="41"/>
              <w:rPr>
                <w:color w:val="auto"/>
                <w:highlight w:val="none"/>
              </w:rPr>
            </w:pPr>
            <w:r>
              <w:rPr>
                <w:color w:val="auto"/>
                <w:highlight w:val="none"/>
              </w:rPr>
              <w:t xml:space="preserve">0.24 </w:t>
            </w:r>
          </w:p>
        </w:tc>
        <w:tc>
          <w:tcPr>
            <w:tcW w:w="1398" w:type="dxa"/>
            <w:noWrap/>
            <w:vAlign w:val="center"/>
          </w:tcPr>
          <w:p w14:paraId="1B2F69C6">
            <w:pPr>
              <w:pStyle w:val="41"/>
              <w:rPr>
                <w:color w:val="auto"/>
                <w:highlight w:val="none"/>
              </w:rPr>
            </w:pPr>
            <w:r>
              <w:rPr>
                <w:color w:val="auto"/>
                <w:highlight w:val="none"/>
              </w:rPr>
              <w:t>0.002711</w:t>
            </w:r>
          </w:p>
        </w:tc>
        <w:tc>
          <w:tcPr>
            <w:tcW w:w="872" w:type="dxa"/>
            <w:noWrap/>
            <w:vAlign w:val="center"/>
          </w:tcPr>
          <w:p w14:paraId="04F97EF1">
            <w:pPr>
              <w:pStyle w:val="41"/>
              <w:rPr>
                <w:color w:val="auto"/>
                <w:highlight w:val="none"/>
              </w:rPr>
            </w:pPr>
            <w:r>
              <w:rPr>
                <w:color w:val="auto"/>
                <w:highlight w:val="none"/>
              </w:rPr>
              <w:t xml:space="preserve">1.36 </w:t>
            </w:r>
          </w:p>
        </w:tc>
        <w:tc>
          <w:tcPr>
            <w:tcW w:w="1398" w:type="dxa"/>
            <w:noWrap/>
            <w:vAlign w:val="center"/>
          </w:tcPr>
          <w:p w14:paraId="728784E4">
            <w:pPr>
              <w:pStyle w:val="41"/>
              <w:rPr>
                <w:color w:val="auto"/>
                <w:highlight w:val="none"/>
              </w:rPr>
            </w:pPr>
            <w:r>
              <w:rPr>
                <w:color w:val="auto"/>
                <w:highlight w:val="none"/>
              </w:rPr>
              <w:t>0.000018</w:t>
            </w:r>
          </w:p>
        </w:tc>
        <w:tc>
          <w:tcPr>
            <w:tcW w:w="872" w:type="dxa"/>
            <w:noWrap/>
            <w:vAlign w:val="center"/>
          </w:tcPr>
          <w:p w14:paraId="54021883">
            <w:pPr>
              <w:pStyle w:val="41"/>
              <w:rPr>
                <w:color w:val="auto"/>
                <w:highlight w:val="none"/>
              </w:rPr>
            </w:pPr>
            <w:r>
              <w:rPr>
                <w:color w:val="auto"/>
                <w:highlight w:val="none"/>
              </w:rPr>
              <w:t>0</w:t>
            </w:r>
          </w:p>
        </w:tc>
      </w:tr>
      <w:tr w14:paraId="54D014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171D5AB">
            <w:pPr>
              <w:pStyle w:val="41"/>
              <w:rPr>
                <w:color w:val="auto"/>
                <w:highlight w:val="none"/>
              </w:rPr>
            </w:pPr>
            <w:r>
              <w:rPr>
                <w:color w:val="auto"/>
                <w:highlight w:val="none"/>
              </w:rPr>
              <w:t>31</w:t>
            </w:r>
          </w:p>
        </w:tc>
        <w:tc>
          <w:tcPr>
            <w:tcW w:w="1254" w:type="dxa"/>
            <w:noWrap/>
            <w:vAlign w:val="center"/>
          </w:tcPr>
          <w:p w14:paraId="771ED543">
            <w:pPr>
              <w:pStyle w:val="41"/>
              <w:rPr>
                <w:color w:val="auto"/>
                <w:highlight w:val="none"/>
              </w:rPr>
            </w:pPr>
            <w:r>
              <w:rPr>
                <w:color w:val="auto"/>
                <w:highlight w:val="none"/>
              </w:rPr>
              <w:t>725</w:t>
            </w:r>
          </w:p>
        </w:tc>
        <w:tc>
          <w:tcPr>
            <w:tcW w:w="1532" w:type="dxa"/>
            <w:noWrap/>
            <w:vAlign w:val="center"/>
          </w:tcPr>
          <w:p w14:paraId="74E86ADD">
            <w:pPr>
              <w:pStyle w:val="41"/>
              <w:rPr>
                <w:color w:val="auto"/>
                <w:highlight w:val="none"/>
              </w:rPr>
            </w:pPr>
            <w:r>
              <w:rPr>
                <w:color w:val="auto"/>
                <w:highlight w:val="none"/>
              </w:rPr>
              <w:t>0.001266</w:t>
            </w:r>
          </w:p>
        </w:tc>
        <w:tc>
          <w:tcPr>
            <w:tcW w:w="946" w:type="dxa"/>
            <w:noWrap/>
            <w:vAlign w:val="center"/>
          </w:tcPr>
          <w:p w14:paraId="1358A67C">
            <w:pPr>
              <w:pStyle w:val="41"/>
              <w:rPr>
                <w:color w:val="auto"/>
                <w:highlight w:val="none"/>
              </w:rPr>
            </w:pPr>
            <w:r>
              <w:rPr>
                <w:color w:val="auto"/>
                <w:highlight w:val="none"/>
              </w:rPr>
              <w:t xml:space="preserve">0.25 </w:t>
            </w:r>
          </w:p>
        </w:tc>
        <w:tc>
          <w:tcPr>
            <w:tcW w:w="1398" w:type="dxa"/>
            <w:noWrap/>
            <w:vAlign w:val="center"/>
          </w:tcPr>
          <w:p w14:paraId="4AF7A2CF">
            <w:pPr>
              <w:pStyle w:val="41"/>
              <w:rPr>
                <w:color w:val="auto"/>
                <w:highlight w:val="none"/>
              </w:rPr>
            </w:pPr>
            <w:r>
              <w:rPr>
                <w:color w:val="auto"/>
                <w:highlight w:val="none"/>
              </w:rPr>
              <w:t>0.002848</w:t>
            </w:r>
          </w:p>
        </w:tc>
        <w:tc>
          <w:tcPr>
            <w:tcW w:w="872" w:type="dxa"/>
            <w:noWrap/>
            <w:vAlign w:val="center"/>
          </w:tcPr>
          <w:p w14:paraId="192DCF25">
            <w:pPr>
              <w:pStyle w:val="41"/>
              <w:rPr>
                <w:color w:val="auto"/>
                <w:highlight w:val="none"/>
              </w:rPr>
            </w:pPr>
            <w:r>
              <w:rPr>
                <w:color w:val="auto"/>
                <w:highlight w:val="none"/>
              </w:rPr>
              <w:t xml:space="preserve">1.42 </w:t>
            </w:r>
          </w:p>
        </w:tc>
        <w:tc>
          <w:tcPr>
            <w:tcW w:w="1398" w:type="dxa"/>
            <w:noWrap/>
            <w:vAlign w:val="center"/>
          </w:tcPr>
          <w:p w14:paraId="0D708028">
            <w:pPr>
              <w:pStyle w:val="41"/>
              <w:rPr>
                <w:color w:val="auto"/>
                <w:highlight w:val="none"/>
              </w:rPr>
            </w:pPr>
            <w:r>
              <w:rPr>
                <w:color w:val="auto"/>
                <w:highlight w:val="none"/>
              </w:rPr>
              <w:t>0.000019</w:t>
            </w:r>
          </w:p>
        </w:tc>
        <w:tc>
          <w:tcPr>
            <w:tcW w:w="872" w:type="dxa"/>
            <w:noWrap/>
            <w:vAlign w:val="center"/>
          </w:tcPr>
          <w:p w14:paraId="2FF13D79">
            <w:pPr>
              <w:pStyle w:val="41"/>
              <w:rPr>
                <w:color w:val="auto"/>
                <w:highlight w:val="none"/>
              </w:rPr>
            </w:pPr>
            <w:r>
              <w:rPr>
                <w:color w:val="auto"/>
                <w:highlight w:val="none"/>
              </w:rPr>
              <w:t>0</w:t>
            </w:r>
          </w:p>
        </w:tc>
      </w:tr>
      <w:tr w14:paraId="742F4F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DB393B7">
            <w:pPr>
              <w:pStyle w:val="41"/>
              <w:rPr>
                <w:color w:val="auto"/>
                <w:highlight w:val="none"/>
              </w:rPr>
            </w:pPr>
            <w:r>
              <w:rPr>
                <w:color w:val="auto"/>
                <w:highlight w:val="none"/>
              </w:rPr>
              <w:t>32</w:t>
            </w:r>
          </w:p>
        </w:tc>
        <w:tc>
          <w:tcPr>
            <w:tcW w:w="1254" w:type="dxa"/>
            <w:noWrap/>
            <w:vAlign w:val="center"/>
          </w:tcPr>
          <w:p w14:paraId="7D36B4A9">
            <w:pPr>
              <w:pStyle w:val="41"/>
              <w:rPr>
                <w:color w:val="auto"/>
                <w:highlight w:val="none"/>
              </w:rPr>
            </w:pPr>
            <w:r>
              <w:rPr>
                <w:color w:val="auto"/>
                <w:highlight w:val="none"/>
              </w:rPr>
              <w:t>750</w:t>
            </w:r>
          </w:p>
        </w:tc>
        <w:tc>
          <w:tcPr>
            <w:tcW w:w="1532" w:type="dxa"/>
            <w:noWrap/>
            <w:vAlign w:val="center"/>
          </w:tcPr>
          <w:p w14:paraId="36BDA7CA">
            <w:pPr>
              <w:pStyle w:val="41"/>
              <w:rPr>
                <w:color w:val="auto"/>
                <w:highlight w:val="none"/>
              </w:rPr>
            </w:pPr>
            <w:r>
              <w:rPr>
                <w:color w:val="auto"/>
                <w:highlight w:val="none"/>
              </w:rPr>
              <w:t>0.001314</w:t>
            </w:r>
          </w:p>
        </w:tc>
        <w:tc>
          <w:tcPr>
            <w:tcW w:w="946" w:type="dxa"/>
            <w:noWrap/>
            <w:vAlign w:val="center"/>
          </w:tcPr>
          <w:p w14:paraId="24DAB58B">
            <w:pPr>
              <w:pStyle w:val="41"/>
              <w:rPr>
                <w:color w:val="auto"/>
                <w:highlight w:val="none"/>
              </w:rPr>
            </w:pPr>
            <w:r>
              <w:rPr>
                <w:color w:val="auto"/>
                <w:highlight w:val="none"/>
              </w:rPr>
              <w:t xml:space="preserve">0.26 </w:t>
            </w:r>
          </w:p>
        </w:tc>
        <w:tc>
          <w:tcPr>
            <w:tcW w:w="1398" w:type="dxa"/>
            <w:noWrap/>
            <w:vAlign w:val="center"/>
          </w:tcPr>
          <w:p w14:paraId="75736212">
            <w:pPr>
              <w:pStyle w:val="41"/>
              <w:rPr>
                <w:color w:val="auto"/>
                <w:highlight w:val="none"/>
              </w:rPr>
            </w:pPr>
            <w:r>
              <w:rPr>
                <w:color w:val="auto"/>
                <w:highlight w:val="none"/>
              </w:rPr>
              <w:t>0.002956</w:t>
            </w:r>
          </w:p>
        </w:tc>
        <w:tc>
          <w:tcPr>
            <w:tcW w:w="872" w:type="dxa"/>
            <w:noWrap/>
            <w:vAlign w:val="center"/>
          </w:tcPr>
          <w:p w14:paraId="66863ECD">
            <w:pPr>
              <w:pStyle w:val="41"/>
              <w:rPr>
                <w:color w:val="auto"/>
                <w:highlight w:val="none"/>
              </w:rPr>
            </w:pPr>
            <w:r>
              <w:rPr>
                <w:color w:val="auto"/>
                <w:highlight w:val="none"/>
              </w:rPr>
              <w:t xml:space="preserve">1.48 </w:t>
            </w:r>
          </w:p>
        </w:tc>
        <w:tc>
          <w:tcPr>
            <w:tcW w:w="1398" w:type="dxa"/>
            <w:noWrap/>
            <w:vAlign w:val="center"/>
          </w:tcPr>
          <w:p w14:paraId="47243ED3">
            <w:pPr>
              <w:pStyle w:val="41"/>
              <w:rPr>
                <w:color w:val="auto"/>
                <w:highlight w:val="none"/>
              </w:rPr>
            </w:pPr>
            <w:r>
              <w:rPr>
                <w:color w:val="auto"/>
                <w:highlight w:val="none"/>
              </w:rPr>
              <w:t>0.000019</w:t>
            </w:r>
          </w:p>
        </w:tc>
        <w:tc>
          <w:tcPr>
            <w:tcW w:w="872" w:type="dxa"/>
            <w:noWrap/>
            <w:vAlign w:val="center"/>
          </w:tcPr>
          <w:p w14:paraId="548B0443">
            <w:pPr>
              <w:pStyle w:val="41"/>
              <w:rPr>
                <w:color w:val="auto"/>
                <w:highlight w:val="none"/>
              </w:rPr>
            </w:pPr>
            <w:r>
              <w:rPr>
                <w:color w:val="auto"/>
                <w:highlight w:val="none"/>
              </w:rPr>
              <w:t>0</w:t>
            </w:r>
          </w:p>
        </w:tc>
      </w:tr>
      <w:tr w14:paraId="0D393D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6093D62">
            <w:pPr>
              <w:pStyle w:val="41"/>
              <w:rPr>
                <w:color w:val="auto"/>
                <w:highlight w:val="none"/>
              </w:rPr>
            </w:pPr>
            <w:r>
              <w:rPr>
                <w:color w:val="auto"/>
                <w:highlight w:val="none"/>
              </w:rPr>
              <w:t>33</w:t>
            </w:r>
          </w:p>
        </w:tc>
        <w:tc>
          <w:tcPr>
            <w:tcW w:w="1254" w:type="dxa"/>
            <w:noWrap/>
            <w:vAlign w:val="center"/>
          </w:tcPr>
          <w:p w14:paraId="3B84C3D3">
            <w:pPr>
              <w:pStyle w:val="41"/>
              <w:rPr>
                <w:color w:val="auto"/>
                <w:highlight w:val="none"/>
              </w:rPr>
            </w:pPr>
            <w:r>
              <w:rPr>
                <w:color w:val="auto"/>
                <w:highlight w:val="none"/>
              </w:rPr>
              <w:t>775</w:t>
            </w:r>
          </w:p>
        </w:tc>
        <w:tc>
          <w:tcPr>
            <w:tcW w:w="1532" w:type="dxa"/>
            <w:noWrap/>
            <w:vAlign w:val="center"/>
          </w:tcPr>
          <w:p w14:paraId="6F594CB7">
            <w:pPr>
              <w:pStyle w:val="41"/>
              <w:rPr>
                <w:color w:val="auto"/>
                <w:highlight w:val="none"/>
              </w:rPr>
            </w:pPr>
            <w:r>
              <w:rPr>
                <w:color w:val="auto"/>
                <w:highlight w:val="none"/>
              </w:rPr>
              <w:t>0.001351</w:t>
            </w:r>
          </w:p>
        </w:tc>
        <w:tc>
          <w:tcPr>
            <w:tcW w:w="946" w:type="dxa"/>
            <w:noWrap/>
            <w:vAlign w:val="center"/>
          </w:tcPr>
          <w:p w14:paraId="4FE10B3B">
            <w:pPr>
              <w:pStyle w:val="41"/>
              <w:rPr>
                <w:color w:val="auto"/>
                <w:highlight w:val="none"/>
              </w:rPr>
            </w:pPr>
            <w:r>
              <w:rPr>
                <w:color w:val="auto"/>
                <w:highlight w:val="none"/>
              </w:rPr>
              <w:t xml:space="preserve">0.27 </w:t>
            </w:r>
          </w:p>
        </w:tc>
        <w:tc>
          <w:tcPr>
            <w:tcW w:w="1398" w:type="dxa"/>
            <w:noWrap/>
            <w:vAlign w:val="center"/>
          </w:tcPr>
          <w:p w14:paraId="0778AEED">
            <w:pPr>
              <w:pStyle w:val="41"/>
              <w:rPr>
                <w:color w:val="auto"/>
                <w:highlight w:val="none"/>
              </w:rPr>
            </w:pPr>
            <w:r>
              <w:rPr>
                <w:color w:val="auto"/>
                <w:highlight w:val="none"/>
              </w:rPr>
              <w:t>0.003038</w:t>
            </w:r>
          </w:p>
        </w:tc>
        <w:tc>
          <w:tcPr>
            <w:tcW w:w="872" w:type="dxa"/>
            <w:noWrap/>
            <w:vAlign w:val="center"/>
          </w:tcPr>
          <w:p w14:paraId="3BDB816E">
            <w:pPr>
              <w:pStyle w:val="41"/>
              <w:rPr>
                <w:color w:val="auto"/>
                <w:highlight w:val="none"/>
              </w:rPr>
            </w:pPr>
            <w:r>
              <w:rPr>
                <w:color w:val="auto"/>
                <w:highlight w:val="none"/>
              </w:rPr>
              <w:t xml:space="preserve">1.52 </w:t>
            </w:r>
          </w:p>
        </w:tc>
        <w:tc>
          <w:tcPr>
            <w:tcW w:w="1398" w:type="dxa"/>
            <w:noWrap/>
            <w:vAlign w:val="center"/>
          </w:tcPr>
          <w:p w14:paraId="6F012FCD">
            <w:pPr>
              <w:pStyle w:val="41"/>
              <w:rPr>
                <w:color w:val="auto"/>
                <w:highlight w:val="none"/>
              </w:rPr>
            </w:pPr>
            <w:r>
              <w:rPr>
                <w:color w:val="auto"/>
                <w:highlight w:val="none"/>
              </w:rPr>
              <w:t>0.00002</w:t>
            </w:r>
          </w:p>
        </w:tc>
        <w:tc>
          <w:tcPr>
            <w:tcW w:w="872" w:type="dxa"/>
            <w:noWrap/>
            <w:vAlign w:val="center"/>
          </w:tcPr>
          <w:p w14:paraId="1B93B952">
            <w:pPr>
              <w:pStyle w:val="41"/>
              <w:rPr>
                <w:color w:val="auto"/>
                <w:highlight w:val="none"/>
              </w:rPr>
            </w:pPr>
            <w:r>
              <w:rPr>
                <w:color w:val="auto"/>
                <w:highlight w:val="none"/>
              </w:rPr>
              <w:t>0</w:t>
            </w:r>
          </w:p>
        </w:tc>
      </w:tr>
      <w:tr w14:paraId="53E276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7F3993C">
            <w:pPr>
              <w:pStyle w:val="41"/>
              <w:rPr>
                <w:color w:val="auto"/>
                <w:highlight w:val="none"/>
              </w:rPr>
            </w:pPr>
            <w:r>
              <w:rPr>
                <w:color w:val="auto"/>
                <w:highlight w:val="none"/>
              </w:rPr>
              <w:t>34</w:t>
            </w:r>
          </w:p>
        </w:tc>
        <w:tc>
          <w:tcPr>
            <w:tcW w:w="1254" w:type="dxa"/>
            <w:noWrap/>
            <w:vAlign w:val="center"/>
          </w:tcPr>
          <w:p w14:paraId="074A7016">
            <w:pPr>
              <w:pStyle w:val="41"/>
              <w:rPr>
                <w:color w:val="auto"/>
                <w:highlight w:val="none"/>
              </w:rPr>
            </w:pPr>
            <w:r>
              <w:rPr>
                <w:color w:val="auto"/>
                <w:highlight w:val="none"/>
              </w:rPr>
              <w:t>800</w:t>
            </w:r>
          </w:p>
        </w:tc>
        <w:tc>
          <w:tcPr>
            <w:tcW w:w="1532" w:type="dxa"/>
            <w:noWrap/>
            <w:vAlign w:val="center"/>
          </w:tcPr>
          <w:p w14:paraId="4DBAB4F0">
            <w:pPr>
              <w:pStyle w:val="41"/>
              <w:rPr>
                <w:color w:val="auto"/>
                <w:highlight w:val="none"/>
              </w:rPr>
            </w:pPr>
            <w:r>
              <w:rPr>
                <w:color w:val="auto"/>
                <w:highlight w:val="none"/>
              </w:rPr>
              <w:t>0.001378</w:t>
            </w:r>
          </w:p>
        </w:tc>
        <w:tc>
          <w:tcPr>
            <w:tcW w:w="946" w:type="dxa"/>
            <w:noWrap/>
            <w:vAlign w:val="center"/>
          </w:tcPr>
          <w:p w14:paraId="0EBC36D4">
            <w:pPr>
              <w:pStyle w:val="41"/>
              <w:rPr>
                <w:color w:val="auto"/>
                <w:highlight w:val="none"/>
              </w:rPr>
            </w:pPr>
            <w:r>
              <w:rPr>
                <w:color w:val="auto"/>
                <w:highlight w:val="none"/>
              </w:rPr>
              <w:t xml:space="preserve">0.28 </w:t>
            </w:r>
          </w:p>
        </w:tc>
        <w:tc>
          <w:tcPr>
            <w:tcW w:w="1398" w:type="dxa"/>
            <w:noWrap/>
            <w:vAlign w:val="center"/>
          </w:tcPr>
          <w:p w14:paraId="65901C1C">
            <w:pPr>
              <w:pStyle w:val="41"/>
              <w:rPr>
                <w:color w:val="auto"/>
                <w:highlight w:val="none"/>
              </w:rPr>
            </w:pPr>
            <w:r>
              <w:rPr>
                <w:color w:val="auto"/>
                <w:highlight w:val="none"/>
              </w:rPr>
              <w:t>0.003099</w:t>
            </w:r>
          </w:p>
        </w:tc>
        <w:tc>
          <w:tcPr>
            <w:tcW w:w="872" w:type="dxa"/>
            <w:noWrap/>
            <w:vAlign w:val="center"/>
          </w:tcPr>
          <w:p w14:paraId="649347BE">
            <w:pPr>
              <w:pStyle w:val="41"/>
              <w:rPr>
                <w:color w:val="auto"/>
                <w:highlight w:val="none"/>
              </w:rPr>
            </w:pPr>
            <w:r>
              <w:rPr>
                <w:color w:val="auto"/>
                <w:highlight w:val="none"/>
              </w:rPr>
              <w:t xml:space="preserve">1.55 </w:t>
            </w:r>
          </w:p>
        </w:tc>
        <w:tc>
          <w:tcPr>
            <w:tcW w:w="1398" w:type="dxa"/>
            <w:noWrap/>
            <w:vAlign w:val="center"/>
          </w:tcPr>
          <w:p w14:paraId="0134419B">
            <w:pPr>
              <w:pStyle w:val="41"/>
              <w:rPr>
                <w:color w:val="auto"/>
                <w:highlight w:val="none"/>
              </w:rPr>
            </w:pPr>
            <w:r>
              <w:rPr>
                <w:color w:val="auto"/>
                <w:highlight w:val="none"/>
              </w:rPr>
              <w:t>0.00002</w:t>
            </w:r>
          </w:p>
        </w:tc>
        <w:tc>
          <w:tcPr>
            <w:tcW w:w="872" w:type="dxa"/>
            <w:noWrap/>
            <w:vAlign w:val="center"/>
          </w:tcPr>
          <w:p w14:paraId="4CC59B45">
            <w:pPr>
              <w:pStyle w:val="41"/>
              <w:rPr>
                <w:color w:val="auto"/>
                <w:highlight w:val="none"/>
              </w:rPr>
            </w:pPr>
            <w:r>
              <w:rPr>
                <w:color w:val="auto"/>
                <w:highlight w:val="none"/>
              </w:rPr>
              <w:t>0</w:t>
            </w:r>
          </w:p>
        </w:tc>
      </w:tr>
      <w:tr w14:paraId="39078D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1DEF51A">
            <w:pPr>
              <w:pStyle w:val="41"/>
              <w:rPr>
                <w:color w:val="auto"/>
                <w:highlight w:val="none"/>
              </w:rPr>
            </w:pPr>
            <w:r>
              <w:rPr>
                <w:color w:val="auto"/>
                <w:highlight w:val="none"/>
              </w:rPr>
              <w:t>35</w:t>
            </w:r>
          </w:p>
        </w:tc>
        <w:tc>
          <w:tcPr>
            <w:tcW w:w="1254" w:type="dxa"/>
            <w:noWrap/>
            <w:vAlign w:val="center"/>
          </w:tcPr>
          <w:p w14:paraId="516DB259">
            <w:pPr>
              <w:pStyle w:val="41"/>
              <w:rPr>
                <w:color w:val="auto"/>
                <w:highlight w:val="none"/>
              </w:rPr>
            </w:pPr>
            <w:r>
              <w:rPr>
                <w:color w:val="auto"/>
                <w:highlight w:val="none"/>
              </w:rPr>
              <w:t>825</w:t>
            </w:r>
          </w:p>
        </w:tc>
        <w:tc>
          <w:tcPr>
            <w:tcW w:w="1532" w:type="dxa"/>
            <w:noWrap/>
            <w:vAlign w:val="center"/>
          </w:tcPr>
          <w:p w14:paraId="785FDA3E">
            <w:pPr>
              <w:pStyle w:val="41"/>
              <w:rPr>
                <w:color w:val="auto"/>
                <w:highlight w:val="none"/>
              </w:rPr>
            </w:pPr>
            <w:r>
              <w:rPr>
                <w:color w:val="auto"/>
                <w:highlight w:val="none"/>
              </w:rPr>
              <w:t>0.001396</w:t>
            </w:r>
          </w:p>
        </w:tc>
        <w:tc>
          <w:tcPr>
            <w:tcW w:w="946" w:type="dxa"/>
            <w:noWrap/>
            <w:vAlign w:val="center"/>
          </w:tcPr>
          <w:p w14:paraId="10447B88">
            <w:pPr>
              <w:pStyle w:val="41"/>
              <w:rPr>
                <w:color w:val="auto"/>
                <w:highlight w:val="none"/>
              </w:rPr>
            </w:pPr>
            <w:r>
              <w:rPr>
                <w:color w:val="auto"/>
                <w:highlight w:val="none"/>
              </w:rPr>
              <w:t xml:space="preserve">0.28 </w:t>
            </w:r>
          </w:p>
        </w:tc>
        <w:tc>
          <w:tcPr>
            <w:tcW w:w="1398" w:type="dxa"/>
            <w:noWrap/>
            <w:vAlign w:val="center"/>
          </w:tcPr>
          <w:p w14:paraId="2E43BF63">
            <w:pPr>
              <w:pStyle w:val="41"/>
              <w:rPr>
                <w:color w:val="auto"/>
                <w:highlight w:val="none"/>
              </w:rPr>
            </w:pPr>
            <w:r>
              <w:rPr>
                <w:color w:val="auto"/>
                <w:highlight w:val="none"/>
              </w:rPr>
              <w:t>0.00314</w:t>
            </w:r>
          </w:p>
        </w:tc>
        <w:tc>
          <w:tcPr>
            <w:tcW w:w="872" w:type="dxa"/>
            <w:noWrap/>
            <w:vAlign w:val="center"/>
          </w:tcPr>
          <w:p w14:paraId="78120E88">
            <w:pPr>
              <w:pStyle w:val="41"/>
              <w:rPr>
                <w:color w:val="auto"/>
                <w:highlight w:val="none"/>
              </w:rPr>
            </w:pPr>
            <w:r>
              <w:rPr>
                <w:color w:val="auto"/>
                <w:highlight w:val="none"/>
              </w:rPr>
              <w:t xml:space="preserve">1.57 </w:t>
            </w:r>
          </w:p>
        </w:tc>
        <w:tc>
          <w:tcPr>
            <w:tcW w:w="1398" w:type="dxa"/>
            <w:noWrap/>
            <w:vAlign w:val="center"/>
          </w:tcPr>
          <w:p w14:paraId="67C461E1">
            <w:pPr>
              <w:pStyle w:val="41"/>
              <w:rPr>
                <w:color w:val="auto"/>
                <w:highlight w:val="none"/>
              </w:rPr>
            </w:pPr>
            <w:r>
              <w:rPr>
                <w:color w:val="auto"/>
                <w:highlight w:val="none"/>
              </w:rPr>
              <w:t>0.000021</w:t>
            </w:r>
          </w:p>
        </w:tc>
        <w:tc>
          <w:tcPr>
            <w:tcW w:w="872" w:type="dxa"/>
            <w:noWrap/>
            <w:vAlign w:val="center"/>
          </w:tcPr>
          <w:p w14:paraId="73EBD2EC">
            <w:pPr>
              <w:pStyle w:val="41"/>
              <w:rPr>
                <w:color w:val="auto"/>
                <w:highlight w:val="none"/>
              </w:rPr>
            </w:pPr>
            <w:r>
              <w:rPr>
                <w:color w:val="auto"/>
                <w:highlight w:val="none"/>
              </w:rPr>
              <w:t>0</w:t>
            </w:r>
          </w:p>
        </w:tc>
      </w:tr>
      <w:tr w14:paraId="091D2C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1DD00BC">
            <w:pPr>
              <w:pStyle w:val="41"/>
              <w:rPr>
                <w:color w:val="auto"/>
                <w:highlight w:val="none"/>
              </w:rPr>
            </w:pPr>
            <w:r>
              <w:rPr>
                <w:color w:val="auto"/>
                <w:highlight w:val="none"/>
              </w:rPr>
              <w:t>36</w:t>
            </w:r>
          </w:p>
        </w:tc>
        <w:tc>
          <w:tcPr>
            <w:tcW w:w="1254" w:type="dxa"/>
            <w:noWrap/>
            <w:vAlign w:val="center"/>
          </w:tcPr>
          <w:p w14:paraId="46721040">
            <w:pPr>
              <w:pStyle w:val="41"/>
              <w:rPr>
                <w:color w:val="auto"/>
                <w:highlight w:val="none"/>
              </w:rPr>
            </w:pPr>
            <w:r>
              <w:rPr>
                <w:color w:val="auto"/>
                <w:highlight w:val="none"/>
              </w:rPr>
              <w:t>850</w:t>
            </w:r>
          </w:p>
        </w:tc>
        <w:tc>
          <w:tcPr>
            <w:tcW w:w="1532" w:type="dxa"/>
            <w:noWrap/>
            <w:vAlign w:val="center"/>
          </w:tcPr>
          <w:p w14:paraId="20E64D14">
            <w:pPr>
              <w:pStyle w:val="41"/>
              <w:rPr>
                <w:color w:val="auto"/>
                <w:highlight w:val="none"/>
              </w:rPr>
            </w:pPr>
            <w:r>
              <w:rPr>
                <w:color w:val="auto"/>
                <w:highlight w:val="none"/>
              </w:rPr>
              <w:t>0.001407</w:t>
            </w:r>
          </w:p>
        </w:tc>
        <w:tc>
          <w:tcPr>
            <w:tcW w:w="946" w:type="dxa"/>
            <w:noWrap/>
            <w:vAlign w:val="center"/>
          </w:tcPr>
          <w:p w14:paraId="3E27CC56">
            <w:pPr>
              <w:pStyle w:val="41"/>
              <w:rPr>
                <w:color w:val="auto"/>
                <w:highlight w:val="none"/>
              </w:rPr>
            </w:pPr>
            <w:r>
              <w:rPr>
                <w:color w:val="auto"/>
                <w:highlight w:val="none"/>
              </w:rPr>
              <w:t xml:space="preserve">0.28 </w:t>
            </w:r>
          </w:p>
        </w:tc>
        <w:tc>
          <w:tcPr>
            <w:tcW w:w="1398" w:type="dxa"/>
            <w:noWrap/>
            <w:vAlign w:val="center"/>
          </w:tcPr>
          <w:p w14:paraId="17D6D171">
            <w:pPr>
              <w:pStyle w:val="41"/>
              <w:rPr>
                <w:color w:val="auto"/>
                <w:highlight w:val="none"/>
              </w:rPr>
            </w:pPr>
            <w:r>
              <w:rPr>
                <w:color w:val="auto"/>
                <w:highlight w:val="none"/>
              </w:rPr>
              <w:t>0.003164</w:t>
            </w:r>
          </w:p>
        </w:tc>
        <w:tc>
          <w:tcPr>
            <w:tcW w:w="872" w:type="dxa"/>
            <w:noWrap/>
            <w:vAlign w:val="center"/>
          </w:tcPr>
          <w:p w14:paraId="272D997E">
            <w:pPr>
              <w:pStyle w:val="41"/>
              <w:rPr>
                <w:color w:val="auto"/>
                <w:highlight w:val="none"/>
              </w:rPr>
            </w:pPr>
            <w:r>
              <w:rPr>
                <w:color w:val="auto"/>
                <w:highlight w:val="none"/>
              </w:rPr>
              <w:t xml:space="preserve">1.58 </w:t>
            </w:r>
          </w:p>
        </w:tc>
        <w:tc>
          <w:tcPr>
            <w:tcW w:w="1398" w:type="dxa"/>
            <w:noWrap/>
            <w:vAlign w:val="center"/>
          </w:tcPr>
          <w:p w14:paraId="1B664E84">
            <w:pPr>
              <w:pStyle w:val="41"/>
              <w:rPr>
                <w:color w:val="auto"/>
                <w:highlight w:val="none"/>
              </w:rPr>
            </w:pPr>
            <w:r>
              <w:rPr>
                <w:color w:val="auto"/>
                <w:highlight w:val="none"/>
              </w:rPr>
              <w:t>0.000021</w:t>
            </w:r>
          </w:p>
        </w:tc>
        <w:tc>
          <w:tcPr>
            <w:tcW w:w="872" w:type="dxa"/>
            <w:noWrap/>
            <w:vAlign w:val="center"/>
          </w:tcPr>
          <w:p w14:paraId="3EDEEC54">
            <w:pPr>
              <w:pStyle w:val="41"/>
              <w:rPr>
                <w:color w:val="auto"/>
                <w:highlight w:val="none"/>
              </w:rPr>
            </w:pPr>
            <w:r>
              <w:rPr>
                <w:color w:val="auto"/>
                <w:highlight w:val="none"/>
              </w:rPr>
              <w:t>0</w:t>
            </w:r>
          </w:p>
        </w:tc>
      </w:tr>
      <w:tr w14:paraId="0339B5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F35B0FD">
            <w:pPr>
              <w:pStyle w:val="41"/>
              <w:rPr>
                <w:color w:val="auto"/>
                <w:highlight w:val="none"/>
              </w:rPr>
            </w:pPr>
            <w:r>
              <w:rPr>
                <w:color w:val="auto"/>
                <w:highlight w:val="none"/>
              </w:rPr>
              <w:t>37</w:t>
            </w:r>
          </w:p>
        </w:tc>
        <w:tc>
          <w:tcPr>
            <w:tcW w:w="1254" w:type="dxa"/>
            <w:noWrap/>
            <w:vAlign w:val="center"/>
          </w:tcPr>
          <w:p w14:paraId="09D3BB8C">
            <w:pPr>
              <w:pStyle w:val="41"/>
              <w:rPr>
                <w:color w:val="auto"/>
                <w:highlight w:val="none"/>
              </w:rPr>
            </w:pPr>
            <w:r>
              <w:rPr>
                <w:color w:val="auto"/>
                <w:highlight w:val="none"/>
              </w:rPr>
              <w:t>875</w:t>
            </w:r>
          </w:p>
        </w:tc>
        <w:tc>
          <w:tcPr>
            <w:tcW w:w="1532" w:type="dxa"/>
            <w:noWrap/>
            <w:vAlign w:val="center"/>
          </w:tcPr>
          <w:p w14:paraId="1ACE90F9">
            <w:pPr>
              <w:pStyle w:val="41"/>
              <w:rPr>
                <w:color w:val="auto"/>
                <w:highlight w:val="none"/>
              </w:rPr>
            </w:pPr>
            <w:r>
              <w:rPr>
                <w:color w:val="auto"/>
                <w:highlight w:val="none"/>
              </w:rPr>
              <w:t>0.001411</w:t>
            </w:r>
          </w:p>
        </w:tc>
        <w:tc>
          <w:tcPr>
            <w:tcW w:w="946" w:type="dxa"/>
            <w:noWrap/>
            <w:vAlign w:val="center"/>
          </w:tcPr>
          <w:p w14:paraId="019C7342">
            <w:pPr>
              <w:pStyle w:val="41"/>
              <w:rPr>
                <w:color w:val="auto"/>
                <w:highlight w:val="none"/>
              </w:rPr>
            </w:pPr>
            <w:r>
              <w:rPr>
                <w:color w:val="auto"/>
                <w:highlight w:val="none"/>
              </w:rPr>
              <w:t xml:space="preserve">0.28 </w:t>
            </w:r>
          </w:p>
        </w:tc>
        <w:tc>
          <w:tcPr>
            <w:tcW w:w="1398" w:type="dxa"/>
            <w:noWrap/>
            <w:vAlign w:val="center"/>
          </w:tcPr>
          <w:p w14:paraId="69FE5370">
            <w:pPr>
              <w:pStyle w:val="41"/>
              <w:rPr>
                <w:color w:val="auto"/>
                <w:highlight w:val="none"/>
              </w:rPr>
            </w:pPr>
            <w:r>
              <w:rPr>
                <w:color w:val="auto"/>
                <w:highlight w:val="none"/>
              </w:rPr>
              <w:t>0.003175</w:t>
            </w:r>
          </w:p>
        </w:tc>
        <w:tc>
          <w:tcPr>
            <w:tcW w:w="872" w:type="dxa"/>
            <w:noWrap/>
            <w:vAlign w:val="center"/>
          </w:tcPr>
          <w:p w14:paraId="5CD3CCD3">
            <w:pPr>
              <w:pStyle w:val="41"/>
              <w:rPr>
                <w:color w:val="auto"/>
                <w:highlight w:val="none"/>
              </w:rPr>
            </w:pPr>
            <w:r>
              <w:rPr>
                <w:color w:val="auto"/>
                <w:highlight w:val="none"/>
              </w:rPr>
              <w:t xml:space="preserve">1.59 </w:t>
            </w:r>
          </w:p>
        </w:tc>
        <w:tc>
          <w:tcPr>
            <w:tcW w:w="1398" w:type="dxa"/>
            <w:noWrap/>
            <w:vAlign w:val="center"/>
          </w:tcPr>
          <w:p w14:paraId="4465977D">
            <w:pPr>
              <w:pStyle w:val="41"/>
              <w:rPr>
                <w:color w:val="auto"/>
                <w:highlight w:val="none"/>
              </w:rPr>
            </w:pPr>
            <w:r>
              <w:rPr>
                <w:color w:val="auto"/>
                <w:highlight w:val="none"/>
              </w:rPr>
              <w:t>0.000021</w:t>
            </w:r>
          </w:p>
        </w:tc>
        <w:tc>
          <w:tcPr>
            <w:tcW w:w="872" w:type="dxa"/>
            <w:noWrap/>
            <w:vAlign w:val="center"/>
          </w:tcPr>
          <w:p w14:paraId="08717247">
            <w:pPr>
              <w:pStyle w:val="41"/>
              <w:rPr>
                <w:color w:val="auto"/>
                <w:highlight w:val="none"/>
              </w:rPr>
            </w:pPr>
            <w:r>
              <w:rPr>
                <w:color w:val="auto"/>
                <w:highlight w:val="none"/>
              </w:rPr>
              <w:t>0</w:t>
            </w:r>
          </w:p>
        </w:tc>
      </w:tr>
      <w:tr w14:paraId="6B6A2A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7F21A2C">
            <w:pPr>
              <w:pStyle w:val="41"/>
              <w:rPr>
                <w:color w:val="auto"/>
                <w:highlight w:val="none"/>
              </w:rPr>
            </w:pPr>
            <w:r>
              <w:rPr>
                <w:color w:val="auto"/>
                <w:highlight w:val="none"/>
              </w:rPr>
              <w:t>38</w:t>
            </w:r>
          </w:p>
        </w:tc>
        <w:tc>
          <w:tcPr>
            <w:tcW w:w="1254" w:type="dxa"/>
            <w:noWrap/>
            <w:vAlign w:val="center"/>
          </w:tcPr>
          <w:p w14:paraId="7DE2E253">
            <w:pPr>
              <w:pStyle w:val="41"/>
              <w:rPr>
                <w:color w:val="auto"/>
                <w:highlight w:val="none"/>
              </w:rPr>
            </w:pPr>
            <w:r>
              <w:rPr>
                <w:color w:val="auto"/>
                <w:highlight w:val="none"/>
              </w:rPr>
              <w:t>900</w:t>
            </w:r>
          </w:p>
        </w:tc>
        <w:tc>
          <w:tcPr>
            <w:tcW w:w="1532" w:type="dxa"/>
            <w:noWrap/>
            <w:vAlign w:val="center"/>
          </w:tcPr>
          <w:p w14:paraId="041180EB">
            <w:pPr>
              <w:pStyle w:val="41"/>
              <w:rPr>
                <w:color w:val="auto"/>
                <w:highlight w:val="none"/>
              </w:rPr>
            </w:pPr>
            <w:r>
              <w:rPr>
                <w:color w:val="auto"/>
                <w:highlight w:val="none"/>
              </w:rPr>
              <w:t>0.001411</w:t>
            </w:r>
          </w:p>
        </w:tc>
        <w:tc>
          <w:tcPr>
            <w:tcW w:w="946" w:type="dxa"/>
            <w:noWrap/>
            <w:vAlign w:val="center"/>
          </w:tcPr>
          <w:p w14:paraId="2E8B671A">
            <w:pPr>
              <w:pStyle w:val="41"/>
              <w:rPr>
                <w:color w:val="auto"/>
                <w:highlight w:val="none"/>
              </w:rPr>
            </w:pPr>
            <w:r>
              <w:rPr>
                <w:color w:val="auto"/>
                <w:highlight w:val="none"/>
              </w:rPr>
              <w:t xml:space="preserve">0.28 </w:t>
            </w:r>
          </w:p>
        </w:tc>
        <w:tc>
          <w:tcPr>
            <w:tcW w:w="1398" w:type="dxa"/>
            <w:noWrap/>
            <w:vAlign w:val="center"/>
          </w:tcPr>
          <w:p w14:paraId="34FF1EF9">
            <w:pPr>
              <w:pStyle w:val="41"/>
              <w:rPr>
                <w:color w:val="auto"/>
                <w:highlight w:val="none"/>
              </w:rPr>
            </w:pPr>
            <w:r>
              <w:rPr>
                <w:color w:val="auto"/>
                <w:highlight w:val="none"/>
              </w:rPr>
              <w:t>0.003173</w:t>
            </w:r>
          </w:p>
        </w:tc>
        <w:tc>
          <w:tcPr>
            <w:tcW w:w="872" w:type="dxa"/>
            <w:noWrap/>
            <w:vAlign w:val="center"/>
          </w:tcPr>
          <w:p w14:paraId="3A53F7B8">
            <w:pPr>
              <w:pStyle w:val="41"/>
              <w:rPr>
                <w:color w:val="auto"/>
                <w:highlight w:val="none"/>
              </w:rPr>
            </w:pPr>
            <w:r>
              <w:rPr>
                <w:color w:val="auto"/>
                <w:highlight w:val="none"/>
              </w:rPr>
              <w:t xml:space="preserve">1.59 </w:t>
            </w:r>
          </w:p>
        </w:tc>
        <w:tc>
          <w:tcPr>
            <w:tcW w:w="1398" w:type="dxa"/>
            <w:noWrap/>
            <w:vAlign w:val="center"/>
          </w:tcPr>
          <w:p w14:paraId="42532FB3">
            <w:pPr>
              <w:pStyle w:val="41"/>
              <w:rPr>
                <w:color w:val="auto"/>
                <w:highlight w:val="none"/>
              </w:rPr>
            </w:pPr>
            <w:r>
              <w:rPr>
                <w:color w:val="auto"/>
                <w:highlight w:val="none"/>
              </w:rPr>
              <w:t>0.000021</w:t>
            </w:r>
          </w:p>
        </w:tc>
        <w:tc>
          <w:tcPr>
            <w:tcW w:w="872" w:type="dxa"/>
            <w:noWrap/>
            <w:vAlign w:val="center"/>
          </w:tcPr>
          <w:p w14:paraId="0C59C869">
            <w:pPr>
              <w:pStyle w:val="41"/>
              <w:rPr>
                <w:color w:val="auto"/>
                <w:highlight w:val="none"/>
              </w:rPr>
            </w:pPr>
            <w:r>
              <w:rPr>
                <w:color w:val="auto"/>
                <w:highlight w:val="none"/>
              </w:rPr>
              <w:t>0</w:t>
            </w:r>
          </w:p>
        </w:tc>
      </w:tr>
      <w:tr w14:paraId="758C3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2F03FB6">
            <w:pPr>
              <w:pStyle w:val="41"/>
              <w:rPr>
                <w:color w:val="auto"/>
                <w:highlight w:val="none"/>
              </w:rPr>
            </w:pPr>
            <w:r>
              <w:rPr>
                <w:color w:val="auto"/>
                <w:highlight w:val="none"/>
              </w:rPr>
              <w:t>39</w:t>
            </w:r>
          </w:p>
        </w:tc>
        <w:tc>
          <w:tcPr>
            <w:tcW w:w="1254" w:type="dxa"/>
            <w:noWrap/>
            <w:vAlign w:val="center"/>
          </w:tcPr>
          <w:p w14:paraId="35C92221">
            <w:pPr>
              <w:pStyle w:val="41"/>
              <w:rPr>
                <w:color w:val="auto"/>
                <w:highlight w:val="none"/>
              </w:rPr>
            </w:pPr>
            <w:r>
              <w:rPr>
                <w:color w:val="auto"/>
                <w:highlight w:val="none"/>
              </w:rPr>
              <w:t>925</w:t>
            </w:r>
          </w:p>
        </w:tc>
        <w:tc>
          <w:tcPr>
            <w:tcW w:w="1532" w:type="dxa"/>
            <w:noWrap/>
            <w:vAlign w:val="center"/>
          </w:tcPr>
          <w:p w14:paraId="002F0CE1">
            <w:pPr>
              <w:pStyle w:val="41"/>
              <w:rPr>
                <w:color w:val="auto"/>
                <w:highlight w:val="none"/>
              </w:rPr>
            </w:pPr>
            <w:r>
              <w:rPr>
                <w:color w:val="auto"/>
                <w:highlight w:val="none"/>
              </w:rPr>
              <w:t>0.001405</w:t>
            </w:r>
          </w:p>
        </w:tc>
        <w:tc>
          <w:tcPr>
            <w:tcW w:w="946" w:type="dxa"/>
            <w:noWrap/>
            <w:vAlign w:val="center"/>
          </w:tcPr>
          <w:p w14:paraId="280DD2C1">
            <w:pPr>
              <w:pStyle w:val="41"/>
              <w:rPr>
                <w:color w:val="auto"/>
                <w:highlight w:val="none"/>
              </w:rPr>
            </w:pPr>
            <w:r>
              <w:rPr>
                <w:color w:val="auto"/>
                <w:highlight w:val="none"/>
              </w:rPr>
              <w:t xml:space="preserve">0.28 </w:t>
            </w:r>
          </w:p>
        </w:tc>
        <w:tc>
          <w:tcPr>
            <w:tcW w:w="1398" w:type="dxa"/>
            <w:noWrap/>
            <w:vAlign w:val="center"/>
          </w:tcPr>
          <w:p w14:paraId="355B06BD">
            <w:pPr>
              <w:pStyle w:val="41"/>
              <w:rPr>
                <w:color w:val="auto"/>
                <w:highlight w:val="none"/>
              </w:rPr>
            </w:pPr>
            <w:r>
              <w:rPr>
                <w:color w:val="auto"/>
                <w:highlight w:val="none"/>
              </w:rPr>
              <w:t>0.003161</w:t>
            </w:r>
          </w:p>
        </w:tc>
        <w:tc>
          <w:tcPr>
            <w:tcW w:w="872" w:type="dxa"/>
            <w:noWrap/>
            <w:vAlign w:val="center"/>
          </w:tcPr>
          <w:p w14:paraId="001E539C">
            <w:pPr>
              <w:pStyle w:val="41"/>
              <w:rPr>
                <w:color w:val="auto"/>
                <w:highlight w:val="none"/>
              </w:rPr>
            </w:pPr>
            <w:r>
              <w:rPr>
                <w:color w:val="auto"/>
                <w:highlight w:val="none"/>
              </w:rPr>
              <w:t xml:space="preserve">1.58 </w:t>
            </w:r>
          </w:p>
        </w:tc>
        <w:tc>
          <w:tcPr>
            <w:tcW w:w="1398" w:type="dxa"/>
            <w:noWrap/>
            <w:vAlign w:val="center"/>
          </w:tcPr>
          <w:p w14:paraId="267A3E12">
            <w:pPr>
              <w:pStyle w:val="41"/>
              <w:rPr>
                <w:color w:val="auto"/>
                <w:highlight w:val="none"/>
              </w:rPr>
            </w:pPr>
            <w:r>
              <w:rPr>
                <w:color w:val="auto"/>
                <w:highlight w:val="none"/>
              </w:rPr>
              <w:t>0.000021</w:t>
            </w:r>
          </w:p>
        </w:tc>
        <w:tc>
          <w:tcPr>
            <w:tcW w:w="872" w:type="dxa"/>
            <w:noWrap/>
            <w:vAlign w:val="center"/>
          </w:tcPr>
          <w:p w14:paraId="3AAC0D6F">
            <w:pPr>
              <w:pStyle w:val="41"/>
              <w:rPr>
                <w:color w:val="auto"/>
                <w:highlight w:val="none"/>
              </w:rPr>
            </w:pPr>
            <w:r>
              <w:rPr>
                <w:color w:val="auto"/>
                <w:highlight w:val="none"/>
              </w:rPr>
              <w:t>0</w:t>
            </w:r>
          </w:p>
        </w:tc>
      </w:tr>
      <w:tr w14:paraId="28B983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FE0326C">
            <w:pPr>
              <w:pStyle w:val="41"/>
              <w:rPr>
                <w:color w:val="auto"/>
                <w:highlight w:val="none"/>
              </w:rPr>
            </w:pPr>
            <w:r>
              <w:rPr>
                <w:color w:val="auto"/>
                <w:highlight w:val="none"/>
              </w:rPr>
              <w:t>40</w:t>
            </w:r>
          </w:p>
        </w:tc>
        <w:tc>
          <w:tcPr>
            <w:tcW w:w="1254" w:type="dxa"/>
            <w:noWrap/>
            <w:vAlign w:val="center"/>
          </w:tcPr>
          <w:p w14:paraId="76FB1D31">
            <w:pPr>
              <w:pStyle w:val="41"/>
              <w:rPr>
                <w:color w:val="auto"/>
                <w:highlight w:val="none"/>
              </w:rPr>
            </w:pPr>
            <w:r>
              <w:rPr>
                <w:color w:val="auto"/>
                <w:highlight w:val="none"/>
              </w:rPr>
              <w:t>950</w:t>
            </w:r>
          </w:p>
        </w:tc>
        <w:tc>
          <w:tcPr>
            <w:tcW w:w="1532" w:type="dxa"/>
            <w:noWrap/>
            <w:vAlign w:val="center"/>
          </w:tcPr>
          <w:p w14:paraId="1A9BD757">
            <w:pPr>
              <w:pStyle w:val="41"/>
              <w:rPr>
                <w:color w:val="auto"/>
                <w:highlight w:val="none"/>
              </w:rPr>
            </w:pPr>
            <w:r>
              <w:rPr>
                <w:color w:val="auto"/>
                <w:highlight w:val="none"/>
              </w:rPr>
              <w:t>0.001396</w:t>
            </w:r>
          </w:p>
        </w:tc>
        <w:tc>
          <w:tcPr>
            <w:tcW w:w="946" w:type="dxa"/>
            <w:noWrap/>
            <w:vAlign w:val="center"/>
          </w:tcPr>
          <w:p w14:paraId="67A0E5DE">
            <w:pPr>
              <w:pStyle w:val="41"/>
              <w:rPr>
                <w:color w:val="auto"/>
                <w:highlight w:val="none"/>
              </w:rPr>
            </w:pPr>
            <w:r>
              <w:rPr>
                <w:color w:val="auto"/>
                <w:highlight w:val="none"/>
              </w:rPr>
              <w:t xml:space="preserve">0.28 </w:t>
            </w:r>
          </w:p>
        </w:tc>
        <w:tc>
          <w:tcPr>
            <w:tcW w:w="1398" w:type="dxa"/>
            <w:noWrap/>
            <w:vAlign w:val="center"/>
          </w:tcPr>
          <w:p w14:paraId="229F5782">
            <w:pPr>
              <w:pStyle w:val="41"/>
              <w:rPr>
                <w:color w:val="auto"/>
                <w:highlight w:val="none"/>
              </w:rPr>
            </w:pPr>
            <w:r>
              <w:rPr>
                <w:color w:val="auto"/>
                <w:highlight w:val="none"/>
              </w:rPr>
              <w:t>0.00314</w:t>
            </w:r>
          </w:p>
        </w:tc>
        <w:tc>
          <w:tcPr>
            <w:tcW w:w="872" w:type="dxa"/>
            <w:noWrap/>
            <w:vAlign w:val="center"/>
          </w:tcPr>
          <w:p w14:paraId="55ECD23E">
            <w:pPr>
              <w:pStyle w:val="41"/>
              <w:rPr>
                <w:color w:val="auto"/>
                <w:highlight w:val="none"/>
              </w:rPr>
            </w:pPr>
            <w:r>
              <w:rPr>
                <w:color w:val="auto"/>
                <w:highlight w:val="none"/>
              </w:rPr>
              <w:t xml:space="preserve">1.57 </w:t>
            </w:r>
          </w:p>
        </w:tc>
        <w:tc>
          <w:tcPr>
            <w:tcW w:w="1398" w:type="dxa"/>
            <w:noWrap/>
            <w:vAlign w:val="center"/>
          </w:tcPr>
          <w:p w14:paraId="794A8151">
            <w:pPr>
              <w:pStyle w:val="41"/>
              <w:rPr>
                <w:color w:val="auto"/>
                <w:highlight w:val="none"/>
              </w:rPr>
            </w:pPr>
            <w:r>
              <w:rPr>
                <w:color w:val="auto"/>
                <w:highlight w:val="none"/>
              </w:rPr>
              <w:t>0.000021</w:t>
            </w:r>
          </w:p>
        </w:tc>
        <w:tc>
          <w:tcPr>
            <w:tcW w:w="872" w:type="dxa"/>
            <w:noWrap/>
            <w:vAlign w:val="center"/>
          </w:tcPr>
          <w:p w14:paraId="3A4FF6BD">
            <w:pPr>
              <w:pStyle w:val="41"/>
              <w:rPr>
                <w:color w:val="auto"/>
                <w:highlight w:val="none"/>
              </w:rPr>
            </w:pPr>
            <w:r>
              <w:rPr>
                <w:color w:val="auto"/>
                <w:highlight w:val="none"/>
              </w:rPr>
              <w:t>0</w:t>
            </w:r>
          </w:p>
        </w:tc>
      </w:tr>
      <w:tr w14:paraId="1A39E9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FEF2E96">
            <w:pPr>
              <w:pStyle w:val="41"/>
              <w:rPr>
                <w:color w:val="auto"/>
                <w:highlight w:val="none"/>
              </w:rPr>
            </w:pPr>
            <w:r>
              <w:rPr>
                <w:color w:val="auto"/>
                <w:highlight w:val="none"/>
              </w:rPr>
              <w:t>41</w:t>
            </w:r>
          </w:p>
        </w:tc>
        <w:tc>
          <w:tcPr>
            <w:tcW w:w="1254" w:type="dxa"/>
            <w:noWrap/>
            <w:vAlign w:val="center"/>
          </w:tcPr>
          <w:p w14:paraId="45DB15DF">
            <w:pPr>
              <w:pStyle w:val="41"/>
              <w:rPr>
                <w:color w:val="auto"/>
                <w:highlight w:val="none"/>
              </w:rPr>
            </w:pPr>
            <w:r>
              <w:rPr>
                <w:color w:val="auto"/>
                <w:highlight w:val="none"/>
              </w:rPr>
              <w:t>975</w:t>
            </w:r>
          </w:p>
        </w:tc>
        <w:tc>
          <w:tcPr>
            <w:tcW w:w="1532" w:type="dxa"/>
            <w:noWrap/>
            <w:vAlign w:val="center"/>
          </w:tcPr>
          <w:p w14:paraId="00E2DCB7">
            <w:pPr>
              <w:pStyle w:val="41"/>
              <w:rPr>
                <w:color w:val="auto"/>
                <w:highlight w:val="none"/>
              </w:rPr>
            </w:pPr>
            <w:r>
              <w:rPr>
                <w:color w:val="auto"/>
                <w:highlight w:val="none"/>
              </w:rPr>
              <w:t>0.001384</w:t>
            </w:r>
          </w:p>
        </w:tc>
        <w:tc>
          <w:tcPr>
            <w:tcW w:w="946" w:type="dxa"/>
            <w:noWrap/>
            <w:vAlign w:val="center"/>
          </w:tcPr>
          <w:p w14:paraId="1A39FDA6">
            <w:pPr>
              <w:pStyle w:val="41"/>
              <w:rPr>
                <w:color w:val="auto"/>
                <w:highlight w:val="none"/>
              </w:rPr>
            </w:pPr>
            <w:r>
              <w:rPr>
                <w:color w:val="auto"/>
                <w:highlight w:val="none"/>
              </w:rPr>
              <w:t xml:space="preserve">0.28 </w:t>
            </w:r>
          </w:p>
        </w:tc>
        <w:tc>
          <w:tcPr>
            <w:tcW w:w="1398" w:type="dxa"/>
            <w:noWrap/>
            <w:vAlign w:val="center"/>
          </w:tcPr>
          <w:p w14:paraId="3DC48061">
            <w:pPr>
              <w:pStyle w:val="41"/>
              <w:rPr>
                <w:color w:val="auto"/>
                <w:highlight w:val="none"/>
              </w:rPr>
            </w:pPr>
            <w:r>
              <w:rPr>
                <w:color w:val="auto"/>
                <w:highlight w:val="none"/>
              </w:rPr>
              <w:t>0.003112</w:t>
            </w:r>
          </w:p>
        </w:tc>
        <w:tc>
          <w:tcPr>
            <w:tcW w:w="872" w:type="dxa"/>
            <w:noWrap/>
            <w:vAlign w:val="center"/>
          </w:tcPr>
          <w:p w14:paraId="367DDB9F">
            <w:pPr>
              <w:pStyle w:val="41"/>
              <w:rPr>
                <w:color w:val="auto"/>
                <w:highlight w:val="none"/>
              </w:rPr>
            </w:pPr>
            <w:r>
              <w:rPr>
                <w:color w:val="auto"/>
                <w:highlight w:val="none"/>
              </w:rPr>
              <w:t xml:space="preserve">1.56 </w:t>
            </w:r>
          </w:p>
        </w:tc>
        <w:tc>
          <w:tcPr>
            <w:tcW w:w="1398" w:type="dxa"/>
            <w:noWrap/>
            <w:vAlign w:val="center"/>
          </w:tcPr>
          <w:p w14:paraId="155F44C5">
            <w:pPr>
              <w:pStyle w:val="41"/>
              <w:rPr>
                <w:color w:val="auto"/>
                <w:highlight w:val="none"/>
              </w:rPr>
            </w:pPr>
            <w:r>
              <w:rPr>
                <w:color w:val="auto"/>
                <w:highlight w:val="none"/>
              </w:rPr>
              <w:t>0.00002</w:t>
            </w:r>
          </w:p>
        </w:tc>
        <w:tc>
          <w:tcPr>
            <w:tcW w:w="872" w:type="dxa"/>
            <w:noWrap/>
            <w:vAlign w:val="center"/>
          </w:tcPr>
          <w:p w14:paraId="02DE0386">
            <w:pPr>
              <w:pStyle w:val="41"/>
              <w:rPr>
                <w:color w:val="auto"/>
                <w:highlight w:val="none"/>
              </w:rPr>
            </w:pPr>
            <w:r>
              <w:rPr>
                <w:color w:val="auto"/>
                <w:highlight w:val="none"/>
              </w:rPr>
              <w:t>0</w:t>
            </w:r>
          </w:p>
        </w:tc>
      </w:tr>
      <w:tr w14:paraId="412BA2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ACDE0B6">
            <w:pPr>
              <w:pStyle w:val="41"/>
              <w:rPr>
                <w:color w:val="auto"/>
                <w:highlight w:val="none"/>
              </w:rPr>
            </w:pPr>
            <w:r>
              <w:rPr>
                <w:color w:val="auto"/>
                <w:highlight w:val="none"/>
              </w:rPr>
              <w:t>42</w:t>
            </w:r>
          </w:p>
        </w:tc>
        <w:tc>
          <w:tcPr>
            <w:tcW w:w="1254" w:type="dxa"/>
            <w:noWrap/>
            <w:vAlign w:val="center"/>
          </w:tcPr>
          <w:p w14:paraId="073288A7">
            <w:pPr>
              <w:pStyle w:val="41"/>
              <w:rPr>
                <w:color w:val="auto"/>
                <w:highlight w:val="none"/>
              </w:rPr>
            </w:pPr>
            <w:r>
              <w:rPr>
                <w:color w:val="auto"/>
                <w:highlight w:val="none"/>
              </w:rPr>
              <w:t>1000</w:t>
            </w:r>
          </w:p>
        </w:tc>
        <w:tc>
          <w:tcPr>
            <w:tcW w:w="1532" w:type="dxa"/>
            <w:noWrap/>
            <w:vAlign w:val="center"/>
          </w:tcPr>
          <w:p w14:paraId="38B11CAD">
            <w:pPr>
              <w:pStyle w:val="41"/>
              <w:rPr>
                <w:color w:val="auto"/>
                <w:highlight w:val="none"/>
              </w:rPr>
            </w:pPr>
            <w:r>
              <w:rPr>
                <w:color w:val="auto"/>
                <w:highlight w:val="none"/>
              </w:rPr>
              <w:t>0.001368</w:t>
            </w:r>
          </w:p>
        </w:tc>
        <w:tc>
          <w:tcPr>
            <w:tcW w:w="946" w:type="dxa"/>
            <w:noWrap/>
            <w:vAlign w:val="center"/>
          </w:tcPr>
          <w:p w14:paraId="7DA5E08D">
            <w:pPr>
              <w:pStyle w:val="41"/>
              <w:rPr>
                <w:color w:val="auto"/>
                <w:highlight w:val="none"/>
              </w:rPr>
            </w:pPr>
            <w:r>
              <w:rPr>
                <w:color w:val="auto"/>
                <w:highlight w:val="none"/>
              </w:rPr>
              <w:t xml:space="preserve">0.27 </w:t>
            </w:r>
          </w:p>
        </w:tc>
        <w:tc>
          <w:tcPr>
            <w:tcW w:w="1398" w:type="dxa"/>
            <w:noWrap/>
            <w:vAlign w:val="center"/>
          </w:tcPr>
          <w:p w14:paraId="5FA47AE8">
            <w:pPr>
              <w:pStyle w:val="41"/>
              <w:rPr>
                <w:color w:val="auto"/>
                <w:highlight w:val="none"/>
              </w:rPr>
            </w:pPr>
            <w:r>
              <w:rPr>
                <w:color w:val="auto"/>
                <w:highlight w:val="none"/>
              </w:rPr>
              <w:t>0.003078</w:t>
            </w:r>
          </w:p>
        </w:tc>
        <w:tc>
          <w:tcPr>
            <w:tcW w:w="872" w:type="dxa"/>
            <w:noWrap/>
            <w:vAlign w:val="center"/>
          </w:tcPr>
          <w:p w14:paraId="440BEF85">
            <w:pPr>
              <w:pStyle w:val="41"/>
              <w:rPr>
                <w:color w:val="auto"/>
                <w:highlight w:val="none"/>
              </w:rPr>
            </w:pPr>
            <w:r>
              <w:rPr>
                <w:color w:val="auto"/>
                <w:highlight w:val="none"/>
              </w:rPr>
              <w:t xml:space="preserve">1.54 </w:t>
            </w:r>
          </w:p>
        </w:tc>
        <w:tc>
          <w:tcPr>
            <w:tcW w:w="1398" w:type="dxa"/>
            <w:noWrap/>
            <w:vAlign w:val="center"/>
          </w:tcPr>
          <w:p w14:paraId="18F0A7F9">
            <w:pPr>
              <w:pStyle w:val="41"/>
              <w:rPr>
                <w:color w:val="auto"/>
                <w:highlight w:val="none"/>
              </w:rPr>
            </w:pPr>
            <w:r>
              <w:rPr>
                <w:color w:val="auto"/>
                <w:highlight w:val="none"/>
              </w:rPr>
              <w:t>0.00002</w:t>
            </w:r>
          </w:p>
        </w:tc>
        <w:tc>
          <w:tcPr>
            <w:tcW w:w="872" w:type="dxa"/>
            <w:noWrap/>
            <w:vAlign w:val="center"/>
          </w:tcPr>
          <w:p w14:paraId="6368A916">
            <w:pPr>
              <w:pStyle w:val="41"/>
              <w:rPr>
                <w:color w:val="auto"/>
                <w:highlight w:val="none"/>
              </w:rPr>
            </w:pPr>
            <w:r>
              <w:rPr>
                <w:color w:val="auto"/>
                <w:highlight w:val="none"/>
              </w:rPr>
              <w:t>0</w:t>
            </w:r>
          </w:p>
        </w:tc>
      </w:tr>
      <w:tr w14:paraId="0E490C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209160E">
            <w:pPr>
              <w:pStyle w:val="41"/>
              <w:rPr>
                <w:color w:val="auto"/>
                <w:highlight w:val="none"/>
              </w:rPr>
            </w:pPr>
            <w:r>
              <w:rPr>
                <w:color w:val="auto"/>
                <w:highlight w:val="none"/>
              </w:rPr>
              <w:t>43</w:t>
            </w:r>
          </w:p>
        </w:tc>
        <w:tc>
          <w:tcPr>
            <w:tcW w:w="1254" w:type="dxa"/>
            <w:noWrap/>
            <w:vAlign w:val="center"/>
          </w:tcPr>
          <w:p w14:paraId="719FEE73">
            <w:pPr>
              <w:pStyle w:val="41"/>
              <w:rPr>
                <w:color w:val="auto"/>
                <w:highlight w:val="none"/>
              </w:rPr>
            </w:pPr>
            <w:r>
              <w:rPr>
                <w:color w:val="auto"/>
                <w:highlight w:val="none"/>
              </w:rPr>
              <w:t>1025</w:t>
            </w:r>
          </w:p>
        </w:tc>
        <w:tc>
          <w:tcPr>
            <w:tcW w:w="1532" w:type="dxa"/>
            <w:noWrap/>
            <w:vAlign w:val="center"/>
          </w:tcPr>
          <w:p w14:paraId="1F8BAA0A">
            <w:pPr>
              <w:pStyle w:val="41"/>
              <w:rPr>
                <w:color w:val="auto"/>
                <w:highlight w:val="none"/>
              </w:rPr>
            </w:pPr>
            <w:r>
              <w:rPr>
                <w:color w:val="auto"/>
                <w:highlight w:val="none"/>
              </w:rPr>
              <w:t>0.00135</w:t>
            </w:r>
          </w:p>
        </w:tc>
        <w:tc>
          <w:tcPr>
            <w:tcW w:w="946" w:type="dxa"/>
            <w:noWrap/>
            <w:vAlign w:val="center"/>
          </w:tcPr>
          <w:p w14:paraId="4C0709A3">
            <w:pPr>
              <w:pStyle w:val="41"/>
              <w:rPr>
                <w:color w:val="auto"/>
                <w:highlight w:val="none"/>
              </w:rPr>
            </w:pPr>
            <w:r>
              <w:rPr>
                <w:color w:val="auto"/>
                <w:highlight w:val="none"/>
              </w:rPr>
              <w:t xml:space="preserve">0.27 </w:t>
            </w:r>
          </w:p>
        </w:tc>
        <w:tc>
          <w:tcPr>
            <w:tcW w:w="1398" w:type="dxa"/>
            <w:noWrap/>
            <w:vAlign w:val="center"/>
          </w:tcPr>
          <w:p w14:paraId="4509A169">
            <w:pPr>
              <w:pStyle w:val="41"/>
              <w:rPr>
                <w:color w:val="auto"/>
                <w:highlight w:val="none"/>
              </w:rPr>
            </w:pPr>
            <w:r>
              <w:rPr>
                <w:color w:val="auto"/>
                <w:highlight w:val="none"/>
              </w:rPr>
              <w:t>0.003037</w:t>
            </w:r>
          </w:p>
        </w:tc>
        <w:tc>
          <w:tcPr>
            <w:tcW w:w="872" w:type="dxa"/>
            <w:noWrap/>
            <w:vAlign w:val="center"/>
          </w:tcPr>
          <w:p w14:paraId="1D8201E7">
            <w:pPr>
              <w:pStyle w:val="41"/>
              <w:rPr>
                <w:color w:val="auto"/>
                <w:highlight w:val="none"/>
              </w:rPr>
            </w:pPr>
            <w:r>
              <w:rPr>
                <w:color w:val="auto"/>
                <w:highlight w:val="none"/>
              </w:rPr>
              <w:t xml:space="preserve">1.52 </w:t>
            </w:r>
          </w:p>
        </w:tc>
        <w:tc>
          <w:tcPr>
            <w:tcW w:w="1398" w:type="dxa"/>
            <w:noWrap/>
            <w:vAlign w:val="center"/>
          </w:tcPr>
          <w:p w14:paraId="1F8FBCB5">
            <w:pPr>
              <w:pStyle w:val="41"/>
              <w:rPr>
                <w:color w:val="auto"/>
                <w:highlight w:val="none"/>
              </w:rPr>
            </w:pPr>
            <w:r>
              <w:rPr>
                <w:color w:val="auto"/>
                <w:highlight w:val="none"/>
              </w:rPr>
              <w:t>0.00002</w:t>
            </w:r>
          </w:p>
        </w:tc>
        <w:tc>
          <w:tcPr>
            <w:tcW w:w="872" w:type="dxa"/>
            <w:noWrap/>
            <w:vAlign w:val="center"/>
          </w:tcPr>
          <w:p w14:paraId="684731A9">
            <w:pPr>
              <w:pStyle w:val="41"/>
              <w:rPr>
                <w:color w:val="auto"/>
                <w:highlight w:val="none"/>
              </w:rPr>
            </w:pPr>
            <w:r>
              <w:rPr>
                <w:color w:val="auto"/>
                <w:highlight w:val="none"/>
              </w:rPr>
              <w:t>0</w:t>
            </w:r>
          </w:p>
        </w:tc>
      </w:tr>
      <w:tr w14:paraId="07D3A2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369624E">
            <w:pPr>
              <w:pStyle w:val="41"/>
              <w:rPr>
                <w:color w:val="auto"/>
                <w:highlight w:val="none"/>
              </w:rPr>
            </w:pPr>
            <w:r>
              <w:rPr>
                <w:color w:val="auto"/>
                <w:highlight w:val="none"/>
              </w:rPr>
              <w:t>44</w:t>
            </w:r>
          </w:p>
        </w:tc>
        <w:tc>
          <w:tcPr>
            <w:tcW w:w="1254" w:type="dxa"/>
            <w:noWrap/>
            <w:vAlign w:val="center"/>
          </w:tcPr>
          <w:p w14:paraId="1CED01A3">
            <w:pPr>
              <w:pStyle w:val="41"/>
              <w:rPr>
                <w:color w:val="auto"/>
                <w:highlight w:val="none"/>
              </w:rPr>
            </w:pPr>
            <w:r>
              <w:rPr>
                <w:color w:val="auto"/>
                <w:highlight w:val="none"/>
              </w:rPr>
              <w:t>1050</w:t>
            </w:r>
          </w:p>
        </w:tc>
        <w:tc>
          <w:tcPr>
            <w:tcW w:w="1532" w:type="dxa"/>
            <w:noWrap/>
            <w:vAlign w:val="center"/>
          </w:tcPr>
          <w:p w14:paraId="4B647FA3">
            <w:pPr>
              <w:pStyle w:val="41"/>
              <w:rPr>
                <w:color w:val="auto"/>
                <w:highlight w:val="none"/>
              </w:rPr>
            </w:pPr>
            <w:r>
              <w:rPr>
                <w:color w:val="auto"/>
                <w:highlight w:val="none"/>
              </w:rPr>
              <w:t>0.001329</w:t>
            </w:r>
          </w:p>
        </w:tc>
        <w:tc>
          <w:tcPr>
            <w:tcW w:w="946" w:type="dxa"/>
            <w:noWrap/>
            <w:vAlign w:val="center"/>
          </w:tcPr>
          <w:p w14:paraId="69817D9C">
            <w:pPr>
              <w:pStyle w:val="41"/>
              <w:rPr>
                <w:color w:val="auto"/>
                <w:highlight w:val="none"/>
              </w:rPr>
            </w:pPr>
            <w:r>
              <w:rPr>
                <w:color w:val="auto"/>
                <w:highlight w:val="none"/>
              </w:rPr>
              <w:t xml:space="preserve">0.27 </w:t>
            </w:r>
          </w:p>
        </w:tc>
        <w:tc>
          <w:tcPr>
            <w:tcW w:w="1398" w:type="dxa"/>
            <w:noWrap/>
            <w:vAlign w:val="center"/>
          </w:tcPr>
          <w:p w14:paraId="27BCAB01">
            <w:pPr>
              <w:pStyle w:val="41"/>
              <w:rPr>
                <w:color w:val="auto"/>
                <w:highlight w:val="none"/>
              </w:rPr>
            </w:pPr>
            <w:r>
              <w:rPr>
                <w:color w:val="auto"/>
                <w:highlight w:val="none"/>
              </w:rPr>
              <w:t>0.00299</w:t>
            </w:r>
          </w:p>
        </w:tc>
        <w:tc>
          <w:tcPr>
            <w:tcW w:w="872" w:type="dxa"/>
            <w:noWrap/>
            <w:vAlign w:val="center"/>
          </w:tcPr>
          <w:p w14:paraId="0BF91D55">
            <w:pPr>
              <w:pStyle w:val="41"/>
              <w:rPr>
                <w:color w:val="auto"/>
                <w:highlight w:val="none"/>
              </w:rPr>
            </w:pPr>
            <w:r>
              <w:rPr>
                <w:color w:val="auto"/>
                <w:highlight w:val="none"/>
              </w:rPr>
              <w:t xml:space="preserve">1.50 </w:t>
            </w:r>
          </w:p>
        </w:tc>
        <w:tc>
          <w:tcPr>
            <w:tcW w:w="1398" w:type="dxa"/>
            <w:noWrap/>
            <w:vAlign w:val="center"/>
          </w:tcPr>
          <w:p w14:paraId="6EE702CB">
            <w:pPr>
              <w:pStyle w:val="41"/>
              <w:rPr>
                <w:color w:val="auto"/>
                <w:highlight w:val="none"/>
              </w:rPr>
            </w:pPr>
            <w:r>
              <w:rPr>
                <w:color w:val="auto"/>
                <w:highlight w:val="none"/>
              </w:rPr>
              <w:t>0.00002</w:t>
            </w:r>
          </w:p>
        </w:tc>
        <w:tc>
          <w:tcPr>
            <w:tcW w:w="872" w:type="dxa"/>
            <w:noWrap/>
            <w:vAlign w:val="center"/>
          </w:tcPr>
          <w:p w14:paraId="2F631970">
            <w:pPr>
              <w:pStyle w:val="41"/>
              <w:rPr>
                <w:color w:val="auto"/>
                <w:highlight w:val="none"/>
              </w:rPr>
            </w:pPr>
            <w:r>
              <w:rPr>
                <w:color w:val="auto"/>
                <w:highlight w:val="none"/>
              </w:rPr>
              <w:t>0</w:t>
            </w:r>
          </w:p>
        </w:tc>
      </w:tr>
      <w:tr w14:paraId="0262DE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D0FABED">
            <w:pPr>
              <w:pStyle w:val="41"/>
              <w:rPr>
                <w:color w:val="auto"/>
                <w:highlight w:val="none"/>
              </w:rPr>
            </w:pPr>
            <w:r>
              <w:rPr>
                <w:color w:val="auto"/>
                <w:highlight w:val="none"/>
              </w:rPr>
              <w:t>45</w:t>
            </w:r>
          </w:p>
        </w:tc>
        <w:tc>
          <w:tcPr>
            <w:tcW w:w="1254" w:type="dxa"/>
            <w:noWrap/>
            <w:vAlign w:val="center"/>
          </w:tcPr>
          <w:p w14:paraId="3D437F7C">
            <w:pPr>
              <w:pStyle w:val="41"/>
              <w:rPr>
                <w:color w:val="auto"/>
                <w:highlight w:val="none"/>
              </w:rPr>
            </w:pPr>
            <w:r>
              <w:rPr>
                <w:color w:val="auto"/>
                <w:highlight w:val="none"/>
              </w:rPr>
              <w:t>1075</w:t>
            </w:r>
          </w:p>
        </w:tc>
        <w:tc>
          <w:tcPr>
            <w:tcW w:w="1532" w:type="dxa"/>
            <w:noWrap/>
            <w:vAlign w:val="center"/>
          </w:tcPr>
          <w:p w14:paraId="617E9076">
            <w:pPr>
              <w:pStyle w:val="41"/>
              <w:rPr>
                <w:color w:val="auto"/>
                <w:highlight w:val="none"/>
              </w:rPr>
            </w:pPr>
            <w:r>
              <w:rPr>
                <w:color w:val="auto"/>
                <w:highlight w:val="none"/>
              </w:rPr>
              <w:t>0.001309</w:t>
            </w:r>
          </w:p>
        </w:tc>
        <w:tc>
          <w:tcPr>
            <w:tcW w:w="946" w:type="dxa"/>
            <w:noWrap/>
            <w:vAlign w:val="center"/>
          </w:tcPr>
          <w:p w14:paraId="4F78E598">
            <w:pPr>
              <w:pStyle w:val="41"/>
              <w:rPr>
                <w:color w:val="auto"/>
                <w:highlight w:val="none"/>
              </w:rPr>
            </w:pPr>
            <w:r>
              <w:rPr>
                <w:color w:val="auto"/>
                <w:highlight w:val="none"/>
              </w:rPr>
              <w:t xml:space="preserve">0.26 </w:t>
            </w:r>
          </w:p>
        </w:tc>
        <w:tc>
          <w:tcPr>
            <w:tcW w:w="1398" w:type="dxa"/>
            <w:noWrap/>
            <w:vAlign w:val="center"/>
          </w:tcPr>
          <w:p w14:paraId="6C0CD32E">
            <w:pPr>
              <w:pStyle w:val="41"/>
              <w:rPr>
                <w:color w:val="auto"/>
                <w:highlight w:val="none"/>
              </w:rPr>
            </w:pPr>
            <w:r>
              <w:rPr>
                <w:color w:val="auto"/>
                <w:highlight w:val="none"/>
              </w:rPr>
              <w:t>0.002945</w:t>
            </w:r>
          </w:p>
        </w:tc>
        <w:tc>
          <w:tcPr>
            <w:tcW w:w="872" w:type="dxa"/>
            <w:noWrap/>
            <w:vAlign w:val="center"/>
          </w:tcPr>
          <w:p w14:paraId="430E792E">
            <w:pPr>
              <w:pStyle w:val="41"/>
              <w:rPr>
                <w:color w:val="auto"/>
                <w:highlight w:val="none"/>
              </w:rPr>
            </w:pPr>
            <w:r>
              <w:rPr>
                <w:color w:val="auto"/>
                <w:highlight w:val="none"/>
              </w:rPr>
              <w:t xml:space="preserve">1.47 </w:t>
            </w:r>
          </w:p>
        </w:tc>
        <w:tc>
          <w:tcPr>
            <w:tcW w:w="1398" w:type="dxa"/>
            <w:noWrap/>
            <w:vAlign w:val="center"/>
          </w:tcPr>
          <w:p w14:paraId="1D4BC217">
            <w:pPr>
              <w:pStyle w:val="41"/>
              <w:rPr>
                <w:color w:val="auto"/>
                <w:highlight w:val="none"/>
              </w:rPr>
            </w:pPr>
            <w:r>
              <w:rPr>
                <w:color w:val="auto"/>
                <w:highlight w:val="none"/>
              </w:rPr>
              <w:t>0.000019</w:t>
            </w:r>
          </w:p>
        </w:tc>
        <w:tc>
          <w:tcPr>
            <w:tcW w:w="872" w:type="dxa"/>
            <w:noWrap/>
            <w:vAlign w:val="center"/>
          </w:tcPr>
          <w:p w14:paraId="7E61A0CD">
            <w:pPr>
              <w:pStyle w:val="41"/>
              <w:rPr>
                <w:color w:val="auto"/>
                <w:highlight w:val="none"/>
              </w:rPr>
            </w:pPr>
            <w:r>
              <w:rPr>
                <w:color w:val="auto"/>
                <w:highlight w:val="none"/>
              </w:rPr>
              <w:t>0</w:t>
            </w:r>
          </w:p>
        </w:tc>
      </w:tr>
      <w:tr w14:paraId="3D5642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5F9ACC4">
            <w:pPr>
              <w:pStyle w:val="41"/>
              <w:rPr>
                <w:color w:val="auto"/>
                <w:highlight w:val="none"/>
              </w:rPr>
            </w:pPr>
            <w:r>
              <w:rPr>
                <w:color w:val="auto"/>
                <w:highlight w:val="none"/>
              </w:rPr>
              <w:t>46</w:t>
            </w:r>
          </w:p>
        </w:tc>
        <w:tc>
          <w:tcPr>
            <w:tcW w:w="1254" w:type="dxa"/>
            <w:noWrap/>
            <w:vAlign w:val="center"/>
          </w:tcPr>
          <w:p w14:paraId="7665B544">
            <w:pPr>
              <w:pStyle w:val="41"/>
              <w:rPr>
                <w:color w:val="auto"/>
                <w:highlight w:val="none"/>
              </w:rPr>
            </w:pPr>
            <w:r>
              <w:rPr>
                <w:color w:val="auto"/>
                <w:highlight w:val="none"/>
              </w:rPr>
              <w:t>1100</w:t>
            </w:r>
          </w:p>
        </w:tc>
        <w:tc>
          <w:tcPr>
            <w:tcW w:w="1532" w:type="dxa"/>
            <w:noWrap/>
            <w:vAlign w:val="center"/>
          </w:tcPr>
          <w:p w14:paraId="36E7EF49">
            <w:pPr>
              <w:pStyle w:val="41"/>
              <w:rPr>
                <w:color w:val="auto"/>
                <w:highlight w:val="none"/>
              </w:rPr>
            </w:pPr>
            <w:r>
              <w:rPr>
                <w:color w:val="auto"/>
                <w:highlight w:val="none"/>
              </w:rPr>
              <w:t>0.001289</w:t>
            </w:r>
          </w:p>
        </w:tc>
        <w:tc>
          <w:tcPr>
            <w:tcW w:w="946" w:type="dxa"/>
            <w:noWrap/>
            <w:vAlign w:val="center"/>
          </w:tcPr>
          <w:p w14:paraId="7AD3877A">
            <w:pPr>
              <w:pStyle w:val="41"/>
              <w:rPr>
                <w:color w:val="auto"/>
                <w:highlight w:val="none"/>
              </w:rPr>
            </w:pPr>
            <w:r>
              <w:rPr>
                <w:color w:val="auto"/>
                <w:highlight w:val="none"/>
              </w:rPr>
              <w:t xml:space="preserve">0.26 </w:t>
            </w:r>
          </w:p>
        </w:tc>
        <w:tc>
          <w:tcPr>
            <w:tcW w:w="1398" w:type="dxa"/>
            <w:noWrap/>
            <w:vAlign w:val="center"/>
          </w:tcPr>
          <w:p w14:paraId="200149DC">
            <w:pPr>
              <w:pStyle w:val="41"/>
              <w:rPr>
                <w:color w:val="auto"/>
                <w:highlight w:val="none"/>
              </w:rPr>
            </w:pPr>
            <w:r>
              <w:rPr>
                <w:color w:val="auto"/>
                <w:highlight w:val="none"/>
              </w:rPr>
              <w:t>0.0029</w:t>
            </w:r>
          </w:p>
        </w:tc>
        <w:tc>
          <w:tcPr>
            <w:tcW w:w="872" w:type="dxa"/>
            <w:noWrap/>
            <w:vAlign w:val="center"/>
          </w:tcPr>
          <w:p w14:paraId="6C7B3E2F">
            <w:pPr>
              <w:pStyle w:val="41"/>
              <w:rPr>
                <w:color w:val="auto"/>
                <w:highlight w:val="none"/>
              </w:rPr>
            </w:pPr>
            <w:r>
              <w:rPr>
                <w:color w:val="auto"/>
                <w:highlight w:val="none"/>
              </w:rPr>
              <w:t xml:space="preserve">1.45 </w:t>
            </w:r>
          </w:p>
        </w:tc>
        <w:tc>
          <w:tcPr>
            <w:tcW w:w="1398" w:type="dxa"/>
            <w:noWrap/>
            <w:vAlign w:val="center"/>
          </w:tcPr>
          <w:p w14:paraId="4F0D72EE">
            <w:pPr>
              <w:pStyle w:val="41"/>
              <w:rPr>
                <w:color w:val="auto"/>
                <w:highlight w:val="none"/>
              </w:rPr>
            </w:pPr>
            <w:r>
              <w:rPr>
                <w:color w:val="auto"/>
                <w:highlight w:val="none"/>
              </w:rPr>
              <w:t>0.000019</w:t>
            </w:r>
          </w:p>
        </w:tc>
        <w:tc>
          <w:tcPr>
            <w:tcW w:w="872" w:type="dxa"/>
            <w:noWrap/>
            <w:vAlign w:val="center"/>
          </w:tcPr>
          <w:p w14:paraId="51FEF6FE">
            <w:pPr>
              <w:pStyle w:val="41"/>
              <w:rPr>
                <w:color w:val="auto"/>
                <w:highlight w:val="none"/>
              </w:rPr>
            </w:pPr>
            <w:r>
              <w:rPr>
                <w:color w:val="auto"/>
                <w:highlight w:val="none"/>
              </w:rPr>
              <w:t>0</w:t>
            </w:r>
          </w:p>
        </w:tc>
      </w:tr>
      <w:tr w14:paraId="466274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1477BA6">
            <w:pPr>
              <w:pStyle w:val="41"/>
              <w:rPr>
                <w:color w:val="auto"/>
                <w:highlight w:val="none"/>
              </w:rPr>
            </w:pPr>
            <w:r>
              <w:rPr>
                <w:color w:val="auto"/>
                <w:highlight w:val="none"/>
              </w:rPr>
              <w:t>47</w:t>
            </w:r>
          </w:p>
        </w:tc>
        <w:tc>
          <w:tcPr>
            <w:tcW w:w="1254" w:type="dxa"/>
            <w:noWrap/>
            <w:vAlign w:val="center"/>
          </w:tcPr>
          <w:p w14:paraId="1E5F62A1">
            <w:pPr>
              <w:pStyle w:val="41"/>
              <w:rPr>
                <w:color w:val="auto"/>
                <w:highlight w:val="none"/>
              </w:rPr>
            </w:pPr>
            <w:r>
              <w:rPr>
                <w:color w:val="auto"/>
                <w:highlight w:val="none"/>
              </w:rPr>
              <w:t>1125</w:t>
            </w:r>
          </w:p>
        </w:tc>
        <w:tc>
          <w:tcPr>
            <w:tcW w:w="1532" w:type="dxa"/>
            <w:noWrap/>
            <w:vAlign w:val="center"/>
          </w:tcPr>
          <w:p w14:paraId="4C576D5D">
            <w:pPr>
              <w:pStyle w:val="41"/>
              <w:rPr>
                <w:color w:val="auto"/>
                <w:highlight w:val="none"/>
              </w:rPr>
            </w:pPr>
            <w:r>
              <w:rPr>
                <w:color w:val="auto"/>
                <w:highlight w:val="none"/>
              </w:rPr>
              <w:t>0.00127</w:t>
            </w:r>
          </w:p>
        </w:tc>
        <w:tc>
          <w:tcPr>
            <w:tcW w:w="946" w:type="dxa"/>
            <w:noWrap/>
            <w:vAlign w:val="center"/>
          </w:tcPr>
          <w:p w14:paraId="510B6F70">
            <w:pPr>
              <w:pStyle w:val="41"/>
              <w:rPr>
                <w:color w:val="auto"/>
                <w:highlight w:val="none"/>
              </w:rPr>
            </w:pPr>
            <w:r>
              <w:rPr>
                <w:color w:val="auto"/>
                <w:highlight w:val="none"/>
              </w:rPr>
              <w:t xml:space="preserve">0.25 </w:t>
            </w:r>
          </w:p>
        </w:tc>
        <w:tc>
          <w:tcPr>
            <w:tcW w:w="1398" w:type="dxa"/>
            <w:noWrap/>
            <w:vAlign w:val="center"/>
          </w:tcPr>
          <w:p w14:paraId="3EBEEFAF">
            <w:pPr>
              <w:pStyle w:val="41"/>
              <w:rPr>
                <w:color w:val="auto"/>
                <w:highlight w:val="none"/>
              </w:rPr>
            </w:pPr>
            <w:r>
              <w:rPr>
                <w:color w:val="auto"/>
                <w:highlight w:val="none"/>
              </w:rPr>
              <w:t>0.002856</w:t>
            </w:r>
          </w:p>
        </w:tc>
        <w:tc>
          <w:tcPr>
            <w:tcW w:w="872" w:type="dxa"/>
            <w:noWrap/>
            <w:vAlign w:val="center"/>
          </w:tcPr>
          <w:p w14:paraId="3DFDD7CD">
            <w:pPr>
              <w:pStyle w:val="41"/>
              <w:rPr>
                <w:color w:val="auto"/>
                <w:highlight w:val="none"/>
              </w:rPr>
            </w:pPr>
            <w:r>
              <w:rPr>
                <w:color w:val="auto"/>
                <w:highlight w:val="none"/>
              </w:rPr>
              <w:t xml:space="preserve">1.43 </w:t>
            </w:r>
          </w:p>
        </w:tc>
        <w:tc>
          <w:tcPr>
            <w:tcW w:w="1398" w:type="dxa"/>
            <w:noWrap/>
            <w:vAlign w:val="center"/>
          </w:tcPr>
          <w:p w14:paraId="4E4CBB66">
            <w:pPr>
              <w:pStyle w:val="41"/>
              <w:rPr>
                <w:color w:val="auto"/>
                <w:highlight w:val="none"/>
              </w:rPr>
            </w:pPr>
            <w:r>
              <w:rPr>
                <w:color w:val="auto"/>
                <w:highlight w:val="none"/>
              </w:rPr>
              <w:t>0.000019</w:t>
            </w:r>
          </w:p>
        </w:tc>
        <w:tc>
          <w:tcPr>
            <w:tcW w:w="872" w:type="dxa"/>
            <w:noWrap/>
            <w:vAlign w:val="center"/>
          </w:tcPr>
          <w:p w14:paraId="70BE0F6B">
            <w:pPr>
              <w:pStyle w:val="41"/>
              <w:rPr>
                <w:color w:val="auto"/>
                <w:highlight w:val="none"/>
              </w:rPr>
            </w:pPr>
            <w:r>
              <w:rPr>
                <w:color w:val="auto"/>
                <w:highlight w:val="none"/>
              </w:rPr>
              <w:t>0</w:t>
            </w:r>
          </w:p>
        </w:tc>
      </w:tr>
      <w:tr w14:paraId="634E4D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A0E045B">
            <w:pPr>
              <w:pStyle w:val="41"/>
              <w:rPr>
                <w:color w:val="auto"/>
                <w:highlight w:val="none"/>
              </w:rPr>
            </w:pPr>
            <w:r>
              <w:rPr>
                <w:color w:val="auto"/>
                <w:highlight w:val="none"/>
              </w:rPr>
              <w:t>48</w:t>
            </w:r>
          </w:p>
        </w:tc>
        <w:tc>
          <w:tcPr>
            <w:tcW w:w="1254" w:type="dxa"/>
            <w:noWrap/>
            <w:vAlign w:val="center"/>
          </w:tcPr>
          <w:p w14:paraId="16CA0641">
            <w:pPr>
              <w:pStyle w:val="41"/>
              <w:rPr>
                <w:color w:val="auto"/>
                <w:highlight w:val="none"/>
              </w:rPr>
            </w:pPr>
            <w:r>
              <w:rPr>
                <w:color w:val="auto"/>
                <w:highlight w:val="none"/>
              </w:rPr>
              <w:t>1150</w:t>
            </w:r>
          </w:p>
        </w:tc>
        <w:tc>
          <w:tcPr>
            <w:tcW w:w="1532" w:type="dxa"/>
            <w:noWrap/>
            <w:vAlign w:val="center"/>
          </w:tcPr>
          <w:p w14:paraId="5F5EB45E">
            <w:pPr>
              <w:pStyle w:val="41"/>
              <w:rPr>
                <w:color w:val="auto"/>
                <w:highlight w:val="none"/>
              </w:rPr>
            </w:pPr>
            <w:r>
              <w:rPr>
                <w:color w:val="auto"/>
                <w:highlight w:val="none"/>
              </w:rPr>
              <w:t>0.00125</w:t>
            </w:r>
          </w:p>
        </w:tc>
        <w:tc>
          <w:tcPr>
            <w:tcW w:w="946" w:type="dxa"/>
            <w:noWrap/>
            <w:vAlign w:val="center"/>
          </w:tcPr>
          <w:p w14:paraId="4F3A624C">
            <w:pPr>
              <w:pStyle w:val="41"/>
              <w:rPr>
                <w:color w:val="auto"/>
                <w:highlight w:val="none"/>
              </w:rPr>
            </w:pPr>
            <w:r>
              <w:rPr>
                <w:color w:val="auto"/>
                <w:highlight w:val="none"/>
              </w:rPr>
              <w:t xml:space="preserve">0.25 </w:t>
            </w:r>
          </w:p>
        </w:tc>
        <w:tc>
          <w:tcPr>
            <w:tcW w:w="1398" w:type="dxa"/>
            <w:noWrap/>
            <w:vAlign w:val="center"/>
          </w:tcPr>
          <w:p w14:paraId="0DD9E9E2">
            <w:pPr>
              <w:pStyle w:val="41"/>
              <w:rPr>
                <w:color w:val="auto"/>
                <w:highlight w:val="none"/>
              </w:rPr>
            </w:pPr>
            <w:r>
              <w:rPr>
                <w:color w:val="auto"/>
                <w:highlight w:val="none"/>
              </w:rPr>
              <w:t>0.002813</w:t>
            </w:r>
          </w:p>
        </w:tc>
        <w:tc>
          <w:tcPr>
            <w:tcW w:w="872" w:type="dxa"/>
            <w:noWrap/>
            <w:vAlign w:val="center"/>
          </w:tcPr>
          <w:p w14:paraId="7BEE48A2">
            <w:pPr>
              <w:pStyle w:val="41"/>
              <w:rPr>
                <w:color w:val="auto"/>
                <w:highlight w:val="none"/>
              </w:rPr>
            </w:pPr>
            <w:r>
              <w:rPr>
                <w:color w:val="auto"/>
                <w:highlight w:val="none"/>
              </w:rPr>
              <w:t xml:space="preserve">1.41 </w:t>
            </w:r>
          </w:p>
        </w:tc>
        <w:tc>
          <w:tcPr>
            <w:tcW w:w="1398" w:type="dxa"/>
            <w:noWrap/>
            <w:vAlign w:val="center"/>
          </w:tcPr>
          <w:p w14:paraId="7F655E44">
            <w:pPr>
              <w:pStyle w:val="41"/>
              <w:rPr>
                <w:color w:val="auto"/>
                <w:highlight w:val="none"/>
              </w:rPr>
            </w:pPr>
            <w:r>
              <w:rPr>
                <w:color w:val="auto"/>
                <w:highlight w:val="none"/>
              </w:rPr>
              <w:t>0.000018</w:t>
            </w:r>
          </w:p>
        </w:tc>
        <w:tc>
          <w:tcPr>
            <w:tcW w:w="872" w:type="dxa"/>
            <w:noWrap/>
            <w:vAlign w:val="center"/>
          </w:tcPr>
          <w:p w14:paraId="6EDE5ACD">
            <w:pPr>
              <w:pStyle w:val="41"/>
              <w:rPr>
                <w:color w:val="auto"/>
                <w:highlight w:val="none"/>
              </w:rPr>
            </w:pPr>
            <w:r>
              <w:rPr>
                <w:color w:val="auto"/>
                <w:highlight w:val="none"/>
              </w:rPr>
              <w:t>0</w:t>
            </w:r>
          </w:p>
        </w:tc>
      </w:tr>
      <w:tr w14:paraId="5D15A1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DF8734A">
            <w:pPr>
              <w:pStyle w:val="41"/>
              <w:rPr>
                <w:color w:val="auto"/>
                <w:highlight w:val="none"/>
              </w:rPr>
            </w:pPr>
            <w:r>
              <w:rPr>
                <w:color w:val="auto"/>
                <w:highlight w:val="none"/>
              </w:rPr>
              <w:t>49</w:t>
            </w:r>
          </w:p>
        </w:tc>
        <w:tc>
          <w:tcPr>
            <w:tcW w:w="1254" w:type="dxa"/>
            <w:noWrap/>
            <w:vAlign w:val="center"/>
          </w:tcPr>
          <w:p w14:paraId="4F6BC270">
            <w:pPr>
              <w:pStyle w:val="41"/>
              <w:rPr>
                <w:color w:val="auto"/>
                <w:highlight w:val="none"/>
              </w:rPr>
            </w:pPr>
            <w:r>
              <w:rPr>
                <w:color w:val="auto"/>
                <w:highlight w:val="none"/>
              </w:rPr>
              <w:t>1175</w:t>
            </w:r>
          </w:p>
        </w:tc>
        <w:tc>
          <w:tcPr>
            <w:tcW w:w="1532" w:type="dxa"/>
            <w:noWrap/>
            <w:vAlign w:val="center"/>
          </w:tcPr>
          <w:p w14:paraId="740F1362">
            <w:pPr>
              <w:pStyle w:val="41"/>
              <w:rPr>
                <w:color w:val="auto"/>
                <w:highlight w:val="none"/>
              </w:rPr>
            </w:pPr>
            <w:r>
              <w:rPr>
                <w:color w:val="auto"/>
                <w:highlight w:val="none"/>
              </w:rPr>
              <w:t>0.001232</w:t>
            </w:r>
          </w:p>
        </w:tc>
        <w:tc>
          <w:tcPr>
            <w:tcW w:w="946" w:type="dxa"/>
            <w:noWrap/>
            <w:vAlign w:val="center"/>
          </w:tcPr>
          <w:p w14:paraId="0167887F">
            <w:pPr>
              <w:pStyle w:val="41"/>
              <w:rPr>
                <w:color w:val="auto"/>
                <w:highlight w:val="none"/>
              </w:rPr>
            </w:pPr>
            <w:r>
              <w:rPr>
                <w:color w:val="auto"/>
                <w:highlight w:val="none"/>
              </w:rPr>
              <w:t xml:space="preserve">0.25 </w:t>
            </w:r>
          </w:p>
        </w:tc>
        <w:tc>
          <w:tcPr>
            <w:tcW w:w="1398" w:type="dxa"/>
            <w:noWrap/>
            <w:vAlign w:val="center"/>
          </w:tcPr>
          <w:p w14:paraId="7BEC2735">
            <w:pPr>
              <w:pStyle w:val="41"/>
              <w:rPr>
                <w:color w:val="auto"/>
                <w:highlight w:val="none"/>
              </w:rPr>
            </w:pPr>
            <w:r>
              <w:rPr>
                <w:color w:val="auto"/>
                <w:highlight w:val="none"/>
              </w:rPr>
              <w:t>0.00277</w:t>
            </w:r>
          </w:p>
        </w:tc>
        <w:tc>
          <w:tcPr>
            <w:tcW w:w="872" w:type="dxa"/>
            <w:noWrap/>
            <w:vAlign w:val="center"/>
          </w:tcPr>
          <w:p w14:paraId="2DA90981">
            <w:pPr>
              <w:pStyle w:val="41"/>
              <w:rPr>
                <w:color w:val="auto"/>
                <w:highlight w:val="none"/>
              </w:rPr>
            </w:pPr>
            <w:r>
              <w:rPr>
                <w:color w:val="auto"/>
                <w:highlight w:val="none"/>
              </w:rPr>
              <w:t xml:space="preserve">1.39 </w:t>
            </w:r>
          </w:p>
        </w:tc>
        <w:tc>
          <w:tcPr>
            <w:tcW w:w="1398" w:type="dxa"/>
            <w:noWrap/>
            <w:vAlign w:val="center"/>
          </w:tcPr>
          <w:p w14:paraId="48DE526F">
            <w:pPr>
              <w:pStyle w:val="41"/>
              <w:rPr>
                <w:color w:val="auto"/>
                <w:highlight w:val="none"/>
              </w:rPr>
            </w:pPr>
            <w:r>
              <w:rPr>
                <w:color w:val="auto"/>
                <w:highlight w:val="none"/>
              </w:rPr>
              <w:t>0.000018</w:t>
            </w:r>
          </w:p>
        </w:tc>
        <w:tc>
          <w:tcPr>
            <w:tcW w:w="872" w:type="dxa"/>
            <w:noWrap/>
            <w:vAlign w:val="center"/>
          </w:tcPr>
          <w:p w14:paraId="140D4B7C">
            <w:pPr>
              <w:pStyle w:val="41"/>
              <w:rPr>
                <w:color w:val="auto"/>
                <w:highlight w:val="none"/>
              </w:rPr>
            </w:pPr>
            <w:r>
              <w:rPr>
                <w:color w:val="auto"/>
                <w:highlight w:val="none"/>
              </w:rPr>
              <w:t>0</w:t>
            </w:r>
          </w:p>
        </w:tc>
      </w:tr>
      <w:tr w14:paraId="447D76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1EB0417">
            <w:pPr>
              <w:pStyle w:val="41"/>
              <w:rPr>
                <w:color w:val="auto"/>
                <w:highlight w:val="none"/>
              </w:rPr>
            </w:pPr>
            <w:r>
              <w:rPr>
                <w:color w:val="auto"/>
                <w:highlight w:val="none"/>
              </w:rPr>
              <w:t>50</w:t>
            </w:r>
          </w:p>
        </w:tc>
        <w:tc>
          <w:tcPr>
            <w:tcW w:w="1254" w:type="dxa"/>
            <w:noWrap/>
            <w:vAlign w:val="center"/>
          </w:tcPr>
          <w:p w14:paraId="5008A8D1">
            <w:pPr>
              <w:pStyle w:val="41"/>
              <w:rPr>
                <w:color w:val="auto"/>
                <w:highlight w:val="none"/>
              </w:rPr>
            </w:pPr>
            <w:r>
              <w:rPr>
                <w:color w:val="auto"/>
                <w:highlight w:val="none"/>
              </w:rPr>
              <w:t>1200</w:t>
            </w:r>
          </w:p>
        </w:tc>
        <w:tc>
          <w:tcPr>
            <w:tcW w:w="1532" w:type="dxa"/>
            <w:noWrap/>
            <w:vAlign w:val="center"/>
          </w:tcPr>
          <w:p w14:paraId="7741382F">
            <w:pPr>
              <w:pStyle w:val="41"/>
              <w:rPr>
                <w:color w:val="auto"/>
                <w:highlight w:val="none"/>
              </w:rPr>
            </w:pPr>
            <w:r>
              <w:rPr>
                <w:color w:val="auto"/>
                <w:highlight w:val="none"/>
              </w:rPr>
              <w:t>0.001213</w:t>
            </w:r>
          </w:p>
        </w:tc>
        <w:tc>
          <w:tcPr>
            <w:tcW w:w="946" w:type="dxa"/>
            <w:noWrap/>
            <w:vAlign w:val="center"/>
          </w:tcPr>
          <w:p w14:paraId="1C15503F">
            <w:pPr>
              <w:pStyle w:val="41"/>
              <w:rPr>
                <w:color w:val="auto"/>
                <w:highlight w:val="none"/>
              </w:rPr>
            </w:pPr>
            <w:r>
              <w:rPr>
                <w:color w:val="auto"/>
                <w:highlight w:val="none"/>
              </w:rPr>
              <w:t xml:space="preserve">0.24 </w:t>
            </w:r>
          </w:p>
        </w:tc>
        <w:tc>
          <w:tcPr>
            <w:tcW w:w="1398" w:type="dxa"/>
            <w:noWrap/>
            <w:vAlign w:val="center"/>
          </w:tcPr>
          <w:p w14:paraId="78B44D63">
            <w:pPr>
              <w:pStyle w:val="41"/>
              <w:rPr>
                <w:color w:val="auto"/>
                <w:highlight w:val="none"/>
              </w:rPr>
            </w:pPr>
            <w:r>
              <w:rPr>
                <w:color w:val="auto"/>
                <w:highlight w:val="none"/>
              </w:rPr>
              <w:t>0.002729</w:t>
            </w:r>
          </w:p>
        </w:tc>
        <w:tc>
          <w:tcPr>
            <w:tcW w:w="872" w:type="dxa"/>
            <w:noWrap/>
            <w:vAlign w:val="center"/>
          </w:tcPr>
          <w:p w14:paraId="3809BA43">
            <w:pPr>
              <w:pStyle w:val="41"/>
              <w:rPr>
                <w:color w:val="auto"/>
                <w:highlight w:val="none"/>
              </w:rPr>
            </w:pPr>
            <w:r>
              <w:rPr>
                <w:color w:val="auto"/>
                <w:highlight w:val="none"/>
              </w:rPr>
              <w:t xml:space="preserve">1.36 </w:t>
            </w:r>
          </w:p>
        </w:tc>
        <w:tc>
          <w:tcPr>
            <w:tcW w:w="1398" w:type="dxa"/>
            <w:noWrap/>
            <w:vAlign w:val="center"/>
          </w:tcPr>
          <w:p w14:paraId="683B7A5F">
            <w:pPr>
              <w:pStyle w:val="41"/>
              <w:rPr>
                <w:color w:val="auto"/>
                <w:highlight w:val="none"/>
              </w:rPr>
            </w:pPr>
            <w:r>
              <w:rPr>
                <w:color w:val="auto"/>
                <w:highlight w:val="none"/>
              </w:rPr>
              <w:t>0.000018</w:t>
            </w:r>
          </w:p>
        </w:tc>
        <w:tc>
          <w:tcPr>
            <w:tcW w:w="872" w:type="dxa"/>
            <w:noWrap/>
            <w:vAlign w:val="center"/>
          </w:tcPr>
          <w:p w14:paraId="4CD28D24">
            <w:pPr>
              <w:pStyle w:val="41"/>
              <w:rPr>
                <w:color w:val="auto"/>
                <w:highlight w:val="none"/>
              </w:rPr>
            </w:pPr>
            <w:r>
              <w:rPr>
                <w:color w:val="auto"/>
                <w:highlight w:val="none"/>
              </w:rPr>
              <w:t>0</w:t>
            </w:r>
          </w:p>
        </w:tc>
      </w:tr>
      <w:tr w14:paraId="12E93B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C4605DB">
            <w:pPr>
              <w:pStyle w:val="41"/>
              <w:rPr>
                <w:color w:val="auto"/>
                <w:highlight w:val="none"/>
              </w:rPr>
            </w:pPr>
            <w:r>
              <w:rPr>
                <w:color w:val="auto"/>
                <w:highlight w:val="none"/>
              </w:rPr>
              <w:t>51</w:t>
            </w:r>
          </w:p>
        </w:tc>
        <w:tc>
          <w:tcPr>
            <w:tcW w:w="1254" w:type="dxa"/>
            <w:noWrap/>
            <w:vAlign w:val="center"/>
          </w:tcPr>
          <w:p w14:paraId="455B68EB">
            <w:pPr>
              <w:pStyle w:val="41"/>
              <w:rPr>
                <w:color w:val="auto"/>
                <w:highlight w:val="none"/>
              </w:rPr>
            </w:pPr>
            <w:r>
              <w:rPr>
                <w:color w:val="auto"/>
                <w:highlight w:val="none"/>
              </w:rPr>
              <w:t>1225</w:t>
            </w:r>
          </w:p>
        </w:tc>
        <w:tc>
          <w:tcPr>
            <w:tcW w:w="1532" w:type="dxa"/>
            <w:noWrap/>
            <w:vAlign w:val="center"/>
          </w:tcPr>
          <w:p w14:paraId="5ED4C85A">
            <w:pPr>
              <w:pStyle w:val="41"/>
              <w:rPr>
                <w:color w:val="auto"/>
                <w:highlight w:val="none"/>
              </w:rPr>
            </w:pPr>
            <w:r>
              <w:rPr>
                <w:color w:val="auto"/>
                <w:highlight w:val="none"/>
              </w:rPr>
              <w:t>0.001195</w:t>
            </w:r>
          </w:p>
        </w:tc>
        <w:tc>
          <w:tcPr>
            <w:tcW w:w="946" w:type="dxa"/>
            <w:noWrap/>
            <w:vAlign w:val="center"/>
          </w:tcPr>
          <w:p w14:paraId="2416FB64">
            <w:pPr>
              <w:pStyle w:val="41"/>
              <w:rPr>
                <w:color w:val="auto"/>
                <w:highlight w:val="none"/>
              </w:rPr>
            </w:pPr>
            <w:r>
              <w:rPr>
                <w:color w:val="auto"/>
                <w:highlight w:val="none"/>
              </w:rPr>
              <w:t xml:space="preserve">0.24 </w:t>
            </w:r>
          </w:p>
        </w:tc>
        <w:tc>
          <w:tcPr>
            <w:tcW w:w="1398" w:type="dxa"/>
            <w:noWrap/>
            <w:vAlign w:val="center"/>
          </w:tcPr>
          <w:p w14:paraId="20B6E4E0">
            <w:pPr>
              <w:pStyle w:val="41"/>
              <w:rPr>
                <w:color w:val="auto"/>
                <w:highlight w:val="none"/>
              </w:rPr>
            </w:pPr>
            <w:r>
              <w:rPr>
                <w:color w:val="auto"/>
                <w:highlight w:val="none"/>
              </w:rPr>
              <w:t>0.002689</w:t>
            </w:r>
          </w:p>
        </w:tc>
        <w:tc>
          <w:tcPr>
            <w:tcW w:w="872" w:type="dxa"/>
            <w:noWrap/>
            <w:vAlign w:val="center"/>
          </w:tcPr>
          <w:p w14:paraId="23772C09">
            <w:pPr>
              <w:pStyle w:val="41"/>
              <w:rPr>
                <w:color w:val="auto"/>
                <w:highlight w:val="none"/>
              </w:rPr>
            </w:pPr>
            <w:r>
              <w:rPr>
                <w:color w:val="auto"/>
                <w:highlight w:val="none"/>
              </w:rPr>
              <w:t xml:space="preserve">1.34 </w:t>
            </w:r>
          </w:p>
        </w:tc>
        <w:tc>
          <w:tcPr>
            <w:tcW w:w="1398" w:type="dxa"/>
            <w:noWrap/>
            <w:vAlign w:val="center"/>
          </w:tcPr>
          <w:p w14:paraId="2DE113C3">
            <w:pPr>
              <w:pStyle w:val="41"/>
              <w:rPr>
                <w:color w:val="auto"/>
                <w:highlight w:val="none"/>
              </w:rPr>
            </w:pPr>
            <w:r>
              <w:rPr>
                <w:color w:val="auto"/>
                <w:highlight w:val="none"/>
              </w:rPr>
              <w:t>0.000018</w:t>
            </w:r>
          </w:p>
        </w:tc>
        <w:tc>
          <w:tcPr>
            <w:tcW w:w="872" w:type="dxa"/>
            <w:noWrap/>
            <w:vAlign w:val="center"/>
          </w:tcPr>
          <w:p w14:paraId="2EBFE60D">
            <w:pPr>
              <w:pStyle w:val="41"/>
              <w:rPr>
                <w:color w:val="auto"/>
                <w:highlight w:val="none"/>
              </w:rPr>
            </w:pPr>
            <w:r>
              <w:rPr>
                <w:color w:val="auto"/>
                <w:highlight w:val="none"/>
              </w:rPr>
              <w:t>0</w:t>
            </w:r>
          </w:p>
        </w:tc>
      </w:tr>
      <w:tr w14:paraId="4623C5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8A6AD24">
            <w:pPr>
              <w:pStyle w:val="41"/>
              <w:rPr>
                <w:color w:val="auto"/>
                <w:highlight w:val="none"/>
              </w:rPr>
            </w:pPr>
            <w:r>
              <w:rPr>
                <w:color w:val="auto"/>
                <w:highlight w:val="none"/>
              </w:rPr>
              <w:t>52</w:t>
            </w:r>
          </w:p>
        </w:tc>
        <w:tc>
          <w:tcPr>
            <w:tcW w:w="1254" w:type="dxa"/>
            <w:noWrap/>
            <w:vAlign w:val="center"/>
          </w:tcPr>
          <w:p w14:paraId="4D4CF6E0">
            <w:pPr>
              <w:pStyle w:val="41"/>
              <w:rPr>
                <w:color w:val="auto"/>
                <w:highlight w:val="none"/>
              </w:rPr>
            </w:pPr>
            <w:r>
              <w:rPr>
                <w:color w:val="auto"/>
                <w:highlight w:val="none"/>
              </w:rPr>
              <w:t>1250</w:t>
            </w:r>
          </w:p>
        </w:tc>
        <w:tc>
          <w:tcPr>
            <w:tcW w:w="1532" w:type="dxa"/>
            <w:noWrap/>
            <w:vAlign w:val="center"/>
          </w:tcPr>
          <w:p w14:paraId="1CA7BD14">
            <w:pPr>
              <w:pStyle w:val="41"/>
              <w:rPr>
                <w:color w:val="auto"/>
                <w:highlight w:val="none"/>
              </w:rPr>
            </w:pPr>
            <w:r>
              <w:rPr>
                <w:color w:val="auto"/>
                <w:highlight w:val="none"/>
              </w:rPr>
              <w:t>0.001178</w:t>
            </w:r>
          </w:p>
        </w:tc>
        <w:tc>
          <w:tcPr>
            <w:tcW w:w="946" w:type="dxa"/>
            <w:noWrap/>
            <w:vAlign w:val="center"/>
          </w:tcPr>
          <w:p w14:paraId="6A0D699A">
            <w:pPr>
              <w:pStyle w:val="41"/>
              <w:rPr>
                <w:color w:val="auto"/>
                <w:highlight w:val="none"/>
              </w:rPr>
            </w:pPr>
            <w:r>
              <w:rPr>
                <w:color w:val="auto"/>
                <w:highlight w:val="none"/>
              </w:rPr>
              <w:t xml:space="preserve">0.24 </w:t>
            </w:r>
          </w:p>
        </w:tc>
        <w:tc>
          <w:tcPr>
            <w:tcW w:w="1398" w:type="dxa"/>
            <w:noWrap/>
            <w:vAlign w:val="center"/>
          </w:tcPr>
          <w:p w14:paraId="1F9921C6">
            <w:pPr>
              <w:pStyle w:val="41"/>
              <w:rPr>
                <w:color w:val="auto"/>
                <w:highlight w:val="none"/>
              </w:rPr>
            </w:pPr>
            <w:r>
              <w:rPr>
                <w:color w:val="auto"/>
                <w:highlight w:val="none"/>
              </w:rPr>
              <w:t>0.002649</w:t>
            </w:r>
          </w:p>
        </w:tc>
        <w:tc>
          <w:tcPr>
            <w:tcW w:w="872" w:type="dxa"/>
            <w:noWrap/>
            <w:vAlign w:val="center"/>
          </w:tcPr>
          <w:p w14:paraId="50B160D3">
            <w:pPr>
              <w:pStyle w:val="41"/>
              <w:rPr>
                <w:color w:val="auto"/>
                <w:highlight w:val="none"/>
              </w:rPr>
            </w:pPr>
            <w:r>
              <w:rPr>
                <w:color w:val="auto"/>
                <w:highlight w:val="none"/>
              </w:rPr>
              <w:t xml:space="preserve">1.32 </w:t>
            </w:r>
          </w:p>
        </w:tc>
        <w:tc>
          <w:tcPr>
            <w:tcW w:w="1398" w:type="dxa"/>
            <w:noWrap/>
            <w:vAlign w:val="center"/>
          </w:tcPr>
          <w:p w14:paraId="3FDC6BD3">
            <w:pPr>
              <w:pStyle w:val="41"/>
              <w:rPr>
                <w:color w:val="auto"/>
                <w:highlight w:val="none"/>
              </w:rPr>
            </w:pPr>
            <w:r>
              <w:rPr>
                <w:color w:val="auto"/>
                <w:highlight w:val="none"/>
              </w:rPr>
              <w:t>0.000017</w:t>
            </w:r>
          </w:p>
        </w:tc>
        <w:tc>
          <w:tcPr>
            <w:tcW w:w="872" w:type="dxa"/>
            <w:noWrap/>
            <w:vAlign w:val="center"/>
          </w:tcPr>
          <w:p w14:paraId="06214A15">
            <w:pPr>
              <w:pStyle w:val="41"/>
              <w:rPr>
                <w:color w:val="auto"/>
                <w:highlight w:val="none"/>
              </w:rPr>
            </w:pPr>
            <w:r>
              <w:rPr>
                <w:color w:val="auto"/>
                <w:highlight w:val="none"/>
              </w:rPr>
              <w:t>0</w:t>
            </w:r>
          </w:p>
        </w:tc>
      </w:tr>
      <w:tr w14:paraId="22458B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5603A5F">
            <w:pPr>
              <w:pStyle w:val="41"/>
              <w:rPr>
                <w:color w:val="auto"/>
                <w:highlight w:val="none"/>
              </w:rPr>
            </w:pPr>
            <w:r>
              <w:rPr>
                <w:color w:val="auto"/>
                <w:highlight w:val="none"/>
              </w:rPr>
              <w:t>53</w:t>
            </w:r>
          </w:p>
        </w:tc>
        <w:tc>
          <w:tcPr>
            <w:tcW w:w="1254" w:type="dxa"/>
            <w:noWrap/>
            <w:vAlign w:val="center"/>
          </w:tcPr>
          <w:p w14:paraId="37AC4CC4">
            <w:pPr>
              <w:pStyle w:val="41"/>
              <w:rPr>
                <w:color w:val="auto"/>
                <w:highlight w:val="none"/>
              </w:rPr>
            </w:pPr>
            <w:r>
              <w:rPr>
                <w:color w:val="auto"/>
                <w:highlight w:val="none"/>
              </w:rPr>
              <w:t>1275</w:t>
            </w:r>
          </w:p>
        </w:tc>
        <w:tc>
          <w:tcPr>
            <w:tcW w:w="1532" w:type="dxa"/>
            <w:noWrap/>
            <w:vAlign w:val="center"/>
          </w:tcPr>
          <w:p w14:paraId="6809D783">
            <w:pPr>
              <w:pStyle w:val="41"/>
              <w:rPr>
                <w:color w:val="auto"/>
                <w:highlight w:val="none"/>
              </w:rPr>
            </w:pPr>
            <w:r>
              <w:rPr>
                <w:color w:val="auto"/>
                <w:highlight w:val="none"/>
              </w:rPr>
              <w:t>0.001161</w:t>
            </w:r>
          </w:p>
        </w:tc>
        <w:tc>
          <w:tcPr>
            <w:tcW w:w="946" w:type="dxa"/>
            <w:noWrap/>
            <w:vAlign w:val="center"/>
          </w:tcPr>
          <w:p w14:paraId="5C9DB466">
            <w:pPr>
              <w:pStyle w:val="41"/>
              <w:rPr>
                <w:color w:val="auto"/>
                <w:highlight w:val="none"/>
              </w:rPr>
            </w:pPr>
            <w:r>
              <w:rPr>
                <w:color w:val="auto"/>
                <w:highlight w:val="none"/>
              </w:rPr>
              <w:t xml:space="preserve">0.23 </w:t>
            </w:r>
          </w:p>
        </w:tc>
        <w:tc>
          <w:tcPr>
            <w:tcW w:w="1398" w:type="dxa"/>
            <w:noWrap/>
            <w:vAlign w:val="center"/>
          </w:tcPr>
          <w:p w14:paraId="291E97E7">
            <w:pPr>
              <w:pStyle w:val="41"/>
              <w:rPr>
                <w:color w:val="auto"/>
                <w:highlight w:val="none"/>
              </w:rPr>
            </w:pPr>
            <w:r>
              <w:rPr>
                <w:color w:val="auto"/>
                <w:highlight w:val="none"/>
              </w:rPr>
              <w:t>0.002611</w:t>
            </w:r>
          </w:p>
        </w:tc>
        <w:tc>
          <w:tcPr>
            <w:tcW w:w="872" w:type="dxa"/>
            <w:noWrap/>
            <w:vAlign w:val="center"/>
          </w:tcPr>
          <w:p w14:paraId="15B65382">
            <w:pPr>
              <w:pStyle w:val="41"/>
              <w:rPr>
                <w:color w:val="auto"/>
                <w:highlight w:val="none"/>
              </w:rPr>
            </w:pPr>
            <w:r>
              <w:rPr>
                <w:color w:val="auto"/>
                <w:highlight w:val="none"/>
              </w:rPr>
              <w:t xml:space="preserve">1.31 </w:t>
            </w:r>
          </w:p>
        </w:tc>
        <w:tc>
          <w:tcPr>
            <w:tcW w:w="1398" w:type="dxa"/>
            <w:noWrap/>
            <w:vAlign w:val="center"/>
          </w:tcPr>
          <w:p w14:paraId="0EAE6CDC">
            <w:pPr>
              <w:pStyle w:val="41"/>
              <w:rPr>
                <w:color w:val="auto"/>
                <w:highlight w:val="none"/>
              </w:rPr>
            </w:pPr>
            <w:r>
              <w:rPr>
                <w:color w:val="auto"/>
                <w:highlight w:val="none"/>
              </w:rPr>
              <w:t>0.000017</w:t>
            </w:r>
          </w:p>
        </w:tc>
        <w:tc>
          <w:tcPr>
            <w:tcW w:w="872" w:type="dxa"/>
            <w:noWrap/>
            <w:vAlign w:val="center"/>
          </w:tcPr>
          <w:p w14:paraId="5492E41A">
            <w:pPr>
              <w:pStyle w:val="41"/>
              <w:rPr>
                <w:color w:val="auto"/>
                <w:highlight w:val="none"/>
              </w:rPr>
            </w:pPr>
            <w:r>
              <w:rPr>
                <w:color w:val="auto"/>
                <w:highlight w:val="none"/>
              </w:rPr>
              <w:t>0</w:t>
            </w:r>
          </w:p>
        </w:tc>
      </w:tr>
      <w:tr w14:paraId="1046B9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10256C5">
            <w:pPr>
              <w:pStyle w:val="41"/>
              <w:rPr>
                <w:color w:val="auto"/>
                <w:highlight w:val="none"/>
              </w:rPr>
            </w:pPr>
            <w:r>
              <w:rPr>
                <w:color w:val="auto"/>
                <w:highlight w:val="none"/>
              </w:rPr>
              <w:t>54</w:t>
            </w:r>
          </w:p>
        </w:tc>
        <w:tc>
          <w:tcPr>
            <w:tcW w:w="1254" w:type="dxa"/>
            <w:noWrap/>
            <w:vAlign w:val="center"/>
          </w:tcPr>
          <w:p w14:paraId="31C7A7AC">
            <w:pPr>
              <w:pStyle w:val="41"/>
              <w:rPr>
                <w:color w:val="auto"/>
                <w:highlight w:val="none"/>
              </w:rPr>
            </w:pPr>
            <w:r>
              <w:rPr>
                <w:color w:val="auto"/>
                <w:highlight w:val="none"/>
              </w:rPr>
              <w:t>1300</w:t>
            </w:r>
          </w:p>
        </w:tc>
        <w:tc>
          <w:tcPr>
            <w:tcW w:w="1532" w:type="dxa"/>
            <w:noWrap/>
            <w:vAlign w:val="center"/>
          </w:tcPr>
          <w:p w14:paraId="53783EBC">
            <w:pPr>
              <w:pStyle w:val="41"/>
              <w:rPr>
                <w:color w:val="auto"/>
                <w:highlight w:val="none"/>
              </w:rPr>
            </w:pPr>
            <w:r>
              <w:rPr>
                <w:color w:val="auto"/>
                <w:highlight w:val="none"/>
              </w:rPr>
              <w:t>0.001144</w:t>
            </w:r>
          </w:p>
        </w:tc>
        <w:tc>
          <w:tcPr>
            <w:tcW w:w="946" w:type="dxa"/>
            <w:noWrap/>
            <w:vAlign w:val="center"/>
          </w:tcPr>
          <w:p w14:paraId="470B968D">
            <w:pPr>
              <w:pStyle w:val="41"/>
              <w:rPr>
                <w:color w:val="auto"/>
                <w:highlight w:val="none"/>
              </w:rPr>
            </w:pPr>
            <w:r>
              <w:rPr>
                <w:color w:val="auto"/>
                <w:highlight w:val="none"/>
              </w:rPr>
              <w:t xml:space="preserve">0.23 </w:t>
            </w:r>
          </w:p>
        </w:tc>
        <w:tc>
          <w:tcPr>
            <w:tcW w:w="1398" w:type="dxa"/>
            <w:noWrap/>
            <w:vAlign w:val="center"/>
          </w:tcPr>
          <w:p w14:paraId="229B7A6A">
            <w:pPr>
              <w:pStyle w:val="41"/>
              <w:rPr>
                <w:color w:val="auto"/>
                <w:highlight w:val="none"/>
              </w:rPr>
            </w:pPr>
            <w:r>
              <w:rPr>
                <w:color w:val="auto"/>
                <w:highlight w:val="none"/>
              </w:rPr>
              <w:t>0.002573</w:t>
            </w:r>
          </w:p>
        </w:tc>
        <w:tc>
          <w:tcPr>
            <w:tcW w:w="872" w:type="dxa"/>
            <w:noWrap/>
            <w:vAlign w:val="center"/>
          </w:tcPr>
          <w:p w14:paraId="41B3EA28">
            <w:pPr>
              <w:pStyle w:val="41"/>
              <w:rPr>
                <w:color w:val="auto"/>
                <w:highlight w:val="none"/>
              </w:rPr>
            </w:pPr>
            <w:r>
              <w:rPr>
                <w:color w:val="auto"/>
                <w:highlight w:val="none"/>
              </w:rPr>
              <w:t xml:space="preserve">1.29 </w:t>
            </w:r>
          </w:p>
        </w:tc>
        <w:tc>
          <w:tcPr>
            <w:tcW w:w="1398" w:type="dxa"/>
            <w:noWrap/>
            <w:vAlign w:val="center"/>
          </w:tcPr>
          <w:p w14:paraId="2E2ADC78">
            <w:pPr>
              <w:pStyle w:val="41"/>
              <w:rPr>
                <w:color w:val="auto"/>
                <w:highlight w:val="none"/>
              </w:rPr>
            </w:pPr>
            <w:r>
              <w:rPr>
                <w:color w:val="auto"/>
                <w:highlight w:val="none"/>
              </w:rPr>
              <w:t>0.000017</w:t>
            </w:r>
          </w:p>
        </w:tc>
        <w:tc>
          <w:tcPr>
            <w:tcW w:w="872" w:type="dxa"/>
            <w:noWrap/>
            <w:vAlign w:val="center"/>
          </w:tcPr>
          <w:p w14:paraId="3D58BC90">
            <w:pPr>
              <w:pStyle w:val="41"/>
              <w:rPr>
                <w:color w:val="auto"/>
                <w:highlight w:val="none"/>
              </w:rPr>
            </w:pPr>
            <w:r>
              <w:rPr>
                <w:color w:val="auto"/>
                <w:highlight w:val="none"/>
              </w:rPr>
              <w:t>0</w:t>
            </w:r>
          </w:p>
        </w:tc>
      </w:tr>
      <w:tr w14:paraId="72CBCE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4437D23">
            <w:pPr>
              <w:pStyle w:val="41"/>
              <w:rPr>
                <w:color w:val="auto"/>
                <w:highlight w:val="none"/>
              </w:rPr>
            </w:pPr>
            <w:r>
              <w:rPr>
                <w:color w:val="auto"/>
                <w:highlight w:val="none"/>
              </w:rPr>
              <w:t>55</w:t>
            </w:r>
          </w:p>
        </w:tc>
        <w:tc>
          <w:tcPr>
            <w:tcW w:w="1254" w:type="dxa"/>
            <w:noWrap/>
            <w:vAlign w:val="center"/>
          </w:tcPr>
          <w:p w14:paraId="2C245D97">
            <w:pPr>
              <w:pStyle w:val="41"/>
              <w:rPr>
                <w:color w:val="auto"/>
                <w:highlight w:val="none"/>
              </w:rPr>
            </w:pPr>
            <w:r>
              <w:rPr>
                <w:color w:val="auto"/>
                <w:highlight w:val="none"/>
              </w:rPr>
              <w:t>1325</w:t>
            </w:r>
          </w:p>
        </w:tc>
        <w:tc>
          <w:tcPr>
            <w:tcW w:w="1532" w:type="dxa"/>
            <w:noWrap/>
            <w:vAlign w:val="center"/>
          </w:tcPr>
          <w:p w14:paraId="0A273456">
            <w:pPr>
              <w:pStyle w:val="41"/>
              <w:rPr>
                <w:color w:val="auto"/>
                <w:highlight w:val="none"/>
              </w:rPr>
            </w:pPr>
            <w:r>
              <w:rPr>
                <w:color w:val="auto"/>
                <w:highlight w:val="none"/>
              </w:rPr>
              <w:t>0.001128</w:t>
            </w:r>
          </w:p>
        </w:tc>
        <w:tc>
          <w:tcPr>
            <w:tcW w:w="946" w:type="dxa"/>
            <w:noWrap/>
            <w:vAlign w:val="center"/>
          </w:tcPr>
          <w:p w14:paraId="1D0F8FDA">
            <w:pPr>
              <w:pStyle w:val="41"/>
              <w:rPr>
                <w:color w:val="auto"/>
                <w:highlight w:val="none"/>
              </w:rPr>
            </w:pPr>
            <w:r>
              <w:rPr>
                <w:color w:val="auto"/>
                <w:highlight w:val="none"/>
              </w:rPr>
              <w:t xml:space="preserve">0.23 </w:t>
            </w:r>
          </w:p>
        </w:tc>
        <w:tc>
          <w:tcPr>
            <w:tcW w:w="1398" w:type="dxa"/>
            <w:noWrap/>
            <w:vAlign w:val="center"/>
          </w:tcPr>
          <w:p w14:paraId="790E520B">
            <w:pPr>
              <w:pStyle w:val="41"/>
              <w:rPr>
                <w:color w:val="auto"/>
                <w:highlight w:val="none"/>
              </w:rPr>
            </w:pPr>
            <w:r>
              <w:rPr>
                <w:color w:val="auto"/>
                <w:highlight w:val="none"/>
              </w:rPr>
              <w:t>0.002537</w:t>
            </w:r>
          </w:p>
        </w:tc>
        <w:tc>
          <w:tcPr>
            <w:tcW w:w="872" w:type="dxa"/>
            <w:noWrap/>
            <w:vAlign w:val="center"/>
          </w:tcPr>
          <w:p w14:paraId="356E6483">
            <w:pPr>
              <w:pStyle w:val="41"/>
              <w:rPr>
                <w:color w:val="auto"/>
                <w:highlight w:val="none"/>
              </w:rPr>
            </w:pPr>
            <w:r>
              <w:rPr>
                <w:color w:val="auto"/>
                <w:highlight w:val="none"/>
              </w:rPr>
              <w:t xml:space="preserve">1.27 </w:t>
            </w:r>
          </w:p>
        </w:tc>
        <w:tc>
          <w:tcPr>
            <w:tcW w:w="1398" w:type="dxa"/>
            <w:noWrap/>
            <w:vAlign w:val="center"/>
          </w:tcPr>
          <w:p w14:paraId="6712BA72">
            <w:pPr>
              <w:pStyle w:val="41"/>
              <w:rPr>
                <w:color w:val="auto"/>
                <w:highlight w:val="none"/>
              </w:rPr>
            </w:pPr>
            <w:r>
              <w:rPr>
                <w:color w:val="auto"/>
                <w:highlight w:val="none"/>
              </w:rPr>
              <w:t>0.000017</w:t>
            </w:r>
          </w:p>
        </w:tc>
        <w:tc>
          <w:tcPr>
            <w:tcW w:w="872" w:type="dxa"/>
            <w:noWrap/>
            <w:vAlign w:val="center"/>
          </w:tcPr>
          <w:p w14:paraId="5487A4D8">
            <w:pPr>
              <w:pStyle w:val="41"/>
              <w:rPr>
                <w:color w:val="auto"/>
                <w:highlight w:val="none"/>
              </w:rPr>
            </w:pPr>
            <w:r>
              <w:rPr>
                <w:color w:val="auto"/>
                <w:highlight w:val="none"/>
              </w:rPr>
              <w:t>0</w:t>
            </w:r>
          </w:p>
        </w:tc>
      </w:tr>
      <w:tr w14:paraId="19C62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FCB7FFA">
            <w:pPr>
              <w:pStyle w:val="41"/>
              <w:rPr>
                <w:color w:val="auto"/>
                <w:highlight w:val="none"/>
              </w:rPr>
            </w:pPr>
            <w:r>
              <w:rPr>
                <w:color w:val="auto"/>
                <w:highlight w:val="none"/>
              </w:rPr>
              <w:t>56</w:t>
            </w:r>
          </w:p>
        </w:tc>
        <w:tc>
          <w:tcPr>
            <w:tcW w:w="1254" w:type="dxa"/>
            <w:noWrap/>
            <w:vAlign w:val="center"/>
          </w:tcPr>
          <w:p w14:paraId="0CF95A30">
            <w:pPr>
              <w:pStyle w:val="41"/>
              <w:rPr>
                <w:color w:val="auto"/>
                <w:highlight w:val="none"/>
              </w:rPr>
            </w:pPr>
            <w:r>
              <w:rPr>
                <w:color w:val="auto"/>
                <w:highlight w:val="none"/>
              </w:rPr>
              <w:t>1350</w:t>
            </w:r>
          </w:p>
        </w:tc>
        <w:tc>
          <w:tcPr>
            <w:tcW w:w="1532" w:type="dxa"/>
            <w:noWrap/>
            <w:vAlign w:val="center"/>
          </w:tcPr>
          <w:p w14:paraId="55059809">
            <w:pPr>
              <w:pStyle w:val="41"/>
              <w:rPr>
                <w:color w:val="auto"/>
                <w:highlight w:val="none"/>
              </w:rPr>
            </w:pPr>
            <w:r>
              <w:rPr>
                <w:color w:val="auto"/>
                <w:highlight w:val="none"/>
              </w:rPr>
              <w:t>0.001112</w:t>
            </w:r>
          </w:p>
        </w:tc>
        <w:tc>
          <w:tcPr>
            <w:tcW w:w="946" w:type="dxa"/>
            <w:noWrap/>
            <w:vAlign w:val="center"/>
          </w:tcPr>
          <w:p w14:paraId="52A67EBD">
            <w:pPr>
              <w:pStyle w:val="41"/>
              <w:rPr>
                <w:color w:val="auto"/>
                <w:highlight w:val="none"/>
              </w:rPr>
            </w:pPr>
            <w:r>
              <w:rPr>
                <w:color w:val="auto"/>
                <w:highlight w:val="none"/>
              </w:rPr>
              <w:t xml:space="preserve">0.22 </w:t>
            </w:r>
          </w:p>
        </w:tc>
        <w:tc>
          <w:tcPr>
            <w:tcW w:w="1398" w:type="dxa"/>
            <w:noWrap/>
            <w:vAlign w:val="center"/>
          </w:tcPr>
          <w:p w14:paraId="585900F6">
            <w:pPr>
              <w:pStyle w:val="41"/>
              <w:rPr>
                <w:color w:val="auto"/>
                <w:highlight w:val="none"/>
              </w:rPr>
            </w:pPr>
            <w:r>
              <w:rPr>
                <w:color w:val="auto"/>
                <w:highlight w:val="none"/>
              </w:rPr>
              <w:t>0.002501</w:t>
            </w:r>
          </w:p>
        </w:tc>
        <w:tc>
          <w:tcPr>
            <w:tcW w:w="872" w:type="dxa"/>
            <w:noWrap/>
            <w:vAlign w:val="center"/>
          </w:tcPr>
          <w:p w14:paraId="6986B136">
            <w:pPr>
              <w:pStyle w:val="41"/>
              <w:rPr>
                <w:color w:val="auto"/>
                <w:highlight w:val="none"/>
              </w:rPr>
            </w:pPr>
            <w:r>
              <w:rPr>
                <w:color w:val="auto"/>
                <w:highlight w:val="none"/>
              </w:rPr>
              <w:t xml:space="preserve">1.25 </w:t>
            </w:r>
          </w:p>
        </w:tc>
        <w:tc>
          <w:tcPr>
            <w:tcW w:w="1398" w:type="dxa"/>
            <w:noWrap/>
            <w:vAlign w:val="center"/>
          </w:tcPr>
          <w:p w14:paraId="6F494845">
            <w:pPr>
              <w:pStyle w:val="41"/>
              <w:rPr>
                <w:color w:val="auto"/>
                <w:highlight w:val="none"/>
              </w:rPr>
            </w:pPr>
            <w:r>
              <w:rPr>
                <w:color w:val="auto"/>
                <w:highlight w:val="none"/>
              </w:rPr>
              <w:t>0.000016</w:t>
            </w:r>
          </w:p>
        </w:tc>
        <w:tc>
          <w:tcPr>
            <w:tcW w:w="872" w:type="dxa"/>
            <w:noWrap/>
            <w:vAlign w:val="center"/>
          </w:tcPr>
          <w:p w14:paraId="69666F3B">
            <w:pPr>
              <w:pStyle w:val="41"/>
              <w:rPr>
                <w:color w:val="auto"/>
                <w:highlight w:val="none"/>
              </w:rPr>
            </w:pPr>
            <w:r>
              <w:rPr>
                <w:color w:val="auto"/>
                <w:highlight w:val="none"/>
              </w:rPr>
              <w:t>0</w:t>
            </w:r>
          </w:p>
        </w:tc>
      </w:tr>
      <w:tr w14:paraId="256362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1E5C651">
            <w:pPr>
              <w:pStyle w:val="41"/>
              <w:rPr>
                <w:color w:val="auto"/>
                <w:highlight w:val="none"/>
              </w:rPr>
            </w:pPr>
            <w:r>
              <w:rPr>
                <w:color w:val="auto"/>
                <w:highlight w:val="none"/>
              </w:rPr>
              <w:t>57</w:t>
            </w:r>
          </w:p>
        </w:tc>
        <w:tc>
          <w:tcPr>
            <w:tcW w:w="1254" w:type="dxa"/>
            <w:noWrap/>
            <w:vAlign w:val="center"/>
          </w:tcPr>
          <w:p w14:paraId="46F5FE72">
            <w:pPr>
              <w:pStyle w:val="41"/>
              <w:rPr>
                <w:color w:val="auto"/>
                <w:highlight w:val="none"/>
              </w:rPr>
            </w:pPr>
            <w:r>
              <w:rPr>
                <w:color w:val="auto"/>
                <w:highlight w:val="none"/>
              </w:rPr>
              <w:t>1375</w:t>
            </w:r>
          </w:p>
        </w:tc>
        <w:tc>
          <w:tcPr>
            <w:tcW w:w="1532" w:type="dxa"/>
            <w:noWrap/>
            <w:vAlign w:val="center"/>
          </w:tcPr>
          <w:p w14:paraId="662F4044">
            <w:pPr>
              <w:pStyle w:val="41"/>
              <w:rPr>
                <w:color w:val="auto"/>
                <w:highlight w:val="none"/>
              </w:rPr>
            </w:pPr>
            <w:r>
              <w:rPr>
                <w:color w:val="auto"/>
                <w:highlight w:val="none"/>
              </w:rPr>
              <w:t>0.001096</w:t>
            </w:r>
          </w:p>
        </w:tc>
        <w:tc>
          <w:tcPr>
            <w:tcW w:w="946" w:type="dxa"/>
            <w:noWrap/>
            <w:vAlign w:val="center"/>
          </w:tcPr>
          <w:p w14:paraId="3DC15D46">
            <w:pPr>
              <w:pStyle w:val="41"/>
              <w:rPr>
                <w:color w:val="auto"/>
                <w:highlight w:val="none"/>
              </w:rPr>
            </w:pPr>
            <w:r>
              <w:rPr>
                <w:color w:val="auto"/>
                <w:highlight w:val="none"/>
              </w:rPr>
              <w:t xml:space="preserve">0.22 </w:t>
            </w:r>
          </w:p>
        </w:tc>
        <w:tc>
          <w:tcPr>
            <w:tcW w:w="1398" w:type="dxa"/>
            <w:noWrap/>
            <w:vAlign w:val="center"/>
          </w:tcPr>
          <w:p w14:paraId="3E2427D6">
            <w:pPr>
              <w:pStyle w:val="41"/>
              <w:rPr>
                <w:color w:val="auto"/>
                <w:highlight w:val="none"/>
              </w:rPr>
            </w:pPr>
            <w:r>
              <w:rPr>
                <w:color w:val="auto"/>
                <w:highlight w:val="none"/>
              </w:rPr>
              <w:t>0.002466</w:t>
            </w:r>
          </w:p>
        </w:tc>
        <w:tc>
          <w:tcPr>
            <w:tcW w:w="872" w:type="dxa"/>
            <w:noWrap/>
            <w:vAlign w:val="center"/>
          </w:tcPr>
          <w:p w14:paraId="0C191BAE">
            <w:pPr>
              <w:pStyle w:val="41"/>
              <w:rPr>
                <w:color w:val="auto"/>
                <w:highlight w:val="none"/>
              </w:rPr>
            </w:pPr>
            <w:r>
              <w:rPr>
                <w:color w:val="auto"/>
                <w:highlight w:val="none"/>
              </w:rPr>
              <w:t xml:space="preserve">1.23 </w:t>
            </w:r>
          </w:p>
        </w:tc>
        <w:tc>
          <w:tcPr>
            <w:tcW w:w="1398" w:type="dxa"/>
            <w:noWrap/>
            <w:vAlign w:val="center"/>
          </w:tcPr>
          <w:p w14:paraId="3A479B02">
            <w:pPr>
              <w:pStyle w:val="41"/>
              <w:rPr>
                <w:color w:val="auto"/>
                <w:highlight w:val="none"/>
              </w:rPr>
            </w:pPr>
            <w:r>
              <w:rPr>
                <w:color w:val="auto"/>
                <w:highlight w:val="none"/>
              </w:rPr>
              <w:t>0.000016</w:t>
            </w:r>
          </w:p>
        </w:tc>
        <w:tc>
          <w:tcPr>
            <w:tcW w:w="872" w:type="dxa"/>
            <w:noWrap/>
            <w:vAlign w:val="center"/>
          </w:tcPr>
          <w:p w14:paraId="6812696D">
            <w:pPr>
              <w:pStyle w:val="41"/>
              <w:rPr>
                <w:color w:val="auto"/>
                <w:highlight w:val="none"/>
              </w:rPr>
            </w:pPr>
            <w:r>
              <w:rPr>
                <w:color w:val="auto"/>
                <w:highlight w:val="none"/>
              </w:rPr>
              <w:t>0</w:t>
            </w:r>
          </w:p>
        </w:tc>
      </w:tr>
      <w:tr w14:paraId="2E9153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0BEE66E">
            <w:pPr>
              <w:pStyle w:val="41"/>
              <w:rPr>
                <w:color w:val="auto"/>
                <w:highlight w:val="none"/>
              </w:rPr>
            </w:pPr>
            <w:r>
              <w:rPr>
                <w:color w:val="auto"/>
                <w:highlight w:val="none"/>
              </w:rPr>
              <w:t>58</w:t>
            </w:r>
          </w:p>
        </w:tc>
        <w:tc>
          <w:tcPr>
            <w:tcW w:w="1254" w:type="dxa"/>
            <w:noWrap/>
            <w:vAlign w:val="center"/>
          </w:tcPr>
          <w:p w14:paraId="669B0E95">
            <w:pPr>
              <w:pStyle w:val="41"/>
              <w:rPr>
                <w:color w:val="auto"/>
                <w:highlight w:val="none"/>
              </w:rPr>
            </w:pPr>
            <w:r>
              <w:rPr>
                <w:color w:val="auto"/>
                <w:highlight w:val="none"/>
              </w:rPr>
              <w:t>1400</w:t>
            </w:r>
          </w:p>
        </w:tc>
        <w:tc>
          <w:tcPr>
            <w:tcW w:w="1532" w:type="dxa"/>
            <w:noWrap/>
            <w:vAlign w:val="center"/>
          </w:tcPr>
          <w:p w14:paraId="658B5773">
            <w:pPr>
              <w:pStyle w:val="41"/>
              <w:rPr>
                <w:color w:val="auto"/>
                <w:highlight w:val="none"/>
              </w:rPr>
            </w:pPr>
            <w:r>
              <w:rPr>
                <w:color w:val="auto"/>
                <w:highlight w:val="none"/>
              </w:rPr>
              <w:t>0.001081</w:t>
            </w:r>
          </w:p>
        </w:tc>
        <w:tc>
          <w:tcPr>
            <w:tcW w:w="946" w:type="dxa"/>
            <w:noWrap/>
            <w:vAlign w:val="center"/>
          </w:tcPr>
          <w:p w14:paraId="2DA6B124">
            <w:pPr>
              <w:pStyle w:val="41"/>
              <w:rPr>
                <w:color w:val="auto"/>
                <w:highlight w:val="none"/>
              </w:rPr>
            </w:pPr>
            <w:r>
              <w:rPr>
                <w:color w:val="auto"/>
                <w:highlight w:val="none"/>
              </w:rPr>
              <w:t xml:space="preserve">0.22 </w:t>
            </w:r>
          </w:p>
        </w:tc>
        <w:tc>
          <w:tcPr>
            <w:tcW w:w="1398" w:type="dxa"/>
            <w:noWrap/>
            <w:vAlign w:val="center"/>
          </w:tcPr>
          <w:p w14:paraId="6EE68E2A">
            <w:pPr>
              <w:pStyle w:val="41"/>
              <w:rPr>
                <w:color w:val="auto"/>
                <w:highlight w:val="none"/>
              </w:rPr>
            </w:pPr>
            <w:r>
              <w:rPr>
                <w:color w:val="auto"/>
                <w:highlight w:val="none"/>
              </w:rPr>
              <w:t>0.002432</w:t>
            </w:r>
          </w:p>
        </w:tc>
        <w:tc>
          <w:tcPr>
            <w:tcW w:w="872" w:type="dxa"/>
            <w:noWrap/>
            <w:vAlign w:val="center"/>
          </w:tcPr>
          <w:p w14:paraId="1DE8C42A">
            <w:pPr>
              <w:pStyle w:val="41"/>
              <w:rPr>
                <w:color w:val="auto"/>
                <w:highlight w:val="none"/>
              </w:rPr>
            </w:pPr>
            <w:r>
              <w:rPr>
                <w:color w:val="auto"/>
                <w:highlight w:val="none"/>
              </w:rPr>
              <w:t xml:space="preserve">1.22 </w:t>
            </w:r>
          </w:p>
        </w:tc>
        <w:tc>
          <w:tcPr>
            <w:tcW w:w="1398" w:type="dxa"/>
            <w:noWrap/>
            <w:vAlign w:val="center"/>
          </w:tcPr>
          <w:p w14:paraId="05BA501C">
            <w:pPr>
              <w:pStyle w:val="41"/>
              <w:rPr>
                <w:color w:val="auto"/>
                <w:highlight w:val="none"/>
              </w:rPr>
            </w:pPr>
            <w:r>
              <w:rPr>
                <w:color w:val="auto"/>
                <w:highlight w:val="none"/>
              </w:rPr>
              <w:t>0.000016</w:t>
            </w:r>
          </w:p>
        </w:tc>
        <w:tc>
          <w:tcPr>
            <w:tcW w:w="872" w:type="dxa"/>
            <w:noWrap/>
            <w:vAlign w:val="center"/>
          </w:tcPr>
          <w:p w14:paraId="579FF546">
            <w:pPr>
              <w:pStyle w:val="41"/>
              <w:rPr>
                <w:color w:val="auto"/>
                <w:highlight w:val="none"/>
              </w:rPr>
            </w:pPr>
            <w:r>
              <w:rPr>
                <w:color w:val="auto"/>
                <w:highlight w:val="none"/>
              </w:rPr>
              <w:t>0</w:t>
            </w:r>
          </w:p>
        </w:tc>
      </w:tr>
      <w:tr w14:paraId="6A9BB8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841E8C2">
            <w:pPr>
              <w:pStyle w:val="41"/>
              <w:rPr>
                <w:color w:val="auto"/>
                <w:highlight w:val="none"/>
              </w:rPr>
            </w:pPr>
            <w:r>
              <w:rPr>
                <w:color w:val="auto"/>
                <w:highlight w:val="none"/>
              </w:rPr>
              <w:t>59</w:t>
            </w:r>
          </w:p>
        </w:tc>
        <w:tc>
          <w:tcPr>
            <w:tcW w:w="1254" w:type="dxa"/>
            <w:noWrap/>
            <w:vAlign w:val="center"/>
          </w:tcPr>
          <w:p w14:paraId="338B26D4">
            <w:pPr>
              <w:pStyle w:val="41"/>
              <w:rPr>
                <w:color w:val="auto"/>
                <w:highlight w:val="none"/>
              </w:rPr>
            </w:pPr>
            <w:r>
              <w:rPr>
                <w:color w:val="auto"/>
                <w:highlight w:val="none"/>
              </w:rPr>
              <w:t>1425</w:t>
            </w:r>
          </w:p>
        </w:tc>
        <w:tc>
          <w:tcPr>
            <w:tcW w:w="1532" w:type="dxa"/>
            <w:noWrap/>
            <w:vAlign w:val="center"/>
          </w:tcPr>
          <w:p w14:paraId="7C5D705F">
            <w:pPr>
              <w:pStyle w:val="41"/>
              <w:rPr>
                <w:color w:val="auto"/>
                <w:highlight w:val="none"/>
              </w:rPr>
            </w:pPr>
            <w:r>
              <w:rPr>
                <w:color w:val="auto"/>
                <w:highlight w:val="none"/>
              </w:rPr>
              <w:t>0.001067</w:t>
            </w:r>
          </w:p>
        </w:tc>
        <w:tc>
          <w:tcPr>
            <w:tcW w:w="946" w:type="dxa"/>
            <w:noWrap/>
            <w:vAlign w:val="center"/>
          </w:tcPr>
          <w:p w14:paraId="27ACF927">
            <w:pPr>
              <w:pStyle w:val="41"/>
              <w:rPr>
                <w:color w:val="auto"/>
                <w:highlight w:val="none"/>
              </w:rPr>
            </w:pPr>
            <w:r>
              <w:rPr>
                <w:color w:val="auto"/>
                <w:highlight w:val="none"/>
              </w:rPr>
              <w:t xml:space="preserve">0.21 </w:t>
            </w:r>
          </w:p>
        </w:tc>
        <w:tc>
          <w:tcPr>
            <w:tcW w:w="1398" w:type="dxa"/>
            <w:noWrap/>
            <w:vAlign w:val="center"/>
          </w:tcPr>
          <w:p w14:paraId="31DF24C3">
            <w:pPr>
              <w:pStyle w:val="41"/>
              <w:rPr>
                <w:color w:val="auto"/>
                <w:highlight w:val="none"/>
              </w:rPr>
            </w:pPr>
            <w:r>
              <w:rPr>
                <w:color w:val="auto"/>
                <w:highlight w:val="none"/>
              </w:rPr>
              <w:t>0.002399</w:t>
            </w:r>
          </w:p>
        </w:tc>
        <w:tc>
          <w:tcPr>
            <w:tcW w:w="872" w:type="dxa"/>
            <w:noWrap/>
            <w:vAlign w:val="center"/>
          </w:tcPr>
          <w:p w14:paraId="58920D47">
            <w:pPr>
              <w:pStyle w:val="41"/>
              <w:rPr>
                <w:color w:val="auto"/>
                <w:highlight w:val="none"/>
              </w:rPr>
            </w:pPr>
            <w:r>
              <w:rPr>
                <w:color w:val="auto"/>
                <w:highlight w:val="none"/>
              </w:rPr>
              <w:t xml:space="preserve">1.20 </w:t>
            </w:r>
          </w:p>
        </w:tc>
        <w:tc>
          <w:tcPr>
            <w:tcW w:w="1398" w:type="dxa"/>
            <w:noWrap/>
            <w:vAlign w:val="center"/>
          </w:tcPr>
          <w:p w14:paraId="76143EB9">
            <w:pPr>
              <w:pStyle w:val="41"/>
              <w:rPr>
                <w:color w:val="auto"/>
                <w:highlight w:val="none"/>
              </w:rPr>
            </w:pPr>
            <w:r>
              <w:rPr>
                <w:color w:val="auto"/>
                <w:highlight w:val="none"/>
              </w:rPr>
              <w:t>0.000016</w:t>
            </w:r>
          </w:p>
        </w:tc>
        <w:tc>
          <w:tcPr>
            <w:tcW w:w="872" w:type="dxa"/>
            <w:noWrap/>
            <w:vAlign w:val="center"/>
          </w:tcPr>
          <w:p w14:paraId="01B7288F">
            <w:pPr>
              <w:pStyle w:val="41"/>
              <w:rPr>
                <w:color w:val="auto"/>
                <w:highlight w:val="none"/>
              </w:rPr>
            </w:pPr>
            <w:r>
              <w:rPr>
                <w:color w:val="auto"/>
                <w:highlight w:val="none"/>
              </w:rPr>
              <w:t>0</w:t>
            </w:r>
          </w:p>
        </w:tc>
      </w:tr>
      <w:tr w14:paraId="4EABE5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2FE7267">
            <w:pPr>
              <w:pStyle w:val="41"/>
              <w:rPr>
                <w:color w:val="auto"/>
                <w:highlight w:val="none"/>
              </w:rPr>
            </w:pPr>
            <w:r>
              <w:rPr>
                <w:color w:val="auto"/>
                <w:highlight w:val="none"/>
              </w:rPr>
              <w:t>60</w:t>
            </w:r>
          </w:p>
        </w:tc>
        <w:tc>
          <w:tcPr>
            <w:tcW w:w="1254" w:type="dxa"/>
            <w:noWrap/>
            <w:vAlign w:val="center"/>
          </w:tcPr>
          <w:p w14:paraId="2677DD98">
            <w:pPr>
              <w:pStyle w:val="41"/>
              <w:rPr>
                <w:color w:val="auto"/>
                <w:highlight w:val="none"/>
              </w:rPr>
            </w:pPr>
            <w:r>
              <w:rPr>
                <w:color w:val="auto"/>
                <w:highlight w:val="none"/>
              </w:rPr>
              <w:t>1450</w:t>
            </w:r>
          </w:p>
        </w:tc>
        <w:tc>
          <w:tcPr>
            <w:tcW w:w="1532" w:type="dxa"/>
            <w:noWrap/>
            <w:vAlign w:val="center"/>
          </w:tcPr>
          <w:p w14:paraId="5F7CD394">
            <w:pPr>
              <w:pStyle w:val="41"/>
              <w:rPr>
                <w:color w:val="auto"/>
                <w:highlight w:val="none"/>
              </w:rPr>
            </w:pPr>
            <w:r>
              <w:rPr>
                <w:color w:val="auto"/>
                <w:highlight w:val="none"/>
              </w:rPr>
              <w:t>0.001052</w:t>
            </w:r>
          </w:p>
        </w:tc>
        <w:tc>
          <w:tcPr>
            <w:tcW w:w="946" w:type="dxa"/>
            <w:noWrap/>
            <w:vAlign w:val="center"/>
          </w:tcPr>
          <w:p w14:paraId="52CDB9EB">
            <w:pPr>
              <w:pStyle w:val="41"/>
              <w:rPr>
                <w:color w:val="auto"/>
                <w:highlight w:val="none"/>
              </w:rPr>
            </w:pPr>
            <w:r>
              <w:rPr>
                <w:color w:val="auto"/>
                <w:highlight w:val="none"/>
              </w:rPr>
              <w:t xml:space="preserve">0.21 </w:t>
            </w:r>
          </w:p>
        </w:tc>
        <w:tc>
          <w:tcPr>
            <w:tcW w:w="1398" w:type="dxa"/>
            <w:noWrap/>
            <w:vAlign w:val="center"/>
          </w:tcPr>
          <w:p w14:paraId="39624E74">
            <w:pPr>
              <w:pStyle w:val="41"/>
              <w:rPr>
                <w:color w:val="auto"/>
                <w:highlight w:val="none"/>
              </w:rPr>
            </w:pPr>
            <w:r>
              <w:rPr>
                <w:color w:val="auto"/>
                <w:highlight w:val="none"/>
              </w:rPr>
              <w:t>0.002367</w:t>
            </w:r>
          </w:p>
        </w:tc>
        <w:tc>
          <w:tcPr>
            <w:tcW w:w="872" w:type="dxa"/>
            <w:noWrap/>
            <w:vAlign w:val="center"/>
          </w:tcPr>
          <w:p w14:paraId="0B688911">
            <w:pPr>
              <w:pStyle w:val="41"/>
              <w:rPr>
                <w:color w:val="auto"/>
                <w:highlight w:val="none"/>
              </w:rPr>
            </w:pPr>
            <w:r>
              <w:rPr>
                <w:color w:val="auto"/>
                <w:highlight w:val="none"/>
              </w:rPr>
              <w:t xml:space="preserve">1.18 </w:t>
            </w:r>
          </w:p>
        </w:tc>
        <w:tc>
          <w:tcPr>
            <w:tcW w:w="1398" w:type="dxa"/>
            <w:noWrap/>
            <w:vAlign w:val="center"/>
          </w:tcPr>
          <w:p w14:paraId="445F0B3F">
            <w:pPr>
              <w:pStyle w:val="41"/>
              <w:rPr>
                <w:color w:val="auto"/>
                <w:highlight w:val="none"/>
              </w:rPr>
            </w:pPr>
            <w:r>
              <w:rPr>
                <w:color w:val="auto"/>
                <w:highlight w:val="none"/>
              </w:rPr>
              <w:t>0.000015</w:t>
            </w:r>
          </w:p>
        </w:tc>
        <w:tc>
          <w:tcPr>
            <w:tcW w:w="872" w:type="dxa"/>
            <w:noWrap/>
            <w:vAlign w:val="center"/>
          </w:tcPr>
          <w:p w14:paraId="0D3F40F6">
            <w:pPr>
              <w:pStyle w:val="41"/>
              <w:rPr>
                <w:color w:val="auto"/>
                <w:highlight w:val="none"/>
              </w:rPr>
            </w:pPr>
            <w:r>
              <w:rPr>
                <w:color w:val="auto"/>
                <w:highlight w:val="none"/>
              </w:rPr>
              <w:t>0</w:t>
            </w:r>
          </w:p>
        </w:tc>
      </w:tr>
      <w:tr w14:paraId="308C68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38B5CB5">
            <w:pPr>
              <w:pStyle w:val="41"/>
              <w:rPr>
                <w:color w:val="auto"/>
                <w:highlight w:val="none"/>
              </w:rPr>
            </w:pPr>
            <w:r>
              <w:rPr>
                <w:color w:val="auto"/>
                <w:highlight w:val="none"/>
              </w:rPr>
              <w:t>61</w:t>
            </w:r>
          </w:p>
        </w:tc>
        <w:tc>
          <w:tcPr>
            <w:tcW w:w="1254" w:type="dxa"/>
            <w:noWrap/>
            <w:vAlign w:val="center"/>
          </w:tcPr>
          <w:p w14:paraId="04705483">
            <w:pPr>
              <w:pStyle w:val="41"/>
              <w:rPr>
                <w:color w:val="auto"/>
                <w:highlight w:val="none"/>
              </w:rPr>
            </w:pPr>
            <w:r>
              <w:rPr>
                <w:color w:val="auto"/>
                <w:highlight w:val="none"/>
              </w:rPr>
              <w:t>1475</w:t>
            </w:r>
          </w:p>
        </w:tc>
        <w:tc>
          <w:tcPr>
            <w:tcW w:w="1532" w:type="dxa"/>
            <w:noWrap/>
            <w:vAlign w:val="center"/>
          </w:tcPr>
          <w:p w14:paraId="6466E760">
            <w:pPr>
              <w:pStyle w:val="41"/>
              <w:rPr>
                <w:color w:val="auto"/>
                <w:highlight w:val="none"/>
              </w:rPr>
            </w:pPr>
            <w:r>
              <w:rPr>
                <w:color w:val="auto"/>
                <w:highlight w:val="none"/>
              </w:rPr>
              <w:t>0.001038</w:t>
            </w:r>
          </w:p>
        </w:tc>
        <w:tc>
          <w:tcPr>
            <w:tcW w:w="946" w:type="dxa"/>
            <w:noWrap/>
            <w:vAlign w:val="center"/>
          </w:tcPr>
          <w:p w14:paraId="5AC73A25">
            <w:pPr>
              <w:pStyle w:val="41"/>
              <w:rPr>
                <w:color w:val="auto"/>
                <w:highlight w:val="none"/>
              </w:rPr>
            </w:pPr>
            <w:r>
              <w:rPr>
                <w:color w:val="auto"/>
                <w:highlight w:val="none"/>
              </w:rPr>
              <w:t xml:space="preserve">0.21 </w:t>
            </w:r>
          </w:p>
        </w:tc>
        <w:tc>
          <w:tcPr>
            <w:tcW w:w="1398" w:type="dxa"/>
            <w:noWrap/>
            <w:vAlign w:val="center"/>
          </w:tcPr>
          <w:p w14:paraId="280E8957">
            <w:pPr>
              <w:pStyle w:val="41"/>
              <w:rPr>
                <w:color w:val="auto"/>
                <w:highlight w:val="none"/>
              </w:rPr>
            </w:pPr>
            <w:r>
              <w:rPr>
                <w:color w:val="auto"/>
                <w:highlight w:val="none"/>
              </w:rPr>
              <w:t>0.002335</w:t>
            </w:r>
          </w:p>
        </w:tc>
        <w:tc>
          <w:tcPr>
            <w:tcW w:w="872" w:type="dxa"/>
            <w:noWrap/>
            <w:vAlign w:val="center"/>
          </w:tcPr>
          <w:p w14:paraId="50B797A9">
            <w:pPr>
              <w:pStyle w:val="41"/>
              <w:rPr>
                <w:color w:val="auto"/>
                <w:highlight w:val="none"/>
              </w:rPr>
            </w:pPr>
            <w:r>
              <w:rPr>
                <w:color w:val="auto"/>
                <w:highlight w:val="none"/>
              </w:rPr>
              <w:t xml:space="preserve">1.17 </w:t>
            </w:r>
          </w:p>
        </w:tc>
        <w:tc>
          <w:tcPr>
            <w:tcW w:w="1398" w:type="dxa"/>
            <w:noWrap/>
            <w:vAlign w:val="center"/>
          </w:tcPr>
          <w:p w14:paraId="2E420C0E">
            <w:pPr>
              <w:pStyle w:val="41"/>
              <w:rPr>
                <w:color w:val="auto"/>
                <w:highlight w:val="none"/>
              </w:rPr>
            </w:pPr>
            <w:r>
              <w:rPr>
                <w:color w:val="auto"/>
                <w:highlight w:val="none"/>
              </w:rPr>
              <w:t>0.000015</w:t>
            </w:r>
          </w:p>
        </w:tc>
        <w:tc>
          <w:tcPr>
            <w:tcW w:w="872" w:type="dxa"/>
            <w:noWrap/>
            <w:vAlign w:val="center"/>
          </w:tcPr>
          <w:p w14:paraId="36D550E0">
            <w:pPr>
              <w:pStyle w:val="41"/>
              <w:rPr>
                <w:color w:val="auto"/>
                <w:highlight w:val="none"/>
              </w:rPr>
            </w:pPr>
            <w:r>
              <w:rPr>
                <w:color w:val="auto"/>
                <w:highlight w:val="none"/>
              </w:rPr>
              <w:t>0</w:t>
            </w:r>
          </w:p>
        </w:tc>
      </w:tr>
      <w:tr w14:paraId="1A46FB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58E3F1E">
            <w:pPr>
              <w:pStyle w:val="41"/>
              <w:rPr>
                <w:color w:val="auto"/>
                <w:highlight w:val="none"/>
              </w:rPr>
            </w:pPr>
            <w:r>
              <w:rPr>
                <w:color w:val="auto"/>
                <w:highlight w:val="none"/>
              </w:rPr>
              <w:t>62</w:t>
            </w:r>
          </w:p>
        </w:tc>
        <w:tc>
          <w:tcPr>
            <w:tcW w:w="1254" w:type="dxa"/>
            <w:noWrap/>
            <w:vAlign w:val="center"/>
          </w:tcPr>
          <w:p w14:paraId="0D181381">
            <w:pPr>
              <w:pStyle w:val="41"/>
              <w:rPr>
                <w:color w:val="auto"/>
                <w:highlight w:val="none"/>
              </w:rPr>
            </w:pPr>
            <w:r>
              <w:rPr>
                <w:color w:val="auto"/>
                <w:highlight w:val="none"/>
              </w:rPr>
              <w:t>1500</w:t>
            </w:r>
          </w:p>
        </w:tc>
        <w:tc>
          <w:tcPr>
            <w:tcW w:w="1532" w:type="dxa"/>
            <w:noWrap/>
            <w:vAlign w:val="center"/>
          </w:tcPr>
          <w:p w14:paraId="6FB0F8C7">
            <w:pPr>
              <w:pStyle w:val="41"/>
              <w:rPr>
                <w:color w:val="auto"/>
                <w:highlight w:val="none"/>
              </w:rPr>
            </w:pPr>
            <w:r>
              <w:rPr>
                <w:color w:val="auto"/>
                <w:highlight w:val="none"/>
              </w:rPr>
              <w:t>0.001025</w:t>
            </w:r>
          </w:p>
        </w:tc>
        <w:tc>
          <w:tcPr>
            <w:tcW w:w="946" w:type="dxa"/>
            <w:noWrap/>
            <w:vAlign w:val="center"/>
          </w:tcPr>
          <w:p w14:paraId="7344DDFB">
            <w:pPr>
              <w:pStyle w:val="41"/>
              <w:rPr>
                <w:color w:val="auto"/>
                <w:highlight w:val="none"/>
              </w:rPr>
            </w:pPr>
            <w:r>
              <w:rPr>
                <w:color w:val="auto"/>
                <w:highlight w:val="none"/>
              </w:rPr>
              <w:t xml:space="preserve">0.20 </w:t>
            </w:r>
          </w:p>
        </w:tc>
        <w:tc>
          <w:tcPr>
            <w:tcW w:w="1398" w:type="dxa"/>
            <w:noWrap/>
            <w:vAlign w:val="center"/>
          </w:tcPr>
          <w:p w14:paraId="3404D168">
            <w:pPr>
              <w:pStyle w:val="41"/>
              <w:rPr>
                <w:color w:val="auto"/>
                <w:highlight w:val="none"/>
              </w:rPr>
            </w:pPr>
            <w:r>
              <w:rPr>
                <w:color w:val="auto"/>
                <w:highlight w:val="none"/>
              </w:rPr>
              <w:t>0.002305</w:t>
            </w:r>
          </w:p>
        </w:tc>
        <w:tc>
          <w:tcPr>
            <w:tcW w:w="872" w:type="dxa"/>
            <w:noWrap/>
            <w:vAlign w:val="center"/>
          </w:tcPr>
          <w:p w14:paraId="37E259EC">
            <w:pPr>
              <w:pStyle w:val="41"/>
              <w:rPr>
                <w:color w:val="auto"/>
                <w:highlight w:val="none"/>
              </w:rPr>
            </w:pPr>
            <w:r>
              <w:rPr>
                <w:color w:val="auto"/>
                <w:highlight w:val="none"/>
              </w:rPr>
              <w:t xml:space="preserve">1.15 </w:t>
            </w:r>
          </w:p>
        </w:tc>
        <w:tc>
          <w:tcPr>
            <w:tcW w:w="1398" w:type="dxa"/>
            <w:noWrap/>
            <w:vAlign w:val="center"/>
          </w:tcPr>
          <w:p w14:paraId="01A09618">
            <w:pPr>
              <w:pStyle w:val="41"/>
              <w:rPr>
                <w:color w:val="auto"/>
                <w:highlight w:val="none"/>
              </w:rPr>
            </w:pPr>
            <w:r>
              <w:rPr>
                <w:color w:val="auto"/>
                <w:highlight w:val="none"/>
              </w:rPr>
              <w:t>0.000015</w:t>
            </w:r>
          </w:p>
        </w:tc>
        <w:tc>
          <w:tcPr>
            <w:tcW w:w="872" w:type="dxa"/>
            <w:noWrap/>
            <w:vAlign w:val="center"/>
          </w:tcPr>
          <w:p w14:paraId="08AAC4A7">
            <w:pPr>
              <w:pStyle w:val="41"/>
              <w:rPr>
                <w:color w:val="auto"/>
                <w:highlight w:val="none"/>
              </w:rPr>
            </w:pPr>
            <w:r>
              <w:rPr>
                <w:color w:val="auto"/>
                <w:highlight w:val="none"/>
              </w:rPr>
              <w:t>0</w:t>
            </w:r>
          </w:p>
        </w:tc>
      </w:tr>
      <w:tr w14:paraId="07C323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027A7BA">
            <w:pPr>
              <w:pStyle w:val="41"/>
              <w:rPr>
                <w:color w:val="auto"/>
                <w:highlight w:val="none"/>
              </w:rPr>
            </w:pPr>
            <w:r>
              <w:rPr>
                <w:color w:val="auto"/>
                <w:highlight w:val="none"/>
              </w:rPr>
              <w:t>63</w:t>
            </w:r>
          </w:p>
        </w:tc>
        <w:tc>
          <w:tcPr>
            <w:tcW w:w="1254" w:type="dxa"/>
            <w:noWrap/>
            <w:vAlign w:val="center"/>
          </w:tcPr>
          <w:p w14:paraId="7C5A4BB8">
            <w:pPr>
              <w:pStyle w:val="41"/>
              <w:rPr>
                <w:color w:val="auto"/>
                <w:highlight w:val="none"/>
              </w:rPr>
            </w:pPr>
            <w:r>
              <w:rPr>
                <w:color w:val="auto"/>
                <w:highlight w:val="none"/>
              </w:rPr>
              <w:t>1525</w:t>
            </w:r>
          </w:p>
        </w:tc>
        <w:tc>
          <w:tcPr>
            <w:tcW w:w="1532" w:type="dxa"/>
            <w:noWrap/>
            <w:vAlign w:val="center"/>
          </w:tcPr>
          <w:p w14:paraId="2F17BC6E">
            <w:pPr>
              <w:pStyle w:val="41"/>
              <w:rPr>
                <w:color w:val="auto"/>
                <w:highlight w:val="none"/>
              </w:rPr>
            </w:pPr>
            <w:r>
              <w:rPr>
                <w:color w:val="auto"/>
                <w:highlight w:val="none"/>
              </w:rPr>
              <w:t>0.001011</w:t>
            </w:r>
          </w:p>
        </w:tc>
        <w:tc>
          <w:tcPr>
            <w:tcW w:w="946" w:type="dxa"/>
            <w:noWrap/>
            <w:vAlign w:val="center"/>
          </w:tcPr>
          <w:p w14:paraId="3CA49D74">
            <w:pPr>
              <w:pStyle w:val="41"/>
              <w:rPr>
                <w:color w:val="auto"/>
                <w:highlight w:val="none"/>
              </w:rPr>
            </w:pPr>
            <w:r>
              <w:rPr>
                <w:color w:val="auto"/>
                <w:highlight w:val="none"/>
              </w:rPr>
              <w:t xml:space="preserve">0.20 </w:t>
            </w:r>
          </w:p>
        </w:tc>
        <w:tc>
          <w:tcPr>
            <w:tcW w:w="1398" w:type="dxa"/>
            <w:noWrap/>
            <w:vAlign w:val="center"/>
          </w:tcPr>
          <w:p w14:paraId="12394EA6">
            <w:pPr>
              <w:pStyle w:val="41"/>
              <w:rPr>
                <w:color w:val="auto"/>
                <w:highlight w:val="none"/>
              </w:rPr>
            </w:pPr>
            <w:r>
              <w:rPr>
                <w:color w:val="auto"/>
                <w:highlight w:val="none"/>
              </w:rPr>
              <w:t>0.002275</w:t>
            </w:r>
          </w:p>
        </w:tc>
        <w:tc>
          <w:tcPr>
            <w:tcW w:w="872" w:type="dxa"/>
            <w:noWrap/>
            <w:vAlign w:val="center"/>
          </w:tcPr>
          <w:p w14:paraId="3B8AF22C">
            <w:pPr>
              <w:pStyle w:val="41"/>
              <w:rPr>
                <w:color w:val="auto"/>
                <w:highlight w:val="none"/>
              </w:rPr>
            </w:pPr>
            <w:r>
              <w:rPr>
                <w:color w:val="auto"/>
                <w:highlight w:val="none"/>
              </w:rPr>
              <w:t xml:space="preserve">1.14 </w:t>
            </w:r>
          </w:p>
        </w:tc>
        <w:tc>
          <w:tcPr>
            <w:tcW w:w="1398" w:type="dxa"/>
            <w:noWrap/>
            <w:vAlign w:val="center"/>
          </w:tcPr>
          <w:p w14:paraId="5C7960D8">
            <w:pPr>
              <w:pStyle w:val="41"/>
              <w:rPr>
                <w:color w:val="auto"/>
                <w:highlight w:val="none"/>
              </w:rPr>
            </w:pPr>
            <w:r>
              <w:rPr>
                <w:color w:val="auto"/>
                <w:highlight w:val="none"/>
              </w:rPr>
              <w:t>0.000015</w:t>
            </w:r>
          </w:p>
        </w:tc>
        <w:tc>
          <w:tcPr>
            <w:tcW w:w="872" w:type="dxa"/>
            <w:noWrap/>
            <w:vAlign w:val="center"/>
          </w:tcPr>
          <w:p w14:paraId="378516A9">
            <w:pPr>
              <w:pStyle w:val="41"/>
              <w:rPr>
                <w:color w:val="auto"/>
                <w:highlight w:val="none"/>
              </w:rPr>
            </w:pPr>
            <w:r>
              <w:rPr>
                <w:color w:val="auto"/>
                <w:highlight w:val="none"/>
              </w:rPr>
              <w:t>0</w:t>
            </w:r>
          </w:p>
        </w:tc>
      </w:tr>
      <w:tr w14:paraId="01CB9A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42ADC4E">
            <w:pPr>
              <w:pStyle w:val="41"/>
              <w:rPr>
                <w:color w:val="auto"/>
                <w:highlight w:val="none"/>
              </w:rPr>
            </w:pPr>
            <w:r>
              <w:rPr>
                <w:color w:val="auto"/>
                <w:highlight w:val="none"/>
              </w:rPr>
              <w:t>64</w:t>
            </w:r>
          </w:p>
        </w:tc>
        <w:tc>
          <w:tcPr>
            <w:tcW w:w="1254" w:type="dxa"/>
            <w:noWrap/>
            <w:vAlign w:val="center"/>
          </w:tcPr>
          <w:p w14:paraId="5B5288AE">
            <w:pPr>
              <w:pStyle w:val="41"/>
              <w:rPr>
                <w:color w:val="auto"/>
                <w:highlight w:val="none"/>
              </w:rPr>
            </w:pPr>
            <w:r>
              <w:rPr>
                <w:color w:val="auto"/>
                <w:highlight w:val="none"/>
              </w:rPr>
              <w:t>1550</w:t>
            </w:r>
          </w:p>
        </w:tc>
        <w:tc>
          <w:tcPr>
            <w:tcW w:w="1532" w:type="dxa"/>
            <w:noWrap/>
            <w:vAlign w:val="center"/>
          </w:tcPr>
          <w:p w14:paraId="08526E14">
            <w:pPr>
              <w:pStyle w:val="41"/>
              <w:rPr>
                <w:color w:val="auto"/>
                <w:highlight w:val="none"/>
              </w:rPr>
            </w:pPr>
            <w:r>
              <w:rPr>
                <w:color w:val="auto"/>
                <w:highlight w:val="none"/>
              </w:rPr>
              <w:t>0.000998</w:t>
            </w:r>
          </w:p>
        </w:tc>
        <w:tc>
          <w:tcPr>
            <w:tcW w:w="946" w:type="dxa"/>
            <w:noWrap/>
            <w:vAlign w:val="center"/>
          </w:tcPr>
          <w:p w14:paraId="5D55BA33">
            <w:pPr>
              <w:pStyle w:val="41"/>
              <w:rPr>
                <w:color w:val="auto"/>
                <w:highlight w:val="none"/>
              </w:rPr>
            </w:pPr>
            <w:r>
              <w:rPr>
                <w:color w:val="auto"/>
                <w:highlight w:val="none"/>
              </w:rPr>
              <w:t xml:space="preserve">0.20 </w:t>
            </w:r>
          </w:p>
        </w:tc>
        <w:tc>
          <w:tcPr>
            <w:tcW w:w="1398" w:type="dxa"/>
            <w:noWrap/>
            <w:vAlign w:val="center"/>
          </w:tcPr>
          <w:p w14:paraId="3CD51490">
            <w:pPr>
              <w:pStyle w:val="41"/>
              <w:rPr>
                <w:color w:val="auto"/>
                <w:highlight w:val="none"/>
              </w:rPr>
            </w:pPr>
            <w:r>
              <w:rPr>
                <w:color w:val="auto"/>
                <w:highlight w:val="none"/>
              </w:rPr>
              <w:t>0.002246</w:t>
            </w:r>
          </w:p>
        </w:tc>
        <w:tc>
          <w:tcPr>
            <w:tcW w:w="872" w:type="dxa"/>
            <w:noWrap/>
            <w:vAlign w:val="center"/>
          </w:tcPr>
          <w:p w14:paraId="5582B094">
            <w:pPr>
              <w:pStyle w:val="41"/>
              <w:rPr>
                <w:color w:val="auto"/>
                <w:highlight w:val="none"/>
              </w:rPr>
            </w:pPr>
            <w:r>
              <w:rPr>
                <w:color w:val="auto"/>
                <w:highlight w:val="none"/>
              </w:rPr>
              <w:t xml:space="preserve">1.12 </w:t>
            </w:r>
          </w:p>
        </w:tc>
        <w:tc>
          <w:tcPr>
            <w:tcW w:w="1398" w:type="dxa"/>
            <w:noWrap/>
            <w:vAlign w:val="center"/>
          </w:tcPr>
          <w:p w14:paraId="11BCF68F">
            <w:pPr>
              <w:pStyle w:val="41"/>
              <w:rPr>
                <w:color w:val="auto"/>
                <w:highlight w:val="none"/>
              </w:rPr>
            </w:pPr>
            <w:r>
              <w:rPr>
                <w:color w:val="auto"/>
                <w:highlight w:val="none"/>
              </w:rPr>
              <w:t>0.000015</w:t>
            </w:r>
          </w:p>
        </w:tc>
        <w:tc>
          <w:tcPr>
            <w:tcW w:w="872" w:type="dxa"/>
            <w:noWrap/>
            <w:vAlign w:val="center"/>
          </w:tcPr>
          <w:p w14:paraId="194B88CB">
            <w:pPr>
              <w:pStyle w:val="41"/>
              <w:rPr>
                <w:color w:val="auto"/>
                <w:highlight w:val="none"/>
              </w:rPr>
            </w:pPr>
            <w:r>
              <w:rPr>
                <w:color w:val="auto"/>
                <w:highlight w:val="none"/>
              </w:rPr>
              <w:t>0</w:t>
            </w:r>
          </w:p>
        </w:tc>
      </w:tr>
      <w:tr w14:paraId="383BF9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AE3C6C9">
            <w:pPr>
              <w:pStyle w:val="41"/>
              <w:rPr>
                <w:color w:val="auto"/>
                <w:highlight w:val="none"/>
              </w:rPr>
            </w:pPr>
            <w:r>
              <w:rPr>
                <w:color w:val="auto"/>
                <w:highlight w:val="none"/>
              </w:rPr>
              <w:t>65</w:t>
            </w:r>
          </w:p>
        </w:tc>
        <w:tc>
          <w:tcPr>
            <w:tcW w:w="1254" w:type="dxa"/>
            <w:noWrap/>
            <w:vAlign w:val="center"/>
          </w:tcPr>
          <w:p w14:paraId="0F4E0A15">
            <w:pPr>
              <w:pStyle w:val="41"/>
              <w:rPr>
                <w:color w:val="auto"/>
                <w:highlight w:val="none"/>
              </w:rPr>
            </w:pPr>
            <w:r>
              <w:rPr>
                <w:color w:val="auto"/>
                <w:highlight w:val="none"/>
              </w:rPr>
              <w:t>1575</w:t>
            </w:r>
          </w:p>
        </w:tc>
        <w:tc>
          <w:tcPr>
            <w:tcW w:w="1532" w:type="dxa"/>
            <w:noWrap/>
            <w:vAlign w:val="center"/>
          </w:tcPr>
          <w:p w14:paraId="3FE571D0">
            <w:pPr>
              <w:pStyle w:val="41"/>
              <w:rPr>
                <w:color w:val="auto"/>
                <w:highlight w:val="none"/>
              </w:rPr>
            </w:pPr>
            <w:r>
              <w:rPr>
                <w:color w:val="auto"/>
                <w:highlight w:val="none"/>
              </w:rPr>
              <w:t>0.000986</w:t>
            </w:r>
          </w:p>
        </w:tc>
        <w:tc>
          <w:tcPr>
            <w:tcW w:w="946" w:type="dxa"/>
            <w:noWrap/>
            <w:vAlign w:val="center"/>
          </w:tcPr>
          <w:p w14:paraId="604C1C84">
            <w:pPr>
              <w:pStyle w:val="41"/>
              <w:rPr>
                <w:color w:val="auto"/>
                <w:highlight w:val="none"/>
              </w:rPr>
            </w:pPr>
            <w:r>
              <w:rPr>
                <w:color w:val="auto"/>
                <w:highlight w:val="none"/>
              </w:rPr>
              <w:t xml:space="preserve">0.20 </w:t>
            </w:r>
          </w:p>
        </w:tc>
        <w:tc>
          <w:tcPr>
            <w:tcW w:w="1398" w:type="dxa"/>
            <w:noWrap/>
            <w:vAlign w:val="center"/>
          </w:tcPr>
          <w:p w14:paraId="62EED9A1">
            <w:pPr>
              <w:pStyle w:val="41"/>
              <w:rPr>
                <w:color w:val="auto"/>
                <w:highlight w:val="none"/>
              </w:rPr>
            </w:pPr>
            <w:r>
              <w:rPr>
                <w:color w:val="auto"/>
                <w:highlight w:val="none"/>
              </w:rPr>
              <w:t>0.002217</w:t>
            </w:r>
          </w:p>
        </w:tc>
        <w:tc>
          <w:tcPr>
            <w:tcW w:w="872" w:type="dxa"/>
            <w:noWrap/>
            <w:vAlign w:val="center"/>
          </w:tcPr>
          <w:p w14:paraId="001FE1FD">
            <w:pPr>
              <w:pStyle w:val="41"/>
              <w:rPr>
                <w:color w:val="auto"/>
                <w:highlight w:val="none"/>
              </w:rPr>
            </w:pPr>
            <w:r>
              <w:rPr>
                <w:color w:val="auto"/>
                <w:highlight w:val="none"/>
              </w:rPr>
              <w:t xml:space="preserve">1.11 </w:t>
            </w:r>
          </w:p>
        </w:tc>
        <w:tc>
          <w:tcPr>
            <w:tcW w:w="1398" w:type="dxa"/>
            <w:noWrap/>
            <w:vAlign w:val="center"/>
          </w:tcPr>
          <w:p w14:paraId="622D5AFC">
            <w:pPr>
              <w:pStyle w:val="41"/>
              <w:rPr>
                <w:color w:val="auto"/>
                <w:highlight w:val="none"/>
              </w:rPr>
            </w:pPr>
            <w:r>
              <w:rPr>
                <w:color w:val="auto"/>
                <w:highlight w:val="none"/>
              </w:rPr>
              <w:t>0.000014</w:t>
            </w:r>
          </w:p>
        </w:tc>
        <w:tc>
          <w:tcPr>
            <w:tcW w:w="872" w:type="dxa"/>
            <w:noWrap/>
            <w:vAlign w:val="center"/>
          </w:tcPr>
          <w:p w14:paraId="0108589C">
            <w:pPr>
              <w:pStyle w:val="41"/>
              <w:rPr>
                <w:color w:val="auto"/>
                <w:highlight w:val="none"/>
              </w:rPr>
            </w:pPr>
            <w:r>
              <w:rPr>
                <w:color w:val="auto"/>
                <w:highlight w:val="none"/>
              </w:rPr>
              <w:t>0</w:t>
            </w:r>
          </w:p>
        </w:tc>
      </w:tr>
      <w:tr w14:paraId="2B124B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FD0C053">
            <w:pPr>
              <w:pStyle w:val="41"/>
              <w:rPr>
                <w:color w:val="auto"/>
                <w:highlight w:val="none"/>
              </w:rPr>
            </w:pPr>
            <w:r>
              <w:rPr>
                <w:color w:val="auto"/>
                <w:highlight w:val="none"/>
              </w:rPr>
              <w:t>66</w:t>
            </w:r>
          </w:p>
        </w:tc>
        <w:tc>
          <w:tcPr>
            <w:tcW w:w="1254" w:type="dxa"/>
            <w:noWrap/>
            <w:vAlign w:val="center"/>
          </w:tcPr>
          <w:p w14:paraId="366F1FF2">
            <w:pPr>
              <w:pStyle w:val="41"/>
              <w:rPr>
                <w:color w:val="auto"/>
                <w:highlight w:val="none"/>
              </w:rPr>
            </w:pPr>
            <w:r>
              <w:rPr>
                <w:color w:val="auto"/>
                <w:highlight w:val="none"/>
              </w:rPr>
              <w:t>1600</w:t>
            </w:r>
          </w:p>
        </w:tc>
        <w:tc>
          <w:tcPr>
            <w:tcW w:w="1532" w:type="dxa"/>
            <w:noWrap/>
            <w:vAlign w:val="center"/>
          </w:tcPr>
          <w:p w14:paraId="6029610D">
            <w:pPr>
              <w:pStyle w:val="41"/>
              <w:rPr>
                <w:color w:val="auto"/>
                <w:highlight w:val="none"/>
              </w:rPr>
            </w:pPr>
            <w:r>
              <w:rPr>
                <w:color w:val="auto"/>
                <w:highlight w:val="none"/>
              </w:rPr>
              <w:t>0.000973</w:t>
            </w:r>
          </w:p>
        </w:tc>
        <w:tc>
          <w:tcPr>
            <w:tcW w:w="946" w:type="dxa"/>
            <w:noWrap/>
            <w:vAlign w:val="center"/>
          </w:tcPr>
          <w:p w14:paraId="2E7D1D45">
            <w:pPr>
              <w:pStyle w:val="41"/>
              <w:rPr>
                <w:color w:val="auto"/>
                <w:highlight w:val="none"/>
              </w:rPr>
            </w:pPr>
            <w:r>
              <w:rPr>
                <w:color w:val="auto"/>
                <w:highlight w:val="none"/>
              </w:rPr>
              <w:t xml:space="preserve">0.19 </w:t>
            </w:r>
          </w:p>
        </w:tc>
        <w:tc>
          <w:tcPr>
            <w:tcW w:w="1398" w:type="dxa"/>
            <w:noWrap/>
            <w:vAlign w:val="center"/>
          </w:tcPr>
          <w:p w14:paraId="10D8A8FA">
            <w:pPr>
              <w:pStyle w:val="41"/>
              <w:rPr>
                <w:color w:val="auto"/>
                <w:highlight w:val="none"/>
              </w:rPr>
            </w:pPr>
            <w:r>
              <w:rPr>
                <w:color w:val="auto"/>
                <w:highlight w:val="none"/>
              </w:rPr>
              <w:t>0.002189</w:t>
            </w:r>
          </w:p>
        </w:tc>
        <w:tc>
          <w:tcPr>
            <w:tcW w:w="872" w:type="dxa"/>
            <w:noWrap/>
            <w:vAlign w:val="center"/>
          </w:tcPr>
          <w:p w14:paraId="62D7282E">
            <w:pPr>
              <w:pStyle w:val="41"/>
              <w:rPr>
                <w:color w:val="auto"/>
                <w:highlight w:val="none"/>
              </w:rPr>
            </w:pPr>
            <w:r>
              <w:rPr>
                <w:color w:val="auto"/>
                <w:highlight w:val="none"/>
              </w:rPr>
              <w:t xml:space="preserve">1.09 </w:t>
            </w:r>
          </w:p>
        </w:tc>
        <w:tc>
          <w:tcPr>
            <w:tcW w:w="1398" w:type="dxa"/>
            <w:noWrap/>
            <w:vAlign w:val="center"/>
          </w:tcPr>
          <w:p w14:paraId="732D50BD">
            <w:pPr>
              <w:pStyle w:val="41"/>
              <w:rPr>
                <w:color w:val="auto"/>
                <w:highlight w:val="none"/>
              </w:rPr>
            </w:pPr>
            <w:r>
              <w:rPr>
                <w:color w:val="auto"/>
                <w:highlight w:val="none"/>
              </w:rPr>
              <w:t>0.000014</w:t>
            </w:r>
          </w:p>
        </w:tc>
        <w:tc>
          <w:tcPr>
            <w:tcW w:w="872" w:type="dxa"/>
            <w:noWrap/>
            <w:vAlign w:val="center"/>
          </w:tcPr>
          <w:p w14:paraId="2C7F4F4F">
            <w:pPr>
              <w:pStyle w:val="41"/>
              <w:rPr>
                <w:color w:val="auto"/>
                <w:highlight w:val="none"/>
              </w:rPr>
            </w:pPr>
            <w:r>
              <w:rPr>
                <w:color w:val="auto"/>
                <w:highlight w:val="none"/>
              </w:rPr>
              <w:t>0</w:t>
            </w:r>
          </w:p>
        </w:tc>
      </w:tr>
      <w:tr w14:paraId="038C68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77F51FAB">
            <w:pPr>
              <w:pStyle w:val="41"/>
              <w:rPr>
                <w:color w:val="auto"/>
                <w:highlight w:val="none"/>
              </w:rPr>
            </w:pPr>
            <w:r>
              <w:rPr>
                <w:color w:val="auto"/>
                <w:highlight w:val="none"/>
              </w:rPr>
              <w:t>67</w:t>
            </w:r>
          </w:p>
        </w:tc>
        <w:tc>
          <w:tcPr>
            <w:tcW w:w="1254" w:type="dxa"/>
            <w:noWrap/>
            <w:vAlign w:val="center"/>
          </w:tcPr>
          <w:p w14:paraId="11CCE0C7">
            <w:pPr>
              <w:pStyle w:val="41"/>
              <w:rPr>
                <w:color w:val="auto"/>
                <w:highlight w:val="none"/>
              </w:rPr>
            </w:pPr>
            <w:r>
              <w:rPr>
                <w:color w:val="auto"/>
                <w:highlight w:val="none"/>
              </w:rPr>
              <w:t>1625</w:t>
            </w:r>
          </w:p>
        </w:tc>
        <w:tc>
          <w:tcPr>
            <w:tcW w:w="1532" w:type="dxa"/>
            <w:noWrap/>
            <w:vAlign w:val="center"/>
          </w:tcPr>
          <w:p w14:paraId="7BD7FD4B">
            <w:pPr>
              <w:pStyle w:val="41"/>
              <w:rPr>
                <w:color w:val="auto"/>
                <w:highlight w:val="none"/>
              </w:rPr>
            </w:pPr>
            <w:r>
              <w:rPr>
                <w:color w:val="auto"/>
                <w:highlight w:val="none"/>
              </w:rPr>
              <w:t>0.000961</w:t>
            </w:r>
          </w:p>
        </w:tc>
        <w:tc>
          <w:tcPr>
            <w:tcW w:w="946" w:type="dxa"/>
            <w:noWrap/>
            <w:vAlign w:val="center"/>
          </w:tcPr>
          <w:p w14:paraId="281D1FA2">
            <w:pPr>
              <w:pStyle w:val="41"/>
              <w:rPr>
                <w:color w:val="auto"/>
                <w:highlight w:val="none"/>
              </w:rPr>
            </w:pPr>
            <w:r>
              <w:rPr>
                <w:color w:val="auto"/>
                <w:highlight w:val="none"/>
              </w:rPr>
              <w:t xml:space="preserve">0.19 </w:t>
            </w:r>
          </w:p>
        </w:tc>
        <w:tc>
          <w:tcPr>
            <w:tcW w:w="1398" w:type="dxa"/>
            <w:noWrap/>
            <w:vAlign w:val="center"/>
          </w:tcPr>
          <w:p w14:paraId="00534739">
            <w:pPr>
              <w:pStyle w:val="41"/>
              <w:rPr>
                <w:color w:val="auto"/>
                <w:highlight w:val="none"/>
              </w:rPr>
            </w:pPr>
            <w:r>
              <w:rPr>
                <w:color w:val="auto"/>
                <w:highlight w:val="none"/>
              </w:rPr>
              <w:t>0.002162</w:t>
            </w:r>
          </w:p>
        </w:tc>
        <w:tc>
          <w:tcPr>
            <w:tcW w:w="872" w:type="dxa"/>
            <w:noWrap/>
            <w:vAlign w:val="center"/>
          </w:tcPr>
          <w:p w14:paraId="15E0001F">
            <w:pPr>
              <w:pStyle w:val="41"/>
              <w:rPr>
                <w:color w:val="auto"/>
                <w:highlight w:val="none"/>
              </w:rPr>
            </w:pPr>
            <w:r>
              <w:rPr>
                <w:color w:val="auto"/>
                <w:highlight w:val="none"/>
              </w:rPr>
              <w:t xml:space="preserve">1.08 </w:t>
            </w:r>
          </w:p>
        </w:tc>
        <w:tc>
          <w:tcPr>
            <w:tcW w:w="1398" w:type="dxa"/>
            <w:noWrap/>
            <w:vAlign w:val="center"/>
          </w:tcPr>
          <w:p w14:paraId="4D715165">
            <w:pPr>
              <w:pStyle w:val="41"/>
              <w:rPr>
                <w:color w:val="auto"/>
                <w:highlight w:val="none"/>
              </w:rPr>
            </w:pPr>
            <w:r>
              <w:rPr>
                <w:color w:val="auto"/>
                <w:highlight w:val="none"/>
              </w:rPr>
              <w:t>0.000014</w:t>
            </w:r>
          </w:p>
        </w:tc>
        <w:tc>
          <w:tcPr>
            <w:tcW w:w="872" w:type="dxa"/>
            <w:noWrap/>
            <w:vAlign w:val="center"/>
          </w:tcPr>
          <w:p w14:paraId="0F4C7760">
            <w:pPr>
              <w:pStyle w:val="41"/>
              <w:rPr>
                <w:color w:val="auto"/>
                <w:highlight w:val="none"/>
              </w:rPr>
            </w:pPr>
            <w:r>
              <w:rPr>
                <w:color w:val="auto"/>
                <w:highlight w:val="none"/>
              </w:rPr>
              <w:t>0</w:t>
            </w:r>
          </w:p>
        </w:tc>
      </w:tr>
      <w:tr w14:paraId="7F2C1A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3C8673EC">
            <w:pPr>
              <w:pStyle w:val="41"/>
              <w:rPr>
                <w:color w:val="auto"/>
                <w:highlight w:val="none"/>
              </w:rPr>
            </w:pPr>
            <w:r>
              <w:rPr>
                <w:color w:val="auto"/>
                <w:highlight w:val="none"/>
              </w:rPr>
              <w:t>68</w:t>
            </w:r>
          </w:p>
        </w:tc>
        <w:tc>
          <w:tcPr>
            <w:tcW w:w="1254" w:type="dxa"/>
            <w:noWrap/>
            <w:vAlign w:val="center"/>
          </w:tcPr>
          <w:p w14:paraId="0D1A0732">
            <w:pPr>
              <w:pStyle w:val="41"/>
              <w:rPr>
                <w:color w:val="auto"/>
                <w:highlight w:val="none"/>
              </w:rPr>
            </w:pPr>
            <w:r>
              <w:rPr>
                <w:color w:val="auto"/>
                <w:highlight w:val="none"/>
              </w:rPr>
              <w:t>1650</w:t>
            </w:r>
          </w:p>
        </w:tc>
        <w:tc>
          <w:tcPr>
            <w:tcW w:w="1532" w:type="dxa"/>
            <w:noWrap/>
            <w:vAlign w:val="center"/>
          </w:tcPr>
          <w:p w14:paraId="3A92B034">
            <w:pPr>
              <w:pStyle w:val="41"/>
              <w:rPr>
                <w:color w:val="auto"/>
                <w:highlight w:val="none"/>
              </w:rPr>
            </w:pPr>
            <w:r>
              <w:rPr>
                <w:color w:val="auto"/>
                <w:highlight w:val="none"/>
              </w:rPr>
              <w:t>0.00095</w:t>
            </w:r>
          </w:p>
        </w:tc>
        <w:tc>
          <w:tcPr>
            <w:tcW w:w="946" w:type="dxa"/>
            <w:noWrap/>
            <w:vAlign w:val="center"/>
          </w:tcPr>
          <w:p w14:paraId="287E86B8">
            <w:pPr>
              <w:pStyle w:val="41"/>
              <w:rPr>
                <w:color w:val="auto"/>
                <w:highlight w:val="none"/>
              </w:rPr>
            </w:pPr>
            <w:r>
              <w:rPr>
                <w:color w:val="auto"/>
                <w:highlight w:val="none"/>
              </w:rPr>
              <w:t xml:space="preserve">0.19 </w:t>
            </w:r>
          </w:p>
        </w:tc>
        <w:tc>
          <w:tcPr>
            <w:tcW w:w="1398" w:type="dxa"/>
            <w:noWrap/>
            <w:vAlign w:val="center"/>
          </w:tcPr>
          <w:p w14:paraId="190313CB">
            <w:pPr>
              <w:pStyle w:val="41"/>
              <w:rPr>
                <w:color w:val="auto"/>
                <w:highlight w:val="none"/>
              </w:rPr>
            </w:pPr>
            <w:r>
              <w:rPr>
                <w:color w:val="auto"/>
                <w:highlight w:val="none"/>
              </w:rPr>
              <w:t>0.002136</w:t>
            </w:r>
          </w:p>
        </w:tc>
        <w:tc>
          <w:tcPr>
            <w:tcW w:w="872" w:type="dxa"/>
            <w:noWrap/>
            <w:vAlign w:val="center"/>
          </w:tcPr>
          <w:p w14:paraId="261B0925">
            <w:pPr>
              <w:pStyle w:val="41"/>
              <w:rPr>
                <w:color w:val="auto"/>
                <w:highlight w:val="none"/>
              </w:rPr>
            </w:pPr>
            <w:r>
              <w:rPr>
                <w:color w:val="auto"/>
                <w:highlight w:val="none"/>
              </w:rPr>
              <w:t xml:space="preserve">1.07 </w:t>
            </w:r>
          </w:p>
        </w:tc>
        <w:tc>
          <w:tcPr>
            <w:tcW w:w="1398" w:type="dxa"/>
            <w:noWrap/>
            <w:vAlign w:val="center"/>
          </w:tcPr>
          <w:p w14:paraId="763AA555">
            <w:pPr>
              <w:pStyle w:val="41"/>
              <w:rPr>
                <w:color w:val="auto"/>
                <w:highlight w:val="none"/>
              </w:rPr>
            </w:pPr>
            <w:r>
              <w:rPr>
                <w:color w:val="auto"/>
                <w:highlight w:val="none"/>
              </w:rPr>
              <w:t>0.000014</w:t>
            </w:r>
          </w:p>
        </w:tc>
        <w:tc>
          <w:tcPr>
            <w:tcW w:w="872" w:type="dxa"/>
            <w:noWrap/>
            <w:vAlign w:val="center"/>
          </w:tcPr>
          <w:p w14:paraId="42E5A65D">
            <w:pPr>
              <w:pStyle w:val="41"/>
              <w:rPr>
                <w:color w:val="auto"/>
                <w:highlight w:val="none"/>
              </w:rPr>
            </w:pPr>
            <w:r>
              <w:rPr>
                <w:color w:val="auto"/>
                <w:highlight w:val="none"/>
              </w:rPr>
              <w:t>0</w:t>
            </w:r>
          </w:p>
        </w:tc>
      </w:tr>
      <w:tr w14:paraId="6F4D74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5A06219F">
            <w:pPr>
              <w:pStyle w:val="41"/>
              <w:rPr>
                <w:color w:val="auto"/>
                <w:highlight w:val="none"/>
              </w:rPr>
            </w:pPr>
            <w:r>
              <w:rPr>
                <w:color w:val="auto"/>
                <w:highlight w:val="none"/>
              </w:rPr>
              <w:t>69</w:t>
            </w:r>
          </w:p>
        </w:tc>
        <w:tc>
          <w:tcPr>
            <w:tcW w:w="1254" w:type="dxa"/>
            <w:noWrap/>
            <w:vAlign w:val="center"/>
          </w:tcPr>
          <w:p w14:paraId="3844C547">
            <w:pPr>
              <w:pStyle w:val="41"/>
              <w:rPr>
                <w:color w:val="auto"/>
                <w:highlight w:val="none"/>
              </w:rPr>
            </w:pPr>
            <w:r>
              <w:rPr>
                <w:color w:val="auto"/>
                <w:highlight w:val="none"/>
              </w:rPr>
              <w:t>1675</w:t>
            </w:r>
          </w:p>
        </w:tc>
        <w:tc>
          <w:tcPr>
            <w:tcW w:w="1532" w:type="dxa"/>
            <w:noWrap/>
            <w:vAlign w:val="center"/>
          </w:tcPr>
          <w:p w14:paraId="4150F994">
            <w:pPr>
              <w:pStyle w:val="41"/>
              <w:rPr>
                <w:color w:val="auto"/>
                <w:highlight w:val="none"/>
              </w:rPr>
            </w:pPr>
            <w:r>
              <w:rPr>
                <w:color w:val="auto"/>
                <w:highlight w:val="none"/>
              </w:rPr>
              <w:t>0.000938</w:t>
            </w:r>
          </w:p>
        </w:tc>
        <w:tc>
          <w:tcPr>
            <w:tcW w:w="946" w:type="dxa"/>
            <w:noWrap/>
            <w:vAlign w:val="center"/>
          </w:tcPr>
          <w:p w14:paraId="5A8372DD">
            <w:pPr>
              <w:pStyle w:val="41"/>
              <w:rPr>
                <w:color w:val="auto"/>
                <w:highlight w:val="none"/>
              </w:rPr>
            </w:pPr>
            <w:r>
              <w:rPr>
                <w:color w:val="auto"/>
                <w:highlight w:val="none"/>
              </w:rPr>
              <w:t xml:space="preserve">0.19 </w:t>
            </w:r>
          </w:p>
        </w:tc>
        <w:tc>
          <w:tcPr>
            <w:tcW w:w="1398" w:type="dxa"/>
            <w:noWrap/>
            <w:vAlign w:val="center"/>
          </w:tcPr>
          <w:p w14:paraId="7FDA68CA">
            <w:pPr>
              <w:pStyle w:val="41"/>
              <w:rPr>
                <w:color w:val="auto"/>
                <w:highlight w:val="none"/>
              </w:rPr>
            </w:pPr>
            <w:r>
              <w:rPr>
                <w:color w:val="auto"/>
                <w:highlight w:val="none"/>
              </w:rPr>
              <w:t>0.00211</w:t>
            </w:r>
          </w:p>
        </w:tc>
        <w:tc>
          <w:tcPr>
            <w:tcW w:w="872" w:type="dxa"/>
            <w:noWrap/>
            <w:vAlign w:val="center"/>
          </w:tcPr>
          <w:p w14:paraId="78F30BC9">
            <w:pPr>
              <w:pStyle w:val="41"/>
              <w:rPr>
                <w:color w:val="auto"/>
                <w:highlight w:val="none"/>
              </w:rPr>
            </w:pPr>
            <w:r>
              <w:rPr>
                <w:color w:val="auto"/>
                <w:highlight w:val="none"/>
              </w:rPr>
              <w:t xml:space="preserve">1.06 </w:t>
            </w:r>
          </w:p>
        </w:tc>
        <w:tc>
          <w:tcPr>
            <w:tcW w:w="1398" w:type="dxa"/>
            <w:noWrap/>
            <w:vAlign w:val="center"/>
          </w:tcPr>
          <w:p w14:paraId="1F180858">
            <w:pPr>
              <w:pStyle w:val="41"/>
              <w:rPr>
                <w:color w:val="auto"/>
                <w:highlight w:val="none"/>
              </w:rPr>
            </w:pPr>
            <w:r>
              <w:rPr>
                <w:color w:val="auto"/>
                <w:highlight w:val="none"/>
              </w:rPr>
              <w:t>0.000014</w:t>
            </w:r>
          </w:p>
        </w:tc>
        <w:tc>
          <w:tcPr>
            <w:tcW w:w="872" w:type="dxa"/>
            <w:noWrap/>
            <w:vAlign w:val="center"/>
          </w:tcPr>
          <w:p w14:paraId="7804E837">
            <w:pPr>
              <w:pStyle w:val="41"/>
              <w:rPr>
                <w:color w:val="auto"/>
                <w:highlight w:val="none"/>
              </w:rPr>
            </w:pPr>
            <w:r>
              <w:rPr>
                <w:color w:val="auto"/>
                <w:highlight w:val="none"/>
              </w:rPr>
              <w:t>0</w:t>
            </w:r>
          </w:p>
        </w:tc>
      </w:tr>
      <w:tr w14:paraId="3636ED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0978498D">
            <w:pPr>
              <w:pStyle w:val="41"/>
              <w:rPr>
                <w:color w:val="auto"/>
                <w:highlight w:val="none"/>
              </w:rPr>
            </w:pPr>
            <w:r>
              <w:rPr>
                <w:color w:val="auto"/>
                <w:highlight w:val="none"/>
              </w:rPr>
              <w:t>70</w:t>
            </w:r>
          </w:p>
        </w:tc>
        <w:tc>
          <w:tcPr>
            <w:tcW w:w="1254" w:type="dxa"/>
            <w:noWrap/>
            <w:vAlign w:val="center"/>
          </w:tcPr>
          <w:p w14:paraId="66AA5281">
            <w:pPr>
              <w:pStyle w:val="41"/>
              <w:rPr>
                <w:color w:val="auto"/>
                <w:highlight w:val="none"/>
              </w:rPr>
            </w:pPr>
            <w:r>
              <w:rPr>
                <w:color w:val="auto"/>
                <w:highlight w:val="none"/>
              </w:rPr>
              <w:t>1700</w:t>
            </w:r>
          </w:p>
        </w:tc>
        <w:tc>
          <w:tcPr>
            <w:tcW w:w="1532" w:type="dxa"/>
            <w:noWrap/>
            <w:vAlign w:val="center"/>
          </w:tcPr>
          <w:p w14:paraId="2F2C061E">
            <w:pPr>
              <w:pStyle w:val="41"/>
              <w:rPr>
                <w:color w:val="auto"/>
                <w:highlight w:val="none"/>
              </w:rPr>
            </w:pPr>
            <w:r>
              <w:rPr>
                <w:color w:val="auto"/>
                <w:highlight w:val="none"/>
              </w:rPr>
              <w:t>0.000927</w:t>
            </w:r>
          </w:p>
        </w:tc>
        <w:tc>
          <w:tcPr>
            <w:tcW w:w="946" w:type="dxa"/>
            <w:noWrap/>
            <w:vAlign w:val="center"/>
          </w:tcPr>
          <w:p w14:paraId="46F36BEA">
            <w:pPr>
              <w:pStyle w:val="41"/>
              <w:rPr>
                <w:color w:val="auto"/>
                <w:highlight w:val="none"/>
              </w:rPr>
            </w:pPr>
            <w:r>
              <w:rPr>
                <w:color w:val="auto"/>
                <w:highlight w:val="none"/>
              </w:rPr>
              <w:t xml:space="preserve">0.19 </w:t>
            </w:r>
          </w:p>
        </w:tc>
        <w:tc>
          <w:tcPr>
            <w:tcW w:w="1398" w:type="dxa"/>
            <w:noWrap/>
            <w:vAlign w:val="center"/>
          </w:tcPr>
          <w:p w14:paraId="037FC0A2">
            <w:pPr>
              <w:pStyle w:val="41"/>
              <w:rPr>
                <w:color w:val="auto"/>
                <w:highlight w:val="none"/>
              </w:rPr>
            </w:pPr>
            <w:r>
              <w:rPr>
                <w:color w:val="auto"/>
                <w:highlight w:val="none"/>
              </w:rPr>
              <w:t>0.002085</w:t>
            </w:r>
          </w:p>
        </w:tc>
        <w:tc>
          <w:tcPr>
            <w:tcW w:w="872" w:type="dxa"/>
            <w:noWrap/>
            <w:vAlign w:val="center"/>
          </w:tcPr>
          <w:p w14:paraId="570DCB69">
            <w:pPr>
              <w:pStyle w:val="41"/>
              <w:rPr>
                <w:color w:val="auto"/>
                <w:highlight w:val="none"/>
              </w:rPr>
            </w:pPr>
            <w:r>
              <w:rPr>
                <w:color w:val="auto"/>
                <w:highlight w:val="none"/>
              </w:rPr>
              <w:t xml:space="preserve">1.04 </w:t>
            </w:r>
          </w:p>
        </w:tc>
        <w:tc>
          <w:tcPr>
            <w:tcW w:w="1398" w:type="dxa"/>
            <w:noWrap/>
            <w:vAlign w:val="center"/>
          </w:tcPr>
          <w:p w14:paraId="47415CB3">
            <w:pPr>
              <w:pStyle w:val="41"/>
              <w:rPr>
                <w:color w:val="auto"/>
                <w:highlight w:val="none"/>
              </w:rPr>
            </w:pPr>
            <w:r>
              <w:rPr>
                <w:color w:val="auto"/>
                <w:highlight w:val="none"/>
              </w:rPr>
              <w:t>0.000014</w:t>
            </w:r>
          </w:p>
        </w:tc>
        <w:tc>
          <w:tcPr>
            <w:tcW w:w="872" w:type="dxa"/>
            <w:noWrap/>
            <w:vAlign w:val="center"/>
          </w:tcPr>
          <w:p w14:paraId="318E2BE6">
            <w:pPr>
              <w:pStyle w:val="41"/>
              <w:rPr>
                <w:color w:val="auto"/>
                <w:highlight w:val="none"/>
              </w:rPr>
            </w:pPr>
            <w:r>
              <w:rPr>
                <w:color w:val="auto"/>
                <w:highlight w:val="none"/>
              </w:rPr>
              <w:t>0</w:t>
            </w:r>
          </w:p>
        </w:tc>
      </w:tr>
      <w:tr w14:paraId="2AD84A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74410967">
            <w:pPr>
              <w:pStyle w:val="41"/>
              <w:rPr>
                <w:color w:val="auto"/>
                <w:highlight w:val="none"/>
              </w:rPr>
            </w:pPr>
            <w:r>
              <w:rPr>
                <w:color w:val="auto"/>
                <w:highlight w:val="none"/>
              </w:rPr>
              <w:t>71</w:t>
            </w:r>
          </w:p>
        </w:tc>
        <w:tc>
          <w:tcPr>
            <w:tcW w:w="1254" w:type="dxa"/>
            <w:noWrap/>
            <w:vAlign w:val="center"/>
          </w:tcPr>
          <w:p w14:paraId="7E12BB6F">
            <w:pPr>
              <w:pStyle w:val="41"/>
              <w:rPr>
                <w:color w:val="auto"/>
                <w:highlight w:val="none"/>
              </w:rPr>
            </w:pPr>
            <w:r>
              <w:rPr>
                <w:color w:val="auto"/>
                <w:highlight w:val="none"/>
              </w:rPr>
              <w:t>1725</w:t>
            </w:r>
          </w:p>
        </w:tc>
        <w:tc>
          <w:tcPr>
            <w:tcW w:w="1532" w:type="dxa"/>
            <w:noWrap/>
            <w:vAlign w:val="center"/>
          </w:tcPr>
          <w:p w14:paraId="2FAD9DD1">
            <w:pPr>
              <w:pStyle w:val="41"/>
              <w:rPr>
                <w:color w:val="auto"/>
                <w:highlight w:val="none"/>
              </w:rPr>
            </w:pPr>
            <w:r>
              <w:rPr>
                <w:color w:val="auto"/>
                <w:highlight w:val="none"/>
              </w:rPr>
              <w:t>0.000916</w:t>
            </w:r>
          </w:p>
        </w:tc>
        <w:tc>
          <w:tcPr>
            <w:tcW w:w="946" w:type="dxa"/>
            <w:noWrap/>
            <w:vAlign w:val="center"/>
          </w:tcPr>
          <w:p w14:paraId="328C2495">
            <w:pPr>
              <w:pStyle w:val="41"/>
              <w:rPr>
                <w:color w:val="auto"/>
                <w:highlight w:val="none"/>
              </w:rPr>
            </w:pPr>
            <w:r>
              <w:rPr>
                <w:color w:val="auto"/>
                <w:highlight w:val="none"/>
              </w:rPr>
              <w:t xml:space="preserve">0.18 </w:t>
            </w:r>
          </w:p>
        </w:tc>
        <w:tc>
          <w:tcPr>
            <w:tcW w:w="1398" w:type="dxa"/>
            <w:noWrap/>
            <w:vAlign w:val="center"/>
          </w:tcPr>
          <w:p w14:paraId="456430CF">
            <w:pPr>
              <w:pStyle w:val="41"/>
              <w:rPr>
                <w:color w:val="auto"/>
                <w:highlight w:val="none"/>
              </w:rPr>
            </w:pPr>
            <w:r>
              <w:rPr>
                <w:color w:val="auto"/>
                <w:highlight w:val="none"/>
              </w:rPr>
              <w:t>0.00206</w:t>
            </w:r>
          </w:p>
        </w:tc>
        <w:tc>
          <w:tcPr>
            <w:tcW w:w="872" w:type="dxa"/>
            <w:noWrap/>
            <w:vAlign w:val="center"/>
          </w:tcPr>
          <w:p w14:paraId="2FB15662">
            <w:pPr>
              <w:pStyle w:val="41"/>
              <w:rPr>
                <w:color w:val="auto"/>
                <w:highlight w:val="none"/>
              </w:rPr>
            </w:pPr>
            <w:r>
              <w:rPr>
                <w:color w:val="auto"/>
                <w:highlight w:val="none"/>
              </w:rPr>
              <w:t xml:space="preserve">1.03 </w:t>
            </w:r>
          </w:p>
        </w:tc>
        <w:tc>
          <w:tcPr>
            <w:tcW w:w="1398" w:type="dxa"/>
            <w:noWrap/>
            <w:vAlign w:val="center"/>
          </w:tcPr>
          <w:p w14:paraId="414BB7A2">
            <w:pPr>
              <w:pStyle w:val="41"/>
              <w:rPr>
                <w:color w:val="auto"/>
                <w:highlight w:val="none"/>
              </w:rPr>
            </w:pPr>
            <w:r>
              <w:rPr>
                <w:color w:val="auto"/>
                <w:highlight w:val="none"/>
              </w:rPr>
              <w:t>0.000013</w:t>
            </w:r>
          </w:p>
        </w:tc>
        <w:tc>
          <w:tcPr>
            <w:tcW w:w="872" w:type="dxa"/>
            <w:noWrap/>
            <w:vAlign w:val="center"/>
          </w:tcPr>
          <w:p w14:paraId="10D08703">
            <w:pPr>
              <w:pStyle w:val="41"/>
              <w:rPr>
                <w:color w:val="auto"/>
                <w:highlight w:val="none"/>
              </w:rPr>
            </w:pPr>
            <w:r>
              <w:rPr>
                <w:color w:val="auto"/>
                <w:highlight w:val="none"/>
              </w:rPr>
              <w:t>0</w:t>
            </w:r>
          </w:p>
        </w:tc>
      </w:tr>
      <w:tr w14:paraId="7AB833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46B54E06">
            <w:pPr>
              <w:pStyle w:val="41"/>
              <w:rPr>
                <w:color w:val="auto"/>
                <w:highlight w:val="none"/>
              </w:rPr>
            </w:pPr>
            <w:r>
              <w:rPr>
                <w:color w:val="auto"/>
                <w:highlight w:val="none"/>
              </w:rPr>
              <w:t>72</w:t>
            </w:r>
          </w:p>
        </w:tc>
        <w:tc>
          <w:tcPr>
            <w:tcW w:w="1254" w:type="dxa"/>
            <w:noWrap/>
            <w:vAlign w:val="center"/>
          </w:tcPr>
          <w:p w14:paraId="347F1618">
            <w:pPr>
              <w:pStyle w:val="41"/>
              <w:rPr>
                <w:color w:val="auto"/>
                <w:highlight w:val="none"/>
              </w:rPr>
            </w:pPr>
            <w:r>
              <w:rPr>
                <w:color w:val="auto"/>
                <w:highlight w:val="none"/>
              </w:rPr>
              <w:t>1750</w:t>
            </w:r>
          </w:p>
        </w:tc>
        <w:tc>
          <w:tcPr>
            <w:tcW w:w="1532" w:type="dxa"/>
            <w:noWrap/>
            <w:vAlign w:val="center"/>
          </w:tcPr>
          <w:p w14:paraId="0A7F6F5D">
            <w:pPr>
              <w:pStyle w:val="41"/>
              <w:rPr>
                <w:color w:val="auto"/>
                <w:highlight w:val="none"/>
              </w:rPr>
            </w:pPr>
            <w:r>
              <w:rPr>
                <w:color w:val="auto"/>
                <w:highlight w:val="none"/>
              </w:rPr>
              <w:t>0.000905</w:t>
            </w:r>
          </w:p>
        </w:tc>
        <w:tc>
          <w:tcPr>
            <w:tcW w:w="946" w:type="dxa"/>
            <w:noWrap/>
            <w:vAlign w:val="center"/>
          </w:tcPr>
          <w:p w14:paraId="55DFF1B0">
            <w:pPr>
              <w:pStyle w:val="41"/>
              <w:rPr>
                <w:color w:val="auto"/>
                <w:highlight w:val="none"/>
              </w:rPr>
            </w:pPr>
            <w:r>
              <w:rPr>
                <w:color w:val="auto"/>
                <w:highlight w:val="none"/>
              </w:rPr>
              <w:t xml:space="preserve">0.18 </w:t>
            </w:r>
          </w:p>
        </w:tc>
        <w:tc>
          <w:tcPr>
            <w:tcW w:w="1398" w:type="dxa"/>
            <w:noWrap/>
            <w:vAlign w:val="center"/>
          </w:tcPr>
          <w:p w14:paraId="0B47E1E7">
            <w:pPr>
              <w:pStyle w:val="41"/>
              <w:rPr>
                <w:color w:val="auto"/>
                <w:highlight w:val="none"/>
              </w:rPr>
            </w:pPr>
            <w:r>
              <w:rPr>
                <w:color w:val="auto"/>
                <w:highlight w:val="none"/>
              </w:rPr>
              <w:t>0.002036</w:t>
            </w:r>
          </w:p>
        </w:tc>
        <w:tc>
          <w:tcPr>
            <w:tcW w:w="872" w:type="dxa"/>
            <w:noWrap/>
            <w:vAlign w:val="center"/>
          </w:tcPr>
          <w:p w14:paraId="5FB22326">
            <w:pPr>
              <w:pStyle w:val="41"/>
              <w:rPr>
                <w:color w:val="auto"/>
                <w:highlight w:val="none"/>
              </w:rPr>
            </w:pPr>
            <w:r>
              <w:rPr>
                <w:color w:val="auto"/>
                <w:highlight w:val="none"/>
              </w:rPr>
              <w:t xml:space="preserve">1.02 </w:t>
            </w:r>
          </w:p>
        </w:tc>
        <w:tc>
          <w:tcPr>
            <w:tcW w:w="1398" w:type="dxa"/>
            <w:noWrap/>
            <w:vAlign w:val="center"/>
          </w:tcPr>
          <w:p w14:paraId="4FFB468A">
            <w:pPr>
              <w:pStyle w:val="41"/>
              <w:rPr>
                <w:color w:val="auto"/>
                <w:highlight w:val="none"/>
              </w:rPr>
            </w:pPr>
            <w:r>
              <w:rPr>
                <w:color w:val="auto"/>
                <w:highlight w:val="none"/>
              </w:rPr>
              <w:t>0.000013</w:t>
            </w:r>
          </w:p>
        </w:tc>
        <w:tc>
          <w:tcPr>
            <w:tcW w:w="872" w:type="dxa"/>
            <w:noWrap/>
            <w:vAlign w:val="center"/>
          </w:tcPr>
          <w:p w14:paraId="75CDFEE3">
            <w:pPr>
              <w:pStyle w:val="41"/>
              <w:rPr>
                <w:color w:val="auto"/>
                <w:highlight w:val="none"/>
              </w:rPr>
            </w:pPr>
            <w:r>
              <w:rPr>
                <w:color w:val="auto"/>
                <w:highlight w:val="none"/>
              </w:rPr>
              <w:t>0</w:t>
            </w:r>
          </w:p>
        </w:tc>
      </w:tr>
      <w:tr w14:paraId="4401E5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07A5BB72">
            <w:pPr>
              <w:pStyle w:val="41"/>
              <w:rPr>
                <w:color w:val="auto"/>
                <w:highlight w:val="none"/>
              </w:rPr>
            </w:pPr>
            <w:r>
              <w:rPr>
                <w:color w:val="auto"/>
                <w:highlight w:val="none"/>
              </w:rPr>
              <w:t>73</w:t>
            </w:r>
          </w:p>
        </w:tc>
        <w:tc>
          <w:tcPr>
            <w:tcW w:w="1254" w:type="dxa"/>
            <w:noWrap/>
            <w:vAlign w:val="center"/>
          </w:tcPr>
          <w:p w14:paraId="7C14B989">
            <w:pPr>
              <w:pStyle w:val="41"/>
              <w:rPr>
                <w:color w:val="auto"/>
                <w:highlight w:val="none"/>
              </w:rPr>
            </w:pPr>
            <w:r>
              <w:rPr>
                <w:color w:val="auto"/>
                <w:highlight w:val="none"/>
              </w:rPr>
              <w:t>1775</w:t>
            </w:r>
          </w:p>
        </w:tc>
        <w:tc>
          <w:tcPr>
            <w:tcW w:w="1532" w:type="dxa"/>
            <w:noWrap/>
            <w:vAlign w:val="center"/>
          </w:tcPr>
          <w:p w14:paraId="421EB4A8">
            <w:pPr>
              <w:pStyle w:val="41"/>
              <w:rPr>
                <w:color w:val="auto"/>
                <w:highlight w:val="none"/>
              </w:rPr>
            </w:pPr>
            <w:r>
              <w:rPr>
                <w:color w:val="auto"/>
                <w:highlight w:val="none"/>
              </w:rPr>
              <w:t>0.000895</w:t>
            </w:r>
          </w:p>
        </w:tc>
        <w:tc>
          <w:tcPr>
            <w:tcW w:w="946" w:type="dxa"/>
            <w:noWrap/>
            <w:vAlign w:val="center"/>
          </w:tcPr>
          <w:p w14:paraId="2F055C7C">
            <w:pPr>
              <w:pStyle w:val="41"/>
              <w:rPr>
                <w:color w:val="auto"/>
                <w:highlight w:val="none"/>
              </w:rPr>
            </w:pPr>
            <w:r>
              <w:rPr>
                <w:color w:val="auto"/>
                <w:highlight w:val="none"/>
              </w:rPr>
              <w:t xml:space="preserve">0.18 </w:t>
            </w:r>
          </w:p>
        </w:tc>
        <w:tc>
          <w:tcPr>
            <w:tcW w:w="1398" w:type="dxa"/>
            <w:noWrap/>
            <w:vAlign w:val="center"/>
          </w:tcPr>
          <w:p w14:paraId="7BB9D783">
            <w:pPr>
              <w:pStyle w:val="41"/>
              <w:rPr>
                <w:color w:val="auto"/>
                <w:highlight w:val="none"/>
              </w:rPr>
            </w:pPr>
            <w:r>
              <w:rPr>
                <w:color w:val="auto"/>
                <w:highlight w:val="none"/>
              </w:rPr>
              <w:t>0.002013</w:t>
            </w:r>
          </w:p>
        </w:tc>
        <w:tc>
          <w:tcPr>
            <w:tcW w:w="872" w:type="dxa"/>
            <w:noWrap/>
            <w:vAlign w:val="center"/>
          </w:tcPr>
          <w:p w14:paraId="238DADF5">
            <w:pPr>
              <w:pStyle w:val="41"/>
              <w:rPr>
                <w:color w:val="auto"/>
                <w:highlight w:val="none"/>
              </w:rPr>
            </w:pPr>
            <w:r>
              <w:rPr>
                <w:color w:val="auto"/>
                <w:highlight w:val="none"/>
              </w:rPr>
              <w:t xml:space="preserve">1.01 </w:t>
            </w:r>
          </w:p>
        </w:tc>
        <w:tc>
          <w:tcPr>
            <w:tcW w:w="1398" w:type="dxa"/>
            <w:noWrap/>
            <w:vAlign w:val="center"/>
          </w:tcPr>
          <w:p w14:paraId="0D57631A">
            <w:pPr>
              <w:pStyle w:val="41"/>
              <w:rPr>
                <w:color w:val="auto"/>
                <w:highlight w:val="none"/>
              </w:rPr>
            </w:pPr>
            <w:r>
              <w:rPr>
                <w:color w:val="auto"/>
                <w:highlight w:val="none"/>
              </w:rPr>
              <w:t>0.000013</w:t>
            </w:r>
          </w:p>
        </w:tc>
        <w:tc>
          <w:tcPr>
            <w:tcW w:w="872" w:type="dxa"/>
            <w:noWrap/>
            <w:vAlign w:val="center"/>
          </w:tcPr>
          <w:p w14:paraId="6C81A0C7">
            <w:pPr>
              <w:pStyle w:val="41"/>
              <w:rPr>
                <w:color w:val="auto"/>
                <w:highlight w:val="none"/>
              </w:rPr>
            </w:pPr>
            <w:r>
              <w:rPr>
                <w:color w:val="auto"/>
                <w:highlight w:val="none"/>
              </w:rPr>
              <w:t>0</w:t>
            </w:r>
          </w:p>
        </w:tc>
      </w:tr>
      <w:tr w14:paraId="0E0276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17C6DAA6">
            <w:pPr>
              <w:pStyle w:val="41"/>
              <w:rPr>
                <w:color w:val="auto"/>
                <w:highlight w:val="none"/>
              </w:rPr>
            </w:pPr>
            <w:r>
              <w:rPr>
                <w:color w:val="auto"/>
                <w:highlight w:val="none"/>
              </w:rPr>
              <w:t>74</w:t>
            </w:r>
          </w:p>
        </w:tc>
        <w:tc>
          <w:tcPr>
            <w:tcW w:w="1254" w:type="dxa"/>
            <w:noWrap/>
            <w:vAlign w:val="center"/>
          </w:tcPr>
          <w:p w14:paraId="42BEC8B4">
            <w:pPr>
              <w:pStyle w:val="41"/>
              <w:rPr>
                <w:color w:val="auto"/>
                <w:highlight w:val="none"/>
              </w:rPr>
            </w:pPr>
            <w:r>
              <w:rPr>
                <w:color w:val="auto"/>
                <w:highlight w:val="none"/>
              </w:rPr>
              <w:t>1800</w:t>
            </w:r>
          </w:p>
        </w:tc>
        <w:tc>
          <w:tcPr>
            <w:tcW w:w="1532" w:type="dxa"/>
            <w:noWrap/>
            <w:vAlign w:val="center"/>
          </w:tcPr>
          <w:p w14:paraId="2C267649">
            <w:pPr>
              <w:pStyle w:val="41"/>
              <w:rPr>
                <w:color w:val="auto"/>
                <w:highlight w:val="none"/>
              </w:rPr>
            </w:pPr>
            <w:r>
              <w:rPr>
                <w:color w:val="auto"/>
                <w:highlight w:val="none"/>
              </w:rPr>
              <w:t>0.000885</w:t>
            </w:r>
          </w:p>
        </w:tc>
        <w:tc>
          <w:tcPr>
            <w:tcW w:w="946" w:type="dxa"/>
            <w:noWrap/>
            <w:vAlign w:val="center"/>
          </w:tcPr>
          <w:p w14:paraId="5A94A0A4">
            <w:pPr>
              <w:pStyle w:val="41"/>
              <w:rPr>
                <w:color w:val="auto"/>
                <w:highlight w:val="none"/>
              </w:rPr>
            </w:pPr>
            <w:r>
              <w:rPr>
                <w:color w:val="auto"/>
                <w:highlight w:val="none"/>
              </w:rPr>
              <w:t xml:space="preserve">0.18 </w:t>
            </w:r>
          </w:p>
        </w:tc>
        <w:tc>
          <w:tcPr>
            <w:tcW w:w="1398" w:type="dxa"/>
            <w:noWrap/>
            <w:vAlign w:val="center"/>
          </w:tcPr>
          <w:p w14:paraId="12E3906B">
            <w:pPr>
              <w:pStyle w:val="41"/>
              <w:rPr>
                <w:color w:val="auto"/>
                <w:highlight w:val="none"/>
              </w:rPr>
            </w:pPr>
            <w:r>
              <w:rPr>
                <w:color w:val="auto"/>
                <w:highlight w:val="none"/>
              </w:rPr>
              <w:t>0.00199</w:t>
            </w:r>
          </w:p>
        </w:tc>
        <w:tc>
          <w:tcPr>
            <w:tcW w:w="872" w:type="dxa"/>
            <w:noWrap/>
            <w:vAlign w:val="center"/>
          </w:tcPr>
          <w:p w14:paraId="3F280E5F">
            <w:pPr>
              <w:pStyle w:val="41"/>
              <w:rPr>
                <w:color w:val="auto"/>
                <w:highlight w:val="none"/>
              </w:rPr>
            </w:pPr>
            <w:r>
              <w:rPr>
                <w:color w:val="auto"/>
                <w:highlight w:val="none"/>
              </w:rPr>
              <w:t xml:space="preserve">1.00 </w:t>
            </w:r>
          </w:p>
        </w:tc>
        <w:tc>
          <w:tcPr>
            <w:tcW w:w="1398" w:type="dxa"/>
            <w:noWrap/>
            <w:vAlign w:val="center"/>
          </w:tcPr>
          <w:p w14:paraId="7EBC2082">
            <w:pPr>
              <w:pStyle w:val="41"/>
              <w:rPr>
                <w:color w:val="auto"/>
                <w:highlight w:val="none"/>
              </w:rPr>
            </w:pPr>
            <w:r>
              <w:rPr>
                <w:color w:val="auto"/>
                <w:highlight w:val="none"/>
              </w:rPr>
              <w:t>0.000013</w:t>
            </w:r>
          </w:p>
        </w:tc>
        <w:tc>
          <w:tcPr>
            <w:tcW w:w="872" w:type="dxa"/>
            <w:noWrap/>
            <w:vAlign w:val="center"/>
          </w:tcPr>
          <w:p w14:paraId="12381ECE">
            <w:pPr>
              <w:pStyle w:val="41"/>
              <w:rPr>
                <w:color w:val="auto"/>
                <w:highlight w:val="none"/>
              </w:rPr>
            </w:pPr>
            <w:r>
              <w:rPr>
                <w:color w:val="auto"/>
                <w:highlight w:val="none"/>
              </w:rPr>
              <w:t>0</w:t>
            </w:r>
          </w:p>
        </w:tc>
      </w:tr>
      <w:tr w14:paraId="67069A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0F94E953">
            <w:pPr>
              <w:pStyle w:val="41"/>
              <w:rPr>
                <w:color w:val="auto"/>
                <w:highlight w:val="none"/>
              </w:rPr>
            </w:pPr>
            <w:r>
              <w:rPr>
                <w:color w:val="auto"/>
                <w:highlight w:val="none"/>
              </w:rPr>
              <w:t>75</w:t>
            </w:r>
          </w:p>
        </w:tc>
        <w:tc>
          <w:tcPr>
            <w:tcW w:w="1254" w:type="dxa"/>
            <w:noWrap/>
            <w:vAlign w:val="center"/>
          </w:tcPr>
          <w:p w14:paraId="5EC7CDDF">
            <w:pPr>
              <w:pStyle w:val="41"/>
              <w:rPr>
                <w:color w:val="auto"/>
                <w:highlight w:val="none"/>
              </w:rPr>
            </w:pPr>
            <w:r>
              <w:rPr>
                <w:color w:val="auto"/>
                <w:highlight w:val="none"/>
              </w:rPr>
              <w:t>1825</w:t>
            </w:r>
          </w:p>
        </w:tc>
        <w:tc>
          <w:tcPr>
            <w:tcW w:w="1532" w:type="dxa"/>
            <w:noWrap/>
            <w:vAlign w:val="center"/>
          </w:tcPr>
          <w:p w14:paraId="3231D11C">
            <w:pPr>
              <w:pStyle w:val="41"/>
              <w:rPr>
                <w:color w:val="auto"/>
                <w:highlight w:val="none"/>
              </w:rPr>
            </w:pPr>
            <w:r>
              <w:rPr>
                <w:color w:val="auto"/>
                <w:highlight w:val="none"/>
              </w:rPr>
              <w:t>0.000875</w:t>
            </w:r>
          </w:p>
        </w:tc>
        <w:tc>
          <w:tcPr>
            <w:tcW w:w="946" w:type="dxa"/>
            <w:noWrap/>
            <w:vAlign w:val="center"/>
          </w:tcPr>
          <w:p w14:paraId="3C2FE4A2">
            <w:pPr>
              <w:pStyle w:val="41"/>
              <w:rPr>
                <w:color w:val="auto"/>
                <w:highlight w:val="none"/>
              </w:rPr>
            </w:pPr>
            <w:r>
              <w:rPr>
                <w:color w:val="auto"/>
                <w:highlight w:val="none"/>
              </w:rPr>
              <w:t xml:space="preserve">0.17 </w:t>
            </w:r>
          </w:p>
        </w:tc>
        <w:tc>
          <w:tcPr>
            <w:tcW w:w="1398" w:type="dxa"/>
            <w:noWrap/>
            <w:vAlign w:val="center"/>
          </w:tcPr>
          <w:p w14:paraId="1462DCF1">
            <w:pPr>
              <w:pStyle w:val="41"/>
              <w:rPr>
                <w:color w:val="auto"/>
                <w:highlight w:val="none"/>
              </w:rPr>
            </w:pPr>
            <w:r>
              <w:rPr>
                <w:color w:val="auto"/>
                <w:highlight w:val="none"/>
              </w:rPr>
              <w:t>0.001968</w:t>
            </w:r>
          </w:p>
        </w:tc>
        <w:tc>
          <w:tcPr>
            <w:tcW w:w="872" w:type="dxa"/>
            <w:noWrap/>
            <w:vAlign w:val="center"/>
          </w:tcPr>
          <w:p w14:paraId="2FC2C4F8">
            <w:pPr>
              <w:pStyle w:val="41"/>
              <w:rPr>
                <w:color w:val="auto"/>
                <w:highlight w:val="none"/>
              </w:rPr>
            </w:pPr>
            <w:r>
              <w:rPr>
                <w:color w:val="auto"/>
                <w:highlight w:val="none"/>
              </w:rPr>
              <w:t xml:space="preserve">0.98 </w:t>
            </w:r>
          </w:p>
        </w:tc>
        <w:tc>
          <w:tcPr>
            <w:tcW w:w="1398" w:type="dxa"/>
            <w:noWrap/>
            <w:vAlign w:val="center"/>
          </w:tcPr>
          <w:p w14:paraId="5E0B3981">
            <w:pPr>
              <w:pStyle w:val="41"/>
              <w:rPr>
                <w:color w:val="auto"/>
                <w:highlight w:val="none"/>
              </w:rPr>
            </w:pPr>
            <w:r>
              <w:rPr>
                <w:color w:val="auto"/>
                <w:highlight w:val="none"/>
              </w:rPr>
              <w:t>0.000013</w:t>
            </w:r>
          </w:p>
        </w:tc>
        <w:tc>
          <w:tcPr>
            <w:tcW w:w="872" w:type="dxa"/>
            <w:noWrap/>
            <w:vAlign w:val="center"/>
          </w:tcPr>
          <w:p w14:paraId="6FA9FAC7">
            <w:pPr>
              <w:pStyle w:val="41"/>
              <w:rPr>
                <w:color w:val="auto"/>
                <w:highlight w:val="none"/>
              </w:rPr>
            </w:pPr>
            <w:r>
              <w:rPr>
                <w:color w:val="auto"/>
                <w:highlight w:val="none"/>
              </w:rPr>
              <w:t>0</w:t>
            </w:r>
          </w:p>
        </w:tc>
      </w:tr>
      <w:tr w14:paraId="026620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3579FAE">
            <w:pPr>
              <w:pStyle w:val="41"/>
              <w:rPr>
                <w:color w:val="auto"/>
                <w:highlight w:val="none"/>
              </w:rPr>
            </w:pPr>
            <w:r>
              <w:rPr>
                <w:color w:val="auto"/>
                <w:highlight w:val="none"/>
              </w:rPr>
              <w:t>76</w:t>
            </w:r>
          </w:p>
        </w:tc>
        <w:tc>
          <w:tcPr>
            <w:tcW w:w="1254" w:type="dxa"/>
            <w:noWrap/>
            <w:vAlign w:val="center"/>
          </w:tcPr>
          <w:p w14:paraId="53958C4F">
            <w:pPr>
              <w:pStyle w:val="41"/>
              <w:rPr>
                <w:color w:val="auto"/>
                <w:highlight w:val="none"/>
              </w:rPr>
            </w:pPr>
            <w:r>
              <w:rPr>
                <w:color w:val="auto"/>
                <w:highlight w:val="none"/>
              </w:rPr>
              <w:t>1850</w:t>
            </w:r>
          </w:p>
        </w:tc>
        <w:tc>
          <w:tcPr>
            <w:tcW w:w="1532" w:type="dxa"/>
            <w:noWrap/>
            <w:vAlign w:val="center"/>
          </w:tcPr>
          <w:p w14:paraId="2B349216">
            <w:pPr>
              <w:pStyle w:val="41"/>
              <w:rPr>
                <w:color w:val="auto"/>
                <w:highlight w:val="none"/>
              </w:rPr>
            </w:pPr>
            <w:r>
              <w:rPr>
                <w:color w:val="auto"/>
                <w:highlight w:val="none"/>
              </w:rPr>
              <w:t>0.000865</w:t>
            </w:r>
          </w:p>
        </w:tc>
        <w:tc>
          <w:tcPr>
            <w:tcW w:w="946" w:type="dxa"/>
            <w:noWrap/>
            <w:vAlign w:val="center"/>
          </w:tcPr>
          <w:p w14:paraId="1AD5123D">
            <w:pPr>
              <w:pStyle w:val="41"/>
              <w:rPr>
                <w:color w:val="auto"/>
                <w:highlight w:val="none"/>
              </w:rPr>
            </w:pPr>
            <w:r>
              <w:rPr>
                <w:color w:val="auto"/>
                <w:highlight w:val="none"/>
              </w:rPr>
              <w:t xml:space="preserve">0.17 </w:t>
            </w:r>
          </w:p>
        </w:tc>
        <w:tc>
          <w:tcPr>
            <w:tcW w:w="1398" w:type="dxa"/>
            <w:noWrap/>
            <w:vAlign w:val="center"/>
          </w:tcPr>
          <w:p w14:paraId="7B296322">
            <w:pPr>
              <w:pStyle w:val="41"/>
              <w:rPr>
                <w:color w:val="auto"/>
                <w:highlight w:val="none"/>
              </w:rPr>
            </w:pPr>
            <w:r>
              <w:rPr>
                <w:color w:val="auto"/>
                <w:highlight w:val="none"/>
              </w:rPr>
              <w:t>0.001946</w:t>
            </w:r>
          </w:p>
        </w:tc>
        <w:tc>
          <w:tcPr>
            <w:tcW w:w="872" w:type="dxa"/>
            <w:noWrap/>
            <w:vAlign w:val="center"/>
          </w:tcPr>
          <w:p w14:paraId="7DCCF94C">
            <w:pPr>
              <w:pStyle w:val="41"/>
              <w:rPr>
                <w:color w:val="auto"/>
                <w:highlight w:val="none"/>
              </w:rPr>
            </w:pPr>
            <w:r>
              <w:rPr>
                <w:color w:val="auto"/>
                <w:highlight w:val="none"/>
              </w:rPr>
              <w:t xml:space="preserve">0.97 </w:t>
            </w:r>
          </w:p>
        </w:tc>
        <w:tc>
          <w:tcPr>
            <w:tcW w:w="1398" w:type="dxa"/>
            <w:noWrap/>
            <w:vAlign w:val="center"/>
          </w:tcPr>
          <w:p w14:paraId="3B84D2D1">
            <w:pPr>
              <w:pStyle w:val="41"/>
              <w:rPr>
                <w:color w:val="auto"/>
                <w:highlight w:val="none"/>
              </w:rPr>
            </w:pPr>
            <w:r>
              <w:rPr>
                <w:color w:val="auto"/>
                <w:highlight w:val="none"/>
              </w:rPr>
              <w:t>0.000013</w:t>
            </w:r>
          </w:p>
        </w:tc>
        <w:tc>
          <w:tcPr>
            <w:tcW w:w="872" w:type="dxa"/>
            <w:noWrap/>
            <w:vAlign w:val="center"/>
          </w:tcPr>
          <w:p w14:paraId="71987FA7">
            <w:pPr>
              <w:pStyle w:val="41"/>
              <w:rPr>
                <w:color w:val="auto"/>
                <w:highlight w:val="none"/>
              </w:rPr>
            </w:pPr>
            <w:r>
              <w:rPr>
                <w:color w:val="auto"/>
                <w:highlight w:val="none"/>
              </w:rPr>
              <w:t>0</w:t>
            </w:r>
          </w:p>
        </w:tc>
      </w:tr>
      <w:tr w14:paraId="3C0B9B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2305517C">
            <w:pPr>
              <w:pStyle w:val="41"/>
              <w:rPr>
                <w:color w:val="auto"/>
                <w:highlight w:val="none"/>
              </w:rPr>
            </w:pPr>
            <w:r>
              <w:rPr>
                <w:color w:val="auto"/>
                <w:highlight w:val="none"/>
              </w:rPr>
              <w:t>77</w:t>
            </w:r>
          </w:p>
        </w:tc>
        <w:tc>
          <w:tcPr>
            <w:tcW w:w="1254" w:type="dxa"/>
            <w:noWrap/>
            <w:vAlign w:val="center"/>
          </w:tcPr>
          <w:p w14:paraId="1E13C2F1">
            <w:pPr>
              <w:pStyle w:val="41"/>
              <w:rPr>
                <w:color w:val="auto"/>
                <w:highlight w:val="none"/>
              </w:rPr>
            </w:pPr>
            <w:r>
              <w:rPr>
                <w:color w:val="auto"/>
                <w:highlight w:val="none"/>
              </w:rPr>
              <w:t>1875</w:t>
            </w:r>
          </w:p>
        </w:tc>
        <w:tc>
          <w:tcPr>
            <w:tcW w:w="1532" w:type="dxa"/>
            <w:noWrap/>
            <w:vAlign w:val="center"/>
          </w:tcPr>
          <w:p w14:paraId="772A4734">
            <w:pPr>
              <w:pStyle w:val="41"/>
              <w:rPr>
                <w:color w:val="auto"/>
                <w:highlight w:val="none"/>
              </w:rPr>
            </w:pPr>
            <w:r>
              <w:rPr>
                <w:color w:val="auto"/>
                <w:highlight w:val="none"/>
              </w:rPr>
              <w:t>0.000856</w:t>
            </w:r>
          </w:p>
        </w:tc>
        <w:tc>
          <w:tcPr>
            <w:tcW w:w="946" w:type="dxa"/>
            <w:noWrap/>
            <w:vAlign w:val="center"/>
          </w:tcPr>
          <w:p w14:paraId="2BFA83D0">
            <w:pPr>
              <w:pStyle w:val="41"/>
              <w:rPr>
                <w:color w:val="auto"/>
                <w:highlight w:val="none"/>
              </w:rPr>
            </w:pPr>
            <w:r>
              <w:rPr>
                <w:color w:val="auto"/>
                <w:highlight w:val="none"/>
              </w:rPr>
              <w:t xml:space="preserve">0.17 </w:t>
            </w:r>
          </w:p>
        </w:tc>
        <w:tc>
          <w:tcPr>
            <w:tcW w:w="1398" w:type="dxa"/>
            <w:noWrap/>
            <w:vAlign w:val="center"/>
          </w:tcPr>
          <w:p w14:paraId="449F8805">
            <w:pPr>
              <w:pStyle w:val="41"/>
              <w:rPr>
                <w:color w:val="auto"/>
                <w:highlight w:val="none"/>
              </w:rPr>
            </w:pPr>
            <w:r>
              <w:rPr>
                <w:color w:val="auto"/>
                <w:highlight w:val="none"/>
              </w:rPr>
              <w:t>0.001925</w:t>
            </w:r>
          </w:p>
        </w:tc>
        <w:tc>
          <w:tcPr>
            <w:tcW w:w="872" w:type="dxa"/>
            <w:noWrap/>
            <w:vAlign w:val="center"/>
          </w:tcPr>
          <w:p w14:paraId="37321044">
            <w:pPr>
              <w:pStyle w:val="41"/>
              <w:rPr>
                <w:color w:val="auto"/>
                <w:highlight w:val="none"/>
              </w:rPr>
            </w:pPr>
            <w:r>
              <w:rPr>
                <w:color w:val="auto"/>
                <w:highlight w:val="none"/>
              </w:rPr>
              <w:t xml:space="preserve">0.96 </w:t>
            </w:r>
          </w:p>
        </w:tc>
        <w:tc>
          <w:tcPr>
            <w:tcW w:w="1398" w:type="dxa"/>
            <w:noWrap/>
            <w:vAlign w:val="center"/>
          </w:tcPr>
          <w:p w14:paraId="16A6E27D">
            <w:pPr>
              <w:pStyle w:val="41"/>
              <w:rPr>
                <w:color w:val="auto"/>
                <w:highlight w:val="none"/>
              </w:rPr>
            </w:pPr>
            <w:r>
              <w:rPr>
                <w:color w:val="auto"/>
                <w:highlight w:val="none"/>
              </w:rPr>
              <w:t>0.000013</w:t>
            </w:r>
          </w:p>
        </w:tc>
        <w:tc>
          <w:tcPr>
            <w:tcW w:w="872" w:type="dxa"/>
            <w:noWrap/>
            <w:vAlign w:val="center"/>
          </w:tcPr>
          <w:p w14:paraId="1B4B8A76">
            <w:pPr>
              <w:pStyle w:val="41"/>
              <w:rPr>
                <w:color w:val="auto"/>
                <w:highlight w:val="none"/>
              </w:rPr>
            </w:pPr>
            <w:r>
              <w:rPr>
                <w:color w:val="auto"/>
                <w:highlight w:val="none"/>
              </w:rPr>
              <w:t>0</w:t>
            </w:r>
          </w:p>
        </w:tc>
      </w:tr>
      <w:tr w14:paraId="048C36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24564DCF">
            <w:pPr>
              <w:pStyle w:val="41"/>
              <w:rPr>
                <w:color w:val="auto"/>
                <w:highlight w:val="none"/>
              </w:rPr>
            </w:pPr>
            <w:r>
              <w:rPr>
                <w:color w:val="auto"/>
                <w:highlight w:val="none"/>
              </w:rPr>
              <w:t>78</w:t>
            </w:r>
          </w:p>
        </w:tc>
        <w:tc>
          <w:tcPr>
            <w:tcW w:w="1254" w:type="dxa"/>
            <w:noWrap/>
            <w:vAlign w:val="center"/>
          </w:tcPr>
          <w:p w14:paraId="1DF3D44B">
            <w:pPr>
              <w:pStyle w:val="41"/>
              <w:rPr>
                <w:color w:val="auto"/>
                <w:highlight w:val="none"/>
              </w:rPr>
            </w:pPr>
            <w:r>
              <w:rPr>
                <w:color w:val="auto"/>
                <w:highlight w:val="none"/>
              </w:rPr>
              <w:t>1900</w:t>
            </w:r>
          </w:p>
        </w:tc>
        <w:tc>
          <w:tcPr>
            <w:tcW w:w="1532" w:type="dxa"/>
            <w:noWrap/>
            <w:vAlign w:val="center"/>
          </w:tcPr>
          <w:p w14:paraId="2E240FC6">
            <w:pPr>
              <w:pStyle w:val="41"/>
              <w:rPr>
                <w:color w:val="auto"/>
                <w:highlight w:val="none"/>
              </w:rPr>
            </w:pPr>
            <w:r>
              <w:rPr>
                <w:color w:val="auto"/>
                <w:highlight w:val="none"/>
              </w:rPr>
              <w:t>0.000846</w:t>
            </w:r>
          </w:p>
        </w:tc>
        <w:tc>
          <w:tcPr>
            <w:tcW w:w="946" w:type="dxa"/>
            <w:noWrap/>
            <w:vAlign w:val="center"/>
          </w:tcPr>
          <w:p w14:paraId="387DE031">
            <w:pPr>
              <w:pStyle w:val="41"/>
              <w:rPr>
                <w:color w:val="auto"/>
                <w:highlight w:val="none"/>
              </w:rPr>
            </w:pPr>
            <w:r>
              <w:rPr>
                <w:color w:val="auto"/>
                <w:highlight w:val="none"/>
              </w:rPr>
              <w:t xml:space="preserve">0.17 </w:t>
            </w:r>
          </w:p>
        </w:tc>
        <w:tc>
          <w:tcPr>
            <w:tcW w:w="1398" w:type="dxa"/>
            <w:noWrap/>
            <w:vAlign w:val="center"/>
          </w:tcPr>
          <w:p w14:paraId="500E99A8">
            <w:pPr>
              <w:pStyle w:val="41"/>
              <w:rPr>
                <w:color w:val="auto"/>
                <w:highlight w:val="none"/>
              </w:rPr>
            </w:pPr>
            <w:r>
              <w:rPr>
                <w:color w:val="auto"/>
                <w:highlight w:val="none"/>
              </w:rPr>
              <w:t>0.001904</w:t>
            </w:r>
          </w:p>
        </w:tc>
        <w:tc>
          <w:tcPr>
            <w:tcW w:w="872" w:type="dxa"/>
            <w:noWrap/>
            <w:vAlign w:val="center"/>
          </w:tcPr>
          <w:p w14:paraId="5B29A469">
            <w:pPr>
              <w:pStyle w:val="41"/>
              <w:rPr>
                <w:color w:val="auto"/>
                <w:highlight w:val="none"/>
              </w:rPr>
            </w:pPr>
            <w:r>
              <w:rPr>
                <w:color w:val="auto"/>
                <w:highlight w:val="none"/>
              </w:rPr>
              <w:t xml:space="preserve">0.95 </w:t>
            </w:r>
          </w:p>
        </w:tc>
        <w:tc>
          <w:tcPr>
            <w:tcW w:w="1398" w:type="dxa"/>
            <w:noWrap/>
            <w:vAlign w:val="center"/>
          </w:tcPr>
          <w:p w14:paraId="67953CF0">
            <w:pPr>
              <w:pStyle w:val="41"/>
              <w:rPr>
                <w:color w:val="auto"/>
                <w:highlight w:val="none"/>
              </w:rPr>
            </w:pPr>
            <w:r>
              <w:rPr>
                <w:color w:val="auto"/>
                <w:highlight w:val="none"/>
              </w:rPr>
              <w:t>0.000012</w:t>
            </w:r>
          </w:p>
        </w:tc>
        <w:tc>
          <w:tcPr>
            <w:tcW w:w="872" w:type="dxa"/>
            <w:noWrap/>
            <w:vAlign w:val="center"/>
          </w:tcPr>
          <w:p w14:paraId="634FB97F">
            <w:pPr>
              <w:pStyle w:val="41"/>
              <w:rPr>
                <w:color w:val="auto"/>
                <w:highlight w:val="none"/>
              </w:rPr>
            </w:pPr>
            <w:r>
              <w:rPr>
                <w:color w:val="auto"/>
                <w:highlight w:val="none"/>
              </w:rPr>
              <w:t>0</w:t>
            </w:r>
          </w:p>
        </w:tc>
      </w:tr>
      <w:tr w14:paraId="17B876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120330D3">
            <w:pPr>
              <w:pStyle w:val="41"/>
              <w:rPr>
                <w:color w:val="auto"/>
                <w:highlight w:val="none"/>
              </w:rPr>
            </w:pPr>
            <w:r>
              <w:rPr>
                <w:color w:val="auto"/>
                <w:highlight w:val="none"/>
              </w:rPr>
              <w:t>79</w:t>
            </w:r>
          </w:p>
        </w:tc>
        <w:tc>
          <w:tcPr>
            <w:tcW w:w="1254" w:type="dxa"/>
            <w:noWrap/>
            <w:vAlign w:val="center"/>
          </w:tcPr>
          <w:p w14:paraId="1F74D1CA">
            <w:pPr>
              <w:pStyle w:val="41"/>
              <w:rPr>
                <w:color w:val="auto"/>
                <w:highlight w:val="none"/>
              </w:rPr>
            </w:pPr>
            <w:r>
              <w:rPr>
                <w:color w:val="auto"/>
                <w:highlight w:val="none"/>
              </w:rPr>
              <w:t>1925</w:t>
            </w:r>
          </w:p>
        </w:tc>
        <w:tc>
          <w:tcPr>
            <w:tcW w:w="1532" w:type="dxa"/>
            <w:noWrap/>
            <w:vAlign w:val="center"/>
          </w:tcPr>
          <w:p w14:paraId="5FA102A1">
            <w:pPr>
              <w:pStyle w:val="41"/>
              <w:rPr>
                <w:color w:val="auto"/>
                <w:highlight w:val="none"/>
              </w:rPr>
            </w:pPr>
            <w:r>
              <w:rPr>
                <w:color w:val="auto"/>
                <w:highlight w:val="none"/>
              </w:rPr>
              <w:t>0.000837</w:t>
            </w:r>
          </w:p>
        </w:tc>
        <w:tc>
          <w:tcPr>
            <w:tcW w:w="946" w:type="dxa"/>
            <w:noWrap/>
            <w:vAlign w:val="center"/>
          </w:tcPr>
          <w:p w14:paraId="3EEEC8EF">
            <w:pPr>
              <w:pStyle w:val="41"/>
              <w:rPr>
                <w:color w:val="auto"/>
                <w:highlight w:val="none"/>
              </w:rPr>
            </w:pPr>
            <w:r>
              <w:rPr>
                <w:color w:val="auto"/>
                <w:highlight w:val="none"/>
              </w:rPr>
              <w:t xml:space="preserve">0.17 </w:t>
            </w:r>
          </w:p>
        </w:tc>
        <w:tc>
          <w:tcPr>
            <w:tcW w:w="1398" w:type="dxa"/>
            <w:noWrap/>
            <w:vAlign w:val="center"/>
          </w:tcPr>
          <w:p w14:paraId="699F489F">
            <w:pPr>
              <w:pStyle w:val="41"/>
              <w:rPr>
                <w:color w:val="auto"/>
                <w:highlight w:val="none"/>
              </w:rPr>
            </w:pPr>
            <w:r>
              <w:rPr>
                <w:color w:val="auto"/>
                <w:highlight w:val="none"/>
              </w:rPr>
              <w:t>0.001883</w:t>
            </w:r>
          </w:p>
        </w:tc>
        <w:tc>
          <w:tcPr>
            <w:tcW w:w="872" w:type="dxa"/>
            <w:noWrap/>
            <w:vAlign w:val="center"/>
          </w:tcPr>
          <w:p w14:paraId="1EB1E6C3">
            <w:pPr>
              <w:pStyle w:val="41"/>
              <w:rPr>
                <w:color w:val="auto"/>
                <w:highlight w:val="none"/>
              </w:rPr>
            </w:pPr>
            <w:r>
              <w:rPr>
                <w:color w:val="auto"/>
                <w:highlight w:val="none"/>
              </w:rPr>
              <w:t xml:space="preserve">0.94 </w:t>
            </w:r>
          </w:p>
        </w:tc>
        <w:tc>
          <w:tcPr>
            <w:tcW w:w="1398" w:type="dxa"/>
            <w:noWrap/>
            <w:vAlign w:val="center"/>
          </w:tcPr>
          <w:p w14:paraId="29EE8901">
            <w:pPr>
              <w:pStyle w:val="41"/>
              <w:rPr>
                <w:color w:val="auto"/>
                <w:highlight w:val="none"/>
              </w:rPr>
            </w:pPr>
            <w:r>
              <w:rPr>
                <w:color w:val="auto"/>
                <w:highlight w:val="none"/>
              </w:rPr>
              <w:t>0.000012</w:t>
            </w:r>
          </w:p>
        </w:tc>
        <w:tc>
          <w:tcPr>
            <w:tcW w:w="872" w:type="dxa"/>
            <w:noWrap/>
            <w:vAlign w:val="center"/>
          </w:tcPr>
          <w:p w14:paraId="3F0AADC0">
            <w:pPr>
              <w:pStyle w:val="41"/>
              <w:rPr>
                <w:color w:val="auto"/>
                <w:highlight w:val="none"/>
              </w:rPr>
            </w:pPr>
            <w:r>
              <w:rPr>
                <w:color w:val="auto"/>
                <w:highlight w:val="none"/>
              </w:rPr>
              <w:t>0</w:t>
            </w:r>
          </w:p>
        </w:tc>
      </w:tr>
      <w:tr w14:paraId="3A50E7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1A954EED">
            <w:pPr>
              <w:pStyle w:val="41"/>
              <w:rPr>
                <w:color w:val="auto"/>
                <w:highlight w:val="none"/>
              </w:rPr>
            </w:pPr>
            <w:r>
              <w:rPr>
                <w:color w:val="auto"/>
                <w:highlight w:val="none"/>
              </w:rPr>
              <w:t>80</w:t>
            </w:r>
          </w:p>
        </w:tc>
        <w:tc>
          <w:tcPr>
            <w:tcW w:w="1254" w:type="dxa"/>
            <w:noWrap/>
            <w:vAlign w:val="center"/>
          </w:tcPr>
          <w:p w14:paraId="6D01A626">
            <w:pPr>
              <w:pStyle w:val="41"/>
              <w:rPr>
                <w:color w:val="auto"/>
                <w:highlight w:val="none"/>
              </w:rPr>
            </w:pPr>
            <w:r>
              <w:rPr>
                <w:color w:val="auto"/>
                <w:highlight w:val="none"/>
              </w:rPr>
              <w:t>1950</w:t>
            </w:r>
          </w:p>
        </w:tc>
        <w:tc>
          <w:tcPr>
            <w:tcW w:w="1532" w:type="dxa"/>
            <w:noWrap/>
            <w:vAlign w:val="center"/>
          </w:tcPr>
          <w:p w14:paraId="734FE7A7">
            <w:pPr>
              <w:pStyle w:val="41"/>
              <w:rPr>
                <w:color w:val="auto"/>
                <w:highlight w:val="none"/>
              </w:rPr>
            </w:pPr>
            <w:r>
              <w:rPr>
                <w:color w:val="auto"/>
                <w:highlight w:val="none"/>
              </w:rPr>
              <w:t>0.000828</w:t>
            </w:r>
          </w:p>
        </w:tc>
        <w:tc>
          <w:tcPr>
            <w:tcW w:w="946" w:type="dxa"/>
            <w:noWrap/>
            <w:vAlign w:val="center"/>
          </w:tcPr>
          <w:p w14:paraId="5B76E894">
            <w:pPr>
              <w:pStyle w:val="41"/>
              <w:rPr>
                <w:color w:val="auto"/>
                <w:highlight w:val="none"/>
              </w:rPr>
            </w:pPr>
            <w:r>
              <w:rPr>
                <w:color w:val="auto"/>
                <w:highlight w:val="none"/>
              </w:rPr>
              <w:t xml:space="preserve">0.17 </w:t>
            </w:r>
          </w:p>
        </w:tc>
        <w:tc>
          <w:tcPr>
            <w:tcW w:w="1398" w:type="dxa"/>
            <w:noWrap/>
            <w:vAlign w:val="center"/>
          </w:tcPr>
          <w:p w14:paraId="7BC559CB">
            <w:pPr>
              <w:pStyle w:val="41"/>
              <w:rPr>
                <w:color w:val="auto"/>
                <w:highlight w:val="none"/>
              </w:rPr>
            </w:pPr>
            <w:r>
              <w:rPr>
                <w:color w:val="auto"/>
                <w:highlight w:val="none"/>
              </w:rPr>
              <w:t>0.001863</w:t>
            </w:r>
          </w:p>
        </w:tc>
        <w:tc>
          <w:tcPr>
            <w:tcW w:w="872" w:type="dxa"/>
            <w:noWrap/>
            <w:vAlign w:val="center"/>
          </w:tcPr>
          <w:p w14:paraId="5D12AD64">
            <w:pPr>
              <w:pStyle w:val="41"/>
              <w:rPr>
                <w:color w:val="auto"/>
                <w:highlight w:val="none"/>
              </w:rPr>
            </w:pPr>
            <w:r>
              <w:rPr>
                <w:color w:val="auto"/>
                <w:highlight w:val="none"/>
              </w:rPr>
              <w:t xml:space="preserve">0.93 </w:t>
            </w:r>
          </w:p>
        </w:tc>
        <w:tc>
          <w:tcPr>
            <w:tcW w:w="1398" w:type="dxa"/>
            <w:noWrap/>
            <w:vAlign w:val="center"/>
          </w:tcPr>
          <w:p w14:paraId="3092BDDB">
            <w:pPr>
              <w:pStyle w:val="41"/>
              <w:rPr>
                <w:color w:val="auto"/>
                <w:highlight w:val="none"/>
              </w:rPr>
            </w:pPr>
            <w:r>
              <w:rPr>
                <w:color w:val="auto"/>
                <w:highlight w:val="none"/>
              </w:rPr>
              <w:t>0.000012</w:t>
            </w:r>
          </w:p>
        </w:tc>
        <w:tc>
          <w:tcPr>
            <w:tcW w:w="872" w:type="dxa"/>
            <w:noWrap/>
            <w:vAlign w:val="center"/>
          </w:tcPr>
          <w:p w14:paraId="088A3CF3">
            <w:pPr>
              <w:pStyle w:val="41"/>
              <w:rPr>
                <w:color w:val="auto"/>
                <w:highlight w:val="none"/>
              </w:rPr>
            </w:pPr>
            <w:r>
              <w:rPr>
                <w:color w:val="auto"/>
                <w:highlight w:val="none"/>
              </w:rPr>
              <w:t>0</w:t>
            </w:r>
          </w:p>
        </w:tc>
      </w:tr>
      <w:tr w14:paraId="4AE5CD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4CC2A72F">
            <w:pPr>
              <w:pStyle w:val="41"/>
              <w:rPr>
                <w:color w:val="auto"/>
                <w:highlight w:val="none"/>
              </w:rPr>
            </w:pPr>
            <w:r>
              <w:rPr>
                <w:color w:val="auto"/>
                <w:highlight w:val="none"/>
              </w:rPr>
              <w:t>81</w:t>
            </w:r>
          </w:p>
        </w:tc>
        <w:tc>
          <w:tcPr>
            <w:tcW w:w="1254" w:type="dxa"/>
            <w:noWrap/>
            <w:vAlign w:val="center"/>
          </w:tcPr>
          <w:p w14:paraId="62948220">
            <w:pPr>
              <w:pStyle w:val="41"/>
              <w:rPr>
                <w:color w:val="auto"/>
                <w:highlight w:val="none"/>
              </w:rPr>
            </w:pPr>
            <w:r>
              <w:rPr>
                <w:color w:val="auto"/>
                <w:highlight w:val="none"/>
              </w:rPr>
              <w:t>1975</w:t>
            </w:r>
          </w:p>
        </w:tc>
        <w:tc>
          <w:tcPr>
            <w:tcW w:w="1532" w:type="dxa"/>
            <w:noWrap/>
            <w:vAlign w:val="center"/>
          </w:tcPr>
          <w:p w14:paraId="7650ED79">
            <w:pPr>
              <w:pStyle w:val="41"/>
              <w:rPr>
                <w:color w:val="auto"/>
                <w:highlight w:val="none"/>
              </w:rPr>
            </w:pPr>
            <w:r>
              <w:rPr>
                <w:color w:val="auto"/>
                <w:highlight w:val="none"/>
              </w:rPr>
              <w:t>0.00082</w:t>
            </w:r>
          </w:p>
        </w:tc>
        <w:tc>
          <w:tcPr>
            <w:tcW w:w="946" w:type="dxa"/>
            <w:noWrap/>
            <w:vAlign w:val="center"/>
          </w:tcPr>
          <w:p w14:paraId="19B331B9">
            <w:pPr>
              <w:pStyle w:val="41"/>
              <w:rPr>
                <w:color w:val="auto"/>
                <w:highlight w:val="none"/>
              </w:rPr>
            </w:pPr>
            <w:r>
              <w:rPr>
                <w:color w:val="auto"/>
                <w:highlight w:val="none"/>
              </w:rPr>
              <w:t xml:space="preserve">0.16 </w:t>
            </w:r>
          </w:p>
        </w:tc>
        <w:tc>
          <w:tcPr>
            <w:tcW w:w="1398" w:type="dxa"/>
            <w:noWrap/>
            <w:vAlign w:val="center"/>
          </w:tcPr>
          <w:p w14:paraId="0A8735F1">
            <w:pPr>
              <w:pStyle w:val="41"/>
              <w:rPr>
                <w:color w:val="auto"/>
                <w:highlight w:val="none"/>
              </w:rPr>
            </w:pPr>
            <w:r>
              <w:rPr>
                <w:color w:val="auto"/>
                <w:highlight w:val="none"/>
              </w:rPr>
              <w:t>0.001844</w:t>
            </w:r>
          </w:p>
        </w:tc>
        <w:tc>
          <w:tcPr>
            <w:tcW w:w="872" w:type="dxa"/>
            <w:noWrap/>
            <w:vAlign w:val="center"/>
          </w:tcPr>
          <w:p w14:paraId="002D06B7">
            <w:pPr>
              <w:pStyle w:val="41"/>
              <w:rPr>
                <w:color w:val="auto"/>
                <w:highlight w:val="none"/>
              </w:rPr>
            </w:pPr>
            <w:r>
              <w:rPr>
                <w:color w:val="auto"/>
                <w:highlight w:val="none"/>
              </w:rPr>
              <w:t xml:space="preserve">0.92 </w:t>
            </w:r>
          </w:p>
        </w:tc>
        <w:tc>
          <w:tcPr>
            <w:tcW w:w="1398" w:type="dxa"/>
            <w:noWrap/>
            <w:vAlign w:val="center"/>
          </w:tcPr>
          <w:p w14:paraId="5A675BBE">
            <w:pPr>
              <w:pStyle w:val="41"/>
              <w:rPr>
                <w:color w:val="auto"/>
                <w:highlight w:val="none"/>
              </w:rPr>
            </w:pPr>
            <w:r>
              <w:rPr>
                <w:color w:val="auto"/>
                <w:highlight w:val="none"/>
              </w:rPr>
              <w:t>0.000012</w:t>
            </w:r>
          </w:p>
        </w:tc>
        <w:tc>
          <w:tcPr>
            <w:tcW w:w="872" w:type="dxa"/>
            <w:noWrap/>
            <w:vAlign w:val="center"/>
          </w:tcPr>
          <w:p w14:paraId="4A3769E2">
            <w:pPr>
              <w:pStyle w:val="41"/>
              <w:rPr>
                <w:color w:val="auto"/>
                <w:highlight w:val="none"/>
              </w:rPr>
            </w:pPr>
            <w:r>
              <w:rPr>
                <w:color w:val="auto"/>
                <w:highlight w:val="none"/>
              </w:rPr>
              <w:t>0</w:t>
            </w:r>
          </w:p>
        </w:tc>
      </w:tr>
      <w:tr w14:paraId="37DB84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6D09B5DC">
            <w:pPr>
              <w:pStyle w:val="41"/>
              <w:rPr>
                <w:color w:val="auto"/>
                <w:highlight w:val="none"/>
              </w:rPr>
            </w:pPr>
            <w:r>
              <w:rPr>
                <w:color w:val="auto"/>
                <w:highlight w:val="none"/>
              </w:rPr>
              <w:t>82</w:t>
            </w:r>
          </w:p>
        </w:tc>
        <w:tc>
          <w:tcPr>
            <w:tcW w:w="1254" w:type="dxa"/>
            <w:noWrap/>
            <w:vAlign w:val="center"/>
          </w:tcPr>
          <w:p w14:paraId="2892BD9F">
            <w:pPr>
              <w:pStyle w:val="41"/>
              <w:rPr>
                <w:color w:val="auto"/>
                <w:highlight w:val="none"/>
              </w:rPr>
            </w:pPr>
            <w:r>
              <w:rPr>
                <w:color w:val="auto"/>
                <w:highlight w:val="none"/>
              </w:rPr>
              <w:t>2000</w:t>
            </w:r>
          </w:p>
        </w:tc>
        <w:tc>
          <w:tcPr>
            <w:tcW w:w="1532" w:type="dxa"/>
            <w:noWrap/>
            <w:vAlign w:val="center"/>
          </w:tcPr>
          <w:p w14:paraId="20814A9D">
            <w:pPr>
              <w:pStyle w:val="41"/>
              <w:rPr>
                <w:color w:val="auto"/>
                <w:highlight w:val="none"/>
              </w:rPr>
            </w:pPr>
            <w:r>
              <w:rPr>
                <w:color w:val="auto"/>
                <w:highlight w:val="none"/>
              </w:rPr>
              <w:t>0.000811</w:t>
            </w:r>
          </w:p>
        </w:tc>
        <w:tc>
          <w:tcPr>
            <w:tcW w:w="946" w:type="dxa"/>
            <w:noWrap/>
            <w:vAlign w:val="center"/>
          </w:tcPr>
          <w:p w14:paraId="1B183850">
            <w:pPr>
              <w:pStyle w:val="41"/>
              <w:rPr>
                <w:color w:val="auto"/>
                <w:highlight w:val="none"/>
              </w:rPr>
            </w:pPr>
            <w:r>
              <w:rPr>
                <w:color w:val="auto"/>
                <w:highlight w:val="none"/>
              </w:rPr>
              <w:t xml:space="preserve">0.16 </w:t>
            </w:r>
          </w:p>
        </w:tc>
        <w:tc>
          <w:tcPr>
            <w:tcW w:w="1398" w:type="dxa"/>
            <w:noWrap/>
            <w:vAlign w:val="center"/>
          </w:tcPr>
          <w:p w14:paraId="0B350F49">
            <w:pPr>
              <w:pStyle w:val="41"/>
              <w:rPr>
                <w:color w:val="auto"/>
                <w:highlight w:val="none"/>
              </w:rPr>
            </w:pPr>
            <w:r>
              <w:rPr>
                <w:color w:val="auto"/>
                <w:highlight w:val="none"/>
              </w:rPr>
              <w:t>0.001825</w:t>
            </w:r>
          </w:p>
        </w:tc>
        <w:tc>
          <w:tcPr>
            <w:tcW w:w="872" w:type="dxa"/>
            <w:noWrap/>
            <w:vAlign w:val="center"/>
          </w:tcPr>
          <w:p w14:paraId="0D981C2B">
            <w:pPr>
              <w:pStyle w:val="41"/>
              <w:rPr>
                <w:color w:val="auto"/>
                <w:highlight w:val="none"/>
              </w:rPr>
            </w:pPr>
            <w:r>
              <w:rPr>
                <w:color w:val="auto"/>
                <w:highlight w:val="none"/>
              </w:rPr>
              <w:t xml:space="preserve">0.91 </w:t>
            </w:r>
          </w:p>
        </w:tc>
        <w:tc>
          <w:tcPr>
            <w:tcW w:w="1398" w:type="dxa"/>
            <w:noWrap/>
            <w:vAlign w:val="center"/>
          </w:tcPr>
          <w:p w14:paraId="1F7D5D63">
            <w:pPr>
              <w:pStyle w:val="41"/>
              <w:rPr>
                <w:color w:val="auto"/>
                <w:highlight w:val="none"/>
              </w:rPr>
            </w:pPr>
            <w:r>
              <w:rPr>
                <w:color w:val="auto"/>
                <w:highlight w:val="none"/>
              </w:rPr>
              <w:t>0.000012</w:t>
            </w:r>
          </w:p>
        </w:tc>
        <w:tc>
          <w:tcPr>
            <w:tcW w:w="872" w:type="dxa"/>
            <w:noWrap/>
            <w:vAlign w:val="center"/>
          </w:tcPr>
          <w:p w14:paraId="2774688C">
            <w:pPr>
              <w:pStyle w:val="41"/>
              <w:rPr>
                <w:color w:val="auto"/>
                <w:highlight w:val="none"/>
              </w:rPr>
            </w:pPr>
            <w:r>
              <w:rPr>
                <w:color w:val="auto"/>
                <w:highlight w:val="none"/>
              </w:rPr>
              <w:t>0</w:t>
            </w:r>
          </w:p>
        </w:tc>
      </w:tr>
      <w:tr w14:paraId="5A3EFF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7B79BA57">
            <w:pPr>
              <w:pStyle w:val="41"/>
              <w:rPr>
                <w:color w:val="auto"/>
                <w:highlight w:val="none"/>
              </w:rPr>
            </w:pPr>
            <w:r>
              <w:rPr>
                <w:color w:val="auto"/>
                <w:highlight w:val="none"/>
              </w:rPr>
              <w:t>83</w:t>
            </w:r>
          </w:p>
        </w:tc>
        <w:tc>
          <w:tcPr>
            <w:tcW w:w="1254" w:type="dxa"/>
            <w:noWrap/>
            <w:vAlign w:val="center"/>
          </w:tcPr>
          <w:p w14:paraId="07EE8BA1">
            <w:pPr>
              <w:pStyle w:val="41"/>
              <w:rPr>
                <w:color w:val="auto"/>
                <w:highlight w:val="none"/>
              </w:rPr>
            </w:pPr>
            <w:r>
              <w:rPr>
                <w:color w:val="auto"/>
                <w:highlight w:val="none"/>
              </w:rPr>
              <w:t>2025</w:t>
            </w:r>
          </w:p>
        </w:tc>
        <w:tc>
          <w:tcPr>
            <w:tcW w:w="1532" w:type="dxa"/>
            <w:noWrap/>
            <w:vAlign w:val="center"/>
          </w:tcPr>
          <w:p w14:paraId="656F41E1">
            <w:pPr>
              <w:pStyle w:val="41"/>
              <w:rPr>
                <w:color w:val="auto"/>
                <w:highlight w:val="none"/>
              </w:rPr>
            </w:pPr>
            <w:r>
              <w:rPr>
                <w:color w:val="auto"/>
                <w:highlight w:val="none"/>
              </w:rPr>
              <w:t>0.000803</w:t>
            </w:r>
          </w:p>
        </w:tc>
        <w:tc>
          <w:tcPr>
            <w:tcW w:w="946" w:type="dxa"/>
            <w:noWrap/>
            <w:vAlign w:val="center"/>
          </w:tcPr>
          <w:p w14:paraId="783F3CE3">
            <w:pPr>
              <w:pStyle w:val="41"/>
              <w:rPr>
                <w:color w:val="auto"/>
                <w:highlight w:val="none"/>
              </w:rPr>
            </w:pPr>
            <w:r>
              <w:rPr>
                <w:color w:val="auto"/>
                <w:highlight w:val="none"/>
              </w:rPr>
              <w:t xml:space="preserve">0.16 </w:t>
            </w:r>
          </w:p>
        </w:tc>
        <w:tc>
          <w:tcPr>
            <w:tcW w:w="1398" w:type="dxa"/>
            <w:noWrap/>
            <w:vAlign w:val="center"/>
          </w:tcPr>
          <w:p w14:paraId="2D0FBCBD">
            <w:pPr>
              <w:pStyle w:val="41"/>
              <w:rPr>
                <w:color w:val="auto"/>
                <w:highlight w:val="none"/>
              </w:rPr>
            </w:pPr>
            <w:r>
              <w:rPr>
                <w:color w:val="auto"/>
                <w:highlight w:val="none"/>
              </w:rPr>
              <w:t>0.001806</w:t>
            </w:r>
          </w:p>
        </w:tc>
        <w:tc>
          <w:tcPr>
            <w:tcW w:w="872" w:type="dxa"/>
            <w:noWrap/>
            <w:vAlign w:val="center"/>
          </w:tcPr>
          <w:p w14:paraId="4FC86445">
            <w:pPr>
              <w:pStyle w:val="41"/>
              <w:rPr>
                <w:color w:val="auto"/>
                <w:highlight w:val="none"/>
              </w:rPr>
            </w:pPr>
            <w:r>
              <w:rPr>
                <w:color w:val="auto"/>
                <w:highlight w:val="none"/>
              </w:rPr>
              <w:t xml:space="preserve">0.90 </w:t>
            </w:r>
          </w:p>
        </w:tc>
        <w:tc>
          <w:tcPr>
            <w:tcW w:w="1398" w:type="dxa"/>
            <w:noWrap/>
            <w:vAlign w:val="center"/>
          </w:tcPr>
          <w:p w14:paraId="55BB7B17">
            <w:pPr>
              <w:pStyle w:val="41"/>
              <w:rPr>
                <w:color w:val="auto"/>
                <w:highlight w:val="none"/>
              </w:rPr>
            </w:pPr>
            <w:r>
              <w:rPr>
                <w:color w:val="auto"/>
                <w:highlight w:val="none"/>
              </w:rPr>
              <w:t>0.000012</w:t>
            </w:r>
          </w:p>
        </w:tc>
        <w:tc>
          <w:tcPr>
            <w:tcW w:w="872" w:type="dxa"/>
            <w:noWrap/>
            <w:vAlign w:val="center"/>
          </w:tcPr>
          <w:p w14:paraId="146DFAE6">
            <w:pPr>
              <w:pStyle w:val="41"/>
              <w:rPr>
                <w:color w:val="auto"/>
                <w:highlight w:val="none"/>
              </w:rPr>
            </w:pPr>
            <w:r>
              <w:rPr>
                <w:color w:val="auto"/>
                <w:highlight w:val="none"/>
              </w:rPr>
              <w:t>0</w:t>
            </w:r>
          </w:p>
        </w:tc>
      </w:tr>
      <w:tr w14:paraId="20BF11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3DD70992">
            <w:pPr>
              <w:pStyle w:val="41"/>
              <w:rPr>
                <w:color w:val="auto"/>
                <w:highlight w:val="none"/>
              </w:rPr>
            </w:pPr>
            <w:r>
              <w:rPr>
                <w:color w:val="auto"/>
                <w:highlight w:val="none"/>
              </w:rPr>
              <w:t>84</w:t>
            </w:r>
          </w:p>
        </w:tc>
        <w:tc>
          <w:tcPr>
            <w:tcW w:w="1254" w:type="dxa"/>
            <w:noWrap/>
            <w:vAlign w:val="center"/>
          </w:tcPr>
          <w:p w14:paraId="7D96F2C3">
            <w:pPr>
              <w:pStyle w:val="41"/>
              <w:rPr>
                <w:color w:val="auto"/>
                <w:highlight w:val="none"/>
              </w:rPr>
            </w:pPr>
            <w:r>
              <w:rPr>
                <w:color w:val="auto"/>
                <w:highlight w:val="none"/>
              </w:rPr>
              <w:t>2050</w:t>
            </w:r>
          </w:p>
        </w:tc>
        <w:tc>
          <w:tcPr>
            <w:tcW w:w="1532" w:type="dxa"/>
            <w:noWrap/>
            <w:vAlign w:val="center"/>
          </w:tcPr>
          <w:p w14:paraId="22EC230B">
            <w:pPr>
              <w:pStyle w:val="41"/>
              <w:rPr>
                <w:color w:val="auto"/>
                <w:highlight w:val="none"/>
              </w:rPr>
            </w:pPr>
            <w:r>
              <w:rPr>
                <w:color w:val="auto"/>
                <w:highlight w:val="none"/>
              </w:rPr>
              <w:t>0.000795</w:t>
            </w:r>
          </w:p>
        </w:tc>
        <w:tc>
          <w:tcPr>
            <w:tcW w:w="946" w:type="dxa"/>
            <w:noWrap/>
            <w:vAlign w:val="center"/>
          </w:tcPr>
          <w:p w14:paraId="58092EBE">
            <w:pPr>
              <w:pStyle w:val="41"/>
              <w:rPr>
                <w:color w:val="auto"/>
                <w:highlight w:val="none"/>
              </w:rPr>
            </w:pPr>
            <w:r>
              <w:rPr>
                <w:color w:val="auto"/>
                <w:highlight w:val="none"/>
              </w:rPr>
              <w:t xml:space="preserve">0.16 </w:t>
            </w:r>
          </w:p>
        </w:tc>
        <w:tc>
          <w:tcPr>
            <w:tcW w:w="1398" w:type="dxa"/>
            <w:noWrap/>
            <w:vAlign w:val="center"/>
          </w:tcPr>
          <w:p w14:paraId="73530F61">
            <w:pPr>
              <w:pStyle w:val="41"/>
              <w:rPr>
                <w:color w:val="auto"/>
                <w:highlight w:val="none"/>
              </w:rPr>
            </w:pPr>
            <w:r>
              <w:rPr>
                <w:color w:val="auto"/>
                <w:highlight w:val="none"/>
              </w:rPr>
              <w:t>0.001788</w:t>
            </w:r>
          </w:p>
        </w:tc>
        <w:tc>
          <w:tcPr>
            <w:tcW w:w="872" w:type="dxa"/>
            <w:noWrap/>
            <w:vAlign w:val="center"/>
          </w:tcPr>
          <w:p w14:paraId="5481ECB4">
            <w:pPr>
              <w:pStyle w:val="41"/>
              <w:rPr>
                <w:color w:val="auto"/>
                <w:highlight w:val="none"/>
              </w:rPr>
            </w:pPr>
            <w:r>
              <w:rPr>
                <w:color w:val="auto"/>
                <w:highlight w:val="none"/>
              </w:rPr>
              <w:t xml:space="preserve">0.89 </w:t>
            </w:r>
          </w:p>
        </w:tc>
        <w:tc>
          <w:tcPr>
            <w:tcW w:w="1398" w:type="dxa"/>
            <w:noWrap/>
            <w:vAlign w:val="center"/>
          </w:tcPr>
          <w:p w14:paraId="1762A7F5">
            <w:pPr>
              <w:pStyle w:val="41"/>
              <w:rPr>
                <w:color w:val="auto"/>
                <w:highlight w:val="none"/>
              </w:rPr>
            </w:pPr>
            <w:r>
              <w:rPr>
                <w:color w:val="auto"/>
                <w:highlight w:val="none"/>
              </w:rPr>
              <w:t>0.000012</w:t>
            </w:r>
          </w:p>
        </w:tc>
        <w:tc>
          <w:tcPr>
            <w:tcW w:w="872" w:type="dxa"/>
            <w:noWrap/>
            <w:vAlign w:val="center"/>
          </w:tcPr>
          <w:p w14:paraId="3ED2316E">
            <w:pPr>
              <w:pStyle w:val="41"/>
              <w:rPr>
                <w:color w:val="auto"/>
                <w:highlight w:val="none"/>
              </w:rPr>
            </w:pPr>
            <w:r>
              <w:rPr>
                <w:color w:val="auto"/>
                <w:highlight w:val="none"/>
              </w:rPr>
              <w:t>0</w:t>
            </w:r>
          </w:p>
        </w:tc>
      </w:tr>
      <w:tr w14:paraId="5A7D02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5D0082AA">
            <w:pPr>
              <w:pStyle w:val="41"/>
              <w:rPr>
                <w:color w:val="auto"/>
                <w:highlight w:val="none"/>
              </w:rPr>
            </w:pPr>
            <w:r>
              <w:rPr>
                <w:color w:val="auto"/>
                <w:highlight w:val="none"/>
              </w:rPr>
              <w:t>85</w:t>
            </w:r>
          </w:p>
        </w:tc>
        <w:tc>
          <w:tcPr>
            <w:tcW w:w="1254" w:type="dxa"/>
            <w:noWrap/>
            <w:vAlign w:val="center"/>
          </w:tcPr>
          <w:p w14:paraId="77A19AA2">
            <w:pPr>
              <w:pStyle w:val="41"/>
              <w:rPr>
                <w:color w:val="auto"/>
                <w:highlight w:val="none"/>
              </w:rPr>
            </w:pPr>
            <w:r>
              <w:rPr>
                <w:color w:val="auto"/>
                <w:highlight w:val="none"/>
              </w:rPr>
              <w:t>2075</w:t>
            </w:r>
          </w:p>
        </w:tc>
        <w:tc>
          <w:tcPr>
            <w:tcW w:w="1532" w:type="dxa"/>
            <w:noWrap/>
            <w:vAlign w:val="center"/>
          </w:tcPr>
          <w:p w14:paraId="0DB621C1">
            <w:pPr>
              <w:pStyle w:val="41"/>
              <w:rPr>
                <w:color w:val="auto"/>
                <w:highlight w:val="none"/>
              </w:rPr>
            </w:pPr>
            <w:r>
              <w:rPr>
                <w:color w:val="auto"/>
                <w:highlight w:val="none"/>
              </w:rPr>
              <w:t>0.000787</w:t>
            </w:r>
          </w:p>
        </w:tc>
        <w:tc>
          <w:tcPr>
            <w:tcW w:w="946" w:type="dxa"/>
            <w:noWrap/>
            <w:vAlign w:val="center"/>
          </w:tcPr>
          <w:p w14:paraId="1F39A7FB">
            <w:pPr>
              <w:pStyle w:val="41"/>
              <w:rPr>
                <w:color w:val="auto"/>
                <w:highlight w:val="none"/>
              </w:rPr>
            </w:pPr>
            <w:r>
              <w:rPr>
                <w:color w:val="auto"/>
                <w:highlight w:val="none"/>
              </w:rPr>
              <w:t xml:space="preserve">0.16 </w:t>
            </w:r>
          </w:p>
        </w:tc>
        <w:tc>
          <w:tcPr>
            <w:tcW w:w="1398" w:type="dxa"/>
            <w:noWrap/>
            <w:vAlign w:val="center"/>
          </w:tcPr>
          <w:p w14:paraId="01EE0AE0">
            <w:pPr>
              <w:pStyle w:val="41"/>
              <w:rPr>
                <w:color w:val="auto"/>
                <w:highlight w:val="none"/>
              </w:rPr>
            </w:pPr>
            <w:r>
              <w:rPr>
                <w:color w:val="auto"/>
                <w:highlight w:val="none"/>
              </w:rPr>
              <w:t>0.00177</w:t>
            </w:r>
          </w:p>
        </w:tc>
        <w:tc>
          <w:tcPr>
            <w:tcW w:w="872" w:type="dxa"/>
            <w:noWrap/>
            <w:vAlign w:val="center"/>
          </w:tcPr>
          <w:p w14:paraId="2423D9D1">
            <w:pPr>
              <w:pStyle w:val="41"/>
              <w:rPr>
                <w:color w:val="auto"/>
                <w:highlight w:val="none"/>
              </w:rPr>
            </w:pPr>
            <w:r>
              <w:rPr>
                <w:color w:val="auto"/>
                <w:highlight w:val="none"/>
              </w:rPr>
              <w:t xml:space="preserve">0.88 </w:t>
            </w:r>
          </w:p>
        </w:tc>
        <w:tc>
          <w:tcPr>
            <w:tcW w:w="1398" w:type="dxa"/>
            <w:noWrap/>
            <w:vAlign w:val="center"/>
          </w:tcPr>
          <w:p w14:paraId="0E67E160">
            <w:pPr>
              <w:pStyle w:val="41"/>
              <w:rPr>
                <w:color w:val="auto"/>
                <w:highlight w:val="none"/>
              </w:rPr>
            </w:pPr>
            <w:r>
              <w:rPr>
                <w:color w:val="auto"/>
                <w:highlight w:val="none"/>
              </w:rPr>
              <w:t>0.000012</w:t>
            </w:r>
          </w:p>
        </w:tc>
        <w:tc>
          <w:tcPr>
            <w:tcW w:w="872" w:type="dxa"/>
            <w:noWrap/>
            <w:vAlign w:val="center"/>
          </w:tcPr>
          <w:p w14:paraId="423DDE11">
            <w:pPr>
              <w:pStyle w:val="41"/>
              <w:rPr>
                <w:color w:val="auto"/>
                <w:highlight w:val="none"/>
              </w:rPr>
            </w:pPr>
            <w:r>
              <w:rPr>
                <w:color w:val="auto"/>
                <w:highlight w:val="none"/>
              </w:rPr>
              <w:t>0</w:t>
            </w:r>
          </w:p>
        </w:tc>
      </w:tr>
      <w:tr w14:paraId="70BC20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08E416E8">
            <w:pPr>
              <w:pStyle w:val="41"/>
              <w:rPr>
                <w:color w:val="auto"/>
                <w:highlight w:val="none"/>
              </w:rPr>
            </w:pPr>
            <w:r>
              <w:rPr>
                <w:color w:val="auto"/>
                <w:highlight w:val="none"/>
              </w:rPr>
              <w:t>86</w:t>
            </w:r>
          </w:p>
        </w:tc>
        <w:tc>
          <w:tcPr>
            <w:tcW w:w="1254" w:type="dxa"/>
            <w:noWrap/>
            <w:vAlign w:val="center"/>
          </w:tcPr>
          <w:p w14:paraId="314F795B">
            <w:pPr>
              <w:pStyle w:val="41"/>
              <w:rPr>
                <w:color w:val="auto"/>
                <w:highlight w:val="none"/>
              </w:rPr>
            </w:pPr>
            <w:r>
              <w:rPr>
                <w:color w:val="auto"/>
                <w:highlight w:val="none"/>
              </w:rPr>
              <w:t>2100</w:t>
            </w:r>
          </w:p>
        </w:tc>
        <w:tc>
          <w:tcPr>
            <w:tcW w:w="1532" w:type="dxa"/>
            <w:noWrap/>
            <w:vAlign w:val="center"/>
          </w:tcPr>
          <w:p w14:paraId="50EF5EF1">
            <w:pPr>
              <w:pStyle w:val="41"/>
              <w:rPr>
                <w:color w:val="auto"/>
                <w:highlight w:val="none"/>
              </w:rPr>
            </w:pPr>
            <w:r>
              <w:rPr>
                <w:color w:val="auto"/>
                <w:highlight w:val="none"/>
              </w:rPr>
              <w:t>0.000779</w:t>
            </w:r>
          </w:p>
        </w:tc>
        <w:tc>
          <w:tcPr>
            <w:tcW w:w="946" w:type="dxa"/>
            <w:noWrap/>
            <w:vAlign w:val="center"/>
          </w:tcPr>
          <w:p w14:paraId="0A1A16F3">
            <w:pPr>
              <w:pStyle w:val="41"/>
              <w:rPr>
                <w:color w:val="auto"/>
                <w:highlight w:val="none"/>
              </w:rPr>
            </w:pPr>
            <w:r>
              <w:rPr>
                <w:color w:val="auto"/>
                <w:highlight w:val="none"/>
              </w:rPr>
              <w:t xml:space="preserve">0.16 </w:t>
            </w:r>
          </w:p>
        </w:tc>
        <w:tc>
          <w:tcPr>
            <w:tcW w:w="1398" w:type="dxa"/>
            <w:noWrap/>
            <w:vAlign w:val="center"/>
          </w:tcPr>
          <w:p w14:paraId="25EF2220">
            <w:pPr>
              <w:pStyle w:val="41"/>
              <w:rPr>
                <w:color w:val="auto"/>
                <w:highlight w:val="none"/>
              </w:rPr>
            </w:pPr>
            <w:r>
              <w:rPr>
                <w:color w:val="auto"/>
                <w:highlight w:val="none"/>
              </w:rPr>
              <w:t>0.001752</w:t>
            </w:r>
          </w:p>
        </w:tc>
        <w:tc>
          <w:tcPr>
            <w:tcW w:w="872" w:type="dxa"/>
            <w:noWrap/>
            <w:vAlign w:val="center"/>
          </w:tcPr>
          <w:p w14:paraId="61FCE1CA">
            <w:pPr>
              <w:pStyle w:val="41"/>
              <w:rPr>
                <w:color w:val="auto"/>
                <w:highlight w:val="none"/>
              </w:rPr>
            </w:pPr>
            <w:r>
              <w:rPr>
                <w:color w:val="auto"/>
                <w:highlight w:val="none"/>
              </w:rPr>
              <w:t xml:space="preserve">0.88 </w:t>
            </w:r>
          </w:p>
        </w:tc>
        <w:tc>
          <w:tcPr>
            <w:tcW w:w="1398" w:type="dxa"/>
            <w:noWrap/>
            <w:vAlign w:val="center"/>
          </w:tcPr>
          <w:p w14:paraId="3D6EFD1E">
            <w:pPr>
              <w:pStyle w:val="41"/>
              <w:rPr>
                <w:color w:val="auto"/>
                <w:highlight w:val="none"/>
              </w:rPr>
            </w:pPr>
            <w:r>
              <w:rPr>
                <w:color w:val="auto"/>
                <w:highlight w:val="none"/>
              </w:rPr>
              <w:t>0.000011</w:t>
            </w:r>
          </w:p>
        </w:tc>
        <w:tc>
          <w:tcPr>
            <w:tcW w:w="872" w:type="dxa"/>
            <w:noWrap/>
            <w:vAlign w:val="center"/>
          </w:tcPr>
          <w:p w14:paraId="65F12F9A">
            <w:pPr>
              <w:pStyle w:val="41"/>
              <w:rPr>
                <w:color w:val="auto"/>
                <w:highlight w:val="none"/>
              </w:rPr>
            </w:pPr>
            <w:r>
              <w:rPr>
                <w:color w:val="auto"/>
                <w:highlight w:val="none"/>
              </w:rPr>
              <w:t>0</w:t>
            </w:r>
          </w:p>
        </w:tc>
      </w:tr>
      <w:tr w14:paraId="17C96C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7C3C99B9">
            <w:pPr>
              <w:pStyle w:val="41"/>
              <w:rPr>
                <w:color w:val="auto"/>
                <w:highlight w:val="none"/>
              </w:rPr>
            </w:pPr>
            <w:r>
              <w:rPr>
                <w:color w:val="auto"/>
                <w:highlight w:val="none"/>
              </w:rPr>
              <w:t>87</w:t>
            </w:r>
          </w:p>
        </w:tc>
        <w:tc>
          <w:tcPr>
            <w:tcW w:w="1254" w:type="dxa"/>
            <w:noWrap/>
            <w:vAlign w:val="center"/>
          </w:tcPr>
          <w:p w14:paraId="3BE25B4C">
            <w:pPr>
              <w:pStyle w:val="41"/>
              <w:rPr>
                <w:color w:val="auto"/>
                <w:highlight w:val="none"/>
              </w:rPr>
            </w:pPr>
            <w:r>
              <w:rPr>
                <w:color w:val="auto"/>
                <w:highlight w:val="none"/>
              </w:rPr>
              <w:t>2125</w:t>
            </w:r>
          </w:p>
        </w:tc>
        <w:tc>
          <w:tcPr>
            <w:tcW w:w="1532" w:type="dxa"/>
            <w:noWrap/>
            <w:vAlign w:val="center"/>
          </w:tcPr>
          <w:p w14:paraId="75D54DA5">
            <w:pPr>
              <w:pStyle w:val="41"/>
              <w:rPr>
                <w:color w:val="auto"/>
                <w:highlight w:val="none"/>
              </w:rPr>
            </w:pPr>
            <w:r>
              <w:rPr>
                <w:color w:val="auto"/>
                <w:highlight w:val="none"/>
              </w:rPr>
              <w:t>0.000771</w:t>
            </w:r>
          </w:p>
        </w:tc>
        <w:tc>
          <w:tcPr>
            <w:tcW w:w="946" w:type="dxa"/>
            <w:noWrap/>
            <w:vAlign w:val="center"/>
          </w:tcPr>
          <w:p w14:paraId="1310A762">
            <w:pPr>
              <w:pStyle w:val="41"/>
              <w:rPr>
                <w:color w:val="auto"/>
                <w:highlight w:val="none"/>
              </w:rPr>
            </w:pPr>
            <w:r>
              <w:rPr>
                <w:color w:val="auto"/>
                <w:highlight w:val="none"/>
              </w:rPr>
              <w:t xml:space="preserve">0.15 </w:t>
            </w:r>
          </w:p>
        </w:tc>
        <w:tc>
          <w:tcPr>
            <w:tcW w:w="1398" w:type="dxa"/>
            <w:noWrap/>
            <w:vAlign w:val="center"/>
          </w:tcPr>
          <w:p w14:paraId="00F21892">
            <w:pPr>
              <w:pStyle w:val="41"/>
              <w:rPr>
                <w:color w:val="auto"/>
                <w:highlight w:val="none"/>
              </w:rPr>
            </w:pPr>
            <w:r>
              <w:rPr>
                <w:color w:val="auto"/>
                <w:highlight w:val="none"/>
              </w:rPr>
              <w:t>0.001735</w:t>
            </w:r>
          </w:p>
        </w:tc>
        <w:tc>
          <w:tcPr>
            <w:tcW w:w="872" w:type="dxa"/>
            <w:noWrap/>
            <w:vAlign w:val="center"/>
          </w:tcPr>
          <w:p w14:paraId="62A554D4">
            <w:pPr>
              <w:pStyle w:val="41"/>
              <w:rPr>
                <w:color w:val="auto"/>
                <w:highlight w:val="none"/>
              </w:rPr>
            </w:pPr>
            <w:r>
              <w:rPr>
                <w:color w:val="auto"/>
                <w:highlight w:val="none"/>
              </w:rPr>
              <w:t xml:space="preserve">0.87 </w:t>
            </w:r>
          </w:p>
        </w:tc>
        <w:tc>
          <w:tcPr>
            <w:tcW w:w="1398" w:type="dxa"/>
            <w:noWrap/>
            <w:vAlign w:val="center"/>
          </w:tcPr>
          <w:p w14:paraId="7BB44745">
            <w:pPr>
              <w:pStyle w:val="41"/>
              <w:rPr>
                <w:color w:val="auto"/>
                <w:highlight w:val="none"/>
              </w:rPr>
            </w:pPr>
            <w:r>
              <w:rPr>
                <w:color w:val="auto"/>
                <w:highlight w:val="none"/>
              </w:rPr>
              <w:t>0.000011</w:t>
            </w:r>
          </w:p>
        </w:tc>
        <w:tc>
          <w:tcPr>
            <w:tcW w:w="872" w:type="dxa"/>
            <w:noWrap/>
            <w:vAlign w:val="center"/>
          </w:tcPr>
          <w:p w14:paraId="4E1F09D7">
            <w:pPr>
              <w:pStyle w:val="41"/>
              <w:rPr>
                <w:color w:val="auto"/>
                <w:highlight w:val="none"/>
              </w:rPr>
            </w:pPr>
            <w:r>
              <w:rPr>
                <w:color w:val="auto"/>
                <w:highlight w:val="none"/>
              </w:rPr>
              <w:t>0</w:t>
            </w:r>
          </w:p>
        </w:tc>
      </w:tr>
      <w:tr w14:paraId="47A996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25666D91">
            <w:pPr>
              <w:pStyle w:val="41"/>
              <w:rPr>
                <w:color w:val="auto"/>
                <w:highlight w:val="none"/>
              </w:rPr>
            </w:pPr>
            <w:r>
              <w:rPr>
                <w:color w:val="auto"/>
                <w:highlight w:val="none"/>
              </w:rPr>
              <w:t>88</w:t>
            </w:r>
          </w:p>
        </w:tc>
        <w:tc>
          <w:tcPr>
            <w:tcW w:w="1254" w:type="dxa"/>
            <w:noWrap/>
            <w:vAlign w:val="center"/>
          </w:tcPr>
          <w:p w14:paraId="658616BC">
            <w:pPr>
              <w:pStyle w:val="41"/>
              <w:rPr>
                <w:color w:val="auto"/>
                <w:highlight w:val="none"/>
              </w:rPr>
            </w:pPr>
            <w:r>
              <w:rPr>
                <w:color w:val="auto"/>
                <w:highlight w:val="none"/>
              </w:rPr>
              <w:t>2150</w:t>
            </w:r>
          </w:p>
        </w:tc>
        <w:tc>
          <w:tcPr>
            <w:tcW w:w="1532" w:type="dxa"/>
            <w:noWrap/>
            <w:vAlign w:val="center"/>
          </w:tcPr>
          <w:p w14:paraId="642319F0">
            <w:pPr>
              <w:pStyle w:val="41"/>
              <w:rPr>
                <w:color w:val="auto"/>
                <w:highlight w:val="none"/>
              </w:rPr>
            </w:pPr>
            <w:r>
              <w:rPr>
                <w:color w:val="auto"/>
                <w:highlight w:val="none"/>
              </w:rPr>
              <w:t>0.000764</w:t>
            </w:r>
          </w:p>
        </w:tc>
        <w:tc>
          <w:tcPr>
            <w:tcW w:w="946" w:type="dxa"/>
            <w:noWrap/>
            <w:vAlign w:val="center"/>
          </w:tcPr>
          <w:p w14:paraId="31A6FEC1">
            <w:pPr>
              <w:pStyle w:val="41"/>
              <w:rPr>
                <w:color w:val="auto"/>
                <w:highlight w:val="none"/>
              </w:rPr>
            </w:pPr>
            <w:r>
              <w:rPr>
                <w:color w:val="auto"/>
                <w:highlight w:val="none"/>
              </w:rPr>
              <w:t xml:space="preserve">0.15 </w:t>
            </w:r>
          </w:p>
        </w:tc>
        <w:tc>
          <w:tcPr>
            <w:tcW w:w="1398" w:type="dxa"/>
            <w:noWrap/>
            <w:vAlign w:val="center"/>
          </w:tcPr>
          <w:p w14:paraId="6E880189">
            <w:pPr>
              <w:pStyle w:val="41"/>
              <w:rPr>
                <w:color w:val="auto"/>
                <w:highlight w:val="none"/>
              </w:rPr>
            </w:pPr>
            <w:r>
              <w:rPr>
                <w:color w:val="auto"/>
                <w:highlight w:val="none"/>
              </w:rPr>
              <w:t>0.001718</w:t>
            </w:r>
          </w:p>
        </w:tc>
        <w:tc>
          <w:tcPr>
            <w:tcW w:w="872" w:type="dxa"/>
            <w:noWrap/>
            <w:vAlign w:val="center"/>
          </w:tcPr>
          <w:p w14:paraId="72AFD349">
            <w:pPr>
              <w:pStyle w:val="41"/>
              <w:rPr>
                <w:color w:val="auto"/>
                <w:highlight w:val="none"/>
              </w:rPr>
            </w:pPr>
            <w:r>
              <w:rPr>
                <w:color w:val="auto"/>
                <w:highlight w:val="none"/>
              </w:rPr>
              <w:t xml:space="preserve">0.86 </w:t>
            </w:r>
          </w:p>
        </w:tc>
        <w:tc>
          <w:tcPr>
            <w:tcW w:w="1398" w:type="dxa"/>
            <w:noWrap/>
            <w:vAlign w:val="center"/>
          </w:tcPr>
          <w:p w14:paraId="5E4994B9">
            <w:pPr>
              <w:pStyle w:val="41"/>
              <w:rPr>
                <w:color w:val="auto"/>
                <w:highlight w:val="none"/>
              </w:rPr>
            </w:pPr>
            <w:r>
              <w:rPr>
                <w:color w:val="auto"/>
                <w:highlight w:val="none"/>
              </w:rPr>
              <w:t>0.000011</w:t>
            </w:r>
          </w:p>
        </w:tc>
        <w:tc>
          <w:tcPr>
            <w:tcW w:w="872" w:type="dxa"/>
            <w:noWrap/>
            <w:vAlign w:val="center"/>
          </w:tcPr>
          <w:p w14:paraId="47DB6B20">
            <w:pPr>
              <w:pStyle w:val="41"/>
              <w:rPr>
                <w:color w:val="auto"/>
                <w:highlight w:val="none"/>
              </w:rPr>
            </w:pPr>
            <w:r>
              <w:rPr>
                <w:color w:val="auto"/>
                <w:highlight w:val="none"/>
              </w:rPr>
              <w:t>0</w:t>
            </w:r>
          </w:p>
        </w:tc>
      </w:tr>
      <w:tr w14:paraId="4AA57E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4FFA9BFE">
            <w:pPr>
              <w:pStyle w:val="41"/>
              <w:rPr>
                <w:color w:val="auto"/>
                <w:highlight w:val="none"/>
              </w:rPr>
            </w:pPr>
            <w:r>
              <w:rPr>
                <w:color w:val="auto"/>
                <w:highlight w:val="none"/>
              </w:rPr>
              <w:t>89</w:t>
            </w:r>
          </w:p>
        </w:tc>
        <w:tc>
          <w:tcPr>
            <w:tcW w:w="1254" w:type="dxa"/>
            <w:noWrap/>
            <w:vAlign w:val="center"/>
          </w:tcPr>
          <w:p w14:paraId="5C3F452D">
            <w:pPr>
              <w:pStyle w:val="41"/>
              <w:rPr>
                <w:color w:val="auto"/>
                <w:highlight w:val="none"/>
              </w:rPr>
            </w:pPr>
            <w:r>
              <w:rPr>
                <w:color w:val="auto"/>
                <w:highlight w:val="none"/>
              </w:rPr>
              <w:t>2175</w:t>
            </w:r>
          </w:p>
        </w:tc>
        <w:tc>
          <w:tcPr>
            <w:tcW w:w="1532" w:type="dxa"/>
            <w:noWrap/>
            <w:vAlign w:val="center"/>
          </w:tcPr>
          <w:p w14:paraId="024DAA64">
            <w:pPr>
              <w:pStyle w:val="41"/>
              <w:rPr>
                <w:color w:val="auto"/>
                <w:highlight w:val="none"/>
              </w:rPr>
            </w:pPr>
            <w:r>
              <w:rPr>
                <w:color w:val="auto"/>
                <w:highlight w:val="none"/>
              </w:rPr>
              <w:t>0.000756</w:t>
            </w:r>
          </w:p>
        </w:tc>
        <w:tc>
          <w:tcPr>
            <w:tcW w:w="946" w:type="dxa"/>
            <w:noWrap/>
            <w:vAlign w:val="center"/>
          </w:tcPr>
          <w:p w14:paraId="788E6609">
            <w:pPr>
              <w:pStyle w:val="41"/>
              <w:rPr>
                <w:color w:val="auto"/>
                <w:highlight w:val="none"/>
              </w:rPr>
            </w:pPr>
            <w:r>
              <w:rPr>
                <w:color w:val="auto"/>
                <w:highlight w:val="none"/>
              </w:rPr>
              <w:t xml:space="preserve">0.15 </w:t>
            </w:r>
          </w:p>
        </w:tc>
        <w:tc>
          <w:tcPr>
            <w:tcW w:w="1398" w:type="dxa"/>
            <w:noWrap/>
            <w:vAlign w:val="center"/>
          </w:tcPr>
          <w:p w14:paraId="09ED71D1">
            <w:pPr>
              <w:pStyle w:val="41"/>
              <w:rPr>
                <w:color w:val="auto"/>
                <w:highlight w:val="none"/>
              </w:rPr>
            </w:pPr>
            <w:r>
              <w:rPr>
                <w:color w:val="auto"/>
                <w:highlight w:val="none"/>
              </w:rPr>
              <w:t>0.001701</w:t>
            </w:r>
          </w:p>
        </w:tc>
        <w:tc>
          <w:tcPr>
            <w:tcW w:w="872" w:type="dxa"/>
            <w:noWrap/>
            <w:vAlign w:val="center"/>
          </w:tcPr>
          <w:p w14:paraId="753423C8">
            <w:pPr>
              <w:pStyle w:val="41"/>
              <w:rPr>
                <w:color w:val="auto"/>
                <w:highlight w:val="none"/>
              </w:rPr>
            </w:pPr>
            <w:r>
              <w:rPr>
                <w:color w:val="auto"/>
                <w:highlight w:val="none"/>
              </w:rPr>
              <w:t xml:space="preserve">0.85 </w:t>
            </w:r>
          </w:p>
        </w:tc>
        <w:tc>
          <w:tcPr>
            <w:tcW w:w="1398" w:type="dxa"/>
            <w:noWrap/>
            <w:vAlign w:val="center"/>
          </w:tcPr>
          <w:p w14:paraId="6C4DAD15">
            <w:pPr>
              <w:pStyle w:val="41"/>
              <w:rPr>
                <w:color w:val="auto"/>
                <w:highlight w:val="none"/>
              </w:rPr>
            </w:pPr>
            <w:r>
              <w:rPr>
                <w:color w:val="auto"/>
                <w:highlight w:val="none"/>
              </w:rPr>
              <w:t>0.000011</w:t>
            </w:r>
          </w:p>
        </w:tc>
        <w:tc>
          <w:tcPr>
            <w:tcW w:w="872" w:type="dxa"/>
            <w:noWrap/>
            <w:vAlign w:val="center"/>
          </w:tcPr>
          <w:p w14:paraId="7AF60186">
            <w:pPr>
              <w:pStyle w:val="41"/>
              <w:rPr>
                <w:color w:val="auto"/>
                <w:highlight w:val="none"/>
              </w:rPr>
            </w:pPr>
            <w:r>
              <w:rPr>
                <w:color w:val="auto"/>
                <w:highlight w:val="none"/>
              </w:rPr>
              <w:t>0</w:t>
            </w:r>
          </w:p>
        </w:tc>
      </w:tr>
      <w:tr w14:paraId="1D5635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49F1A71F">
            <w:pPr>
              <w:pStyle w:val="41"/>
              <w:rPr>
                <w:color w:val="auto"/>
                <w:highlight w:val="none"/>
              </w:rPr>
            </w:pPr>
            <w:r>
              <w:rPr>
                <w:color w:val="auto"/>
                <w:highlight w:val="none"/>
              </w:rPr>
              <w:t>90</w:t>
            </w:r>
          </w:p>
        </w:tc>
        <w:tc>
          <w:tcPr>
            <w:tcW w:w="1254" w:type="dxa"/>
            <w:noWrap/>
            <w:vAlign w:val="center"/>
          </w:tcPr>
          <w:p w14:paraId="56A52ED2">
            <w:pPr>
              <w:pStyle w:val="41"/>
              <w:rPr>
                <w:color w:val="auto"/>
                <w:highlight w:val="none"/>
              </w:rPr>
            </w:pPr>
            <w:r>
              <w:rPr>
                <w:color w:val="auto"/>
                <w:highlight w:val="none"/>
              </w:rPr>
              <w:t>2200</w:t>
            </w:r>
          </w:p>
        </w:tc>
        <w:tc>
          <w:tcPr>
            <w:tcW w:w="1532" w:type="dxa"/>
            <w:noWrap/>
            <w:vAlign w:val="center"/>
          </w:tcPr>
          <w:p w14:paraId="1A0210F9">
            <w:pPr>
              <w:pStyle w:val="41"/>
              <w:rPr>
                <w:color w:val="auto"/>
                <w:highlight w:val="none"/>
              </w:rPr>
            </w:pPr>
            <w:r>
              <w:rPr>
                <w:color w:val="auto"/>
                <w:highlight w:val="none"/>
              </w:rPr>
              <w:t>0.000749</w:t>
            </w:r>
          </w:p>
        </w:tc>
        <w:tc>
          <w:tcPr>
            <w:tcW w:w="946" w:type="dxa"/>
            <w:noWrap/>
            <w:vAlign w:val="center"/>
          </w:tcPr>
          <w:p w14:paraId="5C51DC66">
            <w:pPr>
              <w:pStyle w:val="41"/>
              <w:rPr>
                <w:color w:val="auto"/>
                <w:highlight w:val="none"/>
              </w:rPr>
            </w:pPr>
            <w:r>
              <w:rPr>
                <w:color w:val="auto"/>
                <w:highlight w:val="none"/>
              </w:rPr>
              <w:t xml:space="preserve">0.15 </w:t>
            </w:r>
          </w:p>
        </w:tc>
        <w:tc>
          <w:tcPr>
            <w:tcW w:w="1398" w:type="dxa"/>
            <w:noWrap/>
            <w:vAlign w:val="center"/>
          </w:tcPr>
          <w:p w14:paraId="4B811AE2">
            <w:pPr>
              <w:pStyle w:val="41"/>
              <w:rPr>
                <w:color w:val="auto"/>
                <w:highlight w:val="none"/>
              </w:rPr>
            </w:pPr>
            <w:r>
              <w:rPr>
                <w:color w:val="auto"/>
                <w:highlight w:val="none"/>
              </w:rPr>
              <w:t>0.001685</w:t>
            </w:r>
          </w:p>
        </w:tc>
        <w:tc>
          <w:tcPr>
            <w:tcW w:w="872" w:type="dxa"/>
            <w:noWrap/>
            <w:vAlign w:val="center"/>
          </w:tcPr>
          <w:p w14:paraId="32F1242C">
            <w:pPr>
              <w:pStyle w:val="41"/>
              <w:rPr>
                <w:color w:val="auto"/>
                <w:highlight w:val="none"/>
              </w:rPr>
            </w:pPr>
            <w:r>
              <w:rPr>
                <w:color w:val="auto"/>
                <w:highlight w:val="none"/>
              </w:rPr>
              <w:t xml:space="preserve">0.84 </w:t>
            </w:r>
          </w:p>
        </w:tc>
        <w:tc>
          <w:tcPr>
            <w:tcW w:w="1398" w:type="dxa"/>
            <w:noWrap/>
            <w:vAlign w:val="center"/>
          </w:tcPr>
          <w:p w14:paraId="68057E2E">
            <w:pPr>
              <w:pStyle w:val="41"/>
              <w:rPr>
                <w:color w:val="auto"/>
                <w:highlight w:val="none"/>
              </w:rPr>
            </w:pPr>
            <w:r>
              <w:rPr>
                <w:color w:val="auto"/>
                <w:highlight w:val="none"/>
              </w:rPr>
              <w:t>0.000011</w:t>
            </w:r>
          </w:p>
        </w:tc>
        <w:tc>
          <w:tcPr>
            <w:tcW w:w="872" w:type="dxa"/>
            <w:noWrap/>
            <w:vAlign w:val="center"/>
          </w:tcPr>
          <w:p w14:paraId="35C68E84">
            <w:pPr>
              <w:pStyle w:val="41"/>
              <w:rPr>
                <w:color w:val="auto"/>
                <w:highlight w:val="none"/>
              </w:rPr>
            </w:pPr>
            <w:r>
              <w:rPr>
                <w:color w:val="auto"/>
                <w:highlight w:val="none"/>
              </w:rPr>
              <w:t>0</w:t>
            </w:r>
          </w:p>
        </w:tc>
      </w:tr>
      <w:tr w14:paraId="3DDF5D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0F56BC0B">
            <w:pPr>
              <w:pStyle w:val="41"/>
              <w:rPr>
                <w:color w:val="auto"/>
                <w:highlight w:val="none"/>
              </w:rPr>
            </w:pPr>
            <w:r>
              <w:rPr>
                <w:color w:val="auto"/>
                <w:highlight w:val="none"/>
              </w:rPr>
              <w:t>91</w:t>
            </w:r>
          </w:p>
        </w:tc>
        <w:tc>
          <w:tcPr>
            <w:tcW w:w="1254" w:type="dxa"/>
            <w:noWrap/>
            <w:vAlign w:val="center"/>
          </w:tcPr>
          <w:p w14:paraId="0D78A553">
            <w:pPr>
              <w:pStyle w:val="41"/>
              <w:rPr>
                <w:color w:val="auto"/>
                <w:highlight w:val="none"/>
              </w:rPr>
            </w:pPr>
            <w:r>
              <w:rPr>
                <w:color w:val="auto"/>
                <w:highlight w:val="none"/>
              </w:rPr>
              <w:t>2225</w:t>
            </w:r>
          </w:p>
        </w:tc>
        <w:tc>
          <w:tcPr>
            <w:tcW w:w="1532" w:type="dxa"/>
            <w:noWrap/>
            <w:vAlign w:val="center"/>
          </w:tcPr>
          <w:p w14:paraId="686B24E3">
            <w:pPr>
              <w:pStyle w:val="41"/>
              <w:rPr>
                <w:color w:val="auto"/>
                <w:highlight w:val="none"/>
              </w:rPr>
            </w:pPr>
            <w:r>
              <w:rPr>
                <w:color w:val="auto"/>
                <w:highlight w:val="none"/>
              </w:rPr>
              <w:t>0.000742</w:t>
            </w:r>
          </w:p>
        </w:tc>
        <w:tc>
          <w:tcPr>
            <w:tcW w:w="946" w:type="dxa"/>
            <w:noWrap/>
            <w:vAlign w:val="center"/>
          </w:tcPr>
          <w:p w14:paraId="7172FA18">
            <w:pPr>
              <w:pStyle w:val="41"/>
              <w:rPr>
                <w:color w:val="auto"/>
                <w:highlight w:val="none"/>
              </w:rPr>
            </w:pPr>
            <w:r>
              <w:rPr>
                <w:color w:val="auto"/>
                <w:highlight w:val="none"/>
              </w:rPr>
              <w:t xml:space="preserve">0.15 </w:t>
            </w:r>
          </w:p>
        </w:tc>
        <w:tc>
          <w:tcPr>
            <w:tcW w:w="1398" w:type="dxa"/>
            <w:noWrap/>
            <w:vAlign w:val="center"/>
          </w:tcPr>
          <w:p w14:paraId="62F15E8E">
            <w:pPr>
              <w:pStyle w:val="41"/>
              <w:rPr>
                <w:color w:val="auto"/>
                <w:highlight w:val="none"/>
              </w:rPr>
            </w:pPr>
            <w:r>
              <w:rPr>
                <w:color w:val="auto"/>
                <w:highlight w:val="none"/>
              </w:rPr>
              <w:t>0.001669</w:t>
            </w:r>
          </w:p>
        </w:tc>
        <w:tc>
          <w:tcPr>
            <w:tcW w:w="872" w:type="dxa"/>
            <w:noWrap/>
            <w:vAlign w:val="center"/>
          </w:tcPr>
          <w:p w14:paraId="60C566E5">
            <w:pPr>
              <w:pStyle w:val="41"/>
              <w:rPr>
                <w:color w:val="auto"/>
                <w:highlight w:val="none"/>
              </w:rPr>
            </w:pPr>
            <w:r>
              <w:rPr>
                <w:color w:val="auto"/>
                <w:highlight w:val="none"/>
              </w:rPr>
              <w:t xml:space="preserve">0.83 </w:t>
            </w:r>
          </w:p>
        </w:tc>
        <w:tc>
          <w:tcPr>
            <w:tcW w:w="1398" w:type="dxa"/>
            <w:noWrap/>
            <w:vAlign w:val="center"/>
          </w:tcPr>
          <w:p w14:paraId="10093BF5">
            <w:pPr>
              <w:pStyle w:val="41"/>
              <w:rPr>
                <w:color w:val="auto"/>
                <w:highlight w:val="none"/>
              </w:rPr>
            </w:pPr>
            <w:r>
              <w:rPr>
                <w:color w:val="auto"/>
                <w:highlight w:val="none"/>
              </w:rPr>
              <w:t>0.000011</w:t>
            </w:r>
          </w:p>
        </w:tc>
        <w:tc>
          <w:tcPr>
            <w:tcW w:w="872" w:type="dxa"/>
            <w:noWrap/>
            <w:vAlign w:val="center"/>
          </w:tcPr>
          <w:p w14:paraId="4D4DD489">
            <w:pPr>
              <w:pStyle w:val="41"/>
              <w:rPr>
                <w:color w:val="auto"/>
                <w:highlight w:val="none"/>
              </w:rPr>
            </w:pPr>
            <w:r>
              <w:rPr>
                <w:color w:val="auto"/>
                <w:highlight w:val="none"/>
              </w:rPr>
              <w:t>0</w:t>
            </w:r>
          </w:p>
        </w:tc>
      </w:tr>
      <w:tr w14:paraId="6D189D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3D21D0AA">
            <w:pPr>
              <w:pStyle w:val="41"/>
              <w:rPr>
                <w:color w:val="auto"/>
                <w:highlight w:val="none"/>
              </w:rPr>
            </w:pPr>
            <w:r>
              <w:rPr>
                <w:color w:val="auto"/>
                <w:highlight w:val="none"/>
              </w:rPr>
              <w:t>92</w:t>
            </w:r>
          </w:p>
        </w:tc>
        <w:tc>
          <w:tcPr>
            <w:tcW w:w="1254" w:type="dxa"/>
            <w:noWrap/>
            <w:vAlign w:val="center"/>
          </w:tcPr>
          <w:p w14:paraId="554EE59E">
            <w:pPr>
              <w:pStyle w:val="41"/>
              <w:rPr>
                <w:color w:val="auto"/>
                <w:highlight w:val="none"/>
              </w:rPr>
            </w:pPr>
            <w:r>
              <w:rPr>
                <w:color w:val="auto"/>
                <w:highlight w:val="none"/>
              </w:rPr>
              <w:t>2250</w:t>
            </w:r>
          </w:p>
        </w:tc>
        <w:tc>
          <w:tcPr>
            <w:tcW w:w="1532" w:type="dxa"/>
            <w:noWrap/>
            <w:vAlign w:val="center"/>
          </w:tcPr>
          <w:p w14:paraId="4ECBD2C3">
            <w:pPr>
              <w:pStyle w:val="41"/>
              <w:rPr>
                <w:color w:val="auto"/>
                <w:highlight w:val="none"/>
              </w:rPr>
            </w:pPr>
            <w:r>
              <w:rPr>
                <w:color w:val="auto"/>
                <w:highlight w:val="none"/>
              </w:rPr>
              <w:t>0.000735</w:t>
            </w:r>
          </w:p>
        </w:tc>
        <w:tc>
          <w:tcPr>
            <w:tcW w:w="946" w:type="dxa"/>
            <w:noWrap/>
            <w:vAlign w:val="center"/>
          </w:tcPr>
          <w:p w14:paraId="7C61600C">
            <w:pPr>
              <w:pStyle w:val="41"/>
              <w:rPr>
                <w:color w:val="auto"/>
                <w:highlight w:val="none"/>
              </w:rPr>
            </w:pPr>
            <w:r>
              <w:rPr>
                <w:color w:val="auto"/>
                <w:highlight w:val="none"/>
              </w:rPr>
              <w:t xml:space="preserve">0.15 </w:t>
            </w:r>
          </w:p>
        </w:tc>
        <w:tc>
          <w:tcPr>
            <w:tcW w:w="1398" w:type="dxa"/>
            <w:noWrap/>
            <w:vAlign w:val="center"/>
          </w:tcPr>
          <w:p w14:paraId="3EAEAB10">
            <w:pPr>
              <w:pStyle w:val="41"/>
              <w:rPr>
                <w:color w:val="auto"/>
                <w:highlight w:val="none"/>
              </w:rPr>
            </w:pPr>
            <w:r>
              <w:rPr>
                <w:color w:val="auto"/>
                <w:highlight w:val="none"/>
              </w:rPr>
              <w:t>0.001654</w:t>
            </w:r>
          </w:p>
        </w:tc>
        <w:tc>
          <w:tcPr>
            <w:tcW w:w="872" w:type="dxa"/>
            <w:noWrap/>
            <w:vAlign w:val="center"/>
          </w:tcPr>
          <w:p w14:paraId="4DE564A5">
            <w:pPr>
              <w:pStyle w:val="41"/>
              <w:rPr>
                <w:color w:val="auto"/>
                <w:highlight w:val="none"/>
              </w:rPr>
            </w:pPr>
            <w:r>
              <w:rPr>
                <w:color w:val="auto"/>
                <w:highlight w:val="none"/>
              </w:rPr>
              <w:t xml:space="preserve">0.83 </w:t>
            </w:r>
          </w:p>
        </w:tc>
        <w:tc>
          <w:tcPr>
            <w:tcW w:w="1398" w:type="dxa"/>
            <w:noWrap/>
            <w:vAlign w:val="center"/>
          </w:tcPr>
          <w:p w14:paraId="7452F3FE">
            <w:pPr>
              <w:pStyle w:val="41"/>
              <w:rPr>
                <w:color w:val="auto"/>
                <w:highlight w:val="none"/>
              </w:rPr>
            </w:pPr>
            <w:r>
              <w:rPr>
                <w:color w:val="auto"/>
                <w:highlight w:val="none"/>
              </w:rPr>
              <w:t>0.000011</w:t>
            </w:r>
          </w:p>
        </w:tc>
        <w:tc>
          <w:tcPr>
            <w:tcW w:w="872" w:type="dxa"/>
            <w:noWrap/>
            <w:vAlign w:val="center"/>
          </w:tcPr>
          <w:p w14:paraId="2D674040">
            <w:pPr>
              <w:pStyle w:val="41"/>
              <w:rPr>
                <w:color w:val="auto"/>
                <w:highlight w:val="none"/>
              </w:rPr>
            </w:pPr>
            <w:r>
              <w:rPr>
                <w:color w:val="auto"/>
                <w:highlight w:val="none"/>
              </w:rPr>
              <w:t>0</w:t>
            </w:r>
          </w:p>
        </w:tc>
      </w:tr>
      <w:tr w14:paraId="547368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6451F36D">
            <w:pPr>
              <w:pStyle w:val="41"/>
              <w:rPr>
                <w:color w:val="auto"/>
                <w:highlight w:val="none"/>
              </w:rPr>
            </w:pPr>
            <w:r>
              <w:rPr>
                <w:color w:val="auto"/>
                <w:highlight w:val="none"/>
              </w:rPr>
              <w:t>93</w:t>
            </w:r>
          </w:p>
        </w:tc>
        <w:tc>
          <w:tcPr>
            <w:tcW w:w="1254" w:type="dxa"/>
            <w:noWrap/>
            <w:vAlign w:val="center"/>
          </w:tcPr>
          <w:p w14:paraId="36F48C04">
            <w:pPr>
              <w:pStyle w:val="41"/>
              <w:rPr>
                <w:color w:val="auto"/>
                <w:highlight w:val="none"/>
              </w:rPr>
            </w:pPr>
            <w:r>
              <w:rPr>
                <w:color w:val="auto"/>
                <w:highlight w:val="none"/>
              </w:rPr>
              <w:t>2275</w:t>
            </w:r>
          </w:p>
        </w:tc>
        <w:tc>
          <w:tcPr>
            <w:tcW w:w="1532" w:type="dxa"/>
            <w:noWrap/>
            <w:vAlign w:val="center"/>
          </w:tcPr>
          <w:p w14:paraId="5EAC531D">
            <w:pPr>
              <w:pStyle w:val="41"/>
              <w:rPr>
                <w:color w:val="auto"/>
                <w:highlight w:val="none"/>
              </w:rPr>
            </w:pPr>
            <w:r>
              <w:rPr>
                <w:color w:val="auto"/>
                <w:highlight w:val="none"/>
              </w:rPr>
              <w:t>0.000728</w:t>
            </w:r>
          </w:p>
        </w:tc>
        <w:tc>
          <w:tcPr>
            <w:tcW w:w="946" w:type="dxa"/>
            <w:noWrap/>
            <w:vAlign w:val="center"/>
          </w:tcPr>
          <w:p w14:paraId="13FD5B53">
            <w:pPr>
              <w:pStyle w:val="41"/>
              <w:rPr>
                <w:color w:val="auto"/>
                <w:highlight w:val="none"/>
              </w:rPr>
            </w:pPr>
            <w:r>
              <w:rPr>
                <w:color w:val="auto"/>
                <w:highlight w:val="none"/>
              </w:rPr>
              <w:t xml:space="preserve">0.15 </w:t>
            </w:r>
          </w:p>
        </w:tc>
        <w:tc>
          <w:tcPr>
            <w:tcW w:w="1398" w:type="dxa"/>
            <w:noWrap/>
            <w:vAlign w:val="center"/>
          </w:tcPr>
          <w:p w14:paraId="79A5462E">
            <w:pPr>
              <w:pStyle w:val="41"/>
              <w:rPr>
                <w:color w:val="auto"/>
                <w:highlight w:val="none"/>
              </w:rPr>
            </w:pPr>
            <w:r>
              <w:rPr>
                <w:color w:val="auto"/>
                <w:highlight w:val="none"/>
              </w:rPr>
              <w:t>0.001639</w:t>
            </w:r>
          </w:p>
        </w:tc>
        <w:tc>
          <w:tcPr>
            <w:tcW w:w="872" w:type="dxa"/>
            <w:noWrap/>
            <w:vAlign w:val="center"/>
          </w:tcPr>
          <w:p w14:paraId="54825A68">
            <w:pPr>
              <w:pStyle w:val="41"/>
              <w:rPr>
                <w:color w:val="auto"/>
                <w:highlight w:val="none"/>
              </w:rPr>
            </w:pPr>
            <w:r>
              <w:rPr>
                <w:color w:val="auto"/>
                <w:highlight w:val="none"/>
              </w:rPr>
              <w:t xml:space="preserve">0.82 </w:t>
            </w:r>
          </w:p>
        </w:tc>
        <w:tc>
          <w:tcPr>
            <w:tcW w:w="1398" w:type="dxa"/>
            <w:noWrap/>
            <w:vAlign w:val="center"/>
          </w:tcPr>
          <w:p w14:paraId="27D31FD3">
            <w:pPr>
              <w:pStyle w:val="41"/>
              <w:rPr>
                <w:color w:val="auto"/>
                <w:highlight w:val="none"/>
              </w:rPr>
            </w:pPr>
            <w:r>
              <w:rPr>
                <w:color w:val="auto"/>
                <w:highlight w:val="none"/>
              </w:rPr>
              <w:t>0.000011</w:t>
            </w:r>
          </w:p>
        </w:tc>
        <w:tc>
          <w:tcPr>
            <w:tcW w:w="872" w:type="dxa"/>
            <w:noWrap/>
            <w:vAlign w:val="center"/>
          </w:tcPr>
          <w:p w14:paraId="6978A589">
            <w:pPr>
              <w:pStyle w:val="41"/>
              <w:rPr>
                <w:color w:val="auto"/>
                <w:highlight w:val="none"/>
              </w:rPr>
            </w:pPr>
            <w:r>
              <w:rPr>
                <w:color w:val="auto"/>
                <w:highlight w:val="none"/>
              </w:rPr>
              <w:t>0</w:t>
            </w:r>
          </w:p>
        </w:tc>
      </w:tr>
      <w:tr w14:paraId="439E6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6A7696D6">
            <w:pPr>
              <w:pStyle w:val="41"/>
              <w:rPr>
                <w:color w:val="auto"/>
                <w:highlight w:val="none"/>
              </w:rPr>
            </w:pPr>
            <w:r>
              <w:rPr>
                <w:color w:val="auto"/>
                <w:highlight w:val="none"/>
              </w:rPr>
              <w:t>94</w:t>
            </w:r>
          </w:p>
        </w:tc>
        <w:tc>
          <w:tcPr>
            <w:tcW w:w="1254" w:type="dxa"/>
            <w:noWrap/>
            <w:vAlign w:val="center"/>
          </w:tcPr>
          <w:p w14:paraId="628589A6">
            <w:pPr>
              <w:pStyle w:val="41"/>
              <w:rPr>
                <w:color w:val="auto"/>
                <w:highlight w:val="none"/>
              </w:rPr>
            </w:pPr>
            <w:r>
              <w:rPr>
                <w:color w:val="auto"/>
                <w:highlight w:val="none"/>
              </w:rPr>
              <w:t>2300</w:t>
            </w:r>
          </w:p>
        </w:tc>
        <w:tc>
          <w:tcPr>
            <w:tcW w:w="1532" w:type="dxa"/>
            <w:noWrap/>
            <w:vAlign w:val="center"/>
          </w:tcPr>
          <w:p w14:paraId="37FE9373">
            <w:pPr>
              <w:pStyle w:val="41"/>
              <w:rPr>
                <w:color w:val="auto"/>
                <w:highlight w:val="none"/>
              </w:rPr>
            </w:pPr>
            <w:r>
              <w:rPr>
                <w:color w:val="auto"/>
                <w:highlight w:val="none"/>
              </w:rPr>
              <w:t>0.000722</w:t>
            </w:r>
          </w:p>
        </w:tc>
        <w:tc>
          <w:tcPr>
            <w:tcW w:w="946" w:type="dxa"/>
            <w:noWrap/>
            <w:vAlign w:val="center"/>
          </w:tcPr>
          <w:p w14:paraId="3C6B7D11">
            <w:pPr>
              <w:pStyle w:val="41"/>
              <w:rPr>
                <w:color w:val="auto"/>
                <w:highlight w:val="none"/>
              </w:rPr>
            </w:pPr>
            <w:r>
              <w:rPr>
                <w:color w:val="auto"/>
                <w:highlight w:val="none"/>
              </w:rPr>
              <w:t xml:space="preserve">0.14 </w:t>
            </w:r>
          </w:p>
        </w:tc>
        <w:tc>
          <w:tcPr>
            <w:tcW w:w="1398" w:type="dxa"/>
            <w:noWrap/>
            <w:vAlign w:val="center"/>
          </w:tcPr>
          <w:p w14:paraId="02A9CA4C">
            <w:pPr>
              <w:pStyle w:val="41"/>
              <w:rPr>
                <w:color w:val="auto"/>
                <w:highlight w:val="none"/>
              </w:rPr>
            </w:pPr>
            <w:r>
              <w:rPr>
                <w:color w:val="auto"/>
                <w:highlight w:val="none"/>
              </w:rPr>
              <w:t>0.001624</w:t>
            </w:r>
          </w:p>
        </w:tc>
        <w:tc>
          <w:tcPr>
            <w:tcW w:w="872" w:type="dxa"/>
            <w:noWrap/>
            <w:vAlign w:val="center"/>
          </w:tcPr>
          <w:p w14:paraId="46C28646">
            <w:pPr>
              <w:pStyle w:val="41"/>
              <w:rPr>
                <w:color w:val="auto"/>
                <w:highlight w:val="none"/>
              </w:rPr>
            </w:pPr>
            <w:r>
              <w:rPr>
                <w:color w:val="auto"/>
                <w:highlight w:val="none"/>
              </w:rPr>
              <w:t xml:space="preserve">0.81 </w:t>
            </w:r>
          </w:p>
        </w:tc>
        <w:tc>
          <w:tcPr>
            <w:tcW w:w="1398" w:type="dxa"/>
            <w:noWrap/>
            <w:vAlign w:val="center"/>
          </w:tcPr>
          <w:p w14:paraId="2FA5FBE8">
            <w:pPr>
              <w:pStyle w:val="41"/>
              <w:rPr>
                <w:color w:val="auto"/>
                <w:highlight w:val="none"/>
              </w:rPr>
            </w:pPr>
            <w:r>
              <w:rPr>
                <w:color w:val="auto"/>
                <w:highlight w:val="none"/>
              </w:rPr>
              <w:t>0.000011</w:t>
            </w:r>
          </w:p>
        </w:tc>
        <w:tc>
          <w:tcPr>
            <w:tcW w:w="872" w:type="dxa"/>
            <w:noWrap/>
            <w:vAlign w:val="center"/>
          </w:tcPr>
          <w:p w14:paraId="0DBDC0E9">
            <w:pPr>
              <w:pStyle w:val="41"/>
              <w:rPr>
                <w:color w:val="auto"/>
                <w:highlight w:val="none"/>
              </w:rPr>
            </w:pPr>
            <w:r>
              <w:rPr>
                <w:color w:val="auto"/>
                <w:highlight w:val="none"/>
              </w:rPr>
              <w:t>0</w:t>
            </w:r>
          </w:p>
        </w:tc>
      </w:tr>
      <w:tr w14:paraId="26E72D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2E961109">
            <w:pPr>
              <w:pStyle w:val="41"/>
              <w:rPr>
                <w:color w:val="auto"/>
                <w:highlight w:val="none"/>
              </w:rPr>
            </w:pPr>
            <w:r>
              <w:rPr>
                <w:color w:val="auto"/>
                <w:highlight w:val="none"/>
              </w:rPr>
              <w:t>95</w:t>
            </w:r>
          </w:p>
        </w:tc>
        <w:tc>
          <w:tcPr>
            <w:tcW w:w="1254" w:type="dxa"/>
            <w:noWrap/>
            <w:vAlign w:val="center"/>
          </w:tcPr>
          <w:p w14:paraId="4E186427">
            <w:pPr>
              <w:pStyle w:val="41"/>
              <w:rPr>
                <w:color w:val="auto"/>
                <w:highlight w:val="none"/>
              </w:rPr>
            </w:pPr>
            <w:r>
              <w:rPr>
                <w:color w:val="auto"/>
                <w:highlight w:val="none"/>
              </w:rPr>
              <w:t>2325</w:t>
            </w:r>
          </w:p>
        </w:tc>
        <w:tc>
          <w:tcPr>
            <w:tcW w:w="1532" w:type="dxa"/>
            <w:noWrap/>
            <w:vAlign w:val="center"/>
          </w:tcPr>
          <w:p w14:paraId="18C71CDD">
            <w:pPr>
              <w:pStyle w:val="41"/>
              <w:rPr>
                <w:color w:val="auto"/>
                <w:highlight w:val="none"/>
              </w:rPr>
            </w:pPr>
            <w:r>
              <w:rPr>
                <w:color w:val="auto"/>
                <w:highlight w:val="none"/>
              </w:rPr>
              <w:t>0.000715</w:t>
            </w:r>
          </w:p>
        </w:tc>
        <w:tc>
          <w:tcPr>
            <w:tcW w:w="946" w:type="dxa"/>
            <w:noWrap/>
            <w:vAlign w:val="center"/>
          </w:tcPr>
          <w:p w14:paraId="29AB04F5">
            <w:pPr>
              <w:pStyle w:val="41"/>
              <w:rPr>
                <w:color w:val="auto"/>
                <w:highlight w:val="none"/>
              </w:rPr>
            </w:pPr>
            <w:r>
              <w:rPr>
                <w:color w:val="auto"/>
                <w:highlight w:val="none"/>
              </w:rPr>
              <w:t xml:space="preserve">0.14 </w:t>
            </w:r>
          </w:p>
        </w:tc>
        <w:tc>
          <w:tcPr>
            <w:tcW w:w="1398" w:type="dxa"/>
            <w:noWrap/>
            <w:vAlign w:val="center"/>
          </w:tcPr>
          <w:p w14:paraId="20E9E719">
            <w:pPr>
              <w:pStyle w:val="41"/>
              <w:rPr>
                <w:color w:val="auto"/>
                <w:highlight w:val="none"/>
              </w:rPr>
            </w:pPr>
            <w:r>
              <w:rPr>
                <w:color w:val="auto"/>
                <w:highlight w:val="none"/>
              </w:rPr>
              <w:t>0.001609</w:t>
            </w:r>
          </w:p>
        </w:tc>
        <w:tc>
          <w:tcPr>
            <w:tcW w:w="872" w:type="dxa"/>
            <w:noWrap/>
            <w:vAlign w:val="center"/>
          </w:tcPr>
          <w:p w14:paraId="4853777C">
            <w:pPr>
              <w:pStyle w:val="41"/>
              <w:rPr>
                <w:color w:val="auto"/>
                <w:highlight w:val="none"/>
              </w:rPr>
            </w:pPr>
            <w:r>
              <w:rPr>
                <w:color w:val="auto"/>
                <w:highlight w:val="none"/>
              </w:rPr>
              <w:t xml:space="preserve">0.80 </w:t>
            </w:r>
          </w:p>
        </w:tc>
        <w:tc>
          <w:tcPr>
            <w:tcW w:w="1398" w:type="dxa"/>
            <w:noWrap/>
            <w:vAlign w:val="center"/>
          </w:tcPr>
          <w:p w14:paraId="451B9BE0">
            <w:pPr>
              <w:pStyle w:val="41"/>
              <w:rPr>
                <w:color w:val="auto"/>
                <w:highlight w:val="none"/>
              </w:rPr>
            </w:pPr>
            <w:r>
              <w:rPr>
                <w:color w:val="auto"/>
                <w:highlight w:val="none"/>
              </w:rPr>
              <w:t>0.000011</w:t>
            </w:r>
          </w:p>
        </w:tc>
        <w:tc>
          <w:tcPr>
            <w:tcW w:w="872" w:type="dxa"/>
            <w:noWrap/>
            <w:vAlign w:val="center"/>
          </w:tcPr>
          <w:p w14:paraId="4F37B352">
            <w:pPr>
              <w:pStyle w:val="41"/>
              <w:rPr>
                <w:color w:val="auto"/>
                <w:highlight w:val="none"/>
              </w:rPr>
            </w:pPr>
            <w:r>
              <w:rPr>
                <w:color w:val="auto"/>
                <w:highlight w:val="none"/>
              </w:rPr>
              <w:t>0</w:t>
            </w:r>
          </w:p>
        </w:tc>
      </w:tr>
      <w:tr w14:paraId="0B77C3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0DCB4F1F">
            <w:pPr>
              <w:pStyle w:val="41"/>
              <w:rPr>
                <w:color w:val="auto"/>
                <w:highlight w:val="none"/>
              </w:rPr>
            </w:pPr>
            <w:r>
              <w:rPr>
                <w:color w:val="auto"/>
                <w:highlight w:val="none"/>
              </w:rPr>
              <w:t>96</w:t>
            </w:r>
          </w:p>
        </w:tc>
        <w:tc>
          <w:tcPr>
            <w:tcW w:w="1254" w:type="dxa"/>
            <w:noWrap/>
            <w:vAlign w:val="center"/>
          </w:tcPr>
          <w:p w14:paraId="4BA70405">
            <w:pPr>
              <w:pStyle w:val="41"/>
              <w:rPr>
                <w:color w:val="auto"/>
                <w:highlight w:val="none"/>
              </w:rPr>
            </w:pPr>
            <w:r>
              <w:rPr>
                <w:color w:val="auto"/>
                <w:highlight w:val="none"/>
              </w:rPr>
              <w:t>2350</w:t>
            </w:r>
          </w:p>
        </w:tc>
        <w:tc>
          <w:tcPr>
            <w:tcW w:w="1532" w:type="dxa"/>
            <w:noWrap/>
            <w:vAlign w:val="center"/>
          </w:tcPr>
          <w:p w14:paraId="615210A7">
            <w:pPr>
              <w:pStyle w:val="41"/>
              <w:rPr>
                <w:color w:val="auto"/>
                <w:highlight w:val="none"/>
              </w:rPr>
            </w:pPr>
            <w:r>
              <w:rPr>
                <w:color w:val="auto"/>
                <w:highlight w:val="none"/>
              </w:rPr>
              <w:t>0.000709</w:t>
            </w:r>
          </w:p>
        </w:tc>
        <w:tc>
          <w:tcPr>
            <w:tcW w:w="946" w:type="dxa"/>
            <w:noWrap/>
            <w:vAlign w:val="center"/>
          </w:tcPr>
          <w:p w14:paraId="2455B288">
            <w:pPr>
              <w:pStyle w:val="41"/>
              <w:rPr>
                <w:color w:val="auto"/>
                <w:highlight w:val="none"/>
              </w:rPr>
            </w:pPr>
            <w:r>
              <w:rPr>
                <w:color w:val="auto"/>
                <w:highlight w:val="none"/>
              </w:rPr>
              <w:t xml:space="preserve">0.14 </w:t>
            </w:r>
          </w:p>
        </w:tc>
        <w:tc>
          <w:tcPr>
            <w:tcW w:w="1398" w:type="dxa"/>
            <w:noWrap/>
            <w:vAlign w:val="center"/>
          </w:tcPr>
          <w:p w14:paraId="06AED969">
            <w:pPr>
              <w:pStyle w:val="41"/>
              <w:rPr>
                <w:color w:val="auto"/>
                <w:highlight w:val="none"/>
              </w:rPr>
            </w:pPr>
            <w:r>
              <w:rPr>
                <w:color w:val="auto"/>
                <w:highlight w:val="none"/>
              </w:rPr>
              <w:t>0.001594</w:t>
            </w:r>
          </w:p>
        </w:tc>
        <w:tc>
          <w:tcPr>
            <w:tcW w:w="872" w:type="dxa"/>
            <w:noWrap/>
            <w:vAlign w:val="center"/>
          </w:tcPr>
          <w:p w14:paraId="7CD747FD">
            <w:pPr>
              <w:pStyle w:val="41"/>
              <w:rPr>
                <w:color w:val="auto"/>
                <w:highlight w:val="none"/>
              </w:rPr>
            </w:pPr>
            <w:r>
              <w:rPr>
                <w:color w:val="auto"/>
                <w:highlight w:val="none"/>
              </w:rPr>
              <w:t xml:space="preserve">0.80 </w:t>
            </w:r>
          </w:p>
        </w:tc>
        <w:tc>
          <w:tcPr>
            <w:tcW w:w="1398" w:type="dxa"/>
            <w:noWrap/>
            <w:vAlign w:val="center"/>
          </w:tcPr>
          <w:p w14:paraId="69F1B39D">
            <w:pPr>
              <w:pStyle w:val="41"/>
              <w:rPr>
                <w:color w:val="auto"/>
                <w:highlight w:val="none"/>
              </w:rPr>
            </w:pPr>
            <w:r>
              <w:rPr>
                <w:color w:val="auto"/>
                <w:highlight w:val="none"/>
              </w:rPr>
              <w:t>0.00001</w:t>
            </w:r>
          </w:p>
        </w:tc>
        <w:tc>
          <w:tcPr>
            <w:tcW w:w="872" w:type="dxa"/>
            <w:noWrap/>
            <w:vAlign w:val="center"/>
          </w:tcPr>
          <w:p w14:paraId="78846DDE">
            <w:pPr>
              <w:pStyle w:val="41"/>
              <w:rPr>
                <w:color w:val="auto"/>
                <w:highlight w:val="none"/>
              </w:rPr>
            </w:pPr>
            <w:r>
              <w:rPr>
                <w:color w:val="auto"/>
                <w:highlight w:val="none"/>
              </w:rPr>
              <w:t>0</w:t>
            </w:r>
          </w:p>
        </w:tc>
      </w:tr>
      <w:tr w14:paraId="397BE8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0C9B9328">
            <w:pPr>
              <w:pStyle w:val="41"/>
              <w:rPr>
                <w:color w:val="auto"/>
                <w:highlight w:val="none"/>
              </w:rPr>
            </w:pPr>
            <w:r>
              <w:rPr>
                <w:color w:val="auto"/>
                <w:highlight w:val="none"/>
              </w:rPr>
              <w:t>97</w:t>
            </w:r>
          </w:p>
        </w:tc>
        <w:tc>
          <w:tcPr>
            <w:tcW w:w="1254" w:type="dxa"/>
            <w:noWrap/>
            <w:vAlign w:val="center"/>
          </w:tcPr>
          <w:p w14:paraId="476912F0">
            <w:pPr>
              <w:pStyle w:val="41"/>
              <w:rPr>
                <w:color w:val="auto"/>
                <w:highlight w:val="none"/>
              </w:rPr>
            </w:pPr>
            <w:r>
              <w:rPr>
                <w:color w:val="auto"/>
                <w:highlight w:val="none"/>
              </w:rPr>
              <w:t>2375</w:t>
            </w:r>
          </w:p>
        </w:tc>
        <w:tc>
          <w:tcPr>
            <w:tcW w:w="1532" w:type="dxa"/>
            <w:noWrap/>
            <w:vAlign w:val="center"/>
          </w:tcPr>
          <w:p w14:paraId="25085DE0">
            <w:pPr>
              <w:pStyle w:val="41"/>
              <w:rPr>
                <w:color w:val="auto"/>
                <w:highlight w:val="none"/>
              </w:rPr>
            </w:pPr>
            <w:r>
              <w:rPr>
                <w:color w:val="auto"/>
                <w:highlight w:val="none"/>
              </w:rPr>
              <w:t>0.000703</w:t>
            </w:r>
          </w:p>
        </w:tc>
        <w:tc>
          <w:tcPr>
            <w:tcW w:w="946" w:type="dxa"/>
            <w:noWrap/>
            <w:vAlign w:val="center"/>
          </w:tcPr>
          <w:p w14:paraId="4D06284D">
            <w:pPr>
              <w:pStyle w:val="41"/>
              <w:rPr>
                <w:color w:val="auto"/>
                <w:highlight w:val="none"/>
              </w:rPr>
            </w:pPr>
            <w:r>
              <w:rPr>
                <w:color w:val="auto"/>
                <w:highlight w:val="none"/>
              </w:rPr>
              <w:t xml:space="preserve">0.14 </w:t>
            </w:r>
          </w:p>
        </w:tc>
        <w:tc>
          <w:tcPr>
            <w:tcW w:w="1398" w:type="dxa"/>
            <w:noWrap/>
            <w:vAlign w:val="center"/>
          </w:tcPr>
          <w:p w14:paraId="0044E838">
            <w:pPr>
              <w:pStyle w:val="41"/>
              <w:rPr>
                <w:color w:val="auto"/>
                <w:highlight w:val="none"/>
              </w:rPr>
            </w:pPr>
            <w:r>
              <w:rPr>
                <w:color w:val="auto"/>
                <w:highlight w:val="none"/>
              </w:rPr>
              <w:t>0.00158</w:t>
            </w:r>
          </w:p>
        </w:tc>
        <w:tc>
          <w:tcPr>
            <w:tcW w:w="872" w:type="dxa"/>
            <w:noWrap/>
            <w:vAlign w:val="center"/>
          </w:tcPr>
          <w:p w14:paraId="6E8D6271">
            <w:pPr>
              <w:pStyle w:val="41"/>
              <w:rPr>
                <w:color w:val="auto"/>
                <w:highlight w:val="none"/>
              </w:rPr>
            </w:pPr>
            <w:r>
              <w:rPr>
                <w:color w:val="auto"/>
                <w:highlight w:val="none"/>
              </w:rPr>
              <w:t xml:space="preserve">0.79 </w:t>
            </w:r>
          </w:p>
        </w:tc>
        <w:tc>
          <w:tcPr>
            <w:tcW w:w="1398" w:type="dxa"/>
            <w:noWrap/>
            <w:vAlign w:val="center"/>
          </w:tcPr>
          <w:p w14:paraId="41066870">
            <w:pPr>
              <w:pStyle w:val="41"/>
              <w:rPr>
                <w:color w:val="auto"/>
                <w:highlight w:val="none"/>
              </w:rPr>
            </w:pPr>
            <w:r>
              <w:rPr>
                <w:color w:val="auto"/>
                <w:highlight w:val="none"/>
              </w:rPr>
              <w:t>0.00001</w:t>
            </w:r>
          </w:p>
        </w:tc>
        <w:tc>
          <w:tcPr>
            <w:tcW w:w="872" w:type="dxa"/>
            <w:noWrap/>
            <w:vAlign w:val="center"/>
          </w:tcPr>
          <w:p w14:paraId="2DE15B64">
            <w:pPr>
              <w:pStyle w:val="41"/>
              <w:rPr>
                <w:color w:val="auto"/>
                <w:highlight w:val="none"/>
              </w:rPr>
            </w:pPr>
            <w:r>
              <w:rPr>
                <w:color w:val="auto"/>
                <w:highlight w:val="none"/>
              </w:rPr>
              <w:t>0</w:t>
            </w:r>
          </w:p>
        </w:tc>
      </w:tr>
      <w:tr w14:paraId="7C2636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61A04DF4">
            <w:pPr>
              <w:pStyle w:val="41"/>
              <w:rPr>
                <w:color w:val="auto"/>
                <w:highlight w:val="none"/>
              </w:rPr>
            </w:pPr>
            <w:r>
              <w:rPr>
                <w:color w:val="auto"/>
                <w:highlight w:val="none"/>
              </w:rPr>
              <w:t>98</w:t>
            </w:r>
          </w:p>
        </w:tc>
        <w:tc>
          <w:tcPr>
            <w:tcW w:w="1254" w:type="dxa"/>
            <w:noWrap/>
            <w:vAlign w:val="center"/>
          </w:tcPr>
          <w:p w14:paraId="5DDB7F47">
            <w:pPr>
              <w:pStyle w:val="41"/>
              <w:rPr>
                <w:color w:val="auto"/>
                <w:highlight w:val="none"/>
              </w:rPr>
            </w:pPr>
            <w:r>
              <w:rPr>
                <w:color w:val="auto"/>
                <w:highlight w:val="none"/>
              </w:rPr>
              <w:t>2400</w:t>
            </w:r>
          </w:p>
        </w:tc>
        <w:tc>
          <w:tcPr>
            <w:tcW w:w="1532" w:type="dxa"/>
            <w:noWrap/>
            <w:vAlign w:val="center"/>
          </w:tcPr>
          <w:p w14:paraId="48AEA760">
            <w:pPr>
              <w:pStyle w:val="41"/>
              <w:rPr>
                <w:color w:val="auto"/>
                <w:highlight w:val="none"/>
              </w:rPr>
            </w:pPr>
            <w:r>
              <w:rPr>
                <w:color w:val="auto"/>
                <w:highlight w:val="none"/>
              </w:rPr>
              <w:t>0.000696</w:t>
            </w:r>
          </w:p>
        </w:tc>
        <w:tc>
          <w:tcPr>
            <w:tcW w:w="946" w:type="dxa"/>
            <w:noWrap/>
            <w:vAlign w:val="center"/>
          </w:tcPr>
          <w:p w14:paraId="6F57ECE2">
            <w:pPr>
              <w:pStyle w:val="41"/>
              <w:rPr>
                <w:color w:val="auto"/>
                <w:highlight w:val="none"/>
              </w:rPr>
            </w:pPr>
            <w:r>
              <w:rPr>
                <w:color w:val="auto"/>
                <w:highlight w:val="none"/>
              </w:rPr>
              <w:t xml:space="preserve">0.14 </w:t>
            </w:r>
          </w:p>
        </w:tc>
        <w:tc>
          <w:tcPr>
            <w:tcW w:w="1398" w:type="dxa"/>
            <w:noWrap/>
            <w:vAlign w:val="center"/>
          </w:tcPr>
          <w:p w14:paraId="1B27803B">
            <w:pPr>
              <w:pStyle w:val="41"/>
              <w:rPr>
                <w:color w:val="auto"/>
                <w:highlight w:val="none"/>
              </w:rPr>
            </w:pPr>
            <w:r>
              <w:rPr>
                <w:color w:val="auto"/>
                <w:highlight w:val="none"/>
              </w:rPr>
              <w:t>0.001566</w:t>
            </w:r>
          </w:p>
        </w:tc>
        <w:tc>
          <w:tcPr>
            <w:tcW w:w="872" w:type="dxa"/>
            <w:noWrap/>
            <w:vAlign w:val="center"/>
          </w:tcPr>
          <w:p w14:paraId="556F2116">
            <w:pPr>
              <w:pStyle w:val="41"/>
              <w:rPr>
                <w:color w:val="auto"/>
                <w:highlight w:val="none"/>
              </w:rPr>
            </w:pPr>
            <w:r>
              <w:rPr>
                <w:color w:val="auto"/>
                <w:highlight w:val="none"/>
              </w:rPr>
              <w:t xml:space="preserve">0.78 </w:t>
            </w:r>
          </w:p>
        </w:tc>
        <w:tc>
          <w:tcPr>
            <w:tcW w:w="1398" w:type="dxa"/>
            <w:noWrap/>
            <w:vAlign w:val="center"/>
          </w:tcPr>
          <w:p w14:paraId="2355380A">
            <w:pPr>
              <w:pStyle w:val="41"/>
              <w:rPr>
                <w:color w:val="auto"/>
                <w:highlight w:val="none"/>
              </w:rPr>
            </w:pPr>
            <w:r>
              <w:rPr>
                <w:color w:val="auto"/>
                <w:highlight w:val="none"/>
              </w:rPr>
              <w:t>0.00001</w:t>
            </w:r>
          </w:p>
        </w:tc>
        <w:tc>
          <w:tcPr>
            <w:tcW w:w="872" w:type="dxa"/>
            <w:noWrap/>
            <w:vAlign w:val="center"/>
          </w:tcPr>
          <w:p w14:paraId="17539274">
            <w:pPr>
              <w:pStyle w:val="41"/>
              <w:rPr>
                <w:color w:val="auto"/>
                <w:highlight w:val="none"/>
              </w:rPr>
            </w:pPr>
            <w:r>
              <w:rPr>
                <w:color w:val="auto"/>
                <w:highlight w:val="none"/>
              </w:rPr>
              <w:t>0</w:t>
            </w:r>
          </w:p>
        </w:tc>
      </w:tr>
      <w:tr w14:paraId="244AAC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60F8FB24">
            <w:pPr>
              <w:pStyle w:val="41"/>
              <w:rPr>
                <w:color w:val="auto"/>
                <w:highlight w:val="none"/>
              </w:rPr>
            </w:pPr>
            <w:r>
              <w:rPr>
                <w:color w:val="auto"/>
                <w:highlight w:val="none"/>
              </w:rPr>
              <w:t>99</w:t>
            </w:r>
          </w:p>
        </w:tc>
        <w:tc>
          <w:tcPr>
            <w:tcW w:w="1254" w:type="dxa"/>
            <w:noWrap/>
            <w:vAlign w:val="center"/>
          </w:tcPr>
          <w:p w14:paraId="4AC78718">
            <w:pPr>
              <w:pStyle w:val="41"/>
              <w:rPr>
                <w:color w:val="auto"/>
                <w:highlight w:val="none"/>
              </w:rPr>
            </w:pPr>
            <w:r>
              <w:rPr>
                <w:color w:val="auto"/>
                <w:highlight w:val="none"/>
              </w:rPr>
              <w:t>2425</w:t>
            </w:r>
          </w:p>
        </w:tc>
        <w:tc>
          <w:tcPr>
            <w:tcW w:w="1532" w:type="dxa"/>
            <w:noWrap/>
            <w:vAlign w:val="center"/>
          </w:tcPr>
          <w:p w14:paraId="63967696">
            <w:pPr>
              <w:pStyle w:val="41"/>
              <w:rPr>
                <w:color w:val="auto"/>
                <w:highlight w:val="none"/>
              </w:rPr>
            </w:pPr>
            <w:r>
              <w:rPr>
                <w:color w:val="auto"/>
                <w:highlight w:val="none"/>
              </w:rPr>
              <w:t>0.00069</w:t>
            </w:r>
          </w:p>
        </w:tc>
        <w:tc>
          <w:tcPr>
            <w:tcW w:w="946" w:type="dxa"/>
            <w:noWrap/>
            <w:vAlign w:val="center"/>
          </w:tcPr>
          <w:p w14:paraId="1E5054A7">
            <w:pPr>
              <w:pStyle w:val="41"/>
              <w:rPr>
                <w:color w:val="auto"/>
                <w:highlight w:val="none"/>
              </w:rPr>
            </w:pPr>
            <w:r>
              <w:rPr>
                <w:color w:val="auto"/>
                <w:highlight w:val="none"/>
              </w:rPr>
              <w:t xml:space="preserve">0.14 </w:t>
            </w:r>
          </w:p>
        </w:tc>
        <w:tc>
          <w:tcPr>
            <w:tcW w:w="1398" w:type="dxa"/>
            <w:noWrap/>
            <w:vAlign w:val="center"/>
          </w:tcPr>
          <w:p w14:paraId="0ACC3D53">
            <w:pPr>
              <w:pStyle w:val="41"/>
              <w:rPr>
                <w:color w:val="auto"/>
                <w:highlight w:val="none"/>
              </w:rPr>
            </w:pPr>
            <w:r>
              <w:rPr>
                <w:color w:val="auto"/>
                <w:highlight w:val="none"/>
              </w:rPr>
              <w:t>0.001553</w:t>
            </w:r>
          </w:p>
        </w:tc>
        <w:tc>
          <w:tcPr>
            <w:tcW w:w="872" w:type="dxa"/>
            <w:noWrap/>
            <w:vAlign w:val="center"/>
          </w:tcPr>
          <w:p w14:paraId="58594489">
            <w:pPr>
              <w:pStyle w:val="41"/>
              <w:rPr>
                <w:color w:val="auto"/>
                <w:highlight w:val="none"/>
              </w:rPr>
            </w:pPr>
            <w:r>
              <w:rPr>
                <w:color w:val="auto"/>
                <w:highlight w:val="none"/>
              </w:rPr>
              <w:t xml:space="preserve">0.78 </w:t>
            </w:r>
          </w:p>
        </w:tc>
        <w:tc>
          <w:tcPr>
            <w:tcW w:w="1398" w:type="dxa"/>
            <w:noWrap/>
            <w:vAlign w:val="center"/>
          </w:tcPr>
          <w:p w14:paraId="73A71C20">
            <w:pPr>
              <w:pStyle w:val="41"/>
              <w:rPr>
                <w:color w:val="auto"/>
                <w:highlight w:val="none"/>
              </w:rPr>
            </w:pPr>
            <w:r>
              <w:rPr>
                <w:color w:val="auto"/>
                <w:highlight w:val="none"/>
              </w:rPr>
              <w:t>0.00001</w:t>
            </w:r>
          </w:p>
        </w:tc>
        <w:tc>
          <w:tcPr>
            <w:tcW w:w="872" w:type="dxa"/>
            <w:noWrap/>
            <w:vAlign w:val="center"/>
          </w:tcPr>
          <w:p w14:paraId="6CEEE817">
            <w:pPr>
              <w:pStyle w:val="41"/>
              <w:rPr>
                <w:color w:val="auto"/>
                <w:highlight w:val="none"/>
              </w:rPr>
            </w:pPr>
            <w:r>
              <w:rPr>
                <w:color w:val="auto"/>
                <w:highlight w:val="none"/>
              </w:rPr>
              <w:t>0</w:t>
            </w:r>
          </w:p>
        </w:tc>
      </w:tr>
      <w:tr w14:paraId="369302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5FD8A93B">
            <w:pPr>
              <w:pStyle w:val="41"/>
              <w:rPr>
                <w:color w:val="auto"/>
                <w:highlight w:val="none"/>
              </w:rPr>
            </w:pPr>
            <w:r>
              <w:rPr>
                <w:color w:val="auto"/>
                <w:highlight w:val="none"/>
              </w:rPr>
              <w:t>100</w:t>
            </w:r>
          </w:p>
        </w:tc>
        <w:tc>
          <w:tcPr>
            <w:tcW w:w="1254" w:type="dxa"/>
            <w:noWrap/>
            <w:vAlign w:val="center"/>
          </w:tcPr>
          <w:p w14:paraId="15E131ED">
            <w:pPr>
              <w:pStyle w:val="41"/>
              <w:rPr>
                <w:color w:val="auto"/>
                <w:highlight w:val="none"/>
              </w:rPr>
            </w:pPr>
            <w:r>
              <w:rPr>
                <w:color w:val="auto"/>
                <w:highlight w:val="none"/>
              </w:rPr>
              <w:t>2450</w:t>
            </w:r>
          </w:p>
        </w:tc>
        <w:tc>
          <w:tcPr>
            <w:tcW w:w="1532" w:type="dxa"/>
            <w:noWrap/>
            <w:vAlign w:val="center"/>
          </w:tcPr>
          <w:p w14:paraId="7B44FD61">
            <w:pPr>
              <w:pStyle w:val="41"/>
              <w:rPr>
                <w:color w:val="auto"/>
                <w:highlight w:val="none"/>
              </w:rPr>
            </w:pPr>
            <w:r>
              <w:rPr>
                <w:color w:val="auto"/>
                <w:highlight w:val="none"/>
              </w:rPr>
              <w:t>0.000684</w:t>
            </w:r>
          </w:p>
        </w:tc>
        <w:tc>
          <w:tcPr>
            <w:tcW w:w="946" w:type="dxa"/>
            <w:noWrap/>
            <w:vAlign w:val="center"/>
          </w:tcPr>
          <w:p w14:paraId="20B9597E">
            <w:pPr>
              <w:pStyle w:val="41"/>
              <w:rPr>
                <w:color w:val="auto"/>
                <w:highlight w:val="none"/>
              </w:rPr>
            </w:pPr>
            <w:r>
              <w:rPr>
                <w:color w:val="auto"/>
                <w:highlight w:val="none"/>
              </w:rPr>
              <w:t xml:space="preserve">0.14 </w:t>
            </w:r>
          </w:p>
        </w:tc>
        <w:tc>
          <w:tcPr>
            <w:tcW w:w="1398" w:type="dxa"/>
            <w:noWrap/>
            <w:vAlign w:val="center"/>
          </w:tcPr>
          <w:p w14:paraId="01AAF5F1">
            <w:pPr>
              <w:pStyle w:val="41"/>
              <w:rPr>
                <w:color w:val="auto"/>
                <w:highlight w:val="none"/>
              </w:rPr>
            </w:pPr>
            <w:r>
              <w:rPr>
                <w:color w:val="auto"/>
                <w:highlight w:val="none"/>
              </w:rPr>
              <w:t>0.001539</w:t>
            </w:r>
          </w:p>
        </w:tc>
        <w:tc>
          <w:tcPr>
            <w:tcW w:w="872" w:type="dxa"/>
            <w:noWrap/>
            <w:vAlign w:val="center"/>
          </w:tcPr>
          <w:p w14:paraId="16A9D6C0">
            <w:pPr>
              <w:pStyle w:val="41"/>
              <w:rPr>
                <w:color w:val="auto"/>
                <w:highlight w:val="none"/>
              </w:rPr>
            </w:pPr>
            <w:r>
              <w:rPr>
                <w:color w:val="auto"/>
                <w:highlight w:val="none"/>
              </w:rPr>
              <w:t xml:space="preserve">0.77 </w:t>
            </w:r>
          </w:p>
        </w:tc>
        <w:tc>
          <w:tcPr>
            <w:tcW w:w="1398" w:type="dxa"/>
            <w:noWrap/>
            <w:vAlign w:val="center"/>
          </w:tcPr>
          <w:p w14:paraId="0CA04013">
            <w:pPr>
              <w:pStyle w:val="41"/>
              <w:rPr>
                <w:color w:val="auto"/>
                <w:highlight w:val="none"/>
              </w:rPr>
            </w:pPr>
            <w:r>
              <w:rPr>
                <w:color w:val="auto"/>
                <w:highlight w:val="none"/>
              </w:rPr>
              <w:t>0.00001</w:t>
            </w:r>
          </w:p>
        </w:tc>
        <w:tc>
          <w:tcPr>
            <w:tcW w:w="872" w:type="dxa"/>
            <w:noWrap/>
            <w:vAlign w:val="center"/>
          </w:tcPr>
          <w:p w14:paraId="7AC6C57B">
            <w:pPr>
              <w:pStyle w:val="41"/>
              <w:rPr>
                <w:color w:val="auto"/>
                <w:highlight w:val="none"/>
              </w:rPr>
            </w:pPr>
            <w:r>
              <w:rPr>
                <w:color w:val="auto"/>
                <w:highlight w:val="none"/>
              </w:rPr>
              <w:t>0</w:t>
            </w:r>
          </w:p>
        </w:tc>
      </w:tr>
      <w:tr w14:paraId="1397D4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40DF943E">
            <w:pPr>
              <w:pStyle w:val="41"/>
              <w:rPr>
                <w:color w:val="auto"/>
                <w:highlight w:val="none"/>
              </w:rPr>
            </w:pPr>
            <w:r>
              <w:rPr>
                <w:color w:val="auto"/>
                <w:highlight w:val="none"/>
              </w:rPr>
              <w:t>101</w:t>
            </w:r>
          </w:p>
        </w:tc>
        <w:tc>
          <w:tcPr>
            <w:tcW w:w="1254" w:type="dxa"/>
            <w:noWrap/>
            <w:vAlign w:val="center"/>
          </w:tcPr>
          <w:p w14:paraId="5C46EE95">
            <w:pPr>
              <w:pStyle w:val="41"/>
              <w:rPr>
                <w:color w:val="auto"/>
                <w:highlight w:val="none"/>
              </w:rPr>
            </w:pPr>
            <w:r>
              <w:rPr>
                <w:color w:val="auto"/>
                <w:highlight w:val="none"/>
              </w:rPr>
              <w:t>2475</w:t>
            </w:r>
          </w:p>
        </w:tc>
        <w:tc>
          <w:tcPr>
            <w:tcW w:w="1532" w:type="dxa"/>
            <w:noWrap/>
            <w:vAlign w:val="center"/>
          </w:tcPr>
          <w:p w14:paraId="283B9EBA">
            <w:pPr>
              <w:pStyle w:val="41"/>
              <w:rPr>
                <w:color w:val="auto"/>
                <w:highlight w:val="none"/>
              </w:rPr>
            </w:pPr>
            <w:r>
              <w:rPr>
                <w:color w:val="auto"/>
                <w:highlight w:val="none"/>
              </w:rPr>
              <w:t>0.000678</w:t>
            </w:r>
          </w:p>
        </w:tc>
        <w:tc>
          <w:tcPr>
            <w:tcW w:w="946" w:type="dxa"/>
            <w:noWrap/>
            <w:vAlign w:val="center"/>
          </w:tcPr>
          <w:p w14:paraId="1244FBD2">
            <w:pPr>
              <w:pStyle w:val="41"/>
              <w:rPr>
                <w:color w:val="auto"/>
                <w:highlight w:val="none"/>
              </w:rPr>
            </w:pPr>
            <w:r>
              <w:rPr>
                <w:color w:val="auto"/>
                <w:highlight w:val="none"/>
              </w:rPr>
              <w:t xml:space="preserve">0.14 </w:t>
            </w:r>
          </w:p>
        </w:tc>
        <w:tc>
          <w:tcPr>
            <w:tcW w:w="1398" w:type="dxa"/>
            <w:noWrap/>
            <w:vAlign w:val="center"/>
          </w:tcPr>
          <w:p w14:paraId="7B7D6E3E">
            <w:pPr>
              <w:pStyle w:val="41"/>
              <w:rPr>
                <w:color w:val="auto"/>
                <w:highlight w:val="none"/>
              </w:rPr>
            </w:pPr>
            <w:r>
              <w:rPr>
                <w:color w:val="auto"/>
                <w:highlight w:val="none"/>
              </w:rPr>
              <w:t>0.001526</w:t>
            </w:r>
          </w:p>
        </w:tc>
        <w:tc>
          <w:tcPr>
            <w:tcW w:w="872" w:type="dxa"/>
            <w:noWrap/>
            <w:vAlign w:val="center"/>
          </w:tcPr>
          <w:p w14:paraId="15FB4141">
            <w:pPr>
              <w:pStyle w:val="41"/>
              <w:rPr>
                <w:color w:val="auto"/>
                <w:highlight w:val="none"/>
              </w:rPr>
            </w:pPr>
            <w:r>
              <w:rPr>
                <w:color w:val="auto"/>
                <w:highlight w:val="none"/>
              </w:rPr>
              <w:t xml:space="preserve">0.76 </w:t>
            </w:r>
          </w:p>
        </w:tc>
        <w:tc>
          <w:tcPr>
            <w:tcW w:w="1398" w:type="dxa"/>
            <w:noWrap/>
            <w:vAlign w:val="center"/>
          </w:tcPr>
          <w:p w14:paraId="6303107C">
            <w:pPr>
              <w:pStyle w:val="41"/>
              <w:rPr>
                <w:color w:val="auto"/>
                <w:highlight w:val="none"/>
              </w:rPr>
            </w:pPr>
            <w:r>
              <w:rPr>
                <w:color w:val="auto"/>
                <w:highlight w:val="none"/>
              </w:rPr>
              <w:t>0.00001</w:t>
            </w:r>
          </w:p>
        </w:tc>
        <w:tc>
          <w:tcPr>
            <w:tcW w:w="872" w:type="dxa"/>
            <w:noWrap/>
            <w:vAlign w:val="center"/>
          </w:tcPr>
          <w:p w14:paraId="079C55E5">
            <w:pPr>
              <w:pStyle w:val="41"/>
              <w:rPr>
                <w:color w:val="auto"/>
                <w:highlight w:val="none"/>
              </w:rPr>
            </w:pPr>
            <w:r>
              <w:rPr>
                <w:color w:val="auto"/>
                <w:highlight w:val="none"/>
              </w:rPr>
              <w:t>0</w:t>
            </w:r>
          </w:p>
        </w:tc>
      </w:tr>
      <w:tr w14:paraId="7A92D1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42BD808A">
            <w:pPr>
              <w:pStyle w:val="41"/>
              <w:rPr>
                <w:color w:val="auto"/>
                <w:highlight w:val="none"/>
              </w:rPr>
            </w:pPr>
            <w:r>
              <w:rPr>
                <w:color w:val="auto"/>
                <w:highlight w:val="none"/>
              </w:rPr>
              <w:t>102</w:t>
            </w:r>
          </w:p>
        </w:tc>
        <w:tc>
          <w:tcPr>
            <w:tcW w:w="1254" w:type="dxa"/>
            <w:noWrap/>
            <w:vAlign w:val="center"/>
          </w:tcPr>
          <w:p w14:paraId="7AF8FC48">
            <w:pPr>
              <w:pStyle w:val="41"/>
              <w:rPr>
                <w:color w:val="auto"/>
                <w:highlight w:val="none"/>
              </w:rPr>
            </w:pPr>
            <w:r>
              <w:rPr>
                <w:color w:val="auto"/>
                <w:highlight w:val="none"/>
              </w:rPr>
              <w:t>2500</w:t>
            </w:r>
          </w:p>
        </w:tc>
        <w:tc>
          <w:tcPr>
            <w:tcW w:w="1532" w:type="dxa"/>
            <w:noWrap/>
            <w:vAlign w:val="center"/>
          </w:tcPr>
          <w:p w14:paraId="3CF3414E">
            <w:pPr>
              <w:pStyle w:val="41"/>
              <w:rPr>
                <w:color w:val="auto"/>
                <w:highlight w:val="none"/>
              </w:rPr>
            </w:pPr>
            <w:r>
              <w:rPr>
                <w:color w:val="auto"/>
                <w:highlight w:val="none"/>
              </w:rPr>
              <w:t>0.000673</w:t>
            </w:r>
          </w:p>
        </w:tc>
        <w:tc>
          <w:tcPr>
            <w:tcW w:w="946" w:type="dxa"/>
            <w:noWrap/>
            <w:vAlign w:val="center"/>
          </w:tcPr>
          <w:p w14:paraId="5B1D1D95">
            <w:pPr>
              <w:pStyle w:val="41"/>
              <w:rPr>
                <w:color w:val="auto"/>
                <w:highlight w:val="none"/>
              </w:rPr>
            </w:pPr>
            <w:r>
              <w:rPr>
                <w:color w:val="auto"/>
                <w:highlight w:val="none"/>
              </w:rPr>
              <w:t xml:space="preserve">0.13 </w:t>
            </w:r>
          </w:p>
        </w:tc>
        <w:tc>
          <w:tcPr>
            <w:tcW w:w="1398" w:type="dxa"/>
            <w:noWrap/>
            <w:vAlign w:val="center"/>
          </w:tcPr>
          <w:p w14:paraId="0704CB94">
            <w:pPr>
              <w:pStyle w:val="41"/>
              <w:rPr>
                <w:color w:val="auto"/>
                <w:highlight w:val="none"/>
              </w:rPr>
            </w:pPr>
            <w:r>
              <w:rPr>
                <w:color w:val="auto"/>
                <w:highlight w:val="none"/>
              </w:rPr>
              <w:t>0.001513</w:t>
            </w:r>
          </w:p>
        </w:tc>
        <w:tc>
          <w:tcPr>
            <w:tcW w:w="872" w:type="dxa"/>
            <w:noWrap/>
            <w:vAlign w:val="center"/>
          </w:tcPr>
          <w:p w14:paraId="5E029633">
            <w:pPr>
              <w:pStyle w:val="41"/>
              <w:rPr>
                <w:color w:val="auto"/>
                <w:highlight w:val="none"/>
              </w:rPr>
            </w:pPr>
            <w:r>
              <w:rPr>
                <w:color w:val="auto"/>
                <w:highlight w:val="none"/>
              </w:rPr>
              <w:t xml:space="preserve">0.76 </w:t>
            </w:r>
          </w:p>
        </w:tc>
        <w:tc>
          <w:tcPr>
            <w:tcW w:w="1398" w:type="dxa"/>
            <w:noWrap/>
            <w:vAlign w:val="center"/>
          </w:tcPr>
          <w:p w14:paraId="24490D87">
            <w:pPr>
              <w:pStyle w:val="41"/>
              <w:rPr>
                <w:color w:val="auto"/>
                <w:highlight w:val="none"/>
              </w:rPr>
            </w:pPr>
            <w:r>
              <w:rPr>
                <w:color w:val="auto"/>
                <w:highlight w:val="none"/>
              </w:rPr>
              <w:t>0.00001</w:t>
            </w:r>
          </w:p>
        </w:tc>
        <w:tc>
          <w:tcPr>
            <w:tcW w:w="872" w:type="dxa"/>
            <w:noWrap/>
            <w:vAlign w:val="center"/>
          </w:tcPr>
          <w:p w14:paraId="2198B635">
            <w:pPr>
              <w:pStyle w:val="41"/>
              <w:rPr>
                <w:color w:val="auto"/>
                <w:highlight w:val="none"/>
              </w:rPr>
            </w:pPr>
            <w:r>
              <w:rPr>
                <w:color w:val="auto"/>
                <w:highlight w:val="none"/>
              </w:rPr>
              <w:t>0</w:t>
            </w:r>
          </w:p>
        </w:tc>
      </w:tr>
    </w:tbl>
    <w:p w14:paraId="6D8157DE">
      <w:pPr>
        <w:pStyle w:val="40"/>
        <w:spacing w:before="31" w:after="31"/>
        <w:rPr>
          <w:color w:val="auto"/>
          <w:highlight w:val="none"/>
        </w:rPr>
      </w:pPr>
      <w:r>
        <w:rPr>
          <w:color w:val="auto"/>
          <w:highlight w:val="none"/>
        </w:rPr>
        <w:t>表5.2-14    无组织排放污染物（颗粒物）扩散浓度预测结果</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33"/>
        <w:gridCol w:w="1640"/>
        <w:gridCol w:w="1902"/>
        <w:gridCol w:w="1172"/>
        <w:gridCol w:w="1902"/>
        <w:gridCol w:w="1173"/>
      </w:tblGrid>
      <w:tr w14:paraId="489582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vMerge w:val="restart"/>
            <w:noWrap/>
            <w:vAlign w:val="center"/>
          </w:tcPr>
          <w:p w14:paraId="1614D105">
            <w:pPr>
              <w:pStyle w:val="41"/>
              <w:rPr>
                <w:color w:val="auto"/>
                <w:highlight w:val="none"/>
              </w:rPr>
            </w:pPr>
            <w:r>
              <w:rPr>
                <w:color w:val="auto"/>
                <w:highlight w:val="none"/>
              </w:rPr>
              <w:t>序号</w:t>
            </w:r>
          </w:p>
        </w:tc>
        <w:tc>
          <w:tcPr>
            <w:tcW w:w="675" w:type="pct"/>
            <w:vMerge w:val="restart"/>
            <w:tcBorders>
              <w:right w:val="single" w:color="auto" w:sz="2" w:space="0"/>
            </w:tcBorders>
            <w:noWrap/>
            <w:vAlign w:val="center"/>
          </w:tcPr>
          <w:p w14:paraId="37A3598D">
            <w:pPr>
              <w:pStyle w:val="41"/>
              <w:rPr>
                <w:color w:val="auto"/>
                <w:highlight w:val="none"/>
              </w:rPr>
            </w:pPr>
            <w:r>
              <w:rPr>
                <w:color w:val="auto"/>
                <w:highlight w:val="none"/>
              </w:rPr>
              <w:t>离源距离</w:t>
            </w:r>
            <w:r>
              <w:rPr>
                <w:rFonts w:hint="eastAsia"/>
                <w:color w:val="auto"/>
                <w:highlight w:val="none"/>
                <w:lang w:eastAsia="zh-CN"/>
              </w:rPr>
              <w:t>（</w:t>
            </w:r>
            <w:r>
              <w:rPr>
                <w:color w:val="auto"/>
                <w:highlight w:val="none"/>
              </w:rPr>
              <w:t>m</w:t>
            </w:r>
            <w:r>
              <w:rPr>
                <w:rFonts w:hint="eastAsia"/>
                <w:color w:val="auto"/>
                <w:highlight w:val="none"/>
                <w:lang w:eastAsia="zh-CN"/>
              </w:rPr>
              <w:t>）</w:t>
            </w:r>
          </w:p>
        </w:tc>
        <w:tc>
          <w:tcPr>
            <w:tcW w:w="1334" w:type="pct"/>
            <w:gridSpan w:val="2"/>
            <w:tcBorders>
              <w:left w:val="single" w:color="auto" w:sz="2" w:space="0"/>
            </w:tcBorders>
            <w:vAlign w:val="center"/>
          </w:tcPr>
          <w:p w14:paraId="10AF3A8F">
            <w:pPr>
              <w:pStyle w:val="41"/>
              <w:rPr>
                <w:color w:val="auto"/>
                <w:highlight w:val="none"/>
              </w:rPr>
            </w:pPr>
            <w:r>
              <w:rPr>
                <w:color w:val="auto"/>
                <w:highlight w:val="none"/>
              </w:rPr>
              <w:t>原矿堆场TSP</w:t>
            </w:r>
          </w:p>
        </w:tc>
        <w:tc>
          <w:tcPr>
            <w:tcW w:w="1334" w:type="pct"/>
            <w:gridSpan w:val="2"/>
            <w:noWrap/>
            <w:vAlign w:val="center"/>
          </w:tcPr>
          <w:p w14:paraId="2D664C9A">
            <w:pPr>
              <w:pStyle w:val="41"/>
              <w:rPr>
                <w:color w:val="auto"/>
                <w:highlight w:val="none"/>
              </w:rPr>
            </w:pPr>
            <w:r>
              <w:rPr>
                <w:color w:val="auto"/>
                <w:highlight w:val="none"/>
              </w:rPr>
              <w:t>尾矿库TSP</w:t>
            </w:r>
          </w:p>
        </w:tc>
      </w:tr>
      <w:tr w14:paraId="657BAB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vMerge w:val="continue"/>
            <w:noWrap/>
            <w:vAlign w:val="center"/>
          </w:tcPr>
          <w:p w14:paraId="2AC861B8">
            <w:pPr>
              <w:pStyle w:val="41"/>
              <w:rPr>
                <w:color w:val="auto"/>
                <w:highlight w:val="none"/>
              </w:rPr>
            </w:pPr>
          </w:p>
        </w:tc>
        <w:tc>
          <w:tcPr>
            <w:tcW w:w="675" w:type="pct"/>
            <w:vMerge w:val="continue"/>
            <w:tcBorders>
              <w:right w:val="single" w:color="auto" w:sz="2" w:space="0"/>
            </w:tcBorders>
            <w:noWrap/>
            <w:vAlign w:val="center"/>
          </w:tcPr>
          <w:p w14:paraId="6459A8DB">
            <w:pPr>
              <w:pStyle w:val="41"/>
              <w:rPr>
                <w:color w:val="auto"/>
                <w:highlight w:val="none"/>
              </w:rPr>
            </w:pPr>
          </w:p>
        </w:tc>
        <w:tc>
          <w:tcPr>
            <w:tcW w:w="824" w:type="pct"/>
            <w:tcBorders>
              <w:left w:val="single" w:color="auto" w:sz="2" w:space="0"/>
            </w:tcBorders>
            <w:noWrap/>
            <w:vAlign w:val="center"/>
          </w:tcPr>
          <w:p w14:paraId="5EAFD1AB">
            <w:pPr>
              <w:pStyle w:val="41"/>
              <w:rPr>
                <w:color w:val="auto"/>
                <w:highlight w:val="none"/>
              </w:rPr>
            </w:pPr>
            <w:r>
              <w:rPr>
                <w:color w:val="auto"/>
                <w:highlight w:val="none"/>
              </w:rPr>
              <w:t>下风向</w:t>
            </w:r>
          </w:p>
          <w:p w14:paraId="1A0B6D7B">
            <w:pPr>
              <w:pStyle w:val="41"/>
              <w:rPr>
                <w:color w:val="auto"/>
                <w:highlight w:val="none"/>
              </w:rPr>
            </w:pPr>
            <w:r>
              <w:rPr>
                <w:color w:val="auto"/>
                <w:highlight w:val="none"/>
              </w:rPr>
              <w:t>预测浓度mg/m</w:t>
            </w:r>
            <w:r>
              <w:rPr>
                <w:color w:val="auto"/>
                <w:highlight w:val="none"/>
                <w:vertAlign w:val="superscript"/>
              </w:rPr>
              <w:t>3</w:t>
            </w:r>
          </w:p>
        </w:tc>
        <w:tc>
          <w:tcPr>
            <w:tcW w:w="509" w:type="pct"/>
            <w:noWrap/>
            <w:vAlign w:val="center"/>
          </w:tcPr>
          <w:p w14:paraId="4373D1CA">
            <w:pPr>
              <w:pStyle w:val="41"/>
              <w:rPr>
                <w:color w:val="auto"/>
                <w:highlight w:val="none"/>
              </w:rPr>
            </w:pPr>
            <w:r>
              <w:rPr>
                <w:color w:val="auto"/>
                <w:highlight w:val="none"/>
              </w:rPr>
              <w:t>占标率%</w:t>
            </w:r>
          </w:p>
        </w:tc>
        <w:tc>
          <w:tcPr>
            <w:tcW w:w="824" w:type="pct"/>
            <w:noWrap/>
            <w:vAlign w:val="center"/>
          </w:tcPr>
          <w:p w14:paraId="4D43FE82">
            <w:pPr>
              <w:pStyle w:val="41"/>
              <w:rPr>
                <w:color w:val="auto"/>
                <w:highlight w:val="none"/>
              </w:rPr>
            </w:pPr>
            <w:r>
              <w:rPr>
                <w:color w:val="auto"/>
                <w:highlight w:val="none"/>
              </w:rPr>
              <w:t>下风向</w:t>
            </w:r>
          </w:p>
          <w:p w14:paraId="4487B00C">
            <w:pPr>
              <w:pStyle w:val="41"/>
              <w:rPr>
                <w:color w:val="auto"/>
                <w:highlight w:val="none"/>
              </w:rPr>
            </w:pPr>
            <w:r>
              <w:rPr>
                <w:color w:val="auto"/>
                <w:highlight w:val="none"/>
              </w:rPr>
              <w:t>预测浓度mg/m</w:t>
            </w:r>
            <w:r>
              <w:rPr>
                <w:color w:val="auto"/>
                <w:highlight w:val="none"/>
                <w:vertAlign w:val="superscript"/>
              </w:rPr>
              <w:t>3</w:t>
            </w:r>
          </w:p>
        </w:tc>
        <w:tc>
          <w:tcPr>
            <w:tcW w:w="509" w:type="pct"/>
            <w:noWrap/>
            <w:vAlign w:val="center"/>
          </w:tcPr>
          <w:p w14:paraId="247988A3">
            <w:pPr>
              <w:pStyle w:val="41"/>
              <w:rPr>
                <w:color w:val="auto"/>
                <w:highlight w:val="none"/>
              </w:rPr>
            </w:pPr>
            <w:r>
              <w:rPr>
                <w:color w:val="auto"/>
                <w:highlight w:val="none"/>
              </w:rPr>
              <w:t>占标率%</w:t>
            </w:r>
          </w:p>
        </w:tc>
      </w:tr>
      <w:tr w14:paraId="2049C9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47343B5">
            <w:pPr>
              <w:pStyle w:val="41"/>
              <w:rPr>
                <w:color w:val="auto"/>
                <w:highlight w:val="none"/>
              </w:rPr>
            </w:pPr>
            <w:r>
              <w:rPr>
                <w:color w:val="auto"/>
                <w:highlight w:val="none"/>
              </w:rPr>
              <w:t>1</w:t>
            </w:r>
          </w:p>
        </w:tc>
        <w:tc>
          <w:tcPr>
            <w:tcW w:w="1254" w:type="dxa"/>
            <w:noWrap/>
            <w:vAlign w:val="center"/>
          </w:tcPr>
          <w:p w14:paraId="64F94DE5">
            <w:pPr>
              <w:pStyle w:val="41"/>
              <w:rPr>
                <w:color w:val="auto"/>
                <w:highlight w:val="none"/>
              </w:rPr>
            </w:pPr>
            <w:r>
              <w:rPr>
                <w:color w:val="auto"/>
                <w:highlight w:val="none"/>
              </w:rPr>
              <w:t>10</w:t>
            </w:r>
          </w:p>
        </w:tc>
        <w:tc>
          <w:tcPr>
            <w:tcW w:w="1532" w:type="dxa"/>
            <w:noWrap/>
            <w:vAlign w:val="center"/>
          </w:tcPr>
          <w:p w14:paraId="4B2E2D8C">
            <w:pPr>
              <w:pStyle w:val="41"/>
              <w:rPr>
                <w:color w:val="auto"/>
                <w:highlight w:val="none"/>
              </w:rPr>
            </w:pPr>
            <w:r>
              <w:rPr>
                <w:color w:val="auto"/>
                <w:highlight w:val="none"/>
              </w:rPr>
              <w:t>0.057756</w:t>
            </w:r>
          </w:p>
        </w:tc>
        <w:tc>
          <w:tcPr>
            <w:tcW w:w="946" w:type="dxa"/>
            <w:noWrap/>
            <w:vAlign w:val="center"/>
          </w:tcPr>
          <w:p w14:paraId="45962827">
            <w:pPr>
              <w:pStyle w:val="41"/>
              <w:rPr>
                <w:color w:val="auto"/>
                <w:highlight w:val="none"/>
              </w:rPr>
            </w:pPr>
            <w:r>
              <w:rPr>
                <w:color w:val="auto"/>
                <w:highlight w:val="none"/>
              </w:rPr>
              <w:t xml:space="preserve">6.42 </w:t>
            </w:r>
          </w:p>
        </w:tc>
        <w:tc>
          <w:tcPr>
            <w:tcW w:w="1398" w:type="dxa"/>
            <w:noWrap/>
            <w:vAlign w:val="center"/>
          </w:tcPr>
          <w:p w14:paraId="2C8F4745">
            <w:pPr>
              <w:pStyle w:val="41"/>
              <w:rPr>
                <w:color w:val="auto"/>
                <w:highlight w:val="none"/>
              </w:rPr>
            </w:pPr>
            <w:r>
              <w:rPr>
                <w:color w:val="auto"/>
                <w:highlight w:val="none"/>
              </w:rPr>
              <w:t>0.008928</w:t>
            </w:r>
          </w:p>
        </w:tc>
        <w:tc>
          <w:tcPr>
            <w:tcW w:w="872" w:type="dxa"/>
            <w:noWrap/>
            <w:vAlign w:val="center"/>
          </w:tcPr>
          <w:p w14:paraId="0FADF983">
            <w:pPr>
              <w:pStyle w:val="41"/>
              <w:rPr>
                <w:color w:val="auto"/>
                <w:highlight w:val="none"/>
              </w:rPr>
            </w:pPr>
            <w:r>
              <w:rPr>
                <w:color w:val="auto"/>
                <w:highlight w:val="none"/>
              </w:rPr>
              <w:t>0.99</w:t>
            </w:r>
          </w:p>
        </w:tc>
      </w:tr>
      <w:tr w14:paraId="370D37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9B46187">
            <w:pPr>
              <w:pStyle w:val="41"/>
              <w:rPr>
                <w:color w:val="auto"/>
                <w:highlight w:val="none"/>
              </w:rPr>
            </w:pPr>
            <w:r>
              <w:rPr>
                <w:color w:val="auto"/>
                <w:highlight w:val="none"/>
              </w:rPr>
              <w:t>2</w:t>
            </w:r>
          </w:p>
        </w:tc>
        <w:tc>
          <w:tcPr>
            <w:tcW w:w="1254" w:type="dxa"/>
            <w:noWrap/>
            <w:vAlign w:val="center"/>
          </w:tcPr>
          <w:p w14:paraId="280E60A5">
            <w:pPr>
              <w:pStyle w:val="41"/>
              <w:rPr>
                <w:color w:val="auto"/>
                <w:highlight w:val="none"/>
              </w:rPr>
            </w:pPr>
            <w:r>
              <w:rPr>
                <w:color w:val="auto"/>
                <w:highlight w:val="none"/>
              </w:rPr>
              <w:t>25</w:t>
            </w:r>
          </w:p>
        </w:tc>
        <w:tc>
          <w:tcPr>
            <w:tcW w:w="1532" w:type="dxa"/>
            <w:noWrap/>
            <w:vAlign w:val="center"/>
          </w:tcPr>
          <w:p w14:paraId="4A9E634C">
            <w:pPr>
              <w:pStyle w:val="41"/>
              <w:rPr>
                <w:color w:val="auto"/>
                <w:highlight w:val="none"/>
              </w:rPr>
            </w:pPr>
            <w:r>
              <w:rPr>
                <w:color w:val="auto"/>
                <w:highlight w:val="none"/>
              </w:rPr>
              <w:t>0.0641232</w:t>
            </w:r>
          </w:p>
        </w:tc>
        <w:tc>
          <w:tcPr>
            <w:tcW w:w="946" w:type="dxa"/>
            <w:noWrap/>
            <w:vAlign w:val="center"/>
          </w:tcPr>
          <w:p w14:paraId="39542DC8">
            <w:pPr>
              <w:pStyle w:val="41"/>
              <w:rPr>
                <w:color w:val="auto"/>
                <w:highlight w:val="none"/>
              </w:rPr>
            </w:pPr>
            <w:r>
              <w:rPr>
                <w:color w:val="auto"/>
                <w:highlight w:val="none"/>
              </w:rPr>
              <w:t xml:space="preserve">7.13 </w:t>
            </w:r>
          </w:p>
        </w:tc>
        <w:tc>
          <w:tcPr>
            <w:tcW w:w="1398" w:type="dxa"/>
            <w:noWrap/>
            <w:vAlign w:val="center"/>
          </w:tcPr>
          <w:p w14:paraId="6D6D1CF5">
            <w:pPr>
              <w:pStyle w:val="41"/>
              <w:rPr>
                <w:color w:val="auto"/>
                <w:highlight w:val="none"/>
              </w:rPr>
            </w:pPr>
            <w:r>
              <w:rPr>
                <w:color w:val="auto"/>
                <w:highlight w:val="none"/>
              </w:rPr>
              <w:t>0.009128</w:t>
            </w:r>
          </w:p>
        </w:tc>
        <w:tc>
          <w:tcPr>
            <w:tcW w:w="872" w:type="dxa"/>
            <w:noWrap/>
            <w:vAlign w:val="center"/>
          </w:tcPr>
          <w:p w14:paraId="0DFCD1E7">
            <w:pPr>
              <w:pStyle w:val="41"/>
              <w:rPr>
                <w:color w:val="auto"/>
                <w:highlight w:val="none"/>
              </w:rPr>
            </w:pPr>
            <w:r>
              <w:rPr>
                <w:color w:val="auto"/>
                <w:highlight w:val="none"/>
              </w:rPr>
              <w:t>1.01</w:t>
            </w:r>
          </w:p>
        </w:tc>
      </w:tr>
      <w:tr w14:paraId="066405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12285BF">
            <w:pPr>
              <w:pStyle w:val="41"/>
              <w:rPr>
                <w:color w:val="auto"/>
                <w:highlight w:val="none"/>
              </w:rPr>
            </w:pPr>
            <w:r>
              <w:rPr>
                <w:color w:val="auto"/>
                <w:highlight w:val="none"/>
              </w:rPr>
              <w:t>3</w:t>
            </w:r>
          </w:p>
        </w:tc>
        <w:tc>
          <w:tcPr>
            <w:tcW w:w="1254" w:type="dxa"/>
            <w:noWrap/>
            <w:vAlign w:val="center"/>
          </w:tcPr>
          <w:p w14:paraId="7471B4CB">
            <w:pPr>
              <w:pStyle w:val="41"/>
              <w:rPr>
                <w:color w:val="auto"/>
                <w:highlight w:val="none"/>
              </w:rPr>
            </w:pPr>
            <w:r>
              <w:rPr>
                <w:color w:val="auto"/>
                <w:highlight w:val="none"/>
              </w:rPr>
              <w:t>50</w:t>
            </w:r>
          </w:p>
        </w:tc>
        <w:tc>
          <w:tcPr>
            <w:tcW w:w="1532" w:type="dxa"/>
            <w:noWrap/>
            <w:vAlign w:val="center"/>
          </w:tcPr>
          <w:p w14:paraId="4931C9BB">
            <w:pPr>
              <w:pStyle w:val="41"/>
              <w:rPr>
                <w:color w:val="auto"/>
                <w:highlight w:val="none"/>
              </w:rPr>
            </w:pPr>
            <w:r>
              <w:rPr>
                <w:color w:val="auto"/>
                <w:highlight w:val="none"/>
              </w:rPr>
              <w:t>0.0730624</w:t>
            </w:r>
          </w:p>
        </w:tc>
        <w:tc>
          <w:tcPr>
            <w:tcW w:w="946" w:type="dxa"/>
            <w:noWrap/>
            <w:vAlign w:val="center"/>
          </w:tcPr>
          <w:p w14:paraId="1614D9B0">
            <w:pPr>
              <w:pStyle w:val="41"/>
              <w:rPr>
                <w:color w:val="auto"/>
                <w:highlight w:val="none"/>
              </w:rPr>
            </w:pPr>
            <w:r>
              <w:rPr>
                <w:color w:val="auto"/>
                <w:highlight w:val="none"/>
              </w:rPr>
              <w:t xml:space="preserve">8.12 </w:t>
            </w:r>
          </w:p>
        </w:tc>
        <w:tc>
          <w:tcPr>
            <w:tcW w:w="1398" w:type="dxa"/>
            <w:noWrap/>
            <w:vAlign w:val="center"/>
          </w:tcPr>
          <w:p w14:paraId="38EFE4BE">
            <w:pPr>
              <w:pStyle w:val="41"/>
              <w:rPr>
                <w:color w:val="auto"/>
                <w:highlight w:val="none"/>
              </w:rPr>
            </w:pPr>
            <w:r>
              <w:rPr>
                <w:color w:val="auto"/>
                <w:highlight w:val="none"/>
              </w:rPr>
              <w:t>0.009554</w:t>
            </w:r>
          </w:p>
        </w:tc>
        <w:tc>
          <w:tcPr>
            <w:tcW w:w="872" w:type="dxa"/>
            <w:noWrap/>
            <w:vAlign w:val="center"/>
          </w:tcPr>
          <w:p w14:paraId="66272284">
            <w:pPr>
              <w:pStyle w:val="41"/>
              <w:rPr>
                <w:color w:val="auto"/>
                <w:highlight w:val="none"/>
              </w:rPr>
            </w:pPr>
            <w:r>
              <w:rPr>
                <w:color w:val="auto"/>
                <w:highlight w:val="none"/>
              </w:rPr>
              <w:t>1.06</w:t>
            </w:r>
          </w:p>
        </w:tc>
      </w:tr>
      <w:tr w14:paraId="763D9D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6323BBC">
            <w:pPr>
              <w:pStyle w:val="41"/>
              <w:rPr>
                <w:color w:val="auto"/>
                <w:highlight w:val="none"/>
              </w:rPr>
            </w:pPr>
            <w:r>
              <w:rPr>
                <w:color w:val="auto"/>
                <w:highlight w:val="none"/>
              </w:rPr>
              <w:t>4</w:t>
            </w:r>
          </w:p>
        </w:tc>
        <w:tc>
          <w:tcPr>
            <w:tcW w:w="1254" w:type="dxa"/>
            <w:noWrap/>
            <w:vAlign w:val="center"/>
          </w:tcPr>
          <w:p w14:paraId="102A7A29">
            <w:pPr>
              <w:pStyle w:val="41"/>
              <w:rPr>
                <w:color w:val="auto"/>
                <w:highlight w:val="none"/>
              </w:rPr>
            </w:pPr>
            <w:r>
              <w:rPr>
                <w:color w:val="auto"/>
                <w:highlight w:val="none"/>
              </w:rPr>
              <w:t>75</w:t>
            </w:r>
          </w:p>
        </w:tc>
        <w:tc>
          <w:tcPr>
            <w:tcW w:w="1532" w:type="dxa"/>
            <w:noWrap/>
            <w:vAlign w:val="center"/>
          </w:tcPr>
          <w:p w14:paraId="489D28B9">
            <w:pPr>
              <w:pStyle w:val="41"/>
              <w:rPr>
                <w:color w:val="auto"/>
                <w:highlight w:val="none"/>
              </w:rPr>
            </w:pPr>
            <w:r>
              <w:rPr>
                <w:color w:val="auto"/>
                <w:highlight w:val="none"/>
              </w:rPr>
              <w:t>0.080592</w:t>
            </w:r>
          </w:p>
        </w:tc>
        <w:tc>
          <w:tcPr>
            <w:tcW w:w="946" w:type="dxa"/>
            <w:noWrap/>
            <w:vAlign w:val="center"/>
          </w:tcPr>
          <w:p w14:paraId="50301307">
            <w:pPr>
              <w:pStyle w:val="41"/>
              <w:rPr>
                <w:color w:val="auto"/>
                <w:highlight w:val="none"/>
              </w:rPr>
            </w:pPr>
            <w:r>
              <w:rPr>
                <w:color w:val="auto"/>
                <w:highlight w:val="none"/>
              </w:rPr>
              <w:t xml:space="preserve">8.95 </w:t>
            </w:r>
          </w:p>
        </w:tc>
        <w:tc>
          <w:tcPr>
            <w:tcW w:w="1398" w:type="dxa"/>
            <w:noWrap/>
            <w:vAlign w:val="center"/>
          </w:tcPr>
          <w:p w14:paraId="5F56DADE">
            <w:pPr>
              <w:pStyle w:val="41"/>
              <w:rPr>
                <w:color w:val="auto"/>
                <w:highlight w:val="none"/>
              </w:rPr>
            </w:pPr>
            <w:r>
              <w:rPr>
                <w:color w:val="auto"/>
                <w:highlight w:val="none"/>
              </w:rPr>
              <w:t>0.010023</w:t>
            </w:r>
          </w:p>
        </w:tc>
        <w:tc>
          <w:tcPr>
            <w:tcW w:w="872" w:type="dxa"/>
            <w:noWrap/>
            <w:vAlign w:val="center"/>
          </w:tcPr>
          <w:p w14:paraId="221762FF">
            <w:pPr>
              <w:pStyle w:val="41"/>
              <w:rPr>
                <w:color w:val="auto"/>
                <w:highlight w:val="none"/>
              </w:rPr>
            </w:pPr>
            <w:r>
              <w:rPr>
                <w:color w:val="auto"/>
                <w:highlight w:val="none"/>
              </w:rPr>
              <w:t>1.11</w:t>
            </w:r>
          </w:p>
        </w:tc>
      </w:tr>
      <w:tr w14:paraId="2AB493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4C23303">
            <w:pPr>
              <w:pStyle w:val="41"/>
              <w:rPr>
                <w:b/>
                <w:bCs/>
                <w:color w:val="auto"/>
                <w:highlight w:val="none"/>
              </w:rPr>
            </w:pPr>
            <w:r>
              <w:rPr>
                <w:b/>
                <w:bCs/>
                <w:color w:val="auto"/>
                <w:highlight w:val="none"/>
              </w:rPr>
              <w:t>5</w:t>
            </w:r>
          </w:p>
        </w:tc>
        <w:tc>
          <w:tcPr>
            <w:tcW w:w="1254" w:type="dxa"/>
            <w:noWrap/>
            <w:vAlign w:val="center"/>
          </w:tcPr>
          <w:p w14:paraId="192BD821">
            <w:pPr>
              <w:pStyle w:val="41"/>
              <w:rPr>
                <w:b/>
                <w:bCs/>
                <w:color w:val="auto"/>
                <w:highlight w:val="none"/>
              </w:rPr>
            </w:pPr>
            <w:r>
              <w:rPr>
                <w:b/>
                <w:bCs/>
                <w:color w:val="auto"/>
                <w:highlight w:val="none"/>
              </w:rPr>
              <w:t>91</w:t>
            </w:r>
          </w:p>
        </w:tc>
        <w:tc>
          <w:tcPr>
            <w:tcW w:w="1532" w:type="dxa"/>
            <w:noWrap/>
            <w:vAlign w:val="center"/>
          </w:tcPr>
          <w:p w14:paraId="420F1BE4">
            <w:pPr>
              <w:pStyle w:val="41"/>
              <w:rPr>
                <w:b/>
                <w:bCs/>
                <w:color w:val="auto"/>
                <w:highlight w:val="none"/>
              </w:rPr>
            </w:pPr>
            <w:r>
              <w:rPr>
                <w:b/>
                <w:bCs/>
                <w:color w:val="auto"/>
                <w:highlight w:val="none"/>
              </w:rPr>
              <w:t>0.08492</w:t>
            </w:r>
          </w:p>
        </w:tc>
        <w:tc>
          <w:tcPr>
            <w:tcW w:w="946" w:type="dxa"/>
            <w:noWrap/>
            <w:vAlign w:val="center"/>
          </w:tcPr>
          <w:p w14:paraId="58ADD29E">
            <w:pPr>
              <w:pStyle w:val="41"/>
              <w:rPr>
                <w:b/>
                <w:bCs/>
                <w:color w:val="auto"/>
                <w:highlight w:val="none"/>
              </w:rPr>
            </w:pPr>
            <w:r>
              <w:rPr>
                <w:b/>
                <w:bCs/>
                <w:color w:val="auto"/>
                <w:highlight w:val="none"/>
              </w:rPr>
              <w:t xml:space="preserve">9.43 </w:t>
            </w:r>
          </w:p>
        </w:tc>
        <w:tc>
          <w:tcPr>
            <w:tcW w:w="1398" w:type="dxa"/>
            <w:noWrap/>
            <w:vAlign w:val="center"/>
          </w:tcPr>
          <w:p w14:paraId="1F75DA9B">
            <w:pPr>
              <w:pStyle w:val="41"/>
              <w:rPr>
                <w:color w:val="auto"/>
                <w:highlight w:val="none"/>
              </w:rPr>
            </w:pPr>
          </w:p>
        </w:tc>
        <w:tc>
          <w:tcPr>
            <w:tcW w:w="872" w:type="dxa"/>
            <w:noWrap/>
            <w:vAlign w:val="center"/>
          </w:tcPr>
          <w:p w14:paraId="075032AC">
            <w:pPr>
              <w:pStyle w:val="41"/>
              <w:rPr>
                <w:color w:val="auto"/>
                <w:highlight w:val="none"/>
              </w:rPr>
            </w:pPr>
          </w:p>
        </w:tc>
      </w:tr>
      <w:tr w14:paraId="04DFDF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C7C2323">
            <w:pPr>
              <w:pStyle w:val="41"/>
              <w:rPr>
                <w:color w:val="auto"/>
                <w:highlight w:val="none"/>
              </w:rPr>
            </w:pPr>
            <w:r>
              <w:rPr>
                <w:color w:val="auto"/>
                <w:highlight w:val="none"/>
              </w:rPr>
              <w:t>6</w:t>
            </w:r>
          </w:p>
        </w:tc>
        <w:tc>
          <w:tcPr>
            <w:tcW w:w="1254" w:type="dxa"/>
            <w:noWrap/>
            <w:vAlign w:val="center"/>
          </w:tcPr>
          <w:p w14:paraId="715CD59F">
            <w:pPr>
              <w:pStyle w:val="41"/>
              <w:rPr>
                <w:color w:val="auto"/>
                <w:highlight w:val="none"/>
              </w:rPr>
            </w:pPr>
            <w:r>
              <w:rPr>
                <w:color w:val="auto"/>
                <w:highlight w:val="none"/>
              </w:rPr>
              <w:t>100</w:t>
            </w:r>
          </w:p>
        </w:tc>
        <w:tc>
          <w:tcPr>
            <w:tcW w:w="1532" w:type="dxa"/>
            <w:noWrap/>
            <w:vAlign w:val="center"/>
          </w:tcPr>
          <w:p w14:paraId="117C21C9">
            <w:pPr>
              <w:pStyle w:val="41"/>
              <w:rPr>
                <w:color w:val="auto"/>
                <w:highlight w:val="none"/>
              </w:rPr>
            </w:pPr>
            <w:r>
              <w:rPr>
                <w:color w:val="auto"/>
                <w:highlight w:val="none"/>
              </w:rPr>
              <w:t>0.084264</w:t>
            </w:r>
          </w:p>
        </w:tc>
        <w:tc>
          <w:tcPr>
            <w:tcW w:w="946" w:type="dxa"/>
            <w:noWrap/>
            <w:vAlign w:val="center"/>
          </w:tcPr>
          <w:p w14:paraId="6228DA95">
            <w:pPr>
              <w:pStyle w:val="41"/>
              <w:rPr>
                <w:color w:val="auto"/>
                <w:highlight w:val="none"/>
              </w:rPr>
            </w:pPr>
            <w:r>
              <w:rPr>
                <w:color w:val="auto"/>
                <w:highlight w:val="none"/>
              </w:rPr>
              <w:t xml:space="preserve">9.36 </w:t>
            </w:r>
          </w:p>
        </w:tc>
        <w:tc>
          <w:tcPr>
            <w:tcW w:w="1398" w:type="dxa"/>
            <w:noWrap/>
            <w:vAlign w:val="center"/>
          </w:tcPr>
          <w:p w14:paraId="545679AB">
            <w:pPr>
              <w:pStyle w:val="41"/>
              <w:rPr>
                <w:color w:val="auto"/>
                <w:highlight w:val="none"/>
              </w:rPr>
            </w:pPr>
            <w:r>
              <w:rPr>
                <w:color w:val="auto"/>
                <w:highlight w:val="none"/>
              </w:rPr>
              <w:t>0.010964</w:t>
            </w:r>
          </w:p>
        </w:tc>
        <w:tc>
          <w:tcPr>
            <w:tcW w:w="872" w:type="dxa"/>
            <w:noWrap/>
            <w:vAlign w:val="center"/>
          </w:tcPr>
          <w:p w14:paraId="14867269">
            <w:pPr>
              <w:pStyle w:val="41"/>
              <w:rPr>
                <w:color w:val="auto"/>
                <w:highlight w:val="none"/>
              </w:rPr>
            </w:pPr>
            <w:r>
              <w:rPr>
                <w:color w:val="auto"/>
                <w:highlight w:val="none"/>
              </w:rPr>
              <w:t>1.22</w:t>
            </w:r>
          </w:p>
        </w:tc>
      </w:tr>
      <w:tr w14:paraId="027047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B7E50FF">
            <w:pPr>
              <w:pStyle w:val="41"/>
              <w:rPr>
                <w:color w:val="auto"/>
                <w:highlight w:val="none"/>
              </w:rPr>
            </w:pPr>
            <w:r>
              <w:rPr>
                <w:color w:val="auto"/>
                <w:highlight w:val="none"/>
              </w:rPr>
              <w:t>7</w:t>
            </w:r>
          </w:p>
        </w:tc>
        <w:tc>
          <w:tcPr>
            <w:tcW w:w="1254" w:type="dxa"/>
            <w:noWrap/>
            <w:vAlign w:val="center"/>
          </w:tcPr>
          <w:p w14:paraId="57F5FFBB">
            <w:pPr>
              <w:pStyle w:val="41"/>
              <w:rPr>
                <w:color w:val="auto"/>
                <w:highlight w:val="none"/>
              </w:rPr>
            </w:pPr>
            <w:r>
              <w:rPr>
                <w:color w:val="auto"/>
                <w:highlight w:val="none"/>
              </w:rPr>
              <w:t>125</w:t>
            </w:r>
          </w:p>
        </w:tc>
        <w:tc>
          <w:tcPr>
            <w:tcW w:w="1532" w:type="dxa"/>
            <w:noWrap/>
            <w:vAlign w:val="center"/>
          </w:tcPr>
          <w:p w14:paraId="13609283">
            <w:pPr>
              <w:pStyle w:val="41"/>
              <w:rPr>
                <w:color w:val="auto"/>
                <w:highlight w:val="none"/>
              </w:rPr>
            </w:pPr>
            <w:r>
              <w:rPr>
                <w:color w:val="auto"/>
                <w:highlight w:val="none"/>
              </w:rPr>
              <w:t>0.0784456</w:t>
            </w:r>
          </w:p>
        </w:tc>
        <w:tc>
          <w:tcPr>
            <w:tcW w:w="946" w:type="dxa"/>
            <w:noWrap/>
            <w:vAlign w:val="center"/>
          </w:tcPr>
          <w:p w14:paraId="7AE15C71">
            <w:pPr>
              <w:pStyle w:val="41"/>
              <w:rPr>
                <w:color w:val="auto"/>
                <w:highlight w:val="none"/>
              </w:rPr>
            </w:pPr>
            <w:r>
              <w:rPr>
                <w:color w:val="auto"/>
                <w:highlight w:val="none"/>
              </w:rPr>
              <w:t xml:space="preserve">8.72 </w:t>
            </w:r>
          </w:p>
        </w:tc>
        <w:tc>
          <w:tcPr>
            <w:tcW w:w="1398" w:type="dxa"/>
            <w:noWrap/>
            <w:vAlign w:val="center"/>
          </w:tcPr>
          <w:p w14:paraId="32A44560">
            <w:pPr>
              <w:pStyle w:val="41"/>
              <w:rPr>
                <w:color w:val="auto"/>
                <w:highlight w:val="none"/>
              </w:rPr>
            </w:pPr>
            <w:r>
              <w:rPr>
                <w:color w:val="auto"/>
                <w:highlight w:val="none"/>
              </w:rPr>
              <w:t>0.011434</w:t>
            </w:r>
          </w:p>
        </w:tc>
        <w:tc>
          <w:tcPr>
            <w:tcW w:w="872" w:type="dxa"/>
            <w:noWrap/>
            <w:vAlign w:val="center"/>
          </w:tcPr>
          <w:p w14:paraId="6306441F">
            <w:pPr>
              <w:pStyle w:val="41"/>
              <w:rPr>
                <w:color w:val="auto"/>
                <w:highlight w:val="none"/>
              </w:rPr>
            </w:pPr>
            <w:r>
              <w:rPr>
                <w:color w:val="auto"/>
                <w:highlight w:val="none"/>
              </w:rPr>
              <w:t>1.27</w:t>
            </w:r>
          </w:p>
        </w:tc>
      </w:tr>
      <w:tr w14:paraId="66E8D6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87BBA8E">
            <w:pPr>
              <w:pStyle w:val="41"/>
              <w:rPr>
                <w:color w:val="auto"/>
                <w:highlight w:val="none"/>
              </w:rPr>
            </w:pPr>
            <w:r>
              <w:rPr>
                <w:color w:val="auto"/>
                <w:highlight w:val="none"/>
              </w:rPr>
              <w:t>8</w:t>
            </w:r>
          </w:p>
        </w:tc>
        <w:tc>
          <w:tcPr>
            <w:tcW w:w="1254" w:type="dxa"/>
            <w:noWrap/>
            <w:vAlign w:val="center"/>
          </w:tcPr>
          <w:p w14:paraId="2DB09E39">
            <w:pPr>
              <w:pStyle w:val="41"/>
              <w:rPr>
                <w:color w:val="auto"/>
                <w:highlight w:val="none"/>
              </w:rPr>
            </w:pPr>
            <w:r>
              <w:rPr>
                <w:color w:val="auto"/>
                <w:highlight w:val="none"/>
              </w:rPr>
              <w:t>150</w:t>
            </w:r>
          </w:p>
        </w:tc>
        <w:tc>
          <w:tcPr>
            <w:tcW w:w="1532" w:type="dxa"/>
            <w:noWrap/>
            <w:vAlign w:val="center"/>
          </w:tcPr>
          <w:p w14:paraId="6BB2C9DF">
            <w:pPr>
              <w:pStyle w:val="41"/>
              <w:rPr>
                <w:color w:val="auto"/>
                <w:highlight w:val="none"/>
              </w:rPr>
            </w:pPr>
            <w:r>
              <w:rPr>
                <w:color w:val="auto"/>
                <w:highlight w:val="none"/>
              </w:rPr>
              <w:t>0.0628872</w:t>
            </w:r>
          </w:p>
        </w:tc>
        <w:tc>
          <w:tcPr>
            <w:tcW w:w="946" w:type="dxa"/>
            <w:noWrap/>
            <w:vAlign w:val="center"/>
          </w:tcPr>
          <w:p w14:paraId="44F74FB2">
            <w:pPr>
              <w:pStyle w:val="41"/>
              <w:rPr>
                <w:color w:val="auto"/>
                <w:highlight w:val="none"/>
              </w:rPr>
            </w:pPr>
            <w:r>
              <w:rPr>
                <w:color w:val="auto"/>
                <w:highlight w:val="none"/>
              </w:rPr>
              <w:t xml:space="preserve">6.98 </w:t>
            </w:r>
          </w:p>
        </w:tc>
        <w:tc>
          <w:tcPr>
            <w:tcW w:w="1398" w:type="dxa"/>
            <w:noWrap/>
            <w:vAlign w:val="center"/>
          </w:tcPr>
          <w:p w14:paraId="5EB937DA">
            <w:pPr>
              <w:pStyle w:val="41"/>
              <w:rPr>
                <w:color w:val="auto"/>
                <w:highlight w:val="none"/>
              </w:rPr>
            </w:pPr>
            <w:r>
              <w:rPr>
                <w:color w:val="auto"/>
                <w:highlight w:val="none"/>
              </w:rPr>
              <w:t>0.011903</w:t>
            </w:r>
          </w:p>
        </w:tc>
        <w:tc>
          <w:tcPr>
            <w:tcW w:w="872" w:type="dxa"/>
            <w:noWrap/>
            <w:vAlign w:val="center"/>
          </w:tcPr>
          <w:p w14:paraId="02A09E62">
            <w:pPr>
              <w:pStyle w:val="41"/>
              <w:rPr>
                <w:color w:val="auto"/>
                <w:highlight w:val="none"/>
              </w:rPr>
            </w:pPr>
            <w:r>
              <w:rPr>
                <w:color w:val="auto"/>
                <w:highlight w:val="none"/>
              </w:rPr>
              <w:t>1.32</w:t>
            </w:r>
          </w:p>
        </w:tc>
      </w:tr>
      <w:tr w14:paraId="7C09FA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D7C3EAA">
            <w:pPr>
              <w:pStyle w:val="41"/>
              <w:rPr>
                <w:color w:val="auto"/>
                <w:highlight w:val="none"/>
              </w:rPr>
            </w:pPr>
            <w:r>
              <w:rPr>
                <w:color w:val="auto"/>
                <w:highlight w:val="none"/>
              </w:rPr>
              <w:t>9</w:t>
            </w:r>
          </w:p>
        </w:tc>
        <w:tc>
          <w:tcPr>
            <w:tcW w:w="1254" w:type="dxa"/>
            <w:noWrap/>
            <w:vAlign w:val="center"/>
          </w:tcPr>
          <w:p w14:paraId="727CBCE6">
            <w:pPr>
              <w:pStyle w:val="41"/>
              <w:rPr>
                <w:color w:val="auto"/>
                <w:highlight w:val="none"/>
              </w:rPr>
            </w:pPr>
            <w:r>
              <w:rPr>
                <w:color w:val="auto"/>
                <w:highlight w:val="none"/>
              </w:rPr>
              <w:t>175</w:t>
            </w:r>
          </w:p>
        </w:tc>
        <w:tc>
          <w:tcPr>
            <w:tcW w:w="1532" w:type="dxa"/>
            <w:noWrap/>
            <w:vAlign w:val="center"/>
          </w:tcPr>
          <w:p w14:paraId="3667A5C9">
            <w:pPr>
              <w:pStyle w:val="41"/>
              <w:rPr>
                <w:color w:val="auto"/>
                <w:highlight w:val="none"/>
              </w:rPr>
            </w:pPr>
            <w:r>
              <w:rPr>
                <w:color w:val="auto"/>
                <w:highlight w:val="none"/>
              </w:rPr>
              <w:t>0.0522208</w:t>
            </w:r>
          </w:p>
        </w:tc>
        <w:tc>
          <w:tcPr>
            <w:tcW w:w="946" w:type="dxa"/>
            <w:noWrap/>
            <w:vAlign w:val="center"/>
          </w:tcPr>
          <w:p w14:paraId="414FEEF4">
            <w:pPr>
              <w:pStyle w:val="41"/>
              <w:rPr>
                <w:color w:val="auto"/>
                <w:highlight w:val="none"/>
              </w:rPr>
            </w:pPr>
            <w:r>
              <w:rPr>
                <w:color w:val="auto"/>
                <w:highlight w:val="none"/>
              </w:rPr>
              <w:t xml:space="preserve">5.80 </w:t>
            </w:r>
          </w:p>
        </w:tc>
        <w:tc>
          <w:tcPr>
            <w:tcW w:w="1398" w:type="dxa"/>
            <w:noWrap/>
            <w:vAlign w:val="center"/>
          </w:tcPr>
          <w:p w14:paraId="328EE5CD">
            <w:pPr>
              <w:pStyle w:val="41"/>
              <w:rPr>
                <w:color w:val="auto"/>
                <w:highlight w:val="none"/>
              </w:rPr>
            </w:pPr>
            <w:r>
              <w:rPr>
                <w:color w:val="auto"/>
                <w:highlight w:val="none"/>
              </w:rPr>
              <w:t>0.01237</w:t>
            </w:r>
          </w:p>
        </w:tc>
        <w:tc>
          <w:tcPr>
            <w:tcW w:w="872" w:type="dxa"/>
            <w:noWrap/>
            <w:vAlign w:val="center"/>
          </w:tcPr>
          <w:p w14:paraId="2F12B72D">
            <w:pPr>
              <w:pStyle w:val="41"/>
              <w:rPr>
                <w:color w:val="auto"/>
                <w:highlight w:val="none"/>
              </w:rPr>
            </w:pPr>
            <w:r>
              <w:rPr>
                <w:color w:val="auto"/>
                <w:highlight w:val="none"/>
              </w:rPr>
              <w:t>1.37</w:t>
            </w:r>
          </w:p>
        </w:tc>
      </w:tr>
      <w:tr w14:paraId="40565B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5E2F467">
            <w:pPr>
              <w:pStyle w:val="41"/>
              <w:rPr>
                <w:color w:val="auto"/>
                <w:highlight w:val="none"/>
              </w:rPr>
            </w:pPr>
            <w:r>
              <w:rPr>
                <w:color w:val="auto"/>
                <w:highlight w:val="none"/>
              </w:rPr>
              <w:t>10</w:t>
            </w:r>
          </w:p>
        </w:tc>
        <w:tc>
          <w:tcPr>
            <w:tcW w:w="1254" w:type="dxa"/>
            <w:noWrap/>
            <w:vAlign w:val="center"/>
          </w:tcPr>
          <w:p w14:paraId="0EC6CB65">
            <w:pPr>
              <w:pStyle w:val="41"/>
              <w:rPr>
                <w:color w:val="auto"/>
                <w:highlight w:val="none"/>
              </w:rPr>
            </w:pPr>
            <w:r>
              <w:rPr>
                <w:color w:val="auto"/>
                <w:highlight w:val="none"/>
              </w:rPr>
              <w:t>200</w:t>
            </w:r>
          </w:p>
        </w:tc>
        <w:tc>
          <w:tcPr>
            <w:tcW w:w="1532" w:type="dxa"/>
            <w:noWrap/>
            <w:vAlign w:val="center"/>
          </w:tcPr>
          <w:p w14:paraId="7B75891A">
            <w:pPr>
              <w:pStyle w:val="41"/>
              <w:rPr>
                <w:color w:val="auto"/>
                <w:highlight w:val="none"/>
              </w:rPr>
            </w:pPr>
            <w:r>
              <w:rPr>
                <w:color w:val="auto"/>
                <w:highlight w:val="none"/>
              </w:rPr>
              <w:t>0.0451896</w:t>
            </w:r>
          </w:p>
        </w:tc>
        <w:tc>
          <w:tcPr>
            <w:tcW w:w="946" w:type="dxa"/>
            <w:noWrap/>
            <w:vAlign w:val="center"/>
          </w:tcPr>
          <w:p w14:paraId="6719991D">
            <w:pPr>
              <w:pStyle w:val="41"/>
              <w:rPr>
                <w:color w:val="auto"/>
                <w:highlight w:val="none"/>
              </w:rPr>
            </w:pPr>
            <w:r>
              <w:rPr>
                <w:color w:val="auto"/>
                <w:highlight w:val="none"/>
              </w:rPr>
              <w:t xml:space="preserve">5.02 </w:t>
            </w:r>
          </w:p>
        </w:tc>
        <w:tc>
          <w:tcPr>
            <w:tcW w:w="1398" w:type="dxa"/>
            <w:noWrap/>
            <w:vAlign w:val="center"/>
          </w:tcPr>
          <w:p w14:paraId="5C13D250">
            <w:pPr>
              <w:pStyle w:val="41"/>
              <w:rPr>
                <w:color w:val="auto"/>
                <w:highlight w:val="none"/>
              </w:rPr>
            </w:pPr>
            <w:r>
              <w:rPr>
                <w:color w:val="auto"/>
                <w:highlight w:val="none"/>
              </w:rPr>
              <w:t>0.012837</w:t>
            </w:r>
          </w:p>
        </w:tc>
        <w:tc>
          <w:tcPr>
            <w:tcW w:w="872" w:type="dxa"/>
            <w:noWrap/>
            <w:vAlign w:val="center"/>
          </w:tcPr>
          <w:p w14:paraId="7F782CA9">
            <w:pPr>
              <w:pStyle w:val="41"/>
              <w:rPr>
                <w:color w:val="auto"/>
                <w:highlight w:val="none"/>
              </w:rPr>
            </w:pPr>
            <w:r>
              <w:rPr>
                <w:color w:val="auto"/>
                <w:highlight w:val="none"/>
              </w:rPr>
              <w:t>1.43</w:t>
            </w:r>
          </w:p>
        </w:tc>
      </w:tr>
      <w:tr w14:paraId="49B70C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BF8DE27">
            <w:pPr>
              <w:pStyle w:val="41"/>
              <w:rPr>
                <w:color w:val="auto"/>
                <w:highlight w:val="none"/>
              </w:rPr>
            </w:pPr>
            <w:r>
              <w:rPr>
                <w:color w:val="auto"/>
                <w:highlight w:val="none"/>
              </w:rPr>
              <w:t>11</w:t>
            </w:r>
          </w:p>
        </w:tc>
        <w:tc>
          <w:tcPr>
            <w:tcW w:w="1254" w:type="dxa"/>
            <w:noWrap/>
            <w:vAlign w:val="center"/>
          </w:tcPr>
          <w:p w14:paraId="256F67D2">
            <w:pPr>
              <w:pStyle w:val="41"/>
              <w:rPr>
                <w:color w:val="auto"/>
                <w:highlight w:val="none"/>
              </w:rPr>
            </w:pPr>
            <w:r>
              <w:rPr>
                <w:color w:val="auto"/>
                <w:highlight w:val="none"/>
              </w:rPr>
              <w:t>225</w:t>
            </w:r>
          </w:p>
        </w:tc>
        <w:tc>
          <w:tcPr>
            <w:tcW w:w="1532" w:type="dxa"/>
            <w:noWrap/>
            <w:vAlign w:val="center"/>
          </w:tcPr>
          <w:p w14:paraId="3DEE9B1C">
            <w:pPr>
              <w:pStyle w:val="41"/>
              <w:rPr>
                <w:color w:val="auto"/>
                <w:highlight w:val="none"/>
              </w:rPr>
            </w:pPr>
            <w:r>
              <w:rPr>
                <w:color w:val="auto"/>
                <w:highlight w:val="none"/>
              </w:rPr>
              <w:t>0.0403064</w:t>
            </w:r>
          </w:p>
        </w:tc>
        <w:tc>
          <w:tcPr>
            <w:tcW w:w="946" w:type="dxa"/>
            <w:noWrap/>
            <w:vAlign w:val="center"/>
          </w:tcPr>
          <w:p w14:paraId="05C16761">
            <w:pPr>
              <w:pStyle w:val="41"/>
              <w:rPr>
                <w:color w:val="auto"/>
                <w:highlight w:val="none"/>
              </w:rPr>
            </w:pPr>
            <w:r>
              <w:rPr>
                <w:color w:val="auto"/>
                <w:highlight w:val="none"/>
              </w:rPr>
              <w:t xml:space="preserve">4.48 </w:t>
            </w:r>
          </w:p>
        </w:tc>
        <w:tc>
          <w:tcPr>
            <w:tcW w:w="1398" w:type="dxa"/>
            <w:noWrap/>
            <w:vAlign w:val="center"/>
          </w:tcPr>
          <w:p w14:paraId="67A79E6C">
            <w:pPr>
              <w:pStyle w:val="41"/>
              <w:rPr>
                <w:color w:val="auto"/>
                <w:highlight w:val="none"/>
              </w:rPr>
            </w:pPr>
            <w:r>
              <w:rPr>
                <w:color w:val="auto"/>
                <w:highlight w:val="none"/>
              </w:rPr>
              <w:t>0.0133</w:t>
            </w:r>
          </w:p>
        </w:tc>
        <w:tc>
          <w:tcPr>
            <w:tcW w:w="872" w:type="dxa"/>
            <w:noWrap/>
            <w:vAlign w:val="center"/>
          </w:tcPr>
          <w:p w14:paraId="24757931">
            <w:pPr>
              <w:pStyle w:val="41"/>
              <w:rPr>
                <w:color w:val="auto"/>
                <w:highlight w:val="none"/>
              </w:rPr>
            </w:pPr>
            <w:r>
              <w:rPr>
                <w:color w:val="auto"/>
                <w:highlight w:val="none"/>
              </w:rPr>
              <w:t>1.48</w:t>
            </w:r>
          </w:p>
        </w:tc>
      </w:tr>
      <w:tr w14:paraId="3BCE76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E58A109">
            <w:pPr>
              <w:pStyle w:val="41"/>
              <w:rPr>
                <w:color w:val="auto"/>
                <w:highlight w:val="none"/>
              </w:rPr>
            </w:pPr>
            <w:r>
              <w:rPr>
                <w:color w:val="auto"/>
                <w:highlight w:val="none"/>
              </w:rPr>
              <w:t>12</w:t>
            </w:r>
          </w:p>
        </w:tc>
        <w:tc>
          <w:tcPr>
            <w:tcW w:w="1254" w:type="dxa"/>
            <w:noWrap/>
            <w:vAlign w:val="center"/>
          </w:tcPr>
          <w:p w14:paraId="79268A57">
            <w:pPr>
              <w:pStyle w:val="41"/>
              <w:rPr>
                <w:color w:val="auto"/>
                <w:highlight w:val="none"/>
              </w:rPr>
            </w:pPr>
            <w:r>
              <w:rPr>
                <w:color w:val="auto"/>
                <w:highlight w:val="none"/>
              </w:rPr>
              <w:t>250</w:t>
            </w:r>
          </w:p>
        </w:tc>
        <w:tc>
          <w:tcPr>
            <w:tcW w:w="1532" w:type="dxa"/>
            <w:noWrap/>
            <w:vAlign w:val="center"/>
          </w:tcPr>
          <w:p w14:paraId="56963506">
            <w:pPr>
              <w:pStyle w:val="41"/>
              <w:rPr>
                <w:color w:val="auto"/>
                <w:highlight w:val="none"/>
              </w:rPr>
            </w:pPr>
            <w:r>
              <w:rPr>
                <w:color w:val="auto"/>
                <w:highlight w:val="none"/>
              </w:rPr>
              <w:t>0.037188</w:t>
            </w:r>
          </w:p>
        </w:tc>
        <w:tc>
          <w:tcPr>
            <w:tcW w:w="946" w:type="dxa"/>
            <w:noWrap/>
            <w:vAlign w:val="center"/>
          </w:tcPr>
          <w:p w14:paraId="5B7D061D">
            <w:pPr>
              <w:pStyle w:val="41"/>
              <w:rPr>
                <w:color w:val="auto"/>
                <w:highlight w:val="none"/>
              </w:rPr>
            </w:pPr>
            <w:r>
              <w:rPr>
                <w:color w:val="auto"/>
                <w:highlight w:val="none"/>
              </w:rPr>
              <w:t xml:space="preserve">4.14 </w:t>
            </w:r>
          </w:p>
        </w:tc>
        <w:tc>
          <w:tcPr>
            <w:tcW w:w="1398" w:type="dxa"/>
            <w:noWrap/>
            <w:vAlign w:val="center"/>
          </w:tcPr>
          <w:p w14:paraId="666065B1">
            <w:pPr>
              <w:pStyle w:val="41"/>
              <w:rPr>
                <w:color w:val="auto"/>
                <w:highlight w:val="none"/>
              </w:rPr>
            </w:pPr>
            <w:r>
              <w:rPr>
                <w:color w:val="auto"/>
                <w:highlight w:val="none"/>
              </w:rPr>
              <w:t>0.013762</w:t>
            </w:r>
          </w:p>
        </w:tc>
        <w:tc>
          <w:tcPr>
            <w:tcW w:w="872" w:type="dxa"/>
            <w:noWrap/>
            <w:vAlign w:val="center"/>
          </w:tcPr>
          <w:p w14:paraId="1B2A2B5E">
            <w:pPr>
              <w:pStyle w:val="41"/>
              <w:rPr>
                <w:color w:val="auto"/>
                <w:highlight w:val="none"/>
              </w:rPr>
            </w:pPr>
            <w:r>
              <w:rPr>
                <w:color w:val="auto"/>
                <w:highlight w:val="none"/>
              </w:rPr>
              <w:t>1.53</w:t>
            </w:r>
          </w:p>
        </w:tc>
      </w:tr>
      <w:tr w14:paraId="2FBDC8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AA45BDE">
            <w:pPr>
              <w:pStyle w:val="41"/>
              <w:rPr>
                <w:color w:val="auto"/>
                <w:highlight w:val="none"/>
              </w:rPr>
            </w:pPr>
            <w:r>
              <w:rPr>
                <w:color w:val="auto"/>
                <w:highlight w:val="none"/>
              </w:rPr>
              <w:t>13</w:t>
            </w:r>
          </w:p>
        </w:tc>
        <w:tc>
          <w:tcPr>
            <w:tcW w:w="1254" w:type="dxa"/>
            <w:noWrap/>
            <w:vAlign w:val="center"/>
          </w:tcPr>
          <w:p w14:paraId="0E655846">
            <w:pPr>
              <w:pStyle w:val="41"/>
              <w:rPr>
                <w:color w:val="auto"/>
                <w:highlight w:val="none"/>
              </w:rPr>
            </w:pPr>
            <w:r>
              <w:rPr>
                <w:color w:val="auto"/>
                <w:highlight w:val="none"/>
              </w:rPr>
              <w:t>275</w:t>
            </w:r>
          </w:p>
        </w:tc>
        <w:tc>
          <w:tcPr>
            <w:tcW w:w="1532" w:type="dxa"/>
            <w:noWrap/>
            <w:vAlign w:val="center"/>
          </w:tcPr>
          <w:p w14:paraId="60F83C63">
            <w:pPr>
              <w:pStyle w:val="41"/>
              <w:rPr>
                <w:color w:val="auto"/>
                <w:highlight w:val="none"/>
              </w:rPr>
            </w:pPr>
            <w:r>
              <w:rPr>
                <w:color w:val="auto"/>
                <w:highlight w:val="none"/>
              </w:rPr>
              <w:t>0.0349976</w:t>
            </w:r>
          </w:p>
        </w:tc>
        <w:tc>
          <w:tcPr>
            <w:tcW w:w="946" w:type="dxa"/>
            <w:noWrap/>
            <w:vAlign w:val="center"/>
          </w:tcPr>
          <w:p w14:paraId="2E317C54">
            <w:pPr>
              <w:pStyle w:val="41"/>
              <w:rPr>
                <w:color w:val="auto"/>
                <w:highlight w:val="none"/>
              </w:rPr>
            </w:pPr>
            <w:r>
              <w:rPr>
                <w:color w:val="auto"/>
                <w:highlight w:val="none"/>
              </w:rPr>
              <w:t xml:space="preserve">3.89 </w:t>
            </w:r>
          </w:p>
        </w:tc>
        <w:tc>
          <w:tcPr>
            <w:tcW w:w="1398" w:type="dxa"/>
            <w:noWrap/>
            <w:vAlign w:val="center"/>
          </w:tcPr>
          <w:p w14:paraId="3B7B7E9A">
            <w:pPr>
              <w:pStyle w:val="41"/>
              <w:rPr>
                <w:color w:val="auto"/>
                <w:highlight w:val="none"/>
              </w:rPr>
            </w:pPr>
            <w:r>
              <w:rPr>
                <w:color w:val="auto"/>
                <w:highlight w:val="none"/>
              </w:rPr>
              <w:t>0.014223</w:t>
            </w:r>
          </w:p>
        </w:tc>
        <w:tc>
          <w:tcPr>
            <w:tcW w:w="872" w:type="dxa"/>
            <w:noWrap/>
            <w:vAlign w:val="center"/>
          </w:tcPr>
          <w:p w14:paraId="0BB4BCDB">
            <w:pPr>
              <w:pStyle w:val="41"/>
              <w:rPr>
                <w:color w:val="auto"/>
                <w:highlight w:val="none"/>
              </w:rPr>
            </w:pPr>
            <w:r>
              <w:rPr>
                <w:color w:val="auto"/>
                <w:highlight w:val="none"/>
              </w:rPr>
              <w:t>1.58</w:t>
            </w:r>
          </w:p>
        </w:tc>
      </w:tr>
      <w:tr w14:paraId="1E2B0B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EB02776">
            <w:pPr>
              <w:pStyle w:val="41"/>
              <w:rPr>
                <w:color w:val="auto"/>
                <w:highlight w:val="none"/>
              </w:rPr>
            </w:pPr>
            <w:r>
              <w:rPr>
                <w:color w:val="auto"/>
                <w:highlight w:val="none"/>
              </w:rPr>
              <w:t>14</w:t>
            </w:r>
          </w:p>
        </w:tc>
        <w:tc>
          <w:tcPr>
            <w:tcW w:w="1254" w:type="dxa"/>
            <w:noWrap/>
            <w:vAlign w:val="center"/>
          </w:tcPr>
          <w:p w14:paraId="66E6AF0F">
            <w:pPr>
              <w:pStyle w:val="41"/>
              <w:rPr>
                <w:color w:val="auto"/>
                <w:highlight w:val="none"/>
              </w:rPr>
            </w:pPr>
            <w:r>
              <w:rPr>
                <w:color w:val="auto"/>
                <w:highlight w:val="none"/>
              </w:rPr>
              <w:t>300</w:t>
            </w:r>
          </w:p>
        </w:tc>
        <w:tc>
          <w:tcPr>
            <w:tcW w:w="1532" w:type="dxa"/>
            <w:noWrap/>
            <w:vAlign w:val="center"/>
          </w:tcPr>
          <w:p w14:paraId="3AD6C072">
            <w:pPr>
              <w:pStyle w:val="41"/>
              <w:rPr>
                <w:color w:val="auto"/>
                <w:highlight w:val="none"/>
              </w:rPr>
            </w:pPr>
            <w:r>
              <w:rPr>
                <w:color w:val="auto"/>
                <w:highlight w:val="none"/>
              </w:rPr>
              <w:t>0.0329112</w:t>
            </w:r>
          </w:p>
        </w:tc>
        <w:tc>
          <w:tcPr>
            <w:tcW w:w="946" w:type="dxa"/>
            <w:noWrap/>
            <w:vAlign w:val="center"/>
          </w:tcPr>
          <w:p w14:paraId="5BA1A1C4">
            <w:pPr>
              <w:pStyle w:val="41"/>
              <w:rPr>
                <w:color w:val="auto"/>
                <w:highlight w:val="none"/>
              </w:rPr>
            </w:pPr>
            <w:r>
              <w:rPr>
                <w:color w:val="auto"/>
                <w:highlight w:val="none"/>
              </w:rPr>
              <w:t xml:space="preserve">3.66 </w:t>
            </w:r>
          </w:p>
        </w:tc>
        <w:tc>
          <w:tcPr>
            <w:tcW w:w="1398" w:type="dxa"/>
            <w:noWrap/>
            <w:vAlign w:val="center"/>
          </w:tcPr>
          <w:p w14:paraId="62C7B990">
            <w:pPr>
              <w:pStyle w:val="41"/>
              <w:rPr>
                <w:color w:val="auto"/>
                <w:highlight w:val="none"/>
              </w:rPr>
            </w:pPr>
            <w:r>
              <w:rPr>
                <w:color w:val="auto"/>
                <w:highlight w:val="none"/>
              </w:rPr>
              <w:t>0.01468</w:t>
            </w:r>
          </w:p>
        </w:tc>
        <w:tc>
          <w:tcPr>
            <w:tcW w:w="872" w:type="dxa"/>
            <w:noWrap/>
            <w:vAlign w:val="center"/>
          </w:tcPr>
          <w:p w14:paraId="2326AF97">
            <w:pPr>
              <w:pStyle w:val="41"/>
              <w:rPr>
                <w:color w:val="auto"/>
                <w:highlight w:val="none"/>
              </w:rPr>
            </w:pPr>
            <w:r>
              <w:rPr>
                <w:color w:val="auto"/>
                <w:highlight w:val="none"/>
              </w:rPr>
              <w:t>1.63</w:t>
            </w:r>
          </w:p>
        </w:tc>
      </w:tr>
      <w:tr w14:paraId="6E0DF9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4601B58">
            <w:pPr>
              <w:pStyle w:val="41"/>
              <w:rPr>
                <w:color w:val="auto"/>
                <w:highlight w:val="none"/>
              </w:rPr>
            </w:pPr>
            <w:r>
              <w:rPr>
                <w:color w:val="auto"/>
                <w:highlight w:val="none"/>
              </w:rPr>
              <w:t>15</w:t>
            </w:r>
          </w:p>
        </w:tc>
        <w:tc>
          <w:tcPr>
            <w:tcW w:w="1254" w:type="dxa"/>
            <w:noWrap/>
            <w:vAlign w:val="center"/>
          </w:tcPr>
          <w:p w14:paraId="2605E506">
            <w:pPr>
              <w:pStyle w:val="41"/>
              <w:rPr>
                <w:color w:val="auto"/>
                <w:highlight w:val="none"/>
              </w:rPr>
            </w:pPr>
            <w:r>
              <w:rPr>
                <w:color w:val="auto"/>
                <w:highlight w:val="none"/>
              </w:rPr>
              <w:t>325</w:t>
            </w:r>
          </w:p>
        </w:tc>
        <w:tc>
          <w:tcPr>
            <w:tcW w:w="1532" w:type="dxa"/>
            <w:noWrap/>
            <w:vAlign w:val="center"/>
          </w:tcPr>
          <w:p w14:paraId="4B2FD9F1">
            <w:pPr>
              <w:pStyle w:val="41"/>
              <w:rPr>
                <w:color w:val="auto"/>
                <w:highlight w:val="none"/>
              </w:rPr>
            </w:pPr>
            <w:r>
              <w:rPr>
                <w:color w:val="auto"/>
                <w:highlight w:val="none"/>
              </w:rPr>
              <w:t>0.0310272</w:t>
            </w:r>
          </w:p>
        </w:tc>
        <w:tc>
          <w:tcPr>
            <w:tcW w:w="946" w:type="dxa"/>
            <w:noWrap/>
            <w:vAlign w:val="center"/>
          </w:tcPr>
          <w:p w14:paraId="05C8C653">
            <w:pPr>
              <w:pStyle w:val="41"/>
              <w:rPr>
                <w:color w:val="auto"/>
                <w:highlight w:val="none"/>
              </w:rPr>
            </w:pPr>
            <w:r>
              <w:rPr>
                <w:color w:val="auto"/>
                <w:highlight w:val="none"/>
              </w:rPr>
              <w:t xml:space="preserve">3.45 </w:t>
            </w:r>
          </w:p>
        </w:tc>
        <w:tc>
          <w:tcPr>
            <w:tcW w:w="1398" w:type="dxa"/>
            <w:noWrap/>
            <w:vAlign w:val="center"/>
          </w:tcPr>
          <w:p w14:paraId="026D147B">
            <w:pPr>
              <w:pStyle w:val="41"/>
              <w:rPr>
                <w:color w:val="auto"/>
                <w:highlight w:val="none"/>
              </w:rPr>
            </w:pPr>
            <w:r>
              <w:rPr>
                <w:color w:val="auto"/>
                <w:highlight w:val="none"/>
              </w:rPr>
              <w:t>0.015134</w:t>
            </w:r>
          </w:p>
        </w:tc>
        <w:tc>
          <w:tcPr>
            <w:tcW w:w="872" w:type="dxa"/>
            <w:noWrap/>
            <w:vAlign w:val="center"/>
          </w:tcPr>
          <w:p w14:paraId="2DB75A3F">
            <w:pPr>
              <w:pStyle w:val="41"/>
              <w:rPr>
                <w:color w:val="auto"/>
                <w:highlight w:val="none"/>
              </w:rPr>
            </w:pPr>
            <w:r>
              <w:rPr>
                <w:color w:val="auto"/>
                <w:highlight w:val="none"/>
              </w:rPr>
              <w:t>1.68</w:t>
            </w:r>
          </w:p>
        </w:tc>
      </w:tr>
      <w:tr w14:paraId="286B94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91B5A74">
            <w:pPr>
              <w:pStyle w:val="41"/>
              <w:rPr>
                <w:color w:val="auto"/>
                <w:highlight w:val="none"/>
              </w:rPr>
            </w:pPr>
            <w:r>
              <w:rPr>
                <w:color w:val="auto"/>
                <w:highlight w:val="none"/>
              </w:rPr>
              <w:t>16</w:t>
            </w:r>
          </w:p>
        </w:tc>
        <w:tc>
          <w:tcPr>
            <w:tcW w:w="1254" w:type="dxa"/>
            <w:noWrap/>
            <w:vAlign w:val="center"/>
          </w:tcPr>
          <w:p w14:paraId="1969EA89">
            <w:pPr>
              <w:pStyle w:val="41"/>
              <w:rPr>
                <w:color w:val="auto"/>
                <w:highlight w:val="none"/>
              </w:rPr>
            </w:pPr>
            <w:r>
              <w:rPr>
                <w:color w:val="auto"/>
                <w:highlight w:val="none"/>
              </w:rPr>
              <w:t>350</w:t>
            </w:r>
          </w:p>
        </w:tc>
        <w:tc>
          <w:tcPr>
            <w:tcW w:w="1532" w:type="dxa"/>
            <w:noWrap/>
            <w:vAlign w:val="center"/>
          </w:tcPr>
          <w:p w14:paraId="0F574DCF">
            <w:pPr>
              <w:pStyle w:val="41"/>
              <w:rPr>
                <w:color w:val="auto"/>
                <w:highlight w:val="none"/>
              </w:rPr>
            </w:pPr>
            <w:r>
              <w:rPr>
                <w:color w:val="auto"/>
                <w:highlight w:val="none"/>
              </w:rPr>
              <w:t>0.030084</w:t>
            </w:r>
          </w:p>
        </w:tc>
        <w:tc>
          <w:tcPr>
            <w:tcW w:w="946" w:type="dxa"/>
            <w:noWrap/>
            <w:vAlign w:val="center"/>
          </w:tcPr>
          <w:p w14:paraId="2350AEFB">
            <w:pPr>
              <w:pStyle w:val="41"/>
              <w:rPr>
                <w:color w:val="auto"/>
                <w:highlight w:val="none"/>
              </w:rPr>
            </w:pPr>
            <w:r>
              <w:rPr>
                <w:color w:val="auto"/>
                <w:highlight w:val="none"/>
              </w:rPr>
              <w:t xml:space="preserve">3.34 </w:t>
            </w:r>
          </w:p>
        </w:tc>
        <w:tc>
          <w:tcPr>
            <w:tcW w:w="1398" w:type="dxa"/>
            <w:noWrap/>
            <w:vAlign w:val="center"/>
          </w:tcPr>
          <w:p w14:paraId="6955902C">
            <w:pPr>
              <w:pStyle w:val="41"/>
              <w:rPr>
                <w:color w:val="auto"/>
                <w:highlight w:val="none"/>
              </w:rPr>
            </w:pPr>
            <w:r>
              <w:rPr>
                <w:color w:val="auto"/>
                <w:highlight w:val="none"/>
              </w:rPr>
              <w:t>0.015588</w:t>
            </w:r>
          </w:p>
        </w:tc>
        <w:tc>
          <w:tcPr>
            <w:tcW w:w="872" w:type="dxa"/>
            <w:noWrap/>
            <w:vAlign w:val="center"/>
          </w:tcPr>
          <w:p w14:paraId="1288E2A5">
            <w:pPr>
              <w:pStyle w:val="41"/>
              <w:rPr>
                <w:color w:val="auto"/>
                <w:highlight w:val="none"/>
              </w:rPr>
            </w:pPr>
            <w:r>
              <w:rPr>
                <w:color w:val="auto"/>
                <w:highlight w:val="none"/>
              </w:rPr>
              <w:t>1.73</w:t>
            </w:r>
          </w:p>
        </w:tc>
      </w:tr>
      <w:tr w14:paraId="17E2DD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233AEA7">
            <w:pPr>
              <w:pStyle w:val="41"/>
              <w:rPr>
                <w:color w:val="auto"/>
                <w:highlight w:val="none"/>
              </w:rPr>
            </w:pPr>
            <w:r>
              <w:rPr>
                <w:color w:val="auto"/>
                <w:highlight w:val="none"/>
              </w:rPr>
              <w:t>17</w:t>
            </w:r>
          </w:p>
        </w:tc>
        <w:tc>
          <w:tcPr>
            <w:tcW w:w="1254" w:type="dxa"/>
            <w:noWrap/>
            <w:vAlign w:val="center"/>
          </w:tcPr>
          <w:p w14:paraId="53C01588">
            <w:pPr>
              <w:pStyle w:val="41"/>
              <w:rPr>
                <w:color w:val="auto"/>
                <w:highlight w:val="none"/>
              </w:rPr>
            </w:pPr>
            <w:r>
              <w:rPr>
                <w:color w:val="auto"/>
                <w:highlight w:val="none"/>
              </w:rPr>
              <w:t>375</w:t>
            </w:r>
          </w:p>
        </w:tc>
        <w:tc>
          <w:tcPr>
            <w:tcW w:w="1532" w:type="dxa"/>
            <w:noWrap/>
            <w:vAlign w:val="center"/>
          </w:tcPr>
          <w:p w14:paraId="0B06EC95">
            <w:pPr>
              <w:pStyle w:val="41"/>
              <w:rPr>
                <w:color w:val="auto"/>
                <w:highlight w:val="none"/>
              </w:rPr>
            </w:pPr>
            <w:r>
              <w:rPr>
                <w:color w:val="auto"/>
                <w:highlight w:val="none"/>
              </w:rPr>
              <w:t>0.02926</w:t>
            </w:r>
          </w:p>
        </w:tc>
        <w:tc>
          <w:tcPr>
            <w:tcW w:w="946" w:type="dxa"/>
            <w:noWrap/>
            <w:vAlign w:val="center"/>
          </w:tcPr>
          <w:p w14:paraId="23AED25E">
            <w:pPr>
              <w:pStyle w:val="41"/>
              <w:rPr>
                <w:color w:val="auto"/>
                <w:highlight w:val="none"/>
              </w:rPr>
            </w:pPr>
            <w:r>
              <w:rPr>
                <w:color w:val="auto"/>
                <w:highlight w:val="none"/>
              </w:rPr>
              <w:t xml:space="preserve">3.25 </w:t>
            </w:r>
          </w:p>
        </w:tc>
        <w:tc>
          <w:tcPr>
            <w:tcW w:w="1398" w:type="dxa"/>
            <w:noWrap/>
            <w:vAlign w:val="center"/>
          </w:tcPr>
          <w:p w14:paraId="04C92982">
            <w:pPr>
              <w:pStyle w:val="41"/>
              <w:rPr>
                <w:color w:val="auto"/>
                <w:highlight w:val="none"/>
              </w:rPr>
            </w:pPr>
            <w:r>
              <w:rPr>
                <w:color w:val="auto"/>
                <w:highlight w:val="none"/>
              </w:rPr>
              <w:t>0.016039</w:t>
            </w:r>
          </w:p>
        </w:tc>
        <w:tc>
          <w:tcPr>
            <w:tcW w:w="872" w:type="dxa"/>
            <w:noWrap/>
            <w:vAlign w:val="center"/>
          </w:tcPr>
          <w:p w14:paraId="344A0D09">
            <w:pPr>
              <w:pStyle w:val="41"/>
              <w:rPr>
                <w:color w:val="auto"/>
                <w:highlight w:val="none"/>
              </w:rPr>
            </w:pPr>
            <w:r>
              <w:rPr>
                <w:color w:val="auto"/>
                <w:highlight w:val="none"/>
              </w:rPr>
              <w:t>1.78</w:t>
            </w:r>
          </w:p>
        </w:tc>
      </w:tr>
      <w:tr w14:paraId="06E338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55B18EE">
            <w:pPr>
              <w:pStyle w:val="41"/>
              <w:rPr>
                <w:color w:val="auto"/>
                <w:highlight w:val="none"/>
              </w:rPr>
            </w:pPr>
            <w:r>
              <w:rPr>
                <w:color w:val="auto"/>
                <w:highlight w:val="none"/>
              </w:rPr>
              <w:t>18</w:t>
            </w:r>
          </w:p>
        </w:tc>
        <w:tc>
          <w:tcPr>
            <w:tcW w:w="1254" w:type="dxa"/>
            <w:noWrap/>
            <w:vAlign w:val="center"/>
          </w:tcPr>
          <w:p w14:paraId="42D85C12">
            <w:pPr>
              <w:pStyle w:val="41"/>
              <w:rPr>
                <w:color w:val="auto"/>
                <w:highlight w:val="none"/>
              </w:rPr>
            </w:pPr>
            <w:r>
              <w:rPr>
                <w:color w:val="auto"/>
                <w:highlight w:val="none"/>
              </w:rPr>
              <w:t>400</w:t>
            </w:r>
          </w:p>
        </w:tc>
        <w:tc>
          <w:tcPr>
            <w:tcW w:w="1532" w:type="dxa"/>
            <w:noWrap/>
            <w:vAlign w:val="center"/>
          </w:tcPr>
          <w:p w14:paraId="0150F0E4">
            <w:pPr>
              <w:pStyle w:val="41"/>
              <w:rPr>
                <w:color w:val="auto"/>
                <w:highlight w:val="none"/>
              </w:rPr>
            </w:pPr>
            <w:r>
              <w:rPr>
                <w:color w:val="auto"/>
                <w:highlight w:val="none"/>
              </w:rPr>
              <w:t>0.0285352</w:t>
            </w:r>
          </w:p>
        </w:tc>
        <w:tc>
          <w:tcPr>
            <w:tcW w:w="946" w:type="dxa"/>
            <w:noWrap/>
            <w:vAlign w:val="center"/>
          </w:tcPr>
          <w:p w14:paraId="1935FFD8">
            <w:pPr>
              <w:pStyle w:val="41"/>
              <w:rPr>
                <w:color w:val="auto"/>
                <w:highlight w:val="none"/>
              </w:rPr>
            </w:pPr>
            <w:r>
              <w:rPr>
                <w:color w:val="auto"/>
                <w:highlight w:val="none"/>
              </w:rPr>
              <w:t xml:space="preserve">3.17 </w:t>
            </w:r>
          </w:p>
        </w:tc>
        <w:tc>
          <w:tcPr>
            <w:tcW w:w="1398" w:type="dxa"/>
            <w:noWrap/>
            <w:vAlign w:val="center"/>
          </w:tcPr>
          <w:p w14:paraId="47A4D0F8">
            <w:pPr>
              <w:pStyle w:val="41"/>
              <w:rPr>
                <w:color w:val="auto"/>
                <w:highlight w:val="none"/>
              </w:rPr>
            </w:pPr>
            <w:r>
              <w:rPr>
                <w:color w:val="auto"/>
                <w:highlight w:val="none"/>
              </w:rPr>
              <w:t>0.016483</w:t>
            </w:r>
          </w:p>
        </w:tc>
        <w:tc>
          <w:tcPr>
            <w:tcW w:w="872" w:type="dxa"/>
            <w:noWrap/>
            <w:vAlign w:val="center"/>
          </w:tcPr>
          <w:p w14:paraId="18F194B9">
            <w:pPr>
              <w:pStyle w:val="41"/>
              <w:rPr>
                <w:color w:val="auto"/>
                <w:highlight w:val="none"/>
              </w:rPr>
            </w:pPr>
            <w:r>
              <w:rPr>
                <w:color w:val="auto"/>
                <w:highlight w:val="none"/>
              </w:rPr>
              <w:t>1.83</w:t>
            </w:r>
          </w:p>
        </w:tc>
      </w:tr>
      <w:tr w14:paraId="6C290C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5EC0E71">
            <w:pPr>
              <w:pStyle w:val="41"/>
              <w:rPr>
                <w:color w:val="auto"/>
                <w:highlight w:val="none"/>
              </w:rPr>
            </w:pPr>
            <w:r>
              <w:rPr>
                <w:color w:val="auto"/>
                <w:highlight w:val="none"/>
              </w:rPr>
              <w:t>19</w:t>
            </w:r>
          </w:p>
        </w:tc>
        <w:tc>
          <w:tcPr>
            <w:tcW w:w="1254" w:type="dxa"/>
            <w:noWrap/>
            <w:vAlign w:val="center"/>
          </w:tcPr>
          <w:p w14:paraId="5BF2EC73">
            <w:pPr>
              <w:pStyle w:val="41"/>
              <w:rPr>
                <w:color w:val="auto"/>
                <w:highlight w:val="none"/>
              </w:rPr>
            </w:pPr>
            <w:r>
              <w:rPr>
                <w:color w:val="auto"/>
                <w:highlight w:val="none"/>
              </w:rPr>
              <w:t>425</w:t>
            </w:r>
          </w:p>
        </w:tc>
        <w:tc>
          <w:tcPr>
            <w:tcW w:w="1532" w:type="dxa"/>
            <w:noWrap/>
            <w:vAlign w:val="center"/>
          </w:tcPr>
          <w:p w14:paraId="1165EB18">
            <w:pPr>
              <w:pStyle w:val="41"/>
              <w:rPr>
                <w:color w:val="auto"/>
                <w:highlight w:val="none"/>
              </w:rPr>
            </w:pPr>
            <w:r>
              <w:rPr>
                <w:color w:val="auto"/>
                <w:highlight w:val="none"/>
              </w:rPr>
              <w:t>0.0278912</w:t>
            </w:r>
          </w:p>
        </w:tc>
        <w:tc>
          <w:tcPr>
            <w:tcW w:w="946" w:type="dxa"/>
            <w:noWrap/>
            <w:vAlign w:val="center"/>
          </w:tcPr>
          <w:p w14:paraId="0DF8C01A">
            <w:pPr>
              <w:pStyle w:val="41"/>
              <w:rPr>
                <w:color w:val="auto"/>
                <w:highlight w:val="none"/>
              </w:rPr>
            </w:pPr>
            <w:r>
              <w:rPr>
                <w:color w:val="auto"/>
                <w:highlight w:val="none"/>
              </w:rPr>
              <w:t xml:space="preserve">3.10 </w:t>
            </w:r>
          </w:p>
        </w:tc>
        <w:tc>
          <w:tcPr>
            <w:tcW w:w="1398" w:type="dxa"/>
            <w:noWrap/>
            <w:vAlign w:val="center"/>
          </w:tcPr>
          <w:p w14:paraId="1AEE6AC2">
            <w:pPr>
              <w:pStyle w:val="41"/>
              <w:rPr>
                <w:color w:val="auto"/>
                <w:highlight w:val="none"/>
              </w:rPr>
            </w:pPr>
            <w:r>
              <w:rPr>
                <w:color w:val="auto"/>
                <w:highlight w:val="none"/>
              </w:rPr>
              <w:t>0.016925</w:t>
            </w:r>
          </w:p>
        </w:tc>
        <w:tc>
          <w:tcPr>
            <w:tcW w:w="872" w:type="dxa"/>
            <w:noWrap/>
            <w:vAlign w:val="center"/>
          </w:tcPr>
          <w:p w14:paraId="478248A0">
            <w:pPr>
              <w:pStyle w:val="41"/>
              <w:rPr>
                <w:color w:val="auto"/>
                <w:highlight w:val="none"/>
              </w:rPr>
            </w:pPr>
            <w:r>
              <w:rPr>
                <w:color w:val="auto"/>
                <w:highlight w:val="none"/>
              </w:rPr>
              <w:t>1.88</w:t>
            </w:r>
          </w:p>
        </w:tc>
      </w:tr>
      <w:tr w14:paraId="57EE7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DC3E877">
            <w:pPr>
              <w:pStyle w:val="41"/>
              <w:rPr>
                <w:color w:val="auto"/>
                <w:highlight w:val="none"/>
              </w:rPr>
            </w:pPr>
            <w:r>
              <w:rPr>
                <w:color w:val="auto"/>
                <w:highlight w:val="none"/>
              </w:rPr>
              <w:t>20</w:t>
            </w:r>
          </w:p>
        </w:tc>
        <w:tc>
          <w:tcPr>
            <w:tcW w:w="1254" w:type="dxa"/>
            <w:noWrap/>
            <w:vAlign w:val="center"/>
          </w:tcPr>
          <w:p w14:paraId="5FBA1557">
            <w:pPr>
              <w:pStyle w:val="41"/>
              <w:rPr>
                <w:color w:val="auto"/>
                <w:highlight w:val="none"/>
              </w:rPr>
            </w:pPr>
            <w:r>
              <w:rPr>
                <w:color w:val="auto"/>
                <w:highlight w:val="none"/>
              </w:rPr>
              <w:t>450</w:t>
            </w:r>
          </w:p>
        </w:tc>
        <w:tc>
          <w:tcPr>
            <w:tcW w:w="1532" w:type="dxa"/>
            <w:noWrap/>
            <w:vAlign w:val="center"/>
          </w:tcPr>
          <w:p w14:paraId="00D18B0B">
            <w:pPr>
              <w:pStyle w:val="41"/>
              <w:rPr>
                <w:color w:val="auto"/>
                <w:highlight w:val="none"/>
              </w:rPr>
            </w:pPr>
            <w:r>
              <w:rPr>
                <w:color w:val="auto"/>
                <w:highlight w:val="none"/>
              </w:rPr>
              <w:t>0.0272928</w:t>
            </w:r>
          </w:p>
        </w:tc>
        <w:tc>
          <w:tcPr>
            <w:tcW w:w="946" w:type="dxa"/>
            <w:noWrap/>
            <w:vAlign w:val="center"/>
          </w:tcPr>
          <w:p w14:paraId="01CFCFB6">
            <w:pPr>
              <w:pStyle w:val="41"/>
              <w:rPr>
                <w:color w:val="auto"/>
                <w:highlight w:val="none"/>
              </w:rPr>
            </w:pPr>
            <w:r>
              <w:rPr>
                <w:color w:val="auto"/>
                <w:highlight w:val="none"/>
              </w:rPr>
              <w:t xml:space="preserve">3.03 </w:t>
            </w:r>
          </w:p>
        </w:tc>
        <w:tc>
          <w:tcPr>
            <w:tcW w:w="1398" w:type="dxa"/>
            <w:noWrap/>
            <w:vAlign w:val="center"/>
          </w:tcPr>
          <w:p w14:paraId="1C601AC3">
            <w:pPr>
              <w:pStyle w:val="41"/>
              <w:rPr>
                <w:color w:val="auto"/>
                <w:highlight w:val="none"/>
              </w:rPr>
            </w:pPr>
            <w:r>
              <w:rPr>
                <w:color w:val="auto"/>
                <w:highlight w:val="none"/>
              </w:rPr>
              <w:t>0.017367</w:t>
            </w:r>
          </w:p>
        </w:tc>
        <w:tc>
          <w:tcPr>
            <w:tcW w:w="872" w:type="dxa"/>
            <w:noWrap/>
            <w:vAlign w:val="center"/>
          </w:tcPr>
          <w:p w14:paraId="2DEF7F2C">
            <w:pPr>
              <w:pStyle w:val="41"/>
              <w:rPr>
                <w:color w:val="auto"/>
                <w:highlight w:val="none"/>
              </w:rPr>
            </w:pPr>
            <w:r>
              <w:rPr>
                <w:color w:val="auto"/>
                <w:highlight w:val="none"/>
              </w:rPr>
              <w:t>1.93</w:t>
            </w:r>
          </w:p>
        </w:tc>
      </w:tr>
      <w:tr w14:paraId="4E66CC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300503A">
            <w:pPr>
              <w:pStyle w:val="41"/>
              <w:rPr>
                <w:color w:val="auto"/>
                <w:highlight w:val="none"/>
              </w:rPr>
            </w:pPr>
            <w:r>
              <w:rPr>
                <w:color w:val="auto"/>
                <w:highlight w:val="none"/>
              </w:rPr>
              <w:t>21</w:t>
            </w:r>
          </w:p>
        </w:tc>
        <w:tc>
          <w:tcPr>
            <w:tcW w:w="1254" w:type="dxa"/>
            <w:noWrap/>
            <w:vAlign w:val="center"/>
          </w:tcPr>
          <w:p w14:paraId="6E12BFB2">
            <w:pPr>
              <w:pStyle w:val="41"/>
              <w:rPr>
                <w:color w:val="auto"/>
                <w:highlight w:val="none"/>
              </w:rPr>
            </w:pPr>
            <w:r>
              <w:rPr>
                <w:color w:val="auto"/>
                <w:highlight w:val="none"/>
              </w:rPr>
              <w:t>475</w:t>
            </w:r>
          </w:p>
        </w:tc>
        <w:tc>
          <w:tcPr>
            <w:tcW w:w="1532" w:type="dxa"/>
            <w:noWrap/>
            <w:vAlign w:val="center"/>
          </w:tcPr>
          <w:p w14:paraId="60510EF7">
            <w:pPr>
              <w:pStyle w:val="41"/>
              <w:rPr>
                <w:color w:val="auto"/>
                <w:highlight w:val="none"/>
              </w:rPr>
            </w:pPr>
            <w:r>
              <w:rPr>
                <w:color w:val="auto"/>
                <w:highlight w:val="none"/>
              </w:rPr>
              <w:t>0.0267488</w:t>
            </w:r>
          </w:p>
        </w:tc>
        <w:tc>
          <w:tcPr>
            <w:tcW w:w="946" w:type="dxa"/>
            <w:noWrap/>
            <w:vAlign w:val="center"/>
          </w:tcPr>
          <w:p w14:paraId="20B80AF3">
            <w:pPr>
              <w:pStyle w:val="41"/>
              <w:rPr>
                <w:color w:val="auto"/>
                <w:highlight w:val="none"/>
              </w:rPr>
            </w:pPr>
            <w:r>
              <w:rPr>
                <w:color w:val="auto"/>
                <w:highlight w:val="none"/>
              </w:rPr>
              <w:t xml:space="preserve">2.98 </w:t>
            </w:r>
          </w:p>
        </w:tc>
        <w:tc>
          <w:tcPr>
            <w:tcW w:w="1398" w:type="dxa"/>
            <w:noWrap/>
            <w:vAlign w:val="center"/>
          </w:tcPr>
          <w:p w14:paraId="4F88D15C">
            <w:pPr>
              <w:pStyle w:val="41"/>
              <w:rPr>
                <w:color w:val="auto"/>
                <w:highlight w:val="none"/>
              </w:rPr>
            </w:pPr>
            <w:r>
              <w:rPr>
                <w:color w:val="auto"/>
                <w:highlight w:val="none"/>
              </w:rPr>
              <w:t>0.017807</w:t>
            </w:r>
          </w:p>
        </w:tc>
        <w:tc>
          <w:tcPr>
            <w:tcW w:w="872" w:type="dxa"/>
            <w:noWrap/>
            <w:vAlign w:val="center"/>
          </w:tcPr>
          <w:p w14:paraId="4ED4A265">
            <w:pPr>
              <w:pStyle w:val="41"/>
              <w:rPr>
                <w:color w:val="auto"/>
                <w:highlight w:val="none"/>
              </w:rPr>
            </w:pPr>
            <w:r>
              <w:rPr>
                <w:color w:val="auto"/>
                <w:highlight w:val="none"/>
              </w:rPr>
              <w:t>1.98</w:t>
            </w:r>
          </w:p>
        </w:tc>
      </w:tr>
      <w:tr w14:paraId="279121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8C86205">
            <w:pPr>
              <w:pStyle w:val="41"/>
              <w:rPr>
                <w:color w:val="auto"/>
                <w:highlight w:val="none"/>
              </w:rPr>
            </w:pPr>
            <w:r>
              <w:rPr>
                <w:color w:val="auto"/>
                <w:highlight w:val="none"/>
              </w:rPr>
              <w:t>22</w:t>
            </w:r>
          </w:p>
        </w:tc>
        <w:tc>
          <w:tcPr>
            <w:tcW w:w="1254" w:type="dxa"/>
            <w:noWrap/>
            <w:vAlign w:val="center"/>
          </w:tcPr>
          <w:p w14:paraId="1A6535FB">
            <w:pPr>
              <w:pStyle w:val="41"/>
              <w:rPr>
                <w:color w:val="auto"/>
                <w:highlight w:val="none"/>
              </w:rPr>
            </w:pPr>
            <w:r>
              <w:rPr>
                <w:color w:val="auto"/>
                <w:highlight w:val="none"/>
              </w:rPr>
              <w:t>500</w:t>
            </w:r>
          </w:p>
        </w:tc>
        <w:tc>
          <w:tcPr>
            <w:tcW w:w="1532" w:type="dxa"/>
            <w:noWrap/>
            <w:vAlign w:val="center"/>
          </w:tcPr>
          <w:p w14:paraId="37D4A1B2">
            <w:pPr>
              <w:pStyle w:val="41"/>
              <w:rPr>
                <w:color w:val="auto"/>
                <w:highlight w:val="none"/>
              </w:rPr>
            </w:pPr>
            <w:r>
              <w:rPr>
                <w:color w:val="auto"/>
                <w:highlight w:val="none"/>
              </w:rPr>
              <w:t>0.0262544</w:t>
            </w:r>
          </w:p>
        </w:tc>
        <w:tc>
          <w:tcPr>
            <w:tcW w:w="946" w:type="dxa"/>
            <w:noWrap/>
            <w:vAlign w:val="center"/>
          </w:tcPr>
          <w:p w14:paraId="734BF663">
            <w:pPr>
              <w:pStyle w:val="41"/>
              <w:rPr>
                <w:color w:val="auto"/>
                <w:highlight w:val="none"/>
              </w:rPr>
            </w:pPr>
            <w:r>
              <w:rPr>
                <w:color w:val="auto"/>
                <w:highlight w:val="none"/>
              </w:rPr>
              <w:t xml:space="preserve">2.92 </w:t>
            </w:r>
          </w:p>
        </w:tc>
        <w:tc>
          <w:tcPr>
            <w:tcW w:w="1398" w:type="dxa"/>
            <w:noWrap/>
            <w:vAlign w:val="center"/>
          </w:tcPr>
          <w:p w14:paraId="4438342B">
            <w:pPr>
              <w:pStyle w:val="41"/>
              <w:rPr>
                <w:color w:val="auto"/>
                <w:highlight w:val="none"/>
              </w:rPr>
            </w:pPr>
            <w:r>
              <w:rPr>
                <w:color w:val="auto"/>
                <w:highlight w:val="none"/>
              </w:rPr>
              <w:t>0.018237</w:t>
            </w:r>
          </w:p>
        </w:tc>
        <w:tc>
          <w:tcPr>
            <w:tcW w:w="872" w:type="dxa"/>
            <w:noWrap/>
            <w:vAlign w:val="center"/>
          </w:tcPr>
          <w:p w14:paraId="3B36275E">
            <w:pPr>
              <w:pStyle w:val="41"/>
              <w:rPr>
                <w:color w:val="auto"/>
                <w:highlight w:val="none"/>
              </w:rPr>
            </w:pPr>
            <w:r>
              <w:rPr>
                <w:color w:val="auto"/>
                <w:highlight w:val="none"/>
              </w:rPr>
              <w:t>2.03</w:t>
            </w:r>
          </w:p>
        </w:tc>
      </w:tr>
      <w:tr w14:paraId="65FF3B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5BF4256">
            <w:pPr>
              <w:pStyle w:val="41"/>
              <w:rPr>
                <w:color w:val="auto"/>
                <w:highlight w:val="none"/>
              </w:rPr>
            </w:pPr>
            <w:r>
              <w:rPr>
                <w:color w:val="auto"/>
                <w:highlight w:val="none"/>
              </w:rPr>
              <w:t>23</w:t>
            </w:r>
          </w:p>
        </w:tc>
        <w:tc>
          <w:tcPr>
            <w:tcW w:w="1254" w:type="dxa"/>
            <w:noWrap/>
            <w:vAlign w:val="center"/>
          </w:tcPr>
          <w:p w14:paraId="15608302">
            <w:pPr>
              <w:pStyle w:val="41"/>
              <w:rPr>
                <w:color w:val="auto"/>
                <w:highlight w:val="none"/>
              </w:rPr>
            </w:pPr>
            <w:r>
              <w:rPr>
                <w:color w:val="auto"/>
                <w:highlight w:val="none"/>
              </w:rPr>
              <w:t>525</w:t>
            </w:r>
          </w:p>
        </w:tc>
        <w:tc>
          <w:tcPr>
            <w:tcW w:w="1532" w:type="dxa"/>
            <w:noWrap/>
            <w:vAlign w:val="center"/>
          </w:tcPr>
          <w:p w14:paraId="328EAC2F">
            <w:pPr>
              <w:pStyle w:val="41"/>
              <w:rPr>
                <w:color w:val="auto"/>
                <w:highlight w:val="none"/>
              </w:rPr>
            </w:pPr>
            <w:r>
              <w:rPr>
                <w:color w:val="auto"/>
                <w:highlight w:val="none"/>
              </w:rPr>
              <w:t>0.0257984</w:t>
            </w:r>
          </w:p>
        </w:tc>
        <w:tc>
          <w:tcPr>
            <w:tcW w:w="946" w:type="dxa"/>
            <w:noWrap/>
            <w:vAlign w:val="center"/>
          </w:tcPr>
          <w:p w14:paraId="2670535A">
            <w:pPr>
              <w:pStyle w:val="41"/>
              <w:rPr>
                <w:color w:val="auto"/>
                <w:highlight w:val="none"/>
              </w:rPr>
            </w:pPr>
            <w:r>
              <w:rPr>
                <w:color w:val="auto"/>
                <w:highlight w:val="none"/>
              </w:rPr>
              <w:t xml:space="preserve">2.86 </w:t>
            </w:r>
          </w:p>
        </w:tc>
        <w:tc>
          <w:tcPr>
            <w:tcW w:w="1398" w:type="dxa"/>
            <w:noWrap/>
            <w:vAlign w:val="center"/>
          </w:tcPr>
          <w:p w14:paraId="3E3A7A17">
            <w:pPr>
              <w:pStyle w:val="41"/>
              <w:rPr>
                <w:color w:val="auto"/>
                <w:highlight w:val="none"/>
              </w:rPr>
            </w:pPr>
            <w:r>
              <w:rPr>
                <w:color w:val="auto"/>
                <w:highlight w:val="none"/>
              </w:rPr>
              <w:t>0.018666</w:t>
            </w:r>
          </w:p>
        </w:tc>
        <w:tc>
          <w:tcPr>
            <w:tcW w:w="872" w:type="dxa"/>
            <w:noWrap/>
            <w:vAlign w:val="center"/>
          </w:tcPr>
          <w:p w14:paraId="646A8863">
            <w:pPr>
              <w:pStyle w:val="41"/>
              <w:rPr>
                <w:color w:val="auto"/>
                <w:highlight w:val="none"/>
              </w:rPr>
            </w:pPr>
            <w:r>
              <w:rPr>
                <w:color w:val="auto"/>
                <w:highlight w:val="none"/>
              </w:rPr>
              <w:t>2.07</w:t>
            </w:r>
          </w:p>
        </w:tc>
      </w:tr>
      <w:tr w14:paraId="665B3A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B994DF4">
            <w:pPr>
              <w:pStyle w:val="41"/>
              <w:rPr>
                <w:color w:val="auto"/>
                <w:highlight w:val="none"/>
              </w:rPr>
            </w:pPr>
            <w:r>
              <w:rPr>
                <w:color w:val="auto"/>
                <w:highlight w:val="none"/>
              </w:rPr>
              <w:t>24</w:t>
            </w:r>
          </w:p>
        </w:tc>
        <w:tc>
          <w:tcPr>
            <w:tcW w:w="1254" w:type="dxa"/>
            <w:noWrap/>
            <w:vAlign w:val="center"/>
          </w:tcPr>
          <w:p w14:paraId="13503793">
            <w:pPr>
              <w:pStyle w:val="41"/>
              <w:rPr>
                <w:color w:val="auto"/>
                <w:highlight w:val="none"/>
              </w:rPr>
            </w:pPr>
            <w:r>
              <w:rPr>
                <w:color w:val="auto"/>
                <w:highlight w:val="none"/>
              </w:rPr>
              <w:t>550</w:t>
            </w:r>
          </w:p>
        </w:tc>
        <w:tc>
          <w:tcPr>
            <w:tcW w:w="1532" w:type="dxa"/>
            <w:noWrap/>
            <w:vAlign w:val="center"/>
          </w:tcPr>
          <w:p w14:paraId="0770C325">
            <w:pPr>
              <w:pStyle w:val="41"/>
              <w:rPr>
                <w:color w:val="auto"/>
                <w:highlight w:val="none"/>
              </w:rPr>
            </w:pPr>
            <w:r>
              <w:rPr>
                <w:color w:val="auto"/>
                <w:highlight w:val="none"/>
              </w:rPr>
              <w:t>0.0253728</w:t>
            </w:r>
          </w:p>
        </w:tc>
        <w:tc>
          <w:tcPr>
            <w:tcW w:w="946" w:type="dxa"/>
            <w:noWrap/>
            <w:vAlign w:val="center"/>
          </w:tcPr>
          <w:p w14:paraId="0BFB1386">
            <w:pPr>
              <w:pStyle w:val="41"/>
              <w:rPr>
                <w:color w:val="auto"/>
                <w:highlight w:val="none"/>
              </w:rPr>
            </w:pPr>
            <w:r>
              <w:rPr>
                <w:color w:val="auto"/>
                <w:highlight w:val="none"/>
              </w:rPr>
              <w:t xml:space="preserve">2.82 </w:t>
            </w:r>
          </w:p>
        </w:tc>
        <w:tc>
          <w:tcPr>
            <w:tcW w:w="1398" w:type="dxa"/>
            <w:noWrap/>
            <w:vAlign w:val="center"/>
          </w:tcPr>
          <w:p w14:paraId="3A28AE2F">
            <w:pPr>
              <w:pStyle w:val="41"/>
              <w:rPr>
                <w:color w:val="auto"/>
                <w:highlight w:val="none"/>
              </w:rPr>
            </w:pPr>
            <w:r>
              <w:rPr>
                <w:color w:val="auto"/>
                <w:highlight w:val="none"/>
              </w:rPr>
              <w:t>0.019093</w:t>
            </w:r>
          </w:p>
        </w:tc>
        <w:tc>
          <w:tcPr>
            <w:tcW w:w="872" w:type="dxa"/>
            <w:noWrap/>
            <w:vAlign w:val="center"/>
          </w:tcPr>
          <w:p w14:paraId="45AF04E2">
            <w:pPr>
              <w:pStyle w:val="41"/>
              <w:rPr>
                <w:color w:val="auto"/>
                <w:highlight w:val="none"/>
              </w:rPr>
            </w:pPr>
            <w:r>
              <w:rPr>
                <w:color w:val="auto"/>
                <w:highlight w:val="none"/>
              </w:rPr>
              <w:t>2.12</w:t>
            </w:r>
          </w:p>
        </w:tc>
      </w:tr>
      <w:tr w14:paraId="368A39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4E7D4BF">
            <w:pPr>
              <w:pStyle w:val="41"/>
              <w:rPr>
                <w:color w:val="auto"/>
                <w:highlight w:val="none"/>
              </w:rPr>
            </w:pPr>
            <w:r>
              <w:rPr>
                <w:color w:val="auto"/>
                <w:highlight w:val="none"/>
              </w:rPr>
              <w:t>25</w:t>
            </w:r>
          </w:p>
        </w:tc>
        <w:tc>
          <w:tcPr>
            <w:tcW w:w="1254" w:type="dxa"/>
            <w:noWrap/>
            <w:vAlign w:val="center"/>
          </w:tcPr>
          <w:p w14:paraId="5CD9768E">
            <w:pPr>
              <w:pStyle w:val="41"/>
              <w:rPr>
                <w:color w:val="auto"/>
                <w:highlight w:val="none"/>
              </w:rPr>
            </w:pPr>
            <w:r>
              <w:rPr>
                <w:color w:val="auto"/>
                <w:highlight w:val="none"/>
              </w:rPr>
              <w:t>575</w:t>
            </w:r>
          </w:p>
        </w:tc>
        <w:tc>
          <w:tcPr>
            <w:tcW w:w="1532" w:type="dxa"/>
            <w:noWrap/>
            <w:vAlign w:val="center"/>
          </w:tcPr>
          <w:p w14:paraId="1DA61741">
            <w:pPr>
              <w:pStyle w:val="41"/>
              <w:rPr>
                <w:color w:val="auto"/>
                <w:highlight w:val="none"/>
              </w:rPr>
            </w:pPr>
            <w:r>
              <w:rPr>
                <w:color w:val="auto"/>
                <w:highlight w:val="none"/>
              </w:rPr>
              <w:t>0.02498</w:t>
            </w:r>
          </w:p>
        </w:tc>
        <w:tc>
          <w:tcPr>
            <w:tcW w:w="946" w:type="dxa"/>
            <w:noWrap/>
            <w:vAlign w:val="center"/>
          </w:tcPr>
          <w:p w14:paraId="07D6E126">
            <w:pPr>
              <w:pStyle w:val="41"/>
              <w:rPr>
                <w:color w:val="auto"/>
                <w:highlight w:val="none"/>
              </w:rPr>
            </w:pPr>
            <w:r>
              <w:rPr>
                <w:color w:val="auto"/>
                <w:highlight w:val="none"/>
              </w:rPr>
              <w:t xml:space="preserve">2.78 </w:t>
            </w:r>
          </w:p>
        </w:tc>
        <w:tc>
          <w:tcPr>
            <w:tcW w:w="1398" w:type="dxa"/>
            <w:noWrap/>
            <w:vAlign w:val="center"/>
          </w:tcPr>
          <w:p w14:paraId="59881BAF">
            <w:pPr>
              <w:pStyle w:val="41"/>
              <w:rPr>
                <w:color w:val="auto"/>
                <w:highlight w:val="none"/>
              </w:rPr>
            </w:pPr>
            <w:r>
              <w:rPr>
                <w:color w:val="auto"/>
                <w:highlight w:val="none"/>
              </w:rPr>
              <w:t>0.019519</w:t>
            </w:r>
          </w:p>
        </w:tc>
        <w:tc>
          <w:tcPr>
            <w:tcW w:w="872" w:type="dxa"/>
            <w:noWrap/>
            <w:vAlign w:val="center"/>
          </w:tcPr>
          <w:p w14:paraId="559B0135">
            <w:pPr>
              <w:pStyle w:val="41"/>
              <w:rPr>
                <w:color w:val="auto"/>
                <w:highlight w:val="none"/>
              </w:rPr>
            </w:pPr>
            <w:r>
              <w:rPr>
                <w:color w:val="auto"/>
                <w:highlight w:val="none"/>
              </w:rPr>
              <w:t>2.17</w:t>
            </w:r>
          </w:p>
        </w:tc>
      </w:tr>
      <w:tr w14:paraId="00A933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FBA9529">
            <w:pPr>
              <w:pStyle w:val="41"/>
              <w:rPr>
                <w:color w:val="auto"/>
                <w:highlight w:val="none"/>
              </w:rPr>
            </w:pPr>
            <w:r>
              <w:rPr>
                <w:color w:val="auto"/>
                <w:highlight w:val="none"/>
              </w:rPr>
              <w:t>26</w:t>
            </w:r>
          </w:p>
        </w:tc>
        <w:tc>
          <w:tcPr>
            <w:tcW w:w="1254" w:type="dxa"/>
            <w:noWrap/>
            <w:vAlign w:val="center"/>
          </w:tcPr>
          <w:p w14:paraId="63F93B01">
            <w:pPr>
              <w:pStyle w:val="41"/>
              <w:rPr>
                <w:color w:val="auto"/>
                <w:highlight w:val="none"/>
              </w:rPr>
            </w:pPr>
            <w:r>
              <w:rPr>
                <w:color w:val="auto"/>
                <w:highlight w:val="none"/>
              </w:rPr>
              <w:t>600</w:t>
            </w:r>
          </w:p>
        </w:tc>
        <w:tc>
          <w:tcPr>
            <w:tcW w:w="1532" w:type="dxa"/>
            <w:noWrap/>
            <w:vAlign w:val="center"/>
          </w:tcPr>
          <w:p w14:paraId="6B5991F7">
            <w:pPr>
              <w:pStyle w:val="41"/>
              <w:rPr>
                <w:color w:val="auto"/>
                <w:highlight w:val="none"/>
              </w:rPr>
            </w:pPr>
            <w:r>
              <w:rPr>
                <w:color w:val="auto"/>
                <w:highlight w:val="none"/>
              </w:rPr>
              <w:t>0.024616</w:t>
            </w:r>
          </w:p>
        </w:tc>
        <w:tc>
          <w:tcPr>
            <w:tcW w:w="946" w:type="dxa"/>
            <w:noWrap/>
            <w:vAlign w:val="center"/>
          </w:tcPr>
          <w:p w14:paraId="6641B38E">
            <w:pPr>
              <w:pStyle w:val="41"/>
              <w:rPr>
                <w:color w:val="auto"/>
                <w:highlight w:val="none"/>
              </w:rPr>
            </w:pPr>
            <w:r>
              <w:rPr>
                <w:color w:val="auto"/>
                <w:highlight w:val="none"/>
              </w:rPr>
              <w:t xml:space="preserve">2.74 </w:t>
            </w:r>
          </w:p>
        </w:tc>
        <w:tc>
          <w:tcPr>
            <w:tcW w:w="1398" w:type="dxa"/>
            <w:noWrap/>
            <w:vAlign w:val="center"/>
          </w:tcPr>
          <w:p w14:paraId="01922E20">
            <w:pPr>
              <w:pStyle w:val="41"/>
              <w:rPr>
                <w:color w:val="auto"/>
                <w:highlight w:val="none"/>
              </w:rPr>
            </w:pPr>
            <w:r>
              <w:rPr>
                <w:color w:val="auto"/>
                <w:highlight w:val="none"/>
              </w:rPr>
              <w:t>0.01985</w:t>
            </w:r>
          </w:p>
        </w:tc>
        <w:tc>
          <w:tcPr>
            <w:tcW w:w="872" w:type="dxa"/>
            <w:noWrap/>
            <w:vAlign w:val="center"/>
          </w:tcPr>
          <w:p w14:paraId="60002570">
            <w:pPr>
              <w:pStyle w:val="41"/>
              <w:rPr>
                <w:color w:val="auto"/>
                <w:highlight w:val="none"/>
              </w:rPr>
            </w:pPr>
            <w:r>
              <w:rPr>
                <w:color w:val="auto"/>
                <w:highlight w:val="none"/>
              </w:rPr>
              <w:t>2.21</w:t>
            </w:r>
          </w:p>
        </w:tc>
      </w:tr>
      <w:tr w14:paraId="3F57C4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61C089A">
            <w:pPr>
              <w:pStyle w:val="41"/>
              <w:rPr>
                <w:color w:val="auto"/>
                <w:highlight w:val="none"/>
              </w:rPr>
            </w:pPr>
            <w:r>
              <w:rPr>
                <w:color w:val="auto"/>
                <w:highlight w:val="none"/>
              </w:rPr>
              <w:t>27</w:t>
            </w:r>
          </w:p>
        </w:tc>
        <w:tc>
          <w:tcPr>
            <w:tcW w:w="1254" w:type="dxa"/>
            <w:noWrap/>
            <w:vAlign w:val="center"/>
          </w:tcPr>
          <w:p w14:paraId="2C82E6F2">
            <w:pPr>
              <w:pStyle w:val="41"/>
              <w:rPr>
                <w:color w:val="auto"/>
                <w:highlight w:val="none"/>
              </w:rPr>
            </w:pPr>
            <w:r>
              <w:rPr>
                <w:color w:val="auto"/>
                <w:highlight w:val="none"/>
              </w:rPr>
              <w:t>625</w:t>
            </w:r>
          </w:p>
        </w:tc>
        <w:tc>
          <w:tcPr>
            <w:tcW w:w="1532" w:type="dxa"/>
            <w:noWrap/>
            <w:vAlign w:val="center"/>
          </w:tcPr>
          <w:p w14:paraId="34E29F9E">
            <w:pPr>
              <w:pStyle w:val="41"/>
              <w:rPr>
                <w:color w:val="auto"/>
                <w:highlight w:val="none"/>
              </w:rPr>
            </w:pPr>
            <w:r>
              <w:rPr>
                <w:color w:val="auto"/>
                <w:highlight w:val="none"/>
              </w:rPr>
              <w:t>0.0242736</w:t>
            </w:r>
          </w:p>
        </w:tc>
        <w:tc>
          <w:tcPr>
            <w:tcW w:w="946" w:type="dxa"/>
            <w:noWrap/>
            <w:vAlign w:val="center"/>
          </w:tcPr>
          <w:p w14:paraId="751231BC">
            <w:pPr>
              <w:pStyle w:val="41"/>
              <w:rPr>
                <w:color w:val="auto"/>
                <w:highlight w:val="none"/>
              </w:rPr>
            </w:pPr>
            <w:r>
              <w:rPr>
                <w:color w:val="auto"/>
                <w:highlight w:val="none"/>
              </w:rPr>
              <w:t xml:space="preserve">2.70 </w:t>
            </w:r>
          </w:p>
        </w:tc>
        <w:tc>
          <w:tcPr>
            <w:tcW w:w="1398" w:type="dxa"/>
            <w:noWrap/>
            <w:vAlign w:val="center"/>
          </w:tcPr>
          <w:p w14:paraId="560AE21F">
            <w:pPr>
              <w:pStyle w:val="41"/>
              <w:rPr>
                <w:color w:val="auto"/>
                <w:highlight w:val="none"/>
              </w:rPr>
            </w:pPr>
            <w:r>
              <w:rPr>
                <w:color w:val="auto"/>
                <w:highlight w:val="none"/>
              </w:rPr>
              <w:t>0.020069</w:t>
            </w:r>
          </w:p>
        </w:tc>
        <w:tc>
          <w:tcPr>
            <w:tcW w:w="872" w:type="dxa"/>
            <w:noWrap/>
            <w:vAlign w:val="center"/>
          </w:tcPr>
          <w:p w14:paraId="7A919D98">
            <w:pPr>
              <w:pStyle w:val="41"/>
              <w:rPr>
                <w:color w:val="auto"/>
                <w:highlight w:val="none"/>
              </w:rPr>
            </w:pPr>
            <w:r>
              <w:rPr>
                <w:color w:val="auto"/>
                <w:highlight w:val="none"/>
              </w:rPr>
              <w:t>2.23</w:t>
            </w:r>
          </w:p>
        </w:tc>
      </w:tr>
      <w:tr w14:paraId="68C639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514C5E1">
            <w:pPr>
              <w:pStyle w:val="41"/>
              <w:rPr>
                <w:color w:val="auto"/>
                <w:highlight w:val="none"/>
              </w:rPr>
            </w:pPr>
            <w:r>
              <w:rPr>
                <w:color w:val="auto"/>
                <w:highlight w:val="none"/>
              </w:rPr>
              <w:t>28</w:t>
            </w:r>
          </w:p>
        </w:tc>
        <w:tc>
          <w:tcPr>
            <w:tcW w:w="1254" w:type="dxa"/>
            <w:noWrap/>
            <w:vAlign w:val="center"/>
          </w:tcPr>
          <w:p w14:paraId="28F81504">
            <w:pPr>
              <w:pStyle w:val="41"/>
              <w:rPr>
                <w:color w:val="auto"/>
                <w:highlight w:val="none"/>
              </w:rPr>
            </w:pPr>
            <w:r>
              <w:rPr>
                <w:color w:val="auto"/>
                <w:highlight w:val="none"/>
              </w:rPr>
              <w:t>650</w:t>
            </w:r>
          </w:p>
        </w:tc>
        <w:tc>
          <w:tcPr>
            <w:tcW w:w="1532" w:type="dxa"/>
            <w:noWrap/>
            <w:vAlign w:val="center"/>
          </w:tcPr>
          <w:p w14:paraId="504B10D8">
            <w:pPr>
              <w:pStyle w:val="41"/>
              <w:rPr>
                <w:color w:val="auto"/>
                <w:highlight w:val="none"/>
              </w:rPr>
            </w:pPr>
            <w:r>
              <w:rPr>
                <w:color w:val="auto"/>
                <w:highlight w:val="none"/>
              </w:rPr>
              <w:t>0.0239456</w:t>
            </w:r>
          </w:p>
        </w:tc>
        <w:tc>
          <w:tcPr>
            <w:tcW w:w="946" w:type="dxa"/>
            <w:noWrap/>
            <w:vAlign w:val="center"/>
          </w:tcPr>
          <w:p w14:paraId="6AD218DD">
            <w:pPr>
              <w:pStyle w:val="41"/>
              <w:rPr>
                <w:color w:val="auto"/>
                <w:highlight w:val="none"/>
              </w:rPr>
            </w:pPr>
            <w:r>
              <w:rPr>
                <w:color w:val="auto"/>
                <w:highlight w:val="none"/>
              </w:rPr>
              <w:t xml:space="preserve">2.66 </w:t>
            </w:r>
          </w:p>
        </w:tc>
        <w:tc>
          <w:tcPr>
            <w:tcW w:w="1398" w:type="dxa"/>
            <w:noWrap/>
            <w:vAlign w:val="center"/>
          </w:tcPr>
          <w:p w14:paraId="1910D3CB">
            <w:pPr>
              <w:pStyle w:val="41"/>
              <w:rPr>
                <w:color w:val="auto"/>
                <w:highlight w:val="none"/>
              </w:rPr>
            </w:pPr>
            <w:r>
              <w:rPr>
                <w:color w:val="auto"/>
                <w:highlight w:val="none"/>
              </w:rPr>
              <w:t>0.020272</w:t>
            </w:r>
          </w:p>
        </w:tc>
        <w:tc>
          <w:tcPr>
            <w:tcW w:w="872" w:type="dxa"/>
            <w:noWrap/>
            <w:vAlign w:val="center"/>
          </w:tcPr>
          <w:p w14:paraId="3599CFD0">
            <w:pPr>
              <w:pStyle w:val="41"/>
              <w:rPr>
                <w:color w:val="auto"/>
                <w:highlight w:val="none"/>
              </w:rPr>
            </w:pPr>
            <w:r>
              <w:rPr>
                <w:color w:val="auto"/>
                <w:highlight w:val="none"/>
              </w:rPr>
              <w:t>2.25</w:t>
            </w:r>
          </w:p>
        </w:tc>
      </w:tr>
      <w:tr w14:paraId="62446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7A536A3">
            <w:pPr>
              <w:pStyle w:val="41"/>
              <w:rPr>
                <w:color w:val="auto"/>
                <w:highlight w:val="none"/>
              </w:rPr>
            </w:pPr>
            <w:r>
              <w:rPr>
                <w:color w:val="auto"/>
                <w:highlight w:val="none"/>
              </w:rPr>
              <w:t>29</w:t>
            </w:r>
          </w:p>
        </w:tc>
        <w:tc>
          <w:tcPr>
            <w:tcW w:w="1254" w:type="dxa"/>
            <w:noWrap/>
            <w:vAlign w:val="center"/>
          </w:tcPr>
          <w:p w14:paraId="382DBCAB">
            <w:pPr>
              <w:pStyle w:val="41"/>
              <w:rPr>
                <w:color w:val="auto"/>
                <w:highlight w:val="none"/>
              </w:rPr>
            </w:pPr>
            <w:r>
              <w:rPr>
                <w:color w:val="auto"/>
                <w:highlight w:val="none"/>
              </w:rPr>
              <w:t>675</w:t>
            </w:r>
          </w:p>
        </w:tc>
        <w:tc>
          <w:tcPr>
            <w:tcW w:w="1532" w:type="dxa"/>
            <w:noWrap/>
            <w:vAlign w:val="center"/>
          </w:tcPr>
          <w:p w14:paraId="4DABC177">
            <w:pPr>
              <w:pStyle w:val="41"/>
              <w:rPr>
                <w:color w:val="auto"/>
                <w:highlight w:val="none"/>
              </w:rPr>
            </w:pPr>
            <w:r>
              <w:rPr>
                <w:color w:val="auto"/>
                <w:highlight w:val="none"/>
              </w:rPr>
              <w:t>0.0236376</w:t>
            </w:r>
          </w:p>
        </w:tc>
        <w:tc>
          <w:tcPr>
            <w:tcW w:w="946" w:type="dxa"/>
            <w:noWrap/>
            <w:vAlign w:val="center"/>
          </w:tcPr>
          <w:p w14:paraId="5129C7CC">
            <w:pPr>
              <w:pStyle w:val="41"/>
              <w:rPr>
                <w:color w:val="auto"/>
                <w:highlight w:val="none"/>
              </w:rPr>
            </w:pPr>
            <w:r>
              <w:rPr>
                <w:color w:val="auto"/>
                <w:highlight w:val="none"/>
              </w:rPr>
              <w:t xml:space="preserve">2.62 </w:t>
            </w:r>
          </w:p>
        </w:tc>
        <w:tc>
          <w:tcPr>
            <w:tcW w:w="1398" w:type="dxa"/>
            <w:noWrap/>
            <w:vAlign w:val="center"/>
          </w:tcPr>
          <w:p w14:paraId="4AE2C795">
            <w:pPr>
              <w:pStyle w:val="41"/>
              <w:rPr>
                <w:color w:val="auto"/>
                <w:highlight w:val="none"/>
              </w:rPr>
            </w:pPr>
            <w:r>
              <w:rPr>
                <w:color w:val="auto"/>
                <w:highlight w:val="none"/>
              </w:rPr>
              <w:t>0.020459</w:t>
            </w:r>
          </w:p>
        </w:tc>
        <w:tc>
          <w:tcPr>
            <w:tcW w:w="872" w:type="dxa"/>
            <w:noWrap/>
            <w:vAlign w:val="center"/>
          </w:tcPr>
          <w:p w14:paraId="790F7D3C">
            <w:pPr>
              <w:pStyle w:val="41"/>
              <w:rPr>
                <w:color w:val="auto"/>
                <w:highlight w:val="none"/>
              </w:rPr>
            </w:pPr>
            <w:r>
              <w:rPr>
                <w:color w:val="auto"/>
                <w:highlight w:val="none"/>
              </w:rPr>
              <w:t>2.27</w:t>
            </w:r>
          </w:p>
        </w:tc>
      </w:tr>
      <w:tr w14:paraId="06A185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5FF336F">
            <w:pPr>
              <w:pStyle w:val="41"/>
              <w:rPr>
                <w:color w:val="auto"/>
                <w:highlight w:val="none"/>
              </w:rPr>
            </w:pPr>
            <w:r>
              <w:rPr>
                <w:color w:val="auto"/>
                <w:highlight w:val="none"/>
              </w:rPr>
              <w:t>30</w:t>
            </w:r>
          </w:p>
        </w:tc>
        <w:tc>
          <w:tcPr>
            <w:tcW w:w="1254" w:type="dxa"/>
            <w:noWrap/>
            <w:vAlign w:val="center"/>
          </w:tcPr>
          <w:p w14:paraId="5A6513DF">
            <w:pPr>
              <w:pStyle w:val="41"/>
              <w:rPr>
                <w:color w:val="auto"/>
                <w:highlight w:val="none"/>
              </w:rPr>
            </w:pPr>
            <w:r>
              <w:rPr>
                <w:color w:val="auto"/>
                <w:highlight w:val="none"/>
              </w:rPr>
              <w:t>700</w:t>
            </w:r>
          </w:p>
        </w:tc>
        <w:tc>
          <w:tcPr>
            <w:tcW w:w="1532" w:type="dxa"/>
            <w:noWrap/>
            <w:vAlign w:val="center"/>
          </w:tcPr>
          <w:p w14:paraId="72B8373D">
            <w:pPr>
              <w:pStyle w:val="41"/>
              <w:rPr>
                <w:color w:val="auto"/>
                <w:highlight w:val="none"/>
              </w:rPr>
            </w:pPr>
            <w:r>
              <w:rPr>
                <w:color w:val="auto"/>
                <w:highlight w:val="none"/>
              </w:rPr>
              <w:t>0.0233472</w:t>
            </w:r>
          </w:p>
        </w:tc>
        <w:tc>
          <w:tcPr>
            <w:tcW w:w="946" w:type="dxa"/>
            <w:noWrap/>
            <w:vAlign w:val="center"/>
          </w:tcPr>
          <w:p w14:paraId="202C0836">
            <w:pPr>
              <w:pStyle w:val="41"/>
              <w:rPr>
                <w:color w:val="auto"/>
                <w:highlight w:val="none"/>
              </w:rPr>
            </w:pPr>
            <w:r>
              <w:rPr>
                <w:color w:val="auto"/>
                <w:highlight w:val="none"/>
              </w:rPr>
              <w:t xml:space="preserve">2.59 </w:t>
            </w:r>
          </w:p>
        </w:tc>
        <w:tc>
          <w:tcPr>
            <w:tcW w:w="1398" w:type="dxa"/>
            <w:noWrap/>
            <w:vAlign w:val="center"/>
          </w:tcPr>
          <w:p w14:paraId="5443CC91">
            <w:pPr>
              <w:pStyle w:val="41"/>
              <w:rPr>
                <w:color w:val="auto"/>
                <w:highlight w:val="none"/>
              </w:rPr>
            </w:pPr>
            <w:r>
              <w:rPr>
                <w:color w:val="auto"/>
                <w:highlight w:val="none"/>
              </w:rPr>
              <w:t>0.020629</w:t>
            </w:r>
          </w:p>
        </w:tc>
        <w:tc>
          <w:tcPr>
            <w:tcW w:w="872" w:type="dxa"/>
            <w:noWrap/>
            <w:vAlign w:val="center"/>
          </w:tcPr>
          <w:p w14:paraId="480BC56B">
            <w:pPr>
              <w:pStyle w:val="41"/>
              <w:rPr>
                <w:color w:val="auto"/>
                <w:highlight w:val="none"/>
              </w:rPr>
            </w:pPr>
            <w:r>
              <w:rPr>
                <w:color w:val="auto"/>
                <w:highlight w:val="none"/>
              </w:rPr>
              <w:t>2.29</w:t>
            </w:r>
          </w:p>
        </w:tc>
      </w:tr>
      <w:tr w14:paraId="081770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D8D0002">
            <w:pPr>
              <w:pStyle w:val="41"/>
              <w:rPr>
                <w:color w:val="auto"/>
                <w:highlight w:val="none"/>
              </w:rPr>
            </w:pPr>
            <w:r>
              <w:rPr>
                <w:color w:val="auto"/>
                <w:highlight w:val="none"/>
              </w:rPr>
              <w:t>31</w:t>
            </w:r>
          </w:p>
        </w:tc>
        <w:tc>
          <w:tcPr>
            <w:tcW w:w="1254" w:type="dxa"/>
            <w:noWrap/>
            <w:vAlign w:val="center"/>
          </w:tcPr>
          <w:p w14:paraId="254636C1">
            <w:pPr>
              <w:pStyle w:val="41"/>
              <w:rPr>
                <w:color w:val="auto"/>
                <w:highlight w:val="none"/>
              </w:rPr>
            </w:pPr>
            <w:r>
              <w:rPr>
                <w:color w:val="auto"/>
                <w:highlight w:val="none"/>
              </w:rPr>
              <w:t>725</w:t>
            </w:r>
          </w:p>
        </w:tc>
        <w:tc>
          <w:tcPr>
            <w:tcW w:w="1532" w:type="dxa"/>
            <w:noWrap/>
            <w:vAlign w:val="center"/>
          </w:tcPr>
          <w:p w14:paraId="11AF3E7E">
            <w:pPr>
              <w:pStyle w:val="41"/>
              <w:rPr>
                <w:color w:val="auto"/>
                <w:highlight w:val="none"/>
              </w:rPr>
            </w:pPr>
            <w:r>
              <w:rPr>
                <w:color w:val="auto"/>
                <w:highlight w:val="none"/>
              </w:rPr>
              <w:t>0.023072</w:t>
            </w:r>
          </w:p>
        </w:tc>
        <w:tc>
          <w:tcPr>
            <w:tcW w:w="946" w:type="dxa"/>
            <w:noWrap/>
            <w:vAlign w:val="center"/>
          </w:tcPr>
          <w:p w14:paraId="0AFD19FB">
            <w:pPr>
              <w:pStyle w:val="41"/>
              <w:rPr>
                <w:color w:val="auto"/>
                <w:highlight w:val="none"/>
              </w:rPr>
            </w:pPr>
            <w:r>
              <w:rPr>
                <w:color w:val="auto"/>
                <w:highlight w:val="none"/>
              </w:rPr>
              <w:t xml:space="preserve">2.56 </w:t>
            </w:r>
          </w:p>
        </w:tc>
        <w:tc>
          <w:tcPr>
            <w:tcW w:w="1398" w:type="dxa"/>
            <w:noWrap/>
            <w:vAlign w:val="center"/>
          </w:tcPr>
          <w:p w14:paraId="2ADA5A1F">
            <w:pPr>
              <w:pStyle w:val="41"/>
              <w:rPr>
                <w:color w:val="auto"/>
                <w:highlight w:val="none"/>
              </w:rPr>
            </w:pPr>
            <w:r>
              <w:rPr>
                <w:color w:val="auto"/>
                <w:highlight w:val="none"/>
              </w:rPr>
              <w:t>0.02078</w:t>
            </w:r>
          </w:p>
        </w:tc>
        <w:tc>
          <w:tcPr>
            <w:tcW w:w="872" w:type="dxa"/>
            <w:noWrap/>
            <w:vAlign w:val="center"/>
          </w:tcPr>
          <w:p w14:paraId="15C029FC">
            <w:pPr>
              <w:pStyle w:val="41"/>
              <w:rPr>
                <w:color w:val="auto"/>
                <w:highlight w:val="none"/>
              </w:rPr>
            </w:pPr>
            <w:r>
              <w:rPr>
                <w:color w:val="auto"/>
                <w:highlight w:val="none"/>
              </w:rPr>
              <w:t>2.31</w:t>
            </w:r>
          </w:p>
        </w:tc>
      </w:tr>
      <w:tr w14:paraId="72E84E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64000AE">
            <w:pPr>
              <w:pStyle w:val="41"/>
              <w:rPr>
                <w:color w:val="auto"/>
                <w:highlight w:val="none"/>
              </w:rPr>
            </w:pPr>
            <w:r>
              <w:rPr>
                <w:color w:val="auto"/>
                <w:highlight w:val="none"/>
              </w:rPr>
              <w:t>32</w:t>
            </w:r>
          </w:p>
        </w:tc>
        <w:tc>
          <w:tcPr>
            <w:tcW w:w="1254" w:type="dxa"/>
            <w:noWrap/>
            <w:vAlign w:val="center"/>
          </w:tcPr>
          <w:p w14:paraId="6066BDD8">
            <w:pPr>
              <w:pStyle w:val="41"/>
              <w:rPr>
                <w:color w:val="auto"/>
                <w:highlight w:val="none"/>
              </w:rPr>
            </w:pPr>
            <w:r>
              <w:rPr>
                <w:color w:val="auto"/>
                <w:highlight w:val="none"/>
              </w:rPr>
              <w:t>750</w:t>
            </w:r>
          </w:p>
        </w:tc>
        <w:tc>
          <w:tcPr>
            <w:tcW w:w="1532" w:type="dxa"/>
            <w:noWrap/>
            <w:vAlign w:val="center"/>
          </w:tcPr>
          <w:p w14:paraId="608DEEDE">
            <w:pPr>
              <w:pStyle w:val="41"/>
              <w:rPr>
                <w:color w:val="auto"/>
                <w:highlight w:val="none"/>
              </w:rPr>
            </w:pPr>
            <w:r>
              <w:rPr>
                <w:color w:val="auto"/>
                <w:highlight w:val="none"/>
              </w:rPr>
              <w:t>0.022812</w:t>
            </w:r>
          </w:p>
        </w:tc>
        <w:tc>
          <w:tcPr>
            <w:tcW w:w="946" w:type="dxa"/>
            <w:noWrap/>
            <w:vAlign w:val="center"/>
          </w:tcPr>
          <w:p w14:paraId="4011ADF7">
            <w:pPr>
              <w:pStyle w:val="41"/>
              <w:rPr>
                <w:color w:val="auto"/>
                <w:highlight w:val="none"/>
              </w:rPr>
            </w:pPr>
            <w:r>
              <w:rPr>
                <w:color w:val="auto"/>
                <w:highlight w:val="none"/>
              </w:rPr>
              <w:t xml:space="preserve">2.54 </w:t>
            </w:r>
          </w:p>
        </w:tc>
        <w:tc>
          <w:tcPr>
            <w:tcW w:w="1398" w:type="dxa"/>
            <w:noWrap/>
            <w:vAlign w:val="center"/>
          </w:tcPr>
          <w:p w14:paraId="014BA51E">
            <w:pPr>
              <w:pStyle w:val="41"/>
              <w:rPr>
                <w:color w:val="auto"/>
                <w:highlight w:val="none"/>
              </w:rPr>
            </w:pPr>
            <w:r>
              <w:rPr>
                <w:color w:val="auto"/>
                <w:highlight w:val="none"/>
              </w:rPr>
              <w:t>0.020905</w:t>
            </w:r>
          </w:p>
        </w:tc>
        <w:tc>
          <w:tcPr>
            <w:tcW w:w="872" w:type="dxa"/>
            <w:noWrap/>
            <w:vAlign w:val="center"/>
          </w:tcPr>
          <w:p w14:paraId="4E0A0ED8">
            <w:pPr>
              <w:pStyle w:val="41"/>
              <w:rPr>
                <w:color w:val="auto"/>
                <w:highlight w:val="none"/>
              </w:rPr>
            </w:pPr>
            <w:r>
              <w:rPr>
                <w:color w:val="auto"/>
                <w:highlight w:val="none"/>
              </w:rPr>
              <w:t>2.32</w:t>
            </w:r>
          </w:p>
        </w:tc>
      </w:tr>
      <w:tr w14:paraId="789CE6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52AE8AC">
            <w:pPr>
              <w:pStyle w:val="41"/>
              <w:rPr>
                <w:color w:val="auto"/>
                <w:highlight w:val="none"/>
              </w:rPr>
            </w:pPr>
            <w:r>
              <w:rPr>
                <w:color w:val="auto"/>
                <w:highlight w:val="none"/>
              </w:rPr>
              <w:t>33</w:t>
            </w:r>
          </w:p>
        </w:tc>
        <w:tc>
          <w:tcPr>
            <w:tcW w:w="1254" w:type="dxa"/>
            <w:noWrap/>
            <w:vAlign w:val="center"/>
          </w:tcPr>
          <w:p w14:paraId="6A2CE121">
            <w:pPr>
              <w:pStyle w:val="41"/>
              <w:rPr>
                <w:color w:val="auto"/>
                <w:highlight w:val="none"/>
              </w:rPr>
            </w:pPr>
            <w:r>
              <w:rPr>
                <w:color w:val="auto"/>
                <w:highlight w:val="none"/>
              </w:rPr>
              <w:t>775</w:t>
            </w:r>
          </w:p>
        </w:tc>
        <w:tc>
          <w:tcPr>
            <w:tcW w:w="1532" w:type="dxa"/>
            <w:noWrap/>
            <w:vAlign w:val="center"/>
          </w:tcPr>
          <w:p w14:paraId="56C5963D">
            <w:pPr>
              <w:pStyle w:val="41"/>
              <w:rPr>
                <w:color w:val="auto"/>
                <w:highlight w:val="none"/>
              </w:rPr>
            </w:pPr>
            <w:r>
              <w:rPr>
                <w:color w:val="auto"/>
                <w:highlight w:val="none"/>
              </w:rPr>
              <w:t>0.022564</w:t>
            </w:r>
          </w:p>
        </w:tc>
        <w:tc>
          <w:tcPr>
            <w:tcW w:w="946" w:type="dxa"/>
            <w:noWrap/>
            <w:vAlign w:val="center"/>
          </w:tcPr>
          <w:p w14:paraId="75218789">
            <w:pPr>
              <w:pStyle w:val="41"/>
              <w:rPr>
                <w:color w:val="auto"/>
                <w:highlight w:val="none"/>
              </w:rPr>
            </w:pPr>
            <w:r>
              <w:rPr>
                <w:color w:val="auto"/>
                <w:highlight w:val="none"/>
              </w:rPr>
              <w:t xml:space="preserve">2.50 </w:t>
            </w:r>
          </w:p>
        </w:tc>
        <w:tc>
          <w:tcPr>
            <w:tcW w:w="1398" w:type="dxa"/>
            <w:noWrap/>
            <w:vAlign w:val="center"/>
          </w:tcPr>
          <w:p w14:paraId="225989C2">
            <w:pPr>
              <w:pStyle w:val="41"/>
              <w:rPr>
                <w:color w:val="auto"/>
                <w:highlight w:val="none"/>
              </w:rPr>
            </w:pPr>
            <w:r>
              <w:rPr>
                <w:color w:val="auto"/>
                <w:highlight w:val="none"/>
              </w:rPr>
              <w:t>0.021008</w:t>
            </w:r>
          </w:p>
        </w:tc>
        <w:tc>
          <w:tcPr>
            <w:tcW w:w="872" w:type="dxa"/>
            <w:noWrap/>
            <w:vAlign w:val="center"/>
          </w:tcPr>
          <w:p w14:paraId="60069C09">
            <w:pPr>
              <w:pStyle w:val="41"/>
              <w:rPr>
                <w:color w:val="auto"/>
                <w:highlight w:val="none"/>
              </w:rPr>
            </w:pPr>
            <w:r>
              <w:rPr>
                <w:color w:val="auto"/>
                <w:highlight w:val="none"/>
              </w:rPr>
              <w:t>2.33</w:t>
            </w:r>
          </w:p>
        </w:tc>
      </w:tr>
      <w:tr w14:paraId="2D5CF4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6501986">
            <w:pPr>
              <w:pStyle w:val="41"/>
              <w:rPr>
                <w:color w:val="auto"/>
                <w:highlight w:val="none"/>
              </w:rPr>
            </w:pPr>
            <w:r>
              <w:rPr>
                <w:color w:val="auto"/>
                <w:highlight w:val="none"/>
              </w:rPr>
              <w:t>34</w:t>
            </w:r>
          </w:p>
        </w:tc>
        <w:tc>
          <w:tcPr>
            <w:tcW w:w="1254" w:type="dxa"/>
            <w:noWrap/>
            <w:vAlign w:val="center"/>
          </w:tcPr>
          <w:p w14:paraId="39F000AC">
            <w:pPr>
              <w:pStyle w:val="41"/>
              <w:rPr>
                <w:color w:val="auto"/>
                <w:highlight w:val="none"/>
              </w:rPr>
            </w:pPr>
            <w:r>
              <w:rPr>
                <w:color w:val="auto"/>
                <w:highlight w:val="none"/>
              </w:rPr>
              <w:t>800</w:t>
            </w:r>
          </w:p>
        </w:tc>
        <w:tc>
          <w:tcPr>
            <w:tcW w:w="1532" w:type="dxa"/>
            <w:noWrap/>
            <w:vAlign w:val="center"/>
          </w:tcPr>
          <w:p w14:paraId="47569BE7">
            <w:pPr>
              <w:pStyle w:val="41"/>
              <w:rPr>
                <w:color w:val="auto"/>
                <w:highlight w:val="none"/>
              </w:rPr>
            </w:pPr>
            <w:r>
              <w:rPr>
                <w:color w:val="auto"/>
                <w:highlight w:val="none"/>
              </w:rPr>
              <w:t>0.022328</w:t>
            </w:r>
          </w:p>
        </w:tc>
        <w:tc>
          <w:tcPr>
            <w:tcW w:w="946" w:type="dxa"/>
            <w:noWrap/>
            <w:vAlign w:val="center"/>
          </w:tcPr>
          <w:p w14:paraId="60A7C974">
            <w:pPr>
              <w:pStyle w:val="41"/>
              <w:rPr>
                <w:color w:val="auto"/>
                <w:highlight w:val="none"/>
              </w:rPr>
            </w:pPr>
            <w:r>
              <w:rPr>
                <w:color w:val="auto"/>
                <w:highlight w:val="none"/>
              </w:rPr>
              <w:t xml:space="preserve">2.48 </w:t>
            </w:r>
          </w:p>
        </w:tc>
        <w:tc>
          <w:tcPr>
            <w:tcW w:w="1398" w:type="dxa"/>
            <w:noWrap/>
            <w:vAlign w:val="center"/>
          </w:tcPr>
          <w:p w14:paraId="1FE84D7F">
            <w:pPr>
              <w:pStyle w:val="41"/>
              <w:rPr>
                <w:color w:val="auto"/>
                <w:highlight w:val="none"/>
              </w:rPr>
            </w:pPr>
            <w:r>
              <w:rPr>
                <w:color w:val="auto"/>
                <w:highlight w:val="none"/>
              </w:rPr>
              <w:t>0.021094</w:t>
            </w:r>
          </w:p>
        </w:tc>
        <w:tc>
          <w:tcPr>
            <w:tcW w:w="872" w:type="dxa"/>
            <w:noWrap/>
            <w:vAlign w:val="center"/>
          </w:tcPr>
          <w:p w14:paraId="2DF1B942">
            <w:pPr>
              <w:pStyle w:val="41"/>
              <w:rPr>
                <w:color w:val="auto"/>
                <w:highlight w:val="none"/>
              </w:rPr>
            </w:pPr>
            <w:r>
              <w:rPr>
                <w:color w:val="auto"/>
                <w:highlight w:val="none"/>
              </w:rPr>
              <w:t>2.34</w:t>
            </w:r>
          </w:p>
        </w:tc>
      </w:tr>
      <w:tr w14:paraId="77867A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223EA5D">
            <w:pPr>
              <w:pStyle w:val="41"/>
              <w:rPr>
                <w:color w:val="auto"/>
                <w:highlight w:val="none"/>
              </w:rPr>
            </w:pPr>
            <w:r>
              <w:rPr>
                <w:color w:val="auto"/>
                <w:highlight w:val="none"/>
              </w:rPr>
              <w:t>35</w:t>
            </w:r>
          </w:p>
        </w:tc>
        <w:tc>
          <w:tcPr>
            <w:tcW w:w="1254" w:type="dxa"/>
            <w:noWrap/>
            <w:vAlign w:val="center"/>
          </w:tcPr>
          <w:p w14:paraId="16E2D73E">
            <w:pPr>
              <w:pStyle w:val="41"/>
              <w:rPr>
                <w:color w:val="auto"/>
                <w:highlight w:val="none"/>
              </w:rPr>
            </w:pPr>
            <w:r>
              <w:rPr>
                <w:color w:val="auto"/>
                <w:highlight w:val="none"/>
              </w:rPr>
              <w:t>825</w:t>
            </w:r>
          </w:p>
        </w:tc>
        <w:tc>
          <w:tcPr>
            <w:tcW w:w="1532" w:type="dxa"/>
            <w:noWrap/>
            <w:vAlign w:val="center"/>
          </w:tcPr>
          <w:p w14:paraId="176816C1">
            <w:pPr>
              <w:pStyle w:val="41"/>
              <w:rPr>
                <w:color w:val="auto"/>
                <w:highlight w:val="none"/>
              </w:rPr>
            </w:pPr>
            <w:r>
              <w:rPr>
                <w:color w:val="auto"/>
                <w:highlight w:val="none"/>
              </w:rPr>
              <w:t>0.0221024</w:t>
            </w:r>
          </w:p>
        </w:tc>
        <w:tc>
          <w:tcPr>
            <w:tcW w:w="946" w:type="dxa"/>
            <w:noWrap/>
            <w:vAlign w:val="center"/>
          </w:tcPr>
          <w:p w14:paraId="0F3DAA8E">
            <w:pPr>
              <w:pStyle w:val="41"/>
              <w:rPr>
                <w:color w:val="auto"/>
                <w:highlight w:val="none"/>
              </w:rPr>
            </w:pPr>
            <w:r>
              <w:rPr>
                <w:color w:val="auto"/>
                <w:highlight w:val="none"/>
              </w:rPr>
              <w:t xml:space="preserve">2.46 </w:t>
            </w:r>
          </w:p>
        </w:tc>
        <w:tc>
          <w:tcPr>
            <w:tcW w:w="1398" w:type="dxa"/>
            <w:noWrap/>
            <w:vAlign w:val="center"/>
          </w:tcPr>
          <w:p w14:paraId="4BC4C527">
            <w:pPr>
              <w:pStyle w:val="41"/>
              <w:rPr>
                <w:color w:val="auto"/>
                <w:highlight w:val="none"/>
              </w:rPr>
            </w:pPr>
            <w:r>
              <w:rPr>
                <w:color w:val="auto"/>
                <w:highlight w:val="none"/>
              </w:rPr>
              <w:t>0.021162</w:t>
            </w:r>
          </w:p>
        </w:tc>
        <w:tc>
          <w:tcPr>
            <w:tcW w:w="872" w:type="dxa"/>
            <w:noWrap/>
            <w:vAlign w:val="center"/>
          </w:tcPr>
          <w:p w14:paraId="56CC5284">
            <w:pPr>
              <w:pStyle w:val="41"/>
              <w:rPr>
                <w:color w:val="auto"/>
                <w:highlight w:val="none"/>
              </w:rPr>
            </w:pPr>
            <w:r>
              <w:rPr>
                <w:color w:val="auto"/>
                <w:highlight w:val="none"/>
              </w:rPr>
              <w:t>2.35</w:t>
            </w:r>
          </w:p>
        </w:tc>
      </w:tr>
      <w:tr w14:paraId="207B40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D1B42CF">
            <w:pPr>
              <w:pStyle w:val="41"/>
              <w:rPr>
                <w:color w:val="auto"/>
                <w:highlight w:val="none"/>
              </w:rPr>
            </w:pPr>
            <w:r>
              <w:rPr>
                <w:color w:val="auto"/>
                <w:highlight w:val="none"/>
              </w:rPr>
              <w:t>36</w:t>
            </w:r>
          </w:p>
        </w:tc>
        <w:tc>
          <w:tcPr>
            <w:tcW w:w="1254" w:type="dxa"/>
            <w:noWrap/>
            <w:vAlign w:val="center"/>
          </w:tcPr>
          <w:p w14:paraId="19DEF49D">
            <w:pPr>
              <w:pStyle w:val="41"/>
              <w:rPr>
                <w:color w:val="auto"/>
                <w:highlight w:val="none"/>
              </w:rPr>
            </w:pPr>
            <w:r>
              <w:rPr>
                <w:color w:val="auto"/>
                <w:highlight w:val="none"/>
              </w:rPr>
              <w:t>850</w:t>
            </w:r>
          </w:p>
        </w:tc>
        <w:tc>
          <w:tcPr>
            <w:tcW w:w="1532" w:type="dxa"/>
            <w:noWrap/>
            <w:vAlign w:val="center"/>
          </w:tcPr>
          <w:p w14:paraId="195AF6CA">
            <w:pPr>
              <w:pStyle w:val="41"/>
              <w:rPr>
                <w:color w:val="auto"/>
                <w:highlight w:val="none"/>
              </w:rPr>
            </w:pPr>
            <w:r>
              <w:rPr>
                <w:color w:val="auto"/>
                <w:highlight w:val="none"/>
              </w:rPr>
              <w:t>0.0218864</w:t>
            </w:r>
          </w:p>
        </w:tc>
        <w:tc>
          <w:tcPr>
            <w:tcW w:w="946" w:type="dxa"/>
            <w:noWrap/>
            <w:vAlign w:val="center"/>
          </w:tcPr>
          <w:p w14:paraId="51BA6F5C">
            <w:pPr>
              <w:pStyle w:val="41"/>
              <w:rPr>
                <w:color w:val="auto"/>
                <w:highlight w:val="none"/>
              </w:rPr>
            </w:pPr>
            <w:r>
              <w:rPr>
                <w:color w:val="auto"/>
                <w:highlight w:val="none"/>
              </w:rPr>
              <w:t xml:space="preserve">2.43 </w:t>
            </w:r>
          </w:p>
        </w:tc>
        <w:tc>
          <w:tcPr>
            <w:tcW w:w="1398" w:type="dxa"/>
            <w:noWrap/>
            <w:vAlign w:val="center"/>
          </w:tcPr>
          <w:p w14:paraId="784EFD4D">
            <w:pPr>
              <w:pStyle w:val="41"/>
              <w:rPr>
                <w:color w:val="auto"/>
                <w:highlight w:val="none"/>
              </w:rPr>
            </w:pPr>
            <w:r>
              <w:rPr>
                <w:color w:val="auto"/>
                <w:highlight w:val="none"/>
              </w:rPr>
              <w:t>0.021208</w:t>
            </w:r>
          </w:p>
        </w:tc>
        <w:tc>
          <w:tcPr>
            <w:tcW w:w="872" w:type="dxa"/>
            <w:noWrap/>
            <w:vAlign w:val="center"/>
          </w:tcPr>
          <w:p w14:paraId="09586DDC">
            <w:pPr>
              <w:pStyle w:val="41"/>
              <w:rPr>
                <w:color w:val="auto"/>
                <w:highlight w:val="none"/>
              </w:rPr>
            </w:pPr>
            <w:r>
              <w:rPr>
                <w:color w:val="auto"/>
                <w:highlight w:val="none"/>
              </w:rPr>
              <w:t>2.36</w:t>
            </w:r>
          </w:p>
        </w:tc>
      </w:tr>
      <w:tr w14:paraId="2BBA70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trPr>
        <w:tc>
          <w:tcPr>
            <w:tcW w:w="321" w:type="pct"/>
            <w:noWrap/>
            <w:vAlign w:val="center"/>
          </w:tcPr>
          <w:p w14:paraId="335AD5F8">
            <w:pPr>
              <w:pStyle w:val="41"/>
              <w:rPr>
                <w:color w:val="auto"/>
                <w:highlight w:val="none"/>
              </w:rPr>
            </w:pPr>
            <w:r>
              <w:rPr>
                <w:color w:val="auto"/>
                <w:highlight w:val="none"/>
              </w:rPr>
              <w:t>37</w:t>
            </w:r>
          </w:p>
        </w:tc>
        <w:tc>
          <w:tcPr>
            <w:tcW w:w="1254" w:type="dxa"/>
            <w:noWrap/>
            <w:vAlign w:val="center"/>
          </w:tcPr>
          <w:p w14:paraId="3ECF6515">
            <w:pPr>
              <w:pStyle w:val="41"/>
              <w:rPr>
                <w:color w:val="auto"/>
                <w:highlight w:val="none"/>
              </w:rPr>
            </w:pPr>
            <w:r>
              <w:rPr>
                <w:color w:val="auto"/>
                <w:highlight w:val="none"/>
              </w:rPr>
              <w:t>875</w:t>
            </w:r>
          </w:p>
        </w:tc>
        <w:tc>
          <w:tcPr>
            <w:tcW w:w="1532" w:type="dxa"/>
            <w:noWrap/>
            <w:vAlign w:val="center"/>
          </w:tcPr>
          <w:p w14:paraId="3565B63D">
            <w:pPr>
              <w:pStyle w:val="41"/>
              <w:rPr>
                <w:color w:val="auto"/>
                <w:highlight w:val="none"/>
              </w:rPr>
            </w:pPr>
            <w:r>
              <w:rPr>
                <w:color w:val="auto"/>
                <w:highlight w:val="none"/>
              </w:rPr>
              <w:t>0.0216792</w:t>
            </w:r>
          </w:p>
        </w:tc>
        <w:tc>
          <w:tcPr>
            <w:tcW w:w="946" w:type="dxa"/>
            <w:noWrap/>
            <w:vAlign w:val="center"/>
          </w:tcPr>
          <w:p w14:paraId="1A0D134F">
            <w:pPr>
              <w:pStyle w:val="41"/>
              <w:rPr>
                <w:color w:val="auto"/>
                <w:highlight w:val="none"/>
              </w:rPr>
            </w:pPr>
            <w:r>
              <w:rPr>
                <w:color w:val="auto"/>
                <w:highlight w:val="none"/>
              </w:rPr>
              <w:t xml:space="preserve">2.41 </w:t>
            </w:r>
          </w:p>
        </w:tc>
        <w:tc>
          <w:tcPr>
            <w:tcW w:w="1398" w:type="dxa"/>
            <w:noWrap/>
            <w:vAlign w:val="center"/>
          </w:tcPr>
          <w:p w14:paraId="02AA8CAD">
            <w:pPr>
              <w:pStyle w:val="41"/>
              <w:rPr>
                <w:color w:val="auto"/>
                <w:highlight w:val="none"/>
              </w:rPr>
            </w:pPr>
            <w:r>
              <w:rPr>
                <w:color w:val="auto"/>
                <w:highlight w:val="none"/>
              </w:rPr>
              <w:t>0.021236</w:t>
            </w:r>
          </w:p>
        </w:tc>
        <w:tc>
          <w:tcPr>
            <w:tcW w:w="872" w:type="dxa"/>
            <w:noWrap/>
            <w:vAlign w:val="center"/>
          </w:tcPr>
          <w:p w14:paraId="63E38D8E">
            <w:pPr>
              <w:pStyle w:val="41"/>
              <w:rPr>
                <w:color w:val="auto"/>
                <w:highlight w:val="none"/>
              </w:rPr>
            </w:pPr>
            <w:r>
              <w:rPr>
                <w:color w:val="auto"/>
                <w:highlight w:val="none"/>
              </w:rPr>
              <w:t>2.36</w:t>
            </w:r>
          </w:p>
        </w:tc>
      </w:tr>
      <w:tr w14:paraId="743BA1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A6AAAE6">
            <w:pPr>
              <w:pStyle w:val="41"/>
              <w:rPr>
                <w:color w:val="auto"/>
                <w:highlight w:val="none"/>
              </w:rPr>
            </w:pPr>
            <w:r>
              <w:rPr>
                <w:color w:val="auto"/>
                <w:highlight w:val="none"/>
              </w:rPr>
              <w:t>38</w:t>
            </w:r>
          </w:p>
        </w:tc>
        <w:tc>
          <w:tcPr>
            <w:tcW w:w="1254" w:type="dxa"/>
            <w:noWrap/>
            <w:vAlign w:val="center"/>
          </w:tcPr>
          <w:p w14:paraId="592B0827">
            <w:pPr>
              <w:pStyle w:val="41"/>
              <w:rPr>
                <w:color w:val="auto"/>
                <w:highlight w:val="none"/>
              </w:rPr>
            </w:pPr>
            <w:r>
              <w:rPr>
                <w:color w:val="auto"/>
                <w:highlight w:val="none"/>
              </w:rPr>
              <w:t>900</w:t>
            </w:r>
          </w:p>
        </w:tc>
        <w:tc>
          <w:tcPr>
            <w:tcW w:w="1532" w:type="dxa"/>
            <w:noWrap/>
            <w:vAlign w:val="center"/>
          </w:tcPr>
          <w:p w14:paraId="62E4AEC3">
            <w:pPr>
              <w:pStyle w:val="41"/>
              <w:rPr>
                <w:color w:val="auto"/>
                <w:highlight w:val="none"/>
              </w:rPr>
            </w:pPr>
            <w:r>
              <w:rPr>
                <w:color w:val="auto"/>
                <w:highlight w:val="none"/>
              </w:rPr>
              <w:t>0.02148</w:t>
            </w:r>
          </w:p>
        </w:tc>
        <w:tc>
          <w:tcPr>
            <w:tcW w:w="946" w:type="dxa"/>
            <w:noWrap/>
            <w:vAlign w:val="center"/>
          </w:tcPr>
          <w:p w14:paraId="7A114C92">
            <w:pPr>
              <w:pStyle w:val="41"/>
              <w:rPr>
                <w:color w:val="auto"/>
                <w:highlight w:val="none"/>
              </w:rPr>
            </w:pPr>
            <w:r>
              <w:rPr>
                <w:color w:val="auto"/>
                <w:highlight w:val="none"/>
              </w:rPr>
              <w:t xml:space="preserve">2.38 </w:t>
            </w:r>
          </w:p>
        </w:tc>
        <w:tc>
          <w:tcPr>
            <w:tcW w:w="1398" w:type="dxa"/>
            <w:noWrap/>
            <w:vAlign w:val="center"/>
          </w:tcPr>
          <w:p w14:paraId="04B38629">
            <w:pPr>
              <w:pStyle w:val="41"/>
              <w:rPr>
                <w:color w:val="auto"/>
                <w:highlight w:val="none"/>
              </w:rPr>
            </w:pPr>
            <w:r>
              <w:rPr>
                <w:color w:val="auto"/>
                <w:highlight w:val="none"/>
              </w:rPr>
              <w:t>0.02124</w:t>
            </w:r>
          </w:p>
        </w:tc>
        <w:tc>
          <w:tcPr>
            <w:tcW w:w="872" w:type="dxa"/>
            <w:noWrap/>
            <w:vAlign w:val="center"/>
          </w:tcPr>
          <w:p w14:paraId="762E95F4">
            <w:pPr>
              <w:pStyle w:val="41"/>
              <w:rPr>
                <w:color w:val="auto"/>
                <w:highlight w:val="none"/>
              </w:rPr>
            </w:pPr>
            <w:r>
              <w:rPr>
                <w:color w:val="auto"/>
                <w:highlight w:val="none"/>
              </w:rPr>
              <w:t>2.36</w:t>
            </w:r>
          </w:p>
        </w:tc>
      </w:tr>
      <w:tr w14:paraId="330551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EA739DF">
            <w:pPr>
              <w:pStyle w:val="41"/>
              <w:rPr>
                <w:color w:val="auto"/>
                <w:highlight w:val="none"/>
              </w:rPr>
            </w:pPr>
            <w:r>
              <w:rPr>
                <w:color w:val="auto"/>
                <w:highlight w:val="none"/>
              </w:rPr>
              <w:t>39</w:t>
            </w:r>
          </w:p>
        </w:tc>
        <w:tc>
          <w:tcPr>
            <w:tcW w:w="1254" w:type="dxa"/>
            <w:noWrap/>
            <w:vAlign w:val="center"/>
          </w:tcPr>
          <w:p w14:paraId="6063FD72">
            <w:pPr>
              <w:pStyle w:val="41"/>
              <w:rPr>
                <w:color w:val="auto"/>
                <w:highlight w:val="none"/>
              </w:rPr>
            </w:pPr>
            <w:r>
              <w:rPr>
                <w:color w:val="auto"/>
                <w:highlight w:val="none"/>
              </w:rPr>
              <w:t>925</w:t>
            </w:r>
          </w:p>
        </w:tc>
        <w:tc>
          <w:tcPr>
            <w:tcW w:w="1532" w:type="dxa"/>
            <w:noWrap/>
            <w:vAlign w:val="center"/>
          </w:tcPr>
          <w:p w14:paraId="76FEEBA8">
            <w:pPr>
              <w:pStyle w:val="41"/>
              <w:rPr>
                <w:color w:val="auto"/>
                <w:highlight w:val="none"/>
              </w:rPr>
            </w:pPr>
            <w:r>
              <w:rPr>
                <w:color w:val="auto"/>
                <w:highlight w:val="none"/>
              </w:rPr>
              <w:t>0.021288</w:t>
            </w:r>
          </w:p>
        </w:tc>
        <w:tc>
          <w:tcPr>
            <w:tcW w:w="946" w:type="dxa"/>
            <w:noWrap/>
            <w:vAlign w:val="center"/>
          </w:tcPr>
          <w:p w14:paraId="2CA385CB">
            <w:pPr>
              <w:pStyle w:val="41"/>
              <w:rPr>
                <w:color w:val="auto"/>
                <w:highlight w:val="none"/>
              </w:rPr>
            </w:pPr>
            <w:r>
              <w:rPr>
                <w:color w:val="auto"/>
                <w:highlight w:val="none"/>
              </w:rPr>
              <w:t xml:space="preserve">2.37 </w:t>
            </w:r>
          </w:p>
        </w:tc>
        <w:tc>
          <w:tcPr>
            <w:tcW w:w="1398" w:type="dxa"/>
            <w:noWrap/>
            <w:vAlign w:val="center"/>
          </w:tcPr>
          <w:p w14:paraId="185076AB">
            <w:pPr>
              <w:pStyle w:val="41"/>
              <w:rPr>
                <w:color w:val="auto"/>
                <w:highlight w:val="none"/>
              </w:rPr>
            </w:pPr>
            <w:r>
              <w:rPr>
                <w:color w:val="auto"/>
                <w:highlight w:val="none"/>
              </w:rPr>
              <w:t>0.021238</w:t>
            </w:r>
          </w:p>
        </w:tc>
        <w:tc>
          <w:tcPr>
            <w:tcW w:w="872" w:type="dxa"/>
            <w:noWrap/>
            <w:vAlign w:val="center"/>
          </w:tcPr>
          <w:p w14:paraId="61E54141">
            <w:pPr>
              <w:pStyle w:val="41"/>
              <w:rPr>
                <w:color w:val="auto"/>
                <w:highlight w:val="none"/>
              </w:rPr>
            </w:pPr>
            <w:r>
              <w:rPr>
                <w:color w:val="auto"/>
                <w:highlight w:val="none"/>
              </w:rPr>
              <w:t>2.36</w:t>
            </w:r>
          </w:p>
        </w:tc>
      </w:tr>
      <w:tr w14:paraId="10B460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E09E626">
            <w:pPr>
              <w:pStyle w:val="41"/>
              <w:rPr>
                <w:color w:val="auto"/>
                <w:highlight w:val="none"/>
              </w:rPr>
            </w:pPr>
            <w:r>
              <w:rPr>
                <w:color w:val="auto"/>
                <w:highlight w:val="none"/>
              </w:rPr>
              <w:t>40</w:t>
            </w:r>
          </w:p>
        </w:tc>
        <w:tc>
          <w:tcPr>
            <w:tcW w:w="1254" w:type="dxa"/>
            <w:noWrap/>
            <w:vAlign w:val="center"/>
          </w:tcPr>
          <w:p w14:paraId="0CCF35F8">
            <w:pPr>
              <w:pStyle w:val="41"/>
              <w:rPr>
                <w:color w:val="auto"/>
                <w:highlight w:val="none"/>
              </w:rPr>
            </w:pPr>
            <w:r>
              <w:rPr>
                <w:color w:val="auto"/>
                <w:highlight w:val="none"/>
              </w:rPr>
              <w:t>950</w:t>
            </w:r>
          </w:p>
        </w:tc>
        <w:tc>
          <w:tcPr>
            <w:tcW w:w="1532" w:type="dxa"/>
            <w:noWrap/>
            <w:vAlign w:val="center"/>
          </w:tcPr>
          <w:p w14:paraId="04562FCF">
            <w:pPr>
              <w:pStyle w:val="41"/>
              <w:rPr>
                <w:color w:val="auto"/>
                <w:highlight w:val="none"/>
              </w:rPr>
            </w:pPr>
            <w:r>
              <w:rPr>
                <w:color w:val="auto"/>
                <w:highlight w:val="none"/>
              </w:rPr>
              <w:t>0.0211024</w:t>
            </w:r>
          </w:p>
        </w:tc>
        <w:tc>
          <w:tcPr>
            <w:tcW w:w="946" w:type="dxa"/>
            <w:noWrap/>
            <w:vAlign w:val="center"/>
          </w:tcPr>
          <w:p w14:paraId="7974BAF6">
            <w:pPr>
              <w:pStyle w:val="41"/>
              <w:rPr>
                <w:color w:val="auto"/>
                <w:highlight w:val="none"/>
              </w:rPr>
            </w:pPr>
            <w:r>
              <w:rPr>
                <w:color w:val="auto"/>
                <w:highlight w:val="none"/>
              </w:rPr>
              <w:t xml:space="preserve">2.34 </w:t>
            </w:r>
          </w:p>
        </w:tc>
        <w:tc>
          <w:tcPr>
            <w:tcW w:w="1398" w:type="dxa"/>
            <w:noWrap/>
            <w:vAlign w:val="center"/>
          </w:tcPr>
          <w:p w14:paraId="0E357A5D">
            <w:pPr>
              <w:pStyle w:val="41"/>
              <w:rPr>
                <w:color w:val="auto"/>
                <w:highlight w:val="none"/>
              </w:rPr>
            </w:pPr>
            <w:r>
              <w:rPr>
                <w:color w:val="auto"/>
                <w:highlight w:val="none"/>
              </w:rPr>
              <w:t>0.021217</w:t>
            </w:r>
          </w:p>
        </w:tc>
        <w:tc>
          <w:tcPr>
            <w:tcW w:w="872" w:type="dxa"/>
            <w:noWrap/>
            <w:vAlign w:val="center"/>
          </w:tcPr>
          <w:p w14:paraId="34A3F32A">
            <w:pPr>
              <w:pStyle w:val="41"/>
              <w:rPr>
                <w:color w:val="auto"/>
                <w:highlight w:val="none"/>
              </w:rPr>
            </w:pPr>
            <w:r>
              <w:rPr>
                <w:color w:val="auto"/>
                <w:highlight w:val="none"/>
              </w:rPr>
              <w:t>2.36</w:t>
            </w:r>
          </w:p>
        </w:tc>
      </w:tr>
      <w:tr w14:paraId="173A69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2EC008A">
            <w:pPr>
              <w:pStyle w:val="41"/>
              <w:rPr>
                <w:color w:val="auto"/>
                <w:highlight w:val="none"/>
              </w:rPr>
            </w:pPr>
            <w:r>
              <w:rPr>
                <w:color w:val="auto"/>
                <w:highlight w:val="none"/>
              </w:rPr>
              <w:t>41</w:t>
            </w:r>
          </w:p>
        </w:tc>
        <w:tc>
          <w:tcPr>
            <w:tcW w:w="1254" w:type="dxa"/>
            <w:noWrap/>
            <w:vAlign w:val="center"/>
          </w:tcPr>
          <w:p w14:paraId="62DD983B">
            <w:pPr>
              <w:pStyle w:val="41"/>
              <w:rPr>
                <w:color w:val="auto"/>
                <w:highlight w:val="none"/>
              </w:rPr>
            </w:pPr>
            <w:r>
              <w:rPr>
                <w:color w:val="auto"/>
                <w:highlight w:val="none"/>
              </w:rPr>
              <w:t>975</w:t>
            </w:r>
          </w:p>
        </w:tc>
        <w:tc>
          <w:tcPr>
            <w:tcW w:w="1532" w:type="dxa"/>
            <w:noWrap/>
            <w:vAlign w:val="center"/>
          </w:tcPr>
          <w:p w14:paraId="6A25F110">
            <w:pPr>
              <w:pStyle w:val="41"/>
              <w:rPr>
                <w:color w:val="auto"/>
                <w:highlight w:val="none"/>
              </w:rPr>
            </w:pPr>
            <w:r>
              <w:rPr>
                <w:color w:val="auto"/>
                <w:highlight w:val="none"/>
              </w:rPr>
              <w:t>0.0209208</w:t>
            </w:r>
          </w:p>
        </w:tc>
        <w:tc>
          <w:tcPr>
            <w:tcW w:w="946" w:type="dxa"/>
            <w:noWrap/>
            <w:vAlign w:val="center"/>
          </w:tcPr>
          <w:p w14:paraId="4C9DE6A7">
            <w:pPr>
              <w:pStyle w:val="41"/>
              <w:rPr>
                <w:color w:val="auto"/>
                <w:highlight w:val="none"/>
              </w:rPr>
            </w:pPr>
            <w:r>
              <w:rPr>
                <w:color w:val="auto"/>
                <w:highlight w:val="none"/>
              </w:rPr>
              <w:t xml:space="preserve">2.33 </w:t>
            </w:r>
          </w:p>
        </w:tc>
        <w:tc>
          <w:tcPr>
            <w:tcW w:w="1398" w:type="dxa"/>
            <w:noWrap/>
            <w:vAlign w:val="center"/>
          </w:tcPr>
          <w:p w14:paraId="60A66776">
            <w:pPr>
              <w:pStyle w:val="41"/>
              <w:rPr>
                <w:color w:val="auto"/>
                <w:highlight w:val="none"/>
              </w:rPr>
            </w:pPr>
            <w:r>
              <w:rPr>
                <w:color w:val="auto"/>
                <w:highlight w:val="none"/>
              </w:rPr>
              <w:t>0.021184</w:t>
            </w:r>
          </w:p>
        </w:tc>
        <w:tc>
          <w:tcPr>
            <w:tcW w:w="872" w:type="dxa"/>
            <w:noWrap/>
            <w:vAlign w:val="center"/>
          </w:tcPr>
          <w:p w14:paraId="6ADC0F0E">
            <w:pPr>
              <w:pStyle w:val="41"/>
              <w:rPr>
                <w:color w:val="auto"/>
                <w:highlight w:val="none"/>
              </w:rPr>
            </w:pPr>
            <w:r>
              <w:rPr>
                <w:color w:val="auto"/>
                <w:highlight w:val="none"/>
              </w:rPr>
              <w:t>2.35</w:t>
            </w:r>
          </w:p>
        </w:tc>
      </w:tr>
      <w:tr w14:paraId="147525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6E38128">
            <w:pPr>
              <w:pStyle w:val="41"/>
              <w:rPr>
                <w:color w:val="auto"/>
                <w:highlight w:val="none"/>
              </w:rPr>
            </w:pPr>
            <w:r>
              <w:rPr>
                <w:color w:val="auto"/>
                <w:highlight w:val="none"/>
              </w:rPr>
              <w:t>42</w:t>
            </w:r>
          </w:p>
        </w:tc>
        <w:tc>
          <w:tcPr>
            <w:tcW w:w="1254" w:type="dxa"/>
            <w:noWrap/>
            <w:vAlign w:val="center"/>
          </w:tcPr>
          <w:p w14:paraId="50DEA004">
            <w:pPr>
              <w:pStyle w:val="41"/>
              <w:rPr>
                <w:color w:val="auto"/>
                <w:highlight w:val="none"/>
              </w:rPr>
            </w:pPr>
            <w:r>
              <w:rPr>
                <w:color w:val="auto"/>
                <w:highlight w:val="none"/>
              </w:rPr>
              <w:t>1000</w:t>
            </w:r>
          </w:p>
        </w:tc>
        <w:tc>
          <w:tcPr>
            <w:tcW w:w="1532" w:type="dxa"/>
            <w:noWrap/>
            <w:vAlign w:val="center"/>
          </w:tcPr>
          <w:p w14:paraId="07AD940C">
            <w:pPr>
              <w:pStyle w:val="41"/>
              <w:rPr>
                <w:color w:val="auto"/>
                <w:highlight w:val="none"/>
              </w:rPr>
            </w:pPr>
            <w:r>
              <w:rPr>
                <w:color w:val="auto"/>
                <w:highlight w:val="none"/>
              </w:rPr>
              <w:t>0.020744</w:t>
            </w:r>
          </w:p>
        </w:tc>
        <w:tc>
          <w:tcPr>
            <w:tcW w:w="946" w:type="dxa"/>
            <w:noWrap/>
            <w:vAlign w:val="center"/>
          </w:tcPr>
          <w:p w14:paraId="291534A0">
            <w:pPr>
              <w:pStyle w:val="41"/>
              <w:rPr>
                <w:color w:val="auto"/>
                <w:highlight w:val="none"/>
              </w:rPr>
            </w:pPr>
            <w:r>
              <w:rPr>
                <w:color w:val="auto"/>
                <w:highlight w:val="none"/>
              </w:rPr>
              <w:t xml:space="preserve">2.30 </w:t>
            </w:r>
          </w:p>
        </w:tc>
        <w:tc>
          <w:tcPr>
            <w:tcW w:w="1398" w:type="dxa"/>
            <w:noWrap/>
            <w:vAlign w:val="center"/>
          </w:tcPr>
          <w:p w14:paraId="2D90B4AB">
            <w:pPr>
              <w:pStyle w:val="41"/>
              <w:rPr>
                <w:color w:val="auto"/>
                <w:highlight w:val="none"/>
              </w:rPr>
            </w:pPr>
            <w:r>
              <w:rPr>
                <w:color w:val="auto"/>
                <w:highlight w:val="none"/>
              </w:rPr>
              <w:t>0.021129</w:t>
            </w:r>
          </w:p>
        </w:tc>
        <w:tc>
          <w:tcPr>
            <w:tcW w:w="872" w:type="dxa"/>
            <w:noWrap/>
            <w:vAlign w:val="center"/>
          </w:tcPr>
          <w:p w14:paraId="236FD618">
            <w:pPr>
              <w:pStyle w:val="41"/>
              <w:rPr>
                <w:color w:val="auto"/>
                <w:highlight w:val="none"/>
              </w:rPr>
            </w:pPr>
            <w:r>
              <w:rPr>
                <w:color w:val="auto"/>
                <w:highlight w:val="none"/>
              </w:rPr>
              <w:t>2.35</w:t>
            </w:r>
          </w:p>
        </w:tc>
      </w:tr>
      <w:tr w14:paraId="17BC62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D310280">
            <w:pPr>
              <w:pStyle w:val="41"/>
              <w:rPr>
                <w:color w:val="auto"/>
                <w:highlight w:val="none"/>
              </w:rPr>
            </w:pPr>
            <w:r>
              <w:rPr>
                <w:color w:val="auto"/>
                <w:highlight w:val="none"/>
              </w:rPr>
              <w:t>43</w:t>
            </w:r>
          </w:p>
        </w:tc>
        <w:tc>
          <w:tcPr>
            <w:tcW w:w="1254" w:type="dxa"/>
            <w:noWrap/>
            <w:vAlign w:val="center"/>
          </w:tcPr>
          <w:p w14:paraId="0C39DC1E">
            <w:pPr>
              <w:pStyle w:val="41"/>
              <w:rPr>
                <w:color w:val="auto"/>
                <w:highlight w:val="none"/>
              </w:rPr>
            </w:pPr>
            <w:r>
              <w:rPr>
                <w:color w:val="auto"/>
                <w:highlight w:val="none"/>
              </w:rPr>
              <w:t>1025</w:t>
            </w:r>
          </w:p>
        </w:tc>
        <w:tc>
          <w:tcPr>
            <w:tcW w:w="1532" w:type="dxa"/>
            <w:noWrap/>
            <w:vAlign w:val="center"/>
          </w:tcPr>
          <w:p w14:paraId="22BE28DE">
            <w:pPr>
              <w:pStyle w:val="41"/>
              <w:rPr>
                <w:color w:val="auto"/>
                <w:highlight w:val="none"/>
              </w:rPr>
            </w:pPr>
            <w:r>
              <w:rPr>
                <w:color w:val="auto"/>
                <w:highlight w:val="none"/>
              </w:rPr>
              <w:t>0.0205728</w:t>
            </w:r>
          </w:p>
        </w:tc>
        <w:tc>
          <w:tcPr>
            <w:tcW w:w="946" w:type="dxa"/>
            <w:noWrap/>
            <w:vAlign w:val="center"/>
          </w:tcPr>
          <w:p w14:paraId="74328870">
            <w:pPr>
              <w:pStyle w:val="41"/>
              <w:rPr>
                <w:color w:val="auto"/>
                <w:highlight w:val="none"/>
              </w:rPr>
            </w:pPr>
            <w:r>
              <w:rPr>
                <w:color w:val="auto"/>
                <w:highlight w:val="none"/>
              </w:rPr>
              <w:t xml:space="preserve">2.29 </w:t>
            </w:r>
          </w:p>
        </w:tc>
        <w:tc>
          <w:tcPr>
            <w:tcW w:w="1398" w:type="dxa"/>
            <w:noWrap/>
            <w:vAlign w:val="center"/>
          </w:tcPr>
          <w:p w14:paraId="51A92EF1">
            <w:pPr>
              <w:pStyle w:val="41"/>
              <w:rPr>
                <w:color w:val="auto"/>
                <w:highlight w:val="none"/>
              </w:rPr>
            </w:pPr>
            <w:r>
              <w:rPr>
                <w:color w:val="auto"/>
                <w:highlight w:val="none"/>
              </w:rPr>
              <w:t>0.021066</w:t>
            </w:r>
          </w:p>
        </w:tc>
        <w:tc>
          <w:tcPr>
            <w:tcW w:w="872" w:type="dxa"/>
            <w:noWrap/>
            <w:vAlign w:val="center"/>
          </w:tcPr>
          <w:p w14:paraId="627AAFF0">
            <w:pPr>
              <w:pStyle w:val="41"/>
              <w:rPr>
                <w:color w:val="auto"/>
                <w:highlight w:val="none"/>
              </w:rPr>
            </w:pPr>
            <w:r>
              <w:rPr>
                <w:color w:val="auto"/>
                <w:highlight w:val="none"/>
              </w:rPr>
              <w:t>2.34</w:t>
            </w:r>
          </w:p>
        </w:tc>
      </w:tr>
      <w:tr w14:paraId="030B2D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11F94AC">
            <w:pPr>
              <w:pStyle w:val="41"/>
              <w:rPr>
                <w:color w:val="auto"/>
                <w:highlight w:val="none"/>
              </w:rPr>
            </w:pPr>
            <w:r>
              <w:rPr>
                <w:color w:val="auto"/>
                <w:highlight w:val="none"/>
              </w:rPr>
              <w:t>44</w:t>
            </w:r>
          </w:p>
        </w:tc>
        <w:tc>
          <w:tcPr>
            <w:tcW w:w="1254" w:type="dxa"/>
            <w:noWrap/>
            <w:vAlign w:val="center"/>
          </w:tcPr>
          <w:p w14:paraId="23976573">
            <w:pPr>
              <w:pStyle w:val="41"/>
              <w:rPr>
                <w:color w:val="auto"/>
                <w:highlight w:val="none"/>
              </w:rPr>
            </w:pPr>
            <w:r>
              <w:rPr>
                <w:color w:val="auto"/>
                <w:highlight w:val="none"/>
              </w:rPr>
              <w:t>1050</w:t>
            </w:r>
          </w:p>
        </w:tc>
        <w:tc>
          <w:tcPr>
            <w:tcW w:w="1532" w:type="dxa"/>
            <w:noWrap/>
            <w:vAlign w:val="center"/>
          </w:tcPr>
          <w:p w14:paraId="021BB3E3">
            <w:pPr>
              <w:pStyle w:val="41"/>
              <w:rPr>
                <w:color w:val="auto"/>
                <w:highlight w:val="none"/>
              </w:rPr>
            </w:pPr>
            <w:r>
              <w:rPr>
                <w:color w:val="auto"/>
                <w:highlight w:val="none"/>
              </w:rPr>
              <w:t>0.0204064</w:t>
            </w:r>
          </w:p>
        </w:tc>
        <w:tc>
          <w:tcPr>
            <w:tcW w:w="946" w:type="dxa"/>
            <w:noWrap/>
            <w:vAlign w:val="center"/>
          </w:tcPr>
          <w:p w14:paraId="7BD0CD66">
            <w:pPr>
              <w:pStyle w:val="41"/>
              <w:rPr>
                <w:color w:val="auto"/>
                <w:highlight w:val="none"/>
              </w:rPr>
            </w:pPr>
            <w:r>
              <w:rPr>
                <w:color w:val="auto"/>
                <w:highlight w:val="none"/>
              </w:rPr>
              <w:t xml:space="preserve">2.26 </w:t>
            </w:r>
          </w:p>
        </w:tc>
        <w:tc>
          <w:tcPr>
            <w:tcW w:w="1398" w:type="dxa"/>
            <w:noWrap/>
            <w:vAlign w:val="center"/>
          </w:tcPr>
          <w:p w14:paraId="1464BC45">
            <w:pPr>
              <w:pStyle w:val="41"/>
              <w:rPr>
                <w:color w:val="auto"/>
                <w:highlight w:val="none"/>
              </w:rPr>
            </w:pPr>
            <w:r>
              <w:rPr>
                <w:color w:val="auto"/>
                <w:highlight w:val="none"/>
              </w:rPr>
              <w:t>0.020986</w:t>
            </w:r>
          </w:p>
        </w:tc>
        <w:tc>
          <w:tcPr>
            <w:tcW w:w="872" w:type="dxa"/>
            <w:noWrap/>
            <w:vAlign w:val="center"/>
          </w:tcPr>
          <w:p w14:paraId="779750FF">
            <w:pPr>
              <w:pStyle w:val="41"/>
              <w:rPr>
                <w:color w:val="auto"/>
                <w:highlight w:val="none"/>
              </w:rPr>
            </w:pPr>
            <w:r>
              <w:rPr>
                <w:color w:val="auto"/>
                <w:highlight w:val="none"/>
              </w:rPr>
              <w:t>2.33</w:t>
            </w:r>
          </w:p>
        </w:tc>
      </w:tr>
      <w:tr w14:paraId="289E12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EE6831A">
            <w:pPr>
              <w:pStyle w:val="41"/>
              <w:rPr>
                <w:color w:val="auto"/>
                <w:highlight w:val="none"/>
              </w:rPr>
            </w:pPr>
            <w:r>
              <w:rPr>
                <w:color w:val="auto"/>
                <w:highlight w:val="none"/>
              </w:rPr>
              <w:t>45</w:t>
            </w:r>
          </w:p>
        </w:tc>
        <w:tc>
          <w:tcPr>
            <w:tcW w:w="1254" w:type="dxa"/>
            <w:noWrap/>
            <w:vAlign w:val="center"/>
          </w:tcPr>
          <w:p w14:paraId="4C405550">
            <w:pPr>
              <w:pStyle w:val="41"/>
              <w:rPr>
                <w:color w:val="auto"/>
                <w:highlight w:val="none"/>
              </w:rPr>
            </w:pPr>
            <w:r>
              <w:rPr>
                <w:color w:val="auto"/>
                <w:highlight w:val="none"/>
              </w:rPr>
              <w:t>1075</w:t>
            </w:r>
          </w:p>
        </w:tc>
        <w:tc>
          <w:tcPr>
            <w:tcW w:w="1532" w:type="dxa"/>
            <w:noWrap/>
            <w:vAlign w:val="center"/>
          </w:tcPr>
          <w:p w14:paraId="5B15B8E0">
            <w:pPr>
              <w:pStyle w:val="41"/>
              <w:rPr>
                <w:color w:val="auto"/>
                <w:highlight w:val="none"/>
              </w:rPr>
            </w:pPr>
            <w:r>
              <w:rPr>
                <w:color w:val="auto"/>
                <w:highlight w:val="none"/>
              </w:rPr>
              <w:t>0.0202424</w:t>
            </w:r>
          </w:p>
        </w:tc>
        <w:tc>
          <w:tcPr>
            <w:tcW w:w="946" w:type="dxa"/>
            <w:noWrap/>
            <w:vAlign w:val="center"/>
          </w:tcPr>
          <w:p w14:paraId="6B6248E8">
            <w:pPr>
              <w:pStyle w:val="41"/>
              <w:rPr>
                <w:color w:val="auto"/>
                <w:highlight w:val="none"/>
              </w:rPr>
            </w:pPr>
            <w:r>
              <w:rPr>
                <w:color w:val="auto"/>
                <w:highlight w:val="none"/>
              </w:rPr>
              <w:t xml:space="preserve">2.25 </w:t>
            </w:r>
          </w:p>
        </w:tc>
        <w:tc>
          <w:tcPr>
            <w:tcW w:w="1398" w:type="dxa"/>
            <w:noWrap/>
            <w:vAlign w:val="center"/>
          </w:tcPr>
          <w:p w14:paraId="3493DCD3">
            <w:pPr>
              <w:pStyle w:val="41"/>
              <w:rPr>
                <w:color w:val="auto"/>
                <w:highlight w:val="none"/>
              </w:rPr>
            </w:pPr>
            <w:r>
              <w:rPr>
                <w:color w:val="auto"/>
                <w:highlight w:val="none"/>
              </w:rPr>
              <w:t>0.020899</w:t>
            </w:r>
          </w:p>
        </w:tc>
        <w:tc>
          <w:tcPr>
            <w:tcW w:w="872" w:type="dxa"/>
            <w:noWrap/>
            <w:vAlign w:val="center"/>
          </w:tcPr>
          <w:p w14:paraId="278B5DE6">
            <w:pPr>
              <w:pStyle w:val="41"/>
              <w:rPr>
                <w:color w:val="auto"/>
                <w:highlight w:val="none"/>
              </w:rPr>
            </w:pPr>
            <w:r>
              <w:rPr>
                <w:color w:val="auto"/>
                <w:highlight w:val="none"/>
              </w:rPr>
              <w:t>2.32</w:t>
            </w:r>
          </w:p>
        </w:tc>
      </w:tr>
      <w:tr w14:paraId="3B5E49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345136D">
            <w:pPr>
              <w:pStyle w:val="41"/>
              <w:rPr>
                <w:color w:val="auto"/>
                <w:highlight w:val="none"/>
              </w:rPr>
            </w:pPr>
            <w:r>
              <w:rPr>
                <w:color w:val="auto"/>
                <w:highlight w:val="none"/>
              </w:rPr>
              <w:t>46</w:t>
            </w:r>
          </w:p>
        </w:tc>
        <w:tc>
          <w:tcPr>
            <w:tcW w:w="1254" w:type="dxa"/>
            <w:noWrap/>
            <w:vAlign w:val="center"/>
          </w:tcPr>
          <w:p w14:paraId="1C071038">
            <w:pPr>
              <w:pStyle w:val="41"/>
              <w:rPr>
                <w:color w:val="auto"/>
                <w:highlight w:val="none"/>
              </w:rPr>
            </w:pPr>
            <w:r>
              <w:rPr>
                <w:color w:val="auto"/>
                <w:highlight w:val="none"/>
              </w:rPr>
              <w:t>1100</w:t>
            </w:r>
          </w:p>
        </w:tc>
        <w:tc>
          <w:tcPr>
            <w:tcW w:w="1532" w:type="dxa"/>
            <w:noWrap/>
            <w:vAlign w:val="center"/>
          </w:tcPr>
          <w:p w14:paraId="56060318">
            <w:pPr>
              <w:pStyle w:val="41"/>
              <w:rPr>
                <w:color w:val="auto"/>
                <w:highlight w:val="none"/>
              </w:rPr>
            </w:pPr>
            <w:r>
              <w:rPr>
                <w:color w:val="auto"/>
                <w:highlight w:val="none"/>
              </w:rPr>
              <w:t>0.0200808</w:t>
            </w:r>
          </w:p>
        </w:tc>
        <w:tc>
          <w:tcPr>
            <w:tcW w:w="946" w:type="dxa"/>
            <w:noWrap/>
            <w:vAlign w:val="center"/>
          </w:tcPr>
          <w:p w14:paraId="3FB185E3">
            <w:pPr>
              <w:pStyle w:val="41"/>
              <w:rPr>
                <w:color w:val="auto"/>
                <w:highlight w:val="none"/>
              </w:rPr>
            </w:pPr>
            <w:r>
              <w:rPr>
                <w:color w:val="auto"/>
                <w:highlight w:val="none"/>
              </w:rPr>
              <w:t xml:space="preserve">2.23 </w:t>
            </w:r>
          </w:p>
        </w:tc>
        <w:tc>
          <w:tcPr>
            <w:tcW w:w="1398" w:type="dxa"/>
            <w:noWrap/>
            <w:vAlign w:val="center"/>
          </w:tcPr>
          <w:p w14:paraId="186A2AF6">
            <w:pPr>
              <w:pStyle w:val="41"/>
              <w:rPr>
                <w:color w:val="auto"/>
                <w:highlight w:val="none"/>
              </w:rPr>
            </w:pPr>
            <w:r>
              <w:rPr>
                <w:color w:val="auto"/>
                <w:highlight w:val="none"/>
              </w:rPr>
              <w:t>0.020789</w:t>
            </w:r>
          </w:p>
        </w:tc>
        <w:tc>
          <w:tcPr>
            <w:tcW w:w="872" w:type="dxa"/>
            <w:noWrap/>
            <w:vAlign w:val="center"/>
          </w:tcPr>
          <w:p w14:paraId="3BFEDC82">
            <w:pPr>
              <w:pStyle w:val="41"/>
              <w:rPr>
                <w:color w:val="auto"/>
                <w:highlight w:val="none"/>
              </w:rPr>
            </w:pPr>
            <w:r>
              <w:rPr>
                <w:color w:val="auto"/>
                <w:highlight w:val="none"/>
              </w:rPr>
              <w:t>2.31</w:t>
            </w:r>
          </w:p>
        </w:tc>
      </w:tr>
      <w:tr w14:paraId="694351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B34EC5D">
            <w:pPr>
              <w:pStyle w:val="41"/>
              <w:rPr>
                <w:color w:val="auto"/>
                <w:highlight w:val="none"/>
              </w:rPr>
            </w:pPr>
            <w:r>
              <w:rPr>
                <w:color w:val="auto"/>
                <w:highlight w:val="none"/>
              </w:rPr>
              <w:t>47</w:t>
            </w:r>
          </w:p>
        </w:tc>
        <w:tc>
          <w:tcPr>
            <w:tcW w:w="1254" w:type="dxa"/>
            <w:noWrap/>
            <w:vAlign w:val="center"/>
          </w:tcPr>
          <w:p w14:paraId="285C83FA">
            <w:pPr>
              <w:pStyle w:val="41"/>
              <w:rPr>
                <w:color w:val="auto"/>
                <w:highlight w:val="none"/>
              </w:rPr>
            </w:pPr>
            <w:r>
              <w:rPr>
                <w:color w:val="auto"/>
                <w:highlight w:val="none"/>
              </w:rPr>
              <w:t>1125</w:t>
            </w:r>
          </w:p>
        </w:tc>
        <w:tc>
          <w:tcPr>
            <w:tcW w:w="1532" w:type="dxa"/>
            <w:noWrap/>
            <w:vAlign w:val="center"/>
          </w:tcPr>
          <w:p w14:paraId="003FDFA5">
            <w:pPr>
              <w:pStyle w:val="41"/>
              <w:rPr>
                <w:color w:val="auto"/>
                <w:highlight w:val="none"/>
              </w:rPr>
            </w:pPr>
            <w:r>
              <w:rPr>
                <w:color w:val="auto"/>
                <w:highlight w:val="none"/>
              </w:rPr>
              <w:t>0.019924</w:t>
            </w:r>
          </w:p>
        </w:tc>
        <w:tc>
          <w:tcPr>
            <w:tcW w:w="946" w:type="dxa"/>
            <w:noWrap/>
            <w:vAlign w:val="center"/>
          </w:tcPr>
          <w:p w14:paraId="2D737DE8">
            <w:pPr>
              <w:pStyle w:val="41"/>
              <w:rPr>
                <w:color w:val="auto"/>
                <w:highlight w:val="none"/>
              </w:rPr>
            </w:pPr>
            <w:r>
              <w:rPr>
                <w:color w:val="auto"/>
                <w:highlight w:val="none"/>
              </w:rPr>
              <w:t xml:space="preserve">2.22 </w:t>
            </w:r>
          </w:p>
        </w:tc>
        <w:tc>
          <w:tcPr>
            <w:tcW w:w="1398" w:type="dxa"/>
            <w:noWrap/>
            <w:vAlign w:val="center"/>
          </w:tcPr>
          <w:p w14:paraId="42B1F344">
            <w:pPr>
              <w:pStyle w:val="41"/>
              <w:rPr>
                <w:color w:val="auto"/>
                <w:highlight w:val="none"/>
              </w:rPr>
            </w:pPr>
            <w:r>
              <w:rPr>
                <w:color w:val="auto"/>
                <w:highlight w:val="none"/>
              </w:rPr>
              <w:t>0.020674</w:t>
            </w:r>
          </w:p>
        </w:tc>
        <w:tc>
          <w:tcPr>
            <w:tcW w:w="872" w:type="dxa"/>
            <w:noWrap/>
            <w:vAlign w:val="center"/>
          </w:tcPr>
          <w:p w14:paraId="3FCE5297">
            <w:pPr>
              <w:pStyle w:val="41"/>
              <w:rPr>
                <w:color w:val="auto"/>
                <w:highlight w:val="none"/>
              </w:rPr>
            </w:pPr>
            <w:r>
              <w:rPr>
                <w:color w:val="auto"/>
                <w:highlight w:val="none"/>
              </w:rPr>
              <w:t>2.3</w:t>
            </w:r>
          </w:p>
        </w:tc>
      </w:tr>
      <w:tr w14:paraId="2700E6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694FC7B">
            <w:pPr>
              <w:pStyle w:val="41"/>
              <w:rPr>
                <w:color w:val="auto"/>
                <w:highlight w:val="none"/>
              </w:rPr>
            </w:pPr>
            <w:r>
              <w:rPr>
                <w:color w:val="auto"/>
                <w:highlight w:val="none"/>
              </w:rPr>
              <w:t>48</w:t>
            </w:r>
          </w:p>
        </w:tc>
        <w:tc>
          <w:tcPr>
            <w:tcW w:w="1254" w:type="dxa"/>
            <w:noWrap/>
            <w:vAlign w:val="center"/>
          </w:tcPr>
          <w:p w14:paraId="2CA6CE28">
            <w:pPr>
              <w:pStyle w:val="41"/>
              <w:rPr>
                <w:color w:val="auto"/>
                <w:highlight w:val="none"/>
              </w:rPr>
            </w:pPr>
            <w:r>
              <w:rPr>
                <w:color w:val="auto"/>
                <w:highlight w:val="none"/>
              </w:rPr>
              <w:t>1150</w:t>
            </w:r>
          </w:p>
        </w:tc>
        <w:tc>
          <w:tcPr>
            <w:tcW w:w="1532" w:type="dxa"/>
            <w:noWrap/>
            <w:vAlign w:val="center"/>
          </w:tcPr>
          <w:p w14:paraId="163F9559">
            <w:pPr>
              <w:pStyle w:val="41"/>
              <w:rPr>
                <w:color w:val="auto"/>
                <w:highlight w:val="none"/>
              </w:rPr>
            </w:pPr>
            <w:r>
              <w:rPr>
                <w:color w:val="auto"/>
                <w:highlight w:val="none"/>
              </w:rPr>
              <w:t>0.0197712</w:t>
            </w:r>
          </w:p>
        </w:tc>
        <w:tc>
          <w:tcPr>
            <w:tcW w:w="946" w:type="dxa"/>
            <w:noWrap/>
            <w:vAlign w:val="center"/>
          </w:tcPr>
          <w:p w14:paraId="20512F61">
            <w:pPr>
              <w:pStyle w:val="41"/>
              <w:rPr>
                <w:color w:val="auto"/>
                <w:highlight w:val="none"/>
              </w:rPr>
            </w:pPr>
            <w:r>
              <w:rPr>
                <w:color w:val="auto"/>
                <w:highlight w:val="none"/>
              </w:rPr>
              <w:t xml:space="preserve">2.20 </w:t>
            </w:r>
          </w:p>
        </w:tc>
        <w:tc>
          <w:tcPr>
            <w:tcW w:w="1398" w:type="dxa"/>
            <w:noWrap/>
            <w:vAlign w:val="center"/>
          </w:tcPr>
          <w:p w14:paraId="659370FB">
            <w:pPr>
              <w:pStyle w:val="41"/>
              <w:rPr>
                <w:color w:val="auto"/>
                <w:highlight w:val="none"/>
              </w:rPr>
            </w:pPr>
            <w:r>
              <w:rPr>
                <w:color w:val="auto"/>
                <w:highlight w:val="none"/>
              </w:rPr>
              <w:t>0.020547</w:t>
            </w:r>
          </w:p>
        </w:tc>
        <w:tc>
          <w:tcPr>
            <w:tcW w:w="872" w:type="dxa"/>
            <w:noWrap/>
            <w:vAlign w:val="center"/>
          </w:tcPr>
          <w:p w14:paraId="646237BB">
            <w:pPr>
              <w:pStyle w:val="41"/>
              <w:rPr>
                <w:color w:val="auto"/>
                <w:highlight w:val="none"/>
              </w:rPr>
            </w:pPr>
            <w:r>
              <w:rPr>
                <w:color w:val="auto"/>
                <w:highlight w:val="none"/>
              </w:rPr>
              <w:t>2.28</w:t>
            </w:r>
          </w:p>
        </w:tc>
      </w:tr>
      <w:tr w14:paraId="64B48C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884DC33">
            <w:pPr>
              <w:pStyle w:val="41"/>
              <w:rPr>
                <w:color w:val="auto"/>
                <w:highlight w:val="none"/>
              </w:rPr>
            </w:pPr>
            <w:r>
              <w:rPr>
                <w:color w:val="auto"/>
                <w:highlight w:val="none"/>
              </w:rPr>
              <w:t>49</w:t>
            </w:r>
          </w:p>
        </w:tc>
        <w:tc>
          <w:tcPr>
            <w:tcW w:w="1254" w:type="dxa"/>
            <w:noWrap/>
            <w:vAlign w:val="center"/>
          </w:tcPr>
          <w:p w14:paraId="4C008BEF">
            <w:pPr>
              <w:pStyle w:val="41"/>
              <w:rPr>
                <w:color w:val="auto"/>
                <w:highlight w:val="none"/>
              </w:rPr>
            </w:pPr>
            <w:r>
              <w:rPr>
                <w:color w:val="auto"/>
                <w:highlight w:val="none"/>
              </w:rPr>
              <w:t>1175</w:t>
            </w:r>
          </w:p>
        </w:tc>
        <w:tc>
          <w:tcPr>
            <w:tcW w:w="1532" w:type="dxa"/>
            <w:noWrap/>
            <w:vAlign w:val="center"/>
          </w:tcPr>
          <w:p w14:paraId="4C052FE2">
            <w:pPr>
              <w:pStyle w:val="41"/>
              <w:rPr>
                <w:color w:val="auto"/>
                <w:highlight w:val="none"/>
              </w:rPr>
            </w:pPr>
            <w:r>
              <w:rPr>
                <w:color w:val="auto"/>
                <w:highlight w:val="none"/>
              </w:rPr>
              <w:t>0.0196224</w:t>
            </w:r>
          </w:p>
        </w:tc>
        <w:tc>
          <w:tcPr>
            <w:tcW w:w="946" w:type="dxa"/>
            <w:noWrap/>
            <w:vAlign w:val="center"/>
          </w:tcPr>
          <w:p w14:paraId="7E0AC5B1">
            <w:pPr>
              <w:pStyle w:val="41"/>
              <w:rPr>
                <w:color w:val="auto"/>
                <w:highlight w:val="none"/>
              </w:rPr>
            </w:pPr>
            <w:r>
              <w:rPr>
                <w:color w:val="auto"/>
                <w:highlight w:val="none"/>
              </w:rPr>
              <w:t xml:space="preserve">2.18 </w:t>
            </w:r>
          </w:p>
        </w:tc>
        <w:tc>
          <w:tcPr>
            <w:tcW w:w="1398" w:type="dxa"/>
            <w:noWrap/>
            <w:vAlign w:val="center"/>
          </w:tcPr>
          <w:p w14:paraId="7E4F1A46">
            <w:pPr>
              <w:pStyle w:val="41"/>
              <w:rPr>
                <w:color w:val="auto"/>
                <w:highlight w:val="none"/>
              </w:rPr>
            </w:pPr>
            <w:r>
              <w:rPr>
                <w:color w:val="auto"/>
                <w:highlight w:val="none"/>
              </w:rPr>
              <w:t>0.020414</w:t>
            </w:r>
          </w:p>
        </w:tc>
        <w:tc>
          <w:tcPr>
            <w:tcW w:w="872" w:type="dxa"/>
            <w:noWrap/>
            <w:vAlign w:val="center"/>
          </w:tcPr>
          <w:p w14:paraId="3BAFDCC0">
            <w:pPr>
              <w:pStyle w:val="41"/>
              <w:rPr>
                <w:color w:val="auto"/>
                <w:highlight w:val="none"/>
              </w:rPr>
            </w:pPr>
            <w:r>
              <w:rPr>
                <w:color w:val="auto"/>
                <w:highlight w:val="none"/>
              </w:rPr>
              <w:t>2.27</w:t>
            </w:r>
          </w:p>
        </w:tc>
      </w:tr>
      <w:tr w14:paraId="2D7178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D72F07D">
            <w:pPr>
              <w:pStyle w:val="41"/>
              <w:rPr>
                <w:color w:val="auto"/>
                <w:highlight w:val="none"/>
              </w:rPr>
            </w:pPr>
            <w:r>
              <w:rPr>
                <w:color w:val="auto"/>
                <w:highlight w:val="none"/>
              </w:rPr>
              <w:t>50</w:t>
            </w:r>
          </w:p>
        </w:tc>
        <w:tc>
          <w:tcPr>
            <w:tcW w:w="1254" w:type="dxa"/>
            <w:noWrap/>
            <w:vAlign w:val="center"/>
          </w:tcPr>
          <w:p w14:paraId="3D80F08F">
            <w:pPr>
              <w:pStyle w:val="41"/>
              <w:rPr>
                <w:color w:val="auto"/>
                <w:highlight w:val="none"/>
              </w:rPr>
            </w:pPr>
            <w:r>
              <w:rPr>
                <w:color w:val="auto"/>
                <w:highlight w:val="none"/>
              </w:rPr>
              <w:t>1200</w:t>
            </w:r>
          </w:p>
        </w:tc>
        <w:tc>
          <w:tcPr>
            <w:tcW w:w="1532" w:type="dxa"/>
            <w:noWrap/>
            <w:vAlign w:val="center"/>
          </w:tcPr>
          <w:p w14:paraId="16996F40">
            <w:pPr>
              <w:pStyle w:val="41"/>
              <w:rPr>
                <w:color w:val="auto"/>
                <w:highlight w:val="none"/>
              </w:rPr>
            </w:pPr>
            <w:r>
              <w:rPr>
                <w:color w:val="auto"/>
                <w:highlight w:val="none"/>
              </w:rPr>
              <w:t>0.0194768</w:t>
            </w:r>
          </w:p>
        </w:tc>
        <w:tc>
          <w:tcPr>
            <w:tcW w:w="946" w:type="dxa"/>
            <w:noWrap/>
            <w:vAlign w:val="center"/>
          </w:tcPr>
          <w:p w14:paraId="174DA0CD">
            <w:pPr>
              <w:pStyle w:val="41"/>
              <w:rPr>
                <w:color w:val="auto"/>
                <w:highlight w:val="none"/>
              </w:rPr>
            </w:pPr>
            <w:r>
              <w:rPr>
                <w:color w:val="auto"/>
                <w:highlight w:val="none"/>
              </w:rPr>
              <w:t xml:space="preserve">2.17 </w:t>
            </w:r>
          </w:p>
        </w:tc>
        <w:tc>
          <w:tcPr>
            <w:tcW w:w="1398" w:type="dxa"/>
            <w:noWrap/>
            <w:vAlign w:val="center"/>
          </w:tcPr>
          <w:p w14:paraId="181E94F1">
            <w:pPr>
              <w:pStyle w:val="41"/>
              <w:rPr>
                <w:color w:val="auto"/>
                <w:highlight w:val="none"/>
              </w:rPr>
            </w:pPr>
            <w:r>
              <w:rPr>
                <w:color w:val="auto"/>
                <w:highlight w:val="none"/>
              </w:rPr>
              <w:t>0.020281</w:t>
            </w:r>
          </w:p>
        </w:tc>
        <w:tc>
          <w:tcPr>
            <w:tcW w:w="872" w:type="dxa"/>
            <w:noWrap/>
            <w:vAlign w:val="center"/>
          </w:tcPr>
          <w:p w14:paraId="6844AB6E">
            <w:pPr>
              <w:pStyle w:val="41"/>
              <w:rPr>
                <w:color w:val="auto"/>
                <w:highlight w:val="none"/>
              </w:rPr>
            </w:pPr>
            <w:r>
              <w:rPr>
                <w:color w:val="auto"/>
                <w:highlight w:val="none"/>
              </w:rPr>
              <w:t>2.25</w:t>
            </w:r>
          </w:p>
        </w:tc>
      </w:tr>
      <w:tr w14:paraId="05C6F2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52A67AD">
            <w:pPr>
              <w:pStyle w:val="41"/>
              <w:rPr>
                <w:color w:val="auto"/>
                <w:highlight w:val="none"/>
              </w:rPr>
            </w:pPr>
            <w:r>
              <w:rPr>
                <w:color w:val="auto"/>
                <w:highlight w:val="none"/>
              </w:rPr>
              <w:t>51</w:t>
            </w:r>
          </w:p>
        </w:tc>
        <w:tc>
          <w:tcPr>
            <w:tcW w:w="1254" w:type="dxa"/>
            <w:noWrap/>
            <w:vAlign w:val="center"/>
          </w:tcPr>
          <w:p w14:paraId="76D8495C">
            <w:pPr>
              <w:pStyle w:val="41"/>
              <w:rPr>
                <w:color w:val="auto"/>
                <w:highlight w:val="none"/>
              </w:rPr>
            </w:pPr>
            <w:r>
              <w:rPr>
                <w:color w:val="auto"/>
                <w:highlight w:val="none"/>
              </w:rPr>
              <w:t>1225</w:t>
            </w:r>
          </w:p>
        </w:tc>
        <w:tc>
          <w:tcPr>
            <w:tcW w:w="1532" w:type="dxa"/>
            <w:noWrap/>
            <w:vAlign w:val="center"/>
          </w:tcPr>
          <w:p w14:paraId="628355D1">
            <w:pPr>
              <w:pStyle w:val="41"/>
              <w:rPr>
                <w:color w:val="auto"/>
                <w:highlight w:val="none"/>
              </w:rPr>
            </w:pPr>
            <w:r>
              <w:rPr>
                <w:color w:val="auto"/>
                <w:highlight w:val="none"/>
              </w:rPr>
              <w:t>0.0193344</w:t>
            </w:r>
          </w:p>
        </w:tc>
        <w:tc>
          <w:tcPr>
            <w:tcW w:w="946" w:type="dxa"/>
            <w:noWrap/>
            <w:vAlign w:val="center"/>
          </w:tcPr>
          <w:p w14:paraId="63801574">
            <w:pPr>
              <w:pStyle w:val="41"/>
              <w:rPr>
                <w:color w:val="auto"/>
                <w:highlight w:val="none"/>
              </w:rPr>
            </w:pPr>
            <w:r>
              <w:rPr>
                <w:color w:val="auto"/>
                <w:highlight w:val="none"/>
              </w:rPr>
              <w:t xml:space="preserve">2.15 </w:t>
            </w:r>
          </w:p>
        </w:tc>
        <w:tc>
          <w:tcPr>
            <w:tcW w:w="1398" w:type="dxa"/>
            <w:noWrap/>
            <w:vAlign w:val="center"/>
          </w:tcPr>
          <w:p w14:paraId="43C3FDE0">
            <w:pPr>
              <w:pStyle w:val="41"/>
              <w:rPr>
                <w:color w:val="auto"/>
                <w:highlight w:val="none"/>
              </w:rPr>
            </w:pPr>
            <w:r>
              <w:rPr>
                <w:color w:val="auto"/>
                <w:highlight w:val="none"/>
              </w:rPr>
              <w:t>0.020153</w:t>
            </w:r>
          </w:p>
        </w:tc>
        <w:tc>
          <w:tcPr>
            <w:tcW w:w="872" w:type="dxa"/>
            <w:noWrap/>
            <w:vAlign w:val="center"/>
          </w:tcPr>
          <w:p w14:paraId="50EF4215">
            <w:pPr>
              <w:pStyle w:val="41"/>
              <w:rPr>
                <w:color w:val="auto"/>
                <w:highlight w:val="none"/>
              </w:rPr>
            </w:pPr>
            <w:r>
              <w:rPr>
                <w:color w:val="auto"/>
                <w:highlight w:val="none"/>
              </w:rPr>
              <w:t>2.24</w:t>
            </w:r>
          </w:p>
        </w:tc>
      </w:tr>
      <w:tr w14:paraId="2BEAE7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C632D84">
            <w:pPr>
              <w:pStyle w:val="41"/>
              <w:rPr>
                <w:color w:val="auto"/>
                <w:highlight w:val="none"/>
              </w:rPr>
            </w:pPr>
            <w:r>
              <w:rPr>
                <w:color w:val="auto"/>
                <w:highlight w:val="none"/>
              </w:rPr>
              <w:t>52</w:t>
            </w:r>
          </w:p>
        </w:tc>
        <w:tc>
          <w:tcPr>
            <w:tcW w:w="1254" w:type="dxa"/>
            <w:noWrap/>
            <w:vAlign w:val="center"/>
          </w:tcPr>
          <w:p w14:paraId="43D6079B">
            <w:pPr>
              <w:pStyle w:val="41"/>
              <w:rPr>
                <w:color w:val="auto"/>
                <w:highlight w:val="none"/>
              </w:rPr>
            </w:pPr>
            <w:r>
              <w:rPr>
                <w:color w:val="auto"/>
                <w:highlight w:val="none"/>
              </w:rPr>
              <w:t>1250</w:t>
            </w:r>
          </w:p>
        </w:tc>
        <w:tc>
          <w:tcPr>
            <w:tcW w:w="1532" w:type="dxa"/>
            <w:noWrap/>
            <w:vAlign w:val="center"/>
          </w:tcPr>
          <w:p w14:paraId="04EE994F">
            <w:pPr>
              <w:pStyle w:val="41"/>
              <w:rPr>
                <w:color w:val="auto"/>
                <w:highlight w:val="none"/>
              </w:rPr>
            </w:pPr>
            <w:r>
              <w:rPr>
                <w:color w:val="auto"/>
                <w:highlight w:val="none"/>
              </w:rPr>
              <w:t>0.0191952</w:t>
            </w:r>
          </w:p>
        </w:tc>
        <w:tc>
          <w:tcPr>
            <w:tcW w:w="946" w:type="dxa"/>
            <w:noWrap/>
            <w:vAlign w:val="center"/>
          </w:tcPr>
          <w:p w14:paraId="507C1090">
            <w:pPr>
              <w:pStyle w:val="41"/>
              <w:rPr>
                <w:color w:val="auto"/>
                <w:highlight w:val="none"/>
              </w:rPr>
            </w:pPr>
            <w:r>
              <w:rPr>
                <w:color w:val="auto"/>
                <w:highlight w:val="none"/>
              </w:rPr>
              <w:t xml:space="preserve">2.14 </w:t>
            </w:r>
          </w:p>
        </w:tc>
        <w:tc>
          <w:tcPr>
            <w:tcW w:w="1398" w:type="dxa"/>
            <w:noWrap/>
            <w:vAlign w:val="center"/>
          </w:tcPr>
          <w:p w14:paraId="42944C3D">
            <w:pPr>
              <w:pStyle w:val="41"/>
              <w:rPr>
                <w:color w:val="auto"/>
                <w:highlight w:val="none"/>
              </w:rPr>
            </w:pPr>
            <w:r>
              <w:rPr>
                <w:color w:val="auto"/>
                <w:highlight w:val="none"/>
              </w:rPr>
              <w:t>0.020028</w:t>
            </w:r>
          </w:p>
        </w:tc>
        <w:tc>
          <w:tcPr>
            <w:tcW w:w="872" w:type="dxa"/>
            <w:noWrap/>
            <w:vAlign w:val="center"/>
          </w:tcPr>
          <w:p w14:paraId="4E3D9787">
            <w:pPr>
              <w:pStyle w:val="41"/>
              <w:rPr>
                <w:color w:val="auto"/>
                <w:highlight w:val="none"/>
              </w:rPr>
            </w:pPr>
            <w:r>
              <w:rPr>
                <w:color w:val="auto"/>
                <w:highlight w:val="none"/>
              </w:rPr>
              <w:t>2.23</w:t>
            </w:r>
          </w:p>
        </w:tc>
      </w:tr>
      <w:tr w14:paraId="0CAC2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DD0D07B">
            <w:pPr>
              <w:pStyle w:val="41"/>
              <w:rPr>
                <w:color w:val="auto"/>
                <w:highlight w:val="none"/>
              </w:rPr>
            </w:pPr>
            <w:r>
              <w:rPr>
                <w:color w:val="auto"/>
                <w:highlight w:val="none"/>
              </w:rPr>
              <w:t>53</w:t>
            </w:r>
          </w:p>
        </w:tc>
        <w:tc>
          <w:tcPr>
            <w:tcW w:w="1254" w:type="dxa"/>
            <w:noWrap/>
            <w:vAlign w:val="center"/>
          </w:tcPr>
          <w:p w14:paraId="7EDAE6E8">
            <w:pPr>
              <w:pStyle w:val="41"/>
              <w:rPr>
                <w:color w:val="auto"/>
                <w:highlight w:val="none"/>
              </w:rPr>
            </w:pPr>
            <w:r>
              <w:rPr>
                <w:color w:val="auto"/>
                <w:highlight w:val="none"/>
              </w:rPr>
              <w:t>1275</w:t>
            </w:r>
          </w:p>
        </w:tc>
        <w:tc>
          <w:tcPr>
            <w:tcW w:w="1532" w:type="dxa"/>
            <w:noWrap/>
            <w:vAlign w:val="center"/>
          </w:tcPr>
          <w:p w14:paraId="2ED94599">
            <w:pPr>
              <w:pStyle w:val="41"/>
              <w:rPr>
                <w:color w:val="auto"/>
                <w:highlight w:val="none"/>
              </w:rPr>
            </w:pPr>
            <w:r>
              <w:rPr>
                <w:color w:val="auto"/>
                <w:highlight w:val="none"/>
              </w:rPr>
              <w:t>0.0190592</w:t>
            </w:r>
          </w:p>
        </w:tc>
        <w:tc>
          <w:tcPr>
            <w:tcW w:w="946" w:type="dxa"/>
            <w:noWrap/>
            <w:vAlign w:val="center"/>
          </w:tcPr>
          <w:p w14:paraId="604FC709">
            <w:pPr>
              <w:pStyle w:val="41"/>
              <w:rPr>
                <w:color w:val="auto"/>
                <w:highlight w:val="none"/>
              </w:rPr>
            </w:pPr>
            <w:r>
              <w:rPr>
                <w:color w:val="auto"/>
                <w:highlight w:val="none"/>
              </w:rPr>
              <w:t xml:space="preserve">2.12 </w:t>
            </w:r>
          </w:p>
        </w:tc>
        <w:tc>
          <w:tcPr>
            <w:tcW w:w="1398" w:type="dxa"/>
            <w:noWrap/>
            <w:vAlign w:val="center"/>
          </w:tcPr>
          <w:p w14:paraId="6F9396E8">
            <w:pPr>
              <w:pStyle w:val="41"/>
              <w:rPr>
                <w:color w:val="auto"/>
                <w:highlight w:val="none"/>
              </w:rPr>
            </w:pPr>
            <w:r>
              <w:rPr>
                <w:color w:val="auto"/>
                <w:highlight w:val="none"/>
              </w:rPr>
              <w:t>0.019903</w:t>
            </w:r>
          </w:p>
        </w:tc>
        <w:tc>
          <w:tcPr>
            <w:tcW w:w="872" w:type="dxa"/>
            <w:noWrap/>
            <w:vAlign w:val="center"/>
          </w:tcPr>
          <w:p w14:paraId="0C113F0A">
            <w:pPr>
              <w:pStyle w:val="41"/>
              <w:rPr>
                <w:color w:val="auto"/>
                <w:highlight w:val="none"/>
              </w:rPr>
            </w:pPr>
            <w:r>
              <w:rPr>
                <w:color w:val="auto"/>
                <w:highlight w:val="none"/>
              </w:rPr>
              <w:t>2.21</w:t>
            </w:r>
          </w:p>
        </w:tc>
      </w:tr>
      <w:tr w14:paraId="651AB3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3572522">
            <w:pPr>
              <w:pStyle w:val="41"/>
              <w:rPr>
                <w:color w:val="auto"/>
                <w:highlight w:val="none"/>
              </w:rPr>
            </w:pPr>
            <w:r>
              <w:rPr>
                <w:color w:val="auto"/>
                <w:highlight w:val="none"/>
              </w:rPr>
              <w:t>54</w:t>
            </w:r>
          </w:p>
        </w:tc>
        <w:tc>
          <w:tcPr>
            <w:tcW w:w="1254" w:type="dxa"/>
            <w:noWrap/>
            <w:vAlign w:val="center"/>
          </w:tcPr>
          <w:p w14:paraId="01386897">
            <w:pPr>
              <w:pStyle w:val="41"/>
              <w:rPr>
                <w:color w:val="auto"/>
                <w:highlight w:val="none"/>
              </w:rPr>
            </w:pPr>
            <w:r>
              <w:rPr>
                <w:color w:val="auto"/>
                <w:highlight w:val="none"/>
              </w:rPr>
              <w:t>1300</w:t>
            </w:r>
          </w:p>
        </w:tc>
        <w:tc>
          <w:tcPr>
            <w:tcW w:w="1532" w:type="dxa"/>
            <w:noWrap/>
            <w:vAlign w:val="center"/>
          </w:tcPr>
          <w:p w14:paraId="6C111729">
            <w:pPr>
              <w:pStyle w:val="41"/>
              <w:rPr>
                <w:color w:val="auto"/>
                <w:highlight w:val="none"/>
              </w:rPr>
            </w:pPr>
            <w:r>
              <w:rPr>
                <w:color w:val="auto"/>
                <w:highlight w:val="none"/>
              </w:rPr>
              <w:t>0.0189256</w:t>
            </w:r>
          </w:p>
        </w:tc>
        <w:tc>
          <w:tcPr>
            <w:tcW w:w="946" w:type="dxa"/>
            <w:noWrap/>
            <w:vAlign w:val="center"/>
          </w:tcPr>
          <w:p w14:paraId="66B26379">
            <w:pPr>
              <w:pStyle w:val="41"/>
              <w:rPr>
                <w:color w:val="auto"/>
                <w:highlight w:val="none"/>
              </w:rPr>
            </w:pPr>
            <w:r>
              <w:rPr>
                <w:color w:val="auto"/>
                <w:highlight w:val="none"/>
              </w:rPr>
              <w:t xml:space="preserve">2.10 </w:t>
            </w:r>
          </w:p>
        </w:tc>
        <w:tc>
          <w:tcPr>
            <w:tcW w:w="1398" w:type="dxa"/>
            <w:noWrap/>
            <w:vAlign w:val="center"/>
          </w:tcPr>
          <w:p w14:paraId="649F0DC5">
            <w:pPr>
              <w:pStyle w:val="41"/>
              <w:rPr>
                <w:color w:val="auto"/>
                <w:highlight w:val="none"/>
              </w:rPr>
            </w:pPr>
            <w:r>
              <w:rPr>
                <w:color w:val="auto"/>
                <w:highlight w:val="none"/>
              </w:rPr>
              <w:t>0.01991</w:t>
            </w:r>
          </w:p>
        </w:tc>
        <w:tc>
          <w:tcPr>
            <w:tcW w:w="872" w:type="dxa"/>
            <w:noWrap/>
            <w:vAlign w:val="center"/>
          </w:tcPr>
          <w:p w14:paraId="44E01F39">
            <w:pPr>
              <w:pStyle w:val="41"/>
              <w:rPr>
                <w:color w:val="auto"/>
                <w:highlight w:val="none"/>
              </w:rPr>
            </w:pPr>
            <w:r>
              <w:rPr>
                <w:color w:val="auto"/>
                <w:highlight w:val="none"/>
              </w:rPr>
              <w:t>2.21</w:t>
            </w:r>
          </w:p>
        </w:tc>
      </w:tr>
      <w:tr w14:paraId="175DED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C6C2294">
            <w:pPr>
              <w:pStyle w:val="41"/>
              <w:rPr>
                <w:color w:val="auto"/>
                <w:highlight w:val="none"/>
              </w:rPr>
            </w:pPr>
            <w:r>
              <w:rPr>
                <w:color w:val="auto"/>
                <w:highlight w:val="none"/>
              </w:rPr>
              <w:t>55</w:t>
            </w:r>
          </w:p>
        </w:tc>
        <w:tc>
          <w:tcPr>
            <w:tcW w:w="1254" w:type="dxa"/>
            <w:noWrap/>
            <w:vAlign w:val="center"/>
          </w:tcPr>
          <w:p w14:paraId="6B777815">
            <w:pPr>
              <w:pStyle w:val="41"/>
              <w:rPr>
                <w:color w:val="auto"/>
                <w:highlight w:val="none"/>
              </w:rPr>
            </w:pPr>
            <w:r>
              <w:rPr>
                <w:color w:val="auto"/>
                <w:highlight w:val="none"/>
              </w:rPr>
              <w:t>1325</w:t>
            </w:r>
          </w:p>
        </w:tc>
        <w:tc>
          <w:tcPr>
            <w:tcW w:w="1532" w:type="dxa"/>
            <w:noWrap/>
            <w:vAlign w:val="center"/>
          </w:tcPr>
          <w:p w14:paraId="6146A22E">
            <w:pPr>
              <w:pStyle w:val="41"/>
              <w:rPr>
                <w:color w:val="auto"/>
                <w:highlight w:val="none"/>
              </w:rPr>
            </w:pPr>
            <w:r>
              <w:rPr>
                <w:color w:val="auto"/>
                <w:highlight w:val="none"/>
              </w:rPr>
              <w:t>0.0187952</w:t>
            </w:r>
          </w:p>
        </w:tc>
        <w:tc>
          <w:tcPr>
            <w:tcW w:w="946" w:type="dxa"/>
            <w:noWrap/>
            <w:vAlign w:val="center"/>
          </w:tcPr>
          <w:p w14:paraId="6DC8B5EB">
            <w:pPr>
              <w:pStyle w:val="41"/>
              <w:rPr>
                <w:color w:val="auto"/>
                <w:highlight w:val="none"/>
              </w:rPr>
            </w:pPr>
            <w:r>
              <w:rPr>
                <w:color w:val="auto"/>
                <w:highlight w:val="none"/>
              </w:rPr>
              <w:t xml:space="preserve">2.09 </w:t>
            </w:r>
          </w:p>
        </w:tc>
        <w:tc>
          <w:tcPr>
            <w:tcW w:w="1398" w:type="dxa"/>
            <w:noWrap/>
            <w:vAlign w:val="center"/>
          </w:tcPr>
          <w:p w14:paraId="47F7F833">
            <w:pPr>
              <w:pStyle w:val="41"/>
              <w:rPr>
                <w:color w:val="auto"/>
                <w:highlight w:val="none"/>
              </w:rPr>
            </w:pPr>
            <w:r>
              <w:rPr>
                <w:color w:val="auto"/>
                <w:highlight w:val="none"/>
              </w:rPr>
              <w:t>0.019974</w:t>
            </w:r>
          </w:p>
        </w:tc>
        <w:tc>
          <w:tcPr>
            <w:tcW w:w="872" w:type="dxa"/>
            <w:noWrap/>
            <w:vAlign w:val="center"/>
          </w:tcPr>
          <w:p w14:paraId="0EF991E0">
            <w:pPr>
              <w:pStyle w:val="41"/>
              <w:rPr>
                <w:color w:val="auto"/>
                <w:highlight w:val="none"/>
              </w:rPr>
            </w:pPr>
            <w:r>
              <w:rPr>
                <w:color w:val="auto"/>
                <w:highlight w:val="none"/>
              </w:rPr>
              <w:t>2.22</w:t>
            </w:r>
          </w:p>
        </w:tc>
      </w:tr>
      <w:tr w14:paraId="663C41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970313E">
            <w:pPr>
              <w:pStyle w:val="41"/>
              <w:rPr>
                <w:color w:val="auto"/>
                <w:highlight w:val="none"/>
              </w:rPr>
            </w:pPr>
            <w:r>
              <w:rPr>
                <w:color w:val="auto"/>
                <w:highlight w:val="none"/>
              </w:rPr>
              <w:t>56</w:t>
            </w:r>
          </w:p>
        </w:tc>
        <w:tc>
          <w:tcPr>
            <w:tcW w:w="1254" w:type="dxa"/>
            <w:noWrap/>
            <w:vAlign w:val="center"/>
          </w:tcPr>
          <w:p w14:paraId="301DCF45">
            <w:pPr>
              <w:pStyle w:val="41"/>
              <w:rPr>
                <w:color w:val="auto"/>
                <w:highlight w:val="none"/>
              </w:rPr>
            </w:pPr>
            <w:r>
              <w:rPr>
                <w:color w:val="auto"/>
                <w:highlight w:val="none"/>
              </w:rPr>
              <w:t>1350</w:t>
            </w:r>
          </w:p>
        </w:tc>
        <w:tc>
          <w:tcPr>
            <w:tcW w:w="1532" w:type="dxa"/>
            <w:noWrap/>
            <w:vAlign w:val="center"/>
          </w:tcPr>
          <w:p w14:paraId="02A5694E">
            <w:pPr>
              <w:pStyle w:val="41"/>
              <w:rPr>
                <w:color w:val="auto"/>
                <w:highlight w:val="none"/>
              </w:rPr>
            </w:pPr>
            <w:r>
              <w:rPr>
                <w:color w:val="auto"/>
                <w:highlight w:val="none"/>
              </w:rPr>
              <w:t>0.0186672</w:t>
            </w:r>
          </w:p>
        </w:tc>
        <w:tc>
          <w:tcPr>
            <w:tcW w:w="946" w:type="dxa"/>
            <w:noWrap/>
            <w:vAlign w:val="center"/>
          </w:tcPr>
          <w:p w14:paraId="1EC583A5">
            <w:pPr>
              <w:pStyle w:val="41"/>
              <w:rPr>
                <w:color w:val="auto"/>
                <w:highlight w:val="none"/>
              </w:rPr>
            </w:pPr>
            <w:r>
              <w:rPr>
                <w:color w:val="auto"/>
                <w:highlight w:val="none"/>
              </w:rPr>
              <w:t xml:space="preserve">2.07 </w:t>
            </w:r>
          </w:p>
        </w:tc>
        <w:tc>
          <w:tcPr>
            <w:tcW w:w="1398" w:type="dxa"/>
            <w:noWrap/>
            <w:vAlign w:val="center"/>
          </w:tcPr>
          <w:p w14:paraId="1A580E2A">
            <w:pPr>
              <w:pStyle w:val="41"/>
              <w:rPr>
                <w:color w:val="auto"/>
                <w:highlight w:val="none"/>
              </w:rPr>
            </w:pPr>
            <w:r>
              <w:rPr>
                <w:color w:val="auto"/>
                <w:highlight w:val="none"/>
              </w:rPr>
              <w:t>0.020035</w:t>
            </w:r>
          </w:p>
        </w:tc>
        <w:tc>
          <w:tcPr>
            <w:tcW w:w="872" w:type="dxa"/>
            <w:noWrap/>
            <w:vAlign w:val="center"/>
          </w:tcPr>
          <w:p w14:paraId="3F2414BC">
            <w:pPr>
              <w:pStyle w:val="41"/>
              <w:rPr>
                <w:color w:val="auto"/>
                <w:highlight w:val="none"/>
              </w:rPr>
            </w:pPr>
            <w:r>
              <w:rPr>
                <w:color w:val="auto"/>
                <w:highlight w:val="none"/>
              </w:rPr>
              <w:t>2.23</w:t>
            </w:r>
          </w:p>
        </w:tc>
      </w:tr>
      <w:tr w14:paraId="0E966E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0BBA07C">
            <w:pPr>
              <w:pStyle w:val="41"/>
              <w:rPr>
                <w:color w:val="auto"/>
                <w:highlight w:val="none"/>
              </w:rPr>
            </w:pPr>
            <w:r>
              <w:rPr>
                <w:color w:val="auto"/>
                <w:highlight w:val="none"/>
              </w:rPr>
              <w:t>57</w:t>
            </w:r>
          </w:p>
        </w:tc>
        <w:tc>
          <w:tcPr>
            <w:tcW w:w="1254" w:type="dxa"/>
            <w:noWrap/>
            <w:vAlign w:val="center"/>
          </w:tcPr>
          <w:p w14:paraId="29088346">
            <w:pPr>
              <w:pStyle w:val="41"/>
              <w:rPr>
                <w:color w:val="auto"/>
                <w:highlight w:val="none"/>
              </w:rPr>
            </w:pPr>
            <w:r>
              <w:rPr>
                <w:color w:val="auto"/>
                <w:highlight w:val="none"/>
              </w:rPr>
              <w:t>1375</w:t>
            </w:r>
          </w:p>
        </w:tc>
        <w:tc>
          <w:tcPr>
            <w:tcW w:w="1532" w:type="dxa"/>
            <w:noWrap/>
            <w:vAlign w:val="center"/>
          </w:tcPr>
          <w:p w14:paraId="46A0E02F">
            <w:pPr>
              <w:pStyle w:val="41"/>
              <w:rPr>
                <w:color w:val="auto"/>
                <w:highlight w:val="none"/>
              </w:rPr>
            </w:pPr>
            <w:r>
              <w:rPr>
                <w:color w:val="auto"/>
                <w:highlight w:val="none"/>
              </w:rPr>
              <w:t>0.0185416</w:t>
            </w:r>
          </w:p>
        </w:tc>
        <w:tc>
          <w:tcPr>
            <w:tcW w:w="946" w:type="dxa"/>
            <w:noWrap/>
            <w:vAlign w:val="center"/>
          </w:tcPr>
          <w:p w14:paraId="24C5370E">
            <w:pPr>
              <w:pStyle w:val="41"/>
              <w:rPr>
                <w:color w:val="auto"/>
                <w:highlight w:val="none"/>
              </w:rPr>
            </w:pPr>
            <w:r>
              <w:rPr>
                <w:color w:val="auto"/>
                <w:highlight w:val="none"/>
              </w:rPr>
              <w:t xml:space="preserve">2.06 </w:t>
            </w:r>
          </w:p>
        </w:tc>
        <w:tc>
          <w:tcPr>
            <w:tcW w:w="1398" w:type="dxa"/>
            <w:noWrap/>
            <w:vAlign w:val="center"/>
          </w:tcPr>
          <w:p w14:paraId="3CDDCE9B">
            <w:pPr>
              <w:pStyle w:val="41"/>
              <w:rPr>
                <w:color w:val="auto"/>
                <w:highlight w:val="none"/>
              </w:rPr>
            </w:pPr>
            <w:r>
              <w:rPr>
                <w:color w:val="auto"/>
                <w:highlight w:val="none"/>
              </w:rPr>
              <w:t>0.020085</w:t>
            </w:r>
          </w:p>
        </w:tc>
        <w:tc>
          <w:tcPr>
            <w:tcW w:w="872" w:type="dxa"/>
            <w:noWrap/>
            <w:vAlign w:val="center"/>
          </w:tcPr>
          <w:p w14:paraId="244BE4D4">
            <w:pPr>
              <w:pStyle w:val="41"/>
              <w:rPr>
                <w:color w:val="auto"/>
                <w:highlight w:val="none"/>
              </w:rPr>
            </w:pPr>
            <w:r>
              <w:rPr>
                <w:color w:val="auto"/>
                <w:highlight w:val="none"/>
              </w:rPr>
              <w:t>2.23</w:t>
            </w:r>
          </w:p>
        </w:tc>
      </w:tr>
      <w:tr w14:paraId="0ED11A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C201479">
            <w:pPr>
              <w:pStyle w:val="41"/>
              <w:rPr>
                <w:color w:val="auto"/>
                <w:highlight w:val="none"/>
              </w:rPr>
            </w:pPr>
            <w:r>
              <w:rPr>
                <w:color w:val="auto"/>
                <w:highlight w:val="none"/>
              </w:rPr>
              <w:t>58</w:t>
            </w:r>
          </w:p>
        </w:tc>
        <w:tc>
          <w:tcPr>
            <w:tcW w:w="1254" w:type="dxa"/>
            <w:noWrap/>
            <w:vAlign w:val="center"/>
          </w:tcPr>
          <w:p w14:paraId="35BE3FF2">
            <w:pPr>
              <w:pStyle w:val="41"/>
              <w:rPr>
                <w:color w:val="auto"/>
                <w:highlight w:val="none"/>
              </w:rPr>
            </w:pPr>
            <w:r>
              <w:rPr>
                <w:color w:val="auto"/>
                <w:highlight w:val="none"/>
              </w:rPr>
              <w:t>1400</w:t>
            </w:r>
          </w:p>
        </w:tc>
        <w:tc>
          <w:tcPr>
            <w:tcW w:w="1532" w:type="dxa"/>
            <w:noWrap/>
            <w:vAlign w:val="center"/>
          </w:tcPr>
          <w:p w14:paraId="5EA80685">
            <w:pPr>
              <w:pStyle w:val="41"/>
              <w:rPr>
                <w:color w:val="auto"/>
                <w:highlight w:val="none"/>
              </w:rPr>
            </w:pPr>
            <w:r>
              <w:rPr>
                <w:color w:val="auto"/>
                <w:highlight w:val="none"/>
              </w:rPr>
              <w:t>0.0184184</w:t>
            </w:r>
          </w:p>
        </w:tc>
        <w:tc>
          <w:tcPr>
            <w:tcW w:w="946" w:type="dxa"/>
            <w:noWrap/>
            <w:vAlign w:val="center"/>
          </w:tcPr>
          <w:p w14:paraId="6F0F13D3">
            <w:pPr>
              <w:pStyle w:val="41"/>
              <w:rPr>
                <w:color w:val="auto"/>
                <w:highlight w:val="none"/>
              </w:rPr>
            </w:pPr>
            <w:r>
              <w:rPr>
                <w:color w:val="auto"/>
                <w:highlight w:val="none"/>
              </w:rPr>
              <w:t xml:space="preserve">2.05 </w:t>
            </w:r>
          </w:p>
        </w:tc>
        <w:tc>
          <w:tcPr>
            <w:tcW w:w="1398" w:type="dxa"/>
            <w:noWrap/>
            <w:vAlign w:val="center"/>
          </w:tcPr>
          <w:p w14:paraId="30787AFE">
            <w:pPr>
              <w:pStyle w:val="41"/>
              <w:rPr>
                <w:color w:val="auto"/>
                <w:highlight w:val="none"/>
              </w:rPr>
            </w:pPr>
            <w:r>
              <w:rPr>
                <w:color w:val="auto"/>
                <w:highlight w:val="none"/>
              </w:rPr>
              <w:t>0.020133</w:t>
            </w:r>
          </w:p>
        </w:tc>
        <w:tc>
          <w:tcPr>
            <w:tcW w:w="872" w:type="dxa"/>
            <w:noWrap/>
            <w:vAlign w:val="center"/>
          </w:tcPr>
          <w:p w14:paraId="19132723">
            <w:pPr>
              <w:pStyle w:val="41"/>
              <w:rPr>
                <w:color w:val="auto"/>
                <w:highlight w:val="none"/>
              </w:rPr>
            </w:pPr>
            <w:r>
              <w:rPr>
                <w:color w:val="auto"/>
                <w:highlight w:val="none"/>
              </w:rPr>
              <w:t>2.24</w:t>
            </w:r>
          </w:p>
        </w:tc>
      </w:tr>
      <w:tr w14:paraId="3155B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trPr>
        <w:tc>
          <w:tcPr>
            <w:tcW w:w="321" w:type="pct"/>
            <w:noWrap/>
            <w:vAlign w:val="center"/>
          </w:tcPr>
          <w:p w14:paraId="06EF5743">
            <w:pPr>
              <w:pStyle w:val="41"/>
              <w:rPr>
                <w:color w:val="auto"/>
                <w:highlight w:val="none"/>
              </w:rPr>
            </w:pPr>
            <w:r>
              <w:rPr>
                <w:color w:val="auto"/>
                <w:highlight w:val="none"/>
              </w:rPr>
              <w:t>59</w:t>
            </w:r>
          </w:p>
        </w:tc>
        <w:tc>
          <w:tcPr>
            <w:tcW w:w="1254" w:type="dxa"/>
            <w:noWrap/>
            <w:vAlign w:val="center"/>
          </w:tcPr>
          <w:p w14:paraId="26F35765">
            <w:pPr>
              <w:pStyle w:val="41"/>
              <w:rPr>
                <w:color w:val="auto"/>
                <w:highlight w:val="none"/>
              </w:rPr>
            </w:pPr>
            <w:r>
              <w:rPr>
                <w:color w:val="auto"/>
                <w:highlight w:val="none"/>
              </w:rPr>
              <w:t>1425</w:t>
            </w:r>
          </w:p>
        </w:tc>
        <w:tc>
          <w:tcPr>
            <w:tcW w:w="1532" w:type="dxa"/>
            <w:noWrap/>
            <w:vAlign w:val="center"/>
          </w:tcPr>
          <w:p w14:paraId="606C7E0E">
            <w:pPr>
              <w:pStyle w:val="41"/>
              <w:rPr>
                <w:color w:val="auto"/>
                <w:highlight w:val="none"/>
              </w:rPr>
            </w:pPr>
            <w:r>
              <w:rPr>
                <w:color w:val="auto"/>
                <w:highlight w:val="none"/>
              </w:rPr>
              <w:t>0.0182976</w:t>
            </w:r>
          </w:p>
        </w:tc>
        <w:tc>
          <w:tcPr>
            <w:tcW w:w="946" w:type="dxa"/>
            <w:noWrap/>
            <w:vAlign w:val="center"/>
          </w:tcPr>
          <w:p w14:paraId="3D2CBA0D">
            <w:pPr>
              <w:pStyle w:val="41"/>
              <w:rPr>
                <w:color w:val="auto"/>
                <w:highlight w:val="none"/>
              </w:rPr>
            </w:pPr>
            <w:r>
              <w:rPr>
                <w:color w:val="auto"/>
                <w:highlight w:val="none"/>
              </w:rPr>
              <w:t xml:space="preserve">2.03 </w:t>
            </w:r>
          </w:p>
        </w:tc>
        <w:tc>
          <w:tcPr>
            <w:tcW w:w="1398" w:type="dxa"/>
            <w:noWrap/>
            <w:vAlign w:val="center"/>
          </w:tcPr>
          <w:p w14:paraId="77EA4BD4">
            <w:pPr>
              <w:pStyle w:val="41"/>
              <w:rPr>
                <w:color w:val="auto"/>
                <w:highlight w:val="none"/>
              </w:rPr>
            </w:pPr>
            <w:r>
              <w:rPr>
                <w:color w:val="auto"/>
                <w:highlight w:val="none"/>
              </w:rPr>
              <w:t>0.020176</w:t>
            </w:r>
          </w:p>
        </w:tc>
        <w:tc>
          <w:tcPr>
            <w:tcW w:w="872" w:type="dxa"/>
            <w:noWrap/>
            <w:vAlign w:val="center"/>
          </w:tcPr>
          <w:p w14:paraId="726BEC50">
            <w:pPr>
              <w:pStyle w:val="41"/>
              <w:rPr>
                <w:color w:val="auto"/>
                <w:highlight w:val="none"/>
              </w:rPr>
            </w:pPr>
            <w:r>
              <w:rPr>
                <w:color w:val="auto"/>
                <w:highlight w:val="none"/>
              </w:rPr>
              <w:t>2.24</w:t>
            </w:r>
          </w:p>
        </w:tc>
      </w:tr>
      <w:tr w14:paraId="699F70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FCB41CC">
            <w:pPr>
              <w:pStyle w:val="41"/>
              <w:rPr>
                <w:color w:val="auto"/>
                <w:highlight w:val="none"/>
              </w:rPr>
            </w:pPr>
            <w:r>
              <w:rPr>
                <w:color w:val="auto"/>
                <w:highlight w:val="none"/>
              </w:rPr>
              <w:t>60</w:t>
            </w:r>
          </w:p>
        </w:tc>
        <w:tc>
          <w:tcPr>
            <w:tcW w:w="1254" w:type="dxa"/>
            <w:noWrap/>
            <w:vAlign w:val="center"/>
          </w:tcPr>
          <w:p w14:paraId="73A7FFE1">
            <w:pPr>
              <w:pStyle w:val="41"/>
              <w:rPr>
                <w:color w:val="auto"/>
                <w:highlight w:val="none"/>
              </w:rPr>
            </w:pPr>
            <w:r>
              <w:rPr>
                <w:color w:val="auto"/>
                <w:highlight w:val="none"/>
              </w:rPr>
              <w:t>1450</w:t>
            </w:r>
          </w:p>
        </w:tc>
        <w:tc>
          <w:tcPr>
            <w:tcW w:w="1532" w:type="dxa"/>
            <w:noWrap/>
            <w:vAlign w:val="center"/>
          </w:tcPr>
          <w:p w14:paraId="0F10539A">
            <w:pPr>
              <w:pStyle w:val="41"/>
              <w:rPr>
                <w:color w:val="auto"/>
                <w:highlight w:val="none"/>
              </w:rPr>
            </w:pPr>
            <w:r>
              <w:rPr>
                <w:color w:val="auto"/>
                <w:highlight w:val="none"/>
              </w:rPr>
              <w:t>0.0181784</w:t>
            </w:r>
          </w:p>
        </w:tc>
        <w:tc>
          <w:tcPr>
            <w:tcW w:w="946" w:type="dxa"/>
            <w:noWrap/>
            <w:vAlign w:val="center"/>
          </w:tcPr>
          <w:p w14:paraId="0063EDFA">
            <w:pPr>
              <w:pStyle w:val="41"/>
              <w:rPr>
                <w:color w:val="auto"/>
                <w:highlight w:val="none"/>
              </w:rPr>
            </w:pPr>
            <w:r>
              <w:rPr>
                <w:color w:val="auto"/>
                <w:highlight w:val="none"/>
              </w:rPr>
              <w:t xml:space="preserve">2.02 </w:t>
            </w:r>
          </w:p>
        </w:tc>
        <w:tc>
          <w:tcPr>
            <w:tcW w:w="1398" w:type="dxa"/>
            <w:noWrap/>
            <w:vAlign w:val="center"/>
          </w:tcPr>
          <w:p w14:paraId="14AD37AF">
            <w:pPr>
              <w:pStyle w:val="41"/>
              <w:rPr>
                <w:color w:val="auto"/>
                <w:highlight w:val="none"/>
              </w:rPr>
            </w:pPr>
            <w:r>
              <w:rPr>
                <w:color w:val="auto"/>
                <w:highlight w:val="none"/>
              </w:rPr>
              <w:t>0.020217</w:t>
            </w:r>
          </w:p>
        </w:tc>
        <w:tc>
          <w:tcPr>
            <w:tcW w:w="872" w:type="dxa"/>
            <w:noWrap/>
            <w:vAlign w:val="center"/>
          </w:tcPr>
          <w:p w14:paraId="543E0054">
            <w:pPr>
              <w:pStyle w:val="41"/>
              <w:rPr>
                <w:color w:val="auto"/>
                <w:highlight w:val="none"/>
              </w:rPr>
            </w:pPr>
            <w:r>
              <w:rPr>
                <w:color w:val="auto"/>
                <w:highlight w:val="none"/>
              </w:rPr>
              <w:t>2.25</w:t>
            </w:r>
          </w:p>
        </w:tc>
      </w:tr>
      <w:tr w14:paraId="319F79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4B98BE1">
            <w:pPr>
              <w:pStyle w:val="41"/>
              <w:rPr>
                <w:color w:val="auto"/>
                <w:highlight w:val="none"/>
              </w:rPr>
            </w:pPr>
            <w:r>
              <w:rPr>
                <w:color w:val="auto"/>
                <w:highlight w:val="none"/>
              </w:rPr>
              <w:t>61</w:t>
            </w:r>
          </w:p>
        </w:tc>
        <w:tc>
          <w:tcPr>
            <w:tcW w:w="1254" w:type="dxa"/>
            <w:noWrap/>
            <w:vAlign w:val="center"/>
          </w:tcPr>
          <w:p w14:paraId="7D37F60D">
            <w:pPr>
              <w:pStyle w:val="41"/>
              <w:rPr>
                <w:color w:val="auto"/>
                <w:highlight w:val="none"/>
              </w:rPr>
            </w:pPr>
            <w:r>
              <w:rPr>
                <w:color w:val="auto"/>
                <w:highlight w:val="none"/>
              </w:rPr>
              <w:t>1475</w:t>
            </w:r>
          </w:p>
        </w:tc>
        <w:tc>
          <w:tcPr>
            <w:tcW w:w="1532" w:type="dxa"/>
            <w:noWrap/>
            <w:vAlign w:val="center"/>
          </w:tcPr>
          <w:p w14:paraId="66E73D37">
            <w:pPr>
              <w:pStyle w:val="41"/>
              <w:rPr>
                <w:color w:val="auto"/>
                <w:highlight w:val="none"/>
              </w:rPr>
            </w:pPr>
            <w:r>
              <w:rPr>
                <w:color w:val="auto"/>
                <w:highlight w:val="none"/>
              </w:rPr>
              <w:t>0.0180616</w:t>
            </w:r>
          </w:p>
        </w:tc>
        <w:tc>
          <w:tcPr>
            <w:tcW w:w="946" w:type="dxa"/>
            <w:noWrap/>
            <w:vAlign w:val="center"/>
          </w:tcPr>
          <w:p w14:paraId="502467C8">
            <w:pPr>
              <w:pStyle w:val="41"/>
              <w:rPr>
                <w:color w:val="auto"/>
                <w:highlight w:val="none"/>
              </w:rPr>
            </w:pPr>
            <w:r>
              <w:rPr>
                <w:color w:val="auto"/>
                <w:highlight w:val="none"/>
              </w:rPr>
              <w:t xml:space="preserve">2.01 </w:t>
            </w:r>
          </w:p>
        </w:tc>
        <w:tc>
          <w:tcPr>
            <w:tcW w:w="1398" w:type="dxa"/>
            <w:noWrap/>
            <w:vAlign w:val="center"/>
          </w:tcPr>
          <w:p w14:paraId="1FAE46B7">
            <w:pPr>
              <w:pStyle w:val="41"/>
              <w:rPr>
                <w:color w:val="auto"/>
                <w:highlight w:val="none"/>
              </w:rPr>
            </w:pPr>
            <w:r>
              <w:rPr>
                <w:color w:val="auto"/>
                <w:highlight w:val="none"/>
              </w:rPr>
              <w:t>0.020256</w:t>
            </w:r>
          </w:p>
        </w:tc>
        <w:tc>
          <w:tcPr>
            <w:tcW w:w="872" w:type="dxa"/>
            <w:noWrap/>
            <w:vAlign w:val="center"/>
          </w:tcPr>
          <w:p w14:paraId="7BDB92E6">
            <w:pPr>
              <w:pStyle w:val="41"/>
              <w:rPr>
                <w:color w:val="auto"/>
                <w:highlight w:val="none"/>
              </w:rPr>
            </w:pPr>
            <w:r>
              <w:rPr>
                <w:color w:val="auto"/>
                <w:highlight w:val="none"/>
              </w:rPr>
              <w:t>2.25</w:t>
            </w:r>
          </w:p>
        </w:tc>
      </w:tr>
      <w:tr w14:paraId="600602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DF73005">
            <w:pPr>
              <w:pStyle w:val="41"/>
              <w:rPr>
                <w:color w:val="auto"/>
                <w:highlight w:val="none"/>
              </w:rPr>
            </w:pPr>
            <w:r>
              <w:rPr>
                <w:color w:val="auto"/>
                <w:highlight w:val="none"/>
              </w:rPr>
              <w:t>62</w:t>
            </w:r>
          </w:p>
        </w:tc>
        <w:tc>
          <w:tcPr>
            <w:tcW w:w="1254" w:type="dxa"/>
            <w:noWrap/>
            <w:vAlign w:val="center"/>
          </w:tcPr>
          <w:p w14:paraId="1EFA16C5">
            <w:pPr>
              <w:pStyle w:val="41"/>
              <w:rPr>
                <w:color w:val="auto"/>
                <w:highlight w:val="none"/>
              </w:rPr>
            </w:pPr>
            <w:r>
              <w:rPr>
                <w:color w:val="auto"/>
                <w:highlight w:val="none"/>
              </w:rPr>
              <w:t>1500</w:t>
            </w:r>
          </w:p>
        </w:tc>
        <w:tc>
          <w:tcPr>
            <w:tcW w:w="1532" w:type="dxa"/>
            <w:noWrap/>
            <w:vAlign w:val="center"/>
          </w:tcPr>
          <w:p w14:paraId="7B484D11">
            <w:pPr>
              <w:pStyle w:val="41"/>
              <w:rPr>
                <w:color w:val="auto"/>
                <w:highlight w:val="none"/>
              </w:rPr>
            </w:pPr>
            <w:r>
              <w:rPr>
                <w:color w:val="auto"/>
                <w:highlight w:val="none"/>
              </w:rPr>
              <w:t>0.0179464</w:t>
            </w:r>
          </w:p>
        </w:tc>
        <w:tc>
          <w:tcPr>
            <w:tcW w:w="946" w:type="dxa"/>
            <w:noWrap/>
            <w:vAlign w:val="center"/>
          </w:tcPr>
          <w:p w14:paraId="1FC18CA6">
            <w:pPr>
              <w:pStyle w:val="41"/>
              <w:rPr>
                <w:color w:val="auto"/>
                <w:highlight w:val="none"/>
              </w:rPr>
            </w:pPr>
            <w:r>
              <w:rPr>
                <w:color w:val="auto"/>
                <w:highlight w:val="none"/>
              </w:rPr>
              <w:t xml:space="preserve">1.99 </w:t>
            </w:r>
          </w:p>
        </w:tc>
        <w:tc>
          <w:tcPr>
            <w:tcW w:w="1398" w:type="dxa"/>
            <w:noWrap/>
            <w:vAlign w:val="center"/>
          </w:tcPr>
          <w:p w14:paraId="5F3D7F5D">
            <w:pPr>
              <w:pStyle w:val="41"/>
              <w:rPr>
                <w:color w:val="auto"/>
                <w:highlight w:val="none"/>
              </w:rPr>
            </w:pPr>
            <w:r>
              <w:rPr>
                <w:color w:val="auto"/>
                <w:highlight w:val="none"/>
              </w:rPr>
              <w:t>0.020291</w:t>
            </w:r>
          </w:p>
        </w:tc>
        <w:tc>
          <w:tcPr>
            <w:tcW w:w="872" w:type="dxa"/>
            <w:noWrap/>
            <w:vAlign w:val="center"/>
          </w:tcPr>
          <w:p w14:paraId="554C026D">
            <w:pPr>
              <w:pStyle w:val="41"/>
              <w:rPr>
                <w:color w:val="auto"/>
                <w:highlight w:val="none"/>
              </w:rPr>
            </w:pPr>
            <w:r>
              <w:rPr>
                <w:color w:val="auto"/>
                <w:highlight w:val="none"/>
              </w:rPr>
              <w:t>2.25</w:t>
            </w:r>
          </w:p>
        </w:tc>
      </w:tr>
      <w:tr w14:paraId="77AACC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18DD4AE">
            <w:pPr>
              <w:pStyle w:val="41"/>
              <w:rPr>
                <w:color w:val="auto"/>
                <w:highlight w:val="none"/>
              </w:rPr>
            </w:pPr>
            <w:r>
              <w:rPr>
                <w:color w:val="auto"/>
                <w:highlight w:val="none"/>
              </w:rPr>
              <w:t>63</w:t>
            </w:r>
          </w:p>
        </w:tc>
        <w:tc>
          <w:tcPr>
            <w:tcW w:w="1254" w:type="dxa"/>
            <w:noWrap/>
            <w:vAlign w:val="center"/>
          </w:tcPr>
          <w:p w14:paraId="192505BC">
            <w:pPr>
              <w:pStyle w:val="41"/>
              <w:rPr>
                <w:color w:val="auto"/>
                <w:highlight w:val="none"/>
              </w:rPr>
            </w:pPr>
            <w:r>
              <w:rPr>
                <w:color w:val="auto"/>
                <w:highlight w:val="none"/>
              </w:rPr>
              <w:t>1525</w:t>
            </w:r>
          </w:p>
        </w:tc>
        <w:tc>
          <w:tcPr>
            <w:tcW w:w="1532" w:type="dxa"/>
            <w:noWrap/>
            <w:vAlign w:val="center"/>
          </w:tcPr>
          <w:p w14:paraId="3C59ADB3">
            <w:pPr>
              <w:pStyle w:val="41"/>
              <w:rPr>
                <w:color w:val="auto"/>
                <w:highlight w:val="none"/>
              </w:rPr>
            </w:pPr>
            <w:r>
              <w:rPr>
                <w:color w:val="auto"/>
                <w:highlight w:val="none"/>
              </w:rPr>
              <w:t>0.0178336</w:t>
            </w:r>
          </w:p>
        </w:tc>
        <w:tc>
          <w:tcPr>
            <w:tcW w:w="946" w:type="dxa"/>
            <w:noWrap/>
            <w:vAlign w:val="center"/>
          </w:tcPr>
          <w:p w14:paraId="576992E7">
            <w:pPr>
              <w:pStyle w:val="41"/>
              <w:rPr>
                <w:color w:val="auto"/>
                <w:highlight w:val="none"/>
              </w:rPr>
            </w:pPr>
            <w:r>
              <w:rPr>
                <w:color w:val="auto"/>
                <w:highlight w:val="none"/>
              </w:rPr>
              <w:t xml:space="preserve">1.98 </w:t>
            </w:r>
          </w:p>
        </w:tc>
        <w:tc>
          <w:tcPr>
            <w:tcW w:w="1398" w:type="dxa"/>
            <w:noWrap/>
            <w:vAlign w:val="center"/>
          </w:tcPr>
          <w:p w14:paraId="083590D2">
            <w:pPr>
              <w:pStyle w:val="41"/>
              <w:rPr>
                <w:color w:val="auto"/>
                <w:highlight w:val="none"/>
              </w:rPr>
            </w:pPr>
            <w:r>
              <w:rPr>
                <w:color w:val="auto"/>
                <w:highlight w:val="none"/>
              </w:rPr>
              <w:t>0.020321</w:t>
            </w:r>
          </w:p>
        </w:tc>
        <w:tc>
          <w:tcPr>
            <w:tcW w:w="872" w:type="dxa"/>
            <w:noWrap/>
            <w:vAlign w:val="center"/>
          </w:tcPr>
          <w:p w14:paraId="0A018728">
            <w:pPr>
              <w:pStyle w:val="41"/>
              <w:rPr>
                <w:color w:val="auto"/>
                <w:highlight w:val="none"/>
              </w:rPr>
            </w:pPr>
            <w:r>
              <w:rPr>
                <w:color w:val="auto"/>
                <w:highlight w:val="none"/>
              </w:rPr>
              <w:t>2.26</w:t>
            </w:r>
          </w:p>
        </w:tc>
      </w:tr>
      <w:tr w14:paraId="02BA86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E694D25">
            <w:pPr>
              <w:pStyle w:val="41"/>
              <w:rPr>
                <w:color w:val="auto"/>
                <w:highlight w:val="none"/>
              </w:rPr>
            </w:pPr>
            <w:r>
              <w:rPr>
                <w:color w:val="auto"/>
                <w:highlight w:val="none"/>
              </w:rPr>
              <w:t>64</w:t>
            </w:r>
          </w:p>
        </w:tc>
        <w:tc>
          <w:tcPr>
            <w:tcW w:w="1254" w:type="dxa"/>
            <w:noWrap/>
            <w:vAlign w:val="center"/>
          </w:tcPr>
          <w:p w14:paraId="58C16553">
            <w:pPr>
              <w:pStyle w:val="41"/>
              <w:rPr>
                <w:color w:val="auto"/>
                <w:highlight w:val="none"/>
              </w:rPr>
            </w:pPr>
            <w:r>
              <w:rPr>
                <w:color w:val="auto"/>
                <w:highlight w:val="none"/>
              </w:rPr>
              <w:t>1550</w:t>
            </w:r>
          </w:p>
        </w:tc>
        <w:tc>
          <w:tcPr>
            <w:tcW w:w="1532" w:type="dxa"/>
            <w:noWrap/>
            <w:vAlign w:val="center"/>
          </w:tcPr>
          <w:p w14:paraId="0E58F5C0">
            <w:pPr>
              <w:pStyle w:val="41"/>
              <w:rPr>
                <w:color w:val="auto"/>
                <w:highlight w:val="none"/>
              </w:rPr>
            </w:pPr>
            <w:r>
              <w:rPr>
                <w:color w:val="auto"/>
                <w:highlight w:val="none"/>
              </w:rPr>
              <w:t>0.0178032</w:t>
            </w:r>
          </w:p>
        </w:tc>
        <w:tc>
          <w:tcPr>
            <w:tcW w:w="946" w:type="dxa"/>
            <w:noWrap/>
            <w:vAlign w:val="center"/>
          </w:tcPr>
          <w:p w14:paraId="05D87D01">
            <w:pPr>
              <w:pStyle w:val="41"/>
              <w:rPr>
                <w:color w:val="auto"/>
                <w:highlight w:val="none"/>
              </w:rPr>
            </w:pPr>
            <w:r>
              <w:rPr>
                <w:color w:val="auto"/>
                <w:highlight w:val="none"/>
              </w:rPr>
              <w:t xml:space="preserve">1.98 </w:t>
            </w:r>
          </w:p>
        </w:tc>
        <w:tc>
          <w:tcPr>
            <w:tcW w:w="1398" w:type="dxa"/>
            <w:noWrap/>
            <w:vAlign w:val="center"/>
          </w:tcPr>
          <w:p w14:paraId="5D402FF5">
            <w:pPr>
              <w:pStyle w:val="41"/>
              <w:rPr>
                <w:color w:val="auto"/>
                <w:highlight w:val="none"/>
              </w:rPr>
            </w:pPr>
            <w:r>
              <w:rPr>
                <w:color w:val="auto"/>
                <w:highlight w:val="none"/>
              </w:rPr>
              <w:t>0.020345</w:t>
            </w:r>
          </w:p>
        </w:tc>
        <w:tc>
          <w:tcPr>
            <w:tcW w:w="872" w:type="dxa"/>
            <w:noWrap/>
            <w:vAlign w:val="center"/>
          </w:tcPr>
          <w:p w14:paraId="027CA45F">
            <w:pPr>
              <w:pStyle w:val="41"/>
              <w:rPr>
                <w:color w:val="auto"/>
                <w:highlight w:val="none"/>
              </w:rPr>
            </w:pPr>
            <w:r>
              <w:rPr>
                <w:color w:val="auto"/>
                <w:highlight w:val="none"/>
              </w:rPr>
              <w:t>2.26</w:t>
            </w:r>
          </w:p>
        </w:tc>
      </w:tr>
      <w:tr w14:paraId="5E2C07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8BC8EB4">
            <w:pPr>
              <w:pStyle w:val="41"/>
              <w:rPr>
                <w:color w:val="auto"/>
                <w:highlight w:val="none"/>
              </w:rPr>
            </w:pPr>
            <w:r>
              <w:rPr>
                <w:color w:val="auto"/>
                <w:highlight w:val="none"/>
              </w:rPr>
              <w:t>65</w:t>
            </w:r>
          </w:p>
        </w:tc>
        <w:tc>
          <w:tcPr>
            <w:tcW w:w="1254" w:type="dxa"/>
            <w:noWrap/>
            <w:vAlign w:val="center"/>
          </w:tcPr>
          <w:p w14:paraId="04BB773E">
            <w:pPr>
              <w:pStyle w:val="41"/>
              <w:rPr>
                <w:color w:val="auto"/>
                <w:highlight w:val="none"/>
              </w:rPr>
            </w:pPr>
            <w:r>
              <w:rPr>
                <w:color w:val="auto"/>
                <w:highlight w:val="none"/>
              </w:rPr>
              <w:t>1575</w:t>
            </w:r>
          </w:p>
        </w:tc>
        <w:tc>
          <w:tcPr>
            <w:tcW w:w="1532" w:type="dxa"/>
            <w:noWrap/>
            <w:vAlign w:val="center"/>
          </w:tcPr>
          <w:p w14:paraId="26DA27EB">
            <w:pPr>
              <w:pStyle w:val="41"/>
              <w:rPr>
                <w:color w:val="auto"/>
                <w:highlight w:val="none"/>
              </w:rPr>
            </w:pPr>
            <w:r>
              <w:rPr>
                <w:color w:val="auto"/>
                <w:highlight w:val="none"/>
              </w:rPr>
              <w:t>0.0176928</w:t>
            </w:r>
          </w:p>
        </w:tc>
        <w:tc>
          <w:tcPr>
            <w:tcW w:w="946" w:type="dxa"/>
            <w:noWrap/>
            <w:vAlign w:val="center"/>
          </w:tcPr>
          <w:p w14:paraId="1A3A2429">
            <w:pPr>
              <w:pStyle w:val="41"/>
              <w:rPr>
                <w:color w:val="auto"/>
                <w:highlight w:val="none"/>
              </w:rPr>
            </w:pPr>
            <w:r>
              <w:rPr>
                <w:color w:val="auto"/>
                <w:highlight w:val="none"/>
              </w:rPr>
              <w:t xml:space="preserve">1.97 </w:t>
            </w:r>
          </w:p>
        </w:tc>
        <w:tc>
          <w:tcPr>
            <w:tcW w:w="1398" w:type="dxa"/>
            <w:noWrap/>
            <w:vAlign w:val="center"/>
          </w:tcPr>
          <w:p w14:paraId="4389FECE">
            <w:pPr>
              <w:pStyle w:val="41"/>
              <w:rPr>
                <w:color w:val="auto"/>
                <w:highlight w:val="none"/>
              </w:rPr>
            </w:pPr>
            <w:r>
              <w:rPr>
                <w:color w:val="auto"/>
                <w:highlight w:val="none"/>
              </w:rPr>
              <w:t>0.020367</w:t>
            </w:r>
          </w:p>
        </w:tc>
        <w:tc>
          <w:tcPr>
            <w:tcW w:w="872" w:type="dxa"/>
            <w:noWrap/>
            <w:vAlign w:val="center"/>
          </w:tcPr>
          <w:p w14:paraId="2000EA5F">
            <w:pPr>
              <w:pStyle w:val="41"/>
              <w:rPr>
                <w:color w:val="auto"/>
                <w:highlight w:val="none"/>
              </w:rPr>
            </w:pPr>
            <w:r>
              <w:rPr>
                <w:color w:val="auto"/>
                <w:highlight w:val="none"/>
              </w:rPr>
              <w:t>2.26</w:t>
            </w:r>
          </w:p>
        </w:tc>
      </w:tr>
      <w:tr w14:paraId="185AA4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A2B2356">
            <w:pPr>
              <w:pStyle w:val="41"/>
              <w:rPr>
                <w:color w:val="auto"/>
                <w:highlight w:val="none"/>
              </w:rPr>
            </w:pPr>
            <w:r>
              <w:rPr>
                <w:color w:val="auto"/>
                <w:highlight w:val="none"/>
              </w:rPr>
              <w:t>66</w:t>
            </w:r>
          </w:p>
        </w:tc>
        <w:tc>
          <w:tcPr>
            <w:tcW w:w="1254" w:type="dxa"/>
            <w:noWrap/>
            <w:vAlign w:val="center"/>
          </w:tcPr>
          <w:p w14:paraId="43F77608">
            <w:pPr>
              <w:pStyle w:val="41"/>
              <w:rPr>
                <w:color w:val="auto"/>
                <w:highlight w:val="none"/>
              </w:rPr>
            </w:pPr>
            <w:r>
              <w:rPr>
                <w:color w:val="auto"/>
                <w:highlight w:val="none"/>
              </w:rPr>
              <w:t>1600</w:t>
            </w:r>
          </w:p>
        </w:tc>
        <w:tc>
          <w:tcPr>
            <w:tcW w:w="1532" w:type="dxa"/>
            <w:noWrap/>
            <w:vAlign w:val="center"/>
          </w:tcPr>
          <w:p w14:paraId="0777D7F1">
            <w:pPr>
              <w:pStyle w:val="41"/>
              <w:rPr>
                <w:color w:val="auto"/>
                <w:highlight w:val="none"/>
              </w:rPr>
            </w:pPr>
            <w:r>
              <w:rPr>
                <w:color w:val="auto"/>
                <w:highlight w:val="none"/>
              </w:rPr>
              <w:t>0.0175832</w:t>
            </w:r>
          </w:p>
        </w:tc>
        <w:tc>
          <w:tcPr>
            <w:tcW w:w="946" w:type="dxa"/>
            <w:noWrap/>
            <w:vAlign w:val="center"/>
          </w:tcPr>
          <w:p w14:paraId="1BA3F386">
            <w:pPr>
              <w:pStyle w:val="41"/>
              <w:rPr>
                <w:color w:val="auto"/>
                <w:highlight w:val="none"/>
              </w:rPr>
            </w:pPr>
            <w:r>
              <w:rPr>
                <w:color w:val="auto"/>
                <w:highlight w:val="none"/>
              </w:rPr>
              <w:t xml:space="preserve">1.95 </w:t>
            </w:r>
          </w:p>
        </w:tc>
        <w:tc>
          <w:tcPr>
            <w:tcW w:w="1398" w:type="dxa"/>
            <w:noWrap/>
            <w:vAlign w:val="center"/>
          </w:tcPr>
          <w:p w14:paraId="7BC20D47">
            <w:pPr>
              <w:pStyle w:val="41"/>
              <w:rPr>
                <w:color w:val="auto"/>
                <w:highlight w:val="none"/>
              </w:rPr>
            </w:pPr>
            <w:r>
              <w:rPr>
                <w:color w:val="auto"/>
                <w:highlight w:val="none"/>
              </w:rPr>
              <w:t>0.020382</w:t>
            </w:r>
          </w:p>
        </w:tc>
        <w:tc>
          <w:tcPr>
            <w:tcW w:w="872" w:type="dxa"/>
            <w:noWrap/>
            <w:vAlign w:val="center"/>
          </w:tcPr>
          <w:p w14:paraId="5E84666F">
            <w:pPr>
              <w:pStyle w:val="41"/>
              <w:rPr>
                <w:color w:val="auto"/>
                <w:highlight w:val="none"/>
              </w:rPr>
            </w:pPr>
            <w:r>
              <w:rPr>
                <w:color w:val="auto"/>
                <w:highlight w:val="none"/>
              </w:rPr>
              <w:t>2.26</w:t>
            </w:r>
          </w:p>
        </w:tc>
      </w:tr>
      <w:tr w14:paraId="0C3030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6855D22E">
            <w:pPr>
              <w:pStyle w:val="41"/>
              <w:rPr>
                <w:color w:val="auto"/>
                <w:highlight w:val="none"/>
              </w:rPr>
            </w:pPr>
            <w:r>
              <w:rPr>
                <w:color w:val="auto"/>
                <w:highlight w:val="none"/>
              </w:rPr>
              <w:t>67</w:t>
            </w:r>
          </w:p>
        </w:tc>
        <w:tc>
          <w:tcPr>
            <w:tcW w:w="1254" w:type="dxa"/>
            <w:noWrap/>
            <w:vAlign w:val="center"/>
          </w:tcPr>
          <w:p w14:paraId="3F6D2805">
            <w:pPr>
              <w:pStyle w:val="41"/>
              <w:rPr>
                <w:color w:val="auto"/>
                <w:highlight w:val="none"/>
              </w:rPr>
            </w:pPr>
            <w:r>
              <w:rPr>
                <w:color w:val="auto"/>
                <w:highlight w:val="none"/>
              </w:rPr>
              <w:t>1625</w:t>
            </w:r>
          </w:p>
        </w:tc>
        <w:tc>
          <w:tcPr>
            <w:tcW w:w="1532" w:type="dxa"/>
            <w:noWrap/>
            <w:vAlign w:val="center"/>
          </w:tcPr>
          <w:p w14:paraId="59A52494">
            <w:pPr>
              <w:pStyle w:val="41"/>
              <w:rPr>
                <w:color w:val="auto"/>
                <w:highlight w:val="none"/>
              </w:rPr>
            </w:pPr>
            <w:r>
              <w:rPr>
                <w:color w:val="auto"/>
                <w:highlight w:val="none"/>
              </w:rPr>
              <w:t>0.0174752</w:t>
            </w:r>
          </w:p>
        </w:tc>
        <w:tc>
          <w:tcPr>
            <w:tcW w:w="946" w:type="dxa"/>
            <w:noWrap/>
            <w:vAlign w:val="center"/>
          </w:tcPr>
          <w:p w14:paraId="2F7916A9">
            <w:pPr>
              <w:pStyle w:val="41"/>
              <w:rPr>
                <w:color w:val="auto"/>
                <w:highlight w:val="none"/>
              </w:rPr>
            </w:pPr>
            <w:r>
              <w:rPr>
                <w:color w:val="auto"/>
                <w:highlight w:val="none"/>
              </w:rPr>
              <w:t xml:space="preserve">1.94 </w:t>
            </w:r>
          </w:p>
        </w:tc>
        <w:tc>
          <w:tcPr>
            <w:tcW w:w="1398" w:type="dxa"/>
            <w:noWrap/>
            <w:vAlign w:val="center"/>
          </w:tcPr>
          <w:p w14:paraId="53672384">
            <w:pPr>
              <w:pStyle w:val="41"/>
              <w:rPr>
                <w:color w:val="auto"/>
                <w:highlight w:val="none"/>
              </w:rPr>
            </w:pPr>
            <w:r>
              <w:rPr>
                <w:color w:val="auto"/>
                <w:highlight w:val="none"/>
              </w:rPr>
              <w:t>0.020396</w:t>
            </w:r>
          </w:p>
        </w:tc>
        <w:tc>
          <w:tcPr>
            <w:tcW w:w="872" w:type="dxa"/>
            <w:noWrap/>
            <w:vAlign w:val="center"/>
          </w:tcPr>
          <w:p w14:paraId="36CA5BCA">
            <w:pPr>
              <w:pStyle w:val="41"/>
              <w:rPr>
                <w:color w:val="auto"/>
                <w:highlight w:val="none"/>
              </w:rPr>
            </w:pPr>
            <w:r>
              <w:rPr>
                <w:color w:val="auto"/>
                <w:highlight w:val="none"/>
              </w:rPr>
              <w:t>2.27</w:t>
            </w:r>
          </w:p>
        </w:tc>
      </w:tr>
      <w:tr w14:paraId="604ECC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2FB7AEE3">
            <w:pPr>
              <w:pStyle w:val="41"/>
              <w:rPr>
                <w:color w:val="auto"/>
                <w:highlight w:val="none"/>
              </w:rPr>
            </w:pPr>
            <w:r>
              <w:rPr>
                <w:color w:val="auto"/>
                <w:highlight w:val="none"/>
              </w:rPr>
              <w:t>68</w:t>
            </w:r>
          </w:p>
        </w:tc>
        <w:tc>
          <w:tcPr>
            <w:tcW w:w="1254" w:type="dxa"/>
            <w:noWrap/>
            <w:vAlign w:val="center"/>
          </w:tcPr>
          <w:p w14:paraId="34BD17AD">
            <w:pPr>
              <w:pStyle w:val="41"/>
              <w:rPr>
                <w:color w:val="auto"/>
                <w:highlight w:val="none"/>
              </w:rPr>
            </w:pPr>
            <w:r>
              <w:rPr>
                <w:color w:val="auto"/>
                <w:highlight w:val="none"/>
              </w:rPr>
              <w:t>1650</w:t>
            </w:r>
          </w:p>
        </w:tc>
        <w:tc>
          <w:tcPr>
            <w:tcW w:w="1532" w:type="dxa"/>
            <w:noWrap/>
            <w:vAlign w:val="center"/>
          </w:tcPr>
          <w:p w14:paraId="55422030">
            <w:pPr>
              <w:pStyle w:val="41"/>
              <w:rPr>
                <w:color w:val="auto"/>
                <w:highlight w:val="none"/>
              </w:rPr>
            </w:pPr>
            <w:r>
              <w:rPr>
                <w:color w:val="auto"/>
                <w:highlight w:val="none"/>
              </w:rPr>
              <w:t>0.0173696</w:t>
            </w:r>
          </w:p>
        </w:tc>
        <w:tc>
          <w:tcPr>
            <w:tcW w:w="946" w:type="dxa"/>
            <w:noWrap/>
            <w:vAlign w:val="center"/>
          </w:tcPr>
          <w:p w14:paraId="64D9B132">
            <w:pPr>
              <w:pStyle w:val="41"/>
              <w:rPr>
                <w:color w:val="auto"/>
                <w:highlight w:val="none"/>
              </w:rPr>
            </w:pPr>
            <w:r>
              <w:rPr>
                <w:color w:val="auto"/>
                <w:highlight w:val="none"/>
              </w:rPr>
              <w:t xml:space="preserve">1.93 </w:t>
            </w:r>
          </w:p>
        </w:tc>
        <w:tc>
          <w:tcPr>
            <w:tcW w:w="1398" w:type="dxa"/>
            <w:noWrap/>
            <w:vAlign w:val="center"/>
          </w:tcPr>
          <w:p w14:paraId="0E6FAA40">
            <w:pPr>
              <w:pStyle w:val="41"/>
              <w:rPr>
                <w:color w:val="auto"/>
                <w:highlight w:val="none"/>
              </w:rPr>
            </w:pPr>
            <w:r>
              <w:rPr>
                <w:color w:val="auto"/>
                <w:highlight w:val="none"/>
              </w:rPr>
              <w:t>0.02041</w:t>
            </w:r>
          </w:p>
        </w:tc>
        <w:tc>
          <w:tcPr>
            <w:tcW w:w="872" w:type="dxa"/>
            <w:noWrap/>
            <w:vAlign w:val="center"/>
          </w:tcPr>
          <w:p w14:paraId="6CE31FFB">
            <w:pPr>
              <w:pStyle w:val="41"/>
              <w:rPr>
                <w:color w:val="auto"/>
                <w:highlight w:val="none"/>
              </w:rPr>
            </w:pPr>
            <w:r>
              <w:rPr>
                <w:color w:val="auto"/>
                <w:highlight w:val="none"/>
              </w:rPr>
              <w:t>2.27</w:t>
            </w:r>
          </w:p>
        </w:tc>
      </w:tr>
      <w:tr w14:paraId="5E9707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49F52AE3">
            <w:pPr>
              <w:pStyle w:val="41"/>
              <w:rPr>
                <w:color w:val="auto"/>
                <w:highlight w:val="none"/>
              </w:rPr>
            </w:pPr>
            <w:r>
              <w:rPr>
                <w:color w:val="auto"/>
                <w:highlight w:val="none"/>
              </w:rPr>
              <w:t>69</w:t>
            </w:r>
          </w:p>
        </w:tc>
        <w:tc>
          <w:tcPr>
            <w:tcW w:w="1254" w:type="dxa"/>
            <w:noWrap/>
            <w:vAlign w:val="center"/>
          </w:tcPr>
          <w:p w14:paraId="5D7B2F37">
            <w:pPr>
              <w:pStyle w:val="41"/>
              <w:rPr>
                <w:color w:val="auto"/>
                <w:highlight w:val="none"/>
              </w:rPr>
            </w:pPr>
            <w:r>
              <w:rPr>
                <w:color w:val="auto"/>
                <w:highlight w:val="none"/>
              </w:rPr>
              <w:t>1675</w:t>
            </w:r>
          </w:p>
        </w:tc>
        <w:tc>
          <w:tcPr>
            <w:tcW w:w="1532" w:type="dxa"/>
            <w:noWrap/>
            <w:vAlign w:val="center"/>
          </w:tcPr>
          <w:p w14:paraId="59CF2845">
            <w:pPr>
              <w:pStyle w:val="41"/>
              <w:rPr>
                <w:color w:val="auto"/>
                <w:highlight w:val="none"/>
              </w:rPr>
            </w:pPr>
            <w:r>
              <w:rPr>
                <w:color w:val="auto"/>
                <w:highlight w:val="none"/>
              </w:rPr>
              <w:t>0.0172648</w:t>
            </w:r>
          </w:p>
        </w:tc>
        <w:tc>
          <w:tcPr>
            <w:tcW w:w="946" w:type="dxa"/>
            <w:noWrap/>
            <w:vAlign w:val="center"/>
          </w:tcPr>
          <w:p w14:paraId="7B48D05B">
            <w:pPr>
              <w:pStyle w:val="41"/>
              <w:rPr>
                <w:color w:val="auto"/>
                <w:highlight w:val="none"/>
              </w:rPr>
            </w:pPr>
            <w:r>
              <w:rPr>
                <w:color w:val="auto"/>
                <w:highlight w:val="none"/>
              </w:rPr>
              <w:t xml:space="preserve">1.92 </w:t>
            </w:r>
          </w:p>
        </w:tc>
        <w:tc>
          <w:tcPr>
            <w:tcW w:w="1398" w:type="dxa"/>
            <w:noWrap/>
            <w:vAlign w:val="center"/>
          </w:tcPr>
          <w:p w14:paraId="336E257A">
            <w:pPr>
              <w:pStyle w:val="41"/>
              <w:rPr>
                <w:color w:val="auto"/>
                <w:highlight w:val="none"/>
              </w:rPr>
            </w:pPr>
            <w:r>
              <w:rPr>
                <w:color w:val="auto"/>
                <w:highlight w:val="none"/>
              </w:rPr>
              <w:t>0.020422</w:t>
            </w:r>
          </w:p>
        </w:tc>
        <w:tc>
          <w:tcPr>
            <w:tcW w:w="872" w:type="dxa"/>
            <w:noWrap/>
            <w:vAlign w:val="center"/>
          </w:tcPr>
          <w:p w14:paraId="23A07AE2">
            <w:pPr>
              <w:pStyle w:val="41"/>
              <w:rPr>
                <w:color w:val="auto"/>
                <w:highlight w:val="none"/>
              </w:rPr>
            </w:pPr>
            <w:r>
              <w:rPr>
                <w:color w:val="auto"/>
                <w:highlight w:val="none"/>
              </w:rPr>
              <w:t>2.27</w:t>
            </w:r>
          </w:p>
        </w:tc>
      </w:tr>
      <w:tr w14:paraId="1CE012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6306587D">
            <w:pPr>
              <w:pStyle w:val="41"/>
              <w:rPr>
                <w:color w:val="auto"/>
                <w:highlight w:val="none"/>
              </w:rPr>
            </w:pPr>
            <w:r>
              <w:rPr>
                <w:color w:val="auto"/>
                <w:highlight w:val="none"/>
              </w:rPr>
              <w:t>70</w:t>
            </w:r>
          </w:p>
        </w:tc>
        <w:tc>
          <w:tcPr>
            <w:tcW w:w="1254" w:type="dxa"/>
            <w:noWrap/>
            <w:vAlign w:val="center"/>
          </w:tcPr>
          <w:p w14:paraId="057DA1B5">
            <w:pPr>
              <w:pStyle w:val="41"/>
              <w:rPr>
                <w:color w:val="auto"/>
                <w:highlight w:val="none"/>
              </w:rPr>
            </w:pPr>
            <w:r>
              <w:rPr>
                <w:color w:val="auto"/>
                <w:highlight w:val="none"/>
              </w:rPr>
              <w:t>1700</w:t>
            </w:r>
          </w:p>
        </w:tc>
        <w:tc>
          <w:tcPr>
            <w:tcW w:w="1532" w:type="dxa"/>
            <w:noWrap/>
            <w:vAlign w:val="center"/>
          </w:tcPr>
          <w:p w14:paraId="3FB15E9E">
            <w:pPr>
              <w:pStyle w:val="41"/>
              <w:rPr>
                <w:color w:val="auto"/>
                <w:highlight w:val="none"/>
              </w:rPr>
            </w:pPr>
            <w:r>
              <w:rPr>
                <w:color w:val="auto"/>
                <w:highlight w:val="none"/>
              </w:rPr>
              <w:t>0.0171616</w:t>
            </w:r>
          </w:p>
        </w:tc>
        <w:tc>
          <w:tcPr>
            <w:tcW w:w="946" w:type="dxa"/>
            <w:noWrap/>
            <w:vAlign w:val="center"/>
          </w:tcPr>
          <w:p w14:paraId="1287A047">
            <w:pPr>
              <w:pStyle w:val="41"/>
              <w:rPr>
                <w:color w:val="auto"/>
                <w:highlight w:val="none"/>
              </w:rPr>
            </w:pPr>
            <w:r>
              <w:rPr>
                <w:color w:val="auto"/>
                <w:highlight w:val="none"/>
              </w:rPr>
              <w:t xml:space="preserve">1.90 </w:t>
            </w:r>
          </w:p>
        </w:tc>
        <w:tc>
          <w:tcPr>
            <w:tcW w:w="1398" w:type="dxa"/>
            <w:noWrap/>
            <w:vAlign w:val="center"/>
          </w:tcPr>
          <w:p w14:paraId="781C8534">
            <w:pPr>
              <w:pStyle w:val="41"/>
              <w:rPr>
                <w:color w:val="auto"/>
                <w:highlight w:val="none"/>
              </w:rPr>
            </w:pPr>
            <w:r>
              <w:rPr>
                <w:color w:val="auto"/>
                <w:highlight w:val="none"/>
              </w:rPr>
              <w:t>0.020427</w:t>
            </w:r>
          </w:p>
        </w:tc>
        <w:tc>
          <w:tcPr>
            <w:tcW w:w="872" w:type="dxa"/>
            <w:noWrap/>
            <w:vAlign w:val="center"/>
          </w:tcPr>
          <w:p w14:paraId="792F0BAE">
            <w:pPr>
              <w:pStyle w:val="41"/>
              <w:rPr>
                <w:color w:val="auto"/>
                <w:highlight w:val="none"/>
              </w:rPr>
            </w:pPr>
            <w:r>
              <w:rPr>
                <w:color w:val="auto"/>
                <w:highlight w:val="none"/>
              </w:rPr>
              <w:t>2.27</w:t>
            </w:r>
          </w:p>
        </w:tc>
      </w:tr>
      <w:tr w14:paraId="37A02A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5B3ABDBC">
            <w:pPr>
              <w:pStyle w:val="41"/>
              <w:rPr>
                <w:color w:val="auto"/>
                <w:highlight w:val="none"/>
              </w:rPr>
            </w:pPr>
            <w:r>
              <w:rPr>
                <w:color w:val="auto"/>
                <w:highlight w:val="none"/>
              </w:rPr>
              <w:t>71</w:t>
            </w:r>
          </w:p>
        </w:tc>
        <w:tc>
          <w:tcPr>
            <w:tcW w:w="1254" w:type="dxa"/>
            <w:noWrap/>
            <w:vAlign w:val="center"/>
          </w:tcPr>
          <w:p w14:paraId="778DCB88">
            <w:pPr>
              <w:pStyle w:val="41"/>
              <w:rPr>
                <w:color w:val="auto"/>
                <w:highlight w:val="none"/>
              </w:rPr>
            </w:pPr>
            <w:r>
              <w:rPr>
                <w:color w:val="auto"/>
                <w:highlight w:val="none"/>
              </w:rPr>
              <w:t>1725</w:t>
            </w:r>
          </w:p>
        </w:tc>
        <w:tc>
          <w:tcPr>
            <w:tcW w:w="1532" w:type="dxa"/>
            <w:noWrap/>
            <w:vAlign w:val="center"/>
          </w:tcPr>
          <w:p w14:paraId="15C61260">
            <w:pPr>
              <w:pStyle w:val="41"/>
              <w:rPr>
                <w:color w:val="auto"/>
                <w:highlight w:val="none"/>
              </w:rPr>
            </w:pPr>
            <w:r>
              <w:rPr>
                <w:color w:val="auto"/>
                <w:highlight w:val="none"/>
              </w:rPr>
              <w:t>0.01706</w:t>
            </w:r>
          </w:p>
        </w:tc>
        <w:tc>
          <w:tcPr>
            <w:tcW w:w="946" w:type="dxa"/>
            <w:noWrap/>
            <w:vAlign w:val="center"/>
          </w:tcPr>
          <w:p w14:paraId="6ABBAAFD">
            <w:pPr>
              <w:pStyle w:val="41"/>
              <w:rPr>
                <w:color w:val="auto"/>
                <w:highlight w:val="none"/>
              </w:rPr>
            </w:pPr>
            <w:r>
              <w:rPr>
                <w:color w:val="auto"/>
                <w:highlight w:val="none"/>
              </w:rPr>
              <w:t xml:space="preserve">1.90 </w:t>
            </w:r>
          </w:p>
        </w:tc>
        <w:tc>
          <w:tcPr>
            <w:tcW w:w="1398" w:type="dxa"/>
            <w:noWrap/>
            <w:vAlign w:val="center"/>
          </w:tcPr>
          <w:p w14:paraId="3C9B9C01">
            <w:pPr>
              <w:pStyle w:val="41"/>
              <w:rPr>
                <w:color w:val="auto"/>
                <w:highlight w:val="none"/>
              </w:rPr>
            </w:pPr>
            <w:r>
              <w:rPr>
                <w:color w:val="auto"/>
                <w:highlight w:val="none"/>
              </w:rPr>
              <w:t>0.020432</w:t>
            </w:r>
          </w:p>
        </w:tc>
        <w:tc>
          <w:tcPr>
            <w:tcW w:w="872" w:type="dxa"/>
            <w:noWrap/>
            <w:vAlign w:val="center"/>
          </w:tcPr>
          <w:p w14:paraId="38BCA203">
            <w:pPr>
              <w:pStyle w:val="41"/>
              <w:rPr>
                <w:color w:val="auto"/>
                <w:highlight w:val="none"/>
              </w:rPr>
            </w:pPr>
            <w:r>
              <w:rPr>
                <w:color w:val="auto"/>
                <w:highlight w:val="none"/>
              </w:rPr>
              <w:t>2.27</w:t>
            </w:r>
          </w:p>
        </w:tc>
      </w:tr>
      <w:tr w14:paraId="0A052C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167DE493">
            <w:pPr>
              <w:pStyle w:val="41"/>
              <w:rPr>
                <w:color w:val="auto"/>
                <w:highlight w:val="none"/>
              </w:rPr>
            </w:pPr>
            <w:r>
              <w:rPr>
                <w:color w:val="auto"/>
                <w:highlight w:val="none"/>
              </w:rPr>
              <w:t>72</w:t>
            </w:r>
          </w:p>
        </w:tc>
        <w:tc>
          <w:tcPr>
            <w:tcW w:w="1254" w:type="dxa"/>
            <w:noWrap/>
            <w:vAlign w:val="center"/>
          </w:tcPr>
          <w:p w14:paraId="76B69D09">
            <w:pPr>
              <w:pStyle w:val="41"/>
              <w:rPr>
                <w:color w:val="auto"/>
                <w:highlight w:val="none"/>
              </w:rPr>
            </w:pPr>
            <w:r>
              <w:rPr>
                <w:color w:val="auto"/>
                <w:highlight w:val="none"/>
              </w:rPr>
              <w:t>1750</w:t>
            </w:r>
          </w:p>
        </w:tc>
        <w:tc>
          <w:tcPr>
            <w:tcW w:w="1532" w:type="dxa"/>
            <w:noWrap/>
            <w:vAlign w:val="center"/>
          </w:tcPr>
          <w:p w14:paraId="56B366F7">
            <w:pPr>
              <w:pStyle w:val="41"/>
              <w:rPr>
                <w:color w:val="auto"/>
                <w:highlight w:val="none"/>
              </w:rPr>
            </w:pPr>
            <w:r>
              <w:rPr>
                <w:color w:val="auto"/>
                <w:highlight w:val="none"/>
              </w:rPr>
              <w:t>0.0169592</w:t>
            </w:r>
          </w:p>
        </w:tc>
        <w:tc>
          <w:tcPr>
            <w:tcW w:w="946" w:type="dxa"/>
            <w:noWrap/>
            <w:vAlign w:val="center"/>
          </w:tcPr>
          <w:p w14:paraId="3B8205F2">
            <w:pPr>
              <w:pStyle w:val="41"/>
              <w:rPr>
                <w:color w:val="auto"/>
                <w:highlight w:val="none"/>
              </w:rPr>
            </w:pPr>
            <w:r>
              <w:rPr>
                <w:color w:val="auto"/>
                <w:highlight w:val="none"/>
              </w:rPr>
              <w:t xml:space="preserve">1.89 </w:t>
            </w:r>
          </w:p>
        </w:tc>
        <w:tc>
          <w:tcPr>
            <w:tcW w:w="1398" w:type="dxa"/>
            <w:noWrap/>
            <w:vAlign w:val="center"/>
          </w:tcPr>
          <w:p w14:paraId="062AE431">
            <w:pPr>
              <w:pStyle w:val="41"/>
              <w:rPr>
                <w:color w:val="auto"/>
                <w:highlight w:val="none"/>
              </w:rPr>
            </w:pPr>
            <w:r>
              <w:rPr>
                <w:color w:val="auto"/>
                <w:highlight w:val="none"/>
              </w:rPr>
              <w:t>0.020434</w:t>
            </w:r>
          </w:p>
        </w:tc>
        <w:tc>
          <w:tcPr>
            <w:tcW w:w="872" w:type="dxa"/>
            <w:noWrap/>
            <w:vAlign w:val="center"/>
          </w:tcPr>
          <w:p w14:paraId="3680E605">
            <w:pPr>
              <w:pStyle w:val="41"/>
              <w:rPr>
                <w:color w:val="auto"/>
                <w:highlight w:val="none"/>
              </w:rPr>
            </w:pPr>
            <w:r>
              <w:rPr>
                <w:color w:val="auto"/>
                <w:highlight w:val="none"/>
              </w:rPr>
              <w:t>2.27</w:t>
            </w:r>
          </w:p>
        </w:tc>
      </w:tr>
      <w:tr w14:paraId="3E455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039580C9">
            <w:pPr>
              <w:pStyle w:val="41"/>
              <w:rPr>
                <w:color w:val="auto"/>
                <w:highlight w:val="none"/>
              </w:rPr>
            </w:pPr>
            <w:r>
              <w:rPr>
                <w:color w:val="auto"/>
                <w:highlight w:val="none"/>
              </w:rPr>
              <w:t>73</w:t>
            </w:r>
          </w:p>
        </w:tc>
        <w:tc>
          <w:tcPr>
            <w:tcW w:w="1254" w:type="dxa"/>
            <w:noWrap/>
            <w:vAlign w:val="center"/>
          </w:tcPr>
          <w:p w14:paraId="197A423D">
            <w:pPr>
              <w:pStyle w:val="41"/>
              <w:rPr>
                <w:color w:val="auto"/>
                <w:highlight w:val="none"/>
              </w:rPr>
            </w:pPr>
            <w:r>
              <w:rPr>
                <w:color w:val="auto"/>
                <w:highlight w:val="none"/>
              </w:rPr>
              <w:t>1775</w:t>
            </w:r>
          </w:p>
        </w:tc>
        <w:tc>
          <w:tcPr>
            <w:tcW w:w="1532" w:type="dxa"/>
            <w:noWrap/>
            <w:vAlign w:val="center"/>
          </w:tcPr>
          <w:p w14:paraId="024BDFE0">
            <w:pPr>
              <w:pStyle w:val="41"/>
              <w:rPr>
                <w:color w:val="auto"/>
                <w:highlight w:val="none"/>
              </w:rPr>
            </w:pPr>
            <w:r>
              <w:rPr>
                <w:color w:val="auto"/>
                <w:highlight w:val="none"/>
              </w:rPr>
              <w:t>0.01686</w:t>
            </w:r>
          </w:p>
        </w:tc>
        <w:tc>
          <w:tcPr>
            <w:tcW w:w="946" w:type="dxa"/>
            <w:noWrap/>
            <w:vAlign w:val="center"/>
          </w:tcPr>
          <w:p w14:paraId="33D85351">
            <w:pPr>
              <w:pStyle w:val="41"/>
              <w:rPr>
                <w:color w:val="auto"/>
                <w:highlight w:val="none"/>
              </w:rPr>
            </w:pPr>
            <w:r>
              <w:rPr>
                <w:color w:val="auto"/>
                <w:highlight w:val="none"/>
              </w:rPr>
              <w:t xml:space="preserve">1.87 </w:t>
            </w:r>
          </w:p>
        </w:tc>
        <w:tc>
          <w:tcPr>
            <w:tcW w:w="1398" w:type="dxa"/>
            <w:noWrap/>
            <w:vAlign w:val="center"/>
          </w:tcPr>
          <w:p w14:paraId="0D011416">
            <w:pPr>
              <w:pStyle w:val="41"/>
              <w:rPr>
                <w:color w:val="auto"/>
                <w:highlight w:val="none"/>
              </w:rPr>
            </w:pPr>
            <w:r>
              <w:rPr>
                <w:color w:val="auto"/>
                <w:highlight w:val="none"/>
              </w:rPr>
              <w:t>0.020432</w:t>
            </w:r>
          </w:p>
        </w:tc>
        <w:tc>
          <w:tcPr>
            <w:tcW w:w="872" w:type="dxa"/>
            <w:noWrap/>
            <w:vAlign w:val="center"/>
          </w:tcPr>
          <w:p w14:paraId="7D6C494F">
            <w:pPr>
              <w:pStyle w:val="41"/>
              <w:rPr>
                <w:color w:val="auto"/>
                <w:highlight w:val="none"/>
              </w:rPr>
            </w:pPr>
            <w:r>
              <w:rPr>
                <w:color w:val="auto"/>
                <w:highlight w:val="none"/>
              </w:rPr>
              <w:t>2.27</w:t>
            </w:r>
          </w:p>
        </w:tc>
      </w:tr>
      <w:tr w14:paraId="111477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05A16191">
            <w:pPr>
              <w:pStyle w:val="41"/>
              <w:rPr>
                <w:color w:val="auto"/>
                <w:highlight w:val="none"/>
              </w:rPr>
            </w:pPr>
            <w:r>
              <w:rPr>
                <w:color w:val="auto"/>
                <w:highlight w:val="none"/>
              </w:rPr>
              <w:t>74</w:t>
            </w:r>
          </w:p>
        </w:tc>
        <w:tc>
          <w:tcPr>
            <w:tcW w:w="1254" w:type="dxa"/>
            <w:noWrap/>
            <w:vAlign w:val="center"/>
          </w:tcPr>
          <w:p w14:paraId="1B28BCC3">
            <w:pPr>
              <w:pStyle w:val="41"/>
              <w:rPr>
                <w:color w:val="auto"/>
                <w:highlight w:val="none"/>
              </w:rPr>
            </w:pPr>
            <w:r>
              <w:rPr>
                <w:color w:val="auto"/>
                <w:highlight w:val="none"/>
              </w:rPr>
              <w:t>1800</w:t>
            </w:r>
          </w:p>
        </w:tc>
        <w:tc>
          <w:tcPr>
            <w:tcW w:w="1532" w:type="dxa"/>
            <w:noWrap/>
            <w:vAlign w:val="center"/>
          </w:tcPr>
          <w:p w14:paraId="04DE4A74">
            <w:pPr>
              <w:pStyle w:val="41"/>
              <w:rPr>
                <w:color w:val="auto"/>
                <w:highlight w:val="none"/>
              </w:rPr>
            </w:pPr>
            <w:r>
              <w:rPr>
                <w:color w:val="auto"/>
                <w:highlight w:val="none"/>
              </w:rPr>
              <w:t>0.0167624</w:t>
            </w:r>
          </w:p>
        </w:tc>
        <w:tc>
          <w:tcPr>
            <w:tcW w:w="946" w:type="dxa"/>
            <w:noWrap/>
            <w:vAlign w:val="center"/>
          </w:tcPr>
          <w:p w14:paraId="5EDAEDCD">
            <w:pPr>
              <w:pStyle w:val="41"/>
              <w:rPr>
                <w:color w:val="auto"/>
                <w:highlight w:val="none"/>
              </w:rPr>
            </w:pPr>
            <w:r>
              <w:rPr>
                <w:color w:val="auto"/>
                <w:highlight w:val="none"/>
              </w:rPr>
              <w:t xml:space="preserve">1.86 </w:t>
            </w:r>
          </w:p>
        </w:tc>
        <w:tc>
          <w:tcPr>
            <w:tcW w:w="1398" w:type="dxa"/>
            <w:noWrap/>
            <w:vAlign w:val="center"/>
          </w:tcPr>
          <w:p w14:paraId="0FE1AB04">
            <w:pPr>
              <w:pStyle w:val="41"/>
              <w:rPr>
                <w:color w:val="auto"/>
                <w:highlight w:val="none"/>
              </w:rPr>
            </w:pPr>
            <w:r>
              <w:rPr>
                <w:color w:val="auto"/>
                <w:highlight w:val="none"/>
              </w:rPr>
              <w:t>0.020424</w:t>
            </w:r>
          </w:p>
        </w:tc>
        <w:tc>
          <w:tcPr>
            <w:tcW w:w="872" w:type="dxa"/>
            <w:noWrap/>
            <w:vAlign w:val="center"/>
          </w:tcPr>
          <w:p w14:paraId="5F6A6E40">
            <w:pPr>
              <w:pStyle w:val="41"/>
              <w:rPr>
                <w:color w:val="auto"/>
                <w:highlight w:val="none"/>
              </w:rPr>
            </w:pPr>
            <w:r>
              <w:rPr>
                <w:color w:val="auto"/>
                <w:highlight w:val="none"/>
              </w:rPr>
              <w:t>2.27</w:t>
            </w:r>
          </w:p>
        </w:tc>
      </w:tr>
      <w:tr w14:paraId="060748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592AD35A">
            <w:pPr>
              <w:pStyle w:val="41"/>
              <w:rPr>
                <w:color w:val="auto"/>
                <w:highlight w:val="none"/>
              </w:rPr>
            </w:pPr>
            <w:r>
              <w:rPr>
                <w:color w:val="auto"/>
                <w:highlight w:val="none"/>
              </w:rPr>
              <w:t>75</w:t>
            </w:r>
          </w:p>
        </w:tc>
        <w:tc>
          <w:tcPr>
            <w:tcW w:w="1254" w:type="dxa"/>
            <w:noWrap/>
            <w:vAlign w:val="center"/>
          </w:tcPr>
          <w:p w14:paraId="5AFAFD88">
            <w:pPr>
              <w:pStyle w:val="41"/>
              <w:rPr>
                <w:color w:val="auto"/>
                <w:highlight w:val="none"/>
              </w:rPr>
            </w:pPr>
            <w:r>
              <w:rPr>
                <w:color w:val="auto"/>
                <w:highlight w:val="none"/>
              </w:rPr>
              <w:t>1825</w:t>
            </w:r>
          </w:p>
        </w:tc>
        <w:tc>
          <w:tcPr>
            <w:tcW w:w="1532" w:type="dxa"/>
            <w:noWrap/>
            <w:vAlign w:val="center"/>
          </w:tcPr>
          <w:p w14:paraId="69DD4270">
            <w:pPr>
              <w:pStyle w:val="41"/>
              <w:rPr>
                <w:color w:val="auto"/>
                <w:highlight w:val="none"/>
              </w:rPr>
            </w:pPr>
            <w:r>
              <w:rPr>
                <w:color w:val="auto"/>
                <w:highlight w:val="none"/>
              </w:rPr>
              <w:t>0.0166656</w:t>
            </w:r>
          </w:p>
        </w:tc>
        <w:tc>
          <w:tcPr>
            <w:tcW w:w="946" w:type="dxa"/>
            <w:noWrap/>
            <w:vAlign w:val="center"/>
          </w:tcPr>
          <w:p w14:paraId="684AC270">
            <w:pPr>
              <w:pStyle w:val="41"/>
              <w:rPr>
                <w:color w:val="auto"/>
                <w:highlight w:val="none"/>
              </w:rPr>
            </w:pPr>
            <w:r>
              <w:rPr>
                <w:color w:val="auto"/>
                <w:highlight w:val="none"/>
              </w:rPr>
              <w:t xml:space="preserve">1.85 </w:t>
            </w:r>
          </w:p>
        </w:tc>
        <w:tc>
          <w:tcPr>
            <w:tcW w:w="1398" w:type="dxa"/>
            <w:noWrap/>
            <w:vAlign w:val="center"/>
          </w:tcPr>
          <w:p w14:paraId="17123747">
            <w:pPr>
              <w:pStyle w:val="41"/>
              <w:rPr>
                <w:color w:val="auto"/>
                <w:highlight w:val="none"/>
              </w:rPr>
            </w:pPr>
            <w:r>
              <w:rPr>
                <w:color w:val="auto"/>
                <w:highlight w:val="none"/>
              </w:rPr>
              <w:t>0.020415</w:t>
            </w:r>
          </w:p>
        </w:tc>
        <w:tc>
          <w:tcPr>
            <w:tcW w:w="872" w:type="dxa"/>
            <w:noWrap/>
            <w:vAlign w:val="center"/>
          </w:tcPr>
          <w:p w14:paraId="30DF6A8C">
            <w:pPr>
              <w:pStyle w:val="41"/>
              <w:rPr>
                <w:color w:val="auto"/>
                <w:highlight w:val="none"/>
              </w:rPr>
            </w:pPr>
            <w:r>
              <w:rPr>
                <w:color w:val="auto"/>
                <w:highlight w:val="none"/>
              </w:rPr>
              <w:t>2.27</w:t>
            </w:r>
          </w:p>
        </w:tc>
      </w:tr>
      <w:tr w14:paraId="65C3E0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trPr>
        <w:tc>
          <w:tcPr>
            <w:tcW w:w="321" w:type="pct"/>
            <w:noWrap/>
            <w:vAlign w:val="center"/>
          </w:tcPr>
          <w:p w14:paraId="60821A9F">
            <w:pPr>
              <w:pStyle w:val="41"/>
              <w:rPr>
                <w:color w:val="auto"/>
                <w:highlight w:val="none"/>
              </w:rPr>
            </w:pPr>
            <w:r>
              <w:rPr>
                <w:color w:val="auto"/>
                <w:highlight w:val="none"/>
              </w:rPr>
              <w:t>76</w:t>
            </w:r>
          </w:p>
        </w:tc>
        <w:tc>
          <w:tcPr>
            <w:tcW w:w="1254" w:type="dxa"/>
            <w:noWrap/>
            <w:vAlign w:val="center"/>
          </w:tcPr>
          <w:p w14:paraId="7A4440A4">
            <w:pPr>
              <w:pStyle w:val="41"/>
              <w:rPr>
                <w:color w:val="auto"/>
                <w:highlight w:val="none"/>
              </w:rPr>
            </w:pPr>
            <w:r>
              <w:rPr>
                <w:color w:val="auto"/>
                <w:highlight w:val="none"/>
              </w:rPr>
              <w:t>1850</w:t>
            </w:r>
          </w:p>
        </w:tc>
        <w:tc>
          <w:tcPr>
            <w:tcW w:w="1532" w:type="dxa"/>
            <w:noWrap/>
            <w:vAlign w:val="center"/>
          </w:tcPr>
          <w:p w14:paraId="2770CF96">
            <w:pPr>
              <w:pStyle w:val="41"/>
              <w:rPr>
                <w:color w:val="auto"/>
                <w:highlight w:val="none"/>
              </w:rPr>
            </w:pPr>
            <w:r>
              <w:rPr>
                <w:color w:val="auto"/>
                <w:highlight w:val="none"/>
              </w:rPr>
              <w:t>0.0165704</w:t>
            </w:r>
          </w:p>
        </w:tc>
        <w:tc>
          <w:tcPr>
            <w:tcW w:w="946" w:type="dxa"/>
            <w:noWrap/>
            <w:vAlign w:val="center"/>
          </w:tcPr>
          <w:p w14:paraId="2DD878A6">
            <w:pPr>
              <w:pStyle w:val="41"/>
              <w:rPr>
                <w:color w:val="auto"/>
                <w:highlight w:val="none"/>
              </w:rPr>
            </w:pPr>
            <w:r>
              <w:rPr>
                <w:color w:val="auto"/>
                <w:highlight w:val="none"/>
              </w:rPr>
              <w:t xml:space="preserve">1.84 </w:t>
            </w:r>
          </w:p>
        </w:tc>
        <w:tc>
          <w:tcPr>
            <w:tcW w:w="1398" w:type="dxa"/>
            <w:noWrap/>
            <w:vAlign w:val="center"/>
          </w:tcPr>
          <w:p w14:paraId="649932E6">
            <w:pPr>
              <w:pStyle w:val="41"/>
              <w:rPr>
                <w:color w:val="auto"/>
                <w:highlight w:val="none"/>
              </w:rPr>
            </w:pPr>
            <w:r>
              <w:rPr>
                <w:color w:val="auto"/>
                <w:highlight w:val="none"/>
              </w:rPr>
              <w:t>0.020405</w:t>
            </w:r>
          </w:p>
        </w:tc>
        <w:tc>
          <w:tcPr>
            <w:tcW w:w="872" w:type="dxa"/>
            <w:noWrap/>
            <w:vAlign w:val="center"/>
          </w:tcPr>
          <w:p w14:paraId="64427D0A">
            <w:pPr>
              <w:pStyle w:val="41"/>
              <w:rPr>
                <w:color w:val="auto"/>
                <w:highlight w:val="none"/>
              </w:rPr>
            </w:pPr>
            <w:r>
              <w:rPr>
                <w:color w:val="auto"/>
                <w:highlight w:val="none"/>
              </w:rPr>
              <w:t>2.27</w:t>
            </w:r>
          </w:p>
        </w:tc>
      </w:tr>
      <w:tr w14:paraId="505CA6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268919C5">
            <w:pPr>
              <w:pStyle w:val="41"/>
              <w:rPr>
                <w:color w:val="auto"/>
                <w:highlight w:val="none"/>
              </w:rPr>
            </w:pPr>
            <w:r>
              <w:rPr>
                <w:color w:val="auto"/>
                <w:highlight w:val="none"/>
              </w:rPr>
              <w:t>77</w:t>
            </w:r>
          </w:p>
        </w:tc>
        <w:tc>
          <w:tcPr>
            <w:tcW w:w="1254" w:type="dxa"/>
            <w:noWrap/>
            <w:vAlign w:val="center"/>
          </w:tcPr>
          <w:p w14:paraId="74AE7108">
            <w:pPr>
              <w:pStyle w:val="41"/>
              <w:rPr>
                <w:color w:val="auto"/>
                <w:highlight w:val="none"/>
              </w:rPr>
            </w:pPr>
            <w:r>
              <w:rPr>
                <w:color w:val="auto"/>
                <w:highlight w:val="none"/>
              </w:rPr>
              <w:t>1875</w:t>
            </w:r>
          </w:p>
        </w:tc>
        <w:tc>
          <w:tcPr>
            <w:tcW w:w="1532" w:type="dxa"/>
            <w:noWrap/>
            <w:vAlign w:val="center"/>
          </w:tcPr>
          <w:p w14:paraId="63333145">
            <w:pPr>
              <w:pStyle w:val="41"/>
              <w:rPr>
                <w:color w:val="auto"/>
                <w:highlight w:val="none"/>
              </w:rPr>
            </w:pPr>
            <w:r>
              <w:rPr>
                <w:color w:val="auto"/>
                <w:highlight w:val="none"/>
              </w:rPr>
              <w:t>0.0164768</w:t>
            </w:r>
          </w:p>
        </w:tc>
        <w:tc>
          <w:tcPr>
            <w:tcW w:w="946" w:type="dxa"/>
            <w:noWrap/>
            <w:vAlign w:val="center"/>
          </w:tcPr>
          <w:p w14:paraId="3DF61D87">
            <w:pPr>
              <w:pStyle w:val="41"/>
              <w:rPr>
                <w:color w:val="auto"/>
                <w:highlight w:val="none"/>
              </w:rPr>
            </w:pPr>
            <w:r>
              <w:rPr>
                <w:color w:val="auto"/>
                <w:highlight w:val="none"/>
              </w:rPr>
              <w:t xml:space="preserve">1.83 </w:t>
            </w:r>
          </w:p>
        </w:tc>
        <w:tc>
          <w:tcPr>
            <w:tcW w:w="1398" w:type="dxa"/>
            <w:noWrap/>
            <w:vAlign w:val="center"/>
          </w:tcPr>
          <w:p w14:paraId="25D78861">
            <w:pPr>
              <w:pStyle w:val="41"/>
              <w:rPr>
                <w:color w:val="auto"/>
                <w:highlight w:val="none"/>
              </w:rPr>
            </w:pPr>
            <w:r>
              <w:rPr>
                <w:color w:val="auto"/>
                <w:highlight w:val="none"/>
              </w:rPr>
              <w:t>0.020395</w:t>
            </w:r>
          </w:p>
        </w:tc>
        <w:tc>
          <w:tcPr>
            <w:tcW w:w="872" w:type="dxa"/>
            <w:noWrap/>
            <w:vAlign w:val="center"/>
          </w:tcPr>
          <w:p w14:paraId="5897BDE4">
            <w:pPr>
              <w:pStyle w:val="41"/>
              <w:rPr>
                <w:color w:val="auto"/>
                <w:highlight w:val="none"/>
              </w:rPr>
            </w:pPr>
            <w:r>
              <w:rPr>
                <w:color w:val="auto"/>
                <w:highlight w:val="none"/>
              </w:rPr>
              <w:t>2.27</w:t>
            </w:r>
          </w:p>
        </w:tc>
      </w:tr>
      <w:tr w14:paraId="7EF05F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0D73F6D3">
            <w:pPr>
              <w:pStyle w:val="41"/>
              <w:rPr>
                <w:color w:val="auto"/>
                <w:highlight w:val="none"/>
              </w:rPr>
            </w:pPr>
            <w:r>
              <w:rPr>
                <w:color w:val="auto"/>
                <w:highlight w:val="none"/>
              </w:rPr>
              <w:t>78</w:t>
            </w:r>
          </w:p>
        </w:tc>
        <w:tc>
          <w:tcPr>
            <w:tcW w:w="1254" w:type="dxa"/>
            <w:noWrap/>
            <w:vAlign w:val="center"/>
          </w:tcPr>
          <w:p w14:paraId="34D0AF4E">
            <w:pPr>
              <w:pStyle w:val="41"/>
              <w:rPr>
                <w:color w:val="auto"/>
                <w:highlight w:val="none"/>
              </w:rPr>
            </w:pPr>
            <w:r>
              <w:rPr>
                <w:color w:val="auto"/>
                <w:highlight w:val="none"/>
              </w:rPr>
              <w:t>1900</w:t>
            </w:r>
          </w:p>
        </w:tc>
        <w:tc>
          <w:tcPr>
            <w:tcW w:w="1532" w:type="dxa"/>
            <w:noWrap/>
            <w:vAlign w:val="center"/>
          </w:tcPr>
          <w:p w14:paraId="44E21515">
            <w:pPr>
              <w:pStyle w:val="41"/>
              <w:rPr>
                <w:color w:val="auto"/>
                <w:highlight w:val="none"/>
              </w:rPr>
            </w:pPr>
            <w:r>
              <w:rPr>
                <w:color w:val="auto"/>
                <w:highlight w:val="none"/>
              </w:rPr>
              <w:t>0.0163832</w:t>
            </w:r>
          </w:p>
        </w:tc>
        <w:tc>
          <w:tcPr>
            <w:tcW w:w="946" w:type="dxa"/>
            <w:noWrap/>
            <w:vAlign w:val="center"/>
          </w:tcPr>
          <w:p w14:paraId="304FA6FD">
            <w:pPr>
              <w:pStyle w:val="41"/>
              <w:rPr>
                <w:color w:val="auto"/>
                <w:highlight w:val="none"/>
              </w:rPr>
            </w:pPr>
            <w:r>
              <w:rPr>
                <w:color w:val="auto"/>
                <w:highlight w:val="none"/>
              </w:rPr>
              <w:t xml:space="preserve">1.82 </w:t>
            </w:r>
          </w:p>
        </w:tc>
        <w:tc>
          <w:tcPr>
            <w:tcW w:w="1398" w:type="dxa"/>
            <w:noWrap/>
            <w:vAlign w:val="center"/>
          </w:tcPr>
          <w:p w14:paraId="7AC60203">
            <w:pPr>
              <w:pStyle w:val="41"/>
              <w:rPr>
                <w:color w:val="auto"/>
                <w:highlight w:val="none"/>
              </w:rPr>
            </w:pPr>
            <w:r>
              <w:rPr>
                <w:color w:val="auto"/>
                <w:highlight w:val="none"/>
              </w:rPr>
              <w:t>0.020385</w:t>
            </w:r>
          </w:p>
        </w:tc>
        <w:tc>
          <w:tcPr>
            <w:tcW w:w="872" w:type="dxa"/>
            <w:noWrap/>
            <w:vAlign w:val="center"/>
          </w:tcPr>
          <w:p w14:paraId="19481F95">
            <w:pPr>
              <w:pStyle w:val="41"/>
              <w:rPr>
                <w:color w:val="auto"/>
                <w:highlight w:val="none"/>
              </w:rPr>
            </w:pPr>
            <w:r>
              <w:rPr>
                <w:color w:val="auto"/>
                <w:highlight w:val="none"/>
              </w:rPr>
              <w:t>2.27</w:t>
            </w:r>
          </w:p>
        </w:tc>
      </w:tr>
      <w:tr w14:paraId="351DC9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668FC9C4">
            <w:pPr>
              <w:pStyle w:val="41"/>
              <w:rPr>
                <w:color w:val="auto"/>
                <w:highlight w:val="none"/>
              </w:rPr>
            </w:pPr>
            <w:r>
              <w:rPr>
                <w:color w:val="auto"/>
                <w:highlight w:val="none"/>
              </w:rPr>
              <w:t>79</w:t>
            </w:r>
          </w:p>
        </w:tc>
        <w:tc>
          <w:tcPr>
            <w:tcW w:w="1254" w:type="dxa"/>
            <w:noWrap/>
            <w:vAlign w:val="center"/>
          </w:tcPr>
          <w:p w14:paraId="353C611C">
            <w:pPr>
              <w:pStyle w:val="41"/>
              <w:rPr>
                <w:color w:val="auto"/>
                <w:highlight w:val="none"/>
              </w:rPr>
            </w:pPr>
            <w:r>
              <w:rPr>
                <w:color w:val="auto"/>
                <w:highlight w:val="none"/>
              </w:rPr>
              <w:t>1925</w:t>
            </w:r>
          </w:p>
        </w:tc>
        <w:tc>
          <w:tcPr>
            <w:tcW w:w="1532" w:type="dxa"/>
            <w:noWrap/>
            <w:vAlign w:val="center"/>
          </w:tcPr>
          <w:p w14:paraId="68664124">
            <w:pPr>
              <w:pStyle w:val="41"/>
              <w:rPr>
                <w:color w:val="auto"/>
                <w:highlight w:val="none"/>
              </w:rPr>
            </w:pPr>
            <w:r>
              <w:rPr>
                <w:color w:val="auto"/>
                <w:highlight w:val="none"/>
              </w:rPr>
              <w:t>0.016292</w:t>
            </w:r>
          </w:p>
        </w:tc>
        <w:tc>
          <w:tcPr>
            <w:tcW w:w="946" w:type="dxa"/>
            <w:noWrap/>
            <w:vAlign w:val="center"/>
          </w:tcPr>
          <w:p w14:paraId="35DDF758">
            <w:pPr>
              <w:pStyle w:val="41"/>
              <w:rPr>
                <w:color w:val="auto"/>
                <w:highlight w:val="none"/>
              </w:rPr>
            </w:pPr>
            <w:r>
              <w:rPr>
                <w:color w:val="auto"/>
                <w:highlight w:val="none"/>
              </w:rPr>
              <w:t xml:space="preserve">1.81 </w:t>
            </w:r>
          </w:p>
        </w:tc>
        <w:tc>
          <w:tcPr>
            <w:tcW w:w="1398" w:type="dxa"/>
            <w:noWrap/>
            <w:vAlign w:val="center"/>
          </w:tcPr>
          <w:p w14:paraId="1F66A8B6">
            <w:pPr>
              <w:pStyle w:val="41"/>
              <w:rPr>
                <w:color w:val="auto"/>
                <w:highlight w:val="none"/>
              </w:rPr>
            </w:pPr>
            <w:r>
              <w:rPr>
                <w:color w:val="auto"/>
                <w:highlight w:val="none"/>
              </w:rPr>
              <w:t>0.02037</w:t>
            </w:r>
          </w:p>
        </w:tc>
        <w:tc>
          <w:tcPr>
            <w:tcW w:w="872" w:type="dxa"/>
            <w:noWrap/>
            <w:vAlign w:val="center"/>
          </w:tcPr>
          <w:p w14:paraId="40631B5E">
            <w:pPr>
              <w:pStyle w:val="41"/>
              <w:rPr>
                <w:color w:val="auto"/>
                <w:highlight w:val="none"/>
              </w:rPr>
            </w:pPr>
            <w:r>
              <w:rPr>
                <w:color w:val="auto"/>
                <w:highlight w:val="none"/>
              </w:rPr>
              <w:t>2.26</w:t>
            </w:r>
          </w:p>
        </w:tc>
      </w:tr>
      <w:tr w14:paraId="2853CF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52C44F9B">
            <w:pPr>
              <w:pStyle w:val="41"/>
              <w:rPr>
                <w:color w:val="auto"/>
                <w:highlight w:val="none"/>
              </w:rPr>
            </w:pPr>
            <w:r>
              <w:rPr>
                <w:color w:val="auto"/>
                <w:highlight w:val="none"/>
              </w:rPr>
              <w:t>80</w:t>
            </w:r>
          </w:p>
        </w:tc>
        <w:tc>
          <w:tcPr>
            <w:tcW w:w="1254" w:type="dxa"/>
            <w:noWrap/>
            <w:vAlign w:val="center"/>
          </w:tcPr>
          <w:p w14:paraId="502EC952">
            <w:pPr>
              <w:pStyle w:val="41"/>
              <w:rPr>
                <w:color w:val="auto"/>
                <w:highlight w:val="none"/>
              </w:rPr>
            </w:pPr>
            <w:r>
              <w:rPr>
                <w:color w:val="auto"/>
                <w:highlight w:val="none"/>
              </w:rPr>
              <w:t>1950</w:t>
            </w:r>
          </w:p>
        </w:tc>
        <w:tc>
          <w:tcPr>
            <w:tcW w:w="1532" w:type="dxa"/>
            <w:noWrap/>
            <w:vAlign w:val="center"/>
          </w:tcPr>
          <w:p w14:paraId="2DEE2ABA">
            <w:pPr>
              <w:pStyle w:val="41"/>
              <w:rPr>
                <w:color w:val="auto"/>
                <w:highlight w:val="none"/>
              </w:rPr>
            </w:pPr>
            <w:r>
              <w:rPr>
                <w:color w:val="auto"/>
                <w:highlight w:val="none"/>
              </w:rPr>
              <w:t>0.0162008</w:t>
            </w:r>
          </w:p>
        </w:tc>
        <w:tc>
          <w:tcPr>
            <w:tcW w:w="946" w:type="dxa"/>
            <w:noWrap/>
            <w:vAlign w:val="center"/>
          </w:tcPr>
          <w:p w14:paraId="24E9F68A">
            <w:pPr>
              <w:pStyle w:val="41"/>
              <w:rPr>
                <w:color w:val="auto"/>
                <w:highlight w:val="none"/>
              </w:rPr>
            </w:pPr>
            <w:r>
              <w:rPr>
                <w:color w:val="auto"/>
                <w:highlight w:val="none"/>
              </w:rPr>
              <w:t xml:space="preserve">1.80 </w:t>
            </w:r>
          </w:p>
        </w:tc>
        <w:tc>
          <w:tcPr>
            <w:tcW w:w="1398" w:type="dxa"/>
            <w:noWrap/>
            <w:vAlign w:val="center"/>
          </w:tcPr>
          <w:p w14:paraId="3EA3E539">
            <w:pPr>
              <w:pStyle w:val="41"/>
              <w:rPr>
                <w:color w:val="auto"/>
                <w:highlight w:val="none"/>
              </w:rPr>
            </w:pPr>
            <w:r>
              <w:rPr>
                <w:color w:val="auto"/>
                <w:highlight w:val="none"/>
              </w:rPr>
              <w:t>0.020352</w:t>
            </w:r>
          </w:p>
        </w:tc>
        <w:tc>
          <w:tcPr>
            <w:tcW w:w="872" w:type="dxa"/>
            <w:noWrap/>
            <w:vAlign w:val="center"/>
          </w:tcPr>
          <w:p w14:paraId="309D946C">
            <w:pPr>
              <w:pStyle w:val="41"/>
              <w:rPr>
                <w:color w:val="auto"/>
                <w:highlight w:val="none"/>
              </w:rPr>
            </w:pPr>
            <w:r>
              <w:rPr>
                <w:color w:val="auto"/>
                <w:highlight w:val="none"/>
              </w:rPr>
              <w:t>2.26</w:t>
            </w:r>
          </w:p>
        </w:tc>
      </w:tr>
      <w:tr w14:paraId="69D4E4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324B1F70">
            <w:pPr>
              <w:pStyle w:val="41"/>
              <w:rPr>
                <w:color w:val="auto"/>
                <w:highlight w:val="none"/>
              </w:rPr>
            </w:pPr>
            <w:r>
              <w:rPr>
                <w:color w:val="auto"/>
                <w:highlight w:val="none"/>
              </w:rPr>
              <w:t>81</w:t>
            </w:r>
          </w:p>
        </w:tc>
        <w:tc>
          <w:tcPr>
            <w:tcW w:w="1254" w:type="dxa"/>
            <w:noWrap/>
            <w:vAlign w:val="center"/>
          </w:tcPr>
          <w:p w14:paraId="0701D44C">
            <w:pPr>
              <w:pStyle w:val="41"/>
              <w:rPr>
                <w:color w:val="auto"/>
                <w:highlight w:val="none"/>
              </w:rPr>
            </w:pPr>
            <w:r>
              <w:rPr>
                <w:color w:val="auto"/>
                <w:highlight w:val="none"/>
              </w:rPr>
              <w:t>1975</w:t>
            </w:r>
          </w:p>
        </w:tc>
        <w:tc>
          <w:tcPr>
            <w:tcW w:w="1532" w:type="dxa"/>
            <w:noWrap/>
            <w:vAlign w:val="center"/>
          </w:tcPr>
          <w:p w14:paraId="6C3A1B75">
            <w:pPr>
              <w:pStyle w:val="41"/>
              <w:rPr>
                <w:color w:val="auto"/>
                <w:highlight w:val="none"/>
              </w:rPr>
            </w:pPr>
            <w:r>
              <w:rPr>
                <w:color w:val="auto"/>
                <w:highlight w:val="none"/>
              </w:rPr>
              <w:t>0.0161112</w:t>
            </w:r>
          </w:p>
        </w:tc>
        <w:tc>
          <w:tcPr>
            <w:tcW w:w="946" w:type="dxa"/>
            <w:noWrap/>
            <w:vAlign w:val="center"/>
          </w:tcPr>
          <w:p w14:paraId="0C3C4C05">
            <w:pPr>
              <w:pStyle w:val="41"/>
              <w:rPr>
                <w:color w:val="auto"/>
                <w:highlight w:val="none"/>
              </w:rPr>
            </w:pPr>
            <w:r>
              <w:rPr>
                <w:color w:val="auto"/>
                <w:highlight w:val="none"/>
              </w:rPr>
              <w:t xml:space="preserve">1.79 </w:t>
            </w:r>
          </w:p>
        </w:tc>
        <w:tc>
          <w:tcPr>
            <w:tcW w:w="1398" w:type="dxa"/>
            <w:noWrap/>
            <w:vAlign w:val="center"/>
          </w:tcPr>
          <w:p w14:paraId="003D20AE">
            <w:pPr>
              <w:pStyle w:val="41"/>
              <w:rPr>
                <w:color w:val="auto"/>
                <w:highlight w:val="none"/>
              </w:rPr>
            </w:pPr>
            <w:r>
              <w:rPr>
                <w:color w:val="auto"/>
                <w:highlight w:val="none"/>
              </w:rPr>
              <w:t>0.020334</w:t>
            </w:r>
          </w:p>
        </w:tc>
        <w:tc>
          <w:tcPr>
            <w:tcW w:w="872" w:type="dxa"/>
            <w:noWrap/>
            <w:vAlign w:val="center"/>
          </w:tcPr>
          <w:p w14:paraId="441B63EA">
            <w:pPr>
              <w:pStyle w:val="41"/>
              <w:rPr>
                <w:color w:val="auto"/>
                <w:highlight w:val="none"/>
              </w:rPr>
            </w:pPr>
            <w:r>
              <w:rPr>
                <w:color w:val="auto"/>
                <w:highlight w:val="none"/>
              </w:rPr>
              <w:t>2.26</w:t>
            </w:r>
          </w:p>
        </w:tc>
      </w:tr>
      <w:tr w14:paraId="35D660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274ADD7F">
            <w:pPr>
              <w:pStyle w:val="41"/>
              <w:rPr>
                <w:color w:val="auto"/>
                <w:highlight w:val="none"/>
              </w:rPr>
            </w:pPr>
            <w:r>
              <w:rPr>
                <w:color w:val="auto"/>
                <w:highlight w:val="none"/>
              </w:rPr>
              <w:t>82</w:t>
            </w:r>
          </w:p>
        </w:tc>
        <w:tc>
          <w:tcPr>
            <w:tcW w:w="1254" w:type="dxa"/>
            <w:noWrap/>
            <w:vAlign w:val="center"/>
          </w:tcPr>
          <w:p w14:paraId="7E200CB4">
            <w:pPr>
              <w:pStyle w:val="41"/>
              <w:rPr>
                <w:color w:val="auto"/>
                <w:highlight w:val="none"/>
              </w:rPr>
            </w:pPr>
            <w:r>
              <w:rPr>
                <w:color w:val="auto"/>
                <w:highlight w:val="none"/>
              </w:rPr>
              <w:t>2000</w:t>
            </w:r>
          </w:p>
        </w:tc>
        <w:tc>
          <w:tcPr>
            <w:tcW w:w="1532" w:type="dxa"/>
            <w:noWrap/>
            <w:vAlign w:val="center"/>
          </w:tcPr>
          <w:p w14:paraId="2E943EBE">
            <w:pPr>
              <w:pStyle w:val="41"/>
              <w:rPr>
                <w:color w:val="auto"/>
                <w:highlight w:val="none"/>
              </w:rPr>
            </w:pPr>
            <w:r>
              <w:rPr>
                <w:color w:val="auto"/>
                <w:highlight w:val="none"/>
              </w:rPr>
              <w:t>0.0160224</w:t>
            </w:r>
          </w:p>
        </w:tc>
        <w:tc>
          <w:tcPr>
            <w:tcW w:w="946" w:type="dxa"/>
            <w:noWrap/>
            <w:vAlign w:val="center"/>
          </w:tcPr>
          <w:p w14:paraId="0837C17D">
            <w:pPr>
              <w:pStyle w:val="41"/>
              <w:rPr>
                <w:color w:val="auto"/>
                <w:highlight w:val="none"/>
              </w:rPr>
            </w:pPr>
            <w:r>
              <w:rPr>
                <w:color w:val="auto"/>
                <w:highlight w:val="none"/>
              </w:rPr>
              <w:t xml:space="preserve">1.78 </w:t>
            </w:r>
          </w:p>
        </w:tc>
        <w:tc>
          <w:tcPr>
            <w:tcW w:w="1398" w:type="dxa"/>
            <w:noWrap/>
            <w:vAlign w:val="center"/>
          </w:tcPr>
          <w:p w14:paraId="5E06904E">
            <w:pPr>
              <w:pStyle w:val="41"/>
              <w:rPr>
                <w:color w:val="auto"/>
                <w:highlight w:val="none"/>
              </w:rPr>
            </w:pPr>
            <w:r>
              <w:rPr>
                <w:color w:val="auto"/>
                <w:highlight w:val="none"/>
              </w:rPr>
              <w:t>0.020315</w:t>
            </w:r>
          </w:p>
        </w:tc>
        <w:tc>
          <w:tcPr>
            <w:tcW w:w="872" w:type="dxa"/>
            <w:noWrap/>
            <w:vAlign w:val="center"/>
          </w:tcPr>
          <w:p w14:paraId="3CDAED82">
            <w:pPr>
              <w:pStyle w:val="41"/>
              <w:rPr>
                <w:color w:val="auto"/>
                <w:highlight w:val="none"/>
              </w:rPr>
            </w:pPr>
            <w:r>
              <w:rPr>
                <w:color w:val="auto"/>
                <w:highlight w:val="none"/>
              </w:rPr>
              <w:t>2.26</w:t>
            </w:r>
          </w:p>
        </w:tc>
      </w:tr>
      <w:tr w14:paraId="434A39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7C46CAFE">
            <w:pPr>
              <w:pStyle w:val="41"/>
              <w:rPr>
                <w:color w:val="auto"/>
                <w:highlight w:val="none"/>
              </w:rPr>
            </w:pPr>
            <w:r>
              <w:rPr>
                <w:color w:val="auto"/>
                <w:highlight w:val="none"/>
              </w:rPr>
              <w:t>83</w:t>
            </w:r>
          </w:p>
        </w:tc>
        <w:tc>
          <w:tcPr>
            <w:tcW w:w="1254" w:type="dxa"/>
            <w:noWrap/>
            <w:vAlign w:val="center"/>
          </w:tcPr>
          <w:p w14:paraId="42E67ACB">
            <w:pPr>
              <w:pStyle w:val="41"/>
              <w:rPr>
                <w:color w:val="auto"/>
                <w:highlight w:val="none"/>
              </w:rPr>
            </w:pPr>
            <w:r>
              <w:rPr>
                <w:color w:val="auto"/>
                <w:highlight w:val="none"/>
              </w:rPr>
              <w:t>2025</w:t>
            </w:r>
          </w:p>
        </w:tc>
        <w:tc>
          <w:tcPr>
            <w:tcW w:w="1532" w:type="dxa"/>
            <w:noWrap/>
            <w:vAlign w:val="center"/>
          </w:tcPr>
          <w:p w14:paraId="1F0195CA">
            <w:pPr>
              <w:pStyle w:val="41"/>
              <w:rPr>
                <w:color w:val="auto"/>
                <w:highlight w:val="none"/>
              </w:rPr>
            </w:pPr>
            <w:r>
              <w:rPr>
                <w:color w:val="auto"/>
                <w:highlight w:val="none"/>
              </w:rPr>
              <w:t>0.0159352</w:t>
            </w:r>
          </w:p>
        </w:tc>
        <w:tc>
          <w:tcPr>
            <w:tcW w:w="946" w:type="dxa"/>
            <w:noWrap/>
            <w:vAlign w:val="center"/>
          </w:tcPr>
          <w:p w14:paraId="1ADC2A45">
            <w:pPr>
              <w:pStyle w:val="41"/>
              <w:rPr>
                <w:color w:val="auto"/>
                <w:highlight w:val="none"/>
              </w:rPr>
            </w:pPr>
            <w:r>
              <w:rPr>
                <w:color w:val="auto"/>
                <w:highlight w:val="none"/>
              </w:rPr>
              <w:t xml:space="preserve">1.77 </w:t>
            </w:r>
          </w:p>
        </w:tc>
        <w:tc>
          <w:tcPr>
            <w:tcW w:w="1398" w:type="dxa"/>
            <w:noWrap/>
            <w:vAlign w:val="center"/>
          </w:tcPr>
          <w:p w14:paraId="0B4E6246">
            <w:pPr>
              <w:pStyle w:val="41"/>
              <w:rPr>
                <w:color w:val="auto"/>
                <w:highlight w:val="none"/>
              </w:rPr>
            </w:pPr>
            <w:r>
              <w:rPr>
                <w:color w:val="auto"/>
                <w:highlight w:val="none"/>
              </w:rPr>
              <w:t>0.020291</w:t>
            </w:r>
          </w:p>
        </w:tc>
        <w:tc>
          <w:tcPr>
            <w:tcW w:w="872" w:type="dxa"/>
            <w:noWrap/>
            <w:vAlign w:val="center"/>
          </w:tcPr>
          <w:p w14:paraId="591CDCAA">
            <w:pPr>
              <w:pStyle w:val="41"/>
              <w:rPr>
                <w:color w:val="auto"/>
                <w:highlight w:val="none"/>
              </w:rPr>
            </w:pPr>
            <w:r>
              <w:rPr>
                <w:color w:val="auto"/>
                <w:highlight w:val="none"/>
              </w:rPr>
              <w:t>2.25</w:t>
            </w:r>
          </w:p>
        </w:tc>
      </w:tr>
      <w:tr w14:paraId="7502DE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11852D1F">
            <w:pPr>
              <w:pStyle w:val="41"/>
              <w:rPr>
                <w:color w:val="auto"/>
                <w:highlight w:val="none"/>
              </w:rPr>
            </w:pPr>
            <w:r>
              <w:rPr>
                <w:color w:val="auto"/>
                <w:highlight w:val="none"/>
              </w:rPr>
              <w:t>84</w:t>
            </w:r>
          </w:p>
        </w:tc>
        <w:tc>
          <w:tcPr>
            <w:tcW w:w="1254" w:type="dxa"/>
            <w:noWrap/>
            <w:vAlign w:val="center"/>
          </w:tcPr>
          <w:p w14:paraId="3D20B230">
            <w:pPr>
              <w:pStyle w:val="41"/>
              <w:rPr>
                <w:color w:val="auto"/>
                <w:highlight w:val="none"/>
              </w:rPr>
            </w:pPr>
            <w:r>
              <w:rPr>
                <w:color w:val="auto"/>
                <w:highlight w:val="none"/>
              </w:rPr>
              <w:t>2050</w:t>
            </w:r>
          </w:p>
        </w:tc>
        <w:tc>
          <w:tcPr>
            <w:tcW w:w="1532" w:type="dxa"/>
            <w:noWrap/>
            <w:vAlign w:val="center"/>
          </w:tcPr>
          <w:p w14:paraId="2A60B08F">
            <w:pPr>
              <w:pStyle w:val="41"/>
              <w:rPr>
                <w:color w:val="auto"/>
                <w:highlight w:val="none"/>
              </w:rPr>
            </w:pPr>
            <w:r>
              <w:rPr>
                <w:color w:val="auto"/>
                <w:highlight w:val="none"/>
              </w:rPr>
              <w:t>0.015848</w:t>
            </w:r>
          </w:p>
        </w:tc>
        <w:tc>
          <w:tcPr>
            <w:tcW w:w="946" w:type="dxa"/>
            <w:noWrap/>
            <w:vAlign w:val="center"/>
          </w:tcPr>
          <w:p w14:paraId="5A621E9C">
            <w:pPr>
              <w:pStyle w:val="41"/>
              <w:rPr>
                <w:color w:val="auto"/>
                <w:highlight w:val="none"/>
              </w:rPr>
            </w:pPr>
            <w:r>
              <w:rPr>
                <w:color w:val="auto"/>
                <w:highlight w:val="none"/>
              </w:rPr>
              <w:t xml:space="preserve">1.76 </w:t>
            </w:r>
          </w:p>
        </w:tc>
        <w:tc>
          <w:tcPr>
            <w:tcW w:w="1398" w:type="dxa"/>
            <w:noWrap/>
            <w:vAlign w:val="center"/>
          </w:tcPr>
          <w:p w14:paraId="013D3D83">
            <w:pPr>
              <w:pStyle w:val="41"/>
              <w:rPr>
                <w:color w:val="auto"/>
                <w:highlight w:val="none"/>
              </w:rPr>
            </w:pPr>
            <w:r>
              <w:rPr>
                <w:color w:val="auto"/>
                <w:highlight w:val="none"/>
              </w:rPr>
              <w:t>0.020268</w:t>
            </w:r>
          </w:p>
        </w:tc>
        <w:tc>
          <w:tcPr>
            <w:tcW w:w="872" w:type="dxa"/>
            <w:noWrap/>
            <w:vAlign w:val="center"/>
          </w:tcPr>
          <w:p w14:paraId="256D8137">
            <w:pPr>
              <w:pStyle w:val="41"/>
              <w:rPr>
                <w:color w:val="auto"/>
                <w:highlight w:val="none"/>
              </w:rPr>
            </w:pPr>
            <w:r>
              <w:rPr>
                <w:color w:val="auto"/>
                <w:highlight w:val="none"/>
              </w:rPr>
              <w:t>2.25</w:t>
            </w:r>
          </w:p>
        </w:tc>
      </w:tr>
      <w:tr w14:paraId="75F6B4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0A1B8022">
            <w:pPr>
              <w:pStyle w:val="41"/>
              <w:rPr>
                <w:color w:val="auto"/>
                <w:highlight w:val="none"/>
              </w:rPr>
            </w:pPr>
            <w:r>
              <w:rPr>
                <w:color w:val="auto"/>
                <w:highlight w:val="none"/>
              </w:rPr>
              <w:t>85</w:t>
            </w:r>
          </w:p>
        </w:tc>
        <w:tc>
          <w:tcPr>
            <w:tcW w:w="1254" w:type="dxa"/>
            <w:noWrap/>
            <w:vAlign w:val="center"/>
          </w:tcPr>
          <w:p w14:paraId="5C0F5EB5">
            <w:pPr>
              <w:pStyle w:val="41"/>
              <w:rPr>
                <w:color w:val="auto"/>
                <w:highlight w:val="none"/>
              </w:rPr>
            </w:pPr>
            <w:r>
              <w:rPr>
                <w:color w:val="auto"/>
                <w:highlight w:val="none"/>
              </w:rPr>
              <w:t>2075</w:t>
            </w:r>
          </w:p>
        </w:tc>
        <w:tc>
          <w:tcPr>
            <w:tcW w:w="1532" w:type="dxa"/>
            <w:noWrap/>
            <w:vAlign w:val="center"/>
          </w:tcPr>
          <w:p w14:paraId="54B13519">
            <w:pPr>
              <w:pStyle w:val="41"/>
              <w:rPr>
                <w:color w:val="auto"/>
                <w:highlight w:val="none"/>
              </w:rPr>
            </w:pPr>
            <w:r>
              <w:rPr>
                <w:color w:val="auto"/>
                <w:highlight w:val="none"/>
              </w:rPr>
              <w:t>0.0157624</w:t>
            </w:r>
          </w:p>
        </w:tc>
        <w:tc>
          <w:tcPr>
            <w:tcW w:w="946" w:type="dxa"/>
            <w:noWrap/>
            <w:vAlign w:val="center"/>
          </w:tcPr>
          <w:p w14:paraId="2D4ED6C7">
            <w:pPr>
              <w:pStyle w:val="41"/>
              <w:rPr>
                <w:color w:val="auto"/>
                <w:highlight w:val="none"/>
              </w:rPr>
            </w:pPr>
            <w:r>
              <w:rPr>
                <w:color w:val="auto"/>
                <w:highlight w:val="none"/>
              </w:rPr>
              <w:t xml:space="preserve">1.75 </w:t>
            </w:r>
          </w:p>
        </w:tc>
        <w:tc>
          <w:tcPr>
            <w:tcW w:w="1398" w:type="dxa"/>
            <w:noWrap/>
            <w:vAlign w:val="center"/>
          </w:tcPr>
          <w:p w14:paraId="449249D7">
            <w:pPr>
              <w:pStyle w:val="41"/>
              <w:rPr>
                <w:color w:val="auto"/>
                <w:highlight w:val="none"/>
              </w:rPr>
            </w:pPr>
            <w:r>
              <w:rPr>
                <w:color w:val="auto"/>
                <w:highlight w:val="none"/>
              </w:rPr>
              <w:t>0.02024</w:t>
            </w:r>
          </w:p>
        </w:tc>
        <w:tc>
          <w:tcPr>
            <w:tcW w:w="872" w:type="dxa"/>
            <w:noWrap/>
            <w:vAlign w:val="center"/>
          </w:tcPr>
          <w:p w14:paraId="3B2783C3">
            <w:pPr>
              <w:pStyle w:val="41"/>
              <w:rPr>
                <w:color w:val="auto"/>
                <w:highlight w:val="none"/>
              </w:rPr>
            </w:pPr>
            <w:r>
              <w:rPr>
                <w:color w:val="auto"/>
                <w:highlight w:val="none"/>
              </w:rPr>
              <w:t>2.25</w:t>
            </w:r>
          </w:p>
        </w:tc>
      </w:tr>
      <w:tr w14:paraId="3CEF59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147ED6E0">
            <w:pPr>
              <w:pStyle w:val="41"/>
              <w:rPr>
                <w:color w:val="auto"/>
                <w:highlight w:val="none"/>
              </w:rPr>
            </w:pPr>
            <w:r>
              <w:rPr>
                <w:color w:val="auto"/>
                <w:highlight w:val="none"/>
              </w:rPr>
              <w:t>86</w:t>
            </w:r>
          </w:p>
        </w:tc>
        <w:tc>
          <w:tcPr>
            <w:tcW w:w="1254" w:type="dxa"/>
            <w:noWrap/>
            <w:vAlign w:val="center"/>
          </w:tcPr>
          <w:p w14:paraId="61060A7E">
            <w:pPr>
              <w:pStyle w:val="41"/>
              <w:rPr>
                <w:color w:val="auto"/>
                <w:highlight w:val="none"/>
              </w:rPr>
            </w:pPr>
            <w:r>
              <w:rPr>
                <w:color w:val="auto"/>
                <w:highlight w:val="none"/>
              </w:rPr>
              <w:t>2100</w:t>
            </w:r>
          </w:p>
        </w:tc>
        <w:tc>
          <w:tcPr>
            <w:tcW w:w="1532" w:type="dxa"/>
            <w:noWrap/>
            <w:vAlign w:val="center"/>
          </w:tcPr>
          <w:p w14:paraId="3FCD69AD">
            <w:pPr>
              <w:pStyle w:val="41"/>
              <w:rPr>
                <w:color w:val="auto"/>
                <w:highlight w:val="none"/>
              </w:rPr>
            </w:pPr>
            <w:r>
              <w:rPr>
                <w:color w:val="auto"/>
                <w:highlight w:val="none"/>
              </w:rPr>
              <w:t>0.0156776</w:t>
            </w:r>
          </w:p>
        </w:tc>
        <w:tc>
          <w:tcPr>
            <w:tcW w:w="946" w:type="dxa"/>
            <w:noWrap/>
            <w:vAlign w:val="center"/>
          </w:tcPr>
          <w:p w14:paraId="465BECE3">
            <w:pPr>
              <w:pStyle w:val="41"/>
              <w:rPr>
                <w:color w:val="auto"/>
                <w:highlight w:val="none"/>
              </w:rPr>
            </w:pPr>
            <w:r>
              <w:rPr>
                <w:color w:val="auto"/>
                <w:highlight w:val="none"/>
              </w:rPr>
              <w:t xml:space="preserve">1.74 </w:t>
            </w:r>
          </w:p>
        </w:tc>
        <w:tc>
          <w:tcPr>
            <w:tcW w:w="1398" w:type="dxa"/>
            <w:noWrap/>
            <w:vAlign w:val="center"/>
          </w:tcPr>
          <w:p w14:paraId="4F9B8E8A">
            <w:pPr>
              <w:pStyle w:val="41"/>
              <w:rPr>
                <w:color w:val="auto"/>
                <w:highlight w:val="none"/>
              </w:rPr>
            </w:pPr>
            <w:r>
              <w:rPr>
                <w:color w:val="auto"/>
                <w:highlight w:val="none"/>
              </w:rPr>
              <w:t>0.020209</w:t>
            </w:r>
          </w:p>
        </w:tc>
        <w:tc>
          <w:tcPr>
            <w:tcW w:w="872" w:type="dxa"/>
            <w:noWrap/>
            <w:vAlign w:val="center"/>
          </w:tcPr>
          <w:p w14:paraId="1DB82850">
            <w:pPr>
              <w:pStyle w:val="41"/>
              <w:rPr>
                <w:color w:val="auto"/>
                <w:highlight w:val="none"/>
              </w:rPr>
            </w:pPr>
            <w:r>
              <w:rPr>
                <w:color w:val="auto"/>
                <w:highlight w:val="none"/>
              </w:rPr>
              <w:t>2.25</w:t>
            </w:r>
          </w:p>
        </w:tc>
      </w:tr>
      <w:tr w14:paraId="2CC496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4540FF4A">
            <w:pPr>
              <w:pStyle w:val="41"/>
              <w:rPr>
                <w:color w:val="auto"/>
                <w:highlight w:val="none"/>
              </w:rPr>
            </w:pPr>
            <w:r>
              <w:rPr>
                <w:color w:val="auto"/>
                <w:highlight w:val="none"/>
              </w:rPr>
              <w:t>87</w:t>
            </w:r>
          </w:p>
        </w:tc>
        <w:tc>
          <w:tcPr>
            <w:tcW w:w="1254" w:type="dxa"/>
            <w:noWrap/>
            <w:vAlign w:val="center"/>
          </w:tcPr>
          <w:p w14:paraId="698E9571">
            <w:pPr>
              <w:pStyle w:val="41"/>
              <w:rPr>
                <w:color w:val="auto"/>
                <w:highlight w:val="none"/>
              </w:rPr>
            </w:pPr>
            <w:r>
              <w:rPr>
                <w:color w:val="auto"/>
                <w:highlight w:val="none"/>
              </w:rPr>
              <w:t>2125</w:t>
            </w:r>
          </w:p>
        </w:tc>
        <w:tc>
          <w:tcPr>
            <w:tcW w:w="1532" w:type="dxa"/>
            <w:noWrap/>
            <w:vAlign w:val="center"/>
          </w:tcPr>
          <w:p w14:paraId="1E080EE8">
            <w:pPr>
              <w:pStyle w:val="41"/>
              <w:rPr>
                <w:color w:val="auto"/>
                <w:highlight w:val="none"/>
              </w:rPr>
            </w:pPr>
            <w:r>
              <w:rPr>
                <w:color w:val="auto"/>
                <w:highlight w:val="none"/>
              </w:rPr>
              <w:t>0.0155936</w:t>
            </w:r>
          </w:p>
        </w:tc>
        <w:tc>
          <w:tcPr>
            <w:tcW w:w="946" w:type="dxa"/>
            <w:noWrap/>
            <w:vAlign w:val="center"/>
          </w:tcPr>
          <w:p w14:paraId="3630A19D">
            <w:pPr>
              <w:pStyle w:val="41"/>
              <w:rPr>
                <w:color w:val="auto"/>
                <w:highlight w:val="none"/>
              </w:rPr>
            </w:pPr>
            <w:r>
              <w:rPr>
                <w:color w:val="auto"/>
                <w:highlight w:val="none"/>
              </w:rPr>
              <w:t xml:space="preserve">1.74 </w:t>
            </w:r>
          </w:p>
        </w:tc>
        <w:tc>
          <w:tcPr>
            <w:tcW w:w="1398" w:type="dxa"/>
            <w:noWrap/>
            <w:vAlign w:val="center"/>
          </w:tcPr>
          <w:p w14:paraId="02B4DAE2">
            <w:pPr>
              <w:pStyle w:val="41"/>
              <w:rPr>
                <w:color w:val="auto"/>
                <w:highlight w:val="none"/>
              </w:rPr>
            </w:pPr>
            <w:r>
              <w:rPr>
                <w:color w:val="auto"/>
                <w:highlight w:val="none"/>
              </w:rPr>
              <w:t>0.020178</w:t>
            </w:r>
          </w:p>
        </w:tc>
        <w:tc>
          <w:tcPr>
            <w:tcW w:w="872" w:type="dxa"/>
            <w:noWrap/>
            <w:vAlign w:val="center"/>
          </w:tcPr>
          <w:p w14:paraId="6F3DB138">
            <w:pPr>
              <w:pStyle w:val="41"/>
              <w:rPr>
                <w:color w:val="auto"/>
                <w:highlight w:val="none"/>
              </w:rPr>
            </w:pPr>
            <w:r>
              <w:rPr>
                <w:color w:val="auto"/>
                <w:highlight w:val="none"/>
              </w:rPr>
              <w:t>2.24</w:t>
            </w:r>
          </w:p>
        </w:tc>
      </w:tr>
      <w:tr w14:paraId="345627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0CC01FDF">
            <w:pPr>
              <w:pStyle w:val="41"/>
              <w:rPr>
                <w:color w:val="auto"/>
                <w:highlight w:val="none"/>
              </w:rPr>
            </w:pPr>
            <w:r>
              <w:rPr>
                <w:color w:val="auto"/>
                <w:highlight w:val="none"/>
              </w:rPr>
              <w:t>88</w:t>
            </w:r>
          </w:p>
        </w:tc>
        <w:tc>
          <w:tcPr>
            <w:tcW w:w="1254" w:type="dxa"/>
            <w:noWrap/>
            <w:vAlign w:val="center"/>
          </w:tcPr>
          <w:p w14:paraId="4193641C">
            <w:pPr>
              <w:pStyle w:val="41"/>
              <w:rPr>
                <w:color w:val="auto"/>
                <w:highlight w:val="none"/>
              </w:rPr>
            </w:pPr>
            <w:r>
              <w:rPr>
                <w:color w:val="auto"/>
                <w:highlight w:val="none"/>
              </w:rPr>
              <w:t>2150</w:t>
            </w:r>
          </w:p>
        </w:tc>
        <w:tc>
          <w:tcPr>
            <w:tcW w:w="1532" w:type="dxa"/>
            <w:noWrap/>
            <w:vAlign w:val="center"/>
          </w:tcPr>
          <w:p w14:paraId="4E74658E">
            <w:pPr>
              <w:pStyle w:val="41"/>
              <w:rPr>
                <w:color w:val="auto"/>
                <w:highlight w:val="none"/>
              </w:rPr>
            </w:pPr>
            <w:r>
              <w:rPr>
                <w:color w:val="auto"/>
                <w:highlight w:val="none"/>
              </w:rPr>
              <w:t>0.0155112</w:t>
            </w:r>
          </w:p>
        </w:tc>
        <w:tc>
          <w:tcPr>
            <w:tcW w:w="946" w:type="dxa"/>
            <w:noWrap/>
            <w:vAlign w:val="center"/>
          </w:tcPr>
          <w:p w14:paraId="6268DB31">
            <w:pPr>
              <w:pStyle w:val="41"/>
              <w:rPr>
                <w:color w:val="auto"/>
                <w:highlight w:val="none"/>
              </w:rPr>
            </w:pPr>
            <w:r>
              <w:rPr>
                <w:color w:val="auto"/>
                <w:highlight w:val="none"/>
              </w:rPr>
              <w:t xml:space="preserve">1.72 </w:t>
            </w:r>
          </w:p>
        </w:tc>
        <w:tc>
          <w:tcPr>
            <w:tcW w:w="1398" w:type="dxa"/>
            <w:noWrap/>
            <w:vAlign w:val="center"/>
          </w:tcPr>
          <w:p w14:paraId="6BADC223">
            <w:pPr>
              <w:pStyle w:val="41"/>
              <w:rPr>
                <w:color w:val="auto"/>
                <w:highlight w:val="none"/>
              </w:rPr>
            </w:pPr>
            <w:r>
              <w:rPr>
                <w:color w:val="auto"/>
                <w:highlight w:val="none"/>
              </w:rPr>
              <w:t>0.020148</w:t>
            </w:r>
          </w:p>
        </w:tc>
        <w:tc>
          <w:tcPr>
            <w:tcW w:w="872" w:type="dxa"/>
            <w:noWrap/>
            <w:vAlign w:val="center"/>
          </w:tcPr>
          <w:p w14:paraId="03FDA2AB">
            <w:pPr>
              <w:pStyle w:val="41"/>
              <w:rPr>
                <w:color w:val="auto"/>
                <w:highlight w:val="none"/>
              </w:rPr>
            </w:pPr>
            <w:r>
              <w:rPr>
                <w:color w:val="auto"/>
                <w:highlight w:val="none"/>
              </w:rPr>
              <w:t>2.24</w:t>
            </w:r>
          </w:p>
        </w:tc>
      </w:tr>
      <w:tr w14:paraId="15AE18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683A2299">
            <w:pPr>
              <w:pStyle w:val="41"/>
              <w:rPr>
                <w:color w:val="auto"/>
                <w:highlight w:val="none"/>
              </w:rPr>
            </w:pPr>
            <w:r>
              <w:rPr>
                <w:color w:val="auto"/>
                <w:highlight w:val="none"/>
              </w:rPr>
              <w:t>89</w:t>
            </w:r>
          </w:p>
        </w:tc>
        <w:tc>
          <w:tcPr>
            <w:tcW w:w="1254" w:type="dxa"/>
            <w:noWrap/>
            <w:vAlign w:val="center"/>
          </w:tcPr>
          <w:p w14:paraId="194E37C1">
            <w:pPr>
              <w:pStyle w:val="41"/>
              <w:rPr>
                <w:color w:val="auto"/>
                <w:highlight w:val="none"/>
              </w:rPr>
            </w:pPr>
            <w:r>
              <w:rPr>
                <w:color w:val="auto"/>
                <w:highlight w:val="none"/>
              </w:rPr>
              <w:t>2175</w:t>
            </w:r>
          </w:p>
        </w:tc>
        <w:tc>
          <w:tcPr>
            <w:tcW w:w="1532" w:type="dxa"/>
            <w:noWrap/>
            <w:vAlign w:val="center"/>
          </w:tcPr>
          <w:p w14:paraId="68BD975D">
            <w:pPr>
              <w:pStyle w:val="41"/>
              <w:rPr>
                <w:color w:val="auto"/>
                <w:highlight w:val="none"/>
              </w:rPr>
            </w:pPr>
            <w:r>
              <w:rPr>
                <w:color w:val="auto"/>
                <w:highlight w:val="none"/>
              </w:rPr>
              <w:t>0.0154288</w:t>
            </w:r>
          </w:p>
        </w:tc>
        <w:tc>
          <w:tcPr>
            <w:tcW w:w="946" w:type="dxa"/>
            <w:noWrap/>
            <w:vAlign w:val="center"/>
          </w:tcPr>
          <w:p w14:paraId="4C64CA16">
            <w:pPr>
              <w:pStyle w:val="41"/>
              <w:rPr>
                <w:color w:val="auto"/>
                <w:highlight w:val="none"/>
              </w:rPr>
            </w:pPr>
            <w:r>
              <w:rPr>
                <w:color w:val="auto"/>
                <w:highlight w:val="none"/>
              </w:rPr>
              <w:t xml:space="preserve">1.71 </w:t>
            </w:r>
          </w:p>
        </w:tc>
        <w:tc>
          <w:tcPr>
            <w:tcW w:w="1398" w:type="dxa"/>
            <w:noWrap/>
            <w:vAlign w:val="center"/>
          </w:tcPr>
          <w:p w14:paraId="51A99F22">
            <w:pPr>
              <w:pStyle w:val="41"/>
              <w:rPr>
                <w:color w:val="auto"/>
                <w:highlight w:val="none"/>
              </w:rPr>
            </w:pPr>
            <w:r>
              <w:rPr>
                <w:color w:val="auto"/>
                <w:highlight w:val="none"/>
              </w:rPr>
              <w:t>0.020117</w:t>
            </w:r>
          </w:p>
        </w:tc>
        <w:tc>
          <w:tcPr>
            <w:tcW w:w="872" w:type="dxa"/>
            <w:noWrap/>
            <w:vAlign w:val="center"/>
          </w:tcPr>
          <w:p w14:paraId="734ABFD4">
            <w:pPr>
              <w:pStyle w:val="41"/>
              <w:rPr>
                <w:color w:val="auto"/>
                <w:highlight w:val="none"/>
              </w:rPr>
            </w:pPr>
            <w:r>
              <w:rPr>
                <w:color w:val="auto"/>
                <w:highlight w:val="none"/>
              </w:rPr>
              <w:t>2.24</w:t>
            </w:r>
          </w:p>
        </w:tc>
      </w:tr>
      <w:tr w14:paraId="6CC4D7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52DFB9D2">
            <w:pPr>
              <w:pStyle w:val="41"/>
              <w:rPr>
                <w:color w:val="auto"/>
                <w:highlight w:val="none"/>
              </w:rPr>
            </w:pPr>
            <w:r>
              <w:rPr>
                <w:color w:val="auto"/>
                <w:highlight w:val="none"/>
              </w:rPr>
              <w:t>90</w:t>
            </w:r>
          </w:p>
        </w:tc>
        <w:tc>
          <w:tcPr>
            <w:tcW w:w="1254" w:type="dxa"/>
            <w:noWrap/>
            <w:vAlign w:val="center"/>
          </w:tcPr>
          <w:p w14:paraId="6BE88A59">
            <w:pPr>
              <w:pStyle w:val="41"/>
              <w:rPr>
                <w:color w:val="auto"/>
                <w:highlight w:val="none"/>
              </w:rPr>
            </w:pPr>
            <w:r>
              <w:rPr>
                <w:color w:val="auto"/>
                <w:highlight w:val="none"/>
              </w:rPr>
              <w:t>2200</w:t>
            </w:r>
          </w:p>
        </w:tc>
        <w:tc>
          <w:tcPr>
            <w:tcW w:w="1532" w:type="dxa"/>
            <w:noWrap/>
            <w:vAlign w:val="center"/>
          </w:tcPr>
          <w:p w14:paraId="53106919">
            <w:pPr>
              <w:pStyle w:val="41"/>
              <w:rPr>
                <w:color w:val="auto"/>
                <w:highlight w:val="none"/>
              </w:rPr>
            </w:pPr>
            <w:r>
              <w:rPr>
                <w:color w:val="auto"/>
                <w:highlight w:val="none"/>
              </w:rPr>
              <w:t>0.015348</w:t>
            </w:r>
          </w:p>
        </w:tc>
        <w:tc>
          <w:tcPr>
            <w:tcW w:w="946" w:type="dxa"/>
            <w:noWrap/>
            <w:vAlign w:val="center"/>
          </w:tcPr>
          <w:p w14:paraId="379CCC29">
            <w:pPr>
              <w:pStyle w:val="41"/>
              <w:rPr>
                <w:color w:val="auto"/>
                <w:highlight w:val="none"/>
              </w:rPr>
            </w:pPr>
            <w:r>
              <w:rPr>
                <w:color w:val="auto"/>
                <w:highlight w:val="none"/>
              </w:rPr>
              <w:t xml:space="preserve">1.70 </w:t>
            </w:r>
          </w:p>
        </w:tc>
        <w:tc>
          <w:tcPr>
            <w:tcW w:w="1398" w:type="dxa"/>
            <w:noWrap/>
            <w:vAlign w:val="center"/>
          </w:tcPr>
          <w:p w14:paraId="1550FFD6">
            <w:pPr>
              <w:pStyle w:val="41"/>
              <w:rPr>
                <w:color w:val="auto"/>
                <w:highlight w:val="none"/>
              </w:rPr>
            </w:pPr>
            <w:r>
              <w:rPr>
                <w:color w:val="auto"/>
                <w:highlight w:val="none"/>
              </w:rPr>
              <w:t>0.020087</w:t>
            </w:r>
          </w:p>
        </w:tc>
        <w:tc>
          <w:tcPr>
            <w:tcW w:w="872" w:type="dxa"/>
            <w:noWrap/>
            <w:vAlign w:val="center"/>
          </w:tcPr>
          <w:p w14:paraId="5F737E65">
            <w:pPr>
              <w:pStyle w:val="41"/>
              <w:rPr>
                <w:color w:val="auto"/>
                <w:highlight w:val="none"/>
              </w:rPr>
            </w:pPr>
            <w:r>
              <w:rPr>
                <w:color w:val="auto"/>
                <w:highlight w:val="none"/>
              </w:rPr>
              <w:t>2.23</w:t>
            </w:r>
          </w:p>
        </w:tc>
      </w:tr>
      <w:tr w14:paraId="4CD68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5695287A">
            <w:pPr>
              <w:pStyle w:val="41"/>
              <w:rPr>
                <w:color w:val="auto"/>
                <w:highlight w:val="none"/>
              </w:rPr>
            </w:pPr>
            <w:r>
              <w:rPr>
                <w:color w:val="auto"/>
                <w:highlight w:val="none"/>
              </w:rPr>
              <w:t>91</w:t>
            </w:r>
          </w:p>
        </w:tc>
        <w:tc>
          <w:tcPr>
            <w:tcW w:w="1254" w:type="dxa"/>
            <w:noWrap/>
            <w:vAlign w:val="center"/>
          </w:tcPr>
          <w:p w14:paraId="333EC0CA">
            <w:pPr>
              <w:pStyle w:val="41"/>
              <w:rPr>
                <w:color w:val="auto"/>
                <w:highlight w:val="none"/>
              </w:rPr>
            </w:pPr>
            <w:r>
              <w:rPr>
                <w:color w:val="auto"/>
                <w:highlight w:val="none"/>
              </w:rPr>
              <w:t>2225</w:t>
            </w:r>
          </w:p>
        </w:tc>
        <w:tc>
          <w:tcPr>
            <w:tcW w:w="1532" w:type="dxa"/>
            <w:noWrap/>
            <w:vAlign w:val="center"/>
          </w:tcPr>
          <w:p w14:paraId="0976D183">
            <w:pPr>
              <w:pStyle w:val="41"/>
              <w:rPr>
                <w:color w:val="auto"/>
                <w:highlight w:val="none"/>
              </w:rPr>
            </w:pPr>
            <w:r>
              <w:rPr>
                <w:color w:val="auto"/>
                <w:highlight w:val="none"/>
              </w:rPr>
              <w:t>0.0152672</w:t>
            </w:r>
          </w:p>
        </w:tc>
        <w:tc>
          <w:tcPr>
            <w:tcW w:w="946" w:type="dxa"/>
            <w:noWrap/>
            <w:vAlign w:val="center"/>
          </w:tcPr>
          <w:p w14:paraId="2E50570C">
            <w:pPr>
              <w:pStyle w:val="41"/>
              <w:rPr>
                <w:color w:val="auto"/>
                <w:highlight w:val="none"/>
              </w:rPr>
            </w:pPr>
            <w:r>
              <w:rPr>
                <w:color w:val="auto"/>
                <w:highlight w:val="none"/>
              </w:rPr>
              <w:t xml:space="preserve">1.70 </w:t>
            </w:r>
          </w:p>
        </w:tc>
        <w:tc>
          <w:tcPr>
            <w:tcW w:w="1398" w:type="dxa"/>
            <w:noWrap/>
            <w:vAlign w:val="center"/>
          </w:tcPr>
          <w:p w14:paraId="5B2833A3">
            <w:pPr>
              <w:pStyle w:val="41"/>
              <w:rPr>
                <w:color w:val="auto"/>
                <w:highlight w:val="none"/>
              </w:rPr>
            </w:pPr>
            <w:r>
              <w:rPr>
                <w:color w:val="auto"/>
                <w:highlight w:val="none"/>
              </w:rPr>
              <w:t>0.020057</w:t>
            </w:r>
          </w:p>
        </w:tc>
        <w:tc>
          <w:tcPr>
            <w:tcW w:w="872" w:type="dxa"/>
            <w:noWrap/>
            <w:vAlign w:val="center"/>
          </w:tcPr>
          <w:p w14:paraId="3051CA9C">
            <w:pPr>
              <w:pStyle w:val="41"/>
              <w:rPr>
                <w:color w:val="auto"/>
                <w:highlight w:val="none"/>
              </w:rPr>
            </w:pPr>
            <w:r>
              <w:rPr>
                <w:color w:val="auto"/>
                <w:highlight w:val="none"/>
              </w:rPr>
              <w:t>2.23</w:t>
            </w:r>
          </w:p>
        </w:tc>
      </w:tr>
      <w:tr w14:paraId="4B85E0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5CFAA4E5">
            <w:pPr>
              <w:pStyle w:val="41"/>
              <w:rPr>
                <w:color w:val="auto"/>
                <w:highlight w:val="none"/>
              </w:rPr>
            </w:pPr>
            <w:r>
              <w:rPr>
                <w:color w:val="auto"/>
                <w:highlight w:val="none"/>
              </w:rPr>
              <w:t>92</w:t>
            </w:r>
          </w:p>
        </w:tc>
        <w:tc>
          <w:tcPr>
            <w:tcW w:w="1254" w:type="dxa"/>
            <w:noWrap/>
            <w:vAlign w:val="center"/>
          </w:tcPr>
          <w:p w14:paraId="1694C88D">
            <w:pPr>
              <w:pStyle w:val="41"/>
              <w:rPr>
                <w:color w:val="auto"/>
                <w:highlight w:val="none"/>
              </w:rPr>
            </w:pPr>
            <w:r>
              <w:rPr>
                <w:color w:val="auto"/>
                <w:highlight w:val="none"/>
              </w:rPr>
              <w:t>2250</w:t>
            </w:r>
          </w:p>
        </w:tc>
        <w:tc>
          <w:tcPr>
            <w:tcW w:w="1532" w:type="dxa"/>
            <w:noWrap/>
            <w:vAlign w:val="center"/>
          </w:tcPr>
          <w:p w14:paraId="64DE7727">
            <w:pPr>
              <w:pStyle w:val="41"/>
              <w:rPr>
                <w:color w:val="auto"/>
                <w:highlight w:val="none"/>
              </w:rPr>
            </w:pPr>
            <w:r>
              <w:rPr>
                <w:color w:val="auto"/>
                <w:highlight w:val="none"/>
              </w:rPr>
              <w:t>0.015188</w:t>
            </w:r>
          </w:p>
        </w:tc>
        <w:tc>
          <w:tcPr>
            <w:tcW w:w="946" w:type="dxa"/>
            <w:noWrap/>
            <w:vAlign w:val="center"/>
          </w:tcPr>
          <w:p w14:paraId="458DFA45">
            <w:pPr>
              <w:pStyle w:val="41"/>
              <w:rPr>
                <w:color w:val="auto"/>
                <w:highlight w:val="none"/>
              </w:rPr>
            </w:pPr>
            <w:r>
              <w:rPr>
                <w:color w:val="auto"/>
                <w:highlight w:val="none"/>
              </w:rPr>
              <w:t xml:space="preserve">1.69 </w:t>
            </w:r>
          </w:p>
        </w:tc>
        <w:tc>
          <w:tcPr>
            <w:tcW w:w="1398" w:type="dxa"/>
            <w:noWrap/>
            <w:vAlign w:val="center"/>
          </w:tcPr>
          <w:p w14:paraId="72C70081">
            <w:pPr>
              <w:pStyle w:val="41"/>
              <w:rPr>
                <w:color w:val="auto"/>
                <w:highlight w:val="none"/>
              </w:rPr>
            </w:pPr>
            <w:r>
              <w:rPr>
                <w:color w:val="auto"/>
                <w:highlight w:val="none"/>
              </w:rPr>
              <w:t>0.020023</w:t>
            </w:r>
          </w:p>
        </w:tc>
        <w:tc>
          <w:tcPr>
            <w:tcW w:w="872" w:type="dxa"/>
            <w:noWrap/>
            <w:vAlign w:val="center"/>
          </w:tcPr>
          <w:p w14:paraId="576B5417">
            <w:pPr>
              <w:pStyle w:val="41"/>
              <w:rPr>
                <w:color w:val="auto"/>
                <w:highlight w:val="none"/>
              </w:rPr>
            </w:pPr>
            <w:r>
              <w:rPr>
                <w:color w:val="auto"/>
                <w:highlight w:val="none"/>
              </w:rPr>
              <w:t>2.22</w:t>
            </w:r>
          </w:p>
        </w:tc>
      </w:tr>
      <w:tr w14:paraId="12DAC8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6A094362">
            <w:pPr>
              <w:pStyle w:val="41"/>
              <w:rPr>
                <w:color w:val="auto"/>
                <w:highlight w:val="none"/>
              </w:rPr>
            </w:pPr>
            <w:r>
              <w:rPr>
                <w:color w:val="auto"/>
                <w:highlight w:val="none"/>
              </w:rPr>
              <w:t>93</w:t>
            </w:r>
          </w:p>
        </w:tc>
        <w:tc>
          <w:tcPr>
            <w:tcW w:w="1254" w:type="dxa"/>
            <w:noWrap/>
            <w:vAlign w:val="center"/>
          </w:tcPr>
          <w:p w14:paraId="006AEE15">
            <w:pPr>
              <w:pStyle w:val="41"/>
              <w:rPr>
                <w:color w:val="auto"/>
                <w:highlight w:val="none"/>
              </w:rPr>
            </w:pPr>
            <w:r>
              <w:rPr>
                <w:color w:val="auto"/>
                <w:highlight w:val="none"/>
              </w:rPr>
              <w:t>2275</w:t>
            </w:r>
          </w:p>
        </w:tc>
        <w:tc>
          <w:tcPr>
            <w:tcW w:w="1532" w:type="dxa"/>
            <w:noWrap/>
            <w:vAlign w:val="center"/>
          </w:tcPr>
          <w:p w14:paraId="213C4930">
            <w:pPr>
              <w:pStyle w:val="41"/>
              <w:rPr>
                <w:color w:val="auto"/>
                <w:highlight w:val="none"/>
              </w:rPr>
            </w:pPr>
            <w:r>
              <w:rPr>
                <w:color w:val="auto"/>
                <w:highlight w:val="none"/>
              </w:rPr>
              <w:t>0.0151088</w:t>
            </w:r>
          </w:p>
        </w:tc>
        <w:tc>
          <w:tcPr>
            <w:tcW w:w="946" w:type="dxa"/>
            <w:noWrap/>
            <w:vAlign w:val="center"/>
          </w:tcPr>
          <w:p w14:paraId="20D07AB3">
            <w:pPr>
              <w:pStyle w:val="41"/>
              <w:rPr>
                <w:color w:val="auto"/>
                <w:highlight w:val="none"/>
              </w:rPr>
            </w:pPr>
            <w:r>
              <w:rPr>
                <w:color w:val="auto"/>
                <w:highlight w:val="none"/>
              </w:rPr>
              <w:t xml:space="preserve">1.68 </w:t>
            </w:r>
          </w:p>
        </w:tc>
        <w:tc>
          <w:tcPr>
            <w:tcW w:w="1398" w:type="dxa"/>
            <w:noWrap/>
            <w:vAlign w:val="center"/>
          </w:tcPr>
          <w:p w14:paraId="78FFF636">
            <w:pPr>
              <w:pStyle w:val="41"/>
              <w:rPr>
                <w:color w:val="auto"/>
                <w:highlight w:val="none"/>
              </w:rPr>
            </w:pPr>
            <w:r>
              <w:rPr>
                <w:color w:val="auto"/>
                <w:highlight w:val="none"/>
              </w:rPr>
              <w:t>0.019986</w:t>
            </w:r>
          </w:p>
        </w:tc>
        <w:tc>
          <w:tcPr>
            <w:tcW w:w="872" w:type="dxa"/>
            <w:noWrap/>
            <w:vAlign w:val="center"/>
          </w:tcPr>
          <w:p w14:paraId="0E955B43">
            <w:pPr>
              <w:pStyle w:val="41"/>
              <w:rPr>
                <w:color w:val="auto"/>
                <w:highlight w:val="none"/>
              </w:rPr>
            </w:pPr>
            <w:r>
              <w:rPr>
                <w:color w:val="auto"/>
                <w:highlight w:val="none"/>
              </w:rPr>
              <w:t>2.22</w:t>
            </w:r>
          </w:p>
        </w:tc>
      </w:tr>
      <w:tr w14:paraId="140930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6E5AC652">
            <w:pPr>
              <w:pStyle w:val="41"/>
              <w:rPr>
                <w:color w:val="auto"/>
                <w:highlight w:val="none"/>
              </w:rPr>
            </w:pPr>
            <w:r>
              <w:rPr>
                <w:color w:val="auto"/>
                <w:highlight w:val="none"/>
              </w:rPr>
              <w:t>94</w:t>
            </w:r>
          </w:p>
        </w:tc>
        <w:tc>
          <w:tcPr>
            <w:tcW w:w="1254" w:type="dxa"/>
            <w:noWrap/>
            <w:vAlign w:val="center"/>
          </w:tcPr>
          <w:p w14:paraId="2B7727A9">
            <w:pPr>
              <w:pStyle w:val="41"/>
              <w:rPr>
                <w:color w:val="auto"/>
                <w:highlight w:val="none"/>
              </w:rPr>
            </w:pPr>
            <w:r>
              <w:rPr>
                <w:color w:val="auto"/>
                <w:highlight w:val="none"/>
              </w:rPr>
              <w:t>2300</w:t>
            </w:r>
          </w:p>
        </w:tc>
        <w:tc>
          <w:tcPr>
            <w:tcW w:w="1532" w:type="dxa"/>
            <w:noWrap/>
            <w:vAlign w:val="center"/>
          </w:tcPr>
          <w:p w14:paraId="15393937">
            <w:pPr>
              <w:pStyle w:val="41"/>
              <w:rPr>
                <w:color w:val="auto"/>
                <w:highlight w:val="none"/>
              </w:rPr>
            </w:pPr>
            <w:r>
              <w:rPr>
                <w:color w:val="auto"/>
                <w:highlight w:val="none"/>
              </w:rPr>
              <w:t>0.0150312</w:t>
            </w:r>
          </w:p>
        </w:tc>
        <w:tc>
          <w:tcPr>
            <w:tcW w:w="946" w:type="dxa"/>
            <w:noWrap/>
            <w:vAlign w:val="center"/>
          </w:tcPr>
          <w:p w14:paraId="4F54BD02">
            <w:pPr>
              <w:pStyle w:val="41"/>
              <w:rPr>
                <w:color w:val="auto"/>
                <w:highlight w:val="none"/>
              </w:rPr>
            </w:pPr>
            <w:r>
              <w:rPr>
                <w:color w:val="auto"/>
                <w:highlight w:val="none"/>
              </w:rPr>
              <w:t xml:space="preserve">1.67 </w:t>
            </w:r>
          </w:p>
        </w:tc>
        <w:tc>
          <w:tcPr>
            <w:tcW w:w="1398" w:type="dxa"/>
            <w:noWrap/>
            <w:vAlign w:val="center"/>
          </w:tcPr>
          <w:p w14:paraId="00E3E141">
            <w:pPr>
              <w:pStyle w:val="41"/>
              <w:rPr>
                <w:color w:val="auto"/>
                <w:highlight w:val="none"/>
              </w:rPr>
            </w:pPr>
            <w:r>
              <w:rPr>
                <w:color w:val="auto"/>
                <w:highlight w:val="none"/>
              </w:rPr>
              <w:t>0.01995</w:t>
            </w:r>
          </w:p>
        </w:tc>
        <w:tc>
          <w:tcPr>
            <w:tcW w:w="872" w:type="dxa"/>
            <w:noWrap/>
            <w:vAlign w:val="center"/>
          </w:tcPr>
          <w:p w14:paraId="414520D4">
            <w:pPr>
              <w:pStyle w:val="41"/>
              <w:rPr>
                <w:color w:val="auto"/>
                <w:highlight w:val="none"/>
              </w:rPr>
            </w:pPr>
            <w:r>
              <w:rPr>
                <w:color w:val="auto"/>
                <w:highlight w:val="none"/>
              </w:rPr>
              <w:t>2.22</w:t>
            </w:r>
          </w:p>
        </w:tc>
      </w:tr>
      <w:tr w14:paraId="62E76E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3FA68CC0">
            <w:pPr>
              <w:pStyle w:val="41"/>
              <w:rPr>
                <w:color w:val="auto"/>
                <w:highlight w:val="none"/>
              </w:rPr>
            </w:pPr>
            <w:r>
              <w:rPr>
                <w:color w:val="auto"/>
                <w:highlight w:val="none"/>
              </w:rPr>
              <w:t>95</w:t>
            </w:r>
          </w:p>
        </w:tc>
        <w:tc>
          <w:tcPr>
            <w:tcW w:w="1254" w:type="dxa"/>
            <w:noWrap/>
            <w:vAlign w:val="center"/>
          </w:tcPr>
          <w:p w14:paraId="7372725F">
            <w:pPr>
              <w:pStyle w:val="41"/>
              <w:rPr>
                <w:color w:val="auto"/>
                <w:highlight w:val="none"/>
              </w:rPr>
            </w:pPr>
            <w:r>
              <w:rPr>
                <w:color w:val="auto"/>
                <w:highlight w:val="none"/>
              </w:rPr>
              <w:t>2325</w:t>
            </w:r>
          </w:p>
        </w:tc>
        <w:tc>
          <w:tcPr>
            <w:tcW w:w="1532" w:type="dxa"/>
            <w:noWrap/>
            <w:vAlign w:val="center"/>
          </w:tcPr>
          <w:p w14:paraId="089A9170">
            <w:pPr>
              <w:pStyle w:val="41"/>
              <w:rPr>
                <w:color w:val="auto"/>
                <w:highlight w:val="none"/>
              </w:rPr>
            </w:pPr>
            <w:r>
              <w:rPr>
                <w:color w:val="auto"/>
                <w:highlight w:val="none"/>
              </w:rPr>
              <w:t>0.0149544</w:t>
            </w:r>
          </w:p>
        </w:tc>
        <w:tc>
          <w:tcPr>
            <w:tcW w:w="946" w:type="dxa"/>
            <w:noWrap/>
            <w:vAlign w:val="center"/>
          </w:tcPr>
          <w:p w14:paraId="2CCA30F5">
            <w:pPr>
              <w:pStyle w:val="41"/>
              <w:rPr>
                <w:color w:val="auto"/>
                <w:highlight w:val="none"/>
              </w:rPr>
            </w:pPr>
            <w:r>
              <w:rPr>
                <w:color w:val="auto"/>
                <w:highlight w:val="none"/>
              </w:rPr>
              <w:t xml:space="preserve">1.66 </w:t>
            </w:r>
          </w:p>
        </w:tc>
        <w:tc>
          <w:tcPr>
            <w:tcW w:w="1398" w:type="dxa"/>
            <w:noWrap/>
            <w:vAlign w:val="center"/>
          </w:tcPr>
          <w:p w14:paraId="63C4F47A">
            <w:pPr>
              <w:pStyle w:val="41"/>
              <w:rPr>
                <w:color w:val="auto"/>
                <w:highlight w:val="none"/>
              </w:rPr>
            </w:pPr>
            <w:r>
              <w:rPr>
                <w:color w:val="auto"/>
                <w:highlight w:val="none"/>
              </w:rPr>
              <w:t>0.01991</w:t>
            </w:r>
          </w:p>
        </w:tc>
        <w:tc>
          <w:tcPr>
            <w:tcW w:w="872" w:type="dxa"/>
            <w:noWrap/>
            <w:vAlign w:val="center"/>
          </w:tcPr>
          <w:p w14:paraId="15E3E57B">
            <w:pPr>
              <w:pStyle w:val="41"/>
              <w:rPr>
                <w:color w:val="auto"/>
                <w:highlight w:val="none"/>
              </w:rPr>
            </w:pPr>
            <w:r>
              <w:rPr>
                <w:color w:val="auto"/>
                <w:highlight w:val="none"/>
              </w:rPr>
              <w:t>2.21</w:t>
            </w:r>
          </w:p>
        </w:tc>
      </w:tr>
      <w:tr w14:paraId="046D33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63874E5C">
            <w:pPr>
              <w:pStyle w:val="41"/>
              <w:rPr>
                <w:color w:val="auto"/>
                <w:highlight w:val="none"/>
              </w:rPr>
            </w:pPr>
            <w:r>
              <w:rPr>
                <w:color w:val="auto"/>
                <w:highlight w:val="none"/>
              </w:rPr>
              <w:t>96</w:t>
            </w:r>
          </w:p>
        </w:tc>
        <w:tc>
          <w:tcPr>
            <w:tcW w:w="1254" w:type="dxa"/>
            <w:noWrap/>
            <w:vAlign w:val="center"/>
          </w:tcPr>
          <w:p w14:paraId="58D61728">
            <w:pPr>
              <w:pStyle w:val="41"/>
              <w:rPr>
                <w:color w:val="auto"/>
                <w:highlight w:val="none"/>
              </w:rPr>
            </w:pPr>
            <w:r>
              <w:rPr>
                <w:color w:val="auto"/>
                <w:highlight w:val="none"/>
              </w:rPr>
              <w:t>2350</w:t>
            </w:r>
          </w:p>
        </w:tc>
        <w:tc>
          <w:tcPr>
            <w:tcW w:w="1532" w:type="dxa"/>
            <w:noWrap/>
            <w:vAlign w:val="center"/>
          </w:tcPr>
          <w:p w14:paraId="28433D6A">
            <w:pPr>
              <w:pStyle w:val="41"/>
              <w:rPr>
                <w:color w:val="auto"/>
                <w:highlight w:val="none"/>
              </w:rPr>
            </w:pPr>
            <w:r>
              <w:rPr>
                <w:color w:val="auto"/>
                <w:highlight w:val="none"/>
              </w:rPr>
              <w:t>0.0148776</w:t>
            </w:r>
          </w:p>
        </w:tc>
        <w:tc>
          <w:tcPr>
            <w:tcW w:w="946" w:type="dxa"/>
            <w:noWrap/>
            <w:vAlign w:val="center"/>
          </w:tcPr>
          <w:p w14:paraId="3697C3DB">
            <w:pPr>
              <w:pStyle w:val="41"/>
              <w:rPr>
                <w:color w:val="auto"/>
                <w:highlight w:val="none"/>
              </w:rPr>
            </w:pPr>
            <w:r>
              <w:rPr>
                <w:color w:val="auto"/>
                <w:highlight w:val="none"/>
              </w:rPr>
              <w:t xml:space="preserve">1.66 </w:t>
            </w:r>
          </w:p>
        </w:tc>
        <w:tc>
          <w:tcPr>
            <w:tcW w:w="1398" w:type="dxa"/>
            <w:noWrap/>
            <w:vAlign w:val="center"/>
          </w:tcPr>
          <w:p w14:paraId="774172CF">
            <w:pPr>
              <w:pStyle w:val="41"/>
              <w:rPr>
                <w:color w:val="auto"/>
                <w:highlight w:val="none"/>
              </w:rPr>
            </w:pPr>
            <w:r>
              <w:rPr>
                <w:color w:val="auto"/>
                <w:highlight w:val="none"/>
              </w:rPr>
              <w:t>0.019869</w:t>
            </w:r>
          </w:p>
        </w:tc>
        <w:tc>
          <w:tcPr>
            <w:tcW w:w="872" w:type="dxa"/>
            <w:noWrap/>
            <w:vAlign w:val="center"/>
          </w:tcPr>
          <w:p w14:paraId="24DE6FA1">
            <w:pPr>
              <w:pStyle w:val="41"/>
              <w:rPr>
                <w:color w:val="auto"/>
                <w:highlight w:val="none"/>
              </w:rPr>
            </w:pPr>
            <w:r>
              <w:rPr>
                <w:color w:val="auto"/>
                <w:highlight w:val="none"/>
              </w:rPr>
              <w:t>2.21</w:t>
            </w:r>
          </w:p>
        </w:tc>
      </w:tr>
      <w:tr w14:paraId="65939E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6C6B0D28">
            <w:pPr>
              <w:pStyle w:val="41"/>
              <w:rPr>
                <w:color w:val="auto"/>
                <w:highlight w:val="none"/>
              </w:rPr>
            </w:pPr>
            <w:r>
              <w:rPr>
                <w:color w:val="auto"/>
                <w:highlight w:val="none"/>
              </w:rPr>
              <w:t>97</w:t>
            </w:r>
          </w:p>
        </w:tc>
        <w:tc>
          <w:tcPr>
            <w:tcW w:w="1254" w:type="dxa"/>
            <w:noWrap/>
            <w:vAlign w:val="center"/>
          </w:tcPr>
          <w:p w14:paraId="61E4A500">
            <w:pPr>
              <w:pStyle w:val="41"/>
              <w:rPr>
                <w:color w:val="auto"/>
                <w:highlight w:val="none"/>
              </w:rPr>
            </w:pPr>
            <w:r>
              <w:rPr>
                <w:color w:val="auto"/>
                <w:highlight w:val="none"/>
              </w:rPr>
              <w:t>2375</w:t>
            </w:r>
          </w:p>
        </w:tc>
        <w:tc>
          <w:tcPr>
            <w:tcW w:w="1532" w:type="dxa"/>
            <w:noWrap/>
            <w:vAlign w:val="center"/>
          </w:tcPr>
          <w:p w14:paraId="1B9AD961">
            <w:pPr>
              <w:pStyle w:val="41"/>
              <w:rPr>
                <w:color w:val="auto"/>
                <w:highlight w:val="none"/>
              </w:rPr>
            </w:pPr>
            <w:r>
              <w:rPr>
                <w:color w:val="auto"/>
                <w:highlight w:val="none"/>
              </w:rPr>
              <w:t>0.0148024</w:t>
            </w:r>
          </w:p>
        </w:tc>
        <w:tc>
          <w:tcPr>
            <w:tcW w:w="946" w:type="dxa"/>
            <w:noWrap/>
            <w:vAlign w:val="center"/>
          </w:tcPr>
          <w:p w14:paraId="1E9212B1">
            <w:pPr>
              <w:pStyle w:val="41"/>
              <w:rPr>
                <w:color w:val="auto"/>
                <w:highlight w:val="none"/>
              </w:rPr>
            </w:pPr>
            <w:r>
              <w:rPr>
                <w:color w:val="auto"/>
                <w:highlight w:val="none"/>
              </w:rPr>
              <w:t xml:space="preserve">1.65 </w:t>
            </w:r>
          </w:p>
        </w:tc>
        <w:tc>
          <w:tcPr>
            <w:tcW w:w="1398" w:type="dxa"/>
            <w:noWrap/>
            <w:vAlign w:val="center"/>
          </w:tcPr>
          <w:p w14:paraId="64E3C978">
            <w:pPr>
              <w:pStyle w:val="41"/>
              <w:rPr>
                <w:color w:val="auto"/>
                <w:highlight w:val="none"/>
              </w:rPr>
            </w:pPr>
            <w:r>
              <w:rPr>
                <w:color w:val="auto"/>
                <w:highlight w:val="none"/>
              </w:rPr>
              <w:t>0.019828</w:t>
            </w:r>
          </w:p>
        </w:tc>
        <w:tc>
          <w:tcPr>
            <w:tcW w:w="872" w:type="dxa"/>
            <w:noWrap/>
            <w:vAlign w:val="center"/>
          </w:tcPr>
          <w:p w14:paraId="11B4F124">
            <w:pPr>
              <w:pStyle w:val="41"/>
              <w:rPr>
                <w:color w:val="auto"/>
                <w:highlight w:val="none"/>
              </w:rPr>
            </w:pPr>
            <w:r>
              <w:rPr>
                <w:color w:val="auto"/>
                <w:highlight w:val="none"/>
              </w:rPr>
              <w:t>2.2</w:t>
            </w:r>
          </w:p>
        </w:tc>
      </w:tr>
      <w:tr w14:paraId="6741A0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6B4055E5">
            <w:pPr>
              <w:pStyle w:val="41"/>
              <w:rPr>
                <w:color w:val="auto"/>
                <w:highlight w:val="none"/>
              </w:rPr>
            </w:pPr>
            <w:r>
              <w:rPr>
                <w:color w:val="auto"/>
                <w:highlight w:val="none"/>
              </w:rPr>
              <w:t>98</w:t>
            </w:r>
          </w:p>
        </w:tc>
        <w:tc>
          <w:tcPr>
            <w:tcW w:w="1254" w:type="dxa"/>
            <w:noWrap/>
            <w:vAlign w:val="center"/>
          </w:tcPr>
          <w:p w14:paraId="1E2C2535">
            <w:pPr>
              <w:pStyle w:val="41"/>
              <w:rPr>
                <w:color w:val="auto"/>
                <w:highlight w:val="none"/>
              </w:rPr>
            </w:pPr>
            <w:r>
              <w:rPr>
                <w:color w:val="auto"/>
                <w:highlight w:val="none"/>
              </w:rPr>
              <w:t>2400</w:t>
            </w:r>
          </w:p>
        </w:tc>
        <w:tc>
          <w:tcPr>
            <w:tcW w:w="1532" w:type="dxa"/>
            <w:noWrap/>
            <w:vAlign w:val="center"/>
          </w:tcPr>
          <w:p w14:paraId="1E9C3534">
            <w:pPr>
              <w:pStyle w:val="41"/>
              <w:rPr>
                <w:color w:val="auto"/>
                <w:highlight w:val="none"/>
              </w:rPr>
            </w:pPr>
            <w:r>
              <w:rPr>
                <w:color w:val="auto"/>
                <w:highlight w:val="none"/>
              </w:rPr>
              <w:t>0.0147272</w:t>
            </w:r>
          </w:p>
        </w:tc>
        <w:tc>
          <w:tcPr>
            <w:tcW w:w="946" w:type="dxa"/>
            <w:noWrap/>
            <w:vAlign w:val="center"/>
          </w:tcPr>
          <w:p w14:paraId="69B1C249">
            <w:pPr>
              <w:pStyle w:val="41"/>
              <w:rPr>
                <w:color w:val="auto"/>
                <w:highlight w:val="none"/>
              </w:rPr>
            </w:pPr>
            <w:r>
              <w:rPr>
                <w:color w:val="auto"/>
                <w:highlight w:val="none"/>
              </w:rPr>
              <w:t xml:space="preserve">1.64 </w:t>
            </w:r>
          </w:p>
        </w:tc>
        <w:tc>
          <w:tcPr>
            <w:tcW w:w="1398" w:type="dxa"/>
            <w:noWrap/>
            <w:vAlign w:val="center"/>
          </w:tcPr>
          <w:p w14:paraId="637765C6">
            <w:pPr>
              <w:pStyle w:val="41"/>
              <w:rPr>
                <w:color w:val="auto"/>
                <w:highlight w:val="none"/>
              </w:rPr>
            </w:pPr>
            <w:r>
              <w:rPr>
                <w:color w:val="auto"/>
                <w:highlight w:val="none"/>
              </w:rPr>
              <w:t>0.019788</w:t>
            </w:r>
          </w:p>
        </w:tc>
        <w:tc>
          <w:tcPr>
            <w:tcW w:w="872" w:type="dxa"/>
            <w:noWrap/>
            <w:vAlign w:val="center"/>
          </w:tcPr>
          <w:p w14:paraId="76885569">
            <w:pPr>
              <w:pStyle w:val="41"/>
              <w:rPr>
                <w:color w:val="auto"/>
                <w:highlight w:val="none"/>
              </w:rPr>
            </w:pPr>
            <w:r>
              <w:rPr>
                <w:color w:val="auto"/>
                <w:highlight w:val="none"/>
              </w:rPr>
              <w:t>2.2</w:t>
            </w:r>
          </w:p>
        </w:tc>
      </w:tr>
      <w:tr w14:paraId="34E85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5BB12BE8">
            <w:pPr>
              <w:pStyle w:val="41"/>
              <w:rPr>
                <w:color w:val="auto"/>
                <w:highlight w:val="none"/>
              </w:rPr>
            </w:pPr>
            <w:r>
              <w:rPr>
                <w:color w:val="auto"/>
                <w:highlight w:val="none"/>
              </w:rPr>
              <w:t>99</w:t>
            </w:r>
          </w:p>
        </w:tc>
        <w:tc>
          <w:tcPr>
            <w:tcW w:w="1254" w:type="dxa"/>
            <w:noWrap/>
            <w:vAlign w:val="center"/>
          </w:tcPr>
          <w:p w14:paraId="36EE3840">
            <w:pPr>
              <w:pStyle w:val="41"/>
              <w:rPr>
                <w:color w:val="auto"/>
                <w:highlight w:val="none"/>
              </w:rPr>
            </w:pPr>
            <w:r>
              <w:rPr>
                <w:color w:val="auto"/>
                <w:highlight w:val="none"/>
              </w:rPr>
              <w:t>2425</w:t>
            </w:r>
          </w:p>
        </w:tc>
        <w:tc>
          <w:tcPr>
            <w:tcW w:w="1532" w:type="dxa"/>
            <w:noWrap/>
            <w:vAlign w:val="center"/>
          </w:tcPr>
          <w:p w14:paraId="6BF0C856">
            <w:pPr>
              <w:pStyle w:val="41"/>
              <w:rPr>
                <w:color w:val="auto"/>
                <w:highlight w:val="none"/>
              </w:rPr>
            </w:pPr>
            <w:r>
              <w:rPr>
                <w:color w:val="auto"/>
                <w:highlight w:val="none"/>
              </w:rPr>
              <w:t>0.0146536</w:t>
            </w:r>
          </w:p>
        </w:tc>
        <w:tc>
          <w:tcPr>
            <w:tcW w:w="946" w:type="dxa"/>
            <w:noWrap/>
            <w:vAlign w:val="center"/>
          </w:tcPr>
          <w:p w14:paraId="0F428A53">
            <w:pPr>
              <w:pStyle w:val="41"/>
              <w:rPr>
                <w:color w:val="auto"/>
                <w:highlight w:val="none"/>
              </w:rPr>
            </w:pPr>
            <w:r>
              <w:rPr>
                <w:color w:val="auto"/>
                <w:highlight w:val="none"/>
              </w:rPr>
              <w:t xml:space="preserve">1.63 </w:t>
            </w:r>
          </w:p>
        </w:tc>
        <w:tc>
          <w:tcPr>
            <w:tcW w:w="1398" w:type="dxa"/>
            <w:noWrap/>
            <w:vAlign w:val="center"/>
          </w:tcPr>
          <w:p w14:paraId="06C14808">
            <w:pPr>
              <w:pStyle w:val="41"/>
              <w:rPr>
                <w:color w:val="auto"/>
                <w:highlight w:val="none"/>
              </w:rPr>
            </w:pPr>
            <w:r>
              <w:rPr>
                <w:color w:val="auto"/>
                <w:highlight w:val="none"/>
              </w:rPr>
              <w:t>0.019748</w:t>
            </w:r>
          </w:p>
        </w:tc>
        <w:tc>
          <w:tcPr>
            <w:tcW w:w="872" w:type="dxa"/>
            <w:noWrap/>
            <w:vAlign w:val="center"/>
          </w:tcPr>
          <w:p w14:paraId="3FF4FF06">
            <w:pPr>
              <w:pStyle w:val="41"/>
              <w:rPr>
                <w:color w:val="auto"/>
                <w:highlight w:val="none"/>
              </w:rPr>
            </w:pPr>
            <w:r>
              <w:rPr>
                <w:color w:val="auto"/>
                <w:highlight w:val="none"/>
              </w:rPr>
              <w:t>2.19</w:t>
            </w:r>
          </w:p>
        </w:tc>
      </w:tr>
      <w:tr w14:paraId="46F97B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4F96663C">
            <w:pPr>
              <w:pStyle w:val="41"/>
              <w:rPr>
                <w:color w:val="auto"/>
                <w:highlight w:val="none"/>
              </w:rPr>
            </w:pPr>
            <w:r>
              <w:rPr>
                <w:color w:val="auto"/>
                <w:highlight w:val="none"/>
              </w:rPr>
              <w:t>100</w:t>
            </w:r>
          </w:p>
        </w:tc>
        <w:tc>
          <w:tcPr>
            <w:tcW w:w="1254" w:type="dxa"/>
            <w:noWrap/>
            <w:vAlign w:val="center"/>
          </w:tcPr>
          <w:p w14:paraId="57DCD9F2">
            <w:pPr>
              <w:pStyle w:val="41"/>
              <w:rPr>
                <w:color w:val="auto"/>
                <w:highlight w:val="none"/>
              </w:rPr>
            </w:pPr>
            <w:r>
              <w:rPr>
                <w:color w:val="auto"/>
                <w:highlight w:val="none"/>
              </w:rPr>
              <w:t>2450</w:t>
            </w:r>
          </w:p>
        </w:tc>
        <w:tc>
          <w:tcPr>
            <w:tcW w:w="1532" w:type="dxa"/>
            <w:noWrap/>
            <w:vAlign w:val="center"/>
          </w:tcPr>
          <w:p w14:paraId="4EA20410">
            <w:pPr>
              <w:pStyle w:val="41"/>
              <w:rPr>
                <w:color w:val="auto"/>
                <w:highlight w:val="none"/>
              </w:rPr>
            </w:pPr>
            <w:r>
              <w:rPr>
                <w:color w:val="auto"/>
                <w:highlight w:val="none"/>
              </w:rPr>
              <w:t>0.01458</w:t>
            </w:r>
          </w:p>
        </w:tc>
        <w:tc>
          <w:tcPr>
            <w:tcW w:w="946" w:type="dxa"/>
            <w:noWrap/>
            <w:vAlign w:val="center"/>
          </w:tcPr>
          <w:p w14:paraId="3882A9E9">
            <w:pPr>
              <w:pStyle w:val="41"/>
              <w:rPr>
                <w:color w:val="auto"/>
                <w:highlight w:val="none"/>
              </w:rPr>
            </w:pPr>
            <w:r>
              <w:rPr>
                <w:color w:val="auto"/>
                <w:highlight w:val="none"/>
              </w:rPr>
              <w:t xml:space="preserve">1.62 </w:t>
            </w:r>
          </w:p>
        </w:tc>
        <w:tc>
          <w:tcPr>
            <w:tcW w:w="1398" w:type="dxa"/>
            <w:noWrap/>
            <w:vAlign w:val="center"/>
          </w:tcPr>
          <w:p w14:paraId="07BD3028">
            <w:pPr>
              <w:pStyle w:val="41"/>
              <w:rPr>
                <w:color w:val="auto"/>
                <w:highlight w:val="none"/>
              </w:rPr>
            </w:pPr>
            <w:r>
              <w:rPr>
                <w:color w:val="auto"/>
                <w:highlight w:val="none"/>
              </w:rPr>
              <w:t>0.019707</w:t>
            </w:r>
          </w:p>
        </w:tc>
        <w:tc>
          <w:tcPr>
            <w:tcW w:w="872" w:type="dxa"/>
            <w:noWrap/>
            <w:vAlign w:val="center"/>
          </w:tcPr>
          <w:p w14:paraId="7FED2035">
            <w:pPr>
              <w:pStyle w:val="41"/>
              <w:rPr>
                <w:color w:val="auto"/>
                <w:highlight w:val="none"/>
              </w:rPr>
            </w:pPr>
            <w:r>
              <w:rPr>
                <w:color w:val="auto"/>
                <w:highlight w:val="none"/>
              </w:rPr>
              <w:t>2.19</w:t>
            </w:r>
          </w:p>
        </w:tc>
      </w:tr>
      <w:tr w14:paraId="42467B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6C03CD37">
            <w:pPr>
              <w:pStyle w:val="41"/>
              <w:rPr>
                <w:color w:val="auto"/>
                <w:highlight w:val="none"/>
              </w:rPr>
            </w:pPr>
            <w:r>
              <w:rPr>
                <w:color w:val="auto"/>
                <w:highlight w:val="none"/>
              </w:rPr>
              <w:t>101</w:t>
            </w:r>
          </w:p>
        </w:tc>
        <w:tc>
          <w:tcPr>
            <w:tcW w:w="1254" w:type="dxa"/>
            <w:noWrap/>
            <w:vAlign w:val="center"/>
          </w:tcPr>
          <w:p w14:paraId="68E4B083">
            <w:pPr>
              <w:pStyle w:val="41"/>
              <w:rPr>
                <w:color w:val="auto"/>
                <w:highlight w:val="none"/>
              </w:rPr>
            </w:pPr>
            <w:r>
              <w:rPr>
                <w:color w:val="auto"/>
                <w:highlight w:val="none"/>
              </w:rPr>
              <w:t>2475</w:t>
            </w:r>
          </w:p>
        </w:tc>
        <w:tc>
          <w:tcPr>
            <w:tcW w:w="1532" w:type="dxa"/>
            <w:noWrap/>
            <w:vAlign w:val="center"/>
          </w:tcPr>
          <w:p w14:paraId="28548368">
            <w:pPr>
              <w:pStyle w:val="41"/>
              <w:rPr>
                <w:color w:val="auto"/>
                <w:highlight w:val="none"/>
              </w:rPr>
            </w:pPr>
            <w:r>
              <w:rPr>
                <w:color w:val="auto"/>
                <w:highlight w:val="none"/>
              </w:rPr>
              <w:t>0.0145072</w:t>
            </w:r>
          </w:p>
        </w:tc>
        <w:tc>
          <w:tcPr>
            <w:tcW w:w="946" w:type="dxa"/>
            <w:noWrap/>
            <w:vAlign w:val="center"/>
          </w:tcPr>
          <w:p w14:paraId="4D42033F">
            <w:pPr>
              <w:pStyle w:val="41"/>
              <w:rPr>
                <w:color w:val="auto"/>
                <w:highlight w:val="none"/>
              </w:rPr>
            </w:pPr>
            <w:r>
              <w:rPr>
                <w:color w:val="auto"/>
                <w:highlight w:val="none"/>
              </w:rPr>
              <w:t xml:space="preserve">1.61 </w:t>
            </w:r>
          </w:p>
        </w:tc>
        <w:tc>
          <w:tcPr>
            <w:tcW w:w="1398" w:type="dxa"/>
            <w:noWrap/>
            <w:vAlign w:val="center"/>
          </w:tcPr>
          <w:p w14:paraId="78837940">
            <w:pPr>
              <w:pStyle w:val="41"/>
              <w:rPr>
                <w:color w:val="auto"/>
                <w:highlight w:val="none"/>
              </w:rPr>
            </w:pPr>
            <w:r>
              <w:rPr>
                <w:color w:val="auto"/>
                <w:highlight w:val="none"/>
              </w:rPr>
              <w:t>0.019661</w:t>
            </w:r>
          </w:p>
        </w:tc>
        <w:tc>
          <w:tcPr>
            <w:tcW w:w="872" w:type="dxa"/>
            <w:noWrap/>
            <w:vAlign w:val="center"/>
          </w:tcPr>
          <w:p w14:paraId="66CF85A2">
            <w:pPr>
              <w:pStyle w:val="41"/>
              <w:rPr>
                <w:color w:val="auto"/>
                <w:highlight w:val="none"/>
              </w:rPr>
            </w:pPr>
            <w:r>
              <w:rPr>
                <w:color w:val="auto"/>
                <w:highlight w:val="none"/>
              </w:rPr>
              <w:t>2.18</w:t>
            </w:r>
          </w:p>
        </w:tc>
      </w:tr>
      <w:tr w14:paraId="6C6249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321" w:type="pct"/>
            <w:noWrap/>
            <w:vAlign w:val="center"/>
          </w:tcPr>
          <w:p w14:paraId="24FFD3E7">
            <w:pPr>
              <w:pStyle w:val="41"/>
              <w:rPr>
                <w:color w:val="auto"/>
                <w:highlight w:val="none"/>
              </w:rPr>
            </w:pPr>
            <w:r>
              <w:rPr>
                <w:color w:val="auto"/>
                <w:highlight w:val="none"/>
              </w:rPr>
              <w:t>102</w:t>
            </w:r>
          </w:p>
        </w:tc>
        <w:tc>
          <w:tcPr>
            <w:tcW w:w="1254" w:type="dxa"/>
            <w:noWrap/>
            <w:vAlign w:val="center"/>
          </w:tcPr>
          <w:p w14:paraId="0571176B">
            <w:pPr>
              <w:pStyle w:val="41"/>
              <w:rPr>
                <w:color w:val="auto"/>
                <w:highlight w:val="none"/>
              </w:rPr>
            </w:pPr>
            <w:r>
              <w:rPr>
                <w:color w:val="auto"/>
                <w:highlight w:val="none"/>
              </w:rPr>
              <w:t>2500</w:t>
            </w:r>
          </w:p>
        </w:tc>
        <w:tc>
          <w:tcPr>
            <w:tcW w:w="1532" w:type="dxa"/>
            <w:noWrap/>
            <w:vAlign w:val="center"/>
          </w:tcPr>
          <w:p w14:paraId="5E9C16D2">
            <w:pPr>
              <w:pStyle w:val="41"/>
              <w:rPr>
                <w:color w:val="auto"/>
                <w:highlight w:val="none"/>
              </w:rPr>
            </w:pPr>
            <w:r>
              <w:rPr>
                <w:color w:val="auto"/>
                <w:highlight w:val="none"/>
              </w:rPr>
              <w:t>0.0144352</w:t>
            </w:r>
          </w:p>
        </w:tc>
        <w:tc>
          <w:tcPr>
            <w:tcW w:w="946" w:type="dxa"/>
            <w:noWrap/>
            <w:vAlign w:val="center"/>
          </w:tcPr>
          <w:p w14:paraId="252463E9">
            <w:pPr>
              <w:pStyle w:val="41"/>
              <w:rPr>
                <w:color w:val="auto"/>
                <w:highlight w:val="none"/>
              </w:rPr>
            </w:pPr>
            <w:r>
              <w:rPr>
                <w:color w:val="auto"/>
                <w:highlight w:val="none"/>
              </w:rPr>
              <w:t xml:space="preserve">1.60 </w:t>
            </w:r>
          </w:p>
        </w:tc>
        <w:tc>
          <w:tcPr>
            <w:tcW w:w="1398" w:type="dxa"/>
            <w:noWrap/>
            <w:vAlign w:val="center"/>
          </w:tcPr>
          <w:p w14:paraId="0019B186">
            <w:pPr>
              <w:pStyle w:val="41"/>
              <w:rPr>
                <w:color w:val="auto"/>
                <w:highlight w:val="none"/>
              </w:rPr>
            </w:pPr>
            <w:r>
              <w:rPr>
                <w:color w:val="auto"/>
                <w:highlight w:val="none"/>
              </w:rPr>
              <w:t>0.019615</w:t>
            </w:r>
          </w:p>
        </w:tc>
        <w:tc>
          <w:tcPr>
            <w:tcW w:w="872" w:type="dxa"/>
            <w:noWrap/>
            <w:vAlign w:val="center"/>
          </w:tcPr>
          <w:p w14:paraId="74BC06EB">
            <w:pPr>
              <w:pStyle w:val="41"/>
              <w:rPr>
                <w:color w:val="auto"/>
                <w:highlight w:val="none"/>
              </w:rPr>
            </w:pPr>
            <w:r>
              <w:rPr>
                <w:color w:val="auto"/>
                <w:highlight w:val="none"/>
              </w:rPr>
              <w:t>2.18</w:t>
            </w:r>
          </w:p>
        </w:tc>
      </w:tr>
    </w:tbl>
    <w:p w14:paraId="11B527D8">
      <w:pPr>
        <w:pStyle w:val="3"/>
        <w:ind w:firstLine="480"/>
        <w:rPr>
          <w:color w:val="auto"/>
          <w:highlight w:val="none"/>
        </w:rPr>
      </w:pPr>
      <w:r>
        <w:rPr>
          <w:color w:val="auto"/>
          <w:highlight w:val="none"/>
        </w:rPr>
        <w:t>本项目大气环境影响评价等级为二级，按《环境影响评价技术导则 大气环境》（HJ2.2-2018）要求，可不进行进一步预测与评价，现只以估算模式预测结果对大气环境影响</w:t>
      </w:r>
      <w:r>
        <w:rPr>
          <w:rFonts w:hint="eastAsia"/>
          <w:color w:val="auto"/>
          <w:highlight w:val="none"/>
          <w:lang w:eastAsia="zh-CN"/>
        </w:rPr>
        <w:t>做</w:t>
      </w:r>
      <w:r>
        <w:rPr>
          <w:color w:val="auto"/>
          <w:highlight w:val="none"/>
        </w:rPr>
        <w:t>分析如下：</w:t>
      </w:r>
    </w:p>
    <w:p w14:paraId="6DC64722">
      <w:pPr>
        <w:pStyle w:val="3"/>
        <w:ind w:firstLine="480"/>
        <w:rPr>
          <w:color w:val="auto"/>
          <w:highlight w:val="none"/>
        </w:rPr>
      </w:pPr>
      <w:r>
        <w:rPr>
          <w:color w:val="auto"/>
          <w:highlight w:val="none"/>
        </w:rPr>
        <w:t>由上述预测结果可知，本项目滚轴筛车间、粗中碎车间、细碎车间、1号振动筛分车间、2号振动筛分车间、3号振动筛分车间颗粒物最大落地浓度均为0.00</w:t>
      </w:r>
      <w:r>
        <w:rPr>
          <w:rFonts w:hint="eastAsia"/>
          <w:color w:val="auto"/>
          <w:highlight w:val="none"/>
          <w:lang w:val="en-US" w:eastAsia="zh-CN"/>
        </w:rPr>
        <w:t>3971</w:t>
      </w:r>
      <w:r>
        <w:rPr>
          <w:color w:val="auto"/>
          <w:highlight w:val="none"/>
        </w:rPr>
        <w:t>mg/m</w:t>
      </w:r>
      <w:r>
        <w:rPr>
          <w:color w:val="auto"/>
          <w:highlight w:val="none"/>
          <w:vertAlign w:val="superscript"/>
        </w:rPr>
        <w:t>3</w:t>
      </w:r>
      <w:r>
        <w:rPr>
          <w:color w:val="auto"/>
          <w:highlight w:val="none"/>
        </w:rPr>
        <w:t>，占标率为0.</w:t>
      </w:r>
      <w:r>
        <w:rPr>
          <w:rFonts w:hint="eastAsia"/>
          <w:color w:val="auto"/>
          <w:highlight w:val="none"/>
          <w:lang w:val="en-US" w:eastAsia="zh-CN"/>
        </w:rPr>
        <w:t>88</w:t>
      </w:r>
      <w:r>
        <w:rPr>
          <w:color w:val="auto"/>
          <w:highlight w:val="none"/>
        </w:rPr>
        <w:t>%，距离为167m；干抛磁选车间颗粒物最大落地浓度为0.004671mg/m</w:t>
      </w:r>
      <w:r>
        <w:rPr>
          <w:color w:val="auto"/>
          <w:highlight w:val="none"/>
          <w:vertAlign w:val="superscript"/>
        </w:rPr>
        <w:t>3</w:t>
      </w:r>
      <w:r>
        <w:rPr>
          <w:color w:val="auto"/>
          <w:highlight w:val="none"/>
        </w:rPr>
        <w:t>，占标率为1.04%，距离为284m；锅炉房排放SO</w:t>
      </w:r>
      <w:r>
        <w:rPr>
          <w:color w:val="auto"/>
          <w:highlight w:val="none"/>
          <w:vertAlign w:val="subscript"/>
        </w:rPr>
        <w:t>2</w:t>
      </w:r>
      <w:r>
        <w:rPr>
          <w:color w:val="auto"/>
          <w:highlight w:val="none"/>
        </w:rPr>
        <w:t>、NO</w:t>
      </w:r>
      <w:r>
        <w:rPr>
          <w:color w:val="auto"/>
          <w:highlight w:val="none"/>
          <w:vertAlign w:val="subscript"/>
        </w:rPr>
        <w:t>2</w:t>
      </w:r>
      <w:r>
        <w:rPr>
          <w:color w:val="auto"/>
          <w:highlight w:val="none"/>
        </w:rPr>
        <w:t>、颗粒物最大落地浓度分别为0.002957mg/m</w:t>
      </w:r>
      <w:r>
        <w:rPr>
          <w:color w:val="auto"/>
          <w:highlight w:val="none"/>
          <w:vertAlign w:val="superscript"/>
        </w:rPr>
        <w:t>3</w:t>
      </w:r>
      <w:r>
        <w:rPr>
          <w:color w:val="auto"/>
          <w:highlight w:val="none"/>
        </w:rPr>
        <w:t>、0.006652mg/m</w:t>
      </w:r>
      <w:r>
        <w:rPr>
          <w:color w:val="auto"/>
          <w:highlight w:val="none"/>
          <w:vertAlign w:val="superscript"/>
        </w:rPr>
        <w:t>3</w:t>
      </w:r>
      <w:r>
        <w:rPr>
          <w:color w:val="auto"/>
          <w:highlight w:val="none"/>
        </w:rPr>
        <w:t>、0.000043mg/m</w:t>
      </w:r>
      <w:r>
        <w:rPr>
          <w:color w:val="auto"/>
          <w:highlight w:val="none"/>
          <w:vertAlign w:val="superscript"/>
        </w:rPr>
        <w:t>3</w:t>
      </w:r>
      <w:r>
        <w:rPr>
          <w:color w:val="auto"/>
          <w:highlight w:val="none"/>
        </w:rPr>
        <w:t>，占标率为0.59%、3.33%、0.01%，距离为39m；</w:t>
      </w:r>
      <w:r>
        <w:rPr>
          <w:rFonts w:hint="eastAsia"/>
          <w:color w:val="auto"/>
          <w:highlight w:val="none"/>
          <w:lang w:eastAsia="zh-CN"/>
        </w:rPr>
        <w:t>原矿堆库</w:t>
      </w:r>
      <w:r>
        <w:rPr>
          <w:color w:val="auto"/>
          <w:highlight w:val="none"/>
        </w:rPr>
        <w:t>、尾矿堆场运营期排放的废气特征污染物TSP预测浓度最大落地浓度均为0.008492mg/m</w:t>
      </w:r>
      <w:r>
        <w:rPr>
          <w:color w:val="auto"/>
          <w:highlight w:val="none"/>
          <w:vertAlign w:val="superscript"/>
        </w:rPr>
        <w:t>3</w:t>
      </w:r>
      <w:r>
        <w:rPr>
          <w:color w:val="auto"/>
          <w:highlight w:val="none"/>
        </w:rPr>
        <w:t>、0.021236mg/m</w:t>
      </w:r>
      <w:r>
        <w:rPr>
          <w:color w:val="auto"/>
          <w:highlight w:val="none"/>
          <w:vertAlign w:val="superscript"/>
        </w:rPr>
        <w:t>3</w:t>
      </w:r>
      <w:r>
        <w:rPr>
          <w:color w:val="auto"/>
          <w:highlight w:val="none"/>
        </w:rPr>
        <w:t>，占标率为9.43%和2.36%，满足《铁矿采选工业污染物排放标准》（GB28661-2012</w:t>
      </w:r>
      <w:r>
        <w:rPr>
          <w:rFonts w:hint="eastAsia"/>
          <w:color w:val="auto"/>
          <w:highlight w:val="none"/>
        </w:rPr>
        <w:t>）</w:t>
      </w:r>
      <w:r>
        <w:rPr>
          <w:color w:val="auto"/>
          <w:highlight w:val="none"/>
        </w:rPr>
        <w:t>厂界外1.0mg/m</w:t>
      </w:r>
      <w:r>
        <w:rPr>
          <w:color w:val="auto"/>
          <w:highlight w:val="none"/>
          <w:vertAlign w:val="superscript"/>
        </w:rPr>
        <w:t>3</w:t>
      </w:r>
      <w:r>
        <w:rPr>
          <w:color w:val="auto"/>
          <w:highlight w:val="none"/>
        </w:rPr>
        <w:t>的限值要求。项目排放的废气特征污染物厂界外不同距离处预测浓度占标率均低于10%，对区域大气环境质量影响较小。</w:t>
      </w:r>
    </w:p>
    <w:p w14:paraId="5E664A84">
      <w:pPr>
        <w:pStyle w:val="3"/>
        <w:ind w:firstLine="480"/>
        <w:rPr>
          <w:rFonts w:hint="eastAsia"/>
          <w:color w:val="auto"/>
          <w:highlight w:val="none"/>
        </w:rPr>
      </w:pPr>
      <w:r>
        <w:rPr>
          <w:rFonts w:hint="eastAsia"/>
          <w:color w:val="auto"/>
          <w:highlight w:val="none"/>
        </w:rPr>
        <w:t>（4）环境敏感目标影响分析</w:t>
      </w:r>
    </w:p>
    <w:p w14:paraId="14C21B28">
      <w:pPr>
        <w:pStyle w:val="3"/>
        <w:ind w:firstLine="480"/>
        <w:rPr>
          <w:color w:val="auto"/>
          <w:highlight w:val="none"/>
        </w:rPr>
      </w:pPr>
      <w:r>
        <w:rPr>
          <w:rFonts w:hint="eastAsia"/>
          <w:color w:val="auto"/>
          <w:highlight w:val="none"/>
        </w:rPr>
        <w:t>距离本项目选矿厂最近村庄位于项目区东南方向3km处阿亚克苏洪木村，距离项目较远，并且处于项目区侧风向，预测项目颗粒物最大落地浓度小于10%，对村子影响较小。</w:t>
      </w:r>
    </w:p>
    <w:p w14:paraId="6AA3CFFF">
      <w:pPr>
        <w:pStyle w:val="3"/>
        <w:ind w:firstLine="480"/>
        <w:rPr>
          <w:color w:val="auto"/>
          <w:highlight w:val="none"/>
        </w:rPr>
      </w:pPr>
      <w:r>
        <w:rPr>
          <w:color w:val="auto"/>
          <w:highlight w:val="none"/>
        </w:rPr>
        <w:t>（</w:t>
      </w:r>
      <w:r>
        <w:rPr>
          <w:rFonts w:hint="eastAsia"/>
          <w:color w:val="auto"/>
          <w:highlight w:val="none"/>
          <w:lang w:val="en-US" w:eastAsia="zh-CN"/>
        </w:rPr>
        <w:t>5</w:t>
      </w:r>
      <w:r>
        <w:rPr>
          <w:color w:val="auto"/>
          <w:highlight w:val="none"/>
        </w:rPr>
        <w:t>）区域环境变化分析</w:t>
      </w:r>
    </w:p>
    <w:p w14:paraId="296F522A">
      <w:pPr>
        <w:pStyle w:val="3"/>
        <w:ind w:firstLine="480"/>
        <w:rPr>
          <w:color w:val="auto"/>
          <w:highlight w:val="none"/>
        </w:rPr>
      </w:pPr>
      <w:r>
        <w:rPr>
          <w:color w:val="auto"/>
          <w:highlight w:val="none"/>
        </w:rPr>
        <w:t>本项目所在地位于阿图什市，</w:t>
      </w:r>
      <w:r>
        <w:rPr>
          <w:rFonts w:hint="eastAsia"/>
          <w:color w:val="auto"/>
          <w:highlight w:val="none"/>
        </w:rPr>
        <w:t>根据基本污染物结果</w:t>
      </w:r>
      <w:r>
        <w:rPr>
          <w:color w:val="auto"/>
          <w:highlight w:val="none"/>
        </w:rPr>
        <w:t>，区域颗粒物超标，为不达标区。不达标区按照《环境影响评价技术导则 大气环境》（HJ2.2-2018）需对不达标污染物开展区域环境变化分析。</w:t>
      </w:r>
    </w:p>
    <w:p w14:paraId="2EAFD7A5">
      <w:pPr>
        <w:pStyle w:val="3"/>
        <w:ind w:firstLine="480"/>
        <w:rPr>
          <w:color w:val="auto"/>
          <w:highlight w:val="none"/>
        </w:rPr>
      </w:pPr>
      <w:r>
        <w:rPr>
          <w:color w:val="auto"/>
          <w:highlight w:val="none"/>
        </w:rPr>
        <w:t>根据《关于在南疆四地州深度贫困地区实施〈环境影响评价技术导则大气环境（HJ2.22018）〉差别化政策有关事宜的复函》（环办环评函〔2019〕590号），本项目根据差别化政策意见不进行颗粒物的区域环境变化分析。</w:t>
      </w:r>
    </w:p>
    <w:p w14:paraId="2AF0AC3C">
      <w:pPr>
        <w:pStyle w:val="43"/>
        <w:rPr>
          <w:color w:val="auto"/>
          <w:highlight w:val="none"/>
        </w:rPr>
      </w:pPr>
      <w:r>
        <w:rPr>
          <w:color w:val="auto"/>
          <w:highlight w:val="none"/>
        </w:rPr>
        <w:t>非正常工况</w:t>
      </w:r>
    </w:p>
    <w:p w14:paraId="6E0C44B9">
      <w:pPr>
        <w:pStyle w:val="3"/>
        <w:ind w:firstLine="480"/>
        <w:rPr>
          <w:color w:val="auto"/>
          <w:highlight w:val="none"/>
        </w:rPr>
      </w:pPr>
      <w:r>
        <w:rPr>
          <w:color w:val="auto"/>
          <w:highlight w:val="none"/>
        </w:rPr>
        <w:t xml:space="preserve"> 本项目非正常工况大气污染源强及相关参数见表5.2-15。</w:t>
      </w:r>
    </w:p>
    <w:p w14:paraId="67B55F9F">
      <w:pPr>
        <w:pStyle w:val="3"/>
        <w:ind w:firstLine="480"/>
        <w:rPr>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34223EB0">
      <w:pPr>
        <w:pStyle w:val="40"/>
        <w:spacing w:before="24" w:after="24"/>
        <w:rPr>
          <w:color w:val="auto"/>
          <w:highlight w:val="none"/>
        </w:rPr>
      </w:pPr>
      <w:r>
        <w:rPr>
          <w:color w:val="auto"/>
          <w:highlight w:val="none"/>
        </w:rPr>
        <w:t>表5.2-15    非</w:t>
      </w:r>
      <w:r>
        <w:rPr>
          <w:rFonts w:hint="eastAsia"/>
          <w:color w:val="auto"/>
          <w:highlight w:val="none"/>
          <w:lang w:eastAsia="zh-CN"/>
        </w:rPr>
        <w:t>正</w:t>
      </w:r>
      <w:r>
        <w:rPr>
          <w:color w:val="auto"/>
          <w:highlight w:val="none"/>
        </w:rPr>
        <w:t>常工况项目主要有组织废气污染源参数表</w:t>
      </w:r>
    </w:p>
    <w:tbl>
      <w:tblPr>
        <w:tblStyle w:val="25"/>
        <w:tblW w:w="503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658"/>
        <w:gridCol w:w="3259"/>
        <w:gridCol w:w="1137"/>
        <w:gridCol w:w="1149"/>
        <w:gridCol w:w="1149"/>
        <w:gridCol w:w="1262"/>
        <w:gridCol w:w="1129"/>
        <w:gridCol w:w="1344"/>
        <w:gridCol w:w="1364"/>
        <w:gridCol w:w="1730"/>
      </w:tblGrid>
      <w:tr w14:paraId="38F267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2" w:type="pct"/>
            <w:vMerge w:val="restart"/>
            <w:tcBorders>
              <w:tl2br w:val="nil"/>
              <w:tr2bl w:val="nil"/>
            </w:tcBorders>
            <w:vAlign w:val="center"/>
          </w:tcPr>
          <w:p w14:paraId="5FC8B544">
            <w:pPr>
              <w:pStyle w:val="41"/>
              <w:rPr>
                <w:color w:val="auto"/>
                <w:highlight w:val="none"/>
              </w:rPr>
            </w:pPr>
            <w:r>
              <w:rPr>
                <w:color w:val="auto"/>
                <w:highlight w:val="none"/>
              </w:rPr>
              <w:t>编号</w:t>
            </w:r>
          </w:p>
        </w:tc>
        <w:tc>
          <w:tcPr>
            <w:tcW w:w="1149" w:type="pct"/>
            <w:vMerge w:val="restart"/>
            <w:tcBorders>
              <w:tl2br w:val="nil"/>
              <w:tr2bl w:val="nil"/>
            </w:tcBorders>
            <w:vAlign w:val="center"/>
          </w:tcPr>
          <w:p w14:paraId="21117C91">
            <w:pPr>
              <w:pStyle w:val="41"/>
              <w:rPr>
                <w:color w:val="auto"/>
                <w:highlight w:val="none"/>
              </w:rPr>
            </w:pPr>
            <w:r>
              <w:rPr>
                <w:color w:val="auto"/>
                <w:highlight w:val="none"/>
              </w:rPr>
              <w:t>排放源</w:t>
            </w:r>
          </w:p>
        </w:tc>
        <w:tc>
          <w:tcPr>
            <w:tcW w:w="1656" w:type="pct"/>
            <w:gridSpan w:val="4"/>
            <w:tcBorders>
              <w:tl2br w:val="nil"/>
              <w:tr2bl w:val="nil"/>
            </w:tcBorders>
            <w:vAlign w:val="center"/>
          </w:tcPr>
          <w:p w14:paraId="24D03D6F">
            <w:pPr>
              <w:pStyle w:val="41"/>
              <w:rPr>
                <w:color w:val="auto"/>
                <w:highlight w:val="none"/>
              </w:rPr>
            </w:pPr>
            <w:r>
              <w:rPr>
                <w:color w:val="auto"/>
                <w:highlight w:val="none"/>
              </w:rPr>
              <w:t>排气筒参数</w:t>
            </w:r>
          </w:p>
        </w:tc>
        <w:tc>
          <w:tcPr>
            <w:tcW w:w="1961" w:type="pct"/>
            <w:gridSpan w:val="4"/>
            <w:tcBorders>
              <w:tl2br w:val="nil"/>
              <w:tr2bl w:val="nil"/>
            </w:tcBorders>
            <w:vAlign w:val="center"/>
          </w:tcPr>
          <w:p w14:paraId="1A069D47">
            <w:pPr>
              <w:pStyle w:val="41"/>
              <w:rPr>
                <w:color w:val="auto"/>
                <w:highlight w:val="none"/>
              </w:rPr>
            </w:pPr>
            <w:r>
              <w:rPr>
                <w:color w:val="auto"/>
                <w:highlight w:val="none"/>
              </w:rPr>
              <w:t>评价因子源强（kg/h）</w:t>
            </w:r>
          </w:p>
        </w:tc>
      </w:tr>
      <w:tr w14:paraId="78F9CE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2" w:type="pct"/>
            <w:vMerge w:val="continue"/>
            <w:tcBorders>
              <w:tl2br w:val="nil"/>
              <w:tr2bl w:val="nil"/>
            </w:tcBorders>
            <w:vAlign w:val="center"/>
          </w:tcPr>
          <w:p w14:paraId="1FBFB4FE">
            <w:pPr>
              <w:pStyle w:val="41"/>
              <w:rPr>
                <w:color w:val="auto"/>
                <w:highlight w:val="none"/>
              </w:rPr>
            </w:pPr>
          </w:p>
        </w:tc>
        <w:tc>
          <w:tcPr>
            <w:tcW w:w="1149" w:type="pct"/>
            <w:vMerge w:val="continue"/>
            <w:tcBorders>
              <w:tl2br w:val="nil"/>
              <w:tr2bl w:val="nil"/>
            </w:tcBorders>
            <w:vAlign w:val="center"/>
          </w:tcPr>
          <w:p w14:paraId="5E82BE55">
            <w:pPr>
              <w:pStyle w:val="41"/>
              <w:rPr>
                <w:color w:val="auto"/>
                <w:highlight w:val="none"/>
              </w:rPr>
            </w:pPr>
          </w:p>
        </w:tc>
        <w:tc>
          <w:tcPr>
            <w:tcW w:w="401" w:type="pct"/>
            <w:tcBorders>
              <w:tl2br w:val="nil"/>
              <w:tr2bl w:val="nil"/>
            </w:tcBorders>
            <w:vAlign w:val="center"/>
          </w:tcPr>
          <w:p w14:paraId="6EDABCD1">
            <w:pPr>
              <w:pStyle w:val="41"/>
              <w:rPr>
                <w:color w:val="auto"/>
                <w:highlight w:val="none"/>
              </w:rPr>
            </w:pPr>
            <w:r>
              <w:rPr>
                <w:color w:val="auto"/>
                <w:highlight w:val="none"/>
              </w:rPr>
              <w:t>高度（m）</w:t>
            </w:r>
          </w:p>
        </w:tc>
        <w:tc>
          <w:tcPr>
            <w:tcW w:w="405" w:type="pct"/>
            <w:tcBorders>
              <w:tl2br w:val="nil"/>
              <w:tr2bl w:val="nil"/>
            </w:tcBorders>
            <w:vAlign w:val="center"/>
          </w:tcPr>
          <w:p w14:paraId="1C230139">
            <w:pPr>
              <w:pStyle w:val="41"/>
              <w:rPr>
                <w:color w:val="auto"/>
                <w:highlight w:val="none"/>
              </w:rPr>
            </w:pPr>
            <w:r>
              <w:rPr>
                <w:color w:val="auto"/>
                <w:highlight w:val="none"/>
              </w:rPr>
              <w:t>内径（m）</w:t>
            </w:r>
          </w:p>
        </w:tc>
        <w:tc>
          <w:tcPr>
            <w:tcW w:w="405" w:type="pct"/>
            <w:tcBorders>
              <w:tl2br w:val="nil"/>
              <w:tr2bl w:val="nil"/>
            </w:tcBorders>
            <w:vAlign w:val="center"/>
          </w:tcPr>
          <w:p w14:paraId="40909819">
            <w:pPr>
              <w:pStyle w:val="41"/>
              <w:rPr>
                <w:color w:val="auto"/>
                <w:highlight w:val="none"/>
              </w:rPr>
            </w:pPr>
            <w:r>
              <w:rPr>
                <w:color w:val="auto"/>
                <w:highlight w:val="none"/>
              </w:rPr>
              <w:t>温度（℃）</w:t>
            </w:r>
          </w:p>
        </w:tc>
        <w:tc>
          <w:tcPr>
            <w:tcW w:w="444" w:type="pct"/>
            <w:tcBorders>
              <w:tl2br w:val="nil"/>
              <w:tr2bl w:val="nil"/>
            </w:tcBorders>
            <w:vAlign w:val="center"/>
          </w:tcPr>
          <w:p w14:paraId="39A37249">
            <w:pPr>
              <w:pStyle w:val="41"/>
              <w:rPr>
                <w:color w:val="auto"/>
                <w:highlight w:val="none"/>
              </w:rPr>
            </w:pPr>
            <w:r>
              <w:rPr>
                <w:color w:val="auto"/>
                <w:highlight w:val="none"/>
              </w:rPr>
              <w:t>流量（m</w:t>
            </w:r>
            <w:r>
              <w:rPr>
                <w:color w:val="auto"/>
                <w:highlight w:val="none"/>
                <w:vertAlign w:val="superscript"/>
              </w:rPr>
              <w:t>3</w:t>
            </w:r>
            <w:r>
              <w:rPr>
                <w:color w:val="auto"/>
                <w:highlight w:val="none"/>
              </w:rPr>
              <w:t>/h）</w:t>
            </w:r>
          </w:p>
        </w:tc>
        <w:tc>
          <w:tcPr>
            <w:tcW w:w="398" w:type="pct"/>
            <w:tcBorders>
              <w:tl2br w:val="nil"/>
              <w:tr2bl w:val="nil"/>
            </w:tcBorders>
            <w:vAlign w:val="center"/>
          </w:tcPr>
          <w:p w14:paraId="317A6489">
            <w:pPr>
              <w:pStyle w:val="41"/>
              <w:rPr>
                <w:color w:val="auto"/>
                <w:highlight w:val="none"/>
              </w:rPr>
            </w:pPr>
            <w:r>
              <w:rPr>
                <w:color w:val="auto"/>
                <w:highlight w:val="none"/>
              </w:rPr>
              <w:t>SO</w:t>
            </w:r>
            <w:r>
              <w:rPr>
                <w:color w:val="auto"/>
                <w:highlight w:val="none"/>
                <w:vertAlign w:val="subscript"/>
              </w:rPr>
              <w:t>2</w:t>
            </w:r>
          </w:p>
        </w:tc>
        <w:tc>
          <w:tcPr>
            <w:tcW w:w="474" w:type="pct"/>
            <w:tcBorders>
              <w:tl2br w:val="nil"/>
              <w:tr2bl w:val="nil"/>
            </w:tcBorders>
            <w:vAlign w:val="center"/>
          </w:tcPr>
          <w:p w14:paraId="1FACED10">
            <w:pPr>
              <w:pStyle w:val="41"/>
              <w:rPr>
                <w:color w:val="auto"/>
                <w:highlight w:val="none"/>
              </w:rPr>
            </w:pPr>
            <w:r>
              <w:rPr>
                <w:color w:val="auto"/>
                <w:highlight w:val="none"/>
              </w:rPr>
              <w:t>NO</w:t>
            </w:r>
            <w:r>
              <w:rPr>
                <w:color w:val="auto"/>
                <w:highlight w:val="none"/>
                <w:vertAlign w:val="subscript"/>
              </w:rPr>
              <w:t>2</w:t>
            </w:r>
          </w:p>
        </w:tc>
        <w:tc>
          <w:tcPr>
            <w:tcW w:w="481" w:type="pct"/>
            <w:tcBorders>
              <w:tl2br w:val="nil"/>
              <w:tr2bl w:val="nil"/>
            </w:tcBorders>
            <w:vAlign w:val="center"/>
          </w:tcPr>
          <w:p w14:paraId="5B28E5D5">
            <w:pPr>
              <w:pStyle w:val="41"/>
              <w:rPr>
                <w:color w:val="auto"/>
                <w:highlight w:val="none"/>
              </w:rPr>
            </w:pPr>
            <w:r>
              <w:rPr>
                <w:color w:val="auto"/>
                <w:highlight w:val="none"/>
              </w:rPr>
              <w:t>TSP</w:t>
            </w:r>
          </w:p>
        </w:tc>
        <w:tc>
          <w:tcPr>
            <w:tcW w:w="606" w:type="pct"/>
            <w:tcBorders>
              <w:tl2br w:val="nil"/>
              <w:tr2bl w:val="nil"/>
            </w:tcBorders>
            <w:vAlign w:val="center"/>
          </w:tcPr>
          <w:p w14:paraId="1A8F81DA">
            <w:pPr>
              <w:pStyle w:val="41"/>
              <w:rPr>
                <w:color w:val="auto"/>
                <w:highlight w:val="none"/>
              </w:rPr>
            </w:pPr>
            <w:r>
              <w:rPr>
                <w:color w:val="auto"/>
                <w:highlight w:val="none"/>
              </w:rPr>
              <w:t>PM</w:t>
            </w:r>
            <w:r>
              <w:rPr>
                <w:color w:val="auto"/>
                <w:highlight w:val="none"/>
                <w:vertAlign w:val="subscript"/>
              </w:rPr>
              <w:t>10</w:t>
            </w:r>
          </w:p>
        </w:tc>
      </w:tr>
      <w:tr w14:paraId="5EE898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2" w:type="pct"/>
            <w:tcBorders>
              <w:tl2br w:val="nil"/>
              <w:tr2bl w:val="nil"/>
            </w:tcBorders>
            <w:vAlign w:val="center"/>
          </w:tcPr>
          <w:p w14:paraId="626CC796">
            <w:pPr>
              <w:pStyle w:val="41"/>
              <w:rPr>
                <w:color w:val="auto"/>
                <w:highlight w:val="none"/>
              </w:rPr>
            </w:pPr>
            <w:r>
              <w:rPr>
                <w:color w:val="auto"/>
                <w:highlight w:val="none"/>
              </w:rPr>
              <w:t>1</w:t>
            </w:r>
          </w:p>
        </w:tc>
        <w:tc>
          <w:tcPr>
            <w:tcW w:w="1149" w:type="pct"/>
            <w:tcBorders>
              <w:tl2br w:val="nil"/>
              <w:tr2bl w:val="nil"/>
            </w:tcBorders>
            <w:vAlign w:val="center"/>
          </w:tcPr>
          <w:p w14:paraId="068A3444">
            <w:pPr>
              <w:pStyle w:val="41"/>
              <w:rPr>
                <w:color w:val="auto"/>
                <w:highlight w:val="none"/>
              </w:rPr>
            </w:pPr>
            <w:r>
              <w:rPr>
                <w:color w:val="auto"/>
                <w:highlight w:val="none"/>
              </w:rPr>
              <w:t>滚轴筛车间</w:t>
            </w:r>
          </w:p>
        </w:tc>
        <w:tc>
          <w:tcPr>
            <w:tcW w:w="401" w:type="pct"/>
            <w:tcBorders>
              <w:tl2br w:val="nil"/>
              <w:tr2bl w:val="nil"/>
            </w:tcBorders>
            <w:vAlign w:val="bottom"/>
          </w:tcPr>
          <w:p w14:paraId="4A5B9C9F">
            <w:pPr>
              <w:pStyle w:val="41"/>
              <w:rPr>
                <w:color w:val="auto"/>
                <w:highlight w:val="none"/>
              </w:rPr>
            </w:pPr>
            <w:r>
              <w:rPr>
                <w:color w:val="auto"/>
                <w:highlight w:val="none"/>
              </w:rPr>
              <w:t>15</w:t>
            </w:r>
          </w:p>
        </w:tc>
        <w:tc>
          <w:tcPr>
            <w:tcW w:w="405" w:type="pct"/>
            <w:tcBorders>
              <w:tl2br w:val="nil"/>
              <w:tr2bl w:val="nil"/>
            </w:tcBorders>
            <w:vAlign w:val="bottom"/>
          </w:tcPr>
          <w:p w14:paraId="093A1E3C">
            <w:pPr>
              <w:pStyle w:val="41"/>
              <w:rPr>
                <w:color w:val="auto"/>
                <w:highlight w:val="none"/>
              </w:rPr>
            </w:pPr>
            <w:r>
              <w:rPr>
                <w:color w:val="auto"/>
                <w:highlight w:val="none"/>
              </w:rPr>
              <w:t>0.5</w:t>
            </w:r>
          </w:p>
        </w:tc>
        <w:tc>
          <w:tcPr>
            <w:tcW w:w="405" w:type="pct"/>
            <w:tcBorders>
              <w:tl2br w:val="nil"/>
              <w:tr2bl w:val="nil"/>
            </w:tcBorders>
            <w:vAlign w:val="bottom"/>
          </w:tcPr>
          <w:p w14:paraId="30C2F712">
            <w:pPr>
              <w:pStyle w:val="41"/>
              <w:rPr>
                <w:color w:val="auto"/>
                <w:highlight w:val="none"/>
              </w:rPr>
            </w:pPr>
            <w:r>
              <w:rPr>
                <w:color w:val="auto"/>
                <w:highlight w:val="none"/>
              </w:rPr>
              <w:t>20</w:t>
            </w:r>
          </w:p>
        </w:tc>
        <w:tc>
          <w:tcPr>
            <w:tcW w:w="1251" w:type="dxa"/>
            <w:tcBorders>
              <w:tl2br w:val="nil"/>
              <w:tr2bl w:val="nil"/>
            </w:tcBorders>
            <w:vAlign w:val="center"/>
          </w:tcPr>
          <w:p w14:paraId="770F66CE">
            <w:pPr>
              <w:pStyle w:val="41"/>
              <w:rPr>
                <w:rFonts w:hint="default" w:eastAsia="华文中宋"/>
                <w:color w:val="auto"/>
                <w:highlight w:val="none"/>
                <w:lang w:val="en-US" w:eastAsia="zh-CN"/>
              </w:rPr>
            </w:pPr>
            <w:r>
              <w:rPr>
                <w:rFonts w:hint="eastAsia"/>
                <w:color w:val="auto"/>
                <w:highlight w:val="none"/>
                <w:lang w:val="en-US" w:eastAsia="zh-CN"/>
              </w:rPr>
              <w:t>53641.65</w:t>
            </w:r>
          </w:p>
        </w:tc>
        <w:tc>
          <w:tcPr>
            <w:tcW w:w="398" w:type="pct"/>
            <w:tcBorders>
              <w:tl2br w:val="nil"/>
              <w:tr2bl w:val="nil"/>
            </w:tcBorders>
            <w:vAlign w:val="center"/>
          </w:tcPr>
          <w:p w14:paraId="1F30FD02">
            <w:pPr>
              <w:pStyle w:val="41"/>
              <w:rPr>
                <w:color w:val="auto"/>
                <w:highlight w:val="none"/>
              </w:rPr>
            </w:pPr>
            <w:r>
              <w:rPr>
                <w:color w:val="auto"/>
                <w:highlight w:val="none"/>
              </w:rPr>
              <w:t>/</w:t>
            </w:r>
          </w:p>
        </w:tc>
        <w:tc>
          <w:tcPr>
            <w:tcW w:w="474" w:type="pct"/>
            <w:tcBorders>
              <w:tl2br w:val="nil"/>
              <w:tr2bl w:val="nil"/>
            </w:tcBorders>
            <w:vAlign w:val="center"/>
          </w:tcPr>
          <w:p w14:paraId="3D4D435F">
            <w:pPr>
              <w:pStyle w:val="41"/>
              <w:rPr>
                <w:color w:val="auto"/>
                <w:highlight w:val="none"/>
              </w:rPr>
            </w:pPr>
            <w:r>
              <w:rPr>
                <w:color w:val="auto"/>
                <w:highlight w:val="none"/>
              </w:rPr>
              <w:t>/</w:t>
            </w:r>
          </w:p>
        </w:tc>
        <w:tc>
          <w:tcPr>
            <w:tcW w:w="481" w:type="pct"/>
            <w:tcBorders>
              <w:tl2br w:val="nil"/>
              <w:tr2bl w:val="nil"/>
            </w:tcBorders>
            <w:vAlign w:val="center"/>
          </w:tcPr>
          <w:p w14:paraId="3193FCFB">
            <w:pPr>
              <w:pStyle w:val="41"/>
              <w:rPr>
                <w:color w:val="auto"/>
                <w:highlight w:val="none"/>
              </w:rPr>
            </w:pPr>
            <w:r>
              <w:rPr>
                <w:color w:val="auto"/>
                <w:highlight w:val="none"/>
              </w:rPr>
              <w:t>/</w:t>
            </w:r>
          </w:p>
        </w:tc>
        <w:tc>
          <w:tcPr>
            <w:tcW w:w="1715" w:type="dxa"/>
            <w:tcBorders>
              <w:tl2br w:val="nil"/>
              <w:tr2bl w:val="nil"/>
            </w:tcBorders>
            <w:vAlign w:val="center"/>
          </w:tcPr>
          <w:p w14:paraId="6C0CEDD6">
            <w:pPr>
              <w:pStyle w:val="41"/>
              <w:rPr>
                <w:rFonts w:hint="default" w:eastAsia="华文中宋"/>
                <w:color w:val="auto"/>
                <w:highlight w:val="none"/>
                <w:lang w:val="en-US" w:eastAsia="zh-CN"/>
              </w:rPr>
            </w:pPr>
            <w:r>
              <w:rPr>
                <w:rFonts w:hint="eastAsia"/>
                <w:color w:val="auto"/>
                <w:highlight w:val="none"/>
                <w:lang w:val="en-US" w:eastAsia="zh-CN"/>
              </w:rPr>
              <w:t>37.959</w:t>
            </w:r>
          </w:p>
        </w:tc>
      </w:tr>
      <w:tr w14:paraId="722F42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2" w:type="pct"/>
            <w:tcBorders>
              <w:tl2br w:val="nil"/>
              <w:tr2bl w:val="nil"/>
            </w:tcBorders>
            <w:vAlign w:val="center"/>
          </w:tcPr>
          <w:p w14:paraId="3BA4C7CF">
            <w:pPr>
              <w:pStyle w:val="41"/>
              <w:rPr>
                <w:color w:val="auto"/>
                <w:highlight w:val="none"/>
              </w:rPr>
            </w:pPr>
            <w:r>
              <w:rPr>
                <w:color w:val="auto"/>
                <w:highlight w:val="none"/>
              </w:rPr>
              <w:t>2</w:t>
            </w:r>
          </w:p>
        </w:tc>
        <w:tc>
          <w:tcPr>
            <w:tcW w:w="1149" w:type="pct"/>
            <w:tcBorders>
              <w:tl2br w:val="nil"/>
              <w:tr2bl w:val="nil"/>
            </w:tcBorders>
            <w:vAlign w:val="center"/>
          </w:tcPr>
          <w:p w14:paraId="73759F5C">
            <w:pPr>
              <w:pStyle w:val="41"/>
              <w:rPr>
                <w:color w:val="auto"/>
                <w:highlight w:val="none"/>
              </w:rPr>
            </w:pPr>
            <w:r>
              <w:rPr>
                <w:color w:val="auto"/>
                <w:highlight w:val="none"/>
              </w:rPr>
              <w:t>粗中碎车间</w:t>
            </w:r>
          </w:p>
        </w:tc>
        <w:tc>
          <w:tcPr>
            <w:tcW w:w="401" w:type="pct"/>
            <w:tcBorders>
              <w:tl2br w:val="nil"/>
              <w:tr2bl w:val="nil"/>
            </w:tcBorders>
            <w:vAlign w:val="bottom"/>
          </w:tcPr>
          <w:p w14:paraId="729722AD">
            <w:pPr>
              <w:pStyle w:val="41"/>
              <w:rPr>
                <w:color w:val="auto"/>
                <w:highlight w:val="none"/>
              </w:rPr>
            </w:pPr>
            <w:r>
              <w:rPr>
                <w:color w:val="auto"/>
                <w:highlight w:val="none"/>
              </w:rPr>
              <w:t>15</w:t>
            </w:r>
          </w:p>
        </w:tc>
        <w:tc>
          <w:tcPr>
            <w:tcW w:w="405" w:type="pct"/>
            <w:tcBorders>
              <w:tl2br w:val="nil"/>
              <w:tr2bl w:val="nil"/>
            </w:tcBorders>
            <w:vAlign w:val="bottom"/>
          </w:tcPr>
          <w:p w14:paraId="12800C59">
            <w:pPr>
              <w:pStyle w:val="41"/>
              <w:rPr>
                <w:color w:val="auto"/>
                <w:highlight w:val="none"/>
              </w:rPr>
            </w:pPr>
            <w:r>
              <w:rPr>
                <w:color w:val="auto"/>
                <w:highlight w:val="none"/>
              </w:rPr>
              <w:t>0.5</w:t>
            </w:r>
          </w:p>
        </w:tc>
        <w:tc>
          <w:tcPr>
            <w:tcW w:w="405" w:type="pct"/>
            <w:tcBorders>
              <w:tl2br w:val="nil"/>
              <w:tr2bl w:val="nil"/>
            </w:tcBorders>
            <w:vAlign w:val="bottom"/>
          </w:tcPr>
          <w:p w14:paraId="4A333048">
            <w:pPr>
              <w:pStyle w:val="41"/>
              <w:rPr>
                <w:color w:val="auto"/>
                <w:highlight w:val="none"/>
              </w:rPr>
            </w:pPr>
            <w:r>
              <w:rPr>
                <w:color w:val="auto"/>
                <w:highlight w:val="none"/>
              </w:rPr>
              <w:t>20</w:t>
            </w:r>
          </w:p>
        </w:tc>
        <w:tc>
          <w:tcPr>
            <w:tcW w:w="1251" w:type="dxa"/>
            <w:tcBorders>
              <w:tl2br w:val="nil"/>
              <w:tr2bl w:val="nil"/>
            </w:tcBorders>
            <w:vAlign w:val="center"/>
          </w:tcPr>
          <w:p w14:paraId="624D32AF">
            <w:pPr>
              <w:pStyle w:val="41"/>
              <w:rPr>
                <w:rFonts w:hint="default" w:eastAsia="华文中宋"/>
                <w:color w:val="auto"/>
                <w:highlight w:val="none"/>
                <w:lang w:val="en-US" w:eastAsia="zh-CN"/>
              </w:rPr>
            </w:pPr>
            <w:r>
              <w:rPr>
                <w:rFonts w:hint="eastAsia"/>
                <w:color w:val="auto"/>
                <w:highlight w:val="none"/>
                <w:lang w:val="en-US" w:eastAsia="zh-CN"/>
              </w:rPr>
              <w:t>53641.65</w:t>
            </w:r>
          </w:p>
        </w:tc>
        <w:tc>
          <w:tcPr>
            <w:tcW w:w="398" w:type="pct"/>
            <w:tcBorders>
              <w:tl2br w:val="nil"/>
              <w:tr2bl w:val="nil"/>
            </w:tcBorders>
            <w:vAlign w:val="center"/>
          </w:tcPr>
          <w:p w14:paraId="5D10373D">
            <w:pPr>
              <w:pStyle w:val="41"/>
              <w:rPr>
                <w:color w:val="auto"/>
                <w:highlight w:val="none"/>
              </w:rPr>
            </w:pPr>
            <w:r>
              <w:rPr>
                <w:color w:val="auto"/>
                <w:highlight w:val="none"/>
              </w:rPr>
              <w:t>/</w:t>
            </w:r>
          </w:p>
        </w:tc>
        <w:tc>
          <w:tcPr>
            <w:tcW w:w="474" w:type="pct"/>
            <w:tcBorders>
              <w:tl2br w:val="nil"/>
              <w:tr2bl w:val="nil"/>
            </w:tcBorders>
            <w:vAlign w:val="center"/>
          </w:tcPr>
          <w:p w14:paraId="43F58FDA">
            <w:pPr>
              <w:pStyle w:val="41"/>
              <w:rPr>
                <w:color w:val="auto"/>
                <w:highlight w:val="none"/>
              </w:rPr>
            </w:pPr>
            <w:r>
              <w:rPr>
                <w:color w:val="auto"/>
                <w:highlight w:val="none"/>
              </w:rPr>
              <w:t>/</w:t>
            </w:r>
          </w:p>
        </w:tc>
        <w:tc>
          <w:tcPr>
            <w:tcW w:w="481" w:type="pct"/>
            <w:tcBorders>
              <w:tl2br w:val="nil"/>
              <w:tr2bl w:val="nil"/>
            </w:tcBorders>
            <w:vAlign w:val="center"/>
          </w:tcPr>
          <w:p w14:paraId="6A031E69">
            <w:pPr>
              <w:pStyle w:val="41"/>
              <w:rPr>
                <w:color w:val="auto"/>
                <w:highlight w:val="none"/>
              </w:rPr>
            </w:pPr>
            <w:r>
              <w:rPr>
                <w:color w:val="auto"/>
                <w:highlight w:val="none"/>
              </w:rPr>
              <w:t>/</w:t>
            </w:r>
          </w:p>
        </w:tc>
        <w:tc>
          <w:tcPr>
            <w:tcW w:w="1715" w:type="dxa"/>
            <w:tcBorders>
              <w:tl2br w:val="nil"/>
              <w:tr2bl w:val="nil"/>
            </w:tcBorders>
            <w:vAlign w:val="center"/>
          </w:tcPr>
          <w:p w14:paraId="4837B2CB">
            <w:pPr>
              <w:pStyle w:val="41"/>
              <w:rPr>
                <w:rFonts w:hint="default" w:eastAsia="华文中宋"/>
                <w:color w:val="auto"/>
                <w:highlight w:val="none"/>
                <w:lang w:val="en-US" w:eastAsia="zh-CN"/>
              </w:rPr>
            </w:pPr>
            <w:r>
              <w:rPr>
                <w:rFonts w:hint="eastAsia"/>
                <w:color w:val="auto"/>
                <w:highlight w:val="none"/>
                <w:lang w:val="en-US" w:eastAsia="zh-CN"/>
              </w:rPr>
              <w:t>37.959</w:t>
            </w:r>
          </w:p>
        </w:tc>
      </w:tr>
      <w:tr w14:paraId="6DF0ED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2" w:type="pct"/>
            <w:tcBorders>
              <w:tl2br w:val="nil"/>
              <w:tr2bl w:val="nil"/>
            </w:tcBorders>
            <w:vAlign w:val="center"/>
          </w:tcPr>
          <w:p w14:paraId="4E506ACF">
            <w:pPr>
              <w:pStyle w:val="41"/>
              <w:rPr>
                <w:color w:val="auto"/>
                <w:highlight w:val="none"/>
              </w:rPr>
            </w:pPr>
            <w:r>
              <w:rPr>
                <w:color w:val="auto"/>
                <w:highlight w:val="none"/>
              </w:rPr>
              <w:t>3</w:t>
            </w:r>
          </w:p>
        </w:tc>
        <w:tc>
          <w:tcPr>
            <w:tcW w:w="1149" w:type="pct"/>
            <w:tcBorders>
              <w:tl2br w:val="nil"/>
              <w:tr2bl w:val="nil"/>
            </w:tcBorders>
            <w:vAlign w:val="center"/>
          </w:tcPr>
          <w:p w14:paraId="06DEE0F5">
            <w:pPr>
              <w:pStyle w:val="41"/>
              <w:rPr>
                <w:color w:val="auto"/>
                <w:highlight w:val="none"/>
              </w:rPr>
            </w:pPr>
            <w:r>
              <w:rPr>
                <w:color w:val="auto"/>
                <w:highlight w:val="none"/>
              </w:rPr>
              <w:t>细碎车间</w:t>
            </w:r>
          </w:p>
        </w:tc>
        <w:tc>
          <w:tcPr>
            <w:tcW w:w="401" w:type="pct"/>
            <w:tcBorders>
              <w:tl2br w:val="nil"/>
              <w:tr2bl w:val="nil"/>
            </w:tcBorders>
            <w:vAlign w:val="bottom"/>
          </w:tcPr>
          <w:p w14:paraId="1FA4C389">
            <w:pPr>
              <w:pStyle w:val="41"/>
              <w:rPr>
                <w:color w:val="auto"/>
                <w:highlight w:val="none"/>
              </w:rPr>
            </w:pPr>
            <w:r>
              <w:rPr>
                <w:color w:val="auto"/>
                <w:highlight w:val="none"/>
              </w:rPr>
              <w:t>15</w:t>
            </w:r>
          </w:p>
        </w:tc>
        <w:tc>
          <w:tcPr>
            <w:tcW w:w="405" w:type="pct"/>
            <w:tcBorders>
              <w:tl2br w:val="nil"/>
              <w:tr2bl w:val="nil"/>
            </w:tcBorders>
            <w:vAlign w:val="bottom"/>
          </w:tcPr>
          <w:p w14:paraId="3D0A5988">
            <w:pPr>
              <w:pStyle w:val="41"/>
              <w:rPr>
                <w:color w:val="auto"/>
                <w:highlight w:val="none"/>
              </w:rPr>
            </w:pPr>
            <w:r>
              <w:rPr>
                <w:color w:val="auto"/>
                <w:highlight w:val="none"/>
              </w:rPr>
              <w:t>0.5</w:t>
            </w:r>
          </w:p>
        </w:tc>
        <w:tc>
          <w:tcPr>
            <w:tcW w:w="405" w:type="pct"/>
            <w:tcBorders>
              <w:tl2br w:val="nil"/>
              <w:tr2bl w:val="nil"/>
            </w:tcBorders>
            <w:vAlign w:val="bottom"/>
          </w:tcPr>
          <w:p w14:paraId="0BA8E566">
            <w:pPr>
              <w:pStyle w:val="41"/>
              <w:rPr>
                <w:color w:val="auto"/>
                <w:highlight w:val="none"/>
              </w:rPr>
            </w:pPr>
            <w:r>
              <w:rPr>
                <w:color w:val="auto"/>
                <w:highlight w:val="none"/>
              </w:rPr>
              <w:t>20</w:t>
            </w:r>
          </w:p>
        </w:tc>
        <w:tc>
          <w:tcPr>
            <w:tcW w:w="1251" w:type="dxa"/>
            <w:tcBorders>
              <w:tl2br w:val="nil"/>
              <w:tr2bl w:val="nil"/>
            </w:tcBorders>
            <w:vAlign w:val="center"/>
          </w:tcPr>
          <w:p w14:paraId="6737A64D">
            <w:pPr>
              <w:pStyle w:val="41"/>
              <w:rPr>
                <w:rFonts w:hint="default" w:eastAsia="华文中宋"/>
                <w:color w:val="auto"/>
                <w:highlight w:val="none"/>
                <w:lang w:val="en-US" w:eastAsia="zh-CN"/>
              </w:rPr>
            </w:pPr>
            <w:r>
              <w:rPr>
                <w:rFonts w:hint="eastAsia"/>
                <w:color w:val="auto"/>
                <w:highlight w:val="none"/>
                <w:lang w:val="en-US" w:eastAsia="zh-CN"/>
              </w:rPr>
              <w:t>53641.65</w:t>
            </w:r>
          </w:p>
        </w:tc>
        <w:tc>
          <w:tcPr>
            <w:tcW w:w="398" w:type="pct"/>
            <w:tcBorders>
              <w:tl2br w:val="nil"/>
              <w:tr2bl w:val="nil"/>
            </w:tcBorders>
            <w:vAlign w:val="center"/>
          </w:tcPr>
          <w:p w14:paraId="177F739D">
            <w:pPr>
              <w:pStyle w:val="41"/>
              <w:rPr>
                <w:color w:val="auto"/>
                <w:highlight w:val="none"/>
              </w:rPr>
            </w:pPr>
            <w:r>
              <w:rPr>
                <w:color w:val="auto"/>
                <w:highlight w:val="none"/>
              </w:rPr>
              <w:t>/</w:t>
            </w:r>
          </w:p>
        </w:tc>
        <w:tc>
          <w:tcPr>
            <w:tcW w:w="474" w:type="pct"/>
            <w:tcBorders>
              <w:tl2br w:val="nil"/>
              <w:tr2bl w:val="nil"/>
            </w:tcBorders>
            <w:vAlign w:val="center"/>
          </w:tcPr>
          <w:p w14:paraId="7F639274">
            <w:pPr>
              <w:pStyle w:val="41"/>
              <w:rPr>
                <w:color w:val="auto"/>
                <w:highlight w:val="none"/>
              </w:rPr>
            </w:pPr>
            <w:r>
              <w:rPr>
                <w:color w:val="auto"/>
                <w:highlight w:val="none"/>
              </w:rPr>
              <w:t>/</w:t>
            </w:r>
          </w:p>
        </w:tc>
        <w:tc>
          <w:tcPr>
            <w:tcW w:w="481" w:type="pct"/>
            <w:tcBorders>
              <w:tl2br w:val="nil"/>
              <w:tr2bl w:val="nil"/>
            </w:tcBorders>
            <w:vAlign w:val="center"/>
          </w:tcPr>
          <w:p w14:paraId="59963D4B">
            <w:pPr>
              <w:pStyle w:val="41"/>
              <w:rPr>
                <w:color w:val="auto"/>
                <w:highlight w:val="none"/>
              </w:rPr>
            </w:pPr>
            <w:r>
              <w:rPr>
                <w:color w:val="auto"/>
                <w:highlight w:val="none"/>
              </w:rPr>
              <w:t>/</w:t>
            </w:r>
          </w:p>
        </w:tc>
        <w:tc>
          <w:tcPr>
            <w:tcW w:w="1715" w:type="dxa"/>
            <w:tcBorders>
              <w:tl2br w:val="nil"/>
              <w:tr2bl w:val="nil"/>
            </w:tcBorders>
            <w:vAlign w:val="center"/>
          </w:tcPr>
          <w:p w14:paraId="71D994D5">
            <w:pPr>
              <w:pStyle w:val="41"/>
              <w:rPr>
                <w:rFonts w:hint="default" w:eastAsia="华文中宋"/>
                <w:color w:val="auto"/>
                <w:highlight w:val="none"/>
                <w:lang w:val="en-US" w:eastAsia="zh-CN"/>
              </w:rPr>
            </w:pPr>
            <w:r>
              <w:rPr>
                <w:rFonts w:hint="eastAsia"/>
                <w:color w:val="auto"/>
                <w:highlight w:val="none"/>
                <w:lang w:val="en-US" w:eastAsia="zh-CN"/>
              </w:rPr>
              <w:t>37.959</w:t>
            </w:r>
          </w:p>
        </w:tc>
      </w:tr>
      <w:tr w14:paraId="76E9AD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5" w:hRule="atLeast"/>
          <w:jc w:val="center"/>
        </w:trPr>
        <w:tc>
          <w:tcPr>
            <w:tcW w:w="232" w:type="pct"/>
            <w:tcBorders>
              <w:tl2br w:val="nil"/>
              <w:tr2bl w:val="nil"/>
            </w:tcBorders>
            <w:vAlign w:val="center"/>
          </w:tcPr>
          <w:p w14:paraId="627BABEF">
            <w:pPr>
              <w:pStyle w:val="41"/>
              <w:rPr>
                <w:color w:val="auto"/>
                <w:highlight w:val="none"/>
              </w:rPr>
            </w:pPr>
            <w:r>
              <w:rPr>
                <w:color w:val="auto"/>
                <w:highlight w:val="none"/>
              </w:rPr>
              <w:t>4</w:t>
            </w:r>
          </w:p>
        </w:tc>
        <w:tc>
          <w:tcPr>
            <w:tcW w:w="1149" w:type="pct"/>
            <w:tcBorders>
              <w:tl2br w:val="nil"/>
              <w:tr2bl w:val="nil"/>
            </w:tcBorders>
            <w:vAlign w:val="center"/>
          </w:tcPr>
          <w:p w14:paraId="1A88A575">
            <w:pPr>
              <w:pStyle w:val="41"/>
              <w:rPr>
                <w:color w:val="auto"/>
                <w:highlight w:val="none"/>
              </w:rPr>
            </w:pPr>
            <w:r>
              <w:rPr>
                <w:color w:val="auto"/>
                <w:highlight w:val="none"/>
              </w:rPr>
              <w:t>1号振动筛分车间</w:t>
            </w:r>
          </w:p>
        </w:tc>
        <w:tc>
          <w:tcPr>
            <w:tcW w:w="401" w:type="pct"/>
            <w:tcBorders>
              <w:tl2br w:val="nil"/>
              <w:tr2bl w:val="nil"/>
            </w:tcBorders>
            <w:vAlign w:val="bottom"/>
          </w:tcPr>
          <w:p w14:paraId="02686CB3">
            <w:pPr>
              <w:pStyle w:val="41"/>
              <w:rPr>
                <w:color w:val="auto"/>
                <w:highlight w:val="none"/>
              </w:rPr>
            </w:pPr>
            <w:r>
              <w:rPr>
                <w:color w:val="auto"/>
                <w:highlight w:val="none"/>
              </w:rPr>
              <w:t>15</w:t>
            </w:r>
          </w:p>
        </w:tc>
        <w:tc>
          <w:tcPr>
            <w:tcW w:w="405" w:type="pct"/>
            <w:tcBorders>
              <w:tl2br w:val="nil"/>
              <w:tr2bl w:val="nil"/>
            </w:tcBorders>
            <w:vAlign w:val="bottom"/>
          </w:tcPr>
          <w:p w14:paraId="115B358B">
            <w:pPr>
              <w:pStyle w:val="41"/>
              <w:rPr>
                <w:color w:val="auto"/>
                <w:highlight w:val="none"/>
              </w:rPr>
            </w:pPr>
            <w:r>
              <w:rPr>
                <w:color w:val="auto"/>
                <w:highlight w:val="none"/>
              </w:rPr>
              <w:t>0.5</w:t>
            </w:r>
          </w:p>
        </w:tc>
        <w:tc>
          <w:tcPr>
            <w:tcW w:w="405" w:type="pct"/>
            <w:tcBorders>
              <w:tl2br w:val="nil"/>
              <w:tr2bl w:val="nil"/>
            </w:tcBorders>
            <w:vAlign w:val="bottom"/>
          </w:tcPr>
          <w:p w14:paraId="45E752DA">
            <w:pPr>
              <w:pStyle w:val="41"/>
              <w:rPr>
                <w:color w:val="auto"/>
                <w:highlight w:val="none"/>
              </w:rPr>
            </w:pPr>
            <w:r>
              <w:rPr>
                <w:color w:val="auto"/>
                <w:highlight w:val="none"/>
              </w:rPr>
              <w:t>20</w:t>
            </w:r>
          </w:p>
        </w:tc>
        <w:tc>
          <w:tcPr>
            <w:tcW w:w="1251" w:type="dxa"/>
            <w:tcBorders>
              <w:tl2br w:val="nil"/>
              <w:tr2bl w:val="nil"/>
            </w:tcBorders>
            <w:vAlign w:val="center"/>
          </w:tcPr>
          <w:p w14:paraId="47ADF1D4">
            <w:pPr>
              <w:pStyle w:val="41"/>
              <w:rPr>
                <w:rFonts w:hint="default" w:eastAsia="华文中宋"/>
                <w:color w:val="auto"/>
                <w:highlight w:val="none"/>
                <w:lang w:val="en-US" w:eastAsia="zh-CN"/>
              </w:rPr>
            </w:pPr>
            <w:r>
              <w:rPr>
                <w:rFonts w:hint="eastAsia"/>
                <w:color w:val="auto"/>
                <w:highlight w:val="none"/>
                <w:lang w:val="en-US" w:eastAsia="zh-CN"/>
              </w:rPr>
              <w:t>53641.65</w:t>
            </w:r>
          </w:p>
        </w:tc>
        <w:tc>
          <w:tcPr>
            <w:tcW w:w="398" w:type="pct"/>
            <w:tcBorders>
              <w:tl2br w:val="nil"/>
              <w:tr2bl w:val="nil"/>
            </w:tcBorders>
            <w:vAlign w:val="center"/>
          </w:tcPr>
          <w:p w14:paraId="1FAB5C8F">
            <w:pPr>
              <w:pStyle w:val="41"/>
              <w:rPr>
                <w:color w:val="auto"/>
                <w:highlight w:val="none"/>
              </w:rPr>
            </w:pPr>
            <w:r>
              <w:rPr>
                <w:color w:val="auto"/>
                <w:highlight w:val="none"/>
              </w:rPr>
              <w:t>/</w:t>
            </w:r>
          </w:p>
        </w:tc>
        <w:tc>
          <w:tcPr>
            <w:tcW w:w="474" w:type="pct"/>
            <w:tcBorders>
              <w:tl2br w:val="nil"/>
              <w:tr2bl w:val="nil"/>
            </w:tcBorders>
            <w:vAlign w:val="center"/>
          </w:tcPr>
          <w:p w14:paraId="40ABB2C8">
            <w:pPr>
              <w:pStyle w:val="41"/>
              <w:rPr>
                <w:color w:val="auto"/>
                <w:highlight w:val="none"/>
              </w:rPr>
            </w:pPr>
            <w:r>
              <w:rPr>
                <w:color w:val="auto"/>
                <w:highlight w:val="none"/>
              </w:rPr>
              <w:t>/</w:t>
            </w:r>
          </w:p>
        </w:tc>
        <w:tc>
          <w:tcPr>
            <w:tcW w:w="481" w:type="pct"/>
            <w:tcBorders>
              <w:tl2br w:val="nil"/>
              <w:tr2bl w:val="nil"/>
            </w:tcBorders>
            <w:vAlign w:val="center"/>
          </w:tcPr>
          <w:p w14:paraId="1EE058BF">
            <w:pPr>
              <w:pStyle w:val="41"/>
              <w:rPr>
                <w:color w:val="auto"/>
                <w:highlight w:val="none"/>
              </w:rPr>
            </w:pPr>
            <w:r>
              <w:rPr>
                <w:color w:val="auto"/>
                <w:highlight w:val="none"/>
              </w:rPr>
              <w:t>/</w:t>
            </w:r>
          </w:p>
        </w:tc>
        <w:tc>
          <w:tcPr>
            <w:tcW w:w="1715" w:type="dxa"/>
            <w:tcBorders>
              <w:tl2br w:val="nil"/>
              <w:tr2bl w:val="nil"/>
            </w:tcBorders>
            <w:vAlign w:val="center"/>
          </w:tcPr>
          <w:p w14:paraId="7104A990">
            <w:pPr>
              <w:pStyle w:val="41"/>
              <w:rPr>
                <w:rFonts w:hint="default" w:eastAsia="华文中宋"/>
                <w:color w:val="auto"/>
                <w:highlight w:val="none"/>
                <w:lang w:val="en-US" w:eastAsia="zh-CN"/>
              </w:rPr>
            </w:pPr>
            <w:r>
              <w:rPr>
                <w:rFonts w:hint="eastAsia"/>
                <w:color w:val="auto"/>
                <w:highlight w:val="none"/>
                <w:lang w:val="en-US" w:eastAsia="zh-CN"/>
              </w:rPr>
              <w:t>37.959</w:t>
            </w:r>
          </w:p>
        </w:tc>
      </w:tr>
      <w:tr w14:paraId="466368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2" w:type="pct"/>
            <w:tcBorders>
              <w:tl2br w:val="nil"/>
              <w:tr2bl w:val="nil"/>
            </w:tcBorders>
            <w:vAlign w:val="center"/>
          </w:tcPr>
          <w:p w14:paraId="3DA86C1F">
            <w:pPr>
              <w:pStyle w:val="41"/>
              <w:rPr>
                <w:color w:val="auto"/>
                <w:highlight w:val="none"/>
              </w:rPr>
            </w:pPr>
            <w:r>
              <w:rPr>
                <w:color w:val="auto"/>
                <w:highlight w:val="none"/>
              </w:rPr>
              <w:t>5</w:t>
            </w:r>
          </w:p>
        </w:tc>
        <w:tc>
          <w:tcPr>
            <w:tcW w:w="1149" w:type="pct"/>
            <w:tcBorders>
              <w:tl2br w:val="nil"/>
              <w:tr2bl w:val="nil"/>
            </w:tcBorders>
            <w:vAlign w:val="center"/>
          </w:tcPr>
          <w:p w14:paraId="50CF775F">
            <w:pPr>
              <w:pStyle w:val="41"/>
              <w:rPr>
                <w:color w:val="auto"/>
                <w:highlight w:val="none"/>
              </w:rPr>
            </w:pPr>
            <w:r>
              <w:rPr>
                <w:color w:val="auto"/>
                <w:highlight w:val="none"/>
              </w:rPr>
              <w:t>2号振动筛分车间</w:t>
            </w:r>
          </w:p>
        </w:tc>
        <w:tc>
          <w:tcPr>
            <w:tcW w:w="401" w:type="pct"/>
            <w:tcBorders>
              <w:tl2br w:val="nil"/>
              <w:tr2bl w:val="nil"/>
            </w:tcBorders>
            <w:vAlign w:val="bottom"/>
          </w:tcPr>
          <w:p w14:paraId="51B20B8D">
            <w:pPr>
              <w:pStyle w:val="41"/>
              <w:rPr>
                <w:color w:val="auto"/>
                <w:highlight w:val="none"/>
              </w:rPr>
            </w:pPr>
            <w:r>
              <w:rPr>
                <w:color w:val="auto"/>
                <w:highlight w:val="none"/>
              </w:rPr>
              <w:t>15</w:t>
            </w:r>
          </w:p>
        </w:tc>
        <w:tc>
          <w:tcPr>
            <w:tcW w:w="405" w:type="pct"/>
            <w:tcBorders>
              <w:tl2br w:val="nil"/>
              <w:tr2bl w:val="nil"/>
            </w:tcBorders>
            <w:vAlign w:val="bottom"/>
          </w:tcPr>
          <w:p w14:paraId="3BE543D0">
            <w:pPr>
              <w:pStyle w:val="41"/>
              <w:rPr>
                <w:color w:val="auto"/>
                <w:highlight w:val="none"/>
              </w:rPr>
            </w:pPr>
            <w:r>
              <w:rPr>
                <w:color w:val="auto"/>
                <w:highlight w:val="none"/>
              </w:rPr>
              <w:t>0.5</w:t>
            </w:r>
          </w:p>
        </w:tc>
        <w:tc>
          <w:tcPr>
            <w:tcW w:w="405" w:type="pct"/>
            <w:tcBorders>
              <w:tl2br w:val="nil"/>
              <w:tr2bl w:val="nil"/>
            </w:tcBorders>
            <w:vAlign w:val="bottom"/>
          </w:tcPr>
          <w:p w14:paraId="7DB65D2B">
            <w:pPr>
              <w:pStyle w:val="41"/>
              <w:rPr>
                <w:color w:val="auto"/>
                <w:highlight w:val="none"/>
              </w:rPr>
            </w:pPr>
            <w:r>
              <w:rPr>
                <w:color w:val="auto"/>
                <w:highlight w:val="none"/>
              </w:rPr>
              <w:t>20</w:t>
            </w:r>
          </w:p>
        </w:tc>
        <w:tc>
          <w:tcPr>
            <w:tcW w:w="1251" w:type="dxa"/>
            <w:tcBorders>
              <w:tl2br w:val="nil"/>
              <w:tr2bl w:val="nil"/>
            </w:tcBorders>
            <w:vAlign w:val="center"/>
          </w:tcPr>
          <w:p w14:paraId="433C8259">
            <w:pPr>
              <w:pStyle w:val="41"/>
              <w:rPr>
                <w:rFonts w:hint="default" w:eastAsia="华文中宋"/>
                <w:color w:val="auto"/>
                <w:highlight w:val="none"/>
                <w:lang w:val="en-US" w:eastAsia="zh-CN"/>
              </w:rPr>
            </w:pPr>
            <w:r>
              <w:rPr>
                <w:rFonts w:hint="eastAsia"/>
                <w:color w:val="auto"/>
                <w:highlight w:val="none"/>
                <w:lang w:val="en-US" w:eastAsia="zh-CN"/>
              </w:rPr>
              <w:t>53641.65</w:t>
            </w:r>
          </w:p>
        </w:tc>
        <w:tc>
          <w:tcPr>
            <w:tcW w:w="398" w:type="pct"/>
            <w:tcBorders>
              <w:tl2br w:val="nil"/>
              <w:tr2bl w:val="nil"/>
            </w:tcBorders>
            <w:vAlign w:val="center"/>
          </w:tcPr>
          <w:p w14:paraId="29CC83BD">
            <w:pPr>
              <w:pStyle w:val="41"/>
              <w:rPr>
                <w:color w:val="auto"/>
                <w:highlight w:val="none"/>
              </w:rPr>
            </w:pPr>
            <w:r>
              <w:rPr>
                <w:color w:val="auto"/>
                <w:highlight w:val="none"/>
              </w:rPr>
              <w:t>/</w:t>
            </w:r>
          </w:p>
        </w:tc>
        <w:tc>
          <w:tcPr>
            <w:tcW w:w="474" w:type="pct"/>
            <w:tcBorders>
              <w:tl2br w:val="nil"/>
              <w:tr2bl w:val="nil"/>
            </w:tcBorders>
            <w:vAlign w:val="center"/>
          </w:tcPr>
          <w:p w14:paraId="0ED7140F">
            <w:pPr>
              <w:pStyle w:val="41"/>
              <w:rPr>
                <w:color w:val="auto"/>
                <w:highlight w:val="none"/>
              </w:rPr>
            </w:pPr>
            <w:r>
              <w:rPr>
                <w:color w:val="auto"/>
                <w:highlight w:val="none"/>
              </w:rPr>
              <w:t>/</w:t>
            </w:r>
          </w:p>
        </w:tc>
        <w:tc>
          <w:tcPr>
            <w:tcW w:w="481" w:type="pct"/>
            <w:tcBorders>
              <w:tl2br w:val="nil"/>
              <w:tr2bl w:val="nil"/>
            </w:tcBorders>
            <w:vAlign w:val="center"/>
          </w:tcPr>
          <w:p w14:paraId="575885EA">
            <w:pPr>
              <w:pStyle w:val="41"/>
              <w:rPr>
                <w:color w:val="auto"/>
                <w:highlight w:val="none"/>
              </w:rPr>
            </w:pPr>
            <w:r>
              <w:rPr>
                <w:color w:val="auto"/>
                <w:highlight w:val="none"/>
              </w:rPr>
              <w:t>/</w:t>
            </w:r>
          </w:p>
        </w:tc>
        <w:tc>
          <w:tcPr>
            <w:tcW w:w="1715" w:type="dxa"/>
            <w:tcBorders>
              <w:tl2br w:val="nil"/>
              <w:tr2bl w:val="nil"/>
            </w:tcBorders>
            <w:vAlign w:val="center"/>
          </w:tcPr>
          <w:p w14:paraId="5038F15E">
            <w:pPr>
              <w:pStyle w:val="41"/>
              <w:rPr>
                <w:rFonts w:hint="default" w:eastAsia="华文中宋"/>
                <w:color w:val="auto"/>
                <w:highlight w:val="none"/>
                <w:lang w:val="en-US" w:eastAsia="zh-CN"/>
              </w:rPr>
            </w:pPr>
            <w:r>
              <w:rPr>
                <w:rFonts w:hint="eastAsia"/>
                <w:color w:val="auto"/>
                <w:highlight w:val="none"/>
                <w:lang w:val="en-US" w:eastAsia="zh-CN"/>
              </w:rPr>
              <w:t>37.959</w:t>
            </w:r>
          </w:p>
        </w:tc>
      </w:tr>
      <w:tr w14:paraId="59B906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2" w:type="pct"/>
            <w:tcBorders>
              <w:tl2br w:val="nil"/>
              <w:tr2bl w:val="nil"/>
            </w:tcBorders>
            <w:vAlign w:val="center"/>
          </w:tcPr>
          <w:p w14:paraId="07A95507">
            <w:pPr>
              <w:pStyle w:val="41"/>
              <w:rPr>
                <w:color w:val="auto"/>
                <w:highlight w:val="none"/>
              </w:rPr>
            </w:pPr>
            <w:r>
              <w:rPr>
                <w:color w:val="auto"/>
                <w:highlight w:val="none"/>
              </w:rPr>
              <w:t>6</w:t>
            </w:r>
          </w:p>
        </w:tc>
        <w:tc>
          <w:tcPr>
            <w:tcW w:w="1149" w:type="pct"/>
            <w:tcBorders>
              <w:tl2br w:val="nil"/>
              <w:tr2bl w:val="nil"/>
            </w:tcBorders>
            <w:vAlign w:val="center"/>
          </w:tcPr>
          <w:p w14:paraId="1B54E02E">
            <w:pPr>
              <w:pStyle w:val="41"/>
              <w:rPr>
                <w:color w:val="auto"/>
                <w:highlight w:val="none"/>
              </w:rPr>
            </w:pPr>
            <w:r>
              <w:rPr>
                <w:color w:val="auto"/>
                <w:highlight w:val="none"/>
              </w:rPr>
              <w:t>3号振动筛分车间</w:t>
            </w:r>
          </w:p>
        </w:tc>
        <w:tc>
          <w:tcPr>
            <w:tcW w:w="401" w:type="pct"/>
            <w:tcBorders>
              <w:tl2br w:val="nil"/>
              <w:tr2bl w:val="nil"/>
            </w:tcBorders>
            <w:vAlign w:val="bottom"/>
          </w:tcPr>
          <w:p w14:paraId="652A28DD">
            <w:pPr>
              <w:pStyle w:val="41"/>
              <w:rPr>
                <w:color w:val="auto"/>
                <w:highlight w:val="none"/>
              </w:rPr>
            </w:pPr>
            <w:r>
              <w:rPr>
                <w:color w:val="auto"/>
                <w:highlight w:val="none"/>
              </w:rPr>
              <w:t>15</w:t>
            </w:r>
          </w:p>
        </w:tc>
        <w:tc>
          <w:tcPr>
            <w:tcW w:w="405" w:type="pct"/>
            <w:tcBorders>
              <w:tl2br w:val="nil"/>
              <w:tr2bl w:val="nil"/>
            </w:tcBorders>
            <w:vAlign w:val="bottom"/>
          </w:tcPr>
          <w:p w14:paraId="75C84CC9">
            <w:pPr>
              <w:pStyle w:val="41"/>
              <w:rPr>
                <w:color w:val="auto"/>
                <w:highlight w:val="none"/>
              </w:rPr>
            </w:pPr>
            <w:r>
              <w:rPr>
                <w:color w:val="auto"/>
                <w:highlight w:val="none"/>
              </w:rPr>
              <w:t>0.5</w:t>
            </w:r>
          </w:p>
        </w:tc>
        <w:tc>
          <w:tcPr>
            <w:tcW w:w="405" w:type="pct"/>
            <w:tcBorders>
              <w:tl2br w:val="nil"/>
              <w:tr2bl w:val="nil"/>
            </w:tcBorders>
            <w:vAlign w:val="bottom"/>
          </w:tcPr>
          <w:p w14:paraId="34F0D906">
            <w:pPr>
              <w:pStyle w:val="41"/>
              <w:rPr>
                <w:color w:val="auto"/>
                <w:highlight w:val="none"/>
              </w:rPr>
            </w:pPr>
            <w:r>
              <w:rPr>
                <w:color w:val="auto"/>
                <w:highlight w:val="none"/>
              </w:rPr>
              <w:t>20</w:t>
            </w:r>
          </w:p>
        </w:tc>
        <w:tc>
          <w:tcPr>
            <w:tcW w:w="1251" w:type="dxa"/>
            <w:tcBorders>
              <w:tl2br w:val="nil"/>
              <w:tr2bl w:val="nil"/>
            </w:tcBorders>
            <w:vAlign w:val="center"/>
          </w:tcPr>
          <w:p w14:paraId="0A38BD22">
            <w:pPr>
              <w:pStyle w:val="41"/>
              <w:rPr>
                <w:rFonts w:hint="default" w:eastAsia="华文中宋"/>
                <w:color w:val="auto"/>
                <w:highlight w:val="none"/>
                <w:lang w:val="en-US" w:eastAsia="zh-CN"/>
              </w:rPr>
            </w:pPr>
            <w:r>
              <w:rPr>
                <w:rFonts w:hint="eastAsia"/>
                <w:color w:val="auto"/>
                <w:highlight w:val="none"/>
                <w:lang w:val="en-US" w:eastAsia="zh-CN"/>
              </w:rPr>
              <w:t>53641.65</w:t>
            </w:r>
          </w:p>
        </w:tc>
        <w:tc>
          <w:tcPr>
            <w:tcW w:w="398" w:type="pct"/>
            <w:tcBorders>
              <w:tl2br w:val="nil"/>
              <w:tr2bl w:val="nil"/>
            </w:tcBorders>
            <w:vAlign w:val="center"/>
          </w:tcPr>
          <w:p w14:paraId="3EA26A77">
            <w:pPr>
              <w:pStyle w:val="41"/>
              <w:rPr>
                <w:color w:val="auto"/>
                <w:highlight w:val="none"/>
              </w:rPr>
            </w:pPr>
            <w:r>
              <w:rPr>
                <w:color w:val="auto"/>
                <w:highlight w:val="none"/>
              </w:rPr>
              <w:t>/</w:t>
            </w:r>
          </w:p>
        </w:tc>
        <w:tc>
          <w:tcPr>
            <w:tcW w:w="474" w:type="pct"/>
            <w:tcBorders>
              <w:tl2br w:val="nil"/>
              <w:tr2bl w:val="nil"/>
            </w:tcBorders>
            <w:vAlign w:val="center"/>
          </w:tcPr>
          <w:p w14:paraId="7D5AD5D5">
            <w:pPr>
              <w:pStyle w:val="41"/>
              <w:rPr>
                <w:color w:val="auto"/>
                <w:highlight w:val="none"/>
              </w:rPr>
            </w:pPr>
            <w:r>
              <w:rPr>
                <w:color w:val="auto"/>
                <w:highlight w:val="none"/>
              </w:rPr>
              <w:t>/</w:t>
            </w:r>
          </w:p>
        </w:tc>
        <w:tc>
          <w:tcPr>
            <w:tcW w:w="481" w:type="pct"/>
            <w:tcBorders>
              <w:tl2br w:val="nil"/>
              <w:tr2bl w:val="nil"/>
            </w:tcBorders>
            <w:vAlign w:val="center"/>
          </w:tcPr>
          <w:p w14:paraId="4C36E0BA">
            <w:pPr>
              <w:pStyle w:val="41"/>
              <w:rPr>
                <w:color w:val="auto"/>
                <w:highlight w:val="none"/>
              </w:rPr>
            </w:pPr>
            <w:r>
              <w:rPr>
                <w:color w:val="auto"/>
                <w:highlight w:val="none"/>
              </w:rPr>
              <w:t>/</w:t>
            </w:r>
          </w:p>
        </w:tc>
        <w:tc>
          <w:tcPr>
            <w:tcW w:w="1715" w:type="dxa"/>
            <w:tcBorders>
              <w:tl2br w:val="nil"/>
              <w:tr2bl w:val="nil"/>
            </w:tcBorders>
            <w:vAlign w:val="center"/>
          </w:tcPr>
          <w:p w14:paraId="580F7D0B">
            <w:pPr>
              <w:pStyle w:val="41"/>
              <w:rPr>
                <w:rFonts w:hint="default" w:eastAsia="华文中宋"/>
                <w:color w:val="auto"/>
                <w:highlight w:val="none"/>
                <w:lang w:val="en-US" w:eastAsia="zh-CN"/>
              </w:rPr>
            </w:pPr>
            <w:r>
              <w:rPr>
                <w:rFonts w:hint="eastAsia"/>
                <w:color w:val="auto"/>
                <w:highlight w:val="none"/>
                <w:lang w:val="en-US" w:eastAsia="zh-CN"/>
              </w:rPr>
              <w:t>37.959</w:t>
            </w:r>
          </w:p>
        </w:tc>
      </w:tr>
      <w:tr w14:paraId="3C1120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2" w:type="pct"/>
            <w:tcBorders>
              <w:tl2br w:val="nil"/>
              <w:tr2bl w:val="nil"/>
            </w:tcBorders>
            <w:vAlign w:val="center"/>
          </w:tcPr>
          <w:p w14:paraId="16995FAA">
            <w:pPr>
              <w:pStyle w:val="41"/>
              <w:rPr>
                <w:color w:val="auto"/>
                <w:highlight w:val="none"/>
              </w:rPr>
            </w:pPr>
            <w:r>
              <w:rPr>
                <w:color w:val="auto"/>
                <w:highlight w:val="none"/>
              </w:rPr>
              <w:t>7</w:t>
            </w:r>
          </w:p>
        </w:tc>
        <w:tc>
          <w:tcPr>
            <w:tcW w:w="1149" w:type="pct"/>
            <w:tcBorders>
              <w:tl2br w:val="nil"/>
              <w:tr2bl w:val="nil"/>
            </w:tcBorders>
            <w:vAlign w:val="center"/>
          </w:tcPr>
          <w:p w14:paraId="457DABE5">
            <w:pPr>
              <w:pStyle w:val="41"/>
              <w:rPr>
                <w:color w:val="auto"/>
                <w:highlight w:val="none"/>
              </w:rPr>
            </w:pPr>
            <w:r>
              <w:rPr>
                <w:color w:val="auto"/>
                <w:highlight w:val="none"/>
              </w:rPr>
              <w:t>干抛磁选车间</w:t>
            </w:r>
          </w:p>
        </w:tc>
        <w:tc>
          <w:tcPr>
            <w:tcW w:w="401" w:type="pct"/>
            <w:tcBorders>
              <w:tl2br w:val="nil"/>
              <w:tr2bl w:val="nil"/>
            </w:tcBorders>
            <w:vAlign w:val="bottom"/>
          </w:tcPr>
          <w:p w14:paraId="5C3EEA37">
            <w:pPr>
              <w:pStyle w:val="41"/>
              <w:rPr>
                <w:color w:val="auto"/>
                <w:highlight w:val="none"/>
              </w:rPr>
            </w:pPr>
            <w:r>
              <w:rPr>
                <w:color w:val="auto"/>
                <w:highlight w:val="none"/>
              </w:rPr>
              <w:t>20</w:t>
            </w:r>
          </w:p>
        </w:tc>
        <w:tc>
          <w:tcPr>
            <w:tcW w:w="405" w:type="pct"/>
            <w:tcBorders>
              <w:tl2br w:val="nil"/>
              <w:tr2bl w:val="nil"/>
            </w:tcBorders>
            <w:vAlign w:val="bottom"/>
          </w:tcPr>
          <w:p w14:paraId="4C0C0866">
            <w:pPr>
              <w:pStyle w:val="41"/>
              <w:rPr>
                <w:color w:val="auto"/>
                <w:highlight w:val="none"/>
              </w:rPr>
            </w:pPr>
            <w:r>
              <w:rPr>
                <w:color w:val="auto"/>
                <w:highlight w:val="none"/>
              </w:rPr>
              <w:t>2.0</w:t>
            </w:r>
          </w:p>
        </w:tc>
        <w:tc>
          <w:tcPr>
            <w:tcW w:w="405" w:type="pct"/>
            <w:tcBorders>
              <w:tl2br w:val="nil"/>
              <w:tr2bl w:val="nil"/>
            </w:tcBorders>
            <w:vAlign w:val="bottom"/>
          </w:tcPr>
          <w:p w14:paraId="55A9FA56">
            <w:pPr>
              <w:pStyle w:val="41"/>
              <w:rPr>
                <w:color w:val="auto"/>
                <w:highlight w:val="none"/>
              </w:rPr>
            </w:pPr>
            <w:r>
              <w:rPr>
                <w:color w:val="auto"/>
                <w:highlight w:val="none"/>
              </w:rPr>
              <w:t>20</w:t>
            </w:r>
          </w:p>
        </w:tc>
        <w:tc>
          <w:tcPr>
            <w:tcW w:w="1251" w:type="dxa"/>
            <w:tcBorders>
              <w:tl2br w:val="nil"/>
              <w:tr2bl w:val="nil"/>
            </w:tcBorders>
            <w:vAlign w:val="center"/>
          </w:tcPr>
          <w:p w14:paraId="06454D3D">
            <w:pPr>
              <w:pStyle w:val="41"/>
              <w:rPr>
                <w:color w:val="auto"/>
                <w:highlight w:val="none"/>
              </w:rPr>
            </w:pPr>
            <w:r>
              <w:rPr>
                <w:color w:val="auto"/>
                <w:highlight w:val="none"/>
              </w:rPr>
              <w:t>84990.69</w:t>
            </w:r>
          </w:p>
        </w:tc>
        <w:tc>
          <w:tcPr>
            <w:tcW w:w="398" w:type="pct"/>
            <w:tcBorders>
              <w:tl2br w:val="nil"/>
              <w:tr2bl w:val="nil"/>
            </w:tcBorders>
            <w:vAlign w:val="center"/>
          </w:tcPr>
          <w:p w14:paraId="0E6EBC9D">
            <w:pPr>
              <w:pStyle w:val="41"/>
              <w:rPr>
                <w:color w:val="auto"/>
                <w:highlight w:val="none"/>
              </w:rPr>
            </w:pPr>
            <w:r>
              <w:rPr>
                <w:color w:val="auto"/>
                <w:highlight w:val="none"/>
              </w:rPr>
              <w:t>/</w:t>
            </w:r>
          </w:p>
        </w:tc>
        <w:tc>
          <w:tcPr>
            <w:tcW w:w="474" w:type="pct"/>
            <w:tcBorders>
              <w:tl2br w:val="nil"/>
              <w:tr2bl w:val="nil"/>
            </w:tcBorders>
            <w:vAlign w:val="center"/>
          </w:tcPr>
          <w:p w14:paraId="6E1DB906">
            <w:pPr>
              <w:pStyle w:val="41"/>
              <w:rPr>
                <w:color w:val="auto"/>
                <w:highlight w:val="none"/>
              </w:rPr>
            </w:pPr>
            <w:r>
              <w:rPr>
                <w:color w:val="auto"/>
                <w:highlight w:val="none"/>
              </w:rPr>
              <w:t>/</w:t>
            </w:r>
          </w:p>
        </w:tc>
        <w:tc>
          <w:tcPr>
            <w:tcW w:w="481" w:type="pct"/>
            <w:tcBorders>
              <w:tl2br w:val="nil"/>
              <w:tr2bl w:val="nil"/>
            </w:tcBorders>
            <w:vAlign w:val="center"/>
          </w:tcPr>
          <w:p w14:paraId="1019B896">
            <w:pPr>
              <w:pStyle w:val="41"/>
              <w:rPr>
                <w:color w:val="auto"/>
                <w:highlight w:val="none"/>
              </w:rPr>
            </w:pPr>
            <w:r>
              <w:rPr>
                <w:color w:val="auto"/>
                <w:highlight w:val="none"/>
              </w:rPr>
              <w:t>/</w:t>
            </w:r>
          </w:p>
        </w:tc>
        <w:tc>
          <w:tcPr>
            <w:tcW w:w="1715" w:type="dxa"/>
            <w:tcBorders>
              <w:tl2br w:val="nil"/>
              <w:tr2bl w:val="nil"/>
            </w:tcBorders>
            <w:vAlign w:val="center"/>
          </w:tcPr>
          <w:p w14:paraId="1FA6F9A7">
            <w:pPr>
              <w:pStyle w:val="41"/>
              <w:rPr>
                <w:color w:val="auto"/>
                <w:highlight w:val="none"/>
              </w:rPr>
            </w:pPr>
            <w:r>
              <w:rPr>
                <w:color w:val="auto"/>
                <w:highlight w:val="none"/>
              </w:rPr>
              <w:t>98.346</w:t>
            </w:r>
          </w:p>
        </w:tc>
      </w:tr>
      <w:tr w14:paraId="4F9B0A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2" w:type="pct"/>
            <w:tcBorders>
              <w:tl2br w:val="nil"/>
              <w:tr2bl w:val="nil"/>
            </w:tcBorders>
            <w:vAlign w:val="center"/>
          </w:tcPr>
          <w:p w14:paraId="3BE96865">
            <w:pPr>
              <w:pStyle w:val="41"/>
              <w:rPr>
                <w:color w:val="auto"/>
                <w:highlight w:val="none"/>
              </w:rPr>
            </w:pPr>
            <w:r>
              <w:rPr>
                <w:color w:val="auto"/>
                <w:highlight w:val="none"/>
              </w:rPr>
              <w:t>8</w:t>
            </w:r>
          </w:p>
        </w:tc>
        <w:tc>
          <w:tcPr>
            <w:tcW w:w="1149" w:type="pct"/>
            <w:tcBorders>
              <w:tl2br w:val="nil"/>
              <w:tr2bl w:val="nil"/>
            </w:tcBorders>
            <w:vAlign w:val="center"/>
          </w:tcPr>
          <w:p w14:paraId="5FFDC441">
            <w:pPr>
              <w:pStyle w:val="41"/>
              <w:rPr>
                <w:color w:val="auto"/>
                <w:highlight w:val="none"/>
              </w:rPr>
            </w:pPr>
            <w:r>
              <w:rPr>
                <w:color w:val="auto"/>
                <w:highlight w:val="none"/>
              </w:rPr>
              <w:t>生物质锅炉</w:t>
            </w:r>
          </w:p>
        </w:tc>
        <w:tc>
          <w:tcPr>
            <w:tcW w:w="401" w:type="pct"/>
            <w:tcBorders>
              <w:tl2br w:val="nil"/>
              <w:tr2bl w:val="nil"/>
            </w:tcBorders>
            <w:vAlign w:val="bottom"/>
          </w:tcPr>
          <w:p w14:paraId="7EF165DB">
            <w:pPr>
              <w:pStyle w:val="41"/>
              <w:rPr>
                <w:color w:val="auto"/>
                <w:highlight w:val="none"/>
              </w:rPr>
            </w:pPr>
            <w:r>
              <w:rPr>
                <w:color w:val="auto"/>
                <w:highlight w:val="none"/>
              </w:rPr>
              <w:t>40</w:t>
            </w:r>
          </w:p>
        </w:tc>
        <w:tc>
          <w:tcPr>
            <w:tcW w:w="405" w:type="pct"/>
            <w:tcBorders>
              <w:tl2br w:val="nil"/>
              <w:tr2bl w:val="nil"/>
            </w:tcBorders>
            <w:vAlign w:val="bottom"/>
          </w:tcPr>
          <w:p w14:paraId="64779895">
            <w:pPr>
              <w:pStyle w:val="41"/>
              <w:rPr>
                <w:color w:val="auto"/>
                <w:highlight w:val="none"/>
              </w:rPr>
            </w:pPr>
            <w:r>
              <w:rPr>
                <w:color w:val="auto"/>
                <w:highlight w:val="none"/>
              </w:rPr>
              <w:t>0.5</w:t>
            </w:r>
          </w:p>
        </w:tc>
        <w:tc>
          <w:tcPr>
            <w:tcW w:w="405" w:type="pct"/>
            <w:tcBorders>
              <w:tl2br w:val="nil"/>
              <w:tr2bl w:val="nil"/>
            </w:tcBorders>
            <w:vAlign w:val="bottom"/>
          </w:tcPr>
          <w:p w14:paraId="4CC26A08">
            <w:pPr>
              <w:pStyle w:val="41"/>
              <w:rPr>
                <w:color w:val="auto"/>
                <w:highlight w:val="none"/>
              </w:rPr>
            </w:pPr>
            <w:r>
              <w:rPr>
                <w:color w:val="auto"/>
                <w:highlight w:val="none"/>
              </w:rPr>
              <w:t>25</w:t>
            </w:r>
          </w:p>
        </w:tc>
        <w:tc>
          <w:tcPr>
            <w:tcW w:w="1251" w:type="dxa"/>
            <w:tcBorders>
              <w:tl2br w:val="nil"/>
              <w:tr2bl w:val="nil"/>
            </w:tcBorders>
            <w:vAlign w:val="center"/>
          </w:tcPr>
          <w:p w14:paraId="68BA5B94">
            <w:pPr>
              <w:pStyle w:val="41"/>
              <w:rPr>
                <w:color w:val="auto"/>
                <w:highlight w:val="none"/>
              </w:rPr>
            </w:pPr>
            <w:r>
              <w:rPr>
                <w:color w:val="auto"/>
                <w:highlight w:val="none"/>
              </w:rPr>
              <w:t>1684.8</w:t>
            </w:r>
          </w:p>
        </w:tc>
        <w:tc>
          <w:tcPr>
            <w:tcW w:w="398" w:type="pct"/>
            <w:tcBorders>
              <w:tl2br w:val="nil"/>
              <w:tr2bl w:val="nil"/>
            </w:tcBorders>
            <w:vAlign w:val="center"/>
          </w:tcPr>
          <w:p w14:paraId="4284C20C">
            <w:pPr>
              <w:pStyle w:val="41"/>
              <w:rPr>
                <w:color w:val="auto"/>
                <w:highlight w:val="none"/>
              </w:rPr>
            </w:pPr>
            <w:r>
              <w:rPr>
                <w:color w:val="auto"/>
                <w:highlight w:val="none"/>
              </w:rPr>
              <w:t>0.64</w:t>
            </w:r>
          </w:p>
        </w:tc>
        <w:tc>
          <w:tcPr>
            <w:tcW w:w="474" w:type="pct"/>
            <w:tcBorders>
              <w:tl2br w:val="nil"/>
              <w:tr2bl w:val="nil"/>
            </w:tcBorders>
            <w:vAlign w:val="center"/>
          </w:tcPr>
          <w:p w14:paraId="696D6450">
            <w:pPr>
              <w:pStyle w:val="41"/>
              <w:rPr>
                <w:color w:val="auto"/>
                <w:highlight w:val="none"/>
              </w:rPr>
            </w:pPr>
            <w:r>
              <w:rPr>
                <w:color w:val="auto"/>
                <w:highlight w:val="none"/>
              </w:rPr>
              <w:t>0.38</w:t>
            </w:r>
          </w:p>
        </w:tc>
        <w:tc>
          <w:tcPr>
            <w:tcW w:w="481" w:type="pct"/>
            <w:tcBorders>
              <w:tl2br w:val="nil"/>
              <w:tr2bl w:val="nil"/>
            </w:tcBorders>
            <w:vAlign w:val="center"/>
          </w:tcPr>
          <w:p w14:paraId="33F6DCA2">
            <w:pPr>
              <w:pStyle w:val="41"/>
              <w:rPr>
                <w:color w:val="auto"/>
                <w:highlight w:val="none"/>
              </w:rPr>
            </w:pPr>
            <w:r>
              <w:rPr>
                <w:color w:val="auto"/>
                <w:highlight w:val="none"/>
              </w:rPr>
              <w:t>/</w:t>
            </w:r>
          </w:p>
        </w:tc>
        <w:tc>
          <w:tcPr>
            <w:tcW w:w="606" w:type="pct"/>
            <w:tcBorders>
              <w:tl2br w:val="nil"/>
              <w:tr2bl w:val="nil"/>
            </w:tcBorders>
            <w:vAlign w:val="center"/>
          </w:tcPr>
          <w:p w14:paraId="36402A3C">
            <w:pPr>
              <w:pStyle w:val="41"/>
              <w:rPr>
                <w:color w:val="auto"/>
                <w:highlight w:val="none"/>
              </w:rPr>
            </w:pPr>
            <w:r>
              <w:rPr>
                <w:color w:val="auto"/>
                <w:highlight w:val="none"/>
              </w:rPr>
              <w:t>0.1875</w:t>
            </w:r>
          </w:p>
        </w:tc>
      </w:tr>
      <w:tr w14:paraId="7C872C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00" w:type="pct"/>
            <w:gridSpan w:val="10"/>
            <w:tcBorders>
              <w:tl2br w:val="nil"/>
              <w:tr2bl w:val="nil"/>
            </w:tcBorders>
            <w:vAlign w:val="center"/>
          </w:tcPr>
          <w:p w14:paraId="04AAEBB3">
            <w:pPr>
              <w:pStyle w:val="41"/>
              <w:rPr>
                <w:color w:val="auto"/>
                <w:highlight w:val="none"/>
              </w:rPr>
            </w:pPr>
            <w:r>
              <w:rPr>
                <w:color w:val="auto"/>
                <w:highlight w:val="none"/>
              </w:rPr>
              <w:t>注：①锅炉供热废气，每小时排放量按照采暖季数据。</w:t>
            </w:r>
          </w:p>
        </w:tc>
      </w:tr>
    </w:tbl>
    <w:p w14:paraId="5AD84F13">
      <w:pPr>
        <w:pStyle w:val="3"/>
        <w:ind w:firstLine="480"/>
        <w:rPr>
          <w:color w:val="auto"/>
          <w:highlight w:val="none"/>
        </w:rPr>
        <w:sectPr>
          <w:headerReference r:id="rId17" w:type="default"/>
          <w:footerReference r:id="rId18" w:type="default"/>
          <w:pgSz w:w="16839" w:h="11906" w:orient="landscape"/>
          <w:pgMar w:top="1803" w:right="1389" w:bottom="1803" w:left="1389" w:header="878" w:footer="996" w:gutter="0"/>
          <w:pgBorders>
            <w:top w:val="none" w:sz="0" w:space="0"/>
            <w:left w:val="none" w:sz="0" w:space="0"/>
            <w:bottom w:val="none" w:sz="0" w:space="0"/>
            <w:right w:val="none" w:sz="0" w:space="0"/>
          </w:pgBorders>
          <w:cols w:space="720" w:num="1"/>
        </w:sectPr>
      </w:pPr>
    </w:p>
    <w:p w14:paraId="375E6DAF">
      <w:pPr>
        <w:pStyle w:val="3"/>
        <w:ind w:firstLine="480"/>
        <w:rPr>
          <w:color w:val="auto"/>
          <w:highlight w:val="none"/>
        </w:rPr>
      </w:pPr>
      <w:r>
        <w:rPr>
          <w:color w:val="auto"/>
          <w:highlight w:val="none"/>
        </w:rPr>
        <w:t>将以上参数代入ARSCREEN估算模型，污染物扩散浓度预测结果见表5.2-1</w:t>
      </w:r>
      <w:r>
        <w:rPr>
          <w:rFonts w:hint="eastAsia"/>
          <w:color w:val="auto"/>
          <w:highlight w:val="none"/>
          <w:lang w:val="en-US" w:eastAsia="zh-CN"/>
        </w:rPr>
        <w:t>6</w:t>
      </w:r>
      <w:r>
        <w:rPr>
          <w:color w:val="auto"/>
          <w:highlight w:val="none"/>
        </w:rPr>
        <w:t>。</w:t>
      </w:r>
    </w:p>
    <w:p w14:paraId="5A71CF89">
      <w:pPr>
        <w:pStyle w:val="40"/>
        <w:spacing w:before="24" w:after="24"/>
        <w:rPr>
          <w:color w:val="auto"/>
          <w:highlight w:val="none"/>
        </w:rPr>
      </w:pPr>
      <w:r>
        <w:rPr>
          <w:color w:val="auto"/>
          <w:highlight w:val="none"/>
        </w:rPr>
        <w:t>表5.2-1</w:t>
      </w:r>
      <w:r>
        <w:rPr>
          <w:rFonts w:hint="eastAsia"/>
          <w:color w:val="auto"/>
          <w:highlight w:val="none"/>
          <w:lang w:val="en-US" w:eastAsia="zh-CN"/>
        </w:rPr>
        <w:t>6</w:t>
      </w:r>
      <w:r>
        <w:rPr>
          <w:color w:val="auto"/>
          <w:highlight w:val="none"/>
        </w:rPr>
        <w:t xml:space="preserve">    非</w:t>
      </w:r>
      <w:r>
        <w:rPr>
          <w:rFonts w:hint="eastAsia"/>
          <w:color w:val="auto"/>
          <w:highlight w:val="none"/>
          <w:lang w:eastAsia="zh-CN"/>
        </w:rPr>
        <w:t>正</w:t>
      </w:r>
      <w:r>
        <w:rPr>
          <w:color w:val="auto"/>
          <w:highlight w:val="none"/>
        </w:rPr>
        <w:t>常工况（破碎筛分颗粒物）扩散浓度预测结果</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94"/>
        <w:gridCol w:w="974"/>
        <w:gridCol w:w="1492"/>
        <w:gridCol w:w="857"/>
        <w:gridCol w:w="1485"/>
        <w:gridCol w:w="864"/>
        <w:gridCol w:w="1476"/>
        <w:gridCol w:w="874"/>
      </w:tblGrid>
      <w:tr w14:paraId="725013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vMerge w:val="restart"/>
            <w:noWrap/>
            <w:vAlign w:val="center"/>
          </w:tcPr>
          <w:p w14:paraId="04D06787">
            <w:pPr>
              <w:pStyle w:val="41"/>
              <w:spacing w:line="240" w:lineRule="atLeast"/>
              <w:rPr>
                <w:color w:val="auto"/>
                <w:highlight w:val="none"/>
              </w:rPr>
            </w:pPr>
            <w:r>
              <w:rPr>
                <w:color w:val="auto"/>
                <w:highlight w:val="none"/>
              </w:rPr>
              <w:t>序号</w:t>
            </w:r>
          </w:p>
        </w:tc>
        <w:tc>
          <w:tcPr>
            <w:tcW w:w="571" w:type="pct"/>
            <w:vMerge w:val="restart"/>
            <w:tcBorders>
              <w:right w:val="single" w:color="auto" w:sz="2" w:space="0"/>
            </w:tcBorders>
            <w:noWrap/>
            <w:vAlign w:val="center"/>
          </w:tcPr>
          <w:p w14:paraId="7EC1118A">
            <w:pPr>
              <w:pStyle w:val="41"/>
              <w:spacing w:line="240" w:lineRule="atLeast"/>
              <w:rPr>
                <w:color w:val="auto"/>
                <w:highlight w:val="none"/>
              </w:rPr>
            </w:pPr>
            <w:r>
              <w:rPr>
                <w:color w:val="auto"/>
                <w:highlight w:val="none"/>
              </w:rPr>
              <w:t>离源距离</w:t>
            </w:r>
            <w:r>
              <w:rPr>
                <w:rFonts w:hint="eastAsia"/>
                <w:color w:val="auto"/>
                <w:highlight w:val="none"/>
                <w:lang w:eastAsia="zh-CN"/>
              </w:rPr>
              <w:t>（</w:t>
            </w:r>
            <w:r>
              <w:rPr>
                <w:color w:val="auto"/>
                <w:highlight w:val="none"/>
              </w:rPr>
              <w:t>m</w:t>
            </w:r>
            <w:r>
              <w:rPr>
                <w:rFonts w:hint="eastAsia"/>
                <w:color w:val="auto"/>
                <w:highlight w:val="none"/>
                <w:lang w:eastAsia="zh-CN"/>
              </w:rPr>
              <w:t>）</w:t>
            </w:r>
          </w:p>
        </w:tc>
        <w:tc>
          <w:tcPr>
            <w:tcW w:w="1379" w:type="pct"/>
            <w:gridSpan w:val="2"/>
            <w:tcBorders>
              <w:left w:val="single" w:color="auto" w:sz="2" w:space="0"/>
            </w:tcBorders>
            <w:vAlign w:val="center"/>
          </w:tcPr>
          <w:p w14:paraId="125F358E">
            <w:pPr>
              <w:pStyle w:val="41"/>
              <w:spacing w:line="240" w:lineRule="atLeast"/>
              <w:rPr>
                <w:color w:val="auto"/>
                <w:highlight w:val="none"/>
              </w:rPr>
            </w:pPr>
            <w:r>
              <w:rPr>
                <w:color w:val="auto"/>
                <w:highlight w:val="none"/>
              </w:rPr>
              <w:t>滚筒筛车间PM</w:t>
            </w:r>
            <w:r>
              <w:rPr>
                <w:color w:val="auto"/>
                <w:highlight w:val="none"/>
                <w:vertAlign w:val="subscript"/>
              </w:rPr>
              <w:t>10</w:t>
            </w:r>
          </w:p>
        </w:tc>
        <w:tc>
          <w:tcPr>
            <w:tcW w:w="1379" w:type="pct"/>
            <w:gridSpan w:val="2"/>
            <w:noWrap/>
            <w:vAlign w:val="center"/>
          </w:tcPr>
          <w:p w14:paraId="0AB6010E">
            <w:pPr>
              <w:pStyle w:val="41"/>
              <w:spacing w:line="240" w:lineRule="atLeast"/>
              <w:rPr>
                <w:color w:val="auto"/>
                <w:highlight w:val="none"/>
              </w:rPr>
            </w:pPr>
            <w:r>
              <w:rPr>
                <w:color w:val="auto"/>
                <w:highlight w:val="none"/>
              </w:rPr>
              <w:t>粗中碎车间PM</w:t>
            </w:r>
            <w:r>
              <w:rPr>
                <w:color w:val="auto"/>
                <w:highlight w:val="none"/>
                <w:vertAlign w:val="subscript"/>
              </w:rPr>
              <w:t>10</w:t>
            </w:r>
          </w:p>
        </w:tc>
        <w:tc>
          <w:tcPr>
            <w:tcW w:w="1379" w:type="pct"/>
            <w:gridSpan w:val="2"/>
            <w:noWrap/>
            <w:vAlign w:val="center"/>
          </w:tcPr>
          <w:p w14:paraId="7F6B8143">
            <w:pPr>
              <w:pStyle w:val="41"/>
              <w:spacing w:line="240" w:lineRule="atLeast"/>
              <w:rPr>
                <w:color w:val="auto"/>
                <w:highlight w:val="none"/>
              </w:rPr>
            </w:pPr>
            <w:r>
              <w:rPr>
                <w:color w:val="auto"/>
                <w:highlight w:val="none"/>
              </w:rPr>
              <w:t>细碎车间PM</w:t>
            </w:r>
            <w:r>
              <w:rPr>
                <w:color w:val="auto"/>
                <w:highlight w:val="none"/>
                <w:vertAlign w:val="subscript"/>
              </w:rPr>
              <w:t>10</w:t>
            </w:r>
          </w:p>
        </w:tc>
      </w:tr>
      <w:tr w14:paraId="66AC8C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vMerge w:val="continue"/>
            <w:noWrap/>
            <w:vAlign w:val="center"/>
          </w:tcPr>
          <w:p w14:paraId="7C432B0F">
            <w:pPr>
              <w:pStyle w:val="41"/>
              <w:spacing w:line="240" w:lineRule="atLeast"/>
              <w:rPr>
                <w:color w:val="auto"/>
                <w:highlight w:val="none"/>
              </w:rPr>
            </w:pPr>
          </w:p>
        </w:tc>
        <w:tc>
          <w:tcPr>
            <w:tcW w:w="571" w:type="pct"/>
            <w:vMerge w:val="continue"/>
            <w:tcBorders>
              <w:right w:val="single" w:color="auto" w:sz="2" w:space="0"/>
            </w:tcBorders>
            <w:noWrap/>
            <w:vAlign w:val="center"/>
          </w:tcPr>
          <w:p w14:paraId="00E67D57">
            <w:pPr>
              <w:pStyle w:val="41"/>
              <w:spacing w:line="240" w:lineRule="atLeast"/>
              <w:rPr>
                <w:color w:val="auto"/>
                <w:highlight w:val="none"/>
              </w:rPr>
            </w:pPr>
          </w:p>
        </w:tc>
        <w:tc>
          <w:tcPr>
            <w:tcW w:w="875" w:type="pct"/>
            <w:tcBorders>
              <w:left w:val="single" w:color="auto" w:sz="2" w:space="0"/>
            </w:tcBorders>
            <w:noWrap/>
            <w:vAlign w:val="center"/>
          </w:tcPr>
          <w:p w14:paraId="4F1A6176">
            <w:pPr>
              <w:pStyle w:val="41"/>
              <w:spacing w:line="240" w:lineRule="atLeast"/>
              <w:rPr>
                <w:color w:val="auto"/>
                <w:highlight w:val="none"/>
              </w:rPr>
            </w:pPr>
            <w:r>
              <w:rPr>
                <w:color w:val="auto"/>
                <w:highlight w:val="none"/>
              </w:rPr>
              <w:t>下风向预测浓度mg/m</w:t>
            </w:r>
            <w:r>
              <w:rPr>
                <w:color w:val="auto"/>
                <w:highlight w:val="none"/>
                <w:vertAlign w:val="superscript"/>
              </w:rPr>
              <w:t>3</w:t>
            </w:r>
          </w:p>
        </w:tc>
        <w:tc>
          <w:tcPr>
            <w:tcW w:w="503" w:type="pct"/>
            <w:noWrap/>
            <w:vAlign w:val="center"/>
          </w:tcPr>
          <w:p w14:paraId="3986935E">
            <w:pPr>
              <w:pStyle w:val="41"/>
              <w:spacing w:line="240" w:lineRule="atLeast"/>
              <w:rPr>
                <w:color w:val="auto"/>
                <w:highlight w:val="none"/>
              </w:rPr>
            </w:pPr>
            <w:r>
              <w:rPr>
                <w:color w:val="auto"/>
                <w:highlight w:val="none"/>
              </w:rPr>
              <w:t>占标率%</w:t>
            </w:r>
          </w:p>
        </w:tc>
        <w:tc>
          <w:tcPr>
            <w:tcW w:w="871" w:type="pct"/>
            <w:noWrap/>
            <w:vAlign w:val="center"/>
          </w:tcPr>
          <w:p w14:paraId="7440C2EC">
            <w:pPr>
              <w:pStyle w:val="41"/>
              <w:spacing w:line="240" w:lineRule="atLeast"/>
              <w:rPr>
                <w:color w:val="auto"/>
                <w:highlight w:val="none"/>
              </w:rPr>
            </w:pPr>
            <w:r>
              <w:rPr>
                <w:color w:val="auto"/>
                <w:highlight w:val="none"/>
              </w:rPr>
              <w:t>下风向预测浓度mg/m</w:t>
            </w:r>
            <w:r>
              <w:rPr>
                <w:color w:val="auto"/>
                <w:highlight w:val="none"/>
                <w:vertAlign w:val="superscript"/>
              </w:rPr>
              <w:t>3</w:t>
            </w:r>
          </w:p>
        </w:tc>
        <w:tc>
          <w:tcPr>
            <w:tcW w:w="507" w:type="pct"/>
            <w:noWrap/>
            <w:vAlign w:val="center"/>
          </w:tcPr>
          <w:p w14:paraId="2562B84B">
            <w:pPr>
              <w:pStyle w:val="41"/>
              <w:spacing w:line="240" w:lineRule="atLeast"/>
              <w:rPr>
                <w:color w:val="auto"/>
                <w:highlight w:val="none"/>
              </w:rPr>
            </w:pPr>
            <w:r>
              <w:rPr>
                <w:color w:val="auto"/>
                <w:highlight w:val="none"/>
              </w:rPr>
              <w:t>占标率%</w:t>
            </w:r>
          </w:p>
        </w:tc>
        <w:tc>
          <w:tcPr>
            <w:tcW w:w="866" w:type="pct"/>
            <w:noWrap/>
            <w:vAlign w:val="center"/>
          </w:tcPr>
          <w:p w14:paraId="4E39143E">
            <w:pPr>
              <w:pStyle w:val="41"/>
              <w:spacing w:line="240" w:lineRule="atLeast"/>
              <w:rPr>
                <w:color w:val="auto"/>
                <w:highlight w:val="none"/>
              </w:rPr>
            </w:pPr>
            <w:r>
              <w:rPr>
                <w:color w:val="auto"/>
                <w:highlight w:val="none"/>
              </w:rPr>
              <w:t>下风向预测浓度mg/m</w:t>
            </w:r>
            <w:r>
              <w:rPr>
                <w:color w:val="auto"/>
                <w:highlight w:val="none"/>
                <w:vertAlign w:val="superscript"/>
              </w:rPr>
              <w:t>3</w:t>
            </w:r>
          </w:p>
        </w:tc>
        <w:tc>
          <w:tcPr>
            <w:tcW w:w="513" w:type="pct"/>
            <w:noWrap/>
            <w:vAlign w:val="center"/>
          </w:tcPr>
          <w:p w14:paraId="60F17E35">
            <w:pPr>
              <w:pStyle w:val="41"/>
              <w:spacing w:line="240" w:lineRule="atLeast"/>
              <w:rPr>
                <w:color w:val="auto"/>
                <w:highlight w:val="none"/>
              </w:rPr>
            </w:pPr>
            <w:r>
              <w:rPr>
                <w:color w:val="auto"/>
                <w:highlight w:val="none"/>
              </w:rPr>
              <w:t>占标率%</w:t>
            </w:r>
          </w:p>
        </w:tc>
      </w:tr>
      <w:tr w14:paraId="5B10DB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0" w:hRule="atLeast"/>
        </w:trPr>
        <w:tc>
          <w:tcPr>
            <w:tcW w:w="290" w:type="pct"/>
            <w:noWrap/>
            <w:vAlign w:val="center"/>
          </w:tcPr>
          <w:p w14:paraId="51482A45">
            <w:pPr>
              <w:pStyle w:val="41"/>
              <w:spacing w:line="240" w:lineRule="atLeast"/>
              <w:rPr>
                <w:color w:val="auto"/>
                <w:highlight w:val="none"/>
              </w:rPr>
            </w:pPr>
            <w:r>
              <w:rPr>
                <w:color w:val="auto"/>
                <w:highlight w:val="none"/>
              </w:rPr>
              <w:t>1</w:t>
            </w:r>
          </w:p>
        </w:tc>
        <w:tc>
          <w:tcPr>
            <w:tcW w:w="571" w:type="pct"/>
            <w:noWrap/>
            <w:vAlign w:val="center"/>
          </w:tcPr>
          <w:p w14:paraId="5A5B6593">
            <w:pPr>
              <w:pStyle w:val="41"/>
              <w:spacing w:line="240" w:lineRule="atLeast"/>
              <w:rPr>
                <w:color w:val="auto"/>
                <w:highlight w:val="none"/>
              </w:rPr>
            </w:pPr>
            <w:r>
              <w:rPr>
                <w:color w:val="auto"/>
                <w:highlight w:val="none"/>
              </w:rPr>
              <w:t>10</w:t>
            </w:r>
          </w:p>
        </w:tc>
        <w:tc>
          <w:tcPr>
            <w:tcW w:w="875" w:type="pct"/>
            <w:noWrap/>
            <w:vAlign w:val="center"/>
          </w:tcPr>
          <w:p w14:paraId="1783D862">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0.037371</w:t>
            </w:r>
          </w:p>
        </w:tc>
        <w:tc>
          <w:tcPr>
            <w:tcW w:w="503" w:type="pct"/>
            <w:noWrap/>
            <w:vAlign w:val="center"/>
          </w:tcPr>
          <w:p w14:paraId="05EEB502">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8.3</w:t>
            </w:r>
          </w:p>
        </w:tc>
        <w:tc>
          <w:tcPr>
            <w:tcW w:w="871" w:type="pct"/>
            <w:noWrap/>
            <w:vAlign w:val="center"/>
          </w:tcPr>
          <w:p w14:paraId="3C849D73">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0.037371</w:t>
            </w:r>
          </w:p>
        </w:tc>
        <w:tc>
          <w:tcPr>
            <w:tcW w:w="507" w:type="pct"/>
            <w:noWrap/>
            <w:vAlign w:val="center"/>
          </w:tcPr>
          <w:p w14:paraId="7B9A616C">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8.3</w:t>
            </w:r>
          </w:p>
        </w:tc>
        <w:tc>
          <w:tcPr>
            <w:tcW w:w="866" w:type="pct"/>
            <w:noWrap/>
            <w:vAlign w:val="center"/>
          </w:tcPr>
          <w:p w14:paraId="66ED42FB">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0.037371</w:t>
            </w:r>
          </w:p>
        </w:tc>
        <w:tc>
          <w:tcPr>
            <w:tcW w:w="513" w:type="pct"/>
            <w:noWrap/>
            <w:vAlign w:val="center"/>
          </w:tcPr>
          <w:p w14:paraId="677424D7">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8.3</w:t>
            </w:r>
          </w:p>
        </w:tc>
      </w:tr>
      <w:tr w14:paraId="63E375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365B327E">
            <w:pPr>
              <w:pStyle w:val="41"/>
              <w:spacing w:line="240" w:lineRule="atLeast"/>
              <w:rPr>
                <w:color w:val="auto"/>
                <w:highlight w:val="none"/>
              </w:rPr>
            </w:pPr>
            <w:r>
              <w:rPr>
                <w:color w:val="auto"/>
                <w:highlight w:val="none"/>
              </w:rPr>
              <w:t>2</w:t>
            </w:r>
          </w:p>
        </w:tc>
        <w:tc>
          <w:tcPr>
            <w:tcW w:w="571" w:type="pct"/>
            <w:noWrap/>
            <w:vAlign w:val="center"/>
          </w:tcPr>
          <w:p w14:paraId="46239343">
            <w:pPr>
              <w:pStyle w:val="41"/>
              <w:spacing w:line="240" w:lineRule="atLeast"/>
              <w:rPr>
                <w:color w:val="auto"/>
                <w:highlight w:val="none"/>
              </w:rPr>
            </w:pPr>
            <w:r>
              <w:rPr>
                <w:color w:val="auto"/>
                <w:highlight w:val="none"/>
              </w:rPr>
              <w:t>25</w:t>
            </w:r>
          </w:p>
        </w:tc>
        <w:tc>
          <w:tcPr>
            <w:tcW w:w="875" w:type="pct"/>
            <w:noWrap/>
            <w:vAlign w:val="center"/>
          </w:tcPr>
          <w:p w14:paraId="173D10CC">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0.11577</w:t>
            </w:r>
          </w:p>
        </w:tc>
        <w:tc>
          <w:tcPr>
            <w:tcW w:w="503" w:type="pct"/>
            <w:noWrap/>
            <w:vAlign w:val="center"/>
          </w:tcPr>
          <w:p w14:paraId="7420C839">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25.73</w:t>
            </w:r>
          </w:p>
        </w:tc>
        <w:tc>
          <w:tcPr>
            <w:tcW w:w="871" w:type="pct"/>
            <w:noWrap/>
            <w:vAlign w:val="center"/>
          </w:tcPr>
          <w:p w14:paraId="29BCDEA2">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0.11577</w:t>
            </w:r>
          </w:p>
        </w:tc>
        <w:tc>
          <w:tcPr>
            <w:tcW w:w="507" w:type="pct"/>
            <w:noWrap/>
            <w:vAlign w:val="center"/>
          </w:tcPr>
          <w:p w14:paraId="4545DE18">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25.73</w:t>
            </w:r>
          </w:p>
        </w:tc>
        <w:tc>
          <w:tcPr>
            <w:tcW w:w="866" w:type="pct"/>
            <w:noWrap/>
            <w:vAlign w:val="center"/>
          </w:tcPr>
          <w:p w14:paraId="66169858">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0.11577</w:t>
            </w:r>
          </w:p>
        </w:tc>
        <w:tc>
          <w:tcPr>
            <w:tcW w:w="513" w:type="pct"/>
            <w:noWrap/>
            <w:vAlign w:val="center"/>
          </w:tcPr>
          <w:p w14:paraId="4B1FDBC7">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25.73</w:t>
            </w:r>
          </w:p>
        </w:tc>
      </w:tr>
      <w:tr w14:paraId="4AA65D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685948DF">
            <w:pPr>
              <w:pStyle w:val="41"/>
              <w:spacing w:line="240" w:lineRule="atLeast"/>
              <w:rPr>
                <w:color w:val="auto"/>
                <w:highlight w:val="none"/>
              </w:rPr>
            </w:pPr>
            <w:r>
              <w:rPr>
                <w:color w:val="auto"/>
                <w:highlight w:val="none"/>
              </w:rPr>
              <w:t>3</w:t>
            </w:r>
          </w:p>
        </w:tc>
        <w:tc>
          <w:tcPr>
            <w:tcW w:w="571" w:type="pct"/>
            <w:noWrap/>
            <w:vAlign w:val="center"/>
          </w:tcPr>
          <w:p w14:paraId="04E270E8">
            <w:pPr>
              <w:pStyle w:val="41"/>
              <w:spacing w:line="240" w:lineRule="atLeast"/>
              <w:rPr>
                <w:color w:val="auto"/>
                <w:highlight w:val="none"/>
              </w:rPr>
            </w:pPr>
            <w:r>
              <w:rPr>
                <w:color w:val="auto"/>
                <w:highlight w:val="none"/>
              </w:rPr>
              <w:t>50</w:t>
            </w:r>
          </w:p>
        </w:tc>
        <w:tc>
          <w:tcPr>
            <w:tcW w:w="875" w:type="pct"/>
            <w:noWrap/>
            <w:vAlign w:val="center"/>
          </w:tcPr>
          <w:p w14:paraId="4180D8CC">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0.24243</w:t>
            </w:r>
          </w:p>
        </w:tc>
        <w:tc>
          <w:tcPr>
            <w:tcW w:w="503" w:type="pct"/>
            <w:noWrap/>
            <w:vAlign w:val="center"/>
          </w:tcPr>
          <w:p w14:paraId="58EC7048">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53.87</w:t>
            </w:r>
          </w:p>
        </w:tc>
        <w:tc>
          <w:tcPr>
            <w:tcW w:w="871" w:type="pct"/>
            <w:noWrap/>
            <w:vAlign w:val="center"/>
          </w:tcPr>
          <w:p w14:paraId="781228A5">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0.24243</w:t>
            </w:r>
          </w:p>
        </w:tc>
        <w:tc>
          <w:tcPr>
            <w:tcW w:w="507" w:type="pct"/>
            <w:noWrap/>
            <w:vAlign w:val="center"/>
          </w:tcPr>
          <w:p w14:paraId="3D7152FB">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53.87</w:t>
            </w:r>
          </w:p>
        </w:tc>
        <w:tc>
          <w:tcPr>
            <w:tcW w:w="866" w:type="pct"/>
            <w:noWrap/>
            <w:vAlign w:val="center"/>
          </w:tcPr>
          <w:p w14:paraId="77BF60EA">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0.24243</w:t>
            </w:r>
          </w:p>
        </w:tc>
        <w:tc>
          <w:tcPr>
            <w:tcW w:w="513" w:type="pct"/>
            <w:noWrap/>
            <w:vAlign w:val="center"/>
          </w:tcPr>
          <w:p w14:paraId="7A6F0348">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53.87</w:t>
            </w:r>
          </w:p>
        </w:tc>
      </w:tr>
      <w:tr w14:paraId="297C75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4B69E173">
            <w:pPr>
              <w:pStyle w:val="41"/>
              <w:spacing w:line="240" w:lineRule="atLeast"/>
              <w:rPr>
                <w:color w:val="auto"/>
                <w:highlight w:val="none"/>
              </w:rPr>
            </w:pPr>
            <w:r>
              <w:rPr>
                <w:color w:val="auto"/>
                <w:highlight w:val="none"/>
              </w:rPr>
              <w:t>4</w:t>
            </w:r>
          </w:p>
        </w:tc>
        <w:tc>
          <w:tcPr>
            <w:tcW w:w="571" w:type="pct"/>
            <w:noWrap/>
            <w:vAlign w:val="center"/>
          </w:tcPr>
          <w:p w14:paraId="159590EB">
            <w:pPr>
              <w:pStyle w:val="41"/>
              <w:spacing w:line="240" w:lineRule="atLeast"/>
              <w:rPr>
                <w:color w:val="auto"/>
                <w:highlight w:val="none"/>
              </w:rPr>
            </w:pPr>
            <w:r>
              <w:rPr>
                <w:color w:val="auto"/>
                <w:highlight w:val="none"/>
              </w:rPr>
              <w:t>75</w:t>
            </w:r>
          </w:p>
        </w:tc>
        <w:tc>
          <w:tcPr>
            <w:tcW w:w="875" w:type="pct"/>
            <w:noWrap/>
            <w:vAlign w:val="center"/>
          </w:tcPr>
          <w:p w14:paraId="7380C5F2">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1.1424</w:t>
            </w:r>
          </w:p>
        </w:tc>
        <w:tc>
          <w:tcPr>
            <w:tcW w:w="503" w:type="pct"/>
            <w:noWrap/>
            <w:vAlign w:val="center"/>
          </w:tcPr>
          <w:p w14:paraId="54ADEA71">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253.87</w:t>
            </w:r>
          </w:p>
        </w:tc>
        <w:tc>
          <w:tcPr>
            <w:tcW w:w="871" w:type="pct"/>
            <w:noWrap/>
            <w:vAlign w:val="center"/>
          </w:tcPr>
          <w:p w14:paraId="08F07308">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1.1424</w:t>
            </w:r>
          </w:p>
        </w:tc>
        <w:tc>
          <w:tcPr>
            <w:tcW w:w="507" w:type="pct"/>
            <w:noWrap/>
            <w:vAlign w:val="center"/>
          </w:tcPr>
          <w:p w14:paraId="4ADC7726">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253.87</w:t>
            </w:r>
          </w:p>
        </w:tc>
        <w:tc>
          <w:tcPr>
            <w:tcW w:w="866" w:type="pct"/>
            <w:noWrap/>
            <w:vAlign w:val="center"/>
          </w:tcPr>
          <w:p w14:paraId="503B1964">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1.1424</w:t>
            </w:r>
          </w:p>
        </w:tc>
        <w:tc>
          <w:tcPr>
            <w:tcW w:w="513" w:type="pct"/>
            <w:noWrap/>
            <w:vAlign w:val="center"/>
          </w:tcPr>
          <w:p w14:paraId="37499C14">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253.87</w:t>
            </w:r>
          </w:p>
        </w:tc>
      </w:tr>
      <w:tr w14:paraId="11444D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485E2CB7">
            <w:pPr>
              <w:pStyle w:val="41"/>
              <w:spacing w:line="240" w:lineRule="atLeast"/>
              <w:rPr>
                <w:color w:val="auto"/>
                <w:highlight w:val="none"/>
              </w:rPr>
            </w:pPr>
            <w:r>
              <w:rPr>
                <w:color w:val="auto"/>
                <w:highlight w:val="none"/>
              </w:rPr>
              <w:t>5</w:t>
            </w:r>
          </w:p>
        </w:tc>
        <w:tc>
          <w:tcPr>
            <w:tcW w:w="571" w:type="pct"/>
            <w:noWrap/>
            <w:vAlign w:val="center"/>
          </w:tcPr>
          <w:p w14:paraId="4C57678F">
            <w:pPr>
              <w:pStyle w:val="41"/>
              <w:spacing w:line="240" w:lineRule="atLeast"/>
              <w:rPr>
                <w:color w:val="auto"/>
                <w:highlight w:val="none"/>
              </w:rPr>
            </w:pPr>
            <w:r>
              <w:rPr>
                <w:color w:val="auto"/>
                <w:highlight w:val="none"/>
              </w:rPr>
              <w:t>100</w:t>
            </w:r>
          </w:p>
        </w:tc>
        <w:tc>
          <w:tcPr>
            <w:tcW w:w="875" w:type="pct"/>
            <w:noWrap/>
            <w:vAlign w:val="center"/>
          </w:tcPr>
          <w:p w14:paraId="1CA5AC22">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2.8997</w:t>
            </w:r>
          </w:p>
        </w:tc>
        <w:tc>
          <w:tcPr>
            <w:tcW w:w="503" w:type="pct"/>
            <w:noWrap/>
            <w:vAlign w:val="center"/>
          </w:tcPr>
          <w:p w14:paraId="6E782F82">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644.38</w:t>
            </w:r>
          </w:p>
        </w:tc>
        <w:tc>
          <w:tcPr>
            <w:tcW w:w="871" w:type="pct"/>
            <w:noWrap/>
            <w:vAlign w:val="center"/>
          </w:tcPr>
          <w:p w14:paraId="6C0188E8">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2.8997</w:t>
            </w:r>
          </w:p>
        </w:tc>
        <w:tc>
          <w:tcPr>
            <w:tcW w:w="507" w:type="pct"/>
            <w:noWrap/>
            <w:vAlign w:val="center"/>
          </w:tcPr>
          <w:p w14:paraId="0D4DBB9E">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644.38</w:t>
            </w:r>
          </w:p>
        </w:tc>
        <w:tc>
          <w:tcPr>
            <w:tcW w:w="866" w:type="pct"/>
            <w:noWrap/>
            <w:vAlign w:val="center"/>
          </w:tcPr>
          <w:p w14:paraId="6CAE5BCB">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2.8997</w:t>
            </w:r>
          </w:p>
        </w:tc>
        <w:tc>
          <w:tcPr>
            <w:tcW w:w="513" w:type="pct"/>
            <w:noWrap/>
            <w:vAlign w:val="center"/>
          </w:tcPr>
          <w:p w14:paraId="633F5008">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644.38</w:t>
            </w:r>
          </w:p>
        </w:tc>
      </w:tr>
      <w:tr w14:paraId="071B7D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66BA31E8">
            <w:pPr>
              <w:pStyle w:val="41"/>
              <w:spacing w:line="240" w:lineRule="atLeast"/>
              <w:rPr>
                <w:color w:val="auto"/>
                <w:highlight w:val="none"/>
              </w:rPr>
            </w:pPr>
            <w:r>
              <w:rPr>
                <w:color w:val="auto"/>
                <w:highlight w:val="none"/>
              </w:rPr>
              <w:t>6</w:t>
            </w:r>
          </w:p>
        </w:tc>
        <w:tc>
          <w:tcPr>
            <w:tcW w:w="571" w:type="pct"/>
            <w:noWrap/>
            <w:vAlign w:val="center"/>
          </w:tcPr>
          <w:p w14:paraId="101C1072">
            <w:pPr>
              <w:pStyle w:val="41"/>
              <w:spacing w:line="240" w:lineRule="atLeast"/>
              <w:rPr>
                <w:color w:val="auto"/>
                <w:highlight w:val="none"/>
              </w:rPr>
            </w:pPr>
            <w:r>
              <w:rPr>
                <w:color w:val="auto"/>
                <w:highlight w:val="none"/>
              </w:rPr>
              <w:t>125</w:t>
            </w:r>
          </w:p>
        </w:tc>
        <w:tc>
          <w:tcPr>
            <w:tcW w:w="875" w:type="pct"/>
            <w:noWrap/>
            <w:vAlign w:val="center"/>
          </w:tcPr>
          <w:p w14:paraId="717D98A7">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3.2166</w:t>
            </w:r>
          </w:p>
        </w:tc>
        <w:tc>
          <w:tcPr>
            <w:tcW w:w="503" w:type="pct"/>
            <w:noWrap/>
            <w:vAlign w:val="center"/>
          </w:tcPr>
          <w:p w14:paraId="06A0BB69">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714.8</w:t>
            </w:r>
          </w:p>
        </w:tc>
        <w:tc>
          <w:tcPr>
            <w:tcW w:w="871" w:type="pct"/>
            <w:noWrap/>
            <w:vAlign w:val="center"/>
          </w:tcPr>
          <w:p w14:paraId="154F8972">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3.2166</w:t>
            </w:r>
          </w:p>
        </w:tc>
        <w:tc>
          <w:tcPr>
            <w:tcW w:w="507" w:type="pct"/>
            <w:noWrap/>
            <w:vAlign w:val="center"/>
          </w:tcPr>
          <w:p w14:paraId="3D1DF770">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714.8</w:t>
            </w:r>
          </w:p>
        </w:tc>
        <w:tc>
          <w:tcPr>
            <w:tcW w:w="866" w:type="pct"/>
            <w:noWrap/>
            <w:vAlign w:val="center"/>
          </w:tcPr>
          <w:p w14:paraId="1ADFD77E">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3.2166</w:t>
            </w:r>
          </w:p>
        </w:tc>
        <w:tc>
          <w:tcPr>
            <w:tcW w:w="513" w:type="pct"/>
            <w:noWrap/>
            <w:vAlign w:val="center"/>
          </w:tcPr>
          <w:p w14:paraId="16313B84">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714.8</w:t>
            </w:r>
          </w:p>
        </w:tc>
      </w:tr>
      <w:tr w14:paraId="5E0400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762846E6">
            <w:pPr>
              <w:pStyle w:val="41"/>
              <w:spacing w:line="240" w:lineRule="atLeast"/>
              <w:rPr>
                <w:color w:val="auto"/>
                <w:highlight w:val="none"/>
              </w:rPr>
            </w:pPr>
            <w:r>
              <w:rPr>
                <w:color w:val="auto"/>
                <w:highlight w:val="none"/>
              </w:rPr>
              <w:t>7</w:t>
            </w:r>
          </w:p>
        </w:tc>
        <w:tc>
          <w:tcPr>
            <w:tcW w:w="571" w:type="pct"/>
            <w:noWrap/>
            <w:vAlign w:val="center"/>
          </w:tcPr>
          <w:p w14:paraId="77029E82">
            <w:pPr>
              <w:pStyle w:val="41"/>
              <w:spacing w:line="240" w:lineRule="atLeast"/>
              <w:rPr>
                <w:color w:val="auto"/>
                <w:highlight w:val="none"/>
              </w:rPr>
            </w:pPr>
            <w:r>
              <w:rPr>
                <w:color w:val="auto"/>
                <w:highlight w:val="none"/>
              </w:rPr>
              <w:t>150</w:t>
            </w:r>
          </w:p>
        </w:tc>
        <w:tc>
          <w:tcPr>
            <w:tcW w:w="875" w:type="pct"/>
            <w:noWrap/>
            <w:vAlign w:val="center"/>
          </w:tcPr>
          <w:p w14:paraId="639A6ED6">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3.914</w:t>
            </w:r>
          </w:p>
        </w:tc>
        <w:tc>
          <w:tcPr>
            <w:tcW w:w="503" w:type="pct"/>
            <w:noWrap/>
            <w:vAlign w:val="center"/>
          </w:tcPr>
          <w:p w14:paraId="4E3C162C">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869.78</w:t>
            </w:r>
          </w:p>
        </w:tc>
        <w:tc>
          <w:tcPr>
            <w:tcW w:w="871" w:type="pct"/>
            <w:noWrap/>
            <w:vAlign w:val="center"/>
          </w:tcPr>
          <w:p w14:paraId="3DC00C8E">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3.914</w:t>
            </w:r>
          </w:p>
        </w:tc>
        <w:tc>
          <w:tcPr>
            <w:tcW w:w="507" w:type="pct"/>
            <w:noWrap/>
            <w:vAlign w:val="center"/>
          </w:tcPr>
          <w:p w14:paraId="2748D6F7">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869.78</w:t>
            </w:r>
          </w:p>
        </w:tc>
        <w:tc>
          <w:tcPr>
            <w:tcW w:w="866" w:type="pct"/>
            <w:noWrap/>
            <w:vAlign w:val="center"/>
          </w:tcPr>
          <w:p w14:paraId="7A7BE848">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3.914</w:t>
            </w:r>
          </w:p>
        </w:tc>
        <w:tc>
          <w:tcPr>
            <w:tcW w:w="513" w:type="pct"/>
            <w:noWrap/>
            <w:vAlign w:val="center"/>
          </w:tcPr>
          <w:p w14:paraId="56FA48C2">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869.78</w:t>
            </w:r>
          </w:p>
        </w:tc>
      </w:tr>
      <w:tr w14:paraId="031693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07D74D3D">
            <w:pPr>
              <w:pStyle w:val="41"/>
              <w:spacing w:line="240" w:lineRule="atLeast"/>
              <w:rPr>
                <w:color w:val="auto"/>
                <w:highlight w:val="none"/>
              </w:rPr>
            </w:pPr>
            <w:r>
              <w:rPr>
                <w:color w:val="auto"/>
                <w:highlight w:val="none"/>
              </w:rPr>
              <w:t>8</w:t>
            </w:r>
          </w:p>
        </w:tc>
        <w:tc>
          <w:tcPr>
            <w:tcW w:w="571" w:type="pct"/>
            <w:noWrap/>
            <w:vAlign w:val="center"/>
          </w:tcPr>
          <w:p w14:paraId="2B4C7B03">
            <w:pPr>
              <w:pStyle w:val="41"/>
              <w:spacing w:line="240" w:lineRule="atLeast"/>
              <w:rPr>
                <w:color w:val="auto"/>
                <w:highlight w:val="none"/>
              </w:rPr>
            </w:pPr>
            <w:r>
              <w:rPr>
                <w:color w:val="auto"/>
                <w:highlight w:val="none"/>
              </w:rPr>
              <w:t>167</w:t>
            </w:r>
          </w:p>
        </w:tc>
        <w:tc>
          <w:tcPr>
            <w:tcW w:w="875" w:type="pct"/>
            <w:noWrap/>
            <w:vAlign w:val="center"/>
          </w:tcPr>
          <w:p w14:paraId="43065B0D">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3.9744</w:t>
            </w:r>
          </w:p>
        </w:tc>
        <w:tc>
          <w:tcPr>
            <w:tcW w:w="503" w:type="pct"/>
            <w:noWrap/>
            <w:vAlign w:val="center"/>
          </w:tcPr>
          <w:p w14:paraId="39410271">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883.2</w:t>
            </w:r>
          </w:p>
        </w:tc>
        <w:tc>
          <w:tcPr>
            <w:tcW w:w="871" w:type="pct"/>
            <w:noWrap/>
            <w:vAlign w:val="center"/>
          </w:tcPr>
          <w:p w14:paraId="79D8E10A">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3.9744</w:t>
            </w:r>
          </w:p>
        </w:tc>
        <w:tc>
          <w:tcPr>
            <w:tcW w:w="507" w:type="pct"/>
            <w:noWrap/>
            <w:vAlign w:val="center"/>
          </w:tcPr>
          <w:p w14:paraId="12111A62">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883.2</w:t>
            </w:r>
          </w:p>
        </w:tc>
        <w:tc>
          <w:tcPr>
            <w:tcW w:w="866" w:type="pct"/>
            <w:noWrap/>
            <w:vAlign w:val="center"/>
          </w:tcPr>
          <w:p w14:paraId="3C0EAF21">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3.9744</w:t>
            </w:r>
          </w:p>
        </w:tc>
        <w:tc>
          <w:tcPr>
            <w:tcW w:w="513" w:type="pct"/>
            <w:noWrap/>
            <w:vAlign w:val="center"/>
          </w:tcPr>
          <w:p w14:paraId="453BE07D">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883.2</w:t>
            </w:r>
          </w:p>
        </w:tc>
      </w:tr>
      <w:tr w14:paraId="721F0B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4754F89A">
            <w:pPr>
              <w:pStyle w:val="41"/>
              <w:spacing w:line="240" w:lineRule="atLeast"/>
              <w:rPr>
                <w:color w:val="auto"/>
                <w:highlight w:val="none"/>
              </w:rPr>
            </w:pPr>
            <w:r>
              <w:rPr>
                <w:color w:val="auto"/>
                <w:highlight w:val="none"/>
              </w:rPr>
              <w:t>9</w:t>
            </w:r>
          </w:p>
        </w:tc>
        <w:tc>
          <w:tcPr>
            <w:tcW w:w="571" w:type="pct"/>
            <w:noWrap/>
            <w:vAlign w:val="center"/>
          </w:tcPr>
          <w:p w14:paraId="32CF5307">
            <w:pPr>
              <w:pStyle w:val="41"/>
              <w:spacing w:line="240" w:lineRule="atLeast"/>
              <w:rPr>
                <w:color w:val="auto"/>
                <w:highlight w:val="none"/>
              </w:rPr>
            </w:pPr>
            <w:r>
              <w:rPr>
                <w:color w:val="auto"/>
                <w:highlight w:val="none"/>
              </w:rPr>
              <w:t>175</w:t>
            </w:r>
          </w:p>
        </w:tc>
        <w:tc>
          <w:tcPr>
            <w:tcW w:w="875" w:type="pct"/>
            <w:noWrap/>
            <w:vAlign w:val="center"/>
          </w:tcPr>
          <w:p w14:paraId="27226AAA">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3.9648</w:t>
            </w:r>
          </w:p>
        </w:tc>
        <w:tc>
          <w:tcPr>
            <w:tcW w:w="503" w:type="pct"/>
            <w:noWrap/>
            <w:vAlign w:val="center"/>
          </w:tcPr>
          <w:p w14:paraId="05277C2A">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881.07</w:t>
            </w:r>
          </w:p>
        </w:tc>
        <w:tc>
          <w:tcPr>
            <w:tcW w:w="871" w:type="pct"/>
            <w:noWrap/>
            <w:vAlign w:val="center"/>
          </w:tcPr>
          <w:p w14:paraId="64308A96">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3.9648</w:t>
            </w:r>
          </w:p>
        </w:tc>
        <w:tc>
          <w:tcPr>
            <w:tcW w:w="507" w:type="pct"/>
            <w:noWrap/>
            <w:vAlign w:val="center"/>
          </w:tcPr>
          <w:p w14:paraId="35783B49">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881.07</w:t>
            </w:r>
          </w:p>
        </w:tc>
        <w:tc>
          <w:tcPr>
            <w:tcW w:w="866" w:type="pct"/>
            <w:noWrap/>
            <w:vAlign w:val="center"/>
          </w:tcPr>
          <w:p w14:paraId="7A65BF31">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3.9648</w:t>
            </w:r>
          </w:p>
        </w:tc>
        <w:tc>
          <w:tcPr>
            <w:tcW w:w="513" w:type="pct"/>
            <w:noWrap/>
            <w:vAlign w:val="center"/>
          </w:tcPr>
          <w:p w14:paraId="2F3DE755">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881.07</w:t>
            </w:r>
          </w:p>
        </w:tc>
      </w:tr>
      <w:tr w14:paraId="5C3369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3BBA8277">
            <w:pPr>
              <w:pStyle w:val="41"/>
              <w:spacing w:line="240" w:lineRule="atLeast"/>
              <w:rPr>
                <w:color w:val="auto"/>
                <w:highlight w:val="none"/>
              </w:rPr>
            </w:pPr>
            <w:r>
              <w:rPr>
                <w:color w:val="auto"/>
                <w:highlight w:val="none"/>
              </w:rPr>
              <w:t>10</w:t>
            </w:r>
          </w:p>
        </w:tc>
        <w:tc>
          <w:tcPr>
            <w:tcW w:w="571" w:type="pct"/>
            <w:noWrap/>
            <w:vAlign w:val="center"/>
          </w:tcPr>
          <w:p w14:paraId="4855AA4B">
            <w:pPr>
              <w:pStyle w:val="41"/>
              <w:spacing w:line="240" w:lineRule="atLeast"/>
              <w:rPr>
                <w:color w:val="auto"/>
                <w:highlight w:val="none"/>
              </w:rPr>
            </w:pPr>
            <w:r>
              <w:rPr>
                <w:color w:val="auto"/>
                <w:highlight w:val="none"/>
              </w:rPr>
              <w:t>200</w:t>
            </w:r>
          </w:p>
        </w:tc>
        <w:tc>
          <w:tcPr>
            <w:tcW w:w="875" w:type="pct"/>
            <w:noWrap/>
            <w:vAlign w:val="center"/>
          </w:tcPr>
          <w:p w14:paraId="7D6B417E">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3.838</w:t>
            </w:r>
          </w:p>
        </w:tc>
        <w:tc>
          <w:tcPr>
            <w:tcW w:w="503" w:type="pct"/>
            <w:noWrap/>
            <w:vAlign w:val="center"/>
          </w:tcPr>
          <w:p w14:paraId="3BC643B7">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852.89</w:t>
            </w:r>
          </w:p>
        </w:tc>
        <w:tc>
          <w:tcPr>
            <w:tcW w:w="871" w:type="pct"/>
            <w:noWrap/>
            <w:vAlign w:val="center"/>
          </w:tcPr>
          <w:p w14:paraId="6F5ABB89">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3.838</w:t>
            </w:r>
          </w:p>
        </w:tc>
        <w:tc>
          <w:tcPr>
            <w:tcW w:w="507" w:type="pct"/>
            <w:noWrap/>
            <w:vAlign w:val="center"/>
          </w:tcPr>
          <w:p w14:paraId="10CDF14F">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852.89</w:t>
            </w:r>
          </w:p>
        </w:tc>
        <w:tc>
          <w:tcPr>
            <w:tcW w:w="866" w:type="pct"/>
            <w:noWrap/>
            <w:vAlign w:val="center"/>
          </w:tcPr>
          <w:p w14:paraId="7C7A889B">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3.838</w:t>
            </w:r>
          </w:p>
        </w:tc>
        <w:tc>
          <w:tcPr>
            <w:tcW w:w="513" w:type="pct"/>
            <w:noWrap/>
            <w:vAlign w:val="center"/>
          </w:tcPr>
          <w:p w14:paraId="1C5A257C">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852.89</w:t>
            </w:r>
          </w:p>
        </w:tc>
      </w:tr>
      <w:tr w14:paraId="350094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7C8AFA2D">
            <w:pPr>
              <w:pStyle w:val="41"/>
              <w:spacing w:line="240" w:lineRule="atLeast"/>
              <w:rPr>
                <w:color w:val="auto"/>
                <w:highlight w:val="none"/>
              </w:rPr>
            </w:pPr>
            <w:r>
              <w:rPr>
                <w:color w:val="auto"/>
                <w:highlight w:val="none"/>
              </w:rPr>
              <w:t>11</w:t>
            </w:r>
          </w:p>
        </w:tc>
        <w:tc>
          <w:tcPr>
            <w:tcW w:w="571" w:type="pct"/>
            <w:noWrap/>
            <w:vAlign w:val="center"/>
          </w:tcPr>
          <w:p w14:paraId="1B4B5F5D">
            <w:pPr>
              <w:pStyle w:val="41"/>
              <w:spacing w:line="240" w:lineRule="atLeast"/>
              <w:rPr>
                <w:color w:val="auto"/>
                <w:highlight w:val="none"/>
              </w:rPr>
            </w:pPr>
            <w:r>
              <w:rPr>
                <w:color w:val="auto"/>
                <w:highlight w:val="none"/>
              </w:rPr>
              <w:t>225</w:t>
            </w:r>
          </w:p>
        </w:tc>
        <w:tc>
          <w:tcPr>
            <w:tcW w:w="875" w:type="pct"/>
            <w:noWrap/>
            <w:vAlign w:val="center"/>
          </w:tcPr>
          <w:p w14:paraId="4A5EF260">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3.6322</w:t>
            </w:r>
          </w:p>
        </w:tc>
        <w:tc>
          <w:tcPr>
            <w:tcW w:w="503" w:type="pct"/>
            <w:noWrap/>
            <w:vAlign w:val="center"/>
          </w:tcPr>
          <w:p w14:paraId="5AF00291">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807.16</w:t>
            </w:r>
          </w:p>
        </w:tc>
        <w:tc>
          <w:tcPr>
            <w:tcW w:w="871" w:type="pct"/>
            <w:noWrap/>
            <w:vAlign w:val="center"/>
          </w:tcPr>
          <w:p w14:paraId="7C33125F">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3.6322</w:t>
            </w:r>
          </w:p>
        </w:tc>
        <w:tc>
          <w:tcPr>
            <w:tcW w:w="507" w:type="pct"/>
            <w:noWrap/>
            <w:vAlign w:val="center"/>
          </w:tcPr>
          <w:p w14:paraId="30582A62">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807.16</w:t>
            </w:r>
          </w:p>
        </w:tc>
        <w:tc>
          <w:tcPr>
            <w:tcW w:w="866" w:type="pct"/>
            <w:noWrap/>
            <w:vAlign w:val="center"/>
          </w:tcPr>
          <w:p w14:paraId="69B01CED">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3.6322</w:t>
            </w:r>
          </w:p>
        </w:tc>
        <w:tc>
          <w:tcPr>
            <w:tcW w:w="513" w:type="pct"/>
            <w:noWrap/>
            <w:vAlign w:val="center"/>
          </w:tcPr>
          <w:p w14:paraId="7E86056B">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807.16</w:t>
            </w:r>
          </w:p>
        </w:tc>
      </w:tr>
      <w:tr w14:paraId="5AD2AC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73C0E75E">
            <w:pPr>
              <w:pStyle w:val="41"/>
              <w:spacing w:line="240" w:lineRule="atLeast"/>
              <w:rPr>
                <w:color w:val="auto"/>
                <w:highlight w:val="none"/>
              </w:rPr>
            </w:pPr>
            <w:r>
              <w:rPr>
                <w:color w:val="auto"/>
                <w:highlight w:val="none"/>
              </w:rPr>
              <w:t>12</w:t>
            </w:r>
          </w:p>
        </w:tc>
        <w:tc>
          <w:tcPr>
            <w:tcW w:w="571" w:type="pct"/>
            <w:noWrap/>
            <w:vAlign w:val="center"/>
          </w:tcPr>
          <w:p w14:paraId="656D714F">
            <w:pPr>
              <w:pStyle w:val="41"/>
              <w:spacing w:line="240" w:lineRule="atLeast"/>
              <w:rPr>
                <w:color w:val="auto"/>
                <w:highlight w:val="none"/>
              </w:rPr>
            </w:pPr>
            <w:r>
              <w:rPr>
                <w:color w:val="auto"/>
                <w:highlight w:val="none"/>
              </w:rPr>
              <w:t>250</w:t>
            </w:r>
          </w:p>
        </w:tc>
        <w:tc>
          <w:tcPr>
            <w:tcW w:w="875" w:type="pct"/>
            <w:noWrap/>
            <w:vAlign w:val="center"/>
          </w:tcPr>
          <w:p w14:paraId="529902B7">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3.3993</w:t>
            </w:r>
          </w:p>
        </w:tc>
        <w:tc>
          <w:tcPr>
            <w:tcW w:w="503" w:type="pct"/>
            <w:noWrap/>
            <w:vAlign w:val="center"/>
          </w:tcPr>
          <w:p w14:paraId="296048CD">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755.4</w:t>
            </w:r>
          </w:p>
        </w:tc>
        <w:tc>
          <w:tcPr>
            <w:tcW w:w="871" w:type="pct"/>
            <w:noWrap/>
            <w:vAlign w:val="center"/>
          </w:tcPr>
          <w:p w14:paraId="3D6B6DB2">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3.3993</w:t>
            </w:r>
          </w:p>
        </w:tc>
        <w:tc>
          <w:tcPr>
            <w:tcW w:w="507" w:type="pct"/>
            <w:noWrap/>
            <w:vAlign w:val="center"/>
          </w:tcPr>
          <w:p w14:paraId="0098FDAD">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755.4</w:t>
            </w:r>
          </w:p>
        </w:tc>
        <w:tc>
          <w:tcPr>
            <w:tcW w:w="866" w:type="pct"/>
            <w:noWrap/>
            <w:vAlign w:val="center"/>
          </w:tcPr>
          <w:p w14:paraId="7A0CC015">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3.3993</w:t>
            </w:r>
          </w:p>
        </w:tc>
        <w:tc>
          <w:tcPr>
            <w:tcW w:w="513" w:type="pct"/>
            <w:noWrap/>
            <w:vAlign w:val="center"/>
          </w:tcPr>
          <w:p w14:paraId="3D1C4569">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755.4</w:t>
            </w:r>
          </w:p>
        </w:tc>
      </w:tr>
      <w:tr w14:paraId="204AAC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6AAF23A4">
            <w:pPr>
              <w:pStyle w:val="41"/>
              <w:spacing w:line="240" w:lineRule="atLeast"/>
              <w:rPr>
                <w:color w:val="auto"/>
                <w:highlight w:val="none"/>
              </w:rPr>
            </w:pPr>
            <w:r>
              <w:rPr>
                <w:color w:val="auto"/>
                <w:highlight w:val="none"/>
              </w:rPr>
              <w:t>13</w:t>
            </w:r>
          </w:p>
        </w:tc>
        <w:tc>
          <w:tcPr>
            <w:tcW w:w="571" w:type="pct"/>
            <w:noWrap/>
            <w:vAlign w:val="center"/>
          </w:tcPr>
          <w:p w14:paraId="486A8BDD">
            <w:pPr>
              <w:pStyle w:val="41"/>
              <w:spacing w:line="240" w:lineRule="atLeast"/>
              <w:rPr>
                <w:color w:val="auto"/>
                <w:highlight w:val="none"/>
              </w:rPr>
            </w:pPr>
            <w:r>
              <w:rPr>
                <w:color w:val="auto"/>
                <w:highlight w:val="none"/>
              </w:rPr>
              <w:t>275</w:t>
            </w:r>
          </w:p>
        </w:tc>
        <w:tc>
          <w:tcPr>
            <w:tcW w:w="875" w:type="pct"/>
            <w:noWrap/>
            <w:vAlign w:val="center"/>
          </w:tcPr>
          <w:p w14:paraId="121D8686">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3.1651</w:t>
            </w:r>
          </w:p>
        </w:tc>
        <w:tc>
          <w:tcPr>
            <w:tcW w:w="503" w:type="pct"/>
            <w:noWrap/>
            <w:vAlign w:val="center"/>
          </w:tcPr>
          <w:p w14:paraId="5ECB3A64">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703.36</w:t>
            </w:r>
          </w:p>
        </w:tc>
        <w:tc>
          <w:tcPr>
            <w:tcW w:w="871" w:type="pct"/>
            <w:noWrap/>
            <w:vAlign w:val="center"/>
          </w:tcPr>
          <w:p w14:paraId="156CACE2">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3.1651</w:t>
            </w:r>
          </w:p>
        </w:tc>
        <w:tc>
          <w:tcPr>
            <w:tcW w:w="507" w:type="pct"/>
            <w:noWrap/>
            <w:vAlign w:val="center"/>
          </w:tcPr>
          <w:p w14:paraId="79FDCDA5">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703.36</w:t>
            </w:r>
          </w:p>
        </w:tc>
        <w:tc>
          <w:tcPr>
            <w:tcW w:w="866" w:type="pct"/>
            <w:noWrap/>
            <w:vAlign w:val="center"/>
          </w:tcPr>
          <w:p w14:paraId="3937DA43">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3.1651</w:t>
            </w:r>
          </w:p>
        </w:tc>
        <w:tc>
          <w:tcPr>
            <w:tcW w:w="513" w:type="pct"/>
            <w:noWrap/>
            <w:vAlign w:val="center"/>
          </w:tcPr>
          <w:p w14:paraId="1F56DA05">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703.36</w:t>
            </w:r>
          </w:p>
        </w:tc>
      </w:tr>
      <w:tr w14:paraId="0C28D7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1519703D">
            <w:pPr>
              <w:pStyle w:val="41"/>
              <w:spacing w:line="240" w:lineRule="atLeast"/>
              <w:rPr>
                <w:color w:val="auto"/>
                <w:highlight w:val="none"/>
              </w:rPr>
            </w:pPr>
            <w:r>
              <w:rPr>
                <w:color w:val="auto"/>
                <w:highlight w:val="none"/>
              </w:rPr>
              <w:t>14</w:t>
            </w:r>
          </w:p>
        </w:tc>
        <w:tc>
          <w:tcPr>
            <w:tcW w:w="571" w:type="pct"/>
            <w:noWrap/>
            <w:vAlign w:val="center"/>
          </w:tcPr>
          <w:p w14:paraId="2C3EC50D">
            <w:pPr>
              <w:pStyle w:val="41"/>
              <w:spacing w:line="240" w:lineRule="atLeast"/>
              <w:rPr>
                <w:color w:val="auto"/>
                <w:highlight w:val="none"/>
              </w:rPr>
            </w:pPr>
            <w:r>
              <w:rPr>
                <w:color w:val="auto"/>
                <w:highlight w:val="none"/>
              </w:rPr>
              <w:t>300</w:t>
            </w:r>
          </w:p>
        </w:tc>
        <w:tc>
          <w:tcPr>
            <w:tcW w:w="875" w:type="pct"/>
            <w:noWrap/>
            <w:vAlign w:val="center"/>
          </w:tcPr>
          <w:p w14:paraId="57F21637">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2.9419</w:t>
            </w:r>
          </w:p>
        </w:tc>
        <w:tc>
          <w:tcPr>
            <w:tcW w:w="503" w:type="pct"/>
            <w:noWrap/>
            <w:vAlign w:val="center"/>
          </w:tcPr>
          <w:p w14:paraId="2DDB8F2B">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653.76</w:t>
            </w:r>
          </w:p>
        </w:tc>
        <w:tc>
          <w:tcPr>
            <w:tcW w:w="871" w:type="pct"/>
            <w:noWrap/>
            <w:vAlign w:val="center"/>
          </w:tcPr>
          <w:p w14:paraId="5EA4511A">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2.9419</w:t>
            </w:r>
          </w:p>
        </w:tc>
        <w:tc>
          <w:tcPr>
            <w:tcW w:w="507" w:type="pct"/>
            <w:noWrap/>
            <w:vAlign w:val="center"/>
          </w:tcPr>
          <w:p w14:paraId="33468409">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653.76</w:t>
            </w:r>
          </w:p>
        </w:tc>
        <w:tc>
          <w:tcPr>
            <w:tcW w:w="866" w:type="pct"/>
            <w:noWrap/>
            <w:vAlign w:val="center"/>
          </w:tcPr>
          <w:p w14:paraId="57ECBFC5">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2.9419</w:t>
            </w:r>
          </w:p>
        </w:tc>
        <w:tc>
          <w:tcPr>
            <w:tcW w:w="513" w:type="pct"/>
            <w:noWrap/>
            <w:vAlign w:val="center"/>
          </w:tcPr>
          <w:p w14:paraId="14200C55">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653.76</w:t>
            </w:r>
          </w:p>
        </w:tc>
      </w:tr>
      <w:tr w14:paraId="0BC581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787B37C4">
            <w:pPr>
              <w:pStyle w:val="41"/>
              <w:spacing w:line="240" w:lineRule="atLeast"/>
              <w:rPr>
                <w:color w:val="auto"/>
                <w:highlight w:val="none"/>
              </w:rPr>
            </w:pPr>
            <w:r>
              <w:rPr>
                <w:color w:val="auto"/>
                <w:highlight w:val="none"/>
              </w:rPr>
              <w:t>15</w:t>
            </w:r>
          </w:p>
        </w:tc>
        <w:tc>
          <w:tcPr>
            <w:tcW w:w="571" w:type="pct"/>
            <w:noWrap/>
            <w:vAlign w:val="center"/>
          </w:tcPr>
          <w:p w14:paraId="649057BA">
            <w:pPr>
              <w:pStyle w:val="41"/>
              <w:spacing w:line="240" w:lineRule="atLeast"/>
              <w:rPr>
                <w:color w:val="auto"/>
                <w:highlight w:val="none"/>
              </w:rPr>
            </w:pPr>
            <w:r>
              <w:rPr>
                <w:color w:val="auto"/>
                <w:highlight w:val="none"/>
              </w:rPr>
              <w:t>325</w:t>
            </w:r>
          </w:p>
        </w:tc>
        <w:tc>
          <w:tcPr>
            <w:tcW w:w="875" w:type="pct"/>
            <w:noWrap/>
            <w:vAlign w:val="center"/>
          </w:tcPr>
          <w:p w14:paraId="7FBF32CE">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2.7346</w:t>
            </w:r>
          </w:p>
        </w:tc>
        <w:tc>
          <w:tcPr>
            <w:tcW w:w="503" w:type="pct"/>
            <w:noWrap/>
            <w:vAlign w:val="center"/>
          </w:tcPr>
          <w:p w14:paraId="6C56852E">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607.69</w:t>
            </w:r>
          </w:p>
        </w:tc>
        <w:tc>
          <w:tcPr>
            <w:tcW w:w="871" w:type="pct"/>
            <w:noWrap/>
            <w:vAlign w:val="center"/>
          </w:tcPr>
          <w:p w14:paraId="04154136">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2.7346</w:t>
            </w:r>
          </w:p>
        </w:tc>
        <w:tc>
          <w:tcPr>
            <w:tcW w:w="507" w:type="pct"/>
            <w:noWrap/>
            <w:vAlign w:val="center"/>
          </w:tcPr>
          <w:p w14:paraId="238A256C">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607.69</w:t>
            </w:r>
          </w:p>
        </w:tc>
        <w:tc>
          <w:tcPr>
            <w:tcW w:w="866" w:type="pct"/>
            <w:noWrap/>
            <w:vAlign w:val="center"/>
          </w:tcPr>
          <w:p w14:paraId="09CB5D09">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2.7346</w:t>
            </w:r>
          </w:p>
        </w:tc>
        <w:tc>
          <w:tcPr>
            <w:tcW w:w="513" w:type="pct"/>
            <w:noWrap/>
            <w:vAlign w:val="center"/>
          </w:tcPr>
          <w:p w14:paraId="73363520">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607.69</w:t>
            </w:r>
          </w:p>
        </w:tc>
      </w:tr>
      <w:tr w14:paraId="6743F4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20FF4FBC">
            <w:pPr>
              <w:pStyle w:val="41"/>
              <w:spacing w:line="240" w:lineRule="atLeast"/>
              <w:rPr>
                <w:color w:val="auto"/>
                <w:highlight w:val="none"/>
              </w:rPr>
            </w:pPr>
            <w:r>
              <w:rPr>
                <w:color w:val="auto"/>
                <w:highlight w:val="none"/>
              </w:rPr>
              <w:t>16</w:t>
            </w:r>
          </w:p>
        </w:tc>
        <w:tc>
          <w:tcPr>
            <w:tcW w:w="571" w:type="pct"/>
            <w:noWrap/>
            <w:vAlign w:val="center"/>
          </w:tcPr>
          <w:p w14:paraId="31D022A6">
            <w:pPr>
              <w:pStyle w:val="41"/>
              <w:spacing w:line="240" w:lineRule="atLeast"/>
              <w:rPr>
                <w:color w:val="auto"/>
                <w:highlight w:val="none"/>
              </w:rPr>
            </w:pPr>
            <w:r>
              <w:rPr>
                <w:color w:val="auto"/>
                <w:highlight w:val="none"/>
              </w:rPr>
              <w:t>350</w:t>
            </w:r>
          </w:p>
        </w:tc>
        <w:tc>
          <w:tcPr>
            <w:tcW w:w="875" w:type="pct"/>
            <w:noWrap/>
            <w:vAlign w:val="center"/>
          </w:tcPr>
          <w:p w14:paraId="5F8CFBC0">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2.5449</w:t>
            </w:r>
          </w:p>
        </w:tc>
        <w:tc>
          <w:tcPr>
            <w:tcW w:w="503" w:type="pct"/>
            <w:noWrap/>
            <w:vAlign w:val="center"/>
          </w:tcPr>
          <w:p w14:paraId="257FE2CF">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565.53</w:t>
            </w:r>
          </w:p>
        </w:tc>
        <w:tc>
          <w:tcPr>
            <w:tcW w:w="871" w:type="pct"/>
            <w:noWrap/>
            <w:vAlign w:val="center"/>
          </w:tcPr>
          <w:p w14:paraId="31AE579B">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2.5449</w:t>
            </w:r>
          </w:p>
        </w:tc>
        <w:tc>
          <w:tcPr>
            <w:tcW w:w="507" w:type="pct"/>
            <w:noWrap/>
            <w:vAlign w:val="center"/>
          </w:tcPr>
          <w:p w14:paraId="1F64516E">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565.53</w:t>
            </w:r>
          </w:p>
        </w:tc>
        <w:tc>
          <w:tcPr>
            <w:tcW w:w="866" w:type="pct"/>
            <w:noWrap/>
            <w:vAlign w:val="center"/>
          </w:tcPr>
          <w:p w14:paraId="40039E27">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2.5449</w:t>
            </w:r>
          </w:p>
        </w:tc>
        <w:tc>
          <w:tcPr>
            <w:tcW w:w="513" w:type="pct"/>
            <w:noWrap/>
            <w:vAlign w:val="center"/>
          </w:tcPr>
          <w:p w14:paraId="0C1C0556">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565.53</w:t>
            </w:r>
          </w:p>
        </w:tc>
      </w:tr>
      <w:tr w14:paraId="42E8CC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3CB8DA70">
            <w:pPr>
              <w:pStyle w:val="41"/>
              <w:spacing w:line="240" w:lineRule="atLeast"/>
              <w:rPr>
                <w:color w:val="auto"/>
                <w:highlight w:val="none"/>
              </w:rPr>
            </w:pPr>
            <w:r>
              <w:rPr>
                <w:color w:val="auto"/>
                <w:highlight w:val="none"/>
              </w:rPr>
              <w:t>17</w:t>
            </w:r>
          </w:p>
        </w:tc>
        <w:tc>
          <w:tcPr>
            <w:tcW w:w="571" w:type="pct"/>
            <w:noWrap/>
            <w:vAlign w:val="center"/>
          </w:tcPr>
          <w:p w14:paraId="5E946022">
            <w:pPr>
              <w:pStyle w:val="41"/>
              <w:spacing w:line="240" w:lineRule="atLeast"/>
              <w:rPr>
                <w:color w:val="auto"/>
                <w:highlight w:val="none"/>
              </w:rPr>
            </w:pPr>
            <w:r>
              <w:rPr>
                <w:color w:val="auto"/>
                <w:highlight w:val="none"/>
              </w:rPr>
              <w:t>375</w:t>
            </w:r>
          </w:p>
        </w:tc>
        <w:tc>
          <w:tcPr>
            <w:tcW w:w="875" w:type="pct"/>
            <w:noWrap/>
            <w:vAlign w:val="center"/>
          </w:tcPr>
          <w:p w14:paraId="1563BE9E">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2.3724</w:t>
            </w:r>
          </w:p>
        </w:tc>
        <w:tc>
          <w:tcPr>
            <w:tcW w:w="503" w:type="pct"/>
            <w:noWrap/>
            <w:vAlign w:val="center"/>
          </w:tcPr>
          <w:p w14:paraId="32413F4A">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527.2</w:t>
            </w:r>
          </w:p>
        </w:tc>
        <w:tc>
          <w:tcPr>
            <w:tcW w:w="871" w:type="pct"/>
            <w:noWrap/>
            <w:vAlign w:val="center"/>
          </w:tcPr>
          <w:p w14:paraId="56B0D901">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2.3724</w:t>
            </w:r>
          </w:p>
        </w:tc>
        <w:tc>
          <w:tcPr>
            <w:tcW w:w="507" w:type="pct"/>
            <w:noWrap/>
            <w:vAlign w:val="center"/>
          </w:tcPr>
          <w:p w14:paraId="4A409FB1">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527.2</w:t>
            </w:r>
          </w:p>
        </w:tc>
        <w:tc>
          <w:tcPr>
            <w:tcW w:w="866" w:type="pct"/>
            <w:noWrap/>
            <w:vAlign w:val="center"/>
          </w:tcPr>
          <w:p w14:paraId="795C4D28">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2.3724</w:t>
            </w:r>
          </w:p>
        </w:tc>
        <w:tc>
          <w:tcPr>
            <w:tcW w:w="513" w:type="pct"/>
            <w:noWrap/>
            <w:vAlign w:val="center"/>
          </w:tcPr>
          <w:p w14:paraId="1EC32AAF">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527.2</w:t>
            </w:r>
          </w:p>
        </w:tc>
      </w:tr>
      <w:tr w14:paraId="427624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251ACCD8">
            <w:pPr>
              <w:pStyle w:val="41"/>
              <w:spacing w:line="240" w:lineRule="atLeast"/>
              <w:rPr>
                <w:color w:val="auto"/>
                <w:highlight w:val="none"/>
              </w:rPr>
            </w:pPr>
            <w:r>
              <w:rPr>
                <w:color w:val="auto"/>
                <w:highlight w:val="none"/>
              </w:rPr>
              <w:t>18</w:t>
            </w:r>
          </w:p>
        </w:tc>
        <w:tc>
          <w:tcPr>
            <w:tcW w:w="571" w:type="pct"/>
            <w:noWrap/>
            <w:vAlign w:val="center"/>
          </w:tcPr>
          <w:p w14:paraId="4B912C9D">
            <w:pPr>
              <w:pStyle w:val="41"/>
              <w:spacing w:line="240" w:lineRule="atLeast"/>
              <w:rPr>
                <w:color w:val="auto"/>
                <w:highlight w:val="none"/>
              </w:rPr>
            </w:pPr>
            <w:r>
              <w:rPr>
                <w:color w:val="auto"/>
                <w:highlight w:val="none"/>
              </w:rPr>
              <w:t>400</w:t>
            </w:r>
          </w:p>
        </w:tc>
        <w:tc>
          <w:tcPr>
            <w:tcW w:w="875" w:type="pct"/>
            <w:noWrap/>
            <w:vAlign w:val="center"/>
          </w:tcPr>
          <w:p w14:paraId="11E8895A">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2.216</w:t>
            </w:r>
          </w:p>
        </w:tc>
        <w:tc>
          <w:tcPr>
            <w:tcW w:w="503" w:type="pct"/>
            <w:noWrap/>
            <w:vAlign w:val="center"/>
          </w:tcPr>
          <w:p w14:paraId="21382ACF">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492.44</w:t>
            </w:r>
          </w:p>
        </w:tc>
        <w:tc>
          <w:tcPr>
            <w:tcW w:w="871" w:type="pct"/>
            <w:noWrap/>
            <w:vAlign w:val="center"/>
          </w:tcPr>
          <w:p w14:paraId="6376CF64">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2.216</w:t>
            </w:r>
          </w:p>
        </w:tc>
        <w:tc>
          <w:tcPr>
            <w:tcW w:w="507" w:type="pct"/>
            <w:noWrap/>
            <w:vAlign w:val="center"/>
          </w:tcPr>
          <w:p w14:paraId="70AA109B">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492.44</w:t>
            </w:r>
          </w:p>
        </w:tc>
        <w:tc>
          <w:tcPr>
            <w:tcW w:w="866" w:type="pct"/>
            <w:noWrap/>
            <w:vAlign w:val="center"/>
          </w:tcPr>
          <w:p w14:paraId="2E89FFF6">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2.216</w:t>
            </w:r>
          </w:p>
        </w:tc>
        <w:tc>
          <w:tcPr>
            <w:tcW w:w="513" w:type="pct"/>
            <w:noWrap/>
            <w:vAlign w:val="center"/>
          </w:tcPr>
          <w:p w14:paraId="09FD4B12">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492.44</w:t>
            </w:r>
          </w:p>
        </w:tc>
      </w:tr>
      <w:tr w14:paraId="3B157A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3ED52BF8">
            <w:pPr>
              <w:pStyle w:val="41"/>
              <w:spacing w:line="240" w:lineRule="atLeast"/>
              <w:rPr>
                <w:color w:val="auto"/>
                <w:highlight w:val="none"/>
              </w:rPr>
            </w:pPr>
            <w:r>
              <w:rPr>
                <w:color w:val="auto"/>
                <w:highlight w:val="none"/>
              </w:rPr>
              <w:t>19</w:t>
            </w:r>
          </w:p>
        </w:tc>
        <w:tc>
          <w:tcPr>
            <w:tcW w:w="571" w:type="pct"/>
            <w:noWrap/>
            <w:vAlign w:val="center"/>
          </w:tcPr>
          <w:p w14:paraId="089DE9F6">
            <w:pPr>
              <w:pStyle w:val="41"/>
              <w:spacing w:line="240" w:lineRule="atLeast"/>
              <w:rPr>
                <w:color w:val="auto"/>
                <w:highlight w:val="none"/>
              </w:rPr>
            </w:pPr>
            <w:r>
              <w:rPr>
                <w:color w:val="auto"/>
                <w:highlight w:val="none"/>
              </w:rPr>
              <w:t>425</w:t>
            </w:r>
          </w:p>
        </w:tc>
        <w:tc>
          <w:tcPr>
            <w:tcW w:w="875" w:type="pct"/>
            <w:noWrap/>
            <w:vAlign w:val="center"/>
          </w:tcPr>
          <w:p w14:paraId="5ECED1BD">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2.0745</w:t>
            </w:r>
          </w:p>
        </w:tc>
        <w:tc>
          <w:tcPr>
            <w:tcW w:w="503" w:type="pct"/>
            <w:noWrap/>
            <w:vAlign w:val="center"/>
          </w:tcPr>
          <w:p w14:paraId="0955068E">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461</w:t>
            </w:r>
          </w:p>
        </w:tc>
        <w:tc>
          <w:tcPr>
            <w:tcW w:w="871" w:type="pct"/>
            <w:noWrap/>
            <w:vAlign w:val="center"/>
          </w:tcPr>
          <w:p w14:paraId="0BA9365F">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2.0745</w:t>
            </w:r>
          </w:p>
        </w:tc>
        <w:tc>
          <w:tcPr>
            <w:tcW w:w="507" w:type="pct"/>
            <w:noWrap/>
            <w:vAlign w:val="center"/>
          </w:tcPr>
          <w:p w14:paraId="3A3CC518">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461</w:t>
            </w:r>
          </w:p>
        </w:tc>
        <w:tc>
          <w:tcPr>
            <w:tcW w:w="866" w:type="pct"/>
            <w:noWrap/>
            <w:vAlign w:val="center"/>
          </w:tcPr>
          <w:p w14:paraId="3ED55709">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2.0745</w:t>
            </w:r>
          </w:p>
        </w:tc>
        <w:tc>
          <w:tcPr>
            <w:tcW w:w="513" w:type="pct"/>
            <w:noWrap/>
            <w:vAlign w:val="center"/>
          </w:tcPr>
          <w:p w14:paraId="7070BA3A">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461</w:t>
            </w:r>
          </w:p>
        </w:tc>
      </w:tr>
      <w:tr w14:paraId="7C51D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66CA7F2A">
            <w:pPr>
              <w:pStyle w:val="41"/>
              <w:spacing w:line="240" w:lineRule="atLeast"/>
              <w:rPr>
                <w:color w:val="auto"/>
                <w:highlight w:val="none"/>
              </w:rPr>
            </w:pPr>
            <w:r>
              <w:rPr>
                <w:color w:val="auto"/>
                <w:highlight w:val="none"/>
              </w:rPr>
              <w:t>20</w:t>
            </w:r>
          </w:p>
        </w:tc>
        <w:tc>
          <w:tcPr>
            <w:tcW w:w="571" w:type="pct"/>
            <w:noWrap/>
            <w:vAlign w:val="center"/>
          </w:tcPr>
          <w:p w14:paraId="5B48024E">
            <w:pPr>
              <w:pStyle w:val="41"/>
              <w:spacing w:line="240" w:lineRule="atLeast"/>
              <w:rPr>
                <w:color w:val="auto"/>
                <w:highlight w:val="none"/>
              </w:rPr>
            </w:pPr>
            <w:r>
              <w:rPr>
                <w:color w:val="auto"/>
                <w:highlight w:val="none"/>
              </w:rPr>
              <w:t>450</w:t>
            </w:r>
          </w:p>
        </w:tc>
        <w:tc>
          <w:tcPr>
            <w:tcW w:w="875" w:type="pct"/>
            <w:noWrap/>
            <w:vAlign w:val="center"/>
          </w:tcPr>
          <w:p w14:paraId="1AA61108">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1.9462</w:t>
            </w:r>
          </w:p>
        </w:tc>
        <w:tc>
          <w:tcPr>
            <w:tcW w:w="503" w:type="pct"/>
            <w:noWrap/>
            <w:vAlign w:val="center"/>
          </w:tcPr>
          <w:p w14:paraId="68E344E2">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432.49</w:t>
            </w:r>
          </w:p>
        </w:tc>
        <w:tc>
          <w:tcPr>
            <w:tcW w:w="871" w:type="pct"/>
            <w:noWrap/>
            <w:vAlign w:val="center"/>
          </w:tcPr>
          <w:p w14:paraId="046CA312">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1.9462</w:t>
            </w:r>
          </w:p>
        </w:tc>
        <w:tc>
          <w:tcPr>
            <w:tcW w:w="507" w:type="pct"/>
            <w:noWrap/>
            <w:vAlign w:val="center"/>
          </w:tcPr>
          <w:p w14:paraId="74D7F0BC">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432.49</w:t>
            </w:r>
          </w:p>
        </w:tc>
        <w:tc>
          <w:tcPr>
            <w:tcW w:w="866" w:type="pct"/>
            <w:noWrap/>
            <w:vAlign w:val="center"/>
          </w:tcPr>
          <w:p w14:paraId="6FD5A754">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1.9462</w:t>
            </w:r>
          </w:p>
        </w:tc>
        <w:tc>
          <w:tcPr>
            <w:tcW w:w="513" w:type="pct"/>
            <w:noWrap/>
            <w:vAlign w:val="center"/>
          </w:tcPr>
          <w:p w14:paraId="404A536C">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432.49</w:t>
            </w:r>
          </w:p>
        </w:tc>
      </w:tr>
      <w:tr w14:paraId="4A501B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03146985">
            <w:pPr>
              <w:pStyle w:val="41"/>
              <w:spacing w:line="240" w:lineRule="atLeast"/>
              <w:rPr>
                <w:color w:val="auto"/>
                <w:highlight w:val="none"/>
              </w:rPr>
            </w:pPr>
            <w:r>
              <w:rPr>
                <w:color w:val="auto"/>
                <w:highlight w:val="none"/>
              </w:rPr>
              <w:t>21</w:t>
            </w:r>
          </w:p>
        </w:tc>
        <w:tc>
          <w:tcPr>
            <w:tcW w:w="571" w:type="pct"/>
            <w:noWrap/>
            <w:vAlign w:val="center"/>
          </w:tcPr>
          <w:p w14:paraId="2399F334">
            <w:pPr>
              <w:pStyle w:val="41"/>
              <w:spacing w:line="240" w:lineRule="atLeast"/>
              <w:rPr>
                <w:color w:val="auto"/>
                <w:highlight w:val="none"/>
              </w:rPr>
            </w:pPr>
            <w:r>
              <w:rPr>
                <w:color w:val="auto"/>
                <w:highlight w:val="none"/>
              </w:rPr>
              <w:t>475</w:t>
            </w:r>
          </w:p>
        </w:tc>
        <w:tc>
          <w:tcPr>
            <w:tcW w:w="875" w:type="pct"/>
            <w:noWrap/>
            <w:vAlign w:val="center"/>
          </w:tcPr>
          <w:p w14:paraId="13BF7DB5">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1.8299</w:t>
            </w:r>
          </w:p>
        </w:tc>
        <w:tc>
          <w:tcPr>
            <w:tcW w:w="503" w:type="pct"/>
            <w:noWrap/>
            <w:vAlign w:val="center"/>
          </w:tcPr>
          <w:p w14:paraId="055B0664">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406.64</w:t>
            </w:r>
          </w:p>
        </w:tc>
        <w:tc>
          <w:tcPr>
            <w:tcW w:w="871" w:type="pct"/>
            <w:noWrap/>
            <w:vAlign w:val="center"/>
          </w:tcPr>
          <w:p w14:paraId="5A2D343E">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1.8299</w:t>
            </w:r>
          </w:p>
        </w:tc>
        <w:tc>
          <w:tcPr>
            <w:tcW w:w="507" w:type="pct"/>
            <w:noWrap/>
            <w:vAlign w:val="center"/>
          </w:tcPr>
          <w:p w14:paraId="4DF6B65A">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406.64</w:t>
            </w:r>
          </w:p>
        </w:tc>
        <w:tc>
          <w:tcPr>
            <w:tcW w:w="866" w:type="pct"/>
            <w:noWrap/>
            <w:vAlign w:val="center"/>
          </w:tcPr>
          <w:p w14:paraId="0FEF0480">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1.8299</w:t>
            </w:r>
          </w:p>
        </w:tc>
        <w:tc>
          <w:tcPr>
            <w:tcW w:w="513" w:type="pct"/>
            <w:noWrap/>
            <w:vAlign w:val="center"/>
          </w:tcPr>
          <w:p w14:paraId="543646EB">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406.64</w:t>
            </w:r>
          </w:p>
        </w:tc>
      </w:tr>
      <w:tr w14:paraId="254EA8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90" w:type="pct"/>
            <w:noWrap/>
            <w:vAlign w:val="center"/>
          </w:tcPr>
          <w:p w14:paraId="2E361BDA">
            <w:pPr>
              <w:pStyle w:val="41"/>
              <w:spacing w:line="240" w:lineRule="atLeast"/>
              <w:rPr>
                <w:color w:val="auto"/>
                <w:highlight w:val="none"/>
              </w:rPr>
            </w:pPr>
            <w:r>
              <w:rPr>
                <w:color w:val="auto"/>
                <w:highlight w:val="none"/>
              </w:rPr>
              <w:t>22</w:t>
            </w:r>
          </w:p>
        </w:tc>
        <w:tc>
          <w:tcPr>
            <w:tcW w:w="571" w:type="pct"/>
            <w:noWrap/>
            <w:vAlign w:val="center"/>
          </w:tcPr>
          <w:p w14:paraId="1AFF14B2">
            <w:pPr>
              <w:pStyle w:val="41"/>
              <w:spacing w:line="240" w:lineRule="atLeast"/>
              <w:rPr>
                <w:color w:val="auto"/>
                <w:highlight w:val="none"/>
              </w:rPr>
            </w:pPr>
            <w:r>
              <w:rPr>
                <w:color w:val="auto"/>
                <w:highlight w:val="none"/>
              </w:rPr>
              <w:t>500</w:t>
            </w:r>
          </w:p>
        </w:tc>
        <w:tc>
          <w:tcPr>
            <w:tcW w:w="875" w:type="pct"/>
            <w:noWrap/>
            <w:vAlign w:val="center"/>
          </w:tcPr>
          <w:p w14:paraId="0A59EA72">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1.7242</w:t>
            </w:r>
          </w:p>
        </w:tc>
        <w:tc>
          <w:tcPr>
            <w:tcW w:w="503" w:type="pct"/>
            <w:noWrap/>
            <w:vAlign w:val="center"/>
          </w:tcPr>
          <w:p w14:paraId="5F1571D1">
            <w:pPr>
              <w:pStyle w:val="41"/>
              <w:keepNext w:val="0"/>
              <w:keepLines w:val="0"/>
              <w:widowControl/>
              <w:suppressLineNumbers w:val="0"/>
              <w:spacing w:line="240" w:lineRule="atLeast"/>
              <w:ind w:firstLineChars="0"/>
              <w:jc w:val="center"/>
              <w:textAlignment w:val="auto"/>
              <w:rPr>
                <w:color w:val="auto"/>
                <w:highlight w:val="none"/>
              </w:rPr>
            </w:pPr>
            <w:r>
              <w:rPr>
                <w:rFonts w:hint="default" w:ascii="Times New Roman" w:hAnsi="Times New Roman" w:eastAsia="华文中宋" w:cstheme="minorBidi"/>
                <w:i w:val="0"/>
                <w:iCs w:val="0"/>
                <w:color w:val="auto"/>
                <w:kern w:val="0"/>
                <w:sz w:val="21"/>
                <w:szCs w:val="21"/>
                <w:highlight w:val="none"/>
                <w:u w:val="none"/>
                <w:lang w:val="en-US" w:eastAsia="zh-CN" w:bidi="ar"/>
              </w:rPr>
              <w:t>383.16</w:t>
            </w:r>
          </w:p>
        </w:tc>
        <w:tc>
          <w:tcPr>
            <w:tcW w:w="871" w:type="pct"/>
            <w:noWrap/>
            <w:vAlign w:val="center"/>
          </w:tcPr>
          <w:p w14:paraId="199992B6">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1.7242</w:t>
            </w:r>
          </w:p>
        </w:tc>
        <w:tc>
          <w:tcPr>
            <w:tcW w:w="507" w:type="pct"/>
            <w:noWrap/>
            <w:vAlign w:val="center"/>
          </w:tcPr>
          <w:p w14:paraId="50FB763A">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383.16</w:t>
            </w:r>
          </w:p>
        </w:tc>
        <w:tc>
          <w:tcPr>
            <w:tcW w:w="866" w:type="pct"/>
            <w:noWrap/>
            <w:vAlign w:val="center"/>
          </w:tcPr>
          <w:p w14:paraId="0CEF6A35">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1.7242</w:t>
            </w:r>
          </w:p>
        </w:tc>
        <w:tc>
          <w:tcPr>
            <w:tcW w:w="513" w:type="pct"/>
            <w:noWrap/>
            <w:vAlign w:val="center"/>
          </w:tcPr>
          <w:p w14:paraId="537501CD">
            <w:pPr>
              <w:pStyle w:val="41"/>
              <w:keepNext w:val="0"/>
              <w:keepLines w:val="0"/>
              <w:widowControl/>
              <w:suppressLineNumbers w:val="0"/>
              <w:spacing w:line="240" w:lineRule="atLeast"/>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383.16</w:t>
            </w:r>
          </w:p>
        </w:tc>
      </w:tr>
    </w:tbl>
    <w:p w14:paraId="1AE6A4A1">
      <w:pPr>
        <w:pStyle w:val="40"/>
        <w:spacing w:before="24" w:after="24"/>
        <w:rPr>
          <w:color w:val="auto"/>
          <w:highlight w:val="none"/>
        </w:rPr>
      </w:pPr>
      <w:r>
        <w:rPr>
          <w:color w:val="auto"/>
          <w:highlight w:val="none"/>
        </w:rPr>
        <w:t>表5.2-1</w:t>
      </w:r>
      <w:r>
        <w:rPr>
          <w:rFonts w:hint="eastAsia"/>
          <w:color w:val="auto"/>
          <w:highlight w:val="none"/>
          <w:lang w:val="en-US" w:eastAsia="zh-CN"/>
        </w:rPr>
        <w:t>7</w:t>
      </w:r>
      <w:r>
        <w:rPr>
          <w:color w:val="auto"/>
          <w:highlight w:val="none"/>
        </w:rPr>
        <w:t xml:space="preserve">    非</w:t>
      </w:r>
      <w:r>
        <w:rPr>
          <w:rFonts w:hint="eastAsia"/>
          <w:color w:val="auto"/>
          <w:highlight w:val="none"/>
          <w:lang w:eastAsia="zh-CN"/>
        </w:rPr>
        <w:t>正</w:t>
      </w:r>
      <w:r>
        <w:rPr>
          <w:color w:val="auto"/>
          <w:highlight w:val="none"/>
        </w:rPr>
        <w:t>常工况（振动筛颗粒物）扩散浓度预测结果</w:t>
      </w:r>
    </w:p>
    <w:tbl>
      <w:tblPr>
        <w:tblStyle w:val="25"/>
        <w:tblW w:w="4999"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8"/>
        <w:gridCol w:w="934"/>
        <w:gridCol w:w="1213"/>
        <w:gridCol w:w="962"/>
        <w:gridCol w:w="1705"/>
        <w:gridCol w:w="872"/>
        <w:gridCol w:w="1396"/>
        <w:gridCol w:w="874"/>
      </w:tblGrid>
      <w:tr w14:paraId="35B006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vMerge w:val="restart"/>
            <w:noWrap/>
            <w:vAlign w:val="center"/>
          </w:tcPr>
          <w:p w14:paraId="08B13789">
            <w:pPr>
              <w:pStyle w:val="41"/>
              <w:rPr>
                <w:color w:val="auto"/>
                <w:highlight w:val="none"/>
              </w:rPr>
            </w:pPr>
            <w:r>
              <w:rPr>
                <w:color w:val="auto"/>
                <w:highlight w:val="none"/>
              </w:rPr>
              <w:t>序号</w:t>
            </w:r>
          </w:p>
        </w:tc>
        <w:tc>
          <w:tcPr>
            <w:tcW w:w="548" w:type="pct"/>
            <w:vMerge w:val="restart"/>
            <w:tcBorders>
              <w:right w:val="single" w:color="auto" w:sz="2" w:space="0"/>
            </w:tcBorders>
            <w:noWrap/>
            <w:vAlign w:val="center"/>
          </w:tcPr>
          <w:p w14:paraId="7EB0CB07">
            <w:pPr>
              <w:pStyle w:val="41"/>
              <w:rPr>
                <w:color w:val="auto"/>
                <w:highlight w:val="none"/>
              </w:rPr>
            </w:pPr>
            <w:r>
              <w:rPr>
                <w:color w:val="auto"/>
                <w:highlight w:val="none"/>
              </w:rPr>
              <w:t>离源距离</w:t>
            </w:r>
            <w:r>
              <w:rPr>
                <w:rFonts w:hint="eastAsia"/>
                <w:color w:val="auto"/>
                <w:highlight w:val="none"/>
                <w:lang w:eastAsia="zh-CN"/>
              </w:rPr>
              <w:t>（</w:t>
            </w:r>
            <w:r>
              <w:rPr>
                <w:color w:val="auto"/>
                <w:highlight w:val="none"/>
              </w:rPr>
              <w:t>m</w:t>
            </w:r>
            <w:r>
              <w:rPr>
                <w:rFonts w:hint="eastAsia"/>
                <w:color w:val="auto"/>
                <w:highlight w:val="none"/>
                <w:lang w:eastAsia="zh-CN"/>
              </w:rPr>
              <w:t>）</w:t>
            </w:r>
          </w:p>
        </w:tc>
        <w:tc>
          <w:tcPr>
            <w:tcW w:w="1277" w:type="pct"/>
            <w:gridSpan w:val="2"/>
            <w:tcBorders>
              <w:left w:val="single" w:color="auto" w:sz="2" w:space="0"/>
            </w:tcBorders>
            <w:vAlign w:val="center"/>
          </w:tcPr>
          <w:p w14:paraId="43375673">
            <w:pPr>
              <w:pStyle w:val="41"/>
              <w:rPr>
                <w:color w:val="auto"/>
                <w:highlight w:val="none"/>
              </w:rPr>
            </w:pPr>
            <w:r>
              <w:rPr>
                <w:color w:val="auto"/>
                <w:highlight w:val="none"/>
              </w:rPr>
              <w:t>1号</w:t>
            </w:r>
            <w:r>
              <w:rPr>
                <w:rFonts w:hint="eastAsia"/>
                <w:color w:val="auto"/>
                <w:highlight w:val="none"/>
                <w:lang w:eastAsia="zh-CN"/>
              </w:rPr>
              <w:t>振动筛</w:t>
            </w:r>
            <w:r>
              <w:rPr>
                <w:color w:val="auto"/>
                <w:highlight w:val="none"/>
              </w:rPr>
              <w:t>分车间PM</w:t>
            </w:r>
            <w:r>
              <w:rPr>
                <w:color w:val="auto"/>
                <w:highlight w:val="none"/>
                <w:vertAlign w:val="subscript"/>
              </w:rPr>
              <w:t>10</w:t>
            </w:r>
          </w:p>
        </w:tc>
        <w:tc>
          <w:tcPr>
            <w:tcW w:w="1513" w:type="pct"/>
            <w:gridSpan w:val="2"/>
            <w:noWrap/>
            <w:vAlign w:val="center"/>
          </w:tcPr>
          <w:p w14:paraId="3BD3BE98">
            <w:pPr>
              <w:pStyle w:val="41"/>
              <w:rPr>
                <w:color w:val="auto"/>
                <w:highlight w:val="none"/>
              </w:rPr>
            </w:pPr>
            <w:r>
              <w:rPr>
                <w:color w:val="auto"/>
                <w:highlight w:val="none"/>
              </w:rPr>
              <w:t>2号</w:t>
            </w:r>
            <w:r>
              <w:rPr>
                <w:rFonts w:hint="eastAsia"/>
                <w:color w:val="auto"/>
                <w:highlight w:val="none"/>
                <w:lang w:eastAsia="zh-CN"/>
              </w:rPr>
              <w:t>振动筛</w:t>
            </w:r>
            <w:r>
              <w:rPr>
                <w:color w:val="auto"/>
                <w:highlight w:val="none"/>
              </w:rPr>
              <w:t>分车间PM</w:t>
            </w:r>
            <w:r>
              <w:rPr>
                <w:color w:val="auto"/>
                <w:highlight w:val="none"/>
                <w:vertAlign w:val="subscript"/>
              </w:rPr>
              <w:t>10</w:t>
            </w:r>
          </w:p>
        </w:tc>
        <w:tc>
          <w:tcPr>
            <w:tcW w:w="1333" w:type="pct"/>
            <w:gridSpan w:val="2"/>
            <w:noWrap/>
            <w:vAlign w:val="center"/>
          </w:tcPr>
          <w:p w14:paraId="635150F7">
            <w:pPr>
              <w:pStyle w:val="41"/>
              <w:rPr>
                <w:color w:val="auto"/>
                <w:highlight w:val="none"/>
              </w:rPr>
            </w:pPr>
            <w:r>
              <w:rPr>
                <w:color w:val="auto"/>
                <w:highlight w:val="none"/>
              </w:rPr>
              <w:t>3号</w:t>
            </w:r>
            <w:r>
              <w:rPr>
                <w:rFonts w:hint="eastAsia"/>
                <w:color w:val="auto"/>
                <w:highlight w:val="none"/>
                <w:lang w:eastAsia="zh-CN"/>
              </w:rPr>
              <w:t>振动筛</w:t>
            </w:r>
            <w:r>
              <w:rPr>
                <w:color w:val="auto"/>
                <w:highlight w:val="none"/>
              </w:rPr>
              <w:t>分车间PM</w:t>
            </w:r>
            <w:r>
              <w:rPr>
                <w:color w:val="auto"/>
                <w:highlight w:val="none"/>
                <w:vertAlign w:val="subscript"/>
              </w:rPr>
              <w:t>10</w:t>
            </w:r>
          </w:p>
        </w:tc>
      </w:tr>
      <w:tr w14:paraId="2950F1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vMerge w:val="continue"/>
            <w:noWrap/>
            <w:vAlign w:val="center"/>
          </w:tcPr>
          <w:p w14:paraId="07C23AEB">
            <w:pPr>
              <w:pStyle w:val="41"/>
              <w:rPr>
                <w:color w:val="auto"/>
                <w:highlight w:val="none"/>
              </w:rPr>
            </w:pPr>
          </w:p>
        </w:tc>
        <w:tc>
          <w:tcPr>
            <w:tcW w:w="548" w:type="pct"/>
            <w:vMerge w:val="continue"/>
            <w:tcBorders>
              <w:right w:val="single" w:color="auto" w:sz="2" w:space="0"/>
            </w:tcBorders>
            <w:noWrap/>
            <w:vAlign w:val="center"/>
          </w:tcPr>
          <w:p w14:paraId="7B7BFDFA">
            <w:pPr>
              <w:pStyle w:val="41"/>
              <w:rPr>
                <w:color w:val="auto"/>
                <w:highlight w:val="none"/>
              </w:rPr>
            </w:pPr>
          </w:p>
        </w:tc>
        <w:tc>
          <w:tcPr>
            <w:tcW w:w="712" w:type="pct"/>
            <w:tcBorders>
              <w:left w:val="single" w:color="auto" w:sz="2" w:space="0"/>
            </w:tcBorders>
            <w:noWrap/>
            <w:vAlign w:val="center"/>
          </w:tcPr>
          <w:p w14:paraId="1D103EA5">
            <w:pPr>
              <w:pStyle w:val="41"/>
              <w:rPr>
                <w:color w:val="auto"/>
                <w:highlight w:val="none"/>
              </w:rPr>
            </w:pPr>
            <w:r>
              <w:rPr>
                <w:color w:val="auto"/>
                <w:highlight w:val="none"/>
              </w:rPr>
              <w:t>下风向预测浓度mg/m</w:t>
            </w:r>
            <w:r>
              <w:rPr>
                <w:color w:val="auto"/>
                <w:highlight w:val="none"/>
                <w:vertAlign w:val="superscript"/>
              </w:rPr>
              <w:t>3</w:t>
            </w:r>
          </w:p>
        </w:tc>
        <w:tc>
          <w:tcPr>
            <w:tcW w:w="564" w:type="pct"/>
            <w:noWrap/>
            <w:vAlign w:val="center"/>
          </w:tcPr>
          <w:p w14:paraId="3D4A99ED">
            <w:pPr>
              <w:pStyle w:val="41"/>
              <w:rPr>
                <w:color w:val="auto"/>
                <w:highlight w:val="none"/>
              </w:rPr>
            </w:pPr>
            <w:r>
              <w:rPr>
                <w:color w:val="auto"/>
                <w:highlight w:val="none"/>
              </w:rPr>
              <w:t>占标率%</w:t>
            </w:r>
          </w:p>
        </w:tc>
        <w:tc>
          <w:tcPr>
            <w:tcW w:w="1001" w:type="pct"/>
            <w:noWrap/>
            <w:vAlign w:val="center"/>
          </w:tcPr>
          <w:p w14:paraId="55B94C2B">
            <w:pPr>
              <w:pStyle w:val="41"/>
              <w:rPr>
                <w:color w:val="auto"/>
                <w:highlight w:val="none"/>
              </w:rPr>
            </w:pPr>
            <w:r>
              <w:rPr>
                <w:color w:val="auto"/>
                <w:highlight w:val="none"/>
              </w:rPr>
              <w:t>下风向预测浓度mg/m</w:t>
            </w:r>
            <w:r>
              <w:rPr>
                <w:color w:val="auto"/>
                <w:highlight w:val="none"/>
                <w:vertAlign w:val="superscript"/>
              </w:rPr>
              <w:t>3</w:t>
            </w:r>
          </w:p>
        </w:tc>
        <w:tc>
          <w:tcPr>
            <w:tcW w:w="512" w:type="pct"/>
            <w:noWrap/>
            <w:vAlign w:val="center"/>
          </w:tcPr>
          <w:p w14:paraId="1446BEFE">
            <w:pPr>
              <w:pStyle w:val="41"/>
              <w:rPr>
                <w:color w:val="auto"/>
                <w:highlight w:val="none"/>
              </w:rPr>
            </w:pPr>
            <w:r>
              <w:rPr>
                <w:color w:val="auto"/>
                <w:highlight w:val="none"/>
              </w:rPr>
              <w:t>占标率%</w:t>
            </w:r>
          </w:p>
        </w:tc>
        <w:tc>
          <w:tcPr>
            <w:tcW w:w="820" w:type="pct"/>
            <w:noWrap/>
            <w:vAlign w:val="center"/>
          </w:tcPr>
          <w:p w14:paraId="2B025957">
            <w:pPr>
              <w:pStyle w:val="41"/>
              <w:rPr>
                <w:color w:val="auto"/>
                <w:highlight w:val="none"/>
              </w:rPr>
            </w:pPr>
            <w:r>
              <w:rPr>
                <w:color w:val="auto"/>
                <w:highlight w:val="none"/>
              </w:rPr>
              <w:t>下风向预测浓度mg/m</w:t>
            </w:r>
            <w:r>
              <w:rPr>
                <w:color w:val="auto"/>
                <w:highlight w:val="none"/>
                <w:vertAlign w:val="superscript"/>
              </w:rPr>
              <w:t>3</w:t>
            </w:r>
          </w:p>
        </w:tc>
        <w:tc>
          <w:tcPr>
            <w:tcW w:w="512" w:type="pct"/>
            <w:noWrap/>
            <w:vAlign w:val="center"/>
          </w:tcPr>
          <w:p w14:paraId="02035494">
            <w:pPr>
              <w:pStyle w:val="41"/>
              <w:rPr>
                <w:color w:val="auto"/>
                <w:highlight w:val="none"/>
              </w:rPr>
            </w:pPr>
            <w:r>
              <w:rPr>
                <w:color w:val="auto"/>
                <w:highlight w:val="none"/>
              </w:rPr>
              <w:t>占标率%</w:t>
            </w:r>
          </w:p>
        </w:tc>
      </w:tr>
      <w:tr w14:paraId="097CA9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EA5E4FA">
            <w:pPr>
              <w:pStyle w:val="41"/>
              <w:rPr>
                <w:color w:val="auto"/>
                <w:highlight w:val="none"/>
              </w:rPr>
            </w:pPr>
            <w:r>
              <w:rPr>
                <w:color w:val="auto"/>
                <w:highlight w:val="none"/>
              </w:rPr>
              <w:t>1</w:t>
            </w:r>
          </w:p>
        </w:tc>
        <w:tc>
          <w:tcPr>
            <w:tcW w:w="548" w:type="pct"/>
            <w:noWrap/>
            <w:vAlign w:val="center"/>
          </w:tcPr>
          <w:p w14:paraId="1F4B39C9">
            <w:pPr>
              <w:pStyle w:val="41"/>
              <w:rPr>
                <w:color w:val="auto"/>
                <w:highlight w:val="none"/>
              </w:rPr>
            </w:pPr>
            <w:r>
              <w:rPr>
                <w:color w:val="auto"/>
                <w:highlight w:val="none"/>
              </w:rPr>
              <w:t>10</w:t>
            </w:r>
          </w:p>
        </w:tc>
        <w:tc>
          <w:tcPr>
            <w:tcW w:w="1213" w:type="dxa"/>
            <w:noWrap/>
            <w:vAlign w:val="center"/>
          </w:tcPr>
          <w:p w14:paraId="5127894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0.037371</w:t>
            </w:r>
          </w:p>
        </w:tc>
        <w:tc>
          <w:tcPr>
            <w:tcW w:w="962" w:type="dxa"/>
            <w:noWrap/>
            <w:vAlign w:val="center"/>
          </w:tcPr>
          <w:p w14:paraId="37E3A13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8.3</w:t>
            </w:r>
          </w:p>
        </w:tc>
        <w:tc>
          <w:tcPr>
            <w:tcW w:w="1705" w:type="dxa"/>
            <w:noWrap/>
            <w:vAlign w:val="center"/>
          </w:tcPr>
          <w:p w14:paraId="0F4656E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0.037371</w:t>
            </w:r>
          </w:p>
        </w:tc>
        <w:tc>
          <w:tcPr>
            <w:tcW w:w="872" w:type="dxa"/>
            <w:noWrap/>
            <w:vAlign w:val="center"/>
          </w:tcPr>
          <w:p w14:paraId="38A06A2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8.3</w:t>
            </w:r>
          </w:p>
        </w:tc>
        <w:tc>
          <w:tcPr>
            <w:tcW w:w="1396" w:type="dxa"/>
            <w:noWrap/>
            <w:vAlign w:val="center"/>
          </w:tcPr>
          <w:p w14:paraId="123E84A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0.037371</w:t>
            </w:r>
          </w:p>
        </w:tc>
        <w:tc>
          <w:tcPr>
            <w:tcW w:w="874" w:type="dxa"/>
            <w:noWrap/>
            <w:vAlign w:val="center"/>
          </w:tcPr>
          <w:p w14:paraId="58B252A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8.3</w:t>
            </w:r>
          </w:p>
        </w:tc>
      </w:tr>
      <w:tr w14:paraId="4A2D54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7BCCF0B8">
            <w:pPr>
              <w:pStyle w:val="41"/>
              <w:rPr>
                <w:color w:val="auto"/>
                <w:highlight w:val="none"/>
              </w:rPr>
            </w:pPr>
            <w:r>
              <w:rPr>
                <w:color w:val="auto"/>
                <w:highlight w:val="none"/>
              </w:rPr>
              <w:t>2</w:t>
            </w:r>
          </w:p>
        </w:tc>
        <w:tc>
          <w:tcPr>
            <w:tcW w:w="548" w:type="pct"/>
            <w:noWrap/>
            <w:vAlign w:val="center"/>
          </w:tcPr>
          <w:p w14:paraId="521E2C86">
            <w:pPr>
              <w:pStyle w:val="41"/>
              <w:rPr>
                <w:color w:val="auto"/>
                <w:highlight w:val="none"/>
              </w:rPr>
            </w:pPr>
            <w:r>
              <w:rPr>
                <w:color w:val="auto"/>
                <w:highlight w:val="none"/>
              </w:rPr>
              <w:t>25</w:t>
            </w:r>
          </w:p>
        </w:tc>
        <w:tc>
          <w:tcPr>
            <w:tcW w:w="1213" w:type="dxa"/>
            <w:noWrap/>
            <w:vAlign w:val="center"/>
          </w:tcPr>
          <w:p w14:paraId="31B9962A">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0.11577</w:t>
            </w:r>
          </w:p>
        </w:tc>
        <w:tc>
          <w:tcPr>
            <w:tcW w:w="962" w:type="dxa"/>
            <w:noWrap/>
            <w:vAlign w:val="center"/>
          </w:tcPr>
          <w:p w14:paraId="264AECB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25.73</w:t>
            </w:r>
          </w:p>
        </w:tc>
        <w:tc>
          <w:tcPr>
            <w:tcW w:w="1705" w:type="dxa"/>
            <w:noWrap/>
            <w:vAlign w:val="center"/>
          </w:tcPr>
          <w:p w14:paraId="3D621CBC">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0.11577</w:t>
            </w:r>
          </w:p>
        </w:tc>
        <w:tc>
          <w:tcPr>
            <w:tcW w:w="872" w:type="dxa"/>
            <w:noWrap/>
            <w:vAlign w:val="center"/>
          </w:tcPr>
          <w:p w14:paraId="581A138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25.73</w:t>
            </w:r>
          </w:p>
        </w:tc>
        <w:tc>
          <w:tcPr>
            <w:tcW w:w="1396" w:type="dxa"/>
            <w:noWrap/>
            <w:vAlign w:val="center"/>
          </w:tcPr>
          <w:p w14:paraId="5275587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0.11577</w:t>
            </w:r>
          </w:p>
        </w:tc>
        <w:tc>
          <w:tcPr>
            <w:tcW w:w="874" w:type="dxa"/>
            <w:noWrap/>
            <w:vAlign w:val="center"/>
          </w:tcPr>
          <w:p w14:paraId="2E0CFBE0">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25.73</w:t>
            </w:r>
          </w:p>
        </w:tc>
      </w:tr>
      <w:tr w14:paraId="279EEF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5ED9AE2F">
            <w:pPr>
              <w:pStyle w:val="41"/>
              <w:rPr>
                <w:color w:val="auto"/>
                <w:highlight w:val="none"/>
              </w:rPr>
            </w:pPr>
            <w:r>
              <w:rPr>
                <w:color w:val="auto"/>
                <w:highlight w:val="none"/>
              </w:rPr>
              <w:t>3</w:t>
            </w:r>
          </w:p>
        </w:tc>
        <w:tc>
          <w:tcPr>
            <w:tcW w:w="548" w:type="pct"/>
            <w:noWrap/>
            <w:vAlign w:val="center"/>
          </w:tcPr>
          <w:p w14:paraId="6D99B65A">
            <w:pPr>
              <w:pStyle w:val="41"/>
              <w:rPr>
                <w:color w:val="auto"/>
                <w:highlight w:val="none"/>
              </w:rPr>
            </w:pPr>
            <w:r>
              <w:rPr>
                <w:color w:val="auto"/>
                <w:highlight w:val="none"/>
              </w:rPr>
              <w:t>50</w:t>
            </w:r>
          </w:p>
        </w:tc>
        <w:tc>
          <w:tcPr>
            <w:tcW w:w="1213" w:type="dxa"/>
            <w:noWrap/>
            <w:vAlign w:val="center"/>
          </w:tcPr>
          <w:p w14:paraId="1353113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0.24243</w:t>
            </w:r>
          </w:p>
        </w:tc>
        <w:tc>
          <w:tcPr>
            <w:tcW w:w="962" w:type="dxa"/>
            <w:noWrap/>
            <w:vAlign w:val="center"/>
          </w:tcPr>
          <w:p w14:paraId="09DC084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53.87</w:t>
            </w:r>
          </w:p>
        </w:tc>
        <w:tc>
          <w:tcPr>
            <w:tcW w:w="1705" w:type="dxa"/>
            <w:noWrap/>
            <w:vAlign w:val="center"/>
          </w:tcPr>
          <w:p w14:paraId="45B1B7B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0.24243</w:t>
            </w:r>
          </w:p>
        </w:tc>
        <w:tc>
          <w:tcPr>
            <w:tcW w:w="872" w:type="dxa"/>
            <w:noWrap/>
            <w:vAlign w:val="center"/>
          </w:tcPr>
          <w:p w14:paraId="6C98A4D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53.87</w:t>
            </w:r>
          </w:p>
        </w:tc>
        <w:tc>
          <w:tcPr>
            <w:tcW w:w="1396" w:type="dxa"/>
            <w:noWrap/>
            <w:vAlign w:val="center"/>
          </w:tcPr>
          <w:p w14:paraId="189AB00C">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0.24243</w:t>
            </w:r>
          </w:p>
        </w:tc>
        <w:tc>
          <w:tcPr>
            <w:tcW w:w="874" w:type="dxa"/>
            <w:noWrap/>
            <w:vAlign w:val="center"/>
          </w:tcPr>
          <w:p w14:paraId="707E17C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53.87</w:t>
            </w:r>
          </w:p>
        </w:tc>
      </w:tr>
      <w:tr w14:paraId="2A249B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AA0B4BC">
            <w:pPr>
              <w:pStyle w:val="41"/>
              <w:rPr>
                <w:color w:val="auto"/>
                <w:highlight w:val="none"/>
              </w:rPr>
            </w:pPr>
            <w:r>
              <w:rPr>
                <w:color w:val="auto"/>
                <w:highlight w:val="none"/>
              </w:rPr>
              <w:t>4</w:t>
            </w:r>
          </w:p>
        </w:tc>
        <w:tc>
          <w:tcPr>
            <w:tcW w:w="548" w:type="pct"/>
            <w:noWrap/>
            <w:vAlign w:val="center"/>
          </w:tcPr>
          <w:p w14:paraId="5FF24030">
            <w:pPr>
              <w:pStyle w:val="41"/>
              <w:rPr>
                <w:color w:val="auto"/>
                <w:highlight w:val="none"/>
              </w:rPr>
            </w:pPr>
            <w:r>
              <w:rPr>
                <w:color w:val="auto"/>
                <w:highlight w:val="none"/>
              </w:rPr>
              <w:t>75</w:t>
            </w:r>
          </w:p>
        </w:tc>
        <w:tc>
          <w:tcPr>
            <w:tcW w:w="1213" w:type="dxa"/>
            <w:noWrap/>
            <w:vAlign w:val="center"/>
          </w:tcPr>
          <w:p w14:paraId="14C4650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1.1424</w:t>
            </w:r>
          </w:p>
        </w:tc>
        <w:tc>
          <w:tcPr>
            <w:tcW w:w="962" w:type="dxa"/>
            <w:noWrap/>
            <w:vAlign w:val="center"/>
          </w:tcPr>
          <w:p w14:paraId="514C53DC">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253.87</w:t>
            </w:r>
          </w:p>
        </w:tc>
        <w:tc>
          <w:tcPr>
            <w:tcW w:w="1705" w:type="dxa"/>
            <w:noWrap/>
            <w:vAlign w:val="center"/>
          </w:tcPr>
          <w:p w14:paraId="1BB9E73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1.1424</w:t>
            </w:r>
          </w:p>
        </w:tc>
        <w:tc>
          <w:tcPr>
            <w:tcW w:w="872" w:type="dxa"/>
            <w:noWrap/>
            <w:vAlign w:val="center"/>
          </w:tcPr>
          <w:p w14:paraId="4325EA70">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253.87</w:t>
            </w:r>
          </w:p>
        </w:tc>
        <w:tc>
          <w:tcPr>
            <w:tcW w:w="1396" w:type="dxa"/>
            <w:noWrap/>
            <w:vAlign w:val="center"/>
          </w:tcPr>
          <w:p w14:paraId="7F2451B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1.1424</w:t>
            </w:r>
          </w:p>
        </w:tc>
        <w:tc>
          <w:tcPr>
            <w:tcW w:w="874" w:type="dxa"/>
            <w:noWrap/>
            <w:vAlign w:val="center"/>
          </w:tcPr>
          <w:p w14:paraId="05B6537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253.87</w:t>
            </w:r>
          </w:p>
        </w:tc>
      </w:tr>
      <w:tr w14:paraId="07C1D1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7DEF98FD">
            <w:pPr>
              <w:pStyle w:val="41"/>
              <w:rPr>
                <w:color w:val="auto"/>
                <w:highlight w:val="none"/>
              </w:rPr>
            </w:pPr>
            <w:r>
              <w:rPr>
                <w:color w:val="auto"/>
                <w:highlight w:val="none"/>
              </w:rPr>
              <w:t>5</w:t>
            </w:r>
          </w:p>
        </w:tc>
        <w:tc>
          <w:tcPr>
            <w:tcW w:w="548" w:type="pct"/>
            <w:noWrap/>
            <w:vAlign w:val="center"/>
          </w:tcPr>
          <w:p w14:paraId="063EEFFC">
            <w:pPr>
              <w:pStyle w:val="41"/>
              <w:rPr>
                <w:color w:val="auto"/>
                <w:highlight w:val="none"/>
              </w:rPr>
            </w:pPr>
            <w:r>
              <w:rPr>
                <w:color w:val="auto"/>
                <w:highlight w:val="none"/>
              </w:rPr>
              <w:t>100</w:t>
            </w:r>
          </w:p>
        </w:tc>
        <w:tc>
          <w:tcPr>
            <w:tcW w:w="1213" w:type="dxa"/>
            <w:noWrap/>
            <w:vAlign w:val="center"/>
          </w:tcPr>
          <w:p w14:paraId="1C1E76A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2.8997</w:t>
            </w:r>
          </w:p>
        </w:tc>
        <w:tc>
          <w:tcPr>
            <w:tcW w:w="962" w:type="dxa"/>
            <w:noWrap/>
            <w:vAlign w:val="center"/>
          </w:tcPr>
          <w:p w14:paraId="33BB8B7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644.38</w:t>
            </w:r>
          </w:p>
        </w:tc>
        <w:tc>
          <w:tcPr>
            <w:tcW w:w="1705" w:type="dxa"/>
            <w:noWrap/>
            <w:vAlign w:val="center"/>
          </w:tcPr>
          <w:p w14:paraId="0FD670C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2.8997</w:t>
            </w:r>
          </w:p>
        </w:tc>
        <w:tc>
          <w:tcPr>
            <w:tcW w:w="872" w:type="dxa"/>
            <w:noWrap/>
            <w:vAlign w:val="center"/>
          </w:tcPr>
          <w:p w14:paraId="7B80C9D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644.38</w:t>
            </w:r>
          </w:p>
        </w:tc>
        <w:tc>
          <w:tcPr>
            <w:tcW w:w="1396" w:type="dxa"/>
            <w:noWrap/>
            <w:vAlign w:val="center"/>
          </w:tcPr>
          <w:p w14:paraId="686D1D1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2.8997</w:t>
            </w:r>
          </w:p>
        </w:tc>
        <w:tc>
          <w:tcPr>
            <w:tcW w:w="874" w:type="dxa"/>
            <w:noWrap/>
            <w:vAlign w:val="center"/>
          </w:tcPr>
          <w:p w14:paraId="44CF348E">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644.38</w:t>
            </w:r>
          </w:p>
        </w:tc>
      </w:tr>
      <w:tr w14:paraId="5D0F58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7326806A">
            <w:pPr>
              <w:pStyle w:val="41"/>
              <w:rPr>
                <w:color w:val="auto"/>
                <w:highlight w:val="none"/>
              </w:rPr>
            </w:pPr>
            <w:r>
              <w:rPr>
                <w:color w:val="auto"/>
                <w:highlight w:val="none"/>
              </w:rPr>
              <w:t>6</w:t>
            </w:r>
          </w:p>
        </w:tc>
        <w:tc>
          <w:tcPr>
            <w:tcW w:w="548" w:type="pct"/>
            <w:noWrap/>
            <w:vAlign w:val="center"/>
          </w:tcPr>
          <w:p w14:paraId="57497252">
            <w:pPr>
              <w:pStyle w:val="41"/>
              <w:rPr>
                <w:color w:val="auto"/>
                <w:highlight w:val="none"/>
              </w:rPr>
            </w:pPr>
            <w:r>
              <w:rPr>
                <w:color w:val="auto"/>
                <w:highlight w:val="none"/>
              </w:rPr>
              <w:t>125</w:t>
            </w:r>
          </w:p>
        </w:tc>
        <w:tc>
          <w:tcPr>
            <w:tcW w:w="1213" w:type="dxa"/>
            <w:noWrap/>
            <w:vAlign w:val="center"/>
          </w:tcPr>
          <w:p w14:paraId="0DB6FF98">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3.2166</w:t>
            </w:r>
          </w:p>
        </w:tc>
        <w:tc>
          <w:tcPr>
            <w:tcW w:w="962" w:type="dxa"/>
            <w:noWrap/>
            <w:vAlign w:val="center"/>
          </w:tcPr>
          <w:p w14:paraId="008A982E">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714.8</w:t>
            </w:r>
          </w:p>
        </w:tc>
        <w:tc>
          <w:tcPr>
            <w:tcW w:w="1705" w:type="dxa"/>
            <w:noWrap/>
            <w:vAlign w:val="center"/>
          </w:tcPr>
          <w:p w14:paraId="78B9C39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3.2166</w:t>
            </w:r>
          </w:p>
        </w:tc>
        <w:tc>
          <w:tcPr>
            <w:tcW w:w="872" w:type="dxa"/>
            <w:noWrap/>
            <w:vAlign w:val="center"/>
          </w:tcPr>
          <w:p w14:paraId="200E6EF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714.8</w:t>
            </w:r>
          </w:p>
        </w:tc>
        <w:tc>
          <w:tcPr>
            <w:tcW w:w="1396" w:type="dxa"/>
            <w:noWrap/>
            <w:vAlign w:val="center"/>
          </w:tcPr>
          <w:p w14:paraId="5489C68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3.2166</w:t>
            </w:r>
          </w:p>
        </w:tc>
        <w:tc>
          <w:tcPr>
            <w:tcW w:w="874" w:type="dxa"/>
            <w:noWrap/>
            <w:vAlign w:val="center"/>
          </w:tcPr>
          <w:p w14:paraId="1F740AF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714.8</w:t>
            </w:r>
          </w:p>
        </w:tc>
      </w:tr>
      <w:tr w14:paraId="658C01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5FFD5C32">
            <w:pPr>
              <w:pStyle w:val="41"/>
              <w:rPr>
                <w:color w:val="auto"/>
                <w:highlight w:val="none"/>
              </w:rPr>
            </w:pPr>
            <w:r>
              <w:rPr>
                <w:color w:val="auto"/>
                <w:highlight w:val="none"/>
              </w:rPr>
              <w:t>7</w:t>
            </w:r>
          </w:p>
        </w:tc>
        <w:tc>
          <w:tcPr>
            <w:tcW w:w="548" w:type="pct"/>
            <w:noWrap/>
            <w:vAlign w:val="center"/>
          </w:tcPr>
          <w:p w14:paraId="3856D5D2">
            <w:pPr>
              <w:pStyle w:val="41"/>
              <w:rPr>
                <w:color w:val="auto"/>
                <w:highlight w:val="none"/>
              </w:rPr>
            </w:pPr>
            <w:r>
              <w:rPr>
                <w:color w:val="auto"/>
                <w:highlight w:val="none"/>
              </w:rPr>
              <w:t>150</w:t>
            </w:r>
          </w:p>
        </w:tc>
        <w:tc>
          <w:tcPr>
            <w:tcW w:w="1213" w:type="dxa"/>
            <w:noWrap/>
            <w:vAlign w:val="center"/>
          </w:tcPr>
          <w:p w14:paraId="309F323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3.914</w:t>
            </w:r>
          </w:p>
        </w:tc>
        <w:tc>
          <w:tcPr>
            <w:tcW w:w="962" w:type="dxa"/>
            <w:noWrap/>
            <w:vAlign w:val="center"/>
          </w:tcPr>
          <w:p w14:paraId="4E5F6C2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869.78</w:t>
            </w:r>
          </w:p>
        </w:tc>
        <w:tc>
          <w:tcPr>
            <w:tcW w:w="1705" w:type="dxa"/>
            <w:noWrap/>
            <w:vAlign w:val="center"/>
          </w:tcPr>
          <w:p w14:paraId="09E0EA7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3.914</w:t>
            </w:r>
          </w:p>
        </w:tc>
        <w:tc>
          <w:tcPr>
            <w:tcW w:w="872" w:type="dxa"/>
            <w:noWrap/>
            <w:vAlign w:val="center"/>
          </w:tcPr>
          <w:p w14:paraId="0A9B2B6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869.78</w:t>
            </w:r>
          </w:p>
        </w:tc>
        <w:tc>
          <w:tcPr>
            <w:tcW w:w="1396" w:type="dxa"/>
            <w:noWrap/>
            <w:vAlign w:val="center"/>
          </w:tcPr>
          <w:p w14:paraId="031CB9C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3.914</w:t>
            </w:r>
          </w:p>
        </w:tc>
        <w:tc>
          <w:tcPr>
            <w:tcW w:w="874" w:type="dxa"/>
            <w:noWrap/>
            <w:vAlign w:val="center"/>
          </w:tcPr>
          <w:p w14:paraId="5BEA65F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869.78</w:t>
            </w:r>
          </w:p>
        </w:tc>
      </w:tr>
      <w:tr w14:paraId="36F366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068017D8">
            <w:pPr>
              <w:pStyle w:val="41"/>
              <w:rPr>
                <w:color w:val="auto"/>
                <w:highlight w:val="none"/>
              </w:rPr>
            </w:pPr>
            <w:r>
              <w:rPr>
                <w:color w:val="auto"/>
                <w:highlight w:val="none"/>
              </w:rPr>
              <w:t>8</w:t>
            </w:r>
          </w:p>
        </w:tc>
        <w:tc>
          <w:tcPr>
            <w:tcW w:w="548" w:type="pct"/>
            <w:noWrap/>
            <w:vAlign w:val="center"/>
          </w:tcPr>
          <w:p w14:paraId="1EEA61FE">
            <w:pPr>
              <w:pStyle w:val="41"/>
              <w:rPr>
                <w:color w:val="auto"/>
                <w:highlight w:val="none"/>
              </w:rPr>
            </w:pPr>
            <w:r>
              <w:rPr>
                <w:color w:val="auto"/>
                <w:highlight w:val="none"/>
              </w:rPr>
              <w:t>167</w:t>
            </w:r>
          </w:p>
        </w:tc>
        <w:tc>
          <w:tcPr>
            <w:tcW w:w="1213" w:type="dxa"/>
            <w:noWrap/>
            <w:vAlign w:val="center"/>
          </w:tcPr>
          <w:p w14:paraId="2484A92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3.9744</w:t>
            </w:r>
          </w:p>
        </w:tc>
        <w:tc>
          <w:tcPr>
            <w:tcW w:w="962" w:type="dxa"/>
            <w:noWrap/>
            <w:vAlign w:val="center"/>
          </w:tcPr>
          <w:p w14:paraId="0C29A58E">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883.2</w:t>
            </w:r>
          </w:p>
        </w:tc>
        <w:tc>
          <w:tcPr>
            <w:tcW w:w="1705" w:type="dxa"/>
            <w:noWrap/>
            <w:vAlign w:val="center"/>
          </w:tcPr>
          <w:p w14:paraId="242F9C7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3.9744</w:t>
            </w:r>
          </w:p>
        </w:tc>
        <w:tc>
          <w:tcPr>
            <w:tcW w:w="872" w:type="dxa"/>
            <w:noWrap/>
            <w:vAlign w:val="center"/>
          </w:tcPr>
          <w:p w14:paraId="73EA8FC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883.2</w:t>
            </w:r>
          </w:p>
        </w:tc>
        <w:tc>
          <w:tcPr>
            <w:tcW w:w="1396" w:type="dxa"/>
            <w:noWrap/>
            <w:vAlign w:val="center"/>
          </w:tcPr>
          <w:p w14:paraId="4B617B3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3.9744</w:t>
            </w:r>
          </w:p>
        </w:tc>
        <w:tc>
          <w:tcPr>
            <w:tcW w:w="874" w:type="dxa"/>
            <w:noWrap/>
            <w:vAlign w:val="center"/>
          </w:tcPr>
          <w:p w14:paraId="6BF0570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883.2</w:t>
            </w:r>
          </w:p>
        </w:tc>
      </w:tr>
      <w:tr w14:paraId="4007B9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753F2A76">
            <w:pPr>
              <w:pStyle w:val="41"/>
              <w:rPr>
                <w:color w:val="auto"/>
                <w:highlight w:val="none"/>
              </w:rPr>
            </w:pPr>
            <w:r>
              <w:rPr>
                <w:color w:val="auto"/>
                <w:highlight w:val="none"/>
              </w:rPr>
              <w:t>9</w:t>
            </w:r>
          </w:p>
        </w:tc>
        <w:tc>
          <w:tcPr>
            <w:tcW w:w="548" w:type="pct"/>
            <w:noWrap/>
            <w:vAlign w:val="center"/>
          </w:tcPr>
          <w:p w14:paraId="55E4AD93">
            <w:pPr>
              <w:pStyle w:val="41"/>
              <w:rPr>
                <w:color w:val="auto"/>
                <w:highlight w:val="none"/>
              </w:rPr>
            </w:pPr>
            <w:r>
              <w:rPr>
                <w:color w:val="auto"/>
                <w:highlight w:val="none"/>
              </w:rPr>
              <w:t>175</w:t>
            </w:r>
          </w:p>
        </w:tc>
        <w:tc>
          <w:tcPr>
            <w:tcW w:w="1213" w:type="dxa"/>
            <w:noWrap/>
            <w:vAlign w:val="center"/>
          </w:tcPr>
          <w:p w14:paraId="0680C520">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3.9648</w:t>
            </w:r>
          </w:p>
        </w:tc>
        <w:tc>
          <w:tcPr>
            <w:tcW w:w="962" w:type="dxa"/>
            <w:noWrap/>
            <w:vAlign w:val="center"/>
          </w:tcPr>
          <w:p w14:paraId="5F1DE3E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881.07</w:t>
            </w:r>
          </w:p>
        </w:tc>
        <w:tc>
          <w:tcPr>
            <w:tcW w:w="1705" w:type="dxa"/>
            <w:noWrap/>
            <w:vAlign w:val="center"/>
          </w:tcPr>
          <w:p w14:paraId="2553DD94">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3.9648</w:t>
            </w:r>
          </w:p>
        </w:tc>
        <w:tc>
          <w:tcPr>
            <w:tcW w:w="872" w:type="dxa"/>
            <w:noWrap/>
            <w:vAlign w:val="center"/>
          </w:tcPr>
          <w:p w14:paraId="0CB6D1D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881.07</w:t>
            </w:r>
          </w:p>
        </w:tc>
        <w:tc>
          <w:tcPr>
            <w:tcW w:w="1396" w:type="dxa"/>
            <w:noWrap/>
            <w:vAlign w:val="center"/>
          </w:tcPr>
          <w:p w14:paraId="6D1CF3A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3.9648</w:t>
            </w:r>
          </w:p>
        </w:tc>
        <w:tc>
          <w:tcPr>
            <w:tcW w:w="874" w:type="dxa"/>
            <w:noWrap/>
            <w:vAlign w:val="center"/>
          </w:tcPr>
          <w:p w14:paraId="1ECBB19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881.07</w:t>
            </w:r>
          </w:p>
        </w:tc>
      </w:tr>
      <w:tr w14:paraId="517E06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3BB76D06">
            <w:pPr>
              <w:pStyle w:val="41"/>
              <w:rPr>
                <w:color w:val="auto"/>
                <w:highlight w:val="none"/>
              </w:rPr>
            </w:pPr>
            <w:r>
              <w:rPr>
                <w:color w:val="auto"/>
                <w:highlight w:val="none"/>
              </w:rPr>
              <w:t>10</w:t>
            </w:r>
          </w:p>
        </w:tc>
        <w:tc>
          <w:tcPr>
            <w:tcW w:w="548" w:type="pct"/>
            <w:noWrap/>
            <w:vAlign w:val="center"/>
          </w:tcPr>
          <w:p w14:paraId="0378DECC">
            <w:pPr>
              <w:pStyle w:val="41"/>
              <w:rPr>
                <w:color w:val="auto"/>
                <w:highlight w:val="none"/>
              </w:rPr>
            </w:pPr>
            <w:r>
              <w:rPr>
                <w:color w:val="auto"/>
                <w:highlight w:val="none"/>
              </w:rPr>
              <w:t>200</w:t>
            </w:r>
          </w:p>
        </w:tc>
        <w:tc>
          <w:tcPr>
            <w:tcW w:w="1213" w:type="dxa"/>
            <w:noWrap/>
            <w:vAlign w:val="center"/>
          </w:tcPr>
          <w:p w14:paraId="4F9106C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3.838</w:t>
            </w:r>
          </w:p>
        </w:tc>
        <w:tc>
          <w:tcPr>
            <w:tcW w:w="962" w:type="dxa"/>
            <w:noWrap/>
            <w:vAlign w:val="center"/>
          </w:tcPr>
          <w:p w14:paraId="3491C83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852.89</w:t>
            </w:r>
          </w:p>
        </w:tc>
        <w:tc>
          <w:tcPr>
            <w:tcW w:w="1705" w:type="dxa"/>
            <w:noWrap/>
            <w:vAlign w:val="center"/>
          </w:tcPr>
          <w:p w14:paraId="08E4778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3.838</w:t>
            </w:r>
          </w:p>
        </w:tc>
        <w:tc>
          <w:tcPr>
            <w:tcW w:w="872" w:type="dxa"/>
            <w:noWrap/>
            <w:vAlign w:val="center"/>
          </w:tcPr>
          <w:p w14:paraId="1670603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852.89</w:t>
            </w:r>
          </w:p>
        </w:tc>
        <w:tc>
          <w:tcPr>
            <w:tcW w:w="1396" w:type="dxa"/>
            <w:noWrap/>
            <w:vAlign w:val="center"/>
          </w:tcPr>
          <w:p w14:paraId="29875340">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3.838</w:t>
            </w:r>
          </w:p>
        </w:tc>
        <w:tc>
          <w:tcPr>
            <w:tcW w:w="874" w:type="dxa"/>
            <w:noWrap/>
            <w:vAlign w:val="center"/>
          </w:tcPr>
          <w:p w14:paraId="28CA407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852.89</w:t>
            </w:r>
          </w:p>
        </w:tc>
      </w:tr>
      <w:tr w14:paraId="313F6D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4BF1743B">
            <w:pPr>
              <w:pStyle w:val="41"/>
              <w:rPr>
                <w:color w:val="auto"/>
                <w:highlight w:val="none"/>
              </w:rPr>
            </w:pPr>
            <w:r>
              <w:rPr>
                <w:color w:val="auto"/>
                <w:highlight w:val="none"/>
              </w:rPr>
              <w:t>11</w:t>
            </w:r>
          </w:p>
        </w:tc>
        <w:tc>
          <w:tcPr>
            <w:tcW w:w="548" w:type="pct"/>
            <w:noWrap/>
            <w:vAlign w:val="center"/>
          </w:tcPr>
          <w:p w14:paraId="19AA88C5">
            <w:pPr>
              <w:pStyle w:val="41"/>
              <w:rPr>
                <w:color w:val="auto"/>
                <w:highlight w:val="none"/>
              </w:rPr>
            </w:pPr>
            <w:r>
              <w:rPr>
                <w:color w:val="auto"/>
                <w:highlight w:val="none"/>
              </w:rPr>
              <w:t>225</w:t>
            </w:r>
          </w:p>
        </w:tc>
        <w:tc>
          <w:tcPr>
            <w:tcW w:w="1213" w:type="dxa"/>
            <w:noWrap/>
            <w:vAlign w:val="center"/>
          </w:tcPr>
          <w:p w14:paraId="043E0E7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3.6322</w:t>
            </w:r>
          </w:p>
        </w:tc>
        <w:tc>
          <w:tcPr>
            <w:tcW w:w="962" w:type="dxa"/>
            <w:noWrap/>
            <w:vAlign w:val="center"/>
          </w:tcPr>
          <w:p w14:paraId="603C476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807.16</w:t>
            </w:r>
          </w:p>
        </w:tc>
        <w:tc>
          <w:tcPr>
            <w:tcW w:w="1705" w:type="dxa"/>
            <w:noWrap/>
            <w:vAlign w:val="center"/>
          </w:tcPr>
          <w:p w14:paraId="311D8360">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3.6322</w:t>
            </w:r>
          </w:p>
        </w:tc>
        <w:tc>
          <w:tcPr>
            <w:tcW w:w="872" w:type="dxa"/>
            <w:noWrap/>
            <w:vAlign w:val="center"/>
          </w:tcPr>
          <w:p w14:paraId="62A0C2D8">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807.16</w:t>
            </w:r>
          </w:p>
        </w:tc>
        <w:tc>
          <w:tcPr>
            <w:tcW w:w="1396" w:type="dxa"/>
            <w:noWrap/>
            <w:vAlign w:val="center"/>
          </w:tcPr>
          <w:p w14:paraId="287847F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3.6322</w:t>
            </w:r>
          </w:p>
        </w:tc>
        <w:tc>
          <w:tcPr>
            <w:tcW w:w="874" w:type="dxa"/>
            <w:noWrap/>
            <w:vAlign w:val="center"/>
          </w:tcPr>
          <w:p w14:paraId="3F59097C">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807.16</w:t>
            </w:r>
          </w:p>
        </w:tc>
      </w:tr>
      <w:tr w14:paraId="5A2C4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44077A09">
            <w:pPr>
              <w:pStyle w:val="41"/>
              <w:rPr>
                <w:color w:val="auto"/>
                <w:highlight w:val="none"/>
              </w:rPr>
            </w:pPr>
            <w:r>
              <w:rPr>
                <w:color w:val="auto"/>
                <w:highlight w:val="none"/>
              </w:rPr>
              <w:t>12</w:t>
            </w:r>
          </w:p>
        </w:tc>
        <w:tc>
          <w:tcPr>
            <w:tcW w:w="548" w:type="pct"/>
            <w:noWrap/>
            <w:vAlign w:val="center"/>
          </w:tcPr>
          <w:p w14:paraId="247A2891">
            <w:pPr>
              <w:pStyle w:val="41"/>
              <w:rPr>
                <w:color w:val="auto"/>
                <w:highlight w:val="none"/>
              </w:rPr>
            </w:pPr>
            <w:r>
              <w:rPr>
                <w:color w:val="auto"/>
                <w:highlight w:val="none"/>
              </w:rPr>
              <w:t>250</w:t>
            </w:r>
          </w:p>
        </w:tc>
        <w:tc>
          <w:tcPr>
            <w:tcW w:w="1213" w:type="dxa"/>
            <w:noWrap/>
            <w:vAlign w:val="center"/>
          </w:tcPr>
          <w:p w14:paraId="69DACB0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3.3993</w:t>
            </w:r>
          </w:p>
        </w:tc>
        <w:tc>
          <w:tcPr>
            <w:tcW w:w="962" w:type="dxa"/>
            <w:noWrap/>
            <w:vAlign w:val="center"/>
          </w:tcPr>
          <w:p w14:paraId="42886294">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755.4</w:t>
            </w:r>
          </w:p>
        </w:tc>
        <w:tc>
          <w:tcPr>
            <w:tcW w:w="1705" w:type="dxa"/>
            <w:noWrap/>
            <w:vAlign w:val="center"/>
          </w:tcPr>
          <w:p w14:paraId="08B4C8E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3.3993</w:t>
            </w:r>
          </w:p>
        </w:tc>
        <w:tc>
          <w:tcPr>
            <w:tcW w:w="872" w:type="dxa"/>
            <w:noWrap/>
            <w:vAlign w:val="center"/>
          </w:tcPr>
          <w:p w14:paraId="155C9FE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755.4</w:t>
            </w:r>
          </w:p>
        </w:tc>
        <w:tc>
          <w:tcPr>
            <w:tcW w:w="1396" w:type="dxa"/>
            <w:noWrap/>
            <w:vAlign w:val="center"/>
          </w:tcPr>
          <w:p w14:paraId="3738448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3.3993</w:t>
            </w:r>
          </w:p>
        </w:tc>
        <w:tc>
          <w:tcPr>
            <w:tcW w:w="874" w:type="dxa"/>
            <w:noWrap/>
            <w:vAlign w:val="center"/>
          </w:tcPr>
          <w:p w14:paraId="72DEE12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755.4</w:t>
            </w:r>
          </w:p>
        </w:tc>
      </w:tr>
      <w:tr w14:paraId="34694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0766BCCD">
            <w:pPr>
              <w:pStyle w:val="41"/>
              <w:rPr>
                <w:color w:val="auto"/>
                <w:highlight w:val="none"/>
              </w:rPr>
            </w:pPr>
            <w:r>
              <w:rPr>
                <w:color w:val="auto"/>
                <w:highlight w:val="none"/>
              </w:rPr>
              <w:t>13</w:t>
            </w:r>
          </w:p>
        </w:tc>
        <w:tc>
          <w:tcPr>
            <w:tcW w:w="548" w:type="pct"/>
            <w:noWrap/>
            <w:vAlign w:val="center"/>
          </w:tcPr>
          <w:p w14:paraId="17951D53">
            <w:pPr>
              <w:pStyle w:val="41"/>
              <w:rPr>
                <w:color w:val="auto"/>
                <w:highlight w:val="none"/>
              </w:rPr>
            </w:pPr>
            <w:r>
              <w:rPr>
                <w:color w:val="auto"/>
                <w:highlight w:val="none"/>
              </w:rPr>
              <w:t>275</w:t>
            </w:r>
          </w:p>
        </w:tc>
        <w:tc>
          <w:tcPr>
            <w:tcW w:w="1213" w:type="dxa"/>
            <w:noWrap/>
            <w:vAlign w:val="center"/>
          </w:tcPr>
          <w:p w14:paraId="17001A28">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3.1651</w:t>
            </w:r>
          </w:p>
        </w:tc>
        <w:tc>
          <w:tcPr>
            <w:tcW w:w="962" w:type="dxa"/>
            <w:noWrap/>
            <w:vAlign w:val="center"/>
          </w:tcPr>
          <w:p w14:paraId="3486D74A">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703.36</w:t>
            </w:r>
          </w:p>
        </w:tc>
        <w:tc>
          <w:tcPr>
            <w:tcW w:w="1705" w:type="dxa"/>
            <w:noWrap/>
            <w:vAlign w:val="center"/>
          </w:tcPr>
          <w:p w14:paraId="43DBF464">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3.1651</w:t>
            </w:r>
          </w:p>
        </w:tc>
        <w:tc>
          <w:tcPr>
            <w:tcW w:w="872" w:type="dxa"/>
            <w:noWrap/>
            <w:vAlign w:val="center"/>
          </w:tcPr>
          <w:p w14:paraId="608A867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703.36</w:t>
            </w:r>
          </w:p>
        </w:tc>
        <w:tc>
          <w:tcPr>
            <w:tcW w:w="1396" w:type="dxa"/>
            <w:noWrap/>
            <w:vAlign w:val="center"/>
          </w:tcPr>
          <w:p w14:paraId="423A9CB0">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3.1651</w:t>
            </w:r>
          </w:p>
        </w:tc>
        <w:tc>
          <w:tcPr>
            <w:tcW w:w="874" w:type="dxa"/>
            <w:noWrap/>
            <w:vAlign w:val="center"/>
          </w:tcPr>
          <w:p w14:paraId="5A2EF58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703.36</w:t>
            </w:r>
          </w:p>
        </w:tc>
      </w:tr>
      <w:tr w14:paraId="216478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B5ADE87">
            <w:pPr>
              <w:pStyle w:val="41"/>
              <w:rPr>
                <w:color w:val="auto"/>
                <w:highlight w:val="none"/>
              </w:rPr>
            </w:pPr>
            <w:r>
              <w:rPr>
                <w:color w:val="auto"/>
                <w:highlight w:val="none"/>
              </w:rPr>
              <w:t>14</w:t>
            </w:r>
          </w:p>
        </w:tc>
        <w:tc>
          <w:tcPr>
            <w:tcW w:w="548" w:type="pct"/>
            <w:noWrap/>
            <w:vAlign w:val="center"/>
          </w:tcPr>
          <w:p w14:paraId="787774E7">
            <w:pPr>
              <w:pStyle w:val="41"/>
              <w:rPr>
                <w:color w:val="auto"/>
                <w:highlight w:val="none"/>
              </w:rPr>
            </w:pPr>
            <w:r>
              <w:rPr>
                <w:color w:val="auto"/>
                <w:highlight w:val="none"/>
              </w:rPr>
              <w:t>300</w:t>
            </w:r>
          </w:p>
        </w:tc>
        <w:tc>
          <w:tcPr>
            <w:tcW w:w="1213" w:type="dxa"/>
            <w:noWrap/>
            <w:vAlign w:val="center"/>
          </w:tcPr>
          <w:p w14:paraId="0B89D1BA">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2.9419</w:t>
            </w:r>
          </w:p>
        </w:tc>
        <w:tc>
          <w:tcPr>
            <w:tcW w:w="962" w:type="dxa"/>
            <w:noWrap/>
            <w:vAlign w:val="center"/>
          </w:tcPr>
          <w:p w14:paraId="4A08FBB4">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653.76</w:t>
            </w:r>
          </w:p>
        </w:tc>
        <w:tc>
          <w:tcPr>
            <w:tcW w:w="1705" w:type="dxa"/>
            <w:noWrap/>
            <w:vAlign w:val="center"/>
          </w:tcPr>
          <w:p w14:paraId="673AD35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2.9419</w:t>
            </w:r>
          </w:p>
        </w:tc>
        <w:tc>
          <w:tcPr>
            <w:tcW w:w="872" w:type="dxa"/>
            <w:noWrap/>
            <w:vAlign w:val="center"/>
          </w:tcPr>
          <w:p w14:paraId="498ABBA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653.76</w:t>
            </w:r>
          </w:p>
        </w:tc>
        <w:tc>
          <w:tcPr>
            <w:tcW w:w="1396" w:type="dxa"/>
            <w:noWrap/>
            <w:vAlign w:val="center"/>
          </w:tcPr>
          <w:p w14:paraId="72D8AC8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2.9419</w:t>
            </w:r>
          </w:p>
        </w:tc>
        <w:tc>
          <w:tcPr>
            <w:tcW w:w="874" w:type="dxa"/>
            <w:noWrap/>
            <w:vAlign w:val="center"/>
          </w:tcPr>
          <w:p w14:paraId="51D6DC2A">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653.76</w:t>
            </w:r>
          </w:p>
        </w:tc>
      </w:tr>
      <w:tr w14:paraId="5B1F3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0BD90A4">
            <w:pPr>
              <w:pStyle w:val="41"/>
              <w:rPr>
                <w:color w:val="auto"/>
                <w:highlight w:val="none"/>
              </w:rPr>
            </w:pPr>
            <w:r>
              <w:rPr>
                <w:color w:val="auto"/>
                <w:highlight w:val="none"/>
              </w:rPr>
              <w:t>15</w:t>
            </w:r>
          </w:p>
        </w:tc>
        <w:tc>
          <w:tcPr>
            <w:tcW w:w="548" w:type="pct"/>
            <w:noWrap/>
            <w:vAlign w:val="center"/>
          </w:tcPr>
          <w:p w14:paraId="31049D23">
            <w:pPr>
              <w:pStyle w:val="41"/>
              <w:rPr>
                <w:color w:val="auto"/>
                <w:highlight w:val="none"/>
              </w:rPr>
            </w:pPr>
            <w:r>
              <w:rPr>
                <w:color w:val="auto"/>
                <w:highlight w:val="none"/>
              </w:rPr>
              <w:t>325</w:t>
            </w:r>
          </w:p>
        </w:tc>
        <w:tc>
          <w:tcPr>
            <w:tcW w:w="1213" w:type="dxa"/>
            <w:noWrap/>
            <w:vAlign w:val="center"/>
          </w:tcPr>
          <w:p w14:paraId="726D5D98">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2.7346</w:t>
            </w:r>
          </w:p>
        </w:tc>
        <w:tc>
          <w:tcPr>
            <w:tcW w:w="962" w:type="dxa"/>
            <w:noWrap/>
            <w:vAlign w:val="center"/>
          </w:tcPr>
          <w:p w14:paraId="426EF4EE">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607.69</w:t>
            </w:r>
          </w:p>
        </w:tc>
        <w:tc>
          <w:tcPr>
            <w:tcW w:w="1705" w:type="dxa"/>
            <w:noWrap/>
            <w:vAlign w:val="center"/>
          </w:tcPr>
          <w:p w14:paraId="7A4B15A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2.7346</w:t>
            </w:r>
          </w:p>
        </w:tc>
        <w:tc>
          <w:tcPr>
            <w:tcW w:w="872" w:type="dxa"/>
            <w:noWrap/>
            <w:vAlign w:val="center"/>
          </w:tcPr>
          <w:p w14:paraId="1E3F3B2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607.69</w:t>
            </w:r>
          </w:p>
        </w:tc>
        <w:tc>
          <w:tcPr>
            <w:tcW w:w="1396" w:type="dxa"/>
            <w:noWrap/>
            <w:vAlign w:val="center"/>
          </w:tcPr>
          <w:p w14:paraId="646F2CCA">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2.7346</w:t>
            </w:r>
          </w:p>
        </w:tc>
        <w:tc>
          <w:tcPr>
            <w:tcW w:w="874" w:type="dxa"/>
            <w:noWrap/>
            <w:vAlign w:val="center"/>
          </w:tcPr>
          <w:p w14:paraId="6530FF84">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607.69</w:t>
            </w:r>
          </w:p>
        </w:tc>
      </w:tr>
      <w:tr w14:paraId="152229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FD659D9">
            <w:pPr>
              <w:pStyle w:val="41"/>
              <w:rPr>
                <w:color w:val="auto"/>
                <w:highlight w:val="none"/>
              </w:rPr>
            </w:pPr>
            <w:r>
              <w:rPr>
                <w:color w:val="auto"/>
                <w:highlight w:val="none"/>
              </w:rPr>
              <w:t>16</w:t>
            </w:r>
          </w:p>
        </w:tc>
        <w:tc>
          <w:tcPr>
            <w:tcW w:w="548" w:type="pct"/>
            <w:noWrap/>
            <w:vAlign w:val="center"/>
          </w:tcPr>
          <w:p w14:paraId="0CB41471">
            <w:pPr>
              <w:pStyle w:val="41"/>
              <w:rPr>
                <w:color w:val="auto"/>
                <w:highlight w:val="none"/>
              </w:rPr>
            </w:pPr>
            <w:r>
              <w:rPr>
                <w:color w:val="auto"/>
                <w:highlight w:val="none"/>
              </w:rPr>
              <w:t>350</w:t>
            </w:r>
          </w:p>
        </w:tc>
        <w:tc>
          <w:tcPr>
            <w:tcW w:w="1213" w:type="dxa"/>
            <w:noWrap/>
            <w:vAlign w:val="center"/>
          </w:tcPr>
          <w:p w14:paraId="19D9537E">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2.5449</w:t>
            </w:r>
          </w:p>
        </w:tc>
        <w:tc>
          <w:tcPr>
            <w:tcW w:w="962" w:type="dxa"/>
            <w:noWrap/>
            <w:vAlign w:val="center"/>
          </w:tcPr>
          <w:p w14:paraId="1334662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565.53</w:t>
            </w:r>
          </w:p>
        </w:tc>
        <w:tc>
          <w:tcPr>
            <w:tcW w:w="1705" w:type="dxa"/>
            <w:noWrap/>
            <w:vAlign w:val="center"/>
          </w:tcPr>
          <w:p w14:paraId="6EFDFFE0">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2.5449</w:t>
            </w:r>
          </w:p>
        </w:tc>
        <w:tc>
          <w:tcPr>
            <w:tcW w:w="872" w:type="dxa"/>
            <w:noWrap/>
            <w:vAlign w:val="center"/>
          </w:tcPr>
          <w:p w14:paraId="434F243E">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565.53</w:t>
            </w:r>
          </w:p>
        </w:tc>
        <w:tc>
          <w:tcPr>
            <w:tcW w:w="1396" w:type="dxa"/>
            <w:noWrap/>
            <w:vAlign w:val="center"/>
          </w:tcPr>
          <w:p w14:paraId="4561344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2.5449</w:t>
            </w:r>
          </w:p>
        </w:tc>
        <w:tc>
          <w:tcPr>
            <w:tcW w:w="874" w:type="dxa"/>
            <w:noWrap/>
            <w:vAlign w:val="center"/>
          </w:tcPr>
          <w:p w14:paraId="1B8C9A7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565.53</w:t>
            </w:r>
          </w:p>
        </w:tc>
      </w:tr>
      <w:tr w14:paraId="0B68CF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709FE2A8">
            <w:pPr>
              <w:pStyle w:val="41"/>
              <w:rPr>
                <w:color w:val="auto"/>
                <w:highlight w:val="none"/>
              </w:rPr>
            </w:pPr>
            <w:r>
              <w:rPr>
                <w:color w:val="auto"/>
                <w:highlight w:val="none"/>
              </w:rPr>
              <w:t>17</w:t>
            </w:r>
          </w:p>
        </w:tc>
        <w:tc>
          <w:tcPr>
            <w:tcW w:w="548" w:type="pct"/>
            <w:noWrap/>
            <w:vAlign w:val="center"/>
          </w:tcPr>
          <w:p w14:paraId="73032F55">
            <w:pPr>
              <w:pStyle w:val="41"/>
              <w:rPr>
                <w:color w:val="auto"/>
                <w:highlight w:val="none"/>
              </w:rPr>
            </w:pPr>
            <w:r>
              <w:rPr>
                <w:color w:val="auto"/>
                <w:highlight w:val="none"/>
              </w:rPr>
              <w:t>375</w:t>
            </w:r>
          </w:p>
        </w:tc>
        <w:tc>
          <w:tcPr>
            <w:tcW w:w="1213" w:type="dxa"/>
            <w:noWrap/>
            <w:vAlign w:val="center"/>
          </w:tcPr>
          <w:p w14:paraId="79F4690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2.3724</w:t>
            </w:r>
          </w:p>
        </w:tc>
        <w:tc>
          <w:tcPr>
            <w:tcW w:w="962" w:type="dxa"/>
            <w:noWrap/>
            <w:vAlign w:val="center"/>
          </w:tcPr>
          <w:p w14:paraId="60FC8FC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527.2</w:t>
            </w:r>
          </w:p>
        </w:tc>
        <w:tc>
          <w:tcPr>
            <w:tcW w:w="1705" w:type="dxa"/>
            <w:noWrap/>
            <w:vAlign w:val="center"/>
          </w:tcPr>
          <w:p w14:paraId="2B9942D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2.3724</w:t>
            </w:r>
          </w:p>
        </w:tc>
        <w:tc>
          <w:tcPr>
            <w:tcW w:w="872" w:type="dxa"/>
            <w:noWrap/>
            <w:vAlign w:val="center"/>
          </w:tcPr>
          <w:p w14:paraId="0AAEE573">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527.2</w:t>
            </w:r>
          </w:p>
        </w:tc>
        <w:tc>
          <w:tcPr>
            <w:tcW w:w="1396" w:type="dxa"/>
            <w:noWrap/>
            <w:vAlign w:val="center"/>
          </w:tcPr>
          <w:p w14:paraId="3DD0D9E0">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2.3724</w:t>
            </w:r>
          </w:p>
        </w:tc>
        <w:tc>
          <w:tcPr>
            <w:tcW w:w="874" w:type="dxa"/>
            <w:noWrap/>
            <w:vAlign w:val="center"/>
          </w:tcPr>
          <w:p w14:paraId="3E582B4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527.2</w:t>
            </w:r>
          </w:p>
        </w:tc>
      </w:tr>
      <w:tr w14:paraId="3528B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66AF3B5E">
            <w:pPr>
              <w:pStyle w:val="41"/>
              <w:rPr>
                <w:color w:val="auto"/>
                <w:highlight w:val="none"/>
              </w:rPr>
            </w:pPr>
            <w:r>
              <w:rPr>
                <w:color w:val="auto"/>
                <w:highlight w:val="none"/>
              </w:rPr>
              <w:t>18</w:t>
            </w:r>
          </w:p>
        </w:tc>
        <w:tc>
          <w:tcPr>
            <w:tcW w:w="548" w:type="pct"/>
            <w:noWrap/>
            <w:vAlign w:val="center"/>
          </w:tcPr>
          <w:p w14:paraId="5B1BDE55">
            <w:pPr>
              <w:pStyle w:val="41"/>
              <w:rPr>
                <w:color w:val="auto"/>
                <w:highlight w:val="none"/>
              </w:rPr>
            </w:pPr>
            <w:r>
              <w:rPr>
                <w:color w:val="auto"/>
                <w:highlight w:val="none"/>
              </w:rPr>
              <w:t>400</w:t>
            </w:r>
          </w:p>
        </w:tc>
        <w:tc>
          <w:tcPr>
            <w:tcW w:w="1213" w:type="dxa"/>
            <w:noWrap/>
            <w:vAlign w:val="center"/>
          </w:tcPr>
          <w:p w14:paraId="4281473A">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2.216</w:t>
            </w:r>
          </w:p>
        </w:tc>
        <w:tc>
          <w:tcPr>
            <w:tcW w:w="962" w:type="dxa"/>
            <w:noWrap/>
            <w:vAlign w:val="center"/>
          </w:tcPr>
          <w:p w14:paraId="4EF5EB82">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492.44</w:t>
            </w:r>
          </w:p>
        </w:tc>
        <w:tc>
          <w:tcPr>
            <w:tcW w:w="1705" w:type="dxa"/>
            <w:noWrap/>
            <w:vAlign w:val="center"/>
          </w:tcPr>
          <w:p w14:paraId="0D0E9BB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2.216</w:t>
            </w:r>
          </w:p>
        </w:tc>
        <w:tc>
          <w:tcPr>
            <w:tcW w:w="872" w:type="dxa"/>
            <w:noWrap/>
            <w:vAlign w:val="center"/>
          </w:tcPr>
          <w:p w14:paraId="2CAD26F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492.44</w:t>
            </w:r>
          </w:p>
        </w:tc>
        <w:tc>
          <w:tcPr>
            <w:tcW w:w="1396" w:type="dxa"/>
            <w:noWrap/>
            <w:vAlign w:val="center"/>
          </w:tcPr>
          <w:p w14:paraId="784DD6D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2.216</w:t>
            </w:r>
          </w:p>
        </w:tc>
        <w:tc>
          <w:tcPr>
            <w:tcW w:w="874" w:type="dxa"/>
            <w:noWrap/>
            <w:vAlign w:val="center"/>
          </w:tcPr>
          <w:p w14:paraId="0C40B3CE">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492.44</w:t>
            </w:r>
          </w:p>
        </w:tc>
      </w:tr>
      <w:tr w14:paraId="50472E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64DBE342">
            <w:pPr>
              <w:pStyle w:val="41"/>
              <w:rPr>
                <w:color w:val="auto"/>
                <w:highlight w:val="none"/>
              </w:rPr>
            </w:pPr>
            <w:r>
              <w:rPr>
                <w:color w:val="auto"/>
                <w:highlight w:val="none"/>
              </w:rPr>
              <w:t>19</w:t>
            </w:r>
          </w:p>
        </w:tc>
        <w:tc>
          <w:tcPr>
            <w:tcW w:w="548" w:type="pct"/>
            <w:noWrap/>
            <w:vAlign w:val="center"/>
          </w:tcPr>
          <w:p w14:paraId="21084E77">
            <w:pPr>
              <w:pStyle w:val="41"/>
              <w:rPr>
                <w:color w:val="auto"/>
                <w:highlight w:val="none"/>
              </w:rPr>
            </w:pPr>
            <w:r>
              <w:rPr>
                <w:color w:val="auto"/>
                <w:highlight w:val="none"/>
              </w:rPr>
              <w:t>425</w:t>
            </w:r>
          </w:p>
        </w:tc>
        <w:tc>
          <w:tcPr>
            <w:tcW w:w="1213" w:type="dxa"/>
            <w:noWrap/>
            <w:vAlign w:val="center"/>
          </w:tcPr>
          <w:p w14:paraId="3A15629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2.0745</w:t>
            </w:r>
          </w:p>
        </w:tc>
        <w:tc>
          <w:tcPr>
            <w:tcW w:w="962" w:type="dxa"/>
            <w:noWrap/>
            <w:vAlign w:val="center"/>
          </w:tcPr>
          <w:p w14:paraId="6047C34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461</w:t>
            </w:r>
          </w:p>
        </w:tc>
        <w:tc>
          <w:tcPr>
            <w:tcW w:w="1705" w:type="dxa"/>
            <w:noWrap/>
            <w:vAlign w:val="center"/>
          </w:tcPr>
          <w:p w14:paraId="7BAD955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2.0745</w:t>
            </w:r>
          </w:p>
        </w:tc>
        <w:tc>
          <w:tcPr>
            <w:tcW w:w="872" w:type="dxa"/>
            <w:noWrap/>
            <w:vAlign w:val="center"/>
          </w:tcPr>
          <w:p w14:paraId="4C7D411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461</w:t>
            </w:r>
          </w:p>
        </w:tc>
        <w:tc>
          <w:tcPr>
            <w:tcW w:w="1396" w:type="dxa"/>
            <w:noWrap/>
            <w:vAlign w:val="center"/>
          </w:tcPr>
          <w:p w14:paraId="0E30B9B5">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2.0745</w:t>
            </w:r>
          </w:p>
        </w:tc>
        <w:tc>
          <w:tcPr>
            <w:tcW w:w="874" w:type="dxa"/>
            <w:noWrap/>
            <w:vAlign w:val="center"/>
          </w:tcPr>
          <w:p w14:paraId="103D033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461</w:t>
            </w:r>
          </w:p>
        </w:tc>
      </w:tr>
      <w:tr w14:paraId="1BD812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19DBA4FB">
            <w:pPr>
              <w:pStyle w:val="41"/>
              <w:rPr>
                <w:color w:val="auto"/>
                <w:highlight w:val="none"/>
              </w:rPr>
            </w:pPr>
            <w:r>
              <w:rPr>
                <w:color w:val="auto"/>
                <w:highlight w:val="none"/>
              </w:rPr>
              <w:t>20</w:t>
            </w:r>
          </w:p>
        </w:tc>
        <w:tc>
          <w:tcPr>
            <w:tcW w:w="548" w:type="pct"/>
            <w:noWrap/>
            <w:vAlign w:val="center"/>
          </w:tcPr>
          <w:p w14:paraId="76B93F30">
            <w:pPr>
              <w:pStyle w:val="41"/>
              <w:rPr>
                <w:color w:val="auto"/>
                <w:highlight w:val="none"/>
              </w:rPr>
            </w:pPr>
            <w:r>
              <w:rPr>
                <w:color w:val="auto"/>
                <w:highlight w:val="none"/>
              </w:rPr>
              <w:t>450</w:t>
            </w:r>
          </w:p>
        </w:tc>
        <w:tc>
          <w:tcPr>
            <w:tcW w:w="1213" w:type="dxa"/>
            <w:noWrap/>
            <w:vAlign w:val="center"/>
          </w:tcPr>
          <w:p w14:paraId="5C607B9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1.9462</w:t>
            </w:r>
          </w:p>
        </w:tc>
        <w:tc>
          <w:tcPr>
            <w:tcW w:w="962" w:type="dxa"/>
            <w:noWrap/>
            <w:vAlign w:val="center"/>
          </w:tcPr>
          <w:p w14:paraId="663AD6D9">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432.49</w:t>
            </w:r>
          </w:p>
        </w:tc>
        <w:tc>
          <w:tcPr>
            <w:tcW w:w="1705" w:type="dxa"/>
            <w:noWrap/>
            <w:vAlign w:val="center"/>
          </w:tcPr>
          <w:p w14:paraId="19BEBB6A">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1.9462</w:t>
            </w:r>
          </w:p>
        </w:tc>
        <w:tc>
          <w:tcPr>
            <w:tcW w:w="872" w:type="dxa"/>
            <w:noWrap/>
            <w:vAlign w:val="center"/>
          </w:tcPr>
          <w:p w14:paraId="63A26BC0">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432.49</w:t>
            </w:r>
          </w:p>
        </w:tc>
        <w:tc>
          <w:tcPr>
            <w:tcW w:w="1396" w:type="dxa"/>
            <w:noWrap/>
            <w:vAlign w:val="center"/>
          </w:tcPr>
          <w:p w14:paraId="3FA6BB47">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1.9462</w:t>
            </w:r>
          </w:p>
        </w:tc>
        <w:tc>
          <w:tcPr>
            <w:tcW w:w="874" w:type="dxa"/>
            <w:noWrap/>
            <w:vAlign w:val="center"/>
          </w:tcPr>
          <w:p w14:paraId="232B282E">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432.49</w:t>
            </w:r>
          </w:p>
        </w:tc>
      </w:tr>
      <w:tr w14:paraId="44A4DF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7416D0BB">
            <w:pPr>
              <w:pStyle w:val="41"/>
              <w:rPr>
                <w:color w:val="auto"/>
                <w:highlight w:val="none"/>
              </w:rPr>
            </w:pPr>
            <w:r>
              <w:rPr>
                <w:color w:val="auto"/>
                <w:highlight w:val="none"/>
              </w:rPr>
              <w:t>21</w:t>
            </w:r>
          </w:p>
        </w:tc>
        <w:tc>
          <w:tcPr>
            <w:tcW w:w="548" w:type="pct"/>
            <w:noWrap/>
            <w:vAlign w:val="center"/>
          </w:tcPr>
          <w:p w14:paraId="2DB64A60">
            <w:pPr>
              <w:pStyle w:val="41"/>
              <w:rPr>
                <w:color w:val="auto"/>
                <w:highlight w:val="none"/>
              </w:rPr>
            </w:pPr>
            <w:r>
              <w:rPr>
                <w:color w:val="auto"/>
                <w:highlight w:val="none"/>
              </w:rPr>
              <w:t>475</w:t>
            </w:r>
          </w:p>
        </w:tc>
        <w:tc>
          <w:tcPr>
            <w:tcW w:w="1213" w:type="dxa"/>
            <w:noWrap/>
            <w:vAlign w:val="center"/>
          </w:tcPr>
          <w:p w14:paraId="05B72A3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1.8299</w:t>
            </w:r>
          </w:p>
        </w:tc>
        <w:tc>
          <w:tcPr>
            <w:tcW w:w="962" w:type="dxa"/>
            <w:noWrap/>
            <w:vAlign w:val="center"/>
          </w:tcPr>
          <w:p w14:paraId="60AB777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406.64</w:t>
            </w:r>
          </w:p>
        </w:tc>
        <w:tc>
          <w:tcPr>
            <w:tcW w:w="1705" w:type="dxa"/>
            <w:noWrap/>
            <w:vAlign w:val="center"/>
          </w:tcPr>
          <w:p w14:paraId="00A2F51D">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1.8299</w:t>
            </w:r>
          </w:p>
        </w:tc>
        <w:tc>
          <w:tcPr>
            <w:tcW w:w="872" w:type="dxa"/>
            <w:noWrap/>
            <w:vAlign w:val="center"/>
          </w:tcPr>
          <w:p w14:paraId="296B949F">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406.64</w:t>
            </w:r>
          </w:p>
        </w:tc>
        <w:tc>
          <w:tcPr>
            <w:tcW w:w="1396" w:type="dxa"/>
            <w:noWrap/>
            <w:vAlign w:val="center"/>
          </w:tcPr>
          <w:p w14:paraId="437C8B7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1.8299</w:t>
            </w:r>
          </w:p>
        </w:tc>
        <w:tc>
          <w:tcPr>
            <w:tcW w:w="874" w:type="dxa"/>
            <w:noWrap/>
            <w:vAlign w:val="center"/>
          </w:tcPr>
          <w:p w14:paraId="56F51B51">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406.64</w:t>
            </w:r>
          </w:p>
        </w:tc>
      </w:tr>
      <w:tr w14:paraId="4253D7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7" w:type="pct"/>
            <w:noWrap/>
            <w:vAlign w:val="center"/>
          </w:tcPr>
          <w:p w14:paraId="2444A215">
            <w:pPr>
              <w:pStyle w:val="41"/>
              <w:rPr>
                <w:color w:val="auto"/>
                <w:highlight w:val="none"/>
              </w:rPr>
            </w:pPr>
            <w:r>
              <w:rPr>
                <w:color w:val="auto"/>
                <w:highlight w:val="none"/>
              </w:rPr>
              <w:t>22</w:t>
            </w:r>
          </w:p>
        </w:tc>
        <w:tc>
          <w:tcPr>
            <w:tcW w:w="548" w:type="pct"/>
            <w:noWrap/>
            <w:vAlign w:val="center"/>
          </w:tcPr>
          <w:p w14:paraId="38696066">
            <w:pPr>
              <w:pStyle w:val="41"/>
              <w:rPr>
                <w:color w:val="auto"/>
                <w:highlight w:val="none"/>
              </w:rPr>
            </w:pPr>
            <w:r>
              <w:rPr>
                <w:color w:val="auto"/>
                <w:highlight w:val="none"/>
              </w:rPr>
              <w:t>500</w:t>
            </w:r>
          </w:p>
        </w:tc>
        <w:tc>
          <w:tcPr>
            <w:tcW w:w="1213" w:type="dxa"/>
            <w:noWrap/>
            <w:vAlign w:val="center"/>
          </w:tcPr>
          <w:p w14:paraId="0E006FE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1.7242</w:t>
            </w:r>
          </w:p>
        </w:tc>
        <w:tc>
          <w:tcPr>
            <w:tcW w:w="962" w:type="dxa"/>
            <w:noWrap/>
            <w:vAlign w:val="center"/>
          </w:tcPr>
          <w:p w14:paraId="09AA91FB">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383.16</w:t>
            </w:r>
          </w:p>
        </w:tc>
        <w:tc>
          <w:tcPr>
            <w:tcW w:w="1705" w:type="dxa"/>
            <w:noWrap/>
            <w:vAlign w:val="center"/>
          </w:tcPr>
          <w:p w14:paraId="6E9997CA">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1.7242</w:t>
            </w:r>
          </w:p>
        </w:tc>
        <w:tc>
          <w:tcPr>
            <w:tcW w:w="872" w:type="dxa"/>
            <w:noWrap/>
            <w:vAlign w:val="center"/>
          </w:tcPr>
          <w:p w14:paraId="4EE0DB88">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383.16</w:t>
            </w:r>
          </w:p>
        </w:tc>
        <w:tc>
          <w:tcPr>
            <w:tcW w:w="1396" w:type="dxa"/>
            <w:noWrap/>
            <w:vAlign w:val="center"/>
          </w:tcPr>
          <w:p w14:paraId="3C4BF696">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1.7242</w:t>
            </w:r>
          </w:p>
        </w:tc>
        <w:tc>
          <w:tcPr>
            <w:tcW w:w="874" w:type="dxa"/>
            <w:noWrap/>
            <w:vAlign w:val="center"/>
          </w:tcPr>
          <w:p w14:paraId="33CA0BEE">
            <w:pPr>
              <w:pStyle w:val="41"/>
              <w:keepNext w:val="0"/>
              <w:keepLines w:val="0"/>
              <w:widowControl/>
              <w:suppressLineNumbers w:val="0"/>
              <w:ind w:firstLine="0" w:firstLineChars="0"/>
              <w:jc w:val="center"/>
              <w:textAlignment w:val="auto"/>
              <w:rPr>
                <w:color w:val="auto"/>
                <w:highlight w:val="none"/>
                <w:u w:val="none"/>
                <w:lang w:bidi="ar"/>
              </w:rPr>
            </w:pPr>
            <w:r>
              <w:rPr>
                <w:rFonts w:hint="default" w:ascii="Times New Roman" w:hAnsi="Times New Roman" w:eastAsia="华文中宋" w:cstheme="minorBidi"/>
                <w:i w:val="0"/>
                <w:iCs w:val="0"/>
                <w:color w:val="auto"/>
                <w:kern w:val="0"/>
                <w:sz w:val="21"/>
                <w:szCs w:val="21"/>
                <w:highlight w:val="none"/>
                <w:u w:val="none"/>
                <w:lang w:val="en-US" w:eastAsia="zh-CN" w:bidi="ar"/>
              </w:rPr>
              <w:t>383.16</w:t>
            </w:r>
          </w:p>
        </w:tc>
      </w:tr>
    </w:tbl>
    <w:p w14:paraId="45322262">
      <w:pPr>
        <w:pStyle w:val="40"/>
        <w:spacing w:before="24" w:after="24"/>
        <w:rPr>
          <w:color w:val="auto"/>
          <w:highlight w:val="none"/>
        </w:rPr>
      </w:pPr>
      <w:r>
        <w:rPr>
          <w:color w:val="auto"/>
          <w:highlight w:val="none"/>
        </w:rPr>
        <w:t>表5.2-1</w:t>
      </w:r>
      <w:r>
        <w:rPr>
          <w:rFonts w:hint="eastAsia"/>
          <w:color w:val="auto"/>
          <w:highlight w:val="none"/>
          <w:lang w:val="en-US" w:eastAsia="zh-CN"/>
        </w:rPr>
        <w:t>8</w:t>
      </w:r>
      <w:r>
        <w:rPr>
          <w:color w:val="auto"/>
          <w:highlight w:val="none"/>
        </w:rPr>
        <w:t xml:space="preserve">   非</w:t>
      </w:r>
      <w:r>
        <w:rPr>
          <w:rFonts w:hint="eastAsia"/>
          <w:color w:val="auto"/>
          <w:highlight w:val="none"/>
          <w:lang w:eastAsia="zh-CN"/>
        </w:rPr>
        <w:t>正</w:t>
      </w:r>
      <w:r>
        <w:rPr>
          <w:color w:val="auto"/>
          <w:highlight w:val="none"/>
        </w:rPr>
        <w:t>常工况（干抛磁选颗粒物）扩散浓度预测结果</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172"/>
        <w:gridCol w:w="2467"/>
        <w:gridCol w:w="3012"/>
        <w:gridCol w:w="1865"/>
      </w:tblGrid>
      <w:tr w14:paraId="0EE2FF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vMerge w:val="restart"/>
            <w:noWrap/>
            <w:vAlign w:val="center"/>
          </w:tcPr>
          <w:p w14:paraId="2F5DED42">
            <w:pPr>
              <w:pStyle w:val="41"/>
              <w:rPr>
                <w:color w:val="auto"/>
                <w:highlight w:val="none"/>
              </w:rPr>
            </w:pPr>
            <w:r>
              <w:rPr>
                <w:color w:val="auto"/>
                <w:highlight w:val="none"/>
              </w:rPr>
              <w:t>序号</w:t>
            </w:r>
          </w:p>
        </w:tc>
        <w:tc>
          <w:tcPr>
            <w:tcW w:w="1448" w:type="pct"/>
            <w:vMerge w:val="restart"/>
            <w:tcBorders>
              <w:right w:val="single" w:color="auto" w:sz="2" w:space="0"/>
            </w:tcBorders>
            <w:noWrap/>
            <w:vAlign w:val="center"/>
          </w:tcPr>
          <w:p w14:paraId="4163C6C8">
            <w:pPr>
              <w:pStyle w:val="41"/>
              <w:rPr>
                <w:color w:val="auto"/>
                <w:highlight w:val="none"/>
              </w:rPr>
            </w:pPr>
            <w:r>
              <w:rPr>
                <w:color w:val="auto"/>
                <w:highlight w:val="none"/>
              </w:rPr>
              <w:t>离源距离</w:t>
            </w:r>
            <w:r>
              <w:rPr>
                <w:rFonts w:hint="eastAsia"/>
                <w:color w:val="auto"/>
                <w:highlight w:val="none"/>
                <w:lang w:eastAsia="zh-CN"/>
              </w:rPr>
              <w:t>（</w:t>
            </w:r>
            <w:r>
              <w:rPr>
                <w:color w:val="auto"/>
                <w:highlight w:val="none"/>
              </w:rPr>
              <w:t>m</w:t>
            </w:r>
            <w:r>
              <w:rPr>
                <w:rFonts w:hint="eastAsia"/>
                <w:color w:val="auto"/>
                <w:highlight w:val="none"/>
                <w:lang w:eastAsia="zh-CN"/>
              </w:rPr>
              <w:t>）</w:t>
            </w:r>
          </w:p>
        </w:tc>
        <w:tc>
          <w:tcPr>
            <w:tcW w:w="2862" w:type="pct"/>
            <w:gridSpan w:val="2"/>
            <w:tcBorders>
              <w:left w:val="single" w:color="auto" w:sz="2" w:space="0"/>
            </w:tcBorders>
            <w:vAlign w:val="center"/>
          </w:tcPr>
          <w:p w14:paraId="2BCDBD46">
            <w:pPr>
              <w:pStyle w:val="41"/>
              <w:rPr>
                <w:color w:val="auto"/>
                <w:highlight w:val="none"/>
              </w:rPr>
            </w:pPr>
            <w:r>
              <w:rPr>
                <w:color w:val="auto"/>
                <w:highlight w:val="none"/>
              </w:rPr>
              <w:t>干抛磁选车间PM10</w:t>
            </w:r>
          </w:p>
        </w:tc>
      </w:tr>
      <w:tr w14:paraId="6B161D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vMerge w:val="continue"/>
            <w:noWrap/>
            <w:vAlign w:val="center"/>
          </w:tcPr>
          <w:p w14:paraId="356BAA4B">
            <w:pPr>
              <w:pStyle w:val="41"/>
              <w:rPr>
                <w:color w:val="auto"/>
                <w:highlight w:val="none"/>
              </w:rPr>
            </w:pPr>
          </w:p>
        </w:tc>
        <w:tc>
          <w:tcPr>
            <w:tcW w:w="1448" w:type="pct"/>
            <w:vMerge w:val="continue"/>
            <w:tcBorders>
              <w:right w:val="single" w:color="auto" w:sz="2" w:space="0"/>
            </w:tcBorders>
            <w:noWrap/>
            <w:vAlign w:val="center"/>
          </w:tcPr>
          <w:p w14:paraId="7E70BD5C">
            <w:pPr>
              <w:pStyle w:val="41"/>
              <w:rPr>
                <w:color w:val="auto"/>
                <w:highlight w:val="none"/>
              </w:rPr>
            </w:pPr>
          </w:p>
        </w:tc>
        <w:tc>
          <w:tcPr>
            <w:tcW w:w="1768" w:type="pct"/>
            <w:tcBorders>
              <w:left w:val="single" w:color="auto" w:sz="2" w:space="0"/>
            </w:tcBorders>
            <w:noWrap/>
            <w:vAlign w:val="center"/>
          </w:tcPr>
          <w:p w14:paraId="70593199">
            <w:pPr>
              <w:pStyle w:val="41"/>
              <w:rPr>
                <w:color w:val="auto"/>
                <w:highlight w:val="none"/>
              </w:rPr>
            </w:pPr>
            <w:r>
              <w:rPr>
                <w:color w:val="auto"/>
                <w:highlight w:val="none"/>
              </w:rPr>
              <w:t>下风向预测浓度mg/m</w:t>
            </w:r>
            <w:r>
              <w:rPr>
                <w:color w:val="auto"/>
                <w:highlight w:val="none"/>
                <w:vertAlign w:val="superscript"/>
              </w:rPr>
              <w:t>3</w:t>
            </w:r>
          </w:p>
        </w:tc>
        <w:tc>
          <w:tcPr>
            <w:tcW w:w="1094" w:type="pct"/>
            <w:noWrap/>
            <w:vAlign w:val="center"/>
          </w:tcPr>
          <w:p w14:paraId="28D0BE02">
            <w:pPr>
              <w:pStyle w:val="41"/>
              <w:rPr>
                <w:color w:val="auto"/>
                <w:highlight w:val="none"/>
              </w:rPr>
            </w:pPr>
            <w:r>
              <w:rPr>
                <w:color w:val="auto"/>
                <w:highlight w:val="none"/>
              </w:rPr>
              <w:t>占标率%</w:t>
            </w:r>
          </w:p>
        </w:tc>
      </w:tr>
      <w:tr w14:paraId="3A4CC2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4A6E22BB">
            <w:pPr>
              <w:pStyle w:val="41"/>
              <w:rPr>
                <w:color w:val="auto"/>
                <w:highlight w:val="none"/>
              </w:rPr>
            </w:pPr>
            <w:r>
              <w:rPr>
                <w:color w:val="auto"/>
                <w:highlight w:val="none"/>
              </w:rPr>
              <w:t>1</w:t>
            </w:r>
          </w:p>
        </w:tc>
        <w:tc>
          <w:tcPr>
            <w:tcW w:w="2467" w:type="dxa"/>
            <w:noWrap/>
            <w:vAlign w:val="center"/>
          </w:tcPr>
          <w:p w14:paraId="7E37362C">
            <w:pPr>
              <w:pStyle w:val="41"/>
              <w:rPr>
                <w:color w:val="auto"/>
                <w:highlight w:val="none"/>
              </w:rPr>
            </w:pPr>
            <w:r>
              <w:rPr>
                <w:color w:val="auto"/>
                <w:highlight w:val="none"/>
              </w:rPr>
              <w:t>10</w:t>
            </w:r>
          </w:p>
        </w:tc>
        <w:tc>
          <w:tcPr>
            <w:tcW w:w="3012" w:type="dxa"/>
            <w:noWrap/>
            <w:vAlign w:val="center"/>
          </w:tcPr>
          <w:p w14:paraId="272638D0">
            <w:pPr>
              <w:pStyle w:val="41"/>
              <w:rPr>
                <w:color w:val="auto"/>
                <w:highlight w:val="none"/>
              </w:rPr>
            </w:pPr>
            <w:r>
              <w:rPr>
                <w:color w:val="auto"/>
                <w:highlight w:val="none"/>
              </w:rPr>
              <w:t>0.052534</w:t>
            </w:r>
          </w:p>
        </w:tc>
        <w:tc>
          <w:tcPr>
            <w:tcW w:w="1864" w:type="dxa"/>
            <w:noWrap/>
            <w:vAlign w:val="center"/>
          </w:tcPr>
          <w:p w14:paraId="005E3CBD">
            <w:pPr>
              <w:pStyle w:val="41"/>
              <w:rPr>
                <w:color w:val="auto"/>
                <w:highlight w:val="none"/>
              </w:rPr>
            </w:pPr>
            <w:r>
              <w:rPr>
                <w:color w:val="auto"/>
                <w:highlight w:val="none"/>
              </w:rPr>
              <w:t>11.67</w:t>
            </w:r>
          </w:p>
        </w:tc>
      </w:tr>
      <w:tr w14:paraId="5555BA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2DCD956B">
            <w:pPr>
              <w:pStyle w:val="41"/>
              <w:rPr>
                <w:color w:val="auto"/>
                <w:highlight w:val="none"/>
              </w:rPr>
            </w:pPr>
            <w:r>
              <w:rPr>
                <w:color w:val="auto"/>
                <w:highlight w:val="none"/>
              </w:rPr>
              <w:t>2</w:t>
            </w:r>
          </w:p>
        </w:tc>
        <w:tc>
          <w:tcPr>
            <w:tcW w:w="2467" w:type="dxa"/>
            <w:noWrap/>
            <w:vAlign w:val="center"/>
          </w:tcPr>
          <w:p w14:paraId="42E9FC98">
            <w:pPr>
              <w:pStyle w:val="41"/>
              <w:rPr>
                <w:color w:val="auto"/>
                <w:highlight w:val="none"/>
              </w:rPr>
            </w:pPr>
            <w:r>
              <w:rPr>
                <w:color w:val="auto"/>
                <w:highlight w:val="none"/>
              </w:rPr>
              <w:t>25</w:t>
            </w:r>
          </w:p>
        </w:tc>
        <w:tc>
          <w:tcPr>
            <w:tcW w:w="3012" w:type="dxa"/>
            <w:noWrap/>
            <w:vAlign w:val="center"/>
          </w:tcPr>
          <w:p w14:paraId="258C1B14">
            <w:pPr>
              <w:pStyle w:val="41"/>
              <w:rPr>
                <w:color w:val="auto"/>
                <w:highlight w:val="none"/>
              </w:rPr>
            </w:pPr>
            <w:r>
              <w:rPr>
                <w:color w:val="auto"/>
                <w:highlight w:val="none"/>
              </w:rPr>
              <w:t>0.91935</w:t>
            </w:r>
          </w:p>
        </w:tc>
        <w:tc>
          <w:tcPr>
            <w:tcW w:w="1864" w:type="dxa"/>
            <w:noWrap/>
            <w:vAlign w:val="center"/>
          </w:tcPr>
          <w:p w14:paraId="0AF7892A">
            <w:pPr>
              <w:pStyle w:val="41"/>
              <w:rPr>
                <w:color w:val="auto"/>
                <w:highlight w:val="none"/>
              </w:rPr>
            </w:pPr>
            <w:r>
              <w:rPr>
                <w:color w:val="auto"/>
                <w:highlight w:val="none"/>
              </w:rPr>
              <w:t>204.3</w:t>
            </w:r>
          </w:p>
        </w:tc>
      </w:tr>
      <w:tr w14:paraId="402563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54EFA43A">
            <w:pPr>
              <w:pStyle w:val="41"/>
              <w:rPr>
                <w:color w:val="auto"/>
                <w:highlight w:val="none"/>
              </w:rPr>
            </w:pPr>
            <w:r>
              <w:rPr>
                <w:color w:val="auto"/>
                <w:highlight w:val="none"/>
              </w:rPr>
              <w:t>3</w:t>
            </w:r>
          </w:p>
        </w:tc>
        <w:tc>
          <w:tcPr>
            <w:tcW w:w="2467" w:type="dxa"/>
            <w:noWrap/>
            <w:vAlign w:val="center"/>
          </w:tcPr>
          <w:p w14:paraId="087C3863">
            <w:pPr>
              <w:pStyle w:val="41"/>
              <w:rPr>
                <w:color w:val="auto"/>
                <w:highlight w:val="none"/>
              </w:rPr>
            </w:pPr>
            <w:r>
              <w:rPr>
                <w:color w:val="auto"/>
                <w:highlight w:val="none"/>
              </w:rPr>
              <w:t>50</w:t>
            </w:r>
          </w:p>
        </w:tc>
        <w:tc>
          <w:tcPr>
            <w:tcW w:w="3012" w:type="dxa"/>
            <w:noWrap/>
            <w:vAlign w:val="center"/>
          </w:tcPr>
          <w:p w14:paraId="208BF659">
            <w:pPr>
              <w:pStyle w:val="41"/>
              <w:rPr>
                <w:color w:val="auto"/>
                <w:highlight w:val="none"/>
              </w:rPr>
            </w:pPr>
            <w:r>
              <w:rPr>
                <w:color w:val="auto"/>
                <w:highlight w:val="none"/>
              </w:rPr>
              <w:t>1.4017</w:t>
            </w:r>
          </w:p>
        </w:tc>
        <w:tc>
          <w:tcPr>
            <w:tcW w:w="1864" w:type="dxa"/>
            <w:noWrap/>
            <w:vAlign w:val="center"/>
          </w:tcPr>
          <w:p w14:paraId="347679A4">
            <w:pPr>
              <w:pStyle w:val="41"/>
              <w:rPr>
                <w:color w:val="auto"/>
                <w:highlight w:val="none"/>
              </w:rPr>
            </w:pPr>
            <w:r>
              <w:rPr>
                <w:color w:val="auto"/>
                <w:highlight w:val="none"/>
              </w:rPr>
              <w:t>311.49</w:t>
            </w:r>
          </w:p>
        </w:tc>
      </w:tr>
      <w:tr w14:paraId="2C1DD4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75575360">
            <w:pPr>
              <w:pStyle w:val="41"/>
              <w:rPr>
                <w:color w:val="auto"/>
                <w:highlight w:val="none"/>
              </w:rPr>
            </w:pPr>
            <w:r>
              <w:rPr>
                <w:color w:val="auto"/>
                <w:highlight w:val="none"/>
              </w:rPr>
              <w:t>4</w:t>
            </w:r>
          </w:p>
        </w:tc>
        <w:tc>
          <w:tcPr>
            <w:tcW w:w="2467" w:type="dxa"/>
            <w:noWrap/>
            <w:vAlign w:val="center"/>
          </w:tcPr>
          <w:p w14:paraId="32268AE7">
            <w:pPr>
              <w:pStyle w:val="41"/>
              <w:rPr>
                <w:color w:val="auto"/>
                <w:highlight w:val="none"/>
              </w:rPr>
            </w:pPr>
            <w:r>
              <w:rPr>
                <w:color w:val="auto"/>
                <w:highlight w:val="none"/>
              </w:rPr>
              <w:t>75</w:t>
            </w:r>
          </w:p>
        </w:tc>
        <w:tc>
          <w:tcPr>
            <w:tcW w:w="3012" w:type="dxa"/>
            <w:noWrap/>
            <w:vAlign w:val="center"/>
          </w:tcPr>
          <w:p w14:paraId="0BAB91AB">
            <w:pPr>
              <w:pStyle w:val="41"/>
              <w:rPr>
                <w:color w:val="auto"/>
                <w:highlight w:val="none"/>
              </w:rPr>
            </w:pPr>
            <w:r>
              <w:rPr>
                <w:color w:val="auto"/>
                <w:highlight w:val="none"/>
              </w:rPr>
              <w:t>0.94836</w:t>
            </w:r>
          </w:p>
        </w:tc>
        <w:tc>
          <w:tcPr>
            <w:tcW w:w="1864" w:type="dxa"/>
            <w:noWrap/>
            <w:vAlign w:val="center"/>
          </w:tcPr>
          <w:p w14:paraId="5000071D">
            <w:pPr>
              <w:pStyle w:val="41"/>
              <w:rPr>
                <w:color w:val="auto"/>
                <w:highlight w:val="none"/>
              </w:rPr>
            </w:pPr>
            <w:r>
              <w:rPr>
                <w:color w:val="auto"/>
                <w:highlight w:val="none"/>
              </w:rPr>
              <w:t>210.75</w:t>
            </w:r>
          </w:p>
        </w:tc>
      </w:tr>
      <w:tr w14:paraId="0BD9B4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0F5AF67E">
            <w:pPr>
              <w:pStyle w:val="41"/>
              <w:rPr>
                <w:color w:val="auto"/>
                <w:highlight w:val="none"/>
              </w:rPr>
            </w:pPr>
            <w:r>
              <w:rPr>
                <w:color w:val="auto"/>
                <w:highlight w:val="none"/>
              </w:rPr>
              <w:t>5</w:t>
            </w:r>
          </w:p>
        </w:tc>
        <w:tc>
          <w:tcPr>
            <w:tcW w:w="2467" w:type="dxa"/>
            <w:noWrap/>
            <w:vAlign w:val="center"/>
          </w:tcPr>
          <w:p w14:paraId="2FAF083B">
            <w:pPr>
              <w:pStyle w:val="41"/>
              <w:rPr>
                <w:color w:val="auto"/>
                <w:highlight w:val="none"/>
              </w:rPr>
            </w:pPr>
            <w:r>
              <w:rPr>
                <w:color w:val="auto"/>
                <w:highlight w:val="none"/>
              </w:rPr>
              <w:t>100</w:t>
            </w:r>
          </w:p>
        </w:tc>
        <w:tc>
          <w:tcPr>
            <w:tcW w:w="3012" w:type="dxa"/>
            <w:noWrap/>
            <w:vAlign w:val="center"/>
          </w:tcPr>
          <w:p w14:paraId="68DB8BB5">
            <w:pPr>
              <w:pStyle w:val="41"/>
              <w:rPr>
                <w:color w:val="auto"/>
                <w:highlight w:val="none"/>
              </w:rPr>
            </w:pPr>
            <w:r>
              <w:rPr>
                <w:color w:val="auto"/>
                <w:highlight w:val="none"/>
              </w:rPr>
              <w:t>1.2064</w:t>
            </w:r>
          </w:p>
        </w:tc>
        <w:tc>
          <w:tcPr>
            <w:tcW w:w="1864" w:type="dxa"/>
            <w:noWrap/>
            <w:vAlign w:val="center"/>
          </w:tcPr>
          <w:p w14:paraId="498B9B82">
            <w:pPr>
              <w:pStyle w:val="41"/>
              <w:rPr>
                <w:color w:val="auto"/>
                <w:highlight w:val="none"/>
              </w:rPr>
            </w:pPr>
            <w:r>
              <w:rPr>
                <w:color w:val="auto"/>
                <w:highlight w:val="none"/>
              </w:rPr>
              <w:t>268.09</w:t>
            </w:r>
          </w:p>
        </w:tc>
      </w:tr>
      <w:tr w14:paraId="7F2B17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39F33544">
            <w:pPr>
              <w:pStyle w:val="41"/>
              <w:rPr>
                <w:color w:val="auto"/>
                <w:highlight w:val="none"/>
              </w:rPr>
            </w:pPr>
            <w:r>
              <w:rPr>
                <w:color w:val="auto"/>
                <w:highlight w:val="none"/>
              </w:rPr>
              <w:t>6</w:t>
            </w:r>
          </w:p>
        </w:tc>
        <w:tc>
          <w:tcPr>
            <w:tcW w:w="2467" w:type="dxa"/>
            <w:noWrap/>
            <w:vAlign w:val="center"/>
          </w:tcPr>
          <w:p w14:paraId="424F550F">
            <w:pPr>
              <w:pStyle w:val="41"/>
              <w:rPr>
                <w:color w:val="auto"/>
                <w:highlight w:val="none"/>
              </w:rPr>
            </w:pPr>
            <w:r>
              <w:rPr>
                <w:color w:val="auto"/>
                <w:highlight w:val="none"/>
              </w:rPr>
              <w:t>125</w:t>
            </w:r>
          </w:p>
        </w:tc>
        <w:tc>
          <w:tcPr>
            <w:tcW w:w="3012" w:type="dxa"/>
            <w:noWrap/>
            <w:vAlign w:val="center"/>
          </w:tcPr>
          <w:p w14:paraId="787EF4BE">
            <w:pPr>
              <w:pStyle w:val="41"/>
              <w:rPr>
                <w:color w:val="auto"/>
                <w:highlight w:val="none"/>
              </w:rPr>
            </w:pPr>
            <w:r>
              <w:rPr>
                <w:color w:val="auto"/>
                <w:highlight w:val="none"/>
              </w:rPr>
              <w:t>2.27</w:t>
            </w:r>
          </w:p>
        </w:tc>
        <w:tc>
          <w:tcPr>
            <w:tcW w:w="1864" w:type="dxa"/>
            <w:noWrap/>
            <w:vAlign w:val="center"/>
          </w:tcPr>
          <w:p w14:paraId="39800420">
            <w:pPr>
              <w:pStyle w:val="41"/>
              <w:rPr>
                <w:color w:val="auto"/>
                <w:highlight w:val="none"/>
              </w:rPr>
            </w:pPr>
            <w:r>
              <w:rPr>
                <w:color w:val="auto"/>
                <w:highlight w:val="none"/>
              </w:rPr>
              <w:t>504.44</w:t>
            </w:r>
          </w:p>
        </w:tc>
      </w:tr>
      <w:tr w14:paraId="3EA82F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3320C00B">
            <w:pPr>
              <w:pStyle w:val="41"/>
              <w:rPr>
                <w:color w:val="auto"/>
                <w:highlight w:val="none"/>
              </w:rPr>
            </w:pPr>
            <w:r>
              <w:rPr>
                <w:color w:val="auto"/>
                <w:highlight w:val="none"/>
              </w:rPr>
              <w:t>7</w:t>
            </w:r>
          </w:p>
        </w:tc>
        <w:tc>
          <w:tcPr>
            <w:tcW w:w="2467" w:type="dxa"/>
            <w:noWrap/>
            <w:vAlign w:val="center"/>
          </w:tcPr>
          <w:p w14:paraId="0A7429F6">
            <w:pPr>
              <w:pStyle w:val="41"/>
              <w:rPr>
                <w:color w:val="auto"/>
                <w:highlight w:val="none"/>
              </w:rPr>
            </w:pPr>
            <w:r>
              <w:rPr>
                <w:color w:val="auto"/>
                <w:highlight w:val="none"/>
              </w:rPr>
              <w:t>150</w:t>
            </w:r>
          </w:p>
        </w:tc>
        <w:tc>
          <w:tcPr>
            <w:tcW w:w="3012" w:type="dxa"/>
            <w:noWrap/>
            <w:vAlign w:val="center"/>
          </w:tcPr>
          <w:p w14:paraId="257A6C2E">
            <w:pPr>
              <w:pStyle w:val="41"/>
              <w:rPr>
                <w:color w:val="auto"/>
                <w:highlight w:val="none"/>
              </w:rPr>
            </w:pPr>
            <w:r>
              <w:rPr>
                <w:color w:val="auto"/>
                <w:highlight w:val="none"/>
              </w:rPr>
              <w:t>3.5321</w:t>
            </w:r>
          </w:p>
        </w:tc>
        <w:tc>
          <w:tcPr>
            <w:tcW w:w="1864" w:type="dxa"/>
            <w:noWrap/>
            <w:vAlign w:val="center"/>
          </w:tcPr>
          <w:p w14:paraId="6494E1D2">
            <w:pPr>
              <w:pStyle w:val="41"/>
              <w:rPr>
                <w:color w:val="auto"/>
                <w:highlight w:val="none"/>
              </w:rPr>
            </w:pPr>
            <w:r>
              <w:rPr>
                <w:color w:val="auto"/>
                <w:highlight w:val="none"/>
              </w:rPr>
              <w:t>784.91</w:t>
            </w:r>
          </w:p>
        </w:tc>
      </w:tr>
      <w:tr w14:paraId="68735D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5535DEA9">
            <w:pPr>
              <w:pStyle w:val="41"/>
              <w:rPr>
                <w:color w:val="auto"/>
                <w:highlight w:val="none"/>
              </w:rPr>
            </w:pPr>
            <w:r>
              <w:rPr>
                <w:color w:val="auto"/>
                <w:highlight w:val="none"/>
              </w:rPr>
              <w:t>8</w:t>
            </w:r>
          </w:p>
        </w:tc>
        <w:tc>
          <w:tcPr>
            <w:tcW w:w="2467" w:type="dxa"/>
            <w:noWrap/>
            <w:vAlign w:val="center"/>
          </w:tcPr>
          <w:p w14:paraId="0EABE572">
            <w:pPr>
              <w:pStyle w:val="41"/>
              <w:rPr>
                <w:color w:val="auto"/>
                <w:highlight w:val="none"/>
              </w:rPr>
            </w:pPr>
            <w:r>
              <w:rPr>
                <w:color w:val="auto"/>
                <w:highlight w:val="none"/>
              </w:rPr>
              <w:t>175</w:t>
            </w:r>
          </w:p>
        </w:tc>
        <w:tc>
          <w:tcPr>
            <w:tcW w:w="3012" w:type="dxa"/>
            <w:noWrap/>
            <w:vAlign w:val="center"/>
          </w:tcPr>
          <w:p w14:paraId="738DF70A">
            <w:pPr>
              <w:pStyle w:val="41"/>
              <w:rPr>
                <w:color w:val="auto"/>
                <w:highlight w:val="none"/>
              </w:rPr>
            </w:pPr>
            <w:r>
              <w:rPr>
                <w:color w:val="auto"/>
                <w:highlight w:val="none"/>
              </w:rPr>
              <w:t>4.066</w:t>
            </w:r>
          </w:p>
        </w:tc>
        <w:tc>
          <w:tcPr>
            <w:tcW w:w="1864" w:type="dxa"/>
            <w:noWrap/>
            <w:vAlign w:val="center"/>
          </w:tcPr>
          <w:p w14:paraId="284B366B">
            <w:pPr>
              <w:pStyle w:val="41"/>
              <w:rPr>
                <w:color w:val="auto"/>
                <w:highlight w:val="none"/>
              </w:rPr>
            </w:pPr>
            <w:r>
              <w:rPr>
                <w:color w:val="auto"/>
                <w:highlight w:val="none"/>
              </w:rPr>
              <w:t>903.56</w:t>
            </w:r>
          </w:p>
        </w:tc>
      </w:tr>
      <w:tr w14:paraId="765F5E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2CC5555A">
            <w:pPr>
              <w:pStyle w:val="41"/>
              <w:rPr>
                <w:color w:val="auto"/>
                <w:highlight w:val="none"/>
              </w:rPr>
            </w:pPr>
            <w:r>
              <w:rPr>
                <w:color w:val="auto"/>
                <w:highlight w:val="none"/>
              </w:rPr>
              <w:t>9</w:t>
            </w:r>
          </w:p>
        </w:tc>
        <w:tc>
          <w:tcPr>
            <w:tcW w:w="2467" w:type="dxa"/>
            <w:noWrap/>
            <w:vAlign w:val="center"/>
          </w:tcPr>
          <w:p w14:paraId="296815D1">
            <w:pPr>
              <w:pStyle w:val="41"/>
              <w:rPr>
                <w:color w:val="auto"/>
                <w:highlight w:val="none"/>
              </w:rPr>
            </w:pPr>
            <w:r>
              <w:rPr>
                <w:color w:val="auto"/>
                <w:highlight w:val="none"/>
              </w:rPr>
              <w:t>200</w:t>
            </w:r>
          </w:p>
        </w:tc>
        <w:tc>
          <w:tcPr>
            <w:tcW w:w="3012" w:type="dxa"/>
            <w:noWrap/>
            <w:vAlign w:val="center"/>
          </w:tcPr>
          <w:p w14:paraId="1919CEA4">
            <w:pPr>
              <w:pStyle w:val="41"/>
              <w:rPr>
                <w:color w:val="auto"/>
                <w:highlight w:val="none"/>
              </w:rPr>
            </w:pPr>
            <w:r>
              <w:rPr>
                <w:color w:val="auto"/>
                <w:highlight w:val="none"/>
              </w:rPr>
              <w:t>4.0999</w:t>
            </w:r>
          </w:p>
        </w:tc>
        <w:tc>
          <w:tcPr>
            <w:tcW w:w="1864" w:type="dxa"/>
            <w:noWrap/>
            <w:vAlign w:val="center"/>
          </w:tcPr>
          <w:p w14:paraId="0E1929A5">
            <w:pPr>
              <w:pStyle w:val="41"/>
              <w:rPr>
                <w:color w:val="auto"/>
                <w:highlight w:val="none"/>
              </w:rPr>
            </w:pPr>
            <w:r>
              <w:rPr>
                <w:color w:val="auto"/>
                <w:highlight w:val="none"/>
              </w:rPr>
              <w:t>911.09</w:t>
            </w:r>
          </w:p>
        </w:tc>
      </w:tr>
      <w:tr w14:paraId="7D12A8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43A7307F">
            <w:pPr>
              <w:pStyle w:val="41"/>
              <w:rPr>
                <w:color w:val="auto"/>
                <w:highlight w:val="none"/>
              </w:rPr>
            </w:pPr>
            <w:r>
              <w:rPr>
                <w:color w:val="auto"/>
                <w:highlight w:val="none"/>
              </w:rPr>
              <w:t>10</w:t>
            </w:r>
          </w:p>
        </w:tc>
        <w:tc>
          <w:tcPr>
            <w:tcW w:w="2467" w:type="dxa"/>
            <w:noWrap/>
            <w:vAlign w:val="center"/>
          </w:tcPr>
          <w:p w14:paraId="7FFC5F02">
            <w:pPr>
              <w:pStyle w:val="41"/>
              <w:rPr>
                <w:color w:val="auto"/>
                <w:highlight w:val="none"/>
              </w:rPr>
            </w:pPr>
            <w:r>
              <w:rPr>
                <w:color w:val="auto"/>
                <w:highlight w:val="none"/>
              </w:rPr>
              <w:t>225</w:t>
            </w:r>
          </w:p>
        </w:tc>
        <w:tc>
          <w:tcPr>
            <w:tcW w:w="3012" w:type="dxa"/>
            <w:noWrap/>
            <w:vAlign w:val="center"/>
          </w:tcPr>
          <w:p w14:paraId="0FD5DEFE">
            <w:pPr>
              <w:pStyle w:val="41"/>
              <w:rPr>
                <w:color w:val="auto"/>
                <w:highlight w:val="none"/>
              </w:rPr>
            </w:pPr>
            <w:r>
              <w:rPr>
                <w:color w:val="auto"/>
                <w:highlight w:val="none"/>
              </w:rPr>
              <w:t>4.1854</w:t>
            </w:r>
          </w:p>
        </w:tc>
        <w:tc>
          <w:tcPr>
            <w:tcW w:w="1864" w:type="dxa"/>
            <w:noWrap/>
            <w:vAlign w:val="center"/>
          </w:tcPr>
          <w:p w14:paraId="1AD87524">
            <w:pPr>
              <w:pStyle w:val="41"/>
              <w:rPr>
                <w:color w:val="auto"/>
                <w:highlight w:val="none"/>
              </w:rPr>
            </w:pPr>
            <w:r>
              <w:rPr>
                <w:color w:val="auto"/>
                <w:highlight w:val="none"/>
              </w:rPr>
              <w:t>930.09</w:t>
            </w:r>
          </w:p>
        </w:tc>
      </w:tr>
      <w:tr w14:paraId="293FC3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4FE13401">
            <w:pPr>
              <w:pStyle w:val="41"/>
              <w:rPr>
                <w:color w:val="auto"/>
                <w:highlight w:val="none"/>
              </w:rPr>
            </w:pPr>
            <w:r>
              <w:rPr>
                <w:color w:val="auto"/>
                <w:highlight w:val="none"/>
              </w:rPr>
              <w:t>11</w:t>
            </w:r>
          </w:p>
        </w:tc>
        <w:tc>
          <w:tcPr>
            <w:tcW w:w="2467" w:type="dxa"/>
            <w:noWrap/>
            <w:vAlign w:val="center"/>
          </w:tcPr>
          <w:p w14:paraId="0D94EB40">
            <w:pPr>
              <w:pStyle w:val="41"/>
              <w:rPr>
                <w:color w:val="auto"/>
                <w:highlight w:val="none"/>
              </w:rPr>
            </w:pPr>
            <w:r>
              <w:rPr>
                <w:color w:val="auto"/>
                <w:highlight w:val="none"/>
              </w:rPr>
              <w:t>250</w:t>
            </w:r>
          </w:p>
        </w:tc>
        <w:tc>
          <w:tcPr>
            <w:tcW w:w="3012" w:type="dxa"/>
            <w:noWrap/>
            <w:vAlign w:val="center"/>
          </w:tcPr>
          <w:p w14:paraId="2511A468">
            <w:pPr>
              <w:pStyle w:val="41"/>
              <w:rPr>
                <w:color w:val="auto"/>
                <w:highlight w:val="none"/>
              </w:rPr>
            </w:pPr>
            <w:r>
              <w:rPr>
                <w:color w:val="auto"/>
                <w:highlight w:val="none"/>
              </w:rPr>
              <w:t>4.6024</w:t>
            </w:r>
          </w:p>
        </w:tc>
        <w:tc>
          <w:tcPr>
            <w:tcW w:w="1864" w:type="dxa"/>
            <w:noWrap/>
            <w:vAlign w:val="center"/>
          </w:tcPr>
          <w:p w14:paraId="30DCFF6D">
            <w:pPr>
              <w:pStyle w:val="41"/>
              <w:rPr>
                <w:color w:val="auto"/>
                <w:highlight w:val="none"/>
              </w:rPr>
            </w:pPr>
            <w:r>
              <w:rPr>
                <w:color w:val="auto"/>
                <w:highlight w:val="none"/>
              </w:rPr>
              <w:t>1022.76</w:t>
            </w:r>
          </w:p>
        </w:tc>
      </w:tr>
      <w:tr w14:paraId="2D6A8A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0E429DD7">
            <w:pPr>
              <w:pStyle w:val="41"/>
              <w:rPr>
                <w:color w:val="auto"/>
                <w:highlight w:val="none"/>
              </w:rPr>
            </w:pPr>
            <w:r>
              <w:rPr>
                <w:color w:val="auto"/>
                <w:highlight w:val="none"/>
              </w:rPr>
              <w:t>12</w:t>
            </w:r>
          </w:p>
        </w:tc>
        <w:tc>
          <w:tcPr>
            <w:tcW w:w="2467" w:type="dxa"/>
            <w:noWrap/>
            <w:vAlign w:val="center"/>
          </w:tcPr>
          <w:p w14:paraId="2CADFA5A">
            <w:pPr>
              <w:pStyle w:val="41"/>
              <w:rPr>
                <w:color w:val="auto"/>
                <w:highlight w:val="none"/>
              </w:rPr>
            </w:pPr>
            <w:r>
              <w:rPr>
                <w:color w:val="auto"/>
                <w:highlight w:val="none"/>
              </w:rPr>
              <w:t>275</w:t>
            </w:r>
          </w:p>
        </w:tc>
        <w:tc>
          <w:tcPr>
            <w:tcW w:w="3012" w:type="dxa"/>
            <w:noWrap/>
            <w:vAlign w:val="center"/>
          </w:tcPr>
          <w:p w14:paraId="296A1FD8">
            <w:pPr>
              <w:pStyle w:val="41"/>
              <w:rPr>
                <w:color w:val="auto"/>
                <w:highlight w:val="none"/>
              </w:rPr>
            </w:pPr>
            <w:r>
              <w:rPr>
                <w:color w:val="auto"/>
                <w:highlight w:val="none"/>
              </w:rPr>
              <w:t>4.683701</w:t>
            </w:r>
          </w:p>
        </w:tc>
        <w:tc>
          <w:tcPr>
            <w:tcW w:w="1864" w:type="dxa"/>
            <w:noWrap/>
            <w:vAlign w:val="center"/>
          </w:tcPr>
          <w:p w14:paraId="67547071">
            <w:pPr>
              <w:pStyle w:val="41"/>
              <w:rPr>
                <w:color w:val="auto"/>
                <w:highlight w:val="none"/>
              </w:rPr>
            </w:pPr>
            <w:r>
              <w:rPr>
                <w:color w:val="auto"/>
                <w:highlight w:val="none"/>
              </w:rPr>
              <w:t>1040.82</w:t>
            </w:r>
          </w:p>
        </w:tc>
      </w:tr>
      <w:tr w14:paraId="22D3D6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6B41B6C1">
            <w:pPr>
              <w:pStyle w:val="41"/>
              <w:rPr>
                <w:color w:val="auto"/>
                <w:highlight w:val="none"/>
              </w:rPr>
            </w:pPr>
            <w:r>
              <w:rPr>
                <w:color w:val="auto"/>
                <w:highlight w:val="none"/>
              </w:rPr>
              <w:t>13</w:t>
            </w:r>
          </w:p>
        </w:tc>
        <w:tc>
          <w:tcPr>
            <w:tcW w:w="2467" w:type="dxa"/>
            <w:noWrap/>
            <w:vAlign w:val="center"/>
          </w:tcPr>
          <w:p w14:paraId="530CEEBE">
            <w:pPr>
              <w:pStyle w:val="41"/>
              <w:rPr>
                <w:color w:val="auto"/>
                <w:highlight w:val="none"/>
              </w:rPr>
            </w:pPr>
            <w:r>
              <w:rPr>
                <w:color w:val="auto"/>
                <w:highlight w:val="none"/>
              </w:rPr>
              <w:t>284</w:t>
            </w:r>
          </w:p>
        </w:tc>
        <w:tc>
          <w:tcPr>
            <w:tcW w:w="3012" w:type="dxa"/>
            <w:noWrap/>
            <w:vAlign w:val="center"/>
          </w:tcPr>
          <w:p w14:paraId="322FC6C4">
            <w:pPr>
              <w:pStyle w:val="41"/>
              <w:rPr>
                <w:color w:val="auto"/>
                <w:highlight w:val="none"/>
              </w:rPr>
            </w:pPr>
            <w:r>
              <w:rPr>
                <w:color w:val="auto"/>
                <w:highlight w:val="none"/>
              </w:rPr>
              <w:t>4.6885</w:t>
            </w:r>
          </w:p>
        </w:tc>
        <w:tc>
          <w:tcPr>
            <w:tcW w:w="1864" w:type="dxa"/>
            <w:noWrap/>
            <w:vAlign w:val="center"/>
          </w:tcPr>
          <w:p w14:paraId="6DE91B93">
            <w:pPr>
              <w:pStyle w:val="41"/>
              <w:rPr>
                <w:color w:val="auto"/>
                <w:highlight w:val="none"/>
              </w:rPr>
            </w:pPr>
            <w:r>
              <w:rPr>
                <w:color w:val="auto"/>
                <w:highlight w:val="none"/>
              </w:rPr>
              <w:t>1041.89</w:t>
            </w:r>
          </w:p>
        </w:tc>
      </w:tr>
      <w:tr w14:paraId="5B41C8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33D70A51">
            <w:pPr>
              <w:pStyle w:val="41"/>
              <w:rPr>
                <w:color w:val="auto"/>
                <w:highlight w:val="none"/>
              </w:rPr>
            </w:pPr>
            <w:r>
              <w:rPr>
                <w:color w:val="auto"/>
                <w:highlight w:val="none"/>
              </w:rPr>
              <w:t>14</w:t>
            </w:r>
          </w:p>
        </w:tc>
        <w:tc>
          <w:tcPr>
            <w:tcW w:w="2467" w:type="dxa"/>
            <w:noWrap/>
            <w:vAlign w:val="center"/>
          </w:tcPr>
          <w:p w14:paraId="5BB387A9">
            <w:pPr>
              <w:pStyle w:val="41"/>
              <w:rPr>
                <w:color w:val="auto"/>
                <w:highlight w:val="none"/>
              </w:rPr>
            </w:pPr>
            <w:r>
              <w:rPr>
                <w:color w:val="auto"/>
                <w:highlight w:val="none"/>
              </w:rPr>
              <w:t>300</w:t>
            </w:r>
          </w:p>
        </w:tc>
        <w:tc>
          <w:tcPr>
            <w:tcW w:w="3012" w:type="dxa"/>
            <w:noWrap/>
            <w:vAlign w:val="center"/>
          </w:tcPr>
          <w:p w14:paraId="11684E1E">
            <w:pPr>
              <w:pStyle w:val="41"/>
              <w:rPr>
                <w:color w:val="auto"/>
                <w:highlight w:val="none"/>
              </w:rPr>
            </w:pPr>
            <w:r>
              <w:rPr>
                <w:color w:val="auto"/>
                <w:highlight w:val="none"/>
              </w:rPr>
              <w:t>4.6727</w:t>
            </w:r>
          </w:p>
        </w:tc>
        <w:tc>
          <w:tcPr>
            <w:tcW w:w="1864" w:type="dxa"/>
            <w:noWrap/>
            <w:vAlign w:val="center"/>
          </w:tcPr>
          <w:p w14:paraId="698981B4">
            <w:pPr>
              <w:pStyle w:val="41"/>
              <w:rPr>
                <w:color w:val="auto"/>
                <w:highlight w:val="none"/>
              </w:rPr>
            </w:pPr>
            <w:r>
              <w:rPr>
                <w:color w:val="auto"/>
                <w:highlight w:val="none"/>
              </w:rPr>
              <w:t>1038.38</w:t>
            </w:r>
          </w:p>
        </w:tc>
      </w:tr>
      <w:tr w14:paraId="48B88B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05A4AFFC">
            <w:pPr>
              <w:pStyle w:val="41"/>
              <w:rPr>
                <w:color w:val="auto"/>
                <w:highlight w:val="none"/>
              </w:rPr>
            </w:pPr>
            <w:r>
              <w:rPr>
                <w:color w:val="auto"/>
                <w:highlight w:val="none"/>
              </w:rPr>
              <w:t>15</w:t>
            </w:r>
          </w:p>
        </w:tc>
        <w:tc>
          <w:tcPr>
            <w:tcW w:w="2467" w:type="dxa"/>
            <w:noWrap/>
            <w:vAlign w:val="center"/>
          </w:tcPr>
          <w:p w14:paraId="1A00036E">
            <w:pPr>
              <w:pStyle w:val="41"/>
              <w:rPr>
                <w:color w:val="auto"/>
                <w:highlight w:val="none"/>
              </w:rPr>
            </w:pPr>
            <w:r>
              <w:rPr>
                <w:color w:val="auto"/>
                <w:highlight w:val="none"/>
              </w:rPr>
              <w:t>325</w:t>
            </w:r>
          </w:p>
        </w:tc>
        <w:tc>
          <w:tcPr>
            <w:tcW w:w="3012" w:type="dxa"/>
            <w:noWrap/>
            <w:vAlign w:val="center"/>
          </w:tcPr>
          <w:p w14:paraId="0D90653C">
            <w:pPr>
              <w:pStyle w:val="41"/>
              <w:rPr>
                <w:color w:val="auto"/>
                <w:highlight w:val="none"/>
              </w:rPr>
            </w:pPr>
            <w:r>
              <w:rPr>
                <w:color w:val="auto"/>
                <w:highlight w:val="none"/>
              </w:rPr>
              <w:t>4.6008</w:t>
            </w:r>
          </w:p>
        </w:tc>
        <w:tc>
          <w:tcPr>
            <w:tcW w:w="1864" w:type="dxa"/>
            <w:noWrap/>
            <w:vAlign w:val="center"/>
          </w:tcPr>
          <w:p w14:paraId="77887334">
            <w:pPr>
              <w:pStyle w:val="41"/>
              <w:rPr>
                <w:color w:val="auto"/>
                <w:highlight w:val="none"/>
              </w:rPr>
            </w:pPr>
            <w:r>
              <w:rPr>
                <w:color w:val="auto"/>
                <w:highlight w:val="none"/>
              </w:rPr>
              <w:t>1022.4</w:t>
            </w:r>
          </w:p>
        </w:tc>
      </w:tr>
      <w:tr w14:paraId="0339F7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6ADADF1F">
            <w:pPr>
              <w:pStyle w:val="41"/>
              <w:rPr>
                <w:color w:val="auto"/>
                <w:highlight w:val="none"/>
              </w:rPr>
            </w:pPr>
            <w:r>
              <w:rPr>
                <w:color w:val="auto"/>
                <w:highlight w:val="none"/>
              </w:rPr>
              <w:t>16</w:t>
            </w:r>
          </w:p>
        </w:tc>
        <w:tc>
          <w:tcPr>
            <w:tcW w:w="2467" w:type="dxa"/>
            <w:noWrap/>
            <w:vAlign w:val="center"/>
          </w:tcPr>
          <w:p w14:paraId="69AEA4CA">
            <w:pPr>
              <w:pStyle w:val="41"/>
              <w:rPr>
                <w:color w:val="auto"/>
                <w:highlight w:val="none"/>
              </w:rPr>
            </w:pPr>
            <w:r>
              <w:rPr>
                <w:color w:val="auto"/>
                <w:highlight w:val="none"/>
              </w:rPr>
              <w:t>350</w:t>
            </w:r>
          </w:p>
        </w:tc>
        <w:tc>
          <w:tcPr>
            <w:tcW w:w="3012" w:type="dxa"/>
            <w:noWrap/>
            <w:vAlign w:val="center"/>
          </w:tcPr>
          <w:p w14:paraId="6BF4D563">
            <w:pPr>
              <w:pStyle w:val="41"/>
              <w:rPr>
                <w:color w:val="auto"/>
                <w:highlight w:val="none"/>
              </w:rPr>
            </w:pPr>
            <w:r>
              <w:rPr>
                <w:color w:val="auto"/>
                <w:highlight w:val="none"/>
              </w:rPr>
              <w:t>4.49</w:t>
            </w:r>
          </w:p>
        </w:tc>
        <w:tc>
          <w:tcPr>
            <w:tcW w:w="1864" w:type="dxa"/>
            <w:noWrap/>
            <w:vAlign w:val="center"/>
          </w:tcPr>
          <w:p w14:paraId="2AAB2868">
            <w:pPr>
              <w:pStyle w:val="41"/>
              <w:rPr>
                <w:color w:val="auto"/>
                <w:highlight w:val="none"/>
              </w:rPr>
            </w:pPr>
            <w:r>
              <w:rPr>
                <w:color w:val="auto"/>
                <w:highlight w:val="none"/>
              </w:rPr>
              <w:t>997.78</w:t>
            </w:r>
          </w:p>
        </w:tc>
      </w:tr>
      <w:tr w14:paraId="78FAF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61E8DFEA">
            <w:pPr>
              <w:pStyle w:val="41"/>
              <w:rPr>
                <w:color w:val="auto"/>
                <w:highlight w:val="none"/>
              </w:rPr>
            </w:pPr>
            <w:r>
              <w:rPr>
                <w:color w:val="auto"/>
                <w:highlight w:val="none"/>
              </w:rPr>
              <w:t>17</w:t>
            </w:r>
          </w:p>
        </w:tc>
        <w:tc>
          <w:tcPr>
            <w:tcW w:w="2467" w:type="dxa"/>
            <w:noWrap/>
            <w:vAlign w:val="center"/>
          </w:tcPr>
          <w:p w14:paraId="3DE30347">
            <w:pPr>
              <w:pStyle w:val="41"/>
              <w:rPr>
                <w:color w:val="auto"/>
                <w:highlight w:val="none"/>
              </w:rPr>
            </w:pPr>
            <w:r>
              <w:rPr>
                <w:color w:val="auto"/>
                <w:highlight w:val="none"/>
              </w:rPr>
              <w:t>375</w:t>
            </w:r>
          </w:p>
        </w:tc>
        <w:tc>
          <w:tcPr>
            <w:tcW w:w="3012" w:type="dxa"/>
            <w:noWrap/>
            <w:vAlign w:val="center"/>
          </w:tcPr>
          <w:p w14:paraId="4901A185">
            <w:pPr>
              <w:pStyle w:val="41"/>
              <w:rPr>
                <w:color w:val="auto"/>
                <w:highlight w:val="none"/>
              </w:rPr>
            </w:pPr>
            <w:r>
              <w:rPr>
                <w:color w:val="auto"/>
                <w:highlight w:val="none"/>
              </w:rPr>
              <w:t>4.356</w:t>
            </w:r>
          </w:p>
        </w:tc>
        <w:tc>
          <w:tcPr>
            <w:tcW w:w="1864" w:type="dxa"/>
            <w:noWrap/>
            <w:vAlign w:val="center"/>
          </w:tcPr>
          <w:p w14:paraId="5E9E4647">
            <w:pPr>
              <w:pStyle w:val="41"/>
              <w:rPr>
                <w:color w:val="auto"/>
                <w:highlight w:val="none"/>
              </w:rPr>
            </w:pPr>
            <w:r>
              <w:rPr>
                <w:color w:val="auto"/>
                <w:highlight w:val="none"/>
              </w:rPr>
              <w:t>968</w:t>
            </w:r>
          </w:p>
        </w:tc>
      </w:tr>
      <w:tr w14:paraId="05778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501F95A4">
            <w:pPr>
              <w:pStyle w:val="41"/>
              <w:rPr>
                <w:color w:val="auto"/>
                <w:highlight w:val="none"/>
              </w:rPr>
            </w:pPr>
            <w:r>
              <w:rPr>
                <w:color w:val="auto"/>
                <w:highlight w:val="none"/>
              </w:rPr>
              <w:t>18</w:t>
            </w:r>
          </w:p>
        </w:tc>
        <w:tc>
          <w:tcPr>
            <w:tcW w:w="2467" w:type="dxa"/>
            <w:noWrap/>
            <w:vAlign w:val="center"/>
          </w:tcPr>
          <w:p w14:paraId="66BC886C">
            <w:pPr>
              <w:pStyle w:val="41"/>
              <w:rPr>
                <w:color w:val="auto"/>
                <w:highlight w:val="none"/>
              </w:rPr>
            </w:pPr>
            <w:r>
              <w:rPr>
                <w:color w:val="auto"/>
                <w:highlight w:val="none"/>
              </w:rPr>
              <w:t>400</w:t>
            </w:r>
          </w:p>
        </w:tc>
        <w:tc>
          <w:tcPr>
            <w:tcW w:w="3012" w:type="dxa"/>
            <w:noWrap/>
            <w:vAlign w:val="center"/>
          </w:tcPr>
          <w:p w14:paraId="69CA7AE3">
            <w:pPr>
              <w:pStyle w:val="41"/>
              <w:rPr>
                <w:color w:val="auto"/>
                <w:highlight w:val="none"/>
              </w:rPr>
            </w:pPr>
            <w:r>
              <w:rPr>
                <w:color w:val="auto"/>
                <w:highlight w:val="none"/>
              </w:rPr>
              <w:t>4.2091</w:t>
            </w:r>
          </w:p>
        </w:tc>
        <w:tc>
          <w:tcPr>
            <w:tcW w:w="1864" w:type="dxa"/>
            <w:noWrap/>
            <w:vAlign w:val="center"/>
          </w:tcPr>
          <w:p w14:paraId="17D946A3">
            <w:pPr>
              <w:pStyle w:val="41"/>
              <w:rPr>
                <w:color w:val="auto"/>
                <w:highlight w:val="none"/>
              </w:rPr>
            </w:pPr>
            <w:r>
              <w:rPr>
                <w:color w:val="auto"/>
                <w:highlight w:val="none"/>
              </w:rPr>
              <w:t>935.36</w:t>
            </w:r>
          </w:p>
        </w:tc>
      </w:tr>
      <w:tr w14:paraId="7DF5CD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562E5388">
            <w:pPr>
              <w:pStyle w:val="41"/>
              <w:rPr>
                <w:color w:val="auto"/>
                <w:highlight w:val="none"/>
              </w:rPr>
            </w:pPr>
            <w:r>
              <w:rPr>
                <w:color w:val="auto"/>
                <w:highlight w:val="none"/>
              </w:rPr>
              <w:t>19</w:t>
            </w:r>
          </w:p>
        </w:tc>
        <w:tc>
          <w:tcPr>
            <w:tcW w:w="2467" w:type="dxa"/>
            <w:noWrap/>
            <w:vAlign w:val="center"/>
          </w:tcPr>
          <w:p w14:paraId="4A47798C">
            <w:pPr>
              <w:pStyle w:val="41"/>
              <w:rPr>
                <w:color w:val="auto"/>
                <w:highlight w:val="none"/>
              </w:rPr>
            </w:pPr>
            <w:r>
              <w:rPr>
                <w:color w:val="auto"/>
                <w:highlight w:val="none"/>
              </w:rPr>
              <w:t>425</w:t>
            </w:r>
          </w:p>
        </w:tc>
        <w:tc>
          <w:tcPr>
            <w:tcW w:w="3012" w:type="dxa"/>
            <w:noWrap/>
            <w:vAlign w:val="center"/>
          </w:tcPr>
          <w:p w14:paraId="330ED457">
            <w:pPr>
              <w:pStyle w:val="41"/>
              <w:rPr>
                <w:color w:val="auto"/>
                <w:highlight w:val="none"/>
              </w:rPr>
            </w:pPr>
            <w:r>
              <w:rPr>
                <w:color w:val="auto"/>
                <w:highlight w:val="none"/>
              </w:rPr>
              <w:t>4.0564</w:t>
            </w:r>
          </w:p>
        </w:tc>
        <w:tc>
          <w:tcPr>
            <w:tcW w:w="1864" w:type="dxa"/>
            <w:noWrap/>
            <w:vAlign w:val="center"/>
          </w:tcPr>
          <w:p w14:paraId="5AF4D755">
            <w:pPr>
              <w:pStyle w:val="41"/>
              <w:rPr>
                <w:color w:val="auto"/>
                <w:highlight w:val="none"/>
              </w:rPr>
            </w:pPr>
            <w:r>
              <w:rPr>
                <w:color w:val="auto"/>
                <w:highlight w:val="none"/>
              </w:rPr>
              <w:t>901.42</w:t>
            </w:r>
          </w:p>
        </w:tc>
      </w:tr>
      <w:tr w14:paraId="482F81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59E880E3">
            <w:pPr>
              <w:pStyle w:val="41"/>
              <w:rPr>
                <w:color w:val="auto"/>
                <w:highlight w:val="none"/>
              </w:rPr>
            </w:pPr>
            <w:r>
              <w:rPr>
                <w:color w:val="auto"/>
                <w:highlight w:val="none"/>
              </w:rPr>
              <w:t>20</w:t>
            </w:r>
          </w:p>
        </w:tc>
        <w:tc>
          <w:tcPr>
            <w:tcW w:w="2467" w:type="dxa"/>
            <w:noWrap/>
            <w:vAlign w:val="center"/>
          </w:tcPr>
          <w:p w14:paraId="47A57562">
            <w:pPr>
              <w:pStyle w:val="41"/>
              <w:rPr>
                <w:color w:val="auto"/>
                <w:highlight w:val="none"/>
              </w:rPr>
            </w:pPr>
            <w:r>
              <w:rPr>
                <w:color w:val="auto"/>
                <w:highlight w:val="none"/>
              </w:rPr>
              <w:t>450</w:t>
            </w:r>
          </w:p>
        </w:tc>
        <w:tc>
          <w:tcPr>
            <w:tcW w:w="3012" w:type="dxa"/>
            <w:noWrap/>
            <w:vAlign w:val="center"/>
          </w:tcPr>
          <w:p w14:paraId="3195002D">
            <w:pPr>
              <w:pStyle w:val="41"/>
              <w:rPr>
                <w:color w:val="auto"/>
                <w:highlight w:val="none"/>
              </w:rPr>
            </w:pPr>
            <w:r>
              <w:rPr>
                <w:color w:val="auto"/>
                <w:highlight w:val="none"/>
              </w:rPr>
              <w:t>3.9028</w:t>
            </w:r>
          </w:p>
        </w:tc>
        <w:tc>
          <w:tcPr>
            <w:tcW w:w="1864" w:type="dxa"/>
            <w:noWrap/>
            <w:vAlign w:val="center"/>
          </w:tcPr>
          <w:p w14:paraId="3C349471">
            <w:pPr>
              <w:pStyle w:val="41"/>
              <w:rPr>
                <w:color w:val="auto"/>
                <w:highlight w:val="none"/>
              </w:rPr>
            </w:pPr>
            <w:r>
              <w:rPr>
                <w:color w:val="auto"/>
                <w:highlight w:val="none"/>
              </w:rPr>
              <w:t>867.29</w:t>
            </w:r>
          </w:p>
        </w:tc>
      </w:tr>
      <w:tr w14:paraId="0F7F5D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618ACC07">
            <w:pPr>
              <w:pStyle w:val="41"/>
              <w:rPr>
                <w:color w:val="auto"/>
                <w:highlight w:val="none"/>
              </w:rPr>
            </w:pPr>
            <w:r>
              <w:rPr>
                <w:color w:val="auto"/>
                <w:highlight w:val="none"/>
              </w:rPr>
              <w:t>21</w:t>
            </w:r>
          </w:p>
        </w:tc>
        <w:tc>
          <w:tcPr>
            <w:tcW w:w="2467" w:type="dxa"/>
            <w:noWrap/>
            <w:vAlign w:val="center"/>
          </w:tcPr>
          <w:p w14:paraId="24C20A67">
            <w:pPr>
              <w:pStyle w:val="41"/>
              <w:rPr>
                <w:color w:val="auto"/>
                <w:highlight w:val="none"/>
              </w:rPr>
            </w:pPr>
            <w:r>
              <w:rPr>
                <w:color w:val="auto"/>
                <w:highlight w:val="none"/>
              </w:rPr>
              <w:t>475</w:t>
            </w:r>
          </w:p>
        </w:tc>
        <w:tc>
          <w:tcPr>
            <w:tcW w:w="3012" w:type="dxa"/>
            <w:noWrap/>
            <w:vAlign w:val="center"/>
          </w:tcPr>
          <w:p w14:paraId="4315CD70">
            <w:pPr>
              <w:pStyle w:val="41"/>
              <w:rPr>
                <w:color w:val="auto"/>
                <w:highlight w:val="none"/>
              </w:rPr>
            </w:pPr>
            <w:r>
              <w:rPr>
                <w:color w:val="auto"/>
                <w:highlight w:val="none"/>
              </w:rPr>
              <w:t>3.7512</w:t>
            </w:r>
          </w:p>
        </w:tc>
        <w:tc>
          <w:tcPr>
            <w:tcW w:w="1864" w:type="dxa"/>
            <w:noWrap/>
            <w:vAlign w:val="center"/>
          </w:tcPr>
          <w:p w14:paraId="3677081F">
            <w:pPr>
              <w:pStyle w:val="41"/>
              <w:rPr>
                <w:color w:val="auto"/>
                <w:highlight w:val="none"/>
              </w:rPr>
            </w:pPr>
            <w:r>
              <w:rPr>
                <w:color w:val="auto"/>
                <w:highlight w:val="none"/>
              </w:rPr>
              <w:t>833.6</w:t>
            </w:r>
          </w:p>
        </w:tc>
      </w:tr>
      <w:tr w14:paraId="1EF700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88" w:type="pct"/>
            <w:noWrap/>
            <w:vAlign w:val="center"/>
          </w:tcPr>
          <w:p w14:paraId="2427B331">
            <w:pPr>
              <w:pStyle w:val="41"/>
              <w:rPr>
                <w:color w:val="auto"/>
                <w:highlight w:val="none"/>
              </w:rPr>
            </w:pPr>
            <w:r>
              <w:rPr>
                <w:color w:val="auto"/>
                <w:highlight w:val="none"/>
              </w:rPr>
              <w:t>22</w:t>
            </w:r>
          </w:p>
        </w:tc>
        <w:tc>
          <w:tcPr>
            <w:tcW w:w="2467" w:type="dxa"/>
            <w:noWrap/>
            <w:vAlign w:val="center"/>
          </w:tcPr>
          <w:p w14:paraId="221218B9">
            <w:pPr>
              <w:pStyle w:val="41"/>
              <w:rPr>
                <w:color w:val="auto"/>
                <w:highlight w:val="none"/>
              </w:rPr>
            </w:pPr>
            <w:r>
              <w:rPr>
                <w:color w:val="auto"/>
                <w:highlight w:val="none"/>
              </w:rPr>
              <w:t>500</w:t>
            </w:r>
          </w:p>
        </w:tc>
        <w:tc>
          <w:tcPr>
            <w:tcW w:w="3012" w:type="dxa"/>
            <w:noWrap/>
            <w:vAlign w:val="center"/>
          </w:tcPr>
          <w:p w14:paraId="2B4B3458">
            <w:pPr>
              <w:pStyle w:val="41"/>
              <w:rPr>
                <w:color w:val="auto"/>
                <w:highlight w:val="none"/>
              </w:rPr>
            </w:pPr>
            <w:r>
              <w:rPr>
                <w:color w:val="auto"/>
                <w:highlight w:val="none"/>
              </w:rPr>
              <w:t>3.6038</w:t>
            </w:r>
          </w:p>
        </w:tc>
        <w:tc>
          <w:tcPr>
            <w:tcW w:w="1864" w:type="dxa"/>
            <w:noWrap/>
            <w:vAlign w:val="center"/>
          </w:tcPr>
          <w:p w14:paraId="7F23E437">
            <w:pPr>
              <w:pStyle w:val="41"/>
              <w:rPr>
                <w:color w:val="auto"/>
                <w:highlight w:val="none"/>
              </w:rPr>
            </w:pPr>
            <w:r>
              <w:rPr>
                <w:color w:val="auto"/>
                <w:highlight w:val="none"/>
              </w:rPr>
              <w:t>800.84</w:t>
            </w:r>
          </w:p>
        </w:tc>
      </w:tr>
    </w:tbl>
    <w:p w14:paraId="04D8258D">
      <w:pPr>
        <w:pStyle w:val="40"/>
        <w:spacing w:before="24" w:after="24"/>
        <w:rPr>
          <w:color w:val="auto"/>
          <w:highlight w:val="none"/>
        </w:rPr>
      </w:pPr>
      <w:r>
        <w:rPr>
          <w:color w:val="auto"/>
          <w:highlight w:val="none"/>
        </w:rPr>
        <w:t>表5.2-</w:t>
      </w:r>
      <w:r>
        <w:rPr>
          <w:rFonts w:hint="eastAsia"/>
          <w:color w:val="auto"/>
          <w:highlight w:val="none"/>
          <w:lang w:val="en-US" w:eastAsia="zh-CN"/>
        </w:rPr>
        <w:t>19</w:t>
      </w:r>
      <w:r>
        <w:rPr>
          <w:color w:val="auto"/>
          <w:highlight w:val="none"/>
        </w:rPr>
        <w:t xml:space="preserve">       非</w:t>
      </w:r>
      <w:r>
        <w:rPr>
          <w:rFonts w:hint="eastAsia"/>
          <w:color w:val="auto"/>
          <w:highlight w:val="none"/>
          <w:lang w:eastAsia="zh-CN"/>
        </w:rPr>
        <w:t>正</w:t>
      </w:r>
      <w:r>
        <w:rPr>
          <w:color w:val="auto"/>
          <w:highlight w:val="none"/>
        </w:rPr>
        <w:t>常工况（锅炉房）扩散浓度预测结果</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87"/>
        <w:gridCol w:w="1136"/>
        <w:gridCol w:w="1561"/>
        <w:gridCol w:w="736"/>
        <w:gridCol w:w="1561"/>
        <w:gridCol w:w="736"/>
        <w:gridCol w:w="1562"/>
        <w:gridCol w:w="737"/>
      </w:tblGrid>
      <w:tr w14:paraId="2B8D2F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vMerge w:val="restart"/>
            <w:noWrap/>
            <w:vAlign w:val="center"/>
          </w:tcPr>
          <w:p w14:paraId="73253E6D">
            <w:pPr>
              <w:pStyle w:val="41"/>
              <w:rPr>
                <w:color w:val="auto"/>
                <w:highlight w:val="none"/>
              </w:rPr>
            </w:pPr>
            <w:r>
              <w:rPr>
                <w:color w:val="auto"/>
                <w:highlight w:val="none"/>
              </w:rPr>
              <w:t>序号</w:t>
            </w:r>
          </w:p>
        </w:tc>
        <w:tc>
          <w:tcPr>
            <w:tcW w:w="675" w:type="pct"/>
            <w:vMerge w:val="restart"/>
            <w:tcBorders>
              <w:right w:val="single" w:color="auto" w:sz="2" w:space="0"/>
            </w:tcBorders>
            <w:noWrap/>
            <w:vAlign w:val="center"/>
          </w:tcPr>
          <w:p w14:paraId="76D8E23E">
            <w:pPr>
              <w:pStyle w:val="41"/>
              <w:rPr>
                <w:color w:val="auto"/>
                <w:highlight w:val="none"/>
              </w:rPr>
            </w:pPr>
            <w:r>
              <w:rPr>
                <w:color w:val="auto"/>
                <w:highlight w:val="none"/>
              </w:rPr>
              <w:t>离源距离</w:t>
            </w:r>
            <w:r>
              <w:rPr>
                <w:rFonts w:hint="eastAsia"/>
                <w:color w:val="auto"/>
                <w:highlight w:val="none"/>
                <w:lang w:eastAsia="zh-CN"/>
              </w:rPr>
              <w:t>（</w:t>
            </w:r>
            <w:r>
              <w:rPr>
                <w:color w:val="auto"/>
                <w:highlight w:val="none"/>
              </w:rPr>
              <w:t>m</w:t>
            </w:r>
            <w:r>
              <w:rPr>
                <w:rFonts w:hint="eastAsia"/>
                <w:color w:val="auto"/>
                <w:highlight w:val="none"/>
                <w:lang w:eastAsia="zh-CN"/>
              </w:rPr>
              <w:t>）</w:t>
            </w:r>
          </w:p>
        </w:tc>
        <w:tc>
          <w:tcPr>
            <w:tcW w:w="1334" w:type="pct"/>
            <w:gridSpan w:val="2"/>
            <w:tcBorders>
              <w:left w:val="single" w:color="auto" w:sz="2" w:space="0"/>
            </w:tcBorders>
            <w:vAlign w:val="center"/>
          </w:tcPr>
          <w:p w14:paraId="796C4E18">
            <w:pPr>
              <w:pStyle w:val="41"/>
              <w:rPr>
                <w:color w:val="auto"/>
                <w:highlight w:val="none"/>
              </w:rPr>
            </w:pPr>
            <w:r>
              <w:rPr>
                <w:color w:val="auto"/>
                <w:highlight w:val="none"/>
              </w:rPr>
              <w:t>锅炉房SO</w:t>
            </w:r>
            <w:r>
              <w:rPr>
                <w:color w:val="auto"/>
                <w:highlight w:val="none"/>
                <w:vertAlign w:val="subscript"/>
              </w:rPr>
              <w:t>2</w:t>
            </w:r>
          </w:p>
        </w:tc>
        <w:tc>
          <w:tcPr>
            <w:tcW w:w="1334" w:type="pct"/>
            <w:gridSpan w:val="2"/>
            <w:noWrap/>
            <w:vAlign w:val="center"/>
          </w:tcPr>
          <w:p w14:paraId="4AFCEC60">
            <w:pPr>
              <w:pStyle w:val="41"/>
              <w:rPr>
                <w:color w:val="auto"/>
                <w:highlight w:val="none"/>
              </w:rPr>
            </w:pPr>
            <w:r>
              <w:rPr>
                <w:color w:val="auto"/>
                <w:highlight w:val="none"/>
              </w:rPr>
              <w:t>锅炉房NO</w:t>
            </w:r>
            <w:r>
              <w:rPr>
                <w:color w:val="auto"/>
                <w:highlight w:val="none"/>
                <w:vertAlign w:val="subscript"/>
              </w:rPr>
              <w:t>2</w:t>
            </w:r>
          </w:p>
        </w:tc>
        <w:tc>
          <w:tcPr>
            <w:tcW w:w="1334" w:type="pct"/>
            <w:gridSpan w:val="2"/>
            <w:noWrap/>
            <w:vAlign w:val="center"/>
          </w:tcPr>
          <w:p w14:paraId="6404E9E0">
            <w:pPr>
              <w:pStyle w:val="41"/>
              <w:rPr>
                <w:color w:val="auto"/>
                <w:highlight w:val="none"/>
              </w:rPr>
            </w:pPr>
            <w:r>
              <w:rPr>
                <w:color w:val="auto"/>
                <w:highlight w:val="none"/>
              </w:rPr>
              <w:t>锅炉房PM</w:t>
            </w:r>
            <w:r>
              <w:rPr>
                <w:color w:val="auto"/>
                <w:highlight w:val="none"/>
                <w:vertAlign w:val="subscript"/>
              </w:rPr>
              <w:t>10</w:t>
            </w:r>
          </w:p>
        </w:tc>
      </w:tr>
      <w:tr w14:paraId="31EF9A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vMerge w:val="continue"/>
            <w:noWrap/>
            <w:vAlign w:val="center"/>
          </w:tcPr>
          <w:p w14:paraId="626E0934">
            <w:pPr>
              <w:pStyle w:val="41"/>
              <w:rPr>
                <w:color w:val="auto"/>
                <w:highlight w:val="none"/>
              </w:rPr>
            </w:pPr>
          </w:p>
        </w:tc>
        <w:tc>
          <w:tcPr>
            <w:tcW w:w="675" w:type="pct"/>
            <w:vMerge w:val="continue"/>
            <w:tcBorders>
              <w:right w:val="single" w:color="auto" w:sz="2" w:space="0"/>
            </w:tcBorders>
            <w:noWrap/>
            <w:vAlign w:val="center"/>
          </w:tcPr>
          <w:p w14:paraId="32640707">
            <w:pPr>
              <w:pStyle w:val="41"/>
              <w:rPr>
                <w:color w:val="auto"/>
                <w:highlight w:val="none"/>
              </w:rPr>
            </w:pPr>
          </w:p>
        </w:tc>
        <w:tc>
          <w:tcPr>
            <w:tcW w:w="824" w:type="pct"/>
            <w:tcBorders>
              <w:left w:val="single" w:color="auto" w:sz="2" w:space="0"/>
            </w:tcBorders>
            <w:noWrap/>
            <w:vAlign w:val="center"/>
          </w:tcPr>
          <w:p w14:paraId="20E6DAF3">
            <w:pPr>
              <w:pStyle w:val="41"/>
              <w:rPr>
                <w:color w:val="auto"/>
                <w:highlight w:val="none"/>
              </w:rPr>
            </w:pPr>
            <w:r>
              <w:rPr>
                <w:color w:val="auto"/>
                <w:highlight w:val="none"/>
              </w:rPr>
              <w:t>下风向预测浓度mg/m</w:t>
            </w:r>
            <w:r>
              <w:rPr>
                <w:color w:val="auto"/>
                <w:highlight w:val="none"/>
                <w:vertAlign w:val="superscript"/>
              </w:rPr>
              <w:t>3</w:t>
            </w:r>
          </w:p>
        </w:tc>
        <w:tc>
          <w:tcPr>
            <w:tcW w:w="509" w:type="pct"/>
            <w:noWrap/>
            <w:vAlign w:val="center"/>
          </w:tcPr>
          <w:p w14:paraId="536A6389">
            <w:pPr>
              <w:pStyle w:val="41"/>
              <w:rPr>
                <w:color w:val="auto"/>
                <w:highlight w:val="none"/>
              </w:rPr>
            </w:pPr>
            <w:r>
              <w:rPr>
                <w:color w:val="auto"/>
                <w:highlight w:val="none"/>
              </w:rPr>
              <w:t>占标率%</w:t>
            </w:r>
          </w:p>
        </w:tc>
        <w:tc>
          <w:tcPr>
            <w:tcW w:w="824" w:type="pct"/>
            <w:noWrap/>
            <w:vAlign w:val="center"/>
          </w:tcPr>
          <w:p w14:paraId="4FCADB8B">
            <w:pPr>
              <w:pStyle w:val="41"/>
              <w:rPr>
                <w:color w:val="auto"/>
                <w:highlight w:val="none"/>
              </w:rPr>
            </w:pPr>
            <w:r>
              <w:rPr>
                <w:color w:val="auto"/>
                <w:highlight w:val="none"/>
              </w:rPr>
              <w:t>下风向预测浓度mg/m</w:t>
            </w:r>
            <w:r>
              <w:rPr>
                <w:color w:val="auto"/>
                <w:highlight w:val="none"/>
                <w:vertAlign w:val="superscript"/>
              </w:rPr>
              <w:t>3</w:t>
            </w:r>
          </w:p>
        </w:tc>
        <w:tc>
          <w:tcPr>
            <w:tcW w:w="509" w:type="pct"/>
            <w:noWrap/>
            <w:vAlign w:val="center"/>
          </w:tcPr>
          <w:p w14:paraId="345547E7">
            <w:pPr>
              <w:pStyle w:val="41"/>
              <w:rPr>
                <w:color w:val="auto"/>
                <w:highlight w:val="none"/>
              </w:rPr>
            </w:pPr>
            <w:r>
              <w:rPr>
                <w:color w:val="auto"/>
                <w:highlight w:val="none"/>
              </w:rPr>
              <w:t>占标率%</w:t>
            </w:r>
          </w:p>
        </w:tc>
        <w:tc>
          <w:tcPr>
            <w:tcW w:w="824" w:type="pct"/>
            <w:noWrap/>
            <w:vAlign w:val="center"/>
          </w:tcPr>
          <w:p w14:paraId="08FC85FC">
            <w:pPr>
              <w:pStyle w:val="41"/>
              <w:rPr>
                <w:color w:val="auto"/>
                <w:highlight w:val="none"/>
              </w:rPr>
            </w:pPr>
            <w:r>
              <w:rPr>
                <w:color w:val="auto"/>
                <w:highlight w:val="none"/>
              </w:rPr>
              <w:t>下风向预测浓度mg/m</w:t>
            </w:r>
            <w:r>
              <w:rPr>
                <w:color w:val="auto"/>
                <w:highlight w:val="none"/>
                <w:vertAlign w:val="superscript"/>
              </w:rPr>
              <w:t>3</w:t>
            </w:r>
          </w:p>
        </w:tc>
        <w:tc>
          <w:tcPr>
            <w:tcW w:w="509" w:type="pct"/>
            <w:noWrap/>
            <w:vAlign w:val="center"/>
          </w:tcPr>
          <w:p w14:paraId="5AACCADE">
            <w:pPr>
              <w:pStyle w:val="41"/>
              <w:rPr>
                <w:color w:val="auto"/>
                <w:highlight w:val="none"/>
              </w:rPr>
            </w:pPr>
            <w:r>
              <w:rPr>
                <w:color w:val="auto"/>
                <w:highlight w:val="none"/>
              </w:rPr>
              <w:t>占标率%</w:t>
            </w:r>
          </w:p>
        </w:tc>
      </w:tr>
      <w:tr w14:paraId="71DA8D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017BF6E">
            <w:pPr>
              <w:pStyle w:val="41"/>
              <w:rPr>
                <w:color w:val="auto"/>
                <w:highlight w:val="none"/>
              </w:rPr>
            </w:pPr>
            <w:r>
              <w:rPr>
                <w:color w:val="auto"/>
                <w:highlight w:val="none"/>
              </w:rPr>
              <w:t>1</w:t>
            </w:r>
          </w:p>
        </w:tc>
        <w:tc>
          <w:tcPr>
            <w:tcW w:w="1254" w:type="dxa"/>
            <w:noWrap/>
            <w:vAlign w:val="center"/>
          </w:tcPr>
          <w:p w14:paraId="3A17BB6C">
            <w:pPr>
              <w:pStyle w:val="41"/>
              <w:rPr>
                <w:color w:val="auto"/>
                <w:highlight w:val="none"/>
              </w:rPr>
            </w:pPr>
            <w:r>
              <w:rPr>
                <w:color w:val="auto"/>
                <w:highlight w:val="none"/>
              </w:rPr>
              <w:t>10</w:t>
            </w:r>
          </w:p>
        </w:tc>
        <w:tc>
          <w:tcPr>
            <w:tcW w:w="1532" w:type="dxa"/>
            <w:noWrap/>
            <w:vAlign w:val="center"/>
          </w:tcPr>
          <w:p w14:paraId="3B7DFD9E">
            <w:pPr>
              <w:pStyle w:val="41"/>
              <w:rPr>
                <w:color w:val="auto"/>
                <w:highlight w:val="none"/>
              </w:rPr>
            </w:pPr>
            <w:r>
              <w:rPr>
                <w:color w:val="auto"/>
                <w:highlight w:val="none"/>
              </w:rPr>
              <w:t>0.000115</w:t>
            </w:r>
          </w:p>
        </w:tc>
        <w:tc>
          <w:tcPr>
            <w:tcW w:w="946" w:type="dxa"/>
            <w:noWrap/>
            <w:vAlign w:val="center"/>
          </w:tcPr>
          <w:p w14:paraId="6B777900">
            <w:pPr>
              <w:pStyle w:val="41"/>
              <w:rPr>
                <w:color w:val="auto"/>
                <w:highlight w:val="none"/>
              </w:rPr>
            </w:pPr>
            <w:r>
              <w:rPr>
                <w:color w:val="auto"/>
                <w:highlight w:val="none"/>
              </w:rPr>
              <w:t>0.02</w:t>
            </w:r>
          </w:p>
        </w:tc>
        <w:tc>
          <w:tcPr>
            <w:tcW w:w="1398" w:type="dxa"/>
            <w:noWrap/>
            <w:vAlign w:val="center"/>
          </w:tcPr>
          <w:p w14:paraId="6169F6B3">
            <w:pPr>
              <w:pStyle w:val="41"/>
              <w:rPr>
                <w:color w:val="auto"/>
                <w:highlight w:val="none"/>
              </w:rPr>
            </w:pPr>
            <w:r>
              <w:rPr>
                <w:color w:val="auto"/>
                <w:highlight w:val="none"/>
              </w:rPr>
              <w:t>0.000068</w:t>
            </w:r>
          </w:p>
        </w:tc>
        <w:tc>
          <w:tcPr>
            <w:tcW w:w="872" w:type="dxa"/>
            <w:noWrap/>
            <w:vAlign w:val="center"/>
          </w:tcPr>
          <w:p w14:paraId="392A1B0D">
            <w:pPr>
              <w:pStyle w:val="41"/>
              <w:rPr>
                <w:color w:val="auto"/>
                <w:highlight w:val="none"/>
              </w:rPr>
            </w:pPr>
            <w:r>
              <w:rPr>
                <w:color w:val="auto"/>
                <w:highlight w:val="none"/>
              </w:rPr>
              <w:t>0.03</w:t>
            </w:r>
          </w:p>
        </w:tc>
        <w:tc>
          <w:tcPr>
            <w:tcW w:w="1398" w:type="dxa"/>
            <w:noWrap/>
            <w:vAlign w:val="center"/>
          </w:tcPr>
          <w:p w14:paraId="1F5C9C63">
            <w:pPr>
              <w:pStyle w:val="41"/>
              <w:rPr>
                <w:color w:val="auto"/>
                <w:highlight w:val="none"/>
              </w:rPr>
            </w:pPr>
            <w:r>
              <w:rPr>
                <w:color w:val="auto"/>
                <w:highlight w:val="none"/>
              </w:rPr>
              <w:t>0.000034</w:t>
            </w:r>
          </w:p>
        </w:tc>
        <w:tc>
          <w:tcPr>
            <w:tcW w:w="872" w:type="dxa"/>
            <w:noWrap/>
            <w:vAlign w:val="center"/>
          </w:tcPr>
          <w:p w14:paraId="3EE85390">
            <w:pPr>
              <w:pStyle w:val="41"/>
              <w:rPr>
                <w:color w:val="auto"/>
                <w:highlight w:val="none"/>
              </w:rPr>
            </w:pPr>
            <w:r>
              <w:rPr>
                <w:color w:val="auto"/>
                <w:highlight w:val="none"/>
              </w:rPr>
              <w:t>0.01</w:t>
            </w:r>
          </w:p>
        </w:tc>
      </w:tr>
      <w:tr w14:paraId="6685A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87C37A4">
            <w:pPr>
              <w:pStyle w:val="41"/>
              <w:rPr>
                <w:color w:val="auto"/>
                <w:highlight w:val="none"/>
              </w:rPr>
            </w:pPr>
            <w:r>
              <w:rPr>
                <w:color w:val="auto"/>
                <w:highlight w:val="none"/>
              </w:rPr>
              <w:t>2</w:t>
            </w:r>
          </w:p>
        </w:tc>
        <w:tc>
          <w:tcPr>
            <w:tcW w:w="1254" w:type="dxa"/>
            <w:noWrap/>
            <w:vAlign w:val="center"/>
          </w:tcPr>
          <w:p w14:paraId="006F8066">
            <w:pPr>
              <w:pStyle w:val="41"/>
              <w:rPr>
                <w:color w:val="auto"/>
                <w:highlight w:val="none"/>
              </w:rPr>
            </w:pPr>
            <w:r>
              <w:rPr>
                <w:color w:val="auto"/>
                <w:highlight w:val="none"/>
              </w:rPr>
              <w:t>25</w:t>
            </w:r>
          </w:p>
        </w:tc>
        <w:tc>
          <w:tcPr>
            <w:tcW w:w="1532" w:type="dxa"/>
            <w:noWrap/>
            <w:vAlign w:val="center"/>
          </w:tcPr>
          <w:p w14:paraId="509D7928">
            <w:pPr>
              <w:pStyle w:val="41"/>
              <w:rPr>
                <w:color w:val="auto"/>
                <w:highlight w:val="none"/>
              </w:rPr>
            </w:pPr>
            <w:r>
              <w:rPr>
                <w:color w:val="auto"/>
                <w:highlight w:val="none"/>
              </w:rPr>
              <w:t>0.007627</w:t>
            </w:r>
          </w:p>
        </w:tc>
        <w:tc>
          <w:tcPr>
            <w:tcW w:w="946" w:type="dxa"/>
            <w:noWrap/>
            <w:vAlign w:val="center"/>
          </w:tcPr>
          <w:p w14:paraId="443DE4E6">
            <w:pPr>
              <w:pStyle w:val="41"/>
              <w:rPr>
                <w:color w:val="auto"/>
                <w:highlight w:val="none"/>
              </w:rPr>
            </w:pPr>
            <w:r>
              <w:rPr>
                <w:color w:val="auto"/>
                <w:highlight w:val="none"/>
              </w:rPr>
              <w:t>1.53</w:t>
            </w:r>
          </w:p>
        </w:tc>
        <w:tc>
          <w:tcPr>
            <w:tcW w:w="1398" w:type="dxa"/>
            <w:noWrap/>
            <w:vAlign w:val="center"/>
          </w:tcPr>
          <w:p w14:paraId="15832A0B">
            <w:pPr>
              <w:pStyle w:val="41"/>
              <w:rPr>
                <w:color w:val="auto"/>
                <w:highlight w:val="none"/>
              </w:rPr>
            </w:pPr>
            <w:r>
              <w:rPr>
                <w:color w:val="auto"/>
                <w:highlight w:val="none"/>
              </w:rPr>
              <w:t>0.004528</w:t>
            </w:r>
          </w:p>
        </w:tc>
        <w:tc>
          <w:tcPr>
            <w:tcW w:w="872" w:type="dxa"/>
            <w:noWrap/>
            <w:vAlign w:val="center"/>
          </w:tcPr>
          <w:p w14:paraId="63F09D58">
            <w:pPr>
              <w:pStyle w:val="41"/>
              <w:rPr>
                <w:color w:val="auto"/>
                <w:highlight w:val="none"/>
              </w:rPr>
            </w:pPr>
            <w:r>
              <w:rPr>
                <w:color w:val="auto"/>
                <w:highlight w:val="none"/>
              </w:rPr>
              <w:t>2.26</w:t>
            </w:r>
          </w:p>
        </w:tc>
        <w:tc>
          <w:tcPr>
            <w:tcW w:w="1398" w:type="dxa"/>
            <w:noWrap/>
            <w:vAlign w:val="center"/>
          </w:tcPr>
          <w:p w14:paraId="20D11F66">
            <w:pPr>
              <w:pStyle w:val="41"/>
              <w:rPr>
                <w:color w:val="auto"/>
                <w:highlight w:val="none"/>
              </w:rPr>
            </w:pPr>
            <w:r>
              <w:rPr>
                <w:color w:val="auto"/>
                <w:highlight w:val="none"/>
              </w:rPr>
              <w:t>0.002234</w:t>
            </w:r>
          </w:p>
        </w:tc>
        <w:tc>
          <w:tcPr>
            <w:tcW w:w="872" w:type="dxa"/>
            <w:noWrap/>
            <w:vAlign w:val="center"/>
          </w:tcPr>
          <w:p w14:paraId="11AE4B26">
            <w:pPr>
              <w:pStyle w:val="41"/>
              <w:rPr>
                <w:color w:val="auto"/>
                <w:highlight w:val="none"/>
              </w:rPr>
            </w:pPr>
            <w:r>
              <w:rPr>
                <w:color w:val="auto"/>
                <w:highlight w:val="none"/>
              </w:rPr>
              <w:t>0.5</w:t>
            </w:r>
          </w:p>
        </w:tc>
      </w:tr>
      <w:tr w14:paraId="304055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FA5F3B6">
            <w:pPr>
              <w:pStyle w:val="41"/>
              <w:rPr>
                <w:color w:val="auto"/>
                <w:highlight w:val="none"/>
              </w:rPr>
            </w:pPr>
            <w:r>
              <w:rPr>
                <w:color w:val="auto"/>
                <w:highlight w:val="none"/>
              </w:rPr>
              <w:t>3</w:t>
            </w:r>
          </w:p>
        </w:tc>
        <w:tc>
          <w:tcPr>
            <w:tcW w:w="1254" w:type="dxa"/>
            <w:noWrap/>
            <w:vAlign w:val="center"/>
          </w:tcPr>
          <w:p w14:paraId="0C8348B0">
            <w:pPr>
              <w:pStyle w:val="41"/>
              <w:rPr>
                <w:color w:val="auto"/>
                <w:highlight w:val="none"/>
              </w:rPr>
            </w:pPr>
            <w:r>
              <w:rPr>
                <w:color w:val="auto"/>
                <w:highlight w:val="none"/>
              </w:rPr>
              <w:t>39</w:t>
            </w:r>
          </w:p>
        </w:tc>
        <w:tc>
          <w:tcPr>
            <w:tcW w:w="1532" w:type="dxa"/>
            <w:noWrap/>
            <w:vAlign w:val="center"/>
          </w:tcPr>
          <w:p w14:paraId="23884AED">
            <w:pPr>
              <w:pStyle w:val="41"/>
              <w:rPr>
                <w:color w:val="auto"/>
                <w:highlight w:val="none"/>
              </w:rPr>
            </w:pPr>
            <w:r>
              <w:rPr>
                <w:color w:val="auto"/>
                <w:highlight w:val="none"/>
              </w:rPr>
              <w:t>0.014843</w:t>
            </w:r>
          </w:p>
        </w:tc>
        <w:tc>
          <w:tcPr>
            <w:tcW w:w="946" w:type="dxa"/>
            <w:noWrap/>
            <w:vAlign w:val="center"/>
          </w:tcPr>
          <w:p w14:paraId="3EAF2869">
            <w:pPr>
              <w:pStyle w:val="41"/>
              <w:rPr>
                <w:color w:val="auto"/>
                <w:highlight w:val="none"/>
              </w:rPr>
            </w:pPr>
            <w:r>
              <w:rPr>
                <w:color w:val="auto"/>
                <w:highlight w:val="none"/>
              </w:rPr>
              <w:t>2.97</w:t>
            </w:r>
          </w:p>
        </w:tc>
        <w:tc>
          <w:tcPr>
            <w:tcW w:w="1398" w:type="dxa"/>
            <w:noWrap/>
            <w:vAlign w:val="center"/>
          </w:tcPr>
          <w:p w14:paraId="60AE1477">
            <w:pPr>
              <w:pStyle w:val="41"/>
              <w:rPr>
                <w:color w:val="auto"/>
                <w:highlight w:val="none"/>
              </w:rPr>
            </w:pPr>
            <w:r>
              <w:rPr>
                <w:color w:val="auto"/>
                <w:highlight w:val="none"/>
              </w:rPr>
              <w:t>0.008813</w:t>
            </w:r>
          </w:p>
        </w:tc>
        <w:tc>
          <w:tcPr>
            <w:tcW w:w="872" w:type="dxa"/>
            <w:noWrap/>
            <w:vAlign w:val="center"/>
          </w:tcPr>
          <w:p w14:paraId="11540EA5">
            <w:pPr>
              <w:pStyle w:val="41"/>
              <w:rPr>
                <w:color w:val="auto"/>
                <w:highlight w:val="none"/>
              </w:rPr>
            </w:pPr>
            <w:r>
              <w:rPr>
                <w:color w:val="auto"/>
                <w:highlight w:val="none"/>
              </w:rPr>
              <w:t>4.41</w:t>
            </w:r>
          </w:p>
        </w:tc>
        <w:tc>
          <w:tcPr>
            <w:tcW w:w="1398" w:type="dxa"/>
            <w:noWrap/>
            <w:vAlign w:val="center"/>
          </w:tcPr>
          <w:p w14:paraId="60C29B9E">
            <w:pPr>
              <w:pStyle w:val="41"/>
              <w:rPr>
                <w:color w:val="auto"/>
                <w:highlight w:val="none"/>
              </w:rPr>
            </w:pPr>
            <w:r>
              <w:rPr>
                <w:color w:val="auto"/>
                <w:highlight w:val="none"/>
              </w:rPr>
              <w:t>0.004349</w:t>
            </w:r>
          </w:p>
        </w:tc>
        <w:tc>
          <w:tcPr>
            <w:tcW w:w="872" w:type="dxa"/>
            <w:noWrap/>
            <w:vAlign w:val="center"/>
          </w:tcPr>
          <w:p w14:paraId="24D8E7C6">
            <w:pPr>
              <w:pStyle w:val="41"/>
              <w:rPr>
                <w:color w:val="auto"/>
                <w:highlight w:val="none"/>
              </w:rPr>
            </w:pPr>
            <w:r>
              <w:rPr>
                <w:color w:val="auto"/>
                <w:highlight w:val="none"/>
              </w:rPr>
              <w:t>0.97</w:t>
            </w:r>
          </w:p>
        </w:tc>
      </w:tr>
      <w:tr w14:paraId="7462BC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F1F962F">
            <w:pPr>
              <w:pStyle w:val="41"/>
              <w:rPr>
                <w:color w:val="auto"/>
                <w:highlight w:val="none"/>
              </w:rPr>
            </w:pPr>
            <w:r>
              <w:rPr>
                <w:color w:val="auto"/>
                <w:highlight w:val="none"/>
              </w:rPr>
              <w:t>4</w:t>
            </w:r>
          </w:p>
        </w:tc>
        <w:tc>
          <w:tcPr>
            <w:tcW w:w="1254" w:type="dxa"/>
            <w:noWrap/>
            <w:vAlign w:val="center"/>
          </w:tcPr>
          <w:p w14:paraId="69D1623D">
            <w:pPr>
              <w:pStyle w:val="41"/>
              <w:rPr>
                <w:color w:val="auto"/>
                <w:highlight w:val="none"/>
              </w:rPr>
            </w:pPr>
            <w:r>
              <w:rPr>
                <w:color w:val="auto"/>
                <w:highlight w:val="none"/>
              </w:rPr>
              <w:t>50</w:t>
            </w:r>
          </w:p>
        </w:tc>
        <w:tc>
          <w:tcPr>
            <w:tcW w:w="1532" w:type="dxa"/>
            <w:noWrap/>
            <w:vAlign w:val="center"/>
          </w:tcPr>
          <w:p w14:paraId="20B29DD9">
            <w:pPr>
              <w:pStyle w:val="41"/>
              <w:rPr>
                <w:color w:val="auto"/>
                <w:highlight w:val="none"/>
              </w:rPr>
            </w:pPr>
            <w:r>
              <w:rPr>
                <w:color w:val="auto"/>
                <w:highlight w:val="none"/>
              </w:rPr>
              <w:t>0.012932</w:t>
            </w:r>
          </w:p>
        </w:tc>
        <w:tc>
          <w:tcPr>
            <w:tcW w:w="946" w:type="dxa"/>
            <w:noWrap/>
            <w:vAlign w:val="center"/>
          </w:tcPr>
          <w:p w14:paraId="7F5E3F95">
            <w:pPr>
              <w:pStyle w:val="41"/>
              <w:rPr>
                <w:color w:val="auto"/>
                <w:highlight w:val="none"/>
              </w:rPr>
            </w:pPr>
            <w:r>
              <w:rPr>
                <w:color w:val="auto"/>
                <w:highlight w:val="none"/>
              </w:rPr>
              <w:t>2.59</w:t>
            </w:r>
          </w:p>
        </w:tc>
        <w:tc>
          <w:tcPr>
            <w:tcW w:w="1398" w:type="dxa"/>
            <w:noWrap/>
            <w:vAlign w:val="center"/>
          </w:tcPr>
          <w:p w14:paraId="5DBA2858">
            <w:pPr>
              <w:pStyle w:val="41"/>
              <w:rPr>
                <w:color w:val="auto"/>
                <w:highlight w:val="none"/>
              </w:rPr>
            </w:pPr>
            <w:r>
              <w:rPr>
                <w:color w:val="auto"/>
                <w:highlight w:val="none"/>
              </w:rPr>
              <w:t>0.007678</w:t>
            </w:r>
          </w:p>
        </w:tc>
        <w:tc>
          <w:tcPr>
            <w:tcW w:w="872" w:type="dxa"/>
            <w:noWrap/>
            <w:vAlign w:val="center"/>
          </w:tcPr>
          <w:p w14:paraId="49AAA37E">
            <w:pPr>
              <w:pStyle w:val="41"/>
              <w:rPr>
                <w:color w:val="auto"/>
                <w:highlight w:val="none"/>
              </w:rPr>
            </w:pPr>
            <w:r>
              <w:rPr>
                <w:color w:val="auto"/>
                <w:highlight w:val="none"/>
              </w:rPr>
              <w:t>3.84</w:t>
            </w:r>
          </w:p>
        </w:tc>
        <w:tc>
          <w:tcPr>
            <w:tcW w:w="1398" w:type="dxa"/>
            <w:noWrap/>
            <w:vAlign w:val="center"/>
          </w:tcPr>
          <w:p w14:paraId="324EE55A">
            <w:pPr>
              <w:pStyle w:val="41"/>
              <w:rPr>
                <w:color w:val="auto"/>
                <w:highlight w:val="none"/>
              </w:rPr>
            </w:pPr>
            <w:r>
              <w:rPr>
                <w:color w:val="auto"/>
                <w:highlight w:val="none"/>
              </w:rPr>
              <w:t>0.003789</w:t>
            </w:r>
          </w:p>
        </w:tc>
        <w:tc>
          <w:tcPr>
            <w:tcW w:w="872" w:type="dxa"/>
            <w:noWrap/>
            <w:vAlign w:val="center"/>
          </w:tcPr>
          <w:p w14:paraId="17C1799A">
            <w:pPr>
              <w:pStyle w:val="41"/>
              <w:rPr>
                <w:color w:val="auto"/>
                <w:highlight w:val="none"/>
              </w:rPr>
            </w:pPr>
            <w:r>
              <w:rPr>
                <w:color w:val="auto"/>
                <w:highlight w:val="none"/>
              </w:rPr>
              <w:t>0.84</w:t>
            </w:r>
          </w:p>
        </w:tc>
      </w:tr>
      <w:tr w14:paraId="06C3EE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AE62CC8">
            <w:pPr>
              <w:pStyle w:val="41"/>
              <w:rPr>
                <w:color w:val="auto"/>
                <w:highlight w:val="none"/>
              </w:rPr>
            </w:pPr>
            <w:r>
              <w:rPr>
                <w:color w:val="auto"/>
                <w:highlight w:val="none"/>
              </w:rPr>
              <w:t>5</w:t>
            </w:r>
          </w:p>
        </w:tc>
        <w:tc>
          <w:tcPr>
            <w:tcW w:w="1254" w:type="dxa"/>
            <w:noWrap/>
            <w:vAlign w:val="center"/>
          </w:tcPr>
          <w:p w14:paraId="3B50A3A3">
            <w:pPr>
              <w:pStyle w:val="41"/>
              <w:rPr>
                <w:color w:val="auto"/>
                <w:highlight w:val="none"/>
              </w:rPr>
            </w:pPr>
            <w:r>
              <w:rPr>
                <w:color w:val="auto"/>
                <w:highlight w:val="none"/>
              </w:rPr>
              <w:t>75</w:t>
            </w:r>
          </w:p>
        </w:tc>
        <w:tc>
          <w:tcPr>
            <w:tcW w:w="1532" w:type="dxa"/>
            <w:noWrap/>
            <w:vAlign w:val="center"/>
          </w:tcPr>
          <w:p w14:paraId="1FA279C9">
            <w:pPr>
              <w:pStyle w:val="41"/>
              <w:rPr>
                <w:color w:val="auto"/>
                <w:highlight w:val="none"/>
              </w:rPr>
            </w:pPr>
            <w:r>
              <w:rPr>
                <w:color w:val="auto"/>
                <w:highlight w:val="none"/>
              </w:rPr>
              <w:t>0.008488</w:t>
            </w:r>
          </w:p>
        </w:tc>
        <w:tc>
          <w:tcPr>
            <w:tcW w:w="946" w:type="dxa"/>
            <w:noWrap/>
            <w:vAlign w:val="center"/>
          </w:tcPr>
          <w:p w14:paraId="3726D821">
            <w:pPr>
              <w:pStyle w:val="41"/>
              <w:rPr>
                <w:color w:val="auto"/>
                <w:highlight w:val="none"/>
              </w:rPr>
            </w:pPr>
            <w:r>
              <w:rPr>
                <w:color w:val="auto"/>
                <w:highlight w:val="none"/>
              </w:rPr>
              <w:t>1.7</w:t>
            </w:r>
          </w:p>
        </w:tc>
        <w:tc>
          <w:tcPr>
            <w:tcW w:w="1398" w:type="dxa"/>
            <w:noWrap/>
            <w:vAlign w:val="center"/>
          </w:tcPr>
          <w:p w14:paraId="683E4819">
            <w:pPr>
              <w:pStyle w:val="41"/>
              <w:rPr>
                <w:color w:val="auto"/>
                <w:highlight w:val="none"/>
              </w:rPr>
            </w:pPr>
            <w:r>
              <w:rPr>
                <w:color w:val="auto"/>
                <w:highlight w:val="none"/>
              </w:rPr>
              <w:t>0.00504</w:t>
            </w:r>
          </w:p>
        </w:tc>
        <w:tc>
          <w:tcPr>
            <w:tcW w:w="872" w:type="dxa"/>
            <w:noWrap/>
            <w:vAlign w:val="center"/>
          </w:tcPr>
          <w:p w14:paraId="3860C651">
            <w:pPr>
              <w:pStyle w:val="41"/>
              <w:rPr>
                <w:color w:val="auto"/>
                <w:highlight w:val="none"/>
              </w:rPr>
            </w:pPr>
            <w:r>
              <w:rPr>
                <w:color w:val="auto"/>
                <w:highlight w:val="none"/>
              </w:rPr>
              <w:t>2.52</w:t>
            </w:r>
          </w:p>
        </w:tc>
        <w:tc>
          <w:tcPr>
            <w:tcW w:w="1398" w:type="dxa"/>
            <w:noWrap/>
            <w:vAlign w:val="center"/>
          </w:tcPr>
          <w:p w14:paraId="73A4E618">
            <w:pPr>
              <w:pStyle w:val="41"/>
              <w:rPr>
                <w:color w:val="auto"/>
                <w:highlight w:val="none"/>
              </w:rPr>
            </w:pPr>
            <w:r>
              <w:rPr>
                <w:color w:val="auto"/>
                <w:highlight w:val="none"/>
              </w:rPr>
              <w:t>0.002487</w:t>
            </w:r>
          </w:p>
        </w:tc>
        <w:tc>
          <w:tcPr>
            <w:tcW w:w="872" w:type="dxa"/>
            <w:noWrap/>
            <w:vAlign w:val="center"/>
          </w:tcPr>
          <w:p w14:paraId="181C0A4D">
            <w:pPr>
              <w:pStyle w:val="41"/>
              <w:rPr>
                <w:color w:val="auto"/>
                <w:highlight w:val="none"/>
              </w:rPr>
            </w:pPr>
            <w:r>
              <w:rPr>
                <w:color w:val="auto"/>
                <w:highlight w:val="none"/>
              </w:rPr>
              <w:t>0.55</w:t>
            </w:r>
          </w:p>
        </w:tc>
      </w:tr>
      <w:tr w14:paraId="7F4AC7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5B035CF">
            <w:pPr>
              <w:pStyle w:val="41"/>
              <w:rPr>
                <w:color w:val="auto"/>
                <w:highlight w:val="none"/>
              </w:rPr>
            </w:pPr>
            <w:r>
              <w:rPr>
                <w:color w:val="auto"/>
                <w:highlight w:val="none"/>
              </w:rPr>
              <w:t>6</w:t>
            </w:r>
          </w:p>
        </w:tc>
        <w:tc>
          <w:tcPr>
            <w:tcW w:w="1254" w:type="dxa"/>
            <w:noWrap/>
            <w:vAlign w:val="center"/>
          </w:tcPr>
          <w:p w14:paraId="740D1AA4">
            <w:pPr>
              <w:pStyle w:val="41"/>
              <w:rPr>
                <w:color w:val="auto"/>
                <w:highlight w:val="none"/>
              </w:rPr>
            </w:pPr>
            <w:r>
              <w:rPr>
                <w:color w:val="auto"/>
                <w:highlight w:val="none"/>
              </w:rPr>
              <w:t>100</w:t>
            </w:r>
          </w:p>
        </w:tc>
        <w:tc>
          <w:tcPr>
            <w:tcW w:w="1532" w:type="dxa"/>
            <w:noWrap/>
            <w:vAlign w:val="center"/>
          </w:tcPr>
          <w:p w14:paraId="35C3FA9E">
            <w:pPr>
              <w:pStyle w:val="41"/>
              <w:rPr>
                <w:color w:val="auto"/>
                <w:highlight w:val="none"/>
              </w:rPr>
            </w:pPr>
            <w:r>
              <w:rPr>
                <w:color w:val="auto"/>
                <w:highlight w:val="none"/>
              </w:rPr>
              <w:t>0.01104</w:t>
            </w:r>
          </w:p>
        </w:tc>
        <w:tc>
          <w:tcPr>
            <w:tcW w:w="946" w:type="dxa"/>
            <w:noWrap/>
            <w:vAlign w:val="center"/>
          </w:tcPr>
          <w:p w14:paraId="3A724EC0">
            <w:pPr>
              <w:pStyle w:val="41"/>
              <w:rPr>
                <w:color w:val="auto"/>
                <w:highlight w:val="none"/>
              </w:rPr>
            </w:pPr>
            <w:r>
              <w:rPr>
                <w:color w:val="auto"/>
                <w:highlight w:val="none"/>
              </w:rPr>
              <w:t>2.21</w:t>
            </w:r>
          </w:p>
        </w:tc>
        <w:tc>
          <w:tcPr>
            <w:tcW w:w="1398" w:type="dxa"/>
            <w:noWrap/>
            <w:vAlign w:val="center"/>
          </w:tcPr>
          <w:p w14:paraId="4E43DCF0">
            <w:pPr>
              <w:pStyle w:val="41"/>
              <w:rPr>
                <w:color w:val="auto"/>
                <w:highlight w:val="none"/>
              </w:rPr>
            </w:pPr>
            <w:r>
              <w:rPr>
                <w:color w:val="auto"/>
                <w:highlight w:val="none"/>
              </w:rPr>
              <w:t>0.006555</w:t>
            </w:r>
          </w:p>
        </w:tc>
        <w:tc>
          <w:tcPr>
            <w:tcW w:w="872" w:type="dxa"/>
            <w:noWrap/>
            <w:vAlign w:val="center"/>
          </w:tcPr>
          <w:p w14:paraId="1C7FBE14">
            <w:pPr>
              <w:pStyle w:val="41"/>
              <w:rPr>
                <w:color w:val="auto"/>
                <w:highlight w:val="none"/>
              </w:rPr>
            </w:pPr>
            <w:r>
              <w:rPr>
                <w:color w:val="auto"/>
                <w:highlight w:val="none"/>
              </w:rPr>
              <w:t>3.28</w:t>
            </w:r>
          </w:p>
        </w:tc>
        <w:tc>
          <w:tcPr>
            <w:tcW w:w="1398" w:type="dxa"/>
            <w:noWrap/>
            <w:vAlign w:val="center"/>
          </w:tcPr>
          <w:p w14:paraId="6BABC567">
            <w:pPr>
              <w:pStyle w:val="41"/>
              <w:rPr>
                <w:color w:val="auto"/>
                <w:highlight w:val="none"/>
              </w:rPr>
            </w:pPr>
            <w:r>
              <w:rPr>
                <w:color w:val="auto"/>
                <w:highlight w:val="none"/>
              </w:rPr>
              <w:t>0.003234</w:t>
            </w:r>
          </w:p>
        </w:tc>
        <w:tc>
          <w:tcPr>
            <w:tcW w:w="872" w:type="dxa"/>
            <w:noWrap/>
            <w:vAlign w:val="center"/>
          </w:tcPr>
          <w:p w14:paraId="37C0ECD7">
            <w:pPr>
              <w:pStyle w:val="41"/>
              <w:rPr>
                <w:color w:val="auto"/>
                <w:highlight w:val="none"/>
              </w:rPr>
            </w:pPr>
            <w:r>
              <w:rPr>
                <w:color w:val="auto"/>
                <w:highlight w:val="none"/>
              </w:rPr>
              <w:t>0.72</w:t>
            </w:r>
          </w:p>
        </w:tc>
      </w:tr>
      <w:tr w14:paraId="3DE795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2DA1972">
            <w:pPr>
              <w:pStyle w:val="41"/>
              <w:rPr>
                <w:color w:val="auto"/>
                <w:highlight w:val="none"/>
              </w:rPr>
            </w:pPr>
            <w:r>
              <w:rPr>
                <w:color w:val="auto"/>
                <w:highlight w:val="none"/>
              </w:rPr>
              <w:t>7</w:t>
            </w:r>
          </w:p>
        </w:tc>
        <w:tc>
          <w:tcPr>
            <w:tcW w:w="1254" w:type="dxa"/>
            <w:noWrap/>
            <w:vAlign w:val="center"/>
          </w:tcPr>
          <w:p w14:paraId="340F2B38">
            <w:pPr>
              <w:pStyle w:val="41"/>
              <w:rPr>
                <w:color w:val="auto"/>
                <w:highlight w:val="none"/>
              </w:rPr>
            </w:pPr>
            <w:r>
              <w:rPr>
                <w:color w:val="auto"/>
                <w:highlight w:val="none"/>
              </w:rPr>
              <w:t>125</w:t>
            </w:r>
          </w:p>
        </w:tc>
        <w:tc>
          <w:tcPr>
            <w:tcW w:w="1532" w:type="dxa"/>
            <w:noWrap/>
            <w:vAlign w:val="center"/>
          </w:tcPr>
          <w:p w14:paraId="44F9C01C">
            <w:pPr>
              <w:pStyle w:val="41"/>
              <w:rPr>
                <w:color w:val="auto"/>
                <w:highlight w:val="none"/>
              </w:rPr>
            </w:pPr>
            <w:r>
              <w:rPr>
                <w:color w:val="auto"/>
                <w:highlight w:val="none"/>
              </w:rPr>
              <w:t>0.010717</w:t>
            </w:r>
          </w:p>
        </w:tc>
        <w:tc>
          <w:tcPr>
            <w:tcW w:w="946" w:type="dxa"/>
            <w:noWrap/>
            <w:vAlign w:val="center"/>
          </w:tcPr>
          <w:p w14:paraId="3C4BD7ED">
            <w:pPr>
              <w:pStyle w:val="41"/>
              <w:rPr>
                <w:color w:val="auto"/>
                <w:highlight w:val="none"/>
              </w:rPr>
            </w:pPr>
            <w:r>
              <w:rPr>
                <w:color w:val="auto"/>
                <w:highlight w:val="none"/>
              </w:rPr>
              <w:t>2.14</w:t>
            </w:r>
          </w:p>
        </w:tc>
        <w:tc>
          <w:tcPr>
            <w:tcW w:w="1398" w:type="dxa"/>
            <w:noWrap/>
            <w:vAlign w:val="center"/>
          </w:tcPr>
          <w:p w14:paraId="44A76C33">
            <w:pPr>
              <w:pStyle w:val="41"/>
              <w:rPr>
                <w:color w:val="auto"/>
                <w:highlight w:val="none"/>
              </w:rPr>
            </w:pPr>
            <w:r>
              <w:rPr>
                <w:color w:val="auto"/>
                <w:highlight w:val="none"/>
              </w:rPr>
              <w:t>0.006363</w:t>
            </w:r>
          </w:p>
        </w:tc>
        <w:tc>
          <w:tcPr>
            <w:tcW w:w="872" w:type="dxa"/>
            <w:noWrap/>
            <w:vAlign w:val="center"/>
          </w:tcPr>
          <w:p w14:paraId="65EEB6D8">
            <w:pPr>
              <w:pStyle w:val="41"/>
              <w:rPr>
                <w:color w:val="auto"/>
                <w:highlight w:val="none"/>
              </w:rPr>
            </w:pPr>
            <w:r>
              <w:rPr>
                <w:color w:val="auto"/>
                <w:highlight w:val="none"/>
              </w:rPr>
              <w:t>3.18</w:t>
            </w:r>
          </w:p>
        </w:tc>
        <w:tc>
          <w:tcPr>
            <w:tcW w:w="1398" w:type="dxa"/>
            <w:noWrap/>
            <w:vAlign w:val="center"/>
          </w:tcPr>
          <w:p w14:paraId="11E95FE7">
            <w:pPr>
              <w:pStyle w:val="41"/>
              <w:rPr>
                <w:color w:val="auto"/>
                <w:highlight w:val="none"/>
              </w:rPr>
            </w:pPr>
            <w:r>
              <w:rPr>
                <w:color w:val="auto"/>
                <w:highlight w:val="none"/>
              </w:rPr>
              <w:t>0.00314</w:t>
            </w:r>
          </w:p>
        </w:tc>
        <w:tc>
          <w:tcPr>
            <w:tcW w:w="872" w:type="dxa"/>
            <w:noWrap/>
            <w:vAlign w:val="center"/>
          </w:tcPr>
          <w:p w14:paraId="4110D5D1">
            <w:pPr>
              <w:pStyle w:val="41"/>
              <w:rPr>
                <w:color w:val="auto"/>
                <w:highlight w:val="none"/>
              </w:rPr>
            </w:pPr>
            <w:r>
              <w:rPr>
                <w:color w:val="auto"/>
                <w:highlight w:val="none"/>
              </w:rPr>
              <w:t>0.7</w:t>
            </w:r>
          </w:p>
        </w:tc>
      </w:tr>
      <w:tr w14:paraId="3902A2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86EBD18">
            <w:pPr>
              <w:pStyle w:val="41"/>
              <w:rPr>
                <w:color w:val="auto"/>
                <w:highlight w:val="none"/>
              </w:rPr>
            </w:pPr>
            <w:r>
              <w:rPr>
                <w:color w:val="auto"/>
                <w:highlight w:val="none"/>
              </w:rPr>
              <w:t>8</w:t>
            </w:r>
          </w:p>
        </w:tc>
        <w:tc>
          <w:tcPr>
            <w:tcW w:w="1254" w:type="dxa"/>
            <w:noWrap/>
            <w:vAlign w:val="center"/>
          </w:tcPr>
          <w:p w14:paraId="4B593D6D">
            <w:pPr>
              <w:pStyle w:val="41"/>
              <w:rPr>
                <w:color w:val="auto"/>
                <w:highlight w:val="none"/>
              </w:rPr>
            </w:pPr>
            <w:r>
              <w:rPr>
                <w:color w:val="auto"/>
                <w:highlight w:val="none"/>
              </w:rPr>
              <w:t>150</w:t>
            </w:r>
          </w:p>
        </w:tc>
        <w:tc>
          <w:tcPr>
            <w:tcW w:w="1532" w:type="dxa"/>
            <w:noWrap/>
            <w:vAlign w:val="center"/>
          </w:tcPr>
          <w:p w14:paraId="3996543E">
            <w:pPr>
              <w:pStyle w:val="41"/>
              <w:rPr>
                <w:color w:val="auto"/>
                <w:highlight w:val="none"/>
              </w:rPr>
            </w:pPr>
            <w:r>
              <w:rPr>
                <w:color w:val="auto"/>
                <w:highlight w:val="none"/>
              </w:rPr>
              <w:t>0.009311</w:t>
            </w:r>
          </w:p>
        </w:tc>
        <w:tc>
          <w:tcPr>
            <w:tcW w:w="946" w:type="dxa"/>
            <w:noWrap/>
            <w:vAlign w:val="center"/>
          </w:tcPr>
          <w:p w14:paraId="572A999A">
            <w:pPr>
              <w:pStyle w:val="41"/>
              <w:rPr>
                <w:color w:val="auto"/>
                <w:highlight w:val="none"/>
              </w:rPr>
            </w:pPr>
            <w:r>
              <w:rPr>
                <w:color w:val="auto"/>
                <w:highlight w:val="none"/>
              </w:rPr>
              <w:t>1.86</w:t>
            </w:r>
          </w:p>
        </w:tc>
        <w:tc>
          <w:tcPr>
            <w:tcW w:w="1398" w:type="dxa"/>
            <w:noWrap/>
            <w:vAlign w:val="center"/>
          </w:tcPr>
          <w:p w14:paraId="185382F0">
            <w:pPr>
              <w:pStyle w:val="41"/>
              <w:rPr>
                <w:color w:val="auto"/>
                <w:highlight w:val="none"/>
              </w:rPr>
            </w:pPr>
            <w:r>
              <w:rPr>
                <w:color w:val="auto"/>
                <w:highlight w:val="none"/>
              </w:rPr>
              <w:t>0.005529</w:t>
            </w:r>
          </w:p>
        </w:tc>
        <w:tc>
          <w:tcPr>
            <w:tcW w:w="872" w:type="dxa"/>
            <w:noWrap/>
            <w:vAlign w:val="center"/>
          </w:tcPr>
          <w:p w14:paraId="56D2EA6F">
            <w:pPr>
              <w:pStyle w:val="41"/>
              <w:rPr>
                <w:color w:val="auto"/>
                <w:highlight w:val="none"/>
              </w:rPr>
            </w:pPr>
            <w:r>
              <w:rPr>
                <w:color w:val="auto"/>
                <w:highlight w:val="none"/>
              </w:rPr>
              <w:t>2.76</w:t>
            </w:r>
          </w:p>
        </w:tc>
        <w:tc>
          <w:tcPr>
            <w:tcW w:w="1398" w:type="dxa"/>
            <w:noWrap/>
            <w:vAlign w:val="center"/>
          </w:tcPr>
          <w:p w14:paraId="74787578">
            <w:pPr>
              <w:pStyle w:val="41"/>
              <w:rPr>
                <w:color w:val="auto"/>
                <w:highlight w:val="none"/>
              </w:rPr>
            </w:pPr>
            <w:r>
              <w:rPr>
                <w:color w:val="auto"/>
                <w:highlight w:val="none"/>
              </w:rPr>
              <w:t>0.002728</w:t>
            </w:r>
          </w:p>
        </w:tc>
        <w:tc>
          <w:tcPr>
            <w:tcW w:w="872" w:type="dxa"/>
            <w:noWrap/>
            <w:vAlign w:val="center"/>
          </w:tcPr>
          <w:p w14:paraId="4C3F71EE">
            <w:pPr>
              <w:pStyle w:val="41"/>
              <w:rPr>
                <w:color w:val="auto"/>
                <w:highlight w:val="none"/>
              </w:rPr>
            </w:pPr>
            <w:r>
              <w:rPr>
                <w:color w:val="auto"/>
                <w:highlight w:val="none"/>
              </w:rPr>
              <w:t>0.61</w:t>
            </w:r>
          </w:p>
        </w:tc>
      </w:tr>
      <w:tr w14:paraId="552BB7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3527EAA4">
            <w:pPr>
              <w:pStyle w:val="41"/>
              <w:rPr>
                <w:color w:val="auto"/>
                <w:highlight w:val="none"/>
              </w:rPr>
            </w:pPr>
            <w:r>
              <w:rPr>
                <w:color w:val="auto"/>
                <w:highlight w:val="none"/>
              </w:rPr>
              <w:t>9</w:t>
            </w:r>
          </w:p>
        </w:tc>
        <w:tc>
          <w:tcPr>
            <w:tcW w:w="1254" w:type="dxa"/>
            <w:noWrap/>
            <w:vAlign w:val="center"/>
          </w:tcPr>
          <w:p w14:paraId="576171F7">
            <w:pPr>
              <w:pStyle w:val="41"/>
              <w:rPr>
                <w:color w:val="auto"/>
                <w:highlight w:val="none"/>
              </w:rPr>
            </w:pPr>
            <w:r>
              <w:rPr>
                <w:color w:val="auto"/>
                <w:highlight w:val="none"/>
              </w:rPr>
              <w:t>175</w:t>
            </w:r>
          </w:p>
        </w:tc>
        <w:tc>
          <w:tcPr>
            <w:tcW w:w="1532" w:type="dxa"/>
            <w:noWrap/>
            <w:vAlign w:val="center"/>
          </w:tcPr>
          <w:p w14:paraId="505DE925">
            <w:pPr>
              <w:pStyle w:val="41"/>
              <w:rPr>
                <w:color w:val="auto"/>
                <w:highlight w:val="none"/>
              </w:rPr>
            </w:pPr>
            <w:r>
              <w:rPr>
                <w:color w:val="auto"/>
                <w:highlight w:val="none"/>
              </w:rPr>
              <w:t>0.008158</w:t>
            </w:r>
          </w:p>
        </w:tc>
        <w:tc>
          <w:tcPr>
            <w:tcW w:w="946" w:type="dxa"/>
            <w:noWrap/>
            <w:vAlign w:val="center"/>
          </w:tcPr>
          <w:p w14:paraId="3DC6172B">
            <w:pPr>
              <w:pStyle w:val="41"/>
              <w:rPr>
                <w:color w:val="auto"/>
                <w:highlight w:val="none"/>
              </w:rPr>
            </w:pPr>
            <w:r>
              <w:rPr>
                <w:color w:val="auto"/>
                <w:highlight w:val="none"/>
              </w:rPr>
              <w:t>1.63</w:t>
            </w:r>
          </w:p>
        </w:tc>
        <w:tc>
          <w:tcPr>
            <w:tcW w:w="1398" w:type="dxa"/>
            <w:noWrap/>
            <w:vAlign w:val="center"/>
          </w:tcPr>
          <w:p w14:paraId="7373A795">
            <w:pPr>
              <w:pStyle w:val="41"/>
              <w:rPr>
                <w:color w:val="auto"/>
                <w:highlight w:val="none"/>
              </w:rPr>
            </w:pPr>
            <w:r>
              <w:rPr>
                <w:color w:val="auto"/>
                <w:highlight w:val="none"/>
              </w:rPr>
              <w:t>0.004844</w:t>
            </w:r>
          </w:p>
        </w:tc>
        <w:tc>
          <w:tcPr>
            <w:tcW w:w="872" w:type="dxa"/>
            <w:noWrap/>
            <w:vAlign w:val="center"/>
          </w:tcPr>
          <w:p w14:paraId="36F0EC9A">
            <w:pPr>
              <w:pStyle w:val="41"/>
              <w:rPr>
                <w:color w:val="auto"/>
                <w:highlight w:val="none"/>
              </w:rPr>
            </w:pPr>
            <w:r>
              <w:rPr>
                <w:color w:val="auto"/>
                <w:highlight w:val="none"/>
              </w:rPr>
              <w:t>2.42</w:t>
            </w:r>
          </w:p>
        </w:tc>
        <w:tc>
          <w:tcPr>
            <w:tcW w:w="1398" w:type="dxa"/>
            <w:noWrap/>
            <w:vAlign w:val="center"/>
          </w:tcPr>
          <w:p w14:paraId="53B191F5">
            <w:pPr>
              <w:pStyle w:val="41"/>
              <w:rPr>
                <w:color w:val="auto"/>
                <w:highlight w:val="none"/>
              </w:rPr>
            </w:pPr>
            <w:r>
              <w:rPr>
                <w:color w:val="auto"/>
                <w:highlight w:val="none"/>
              </w:rPr>
              <w:t>0.00239</w:t>
            </w:r>
          </w:p>
        </w:tc>
        <w:tc>
          <w:tcPr>
            <w:tcW w:w="872" w:type="dxa"/>
            <w:noWrap/>
            <w:vAlign w:val="center"/>
          </w:tcPr>
          <w:p w14:paraId="5E393ED1">
            <w:pPr>
              <w:pStyle w:val="41"/>
              <w:rPr>
                <w:color w:val="auto"/>
                <w:highlight w:val="none"/>
              </w:rPr>
            </w:pPr>
            <w:r>
              <w:rPr>
                <w:color w:val="auto"/>
                <w:highlight w:val="none"/>
              </w:rPr>
              <w:t>0.53</w:t>
            </w:r>
          </w:p>
        </w:tc>
      </w:tr>
      <w:tr w14:paraId="75AD35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0929F40D">
            <w:pPr>
              <w:pStyle w:val="41"/>
              <w:rPr>
                <w:color w:val="auto"/>
                <w:highlight w:val="none"/>
              </w:rPr>
            </w:pPr>
            <w:r>
              <w:rPr>
                <w:color w:val="auto"/>
                <w:highlight w:val="none"/>
              </w:rPr>
              <w:t>10</w:t>
            </w:r>
          </w:p>
        </w:tc>
        <w:tc>
          <w:tcPr>
            <w:tcW w:w="1254" w:type="dxa"/>
            <w:noWrap/>
            <w:vAlign w:val="center"/>
          </w:tcPr>
          <w:p w14:paraId="29844375">
            <w:pPr>
              <w:pStyle w:val="41"/>
              <w:rPr>
                <w:color w:val="auto"/>
                <w:highlight w:val="none"/>
              </w:rPr>
            </w:pPr>
            <w:r>
              <w:rPr>
                <w:color w:val="auto"/>
                <w:highlight w:val="none"/>
              </w:rPr>
              <w:t>200</w:t>
            </w:r>
          </w:p>
        </w:tc>
        <w:tc>
          <w:tcPr>
            <w:tcW w:w="1532" w:type="dxa"/>
            <w:noWrap/>
            <w:vAlign w:val="center"/>
          </w:tcPr>
          <w:p w14:paraId="521CA3D6">
            <w:pPr>
              <w:pStyle w:val="41"/>
              <w:rPr>
                <w:color w:val="auto"/>
                <w:highlight w:val="none"/>
              </w:rPr>
            </w:pPr>
            <w:r>
              <w:rPr>
                <w:color w:val="auto"/>
                <w:highlight w:val="none"/>
              </w:rPr>
              <w:t>0.008226</w:t>
            </w:r>
          </w:p>
        </w:tc>
        <w:tc>
          <w:tcPr>
            <w:tcW w:w="946" w:type="dxa"/>
            <w:noWrap/>
            <w:vAlign w:val="center"/>
          </w:tcPr>
          <w:p w14:paraId="2FC63BC2">
            <w:pPr>
              <w:pStyle w:val="41"/>
              <w:rPr>
                <w:color w:val="auto"/>
                <w:highlight w:val="none"/>
              </w:rPr>
            </w:pPr>
            <w:r>
              <w:rPr>
                <w:color w:val="auto"/>
                <w:highlight w:val="none"/>
              </w:rPr>
              <w:t>1.65</w:t>
            </w:r>
          </w:p>
        </w:tc>
        <w:tc>
          <w:tcPr>
            <w:tcW w:w="1398" w:type="dxa"/>
            <w:noWrap/>
            <w:vAlign w:val="center"/>
          </w:tcPr>
          <w:p w14:paraId="62EF5458">
            <w:pPr>
              <w:pStyle w:val="41"/>
              <w:rPr>
                <w:color w:val="auto"/>
                <w:highlight w:val="none"/>
              </w:rPr>
            </w:pPr>
            <w:r>
              <w:rPr>
                <w:color w:val="auto"/>
                <w:highlight w:val="none"/>
              </w:rPr>
              <w:t>0.004884</w:t>
            </w:r>
          </w:p>
        </w:tc>
        <w:tc>
          <w:tcPr>
            <w:tcW w:w="872" w:type="dxa"/>
            <w:noWrap/>
            <w:vAlign w:val="center"/>
          </w:tcPr>
          <w:p w14:paraId="1283B021">
            <w:pPr>
              <w:pStyle w:val="41"/>
              <w:rPr>
                <w:color w:val="auto"/>
                <w:highlight w:val="none"/>
              </w:rPr>
            </w:pPr>
            <w:r>
              <w:rPr>
                <w:color w:val="auto"/>
                <w:highlight w:val="none"/>
              </w:rPr>
              <w:t>2.44</w:t>
            </w:r>
          </w:p>
        </w:tc>
        <w:tc>
          <w:tcPr>
            <w:tcW w:w="1398" w:type="dxa"/>
            <w:noWrap/>
            <w:vAlign w:val="center"/>
          </w:tcPr>
          <w:p w14:paraId="610894A3">
            <w:pPr>
              <w:pStyle w:val="41"/>
              <w:rPr>
                <w:color w:val="auto"/>
                <w:highlight w:val="none"/>
              </w:rPr>
            </w:pPr>
            <w:r>
              <w:rPr>
                <w:color w:val="auto"/>
                <w:highlight w:val="none"/>
              </w:rPr>
              <w:t>0.00241</w:t>
            </w:r>
          </w:p>
        </w:tc>
        <w:tc>
          <w:tcPr>
            <w:tcW w:w="872" w:type="dxa"/>
            <w:noWrap/>
            <w:vAlign w:val="center"/>
          </w:tcPr>
          <w:p w14:paraId="213B2954">
            <w:pPr>
              <w:pStyle w:val="41"/>
              <w:rPr>
                <w:color w:val="auto"/>
                <w:highlight w:val="none"/>
              </w:rPr>
            </w:pPr>
            <w:r>
              <w:rPr>
                <w:color w:val="auto"/>
                <w:highlight w:val="none"/>
              </w:rPr>
              <w:t>0.54</w:t>
            </w:r>
          </w:p>
        </w:tc>
      </w:tr>
      <w:tr w14:paraId="43C140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0EAACB2">
            <w:pPr>
              <w:pStyle w:val="41"/>
              <w:rPr>
                <w:color w:val="auto"/>
                <w:highlight w:val="none"/>
              </w:rPr>
            </w:pPr>
            <w:r>
              <w:rPr>
                <w:color w:val="auto"/>
                <w:highlight w:val="none"/>
              </w:rPr>
              <w:t>11</w:t>
            </w:r>
          </w:p>
        </w:tc>
        <w:tc>
          <w:tcPr>
            <w:tcW w:w="1254" w:type="dxa"/>
            <w:noWrap/>
            <w:vAlign w:val="center"/>
          </w:tcPr>
          <w:p w14:paraId="15EFF4DE">
            <w:pPr>
              <w:pStyle w:val="41"/>
              <w:rPr>
                <w:color w:val="auto"/>
                <w:highlight w:val="none"/>
              </w:rPr>
            </w:pPr>
            <w:r>
              <w:rPr>
                <w:color w:val="auto"/>
                <w:highlight w:val="none"/>
              </w:rPr>
              <w:t>225</w:t>
            </w:r>
          </w:p>
        </w:tc>
        <w:tc>
          <w:tcPr>
            <w:tcW w:w="1532" w:type="dxa"/>
            <w:noWrap/>
            <w:vAlign w:val="center"/>
          </w:tcPr>
          <w:p w14:paraId="3191B813">
            <w:pPr>
              <w:pStyle w:val="41"/>
              <w:rPr>
                <w:color w:val="auto"/>
                <w:highlight w:val="none"/>
              </w:rPr>
            </w:pPr>
            <w:r>
              <w:rPr>
                <w:color w:val="auto"/>
                <w:highlight w:val="none"/>
              </w:rPr>
              <w:t>0.008053</w:t>
            </w:r>
          </w:p>
        </w:tc>
        <w:tc>
          <w:tcPr>
            <w:tcW w:w="946" w:type="dxa"/>
            <w:noWrap/>
            <w:vAlign w:val="center"/>
          </w:tcPr>
          <w:p w14:paraId="3E4F790F">
            <w:pPr>
              <w:pStyle w:val="41"/>
              <w:rPr>
                <w:color w:val="auto"/>
                <w:highlight w:val="none"/>
              </w:rPr>
            </w:pPr>
            <w:r>
              <w:rPr>
                <w:color w:val="auto"/>
                <w:highlight w:val="none"/>
              </w:rPr>
              <w:t>1.61</w:t>
            </w:r>
          </w:p>
        </w:tc>
        <w:tc>
          <w:tcPr>
            <w:tcW w:w="1398" w:type="dxa"/>
            <w:noWrap/>
            <w:vAlign w:val="center"/>
          </w:tcPr>
          <w:p w14:paraId="09E40B38">
            <w:pPr>
              <w:pStyle w:val="41"/>
              <w:rPr>
                <w:color w:val="auto"/>
                <w:highlight w:val="none"/>
              </w:rPr>
            </w:pPr>
            <w:r>
              <w:rPr>
                <w:color w:val="auto"/>
                <w:highlight w:val="none"/>
              </w:rPr>
              <w:t>0.004781</w:t>
            </w:r>
          </w:p>
        </w:tc>
        <w:tc>
          <w:tcPr>
            <w:tcW w:w="872" w:type="dxa"/>
            <w:noWrap/>
            <w:vAlign w:val="center"/>
          </w:tcPr>
          <w:p w14:paraId="0C8F23DC">
            <w:pPr>
              <w:pStyle w:val="41"/>
              <w:rPr>
                <w:color w:val="auto"/>
                <w:highlight w:val="none"/>
              </w:rPr>
            </w:pPr>
            <w:r>
              <w:rPr>
                <w:color w:val="auto"/>
                <w:highlight w:val="none"/>
              </w:rPr>
              <w:t>2.39</w:t>
            </w:r>
          </w:p>
        </w:tc>
        <w:tc>
          <w:tcPr>
            <w:tcW w:w="1398" w:type="dxa"/>
            <w:noWrap/>
            <w:vAlign w:val="center"/>
          </w:tcPr>
          <w:p w14:paraId="6A5F7175">
            <w:pPr>
              <w:pStyle w:val="41"/>
              <w:rPr>
                <w:color w:val="auto"/>
                <w:highlight w:val="none"/>
              </w:rPr>
            </w:pPr>
            <w:r>
              <w:rPr>
                <w:color w:val="auto"/>
                <w:highlight w:val="none"/>
              </w:rPr>
              <w:t>0.002359</w:t>
            </w:r>
          </w:p>
        </w:tc>
        <w:tc>
          <w:tcPr>
            <w:tcW w:w="872" w:type="dxa"/>
            <w:noWrap/>
            <w:vAlign w:val="center"/>
          </w:tcPr>
          <w:p w14:paraId="6A907ABB">
            <w:pPr>
              <w:pStyle w:val="41"/>
              <w:rPr>
                <w:color w:val="auto"/>
                <w:highlight w:val="none"/>
              </w:rPr>
            </w:pPr>
            <w:r>
              <w:rPr>
                <w:color w:val="auto"/>
                <w:highlight w:val="none"/>
              </w:rPr>
              <w:t>0.52</w:t>
            </w:r>
          </w:p>
        </w:tc>
      </w:tr>
      <w:tr w14:paraId="765136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67E6D059">
            <w:pPr>
              <w:pStyle w:val="41"/>
              <w:rPr>
                <w:color w:val="auto"/>
                <w:highlight w:val="none"/>
              </w:rPr>
            </w:pPr>
            <w:r>
              <w:rPr>
                <w:color w:val="auto"/>
                <w:highlight w:val="none"/>
              </w:rPr>
              <w:t>12</w:t>
            </w:r>
          </w:p>
        </w:tc>
        <w:tc>
          <w:tcPr>
            <w:tcW w:w="1254" w:type="dxa"/>
            <w:noWrap/>
            <w:vAlign w:val="center"/>
          </w:tcPr>
          <w:p w14:paraId="1CD3C724">
            <w:pPr>
              <w:pStyle w:val="41"/>
              <w:rPr>
                <w:color w:val="auto"/>
                <w:highlight w:val="none"/>
              </w:rPr>
            </w:pPr>
            <w:r>
              <w:rPr>
                <w:color w:val="auto"/>
                <w:highlight w:val="none"/>
              </w:rPr>
              <w:t>250</w:t>
            </w:r>
          </w:p>
        </w:tc>
        <w:tc>
          <w:tcPr>
            <w:tcW w:w="1532" w:type="dxa"/>
            <w:noWrap/>
            <w:vAlign w:val="center"/>
          </w:tcPr>
          <w:p w14:paraId="038B7DA2">
            <w:pPr>
              <w:pStyle w:val="41"/>
              <w:rPr>
                <w:color w:val="auto"/>
                <w:highlight w:val="none"/>
              </w:rPr>
            </w:pPr>
            <w:r>
              <w:rPr>
                <w:color w:val="auto"/>
                <w:highlight w:val="none"/>
              </w:rPr>
              <w:t>0.007808</w:t>
            </w:r>
          </w:p>
        </w:tc>
        <w:tc>
          <w:tcPr>
            <w:tcW w:w="946" w:type="dxa"/>
            <w:noWrap/>
            <w:vAlign w:val="center"/>
          </w:tcPr>
          <w:p w14:paraId="195F6341">
            <w:pPr>
              <w:pStyle w:val="41"/>
              <w:rPr>
                <w:color w:val="auto"/>
                <w:highlight w:val="none"/>
              </w:rPr>
            </w:pPr>
            <w:r>
              <w:rPr>
                <w:color w:val="auto"/>
                <w:highlight w:val="none"/>
              </w:rPr>
              <w:t>1.56</w:t>
            </w:r>
          </w:p>
        </w:tc>
        <w:tc>
          <w:tcPr>
            <w:tcW w:w="1398" w:type="dxa"/>
            <w:noWrap/>
            <w:vAlign w:val="center"/>
          </w:tcPr>
          <w:p w14:paraId="7B6F7F50">
            <w:pPr>
              <w:pStyle w:val="41"/>
              <w:rPr>
                <w:color w:val="auto"/>
                <w:highlight w:val="none"/>
              </w:rPr>
            </w:pPr>
            <w:r>
              <w:rPr>
                <w:color w:val="auto"/>
                <w:highlight w:val="none"/>
              </w:rPr>
              <w:t>0.004636</w:t>
            </w:r>
          </w:p>
        </w:tc>
        <w:tc>
          <w:tcPr>
            <w:tcW w:w="872" w:type="dxa"/>
            <w:noWrap/>
            <w:vAlign w:val="center"/>
          </w:tcPr>
          <w:p w14:paraId="7F7423EF">
            <w:pPr>
              <w:pStyle w:val="41"/>
              <w:rPr>
                <w:color w:val="auto"/>
                <w:highlight w:val="none"/>
              </w:rPr>
            </w:pPr>
            <w:r>
              <w:rPr>
                <w:color w:val="auto"/>
                <w:highlight w:val="none"/>
              </w:rPr>
              <w:t>2.32</w:t>
            </w:r>
          </w:p>
        </w:tc>
        <w:tc>
          <w:tcPr>
            <w:tcW w:w="1398" w:type="dxa"/>
            <w:noWrap/>
            <w:vAlign w:val="center"/>
          </w:tcPr>
          <w:p w14:paraId="25937C0A">
            <w:pPr>
              <w:pStyle w:val="41"/>
              <w:rPr>
                <w:color w:val="auto"/>
                <w:highlight w:val="none"/>
              </w:rPr>
            </w:pPr>
            <w:r>
              <w:rPr>
                <w:color w:val="auto"/>
                <w:highlight w:val="none"/>
              </w:rPr>
              <w:t>0.002288</w:t>
            </w:r>
          </w:p>
        </w:tc>
        <w:tc>
          <w:tcPr>
            <w:tcW w:w="872" w:type="dxa"/>
            <w:noWrap/>
            <w:vAlign w:val="center"/>
          </w:tcPr>
          <w:p w14:paraId="260A5AFC">
            <w:pPr>
              <w:pStyle w:val="41"/>
              <w:rPr>
                <w:color w:val="auto"/>
                <w:highlight w:val="none"/>
              </w:rPr>
            </w:pPr>
            <w:r>
              <w:rPr>
                <w:color w:val="auto"/>
                <w:highlight w:val="none"/>
              </w:rPr>
              <w:t>0.51</w:t>
            </w:r>
          </w:p>
        </w:tc>
      </w:tr>
      <w:tr w14:paraId="67A7B3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4ADA530">
            <w:pPr>
              <w:pStyle w:val="41"/>
              <w:rPr>
                <w:color w:val="auto"/>
                <w:highlight w:val="none"/>
              </w:rPr>
            </w:pPr>
            <w:r>
              <w:rPr>
                <w:color w:val="auto"/>
                <w:highlight w:val="none"/>
              </w:rPr>
              <w:t>13</w:t>
            </w:r>
          </w:p>
        </w:tc>
        <w:tc>
          <w:tcPr>
            <w:tcW w:w="1254" w:type="dxa"/>
            <w:noWrap/>
            <w:vAlign w:val="center"/>
          </w:tcPr>
          <w:p w14:paraId="34A6E2A7">
            <w:pPr>
              <w:pStyle w:val="41"/>
              <w:rPr>
                <w:color w:val="auto"/>
                <w:highlight w:val="none"/>
              </w:rPr>
            </w:pPr>
            <w:r>
              <w:rPr>
                <w:color w:val="auto"/>
                <w:highlight w:val="none"/>
              </w:rPr>
              <w:t>275</w:t>
            </w:r>
          </w:p>
        </w:tc>
        <w:tc>
          <w:tcPr>
            <w:tcW w:w="1532" w:type="dxa"/>
            <w:noWrap/>
            <w:vAlign w:val="center"/>
          </w:tcPr>
          <w:p w14:paraId="0151EDB3">
            <w:pPr>
              <w:pStyle w:val="41"/>
              <w:rPr>
                <w:color w:val="auto"/>
                <w:highlight w:val="none"/>
              </w:rPr>
            </w:pPr>
            <w:r>
              <w:rPr>
                <w:color w:val="auto"/>
                <w:highlight w:val="none"/>
              </w:rPr>
              <w:t>0.007542</w:t>
            </w:r>
          </w:p>
        </w:tc>
        <w:tc>
          <w:tcPr>
            <w:tcW w:w="946" w:type="dxa"/>
            <w:noWrap/>
            <w:vAlign w:val="center"/>
          </w:tcPr>
          <w:p w14:paraId="3F189503">
            <w:pPr>
              <w:pStyle w:val="41"/>
              <w:rPr>
                <w:color w:val="auto"/>
                <w:highlight w:val="none"/>
              </w:rPr>
            </w:pPr>
            <w:r>
              <w:rPr>
                <w:color w:val="auto"/>
                <w:highlight w:val="none"/>
              </w:rPr>
              <w:t>1.51</w:t>
            </w:r>
          </w:p>
        </w:tc>
        <w:tc>
          <w:tcPr>
            <w:tcW w:w="1398" w:type="dxa"/>
            <w:noWrap/>
            <w:vAlign w:val="center"/>
          </w:tcPr>
          <w:p w14:paraId="2D197BA5">
            <w:pPr>
              <w:pStyle w:val="41"/>
              <w:rPr>
                <w:color w:val="auto"/>
                <w:highlight w:val="none"/>
              </w:rPr>
            </w:pPr>
            <w:r>
              <w:rPr>
                <w:color w:val="auto"/>
                <w:highlight w:val="none"/>
              </w:rPr>
              <w:t>0.004478</w:t>
            </w:r>
          </w:p>
        </w:tc>
        <w:tc>
          <w:tcPr>
            <w:tcW w:w="872" w:type="dxa"/>
            <w:noWrap/>
            <w:vAlign w:val="center"/>
          </w:tcPr>
          <w:p w14:paraId="45A928EE">
            <w:pPr>
              <w:pStyle w:val="41"/>
              <w:rPr>
                <w:color w:val="auto"/>
                <w:highlight w:val="none"/>
              </w:rPr>
            </w:pPr>
            <w:r>
              <w:rPr>
                <w:color w:val="auto"/>
                <w:highlight w:val="none"/>
              </w:rPr>
              <w:t>2.24</w:t>
            </w:r>
          </w:p>
        </w:tc>
        <w:tc>
          <w:tcPr>
            <w:tcW w:w="1398" w:type="dxa"/>
            <w:noWrap/>
            <w:vAlign w:val="center"/>
          </w:tcPr>
          <w:p w14:paraId="059410F3">
            <w:pPr>
              <w:pStyle w:val="41"/>
              <w:rPr>
                <w:color w:val="auto"/>
                <w:highlight w:val="none"/>
              </w:rPr>
            </w:pPr>
            <w:r>
              <w:rPr>
                <w:color w:val="auto"/>
                <w:highlight w:val="none"/>
              </w:rPr>
              <w:t>0.00221</w:t>
            </w:r>
          </w:p>
        </w:tc>
        <w:tc>
          <w:tcPr>
            <w:tcW w:w="872" w:type="dxa"/>
            <w:noWrap/>
            <w:vAlign w:val="center"/>
          </w:tcPr>
          <w:p w14:paraId="1C5AEFA1">
            <w:pPr>
              <w:pStyle w:val="41"/>
              <w:rPr>
                <w:color w:val="auto"/>
                <w:highlight w:val="none"/>
              </w:rPr>
            </w:pPr>
            <w:r>
              <w:rPr>
                <w:color w:val="auto"/>
                <w:highlight w:val="none"/>
              </w:rPr>
              <w:t>0.49</w:t>
            </w:r>
          </w:p>
        </w:tc>
      </w:tr>
      <w:tr w14:paraId="4338B3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7A00DAD">
            <w:pPr>
              <w:pStyle w:val="41"/>
              <w:rPr>
                <w:color w:val="auto"/>
                <w:highlight w:val="none"/>
              </w:rPr>
            </w:pPr>
            <w:r>
              <w:rPr>
                <w:color w:val="auto"/>
                <w:highlight w:val="none"/>
              </w:rPr>
              <w:t>14</w:t>
            </w:r>
          </w:p>
        </w:tc>
        <w:tc>
          <w:tcPr>
            <w:tcW w:w="1254" w:type="dxa"/>
            <w:noWrap/>
            <w:vAlign w:val="center"/>
          </w:tcPr>
          <w:p w14:paraId="42397D70">
            <w:pPr>
              <w:pStyle w:val="41"/>
              <w:rPr>
                <w:color w:val="auto"/>
                <w:highlight w:val="none"/>
              </w:rPr>
            </w:pPr>
            <w:r>
              <w:rPr>
                <w:color w:val="auto"/>
                <w:highlight w:val="none"/>
              </w:rPr>
              <w:t>300</w:t>
            </w:r>
          </w:p>
        </w:tc>
        <w:tc>
          <w:tcPr>
            <w:tcW w:w="1532" w:type="dxa"/>
            <w:noWrap/>
            <w:vAlign w:val="center"/>
          </w:tcPr>
          <w:p w14:paraId="328E187E">
            <w:pPr>
              <w:pStyle w:val="41"/>
              <w:rPr>
                <w:color w:val="auto"/>
                <w:highlight w:val="none"/>
              </w:rPr>
            </w:pPr>
            <w:r>
              <w:rPr>
                <w:color w:val="auto"/>
                <w:highlight w:val="none"/>
              </w:rPr>
              <w:t>0.007273</w:t>
            </w:r>
          </w:p>
        </w:tc>
        <w:tc>
          <w:tcPr>
            <w:tcW w:w="946" w:type="dxa"/>
            <w:noWrap/>
            <w:vAlign w:val="center"/>
          </w:tcPr>
          <w:p w14:paraId="104E5558">
            <w:pPr>
              <w:pStyle w:val="41"/>
              <w:rPr>
                <w:color w:val="auto"/>
                <w:highlight w:val="none"/>
              </w:rPr>
            </w:pPr>
            <w:r>
              <w:rPr>
                <w:color w:val="auto"/>
                <w:highlight w:val="none"/>
              </w:rPr>
              <w:t>1.45</w:t>
            </w:r>
          </w:p>
        </w:tc>
        <w:tc>
          <w:tcPr>
            <w:tcW w:w="1398" w:type="dxa"/>
            <w:noWrap/>
            <w:vAlign w:val="center"/>
          </w:tcPr>
          <w:p w14:paraId="282CD3F5">
            <w:pPr>
              <w:pStyle w:val="41"/>
              <w:rPr>
                <w:color w:val="auto"/>
                <w:highlight w:val="none"/>
              </w:rPr>
            </w:pPr>
            <w:r>
              <w:rPr>
                <w:color w:val="auto"/>
                <w:highlight w:val="none"/>
              </w:rPr>
              <w:t>0.004318</w:t>
            </w:r>
          </w:p>
        </w:tc>
        <w:tc>
          <w:tcPr>
            <w:tcW w:w="872" w:type="dxa"/>
            <w:noWrap/>
            <w:vAlign w:val="center"/>
          </w:tcPr>
          <w:p w14:paraId="5ACC2050">
            <w:pPr>
              <w:pStyle w:val="41"/>
              <w:rPr>
                <w:color w:val="auto"/>
                <w:highlight w:val="none"/>
              </w:rPr>
            </w:pPr>
            <w:r>
              <w:rPr>
                <w:color w:val="auto"/>
                <w:highlight w:val="none"/>
              </w:rPr>
              <w:t>2.16</w:t>
            </w:r>
          </w:p>
        </w:tc>
        <w:tc>
          <w:tcPr>
            <w:tcW w:w="1398" w:type="dxa"/>
            <w:noWrap/>
            <w:vAlign w:val="center"/>
          </w:tcPr>
          <w:p w14:paraId="640093BF">
            <w:pPr>
              <w:pStyle w:val="41"/>
              <w:rPr>
                <w:color w:val="auto"/>
                <w:highlight w:val="none"/>
              </w:rPr>
            </w:pPr>
            <w:r>
              <w:rPr>
                <w:color w:val="auto"/>
                <w:highlight w:val="none"/>
              </w:rPr>
              <w:t>0.002131</w:t>
            </w:r>
          </w:p>
        </w:tc>
        <w:tc>
          <w:tcPr>
            <w:tcW w:w="872" w:type="dxa"/>
            <w:noWrap/>
            <w:vAlign w:val="center"/>
          </w:tcPr>
          <w:p w14:paraId="0530FBCE">
            <w:pPr>
              <w:pStyle w:val="41"/>
              <w:rPr>
                <w:color w:val="auto"/>
                <w:highlight w:val="none"/>
              </w:rPr>
            </w:pPr>
            <w:r>
              <w:rPr>
                <w:color w:val="auto"/>
                <w:highlight w:val="none"/>
              </w:rPr>
              <w:t>0.47</w:t>
            </w:r>
          </w:p>
        </w:tc>
      </w:tr>
      <w:tr w14:paraId="54C643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713DA42D">
            <w:pPr>
              <w:pStyle w:val="41"/>
              <w:rPr>
                <w:color w:val="auto"/>
                <w:highlight w:val="none"/>
              </w:rPr>
            </w:pPr>
            <w:r>
              <w:rPr>
                <w:color w:val="auto"/>
                <w:highlight w:val="none"/>
              </w:rPr>
              <w:t>15</w:t>
            </w:r>
          </w:p>
        </w:tc>
        <w:tc>
          <w:tcPr>
            <w:tcW w:w="1254" w:type="dxa"/>
            <w:noWrap/>
            <w:vAlign w:val="center"/>
          </w:tcPr>
          <w:p w14:paraId="64D03759">
            <w:pPr>
              <w:pStyle w:val="41"/>
              <w:rPr>
                <w:color w:val="auto"/>
                <w:highlight w:val="none"/>
              </w:rPr>
            </w:pPr>
            <w:r>
              <w:rPr>
                <w:color w:val="auto"/>
                <w:highlight w:val="none"/>
              </w:rPr>
              <w:t>325</w:t>
            </w:r>
          </w:p>
        </w:tc>
        <w:tc>
          <w:tcPr>
            <w:tcW w:w="1532" w:type="dxa"/>
            <w:noWrap/>
            <w:vAlign w:val="center"/>
          </w:tcPr>
          <w:p w14:paraId="22E84BD8">
            <w:pPr>
              <w:pStyle w:val="41"/>
              <w:rPr>
                <w:color w:val="auto"/>
                <w:highlight w:val="none"/>
              </w:rPr>
            </w:pPr>
            <w:r>
              <w:rPr>
                <w:color w:val="auto"/>
                <w:highlight w:val="none"/>
              </w:rPr>
              <w:t>0.007009</w:t>
            </w:r>
          </w:p>
        </w:tc>
        <w:tc>
          <w:tcPr>
            <w:tcW w:w="946" w:type="dxa"/>
            <w:noWrap/>
            <w:vAlign w:val="center"/>
          </w:tcPr>
          <w:p w14:paraId="44B25045">
            <w:pPr>
              <w:pStyle w:val="41"/>
              <w:rPr>
                <w:color w:val="auto"/>
                <w:highlight w:val="none"/>
              </w:rPr>
            </w:pPr>
            <w:r>
              <w:rPr>
                <w:color w:val="auto"/>
                <w:highlight w:val="none"/>
              </w:rPr>
              <w:t>1.4</w:t>
            </w:r>
          </w:p>
        </w:tc>
        <w:tc>
          <w:tcPr>
            <w:tcW w:w="1398" w:type="dxa"/>
            <w:noWrap/>
            <w:vAlign w:val="center"/>
          </w:tcPr>
          <w:p w14:paraId="07BE46C1">
            <w:pPr>
              <w:pStyle w:val="41"/>
              <w:rPr>
                <w:color w:val="auto"/>
                <w:highlight w:val="none"/>
              </w:rPr>
            </w:pPr>
            <w:r>
              <w:rPr>
                <w:color w:val="auto"/>
                <w:highlight w:val="none"/>
              </w:rPr>
              <w:t>0.004161</w:t>
            </w:r>
          </w:p>
        </w:tc>
        <w:tc>
          <w:tcPr>
            <w:tcW w:w="872" w:type="dxa"/>
            <w:noWrap/>
            <w:vAlign w:val="center"/>
          </w:tcPr>
          <w:p w14:paraId="29AD0BDE">
            <w:pPr>
              <w:pStyle w:val="41"/>
              <w:rPr>
                <w:color w:val="auto"/>
                <w:highlight w:val="none"/>
              </w:rPr>
            </w:pPr>
            <w:r>
              <w:rPr>
                <w:color w:val="auto"/>
                <w:highlight w:val="none"/>
              </w:rPr>
              <w:t>2.08</w:t>
            </w:r>
          </w:p>
        </w:tc>
        <w:tc>
          <w:tcPr>
            <w:tcW w:w="1398" w:type="dxa"/>
            <w:noWrap/>
            <w:vAlign w:val="center"/>
          </w:tcPr>
          <w:p w14:paraId="6EAD0E80">
            <w:pPr>
              <w:pStyle w:val="41"/>
              <w:rPr>
                <w:color w:val="auto"/>
                <w:highlight w:val="none"/>
              </w:rPr>
            </w:pPr>
            <w:r>
              <w:rPr>
                <w:color w:val="auto"/>
                <w:highlight w:val="none"/>
              </w:rPr>
              <w:t>0.002053</w:t>
            </w:r>
          </w:p>
        </w:tc>
        <w:tc>
          <w:tcPr>
            <w:tcW w:w="872" w:type="dxa"/>
            <w:noWrap/>
            <w:vAlign w:val="center"/>
          </w:tcPr>
          <w:p w14:paraId="00122FF4">
            <w:pPr>
              <w:pStyle w:val="41"/>
              <w:rPr>
                <w:color w:val="auto"/>
                <w:highlight w:val="none"/>
              </w:rPr>
            </w:pPr>
            <w:r>
              <w:rPr>
                <w:color w:val="auto"/>
                <w:highlight w:val="none"/>
              </w:rPr>
              <w:t>0.46</w:t>
            </w:r>
          </w:p>
        </w:tc>
      </w:tr>
      <w:tr w14:paraId="7D5214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5068E3B">
            <w:pPr>
              <w:pStyle w:val="41"/>
              <w:rPr>
                <w:color w:val="auto"/>
                <w:highlight w:val="none"/>
              </w:rPr>
            </w:pPr>
            <w:r>
              <w:rPr>
                <w:color w:val="auto"/>
                <w:highlight w:val="none"/>
              </w:rPr>
              <w:t>16</w:t>
            </w:r>
          </w:p>
        </w:tc>
        <w:tc>
          <w:tcPr>
            <w:tcW w:w="1254" w:type="dxa"/>
            <w:noWrap/>
            <w:vAlign w:val="center"/>
          </w:tcPr>
          <w:p w14:paraId="778B4C5D">
            <w:pPr>
              <w:pStyle w:val="41"/>
              <w:rPr>
                <w:color w:val="auto"/>
                <w:highlight w:val="none"/>
              </w:rPr>
            </w:pPr>
            <w:r>
              <w:rPr>
                <w:color w:val="auto"/>
                <w:highlight w:val="none"/>
              </w:rPr>
              <w:t>350</w:t>
            </w:r>
          </w:p>
        </w:tc>
        <w:tc>
          <w:tcPr>
            <w:tcW w:w="1532" w:type="dxa"/>
            <w:noWrap/>
            <w:vAlign w:val="center"/>
          </w:tcPr>
          <w:p w14:paraId="35FD914F">
            <w:pPr>
              <w:pStyle w:val="41"/>
              <w:rPr>
                <w:color w:val="auto"/>
                <w:highlight w:val="none"/>
              </w:rPr>
            </w:pPr>
            <w:r>
              <w:rPr>
                <w:color w:val="auto"/>
                <w:highlight w:val="none"/>
              </w:rPr>
              <w:t>0.006754</w:t>
            </w:r>
          </w:p>
        </w:tc>
        <w:tc>
          <w:tcPr>
            <w:tcW w:w="946" w:type="dxa"/>
            <w:noWrap/>
            <w:vAlign w:val="center"/>
          </w:tcPr>
          <w:p w14:paraId="5BBC518C">
            <w:pPr>
              <w:pStyle w:val="41"/>
              <w:rPr>
                <w:color w:val="auto"/>
                <w:highlight w:val="none"/>
              </w:rPr>
            </w:pPr>
            <w:r>
              <w:rPr>
                <w:color w:val="auto"/>
                <w:highlight w:val="none"/>
              </w:rPr>
              <w:t>1.35</w:t>
            </w:r>
          </w:p>
        </w:tc>
        <w:tc>
          <w:tcPr>
            <w:tcW w:w="1398" w:type="dxa"/>
            <w:noWrap/>
            <w:vAlign w:val="center"/>
          </w:tcPr>
          <w:p w14:paraId="62915D7F">
            <w:pPr>
              <w:pStyle w:val="41"/>
              <w:rPr>
                <w:color w:val="auto"/>
                <w:highlight w:val="none"/>
              </w:rPr>
            </w:pPr>
            <w:r>
              <w:rPr>
                <w:color w:val="auto"/>
                <w:highlight w:val="none"/>
              </w:rPr>
              <w:t>0.00401</w:t>
            </w:r>
          </w:p>
        </w:tc>
        <w:tc>
          <w:tcPr>
            <w:tcW w:w="872" w:type="dxa"/>
            <w:noWrap/>
            <w:vAlign w:val="center"/>
          </w:tcPr>
          <w:p w14:paraId="7DBCB1B7">
            <w:pPr>
              <w:pStyle w:val="41"/>
              <w:rPr>
                <w:color w:val="auto"/>
                <w:highlight w:val="none"/>
              </w:rPr>
            </w:pPr>
            <w:r>
              <w:rPr>
                <w:color w:val="auto"/>
                <w:highlight w:val="none"/>
              </w:rPr>
              <w:t>2.01</w:t>
            </w:r>
          </w:p>
        </w:tc>
        <w:tc>
          <w:tcPr>
            <w:tcW w:w="1398" w:type="dxa"/>
            <w:noWrap/>
            <w:vAlign w:val="center"/>
          </w:tcPr>
          <w:p w14:paraId="4AFABEDA">
            <w:pPr>
              <w:pStyle w:val="41"/>
              <w:rPr>
                <w:color w:val="auto"/>
                <w:highlight w:val="none"/>
              </w:rPr>
            </w:pPr>
            <w:r>
              <w:rPr>
                <w:color w:val="auto"/>
                <w:highlight w:val="none"/>
              </w:rPr>
              <w:t>0.001979</w:t>
            </w:r>
          </w:p>
        </w:tc>
        <w:tc>
          <w:tcPr>
            <w:tcW w:w="872" w:type="dxa"/>
            <w:noWrap/>
            <w:vAlign w:val="center"/>
          </w:tcPr>
          <w:p w14:paraId="10789753">
            <w:pPr>
              <w:pStyle w:val="41"/>
              <w:rPr>
                <w:color w:val="auto"/>
                <w:highlight w:val="none"/>
              </w:rPr>
            </w:pPr>
            <w:r>
              <w:rPr>
                <w:color w:val="auto"/>
                <w:highlight w:val="none"/>
              </w:rPr>
              <w:t>0.44</w:t>
            </w:r>
          </w:p>
        </w:tc>
      </w:tr>
      <w:tr w14:paraId="5CA3D8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50F23202">
            <w:pPr>
              <w:pStyle w:val="41"/>
              <w:rPr>
                <w:color w:val="auto"/>
                <w:highlight w:val="none"/>
              </w:rPr>
            </w:pPr>
            <w:r>
              <w:rPr>
                <w:color w:val="auto"/>
                <w:highlight w:val="none"/>
              </w:rPr>
              <w:t>17</w:t>
            </w:r>
          </w:p>
        </w:tc>
        <w:tc>
          <w:tcPr>
            <w:tcW w:w="1254" w:type="dxa"/>
            <w:noWrap/>
            <w:vAlign w:val="center"/>
          </w:tcPr>
          <w:p w14:paraId="76755C1A">
            <w:pPr>
              <w:pStyle w:val="41"/>
              <w:rPr>
                <w:color w:val="auto"/>
                <w:highlight w:val="none"/>
              </w:rPr>
            </w:pPr>
            <w:r>
              <w:rPr>
                <w:color w:val="auto"/>
                <w:highlight w:val="none"/>
              </w:rPr>
              <w:t>375</w:t>
            </w:r>
          </w:p>
        </w:tc>
        <w:tc>
          <w:tcPr>
            <w:tcW w:w="1532" w:type="dxa"/>
            <w:noWrap/>
            <w:vAlign w:val="center"/>
          </w:tcPr>
          <w:p w14:paraId="0F5B486F">
            <w:pPr>
              <w:pStyle w:val="41"/>
              <w:rPr>
                <w:color w:val="auto"/>
                <w:highlight w:val="none"/>
              </w:rPr>
            </w:pPr>
            <w:r>
              <w:rPr>
                <w:color w:val="auto"/>
                <w:highlight w:val="none"/>
              </w:rPr>
              <w:t>0.006512</w:t>
            </w:r>
          </w:p>
        </w:tc>
        <w:tc>
          <w:tcPr>
            <w:tcW w:w="946" w:type="dxa"/>
            <w:noWrap/>
            <w:vAlign w:val="center"/>
          </w:tcPr>
          <w:p w14:paraId="3BF68EE2">
            <w:pPr>
              <w:pStyle w:val="41"/>
              <w:rPr>
                <w:color w:val="auto"/>
                <w:highlight w:val="none"/>
              </w:rPr>
            </w:pPr>
            <w:r>
              <w:rPr>
                <w:color w:val="auto"/>
                <w:highlight w:val="none"/>
              </w:rPr>
              <w:t>1.3</w:t>
            </w:r>
          </w:p>
        </w:tc>
        <w:tc>
          <w:tcPr>
            <w:tcW w:w="1398" w:type="dxa"/>
            <w:noWrap/>
            <w:vAlign w:val="center"/>
          </w:tcPr>
          <w:p w14:paraId="7CD455A8">
            <w:pPr>
              <w:pStyle w:val="41"/>
              <w:rPr>
                <w:color w:val="auto"/>
                <w:highlight w:val="none"/>
              </w:rPr>
            </w:pPr>
            <w:r>
              <w:rPr>
                <w:color w:val="auto"/>
                <w:highlight w:val="none"/>
              </w:rPr>
              <w:t>0.003867</w:t>
            </w:r>
          </w:p>
        </w:tc>
        <w:tc>
          <w:tcPr>
            <w:tcW w:w="872" w:type="dxa"/>
            <w:noWrap/>
            <w:vAlign w:val="center"/>
          </w:tcPr>
          <w:p w14:paraId="78E6FAE6">
            <w:pPr>
              <w:pStyle w:val="41"/>
              <w:rPr>
                <w:color w:val="auto"/>
                <w:highlight w:val="none"/>
              </w:rPr>
            </w:pPr>
            <w:r>
              <w:rPr>
                <w:color w:val="auto"/>
                <w:highlight w:val="none"/>
              </w:rPr>
              <w:t>1.93</w:t>
            </w:r>
          </w:p>
        </w:tc>
        <w:tc>
          <w:tcPr>
            <w:tcW w:w="1398" w:type="dxa"/>
            <w:noWrap/>
            <w:vAlign w:val="center"/>
          </w:tcPr>
          <w:p w14:paraId="503446E9">
            <w:pPr>
              <w:pStyle w:val="41"/>
              <w:rPr>
                <w:color w:val="auto"/>
                <w:highlight w:val="none"/>
              </w:rPr>
            </w:pPr>
            <w:r>
              <w:rPr>
                <w:color w:val="auto"/>
                <w:highlight w:val="none"/>
              </w:rPr>
              <w:t>0.001908</w:t>
            </w:r>
          </w:p>
        </w:tc>
        <w:tc>
          <w:tcPr>
            <w:tcW w:w="872" w:type="dxa"/>
            <w:noWrap/>
            <w:vAlign w:val="center"/>
          </w:tcPr>
          <w:p w14:paraId="00912E24">
            <w:pPr>
              <w:pStyle w:val="41"/>
              <w:rPr>
                <w:color w:val="auto"/>
                <w:highlight w:val="none"/>
              </w:rPr>
            </w:pPr>
            <w:r>
              <w:rPr>
                <w:color w:val="auto"/>
                <w:highlight w:val="none"/>
              </w:rPr>
              <w:t>0.42</w:t>
            </w:r>
          </w:p>
        </w:tc>
      </w:tr>
      <w:tr w14:paraId="144568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4AABE94">
            <w:pPr>
              <w:pStyle w:val="41"/>
              <w:rPr>
                <w:color w:val="auto"/>
                <w:highlight w:val="none"/>
              </w:rPr>
            </w:pPr>
            <w:r>
              <w:rPr>
                <w:color w:val="auto"/>
                <w:highlight w:val="none"/>
              </w:rPr>
              <w:t>18</w:t>
            </w:r>
          </w:p>
        </w:tc>
        <w:tc>
          <w:tcPr>
            <w:tcW w:w="1254" w:type="dxa"/>
            <w:noWrap/>
            <w:vAlign w:val="center"/>
          </w:tcPr>
          <w:p w14:paraId="755DF7B9">
            <w:pPr>
              <w:pStyle w:val="41"/>
              <w:rPr>
                <w:color w:val="auto"/>
                <w:highlight w:val="none"/>
              </w:rPr>
            </w:pPr>
            <w:r>
              <w:rPr>
                <w:color w:val="auto"/>
                <w:highlight w:val="none"/>
              </w:rPr>
              <w:t>400</w:t>
            </w:r>
          </w:p>
        </w:tc>
        <w:tc>
          <w:tcPr>
            <w:tcW w:w="1532" w:type="dxa"/>
            <w:noWrap/>
            <w:vAlign w:val="center"/>
          </w:tcPr>
          <w:p w14:paraId="30F56ABF">
            <w:pPr>
              <w:pStyle w:val="41"/>
              <w:rPr>
                <w:color w:val="auto"/>
                <w:highlight w:val="none"/>
              </w:rPr>
            </w:pPr>
            <w:r>
              <w:rPr>
                <w:color w:val="auto"/>
                <w:highlight w:val="none"/>
              </w:rPr>
              <w:t>0.006283</w:t>
            </w:r>
          </w:p>
        </w:tc>
        <w:tc>
          <w:tcPr>
            <w:tcW w:w="946" w:type="dxa"/>
            <w:noWrap/>
            <w:vAlign w:val="center"/>
          </w:tcPr>
          <w:p w14:paraId="520CE2A6">
            <w:pPr>
              <w:pStyle w:val="41"/>
              <w:rPr>
                <w:color w:val="auto"/>
                <w:highlight w:val="none"/>
              </w:rPr>
            </w:pPr>
            <w:r>
              <w:rPr>
                <w:color w:val="auto"/>
                <w:highlight w:val="none"/>
              </w:rPr>
              <w:t>1.26</w:t>
            </w:r>
          </w:p>
        </w:tc>
        <w:tc>
          <w:tcPr>
            <w:tcW w:w="1398" w:type="dxa"/>
            <w:noWrap/>
            <w:vAlign w:val="center"/>
          </w:tcPr>
          <w:p w14:paraId="535FDC29">
            <w:pPr>
              <w:pStyle w:val="41"/>
              <w:rPr>
                <w:color w:val="auto"/>
                <w:highlight w:val="none"/>
              </w:rPr>
            </w:pPr>
            <w:r>
              <w:rPr>
                <w:color w:val="auto"/>
                <w:highlight w:val="none"/>
              </w:rPr>
              <w:t>0.00373</w:t>
            </w:r>
          </w:p>
        </w:tc>
        <w:tc>
          <w:tcPr>
            <w:tcW w:w="872" w:type="dxa"/>
            <w:noWrap/>
            <w:vAlign w:val="center"/>
          </w:tcPr>
          <w:p w14:paraId="1F8DF347">
            <w:pPr>
              <w:pStyle w:val="41"/>
              <w:rPr>
                <w:color w:val="auto"/>
                <w:highlight w:val="none"/>
              </w:rPr>
            </w:pPr>
            <w:r>
              <w:rPr>
                <w:color w:val="auto"/>
                <w:highlight w:val="none"/>
              </w:rPr>
              <w:t>1.87</w:t>
            </w:r>
          </w:p>
        </w:tc>
        <w:tc>
          <w:tcPr>
            <w:tcW w:w="1398" w:type="dxa"/>
            <w:noWrap/>
            <w:vAlign w:val="center"/>
          </w:tcPr>
          <w:p w14:paraId="23BAB13A">
            <w:pPr>
              <w:pStyle w:val="41"/>
              <w:rPr>
                <w:color w:val="auto"/>
                <w:highlight w:val="none"/>
              </w:rPr>
            </w:pPr>
            <w:r>
              <w:rPr>
                <w:color w:val="auto"/>
                <w:highlight w:val="none"/>
              </w:rPr>
              <w:t>0.001841</w:t>
            </w:r>
          </w:p>
        </w:tc>
        <w:tc>
          <w:tcPr>
            <w:tcW w:w="872" w:type="dxa"/>
            <w:noWrap/>
            <w:vAlign w:val="center"/>
          </w:tcPr>
          <w:p w14:paraId="4C2DCE05">
            <w:pPr>
              <w:pStyle w:val="41"/>
              <w:rPr>
                <w:color w:val="auto"/>
                <w:highlight w:val="none"/>
              </w:rPr>
            </w:pPr>
            <w:r>
              <w:rPr>
                <w:color w:val="auto"/>
                <w:highlight w:val="none"/>
              </w:rPr>
              <w:t>0.41</w:t>
            </w:r>
          </w:p>
        </w:tc>
      </w:tr>
      <w:tr w14:paraId="2A411F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45C27E3F">
            <w:pPr>
              <w:pStyle w:val="41"/>
              <w:rPr>
                <w:color w:val="auto"/>
                <w:highlight w:val="none"/>
              </w:rPr>
            </w:pPr>
            <w:r>
              <w:rPr>
                <w:color w:val="auto"/>
                <w:highlight w:val="none"/>
              </w:rPr>
              <w:t>19</w:t>
            </w:r>
          </w:p>
        </w:tc>
        <w:tc>
          <w:tcPr>
            <w:tcW w:w="1254" w:type="dxa"/>
            <w:noWrap/>
            <w:vAlign w:val="center"/>
          </w:tcPr>
          <w:p w14:paraId="51722063">
            <w:pPr>
              <w:pStyle w:val="41"/>
              <w:rPr>
                <w:color w:val="auto"/>
                <w:highlight w:val="none"/>
              </w:rPr>
            </w:pPr>
            <w:r>
              <w:rPr>
                <w:color w:val="auto"/>
                <w:highlight w:val="none"/>
              </w:rPr>
              <w:t>425</w:t>
            </w:r>
          </w:p>
        </w:tc>
        <w:tc>
          <w:tcPr>
            <w:tcW w:w="1532" w:type="dxa"/>
            <w:noWrap/>
            <w:vAlign w:val="center"/>
          </w:tcPr>
          <w:p w14:paraId="22514637">
            <w:pPr>
              <w:pStyle w:val="41"/>
              <w:rPr>
                <w:color w:val="auto"/>
                <w:highlight w:val="none"/>
              </w:rPr>
            </w:pPr>
            <w:r>
              <w:rPr>
                <w:color w:val="auto"/>
                <w:highlight w:val="none"/>
              </w:rPr>
              <w:t>0.006066</w:t>
            </w:r>
          </w:p>
        </w:tc>
        <w:tc>
          <w:tcPr>
            <w:tcW w:w="946" w:type="dxa"/>
            <w:noWrap/>
            <w:vAlign w:val="center"/>
          </w:tcPr>
          <w:p w14:paraId="22FF7410">
            <w:pPr>
              <w:pStyle w:val="41"/>
              <w:rPr>
                <w:color w:val="auto"/>
                <w:highlight w:val="none"/>
              </w:rPr>
            </w:pPr>
            <w:r>
              <w:rPr>
                <w:color w:val="auto"/>
                <w:highlight w:val="none"/>
              </w:rPr>
              <w:t>1.21</w:t>
            </w:r>
          </w:p>
        </w:tc>
        <w:tc>
          <w:tcPr>
            <w:tcW w:w="1398" w:type="dxa"/>
            <w:noWrap/>
            <w:vAlign w:val="center"/>
          </w:tcPr>
          <w:p w14:paraId="3D14599D">
            <w:pPr>
              <w:pStyle w:val="41"/>
              <w:rPr>
                <w:color w:val="auto"/>
                <w:highlight w:val="none"/>
              </w:rPr>
            </w:pPr>
            <w:r>
              <w:rPr>
                <w:color w:val="auto"/>
                <w:highlight w:val="none"/>
              </w:rPr>
              <w:t>0.003602</w:t>
            </w:r>
          </w:p>
        </w:tc>
        <w:tc>
          <w:tcPr>
            <w:tcW w:w="872" w:type="dxa"/>
            <w:noWrap/>
            <w:vAlign w:val="center"/>
          </w:tcPr>
          <w:p w14:paraId="50BEA0AB">
            <w:pPr>
              <w:pStyle w:val="41"/>
              <w:rPr>
                <w:color w:val="auto"/>
                <w:highlight w:val="none"/>
              </w:rPr>
            </w:pPr>
            <w:r>
              <w:rPr>
                <w:color w:val="auto"/>
                <w:highlight w:val="none"/>
              </w:rPr>
              <w:t>1.8</w:t>
            </w:r>
          </w:p>
        </w:tc>
        <w:tc>
          <w:tcPr>
            <w:tcW w:w="1398" w:type="dxa"/>
            <w:noWrap/>
            <w:vAlign w:val="center"/>
          </w:tcPr>
          <w:p w14:paraId="3C26A8A6">
            <w:pPr>
              <w:pStyle w:val="41"/>
              <w:rPr>
                <w:color w:val="auto"/>
                <w:highlight w:val="none"/>
              </w:rPr>
            </w:pPr>
            <w:r>
              <w:rPr>
                <w:color w:val="auto"/>
                <w:highlight w:val="none"/>
              </w:rPr>
              <w:t>0.001777</w:t>
            </w:r>
          </w:p>
        </w:tc>
        <w:tc>
          <w:tcPr>
            <w:tcW w:w="872" w:type="dxa"/>
            <w:noWrap/>
            <w:vAlign w:val="center"/>
          </w:tcPr>
          <w:p w14:paraId="3220AAB1">
            <w:pPr>
              <w:pStyle w:val="41"/>
              <w:rPr>
                <w:color w:val="auto"/>
                <w:highlight w:val="none"/>
              </w:rPr>
            </w:pPr>
            <w:r>
              <w:rPr>
                <w:color w:val="auto"/>
                <w:highlight w:val="none"/>
              </w:rPr>
              <w:t>0.39</w:t>
            </w:r>
          </w:p>
        </w:tc>
      </w:tr>
      <w:tr w14:paraId="562D0F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F65D526">
            <w:pPr>
              <w:pStyle w:val="41"/>
              <w:rPr>
                <w:color w:val="auto"/>
                <w:highlight w:val="none"/>
              </w:rPr>
            </w:pPr>
            <w:r>
              <w:rPr>
                <w:color w:val="auto"/>
                <w:highlight w:val="none"/>
              </w:rPr>
              <w:t>20</w:t>
            </w:r>
          </w:p>
        </w:tc>
        <w:tc>
          <w:tcPr>
            <w:tcW w:w="1254" w:type="dxa"/>
            <w:noWrap/>
            <w:vAlign w:val="center"/>
          </w:tcPr>
          <w:p w14:paraId="20AEDEDC">
            <w:pPr>
              <w:pStyle w:val="41"/>
              <w:rPr>
                <w:color w:val="auto"/>
                <w:highlight w:val="none"/>
              </w:rPr>
            </w:pPr>
            <w:r>
              <w:rPr>
                <w:color w:val="auto"/>
                <w:highlight w:val="none"/>
              </w:rPr>
              <w:t>450</w:t>
            </w:r>
          </w:p>
        </w:tc>
        <w:tc>
          <w:tcPr>
            <w:tcW w:w="1532" w:type="dxa"/>
            <w:noWrap/>
            <w:vAlign w:val="center"/>
          </w:tcPr>
          <w:p w14:paraId="6FA85F68">
            <w:pPr>
              <w:pStyle w:val="41"/>
              <w:rPr>
                <w:color w:val="auto"/>
                <w:highlight w:val="none"/>
              </w:rPr>
            </w:pPr>
            <w:r>
              <w:rPr>
                <w:color w:val="auto"/>
                <w:highlight w:val="none"/>
              </w:rPr>
              <w:t>0.005863</w:t>
            </w:r>
          </w:p>
        </w:tc>
        <w:tc>
          <w:tcPr>
            <w:tcW w:w="946" w:type="dxa"/>
            <w:noWrap/>
            <w:vAlign w:val="center"/>
          </w:tcPr>
          <w:p w14:paraId="29610F8B">
            <w:pPr>
              <w:pStyle w:val="41"/>
              <w:rPr>
                <w:color w:val="auto"/>
                <w:highlight w:val="none"/>
              </w:rPr>
            </w:pPr>
            <w:r>
              <w:rPr>
                <w:color w:val="auto"/>
                <w:highlight w:val="none"/>
              </w:rPr>
              <w:t>1.17</w:t>
            </w:r>
          </w:p>
        </w:tc>
        <w:tc>
          <w:tcPr>
            <w:tcW w:w="1398" w:type="dxa"/>
            <w:noWrap/>
            <w:vAlign w:val="center"/>
          </w:tcPr>
          <w:p w14:paraId="0B9E1D98">
            <w:pPr>
              <w:pStyle w:val="41"/>
              <w:rPr>
                <w:color w:val="auto"/>
                <w:highlight w:val="none"/>
              </w:rPr>
            </w:pPr>
            <w:r>
              <w:rPr>
                <w:color w:val="auto"/>
                <w:highlight w:val="none"/>
              </w:rPr>
              <w:t>0.003481</w:t>
            </w:r>
          </w:p>
        </w:tc>
        <w:tc>
          <w:tcPr>
            <w:tcW w:w="872" w:type="dxa"/>
            <w:noWrap/>
            <w:vAlign w:val="center"/>
          </w:tcPr>
          <w:p w14:paraId="4BE1F861">
            <w:pPr>
              <w:pStyle w:val="41"/>
              <w:rPr>
                <w:color w:val="auto"/>
                <w:highlight w:val="none"/>
              </w:rPr>
            </w:pPr>
            <w:r>
              <w:rPr>
                <w:color w:val="auto"/>
                <w:highlight w:val="none"/>
              </w:rPr>
              <w:t>1.74</w:t>
            </w:r>
          </w:p>
        </w:tc>
        <w:tc>
          <w:tcPr>
            <w:tcW w:w="1398" w:type="dxa"/>
            <w:noWrap/>
            <w:vAlign w:val="center"/>
          </w:tcPr>
          <w:p w14:paraId="370288DD">
            <w:pPr>
              <w:pStyle w:val="41"/>
              <w:rPr>
                <w:color w:val="auto"/>
                <w:highlight w:val="none"/>
              </w:rPr>
            </w:pPr>
            <w:r>
              <w:rPr>
                <w:color w:val="auto"/>
                <w:highlight w:val="none"/>
              </w:rPr>
              <w:t>0.001718</w:t>
            </w:r>
          </w:p>
        </w:tc>
        <w:tc>
          <w:tcPr>
            <w:tcW w:w="872" w:type="dxa"/>
            <w:noWrap/>
            <w:vAlign w:val="center"/>
          </w:tcPr>
          <w:p w14:paraId="77496823">
            <w:pPr>
              <w:pStyle w:val="41"/>
              <w:rPr>
                <w:color w:val="auto"/>
                <w:highlight w:val="none"/>
              </w:rPr>
            </w:pPr>
            <w:r>
              <w:rPr>
                <w:color w:val="auto"/>
                <w:highlight w:val="none"/>
              </w:rPr>
              <w:t>0.38</w:t>
            </w:r>
          </w:p>
        </w:tc>
      </w:tr>
      <w:tr w14:paraId="5DCD31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19B6E861">
            <w:pPr>
              <w:pStyle w:val="41"/>
              <w:rPr>
                <w:color w:val="auto"/>
                <w:highlight w:val="none"/>
              </w:rPr>
            </w:pPr>
            <w:r>
              <w:rPr>
                <w:color w:val="auto"/>
                <w:highlight w:val="none"/>
              </w:rPr>
              <w:t>21</w:t>
            </w:r>
          </w:p>
        </w:tc>
        <w:tc>
          <w:tcPr>
            <w:tcW w:w="1254" w:type="dxa"/>
            <w:noWrap/>
            <w:vAlign w:val="center"/>
          </w:tcPr>
          <w:p w14:paraId="18FD81CB">
            <w:pPr>
              <w:pStyle w:val="41"/>
              <w:rPr>
                <w:color w:val="auto"/>
                <w:highlight w:val="none"/>
              </w:rPr>
            </w:pPr>
            <w:r>
              <w:rPr>
                <w:color w:val="auto"/>
                <w:highlight w:val="none"/>
              </w:rPr>
              <w:t>475</w:t>
            </w:r>
          </w:p>
        </w:tc>
        <w:tc>
          <w:tcPr>
            <w:tcW w:w="1532" w:type="dxa"/>
            <w:noWrap/>
            <w:vAlign w:val="center"/>
          </w:tcPr>
          <w:p w14:paraId="50691732">
            <w:pPr>
              <w:pStyle w:val="41"/>
              <w:rPr>
                <w:color w:val="auto"/>
                <w:highlight w:val="none"/>
              </w:rPr>
            </w:pPr>
            <w:r>
              <w:rPr>
                <w:color w:val="auto"/>
                <w:highlight w:val="none"/>
              </w:rPr>
              <w:t>0.005671</w:t>
            </w:r>
          </w:p>
        </w:tc>
        <w:tc>
          <w:tcPr>
            <w:tcW w:w="946" w:type="dxa"/>
            <w:noWrap/>
            <w:vAlign w:val="center"/>
          </w:tcPr>
          <w:p w14:paraId="6AABB9D2">
            <w:pPr>
              <w:pStyle w:val="41"/>
              <w:rPr>
                <w:color w:val="auto"/>
                <w:highlight w:val="none"/>
              </w:rPr>
            </w:pPr>
            <w:r>
              <w:rPr>
                <w:color w:val="auto"/>
                <w:highlight w:val="none"/>
              </w:rPr>
              <w:t>1.13</w:t>
            </w:r>
          </w:p>
        </w:tc>
        <w:tc>
          <w:tcPr>
            <w:tcW w:w="1398" w:type="dxa"/>
            <w:noWrap/>
            <w:vAlign w:val="center"/>
          </w:tcPr>
          <w:p w14:paraId="59049344">
            <w:pPr>
              <w:pStyle w:val="41"/>
              <w:rPr>
                <w:color w:val="auto"/>
                <w:highlight w:val="none"/>
              </w:rPr>
            </w:pPr>
            <w:r>
              <w:rPr>
                <w:color w:val="auto"/>
                <w:highlight w:val="none"/>
              </w:rPr>
              <w:t>0.003367</w:t>
            </w:r>
          </w:p>
        </w:tc>
        <w:tc>
          <w:tcPr>
            <w:tcW w:w="872" w:type="dxa"/>
            <w:noWrap/>
            <w:vAlign w:val="center"/>
          </w:tcPr>
          <w:p w14:paraId="1F9279B6">
            <w:pPr>
              <w:pStyle w:val="41"/>
              <w:rPr>
                <w:color w:val="auto"/>
                <w:highlight w:val="none"/>
              </w:rPr>
            </w:pPr>
            <w:r>
              <w:rPr>
                <w:color w:val="auto"/>
                <w:highlight w:val="none"/>
              </w:rPr>
              <w:t>1.68</w:t>
            </w:r>
          </w:p>
        </w:tc>
        <w:tc>
          <w:tcPr>
            <w:tcW w:w="1398" w:type="dxa"/>
            <w:noWrap/>
            <w:vAlign w:val="center"/>
          </w:tcPr>
          <w:p w14:paraId="51540512">
            <w:pPr>
              <w:pStyle w:val="41"/>
              <w:rPr>
                <w:color w:val="auto"/>
                <w:highlight w:val="none"/>
              </w:rPr>
            </w:pPr>
            <w:r>
              <w:rPr>
                <w:color w:val="auto"/>
                <w:highlight w:val="none"/>
              </w:rPr>
              <w:t>0.001661</w:t>
            </w:r>
          </w:p>
        </w:tc>
        <w:tc>
          <w:tcPr>
            <w:tcW w:w="872" w:type="dxa"/>
            <w:noWrap/>
            <w:vAlign w:val="center"/>
          </w:tcPr>
          <w:p w14:paraId="1F536818">
            <w:pPr>
              <w:pStyle w:val="41"/>
              <w:rPr>
                <w:color w:val="auto"/>
                <w:highlight w:val="none"/>
              </w:rPr>
            </w:pPr>
            <w:r>
              <w:rPr>
                <w:color w:val="auto"/>
                <w:highlight w:val="none"/>
              </w:rPr>
              <w:t>0.37</w:t>
            </w:r>
          </w:p>
        </w:tc>
      </w:tr>
      <w:tr w14:paraId="168AE8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1" w:type="pct"/>
            <w:noWrap/>
            <w:vAlign w:val="center"/>
          </w:tcPr>
          <w:p w14:paraId="23EDA167">
            <w:pPr>
              <w:pStyle w:val="41"/>
              <w:rPr>
                <w:color w:val="auto"/>
                <w:highlight w:val="none"/>
              </w:rPr>
            </w:pPr>
            <w:r>
              <w:rPr>
                <w:color w:val="auto"/>
                <w:highlight w:val="none"/>
              </w:rPr>
              <w:t>22</w:t>
            </w:r>
          </w:p>
        </w:tc>
        <w:tc>
          <w:tcPr>
            <w:tcW w:w="1254" w:type="dxa"/>
            <w:noWrap/>
            <w:vAlign w:val="center"/>
          </w:tcPr>
          <w:p w14:paraId="6E55A37D">
            <w:pPr>
              <w:pStyle w:val="41"/>
              <w:rPr>
                <w:color w:val="auto"/>
                <w:highlight w:val="none"/>
              </w:rPr>
            </w:pPr>
            <w:r>
              <w:rPr>
                <w:color w:val="auto"/>
                <w:highlight w:val="none"/>
              </w:rPr>
              <w:t>500</w:t>
            </w:r>
          </w:p>
        </w:tc>
        <w:tc>
          <w:tcPr>
            <w:tcW w:w="1532" w:type="dxa"/>
            <w:noWrap/>
            <w:vAlign w:val="center"/>
          </w:tcPr>
          <w:p w14:paraId="666DDFA7">
            <w:pPr>
              <w:pStyle w:val="41"/>
              <w:rPr>
                <w:color w:val="auto"/>
                <w:highlight w:val="none"/>
              </w:rPr>
            </w:pPr>
            <w:r>
              <w:rPr>
                <w:color w:val="auto"/>
                <w:highlight w:val="none"/>
              </w:rPr>
              <w:t>0.005492</w:t>
            </w:r>
          </w:p>
        </w:tc>
        <w:tc>
          <w:tcPr>
            <w:tcW w:w="946" w:type="dxa"/>
            <w:noWrap/>
            <w:vAlign w:val="center"/>
          </w:tcPr>
          <w:p w14:paraId="202A0394">
            <w:pPr>
              <w:pStyle w:val="41"/>
              <w:rPr>
                <w:color w:val="auto"/>
                <w:highlight w:val="none"/>
              </w:rPr>
            </w:pPr>
            <w:r>
              <w:rPr>
                <w:color w:val="auto"/>
                <w:highlight w:val="none"/>
              </w:rPr>
              <w:t>1.1</w:t>
            </w:r>
          </w:p>
        </w:tc>
        <w:tc>
          <w:tcPr>
            <w:tcW w:w="1398" w:type="dxa"/>
            <w:noWrap/>
            <w:vAlign w:val="center"/>
          </w:tcPr>
          <w:p w14:paraId="06D80C8D">
            <w:pPr>
              <w:pStyle w:val="41"/>
              <w:rPr>
                <w:color w:val="auto"/>
                <w:highlight w:val="none"/>
              </w:rPr>
            </w:pPr>
            <w:r>
              <w:rPr>
                <w:color w:val="auto"/>
                <w:highlight w:val="none"/>
              </w:rPr>
              <w:t>0.003261</w:t>
            </w:r>
          </w:p>
        </w:tc>
        <w:tc>
          <w:tcPr>
            <w:tcW w:w="872" w:type="dxa"/>
            <w:noWrap/>
            <w:vAlign w:val="center"/>
          </w:tcPr>
          <w:p w14:paraId="29663126">
            <w:pPr>
              <w:pStyle w:val="41"/>
              <w:rPr>
                <w:color w:val="auto"/>
                <w:highlight w:val="none"/>
              </w:rPr>
            </w:pPr>
            <w:r>
              <w:rPr>
                <w:color w:val="auto"/>
                <w:highlight w:val="none"/>
              </w:rPr>
              <w:t>1.63</w:t>
            </w:r>
          </w:p>
        </w:tc>
        <w:tc>
          <w:tcPr>
            <w:tcW w:w="1398" w:type="dxa"/>
            <w:noWrap/>
            <w:vAlign w:val="center"/>
          </w:tcPr>
          <w:p w14:paraId="507853EC">
            <w:pPr>
              <w:pStyle w:val="41"/>
              <w:rPr>
                <w:color w:val="auto"/>
                <w:highlight w:val="none"/>
              </w:rPr>
            </w:pPr>
            <w:r>
              <w:rPr>
                <w:color w:val="auto"/>
                <w:highlight w:val="none"/>
              </w:rPr>
              <w:t>0.001609</w:t>
            </w:r>
          </w:p>
        </w:tc>
        <w:tc>
          <w:tcPr>
            <w:tcW w:w="872" w:type="dxa"/>
            <w:noWrap/>
            <w:vAlign w:val="center"/>
          </w:tcPr>
          <w:p w14:paraId="33386BC3">
            <w:pPr>
              <w:pStyle w:val="41"/>
              <w:rPr>
                <w:color w:val="auto"/>
                <w:highlight w:val="none"/>
              </w:rPr>
            </w:pPr>
            <w:r>
              <w:rPr>
                <w:color w:val="auto"/>
                <w:highlight w:val="none"/>
              </w:rPr>
              <w:t>0.36</w:t>
            </w:r>
          </w:p>
        </w:tc>
      </w:tr>
    </w:tbl>
    <w:p w14:paraId="13481B82">
      <w:pPr>
        <w:pStyle w:val="42"/>
        <w:rPr>
          <w:rFonts w:hint="default"/>
          <w:color w:val="auto"/>
          <w:highlight w:val="none"/>
        </w:rPr>
      </w:pPr>
      <w:r>
        <w:rPr>
          <w:rFonts w:hint="default"/>
          <w:color w:val="auto"/>
          <w:highlight w:val="none"/>
        </w:rPr>
        <w:t>大气环境防护距离</w:t>
      </w:r>
    </w:p>
    <w:p w14:paraId="5054092A">
      <w:pPr>
        <w:pStyle w:val="3"/>
        <w:ind w:firstLine="480"/>
        <w:rPr>
          <w:color w:val="auto"/>
          <w:highlight w:val="none"/>
        </w:rPr>
      </w:pPr>
      <w:r>
        <w:rPr>
          <w:color w:val="auto"/>
          <w:highlight w:val="none"/>
        </w:rPr>
        <w:t>根据《环境影响评价技术导则 大气环境》（HJ2.2-2018）要求，对于项目厂界浓度满足大气污染物厂界浓度限值，但厂界外大气污染物短期贡献浓度超过环境质量浓度限值的，可以自厂界向外设置一定范围的大气环境防护区域，以确保大气环境防护区域外的污染物贡献浓度满足环境质量标准。</w:t>
      </w:r>
    </w:p>
    <w:p w14:paraId="42F08047">
      <w:pPr>
        <w:pStyle w:val="3"/>
        <w:ind w:firstLine="480"/>
        <w:rPr>
          <w:color w:val="auto"/>
          <w:highlight w:val="none"/>
        </w:rPr>
      </w:pPr>
      <w:r>
        <w:rPr>
          <w:color w:val="auto"/>
          <w:highlight w:val="none"/>
        </w:rPr>
        <w:t>本项目各污染物预测结果均未超出环境质量标准浓度限值，在厂界附近不存在短期落地浓度贡献值超过环境质量短期浓度值的网格点，大气环境防护距离计算为0m。</w:t>
      </w:r>
    </w:p>
    <w:p w14:paraId="1F75EC7A">
      <w:pPr>
        <w:pStyle w:val="42"/>
        <w:rPr>
          <w:rFonts w:hint="default"/>
          <w:color w:val="auto"/>
          <w:highlight w:val="none"/>
        </w:rPr>
      </w:pPr>
      <w:r>
        <w:rPr>
          <w:rFonts w:hint="default"/>
          <w:color w:val="auto"/>
          <w:highlight w:val="none"/>
        </w:rPr>
        <w:t>污染物排放量核算</w:t>
      </w:r>
    </w:p>
    <w:p w14:paraId="09FDBF25">
      <w:pPr>
        <w:pStyle w:val="3"/>
        <w:ind w:firstLine="480"/>
        <w:rPr>
          <w:color w:val="auto"/>
          <w:highlight w:val="none"/>
        </w:rPr>
      </w:pPr>
      <w:r>
        <w:rPr>
          <w:color w:val="auto"/>
          <w:highlight w:val="none"/>
        </w:rPr>
        <w:t>（1）有组织排放量核算</w:t>
      </w:r>
    </w:p>
    <w:p w14:paraId="669A921B">
      <w:pPr>
        <w:pStyle w:val="3"/>
        <w:ind w:firstLine="480"/>
        <w:rPr>
          <w:color w:val="auto"/>
          <w:highlight w:val="none"/>
        </w:rPr>
      </w:pPr>
      <w:r>
        <w:rPr>
          <w:color w:val="auto"/>
          <w:highlight w:val="none"/>
        </w:rPr>
        <w:t>有组织排放量核算见表5.2-</w:t>
      </w:r>
      <w:r>
        <w:rPr>
          <w:rFonts w:hint="eastAsia"/>
          <w:color w:val="auto"/>
          <w:highlight w:val="none"/>
          <w:lang w:val="en-US" w:eastAsia="zh-CN"/>
        </w:rPr>
        <w:t>20</w:t>
      </w:r>
      <w:r>
        <w:rPr>
          <w:color w:val="auto"/>
          <w:highlight w:val="none"/>
        </w:rPr>
        <w:t>。</w:t>
      </w:r>
    </w:p>
    <w:p w14:paraId="52E40154">
      <w:pPr>
        <w:pStyle w:val="40"/>
        <w:spacing w:before="24" w:after="24"/>
        <w:rPr>
          <w:color w:val="auto"/>
          <w:highlight w:val="none"/>
        </w:rPr>
      </w:pPr>
      <w:r>
        <w:rPr>
          <w:color w:val="auto"/>
          <w:highlight w:val="none"/>
        </w:rPr>
        <w:t>表5.2-</w:t>
      </w:r>
      <w:r>
        <w:rPr>
          <w:rFonts w:hint="eastAsia"/>
          <w:color w:val="auto"/>
          <w:highlight w:val="none"/>
          <w:lang w:val="en-US" w:eastAsia="zh-CN"/>
        </w:rPr>
        <w:t>20</w:t>
      </w:r>
      <w:r>
        <w:rPr>
          <w:color w:val="auto"/>
          <w:highlight w:val="none"/>
        </w:rPr>
        <w:t xml:space="preserve">    大气污染物有组织排放量核算表</w:t>
      </w:r>
    </w:p>
    <w:tbl>
      <w:tblPr>
        <w:tblStyle w:val="26"/>
        <w:tblW w:w="505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14"/>
        <w:gridCol w:w="1271"/>
        <w:gridCol w:w="793"/>
        <w:gridCol w:w="855"/>
        <w:gridCol w:w="1664"/>
        <w:gridCol w:w="1678"/>
        <w:gridCol w:w="1740"/>
      </w:tblGrid>
      <w:tr w14:paraId="61C23B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46" w:type="pct"/>
            <w:tcBorders>
              <w:tl2br w:val="nil"/>
              <w:tr2bl w:val="nil"/>
            </w:tcBorders>
            <w:vAlign w:val="center"/>
          </w:tcPr>
          <w:p w14:paraId="5729B3F3">
            <w:pPr>
              <w:pStyle w:val="41"/>
              <w:widowControl w:val="0"/>
              <w:rPr>
                <w:color w:val="auto"/>
                <w:highlight w:val="none"/>
              </w:rPr>
            </w:pPr>
            <w:r>
              <w:rPr>
                <w:color w:val="auto"/>
                <w:highlight w:val="none"/>
              </w:rPr>
              <w:t>序号</w:t>
            </w:r>
          </w:p>
        </w:tc>
        <w:tc>
          <w:tcPr>
            <w:tcW w:w="754" w:type="pct"/>
            <w:tcBorders>
              <w:tl2br w:val="nil"/>
              <w:tr2bl w:val="nil"/>
            </w:tcBorders>
            <w:vAlign w:val="center"/>
          </w:tcPr>
          <w:p w14:paraId="0D2E71CA">
            <w:pPr>
              <w:pStyle w:val="41"/>
              <w:widowControl w:val="0"/>
              <w:rPr>
                <w:color w:val="auto"/>
                <w:highlight w:val="none"/>
              </w:rPr>
            </w:pPr>
            <w:r>
              <w:rPr>
                <w:color w:val="auto"/>
                <w:highlight w:val="none"/>
              </w:rPr>
              <w:t>排放口编号</w:t>
            </w:r>
          </w:p>
        </w:tc>
        <w:tc>
          <w:tcPr>
            <w:tcW w:w="979" w:type="pct"/>
            <w:gridSpan w:val="2"/>
            <w:tcBorders>
              <w:tl2br w:val="nil"/>
              <w:tr2bl w:val="nil"/>
            </w:tcBorders>
            <w:vAlign w:val="center"/>
          </w:tcPr>
          <w:p w14:paraId="054A0D87">
            <w:pPr>
              <w:pStyle w:val="41"/>
              <w:widowControl w:val="0"/>
              <w:rPr>
                <w:color w:val="auto"/>
                <w:highlight w:val="none"/>
              </w:rPr>
            </w:pPr>
            <w:r>
              <w:rPr>
                <w:color w:val="auto"/>
                <w:highlight w:val="none"/>
              </w:rPr>
              <w:t>污染物</w:t>
            </w:r>
          </w:p>
        </w:tc>
        <w:tc>
          <w:tcPr>
            <w:tcW w:w="989" w:type="pct"/>
            <w:tcBorders>
              <w:tl2br w:val="nil"/>
              <w:tr2bl w:val="nil"/>
            </w:tcBorders>
            <w:vAlign w:val="center"/>
          </w:tcPr>
          <w:p w14:paraId="6FF1BA36">
            <w:pPr>
              <w:pStyle w:val="41"/>
              <w:widowControl w:val="0"/>
              <w:rPr>
                <w:color w:val="auto"/>
                <w:highlight w:val="none"/>
              </w:rPr>
            </w:pPr>
            <w:r>
              <w:rPr>
                <w:color w:val="auto"/>
                <w:highlight w:val="none"/>
              </w:rPr>
              <w:t>核算排放浓度/（mg/m</w:t>
            </w:r>
            <w:r>
              <w:rPr>
                <w:color w:val="auto"/>
                <w:highlight w:val="none"/>
                <w:vertAlign w:val="superscript"/>
              </w:rPr>
              <w:t>3</w:t>
            </w:r>
            <w:r>
              <w:rPr>
                <w:color w:val="auto"/>
                <w:highlight w:val="none"/>
              </w:rPr>
              <w:t>）</w:t>
            </w:r>
          </w:p>
        </w:tc>
        <w:tc>
          <w:tcPr>
            <w:tcW w:w="996" w:type="pct"/>
            <w:tcBorders>
              <w:tl2br w:val="nil"/>
              <w:tr2bl w:val="nil"/>
            </w:tcBorders>
            <w:vAlign w:val="center"/>
          </w:tcPr>
          <w:p w14:paraId="358768AA">
            <w:pPr>
              <w:pStyle w:val="41"/>
              <w:widowControl w:val="0"/>
              <w:rPr>
                <w:color w:val="auto"/>
                <w:highlight w:val="none"/>
              </w:rPr>
            </w:pPr>
            <w:r>
              <w:rPr>
                <w:color w:val="auto"/>
                <w:highlight w:val="none"/>
              </w:rPr>
              <w:t>核算排放速率/（kg/h）</w:t>
            </w:r>
          </w:p>
        </w:tc>
        <w:tc>
          <w:tcPr>
            <w:tcW w:w="1033" w:type="pct"/>
            <w:tcBorders>
              <w:tl2br w:val="nil"/>
              <w:tr2bl w:val="nil"/>
            </w:tcBorders>
            <w:vAlign w:val="center"/>
          </w:tcPr>
          <w:p w14:paraId="2FA3B7C7">
            <w:pPr>
              <w:pStyle w:val="41"/>
              <w:widowControl w:val="0"/>
              <w:rPr>
                <w:color w:val="auto"/>
                <w:highlight w:val="none"/>
              </w:rPr>
            </w:pPr>
            <w:r>
              <w:rPr>
                <w:color w:val="auto"/>
                <w:highlight w:val="none"/>
              </w:rPr>
              <w:t>核算年排放量/（t/a）</w:t>
            </w:r>
          </w:p>
        </w:tc>
      </w:tr>
      <w:tr w14:paraId="2D0134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46" w:type="pct"/>
            <w:tcBorders>
              <w:tl2br w:val="nil"/>
              <w:tr2bl w:val="nil"/>
            </w:tcBorders>
            <w:vAlign w:val="center"/>
          </w:tcPr>
          <w:p w14:paraId="4225F775">
            <w:pPr>
              <w:pStyle w:val="41"/>
              <w:widowControl w:val="0"/>
              <w:rPr>
                <w:color w:val="auto"/>
                <w:highlight w:val="none"/>
              </w:rPr>
            </w:pPr>
            <w:r>
              <w:rPr>
                <w:color w:val="auto"/>
                <w:highlight w:val="none"/>
              </w:rPr>
              <w:t>1</w:t>
            </w:r>
          </w:p>
        </w:tc>
        <w:tc>
          <w:tcPr>
            <w:tcW w:w="754" w:type="pct"/>
            <w:tcBorders>
              <w:tl2br w:val="nil"/>
              <w:tr2bl w:val="nil"/>
            </w:tcBorders>
            <w:vAlign w:val="center"/>
          </w:tcPr>
          <w:p w14:paraId="2233700F">
            <w:pPr>
              <w:pStyle w:val="41"/>
              <w:widowControl w:val="0"/>
              <w:rPr>
                <w:color w:val="auto"/>
                <w:highlight w:val="none"/>
              </w:rPr>
            </w:pPr>
            <w:r>
              <w:rPr>
                <w:color w:val="auto"/>
                <w:highlight w:val="none"/>
              </w:rPr>
              <w:t>滚轴筛车间</w:t>
            </w:r>
          </w:p>
        </w:tc>
        <w:tc>
          <w:tcPr>
            <w:tcW w:w="979" w:type="pct"/>
            <w:gridSpan w:val="2"/>
            <w:tcBorders>
              <w:tl2br w:val="nil"/>
              <w:tr2bl w:val="nil"/>
            </w:tcBorders>
            <w:vAlign w:val="center"/>
          </w:tcPr>
          <w:p w14:paraId="6ACCE674">
            <w:pPr>
              <w:pStyle w:val="41"/>
              <w:widowControl w:val="0"/>
              <w:rPr>
                <w:color w:val="auto"/>
                <w:highlight w:val="none"/>
              </w:rPr>
            </w:pPr>
            <w:r>
              <w:rPr>
                <w:color w:val="auto"/>
                <w:highlight w:val="none"/>
              </w:rPr>
              <w:t>颗粒物</w:t>
            </w:r>
          </w:p>
        </w:tc>
        <w:tc>
          <w:tcPr>
            <w:tcW w:w="989" w:type="pct"/>
            <w:tcBorders>
              <w:tl2br w:val="nil"/>
              <w:tr2bl w:val="nil"/>
            </w:tcBorders>
            <w:vAlign w:val="center"/>
          </w:tcPr>
          <w:p w14:paraId="2585CE81">
            <w:pPr>
              <w:pStyle w:val="41"/>
              <w:widowControl w:val="0"/>
              <w:rPr>
                <w:color w:val="auto"/>
                <w:highlight w:val="none"/>
              </w:rPr>
            </w:pPr>
            <w:r>
              <w:rPr>
                <w:color w:val="auto"/>
                <w:highlight w:val="none"/>
              </w:rPr>
              <w:t>0.708</w:t>
            </w:r>
          </w:p>
        </w:tc>
        <w:tc>
          <w:tcPr>
            <w:tcW w:w="996" w:type="pct"/>
            <w:tcBorders>
              <w:tl2br w:val="nil"/>
              <w:tr2bl w:val="nil"/>
            </w:tcBorders>
            <w:vAlign w:val="center"/>
          </w:tcPr>
          <w:p w14:paraId="2D9CD2EB">
            <w:pPr>
              <w:pStyle w:val="41"/>
              <w:widowControl w:val="0"/>
              <w:rPr>
                <w:rFonts w:hint="default" w:eastAsia="华文中宋"/>
                <w:color w:val="auto"/>
                <w:highlight w:val="none"/>
                <w:lang w:val="en-US" w:eastAsia="zh-CN"/>
              </w:rPr>
            </w:pPr>
            <w:r>
              <w:rPr>
                <w:color w:val="auto"/>
                <w:highlight w:val="none"/>
              </w:rPr>
              <w:t>0.0</w:t>
            </w:r>
            <w:r>
              <w:rPr>
                <w:rFonts w:hint="eastAsia"/>
                <w:color w:val="auto"/>
                <w:highlight w:val="none"/>
                <w:lang w:val="en-US" w:eastAsia="zh-CN"/>
              </w:rPr>
              <w:t>379</w:t>
            </w:r>
          </w:p>
        </w:tc>
        <w:tc>
          <w:tcPr>
            <w:tcW w:w="1033" w:type="pct"/>
            <w:tcBorders>
              <w:tl2br w:val="nil"/>
              <w:tr2bl w:val="nil"/>
            </w:tcBorders>
            <w:vAlign w:val="center"/>
          </w:tcPr>
          <w:p w14:paraId="226DE43E">
            <w:pPr>
              <w:pStyle w:val="41"/>
              <w:widowControl w:val="0"/>
              <w:rPr>
                <w:rFonts w:hint="default" w:eastAsia="华文中宋"/>
                <w:color w:val="auto"/>
                <w:highlight w:val="none"/>
                <w:lang w:val="en-US" w:eastAsia="zh-CN"/>
              </w:rPr>
            </w:pPr>
            <w:r>
              <w:rPr>
                <w:color w:val="auto"/>
                <w:highlight w:val="none"/>
              </w:rPr>
              <w:t>0.</w:t>
            </w:r>
            <w:r>
              <w:rPr>
                <w:rFonts w:hint="eastAsia"/>
                <w:color w:val="auto"/>
                <w:highlight w:val="none"/>
                <w:lang w:val="en-US" w:eastAsia="zh-CN"/>
              </w:rPr>
              <w:t>273</w:t>
            </w:r>
          </w:p>
        </w:tc>
      </w:tr>
      <w:tr w14:paraId="3D7526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46" w:type="pct"/>
            <w:tcBorders>
              <w:tl2br w:val="nil"/>
              <w:tr2bl w:val="nil"/>
            </w:tcBorders>
            <w:vAlign w:val="center"/>
          </w:tcPr>
          <w:p w14:paraId="0A3E3832">
            <w:pPr>
              <w:pStyle w:val="41"/>
              <w:widowControl w:val="0"/>
              <w:rPr>
                <w:color w:val="auto"/>
                <w:highlight w:val="none"/>
              </w:rPr>
            </w:pPr>
            <w:r>
              <w:rPr>
                <w:color w:val="auto"/>
                <w:highlight w:val="none"/>
              </w:rPr>
              <w:t>2</w:t>
            </w:r>
          </w:p>
        </w:tc>
        <w:tc>
          <w:tcPr>
            <w:tcW w:w="754" w:type="pct"/>
            <w:tcBorders>
              <w:tl2br w:val="nil"/>
              <w:tr2bl w:val="nil"/>
            </w:tcBorders>
            <w:vAlign w:val="center"/>
          </w:tcPr>
          <w:p w14:paraId="077E7D04">
            <w:pPr>
              <w:pStyle w:val="41"/>
              <w:widowControl w:val="0"/>
              <w:rPr>
                <w:color w:val="auto"/>
                <w:highlight w:val="none"/>
              </w:rPr>
            </w:pPr>
            <w:r>
              <w:rPr>
                <w:color w:val="auto"/>
                <w:highlight w:val="none"/>
              </w:rPr>
              <w:t>粗中碎车间</w:t>
            </w:r>
          </w:p>
        </w:tc>
        <w:tc>
          <w:tcPr>
            <w:tcW w:w="979" w:type="pct"/>
            <w:gridSpan w:val="2"/>
            <w:tcBorders>
              <w:tl2br w:val="nil"/>
              <w:tr2bl w:val="nil"/>
            </w:tcBorders>
            <w:vAlign w:val="center"/>
          </w:tcPr>
          <w:p w14:paraId="7996ADFF">
            <w:pPr>
              <w:pStyle w:val="41"/>
              <w:widowControl w:val="0"/>
              <w:rPr>
                <w:color w:val="auto"/>
                <w:highlight w:val="none"/>
              </w:rPr>
            </w:pPr>
            <w:r>
              <w:rPr>
                <w:color w:val="auto"/>
                <w:highlight w:val="none"/>
              </w:rPr>
              <w:t>颗粒物</w:t>
            </w:r>
          </w:p>
        </w:tc>
        <w:tc>
          <w:tcPr>
            <w:tcW w:w="1653" w:type="dxa"/>
            <w:tcBorders>
              <w:tl2br w:val="nil"/>
              <w:tr2bl w:val="nil"/>
            </w:tcBorders>
            <w:vAlign w:val="center"/>
          </w:tcPr>
          <w:p w14:paraId="6D6C91F6">
            <w:pPr>
              <w:pStyle w:val="41"/>
              <w:widowControl w:val="0"/>
              <w:rPr>
                <w:color w:val="auto"/>
                <w:highlight w:val="none"/>
              </w:rPr>
            </w:pPr>
            <w:r>
              <w:rPr>
                <w:color w:val="auto"/>
                <w:highlight w:val="none"/>
              </w:rPr>
              <w:t>0.708</w:t>
            </w:r>
          </w:p>
        </w:tc>
        <w:tc>
          <w:tcPr>
            <w:tcW w:w="1666" w:type="dxa"/>
            <w:tcBorders>
              <w:tl2br w:val="nil"/>
              <w:tr2bl w:val="nil"/>
            </w:tcBorders>
            <w:vAlign w:val="center"/>
          </w:tcPr>
          <w:p w14:paraId="39A7598F">
            <w:pPr>
              <w:pStyle w:val="41"/>
              <w:widowControl w:val="0"/>
              <w:rPr>
                <w:rFonts w:hint="default" w:eastAsia="华文中宋"/>
                <w:color w:val="auto"/>
                <w:highlight w:val="none"/>
                <w:lang w:val="en-US" w:eastAsia="zh-CN"/>
              </w:rPr>
            </w:pPr>
            <w:r>
              <w:rPr>
                <w:color w:val="auto"/>
                <w:highlight w:val="none"/>
              </w:rPr>
              <w:t>0.0</w:t>
            </w:r>
            <w:r>
              <w:rPr>
                <w:rFonts w:hint="eastAsia"/>
                <w:color w:val="auto"/>
                <w:highlight w:val="none"/>
                <w:lang w:val="en-US" w:eastAsia="zh-CN"/>
              </w:rPr>
              <w:t>379</w:t>
            </w:r>
          </w:p>
        </w:tc>
        <w:tc>
          <w:tcPr>
            <w:tcW w:w="1728" w:type="dxa"/>
            <w:tcBorders>
              <w:tl2br w:val="nil"/>
              <w:tr2bl w:val="nil"/>
            </w:tcBorders>
            <w:vAlign w:val="center"/>
          </w:tcPr>
          <w:p w14:paraId="50C39AB2">
            <w:pPr>
              <w:pStyle w:val="41"/>
              <w:widowControl w:val="0"/>
              <w:rPr>
                <w:rFonts w:hint="default" w:eastAsia="华文中宋"/>
                <w:color w:val="auto"/>
                <w:highlight w:val="none"/>
                <w:lang w:val="en-US" w:eastAsia="zh-CN"/>
              </w:rPr>
            </w:pPr>
            <w:r>
              <w:rPr>
                <w:color w:val="auto"/>
                <w:highlight w:val="none"/>
              </w:rPr>
              <w:t>0.</w:t>
            </w:r>
            <w:r>
              <w:rPr>
                <w:rFonts w:hint="eastAsia"/>
                <w:color w:val="auto"/>
                <w:highlight w:val="none"/>
                <w:lang w:val="en-US" w:eastAsia="zh-CN"/>
              </w:rPr>
              <w:t>273</w:t>
            </w:r>
          </w:p>
        </w:tc>
      </w:tr>
      <w:tr w14:paraId="4AC4AA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46" w:type="pct"/>
            <w:tcBorders>
              <w:tl2br w:val="nil"/>
              <w:tr2bl w:val="nil"/>
            </w:tcBorders>
            <w:vAlign w:val="center"/>
          </w:tcPr>
          <w:p w14:paraId="75EC5081">
            <w:pPr>
              <w:pStyle w:val="41"/>
              <w:widowControl w:val="0"/>
              <w:rPr>
                <w:color w:val="auto"/>
                <w:highlight w:val="none"/>
              </w:rPr>
            </w:pPr>
            <w:r>
              <w:rPr>
                <w:color w:val="auto"/>
                <w:highlight w:val="none"/>
              </w:rPr>
              <w:t>3</w:t>
            </w:r>
          </w:p>
        </w:tc>
        <w:tc>
          <w:tcPr>
            <w:tcW w:w="754" w:type="pct"/>
            <w:tcBorders>
              <w:tl2br w:val="nil"/>
              <w:tr2bl w:val="nil"/>
            </w:tcBorders>
            <w:vAlign w:val="center"/>
          </w:tcPr>
          <w:p w14:paraId="74F21634">
            <w:pPr>
              <w:pStyle w:val="41"/>
              <w:widowControl w:val="0"/>
              <w:rPr>
                <w:color w:val="auto"/>
                <w:highlight w:val="none"/>
              </w:rPr>
            </w:pPr>
            <w:r>
              <w:rPr>
                <w:color w:val="auto"/>
                <w:highlight w:val="none"/>
              </w:rPr>
              <w:t>细碎车间</w:t>
            </w:r>
          </w:p>
        </w:tc>
        <w:tc>
          <w:tcPr>
            <w:tcW w:w="979" w:type="pct"/>
            <w:gridSpan w:val="2"/>
            <w:tcBorders>
              <w:tl2br w:val="nil"/>
              <w:tr2bl w:val="nil"/>
            </w:tcBorders>
            <w:vAlign w:val="center"/>
          </w:tcPr>
          <w:p w14:paraId="3A058E4F">
            <w:pPr>
              <w:pStyle w:val="41"/>
              <w:widowControl w:val="0"/>
              <w:rPr>
                <w:color w:val="auto"/>
                <w:highlight w:val="none"/>
              </w:rPr>
            </w:pPr>
            <w:r>
              <w:rPr>
                <w:color w:val="auto"/>
                <w:highlight w:val="none"/>
              </w:rPr>
              <w:t>颗粒物</w:t>
            </w:r>
          </w:p>
        </w:tc>
        <w:tc>
          <w:tcPr>
            <w:tcW w:w="1653" w:type="dxa"/>
            <w:tcBorders>
              <w:tl2br w:val="nil"/>
              <w:tr2bl w:val="nil"/>
            </w:tcBorders>
            <w:vAlign w:val="center"/>
          </w:tcPr>
          <w:p w14:paraId="19EBB274">
            <w:pPr>
              <w:pStyle w:val="41"/>
              <w:widowControl w:val="0"/>
              <w:rPr>
                <w:color w:val="auto"/>
                <w:highlight w:val="none"/>
              </w:rPr>
            </w:pPr>
            <w:r>
              <w:rPr>
                <w:color w:val="auto"/>
                <w:highlight w:val="none"/>
              </w:rPr>
              <w:t>0.708</w:t>
            </w:r>
          </w:p>
        </w:tc>
        <w:tc>
          <w:tcPr>
            <w:tcW w:w="1666" w:type="dxa"/>
            <w:tcBorders>
              <w:tl2br w:val="nil"/>
              <w:tr2bl w:val="nil"/>
            </w:tcBorders>
            <w:vAlign w:val="center"/>
          </w:tcPr>
          <w:p w14:paraId="329E6EC7">
            <w:pPr>
              <w:pStyle w:val="41"/>
              <w:widowControl w:val="0"/>
              <w:rPr>
                <w:rFonts w:hint="default" w:eastAsia="华文中宋"/>
                <w:color w:val="auto"/>
                <w:highlight w:val="none"/>
                <w:lang w:val="en-US" w:eastAsia="zh-CN"/>
              </w:rPr>
            </w:pPr>
            <w:r>
              <w:rPr>
                <w:color w:val="auto"/>
                <w:highlight w:val="none"/>
              </w:rPr>
              <w:t>0.0</w:t>
            </w:r>
            <w:r>
              <w:rPr>
                <w:rFonts w:hint="eastAsia"/>
                <w:color w:val="auto"/>
                <w:highlight w:val="none"/>
                <w:lang w:val="en-US" w:eastAsia="zh-CN"/>
              </w:rPr>
              <w:t>379</w:t>
            </w:r>
          </w:p>
        </w:tc>
        <w:tc>
          <w:tcPr>
            <w:tcW w:w="1728" w:type="dxa"/>
            <w:tcBorders>
              <w:tl2br w:val="nil"/>
              <w:tr2bl w:val="nil"/>
            </w:tcBorders>
            <w:vAlign w:val="center"/>
          </w:tcPr>
          <w:p w14:paraId="0A4A9F2D">
            <w:pPr>
              <w:pStyle w:val="41"/>
              <w:widowControl w:val="0"/>
              <w:rPr>
                <w:rFonts w:hint="default" w:eastAsia="华文中宋"/>
                <w:color w:val="auto"/>
                <w:highlight w:val="none"/>
                <w:lang w:val="en-US" w:eastAsia="zh-CN"/>
              </w:rPr>
            </w:pPr>
            <w:r>
              <w:rPr>
                <w:color w:val="auto"/>
                <w:highlight w:val="none"/>
              </w:rPr>
              <w:t>0.</w:t>
            </w:r>
            <w:r>
              <w:rPr>
                <w:rFonts w:hint="eastAsia"/>
                <w:color w:val="auto"/>
                <w:highlight w:val="none"/>
                <w:lang w:val="en-US" w:eastAsia="zh-CN"/>
              </w:rPr>
              <w:t>273</w:t>
            </w:r>
          </w:p>
        </w:tc>
      </w:tr>
      <w:tr w14:paraId="7129E0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46" w:type="pct"/>
            <w:tcBorders>
              <w:tl2br w:val="nil"/>
              <w:tr2bl w:val="nil"/>
            </w:tcBorders>
            <w:vAlign w:val="center"/>
          </w:tcPr>
          <w:p w14:paraId="6C421273">
            <w:pPr>
              <w:pStyle w:val="41"/>
              <w:widowControl w:val="0"/>
              <w:rPr>
                <w:color w:val="auto"/>
                <w:highlight w:val="none"/>
              </w:rPr>
            </w:pPr>
            <w:r>
              <w:rPr>
                <w:color w:val="auto"/>
                <w:highlight w:val="none"/>
              </w:rPr>
              <w:t>4</w:t>
            </w:r>
          </w:p>
        </w:tc>
        <w:tc>
          <w:tcPr>
            <w:tcW w:w="754" w:type="pct"/>
            <w:tcBorders>
              <w:tl2br w:val="nil"/>
              <w:tr2bl w:val="nil"/>
            </w:tcBorders>
            <w:vAlign w:val="center"/>
          </w:tcPr>
          <w:p w14:paraId="72F3AA7A">
            <w:pPr>
              <w:pStyle w:val="41"/>
              <w:widowControl w:val="0"/>
              <w:rPr>
                <w:color w:val="auto"/>
                <w:highlight w:val="none"/>
              </w:rPr>
            </w:pPr>
            <w:r>
              <w:rPr>
                <w:color w:val="auto"/>
                <w:highlight w:val="none"/>
              </w:rPr>
              <w:t>1号振动筛分车间</w:t>
            </w:r>
          </w:p>
        </w:tc>
        <w:tc>
          <w:tcPr>
            <w:tcW w:w="979" w:type="pct"/>
            <w:gridSpan w:val="2"/>
            <w:tcBorders>
              <w:tl2br w:val="nil"/>
              <w:tr2bl w:val="nil"/>
            </w:tcBorders>
            <w:vAlign w:val="center"/>
          </w:tcPr>
          <w:p w14:paraId="30FFC7B0">
            <w:pPr>
              <w:pStyle w:val="41"/>
              <w:widowControl w:val="0"/>
              <w:rPr>
                <w:color w:val="auto"/>
                <w:highlight w:val="none"/>
              </w:rPr>
            </w:pPr>
            <w:r>
              <w:rPr>
                <w:color w:val="auto"/>
                <w:highlight w:val="none"/>
              </w:rPr>
              <w:t>颗粒物</w:t>
            </w:r>
          </w:p>
        </w:tc>
        <w:tc>
          <w:tcPr>
            <w:tcW w:w="1653" w:type="dxa"/>
            <w:tcBorders>
              <w:tl2br w:val="nil"/>
              <w:tr2bl w:val="nil"/>
            </w:tcBorders>
            <w:vAlign w:val="center"/>
          </w:tcPr>
          <w:p w14:paraId="3727889A">
            <w:pPr>
              <w:pStyle w:val="41"/>
              <w:widowControl w:val="0"/>
              <w:rPr>
                <w:color w:val="auto"/>
                <w:highlight w:val="none"/>
              </w:rPr>
            </w:pPr>
            <w:r>
              <w:rPr>
                <w:color w:val="auto"/>
                <w:highlight w:val="none"/>
              </w:rPr>
              <w:t>0.708</w:t>
            </w:r>
          </w:p>
        </w:tc>
        <w:tc>
          <w:tcPr>
            <w:tcW w:w="1666" w:type="dxa"/>
            <w:tcBorders>
              <w:tl2br w:val="nil"/>
              <w:tr2bl w:val="nil"/>
            </w:tcBorders>
            <w:vAlign w:val="center"/>
          </w:tcPr>
          <w:p w14:paraId="719DD153">
            <w:pPr>
              <w:pStyle w:val="41"/>
              <w:widowControl w:val="0"/>
              <w:rPr>
                <w:rFonts w:hint="default" w:eastAsia="华文中宋"/>
                <w:color w:val="auto"/>
                <w:highlight w:val="none"/>
                <w:lang w:val="en-US" w:eastAsia="zh-CN"/>
              </w:rPr>
            </w:pPr>
            <w:r>
              <w:rPr>
                <w:color w:val="auto"/>
                <w:highlight w:val="none"/>
              </w:rPr>
              <w:t>0.0</w:t>
            </w:r>
            <w:r>
              <w:rPr>
                <w:rFonts w:hint="eastAsia"/>
                <w:color w:val="auto"/>
                <w:highlight w:val="none"/>
                <w:lang w:val="en-US" w:eastAsia="zh-CN"/>
              </w:rPr>
              <w:t>379</w:t>
            </w:r>
          </w:p>
        </w:tc>
        <w:tc>
          <w:tcPr>
            <w:tcW w:w="1728" w:type="dxa"/>
            <w:tcBorders>
              <w:tl2br w:val="nil"/>
              <w:tr2bl w:val="nil"/>
            </w:tcBorders>
            <w:vAlign w:val="center"/>
          </w:tcPr>
          <w:p w14:paraId="4CFE03EF">
            <w:pPr>
              <w:pStyle w:val="41"/>
              <w:widowControl w:val="0"/>
              <w:rPr>
                <w:rFonts w:hint="default" w:eastAsia="华文中宋"/>
                <w:color w:val="auto"/>
                <w:highlight w:val="none"/>
                <w:lang w:val="en-US" w:eastAsia="zh-CN"/>
              </w:rPr>
            </w:pPr>
            <w:r>
              <w:rPr>
                <w:color w:val="auto"/>
                <w:highlight w:val="none"/>
              </w:rPr>
              <w:t>0.</w:t>
            </w:r>
            <w:r>
              <w:rPr>
                <w:rFonts w:hint="eastAsia"/>
                <w:color w:val="auto"/>
                <w:highlight w:val="none"/>
                <w:lang w:val="en-US" w:eastAsia="zh-CN"/>
              </w:rPr>
              <w:t>273</w:t>
            </w:r>
          </w:p>
        </w:tc>
      </w:tr>
      <w:tr w14:paraId="0FFF1D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46" w:type="pct"/>
            <w:tcBorders>
              <w:tl2br w:val="nil"/>
              <w:tr2bl w:val="nil"/>
            </w:tcBorders>
            <w:vAlign w:val="center"/>
          </w:tcPr>
          <w:p w14:paraId="51C8213C">
            <w:pPr>
              <w:pStyle w:val="41"/>
              <w:widowControl w:val="0"/>
              <w:rPr>
                <w:color w:val="auto"/>
                <w:highlight w:val="none"/>
              </w:rPr>
            </w:pPr>
            <w:r>
              <w:rPr>
                <w:color w:val="auto"/>
                <w:highlight w:val="none"/>
              </w:rPr>
              <w:t>5</w:t>
            </w:r>
          </w:p>
        </w:tc>
        <w:tc>
          <w:tcPr>
            <w:tcW w:w="754" w:type="pct"/>
            <w:tcBorders>
              <w:tl2br w:val="nil"/>
              <w:tr2bl w:val="nil"/>
            </w:tcBorders>
            <w:vAlign w:val="center"/>
          </w:tcPr>
          <w:p w14:paraId="372C7AF6">
            <w:pPr>
              <w:pStyle w:val="41"/>
              <w:widowControl w:val="0"/>
              <w:rPr>
                <w:color w:val="auto"/>
                <w:highlight w:val="none"/>
              </w:rPr>
            </w:pPr>
            <w:r>
              <w:rPr>
                <w:color w:val="auto"/>
                <w:highlight w:val="none"/>
              </w:rPr>
              <w:t>2号振动筛分车间</w:t>
            </w:r>
          </w:p>
        </w:tc>
        <w:tc>
          <w:tcPr>
            <w:tcW w:w="979" w:type="pct"/>
            <w:gridSpan w:val="2"/>
            <w:tcBorders>
              <w:tl2br w:val="nil"/>
              <w:tr2bl w:val="nil"/>
            </w:tcBorders>
            <w:vAlign w:val="center"/>
          </w:tcPr>
          <w:p w14:paraId="74AF1A56">
            <w:pPr>
              <w:pStyle w:val="41"/>
              <w:widowControl w:val="0"/>
              <w:rPr>
                <w:color w:val="auto"/>
                <w:highlight w:val="none"/>
              </w:rPr>
            </w:pPr>
            <w:r>
              <w:rPr>
                <w:color w:val="auto"/>
                <w:highlight w:val="none"/>
              </w:rPr>
              <w:t>颗粒物</w:t>
            </w:r>
          </w:p>
        </w:tc>
        <w:tc>
          <w:tcPr>
            <w:tcW w:w="1653" w:type="dxa"/>
            <w:tcBorders>
              <w:tl2br w:val="nil"/>
              <w:tr2bl w:val="nil"/>
            </w:tcBorders>
            <w:vAlign w:val="center"/>
          </w:tcPr>
          <w:p w14:paraId="257EC2CC">
            <w:pPr>
              <w:pStyle w:val="41"/>
              <w:widowControl w:val="0"/>
              <w:rPr>
                <w:color w:val="auto"/>
                <w:highlight w:val="none"/>
              </w:rPr>
            </w:pPr>
            <w:r>
              <w:rPr>
                <w:color w:val="auto"/>
                <w:highlight w:val="none"/>
              </w:rPr>
              <w:t>0.708</w:t>
            </w:r>
          </w:p>
        </w:tc>
        <w:tc>
          <w:tcPr>
            <w:tcW w:w="1666" w:type="dxa"/>
            <w:tcBorders>
              <w:tl2br w:val="nil"/>
              <w:tr2bl w:val="nil"/>
            </w:tcBorders>
            <w:vAlign w:val="center"/>
          </w:tcPr>
          <w:p w14:paraId="3D7606A9">
            <w:pPr>
              <w:pStyle w:val="41"/>
              <w:widowControl w:val="0"/>
              <w:rPr>
                <w:rFonts w:hint="default" w:eastAsia="华文中宋"/>
                <w:color w:val="auto"/>
                <w:highlight w:val="none"/>
                <w:lang w:val="en-US" w:eastAsia="zh-CN"/>
              </w:rPr>
            </w:pPr>
            <w:r>
              <w:rPr>
                <w:color w:val="auto"/>
                <w:highlight w:val="none"/>
              </w:rPr>
              <w:t>0.0</w:t>
            </w:r>
            <w:r>
              <w:rPr>
                <w:rFonts w:hint="eastAsia"/>
                <w:color w:val="auto"/>
                <w:highlight w:val="none"/>
                <w:lang w:val="en-US" w:eastAsia="zh-CN"/>
              </w:rPr>
              <w:t>379</w:t>
            </w:r>
          </w:p>
        </w:tc>
        <w:tc>
          <w:tcPr>
            <w:tcW w:w="1728" w:type="dxa"/>
            <w:tcBorders>
              <w:tl2br w:val="nil"/>
              <w:tr2bl w:val="nil"/>
            </w:tcBorders>
            <w:vAlign w:val="center"/>
          </w:tcPr>
          <w:p w14:paraId="5EAFE790">
            <w:pPr>
              <w:pStyle w:val="41"/>
              <w:widowControl w:val="0"/>
              <w:rPr>
                <w:rFonts w:hint="default" w:eastAsia="华文中宋"/>
                <w:color w:val="auto"/>
                <w:highlight w:val="none"/>
                <w:lang w:val="en-US" w:eastAsia="zh-CN"/>
              </w:rPr>
            </w:pPr>
            <w:r>
              <w:rPr>
                <w:color w:val="auto"/>
                <w:highlight w:val="none"/>
              </w:rPr>
              <w:t>0.</w:t>
            </w:r>
            <w:r>
              <w:rPr>
                <w:rFonts w:hint="eastAsia"/>
                <w:color w:val="auto"/>
                <w:highlight w:val="none"/>
                <w:lang w:val="en-US" w:eastAsia="zh-CN"/>
              </w:rPr>
              <w:t>273</w:t>
            </w:r>
          </w:p>
        </w:tc>
      </w:tr>
      <w:tr w14:paraId="33B2B0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46" w:type="pct"/>
            <w:tcBorders>
              <w:tl2br w:val="nil"/>
              <w:tr2bl w:val="nil"/>
            </w:tcBorders>
            <w:vAlign w:val="center"/>
          </w:tcPr>
          <w:p w14:paraId="39C880E2">
            <w:pPr>
              <w:pStyle w:val="41"/>
              <w:widowControl w:val="0"/>
              <w:rPr>
                <w:color w:val="auto"/>
                <w:highlight w:val="none"/>
              </w:rPr>
            </w:pPr>
            <w:r>
              <w:rPr>
                <w:color w:val="auto"/>
                <w:highlight w:val="none"/>
              </w:rPr>
              <w:t>6</w:t>
            </w:r>
          </w:p>
        </w:tc>
        <w:tc>
          <w:tcPr>
            <w:tcW w:w="754" w:type="pct"/>
            <w:tcBorders>
              <w:tl2br w:val="nil"/>
              <w:tr2bl w:val="nil"/>
            </w:tcBorders>
            <w:vAlign w:val="center"/>
          </w:tcPr>
          <w:p w14:paraId="3AB4C1B3">
            <w:pPr>
              <w:pStyle w:val="41"/>
              <w:widowControl w:val="0"/>
              <w:rPr>
                <w:color w:val="auto"/>
                <w:highlight w:val="none"/>
              </w:rPr>
            </w:pPr>
            <w:r>
              <w:rPr>
                <w:color w:val="auto"/>
                <w:highlight w:val="none"/>
              </w:rPr>
              <w:t>3号振动筛分车间</w:t>
            </w:r>
          </w:p>
        </w:tc>
        <w:tc>
          <w:tcPr>
            <w:tcW w:w="979" w:type="pct"/>
            <w:gridSpan w:val="2"/>
            <w:tcBorders>
              <w:tl2br w:val="nil"/>
              <w:tr2bl w:val="nil"/>
            </w:tcBorders>
            <w:vAlign w:val="center"/>
          </w:tcPr>
          <w:p w14:paraId="59974721">
            <w:pPr>
              <w:pStyle w:val="41"/>
              <w:widowControl w:val="0"/>
              <w:rPr>
                <w:color w:val="auto"/>
                <w:highlight w:val="none"/>
              </w:rPr>
            </w:pPr>
            <w:r>
              <w:rPr>
                <w:color w:val="auto"/>
                <w:highlight w:val="none"/>
              </w:rPr>
              <w:t>颗粒物</w:t>
            </w:r>
          </w:p>
        </w:tc>
        <w:tc>
          <w:tcPr>
            <w:tcW w:w="1653" w:type="dxa"/>
            <w:tcBorders>
              <w:tl2br w:val="nil"/>
              <w:tr2bl w:val="nil"/>
            </w:tcBorders>
            <w:vAlign w:val="center"/>
          </w:tcPr>
          <w:p w14:paraId="2A872123">
            <w:pPr>
              <w:pStyle w:val="41"/>
              <w:widowControl w:val="0"/>
              <w:rPr>
                <w:color w:val="auto"/>
                <w:highlight w:val="none"/>
              </w:rPr>
            </w:pPr>
            <w:r>
              <w:rPr>
                <w:color w:val="auto"/>
                <w:highlight w:val="none"/>
              </w:rPr>
              <w:t>0.708</w:t>
            </w:r>
          </w:p>
        </w:tc>
        <w:tc>
          <w:tcPr>
            <w:tcW w:w="1666" w:type="dxa"/>
            <w:tcBorders>
              <w:tl2br w:val="nil"/>
              <w:tr2bl w:val="nil"/>
            </w:tcBorders>
            <w:vAlign w:val="center"/>
          </w:tcPr>
          <w:p w14:paraId="713B181F">
            <w:pPr>
              <w:pStyle w:val="41"/>
              <w:widowControl w:val="0"/>
              <w:rPr>
                <w:rFonts w:hint="default" w:eastAsia="华文中宋"/>
                <w:color w:val="auto"/>
                <w:highlight w:val="none"/>
                <w:lang w:val="en-US" w:eastAsia="zh-CN"/>
              </w:rPr>
            </w:pPr>
            <w:r>
              <w:rPr>
                <w:color w:val="auto"/>
                <w:highlight w:val="none"/>
              </w:rPr>
              <w:t>0.0</w:t>
            </w:r>
            <w:r>
              <w:rPr>
                <w:rFonts w:hint="eastAsia"/>
                <w:color w:val="auto"/>
                <w:highlight w:val="none"/>
                <w:lang w:val="en-US" w:eastAsia="zh-CN"/>
              </w:rPr>
              <w:t>379</w:t>
            </w:r>
          </w:p>
        </w:tc>
        <w:tc>
          <w:tcPr>
            <w:tcW w:w="1728" w:type="dxa"/>
            <w:tcBorders>
              <w:tl2br w:val="nil"/>
              <w:tr2bl w:val="nil"/>
            </w:tcBorders>
            <w:vAlign w:val="center"/>
          </w:tcPr>
          <w:p w14:paraId="7DEAE5FF">
            <w:pPr>
              <w:pStyle w:val="41"/>
              <w:widowControl w:val="0"/>
              <w:rPr>
                <w:rFonts w:hint="default" w:eastAsia="华文中宋"/>
                <w:color w:val="auto"/>
                <w:highlight w:val="none"/>
                <w:lang w:val="en-US" w:eastAsia="zh-CN"/>
              </w:rPr>
            </w:pPr>
            <w:r>
              <w:rPr>
                <w:color w:val="auto"/>
                <w:highlight w:val="none"/>
              </w:rPr>
              <w:t>0.</w:t>
            </w:r>
            <w:r>
              <w:rPr>
                <w:rFonts w:hint="eastAsia"/>
                <w:color w:val="auto"/>
                <w:highlight w:val="none"/>
                <w:lang w:val="en-US" w:eastAsia="zh-CN"/>
              </w:rPr>
              <w:t>273</w:t>
            </w:r>
          </w:p>
        </w:tc>
      </w:tr>
      <w:tr w14:paraId="57CFBD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46" w:type="pct"/>
            <w:tcBorders>
              <w:tl2br w:val="nil"/>
              <w:tr2bl w:val="nil"/>
            </w:tcBorders>
            <w:vAlign w:val="center"/>
          </w:tcPr>
          <w:p w14:paraId="6F644A7B">
            <w:pPr>
              <w:pStyle w:val="41"/>
              <w:widowControl w:val="0"/>
              <w:rPr>
                <w:color w:val="auto"/>
                <w:highlight w:val="none"/>
              </w:rPr>
            </w:pPr>
            <w:r>
              <w:rPr>
                <w:color w:val="auto"/>
                <w:highlight w:val="none"/>
              </w:rPr>
              <w:t>7</w:t>
            </w:r>
          </w:p>
        </w:tc>
        <w:tc>
          <w:tcPr>
            <w:tcW w:w="754" w:type="pct"/>
            <w:tcBorders>
              <w:tl2br w:val="nil"/>
              <w:tr2bl w:val="nil"/>
            </w:tcBorders>
            <w:vAlign w:val="center"/>
          </w:tcPr>
          <w:p w14:paraId="2C77CAF7">
            <w:pPr>
              <w:pStyle w:val="41"/>
              <w:widowControl w:val="0"/>
              <w:rPr>
                <w:color w:val="auto"/>
                <w:highlight w:val="none"/>
              </w:rPr>
            </w:pPr>
            <w:r>
              <w:rPr>
                <w:color w:val="auto"/>
                <w:highlight w:val="none"/>
              </w:rPr>
              <w:t>干抛磁选</w:t>
            </w:r>
            <w:r>
              <w:rPr>
                <w:rFonts w:hint="eastAsia"/>
                <w:color w:val="auto"/>
                <w:highlight w:val="none"/>
                <w:lang w:eastAsia="zh-CN"/>
              </w:rPr>
              <w:t>车</w:t>
            </w:r>
            <w:r>
              <w:rPr>
                <w:color w:val="auto"/>
                <w:highlight w:val="none"/>
              </w:rPr>
              <w:t>间</w:t>
            </w:r>
          </w:p>
        </w:tc>
        <w:tc>
          <w:tcPr>
            <w:tcW w:w="979" w:type="pct"/>
            <w:gridSpan w:val="2"/>
            <w:tcBorders>
              <w:tl2br w:val="nil"/>
              <w:tr2bl w:val="nil"/>
            </w:tcBorders>
            <w:vAlign w:val="center"/>
          </w:tcPr>
          <w:p w14:paraId="6BD989EB">
            <w:pPr>
              <w:pStyle w:val="41"/>
              <w:widowControl w:val="0"/>
              <w:rPr>
                <w:color w:val="auto"/>
                <w:highlight w:val="none"/>
              </w:rPr>
            </w:pPr>
            <w:r>
              <w:rPr>
                <w:color w:val="auto"/>
                <w:highlight w:val="none"/>
              </w:rPr>
              <w:t>颗粒物</w:t>
            </w:r>
          </w:p>
        </w:tc>
        <w:tc>
          <w:tcPr>
            <w:tcW w:w="989" w:type="pct"/>
            <w:tcBorders>
              <w:tl2br w:val="nil"/>
              <w:tr2bl w:val="nil"/>
            </w:tcBorders>
            <w:vAlign w:val="center"/>
          </w:tcPr>
          <w:p w14:paraId="77EEA3AF">
            <w:pPr>
              <w:pStyle w:val="41"/>
              <w:widowControl w:val="0"/>
              <w:rPr>
                <w:color w:val="auto"/>
                <w:highlight w:val="none"/>
              </w:rPr>
            </w:pPr>
            <w:r>
              <w:rPr>
                <w:color w:val="auto"/>
                <w:highlight w:val="none"/>
              </w:rPr>
              <w:t>1.157</w:t>
            </w:r>
          </w:p>
        </w:tc>
        <w:tc>
          <w:tcPr>
            <w:tcW w:w="996" w:type="pct"/>
            <w:tcBorders>
              <w:tl2br w:val="nil"/>
              <w:tr2bl w:val="nil"/>
            </w:tcBorders>
            <w:vAlign w:val="center"/>
          </w:tcPr>
          <w:p w14:paraId="313E795C">
            <w:pPr>
              <w:pStyle w:val="41"/>
              <w:widowControl w:val="0"/>
              <w:rPr>
                <w:color w:val="auto"/>
                <w:highlight w:val="none"/>
              </w:rPr>
            </w:pPr>
            <w:r>
              <w:rPr>
                <w:color w:val="auto"/>
                <w:highlight w:val="none"/>
              </w:rPr>
              <w:t>0.098</w:t>
            </w:r>
          </w:p>
        </w:tc>
        <w:tc>
          <w:tcPr>
            <w:tcW w:w="1033" w:type="pct"/>
            <w:tcBorders>
              <w:tl2br w:val="nil"/>
              <w:tr2bl w:val="nil"/>
            </w:tcBorders>
            <w:vAlign w:val="center"/>
          </w:tcPr>
          <w:p w14:paraId="1858DD6A">
            <w:pPr>
              <w:pStyle w:val="41"/>
              <w:widowControl w:val="0"/>
              <w:rPr>
                <w:color w:val="auto"/>
                <w:highlight w:val="none"/>
              </w:rPr>
            </w:pPr>
            <w:r>
              <w:rPr>
                <w:color w:val="auto"/>
                <w:highlight w:val="none"/>
              </w:rPr>
              <w:t>0.7056</w:t>
            </w:r>
          </w:p>
        </w:tc>
      </w:tr>
      <w:tr w14:paraId="27D34B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46" w:type="pct"/>
            <w:vMerge w:val="restart"/>
            <w:tcBorders>
              <w:tl2br w:val="nil"/>
              <w:tr2bl w:val="nil"/>
            </w:tcBorders>
            <w:vAlign w:val="center"/>
          </w:tcPr>
          <w:p w14:paraId="5EDFA936">
            <w:pPr>
              <w:pStyle w:val="41"/>
              <w:widowControl w:val="0"/>
              <w:rPr>
                <w:color w:val="auto"/>
                <w:highlight w:val="none"/>
              </w:rPr>
            </w:pPr>
            <w:r>
              <w:rPr>
                <w:color w:val="auto"/>
                <w:highlight w:val="none"/>
              </w:rPr>
              <w:t>8</w:t>
            </w:r>
          </w:p>
        </w:tc>
        <w:tc>
          <w:tcPr>
            <w:tcW w:w="754" w:type="pct"/>
            <w:vMerge w:val="restart"/>
            <w:tcBorders>
              <w:tl2br w:val="nil"/>
              <w:tr2bl w:val="nil"/>
            </w:tcBorders>
            <w:vAlign w:val="center"/>
          </w:tcPr>
          <w:p w14:paraId="748FBEBE">
            <w:pPr>
              <w:pStyle w:val="41"/>
              <w:widowControl w:val="0"/>
              <w:rPr>
                <w:color w:val="auto"/>
                <w:highlight w:val="none"/>
              </w:rPr>
            </w:pPr>
            <w:r>
              <w:rPr>
                <w:color w:val="auto"/>
                <w:highlight w:val="none"/>
              </w:rPr>
              <w:t>供暖锅炉</w:t>
            </w:r>
          </w:p>
        </w:tc>
        <w:tc>
          <w:tcPr>
            <w:tcW w:w="471" w:type="pct"/>
            <w:vMerge w:val="restart"/>
            <w:tcBorders>
              <w:tl2br w:val="nil"/>
              <w:tr2bl w:val="nil"/>
            </w:tcBorders>
            <w:vAlign w:val="center"/>
          </w:tcPr>
          <w:p w14:paraId="2800B52D">
            <w:pPr>
              <w:pStyle w:val="41"/>
              <w:widowControl w:val="0"/>
              <w:rPr>
                <w:color w:val="auto"/>
                <w:highlight w:val="none"/>
              </w:rPr>
            </w:pPr>
          </w:p>
        </w:tc>
        <w:tc>
          <w:tcPr>
            <w:tcW w:w="507" w:type="pct"/>
            <w:tcBorders>
              <w:tl2br w:val="nil"/>
              <w:tr2bl w:val="nil"/>
            </w:tcBorders>
            <w:vAlign w:val="center"/>
          </w:tcPr>
          <w:p w14:paraId="06AD0272">
            <w:pPr>
              <w:pStyle w:val="41"/>
              <w:widowControl w:val="0"/>
              <w:rPr>
                <w:color w:val="auto"/>
                <w:highlight w:val="none"/>
              </w:rPr>
            </w:pPr>
            <w:r>
              <w:rPr>
                <w:color w:val="auto"/>
                <w:highlight w:val="none"/>
              </w:rPr>
              <w:t>颗粒物</w:t>
            </w:r>
          </w:p>
        </w:tc>
        <w:tc>
          <w:tcPr>
            <w:tcW w:w="1659" w:type="dxa"/>
            <w:tcBorders>
              <w:tl2br w:val="nil"/>
              <w:tr2bl w:val="nil"/>
            </w:tcBorders>
            <w:vAlign w:val="center"/>
          </w:tcPr>
          <w:p w14:paraId="0228B350">
            <w:pPr>
              <w:pStyle w:val="41"/>
              <w:widowControl w:val="0"/>
              <w:rPr>
                <w:color w:val="auto"/>
                <w:highlight w:val="none"/>
              </w:rPr>
            </w:pPr>
            <w:r>
              <w:rPr>
                <w:color w:val="auto"/>
                <w:highlight w:val="none"/>
              </w:rPr>
              <w:t>0.8</w:t>
            </w:r>
          </w:p>
        </w:tc>
        <w:tc>
          <w:tcPr>
            <w:tcW w:w="996" w:type="pct"/>
            <w:tcBorders>
              <w:tl2br w:val="nil"/>
              <w:tr2bl w:val="nil"/>
            </w:tcBorders>
            <w:vAlign w:val="center"/>
          </w:tcPr>
          <w:p w14:paraId="3658AB65">
            <w:pPr>
              <w:pStyle w:val="41"/>
              <w:widowControl w:val="0"/>
              <w:rPr>
                <w:color w:val="auto"/>
                <w:highlight w:val="none"/>
              </w:rPr>
            </w:pPr>
            <w:r>
              <w:rPr>
                <w:color w:val="auto"/>
                <w:highlight w:val="none"/>
              </w:rPr>
              <w:t>0.1275</w:t>
            </w:r>
          </w:p>
        </w:tc>
        <w:tc>
          <w:tcPr>
            <w:tcW w:w="1734" w:type="dxa"/>
            <w:tcBorders>
              <w:tl2br w:val="nil"/>
              <w:tr2bl w:val="nil"/>
            </w:tcBorders>
            <w:vAlign w:val="center"/>
          </w:tcPr>
          <w:p w14:paraId="3A60E9FF">
            <w:pPr>
              <w:pStyle w:val="41"/>
              <w:widowControl w:val="0"/>
              <w:rPr>
                <w:color w:val="auto"/>
                <w:highlight w:val="none"/>
              </w:rPr>
            </w:pPr>
            <w:r>
              <w:rPr>
                <w:color w:val="auto"/>
                <w:highlight w:val="none"/>
              </w:rPr>
              <w:t>0.0135</w:t>
            </w:r>
          </w:p>
        </w:tc>
      </w:tr>
      <w:tr w14:paraId="4BD92C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46" w:type="pct"/>
            <w:vMerge w:val="continue"/>
            <w:tcBorders>
              <w:tl2br w:val="nil"/>
              <w:tr2bl w:val="nil"/>
            </w:tcBorders>
            <w:vAlign w:val="center"/>
          </w:tcPr>
          <w:p w14:paraId="73BF9BD7">
            <w:pPr>
              <w:pStyle w:val="41"/>
              <w:widowControl w:val="0"/>
              <w:rPr>
                <w:color w:val="auto"/>
                <w:highlight w:val="none"/>
              </w:rPr>
            </w:pPr>
          </w:p>
        </w:tc>
        <w:tc>
          <w:tcPr>
            <w:tcW w:w="754" w:type="pct"/>
            <w:vMerge w:val="continue"/>
            <w:tcBorders>
              <w:tl2br w:val="nil"/>
              <w:tr2bl w:val="nil"/>
            </w:tcBorders>
            <w:vAlign w:val="center"/>
          </w:tcPr>
          <w:p w14:paraId="4AE07761">
            <w:pPr>
              <w:pStyle w:val="41"/>
              <w:widowControl w:val="0"/>
              <w:rPr>
                <w:color w:val="auto"/>
                <w:highlight w:val="none"/>
              </w:rPr>
            </w:pPr>
          </w:p>
        </w:tc>
        <w:tc>
          <w:tcPr>
            <w:tcW w:w="471" w:type="pct"/>
            <w:vMerge w:val="continue"/>
            <w:tcBorders>
              <w:tl2br w:val="nil"/>
              <w:tr2bl w:val="nil"/>
            </w:tcBorders>
            <w:vAlign w:val="center"/>
          </w:tcPr>
          <w:p w14:paraId="0B1B742F">
            <w:pPr>
              <w:pStyle w:val="41"/>
              <w:widowControl w:val="0"/>
              <w:rPr>
                <w:color w:val="auto"/>
                <w:highlight w:val="none"/>
              </w:rPr>
            </w:pPr>
          </w:p>
        </w:tc>
        <w:tc>
          <w:tcPr>
            <w:tcW w:w="507" w:type="pct"/>
            <w:tcBorders>
              <w:tl2br w:val="nil"/>
              <w:tr2bl w:val="nil"/>
            </w:tcBorders>
            <w:vAlign w:val="center"/>
          </w:tcPr>
          <w:p w14:paraId="5F4B45AA">
            <w:pPr>
              <w:pStyle w:val="41"/>
              <w:widowControl w:val="0"/>
              <w:rPr>
                <w:color w:val="auto"/>
                <w:highlight w:val="none"/>
              </w:rPr>
            </w:pPr>
            <w:r>
              <w:rPr>
                <w:color w:val="auto"/>
                <w:highlight w:val="none"/>
              </w:rPr>
              <w:t>SO</w:t>
            </w:r>
            <w:r>
              <w:rPr>
                <w:color w:val="auto"/>
                <w:highlight w:val="none"/>
                <w:vertAlign w:val="subscript"/>
              </w:rPr>
              <w:t>2</w:t>
            </w:r>
          </w:p>
        </w:tc>
        <w:tc>
          <w:tcPr>
            <w:tcW w:w="1659" w:type="dxa"/>
            <w:tcBorders>
              <w:tl2br w:val="nil"/>
              <w:tr2bl w:val="nil"/>
            </w:tcBorders>
            <w:vAlign w:val="center"/>
          </w:tcPr>
          <w:p w14:paraId="3750EF16">
            <w:pPr>
              <w:pStyle w:val="41"/>
              <w:widowControl w:val="0"/>
              <w:rPr>
                <w:color w:val="auto"/>
                <w:highlight w:val="none"/>
              </w:rPr>
            </w:pPr>
            <w:r>
              <w:rPr>
                <w:color w:val="auto"/>
                <w:highlight w:val="none"/>
              </w:rPr>
              <w:t>54.49</w:t>
            </w:r>
          </w:p>
        </w:tc>
        <w:tc>
          <w:tcPr>
            <w:tcW w:w="996" w:type="pct"/>
            <w:tcBorders>
              <w:tl2br w:val="nil"/>
              <w:tr2bl w:val="nil"/>
            </w:tcBorders>
            <w:vAlign w:val="center"/>
          </w:tcPr>
          <w:p w14:paraId="1101EA4B">
            <w:pPr>
              <w:pStyle w:val="41"/>
              <w:widowControl w:val="0"/>
              <w:rPr>
                <w:color w:val="auto"/>
                <w:highlight w:val="none"/>
              </w:rPr>
            </w:pPr>
            <w:r>
              <w:rPr>
                <w:color w:val="auto"/>
                <w:highlight w:val="none"/>
              </w:rPr>
              <w:t>0.3825</w:t>
            </w:r>
          </w:p>
        </w:tc>
        <w:tc>
          <w:tcPr>
            <w:tcW w:w="1734" w:type="dxa"/>
            <w:tcBorders>
              <w:tl2br w:val="nil"/>
              <w:tr2bl w:val="nil"/>
            </w:tcBorders>
            <w:vAlign w:val="center"/>
          </w:tcPr>
          <w:p w14:paraId="4225C8F8">
            <w:pPr>
              <w:pStyle w:val="41"/>
              <w:widowControl w:val="0"/>
              <w:rPr>
                <w:color w:val="auto"/>
                <w:highlight w:val="none"/>
              </w:rPr>
            </w:pPr>
            <w:r>
              <w:rPr>
                <w:color w:val="auto"/>
                <w:highlight w:val="none"/>
              </w:rPr>
              <w:t>0.918</w:t>
            </w:r>
          </w:p>
        </w:tc>
      </w:tr>
      <w:tr w14:paraId="7086D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46" w:type="pct"/>
            <w:vMerge w:val="continue"/>
            <w:tcBorders>
              <w:tl2br w:val="nil"/>
              <w:tr2bl w:val="nil"/>
            </w:tcBorders>
            <w:vAlign w:val="center"/>
          </w:tcPr>
          <w:p w14:paraId="0F249FBA">
            <w:pPr>
              <w:pStyle w:val="41"/>
              <w:widowControl w:val="0"/>
              <w:rPr>
                <w:color w:val="auto"/>
                <w:highlight w:val="none"/>
              </w:rPr>
            </w:pPr>
          </w:p>
        </w:tc>
        <w:tc>
          <w:tcPr>
            <w:tcW w:w="754" w:type="pct"/>
            <w:vMerge w:val="continue"/>
            <w:tcBorders>
              <w:tl2br w:val="nil"/>
              <w:tr2bl w:val="nil"/>
            </w:tcBorders>
            <w:vAlign w:val="center"/>
          </w:tcPr>
          <w:p w14:paraId="28968221">
            <w:pPr>
              <w:pStyle w:val="41"/>
              <w:widowControl w:val="0"/>
              <w:rPr>
                <w:color w:val="auto"/>
                <w:highlight w:val="none"/>
              </w:rPr>
            </w:pPr>
          </w:p>
        </w:tc>
        <w:tc>
          <w:tcPr>
            <w:tcW w:w="471" w:type="pct"/>
            <w:vMerge w:val="continue"/>
            <w:tcBorders>
              <w:tl2br w:val="nil"/>
              <w:tr2bl w:val="nil"/>
            </w:tcBorders>
            <w:vAlign w:val="center"/>
          </w:tcPr>
          <w:p w14:paraId="7B88A4A3">
            <w:pPr>
              <w:pStyle w:val="41"/>
              <w:widowControl w:val="0"/>
              <w:rPr>
                <w:color w:val="auto"/>
                <w:highlight w:val="none"/>
              </w:rPr>
            </w:pPr>
          </w:p>
        </w:tc>
        <w:tc>
          <w:tcPr>
            <w:tcW w:w="507" w:type="pct"/>
            <w:tcBorders>
              <w:tl2br w:val="nil"/>
              <w:tr2bl w:val="nil"/>
            </w:tcBorders>
            <w:vAlign w:val="center"/>
          </w:tcPr>
          <w:p w14:paraId="7B9029E8">
            <w:pPr>
              <w:pStyle w:val="41"/>
              <w:widowControl w:val="0"/>
              <w:rPr>
                <w:color w:val="auto"/>
                <w:highlight w:val="none"/>
              </w:rPr>
            </w:pPr>
            <w:r>
              <w:rPr>
                <w:color w:val="auto"/>
                <w:highlight w:val="none"/>
              </w:rPr>
              <w:t>NOx</w:t>
            </w:r>
          </w:p>
        </w:tc>
        <w:tc>
          <w:tcPr>
            <w:tcW w:w="1659" w:type="dxa"/>
            <w:tcBorders>
              <w:tl2br w:val="nil"/>
              <w:tr2bl w:val="nil"/>
            </w:tcBorders>
            <w:vAlign w:val="center"/>
          </w:tcPr>
          <w:p w14:paraId="42A1FC13">
            <w:pPr>
              <w:pStyle w:val="41"/>
              <w:widowControl w:val="0"/>
              <w:rPr>
                <w:color w:val="auto"/>
                <w:highlight w:val="none"/>
              </w:rPr>
            </w:pPr>
            <w:r>
              <w:rPr>
                <w:color w:val="auto"/>
                <w:highlight w:val="none"/>
              </w:rPr>
              <w:t>163.46</w:t>
            </w:r>
          </w:p>
        </w:tc>
        <w:tc>
          <w:tcPr>
            <w:tcW w:w="996" w:type="pct"/>
            <w:tcBorders>
              <w:tl2br w:val="nil"/>
              <w:tr2bl w:val="nil"/>
            </w:tcBorders>
            <w:vAlign w:val="center"/>
          </w:tcPr>
          <w:p w14:paraId="473C190A">
            <w:pPr>
              <w:pStyle w:val="41"/>
              <w:widowControl w:val="0"/>
              <w:rPr>
                <w:color w:val="auto"/>
                <w:highlight w:val="none"/>
              </w:rPr>
            </w:pPr>
            <w:r>
              <w:rPr>
                <w:color w:val="auto"/>
                <w:highlight w:val="none"/>
              </w:rPr>
              <w:t>0.0098</w:t>
            </w:r>
          </w:p>
        </w:tc>
        <w:tc>
          <w:tcPr>
            <w:tcW w:w="1734" w:type="dxa"/>
            <w:tcBorders>
              <w:tl2br w:val="nil"/>
              <w:tr2bl w:val="nil"/>
            </w:tcBorders>
            <w:vAlign w:val="center"/>
          </w:tcPr>
          <w:p w14:paraId="23283EF5">
            <w:pPr>
              <w:pStyle w:val="41"/>
              <w:widowControl w:val="0"/>
              <w:rPr>
                <w:color w:val="auto"/>
                <w:highlight w:val="none"/>
              </w:rPr>
            </w:pPr>
            <w:r>
              <w:rPr>
                <w:color w:val="auto"/>
                <w:highlight w:val="none"/>
              </w:rPr>
              <w:t>2.754</w:t>
            </w:r>
          </w:p>
        </w:tc>
      </w:tr>
      <w:tr w14:paraId="375E8C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00" w:type="pct"/>
            <w:gridSpan w:val="7"/>
            <w:tcBorders>
              <w:tl2br w:val="nil"/>
              <w:tr2bl w:val="nil"/>
            </w:tcBorders>
            <w:vAlign w:val="center"/>
          </w:tcPr>
          <w:p w14:paraId="7C11913A">
            <w:pPr>
              <w:pStyle w:val="41"/>
              <w:widowControl w:val="0"/>
              <w:rPr>
                <w:color w:val="auto"/>
                <w:highlight w:val="none"/>
              </w:rPr>
            </w:pPr>
            <w:r>
              <w:rPr>
                <w:color w:val="auto"/>
                <w:highlight w:val="none"/>
              </w:rPr>
              <w:t>有组织排放</w:t>
            </w:r>
          </w:p>
        </w:tc>
      </w:tr>
      <w:tr w14:paraId="46462C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001" w:type="pct"/>
            <w:gridSpan w:val="2"/>
            <w:vMerge w:val="restart"/>
            <w:tcBorders>
              <w:tl2br w:val="nil"/>
              <w:tr2bl w:val="nil"/>
            </w:tcBorders>
            <w:vAlign w:val="center"/>
          </w:tcPr>
          <w:p w14:paraId="3CC40579">
            <w:pPr>
              <w:pStyle w:val="41"/>
              <w:widowControl w:val="0"/>
              <w:rPr>
                <w:color w:val="auto"/>
                <w:highlight w:val="none"/>
              </w:rPr>
            </w:pPr>
            <w:r>
              <w:rPr>
                <w:color w:val="auto"/>
                <w:highlight w:val="none"/>
              </w:rPr>
              <w:t>有组织排放总计</w:t>
            </w:r>
          </w:p>
        </w:tc>
        <w:tc>
          <w:tcPr>
            <w:tcW w:w="2965" w:type="pct"/>
            <w:gridSpan w:val="4"/>
            <w:tcBorders>
              <w:tl2br w:val="nil"/>
              <w:tr2bl w:val="nil"/>
            </w:tcBorders>
            <w:vAlign w:val="center"/>
          </w:tcPr>
          <w:p w14:paraId="34A45285">
            <w:pPr>
              <w:pStyle w:val="41"/>
              <w:widowControl w:val="0"/>
              <w:rPr>
                <w:color w:val="auto"/>
                <w:highlight w:val="none"/>
              </w:rPr>
            </w:pPr>
            <w:r>
              <w:rPr>
                <w:color w:val="auto"/>
                <w:highlight w:val="none"/>
              </w:rPr>
              <w:t>SO</w:t>
            </w:r>
            <w:r>
              <w:rPr>
                <w:color w:val="auto"/>
                <w:highlight w:val="none"/>
                <w:vertAlign w:val="subscript"/>
              </w:rPr>
              <w:t>2</w:t>
            </w:r>
          </w:p>
        </w:tc>
        <w:tc>
          <w:tcPr>
            <w:tcW w:w="1735" w:type="dxa"/>
            <w:tcBorders>
              <w:tl2br w:val="nil"/>
              <w:tr2bl w:val="nil"/>
            </w:tcBorders>
            <w:vAlign w:val="center"/>
          </w:tcPr>
          <w:p w14:paraId="57617CA7">
            <w:pPr>
              <w:pStyle w:val="41"/>
              <w:widowControl w:val="0"/>
              <w:rPr>
                <w:color w:val="auto"/>
                <w:highlight w:val="none"/>
              </w:rPr>
            </w:pPr>
            <w:r>
              <w:rPr>
                <w:color w:val="auto"/>
                <w:highlight w:val="none"/>
              </w:rPr>
              <w:t>0.918</w:t>
            </w:r>
          </w:p>
        </w:tc>
      </w:tr>
      <w:tr w14:paraId="6F14EA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001" w:type="pct"/>
            <w:gridSpan w:val="2"/>
            <w:vMerge w:val="continue"/>
            <w:tcBorders>
              <w:tl2br w:val="nil"/>
              <w:tr2bl w:val="nil"/>
            </w:tcBorders>
            <w:vAlign w:val="center"/>
          </w:tcPr>
          <w:p w14:paraId="3F49633F">
            <w:pPr>
              <w:pStyle w:val="41"/>
              <w:widowControl w:val="0"/>
              <w:rPr>
                <w:color w:val="auto"/>
                <w:highlight w:val="none"/>
              </w:rPr>
            </w:pPr>
          </w:p>
        </w:tc>
        <w:tc>
          <w:tcPr>
            <w:tcW w:w="2965" w:type="pct"/>
            <w:gridSpan w:val="4"/>
            <w:tcBorders>
              <w:tl2br w:val="nil"/>
              <w:tr2bl w:val="nil"/>
            </w:tcBorders>
            <w:vAlign w:val="center"/>
          </w:tcPr>
          <w:p w14:paraId="230DDAAE">
            <w:pPr>
              <w:pStyle w:val="41"/>
              <w:widowControl w:val="0"/>
              <w:rPr>
                <w:color w:val="auto"/>
                <w:highlight w:val="none"/>
              </w:rPr>
            </w:pPr>
            <w:r>
              <w:rPr>
                <w:color w:val="auto"/>
                <w:highlight w:val="none"/>
              </w:rPr>
              <w:t>NO</w:t>
            </w:r>
            <w:r>
              <w:rPr>
                <w:color w:val="auto"/>
                <w:highlight w:val="none"/>
                <w:vertAlign w:val="subscript"/>
              </w:rPr>
              <w:t>X</w:t>
            </w:r>
          </w:p>
        </w:tc>
        <w:tc>
          <w:tcPr>
            <w:tcW w:w="1735" w:type="dxa"/>
            <w:tcBorders>
              <w:tl2br w:val="nil"/>
              <w:tr2bl w:val="nil"/>
            </w:tcBorders>
            <w:vAlign w:val="center"/>
          </w:tcPr>
          <w:p w14:paraId="5495D1D2">
            <w:pPr>
              <w:pStyle w:val="41"/>
              <w:widowControl w:val="0"/>
              <w:rPr>
                <w:color w:val="auto"/>
                <w:highlight w:val="none"/>
              </w:rPr>
            </w:pPr>
            <w:r>
              <w:rPr>
                <w:color w:val="auto"/>
                <w:highlight w:val="none"/>
              </w:rPr>
              <w:t>2.754</w:t>
            </w:r>
          </w:p>
        </w:tc>
      </w:tr>
      <w:tr w14:paraId="094280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001" w:type="pct"/>
            <w:gridSpan w:val="2"/>
            <w:vMerge w:val="continue"/>
            <w:tcBorders>
              <w:tl2br w:val="nil"/>
              <w:tr2bl w:val="nil"/>
            </w:tcBorders>
            <w:vAlign w:val="center"/>
          </w:tcPr>
          <w:p w14:paraId="59DA9ACA">
            <w:pPr>
              <w:pStyle w:val="41"/>
              <w:widowControl w:val="0"/>
              <w:rPr>
                <w:color w:val="auto"/>
                <w:highlight w:val="none"/>
              </w:rPr>
            </w:pPr>
          </w:p>
        </w:tc>
        <w:tc>
          <w:tcPr>
            <w:tcW w:w="2965" w:type="pct"/>
            <w:gridSpan w:val="4"/>
            <w:tcBorders>
              <w:tl2br w:val="nil"/>
              <w:tr2bl w:val="nil"/>
            </w:tcBorders>
            <w:vAlign w:val="center"/>
          </w:tcPr>
          <w:p w14:paraId="223B2DC6">
            <w:pPr>
              <w:pStyle w:val="41"/>
              <w:widowControl w:val="0"/>
              <w:rPr>
                <w:color w:val="auto"/>
                <w:highlight w:val="none"/>
              </w:rPr>
            </w:pPr>
            <w:r>
              <w:rPr>
                <w:color w:val="auto"/>
                <w:highlight w:val="none"/>
              </w:rPr>
              <w:t>颗粒物</w:t>
            </w:r>
          </w:p>
        </w:tc>
        <w:tc>
          <w:tcPr>
            <w:tcW w:w="1033" w:type="pct"/>
            <w:tcBorders>
              <w:tl2br w:val="nil"/>
              <w:tr2bl w:val="nil"/>
            </w:tcBorders>
            <w:vAlign w:val="center"/>
          </w:tcPr>
          <w:p w14:paraId="0DBA3C0E">
            <w:pPr>
              <w:pStyle w:val="41"/>
              <w:widowControl w:val="0"/>
              <w:rPr>
                <w:rFonts w:hint="default" w:eastAsia="华文中宋"/>
                <w:color w:val="auto"/>
                <w:highlight w:val="none"/>
                <w:lang w:val="en-US" w:eastAsia="zh-CN"/>
              </w:rPr>
            </w:pPr>
            <w:r>
              <w:rPr>
                <w:rFonts w:hint="eastAsia"/>
                <w:color w:val="auto"/>
                <w:highlight w:val="none"/>
                <w:lang w:val="en-US" w:eastAsia="zh-CN"/>
              </w:rPr>
              <w:t>2.3571</w:t>
            </w:r>
          </w:p>
        </w:tc>
      </w:tr>
    </w:tbl>
    <w:p w14:paraId="5EC7068D">
      <w:pPr>
        <w:pStyle w:val="3"/>
        <w:ind w:firstLine="480"/>
        <w:rPr>
          <w:color w:val="auto"/>
          <w:highlight w:val="none"/>
        </w:rPr>
      </w:pPr>
      <w:r>
        <w:rPr>
          <w:color w:val="auto"/>
          <w:highlight w:val="none"/>
        </w:rPr>
        <w:t>2）无组织源</w:t>
      </w:r>
    </w:p>
    <w:p w14:paraId="14533667">
      <w:pPr>
        <w:pStyle w:val="3"/>
        <w:ind w:firstLine="480"/>
        <w:rPr>
          <w:color w:val="auto"/>
          <w:highlight w:val="none"/>
        </w:rPr>
      </w:pPr>
      <w:r>
        <w:rPr>
          <w:color w:val="auto"/>
          <w:highlight w:val="none"/>
        </w:rPr>
        <w:t>无组织排放量核算见表5.2-</w:t>
      </w:r>
      <w:r>
        <w:rPr>
          <w:rFonts w:hint="eastAsia"/>
          <w:color w:val="auto"/>
          <w:highlight w:val="none"/>
          <w:lang w:val="en-US" w:eastAsia="zh-CN"/>
        </w:rPr>
        <w:t>21</w:t>
      </w:r>
      <w:r>
        <w:rPr>
          <w:color w:val="auto"/>
          <w:highlight w:val="none"/>
        </w:rPr>
        <w:t>。</w:t>
      </w:r>
    </w:p>
    <w:p w14:paraId="6F82574E">
      <w:pPr>
        <w:pStyle w:val="40"/>
        <w:spacing w:before="24" w:after="24"/>
        <w:rPr>
          <w:color w:val="auto"/>
          <w:highlight w:val="none"/>
        </w:rPr>
      </w:pPr>
      <w:r>
        <w:rPr>
          <w:color w:val="auto"/>
          <w:highlight w:val="none"/>
        </w:rPr>
        <w:t>表5.2-</w:t>
      </w:r>
      <w:r>
        <w:rPr>
          <w:rFonts w:hint="eastAsia"/>
          <w:color w:val="auto"/>
          <w:highlight w:val="none"/>
          <w:lang w:val="en-US" w:eastAsia="zh-CN"/>
        </w:rPr>
        <w:t>21</w:t>
      </w:r>
      <w:r>
        <w:rPr>
          <w:color w:val="auto"/>
          <w:highlight w:val="none"/>
        </w:rPr>
        <w:t xml:space="preserve">    大气污染物无组织排放量核算规范表</w:t>
      </w:r>
    </w:p>
    <w:tbl>
      <w:tblPr>
        <w:tblStyle w:val="26"/>
        <w:tblW w:w="501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32"/>
        <w:gridCol w:w="1105"/>
        <w:gridCol w:w="1021"/>
        <w:gridCol w:w="1624"/>
        <w:gridCol w:w="1952"/>
        <w:gridCol w:w="1290"/>
        <w:gridCol w:w="931"/>
      </w:tblGrid>
      <w:tr w14:paraId="734A23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59" w:type="pct"/>
            <w:vMerge w:val="restart"/>
            <w:tcBorders>
              <w:tl2br w:val="nil"/>
              <w:tr2bl w:val="nil"/>
            </w:tcBorders>
            <w:vAlign w:val="center"/>
          </w:tcPr>
          <w:p w14:paraId="358030D6">
            <w:pPr>
              <w:pStyle w:val="41"/>
              <w:widowControl w:val="0"/>
              <w:rPr>
                <w:color w:val="auto"/>
                <w:highlight w:val="none"/>
              </w:rPr>
            </w:pPr>
            <w:r>
              <w:rPr>
                <w:color w:val="auto"/>
                <w:highlight w:val="none"/>
              </w:rPr>
              <w:t>序号</w:t>
            </w:r>
          </w:p>
        </w:tc>
        <w:tc>
          <w:tcPr>
            <w:tcW w:w="661" w:type="pct"/>
            <w:vMerge w:val="restart"/>
            <w:tcBorders>
              <w:tl2br w:val="nil"/>
              <w:tr2bl w:val="nil"/>
            </w:tcBorders>
            <w:vAlign w:val="center"/>
          </w:tcPr>
          <w:p w14:paraId="5AD80A3F">
            <w:pPr>
              <w:pStyle w:val="41"/>
              <w:widowControl w:val="0"/>
              <w:rPr>
                <w:color w:val="auto"/>
                <w:highlight w:val="none"/>
              </w:rPr>
            </w:pPr>
            <w:r>
              <w:rPr>
                <w:color w:val="auto"/>
                <w:highlight w:val="none"/>
              </w:rPr>
              <w:t>产污环节</w:t>
            </w:r>
          </w:p>
        </w:tc>
        <w:tc>
          <w:tcPr>
            <w:tcW w:w="611" w:type="pct"/>
            <w:vMerge w:val="restart"/>
            <w:tcBorders>
              <w:tl2br w:val="nil"/>
              <w:tr2bl w:val="nil"/>
            </w:tcBorders>
            <w:vAlign w:val="center"/>
          </w:tcPr>
          <w:p w14:paraId="621ACD4C">
            <w:pPr>
              <w:pStyle w:val="41"/>
              <w:widowControl w:val="0"/>
              <w:rPr>
                <w:color w:val="auto"/>
                <w:highlight w:val="none"/>
              </w:rPr>
            </w:pPr>
            <w:r>
              <w:rPr>
                <w:color w:val="auto"/>
                <w:highlight w:val="none"/>
              </w:rPr>
              <w:t>污染物</w:t>
            </w:r>
          </w:p>
        </w:tc>
        <w:tc>
          <w:tcPr>
            <w:tcW w:w="972" w:type="pct"/>
            <w:vMerge w:val="restart"/>
            <w:tcBorders>
              <w:tl2br w:val="nil"/>
              <w:tr2bl w:val="nil"/>
            </w:tcBorders>
            <w:vAlign w:val="center"/>
          </w:tcPr>
          <w:p w14:paraId="58A581DF">
            <w:pPr>
              <w:pStyle w:val="41"/>
              <w:widowControl w:val="0"/>
              <w:rPr>
                <w:color w:val="auto"/>
                <w:highlight w:val="none"/>
              </w:rPr>
            </w:pPr>
            <w:r>
              <w:rPr>
                <w:color w:val="auto"/>
                <w:highlight w:val="none"/>
              </w:rPr>
              <w:t>主要污染防治</w:t>
            </w:r>
          </w:p>
          <w:p w14:paraId="170FB9D6">
            <w:pPr>
              <w:pStyle w:val="41"/>
              <w:widowControl w:val="0"/>
              <w:rPr>
                <w:color w:val="auto"/>
                <w:highlight w:val="none"/>
              </w:rPr>
            </w:pPr>
            <w:r>
              <w:rPr>
                <w:color w:val="auto"/>
                <w:highlight w:val="none"/>
              </w:rPr>
              <w:t>措施</w:t>
            </w:r>
          </w:p>
        </w:tc>
        <w:tc>
          <w:tcPr>
            <w:tcW w:w="1939" w:type="pct"/>
            <w:gridSpan w:val="2"/>
            <w:tcBorders>
              <w:tl2br w:val="nil"/>
              <w:tr2bl w:val="nil"/>
            </w:tcBorders>
            <w:vAlign w:val="center"/>
          </w:tcPr>
          <w:p w14:paraId="7FD8D3CF">
            <w:pPr>
              <w:pStyle w:val="41"/>
              <w:widowControl w:val="0"/>
              <w:rPr>
                <w:color w:val="auto"/>
                <w:highlight w:val="none"/>
              </w:rPr>
            </w:pPr>
            <w:r>
              <w:rPr>
                <w:color w:val="auto"/>
                <w:highlight w:val="none"/>
              </w:rPr>
              <w:t>国家或地方污染物排放标准</w:t>
            </w:r>
          </w:p>
        </w:tc>
        <w:tc>
          <w:tcPr>
            <w:tcW w:w="556" w:type="pct"/>
            <w:vMerge w:val="restart"/>
            <w:tcBorders>
              <w:tl2br w:val="nil"/>
              <w:tr2bl w:val="nil"/>
            </w:tcBorders>
            <w:vAlign w:val="center"/>
          </w:tcPr>
          <w:p w14:paraId="48B2DD7D">
            <w:pPr>
              <w:pStyle w:val="41"/>
              <w:widowControl w:val="0"/>
              <w:rPr>
                <w:color w:val="auto"/>
                <w:highlight w:val="none"/>
              </w:rPr>
            </w:pPr>
            <w:r>
              <w:rPr>
                <w:color w:val="auto"/>
                <w:highlight w:val="none"/>
              </w:rPr>
              <w:t>年排放（t/a）</w:t>
            </w:r>
          </w:p>
        </w:tc>
      </w:tr>
      <w:tr w14:paraId="744E88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59" w:type="pct"/>
            <w:vMerge w:val="continue"/>
            <w:tcBorders>
              <w:tl2br w:val="nil"/>
              <w:tr2bl w:val="nil"/>
            </w:tcBorders>
            <w:vAlign w:val="center"/>
          </w:tcPr>
          <w:p w14:paraId="6956F45B">
            <w:pPr>
              <w:pStyle w:val="41"/>
              <w:widowControl w:val="0"/>
              <w:rPr>
                <w:color w:val="auto"/>
                <w:highlight w:val="none"/>
              </w:rPr>
            </w:pPr>
          </w:p>
        </w:tc>
        <w:tc>
          <w:tcPr>
            <w:tcW w:w="661" w:type="pct"/>
            <w:vMerge w:val="continue"/>
            <w:tcBorders>
              <w:tl2br w:val="nil"/>
              <w:tr2bl w:val="nil"/>
            </w:tcBorders>
            <w:vAlign w:val="center"/>
          </w:tcPr>
          <w:p w14:paraId="1DFF0672">
            <w:pPr>
              <w:pStyle w:val="41"/>
              <w:widowControl w:val="0"/>
              <w:rPr>
                <w:color w:val="auto"/>
                <w:highlight w:val="none"/>
              </w:rPr>
            </w:pPr>
          </w:p>
        </w:tc>
        <w:tc>
          <w:tcPr>
            <w:tcW w:w="611" w:type="pct"/>
            <w:vMerge w:val="continue"/>
            <w:tcBorders>
              <w:tl2br w:val="nil"/>
              <w:tr2bl w:val="nil"/>
            </w:tcBorders>
            <w:vAlign w:val="center"/>
          </w:tcPr>
          <w:p w14:paraId="438EEC42">
            <w:pPr>
              <w:pStyle w:val="41"/>
              <w:widowControl w:val="0"/>
              <w:rPr>
                <w:color w:val="auto"/>
                <w:highlight w:val="none"/>
              </w:rPr>
            </w:pPr>
          </w:p>
        </w:tc>
        <w:tc>
          <w:tcPr>
            <w:tcW w:w="972" w:type="pct"/>
            <w:vMerge w:val="continue"/>
            <w:tcBorders>
              <w:tl2br w:val="nil"/>
              <w:tr2bl w:val="nil"/>
            </w:tcBorders>
            <w:vAlign w:val="center"/>
          </w:tcPr>
          <w:p w14:paraId="3009CF51">
            <w:pPr>
              <w:pStyle w:val="41"/>
              <w:widowControl w:val="0"/>
              <w:rPr>
                <w:color w:val="auto"/>
                <w:highlight w:val="none"/>
              </w:rPr>
            </w:pPr>
          </w:p>
        </w:tc>
        <w:tc>
          <w:tcPr>
            <w:tcW w:w="1168" w:type="pct"/>
            <w:tcBorders>
              <w:tl2br w:val="nil"/>
              <w:tr2bl w:val="nil"/>
            </w:tcBorders>
            <w:vAlign w:val="center"/>
          </w:tcPr>
          <w:p w14:paraId="2175D111">
            <w:pPr>
              <w:pStyle w:val="41"/>
              <w:widowControl w:val="0"/>
              <w:rPr>
                <w:color w:val="auto"/>
                <w:highlight w:val="none"/>
              </w:rPr>
            </w:pPr>
            <w:r>
              <w:rPr>
                <w:color w:val="auto"/>
                <w:highlight w:val="none"/>
              </w:rPr>
              <w:t>标准名称</w:t>
            </w:r>
          </w:p>
        </w:tc>
        <w:tc>
          <w:tcPr>
            <w:tcW w:w="771" w:type="pct"/>
            <w:tcBorders>
              <w:tl2br w:val="nil"/>
              <w:tr2bl w:val="nil"/>
            </w:tcBorders>
            <w:vAlign w:val="center"/>
          </w:tcPr>
          <w:p w14:paraId="57372DDF">
            <w:pPr>
              <w:pStyle w:val="41"/>
              <w:widowControl w:val="0"/>
              <w:rPr>
                <w:color w:val="auto"/>
                <w:highlight w:val="none"/>
              </w:rPr>
            </w:pPr>
            <w:r>
              <w:rPr>
                <w:color w:val="auto"/>
                <w:highlight w:val="none"/>
              </w:rPr>
              <w:t>浓度限值（mg/m</w:t>
            </w:r>
            <w:r>
              <w:rPr>
                <w:color w:val="auto"/>
                <w:highlight w:val="none"/>
                <w:vertAlign w:val="superscript"/>
              </w:rPr>
              <w:t>3</w:t>
            </w:r>
            <w:r>
              <w:rPr>
                <w:color w:val="auto"/>
                <w:highlight w:val="none"/>
              </w:rPr>
              <w:t>）</w:t>
            </w:r>
          </w:p>
        </w:tc>
        <w:tc>
          <w:tcPr>
            <w:tcW w:w="556" w:type="pct"/>
            <w:vMerge w:val="continue"/>
            <w:tcBorders>
              <w:tl2br w:val="nil"/>
              <w:tr2bl w:val="nil"/>
            </w:tcBorders>
            <w:vAlign w:val="center"/>
          </w:tcPr>
          <w:p w14:paraId="48942185">
            <w:pPr>
              <w:pStyle w:val="41"/>
              <w:widowControl w:val="0"/>
              <w:rPr>
                <w:color w:val="auto"/>
                <w:highlight w:val="none"/>
              </w:rPr>
            </w:pPr>
          </w:p>
        </w:tc>
      </w:tr>
      <w:tr w14:paraId="40EDA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59" w:type="pct"/>
            <w:tcBorders>
              <w:tl2br w:val="nil"/>
              <w:tr2bl w:val="nil"/>
            </w:tcBorders>
            <w:vAlign w:val="center"/>
          </w:tcPr>
          <w:p w14:paraId="5F096F94">
            <w:pPr>
              <w:pStyle w:val="41"/>
              <w:widowControl w:val="0"/>
              <w:rPr>
                <w:color w:val="auto"/>
                <w:highlight w:val="none"/>
              </w:rPr>
            </w:pPr>
            <w:r>
              <w:rPr>
                <w:color w:val="auto"/>
                <w:highlight w:val="none"/>
              </w:rPr>
              <w:t>1</w:t>
            </w:r>
          </w:p>
        </w:tc>
        <w:tc>
          <w:tcPr>
            <w:tcW w:w="661" w:type="pct"/>
            <w:tcBorders>
              <w:tl2br w:val="nil"/>
              <w:tr2bl w:val="nil"/>
            </w:tcBorders>
            <w:vAlign w:val="center"/>
          </w:tcPr>
          <w:p w14:paraId="5A158CC3">
            <w:pPr>
              <w:pStyle w:val="41"/>
              <w:widowControl w:val="0"/>
              <w:rPr>
                <w:color w:val="auto"/>
                <w:highlight w:val="none"/>
              </w:rPr>
            </w:pPr>
            <w:r>
              <w:rPr>
                <w:color w:val="auto"/>
                <w:highlight w:val="none"/>
              </w:rPr>
              <w:t>原矿堆场</w:t>
            </w:r>
          </w:p>
        </w:tc>
        <w:tc>
          <w:tcPr>
            <w:tcW w:w="611" w:type="pct"/>
            <w:tcBorders>
              <w:tl2br w:val="nil"/>
              <w:tr2bl w:val="nil"/>
            </w:tcBorders>
            <w:vAlign w:val="center"/>
          </w:tcPr>
          <w:p w14:paraId="6190E416">
            <w:pPr>
              <w:pStyle w:val="41"/>
              <w:widowControl w:val="0"/>
              <w:rPr>
                <w:color w:val="auto"/>
                <w:highlight w:val="none"/>
              </w:rPr>
            </w:pPr>
            <w:r>
              <w:rPr>
                <w:color w:val="auto"/>
                <w:highlight w:val="none"/>
              </w:rPr>
              <w:t>颗粒物</w:t>
            </w:r>
          </w:p>
        </w:tc>
        <w:tc>
          <w:tcPr>
            <w:tcW w:w="972" w:type="pct"/>
            <w:tcBorders>
              <w:tl2br w:val="nil"/>
              <w:tr2bl w:val="nil"/>
            </w:tcBorders>
            <w:vAlign w:val="center"/>
          </w:tcPr>
          <w:p w14:paraId="0ED12A3A">
            <w:pPr>
              <w:pStyle w:val="41"/>
              <w:widowControl w:val="0"/>
              <w:rPr>
                <w:color w:val="auto"/>
                <w:highlight w:val="none"/>
              </w:rPr>
            </w:pPr>
            <w:r>
              <w:rPr>
                <w:color w:val="auto"/>
                <w:highlight w:val="none"/>
              </w:rPr>
              <w:t>封闭储存，同时设喷洒水装置</w:t>
            </w:r>
          </w:p>
        </w:tc>
        <w:tc>
          <w:tcPr>
            <w:tcW w:w="1168" w:type="pct"/>
            <w:tcBorders>
              <w:tl2br w:val="nil"/>
              <w:tr2bl w:val="nil"/>
            </w:tcBorders>
            <w:vAlign w:val="center"/>
          </w:tcPr>
          <w:p w14:paraId="34A19972">
            <w:pPr>
              <w:pStyle w:val="41"/>
              <w:widowControl w:val="0"/>
              <w:rPr>
                <w:color w:val="auto"/>
                <w:highlight w:val="none"/>
              </w:rPr>
            </w:pPr>
            <w:r>
              <w:rPr>
                <w:color w:val="auto"/>
                <w:highlight w:val="none"/>
              </w:rPr>
              <w:t>《铁矿采选工业污染物排放标准》（GB28661-2012）</w:t>
            </w:r>
          </w:p>
        </w:tc>
        <w:tc>
          <w:tcPr>
            <w:tcW w:w="771" w:type="pct"/>
            <w:tcBorders>
              <w:tl2br w:val="nil"/>
              <w:tr2bl w:val="nil"/>
            </w:tcBorders>
            <w:vAlign w:val="center"/>
          </w:tcPr>
          <w:p w14:paraId="0381E3BF">
            <w:pPr>
              <w:pStyle w:val="41"/>
              <w:widowControl w:val="0"/>
              <w:rPr>
                <w:color w:val="auto"/>
                <w:highlight w:val="none"/>
              </w:rPr>
            </w:pPr>
            <w:r>
              <w:rPr>
                <w:color w:val="auto"/>
                <w:highlight w:val="none"/>
              </w:rPr>
              <w:t>1</w:t>
            </w:r>
          </w:p>
        </w:tc>
        <w:tc>
          <w:tcPr>
            <w:tcW w:w="556" w:type="pct"/>
            <w:tcBorders>
              <w:tl2br w:val="nil"/>
              <w:tr2bl w:val="nil"/>
            </w:tcBorders>
            <w:vAlign w:val="center"/>
          </w:tcPr>
          <w:p w14:paraId="1E023AB5">
            <w:pPr>
              <w:pStyle w:val="41"/>
              <w:widowControl w:val="0"/>
              <w:rPr>
                <w:color w:val="auto"/>
                <w:highlight w:val="none"/>
              </w:rPr>
            </w:pPr>
            <w:r>
              <w:rPr>
                <w:color w:val="auto"/>
                <w:highlight w:val="none"/>
              </w:rPr>
              <w:t>2.24</w:t>
            </w:r>
          </w:p>
        </w:tc>
      </w:tr>
      <w:tr w14:paraId="666CEE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59" w:type="pct"/>
            <w:tcBorders>
              <w:tl2br w:val="nil"/>
              <w:tr2bl w:val="nil"/>
            </w:tcBorders>
            <w:vAlign w:val="center"/>
          </w:tcPr>
          <w:p w14:paraId="00991306">
            <w:pPr>
              <w:pStyle w:val="41"/>
              <w:widowControl w:val="0"/>
              <w:rPr>
                <w:color w:val="auto"/>
                <w:highlight w:val="none"/>
              </w:rPr>
            </w:pPr>
            <w:r>
              <w:rPr>
                <w:color w:val="auto"/>
                <w:highlight w:val="none"/>
              </w:rPr>
              <w:t>2</w:t>
            </w:r>
          </w:p>
        </w:tc>
        <w:tc>
          <w:tcPr>
            <w:tcW w:w="661" w:type="pct"/>
            <w:tcBorders>
              <w:tl2br w:val="nil"/>
              <w:tr2bl w:val="nil"/>
            </w:tcBorders>
            <w:vAlign w:val="center"/>
          </w:tcPr>
          <w:p w14:paraId="49108196">
            <w:pPr>
              <w:pStyle w:val="41"/>
              <w:widowControl w:val="0"/>
              <w:rPr>
                <w:color w:val="auto"/>
                <w:highlight w:val="none"/>
              </w:rPr>
            </w:pPr>
            <w:r>
              <w:rPr>
                <w:color w:val="auto"/>
                <w:highlight w:val="none"/>
              </w:rPr>
              <w:t>尾矿库</w:t>
            </w:r>
          </w:p>
        </w:tc>
        <w:tc>
          <w:tcPr>
            <w:tcW w:w="611" w:type="pct"/>
            <w:tcBorders>
              <w:tl2br w:val="nil"/>
              <w:tr2bl w:val="nil"/>
            </w:tcBorders>
            <w:vAlign w:val="center"/>
          </w:tcPr>
          <w:p w14:paraId="3AC4680F">
            <w:pPr>
              <w:pStyle w:val="41"/>
              <w:widowControl w:val="0"/>
              <w:rPr>
                <w:rFonts w:ascii="Times New Roman" w:hAnsi="Times New Roman"/>
                <w:color w:val="auto"/>
                <w:highlight w:val="none"/>
              </w:rPr>
            </w:pPr>
            <w:r>
              <w:rPr>
                <w:rFonts w:ascii="Times New Roman" w:hAnsi="Times New Roman"/>
                <w:color w:val="auto"/>
                <w:highlight w:val="none"/>
              </w:rPr>
              <w:t>颗粒物</w:t>
            </w:r>
          </w:p>
        </w:tc>
        <w:tc>
          <w:tcPr>
            <w:tcW w:w="972" w:type="pct"/>
            <w:tcBorders>
              <w:tl2br w:val="nil"/>
              <w:tr2bl w:val="nil"/>
            </w:tcBorders>
            <w:vAlign w:val="center"/>
          </w:tcPr>
          <w:p w14:paraId="18FE3981">
            <w:pPr>
              <w:pStyle w:val="41"/>
              <w:widowControl w:val="0"/>
              <w:rPr>
                <w:rFonts w:ascii="Times New Roman" w:hAnsi="Times New Roman"/>
                <w:color w:val="auto"/>
                <w:highlight w:val="none"/>
              </w:rPr>
            </w:pPr>
            <w:r>
              <w:rPr>
                <w:rFonts w:ascii="Times New Roman" w:hAnsi="Times New Roman"/>
                <w:color w:val="auto"/>
                <w:highlight w:val="none"/>
              </w:rPr>
              <w:t>生态高效抑尘剂，敞开式类型</w:t>
            </w:r>
          </w:p>
        </w:tc>
        <w:tc>
          <w:tcPr>
            <w:tcW w:w="1168" w:type="pct"/>
            <w:tcBorders>
              <w:tl2br w:val="nil"/>
              <w:tr2bl w:val="nil"/>
            </w:tcBorders>
            <w:vAlign w:val="center"/>
          </w:tcPr>
          <w:p w14:paraId="3B195184">
            <w:pPr>
              <w:pStyle w:val="41"/>
              <w:widowControl w:val="0"/>
              <w:rPr>
                <w:color w:val="auto"/>
                <w:highlight w:val="none"/>
              </w:rPr>
            </w:pPr>
            <w:r>
              <w:rPr>
                <w:color w:val="auto"/>
                <w:highlight w:val="none"/>
              </w:rPr>
              <w:t>《铁矿采选工业污染物排放标准》（GB28661-2012）</w:t>
            </w:r>
          </w:p>
        </w:tc>
        <w:tc>
          <w:tcPr>
            <w:tcW w:w="771" w:type="pct"/>
            <w:tcBorders>
              <w:tl2br w:val="nil"/>
              <w:tr2bl w:val="nil"/>
            </w:tcBorders>
            <w:vAlign w:val="center"/>
          </w:tcPr>
          <w:p w14:paraId="0B590A03">
            <w:pPr>
              <w:pStyle w:val="41"/>
              <w:widowControl w:val="0"/>
              <w:rPr>
                <w:color w:val="auto"/>
                <w:highlight w:val="none"/>
              </w:rPr>
            </w:pPr>
            <w:r>
              <w:rPr>
                <w:color w:val="auto"/>
                <w:highlight w:val="none"/>
              </w:rPr>
              <w:t>1</w:t>
            </w:r>
          </w:p>
        </w:tc>
        <w:tc>
          <w:tcPr>
            <w:tcW w:w="556" w:type="pct"/>
            <w:tcBorders>
              <w:tl2br w:val="nil"/>
              <w:tr2bl w:val="nil"/>
            </w:tcBorders>
            <w:vAlign w:val="center"/>
          </w:tcPr>
          <w:p w14:paraId="31BC898C">
            <w:pPr>
              <w:pStyle w:val="41"/>
              <w:widowControl w:val="0"/>
              <w:rPr>
                <w:rFonts w:hint="default" w:eastAsia="华文中宋"/>
                <w:color w:val="auto"/>
                <w:highlight w:val="none"/>
                <w:lang w:val="en-US" w:eastAsia="zh-CN"/>
              </w:rPr>
            </w:pPr>
            <w:r>
              <w:rPr>
                <w:rFonts w:hint="eastAsia"/>
                <w:color w:val="auto"/>
                <w:highlight w:val="none"/>
                <w:lang w:val="en-US" w:eastAsia="zh-CN"/>
              </w:rPr>
              <w:t>10.207</w:t>
            </w:r>
          </w:p>
        </w:tc>
      </w:tr>
      <w:tr w14:paraId="7A0197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00" w:type="pct"/>
            <w:gridSpan w:val="7"/>
            <w:tcBorders>
              <w:tl2br w:val="nil"/>
              <w:tr2bl w:val="nil"/>
            </w:tcBorders>
            <w:vAlign w:val="center"/>
          </w:tcPr>
          <w:p w14:paraId="582C3036">
            <w:pPr>
              <w:pStyle w:val="41"/>
              <w:widowControl w:val="0"/>
              <w:rPr>
                <w:color w:val="auto"/>
                <w:highlight w:val="none"/>
              </w:rPr>
            </w:pPr>
            <w:r>
              <w:rPr>
                <w:color w:val="auto"/>
                <w:highlight w:val="none"/>
              </w:rPr>
              <w:t>无组织排放总计</w:t>
            </w:r>
          </w:p>
        </w:tc>
      </w:tr>
      <w:tr w14:paraId="517B82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20" w:type="pct"/>
            <w:gridSpan w:val="2"/>
            <w:tcBorders>
              <w:tl2br w:val="nil"/>
              <w:tr2bl w:val="nil"/>
            </w:tcBorders>
            <w:vAlign w:val="center"/>
          </w:tcPr>
          <w:p w14:paraId="54D1418A">
            <w:pPr>
              <w:pStyle w:val="41"/>
              <w:widowControl w:val="0"/>
              <w:rPr>
                <w:color w:val="auto"/>
                <w:highlight w:val="none"/>
              </w:rPr>
            </w:pPr>
            <w:r>
              <w:rPr>
                <w:color w:val="auto"/>
                <w:highlight w:val="none"/>
              </w:rPr>
              <w:t>无组织排放量总计</w:t>
            </w:r>
          </w:p>
        </w:tc>
        <w:tc>
          <w:tcPr>
            <w:tcW w:w="3523" w:type="pct"/>
            <w:gridSpan w:val="4"/>
            <w:tcBorders>
              <w:tl2br w:val="nil"/>
              <w:tr2bl w:val="nil"/>
            </w:tcBorders>
            <w:vAlign w:val="center"/>
          </w:tcPr>
          <w:p w14:paraId="2598F8D5">
            <w:pPr>
              <w:pStyle w:val="41"/>
              <w:widowControl w:val="0"/>
              <w:rPr>
                <w:color w:val="auto"/>
                <w:highlight w:val="none"/>
              </w:rPr>
            </w:pPr>
            <w:r>
              <w:rPr>
                <w:color w:val="auto"/>
                <w:highlight w:val="none"/>
              </w:rPr>
              <w:t>颗粒物</w:t>
            </w:r>
          </w:p>
        </w:tc>
        <w:tc>
          <w:tcPr>
            <w:tcW w:w="556" w:type="pct"/>
            <w:tcBorders>
              <w:tl2br w:val="nil"/>
              <w:tr2bl w:val="nil"/>
            </w:tcBorders>
            <w:vAlign w:val="center"/>
          </w:tcPr>
          <w:p w14:paraId="6C182B7D">
            <w:pPr>
              <w:pStyle w:val="41"/>
              <w:widowControl w:val="0"/>
              <w:rPr>
                <w:rFonts w:hint="default" w:eastAsia="华文中宋"/>
                <w:color w:val="auto"/>
                <w:highlight w:val="none"/>
                <w:lang w:val="en-US" w:eastAsia="zh-CN"/>
              </w:rPr>
            </w:pPr>
            <w:r>
              <w:rPr>
                <w:rFonts w:hint="eastAsia"/>
                <w:color w:val="auto"/>
                <w:highlight w:val="none"/>
                <w:lang w:val="en-US" w:eastAsia="zh-CN"/>
              </w:rPr>
              <w:t>12.447</w:t>
            </w:r>
          </w:p>
        </w:tc>
      </w:tr>
    </w:tbl>
    <w:p w14:paraId="77D13A31">
      <w:pPr>
        <w:pStyle w:val="3"/>
        <w:ind w:firstLine="480"/>
        <w:rPr>
          <w:color w:val="auto"/>
          <w:highlight w:val="none"/>
        </w:rPr>
      </w:pPr>
      <w:r>
        <w:rPr>
          <w:color w:val="auto"/>
          <w:highlight w:val="none"/>
        </w:rPr>
        <w:t>3）项目工业生产大气污染物年排放量核算</w:t>
      </w:r>
    </w:p>
    <w:p w14:paraId="3E775A99">
      <w:pPr>
        <w:pStyle w:val="3"/>
        <w:ind w:firstLine="480"/>
        <w:rPr>
          <w:color w:val="auto"/>
          <w:highlight w:val="none"/>
        </w:rPr>
      </w:pPr>
      <w:r>
        <w:rPr>
          <w:color w:val="auto"/>
          <w:highlight w:val="none"/>
        </w:rPr>
        <w:t>项目工业生产大气污染物年排放量核算见表5.2-</w:t>
      </w:r>
      <w:r>
        <w:rPr>
          <w:rFonts w:hint="eastAsia"/>
          <w:color w:val="auto"/>
          <w:highlight w:val="none"/>
          <w:lang w:val="en-US" w:eastAsia="zh-CN"/>
        </w:rPr>
        <w:t>22</w:t>
      </w:r>
      <w:r>
        <w:rPr>
          <w:color w:val="auto"/>
          <w:highlight w:val="none"/>
        </w:rPr>
        <w:t>。</w:t>
      </w:r>
    </w:p>
    <w:p w14:paraId="24A76AE3">
      <w:pPr>
        <w:pStyle w:val="40"/>
        <w:spacing w:before="24" w:after="24"/>
        <w:rPr>
          <w:color w:val="auto"/>
          <w:highlight w:val="none"/>
        </w:rPr>
      </w:pPr>
      <w:r>
        <w:rPr>
          <w:color w:val="auto"/>
          <w:highlight w:val="none"/>
        </w:rPr>
        <w:t>表5.2-</w:t>
      </w:r>
      <w:r>
        <w:rPr>
          <w:rFonts w:hint="eastAsia"/>
          <w:color w:val="auto"/>
          <w:highlight w:val="none"/>
          <w:lang w:val="en-US" w:eastAsia="zh-CN"/>
        </w:rPr>
        <w:t>22</w:t>
      </w:r>
      <w:r>
        <w:rPr>
          <w:color w:val="auto"/>
          <w:highlight w:val="none"/>
        </w:rPr>
        <w:t xml:space="preserve">    大气污染物年排放量核算表</w:t>
      </w:r>
    </w:p>
    <w:tbl>
      <w:tblPr>
        <w:tblStyle w:val="26"/>
        <w:tblW w:w="831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1691"/>
        <w:gridCol w:w="3308"/>
        <w:gridCol w:w="3312"/>
      </w:tblGrid>
      <w:tr w14:paraId="6F8F4E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91" w:type="dxa"/>
            <w:tcBorders>
              <w:tl2br w:val="nil"/>
              <w:tr2bl w:val="nil"/>
            </w:tcBorders>
            <w:vAlign w:val="center"/>
          </w:tcPr>
          <w:p w14:paraId="02B14339">
            <w:pPr>
              <w:pStyle w:val="41"/>
              <w:widowControl w:val="0"/>
              <w:rPr>
                <w:color w:val="auto"/>
                <w:highlight w:val="none"/>
              </w:rPr>
            </w:pPr>
            <w:r>
              <w:rPr>
                <w:color w:val="auto"/>
                <w:highlight w:val="none"/>
              </w:rPr>
              <w:t>序号</w:t>
            </w:r>
          </w:p>
        </w:tc>
        <w:tc>
          <w:tcPr>
            <w:tcW w:w="3308" w:type="dxa"/>
            <w:tcBorders>
              <w:tl2br w:val="nil"/>
              <w:tr2bl w:val="nil"/>
            </w:tcBorders>
            <w:vAlign w:val="center"/>
          </w:tcPr>
          <w:p w14:paraId="25FFFB85">
            <w:pPr>
              <w:pStyle w:val="41"/>
              <w:widowControl w:val="0"/>
              <w:rPr>
                <w:color w:val="auto"/>
                <w:highlight w:val="none"/>
              </w:rPr>
            </w:pPr>
            <w:r>
              <w:rPr>
                <w:color w:val="auto"/>
                <w:highlight w:val="none"/>
              </w:rPr>
              <w:t>污染物</w:t>
            </w:r>
          </w:p>
        </w:tc>
        <w:tc>
          <w:tcPr>
            <w:tcW w:w="3312" w:type="dxa"/>
            <w:tcBorders>
              <w:tl2br w:val="nil"/>
              <w:tr2bl w:val="nil"/>
            </w:tcBorders>
            <w:vAlign w:val="center"/>
          </w:tcPr>
          <w:p w14:paraId="40F629C5">
            <w:pPr>
              <w:pStyle w:val="41"/>
              <w:widowControl w:val="0"/>
              <w:rPr>
                <w:color w:val="auto"/>
                <w:highlight w:val="none"/>
              </w:rPr>
            </w:pPr>
            <w:r>
              <w:rPr>
                <w:color w:val="auto"/>
                <w:highlight w:val="none"/>
              </w:rPr>
              <w:t>年排放量（t/a）</w:t>
            </w:r>
          </w:p>
        </w:tc>
      </w:tr>
      <w:tr w14:paraId="3B2492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91" w:type="dxa"/>
            <w:tcBorders>
              <w:tl2br w:val="nil"/>
              <w:tr2bl w:val="nil"/>
            </w:tcBorders>
            <w:vAlign w:val="center"/>
          </w:tcPr>
          <w:p w14:paraId="48FDB968">
            <w:pPr>
              <w:pStyle w:val="41"/>
              <w:widowControl w:val="0"/>
              <w:rPr>
                <w:color w:val="auto"/>
                <w:highlight w:val="none"/>
              </w:rPr>
            </w:pPr>
            <w:r>
              <w:rPr>
                <w:color w:val="auto"/>
                <w:highlight w:val="none"/>
              </w:rPr>
              <w:t>1</w:t>
            </w:r>
          </w:p>
        </w:tc>
        <w:tc>
          <w:tcPr>
            <w:tcW w:w="3308" w:type="dxa"/>
            <w:tcBorders>
              <w:tl2br w:val="nil"/>
              <w:tr2bl w:val="nil"/>
            </w:tcBorders>
            <w:vAlign w:val="center"/>
          </w:tcPr>
          <w:p w14:paraId="5D34427D">
            <w:pPr>
              <w:pStyle w:val="41"/>
              <w:widowControl w:val="0"/>
              <w:rPr>
                <w:color w:val="auto"/>
                <w:highlight w:val="none"/>
              </w:rPr>
            </w:pPr>
            <w:r>
              <w:rPr>
                <w:color w:val="auto"/>
                <w:highlight w:val="none"/>
              </w:rPr>
              <w:t>SO</w:t>
            </w:r>
            <w:r>
              <w:rPr>
                <w:color w:val="auto"/>
                <w:highlight w:val="none"/>
                <w:vertAlign w:val="subscript"/>
              </w:rPr>
              <w:t>2</w:t>
            </w:r>
          </w:p>
        </w:tc>
        <w:tc>
          <w:tcPr>
            <w:tcW w:w="3312" w:type="dxa"/>
            <w:tcBorders>
              <w:tl2br w:val="nil"/>
              <w:tr2bl w:val="nil"/>
            </w:tcBorders>
            <w:vAlign w:val="center"/>
          </w:tcPr>
          <w:p w14:paraId="16AE8EFC">
            <w:pPr>
              <w:pStyle w:val="41"/>
              <w:widowControl w:val="0"/>
              <w:rPr>
                <w:color w:val="auto"/>
                <w:highlight w:val="none"/>
              </w:rPr>
            </w:pPr>
            <w:r>
              <w:rPr>
                <w:color w:val="auto"/>
                <w:highlight w:val="none"/>
              </w:rPr>
              <w:t>0.918</w:t>
            </w:r>
          </w:p>
        </w:tc>
      </w:tr>
      <w:tr w14:paraId="66B66C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91" w:type="dxa"/>
            <w:tcBorders>
              <w:tl2br w:val="nil"/>
              <w:tr2bl w:val="nil"/>
            </w:tcBorders>
            <w:vAlign w:val="center"/>
          </w:tcPr>
          <w:p w14:paraId="20FE86A6">
            <w:pPr>
              <w:pStyle w:val="41"/>
              <w:widowControl w:val="0"/>
              <w:rPr>
                <w:color w:val="auto"/>
                <w:highlight w:val="none"/>
              </w:rPr>
            </w:pPr>
            <w:r>
              <w:rPr>
                <w:color w:val="auto"/>
                <w:highlight w:val="none"/>
              </w:rPr>
              <w:t>2</w:t>
            </w:r>
          </w:p>
        </w:tc>
        <w:tc>
          <w:tcPr>
            <w:tcW w:w="3308" w:type="dxa"/>
            <w:tcBorders>
              <w:tl2br w:val="nil"/>
              <w:tr2bl w:val="nil"/>
            </w:tcBorders>
            <w:vAlign w:val="center"/>
          </w:tcPr>
          <w:p w14:paraId="430D499E">
            <w:pPr>
              <w:pStyle w:val="41"/>
              <w:widowControl w:val="0"/>
              <w:rPr>
                <w:color w:val="auto"/>
                <w:highlight w:val="none"/>
              </w:rPr>
            </w:pPr>
            <w:r>
              <w:rPr>
                <w:color w:val="auto"/>
                <w:highlight w:val="none"/>
              </w:rPr>
              <w:t>NO</w:t>
            </w:r>
            <w:r>
              <w:rPr>
                <w:color w:val="auto"/>
                <w:highlight w:val="none"/>
                <w:vertAlign w:val="subscript"/>
              </w:rPr>
              <w:t>X</w:t>
            </w:r>
          </w:p>
        </w:tc>
        <w:tc>
          <w:tcPr>
            <w:tcW w:w="3312" w:type="dxa"/>
            <w:tcBorders>
              <w:tl2br w:val="nil"/>
              <w:tr2bl w:val="nil"/>
            </w:tcBorders>
            <w:vAlign w:val="center"/>
          </w:tcPr>
          <w:p w14:paraId="0A37A540">
            <w:pPr>
              <w:pStyle w:val="41"/>
              <w:widowControl w:val="0"/>
              <w:rPr>
                <w:color w:val="auto"/>
                <w:highlight w:val="none"/>
              </w:rPr>
            </w:pPr>
            <w:r>
              <w:rPr>
                <w:color w:val="auto"/>
                <w:highlight w:val="none"/>
              </w:rPr>
              <w:t>2.754</w:t>
            </w:r>
          </w:p>
        </w:tc>
      </w:tr>
      <w:tr w14:paraId="223F7B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91" w:type="dxa"/>
            <w:tcBorders>
              <w:tl2br w:val="nil"/>
              <w:tr2bl w:val="nil"/>
            </w:tcBorders>
            <w:vAlign w:val="center"/>
          </w:tcPr>
          <w:p w14:paraId="39840D72">
            <w:pPr>
              <w:pStyle w:val="41"/>
              <w:widowControl w:val="0"/>
              <w:rPr>
                <w:color w:val="auto"/>
                <w:highlight w:val="none"/>
              </w:rPr>
            </w:pPr>
            <w:r>
              <w:rPr>
                <w:color w:val="auto"/>
                <w:highlight w:val="none"/>
              </w:rPr>
              <w:t>3</w:t>
            </w:r>
          </w:p>
        </w:tc>
        <w:tc>
          <w:tcPr>
            <w:tcW w:w="3308" w:type="dxa"/>
            <w:tcBorders>
              <w:tl2br w:val="nil"/>
              <w:tr2bl w:val="nil"/>
            </w:tcBorders>
            <w:vAlign w:val="center"/>
          </w:tcPr>
          <w:p w14:paraId="4343C446">
            <w:pPr>
              <w:pStyle w:val="41"/>
              <w:widowControl w:val="0"/>
              <w:rPr>
                <w:color w:val="auto"/>
                <w:highlight w:val="none"/>
              </w:rPr>
            </w:pPr>
            <w:r>
              <w:rPr>
                <w:color w:val="auto"/>
                <w:highlight w:val="none"/>
              </w:rPr>
              <w:t>颗粒物</w:t>
            </w:r>
          </w:p>
        </w:tc>
        <w:tc>
          <w:tcPr>
            <w:tcW w:w="3312" w:type="dxa"/>
            <w:tcBorders>
              <w:tl2br w:val="nil"/>
              <w:tr2bl w:val="nil"/>
            </w:tcBorders>
            <w:vAlign w:val="center"/>
          </w:tcPr>
          <w:p w14:paraId="72CBA223">
            <w:pPr>
              <w:pStyle w:val="41"/>
              <w:widowControl w:val="0"/>
              <w:rPr>
                <w:rFonts w:hint="default" w:eastAsia="华文中宋"/>
                <w:color w:val="auto"/>
                <w:highlight w:val="none"/>
                <w:lang w:val="en-US" w:eastAsia="zh-CN"/>
              </w:rPr>
            </w:pPr>
            <w:r>
              <w:rPr>
                <w:rFonts w:hint="eastAsia"/>
                <w:color w:val="auto"/>
                <w:highlight w:val="none"/>
                <w:lang w:val="en-US" w:eastAsia="zh-CN"/>
              </w:rPr>
              <w:t>14.804</w:t>
            </w:r>
          </w:p>
        </w:tc>
      </w:tr>
    </w:tbl>
    <w:p w14:paraId="1DF6BC49">
      <w:pPr>
        <w:pStyle w:val="3"/>
        <w:ind w:firstLine="480"/>
        <w:rPr>
          <w:color w:val="auto"/>
          <w:highlight w:val="none"/>
        </w:rPr>
      </w:pPr>
      <w:r>
        <w:rPr>
          <w:color w:val="auto"/>
          <w:highlight w:val="none"/>
        </w:rPr>
        <w:t>（6）大气环境影响评价自查表</w:t>
      </w:r>
    </w:p>
    <w:p w14:paraId="3EB298AE">
      <w:pPr>
        <w:pStyle w:val="3"/>
        <w:ind w:firstLine="480"/>
        <w:rPr>
          <w:color w:val="auto"/>
          <w:highlight w:val="none"/>
        </w:rPr>
      </w:pPr>
      <w:r>
        <w:rPr>
          <w:color w:val="auto"/>
          <w:highlight w:val="none"/>
        </w:rPr>
        <w:t>建设项目大气环境影响评价自查表，见表5.2-</w:t>
      </w:r>
      <w:r>
        <w:rPr>
          <w:rFonts w:hint="eastAsia"/>
          <w:color w:val="auto"/>
          <w:highlight w:val="none"/>
          <w:lang w:val="en-US" w:eastAsia="zh-CN"/>
        </w:rPr>
        <w:t>23</w:t>
      </w:r>
      <w:r>
        <w:rPr>
          <w:color w:val="auto"/>
          <w:highlight w:val="none"/>
        </w:rPr>
        <w:t>。</w:t>
      </w:r>
    </w:p>
    <w:p w14:paraId="1B9C660A">
      <w:pPr>
        <w:pStyle w:val="40"/>
        <w:spacing w:before="24" w:after="24"/>
        <w:rPr>
          <w:color w:val="auto"/>
          <w:highlight w:val="none"/>
        </w:rPr>
      </w:pPr>
      <w:r>
        <w:rPr>
          <w:color w:val="auto"/>
          <w:highlight w:val="none"/>
        </w:rPr>
        <w:t>表5.2-</w:t>
      </w:r>
      <w:r>
        <w:rPr>
          <w:rFonts w:hint="eastAsia"/>
          <w:color w:val="auto"/>
          <w:highlight w:val="none"/>
          <w:lang w:val="en-US" w:eastAsia="zh-CN"/>
        </w:rPr>
        <w:t>23</w:t>
      </w:r>
      <w:r>
        <w:rPr>
          <w:color w:val="auto"/>
          <w:highlight w:val="none"/>
        </w:rPr>
        <w:t xml:space="preserve">    建设项目大气环境影响评价自查表</w:t>
      </w:r>
    </w:p>
    <w:tbl>
      <w:tblPr>
        <w:tblStyle w:val="25"/>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65"/>
        <w:gridCol w:w="1537"/>
        <w:gridCol w:w="694"/>
        <w:gridCol w:w="247"/>
        <w:gridCol w:w="738"/>
        <w:gridCol w:w="144"/>
        <w:gridCol w:w="267"/>
        <w:gridCol w:w="95"/>
        <w:gridCol w:w="460"/>
        <w:gridCol w:w="480"/>
        <w:gridCol w:w="401"/>
        <w:gridCol w:w="19"/>
        <w:gridCol w:w="84"/>
        <w:gridCol w:w="167"/>
        <w:gridCol w:w="86"/>
        <w:gridCol w:w="264"/>
        <w:gridCol w:w="572"/>
        <w:gridCol w:w="43"/>
        <w:gridCol w:w="241"/>
        <w:gridCol w:w="539"/>
        <w:gridCol w:w="134"/>
        <w:gridCol w:w="551"/>
      </w:tblGrid>
      <w:tr w14:paraId="374616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279" w:type="pct"/>
            <w:gridSpan w:val="2"/>
            <w:tcBorders>
              <w:tl2br w:val="nil"/>
              <w:tr2bl w:val="nil"/>
            </w:tcBorders>
            <w:vAlign w:val="center"/>
          </w:tcPr>
          <w:p w14:paraId="147E314E">
            <w:pPr>
              <w:pStyle w:val="41"/>
              <w:rPr>
                <w:color w:val="auto"/>
                <w:highlight w:val="none"/>
              </w:rPr>
            </w:pPr>
            <w:r>
              <w:rPr>
                <w:color w:val="auto"/>
                <w:highlight w:val="none"/>
              </w:rPr>
              <w:t>工作内容</w:t>
            </w:r>
          </w:p>
        </w:tc>
        <w:tc>
          <w:tcPr>
            <w:tcW w:w="3720" w:type="pct"/>
            <w:gridSpan w:val="20"/>
            <w:tcBorders>
              <w:tl2br w:val="nil"/>
              <w:tr2bl w:val="nil"/>
            </w:tcBorders>
            <w:vAlign w:val="center"/>
          </w:tcPr>
          <w:p w14:paraId="03E0C9B6">
            <w:pPr>
              <w:pStyle w:val="41"/>
              <w:rPr>
                <w:color w:val="auto"/>
                <w:highlight w:val="none"/>
              </w:rPr>
            </w:pPr>
            <w:r>
              <w:rPr>
                <w:color w:val="auto"/>
                <w:highlight w:val="none"/>
              </w:rPr>
              <w:t>自查项目</w:t>
            </w:r>
          </w:p>
        </w:tc>
      </w:tr>
      <w:tr w14:paraId="21BE98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restart"/>
            <w:tcBorders>
              <w:tl2br w:val="nil"/>
              <w:tr2bl w:val="nil"/>
            </w:tcBorders>
            <w:vAlign w:val="center"/>
          </w:tcPr>
          <w:p w14:paraId="3DB3A5A8">
            <w:pPr>
              <w:pStyle w:val="41"/>
              <w:rPr>
                <w:color w:val="auto"/>
                <w:highlight w:val="none"/>
              </w:rPr>
            </w:pPr>
            <w:r>
              <w:rPr>
                <w:color w:val="auto"/>
                <w:highlight w:val="none"/>
              </w:rPr>
              <w:t>评价等级与范围</w:t>
            </w:r>
          </w:p>
        </w:tc>
        <w:tc>
          <w:tcPr>
            <w:tcW w:w="930" w:type="pct"/>
            <w:tcBorders>
              <w:tl2br w:val="nil"/>
              <w:tr2bl w:val="nil"/>
            </w:tcBorders>
            <w:vAlign w:val="center"/>
          </w:tcPr>
          <w:p w14:paraId="1CBF93C8">
            <w:pPr>
              <w:pStyle w:val="41"/>
              <w:rPr>
                <w:color w:val="auto"/>
                <w:highlight w:val="none"/>
              </w:rPr>
            </w:pPr>
            <w:r>
              <w:rPr>
                <w:color w:val="auto"/>
                <w:highlight w:val="none"/>
              </w:rPr>
              <w:t>评价等级</w:t>
            </w:r>
          </w:p>
        </w:tc>
        <w:tc>
          <w:tcPr>
            <w:tcW w:w="1253" w:type="pct"/>
            <w:gridSpan w:val="5"/>
            <w:tcBorders>
              <w:tl2br w:val="nil"/>
              <w:tr2bl w:val="nil"/>
            </w:tcBorders>
            <w:vAlign w:val="center"/>
          </w:tcPr>
          <w:p w14:paraId="7A78E437">
            <w:pPr>
              <w:pStyle w:val="41"/>
              <w:rPr>
                <w:color w:val="auto"/>
                <w:highlight w:val="none"/>
              </w:rPr>
            </w:pPr>
            <w:r>
              <w:rPr>
                <w:color w:val="auto"/>
                <w:highlight w:val="none"/>
              </w:rPr>
              <w:t>一级</w:t>
            </w:r>
            <w:r>
              <w:rPr>
                <w:color w:val="auto"/>
                <w:highlight w:val="none"/>
              </w:rPr>
              <w:sym w:font="Wingdings 2" w:char="00A3"/>
            </w:r>
          </w:p>
        </w:tc>
        <w:tc>
          <w:tcPr>
            <w:tcW w:w="1175" w:type="pct"/>
            <w:gridSpan w:val="9"/>
            <w:tcBorders>
              <w:tl2br w:val="nil"/>
              <w:tr2bl w:val="nil"/>
            </w:tcBorders>
            <w:vAlign w:val="center"/>
          </w:tcPr>
          <w:p w14:paraId="463F4490">
            <w:pPr>
              <w:pStyle w:val="41"/>
              <w:rPr>
                <w:color w:val="auto"/>
                <w:highlight w:val="none"/>
              </w:rPr>
            </w:pPr>
            <w:r>
              <w:rPr>
                <w:color w:val="auto"/>
                <w:highlight w:val="none"/>
              </w:rPr>
              <w:t>二级</w:t>
            </w:r>
            <w:r>
              <w:rPr>
                <w:color w:val="auto"/>
                <w:highlight w:val="none"/>
              </w:rPr>
              <w:sym w:font="Wingdings 2" w:char="0052"/>
            </w:r>
          </w:p>
        </w:tc>
        <w:tc>
          <w:tcPr>
            <w:tcW w:w="1292" w:type="pct"/>
            <w:gridSpan w:val="6"/>
            <w:tcBorders>
              <w:tl2br w:val="nil"/>
              <w:tr2bl w:val="nil"/>
            </w:tcBorders>
            <w:vAlign w:val="center"/>
          </w:tcPr>
          <w:p w14:paraId="4572C96A">
            <w:pPr>
              <w:pStyle w:val="41"/>
              <w:rPr>
                <w:color w:val="auto"/>
                <w:highlight w:val="none"/>
              </w:rPr>
            </w:pPr>
            <w:r>
              <w:rPr>
                <w:color w:val="auto"/>
                <w:highlight w:val="none"/>
              </w:rPr>
              <w:t>三级</w:t>
            </w:r>
            <w:r>
              <w:rPr>
                <w:color w:val="auto"/>
                <w:highlight w:val="none"/>
              </w:rPr>
              <w:sym w:font="Wingdings 2" w:char="00A3"/>
            </w:r>
          </w:p>
        </w:tc>
      </w:tr>
      <w:tr w14:paraId="554D73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continue"/>
            <w:tcBorders>
              <w:tl2br w:val="nil"/>
              <w:tr2bl w:val="nil"/>
            </w:tcBorders>
            <w:vAlign w:val="center"/>
          </w:tcPr>
          <w:p w14:paraId="1F2904C5">
            <w:pPr>
              <w:pStyle w:val="41"/>
              <w:rPr>
                <w:color w:val="auto"/>
                <w:highlight w:val="none"/>
              </w:rPr>
            </w:pPr>
          </w:p>
        </w:tc>
        <w:tc>
          <w:tcPr>
            <w:tcW w:w="930" w:type="pct"/>
            <w:tcBorders>
              <w:tl2br w:val="nil"/>
              <w:tr2bl w:val="nil"/>
            </w:tcBorders>
            <w:vAlign w:val="center"/>
          </w:tcPr>
          <w:p w14:paraId="2DD1BE0B">
            <w:pPr>
              <w:pStyle w:val="41"/>
              <w:rPr>
                <w:color w:val="auto"/>
                <w:highlight w:val="none"/>
              </w:rPr>
            </w:pPr>
            <w:r>
              <w:rPr>
                <w:color w:val="auto"/>
                <w:highlight w:val="none"/>
              </w:rPr>
              <w:t>评价范围</w:t>
            </w:r>
          </w:p>
        </w:tc>
        <w:tc>
          <w:tcPr>
            <w:tcW w:w="1253" w:type="pct"/>
            <w:gridSpan w:val="5"/>
            <w:tcBorders>
              <w:tl2br w:val="nil"/>
              <w:tr2bl w:val="nil"/>
            </w:tcBorders>
            <w:vAlign w:val="center"/>
          </w:tcPr>
          <w:p w14:paraId="1AA553BE">
            <w:pPr>
              <w:pStyle w:val="41"/>
              <w:rPr>
                <w:color w:val="auto"/>
                <w:highlight w:val="none"/>
              </w:rPr>
            </w:pPr>
            <w:r>
              <w:rPr>
                <w:color w:val="auto"/>
                <w:highlight w:val="none"/>
              </w:rPr>
              <w:t>边长=50km</w:t>
            </w:r>
            <w:r>
              <w:rPr>
                <w:color w:val="auto"/>
                <w:highlight w:val="none"/>
              </w:rPr>
              <w:sym w:font="Wingdings 2" w:char="00A3"/>
            </w:r>
          </w:p>
        </w:tc>
        <w:tc>
          <w:tcPr>
            <w:tcW w:w="1175" w:type="pct"/>
            <w:gridSpan w:val="9"/>
            <w:tcBorders>
              <w:tl2br w:val="nil"/>
              <w:tr2bl w:val="nil"/>
            </w:tcBorders>
            <w:vAlign w:val="center"/>
          </w:tcPr>
          <w:p w14:paraId="7A2CEDCC">
            <w:pPr>
              <w:pStyle w:val="41"/>
              <w:rPr>
                <w:color w:val="auto"/>
                <w:highlight w:val="none"/>
              </w:rPr>
            </w:pPr>
            <w:r>
              <w:rPr>
                <w:color w:val="auto"/>
                <w:highlight w:val="none"/>
              </w:rPr>
              <w:t>边长5～50km</w:t>
            </w:r>
            <w:r>
              <w:rPr>
                <w:color w:val="auto"/>
                <w:highlight w:val="none"/>
              </w:rPr>
              <w:sym w:font="Wingdings 2" w:char="00A3"/>
            </w:r>
          </w:p>
        </w:tc>
        <w:tc>
          <w:tcPr>
            <w:tcW w:w="1292" w:type="pct"/>
            <w:gridSpan w:val="6"/>
            <w:tcBorders>
              <w:tl2br w:val="nil"/>
              <w:tr2bl w:val="nil"/>
            </w:tcBorders>
            <w:vAlign w:val="center"/>
          </w:tcPr>
          <w:p w14:paraId="3E752F14">
            <w:pPr>
              <w:pStyle w:val="41"/>
              <w:rPr>
                <w:color w:val="auto"/>
                <w:highlight w:val="none"/>
              </w:rPr>
            </w:pPr>
            <w:r>
              <w:rPr>
                <w:color w:val="auto"/>
                <w:highlight w:val="none"/>
              </w:rPr>
              <w:t>边长=5km</w:t>
            </w:r>
            <w:r>
              <w:rPr>
                <w:color w:val="auto"/>
                <w:highlight w:val="none"/>
              </w:rPr>
              <w:sym w:font="Wingdings 2" w:char="0052"/>
            </w:r>
          </w:p>
        </w:tc>
      </w:tr>
      <w:tr w14:paraId="6B6FAC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restart"/>
            <w:tcBorders>
              <w:tl2br w:val="nil"/>
              <w:tr2bl w:val="nil"/>
            </w:tcBorders>
            <w:vAlign w:val="center"/>
          </w:tcPr>
          <w:p w14:paraId="446CCB33">
            <w:pPr>
              <w:pStyle w:val="41"/>
              <w:rPr>
                <w:color w:val="auto"/>
                <w:highlight w:val="none"/>
              </w:rPr>
            </w:pPr>
            <w:r>
              <w:rPr>
                <w:color w:val="auto"/>
                <w:highlight w:val="none"/>
              </w:rPr>
              <w:t>评价因子</w:t>
            </w:r>
          </w:p>
        </w:tc>
        <w:tc>
          <w:tcPr>
            <w:tcW w:w="930" w:type="pct"/>
            <w:tcBorders>
              <w:tl2br w:val="nil"/>
              <w:tr2bl w:val="nil"/>
            </w:tcBorders>
            <w:vAlign w:val="center"/>
          </w:tcPr>
          <w:p w14:paraId="6BC55AF6">
            <w:pPr>
              <w:pStyle w:val="41"/>
              <w:rPr>
                <w:color w:val="auto"/>
                <w:highlight w:val="none"/>
              </w:rPr>
            </w:pPr>
            <w:r>
              <w:rPr>
                <w:color w:val="auto"/>
                <w:highlight w:val="none"/>
              </w:rPr>
              <w:t>SO</w:t>
            </w:r>
            <w:r>
              <w:rPr>
                <w:color w:val="auto"/>
                <w:highlight w:val="none"/>
                <w:vertAlign w:val="subscript"/>
              </w:rPr>
              <w:t>2</w:t>
            </w:r>
            <w:r>
              <w:rPr>
                <w:color w:val="auto"/>
                <w:highlight w:val="none"/>
              </w:rPr>
              <w:t>+NO</w:t>
            </w:r>
            <w:r>
              <w:rPr>
                <w:color w:val="auto"/>
                <w:highlight w:val="none"/>
                <w:vertAlign w:val="subscript"/>
              </w:rPr>
              <w:t>2</w:t>
            </w:r>
            <w:r>
              <w:rPr>
                <w:color w:val="auto"/>
                <w:highlight w:val="none"/>
              </w:rPr>
              <w:t>排放量</w:t>
            </w:r>
          </w:p>
        </w:tc>
        <w:tc>
          <w:tcPr>
            <w:tcW w:w="1253" w:type="pct"/>
            <w:gridSpan w:val="5"/>
            <w:tcBorders>
              <w:tl2br w:val="nil"/>
              <w:tr2bl w:val="nil"/>
            </w:tcBorders>
            <w:vAlign w:val="center"/>
          </w:tcPr>
          <w:p w14:paraId="2C99E89D">
            <w:pPr>
              <w:pStyle w:val="41"/>
              <w:rPr>
                <w:color w:val="auto"/>
                <w:highlight w:val="none"/>
              </w:rPr>
            </w:pPr>
            <w:r>
              <w:rPr>
                <w:color w:val="auto"/>
                <w:highlight w:val="none"/>
              </w:rPr>
              <w:t>≥2000t/a</w:t>
            </w:r>
            <w:r>
              <w:rPr>
                <w:color w:val="auto"/>
                <w:highlight w:val="none"/>
              </w:rPr>
              <w:sym w:font="Wingdings 2" w:char="00A3"/>
            </w:r>
          </w:p>
        </w:tc>
        <w:tc>
          <w:tcPr>
            <w:tcW w:w="1175" w:type="pct"/>
            <w:gridSpan w:val="9"/>
            <w:tcBorders>
              <w:tl2br w:val="nil"/>
              <w:tr2bl w:val="nil"/>
            </w:tcBorders>
            <w:vAlign w:val="center"/>
          </w:tcPr>
          <w:p w14:paraId="6D044636">
            <w:pPr>
              <w:pStyle w:val="41"/>
              <w:rPr>
                <w:color w:val="auto"/>
                <w:highlight w:val="none"/>
              </w:rPr>
            </w:pPr>
            <w:r>
              <w:rPr>
                <w:color w:val="auto"/>
                <w:highlight w:val="none"/>
              </w:rPr>
              <w:t>500</w:t>
            </w:r>
            <w:r>
              <w:rPr>
                <w:rFonts w:hint="eastAsia"/>
                <w:color w:val="auto"/>
                <w:highlight w:val="none"/>
                <w:lang w:eastAsia="zh-CN"/>
              </w:rPr>
              <w:t>~</w:t>
            </w:r>
            <w:r>
              <w:rPr>
                <w:color w:val="auto"/>
                <w:highlight w:val="none"/>
              </w:rPr>
              <w:t>2000t/a</w:t>
            </w:r>
            <w:r>
              <w:rPr>
                <w:color w:val="auto"/>
                <w:highlight w:val="none"/>
              </w:rPr>
              <w:sym w:font="Wingdings 2" w:char="00A3"/>
            </w:r>
          </w:p>
        </w:tc>
        <w:tc>
          <w:tcPr>
            <w:tcW w:w="1292" w:type="pct"/>
            <w:gridSpan w:val="6"/>
            <w:tcBorders>
              <w:tl2br w:val="nil"/>
              <w:tr2bl w:val="nil"/>
            </w:tcBorders>
            <w:vAlign w:val="center"/>
          </w:tcPr>
          <w:p w14:paraId="10BBA1CB">
            <w:pPr>
              <w:pStyle w:val="41"/>
              <w:rPr>
                <w:color w:val="auto"/>
                <w:highlight w:val="none"/>
              </w:rPr>
            </w:pPr>
            <w:r>
              <w:rPr>
                <w:color w:val="auto"/>
                <w:highlight w:val="none"/>
              </w:rPr>
              <w:t>＜500t/a</w:t>
            </w:r>
            <w:r>
              <w:rPr>
                <w:color w:val="auto"/>
                <w:highlight w:val="none"/>
              </w:rPr>
              <w:sym w:font="Wingdings 2" w:char="0052"/>
            </w:r>
          </w:p>
        </w:tc>
      </w:tr>
      <w:tr w14:paraId="3869EE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continue"/>
            <w:tcBorders>
              <w:tl2br w:val="nil"/>
              <w:tr2bl w:val="nil"/>
            </w:tcBorders>
            <w:vAlign w:val="center"/>
          </w:tcPr>
          <w:p w14:paraId="02BB8B20">
            <w:pPr>
              <w:pStyle w:val="41"/>
              <w:rPr>
                <w:color w:val="auto"/>
                <w:highlight w:val="none"/>
              </w:rPr>
            </w:pPr>
          </w:p>
        </w:tc>
        <w:tc>
          <w:tcPr>
            <w:tcW w:w="930" w:type="pct"/>
            <w:tcBorders>
              <w:tl2br w:val="nil"/>
              <w:tr2bl w:val="nil"/>
            </w:tcBorders>
            <w:vAlign w:val="center"/>
          </w:tcPr>
          <w:p w14:paraId="5BB420B6">
            <w:pPr>
              <w:pStyle w:val="41"/>
              <w:rPr>
                <w:color w:val="auto"/>
                <w:highlight w:val="none"/>
              </w:rPr>
            </w:pPr>
            <w:r>
              <w:rPr>
                <w:color w:val="auto"/>
                <w:highlight w:val="none"/>
              </w:rPr>
              <w:t>评价因子</w:t>
            </w:r>
          </w:p>
        </w:tc>
        <w:tc>
          <w:tcPr>
            <w:tcW w:w="2428" w:type="pct"/>
            <w:gridSpan w:val="14"/>
            <w:tcBorders>
              <w:tl2br w:val="nil"/>
              <w:tr2bl w:val="nil"/>
            </w:tcBorders>
            <w:vAlign w:val="center"/>
          </w:tcPr>
          <w:p w14:paraId="3E04FCBB">
            <w:pPr>
              <w:pStyle w:val="41"/>
              <w:rPr>
                <w:color w:val="auto"/>
                <w:highlight w:val="none"/>
              </w:rPr>
            </w:pPr>
            <w:r>
              <w:rPr>
                <w:color w:val="auto"/>
                <w:highlight w:val="none"/>
              </w:rPr>
              <w:t>基本污染物（SO</w:t>
            </w:r>
            <w:r>
              <w:rPr>
                <w:color w:val="auto"/>
                <w:highlight w:val="none"/>
                <w:vertAlign w:val="subscript"/>
              </w:rPr>
              <w:t>2</w:t>
            </w:r>
            <w:r>
              <w:rPr>
                <w:color w:val="auto"/>
                <w:highlight w:val="none"/>
              </w:rPr>
              <w:t>、NO</w:t>
            </w:r>
            <w:r>
              <w:rPr>
                <w:color w:val="auto"/>
                <w:highlight w:val="none"/>
                <w:vertAlign w:val="subscript"/>
              </w:rPr>
              <w:t>2</w:t>
            </w:r>
            <w:r>
              <w:rPr>
                <w:color w:val="auto"/>
                <w:highlight w:val="none"/>
              </w:rPr>
              <w:t>、PM</w:t>
            </w:r>
            <w:r>
              <w:rPr>
                <w:color w:val="auto"/>
                <w:highlight w:val="none"/>
                <w:vertAlign w:val="subscript"/>
              </w:rPr>
              <w:t>10</w:t>
            </w:r>
            <w:r>
              <w:rPr>
                <w:color w:val="auto"/>
                <w:highlight w:val="none"/>
              </w:rPr>
              <w:t>、PM</w:t>
            </w:r>
            <w:r>
              <w:rPr>
                <w:color w:val="auto"/>
                <w:highlight w:val="none"/>
                <w:vertAlign w:val="subscript"/>
              </w:rPr>
              <w:t>2.5</w:t>
            </w:r>
            <w:r>
              <w:rPr>
                <w:color w:val="auto"/>
                <w:highlight w:val="none"/>
              </w:rPr>
              <w:t>、CO、O</w:t>
            </w:r>
            <w:r>
              <w:rPr>
                <w:color w:val="auto"/>
                <w:highlight w:val="none"/>
                <w:vertAlign w:val="subscript"/>
              </w:rPr>
              <w:t>3</w:t>
            </w:r>
            <w:r>
              <w:rPr>
                <w:color w:val="auto"/>
                <w:highlight w:val="none"/>
              </w:rPr>
              <w:t>）</w:t>
            </w:r>
          </w:p>
          <w:p w14:paraId="47728C43">
            <w:pPr>
              <w:pStyle w:val="41"/>
              <w:rPr>
                <w:color w:val="auto"/>
                <w:highlight w:val="none"/>
              </w:rPr>
            </w:pPr>
            <w:r>
              <w:rPr>
                <w:color w:val="auto"/>
                <w:highlight w:val="none"/>
              </w:rPr>
              <w:t>其他污染物（TSP）</w:t>
            </w:r>
          </w:p>
        </w:tc>
        <w:tc>
          <w:tcPr>
            <w:tcW w:w="1292" w:type="pct"/>
            <w:gridSpan w:val="6"/>
            <w:tcBorders>
              <w:tl2br w:val="nil"/>
              <w:tr2bl w:val="nil"/>
            </w:tcBorders>
            <w:vAlign w:val="center"/>
          </w:tcPr>
          <w:p w14:paraId="4F50285C">
            <w:pPr>
              <w:pStyle w:val="41"/>
              <w:rPr>
                <w:color w:val="auto"/>
                <w:highlight w:val="none"/>
              </w:rPr>
            </w:pPr>
            <w:r>
              <w:rPr>
                <w:color w:val="auto"/>
                <w:highlight w:val="none"/>
              </w:rPr>
              <w:t>包括二次PM</w:t>
            </w:r>
            <w:r>
              <w:rPr>
                <w:color w:val="auto"/>
                <w:highlight w:val="none"/>
                <w:vertAlign w:val="subscript"/>
              </w:rPr>
              <w:t>2.5</w:t>
            </w:r>
            <w:r>
              <w:rPr>
                <w:color w:val="auto"/>
                <w:highlight w:val="none"/>
              </w:rPr>
              <w:sym w:font="Wingdings 2" w:char="00A3"/>
            </w:r>
          </w:p>
          <w:p w14:paraId="5BBFAC1E">
            <w:pPr>
              <w:pStyle w:val="41"/>
              <w:rPr>
                <w:color w:val="auto"/>
                <w:highlight w:val="none"/>
              </w:rPr>
            </w:pPr>
            <w:r>
              <w:rPr>
                <w:color w:val="auto"/>
                <w:highlight w:val="none"/>
              </w:rPr>
              <w:t>不包括二次PM</w:t>
            </w:r>
            <w:r>
              <w:rPr>
                <w:color w:val="auto"/>
                <w:highlight w:val="none"/>
                <w:vertAlign w:val="subscript"/>
              </w:rPr>
              <w:t>2.5</w:t>
            </w:r>
            <w:r>
              <w:rPr>
                <w:color w:val="auto"/>
                <w:highlight w:val="none"/>
              </w:rPr>
              <w:sym w:font="Wingdings 2" w:char="0052"/>
            </w:r>
          </w:p>
        </w:tc>
      </w:tr>
      <w:tr w14:paraId="1A41E4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tcBorders>
              <w:tl2br w:val="nil"/>
              <w:tr2bl w:val="nil"/>
            </w:tcBorders>
            <w:vAlign w:val="center"/>
          </w:tcPr>
          <w:p w14:paraId="3613FB7F">
            <w:pPr>
              <w:pStyle w:val="41"/>
              <w:rPr>
                <w:color w:val="auto"/>
                <w:highlight w:val="none"/>
              </w:rPr>
            </w:pPr>
            <w:r>
              <w:rPr>
                <w:color w:val="auto"/>
                <w:highlight w:val="none"/>
              </w:rPr>
              <w:t>评价</w:t>
            </w:r>
          </w:p>
          <w:p w14:paraId="27F74323">
            <w:pPr>
              <w:pStyle w:val="41"/>
              <w:rPr>
                <w:color w:val="auto"/>
                <w:highlight w:val="none"/>
              </w:rPr>
            </w:pPr>
            <w:r>
              <w:rPr>
                <w:color w:val="auto"/>
                <w:highlight w:val="none"/>
              </w:rPr>
              <w:t>标准</w:t>
            </w:r>
          </w:p>
        </w:tc>
        <w:tc>
          <w:tcPr>
            <w:tcW w:w="930" w:type="pct"/>
            <w:tcBorders>
              <w:tl2br w:val="nil"/>
              <w:tr2bl w:val="nil"/>
            </w:tcBorders>
            <w:vAlign w:val="center"/>
          </w:tcPr>
          <w:p w14:paraId="2ECE8490">
            <w:pPr>
              <w:pStyle w:val="41"/>
              <w:rPr>
                <w:color w:val="auto"/>
                <w:highlight w:val="none"/>
              </w:rPr>
            </w:pPr>
            <w:r>
              <w:rPr>
                <w:color w:val="auto"/>
                <w:highlight w:val="none"/>
              </w:rPr>
              <w:t>评价标准</w:t>
            </w:r>
          </w:p>
        </w:tc>
        <w:tc>
          <w:tcPr>
            <w:tcW w:w="1304" w:type="pct"/>
            <w:gridSpan w:val="6"/>
            <w:tcBorders>
              <w:tl2br w:val="nil"/>
              <w:tr2bl w:val="nil"/>
            </w:tcBorders>
            <w:vAlign w:val="center"/>
          </w:tcPr>
          <w:p w14:paraId="5C63B850">
            <w:pPr>
              <w:pStyle w:val="41"/>
              <w:rPr>
                <w:color w:val="auto"/>
                <w:highlight w:val="none"/>
              </w:rPr>
            </w:pPr>
            <w:r>
              <w:rPr>
                <w:color w:val="auto"/>
                <w:highlight w:val="none"/>
              </w:rPr>
              <w:t>国家标准</w:t>
            </w:r>
            <w:r>
              <w:rPr>
                <w:color w:val="auto"/>
                <w:highlight w:val="none"/>
              </w:rPr>
              <w:sym w:font="Wingdings 2" w:char="0052"/>
            </w:r>
          </w:p>
        </w:tc>
        <w:tc>
          <w:tcPr>
            <w:tcW w:w="813" w:type="pct"/>
            <w:gridSpan w:val="5"/>
            <w:tcBorders>
              <w:tl2br w:val="nil"/>
              <w:tr2bl w:val="nil"/>
            </w:tcBorders>
            <w:vAlign w:val="center"/>
          </w:tcPr>
          <w:p w14:paraId="6D524A38">
            <w:pPr>
              <w:pStyle w:val="41"/>
              <w:rPr>
                <w:color w:val="auto"/>
                <w:highlight w:val="none"/>
              </w:rPr>
            </w:pPr>
            <w:r>
              <w:rPr>
                <w:color w:val="auto"/>
                <w:highlight w:val="none"/>
              </w:rPr>
              <w:t>地方标准</w:t>
            </w:r>
            <w:r>
              <w:rPr>
                <w:color w:val="auto"/>
                <w:highlight w:val="none"/>
              </w:rPr>
              <w:sym w:font="Wingdings 2" w:char="00A3"/>
            </w:r>
          </w:p>
        </w:tc>
        <w:tc>
          <w:tcPr>
            <w:tcW w:w="645" w:type="pct"/>
            <w:gridSpan w:val="4"/>
            <w:tcBorders>
              <w:tl2br w:val="nil"/>
              <w:tr2bl w:val="nil"/>
            </w:tcBorders>
            <w:vAlign w:val="center"/>
          </w:tcPr>
          <w:p w14:paraId="33291FA6">
            <w:pPr>
              <w:pStyle w:val="41"/>
              <w:rPr>
                <w:color w:val="auto"/>
                <w:highlight w:val="none"/>
              </w:rPr>
            </w:pPr>
            <w:r>
              <w:rPr>
                <w:color w:val="auto"/>
                <w:highlight w:val="none"/>
              </w:rPr>
              <w:t>附录D</w:t>
            </w:r>
            <w:r>
              <w:rPr>
                <w:color w:val="auto"/>
                <w:highlight w:val="none"/>
              </w:rPr>
              <w:sym w:font="Wingdings 2" w:char="00A3"/>
            </w:r>
          </w:p>
        </w:tc>
        <w:tc>
          <w:tcPr>
            <w:tcW w:w="956" w:type="pct"/>
            <w:gridSpan w:val="5"/>
            <w:tcBorders>
              <w:tl2br w:val="nil"/>
              <w:tr2bl w:val="nil"/>
            </w:tcBorders>
            <w:vAlign w:val="center"/>
          </w:tcPr>
          <w:p w14:paraId="1A55339B">
            <w:pPr>
              <w:pStyle w:val="41"/>
              <w:rPr>
                <w:color w:val="auto"/>
                <w:highlight w:val="none"/>
              </w:rPr>
            </w:pPr>
            <w:r>
              <w:rPr>
                <w:color w:val="auto"/>
                <w:highlight w:val="none"/>
              </w:rPr>
              <w:t>其他标准</w:t>
            </w:r>
            <w:r>
              <w:rPr>
                <w:color w:val="auto"/>
                <w:highlight w:val="none"/>
              </w:rPr>
              <w:sym w:font="Wingdings 2" w:char="00A3"/>
            </w:r>
          </w:p>
        </w:tc>
      </w:tr>
      <w:tr w14:paraId="410D7F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restart"/>
            <w:tcBorders>
              <w:tl2br w:val="nil"/>
              <w:tr2bl w:val="nil"/>
            </w:tcBorders>
            <w:vAlign w:val="center"/>
          </w:tcPr>
          <w:p w14:paraId="3A745E8F">
            <w:pPr>
              <w:pStyle w:val="41"/>
              <w:rPr>
                <w:color w:val="auto"/>
                <w:highlight w:val="none"/>
              </w:rPr>
            </w:pPr>
            <w:r>
              <w:rPr>
                <w:color w:val="auto"/>
                <w:highlight w:val="none"/>
              </w:rPr>
              <w:t>现状</w:t>
            </w:r>
          </w:p>
          <w:p w14:paraId="3C14883A">
            <w:pPr>
              <w:pStyle w:val="41"/>
              <w:rPr>
                <w:color w:val="auto"/>
                <w:highlight w:val="none"/>
              </w:rPr>
            </w:pPr>
            <w:r>
              <w:rPr>
                <w:color w:val="auto"/>
                <w:highlight w:val="none"/>
              </w:rPr>
              <w:t>评价</w:t>
            </w:r>
          </w:p>
        </w:tc>
        <w:tc>
          <w:tcPr>
            <w:tcW w:w="930" w:type="pct"/>
            <w:tcBorders>
              <w:tl2br w:val="nil"/>
              <w:tr2bl w:val="nil"/>
            </w:tcBorders>
            <w:vAlign w:val="center"/>
          </w:tcPr>
          <w:p w14:paraId="10BBD15A">
            <w:pPr>
              <w:pStyle w:val="41"/>
              <w:rPr>
                <w:color w:val="auto"/>
                <w:highlight w:val="none"/>
              </w:rPr>
            </w:pPr>
            <w:r>
              <w:rPr>
                <w:color w:val="auto"/>
                <w:highlight w:val="none"/>
              </w:rPr>
              <w:t>环境功能区</w:t>
            </w:r>
          </w:p>
        </w:tc>
        <w:tc>
          <w:tcPr>
            <w:tcW w:w="1304" w:type="pct"/>
            <w:gridSpan w:val="6"/>
            <w:tcBorders>
              <w:tl2br w:val="nil"/>
              <w:tr2bl w:val="nil"/>
            </w:tcBorders>
            <w:vAlign w:val="center"/>
          </w:tcPr>
          <w:p w14:paraId="71E55CC5">
            <w:pPr>
              <w:pStyle w:val="41"/>
              <w:rPr>
                <w:color w:val="auto"/>
                <w:highlight w:val="none"/>
              </w:rPr>
            </w:pPr>
            <w:r>
              <w:rPr>
                <w:color w:val="auto"/>
                <w:highlight w:val="none"/>
              </w:rPr>
              <w:t>一类区</w:t>
            </w:r>
            <w:r>
              <w:rPr>
                <w:color w:val="auto"/>
                <w:highlight w:val="none"/>
              </w:rPr>
              <w:sym w:font="Wingdings 2" w:char="00A3"/>
            </w:r>
          </w:p>
        </w:tc>
        <w:tc>
          <w:tcPr>
            <w:tcW w:w="1459" w:type="pct"/>
            <w:gridSpan w:val="9"/>
            <w:tcBorders>
              <w:tl2br w:val="nil"/>
              <w:tr2bl w:val="nil"/>
            </w:tcBorders>
            <w:vAlign w:val="center"/>
          </w:tcPr>
          <w:p w14:paraId="0E62BF27">
            <w:pPr>
              <w:pStyle w:val="41"/>
              <w:rPr>
                <w:color w:val="auto"/>
                <w:highlight w:val="none"/>
              </w:rPr>
            </w:pPr>
            <w:r>
              <w:rPr>
                <w:color w:val="auto"/>
                <w:highlight w:val="none"/>
              </w:rPr>
              <w:t>二类区</w:t>
            </w:r>
            <w:r>
              <w:rPr>
                <w:color w:val="auto"/>
                <w:highlight w:val="none"/>
              </w:rPr>
              <w:sym w:font="Wingdings 2" w:char="0052"/>
            </w:r>
          </w:p>
        </w:tc>
        <w:tc>
          <w:tcPr>
            <w:tcW w:w="956" w:type="pct"/>
            <w:gridSpan w:val="5"/>
            <w:tcBorders>
              <w:tl2br w:val="nil"/>
              <w:tr2bl w:val="nil"/>
            </w:tcBorders>
            <w:vAlign w:val="center"/>
          </w:tcPr>
          <w:p w14:paraId="20C27F7F">
            <w:pPr>
              <w:pStyle w:val="41"/>
              <w:rPr>
                <w:color w:val="auto"/>
                <w:highlight w:val="none"/>
              </w:rPr>
            </w:pPr>
            <w:r>
              <w:rPr>
                <w:color w:val="auto"/>
                <w:highlight w:val="none"/>
              </w:rPr>
              <w:t>一类区和二类区</w:t>
            </w:r>
            <w:r>
              <w:rPr>
                <w:color w:val="auto"/>
                <w:highlight w:val="none"/>
              </w:rPr>
              <w:sym w:font="Wingdings 2" w:char="00A3"/>
            </w:r>
          </w:p>
        </w:tc>
      </w:tr>
      <w:tr w14:paraId="39AE3A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continue"/>
            <w:tcBorders>
              <w:tl2br w:val="nil"/>
              <w:tr2bl w:val="nil"/>
            </w:tcBorders>
            <w:vAlign w:val="center"/>
          </w:tcPr>
          <w:p w14:paraId="2A0229A8">
            <w:pPr>
              <w:pStyle w:val="41"/>
              <w:rPr>
                <w:color w:val="auto"/>
                <w:highlight w:val="none"/>
              </w:rPr>
            </w:pPr>
          </w:p>
        </w:tc>
        <w:tc>
          <w:tcPr>
            <w:tcW w:w="930" w:type="pct"/>
            <w:tcBorders>
              <w:tl2br w:val="nil"/>
              <w:tr2bl w:val="nil"/>
            </w:tcBorders>
            <w:vAlign w:val="center"/>
          </w:tcPr>
          <w:p w14:paraId="6BF3523A">
            <w:pPr>
              <w:pStyle w:val="41"/>
              <w:rPr>
                <w:color w:val="auto"/>
                <w:highlight w:val="none"/>
              </w:rPr>
            </w:pPr>
            <w:r>
              <w:rPr>
                <w:color w:val="auto"/>
                <w:highlight w:val="none"/>
              </w:rPr>
              <w:t>评价基准年</w:t>
            </w:r>
          </w:p>
        </w:tc>
        <w:tc>
          <w:tcPr>
            <w:tcW w:w="3720" w:type="pct"/>
            <w:gridSpan w:val="20"/>
            <w:tcBorders>
              <w:tl2br w:val="nil"/>
              <w:tr2bl w:val="nil"/>
            </w:tcBorders>
            <w:vAlign w:val="center"/>
          </w:tcPr>
          <w:p w14:paraId="75434E5E">
            <w:pPr>
              <w:pStyle w:val="41"/>
              <w:rPr>
                <w:color w:val="auto"/>
                <w:highlight w:val="none"/>
              </w:rPr>
            </w:pPr>
            <w:r>
              <w:rPr>
                <w:color w:val="auto"/>
                <w:highlight w:val="none"/>
              </w:rPr>
              <w:t>（2024）年</w:t>
            </w:r>
          </w:p>
        </w:tc>
      </w:tr>
      <w:tr w14:paraId="46D1FE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continue"/>
            <w:tcBorders>
              <w:tl2br w:val="nil"/>
              <w:tr2bl w:val="nil"/>
            </w:tcBorders>
            <w:vAlign w:val="center"/>
          </w:tcPr>
          <w:p w14:paraId="32C614F1">
            <w:pPr>
              <w:pStyle w:val="41"/>
              <w:rPr>
                <w:color w:val="auto"/>
                <w:highlight w:val="none"/>
              </w:rPr>
            </w:pPr>
          </w:p>
        </w:tc>
        <w:tc>
          <w:tcPr>
            <w:tcW w:w="930" w:type="pct"/>
            <w:tcBorders>
              <w:tl2br w:val="nil"/>
              <w:tr2bl w:val="nil"/>
            </w:tcBorders>
            <w:vAlign w:val="center"/>
          </w:tcPr>
          <w:p w14:paraId="5AAB37CC">
            <w:pPr>
              <w:pStyle w:val="41"/>
              <w:rPr>
                <w:color w:val="auto"/>
                <w:highlight w:val="none"/>
              </w:rPr>
            </w:pPr>
            <w:r>
              <w:rPr>
                <w:color w:val="auto"/>
                <w:highlight w:val="none"/>
              </w:rPr>
              <w:t>环境空气质量现状调查数据来源</w:t>
            </w:r>
          </w:p>
        </w:tc>
        <w:tc>
          <w:tcPr>
            <w:tcW w:w="1304" w:type="pct"/>
            <w:gridSpan w:val="6"/>
            <w:tcBorders>
              <w:tl2br w:val="nil"/>
              <w:tr2bl w:val="nil"/>
            </w:tcBorders>
            <w:vAlign w:val="center"/>
          </w:tcPr>
          <w:p w14:paraId="5F0F6739">
            <w:pPr>
              <w:pStyle w:val="41"/>
              <w:rPr>
                <w:color w:val="auto"/>
                <w:highlight w:val="none"/>
              </w:rPr>
            </w:pPr>
            <w:r>
              <w:rPr>
                <w:color w:val="auto"/>
                <w:highlight w:val="none"/>
              </w:rPr>
              <w:t>长期例行监测数据</w:t>
            </w:r>
            <w:r>
              <w:rPr>
                <w:color w:val="auto"/>
                <w:highlight w:val="none"/>
              </w:rPr>
              <w:sym w:font="Wingdings 2" w:char="00A3"/>
            </w:r>
          </w:p>
        </w:tc>
        <w:tc>
          <w:tcPr>
            <w:tcW w:w="1459" w:type="pct"/>
            <w:gridSpan w:val="9"/>
            <w:tcBorders>
              <w:tl2br w:val="nil"/>
              <w:tr2bl w:val="nil"/>
            </w:tcBorders>
            <w:vAlign w:val="center"/>
          </w:tcPr>
          <w:p w14:paraId="44A39FE9">
            <w:pPr>
              <w:pStyle w:val="41"/>
              <w:rPr>
                <w:color w:val="auto"/>
                <w:highlight w:val="none"/>
              </w:rPr>
            </w:pPr>
            <w:r>
              <w:rPr>
                <w:color w:val="auto"/>
                <w:highlight w:val="none"/>
              </w:rPr>
              <w:t>主管部门发布的数据</w:t>
            </w:r>
            <w:r>
              <w:rPr>
                <w:color w:val="auto"/>
                <w:highlight w:val="none"/>
              </w:rPr>
              <w:sym w:font="Wingdings 2" w:char="0052"/>
            </w:r>
          </w:p>
        </w:tc>
        <w:tc>
          <w:tcPr>
            <w:tcW w:w="956" w:type="pct"/>
            <w:gridSpan w:val="5"/>
            <w:tcBorders>
              <w:tl2br w:val="nil"/>
              <w:tr2bl w:val="nil"/>
            </w:tcBorders>
            <w:vAlign w:val="center"/>
          </w:tcPr>
          <w:p w14:paraId="18260C76">
            <w:pPr>
              <w:pStyle w:val="41"/>
              <w:rPr>
                <w:color w:val="auto"/>
                <w:highlight w:val="none"/>
              </w:rPr>
            </w:pPr>
            <w:r>
              <w:rPr>
                <w:color w:val="auto"/>
                <w:highlight w:val="none"/>
              </w:rPr>
              <w:t>现状补充监测</w:t>
            </w:r>
            <w:r>
              <w:rPr>
                <w:color w:val="auto"/>
                <w:highlight w:val="none"/>
              </w:rPr>
              <w:sym w:font="Wingdings 2" w:char="0052"/>
            </w:r>
          </w:p>
        </w:tc>
      </w:tr>
      <w:tr w14:paraId="4D53FE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continue"/>
            <w:tcBorders>
              <w:tl2br w:val="nil"/>
              <w:tr2bl w:val="nil"/>
            </w:tcBorders>
            <w:vAlign w:val="center"/>
          </w:tcPr>
          <w:p w14:paraId="2F634860">
            <w:pPr>
              <w:pStyle w:val="41"/>
              <w:rPr>
                <w:color w:val="auto"/>
                <w:highlight w:val="none"/>
              </w:rPr>
            </w:pPr>
          </w:p>
        </w:tc>
        <w:tc>
          <w:tcPr>
            <w:tcW w:w="930" w:type="pct"/>
            <w:tcBorders>
              <w:tl2br w:val="nil"/>
              <w:tr2bl w:val="nil"/>
            </w:tcBorders>
            <w:vAlign w:val="center"/>
          </w:tcPr>
          <w:p w14:paraId="6FCF78A9">
            <w:pPr>
              <w:pStyle w:val="41"/>
              <w:rPr>
                <w:color w:val="auto"/>
                <w:highlight w:val="none"/>
              </w:rPr>
            </w:pPr>
            <w:r>
              <w:rPr>
                <w:color w:val="auto"/>
                <w:highlight w:val="none"/>
              </w:rPr>
              <w:t>现状评价</w:t>
            </w:r>
          </w:p>
        </w:tc>
        <w:tc>
          <w:tcPr>
            <w:tcW w:w="2118" w:type="pct"/>
            <w:gridSpan w:val="11"/>
            <w:tcBorders>
              <w:tl2br w:val="nil"/>
              <w:tr2bl w:val="nil"/>
            </w:tcBorders>
            <w:vAlign w:val="center"/>
          </w:tcPr>
          <w:p w14:paraId="2A68FF9F">
            <w:pPr>
              <w:pStyle w:val="41"/>
              <w:rPr>
                <w:color w:val="auto"/>
                <w:highlight w:val="none"/>
              </w:rPr>
            </w:pPr>
            <w:r>
              <w:rPr>
                <w:color w:val="auto"/>
                <w:highlight w:val="none"/>
              </w:rPr>
              <w:t>达标区</w:t>
            </w:r>
            <w:r>
              <w:rPr>
                <w:color w:val="auto"/>
                <w:highlight w:val="none"/>
              </w:rPr>
              <w:sym w:font="Wingdings 2" w:char="00A3"/>
            </w:r>
          </w:p>
        </w:tc>
        <w:tc>
          <w:tcPr>
            <w:tcW w:w="1602" w:type="pct"/>
            <w:gridSpan w:val="9"/>
            <w:tcBorders>
              <w:tl2br w:val="nil"/>
              <w:tr2bl w:val="nil"/>
            </w:tcBorders>
            <w:vAlign w:val="center"/>
          </w:tcPr>
          <w:p w14:paraId="7ED208DF">
            <w:pPr>
              <w:pStyle w:val="41"/>
              <w:rPr>
                <w:color w:val="auto"/>
                <w:highlight w:val="none"/>
              </w:rPr>
            </w:pPr>
            <w:r>
              <w:rPr>
                <w:color w:val="auto"/>
                <w:highlight w:val="none"/>
              </w:rPr>
              <w:t>不达标区</w:t>
            </w:r>
            <w:r>
              <w:rPr>
                <w:color w:val="auto"/>
                <w:highlight w:val="none"/>
              </w:rPr>
              <w:sym w:font="Wingdings 2" w:char="0052"/>
            </w:r>
          </w:p>
        </w:tc>
      </w:tr>
      <w:tr w14:paraId="1923F3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tcBorders>
              <w:tl2br w:val="nil"/>
              <w:tr2bl w:val="nil"/>
            </w:tcBorders>
            <w:vAlign w:val="center"/>
          </w:tcPr>
          <w:p w14:paraId="2FDD838B">
            <w:pPr>
              <w:pStyle w:val="41"/>
              <w:rPr>
                <w:color w:val="auto"/>
                <w:highlight w:val="none"/>
              </w:rPr>
            </w:pPr>
            <w:r>
              <w:rPr>
                <w:color w:val="auto"/>
                <w:highlight w:val="none"/>
              </w:rPr>
              <w:t>污染源调查</w:t>
            </w:r>
          </w:p>
        </w:tc>
        <w:tc>
          <w:tcPr>
            <w:tcW w:w="930" w:type="pct"/>
            <w:tcBorders>
              <w:tl2br w:val="nil"/>
              <w:tr2bl w:val="nil"/>
            </w:tcBorders>
            <w:vAlign w:val="center"/>
          </w:tcPr>
          <w:p w14:paraId="45B54364">
            <w:pPr>
              <w:pStyle w:val="41"/>
              <w:rPr>
                <w:color w:val="auto"/>
                <w:highlight w:val="none"/>
              </w:rPr>
            </w:pPr>
            <w:r>
              <w:rPr>
                <w:color w:val="auto"/>
                <w:highlight w:val="none"/>
              </w:rPr>
              <w:t>调查内容</w:t>
            </w:r>
          </w:p>
        </w:tc>
        <w:tc>
          <w:tcPr>
            <w:tcW w:w="1550" w:type="pct"/>
            <w:gridSpan w:val="7"/>
            <w:tcBorders>
              <w:tl2br w:val="nil"/>
              <w:tr2bl w:val="nil"/>
            </w:tcBorders>
            <w:vAlign w:val="center"/>
          </w:tcPr>
          <w:p w14:paraId="7FBEC439">
            <w:pPr>
              <w:pStyle w:val="41"/>
              <w:rPr>
                <w:color w:val="auto"/>
                <w:highlight w:val="none"/>
              </w:rPr>
            </w:pPr>
            <w:r>
              <w:rPr>
                <w:color w:val="auto"/>
                <w:highlight w:val="none"/>
              </w:rPr>
              <w:t>本项目正常排放源</w:t>
            </w:r>
            <w:r>
              <w:rPr>
                <w:color w:val="auto"/>
                <w:highlight w:val="none"/>
              </w:rPr>
              <w:sym w:font="Wingdings 2" w:char="0052"/>
            </w:r>
          </w:p>
          <w:p w14:paraId="54D6393D">
            <w:pPr>
              <w:pStyle w:val="41"/>
              <w:rPr>
                <w:color w:val="auto"/>
                <w:highlight w:val="none"/>
              </w:rPr>
            </w:pPr>
            <w:r>
              <w:rPr>
                <w:color w:val="auto"/>
                <w:highlight w:val="none"/>
              </w:rPr>
              <w:t>本项目非正常排放源</w:t>
            </w:r>
            <w:r>
              <w:rPr>
                <w:color w:val="auto"/>
                <w:highlight w:val="none"/>
              </w:rPr>
              <w:sym w:font="Wingdings 2" w:char="0052"/>
            </w:r>
          </w:p>
          <w:p w14:paraId="7BDB4536">
            <w:pPr>
              <w:pStyle w:val="41"/>
              <w:rPr>
                <w:color w:val="auto"/>
                <w:highlight w:val="none"/>
              </w:rPr>
            </w:pPr>
            <w:r>
              <w:rPr>
                <w:color w:val="auto"/>
                <w:highlight w:val="none"/>
              </w:rPr>
              <w:t>现有污染源</w:t>
            </w:r>
            <w:r>
              <w:rPr>
                <w:color w:val="auto"/>
                <w:highlight w:val="none"/>
              </w:rPr>
              <w:sym w:font="Wingdings 2" w:char="00A3"/>
            </w:r>
          </w:p>
        </w:tc>
        <w:tc>
          <w:tcPr>
            <w:tcW w:w="723" w:type="pct"/>
            <w:gridSpan w:val="6"/>
            <w:tcBorders>
              <w:tl2br w:val="nil"/>
              <w:tr2bl w:val="nil"/>
            </w:tcBorders>
            <w:vAlign w:val="center"/>
          </w:tcPr>
          <w:p w14:paraId="031547F0">
            <w:pPr>
              <w:pStyle w:val="41"/>
              <w:rPr>
                <w:color w:val="auto"/>
                <w:highlight w:val="none"/>
              </w:rPr>
            </w:pPr>
            <w:r>
              <w:rPr>
                <w:color w:val="auto"/>
                <w:highlight w:val="none"/>
              </w:rPr>
              <w:t>拟替代的污染源</w:t>
            </w:r>
            <w:r>
              <w:rPr>
                <w:color w:val="auto"/>
                <w:highlight w:val="none"/>
              </w:rPr>
              <w:sym w:font="Wingdings 2" w:char="00A3"/>
            </w:r>
          </w:p>
        </w:tc>
        <w:tc>
          <w:tcPr>
            <w:tcW w:w="491" w:type="pct"/>
            <w:gridSpan w:val="2"/>
            <w:tcBorders>
              <w:tl2br w:val="nil"/>
              <w:tr2bl w:val="nil"/>
            </w:tcBorders>
            <w:vAlign w:val="center"/>
          </w:tcPr>
          <w:p w14:paraId="757F3D31">
            <w:pPr>
              <w:pStyle w:val="41"/>
              <w:rPr>
                <w:color w:val="auto"/>
                <w:highlight w:val="none"/>
              </w:rPr>
            </w:pPr>
            <w:r>
              <w:rPr>
                <w:color w:val="auto"/>
                <w:highlight w:val="none"/>
              </w:rPr>
              <w:t>其他在建、拟建项目污染源</w:t>
            </w:r>
            <w:r>
              <w:rPr>
                <w:color w:val="auto"/>
                <w:highlight w:val="none"/>
              </w:rPr>
              <w:sym w:font="Wingdings 2" w:char="00A3"/>
            </w:r>
          </w:p>
        </w:tc>
        <w:tc>
          <w:tcPr>
            <w:tcW w:w="956" w:type="pct"/>
            <w:gridSpan w:val="5"/>
            <w:tcBorders>
              <w:tl2br w:val="nil"/>
              <w:tr2bl w:val="nil"/>
            </w:tcBorders>
            <w:vAlign w:val="center"/>
          </w:tcPr>
          <w:p w14:paraId="1FC77CAB">
            <w:pPr>
              <w:pStyle w:val="41"/>
              <w:rPr>
                <w:color w:val="auto"/>
                <w:highlight w:val="none"/>
              </w:rPr>
            </w:pPr>
            <w:r>
              <w:rPr>
                <w:color w:val="auto"/>
                <w:highlight w:val="none"/>
              </w:rPr>
              <w:t>区域污染源</w:t>
            </w:r>
            <w:r>
              <w:rPr>
                <w:color w:val="auto"/>
                <w:highlight w:val="none"/>
              </w:rPr>
              <w:sym w:font="Wingdings 2" w:char="00A3"/>
            </w:r>
          </w:p>
        </w:tc>
      </w:tr>
      <w:tr w14:paraId="3FD91A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restart"/>
            <w:tcBorders>
              <w:tl2br w:val="nil"/>
              <w:tr2bl w:val="nil"/>
            </w:tcBorders>
            <w:vAlign w:val="center"/>
          </w:tcPr>
          <w:p w14:paraId="023262A8">
            <w:pPr>
              <w:pStyle w:val="41"/>
              <w:rPr>
                <w:color w:val="auto"/>
                <w:highlight w:val="none"/>
              </w:rPr>
            </w:pPr>
            <w:r>
              <w:rPr>
                <w:color w:val="auto"/>
                <w:highlight w:val="none"/>
              </w:rPr>
              <w:t>大气环境影响预测与评价</w:t>
            </w:r>
          </w:p>
        </w:tc>
        <w:tc>
          <w:tcPr>
            <w:tcW w:w="930" w:type="pct"/>
            <w:tcBorders>
              <w:tl2br w:val="nil"/>
              <w:tr2bl w:val="nil"/>
            </w:tcBorders>
            <w:vAlign w:val="center"/>
          </w:tcPr>
          <w:p w14:paraId="7882027E">
            <w:pPr>
              <w:pStyle w:val="41"/>
              <w:rPr>
                <w:color w:val="auto"/>
                <w:highlight w:val="none"/>
              </w:rPr>
            </w:pPr>
            <w:r>
              <w:rPr>
                <w:color w:val="auto"/>
                <w:highlight w:val="none"/>
              </w:rPr>
              <w:t>预测模型</w:t>
            </w:r>
          </w:p>
        </w:tc>
        <w:tc>
          <w:tcPr>
            <w:tcW w:w="581" w:type="pct"/>
            <w:gridSpan w:val="2"/>
            <w:tcBorders>
              <w:tl2br w:val="nil"/>
              <w:tr2bl w:val="nil"/>
            </w:tcBorders>
            <w:vAlign w:val="center"/>
          </w:tcPr>
          <w:p w14:paraId="2AC6C1E4">
            <w:pPr>
              <w:pStyle w:val="41"/>
              <w:rPr>
                <w:color w:val="auto"/>
                <w:highlight w:val="none"/>
              </w:rPr>
            </w:pPr>
            <w:r>
              <w:rPr>
                <w:color w:val="auto"/>
                <w:highlight w:val="none"/>
              </w:rPr>
              <w:t>AERMOD</w:t>
            </w:r>
          </w:p>
          <w:p w14:paraId="7109A1F0">
            <w:pPr>
              <w:pStyle w:val="41"/>
              <w:rPr>
                <w:color w:val="auto"/>
                <w:highlight w:val="none"/>
              </w:rPr>
            </w:pPr>
            <w:r>
              <w:rPr>
                <w:color w:val="auto"/>
                <w:highlight w:val="none"/>
              </w:rPr>
              <w:sym w:font="Wingdings 2" w:char="00A3"/>
            </w:r>
          </w:p>
        </w:tc>
        <w:tc>
          <w:tcPr>
            <w:tcW w:w="451" w:type="pct"/>
            <w:tcBorders>
              <w:tl2br w:val="nil"/>
              <w:tr2bl w:val="nil"/>
            </w:tcBorders>
            <w:vAlign w:val="center"/>
          </w:tcPr>
          <w:p w14:paraId="47942D07">
            <w:pPr>
              <w:pStyle w:val="41"/>
              <w:rPr>
                <w:color w:val="auto"/>
                <w:highlight w:val="none"/>
              </w:rPr>
            </w:pPr>
            <w:r>
              <w:rPr>
                <w:color w:val="auto"/>
                <w:highlight w:val="none"/>
              </w:rPr>
              <w:t>ADMS</w:t>
            </w:r>
          </w:p>
          <w:p w14:paraId="480DC3A5">
            <w:pPr>
              <w:pStyle w:val="41"/>
              <w:rPr>
                <w:color w:val="auto"/>
                <w:highlight w:val="none"/>
              </w:rPr>
            </w:pPr>
            <w:r>
              <w:rPr>
                <w:color w:val="auto"/>
                <w:highlight w:val="none"/>
              </w:rPr>
              <w:sym w:font="Wingdings 2" w:char="00A3"/>
            </w:r>
          </w:p>
        </w:tc>
        <w:tc>
          <w:tcPr>
            <w:tcW w:w="774" w:type="pct"/>
            <w:gridSpan w:val="5"/>
            <w:tcBorders>
              <w:tl2br w:val="nil"/>
              <w:tr2bl w:val="nil"/>
            </w:tcBorders>
            <w:vAlign w:val="center"/>
          </w:tcPr>
          <w:p w14:paraId="3FFBBFAD">
            <w:pPr>
              <w:pStyle w:val="41"/>
              <w:rPr>
                <w:color w:val="auto"/>
                <w:highlight w:val="none"/>
              </w:rPr>
            </w:pPr>
            <w:r>
              <w:rPr>
                <w:color w:val="auto"/>
                <w:highlight w:val="none"/>
              </w:rPr>
              <w:t>AUSTAL2000</w:t>
            </w:r>
            <w:r>
              <w:rPr>
                <w:color w:val="auto"/>
                <w:highlight w:val="none"/>
              </w:rPr>
              <w:sym w:font="Wingdings 2" w:char="00A3"/>
            </w:r>
          </w:p>
        </w:tc>
        <w:tc>
          <w:tcPr>
            <w:tcW w:w="465" w:type="pct"/>
            <w:gridSpan w:val="5"/>
            <w:tcBorders>
              <w:tl2br w:val="nil"/>
              <w:tr2bl w:val="nil"/>
            </w:tcBorders>
            <w:vAlign w:val="center"/>
          </w:tcPr>
          <w:p w14:paraId="488DD121">
            <w:pPr>
              <w:pStyle w:val="41"/>
              <w:rPr>
                <w:color w:val="auto"/>
                <w:highlight w:val="none"/>
              </w:rPr>
            </w:pPr>
            <w:r>
              <w:rPr>
                <w:color w:val="auto"/>
                <w:highlight w:val="none"/>
              </w:rPr>
              <w:t>EDMS/</w:t>
            </w:r>
          </w:p>
          <w:p w14:paraId="178C1A29">
            <w:pPr>
              <w:pStyle w:val="41"/>
              <w:rPr>
                <w:color w:val="auto"/>
                <w:highlight w:val="none"/>
              </w:rPr>
            </w:pPr>
            <w:r>
              <w:rPr>
                <w:color w:val="auto"/>
                <w:highlight w:val="none"/>
              </w:rPr>
              <w:t>AEDT</w:t>
            </w:r>
            <w:r>
              <w:rPr>
                <w:color w:val="auto"/>
                <w:highlight w:val="none"/>
              </w:rPr>
              <w:sym w:font="Wingdings 2" w:char="00A3"/>
            </w:r>
          </w:p>
        </w:tc>
        <w:tc>
          <w:tcPr>
            <w:tcW w:w="658" w:type="pct"/>
            <w:gridSpan w:val="4"/>
            <w:tcBorders>
              <w:tl2br w:val="nil"/>
              <w:tr2bl w:val="nil"/>
            </w:tcBorders>
            <w:vAlign w:val="center"/>
          </w:tcPr>
          <w:p w14:paraId="4FE344E5">
            <w:pPr>
              <w:pStyle w:val="41"/>
              <w:rPr>
                <w:color w:val="auto"/>
                <w:highlight w:val="none"/>
              </w:rPr>
            </w:pPr>
            <w:r>
              <w:rPr>
                <w:color w:val="auto"/>
                <w:highlight w:val="none"/>
              </w:rPr>
              <w:t>CALPUFF</w:t>
            </w:r>
            <w:r>
              <w:rPr>
                <w:color w:val="auto"/>
                <w:highlight w:val="none"/>
              </w:rPr>
              <w:sym w:font="Wingdings 2" w:char="00A3"/>
            </w:r>
          </w:p>
        </w:tc>
        <w:tc>
          <w:tcPr>
            <w:tcW w:w="451" w:type="pct"/>
            <w:gridSpan w:val="2"/>
            <w:tcBorders>
              <w:tl2br w:val="nil"/>
              <w:tr2bl w:val="nil"/>
            </w:tcBorders>
            <w:vAlign w:val="center"/>
          </w:tcPr>
          <w:p w14:paraId="0141D420">
            <w:pPr>
              <w:pStyle w:val="41"/>
              <w:rPr>
                <w:color w:val="auto"/>
                <w:highlight w:val="none"/>
              </w:rPr>
            </w:pPr>
            <w:r>
              <w:rPr>
                <w:color w:val="auto"/>
                <w:highlight w:val="none"/>
              </w:rPr>
              <w:t>网络模型</w:t>
            </w:r>
            <w:r>
              <w:rPr>
                <w:color w:val="auto"/>
                <w:highlight w:val="none"/>
              </w:rPr>
              <w:sym w:font="Wingdings 2" w:char="00A3"/>
            </w:r>
          </w:p>
        </w:tc>
        <w:tc>
          <w:tcPr>
            <w:tcW w:w="336" w:type="pct"/>
            <w:tcBorders>
              <w:tl2br w:val="nil"/>
              <w:tr2bl w:val="nil"/>
            </w:tcBorders>
            <w:vAlign w:val="center"/>
          </w:tcPr>
          <w:p w14:paraId="64916910">
            <w:pPr>
              <w:pStyle w:val="41"/>
              <w:rPr>
                <w:color w:val="auto"/>
                <w:highlight w:val="none"/>
              </w:rPr>
            </w:pPr>
            <w:r>
              <w:rPr>
                <w:color w:val="auto"/>
                <w:highlight w:val="none"/>
              </w:rPr>
              <w:t>其他</w:t>
            </w:r>
          </w:p>
          <w:p w14:paraId="564F362E">
            <w:pPr>
              <w:pStyle w:val="41"/>
              <w:rPr>
                <w:color w:val="auto"/>
                <w:highlight w:val="none"/>
              </w:rPr>
            </w:pPr>
            <w:r>
              <w:rPr>
                <w:color w:val="auto"/>
                <w:highlight w:val="none"/>
              </w:rPr>
              <w:sym w:font="Wingdings 2" w:char="0052"/>
            </w:r>
          </w:p>
        </w:tc>
      </w:tr>
      <w:tr w14:paraId="593C07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continue"/>
            <w:tcBorders>
              <w:tl2br w:val="nil"/>
              <w:tr2bl w:val="nil"/>
            </w:tcBorders>
            <w:vAlign w:val="center"/>
          </w:tcPr>
          <w:p w14:paraId="5FAA720C">
            <w:pPr>
              <w:pStyle w:val="41"/>
              <w:rPr>
                <w:color w:val="auto"/>
                <w:highlight w:val="none"/>
              </w:rPr>
            </w:pPr>
          </w:p>
        </w:tc>
        <w:tc>
          <w:tcPr>
            <w:tcW w:w="930" w:type="pct"/>
            <w:tcBorders>
              <w:tl2br w:val="nil"/>
              <w:tr2bl w:val="nil"/>
            </w:tcBorders>
            <w:vAlign w:val="center"/>
          </w:tcPr>
          <w:p w14:paraId="5A0B4835">
            <w:pPr>
              <w:pStyle w:val="41"/>
              <w:rPr>
                <w:color w:val="auto"/>
                <w:highlight w:val="none"/>
              </w:rPr>
            </w:pPr>
            <w:r>
              <w:rPr>
                <w:color w:val="auto"/>
                <w:highlight w:val="none"/>
              </w:rPr>
              <w:t>预测范围</w:t>
            </w:r>
          </w:p>
        </w:tc>
        <w:tc>
          <w:tcPr>
            <w:tcW w:w="1110" w:type="pct"/>
            <w:gridSpan w:val="4"/>
            <w:tcBorders>
              <w:tl2br w:val="nil"/>
              <w:tr2bl w:val="nil"/>
            </w:tcBorders>
            <w:vAlign w:val="center"/>
          </w:tcPr>
          <w:p w14:paraId="37116D66">
            <w:pPr>
              <w:pStyle w:val="41"/>
              <w:rPr>
                <w:color w:val="auto"/>
                <w:highlight w:val="none"/>
              </w:rPr>
            </w:pPr>
            <w:r>
              <w:rPr>
                <w:color w:val="auto"/>
                <w:highlight w:val="none"/>
              </w:rPr>
              <w:t>边长≥50km</w:t>
            </w:r>
            <w:r>
              <w:rPr>
                <w:color w:val="auto"/>
                <w:highlight w:val="none"/>
              </w:rPr>
              <w:sym w:font="Wingdings 2" w:char="00A3"/>
            </w:r>
          </w:p>
        </w:tc>
        <w:tc>
          <w:tcPr>
            <w:tcW w:w="1679" w:type="pct"/>
            <w:gridSpan w:val="12"/>
            <w:tcBorders>
              <w:tl2br w:val="nil"/>
              <w:tr2bl w:val="nil"/>
            </w:tcBorders>
            <w:vAlign w:val="center"/>
          </w:tcPr>
          <w:p w14:paraId="1E4AFB2C">
            <w:pPr>
              <w:pStyle w:val="41"/>
              <w:rPr>
                <w:color w:val="auto"/>
                <w:highlight w:val="none"/>
              </w:rPr>
            </w:pPr>
            <w:r>
              <w:rPr>
                <w:color w:val="auto"/>
                <w:highlight w:val="none"/>
              </w:rPr>
              <w:t>边长5～50km</w:t>
            </w:r>
            <w:r>
              <w:rPr>
                <w:color w:val="auto"/>
                <w:highlight w:val="none"/>
              </w:rPr>
              <w:sym w:font="Wingdings 2" w:char="00A3"/>
            </w:r>
          </w:p>
        </w:tc>
        <w:tc>
          <w:tcPr>
            <w:tcW w:w="930" w:type="pct"/>
            <w:gridSpan w:val="4"/>
            <w:tcBorders>
              <w:tl2br w:val="nil"/>
              <w:tr2bl w:val="nil"/>
            </w:tcBorders>
            <w:vAlign w:val="center"/>
          </w:tcPr>
          <w:p w14:paraId="1C97FE38">
            <w:pPr>
              <w:pStyle w:val="41"/>
              <w:rPr>
                <w:color w:val="auto"/>
                <w:highlight w:val="none"/>
              </w:rPr>
            </w:pPr>
            <w:r>
              <w:rPr>
                <w:color w:val="auto"/>
                <w:highlight w:val="none"/>
              </w:rPr>
              <w:t>边长=5km</w:t>
            </w:r>
            <w:r>
              <w:rPr>
                <w:color w:val="auto"/>
                <w:highlight w:val="none"/>
              </w:rPr>
              <w:sym w:font="Wingdings 2" w:char="0052"/>
            </w:r>
          </w:p>
        </w:tc>
      </w:tr>
      <w:tr w14:paraId="678730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continue"/>
            <w:tcBorders>
              <w:tl2br w:val="nil"/>
              <w:tr2bl w:val="nil"/>
            </w:tcBorders>
            <w:vAlign w:val="center"/>
          </w:tcPr>
          <w:p w14:paraId="0A535C4B">
            <w:pPr>
              <w:pStyle w:val="41"/>
              <w:rPr>
                <w:color w:val="auto"/>
                <w:highlight w:val="none"/>
              </w:rPr>
            </w:pPr>
          </w:p>
        </w:tc>
        <w:tc>
          <w:tcPr>
            <w:tcW w:w="930" w:type="pct"/>
            <w:tcBorders>
              <w:tl2br w:val="nil"/>
              <w:tr2bl w:val="nil"/>
            </w:tcBorders>
            <w:vAlign w:val="center"/>
          </w:tcPr>
          <w:p w14:paraId="20123992">
            <w:pPr>
              <w:pStyle w:val="41"/>
              <w:rPr>
                <w:color w:val="auto"/>
                <w:highlight w:val="none"/>
              </w:rPr>
            </w:pPr>
            <w:r>
              <w:rPr>
                <w:color w:val="auto"/>
                <w:highlight w:val="none"/>
              </w:rPr>
              <w:t>预测因子</w:t>
            </w:r>
          </w:p>
        </w:tc>
        <w:tc>
          <w:tcPr>
            <w:tcW w:w="2054" w:type="pct"/>
            <w:gridSpan w:val="9"/>
            <w:tcBorders>
              <w:tl2br w:val="nil"/>
              <w:tr2bl w:val="nil"/>
            </w:tcBorders>
            <w:vAlign w:val="center"/>
          </w:tcPr>
          <w:p w14:paraId="57468A1F">
            <w:pPr>
              <w:pStyle w:val="41"/>
              <w:rPr>
                <w:color w:val="auto"/>
                <w:highlight w:val="none"/>
              </w:rPr>
            </w:pPr>
            <w:r>
              <w:rPr>
                <w:color w:val="auto"/>
                <w:highlight w:val="none"/>
              </w:rPr>
              <w:t>预测因子（SO</w:t>
            </w:r>
            <w:r>
              <w:rPr>
                <w:color w:val="auto"/>
                <w:highlight w:val="none"/>
                <w:vertAlign w:val="subscript"/>
              </w:rPr>
              <w:t>2</w:t>
            </w:r>
            <w:r>
              <w:rPr>
                <w:color w:val="auto"/>
                <w:highlight w:val="none"/>
              </w:rPr>
              <w:t>、NO</w:t>
            </w:r>
            <w:r>
              <w:rPr>
                <w:color w:val="auto"/>
                <w:highlight w:val="none"/>
                <w:vertAlign w:val="subscript"/>
              </w:rPr>
              <w:t>2</w:t>
            </w:r>
            <w:r>
              <w:rPr>
                <w:color w:val="auto"/>
                <w:highlight w:val="none"/>
              </w:rPr>
              <w:t>、PM</w:t>
            </w:r>
            <w:r>
              <w:rPr>
                <w:color w:val="auto"/>
                <w:highlight w:val="none"/>
                <w:vertAlign w:val="subscript"/>
              </w:rPr>
              <w:t>10</w:t>
            </w:r>
            <w:r>
              <w:rPr>
                <w:color w:val="auto"/>
                <w:highlight w:val="none"/>
              </w:rPr>
              <w:t>、TSP）</w:t>
            </w:r>
          </w:p>
        </w:tc>
        <w:tc>
          <w:tcPr>
            <w:tcW w:w="1666" w:type="pct"/>
            <w:gridSpan w:val="11"/>
            <w:tcBorders>
              <w:tl2br w:val="nil"/>
              <w:tr2bl w:val="nil"/>
            </w:tcBorders>
            <w:vAlign w:val="center"/>
          </w:tcPr>
          <w:p w14:paraId="3530951E">
            <w:pPr>
              <w:pStyle w:val="41"/>
              <w:rPr>
                <w:color w:val="auto"/>
                <w:highlight w:val="none"/>
              </w:rPr>
            </w:pPr>
            <w:r>
              <w:rPr>
                <w:color w:val="auto"/>
                <w:highlight w:val="none"/>
              </w:rPr>
              <w:t>包括二次PM</w:t>
            </w:r>
            <w:r>
              <w:rPr>
                <w:color w:val="auto"/>
                <w:highlight w:val="none"/>
                <w:vertAlign w:val="subscript"/>
              </w:rPr>
              <w:t>2.5</w:t>
            </w:r>
            <w:r>
              <w:rPr>
                <w:color w:val="auto"/>
                <w:highlight w:val="none"/>
              </w:rPr>
              <w:sym w:font="Wingdings 2" w:char="00A3"/>
            </w:r>
          </w:p>
          <w:p w14:paraId="2483B0E7">
            <w:pPr>
              <w:pStyle w:val="41"/>
              <w:rPr>
                <w:color w:val="auto"/>
                <w:highlight w:val="none"/>
              </w:rPr>
            </w:pPr>
            <w:r>
              <w:rPr>
                <w:color w:val="auto"/>
                <w:highlight w:val="none"/>
              </w:rPr>
              <w:t>不包括二次PM</w:t>
            </w:r>
            <w:r>
              <w:rPr>
                <w:color w:val="auto"/>
                <w:highlight w:val="none"/>
                <w:vertAlign w:val="subscript"/>
              </w:rPr>
              <w:t>2.5</w:t>
            </w:r>
            <w:r>
              <w:rPr>
                <w:color w:val="auto"/>
                <w:highlight w:val="none"/>
              </w:rPr>
              <w:sym w:font="Wingdings 2" w:char="0052"/>
            </w:r>
          </w:p>
        </w:tc>
      </w:tr>
      <w:tr w14:paraId="289AC0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continue"/>
            <w:tcBorders>
              <w:tl2br w:val="nil"/>
              <w:tr2bl w:val="nil"/>
            </w:tcBorders>
            <w:vAlign w:val="center"/>
          </w:tcPr>
          <w:p w14:paraId="6AAE9593">
            <w:pPr>
              <w:pStyle w:val="41"/>
              <w:rPr>
                <w:color w:val="auto"/>
                <w:highlight w:val="none"/>
              </w:rPr>
            </w:pPr>
          </w:p>
        </w:tc>
        <w:tc>
          <w:tcPr>
            <w:tcW w:w="930" w:type="pct"/>
            <w:tcBorders>
              <w:tl2br w:val="nil"/>
              <w:tr2bl w:val="nil"/>
            </w:tcBorders>
            <w:vAlign w:val="center"/>
          </w:tcPr>
          <w:p w14:paraId="097F6E0E">
            <w:pPr>
              <w:pStyle w:val="41"/>
              <w:rPr>
                <w:color w:val="auto"/>
                <w:highlight w:val="none"/>
              </w:rPr>
            </w:pPr>
            <w:r>
              <w:rPr>
                <w:color w:val="auto"/>
                <w:highlight w:val="none"/>
              </w:rPr>
              <w:t>正常排放短期浓度贡献值</w:t>
            </w:r>
          </w:p>
        </w:tc>
        <w:tc>
          <w:tcPr>
            <w:tcW w:w="2054" w:type="pct"/>
            <w:gridSpan w:val="9"/>
            <w:tcBorders>
              <w:tl2br w:val="nil"/>
              <w:tr2bl w:val="nil"/>
            </w:tcBorders>
            <w:vAlign w:val="center"/>
          </w:tcPr>
          <w:p w14:paraId="3613D191">
            <w:pPr>
              <w:pStyle w:val="41"/>
              <w:rPr>
                <w:color w:val="auto"/>
                <w:highlight w:val="none"/>
              </w:rPr>
            </w:pPr>
            <w:r>
              <w:rPr>
                <w:color w:val="auto"/>
                <w:highlight w:val="none"/>
              </w:rPr>
              <w:t>C本项目最大占标率≤100%</w:t>
            </w:r>
            <w:r>
              <w:rPr>
                <w:color w:val="auto"/>
                <w:highlight w:val="none"/>
              </w:rPr>
              <w:sym w:font="Wingdings 2" w:char="0052"/>
            </w:r>
          </w:p>
        </w:tc>
        <w:tc>
          <w:tcPr>
            <w:tcW w:w="1666" w:type="pct"/>
            <w:gridSpan w:val="11"/>
            <w:tcBorders>
              <w:tl2br w:val="nil"/>
              <w:tr2bl w:val="nil"/>
            </w:tcBorders>
            <w:vAlign w:val="center"/>
          </w:tcPr>
          <w:p w14:paraId="6F333156">
            <w:pPr>
              <w:pStyle w:val="41"/>
              <w:rPr>
                <w:color w:val="auto"/>
                <w:highlight w:val="none"/>
              </w:rPr>
            </w:pPr>
            <w:r>
              <w:rPr>
                <w:color w:val="auto"/>
                <w:highlight w:val="none"/>
              </w:rPr>
              <w:t>C本项目最大占标率＞100%</w:t>
            </w:r>
            <w:r>
              <w:rPr>
                <w:color w:val="auto"/>
                <w:highlight w:val="none"/>
              </w:rPr>
              <w:sym w:font="Wingdings 2" w:char="00A3"/>
            </w:r>
          </w:p>
        </w:tc>
      </w:tr>
      <w:tr w14:paraId="529ED6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continue"/>
            <w:tcBorders>
              <w:tl2br w:val="nil"/>
              <w:tr2bl w:val="nil"/>
            </w:tcBorders>
            <w:vAlign w:val="center"/>
          </w:tcPr>
          <w:p w14:paraId="77CBFD2F">
            <w:pPr>
              <w:pStyle w:val="41"/>
              <w:rPr>
                <w:color w:val="auto"/>
                <w:highlight w:val="none"/>
              </w:rPr>
            </w:pPr>
          </w:p>
        </w:tc>
        <w:tc>
          <w:tcPr>
            <w:tcW w:w="930" w:type="pct"/>
            <w:vMerge w:val="restart"/>
            <w:tcBorders>
              <w:tl2br w:val="nil"/>
              <w:tr2bl w:val="nil"/>
            </w:tcBorders>
            <w:vAlign w:val="center"/>
          </w:tcPr>
          <w:p w14:paraId="5562933D">
            <w:pPr>
              <w:pStyle w:val="41"/>
              <w:rPr>
                <w:color w:val="auto"/>
                <w:highlight w:val="none"/>
              </w:rPr>
            </w:pPr>
            <w:r>
              <w:rPr>
                <w:color w:val="auto"/>
                <w:highlight w:val="none"/>
              </w:rPr>
              <w:t>正常排放年均浓度贡献值</w:t>
            </w:r>
          </w:p>
        </w:tc>
        <w:tc>
          <w:tcPr>
            <w:tcW w:w="425" w:type="pct"/>
            <w:tcBorders>
              <w:tl2br w:val="nil"/>
              <w:tr2bl w:val="nil"/>
            </w:tcBorders>
            <w:vAlign w:val="center"/>
          </w:tcPr>
          <w:p w14:paraId="79B3D9DC">
            <w:pPr>
              <w:pStyle w:val="41"/>
              <w:rPr>
                <w:color w:val="auto"/>
                <w:highlight w:val="none"/>
              </w:rPr>
            </w:pPr>
            <w:r>
              <w:rPr>
                <w:color w:val="auto"/>
                <w:highlight w:val="none"/>
              </w:rPr>
              <w:t>一类区</w:t>
            </w:r>
          </w:p>
        </w:tc>
        <w:tc>
          <w:tcPr>
            <w:tcW w:w="1795" w:type="pct"/>
            <w:gridSpan w:val="11"/>
            <w:tcBorders>
              <w:tl2br w:val="nil"/>
              <w:tr2bl w:val="nil"/>
            </w:tcBorders>
            <w:vAlign w:val="center"/>
          </w:tcPr>
          <w:p w14:paraId="51CBB6C2">
            <w:pPr>
              <w:pStyle w:val="41"/>
              <w:rPr>
                <w:color w:val="auto"/>
                <w:highlight w:val="none"/>
              </w:rPr>
            </w:pPr>
            <w:r>
              <w:rPr>
                <w:color w:val="auto"/>
                <w:highlight w:val="none"/>
              </w:rPr>
              <w:t>C本项目最大占标率≤10%</w:t>
            </w:r>
            <w:r>
              <w:rPr>
                <w:color w:val="auto"/>
                <w:highlight w:val="none"/>
              </w:rPr>
              <w:sym w:font="Wingdings 2" w:char="00A3"/>
            </w:r>
          </w:p>
        </w:tc>
        <w:tc>
          <w:tcPr>
            <w:tcW w:w="1498" w:type="pct"/>
            <w:gridSpan w:val="8"/>
            <w:tcBorders>
              <w:tl2br w:val="nil"/>
              <w:tr2bl w:val="nil"/>
            </w:tcBorders>
            <w:vAlign w:val="center"/>
          </w:tcPr>
          <w:p w14:paraId="6141EEEB">
            <w:pPr>
              <w:pStyle w:val="41"/>
              <w:rPr>
                <w:color w:val="auto"/>
                <w:highlight w:val="none"/>
              </w:rPr>
            </w:pPr>
            <w:r>
              <w:rPr>
                <w:color w:val="auto"/>
                <w:highlight w:val="none"/>
              </w:rPr>
              <w:t>C本项目最大占标率＞10%</w:t>
            </w:r>
            <w:r>
              <w:rPr>
                <w:color w:val="auto"/>
                <w:highlight w:val="none"/>
              </w:rPr>
              <w:sym w:font="Wingdings 2" w:char="00A3"/>
            </w:r>
          </w:p>
        </w:tc>
      </w:tr>
      <w:tr w14:paraId="3D82F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continue"/>
            <w:tcBorders>
              <w:tl2br w:val="nil"/>
              <w:tr2bl w:val="nil"/>
            </w:tcBorders>
            <w:vAlign w:val="center"/>
          </w:tcPr>
          <w:p w14:paraId="7E5FFD9E">
            <w:pPr>
              <w:pStyle w:val="41"/>
              <w:rPr>
                <w:color w:val="auto"/>
                <w:highlight w:val="none"/>
              </w:rPr>
            </w:pPr>
          </w:p>
        </w:tc>
        <w:tc>
          <w:tcPr>
            <w:tcW w:w="930" w:type="pct"/>
            <w:vMerge w:val="continue"/>
            <w:tcBorders>
              <w:tl2br w:val="nil"/>
              <w:tr2bl w:val="nil"/>
            </w:tcBorders>
            <w:vAlign w:val="center"/>
          </w:tcPr>
          <w:p w14:paraId="1D2CC07C">
            <w:pPr>
              <w:pStyle w:val="41"/>
              <w:rPr>
                <w:color w:val="auto"/>
                <w:highlight w:val="none"/>
              </w:rPr>
            </w:pPr>
          </w:p>
        </w:tc>
        <w:tc>
          <w:tcPr>
            <w:tcW w:w="425" w:type="pct"/>
            <w:tcBorders>
              <w:tl2br w:val="nil"/>
              <w:tr2bl w:val="nil"/>
            </w:tcBorders>
            <w:vAlign w:val="center"/>
          </w:tcPr>
          <w:p w14:paraId="7EDF278D">
            <w:pPr>
              <w:pStyle w:val="41"/>
              <w:rPr>
                <w:color w:val="auto"/>
                <w:highlight w:val="none"/>
              </w:rPr>
            </w:pPr>
            <w:r>
              <w:rPr>
                <w:color w:val="auto"/>
                <w:highlight w:val="none"/>
              </w:rPr>
              <w:t>二类区</w:t>
            </w:r>
          </w:p>
        </w:tc>
        <w:tc>
          <w:tcPr>
            <w:tcW w:w="1795" w:type="pct"/>
            <w:gridSpan w:val="11"/>
            <w:tcBorders>
              <w:tl2br w:val="nil"/>
              <w:tr2bl w:val="nil"/>
            </w:tcBorders>
            <w:vAlign w:val="center"/>
          </w:tcPr>
          <w:p w14:paraId="3B613942">
            <w:pPr>
              <w:pStyle w:val="41"/>
              <w:rPr>
                <w:color w:val="auto"/>
                <w:highlight w:val="none"/>
              </w:rPr>
            </w:pPr>
            <w:r>
              <w:rPr>
                <w:color w:val="auto"/>
                <w:highlight w:val="none"/>
              </w:rPr>
              <w:t>C本项目最大占标率≤30%</w:t>
            </w:r>
            <w:r>
              <w:rPr>
                <w:color w:val="auto"/>
                <w:highlight w:val="none"/>
              </w:rPr>
              <w:sym w:font="Wingdings 2" w:char="0052"/>
            </w:r>
          </w:p>
        </w:tc>
        <w:tc>
          <w:tcPr>
            <w:tcW w:w="1498" w:type="pct"/>
            <w:gridSpan w:val="8"/>
            <w:tcBorders>
              <w:tl2br w:val="nil"/>
              <w:tr2bl w:val="nil"/>
            </w:tcBorders>
            <w:vAlign w:val="center"/>
          </w:tcPr>
          <w:p w14:paraId="1B9A932C">
            <w:pPr>
              <w:pStyle w:val="41"/>
              <w:rPr>
                <w:color w:val="auto"/>
                <w:highlight w:val="none"/>
              </w:rPr>
            </w:pPr>
            <w:r>
              <w:rPr>
                <w:color w:val="auto"/>
                <w:highlight w:val="none"/>
              </w:rPr>
              <w:t>C本项目最大占标率＞30%</w:t>
            </w:r>
            <w:r>
              <w:rPr>
                <w:color w:val="auto"/>
                <w:highlight w:val="none"/>
              </w:rPr>
              <w:sym w:font="Wingdings 2" w:char="00A3"/>
            </w:r>
          </w:p>
        </w:tc>
      </w:tr>
      <w:tr w14:paraId="5FB173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continue"/>
            <w:tcBorders>
              <w:tl2br w:val="nil"/>
              <w:tr2bl w:val="nil"/>
            </w:tcBorders>
            <w:vAlign w:val="center"/>
          </w:tcPr>
          <w:p w14:paraId="24455521">
            <w:pPr>
              <w:pStyle w:val="41"/>
              <w:rPr>
                <w:color w:val="auto"/>
                <w:highlight w:val="none"/>
              </w:rPr>
            </w:pPr>
          </w:p>
        </w:tc>
        <w:tc>
          <w:tcPr>
            <w:tcW w:w="930" w:type="pct"/>
            <w:tcBorders>
              <w:tl2br w:val="nil"/>
              <w:tr2bl w:val="nil"/>
            </w:tcBorders>
            <w:vAlign w:val="center"/>
          </w:tcPr>
          <w:p w14:paraId="095AEC1A">
            <w:pPr>
              <w:pStyle w:val="41"/>
              <w:rPr>
                <w:color w:val="auto"/>
                <w:highlight w:val="none"/>
              </w:rPr>
            </w:pPr>
            <w:r>
              <w:rPr>
                <w:color w:val="auto"/>
                <w:highlight w:val="none"/>
              </w:rPr>
              <w:t>非正常排放1h浓度贡献值</w:t>
            </w:r>
          </w:p>
        </w:tc>
        <w:tc>
          <w:tcPr>
            <w:tcW w:w="1033" w:type="pct"/>
            <w:gridSpan w:val="3"/>
            <w:tcBorders>
              <w:tl2br w:val="nil"/>
              <w:tr2bl w:val="nil"/>
            </w:tcBorders>
            <w:vAlign w:val="center"/>
          </w:tcPr>
          <w:p w14:paraId="1DA1A238">
            <w:pPr>
              <w:pStyle w:val="41"/>
              <w:rPr>
                <w:color w:val="auto"/>
                <w:highlight w:val="none"/>
              </w:rPr>
            </w:pPr>
            <w:r>
              <w:rPr>
                <w:color w:val="auto"/>
                <w:highlight w:val="none"/>
              </w:rPr>
              <w:t>非正常持续时长（1）h</w:t>
            </w:r>
          </w:p>
        </w:tc>
        <w:tc>
          <w:tcPr>
            <w:tcW w:w="1188" w:type="pct"/>
            <w:gridSpan w:val="9"/>
            <w:tcBorders>
              <w:tl2br w:val="nil"/>
              <w:tr2bl w:val="nil"/>
            </w:tcBorders>
            <w:vAlign w:val="center"/>
          </w:tcPr>
          <w:p w14:paraId="13448F4D">
            <w:pPr>
              <w:pStyle w:val="41"/>
              <w:rPr>
                <w:color w:val="auto"/>
                <w:highlight w:val="none"/>
              </w:rPr>
            </w:pPr>
            <w:r>
              <w:rPr>
                <w:color w:val="auto"/>
                <w:highlight w:val="none"/>
              </w:rPr>
              <w:t>C非正常最大占标率≤100%</w:t>
            </w:r>
            <w:r>
              <w:rPr>
                <w:color w:val="auto"/>
                <w:highlight w:val="none"/>
              </w:rPr>
              <w:sym w:font="Wingdings 2" w:char="00A3"/>
            </w:r>
          </w:p>
        </w:tc>
        <w:tc>
          <w:tcPr>
            <w:tcW w:w="1498" w:type="pct"/>
            <w:gridSpan w:val="8"/>
            <w:tcBorders>
              <w:tl2br w:val="nil"/>
              <w:tr2bl w:val="nil"/>
            </w:tcBorders>
            <w:vAlign w:val="center"/>
          </w:tcPr>
          <w:p w14:paraId="2D15BC8C">
            <w:pPr>
              <w:pStyle w:val="41"/>
              <w:rPr>
                <w:color w:val="auto"/>
                <w:highlight w:val="none"/>
              </w:rPr>
            </w:pPr>
            <w:r>
              <w:rPr>
                <w:color w:val="auto"/>
                <w:highlight w:val="none"/>
              </w:rPr>
              <w:t>C非正常最大占标率＞100%</w:t>
            </w:r>
            <w:r>
              <w:rPr>
                <w:color w:val="auto"/>
                <w:highlight w:val="none"/>
              </w:rPr>
              <w:sym w:font="Wingdings 2" w:char="0052"/>
            </w:r>
          </w:p>
        </w:tc>
      </w:tr>
      <w:tr w14:paraId="51C02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continue"/>
            <w:tcBorders>
              <w:tl2br w:val="nil"/>
              <w:tr2bl w:val="nil"/>
            </w:tcBorders>
            <w:vAlign w:val="center"/>
          </w:tcPr>
          <w:p w14:paraId="58FE038E">
            <w:pPr>
              <w:pStyle w:val="41"/>
              <w:rPr>
                <w:color w:val="auto"/>
                <w:highlight w:val="none"/>
              </w:rPr>
            </w:pPr>
          </w:p>
        </w:tc>
        <w:tc>
          <w:tcPr>
            <w:tcW w:w="930" w:type="pct"/>
            <w:tcBorders>
              <w:tl2br w:val="nil"/>
              <w:tr2bl w:val="nil"/>
            </w:tcBorders>
            <w:vAlign w:val="center"/>
          </w:tcPr>
          <w:p w14:paraId="4A0E1769">
            <w:pPr>
              <w:pStyle w:val="41"/>
              <w:rPr>
                <w:color w:val="auto"/>
                <w:highlight w:val="none"/>
              </w:rPr>
            </w:pPr>
            <w:r>
              <w:rPr>
                <w:color w:val="auto"/>
                <w:highlight w:val="none"/>
              </w:rPr>
              <w:t>保证率日平均浓度和年平均浓度叠加值</w:t>
            </w:r>
          </w:p>
        </w:tc>
        <w:tc>
          <w:tcPr>
            <w:tcW w:w="2221" w:type="pct"/>
            <w:gridSpan w:val="12"/>
            <w:tcBorders>
              <w:tl2br w:val="nil"/>
              <w:tr2bl w:val="nil"/>
            </w:tcBorders>
            <w:vAlign w:val="center"/>
          </w:tcPr>
          <w:p w14:paraId="64406C8E">
            <w:pPr>
              <w:pStyle w:val="41"/>
              <w:rPr>
                <w:color w:val="auto"/>
                <w:highlight w:val="none"/>
              </w:rPr>
            </w:pPr>
            <w:r>
              <w:rPr>
                <w:color w:val="auto"/>
                <w:highlight w:val="none"/>
              </w:rPr>
              <w:t>C叠加达标</w:t>
            </w:r>
            <w:r>
              <w:rPr>
                <w:color w:val="auto"/>
                <w:highlight w:val="none"/>
              </w:rPr>
              <w:sym w:font="Wingdings 2" w:char="00A3"/>
            </w:r>
          </w:p>
        </w:tc>
        <w:tc>
          <w:tcPr>
            <w:tcW w:w="1498" w:type="pct"/>
            <w:gridSpan w:val="8"/>
            <w:tcBorders>
              <w:tl2br w:val="nil"/>
              <w:tr2bl w:val="nil"/>
            </w:tcBorders>
            <w:vAlign w:val="center"/>
          </w:tcPr>
          <w:p w14:paraId="7F52E298">
            <w:pPr>
              <w:pStyle w:val="41"/>
              <w:rPr>
                <w:color w:val="auto"/>
                <w:highlight w:val="none"/>
              </w:rPr>
            </w:pPr>
            <w:r>
              <w:rPr>
                <w:color w:val="auto"/>
                <w:highlight w:val="none"/>
              </w:rPr>
              <w:t>C叠加不达标</w:t>
            </w:r>
            <w:r>
              <w:rPr>
                <w:color w:val="auto"/>
                <w:highlight w:val="none"/>
              </w:rPr>
              <w:sym w:font="Wingdings 2" w:char="00A3"/>
            </w:r>
          </w:p>
        </w:tc>
      </w:tr>
      <w:tr w14:paraId="681C17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continue"/>
            <w:tcBorders>
              <w:tl2br w:val="nil"/>
              <w:tr2bl w:val="nil"/>
            </w:tcBorders>
            <w:vAlign w:val="center"/>
          </w:tcPr>
          <w:p w14:paraId="596858DD">
            <w:pPr>
              <w:pStyle w:val="41"/>
              <w:rPr>
                <w:color w:val="auto"/>
                <w:highlight w:val="none"/>
              </w:rPr>
            </w:pPr>
          </w:p>
        </w:tc>
        <w:tc>
          <w:tcPr>
            <w:tcW w:w="930" w:type="pct"/>
            <w:tcBorders>
              <w:tl2br w:val="nil"/>
              <w:tr2bl w:val="nil"/>
            </w:tcBorders>
            <w:vAlign w:val="center"/>
          </w:tcPr>
          <w:p w14:paraId="23B1CA05">
            <w:pPr>
              <w:pStyle w:val="41"/>
              <w:rPr>
                <w:color w:val="auto"/>
                <w:highlight w:val="none"/>
              </w:rPr>
            </w:pPr>
            <w:r>
              <w:rPr>
                <w:color w:val="auto"/>
                <w:highlight w:val="none"/>
              </w:rPr>
              <w:t>区域环境质量的整体变化情况</w:t>
            </w:r>
          </w:p>
        </w:tc>
        <w:tc>
          <w:tcPr>
            <w:tcW w:w="2221" w:type="pct"/>
            <w:gridSpan w:val="12"/>
            <w:tcBorders>
              <w:tl2br w:val="nil"/>
              <w:tr2bl w:val="nil"/>
            </w:tcBorders>
            <w:vAlign w:val="center"/>
          </w:tcPr>
          <w:p w14:paraId="0D6EC19E">
            <w:pPr>
              <w:pStyle w:val="41"/>
              <w:rPr>
                <w:color w:val="auto"/>
                <w:highlight w:val="none"/>
              </w:rPr>
            </w:pPr>
            <w:r>
              <w:rPr>
                <w:color w:val="auto"/>
                <w:highlight w:val="none"/>
              </w:rPr>
              <w:t>k≤-20%</w:t>
            </w:r>
            <w:r>
              <w:rPr>
                <w:color w:val="auto"/>
                <w:highlight w:val="none"/>
              </w:rPr>
              <w:sym w:font="Wingdings 2" w:char="00A3"/>
            </w:r>
          </w:p>
        </w:tc>
        <w:tc>
          <w:tcPr>
            <w:tcW w:w="1498" w:type="pct"/>
            <w:gridSpan w:val="8"/>
            <w:tcBorders>
              <w:tl2br w:val="nil"/>
              <w:tr2bl w:val="nil"/>
            </w:tcBorders>
            <w:vAlign w:val="center"/>
          </w:tcPr>
          <w:p w14:paraId="361190D5">
            <w:pPr>
              <w:pStyle w:val="41"/>
              <w:rPr>
                <w:color w:val="auto"/>
                <w:highlight w:val="none"/>
              </w:rPr>
            </w:pPr>
            <w:r>
              <w:rPr>
                <w:color w:val="auto"/>
                <w:highlight w:val="none"/>
              </w:rPr>
              <w:t>k＞20%</w:t>
            </w:r>
            <w:r>
              <w:rPr>
                <w:color w:val="auto"/>
                <w:highlight w:val="none"/>
              </w:rPr>
              <w:sym w:font="Wingdings 2" w:char="00A3"/>
            </w:r>
          </w:p>
        </w:tc>
      </w:tr>
      <w:tr w14:paraId="1C29F5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restart"/>
            <w:tcBorders>
              <w:tl2br w:val="nil"/>
              <w:tr2bl w:val="nil"/>
            </w:tcBorders>
            <w:vAlign w:val="center"/>
          </w:tcPr>
          <w:p w14:paraId="37A43B77">
            <w:pPr>
              <w:pStyle w:val="41"/>
              <w:rPr>
                <w:color w:val="auto"/>
                <w:highlight w:val="none"/>
              </w:rPr>
            </w:pPr>
            <w:r>
              <w:rPr>
                <w:color w:val="auto"/>
                <w:highlight w:val="none"/>
              </w:rPr>
              <w:t>环境监测计划</w:t>
            </w:r>
          </w:p>
        </w:tc>
        <w:tc>
          <w:tcPr>
            <w:tcW w:w="930" w:type="pct"/>
            <w:tcBorders>
              <w:tl2br w:val="nil"/>
              <w:tr2bl w:val="nil"/>
            </w:tcBorders>
            <w:vAlign w:val="center"/>
          </w:tcPr>
          <w:p w14:paraId="58FB28E1">
            <w:pPr>
              <w:pStyle w:val="41"/>
              <w:rPr>
                <w:color w:val="auto"/>
                <w:highlight w:val="none"/>
              </w:rPr>
            </w:pPr>
            <w:r>
              <w:rPr>
                <w:color w:val="auto"/>
                <w:highlight w:val="none"/>
              </w:rPr>
              <w:t>污染源监测</w:t>
            </w:r>
          </w:p>
        </w:tc>
        <w:tc>
          <w:tcPr>
            <w:tcW w:w="2221" w:type="pct"/>
            <w:gridSpan w:val="12"/>
            <w:tcBorders>
              <w:tl2br w:val="nil"/>
              <w:tr2bl w:val="nil"/>
            </w:tcBorders>
            <w:vAlign w:val="center"/>
          </w:tcPr>
          <w:p w14:paraId="1CD7D479">
            <w:pPr>
              <w:pStyle w:val="41"/>
              <w:rPr>
                <w:color w:val="auto"/>
                <w:highlight w:val="none"/>
              </w:rPr>
            </w:pPr>
            <w:r>
              <w:rPr>
                <w:color w:val="auto"/>
                <w:highlight w:val="none"/>
              </w:rPr>
              <w:t>监测因子（SO</w:t>
            </w:r>
            <w:r>
              <w:rPr>
                <w:color w:val="auto"/>
                <w:highlight w:val="none"/>
                <w:vertAlign w:val="subscript"/>
              </w:rPr>
              <w:t>2</w:t>
            </w:r>
            <w:r>
              <w:rPr>
                <w:color w:val="auto"/>
                <w:highlight w:val="none"/>
              </w:rPr>
              <w:t>、NO</w:t>
            </w:r>
            <w:r>
              <w:rPr>
                <w:color w:val="auto"/>
                <w:highlight w:val="none"/>
                <w:vertAlign w:val="subscript"/>
              </w:rPr>
              <w:t>X</w:t>
            </w:r>
            <w:r>
              <w:rPr>
                <w:color w:val="auto"/>
                <w:highlight w:val="none"/>
              </w:rPr>
              <w:t>、颗粒物）</w:t>
            </w:r>
          </w:p>
        </w:tc>
        <w:tc>
          <w:tcPr>
            <w:tcW w:w="1072" w:type="pct"/>
            <w:gridSpan w:val="6"/>
            <w:tcBorders>
              <w:tl2br w:val="nil"/>
              <w:tr2bl w:val="nil"/>
            </w:tcBorders>
            <w:vAlign w:val="center"/>
          </w:tcPr>
          <w:p w14:paraId="5F048F4D">
            <w:pPr>
              <w:pStyle w:val="41"/>
              <w:rPr>
                <w:color w:val="auto"/>
                <w:highlight w:val="none"/>
              </w:rPr>
            </w:pPr>
            <w:r>
              <w:rPr>
                <w:color w:val="auto"/>
                <w:highlight w:val="none"/>
              </w:rPr>
              <w:t>有组织废气监测</w:t>
            </w:r>
            <w:r>
              <w:rPr>
                <w:color w:val="auto"/>
                <w:highlight w:val="none"/>
              </w:rPr>
              <w:sym w:font="Wingdings 2" w:char="0052"/>
            </w:r>
          </w:p>
          <w:p w14:paraId="0C2C7650">
            <w:pPr>
              <w:pStyle w:val="41"/>
              <w:rPr>
                <w:color w:val="auto"/>
                <w:highlight w:val="none"/>
              </w:rPr>
            </w:pPr>
            <w:r>
              <w:rPr>
                <w:color w:val="auto"/>
                <w:highlight w:val="none"/>
              </w:rPr>
              <w:t>无组织废气监测</w:t>
            </w:r>
            <w:r>
              <w:rPr>
                <w:color w:val="auto"/>
                <w:highlight w:val="none"/>
              </w:rPr>
              <w:sym w:font="Wingdings 2" w:char="0052"/>
            </w:r>
          </w:p>
        </w:tc>
        <w:tc>
          <w:tcPr>
            <w:tcW w:w="426" w:type="pct"/>
            <w:gridSpan w:val="2"/>
            <w:tcBorders>
              <w:tl2br w:val="nil"/>
              <w:tr2bl w:val="nil"/>
            </w:tcBorders>
            <w:vAlign w:val="center"/>
          </w:tcPr>
          <w:p w14:paraId="01C5A628">
            <w:pPr>
              <w:pStyle w:val="41"/>
              <w:rPr>
                <w:color w:val="auto"/>
                <w:highlight w:val="none"/>
              </w:rPr>
            </w:pPr>
            <w:r>
              <w:rPr>
                <w:color w:val="auto"/>
                <w:highlight w:val="none"/>
              </w:rPr>
              <w:t>无监测</w:t>
            </w:r>
            <w:r>
              <w:rPr>
                <w:color w:val="auto"/>
                <w:highlight w:val="none"/>
              </w:rPr>
              <w:sym w:font="Wingdings 2" w:char="00A3"/>
            </w:r>
          </w:p>
        </w:tc>
      </w:tr>
      <w:tr w14:paraId="775455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continue"/>
            <w:tcBorders>
              <w:tl2br w:val="nil"/>
              <w:tr2bl w:val="nil"/>
            </w:tcBorders>
            <w:vAlign w:val="center"/>
          </w:tcPr>
          <w:p w14:paraId="43A14F6F">
            <w:pPr>
              <w:pStyle w:val="41"/>
              <w:rPr>
                <w:color w:val="auto"/>
                <w:highlight w:val="none"/>
              </w:rPr>
            </w:pPr>
          </w:p>
        </w:tc>
        <w:tc>
          <w:tcPr>
            <w:tcW w:w="930" w:type="pct"/>
            <w:tcBorders>
              <w:tl2br w:val="nil"/>
              <w:tr2bl w:val="nil"/>
            </w:tcBorders>
            <w:vAlign w:val="center"/>
          </w:tcPr>
          <w:p w14:paraId="1AB7DE8A">
            <w:pPr>
              <w:pStyle w:val="41"/>
              <w:rPr>
                <w:color w:val="auto"/>
                <w:highlight w:val="none"/>
              </w:rPr>
            </w:pPr>
            <w:r>
              <w:rPr>
                <w:color w:val="auto"/>
                <w:highlight w:val="none"/>
              </w:rPr>
              <w:t>环境质量监测</w:t>
            </w:r>
          </w:p>
        </w:tc>
        <w:tc>
          <w:tcPr>
            <w:tcW w:w="2221" w:type="pct"/>
            <w:gridSpan w:val="12"/>
            <w:tcBorders>
              <w:tl2br w:val="nil"/>
              <w:tr2bl w:val="nil"/>
            </w:tcBorders>
            <w:vAlign w:val="center"/>
          </w:tcPr>
          <w:p w14:paraId="2F3CA720">
            <w:pPr>
              <w:pStyle w:val="41"/>
              <w:rPr>
                <w:color w:val="auto"/>
                <w:highlight w:val="none"/>
              </w:rPr>
            </w:pPr>
            <w:r>
              <w:rPr>
                <w:color w:val="auto"/>
                <w:highlight w:val="none"/>
              </w:rPr>
              <w:t>监测因子（TSP）</w:t>
            </w:r>
          </w:p>
        </w:tc>
        <w:tc>
          <w:tcPr>
            <w:tcW w:w="1072" w:type="pct"/>
            <w:gridSpan w:val="6"/>
            <w:tcBorders>
              <w:tl2br w:val="nil"/>
              <w:tr2bl w:val="nil"/>
            </w:tcBorders>
            <w:vAlign w:val="center"/>
          </w:tcPr>
          <w:p w14:paraId="4F9CACB6">
            <w:pPr>
              <w:pStyle w:val="41"/>
              <w:rPr>
                <w:color w:val="auto"/>
                <w:highlight w:val="none"/>
              </w:rPr>
            </w:pPr>
            <w:r>
              <w:rPr>
                <w:color w:val="auto"/>
                <w:highlight w:val="none"/>
              </w:rPr>
              <w:t>监测点位数（2个）</w:t>
            </w:r>
          </w:p>
        </w:tc>
        <w:tc>
          <w:tcPr>
            <w:tcW w:w="426" w:type="pct"/>
            <w:gridSpan w:val="2"/>
            <w:tcBorders>
              <w:tl2br w:val="nil"/>
              <w:tr2bl w:val="nil"/>
            </w:tcBorders>
            <w:vAlign w:val="center"/>
          </w:tcPr>
          <w:p w14:paraId="21C93297">
            <w:pPr>
              <w:pStyle w:val="41"/>
              <w:rPr>
                <w:color w:val="auto"/>
                <w:highlight w:val="none"/>
              </w:rPr>
            </w:pPr>
            <w:r>
              <w:rPr>
                <w:color w:val="auto"/>
                <w:highlight w:val="none"/>
              </w:rPr>
              <w:t>无监测</w:t>
            </w:r>
            <w:r>
              <w:rPr>
                <w:color w:val="auto"/>
                <w:highlight w:val="none"/>
              </w:rPr>
              <w:sym w:font="Wingdings 2" w:char="00A3"/>
            </w:r>
          </w:p>
        </w:tc>
      </w:tr>
      <w:tr w14:paraId="7FE7EE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restart"/>
            <w:tcBorders>
              <w:tl2br w:val="nil"/>
              <w:tr2bl w:val="nil"/>
            </w:tcBorders>
            <w:vAlign w:val="center"/>
          </w:tcPr>
          <w:p w14:paraId="43EF6BB6">
            <w:pPr>
              <w:pStyle w:val="41"/>
              <w:rPr>
                <w:color w:val="auto"/>
                <w:highlight w:val="none"/>
              </w:rPr>
            </w:pPr>
            <w:r>
              <w:rPr>
                <w:color w:val="auto"/>
                <w:highlight w:val="none"/>
              </w:rPr>
              <w:t>评价结论</w:t>
            </w:r>
          </w:p>
        </w:tc>
        <w:tc>
          <w:tcPr>
            <w:tcW w:w="930" w:type="pct"/>
            <w:tcBorders>
              <w:tl2br w:val="nil"/>
              <w:tr2bl w:val="nil"/>
            </w:tcBorders>
            <w:vAlign w:val="center"/>
          </w:tcPr>
          <w:p w14:paraId="49F99A84">
            <w:pPr>
              <w:pStyle w:val="41"/>
              <w:rPr>
                <w:color w:val="auto"/>
                <w:highlight w:val="none"/>
              </w:rPr>
            </w:pPr>
            <w:r>
              <w:rPr>
                <w:color w:val="auto"/>
                <w:highlight w:val="none"/>
              </w:rPr>
              <w:t>环境影响</w:t>
            </w:r>
          </w:p>
        </w:tc>
        <w:tc>
          <w:tcPr>
            <w:tcW w:w="3720" w:type="pct"/>
            <w:gridSpan w:val="20"/>
            <w:tcBorders>
              <w:tl2br w:val="nil"/>
              <w:tr2bl w:val="nil"/>
            </w:tcBorders>
            <w:vAlign w:val="center"/>
          </w:tcPr>
          <w:p w14:paraId="7ADED2F0">
            <w:pPr>
              <w:pStyle w:val="41"/>
              <w:rPr>
                <w:color w:val="auto"/>
                <w:highlight w:val="none"/>
              </w:rPr>
            </w:pPr>
            <w:r>
              <w:rPr>
                <w:color w:val="auto"/>
                <w:highlight w:val="none"/>
              </w:rPr>
              <w:t>可以接受</w:t>
            </w:r>
            <w:r>
              <w:rPr>
                <w:color w:val="auto"/>
                <w:highlight w:val="none"/>
              </w:rPr>
              <w:sym w:font="Wingdings 2" w:char="0052"/>
            </w:r>
            <w:r>
              <w:rPr>
                <w:color w:val="auto"/>
                <w:highlight w:val="none"/>
              </w:rPr>
              <w:t xml:space="preserve">         不可以接受</w:t>
            </w:r>
            <w:r>
              <w:rPr>
                <w:color w:val="auto"/>
                <w:highlight w:val="none"/>
              </w:rPr>
              <w:sym w:font="Wingdings 2" w:char="00A3"/>
            </w:r>
          </w:p>
        </w:tc>
      </w:tr>
      <w:tr w14:paraId="271743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continue"/>
            <w:tcBorders>
              <w:tl2br w:val="nil"/>
              <w:tr2bl w:val="nil"/>
            </w:tcBorders>
            <w:vAlign w:val="center"/>
          </w:tcPr>
          <w:p w14:paraId="21897FC7">
            <w:pPr>
              <w:pStyle w:val="41"/>
              <w:rPr>
                <w:color w:val="auto"/>
                <w:highlight w:val="none"/>
              </w:rPr>
            </w:pPr>
          </w:p>
        </w:tc>
        <w:tc>
          <w:tcPr>
            <w:tcW w:w="930" w:type="pct"/>
            <w:tcBorders>
              <w:tl2br w:val="nil"/>
              <w:tr2bl w:val="nil"/>
            </w:tcBorders>
            <w:vAlign w:val="center"/>
          </w:tcPr>
          <w:p w14:paraId="565848B3">
            <w:pPr>
              <w:pStyle w:val="41"/>
              <w:rPr>
                <w:color w:val="auto"/>
                <w:highlight w:val="none"/>
              </w:rPr>
            </w:pPr>
            <w:r>
              <w:rPr>
                <w:color w:val="auto"/>
                <w:highlight w:val="none"/>
              </w:rPr>
              <w:t>大气环境防护距离</w:t>
            </w:r>
          </w:p>
        </w:tc>
        <w:tc>
          <w:tcPr>
            <w:tcW w:w="3720" w:type="pct"/>
            <w:gridSpan w:val="20"/>
            <w:tcBorders>
              <w:tl2br w:val="nil"/>
              <w:tr2bl w:val="nil"/>
            </w:tcBorders>
            <w:vAlign w:val="center"/>
          </w:tcPr>
          <w:p w14:paraId="626C9575">
            <w:pPr>
              <w:pStyle w:val="41"/>
              <w:rPr>
                <w:color w:val="auto"/>
                <w:highlight w:val="none"/>
              </w:rPr>
            </w:pPr>
            <w:r>
              <w:rPr>
                <w:color w:val="auto"/>
                <w:highlight w:val="none"/>
              </w:rPr>
              <w:t>距（/）厂界最远（0）m</w:t>
            </w:r>
          </w:p>
        </w:tc>
      </w:tr>
      <w:tr w14:paraId="33C787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348" w:type="pct"/>
            <w:vMerge w:val="continue"/>
            <w:tcBorders>
              <w:tl2br w:val="nil"/>
              <w:tr2bl w:val="nil"/>
            </w:tcBorders>
            <w:vAlign w:val="center"/>
          </w:tcPr>
          <w:p w14:paraId="466BD94F">
            <w:pPr>
              <w:pStyle w:val="41"/>
              <w:rPr>
                <w:color w:val="auto"/>
                <w:highlight w:val="none"/>
              </w:rPr>
            </w:pPr>
          </w:p>
        </w:tc>
        <w:tc>
          <w:tcPr>
            <w:tcW w:w="930" w:type="pct"/>
            <w:tcBorders>
              <w:tl2br w:val="nil"/>
              <w:tr2bl w:val="nil"/>
            </w:tcBorders>
            <w:vAlign w:val="center"/>
          </w:tcPr>
          <w:p w14:paraId="2004C72B">
            <w:pPr>
              <w:pStyle w:val="41"/>
              <w:rPr>
                <w:color w:val="auto"/>
                <w:highlight w:val="none"/>
              </w:rPr>
            </w:pPr>
            <w:r>
              <w:rPr>
                <w:color w:val="auto"/>
                <w:highlight w:val="none"/>
              </w:rPr>
              <w:t>污染源年排放量</w:t>
            </w:r>
          </w:p>
        </w:tc>
        <w:tc>
          <w:tcPr>
            <w:tcW w:w="1033" w:type="pct"/>
            <w:gridSpan w:val="3"/>
            <w:tcBorders>
              <w:tl2br w:val="nil"/>
              <w:tr2bl w:val="nil"/>
            </w:tcBorders>
            <w:vAlign w:val="center"/>
          </w:tcPr>
          <w:p w14:paraId="3B004CBF">
            <w:pPr>
              <w:pStyle w:val="41"/>
              <w:rPr>
                <w:color w:val="auto"/>
                <w:highlight w:val="none"/>
              </w:rPr>
            </w:pPr>
            <w:r>
              <w:rPr>
                <w:color w:val="auto"/>
                <w:highlight w:val="none"/>
              </w:rPr>
              <w:t>SO</w:t>
            </w:r>
            <w:r>
              <w:rPr>
                <w:color w:val="auto"/>
                <w:highlight w:val="none"/>
                <w:vertAlign w:val="subscript"/>
              </w:rPr>
              <w:t>2</w:t>
            </w:r>
            <w:r>
              <w:rPr>
                <w:rFonts w:hint="eastAsia"/>
                <w:color w:val="auto"/>
                <w:highlight w:val="none"/>
                <w:vertAlign w:val="subscript"/>
                <w:lang w:eastAsia="zh-CN"/>
              </w:rPr>
              <w:t>:</w:t>
            </w:r>
            <w:r>
              <w:rPr>
                <w:color w:val="auto"/>
                <w:highlight w:val="none"/>
              </w:rPr>
              <w:t>0.918t/a</w:t>
            </w:r>
          </w:p>
        </w:tc>
        <w:tc>
          <w:tcPr>
            <w:tcW w:w="1033" w:type="pct"/>
            <w:gridSpan w:val="7"/>
            <w:tcBorders>
              <w:tl2br w:val="nil"/>
              <w:tr2bl w:val="nil"/>
            </w:tcBorders>
            <w:vAlign w:val="center"/>
          </w:tcPr>
          <w:p w14:paraId="7D667163">
            <w:pPr>
              <w:pStyle w:val="41"/>
              <w:rPr>
                <w:color w:val="auto"/>
                <w:highlight w:val="none"/>
              </w:rPr>
            </w:pPr>
            <w:r>
              <w:rPr>
                <w:color w:val="auto"/>
                <w:highlight w:val="none"/>
              </w:rPr>
              <w:t>NOx</w:t>
            </w:r>
            <w:r>
              <w:rPr>
                <w:rFonts w:hint="eastAsia"/>
                <w:color w:val="auto"/>
                <w:highlight w:val="none"/>
                <w:lang w:eastAsia="zh-CN"/>
              </w:rPr>
              <w:t>:</w:t>
            </w:r>
            <w:r>
              <w:rPr>
                <w:color w:val="auto"/>
                <w:highlight w:val="none"/>
              </w:rPr>
              <w:t>2.754t/a</w:t>
            </w:r>
          </w:p>
        </w:tc>
        <w:tc>
          <w:tcPr>
            <w:tcW w:w="1654" w:type="pct"/>
            <w:gridSpan w:val="10"/>
            <w:tcBorders>
              <w:tl2br w:val="nil"/>
              <w:tr2bl w:val="nil"/>
            </w:tcBorders>
            <w:vAlign w:val="center"/>
          </w:tcPr>
          <w:p w14:paraId="36FC3267">
            <w:pPr>
              <w:pStyle w:val="41"/>
              <w:rPr>
                <w:color w:val="auto"/>
                <w:highlight w:val="none"/>
              </w:rPr>
            </w:pPr>
            <w:r>
              <w:rPr>
                <w:color w:val="auto"/>
                <w:highlight w:val="none"/>
              </w:rPr>
              <w:t>颗粒物：</w:t>
            </w:r>
            <w:r>
              <w:rPr>
                <w:rFonts w:hint="eastAsia"/>
                <w:color w:val="auto"/>
                <w:highlight w:val="none"/>
                <w:lang w:val="en-US" w:eastAsia="zh-CN"/>
              </w:rPr>
              <w:t>2.3571</w:t>
            </w:r>
            <w:r>
              <w:rPr>
                <w:color w:val="auto"/>
                <w:highlight w:val="none"/>
              </w:rPr>
              <w:t>t/a</w:t>
            </w:r>
          </w:p>
        </w:tc>
      </w:tr>
      <w:tr w14:paraId="1DA44E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3" w:hRule="atLeast"/>
          <w:jc w:val="center"/>
        </w:trPr>
        <w:tc>
          <w:tcPr>
            <w:tcW w:w="5000" w:type="pct"/>
            <w:gridSpan w:val="22"/>
            <w:tcBorders>
              <w:tl2br w:val="nil"/>
              <w:tr2bl w:val="nil"/>
            </w:tcBorders>
            <w:vAlign w:val="center"/>
          </w:tcPr>
          <w:p w14:paraId="4D0A5D0B">
            <w:pPr>
              <w:pStyle w:val="41"/>
              <w:rPr>
                <w:color w:val="auto"/>
                <w:highlight w:val="none"/>
              </w:rPr>
            </w:pPr>
            <w:r>
              <w:rPr>
                <w:color w:val="auto"/>
                <w:highlight w:val="none"/>
              </w:rPr>
              <w:t>注：“</w:t>
            </w:r>
            <w:r>
              <w:rPr>
                <w:color w:val="auto"/>
                <w:highlight w:val="none"/>
              </w:rPr>
              <w:sym w:font="Wingdings 2" w:char="00A3"/>
            </w:r>
            <w:r>
              <w:rPr>
                <w:color w:val="auto"/>
                <w:highlight w:val="none"/>
              </w:rPr>
              <w:t>”为勾选项，填“√”；“（）”为内容填写项</w:t>
            </w:r>
          </w:p>
        </w:tc>
      </w:tr>
    </w:tbl>
    <w:p w14:paraId="72DFF86F">
      <w:pPr>
        <w:pStyle w:val="39"/>
        <w:rPr>
          <w:rFonts w:hint="default"/>
          <w:color w:val="auto"/>
          <w:highlight w:val="none"/>
        </w:rPr>
      </w:pPr>
      <w:bookmarkStart w:id="373" w:name="_Toc16601"/>
      <w:bookmarkStart w:id="374" w:name="_Toc1680"/>
      <w:bookmarkStart w:id="375" w:name="_Toc398849207"/>
      <w:bookmarkStart w:id="376" w:name="_Toc312757590"/>
      <w:bookmarkStart w:id="377" w:name="_Toc403932592"/>
      <w:bookmarkStart w:id="378" w:name="_Toc457920565"/>
      <w:r>
        <w:rPr>
          <w:rFonts w:hint="default"/>
          <w:color w:val="auto"/>
          <w:highlight w:val="none"/>
        </w:rPr>
        <w:t>运营期水</w:t>
      </w:r>
      <w:r>
        <w:rPr>
          <w:rFonts w:hint="default"/>
          <w:color w:val="auto"/>
          <w:highlight w:val="none"/>
          <w:lang w:val="zh-CN"/>
        </w:rPr>
        <w:t>环境影响预测与评价</w:t>
      </w:r>
      <w:bookmarkEnd w:id="373"/>
      <w:bookmarkEnd w:id="374"/>
    </w:p>
    <w:p w14:paraId="154A9E22">
      <w:pPr>
        <w:pStyle w:val="42"/>
        <w:rPr>
          <w:rFonts w:hint="default"/>
          <w:color w:val="auto"/>
          <w:highlight w:val="none"/>
        </w:rPr>
      </w:pPr>
      <w:bookmarkStart w:id="379" w:name="_Toc273629917"/>
      <w:r>
        <w:rPr>
          <w:rFonts w:hint="default"/>
          <w:color w:val="auto"/>
          <w:highlight w:val="none"/>
        </w:rPr>
        <w:t>地表水环境影响</w:t>
      </w:r>
    </w:p>
    <w:p w14:paraId="12156E2C">
      <w:pPr>
        <w:pStyle w:val="3"/>
        <w:ind w:firstLine="480"/>
        <w:rPr>
          <w:rFonts w:hint="default" w:eastAsia="华文中宋"/>
          <w:color w:val="auto"/>
          <w:highlight w:val="none"/>
          <w:lang w:val="en-US" w:eastAsia="zh-CN"/>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lang w:val="en-US" w:eastAsia="zh-CN"/>
        </w:rPr>
        <w:t>工程排水对地表水环境的影响</w:t>
      </w:r>
    </w:p>
    <w:p w14:paraId="40E64047">
      <w:pPr>
        <w:pStyle w:val="3"/>
        <w:ind w:firstLine="480"/>
        <w:rPr>
          <w:rFonts w:hint="default" w:eastAsia="华文中宋"/>
          <w:color w:val="auto"/>
          <w:highlight w:val="none"/>
          <w:lang w:val="en-US" w:eastAsia="zh-CN"/>
        </w:rPr>
      </w:pPr>
      <w:r>
        <w:rPr>
          <w:rFonts w:hint="eastAsia"/>
          <w:color w:val="auto"/>
          <w:highlight w:val="none"/>
          <w:lang w:val="en-US" w:eastAsia="zh-CN"/>
        </w:rPr>
        <w:t>1）正常状况废水</w:t>
      </w:r>
    </w:p>
    <w:p w14:paraId="3F32D0B0">
      <w:pPr>
        <w:keepNext w:val="0"/>
        <w:keepLines w:val="0"/>
        <w:pageBreakBefore w:val="0"/>
        <w:kinsoku/>
        <w:wordWrap/>
        <w:overflowPunct w:val="0"/>
        <w:topLinePunct/>
        <w:autoSpaceDE/>
        <w:autoSpaceDN/>
        <w:bidi w:val="0"/>
        <w:adjustRightInd/>
        <w:snapToGrid/>
        <w:ind w:firstLine="480"/>
        <w:textAlignment w:val="auto"/>
        <w:rPr>
          <w:rFonts w:hint="default"/>
          <w:color w:val="auto"/>
          <w:highlight w:val="none"/>
          <w:lang w:val="en-US" w:eastAsia="zh-CN"/>
        </w:rPr>
      </w:pPr>
      <w:r>
        <w:rPr>
          <w:rFonts w:hint="eastAsia"/>
          <w:color w:val="auto"/>
          <w:highlight w:val="none"/>
          <w:lang w:val="en-US" w:eastAsia="zh-CN"/>
        </w:rPr>
        <w:t>尾矿库为干排，正常状况下无外排矿浆，尾矿汇水仅为渗滤液，设计在尾矿库下游设置事故池兼做集渗池，用于收集渗滤液，渗滤液不外排。</w:t>
      </w:r>
    </w:p>
    <w:p w14:paraId="4E34C87F">
      <w:pPr>
        <w:keepNext w:val="0"/>
        <w:keepLines w:val="0"/>
        <w:pageBreakBefore w:val="0"/>
        <w:kinsoku/>
        <w:wordWrap/>
        <w:overflowPunct w:val="0"/>
        <w:topLinePunct/>
        <w:autoSpaceDE/>
        <w:autoSpaceDN/>
        <w:bidi w:val="0"/>
        <w:adjustRightInd/>
        <w:snapToGrid/>
        <w:ind w:firstLine="480"/>
        <w:textAlignment w:val="auto"/>
        <w:rPr>
          <w:rFonts w:hint="eastAsia" w:ascii="华文中宋" w:hAnsi="华文中宋" w:eastAsia="华文中宋" w:cs="华文中宋"/>
          <w:color w:val="auto"/>
          <w:highlight w:val="none"/>
          <w:lang w:val="en-US" w:eastAsia="zh-CN"/>
        </w:rPr>
      </w:pPr>
      <w:r>
        <w:rPr>
          <w:rFonts w:hint="eastAsia"/>
          <w:color w:val="auto"/>
          <w:highlight w:val="none"/>
          <w:lang w:val="en-US" w:eastAsia="zh-CN"/>
        </w:rPr>
        <w:t>本项目运营期选矿废水产生于选矿过程，</w:t>
      </w:r>
      <w:r>
        <w:rPr>
          <w:rFonts w:hint="eastAsia" w:ascii="华文中宋" w:hAnsi="华文中宋" w:eastAsia="华文中宋" w:cs="华文中宋"/>
          <w:color w:val="auto"/>
          <w:highlight w:val="none"/>
        </w:rPr>
        <w:t>选矿</w:t>
      </w:r>
      <w:r>
        <w:rPr>
          <w:rFonts w:hint="eastAsia" w:ascii="华文中宋" w:hAnsi="华文中宋" w:cs="华文中宋"/>
          <w:color w:val="auto"/>
          <w:highlight w:val="none"/>
          <w:lang w:val="en-US" w:eastAsia="zh-CN"/>
        </w:rPr>
        <w:t>废水</w:t>
      </w:r>
      <w:r>
        <w:rPr>
          <w:rFonts w:hint="eastAsia" w:ascii="华文中宋" w:hAnsi="华文中宋" w:eastAsia="华文中宋" w:cs="华文中宋"/>
          <w:color w:val="auto"/>
          <w:kern w:val="0"/>
          <w:highlight w:val="none"/>
        </w:rPr>
        <w:t>主要污染因子为COD、SS及少量金属等</w:t>
      </w:r>
      <w:r>
        <w:rPr>
          <w:rFonts w:hint="eastAsia" w:ascii="华文中宋" w:hAnsi="华文中宋" w:eastAsia="华文中宋" w:cs="华文中宋"/>
          <w:color w:val="auto"/>
          <w:highlight w:val="none"/>
        </w:rPr>
        <w:t>。选矿废水部分被铁精粉</w:t>
      </w:r>
      <w:r>
        <w:rPr>
          <w:rFonts w:hint="eastAsia" w:ascii="华文中宋" w:hAnsi="华文中宋" w:cs="华文中宋"/>
          <w:color w:val="auto"/>
          <w:highlight w:val="none"/>
          <w:lang w:eastAsia="zh-CN"/>
        </w:rPr>
        <w:t>、</w:t>
      </w:r>
      <w:r>
        <w:rPr>
          <w:rFonts w:hint="eastAsia" w:ascii="华文中宋" w:hAnsi="华文中宋" w:cs="华文中宋"/>
          <w:color w:val="auto"/>
          <w:highlight w:val="none"/>
          <w:lang w:val="en-US" w:eastAsia="zh-CN"/>
        </w:rPr>
        <w:t>钛精粉</w:t>
      </w:r>
      <w:r>
        <w:rPr>
          <w:rFonts w:hint="eastAsia" w:ascii="华文中宋" w:hAnsi="华文中宋" w:eastAsia="华文中宋" w:cs="华文中宋"/>
          <w:color w:val="auto"/>
          <w:highlight w:val="none"/>
        </w:rPr>
        <w:t>带走，</w:t>
      </w:r>
      <w:r>
        <w:rPr>
          <w:rFonts w:hint="eastAsia" w:ascii="华文中宋" w:hAnsi="华文中宋" w:cs="华文中宋"/>
          <w:color w:val="auto"/>
          <w:highlight w:val="none"/>
          <w:lang w:val="en-US" w:eastAsia="zh-CN"/>
        </w:rPr>
        <w:t>其余</w:t>
      </w:r>
      <w:r>
        <w:rPr>
          <w:rFonts w:hint="eastAsia" w:ascii="华文中宋" w:hAnsi="华文中宋" w:eastAsia="华文中宋" w:cs="华文中宋"/>
          <w:color w:val="auto"/>
          <w:highlight w:val="none"/>
        </w:rPr>
        <w:t>返回生产工序</w:t>
      </w:r>
      <w:r>
        <w:rPr>
          <w:rFonts w:hint="eastAsia" w:ascii="华文中宋" w:hAnsi="华文中宋" w:cs="华文中宋"/>
          <w:color w:val="auto"/>
          <w:highlight w:val="none"/>
          <w:lang w:val="en-US" w:eastAsia="zh-CN"/>
        </w:rPr>
        <w:t>经过滤机、浓密机沉淀处理后排入循环水池</w:t>
      </w:r>
      <w:r>
        <w:rPr>
          <w:rFonts w:hint="eastAsia" w:ascii="华文中宋" w:hAnsi="华文中宋" w:eastAsia="华文中宋" w:cs="华文中宋"/>
          <w:color w:val="auto"/>
          <w:highlight w:val="none"/>
        </w:rPr>
        <w:t>，供选矿循环使用，实现生产废水“闭路循环”，不外排。</w:t>
      </w:r>
      <w:r>
        <w:rPr>
          <w:rFonts w:hint="eastAsia" w:ascii="华文中宋" w:hAnsi="华文中宋" w:cs="华文中宋"/>
          <w:color w:val="auto"/>
          <w:highlight w:val="none"/>
          <w:lang w:val="en-US" w:eastAsia="zh-CN"/>
        </w:rPr>
        <w:t>循环水池可容纳2750m</w:t>
      </w:r>
      <w:r>
        <w:rPr>
          <w:rFonts w:hint="eastAsia" w:ascii="华文中宋" w:hAnsi="华文中宋" w:cs="华文中宋"/>
          <w:color w:val="auto"/>
          <w:highlight w:val="none"/>
          <w:vertAlign w:val="superscript"/>
          <w:lang w:val="en-US" w:eastAsia="zh-CN"/>
        </w:rPr>
        <w:t>3</w:t>
      </w:r>
      <w:r>
        <w:rPr>
          <w:rFonts w:hint="eastAsia" w:ascii="华文中宋" w:hAnsi="华文中宋" w:cs="华文中宋"/>
          <w:color w:val="auto"/>
          <w:highlight w:val="none"/>
          <w:lang w:val="en-US" w:eastAsia="zh-CN"/>
        </w:rPr>
        <w:t>澄清后的选矿废水。</w:t>
      </w:r>
    </w:p>
    <w:p w14:paraId="04692A4A">
      <w:pPr>
        <w:pStyle w:val="3"/>
        <w:ind w:firstLine="480"/>
        <w:rPr>
          <w:color w:val="auto"/>
          <w:highlight w:val="none"/>
        </w:rPr>
      </w:pPr>
      <w:r>
        <w:rPr>
          <w:rFonts w:hint="eastAsia"/>
          <w:color w:val="auto"/>
          <w:highlight w:val="none"/>
          <w:lang w:val="en-US" w:eastAsia="zh-CN"/>
        </w:rPr>
        <w:t>生活污水主要为职工生活如洗浴、食堂、卫生间、洗衣等产生，主要污染物为</w:t>
      </w:r>
      <w:r>
        <w:rPr>
          <w:rFonts w:hint="eastAsia" w:ascii="Times New Roman" w:hAnsi="Times New Roman" w:eastAsia="华文中宋" w:cs="Times New Roman"/>
          <w:color w:val="auto"/>
          <w:highlight w:val="none"/>
        </w:rPr>
        <w:t>SS、BOD</w:t>
      </w:r>
      <w:r>
        <w:rPr>
          <w:rFonts w:hint="eastAsia" w:ascii="Times New Roman" w:hAnsi="Times New Roman" w:eastAsia="华文中宋" w:cs="Times New Roman"/>
          <w:color w:val="auto"/>
          <w:highlight w:val="none"/>
          <w:vertAlign w:val="subscript"/>
        </w:rPr>
        <w:t>5</w:t>
      </w:r>
      <w:r>
        <w:rPr>
          <w:rFonts w:hint="eastAsia" w:ascii="Times New Roman" w:hAnsi="Times New Roman" w:eastAsia="华文中宋" w:cs="Times New Roman"/>
          <w:color w:val="auto"/>
          <w:highlight w:val="none"/>
        </w:rPr>
        <w:t>、COD、氨氮及动植物油等</w:t>
      </w:r>
      <w:r>
        <w:rPr>
          <w:rFonts w:hint="eastAsia" w:ascii="Times New Roman" w:hAnsi="Times New Roman" w:cs="Times New Roman"/>
          <w:color w:val="auto"/>
          <w:highlight w:val="none"/>
          <w:lang w:eastAsia="zh-CN"/>
        </w:rPr>
        <w:t>。</w:t>
      </w:r>
      <w:r>
        <w:rPr>
          <w:color w:val="auto"/>
          <w:highlight w:val="none"/>
        </w:rPr>
        <w:t>生活污水经</w:t>
      </w:r>
      <w:r>
        <w:rPr>
          <w:rFonts w:hint="eastAsia"/>
          <w:color w:val="auto"/>
          <w:highlight w:val="none"/>
        </w:rPr>
        <w:t>现有地埋式一体化</w:t>
      </w:r>
      <w:r>
        <w:rPr>
          <w:color w:val="auto"/>
          <w:highlight w:val="none"/>
        </w:rPr>
        <w:t>污水处理装置处理后，生活污水指标满足</w:t>
      </w:r>
      <w:r>
        <w:rPr>
          <w:rFonts w:hint="eastAsia"/>
          <w:color w:val="auto"/>
          <w:highlight w:val="none"/>
        </w:rPr>
        <w:t>《城市污水再生利用城市杂用水水质》GB/T 18920-2020中的城市绿化、道路清扫、消防、建筑施工限值后回用于厂区抑尘，不外排</w:t>
      </w:r>
      <w:r>
        <w:rPr>
          <w:color w:val="auto"/>
          <w:highlight w:val="none"/>
        </w:rPr>
        <w:t>。</w:t>
      </w:r>
    </w:p>
    <w:p w14:paraId="0D818D00">
      <w:pPr>
        <w:pStyle w:val="3"/>
        <w:ind w:firstLine="480"/>
        <w:rPr>
          <w:rFonts w:hint="eastAsia"/>
          <w:color w:val="auto"/>
          <w:highlight w:val="none"/>
          <w:lang w:val="en-US" w:eastAsia="zh-CN"/>
        </w:rPr>
      </w:pPr>
      <w:r>
        <w:rPr>
          <w:rFonts w:hint="eastAsia"/>
          <w:color w:val="auto"/>
          <w:highlight w:val="none"/>
          <w:lang w:val="en-US" w:eastAsia="zh-CN"/>
        </w:rPr>
        <w:t>项目区南侧500m为</w:t>
      </w:r>
      <w:r>
        <w:rPr>
          <w:color w:val="auto"/>
          <w:highlight w:val="none"/>
        </w:rPr>
        <w:t>阿亚克苏洪木河</w:t>
      </w:r>
      <w:r>
        <w:rPr>
          <w:rFonts w:hint="eastAsia"/>
          <w:color w:val="auto"/>
          <w:highlight w:val="none"/>
          <w:lang w:eastAsia="zh-CN"/>
        </w:rPr>
        <w:t>，</w:t>
      </w:r>
      <w:r>
        <w:rPr>
          <w:rFonts w:hint="eastAsia"/>
          <w:color w:val="auto"/>
          <w:highlight w:val="none"/>
          <w:lang w:val="en-US" w:eastAsia="zh-CN"/>
        </w:rPr>
        <w:t>项目选矿废水均循环利用不外排，生活污水经处理后用于项目区洒水降尘，不外排，不会对</w:t>
      </w:r>
      <w:r>
        <w:rPr>
          <w:color w:val="auto"/>
          <w:highlight w:val="none"/>
        </w:rPr>
        <w:t>阿亚克苏洪木河</w:t>
      </w:r>
      <w:r>
        <w:rPr>
          <w:rFonts w:hint="eastAsia"/>
          <w:color w:val="auto"/>
          <w:highlight w:val="none"/>
          <w:lang w:val="en-US" w:eastAsia="zh-CN"/>
        </w:rPr>
        <w:t>产生不利影响。</w:t>
      </w:r>
    </w:p>
    <w:p w14:paraId="0E9EC309">
      <w:pPr>
        <w:pStyle w:val="3"/>
        <w:ind w:firstLine="480"/>
        <w:rPr>
          <w:rFonts w:hint="default"/>
          <w:color w:val="auto"/>
          <w:highlight w:val="none"/>
          <w:lang w:val="en-US" w:eastAsia="zh-CN"/>
        </w:rPr>
      </w:pPr>
      <w:r>
        <w:rPr>
          <w:rFonts w:hint="eastAsia"/>
          <w:color w:val="auto"/>
          <w:highlight w:val="none"/>
          <w:lang w:val="en-US" w:eastAsia="zh-CN"/>
        </w:rPr>
        <w:t>2）非正常状况废水</w:t>
      </w:r>
    </w:p>
    <w:p w14:paraId="230369EC">
      <w:pPr>
        <w:pStyle w:val="3"/>
        <w:ind w:firstLine="480"/>
        <w:rPr>
          <w:rFonts w:hint="default" w:eastAsia="华文中宋"/>
          <w:color w:val="auto"/>
          <w:highlight w:val="none"/>
          <w:lang w:val="en-US" w:eastAsia="zh-CN"/>
        </w:rPr>
      </w:pPr>
      <w:r>
        <w:rPr>
          <w:rFonts w:hint="eastAsia"/>
          <w:color w:val="auto"/>
          <w:highlight w:val="none"/>
          <w:lang w:val="en-US" w:eastAsia="zh-CN"/>
        </w:rPr>
        <w:t>非正常状况下，选矿厂循环水池发生故障选矿废水溢出或泄漏，应立即停止生产，将溢出或泄漏废水排入选矿厂250m</w:t>
      </w:r>
      <w:r>
        <w:rPr>
          <w:rFonts w:hint="eastAsia"/>
          <w:color w:val="auto"/>
          <w:highlight w:val="none"/>
          <w:vertAlign w:val="superscript"/>
          <w:lang w:val="en-US" w:eastAsia="zh-CN"/>
        </w:rPr>
        <w:t>3</w:t>
      </w:r>
      <w:r>
        <w:rPr>
          <w:rFonts w:hint="eastAsia"/>
          <w:color w:val="auto"/>
          <w:highlight w:val="none"/>
          <w:lang w:val="en-US" w:eastAsia="zh-CN"/>
        </w:rPr>
        <w:t>防渗事故池，保证不外排。并及时维修，在故障或事故排除后，再排入循环水池，不发生外排，不会对项目区南侧</w:t>
      </w:r>
      <w:r>
        <w:rPr>
          <w:color w:val="auto"/>
          <w:highlight w:val="none"/>
        </w:rPr>
        <w:t>阿亚克苏洪木河</w:t>
      </w:r>
      <w:r>
        <w:rPr>
          <w:rFonts w:hint="eastAsia"/>
          <w:color w:val="auto"/>
          <w:highlight w:val="none"/>
          <w:lang w:val="en-US" w:eastAsia="zh-CN"/>
        </w:rPr>
        <w:t>产生不利影响。</w:t>
      </w:r>
    </w:p>
    <w:p w14:paraId="685CB69F">
      <w:pPr>
        <w:pStyle w:val="3"/>
        <w:ind w:firstLine="480"/>
        <w:rPr>
          <w:rFonts w:hint="default" w:eastAsia="华文中宋"/>
          <w:color w:val="auto"/>
          <w:highlight w:val="none"/>
          <w:lang w:val="en-US" w:eastAsia="zh-CN"/>
        </w:rPr>
      </w:pPr>
      <w:r>
        <w:rPr>
          <w:rFonts w:hint="eastAsia"/>
          <w:color w:val="auto"/>
          <w:highlight w:val="none"/>
          <w:lang w:val="en-US" w:eastAsia="zh-CN"/>
        </w:rPr>
        <w:t>非正常状况下，尾矿库暴雨季节或泄洪期，在库区发生洪水，洪水沿冲沟流入尾矿库并持续向下游排放，将会对库区南侧</w:t>
      </w:r>
      <w:r>
        <w:rPr>
          <w:color w:val="auto"/>
          <w:highlight w:val="none"/>
        </w:rPr>
        <w:t>阿亚克苏洪木河</w:t>
      </w:r>
      <w:r>
        <w:rPr>
          <w:rFonts w:hint="eastAsia"/>
          <w:color w:val="auto"/>
          <w:highlight w:val="none"/>
          <w:lang w:val="en-US" w:eastAsia="zh-CN"/>
        </w:rPr>
        <w:t>产生不利影响。设计在初期坝下游面与岸坡连接处修筑坝肩截水沟，坝上下游均采用干砌石护坡；在堆积坝下游坡面设置排水沟用于防止雨水冲刷。因此，在尾矿库设有排洪截排水措施前提下，非正常状况尾矿库废水不会对库区下游</w:t>
      </w:r>
      <w:r>
        <w:rPr>
          <w:color w:val="auto"/>
          <w:highlight w:val="none"/>
        </w:rPr>
        <w:t>阿亚克苏洪木河</w:t>
      </w:r>
      <w:r>
        <w:rPr>
          <w:rFonts w:hint="eastAsia"/>
          <w:color w:val="auto"/>
          <w:highlight w:val="none"/>
          <w:lang w:val="en-US" w:eastAsia="zh-CN"/>
        </w:rPr>
        <w:t>产生不利影响。</w:t>
      </w:r>
    </w:p>
    <w:p w14:paraId="51A69B63">
      <w:pPr>
        <w:pStyle w:val="3"/>
        <w:ind w:firstLine="480"/>
        <w:rPr>
          <w:color w:val="auto"/>
          <w:highlight w:val="none"/>
        </w:rPr>
      </w:pPr>
      <w:r>
        <w:rPr>
          <w:color w:val="auto"/>
          <w:highlight w:val="none"/>
        </w:rPr>
        <w:t>地表水自查表见表5.3-1。</w:t>
      </w:r>
    </w:p>
    <w:p w14:paraId="53E2BA71">
      <w:pPr>
        <w:pStyle w:val="3"/>
        <w:ind w:left="0" w:leftChars="0" w:firstLine="0" w:firstLineChars="0"/>
        <w:rPr>
          <w:color w:val="auto"/>
          <w:highlight w:val="none"/>
        </w:rPr>
        <w:sectPr>
          <w:headerReference r:id="rId19" w:type="default"/>
          <w:footerReference r:id="rId20" w:type="default"/>
          <w:pgSz w:w="11906" w:h="16839"/>
          <w:pgMar w:top="1389" w:right="1803" w:bottom="1389" w:left="1803" w:header="878" w:footer="996" w:gutter="0"/>
          <w:pgBorders>
            <w:top w:val="none" w:sz="0" w:space="0"/>
            <w:left w:val="none" w:sz="0" w:space="0"/>
            <w:bottom w:val="none" w:sz="0" w:space="0"/>
            <w:right w:val="none" w:sz="0" w:space="0"/>
          </w:pgBorders>
          <w:cols w:space="720" w:num="1"/>
        </w:sectPr>
      </w:pPr>
    </w:p>
    <w:p w14:paraId="3C1774F7">
      <w:pPr>
        <w:pStyle w:val="40"/>
        <w:spacing w:before="24" w:after="24"/>
        <w:rPr>
          <w:color w:val="auto"/>
          <w:highlight w:val="none"/>
        </w:rPr>
      </w:pPr>
      <w:r>
        <w:rPr>
          <w:color w:val="auto"/>
          <w:highlight w:val="none"/>
        </w:rPr>
        <w:t>表5.3-1     项目地表水环境影响评价自查表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02"/>
        <w:gridCol w:w="2050"/>
        <w:gridCol w:w="3449"/>
        <w:gridCol w:w="2044"/>
        <w:gridCol w:w="454"/>
        <w:gridCol w:w="780"/>
        <w:gridCol w:w="1785"/>
        <w:gridCol w:w="166"/>
        <w:gridCol w:w="2947"/>
      </w:tblGrid>
      <w:tr w14:paraId="574D2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9" w:type="pct"/>
            <w:gridSpan w:val="2"/>
            <w:tcBorders>
              <w:tl2br w:val="nil"/>
              <w:tr2bl w:val="nil"/>
            </w:tcBorders>
            <w:vAlign w:val="center"/>
          </w:tcPr>
          <w:p w14:paraId="6AEF017E">
            <w:pPr>
              <w:pStyle w:val="41"/>
              <w:rPr>
                <w:color w:val="auto"/>
                <w:highlight w:val="none"/>
              </w:rPr>
            </w:pPr>
            <w:r>
              <w:rPr>
                <w:color w:val="auto"/>
                <w:highlight w:val="none"/>
              </w:rPr>
              <w:t>工作内容</w:t>
            </w:r>
          </w:p>
        </w:tc>
        <w:tc>
          <w:tcPr>
            <w:tcW w:w="4070" w:type="pct"/>
            <w:gridSpan w:val="7"/>
            <w:tcBorders>
              <w:tl2br w:val="nil"/>
              <w:tr2bl w:val="nil"/>
            </w:tcBorders>
            <w:vAlign w:val="center"/>
          </w:tcPr>
          <w:p w14:paraId="6E192FD6">
            <w:pPr>
              <w:pStyle w:val="41"/>
              <w:rPr>
                <w:color w:val="auto"/>
                <w:highlight w:val="none"/>
              </w:rPr>
            </w:pPr>
            <w:r>
              <w:rPr>
                <w:color w:val="auto"/>
                <w:highlight w:val="none"/>
              </w:rPr>
              <w:t>自查项目</w:t>
            </w:r>
          </w:p>
        </w:tc>
      </w:tr>
      <w:tr w14:paraId="062336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restart"/>
            <w:tcBorders>
              <w:tl2br w:val="nil"/>
              <w:tr2bl w:val="nil"/>
            </w:tcBorders>
            <w:vAlign w:val="center"/>
          </w:tcPr>
          <w:p w14:paraId="461EE332">
            <w:pPr>
              <w:pStyle w:val="41"/>
              <w:rPr>
                <w:color w:val="auto"/>
                <w:highlight w:val="none"/>
              </w:rPr>
            </w:pPr>
            <w:r>
              <w:rPr>
                <w:color w:val="auto"/>
                <w:highlight w:val="none"/>
              </w:rPr>
              <w:t>影响识别</w:t>
            </w:r>
          </w:p>
        </w:tc>
        <w:tc>
          <w:tcPr>
            <w:tcW w:w="718" w:type="pct"/>
            <w:tcBorders>
              <w:tl2br w:val="nil"/>
              <w:tr2bl w:val="nil"/>
            </w:tcBorders>
            <w:vAlign w:val="center"/>
          </w:tcPr>
          <w:p w14:paraId="29FEC74A">
            <w:pPr>
              <w:pStyle w:val="41"/>
              <w:rPr>
                <w:color w:val="auto"/>
                <w:highlight w:val="none"/>
              </w:rPr>
            </w:pPr>
            <w:r>
              <w:rPr>
                <w:color w:val="auto"/>
                <w:highlight w:val="none"/>
              </w:rPr>
              <w:t>影响类型</w:t>
            </w:r>
          </w:p>
        </w:tc>
        <w:tc>
          <w:tcPr>
            <w:tcW w:w="4070" w:type="pct"/>
            <w:gridSpan w:val="7"/>
            <w:tcBorders>
              <w:tl2br w:val="nil"/>
              <w:tr2bl w:val="nil"/>
            </w:tcBorders>
            <w:vAlign w:val="center"/>
          </w:tcPr>
          <w:p w14:paraId="2E30185B">
            <w:pPr>
              <w:pStyle w:val="41"/>
              <w:rPr>
                <w:color w:val="auto"/>
                <w:highlight w:val="none"/>
              </w:rPr>
            </w:pPr>
            <w:r>
              <w:rPr>
                <w:color w:val="auto"/>
                <w:highlight w:val="none"/>
              </w:rPr>
              <w:t>水污染影响型☑；水文要素影响型□</w:t>
            </w:r>
          </w:p>
        </w:tc>
      </w:tr>
      <w:tr w14:paraId="2011BF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0FFEC9BD">
            <w:pPr>
              <w:pStyle w:val="41"/>
              <w:rPr>
                <w:color w:val="auto"/>
                <w:highlight w:val="none"/>
              </w:rPr>
            </w:pPr>
          </w:p>
        </w:tc>
        <w:tc>
          <w:tcPr>
            <w:tcW w:w="718" w:type="pct"/>
            <w:tcBorders>
              <w:tl2br w:val="nil"/>
              <w:tr2bl w:val="nil"/>
            </w:tcBorders>
            <w:vAlign w:val="center"/>
          </w:tcPr>
          <w:p w14:paraId="3C8E0E82">
            <w:pPr>
              <w:pStyle w:val="41"/>
              <w:rPr>
                <w:color w:val="auto"/>
                <w:highlight w:val="none"/>
              </w:rPr>
            </w:pPr>
            <w:r>
              <w:rPr>
                <w:color w:val="auto"/>
                <w:highlight w:val="none"/>
              </w:rPr>
              <w:t>水环境保护目标</w:t>
            </w:r>
          </w:p>
        </w:tc>
        <w:tc>
          <w:tcPr>
            <w:tcW w:w="4070" w:type="pct"/>
            <w:gridSpan w:val="7"/>
            <w:tcBorders>
              <w:tl2br w:val="nil"/>
              <w:tr2bl w:val="nil"/>
            </w:tcBorders>
            <w:vAlign w:val="center"/>
          </w:tcPr>
          <w:p w14:paraId="30CF6991">
            <w:pPr>
              <w:pStyle w:val="41"/>
              <w:rPr>
                <w:color w:val="auto"/>
                <w:highlight w:val="none"/>
              </w:rPr>
            </w:pPr>
            <w:r>
              <w:rPr>
                <w:color w:val="auto"/>
                <w:highlight w:val="none"/>
              </w:rPr>
              <w:t>饮用水水源保护区□；饮用水取水口□；涉水的自然保护区□；涉水的风景名胜区□；重要湿地□；重点保护与珍稀水生生物的栖息地□；重要水生生物的自然产卵场及索饵场、越冬场和洄游通道□；天然渔场等渔业水体□；水产种质资源保护区□；其他□</w:t>
            </w:r>
          </w:p>
        </w:tc>
      </w:tr>
      <w:tr w14:paraId="054849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63E9E468">
            <w:pPr>
              <w:pStyle w:val="41"/>
              <w:rPr>
                <w:color w:val="auto"/>
                <w:highlight w:val="none"/>
              </w:rPr>
            </w:pPr>
          </w:p>
        </w:tc>
        <w:tc>
          <w:tcPr>
            <w:tcW w:w="718" w:type="pct"/>
            <w:vMerge w:val="restart"/>
            <w:tcBorders>
              <w:tl2br w:val="nil"/>
              <w:tr2bl w:val="nil"/>
            </w:tcBorders>
            <w:vAlign w:val="center"/>
          </w:tcPr>
          <w:p w14:paraId="1EEC56E1">
            <w:pPr>
              <w:pStyle w:val="41"/>
              <w:rPr>
                <w:color w:val="auto"/>
                <w:highlight w:val="none"/>
              </w:rPr>
            </w:pPr>
            <w:r>
              <w:rPr>
                <w:color w:val="auto"/>
                <w:highlight w:val="none"/>
              </w:rPr>
              <w:t>影响途径</w:t>
            </w:r>
          </w:p>
        </w:tc>
        <w:tc>
          <w:tcPr>
            <w:tcW w:w="2083" w:type="pct"/>
            <w:gridSpan w:val="3"/>
            <w:tcBorders>
              <w:tl2br w:val="nil"/>
              <w:tr2bl w:val="nil"/>
            </w:tcBorders>
            <w:vAlign w:val="center"/>
          </w:tcPr>
          <w:p w14:paraId="6BCDBB32">
            <w:pPr>
              <w:pStyle w:val="41"/>
              <w:rPr>
                <w:color w:val="auto"/>
                <w:highlight w:val="none"/>
              </w:rPr>
            </w:pPr>
            <w:r>
              <w:rPr>
                <w:color w:val="auto"/>
                <w:highlight w:val="none"/>
              </w:rPr>
              <w:t>水污染影响型</w:t>
            </w:r>
          </w:p>
        </w:tc>
        <w:tc>
          <w:tcPr>
            <w:tcW w:w="1986" w:type="pct"/>
            <w:gridSpan w:val="4"/>
            <w:tcBorders>
              <w:tl2br w:val="nil"/>
              <w:tr2bl w:val="nil"/>
            </w:tcBorders>
            <w:vAlign w:val="center"/>
          </w:tcPr>
          <w:p w14:paraId="4E93559D">
            <w:pPr>
              <w:pStyle w:val="41"/>
              <w:rPr>
                <w:color w:val="auto"/>
                <w:highlight w:val="none"/>
              </w:rPr>
            </w:pPr>
            <w:r>
              <w:rPr>
                <w:color w:val="auto"/>
                <w:highlight w:val="none"/>
              </w:rPr>
              <w:t>水文要素影响型</w:t>
            </w:r>
          </w:p>
        </w:tc>
      </w:tr>
      <w:tr w14:paraId="0305AB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414A7214">
            <w:pPr>
              <w:pStyle w:val="41"/>
              <w:rPr>
                <w:color w:val="auto"/>
                <w:highlight w:val="none"/>
              </w:rPr>
            </w:pPr>
          </w:p>
        </w:tc>
        <w:tc>
          <w:tcPr>
            <w:tcW w:w="718" w:type="pct"/>
            <w:vMerge w:val="continue"/>
            <w:tcBorders>
              <w:tl2br w:val="nil"/>
              <w:tr2bl w:val="nil"/>
            </w:tcBorders>
            <w:vAlign w:val="center"/>
          </w:tcPr>
          <w:p w14:paraId="600751F0">
            <w:pPr>
              <w:pStyle w:val="41"/>
              <w:rPr>
                <w:color w:val="auto"/>
                <w:highlight w:val="none"/>
              </w:rPr>
            </w:pPr>
          </w:p>
        </w:tc>
        <w:tc>
          <w:tcPr>
            <w:tcW w:w="2083" w:type="pct"/>
            <w:gridSpan w:val="3"/>
            <w:tcBorders>
              <w:tl2br w:val="nil"/>
              <w:tr2bl w:val="nil"/>
            </w:tcBorders>
            <w:vAlign w:val="center"/>
          </w:tcPr>
          <w:p w14:paraId="13DF5AE0">
            <w:pPr>
              <w:pStyle w:val="41"/>
              <w:rPr>
                <w:color w:val="auto"/>
                <w:highlight w:val="none"/>
              </w:rPr>
            </w:pPr>
            <w:r>
              <w:rPr>
                <w:color w:val="auto"/>
                <w:highlight w:val="none"/>
              </w:rPr>
              <w:t>直接排放□；间接排放□；其他☑</w:t>
            </w:r>
          </w:p>
        </w:tc>
        <w:tc>
          <w:tcPr>
            <w:tcW w:w="1986" w:type="pct"/>
            <w:gridSpan w:val="4"/>
            <w:tcBorders>
              <w:tl2br w:val="nil"/>
              <w:tr2bl w:val="nil"/>
            </w:tcBorders>
            <w:vAlign w:val="center"/>
          </w:tcPr>
          <w:p w14:paraId="7AAE126C">
            <w:pPr>
              <w:pStyle w:val="41"/>
              <w:rPr>
                <w:color w:val="auto"/>
                <w:highlight w:val="none"/>
              </w:rPr>
            </w:pPr>
            <w:r>
              <w:rPr>
                <w:color w:val="auto"/>
                <w:highlight w:val="none"/>
              </w:rPr>
              <w:t>水温□；径流□；水域面积□</w:t>
            </w:r>
          </w:p>
        </w:tc>
      </w:tr>
      <w:tr w14:paraId="1999CE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0B8887F5">
            <w:pPr>
              <w:pStyle w:val="41"/>
              <w:rPr>
                <w:color w:val="auto"/>
                <w:highlight w:val="none"/>
              </w:rPr>
            </w:pPr>
          </w:p>
        </w:tc>
        <w:tc>
          <w:tcPr>
            <w:tcW w:w="718" w:type="pct"/>
            <w:tcBorders>
              <w:tl2br w:val="nil"/>
              <w:tr2bl w:val="nil"/>
            </w:tcBorders>
            <w:vAlign w:val="center"/>
          </w:tcPr>
          <w:p w14:paraId="0FD46839">
            <w:pPr>
              <w:pStyle w:val="41"/>
              <w:rPr>
                <w:color w:val="auto"/>
                <w:highlight w:val="none"/>
              </w:rPr>
            </w:pPr>
            <w:r>
              <w:rPr>
                <w:color w:val="auto"/>
                <w:highlight w:val="none"/>
              </w:rPr>
              <w:t>影响因子</w:t>
            </w:r>
          </w:p>
        </w:tc>
        <w:tc>
          <w:tcPr>
            <w:tcW w:w="2083" w:type="pct"/>
            <w:gridSpan w:val="3"/>
            <w:tcBorders>
              <w:tl2br w:val="nil"/>
              <w:tr2bl w:val="nil"/>
            </w:tcBorders>
            <w:vAlign w:val="center"/>
          </w:tcPr>
          <w:p w14:paraId="62AF0F3D">
            <w:pPr>
              <w:pStyle w:val="41"/>
              <w:rPr>
                <w:color w:val="auto"/>
                <w:highlight w:val="none"/>
              </w:rPr>
            </w:pPr>
            <w:r>
              <w:rPr>
                <w:color w:val="auto"/>
                <w:highlight w:val="none"/>
              </w:rPr>
              <w:t>持久性污染物□；有毒有害污染物□；非持久性污染物□；</w:t>
            </w:r>
          </w:p>
          <w:p w14:paraId="70E87F1F">
            <w:pPr>
              <w:pStyle w:val="41"/>
              <w:rPr>
                <w:color w:val="auto"/>
                <w:highlight w:val="none"/>
              </w:rPr>
            </w:pPr>
            <w:r>
              <w:rPr>
                <w:color w:val="auto"/>
                <w:highlight w:val="none"/>
              </w:rPr>
              <w:t>pH值□；热污染□；富营养化□；其他☑</w:t>
            </w:r>
          </w:p>
        </w:tc>
        <w:tc>
          <w:tcPr>
            <w:tcW w:w="1986" w:type="pct"/>
            <w:gridSpan w:val="4"/>
            <w:tcBorders>
              <w:tl2br w:val="nil"/>
              <w:tr2bl w:val="nil"/>
            </w:tcBorders>
            <w:vAlign w:val="center"/>
          </w:tcPr>
          <w:p w14:paraId="2261B642">
            <w:pPr>
              <w:pStyle w:val="41"/>
              <w:rPr>
                <w:color w:val="auto"/>
                <w:highlight w:val="none"/>
              </w:rPr>
            </w:pPr>
            <w:r>
              <w:rPr>
                <w:color w:val="auto"/>
                <w:highlight w:val="none"/>
              </w:rPr>
              <w:t>水温□；水位（水深）□；流速□；流量□；其他□</w:t>
            </w:r>
          </w:p>
        </w:tc>
      </w:tr>
      <w:tr w14:paraId="3FEA6C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9" w:type="pct"/>
            <w:gridSpan w:val="2"/>
            <w:vMerge w:val="restart"/>
            <w:tcBorders>
              <w:tl2br w:val="nil"/>
              <w:tr2bl w:val="nil"/>
            </w:tcBorders>
            <w:vAlign w:val="center"/>
          </w:tcPr>
          <w:p w14:paraId="3C8D49E0">
            <w:pPr>
              <w:pStyle w:val="41"/>
              <w:rPr>
                <w:color w:val="auto"/>
                <w:highlight w:val="none"/>
              </w:rPr>
            </w:pPr>
            <w:r>
              <w:rPr>
                <w:color w:val="auto"/>
                <w:highlight w:val="none"/>
              </w:rPr>
              <w:t>评价等级</w:t>
            </w:r>
          </w:p>
        </w:tc>
        <w:tc>
          <w:tcPr>
            <w:tcW w:w="2083" w:type="pct"/>
            <w:gridSpan w:val="3"/>
            <w:tcBorders>
              <w:tl2br w:val="nil"/>
              <w:tr2bl w:val="nil"/>
            </w:tcBorders>
            <w:vAlign w:val="center"/>
          </w:tcPr>
          <w:p w14:paraId="1357FCA8">
            <w:pPr>
              <w:pStyle w:val="41"/>
              <w:rPr>
                <w:color w:val="auto"/>
                <w:highlight w:val="none"/>
              </w:rPr>
            </w:pPr>
            <w:r>
              <w:rPr>
                <w:color w:val="auto"/>
                <w:highlight w:val="none"/>
              </w:rPr>
              <w:t>水污染影响型</w:t>
            </w:r>
          </w:p>
        </w:tc>
        <w:tc>
          <w:tcPr>
            <w:tcW w:w="1986" w:type="pct"/>
            <w:gridSpan w:val="4"/>
            <w:tcBorders>
              <w:tl2br w:val="nil"/>
              <w:tr2bl w:val="nil"/>
            </w:tcBorders>
            <w:vAlign w:val="center"/>
          </w:tcPr>
          <w:p w14:paraId="31846A2F">
            <w:pPr>
              <w:pStyle w:val="41"/>
              <w:rPr>
                <w:color w:val="auto"/>
                <w:highlight w:val="none"/>
              </w:rPr>
            </w:pPr>
            <w:r>
              <w:rPr>
                <w:color w:val="auto"/>
                <w:highlight w:val="none"/>
              </w:rPr>
              <w:t>水文要素影响型</w:t>
            </w:r>
          </w:p>
        </w:tc>
      </w:tr>
      <w:tr w14:paraId="729DC7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9" w:type="pct"/>
            <w:gridSpan w:val="2"/>
            <w:vMerge w:val="continue"/>
            <w:tcBorders>
              <w:tl2br w:val="nil"/>
              <w:tr2bl w:val="nil"/>
            </w:tcBorders>
            <w:vAlign w:val="center"/>
          </w:tcPr>
          <w:p w14:paraId="1F60E656">
            <w:pPr>
              <w:pStyle w:val="41"/>
              <w:rPr>
                <w:color w:val="auto"/>
                <w:highlight w:val="none"/>
              </w:rPr>
            </w:pPr>
          </w:p>
        </w:tc>
        <w:tc>
          <w:tcPr>
            <w:tcW w:w="2083" w:type="pct"/>
            <w:gridSpan w:val="3"/>
            <w:tcBorders>
              <w:tl2br w:val="nil"/>
              <w:tr2bl w:val="nil"/>
            </w:tcBorders>
            <w:vAlign w:val="center"/>
          </w:tcPr>
          <w:p w14:paraId="637133DA">
            <w:pPr>
              <w:pStyle w:val="41"/>
              <w:rPr>
                <w:color w:val="auto"/>
                <w:highlight w:val="none"/>
              </w:rPr>
            </w:pPr>
            <w:r>
              <w:rPr>
                <w:color w:val="auto"/>
                <w:highlight w:val="none"/>
              </w:rPr>
              <w:t>一级□；二级□；三级A□；三级B☑</w:t>
            </w:r>
          </w:p>
        </w:tc>
        <w:tc>
          <w:tcPr>
            <w:tcW w:w="1986" w:type="pct"/>
            <w:gridSpan w:val="4"/>
            <w:tcBorders>
              <w:tl2br w:val="nil"/>
              <w:tr2bl w:val="nil"/>
            </w:tcBorders>
            <w:vAlign w:val="center"/>
          </w:tcPr>
          <w:p w14:paraId="08DF1E65">
            <w:pPr>
              <w:pStyle w:val="41"/>
              <w:rPr>
                <w:color w:val="auto"/>
                <w:highlight w:val="none"/>
              </w:rPr>
            </w:pPr>
            <w:r>
              <w:rPr>
                <w:color w:val="auto"/>
                <w:highlight w:val="none"/>
              </w:rPr>
              <w:t>一级□；二级□；三级□</w:t>
            </w:r>
          </w:p>
        </w:tc>
      </w:tr>
      <w:tr w14:paraId="01840B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restart"/>
            <w:tcBorders>
              <w:tl2br w:val="nil"/>
              <w:tr2bl w:val="nil"/>
            </w:tcBorders>
            <w:vAlign w:val="center"/>
          </w:tcPr>
          <w:p w14:paraId="29F1FC28">
            <w:pPr>
              <w:pStyle w:val="41"/>
              <w:rPr>
                <w:color w:val="auto"/>
                <w:highlight w:val="none"/>
              </w:rPr>
            </w:pPr>
            <w:r>
              <w:rPr>
                <w:color w:val="auto"/>
                <w:highlight w:val="none"/>
              </w:rPr>
              <w:t>现状调查</w:t>
            </w:r>
          </w:p>
        </w:tc>
        <w:tc>
          <w:tcPr>
            <w:tcW w:w="718" w:type="pct"/>
            <w:vMerge w:val="restart"/>
            <w:tcBorders>
              <w:tl2br w:val="nil"/>
              <w:tr2bl w:val="nil"/>
            </w:tcBorders>
            <w:vAlign w:val="center"/>
          </w:tcPr>
          <w:p w14:paraId="4363419B">
            <w:pPr>
              <w:pStyle w:val="41"/>
              <w:rPr>
                <w:color w:val="auto"/>
                <w:highlight w:val="none"/>
              </w:rPr>
            </w:pPr>
            <w:r>
              <w:rPr>
                <w:color w:val="auto"/>
                <w:highlight w:val="none"/>
              </w:rPr>
              <w:t>区域污染源</w:t>
            </w:r>
          </w:p>
        </w:tc>
        <w:tc>
          <w:tcPr>
            <w:tcW w:w="2083" w:type="pct"/>
            <w:gridSpan w:val="3"/>
            <w:tcBorders>
              <w:tl2br w:val="nil"/>
              <w:tr2bl w:val="nil"/>
            </w:tcBorders>
            <w:vAlign w:val="center"/>
          </w:tcPr>
          <w:p w14:paraId="51D89E31">
            <w:pPr>
              <w:pStyle w:val="41"/>
              <w:rPr>
                <w:color w:val="auto"/>
                <w:highlight w:val="none"/>
              </w:rPr>
            </w:pPr>
            <w:r>
              <w:rPr>
                <w:color w:val="auto"/>
                <w:highlight w:val="none"/>
              </w:rPr>
              <w:t>调查项目</w:t>
            </w:r>
          </w:p>
        </w:tc>
        <w:tc>
          <w:tcPr>
            <w:tcW w:w="1986" w:type="pct"/>
            <w:gridSpan w:val="4"/>
            <w:tcBorders>
              <w:tl2br w:val="nil"/>
              <w:tr2bl w:val="nil"/>
            </w:tcBorders>
            <w:vAlign w:val="center"/>
          </w:tcPr>
          <w:p w14:paraId="7E399131">
            <w:pPr>
              <w:pStyle w:val="41"/>
              <w:rPr>
                <w:color w:val="auto"/>
                <w:highlight w:val="none"/>
              </w:rPr>
            </w:pPr>
            <w:r>
              <w:rPr>
                <w:color w:val="auto"/>
                <w:highlight w:val="none"/>
              </w:rPr>
              <w:t>数据来源</w:t>
            </w:r>
          </w:p>
        </w:tc>
      </w:tr>
      <w:tr w14:paraId="51CD11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41B51E0B">
            <w:pPr>
              <w:pStyle w:val="41"/>
              <w:rPr>
                <w:color w:val="auto"/>
                <w:highlight w:val="none"/>
              </w:rPr>
            </w:pPr>
          </w:p>
        </w:tc>
        <w:tc>
          <w:tcPr>
            <w:tcW w:w="718" w:type="pct"/>
            <w:vMerge w:val="continue"/>
            <w:tcBorders>
              <w:tl2br w:val="nil"/>
              <w:tr2bl w:val="nil"/>
            </w:tcBorders>
            <w:vAlign w:val="center"/>
          </w:tcPr>
          <w:p w14:paraId="5C4E605D">
            <w:pPr>
              <w:pStyle w:val="41"/>
              <w:rPr>
                <w:color w:val="auto"/>
                <w:highlight w:val="none"/>
              </w:rPr>
            </w:pPr>
          </w:p>
        </w:tc>
        <w:tc>
          <w:tcPr>
            <w:tcW w:w="1208" w:type="pct"/>
            <w:tcBorders>
              <w:tl2br w:val="nil"/>
              <w:tr2bl w:val="nil"/>
            </w:tcBorders>
            <w:vAlign w:val="center"/>
          </w:tcPr>
          <w:p w14:paraId="45D3C952">
            <w:pPr>
              <w:pStyle w:val="41"/>
              <w:rPr>
                <w:color w:val="auto"/>
                <w:highlight w:val="none"/>
              </w:rPr>
            </w:pPr>
            <w:r>
              <w:rPr>
                <w:color w:val="auto"/>
                <w:highlight w:val="none"/>
              </w:rPr>
              <w:t>已建□；在建□；拟建□；其他□</w:t>
            </w:r>
          </w:p>
        </w:tc>
        <w:tc>
          <w:tcPr>
            <w:tcW w:w="874" w:type="pct"/>
            <w:gridSpan w:val="2"/>
            <w:tcBorders>
              <w:tl2br w:val="nil"/>
              <w:tr2bl w:val="nil"/>
            </w:tcBorders>
            <w:vAlign w:val="center"/>
          </w:tcPr>
          <w:p w14:paraId="68DF1A17">
            <w:pPr>
              <w:pStyle w:val="41"/>
              <w:rPr>
                <w:color w:val="auto"/>
                <w:highlight w:val="none"/>
              </w:rPr>
            </w:pPr>
            <w:r>
              <w:rPr>
                <w:color w:val="auto"/>
                <w:highlight w:val="none"/>
              </w:rPr>
              <w:t>拟替代的污染源□</w:t>
            </w:r>
          </w:p>
        </w:tc>
        <w:tc>
          <w:tcPr>
            <w:tcW w:w="1986" w:type="pct"/>
            <w:gridSpan w:val="4"/>
            <w:tcBorders>
              <w:tl2br w:val="nil"/>
              <w:tr2bl w:val="nil"/>
            </w:tcBorders>
            <w:vAlign w:val="center"/>
          </w:tcPr>
          <w:p w14:paraId="51F8D340">
            <w:pPr>
              <w:pStyle w:val="41"/>
              <w:rPr>
                <w:color w:val="auto"/>
                <w:highlight w:val="none"/>
              </w:rPr>
            </w:pPr>
            <w:r>
              <w:rPr>
                <w:color w:val="auto"/>
                <w:highlight w:val="none"/>
              </w:rPr>
              <w:t>排污许可证□；环评□；环保验收□；既有实测□；现场监测□；入河排放口数据□；其他□</w:t>
            </w:r>
          </w:p>
        </w:tc>
      </w:tr>
      <w:tr w14:paraId="096726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43250768">
            <w:pPr>
              <w:pStyle w:val="41"/>
              <w:rPr>
                <w:color w:val="auto"/>
                <w:highlight w:val="none"/>
              </w:rPr>
            </w:pPr>
          </w:p>
        </w:tc>
        <w:tc>
          <w:tcPr>
            <w:tcW w:w="718" w:type="pct"/>
            <w:vMerge w:val="restart"/>
            <w:tcBorders>
              <w:tl2br w:val="nil"/>
              <w:tr2bl w:val="nil"/>
            </w:tcBorders>
            <w:vAlign w:val="center"/>
          </w:tcPr>
          <w:p w14:paraId="7E9A0B8D">
            <w:pPr>
              <w:pStyle w:val="41"/>
              <w:rPr>
                <w:color w:val="auto"/>
                <w:highlight w:val="none"/>
              </w:rPr>
            </w:pPr>
            <w:r>
              <w:rPr>
                <w:color w:val="auto"/>
                <w:highlight w:val="none"/>
              </w:rPr>
              <w:t>受影响水体水环境质量</w:t>
            </w:r>
          </w:p>
        </w:tc>
        <w:tc>
          <w:tcPr>
            <w:tcW w:w="2083" w:type="pct"/>
            <w:gridSpan w:val="3"/>
            <w:tcBorders>
              <w:tl2br w:val="nil"/>
              <w:tr2bl w:val="nil"/>
            </w:tcBorders>
            <w:vAlign w:val="center"/>
          </w:tcPr>
          <w:p w14:paraId="76BA1A34">
            <w:pPr>
              <w:pStyle w:val="41"/>
              <w:rPr>
                <w:color w:val="auto"/>
                <w:highlight w:val="none"/>
              </w:rPr>
            </w:pPr>
            <w:r>
              <w:rPr>
                <w:color w:val="auto"/>
                <w:highlight w:val="none"/>
              </w:rPr>
              <w:t>调查时期</w:t>
            </w:r>
          </w:p>
        </w:tc>
        <w:tc>
          <w:tcPr>
            <w:tcW w:w="1986" w:type="pct"/>
            <w:gridSpan w:val="4"/>
            <w:tcBorders>
              <w:tl2br w:val="nil"/>
              <w:tr2bl w:val="nil"/>
            </w:tcBorders>
            <w:vAlign w:val="center"/>
          </w:tcPr>
          <w:p w14:paraId="5C8C3201">
            <w:pPr>
              <w:pStyle w:val="41"/>
              <w:rPr>
                <w:color w:val="auto"/>
                <w:highlight w:val="none"/>
              </w:rPr>
            </w:pPr>
            <w:r>
              <w:rPr>
                <w:color w:val="auto"/>
                <w:highlight w:val="none"/>
              </w:rPr>
              <w:t>数据来源</w:t>
            </w:r>
          </w:p>
        </w:tc>
      </w:tr>
      <w:tr w14:paraId="32505F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5540E4C5">
            <w:pPr>
              <w:pStyle w:val="41"/>
              <w:rPr>
                <w:color w:val="auto"/>
                <w:highlight w:val="none"/>
              </w:rPr>
            </w:pPr>
          </w:p>
        </w:tc>
        <w:tc>
          <w:tcPr>
            <w:tcW w:w="718" w:type="pct"/>
            <w:vMerge w:val="continue"/>
            <w:tcBorders>
              <w:tl2br w:val="nil"/>
              <w:tr2bl w:val="nil"/>
            </w:tcBorders>
            <w:vAlign w:val="center"/>
          </w:tcPr>
          <w:p w14:paraId="359538F3">
            <w:pPr>
              <w:pStyle w:val="41"/>
              <w:rPr>
                <w:color w:val="auto"/>
                <w:highlight w:val="none"/>
              </w:rPr>
            </w:pPr>
          </w:p>
        </w:tc>
        <w:tc>
          <w:tcPr>
            <w:tcW w:w="2083" w:type="pct"/>
            <w:gridSpan w:val="3"/>
            <w:tcBorders>
              <w:tl2br w:val="nil"/>
              <w:tr2bl w:val="nil"/>
            </w:tcBorders>
            <w:vAlign w:val="center"/>
          </w:tcPr>
          <w:p w14:paraId="38B6A4E2">
            <w:pPr>
              <w:pStyle w:val="41"/>
              <w:rPr>
                <w:color w:val="auto"/>
                <w:highlight w:val="none"/>
              </w:rPr>
            </w:pPr>
            <w:r>
              <w:rPr>
                <w:color w:val="auto"/>
                <w:highlight w:val="none"/>
              </w:rPr>
              <w:t>丰水期□；平水期</w:t>
            </w:r>
            <w:r>
              <w:rPr>
                <w:rFonts w:hint="eastAsia"/>
                <w:color w:val="auto"/>
                <w:highlight w:val="none"/>
              </w:rPr>
              <w:t>□</w:t>
            </w:r>
            <w:r>
              <w:rPr>
                <w:color w:val="auto"/>
                <w:highlight w:val="none"/>
              </w:rPr>
              <w:t>；枯水期□；冰封期□</w:t>
            </w:r>
          </w:p>
          <w:p w14:paraId="51E04D70">
            <w:pPr>
              <w:pStyle w:val="41"/>
              <w:rPr>
                <w:color w:val="auto"/>
                <w:highlight w:val="none"/>
              </w:rPr>
            </w:pPr>
            <w:r>
              <w:rPr>
                <w:color w:val="auto"/>
                <w:highlight w:val="none"/>
              </w:rPr>
              <w:t>春季</w:t>
            </w:r>
            <w:r>
              <w:rPr>
                <w:rFonts w:hint="eastAsia"/>
                <w:color w:val="auto"/>
                <w:highlight w:val="none"/>
              </w:rPr>
              <w:t>□</w:t>
            </w:r>
            <w:r>
              <w:rPr>
                <w:color w:val="auto"/>
                <w:highlight w:val="none"/>
              </w:rPr>
              <w:t>；夏季□；秋季□；冬季□</w:t>
            </w:r>
          </w:p>
        </w:tc>
        <w:tc>
          <w:tcPr>
            <w:tcW w:w="1986" w:type="pct"/>
            <w:gridSpan w:val="4"/>
            <w:tcBorders>
              <w:tl2br w:val="nil"/>
              <w:tr2bl w:val="nil"/>
            </w:tcBorders>
            <w:vAlign w:val="center"/>
          </w:tcPr>
          <w:p w14:paraId="2507ABA3">
            <w:pPr>
              <w:pStyle w:val="41"/>
              <w:rPr>
                <w:color w:val="auto"/>
                <w:highlight w:val="none"/>
              </w:rPr>
            </w:pPr>
            <w:r>
              <w:rPr>
                <w:color w:val="auto"/>
                <w:highlight w:val="none"/>
              </w:rPr>
              <w:t>生态环境保护主管部门□；补充监测</w:t>
            </w:r>
            <w:r>
              <w:rPr>
                <w:rFonts w:hint="eastAsia"/>
                <w:color w:val="auto"/>
                <w:highlight w:val="none"/>
              </w:rPr>
              <w:t>□</w:t>
            </w:r>
            <w:r>
              <w:rPr>
                <w:color w:val="auto"/>
                <w:highlight w:val="none"/>
              </w:rPr>
              <w:t>；其他□</w:t>
            </w:r>
          </w:p>
        </w:tc>
      </w:tr>
      <w:tr w14:paraId="064245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507C435D">
            <w:pPr>
              <w:pStyle w:val="41"/>
              <w:rPr>
                <w:color w:val="auto"/>
                <w:highlight w:val="none"/>
              </w:rPr>
            </w:pPr>
          </w:p>
        </w:tc>
        <w:tc>
          <w:tcPr>
            <w:tcW w:w="718" w:type="pct"/>
            <w:tcBorders>
              <w:tl2br w:val="nil"/>
              <w:tr2bl w:val="nil"/>
            </w:tcBorders>
            <w:vAlign w:val="center"/>
          </w:tcPr>
          <w:p w14:paraId="4A3118D5">
            <w:pPr>
              <w:pStyle w:val="41"/>
              <w:rPr>
                <w:color w:val="auto"/>
                <w:highlight w:val="none"/>
              </w:rPr>
            </w:pPr>
            <w:r>
              <w:rPr>
                <w:color w:val="auto"/>
                <w:highlight w:val="none"/>
              </w:rPr>
              <w:t>区域水资源开发利用状况</w:t>
            </w:r>
          </w:p>
        </w:tc>
        <w:tc>
          <w:tcPr>
            <w:tcW w:w="4070" w:type="pct"/>
            <w:gridSpan w:val="7"/>
            <w:tcBorders>
              <w:tl2br w:val="nil"/>
              <w:tr2bl w:val="nil"/>
            </w:tcBorders>
            <w:vAlign w:val="center"/>
          </w:tcPr>
          <w:p w14:paraId="5892793F">
            <w:pPr>
              <w:pStyle w:val="41"/>
              <w:rPr>
                <w:color w:val="auto"/>
                <w:highlight w:val="none"/>
              </w:rPr>
            </w:pPr>
            <w:r>
              <w:rPr>
                <w:color w:val="auto"/>
                <w:highlight w:val="none"/>
              </w:rPr>
              <w:t>未开发□；开发量40%以下□；开发量40%以上□</w:t>
            </w:r>
          </w:p>
        </w:tc>
      </w:tr>
      <w:tr w14:paraId="0AAAFA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377F49A3">
            <w:pPr>
              <w:pStyle w:val="41"/>
              <w:rPr>
                <w:color w:val="auto"/>
                <w:highlight w:val="none"/>
              </w:rPr>
            </w:pPr>
          </w:p>
        </w:tc>
        <w:tc>
          <w:tcPr>
            <w:tcW w:w="718" w:type="pct"/>
            <w:vMerge w:val="restart"/>
            <w:tcBorders>
              <w:tl2br w:val="nil"/>
              <w:tr2bl w:val="nil"/>
            </w:tcBorders>
            <w:vAlign w:val="center"/>
          </w:tcPr>
          <w:p w14:paraId="2938D2F3">
            <w:pPr>
              <w:pStyle w:val="41"/>
              <w:rPr>
                <w:color w:val="auto"/>
                <w:highlight w:val="none"/>
              </w:rPr>
            </w:pPr>
            <w:r>
              <w:rPr>
                <w:color w:val="auto"/>
                <w:highlight w:val="none"/>
              </w:rPr>
              <w:t>水文情势调查</w:t>
            </w:r>
          </w:p>
        </w:tc>
        <w:tc>
          <w:tcPr>
            <w:tcW w:w="2083" w:type="pct"/>
            <w:gridSpan w:val="3"/>
            <w:tcBorders>
              <w:tl2br w:val="nil"/>
              <w:tr2bl w:val="nil"/>
            </w:tcBorders>
            <w:vAlign w:val="center"/>
          </w:tcPr>
          <w:p w14:paraId="04017ADD">
            <w:pPr>
              <w:pStyle w:val="41"/>
              <w:rPr>
                <w:color w:val="auto"/>
                <w:highlight w:val="none"/>
              </w:rPr>
            </w:pPr>
            <w:r>
              <w:rPr>
                <w:color w:val="auto"/>
                <w:highlight w:val="none"/>
              </w:rPr>
              <w:t>调查时期</w:t>
            </w:r>
          </w:p>
        </w:tc>
        <w:tc>
          <w:tcPr>
            <w:tcW w:w="1986" w:type="pct"/>
            <w:gridSpan w:val="4"/>
            <w:tcBorders>
              <w:tl2br w:val="nil"/>
              <w:tr2bl w:val="nil"/>
            </w:tcBorders>
            <w:vAlign w:val="center"/>
          </w:tcPr>
          <w:p w14:paraId="47D327CF">
            <w:pPr>
              <w:pStyle w:val="41"/>
              <w:rPr>
                <w:color w:val="auto"/>
                <w:highlight w:val="none"/>
              </w:rPr>
            </w:pPr>
            <w:r>
              <w:rPr>
                <w:color w:val="auto"/>
                <w:highlight w:val="none"/>
              </w:rPr>
              <w:t>数据来源</w:t>
            </w:r>
          </w:p>
        </w:tc>
      </w:tr>
      <w:tr w14:paraId="59D18F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5C59EE13">
            <w:pPr>
              <w:pStyle w:val="41"/>
              <w:rPr>
                <w:color w:val="auto"/>
                <w:highlight w:val="none"/>
              </w:rPr>
            </w:pPr>
          </w:p>
        </w:tc>
        <w:tc>
          <w:tcPr>
            <w:tcW w:w="718" w:type="pct"/>
            <w:vMerge w:val="continue"/>
            <w:tcBorders>
              <w:tl2br w:val="nil"/>
              <w:tr2bl w:val="nil"/>
            </w:tcBorders>
            <w:vAlign w:val="center"/>
          </w:tcPr>
          <w:p w14:paraId="010F315D">
            <w:pPr>
              <w:pStyle w:val="41"/>
              <w:rPr>
                <w:color w:val="auto"/>
                <w:highlight w:val="none"/>
              </w:rPr>
            </w:pPr>
          </w:p>
        </w:tc>
        <w:tc>
          <w:tcPr>
            <w:tcW w:w="2083" w:type="pct"/>
            <w:gridSpan w:val="3"/>
            <w:tcBorders>
              <w:tl2br w:val="nil"/>
              <w:tr2bl w:val="nil"/>
            </w:tcBorders>
            <w:vAlign w:val="center"/>
          </w:tcPr>
          <w:p w14:paraId="3EE563D3">
            <w:pPr>
              <w:pStyle w:val="41"/>
              <w:rPr>
                <w:color w:val="auto"/>
                <w:highlight w:val="none"/>
              </w:rPr>
            </w:pPr>
            <w:r>
              <w:rPr>
                <w:color w:val="auto"/>
                <w:highlight w:val="none"/>
              </w:rPr>
              <w:t>丰水期□；平水期□；枯水期□；冰封期□</w:t>
            </w:r>
          </w:p>
          <w:p w14:paraId="0133617C">
            <w:pPr>
              <w:pStyle w:val="41"/>
              <w:rPr>
                <w:color w:val="auto"/>
                <w:highlight w:val="none"/>
              </w:rPr>
            </w:pPr>
            <w:r>
              <w:rPr>
                <w:color w:val="auto"/>
                <w:highlight w:val="none"/>
              </w:rPr>
              <w:t>春季□；夏季□；秋季□；冬季□</w:t>
            </w:r>
          </w:p>
        </w:tc>
        <w:tc>
          <w:tcPr>
            <w:tcW w:w="1986" w:type="pct"/>
            <w:gridSpan w:val="4"/>
            <w:tcBorders>
              <w:tl2br w:val="nil"/>
              <w:tr2bl w:val="nil"/>
            </w:tcBorders>
            <w:vAlign w:val="center"/>
          </w:tcPr>
          <w:p w14:paraId="2B2F8A18">
            <w:pPr>
              <w:pStyle w:val="41"/>
              <w:rPr>
                <w:color w:val="auto"/>
                <w:highlight w:val="none"/>
              </w:rPr>
            </w:pPr>
            <w:r>
              <w:rPr>
                <w:color w:val="auto"/>
                <w:highlight w:val="none"/>
              </w:rPr>
              <w:t>水行政主管部门□；补充监测□；其他□</w:t>
            </w:r>
          </w:p>
        </w:tc>
      </w:tr>
      <w:tr w14:paraId="7F0DCC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577997EA">
            <w:pPr>
              <w:pStyle w:val="41"/>
              <w:rPr>
                <w:color w:val="auto"/>
                <w:highlight w:val="none"/>
              </w:rPr>
            </w:pPr>
          </w:p>
        </w:tc>
        <w:tc>
          <w:tcPr>
            <w:tcW w:w="718" w:type="pct"/>
            <w:vMerge w:val="restart"/>
            <w:tcBorders>
              <w:tl2br w:val="nil"/>
              <w:tr2bl w:val="nil"/>
            </w:tcBorders>
            <w:vAlign w:val="center"/>
          </w:tcPr>
          <w:p w14:paraId="6EC5DFB2">
            <w:pPr>
              <w:pStyle w:val="41"/>
              <w:rPr>
                <w:color w:val="auto"/>
                <w:highlight w:val="none"/>
              </w:rPr>
            </w:pPr>
            <w:r>
              <w:rPr>
                <w:color w:val="auto"/>
                <w:highlight w:val="none"/>
              </w:rPr>
              <w:t>补充监测</w:t>
            </w:r>
          </w:p>
        </w:tc>
        <w:tc>
          <w:tcPr>
            <w:tcW w:w="2083" w:type="pct"/>
            <w:gridSpan w:val="3"/>
            <w:tcBorders>
              <w:tl2br w:val="nil"/>
              <w:tr2bl w:val="nil"/>
            </w:tcBorders>
            <w:vAlign w:val="center"/>
          </w:tcPr>
          <w:p w14:paraId="38239AE3">
            <w:pPr>
              <w:pStyle w:val="41"/>
              <w:rPr>
                <w:color w:val="auto"/>
                <w:highlight w:val="none"/>
              </w:rPr>
            </w:pPr>
            <w:r>
              <w:rPr>
                <w:color w:val="auto"/>
                <w:highlight w:val="none"/>
              </w:rPr>
              <w:t>监测时期</w:t>
            </w:r>
          </w:p>
        </w:tc>
        <w:tc>
          <w:tcPr>
            <w:tcW w:w="956" w:type="pct"/>
            <w:gridSpan w:val="3"/>
            <w:tcBorders>
              <w:tl2br w:val="nil"/>
              <w:tr2bl w:val="nil"/>
            </w:tcBorders>
            <w:vAlign w:val="center"/>
          </w:tcPr>
          <w:p w14:paraId="48F9CD9B">
            <w:pPr>
              <w:pStyle w:val="41"/>
              <w:rPr>
                <w:color w:val="auto"/>
                <w:highlight w:val="none"/>
              </w:rPr>
            </w:pPr>
            <w:r>
              <w:rPr>
                <w:color w:val="auto"/>
                <w:highlight w:val="none"/>
              </w:rPr>
              <w:t>监测因子</w:t>
            </w:r>
          </w:p>
        </w:tc>
        <w:tc>
          <w:tcPr>
            <w:tcW w:w="1029" w:type="pct"/>
            <w:tcBorders>
              <w:tl2br w:val="nil"/>
              <w:tr2bl w:val="nil"/>
            </w:tcBorders>
            <w:vAlign w:val="center"/>
          </w:tcPr>
          <w:p w14:paraId="325196AA">
            <w:pPr>
              <w:pStyle w:val="41"/>
              <w:rPr>
                <w:color w:val="auto"/>
                <w:highlight w:val="none"/>
              </w:rPr>
            </w:pPr>
            <w:r>
              <w:rPr>
                <w:color w:val="auto"/>
                <w:highlight w:val="none"/>
              </w:rPr>
              <w:t>监测断面或点位</w:t>
            </w:r>
          </w:p>
        </w:tc>
      </w:tr>
      <w:tr w14:paraId="58EB40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4F59F5D3">
            <w:pPr>
              <w:pStyle w:val="41"/>
              <w:rPr>
                <w:color w:val="auto"/>
                <w:highlight w:val="none"/>
              </w:rPr>
            </w:pPr>
          </w:p>
        </w:tc>
        <w:tc>
          <w:tcPr>
            <w:tcW w:w="718" w:type="pct"/>
            <w:vMerge w:val="continue"/>
            <w:tcBorders>
              <w:tl2br w:val="nil"/>
              <w:tr2bl w:val="nil"/>
            </w:tcBorders>
            <w:vAlign w:val="center"/>
          </w:tcPr>
          <w:p w14:paraId="49387718">
            <w:pPr>
              <w:pStyle w:val="41"/>
              <w:rPr>
                <w:color w:val="auto"/>
                <w:highlight w:val="none"/>
              </w:rPr>
            </w:pPr>
          </w:p>
        </w:tc>
        <w:tc>
          <w:tcPr>
            <w:tcW w:w="2083" w:type="pct"/>
            <w:gridSpan w:val="3"/>
            <w:tcBorders>
              <w:tl2br w:val="nil"/>
              <w:tr2bl w:val="nil"/>
            </w:tcBorders>
            <w:vAlign w:val="center"/>
          </w:tcPr>
          <w:p w14:paraId="163DAC96">
            <w:pPr>
              <w:pStyle w:val="41"/>
              <w:rPr>
                <w:color w:val="auto"/>
                <w:highlight w:val="none"/>
              </w:rPr>
            </w:pPr>
            <w:r>
              <w:rPr>
                <w:color w:val="auto"/>
                <w:highlight w:val="none"/>
              </w:rPr>
              <w:t>丰水期□；平水期</w:t>
            </w:r>
            <w:r>
              <w:rPr>
                <w:rFonts w:hint="eastAsia"/>
                <w:color w:val="auto"/>
                <w:highlight w:val="none"/>
              </w:rPr>
              <w:t>☑</w:t>
            </w:r>
            <w:r>
              <w:rPr>
                <w:color w:val="auto"/>
                <w:highlight w:val="none"/>
              </w:rPr>
              <w:t>；枯水期□；冰封期□</w:t>
            </w:r>
          </w:p>
          <w:p w14:paraId="5712BA4D">
            <w:pPr>
              <w:pStyle w:val="41"/>
              <w:rPr>
                <w:color w:val="auto"/>
                <w:highlight w:val="none"/>
              </w:rPr>
            </w:pPr>
            <w:r>
              <w:rPr>
                <w:color w:val="auto"/>
                <w:highlight w:val="none"/>
              </w:rPr>
              <w:t>春季</w:t>
            </w:r>
            <w:r>
              <w:rPr>
                <w:rFonts w:hint="eastAsia"/>
                <w:color w:val="auto"/>
                <w:highlight w:val="none"/>
              </w:rPr>
              <w:t>☑</w:t>
            </w:r>
            <w:r>
              <w:rPr>
                <w:color w:val="auto"/>
                <w:highlight w:val="none"/>
              </w:rPr>
              <w:t>；夏季□；秋季□；冬季□</w:t>
            </w:r>
          </w:p>
        </w:tc>
        <w:tc>
          <w:tcPr>
            <w:tcW w:w="956" w:type="pct"/>
            <w:gridSpan w:val="3"/>
            <w:tcBorders>
              <w:tl2br w:val="nil"/>
              <w:tr2bl w:val="nil"/>
            </w:tcBorders>
            <w:vAlign w:val="center"/>
          </w:tcPr>
          <w:p w14:paraId="04820494">
            <w:pPr>
              <w:pStyle w:val="41"/>
              <w:rPr>
                <w:color w:val="auto"/>
                <w:highlight w:val="none"/>
              </w:rPr>
            </w:pPr>
            <w:r>
              <w:rPr>
                <w:color w:val="auto"/>
                <w:highlight w:val="none"/>
              </w:rPr>
              <w:t>（pH 、氨氮、溶解氧、COD 、BOD 、高锰酸盐指数、悬浮物、总磷、总氮、石油类、铁）</w:t>
            </w:r>
          </w:p>
        </w:tc>
        <w:tc>
          <w:tcPr>
            <w:tcW w:w="1029" w:type="pct"/>
            <w:tcBorders>
              <w:tl2br w:val="nil"/>
              <w:tr2bl w:val="nil"/>
            </w:tcBorders>
            <w:vAlign w:val="center"/>
          </w:tcPr>
          <w:p w14:paraId="0AF644C3">
            <w:pPr>
              <w:pStyle w:val="41"/>
              <w:rPr>
                <w:color w:val="auto"/>
                <w:highlight w:val="none"/>
              </w:rPr>
            </w:pPr>
            <w:r>
              <w:rPr>
                <w:color w:val="auto"/>
                <w:highlight w:val="none"/>
              </w:rPr>
              <w:t>监测断面或点位个数</w:t>
            </w:r>
          </w:p>
          <w:p w14:paraId="24B899A6">
            <w:pPr>
              <w:pStyle w:val="41"/>
              <w:rPr>
                <w:color w:val="auto"/>
                <w:highlight w:val="none"/>
              </w:rPr>
            </w:pPr>
            <w:r>
              <w:rPr>
                <w:color w:val="auto"/>
                <w:highlight w:val="none"/>
              </w:rPr>
              <w:t>（</w:t>
            </w:r>
            <w:r>
              <w:rPr>
                <w:rFonts w:hint="eastAsia"/>
                <w:color w:val="auto"/>
                <w:highlight w:val="none"/>
              </w:rPr>
              <w:t>2</w:t>
            </w:r>
            <w:r>
              <w:rPr>
                <w:color w:val="auto"/>
                <w:highlight w:val="none"/>
              </w:rPr>
              <w:t>）个</w:t>
            </w:r>
          </w:p>
        </w:tc>
      </w:tr>
      <w:tr w14:paraId="4E8499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restart"/>
            <w:tcBorders>
              <w:tl2br w:val="nil"/>
              <w:tr2bl w:val="nil"/>
            </w:tcBorders>
            <w:vAlign w:val="center"/>
          </w:tcPr>
          <w:p w14:paraId="541A6934">
            <w:pPr>
              <w:pStyle w:val="41"/>
              <w:rPr>
                <w:color w:val="auto"/>
                <w:highlight w:val="none"/>
              </w:rPr>
            </w:pPr>
            <w:r>
              <w:rPr>
                <w:color w:val="auto"/>
                <w:highlight w:val="none"/>
              </w:rPr>
              <w:t>现状评价</w:t>
            </w:r>
          </w:p>
        </w:tc>
        <w:tc>
          <w:tcPr>
            <w:tcW w:w="718" w:type="pct"/>
            <w:tcBorders>
              <w:tl2br w:val="nil"/>
              <w:tr2bl w:val="nil"/>
            </w:tcBorders>
            <w:vAlign w:val="center"/>
          </w:tcPr>
          <w:p w14:paraId="1442C324">
            <w:pPr>
              <w:pStyle w:val="41"/>
              <w:rPr>
                <w:color w:val="auto"/>
                <w:highlight w:val="none"/>
              </w:rPr>
            </w:pPr>
            <w:r>
              <w:rPr>
                <w:color w:val="auto"/>
                <w:highlight w:val="none"/>
              </w:rPr>
              <w:t>评价范围</w:t>
            </w:r>
          </w:p>
        </w:tc>
        <w:tc>
          <w:tcPr>
            <w:tcW w:w="4070" w:type="pct"/>
            <w:gridSpan w:val="7"/>
            <w:tcBorders>
              <w:tl2br w:val="nil"/>
              <w:tr2bl w:val="nil"/>
            </w:tcBorders>
            <w:vAlign w:val="center"/>
          </w:tcPr>
          <w:p w14:paraId="6044E7FC">
            <w:pPr>
              <w:pStyle w:val="41"/>
              <w:rPr>
                <w:color w:val="auto"/>
                <w:highlight w:val="none"/>
              </w:rPr>
            </w:pPr>
            <w:r>
              <w:rPr>
                <w:color w:val="auto"/>
                <w:highlight w:val="none"/>
              </w:rPr>
              <w:t>河流：长度（/）km；湖库、河口及近岸海域：面积（/）km2</w:t>
            </w:r>
          </w:p>
        </w:tc>
      </w:tr>
      <w:tr w14:paraId="6D459D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4FFAB269">
            <w:pPr>
              <w:pStyle w:val="41"/>
              <w:rPr>
                <w:color w:val="auto"/>
                <w:highlight w:val="none"/>
              </w:rPr>
            </w:pPr>
          </w:p>
        </w:tc>
        <w:tc>
          <w:tcPr>
            <w:tcW w:w="718" w:type="pct"/>
            <w:tcBorders>
              <w:tl2br w:val="nil"/>
              <w:tr2bl w:val="nil"/>
            </w:tcBorders>
            <w:vAlign w:val="center"/>
          </w:tcPr>
          <w:p w14:paraId="5F9B34E4">
            <w:pPr>
              <w:pStyle w:val="41"/>
              <w:rPr>
                <w:color w:val="auto"/>
                <w:highlight w:val="none"/>
              </w:rPr>
            </w:pPr>
            <w:r>
              <w:rPr>
                <w:color w:val="auto"/>
                <w:highlight w:val="none"/>
              </w:rPr>
              <w:t>评价因子</w:t>
            </w:r>
          </w:p>
        </w:tc>
        <w:tc>
          <w:tcPr>
            <w:tcW w:w="4070" w:type="pct"/>
            <w:gridSpan w:val="7"/>
            <w:tcBorders>
              <w:tl2br w:val="nil"/>
              <w:tr2bl w:val="nil"/>
            </w:tcBorders>
            <w:vAlign w:val="center"/>
          </w:tcPr>
          <w:p w14:paraId="60490B5B">
            <w:pPr>
              <w:pStyle w:val="41"/>
              <w:rPr>
                <w:color w:val="auto"/>
                <w:highlight w:val="none"/>
              </w:rPr>
            </w:pPr>
            <w:r>
              <w:rPr>
                <w:color w:val="auto"/>
                <w:highlight w:val="none"/>
              </w:rPr>
              <w:t>/</w:t>
            </w:r>
          </w:p>
        </w:tc>
      </w:tr>
      <w:tr w14:paraId="0F60F8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22C7FD84">
            <w:pPr>
              <w:pStyle w:val="41"/>
              <w:rPr>
                <w:color w:val="auto"/>
                <w:highlight w:val="none"/>
              </w:rPr>
            </w:pPr>
          </w:p>
        </w:tc>
        <w:tc>
          <w:tcPr>
            <w:tcW w:w="718" w:type="pct"/>
            <w:tcBorders>
              <w:tl2br w:val="nil"/>
              <w:tr2bl w:val="nil"/>
            </w:tcBorders>
            <w:vAlign w:val="center"/>
          </w:tcPr>
          <w:p w14:paraId="6D556CD2">
            <w:pPr>
              <w:pStyle w:val="41"/>
              <w:rPr>
                <w:color w:val="auto"/>
                <w:highlight w:val="none"/>
              </w:rPr>
            </w:pPr>
            <w:r>
              <w:rPr>
                <w:color w:val="auto"/>
                <w:highlight w:val="none"/>
              </w:rPr>
              <w:t>评价标准</w:t>
            </w:r>
          </w:p>
        </w:tc>
        <w:tc>
          <w:tcPr>
            <w:tcW w:w="4070" w:type="pct"/>
            <w:gridSpan w:val="7"/>
            <w:tcBorders>
              <w:tl2br w:val="nil"/>
              <w:tr2bl w:val="nil"/>
            </w:tcBorders>
            <w:vAlign w:val="center"/>
          </w:tcPr>
          <w:p w14:paraId="013C9327">
            <w:pPr>
              <w:pStyle w:val="41"/>
              <w:rPr>
                <w:color w:val="auto"/>
                <w:highlight w:val="none"/>
              </w:rPr>
            </w:pPr>
            <w:r>
              <w:rPr>
                <w:color w:val="auto"/>
                <w:highlight w:val="none"/>
              </w:rPr>
              <w:t>河流、湖库、河口：Ⅰ类□；Ⅱ类</w:t>
            </w:r>
            <w:r>
              <w:rPr>
                <w:rFonts w:hint="eastAsia"/>
                <w:color w:val="auto"/>
                <w:highlight w:val="none"/>
              </w:rPr>
              <w:t>☑</w:t>
            </w:r>
            <w:r>
              <w:rPr>
                <w:color w:val="auto"/>
                <w:highlight w:val="none"/>
              </w:rPr>
              <w:t>；Ⅲ类□；Ⅳ类□；Ⅴ类□近岸海域：第一类□；第二类□；第三类□；第四类□</w:t>
            </w:r>
          </w:p>
          <w:p w14:paraId="0BE5F126">
            <w:pPr>
              <w:pStyle w:val="41"/>
              <w:rPr>
                <w:color w:val="auto"/>
                <w:highlight w:val="none"/>
              </w:rPr>
            </w:pPr>
            <w:r>
              <w:rPr>
                <w:color w:val="auto"/>
                <w:highlight w:val="none"/>
              </w:rPr>
              <w:t>规划年评价标准（）</w:t>
            </w:r>
          </w:p>
        </w:tc>
      </w:tr>
      <w:tr w14:paraId="22D9A0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161EA71E">
            <w:pPr>
              <w:pStyle w:val="41"/>
              <w:rPr>
                <w:color w:val="auto"/>
                <w:highlight w:val="none"/>
              </w:rPr>
            </w:pPr>
          </w:p>
        </w:tc>
        <w:tc>
          <w:tcPr>
            <w:tcW w:w="718" w:type="pct"/>
            <w:tcBorders>
              <w:tl2br w:val="nil"/>
              <w:tr2bl w:val="nil"/>
            </w:tcBorders>
            <w:vAlign w:val="center"/>
          </w:tcPr>
          <w:p w14:paraId="30FDD8EB">
            <w:pPr>
              <w:pStyle w:val="41"/>
              <w:rPr>
                <w:color w:val="auto"/>
                <w:highlight w:val="none"/>
              </w:rPr>
            </w:pPr>
            <w:r>
              <w:rPr>
                <w:color w:val="auto"/>
                <w:highlight w:val="none"/>
              </w:rPr>
              <w:t>评价时期</w:t>
            </w:r>
          </w:p>
        </w:tc>
        <w:tc>
          <w:tcPr>
            <w:tcW w:w="4070" w:type="pct"/>
            <w:gridSpan w:val="7"/>
            <w:tcBorders>
              <w:tl2br w:val="nil"/>
              <w:tr2bl w:val="nil"/>
            </w:tcBorders>
            <w:vAlign w:val="center"/>
          </w:tcPr>
          <w:p w14:paraId="1577753F">
            <w:pPr>
              <w:pStyle w:val="41"/>
              <w:rPr>
                <w:color w:val="auto"/>
                <w:highlight w:val="none"/>
              </w:rPr>
            </w:pPr>
            <w:r>
              <w:rPr>
                <w:color w:val="auto"/>
                <w:highlight w:val="none"/>
              </w:rPr>
              <w:t>丰水期□；平水期</w:t>
            </w:r>
            <w:r>
              <w:rPr>
                <w:rFonts w:hint="eastAsia"/>
                <w:color w:val="auto"/>
                <w:highlight w:val="none"/>
              </w:rPr>
              <w:t>☑</w:t>
            </w:r>
            <w:r>
              <w:rPr>
                <w:color w:val="auto"/>
                <w:highlight w:val="none"/>
              </w:rPr>
              <w:t>；枯水期□；冰封期□春季□；夏季□；秋季□；冬季□</w:t>
            </w:r>
          </w:p>
        </w:tc>
      </w:tr>
      <w:tr w14:paraId="5D449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11F8EA6A">
            <w:pPr>
              <w:pStyle w:val="41"/>
              <w:rPr>
                <w:color w:val="auto"/>
                <w:highlight w:val="none"/>
              </w:rPr>
            </w:pPr>
          </w:p>
        </w:tc>
        <w:tc>
          <w:tcPr>
            <w:tcW w:w="718" w:type="pct"/>
            <w:tcBorders>
              <w:tl2br w:val="nil"/>
              <w:tr2bl w:val="nil"/>
            </w:tcBorders>
            <w:vAlign w:val="center"/>
          </w:tcPr>
          <w:p w14:paraId="15459B9F">
            <w:pPr>
              <w:pStyle w:val="41"/>
              <w:rPr>
                <w:color w:val="auto"/>
                <w:highlight w:val="none"/>
              </w:rPr>
            </w:pPr>
            <w:r>
              <w:rPr>
                <w:color w:val="auto"/>
                <w:highlight w:val="none"/>
              </w:rPr>
              <w:t>评价结论</w:t>
            </w:r>
          </w:p>
        </w:tc>
        <w:tc>
          <w:tcPr>
            <w:tcW w:w="2083" w:type="pct"/>
            <w:gridSpan w:val="3"/>
            <w:tcBorders>
              <w:tl2br w:val="nil"/>
              <w:tr2bl w:val="nil"/>
            </w:tcBorders>
            <w:vAlign w:val="center"/>
          </w:tcPr>
          <w:p w14:paraId="2A6FD9F3">
            <w:pPr>
              <w:pStyle w:val="41"/>
              <w:rPr>
                <w:color w:val="auto"/>
                <w:highlight w:val="none"/>
              </w:rPr>
            </w:pPr>
            <w:r>
              <w:rPr>
                <w:color w:val="auto"/>
                <w:highlight w:val="none"/>
              </w:rPr>
              <w:t>水环境功能区或水功能区、近岸海域环境功能区水质达标状况：达标</w:t>
            </w:r>
            <w:r>
              <w:rPr>
                <w:rFonts w:hint="eastAsia"/>
                <w:color w:val="auto"/>
                <w:highlight w:val="none"/>
              </w:rPr>
              <w:t>☑</w:t>
            </w:r>
            <w:r>
              <w:rPr>
                <w:color w:val="auto"/>
                <w:highlight w:val="none"/>
              </w:rPr>
              <w:t>；不达标□水环境控制单元或断面水质达标状况：达标□；不达标□水环境保护目标质量状况：达标□；不达标□对照断面、控制断面等代表性断面的水质状况：达标□；不达标□底泥污染评价□水资源与开发利用程度及其水文情势评价□水环境质量回顾评价□流域（区域）水资源（包括水能资源）与开发利用总体状况、生态流量管理要求与现状满足程度、建设项目占用水域空间的水流状况与河湖演变状况□依托污水处理设施稳定达标排放评价□</w:t>
            </w:r>
          </w:p>
        </w:tc>
        <w:tc>
          <w:tcPr>
            <w:tcW w:w="1986" w:type="pct"/>
            <w:gridSpan w:val="4"/>
            <w:tcBorders>
              <w:tl2br w:val="nil"/>
              <w:tr2bl w:val="nil"/>
            </w:tcBorders>
            <w:vAlign w:val="center"/>
          </w:tcPr>
          <w:p w14:paraId="2008FD6F">
            <w:pPr>
              <w:pStyle w:val="41"/>
              <w:rPr>
                <w:color w:val="auto"/>
                <w:highlight w:val="none"/>
              </w:rPr>
            </w:pPr>
            <w:r>
              <w:rPr>
                <w:color w:val="auto"/>
                <w:highlight w:val="none"/>
              </w:rPr>
              <w:t>达标区</w:t>
            </w:r>
            <w:r>
              <w:rPr>
                <w:rFonts w:hint="eastAsia"/>
                <w:color w:val="auto"/>
                <w:highlight w:val="none"/>
              </w:rPr>
              <w:t>☑</w:t>
            </w:r>
          </w:p>
          <w:p w14:paraId="13EF455C">
            <w:pPr>
              <w:pStyle w:val="41"/>
              <w:rPr>
                <w:color w:val="auto"/>
                <w:highlight w:val="none"/>
              </w:rPr>
            </w:pPr>
            <w:r>
              <w:rPr>
                <w:color w:val="auto"/>
                <w:highlight w:val="none"/>
              </w:rPr>
              <w:t>不达标区□</w:t>
            </w:r>
          </w:p>
        </w:tc>
      </w:tr>
      <w:tr w14:paraId="3664B8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restart"/>
            <w:tcBorders>
              <w:tl2br w:val="nil"/>
              <w:tr2bl w:val="nil"/>
            </w:tcBorders>
            <w:vAlign w:val="center"/>
          </w:tcPr>
          <w:p w14:paraId="2B0E6644">
            <w:pPr>
              <w:pStyle w:val="41"/>
              <w:rPr>
                <w:color w:val="auto"/>
                <w:highlight w:val="none"/>
              </w:rPr>
            </w:pPr>
            <w:r>
              <w:rPr>
                <w:color w:val="auto"/>
                <w:highlight w:val="none"/>
              </w:rPr>
              <w:t>影响预测</w:t>
            </w:r>
          </w:p>
        </w:tc>
        <w:tc>
          <w:tcPr>
            <w:tcW w:w="718" w:type="pct"/>
            <w:tcBorders>
              <w:tl2br w:val="nil"/>
              <w:tr2bl w:val="nil"/>
            </w:tcBorders>
            <w:vAlign w:val="center"/>
          </w:tcPr>
          <w:p w14:paraId="62760762">
            <w:pPr>
              <w:pStyle w:val="41"/>
              <w:rPr>
                <w:color w:val="auto"/>
                <w:highlight w:val="none"/>
              </w:rPr>
            </w:pPr>
            <w:r>
              <w:rPr>
                <w:color w:val="auto"/>
                <w:highlight w:val="none"/>
              </w:rPr>
              <w:t>预测范围</w:t>
            </w:r>
          </w:p>
        </w:tc>
        <w:tc>
          <w:tcPr>
            <w:tcW w:w="4070" w:type="pct"/>
            <w:gridSpan w:val="7"/>
            <w:tcBorders>
              <w:tl2br w:val="nil"/>
              <w:tr2bl w:val="nil"/>
            </w:tcBorders>
            <w:vAlign w:val="center"/>
          </w:tcPr>
          <w:p w14:paraId="65061BC8">
            <w:pPr>
              <w:pStyle w:val="41"/>
              <w:rPr>
                <w:color w:val="auto"/>
                <w:highlight w:val="none"/>
              </w:rPr>
            </w:pPr>
            <w:r>
              <w:rPr>
                <w:color w:val="auto"/>
                <w:highlight w:val="none"/>
              </w:rPr>
              <w:t>河流：长度（/）km；湖库、河口及近岸海域：面积（/）km2</w:t>
            </w:r>
          </w:p>
        </w:tc>
      </w:tr>
      <w:tr w14:paraId="27F37A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50F58FE1">
            <w:pPr>
              <w:pStyle w:val="41"/>
              <w:rPr>
                <w:color w:val="auto"/>
                <w:highlight w:val="none"/>
              </w:rPr>
            </w:pPr>
          </w:p>
        </w:tc>
        <w:tc>
          <w:tcPr>
            <w:tcW w:w="718" w:type="pct"/>
            <w:tcBorders>
              <w:tl2br w:val="nil"/>
              <w:tr2bl w:val="nil"/>
            </w:tcBorders>
            <w:vAlign w:val="center"/>
          </w:tcPr>
          <w:p w14:paraId="779D9DAD">
            <w:pPr>
              <w:pStyle w:val="41"/>
              <w:rPr>
                <w:color w:val="auto"/>
                <w:highlight w:val="none"/>
              </w:rPr>
            </w:pPr>
            <w:r>
              <w:rPr>
                <w:color w:val="auto"/>
                <w:highlight w:val="none"/>
              </w:rPr>
              <w:t>预测因子</w:t>
            </w:r>
          </w:p>
        </w:tc>
        <w:tc>
          <w:tcPr>
            <w:tcW w:w="4070" w:type="pct"/>
            <w:gridSpan w:val="7"/>
            <w:tcBorders>
              <w:tl2br w:val="nil"/>
              <w:tr2bl w:val="nil"/>
            </w:tcBorders>
            <w:vAlign w:val="center"/>
          </w:tcPr>
          <w:p w14:paraId="74B6E81C">
            <w:pPr>
              <w:pStyle w:val="41"/>
              <w:rPr>
                <w:color w:val="auto"/>
                <w:highlight w:val="none"/>
              </w:rPr>
            </w:pPr>
            <w:r>
              <w:rPr>
                <w:color w:val="auto"/>
                <w:highlight w:val="none"/>
              </w:rPr>
              <w:t>（/）</w:t>
            </w:r>
          </w:p>
        </w:tc>
      </w:tr>
      <w:tr w14:paraId="40E5D6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42B0465D">
            <w:pPr>
              <w:pStyle w:val="41"/>
              <w:rPr>
                <w:color w:val="auto"/>
                <w:highlight w:val="none"/>
              </w:rPr>
            </w:pPr>
          </w:p>
        </w:tc>
        <w:tc>
          <w:tcPr>
            <w:tcW w:w="718" w:type="pct"/>
            <w:tcBorders>
              <w:tl2br w:val="nil"/>
              <w:tr2bl w:val="nil"/>
            </w:tcBorders>
            <w:vAlign w:val="center"/>
          </w:tcPr>
          <w:p w14:paraId="7F8835E6">
            <w:pPr>
              <w:pStyle w:val="41"/>
              <w:rPr>
                <w:color w:val="auto"/>
                <w:highlight w:val="none"/>
              </w:rPr>
            </w:pPr>
            <w:r>
              <w:rPr>
                <w:color w:val="auto"/>
                <w:highlight w:val="none"/>
              </w:rPr>
              <w:t>预测时期</w:t>
            </w:r>
          </w:p>
        </w:tc>
        <w:tc>
          <w:tcPr>
            <w:tcW w:w="4070" w:type="pct"/>
            <w:gridSpan w:val="7"/>
            <w:tcBorders>
              <w:tl2br w:val="nil"/>
              <w:tr2bl w:val="nil"/>
            </w:tcBorders>
            <w:vAlign w:val="center"/>
          </w:tcPr>
          <w:p w14:paraId="2788A9C6">
            <w:pPr>
              <w:pStyle w:val="41"/>
              <w:rPr>
                <w:color w:val="auto"/>
                <w:highlight w:val="none"/>
              </w:rPr>
            </w:pPr>
            <w:r>
              <w:rPr>
                <w:color w:val="auto"/>
                <w:highlight w:val="none"/>
              </w:rPr>
              <w:t>丰水期□；平水期□；枯水期□；冰封期□春季□；夏季□；秋季□；冬季□设计水文条件□</w:t>
            </w:r>
          </w:p>
        </w:tc>
      </w:tr>
      <w:tr w14:paraId="2B360A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4C52FCEF">
            <w:pPr>
              <w:pStyle w:val="41"/>
              <w:rPr>
                <w:color w:val="auto"/>
                <w:highlight w:val="none"/>
              </w:rPr>
            </w:pPr>
          </w:p>
        </w:tc>
        <w:tc>
          <w:tcPr>
            <w:tcW w:w="718" w:type="pct"/>
            <w:tcBorders>
              <w:tl2br w:val="nil"/>
              <w:tr2bl w:val="nil"/>
            </w:tcBorders>
            <w:vAlign w:val="center"/>
          </w:tcPr>
          <w:p w14:paraId="26BE28BA">
            <w:pPr>
              <w:pStyle w:val="41"/>
              <w:rPr>
                <w:color w:val="auto"/>
                <w:highlight w:val="none"/>
              </w:rPr>
            </w:pPr>
            <w:r>
              <w:rPr>
                <w:color w:val="auto"/>
                <w:highlight w:val="none"/>
              </w:rPr>
              <w:t>预测背景</w:t>
            </w:r>
          </w:p>
        </w:tc>
        <w:tc>
          <w:tcPr>
            <w:tcW w:w="4070" w:type="pct"/>
            <w:gridSpan w:val="7"/>
            <w:tcBorders>
              <w:tl2br w:val="nil"/>
              <w:tr2bl w:val="nil"/>
            </w:tcBorders>
            <w:vAlign w:val="center"/>
          </w:tcPr>
          <w:p w14:paraId="682D417B">
            <w:pPr>
              <w:pStyle w:val="41"/>
              <w:rPr>
                <w:color w:val="auto"/>
                <w:highlight w:val="none"/>
              </w:rPr>
            </w:pPr>
            <w:r>
              <w:rPr>
                <w:color w:val="auto"/>
                <w:highlight w:val="none"/>
              </w:rPr>
              <w:t>建设期□；生产运行期□；服务期满后□正常工况□；非正常工况□污染控制和减缓措施方案□区（流）域环境质量改善目标要求情景□</w:t>
            </w:r>
          </w:p>
        </w:tc>
      </w:tr>
      <w:tr w14:paraId="720EE2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5344D734">
            <w:pPr>
              <w:pStyle w:val="41"/>
              <w:rPr>
                <w:color w:val="auto"/>
                <w:highlight w:val="none"/>
              </w:rPr>
            </w:pPr>
          </w:p>
        </w:tc>
        <w:tc>
          <w:tcPr>
            <w:tcW w:w="718" w:type="pct"/>
            <w:tcBorders>
              <w:tl2br w:val="nil"/>
              <w:tr2bl w:val="nil"/>
            </w:tcBorders>
            <w:vAlign w:val="center"/>
          </w:tcPr>
          <w:p w14:paraId="1300DADB">
            <w:pPr>
              <w:pStyle w:val="41"/>
              <w:rPr>
                <w:color w:val="auto"/>
                <w:highlight w:val="none"/>
              </w:rPr>
            </w:pPr>
            <w:r>
              <w:rPr>
                <w:color w:val="auto"/>
                <w:highlight w:val="none"/>
              </w:rPr>
              <w:t>预测方法</w:t>
            </w:r>
          </w:p>
        </w:tc>
        <w:tc>
          <w:tcPr>
            <w:tcW w:w="4070" w:type="pct"/>
            <w:gridSpan w:val="7"/>
            <w:tcBorders>
              <w:tl2br w:val="nil"/>
              <w:tr2bl w:val="nil"/>
            </w:tcBorders>
            <w:vAlign w:val="center"/>
          </w:tcPr>
          <w:p w14:paraId="22D8CBCB">
            <w:pPr>
              <w:pStyle w:val="41"/>
              <w:rPr>
                <w:color w:val="auto"/>
                <w:highlight w:val="none"/>
              </w:rPr>
            </w:pPr>
            <w:r>
              <w:rPr>
                <w:color w:val="auto"/>
                <w:highlight w:val="none"/>
              </w:rPr>
              <w:t>数值解□：解析解□；其他□导则推荐模式□：其他□</w:t>
            </w:r>
          </w:p>
        </w:tc>
      </w:tr>
      <w:tr w14:paraId="2AB93D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restart"/>
            <w:tcBorders>
              <w:tl2br w:val="nil"/>
              <w:tr2bl w:val="nil"/>
            </w:tcBorders>
            <w:vAlign w:val="center"/>
          </w:tcPr>
          <w:p w14:paraId="40057BA7">
            <w:pPr>
              <w:pStyle w:val="41"/>
              <w:rPr>
                <w:color w:val="auto"/>
                <w:highlight w:val="none"/>
              </w:rPr>
            </w:pPr>
            <w:r>
              <w:rPr>
                <w:color w:val="auto"/>
                <w:highlight w:val="none"/>
              </w:rPr>
              <w:t>影响评价</w:t>
            </w:r>
          </w:p>
        </w:tc>
        <w:tc>
          <w:tcPr>
            <w:tcW w:w="718" w:type="pct"/>
            <w:tcBorders>
              <w:tl2br w:val="nil"/>
              <w:tr2bl w:val="nil"/>
            </w:tcBorders>
            <w:vAlign w:val="center"/>
          </w:tcPr>
          <w:p w14:paraId="2D659F18">
            <w:pPr>
              <w:pStyle w:val="41"/>
              <w:rPr>
                <w:color w:val="auto"/>
                <w:highlight w:val="none"/>
              </w:rPr>
            </w:pPr>
            <w:r>
              <w:rPr>
                <w:color w:val="auto"/>
                <w:highlight w:val="none"/>
              </w:rPr>
              <w:t>水污染控制和水环境影响减缓措施有效性评价</w:t>
            </w:r>
          </w:p>
        </w:tc>
        <w:tc>
          <w:tcPr>
            <w:tcW w:w="4070" w:type="pct"/>
            <w:gridSpan w:val="7"/>
            <w:tcBorders>
              <w:tl2br w:val="nil"/>
              <w:tr2bl w:val="nil"/>
            </w:tcBorders>
            <w:vAlign w:val="center"/>
          </w:tcPr>
          <w:p w14:paraId="2E952500">
            <w:pPr>
              <w:pStyle w:val="41"/>
              <w:rPr>
                <w:color w:val="auto"/>
                <w:highlight w:val="none"/>
              </w:rPr>
            </w:pPr>
            <w:r>
              <w:rPr>
                <w:color w:val="auto"/>
                <w:highlight w:val="none"/>
              </w:rPr>
              <w:t>区（流）域水环境质量改善目标□；替代削减源□</w:t>
            </w:r>
          </w:p>
        </w:tc>
      </w:tr>
      <w:tr w14:paraId="46BDCC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1F6DC351">
            <w:pPr>
              <w:pStyle w:val="41"/>
              <w:rPr>
                <w:color w:val="auto"/>
                <w:highlight w:val="none"/>
              </w:rPr>
            </w:pPr>
          </w:p>
        </w:tc>
        <w:tc>
          <w:tcPr>
            <w:tcW w:w="718" w:type="pct"/>
            <w:tcBorders>
              <w:tl2br w:val="nil"/>
              <w:tr2bl w:val="nil"/>
            </w:tcBorders>
            <w:vAlign w:val="center"/>
          </w:tcPr>
          <w:p w14:paraId="50EAC295">
            <w:pPr>
              <w:pStyle w:val="41"/>
              <w:rPr>
                <w:color w:val="auto"/>
                <w:highlight w:val="none"/>
              </w:rPr>
            </w:pPr>
            <w:r>
              <w:rPr>
                <w:color w:val="auto"/>
                <w:highlight w:val="none"/>
              </w:rPr>
              <w:t>水环境影响评价</w:t>
            </w:r>
          </w:p>
        </w:tc>
        <w:tc>
          <w:tcPr>
            <w:tcW w:w="4070" w:type="pct"/>
            <w:gridSpan w:val="7"/>
            <w:tcBorders>
              <w:tl2br w:val="nil"/>
              <w:tr2bl w:val="nil"/>
            </w:tcBorders>
            <w:vAlign w:val="center"/>
          </w:tcPr>
          <w:p w14:paraId="5937A4E5">
            <w:pPr>
              <w:pStyle w:val="41"/>
              <w:rPr>
                <w:color w:val="auto"/>
                <w:highlight w:val="none"/>
              </w:rPr>
            </w:pPr>
            <w:r>
              <w:rPr>
                <w:color w:val="auto"/>
                <w:highlight w:val="none"/>
              </w:rPr>
              <w:t>排放口混合区外满足水环境管理要求□水环境功能区或水功能区、近岸海域环境功能区水质达标□满足水环境保护目标水域水环境质量要求□水环境控制单元或断面水质达标□满足重点水污染物排放总量控制指标要求，重点行业建设项目，主要污染物排放满足等量或减量替代要求□满足区（流）域水环境质量改善目标要求□水文要素影响型建设项目同时应包括水文情势变化评价、主要水文特征值影响评价、生态流量符合性评价□对于新设或调整入河（湖库、近岸海域）排放口的建设项目，应包括排放口设置的环境合理性评价□满足生态保护红线、水环境质量底线、资源利用上线和环境准入清单管理要求□</w:t>
            </w:r>
          </w:p>
        </w:tc>
      </w:tr>
      <w:tr w14:paraId="0A201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7A4A9112">
            <w:pPr>
              <w:pStyle w:val="41"/>
              <w:rPr>
                <w:color w:val="auto"/>
                <w:highlight w:val="none"/>
              </w:rPr>
            </w:pPr>
          </w:p>
        </w:tc>
        <w:tc>
          <w:tcPr>
            <w:tcW w:w="718" w:type="pct"/>
            <w:vMerge w:val="restart"/>
            <w:tcBorders>
              <w:tl2br w:val="nil"/>
              <w:tr2bl w:val="nil"/>
            </w:tcBorders>
            <w:vAlign w:val="center"/>
          </w:tcPr>
          <w:p w14:paraId="19AC6B22">
            <w:pPr>
              <w:pStyle w:val="41"/>
              <w:rPr>
                <w:color w:val="auto"/>
                <w:highlight w:val="none"/>
              </w:rPr>
            </w:pPr>
            <w:r>
              <w:rPr>
                <w:color w:val="auto"/>
                <w:highlight w:val="none"/>
              </w:rPr>
              <w:t>污染物排放量核算</w:t>
            </w:r>
          </w:p>
        </w:tc>
        <w:tc>
          <w:tcPr>
            <w:tcW w:w="1924" w:type="pct"/>
            <w:gridSpan w:val="2"/>
            <w:tcBorders>
              <w:tl2br w:val="nil"/>
              <w:tr2bl w:val="nil"/>
            </w:tcBorders>
            <w:vAlign w:val="center"/>
          </w:tcPr>
          <w:p w14:paraId="0696BA1E">
            <w:pPr>
              <w:pStyle w:val="41"/>
              <w:rPr>
                <w:color w:val="auto"/>
                <w:highlight w:val="none"/>
              </w:rPr>
            </w:pPr>
            <w:r>
              <w:rPr>
                <w:color w:val="auto"/>
                <w:highlight w:val="none"/>
              </w:rPr>
              <w:t>污染物名称</w:t>
            </w:r>
          </w:p>
        </w:tc>
        <w:tc>
          <w:tcPr>
            <w:tcW w:w="432" w:type="pct"/>
            <w:gridSpan w:val="2"/>
            <w:tcBorders>
              <w:tl2br w:val="nil"/>
              <w:tr2bl w:val="nil"/>
            </w:tcBorders>
            <w:vAlign w:val="center"/>
          </w:tcPr>
          <w:p w14:paraId="5F6EBE4E">
            <w:pPr>
              <w:pStyle w:val="41"/>
              <w:rPr>
                <w:color w:val="auto"/>
                <w:highlight w:val="none"/>
              </w:rPr>
            </w:pPr>
            <w:r>
              <w:rPr>
                <w:color w:val="auto"/>
                <w:highlight w:val="none"/>
              </w:rPr>
              <w:t>排放量/（t/a）</w:t>
            </w:r>
          </w:p>
        </w:tc>
        <w:tc>
          <w:tcPr>
            <w:tcW w:w="1713" w:type="pct"/>
            <w:gridSpan w:val="3"/>
            <w:tcBorders>
              <w:tl2br w:val="nil"/>
              <w:tr2bl w:val="nil"/>
            </w:tcBorders>
            <w:vAlign w:val="center"/>
          </w:tcPr>
          <w:p w14:paraId="36879306">
            <w:pPr>
              <w:pStyle w:val="41"/>
              <w:rPr>
                <w:color w:val="auto"/>
                <w:highlight w:val="none"/>
              </w:rPr>
            </w:pPr>
            <w:r>
              <w:rPr>
                <w:color w:val="auto"/>
                <w:highlight w:val="none"/>
              </w:rPr>
              <w:t>排放浓度/（mg/L）</w:t>
            </w:r>
          </w:p>
        </w:tc>
      </w:tr>
      <w:tr w14:paraId="18609D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0CBCB10E">
            <w:pPr>
              <w:pStyle w:val="41"/>
              <w:rPr>
                <w:color w:val="auto"/>
                <w:highlight w:val="none"/>
              </w:rPr>
            </w:pPr>
          </w:p>
        </w:tc>
        <w:tc>
          <w:tcPr>
            <w:tcW w:w="718" w:type="pct"/>
            <w:vMerge w:val="continue"/>
            <w:tcBorders>
              <w:tl2br w:val="nil"/>
              <w:tr2bl w:val="nil"/>
            </w:tcBorders>
            <w:vAlign w:val="center"/>
          </w:tcPr>
          <w:p w14:paraId="3DE11C2F">
            <w:pPr>
              <w:pStyle w:val="41"/>
              <w:rPr>
                <w:color w:val="auto"/>
                <w:highlight w:val="none"/>
              </w:rPr>
            </w:pPr>
          </w:p>
        </w:tc>
        <w:tc>
          <w:tcPr>
            <w:tcW w:w="1924" w:type="pct"/>
            <w:gridSpan w:val="2"/>
            <w:tcBorders>
              <w:tl2br w:val="nil"/>
              <w:tr2bl w:val="nil"/>
            </w:tcBorders>
            <w:vAlign w:val="center"/>
          </w:tcPr>
          <w:p w14:paraId="00031676">
            <w:pPr>
              <w:pStyle w:val="41"/>
              <w:rPr>
                <w:color w:val="auto"/>
                <w:highlight w:val="none"/>
              </w:rPr>
            </w:pPr>
            <w:r>
              <w:rPr>
                <w:color w:val="auto"/>
                <w:highlight w:val="none"/>
              </w:rPr>
              <w:t>COD</w:t>
            </w:r>
          </w:p>
        </w:tc>
        <w:tc>
          <w:tcPr>
            <w:tcW w:w="432" w:type="pct"/>
            <w:gridSpan w:val="2"/>
            <w:tcBorders>
              <w:tl2br w:val="nil"/>
              <w:tr2bl w:val="nil"/>
            </w:tcBorders>
            <w:vAlign w:val="center"/>
          </w:tcPr>
          <w:p w14:paraId="1181691D">
            <w:pPr>
              <w:pStyle w:val="41"/>
              <w:rPr>
                <w:color w:val="auto"/>
                <w:highlight w:val="none"/>
              </w:rPr>
            </w:pPr>
            <w:r>
              <w:rPr>
                <w:color w:val="auto"/>
                <w:highlight w:val="none"/>
              </w:rPr>
              <w:t>/</w:t>
            </w:r>
          </w:p>
        </w:tc>
        <w:tc>
          <w:tcPr>
            <w:tcW w:w="1713" w:type="pct"/>
            <w:gridSpan w:val="3"/>
            <w:tcBorders>
              <w:tl2br w:val="nil"/>
              <w:tr2bl w:val="nil"/>
            </w:tcBorders>
            <w:vAlign w:val="center"/>
          </w:tcPr>
          <w:p w14:paraId="2CAA3283">
            <w:pPr>
              <w:pStyle w:val="41"/>
              <w:rPr>
                <w:color w:val="auto"/>
                <w:highlight w:val="none"/>
              </w:rPr>
            </w:pPr>
            <w:r>
              <w:rPr>
                <w:color w:val="auto"/>
                <w:highlight w:val="none"/>
              </w:rPr>
              <w:t>/</w:t>
            </w:r>
          </w:p>
        </w:tc>
      </w:tr>
      <w:tr w14:paraId="35671A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4D73DD2E">
            <w:pPr>
              <w:pStyle w:val="41"/>
              <w:rPr>
                <w:color w:val="auto"/>
                <w:highlight w:val="none"/>
              </w:rPr>
            </w:pPr>
          </w:p>
        </w:tc>
        <w:tc>
          <w:tcPr>
            <w:tcW w:w="718" w:type="pct"/>
            <w:vMerge w:val="continue"/>
            <w:tcBorders>
              <w:tl2br w:val="nil"/>
              <w:tr2bl w:val="nil"/>
            </w:tcBorders>
            <w:vAlign w:val="center"/>
          </w:tcPr>
          <w:p w14:paraId="70F91D8A">
            <w:pPr>
              <w:pStyle w:val="41"/>
              <w:rPr>
                <w:color w:val="auto"/>
                <w:highlight w:val="none"/>
              </w:rPr>
            </w:pPr>
          </w:p>
        </w:tc>
        <w:tc>
          <w:tcPr>
            <w:tcW w:w="1924" w:type="pct"/>
            <w:gridSpan w:val="2"/>
            <w:tcBorders>
              <w:tl2br w:val="nil"/>
              <w:tr2bl w:val="nil"/>
            </w:tcBorders>
            <w:vAlign w:val="center"/>
          </w:tcPr>
          <w:p w14:paraId="1FEF27FA">
            <w:pPr>
              <w:pStyle w:val="41"/>
              <w:rPr>
                <w:color w:val="auto"/>
                <w:highlight w:val="none"/>
              </w:rPr>
            </w:pPr>
            <w:r>
              <w:rPr>
                <w:color w:val="auto"/>
                <w:highlight w:val="none"/>
              </w:rPr>
              <w:t>BOD</w:t>
            </w:r>
            <w:r>
              <w:rPr>
                <w:color w:val="auto"/>
                <w:highlight w:val="none"/>
                <w:vertAlign w:val="subscript"/>
              </w:rPr>
              <w:t>5</w:t>
            </w:r>
          </w:p>
        </w:tc>
        <w:tc>
          <w:tcPr>
            <w:tcW w:w="432" w:type="pct"/>
            <w:gridSpan w:val="2"/>
            <w:tcBorders>
              <w:tl2br w:val="nil"/>
              <w:tr2bl w:val="nil"/>
            </w:tcBorders>
            <w:vAlign w:val="center"/>
          </w:tcPr>
          <w:p w14:paraId="34DD6A94">
            <w:pPr>
              <w:pStyle w:val="41"/>
              <w:rPr>
                <w:color w:val="auto"/>
                <w:highlight w:val="none"/>
              </w:rPr>
            </w:pPr>
            <w:r>
              <w:rPr>
                <w:color w:val="auto"/>
                <w:highlight w:val="none"/>
              </w:rPr>
              <w:t>/</w:t>
            </w:r>
          </w:p>
        </w:tc>
        <w:tc>
          <w:tcPr>
            <w:tcW w:w="1713" w:type="pct"/>
            <w:gridSpan w:val="3"/>
            <w:tcBorders>
              <w:tl2br w:val="nil"/>
              <w:tr2bl w:val="nil"/>
            </w:tcBorders>
            <w:vAlign w:val="center"/>
          </w:tcPr>
          <w:p w14:paraId="2D4E718E">
            <w:pPr>
              <w:pStyle w:val="41"/>
              <w:rPr>
                <w:color w:val="auto"/>
                <w:highlight w:val="none"/>
              </w:rPr>
            </w:pPr>
            <w:r>
              <w:rPr>
                <w:color w:val="auto"/>
                <w:highlight w:val="none"/>
              </w:rPr>
              <w:t>/</w:t>
            </w:r>
          </w:p>
        </w:tc>
      </w:tr>
      <w:tr w14:paraId="4FB357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4F703FAB">
            <w:pPr>
              <w:pStyle w:val="41"/>
              <w:rPr>
                <w:color w:val="auto"/>
                <w:highlight w:val="none"/>
              </w:rPr>
            </w:pPr>
          </w:p>
        </w:tc>
        <w:tc>
          <w:tcPr>
            <w:tcW w:w="718" w:type="pct"/>
            <w:vMerge w:val="continue"/>
            <w:tcBorders>
              <w:tl2br w:val="nil"/>
              <w:tr2bl w:val="nil"/>
            </w:tcBorders>
            <w:vAlign w:val="center"/>
          </w:tcPr>
          <w:p w14:paraId="2047728B">
            <w:pPr>
              <w:pStyle w:val="41"/>
              <w:rPr>
                <w:color w:val="auto"/>
                <w:highlight w:val="none"/>
              </w:rPr>
            </w:pPr>
          </w:p>
        </w:tc>
        <w:tc>
          <w:tcPr>
            <w:tcW w:w="1924" w:type="pct"/>
            <w:gridSpan w:val="2"/>
            <w:tcBorders>
              <w:tl2br w:val="nil"/>
              <w:tr2bl w:val="nil"/>
            </w:tcBorders>
            <w:vAlign w:val="center"/>
          </w:tcPr>
          <w:p w14:paraId="7001F5CA">
            <w:pPr>
              <w:pStyle w:val="41"/>
              <w:rPr>
                <w:color w:val="auto"/>
                <w:highlight w:val="none"/>
              </w:rPr>
            </w:pPr>
            <w:r>
              <w:rPr>
                <w:color w:val="auto"/>
                <w:highlight w:val="none"/>
              </w:rPr>
              <w:t>氨氮</w:t>
            </w:r>
          </w:p>
        </w:tc>
        <w:tc>
          <w:tcPr>
            <w:tcW w:w="432" w:type="pct"/>
            <w:gridSpan w:val="2"/>
            <w:tcBorders>
              <w:tl2br w:val="nil"/>
              <w:tr2bl w:val="nil"/>
            </w:tcBorders>
            <w:vAlign w:val="center"/>
          </w:tcPr>
          <w:p w14:paraId="163F4889">
            <w:pPr>
              <w:pStyle w:val="41"/>
              <w:rPr>
                <w:color w:val="auto"/>
                <w:highlight w:val="none"/>
              </w:rPr>
            </w:pPr>
            <w:r>
              <w:rPr>
                <w:color w:val="auto"/>
                <w:highlight w:val="none"/>
              </w:rPr>
              <w:t>/</w:t>
            </w:r>
          </w:p>
        </w:tc>
        <w:tc>
          <w:tcPr>
            <w:tcW w:w="1713" w:type="pct"/>
            <w:gridSpan w:val="3"/>
            <w:tcBorders>
              <w:tl2br w:val="nil"/>
              <w:tr2bl w:val="nil"/>
            </w:tcBorders>
            <w:vAlign w:val="center"/>
          </w:tcPr>
          <w:p w14:paraId="14CE76E1">
            <w:pPr>
              <w:pStyle w:val="41"/>
              <w:rPr>
                <w:color w:val="auto"/>
                <w:highlight w:val="none"/>
              </w:rPr>
            </w:pPr>
            <w:r>
              <w:rPr>
                <w:color w:val="auto"/>
                <w:highlight w:val="none"/>
              </w:rPr>
              <w:t>/</w:t>
            </w:r>
          </w:p>
        </w:tc>
      </w:tr>
      <w:tr w14:paraId="4EBA76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2E375BB2">
            <w:pPr>
              <w:pStyle w:val="41"/>
              <w:rPr>
                <w:color w:val="auto"/>
                <w:highlight w:val="none"/>
              </w:rPr>
            </w:pPr>
          </w:p>
        </w:tc>
        <w:tc>
          <w:tcPr>
            <w:tcW w:w="718" w:type="pct"/>
            <w:vMerge w:val="restart"/>
            <w:tcBorders>
              <w:tl2br w:val="nil"/>
              <w:tr2bl w:val="nil"/>
            </w:tcBorders>
            <w:vAlign w:val="center"/>
          </w:tcPr>
          <w:p w14:paraId="1CC578F5">
            <w:pPr>
              <w:pStyle w:val="41"/>
              <w:rPr>
                <w:color w:val="auto"/>
                <w:highlight w:val="none"/>
              </w:rPr>
            </w:pPr>
            <w:r>
              <w:rPr>
                <w:color w:val="auto"/>
                <w:highlight w:val="none"/>
              </w:rPr>
              <w:t>替代源排放情况</w:t>
            </w:r>
          </w:p>
        </w:tc>
        <w:tc>
          <w:tcPr>
            <w:tcW w:w="1208" w:type="pct"/>
            <w:tcBorders>
              <w:tl2br w:val="nil"/>
              <w:tr2bl w:val="nil"/>
            </w:tcBorders>
            <w:vAlign w:val="center"/>
          </w:tcPr>
          <w:p w14:paraId="5EBE18CF">
            <w:pPr>
              <w:pStyle w:val="41"/>
              <w:rPr>
                <w:color w:val="auto"/>
                <w:highlight w:val="none"/>
              </w:rPr>
            </w:pPr>
            <w:r>
              <w:rPr>
                <w:color w:val="auto"/>
                <w:highlight w:val="none"/>
              </w:rPr>
              <w:t>污染源名称</w:t>
            </w:r>
          </w:p>
        </w:tc>
        <w:tc>
          <w:tcPr>
            <w:tcW w:w="715" w:type="pct"/>
            <w:tcBorders>
              <w:tl2br w:val="nil"/>
              <w:tr2bl w:val="nil"/>
            </w:tcBorders>
            <w:vAlign w:val="center"/>
          </w:tcPr>
          <w:p w14:paraId="3DCA93D1">
            <w:pPr>
              <w:pStyle w:val="41"/>
              <w:rPr>
                <w:color w:val="auto"/>
                <w:highlight w:val="none"/>
              </w:rPr>
            </w:pPr>
            <w:r>
              <w:rPr>
                <w:color w:val="auto"/>
                <w:highlight w:val="none"/>
              </w:rPr>
              <w:t>排污许可证编号</w:t>
            </w:r>
          </w:p>
        </w:tc>
        <w:tc>
          <w:tcPr>
            <w:tcW w:w="432" w:type="pct"/>
            <w:gridSpan w:val="2"/>
            <w:tcBorders>
              <w:tl2br w:val="nil"/>
              <w:tr2bl w:val="nil"/>
            </w:tcBorders>
            <w:vAlign w:val="center"/>
          </w:tcPr>
          <w:p w14:paraId="1F9591DE">
            <w:pPr>
              <w:pStyle w:val="41"/>
              <w:rPr>
                <w:color w:val="auto"/>
                <w:highlight w:val="none"/>
              </w:rPr>
            </w:pPr>
            <w:r>
              <w:rPr>
                <w:color w:val="auto"/>
                <w:highlight w:val="none"/>
              </w:rPr>
              <w:t>污染物名称</w:t>
            </w:r>
          </w:p>
        </w:tc>
        <w:tc>
          <w:tcPr>
            <w:tcW w:w="625" w:type="pct"/>
            <w:tcBorders>
              <w:tl2br w:val="nil"/>
              <w:tr2bl w:val="nil"/>
            </w:tcBorders>
            <w:vAlign w:val="center"/>
          </w:tcPr>
          <w:p w14:paraId="4809BC6D">
            <w:pPr>
              <w:pStyle w:val="41"/>
              <w:rPr>
                <w:color w:val="auto"/>
                <w:highlight w:val="none"/>
              </w:rPr>
            </w:pPr>
            <w:r>
              <w:rPr>
                <w:color w:val="auto"/>
                <w:highlight w:val="none"/>
              </w:rPr>
              <w:t>排放量/（t/a）</w:t>
            </w:r>
          </w:p>
        </w:tc>
        <w:tc>
          <w:tcPr>
            <w:tcW w:w="1088" w:type="pct"/>
            <w:gridSpan w:val="2"/>
            <w:tcBorders>
              <w:tl2br w:val="nil"/>
              <w:tr2bl w:val="nil"/>
            </w:tcBorders>
            <w:vAlign w:val="center"/>
          </w:tcPr>
          <w:p w14:paraId="388E8614">
            <w:pPr>
              <w:pStyle w:val="41"/>
              <w:rPr>
                <w:color w:val="auto"/>
                <w:highlight w:val="none"/>
              </w:rPr>
            </w:pPr>
            <w:r>
              <w:rPr>
                <w:color w:val="auto"/>
                <w:highlight w:val="none"/>
              </w:rPr>
              <w:t>排放浓度/（mg/L）</w:t>
            </w:r>
          </w:p>
        </w:tc>
      </w:tr>
      <w:tr w14:paraId="1AB685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6273E449">
            <w:pPr>
              <w:pStyle w:val="41"/>
              <w:rPr>
                <w:color w:val="auto"/>
                <w:highlight w:val="none"/>
              </w:rPr>
            </w:pPr>
          </w:p>
        </w:tc>
        <w:tc>
          <w:tcPr>
            <w:tcW w:w="718" w:type="pct"/>
            <w:vMerge w:val="continue"/>
            <w:tcBorders>
              <w:tl2br w:val="nil"/>
              <w:tr2bl w:val="nil"/>
            </w:tcBorders>
            <w:vAlign w:val="center"/>
          </w:tcPr>
          <w:p w14:paraId="1309A195">
            <w:pPr>
              <w:pStyle w:val="41"/>
              <w:rPr>
                <w:color w:val="auto"/>
                <w:highlight w:val="none"/>
              </w:rPr>
            </w:pPr>
          </w:p>
        </w:tc>
        <w:tc>
          <w:tcPr>
            <w:tcW w:w="1208" w:type="pct"/>
            <w:tcBorders>
              <w:tl2br w:val="nil"/>
              <w:tr2bl w:val="nil"/>
            </w:tcBorders>
            <w:vAlign w:val="center"/>
          </w:tcPr>
          <w:p w14:paraId="73889B88">
            <w:pPr>
              <w:pStyle w:val="41"/>
              <w:rPr>
                <w:color w:val="auto"/>
                <w:highlight w:val="none"/>
              </w:rPr>
            </w:pPr>
            <w:r>
              <w:rPr>
                <w:color w:val="auto"/>
                <w:highlight w:val="none"/>
              </w:rPr>
              <w:t>/</w:t>
            </w:r>
          </w:p>
        </w:tc>
        <w:tc>
          <w:tcPr>
            <w:tcW w:w="715" w:type="pct"/>
            <w:tcBorders>
              <w:tl2br w:val="nil"/>
              <w:tr2bl w:val="nil"/>
            </w:tcBorders>
            <w:vAlign w:val="center"/>
          </w:tcPr>
          <w:p w14:paraId="5AC39868">
            <w:pPr>
              <w:pStyle w:val="41"/>
              <w:rPr>
                <w:color w:val="auto"/>
                <w:highlight w:val="none"/>
              </w:rPr>
            </w:pPr>
            <w:r>
              <w:rPr>
                <w:color w:val="auto"/>
                <w:highlight w:val="none"/>
              </w:rPr>
              <w:t>/</w:t>
            </w:r>
          </w:p>
        </w:tc>
        <w:tc>
          <w:tcPr>
            <w:tcW w:w="432" w:type="pct"/>
            <w:gridSpan w:val="2"/>
            <w:tcBorders>
              <w:tl2br w:val="nil"/>
              <w:tr2bl w:val="nil"/>
            </w:tcBorders>
            <w:vAlign w:val="center"/>
          </w:tcPr>
          <w:p w14:paraId="1CBAAC1E">
            <w:pPr>
              <w:pStyle w:val="41"/>
              <w:rPr>
                <w:color w:val="auto"/>
                <w:highlight w:val="none"/>
              </w:rPr>
            </w:pPr>
            <w:r>
              <w:rPr>
                <w:color w:val="auto"/>
                <w:highlight w:val="none"/>
              </w:rPr>
              <w:t>/</w:t>
            </w:r>
          </w:p>
        </w:tc>
        <w:tc>
          <w:tcPr>
            <w:tcW w:w="625" w:type="pct"/>
            <w:tcBorders>
              <w:tl2br w:val="nil"/>
              <w:tr2bl w:val="nil"/>
            </w:tcBorders>
            <w:vAlign w:val="center"/>
          </w:tcPr>
          <w:p w14:paraId="4069C8AD">
            <w:pPr>
              <w:pStyle w:val="41"/>
              <w:rPr>
                <w:color w:val="auto"/>
                <w:highlight w:val="none"/>
              </w:rPr>
            </w:pPr>
            <w:r>
              <w:rPr>
                <w:color w:val="auto"/>
                <w:highlight w:val="none"/>
              </w:rPr>
              <w:t>/</w:t>
            </w:r>
          </w:p>
        </w:tc>
        <w:tc>
          <w:tcPr>
            <w:tcW w:w="1088" w:type="pct"/>
            <w:gridSpan w:val="2"/>
            <w:tcBorders>
              <w:tl2br w:val="nil"/>
              <w:tr2bl w:val="nil"/>
            </w:tcBorders>
            <w:vAlign w:val="center"/>
          </w:tcPr>
          <w:p w14:paraId="35445D28">
            <w:pPr>
              <w:pStyle w:val="41"/>
              <w:rPr>
                <w:color w:val="auto"/>
                <w:highlight w:val="none"/>
              </w:rPr>
            </w:pPr>
            <w:r>
              <w:rPr>
                <w:color w:val="auto"/>
                <w:highlight w:val="none"/>
              </w:rPr>
              <w:t>/</w:t>
            </w:r>
          </w:p>
        </w:tc>
      </w:tr>
      <w:tr w14:paraId="39E933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673A9AA5">
            <w:pPr>
              <w:pStyle w:val="41"/>
              <w:rPr>
                <w:color w:val="auto"/>
                <w:highlight w:val="none"/>
              </w:rPr>
            </w:pPr>
          </w:p>
        </w:tc>
        <w:tc>
          <w:tcPr>
            <w:tcW w:w="718" w:type="pct"/>
            <w:tcBorders>
              <w:tl2br w:val="nil"/>
              <w:tr2bl w:val="nil"/>
            </w:tcBorders>
            <w:vAlign w:val="center"/>
          </w:tcPr>
          <w:p w14:paraId="4E4B9597">
            <w:pPr>
              <w:pStyle w:val="41"/>
              <w:rPr>
                <w:color w:val="auto"/>
                <w:highlight w:val="none"/>
              </w:rPr>
            </w:pPr>
            <w:r>
              <w:rPr>
                <w:color w:val="auto"/>
                <w:highlight w:val="none"/>
              </w:rPr>
              <w:t>生态流量确定</w:t>
            </w:r>
          </w:p>
        </w:tc>
        <w:tc>
          <w:tcPr>
            <w:tcW w:w="4070" w:type="pct"/>
            <w:gridSpan w:val="7"/>
            <w:tcBorders>
              <w:tl2br w:val="nil"/>
              <w:tr2bl w:val="nil"/>
            </w:tcBorders>
            <w:vAlign w:val="center"/>
          </w:tcPr>
          <w:p w14:paraId="44B6A00A">
            <w:pPr>
              <w:pStyle w:val="41"/>
              <w:rPr>
                <w:color w:val="auto"/>
                <w:highlight w:val="none"/>
              </w:rPr>
            </w:pPr>
            <w:r>
              <w:rPr>
                <w:color w:val="auto"/>
                <w:highlight w:val="none"/>
              </w:rPr>
              <w:t>生态流量：一般水期（/）m</w:t>
            </w:r>
            <w:r>
              <w:rPr>
                <w:color w:val="auto"/>
                <w:highlight w:val="none"/>
                <w:vertAlign w:val="superscript"/>
              </w:rPr>
              <w:t>3</w:t>
            </w:r>
            <w:r>
              <w:rPr>
                <w:color w:val="auto"/>
                <w:highlight w:val="none"/>
              </w:rPr>
              <w:t>/s；鱼类繁殖期（/）m</w:t>
            </w:r>
            <w:r>
              <w:rPr>
                <w:color w:val="auto"/>
                <w:highlight w:val="none"/>
                <w:vertAlign w:val="superscript"/>
              </w:rPr>
              <w:t>3</w:t>
            </w:r>
            <w:r>
              <w:rPr>
                <w:color w:val="auto"/>
                <w:highlight w:val="none"/>
              </w:rPr>
              <w:t>/s；其他（/）m</w:t>
            </w:r>
            <w:r>
              <w:rPr>
                <w:color w:val="auto"/>
                <w:highlight w:val="none"/>
                <w:vertAlign w:val="superscript"/>
              </w:rPr>
              <w:t>3</w:t>
            </w:r>
            <w:r>
              <w:rPr>
                <w:color w:val="auto"/>
                <w:highlight w:val="none"/>
              </w:rPr>
              <w:t>/s</w:t>
            </w:r>
          </w:p>
          <w:p w14:paraId="2D2685D6">
            <w:pPr>
              <w:pStyle w:val="41"/>
              <w:rPr>
                <w:color w:val="auto"/>
                <w:highlight w:val="none"/>
              </w:rPr>
            </w:pPr>
            <w:r>
              <w:rPr>
                <w:color w:val="auto"/>
                <w:highlight w:val="none"/>
              </w:rPr>
              <w:t>生态水位：一般水期（/）m；鱼类繁殖期（/）m；其他（/）m</w:t>
            </w:r>
          </w:p>
        </w:tc>
      </w:tr>
      <w:tr w14:paraId="5E5665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restart"/>
            <w:tcBorders>
              <w:tl2br w:val="nil"/>
              <w:tr2bl w:val="nil"/>
            </w:tcBorders>
            <w:vAlign w:val="center"/>
          </w:tcPr>
          <w:p w14:paraId="426181D6">
            <w:pPr>
              <w:pStyle w:val="41"/>
              <w:rPr>
                <w:color w:val="auto"/>
                <w:highlight w:val="none"/>
              </w:rPr>
            </w:pPr>
            <w:r>
              <w:rPr>
                <w:color w:val="auto"/>
                <w:highlight w:val="none"/>
              </w:rPr>
              <w:t>防治措施</w:t>
            </w:r>
          </w:p>
        </w:tc>
        <w:tc>
          <w:tcPr>
            <w:tcW w:w="718" w:type="pct"/>
            <w:tcBorders>
              <w:tl2br w:val="nil"/>
              <w:tr2bl w:val="nil"/>
            </w:tcBorders>
            <w:vAlign w:val="center"/>
          </w:tcPr>
          <w:p w14:paraId="31BED46C">
            <w:pPr>
              <w:pStyle w:val="41"/>
              <w:rPr>
                <w:color w:val="auto"/>
                <w:highlight w:val="none"/>
              </w:rPr>
            </w:pPr>
            <w:r>
              <w:rPr>
                <w:color w:val="auto"/>
                <w:highlight w:val="none"/>
              </w:rPr>
              <w:t>环保措施</w:t>
            </w:r>
          </w:p>
        </w:tc>
        <w:tc>
          <w:tcPr>
            <w:tcW w:w="4070" w:type="pct"/>
            <w:gridSpan w:val="7"/>
            <w:tcBorders>
              <w:tl2br w:val="nil"/>
              <w:tr2bl w:val="nil"/>
            </w:tcBorders>
            <w:vAlign w:val="center"/>
          </w:tcPr>
          <w:p w14:paraId="00E7F95F">
            <w:pPr>
              <w:pStyle w:val="41"/>
              <w:rPr>
                <w:color w:val="auto"/>
                <w:highlight w:val="none"/>
              </w:rPr>
            </w:pPr>
            <w:r>
              <w:rPr>
                <w:color w:val="auto"/>
                <w:highlight w:val="none"/>
              </w:rPr>
              <w:t>污水处理设施 □；水文减缓设施 □；生态流量保障设施 □；区域削减 □；依托其他工程措施 □；其他 □</w:t>
            </w:r>
          </w:p>
        </w:tc>
      </w:tr>
      <w:tr w14:paraId="64CE97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33840E8D">
            <w:pPr>
              <w:pStyle w:val="41"/>
              <w:rPr>
                <w:color w:val="auto"/>
                <w:highlight w:val="none"/>
              </w:rPr>
            </w:pPr>
          </w:p>
        </w:tc>
        <w:tc>
          <w:tcPr>
            <w:tcW w:w="718" w:type="pct"/>
            <w:vMerge w:val="restart"/>
            <w:tcBorders>
              <w:tl2br w:val="nil"/>
              <w:tr2bl w:val="nil"/>
            </w:tcBorders>
            <w:vAlign w:val="center"/>
          </w:tcPr>
          <w:p w14:paraId="6C2EFB1B">
            <w:pPr>
              <w:pStyle w:val="41"/>
              <w:rPr>
                <w:color w:val="auto"/>
                <w:highlight w:val="none"/>
              </w:rPr>
            </w:pPr>
            <w:r>
              <w:rPr>
                <w:color w:val="auto"/>
                <w:highlight w:val="none"/>
              </w:rPr>
              <w:t>监测计划</w:t>
            </w:r>
          </w:p>
        </w:tc>
        <w:tc>
          <w:tcPr>
            <w:tcW w:w="1208" w:type="pct"/>
            <w:tcBorders>
              <w:tl2br w:val="nil"/>
              <w:tr2bl w:val="nil"/>
            </w:tcBorders>
            <w:vAlign w:val="center"/>
          </w:tcPr>
          <w:p w14:paraId="61642A60">
            <w:pPr>
              <w:pStyle w:val="41"/>
              <w:rPr>
                <w:color w:val="auto"/>
                <w:highlight w:val="none"/>
              </w:rPr>
            </w:pPr>
          </w:p>
        </w:tc>
        <w:tc>
          <w:tcPr>
            <w:tcW w:w="1148" w:type="pct"/>
            <w:gridSpan w:val="3"/>
            <w:tcBorders>
              <w:tl2br w:val="nil"/>
              <w:tr2bl w:val="nil"/>
            </w:tcBorders>
            <w:vAlign w:val="center"/>
          </w:tcPr>
          <w:p w14:paraId="5ABA908C">
            <w:pPr>
              <w:pStyle w:val="41"/>
              <w:rPr>
                <w:color w:val="auto"/>
                <w:highlight w:val="none"/>
              </w:rPr>
            </w:pPr>
            <w:r>
              <w:rPr>
                <w:color w:val="auto"/>
                <w:highlight w:val="none"/>
              </w:rPr>
              <w:t>环境质量</w:t>
            </w:r>
          </w:p>
        </w:tc>
        <w:tc>
          <w:tcPr>
            <w:tcW w:w="1713" w:type="pct"/>
            <w:gridSpan w:val="3"/>
            <w:tcBorders>
              <w:tl2br w:val="nil"/>
              <w:tr2bl w:val="nil"/>
            </w:tcBorders>
            <w:vAlign w:val="center"/>
          </w:tcPr>
          <w:p w14:paraId="4248255F">
            <w:pPr>
              <w:pStyle w:val="41"/>
              <w:rPr>
                <w:color w:val="auto"/>
                <w:highlight w:val="none"/>
              </w:rPr>
            </w:pPr>
            <w:r>
              <w:rPr>
                <w:color w:val="auto"/>
                <w:highlight w:val="none"/>
              </w:rPr>
              <w:t>污染源</w:t>
            </w:r>
          </w:p>
        </w:tc>
      </w:tr>
      <w:tr w14:paraId="353B81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64983D6E">
            <w:pPr>
              <w:pStyle w:val="41"/>
              <w:rPr>
                <w:color w:val="auto"/>
                <w:highlight w:val="none"/>
              </w:rPr>
            </w:pPr>
          </w:p>
        </w:tc>
        <w:tc>
          <w:tcPr>
            <w:tcW w:w="718" w:type="pct"/>
            <w:vMerge w:val="continue"/>
            <w:tcBorders>
              <w:tl2br w:val="nil"/>
              <w:tr2bl w:val="nil"/>
            </w:tcBorders>
            <w:vAlign w:val="center"/>
          </w:tcPr>
          <w:p w14:paraId="3F799CEC">
            <w:pPr>
              <w:pStyle w:val="41"/>
              <w:rPr>
                <w:color w:val="auto"/>
                <w:highlight w:val="none"/>
              </w:rPr>
            </w:pPr>
          </w:p>
        </w:tc>
        <w:tc>
          <w:tcPr>
            <w:tcW w:w="1208" w:type="pct"/>
            <w:tcBorders>
              <w:tl2br w:val="nil"/>
              <w:tr2bl w:val="nil"/>
            </w:tcBorders>
            <w:vAlign w:val="center"/>
          </w:tcPr>
          <w:p w14:paraId="3785DC28">
            <w:pPr>
              <w:pStyle w:val="41"/>
              <w:rPr>
                <w:color w:val="auto"/>
                <w:highlight w:val="none"/>
              </w:rPr>
            </w:pPr>
            <w:r>
              <w:rPr>
                <w:color w:val="auto"/>
                <w:highlight w:val="none"/>
              </w:rPr>
              <w:t>监测方式</w:t>
            </w:r>
          </w:p>
        </w:tc>
        <w:tc>
          <w:tcPr>
            <w:tcW w:w="1148" w:type="pct"/>
            <w:gridSpan w:val="3"/>
            <w:tcBorders>
              <w:tl2br w:val="nil"/>
              <w:tr2bl w:val="nil"/>
            </w:tcBorders>
            <w:vAlign w:val="center"/>
          </w:tcPr>
          <w:p w14:paraId="255BBCE1">
            <w:pPr>
              <w:pStyle w:val="41"/>
              <w:rPr>
                <w:color w:val="auto"/>
                <w:highlight w:val="none"/>
              </w:rPr>
            </w:pPr>
            <w:r>
              <w:rPr>
                <w:color w:val="auto"/>
                <w:highlight w:val="none"/>
              </w:rPr>
              <w:t>手动□；自动□；无监测☑</w:t>
            </w:r>
          </w:p>
        </w:tc>
        <w:tc>
          <w:tcPr>
            <w:tcW w:w="1713" w:type="pct"/>
            <w:gridSpan w:val="3"/>
            <w:tcBorders>
              <w:tl2br w:val="nil"/>
              <w:tr2bl w:val="nil"/>
            </w:tcBorders>
            <w:vAlign w:val="center"/>
          </w:tcPr>
          <w:p w14:paraId="4B69CF1E">
            <w:pPr>
              <w:pStyle w:val="41"/>
              <w:rPr>
                <w:color w:val="auto"/>
                <w:highlight w:val="none"/>
              </w:rPr>
            </w:pPr>
            <w:r>
              <w:rPr>
                <w:color w:val="auto"/>
                <w:highlight w:val="none"/>
              </w:rPr>
              <w:t>手动□；自动□；无监测☑</w:t>
            </w:r>
          </w:p>
        </w:tc>
      </w:tr>
      <w:tr w14:paraId="1C2EA8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46DFF52E">
            <w:pPr>
              <w:pStyle w:val="41"/>
              <w:rPr>
                <w:color w:val="auto"/>
                <w:highlight w:val="none"/>
              </w:rPr>
            </w:pPr>
          </w:p>
        </w:tc>
        <w:tc>
          <w:tcPr>
            <w:tcW w:w="718" w:type="pct"/>
            <w:vMerge w:val="continue"/>
            <w:tcBorders>
              <w:tl2br w:val="nil"/>
              <w:tr2bl w:val="nil"/>
            </w:tcBorders>
            <w:vAlign w:val="center"/>
          </w:tcPr>
          <w:p w14:paraId="18CDB85C">
            <w:pPr>
              <w:pStyle w:val="41"/>
              <w:rPr>
                <w:color w:val="auto"/>
                <w:highlight w:val="none"/>
              </w:rPr>
            </w:pPr>
          </w:p>
        </w:tc>
        <w:tc>
          <w:tcPr>
            <w:tcW w:w="1208" w:type="pct"/>
            <w:tcBorders>
              <w:tl2br w:val="nil"/>
              <w:tr2bl w:val="nil"/>
            </w:tcBorders>
            <w:vAlign w:val="center"/>
          </w:tcPr>
          <w:p w14:paraId="27266250">
            <w:pPr>
              <w:pStyle w:val="41"/>
              <w:rPr>
                <w:color w:val="auto"/>
                <w:highlight w:val="none"/>
              </w:rPr>
            </w:pPr>
            <w:r>
              <w:rPr>
                <w:color w:val="auto"/>
                <w:highlight w:val="none"/>
              </w:rPr>
              <w:t>监测点位</w:t>
            </w:r>
          </w:p>
        </w:tc>
        <w:tc>
          <w:tcPr>
            <w:tcW w:w="1148" w:type="pct"/>
            <w:gridSpan w:val="3"/>
            <w:tcBorders>
              <w:tl2br w:val="nil"/>
              <w:tr2bl w:val="nil"/>
            </w:tcBorders>
            <w:vAlign w:val="center"/>
          </w:tcPr>
          <w:p w14:paraId="06965615">
            <w:pPr>
              <w:pStyle w:val="41"/>
              <w:rPr>
                <w:color w:val="auto"/>
                <w:highlight w:val="none"/>
              </w:rPr>
            </w:pPr>
            <w:r>
              <w:rPr>
                <w:color w:val="auto"/>
                <w:highlight w:val="none"/>
              </w:rPr>
              <w:t>/</w:t>
            </w:r>
          </w:p>
        </w:tc>
        <w:tc>
          <w:tcPr>
            <w:tcW w:w="1713" w:type="pct"/>
            <w:gridSpan w:val="3"/>
            <w:tcBorders>
              <w:tl2br w:val="nil"/>
              <w:tr2bl w:val="nil"/>
            </w:tcBorders>
            <w:vAlign w:val="center"/>
          </w:tcPr>
          <w:p w14:paraId="50710DE3">
            <w:pPr>
              <w:pStyle w:val="41"/>
              <w:rPr>
                <w:color w:val="auto"/>
                <w:highlight w:val="none"/>
              </w:rPr>
            </w:pPr>
            <w:r>
              <w:rPr>
                <w:color w:val="auto"/>
                <w:highlight w:val="none"/>
              </w:rPr>
              <w:t>/</w:t>
            </w:r>
          </w:p>
        </w:tc>
      </w:tr>
      <w:tr w14:paraId="295052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44FEBF86">
            <w:pPr>
              <w:pStyle w:val="41"/>
              <w:rPr>
                <w:color w:val="auto"/>
                <w:highlight w:val="none"/>
              </w:rPr>
            </w:pPr>
          </w:p>
        </w:tc>
        <w:tc>
          <w:tcPr>
            <w:tcW w:w="718" w:type="pct"/>
            <w:vMerge w:val="continue"/>
            <w:tcBorders>
              <w:tl2br w:val="nil"/>
              <w:tr2bl w:val="nil"/>
            </w:tcBorders>
            <w:vAlign w:val="center"/>
          </w:tcPr>
          <w:p w14:paraId="7C063E2F">
            <w:pPr>
              <w:pStyle w:val="41"/>
              <w:rPr>
                <w:color w:val="auto"/>
                <w:highlight w:val="none"/>
              </w:rPr>
            </w:pPr>
          </w:p>
        </w:tc>
        <w:tc>
          <w:tcPr>
            <w:tcW w:w="1208" w:type="pct"/>
            <w:tcBorders>
              <w:tl2br w:val="nil"/>
              <w:tr2bl w:val="nil"/>
            </w:tcBorders>
            <w:vAlign w:val="center"/>
          </w:tcPr>
          <w:p w14:paraId="168C8E5B">
            <w:pPr>
              <w:pStyle w:val="41"/>
              <w:rPr>
                <w:color w:val="auto"/>
                <w:highlight w:val="none"/>
              </w:rPr>
            </w:pPr>
            <w:r>
              <w:rPr>
                <w:color w:val="auto"/>
                <w:highlight w:val="none"/>
              </w:rPr>
              <w:t>监测因子</w:t>
            </w:r>
          </w:p>
        </w:tc>
        <w:tc>
          <w:tcPr>
            <w:tcW w:w="1148" w:type="pct"/>
            <w:gridSpan w:val="3"/>
            <w:tcBorders>
              <w:tl2br w:val="nil"/>
              <w:tr2bl w:val="nil"/>
            </w:tcBorders>
            <w:vAlign w:val="center"/>
          </w:tcPr>
          <w:p w14:paraId="293E0783">
            <w:pPr>
              <w:pStyle w:val="41"/>
              <w:rPr>
                <w:color w:val="auto"/>
                <w:highlight w:val="none"/>
              </w:rPr>
            </w:pPr>
            <w:r>
              <w:rPr>
                <w:color w:val="auto"/>
                <w:highlight w:val="none"/>
              </w:rPr>
              <w:t>/</w:t>
            </w:r>
          </w:p>
        </w:tc>
        <w:tc>
          <w:tcPr>
            <w:tcW w:w="1713" w:type="pct"/>
            <w:gridSpan w:val="3"/>
            <w:tcBorders>
              <w:tl2br w:val="nil"/>
              <w:tr2bl w:val="nil"/>
            </w:tcBorders>
            <w:vAlign w:val="center"/>
          </w:tcPr>
          <w:p w14:paraId="4BB2E6E2">
            <w:pPr>
              <w:pStyle w:val="41"/>
              <w:rPr>
                <w:color w:val="auto"/>
                <w:highlight w:val="none"/>
              </w:rPr>
            </w:pPr>
            <w:r>
              <w:rPr>
                <w:color w:val="auto"/>
                <w:highlight w:val="none"/>
              </w:rPr>
              <w:t>/</w:t>
            </w:r>
          </w:p>
        </w:tc>
      </w:tr>
      <w:tr w14:paraId="2769A9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1" w:type="pct"/>
            <w:vMerge w:val="continue"/>
            <w:tcBorders>
              <w:tl2br w:val="nil"/>
              <w:tr2bl w:val="nil"/>
            </w:tcBorders>
            <w:vAlign w:val="center"/>
          </w:tcPr>
          <w:p w14:paraId="0969AB47">
            <w:pPr>
              <w:pStyle w:val="41"/>
              <w:rPr>
                <w:color w:val="auto"/>
                <w:highlight w:val="none"/>
              </w:rPr>
            </w:pPr>
          </w:p>
        </w:tc>
        <w:tc>
          <w:tcPr>
            <w:tcW w:w="718" w:type="pct"/>
            <w:tcBorders>
              <w:tl2br w:val="nil"/>
              <w:tr2bl w:val="nil"/>
            </w:tcBorders>
            <w:vAlign w:val="center"/>
          </w:tcPr>
          <w:p w14:paraId="35DC6663">
            <w:pPr>
              <w:pStyle w:val="41"/>
              <w:rPr>
                <w:color w:val="auto"/>
                <w:highlight w:val="none"/>
              </w:rPr>
            </w:pPr>
            <w:r>
              <w:rPr>
                <w:color w:val="auto"/>
                <w:highlight w:val="none"/>
              </w:rPr>
              <w:t>污染物排放清单</w:t>
            </w:r>
          </w:p>
        </w:tc>
        <w:tc>
          <w:tcPr>
            <w:tcW w:w="4070" w:type="pct"/>
            <w:gridSpan w:val="7"/>
            <w:tcBorders>
              <w:tl2br w:val="nil"/>
              <w:tr2bl w:val="nil"/>
            </w:tcBorders>
            <w:vAlign w:val="center"/>
          </w:tcPr>
          <w:p w14:paraId="6350A227">
            <w:pPr>
              <w:pStyle w:val="41"/>
              <w:rPr>
                <w:color w:val="auto"/>
                <w:highlight w:val="none"/>
              </w:rPr>
            </w:pPr>
            <w:r>
              <w:rPr>
                <w:color w:val="auto"/>
                <w:highlight w:val="none"/>
              </w:rPr>
              <w:t>□</w:t>
            </w:r>
          </w:p>
        </w:tc>
      </w:tr>
      <w:tr w14:paraId="1486B6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9" w:type="pct"/>
            <w:gridSpan w:val="2"/>
            <w:tcBorders>
              <w:tl2br w:val="nil"/>
              <w:tr2bl w:val="nil"/>
            </w:tcBorders>
            <w:vAlign w:val="center"/>
          </w:tcPr>
          <w:p w14:paraId="1B8E07F7">
            <w:pPr>
              <w:pStyle w:val="41"/>
              <w:rPr>
                <w:color w:val="auto"/>
                <w:highlight w:val="none"/>
              </w:rPr>
            </w:pPr>
            <w:r>
              <w:rPr>
                <w:color w:val="auto"/>
                <w:highlight w:val="none"/>
              </w:rPr>
              <w:t>评价结论</w:t>
            </w:r>
          </w:p>
        </w:tc>
        <w:tc>
          <w:tcPr>
            <w:tcW w:w="4070" w:type="pct"/>
            <w:gridSpan w:val="7"/>
            <w:tcBorders>
              <w:tl2br w:val="nil"/>
              <w:tr2bl w:val="nil"/>
            </w:tcBorders>
            <w:vAlign w:val="center"/>
          </w:tcPr>
          <w:p w14:paraId="32D445CE">
            <w:pPr>
              <w:pStyle w:val="41"/>
              <w:rPr>
                <w:color w:val="auto"/>
                <w:highlight w:val="none"/>
              </w:rPr>
            </w:pPr>
            <w:r>
              <w:rPr>
                <w:color w:val="auto"/>
                <w:highlight w:val="none"/>
              </w:rPr>
              <w:t>可以接受☑；不可以接受□</w:t>
            </w:r>
          </w:p>
        </w:tc>
      </w:tr>
      <w:tr w14:paraId="5409F8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9"/>
            <w:tcBorders>
              <w:tl2br w:val="nil"/>
              <w:tr2bl w:val="nil"/>
            </w:tcBorders>
            <w:vAlign w:val="center"/>
          </w:tcPr>
          <w:p w14:paraId="0F1C843E">
            <w:pPr>
              <w:pStyle w:val="41"/>
              <w:rPr>
                <w:color w:val="auto"/>
                <w:highlight w:val="none"/>
              </w:rPr>
            </w:pPr>
            <w:r>
              <w:rPr>
                <w:color w:val="auto"/>
                <w:highlight w:val="none"/>
              </w:rPr>
              <w:t>注：“□”为勾选项，可打√；“（）”为内容填写项；“备注”为其他补充内容。</w:t>
            </w:r>
          </w:p>
        </w:tc>
      </w:tr>
    </w:tbl>
    <w:p w14:paraId="1D8A10AE">
      <w:pPr>
        <w:pStyle w:val="3"/>
        <w:ind w:firstLine="480"/>
        <w:rPr>
          <w:color w:val="auto"/>
          <w:highlight w:val="none"/>
        </w:rPr>
        <w:sectPr>
          <w:pgSz w:w="16839" w:h="11906" w:orient="landscape"/>
          <w:pgMar w:top="1803" w:right="1389" w:bottom="1803" w:left="1389" w:header="878" w:footer="996" w:gutter="0"/>
          <w:pgBorders>
            <w:top w:val="none" w:sz="0" w:space="0"/>
            <w:left w:val="none" w:sz="0" w:space="0"/>
            <w:bottom w:val="none" w:sz="0" w:space="0"/>
            <w:right w:val="none" w:sz="0" w:space="0"/>
          </w:pgBorders>
          <w:cols w:space="720" w:num="1"/>
        </w:sectPr>
      </w:pPr>
    </w:p>
    <w:bookmarkEnd w:id="379"/>
    <w:p w14:paraId="54AEB794">
      <w:pPr>
        <w:pStyle w:val="42"/>
        <w:rPr>
          <w:rFonts w:hint="default"/>
          <w:color w:val="auto"/>
          <w:highlight w:val="none"/>
        </w:rPr>
      </w:pPr>
      <w:r>
        <w:rPr>
          <w:rFonts w:hint="default"/>
          <w:color w:val="auto"/>
          <w:highlight w:val="none"/>
        </w:rPr>
        <w:t xml:space="preserve"> 运行期对地下水的影响分析</w:t>
      </w:r>
    </w:p>
    <w:p w14:paraId="4DC596D6">
      <w:pPr>
        <w:pStyle w:val="43"/>
        <w:rPr>
          <w:color w:val="auto"/>
          <w:highlight w:val="none"/>
        </w:rPr>
      </w:pPr>
      <w:r>
        <w:rPr>
          <w:color w:val="auto"/>
          <w:highlight w:val="none"/>
        </w:rPr>
        <w:t>区域水文地质条件</w:t>
      </w:r>
    </w:p>
    <w:p w14:paraId="30386310">
      <w:pPr>
        <w:pStyle w:val="3"/>
        <w:ind w:firstLine="480"/>
        <w:rPr>
          <w:color w:val="auto"/>
          <w:highlight w:val="none"/>
        </w:rPr>
      </w:pPr>
      <w:r>
        <w:rPr>
          <w:color w:val="auto"/>
          <w:highlight w:val="none"/>
        </w:rPr>
        <w:t>根据《新疆阿图什市托斯莫铁矿（扩大范围）详查报告》本区属南天山中低山区，地下水补给主要靠冬季雪水和夏季雨水。区域上大部分为裸露的基岩，地表雪水和雨水，以径流方式和融入方式补给地下水，区域内唯一地表水，位于</w:t>
      </w:r>
      <w:r>
        <w:rPr>
          <w:rFonts w:hint="eastAsia"/>
          <w:color w:val="auto"/>
          <w:highlight w:val="none"/>
        </w:rPr>
        <w:t>项目区</w:t>
      </w:r>
      <w:r>
        <w:rPr>
          <w:color w:val="auto"/>
          <w:highlight w:val="none"/>
        </w:rPr>
        <w:t>以南</w:t>
      </w:r>
      <w:r>
        <w:rPr>
          <w:rFonts w:hint="eastAsia"/>
          <w:color w:val="auto"/>
          <w:highlight w:val="none"/>
        </w:rPr>
        <w:t>0.5</w:t>
      </w:r>
      <w:r>
        <w:rPr>
          <w:color w:val="auto"/>
          <w:highlight w:val="none"/>
        </w:rPr>
        <w:t>km处有阿亚克苏洪木河，由西北流向东南。河流常年有水，融雪期水量较大，山区局部有泉水发育。</w:t>
      </w:r>
    </w:p>
    <w:p w14:paraId="7E3D360C">
      <w:pPr>
        <w:pStyle w:val="3"/>
        <w:ind w:firstLine="480"/>
        <w:rPr>
          <w:color w:val="auto"/>
          <w:highlight w:val="none"/>
        </w:rPr>
      </w:pPr>
      <w:r>
        <w:rPr>
          <w:color w:val="auto"/>
          <w:highlight w:val="none"/>
        </w:rPr>
        <w:t>（1）地下水类型</w:t>
      </w:r>
    </w:p>
    <w:p w14:paraId="0D4F7761">
      <w:pPr>
        <w:pStyle w:val="3"/>
        <w:ind w:firstLine="480"/>
        <w:rPr>
          <w:color w:val="auto"/>
          <w:highlight w:val="none"/>
        </w:rPr>
      </w:pPr>
      <w:r>
        <w:rPr>
          <w:color w:val="auto"/>
          <w:highlight w:val="none"/>
        </w:rPr>
        <w:t>1）松散岩类孔隙水</w:t>
      </w:r>
    </w:p>
    <w:p w14:paraId="3CA37205">
      <w:pPr>
        <w:pStyle w:val="3"/>
        <w:ind w:firstLine="480"/>
        <w:rPr>
          <w:color w:val="auto"/>
          <w:highlight w:val="none"/>
        </w:rPr>
      </w:pPr>
      <w:r>
        <w:rPr>
          <w:color w:val="auto"/>
          <w:highlight w:val="none"/>
        </w:rPr>
        <w:t>分布在区域的北、南部及其周边山前第四系上更新统冲洪积平原地带，构成 含水层的岩性为砂砾卵石。单井涌水量2-20m</w:t>
      </w:r>
      <w:r>
        <w:rPr>
          <w:color w:val="auto"/>
          <w:highlight w:val="none"/>
          <w:vertAlign w:val="superscript"/>
        </w:rPr>
        <w:t>3</w:t>
      </w:r>
      <w:r>
        <w:rPr>
          <w:color w:val="auto"/>
          <w:highlight w:val="none"/>
        </w:rPr>
        <w:t>/d，富水性强。矿化度小于1g/L。</w:t>
      </w:r>
    </w:p>
    <w:p w14:paraId="655A02FB">
      <w:pPr>
        <w:pStyle w:val="3"/>
        <w:ind w:firstLine="480"/>
        <w:rPr>
          <w:color w:val="auto"/>
          <w:highlight w:val="none"/>
        </w:rPr>
      </w:pPr>
      <w:r>
        <w:rPr>
          <w:color w:val="auto"/>
          <w:highlight w:val="none"/>
        </w:rPr>
        <w:t>2）碎屑岩类裂隙孔隙水</w:t>
      </w:r>
    </w:p>
    <w:p w14:paraId="493136DE">
      <w:pPr>
        <w:pStyle w:val="3"/>
        <w:ind w:firstLine="480"/>
        <w:rPr>
          <w:color w:val="auto"/>
          <w:highlight w:val="none"/>
        </w:rPr>
      </w:pPr>
      <w:r>
        <w:rPr>
          <w:color w:val="auto"/>
          <w:highlight w:val="none"/>
        </w:rPr>
        <w:t>分布在区域的南部的广大地区，地层时代包括新近系、白垩系</w:t>
      </w:r>
      <w:r>
        <w:rPr>
          <w:rFonts w:hint="eastAsia"/>
          <w:color w:val="auto"/>
          <w:highlight w:val="none"/>
          <w:lang w:eastAsia="zh-CN"/>
        </w:rPr>
        <w:t>、</w:t>
      </w:r>
      <w:r>
        <w:rPr>
          <w:color w:val="auto"/>
          <w:highlight w:val="none"/>
        </w:rPr>
        <w:t>二叠系， 含水层岩性为砾岩、砂岩。单泉流量0. 1</w:t>
      </w:r>
      <w:r>
        <w:rPr>
          <w:rFonts w:hint="eastAsia"/>
          <w:color w:val="auto"/>
          <w:highlight w:val="none"/>
          <w:lang w:eastAsia="zh-CN"/>
        </w:rPr>
        <w:t>—</w:t>
      </w:r>
      <w:r>
        <w:rPr>
          <w:color w:val="auto"/>
          <w:highlight w:val="none"/>
        </w:rPr>
        <w:t>1L/S，富水性弱。泉水出露有三处，距 离</w:t>
      </w:r>
      <w:r>
        <w:rPr>
          <w:rFonts w:hint="eastAsia"/>
          <w:color w:val="auto"/>
          <w:highlight w:val="none"/>
        </w:rPr>
        <w:t>项目</w:t>
      </w:r>
      <w:r>
        <w:rPr>
          <w:color w:val="auto"/>
          <w:highlight w:val="none"/>
        </w:rPr>
        <w:t>区最近的为东南方向约20km，出露高程为1640m，由于出露高程远低于</w:t>
      </w:r>
      <w:r>
        <w:rPr>
          <w:rFonts w:hint="eastAsia"/>
          <w:color w:val="auto"/>
          <w:highlight w:val="none"/>
        </w:rPr>
        <w:t>项目区</w:t>
      </w:r>
      <w:r>
        <w:rPr>
          <w:color w:val="auto"/>
          <w:highlight w:val="none"/>
        </w:rPr>
        <w:t>海拔高程，对矿区补径排条件无影响。</w:t>
      </w:r>
    </w:p>
    <w:p w14:paraId="0012BAC5">
      <w:pPr>
        <w:pStyle w:val="3"/>
        <w:ind w:firstLine="480"/>
        <w:rPr>
          <w:color w:val="auto"/>
          <w:highlight w:val="none"/>
        </w:rPr>
      </w:pPr>
      <w:r>
        <w:rPr>
          <w:color w:val="auto"/>
          <w:highlight w:val="none"/>
        </w:rPr>
        <w:t>3）基岩裂隙水</w:t>
      </w:r>
    </w:p>
    <w:p w14:paraId="6993BC0E">
      <w:pPr>
        <w:pStyle w:val="3"/>
        <w:ind w:firstLine="480"/>
        <w:rPr>
          <w:color w:val="auto"/>
          <w:highlight w:val="none"/>
        </w:rPr>
      </w:pPr>
      <w:r>
        <w:rPr>
          <w:color w:val="auto"/>
          <w:highlight w:val="none"/>
        </w:rPr>
        <w:t>①层状岩类裂隙水。分布在矿区的西北部地区，出露地层为上石炭系，岩性 主要有灰岩、砂岩、砾岩等。由于断裂及褶皱发育，裂隙发育，直接接受大气降 水、冰雪融水的补给，单泉流量0.1</w:t>
      </w:r>
      <w:r>
        <w:rPr>
          <w:rFonts w:hint="eastAsia"/>
          <w:color w:val="auto"/>
          <w:highlight w:val="none"/>
          <w:lang w:eastAsia="zh-CN"/>
        </w:rPr>
        <w:t>—</w:t>
      </w:r>
      <w:r>
        <w:rPr>
          <w:color w:val="auto"/>
          <w:highlight w:val="none"/>
        </w:rPr>
        <w:t>1L/S ，为赋存水量贫乏裂隙水。泉水出露位于</w:t>
      </w:r>
      <w:r>
        <w:rPr>
          <w:rFonts w:hint="eastAsia"/>
          <w:color w:val="auto"/>
          <w:highlight w:val="none"/>
        </w:rPr>
        <w:t>项目</w:t>
      </w:r>
      <w:r>
        <w:rPr>
          <w:color w:val="auto"/>
          <w:highlight w:val="none"/>
        </w:rPr>
        <w:t>区北及西北方向，约有10处，距离为40</w:t>
      </w:r>
      <w:r>
        <w:rPr>
          <w:rFonts w:hint="eastAsia"/>
          <w:color w:val="auto"/>
          <w:highlight w:val="none"/>
          <w:lang w:eastAsia="zh-CN"/>
        </w:rPr>
        <w:t>—</w:t>
      </w:r>
      <w:r>
        <w:rPr>
          <w:color w:val="auto"/>
          <w:highlight w:val="none"/>
        </w:rPr>
        <w:t>50km ，出露高程2140</w:t>
      </w:r>
      <w:r>
        <w:rPr>
          <w:rFonts w:hint="eastAsia"/>
          <w:color w:val="auto"/>
          <w:highlight w:val="none"/>
          <w:lang w:eastAsia="zh-CN"/>
        </w:rPr>
        <w:t>—</w:t>
      </w:r>
      <w:r>
        <w:rPr>
          <w:color w:val="auto"/>
          <w:highlight w:val="none"/>
        </w:rPr>
        <w:t>2770m， 由于相距较远，这些泉水对矿区补径排条件无影响。</w:t>
      </w:r>
    </w:p>
    <w:p w14:paraId="63A25088">
      <w:pPr>
        <w:pStyle w:val="3"/>
        <w:ind w:firstLine="480"/>
        <w:rPr>
          <w:color w:val="auto"/>
          <w:highlight w:val="none"/>
        </w:rPr>
      </w:pPr>
      <w:r>
        <w:rPr>
          <w:color w:val="auto"/>
          <w:highlight w:val="none"/>
        </w:rPr>
        <w:t>②块状岩类裂隙水。区域上岩浆岩不太发育，岩浆侵入时代可划分为华力西 晚期。主要分布于矿区西北地段。主要岩性有辉长岩、花岗岩。无泉水出露，属 富水量弱</w:t>
      </w:r>
      <w:r>
        <w:rPr>
          <w:rFonts w:hint="eastAsia"/>
          <w:color w:val="auto"/>
          <w:highlight w:val="none"/>
          <w:lang w:eastAsia="zh-CN"/>
        </w:rPr>
        <w:t>－</w:t>
      </w:r>
      <w:r>
        <w:rPr>
          <w:color w:val="auto"/>
          <w:highlight w:val="none"/>
        </w:rPr>
        <w:t>中等基岩裂隙水</w:t>
      </w:r>
      <w:r>
        <w:rPr>
          <w:rFonts w:hint="eastAsia"/>
          <w:color w:val="auto"/>
          <w:highlight w:val="none"/>
        </w:rPr>
        <w:t>。</w:t>
      </w:r>
    </w:p>
    <w:p w14:paraId="64F86B03">
      <w:pPr>
        <w:pStyle w:val="3"/>
        <w:ind w:firstLine="480"/>
        <w:rPr>
          <w:color w:val="auto"/>
          <w:highlight w:val="none"/>
        </w:rPr>
      </w:pPr>
      <w:r>
        <w:rPr>
          <w:rFonts w:hint="eastAsia"/>
          <w:color w:val="auto"/>
          <w:highlight w:val="none"/>
        </w:rPr>
        <w:t>（2）地下水的补给、径流、排泄条件</w:t>
      </w:r>
    </w:p>
    <w:p w14:paraId="292E4ABA">
      <w:pPr>
        <w:pStyle w:val="3"/>
        <w:ind w:firstLine="480"/>
        <w:rPr>
          <w:color w:val="auto"/>
          <w:highlight w:val="none"/>
        </w:rPr>
      </w:pPr>
      <w:r>
        <w:rPr>
          <w:color w:val="auto"/>
          <w:highlight w:val="none"/>
        </w:rPr>
        <w:t>北部及西北山区接受大气降水和雪融水直接渗入补给，形成地下水，在强烈 的地表风化裂隙、节理的控制下由北向南径流，其中部分形成顺坡向自北向南排 入山间河谷，另一部分沿基岩裂隙、节理缝隙中转化为基岩裂隙水，并通过在基 岩裂隙、节理中赋存、运移，一部分沿水力坡度向南部下游低洼处排泄，并在强 烈侵蚀切割的沟谷边缘处以泉水的形式出露地表，汇入沟谷以地表水的方式排泄 出沟谷；另一部分基岩裂隙水，通过以侧向地下径流的方式，进入沟谷低洼的松 散的残坡积-冲洪积堆积物中，赋存在南部沟谷低洼的第四系孔隙含水层中，水 位埋深较浅的地下水通过地表蒸发、植物蒸腾，以垂向的方式排泄，回到大气中。</w:t>
      </w:r>
    </w:p>
    <w:p w14:paraId="6FF585FA">
      <w:pPr>
        <w:pStyle w:val="3"/>
        <w:ind w:firstLine="480"/>
        <w:rPr>
          <w:color w:val="auto"/>
          <w:highlight w:val="none"/>
        </w:rPr>
      </w:pPr>
      <w:r>
        <w:rPr>
          <w:color w:val="auto"/>
          <w:highlight w:val="none"/>
        </w:rPr>
        <w:t>南部山前冲洪积倾斜平原区，赋存有第四系松散岩类孔隙水、碎屑岩类孔隙 裂隙水，主要接受北部山区地下水的侧向补给。地下水流向由北向南、由西北向 东南径流，大部分以地下径流排泄于南部区外和垂直蒸发，小部分以泉的形式溢 出，向地表排泄。</w:t>
      </w:r>
    </w:p>
    <w:p w14:paraId="3921C1CE">
      <w:pPr>
        <w:pStyle w:val="43"/>
        <w:rPr>
          <w:color w:val="auto"/>
          <w:highlight w:val="none"/>
        </w:rPr>
      </w:pPr>
      <w:r>
        <w:rPr>
          <w:rFonts w:hint="eastAsia" w:cs="Times New Roman"/>
          <w:color w:val="auto"/>
          <w:highlight w:val="none"/>
        </w:rPr>
        <w:t>选矿厂</w:t>
      </w:r>
      <w:r>
        <w:rPr>
          <w:color w:val="auto"/>
          <w:highlight w:val="none"/>
        </w:rPr>
        <w:t>水文地质条件</w:t>
      </w:r>
    </w:p>
    <w:p w14:paraId="5F14CA96">
      <w:pPr>
        <w:pStyle w:val="3"/>
        <w:ind w:firstLine="480"/>
        <w:rPr>
          <w:color w:val="auto"/>
          <w:highlight w:val="none"/>
        </w:rPr>
      </w:pPr>
      <w:r>
        <w:rPr>
          <w:rFonts w:hint="eastAsia"/>
          <w:color w:val="auto"/>
          <w:highlight w:val="none"/>
        </w:rPr>
        <w:t>（1）地下水类型</w:t>
      </w:r>
    </w:p>
    <w:p w14:paraId="3BACB2A9">
      <w:pPr>
        <w:pStyle w:val="3"/>
        <w:ind w:firstLine="480"/>
        <w:rPr>
          <w:color w:val="auto"/>
          <w:highlight w:val="none"/>
        </w:rPr>
      </w:pPr>
      <w:r>
        <w:rPr>
          <w:rFonts w:hint="eastAsia"/>
          <w:color w:val="auto"/>
          <w:highlight w:val="none"/>
        </w:rPr>
        <w:t>1）块状基岩裂隙水岩组（Ⅰ）</w:t>
      </w:r>
    </w:p>
    <w:p w14:paraId="6B4ED2E3">
      <w:pPr>
        <w:pStyle w:val="3"/>
        <w:ind w:firstLine="480"/>
        <w:rPr>
          <w:color w:val="auto"/>
          <w:highlight w:val="none"/>
        </w:rPr>
      </w:pPr>
      <w:r>
        <w:rPr>
          <w:color w:val="auto"/>
          <w:highlight w:val="none"/>
        </w:rPr>
        <w:t xml:space="preserve">主要为华力西晚期辉长岩，分布于矿区中西部地区，约占矿区总面积的15%，海拔1878-1950，地形相对平缓，其中面积最大的辉长岩体呈岩株状产出，东西长367m，南北宽386m，由西向东逐渐尖灭。由于地表风化强烈，表层风化裂隙发育，上部5-13m较破碎，孔隙率大于23%，下部未风化辉长岩裂隙少，呈块状构造，孔隙率 </w:t>
      </w:r>
      <w:r>
        <w:rPr>
          <w:rFonts w:hint="eastAsia"/>
          <w:color w:val="auto"/>
          <w:highlight w:val="none"/>
          <w:lang w:eastAsia="zh-CN"/>
        </w:rPr>
        <w:t>0.29%—1.13%</w:t>
      </w:r>
      <w:r>
        <w:rPr>
          <w:color w:val="auto"/>
          <w:highlight w:val="none"/>
        </w:rPr>
        <w:t>，单位涌水量0.48L/m·s，揭露部分辉长岩层位于地下水位之下，该含水层富水性中等。所以该岩组为中等富水块状基岩裂隙含水层。</w:t>
      </w:r>
    </w:p>
    <w:p w14:paraId="49FD31F8">
      <w:pPr>
        <w:pStyle w:val="3"/>
        <w:ind w:firstLine="480"/>
        <w:rPr>
          <w:color w:val="auto"/>
          <w:highlight w:val="none"/>
        </w:rPr>
      </w:pPr>
      <w:r>
        <w:rPr>
          <w:color w:val="auto"/>
          <w:highlight w:val="none"/>
        </w:rPr>
        <w:t>2）层状基岩裂隙水岩组 ( Ⅱ )</w:t>
      </w:r>
    </w:p>
    <w:p w14:paraId="1172D954">
      <w:pPr>
        <w:pStyle w:val="3"/>
        <w:ind w:firstLine="480"/>
        <w:rPr>
          <w:color w:val="auto"/>
          <w:highlight w:val="none"/>
        </w:rPr>
      </w:pPr>
      <w:r>
        <w:rPr>
          <w:color w:val="auto"/>
          <w:highlight w:val="none"/>
        </w:rPr>
        <w:t>位于</w:t>
      </w:r>
      <w:r>
        <w:rPr>
          <w:rFonts w:hint="eastAsia"/>
          <w:color w:val="auto"/>
          <w:highlight w:val="none"/>
        </w:rPr>
        <w:t>项目区</w:t>
      </w:r>
      <w:r>
        <w:rPr>
          <w:color w:val="auto"/>
          <w:highlight w:val="none"/>
        </w:rPr>
        <w:t>东北部，约占矿区面积的0.10%，地形呈北高南低，其地表及下部的灰色、浅灰色灰岩、砂岩、粉砂岩、砾岩等，局部夹泥质灰岩，呈均匀的层状构造，厚度小于300m，产状北倾，倾角55°-66°</w:t>
      </w:r>
      <w:r>
        <w:rPr>
          <w:rFonts w:hint="eastAsia"/>
          <w:color w:val="auto"/>
          <w:highlight w:val="none"/>
        </w:rPr>
        <w:t>，</w:t>
      </w:r>
      <w:r>
        <w:rPr>
          <w:color w:val="auto"/>
          <w:highlight w:val="none"/>
        </w:rPr>
        <w:t>地表风化裂隙较发育，孔隙率最大27%，5</w:t>
      </w:r>
      <w:r>
        <w:rPr>
          <w:rFonts w:hint="eastAsia"/>
          <w:color w:val="auto"/>
          <w:highlight w:val="none"/>
          <w:lang w:eastAsia="zh-CN"/>
        </w:rPr>
        <w:t>—</w:t>
      </w:r>
      <w:r>
        <w:rPr>
          <w:color w:val="auto"/>
          <w:highlight w:val="none"/>
        </w:rPr>
        <w:t>6m以下岩层完整，由于该岩层在矿区分布面积较小，仅占矿区面积的0.1%，对矿山采矿生产无影响，通过本次钻孔简易水文观测，该含水层富水性与块状基岩裂隙水岩组相近，所以该岩组为中等富水性的层状基岩裂隙含水层。</w:t>
      </w:r>
    </w:p>
    <w:p w14:paraId="7E082402">
      <w:pPr>
        <w:pStyle w:val="3"/>
        <w:ind w:firstLine="480"/>
        <w:rPr>
          <w:color w:val="auto"/>
          <w:highlight w:val="none"/>
        </w:rPr>
      </w:pPr>
      <w:r>
        <w:rPr>
          <w:color w:val="auto"/>
          <w:highlight w:val="none"/>
        </w:rPr>
        <w:t>3）第四系孔隙含水层组 (Ⅲ)</w:t>
      </w:r>
    </w:p>
    <w:p w14:paraId="195A5F48">
      <w:pPr>
        <w:pStyle w:val="3"/>
        <w:ind w:firstLine="480"/>
        <w:rPr>
          <w:color w:val="auto"/>
          <w:highlight w:val="none"/>
        </w:rPr>
      </w:pPr>
      <w:r>
        <w:rPr>
          <w:color w:val="auto"/>
          <w:highlight w:val="none"/>
        </w:rPr>
        <w:t>第四系松散孔含水层组位于矿区南部，约占矿区面积的25%，地形呈东北高，西南低，其地表为松散沉积物覆盖层，厚度约3.5</w:t>
      </w:r>
      <w:r>
        <w:rPr>
          <w:rFonts w:hint="eastAsia"/>
          <w:color w:val="auto"/>
          <w:highlight w:val="none"/>
          <w:lang w:eastAsia="zh-CN"/>
        </w:rPr>
        <w:t>—</w:t>
      </w:r>
      <w:r>
        <w:rPr>
          <w:color w:val="auto"/>
          <w:highlight w:val="none"/>
        </w:rPr>
        <w:t>22.6m，由北部山坡到南部河谷逐渐变厚，岩性为第四系上更新-全新统残坡积、冲洪积等松散块石、碎石、角砾等混合土，无层理，杂乱堆积，孔隙发育，其下为辉长岩，裂隙不发育，渗透性较差，季节性地表水沿沟谷，地下水从孔隙、裂隙、溶隙向南部的河水补给，所以该单元上部松散混合土层渗透性强，并有赋存空间</w:t>
      </w:r>
      <w:r>
        <w:rPr>
          <w:rFonts w:hint="eastAsia"/>
          <w:color w:val="auto"/>
          <w:highlight w:val="none"/>
        </w:rPr>
        <w:t>，</w:t>
      </w:r>
      <w:r>
        <w:rPr>
          <w:color w:val="auto"/>
          <w:highlight w:val="none"/>
        </w:rPr>
        <w:t xml:space="preserve">但由于地形坡度 </w:t>
      </w:r>
      <w:r>
        <w:rPr>
          <w:rFonts w:hint="eastAsia"/>
          <w:color w:val="auto"/>
          <w:highlight w:val="none"/>
          <w:lang w:eastAsia="zh-CN"/>
        </w:rPr>
        <w:t>10%—15%</w:t>
      </w:r>
      <w:r>
        <w:rPr>
          <w:color w:val="auto"/>
          <w:highlight w:val="none"/>
        </w:rPr>
        <w:t>造成水力坡降较大，地下水几乎都向下游排泄，属透水不含水层。</w:t>
      </w:r>
    </w:p>
    <w:p w14:paraId="3B061F0E">
      <w:pPr>
        <w:pStyle w:val="3"/>
        <w:ind w:firstLine="480"/>
        <w:rPr>
          <w:color w:val="auto"/>
          <w:highlight w:val="none"/>
        </w:rPr>
      </w:pPr>
      <w:r>
        <w:rPr>
          <w:rFonts w:hint="eastAsia"/>
          <w:color w:val="auto"/>
          <w:highlight w:val="none"/>
        </w:rPr>
        <w:t>（2）地下水的补给、径流、排泄条件</w:t>
      </w:r>
    </w:p>
    <w:p w14:paraId="74E22404">
      <w:pPr>
        <w:pStyle w:val="3"/>
        <w:ind w:firstLine="480"/>
        <w:rPr>
          <w:color w:val="auto"/>
          <w:highlight w:val="none"/>
        </w:rPr>
      </w:pPr>
      <w:r>
        <w:rPr>
          <w:color w:val="auto"/>
          <w:highlight w:val="none"/>
        </w:rPr>
        <w:t>层状基岩裂隙水岩组和块状基岩裂隙水岩组的地下水赋存空间主要位于岩层风化裂隙和成岩裂隙，地形坡度32°-45°</w:t>
      </w:r>
      <w:r>
        <w:rPr>
          <w:rFonts w:hint="eastAsia"/>
          <w:color w:val="auto"/>
          <w:highlight w:val="none"/>
        </w:rPr>
        <w:t>，</w:t>
      </w:r>
      <w:r>
        <w:rPr>
          <w:color w:val="auto"/>
          <w:highlight w:val="none"/>
        </w:rPr>
        <w:t>由于地表基岩风化裂隙发育，季节性降水进入裂隙后，流入深部岩层中，进入基岩裂隙水含水层组，同样受地形坡降影响，地下水沿坡降向最低侵蚀基准面运移，所以矿区地下水处在不断向南部河谷排泄的径流区</w:t>
      </w:r>
      <w:r>
        <w:rPr>
          <w:rFonts w:hint="eastAsia"/>
          <w:color w:val="auto"/>
          <w:highlight w:val="none"/>
        </w:rPr>
        <w:t>。</w:t>
      </w:r>
    </w:p>
    <w:p w14:paraId="228C95AE">
      <w:pPr>
        <w:pStyle w:val="3"/>
        <w:ind w:firstLine="480"/>
        <w:rPr>
          <w:color w:val="auto"/>
          <w:highlight w:val="none"/>
        </w:rPr>
      </w:pPr>
      <w:bookmarkStart w:id="380" w:name="_Toc137663409"/>
      <w:r>
        <w:rPr>
          <w:rFonts w:hint="eastAsia"/>
          <w:color w:val="auto"/>
          <w:highlight w:val="none"/>
        </w:rPr>
        <w:t>（3）地下水敏感性</w:t>
      </w:r>
    </w:p>
    <w:p w14:paraId="0657012B">
      <w:pPr>
        <w:pStyle w:val="3"/>
        <w:bidi w:val="0"/>
        <w:rPr>
          <w:color w:val="auto"/>
          <w:highlight w:val="none"/>
        </w:rPr>
      </w:pPr>
      <w:r>
        <w:rPr>
          <w:rFonts w:hint="eastAsia"/>
          <w:color w:val="auto"/>
          <w:highlight w:val="none"/>
          <w:lang w:eastAsia="zh-CN"/>
        </w:rPr>
        <w:t>选矿厂</w:t>
      </w:r>
      <w:r>
        <w:rPr>
          <w:rFonts w:hint="eastAsia"/>
          <w:color w:val="auto"/>
          <w:highlight w:val="none"/>
        </w:rPr>
        <w:t>周边没有集中式饮用水水源（包括已建成的在用、备用、</w:t>
      </w:r>
      <w:r>
        <w:rPr>
          <w:rFonts w:hint="eastAsia"/>
          <w:color w:val="auto"/>
          <w:highlight w:val="none"/>
          <w:lang w:val="en-US" w:eastAsia="zh-CN"/>
        </w:rPr>
        <w:t>应急</w:t>
      </w:r>
      <w:r>
        <w:rPr>
          <w:rFonts w:hint="eastAsia"/>
          <w:color w:val="auto"/>
          <w:highlight w:val="none"/>
        </w:rPr>
        <w:t>水源，在建和规划的饮用水水源）准保护区</w:t>
      </w:r>
      <w:r>
        <w:rPr>
          <w:rFonts w:hint="eastAsia"/>
          <w:color w:val="auto"/>
          <w:highlight w:val="none"/>
          <w:lang w:eastAsia="zh-CN"/>
        </w:rPr>
        <w:t>、</w:t>
      </w:r>
      <w:r>
        <w:rPr>
          <w:rFonts w:hint="eastAsia"/>
          <w:color w:val="auto"/>
          <w:highlight w:val="none"/>
          <w:lang w:val="en-US" w:eastAsia="zh-CN"/>
        </w:rPr>
        <w:t>准保护区以外的补给径流区和集中式饮用水水源以外的国家或地方政府设定的与地下水环境</w:t>
      </w:r>
      <w:r>
        <w:rPr>
          <w:rFonts w:hint="eastAsia"/>
          <w:color w:val="auto"/>
          <w:highlight w:val="none"/>
          <w:lang w:val="en-US" w:eastAsia="zh-CN"/>
        </w:rPr>
        <w:t>相关的其他</w:t>
      </w:r>
      <w:r>
        <w:rPr>
          <w:rFonts w:hint="eastAsia"/>
          <w:color w:val="auto"/>
          <w:highlight w:val="none"/>
          <w:lang w:val="en-US" w:eastAsia="zh-CN"/>
        </w:rPr>
        <w:t>保护区</w:t>
      </w:r>
      <w:r>
        <w:rPr>
          <w:rFonts w:hint="eastAsia"/>
          <w:color w:val="auto"/>
          <w:highlight w:val="none"/>
        </w:rPr>
        <w:t>；</w:t>
      </w:r>
      <w:r>
        <w:rPr>
          <w:rFonts w:hint="eastAsia"/>
          <w:color w:val="auto"/>
          <w:highlight w:val="none"/>
          <w:lang w:val="en-US" w:eastAsia="zh-CN"/>
        </w:rPr>
        <w:t>也没有未划定准保护区的集中式饮用水水源、其保护区以外的补给径流区，分散式饮用水水源地和特殊地下水资源保护区以外的分布区等，</w:t>
      </w:r>
      <w:r>
        <w:rPr>
          <w:rFonts w:hint="eastAsia"/>
          <w:color w:val="auto"/>
          <w:highlight w:val="none"/>
        </w:rPr>
        <w:t>项目区地下水敏感程度属于不敏感区。</w:t>
      </w:r>
    </w:p>
    <w:p w14:paraId="52D470A3">
      <w:pPr>
        <w:pStyle w:val="43"/>
        <w:rPr>
          <w:color w:val="auto"/>
          <w:highlight w:val="none"/>
        </w:rPr>
      </w:pPr>
      <w:r>
        <w:rPr>
          <w:color w:val="auto"/>
          <w:highlight w:val="none"/>
        </w:rPr>
        <w:t>选矿厂</w:t>
      </w:r>
      <w:r>
        <w:rPr>
          <w:rFonts w:hint="eastAsia"/>
          <w:color w:val="auto"/>
          <w:highlight w:val="none"/>
          <w:lang w:eastAsia="zh-CN"/>
        </w:rPr>
        <w:t>区</w:t>
      </w:r>
      <w:r>
        <w:rPr>
          <w:color w:val="auto"/>
          <w:highlight w:val="none"/>
        </w:rPr>
        <w:t>地下水环境影响分析</w:t>
      </w:r>
    </w:p>
    <w:p w14:paraId="39DEBF70">
      <w:pPr>
        <w:pStyle w:val="3"/>
        <w:ind w:firstLine="480"/>
        <w:rPr>
          <w:color w:val="auto"/>
          <w:highlight w:val="none"/>
        </w:rPr>
      </w:pPr>
      <w:r>
        <w:rPr>
          <w:color w:val="auto"/>
          <w:highlight w:val="none"/>
        </w:rPr>
        <w:t>正常情况下，选矿废水对地下水的污染主要</w:t>
      </w:r>
      <w:r>
        <w:rPr>
          <w:rFonts w:hint="eastAsia"/>
          <w:color w:val="auto"/>
          <w:highlight w:val="none"/>
          <w:lang w:eastAsia="zh-CN"/>
        </w:rPr>
        <w:t>是由于污染物迁移穿过包气带进入含水层</w:t>
      </w:r>
      <w:r>
        <w:rPr>
          <w:color w:val="auto"/>
          <w:highlight w:val="none"/>
        </w:rPr>
        <w:t>。</w:t>
      </w:r>
    </w:p>
    <w:p w14:paraId="7DEEE8B7">
      <w:pPr>
        <w:pStyle w:val="3"/>
        <w:ind w:firstLine="480"/>
        <w:rPr>
          <w:color w:val="auto"/>
          <w:highlight w:val="none"/>
        </w:rPr>
      </w:pPr>
      <w:r>
        <w:rPr>
          <w:color w:val="auto"/>
          <w:highlight w:val="none"/>
        </w:rPr>
        <w:t>（1）选矿废水对地下水的影响</w:t>
      </w:r>
    </w:p>
    <w:p w14:paraId="2AA1E296">
      <w:pPr>
        <w:pStyle w:val="3"/>
        <w:ind w:firstLine="480"/>
        <w:rPr>
          <w:color w:val="auto"/>
          <w:highlight w:val="none"/>
        </w:rPr>
      </w:pPr>
      <w:r>
        <w:rPr>
          <w:color w:val="auto"/>
          <w:highlight w:val="none"/>
        </w:rPr>
        <w:t>本项目厂区内场坪做硬化处理，生产系统排水进入</w:t>
      </w:r>
      <w:r>
        <w:rPr>
          <w:rFonts w:hint="eastAsia"/>
          <w:color w:val="auto"/>
          <w:highlight w:val="none"/>
        </w:rPr>
        <w:t>循环水</w:t>
      </w:r>
      <w:r>
        <w:rPr>
          <w:color w:val="auto"/>
          <w:highlight w:val="none"/>
        </w:rPr>
        <w:t>系统，</w:t>
      </w:r>
      <w:r>
        <w:rPr>
          <w:rFonts w:hint="eastAsia"/>
          <w:color w:val="auto"/>
          <w:highlight w:val="none"/>
        </w:rPr>
        <w:t>循环水池</w:t>
      </w:r>
      <w:r>
        <w:rPr>
          <w:color w:val="auto"/>
          <w:highlight w:val="none"/>
        </w:rPr>
        <w:t>溢流水</w:t>
      </w:r>
      <w:r>
        <w:rPr>
          <w:rFonts w:hint="eastAsia"/>
          <w:color w:val="auto"/>
          <w:highlight w:val="none"/>
        </w:rPr>
        <w:t>通过</w:t>
      </w:r>
      <w:r>
        <w:rPr>
          <w:color w:val="auto"/>
          <w:highlight w:val="none"/>
        </w:rPr>
        <w:t>泵</w:t>
      </w:r>
      <w:r>
        <w:rPr>
          <w:rFonts w:hint="eastAsia"/>
          <w:color w:val="auto"/>
          <w:highlight w:val="none"/>
        </w:rPr>
        <w:t>送</w:t>
      </w:r>
      <w:r>
        <w:rPr>
          <w:color w:val="auto"/>
          <w:highlight w:val="none"/>
        </w:rPr>
        <w:t>，</w:t>
      </w:r>
      <w:r>
        <w:rPr>
          <w:rFonts w:hint="eastAsia"/>
          <w:color w:val="auto"/>
          <w:highlight w:val="none"/>
        </w:rPr>
        <w:t>返回</w:t>
      </w:r>
      <w:r>
        <w:rPr>
          <w:color w:val="auto"/>
          <w:highlight w:val="none"/>
        </w:rPr>
        <w:t>生产环水管网，循环使用</w:t>
      </w:r>
      <w:r>
        <w:rPr>
          <w:rFonts w:hint="eastAsia"/>
          <w:color w:val="auto"/>
          <w:highlight w:val="none"/>
          <w:lang w:eastAsia="zh-CN"/>
        </w:rPr>
        <w:t>，</w:t>
      </w:r>
      <w:r>
        <w:rPr>
          <w:color w:val="auto"/>
          <w:highlight w:val="none"/>
        </w:rPr>
        <w:t>全厂生产系统污废水不外排。因此，项目选矿废水闭路循环，不产生工业废水。</w:t>
      </w:r>
    </w:p>
    <w:p w14:paraId="30BF2F19">
      <w:pPr>
        <w:pStyle w:val="3"/>
        <w:ind w:firstLine="480"/>
        <w:rPr>
          <w:color w:val="auto"/>
          <w:highlight w:val="none"/>
        </w:rPr>
      </w:pPr>
      <w:r>
        <w:rPr>
          <w:color w:val="auto"/>
          <w:highlight w:val="none"/>
        </w:rPr>
        <w:t>（2）生活污水对地下水的影响</w:t>
      </w:r>
    </w:p>
    <w:p w14:paraId="4FB42FC1">
      <w:pPr>
        <w:pStyle w:val="3"/>
        <w:ind w:firstLine="480"/>
        <w:rPr>
          <w:color w:val="auto"/>
          <w:highlight w:val="none"/>
        </w:rPr>
      </w:pPr>
      <w:r>
        <w:rPr>
          <w:color w:val="auto"/>
          <w:highlight w:val="none"/>
        </w:rPr>
        <w:t>本项目生活污水量为54.25m</w:t>
      </w:r>
      <w:r>
        <w:rPr>
          <w:rFonts w:hint="eastAsia"/>
          <w:color w:val="auto"/>
          <w:highlight w:val="none"/>
          <w:vertAlign w:val="superscript"/>
        </w:rPr>
        <w:t>3</w:t>
      </w:r>
      <w:r>
        <w:rPr>
          <w:color w:val="auto"/>
          <w:highlight w:val="none"/>
        </w:rPr>
        <w:t>/d（16275m</w:t>
      </w:r>
      <w:r>
        <w:rPr>
          <w:rFonts w:hint="eastAsia"/>
          <w:color w:val="auto"/>
          <w:highlight w:val="none"/>
          <w:vertAlign w:val="superscript"/>
        </w:rPr>
        <w:t>3</w:t>
      </w:r>
      <w:r>
        <w:rPr>
          <w:color w:val="auto"/>
          <w:highlight w:val="none"/>
        </w:rPr>
        <w:t>/a），其中主要污染物为COD、BOD</w:t>
      </w:r>
      <w:r>
        <w:rPr>
          <w:color w:val="auto"/>
          <w:highlight w:val="none"/>
          <w:vertAlign w:val="subscript"/>
        </w:rPr>
        <w:t>5</w:t>
      </w:r>
      <w:r>
        <w:rPr>
          <w:color w:val="auto"/>
          <w:highlight w:val="none"/>
        </w:rPr>
        <w:t>、SS、动植物油等，餐饮废水经过隔油池处理后排入地埋式一体式污水处理装置，其余生活污水直接排入地埋式一体式污水处理装置，处理后达到《城市污水再生利用城市杂用水水质》</w:t>
      </w:r>
      <w:r>
        <w:rPr>
          <w:rFonts w:hint="eastAsia"/>
          <w:color w:val="auto"/>
          <w:highlight w:val="none"/>
          <w:lang w:eastAsia="zh-CN"/>
        </w:rPr>
        <w:t>（</w:t>
      </w:r>
      <w:r>
        <w:rPr>
          <w:color w:val="auto"/>
          <w:highlight w:val="none"/>
        </w:rPr>
        <w:t>GB/T 18920-2020</w:t>
      </w:r>
      <w:r>
        <w:rPr>
          <w:rFonts w:hint="eastAsia"/>
          <w:color w:val="auto"/>
          <w:highlight w:val="none"/>
          <w:lang w:eastAsia="zh-CN"/>
        </w:rPr>
        <w:t>）</w:t>
      </w:r>
      <w:r>
        <w:rPr>
          <w:color w:val="auto"/>
          <w:highlight w:val="none"/>
        </w:rPr>
        <w:t>中的城市绿化、道路清扫、消防、建筑施工限值后回用于厂区绿化，对周围的环境影响甚微，另外，在今后运营过程中应充分做好污水管道的防渗处理，杜绝污水渗漏，确保污水收集处理系统衔接良好，严格用水管理，防止污水“跑、冒、滴、漏”现象的发生，可较大程度地消除污染物排放对地下水环境的影响。</w:t>
      </w:r>
    </w:p>
    <w:p w14:paraId="57A89297">
      <w:pPr>
        <w:pStyle w:val="43"/>
        <w:rPr>
          <w:color w:val="auto"/>
          <w:highlight w:val="none"/>
        </w:rPr>
      </w:pPr>
      <w:r>
        <w:rPr>
          <w:rFonts w:hint="eastAsia"/>
          <w:color w:val="auto"/>
          <w:highlight w:val="none"/>
        </w:rPr>
        <w:t>尾矿库水文地质条件</w:t>
      </w:r>
    </w:p>
    <w:p w14:paraId="790C7DA6">
      <w:pPr>
        <w:pStyle w:val="3"/>
        <w:ind w:firstLine="480"/>
        <w:rPr>
          <w:color w:val="auto"/>
          <w:highlight w:val="none"/>
        </w:rPr>
      </w:pPr>
      <w:r>
        <w:rPr>
          <w:rFonts w:hint="eastAsia"/>
          <w:color w:val="auto"/>
          <w:highlight w:val="none"/>
        </w:rPr>
        <w:t>根据《阿图什市环球矿业有限公司新疆阿图什市托斯莫铁矿区选厂配套新建尾矿库工程岩土工程详细勘察报告》，矿区范围内无地表水分布，根据水文孔地下水测量数据，稳定地下水位一般大于56.5m（标高+1827.1m）。</w:t>
      </w:r>
    </w:p>
    <w:p w14:paraId="6F3D3E7D">
      <w:pPr>
        <w:pStyle w:val="3"/>
        <w:ind w:firstLine="480"/>
        <w:rPr>
          <w:color w:val="auto"/>
          <w:highlight w:val="none"/>
        </w:rPr>
      </w:pPr>
      <w:r>
        <w:rPr>
          <w:rFonts w:hint="eastAsia"/>
          <w:color w:val="auto"/>
          <w:highlight w:val="none"/>
        </w:rPr>
        <w:t>（1）地下水类型</w:t>
      </w:r>
    </w:p>
    <w:p w14:paraId="1B9344E9">
      <w:pPr>
        <w:pStyle w:val="3"/>
        <w:ind w:firstLine="480"/>
        <w:rPr>
          <w:color w:val="auto"/>
          <w:highlight w:val="none"/>
        </w:rPr>
      </w:pPr>
      <w:r>
        <w:rPr>
          <w:rFonts w:hint="eastAsia"/>
          <w:color w:val="auto"/>
          <w:highlight w:val="none"/>
        </w:rPr>
        <w:t>依据地下水的赋存条件及含水介质的岩性特征，将矿区地下水分为两种基本类型，即松散岩类孔隙水和基岩裂隙水。</w:t>
      </w:r>
    </w:p>
    <w:p w14:paraId="7BC77017">
      <w:pPr>
        <w:pStyle w:val="3"/>
        <w:ind w:firstLine="480"/>
        <w:rPr>
          <w:color w:val="auto"/>
          <w:highlight w:val="none"/>
        </w:rPr>
      </w:pPr>
      <w:r>
        <w:rPr>
          <w:rFonts w:hint="eastAsia"/>
          <w:color w:val="auto"/>
          <w:highlight w:val="none"/>
        </w:rPr>
        <w:t>第四系松散岩类孔隙水：勘察区内第四系松散块石、碎石层广泛分布，分布较均，厚度较大，一般为大气降雨入渗地表后，在浅部形成孔隙水或上层滞水，水化学类型一般为硫酸钙钠型水，矿化度0.9</w:t>
      </w:r>
      <w:r>
        <w:rPr>
          <w:rFonts w:hint="eastAsia"/>
          <w:color w:val="auto"/>
          <w:highlight w:val="none"/>
          <w:lang w:eastAsia="zh-CN"/>
        </w:rPr>
        <w:t>—</w:t>
      </w:r>
      <w:r>
        <w:rPr>
          <w:rFonts w:hint="eastAsia"/>
          <w:color w:val="auto"/>
          <w:highlight w:val="none"/>
        </w:rPr>
        <w:t>1.4g/L左右，给水度值变化于0.06～0. 17之间，随深度增加而减小，随地貌不同而埋深不同，为弱富水，勘察期间，钻探深度范围内未见其揭露，雨季或可局部发育。</w:t>
      </w:r>
    </w:p>
    <w:p w14:paraId="2D240D34">
      <w:pPr>
        <w:pStyle w:val="3"/>
        <w:ind w:firstLine="480"/>
        <w:rPr>
          <w:color w:val="auto"/>
          <w:highlight w:val="none"/>
        </w:rPr>
      </w:pPr>
      <w:r>
        <w:rPr>
          <w:rFonts w:hint="eastAsia"/>
          <w:color w:val="auto"/>
          <w:highlight w:val="none"/>
        </w:rPr>
        <w:t xml:space="preserve">基岩裂隙水：该含水层全区分布，一般分布在石炭系中统比京他乌组（C2b）矽卡岩化灰岩和华力西晚期 </w:t>
      </w:r>
      <w:r>
        <w:rPr>
          <w:rFonts w:hint="eastAsia"/>
          <w:color w:val="auto"/>
          <w:highlight w:val="none"/>
          <w:lang w:eastAsia="zh-CN"/>
        </w:rPr>
        <w:t>（</w:t>
      </w:r>
      <w:r>
        <w:rPr>
          <w:rFonts w:hint="eastAsia"/>
          <w:color w:val="auto"/>
          <w:highlight w:val="none"/>
        </w:rPr>
        <w:t>γξ34）花岗正长岩的基岩裂隙中，基岩大部分出露，承压水受构造、岩性及古地理条件的控制，其分布、埋藏及富水性差异很大，水质类型多为硫酸钙钠型水，矿化度0.9</w:t>
      </w:r>
      <w:r>
        <w:rPr>
          <w:rFonts w:hint="eastAsia"/>
          <w:color w:val="auto"/>
          <w:highlight w:val="none"/>
          <w:lang w:eastAsia="zh-CN"/>
        </w:rPr>
        <w:t>—</w:t>
      </w:r>
      <w:r>
        <w:rPr>
          <w:rFonts w:hint="eastAsia"/>
          <w:color w:val="auto"/>
          <w:highlight w:val="none"/>
        </w:rPr>
        <w:t>1.4g/L。本次勘探实施的钻孔经过简易水文观察显示，钻进中冲洗液漏失不严重，终孔后孔内无水位，即未见地下水出露。地层透水而不含水。对周边村庄水、河流、水文井水位的调查，当地水位在1827.1m标高以下，地表也无泉水分布，低于勘察场区最低标高。埋藏较深，尾矿库的建设对</w:t>
      </w:r>
      <w:r>
        <w:rPr>
          <w:rFonts w:hint="eastAsia"/>
          <w:color w:val="auto"/>
          <w:highlight w:val="none"/>
          <w:lang w:val="en-US" w:eastAsia="zh-CN"/>
        </w:rPr>
        <w:t>其</w:t>
      </w:r>
      <w:r>
        <w:rPr>
          <w:rFonts w:hint="eastAsia"/>
          <w:color w:val="auto"/>
          <w:highlight w:val="none"/>
        </w:rPr>
        <w:t>无影响。</w:t>
      </w:r>
    </w:p>
    <w:p w14:paraId="5B1B5EA1">
      <w:pPr>
        <w:pStyle w:val="3"/>
        <w:ind w:firstLine="480"/>
        <w:rPr>
          <w:color w:val="auto"/>
          <w:highlight w:val="none"/>
        </w:rPr>
      </w:pPr>
      <w:r>
        <w:rPr>
          <w:rFonts w:hint="eastAsia"/>
          <w:color w:val="auto"/>
          <w:highlight w:val="none"/>
        </w:rPr>
        <w:t>（2）地下水的补给、径流与排泄</w:t>
      </w:r>
    </w:p>
    <w:p w14:paraId="440A1F0E">
      <w:pPr>
        <w:pStyle w:val="3"/>
        <w:ind w:firstLine="480"/>
        <w:rPr>
          <w:color w:val="auto"/>
          <w:highlight w:val="none"/>
        </w:rPr>
      </w:pPr>
      <w:r>
        <w:rPr>
          <w:rFonts w:hint="eastAsia"/>
          <w:color w:val="auto"/>
          <w:highlight w:val="none"/>
        </w:rPr>
        <w:t>勘察区内大气降水是区内地下水的主要补给源，补给条件的优劣取决于岩层透水性及地面汇水条件。前者除岩石本身结构外，主要受构造、岩溶强度及风化程度等因素影响；后者主要受控于地形地貌因素。</w:t>
      </w:r>
    </w:p>
    <w:p w14:paraId="53562A63">
      <w:pPr>
        <w:pStyle w:val="3"/>
        <w:ind w:firstLine="480"/>
        <w:rPr>
          <w:color w:val="auto"/>
          <w:highlight w:val="none"/>
        </w:rPr>
      </w:pPr>
      <w:r>
        <w:rPr>
          <w:rFonts w:hint="eastAsia"/>
          <w:color w:val="auto"/>
          <w:highlight w:val="none"/>
        </w:rPr>
        <w:t>勘察区地下水的补给、径流、排泄条件受地形地貌影响明显。从宏观条件来看，第四系松散层孔隙水其径流方向基本与地表水径流方向一致，山岭与山坡地带主要为地下水补给径流区，河谷地带主要为排泄区。第四系松散层孔隙水主要受大气降水补给，由于库区地形切割较深、坡降大，有利于自然排水，勘察区地势北部高、南部低，地形高差较大。大气降水大部以坡面径流方式汇入沟谷，小部分降水沿风化裂隙壳垂直下渗补给深部基岩裂隙含水层，地下水径流受地形控制由北向南流动。勘察区补给区和径流区基本一致。</w:t>
      </w:r>
    </w:p>
    <w:p w14:paraId="2BA4EAB0">
      <w:pPr>
        <w:pStyle w:val="3"/>
        <w:ind w:firstLine="480"/>
        <w:rPr>
          <w:color w:val="auto"/>
          <w:highlight w:val="none"/>
        </w:rPr>
      </w:pPr>
      <w:r>
        <w:rPr>
          <w:rFonts w:hint="eastAsia"/>
          <w:color w:val="auto"/>
          <w:highlight w:val="none"/>
        </w:rPr>
        <w:t>勘察区矽卡岩化灰岩处于当地侵蚀基准面以上，地下水位埋深较深，实施钻孔未发现地下潜水面，碎石土层覆盖较厚，渗透性较好，富水性弱。基岩裂隙水主要在沟谷内基岩裸露区受大气降水补给，由于埋深大，各处富水性差异大且上下水力联系差，补给径流条件差，大致顺地形坡度沿岩层走向缓慢运移，地表风化裂隙壳渗透性良好，考虑到地表坡度较大，大气降水通过风化层下渗能力亦有限，降水大部分以坡面径流形式排泄。</w:t>
      </w:r>
    </w:p>
    <w:p w14:paraId="70CC29CB">
      <w:pPr>
        <w:pStyle w:val="3"/>
        <w:ind w:firstLine="480"/>
        <w:rPr>
          <w:color w:val="auto"/>
          <w:highlight w:val="none"/>
        </w:rPr>
      </w:pPr>
      <w:r>
        <w:rPr>
          <w:rFonts w:hint="eastAsia"/>
          <w:color w:val="auto"/>
          <w:highlight w:val="none"/>
        </w:rPr>
        <w:t>综上所述，勘察区水文地质条件简单。</w:t>
      </w:r>
    </w:p>
    <w:p w14:paraId="636C3200">
      <w:pPr>
        <w:pStyle w:val="3"/>
        <w:ind w:firstLine="480"/>
        <w:rPr>
          <w:color w:val="auto"/>
          <w:highlight w:val="none"/>
        </w:rPr>
      </w:pPr>
      <w:r>
        <w:rPr>
          <w:rFonts w:hint="eastAsia"/>
          <w:color w:val="auto"/>
          <w:highlight w:val="none"/>
        </w:rPr>
        <w:t>（3）地下水敏感性</w:t>
      </w:r>
    </w:p>
    <w:p w14:paraId="48C72183">
      <w:pPr>
        <w:pStyle w:val="3"/>
        <w:ind w:firstLine="480"/>
        <w:rPr>
          <w:color w:val="auto"/>
          <w:highlight w:val="none"/>
        </w:rPr>
      </w:pPr>
      <w:r>
        <w:rPr>
          <w:rFonts w:hint="eastAsia"/>
          <w:color w:val="auto"/>
          <w:highlight w:val="none"/>
        </w:rPr>
        <w:t>尾矿库周边没有集中水源地保护区、集中式饮用水水源以外的国家和地方政府设定的地下水环境</w:t>
      </w:r>
      <w:r>
        <w:rPr>
          <w:rFonts w:hint="eastAsia"/>
          <w:color w:val="auto"/>
          <w:highlight w:val="none"/>
          <w:lang w:eastAsia="zh-CN"/>
        </w:rPr>
        <w:t>相关的其他</w:t>
      </w:r>
      <w:r>
        <w:rPr>
          <w:rFonts w:hint="eastAsia"/>
          <w:color w:val="auto"/>
          <w:highlight w:val="none"/>
        </w:rPr>
        <w:t>保护区；也没有集中式饮用水源（包括已建成的在用、备用、</w:t>
      </w:r>
      <w:r>
        <w:rPr>
          <w:rFonts w:hint="eastAsia"/>
          <w:color w:val="auto"/>
          <w:highlight w:val="none"/>
          <w:lang w:eastAsia="zh-CN"/>
        </w:rPr>
        <w:t>应急</w:t>
      </w:r>
      <w:r>
        <w:rPr>
          <w:rFonts w:hint="eastAsia"/>
          <w:color w:val="auto"/>
          <w:highlight w:val="none"/>
        </w:rPr>
        <w:t>水源，在建和规划的饮用水水源）准保护区以外的补给径流区；未划定准保护区的集中式饮用水水源，其保护区以外的补给径流区；分散式饮用水源地，特殊地下水资源（如矿泉水、温泉等）保护区以外的分布区，项目区地下水敏感程度属于不敏感区。</w:t>
      </w:r>
    </w:p>
    <w:p w14:paraId="1A5D6D91">
      <w:pPr>
        <w:pStyle w:val="43"/>
        <w:rPr>
          <w:color w:val="auto"/>
          <w:highlight w:val="none"/>
        </w:rPr>
      </w:pPr>
      <w:r>
        <w:rPr>
          <w:rFonts w:hint="eastAsia"/>
          <w:color w:val="auto"/>
          <w:highlight w:val="none"/>
        </w:rPr>
        <w:t>尾矿库</w:t>
      </w:r>
      <w:r>
        <w:rPr>
          <w:rFonts w:hint="eastAsia"/>
          <w:color w:val="auto"/>
          <w:highlight w:val="none"/>
          <w:lang w:eastAsia="zh-CN"/>
        </w:rPr>
        <w:t>区</w:t>
      </w:r>
      <w:r>
        <w:rPr>
          <w:rFonts w:hint="eastAsia"/>
          <w:color w:val="auto"/>
          <w:highlight w:val="none"/>
        </w:rPr>
        <w:t>地下水环境影响分析</w:t>
      </w:r>
    </w:p>
    <w:p w14:paraId="0B0B0D61">
      <w:pPr>
        <w:pStyle w:val="3"/>
        <w:ind w:firstLine="480"/>
        <w:rPr>
          <w:color w:val="auto"/>
          <w:highlight w:val="none"/>
        </w:rPr>
      </w:pPr>
      <w:r>
        <w:rPr>
          <w:rFonts w:hint="eastAsia"/>
          <w:color w:val="auto"/>
          <w:highlight w:val="none"/>
          <w:lang w:val="en-US" w:eastAsia="zh-CN"/>
        </w:rPr>
        <w:t>根据固废分析，</w:t>
      </w:r>
      <w:r>
        <w:rPr>
          <w:color w:val="auto"/>
          <w:highlight w:val="none"/>
        </w:rPr>
        <w:t>尾矿浸出液各项分析指标均小于《危险废物鉴别标准 浸出毒性鉴别》（GB5085.3-2007），而且未超过污水综合排放标准中最高允许排放浓度，pH值在6~9之间，废石和干抛尾矿</w:t>
      </w:r>
      <w:r>
        <w:rPr>
          <w:rFonts w:hint="eastAsia"/>
          <w:color w:val="auto"/>
          <w:highlight w:val="none"/>
          <w:lang w:val="en-US" w:eastAsia="zh-CN"/>
        </w:rPr>
        <w:t>不属于危险废物均</w:t>
      </w:r>
      <w:r>
        <w:rPr>
          <w:color w:val="auto"/>
          <w:highlight w:val="none"/>
        </w:rPr>
        <w:t>属于Ⅰ类一般工业固体废物。</w:t>
      </w:r>
      <w:r>
        <w:rPr>
          <w:rFonts w:hint="eastAsia"/>
          <w:color w:val="auto"/>
          <w:highlight w:val="none"/>
          <w:lang w:val="en-US" w:eastAsia="zh-CN"/>
        </w:rPr>
        <w:t>同时，将废石和尾矿浸出液对标《地下水质量标准》</w:t>
      </w:r>
      <w:r>
        <w:rPr>
          <w:rFonts w:hint="eastAsia"/>
          <w:color w:val="auto"/>
          <w:highlight w:val="none"/>
          <w:lang w:val="zh-CN" w:eastAsia="zh-CN"/>
        </w:rPr>
        <w:t>（GB/T14848-2017）Ⅲ</w:t>
      </w:r>
      <w:r>
        <w:rPr>
          <w:rFonts w:hint="eastAsia"/>
          <w:color w:val="auto"/>
          <w:highlight w:val="none"/>
          <w:lang w:val="en-US" w:eastAsia="zh-CN"/>
        </w:rPr>
        <w:t>类标准，镍、铅污染物浓度超标，淋溶渗滤液存在重金属下渗污染地下水的环境风险。因此本次评价要求</w:t>
      </w:r>
      <w:r>
        <w:rPr>
          <w:rFonts w:hint="eastAsia"/>
          <w:color w:val="auto"/>
          <w:highlight w:val="none"/>
        </w:rPr>
        <w:t>尾矿库</w:t>
      </w:r>
      <w:r>
        <w:rPr>
          <w:rFonts w:hint="eastAsia"/>
          <w:color w:val="auto"/>
          <w:highlight w:val="none"/>
          <w:lang w:val="en-US" w:eastAsia="zh-CN"/>
        </w:rPr>
        <w:t>严格按照</w:t>
      </w:r>
      <w:r>
        <w:rPr>
          <w:rFonts w:hint="eastAsia"/>
          <w:color w:val="auto"/>
          <w:highlight w:val="none"/>
        </w:rPr>
        <w:t>《一般工业固体废物贮存和填埋污染控制标准》（GB18599-2020）中</w:t>
      </w:r>
      <w:r>
        <w:rPr>
          <w:rFonts w:hint="eastAsia" w:ascii="华文中宋" w:hAnsi="华文中宋" w:eastAsia="华文中宋" w:cs="华文中宋"/>
          <w:color w:val="auto"/>
          <w:highlight w:val="none"/>
        </w:rPr>
        <w:t>Ⅰ</w:t>
      </w:r>
      <w:r>
        <w:rPr>
          <w:rFonts w:hint="eastAsia"/>
          <w:color w:val="auto"/>
          <w:highlight w:val="none"/>
        </w:rPr>
        <w:t>类</w:t>
      </w:r>
      <w:r>
        <w:rPr>
          <w:rFonts w:hint="eastAsia"/>
          <w:color w:val="auto"/>
          <w:highlight w:val="none"/>
          <w:lang w:eastAsia="zh-CN"/>
        </w:rPr>
        <w:t>场地</w:t>
      </w:r>
      <w:r>
        <w:rPr>
          <w:rFonts w:hint="eastAsia"/>
          <w:color w:val="auto"/>
          <w:highlight w:val="none"/>
        </w:rPr>
        <w:t>要求设置底部防渗设施，防渗后场地渗透系数小于1.0×10</w:t>
      </w:r>
      <w:r>
        <w:rPr>
          <w:rFonts w:hint="eastAsia"/>
          <w:color w:val="auto"/>
          <w:highlight w:val="none"/>
          <w:vertAlign w:val="superscript"/>
        </w:rPr>
        <w:t>-</w:t>
      </w:r>
      <w:r>
        <w:rPr>
          <w:rFonts w:hint="eastAsia"/>
          <w:color w:val="auto"/>
          <w:highlight w:val="none"/>
          <w:vertAlign w:val="superscript"/>
          <w:lang w:val="en-US" w:eastAsia="zh-CN"/>
        </w:rPr>
        <w:t>5</w:t>
      </w:r>
      <w:r>
        <w:rPr>
          <w:rFonts w:hint="eastAsia"/>
          <w:color w:val="auto"/>
          <w:highlight w:val="none"/>
        </w:rPr>
        <w:t>cm/s，</w:t>
      </w:r>
      <w:r>
        <w:rPr>
          <w:rFonts w:hint="eastAsia"/>
          <w:color w:val="auto"/>
          <w:highlight w:val="none"/>
          <w:lang w:val="en-US" w:eastAsia="zh-CN"/>
        </w:rPr>
        <w:t>并设置渗滤液收集盲沟及渗滤水导排系统，收集渗滤液。正常工况下，尾矿库对区域地下水环境影响可控。</w:t>
      </w:r>
    </w:p>
    <w:p w14:paraId="6C871858">
      <w:pPr>
        <w:pStyle w:val="43"/>
        <w:rPr>
          <w:color w:val="auto"/>
          <w:highlight w:val="none"/>
        </w:rPr>
      </w:pPr>
      <w:r>
        <w:rPr>
          <w:rFonts w:hint="eastAsia"/>
          <w:color w:val="auto"/>
          <w:highlight w:val="none"/>
        </w:rPr>
        <w:t>污染源识别及影响途径</w:t>
      </w:r>
    </w:p>
    <w:p w14:paraId="15BDE600">
      <w:pPr>
        <w:pStyle w:val="3"/>
        <w:ind w:firstLine="480"/>
        <w:rPr>
          <w:color w:val="auto"/>
          <w:highlight w:val="none"/>
        </w:rPr>
      </w:pPr>
      <w:r>
        <w:rPr>
          <w:rFonts w:hint="eastAsia"/>
          <w:color w:val="auto"/>
          <w:highlight w:val="none"/>
        </w:rPr>
        <w:t>评价区地下水污染源主要来自选矿厂浓密池、事故池、循环水池和下水管网，可能发生的事故为选矿厂浓密池、循环水池池体和下水管网破裂泄漏。正常工况条件下不会发生污水泄漏或其他物料泄漏导致地下水污染的情况。在非正常工况条件下，如果浓密池、</w:t>
      </w:r>
      <w:r>
        <w:rPr>
          <w:rFonts w:hint="eastAsia"/>
          <w:color w:val="auto"/>
          <w:highlight w:val="none"/>
          <w:lang w:eastAsia="zh-CN"/>
        </w:rPr>
        <w:t>事故池</w:t>
      </w:r>
      <w:r>
        <w:rPr>
          <w:rFonts w:hint="eastAsia"/>
          <w:color w:val="auto"/>
          <w:highlight w:val="none"/>
        </w:rPr>
        <w:t>、循环水池池体和下水管网发生泄漏的情况，并且防渗层破损未得到及时妥善处理，污染物可能会下渗进而对地下水水质产生影响。</w:t>
      </w:r>
    </w:p>
    <w:p w14:paraId="312D558F">
      <w:pPr>
        <w:pStyle w:val="43"/>
        <w:rPr>
          <w:color w:val="auto"/>
          <w:highlight w:val="none"/>
        </w:rPr>
      </w:pPr>
      <w:r>
        <w:rPr>
          <w:rFonts w:hint="eastAsia"/>
          <w:color w:val="auto"/>
          <w:highlight w:val="none"/>
        </w:rPr>
        <w:t>地下水环境影响预测</w:t>
      </w:r>
    </w:p>
    <w:p w14:paraId="33381455">
      <w:pPr>
        <w:pStyle w:val="3"/>
        <w:ind w:firstLine="480"/>
        <w:rPr>
          <w:color w:val="auto"/>
          <w:highlight w:val="none"/>
        </w:rPr>
      </w:pPr>
      <w:r>
        <w:rPr>
          <w:rFonts w:hint="eastAsia"/>
          <w:color w:val="auto"/>
          <w:highlight w:val="none"/>
        </w:rPr>
        <w:t>（1）情景设置</w:t>
      </w:r>
    </w:p>
    <w:p w14:paraId="0970E25D">
      <w:pPr>
        <w:pStyle w:val="3"/>
        <w:ind w:firstLine="480"/>
        <w:rPr>
          <w:color w:val="auto"/>
          <w:highlight w:val="none"/>
        </w:rPr>
      </w:pPr>
      <w:r>
        <w:rPr>
          <w:rFonts w:hint="eastAsia"/>
          <w:color w:val="auto"/>
          <w:highlight w:val="none"/>
        </w:rPr>
        <w:t>根据《环境影响评价技术导则地下水环境》（HJ610-2016），应进行正常状况和非正常状况的情景预测。</w:t>
      </w:r>
    </w:p>
    <w:p w14:paraId="4AA8C953">
      <w:pPr>
        <w:pStyle w:val="3"/>
        <w:ind w:firstLine="480"/>
        <w:rPr>
          <w:color w:val="auto"/>
          <w:highlight w:val="none"/>
        </w:rPr>
      </w:pPr>
      <w:r>
        <w:rPr>
          <w:rFonts w:hint="eastAsia"/>
          <w:color w:val="auto"/>
          <w:highlight w:val="none"/>
        </w:rPr>
        <w:t>1）正常状况</w:t>
      </w:r>
    </w:p>
    <w:p w14:paraId="48405031">
      <w:pPr>
        <w:pStyle w:val="3"/>
        <w:ind w:firstLine="480"/>
        <w:rPr>
          <w:color w:val="auto"/>
          <w:highlight w:val="none"/>
        </w:rPr>
      </w:pPr>
      <w:r>
        <w:rPr>
          <w:rFonts w:hint="eastAsia"/>
          <w:color w:val="auto"/>
          <w:highlight w:val="none"/>
        </w:rPr>
        <w:t>在正常状况下，项目严格遵循“源头控制、分区防控、污染监控、应急响应”原则。根据项目生产特点、废水性质及排放去向，项目生产废水主要为选矿废水，经浓密池和循环水池沉淀处理后循环使用，不外排，定期补充新鲜水，无生产废水产生。生活污水依托厂区现状地埋式一体化污水处理设施。</w:t>
      </w:r>
    </w:p>
    <w:p w14:paraId="665135E0">
      <w:pPr>
        <w:pStyle w:val="3"/>
        <w:ind w:firstLine="480"/>
        <w:rPr>
          <w:color w:val="auto"/>
          <w:highlight w:val="none"/>
        </w:rPr>
      </w:pPr>
      <w:r>
        <w:rPr>
          <w:rFonts w:hint="eastAsia"/>
          <w:color w:val="auto"/>
          <w:highlight w:val="none"/>
        </w:rPr>
        <w:t>根据《阿图什市环球矿业有限公司新疆阿图什市托斯莫铁矿区选厂配套新建尾矿库工程岩土工程详细勘察报告》，尾矿库第四系洪积碎石土渗透系数约2.65×10</w:t>
      </w:r>
      <w:r>
        <w:rPr>
          <w:rFonts w:hint="eastAsia"/>
          <w:color w:val="auto"/>
          <w:highlight w:val="none"/>
          <w:vertAlign w:val="superscript"/>
        </w:rPr>
        <w:t>-4</w:t>
      </w:r>
      <w:r>
        <w:rPr>
          <w:rFonts w:hint="eastAsia"/>
          <w:color w:val="auto"/>
          <w:highlight w:val="none"/>
        </w:rPr>
        <w:t>~1.45×10</w:t>
      </w:r>
      <w:r>
        <w:rPr>
          <w:rFonts w:hint="eastAsia"/>
          <w:color w:val="auto"/>
          <w:highlight w:val="none"/>
          <w:vertAlign w:val="superscript"/>
        </w:rPr>
        <w:t>-2</w:t>
      </w:r>
      <w:r>
        <w:rPr>
          <w:rFonts w:hint="eastAsia"/>
          <w:color w:val="auto"/>
          <w:highlight w:val="none"/>
        </w:rPr>
        <w:t>cm/s，小于1.0×10</w:t>
      </w:r>
      <w:r>
        <w:rPr>
          <w:rFonts w:hint="eastAsia"/>
          <w:color w:val="auto"/>
          <w:highlight w:val="none"/>
          <w:vertAlign w:val="superscript"/>
        </w:rPr>
        <w:t>-5</w:t>
      </w:r>
      <w:r>
        <w:rPr>
          <w:rFonts w:hint="eastAsia"/>
          <w:color w:val="auto"/>
          <w:highlight w:val="none"/>
        </w:rPr>
        <w:t>cm/s。因此，本项目尾矿库区应依据《一般工业固体废物贮存和填埋污染控制标准》（GB18599-2020）规定，防渗层采用改性压实粘土类衬层或具有同等以上隔水效力的其他材料防渗衬层，其防渗性能应至少相当于渗透系数为1.0×10</w:t>
      </w:r>
      <w:r>
        <w:rPr>
          <w:rFonts w:hint="eastAsia"/>
          <w:color w:val="auto"/>
          <w:highlight w:val="none"/>
          <w:vertAlign w:val="superscript"/>
        </w:rPr>
        <w:t>-5</w:t>
      </w:r>
      <w:r>
        <w:rPr>
          <w:rFonts w:hint="eastAsia"/>
          <w:color w:val="auto"/>
          <w:highlight w:val="none"/>
        </w:rPr>
        <w:t>cm/s且厚度为0.75m的天然基础层。根据本项目尾矿库设计资料，尾矿库防渗型式采用库区底部水平防渗和库区边坡防渗，库区底部分区修整后纵横均形成不小于2%的坡降，水平防渗结构由上至下依次为：0.3m厚尾砂保护层、5.2mm厚复合土工排水网、1.5mmHDPE单糙面土工膜、4500g/m</w:t>
      </w:r>
      <w:r>
        <w:rPr>
          <w:rFonts w:hint="eastAsia"/>
          <w:color w:val="auto"/>
          <w:highlight w:val="none"/>
          <w:vertAlign w:val="superscript"/>
        </w:rPr>
        <w:t>2</w:t>
      </w:r>
      <w:r>
        <w:rPr>
          <w:rFonts w:hint="eastAsia"/>
          <w:color w:val="auto"/>
          <w:highlight w:val="none"/>
        </w:rPr>
        <w:t>天然钠基膨润土GCL；库区边坡由上至下依次为：600g/m</w:t>
      </w:r>
      <w:r>
        <w:rPr>
          <w:rFonts w:hint="eastAsia"/>
          <w:color w:val="auto"/>
          <w:highlight w:val="none"/>
          <w:vertAlign w:val="superscript"/>
        </w:rPr>
        <w:t>2</w:t>
      </w:r>
      <w:r>
        <w:rPr>
          <w:rFonts w:hint="eastAsia"/>
          <w:color w:val="auto"/>
          <w:highlight w:val="none"/>
        </w:rPr>
        <w:t>长丝无纺土工布作为保护层、5.2mm厚复合土工排水网、1.5mmHDPE双糙面土工膜、4500g/m</w:t>
      </w:r>
      <w:r>
        <w:rPr>
          <w:rFonts w:hint="eastAsia"/>
          <w:color w:val="auto"/>
          <w:highlight w:val="none"/>
          <w:vertAlign w:val="superscript"/>
        </w:rPr>
        <w:t>2</w:t>
      </w:r>
      <w:r>
        <w:rPr>
          <w:rFonts w:hint="eastAsia"/>
          <w:color w:val="auto"/>
          <w:highlight w:val="none"/>
        </w:rPr>
        <w:t>天然钠基膨润土GCL。满足《一般工业固体废物贮存和填埋污染控制标准》（GB18599-2020）中I类场规定的“天然基础层饱和渗透系数不大于1.0×10</w:t>
      </w:r>
      <w:r>
        <w:rPr>
          <w:rFonts w:hint="eastAsia"/>
          <w:color w:val="auto"/>
          <w:highlight w:val="none"/>
          <w:vertAlign w:val="superscript"/>
        </w:rPr>
        <w:t>-5</w:t>
      </w:r>
      <w:r>
        <w:rPr>
          <w:rFonts w:hint="eastAsia"/>
          <w:color w:val="auto"/>
          <w:highlight w:val="none"/>
        </w:rPr>
        <w:t>cm/s，且厚度不小于0.75m”的要求。</w:t>
      </w:r>
    </w:p>
    <w:p w14:paraId="1641A9CA">
      <w:pPr>
        <w:pStyle w:val="3"/>
        <w:ind w:firstLine="480"/>
        <w:rPr>
          <w:color w:val="auto"/>
          <w:highlight w:val="none"/>
        </w:rPr>
      </w:pPr>
      <w:r>
        <w:rPr>
          <w:rFonts w:hint="eastAsia"/>
          <w:color w:val="auto"/>
          <w:highlight w:val="none"/>
        </w:rPr>
        <w:t>尾矿库在按照《一般工业固体废物贮存和填埋污染控制标准》（GB18599-2020）规定采取防渗措施的前提下，对地下水环境影响可接受。</w:t>
      </w:r>
    </w:p>
    <w:p w14:paraId="654473F2">
      <w:pPr>
        <w:pStyle w:val="3"/>
        <w:ind w:firstLine="480"/>
        <w:rPr>
          <w:color w:val="auto"/>
          <w:highlight w:val="none"/>
        </w:rPr>
      </w:pPr>
      <w:r>
        <w:rPr>
          <w:rFonts w:hint="eastAsia"/>
          <w:color w:val="auto"/>
          <w:highlight w:val="none"/>
        </w:rPr>
        <w:t>本项目浓密池、循环水池池体等已做防渗处理，其中浓密池为钢结构架空不接触地面，事故池和循环水池为水泥混凝土结构，防渗设计满足《给水排水构筑物施工及验收规范》（GB/50141）和《给水排水管道工程施工及验收规范》（GB/50268-2012），正常情况下，废水泄漏量微弱，建设项目的主要地下水污染源能得到有效防护。在正常状况下，生产废水排入循环水池循环使用，不外排，污染物从源头和末端均得到有效控制，不会对地下水环境造成影响。</w:t>
      </w:r>
    </w:p>
    <w:p w14:paraId="0B6A5A3D">
      <w:pPr>
        <w:pStyle w:val="3"/>
        <w:ind w:firstLine="480"/>
        <w:rPr>
          <w:color w:val="auto"/>
          <w:highlight w:val="none"/>
        </w:rPr>
      </w:pPr>
      <w:r>
        <w:rPr>
          <w:rFonts w:hint="eastAsia"/>
          <w:color w:val="auto"/>
          <w:highlight w:val="none"/>
        </w:rPr>
        <w:t>2）非正常状况</w:t>
      </w:r>
    </w:p>
    <w:p w14:paraId="4E8AAE22">
      <w:pPr>
        <w:pStyle w:val="3"/>
        <w:ind w:firstLine="480"/>
        <w:rPr>
          <w:color w:val="auto"/>
          <w:highlight w:val="none"/>
        </w:rPr>
      </w:pPr>
      <w:r>
        <w:rPr>
          <w:rFonts w:hint="eastAsia"/>
          <w:color w:val="auto"/>
          <w:highlight w:val="none"/>
        </w:rPr>
        <w:t>根据本报告分析，本项目对地下水的影响主要产生在生产运行阶段，在正常工况下，不会对地下水环境造成影响，仅在非正常</w:t>
      </w:r>
      <w:r>
        <w:rPr>
          <w:rFonts w:hint="eastAsia"/>
          <w:color w:val="auto"/>
          <w:highlight w:val="none"/>
          <w:lang w:val="en-US" w:eastAsia="zh-CN"/>
        </w:rPr>
        <w:t>状</w:t>
      </w:r>
      <w:r>
        <w:rPr>
          <w:rFonts w:hint="eastAsia"/>
          <w:color w:val="auto"/>
          <w:highlight w:val="none"/>
        </w:rPr>
        <w:t>况下对地下水水质可能造成影响。</w:t>
      </w:r>
    </w:p>
    <w:p w14:paraId="71BC41BA">
      <w:pPr>
        <w:pStyle w:val="3"/>
        <w:ind w:firstLine="480"/>
        <w:rPr>
          <w:color w:val="auto"/>
          <w:highlight w:val="none"/>
        </w:rPr>
      </w:pPr>
      <w:r>
        <w:rPr>
          <w:rFonts w:hint="eastAsia"/>
          <w:color w:val="auto"/>
          <w:highlight w:val="none"/>
        </w:rPr>
        <w:t>生产过程中有可能存在机器设备出现故障发生生产废水溢流或尾矿库防渗膜老化、破损引发渗漏等造成对项目区地下水污染影响。</w:t>
      </w:r>
      <w:r>
        <w:rPr>
          <w:color w:val="auto"/>
          <w:highlight w:val="none"/>
        </w:rPr>
        <w:t>废水能否进入含水层取决于地质、水文地质条件和工程采取的防渗漏措施。</w:t>
      </w:r>
      <w:r>
        <w:rPr>
          <w:rFonts w:hint="eastAsia"/>
          <w:color w:val="auto"/>
          <w:highlight w:val="none"/>
        </w:rPr>
        <w:t>本项目</w:t>
      </w:r>
      <w:r>
        <w:rPr>
          <w:color w:val="auto"/>
          <w:highlight w:val="none"/>
        </w:rPr>
        <w:t>选矿厂内</w:t>
      </w:r>
      <w:r>
        <w:rPr>
          <w:rFonts w:hint="eastAsia"/>
          <w:color w:val="auto"/>
          <w:highlight w:val="none"/>
        </w:rPr>
        <w:t>浓密池等</w:t>
      </w:r>
      <w:r>
        <w:rPr>
          <w:color w:val="auto"/>
          <w:highlight w:val="none"/>
        </w:rPr>
        <w:t>生产设备均在架空的设备层上，设备底部施工有</w:t>
      </w:r>
      <w:r>
        <w:rPr>
          <w:rFonts w:hint="eastAsia"/>
          <w:color w:val="auto"/>
          <w:highlight w:val="none"/>
        </w:rPr>
        <w:t>围堰</w:t>
      </w:r>
      <w:r>
        <w:rPr>
          <w:color w:val="auto"/>
          <w:highlight w:val="none"/>
        </w:rPr>
        <w:t>或跑冒滴漏废水收集池，正常情况下不会发生生产设备破裂导致的泄漏情况，即使发生泄漏，也极易被发现并采取措施进行处理。</w:t>
      </w:r>
      <w:r>
        <w:rPr>
          <w:rFonts w:hint="eastAsia"/>
          <w:color w:val="auto"/>
          <w:highlight w:val="none"/>
        </w:rPr>
        <w:t>因此，地下水环境影响预测重点考虑地下循环水池因腐蚀、老化、磨损或其他原因发生破损，导致防渗层防渗效果达不到设计要求，</w:t>
      </w:r>
      <w:r>
        <w:rPr>
          <w:color w:val="auto"/>
          <w:highlight w:val="none"/>
        </w:rPr>
        <w:t>选矿废水泄漏后不能及时发现和处理</w:t>
      </w:r>
      <w:r>
        <w:rPr>
          <w:rFonts w:hint="eastAsia"/>
          <w:color w:val="auto"/>
          <w:highlight w:val="none"/>
        </w:rPr>
        <w:t>，污水渗入地下，对地下水环境造成污染。</w:t>
      </w:r>
    </w:p>
    <w:p w14:paraId="70F6E3E0">
      <w:pPr>
        <w:pStyle w:val="3"/>
        <w:ind w:firstLine="480"/>
        <w:rPr>
          <w:color w:val="auto"/>
          <w:highlight w:val="none"/>
        </w:rPr>
      </w:pPr>
      <w:r>
        <w:rPr>
          <w:rFonts w:hint="eastAsia"/>
          <w:color w:val="auto"/>
          <w:highlight w:val="none"/>
        </w:rPr>
        <w:t>（2）预测范围</w:t>
      </w:r>
    </w:p>
    <w:p w14:paraId="5E4A91AF">
      <w:pPr>
        <w:pStyle w:val="3"/>
        <w:ind w:firstLine="480"/>
        <w:rPr>
          <w:color w:val="auto"/>
          <w:highlight w:val="none"/>
        </w:rPr>
      </w:pPr>
      <w:r>
        <w:rPr>
          <w:rFonts w:hint="eastAsia"/>
          <w:color w:val="auto"/>
          <w:highlight w:val="none"/>
        </w:rPr>
        <w:t>本次评价预测非正常</w:t>
      </w:r>
      <w:r>
        <w:rPr>
          <w:rFonts w:hint="eastAsia"/>
          <w:color w:val="auto"/>
          <w:highlight w:val="none"/>
          <w:lang w:val="en-US" w:eastAsia="zh-CN"/>
        </w:rPr>
        <w:t>状</w:t>
      </w:r>
      <w:r>
        <w:rPr>
          <w:rFonts w:hint="eastAsia"/>
          <w:color w:val="auto"/>
          <w:highlight w:val="none"/>
        </w:rPr>
        <w:t>况下循环水池破损，</w:t>
      </w:r>
      <w:r>
        <w:rPr>
          <w:color w:val="auto"/>
          <w:highlight w:val="none"/>
        </w:rPr>
        <w:t>选矿废水泄漏后不能及时发现和处理</w:t>
      </w:r>
      <w:r>
        <w:rPr>
          <w:rFonts w:hint="eastAsia"/>
          <w:color w:val="auto"/>
          <w:highlight w:val="none"/>
        </w:rPr>
        <w:t>对区域地下水造成的影响</w:t>
      </w:r>
      <w:r>
        <w:rPr>
          <w:color w:val="auto"/>
          <w:highlight w:val="none"/>
        </w:rPr>
        <w:t>。</w:t>
      </w:r>
    </w:p>
    <w:p w14:paraId="6DC3C056">
      <w:pPr>
        <w:pStyle w:val="3"/>
        <w:ind w:firstLine="480"/>
        <w:rPr>
          <w:color w:val="auto"/>
          <w:highlight w:val="none"/>
        </w:rPr>
      </w:pPr>
      <w:r>
        <w:rPr>
          <w:rFonts w:hint="eastAsia"/>
          <w:color w:val="auto"/>
          <w:highlight w:val="none"/>
        </w:rPr>
        <w:t>（3）预测时段</w:t>
      </w:r>
    </w:p>
    <w:p w14:paraId="09B69450">
      <w:pPr>
        <w:pStyle w:val="3"/>
        <w:ind w:firstLine="480"/>
        <w:rPr>
          <w:color w:val="auto"/>
          <w:highlight w:val="none"/>
        </w:rPr>
      </w:pPr>
      <w:r>
        <w:rPr>
          <w:rFonts w:hint="eastAsia"/>
          <w:color w:val="auto"/>
          <w:highlight w:val="none"/>
        </w:rPr>
        <w:t>因污水对地下水的影响是非常规状态下产生的，加之地下水隔水性能的差异性、含水层分布的特性等原因，对地下水的预测只能建立在人为情景设定的基础上。根据《环境影响评价技术导则-地下水环境》（HJ610-2016）“地下水环境影响预测时段应选取可能产生地下水污染的关键时段”，本次评价预测时段选取污染发生后100d、1000d、3650d内。</w:t>
      </w:r>
    </w:p>
    <w:p w14:paraId="3C647849">
      <w:pPr>
        <w:pStyle w:val="3"/>
        <w:ind w:firstLine="480"/>
        <w:rPr>
          <w:color w:val="auto"/>
          <w:highlight w:val="none"/>
        </w:rPr>
      </w:pPr>
      <w:r>
        <w:rPr>
          <w:rFonts w:hint="eastAsia"/>
          <w:color w:val="auto"/>
          <w:highlight w:val="none"/>
        </w:rPr>
        <w:t>（4）预测因子及浓度</w:t>
      </w:r>
    </w:p>
    <w:p w14:paraId="75675D56">
      <w:pPr>
        <w:pStyle w:val="3"/>
        <w:ind w:firstLine="480"/>
        <w:rPr>
          <w:color w:val="auto"/>
          <w:highlight w:val="none"/>
        </w:rPr>
      </w:pPr>
      <w:r>
        <w:rPr>
          <w:rFonts w:hint="eastAsia"/>
          <w:color w:val="auto"/>
          <w:highlight w:val="none"/>
        </w:rPr>
        <w:t>根据《环境影响评价技术导则-地下水环境》（HJ610-2016）的要求，一般情况下，建设项目须对正常状况和非正常状况的情景分别进行预测。若已依据GB/T50934设计地下水污染防治措施的建设项目，可不进行正常状况情景下的预测。因此本次预测不再进行正常状况情景下的预测，仅对项目非正常状况即事故状况进行预测。</w:t>
      </w:r>
    </w:p>
    <w:p w14:paraId="19749DC3">
      <w:pPr>
        <w:pStyle w:val="3"/>
        <w:ind w:firstLine="480"/>
        <w:rPr>
          <w:color w:val="auto"/>
          <w:highlight w:val="none"/>
        </w:rPr>
      </w:pPr>
      <w:r>
        <w:rPr>
          <w:rFonts w:hint="eastAsia"/>
          <w:color w:val="auto"/>
          <w:highlight w:val="none"/>
        </w:rPr>
        <w:t>非正常工况下地下水可能的污染来源主要为循环水池池体出现局部破裂，造成泄漏事故，导致地下水非可视部分发生的渗漏。预测情景设为循环水池池体出现局部破裂，造成泄漏事故。泄漏量按照废水量的30%计算，渗漏水按照渗透的方式经过包气带向下运移，把渗漏的量当成不被包气带吸附和降解而全部进入含水层计算，不考虑渗透本身造成的时间滞后，预测对地下水的影响：</w:t>
      </w:r>
    </w:p>
    <w:p w14:paraId="29D4FC83">
      <w:pPr>
        <w:pStyle w:val="3"/>
        <w:ind w:firstLine="480"/>
        <w:rPr>
          <w:color w:val="auto"/>
          <w:highlight w:val="none"/>
        </w:rPr>
      </w:pPr>
      <w:r>
        <w:rPr>
          <w:rFonts w:hint="eastAsia"/>
          <w:color w:val="auto"/>
          <w:highlight w:val="none"/>
        </w:rPr>
        <w:t>在事故状态下，渗漏水很快进入含水层。渗入量的计算如下：</w:t>
      </w:r>
    </w:p>
    <w:p w14:paraId="6AE7E9AE">
      <w:pPr>
        <w:pStyle w:val="3"/>
        <w:ind w:firstLine="480"/>
        <w:rPr>
          <w:color w:val="auto"/>
          <w:highlight w:val="none"/>
        </w:rPr>
      </w:pPr>
      <w:r>
        <w:rPr>
          <w:rFonts w:hint="eastAsia"/>
          <w:color w:val="auto"/>
          <w:highlight w:val="none"/>
        </w:rPr>
        <w:t>根据源强分析，生产废水循环水池发生泄漏主要污染物指标分别为：铜、铅、锌、镉、砷、铬、镍等。对照地下水Ⅲ类质量标准，本次预测选取标准指数最大的镍、铅作为预测因子，选矿废水镍、铅浓度参考固体废物废石浓度。</w:t>
      </w:r>
    </w:p>
    <w:p w14:paraId="5DFCABF9">
      <w:pPr>
        <w:pStyle w:val="40"/>
        <w:rPr>
          <w:color w:val="auto"/>
          <w:highlight w:val="none"/>
        </w:rPr>
      </w:pPr>
      <w:r>
        <w:rPr>
          <w:rFonts w:hint="eastAsia"/>
          <w:color w:val="auto"/>
          <w:highlight w:val="none"/>
        </w:rPr>
        <w:t>表5.3-</w:t>
      </w:r>
      <w:r>
        <w:rPr>
          <w:rFonts w:hint="eastAsia"/>
          <w:color w:val="auto"/>
          <w:highlight w:val="none"/>
          <w:lang w:eastAsia="zh-CN"/>
        </w:rPr>
        <w:t>2</w:t>
      </w:r>
      <w:r>
        <w:rPr>
          <w:rFonts w:hint="eastAsia"/>
          <w:color w:val="auto"/>
          <w:highlight w:val="none"/>
        </w:rPr>
        <w:t xml:space="preserve">  预测因子比选表</w:t>
      </w:r>
    </w:p>
    <w:tbl>
      <w:tblPr>
        <w:tblStyle w:val="25"/>
        <w:tblW w:w="510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66"/>
        <w:gridCol w:w="923"/>
        <w:gridCol w:w="738"/>
        <w:gridCol w:w="738"/>
        <w:gridCol w:w="738"/>
        <w:gridCol w:w="816"/>
        <w:gridCol w:w="726"/>
        <w:gridCol w:w="783"/>
        <w:gridCol w:w="748"/>
        <w:gridCol w:w="726"/>
      </w:tblGrid>
      <w:tr w14:paraId="38CC19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4" w:type="pct"/>
            <w:tcBorders>
              <w:tl2br w:val="nil"/>
              <w:tr2bl w:val="nil"/>
            </w:tcBorders>
            <w:noWrap/>
            <w:vAlign w:val="center"/>
          </w:tcPr>
          <w:p w14:paraId="415E61B9">
            <w:pPr>
              <w:pStyle w:val="41"/>
              <w:rPr>
                <w:color w:val="auto"/>
                <w:highlight w:val="none"/>
              </w:rPr>
            </w:pPr>
            <w:r>
              <w:rPr>
                <w:rFonts w:hint="eastAsia"/>
                <w:color w:val="auto"/>
                <w:highlight w:val="none"/>
              </w:rPr>
              <w:t>检测项目</w:t>
            </w:r>
          </w:p>
        </w:tc>
        <w:tc>
          <w:tcPr>
            <w:tcW w:w="530" w:type="pct"/>
            <w:tcBorders>
              <w:tl2br w:val="nil"/>
              <w:tr2bl w:val="nil"/>
            </w:tcBorders>
            <w:noWrap/>
            <w:vAlign w:val="center"/>
          </w:tcPr>
          <w:p w14:paraId="5CD7D01F">
            <w:pPr>
              <w:pStyle w:val="41"/>
              <w:rPr>
                <w:color w:val="auto"/>
                <w:highlight w:val="none"/>
              </w:rPr>
            </w:pPr>
            <w:r>
              <w:rPr>
                <w:rFonts w:hint="eastAsia"/>
                <w:color w:val="auto"/>
                <w:highlight w:val="none"/>
              </w:rPr>
              <w:t>砷</w:t>
            </w:r>
          </w:p>
        </w:tc>
        <w:tc>
          <w:tcPr>
            <w:tcW w:w="424" w:type="pct"/>
            <w:tcBorders>
              <w:tl2br w:val="nil"/>
              <w:tr2bl w:val="nil"/>
            </w:tcBorders>
            <w:noWrap/>
            <w:vAlign w:val="center"/>
          </w:tcPr>
          <w:p w14:paraId="5E580DE6">
            <w:pPr>
              <w:pStyle w:val="41"/>
              <w:rPr>
                <w:color w:val="auto"/>
                <w:highlight w:val="none"/>
              </w:rPr>
            </w:pPr>
            <w:r>
              <w:rPr>
                <w:rFonts w:hint="eastAsia"/>
                <w:color w:val="auto"/>
                <w:highlight w:val="none"/>
              </w:rPr>
              <w:t>汞</w:t>
            </w:r>
          </w:p>
        </w:tc>
        <w:tc>
          <w:tcPr>
            <w:tcW w:w="424" w:type="pct"/>
            <w:tcBorders>
              <w:tl2br w:val="nil"/>
              <w:tr2bl w:val="nil"/>
            </w:tcBorders>
            <w:noWrap/>
            <w:vAlign w:val="center"/>
          </w:tcPr>
          <w:p w14:paraId="731A2C2F">
            <w:pPr>
              <w:pStyle w:val="41"/>
              <w:rPr>
                <w:color w:val="auto"/>
                <w:highlight w:val="none"/>
              </w:rPr>
            </w:pPr>
            <w:r>
              <w:rPr>
                <w:rFonts w:hint="eastAsia"/>
                <w:color w:val="auto"/>
                <w:highlight w:val="none"/>
              </w:rPr>
              <w:t>镍</w:t>
            </w:r>
          </w:p>
        </w:tc>
        <w:tc>
          <w:tcPr>
            <w:tcW w:w="424" w:type="pct"/>
            <w:tcBorders>
              <w:tl2br w:val="nil"/>
              <w:tr2bl w:val="nil"/>
            </w:tcBorders>
            <w:noWrap/>
            <w:vAlign w:val="center"/>
          </w:tcPr>
          <w:p w14:paraId="4E1DFC09">
            <w:pPr>
              <w:pStyle w:val="41"/>
              <w:rPr>
                <w:color w:val="auto"/>
                <w:highlight w:val="none"/>
              </w:rPr>
            </w:pPr>
            <w:r>
              <w:rPr>
                <w:rFonts w:hint="eastAsia"/>
                <w:color w:val="auto"/>
                <w:highlight w:val="none"/>
              </w:rPr>
              <w:t>铜</w:t>
            </w:r>
          </w:p>
        </w:tc>
        <w:tc>
          <w:tcPr>
            <w:tcW w:w="469" w:type="pct"/>
            <w:tcBorders>
              <w:tl2br w:val="nil"/>
              <w:tr2bl w:val="nil"/>
            </w:tcBorders>
            <w:noWrap/>
            <w:vAlign w:val="center"/>
          </w:tcPr>
          <w:p w14:paraId="6F5AD3F0">
            <w:pPr>
              <w:pStyle w:val="41"/>
              <w:rPr>
                <w:color w:val="auto"/>
                <w:highlight w:val="none"/>
              </w:rPr>
            </w:pPr>
            <w:r>
              <w:rPr>
                <w:rFonts w:hint="eastAsia"/>
                <w:color w:val="auto"/>
                <w:highlight w:val="none"/>
              </w:rPr>
              <w:t>铬</w:t>
            </w:r>
          </w:p>
        </w:tc>
        <w:tc>
          <w:tcPr>
            <w:tcW w:w="417" w:type="pct"/>
            <w:tcBorders>
              <w:tl2br w:val="nil"/>
              <w:tr2bl w:val="nil"/>
            </w:tcBorders>
            <w:noWrap/>
            <w:vAlign w:val="center"/>
          </w:tcPr>
          <w:p w14:paraId="0A8182E5">
            <w:pPr>
              <w:pStyle w:val="41"/>
              <w:rPr>
                <w:color w:val="auto"/>
                <w:highlight w:val="none"/>
              </w:rPr>
            </w:pPr>
            <w:r>
              <w:rPr>
                <w:rFonts w:hint="eastAsia"/>
                <w:color w:val="auto"/>
                <w:highlight w:val="none"/>
              </w:rPr>
              <w:t>镉</w:t>
            </w:r>
          </w:p>
        </w:tc>
        <w:tc>
          <w:tcPr>
            <w:tcW w:w="450" w:type="pct"/>
            <w:tcBorders>
              <w:tl2br w:val="nil"/>
              <w:tr2bl w:val="nil"/>
            </w:tcBorders>
            <w:noWrap/>
            <w:vAlign w:val="center"/>
          </w:tcPr>
          <w:p w14:paraId="25874377">
            <w:pPr>
              <w:pStyle w:val="41"/>
              <w:rPr>
                <w:color w:val="auto"/>
                <w:highlight w:val="none"/>
              </w:rPr>
            </w:pPr>
            <w:r>
              <w:rPr>
                <w:rFonts w:hint="eastAsia"/>
                <w:color w:val="auto"/>
                <w:highlight w:val="none"/>
              </w:rPr>
              <w:t>锌</w:t>
            </w:r>
          </w:p>
        </w:tc>
        <w:tc>
          <w:tcPr>
            <w:tcW w:w="430" w:type="pct"/>
            <w:tcBorders>
              <w:tl2br w:val="nil"/>
              <w:tr2bl w:val="nil"/>
            </w:tcBorders>
            <w:noWrap/>
            <w:vAlign w:val="center"/>
          </w:tcPr>
          <w:p w14:paraId="5133EF84">
            <w:pPr>
              <w:pStyle w:val="41"/>
              <w:rPr>
                <w:color w:val="auto"/>
                <w:highlight w:val="none"/>
              </w:rPr>
            </w:pPr>
            <w:r>
              <w:rPr>
                <w:rFonts w:hint="eastAsia"/>
                <w:color w:val="auto"/>
                <w:highlight w:val="none"/>
              </w:rPr>
              <w:t>铅</w:t>
            </w:r>
          </w:p>
        </w:tc>
        <w:tc>
          <w:tcPr>
            <w:tcW w:w="411" w:type="pct"/>
            <w:tcBorders>
              <w:tl2br w:val="nil"/>
              <w:tr2bl w:val="nil"/>
            </w:tcBorders>
            <w:noWrap/>
            <w:vAlign w:val="center"/>
          </w:tcPr>
          <w:p w14:paraId="50787923">
            <w:pPr>
              <w:pStyle w:val="41"/>
              <w:rPr>
                <w:color w:val="auto"/>
                <w:highlight w:val="none"/>
              </w:rPr>
            </w:pPr>
            <w:r>
              <w:rPr>
                <w:rFonts w:hint="eastAsia"/>
                <w:color w:val="auto"/>
                <w:highlight w:val="none"/>
              </w:rPr>
              <w:t>钡</w:t>
            </w:r>
          </w:p>
        </w:tc>
      </w:tr>
      <w:tr w14:paraId="74AEFC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4" w:type="pct"/>
            <w:tcBorders>
              <w:tl2br w:val="nil"/>
              <w:tr2bl w:val="nil"/>
            </w:tcBorders>
            <w:noWrap/>
            <w:vAlign w:val="center"/>
          </w:tcPr>
          <w:p w14:paraId="090B1CEC">
            <w:pPr>
              <w:pStyle w:val="41"/>
              <w:rPr>
                <w:color w:val="auto"/>
                <w:highlight w:val="none"/>
              </w:rPr>
            </w:pPr>
            <w:r>
              <w:rPr>
                <w:rFonts w:hint="eastAsia"/>
                <w:color w:val="auto"/>
                <w:highlight w:val="none"/>
              </w:rPr>
              <w:t>检测结果（μg/L）</w:t>
            </w:r>
          </w:p>
        </w:tc>
        <w:tc>
          <w:tcPr>
            <w:tcW w:w="530" w:type="pct"/>
            <w:tcBorders>
              <w:tl2br w:val="nil"/>
              <w:tr2bl w:val="nil"/>
            </w:tcBorders>
            <w:noWrap/>
            <w:vAlign w:val="center"/>
          </w:tcPr>
          <w:p w14:paraId="0A614754">
            <w:pPr>
              <w:pStyle w:val="41"/>
              <w:rPr>
                <w:color w:val="auto"/>
                <w:highlight w:val="none"/>
              </w:rPr>
            </w:pPr>
            <w:r>
              <w:rPr>
                <w:rFonts w:hint="eastAsia"/>
                <w:color w:val="auto"/>
                <w:highlight w:val="none"/>
              </w:rPr>
              <w:t>6.37</w:t>
            </w:r>
          </w:p>
        </w:tc>
        <w:tc>
          <w:tcPr>
            <w:tcW w:w="424" w:type="pct"/>
            <w:tcBorders>
              <w:tl2br w:val="nil"/>
              <w:tr2bl w:val="nil"/>
            </w:tcBorders>
            <w:noWrap/>
            <w:vAlign w:val="center"/>
          </w:tcPr>
          <w:p w14:paraId="50FA20D4">
            <w:pPr>
              <w:pStyle w:val="41"/>
              <w:rPr>
                <w:color w:val="auto"/>
                <w:highlight w:val="none"/>
              </w:rPr>
            </w:pPr>
            <w:r>
              <w:rPr>
                <w:rFonts w:hint="eastAsia"/>
                <w:color w:val="auto"/>
                <w:highlight w:val="none"/>
              </w:rPr>
              <w:t>0.929</w:t>
            </w:r>
          </w:p>
        </w:tc>
        <w:tc>
          <w:tcPr>
            <w:tcW w:w="424" w:type="pct"/>
            <w:tcBorders>
              <w:tl2br w:val="nil"/>
              <w:tr2bl w:val="nil"/>
            </w:tcBorders>
            <w:noWrap/>
            <w:vAlign w:val="center"/>
          </w:tcPr>
          <w:p w14:paraId="26CA5183">
            <w:pPr>
              <w:pStyle w:val="41"/>
              <w:rPr>
                <w:color w:val="auto"/>
                <w:highlight w:val="none"/>
              </w:rPr>
            </w:pPr>
            <w:r>
              <w:rPr>
                <w:rFonts w:hint="eastAsia"/>
                <w:color w:val="auto"/>
                <w:highlight w:val="none"/>
              </w:rPr>
              <w:t>41.8</w:t>
            </w:r>
          </w:p>
        </w:tc>
        <w:tc>
          <w:tcPr>
            <w:tcW w:w="424" w:type="pct"/>
            <w:tcBorders>
              <w:tl2br w:val="nil"/>
              <w:tr2bl w:val="nil"/>
            </w:tcBorders>
            <w:noWrap/>
            <w:vAlign w:val="center"/>
          </w:tcPr>
          <w:p w14:paraId="3AA5E907">
            <w:pPr>
              <w:pStyle w:val="41"/>
              <w:rPr>
                <w:color w:val="auto"/>
                <w:highlight w:val="none"/>
              </w:rPr>
            </w:pPr>
            <w:r>
              <w:rPr>
                <w:rFonts w:hint="eastAsia"/>
                <w:color w:val="auto"/>
                <w:highlight w:val="none"/>
              </w:rPr>
              <w:t>11.22</w:t>
            </w:r>
          </w:p>
        </w:tc>
        <w:tc>
          <w:tcPr>
            <w:tcW w:w="469" w:type="pct"/>
            <w:tcBorders>
              <w:tl2br w:val="nil"/>
              <w:tr2bl w:val="nil"/>
            </w:tcBorders>
            <w:noWrap/>
            <w:vAlign w:val="center"/>
          </w:tcPr>
          <w:p w14:paraId="09E9949A">
            <w:pPr>
              <w:pStyle w:val="41"/>
              <w:rPr>
                <w:color w:val="auto"/>
                <w:highlight w:val="none"/>
              </w:rPr>
            </w:pPr>
            <w:r>
              <w:rPr>
                <w:rFonts w:hint="eastAsia"/>
                <w:color w:val="auto"/>
                <w:highlight w:val="none"/>
              </w:rPr>
              <w:t>0.0016</w:t>
            </w:r>
          </w:p>
        </w:tc>
        <w:tc>
          <w:tcPr>
            <w:tcW w:w="417" w:type="pct"/>
            <w:tcBorders>
              <w:tl2br w:val="nil"/>
              <w:tr2bl w:val="nil"/>
            </w:tcBorders>
            <w:noWrap/>
            <w:vAlign w:val="center"/>
          </w:tcPr>
          <w:p w14:paraId="60F6905D">
            <w:pPr>
              <w:pStyle w:val="41"/>
              <w:rPr>
                <w:color w:val="auto"/>
                <w:highlight w:val="none"/>
              </w:rPr>
            </w:pPr>
            <w:r>
              <w:rPr>
                <w:rFonts w:hint="eastAsia"/>
                <w:color w:val="auto"/>
                <w:highlight w:val="none"/>
              </w:rPr>
              <w:t>1.2</w:t>
            </w:r>
          </w:p>
        </w:tc>
        <w:tc>
          <w:tcPr>
            <w:tcW w:w="450" w:type="pct"/>
            <w:tcBorders>
              <w:tl2br w:val="nil"/>
              <w:tr2bl w:val="nil"/>
            </w:tcBorders>
            <w:noWrap/>
            <w:vAlign w:val="center"/>
          </w:tcPr>
          <w:p w14:paraId="6E0D375E">
            <w:pPr>
              <w:pStyle w:val="41"/>
              <w:rPr>
                <w:color w:val="auto"/>
                <w:highlight w:val="none"/>
              </w:rPr>
            </w:pPr>
            <w:r>
              <w:rPr>
                <w:rFonts w:hint="eastAsia"/>
                <w:color w:val="auto"/>
                <w:highlight w:val="none"/>
              </w:rPr>
              <w:t>0.44</w:t>
            </w:r>
          </w:p>
        </w:tc>
        <w:tc>
          <w:tcPr>
            <w:tcW w:w="430" w:type="pct"/>
            <w:tcBorders>
              <w:tl2br w:val="nil"/>
              <w:tr2bl w:val="nil"/>
            </w:tcBorders>
            <w:noWrap/>
            <w:vAlign w:val="center"/>
          </w:tcPr>
          <w:p w14:paraId="0C120D75">
            <w:pPr>
              <w:pStyle w:val="41"/>
              <w:rPr>
                <w:color w:val="auto"/>
                <w:highlight w:val="none"/>
              </w:rPr>
            </w:pPr>
            <w:r>
              <w:rPr>
                <w:rFonts w:hint="eastAsia"/>
                <w:color w:val="auto"/>
                <w:highlight w:val="none"/>
              </w:rPr>
              <w:t>25.66</w:t>
            </w:r>
          </w:p>
        </w:tc>
        <w:tc>
          <w:tcPr>
            <w:tcW w:w="411" w:type="pct"/>
            <w:tcBorders>
              <w:tl2br w:val="nil"/>
              <w:tr2bl w:val="nil"/>
            </w:tcBorders>
            <w:noWrap/>
            <w:vAlign w:val="center"/>
          </w:tcPr>
          <w:p w14:paraId="2B9B022B">
            <w:pPr>
              <w:pStyle w:val="41"/>
              <w:rPr>
                <w:color w:val="auto"/>
                <w:highlight w:val="none"/>
              </w:rPr>
            </w:pPr>
            <w:r>
              <w:rPr>
                <w:rFonts w:hint="eastAsia"/>
                <w:color w:val="auto"/>
                <w:highlight w:val="none"/>
              </w:rPr>
              <w:t>0.7</w:t>
            </w:r>
          </w:p>
        </w:tc>
      </w:tr>
      <w:tr w14:paraId="665200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4" w:type="pct"/>
            <w:tcBorders>
              <w:tl2br w:val="nil"/>
              <w:tr2bl w:val="nil"/>
            </w:tcBorders>
            <w:noWrap/>
            <w:vAlign w:val="center"/>
          </w:tcPr>
          <w:p w14:paraId="780A01B4">
            <w:pPr>
              <w:pStyle w:val="41"/>
              <w:rPr>
                <w:color w:val="auto"/>
                <w:highlight w:val="none"/>
              </w:rPr>
            </w:pPr>
            <w:r>
              <w:rPr>
                <w:rFonts w:hint="eastAsia"/>
                <w:color w:val="auto"/>
                <w:highlight w:val="none"/>
              </w:rPr>
              <w:t>Ⅲ类标准（mg/L）</w:t>
            </w:r>
          </w:p>
        </w:tc>
        <w:tc>
          <w:tcPr>
            <w:tcW w:w="530" w:type="pct"/>
            <w:tcBorders>
              <w:tl2br w:val="nil"/>
              <w:tr2bl w:val="nil"/>
            </w:tcBorders>
            <w:noWrap/>
            <w:vAlign w:val="center"/>
          </w:tcPr>
          <w:p w14:paraId="32F04044">
            <w:pPr>
              <w:pStyle w:val="41"/>
              <w:rPr>
                <w:color w:val="auto"/>
                <w:highlight w:val="none"/>
              </w:rPr>
            </w:pPr>
            <w:r>
              <w:rPr>
                <w:rFonts w:hint="eastAsia"/>
                <w:color w:val="auto"/>
                <w:highlight w:val="none"/>
              </w:rPr>
              <w:t>0.01</w:t>
            </w:r>
          </w:p>
        </w:tc>
        <w:tc>
          <w:tcPr>
            <w:tcW w:w="424" w:type="pct"/>
            <w:tcBorders>
              <w:tl2br w:val="nil"/>
              <w:tr2bl w:val="nil"/>
            </w:tcBorders>
            <w:noWrap/>
            <w:vAlign w:val="center"/>
          </w:tcPr>
          <w:p w14:paraId="45DE3D81">
            <w:pPr>
              <w:pStyle w:val="41"/>
              <w:rPr>
                <w:color w:val="auto"/>
                <w:highlight w:val="none"/>
              </w:rPr>
            </w:pPr>
            <w:r>
              <w:rPr>
                <w:rFonts w:hint="eastAsia"/>
                <w:color w:val="auto"/>
                <w:highlight w:val="none"/>
              </w:rPr>
              <w:t>0.001</w:t>
            </w:r>
          </w:p>
        </w:tc>
        <w:tc>
          <w:tcPr>
            <w:tcW w:w="424" w:type="pct"/>
            <w:tcBorders>
              <w:tl2br w:val="nil"/>
              <w:tr2bl w:val="nil"/>
            </w:tcBorders>
            <w:noWrap/>
            <w:vAlign w:val="center"/>
          </w:tcPr>
          <w:p w14:paraId="79EA5EAB">
            <w:pPr>
              <w:pStyle w:val="41"/>
              <w:rPr>
                <w:color w:val="auto"/>
                <w:highlight w:val="none"/>
              </w:rPr>
            </w:pPr>
            <w:r>
              <w:rPr>
                <w:rFonts w:hint="eastAsia"/>
                <w:color w:val="auto"/>
                <w:highlight w:val="none"/>
              </w:rPr>
              <w:t>0.02</w:t>
            </w:r>
          </w:p>
        </w:tc>
        <w:tc>
          <w:tcPr>
            <w:tcW w:w="424" w:type="pct"/>
            <w:tcBorders>
              <w:tl2br w:val="nil"/>
              <w:tr2bl w:val="nil"/>
            </w:tcBorders>
            <w:noWrap/>
            <w:vAlign w:val="center"/>
          </w:tcPr>
          <w:p w14:paraId="2F3EBA09">
            <w:pPr>
              <w:pStyle w:val="41"/>
              <w:rPr>
                <w:color w:val="auto"/>
                <w:highlight w:val="none"/>
              </w:rPr>
            </w:pPr>
            <w:r>
              <w:rPr>
                <w:rFonts w:hint="eastAsia"/>
                <w:color w:val="auto"/>
                <w:highlight w:val="none"/>
              </w:rPr>
              <w:t>1.0</w:t>
            </w:r>
          </w:p>
        </w:tc>
        <w:tc>
          <w:tcPr>
            <w:tcW w:w="469" w:type="pct"/>
            <w:tcBorders>
              <w:tl2br w:val="nil"/>
              <w:tr2bl w:val="nil"/>
            </w:tcBorders>
            <w:noWrap/>
            <w:vAlign w:val="center"/>
          </w:tcPr>
          <w:p w14:paraId="1473C51D">
            <w:pPr>
              <w:pStyle w:val="41"/>
              <w:rPr>
                <w:color w:val="auto"/>
                <w:highlight w:val="none"/>
              </w:rPr>
            </w:pPr>
            <w:r>
              <w:rPr>
                <w:rFonts w:hint="eastAsia"/>
                <w:color w:val="auto"/>
                <w:highlight w:val="none"/>
              </w:rPr>
              <w:t>0.05</w:t>
            </w:r>
          </w:p>
        </w:tc>
        <w:tc>
          <w:tcPr>
            <w:tcW w:w="417" w:type="pct"/>
            <w:tcBorders>
              <w:tl2br w:val="nil"/>
              <w:tr2bl w:val="nil"/>
            </w:tcBorders>
            <w:noWrap/>
            <w:vAlign w:val="center"/>
          </w:tcPr>
          <w:p w14:paraId="385D94D8">
            <w:pPr>
              <w:pStyle w:val="41"/>
              <w:rPr>
                <w:color w:val="auto"/>
                <w:highlight w:val="none"/>
              </w:rPr>
            </w:pPr>
            <w:r>
              <w:rPr>
                <w:rFonts w:hint="eastAsia"/>
                <w:color w:val="auto"/>
                <w:highlight w:val="none"/>
              </w:rPr>
              <w:t>0.005</w:t>
            </w:r>
          </w:p>
        </w:tc>
        <w:tc>
          <w:tcPr>
            <w:tcW w:w="450" w:type="pct"/>
            <w:tcBorders>
              <w:tl2br w:val="nil"/>
              <w:tr2bl w:val="nil"/>
            </w:tcBorders>
            <w:noWrap/>
            <w:vAlign w:val="center"/>
          </w:tcPr>
          <w:p w14:paraId="7923FBDB">
            <w:pPr>
              <w:pStyle w:val="41"/>
              <w:rPr>
                <w:color w:val="auto"/>
                <w:highlight w:val="none"/>
              </w:rPr>
            </w:pPr>
            <w:r>
              <w:rPr>
                <w:rFonts w:hint="eastAsia"/>
                <w:color w:val="auto"/>
                <w:highlight w:val="none"/>
              </w:rPr>
              <w:t>1.0</w:t>
            </w:r>
          </w:p>
        </w:tc>
        <w:tc>
          <w:tcPr>
            <w:tcW w:w="430" w:type="pct"/>
            <w:tcBorders>
              <w:tl2br w:val="nil"/>
              <w:tr2bl w:val="nil"/>
            </w:tcBorders>
            <w:noWrap/>
            <w:vAlign w:val="center"/>
          </w:tcPr>
          <w:p w14:paraId="7481F525">
            <w:pPr>
              <w:pStyle w:val="41"/>
              <w:rPr>
                <w:color w:val="auto"/>
                <w:highlight w:val="none"/>
              </w:rPr>
            </w:pPr>
            <w:r>
              <w:rPr>
                <w:rFonts w:hint="eastAsia"/>
                <w:color w:val="auto"/>
                <w:highlight w:val="none"/>
              </w:rPr>
              <w:t>0.01</w:t>
            </w:r>
          </w:p>
        </w:tc>
        <w:tc>
          <w:tcPr>
            <w:tcW w:w="411" w:type="pct"/>
            <w:tcBorders>
              <w:tl2br w:val="nil"/>
              <w:tr2bl w:val="nil"/>
            </w:tcBorders>
            <w:noWrap/>
            <w:vAlign w:val="center"/>
          </w:tcPr>
          <w:p w14:paraId="38A67E8F">
            <w:pPr>
              <w:pStyle w:val="41"/>
              <w:rPr>
                <w:color w:val="auto"/>
                <w:highlight w:val="none"/>
              </w:rPr>
            </w:pPr>
            <w:r>
              <w:rPr>
                <w:rFonts w:hint="eastAsia"/>
                <w:color w:val="auto"/>
                <w:highlight w:val="none"/>
              </w:rPr>
              <w:t>0.7</w:t>
            </w:r>
          </w:p>
        </w:tc>
      </w:tr>
      <w:tr w14:paraId="7376E5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4" w:type="pct"/>
            <w:tcBorders>
              <w:tl2br w:val="nil"/>
              <w:tr2bl w:val="nil"/>
            </w:tcBorders>
            <w:noWrap/>
            <w:vAlign w:val="center"/>
          </w:tcPr>
          <w:p w14:paraId="72D6E7D9">
            <w:pPr>
              <w:pStyle w:val="41"/>
              <w:rPr>
                <w:color w:val="auto"/>
                <w:highlight w:val="none"/>
              </w:rPr>
            </w:pPr>
            <w:r>
              <w:rPr>
                <w:rFonts w:hint="eastAsia"/>
                <w:color w:val="auto"/>
                <w:highlight w:val="none"/>
              </w:rPr>
              <w:t>标准指数</w:t>
            </w:r>
          </w:p>
        </w:tc>
        <w:tc>
          <w:tcPr>
            <w:tcW w:w="530" w:type="pct"/>
            <w:tcBorders>
              <w:tl2br w:val="nil"/>
              <w:tr2bl w:val="nil"/>
            </w:tcBorders>
            <w:noWrap/>
            <w:vAlign w:val="center"/>
          </w:tcPr>
          <w:p w14:paraId="39896698">
            <w:pPr>
              <w:pStyle w:val="41"/>
              <w:rPr>
                <w:color w:val="auto"/>
                <w:highlight w:val="none"/>
              </w:rPr>
            </w:pPr>
            <w:r>
              <w:rPr>
                <w:rFonts w:hint="eastAsia"/>
                <w:color w:val="auto"/>
                <w:highlight w:val="none"/>
              </w:rPr>
              <w:t>0.637</w:t>
            </w:r>
          </w:p>
        </w:tc>
        <w:tc>
          <w:tcPr>
            <w:tcW w:w="424" w:type="pct"/>
            <w:tcBorders>
              <w:tl2br w:val="nil"/>
              <w:tr2bl w:val="nil"/>
            </w:tcBorders>
            <w:noWrap/>
            <w:vAlign w:val="center"/>
          </w:tcPr>
          <w:p w14:paraId="6731AB4F">
            <w:pPr>
              <w:pStyle w:val="41"/>
              <w:rPr>
                <w:color w:val="auto"/>
                <w:highlight w:val="none"/>
              </w:rPr>
            </w:pPr>
            <w:r>
              <w:rPr>
                <w:rFonts w:hint="eastAsia"/>
                <w:color w:val="auto"/>
                <w:highlight w:val="none"/>
              </w:rPr>
              <w:t>0.929</w:t>
            </w:r>
          </w:p>
        </w:tc>
        <w:tc>
          <w:tcPr>
            <w:tcW w:w="424" w:type="pct"/>
            <w:tcBorders>
              <w:tl2br w:val="nil"/>
              <w:tr2bl w:val="nil"/>
            </w:tcBorders>
            <w:noWrap/>
            <w:vAlign w:val="center"/>
          </w:tcPr>
          <w:p w14:paraId="7785EA96">
            <w:pPr>
              <w:pStyle w:val="41"/>
              <w:rPr>
                <w:color w:val="auto"/>
                <w:highlight w:val="none"/>
              </w:rPr>
            </w:pPr>
            <w:r>
              <w:rPr>
                <w:rFonts w:hint="eastAsia"/>
                <w:color w:val="auto"/>
                <w:highlight w:val="none"/>
              </w:rPr>
              <w:t>2.09</w:t>
            </w:r>
          </w:p>
        </w:tc>
        <w:tc>
          <w:tcPr>
            <w:tcW w:w="424" w:type="pct"/>
            <w:tcBorders>
              <w:tl2br w:val="nil"/>
              <w:tr2bl w:val="nil"/>
            </w:tcBorders>
            <w:noWrap/>
            <w:vAlign w:val="center"/>
          </w:tcPr>
          <w:p w14:paraId="6785641E">
            <w:pPr>
              <w:pStyle w:val="41"/>
              <w:rPr>
                <w:color w:val="auto"/>
                <w:highlight w:val="none"/>
              </w:rPr>
            </w:pPr>
            <w:r>
              <w:rPr>
                <w:rFonts w:hint="eastAsia"/>
                <w:color w:val="auto"/>
                <w:highlight w:val="none"/>
              </w:rPr>
              <w:t>0.01122</w:t>
            </w:r>
          </w:p>
        </w:tc>
        <w:tc>
          <w:tcPr>
            <w:tcW w:w="469" w:type="pct"/>
            <w:tcBorders>
              <w:tl2br w:val="nil"/>
              <w:tr2bl w:val="nil"/>
            </w:tcBorders>
            <w:noWrap/>
            <w:vAlign w:val="center"/>
          </w:tcPr>
          <w:p w14:paraId="035EB4D5">
            <w:pPr>
              <w:pStyle w:val="41"/>
              <w:rPr>
                <w:color w:val="auto"/>
                <w:highlight w:val="none"/>
              </w:rPr>
            </w:pPr>
            <w:r>
              <w:rPr>
                <w:rFonts w:hint="eastAsia"/>
                <w:color w:val="auto"/>
                <w:highlight w:val="none"/>
              </w:rPr>
              <w:t>0.000032</w:t>
            </w:r>
          </w:p>
        </w:tc>
        <w:tc>
          <w:tcPr>
            <w:tcW w:w="417" w:type="pct"/>
            <w:tcBorders>
              <w:tl2br w:val="nil"/>
              <w:tr2bl w:val="nil"/>
            </w:tcBorders>
            <w:noWrap/>
            <w:vAlign w:val="center"/>
          </w:tcPr>
          <w:p w14:paraId="634C125D">
            <w:pPr>
              <w:pStyle w:val="41"/>
              <w:rPr>
                <w:color w:val="auto"/>
                <w:highlight w:val="none"/>
              </w:rPr>
            </w:pPr>
            <w:r>
              <w:rPr>
                <w:rFonts w:hint="eastAsia"/>
                <w:color w:val="auto"/>
                <w:highlight w:val="none"/>
              </w:rPr>
              <w:t>0.24</w:t>
            </w:r>
          </w:p>
        </w:tc>
        <w:tc>
          <w:tcPr>
            <w:tcW w:w="450" w:type="pct"/>
            <w:tcBorders>
              <w:tl2br w:val="nil"/>
              <w:tr2bl w:val="nil"/>
            </w:tcBorders>
            <w:noWrap/>
            <w:vAlign w:val="center"/>
          </w:tcPr>
          <w:p w14:paraId="78696275">
            <w:pPr>
              <w:pStyle w:val="41"/>
              <w:rPr>
                <w:color w:val="auto"/>
                <w:highlight w:val="none"/>
              </w:rPr>
            </w:pPr>
            <w:r>
              <w:rPr>
                <w:rFonts w:hint="eastAsia"/>
                <w:color w:val="auto"/>
                <w:highlight w:val="none"/>
              </w:rPr>
              <w:t>0.44</w:t>
            </w:r>
          </w:p>
        </w:tc>
        <w:tc>
          <w:tcPr>
            <w:tcW w:w="430" w:type="pct"/>
            <w:tcBorders>
              <w:tl2br w:val="nil"/>
              <w:tr2bl w:val="nil"/>
            </w:tcBorders>
            <w:noWrap/>
            <w:vAlign w:val="center"/>
          </w:tcPr>
          <w:p w14:paraId="7DF31930">
            <w:pPr>
              <w:pStyle w:val="41"/>
              <w:rPr>
                <w:color w:val="auto"/>
                <w:highlight w:val="none"/>
              </w:rPr>
            </w:pPr>
            <w:r>
              <w:rPr>
                <w:rFonts w:hint="eastAsia"/>
                <w:color w:val="auto"/>
                <w:highlight w:val="none"/>
              </w:rPr>
              <w:t>2.566</w:t>
            </w:r>
          </w:p>
        </w:tc>
        <w:tc>
          <w:tcPr>
            <w:tcW w:w="411" w:type="pct"/>
            <w:tcBorders>
              <w:tl2br w:val="nil"/>
              <w:tr2bl w:val="nil"/>
            </w:tcBorders>
            <w:noWrap/>
            <w:vAlign w:val="center"/>
          </w:tcPr>
          <w:p w14:paraId="721A3BD9">
            <w:pPr>
              <w:pStyle w:val="41"/>
              <w:rPr>
                <w:color w:val="auto"/>
                <w:highlight w:val="none"/>
              </w:rPr>
            </w:pPr>
            <w:r>
              <w:rPr>
                <w:rFonts w:hint="eastAsia"/>
                <w:color w:val="auto"/>
                <w:highlight w:val="none"/>
              </w:rPr>
              <w:t>0.001</w:t>
            </w:r>
          </w:p>
        </w:tc>
      </w:tr>
      <w:tr w14:paraId="17D06B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4" w:type="pct"/>
            <w:tcBorders>
              <w:tl2br w:val="nil"/>
              <w:tr2bl w:val="nil"/>
            </w:tcBorders>
            <w:noWrap/>
            <w:vAlign w:val="center"/>
          </w:tcPr>
          <w:p w14:paraId="33606755">
            <w:pPr>
              <w:pStyle w:val="41"/>
              <w:rPr>
                <w:color w:val="auto"/>
                <w:highlight w:val="none"/>
              </w:rPr>
            </w:pPr>
            <w:r>
              <w:rPr>
                <w:rFonts w:hint="eastAsia"/>
                <w:color w:val="auto"/>
                <w:highlight w:val="none"/>
              </w:rPr>
              <w:t>筛选因子</w:t>
            </w:r>
          </w:p>
        </w:tc>
        <w:tc>
          <w:tcPr>
            <w:tcW w:w="3985" w:type="pct"/>
            <w:gridSpan w:val="9"/>
            <w:tcBorders>
              <w:tl2br w:val="nil"/>
              <w:tr2bl w:val="nil"/>
            </w:tcBorders>
            <w:noWrap/>
            <w:vAlign w:val="center"/>
          </w:tcPr>
          <w:p w14:paraId="1468E972">
            <w:pPr>
              <w:pStyle w:val="41"/>
              <w:rPr>
                <w:color w:val="auto"/>
                <w:highlight w:val="none"/>
              </w:rPr>
            </w:pPr>
            <w:r>
              <w:rPr>
                <w:rFonts w:hint="eastAsia"/>
                <w:color w:val="auto"/>
                <w:highlight w:val="none"/>
              </w:rPr>
              <w:t>镍、铅</w:t>
            </w:r>
          </w:p>
        </w:tc>
      </w:tr>
    </w:tbl>
    <w:p w14:paraId="31B5B9C5">
      <w:pPr>
        <w:pStyle w:val="3"/>
        <w:ind w:firstLine="480"/>
        <w:rPr>
          <w:color w:val="auto"/>
          <w:highlight w:val="none"/>
        </w:rPr>
      </w:pPr>
      <w:r>
        <w:rPr>
          <w:rFonts w:hint="eastAsia"/>
          <w:color w:val="auto"/>
          <w:highlight w:val="none"/>
        </w:rPr>
        <w:t>选矿废水镍渗入量为：2750m</w:t>
      </w:r>
      <w:r>
        <w:rPr>
          <w:rFonts w:hint="eastAsia"/>
          <w:color w:val="auto"/>
          <w:highlight w:val="none"/>
          <w:vertAlign w:val="superscript"/>
        </w:rPr>
        <w:t>3</w:t>
      </w:r>
      <w:r>
        <w:rPr>
          <w:rFonts w:hint="eastAsia"/>
          <w:color w:val="auto"/>
          <w:highlight w:val="none"/>
        </w:rPr>
        <w:t>/d×0.0418mg/L×30%=34.485g</w:t>
      </w:r>
    </w:p>
    <w:p w14:paraId="23A48280">
      <w:pPr>
        <w:pStyle w:val="3"/>
        <w:ind w:firstLine="480"/>
        <w:rPr>
          <w:color w:val="auto"/>
          <w:highlight w:val="none"/>
        </w:rPr>
      </w:pPr>
      <w:r>
        <w:rPr>
          <w:rFonts w:hint="eastAsia"/>
          <w:color w:val="auto"/>
          <w:highlight w:val="none"/>
        </w:rPr>
        <w:t>选矿废水铅渗入量为：2750m</w:t>
      </w:r>
      <w:r>
        <w:rPr>
          <w:rFonts w:hint="eastAsia"/>
          <w:color w:val="auto"/>
          <w:highlight w:val="none"/>
          <w:vertAlign w:val="superscript"/>
        </w:rPr>
        <w:t>3</w:t>
      </w:r>
      <w:r>
        <w:rPr>
          <w:rFonts w:hint="eastAsia"/>
          <w:color w:val="auto"/>
          <w:highlight w:val="none"/>
        </w:rPr>
        <w:t>/d×0.0257mg/L×30%=21.203g</w:t>
      </w:r>
    </w:p>
    <w:p w14:paraId="792F2A5C">
      <w:pPr>
        <w:pStyle w:val="3"/>
        <w:ind w:firstLine="480"/>
        <w:rPr>
          <w:color w:val="auto"/>
          <w:highlight w:val="none"/>
        </w:rPr>
      </w:pPr>
      <w:r>
        <w:rPr>
          <w:rFonts w:hint="eastAsia"/>
          <w:color w:val="auto"/>
          <w:highlight w:val="none"/>
        </w:rPr>
        <w:t>（5）污染预测模型的建立</w:t>
      </w:r>
    </w:p>
    <w:p w14:paraId="2178FEAA">
      <w:pPr>
        <w:pStyle w:val="3"/>
        <w:ind w:firstLine="480"/>
        <w:rPr>
          <w:color w:val="auto"/>
          <w:highlight w:val="none"/>
        </w:rPr>
      </w:pPr>
      <w:r>
        <w:rPr>
          <w:rFonts w:hint="eastAsia"/>
          <w:color w:val="auto"/>
          <w:highlight w:val="none"/>
        </w:rPr>
        <w:t>本项目地下水评价等级为三级，按照《环境影响评价技术导则-地下水环境》（HJ610-2016）的规定，本次评价预测方法采用解析法。结合区域水文地质条件和潜在污染源特征，在极限条件下对地下水环境影响预测采用一维无限长多孔介质柱体，示踪剂瞬时注入模型。其如公式为：</w:t>
      </w:r>
    </w:p>
    <w:p w14:paraId="39CE8152">
      <w:pPr>
        <w:pStyle w:val="9"/>
        <w:spacing w:before="166"/>
        <w:ind w:left="480"/>
        <w:jc w:val="center"/>
        <w:rPr>
          <w:rFonts w:ascii="Times New Roman" w:eastAsia="宋体"/>
          <w:color w:val="auto"/>
          <w:highlight w:val="none"/>
        </w:rPr>
      </w:pPr>
      <w:r>
        <w:rPr>
          <w:rFonts w:ascii="Times New Roman" w:eastAsia="宋体"/>
          <w:color w:val="auto"/>
          <w:highlight w:val="none"/>
        </w:rPr>
        <w:drawing>
          <wp:inline distT="0" distB="0" distL="114300" distR="114300">
            <wp:extent cx="3429000" cy="514350"/>
            <wp:effectExtent l="0" t="0" r="0" b="0"/>
            <wp:docPr id="822155302" name="图片 82215530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155302" name="图片 822155302" descr="图片1"/>
                    <pic:cNvPicPr>
                      <a:picLocks noChangeAspect="1"/>
                    </pic:cNvPicPr>
                  </pic:nvPicPr>
                  <pic:blipFill>
                    <a:blip r:embed="rId63"/>
                    <a:stretch>
                      <a:fillRect/>
                    </a:stretch>
                  </pic:blipFill>
                  <pic:spPr>
                    <a:xfrm>
                      <a:off x="0" y="0"/>
                      <a:ext cx="3429000" cy="514350"/>
                    </a:xfrm>
                    <a:prstGeom prst="rect">
                      <a:avLst/>
                    </a:prstGeom>
                  </pic:spPr>
                </pic:pic>
              </a:graphicData>
            </a:graphic>
          </wp:inline>
        </w:drawing>
      </w:r>
    </w:p>
    <w:p w14:paraId="4243FE28">
      <w:pPr>
        <w:snapToGrid w:val="0"/>
        <w:ind w:firstLine="480"/>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x—距注入点的距离（m）；</w:t>
      </w:r>
    </w:p>
    <w:p w14:paraId="457A166E">
      <w:pPr>
        <w:snapToGrid w:val="0"/>
        <w:ind w:firstLine="480"/>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t—时间（d）；</w:t>
      </w:r>
    </w:p>
    <w:p w14:paraId="77BB41E4">
      <w:pPr>
        <w:snapToGrid w:val="0"/>
        <w:ind w:firstLine="480"/>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C—t时刻x处的示踪剂浓度（mg/L）；</w:t>
      </w:r>
    </w:p>
    <w:p w14:paraId="65DBB00D">
      <w:pPr>
        <w:snapToGrid w:val="0"/>
        <w:ind w:firstLine="480"/>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C</w:t>
      </w:r>
      <w:r>
        <w:rPr>
          <w:rFonts w:hint="default" w:ascii="Times New Roman" w:hAnsi="Times New Roman" w:eastAsia="华文中宋" w:cs="Times New Roman"/>
          <w:color w:val="auto"/>
          <w:highlight w:val="none"/>
          <w:vertAlign w:val="subscript"/>
        </w:rPr>
        <w:t>0</w:t>
      </w:r>
      <w:r>
        <w:rPr>
          <w:rFonts w:hint="default" w:ascii="Times New Roman" w:hAnsi="Times New Roman" w:eastAsia="华文中宋" w:cs="Times New Roman"/>
          <w:color w:val="auto"/>
          <w:highlight w:val="none"/>
        </w:rPr>
        <w:t>—注入的示踪剂浓度（g/L）；</w:t>
      </w:r>
    </w:p>
    <w:p w14:paraId="37FDD60A">
      <w:pPr>
        <w:snapToGrid w:val="0"/>
        <w:ind w:firstLine="480"/>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D</w:t>
      </w:r>
      <w:r>
        <w:rPr>
          <w:rFonts w:hint="default" w:ascii="Times New Roman" w:hAnsi="Times New Roman" w:eastAsia="华文中宋" w:cs="Times New Roman"/>
          <w:color w:val="auto"/>
          <w:highlight w:val="none"/>
          <w:vertAlign w:val="subscript"/>
        </w:rPr>
        <w:t>L</w:t>
      </w:r>
      <w:r>
        <w:rPr>
          <w:rFonts w:hint="default" w:ascii="Times New Roman" w:hAnsi="Times New Roman" w:eastAsia="华文中宋" w:cs="Times New Roman"/>
          <w:color w:val="auto"/>
          <w:highlight w:val="none"/>
        </w:rPr>
        <w:t>—纵向弥散系数（m</w:t>
      </w:r>
      <w:r>
        <w:rPr>
          <w:rFonts w:hint="default" w:ascii="Times New Roman" w:hAnsi="Times New Roman" w:eastAsia="华文中宋" w:cs="Times New Roman"/>
          <w:color w:val="auto"/>
          <w:highlight w:val="none"/>
          <w:vertAlign w:val="superscript"/>
        </w:rPr>
        <w:t>2</w:t>
      </w:r>
      <w:r>
        <w:rPr>
          <w:rFonts w:hint="default" w:ascii="Times New Roman" w:hAnsi="Times New Roman" w:eastAsia="华文中宋" w:cs="Times New Roman"/>
          <w:color w:val="auto"/>
          <w:highlight w:val="none"/>
        </w:rPr>
        <w:t>/d）；</w:t>
      </w:r>
    </w:p>
    <w:p w14:paraId="20090604">
      <w:pPr>
        <w:snapToGrid w:val="0"/>
        <w:ind w:firstLine="480"/>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u—水流速度（m/d）；</w:t>
      </w:r>
    </w:p>
    <w:p w14:paraId="15388CC4">
      <w:pPr>
        <w:snapToGrid w:val="0"/>
        <w:ind w:firstLine="480"/>
        <w:rPr>
          <w:rFonts w:hint="default" w:ascii="Times New Roman" w:hAnsi="Times New Roman" w:eastAsia="华文中宋" w:cs="Times New Roman"/>
          <w:color w:val="auto"/>
          <w:highlight w:val="none"/>
        </w:rPr>
      </w:pPr>
      <w:r>
        <w:rPr>
          <w:rFonts w:hint="default" w:ascii="Times New Roman" w:hAnsi="Times New Roman" w:eastAsia="华文中宋" w:cs="Times New Roman"/>
          <w:color w:val="auto"/>
          <w:highlight w:val="none"/>
        </w:rPr>
        <w:t>erfc（）—余误差函数。</w:t>
      </w:r>
    </w:p>
    <w:p w14:paraId="357CEF5B">
      <w:pPr>
        <w:pStyle w:val="3"/>
        <w:ind w:firstLine="480"/>
        <w:rPr>
          <w:color w:val="auto"/>
          <w:highlight w:val="none"/>
        </w:rPr>
      </w:pPr>
      <w:r>
        <w:rPr>
          <w:rFonts w:hint="eastAsia"/>
          <w:color w:val="auto"/>
          <w:highlight w:val="none"/>
        </w:rPr>
        <w:t>（6）参数确定</w:t>
      </w:r>
    </w:p>
    <w:p w14:paraId="14F739B9">
      <w:pPr>
        <w:pStyle w:val="3"/>
        <w:ind w:firstLine="480"/>
        <w:rPr>
          <w:color w:val="auto"/>
          <w:highlight w:val="none"/>
        </w:rPr>
      </w:pPr>
      <w:r>
        <w:rPr>
          <w:rFonts w:hint="eastAsia"/>
          <w:color w:val="auto"/>
          <w:highlight w:val="none"/>
        </w:rPr>
        <w:t>本项目模型预测参数见下表：</w:t>
      </w:r>
    </w:p>
    <w:p w14:paraId="6B6E2281">
      <w:pPr>
        <w:pStyle w:val="40"/>
        <w:rPr>
          <w:color w:val="auto"/>
          <w:highlight w:val="none"/>
        </w:rPr>
      </w:pPr>
      <w:r>
        <w:rPr>
          <w:rFonts w:hint="eastAsia"/>
          <w:color w:val="auto"/>
          <w:highlight w:val="none"/>
        </w:rPr>
        <w:t>表5.3-3   模拟参数取值</w:t>
      </w:r>
    </w:p>
    <w:tbl>
      <w:tblPr>
        <w:tblStyle w:val="25"/>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2133"/>
        <w:gridCol w:w="1705"/>
        <w:gridCol w:w="1927"/>
        <w:gridCol w:w="1990"/>
      </w:tblGrid>
      <w:tr w14:paraId="6CAEEB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445" w:type="pct"/>
            <w:vMerge w:val="restart"/>
            <w:tcBorders>
              <w:tl2br w:val="nil"/>
              <w:tr2bl w:val="nil"/>
            </w:tcBorders>
            <w:vAlign w:val="center"/>
          </w:tcPr>
          <w:p w14:paraId="7B2EA6D2">
            <w:pPr>
              <w:pStyle w:val="41"/>
              <w:rPr>
                <w:color w:val="auto"/>
                <w:highlight w:val="none"/>
              </w:rPr>
            </w:pPr>
            <w:r>
              <w:rPr>
                <w:rFonts w:hint="eastAsia"/>
                <w:color w:val="auto"/>
                <w:highlight w:val="none"/>
              </w:rPr>
              <w:t>参数名称</w:t>
            </w:r>
          </w:p>
        </w:tc>
        <w:tc>
          <w:tcPr>
            <w:tcW w:w="1252" w:type="pct"/>
            <w:tcBorders>
              <w:tl2br w:val="nil"/>
              <w:tr2bl w:val="nil"/>
            </w:tcBorders>
            <w:vAlign w:val="center"/>
          </w:tcPr>
          <w:p w14:paraId="47C2BF26">
            <w:pPr>
              <w:pStyle w:val="41"/>
              <w:rPr>
                <w:color w:val="auto"/>
                <w:highlight w:val="none"/>
              </w:rPr>
            </w:pPr>
            <w:r>
              <w:rPr>
                <w:rFonts w:hint="eastAsia"/>
                <w:color w:val="auto"/>
                <w:highlight w:val="none"/>
              </w:rPr>
              <w:t>含水层渗透系数（K1）</w:t>
            </w:r>
          </w:p>
        </w:tc>
        <w:tc>
          <w:tcPr>
            <w:tcW w:w="1001" w:type="pct"/>
            <w:tcBorders>
              <w:tl2br w:val="nil"/>
              <w:tr2bl w:val="nil"/>
            </w:tcBorders>
            <w:vAlign w:val="center"/>
          </w:tcPr>
          <w:p w14:paraId="152BEE32">
            <w:pPr>
              <w:pStyle w:val="41"/>
              <w:rPr>
                <w:color w:val="auto"/>
                <w:highlight w:val="none"/>
              </w:rPr>
            </w:pPr>
            <w:r>
              <w:rPr>
                <w:rFonts w:hint="eastAsia"/>
                <w:color w:val="auto"/>
                <w:highlight w:val="none"/>
              </w:rPr>
              <w:t>地下水流速（u）</w:t>
            </w:r>
          </w:p>
        </w:tc>
        <w:tc>
          <w:tcPr>
            <w:tcW w:w="1131" w:type="pct"/>
            <w:tcBorders>
              <w:tl2br w:val="nil"/>
              <w:tr2bl w:val="nil"/>
            </w:tcBorders>
            <w:vAlign w:val="center"/>
          </w:tcPr>
          <w:p w14:paraId="515DC263">
            <w:pPr>
              <w:pStyle w:val="41"/>
              <w:rPr>
                <w:color w:val="auto"/>
                <w:highlight w:val="none"/>
              </w:rPr>
            </w:pPr>
            <w:r>
              <w:rPr>
                <w:rFonts w:hint="eastAsia"/>
                <w:color w:val="auto"/>
                <w:highlight w:val="none"/>
              </w:rPr>
              <w:t>有效孔隙度（ne）</w:t>
            </w:r>
          </w:p>
        </w:tc>
        <w:tc>
          <w:tcPr>
            <w:tcW w:w="1168" w:type="pct"/>
            <w:tcBorders>
              <w:tl2br w:val="nil"/>
              <w:tr2bl w:val="nil"/>
            </w:tcBorders>
            <w:vAlign w:val="center"/>
          </w:tcPr>
          <w:p w14:paraId="14F74215">
            <w:pPr>
              <w:pStyle w:val="41"/>
              <w:rPr>
                <w:color w:val="auto"/>
                <w:highlight w:val="none"/>
              </w:rPr>
            </w:pPr>
            <w:r>
              <w:rPr>
                <w:rFonts w:hint="eastAsia"/>
                <w:color w:val="auto"/>
                <w:highlight w:val="none"/>
              </w:rPr>
              <w:t>纵向弥散系数（DL）</w:t>
            </w:r>
          </w:p>
        </w:tc>
      </w:tr>
      <w:tr w14:paraId="4394DF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445" w:type="pct"/>
            <w:vMerge w:val="continue"/>
            <w:tcBorders>
              <w:tl2br w:val="nil"/>
              <w:tr2bl w:val="nil"/>
            </w:tcBorders>
            <w:vAlign w:val="center"/>
          </w:tcPr>
          <w:p w14:paraId="0D917A32">
            <w:pPr>
              <w:pStyle w:val="41"/>
              <w:rPr>
                <w:color w:val="auto"/>
                <w:highlight w:val="none"/>
              </w:rPr>
            </w:pPr>
          </w:p>
        </w:tc>
        <w:tc>
          <w:tcPr>
            <w:tcW w:w="1252" w:type="pct"/>
            <w:tcBorders>
              <w:tl2br w:val="nil"/>
              <w:tr2bl w:val="nil"/>
            </w:tcBorders>
            <w:vAlign w:val="center"/>
          </w:tcPr>
          <w:p w14:paraId="21097E66">
            <w:pPr>
              <w:pStyle w:val="41"/>
              <w:rPr>
                <w:color w:val="auto"/>
                <w:highlight w:val="none"/>
              </w:rPr>
            </w:pPr>
            <w:r>
              <w:rPr>
                <w:rFonts w:hint="eastAsia"/>
                <w:color w:val="auto"/>
                <w:highlight w:val="none"/>
              </w:rPr>
              <w:t>m/d</w:t>
            </w:r>
          </w:p>
        </w:tc>
        <w:tc>
          <w:tcPr>
            <w:tcW w:w="1001" w:type="pct"/>
            <w:tcBorders>
              <w:tl2br w:val="nil"/>
              <w:tr2bl w:val="nil"/>
            </w:tcBorders>
            <w:vAlign w:val="center"/>
          </w:tcPr>
          <w:p w14:paraId="0442C54F">
            <w:pPr>
              <w:pStyle w:val="41"/>
              <w:rPr>
                <w:color w:val="auto"/>
                <w:highlight w:val="none"/>
              </w:rPr>
            </w:pPr>
            <w:r>
              <w:rPr>
                <w:rFonts w:hint="eastAsia"/>
                <w:color w:val="auto"/>
                <w:highlight w:val="none"/>
              </w:rPr>
              <w:t>m/d</w:t>
            </w:r>
          </w:p>
        </w:tc>
        <w:tc>
          <w:tcPr>
            <w:tcW w:w="1131" w:type="pct"/>
            <w:tcBorders>
              <w:tl2br w:val="nil"/>
              <w:tr2bl w:val="nil"/>
            </w:tcBorders>
            <w:vAlign w:val="center"/>
          </w:tcPr>
          <w:p w14:paraId="1098084C">
            <w:pPr>
              <w:pStyle w:val="41"/>
              <w:rPr>
                <w:color w:val="auto"/>
                <w:highlight w:val="none"/>
              </w:rPr>
            </w:pPr>
            <w:r>
              <w:rPr>
                <w:rFonts w:hint="eastAsia"/>
                <w:color w:val="auto"/>
                <w:highlight w:val="none"/>
              </w:rPr>
              <w:t>%</w:t>
            </w:r>
          </w:p>
        </w:tc>
        <w:tc>
          <w:tcPr>
            <w:tcW w:w="1168" w:type="pct"/>
            <w:tcBorders>
              <w:tl2br w:val="nil"/>
              <w:tr2bl w:val="nil"/>
            </w:tcBorders>
            <w:vAlign w:val="center"/>
          </w:tcPr>
          <w:p w14:paraId="3382FF9C">
            <w:pPr>
              <w:pStyle w:val="41"/>
              <w:rPr>
                <w:color w:val="auto"/>
                <w:highlight w:val="none"/>
              </w:rPr>
            </w:pPr>
            <w:r>
              <w:rPr>
                <w:rFonts w:hint="eastAsia"/>
                <w:color w:val="auto"/>
                <w:highlight w:val="none"/>
              </w:rPr>
              <w:t>m</w:t>
            </w:r>
            <w:r>
              <w:rPr>
                <w:rFonts w:hint="eastAsia"/>
                <w:color w:val="auto"/>
                <w:highlight w:val="none"/>
                <w:vertAlign w:val="superscript"/>
              </w:rPr>
              <w:t>2</w:t>
            </w:r>
            <w:r>
              <w:rPr>
                <w:rFonts w:hint="eastAsia"/>
                <w:color w:val="auto"/>
                <w:highlight w:val="none"/>
              </w:rPr>
              <w:t>/d</w:t>
            </w:r>
          </w:p>
        </w:tc>
      </w:tr>
      <w:tr w14:paraId="1ED49E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445" w:type="pct"/>
            <w:tcBorders>
              <w:tl2br w:val="nil"/>
              <w:tr2bl w:val="nil"/>
            </w:tcBorders>
            <w:vAlign w:val="center"/>
          </w:tcPr>
          <w:p w14:paraId="4158F862">
            <w:pPr>
              <w:pStyle w:val="41"/>
              <w:rPr>
                <w:color w:val="auto"/>
                <w:highlight w:val="none"/>
              </w:rPr>
            </w:pPr>
            <w:r>
              <w:rPr>
                <w:rFonts w:hint="eastAsia"/>
                <w:color w:val="auto"/>
                <w:highlight w:val="none"/>
              </w:rPr>
              <w:t>数值</w:t>
            </w:r>
          </w:p>
        </w:tc>
        <w:tc>
          <w:tcPr>
            <w:tcW w:w="1252" w:type="pct"/>
            <w:tcBorders>
              <w:tl2br w:val="nil"/>
              <w:tr2bl w:val="nil"/>
            </w:tcBorders>
            <w:vAlign w:val="center"/>
          </w:tcPr>
          <w:p w14:paraId="0D3D9874">
            <w:pPr>
              <w:pStyle w:val="41"/>
              <w:rPr>
                <w:color w:val="auto"/>
                <w:highlight w:val="none"/>
              </w:rPr>
            </w:pPr>
            <w:r>
              <w:rPr>
                <w:rFonts w:hint="eastAsia"/>
                <w:color w:val="auto"/>
                <w:highlight w:val="none"/>
              </w:rPr>
              <w:t>0.55</w:t>
            </w:r>
          </w:p>
        </w:tc>
        <w:tc>
          <w:tcPr>
            <w:tcW w:w="1001" w:type="pct"/>
            <w:tcBorders>
              <w:tl2br w:val="nil"/>
              <w:tr2bl w:val="nil"/>
            </w:tcBorders>
            <w:vAlign w:val="center"/>
          </w:tcPr>
          <w:p w14:paraId="0F0E4D3F">
            <w:pPr>
              <w:pStyle w:val="41"/>
              <w:rPr>
                <w:color w:val="auto"/>
                <w:highlight w:val="none"/>
              </w:rPr>
            </w:pPr>
            <w:r>
              <w:rPr>
                <w:rFonts w:hint="eastAsia"/>
                <w:color w:val="auto"/>
                <w:highlight w:val="none"/>
              </w:rPr>
              <w:t>0.0044</w:t>
            </w:r>
          </w:p>
        </w:tc>
        <w:tc>
          <w:tcPr>
            <w:tcW w:w="1131" w:type="pct"/>
            <w:tcBorders>
              <w:tl2br w:val="nil"/>
              <w:tr2bl w:val="nil"/>
            </w:tcBorders>
            <w:vAlign w:val="center"/>
          </w:tcPr>
          <w:p w14:paraId="32B618B8">
            <w:pPr>
              <w:pStyle w:val="41"/>
              <w:rPr>
                <w:color w:val="auto"/>
                <w:highlight w:val="none"/>
              </w:rPr>
            </w:pPr>
            <w:r>
              <w:rPr>
                <w:rFonts w:hint="eastAsia"/>
                <w:color w:val="auto"/>
                <w:highlight w:val="none"/>
              </w:rPr>
              <w:t>0.24</w:t>
            </w:r>
          </w:p>
        </w:tc>
        <w:tc>
          <w:tcPr>
            <w:tcW w:w="1168" w:type="pct"/>
            <w:tcBorders>
              <w:tl2br w:val="nil"/>
              <w:tr2bl w:val="nil"/>
            </w:tcBorders>
            <w:vAlign w:val="center"/>
          </w:tcPr>
          <w:p w14:paraId="0EDF127B">
            <w:pPr>
              <w:pStyle w:val="41"/>
              <w:rPr>
                <w:color w:val="auto"/>
                <w:highlight w:val="none"/>
              </w:rPr>
            </w:pPr>
            <w:r>
              <w:rPr>
                <w:rFonts w:hint="eastAsia"/>
                <w:color w:val="auto"/>
                <w:highlight w:val="none"/>
              </w:rPr>
              <w:t>0.022</w:t>
            </w:r>
          </w:p>
        </w:tc>
      </w:tr>
    </w:tbl>
    <w:p w14:paraId="5DD809D8">
      <w:pPr>
        <w:pStyle w:val="3"/>
        <w:ind w:firstLine="480"/>
        <w:rPr>
          <w:color w:val="auto"/>
          <w:highlight w:val="none"/>
        </w:rPr>
      </w:pPr>
      <w:r>
        <w:rPr>
          <w:rFonts w:hint="eastAsia"/>
          <w:color w:val="auto"/>
          <w:highlight w:val="none"/>
        </w:rPr>
        <w:t>①渗透系数根据区域地质勘查报告，取平均值0.55m/d。</w:t>
      </w:r>
    </w:p>
    <w:p w14:paraId="43FE89BF">
      <w:pPr>
        <w:pStyle w:val="3"/>
        <w:ind w:firstLine="480"/>
        <w:rPr>
          <w:color w:val="auto"/>
          <w:highlight w:val="none"/>
        </w:rPr>
      </w:pPr>
      <w:r>
        <w:rPr>
          <w:rFonts w:hint="eastAsia"/>
          <w:color w:val="auto"/>
          <w:highlight w:val="none"/>
        </w:rPr>
        <w:t>②浅层含水层的平均有效孔隙度n</w:t>
      </w:r>
    </w:p>
    <w:p w14:paraId="16F73BE8">
      <w:pPr>
        <w:pStyle w:val="3"/>
        <w:ind w:firstLine="480"/>
        <w:rPr>
          <w:color w:val="auto"/>
          <w:highlight w:val="none"/>
        </w:rPr>
      </w:pPr>
      <w:r>
        <w:rPr>
          <w:rFonts w:hint="eastAsia"/>
          <w:color w:val="auto"/>
          <w:highlight w:val="none"/>
        </w:rPr>
        <w:t>根据区域地质勘查报告，孔隙度平均值为0.3，有效孔隙度=0.3</w:t>
      </w:r>
      <w:r>
        <w:rPr>
          <w:rFonts w:ascii="Arial" w:hAnsi="Arial" w:cs="Arial"/>
          <w:color w:val="auto"/>
          <w:highlight w:val="none"/>
        </w:rPr>
        <w:t>×</w:t>
      </w:r>
      <w:r>
        <w:rPr>
          <w:rFonts w:hint="eastAsia"/>
          <w:color w:val="auto"/>
          <w:highlight w:val="none"/>
        </w:rPr>
        <w:t>0.8=0.24。</w:t>
      </w:r>
    </w:p>
    <w:p w14:paraId="25C1ECC1">
      <w:pPr>
        <w:pStyle w:val="3"/>
        <w:ind w:firstLine="480"/>
        <w:rPr>
          <w:color w:val="auto"/>
          <w:highlight w:val="none"/>
        </w:rPr>
      </w:pPr>
      <w:r>
        <w:rPr>
          <w:rFonts w:hint="eastAsia"/>
          <w:color w:val="auto"/>
          <w:highlight w:val="none"/>
        </w:rPr>
        <w:t>③地下水流速μ</w:t>
      </w:r>
    </w:p>
    <w:p w14:paraId="1BA467CE">
      <w:pPr>
        <w:pStyle w:val="3"/>
        <w:ind w:firstLine="480"/>
        <w:rPr>
          <w:color w:val="auto"/>
          <w:highlight w:val="none"/>
        </w:rPr>
      </w:pPr>
      <w:r>
        <w:rPr>
          <w:rFonts w:hint="eastAsia"/>
          <w:color w:val="auto"/>
          <w:highlight w:val="none"/>
        </w:rPr>
        <w:t>项目区包气带渗透系数以0.55m/d计；水力坡度以1.9‰计，地下水流速度为0.55m/d×0.0019/0.24=0.0044m/d。</w:t>
      </w:r>
    </w:p>
    <w:p w14:paraId="0D2F0C73">
      <w:pPr>
        <w:pStyle w:val="3"/>
        <w:ind w:firstLine="480"/>
        <w:rPr>
          <w:color w:val="auto"/>
          <w:highlight w:val="none"/>
        </w:rPr>
      </w:pPr>
      <w:r>
        <w:rPr>
          <w:rFonts w:hint="eastAsia"/>
          <w:color w:val="auto"/>
          <w:highlight w:val="none"/>
        </w:rPr>
        <w:t>④纵向x方向的弥散系数DL</w:t>
      </w:r>
    </w:p>
    <w:p w14:paraId="60FD5D9C">
      <w:pPr>
        <w:pStyle w:val="3"/>
        <w:ind w:firstLine="480"/>
        <w:rPr>
          <w:color w:val="auto"/>
          <w:highlight w:val="none"/>
        </w:rPr>
      </w:pPr>
      <w:r>
        <w:rPr>
          <w:rFonts w:hint="eastAsia"/>
          <w:color w:val="auto"/>
          <w:highlight w:val="none"/>
        </w:rPr>
        <w:t>参考Gelhar等人关于纵向弥散度与观测尺度关系的理论，通常弥散度随着溶质运移距离的增加而加大，这种现象称之为水动力弥散尺度效应。其具体表现为：野外弥散试验所求出的弥散度远远大于在实验室所测出的值；即使是同一含水层，溶质运移距离越大，所计算出的弥散度也越大。将世界范围内所收集到的百余个水质模型中所使用的纵向弥散度αL绘在双对数坐标纸上，从图上可以看出纵向弥散度αL从整体上随着尺度的增加而增大。基准尺度Ls是指研究区大小的度量，一般用溶质运移到观测孔的最大距离表示，或用计算区的近似最大内径长度代替。故本次参考以往研究成果，取弥散度参数值取5m。</w:t>
      </w:r>
    </w:p>
    <w:p w14:paraId="72FD0E99">
      <w:pPr>
        <w:pStyle w:val="3"/>
        <w:ind w:firstLine="480"/>
        <w:rPr>
          <w:color w:val="auto"/>
          <w:highlight w:val="none"/>
        </w:rPr>
      </w:pPr>
      <w:r>
        <w:rPr>
          <w:rFonts w:hint="eastAsia"/>
          <w:color w:val="auto"/>
          <w:highlight w:val="none"/>
        </w:rPr>
        <w:t>模型计算中纵向弥散度选用5m。由此计算项目区含水层中的纵向弥散系数DL=αL×u=5×0.0044m/d=0.022m</w:t>
      </w:r>
      <w:r>
        <w:rPr>
          <w:rFonts w:hint="eastAsia"/>
          <w:color w:val="auto"/>
          <w:highlight w:val="none"/>
          <w:vertAlign w:val="superscript"/>
        </w:rPr>
        <w:t>2</w:t>
      </w:r>
      <w:r>
        <w:rPr>
          <w:rFonts w:hint="eastAsia"/>
          <w:color w:val="auto"/>
          <w:highlight w:val="none"/>
        </w:rPr>
        <w:t>/d。</w:t>
      </w:r>
    </w:p>
    <w:p w14:paraId="7125F71E">
      <w:pPr>
        <w:pStyle w:val="3"/>
        <w:ind w:firstLine="480"/>
        <w:rPr>
          <w:color w:val="auto"/>
          <w:highlight w:val="none"/>
        </w:rPr>
      </w:pPr>
      <w:r>
        <w:rPr>
          <w:rFonts w:hint="eastAsia"/>
          <w:color w:val="auto"/>
          <w:highlight w:val="none"/>
        </w:rPr>
        <w:t>（7）预测结果</w:t>
      </w:r>
    </w:p>
    <w:p w14:paraId="58863DB2">
      <w:pPr>
        <w:pStyle w:val="3"/>
        <w:ind w:firstLine="480"/>
        <w:rPr>
          <w:color w:val="auto"/>
          <w:highlight w:val="none"/>
        </w:rPr>
      </w:pPr>
      <w:r>
        <w:rPr>
          <w:rFonts w:hint="eastAsia"/>
          <w:color w:val="auto"/>
          <w:highlight w:val="none"/>
        </w:rPr>
        <w:t>在污染源处，</w:t>
      </w:r>
      <w:r>
        <w:rPr>
          <w:rFonts w:hint="eastAsia"/>
          <w:color w:val="auto"/>
          <w:highlight w:val="none"/>
          <w:lang w:eastAsia="zh-CN"/>
        </w:rPr>
        <w:t>铅、镍</w:t>
      </w:r>
      <w:r>
        <w:rPr>
          <w:rFonts w:hint="eastAsia"/>
          <w:color w:val="auto"/>
          <w:highlight w:val="none"/>
        </w:rPr>
        <w:t>随污废水泄漏下渗进入地下水中，将各项参数代入所建立的解析数学模型中，计算100d、1000d、3650d时间点上污染源下游不同位置地下水中</w:t>
      </w:r>
      <w:r>
        <w:rPr>
          <w:rFonts w:hint="eastAsia"/>
          <w:color w:val="auto"/>
          <w:highlight w:val="none"/>
          <w:lang w:eastAsia="zh-CN"/>
        </w:rPr>
        <w:t>铅、镍</w:t>
      </w:r>
      <w:r>
        <w:rPr>
          <w:rFonts w:hint="eastAsia"/>
          <w:color w:val="auto"/>
          <w:highlight w:val="none"/>
        </w:rPr>
        <w:t>浓度的变化。具体见下表：</w:t>
      </w:r>
    </w:p>
    <w:p w14:paraId="30F9C2FC">
      <w:pPr>
        <w:pStyle w:val="40"/>
        <w:rPr>
          <w:color w:val="auto"/>
          <w:highlight w:val="none"/>
        </w:rPr>
      </w:pPr>
      <w:r>
        <w:rPr>
          <w:rFonts w:hint="eastAsia"/>
          <w:color w:val="auto"/>
          <w:highlight w:val="none"/>
        </w:rPr>
        <w:t>表5.3-4    循环水池渗漏下游镍、铅迁移预测结果</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552"/>
        <w:gridCol w:w="1129"/>
        <w:gridCol w:w="1186"/>
        <w:gridCol w:w="800"/>
        <w:gridCol w:w="1193"/>
        <w:gridCol w:w="891"/>
        <w:gridCol w:w="1187"/>
        <w:gridCol w:w="1039"/>
      </w:tblGrid>
      <w:tr w14:paraId="17A0D9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314" w:type="pct"/>
            <w:vMerge w:val="restart"/>
            <w:tcBorders>
              <w:tl2br w:val="nil"/>
              <w:tr2bl w:val="nil"/>
            </w:tcBorders>
            <w:vAlign w:val="center"/>
          </w:tcPr>
          <w:p w14:paraId="78BA17E8">
            <w:pPr>
              <w:pStyle w:val="41"/>
              <w:rPr>
                <w:color w:val="auto"/>
                <w:highlight w:val="none"/>
              </w:rPr>
            </w:pPr>
            <w:r>
              <w:rPr>
                <w:rFonts w:hint="eastAsia"/>
                <w:color w:val="auto"/>
                <w:highlight w:val="none"/>
              </w:rPr>
              <w:t>因子</w:t>
            </w:r>
          </w:p>
        </w:tc>
        <w:tc>
          <w:tcPr>
            <w:tcW w:w="324" w:type="pct"/>
            <w:vMerge w:val="restart"/>
            <w:tcBorders>
              <w:tl2br w:val="nil"/>
              <w:tr2bl w:val="nil"/>
            </w:tcBorders>
            <w:vAlign w:val="center"/>
          </w:tcPr>
          <w:p w14:paraId="163421BC">
            <w:pPr>
              <w:pStyle w:val="41"/>
              <w:rPr>
                <w:color w:val="auto"/>
                <w:highlight w:val="none"/>
              </w:rPr>
            </w:pPr>
            <w:r>
              <w:rPr>
                <w:rFonts w:hint="eastAsia"/>
                <w:color w:val="auto"/>
                <w:highlight w:val="none"/>
              </w:rPr>
              <w:t>序号</w:t>
            </w:r>
          </w:p>
        </w:tc>
        <w:tc>
          <w:tcPr>
            <w:tcW w:w="1359" w:type="pct"/>
            <w:gridSpan w:val="2"/>
            <w:tcBorders>
              <w:tl2br w:val="nil"/>
              <w:tr2bl w:val="nil"/>
            </w:tcBorders>
            <w:vAlign w:val="center"/>
          </w:tcPr>
          <w:p w14:paraId="68FEE5E9">
            <w:pPr>
              <w:pStyle w:val="41"/>
              <w:rPr>
                <w:color w:val="auto"/>
                <w:highlight w:val="none"/>
              </w:rPr>
            </w:pPr>
            <w:r>
              <w:rPr>
                <w:rFonts w:hint="eastAsia"/>
                <w:color w:val="auto"/>
                <w:highlight w:val="none"/>
              </w:rPr>
              <w:t>100d</w:t>
            </w:r>
          </w:p>
        </w:tc>
        <w:tc>
          <w:tcPr>
            <w:tcW w:w="1169" w:type="pct"/>
            <w:gridSpan w:val="2"/>
            <w:tcBorders>
              <w:tl2br w:val="nil"/>
              <w:tr2bl w:val="nil"/>
            </w:tcBorders>
            <w:vAlign w:val="center"/>
          </w:tcPr>
          <w:p w14:paraId="15C719D4">
            <w:pPr>
              <w:pStyle w:val="41"/>
              <w:rPr>
                <w:color w:val="auto"/>
                <w:highlight w:val="none"/>
              </w:rPr>
            </w:pPr>
            <w:r>
              <w:rPr>
                <w:rFonts w:hint="eastAsia"/>
                <w:color w:val="auto"/>
                <w:highlight w:val="none"/>
              </w:rPr>
              <w:t>1000d</w:t>
            </w:r>
          </w:p>
        </w:tc>
        <w:tc>
          <w:tcPr>
            <w:tcW w:w="1220" w:type="pct"/>
            <w:gridSpan w:val="2"/>
            <w:tcBorders>
              <w:tl2br w:val="nil"/>
              <w:tr2bl w:val="nil"/>
            </w:tcBorders>
            <w:vAlign w:val="center"/>
          </w:tcPr>
          <w:p w14:paraId="12368900">
            <w:pPr>
              <w:pStyle w:val="41"/>
              <w:rPr>
                <w:color w:val="auto"/>
                <w:highlight w:val="none"/>
              </w:rPr>
            </w:pPr>
            <w:r>
              <w:rPr>
                <w:rFonts w:hint="eastAsia"/>
                <w:color w:val="auto"/>
                <w:highlight w:val="none"/>
              </w:rPr>
              <w:t>3650d</w:t>
            </w:r>
          </w:p>
        </w:tc>
        <w:tc>
          <w:tcPr>
            <w:tcW w:w="610" w:type="pct"/>
            <w:vMerge w:val="restart"/>
            <w:tcBorders>
              <w:tl2br w:val="nil"/>
              <w:tr2bl w:val="nil"/>
            </w:tcBorders>
            <w:vAlign w:val="center"/>
          </w:tcPr>
          <w:p w14:paraId="51327434">
            <w:pPr>
              <w:pStyle w:val="41"/>
              <w:rPr>
                <w:color w:val="auto"/>
                <w:highlight w:val="none"/>
              </w:rPr>
            </w:pPr>
            <w:r>
              <w:rPr>
                <w:rFonts w:hint="eastAsia"/>
                <w:color w:val="auto"/>
                <w:highlight w:val="none"/>
              </w:rPr>
              <w:t>备注</w:t>
            </w:r>
          </w:p>
        </w:tc>
      </w:tr>
      <w:tr w14:paraId="4F1492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continue"/>
            <w:tcBorders>
              <w:tl2br w:val="nil"/>
              <w:tr2bl w:val="nil"/>
            </w:tcBorders>
            <w:vAlign w:val="center"/>
          </w:tcPr>
          <w:p w14:paraId="10BFA2E6">
            <w:pPr>
              <w:pStyle w:val="41"/>
              <w:rPr>
                <w:color w:val="auto"/>
                <w:highlight w:val="none"/>
              </w:rPr>
            </w:pPr>
          </w:p>
        </w:tc>
        <w:tc>
          <w:tcPr>
            <w:tcW w:w="324" w:type="pct"/>
            <w:vMerge w:val="continue"/>
            <w:tcBorders>
              <w:tl2br w:val="nil"/>
              <w:tr2bl w:val="nil"/>
            </w:tcBorders>
            <w:vAlign w:val="center"/>
          </w:tcPr>
          <w:p w14:paraId="22D90A6D">
            <w:pPr>
              <w:pStyle w:val="41"/>
              <w:rPr>
                <w:color w:val="auto"/>
                <w:highlight w:val="none"/>
              </w:rPr>
            </w:pPr>
          </w:p>
        </w:tc>
        <w:tc>
          <w:tcPr>
            <w:tcW w:w="663" w:type="pct"/>
            <w:tcBorders>
              <w:tl2br w:val="nil"/>
              <w:tr2bl w:val="nil"/>
            </w:tcBorders>
            <w:vAlign w:val="center"/>
          </w:tcPr>
          <w:p w14:paraId="7B71CC43">
            <w:pPr>
              <w:pStyle w:val="41"/>
              <w:rPr>
                <w:color w:val="auto"/>
                <w:highlight w:val="none"/>
              </w:rPr>
            </w:pPr>
            <w:r>
              <w:rPr>
                <w:rFonts w:hint="eastAsia"/>
                <w:color w:val="auto"/>
                <w:highlight w:val="none"/>
              </w:rPr>
              <w:t>距离（m）</w:t>
            </w:r>
          </w:p>
        </w:tc>
        <w:tc>
          <w:tcPr>
            <w:tcW w:w="696" w:type="pct"/>
            <w:tcBorders>
              <w:tl2br w:val="nil"/>
              <w:tr2bl w:val="nil"/>
            </w:tcBorders>
            <w:vAlign w:val="center"/>
          </w:tcPr>
          <w:p w14:paraId="57B63048">
            <w:pPr>
              <w:pStyle w:val="41"/>
              <w:rPr>
                <w:color w:val="auto"/>
                <w:highlight w:val="none"/>
              </w:rPr>
            </w:pPr>
            <w:r>
              <w:rPr>
                <w:rFonts w:hint="eastAsia"/>
                <w:color w:val="auto"/>
                <w:highlight w:val="none"/>
              </w:rPr>
              <w:t>浓度（mg/L）</w:t>
            </w:r>
          </w:p>
        </w:tc>
        <w:tc>
          <w:tcPr>
            <w:tcW w:w="469" w:type="pct"/>
            <w:tcBorders>
              <w:tl2br w:val="nil"/>
              <w:tr2bl w:val="nil"/>
            </w:tcBorders>
            <w:vAlign w:val="center"/>
          </w:tcPr>
          <w:p w14:paraId="0367236F">
            <w:pPr>
              <w:pStyle w:val="41"/>
              <w:rPr>
                <w:color w:val="auto"/>
                <w:highlight w:val="none"/>
              </w:rPr>
            </w:pPr>
            <w:r>
              <w:rPr>
                <w:rFonts w:hint="eastAsia"/>
                <w:color w:val="auto"/>
                <w:highlight w:val="none"/>
              </w:rPr>
              <w:t>距离（m）</w:t>
            </w:r>
          </w:p>
        </w:tc>
        <w:tc>
          <w:tcPr>
            <w:tcW w:w="699" w:type="pct"/>
            <w:tcBorders>
              <w:tl2br w:val="nil"/>
              <w:tr2bl w:val="nil"/>
            </w:tcBorders>
            <w:vAlign w:val="center"/>
          </w:tcPr>
          <w:p w14:paraId="26C714AB">
            <w:pPr>
              <w:pStyle w:val="41"/>
              <w:rPr>
                <w:color w:val="auto"/>
                <w:highlight w:val="none"/>
              </w:rPr>
            </w:pPr>
            <w:r>
              <w:rPr>
                <w:rFonts w:hint="eastAsia"/>
                <w:color w:val="auto"/>
                <w:highlight w:val="none"/>
              </w:rPr>
              <w:t>浓度（mg/L）</w:t>
            </w:r>
          </w:p>
        </w:tc>
        <w:tc>
          <w:tcPr>
            <w:tcW w:w="523" w:type="pct"/>
            <w:tcBorders>
              <w:tl2br w:val="nil"/>
              <w:tr2bl w:val="nil"/>
            </w:tcBorders>
            <w:vAlign w:val="center"/>
          </w:tcPr>
          <w:p w14:paraId="3E70B891">
            <w:pPr>
              <w:pStyle w:val="41"/>
              <w:rPr>
                <w:color w:val="auto"/>
                <w:highlight w:val="none"/>
              </w:rPr>
            </w:pPr>
            <w:r>
              <w:rPr>
                <w:rFonts w:hint="eastAsia"/>
                <w:color w:val="auto"/>
                <w:highlight w:val="none"/>
              </w:rPr>
              <w:t>距离（m）</w:t>
            </w:r>
          </w:p>
        </w:tc>
        <w:tc>
          <w:tcPr>
            <w:tcW w:w="697" w:type="pct"/>
            <w:tcBorders>
              <w:tl2br w:val="nil"/>
              <w:tr2bl w:val="nil"/>
            </w:tcBorders>
            <w:vAlign w:val="center"/>
          </w:tcPr>
          <w:p w14:paraId="0565615B">
            <w:pPr>
              <w:pStyle w:val="41"/>
              <w:rPr>
                <w:color w:val="auto"/>
                <w:highlight w:val="none"/>
              </w:rPr>
            </w:pPr>
            <w:r>
              <w:rPr>
                <w:rFonts w:hint="eastAsia"/>
                <w:color w:val="auto"/>
                <w:highlight w:val="none"/>
              </w:rPr>
              <w:t>浓度（mg/L）</w:t>
            </w:r>
          </w:p>
        </w:tc>
        <w:tc>
          <w:tcPr>
            <w:tcW w:w="610" w:type="pct"/>
            <w:vMerge w:val="continue"/>
            <w:tcBorders>
              <w:tl2br w:val="nil"/>
              <w:tr2bl w:val="nil"/>
            </w:tcBorders>
            <w:vAlign w:val="center"/>
          </w:tcPr>
          <w:p w14:paraId="1D5488E6">
            <w:pPr>
              <w:pStyle w:val="41"/>
              <w:rPr>
                <w:color w:val="auto"/>
                <w:highlight w:val="none"/>
              </w:rPr>
            </w:pPr>
          </w:p>
        </w:tc>
      </w:tr>
      <w:tr w14:paraId="51108F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restart"/>
            <w:tcBorders>
              <w:tl2br w:val="nil"/>
              <w:tr2bl w:val="nil"/>
            </w:tcBorders>
            <w:vAlign w:val="center"/>
          </w:tcPr>
          <w:p w14:paraId="6350CBF7">
            <w:pPr>
              <w:pStyle w:val="41"/>
              <w:rPr>
                <w:color w:val="auto"/>
                <w:highlight w:val="none"/>
              </w:rPr>
            </w:pPr>
            <w:r>
              <w:rPr>
                <w:rFonts w:hint="eastAsia"/>
                <w:color w:val="auto"/>
                <w:highlight w:val="none"/>
              </w:rPr>
              <w:t>镍</w:t>
            </w:r>
          </w:p>
        </w:tc>
        <w:tc>
          <w:tcPr>
            <w:tcW w:w="324" w:type="pct"/>
            <w:tcBorders>
              <w:tl2br w:val="nil"/>
              <w:tr2bl w:val="nil"/>
            </w:tcBorders>
            <w:vAlign w:val="center"/>
          </w:tcPr>
          <w:p w14:paraId="2DADA87C">
            <w:pPr>
              <w:pStyle w:val="41"/>
              <w:rPr>
                <w:color w:val="auto"/>
                <w:highlight w:val="none"/>
              </w:rPr>
            </w:pPr>
            <w:r>
              <w:rPr>
                <w:rFonts w:hint="eastAsia"/>
                <w:color w:val="auto"/>
                <w:highlight w:val="none"/>
              </w:rPr>
              <w:t>1</w:t>
            </w:r>
          </w:p>
        </w:tc>
        <w:tc>
          <w:tcPr>
            <w:tcW w:w="663" w:type="pct"/>
            <w:tcBorders>
              <w:tl2br w:val="nil"/>
              <w:tr2bl w:val="nil"/>
            </w:tcBorders>
            <w:vAlign w:val="center"/>
          </w:tcPr>
          <w:p w14:paraId="7A256A25">
            <w:pPr>
              <w:pStyle w:val="41"/>
              <w:rPr>
                <w:color w:val="auto"/>
                <w:highlight w:val="none"/>
              </w:rPr>
            </w:pPr>
            <w:r>
              <w:rPr>
                <w:rFonts w:hint="eastAsia"/>
                <w:color w:val="auto"/>
                <w:highlight w:val="none"/>
              </w:rPr>
              <w:t>0</w:t>
            </w:r>
          </w:p>
        </w:tc>
        <w:tc>
          <w:tcPr>
            <w:tcW w:w="696" w:type="pct"/>
            <w:tcBorders>
              <w:tl2br w:val="nil"/>
              <w:tr2bl w:val="nil"/>
            </w:tcBorders>
            <w:vAlign w:val="center"/>
          </w:tcPr>
          <w:p w14:paraId="08660A20">
            <w:pPr>
              <w:pStyle w:val="41"/>
              <w:rPr>
                <w:color w:val="auto"/>
                <w:highlight w:val="none"/>
              </w:rPr>
            </w:pPr>
            <w:r>
              <w:rPr>
                <w:rFonts w:hint="eastAsia"/>
                <w:color w:val="auto"/>
                <w:highlight w:val="none"/>
              </w:rPr>
              <w:t>0.0418</w:t>
            </w:r>
          </w:p>
        </w:tc>
        <w:tc>
          <w:tcPr>
            <w:tcW w:w="469" w:type="pct"/>
            <w:tcBorders>
              <w:tl2br w:val="nil"/>
              <w:tr2bl w:val="nil"/>
            </w:tcBorders>
            <w:vAlign w:val="center"/>
          </w:tcPr>
          <w:p w14:paraId="4D9F2AB1">
            <w:pPr>
              <w:pStyle w:val="41"/>
              <w:rPr>
                <w:color w:val="auto"/>
                <w:highlight w:val="none"/>
              </w:rPr>
            </w:pPr>
            <w:r>
              <w:rPr>
                <w:rFonts w:hint="eastAsia"/>
                <w:color w:val="auto"/>
                <w:highlight w:val="none"/>
              </w:rPr>
              <w:t>0</w:t>
            </w:r>
          </w:p>
        </w:tc>
        <w:tc>
          <w:tcPr>
            <w:tcW w:w="699" w:type="pct"/>
            <w:tcBorders>
              <w:tl2br w:val="nil"/>
              <w:tr2bl w:val="nil"/>
            </w:tcBorders>
            <w:vAlign w:val="center"/>
          </w:tcPr>
          <w:p w14:paraId="6E35A390">
            <w:pPr>
              <w:pStyle w:val="41"/>
              <w:rPr>
                <w:color w:val="auto"/>
                <w:highlight w:val="none"/>
              </w:rPr>
            </w:pPr>
            <w:r>
              <w:rPr>
                <w:rFonts w:hint="eastAsia"/>
                <w:color w:val="auto"/>
                <w:highlight w:val="none"/>
              </w:rPr>
              <w:t>0.0418</w:t>
            </w:r>
          </w:p>
        </w:tc>
        <w:tc>
          <w:tcPr>
            <w:tcW w:w="523" w:type="pct"/>
            <w:tcBorders>
              <w:tl2br w:val="nil"/>
              <w:tr2bl w:val="nil"/>
            </w:tcBorders>
            <w:vAlign w:val="center"/>
          </w:tcPr>
          <w:p w14:paraId="1AD0AE4C">
            <w:pPr>
              <w:pStyle w:val="41"/>
              <w:rPr>
                <w:color w:val="auto"/>
                <w:highlight w:val="none"/>
              </w:rPr>
            </w:pPr>
            <w:r>
              <w:rPr>
                <w:rFonts w:hint="eastAsia"/>
                <w:color w:val="auto"/>
                <w:highlight w:val="none"/>
              </w:rPr>
              <w:t>0</w:t>
            </w:r>
          </w:p>
        </w:tc>
        <w:tc>
          <w:tcPr>
            <w:tcW w:w="697" w:type="pct"/>
            <w:tcBorders>
              <w:tl2br w:val="nil"/>
              <w:tr2bl w:val="nil"/>
            </w:tcBorders>
            <w:vAlign w:val="center"/>
          </w:tcPr>
          <w:p w14:paraId="52BB4B23">
            <w:pPr>
              <w:pStyle w:val="41"/>
              <w:rPr>
                <w:color w:val="auto"/>
                <w:highlight w:val="none"/>
              </w:rPr>
            </w:pPr>
            <w:r>
              <w:rPr>
                <w:rFonts w:hint="eastAsia"/>
                <w:color w:val="auto"/>
                <w:highlight w:val="none"/>
              </w:rPr>
              <w:t>0.0418</w:t>
            </w:r>
          </w:p>
        </w:tc>
        <w:tc>
          <w:tcPr>
            <w:tcW w:w="610" w:type="pct"/>
            <w:vMerge w:val="restart"/>
            <w:tcBorders>
              <w:tl2br w:val="nil"/>
              <w:tr2bl w:val="nil"/>
            </w:tcBorders>
            <w:vAlign w:val="center"/>
          </w:tcPr>
          <w:p w14:paraId="763E5A06">
            <w:pPr>
              <w:pStyle w:val="41"/>
              <w:rPr>
                <w:color w:val="auto"/>
                <w:highlight w:val="none"/>
              </w:rPr>
            </w:pPr>
            <w:r>
              <w:rPr>
                <w:rFonts w:hint="eastAsia"/>
                <w:color w:val="auto"/>
                <w:highlight w:val="none"/>
              </w:rPr>
              <w:t>地下水Ⅲ类水质标准值0.02mg/L</w:t>
            </w:r>
          </w:p>
        </w:tc>
      </w:tr>
      <w:tr w14:paraId="62ABA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continue"/>
            <w:tcBorders>
              <w:tl2br w:val="nil"/>
              <w:tr2bl w:val="nil"/>
            </w:tcBorders>
            <w:vAlign w:val="center"/>
          </w:tcPr>
          <w:p w14:paraId="0370C7D6">
            <w:pPr>
              <w:pStyle w:val="41"/>
              <w:rPr>
                <w:color w:val="auto"/>
                <w:highlight w:val="none"/>
              </w:rPr>
            </w:pPr>
          </w:p>
        </w:tc>
        <w:tc>
          <w:tcPr>
            <w:tcW w:w="324" w:type="pct"/>
            <w:tcBorders>
              <w:tl2br w:val="nil"/>
              <w:tr2bl w:val="nil"/>
            </w:tcBorders>
            <w:vAlign w:val="center"/>
          </w:tcPr>
          <w:p w14:paraId="18AF17F0">
            <w:pPr>
              <w:pStyle w:val="41"/>
              <w:rPr>
                <w:color w:val="auto"/>
                <w:highlight w:val="none"/>
              </w:rPr>
            </w:pPr>
            <w:r>
              <w:rPr>
                <w:rFonts w:hint="eastAsia"/>
                <w:color w:val="auto"/>
                <w:highlight w:val="none"/>
              </w:rPr>
              <w:t>2</w:t>
            </w:r>
          </w:p>
        </w:tc>
        <w:tc>
          <w:tcPr>
            <w:tcW w:w="663" w:type="pct"/>
            <w:tcBorders>
              <w:tl2br w:val="nil"/>
              <w:tr2bl w:val="nil"/>
            </w:tcBorders>
            <w:shd w:val="clear" w:color="auto" w:fill="auto"/>
            <w:vAlign w:val="center"/>
          </w:tcPr>
          <w:p w14:paraId="103618B3">
            <w:pPr>
              <w:pStyle w:val="41"/>
              <w:rPr>
                <w:color w:val="auto"/>
                <w:highlight w:val="none"/>
              </w:rPr>
            </w:pPr>
            <w:r>
              <w:rPr>
                <w:rFonts w:hint="eastAsia"/>
                <w:color w:val="auto"/>
                <w:highlight w:val="none"/>
              </w:rPr>
              <w:t>1</w:t>
            </w:r>
          </w:p>
        </w:tc>
        <w:tc>
          <w:tcPr>
            <w:tcW w:w="696" w:type="pct"/>
            <w:tcBorders>
              <w:tl2br w:val="nil"/>
              <w:tr2bl w:val="nil"/>
            </w:tcBorders>
            <w:shd w:val="clear" w:color="auto" w:fill="auto"/>
            <w:vAlign w:val="center"/>
          </w:tcPr>
          <w:p w14:paraId="065E3B96">
            <w:pPr>
              <w:pStyle w:val="41"/>
              <w:rPr>
                <w:color w:val="auto"/>
                <w:highlight w:val="none"/>
              </w:rPr>
            </w:pPr>
            <w:r>
              <w:rPr>
                <w:rFonts w:hint="eastAsia"/>
                <w:color w:val="auto"/>
                <w:highlight w:val="none"/>
              </w:rPr>
              <w:t>0.0291</w:t>
            </w:r>
          </w:p>
        </w:tc>
        <w:tc>
          <w:tcPr>
            <w:tcW w:w="469" w:type="pct"/>
            <w:tcBorders>
              <w:tl2br w:val="nil"/>
              <w:tr2bl w:val="nil"/>
            </w:tcBorders>
            <w:vAlign w:val="center"/>
          </w:tcPr>
          <w:p w14:paraId="68209194">
            <w:pPr>
              <w:pStyle w:val="41"/>
              <w:rPr>
                <w:color w:val="auto"/>
                <w:highlight w:val="none"/>
              </w:rPr>
            </w:pPr>
            <w:r>
              <w:rPr>
                <w:rFonts w:hint="eastAsia"/>
                <w:color w:val="auto"/>
                <w:highlight w:val="none"/>
              </w:rPr>
              <w:t>5</w:t>
            </w:r>
          </w:p>
        </w:tc>
        <w:tc>
          <w:tcPr>
            <w:tcW w:w="699" w:type="pct"/>
            <w:tcBorders>
              <w:tl2br w:val="nil"/>
              <w:tr2bl w:val="nil"/>
            </w:tcBorders>
            <w:vAlign w:val="center"/>
          </w:tcPr>
          <w:p w14:paraId="447DBB6C">
            <w:pPr>
              <w:pStyle w:val="41"/>
              <w:rPr>
                <w:color w:val="auto"/>
                <w:highlight w:val="none"/>
              </w:rPr>
            </w:pPr>
            <w:r>
              <w:rPr>
                <w:rFonts w:hint="eastAsia"/>
                <w:color w:val="auto"/>
                <w:highlight w:val="none"/>
              </w:rPr>
              <w:t>0.0283</w:t>
            </w:r>
          </w:p>
        </w:tc>
        <w:tc>
          <w:tcPr>
            <w:tcW w:w="523" w:type="pct"/>
            <w:tcBorders>
              <w:tl2br w:val="nil"/>
              <w:tr2bl w:val="nil"/>
            </w:tcBorders>
            <w:vAlign w:val="center"/>
          </w:tcPr>
          <w:p w14:paraId="268C0437">
            <w:pPr>
              <w:pStyle w:val="41"/>
              <w:rPr>
                <w:color w:val="auto"/>
                <w:highlight w:val="none"/>
              </w:rPr>
            </w:pPr>
            <w:r>
              <w:rPr>
                <w:rFonts w:hint="eastAsia"/>
                <w:color w:val="auto"/>
                <w:highlight w:val="none"/>
              </w:rPr>
              <w:t>15</w:t>
            </w:r>
          </w:p>
        </w:tc>
        <w:tc>
          <w:tcPr>
            <w:tcW w:w="697" w:type="pct"/>
            <w:tcBorders>
              <w:tl2br w:val="nil"/>
              <w:tr2bl w:val="nil"/>
            </w:tcBorders>
            <w:vAlign w:val="center"/>
          </w:tcPr>
          <w:p w14:paraId="648A6D9F">
            <w:pPr>
              <w:pStyle w:val="41"/>
              <w:rPr>
                <w:color w:val="auto"/>
                <w:highlight w:val="none"/>
              </w:rPr>
            </w:pPr>
            <w:r>
              <w:rPr>
                <w:rFonts w:hint="eastAsia"/>
                <w:color w:val="auto"/>
                <w:highlight w:val="none"/>
              </w:rPr>
              <w:t>0.0283</w:t>
            </w:r>
          </w:p>
        </w:tc>
        <w:tc>
          <w:tcPr>
            <w:tcW w:w="610" w:type="pct"/>
            <w:vMerge w:val="continue"/>
            <w:tcBorders>
              <w:tl2br w:val="nil"/>
              <w:tr2bl w:val="nil"/>
            </w:tcBorders>
            <w:vAlign w:val="center"/>
          </w:tcPr>
          <w:p w14:paraId="2D9C5D15">
            <w:pPr>
              <w:pStyle w:val="41"/>
              <w:rPr>
                <w:color w:val="auto"/>
                <w:highlight w:val="none"/>
              </w:rPr>
            </w:pPr>
          </w:p>
        </w:tc>
      </w:tr>
      <w:tr w14:paraId="329F20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continue"/>
            <w:tcBorders>
              <w:tl2br w:val="nil"/>
              <w:tr2bl w:val="nil"/>
            </w:tcBorders>
            <w:vAlign w:val="center"/>
          </w:tcPr>
          <w:p w14:paraId="6F11C4FC">
            <w:pPr>
              <w:pStyle w:val="41"/>
              <w:rPr>
                <w:color w:val="auto"/>
                <w:highlight w:val="none"/>
              </w:rPr>
            </w:pPr>
          </w:p>
        </w:tc>
        <w:tc>
          <w:tcPr>
            <w:tcW w:w="324" w:type="pct"/>
            <w:tcBorders>
              <w:tl2br w:val="nil"/>
              <w:tr2bl w:val="nil"/>
            </w:tcBorders>
            <w:vAlign w:val="center"/>
          </w:tcPr>
          <w:p w14:paraId="17BEE971">
            <w:pPr>
              <w:pStyle w:val="41"/>
              <w:rPr>
                <w:color w:val="auto"/>
                <w:highlight w:val="none"/>
              </w:rPr>
            </w:pPr>
            <w:r>
              <w:rPr>
                <w:rFonts w:hint="eastAsia"/>
                <w:color w:val="auto"/>
                <w:highlight w:val="none"/>
              </w:rPr>
              <w:t>3</w:t>
            </w:r>
          </w:p>
        </w:tc>
        <w:tc>
          <w:tcPr>
            <w:tcW w:w="663" w:type="pct"/>
            <w:tcBorders>
              <w:tl2br w:val="nil"/>
              <w:tr2bl w:val="nil"/>
            </w:tcBorders>
            <w:shd w:val="clear" w:color="auto" w:fill="auto"/>
            <w:vAlign w:val="center"/>
          </w:tcPr>
          <w:p w14:paraId="120E4B20">
            <w:pPr>
              <w:pStyle w:val="41"/>
              <w:rPr>
                <w:color w:val="auto"/>
                <w:highlight w:val="none"/>
              </w:rPr>
            </w:pPr>
            <w:r>
              <w:rPr>
                <w:rFonts w:hint="eastAsia"/>
                <w:color w:val="auto"/>
                <w:highlight w:val="none"/>
              </w:rPr>
              <w:t>2</w:t>
            </w:r>
          </w:p>
        </w:tc>
        <w:tc>
          <w:tcPr>
            <w:tcW w:w="696" w:type="pct"/>
            <w:tcBorders>
              <w:tl2br w:val="nil"/>
              <w:tr2bl w:val="nil"/>
            </w:tcBorders>
            <w:shd w:val="clear" w:color="auto" w:fill="auto"/>
            <w:vAlign w:val="center"/>
          </w:tcPr>
          <w:p w14:paraId="4964D182">
            <w:pPr>
              <w:pStyle w:val="41"/>
              <w:rPr>
                <w:color w:val="auto"/>
                <w:highlight w:val="none"/>
              </w:rPr>
            </w:pPr>
            <w:r>
              <w:rPr>
                <w:rFonts w:hint="eastAsia"/>
                <w:color w:val="auto"/>
                <w:highlight w:val="none"/>
              </w:rPr>
              <w:t>0.0172</w:t>
            </w:r>
          </w:p>
        </w:tc>
        <w:tc>
          <w:tcPr>
            <w:tcW w:w="469" w:type="pct"/>
            <w:tcBorders>
              <w:tl2br w:val="nil"/>
              <w:tr2bl w:val="nil"/>
            </w:tcBorders>
            <w:vAlign w:val="center"/>
          </w:tcPr>
          <w:p w14:paraId="3BC63B9F">
            <w:pPr>
              <w:pStyle w:val="41"/>
              <w:rPr>
                <w:color w:val="auto"/>
                <w:highlight w:val="none"/>
              </w:rPr>
            </w:pPr>
            <w:r>
              <w:rPr>
                <w:rFonts w:hint="eastAsia"/>
                <w:color w:val="auto"/>
                <w:highlight w:val="none"/>
              </w:rPr>
              <w:t>8</w:t>
            </w:r>
          </w:p>
        </w:tc>
        <w:tc>
          <w:tcPr>
            <w:tcW w:w="699" w:type="pct"/>
            <w:tcBorders>
              <w:tl2br w:val="nil"/>
              <w:tr2bl w:val="nil"/>
            </w:tcBorders>
            <w:vAlign w:val="center"/>
          </w:tcPr>
          <w:p w14:paraId="3EEA22F8">
            <w:pPr>
              <w:pStyle w:val="41"/>
              <w:rPr>
                <w:color w:val="auto"/>
                <w:highlight w:val="none"/>
              </w:rPr>
            </w:pPr>
            <w:r>
              <w:rPr>
                <w:rFonts w:hint="eastAsia"/>
                <w:color w:val="auto"/>
                <w:highlight w:val="none"/>
              </w:rPr>
              <w:t>0.0186</w:t>
            </w:r>
          </w:p>
        </w:tc>
        <w:tc>
          <w:tcPr>
            <w:tcW w:w="523" w:type="pct"/>
            <w:tcBorders>
              <w:tl2br w:val="nil"/>
              <w:tr2bl w:val="nil"/>
            </w:tcBorders>
            <w:vAlign w:val="center"/>
          </w:tcPr>
          <w:p w14:paraId="374C66A0">
            <w:pPr>
              <w:pStyle w:val="41"/>
              <w:rPr>
                <w:color w:val="auto"/>
                <w:highlight w:val="none"/>
              </w:rPr>
            </w:pPr>
            <w:r>
              <w:rPr>
                <w:rFonts w:hint="eastAsia"/>
                <w:color w:val="auto"/>
                <w:highlight w:val="none"/>
              </w:rPr>
              <w:t>21</w:t>
            </w:r>
          </w:p>
        </w:tc>
        <w:tc>
          <w:tcPr>
            <w:tcW w:w="697" w:type="pct"/>
            <w:tcBorders>
              <w:tl2br w:val="nil"/>
              <w:tr2bl w:val="nil"/>
            </w:tcBorders>
            <w:vAlign w:val="center"/>
          </w:tcPr>
          <w:p w14:paraId="0909DC7F">
            <w:pPr>
              <w:pStyle w:val="41"/>
              <w:rPr>
                <w:color w:val="auto"/>
                <w:highlight w:val="none"/>
              </w:rPr>
            </w:pPr>
            <w:r>
              <w:rPr>
                <w:rFonts w:hint="eastAsia"/>
                <w:color w:val="auto"/>
                <w:highlight w:val="none"/>
              </w:rPr>
              <w:t>0.0194</w:t>
            </w:r>
          </w:p>
        </w:tc>
        <w:tc>
          <w:tcPr>
            <w:tcW w:w="610" w:type="pct"/>
            <w:vMerge w:val="continue"/>
            <w:tcBorders>
              <w:tl2br w:val="nil"/>
              <w:tr2bl w:val="nil"/>
            </w:tcBorders>
            <w:vAlign w:val="center"/>
          </w:tcPr>
          <w:p w14:paraId="5A5CBBD8">
            <w:pPr>
              <w:pStyle w:val="41"/>
              <w:rPr>
                <w:color w:val="auto"/>
                <w:highlight w:val="none"/>
              </w:rPr>
            </w:pPr>
          </w:p>
        </w:tc>
      </w:tr>
      <w:tr w14:paraId="2AC6C7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continue"/>
            <w:tcBorders>
              <w:tl2br w:val="nil"/>
              <w:tr2bl w:val="nil"/>
            </w:tcBorders>
            <w:vAlign w:val="center"/>
          </w:tcPr>
          <w:p w14:paraId="1DB9BEA0">
            <w:pPr>
              <w:pStyle w:val="41"/>
              <w:rPr>
                <w:color w:val="auto"/>
                <w:highlight w:val="none"/>
              </w:rPr>
            </w:pPr>
          </w:p>
        </w:tc>
        <w:tc>
          <w:tcPr>
            <w:tcW w:w="324" w:type="pct"/>
            <w:tcBorders>
              <w:tl2br w:val="nil"/>
              <w:tr2bl w:val="nil"/>
            </w:tcBorders>
            <w:vAlign w:val="center"/>
          </w:tcPr>
          <w:p w14:paraId="79D2C069">
            <w:pPr>
              <w:pStyle w:val="41"/>
              <w:rPr>
                <w:color w:val="auto"/>
                <w:highlight w:val="none"/>
              </w:rPr>
            </w:pPr>
            <w:r>
              <w:rPr>
                <w:rFonts w:hint="eastAsia"/>
                <w:color w:val="auto"/>
                <w:highlight w:val="none"/>
              </w:rPr>
              <w:t>4</w:t>
            </w:r>
          </w:p>
        </w:tc>
        <w:tc>
          <w:tcPr>
            <w:tcW w:w="663" w:type="pct"/>
            <w:tcBorders>
              <w:tl2br w:val="nil"/>
              <w:tr2bl w:val="nil"/>
            </w:tcBorders>
            <w:shd w:val="clear" w:color="auto" w:fill="auto"/>
            <w:vAlign w:val="center"/>
          </w:tcPr>
          <w:p w14:paraId="252C7681">
            <w:pPr>
              <w:pStyle w:val="41"/>
              <w:rPr>
                <w:color w:val="auto"/>
                <w:highlight w:val="none"/>
              </w:rPr>
            </w:pPr>
            <w:r>
              <w:rPr>
                <w:rFonts w:hint="eastAsia"/>
                <w:color w:val="auto"/>
                <w:highlight w:val="none"/>
              </w:rPr>
              <w:t>4</w:t>
            </w:r>
          </w:p>
        </w:tc>
        <w:tc>
          <w:tcPr>
            <w:tcW w:w="696" w:type="pct"/>
            <w:tcBorders>
              <w:tl2br w:val="nil"/>
              <w:tr2bl w:val="nil"/>
            </w:tcBorders>
            <w:shd w:val="clear" w:color="auto" w:fill="auto"/>
            <w:vAlign w:val="center"/>
          </w:tcPr>
          <w:p w14:paraId="35CAFE2B">
            <w:pPr>
              <w:pStyle w:val="41"/>
              <w:rPr>
                <w:color w:val="auto"/>
                <w:highlight w:val="none"/>
              </w:rPr>
            </w:pPr>
            <w:r>
              <w:rPr>
                <w:rFonts w:hint="eastAsia"/>
                <w:color w:val="auto"/>
                <w:highlight w:val="none"/>
              </w:rPr>
              <w:t>0.0035</w:t>
            </w:r>
          </w:p>
        </w:tc>
        <w:tc>
          <w:tcPr>
            <w:tcW w:w="469" w:type="pct"/>
            <w:tcBorders>
              <w:tl2br w:val="nil"/>
              <w:tr2bl w:val="nil"/>
            </w:tcBorders>
            <w:vAlign w:val="center"/>
          </w:tcPr>
          <w:p w14:paraId="47858027">
            <w:pPr>
              <w:pStyle w:val="41"/>
              <w:rPr>
                <w:color w:val="auto"/>
                <w:highlight w:val="none"/>
              </w:rPr>
            </w:pPr>
            <w:r>
              <w:rPr>
                <w:rFonts w:hint="eastAsia"/>
                <w:color w:val="auto"/>
                <w:highlight w:val="none"/>
              </w:rPr>
              <w:t>10</w:t>
            </w:r>
          </w:p>
        </w:tc>
        <w:tc>
          <w:tcPr>
            <w:tcW w:w="699" w:type="pct"/>
            <w:tcBorders>
              <w:tl2br w:val="nil"/>
              <w:tr2bl w:val="nil"/>
            </w:tcBorders>
            <w:vAlign w:val="center"/>
          </w:tcPr>
          <w:p w14:paraId="67922B69">
            <w:pPr>
              <w:pStyle w:val="41"/>
              <w:rPr>
                <w:color w:val="auto"/>
                <w:highlight w:val="none"/>
              </w:rPr>
            </w:pPr>
            <w:r>
              <w:rPr>
                <w:rFonts w:hint="eastAsia"/>
                <w:color w:val="auto"/>
                <w:highlight w:val="none"/>
              </w:rPr>
              <w:t>0.0129</w:t>
            </w:r>
          </w:p>
        </w:tc>
        <w:tc>
          <w:tcPr>
            <w:tcW w:w="523" w:type="pct"/>
            <w:tcBorders>
              <w:tl2br w:val="nil"/>
              <w:tr2bl w:val="nil"/>
            </w:tcBorders>
            <w:vAlign w:val="center"/>
          </w:tcPr>
          <w:p w14:paraId="6D9853C7">
            <w:pPr>
              <w:pStyle w:val="41"/>
              <w:rPr>
                <w:color w:val="auto"/>
                <w:highlight w:val="none"/>
              </w:rPr>
            </w:pPr>
            <w:r>
              <w:rPr>
                <w:rFonts w:hint="eastAsia"/>
                <w:color w:val="auto"/>
                <w:highlight w:val="none"/>
              </w:rPr>
              <w:t>30</w:t>
            </w:r>
          </w:p>
        </w:tc>
        <w:tc>
          <w:tcPr>
            <w:tcW w:w="697" w:type="pct"/>
            <w:tcBorders>
              <w:tl2br w:val="nil"/>
              <w:tr2bl w:val="nil"/>
            </w:tcBorders>
            <w:vAlign w:val="center"/>
          </w:tcPr>
          <w:p w14:paraId="07D2E412">
            <w:pPr>
              <w:pStyle w:val="41"/>
              <w:rPr>
                <w:color w:val="auto"/>
                <w:highlight w:val="none"/>
              </w:rPr>
            </w:pPr>
            <w:r>
              <w:rPr>
                <w:rFonts w:hint="eastAsia"/>
                <w:color w:val="auto"/>
                <w:highlight w:val="none"/>
              </w:rPr>
              <w:t>0.0080</w:t>
            </w:r>
          </w:p>
        </w:tc>
        <w:tc>
          <w:tcPr>
            <w:tcW w:w="610" w:type="pct"/>
            <w:vMerge w:val="continue"/>
            <w:tcBorders>
              <w:tl2br w:val="nil"/>
              <w:tr2bl w:val="nil"/>
            </w:tcBorders>
            <w:vAlign w:val="center"/>
          </w:tcPr>
          <w:p w14:paraId="408433DF">
            <w:pPr>
              <w:pStyle w:val="41"/>
              <w:rPr>
                <w:color w:val="auto"/>
                <w:highlight w:val="none"/>
              </w:rPr>
            </w:pPr>
          </w:p>
        </w:tc>
      </w:tr>
      <w:tr w14:paraId="01F9DC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continue"/>
            <w:tcBorders>
              <w:tl2br w:val="nil"/>
              <w:tr2bl w:val="nil"/>
            </w:tcBorders>
            <w:vAlign w:val="center"/>
          </w:tcPr>
          <w:p w14:paraId="26E922FB">
            <w:pPr>
              <w:pStyle w:val="41"/>
              <w:rPr>
                <w:color w:val="auto"/>
                <w:highlight w:val="none"/>
              </w:rPr>
            </w:pPr>
          </w:p>
        </w:tc>
        <w:tc>
          <w:tcPr>
            <w:tcW w:w="324" w:type="pct"/>
            <w:tcBorders>
              <w:tl2br w:val="nil"/>
              <w:tr2bl w:val="nil"/>
            </w:tcBorders>
            <w:vAlign w:val="center"/>
          </w:tcPr>
          <w:p w14:paraId="58EFCD0D">
            <w:pPr>
              <w:pStyle w:val="41"/>
              <w:rPr>
                <w:color w:val="auto"/>
                <w:highlight w:val="none"/>
              </w:rPr>
            </w:pPr>
            <w:r>
              <w:rPr>
                <w:rFonts w:hint="eastAsia"/>
                <w:color w:val="auto"/>
                <w:highlight w:val="none"/>
              </w:rPr>
              <w:t>5</w:t>
            </w:r>
          </w:p>
        </w:tc>
        <w:tc>
          <w:tcPr>
            <w:tcW w:w="663" w:type="pct"/>
            <w:tcBorders>
              <w:tl2br w:val="nil"/>
              <w:tr2bl w:val="nil"/>
            </w:tcBorders>
            <w:vAlign w:val="center"/>
          </w:tcPr>
          <w:p w14:paraId="029A4BB6">
            <w:pPr>
              <w:pStyle w:val="41"/>
              <w:rPr>
                <w:color w:val="auto"/>
                <w:highlight w:val="none"/>
              </w:rPr>
            </w:pPr>
            <w:r>
              <w:rPr>
                <w:rFonts w:hint="eastAsia"/>
                <w:color w:val="auto"/>
                <w:highlight w:val="none"/>
              </w:rPr>
              <w:t>6</w:t>
            </w:r>
          </w:p>
        </w:tc>
        <w:tc>
          <w:tcPr>
            <w:tcW w:w="696" w:type="pct"/>
            <w:tcBorders>
              <w:tl2br w:val="nil"/>
              <w:tr2bl w:val="nil"/>
            </w:tcBorders>
            <w:vAlign w:val="center"/>
          </w:tcPr>
          <w:p w14:paraId="74572C60">
            <w:pPr>
              <w:pStyle w:val="41"/>
              <w:rPr>
                <w:color w:val="auto"/>
                <w:highlight w:val="none"/>
              </w:rPr>
            </w:pPr>
            <w:r>
              <w:rPr>
                <w:rFonts w:hint="eastAsia"/>
                <w:color w:val="auto"/>
                <w:highlight w:val="none"/>
              </w:rPr>
              <w:t>3.16×10</w:t>
            </w:r>
            <w:r>
              <w:rPr>
                <w:rFonts w:hint="eastAsia"/>
                <w:color w:val="auto"/>
                <w:highlight w:val="none"/>
                <w:vertAlign w:val="superscript"/>
              </w:rPr>
              <w:t>-4</w:t>
            </w:r>
          </w:p>
        </w:tc>
        <w:tc>
          <w:tcPr>
            <w:tcW w:w="469" w:type="pct"/>
            <w:tcBorders>
              <w:tl2br w:val="nil"/>
              <w:tr2bl w:val="nil"/>
            </w:tcBorders>
            <w:vAlign w:val="center"/>
          </w:tcPr>
          <w:p w14:paraId="4F4E65F9">
            <w:pPr>
              <w:pStyle w:val="41"/>
              <w:rPr>
                <w:color w:val="auto"/>
                <w:highlight w:val="none"/>
              </w:rPr>
            </w:pPr>
            <w:r>
              <w:rPr>
                <w:rFonts w:hint="eastAsia"/>
                <w:color w:val="auto"/>
                <w:highlight w:val="none"/>
              </w:rPr>
              <w:t>15</w:t>
            </w:r>
          </w:p>
        </w:tc>
        <w:tc>
          <w:tcPr>
            <w:tcW w:w="699" w:type="pct"/>
            <w:tcBorders>
              <w:tl2br w:val="nil"/>
              <w:tr2bl w:val="nil"/>
            </w:tcBorders>
            <w:vAlign w:val="center"/>
          </w:tcPr>
          <w:p w14:paraId="0DAADF0C">
            <w:pPr>
              <w:pStyle w:val="41"/>
              <w:rPr>
                <w:color w:val="auto"/>
                <w:highlight w:val="none"/>
              </w:rPr>
            </w:pPr>
            <w:r>
              <w:rPr>
                <w:rFonts w:hint="eastAsia"/>
                <w:color w:val="auto"/>
                <w:highlight w:val="none"/>
              </w:rPr>
              <w:t>0.0037</w:t>
            </w:r>
          </w:p>
        </w:tc>
        <w:tc>
          <w:tcPr>
            <w:tcW w:w="523" w:type="pct"/>
            <w:tcBorders>
              <w:tl2br w:val="nil"/>
              <w:tr2bl w:val="nil"/>
            </w:tcBorders>
            <w:vAlign w:val="center"/>
          </w:tcPr>
          <w:p w14:paraId="6F3B7DD0">
            <w:pPr>
              <w:pStyle w:val="41"/>
              <w:rPr>
                <w:color w:val="auto"/>
                <w:highlight w:val="none"/>
              </w:rPr>
            </w:pPr>
            <w:r>
              <w:rPr>
                <w:rFonts w:hint="eastAsia"/>
                <w:color w:val="auto"/>
                <w:highlight w:val="none"/>
              </w:rPr>
              <w:t>45</w:t>
            </w:r>
          </w:p>
        </w:tc>
        <w:tc>
          <w:tcPr>
            <w:tcW w:w="697" w:type="pct"/>
            <w:tcBorders>
              <w:tl2br w:val="nil"/>
              <w:tr2bl w:val="nil"/>
            </w:tcBorders>
            <w:vAlign w:val="center"/>
          </w:tcPr>
          <w:p w14:paraId="58568614">
            <w:pPr>
              <w:pStyle w:val="41"/>
              <w:rPr>
                <w:color w:val="auto"/>
                <w:highlight w:val="none"/>
              </w:rPr>
            </w:pPr>
            <w:r>
              <w:rPr>
                <w:rFonts w:hint="eastAsia"/>
                <w:color w:val="auto"/>
                <w:highlight w:val="none"/>
              </w:rPr>
              <w:t>0.0007</w:t>
            </w:r>
          </w:p>
        </w:tc>
        <w:tc>
          <w:tcPr>
            <w:tcW w:w="610" w:type="pct"/>
            <w:vMerge w:val="continue"/>
            <w:tcBorders>
              <w:tl2br w:val="nil"/>
              <w:tr2bl w:val="nil"/>
            </w:tcBorders>
            <w:vAlign w:val="center"/>
          </w:tcPr>
          <w:p w14:paraId="0A628E4D">
            <w:pPr>
              <w:pStyle w:val="41"/>
              <w:rPr>
                <w:color w:val="auto"/>
                <w:highlight w:val="none"/>
              </w:rPr>
            </w:pPr>
          </w:p>
        </w:tc>
      </w:tr>
      <w:tr w14:paraId="30F968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continue"/>
            <w:tcBorders>
              <w:tl2br w:val="nil"/>
              <w:tr2bl w:val="nil"/>
            </w:tcBorders>
            <w:vAlign w:val="center"/>
          </w:tcPr>
          <w:p w14:paraId="697C4593">
            <w:pPr>
              <w:pStyle w:val="41"/>
              <w:rPr>
                <w:color w:val="auto"/>
                <w:highlight w:val="none"/>
              </w:rPr>
            </w:pPr>
          </w:p>
        </w:tc>
        <w:tc>
          <w:tcPr>
            <w:tcW w:w="324" w:type="pct"/>
            <w:tcBorders>
              <w:tl2br w:val="nil"/>
              <w:tr2bl w:val="nil"/>
            </w:tcBorders>
            <w:vAlign w:val="center"/>
          </w:tcPr>
          <w:p w14:paraId="5F860A98">
            <w:pPr>
              <w:pStyle w:val="41"/>
              <w:rPr>
                <w:color w:val="auto"/>
                <w:highlight w:val="none"/>
              </w:rPr>
            </w:pPr>
            <w:r>
              <w:rPr>
                <w:rFonts w:hint="eastAsia"/>
                <w:color w:val="auto"/>
                <w:highlight w:val="none"/>
              </w:rPr>
              <w:t>6</w:t>
            </w:r>
          </w:p>
        </w:tc>
        <w:tc>
          <w:tcPr>
            <w:tcW w:w="663" w:type="pct"/>
            <w:tcBorders>
              <w:tl2br w:val="nil"/>
              <w:tr2bl w:val="nil"/>
            </w:tcBorders>
            <w:vAlign w:val="center"/>
          </w:tcPr>
          <w:p w14:paraId="3451532B">
            <w:pPr>
              <w:pStyle w:val="41"/>
              <w:rPr>
                <w:color w:val="auto"/>
                <w:highlight w:val="none"/>
              </w:rPr>
            </w:pPr>
            <w:r>
              <w:rPr>
                <w:rFonts w:hint="eastAsia"/>
                <w:color w:val="auto"/>
                <w:highlight w:val="none"/>
              </w:rPr>
              <w:t>8</w:t>
            </w:r>
          </w:p>
        </w:tc>
        <w:tc>
          <w:tcPr>
            <w:tcW w:w="696" w:type="pct"/>
            <w:tcBorders>
              <w:tl2br w:val="nil"/>
              <w:tr2bl w:val="nil"/>
            </w:tcBorders>
            <w:vAlign w:val="center"/>
          </w:tcPr>
          <w:p w14:paraId="2EF06C51">
            <w:pPr>
              <w:pStyle w:val="41"/>
              <w:rPr>
                <w:color w:val="auto"/>
                <w:highlight w:val="none"/>
              </w:rPr>
            </w:pPr>
            <w:r>
              <w:rPr>
                <w:rFonts w:hint="eastAsia"/>
                <w:color w:val="auto"/>
                <w:highlight w:val="none"/>
              </w:rPr>
              <w:t>1.25×10</w:t>
            </w:r>
            <w:r>
              <w:rPr>
                <w:rFonts w:hint="eastAsia"/>
                <w:color w:val="auto"/>
                <w:highlight w:val="none"/>
                <w:vertAlign w:val="superscript"/>
              </w:rPr>
              <w:t>-5</w:t>
            </w:r>
          </w:p>
        </w:tc>
        <w:tc>
          <w:tcPr>
            <w:tcW w:w="469" w:type="pct"/>
            <w:tcBorders>
              <w:tl2br w:val="nil"/>
              <w:tr2bl w:val="nil"/>
            </w:tcBorders>
            <w:vAlign w:val="center"/>
          </w:tcPr>
          <w:p w14:paraId="58783525">
            <w:pPr>
              <w:pStyle w:val="41"/>
              <w:rPr>
                <w:color w:val="auto"/>
                <w:highlight w:val="none"/>
              </w:rPr>
            </w:pPr>
            <w:r>
              <w:rPr>
                <w:rFonts w:hint="eastAsia"/>
                <w:color w:val="auto"/>
                <w:highlight w:val="none"/>
              </w:rPr>
              <w:t>20</w:t>
            </w:r>
          </w:p>
        </w:tc>
        <w:tc>
          <w:tcPr>
            <w:tcW w:w="699" w:type="pct"/>
            <w:tcBorders>
              <w:tl2br w:val="nil"/>
              <w:tr2bl w:val="nil"/>
            </w:tcBorders>
            <w:vAlign w:val="center"/>
          </w:tcPr>
          <w:p w14:paraId="169B9E7E">
            <w:pPr>
              <w:pStyle w:val="41"/>
              <w:rPr>
                <w:color w:val="auto"/>
                <w:highlight w:val="none"/>
              </w:rPr>
            </w:pPr>
            <w:r>
              <w:rPr>
                <w:rFonts w:hint="eastAsia"/>
                <w:color w:val="auto"/>
                <w:highlight w:val="none"/>
              </w:rPr>
              <w:t>0.0006</w:t>
            </w:r>
          </w:p>
        </w:tc>
        <w:tc>
          <w:tcPr>
            <w:tcW w:w="523" w:type="pct"/>
            <w:tcBorders>
              <w:tl2br w:val="nil"/>
              <w:tr2bl w:val="nil"/>
            </w:tcBorders>
            <w:vAlign w:val="center"/>
          </w:tcPr>
          <w:p w14:paraId="6B1BF747">
            <w:pPr>
              <w:pStyle w:val="41"/>
              <w:rPr>
                <w:color w:val="auto"/>
                <w:highlight w:val="none"/>
              </w:rPr>
            </w:pPr>
            <w:r>
              <w:rPr>
                <w:rFonts w:hint="eastAsia"/>
                <w:color w:val="auto"/>
                <w:highlight w:val="none"/>
              </w:rPr>
              <w:t>60</w:t>
            </w:r>
          </w:p>
        </w:tc>
        <w:tc>
          <w:tcPr>
            <w:tcW w:w="697" w:type="pct"/>
            <w:tcBorders>
              <w:tl2br w:val="nil"/>
              <w:tr2bl w:val="nil"/>
            </w:tcBorders>
            <w:vAlign w:val="center"/>
          </w:tcPr>
          <w:p w14:paraId="2AEA3EC7">
            <w:pPr>
              <w:pStyle w:val="41"/>
              <w:rPr>
                <w:color w:val="auto"/>
                <w:highlight w:val="none"/>
              </w:rPr>
            </w:pPr>
            <w:r>
              <w:rPr>
                <w:rFonts w:hint="eastAsia"/>
                <w:color w:val="auto"/>
                <w:highlight w:val="none"/>
              </w:rPr>
              <w:t>1.77×10</w:t>
            </w:r>
            <w:r>
              <w:rPr>
                <w:rFonts w:hint="eastAsia"/>
                <w:color w:val="auto"/>
                <w:highlight w:val="none"/>
                <w:vertAlign w:val="superscript"/>
              </w:rPr>
              <w:t>-5</w:t>
            </w:r>
          </w:p>
        </w:tc>
        <w:tc>
          <w:tcPr>
            <w:tcW w:w="610" w:type="pct"/>
            <w:vMerge w:val="continue"/>
            <w:tcBorders>
              <w:tl2br w:val="nil"/>
              <w:tr2bl w:val="nil"/>
            </w:tcBorders>
            <w:vAlign w:val="center"/>
          </w:tcPr>
          <w:p w14:paraId="777725FE">
            <w:pPr>
              <w:pStyle w:val="41"/>
              <w:rPr>
                <w:color w:val="auto"/>
                <w:highlight w:val="none"/>
              </w:rPr>
            </w:pPr>
          </w:p>
        </w:tc>
      </w:tr>
      <w:tr w14:paraId="61EBCC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continue"/>
            <w:tcBorders>
              <w:tl2br w:val="nil"/>
              <w:tr2bl w:val="nil"/>
            </w:tcBorders>
            <w:vAlign w:val="center"/>
          </w:tcPr>
          <w:p w14:paraId="6B3D0148">
            <w:pPr>
              <w:pStyle w:val="41"/>
              <w:rPr>
                <w:color w:val="auto"/>
                <w:highlight w:val="none"/>
              </w:rPr>
            </w:pPr>
          </w:p>
        </w:tc>
        <w:tc>
          <w:tcPr>
            <w:tcW w:w="324" w:type="pct"/>
            <w:tcBorders>
              <w:tl2br w:val="nil"/>
              <w:tr2bl w:val="nil"/>
            </w:tcBorders>
            <w:vAlign w:val="center"/>
          </w:tcPr>
          <w:p w14:paraId="1E67056B">
            <w:pPr>
              <w:pStyle w:val="41"/>
              <w:rPr>
                <w:color w:val="auto"/>
                <w:highlight w:val="none"/>
              </w:rPr>
            </w:pPr>
            <w:r>
              <w:rPr>
                <w:rFonts w:hint="eastAsia"/>
                <w:color w:val="auto"/>
                <w:highlight w:val="none"/>
              </w:rPr>
              <w:t>7</w:t>
            </w:r>
          </w:p>
        </w:tc>
        <w:tc>
          <w:tcPr>
            <w:tcW w:w="663" w:type="pct"/>
            <w:tcBorders>
              <w:tl2br w:val="nil"/>
              <w:tr2bl w:val="nil"/>
            </w:tcBorders>
            <w:vAlign w:val="center"/>
          </w:tcPr>
          <w:p w14:paraId="7147A0D3">
            <w:pPr>
              <w:pStyle w:val="41"/>
              <w:rPr>
                <w:color w:val="auto"/>
                <w:highlight w:val="none"/>
              </w:rPr>
            </w:pPr>
            <w:r>
              <w:rPr>
                <w:rFonts w:hint="eastAsia"/>
                <w:color w:val="auto"/>
                <w:highlight w:val="none"/>
              </w:rPr>
              <w:t>10</w:t>
            </w:r>
          </w:p>
        </w:tc>
        <w:tc>
          <w:tcPr>
            <w:tcW w:w="696" w:type="pct"/>
            <w:tcBorders>
              <w:tl2br w:val="nil"/>
              <w:tr2bl w:val="nil"/>
            </w:tcBorders>
            <w:vAlign w:val="center"/>
          </w:tcPr>
          <w:p w14:paraId="63F1BF61">
            <w:pPr>
              <w:pStyle w:val="41"/>
              <w:rPr>
                <w:color w:val="auto"/>
                <w:highlight w:val="none"/>
              </w:rPr>
            </w:pPr>
            <w:r>
              <w:rPr>
                <w:rFonts w:hint="eastAsia"/>
                <w:color w:val="auto"/>
                <w:highlight w:val="none"/>
              </w:rPr>
              <w:t>2.08×10</w:t>
            </w:r>
            <w:r>
              <w:rPr>
                <w:rFonts w:hint="eastAsia"/>
                <w:color w:val="auto"/>
                <w:highlight w:val="none"/>
                <w:vertAlign w:val="superscript"/>
              </w:rPr>
              <w:t>-7</w:t>
            </w:r>
          </w:p>
        </w:tc>
        <w:tc>
          <w:tcPr>
            <w:tcW w:w="469" w:type="pct"/>
            <w:tcBorders>
              <w:tl2br w:val="nil"/>
              <w:tr2bl w:val="nil"/>
            </w:tcBorders>
            <w:vAlign w:val="center"/>
          </w:tcPr>
          <w:p w14:paraId="4C47C879">
            <w:pPr>
              <w:pStyle w:val="41"/>
              <w:rPr>
                <w:color w:val="auto"/>
                <w:highlight w:val="none"/>
              </w:rPr>
            </w:pPr>
            <w:r>
              <w:rPr>
                <w:rFonts w:hint="eastAsia"/>
                <w:color w:val="auto"/>
                <w:highlight w:val="none"/>
              </w:rPr>
              <w:t>30</w:t>
            </w:r>
          </w:p>
        </w:tc>
        <w:tc>
          <w:tcPr>
            <w:tcW w:w="699" w:type="pct"/>
            <w:tcBorders>
              <w:tl2br w:val="nil"/>
              <w:tr2bl w:val="nil"/>
            </w:tcBorders>
            <w:vAlign w:val="center"/>
          </w:tcPr>
          <w:p w14:paraId="78E2BACC">
            <w:pPr>
              <w:pStyle w:val="41"/>
              <w:rPr>
                <w:color w:val="auto"/>
                <w:highlight w:val="none"/>
              </w:rPr>
            </w:pPr>
            <w:r>
              <w:rPr>
                <w:rFonts w:hint="eastAsia"/>
                <w:color w:val="auto"/>
                <w:highlight w:val="none"/>
              </w:rPr>
              <w:t>4.19×10</w:t>
            </w:r>
            <w:r>
              <w:rPr>
                <w:rFonts w:hint="eastAsia"/>
                <w:color w:val="auto"/>
                <w:highlight w:val="none"/>
                <w:vertAlign w:val="superscript"/>
              </w:rPr>
              <w:t>-6</w:t>
            </w:r>
          </w:p>
        </w:tc>
        <w:tc>
          <w:tcPr>
            <w:tcW w:w="523" w:type="pct"/>
            <w:tcBorders>
              <w:tl2br w:val="nil"/>
              <w:tr2bl w:val="nil"/>
            </w:tcBorders>
            <w:vAlign w:val="center"/>
          </w:tcPr>
          <w:p w14:paraId="2D251314">
            <w:pPr>
              <w:pStyle w:val="41"/>
              <w:rPr>
                <w:color w:val="auto"/>
                <w:highlight w:val="none"/>
              </w:rPr>
            </w:pPr>
            <w:r>
              <w:rPr>
                <w:rFonts w:hint="eastAsia"/>
                <w:color w:val="auto"/>
                <w:highlight w:val="none"/>
              </w:rPr>
              <w:t>75</w:t>
            </w:r>
          </w:p>
        </w:tc>
        <w:tc>
          <w:tcPr>
            <w:tcW w:w="697" w:type="pct"/>
            <w:tcBorders>
              <w:tl2br w:val="nil"/>
              <w:tr2bl w:val="nil"/>
            </w:tcBorders>
            <w:vAlign w:val="center"/>
          </w:tcPr>
          <w:p w14:paraId="0259C08F">
            <w:pPr>
              <w:pStyle w:val="41"/>
              <w:rPr>
                <w:color w:val="auto"/>
                <w:highlight w:val="none"/>
              </w:rPr>
            </w:pPr>
            <w:r>
              <w:rPr>
                <w:rFonts w:hint="eastAsia"/>
                <w:color w:val="auto"/>
                <w:highlight w:val="none"/>
              </w:rPr>
              <w:t>1.19×10</w:t>
            </w:r>
            <w:r>
              <w:rPr>
                <w:rFonts w:hint="eastAsia"/>
                <w:color w:val="auto"/>
                <w:highlight w:val="none"/>
                <w:vertAlign w:val="superscript"/>
              </w:rPr>
              <w:t>-7</w:t>
            </w:r>
          </w:p>
        </w:tc>
        <w:tc>
          <w:tcPr>
            <w:tcW w:w="610" w:type="pct"/>
            <w:vMerge w:val="continue"/>
            <w:tcBorders>
              <w:tl2br w:val="nil"/>
              <w:tr2bl w:val="nil"/>
            </w:tcBorders>
            <w:vAlign w:val="center"/>
          </w:tcPr>
          <w:p w14:paraId="483CDCB4">
            <w:pPr>
              <w:pStyle w:val="41"/>
              <w:rPr>
                <w:color w:val="auto"/>
                <w:highlight w:val="none"/>
              </w:rPr>
            </w:pPr>
          </w:p>
        </w:tc>
      </w:tr>
      <w:tr w14:paraId="011E70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continue"/>
            <w:tcBorders>
              <w:tl2br w:val="nil"/>
              <w:tr2bl w:val="nil"/>
            </w:tcBorders>
            <w:vAlign w:val="center"/>
          </w:tcPr>
          <w:p w14:paraId="2E0E0C59">
            <w:pPr>
              <w:pStyle w:val="41"/>
              <w:rPr>
                <w:color w:val="auto"/>
                <w:highlight w:val="none"/>
              </w:rPr>
            </w:pPr>
          </w:p>
        </w:tc>
        <w:tc>
          <w:tcPr>
            <w:tcW w:w="324" w:type="pct"/>
            <w:tcBorders>
              <w:tl2br w:val="nil"/>
              <w:tr2bl w:val="nil"/>
            </w:tcBorders>
            <w:vAlign w:val="center"/>
          </w:tcPr>
          <w:p w14:paraId="6BFC8640">
            <w:pPr>
              <w:pStyle w:val="41"/>
              <w:rPr>
                <w:color w:val="auto"/>
                <w:highlight w:val="none"/>
              </w:rPr>
            </w:pPr>
            <w:r>
              <w:rPr>
                <w:rFonts w:hint="eastAsia"/>
                <w:color w:val="auto"/>
                <w:highlight w:val="none"/>
              </w:rPr>
              <w:t>8</w:t>
            </w:r>
          </w:p>
        </w:tc>
        <w:tc>
          <w:tcPr>
            <w:tcW w:w="663" w:type="pct"/>
            <w:tcBorders>
              <w:tl2br w:val="nil"/>
              <w:tr2bl w:val="nil"/>
            </w:tcBorders>
            <w:vAlign w:val="center"/>
          </w:tcPr>
          <w:p w14:paraId="51B72FDF">
            <w:pPr>
              <w:pStyle w:val="41"/>
              <w:rPr>
                <w:color w:val="auto"/>
                <w:highlight w:val="none"/>
              </w:rPr>
            </w:pPr>
            <w:r>
              <w:rPr>
                <w:rFonts w:hint="eastAsia"/>
                <w:color w:val="auto"/>
                <w:highlight w:val="none"/>
              </w:rPr>
              <w:t>13</w:t>
            </w:r>
          </w:p>
        </w:tc>
        <w:tc>
          <w:tcPr>
            <w:tcW w:w="696" w:type="pct"/>
            <w:tcBorders>
              <w:tl2br w:val="nil"/>
              <w:tr2bl w:val="nil"/>
            </w:tcBorders>
            <w:vAlign w:val="center"/>
          </w:tcPr>
          <w:p w14:paraId="7BB46A21">
            <w:pPr>
              <w:pStyle w:val="41"/>
              <w:rPr>
                <w:color w:val="auto"/>
                <w:highlight w:val="none"/>
              </w:rPr>
            </w:pPr>
            <w:r>
              <w:rPr>
                <w:rFonts w:hint="eastAsia"/>
                <w:color w:val="auto"/>
                <w:highlight w:val="none"/>
              </w:rPr>
              <w:t>8.65×10</w:t>
            </w:r>
            <w:r>
              <w:rPr>
                <w:rFonts w:hint="eastAsia"/>
                <w:color w:val="auto"/>
                <w:highlight w:val="none"/>
                <w:vertAlign w:val="superscript"/>
              </w:rPr>
              <w:t>-11</w:t>
            </w:r>
          </w:p>
        </w:tc>
        <w:tc>
          <w:tcPr>
            <w:tcW w:w="469" w:type="pct"/>
            <w:tcBorders>
              <w:tl2br w:val="nil"/>
              <w:tr2bl w:val="nil"/>
            </w:tcBorders>
            <w:vAlign w:val="center"/>
          </w:tcPr>
          <w:p w14:paraId="53587850">
            <w:pPr>
              <w:pStyle w:val="41"/>
              <w:rPr>
                <w:color w:val="auto"/>
                <w:highlight w:val="none"/>
              </w:rPr>
            </w:pPr>
            <w:r>
              <w:rPr>
                <w:rFonts w:hint="eastAsia"/>
                <w:color w:val="auto"/>
                <w:highlight w:val="none"/>
              </w:rPr>
              <w:t>40</w:t>
            </w:r>
          </w:p>
        </w:tc>
        <w:tc>
          <w:tcPr>
            <w:tcW w:w="699" w:type="pct"/>
            <w:tcBorders>
              <w:tl2br w:val="nil"/>
              <w:tr2bl w:val="nil"/>
            </w:tcBorders>
            <w:vAlign w:val="center"/>
          </w:tcPr>
          <w:p w14:paraId="040C6683">
            <w:pPr>
              <w:pStyle w:val="41"/>
              <w:rPr>
                <w:color w:val="auto"/>
                <w:highlight w:val="none"/>
              </w:rPr>
            </w:pPr>
            <w:r>
              <w:rPr>
                <w:rFonts w:hint="eastAsia"/>
                <w:color w:val="auto"/>
                <w:highlight w:val="none"/>
              </w:rPr>
              <w:t>3.04×10</w:t>
            </w:r>
            <w:r>
              <w:rPr>
                <w:rFonts w:hint="eastAsia"/>
                <w:color w:val="auto"/>
                <w:highlight w:val="none"/>
                <w:vertAlign w:val="superscript"/>
              </w:rPr>
              <w:t>-9</w:t>
            </w:r>
          </w:p>
        </w:tc>
        <w:tc>
          <w:tcPr>
            <w:tcW w:w="523" w:type="pct"/>
            <w:tcBorders>
              <w:tl2br w:val="nil"/>
              <w:tr2bl w:val="nil"/>
            </w:tcBorders>
            <w:vAlign w:val="center"/>
          </w:tcPr>
          <w:p w14:paraId="6AC57412">
            <w:pPr>
              <w:pStyle w:val="41"/>
              <w:rPr>
                <w:color w:val="auto"/>
                <w:highlight w:val="none"/>
              </w:rPr>
            </w:pPr>
            <w:r>
              <w:rPr>
                <w:rFonts w:hint="eastAsia"/>
                <w:color w:val="auto"/>
                <w:highlight w:val="none"/>
              </w:rPr>
              <w:t>90</w:t>
            </w:r>
          </w:p>
        </w:tc>
        <w:tc>
          <w:tcPr>
            <w:tcW w:w="697" w:type="pct"/>
            <w:tcBorders>
              <w:tl2br w:val="nil"/>
              <w:tr2bl w:val="nil"/>
            </w:tcBorders>
            <w:vAlign w:val="center"/>
          </w:tcPr>
          <w:p w14:paraId="3402D77E">
            <w:pPr>
              <w:pStyle w:val="41"/>
              <w:rPr>
                <w:color w:val="auto"/>
                <w:highlight w:val="none"/>
              </w:rPr>
            </w:pPr>
            <w:r>
              <w:rPr>
                <w:rFonts w:hint="eastAsia"/>
                <w:color w:val="auto"/>
                <w:highlight w:val="none"/>
              </w:rPr>
              <w:t>2.65×10</w:t>
            </w:r>
            <w:r>
              <w:rPr>
                <w:rFonts w:hint="eastAsia"/>
                <w:color w:val="auto"/>
                <w:highlight w:val="none"/>
                <w:vertAlign w:val="superscript"/>
              </w:rPr>
              <w:t>-10</w:t>
            </w:r>
          </w:p>
        </w:tc>
        <w:tc>
          <w:tcPr>
            <w:tcW w:w="610" w:type="pct"/>
            <w:vMerge w:val="continue"/>
            <w:tcBorders>
              <w:tl2br w:val="nil"/>
              <w:tr2bl w:val="nil"/>
            </w:tcBorders>
            <w:vAlign w:val="center"/>
          </w:tcPr>
          <w:p w14:paraId="6C11C779">
            <w:pPr>
              <w:pStyle w:val="41"/>
              <w:rPr>
                <w:color w:val="auto"/>
                <w:highlight w:val="none"/>
              </w:rPr>
            </w:pPr>
          </w:p>
        </w:tc>
      </w:tr>
      <w:tr w14:paraId="54280C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continue"/>
            <w:tcBorders>
              <w:tl2br w:val="nil"/>
              <w:tr2bl w:val="nil"/>
            </w:tcBorders>
            <w:vAlign w:val="center"/>
          </w:tcPr>
          <w:p w14:paraId="07DB693C">
            <w:pPr>
              <w:pStyle w:val="41"/>
              <w:rPr>
                <w:color w:val="auto"/>
                <w:highlight w:val="none"/>
              </w:rPr>
            </w:pPr>
          </w:p>
        </w:tc>
        <w:tc>
          <w:tcPr>
            <w:tcW w:w="324" w:type="pct"/>
            <w:tcBorders>
              <w:tl2br w:val="nil"/>
              <w:tr2bl w:val="nil"/>
            </w:tcBorders>
            <w:vAlign w:val="center"/>
          </w:tcPr>
          <w:p w14:paraId="0760CBB6">
            <w:pPr>
              <w:pStyle w:val="41"/>
              <w:rPr>
                <w:color w:val="auto"/>
                <w:highlight w:val="none"/>
              </w:rPr>
            </w:pPr>
            <w:r>
              <w:rPr>
                <w:rFonts w:hint="eastAsia"/>
                <w:color w:val="auto"/>
                <w:highlight w:val="none"/>
              </w:rPr>
              <w:t>9</w:t>
            </w:r>
          </w:p>
        </w:tc>
        <w:tc>
          <w:tcPr>
            <w:tcW w:w="663" w:type="pct"/>
            <w:tcBorders>
              <w:tl2br w:val="nil"/>
              <w:tr2bl w:val="nil"/>
            </w:tcBorders>
            <w:vAlign w:val="center"/>
          </w:tcPr>
          <w:p w14:paraId="2773CAD7">
            <w:pPr>
              <w:pStyle w:val="41"/>
              <w:rPr>
                <w:color w:val="auto"/>
                <w:highlight w:val="none"/>
              </w:rPr>
            </w:pPr>
            <w:r>
              <w:rPr>
                <w:rFonts w:hint="eastAsia"/>
                <w:color w:val="auto"/>
                <w:highlight w:val="none"/>
              </w:rPr>
              <w:t>16</w:t>
            </w:r>
          </w:p>
        </w:tc>
        <w:tc>
          <w:tcPr>
            <w:tcW w:w="696" w:type="pct"/>
            <w:tcBorders>
              <w:tl2br w:val="nil"/>
              <w:tr2bl w:val="nil"/>
            </w:tcBorders>
            <w:vAlign w:val="center"/>
          </w:tcPr>
          <w:p w14:paraId="20396167">
            <w:pPr>
              <w:pStyle w:val="41"/>
              <w:rPr>
                <w:color w:val="auto"/>
                <w:highlight w:val="none"/>
              </w:rPr>
            </w:pPr>
            <w:r>
              <w:rPr>
                <w:rFonts w:hint="eastAsia"/>
                <w:color w:val="auto"/>
                <w:highlight w:val="none"/>
              </w:rPr>
              <w:t>5.19×10</w:t>
            </w:r>
            <w:r>
              <w:rPr>
                <w:rFonts w:hint="eastAsia"/>
                <w:color w:val="auto"/>
                <w:highlight w:val="none"/>
                <w:vertAlign w:val="superscript"/>
              </w:rPr>
              <w:t>-15</w:t>
            </w:r>
          </w:p>
        </w:tc>
        <w:tc>
          <w:tcPr>
            <w:tcW w:w="469" w:type="pct"/>
            <w:tcBorders>
              <w:tl2br w:val="nil"/>
              <w:tr2bl w:val="nil"/>
            </w:tcBorders>
            <w:vAlign w:val="center"/>
          </w:tcPr>
          <w:p w14:paraId="545A6C98">
            <w:pPr>
              <w:pStyle w:val="41"/>
              <w:rPr>
                <w:color w:val="auto"/>
                <w:highlight w:val="none"/>
              </w:rPr>
            </w:pPr>
            <w:r>
              <w:rPr>
                <w:rFonts w:hint="eastAsia"/>
                <w:color w:val="auto"/>
                <w:highlight w:val="none"/>
              </w:rPr>
              <w:t>50</w:t>
            </w:r>
          </w:p>
        </w:tc>
        <w:tc>
          <w:tcPr>
            <w:tcW w:w="699" w:type="pct"/>
            <w:tcBorders>
              <w:tl2br w:val="nil"/>
              <w:tr2bl w:val="nil"/>
            </w:tcBorders>
            <w:vAlign w:val="center"/>
          </w:tcPr>
          <w:p w14:paraId="2C04DFF2">
            <w:pPr>
              <w:pStyle w:val="41"/>
              <w:rPr>
                <w:color w:val="auto"/>
                <w:highlight w:val="none"/>
              </w:rPr>
            </w:pPr>
            <w:r>
              <w:rPr>
                <w:rFonts w:hint="eastAsia"/>
                <w:color w:val="auto"/>
                <w:highlight w:val="none"/>
              </w:rPr>
              <w:t>2.33×10</w:t>
            </w:r>
            <w:r>
              <w:rPr>
                <w:rFonts w:hint="eastAsia"/>
                <w:color w:val="auto"/>
                <w:highlight w:val="none"/>
                <w:vertAlign w:val="superscript"/>
              </w:rPr>
              <w:t>-13</w:t>
            </w:r>
          </w:p>
        </w:tc>
        <w:tc>
          <w:tcPr>
            <w:tcW w:w="523" w:type="pct"/>
            <w:tcBorders>
              <w:tl2br w:val="nil"/>
              <w:tr2bl w:val="nil"/>
            </w:tcBorders>
            <w:vAlign w:val="center"/>
          </w:tcPr>
          <w:p w14:paraId="5210051B">
            <w:pPr>
              <w:pStyle w:val="41"/>
              <w:rPr>
                <w:color w:val="auto"/>
                <w:highlight w:val="none"/>
              </w:rPr>
            </w:pPr>
            <w:r>
              <w:rPr>
                <w:rFonts w:hint="eastAsia"/>
                <w:color w:val="auto"/>
                <w:highlight w:val="none"/>
              </w:rPr>
              <w:t>105</w:t>
            </w:r>
          </w:p>
        </w:tc>
        <w:tc>
          <w:tcPr>
            <w:tcW w:w="697" w:type="pct"/>
            <w:tcBorders>
              <w:tl2br w:val="nil"/>
              <w:tr2bl w:val="nil"/>
            </w:tcBorders>
            <w:vAlign w:val="center"/>
          </w:tcPr>
          <w:p w14:paraId="4BA0AD82">
            <w:pPr>
              <w:pStyle w:val="41"/>
              <w:rPr>
                <w:color w:val="auto"/>
                <w:highlight w:val="none"/>
              </w:rPr>
            </w:pPr>
            <w:r>
              <w:rPr>
                <w:rFonts w:hint="eastAsia"/>
                <w:color w:val="auto"/>
                <w:highlight w:val="none"/>
              </w:rPr>
              <w:t>4.73×10</w:t>
            </w:r>
            <w:r>
              <w:rPr>
                <w:rFonts w:hint="eastAsia"/>
                <w:color w:val="auto"/>
                <w:highlight w:val="none"/>
                <w:vertAlign w:val="superscript"/>
              </w:rPr>
              <w:t>-14</w:t>
            </w:r>
          </w:p>
        </w:tc>
        <w:tc>
          <w:tcPr>
            <w:tcW w:w="610" w:type="pct"/>
            <w:vMerge w:val="continue"/>
            <w:tcBorders>
              <w:tl2br w:val="nil"/>
              <w:tr2bl w:val="nil"/>
            </w:tcBorders>
            <w:vAlign w:val="center"/>
          </w:tcPr>
          <w:p w14:paraId="6E2D1FC0">
            <w:pPr>
              <w:pStyle w:val="41"/>
              <w:rPr>
                <w:color w:val="auto"/>
                <w:highlight w:val="none"/>
              </w:rPr>
            </w:pPr>
          </w:p>
        </w:tc>
      </w:tr>
      <w:tr w14:paraId="1BEB0F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314" w:type="pct"/>
            <w:vMerge w:val="continue"/>
            <w:tcBorders>
              <w:tl2br w:val="nil"/>
              <w:tr2bl w:val="nil"/>
            </w:tcBorders>
            <w:vAlign w:val="center"/>
          </w:tcPr>
          <w:p w14:paraId="1F76442F">
            <w:pPr>
              <w:pStyle w:val="41"/>
              <w:rPr>
                <w:color w:val="auto"/>
                <w:highlight w:val="none"/>
              </w:rPr>
            </w:pPr>
          </w:p>
        </w:tc>
        <w:tc>
          <w:tcPr>
            <w:tcW w:w="324" w:type="pct"/>
            <w:tcBorders>
              <w:tl2br w:val="nil"/>
              <w:tr2bl w:val="nil"/>
            </w:tcBorders>
            <w:vAlign w:val="center"/>
          </w:tcPr>
          <w:p w14:paraId="17227314">
            <w:pPr>
              <w:pStyle w:val="41"/>
              <w:rPr>
                <w:color w:val="auto"/>
                <w:highlight w:val="none"/>
              </w:rPr>
            </w:pPr>
            <w:r>
              <w:rPr>
                <w:rFonts w:hint="eastAsia"/>
                <w:color w:val="auto"/>
                <w:highlight w:val="none"/>
              </w:rPr>
              <w:t>10</w:t>
            </w:r>
          </w:p>
        </w:tc>
        <w:tc>
          <w:tcPr>
            <w:tcW w:w="663" w:type="pct"/>
            <w:tcBorders>
              <w:tl2br w:val="nil"/>
              <w:tr2bl w:val="nil"/>
            </w:tcBorders>
            <w:vAlign w:val="center"/>
          </w:tcPr>
          <w:p w14:paraId="1FA57BFE">
            <w:pPr>
              <w:pStyle w:val="41"/>
              <w:rPr>
                <w:color w:val="auto"/>
                <w:highlight w:val="none"/>
              </w:rPr>
            </w:pPr>
            <w:r>
              <w:rPr>
                <w:rFonts w:hint="eastAsia"/>
                <w:color w:val="auto"/>
                <w:highlight w:val="none"/>
              </w:rPr>
              <w:t>19</w:t>
            </w:r>
          </w:p>
        </w:tc>
        <w:tc>
          <w:tcPr>
            <w:tcW w:w="696" w:type="pct"/>
            <w:tcBorders>
              <w:tl2br w:val="nil"/>
              <w:tr2bl w:val="nil"/>
            </w:tcBorders>
            <w:vAlign w:val="center"/>
          </w:tcPr>
          <w:p w14:paraId="2A927BD1">
            <w:pPr>
              <w:pStyle w:val="41"/>
              <w:rPr>
                <w:color w:val="auto"/>
                <w:highlight w:val="none"/>
              </w:rPr>
            </w:pPr>
            <w:r>
              <w:rPr>
                <w:rFonts w:hint="eastAsia"/>
                <w:color w:val="auto"/>
                <w:highlight w:val="none"/>
              </w:rPr>
              <w:t>0</w:t>
            </w:r>
          </w:p>
        </w:tc>
        <w:tc>
          <w:tcPr>
            <w:tcW w:w="469" w:type="pct"/>
            <w:tcBorders>
              <w:tl2br w:val="nil"/>
              <w:tr2bl w:val="nil"/>
            </w:tcBorders>
            <w:vAlign w:val="center"/>
          </w:tcPr>
          <w:p w14:paraId="50A4D1C6">
            <w:pPr>
              <w:pStyle w:val="41"/>
              <w:rPr>
                <w:color w:val="auto"/>
                <w:highlight w:val="none"/>
              </w:rPr>
            </w:pPr>
            <w:r>
              <w:rPr>
                <w:rFonts w:hint="eastAsia"/>
                <w:color w:val="auto"/>
                <w:highlight w:val="none"/>
              </w:rPr>
              <w:t>60</w:t>
            </w:r>
          </w:p>
        </w:tc>
        <w:tc>
          <w:tcPr>
            <w:tcW w:w="699" w:type="pct"/>
            <w:tcBorders>
              <w:tl2br w:val="nil"/>
              <w:tr2bl w:val="nil"/>
            </w:tcBorders>
            <w:vAlign w:val="center"/>
          </w:tcPr>
          <w:p w14:paraId="5E107264">
            <w:pPr>
              <w:pStyle w:val="41"/>
              <w:rPr>
                <w:color w:val="auto"/>
                <w:highlight w:val="none"/>
              </w:rPr>
            </w:pPr>
            <w:r>
              <w:rPr>
                <w:rFonts w:hint="eastAsia"/>
                <w:color w:val="auto"/>
                <w:highlight w:val="none"/>
              </w:rPr>
              <w:t>0</w:t>
            </w:r>
          </w:p>
        </w:tc>
        <w:tc>
          <w:tcPr>
            <w:tcW w:w="523" w:type="pct"/>
            <w:tcBorders>
              <w:tl2br w:val="nil"/>
              <w:tr2bl w:val="nil"/>
            </w:tcBorders>
            <w:vAlign w:val="center"/>
          </w:tcPr>
          <w:p w14:paraId="380161E3">
            <w:pPr>
              <w:pStyle w:val="41"/>
              <w:rPr>
                <w:color w:val="auto"/>
                <w:highlight w:val="none"/>
              </w:rPr>
            </w:pPr>
            <w:r>
              <w:rPr>
                <w:rFonts w:hint="eastAsia"/>
                <w:color w:val="auto"/>
                <w:highlight w:val="none"/>
              </w:rPr>
              <w:t>123</w:t>
            </w:r>
          </w:p>
        </w:tc>
        <w:tc>
          <w:tcPr>
            <w:tcW w:w="697" w:type="pct"/>
            <w:tcBorders>
              <w:tl2br w:val="nil"/>
              <w:tr2bl w:val="nil"/>
            </w:tcBorders>
            <w:vAlign w:val="center"/>
          </w:tcPr>
          <w:p w14:paraId="28150919">
            <w:pPr>
              <w:pStyle w:val="41"/>
              <w:rPr>
                <w:color w:val="auto"/>
                <w:highlight w:val="none"/>
              </w:rPr>
            </w:pPr>
            <w:r>
              <w:rPr>
                <w:rFonts w:hint="eastAsia"/>
                <w:color w:val="auto"/>
                <w:highlight w:val="none"/>
              </w:rPr>
              <w:t>0</w:t>
            </w:r>
          </w:p>
        </w:tc>
        <w:tc>
          <w:tcPr>
            <w:tcW w:w="610" w:type="pct"/>
            <w:vMerge w:val="continue"/>
            <w:tcBorders>
              <w:tl2br w:val="nil"/>
              <w:tr2bl w:val="nil"/>
            </w:tcBorders>
            <w:vAlign w:val="center"/>
          </w:tcPr>
          <w:p w14:paraId="4A0AD06F">
            <w:pPr>
              <w:pStyle w:val="41"/>
              <w:rPr>
                <w:color w:val="auto"/>
                <w:highlight w:val="none"/>
              </w:rPr>
            </w:pPr>
          </w:p>
        </w:tc>
      </w:tr>
      <w:tr w14:paraId="472632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restart"/>
            <w:tcBorders>
              <w:tl2br w:val="nil"/>
              <w:tr2bl w:val="nil"/>
            </w:tcBorders>
            <w:vAlign w:val="center"/>
          </w:tcPr>
          <w:p w14:paraId="23C592DA">
            <w:pPr>
              <w:pStyle w:val="41"/>
              <w:rPr>
                <w:color w:val="auto"/>
                <w:highlight w:val="none"/>
              </w:rPr>
            </w:pPr>
            <w:r>
              <w:rPr>
                <w:rFonts w:hint="eastAsia"/>
                <w:color w:val="auto"/>
                <w:highlight w:val="none"/>
              </w:rPr>
              <w:t>铅</w:t>
            </w:r>
          </w:p>
        </w:tc>
        <w:tc>
          <w:tcPr>
            <w:tcW w:w="324" w:type="pct"/>
            <w:vMerge w:val="restart"/>
            <w:tcBorders>
              <w:tl2br w:val="nil"/>
              <w:tr2bl w:val="nil"/>
            </w:tcBorders>
            <w:shd w:val="clear" w:color="auto" w:fill="auto"/>
            <w:vAlign w:val="center"/>
          </w:tcPr>
          <w:p w14:paraId="6D9F8CB6">
            <w:pPr>
              <w:pStyle w:val="41"/>
              <w:rPr>
                <w:color w:val="auto"/>
                <w:highlight w:val="none"/>
              </w:rPr>
            </w:pPr>
            <w:r>
              <w:rPr>
                <w:rFonts w:hint="eastAsia"/>
                <w:color w:val="auto"/>
                <w:highlight w:val="none"/>
              </w:rPr>
              <w:t>序号</w:t>
            </w:r>
          </w:p>
        </w:tc>
        <w:tc>
          <w:tcPr>
            <w:tcW w:w="1359" w:type="pct"/>
            <w:gridSpan w:val="2"/>
            <w:tcBorders>
              <w:tl2br w:val="nil"/>
              <w:tr2bl w:val="nil"/>
            </w:tcBorders>
            <w:shd w:val="clear" w:color="auto" w:fill="auto"/>
            <w:vAlign w:val="center"/>
          </w:tcPr>
          <w:p w14:paraId="1CE601F4">
            <w:pPr>
              <w:pStyle w:val="41"/>
              <w:rPr>
                <w:color w:val="auto"/>
                <w:highlight w:val="none"/>
              </w:rPr>
            </w:pPr>
            <w:r>
              <w:rPr>
                <w:rFonts w:hint="eastAsia"/>
                <w:color w:val="auto"/>
                <w:highlight w:val="none"/>
              </w:rPr>
              <w:t>100d</w:t>
            </w:r>
          </w:p>
        </w:tc>
        <w:tc>
          <w:tcPr>
            <w:tcW w:w="1169" w:type="pct"/>
            <w:gridSpan w:val="2"/>
            <w:tcBorders>
              <w:tl2br w:val="nil"/>
              <w:tr2bl w:val="nil"/>
            </w:tcBorders>
            <w:shd w:val="clear" w:color="auto" w:fill="auto"/>
            <w:vAlign w:val="center"/>
          </w:tcPr>
          <w:p w14:paraId="3EE5AD68">
            <w:pPr>
              <w:pStyle w:val="41"/>
              <w:rPr>
                <w:color w:val="auto"/>
                <w:highlight w:val="none"/>
              </w:rPr>
            </w:pPr>
            <w:r>
              <w:rPr>
                <w:rFonts w:hint="eastAsia"/>
                <w:color w:val="auto"/>
                <w:highlight w:val="none"/>
              </w:rPr>
              <w:t>1000d</w:t>
            </w:r>
          </w:p>
        </w:tc>
        <w:tc>
          <w:tcPr>
            <w:tcW w:w="1220" w:type="pct"/>
            <w:gridSpan w:val="2"/>
            <w:tcBorders>
              <w:tl2br w:val="nil"/>
              <w:tr2bl w:val="nil"/>
            </w:tcBorders>
            <w:vAlign w:val="center"/>
          </w:tcPr>
          <w:p w14:paraId="0C3A385D">
            <w:pPr>
              <w:pStyle w:val="41"/>
              <w:rPr>
                <w:color w:val="auto"/>
                <w:highlight w:val="none"/>
              </w:rPr>
            </w:pPr>
            <w:r>
              <w:rPr>
                <w:rFonts w:hint="eastAsia"/>
                <w:color w:val="auto"/>
                <w:highlight w:val="none"/>
              </w:rPr>
              <w:t>3650d</w:t>
            </w:r>
          </w:p>
        </w:tc>
        <w:tc>
          <w:tcPr>
            <w:tcW w:w="610" w:type="pct"/>
            <w:vMerge w:val="restart"/>
            <w:tcBorders>
              <w:tl2br w:val="nil"/>
              <w:tr2bl w:val="nil"/>
            </w:tcBorders>
            <w:vAlign w:val="center"/>
          </w:tcPr>
          <w:p w14:paraId="30910980">
            <w:pPr>
              <w:pStyle w:val="41"/>
              <w:rPr>
                <w:color w:val="auto"/>
                <w:highlight w:val="none"/>
              </w:rPr>
            </w:pPr>
            <w:r>
              <w:rPr>
                <w:rFonts w:hint="eastAsia"/>
                <w:color w:val="auto"/>
                <w:highlight w:val="none"/>
              </w:rPr>
              <w:t>备注</w:t>
            </w:r>
          </w:p>
        </w:tc>
      </w:tr>
      <w:tr w14:paraId="110167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continue"/>
            <w:tcBorders>
              <w:tl2br w:val="nil"/>
              <w:tr2bl w:val="nil"/>
            </w:tcBorders>
            <w:vAlign w:val="center"/>
          </w:tcPr>
          <w:p w14:paraId="1F69E2B5">
            <w:pPr>
              <w:pStyle w:val="41"/>
              <w:rPr>
                <w:color w:val="auto"/>
                <w:highlight w:val="none"/>
              </w:rPr>
            </w:pPr>
          </w:p>
        </w:tc>
        <w:tc>
          <w:tcPr>
            <w:tcW w:w="324" w:type="pct"/>
            <w:vMerge w:val="continue"/>
            <w:tcBorders>
              <w:tl2br w:val="nil"/>
              <w:tr2bl w:val="nil"/>
            </w:tcBorders>
            <w:shd w:val="clear" w:color="auto" w:fill="auto"/>
            <w:vAlign w:val="center"/>
          </w:tcPr>
          <w:p w14:paraId="3C2B026F">
            <w:pPr>
              <w:pStyle w:val="41"/>
              <w:rPr>
                <w:color w:val="auto"/>
                <w:highlight w:val="none"/>
              </w:rPr>
            </w:pPr>
          </w:p>
        </w:tc>
        <w:tc>
          <w:tcPr>
            <w:tcW w:w="663" w:type="pct"/>
            <w:tcBorders>
              <w:tl2br w:val="nil"/>
              <w:tr2bl w:val="nil"/>
            </w:tcBorders>
            <w:shd w:val="clear" w:color="auto" w:fill="auto"/>
            <w:vAlign w:val="center"/>
          </w:tcPr>
          <w:p w14:paraId="59093D81">
            <w:pPr>
              <w:pStyle w:val="41"/>
              <w:rPr>
                <w:color w:val="auto"/>
                <w:highlight w:val="none"/>
              </w:rPr>
            </w:pPr>
            <w:r>
              <w:rPr>
                <w:rFonts w:hint="eastAsia"/>
                <w:color w:val="auto"/>
                <w:highlight w:val="none"/>
              </w:rPr>
              <w:t>距离（m）</w:t>
            </w:r>
          </w:p>
        </w:tc>
        <w:tc>
          <w:tcPr>
            <w:tcW w:w="696" w:type="pct"/>
            <w:tcBorders>
              <w:tl2br w:val="nil"/>
              <w:tr2bl w:val="nil"/>
            </w:tcBorders>
            <w:shd w:val="clear" w:color="auto" w:fill="auto"/>
            <w:vAlign w:val="center"/>
          </w:tcPr>
          <w:p w14:paraId="52896E41">
            <w:pPr>
              <w:pStyle w:val="41"/>
              <w:rPr>
                <w:color w:val="auto"/>
                <w:highlight w:val="none"/>
              </w:rPr>
            </w:pPr>
            <w:r>
              <w:rPr>
                <w:rFonts w:hint="eastAsia"/>
                <w:color w:val="auto"/>
                <w:highlight w:val="none"/>
              </w:rPr>
              <w:t>浓度（mg/L）</w:t>
            </w:r>
          </w:p>
        </w:tc>
        <w:tc>
          <w:tcPr>
            <w:tcW w:w="469" w:type="pct"/>
            <w:tcBorders>
              <w:tl2br w:val="nil"/>
              <w:tr2bl w:val="nil"/>
            </w:tcBorders>
            <w:shd w:val="clear" w:color="auto" w:fill="auto"/>
            <w:vAlign w:val="center"/>
          </w:tcPr>
          <w:p w14:paraId="7D579F22">
            <w:pPr>
              <w:pStyle w:val="41"/>
              <w:rPr>
                <w:color w:val="auto"/>
                <w:highlight w:val="none"/>
              </w:rPr>
            </w:pPr>
            <w:r>
              <w:rPr>
                <w:rFonts w:hint="eastAsia"/>
                <w:color w:val="auto"/>
                <w:highlight w:val="none"/>
              </w:rPr>
              <w:t>距离（m）</w:t>
            </w:r>
          </w:p>
        </w:tc>
        <w:tc>
          <w:tcPr>
            <w:tcW w:w="699" w:type="pct"/>
            <w:tcBorders>
              <w:tl2br w:val="nil"/>
              <w:tr2bl w:val="nil"/>
            </w:tcBorders>
            <w:shd w:val="clear" w:color="auto" w:fill="auto"/>
            <w:vAlign w:val="center"/>
          </w:tcPr>
          <w:p w14:paraId="2580CE4B">
            <w:pPr>
              <w:pStyle w:val="41"/>
              <w:rPr>
                <w:color w:val="auto"/>
                <w:highlight w:val="none"/>
              </w:rPr>
            </w:pPr>
            <w:r>
              <w:rPr>
                <w:rFonts w:hint="eastAsia"/>
                <w:color w:val="auto"/>
                <w:highlight w:val="none"/>
              </w:rPr>
              <w:t>浓度（mg/L）</w:t>
            </w:r>
          </w:p>
        </w:tc>
        <w:tc>
          <w:tcPr>
            <w:tcW w:w="523" w:type="pct"/>
            <w:tcBorders>
              <w:tl2br w:val="nil"/>
              <w:tr2bl w:val="nil"/>
            </w:tcBorders>
            <w:shd w:val="clear" w:color="auto" w:fill="auto"/>
            <w:vAlign w:val="center"/>
          </w:tcPr>
          <w:p w14:paraId="5976DF4C">
            <w:pPr>
              <w:pStyle w:val="41"/>
              <w:rPr>
                <w:color w:val="auto"/>
                <w:highlight w:val="none"/>
              </w:rPr>
            </w:pPr>
            <w:r>
              <w:rPr>
                <w:rFonts w:hint="eastAsia"/>
                <w:color w:val="auto"/>
                <w:highlight w:val="none"/>
              </w:rPr>
              <w:t>距离（m）</w:t>
            </w:r>
          </w:p>
        </w:tc>
        <w:tc>
          <w:tcPr>
            <w:tcW w:w="697" w:type="pct"/>
            <w:tcBorders>
              <w:tl2br w:val="nil"/>
              <w:tr2bl w:val="nil"/>
            </w:tcBorders>
            <w:shd w:val="clear" w:color="auto" w:fill="auto"/>
            <w:vAlign w:val="center"/>
          </w:tcPr>
          <w:p w14:paraId="40614E76">
            <w:pPr>
              <w:pStyle w:val="41"/>
              <w:rPr>
                <w:color w:val="auto"/>
                <w:highlight w:val="none"/>
              </w:rPr>
            </w:pPr>
            <w:r>
              <w:rPr>
                <w:rFonts w:hint="eastAsia"/>
                <w:color w:val="auto"/>
                <w:highlight w:val="none"/>
              </w:rPr>
              <w:t>浓度（mg/L）</w:t>
            </w:r>
          </w:p>
        </w:tc>
        <w:tc>
          <w:tcPr>
            <w:tcW w:w="610" w:type="pct"/>
            <w:vMerge w:val="continue"/>
            <w:tcBorders>
              <w:tl2br w:val="nil"/>
              <w:tr2bl w:val="nil"/>
            </w:tcBorders>
            <w:vAlign w:val="center"/>
          </w:tcPr>
          <w:p w14:paraId="700BD543">
            <w:pPr>
              <w:pStyle w:val="41"/>
              <w:rPr>
                <w:color w:val="auto"/>
                <w:highlight w:val="none"/>
              </w:rPr>
            </w:pPr>
          </w:p>
        </w:tc>
      </w:tr>
      <w:tr w14:paraId="29A235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continue"/>
            <w:tcBorders>
              <w:tl2br w:val="nil"/>
              <w:tr2bl w:val="nil"/>
            </w:tcBorders>
            <w:vAlign w:val="center"/>
          </w:tcPr>
          <w:p w14:paraId="7DF4EBC3">
            <w:pPr>
              <w:pStyle w:val="41"/>
              <w:rPr>
                <w:color w:val="auto"/>
                <w:highlight w:val="none"/>
              </w:rPr>
            </w:pPr>
          </w:p>
        </w:tc>
        <w:tc>
          <w:tcPr>
            <w:tcW w:w="324" w:type="pct"/>
            <w:tcBorders>
              <w:tl2br w:val="nil"/>
              <w:tr2bl w:val="nil"/>
            </w:tcBorders>
            <w:shd w:val="clear" w:color="auto" w:fill="auto"/>
            <w:vAlign w:val="center"/>
          </w:tcPr>
          <w:p w14:paraId="38058396">
            <w:pPr>
              <w:pStyle w:val="41"/>
              <w:rPr>
                <w:color w:val="auto"/>
                <w:highlight w:val="none"/>
              </w:rPr>
            </w:pPr>
            <w:r>
              <w:rPr>
                <w:rFonts w:hint="eastAsia"/>
                <w:color w:val="auto"/>
                <w:highlight w:val="none"/>
              </w:rPr>
              <w:t>1</w:t>
            </w:r>
          </w:p>
        </w:tc>
        <w:tc>
          <w:tcPr>
            <w:tcW w:w="663" w:type="pct"/>
            <w:tcBorders>
              <w:tl2br w:val="nil"/>
              <w:tr2bl w:val="nil"/>
            </w:tcBorders>
            <w:shd w:val="clear" w:color="auto" w:fill="auto"/>
            <w:vAlign w:val="center"/>
          </w:tcPr>
          <w:p w14:paraId="4695F320">
            <w:pPr>
              <w:pStyle w:val="41"/>
              <w:rPr>
                <w:color w:val="auto"/>
                <w:highlight w:val="none"/>
              </w:rPr>
            </w:pPr>
            <w:r>
              <w:rPr>
                <w:rFonts w:hint="eastAsia"/>
                <w:color w:val="auto"/>
                <w:highlight w:val="none"/>
              </w:rPr>
              <w:t>0</w:t>
            </w:r>
          </w:p>
        </w:tc>
        <w:tc>
          <w:tcPr>
            <w:tcW w:w="696" w:type="pct"/>
            <w:tcBorders>
              <w:tl2br w:val="nil"/>
              <w:tr2bl w:val="nil"/>
            </w:tcBorders>
            <w:shd w:val="clear" w:color="auto" w:fill="auto"/>
            <w:vAlign w:val="center"/>
          </w:tcPr>
          <w:p w14:paraId="019CE01B">
            <w:pPr>
              <w:pStyle w:val="41"/>
              <w:rPr>
                <w:color w:val="auto"/>
                <w:highlight w:val="none"/>
              </w:rPr>
            </w:pPr>
            <w:r>
              <w:rPr>
                <w:rFonts w:hint="eastAsia"/>
                <w:color w:val="auto"/>
                <w:highlight w:val="none"/>
              </w:rPr>
              <w:t>0.0257</w:t>
            </w:r>
          </w:p>
        </w:tc>
        <w:tc>
          <w:tcPr>
            <w:tcW w:w="469" w:type="pct"/>
            <w:tcBorders>
              <w:tl2br w:val="nil"/>
              <w:tr2bl w:val="nil"/>
            </w:tcBorders>
            <w:shd w:val="clear" w:color="auto" w:fill="auto"/>
            <w:vAlign w:val="center"/>
          </w:tcPr>
          <w:p w14:paraId="7A4E183D">
            <w:pPr>
              <w:pStyle w:val="41"/>
              <w:rPr>
                <w:color w:val="auto"/>
                <w:highlight w:val="none"/>
              </w:rPr>
            </w:pPr>
            <w:r>
              <w:rPr>
                <w:rFonts w:hint="eastAsia"/>
                <w:color w:val="auto"/>
                <w:highlight w:val="none"/>
              </w:rPr>
              <w:t>0</w:t>
            </w:r>
          </w:p>
        </w:tc>
        <w:tc>
          <w:tcPr>
            <w:tcW w:w="699" w:type="pct"/>
            <w:tcBorders>
              <w:tl2br w:val="nil"/>
              <w:tr2bl w:val="nil"/>
            </w:tcBorders>
            <w:shd w:val="clear" w:color="auto" w:fill="auto"/>
            <w:vAlign w:val="center"/>
          </w:tcPr>
          <w:p w14:paraId="2104D15A">
            <w:pPr>
              <w:pStyle w:val="41"/>
              <w:rPr>
                <w:color w:val="auto"/>
                <w:highlight w:val="none"/>
              </w:rPr>
            </w:pPr>
            <w:r>
              <w:rPr>
                <w:rFonts w:hint="eastAsia"/>
                <w:color w:val="auto"/>
                <w:highlight w:val="none"/>
              </w:rPr>
              <w:t>0.0257</w:t>
            </w:r>
          </w:p>
        </w:tc>
        <w:tc>
          <w:tcPr>
            <w:tcW w:w="523" w:type="pct"/>
            <w:tcBorders>
              <w:tl2br w:val="nil"/>
              <w:tr2bl w:val="nil"/>
            </w:tcBorders>
            <w:shd w:val="clear" w:color="auto" w:fill="auto"/>
            <w:vAlign w:val="center"/>
          </w:tcPr>
          <w:p w14:paraId="50E02C02">
            <w:pPr>
              <w:pStyle w:val="41"/>
              <w:rPr>
                <w:color w:val="auto"/>
                <w:highlight w:val="none"/>
              </w:rPr>
            </w:pPr>
            <w:r>
              <w:rPr>
                <w:rFonts w:hint="eastAsia"/>
                <w:color w:val="auto"/>
                <w:highlight w:val="none"/>
              </w:rPr>
              <w:t>0</w:t>
            </w:r>
          </w:p>
        </w:tc>
        <w:tc>
          <w:tcPr>
            <w:tcW w:w="697" w:type="pct"/>
            <w:tcBorders>
              <w:tl2br w:val="nil"/>
              <w:tr2bl w:val="nil"/>
            </w:tcBorders>
            <w:shd w:val="clear" w:color="auto" w:fill="auto"/>
            <w:vAlign w:val="center"/>
          </w:tcPr>
          <w:p w14:paraId="4305190D">
            <w:pPr>
              <w:pStyle w:val="41"/>
              <w:rPr>
                <w:color w:val="auto"/>
                <w:highlight w:val="none"/>
              </w:rPr>
            </w:pPr>
            <w:r>
              <w:rPr>
                <w:rFonts w:hint="eastAsia"/>
                <w:color w:val="auto"/>
                <w:highlight w:val="none"/>
              </w:rPr>
              <w:t>0.0257</w:t>
            </w:r>
          </w:p>
        </w:tc>
        <w:tc>
          <w:tcPr>
            <w:tcW w:w="610" w:type="pct"/>
            <w:vMerge w:val="restart"/>
            <w:tcBorders>
              <w:tl2br w:val="nil"/>
              <w:tr2bl w:val="nil"/>
            </w:tcBorders>
            <w:vAlign w:val="center"/>
          </w:tcPr>
          <w:p w14:paraId="359ED6C6">
            <w:pPr>
              <w:pStyle w:val="41"/>
              <w:rPr>
                <w:color w:val="auto"/>
                <w:highlight w:val="none"/>
              </w:rPr>
            </w:pPr>
            <w:r>
              <w:rPr>
                <w:rFonts w:hint="eastAsia"/>
                <w:color w:val="auto"/>
                <w:highlight w:val="none"/>
              </w:rPr>
              <w:t>地下水Ⅲ类水质标准值0.01mg/L</w:t>
            </w:r>
          </w:p>
        </w:tc>
      </w:tr>
      <w:tr w14:paraId="15945F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continue"/>
            <w:tcBorders>
              <w:tl2br w:val="nil"/>
              <w:tr2bl w:val="nil"/>
            </w:tcBorders>
            <w:vAlign w:val="center"/>
          </w:tcPr>
          <w:p w14:paraId="4EEF66AE">
            <w:pPr>
              <w:pStyle w:val="41"/>
              <w:rPr>
                <w:color w:val="auto"/>
                <w:highlight w:val="none"/>
              </w:rPr>
            </w:pPr>
          </w:p>
        </w:tc>
        <w:tc>
          <w:tcPr>
            <w:tcW w:w="324" w:type="pct"/>
            <w:tcBorders>
              <w:tl2br w:val="nil"/>
              <w:tr2bl w:val="nil"/>
            </w:tcBorders>
            <w:shd w:val="clear" w:color="auto" w:fill="auto"/>
            <w:vAlign w:val="center"/>
          </w:tcPr>
          <w:p w14:paraId="51430637">
            <w:pPr>
              <w:pStyle w:val="41"/>
              <w:rPr>
                <w:color w:val="auto"/>
                <w:highlight w:val="none"/>
              </w:rPr>
            </w:pPr>
            <w:r>
              <w:rPr>
                <w:rFonts w:hint="eastAsia"/>
                <w:color w:val="auto"/>
                <w:highlight w:val="none"/>
              </w:rPr>
              <w:t>2</w:t>
            </w:r>
          </w:p>
        </w:tc>
        <w:tc>
          <w:tcPr>
            <w:tcW w:w="663" w:type="pct"/>
            <w:tcBorders>
              <w:tl2br w:val="nil"/>
              <w:tr2bl w:val="nil"/>
            </w:tcBorders>
            <w:shd w:val="clear" w:color="auto" w:fill="auto"/>
            <w:vAlign w:val="center"/>
          </w:tcPr>
          <w:p w14:paraId="13524021">
            <w:pPr>
              <w:pStyle w:val="41"/>
              <w:rPr>
                <w:color w:val="auto"/>
                <w:highlight w:val="none"/>
              </w:rPr>
            </w:pPr>
            <w:r>
              <w:rPr>
                <w:rFonts w:hint="eastAsia"/>
                <w:color w:val="auto"/>
                <w:highlight w:val="none"/>
              </w:rPr>
              <w:t>1</w:t>
            </w:r>
          </w:p>
        </w:tc>
        <w:tc>
          <w:tcPr>
            <w:tcW w:w="696" w:type="pct"/>
            <w:tcBorders>
              <w:tl2br w:val="nil"/>
              <w:tr2bl w:val="nil"/>
            </w:tcBorders>
            <w:shd w:val="clear" w:color="auto" w:fill="auto"/>
            <w:vAlign w:val="center"/>
          </w:tcPr>
          <w:p w14:paraId="5572E4CA">
            <w:pPr>
              <w:pStyle w:val="41"/>
              <w:rPr>
                <w:color w:val="auto"/>
                <w:highlight w:val="none"/>
              </w:rPr>
            </w:pPr>
            <w:r>
              <w:rPr>
                <w:rFonts w:hint="eastAsia"/>
                <w:color w:val="auto"/>
                <w:highlight w:val="none"/>
              </w:rPr>
              <w:t>0.0179</w:t>
            </w:r>
          </w:p>
        </w:tc>
        <w:tc>
          <w:tcPr>
            <w:tcW w:w="469" w:type="pct"/>
            <w:tcBorders>
              <w:tl2br w:val="nil"/>
              <w:tr2bl w:val="nil"/>
            </w:tcBorders>
            <w:shd w:val="clear" w:color="auto" w:fill="auto"/>
            <w:vAlign w:val="center"/>
          </w:tcPr>
          <w:p w14:paraId="33BFF911">
            <w:pPr>
              <w:pStyle w:val="41"/>
              <w:rPr>
                <w:color w:val="auto"/>
                <w:highlight w:val="none"/>
              </w:rPr>
            </w:pPr>
            <w:r>
              <w:rPr>
                <w:rFonts w:hint="eastAsia"/>
                <w:color w:val="auto"/>
                <w:highlight w:val="none"/>
              </w:rPr>
              <w:t>5</w:t>
            </w:r>
          </w:p>
        </w:tc>
        <w:tc>
          <w:tcPr>
            <w:tcW w:w="699" w:type="pct"/>
            <w:tcBorders>
              <w:tl2br w:val="nil"/>
              <w:tr2bl w:val="nil"/>
            </w:tcBorders>
            <w:shd w:val="clear" w:color="auto" w:fill="auto"/>
            <w:vAlign w:val="center"/>
          </w:tcPr>
          <w:p w14:paraId="66C2D94A">
            <w:pPr>
              <w:pStyle w:val="41"/>
              <w:rPr>
                <w:color w:val="auto"/>
                <w:highlight w:val="none"/>
              </w:rPr>
            </w:pPr>
            <w:r>
              <w:rPr>
                <w:rFonts w:hint="eastAsia"/>
                <w:color w:val="auto"/>
                <w:highlight w:val="none"/>
              </w:rPr>
              <w:t>0.0174</w:t>
            </w:r>
          </w:p>
        </w:tc>
        <w:tc>
          <w:tcPr>
            <w:tcW w:w="523" w:type="pct"/>
            <w:tcBorders>
              <w:tl2br w:val="nil"/>
              <w:tr2bl w:val="nil"/>
            </w:tcBorders>
            <w:shd w:val="clear" w:color="auto" w:fill="auto"/>
            <w:vAlign w:val="center"/>
          </w:tcPr>
          <w:p w14:paraId="5C16DD19">
            <w:pPr>
              <w:pStyle w:val="41"/>
              <w:rPr>
                <w:color w:val="auto"/>
                <w:highlight w:val="none"/>
              </w:rPr>
            </w:pPr>
            <w:r>
              <w:rPr>
                <w:rFonts w:hint="eastAsia"/>
                <w:color w:val="auto"/>
                <w:highlight w:val="none"/>
              </w:rPr>
              <w:t>15</w:t>
            </w:r>
          </w:p>
        </w:tc>
        <w:tc>
          <w:tcPr>
            <w:tcW w:w="697" w:type="pct"/>
            <w:tcBorders>
              <w:tl2br w:val="nil"/>
              <w:tr2bl w:val="nil"/>
            </w:tcBorders>
            <w:shd w:val="clear" w:color="auto" w:fill="auto"/>
            <w:vAlign w:val="center"/>
          </w:tcPr>
          <w:p w14:paraId="742CF387">
            <w:pPr>
              <w:pStyle w:val="41"/>
              <w:rPr>
                <w:color w:val="auto"/>
                <w:highlight w:val="none"/>
              </w:rPr>
            </w:pPr>
            <w:r>
              <w:rPr>
                <w:rFonts w:hint="eastAsia"/>
                <w:color w:val="auto"/>
                <w:highlight w:val="none"/>
              </w:rPr>
              <w:t>0.0174</w:t>
            </w:r>
          </w:p>
        </w:tc>
        <w:tc>
          <w:tcPr>
            <w:tcW w:w="610" w:type="pct"/>
            <w:vMerge w:val="continue"/>
            <w:tcBorders>
              <w:tl2br w:val="nil"/>
              <w:tr2bl w:val="nil"/>
            </w:tcBorders>
            <w:vAlign w:val="center"/>
          </w:tcPr>
          <w:p w14:paraId="7B876E03">
            <w:pPr>
              <w:pStyle w:val="41"/>
              <w:rPr>
                <w:color w:val="auto"/>
                <w:highlight w:val="none"/>
              </w:rPr>
            </w:pPr>
          </w:p>
        </w:tc>
      </w:tr>
      <w:tr w14:paraId="7A68FC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continue"/>
            <w:tcBorders>
              <w:tl2br w:val="nil"/>
              <w:tr2bl w:val="nil"/>
            </w:tcBorders>
            <w:vAlign w:val="center"/>
          </w:tcPr>
          <w:p w14:paraId="782284CD">
            <w:pPr>
              <w:pStyle w:val="41"/>
              <w:rPr>
                <w:color w:val="auto"/>
                <w:highlight w:val="none"/>
              </w:rPr>
            </w:pPr>
          </w:p>
        </w:tc>
        <w:tc>
          <w:tcPr>
            <w:tcW w:w="324" w:type="pct"/>
            <w:tcBorders>
              <w:tl2br w:val="nil"/>
              <w:tr2bl w:val="nil"/>
            </w:tcBorders>
            <w:shd w:val="clear" w:color="auto" w:fill="auto"/>
            <w:vAlign w:val="center"/>
          </w:tcPr>
          <w:p w14:paraId="5F4DB1D8">
            <w:pPr>
              <w:pStyle w:val="41"/>
              <w:rPr>
                <w:color w:val="auto"/>
                <w:highlight w:val="none"/>
              </w:rPr>
            </w:pPr>
            <w:r>
              <w:rPr>
                <w:rFonts w:hint="eastAsia"/>
                <w:color w:val="auto"/>
                <w:highlight w:val="none"/>
              </w:rPr>
              <w:t>3</w:t>
            </w:r>
          </w:p>
        </w:tc>
        <w:tc>
          <w:tcPr>
            <w:tcW w:w="663" w:type="pct"/>
            <w:tcBorders>
              <w:tl2br w:val="nil"/>
              <w:tr2bl w:val="nil"/>
            </w:tcBorders>
            <w:shd w:val="clear" w:color="auto" w:fill="auto"/>
            <w:vAlign w:val="center"/>
          </w:tcPr>
          <w:p w14:paraId="42AC9199">
            <w:pPr>
              <w:pStyle w:val="41"/>
              <w:rPr>
                <w:color w:val="auto"/>
                <w:highlight w:val="none"/>
              </w:rPr>
            </w:pPr>
            <w:r>
              <w:rPr>
                <w:rFonts w:hint="eastAsia"/>
                <w:color w:val="auto"/>
                <w:highlight w:val="none"/>
              </w:rPr>
              <w:t>2</w:t>
            </w:r>
          </w:p>
        </w:tc>
        <w:tc>
          <w:tcPr>
            <w:tcW w:w="696" w:type="pct"/>
            <w:tcBorders>
              <w:tl2br w:val="nil"/>
              <w:tr2bl w:val="nil"/>
            </w:tcBorders>
            <w:shd w:val="clear" w:color="auto" w:fill="auto"/>
            <w:vAlign w:val="center"/>
          </w:tcPr>
          <w:p w14:paraId="715A6429">
            <w:pPr>
              <w:pStyle w:val="41"/>
              <w:rPr>
                <w:color w:val="auto"/>
                <w:highlight w:val="none"/>
              </w:rPr>
            </w:pPr>
            <w:r>
              <w:rPr>
                <w:rFonts w:hint="eastAsia"/>
                <w:color w:val="auto"/>
                <w:highlight w:val="none"/>
              </w:rPr>
              <w:t>0.0106</w:t>
            </w:r>
          </w:p>
        </w:tc>
        <w:tc>
          <w:tcPr>
            <w:tcW w:w="469" w:type="pct"/>
            <w:tcBorders>
              <w:tl2br w:val="nil"/>
              <w:tr2bl w:val="nil"/>
            </w:tcBorders>
            <w:shd w:val="clear" w:color="auto" w:fill="auto"/>
            <w:vAlign w:val="center"/>
          </w:tcPr>
          <w:p w14:paraId="33C160F9">
            <w:pPr>
              <w:pStyle w:val="41"/>
              <w:rPr>
                <w:color w:val="auto"/>
                <w:highlight w:val="none"/>
              </w:rPr>
            </w:pPr>
            <w:r>
              <w:rPr>
                <w:rFonts w:hint="eastAsia"/>
                <w:color w:val="auto"/>
                <w:highlight w:val="none"/>
              </w:rPr>
              <w:t>9</w:t>
            </w:r>
          </w:p>
        </w:tc>
        <w:tc>
          <w:tcPr>
            <w:tcW w:w="699" w:type="pct"/>
            <w:tcBorders>
              <w:tl2br w:val="nil"/>
              <w:tr2bl w:val="nil"/>
            </w:tcBorders>
            <w:shd w:val="clear" w:color="auto" w:fill="auto"/>
            <w:vAlign w:val="center"/>
          </w:tcPr>
          <w:p w14:paraId="1CB1EF79">
            <w:pPr>
              <w:pStyle w:val="41"/>
              <w:rPr>
                <w:color w:val="auto"/>
                <w:highlight w:val="none"/>
              </w:rPr>
            </w:pPr>
            <w:r>
              <w:rPr>
                <w:rFonts w:hint="eastAsia"/>
                <w:color w:val="auto"/>
                <w:highlight w:val="none"/>
              </w:rPr>
              <w:t>0.0096</w:t>
            </w:r>
          </w:p>
        </w:tc>
        <w:tc>
          <w:tcPr>
            <w:tcW w:w="523" w:type="pct"/>
            <w:tcBorders>
              <w:tl2br w:val="nil"/>
              <w:tr2bl w:val="nil"/>
            </w:tcBorders>
            <w:shd w:val="clear" w:color="auto" w:fill="auto"/>
            <w:vAlign w:val="center"/>
          </w:tcPr>
          <w:p w14:paraId="713CC594">
            <w:pPr>
              <w:pStyle w:val="41"/>
              <w:rPr>
                <w:color w:val="auto"/>
                <w:highlight w:val="none"/>
              </w:rPr>
            </w:pPr>
            <w:r>
              <w:rPr>
                <w:rFonts w:hint="eastAsia"/>
                <w:color w:val="auto"/>
                <w:highlight w:val="none"/>
              </w:rPr>
              <w:t>24</w:t>
            </w:r>
          </w:p>
        </w:tc>
        <w:tc>
          <w:tcPr>
            <w:tcW w:w="697" w:type="pct"/>
            <w:tcBorders>
              <w:tl2br w:val="nil"/>
              <w:tr2bl w:val="nil"/>
            </w:tcBorders>
            <w:shd w:val="clear" w:color="auto" w:fill="auto"/>
            <w:vAlign w:val="center"/>
          </w:tcPr>
          <w:p w14:paraId="4374A9B0">
            <w:pPr>
              <w:pStyle w:val="41"/>
              <w:rPr>
                <w:color w:val="auto"/>
                <w:highlight w:val="none"/>
              </w:rPr>
            </w:pPr>
            <w:r>
              <w:rPr>
                <w:rFonts w:hint="eastAsia"/>
                <w:color w:val="auto"/>
                <w:highlight w:val="none"/>
              </w:rPr>
              <w:t>0.0093</w:t>
            </w:r>
          </w:p>
        </w:tc>
        <w:tc>
          <w:tcPr>
            <w:tcW w:w="610" w:type="pct"/>
            <w:vMerge w:val="continue"/>
            <w:tcBorders>
              <w:tl2br w:val="nil"/>
              <w:tr2bl w:val="nil"/>
            </w:tcBorders>
            <w:vAlign w:val="center"/>
          </w:tcPr>
          <w:p w14:paraId="6D9EA691">
            <w:pPr>
              <w:pStyle w:val="41"/>
              <w:rPr>
                <w:color w:val="auto"/>
                <w:highlight w:val="none"/>
              </w:rPr>
            </w:pPr>
          </w:p>
        </w:tc>
      </w:tr>
      <w:tr w14:paraId="73E323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continue"/>
            <w:tcBorders>
              <w:tl2br w:val="nil"/>
              <w:tr2bl w:val="nil"/>
            </w:tcBorders>
            <w:vAlign w:val="center"/>
          </w:tcPr>
          <w:p w14:paraId="28AC26E7">
            <w:pPr>
              <w:pStyle w:val="41"/>
              <w:rPr>
                <w:color w:val="auto"/>
                <w:highlight w:val="none"/>
              </w:rPr>
            </w:pPr>
          </w:p>
        </w:tc>
        <w:tc>
          <w:tcPr>
            <w:tcW w:w="324" w:type="pct"/>
            <w:tcBorders>
              <w:tl2br w:val="nil"/>
              <w:tr2bl w:val="nil"/>
            </w:tcBorders>
            <w:shd w:val="clear" w:color="auto" w:fill="auto"/>
            <w:vAlign w:val="center"/>
          </w:tcPr>
          <w:p w14:paraId="6F5D2263">
            <w:pPr>
              <w:pStyle w:val="41"/>
              <w:rPr>
                <w:color w:val="auto"/>
                <w:highlight w:val="none"/>
              </w:rPr>
            </w:pPr>
            <w:r>
              <w:rPr>
                <w:rFonts w:hint="eastAsia"/>
                <w:color w:val="auto"/>
                <w:highlight w:val="none"/>
              </w:rPr>
              <w:t>4</w:t>
            </w:r>
          </w:p>
        </w:tc>
        <w:tc>
          <w:tcPr>
            <w:tcW w:w="663" w:type="pct"/>
            <w:tcBorders>
              <w:tl2br w:val="nil"/>
              <w:tr2bl w:val="nil"/>
            </w:tcBorders>
            <w:shd w:val="clear" w:color="auto" w:fill="auto"/>
            <w:vAlign w:val="center"/>
          </w:tcPr>
          <w:p w14:paraId="62FD3230">
            <w:pPr>
              <w:pStyle w:val="41"/>
              <w:rPr>
                <w:color w:val="auto"/>
                <w:highlight w:val="none"/>
              </w:rPr>
            </w:pPr>
            <w:r>
              <w:rPr>
                <w:rFonts w:hint="eastAsia"/>
                <w:color w:val="auto"/>
                <w:highlight w:val="none"/>
              </w:rPr>
              <w:t>3</w:t>
            </w:r>
          </w:p>
        </w:tc>
        <w:tc>
          <w:tcPr>
            <w:tcW w:w="696" w:type="pct"/>
            <w:tcBorders>
              <w:tl2br w:val="nil"/>
              <w:tr2bl w:val="nil"/>
            </w:tcBorders>
            <w:shd w:val="clear" w:color="auto" w:fill="auto"/>
            <w:vAlign w:val="center"/>
          </w:tcPr>
          <w:p w14:paraId="267B4FF4">
            <w:pPr>
              <w:pStyle w:val="41"/>
              <w:rPr>
                <w:color w:val="auto"/>
                <w:highlight w:val="none"/>
              </w:rPr>
            </w:pPr>
            <w:r>
              <w:rPr>
                <w:rFonts w:hint="eastAsia"/>
                <w:color w:val="auto"/>
                <w:highlight w:val="none"/>
              </w:rPr>
              <w:t>0.0052</w:t>
            </w:r>
          </w:p>
        </w:tc>
        <w:tc>
          <w:tcPr>
            <w:tcW w:w="469" w:type="pct"/>
            <w:tcBorders>
              <w:tl2br w:val="nil"/>
              <w:tr2bl w:val="nil"/>
            </w:tcBorders>
            <w:shd w:val="clear" w:color="auto" w:fill="auto"/>
            <w:vAlign w:val="center"/>
          </w:tcPr>
          <w:p w14:paraId="63B7086C">
            <w:pPr>
              <w:pStyle w:val="41"/>
              <w:rPr>
                <w:color w:val="auto"/>
                <w:highlight w:val="none"/>
              </w:rPr>
            </w:pPr>
            <w:r>
              <w:rPr>
                <w:rFonts w:hint="eastAsia"/>
                <w:color w:val="auto"/>
                <w:highlight w:val="none"/>
              </w:rPr>
              <w:t>15</w:t>
            </w:r>
          </w:p>
        </w:tc>
        <w:tc>
          <w:tcPr>
            <w:tcW w:w="699" w:type="pct"/>
            <w:tcBorders>
              <w:tl2br w:val="nil"/>
              <w:tr2bl w:val="nil"/>
            </w:tcBorders>
            <w:shd w:val="clear" w:color="auto" w:fill="auto"/>
            <w:vAlign w:val="center"/>
          </w:tcPr>
          <w:p w14:paraId="7FCB0DB1">
            <w:pPr>
              <w:pStyle w:val="41"/>
              <w:rPr>
                <w:color w:val="auto"/>
                <w:highlight w:val="none"/>
              </w:rPr>
            </w:pPr>
            <w:r>
              <w:rPr>
                <w:rFonts w:hint="eastAsia"/>
                <w:color w:val="auto"/>
                <w:highlight w:val="none"/>
              </w:rPr>
              <w:t>0.0023</w:t>
            </w:r>
          </w:p>
        </w:tc>
        <w:tc>
          <w:tcPr>
            <w:tcW w:w="523" w:type="pct"/>
            <w:tcBorders>
              <w:tl2br w:val="nil"/>
              <w:tr2bl w:val="nil"/>
            </w:tcBorders>
            <w:shd w:val="clear" w:color="auto" w:fill="auto"/>
            <w:vAlign w:val="center"/>
          </w:tcPr>
          <w:p w14:paraId="2BD9462C">
            <w:pPr>
              <w:pStyle w:val="41"/>
              <w:rPr>
                <w:color w:val="auto"/>
                <w:highlight w:val="none"/>
              </w:rPr>
            </w:pPr>
            <w:r>
              <w:rPr>
                <w:rFonts w:hint="eastAsia"/>
                <w:color w:val="auto"/>
                <w:highlight w:val="none"/>
              </w:rPr>
              <w:t>30</w:t>
            </w:r>
          </w:p>
        </w:tc>
        <w:tc>
          <w:tcPr>
            <w:tcW w:w="697" w:type="pct"/>
            <w:tcBorders>
              <w:tl2br w:val="nil"/>
              <w:tr2bl w:val="nil"/>
            </w:tcBorders>
            <w:shd w:val="clear" w:color="auto" w:fill="auto"/>
            <w:vAlign w:val="center"/>
          </w:tcPr>
          <w:p w14:paraId="4965DE06">
            <w:pPr>
              <w:pStyle w:val="41"/>
              <w:rPr>
                <w:color w:val="auto"/>
                <w:highlight w:val="none"/>
              </w:rPr>
            </w:pPr>
            <w:r>
              <w:rPr>
                <w:rFonts w:hint="eastAsia"/>
                <w:color w:val="auto"/>
                <w:highlight w:val="none"/>
              </w:rPr>
              <w:t>0.0049</w:t>
            </w:r>
          </w:p>
        </w:tc>
        <w:tc>
          <w:tcPr>
            <w:tcW w:w="610" w:type="pct"/>
            <w:vMerge w:val="continue"/>
            <w:tcBorders>
              <w:tl2br w:val="nil"/>
              <w:tr2bl w:val="nil"/>
            </w:tcBorders>
            <w:vAlign w:val="center"/>
          </w:tcPr>
          <w:p w14:paraId="6403766D">
            <w:pPr>
              <w:pStyle w:val="41"/>
              <w:rPr>
                <w:color w:val="auto"/>
                <w:highlight w:val="none"/>
              </w:rPr>
            </w:pPr>
          </w:p>
        </w:tc>
      </w:tr>
      <w:tr w14:paraId="2EE07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continue"/>
            <w:tcBorders>
              <w:tl2br w:val="nil"/>
              <w:tr2bl w:val="nil"/>
            </w:tcBorders>
            <w:vAlign w:val="center"/>
          </w:tcPr>
          <w:p w14:paraId="6BC8EDDA">
            <w:pPr>
              <w:pStyle w:val="41"/>
              <w:rPr>
                <w:color w:val="auto"/>
                <w:highlight w:val="none"/>
              </w:rPr>
            </w:pPr>
          </w:p>
        </w:tc>
        <w:tc>
          <w:tcPr>
            <w:tcW w:w="324" w:type="pct"/>
            <w:tcBorders>
              <w:tl2br w:val="nil"/>
              <w:tr2bl w:val="nil"/>
            </w:tcBorders>
            <w:shd w:val="clear" w:color="auto" w:fill="auto"/>
            <w:vAlign w:val="center"/>
          </w:tcPr>
          <w:p w14:paraId="1659BE1B">
            <w:pPr>
              <w:pStyle w:val="41"/>
              <w:rPr>
                <w:color w:val="auto"/>
                <w:highlight w:val="none"/>
              </w:rPr>
            </w:pPr>
            <w:r>
              <w:rPr>
                <w:rFonts w:hint="eastAsia"/>
                <w:color w:val="auto"/>
                <w:highlight w:val="none"/>
              </w:rPr>
              <w:t>5</w:t>
            </w:r>
          </w:p>
        </w:tc>
        <w:tc>
          <w:tcPr>
            <w:tcW w:w="663" w:type="pct"/>
            <w:tcBorders>
              <w:tl2br w:val="nil"/>
              <w:tr2bl w:val="nil"/>
            </w:tcBorders>
            <w:shd w:val="clear" w:color="auto" w:fill="auto"/>
            <w:vAlign w:val="center"/>
          </w:tcPr>
          <w:p w14:paraId="0BDED9AB">
            <w:pPr>
              <w:pStyle w:val="41"/>
              <w:rPr>
                <w:color w:val="auto"/>
                <w:highlight w:val="none"/>
              </w:rPr>
            </w:pPr>
            <w:r>
              <w:rPr>
                <w:rFonts w:hint="eastAsia"/>
                <w:color w:val="auto"/>
                <w:highlight w:val="none"/>
              </w:rPr>
              <w:t>6</w:t>
            </w:r>
          </w:p>
        </w:tc>
        <w:tc>
          <w:tcPr>
            <w:tcW w:w="696" w:type="pct"/>
            <w:tcBorders>
              <w:tl2br w:val="nil"/>
              <w:tr2bl w:val="nil"/>
            </w:tcBorders>
            <w:shd w:val="clear" w:color="auto" w:fill="auto"/>
            <w:vAlign w:val="center"/>
          </w:tcPr>
          <w:p w14:paraId="7F513003">
            <w:pPr>
              <w:pStyle w:val="41"/>
              <w:rPr>
                <w:color w:val="auto"/>
                <w:highlight w:val="none"/>
              </w:rPr>
            </w:pPr>
            <w:r>
              <w:rPr>
                <w:rFonts w:hint="eastAsia"/>
                <w:color w:val="auto"/>
                <w:highlight w:val="none"/>
              </w:rPr>
              <w:t>1.95×10</w:t>
            </w:r>
            <w:r>
              <w:rPr>
                <w:rFonts w:hint="eastAsia"/>
                <w:color w:val="auto"/>
                <w:highlight w:val="none"/>
                <w:vertAlign w:val="superscript"/>
              </w:rPr>
              <w:t>-4</w:t>
            </w:r>
          </w:p>
        </w:tc>
        <w:tc>
          <w:tcPr>
            <w:tcW w:w="469" w:type="pct"/>
            <w:tcBorders>
              <w:tl2br w:val="nil"/>
              <w:tr2bl w:val="nil"/>
            </w:tcBorders>
            <w:shd w:val="clear" w:color="auto" w:fill="auto"/>
            <w:vAlign w:val="center"/>
          </w:tcPr>
          <w:p w14:paraId="68ABDA73">
            <w:pPr>
              <w:pStyle w:val="41"/>
              <w:rPr>
                <w:color w:val="auto"/>
                <w:highlight w:val="none"/>
              </w:rPr>
            </w:pPr>
            <w:r>
              <w:rPr>
                <w:rFonts w:hint="eastAsia"/>
                <w:color w:val="auto"/>
                <w:highlight w:val="none"/>
              </w:rPr>
              <w:t>20</w:t>
            </w:r>
          </w:p>
        </w:tc>
        <w:tc>
          <w:tcPr>
            <w:tcW w:w="699" w:type="pct"/>
            <w:tcBorders>
              <w:tl2br w:val="nil"/>
              <w:tr2bl w:val="nil"/>
            </w:tcBorders>
            <w:shd w:val="clear" w:color="auto" w:fill="auto"/>
            <w:vAlign w:val="center"/>
          </w:tcPr>
          <w:p w14:paraId="23E85541">
            <w:pPr>
              <w:pStyle w:val="41"/>
              <w:rPr>
                <w:color w:val="auto"/>
                <w:highlight w:val="none"/>
              </w:rPr>
            </w:pPr>
            <w:r>
              <w:rPr>
                <w:rFonts w:hint="eastAsia"/>
                <w:color w:val="auto"/>
                <w:highlight w:val="none"/>
              </w:rPr>
              <w:t>0.0004</w:t>
            </w:r>
          </w:p>
        </w:tc>
        <w:tc>
          <w:tcPr>
            <w:tcW w:w="523" w:type="pct"/>
            <w:tcBorders>
              <w:tl2br w:val="nil"/>
              <w:tr2bl w:val="nil"/>
            </w:tcBorders>
            <w:shd w:val="clear" w:color="auto" w:fill="auto"/>
            <w:vAlign w:val="center"/>
          </w:tcPr>
          <w:p w14:paraId="231B7289">
            <w:pPr>
              <w:pStyle w:val="41"/>
              <w:rPr>
                <w:color w:val="auto"/>
                <w:highlight w:val="none"/>
              </w:rPr>
            </w:pPr>
            <w:r>
              <w:rPr>
                <w:rFonts w:hint="eastAsia"/>
                <w:color w:val="auto"/>
                <w:highlight w:val="none"/>
              </w:rPr>
              <w:t>45</w:t>
            </w:r>
          </w:p>
        </w:tc>
        <w:tc>
          <w:tcPr>
            <w:tcW w:w="697" w:type="pct"/>
            <w:tcBorders>
              <w:tl2br w:val="nil"/>
              <w:tr2bl w:val="nil"/>
            </w:tcBorders>
            <w:shd w:val="clear" w:color="auto" w:fill="auto"/>
            <w:vAlign w:val="center"/>
          </w:tcPr>
          <w:p w14:paraId="6F05B607">
            <w:pPr>
              <w:pStyle w:val="41"/>
              <w:rPr>
                <w:color w:val="auto"/>
                <w:highlight w:val="none"/>
              </w:rPr>
            </w:pPr>
            <w:r>
              <w:rPr>
                <w:rFonts w:hint="eastAsia"/>
                <w:color w:val="auto"/>
                <w:highlight w:val="none"/>
              </w:rPr>
              <w:t>0.0004</w:t>
            </w:r>
          </w:p>
        </w:tc>
        <w:tc>
          <w:tcPr>
            <w:tcW w:w="610" w:type="pct"/>
            <w:vMerge w:val="continue"/>
            <w:tcBorders>
              <w:tl2br w:val="nil"/>
              <w:tr2bl w:val="nil"/>
            </w:tcBorders>
            <w:vAlign w:val="center"/>
          </w:tcPr>
          <w:p w14:paraId="49251697">
            <w:pPr>
              <w:pStyle w:val="41"/>
              <w:rPr>
                <w:color w:val="auto"/>
                <w:highlight w:val="none"/>
              </w:rPr>
            </w:pPr>
          </w:p>
        </w:tc>
      </w:tr>
      <w:tr w14:paraId="58CCE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continue"/>
            <w:tcBorders>
              <w:tl2br w:val="nil"/>
              <w:tr2bl w:val="nil"/>
            </w:tcBorders>
            <w:vAlign w:val="center"/>
          </w:tcPr>
          <w:p w14:paraId="741B9AFD">
            <w:pPr>
              <w:pStyle w:val="41"/>
              <w:rPr>
                <w:color w:val="auto"/>
                <w:highlight w:val="none"/>
              </w:rPr>
            </w:pPr>
          </w:p>
        </w:tc>
        <w:tc>
          <w:tcPr>
            <w:tcW w:w="324" w:type="pct"/>
            <w:tcBorders>
              <w:tl2br w:val="nil"/>
              <w:tr2bl w:val="nil"/>
            </w:tcBorders>
            <w:shd w:val="clear" w:color="auto" w:fill="auto"/>
            <w:vAlign w:val="center"/>
          </w:tcPr>
          <w:p w14:paraId="6215D691">
            <w:pPr>
              <w:pStyle w:val="41"/>
              <w:rPr>
                <w:color w:val="auto"/>
                <w:highlight w:val="none"/>
              </w:rPr>
            </w:pPr>
            <w:r>
              <w:rPr>
                <w:rFonts w:hint="eastAsia"/>
                <w:color w:val="auto"/>
                <w:highlight w:val="none"/>
              </w:rPr>
              <w:t>6</w:t>
            </w:r>
          </w:p>
        </w:tc>
        <w:tc>
          <w:tcPr>
            <w:tcW w:w="663" w:type="pct"/>
            <w:tcBorders>
              <w:tl2br w:val="nil"/>
              <w:tr2bl w:val="nil"/>
            </w:tcBorders>
            <w:shd w:val="clear" w:color="auto" w:fill="auto"/>
            <w:vAlign w:val="center"/>
          </w:tcPr>
          <w:p w14:paraId="7AD55FD9">
            <w:pPr>
              <w:pStyle w:val="41"/>
              <w:rPr>
                <w:color w:val="auto"/>
                <w:highlight w:val="none"/>
              </w:rPr>
            </w:pPr>
            <w:r>
              <w:rPr>
                <w:rFonts w:hint="eastAsia"/>
                <w:color w:val="auto"/>
                <w:highlight w:val="none"/>
              </w:rPr>
              <w:t>8</w:t>
            </w:r>
          </w:p>
        </w:tc>
        <w:tc>
          <w:tcPr>
            <w:tcW w:w="696" w:type="pct"/>
            <w:tcBorders>
              <w:tl2br w:val="nil"/>
              <w:tr2bl w:val="nil"/>
            </w:tcBorders>
            <w:shd w:val="clear" w:color="auto" w:fill="auto"/>
            <w:vAlign w:val="center"/>
          </w:tcPr>
          <w:p w14:paraId="66CB0C9A">
            <w:pPr>
              <w:pStyle w:val="41"/>
              <w:rPr>
                <w:color w:val="auto"/>
                <w:highlight w:val="none"/>
              </w:rPr>
            </w:pPr>
            <w:r>
              <w:rPr>
                <w:rFonts w:hint="eastAsia"/>
                <w:color w:val="auto"/>
                <w:highlight w:val="none"/>
              </w:rPr>
              <w:t>7.68×10</w:t>
            </w:r>
            <w:r>
              <w:rPr>
                <w:rFonts w:hint="eastAsia"/>
                <w:color w:val="auto"/>
                <w:highlight w:val="none"/>
                <w:vertAlign w:val="superscript"/>
              </w:rPr>
              <w:t>-6</w:t>
            </w:r>
          </w:p>
        </w:tc>
        <w:tc>
          <w:tcPr>
            <w:tcW w:w="469" w:type="pct"/>
            <w:tcBorders>
              <w:tl2br w:val="nil"/>
              <w:tr2bl w:val="nil"/>
            </w:tcBorders>
            <w:shd w:val="clear" w:color="auto" w:fill="auto"/>
            <w:vAlign w:val="center"/>
          </w:tcPr>
          <w:p w14:paraId="16AF6B0E">
            <w:pPr>
              <w:pStyle w:val="41"/>
              <w:rPr>
                <w:color w:val="auto"/>
                <w:highlight w:val="none"/>
              </w:rPr>
            </w:pPr>
            <w:r>
              <w:rPr>
                <w:rFonts w:hint="eastAsia"/>
                <w:color w:val="auto"/>
                <w:highlight w:val="none"/>
              </w:rPr>
              <w:t>25</w:t>
            </w:r>
          </w:p>
        </w:tc>
        <w:tc>
          <w:tcPr>
            <w:tcW w:w="699" w:type="pct"/>
            <w:tcBorders>
              <w:tl2br w:val="nil"/>
              <w:tr2bl w:val="nil"/>
            </w:tcBorders>
            <w:shd w:val="clear" w:color="auto" w:fill="auto"/>
            <w:vAlign w:val="center"/>
          </w:tcPr>
          <w:p w14:paraId="62AABC45">
            <w:pPr>
              <w:pStyle w:val="41"/>
              <w:rPr>
                <w:color w:val="auto"/>
                <w:highlight w:val="none"/>
              </w:rPr>
            </w:pPr>
            <w:r>
              <w:rPr>
                <w:rFonts w:hint="eastAsia"/>
                <w:color w:val="auto"/>
                <w:highlight w:val="none"/>
              </w:rPr>
              <w:t>4.22×10</w:t>
            </w:r>
            <w:r>
              <w:rPr>
                <w:rFonts w:hint="eastAsia"/>
                <w:color w:val="auto"/>
                <w:highlight w:val="none"/>
                <w:vertAlign w:val="superscript"/>
              </w:rPr>
              <w:t>-5</w:t>
            </w:r>
          </w:p>
        </w:tc>
        <w:tc>
          <w:tcPr>
            <w:tcW w:w="523" w:type="pct"/>
            <w:tcBorders>
              <w:tl2br w:val="nil"/>
              <w:tr2bl w:val="nil"/>
            </w:tcBorders>
            <w:shd w:val="clear" w:color="auto" w:fill="auto"/>
            <w:vAlign w:val="center"/>
          </w:tcPr>
          <w:p w14:paraId="4B058825">
            <w:pPr>
              <w:pStyle w:val="41"/>
              <w:rPr>
                <w:color w:val="auto"/>
                <w:highlight w:val="none"/>
              </w:rPr>
            </w:pPr>
            <w:r>
              <w:rPr>
                <w:rFonts w:hint="eastAsia"/>
                <w:color w:val="auto"/>
                <w:highlight w:val="none"/>
              </w:rPr>
              <w:t>60</w:t>
            </w:r>
          </w:p>
        </w:tc>
        <w:tc>
          <w:tcPr>
            <w:tcW w:w="697" w:type="pct"/>
            <w:tcBorders>
              <w:tl2br w:val="nil"/>
              <w:tr2bl w:val="nil"/>
            </w:tcBorders>
            <w:shd w:val="clear" w:color="auto" w:fill="auto"/>
            <w:vAlign w:val="center"/>
          </w:tcPr>
          <w:p w14:paraId="2E44CE8E">
            <w:pPr>
              <w:pStyle w:val="41"/>
              <w:rPr>
                <w:color w:val="auto"/>
                <w:highlight w:val="none"/>
              </w:rPr>
            </w:pPr>
            <w:r>
              <w:rPr>
                <w:rFonts w:hint="eastAsia"/>
                <w:color w:val="auto"/>
                <w:highlight w:val="none"/>
              </w:rPr>
              <w:t>1.09×10</w:t>
            </w:r>
            <w:r>
              <w:rPr>
                <w:rFonts w:hint="eastAsia"/>
                <w:color w:val="auto"/>
                <w:highlight w:val="none"/>
                <w:vertAlign w:val="superscript"/>
              </w:rPr>
              <w:t>-5</w:t>
            </w:r>
          </w:p>
        </w:tc>
        <w:tc>
          <w:tcPr>
            <w:tcW w:w="610" w:type="pct"/>
            <w:vMerge w:val="continue"/>
            <w:tcBorders>
              <w:tl2br w:val="nil"/>
              <w:tr2bl w:val="nil"/>
            </w:tcBorders>
            <w:vAlign w:val="center"/>
          </w:tcPr>
          <w:p w14:paraId="20B4F2A2">
            <w:pPr>
              <w:pStyle w:val="41"/>
              <w:rPr>
                <w:color w:val="auto"/>
                <w:highlight w:val="none"/>
              </w:rPr>
            </w:pPr>
          </w:p>
        </w:tc>
      </w:tr>
      <w:tr w14:paraId="18EE88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continue"/>
            <w:tcBorders>
              <w:tl2br w:val="nil"/>
              <w:tr2bl w:val="nil"/>
            </w:tcBorders>
            <w:vAlign w:val="center"/>
          </w:tcPr>
          <w:p w14:paraId="484ED174">
            <w:pPr>
              <w:pStyle w:val="41"/>
              <w:rPr>
                <w:color w:val="auto"/>
                <w:highlight w:val="none"/>
              </w:rPr>
            </w:pPr>
          </w:p>
        </w:tc>
        <w:tc>
          <w:tcPr>
            <w:tcW w:w="324" w:type="pct"/>
            <w:tcBorders>
              <w:tl2br w:val="nil"/>
              <w:tr2bl w:val="nil"/>
            </w:tcBorders>
            <w:shd w:val="clear" w:color="auto" w:fill="auto"/>
            <w:vAlign w:val="center"/>
          </w:tcPr>
          <w:p w14:paraId="12C62BC1">
            <w:pPr>
              <w:pStyle w:val="41"/>
              <w:rPr>
                <w:color w:val="auto"/>
                <w:highlight w:val="none"/>
              </w:rPr>
            </w:pPr>
            <w:r>
              <w:rPr>
                <w:rFonts w:hint="eastAsia"/>
                <w:color w:val="auto"/>
                <w:highlight w:val="none"/>
              </w:rPr>
              <w:t>7</w:t>
            </w:r>
          </w:p>
        </w:tc>
        <w:tc>
          <w:tcPr>
            <w:tcW w:w="663" w:type="pct"/>
            <w:tcBorders>
              <w:tl2br w:val="nil"/>
              <w:tr2bl w:val="nil"/>
            </w:tcBorders>
            <w:shd w:val="clear" w:color="auto" w:fill="auto"/>
            <w:vAlign w:val="center"/>
          </w:tcPr>
          <w:p w14:paraId="57895212">
            <w:pPr>
              <w:pStyle w:val="41"/>
              <w:rPr>
                <w:color w:val="auto"/>
                <w:highlight w:val="none"/>
              </w:rPr>
            </w:pPr>
            <w:r>
              <w:rPr>
                <w:rFonts w:hint="eastAsia"/>
                <w:color w:val="auto"/>
                <w:highlight w:val="none"/>
              </w:rPr>
              <w:t>10</w:t>
            </w:r>
          </w:p>
        </w:tc>
        <w:tc>
          <w:tcPr>
            <w:tcW w:w="696" w:type="pct"/>
            <w:tcBorders>
              <w:tl2br w:val="nil"/>
              <w:tr2bl w:val="nil"/>
            </w:tcBorders>
            <w:shd w:val="clear" w:color="auto" w:fill="auto"/>
            <w:vAlign w:val="center"/>
          </w:tcPr>
          <w:p w14:paraId="4A1E56E7">
            <w:pPr>
              <w:pStyle w:val="41"/>
              <w:rPr>
                <w:color w:val="auto"/>
                <w:highlight w:val="none"/>
              </w:rPr>
            </w:pPr>
            <w:r>
              <w:rPr>
                <w:rFonts w:hint="eastAsia"/>
                <w:color w:val="auto"/>
                <w:highlight w:val="none"/>
              </w:rPr>
              <w:t>1.28×10</w:t>
            </w:r>
            <w:r>
              <w:rPr>
                <w:rFonts w:hint="eastAsia"/>
                <w:color w:val="auto"/>
                <w:highlight w:val="none"/>
                <w:vertAlign w:val="superscript"/>
              </w:rPr>
              <w:t>-7</w:t>
            </w:r>
          </w:p>
        </w:tc>
        <w:tc>
          <w:tcPr>
            <w:tcW w:w="469" w:type="pct"/>
            <w:tcBorders>
              <w:tl2br w:val="nil"/>
              <w:tr2bl w:val="nil"/>
            </w:tcBorders>
            <w:shd w:val="clear" w:color="auto" w:fill="auto"/>
            <w:vAlign w:val="center"/>
          </w:tcPr>
          <w:p w14:paraId="08F8B802">
            <w:pPr>
              <w:pStyle w:val="41"/>
              <w:rPr>
                <w:color w:val="auto"/>
                <w:highlight w:val="none"/>
              </w:rPr>
            </w:pPr>
            <w:r>
              <w:rPr>
                <w:rFonts w:hint="eastAsia"/>
                <w:color w:val="auto"/>
                <w:highlight w:val="none"/>
              </w:rPr>
              <w:t>30</w:t>
            </w:r>
          </w:p>
        </w:tc>
        <w:tc>
          <w:tcPr>
            <w:tcW w:w="699" w:type="pct"/>
            <w:tcBorders>
              <w:tl2br w:val="nil"/>
              <w:tr2bl w:val="nil"/>
            </w:tcBorders>
            <w:shd w:val="clear" w:color="auto" w:fill="auto"/>
            <w:vAlign w:val="center"/>
          </w:tcPr>
          <w:p w14:paraId="48B7E145">
            <w:pPr>
              <w:pStyle w:val="41"/>
              <w:rPr>
                <w:color w:val="auto"/>
                <w:highlight w:val="none"/>
              </w:rPr>
            </w:pPr>
            <w:r>
              <w:rPr>
                <w:rFonts w:hint="eastAsia"/>
                <w:color w:val="auto"/>
                <w:highlight w:val="none"/>
              </w:rPr>
              <w:t>2.58×10</w:t>
            </w:r>
            <w:r>
              <w:rPr>
                <w:rFonts w:hint="eastAsia"/>
                <w:color w:val="auto"/>
                <w:highlight w:val="none"/>
                <w:vertAlign w:val="superscript"/>
              </w:rPr>
              <w:t>-6</w:t>
            </w:r>
          </w:p>
        </w:tc>
        <w:tc>
          <w:tcPr>
            <w:tcW w:w="523" w:type="pct"/>
            <w:tcBorders>
              <w:tl2br w:val="nil"/>
              <w:tr2bl w:val="nil"/>
            </w:tcBorders>
            <w:shd w:val="clear" w:color="auto" w:fill="auto"/>
            <w:vAlign w:val="center"/>
          </w:tcPr>
          <w:p w14:paraId="5149E4EA">
            <w:pPr>
              <w:pStyle w:val="41"/>
              <w:rPr>
                <w:color w:val="auto"/>
                <w:highlight w:val="none"/>
              </w:rPr>
            </w:pPr>
            <w:r>
              <w:rPr>
                <w:rFonts w:hint="eastAsia"/>
                <w:color w:val="auto"/>
                <w:highlight w:val="none"/>
              </w:rPr>
              <w:t>75</w:t>
            </w:r>
          </w:p>
        </w:tc>
        <w:tc>
          <w:tcPr>
            <w:tcW w:w="697" w:type="pct"/>
            <w:tcBorders>
              <w:tl2br w:val="nil"/>
              <w:tr2bl w:val="nil"/>
            </w:tcBorders>
            <w:shd w:val="clear" w:color="auto" w:fill="auto"/>
            <w:vAlign w:val="center"/>
          </w:tcPr>
          <w:p w14:paraId="1ADFBE7A">
            <w:pPr>
              <w:pStyle w:val="41"/>
              <w:rPr>
                <w:color w:val="auto"/>
                <w:highlight w:val="none"/>
              </w:rPr>
            </w:pPr>
            <w:r>
              <w:rPr>
                <w:rFonts w:hint="eastAsia"/>
                <w:color w:val="auto"/>
                <w:highlight w:val="none"/>
              </w:rPr>
              <w:t>7.30×10</w:t>
            </w:r>
            <w:r>
              <w:rPr>
                <w:rFonts w:hint="eastAsia"/>
                <w:color w:val="auto"/>
                <w:highlight w:val="none"/>
                <w:vertAlign w:val="superscript"/>
              </w:rPr>
              <w:t>-8</w:t>
            </w:r>
          </w:p>
        </w:tc>
        <w:tc>
          <w:tcPr>
            <w:tcW w:w="610" w:type="pct"/>
            <w:vMerge w:val="continue"/>
            <w:tcBorders>
              <w:tl2br w:val="nil"/>
              <w:tr2bl w:val="nil"/>
            </w:tcBorders>
            <w:vAlign w:val="center"/>
          </w:tcPr>
          <w:p w14:paraId="149AFD27">
            <w:pPr>
              <w:pStyle w:val="41"/>
              <w:rPr>
                <w:color w:val="auto"/>
                <w:highlight w:val="none"/>
              </w:rPr>
            </w:pPr>
          </w:p>
        </w:tc>
      </w:tr>
      <w:tr w14:paraId="551648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continue"/>
            <w:tcBorders>
              <w:tl2br w:val="nil"/>
              <w:tr2bl w:val="nil"/>
            </w:tcBorders>
            <w:vAlign w:val="center"/>
          </w:tcPr>
          <w:p w14:paraId="1202ECD4">
            <w:pPr>
              <w:pStyle w:val="41"/>
              <w:rPr>
                <w:color w:val="auto"/>
                <w:highlight w:val="none"/>
              </w:rPr>
            </w:pPr>
          </w:p>
        </w:tc>
        <w:tc>
          <w:tcPr>
            <w:tcW w:w="324" w:type="pct"/>
            <w:tcBorders>
              <w:tl2br w:val="nil"/>
              <w:tr2bl w:val="nil"/>
            </w:tcBorders>
            <w:shd w:val="clear" w:color="auto" w:fill="auto"/>
            <w:vAlign w:val="center"/>
          </w:tcPr>
          <w:p w14:paraId="15443804">
            <w:pPr>
              <w:pStyle w:val="41"/>
              <w:rPr>
                <w:color w:val="auto"/>
                <w:highlight w:val="none"/>
              </w:rPr>
            </w:pPr>
            <w:r>
              <w:rPr>
                <w:rFonts w:hint="eastAsia"/>
                <w:color w:val="auto"/>
                <w:highlight w:val="none"/>
              </w:rPr>
              <w:t>8</w:t>
            </w:r>
          </w:p>
        </w:tc>
        <w:tc>
          <w:tcPr>
            <w:tcW w:w="663" w:type="pct"/>
            <w:tcBorders>
              <w:tl2br w:val="nil"/>
              <w:tr2bl w:val="nil"/>
            </w:tcBorders>
            <w:shd w:val="clear" w:color="auto" w:fill="auto"/>
            <w:vAlign w:val="center"/>
          </w:tcPr>
          <w:p w14:paraId="7525B15D">
            <w:pPr>
              <w:pStyle w:val="41"/>
              <w:rPr>
                <w:color w:val="auto"/>
                <w:highlight w:val="none"/>
              </w:rPr>
            </w:pPr>
            <w:r>
              <w:rPr>
                <w:rFonts w:hint="eastAsia"/>
                <w:color w:val="auto"/>
                <w:highlight w:val="none"/>
              </w:rPr>
              <w:t>13</w:t>
            </w:r>
          </w:p>
        </w:tc>
        <w:tc>
          <w:tcPr>
            <w:tcW w:w="696" w:type="pct"/>
            <w:tcBorders>
              <w:tl2br w:val="nil"/>
              <w:tr2bl w:val="nil"/>
            </w:tcBorders>
            <w:shd w:val="clear" w:color="auto" w:fill="auto"/>
            <w:vAlign w:val="center"/>
          </w:tcPr>
          <w:p w14:paraId="42123AAA">
            <w:pPr>
              <w:pStyle w:val="41"/>
              <w:rPr>
                <w:color w:val="auto"/>
                <w:highlight w:val="none"/>
              </w:rPr>
            </w:pPr>
            <w:r>
              <w:rPr>
                <w:rFonts w:hint="eastAsia"/>
                <w:color w:val="auto"/>
                <w:highlight w:val="none"/>
              </w:rPr>
              <w:t>5.32×10</w:t>
            </w:r>
            <w:r>
              <w:rPr>
                <w:rFonts w:hint="eastAsia"/>
                <w:color w:val="auto"/>
                <w:highlight w:val="none"/>
                <w:vertAlign w:val="superscript"/>
              </w:rPr>
              <w:t>-11</w:t>
            </w:r>
          </w:p>
        </w:tc>
        <w:tc>
          <w:tcPr>
            <w:tcW w:w="469" w:type="pct"/>
            <w:tcBorders>
              <w:tl2br w:val="nil"/>
              <w:tr2bl w:val="nil"/>
            </w:tcBorders>
            <w:shd w:val="clear" w:color="auto" w:fill="auto"/>
            <w:vAlign w:val="center"/>
          </w:tcPr>
          <w:p w14:paraId="50616B97">
            <w:pPr>
              <w:pStyle w:val="41"/>
              <w:rPr>
                <w:color w:val="auto"/>
                <w:highlight w:val="none"/>
              </w:rPr>
            </w:pPr>
            <w:r>
              <w:rPr>
                <w:rFonts w:hint="eastAsia"/>
                <w:color w:val="auto"/>
                <w:highlight w:val="none"/>
              </w:rPr>
              <w:t>40</w:t>
            </w:r>
          </w:p>
        </w:tc>
        <w:tc>
          <w:tcPr>
            <w:tcW w:w="699" w:type="pct"/>
            <w:tcBorders>
              <w:tl2br w:val="nil"/>
              <w:tr2bl w:val="nil"/>
            </w:tcBorders>
            <w:shd w:val="clear" w:color="auto" w:fill="auto"/>
            <w:vAlign w:val="center"/>
          </w:tcPr>
          <w:p w14:paraId="446965E8">
            <w:pPr>
              <w:pStyle w:val="41"/>
              <w:rPr>
                <w:color w:val="auto"/>
                <w:highlight w:val="none"/>
              </w:rPr>
            </w:pPr>
            <w:r>
              <w:rPr>
                <w:rFonts w:hint="eastAsia"/>
                <w:color w:val="auto"/>
                <w:highlight w:val="none"/>
              </w:rPr>
              <w:t>1.87×10</w:t>
            </w:r>
            <w:r>
              <w:rPr>
                <w:rFonts w:hint="eastAsia"/>
                <w:color w:val="auto"/>
                <w:highlight w:val="none"/>
                <w:vertAlign w:val="superscript"/>
              </w:rPr>
              <w:t>-9</w:t>
            </w:r>
          </w:p>
        </w:tc>
        <w:tc>
          <w:tcPr>
            <w:tcW w:w="523" w:type="pct"/>
            <w:tcBorders>
              <w:tl2br w:val="nil"/>
              <w:tr2bl w:val="nil"/>
            </w:tcBorders>
            <w:shd w:val="clear" w:color="auto" w:fill="auto"/>
            <w:vAlign w:val="center"/>
          </w:tcPr>
          <w:p w14:paraId="1A775E42">
            <w:pPr>
              <w:pStyle w:val="41"/>
              <w:rPr>
                <w:color w:val="auto"/>
                <w:highlight w:val="none"/>
              </w:rPr>
            </w:pPr>
            <w:r>
              <w:rPr>
                <w:rFonts w:hint="eastAsia"/>
                <w:color w:val="auto"/>
                <w:highlight w:val="none"/>
              </w:rPr>
              <w:t>90</w:t>
            </w:r>
          </w:p>
        </w:tc>
        <w:tc>
          <w:tcPr>
            <w:tcW w:w="697" w:type="pct"/>
            <w:tcBorders>
              <w:tl2br w:val="nil"/>
              <w:tr2bl w:val="nil"/>
            </w:tcBorders>
            <w:shd w:val="clear" w:color="auto" w:fill="auto"/>
            <w:vAlign w:val="center"/>
          </w:tcPr>
          <w:p w14:paraId="7067CFCF">
            <w:pPr>
              <w:pStyle w:val="41"/>
              <w:rPr>
                <w:color w:val="auto"/>
                <w:highlight w:val="none"/>
              </w:rPr>
            </w:pPr>
            <w:r>
              <w:rPr>
                <w:rFonts w:hint="eastAsia"/>
                <w:color w:val="auto"/>
                <w:highlight w:val="none"/>
              </w:rPr>
              <w:t>1.63×10</w:t>
            </w:r>
            <w:r>
              <w:rPr>
                <w:rFonts w:hint="eastAsia"/>
                <w:color w:val="auto"/>
                <w:highlight w:val="none"/>
                <w:vertAlign w:val="superscript"/>
              </w:rPr>
              <w:t>-10</w:t>
            </w:r>
          </w:p>
        </w:tc>
        <w:tc>
          <w:tcPr>
            <w:tcW w:w="610" w:type="pct"/>
            <w:vMerge w:val="continue"/>
            <w:tcBorders>
              <w:tl2br w:val="nil"/>
              <w:tr2bl w:val="nil"/>
            </w:tcBorders>
            <w:vAlign w:val="center"/>
          </w:tcPr>
          <w:p w14:paraId="599C1D20">
            <w:pPr>
              <w:pStyle w:val="41"/>
              <w:rPr>
                <w:color w:val="auto"/>
                <w:highlight w:val="none"/>
              </w:rPr>
            </w:pPr>
          </w:p>
        </w:tc>
      </w:tr>
      <w:tr w14:paraId="63EFE5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continue"/>
            <w:tcBorders>
              <w:tl2br w:val="nil"/>
              <w:tr2bl w:val="nil"/>
            </w:tcBorders>
            <w:vAlign w:val="center"/>
          </w:tcPr>
          <w:p w14:paraId="52DE306A">
            <w:pPr>
              <w:pStyle w:val="41"/>
              <w:rPr>
                <w:color w:val="auto"/>
                <w:highlight w:val="none"/>
              </w:rPr>
            </w:pPr>
          </w:p>
        </w:tc>
        <w:tc>
          <w:tcPr>
            <w:tcW w:w="324" w:type="pct"/>
            <w:tcBorders>
              <w:tl2br w:val="nil"/>
              <w:tr2bl w:val="nil"/>
            </w:tcBorders>
            <w:shd w:val="clear" w:color="auto" w:fill="auto"/>
            <w:vAlign w:val="center"/>
          </w:tcPr>
          <w:p w14:paraId="30F42DB2">
            <w:pPr>
              <w:pStyle w:val="41"/>
              <w:rPr>
                <w:color w:val="auto"/>
                <w:highlight w:val="none"/>
              </w:rPr>
            </w:pPr>
            <w:r>
              <w:rPr>
                <w:rFonts w:hint="eastAsia"/>
                <w:color w:val="auto"/>
                <w:highlight w:val="none"/>
              </w:rPr>
              <w:t>9</w:t>
            </w:r>
          </w:p>
        </w:tc>
        <w:tc>
          <w:tcPr>
            <w:tcW w:w="663" w:type="pct"/>
            <w:tcBorders>
              <w:tl2br w:val="nil"/>
              <w:tr2bl w:val="nil"/>
            </w:tcBorders>
            <w:shd w:val="clear" w:color="auto" w:fill="auto"/>
            <w:vAlign w:val="center"/>
          </w:tcPr>
          <w:p w14:paraId="2289E1AE">
            <w:pPr>
              <w:pStyle w:val="41"/>
              <w:rPr>
                <w:color w:val="auto"/>
                <w:highlight w:val="none"/>
              </w:rPr>
            </w:pPr>
            <w:r>
              <w:rPr>
                <w:rFonts w:hint="eastAsia"/>
                <w:color w:val="auto"/>
                <w:highlight w:val="none"/>
              </w:rPr>
              <w:t>16</w:t>
            </w:r>
          </w:p>
        </w:tc>
        <w:tc>
          <w:tcPr>
            <w:tcW w:w="696" w:type="pct"/>
            <w:tcBorders>
              <w:tl2br w:val="nil"/>
              <w:tr2bl w:val="nil"/>
            </w:tcBorders>
            <w:shd w:val="clear" w:color="auto" w:fill="auto"/>
            <w:vAlign w:val="center"/>
          </w:tcPr>
          <w:p w14:paraId="1EA385C9">
            <w:pPr>
              <w:pStyle w:val="41"/>
              <w:rPr>
                <w:color w:val="auto"/>
                <w:highlight w:val="none"/>
              </w:rPr>
            </w:pPr>
            <w:r>
              <w:rPr>
                <w:rFonts w:hint="eastAsia"/>
                <w:color w:val="auto"/>
                <w:highlight w:val="none"/>
              </w:rPr>
              <w:t>3.19×10</w:t>
            </w:r>
            <w:r>
              <w:rPr>
                <w:rFonts w:hint="eastAsia"/>
                <w:color w:val="auto"/>
                <w:highlight w:val="none"/>
                <w:vertAlign w:val="superscript"/>
              </w:rPr>
              <w:t>-15</w:t>
            </w:r>
          </w:p>
        </w:tc>
        <w:tc>
          <w:tcPr>
            <w:tcW w:w="469" w:type="pct"/>
            <w:tcBorders>
              <w:tl2br w:val="nil"/>
              <w:tr2bl w:val="nil"/>
            </w:tcBorders>
            <w:shd w:val="clear" w:color="auto" w:fill="auto"/>
            <w:vAlign w:val="center"/>
          </w:tcPr>
          <w:p w14:paraId="025044FE">
            <w:pPr>
              <w:pStyle w:val="41"/>
              <w:rPr>
                <w:color w:val="auto"/>
                <w:highlight w:val="none"/>
              </w:rPr>
            </w:pPr>
            <w:r>
              <w:rPr>
                <w:rFonts w:hint="eastAsia"/>
                <w:color w:val="auto"/>
                <w:highlight w:val="none"/>
              </w:rPr>
              <w:t>50</w:t>
            </w:r>
          </w:p>
        </w:tc>
        <w:tc>
          <w:tcPr>
            <w:tcW w:w="699" w:type="pct"/>
            <w:tcBorders>
              <w:tl2br w:val="nil"/>
              <w:tr2bl w:val="nil"/>
            </w:tcBorders>
            <w:shd w:val="clear" w:color="auto" w:fill="auto"/>
            <w:vAlign w:val="center"/>
          </w:tcPr>
          <w:p w14:paraId="5C737700">
            <w:pPr>
              <w:pStyle w:val="41"/>
              <w:rPr>
                <w:color w:val="auto"/>
                <w:highlight w:val="none"/>
              </w:rPr>
            </w:pPr>
            <w:r>
              <w:rPr>
                <w:rFonts w:hint="eastAsia"/>
                <w:color w:val="auto"/>
                <w:highlight w:val="none"/>
              </w:rPr>
              <w:t>1.43×10</w:t>
            </w:r>
            <w:r>
              <w:rPr>
                <w:rFonts w:hint="eastAsia"/>
                <w:color w:val="auto"/>
                <w:highlight w:val="none"/>
                <w:vertAlign w:val="superscript"/>
              </w:rPr>
              <w:t>-13</w:t>
            </w:r>
          </w:p>
        </w:tc>
        <w:tc>
          <w:tcPr>
            <w:tcW w:w="523" w:type="pct"/>
            <w:tcBorders>
              <w:tl2br w:val="nil"/>
              <w:tr2bl w:val="nil"/>
            </w:tcBorders>
            <w:shd w:val="clear" w:color="auto" w:fill="auto"/>
            <w:vAlign w:val="center"/>
          </w:tcPr>
          <w:p w14:paraId="54A913B7">
            <w:pPr>
              <w:pStyle w:val="41"/>
              <w:rPr>
                <w:color w:val="auto"/>
                <w:highlight w:val="none"/>
              </w:rPr>
            </w:pPr>
            <w:r>
              <w:rPr>
                <w:rFonts w:hint="eastAsia"/>
                <w:color w:val="auto"/>
                <w:highlight w:val="none"/>
              </w:rPr>
              <w:t>105</w:t>
            </w:r>
          </w:p>
        </w:tc>
        <w:tc>
          <w:tcPr>
            <w:tcW w:w="697" w:type="pct"/>
            <w:tcBorders>
              <w:tl2br w:val="nil"/>
              <w:tr2bl w:val="nil"/>
            </w:tcBorders>
            <w:shd w:val="clear" w:color="auto" w:fill="auto"/>
            <w:vAlign w:val="center"/>
          </w:tcPr>
          <w:p w14:paraId="756646B8">
            <w:pPr>
              <w:pStyle w:val="41"/>
              <w:rPr>
                <w:color w:val="auto"/>
                <w:highlight w:val="none"/>
              </w:rPr>
            </w:pPr>
            <w:r>
              <w:rPr>
                <w:rFonts w:hint="eastAsia"/>
                <w:color w:val="auto"/>
                <w:highlight w:val="none"/>
              </w:rPr>
              <w:t>2.91×10</w:t>
            </w:r>
            <w:r>
              <w:rPr>
                <w:rFonts w:hint="eastAsia"/>
                <w:color w:val="auto"/>
                <w:highlight w:val="none"/>
                <w:vertAlign w:val="superscript"/>
              </w:rPr>
              <w:t>-14</w:t>
            </w:r>
          </w:p>
        </w:tc>
        <w:tc>
          <w:tcPr>
            <w:tcW w:w="610" w:type="pct"/>
            <w:vMerge w:val="continue"/>
            <w:tcBorders>
              <w:tl2br w:val="nil"/>
              <w:tr2bl w:val="nil"/>
            </w:tcBorders>
            <w:vAlign w:val="center"/>
          </w:tcPr>
          <w:p w14:paraId="6FB3E89E">
            <w:pPr>
              <w:pStyle w:val="41"/>
              <w:rPr>
                <w:color w:val="auto"/>
                <w:highlight w:val="none"/>
              </w:rPr>
            </w:pPr>
          </w:p>
        </w:tc>
      </w:tr>
      <w:tr w14:paraId="0A3332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4" w:type="pct"/>
            <w:vMerge w:val="continue"/>
            <w:tcBorders>
              <w:tl2br w:val="nil"/>
              <w:tr2bl w:val="nil"/>
            </w:tcBorders>
            <w:vAlign w:val="center"/>
          </w:tcPr>
          <w:p w14:paraId="053B42E4">
            <w:pPr>
              <w:pStyle w:val="41"/>
              <w:rPr>
                <w:color w:val="auto"/>
                <w:highlight w:val="none"/>
              </w:rPr>
            </w:pPr>
          </w:p>
        </w:tc>
        <w:tc>
          <w:tcPr>
            <w:tcW w:w="324" w:type="pct"/>
            <w:tcBorders>
              <w:tl2br w:val="nil"/>
              <w:tr2bl w:val="nil"/>
            </w:tcBorders>
            <w:shd w:val="clear" w:color="auto" w:fill="auto"/>
            <w:vAlign w:val="center"/>
          </w:tcPr>
          <w:p w14:paraId="4D81C87E">
            <w:pPr>
              <w:pStyle w:val="41"/>
              <w:rPr>
                <w:color w:val="auto"/>
                <w:highlight w:val="none"/>
              </w:rPr>
            </w:pPr>
            <w:r>
              <w:rPr>
                <w:rFonts w:hint="eastAsia"/>
                <w:color w:val="auto"/>
                <w:highlight w:val="none"/>
              </w:rPr>
              <w:t>10</w:t>
            </w:r>
          </w:p>
        </w:tc>
        <w:tc>
          <w:tcPr>
            <w:tcW w:w="663" w:type="pct"/>
            <w:tcBorders>
              <w:tl2br w:val="nil"/>
              <w:tr2bl w:val="nil"/>
            </w:tcBorders>
            <w:shd w:val="clear" w:color="auto" w:fill="auto"/>
            <w:vAlign w:val="center"/>
          </w:tcPr>
          <w:p w14:paraId="06F5754D">
            <w:pPr>
              <w:pStyle w:val="41"/>
              <w:rPr>
                <w:color w:val="auto"/>
                <w:highlight w:val="none"/>
              </w:rPr>
            </w:pPr>
            <w:r>
              <w:rPr>
                <w:rFonts w:hint="eastAsia"/>
                <w:color w:val="auto"/>
                <w:highlight w:val="none"/>
              </w:rPr>
              <w:t>19</w:t>
            </w:r>
          </w:p>
        </w:tc>
        <w:tc>
          <w:tcPr>
            <w:tcW w:w="696" w:type="pct"/>
            <w:tcBorders>
              <w:tl2br w:val="nil"/>
              <w:tr2bl w:val="nil"/>
            </w:tcBorders>
            <w:shd w:val="clear" w:color="auto" w:fill="auto"/>
            <w:vAlign w:val="center"/>
          </w:tcPr>
          <w:p w14:paraId="11A1B130">
            <w:pPr>
              <w:pStyle w:val="41"/>
              <w:rPr>
                <w:color w:val="auto"/>
                <w:highlight w:val="none"/>
              </w:rPr>
            </w:pPr>
            <w:r>
              <w:rPr>
                <w:rFonts w:hint="eastAsia"/>
                <w:color w:val="auto"/>
                <w:highlight w:val="none"/>
              </w:rPr>
              <w:t>0</w:t>
            </w:r>
          </w:p>
        </w:tc>
        <w:tc>
          <w:tcPr>
            <w:tcW w:w="469" w:type="pct"/>
            <w:tcBorders>
              <w:tl2br w:val="nil"/>
              <w:tr2bl w:val="nil"/>
            </w:tcBorders>
            <w:shd w:val="clear" w:color="auto" w:fill="auto"/>
            <w:vAlign w:val="center"/>
          </w:tcPr>
          <w:p w14:paraId="03174A58">
            <w:pPr>
              <w:pStyle w:val="41"/>
              <w:rPr>
                <w:color w:val="auto"/>
                <w:highlight w:val="none"/>
              </w:rPr>
            </w:pPr>
            <w:r>
              <w:rPr>
                <w:rFonts w:hint="eastAsia"/>
                <w:color w:val="auto"/>
                <w:highlight w:val="none"/>
              </w:rPr>
              <w:t>60</w:t>
            </w:r>
          </w:p>
        </w:tc>
        <w:tc>
          <w:tcPr>
            <w:tcW w:w="699" w:type="pct"/>
            <w:tcBorders>
              <w:tl2br w:val="nil"/>
              <w:tr2bl w:val="nil"/>
            </w:tcBorders>
            <w:shd w:val="clear" w:color="auto" w:fill="auto"/>
            <w:vAlign w:val="center"/>
          </w:tcPr>
          <w:p w14:paraId="2F8BC585">
            <w:pPr>
              <w:pStyle w:val="41"/>
              <w:rPr>
                <w:color w:val="auto"/>
                <w:highlight w:val="none"/>
              </w:rPr>
            </w:pPr>
            <w:r>
              <w:rPr>
                <w:rFonts w:hint="eastAsia"/>
                <w:color w:val="auto"/>
                <w:highlight w:val="none"/>
              </w:rPr>
              <w:t>0</w:t>
            </w:r>
          </w:p>
        </w:tc>
        <w:tc>
          <w:tcPr>
            <w:tcW w:w="523" w:type="pct"/>
            <w:tcBorders>
              <w:tl2br w:val="nil"/>
              <w:tr2bl w:val="nil"/>
            </w:tcBorders>
            <w:shd w:val="clear" w:color="auto" w:fill="auto"/>
            <w:vAlign w:val="center"/>
          </w:tcPr>
          <w:p w14:paraId="202557F6">
            <w:pPr>
              <w:pStyle w:val="41"/>
              <w:rPr>
                <w:color w:val="auto"/>
                <w:highlight w:val="none"/>
              </w:rPr>
            </w:pPr>
            <w:r>
              <w:rPr>
                <w:rFonts w:hint="eastAsia"/>
                <w:color w:val="auto"/>
                <w:highlight w:val="none"/>
              </w:rPr>
              <w:t>123</w:t>
            </w:r>
          </w:p>
        </w:tc>
        <w:tc>
          <w:tcPr>
            <w:tcW w:w="697" w:type="pct"/>
            <w:tcBorders>
              <w:tl2br w:val="nil"/>
              <w:tr2bl w:val="nil"/>
            </w:tcBorders>
            <w:shd w:val="clear" w:color="auto" w:fill="auto"/>
            <w:vAlign w:val="center"/>
          </w:tcPr>
          <w:p w14:paraId="53AC3E46">
            <w:pPr>
              <w:pStyle w:val="41"/>
              <w:rPr>
                <w:color w:val="auto"/>
                <w:highlight w:val="none"/>
              </w:rPr>
            </w:pPr>
            <w:r>
              <w:rPr>
                <w:rFonts w:hint="eastAsia"/>
                <w:color w:val="auto"/>
                <w:highlight w:val="none"/>
              </w:rPr>
              <w:t>0</w:t>
            </w:r>
          </w:p>
        </w:tc>
        <w:tc>
          <w:tcPr>
            <w:tcW w:w="610" w:type="pct"/>
            <w:vMerge w:val="continue"/>
            <w:tcBorders>
              <w:tl2br w:val="nil"/>
              <w:tr2bl w:val="nil"/>
            </w:tcBorders>
            <w:vAlign w:val="center"/>
          </w:tcPr>
          <w:p w14:paraId="11DDEF54">
            <w:pPr>
              <w:pStyle w:val="41"/>
              <w:rPr>
                <w:color w:val="auto"/>
                <w:highlight w:val="none"/>
              </w:rPr>
            </w:pPr>
          </w:p>
        </w:tc>
      </w:tr>
    </w:tbl>
    <w:p w14:paraId="6927E8B2">
      <w:pPr>
        <w:pStyle w:val="3"/>
        <w:ind w:firstLine="480"/>
        <w:rPr>
          <w:color w:val="auto"/>
          <w:highlight w:val="none"/>
        </w:rPr>
      </w:pPr>
      <w:r>
        <w:rPr>
          <w:rFonts w:hint="eastAsia"/>
          <w:color w:val="auto"/>
          <w:highlight w:val="none"/>
        </w:rPr>
        <w:t>根据计算结果可以看出，镍、铅沿地下水流方向向下游迁移，而且随着迁移距离的变长，污染物浓度峰值变小；镍</w:t>
      </w:r>
      <w:r>
        <w:rPr>
          <w:color w:val="auto"/>
          <w:highlight w:val="none"/>
        </w:rPr>
        <w:t>污染物泄漏100d下游最大</w:t>
      </w:r>
      <w:r>
        <w:rPr>
          <w:rFonts w:hint="eastAsia"/>
          <w:color w:val="auto"/>
          <w:highlight w:val="none"/>
        </w:rPr>
        <w:t>运移</w:t>
      </w:r>
      <w:r>
        <w:rPr>
          <w:color w:val="auto"/>
          <w:highlight w:val="none"/>
        </w:rPr>
        <w:t>距离约为</w:t>
      </w:r>
      <w:r>
        <w:rPr>
          <w:rFonts w:hint="eastAsia"/>
          <w:color w:val="auto"/>
          <w:highlight w:val="none"/>
        </w:rPr>
        <w:t>19</w:t>
      </w:r>
      <w:r>
        <w:rPr>
          <w:color w:val="auto"/>
          <w:highlight w:val="none"/>
        </w:rPr>
        <w:t>m，在污染源下游</w:t>
      </w:r>
      <w:r>
        <w:rPr>
          <w:rFonts w:hint="eastAsia"/>
          <w:color w:val="auto"/>
          <w:highlight w:val="none"/>
        </w:rPr>
        <w:t>2</w:t>
      </w:r>
      <w:r>
        <w:rPr>
          <w:color w:val="auto"/>
          <w:highlight w:val="none"/>
        </w:rPr>
        <w:t>m及更远距离处污染物浓度达到地下水Ⅲ类水质标准要求</w:t>
      </w:r>
      <w:r>
        <w:rPr>
          <w:rFonts w:hint="eastAsia"/>
          <w:color w:val="auto"/>
          <w:highlight w:val="none"/>
        </w:rPr>
        <w:t>；镍</w:t>
      </w:r>
      <w:r>
        <w:rPr>
          <w:color w:val="auto"/>
          <w:highlight w:val="none"/>
        </w:rPr>
        <w:t>污染物泄漏</w:t>
      </w:r>
      <w:r>
        <w:rPr>
          <w:rFonts w:hint="eastAsia"/>
          <w:color w:val="auto"/>
          <w:highlight w:val="none"/>
        </w:rPr>
        <w:t>1000</w:t>
      </w:r>
      <w:r>
        <w:rPr>
          <w:color w:val="auto"/>
          <w:highlight w:val="none"/>
        </w:rPr>
        <w:t>d下游最大</w:t>
      </w:r>
      <w:r>
        <w:rPr>
          <w:rFonts w:hint="eastAsia"/>
          <w:color w:val="auto"/>
          <w:highlight w:val="none"/>
        </w:rPr>
        <w:t>运移</w:t>
      </w:r>
      <w:r>
        <w:rPr>
          <w:color w:val="auto"/>
          <w:highlight w:val="none"/>
        </w:rPr>
        <w:t>距离约为</w:t>
      </w:r>
      <w:r>
        <w:rPr>
          <w:rFonts w:hint="eastAsia"/>
          <w:color w:val="auto"/>
          <w:highlight w:val="none"/>
        </w:rPr>
        <w:t>60</w:t>
      </w:r>
      <w:r>
        <w:rPr>
          <w:color w:val="auto"/>
          <w:highlight w:val="none"/>
        </w:rPr>
        <w:t>m，在污染源下游</w:t>
      </w:r>
      <w:r>
        <w:rPr>
          <w:rFonts w:hint="eastAsia"/>
          <w:color w:val="auto"/>
          <w:highlight w:val="none"/>
        </w:rPr>
        <w:t>8</w:t>
      </w:r>
      <w:r>
        <w:rPr>
          <w:color w:val="auto"/>
          <w:highlight w:val="none"/>
        </w:rPr>
        <w:t>m及更远距离处污染物浓度达到地下水Ⅲ类水质标准要求</w:t>
      </w:r>
      <w:r>
        <w:rPr>
          <w:rFonts w:hint="eastAsia"/>
          <w:color w:val="auto"/>
          <w:highlight w:val="none"/>
        </w:rPr>
        <w:t>；镍</w:t>
      </w:r>
      <w:r>
        <w:rPr>
          <w:color w:val="auto"/>
          <w:highlight w:val="none"/>
        </w:rPr>
        <w:t>污染物泄漏</w:t>
      </w:r>
      <w:r>
        <w:rPr>
          <w:rFonts w:hint="eastAsia"/>
          <w:color w:val="auto"/>
          <w:highlight w:val="none"/>
        </w:rPr>
        <w:t>3650</w:t>
      </w:r>
      <w:r>
        <w:rPr>
          <w:color w:val="auto"/>
          <w:highlight w:val="none"/>
        </w:rPr>
        <w:t>d下游最大</w:t>
      </w:r>
      <w:r>
        <w:rPr>
          <w:rFonts w:hint="eastAsia"/>
          <w:color w:val="auto"/>
          <w:highlight w:val="none"/>
        </w:rPr>
        <w:t>运移</w:t>
      </w:r>
      <w:r>
        <w:rPr>
          <w:color w:val="auto"/>
          <w:highlight w:val="none"/>
        </w:rPr>
        <w:t>距离约为</w:t>
      </w:r>
      <w:r>
        <w:rPr>
          <w:rFonts w:hint="eastAsia"/>
          <w:color w:val="auto"/>
          <w:highlight w:val="none"/>
        </w:rPr>
        <w:t>123</w:t>
      </w:r>
      <w:r>
        <w:rPr>
          <w:color w:val="auto"/>
          <w:highlight w:val="none"/>
        </w:rPr>
        <w:t>m，在污染源下游</w:t>
      </w:r>
      <w:r>
        <w:rPr>
          <w:rFonts w:hint="eastAsia"/>
          <w:color w:val="auto"/>
          <w:highlight w:val="none"/>
        </w:rPr>
        <w:t>21</w:t>
      </w:r>
      <w:r>
        <w:rPr>
          <w:color w:val="auto"/>
          <w:highlight w:val="none"/>
        </w:rPr>
        <w:t>m及更远距离处污染物浓度达到地下水Ⅲ类水质标准要求</w:t>
      </w:r>
      <w:r>
        <w:rPr>
          <w:rFonts w:hint="eastAsia"/>
          <w:color w:val="auto"/>
          <w:highlight w:val="none"/>
        </w:rPr>
        <w:t>。</w:t>
      </w:r>
    </w:p>
    <w:p w14:paraId="3B16F6D1">
      <w:pPr>
        <w:pStyle w:val="3"/>
        <w:ind w:firstLine="480"/>
        <w:rPr>
          <w:color w:val="auto"/>
          <w:highlight w:val="none"/>
        </w:rPr>
      </w:pPr>
      <w:r>
        <w:rPr>
          <w:rFonts w:hint="eastAsia"/>
          <w:color w:val="auto"/>
          <w:highlight w:val="none"/>
        </w:rPr>
        <w:t>铅</w:t>
      </w:r>
      <w:r>
        <w:rPr>
          <w:color w:val="auto"/>
          <w:highlight w:val="none"/>
        </w:rPr>
        <w:t>污染物泄漏100d下游最大</w:t>
      </w:r>
      <w:r>
        <w:rPr>
          <w:rFonts w:hint="eastAsia"/>
          <w:color w:val="auto"/>
          <w:highlight w:val="none"/>
        </w:rPr>
        <w:t>运移</w:t>
      </w:r>
      <w:r>
        <w:rPr>
          <w:color w:val="auto"/>
          <w:highlight w:val="none"/>
        </w:rPr>
        <w:t>距离约为</w:t>
      </w:r>
      <w:r>
        <w:rPr>
          <w:rFonts w:hint="eastAsia"/>
          <w:color w:val="auto"/>
          <w:highlight w:val="none"/>
        </w:rPr>
        <w:t>19</w:t>
      </w:r>
      <w:r>
        <w:rPr>
          <w:color w:val="auto"/>
          <w:highlight w:val="none"/>
        </w:rPr>
        <w:t>m，在污染源下游</w:t>
      </w:r>
      <w:r>
        <w:rPr>
          <w:rFonts w:hint="eastAsia"/>
          <w:color w:val="auto"/>
          <w:highlight w:val="none"/>
        </w:rPr>
        <w:t>3</w:t>
      </w:r>
      <w:r>
        <w:rPr>
          <w:color w:val="auto"/>
          <w:highlight w:val="none"/>
        </w:rPr>
        <w:t>m及更远距离处污染物浓度达到地下水Ⅲ类水质标准要求</w:t>
      </w:r>
      <w:r>
        <w:rPr>
          <w:rFonts w:hint="eastAsia"/>
          <w:color w:val="auto"/>
          <w:highlight w:val="none"/>
        </w:rPr>
        <w:t>；铅</w:t>
      </w:r>
      <w:r>
        <w:rPr>
          <w:color w:val="auto"/>
          <w:highlight w:val="none"/>
        </w:rPr>
        <w:t>污染物泄漏</w:t>
      </w:r>
      <w:r>
        <w:rPr>
          <w:rFonts w:hint="eastAsia"/>
          <w:color w:val="auto"/>
          <w:highlight w:val="none"/>
        </w:rPr>
        <w:t>1000</w:t>
      </w:r>
      <w:r>
        <w:rPr>
          <w:color w:val="auto"/>
          <w:highlight w:val="none"/>
        </w:rPr>
        <w:t>d下游最大</w:t>
      </w:r>
      <w:r>
        <w:rPr>
          <w:rFonts w:hint="eastAsia"/>
          <w:color w:val="auto"/>
          <w:highlight w:val="none"/>
        </w:rPr>
        <w:t>运移</w:t>
      </w:r>
      <w:r>
        <w:rPr>
          <w:color w:val="auto"/>
          <w:highlight w:val="none"/>
        </w:rPr>
        <w:t>距离约为</w:t>
      </w:r>
      <w:r>
        <w:rPr>
          <w:rFonts w:hint="eastAsia"/>
          <w:color w:val="auto"/>
          <w:highlight w:val="none"/>
        </w:rPr>
        <w:t>60</w:t>
      </w:r>
      <w:r>
        <w:rPr>
          <w:color w:val="auto"/>
          <w:highlight w:val="none"/>
        </w:rPr>
        <w:t>m，在污染源下游</w:t>
      </w:r>
      <w:r>
        <w:rPr>
          <w:rFonts w:hint="eastAsia"/>
          <w:color w:val="auto"/>
          <w:highlight w:val="none"/>
        </w:rPr>
        <w:t>9</w:t>
      </w:r>
      <w:r>
        <w:rPr>
          <w:color w:val="auto"/>
          <w:highlight w:val="none"/>
        </w:rPr>
        <w:t>m及更远距离处污染物浓度达到地下水Ⅲ类水质标准要求</w:t>
      </w:r>
      <w:r>
        <w:rPr>
          <w:rFonts w:hint="eastAsia"/>
          <w:color w:val="auto"/>
          <w:highlight w:val="none"/>
        </w:rPr>
        <w:t>；铅</w:t>
      </w:r>
      <w:r>
        <w:rPr>
          <w:color w:val="auto"/>
          <w:highlight w:val="none"/>
        </w:rPr>
        <w:t>污染物泄漏</w:t>
      </w:r>
      <w:r>
        <w:rPr>
          <w:rFonts w:hint="eastAsia"/>
          <w:color w:val="auto"/>
          <w:highlight w:val="none"/>
        </w:rPr>
        <w:t>3650</w:t>
      </w:r>
      <w:r>
        <w:rPr>
          <w:color w:val="auto"/>
          <w:highlight w:val="none"/>
        </w:rPr>
        <w:t>d下游最大</w:t>
      </w:r>
      <w:r>
        <w:rPr>
          <w:rFonts w:hint="eastAsia"/>
          <w:color w:val="auto"/>
          <w:highlight w:val="none"/>
        </w:rPr>
        <w:t>运移</w:t>
      </w:r>
      <w:r>
        <w:rPr>
          <w:color w:val="auto"/>
          <w:highlight w:val="none"/>
        </w:rPr>
        <w:t>距离约为</w:t>
      </w:r>
      <w:r>
        <w:rPr>
          <w:rFonts w:hint="eastAsia"/>
          <w:color w:val="auto"/>
          <w:highlight w:val="none"/>
        </w:rPr>
        <w:t>123</w:t>
      </w:r>
      <w:r>
        <w:rPr>
          <w:color w:val="auto"/>
          <w:highlight w:val="none"/>
        </w:rPr>
        <w:t>m，在污染源下游</w:t>
      </w:r>
      <w:r>
        <w:rPr>
          <w:rFonts w:hint="eastAsia"/>
          <w:color w:val="auto"/>
          <w:highlight w:val="none"/>
        </w:rPr>
        <w:t>24</w:t>
      </w:r>
      <w:r>
        <w:rPr>
          <w:color w:val="auto"/>
          <w:highlight w:val="none"/>
        </w:rPr>
        <w:t>m及更远距离处污染物浓度达到地下水Ⅲ类水质标准要求</w:t>
      </w:r>
      <w:r>
        <w:rPr>
          <w:rFonts w:hint="eastAsia"/>
          <w:color w:val="auto"/>
          <w:highlight w:val="none"/>
        </w:rPr>
        <w:t>。</w:t>
      </w:r>
    </w:p>
    <w:p w14:paraId="7B0776F4">
      <w:pPr>
        <w:pStyle w:val="40"/>
        <w:rPr>
          <w:color w:val="auto"/>
          <w:highlight w:val="none"/>
        </w:rPr>
      </w:pPr>
      <w:r>
        <w:rPr>
          <w:rFonts w:hint="eastAsia"/>
          <w:color w:val="auto"/>
          <w:highlight w:val="none"/>
        </w:rPr>
        <w:t>表5.3-5    地下水影响预测结果</w:t>
      </w:r>
    </w:p>
    <w:tbl>
      <w:tblPr>
        <w:tblStyle w:val="26"/>
        <w:tblpPr w:leftFromText="180" w:rightFromText="180" w:vertAnchor="text" w:tblpX="322" w:tblpY="15"/>
        <w:tblOverlap w:val="never"/>
        <w:tblW w:w="4748" w:type="pct"/>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56"/>
        <w:gridCol w:w="933"/>
        <w:gridCol w:w="6398"/>
      </w:tblGrid>
      <w:tr w14:paraId="02FCE42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38" w:hRule="atLeast"/>
        </w:trPr>
        <w:tc>
          <w:tcPr>
            <w:tcW w:w="467" w:type="pct"/>
            <w:tcBorders>
              <w:tl2br w:val="nil"/>
              <w:tr2bl w:val="nil"/>
            </w:tcBorders>
            <w:vAlign w:val="center"/>
          </w:tcPr>
          <w:p w14:paraId="686B7655">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r>
              <w:rPr>
                <w:rFonts w:hint="eastAsia"/>
                <w:color w:val="auto"/>
                <w:highlight w:val="none"/>
              </w:rPr>
              <w:t>预测因子</w:t>
            </w:r>
          </w:p>
        </w:tc>
        <w:tc>
          <w:tcPr>
            <w:tcW w:w="577" w:type="pct"/>
            <w:tcBorders>
              <w:tl2br w:val="nil"/>
              <w:tr2bl w:val="nil"/>
            </w:tcBorders>
            <w:vAlign w:val="center"/>
          </w:tcPr>
          <w:p w14:paraId="7DA79948">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r>
              <w:rPr>
                <w:rFonts w:hint="eastAsia"/>
                <w:color w:val="auto"/>
                <w:highlight w:val="none"/>
              </w:rPr>
              <w:t>预测时间</w:t>
            </w:r>
          </w:p>
        </w:tc>
        <w:tc>
          <w:tcPr>
            <w:tcW w:w="3955" w:type="pct"/>
            <w:tcBorders>
              <w:tl2br w:val="nil"/>
              <w:tr2bl w:val="nil"/>
            </w:tcBorders>
            <w:vAlign w:val="center"/>
          </w:tcPr>
          <w:p w14:paraId="21B04968">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r>
              <w:rPr>
                <w:rFonts w:hint="eastAsia"/>
                <w:color w:val="auto"/>
                <w:highlight w:val="none"/>
              </w:rPr>
              <w:t>预测结果</w:t>
            </w:r>
          </w:p>
        </w:tc>
      </w:tr>
      <w:tr w14:paraId="73DD609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38" w:hRule="atLeast"/>
        </w:trPr>
        <w:tc>
          <w:tcPr>
            <w:tcW w:w="467" w:type="pct"/>
            <w:vMerge w:val="restart"/>
            <w:tcBorders>
              <w:tl2br w:val="nil"/>
              <w:tr2bl w:val="nil"/>
            </w:tcBorders>
            <w:vAlign w:val="center"/>
          </w:tcPr>
          <w:p w14:paraId="3AC8E5E3">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r>
              <w:rPr>
                <w:rFonts w:hint="eastAsia"/>
                <w:color w:val="auto"/>
                <w:highlight w:val="none"/>
              </w:rPr>
              <w:t>镍</w:t>
            </w:r>
          </w:p>
        </w:tc>
        <w:tc>
          <w:tcPr>
            <w:tcW w:w="577" w:type="pct"/>
            <w:tcBorders>
              <w:tl2br w:val="nil"/>
              <w:tr2bl w:val="nil"/>
            </w:tcBorders>
            <w:vAlign w:val="center"/>
          </w:tcPr>
          <w:p w14:paraId="482800C5">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r>
              <w:rPr>
                <w:rFonts w:hint="eastAsia"/>
                <w:color w:val="auto"/>
                <w:highlight w:val="none"/>
              </w:rPr>
              <w:t>100d</w:t>
            </w:r>
          </w:p>
        </w:tc>
        <w:tc>
          <w:tcPr>
            <w:tcW w:w="3955" w:type="pct"/>
            <w:tcBorders>
              <w:tl2br w:val="nil"/>
              <w:tr2bl w:val="nil"/>
            </w:tcBorders>
            <w:vAlign w:val="center"/>
          </w:tcPr>
          <w:p w14:paraId="41B2651A">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r>
              <w:rPr>
                <w:color w:val="auto"/>
                <w:highlight w:val="none"/>
              </w:rPr>
              <w:drawing>
                <wp:inline distT="0" distB="0" distL="114300" distR="114300">
                  <wp:extent cx="3925570" cy="2359660"/>
                  <wp:effectExtent l="0" t="0" r="17780" b="2540"/>
                  <wp:docPr id="110196930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969300" name="图片 14"/>
                          <pic:cNvPicPr>
                            <a:picLocks noChangeAspect="1"/>
                          </pic:cNvPicPr>
                        </pic:nvPicPr>
                        <pic:blipFill>
                          <a:blip r:embed="rId64"/>
                          <a:stretch>
                            <a:fillRect/>
                          </a:stretch>
                        </pic:blipFill>
                        <pic:spPr>
                          <a:xfrm>
                            <a:off x="0" y="0"/>
                            <a:ext cx="3925570" cy="2359660"/>
                          </a:xfrm>
                          <a:prstGeom prst="rect">
                            <a:avLst/>
                          </a:prstGeom>
                          <a:noFill/>
                          <a:ln>
                            <a:noFill/>
                          </a:ln>
                        </pic:spPr>
                      </pic:pic>
                    </a:graphicData>
                  </a:graphic>
                </wp:inline>
              </w:drawing>
            </w:r>
          </w:p>
        </w:tc>
      </w:tr>
      <w:tr w14:paraId="5AE0EF1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38" w:hRule="atLeast"/>
        </w:trPr>
        <w:tc>
          <w:tcPr>
            <w:tcW w:w="467" w:type="pct"/>
            <w:vMerge w:val="continue"/>
            <w:tcBorders>
              <w:tl2br w:val="nil"/>
              <w:tr2bl w:val="nil"/>
            </w:tcBorders>
            <w:vAlign w:val="center"/>
          </w:tcPr>
          <w:p w14:paraId="0ED0AD39">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p>
        </w:tc>
        <w:tc>
          <w:tcPr>
            <w:tcW w:w="577" w:type="pct"/>
            <w:tcBorders>
              <w:tl2br w:val="nil"/>
              <w:tr2bl w:val="nil"/>
            </w:tcBorders>
            <w:vAlign w:val="center"/>
          </w:tcPr>
          <w:p w14:paraId="7692281D">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r>
              <w:rPr>
                <w:rFonts w:hint="eastAsia"/>
                <w:color w:val="auto"/>
                <w:highlight w:val="none"/>
              </w:rPr>
              <w:t>1000d</w:t>
            </w:r>
          </w:p>
        </w:tc>
        <w:tc>
          <w:tcPr>
            <w:tcW w:w="3955" w:type="pct"/>
            <w:tcBorders>
              <w:tl2br w:val="nil"/>
              <w:tr2bl w:val="nil"/>
            </w:tcBorders>
            <w:vAlign w:val="center"/>
          </w:tcPr>
          <w:p w14:paraId="6019DA84">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r>
              <w:rPr>
                <w:color w:val="auto"/>
                <w:highlight w:val="none"/>
              </w:rPr>
              <w:drawing>
                <wp:inline distT="0" distB="0" distL="114300" distR="114300">
                  <wp:extent cx="3921760" cy="2359660"/>
                  <wp:effectExtent l="0" t="0" r="2540" b="2540"/>
                  <wp:docPr id="1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5"/>
                          <pic:cNvPicPr>
                            <a:picLocks noChangeAspect="1"/>
                          </pic:cNvPicPr>
                        </pic:nvPicPr>
                        <pic:blipFill>
                          <a:blip r:embed="rId65"/>
                          <a:stretch>
                            <a:fillRect/>
                          </a:stretch>
                        </pic:blipFill>
                        <pic:spPr>
                          <a:xfrm>
                            <a:off x="0" y="0"/>
                            <a:ext cx="3921760" cy="2359660"/>
                          </a:xfrm>
                          <a:prstGeom prst="rect">
                            <a:avLst/>
                          </a:prstGeom>
                          <a:noFill/>
                          <a:ln>
                            <a:noFill/>
                          </a:ln>
                        </pic:spPr>
                      </pic:pic>
                    </a:graphicData>
                  </a:graphic>
                </wp:inline>
              </w:drawing>
            </w:r>
          </w:p>
        </w:tc>
      </w:tr>
      <w:tr w14:paraId="1AAA35D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38" w:hRule="atLeast"/>
        </w:trPr>
        <w:tc>
          <w:tcPr>
            <w:tcW w:w="467" w:type="pct"/>
            <w:vMerge w:val="continue"/>
            <w:tcBorders>
              <w:tl2br w:val="nil"/>
              <w:tr2bl w:val="nil"/>
            </w:tcBorders>
            <w:vAlign w:val="center"/>
          </w:tcPr>
          <w:p w14:paraId="02403559">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p>
        </w:tc>
        <w:tc>
          <w:tcPr>
            <w:tcW w:w="577" w:type="pct"/>
            <w:tcBorders>
              <w:tl2br w:val="nil"/>
              <w:tr2bl w:val="nil"/>
            </w:tcBorders>
            <w:vAlign w:val="center"/>
          </w:tcPr>
          <w:p w14:paraId="744B4676">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r>
              <w:rPr>
                <w:rFonts w:hint="eastAsia"/>
                <w:color w:val="auto"/>
                <w:highlight w:val="none"/>
              </w:rPr>
              <w:t>3650d</w:t>
            </w:r>
          </w:p>
        </w:tc>
        <w:tc>
          <w:tcPr>
            <w:tcW w:w="3955" w:type="pct"/>
            <w:tcBorders>
              <w:tl2br w:val="nil"/>
              <w:tr2bl w:val="nil"/>
            </w:tcBorders>
            <w:vAlign w:val="center"/>
          </w:tcPr>
          <w:p w14:paraId="06DB0061">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r>
              <w:rPr>
                <w:color w:val="auto"/>
                <w:highlight w:val="none"/>
              </w:rPr>
              <w:drawing>
                <wp:inline distT="0" distB="0" distL="114300" distR="114300">
                  <wp:extent cx="3924300" cy="2373630"/>
                  <wp:effectExtent l="0" t="0" r="0" b="7620"/>
                  <wp:docPr id="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6"/>
                          <pic:cNvPicPr>
                            <a:picLocks noChangeAspect="1"/>
                          </pic:cNvPicPr>
                        </pic:nvPicPr>
                        <pic:blipFill>
                          <a:blip r:embed="rId66"/>
                          <a:stretch>
                            <a:fillRect/>
                          </a:stretch>
                        </pic:blipFill>
                        <pic:spPr>
                          <a:xfrm>
                            <a:off x="0" y="0"/>
                            <a:ext cx="3924300" cy="2373630"/>
                          </a:xfrm>
                          <a:prstGeom prst="rect">
                            <a:avLst/>
                          </a:prstGeom>
                          <a:noFill/>
                          <a:ln>
                            <a:noFill/>
                          </a:ln>
                        </pic:spPr>
                      </pic:pic>
                    </a:graphicData>
                  </a:graphic>
                </wp:inline>
              </w:drawing>
            </w:r>
          </w:p>
        </w:tc>
      </w:tr>
      <w:tr w14:paraId="1C501B2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38" w:hRule="atLeast"/>
        </w:trPr>
        <w:tc>
          <w:tcPr>
            <w:tcW w:w="467" w:type="pct"/>
            <w:vMerge w:val="restart"/>
            <w:tcBorders>
              <w:tl2br w:val="nil"/>
              <w:tr2bl w:val="nil"/>
            </w:tcBorders>
            <w:vAlign w:val="center"/>
          </w:tcPr>
          <w:p w14:paraId="0EDF960E">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r>
              <w:rPr>
                <w:rFonts w:hint="eastAsia"/>
                <w:color w:val="auto"/>
                <w:highlight w:val="none"/>
              </w:rPr>
              <w:t>铅</w:t>
            </w:r>
          </w:p>
        </w:tc>
        <w:tc>
          <w:tcPr>
            <w:tcW w:w="577" w:type="pct"/>
            <w:tcBorders>
              <w:tl2br w:val="nil"/>
              <w:tr2bl w:val="nil"/>
            </w:tcBorders>
            <w:vAlign w:val="center"/>
          </w:tcPr>
          <w:p w14:paraId="328C459E">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r>
              <w:rPr>
                <w:rFonts w:hint="eastAsia"/>
                <w:color w:val="auto"/>
                <w:highlight w:val="none"/>
              </w:rPr>
              <w:t>100d</w:t>
            </w:r>
          </w:p>
        </w:tc>
        <w:tc>
          <w:tcPr>
            <w:tcW w:w="3955" w:type="pct"/>
            <w:tcBorders>
              <w:tl2br w:val="nil"/>
              <w:tr2bl w:val="nil"/>
            </w:tcBorders>
            <w:vAlign w:val="center"/>
          </w:tcPr>
          <w:p w14:paraId="4A579085">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r>
              <w:rPr>
                <w:color w:val="auto"/>
                <w:highlight w:val="none"/>
              </w:rPr>
              <w:drawing>
                <wp:inline distT="0" distB="0" distL="114300" distR="114300">
                  <wp:extent cx="3921125" cy="2410460"/>
                  <wp:effectExtent l="0" t="0" r="3175" b="8890"/>
                  <wp:docPr id="1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7"/>
                          <pic:cNvPicPr>
                            <a:picLocks noChangeAspect="1"/>
                          </pic:cNvPicPr>
                        </pic:nvPicPr>
                        <pic:blipFill>
                          <a:blip r:embed="rId67"/>
                          <a:stretch>
                            <a:fillRect/>
                          </a:stretch>
                        </pic:blipFill>
                        <pic:spPr>
                          <a:xfrm>
                            <a:off x="0" y="0"/>
                            <a:ext cx="3921125" cy="2410460"/>
                          </a:xfrm>
                          <a:prstGeom prst="rect">
                            <a:avLst/>
                          </a:prstGeom>
                          <a:noFill/>
                          <a:ln>
                            <a:noFill/>
                          </a:ln>
                        </pic:spPr>
                      </pic:pic>
                    </a:graphicData>
                  </a:graphic>
                </wp:inline>
              </w:drawing>
            </w:r>
          </w:p>
        </w:tc>
      </w:tr>
      <w:tr w14:paraId="5991C61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38" w:hRule="atLeast"/>
        </w:trPr>
        <w:tc>
          <w:tcPr>
            <w:tcW w:w="467" w:type="pct"/>
            <w:vMerge w:val="continue"/>
            <w:tcBorders>
              <w:tl2br w:val="nil"/>
              <w:tr2bl w:val="nil"/>
            </w:tcBorders>
            <w:vAlign w:val="center"/>
          </w:tcPr>
          <w:p w14:paraId="482E8308">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p>
        </w:tc>
        <w:tc>
          <w:tcPr>
            <w:tcW w:w="577" w:type="pct"/>
            <w:tcBorders>
              <w:tl2br w:val="nil"/>
              <w:tr2bl w:val="nil"/>
            </w:tcBorders>
            <w:vAlign w:val="center"/>
          </w:tcPr>
          <w:p w14:paraId="3B6597E8">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r>
              <w:rPr>
                <w:rFonts w:hint="eastAsia"/>
                <w:color w:val="auto"/>
                <w:highlight w:val="none"/>
              </w:rPr>
              <w:t>1000d</w:t>
            </w:r>
          </w:p>
        </w:tc>
        <w:tc>
          <w:tcPr>
            <w:tcW w:w="3955" w:type="pct"/>
            <w:tcBorders>
              <w:tl2br w:val="nil"/>
              <w:tr2bl w:val="nil"/>
            </w:tcBorders>
            <w:vAlign w:val="center"/>
          </w:tcPr>
          <w:p w14:paraId="43817C7E">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r>
              <w:rPr>
                <w:color w:val="auto"/>
                <w:highlight w:val="none"/>
              </w:rPr>
              <w:drawing>
                <wp:inline distT="0" distB="0" distL="114300" distR="114300">
                  <wp:extent cx="3924300" cy="2404110"/>
                  <wp:effectExtent l="0" t="0" r="0" b="15240"/>
                  <wp:docPr id="1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8"/>
                          <pic:cNvPicPr>
                            <a:picLocks noChangeAspect="1"/>
                          </pic:cNvPicPr>
                        </pic:nvPicPr>
                        <pic:blipFill>
                          <a:blip r:embed="rId68"/>
                          <a:stretch>
                            <a:fillRect/>
                          </a:stretch>
                        </pic:blipFill>
                        <pic:spPr>
                          <a:xfrm>
                            <a:off x="0" y="0"/>
                            <a:ext cx="3924300" cy="2404110"/>
                          </a:xfrm>
                          <a:prstGeom prst="rect">
                            <a:avLst/>
                          </a:prstGeom>
                          <a:noFill/>
                          <a:ln>
                            <a:noFill/>
                          </a:ln>
                        </pic:spPr>
                      </pic:pic>
                    </a:graphicData>
                  </a:graphic>
                </wp:inline>
              </w:drawing>
            </w:r>
          </w:p>
        </w:tc>
      </w:tr>
      <w:tr w14:paraId="5D379D7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38" w:hRule="atLeast"/>
        </w:trPr>
        <w:tc>
          <w:tcPr>
            <w:tcW w:w="467" w:type="pct"/>
            <w:vMerge w:val="continue"/>
            <w:tcBorders>
              <w:tl2br w:val="nil"/>
              <w:tr2bl w:val="nil"/>
            </w:tcBorders>
            <w:vAlign w:val="center"/>
          </w:tcPr>
          <w:p w14:paraId="486A264B">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p>
        </w:tc>
        <w:tc>
          <w:tcPr>
            <w:tcW w:w="577" w:type="pct"/>
            <w:tcBorders>
              <w:tl2br w:val="nil"/>
              <w:tr2bl w:val="nil"/>
            </w:tcBorders>
            <w:vAlign w:val="center"/>
          </w:tcPr>
          <w:p w14:paraId="2B4BEA55">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r>
              <w:rPr>
                <w:rFonts w:hint="eastAsia"/>
                <w:color w:val="auto"/>
                <w:highlight w:val="none"/>
              </w:rPr>
              <w:t>3650d</w:t>
            </w:r>
          </w:p>
        </w:tc>
        <w:tc>
          <w:tcPr>
            <w:tcW w:w="3955" w:type="pct"/>
            <w:tcBorders>
              <w:tl2br w:val="nil"/>
              <w:tr2bl w:val="nil"/>
            </w:tcBorders>
            <w:vAlign w:val="center"/>
          </w:tcPr>
          <w:p w14:paraId="1A69859D">
            <w:pPr>
              <w:pStyle w:val="41"/>
              <w:keepNext w:val="0"/>
              <w:keepLines w:val="0"/>
              <w:pageBreakBefore w:val="0"/>
              <w:widowControl w:val="0"/>
              <w:kinsoku/>
              <w:wordWrap/>
              <w:overflowPunct/>
              <w:topLinePunct w:val="0"/>
              <w:autoSpaceDE/>
              <w:autoSpaceDN/>
              <w:bidi w:val="0"/>
              <w:adjustRightInd/>
              <w:snapToGrid w:val="0"/>
              <w:spacing w:line="240" w:lineRule="atLeast"/>
              <w:ind w:firstLine="0"/>
              <w:textAlignment w:val="auto"/>
              <w:rPr>
                <w:color w:val="auto"/>
                <w:highlight w:val="none"/>
              </w:rPr>
            </w:pPr>
            <w:r>
              <w:rPr>
                <w:color w:val="auto"/>
                <w:highlight w:val="none"/>
              </w:rPr>
              <w:drawing>
                <wp:inline distT="0" distB="0" distL="114300" distR="114300">
                  <wp:extent cx="3922395" cy="2416810"/>
                  <wp:effectExtent l="0" t="0" r="1905" b="254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69"/>
                          <a:stretch>
                            <a:fillRect/>
                          </a:stretch>
                        </pic:blipFill>
                        <pic:spPr>
                          <a:xfrm>
                            <a:off x="0" y="0"/>
                            <a:ext cx="3922395" cy="2416810"/>
                          </a:xfrm>
                          <a:prstGeom prst="rect">
                            <a:avLst/>
                          </a:prstGeom>
                          <a:noFill/>
                          <a:ln>
                            <a:noFill/>
                          </a:ln>
                        </pic:spPr>
                      </pic:pic>
                    </a:graphicData>
                  </a:graphic>
                </wp:inline>
              </w:drawing>
            </w:r>
          </w:p>
        </w:tc>
      </w:tr>
    </w:tbl>
    <w:p w14:paraId="39A1D339">
      <w:pPr>
        <w:pStyle w:val="43"/>
        <w:ind w:left="0" w:firstLine="0"/>
        <w:rPr>
          <w:color w:val="auto"/>
          <w:highlight w:val="none"/>
        </w:rPr>
      </w:pPr>
      <w:r>
        <w:rPr>
          <w:rFonts w:hint="eastAsia"/>
          <w:color w:val="auto"/>
          <w:highlight w:val="none"/>
        </w:rPr>
        <w:t>项目取水对地下水影响</w:t>
      </w:r>
    </w:p>
    <w:p w14:paraId="1031137E">
      <w:pPr>
        <w:widowControl/>
        <w:snapToGrid w:val="0"/>
        <w:spacing w:line="480" w:lineRule="exact"/>
        <w:ind w:firstLine="480"/>
        <w:rPr>
          <w:rFonts w:cstheme="minorBidi"/>
          <w:color w:val="auto"/>
          <w:highlight w:val="none"/>
        </w:rPr>
      </w:pPr>
      <w:r>
        <w:rPr>
          <w:rFonts w:hint="eastAsia" w:cstheme="minorBidi"/>
          <w:color w:val="auto"/>
          <w:highlight w:val="none"/>
        </w:rPr>
        <w:t>根据水平衡分析，项目生产</w:t>
      </w:r>
      <w:r>
        <w:rPr>
          <w:rFonts w:hint="eastAsia" w:cstheme="minorBidi"/>
          <w:color w:val="auto"/>
          <w:highlight w:val="none"/>
          <w:lang w:eastAsia="zh-CN"/>
        </w:rPr>
        <w:t>用水</w:t>
      </w:r>
      <w:r>
        <w:rPr>
          <w:rFonts w:hint="eastAsia" w:cstheme="minorBidi"/>
          <w:color w:val="auto"/>
          <w:highlight w:val="none"/>
        </w:rPr>
        <w:t>大部分为循环水，生产生活总用水量为1272.92万m</w:t>
      </w:r>
      <w:r>
        <w:rPr>
          <w:rFonts w:hint="eastAsia" w:cstheme="minorBidi"/>
          <w:color w:val="auto"/>
          <w:highlight w:val="none"/>
          <w:vertAlign w:val="superscript"/>
        </w:rPr>
        <w:t>3</w:t>
      </w:r>
      <w:r>
        <w:rPr>
          <w:rFonts w:hint="eastAsia" w:cstheme="minorBidi"/>
          <w:color w:val="auto"/>
          <w:highlight w:val="none"/>
        </w:rPr>
        <w:t>/a，循环水为1135.54万m</w:t>
      </w:r>
      <w:r>
        <w:rPr>
          <w:rFonts w:hint="eastAsia" w:cstheme="minorBidi"/>
          <w:color w:val="auto"/>
          <w:highlight w:val="none"/>
          <w:vertAlign w:val="superscript"/>
        </w:rPr>
        <w:t>3</w:t>
      </w:r>
      <w:r>
        <w:rPr>
          <w:rFonts w:hint="eastAsia" w:cstheme="minorBidi"/>
          <w:color w:val="auto"/>
          <w:highlight w:val="none"/>
        </w:rPr>
        <w:t>/a，取用新水量为</w:t>
      </w:r>
      <w:r>
        <w:rPr>
          <w:rFonts w:hint="eastAsia" w:cstheme="minorBidi"/>
          <w:color w:val="auto"/>
          <w:highlight w:val="none"/>
          <w:lang w:val="en-US" w:eastAsia="zh-CN"/>
        </w:rPr>
        <w:t>137.38</w:t>
      </w:r>
      <w:r>
        <w:rPr>
          <w:rFonts w:hint="eastAsia" w:cstheme="minorBidi"/>
          <w:color w:val="auto"/>
          <w:highlight w:val="none"/>
        </w:rPr>
        <w:t>万m</w:t>
      </w:r>
      <w:r>
        <w:rPr>
          <w:rFonts w:hint="eastAsia" w:cstheme="minorBidi"/>
          <w:color w:val="auto"/>
          <w:highlight w:val="none"/>
          <w:vertAlign w:val="superscript"/>
        </w:rPr>
        <w:t>3</w:t>
      </w:r>
      <w:r>
        <w:rPr>
          <w:rFonts w:hint="eastAsia" w:cstheme="minorBidi"/>
          <w:color w:val="auto"/>
          <w:highlight w:val="none"/>
        </w:rPr>
        <w:t>/a。</w:t>
      </w:r>
    </w:p>
    <w:p w14:paraId="45C57DD3">
      <w:pPr>
        <w:widowControl/>
        <w:snapToGrid w:val="0"/>
        <w:spacing w:line="480" w:lineRule="exact"/>
        <w:ind w:firstLine="480"/>
        <w:rPr>
          <w:rFonts w:cstheme="minorBidi"/>
          <w:color w:val="auto"/>
          <w:highlight w:val="none"/>
        </w:rPr>
      </w:pPr>
      <w:r>
        <w:rPr>
          <w:rFonts w:hint="eastAsia" w:cstheme="minorBidi"/>
          <w:color w:val="auto"/>
          <w:highlight w:val="none"/>
        </w:rPr>
        <w:t>本项目选矿厂属于工业用水，取用地下水。根据《阿图什市2023年度水资源管理绩效考核总结》和《阿图什市环球矿业钒钛磁铁矿900万吨/年选矿厂建设项目水资源论证报告书》，2023年总用水量为2.998亿m</w:t>
      </w:r>
      <w:r>
        <w:rPr>
          <w:rFonts w:hint="eastAsia" w:cstheme="minorBidi"/>
          <w:color w:val="auto"/>
          <w:highlight w:val="none"/>
          <w:vertAlign w:val="superscript"/>
        </w:rPr>
        <w:t>3</w:t>
      </w:r>
      <w:r>
        <w:rPr>
          <w:rFonts w:hint="eastAsia" w:cstheme="minorBidi"/>
          <w:color w:val="auto"/>
          <w:highlight w:val="none"/>
        </w:rPr>
        <w:t>，其中：地表水用水量为2.3022亿m</w:t>
      </w:r>
      <w:r>
        <w:rPr>
          <w:rFonts w:hint="eastAsia" w:cstheme="minorBidi"/>
          <w:color w:val="auto"/>
          <w:highlight w:val="none"/>
          <w:vertAlign w:val="superscript"/>
        </w:rPr>
        <w:t>3</w:t>
      </w:r>
      <w:r>
        <w:rPr>
          <w:rFonts w:hint="eastAsia" w:cstheme="minorBidi"/>
          <w:color w:val="auto"/>
          <w:highlight w:val="none"/>
        </w:rPr>
        <w:t>，占总供水量的76.79%；地下水供水量为0.6466亿m</w:t>
      </w:r>
      <w:r>
        <w:rPr>
          <w:rFonts w:hint="eastAsia" w:cstheme="minorBidi"/>
          <w:color w:val="auto"/>
          <w:highlight w:val="none"/>
          <w:vertAlign w:val="superscript"/>
        </w:rPr>
        <w:t>3</w:t>
      </w:r>
      <w:r>
        <w:rPr>
          <w:rFonts w:hint="eastAsia" w:cstheme="minorBidi"/>
          <w:color w:val="auto"/>
          <w:highlight w:val="none"/>
        </w:rPr>
        <w:t>，占总供水量的21.57%。其他水量用水量0.0489亿m</w:t>
      </w:r>
      <w:r>
        <w:rPr>
          <w:rFonts w:hint="eastAsia" w:cstheme="minorBidi"/>
          <w:color w:val="auto"/>
          <w:highlight w:val="none"/>
          <w:vertAlign w:val="superscript"/>
        </w:rPr>
        <w:t>3</w:t>
      </w:r>
      <w:r>
        <w:rPr>
          <w:rFonts w:hint="eastAsia" w:cstheme="minorBidi"/>
          <w:color w:val="auto"/>
          <w:highlight w:val="none"/>
        </w:rPr>
        <w:t>，占总供水量的1.64%。其中工业用水量为0.12亿m</w:t>
      </w:r>
      <w:r>
        <w:rPr>
          <w:rFonts w:hint="eastAsia" w:cstheme="minorBidi"/>
          <w:color w:val="auto"/>
          <w:highlight w:val="none"/>
          <w:vertAlign w:val="superscript"/>
        </w:rPr>
        <w:t>3</w:t>
      </w:r>
      <w:r>
        <w:rPr>
          <w:rFonts w:hint="eastAsia" w:cstheme="minorBidi"/>
          <w:color w:val="auto"/>
          <w:highlight w:val="none"/>
        </w:rPr>
        <w:t>，占总用水量的3.86%。</w:t>
      </w:r>
    </w:p>
    <w:p w14:paraId="4478D235">
      <w:pPr>
        <w:widowControl/>
        <w:snapToGrid w:val="0"/>
        <w:spacing w:line="480" w:lineRule="exact"/>
        <w:ind w:firstLine="480"/>
        <w:rPr>
          <w:rFonts w:cstheme="minorBidi"/>
          <w:color w:val="auto"/>
          <w:highlight w:val="none"/>
        </w:rPr>
      </w:pPr>
      <w:r>
        <w:rPr>
          <w:rFonts w:hint="eastAsia" w:cstheme="minorBidi"/>
          <w:color w:val="auto"/>
          <w:highlight w:val="none"/>
        </w:rPr>
        <w:t>2023年阿图什市用水总量控制目标为3.5800亿m</w:t>
      </w:r>
      <w:r>
        <w:rPr>
          <w:rFonts w:hint="eastAsia" w:cstheme="minorBidi"/>
          <w:color w:val="auto"/>
          <w:highlight w:val="none"/>
          <w:vertAlign w:val="superscript"/>
        </w:rPr>
        <w:t>3</w:t>
      </w:r>
      <w:r>
        <w:rPr>
          <w:rFonts w:hint="eastAsia" w:cstheme="minorBidi"/>
          <w:color w:val="auto"/>
          <w:highlight w:val="none"/>
        </w:rPr>
        <w:t>，实际用水总量2.998亿m</w:t>
      </w:r>
      <w:r>
        <w:rPr>
          <w:rFonts w:hint="eastAsia" w:cstheme="minorBidi"/>
          <w:color w:val="auto"/>
          <w:highlight w:val="none"/>
          <w:vertAlign w:val="superscript"/>
        </w:rPr>
        <w:t>3</w:t>
      </w:r>
      <w:r>
        <w:rPr>
          <w:rFonts w:hint="eastAsia" w:cstheme="minorBidi"/>
          <w:color w:val="auto"/>
          <w:highlight w:val="none"/>
        </w:rPr>
        <w:t>；地表水用水量控制目标2.8632亿m</w:t>
      </w:r>
      <w:r>
        <w:rPr>
          <w:rFonts w:hint="eastAsia" w:cstheme="minorBidi"/>
          <w:color w:val="auto"/>
          <w:highlight w:val="none"/>
          <w:vertAlign w:val="superscript"/>
        </w:rPr>
        <w:t>3</w:t>
      </w:r>
      <w:r>
        <w:rPr>
          <w:rFonts w:hint="eastAsia" w:cstheme="minorBidi"/>
          <w:color w:val="auto"/>
          <w:highlight w:val="none"/>
        </w:rPr>
        <w:t>、实际地表水用水总量2.3022亿m</w:t>
      </w:r>
      <w:r>
        <w:rPr>
          <w:rFonts w:hint="eastAsia" w:cstheme="minorBidi"/>
          <w:color w:val="auto"/>
          <w:highlight w:val="none"/>
          <w:vertAlign w:val="superscript"/>
        </w:rPr>
        <w:t>3</w:t>
      </w:r>
      <w:r>
        <w:rPr>
          <w:rFonts w:hint="eastAsia" w:cstheme="minorBidi"/>
          <w:color w:val="auto"/>
          <w:highlight w:val="none"/>
        </w:rPr>
        <w:t>（人工生态补水0.1766亿m</w:t>
      </w:r>
      <w:r>
        <w:rPr>
          <w:rFonts w:hint="eastAsia" w:cstheme="minorBidi"/>
          <w:color w:val="auto"/>
          <w:highlight w:val="none"/>
          <w:vertAlign w:val="superscript"/>
        </w:rPr>
        <w:t>3</w:t>
      </w:r>
      <w:r>
        <w:rPr>
          <w:rFonts w:hint="eastAsia" w:cstheme="minorBidi"/>
          <w:color w:val="auto"/>
          <w:highlight w:val="none"/>
        </w:rPr>
        <w:t>）；地下水用水量控制目标0.6588亿m</w:t>
      </w:r>
      <w:r>
        <w:rPr>
          <w:rFonts w:hint="eastAsia" w:cstheme="minorBidi"/>
          <w:color w:val="auto"/>
          <w:highlight w:val="none"/>
          <w:vertAlign w:val="superscript"/>
        </w:rPr>
        <w:t>3</w:t>
      </w:r>
      <w:r>
        <w:rPr>
          <w:rFonts w:hint="eastAsia" w:cstheme="minorBidi"/>
          <w:color w:val="auto"/>
          <w:highlight w:val="none"/>
        </w:rPr>
        <w:t>，实际地下水用水总量0.6466亿m</w:t>
      </w:r>
      <w:r>
        <w:rPr>
          <w:rFonts w:hint="eastAsia" w:cstheme="minorBidi"/>
          <w:color w:val="auto"/>
          <w:highlight w:val="none"/>
          <w:vertAlign w:val="superscript"/>
        </w:rPr>
        <w:t>3</w:t>
      </w:r>
      <w:r>
        <w:rPr>
          <w:rFonts w:hint="eastAsia" w:cstheme="minorBidi"/>
          <w:color w:val="auto"/>
          <w:highlight w:val="none"/>
        </w:rPr>
        <w:t>。其他水量供水量0.0489亿m</w:t>
      </w:r>
      <w:r>
        <w:rPr>
          <w:rFonts w:hint="eastAsia" w:cstheme="minorBidi"/>
          <w:color w:val="auto"/>
          <w:highlight w:val="none"/>
          <w:vertAlign w:val="superscript"/>
        </w:rPr>
        <w:t>3</w:t>
      </w:r>
      <w:r>
        <w:rPr>
          <w:rFonts w:hint="eastAsia" w:cstheme="minorBidi"/>
          <w:color w:val="auto"/>
          <w:highlight w:val="none"/>
        </w:rPr>
        <w:t>。</w:t>
      </w:r>
    </w:p>
    <w:p w14:paraId="6A250AD3">
      <w:pPr>
        <w:pStyle w:val="54"/>
        <w:ind w:firstLine="480"/>
        <w:rPr>
          <w:color w:val="auto"/>
          <w:highlight w:val="none"/>
        </w:rPr>
      </w:pPr>
      <w:r>
        <w:rPr>
          <w:rFonts w:hint="eastAsia"/>
          <w:color w:val="auto"/>
          <w:highlight w:val="none"/>
        </w:rPr>
        <w:t>表5.3-5   阿图什市三条红线对比表</w:t>
      </w:r>
    </w:p>
    <w:tbl>
      <w:tblPr>
        <w:tblStyle w:val="25"/>
        <w:tblW w:w="5000"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679"/>
        <w:gridCol w:w="586"/>
        <w:gridCol w:w="494"/>
        <w:gridCol w:w="679"/>
        <w:gridCol w:w="787"/>
        <w:gridCol w:w="787"/>
        <w:gridCol w:w="956"/>
        <w:gridCol w:w="648"/>
        <w:gridCol w:w="787"/>
        <w:gridCol w:w="694"/>
        <w:gridCol w:w="694"/>
        <w:gridCol w:w="725"/>
      </w:tblGrid>
      <w:tr w14:paraId="1703ED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1410" w:type="pct"/>
            <w:gridSpan w:val="4"/>
            <w:tcBorders>
              <w:tl2br w:val="nil"/>
              <w:tr2bl w:val="nil"/>
            </w:tcBorders>
            <w:shd w:val="clear" w:color="auto" w:fill="auto"/>
            <w:noWrap/>
            <w:vAlign w:val="center"/>
          </w:tcPr>
          <w:p w14:paraId="2A1D3D1C">
            <w:pPr>
              <w:pStyle w:val="41"/>
              <w:rPr>
                <w:rFonts w:hint="eastAsia"/>
                <w:color w:val="auto"/>
                <w:highlight w:val="none"/>
              </w:rPr>
            </w:pPr>
            <w:r>
              <w:rPr>
                <w:rFonts w:hint="eastAsia"/>
                <w:color w:val="auto"/>
                <w:highlight w:val="none"/>
              </w:rPr>
              <w:t>用水总量控制</w:t>
            </w:r>
          </w:p>
        </w:tc>
        <w:tc>
          <w:tcPr>
            <w:tcW w:w="1912" w:type="pct"/>
            <w:gridSpan w:val="4"/>
            <w:tcBorders>
              <w:tl2br w:val="nil"/>
              <w:tr2bl w:val="nil"/>
            </w:tcBorders>
            <w:shd w:val="clear" w:color="auto" w:fill="auto"/>
            <w:noWrap/>
            <w:vAlign w:val="center"/>
          </w:tcPr>
          <w:p w14:paraId="3EBE29B2">
            <w:pPr>
              <w:pStyle w:val="41"/>
              <w:rPr>
                <w:rFonts w:hint="eastAsia"/>
                <w:color w:val="auto"/>
                <w:highlight w:val="none"/>
              </w:rPr>
            </w:pPr>
            <w:r>
              <w:rPr>
                <w:rFonts w:hint="eastAsia"/>
                <w:color w:val="auto"/>
                <w:highlight w:val="none"/>
              </w:rPr>
              <w:t>供水量</w:t>
            </w:r>
          </w:p>
        </w:tc>
        <w:tc>
          <w:tcPr>
            <w:tcW w:w="1676" w:type="pct"/>
            <w:gridSpan w:val="4"/>
            <w:tcBorders>
              <w:tl2br w:val="nil"/>
              <w:tr2bl w:val="nil"/>
            </w:tcBorders>
            <w:shd w:val="clear" w:color="auto" w:fill="auto"/>
            <w:vAlign w:val="center"/>
          </w:tcPr>
          <w:p w14:paraId="2052794B">
            <w:pPr>
              <w:pStyle w:val="41"/>
              <w:rPr>
                <w:rFonts w:hint="eastAsia"/>
                <w:color w:val="auto"/>
                <w:highlight w:val="none"/>
              </w:rPr>
            </w:pPr>
            <w:r>
              <w:rPr>
                <w:rFonts w:hint="eastAsia"/>
                <w:color w:val="auto"/>
                <w:highlight w:val="none"/>
              </w:rPr>
              <w:t>用水量</w:t>
            </w:r>
          </w:p>
        </w:tc>
      </w:tr>
      <w:tr w14:paraId="7EB7381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392" w:type="pct"/>
            <w:vMerge w:val="restart"/>
            <w:tcBorders>
              <w:tl2br w:val="nil"/>
              <w:tr2bl w:val="nil"/>
            </w:tcBorders>
            <w:shd w:val="clear" w:color="auto" w:fill="auto"/>
            <w:vAlign w:val="center"/>
          </w:tcPr>
          <w:p w14:paraId="0CC44E0B">
            <w:pPr>
              <w:pStyle w:val="41"/>
              <w:rPr>
                <w:rFonts w:hint="eastAsia"/>
                <w:color w:val="auto"/>
                <w:highlight w:val="none"/>
              </w:rPr>
            </w:pPr>
            <w:r>
              <w:rPr>
                <w:rFonts w:hint="eastAsia"/>
                <w:color w:val="auto"/>
                <w:highlight w:val="none"/>
              </w:rPr>
              <w:t>地表水</w:t>
            </w:r>
          </w:p>
        </w:tc>
        <w:tc>
          <w:tcPr>
            <w:tcW w:w="339" w:type="pct"/>
            <w:vMerge w:val="restart"/>
            <w:tcBorders>
              <w:tl2br w:val="nil"/>
              <w:tr2bl w:val="nil"/>
            </w:tcBorders>
            <w:shd w:val="clear" w:color="auto" w:fill="auto"/>
            <w:vAlign w:val="center"/>
          </w:tcPr>
          <w:p w14:paraId="61F2C26D">
            <w:pPr>
              <w:pStyle w:val="41"/>
              <w:rPr>
                <w:rFonts w:hint="eastAsia"/>
                <w:color w:val="auto"/>
                <w:highlight w:val="none"/>
              </w:rPr>
            </w:pPr>
            <w:r>
              <w:rPr>
                <w:rFonts w:hint="eastAsia"/>
                <w:color w:val="auto"/>
                <w:highlight w:val="none"/>
              </w:rPr>
              <w:t>地下水</w:t>
            </w:r>
          </w:p>
        </w:tc>
        <w:tc>
          <w:tcPr>
            <w:tcW w:w="286" w:type="pct"/>
            <w:vMerge w:val="restart"/>
            <w:tcBorders>
              <w:tl2br w:val="nil"/>
              <w:tr2bl w:val="nil"/>
            </w:tcBorders>
            <w:shd w:val="clear" w:color="auto" w:fill="auto"/>
            <w:vAlign w:val="center"/>
          </w:tcPr>
          <w:p w14:paraId="3919C5E9">
            <w:pPr>
              <w:pStyle w:val="41"/>
              <w:rPr>
                <w:rFonts w:hint="eastAsia"/>
                <w:color w:val="auto"/>
                <w:highlight w:val="none"/>
              </w:rPr>
            </w:pPr>
            <w:r>
              <w:rPr>
                <w:rFonts w:hint="eastAsia"/>
                <w:color w:val="auto"/>
                <w:highlight w:val="none"/>
              </w:rPr>
              <w:t>其他水源</w:t>
            </w:r>
          </w:p>
        </w:tc>
        <w:tc>
          <w:tcPr>
            <w:tcW w:w="392" w:type="pct"/>
            <w:vMerge w:val="restart"/>
            <w:tcBorders>
              <w:tl2br w:val="nil"/>
              <w:tr2bl w:val="nil"/>
            </w:tcBorders>
            <w:shd w:val="clear" w:color="auto" w:fill="auto"/>
            <w:vAlign w:val="center"/>
          </w:tcPr>
          <w:p w14:paraId="2CCA4E38">
            <w:pPr>
              <w:pStyle w:val="41"/>
              <w:rPr>
                <w:rFonts w:hint="eastAsia"/>
                <w:color w:val="auto"/>
                <w:highlight w:val="none"/>
              </w:rPr>
            </w:pPr>
            <w:r>
              <w:rPr>
                <w:rFonts w:hint="eastAsia"/>
                <w:color w:val="auto"/>
                <w:highlight w:val="none"/>
              </w:rPr>
              <w:t>合计</w:t>
            </w:r>
          </w:p>
        </w:tc>
        <w:tc>
          <w:tcPr>
            <w:tcW w:w="445" w:type="pct"/>
            <w:tcBorders>
              <w:tl2br w:val="nil"/>
              <w:tr2bl w:val="nil"/>
            </w:tcBorders>
            <w:shd w:val="clear" w:color="auto" w:fill="auto"/>
            <w:noWrap/>
            <w:vAlign w:val="center"/>
          </w:tcPr>
          <w:p w14:paraId="68277443">
            <w:pPr>
              <w:pStyle w:val="41"/>
              <w:rPr>
                <w:rFonts w:hint="eastAsia"/>
                <w:color w:val="auto"/>
                <w:highlight w:val="none"/>
              </w:rPr>
            </w:pPr>
            <w:r>
              <w:rPr>
                <w:rFonts w:hint="eastAsia"/>
                <w:color w:val="auto"/>
                <w:highlight w:val="none"/>
              </w:rPr>
              <w:t>地表水</w:t>
            </w:r>
          </w:p>
        </w:tc>
        <w:tc>
          <w:tcPr>
            <w:tcW w:w="445" w:type="pct"/>
            <w:tcBorders>
              <w:tl2br w:val="nil"/>
              <w:tr2bl w:val="nil"/>
            </w:tcBorders>
            <w:shd w:val="clear" w:color="auto" w:fill="auto"/>
            <w:noWrap/>
            <w:vAlign w:val="center"/>
          </w:tcPr>
          <w:p w14:paraId="4CA417D7">
            <w:pPr>
              <w:pStyle w:val="41"/>
              <w:rPr>
                <w:rFonts w:hint="eastAsia"/>
                <w:color w:val="auto"/>
                <w:highlight w:val="none"/>
              </w:rPr>
            </w:pPr>
            <w:r>
              <w:rPr>
                <w:rFonts w:hint="eastAsia"/>
                <w:color w:val="auto"/>
                <w:highlight w:val="none"/>
              </w:rPr>
              <w:t>地下水</w:t>
            </w:r>
          </w:p>
        </w:tc>
        <w:tc>
          <w:tcPr>
            <w:tcW w:w="551" w:type="pct"/>
            <w:tcBorders>
              <w:tl2br w:val="nil"/>
              <w:tr2bl w:val="nil"/>
            </w:tcBorders>
            <w:shd w:val="clear" w:color="auto" w:fill="auto"/>
            <w:noWrap/>
            <w:vAlign w:val="center"/>
          </w:tcPr>
          <w:p w14:paraId="4E33635A">
            <w:pPr>
              <w:pStyle w:val="41"/>
              <w:rPr>
                <w:rFonts w:hint="eastAsia"/>
                <w:color w:val="auto"/>
                <w:highlight w:val="none"/>
              </w:rPr>
            </w:pPr>
            <w:r>
              <w:rPr>
                <w:rFonts w:hint="eastAsia"/>
                <w:color w:val="auto"/>
                <w:highlight w:val="none"/>
              </w:rPr>
              <w:t>其他水源</w:t>
            </w:r>
          </w:p>
        </w:tc>
        <w:tc>
          <w:tcPr>
            <w:tcW w:w="469" w:type="pct"/>
            <w:tcBorders>
              <w:tl2br w:val="nil"/>
              <w:tr2bl w:val="nil"/>
            </w:tcBorders>
            <w:shd w:val="clear" w:color="auto" w:fill="auto"/>
            <w:noWrap/>
            <w:vAlign w:val="center"/>
          </w:tcPr>
          <w:p w14:paraId="24776224">
            <w:pPr>
              <w:pStyle w:val="41"/>
              <w:rPr>
                <w:rFonts w:hint="eastAsia"/>
                <w:color w:val="auto"/>
                <w:highlight w:val="none"/>
              </w:rPr>
            </w:pPr>
            <w:r>
              <w:rPr>
                <w:rFonts w:hint="eastAsia"/>
                <w:color w:val="auto"/>
                <w:highlight w:val="none"/>
              </w:rPr>
              <w:t>小计</w:t>
            </w:r>
          </w:p>
        </w:tc>
        <w:tc>
          <w:tcPr>
            <w:tcW w:w="445" w:type="pct"/>
            <w:tcBorders>
              <w:tl2br w:val="nil"/>
              <w:tr2bl w:val="nil"/>
            </w:tcBorders>
            <w:shd w:val="clear" w:color="auto" w:fill="auto"/>
            <w:vAlign w:val="center"/>
          </w:tcPr>
          <w:p w14:paraId="12FCCEE1">
            <w:pPr>
              <w:pStyle w:val="41"/>
              <w:rPr>
                <w:rFonts w:hint="eastAsia"/>
                <w:color w:val="auto"/>
                <w:highlight w:val="none"/>
              </w:rPr>
            </w:pPr>
            <w:r>
              <w:rPr>
                <w:rFonts w:hint="eastAsia"/>
                <w:color w:val="auto"/>
                <w:highlight w:val="none"/>
              </w:rPr>
              <w:t>农业用水量</w:t>
            </w:r>
          </w:p>
        </w:tc>
        <w:tc>
          <w:tcPr>
            <w:tcW w:w="392" w:type="pct"/>
            <w:tcBorders>
              <w:tl2br w:val="nil"/>
              <w:tr2bl w:val="nil"/>
            </w:tcBorders>
            <w:shd w:val="clear" w:color="auto" w:fill="auto"/>
            <w:vAlign w:val="center"/>
          </w:tcPr>
          <w:p w14:paraId="07995260">
            <w:pPr>
              <w:pStyle w:val="41"/>
              <w:rPr>
                <w:rFonts w:hint="eastAsia"/>
                <w:color w:val="auto"/>
                <w:highlight w:val="none"/>
              </w:rPr>
            </w:pPr>
            <w:r>
              <w:rPr>
                <w:rFonts w:hint="eastAsia"/>
                <w:color w:val="auto"/>
                <w:highlight w:val="none"/>
              </w:rPr>
              <w:t>工业用水量</w:t>
            </w:r>
          </w:p>
        </w:tc>
        <w:tc>
          <w:tcPr>
            <w:tcW w:w="392" w:type="pct"/>
            <w:tcBorders>
              <w:tl2br w:val="nil"/>
              <w:tr2bl w:val="nil"/>
            </w:tcBorders>
            <w:shd w:val="clear" w:color="auto" w:fill="auto"/>
            <w:vAlign w:val="center"/>
          </w:tcPr>
          <w:p w14:paraId="1FF9EF0A">
            <w:pPr>
              <w:pStyle w:val="41"/>
              <w:rPr>
                <w:rFonts w:hint="eastAsia"/>
                <w:color w:val="auto"/>
                <w:highlight w:val="none"/>
              </w:rPr>
            </w:pPr>
            <w:r>
              <w:rPr>
                <w:rFonts w:hint="eastAsia"/>
                <w:color w:val="auto"/>
                <w:highlight w:val="none"/>
              </w:rPr>
              <w:t>生活用水量</w:t>
            </w:r>
          </w:p>
        </w:tc>
        <w:tc>
          <w:tcPr>
            <w:tcW w:w="445" w:type="pct"/>
            <w:tcBorders>
              <w:tl2br w:val="nil"/>
              <w:tr2bl w:val="nil"/>
            </w:tcBorders>
            <w:shd w:val="clear" w:color="auto" w:fill="auto"/>
            <w:vAlign w:val="center"/>
          </w:tcPr>
          <w:p w14:paraId="52541505">
            <w:pPr>
              <w:pStyle w:val="41"/>
              <w:rPr>
                <w:rFonts w:hint="eastAsia"/>
                <w:color w:val="auto"/>
                <w:highlight w:val="none"/>
              </w:rPr>
            </w:pPr>
            <w:r>
              <w:rPr>
                <w:rFonts w:hint="eastAsia"/>
                <w:color w:val="auto"/>
                <w:highlight w:val="none"/>
              </w:rPr>
              <w:t>生态补水量</w:t>
            </w:r>
          </w:p>
        </w:tc>
      </w:tr>
      <w:tr w14:paraId="093CFF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92" w:type="pct"/>
            <w:vMerge w:val="continue"/>
            <w:tcBorders>
              <w:tl2br w:val="nil"/>
              <w:tr2bl w:val="nil"/>
            </w:tcBorders>
            <w:shd w:val="clear" w:color="auto" w:fill="auto"/>
            <w:vAlign w:val="center"/>
          </w:tcPr>
          <w:p w14:paraId="55F05519">
            <w:pPr>
              <w:pStyle w:val="41"/>
              <w:rPr>
                <w:rFonts w:hint="eastAsia"/>
                <w:color w:val="auto"/>
                <w:highlight w:val="none"/>
              </w:rPr>
            </w:pPr>
          </w:p>
        </w:tc>
        <w:tc>
          <w:tcPr>
            <w:tcW w:w="339" w:type="pct"/>
            <w:vMerge w:val="continue"/>
            <w:tcBorders>
              <w:tl2br w:val="nil"/>
              <w:tr2bl w:val="nil"/>
            </w:tcBorders>
            <w:shd w:val="clear" w:color="auto" w:fill="auto"/>
            <w:vAlign w:val="center"/>
          </w:tcPr>
          <w:p w14:paraId="7FFD927E">
            <w:pPr>
              <w:pStyle w:val="41"/>
              <w:rPr>
                <w:rFonts w:hint="eastAsia"/>
                <w:color w:val="auto"/>
                <w:highlight w:val="none"/>
              </w:rPr>
            </w:pPr>
          </w:p>
        </w:tc>
        <w:tc>
          <w:tcPr>
            <w:tcW w:w="286" w:type="pct"/>
            <w:vMerge w:val="continue"/>
            <w:tcBorders>
              <w:tl2br w:val="nil"/>
              <w:tr2bl w:val="nil"/>
            </w:tcBorders>
            <w:shd w:val="clear" w:color="auto" w:fill="auto"/>
            <w:vAlign w:val="center"/>
          </w:tcPr>
          <w:p w14:paraId="3DE9F9FD">
            <w:pPr>
              <w:pStyle w:val="41"/>
              <w:rPr>
                <w:rFonts w:hint="eastAsia"/>
                <w:color w:val="auto"/>
                <w:highlight w:val="none"/>
              </w:rPr>
            </w:pPr>
          </w:p>
        </w:tc>
        <w:tc>
          <w:tcPr>
            <w:tcW w:w="392" w:type="pct"/>
            <w:vMerge w:val="continue"/>
            <w:tcBorders>
              <w:tl2br w:val="nil"/>
              <w:tr2bl w:val="nil"/>
            </w:tcBorders>
            <w:shd w:val="clear" w:color="auto" w:fill="auto"/>
            <w:vAlign w:val="center"/>
          </w:tcPr>
          <w:p w14:paraId="54282F75">
            <w:pPr>
              <w:pStyle w:val="41"/>
              <w:rPr>
                <w:rFonts w:hint="eastAsia"/>
                <w:color w:val="auto"/>
                <w:highlight w:val="none"/>
              </w:rPr>
            </w:pPr>
          </w:p>
        </w:tc>
        <w:tc>
          <w:tcPr>
            <w:tcW w:w="445" w:type="pct"/>
            <w:tcBorders>
              <w:tl2br w:val="nil"/>
              <w:tr2bl w:val="nil"/>
            </w:tcBorders>
            <w:shd w:val="clear" w:color="auto" w:fill="auto"/>
            <w:vAlign w:val="center"/>
          </w:tcPr>
          <w:p w14:paraId="24B17F76">
            <w:pPr>
              <w:pStyle w:val="41"/>
              <w:rPr>
                <w:rFonts w:hint="eastAsia"/>
                <w:color w:val="auto"/>
                <w:highlight w:val="none"/>
              </w:rPr>
            </w:pPr>
            <w:r>
              <w:rPr>
                <w:rFonts w:hint="eastAsia"/>
                <w:color w:val="auto"/>
                <w:highlight w:val="none"/>
              </w:rPr>
              <w:t>2.3022</w:t>
            </w:r>
          </w:p>
        </w:tc>
        <w:tc>
          <w:tcPr>
            <w:tcW w:w="445" w:type="pct"/>
            <w:tcBorders>
              <w:tl2br w:val="nil"/>
              <w:tr2bl w:val="nil"/>
            </w:tcBorders>
            <w:shd w:val="clear" w:color="auto" w:fill="auto"/>
            <w:vAlign w:val="center"/>
          </w:tcPr>
          <w:p w14:paraId="4873912E">
            <w:pPr>
              <w:pStyle w:val="41"/>
              <w:rPr>
                <w:rFonts w:hint="eastAsia"/>
                <w:color w:val="auto"/>
                <w:highlight w:val="none"/>
              </w:rPr>
            </w:pPr>
            <w:r>
              <w:rPr>
                <w:rFonts w:hint="eastAsia"/>
                <w:color w:val="auto"/>
                <w:highlight w:val="none"/>
              </w:rPr>
              <w:t>0.6466</w:t>
            </w:r>
          </w:p>
        </w:tc>
        <w:tc>
          <w:tcPr>
            <w:tcW w:w="551" w:type="pct"/>
            <w:tcBorders>
              <w:tl2br w:val="nil"/>
              <w:tr2bl w:val="nil"/>
            </w:tcBorders>
            <w:shd w:val="clear" w:color="auto" w:fill="auto"/>
            <w:vAlign w:val="center"/>
          </w:tcPr>
          <w:p w14:paraId="14957E36">
            <w:pPr>
              <w:pStyle w:val="41"/>
              <w:rPr>
                <w:rFonts w:hint="eastAsia"/>
                <w:color w:val="auto"/>
                <w:highlight w:val="none"/>
              </w:rPr>
            </w:pPr>
            <w:r>
              <w:rPr>
                <w:rFonts w:hint="eastAsia"/>
                <w:color w:val="auto"/>
                <w:highlight w:val="none"/>
              </w:rPr>
              <w:t>0.0489</w:t>
            </w:r>
          </w:p>
        </w:tc>
        <w:tc>
          <w:tcPr>
            <w:tcW w:w="469" w:type="pct"/>
            <w:tcBorders>
              <w:tl2br w:val="nil"/>
              <w:tr2bl w:val="nil"/>
            </w:tcBorders>
            <w:shd w:val="clear" w:color="auto" w:fill="auto"/>
            <w:vAlign w:val="center"/>
          </w:tcPr>
          <w:p w14:paraId="461791B1">
            <w:pPr>
              <w:pStyle w:val="41"/>
              <w:rPr>
                <w:rFonts w:hint="eastAsia"/>
                <w:color w:val="auto"/>
                <w:highlight w:val="none"/>
              </w:rPr>
            </w:pPr>
            <w:r>
              <w:rPr>
                <w:rFonts w:hint="eastAsia"/>
                <w:color w:val="auto"/>
                <w:highlight w:val="none"/>
              </w:rPr>
              <w:t>2.998</w:t>
            </w:r>
          </w:p>
        </w:tc>
        <w:tc>
          <w:tcPr>
            <w:tcW w:w="445" w:type="pct"/>
            <w:tcBorders>
              <w:tl2br w:val="nil"/>
              <w:tr2bl w:val="nil"/>
            </w:tcBorders>
            <w:shd w:val="clear" w:color="auto" w:fill="auto"/>
            <w:vAlign w:val="center"/>
          </w:tcPr>
          <w:p w14:paraId="113D165C">
            <w:pPr>
              <w:pStyle w:val="41"/>
              <w:rPr>
                <w:rFonts w:hint="eastAsia"/>
                <w:color w:val="auto"/>
                <w:highlight w:val="none"/>
              </w:rPr>
            </w:pPr>
            <w:r>
              <w:rPr>
                <w:color w:val="auto"/>
                <w:highlight w:val="none"/>
              </w:rPr>
              <w:t>2.56</w:t>
            </w:r>
          </w:p>
        </w:tc>
        <w:tc>
          <w:tcPr>
            <w:tcW w:w="392" w:type="pct"/>
            <w:tcBorders>
              <w:tl2br w:val="nil"/>
              <w:tr2bl w:val="nil"/>
            </w:tcBorders>
            <w:shd w:val="clear" w:color="auto" w:fill="auto"/>
            <w:vAlign w:val="center"/>
          </w:tcPr>
          <w:p w14:paraId="6F8F7FD7">
            <w:pPr>
              <w:pStyle w:val="41"/>
              <w:rPr>
                <w:rFonts w:hint="eastAsia"/>
                <w:color w:val="auto"/>
                <w:highlight w:val="none"/>
              </w:rPr>
            </w:pPr>
            <w:r>
              <w:rPr>
                <w:color w:val="auto"/>
                <w:highlight w:val="none"/>
              </w:rPr>
              <w:t>0.12</w:t>
            </w:r>
          </w:p>
        </w:tc>
        <w:tc>
          <w:tcPr>
            <w:tcW w:w="392" w:type="pct"/>
            <w:tcBorders>
              <w:tl2br w:val="nil"/>
              <w:tr2bl w:val="nil"/>
            </w:tcBorders>
            <w:shd w:val="clear" w:color="auto" w:fill="auto"/>
            <w:vAlign w:val="center"/>
          </w:tcPr>
          <w:p w14:paraId="6F2852B0">
            <w:pPr>
              <w:pStyle w:val="41"/>
              <w:rPr>
                <w:rFonts w:hint="eastAsia"/>
                <w:color w:val="auto"/>
                <w:highlight w:val="none"/>
              </w:rPr>
            </w:pPr>
            <w:r>
              <w:rPr>
                <w:color w:val="auto"/>
                <w:highlight w:val="none"/>
              </w:rPr>
              <w:t>0.14</w:t>
            </w:r>
          </w:p>
        </w:tc>
        <w:tc>
          <w:tcPr>
            <w:tcW w:w="445" w:type="pct"/>
            <w:tcBorders>
              <w:tl2br w:val="nil"/>
              <w:tr2bl w:val="nil"/>
            </w:tcBorders>
            <w:shd w:val="clear" w:color="auto" w:fill="auto"/>
            <w:vAlign w:val="center"/>
          </w:tcPr>
          <w:p w14:paraId="78F9263E">
            <w:pPr>
              <w:pStyle w:val="41"/>
              <w:rPr>
                <w:rFonts w:hint="eastAsia"/>
                <w:color w:val="auto"/>
                <w:highlight w:val="none"/>
              </w:rPr>
            </w:pPr>
            <w:r>
              <w:rPr>
                <w:color w:val="auto"/>
                <w:highlight w:val="none"/>
              </w:rPr>
              <w:t>0.1766</w:t>
            </w:r>
          </w:p>
        </w:tc>
      </w:tr>
      <w:tr w14:paraId="17BD839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392" w:type="pct"/>
            <w:tcBorders>
              <w:tl2br w:val="nil"/>
              <w:tr2bl w:val="nil"/>
            </w:tcBorders>
            <w:shd w:val="clear" w:color="auto" w:fill="auto"/>
            <w:vAlign w:val="center"/>
          </w:tcPr>
          <w:p w14:paraId="042494C6">
            <w:pPr>
              <w:pStyle w:val="41"/>
              <w:rPr>
                <w:rFonts w:hint="eastAsia"/>
                <w:color w:val="auto"/>
                <w:highlight w:val="none"/>
              </w:rPr>
            </w:pPr>
            <w:r>
              <w:rPr>
                <w:rFonts w:hint="eastAsia"/>
                <w:color w:val="auto"/>
                <w:highlight w:val="none"/>
              </w:rPr>
              <w:t>28632</w:t>
            </w:r>
          </w:p>
        </w:tc>
        <w:tc>
          <w:tcPr>
            <w:tcW w:w="339" w:type="pct"/>
            <w:tcBorders>
              <w:tl2br w:val="nil"/>
              <w:tr2bl w:val="nil"/>
            </w:tcBorders>
            <w:shd w:val="clear" w:color="auto" w:fill="auto"/>
            <w:vAlign w:val="center"/>
          </w:tcPr>
          <w:p w14:paraId="0A6C2D86">
            <w:pPr>
              <w:pStyle w:val="41"/>
              <w:rPr>
                <w:rFonts w:hint="eastAsia"/>
                <w:color w:val="auto"/>
                <w:highlight w:val="none"/>
              </w:rPr>
            </w:pPr>
            <w:r>
              <w:rPr>
                <w:rFonts w:hint="eastAsia"/>
                <w:color w:val="auto"/>
                <w:highlight w:val="none"/>
              </w:rPr>
              <w:t>6588</w:t>
            </w:r>
          </w:p>
        </w:tc>
        <w:tc>
          <w:tcPr>
            <w:tcW w:w="286" w:type="pct"/>
            <w:tcBorders>
              <w:tl2br w:val="nil"/>
              <w:tr2bl w:val="nil"/>
            </w:tcBorders>
            <w:shd w:val="clear" w:color="auto" w:fill="auto"/>
            <w:vAlign w:val="center"/>
          </w:tcPr>
          <w:p w14:paraId="731B2CFE">
            <w:pPr>
              <w:pStyle w:val="41"/>
              <w:rPr>
                <w:rFonts w:hint="eastAsia"/>
                <w:color w:val="auto"/>
                <w:highlight w:val="none"/>
              </w:rPr>
            </w:pPr>
            <w:r>
              <w:rPr>
                <w:rFonts w:hint="eastAsia"/>
                <w:color w:val="auto"/>
                <w:highlight w:val="none"/>
              </w:rPr>
              <w:t>580</w:t>
            </w:r>
          </w:p>
        </w:tc>
        <w:tc>
          <w:tcPr>
            <w:tcW w:w="392" w:type="pct"/>
            <w:tcBorders>
              <w:tl2br w:val="nil"/>
              <w:tr2bl w:val="nil"/>
            </w:tcBorders>
            <w:shd w:val="clear" w:color="auto" w:fill="auto"/>
            <w:vAlign w:val="center"/>
          </w:tcPr>
          <w:p w14:paraId="7499F8C4">
            <w:pPr>
              <w:pStyle w:val="41"/>
              <w:rPr>
                <w:rFonts w:hint="eastAsia"/>
                <w:color w:val="auto"/>
                <w:highlight w:val="none"/>
              </w:rPr>
            </w:pPr>
            <w:r>
              <w:rPr>
                <w:rFonts w:hint="eastAsia"/>
                <w:color w:val="auto"/>
                <w:highlight w:val="none"/>
              </w:rPr>
              <w:t>35800</w:t>
            </w:r>
          </w:p>
        </w:tc>
        <w:tc>
          <w:tcPr>
            <w:tcW w:w="445" w:type="pct"/>
            <w:tcBorders>
              <w:tl2br w:val="nil"/>
              <w:tr2bl w:val="nil"/>
            </w:tcBorders>
            <w:shd w:val="clear" w:color="auto" w:fill="auto"/>
            <w:vAlign w:val="center"/>
          </w:tcPr>
          <w:p w14:paraId="51E97801">
            <w:pPr>
              <w:pStyle w:val="41"/>
              <w:rPr>
                <w:rFonts w:hint="eastAsia"/>
                <w:color w:val="auto"/>
                <w:highlight w:val="none"/>
              </w:rPr>
            </w:pPr>
            <w:r>
              <w:rPr>
                <w:rFonts w:hint="eastAsia"/>
                <w:color w:val="auto"/>
                <w:highlight w:val="none"/>
              </w:rPr>
              <w:t>76.79%</w:t>
            </w:r>
          </w:p>
        </w:tc>
        <w:tc>
          <w:tcPr>
            <w:tcW w:w="445" w:type="pct"/>
            <w:tcBorders>
              <w:tl2br w:val="nil"/>
              <w:tr2bl w:val="nil"/>
            </w:tcBorders>
            <w:shd w:val="clear" w:color="auto" w:fill="auto"/>
            <w:vAlign w:val="center"/>
          </w:tcPr>
          <w:p w14:paraId="04ADA17F">
            <w:pPr>
              <w:pStyle w:val="41"/>
              <w:rPr>
                <w:rFonts w:hint="eastAsia"/>
                <w:color w:val="auto"/>
                <w:highlight w:val="none"/>
              </w:rPr>
            </w:pPr>
            <w:r>
              <w:rPr>
                <w:rFonts w:hint="eastAsia"/>
                <w:color w:val="auto"/>
                <w:highlight w:val="none"/>
              </w:rPr>
              <w:t>21.57%</w:t>
            </w:r>
          </w:p>
        </w:tc>
        <w:tc>
          <w:tcPr>
            <w:tcW w:w="551" w:type="pct"/>
            <w:tcBorders>
              <w:tl2br w:val="nil"/>
              <w:tr2bl w:val="nil"/>
            </w:tcBorders>
            <w:shd w:val="clear" w:color="auto" w:fill="auto"/>
            <w:vAlign w:val="center"/>
          </w:tcPr>
          <w:p w14:paraId="14194487">
            <w:pPr>
              <w:pStyle w:val="41"/>
              <w:rPr>
                <w:rFonts w:hint="eastAsia"/>
                <w:color w:val="auto"/>
                <w:highlight w:val="none"/>
              </w:rPr>
            </w:pPr>
            <w:r>
              <w:rPr>
                <w:rFonts w:hint="eastAsia"/>
                <w:color w:val="auto"/>
                <w:highlight w:val="none"/>
              </w:rPr>
              <w:t>1.64</w:t>
            </w:r>
          </w:p>
        </w:tc>
        <w:tc>
          <w:tcPr>
            <w:tcW w:w="469" w:type="pct"/>
            <w:tcBorders>
              <w:tl2br w:val="nil"/>
              <w:tr2bl w:val="nil"/>
            </w:tcBorders>
            <w:shd w:val="clear" w:color="auto" w:fill="auto"/>
            <w:vAlign w:val="center"/>
          </w:tcPr>
          <w:p w14:paraId="2866BC25">
            <w:pPr>
              <w:pStyle w:val="41"/>
              <w:rPr>
                <w:rFonts w:hint="eastAsia"/>
                <w:color w:val="auto"/>
                <w:highlight w:val="none"/>
              </w:rPr>
            </w:pPr>
            <w:r>
              <w:rPr>
                <w:rFonts w:hint="eastAsia"/>
                <w:color w:val="auto"/>
                <w:highlight w:val="none"/>
              </w:rPr>
              <w:t>100%</w:t>
            </w:r>
          </w:p>
        </w:tc>
        <w:tc>
          <w:tcPr>
            <w:tcW w:w="445" w:type="pct"/>
            <w:tcBorders>
              <w:tl2br w:val="nil"/>
              <w:tr2bl w:val="nil"/>
            </w:tcBorders>
            <w:shd w:val="clear" w:color="auto" w:fill="auto"/>
            <w:vAlign w:val="center"/>
          </w:tcPr>
          <w:p w14:paraId="084CADC3">
            <w:pPr>
              <w:pStyle w:val="41"/>
              <w:rPr>
                <w:rFonts w:hint="eastAsia"/>
                <w:color w:val="auto"/>
                <w:highlight w:val="none"/>
              </w:rPr>
            </w:pPr>
            <w:r>
              <w:rPr>
                <w:color w:val="auto"/>
                <w:highlight w:val="none"/>
              </w:rPr>
              <w:t>85.48%</w:t>
            </w:r>
          </w:p>
        </w:tc>
        <w:tc>
          <w:tcPr>
            <w:tcW w:w="392" w:type="pct"/>
            <w:tcBorders>
              <w:tl2br w:val="nil"/>
              <w:tr2bl w:val="nil"/>
            </w:tcBorders>
            <w:shd w:val="clear" w:color="auto" w:fill="auto"/>
            <w:vAlign w:val="center"/>
          </w:tcPr>
          <w:p w14:paraId="00B2CEE9">
            <w:pPr>
              <w:pStyle w:val="41"/>
              <w:rPr>
                <w:rFonts w:hint="eastAsia"/>
                <w:color w:val="auto"/>
                <w:highlight w:val="none"/>
              </w:rPr>
            </w:pPr>
            <w:r>
              <w:rPr>
                <w:color w:val="auto"/>
                <w:highlight w:val="none"/>
              </w:rPr>
              <w:t>3.86%</w:t>
            </w:r>
          </w:p>
        </w:tc>
        <w:tc>
          <w:tcPr>
            <w:tcW w:w="392" w:type="pct"/>
            <w:tcBorders>
              <w:tl2br w:val="nil"/>
              <w:tr2bl w:val="nil"/>
            </w:tcBorders>
            <w:shd w:val="clear" w:color="auto" w:fill="auto"/>
            <w:vAlign w:val="center"/>
          </w:tcPr>
          <w:p w14:paraId="66B8758B">
            <w:pPr>
              <w:pStyle w:val="41"/>
              <w:rPr>
                <w:rFonts w:hint="eastAsia"/>
                <w:color w:val="auto"/>
                <w:highlight w:val="none"/>
              </w:rPr>
            </w:pPr>
            <w:r>
              <w:rPr>
                <w:color w:val="auto"/>
                <w:highlight w:val="none"/>
              </w:rPr>
              <w:t>6.79%</w:t>
            </w:r>
          </w:p>
        </w:tc>
        <w:tc>
          <w:tcPr>
            <w:tcW w:w="445" w:type="pct"/>
            <w:tcBorders>
              <w:tl2br w:val="nil"/>
              <w:tr2bl w:val="nil"/>
            </w:tcBorders>
            <w:shd w:val="clear" w:color="auto" w:fill="auto"/>
            <w:vAlign w:val="center"/>
          </w:tcPr>
          <w:p w14:paraId="4D82387A">
            <w:pPr>
              <w:pStyle w:val="41"/>
              <w:rPr>
                <w:rFonts w:hint="eastAsia"/>
                <w:color w:val="auto"/>
                <w:highlight w:val="none"/>
              </w:rPr>
            </w:pPr>
            <w:r>
              <w:rPr>
                <w:color w:val="auto"/>
                <w:highlight w:val="none"/>
              </w:rPr>
              <w:t>3.87%</w:t>
            </w:r>
          </w:p>
        </w:tc>
      </w:tr>
    </w:tbl>
    <w:p w14:paraId="5C6E7845">
      <w:pPr>
        <w:widowControl/>
        <w:snapToGrid w:val="0"/>
        <w:spacing w:line="480" w:lineRule="exact"/>
        <w:ind w:firstLine="480"/>
        <w:rPr>
          <w:rFonts w:cstheme="minorBidi"/>
          <w:color w:val="auto"/>
          <w:highlight w:val="none"/>
        </w:rPr>
      </w:pPr>
      <w:r>
        <w:rPr>
          <w:rFonts w:hint="eastAsia" w:cstheme="minorBidi"/>
          <w:color w:val="auto"/>
          <w:highlight w:val="none"/>
        </w:rPr>
        <w:t>本项目属于工业用水，已办理取水许可，根据三条红线分析，工业用水占比较小，且未超出用水总量控制指标。</w:t>
      </w:r>
    </w:p>
    <w:p w14:paraId="77AB3845">
      <w:pPr>
        <w:pStyle w:val="43"/>
        <w:rPr>
          <w:color w:val="auto"/>
          <w:highlight w:val="none"/>
        </w:rPr>
      </w:pPr>
      <w:r>
        <w:rPr>
          <w:rFonts w:hint="eastAsia"/>
          <w:color w:val="auto"/>
          <w:highlight w:val="none"/>
        </w:rPr>
        <w:t>地下水环境影响评价结论</w:t>
      </w:r>
    </w:p>
    <w:p w14:paraId="7E9AA54D">
      <w:pPr>
        <w:pStyle w:val="3"/>
        <w:ind w:firstLine="480"/>
        <w:rPr>
          <w:color w:val="auto"/>
          <w:highlight w:val="none"/>
        </w:rPr>
      </w:pPr>
      <w:r>
        <w:rPr>
          <w:rFonts w:hint="eastAsia"/>
          <w:color w:val="auto"/>
          <w:highlight w:val="none"/>
        </w:rPr>
        <w:t>场区采取源头控制措施和分区防治措施，从源头上降低了污染物的泄漏风险，通过采取严格的防渗措施，切断了泄漏污染物垂向入渗进入地下水的途径，进而确保污染物不会对地下水水质产生污染影响。通过依托在场区下游已布设污染监控井，及时准确</w:t>
      </w:r>
      <w:r>
        <w:rPr>
          <w:rFonts w:hint="eastAsia"/>
          <w:color w:val="auto"/>
          <w:highlight w:val="none"/>
          <w:lang w:eastAsia="zh-CN"/>
        </w:rPr>
        <w:t>地</w:t>
      </w:r>
      <w:r>
        <w:rPr>
          <w:rFonts w:hint="eastAsia"/>
          <w:color w:val="auto"/>
          <w:highlight w:val="none"/>
        </w:rPr>
        <w:t>掌握项目所在地周围地下水环境质量状况和地下水体中污染物的动态变化情况，防止或最大限度</w:t>
      </w:r>
      <w:r>
        <w:rPr>
          <w:rFonts w:hint="eastAsia"/>
          <w:color w:val="auto"/>
          <w:highlight w:val="none"/>
          <w:lang w:eastAsia="zh-CN"/>
        </w:rPr>
        <w:t>地</w:t>
      </w:r>
      <w:r>
        <w:rPr>
          <w:rFonts w:hint="eastAsia"/>
          <w:color w:val="auto"/>
          <w:highlight w:val="none"/>
        </w:rPr>
        <w:t>减轻项目对地下水环境的污染。通过场区制定应急响应方案，能够在发生污染物风险泄漏事故时，以最快的速度发挥最大的效能，有序地实施救援，尽快控制事态的发展，降低事故对含水层的污染。综上分析，在相关保护措施实施后，该项目对水环境的影响是可以接受的。</w:t>
      </w:r>
    </w:p>
    <w:bookmarkEnd w:id="380"/>
    <w:p w14:paraId="0DC46D18">
      <w:pPr>
        <w:pStyle w:val="39"/>
        <w:rPr>
          <w:rFonts w:hint="default"/>
          <w:color w:val="auto"/>
          <w:highlight w:val="none"/>
        </w:rPr>
      </w:pPr>
      <w:bookmarkStart w:id="381" w:name="_Toc6074"/>
      <w:bookmarkStart w:id="382" w:name="_Toc13965"/>
      <w:r>
        <w:rPr>
          <w:rFonts w:hint="default"/>
          <w:color w:val="auto"/>
          <w:highlight w:val="none"/>
        </w:rPr>
        <w:t>声环境影响预测与评价</w:t>
      </w:r>
      <w:bookmarkEnd w:id="381"/>
      <w:bookmarkEnd w:id="382"/>
    </w:p>
    <w:p w14:paraId="4399D768">
      <w:pPr>
        <w:pStyle w:val="42"/>
        <w:rPr>
          <w:rFonts w:hint="default"/>
          <w:color w:val="auto"/>
          <w:highlight w:val="none"/>
        </w:rPr>
      </w:pPr>
      <w:r>
        <w:rPr>
          <w:rFonts w:hint="default"/>
          <w:color w:val="auto"/>
          <w:highlight w:val="none"/>
        </w:rPr>
        <w:t>噪声源强</w:t>
      </w:r>
    </w:p>
    <w:p w14:paraId="7FE998A1">
      <w:pPr>
        <w:pStyle w:val="3"/>
        <w:ind w:firstLine="480"/>
        <w:rPr>
          <w:color w:val="auto"/>
          <w:highlight w:val="none"/>
        </w:rPr>
      </w:pPr>
      <w:r>
        <w:rPr>
          <w:color w:val="auto"/>
          <w:highlight w:val="none"/>
        </w:rPr>
        <w:t>本项目噪声污染源主要为喂料机、破碎机、振动筛、球磨机以及各种风机、泵类，其工作过程产生机械噪声。本项目噪声设备均设置在车间内，单台噪声源强在83~100dB（A）之间。拟采取基础减振措施后，噪声源强预计可削减10dB（A）左右。项目噪声源强情况见下表：</w:t>
      </w:r>
    </w:p>
    <w:p w14:paraId="3F914F40">
      <w:pPr>
        <w:pStyle w:val="3"/>
        <w:ind w:firstLine="480"/>
        <w:rPr>
          <w:color w:val="auto"/>
          <w:highlight w:val="none"/>
        </w:rPr>
      </w:pPr>
    </w:p>
    <w:p w14:paraId="449A2058">
      <w:pPr>
        <w:pStyle w:val="3"/>
        <w:ind w:firstLine="480"/>
        <w:rPr>
          <w:color w:val="auto"/>
          <w:highlight w:val="none"/>
        </w:rPr>
        <w:sectPr>
          <w:pgSz w:w="11906" w:h="16838"/>
          <w:pgMar w:top="1440" w:right="1803" w:bottom="1440" w:left="1803" w:header="1020" w:footer="992" w:gutter="0"/>
          <w:pgBorders>
            <w:top w:val="none" w:sz="0" w:space="0"/>
            <w:left w:val="none" w:sz="0" w:space="0"/>
            <w:bottom w:val="none" w:sz="0" w:space="0"/>
            <w:right w:val="none" w:sz="0" w:space="0"/>
          </w:pgBorders>
          <w:cols w:space="720" w:num="1"/>
          <w:docGrid w:type="lines" w:linePitch="332" w:charSpace="0"/>
        </w:sectPr>
      </w:pPr>
    </w:p>
    <w:p w14:paraId="67D79E7E">
      <w:pPr>
        <w:pStyle w:val="40"/>
        <w:rPr>
          <w:color w:val="auto"/>
          <w:highlight w:val="none"/>
        </w:rPr>
      </w:pPr>
      <w:r>
        <w:rPr>
          <w:color w:val="auto"/>
          <w:highlight w:val="none"/>
        </w:rPr>
        <w:t>表5.</w:t>
      </w:r>
      <w:r>
        <w:rPr>
          <w:rFonts w:hint="eastAsia"/>
          <w:color w:val="auto"/>
          <w:highlight w:val="none"/>
        </w:rPr>
        <w:t>4</w:t>
      </w:r>
      <w:r>
        <w:rPr>
          <w:color w:val="auto"/>
          <w:highlight w:val="none"/>
        </w:rPr>
        <w:t>-1   主要噪声源强统计一览表（室内声源）</w:t>
      </w:r>
    </w:p>
    <w:tbl>
      <w:tblPr>
        <w:tblStyle w:val="25"/>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2"/>
        <w:gridCol w:w="348"/>
        <w:gridCol w:w="1077"/>
        <w:gridCol w:w="612"/>
        <w:gridCol w:w="494"/>
        <w:gridCol w:w="567"/>
        <w:gridCol w:w="598"/>
        <w:gridCol w:w="483"/>
        <w:gridCol w:w="567"/>
        <w:gridCol w:w="553"/>
        <w:gridCol w:w="553"/>
        <w:gridCol w:w="472"/>
        <w:gridCol w:w="525"/>
        <w:gridCol w:w="496"/>
        <w:gridCol w:w="619"/>
        <w:gridCol w:w="538"/>
        <w:gridCol w:w="619"/>
        <w:gridCol w:w="476"/>
        <w:gridCol w:w="459"/>
        <w:gridCol w:w="476"/>
        <w:gridCol w:w="501"/>
        <w:gridCol w:w="493"/>
        <w:gridCol w:w="448"/>
        <w:gridCol w:w="493"/>
        <w:gridCol w:w="462"/>
        <w:gridCol w:w="535"/>
      </w:tblGrid>
      <w:tr w14:paraId="2B5159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vMerge w:val="restart"/>
            <w:tcBorders>
              <w:top w:val="single" w:color="auto" w:sz="12" w:space="0"/>
              <w:left w:val="single" w:color="auto" w:sz="12" w:space="0"/>
              <w:bottom w:val="single" w:color="auto" w:sz="4" w:space="0"/>
              <w:right w:val="single" w:color="auto" w:sz="4" w:space="0"/>
              <w:tl2br w:val="nil"/>
              <w:tr2bl w:val="nil"/>
            </w:tcBorders>
            <w:tcMar>
              <w:left w:w="28" w:type="dxa"/>
              <w:right w:w="28" w:type="dxa"/>
            </w:tcMar>
            <w:vAlign w:val="center"/>
          </w:tcPr>
          <w:p w14:paraId="55E82F66">
            <w:pPr>
              <w:pStyle w:val="41"/>
              <w:rPr>
                <w:color w:val="auto"/>
                <w:highlight w:val="none"/>
              </w:rPr>
            </w:pPr>
          </w:p>
          <w:p w14:paraId="476F3DE9">
            <w:pPr>
              <w:pStyle w:val="41"/>
              <w:rPr>
                <w:color w:val="auto"/>
                <w:highlight w:val="none"/>
              </w:rPr>
            </w:pPr>
            <w:r>
              <w:rPr>
                <w:rFonts w:hint="eastAsia"/>
                <w:color w:val="auto"/>
                <w:highlight w:val="none"/>
              </w:rPr>
              <w:t>建筑名称</w:t>
            </w:r>
          </w:p>
        </w:tc>
        <w:tc>
          <w:tcPr>
            <w:tcW w:w="124" w:type="pct"/>
            <w:vMerge w:val="restart"/>
            <w:tcBorders>
              <w:top w:val="single" w:color="auto" w:sz="12" w:space="0"/>
              <w:left w:val="single" w:color="auto" w:sz="4" w:space="0"/>
              <w:bottom w:val="single" w:color="auto" w:sz="4" w:space="0"/>
              <w:right w:val="single" w:color="auto" w:sz="4" w:space="0"/>
              <w:tl2br w:val="nil"/>
              <w:tr2bl w:val="nil"/>
            </w:tcBorders>
            <w:tcMar>
              <w:left w:w="28" w:type="dxa"/>
              <w:right w:w="28" w:type="dxa"/>
            </w:tcMar>
            <w:vAlign w:val="center"/>
          </w:tcPr>
          <w:p w14:paraId="11A6F607">
            <w:pPr>
              <w:pStyle w:val="41"/>
              <w:rPr>
                <w:color w:val="auto"/>
                <w:highlight w:val="none"/>
              </w:rPr>
            </w:pPr>
            <w:r>
              <w:rPr>
                <w:rFonts w:hint="eastAsia"/>
                <w:color w:val="auto"/>
                <w:highlight w:val="none"/>
              </w:rPr>
              <w:t>序号</w:t>
            </w:r>
          </w:p>
        </w:tc>
        <w:tc>
          <w:tcPr>
            <w:tcW w:w="384" w:type="pct"/>
            <w:vMerge w:val="restart"/>
            <w:tcBorders>
              <w:top w:val="single" w:color="auto" w:sz="12" w:space="0"/>
              <w:left w:val="single" w:color="auto" w:sz="4" w:space="0"/>
              <w:bottom w:val="single" w:color="auto" w:sz="4" w:space="0"/>
              <w:right w:val="single" w:color="auto" w:sz="4" w:space="0"/>
              <w:tl2br w:val="nil"/>
              <w:tr2bl w:val="nil"/>
            </w:tcBorders>
            <w:tcMar>
              <w:left w:w="28" w:type="dxa"/>
              <w:right w:w="28" w:type="dxa"/>
            </w:tcMar>
            <w:vAlign w:val="center"/>
          </w:tcPr>
          <w:p w14:paraId="4D3930FA">
            <w:pPr>
              <w:pStyle w:val="41"/>
              <w:rPr>
                <w:color w:val="auto"/>
                <w:highlight w:val="none"/>
              </w:rPr>
            </w:pPr>
            <w:r>
              <w:rPr>
                <w:rFonts w:hint="eastAsia"/>
                <w:color w:val="auto"/>
                <w:highlight w:val="none"/>
              </w:rPr>
              <w:t>声源名称</w:t>
            </w:r>
          </w:p>
        </w:tc>
        <w:tc>
          <w:tcPr>
            <w:tcW w:w="218" w:type="pct"/>
            <w:tcBorders>
              <w:top w:val="single" w:color="auto" w:sz="12" w:space="0"/>
              <w:left w:val="single" w:color="auto" w:sz="4" w:space="0"/>
              <w:bottom w:val="single" w:color="auto" w:sz="4" w:space="0"/>
              <w:right w:val="single" w:color="auto" w:sz="4" w:space="0"/>
              <w:tl2br w:val="nil"/>
              <w:tr2bl w:val="nil"/>
            </w:tcBorders>
            <w:tcMar>
              <w:left w:w="28" w:type="dxa"/>
              <w:right w:w="28" w:type="dxa"/>
            </w:tcMar>
            <w:vAlign w:val="center"/>
          </w:tcPr>
          <w:p w14:paraId="2618B6C5">
            <w:pPr>
              <w:pStyle w:val="41"/>
              <w:rPr>
                <w:color w:val="auto"/>
                <w:highlight w:val="none"/>
              </w:rPr>
            </w:pPr>
            <w:r>
              <w:rPr>
                <w:rFonts w:hint="eastAsia"/>
                <w:color w:val="auto"/>
                <w:highlight w:val="none"/>
              </w:rPr>
              <w:t>声源源强</w:t>
            </w:r>
          </w:p>
        </w:tc>
        <w:tc>
          <w:tcPr>
            <w:tcW w:w="176" w:type="pct"/>
            <w:vMerge w:val="restart"/>
            <w:tcBorders>
              <w:top w:val="single" w:color="auto" w:sz="12" w:space="0"/>
              <w:left w:val="single" w:color="auto" w:sz="4" w:space="0"/>
              <w:bottom w:val="single" w:color="auto" w:sz="4" w:space="0"/>
              <w:right w:val="single" w:color="auto" w:sz="4" w:space="0"/>
              <w:tl2br w:val="nil"/>
              <w:tr2bl w:val="nil"/>
            </w:tcBorders>
            <w:tcMar>
              <w:left w:w="28" w:type="dxa"/>
              <w:right w:w="28" w:type="dxa"/>
            </w:tcMar>
            <w:vAlign w:val="center"/>
          </w:tcPr>
          <w:p w14:paraId="1D287624">
            <w:pPr>
              <w:pStyle w:val="41"/>
              <w:rPr>
                <w:color w:val="auto"/>
                <w:highlight w:val="none"/>
              </w:rPr>
            </w:pPr>
            <w:r>
              <w:rPr>
                <w:rFonts w:hint="eastAsia"/>
                <w:color w:val="auto"/>
                <w:highlight w:val="none"/>
              </w:rPr>
              <w:t>声源控制措施</w:t>
            </w:r>
          </w:p>
        </w:tc>
        <w:tc>
          <w:tcPr>
            <w:tcW w:w="587" w:type="pct"/>
            <w:gridSpan w:val="3"/>
            <w:tcBorders>
              <w:top w:val="single" w:color="auto" w:sz="12" w:space="0"/>
              <w:left w:val="single" w:color="auto" w:sz="4" w:space="0"/>
              <w:bottom w:val="single" w:color="auto" w:sz="4" w:space="0"/>
              <w:right w:val="single" w:color="auto" w:sz="4" w:space="0"/>
              <w:tl2br w:val="nil"/>
              <w:tr2bl w:val="nil"/>
            </w:tcBorders>
            <w:tcMar>
              <w:left w:w="28" w:type="dxa"/>
              <w:right w:w="28" w:type="dxa"/>
            </w:tcMar>
            <w:vAlign w:val="center"/>
          </w:tcPr>
          <w:p w14:paraId="3448FD00">
            <w:pPr>
              <w:pStyle w:val="41"/>
              <w:rPr>
                <w:color w:val="auto"/>
                <w:highlight w:val="none"/>
              </w:rPr>
            </w:pPr>
            <w:r>
              <w:rPr>
                <w:rFonts w:hint="eastAsia"/>
                <w:color w:val="auto"/>
                <w:highlight w:val="none"/>
              </w:rPr>
              <w:t>空间相对位置/m</w:t>
            </w:r>
          </w:p>
        </w:tc>
        <w:tc>
          <w:tcPr>
            <w:tcW w:w="764" w:type="pct"/>
            <w:gridSpan w:val="4"/>
            <w:tcBorders>
              <w:top w:val="single" w:color="auto" w:sz="12" w:space="0"/>
              <w:left w:val="single" w:color="auto" w:sz="4" w:space="0"/>
              <w:bottom w:val="single" w:color="auto" w:sz="4" w:space="0"/>
              <w:right w:val="single" w:color="auto" w:sz="4" w:space="0"/>
              <w:tl2br w:val="nil"/>
              <w:tr2bl w:val="nil"/>
            </w:tcBorders>
            <w:tcMar>
              <w:left w:w="28" w:type="dxa"/>
              <w:right w:w="28" w:type="dxa"/>
            </w:tcMar>
            <w:vAlign w:val="center"/>
          </w:tcPr>
          <w:p w14:paraId="6F1EAC22">
            <w:pPr>
              <w:pStyle w:val="41"/>
              <w:rPr>
                <w:color w:val="auto"/>
                <w:highlight w:val="none"/>
              </w:rPr>
            </w:pPr>
            <w:r>
              <w:rPr>
                <w:rFonts w:hint="eastAsia"/>
                <w:color w:val="auto"/>
                <w:highlight w:val="none"/>
              </w:rPr>
              <w:t>距室内边界距离/m</w:t>
            </w:r>
          </w:p>
        </w:tc>
        <w:tc>
          <w:tcPr>
            <w:tcW w:w="777" w:type="pct"/>
            <w:gridSpan w:val="4"/>
            <w:tcBorders>
              <w:top w:val="single" w:color="auto" w:sz="12" w:space="0"/>
              <w:left w:val="single" w:color="auto" w:sz="4" w:space="0"/>
              <w:bottom w:val="single" w:color="auto" w:sz="4" w:space="0"/>
              <w:right w:val="single" w:color="auto" w:sz="4" w:space="0"/>
              <w:tl2br w:val="nil"/>
              <w:tr2bl w:val="nil"/>
            </w:tcBorders>
            <w:tcMar>
              <w:left w:w="28" w:type="dxa"/>
              <w:right w:w="28" w:type="dxa"/>
            </w:tcMar>
            <w:vAlign w:val="center"/>
          </w:tcPr>
          <w:p w14:paraId="06BE8AF8">
            <w:pPr>
              <w:pStyle w:val="41"/>
              <w:rPr>
                <w:color w:val="auto"/>
                <w:highlight w:val="none"/>
              </w:rPr>
            </w:pPr>
            <w:r>
              <w:rPr>
                <w:rFonts w:hint="eastAsia"/>
                <w:color w:val="auto"/>
                <w:highlight w:val="none"/>
              </w:rPr>
              <w:t>室内边界声级/dB（A）</w:t>
            </w:r>
          </w:p>
        </w:tc>
        <w:tc>
          <w:tcPr>
            <w:tcW w:w="221" w:type="pct"/>
            <w:vMerge w:val="restart"/>
            <w:tcBorders>
              <w:top w:val="single" w:color="auto" w:sz="12" w:space="0"/>
              <w:left w:val="single" w:color="auto" w:sz="4" w:space="0"/>
              <w:bottom w:val="single" w:color="auto" w:sz="4" w:space="0"/>
              <w:right w:val="single" w:color="auto" w:sz="4" w:space="0"/>
              <w:tl2br w:val="nil"/>
              <w:tr2bl w:val="nil"/>
            </w:tcBorders>
            <w:tcMar>
              <w:left w:w="28" w:type="dxa"/>
              <w:right w:w="28" w:type="dxa"/>
            </w:tcMar>
            <w:vAlign w:val="center"/>
          </w:tcPr>
          <w:p w14:paraId="56E5EDE3">
            <w:pPr>
              <w:pStyle w:val="41"/>
              <w:rPr>
                <w:color w:val="auto"/>
                <w:highlight w:val="none"/>
              </w:rPr>
            </w:pPr>
            <w:r>
              <w:rPr>
                <w:rFonts w:hint="eastAsia"/>
                <w:color w:val="auto"/>
                <w:highlight w:val="none"/>
              </w:rPr>
              <w:t>运行时段</w:t>
            </w:r>
          </w:p>
        </w:tc>
        <w:tc>
          <w:tcPr>
            <w:tcW w:w="683" w:type="pct"/>
            <w:gridSpan w:val="4"/>
            <w:tcBorders>
              <w:top w:val="single" w:color="auto" w:sz="12" w:space="0"/>
              <w:left w:val="single" w:color="auto" w:sz="4" w:space="0"/>
              <w:bottom w:val="single" w:color="auto" w:sz="4" w:space="0"/>
              <w:right w:val="single" w:color="auto" w:sz="4" w:space="0"/>
              <w:tl2br w:val="nil"/>
              <w:tr2bl w:val="nil"/>
            </w:tcBorders>
            <w:tcMar>
              <w:left w:w="28" w:type="dxa"/>
              <w:right w:w="28" w:type="dxa"/>
            </w:tcMar>
            <w:vAlign w:val="center"/>
          </w:tcPr>
          <w:p w14:paraId="4DE3F43B">
            <w:pPr>
              <w:pStyle w:val="41"/>
              <w:rPr>
                <w:color w:val="auto"/>
                <w:highlight w:val="none"/>
              </w:rPr>
            </w:pPr>
            <w:r>
              <w:rPr>
                <w:rFonts w:hint="eastAsia"/>
                <w:color w:val="auto"/>
                <w:highlight w:val="none"/>
              </w:rPr>
              <w:t>建筑物插入损失/dB（A）</w:t>
            </w:r>
          </w:p>
        </w:tc>
        <w:tc>
          <w:tcPr>
            <w:tcW w:w="868" w:type="pct"/>
            <w:gridSpan w:val="5"/>
            <w:tcBorders>
              <w:top w:val="single" w:color="auto" w:sz="12" w:space="0"/>
              <w:left w:val="single" w:color="auto" w:sz="4" w:space="0"/>
              <w:bottom w:val="single" w:color="auto" w:sz="4" w:space="0"/>
              <w:right w:val="single" w:color="auto" w:sz="12" w:space="0"/>
              <w:tl2br w:val="nil"/>
              <w:tr2bl w:val="nil"/>
            </w:tcBorders>
            <w:tcMar>
              <w:left w:w="28" w:type="dxa"/>
              <w:right w:w="28" w:type="dxa"/>
            </w:tcMar>
            <w:vAlign w:val="center"/>
          </w:tcPr>
          <w:p w14:paraId="3D1D6250">
            <w:pPr>
              <w:pStyle w:val="41"/>
              <w:rPr>
                <w:color w:val="auto"/>
                <w:highlight w:val="none"/>
              </w:rPr>
            </w:pPr>
            <w:r>
              <w:rPr>
                <w:rFonts w:hint="eastAsia"/>
                <w:color w:val="auto"/>
                <w:highlight w:val="none"/>
              </w:rPr>
              <w:t>建筑物外噪声声压级/dB（A）</w:t>
            </w:r>
          </w:p>
        </w:tc>
      </w:tr>
      <w:tr w14:paraId="501ECD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AE727CF">
            <w:pPr>
              <w:pStyle w:val="41"/>
              <w:rPr>
                <w:color w:val="auto"/>
                <w:highlight w:val="none"/>
              </w:rPr>
            </w:pPr>
          </w:p>
        </w:tc>
        <w:tc>
          <w:tcPr>
            <w:tcW w:w="124"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0EF1940">
            <w:pPr>
              <w:pStyle w:val="41"/>
              <w:rPr>
                <w:color w:val="auto"/>
                <w:highlight w:val="none"/>
              </w:rPr>
            </w:pPr>
          </w:p>
        </w:tc>
        <w:tc>
          <w:tcPr>
            <w:tcW w:w="384"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FA87934">
            <w:pPr>
              <w:pStyle w:val="41"/>
              <w:rPr>
                <w:color w:val="auto"/>
                <w:highlight w:val="none"/>
              </w:rPr>
            </w:pP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D3E8845">
            <w:pPr>
              <w:pStyle w:val="41"/>
              <w:rPr>
                <w:color w:val="auto"/>
                <w:highlight w:val="none"/>
              </w:rPr>
            </w:pPr>
            <w:r>
              <w:rPr>
                <w:rFonts w:hint="eastAsia"/>
                <w:color w:val="auto"/>
                <w:highlight w:val="none"/>
              </w:rPr>
              <w:t>声功率级/dB（A）</w:t>
            </w:r>
          </w:p>
        </w:tc>
        <w:tc>
          <w:tcPr>
            <w:tcW w:w="176"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2FEAABE">
            <w:pPr>
              <w:pStyle w:val="41"/>
              <w:rPr>
                <w:color w:val="auto"/>
                <w:highlight w:val="none"/>
              </w:rPr>
            </w:pP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EE8EF3F">
            <w:pPr>
              <w:pStyle w:val="41"/>
              <w:rPr>
                <w:color w:val="auto"/>
                <w:highlight w:val="none"/>
              </w:rPr>
            </w:pPr>
            <w:r>
              <w:rPr>
                <w:color w:val="auto"/>
                <w:highlight w:val="none"/>
              </w:rPr>
              <w:t>X</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92F34E1">
            <w:pPr>
              <w:pStyle w:val="41"/>
              <w:rPr>
                <w:color w:val="auto"/>
                <w:highlight w:val="none"/>
              </w:rPr>
            </w:pPr>
            <w:r>
              <w:rPr>
                <w:color w:val="auto"/>
                <w:highlight w:val="none"/>
              </w:rPr>
              <w:t>Y</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30C7249">
            <w:pPr>
              <w:pStyle w:val="41"/>
              <w:rPr>
                <w:color w:val="auto"/>
                <w:highlight w:val="none"/>
              </w:rPr>
            </w:pPr>
            <w:r>
              <w:rPr>
                <w:color w:val="auto"/>
                <w:highlight w:val="none"/>
              </w:rPr>
              <w:t>Z</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F890622">
            <w:pPr>
              <w:pStyle w:val="41"/>
              <w:rPr>
                <w:color w:val="auto"/>
                <w:highlight w:val="none"/>
              </w:rPr>
            </w:pPr>
            <w:r>
              <w:rPr>
                <w:rFonts w:hint="eastAsia"/>
                <w:color w:val="auto"/>
                <w:highlight w:val="none"/>
              </w:rPr>
              <w:t>东</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6BCEEE5">
            <w:pPr>
              <w:pStyle w:val="41"/>
              <w:rPr>
                <w:color w:val="auto"/>
                <w:highlight w:val="none"/>
              </w:rPr>
            </w:pPr>
            <w:r>
              <w:rPr>
                <w:rFonts w:hint="eastAsia"/>
                <w:color w:val="auto"/>
                <w:highlight w:val="none"/>
              </w:rPr>
              <w:t>南</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9257592">
            <w:pPr>
              <w:pStyle w:val="41"/>
              <w:rPr>
                <w:color w:val="auto"/>
                <w:highlight w:val="none"/>
              </w:rPr>
            </w:pPr>
            <w:r>
              <w:rPr>
                <w:rFonts w:hint="eastAsia"/>
                <w:color w:val="auto"/>
                <w:highlight w:val="none"/>
              </w:rPr>
              <w:t>西</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D1C4C96">
            <w:pPr>
              <w:pStyle w:val="41"/>
              <w:rPr>
                <w:color w:val="auto"/>
                <w:highlight w:val="none"/>
              </w:rPr>
            </w:pPr>
            <w:r>
              <w:rPr>
                <w:rFonts w:hint="eastAsia"/>
                <w:color w:val="auto"/>
                <w:highlight w:val="none"/>
              </w:rPr>
              <w:t>北</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1B2FB93">
            <w:pPr>
              <w:pStyle w:val="41"/>
              <w:rPr>
                <w:color w:val="auto"/>
                <w:highlight w:val="none"/>
              </w:rPr>
            </w:pPr>
            <w:r>
              <w:rPr>
                <w:rFonts w:hint="eastAsia"/>
                <w:color w:val="auto"/>
                <w:highlight w:val="none"/>
              </w:rPr>
              <w:t>东</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A69EB26">
            <w:pPr>
              <w:pStyle w:val="41"/>
              <w:rPr>
                <w:color w:val="auto"/>
                <w:highlight w:val="none"/>
              </w:rPr>
            </w:pPr>
            <w:r>
              <w:rPr>
                <w:rFonts w:hint="eastAsia"/>
                <w:color w:val="auto"/>
                <w:highlight w:val="none"/>
              </w:rPr>
              <w:t>南</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C6F0C35">
            <w:pPr>
              <w:pStyle w:val="41"/>
              <w:rPr>
                <w:color w:val="auto"/>
                <w:highlight w:val="none"/>
              </w:rPr>
            </w:pPr>
            <w:r>
              <w:rPr>
                <w:rFonts w:hint="eastAsia"/>
                <w:color w:val="auto"/>
                <w:highlight w:val="none"/>
              </w:rPr>
              <w:t>西</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B3453AD">
            <w:pPr>
              <w:pStyle w:val="41"/>
              <w:rPr>
                <w:color w:val="auto"/>
                <w:highlight w:val="none"/>
              </w:rPr>
            </w:pPr>
            <w:r>
              <w:rPr>
                <w:rFonts w:hint="eastAsia"/>
                <w:color w:val="auto"/>
                <w:highlight w:val="none"/>
              </w:rPr>
              <w:t>北</w:t>
            </w:r>
          </w:p>
        </w:tc>
        <w:tc>
          <w:tcPr>
            <w:tcW w:w="221"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17AE898">
            <w:pPr>
              <w:pStyle w:val="41"/>
              <w:rPr>
                <w:color w:val="auto"/>
                <w:highlight w:val="none"/>
              </w:rPr>
            </w:pP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339D367">
            <w:pPr>
              <w:pStyle w:val="41"/>
              <w:rPr>
                <w:color w:val="auto"/>
                <w:highlight w:val="none"/>
              </w:rPr>
            </w:pPr>
            <w:r>
              <w:rPr>
                <w:rFonts w:hint="eastAsia"/>
                <w:color w:val="auto"/>
                <w:highlight w:val="none"/>
              </w:rPr>
              <w:t>东</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C6FFB7E">
            <w:pPr>
              <w:pStyle w:val="41"/>
              <w:rPr>
                <w:color w:val="auto"/>
                <w:highlight w:val="none"/>
              </w:rPr>
            </w:pPr>
            <w:r>
              <w:rPr>
                <w:rFonts w:hint="eastAsia"/>
                <w:color w:val="auto"/>
                <w:highlight w:val="none"/>
              </w:rPr>
              <w:t>南</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F101240">
            <w:pPr>
              <w:pStyle w:val="41"/>
              <w:rPr>
                <w:color w:val="auto"/>
                <w:highlight w:val="none"/>
              </w:rPr>
            </w:pPr>
            <w:r>
              <w:rPr>
                <w:rFonts w:hint="eastAsia"/>
                <w:color w:val="auto"/>
                <w:highlight w:val="none"/>
              </w:rPr>
              <w:t>西</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698F64B">
            <w:pPr>
              <w:pStyle w:val="41"/>
              <w:rPr>
                <w:color w:val="auto"/>
                <w:highlight w:val="none"/>
              </w:rPr>
            </w:pPr>
            <w:r>
              <w:rPr>
                <w:rFonts w:hint="eastAsia"/>
                <w:color w:val="auto"/>
                <w:highlight w:val="none"/>
              </w:rPr>
              <w:t>北</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52D7B4D">
            <w:pPr>
              <w:pStyle w:val="41"/>
              <w:rPr>
                <w:color w:val="auto"/>
                <w:highlight w:val="none"/>
              </w:rPr>
            </w:pPr>
            <w:r>
              <w:rPr>
                <w:rFonts w:hint="eastAsia"/>
                <w:color w:val="auto"/>
                <w:highlight w:val="none"/>
              </w:rPr>
              <w:t>东</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CE033ED">
            <w:pPr>
              <w:pStyle w:val="41"/>
              <w:rPr>
                <w:color w:val="auto"/>
                <w:highlight w:val="none"/>
              </w:rPr>
            </w:pPr>
            <w:r>
              <w:rPr>
                <w:rFonts w:hint="eastAsia"/>
                <w:color w:val="auto"/>
                <w:highlight w:val="none"/>
              </w:rPr>
              <w:t>南</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0350E25">
            <w:pPr>
              <w:pStyle w:val="41"/>
              <w:rPr>
                <w:color w:val="auto"/>
                <w:highlight w:val="none"/>
              </w:rPr>
            </w:pPr>
            <w:r>
              <w:rPr>
                <w:rFonts w:hint="eastAsia"/>
                <w:color w:val="auto"/>
                <w:highlight w:val="none"/>
              </w:rPr>
              <w:t>西</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E6C95CE">
            <w:pPr>
              <w:pStyle w:val="41"/>
              <w:rPr>
                <w:color w:val="auto"/>
                <w:highlight w:val="none"/>
              </w:rPr>
            </w:pPr>
            <w:r>
              <w:rPr>
                <w:rFonts w:hint="eastAsia"/>
                <w:color w:val="auto"/>
                <w:highlight w:val="none"/>
              </w:rPr>
              <w:t>北</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top w:w="0" w:type="dxa"/>
              <w:left w:w="28" w:type="dxa"/>
              <w:bottom w:w="0" w:type="dxa"/>
              <w:right w:w="28" w:type="dxa"/>
            </w:tcMar>
            <w:vAlign w:val="center"/>
          </w:tcPr>
          <w:p w14:paraId="66BBDD1F">
            <w:pPr>
              <w:pStyle w:val="41"/>
              <w:rPr>
                <w:color w:val="auto"/>
                <w:highlight w:val="none"/>
              </w:rPr>
            </w:pPr>
            <w:r>
              <w:rPr>
                <w:rFonts w:hint="eastAsia"/>
                <w:color w:val="auto"/>
                <w:highlight w:val="none"/>
              </w:rPr>
              <w:t>建筑物外距离</w:t>
            </w:r>
          </w:p>
        </w:tc>
      </w:tr>
      <w:tr w14:paraId="0426A2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vMerge w:val="restart"/>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8C135AD">
            <w:pPr>
              <w:pStyle w:val="41"/>
              <w:rPr>
                <w:color w:val="auto"/>
                <w:highlight w:val="none"/>
              </w:rPr>
            </w:pPr>
            <w:r>
              <w:rPr>
                <w:rFonts w:hint="eastAsia"/>
                <w:color w:val="auto"/>
                <w:highlight w:val="none"/>
              </w:rPr>
              <w:t>破碎筛分车间</w:t>
            </w:r>
          </w:p>
        </w:tc>
        <w:tc>
          <w:tcPr>
            <w:tcW w:w="12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7350D4F">
            <w:pPr>
              <w:pStyle w:val="41"/>
              <w:rPr>
                <w:color w:val="auto"/>
                <w:highlight w:val="none"/>
              </w:rPr>
            </w:pPr>
            <w:r>
              <w:rPr>
                <w:color w:val="auto"/>
                <w:highlight w:val="none"/>
              </w:rPr>
              <w:t>1</w:t>
            </w:r>
          </w:p>
        </w:tc>
        <w:tc>
          <w:tcPr>
            <w:tcW w:w="38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94C52EA">
            <w:pPr>
              <w:pStyle w:val="41"/>
              <w:rPr>
                <w:color w:val="auto"/>
                <w:highlight w:val="none"/>
              </w:rPr>
            </w:pPr>
            <w:r>
              <w:rPr>
                <w:rFonts w:hint="eastAsia"/>
                <w:color w:val="auto"/>
                <w:highlight w:val="none"/>
              </w:rPr>
              <w:t>链板喂料</w:t>
            </w:r>
            <w:r>
              <w:rPr>
                <w:rFonts w:hint="eastAsia"/>
                <w:color w:val="auto"/>
                <w:highlight w:val="none"/>
                <w:lang w:eastAsia="zh-CN"/>
              </w:rPr>
              <w:t>机</w:t>
            </w:r>
            <w:r>
              <w:rPr>
                <w:rFonts w:hint="eastAsia"/>
                <w:color w:val="auto"/>
                <w:highlight w:val="none"/>
              </w:rPr>
              <w:t>×1</w:t>
            </w: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0158BDC">
            <w:pPr>
              <w:pStyle w:val="41"/>
              <w:rPr>
                <w:color w:val="auto"/>
                <w:highlight w:val="none"/>
              </w:rPr>
            </w:pPr>
            <w:r>
              <w:rPr>
                <w:color w:val="auto"/>
                <w:highlight w:val="none"/>
              </w:rPr>
              <w:t>83.0</w:t>
            </w:r>
          </w:p>
        </w:tc>
        <w:tc>
          <w:tcPr>
            <w:tcW w:w="176" w:type="pct"/>
            <w:vMerge w:val="restar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5A3613E">
            <w:pPr>
              <w:pStyle w:val="41"/>
              <w:rPr>
                <w:color w:val="auto"/>
                <w:highlight w:val="none"/>
              </w:rPr>
            </w:pPr>
            <w:r>
              <w:rPr>
                <w:rFonts w:hint="eastAsia"/>
                <w:color w:val="auto"/>
                <w:highlight w:val="none"/>
              </w:rPr>
              <w:t>隔声减振</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7D67E0F">
            <w:pPr>
              <w:pStyle w:val="41"/>
              <w:rPr>
                <w:color w:val="auto"/>
                <w:highlight w:val="none"/>
              </w:rPr>
            </w:pPr>
            <w:r>
              <w:rPr>
                <w:color w:val="auto"/>
                <w:highlight w:val="none"/>
              </w:rPr>
              <w:t>627.1</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AAEECEE">
            <w:pPr>
              <w:pStyle w:val="41"/>
              <w:rPr>
                <w:color w:val="auto"/>
                <w:highlight w:val="none"/>
              </w:rPr>
            </w:pPr>
            <w:r>
              <w:rPr>
                <w:color w:val="auto"/>
                <w:highlight w:val="none"/>
              </w:rPr>
              <w:t>398.5</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3C41404">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440C813">
            <w:pPr>
              <w:pStyle w:val="41"/>
              <w:rPr>
                <w:color w:val="auto"/>
                <w:highlight w:val="none"/>
              </w:rPr>
            </w:pPr>
            <w:r>
              <w:rPr>
                <w:color w:val="auto"/>
                <w:highlight w:val="none"/>
              </w:rPr>
              <w:t>41.3</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4486D07">
            <w:pPr>
              <w:pStyle w:val="41"/>
              <w:rPr>
                <w:color w:val="auto"/>
                <w:highlight w:val="none"/>
              </w:rPr>
            </w:pPr>
            <w:r>
              <w:rPr>
                <w:color w:val="auto"/>
                <w:highlight w:val="none"/>
              </w:rPr>
              <w:t>132.5</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98B5D23">
            <w:pPr>
              <w:pStyle w:val="41"/>
              <w:rPr>
                <w:color w:val="auto"/>
                <w:highlight w:val="none"/>
              </w:rPr>
            </w:pPr>
            <w:r>
              <w:rPr>
                <w:color w:val="auto"/>
                <w:highlight w:val="none"/>
              </w:rPr>
              <w:t>17.0</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280FF61">
            <w:pPr>
              <w:pStyle w:val="41"/>
              <w:rPr>
                <w:color w:val="auto"/>
                <w:highlight w:val="none"/>
              </w:rPr>
            </w:pPr>
            <w:r>
              <w:rPr>
                <w:color w:val="auto"/>
                <w:highlight w:val="none"/>
              </w:rPr>
              <w:t>24.3</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9D1E2C9">
            <w:pPr>
              <w:pStyle w:val="41"/>
              <w:rPr>
                <w:color w:val="auto"/>
                <w:highlight w:val="none"/>
              </w:rPr>
            </w:pPr>
            <w:r>
              <w:rPr>
                <w:color w:val="auto"/>
                <w:highlight w:val="none"/>
              </w:rPr>
              <w:t>64.6</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3F61BDA">
            <w:pPr>
              <w:pStyle w:val="41"/>
              <w:rPr>
                <w:color w:val="auto"/>
                <w:highlight w:val="none"/>
              </w:rPr>
            </w:pPr>
            <w:r>
              <w:rPr>
                <w:color w:val="auto"/>
                <w:highlight w:val="none"/>
              </w:rPr>
              <w:t>64.6</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3974413">
            <w:pPr>
              <w:pStyle w:val="41"/>
              <w:rPr>
                <w:color w:val="auto"/>
                <w:highlight w:val="none"/>
              </w:rPr>
            </w:pPr>
            <w:r>
              <w:rPr>
                <w:color w:val="auto"/>
                <w:highlight w:val="none"/>
              </w:rPr>
              <w:t>64.6</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D1B6A7D">
            <w:pPr>
              <w:pStyle w:val="41"/>
              <w:rPr>
                <w:color w:val="auto"/>
                <w:highlight w:val="none"/>
              </w:rPr>
            </w:pPr>
            <w:r>
              <w:rPr>
                <w:color w:val="auto"/>
                <w:highlight w:val="none"/>
              </w:rPr>
              <w:t>64.6</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FD1123A">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2B52C95">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B7C5773">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C33B26A">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6506BF7">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64ACC4F">
            <w:pPr>
              <w:pStyle w:val="41"/>
              <w:rPr>
                <w:color w:val="auto"/>
                <w:highlight w:val="none"/>
              </w:rPr>
            </w:pPr>
            <w:r>
              <w:rPr>
                <w:color w:val="auto"/>
                <w:highlight w:val="none"/>
              </w:rPr>
              <w:t>38.6</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E8CA38D">
            <w:pPr>
              <w:pStyle w:val="41"/>
              <w:rPr>
                <w:color w:val="auto"/>
                <w:highlight w:val="none"/>
              </w:rPr>
            </w:pPr>
            <w:r>
              <w:rPr>
                <w:color w:val="auto"/>
                <w:highlight w:val="none"/>
              </w:rPr>
              <w:t>38.6</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46B428D">
            <w:pPr>
              <w:pStyle w:val="41"/>
              <w:rPr>
                <w:color w:val="auto"/>
                <w:highlight w:val="none"/>
              </w:rPr>
            </w:pPr>
            <w:r>
              <w:rPr>
                <w:color w:val="auto"/>
                <w:highlight w:val="none"/>
              </w:rPr>
              <w:t>38.6</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1E4C509">
            <w:pPr>
              <w:pStyle w:val="41"/>
              <w:rPr>
                <w:color w:val="auto"/>
                <w:highlight w:val="none"/>
              </w:rPr>
            </w:pPr>
            <w:r>
              <w:rPr>
                <w:color w:val="auto"/>
                <w:highlight w:val="none"/>
              </w:rPr>
              <w:t>38.6</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top w:w="0" w:type="dxa"/>
              <w:left w:w="28" w:type="dxa"/>
              <w:bottom w:w="0" w:type="dxa"/>
              <w:right w:w="28" w:type="dxa"/>
            </w:tcMar>
            <w:vAlign w:val="center"/>
          </w:tcPr>
          <w:p w14:paraId="6067AB61">
            <w:pPr>
              <w:pStyle w:val="41"/>
              <w:rPr>
                <w:color w:val="auto"/>
                <w:highlight w:val="none"/>
              </w:rPr>
            </w:pPr>
            <w:r>
              <w:rPr>
                <w:color w:val="auto"/>
                <w:highlight w:val="none"/>
              </w:rPr>
              <w:t>1</w:t>
            </w:r>
          </w:p>
        </w:tc>
      </w:tr>
      <w:tr w14:paraId="2AABEE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935B2F0">
            <w:pPr>
              <w:pStyle w:val="41"/>
              <w:rPr>
                <w:color w:val="auto"/>
                <w:highlight w:val="none"/>
              </w:rPr>
            </w:pPr>
          </w:p>
        </w:tc>
        <w:tc>
          <w:tcPr>
            <w:tcW w:w="12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C1E8D3B">
            <w:pPr>
              <w:pStyle w:val="41"/>
              <w:rPr>
                <w:color w:val="auto"/>
                <w:highlight w:val="none"/>
              </w:rPr>
            </w:pPr>
            <w:r>
              <w:rPr>
                <w:color w:val="auto"/>
                <w:highlight w:val="none"/>
              </w:rPr>
              <w:t>2</w:t>
            </w:r>
          </w:p>
        </w:tc>
        <w:tc>
          <w:tcPr>
            <w:tcW w:w="38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B1D0DCA">
            <w:pPr>
              <w:pStyle w:val="41"/>
              <w:rPr>
                <w:color w:val="auto"/>
                <w:highlight w:val="none"/>
              </w:rPr>
            </w:pPr>
            <w:r>
              <w:rPr>
                <w:rFonts w:hint="eastAsia"/>
                <w:color w:val="auto"/>
                <w:highlight w:val="none"/>
              </w:rPr>
              <w:t>滚轴筛×1</w:t>
            </w: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4A6D3E0">
            <w:pPr>
              <w:pStyle w:val="41"/>
              <w:rPr>
                <w:color w:val="auto"/>
                <w:highlight w:val="none"/>
              </w:rPr>
            </w:pPr>
            <w:r>
              <w:rPr>
                <w:color w:val="auto"/>
                <w:highlight w:val="none"/>
              </w:rPr>
              <w:t>9</w:t>
            </w:r>
            <w:r>
              <w:rPr>
                <w:rFonts w:hint="eastAsia"/>
                <w:color w:val="auto"/>
                <w:highlight w:val="none"/>
              </w:rPr>
              <w:t>5</w:t>
            </w:r>
            <w:r>
              <w:rPr>
                <w:color w:val="auto"/>
                <w:highlight w:val="none"/>
              </w:rPr>
              <w:t>.0</w:t>
            </w:r>
          </w:p>
        </w:tc>
        <w:tc>
          <w:tcPr>
            <w:tcW w:w="176"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F1B1BE1">
            <w:pPr>
              <w:pStyle w:val="41"/>
              <w:rPr>
                <w:color w:val="auto"/>
                <w:highlight w:val="none"/>
              </w:rPr>
            </w:pP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E0968F7">
            <w:pPr>
              <w:pStyle w:val="41"/>
              <w:rPr>
                <w:color w:val="auto"/>
                <w:highlight w:val="none"/>
              </w:rPr>
            </w:pPr>
            <w:r>
              <w:rPr>
                <w:color w:val="auto"/>
                <w:highlight w:val="none"/>
              </w:rPr>
              <w:t>645.4</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A0CD107">
            <w:pPr>
              <w:pStyle w:val="41"/>
              <w:rPr>
                <w:color w:val="auto"/>
                <w:highlight w:val="none"/>
              </w:rPr>
            </w:pPr>
            <w:r>
              <w:rPr>
                <w:color w:val="auto"/>
                <w:highlight w:val="none"/>
              </w:rPr>
              <w:t>400.3</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8BBD8C6">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9781EF7">
            <w:pPr>
              <w:pStyle w:val="41"/>
              <w:rPr>
                <w:color w:val="auto"/>
                <w:highlight w:val="none"/>
              </w:rPr>
            </w:pPr>
            <w:r>
              <w:rPr>
                <w:color w:val="auto"/>
                <w:highlight w:val="none"/>
              </w:rPr>
              <w:t>23.1</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048A6F2">
            <w:pPr>
              <w:pStyle w:val="41"/>
              <w:rPr>
                <w:color w:val="auto"/>
                <w:highlight w:val="none"/>
              </w:rPr>
            </w:pPr>
            <w:r>
              <w:rPr>
                <w:color w:val="auto"/>
                <w:highlight w:val="none"/>
              </w:rPr>
              <w:t>130.9</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E397B1D">
            <w:pPr>
              <w:pStyle w:val="41"/>
              <w:rPr>
                <w:color w:val="auto"/>
                <w:highlight w:val="none"/>
              </w:rPr>
            </w:pPr>
            <w:r>
              <w:rPr>
                <w:color w:val="auto"/>
                <w:highlight w:val="none"/>
              </w:rPr>
              <w:t>35.3</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E34E246">
            <w:pPr>
              <w:pStyle w:val="41"/>
              <w:rPr>
                <w:color w:val="auto"/>
                <w:highlight w:val="none"/>
              </w:rPr>
            </w:pPr>
            <w:r>
              <w:rPr>
                <w:color w:val="auto"/>
                <w:highlight w:val="none"/>
              </w:rPr>
              <w:t>26.6</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DD96FFF">
            <w:pPr>
              <w:pStyle w:val="41"/>
              <w:rPr>
                <w:color w:val="auto"/>
                <w:highlight w:val="none"/>
              </w:rPr>
            </w:pPr>
            <w:r>
              <w:rPr>
                <w:color w:val="auto"/>
                <w:highlight w:val="none"/>
              </w:rPr>
              <w:t>76.6</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9AA57F1">
            <w:pPr>
              <w:pStyle w:val="41"/>
              <w:rPr>
                <w:color w:val="auto"/>
                <w:highlight w:val="none"/>
              </w:rPr>
            </w:pPr>
            <w:r>
              <w:rPr>
                <w:color w:val="auto"/>
                <w:highlight w:val="none"/>
              </w:rPr>
              <w:t>76.6</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6FC64E8">
            <w:pPr>
              <w:pStyle w:val="41"/>
              <w:rPr>
                <w:color w:val="auto"/>
                <w:highlight w:val="none"/>
              </w:rPr>
            </w:pPr>
            <w:r>
              <w:rPr>
                <w:color w:val="auto"/>
                <w:highlight w:val="none"/>
              </w:rPr>
              <w:t>76.6</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BB8067F">
            <w:pPr>
              <w:pStyle w:val="41"/>
              <w:rPr>
                <w:color w:val="auto"/>
                <w:highlight w:val="none"/>
              </w:rPr>
            </w:pPr>
            <w:r>
              <w:rPr>
                <w:color w:val="auto"/>
                <w:highlight w:val="none"/>
              </w:rPr>
              <w:t>76.6</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DDE3DC1">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1F40CA0">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A952519">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6BD1B28">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FC796BC">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6EE95E6">
            <w:pPr>
              <w:pStyle w:val="41"/>
              <w:rPr>
                <w:color w:val="auto"/>
                <w:highlight w:val="none"/>
              </w:rPr>
            </w:pPr>
            <w:r>
              <w:rPr>
                <w:color w:val="auto"/>
                <w:highlight w:val="none"/>
              </w:rPr>
              <w:t>50.6</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9F945BD">
            <w:pPr>
              <w:pStyle w:val="41"/>
              <w:rPr>
                <w:color w:val="auto"/>
                <w:highlight w:val="none"/>
              </w:rPr>
            </w:pPr>
            <w:r>
              <w:rPr>
                <w:color w:val="auto"/>
                <w:highlight w:val="none"/>
              </w:rPr>
              <w:t>50.6</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AF52B71">
            <w:pPr>
              <w:pStyle w:val="41"/>
              <w:rPr>
                <w:color w:val="auto"/>
                <w:highlight w:val="none"/>
              </w:rPr>
            </w:pPr>
            <w:r>
              <w:rPr>
                <w:color w:val="auto"/>
                <w:highlight w:val="none"/>
              </w:rPr>
              <w:t>50.6</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A906856">
            <w:pPr>
              <w:pStyle w:val="41"/>
              <w:rPr>
                <w:color w:val="auto"/>
                <w:highlight w:val="none"/>
              </w:rPr>
            </w:pPr>
            <w:r>
              <w:rPr>
                <w:color w:val="auto"/>
                <w:highlight w:val="none"/>
              </w:rPr>
              <w:t>50.6</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top w:w="0" w:type="dxa"/>
              <w:left w:w="28" w:type="dxa"/>
              <w:bottom w:w="0" w:type="dxa"/>
              <w:right w:w="28" w:type="dxa"/>
            </w:tcMar>
            <w:vAlign w:val="center"/>
          </w:tcPr>
          <w:p w14:paraId="40FFA6B9">
            <w:pPr>
              <w:pStyle w:val="41"/>
              <w:rPr>
                <w:color w:val="auto"/>
                <w:highlight w:val="none"/>
              </w:rPr>
            </w:pPr>
            <w:r>
              <w:rPr>
                <w:color w:val="auto"/>
                <w:highlight w:val="none"/>
              </w:rPr>
              <w:t>1</w:t>
            </w:r>
          </w:p>
        </w:tc>
      </w:tr>
      <w:tr w14:paraId="499C0D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0DF4446">
            <w:pPr>
              <w:pStyle w:val="41"/>
              <w:rPr>
                <w:color w:val="auto"/>
                <w:highlight w:val="none"/>
              </w:rPr>
            </w:pPr>
          </w:p>
        </w:tc>
        <w:tc>
          <w:tcPr>
            <w:tcW w:w="12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04AE80E">
            <w:pPr>
              <w:pStyle w:val="41"/>
              <w:rPr>
                <w:color w:val="auto"/>
                <w:highlight w:val="none"/>
              </w:rPr>
            </w:pPr>
            <w:r>
              <w:rPr>
                <w:color w:val="auto"/>
                <w:highlight w:val="none"/>
              </w:rPr>
              <w:t>3</w:t>
            </w:r>
          </w:p>
        </w:tc>
        <w:tc>
          <w:tcPr>
            <w:tcW w:w="38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4B52485">
            <w:pPr>
              <w:pStyle w:val="41"/>
              <w:rPr>
                <w:color w:val="auto"/>
                <w:highlight w:val="none"/>
              </w:rPr>
            </w:pPr>
            <w:r>
              <w:rPr>
                <w:rFonts w:hint="eastAsia"/>
                <w:color w:val="auto"/>
                <w:highlight w:val="none"/>
              </w:rPr>
              <w:t>振动筛×3</w:t>
            </w: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446EE6F">
            <w:pPr>
              <w:pStyle w:val="41"/>
              <w:rPr>
                <w:color w:val="auto"/>
                <w:highlight w:val="none"/>
              </w:rPr>
            </w:pPr>
            <w:r>
              <w:rPr>
                <w:rFonts w:hint="eastAsia"/>
                <w:color w:val="auto"/>
                <w:highlight w:val="none"/>
              </w:rPr>
              <w:t>100</w:t>
            </w:r>
            <w:r>
              <w:rPr>
                <w:color w:val="auto"/>
                <w:highlight w:val="none"/>
              </w:rPr>
              <w:t>.0</w:t>
            </w:r>
          </w:p>
        </w:tc>
        <w:tc>
          <w:tcPr>
            <w:tcW w:w="176"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0361CA5">
            <w:pPr>
              <w:pStyle w:val="41"/>
              <w:rPr>
                <w:color w:val="auto"/>
                <w:highlight w:val="none"/>
              </w:rPr>
            </w:pP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6F5DDC1">
            <w:pPr>
              <w:pStyle w:val="41"/>
              <w:rPr>
                <w:color w:val="auto"/>
                <w:highlight w:val="none"/>
              </w:rPr>
            </w:pPr>
            <w:r>
              <w:rPr>
                <w:color w:val="auto"/>
                <w:highlight w:val="none"/>
              </w:rPr>
              <w:t>637.5</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148F998">
            <w:pPr>
              <w:pStyle w:val="41"/>
              <w:rPr>
                <w:color w:val="auto"/>
                <w:highlight w:val="none"/>
              </w:rPr>
            </w:pPr>
            <w:r>
              <w:rPr>
                <w:color w:val="auto"/>
                <w:highlight w:val="none"/>
              </w:rPr>
              <w:t>379.8</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79C3D2C">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FE38BB0">
            <w:pPr>
              <w:pStyle w:val="41"/>
              <w:rPr>
                <w:color w:val="auto"/>
                <w:highlight w:val="none"/>
              </w:rPr>
            </w:pPr>
            <w:r>
              <w:rPr>
                <w:color w:val="auto"/>
                <w:highlight w:val="none"/>
              </w:rPr>
              <w:t>35.5</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772BC73">
            <w:pPr>
              <w:pStyle w:val="41"/>
              <w:rPr>
                <w:color w:val="auto"/>
                <w:highlight w:val="none"/>
              </w:rPr>
            </w:pPr>
            <w:r>
              <w:rPr>
                <w:color w:val="auto"/>
                <w:highlight w:val="none"/>
              </w:rPr>
              <w:t>112.2</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7B455A1">
            <w:pPr>
              <w:pStyle w:val="41"/>
              <w:rPr>
                <w:color w:val="auto"/>
                <w:highlight w:val="none"/>
              </w:rPr>
            </w:pPr>
            <w:r>
              <w:rPr>
                <w:color w:val="auto"/>
                <w:highlight w:val="none"/>
              </w:rPr>
              <w:t>23.8</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C45D0C3">
            <w:pPr>
              <w:pStyle w:val="41"/>
              <w:rPr>
                <w:color w:val="auto"/>
                <w:highlight w:val="none"/>
              </w:rPr>
            </w:pPr>
            <w:r>
              <w:rPr>
                <w:color w:val="auto"/>
                <w:highlight w:val="none"/>
              </w:rPr>
              <w:t>44.8</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D66A96C">
            <w:pPr>
              <w:pStyle w:val="41"/>
              <w:rPr>
                <w:color w:val="auto"/>
                <w:highlight w:val="none"/>
              </w:rPr>
            </w:pPr>
            <w:r>
              <w:rPr>
                <w:color w:val="auto"/>
                <w:highlight w:val="none"/>
              </w:rPr>
              <w:t>87.6</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67E7351">
            <w:pPr>
              <w:pStyle w:val="41"/>
              <w:rPr>
                <w:color w:val="auto"/>
                <w:highlight w:val="none"/>
              </w:rPr>
            </w:pPr>
            <w:r>
              <w:rPr>
                <w:color w:val="auto"/>
                <w:highlight w:val="none"/>
              </w:rPr>
              <w:t>87.6</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C1AD785">
            <w:pPr>
              <w:pStyle w:val="41"/>
              <w:rPr>
                <w:color w:val="auto"/>
                <w:highlight w:val="none"/>
              </w:rPr>
            </w:pPr>
            <w:r>
              <w:rPr>
                <w:color w:val="auto"/>
                <w:highlight w:val="none"/>
              </w:rPr>
              <w:t>87.6</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CCAF523">
            <w:pPr>
              <w:pStyle w:val="41"/>
              <w:rPr>
                <w:color w:val="auto"/>
                <w:highlight w:val="none"/>
              </w:rPr>
            </w:pPr>
            <w:r>
              <w:rPr>
                <w:color w:val="auto"/>
                <w:highlight w:val="none"/>
              </w:rPr>
              <w:t>87.6</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12B283D">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FB394EA">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7648616">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678D2DB">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43E05BC">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A6EBF9C">
            <w:pPr>
              <w:pStyle w:val="41"/>
              <w:rPr>
                <w:color w:val="auto"/>
                <w:highlight w:val="none"/>
              </w:rPr>
            </w:pPr>
            <w:r>
              <w:rPr>
                <w:color w:val="auto"/>
                <w:highlight w:val="none"/>
              </w:rPr>
              <w:t>61.6</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5B993FE">
            <w:pPr>
              <w:pStyle w:val="41"/>
              <w:rPr>
                <w:color w:val="auto"/>
                <w:highlight w:val="none"/>
              </w:rPr>
            </w:pPr>
            <w:r>
              <w:rPr>
                <w:color w:val="auto"/>
                <w:highlight w:val="none"/>
              </w:rPr>
              <w:t>61.6</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B6F6CAF">
            <w:pPr>
              <w:pStyle w:val="41"/>
              <w:rPr>
                <w:color w:val="auto"/>
                <w:highlight w:val="none"/>
              </w:rPr>
            </w:pPr>
            <w:r>
              <w:rPr>
                <w:color w:val="auto"/>
                <w:highlight w:val="none"/>
              </w:rPr>
              <w:t>61.6</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CA967B1">
            <w:pPr>
              <w:pStyle w:val="41"/>
              <w:rPr>
                <w:color w:val="auto"/>
                <w:highlight w:val="none"/>
              </w:rPr>
            </w:pPr>
            <w:r>
              <w:rPr>
                <w:color w:val="auto"/>
                <w:highlight w:val="none"/>
              </w:rPr>
              <w:t>61.6</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top w:w="0" w:type="dxa"/>
              <w:left w:w="28" w:type="dxa"/>
              <w:bottom w:w="0" w:type="dxa"/>
              <w:right w:w="28" w:type="dxa"/>
            </w:tcMar>
            <w:vAlign w:val="center"/>
          </w:tcPr>
          <w:p w14:paraId="79FBBD5A">
            <w:pPr>
              <w:pStyle w:val="41"/>
              <w:rPr>
                <w:color w:val="auto"/>
                <w:highlight w:val="none"/>
              </w:rPr>
            </w:pPr>
            <w:r>
              <w:rPr>
                <w:color w:val="auto"/>
                <w:highlight w:val="none"/>
              </w:rPr>
              <w:t>1</w:t>
            </w:r>
          </w:p>
        </w:tc>
      </w:tr>
      <w:tr w14:paraId="289B2B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2C08469">
            <w:pPr>
              <w:pStyle w:val="41"/>
              <w:rPr>
                <w:color w:val="auto"/>
                <w:highlight w:val="none"/>
              </w:rPr>
            </w:pPr>
          </w:p>
        </w:tc>
        <w:tc>
          <w:tcPr>
            <w:tcW w:w="12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EA46DBD">
            <w:pPr>
              <w:pStyle w:val="41"/>
              <w:rPr>
                <w:color w:val="auto"/>
                <w:highlight w:val="none"/>
              </w:rPr>
            </w:pPr>
            <w:r>
              <w:rPr>
                <w:rFonts w:hint="eastAsia"/>
                <w:color w:val="auto"/>
                <w:highlight w:val="none"/>
              </w:rPr>
              <w:t>4</w:t>
            </w:r>
          </w:p>
        </w:tc>
        <w:tc>
          <w:tcPr>
            <w:tcW w:w="38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512AAF9">
            <w:pPr>
              <w:pStyle w:val="41"/>
              <w:rPr>
                <w:color w:val="auto"/>
                <w:highlight w:val="none"/>
              </w:rPr>
            </w:pPr>
            <w:r>
              <w:rPr>
                <w:rFonts w:hint="eastAsia"/>
                <w:color w:val="auto"/>
                <w:highlight w:val="none"/>
              </w:rPr>
              <w:t>颚式破碎机×1</w:t>
            </w: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83615F4">
            <w:pPr>
              <w:pStyle w:val="41"/>
              <w:rPr>
                <w:color w:val="auto"/>
                <w:highlight w:val="none"/>
              </w:rPr>
            </w:pPr>
            <w:r>
              <w:rPr>
                <w:rFonts w:hint="eastAsia"/>
                <w:color w:val="auto"/>
                <w:highlight w:val="none"/>
              </w:rPr>
              <w:t>90</w:t>
            </w:r>
          </w:p>
        </w:tc>
        <w:tc>
          <w:tcPr>
            <w:tcW w:w="176"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DF52973">
            <w:pPr>
              <w:pStyle w:val="41"/>
              <w:rPr>
                <w:color w:val="auto"/>
                <w:highlight w:val="none"/>
              </w:rPr>
            </w:pP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1440BA0">
            <w:pPr>
              <w:pStyle w:val="41"/>
              <w:rPr>
                <w:color w:val="auto"/>
                <w:highlight w:val="none"/>
              </w:rPr>
            </w:pPr>
            <w:r>
              <w:rPr>
                <w:color w:val="auto"/>
                <w:highlight w:val="none"/>
              </w:rPr>
              <w:t>656.1</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A7ED3DC">
            <w:pPr>
              <w:pStyle w:val="41"/>
              <w:rPr>
                <w:color w:val="auto"/>
                <w:highlight w:val="none"/>
              </w:rPr>
            </w:pPr>
            <w:r>
              <w:rPr>
                <w:color w:val="auto"/>
                <w:highlight w:val="none"/>
              </w:rPr>
              <w:t>365.2</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E929DDA">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9BE827E">
            <w:pPr>
              <w:pStyle w:val="41"/>
              <w:rPr>
                <w:color w:val="auto"/>
                <w:highlight w:val="none"/>
              </w:rPr>
            </w:pPr>
            <w:r>
              <w:rPr>
                <w:color w:val="auto"/>
                <w:highlight w:val="none"/>
              </w:rPr>
              <w:t>20.8</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CA114DC">
            <w:pPr>
              <w:pStyle w:val="41"/>
              <w:rPr>
                <w:color w:val="auto"/>
                <w:highlight w:val="none"/>
              </w:rPr>
            </w:pPr>
            <w:r>
              <w:rPr>
                <w:color w:val="auto"/>
                <w:highlight w:val="none"/>
              </w:rPr>
              <w:t>94.4</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AAA03C7">
            <w:pPr>
              <w:pStyle w:val="41"/>
              <w:rPr>
                <w:color w:val="auto"/>
                <w:highlight w:val="none"/>
              </w:rPr>
            </w:pPr>
            <w:r>
              <w:rPr>
                <w:color w:val="auto"/>
                <w:highlight w:val="none"/>
              </w:rPr>
              <w:t>39.5</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75FCA8D">
            <w:pPr>
              <w:pStyle w:val="41"/>
              <w:rPr>
                <w:color w:val="auto"/>
                <w:highlight w:val="none"/>
              </w:rPr>
            </w:pPr>
            <w:r>
              <w:rPr>
                <w:color w:val="auto"/>
                <w:highlight w:val="none"/>
              </w:rPr>
              <w:t>63.2</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0EA5438">
            <w:pPr>
              <w:pStyle w:val="41"/>
              <w:rPr>
                <w:color w:val="auto"/>
                <w:highlight w:val="none"/>
              </w:rPr>
            </w:pPr>
            <w:r>
              <w:rPr>
                <w:color w:val="auto"/>
                <w:highlight w:val="none"/>
              </w:rPr>
              <w:t>71.6</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8ADCFBF">
            <w:pPr>
              <w:pStyle w:val="41"/>
              <w:rPr>
                <w:color w:val="auto"/>
                <w:highlight w:val="none"/>
              </w:rPr>
            </w:pPr>
            <w:r>
              <w:rPr>
                <w:color w:val="auto"/>
                <w:highlight w:val="none"/>
              </w:rPr>
              <w:t>71.6</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F079F56">
            <w:pPr>
              <w:pStyle w:val="41"/>
              <w:rPr>
                <w:color w:val="auto"/>
                <w:highlight w:val="none"/>
              </w:rPr>
            </w:pPr>
            <w:r>
              <w:rPr>
                <w:color w:val="auto"/>
                <w:highlight w:val="none"/>
              </w:rPr>
              <w:t>71.6</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27894FC">
            <w:pPr>
              <w:pStyle w:val="41"/>
              <w:rPr>
                <w:color w:val="auto"/>
                <w:highlight w:val="none"/>
              </w:rPr>
            </w:pPr>
            <w:r>
              <w:rPr>
                <w:color w:val="auto"/>
                <w:highlight w:val="none"/>
              </w:rPr>
              <w:t>71.6</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6F87339">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46905EE">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C156C74">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CEE74AF">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2FF2F8C">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2CFDCC3">
            <w:pPr>
              <w:pStyle w:val="41"/>
              <w:rPr>
                <w:color w:val="auto"/>
                <w:highlight w:val="none"/>
              </w:rPr>
            </w:pPr>
            <w:r>
              <w:rPr>
                <w:color w:val="auto"/>
                <w:highlight w:val="none"/>
              </w:rPr>
              <w:t>45.6</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B54E294">
            <w:pPr>
              <w:pStyle w:val="41"/>
              <w:rPr>
                <w:color w:val="auto"/>
                <w:highlight w:val="none"/>
              </w:rPr>
            </w:pPr>
            <w:r>
              <w:rPr>
                <w:color w:val="auto"/>
                <w:highlight w:val="none"/>
              </w:rPr>
              <w:t>45.6</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2853B62">
            <w:pPr>
              <w:pStyle w:val="41"/>
              <w:rPr>
                <w:color w:val="auto"/>
                <w:highlight w:val="none"/>
              </w:rPr>
            </w:pPr>
            <w:r>
              <w:rPr>
                <w:color w:val="auto"/>
                <w:highlight w:val="none"/>
              </w:rPr>
              <w:t>45.6</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C43DC91">
            <w:pPr>
              <w:pStyle w:val="41"/>
              <w:rPr>
                <w:color w:val="auto"/>
                <w:highlight w:val="none"/>
              </w:rPr>
            </w:pPr>
            <w:r>
              <w:rPr>
                <w:color w:val="auto"/>
                <w:highlight w:val="none"/>
              </w:rPr>
              <w:t>45.6</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top w:w="0" w:type="dxa"/>
              <w:left w:w="28" w:type="dxa"/>
              <w:bottom w:w="0" w:type="dxa"/>
              <w:right w:w="28" w:type="dxa"/>
            </w:tcMar>
            <w:vAlign w:val="center"/>
          </w:tcPr>
          <w:p w14:paraId="127188D6">
            <w:pPr>
              <w:pStyle w:val="41"/>
              <w:rPr>
                <w:color w:val="auto"/>
                <w:highlight w:val="none"/>
              </w:rPr>
            </w:pPr>
            <w:r>
              <w:rPr>
                <w:color w:val="auto"/>
                <w:highlight w:val="none"/>
              </w:rPr>
              <w:t>1</w:t>
            </w:r>
          </w:p>
        </w:tc>
      </w:tr>
      <w:tr w14:paraId="4169B8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3D7D260">
            <w:pPr>
              <w:pStyle w:val="41"/>
              <w:rPr>
                <w:color w:val="auto"/>
                <w:highlight w:val="none"/>
              </w:rPr>
            </w:pPr>
          </w:p>
        </w:tc>
        <w:tc>
          <w:tcPr>
            <w:tcW w:w="12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9AEA4AF">
            <w:pPr>
              <w:pStyle w:val="41"/>
              <w:rPr>
                <w:color w:val="auto"/>
                <w:highlight w:val="none"/>
              </w:rPr>
            </w:pPr>
            <w:r>
              <w:rPr>
                <w:rFonts w:hint="eastAsia"/>
                <w:color w:val="auto"/>
                <w:highlight w:val="none"/>
              </w:rPr>
              <w:t>5</w:t>
            </w:r>
          </w:p>
        </w:tc>
        <w:tc>
          <w:tcPr>
            <w:tcW w:w="38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BF0B86B">
            <w:pPr>
              <w:pStyle w:val="41"/>
              <w:rPr>
                <w:color w:val="auto"/>
                <w:highlight w:val="none"/>
              </w:rPr>
            </w:pPr>
            <w:r>
              <w:rPr>
                <w:rFonts w:hint="eastAsia"/>
                <w:color w:val="auto"/>
                <w:highlight w:val="none"/>
              </w:rPr>
              <w:t>圆锥破×1</w:t>
            </w: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CDFE1D3">
            <w:pPr>
              <w:pStyle w:val="41"/>
              <w:rPr>
                <w:color w:val="auto"/>
                <w:highlight w:val="none"/>
              </w:rPr>
            </w:pPr>
            <w:r>
              <w:rPr>
                <w:rFonts w:hint="eastAsia"/>
                <w:color w:val="auto"/>
                <w:highlight w:val="none"/>
              </w:rPr>
              <w:t>95</w:t>
            </w:r>
          </w:p>
        </w:tc>
        <w:tc>
          <w:tcPr>
            <w:tcW w:w="176"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3E7265C">
            <w:pPr>
              <w:pStyle w:val="41"/>
              <w:rPr>
                <w:color w:val="auto"/>
                <w:highlight w:val="none"/>
              </w:rPr>
            </w:pP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5B74E91">
            <w:pPr>
              <w:pStyle w:val="41"/>
              <w:rPr>
                <w:color w:val="auto"/>
                <w:highlight w:val="none"/>
              </w:rPr>
            </w:pPr>
            <w:r>
              <w:rPr>
                <w:color w:val="auto"/>
                <w:highlight w:val="none"/>
              </w:rPr>
              <w:t>645.1</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44E04E3">
            <w:pPr>
              <w:pStyle w:val="41"/>
              <w:rPr>
                <w:color w:val="auto"/>
                <w:highlight w:val="none"/>
              </w:rPr>
            </w:pPr>
            <w:r>
              <w:rPr>
                <w:color w:val="auto"/>
                <w:highlight w:val="none"/>
              </w:rPr>
              <w:t>357.8</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01E6E1A">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A72BC2D">
            <w:pPr>
              <w:pStyle w:val="41"/>
              <w:rPr>
                <w:color w:val="auto"/>
                <w:highlight w:val="none"/>
              </w:rPr>
            </w:pPr>
            <w:r>
              <w:rPr>
                <w:color w:val="auto"/>
                <w:highlight w:val="none"/>
              </w:rPr>
              <w:t>33.2</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EA9F75D">
            <w:pPr>
              <w:pStyle w:val="41"/>
              <w:rPr>
                <w:color w:val="auto"/>
                <w:highlight w:val="none"/>
              </w:rPr>
            </w:pPr>
            <w:r>
              <w:rPr>
                <w:color w:val="auto"/>
                <w:highlight w:val="none"/>
              </w:rPr>
              <w:t>89.2</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983B600">
            <w:pPr>
              <w:pStyle w:val="41"/>
              <w:rPr>
                <w:color w:val="auto"/>
                <w:highlight w:val="none"/>
              </w:rPr>
            </w:pPr>
            <w:r>
              <w:rPr>
                <w:color w:val="auto"/>
                <w:highlight w:val="none"/>
              </w:rPr>
              <w:t>27.3</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CEA0AB9">
            <w:pPr>
              <w:pStyle w:val="41"/>
              <w:rPr>
                <w:color w:val="auto"/>
                <w:highlight w:val="none"/>
              </w:rPr>
            </w:pPr>
            <w:r>
              <w:rPr>
                <w:color w:val="auto"/>
                <w:highlight w:val="none"/>
              </w:rPr>
              <w:t>67.9</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9AA2430">
            <w:pPr>
              <w:pStyle w:val="41"/>
              <w:rPr>
                <w:color w:val="auto"/>
                <w:highlight w:val="none"/>
              </w:rPr>
            </w:pPr>
            <w:r>
              <w:rPr>
                <w:color w:val="auto"/>
                <w:highlight w:val="none"/>
              </w:rPr>
              <w:t>76.6</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F3B1C20">
            <w:pPr>
              <w:pStyle w:val="41"/>
              <w:rPr>
                <w:color w:val="auto"/>
                <w:highlight w:val="none"/>
              </w:rPr>
            </w:pPr>
            <w:r>
              <w:rPr>
                <w:color w:val="auto"/>
                <w:highlight w:val="none"/>
              </w:rPr>
              <w:t>76.6</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9B2FDE6">
            <w:pPr>
              <w:pStyle w:val="41"/>
              <w:rPr>
                <w:color w:val="auto"/>
                <w:highlight w:val="none"/>
              </w:rPr>
            </w:pPr>
            <w:r>
              <w:rPr>
                <w:color w:val="auto"/>
                <w:highlight w:val="none"/>
              </w:rPr>
              <w:t>76.6</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2C32737">
            <w:pPr>
              <w:pStyle w:val="41"/>
              <w:rPr>
                <w:color w:val="auto"/>
                <w:highlight w:val="none"/>
              </w:rPr>
            </w:pPr>
            <w:r>
              <w:rPr>
                <w:color w:val="auto"/>
                <w:highlight w:val="none"/>
              </w:rPr>
              <w:t>76.6</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3C42779">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72B132A">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A8B2AAA">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7F0B7FD">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8CF450A">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298928F">
            <w:pPr>
              <w:pStyle w:val="41"/>
              <w:rPr>
                <w:color w:val="auto"/>
                <w:highlight w:val="none"/>
              </w:rPr>
            </w:pPr>
            <w:r>
              <w:rPr>
                <w:color w:val="auto"/>
                <w:highlight w:val="none"/>
              </w:rPr>
              <w:t>50.6</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23B5096">
            <w:pPr>
              <w:pStyle w:val="41"/>
              <w:rPr>
                <w:color w:val="auto"/>
                <w:highlight w:val="none"/>
              </w:rPr>
            </w:pPr>
            <w:r>
              <w:rPr>
                <w:color w:val="auto"/>
                <w:highlight w:val="none"/>
              </w:rPr>
              <w:t>50.6</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88F861F">
            <w:pPr>
              <w:pStyle w:val="41"/>
              <w:rPr>
                <w:color w:val="auto"/>
                <w:highlight w:val="none"/>
              </w:rPr>
            </w:pPr>
            <w:r>
              <w:rPr>
                <w:color w:val="auto"/>
                <w:highlight w:val="none"/>
              </w:rPr>
              <w:t>50.6</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519485F">
            <w:pPr>
              <w:pStyle w:val="41"/>
              <w:rPr>
                <w:color w:val="auto"/>
                <w:highlight w:val="none"/>
              </w:rPr>
            </w:pPr>
            <w:r>
              <w:rPr>
                <w:color w:val="auto"/>
                <w:highlight w:val="none"/>
              </w:rPr>
              <w:t>50.6</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top w:w="0" w:type="dxa"/>
              <w:left w:w="28" w:type="dxa"/>
              <w:bottom w:w="0" w:type="dxa"/>
              <w:right w:w="28" w:type="dxa"/>
            </w:tcMar>
            <w:vAlign w:val="center"/>
          </w:tcPr>
          <w:p w14:paraId="15FA610C">
            <w:pPr>
              <w:pStyle w:val="41"/>
              <w:rPr>
                <w:color w:val="auto"/>
                <w:highlight w:val="none"/>
              </w:rPr>
            </w:pPr>
            <w:r>
              <w:rPr>
                <w:color w:val="auto"/>
                <w:highlight w:val="none"/>
              </w:rPr>
              <w:t>1</w:t>
            </w:r>
          </w:p>
        </w:tc>
      </w:tr>
      <w:tr w14:paraId="6C62B7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FD776EB">
            <w:pPr>
              <w:pStyle w:val="41"/>
              <w:rPr>
                <w:color w:val="auto"/>
                <w:highlight w:val="none"/>
              </w:rPr>
            </w:pPr>
          </w:p>
        </w:tc>
        <w:tc>
          <w:tcPr>
            <w:tcW w:w="12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7F9D13D">
            <w:pPr>
              <w:pStyle w:val="41"/>
              <w:rPr>
                <w:color w:val="auto"/>
                <w:highlight w:val="none"/>
              </w:rPr>
            </w:pPr>
            <w:r>
              <w:rPr>
                <w:rFonts w:hint="eastAsia"/>
                <w:color w:val="auto"/>
                <w:highlight w:val="none"/>
              </w:rPr>
              <w:t>6</w:t>
            </w:r>
          </w:p>
        </w:tc>
        <w:tc>
          <w:tcPr>
            <w:tcW w:w="38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5DCF005">
            <w:pPr>
              <w:pStyle w:val="41"/>
              <w:rPr>
                <w:color w:val="auto"/>
                <w:highlight w:val="none"/>
              </w:rPr>
            </w:pPr>
            <w:r>
              <w:rPr>
                <w:rFonts w:hint="eastAsia"/>
                <w:color w:val="auto"/>
                <w:highlight w:val="none"/>
              </w:rPr>
              <w:t>锤破机×2</w:t>
            </w: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7F0C802">
            <w:pPr>
              <w:pStyle w:val="41"/>
              <w:rPr>
                <w:color w:val="auto"/>
                <w:highlight w:val="none"/>
              </w:rPr>
            </w:pPr>
            <w:r>
              <w:rPr>
                <w:rFonts w:hint="eastAsia"/>
                <w:color w:val="auto"/>
                <w:highlight w:val="none"/>
              </w:rPr>
              <w:t>85</w:t>
            </w:r>
          </w:p>
        </w:tc>
        <w:tc>
          <w:tcPr>
            <w:tcW w:w="176"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B35C68C">
            <w:pPr>
              <w:pStyle w:val="41"/>
              <w:rPr>
                <w:color w:val="auto"/>
                <w:highlight w:val="none"/>
              </w:rPr>
            </w:pP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90ED030">
            <w:pPr>
              <w:pStyle w:val="41"/>
              <w:rPr>
                <w:color w:val="auto"/>
                <w:highlight w:val="none"/>
              </w:rPr>
            </w:pPr>
            <w:r>
              <w:rPr>
                <w:color w:val="auto"/>
                <w:highlight w:val="none"/>
              </w:rPr>
              <w:t>641.5</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855876D">
            <w:pPr>
              <w:pStyle w:val="41"/>
              <w:rPr>
                <w:color w:val="auto"/>
                <w:highlight w:val="none"/>
              </w:rPr>
            </w:pPr>
            <w:r>
              <w:rPr>
                <w:color w:val="auto"/>
                <w:highlight w:val="none"/>
              </w:rPr>
              <w:t>339.7</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43906BC">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AC44599">
            <w:pPr>
              <w:pStyle w:val="41"/>
              <w:rPr>
                <w:color w:val="auto"/>
                <w:highlight w:val="none"/>
              </w:rPr>
            </w:pPr>
            <w:r>
              <w:rPr>
                <w:color w:val="auto"/>
                <w:highlight w:val="none"/>
              </w:rPr>
              <w:t>40.9</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6AEB641">
            <w:pPr>
              <w:pStyle w:val="41"/>
              <w:rPr>
                <w:color w:val="auto"/>
                <w:highlight w:val="none"/>
              </w:rPr>
            </w:pPr>
            <w:r>
              <w:rPr>
                <w:color w:val="auto"/>
                <w:highlight w:val="none"/>
              </w:rPr>
              <w:t>72.0</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792B3E1">
            <w:pPr>
              <w:pStyle w:val="41"/>
              <w:rPr>
                <w:color w:val="auto"/>
                <w:highlight w:val="none"/>
              </w:rPr>
            </w:pPr>
            <w:r>
              <w:rPr>
                <w:color w:val="auto"/>
                <w:highlight w:val="none"/>
              </w:rPr>
              <w:t>20.5</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20B9788">
            <w:pPr>
              <w:pStyle w:val="41"/>
              <w:rPr>
                <w:color w:val="auto"/>
                <w:highlight w:val="none"/>
              </w:rPr>
            </w:pPr>
            <w:r>
              <w:rPr>
                <w:color w:val="auto"/>
                <w:highlight w:val="none"/>
              </w:rPr>
              <w:t>84.8</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1C0F93F">
            <w:pPr>
              <w:pStyle w:val="41"/>
              <w:rPr>
                <w:color w:val="auto"/>
                <w:highlight w:val="none"/>
              </w:rPr>
            </w:pPr>
            <w:r>
              <w:rPr>
                <w:color w:val="auto"/>
                <w:highlight w:val="none"/>
              </w:rPr>
              <w:t>69.6</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326D29C">
            <w:pPr>
              <w:pStyle w:val="41"/>
              <w:rPr>
                <w:color w:val="auto"/>
                <w:highlight w:val="none"/>
              </w:rPr>
            </w:pPr>
            <w:r>
              <w:rPr>
                <w:color w:val="auto"/>
                <w:highlight w:val="none"/>
              </w:rPr>
              <w:t>69.6</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36A73A7">
            <w:pPr>
              <w:pStyle w:val="41"/>
              <w:rPr>
                <w:color w:val="auto"/>
                <w:highlight w:val="none"/>
              </w:rPr>
            </w:pPr>
            <w:r>
              <w:rPr>
                <w:color w:val="auto"/>
                <w:highlight w:val="none"/>
              </w:rPr>
              <w:t>69.6</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5E3A45C">
            <w:pPr>
              <w:pStyle w:val="41"/>
              <w:rPr>
                <w:color w:val="auto"/>
                <w:highlight w:val="none"/>
              </w:rPr>
            </w:pPr>
            <w:r>
              <w:rPr>
                <w:color w:val="auto"/>
                <w:highlight w:val="none"/>
              </w:rPr>
              <w:t>69.6</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9253D54">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4AEAC89">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C1DE89F">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2720855">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BB68649">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44A7D75">
            <w:pPr>
              <w:pStyle w:val="41"/>
              <w:rPr>
                <w:color w:val="auto"/>
                <w:highlight w:val="none"/>
              </w:rPr>
            </w:pPr>
            <w:r>
              <w:rPr>
                <w:color w:val="auto"/>
                <w:highlight w:val="none"/>
              </w:rPr>
              <w:t>43.6</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8BBAA4D">
            <w:pPr>
              <w:pStyle w:val="41"/>
              <w:rPr>
                <w:color w:val="auto"/>
                <w:highlight w:val="none"/>
              </w:rPr>
            </w:pPr>
            <w:r>
              <w:rPr>
                <w:color w:val="auto"/>
                <w:highlight w:val="none"/>
              </w:rPr>
              <w:t>43.6</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28119AD">
            <w:pPr>
              <w:pStyle w:val="41"/>
              <w:rPr>
                <w:color w:val="auto"/>
                <w:highlight w:val="none"/>
              </w:rPr>
            </w:pPr>
            <w:r>
              <w:rPr>
                <w:color w:val="auto"/>
                <w:highlight w:val="none"/>
              </w:rPr>
              <w:t>43.6</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DC2C32F">
            <w:pPr>
              <w:pStyle w:val="41"/>
              <w:rPr>
                <w:color w:val="auto"/>
                <w:highlight w:val="none"/>
              </w:rPr>
            </w:pPr>
            <w:r>
              <w:rPr>
                <w:color w:val="auto"/>
                <w:highlight w:val="none"/>
              </w:rPr>
              <w:t>43.6</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top w:w="0" w:type="dxa"/>
              <w:left w:w="28" w:type="dxa"/>
              <w:bottom w:w="0" w:type="dxa"/>
              <w:right w:w="28" w:type="dxa"/>
            </w:tcMar>
            <w:vAlign w:val="center"/>
          </w:tcPr>
          <w:p w14:paraId="33C6CAE6">
            <w:pPr>
              <w:pStyle w:val="41"/>
              <w:rPr>
                <w:color w:val="auto"/>
                <w:highlight w:val="none"/>
              </w:rPr>
            </w:pPr>
            <w:r>
              <w:rPr>
                <w:color w:val="auto"/>
                <w:highlight w:val="none"/>
              </w:rPr>
              <w:t>1</w:t>
            </w:r>
          </w:p>
        </w:tc>
      </w:tr>
      <w:tr w14:paraId="3F61D5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vMerge w:val="restart"/>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235739B">
            <w:pPr>
              <w:pStyle w:val="41"/>
              <w:rPr>
                <w:color w:val="auto"/>
                <w:highlight w:val="none"/>
              </w:rPr>
            </w:pPr>
            <w:r>
              <w:rPr>
                <w:rFonts w:hint="eastAsia"/>
                <w:color w:val="auto"/>
                <w:highlight w:val="none"/>
              </w:rPr>
              <w:t>磨矿磁选车间</w:t>
            </w:r>
          </w:p>
        </w:tc>
        <w:tc>
          <w:tcPr>
            <w:tcW w:w="12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7A0C9C3">
            <w:pPr>
              <w:pStyle w:val="41"/>
              <w:rPr>
                <w:color w:val="auto"/>
                <w:highlight w:val="none"/>
              </w:rPr>
            </w:pPr>
            <w:r>
              <w:rPr>
                <w:rFonts w:hint="eastAsia"/>
                <w:color w:val="auto"/>
                <w:highlight w:val="none"/>
              </w:rPr>
              <w:t>1</w:t>
            </w:r>
          </w:p>
        </w:tc>
        <w:tc>
          <w:tcPr>
            <w:tcW w:w="38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E69307A">
            <w:pPr>
              <w:pStyle w:val="41"/>
              <w:rPr>
                <w:color w:val="auto"/>
                <w:highlight w:val="none"/>
              </w:rPr>
            </w:pPr>
            <w:r>
              <w:rPr>
                <w:rFonts w:hint="eastAsia"/>
                <w:color w:val="auto"/>
                <w:highlight w:val="none"/>
              </w:rPr>
              <w:t>直线筛×</w:t>
            </w:r>
            <w:r>
              <w:rPr>
                <w:color w:val="auto"/>
                <w:highlight w:val="none"/>
              </w:rPr>
              <w:t>1</w:t>
            </w: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475B53A">
            <w:pPr>
              <w:pStyle w:val="41"/>
              <w:rPr>
                <w:color w:val="auto"/>
                <w:highlight w:val="none"/>
              </w:rPr>
            </w:pPr>
            <w:r>
              <w:rPr>
                <w:rFonts w:hint="eastAsia"/>
                <w:color w:val="auto"/>
                <w:highlight w:val="none"/>
              </w:rPr>
              <w:t>85</w:t>
            </w:r>
          </w:p>
        </w:tc>
        <w:tc>
          <w:tcPr>
            <w:tcW w:w="176" w:type="pct"/>
            <w:vMerge w:val="restar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2B6441E">
            <w:pPr>
              <w:pStyle w:val="41"/>
              <w:rPr>
                <w:color w:val="auto"/>
                <w:highlight w:val="none"/>
              </w:rPr>
            </w:pPr>
            <w:r>
              <w:rPr>
                <w:rFonts w:hint="eastAsia"/>
                <w:color w:val="auto"/>
                <w:highlight w:val="none"/>
              </w:rPr>
              <w:t>隔声减振</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56008C4">
            <w:pPr>
              <w:pStyle w:val="41"/>
              <w:rPr>
                <w:color w:val="auto"/>
                <w:highlight w:val="none"/>
              </w:rPr>
            </w:pPr>
            <w:r>
              <w:rPr>
                <w:color w:val="auto"/>
                <w:highlight w:val="none"/>
              </w:rPr>
              <w:t>-9.7</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03D2730">
            <w:pPr>
              <w:pStyle w:val="41"/>
              <w:rPr>
                <w:color w:val="auto"/>
                <w:highlight w:val="none"/>
              </w:rPr>
            </w:pPr>
            <w:r>
              <w:rPr>
                <w:color w:val="auto"/>
                <w:highlight w:val="none"/>
              </w:rPr>
              <w:t>-43.8</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5152A10">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7FB888C">
            <w:pPr>
              <w:pStyle w:val="41"/>
              <w:rPr>
                <w:color w:val="auto"/>
                <w:highlight w:val="none"/>
              </w:rPr>
            </w:pPr>
            <w:r>
              <w:rPr>
                <w:color w:val="auto"/>
                <w:highlight w:val="none"/>
              </w:rPr>
              <w:t>72.6</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7B22971">
            <w:pPr>
              <w:pStyle w:val="41"/>
              <w:rPr>
                <w:color w:val="auto"/>
                <w:highlight w:val="none"/>
              </w:rPr>
            </w:pPr>
            <w:r>
              <w:rPr>
                <w:color w:val="auto"/>
                <w:highlight w:val="none"/>
              </w:rPr>
              <w:t>108.4</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8ECB1EF">
            <w:pPr>
              <w:pStyle w:val="41"/>
              <w:rPr>
                <w:color w:val="auto"/>
                <w:highlight w:val="none"/>
              </w:rPr>
            </w:pPr>
            <w:r>
              <w:rPr>
                <w:color w:val="auto"/>
                <w:highlight w:val="none"/>
              </w:rPr>
              <w:t>18.5</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B730E84">
            <w:pPr>
              <w:pStyle w:val="41"/>
              <w:rPr>
                <w:color w:val="auto"/>
                <w:highlight w:val="none"/>
              </w:rPr>
            </w:pPr>
            <w:r>
              <w:rPr>
                <w:color w:val="auto"/>
                <w:highlight w:val="none"/>
              </w:rPr>
              <w:t>23.7</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800BEFC">
            <w:pPr>
              <w:pStyle w:val="41"/>
              <w:rPr>
                <w:color w:val="auto"/>
                <w:highlight w:val="none"/>
              </w:rPr>
            </w:pPr>
            <w:r>
              <w:rPr>
                <w:color w:val="auto"/>
                <w:highlight w:val="none"/>
              </w:rPr>
              <w:t>67.4</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FABAC00">
            <w:pPr>
              <w:pStyle w:val="41"/>
              <w:rPr>
                <w:color w:val="auto"/>
                <w:highlight w:val="none"/>
              </w:rPr>
            </w:pPr>
            <w:r>
              <w:rPr>
                <w:color w:val="auto"/>
                <w:highlight w:val="none"/>
              </w:rPr>
              <w:t>67.4</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7F26FC3">
            <w:pPr>
              <w:pStyle w:val="41"/>
              <w:rPr>
                <w:color w:val="auto"/>
                <w:highlight w:val="none"/>
              </w:rPr>
            </w:pPr>
            <w:r>
              <w:rPr>
                <w:color w:val="auto"/>
                <w:highlight w:val="none"/>
              </w:rPr>
              <w:t>67.5</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AB67E1B">
            <w:pPr>
              <w:pStyle w:val="41"/>
              <w:rPr>
                <w:color w:val="auto"/>
                <w:highlight w:val="none"/>
              </w:rPr>
            </w:pPr>
            <w:r>
              <w:rPr>
                <w:color w:val="auto"/>
                <w:highlight w:val="none"/>
              </w:rPr>
              <w:t>67.4</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610ABCC">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89B90B8">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30BB3FE">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304E640">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E01E9F5">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A794B80">
            <w:pPr>
              <w:pStyle w:val="41"/>
              <w:rPr>
                <w:color w:val="auto"/>
                <w:highlight w:val="none"/>
              </w:rPr>
            </w:pPr>
            <w:r>
              <w:rPr>
                <w:color w:val="auto"/>
                <w:highlight w:val="none"/>
              </w:rPr>
              <w:t>41.4</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A522BC3">
            <w:pPr>
              <w:pStyle w:val="41"/>
              <w:rPr>
                <w:color w:val="auto"/>
                <w:highlight w:val="none"/>
              </w:rPr>
            </w:pPr>
            <w:r>
              <w:rPr>
                <w:color w:val="auto"/>
                <w:highlight w:val="none"/>
              </w:rPr>
              <w:t>41.4</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D65D5DE">
            <w:pPr>
              <w:pStyle w:val="41"/>
              <w:rPr>
                <w:color w:val="auto"/>
                <w:highlight w:val="none"/>
              </w:rPr>
            </w:pPr>
            <w:r>
              <w:rPr>
                <w:color w:val="auto"/>
                <w:highlight w:val="none"/>
              </w:rPr>
              <w:t>41.5</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6CA936A">
            <w:pPr>
              <w:pStyle w:val="41"/>
              <w:rPr>
                <w:color w:val="auto"/>
                <w:highlight w:val="none"/>
              </w:rPr>
            </w:pPr>
            <w:r>
              <w:rPr>
                <w:color w:val="auto"/>
                <w:highlight w:val="none"/>
              </w:rPr>
              <w:t>41.4</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top w:w="0" w:type="dxa"/>
              <w:left w:w="28" w:type="dxa"/>
              <w:bottom w:w="0" w:type="dxa"/>
              <w:right w:w="28" w:type="dxa"/>
            </w:tcMar>
            <w:vAlign w:val="center"/>
          </w:tcPr>
          <w:p w14:paraId="54864DC1">
            <w:pPr>
              <w:pStyle w:val="41"/>
              <w:rPr>
                <w:color w:val="auto"/>
                <w:highlight w:val="none"/>
              </w:rPr>
            </w:pPr>
            <w:r>
              <w:rPr>
                <w:color w:val="auto"/>
                <w:highlight w:val="none"/>
              </w:rPr>
              <w:t>1</w:t>
            </w:r>
          </w:p>
        </w:tc>
      </w:tr>
      <w:tr w14:paraId="21D6FD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75700BE">
            <w:pPr>
              <w:pStyle w:val="41"/>
              <w:rPr>
                <w:color w:val="auto"/>
                <w:highlight w:val="none"/>
              </w:rPr>
            </w:pPr>
          </w:p>
        </w:tc>
        <w:tc>
          <w:tcPr>
            <w:tcW w:w="12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FC430FF">
            <w:pPr>
              <w:pStyle w:val="41"/>
              <w:rPr>
                <w:color w:val="auto"/>
                <w:highlight w:val="none"/>
              </w:rPr>
            </w:pPr>
            <w:r>
              <w:rPr>
                <w:rFonts w:hint="eastAsia"/>
                <w:color w:val="auto"/>
                <w:highlight w:val="none"/>
              </w:rPr>
              <w:t>2</w:t>
            </w:r>
          </w:p>
        </w:tc>
        <w:tc>
          <w:tcPr>
            <w:tcW w:w="38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498746A">
            <w:pPr>
              <w:pStyle w:val="41"/>
              <w:rPr>
                <w:color w:val="auto"/>
                <w:highlight w:val="none"/>
              </w:rPr>
            </w:pPr>
            <w:r>
              <w:rPr>
                <w:rFonts w:hint="eastAsia"/>
                <w:color w:val="auto"/>
                <w:highlight w:val="none"/>
              </w:rPr>
              <w:t>一段球磨机×1</w:t>
            </w: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7B6CED0">
            <w:pPr>
              <w:pStyle w:val="41"/>
              <w:rPr>
                <w:color w:val="auto"/>
                <w:highlight w:val="none"/>
              </w:rPr>
            </w:pPr>
            <w:r>
              <w:rPr>
                <w:rFonts w:hint="eastAsia"/>
                <w:color w:val="auto"/>
                <w:highlight w:val="none"/>
              </w:rPr>
              <w:t>95</w:t>
            </w:r>
          </w:p>
        </w:tc>
        <w:tc>
          <w:tcPr>
            <w:tcW w:w="176"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B28E645">
            <w:pPr>
              <w:pStyle w:val="41"/>
              <w:rPr>
                <w:color w:val="auto"/>
                <w:highlight w:val="none"/>
              </w:rPr>
            </w:pP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B169D57">
            <w:pPr>
              <w:pStyle w:val="41"/>
              <w:rPr>
                <w:color w:val="auto"/>
                <w:highlight w:val="none"/>
              </w:rPr>
            </w:pPr>
            <w:r>
              <w:rPr>
                <w:color w:val="auto"/>
                <w:highlight w:val="none"/>
              </w:rPr>
              <w:t>21.4</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D9ED5E3">
            <w:pPr>
              <w:pStyle w:val="41"/>
              <w:rPr>
                <w:color w:val="auto"/>
                <w:highlight w:val="none"/>
              </w:rPr>
            </w:pPr>
            <w:r>
              <w:rPr>
                <w:color w:val="auto"/>
                <w:highlight w:val="none"/>
              </w:rPr>
              <w:t>-43.4</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1806A03">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66FDB5E">
            <w:pPr>
              <w:pStyle w:val="41"/>
              <w:rPr>
                <w:color w:val="auto"/>
                <w:highlight w:val="none"/>
              </w:rPr>
            </w:pPr>
            <w:r>
              <w:rPr>
                <w:color w:val="auto"/>
                <w:highlight w:val="none"/>
              </w:rPr>
              <w:t>41.6</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C3F7CAA">
            <w:pPr>
              <w:pStyle w:val="41"/>
              <w:rPr>
                <w:color w:val="auto"/>
                <w:highlight w:val="none"/>
              </w:rPr>
            </w:pPr>
            <w:r>
              <w:rPr>
                <w:color w:val="auto"/>
                <w:highlight w:val="none"/>
              </w:rPr>
              <w:t>110.4</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A9E6597">
            <w:pPr>
              <w:pStyle w:val="41"/>
              <w:rPr>
                <w:color w:val="auto"/>
                <w:highlight w:val="none"/>
              </w:rPr>
            </w:pPr>
            <w:r>
              <w:rPr>
                <w:color w:val="auto"/>
                <w:highlight w:val="none"/>
              </w:rPr>
              <w:t>49.5</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9AC37E8">
            <w:pPr>
              <w:pStyle w:val="41"/>
              <w:rPr>
                <w:color w:val="auto"/>
                <w:highlight w:val="none"/>
              </w:rPr>
            </w:pPr>
            <w:r>
              <w:rPr>
                <w:color w:val="auto"/>
                <w:highlight w:val="none"/>
              </w:rPr>
              <w:t>22.8</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EE9A842">
            <w:pPr>
              <w:pStyle w:val="41"/>
              <w:rPr>
                <w:color w:val="auto"/>
                <w:highlight w:val="none"/>
              </w:rPr>
            </w:pPr>
            <w:r>
              <w:rPr>
                <w:color w:val="auto"/>
                <w:highlight w:val="none"/>
              </w:rPr>
              <w:t>77.4</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4E8B1D0">
            <w:pPr>
              <w:pStyle w:val="41"/>
              <w:rPr>
                <w:color w:val="auto"/>
                <w:highlight w:val="none"/>
              </w:rPr>
            </w:pPr>
            <w:r>
              <w:rPr>
                <w:color w:val="auto"/>
                <w:highlight w:val="none"/>
              </w:rPr>
              <w:t>77.4</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DFA3720">
            <w:pPr>
              <w:pStyle w:val="41"/>
              <w:rPr>
                <w:color w:val="auto"/>
                <w:highlight w:val="none"/>
              </w:rPr>
            </w:pPr>
            <w:r>
              <w:rPr>
                <w:color w:val="auto"/>
                <w:highlight w:val="none"/>
              </w:rPr>
              <w:t>77.4</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321BA2A">
            <w:pPr>
              <w:pStyle w:val="41"/>
              <w:rPr>
                <w:color w:val="auto"/>
                <w:highlight w:val="none"/>
              </w:rPr>
            </w:pPr>
            <w:r>
              <w:rPr>
                <w:color w:val="auto"/>
                <w:highlight w:val="none"/>
              </w:rPr>
              <w:t>77.5</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FEFBA8C">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AD445CE">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C86CB79">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A38C06A">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E3A8C16">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71CD8D8">
            <w:pPr>
              <w:pStyle w:val="41"/>
              <w:rPr>
                <w:color w:val="auto"/>
                <w:highlight w:val="none"/>
              </w:rPr>
            </w:pPr>
            <w:r>
              <w:rPr>
                <w:color w:val="auto"/>
                <w:highlight w:val="none"/>
              </w:rPr>
              <w:t>51.4</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8B7C0CB">
            <w:pPr>
              <w:pStyle w:val="41"/>
              <w:rPr>
                <w:color w:val="auto"/>
                <w:highlight w:val="none"/>
              </w:rPr>
            </w:pPr>
            <w:r>
              <w:rPr>
                <w:color w:val="auto"/>
                <w:highlight w:val="none"/>
              </w:rPr>
              <w:t>51.4</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C6BFBEA">
            <w:pPr>
              <w:pStyle w:val="41"/>
              <w:rPr>
                <w:color w:val="auto"/>
                <w:highlight w:val="none"/>
              </w:rPr>
            </w:pPr>
            <w:r>
              <w:rPr>
                <w:color w:val="auto"/>
                <w:highlight w:val="none"/>
              </w:rPr>
              <w:t>51.4</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5AC4DD9">
            <w:pPr>
              <w:pStyle w:val="41"/>
              <w:rPr>
                <w:color w:val="auto"/>
                <w:highlight w:val="none"/>
              </w:rPr>
            </w:pPr>
            <w:r>
              <w:rPr>
                <w:color w:val="auto"/>
                <w:highlight w:val="none"/>
              </w:rPr>
              <w:t>51.5</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top w:w="0" w:type="dxa"/>
              <w:left w:w="28" w:type="dxa"/>
              <w:bottom w:w="0" w:type="dxa"/>
              <w:right w:w="28" w:type="dxa"/>
            </w:tcMar>
            <w:vAlign w:val="center"/>
          </w:tcPr>
          <w:p w14:paraId="4E3351D3">
            <w:pPr>
              <w:pStyle w:val="41"/>
              <w:rPr>
                <w:color w:val="auto"/>
                <w:highlight w:val="none"/>
              </w:rPr>
            </w:pPr>
            <w:r>
              <w:rPr>
                <w:color w:val="auto"/>
                <w:highlight w:val="none"/>
              </w:rPr>
              <w:t>1</w:t>
            </w:r>
          </w:p>
        </w:tc>
      </w:tr>
      <w:tr w14:paraId="2EC8EA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FBE1B73">
            <w:pPr>
              <w:pStyle w:val="41"/>
              <w:rPr>
                <w:color w:val="auto"/>
                <w:highlight w:val="none"/>
              </w:rPr>
            </w:pPr>
          </w:p>
        </w:tc>
        <w:tc>
          <w:tcPr>
            <w:tcW w:w="12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B2FE225">
            <w:pPr>
              <w:pStyle w:val="41"/>
              <w:rPr>
                <w:color w:val="auto"/>
                <w:highlight w:val="none"/>
              </w:rPr>
            </w:pPr>
            <w:r>
              <w:rPr>
                <w:rFonts w:hint="eastAsia"/>
                <w:color w:val="auto"/>
                <w:highlight w:val="none"/>
              </w:rPr>
              <w:t>3</w:t>
            </w:r>
          </w:p>
        </w:tc>
        <w:tc>
          <w:tcPr>
            <w:tcW w:w="38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7037758">
            <w:pPr>
              <w:pStyle w:val="41"/>
              <w:rPr>
                <w:color w:val="auto"/>
                <w:highlight w:val="none"/>
              </w:rPr>
            </w:pPr>
            <w:r>
              <w:rPr>
                <w:rFonts w:hint="eastAsia"/>
                <w:color w:val="auto"/>
                <w:highlight w:val="none"/>
              </w:rPr>
              <w:t>二段球磨机×1</w:t>
            </w: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B060C8A">
            <w:pPr>
              <w:pStyle w:val="41"/>
              <w:rPr>
                <w:color w:val="auto"/>
                <w:highlight w:val="none"/>
              </w:rPr>
            </w:pPr>
            <w:r>
              <w:rPr>
                <w:rFonts w:hint="eastAsia"/>
                <w:color w:val="auto"/>
                <w:highlight w:val="none"/>
              </w:rPr>
              <w:t>95</w:t>
            </w:r>
          </w:p>
        </w:tc>
        <w:tc>
          <w:tcPr>
            <w:tcW w:w="176"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21BCBFF">
            <w:pPr>
              <w:pStyle w:val="41"/>
              <w:rPr>
                <w:color w:val="auto"/>
                <w:highlight w:val="none"/>
              </w:rPr>
            </w:pP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F6DC284">
            <w:pPr>
              <w:pStyle w:val="41"/>
              <w:rPr>
                <w:color w:val="auto"/>
                <w:highlight w:val="none"/>
              </w:rPr>
            </w:pPr>
            <w:r>
              <w:rPr>
                <w:color w:val="auto"/>
                <w:highlight w:val="none"/>
              </w:rPr>
              <w:t>21.4</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0CC035D">
            <w:pPr>
              <w:pStyle w:val="41"/>
              <w:rPr>
                <w:color w:val="auto"/>
                <w:highlight w:val="none"/>
              </w:rPr>
            </w:pPr>
            <w:r>
              <w:rPr>
                <w:color w:val="auto"/>
                <w:highlight w:val="none"/>
              </w:rPr>
              <w:t>-60.3</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DA9F694">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C6565E8">
            <w:pPr>
              <w:pStyle w:val="41"/>
              <w:rPr>
                <w:color w:val="auto"/>
                <w:highlight w:val="none"/>
              </w:rPr>
            </w:pPr>
            <w:r>
              <w:rPr>
                <w:color w:val="auto"/>
                <w:highlight w:val="none"/>
              </w:rPr>
              <w:t>40.5</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9033C77">
            <w:pPr>
              <w:pStyle w:val="41"/>
              <w:rPr>
                <w:color w:val="auto"/>
                <w:highlight w:val="none"/>
              </w:rPr>
            </w:pPr>
            <w:r>
              <w:rPr>
                <w:color w:val="auto"/>
                <w:highlight w:val="none"/>
              </w:rPr>
              <w:t>93.5</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C336A23">
            <w:pPr>
              <w:pStyle w:val="41"/>
              <w:rPr>
                <w:color w:val="auto"/>
                <w:highlight w:val="none"/>
              </w:rPr>
            </w:pPr>
            <w:r>
              <w:rPr>
                <w:color w:val="auto"/>
                <w:highlight w:val="none"/>
              </w:rPr>
              <w:t>50.8</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B7B9070">
            <w:pPr>
              <w:pStyle w:val="41"/>
              <w:rPr>
                <w:color w:val="auto"/>
                <w:highlight w:val="none"/>
              </w:rPr>
            </w:pPr>
            <w:r>
              <w:rPr>
                <w:color w:val="auto"/>
                <w:highlight w:val="none"/>
              </w:rPr>
              <w:t>39.7</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E60FCB7">
            <w:pPr>
              <w:pStyle w:val="41"/>
              <w:rPr>
                <w:color w:val="auto"/>
                <w:highlight w:val="none"/>
              </w:rPr>
            </w:pPr>
            <w:r>
              <w:rPr>
                <w:color w:val="auto"/>
                <w:highlight w:val="none"/>
              </w:rPr>
              <w:t>77.4</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9CBE520">
            <w:pPr>
              <w:pStyle w:val="41"/>
              <w:rPr>
                <w:color w:val="auto"/>
                <w:highlight w:val="none"/>
              </w:rPr>
            </w:pPr>
            <w:r>
              <w:rPr>
                <w:color w:val="auto"/>
                <w:highlight w:val="none"/>
              </w:rPr>
              <w:t>77.4</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E21E500">
            <w:pPr>
              <w:pStyle w:val="41"/>
              <w:rPr>
                <w:color w:val="auto"/>
                <w:highlight w:val="none"/>
              </w:rPr>
            </w:pPr>
            <w:r>
              <w:rPr>
                <w:color w:val="auto"/>
                <w:highlight w:val="none"/>
              </w:rPr>
              <w:t>77.4</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55B0BD0">
            <w:pPr>
              <w:pStyle w:val="41"/>
              <w:rPr>
                <w:color w:val="auto"/>
                <w:highlight w:val="none"/>
              </w:rPr>
            </w:pPr>
            <w:r>
              <w:rPr>
                <w:color w:val="auto"/>
                <w:highlight w:val="none"/>
              </w:rPr>
              <w:t>77.4</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0E10A18">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44D2B44">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F817C96">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59558C3">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D7B1B9E">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6DF29A8">
            <w:pPr>
              <w:pStyle w:val="41"/>
              <w:rPr>
                <w:color w:val="auto"/>
                <w:highlight w:val="none"/>
              </w:rPr>
            </w:pPr>
            <w:r>
              <w:rPr>
                <w:color w:val="auto"/>
                <w:highlight w:val="none"/>
              </w:rPr>
              <w:t>51.4</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A4DE0C7">
            <w:pPr>
              <w:pStyle w:val="41"/>
              <w:rPr>
                <w:color w:val="auto"/>
                <w:highlight w:val="none"/>
              </w:rPr>
            </w:pPr>
            <w:r>
              <w:rPr>
                <w:color w:val="auto"/>
                <w:highlight w:val="none"/>
              </w:rPr>
              <w:t>51.4</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8B52ED4">
            <w:pPr>
              <w:pStyle w:val="41"/>
              <w:rPr>
                <w:color w:val="auto"/>
                <w:highlight w:val="none"/>
              </w:rPr>
            </w:pPr>
            <w:r>
              <w:rPr>
                <w:color w:val="auto"/>
                <w:highlight w:val="none"/>
              </w:rPr>
              <w:t>51.4</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9D22A4B">
            <w:pPr>
              <w:pStyle w:val="41"/>
              <w:rPr>
                <w:color w:val="auto"/>
                <w:highlight w:val="none"/>
              </w:rPr>
            </w:pPr>
            <w:r>
              <w:rPr>
                <w:color w:val="auto"/>
                <w:highlight w:val="none"/>
              </w:rPr>
              <w:t>51.4</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top w:w="0" w:type="dxa"/>
              <w:left w:w="28" w:type="dxa"/>
              <w:bottom w:w="0" w:type="dxa"/>
              <w:right w:w="28" w:type="dxa"/>
            </w:tcMar>
            <w:vAlign w:val="center"/>
          </w:tcPr>
          <w:p w14:paraId="0EAD70B1">
            <w:pPr>
              <w:pStyle w:val="41"/>
              <w:rPr>
                <w:color w:val="auto"/>
                <w:highlight w:val="none"/>
              </w:rPr>
            </w:pPr>
            <w:r>
              <w:rPr>
                <w:color w:val="auto"/>
                <w:highlight w:val="none"/>
              </w:rPr>
              <w:t>1</w:t>
            </w:r>
          </w:p>
        </w:tc>
      </w:tr>
      <w:tr w14:paraId="13830A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CC8C872">
            <w:pPr>
              <w:pStyle w:val="41"/>
              <w:rPr>
                <w:color w:val="auto"/>
                <w:highlight w:val="none"/>
              </w:rPr>
            </w:pPr>
          </w:p>
        </w:tc>
        <w:tc>
          <w:tcPr>
            <w:tcW w:w="12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DBEACAE">
            <w:pPr>
              <w:pStyle w:val="41"/>
              <w:rPr>
                <w:color w:val="auto"/>
                <w:highlight w:val="none"/>
              </w:rPr>
            </w:pPr>
            <w:r>
              <w:rPr>
                <w:rFonts w:hint="eastAsia"/>
                <w:color w:val="auto"/>
                <w:highlight w:val="none"/>
              </w:rPr>
              <w:t>4</w:t>
            </w:r>
          </w:p>
        </w:tc>
        <w:tc>
          <w:tcPr>
            <w:tcW w:w="38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6F3855F">
            <w:pPr>
              <w:pStyle w:val="41"/>
              <w:rPr>
                <w:color w:val="auto"/>
                <w:highlight w:val="none"/>
              </w:rPr>
            </w:pPr>
            <w:r>
              <w:rPr>
                <w:rFonts w:hint="eastAsia"/>
                <w:color w:val="auto"/>
                <w:highlight w:val="none"/>
              </w:rPr>
              <w:t>塔磨×1</w:t>
            </w: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7507897">
            <w:pPr>
              <w:pStyle w:val="41"/>
              <w:rPr>
                <w:color w:val="auto"/>
                <w:highlight w:val="none"/>
              </w:rPr>
            </w:pPr>
            <w:r>
              <w:rPr>
                <w:rFonts w:hint="eastAsia"/>
                <w:color w:val="auto"/>
                <w:highlight w:val="none"/>
              </w:rPr>
              <w:t>90</w:t>
            </w:r>
          </w:p>
        </w:tc>
        <w:tc>
          <w:tcPr>
            <w:tcW w:w="176"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52EDBA0">
            <w:pPr>
              <w:pStyle w:val="41"/>
              <w:rPr>
                <w:color w:val="auto"/>
                <w:highlight w:val="none"/>
              </w:rPr>
            </w:pP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1AC4764">
            <w:pPr>
              <w:pStyle w:val="41"/>
              <w:rPr>
                <w:color w:val="auto"/>
                <w:highlight w:val="none"/>
              </w:rPr>
            </w:pPr>
            <w:r>
              <w:rPr>
                <w:color w:val="auto"/>
                <w:highlight w:val="none"/>
              </w:rPr>
              <w:t>-3.8</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93B9EFF">
            <w:pPr>
              <w:pStyle w:val="41"/>
              <w:rPr>
                <w:color w:val="auto"/>
                <w:highlight w:val="none"/>
              </w:rPr>
            </w:pPr>
            <w:r>
              <w:rPr>
                <w:color w:val="auto"/>
                <w:highlight w:val="none"/>
              </w:rPr>
              <w:t>-72.6</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F4F640A">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3BDD7CE">
            <w:pPr>
              <w:pStyle w:val="41"/>
              <w:rPr>
                <w:color w:val="auto"/>
                <w:highlight w:val="none"/>
              </w:rPr>
            </w:pPr>
            <w:r>
              <w:rPr>
                <w:color w:val="auto"/>
                <w:highlight w:val="none"/>
              </w:rPr>
              <w:t>64.8</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50CE390">
            <w:pPr>
              <w:pStyle w:val="41"/>
              <w:rPr>
                <w:color w:val="auto"/>
                <w:highlight w:val="none"/>
              </w:rPr>
            </w:pPr>
            <w:r>
              <w:rPr>
                <w:color w:val="auto"/>
                <w:highlight w:val="none"/>
              </w:rPr>
              <w:t>79.9</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A82CA1A">
            <w:pPr>
              <w:pStyle w:val="41"/>
              <w:rPr>
                <w:color w:val="auto"/>
                <w:highlight w:val="none"/>
              </w:rPr>
            </w:pPr>
            <w:r>
              <w:rPr>
                <w:color w:val="auto"/>
                <w:highlight w:val="none"/>
              </w:rPr>
              <w:t>26.6</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6902988">
            <w:pPr>
              <w:pStyle w:val="41"/>
              <w:rPr>
                <w:color w:val="auto"/>
                <w:highlight w:val="none"/>
              </w:rPr>
            </w:pPr>
            <w:r>
              <w:rPr>
                <w:color w:val="auto"/>
                <w:highlight w:val="none"/>
              </w:rPr>
              <w:t>52.4</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395F0F7">
            <w:pPr>
              <w:pStyle w:val="41"/>
              <w:rPr>
                <w:color w:val="auto"/>
                <w:highlight w:val="none"/>
              </w:rPr>
            </w:pPr>
            <w:r>
              <w:rPr>
                <w:color w:val="auto"/>
                <w:highlight w:val="none"/>
              </w:rPr>
              <w:t>72.4</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A4A142A">
            <w:pPr>
              <w:pStyle w:val="41"/>
              <w:rPr>
                <w:color w:val="auto"/>
                <w:highlight w:val="none"/>
              </w:rPr>
            </w:pPr>
            <w:r>
              <w:rPr>
                <w:color w:val="auto"/>
                <w:highlight w:val="none"/>
              </w:rPr>
              <w:t>72.4</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6F46055">
            <w:pPr>
              <w:pStyle w:val="41"/>
              <w:rPr>
                <w:color w:val="auto"/>
                <w:highlight w:val="none"/>
              </w:rPr>
            </w:pPr>
            <w:r>
              <w:rPr>
                <w:color w:val="auto"/>
                <w:highlight w:val="none"/>
              </w:rPr>
              <w:t>72.4</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82064E4">
            <w:pPr>
              <w:pStyle w:val="41"/>
              <w:rPr>
                <w:color w:val="auto"/>
                <w:highlight w:val="none"/>
              </w:rPr>
            </w:pPr>
            <w:r>
              <w:rPr>
                <w:color w:val="auto"/>
                <w:highlight w:val="none"/>
              </w:rPr>
              <w:t>72.4</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DCB214B">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4C9295D">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444BCEF">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C110919">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496C99D">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7C17B74">
            <w:pPr>
              <w:pStyle w:val="41"/>
              <w:rPr>
                <w:color w:val="auto"/>
                <w:highlight w:val="none"/>
              </w:rPr>
            </w:pPr>
            <w:r>
              <w:rPr>
                <w:color w:val="auto"/>
                <w:highlight w:val="none"/>
              </w:rPr>
              <w:t>46.4</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4A9EECE">
            <w:pPr>
              <w:pStyle w:val="41"/>
              <w:rPr>
                <w:color w:val="auto"/>
                <w:highlight w:val="none"/>
              </w:rPr>
            </w:pPr>
            <w:r>
              <w:rPr>
                <w:color w:val="auto"/>
                <w:highlight w:val="none"/>
              </w:rPr>
              <w:t>46.4</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63B0A42">
            <w:pPr>
              <w:pStyle w:val="41"/>
              <w:rPr>
                <w:color w:val="auto"/>
                <w:highlight w:val="none"/>
              </w:rPr>
            </w:pPr>
            <w:r>
              <w:rPr>
                <w:color w:val="auto"/>
                <w:highlight w:val="none"/>
              </w:rPr>
              <w:t>46.4</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205735F">
            <w:pPr>
              <w:pStyle w:val="41"/>
              <w:rPr>
                <w:color w:val="auto"/>
                <w:highlight w:val="none"/>
              </w:rPr>
            </w:pPr>
            <w:r>
              <w:rPr>
                <w:color w:val="auto"/>
                <w:highlight w:val="none"/>
              </w:rPr>
              <w:t>46.4</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top w:w="0" w:type="dxa"/>
              <w:left w:w="28" w:type="dxa"/>
              <w:bottom w:w="0" w:type="dxa"/>
              <w:right w:w="28" w:type="dxa"/>
            </w:tcMar>
            <w:vAlign w:val="center"/>
          </w:tcPr>
          <w:p w14:paraId="1627E4D9">
            <w:pPr>
              <w:pStyle w:val="41"/>
              <w:rPr>
                <w:color w:val="auto"/>
                <w:highlight w:val="none"/>
              </w:rPr>
            </w:pPr>
            <w:r>
              <w:rPr>
                <w:color w:val="auto"/>
                <w:highlight w:val="none"/>
              </w:rPr>
              <w:t>1</w:t>
            </w:r>
          </w:p>
        </w:tc>
      </w:tr>
      <w:tr w14:paraId="662DC8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534279B">
            <w:pPr>
              <w:pStyle w:val="41"/>
              <w:rPr>
                <w:color w:val="auto"/>
                <w:highlight w:val="none"/>
              </w:rPr>
            </w:pPr>
          </w:p>
        </w:tc>
        <w:tc>
          <w:tcPr>
            <w:tcW w:w="12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CE032A2">
            <w:pPr>
              <w:pStyle w:val="41"/>
              <w:rPr>
                <w:color w:val="auto"/>
                <w:highlight w:val="none"/>
              </w:rPr>
            </w:pPr>
            <w:r>
              <w:rPr>
                <w:rFonts w:hint="eastAsia"/>
                <w:color w:val="auto"/>
                <w:highlight w:val="none"/>
              </w:rPr>
              <w:t>5</w:t>
            </w:r>
          </w:p>
        </w:tc>
        <w:tc>
          <w:tcPr>
            <w:tcW w:w="38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0035C14">
            <w:pPr>
              <w:pStyle w:val="41"/>
              <w:rPr>
                <w:color w:val="auto"/>
                <w:highlight w:val="none"/>
              </w:rPr>
            </w:pPr>
            <w:r>
              <w:rPr>
                <w:rFonts w:hint="eastAsia"/>
                <w:color w:val="auto"/>
                <w:highlight w:val="none"/>
              </w:rPr>
              <w:t>水泵×5</w:t>
            </w: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BF01BF8">
            <w:pPr>
              <w:pStyle w:val="41"/>
              <w:rPr>
                <w:color w:val="auto"/>
                <w:highlight w:val="none"/>
              </w:rPr>
            </w:pPr>
            <w:r>
              <w:rPr>
                <w:rFonts w:hint="eastAsia"/>
                <w:color w:val="auto"/>
                <w:highlight w:val="none"/>
              </w:rPr>
              <w:t>83</w:t>
            </w:r>
          </w:p>
        </w:tc>
        <w:tc>
          <w:tcPr>
            <w:tcW w:w="176"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56DD57C">
            <w:pPr>
              <w:pStyle w:val="41"/>
              <w:rPr>
                <w:color w:val="auto"/>
                <w:highlight w:val="none"/>
              </w:rPr>
            </w:pP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1A3A819">
            <w:pPr>
              <w:pStyle w:val="41"/>
              <w:rPr>
                <w:color w:val="auto"/>
                <w:highlight w:val="none"/>
              </w:rPr>
            </w:pPr>
            <w:r>
              <w:rPr>
                <w:color w:val="auto"/>
                <w:highlight w:val="none"/>
              </w:rPr>
              <w:t>19.3</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E74ADCF">
            <w:pPr>
              <w:pStyle w:val="41"/>
              <w:rPr>
                <w:color w:val="auto"/>
                <w:highlight w:val="none"/>
              </w:rPr>
            </w:pPr>
            <w:r>
              <w:rPr>
                <w:color w:val="auto"/>
                <w:highlight w:val="none"/>
              </w:rPr>
              <w:t>-83.1</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D3CB92A">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D98475D">
            <w:pPr>
              <w:pStyle w:val="41"/>
              <w:rPr>
                <w:color w:val="auto"/>
                <w:highlight w:val="none"/>
              </w:rPr>
            </w:pPr>
            <w:r>
              <w:rPr>
                <w:color w:val="auto"/>
                <w:highlight w:val="none"/>
              </w:rPr>
              <w:t>41.1</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5F6A316">
            <w:pPr>
              <w:pStyle w:val="41"/>
              <w:rPr>
                <w:color w:val="auto"/>
                <w:highlight w:val="none"/>
              </w:rPr>
            </w:pPr>
            <w:r>
              <w:rPr>
                <w:color w:val="auto"/>
                <w:highlight w:val="none"/>
              </w:rPr>
              <w:t>70.6</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1DB56D6">
            <w:pPr>
              <w:pStyle w:val="41"/>
              <w:rPr>
                <w:color w:val="auto"/>
                <w:highlight w:val="none"/>
              </w:rPr>
            </w:pPr>
            <w:r>
              <w:rPr>
                <w:color w:val="auto"/>
                <w:highlight w:val="none"/>
              </w:rPr>
              <w:t>50.4</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69F3365">
            <w:pPr>
              <w:pStyle w:val="41"/>
              <w:rPr>
                <w:color w:val="auto"/>
                <w:highlight w:val="none"/>
              </w:rPr>
            </w:pPr>
            <w:r>
              <w:rPr>
                <w:color w:val="auto"/>
                <w:highlight w:val="none"/>
              </w:rPr>
              <w:t>62.5</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48399DD">
            <w:pPr>
              <w:pStyle w:val="41"/>
              <w:rPr>
                <w:color w:val="auto"/>
                <w:highlight w:val="none"/>
              </w:rPr>
            </w:pPr>
            <w:r>
              <w:rPr>
                <w:color w:val="auto"/>
                <w:highlight w:val="none"/>
              </w:rPr>
              <w:t>71.4</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7B2638A">
            <w:pPr>
              <w:pStyle w:val="41"/>
              <w:rPr>
                <w:color w:val="auto"/>
                <w:highlight w:val="none"/>
              </w:rPr>
            </w:pPr>
            <w:r>
              <w:rPr>
                <w:color w:val="auto"/>
                <w:highlight w:val="none"/>
              </w:rPr>
              <w:t>71.4</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1A17E13">
            <w:pPr>
              <w:pStyle w:val="41"/>
              <w:rPr>
                <w:color w:val="auto"/>
                <w:highlight w:val="none"/>
              </w:rPr>
            </w:pPr>
            <w:r>
              <w:rPr>
                <w:color w:val="auto"/>
                <w:highlight w:val="none"/>
              </w:rPr>
              <w:t>71.4</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B6E69AE">
            <w:pPr>
              <w:pStyle w:val="41"/>
              <w:rPr>
                <w:color w:val="auto"/>
                <w:highlight w:val="none"/>
              </w:rPr>
            </w:pPr>
            <w:r>
              <w:rPr>
                <w:color w:val="auto"/>
                <w:highlight w:val="none"/>
              </w:rPr>
              <w:t>71.4</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5D91CB0">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52E7C07">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3590E8D">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A903AA6">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A26BCDC">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B28137F">
            <w:pPr>
              <w:pStyle w:val="41"/>
              <w:rPr>
                <w:color w:val="auto"/>
                <w:highlight w:val="none"/>
              </w:rPr>
            </w:pPr>
            <w:r>
              <w:rPr>
                <w:color w:val="auto"/>
                <w:highlight w:val="none"/>
              </w:rPr>
              <w:t>45.4</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B80C53A">
            <w:pPr>
              <w:pStyle w:val="41"/>
              <w:rPr>
                <w:color w:val="auto"/>
                <w:highlight w:val="none"/>
              </w:rPr>
            </w:pPr>
            <w:r>
              <w:rPr>
                <w:color w:val="auto"/>
                <w:highlight w:val="none"/>
              </w:rPr>
              <w:t>45.4</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61B36F5">
            <w:pPr>
              <w:pStyle w:val="41"/>
              <w:rPr>
                <w:color w:val="auto"/>
                <w:highlight w:val="none"/>
              </w:rPr>
            </w:pPr>
            <w:r>
              <w:rPr>
                <w:color w:val="auto"/>
                <w:highlight w:val="none"/>
              </w:rPr>
              <w:t>45.4</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D183CA2">
            <w:pPr>
              <w:pStyle w:val="41"/>
              <w:rPr>
                <w:color w:val="auto"/>
                <w:highlight w:val="none"/>
              </w:rPr>
            </w:pPr>
            <w:r>
              <w:rPr>
                <w:color w:val="auto"/>
                <w:highlight w:val="none"/>
              </w:rPr>
              <w:t>45.4</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top w:w="0" w:type="dxa"/>
              <w:left w:w="28" w:type="dxa"/>
              <w:bottom w:w="0" w:type="dxa"/>
              <w:right w:w="28" w:type="dxa"/>
            </w:tcMar>
            <w:vAlign w:val="center"/>
          </w:tcPr>
          <w:p w14:paraId="75DACE6B">
            <w:pPr>
              <w:pStyle w:val="41"/>
              <w:rPr>
                <w:color w:val="auto"/>
                <w:highlight w:val="none"/>
              </w:rPr>
            </w:pPr>
            <w:r>
              <w:rPr>
                <w:color w:val="auto"/>
                <w:highlight w:val="none"/>
              </w:rPr>
              <w:t>1</w:t>
            </w:r>
          </w:p>
        </w:tc>
      </w:tr>
      <w:tr w14:paraId="71FFCC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vMerge w:val="restart"/>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566F52C">
            <w:pPr>
              <w:pStyle w:val="41"/>
              <w:rPr>
                <w:color w:val="auto"/>
                <w:highlight w:val="none"/>
              </w:rPr>
            </w:pPr>
            <w:r>
              <w:rPr>
                <w:rFonts w:hint="eastAsia"/>
                <w:color w:val="auto"/>
                <w:highlight w:val="none"/>
              </w:rPr>
              <w:t>重选车间</w:t>
            </w:r>
          </w:p>
        </w:tc>
        <w:tc>
          <w:tcPr>
            <w:tcW w:w="12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9D850E1">
            <w:pPr>
              <w:pStyle w:val="41"/>
              <w:rPr>
                <w:color w:val="auto"/>
                <w:highlight w:val="none"/>
              </w:rPr>
            </w:pPr>
            <w:r>
              <w:rPr>
                <w:rFonts w:hint="eastAsia"/>
                <w:color w:val="auto"/>
                <w:highlight w:val="none"/>
              </w:rPr>
              <w:t>1</w:t>
            </w:r>
          </w:p>
        </w:tc>
        <w:tc>
          <w:tcPr>
            <w:tcW w:w="38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AA3B4E8">
            <w:pPr>
              <w:pStyle w:val="41"/>
              <w:rPr>
                <w:color w:val="auto"/>
                <w:highlight w:val="none"/>
              </w:rPr>
            </w:pPr>
            <w:r>
              <w:rPr>
                <w:rFonts w:hint="eastAsia"/>
                <w:color w:val="auto"/>
                <w:highlight w:val="none"/>
              </w:rPr>
              <w:t>原浆泵×2</w:t>
            </w: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5601B12">
            <w:pPr>
              <w:pStyle w:val="41"/>
              <w:rPr>
                <w:color w:val="auto"/>
                <w:highlight w:val="none"/>
              </w:rPr>
            </w:pPr>
            <w:r>
              <w:rPr>
                <w:rFonts w:hint="eastAsia"/>
                <w:color w:val="auto"/>
                <w:highlight w:val="none"/>
              </w:rPr>
              <w:t>83</w:t>
            </w:r>
          </w:p>
        </w:tc>
        <w:tc>
          <w:tcPr>
            <w:tcW w:w="176" w:type="pct"/>
            <w:vMerge w:val="restar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2FB65DE">
            <w:pPr>
              <w:pStyle w:val="41"/>
              <w:rPr>
                <w:color w:val="auto"/>
                <w:highlight w:val="none"/>
              </w:rPr>
            </w:pPr>
            <w:r>
              <w:rPr>
                <w:rFonts w:hint="eastAsia"/>
                <w:color w:val="auto"/>
                <w:highlight w:val="none"/>
              </w:rPr>
              <w:t>隔声减振</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17FD7CE">
            <w:pPr>
              <w:pStyle w:val="41"/>
              <w:rPr>
                <w:color w:val="auto"/>
                <w:highlight w:val="none"/>
              </w:rPr>
            </w:pPr>
            <w:r>
              <w:rPr>
                <w:color w:val="auto"/>
                <w:highlight w:val="none"/>
              </w:rPr>
              <w:t>42.9</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086D1BB">
            <w:pPr>
              <w:pStyle w:val="41"/>
              <w:rPr>
                <w:color w:val="auto"/>
                <w:highlight w:val="none"/>
              </w:rPr>
            </w:pPr>
            <w:r>
              <w:rPr>
                <w:color w:val="auto"/>
                <w:highlight w:val="none"/>
              </w:rPr>
              <w:t>61.8</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F28A8E2">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5E3B78C">
            <w:pPr>
              <w:pStyle w:val="41"/>
              <w:rPr>
                <w:color w:val="auto"/>
                <w:highlight w:val="none"/>
              </w:rPr>
            </w:pPr>
            <w:r>
              <w:rPr>
                <w:color w:val="auto"/>
                <w:highlight w:val="none"/>
              </w:rPr>
              <w:t>189.8</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C056C2B">
            <w:pPr>
              <w:pStyle w:val="41"/>
              <w:rPr>
                <w:color w:val="auto"/>
                <w:highlight w:val="none"/>
              </w:rPr>
            </w:pPr>
            <w:r>
              <w:rPr>
                <w:color w:val="auto"/>
                <w:highlight w:val="none"/>
              </w:rPr>
              <w:t>15.8</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713A68F">
            <w:pPr>
              <w:pStyle w:val="41"/>
              <w:rPr>
                <w:color w:val="auto"/>
                <w:highlight w:val="none"/>
              </w:rPr>
            </w:pPr>
            <w:r>
              <w:rPr>
                <w:color w:val="auto"/>
                <w:highlight w:val="none"/>
              </w:rPr>
              <w:t>65.7</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7E97605">
            <w:pPr>
              <w:pStyle w:val="41"/>
              <w:rPr>
                <w:color w:val="auto"/>
                <w:highlight w:val="none"/>
              </w:rPr>
            </w:pPr>
            <w:r>
              <w:rPr>
                <w:color w:val="auto"/>
                <w:highlight w:val="none"/>
              </w:rPr>
              <w:t>33.3</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2616EE4">
            <w:pPr>
              <w:pStyle w:val="41"/>
              <w:rPr>
                <w:color w:val="auto"/>
                <w:highlight w:val="none"/>
              </w:rPr>
            </w:pPr>
            <w:r>
              <w:rPr>
                <w:color w:val="auto"/>
                <w:highlight w:val="none"/>
              </w:rPr>
              <w:t>66.1</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EE7E8D6">
            <w:pPr>
              <w:pStyle w:val="41"/>
              <w:rPr>
                <w:color w:val="auto"/>
                <w:highlight w:val="none"/>
              </w:rPr>
            </w:pPr>
            <w:r>
              <w:rPr>
                <w:color w:val="auto"/>
                <w:highlight w:val="none"/>
              </w:rPr>
              <w:t>66.3</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1DC2292">
            <w:pPr>
              <w:pStyle w:val="41"/>
              <w:rPr>
                <w:color w:val="auto"/>
                <w:highlight w:val="none"/>
              </w:rPr>
            </w:pPr>
            <w:r>
              <w:rPr>
                <w:color w:val="auto"/>
                <w:highlight w:val="none"/>
              </w:rPr>
              <w:t>66.1</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5272A28">
            <w:pPr>
              <w:pStyle w:val="41"/>
              <w:rPr>
                <w:color w:val="auto"/>
                <w:highlight w:val="none"/>
              </w:rPr>
            </w:pPr>
            <w:r>
              <w:rPr>
                <w:color w:val="auto"/>
                <w:highlight w:val="none"/>
              </w:rPr>
              <w:t>66.1</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A8928AE">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AEA877B">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25C6594">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DB1CE2F">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93FBED0">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D87EDF4">
            <w:pPr>
              <w:pStyle w:val="41"/>
              <w:rPr>
                <w:color w:val="auto"/>
                <w:highlight w:val="none"/>
              </w:rPr>
            </w:pPr>
            <w:r>
              <w:rPr>
                <w:color w:val="auto"/>
                <w:highlight w:val="none"/>
              </w:rPr>
              <w:t>40.1</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2C092EB">
            <w:pPr>
              <w:pStyle w:val="41"/>
              <w:rPr>
                <w:color w:val="auto"/>
                <w:highlight w:val="none"/>
              </w:rPr>
            </w:pPr>
            <w:r>
              <w:rPr>
                <w:color w:val="auto"/>
                <w:highlight w:val="none"/>
              </w:rPr>
              <w:t>40.3</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0D0FCCB">
            <w:pPr>
              <w:pStyle w:val="41"/>
              <w:rPr>
                <w:color w:val="auto"/>
                <w:highlight w:val="none"/>
              </w:rPr>
            </w:pPr>
            <w:r>
              <w:rPr>
                <w:color w:val="auto"/>
                <w:highlight w:val="none"/>
              </w:rPr>
              <w:t>40.1</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C7EACCB">
            <w:pPr>
              <w:pStyle w:val="41"/>
              <w:rPr>
                <w:color w:val="auto"/>
                <w:highlight w:val="none"/>
              </w:rPr>
            </w:pPr>
            <w:r>
              <w:rPr>
                <w:color w:val="auto"/>
                <w:highlight w:val="none"/>
              </w:rPr>
              <w:t>40.1</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top w:w="0" w:type="dxa"/>
              <w:left w:w="28" w:type="dxa"/>
              <w:bottom w:w="0" w:type="dxa"/>
              <w:right w:w="28" w:type="dxa"/>
            </w:tcMar>
            <w:vAlign w:val="center"/>
          </w:tcPr>
          <w:p w14:paraId="52B7D8AA">
            <w:pPr>
              <w:pStyle w:val="41"/>
              <w:rPr>
                <w:color w:val="auto"/>
                <w:highlight w:val="none"/>
              </w:rPr>
            </w:pPr>
            <w:r>
              <w:rPr>
                <w:color w:val="auto"/>
                <w:highlight w:val="none"/>
              </w:rPr>
              <w:t>1</w:t>
            </w:r>
          </w:p>
        </w:tc>
      </w:tr>
      <w:tr w14:paraId="0B1B24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D663BEC">
            <w:pPr>
              <w:pStyle w:val="41"/>
              <w:rPr>
                <w:color w:val="auto"/>
                <w:highlight w:val="none"/>
              </w:rPr>
            </w:pPr>
          </w:p>
        </w:tc>
        <w:tc>
          <w:tcPr>
            <w:tcW w:w="12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615CF09">
            <w:pPr>
              <w:pStyle w:val="41"/>
              <w:rPr>
                <w:color w:val="auto"/>
                <w:highlight w:val="none"/>
              </w:rPr>
            </w:pPr>
            <w:r>
              <w:rPr>
                <w:rFonts w:hint="eastAsia"/>
                <w:color w:val="auto"/>
                <w:highlight w:val="none"/>
              </w:rPr>
              <w:t>2</w:t>
            </w:r>
          </w:p>
        </w:tc>
        <w:tc>
          <w:tcPr>
            <w:tcW w:w="38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DB46151">
            <w:pPr>
              <w:pStyle w:val="41"/>
              <w:rPr>
                <w:color w:val="auto"/>
                <w:highlight w:val="none"/>
              </w:rPr>
            </w:pPr>
            <w:r>
              <w:rPr>
                <w:rFonts w:hint="eastAsia"/>
                <w:color w:val="auto"/>
                <w:highlight w:val="none"/>
              </w:rPr>
              <w:t>粗选泵×2</w:t>
            </w: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C061A1F">
            <w:pPr>
              <w:pStyle w:val="41"/>
              <w:rPr>
                <w:color w:val="auto"/>
                <w:highlight w:val="none"/>
              </w:rPr>
            </w:pPr>
            <w:r>
              <w:rPr>
                <w:rFonts w:hint="eastAsia"/>
                <w:color w:val="auto"/>
                <w:highlight w:val="none"/>
              </w:rPr>
              <w:t>83</w:t>
            </w:r>
          </w:p>
        </w:tc>
        <w:tc>
          <w:tcPr>
            <w:tcW w:w="176"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124EBDC">
            <w:pPr>
              <w:pStyle w:val="41"/>
              <w:rPr>
                <w:color w:val="auto"/>
                <w:highlight w:val="none"/>
              </w:rPr>
            </w:pP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0790D2D">
            <w:pPr>
              <w:pStyle w:val="41"/>
              <w:rPr>
                <w:color w:val="auto"/>
                <w:highlight w:val="none"/>
              </w:rPr>
            </w:pPr>
            <w:r>
              <w:rPr>
                <w:color w:val="auto"/>
                <w:highlight w:val="none"/>
              </w:rPr>
              <w:t>66.4</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EFB17F1">
            <w:pPr>
              <w:pStyle w:val="41"/>
              <w:rPr>
                <w:color w:val="auto"/>
                <w:highlight w:val="none"/>
              </w:rPr>
            </w:pPr>
            <w:r>
              <w:rPr>
                <w:color w:val="auto"/>
                <w:highlight w:val="none"/>
              </w:rPr>
              <w:t>65.5</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1D25E6A">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E7CDC47">
            <w:pPr>
              <w:pStyle w:val="41"/>
              <w:rPr>
                <w:color w:val="auto"/>
                <w:highlight w:val="none"/>
              </w:rPr>
            </w:pPr>
            <w:r>
              <w:rPr>
                <w:color w:val="auto"/>
                <w:highlight w:val="none"/>
              </w:rPr>
              <w:t>166.2</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71B6C7A">
            <w:pPr>
              <w:pStyle w:val="41"/>
              <w:rPr>
                <w:color w:val="auto"/>
                <w:highlight w:val="none"/>
              </w:rPr>
            </w:pPr>
            <w:r>
              <w:rPr>
                <w:color w:val="auto"/>
                <w:highlight w:val="none"/>
              </w:rPr>
              <w:t>19.0</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21D789C">
            <w:pPr>
              <w:pStyle w:val="41"/>
              <w:rPr>
                <w:color w:val="auto"/>
                <w:highlight w:val="none"/>
              </w:rPr>
            </w:pPr>
            <w:r>
              <w:rPr>
                <w:color w:val="auto"/>
                <w:highlight w:val="none"/>
              </w:rPr>
              <w:t>89.2</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FA8CEEA">
            <w:pPr>
              <w:pStyle w:val="41"/>
              <w:rPr>
                <w:color w:val="auto"/>
                <w:highlight w:val="none"/>
              </w:rPr>
            </w:pPr>
            <w:r>
              <w:rPr>
                <w:color w:val="auto"/>
                <w:highlight w:val="none"/>
              </w:rPr>
              <w:t>30.4</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A16C379">
            <w:pPr>
              <w:pStyle w:val="41"/>
              <w:rPr>
                <w:color w:val="auto"/>
                <w:highlight w:val="none"/>
              </w:rPr>
            </w:pPr>
            <w:r>
              <w:rPr>
                <w:color w:val="auto"/>
                <w:highlight w:val="none"/>
              </w:rPr>
              <w:t>66.1</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655B1F9">
            <w:pPr>
              <w:pStyle w:val="41"/>
              <w:rPr>
                <w:color w:val="auto"/>
                <w:highlight w:val="none"/>
              </w:rPr>
            </w:pPr>
            <w:r>
              <w:rPr>
                <w:color w:val="auto"/>
                <w:highlight w:val="none"/>
              </w:rPr>
              <w:t>66.2</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099A66D">
            <w:pPr>
              <w:pStyle w:val="41"/>
              <w:rPr>
                <w:color w:val="auto"/>
                <w:highlight w:val="none"/>
              </w:rPr>
            </w:pPr>
            <w:r>
              <w:rPr>
                <w:color w:val="auto"/>
                <w:highlight w:val="none"/>
              </w:rPr>
              <w:t>66.1</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1927EF0">
            <w:pPr>
              <w:pStyle w:val="41"/>
              <w:rPr>
                <w:color w:val="auto"/>
                <w:highlight w:val="none"/>
              </w:rPr>
            </w:pPr>
            <w:r>
              <w:rPr>
                <w:color w:val="auto"/>
                <w:highlight w:val="none"/>
              </w:rPr>
              <w:t>66.2</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C1C80C5">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C84FFA0">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54F72D8">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3F59A83">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0358FD2">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1DB4B6D">
            <w:pPr>
              <w:pStyle w:val="41"/>
              <w:rPr>
                <w:color w:val="auto"/>
                <w:highlight w:val="none"/>
              </w:rPr>
            </w:pPr>
            <w:r>
              <w:rPr>
                <w:color w:val="auto"/>
                <w:highlight w:val="none"/>
              </w:rPr>
              <w:t>40.1</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4E949CC">
            <w:pPr>
              <w:pStyle w:val="41"/>
              <w:rPr>
                <w:color w:val="auto"/>
                <w:highlight w:val="none"/>
              </w:rPr>
            </w:pPr>
            <w:r>
              <w:rPr>
                <w:color w:val="auto"/>
                <w:highlight w:val="none"/>
              </w:rPr>
              <w:t>40.2</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4C0EF9A">
            <w:pPr>
              <w:pStyle w:val="41"/>
              <w:rPr>
                <w:color w:val="auto"/>
                <w:highlight w:val="none"/>
              </w:rPr>
            </w:pPr>
            <w:r>
              <w:rPr>
                <w:color w:val="auto"/>
                <w:highlight w:val="none"/>
              </w:rPr>
              <w:t>40.1</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8B4AE48">
            <w:pPr>
              <w:pStyle w:val="41"/>
              <w:rPr>
                <w:color w:val="auto"/>
                <w:highlight w:val="none"/>
              </w:rPr>
            </w:pPr>
            <w:r>
              <w:rPr>
                <w:color w:val="auto"/>
                <w:highlight w:val="none"/>
              </w:rPr>
              <w:t>40.2</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top w:w="0" w:type="dxa"/>
              <w:left w:w="28" w:type="dxa"/>
              <w:bottom w:w="0" w:type="dxa"/>
              <w:right w:w="28" w:type="dxa"/>
            </w:tcMar>
            <w:vAlign w:val="center"/>
          </w:tcPr>
          <w:p w14:paraId="668EB0A2">
            <w:pPr>
              <w:pStyle w:val="41"/>
              <w:rPr>
                <w:color w:val="auto"/>
                <w:highlight w:val="none"/>
              </w:rPr>
            </w:pPr>
            <w:r>
              <w:rPr>
                <w:color w:val="auto"/>
                <w:highlight w:val="none"/>
              </w:rPr>
              <w:t>1</w:t>
            </w:r>
          </w:p>
        </w:tc>
      </w:tr>
      <w:tr w14:paraId="7785C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9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B5BA572">
            <w:pPr>
              <w:pStyle w:val="41"/>
              <w:rPr>
                <w:color w:val="auto"/>
                <w:highlight w:val="none"/>
              </w:rPr>
            </w:pPr>
          </w:p>
        </w:tc>
        <w:tc>
          <w:tcPr>
            <w:tcW w:w="12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5E6C5A7">
            <w:pPr>
              <w:pStyle w:val="41"/>
              <w:rPr>
                <w:color w:val="auto"/>
                <w:highlight w:val="none"/>
              </w:rPr>
            </w:pPr>
            <w:r>
              <w:rPr>
                <w:rFonts w:hint="eastAsia"/>
                <w:color w:val="auto"/>
                <w:highlight w:val="none"/>
              </w:rPr>
              <w:t>3</w:t>
            </w:r>
          </w:p>
        </w:tc>
        <w:tc>
          <w:tcPr>
            <w:tcW w:w="38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1397D32">
            <w:pPr>
              <w:pStyle w:val="41"/>
              <w:rPr>
                <w:color w:val="auto"/>
                <w:highlight w:val="none"/>
              </w:rPr>
            </w:pPr>
            <w:r>
              <w:rPr>
                <w:rFonts w:hint="eastAsia"/>
                <w:color w:val="auto"/>
                <w:highlight w:val="none"/>
              </w:rPr>
              <w:t>精选泵×10</w:t>
            </w: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584C5CD">
            <w:pPr>
              <w:pStyle w:val="41"/>
              <w:rPr>
                <w:color w:val="auto"/>
                <w:highlight w:val="none"/>
              </w:rPr>
            </w:pPr>
            <w:r>
              <w:rPr>
                <w:rFonts w:hint="eastAsia"/>
                <w:color w:val="auto"/>
                <w:highlight w:val="none"/>
              </w:rPr>
              <w:t>83</w:t>
            </w:r>
          </w:p>
        </w:tc>
        <w:tc>
          <w:tcPr>
            <w:tcW w:w="176"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1A50CC2">
            <w:pPr>
              <w:pStyle w:val="41"/>
              <w:rPr>
                <w:color w:val="auto"/>
                <w:highlight w:val="none"/>
              </w:rPr>
            </w:pP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3E74CA9">
            <w:pPr>
              <w:pStyle w:val="41"/>
              <w:rPr>
                <w:color w:val="auto"/>
                <w:highlight w:val="none"/>
              </w:rPr>
            </w:pPr>
            <w:r>
              <w:rPr>
                <w:color w:val="auto"/>
                <w:highlight w:val="none"/>
              </w:rPr>
              <w:t>95.2</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B74D599">
            <w:pPr>
              <w:pStyle w:val="41"/>
              <w:rPr>
                <w:color w:val="auto"/>
                <w:highlight w:val="none"/>
              </w:rPr>
            </w:pPr>
            <w:r>
              <w:rPr>
                <w:color w:val="auto"/>
                <w:highlight w:val="none"/>
              </w:rPr>
              <w:t>67.1</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C331F21">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03E18F2">
            <w:pPr>
              <w:pStyle w:val="41"/>
              <w:rPr>
                <w:color w:val="auto"/>
                <w:highlight w:val="none"/>
              </w:rPr>
            </w:pPr>
            <w:r>
              <w:rPr>
                <w:color w:val="auto"/>
                <w:highlight w:val="none"/>
              </w:rPr>
              <w:t>137.3</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94FBB60">
            <w:pPr>
              <w:pStyle w:val="41"/>
              <w:rPr>
                <w:color w:val="auto"/>
                <w:highlight w:val="none"/>
              </w:rPr>
            </w:pPr>
            <w:r>
              <w:rPr>
                <w:color w:val="auto"/>
                <w:highlight w:val="none"/>
              </w:rPr>
              <w:t>20.0</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2D44C4F">
            <w:pPr>
              <w:pStyle w:val="41"/>
              <w:rPr>
                <w:color w:val="auto"/>
                <w:highlight w:val="none"/>
              </w:rPr>
            </w:pPr>
            <w:r>
              <w:rPr>
                <w:color w:val="auto"/>
                <w:highlight w:val="none"/>
              </w:rPr>
              <w:t>118.0</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5805349">
            <w:pPr>
              <w:pStyle w:val="41"/>
              <w:rPr>
                <w:color w:val="auto"/>
                <w:highlight w:val="none"/>
              </w:rPr>
            </w:pPr>
            <w:r>
              <w:rPr>
                <w:color w:val="auto"/>
                <w:highlight w:val="none"/>
              </w:rPr>
              <w:t>29.7</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707D02A">
            <w:pPr>
              <w:pStyle w:val="41"/>
              <w:rPr>
                <w:color w:val="auto"/>
                <w:highlight w:val="none"/>
              </w:rPr>
            </w:pPr>
            <w:r>
              <w:rPr>
                <w:color w:val="auto"/>
                <w:highlight w:val="none"/>
              </w:rPr>
              <w:t>73.1</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1C9C164">
            <w:pPr>
              <w:pStyle w:val="41"/>
              <w:rPr>
                <w:color w:val="auto"/>
                <w:highlight w:val="none"/>
              </w:rPr>
            </w:pPr>
            <w:r>
              <w:rPr>
                <w:color w:val="auto"/>
                <w:highlight w:val="none"/>
              </w:rPr>
              <w:t>73.2</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40CBC9F">
            <w:pPr>
              <w:pStyle w:val="41"/>
              <w:rPr>
                <w:color w:val="auto"/>
                <w:highlight w:val="none"/>
              </w:rPr>
            </w:pPr>
            <w:r>
              <w:rPr>
                <w:color w:val="auto"/>
                <w:highlight w:val="none"/>
              </w:rPr>
              <w:t>73.1</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7ACE871">
            <w:pPr>
              <w:pStyle w:val="41"/>
              <w:rPr>
                <w:color w:val="auto"/>
                <w:highlight w:val="none"/>
              </w:rPr>
            </w:pPr>
            <w:r>
              <w:rPr>
                <w:color w:val="auto"/>
                <w:highlight w:val="none"/>
              </w:rPr>
              <w:t>73.2</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F5E2F3C">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B46F820">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CA9A9AF">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3DF720B">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E26F72C">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7E53164">
            <w:pPr>
              <w:pStyle w:val="41"/>
              <w:rPr>
                <w:color w:val="auto"/>
                <w:highlight w:val="none"/>
              </w:rPr>
            </w:pPr>
            <w:r>
              <w:rPr>
                <w:color w:val="auto"/>
                <w:highlight w:val="none"/>
              </w:rPr>
              <w:t>47.1</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EA4C470">
            <w:pPr>
              <w:pStyle w:val="41"/>
              <w:rPr>
                <w:color w:val="auto"/>
                <w:highlight w:val="none"/>
              </w:rPr>
            </w:pPr>
            <w:r>
              <w:rPr>
                <w:color w:val="auto"/>
                <w:highlight w:val="none"/>
              </w:rPr>
              <w:t>47.2</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210C0F4">
            <w:pPr>
              <w:pStyle w:val="41"/>
              <w:rPr>
                <w:color w:val="auto"/>
                <w:highlight w:val="none"/>
              </w:rPr>
            </w:pPr>
            <w:r>
              <w:rPr>
                <w:color w:val="auto"/>
                <w:highlight w:val="none"/>
              </w:rPr>
              <w:t>47.1</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7C6EFF6">
            <w:pPr>
              <w:pStyle w:val="41"/>
              <w:rPr>
                <w:color w:val="auto"/>
                <w:highlight w:val="none"/>
              </w:rPr>
            </w:pPr>
            <w:r>
              <w:rPr>
                <w:color w:val="auto"/>
                <w:highlight w:val="none"/>
              </w:rPr>
              <w:t>47.2</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top w:w="0" w:type="dxa"/>
              <w:left w:w="28" w:type="dxa"/>
              <w:bottom w:w="0" w:type="dxa"/>
              <w:right w:w="28" w:type="dxa"/>
            </w:tcMar>
            <w:vAlign w:val="center"/>
          </w:tcPr>
          <w:p w14:paraId="05F0875D">
            <w:pPr>
              <w:pStyle w:val="41"/>
              <w:rPr>
                <w:color w:val="auto"/>
                <w:highlight w:val="none"/>
              </w:rPr>
            </w:pPr>
            <w:r>
              <w:rPr>
                <w:color w:val="auto"/>
                <w:highlight w:val="none"/>
              </w:rPr>
              <w:t>1</w:t>
            </w:r>
          </w:p>
        </w:tc>
      </w:tr>
      <w:tr w14:paraId="62CB95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143F1F0">
            <w:pPr>
              <w:pStyle w:val="41"/>
              <w:rPr>
                <w:color w:val="auto"/>
                <w:highlight w:val="none"/>
              </w:rPr>
            </w:pPr>
          </w:p>
        </w:tc>
        <w:tc>
          <w:tcPr>
            <w:tcW w:w="12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6A56B84">
            <w:pPr>
              <w:pStyle w:val="41"/>
              <w:rPr>
                <w:color w:val="auto"/>
                <w:highlight w:val="none"/>
              </w:rPr>
            </w:pPr>
            <w:r>
              <w:rPr>
                <w:rFonts w:hint="eastAsia"/>
                <w:color w:val="auto"/>
                <w:highlight w:val="none"/>
              </w:rPr>
              <w:t>4</w:t>
            </w:r>
          </w:p>
        </w:tc>
        <w:tc>
          <w:tcPr>
            <w:tcW w:w="38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31A6CF0">
            <w:pPr>
              <w:pStyle w:val="41"/>
              <w:rPr>
                <w:color w:val="auto"/>
                <w:highlight w:val="none"/>
              </w:rPr>
            </w:pPr>
            <w:r>
              <w:rPr>
                <w:rFonts w:hint="eastAsia"/>
                <w:color w:val="auto"/>
                <w:highlight w:val="none"/>
              </w:rPr>
              <w:t>扫选泵×4</w:t>
            </w: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7D1FFB0">
            <w:pPr>
              <w:pStyle w:val="41"/>
              <w:rPr>
                <w:color w:val="auto"/>
                <w:highlight w:val="none"/>
              </w:rPr>
            </w:pPr>
            <w:r>
              <w:rPr>
                <w:rFonts w:hint="eastAsia"/>
                <w:color w:val="auto"/>
                <w:highlight w:val="none"/>
              </w:rPr>
              <w:t>83</w:t>
            </w:r>
          </w:p>
        </w:tc>
        <w:tc>
          <w:tcPr>
            <w:tcW w:w="176"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E4AEE3C">
            <w:pPr>
              <w:pStyle w:val="41"/>
              <w:rPr>
                <w:color w:val="auto"/>
                <w:highlight w:val="none"/>
              </w:rPr>
            </w:pP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BA251D5">
            <w:pPr>
              <w:pStyle w:val="41"/>
              <w:rPr>
                <w:color w:val="auto"/>
                <w:highlight w:val="none"/>
              </w:rPr>
            </w:pPr>
            <w:r>
              <w:rPr>
                <w:color w:val="auto"/>
                <w:highlight w:val="none"/>
              </w:rPr>
              <w:t>126.7</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0D2A30A6">
            <w:pPr>
              <w:pStyle w:val="41"/>
              <w:rPr>
                <w:color w:val="auto"/>
                <w:highlight w:val="none"/>
              </w:rPr>
            </w:pPr>
            <w:r>
              <w:rPr>
                <w:color w:val="auto"/>
                <w:highlight w:val="none"/>
              </w:rPr>
              <w:t>68</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69902BC">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70AA323">
            <w:pPr>
              <w:pStyle w:val="41"/>
              <w:rPr>
                <w:color w:val="auto"/>
                <w:highlight w:val="none"/>
              </w:rPr>
            </w:pPr>
            <w:r>
              <w:rPr>
                <w:color w:val="auto"/>
                <w:highlight w:val="none"/>
              </w:rPr>
              <w:t>105.8</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E21626F">
            <w:pPr>
              <w:pStyle w:val="41"/>
              <w:rPr>
                <w:color w:val="auto"/>
                <w:highlight w:val="none"/>
              </w:rPr>
            </w:pPr>
            <w:r>
              <w:rPr>
                <w:color w:val="auto"/>
                <w:highlight w:val="none"/>
              </w:rPr>
              <w:t>20.2</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1CA2BAA">
            <w:pPr>
              <w:pStyle w:val="41"/>
              <w:rPr>
                <w:color w:val="auto"/>
                <w:highlight w:val="none"/>
              </w:rPr>
            </w:pPr>
            <w:r>
              <w:rPr>
                <w:color w:val="auto"/>
                <w:highlight w:val="none"/>
              </w:rPr>
              <w:t>149.5</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3FA15CF">
            <w:pPr>
              <w:pStyle w:val="41"/>
              <w:rPr>
                <w:color w:val="auto"/>
                <w:highlight w:val="none"/>
              </w:rPr>
            </w:pPr>
            <w:r>
              <w:rPr>
                <w:color w:val="auto"/>
                <w:highlight w:val="none"/>
              </w:rPr>
              <w:t>29.8</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C23AC8B">
            <w:pPr>
              <w:pStyle w:val="41"/>
              <w:rPr>
                <w:color w:val="auto"/>
                <w:highlight w:val="none"/>
              </w:rPr>
            </w:pPr>
            <w:r>
              <w:rPr>
                <w:color w:val="auto"/>
                <w:highlight w:val="none"/>
              </w:rPr>
              <w:t>63.1</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F9F448F">
            <w:pPr>
              <w:pStyle w:val="41"/>
              <w:rPr>
                <w:color w:val="auto"/>
                <w:highlight w:val="none"/>
              </w:rPr>
            </w:pPr>
            <w:r>
              <w:rPr>
                <w:color w:val="auto"/>
                <w:highlight w:val="none"/>
              </w:rPr>
              <w:t>63.2</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C1609A6">
            <w:pPr>
              <w:pStyle w:val="41"/>
              <w:rPr>
                <w:color w:val="auto"/>
                <w:highlight w:val="none"/>
              </w:rPr>
            </w:pPr>
            <w:r>
              <w:rPr>
                <w:color w:val="auto"/>
                <w:highlight w:val="none"/>
              </w:rPr>
              <w:t>63.1</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47D0E20">
            <w:pPr>
              <w:pStyle w:val="41"/>
              <w:rPr>
                <w:color w:val="auto"/>
                <w:highlight w:val="none"/>
              </w:rPr>
            </w:pPr>
            <w:r>
              <w:rPr>
                <w:color w:val="auto"/>
                <w:highlight w:val="none"/>
              </w:rPr>
              <w:t>63.2</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7C93E652">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0F7CC01">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D5A11B6">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13665AAC">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8B12D02">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20188C3B">
            <w:pPr>
              <w:pStyle w:val="41"/>
              <w:rPr>
                <w:color w:val="auto"/>
                <w:highlight w:val="none"/>
              </w:rPr>
            </w:pPr>
            <w:r>
              <w:rPr>
                <w:color w:val="auto"/>
                <w:highlight w:val="none"/>
              </w:rPr>
              <w:t>37.1</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8C8797D">
            <w:pPr>
              <w:pStyle w:val="41"/>
              <w:rPr>
                <w:color w:val="auto"/>
                <w:highlight w:val="none"/>
              </w:rPr>
            </w:pPr>
            <w:r>
              <w:rPr>
                <w:color w:val="auto"/>
                <w:highlight w:val="none"/>
              </w:rPr>
              <w:t>37.2</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DE9AA3E">
            <w:pPr>
              <w:pStyle w:val="41"/>
              <w:rPr>
                <w:color w:val="auto"/>
                <w:highlight w:val="none"/>
              </w:rPr>
            </w:pPr>
            <w:r>
              <w:rPr>
                <w:color w:val="auto"/>
                <w:highlight w:val="none"/>
              </w:rPr>
              <w:t>37.1</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3834F3B3">
            <w:pPr>
              <w:pStyle w:val="41"/>
              <w:rPr>
                <w:color w:val="auto"/>
                <w:highlight w:val="none"/>
              </w:rPr>
            </w:pPr>
            <w:r>
              <w:rPr>
                <w:color w:val="auto"/>
                <w:highlight w:val="none"/>
              </w:rPr>
              <w:t>37.2</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top w:w="0" w:type="dxa"/>
              <w:left w:w="28" w:type="dxa"/>
              <w:bottom w:w="0" w:type="dxa"/>
              <w:right w:w="28" w:type="dxa"/>
            </w:tcMar>
            <w:vAlign w:val="center"/>
          </w:tcPr>
          <w:p w14:paraId="6275F883">
            <w:pPr>
              <w:pStyle w:val="41"/>
              <w:rPr>
                <w:color w:val="auto"/>
                <w:highlight w:val="none"/>
              </w:rPr>
            </w:pPr>
            <w:r>
              <w:rPr>
                <w:color w:val="auto"/>
                <w:highlight w:val="none"/>
              </w:rPr>
              <w:t>1</w:t>
            </w:r>
          </w:p>
        </w:tc>
      </w:tr>
      <w:tr w14:paraId="7D4802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left w:w="28" w:type="dxa"/>
              <w:right w:w="28" w:type="dxa"/>
            </w:tcMar>
            <w:vAlign w:val="center"/>
          </w:tcPr>
          <w:p w14:paraId="372B9167">
            <w:pPr>
              <w:pStyle w:val="41"/>
              <w:rPr>
                <w:color w:val="auto"/>
                <w:highlight w:val="none"/>
              </w:rPr>
            </w:pPr>
          </w:p>
        </w:tc>
        <w:tc>
          <w:tcPr>
            <w:tcW w:w="124"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1D75DB83">
            <w:pPr>
              <w:pStyle w:val="41"/>
              <w:rPr>
                <w:color w:val="auto"/>
                <w:highlight w:val="none"/>
              </w:rPr>
            </w:pPr>
            <w:r>
              <w:rPr>
                <w:rFonts w:hint="eastAsia"/>
                <w:color w:val="auto"/>
                <w:highlight w:val="none"/>
              </w:rPr>
              <w:t>5</w:t>
            </w:r>
          </w:p>
        </w:tc>
        <w:tc>
          <w:tcPr>
            <w:tcW w:w="384"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D72E1D1">
            <w:pPr>
              <w:pStyle w:val="41"/>
              <w:rPr>
                <w:color w:val="auto"/>
                <w:highlight w:val="none"/>
              </w:rPr>
            </w:pPr>
            <w:r>
              <w:rPr>
                <w:rFonts w:hint="eastAsia"/>
                <w:color w:val="auto"/>
                <w:highlight w:val="none"/>
              </w:rPr>
              <w:t>总尾泵×2</w:t>
            </w: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B4DF5BA">
            <w:pPr>
              <w:pStyle w:val="41"/>
              <w:rPr>
                <w:color w:val="auto"/>
                <w:highlight w:val="none"/>
              </w:rPr>
            </w:pPr>
            <w:r>
              <w:rPr>
                <w:rFonts w:hint="eastAsia"/>
                <w:color w:val="auto"/>
                <w:highlight w:val="none"/>
              </w:rPr>
              <w:t>83</w:t>
            </w:r>
          </w:p>
        </w:tc>
        <w:tc>
          <w:tcPr>
            <w:tcW w:w="176"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8D8C281">
            <w:pPr>
              <w:pStyle w:val="41"/>
              <w:rPr>
                <w:color w:val="auto"/>
                <w:highlight w:val="none"/>
              </w:rPr>
            </w:pP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7EAA91D8">
            <w:pPr>
              <w:pStyle w:val="41"/>
              <w:rPr>
                <w:color w:val="auto"/>
                <w:highlight w:val="none"/>
              </w:rPr>
            </w:pPr>
            <w:r>
              <w:rPr>
                <w:color w:val="auto"/>
                <w:highlight w:val="none"/>
              </w:rPr>
              <w:t>167.4</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70AA1A81">
            <w:pPr>
              <w:pStyle w:val="41"/>
              <w:rPr>
                <w:color w:val="auto"/>
                <w:highlight w:val="none"/>
              </w:rPr>
            </w:pPr>
            <w:r>
              <w:rPr>
                <w:color w:val="auto"/>
                <w:highlight w:val="none"/>
              </w:rPr>
              <w:t>65</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8C7BDA0">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31C27938">
            <w:pPr>
              <w:pStyle w:val="41"/>
              <w:rPr>
                <w:color w:val="auto"/>
                <w:highlight w:val="none"/>
              </w:rPr>
            </w:pPr>
            <w:r>
              <w:rPr>
                <w:color w:val="auto"/>
                <w:highlight w:val="none"/>
              </w:rPr>
              <w:t>65.2</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CB127DF">
            <w:pPr>
              <w:pStyle w:val="41"/>
              <w:rPr>
                <w:color w:val="auto"/>
                <w:highlight w:val="none"/>
              </w:rPr>
            </w:pPr>
            <w:r>
              <w:rPr>
                <w:color w:val="auto"/>
                <w:highlight w:val="none"/>
              </w:rPr>
              <w:t>16.4</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3535747">
            <w:pPr>
              <w:pStyle w:val="41"/>
              <w:rPr>
                <w:color w:val="auto"/>
                <w:highlight w:val="none"/>
              </w:rPr>
            </w:pPr>
            <w:r>
              <w:rPr>
                <w:color w:val="auto"/>
                <w:highlight w:val="none"/>
              </w:rPr>
              <w:t>190.2</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2F47FA4A">
            <w:pPr>
              <w:pStyle w:val="41"/>
              <w:rPr>
                <w:color w:val="auto"/>
                <w:highlight w:val="none"/>
              </w:rPr>
            </w:pPr>
            <w:r>
              <w:rPr>
                <w:color w:val="auto"/>
                <w:highlight w:val="none"/>
              </w:rPr>
              <w:t>34.1</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7759A4E6">
            <w:pPr>
              <w:pStyle w:val="41"/>
              <w:rPr>
                <w:color w:val="auto"/>
                <w:highlight w:val="none"/>
              </w:rPr>
            </w:pPr>
            <w:r>
              <w:rPr>
                <w:color w:val="auto"/>
                <w:highlight w:val="none"/>
              </w:rPr>
              <w:t>66.1</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5180F5B">
            <w:pPr>
              <w:pStyle w:val="41"/>
              <w:rPr>
                <w:color w:val="auto"/>
                <w:highlight w:val="none"/>
              </w:rPr>
            </w:pPr>
            <w:r>
              <w:rPr>
                <w:color w:val="auto"/>
                <w:highlight w:val="none"/>
              </w:rPr>
              <w:t>66.2</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711DD04">
            <w:pPr>
              <w:pStyle w:val="41"/>
              <w:rPr>
                <w:color w:val="auto"/>
                <w:highlight w:val="none"/>
              </w:rPr>
            </w:pPr>
            <w:r>
              <w:rPr>
                <w:color w:val="auto"/>
                <w:highlight w:val="none"/>
              </w:rPr>
              <w:t>66.1</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1358BCD2">
            <w:pPr>
              <w:pStyle w:val="41"/>
              <w:rPr>
                <w:color w:val="auto"/>
                <w:highlight w:val="none"/>
              </w:rPr>
            </w:pPr>
            <w:r>
              <w:rPr>
                <w:color w:val="auto"/>
                <w:highlight w:val="none"/>
              </w:rPr>
              <w:t>66.1</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E507A03">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065A800">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56EAB27C">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4CE1884">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718F3D2B">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1F2A83D3">
            <w:pPr>
              <w:pStyle w:val="41"/>
              <w:rPr>
                <w:color w:val="auto"/>
                <w:highlight w:val="none"/>
              </w:rPr>
            </w:pPr>
            <w:r>
              <w:rPr>
                <w:color w:val="auto"/>
                <w:highlight w:val="none"/>
              </w:rPr>
              <w:t>40.1</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3D0FEA07">
            <w:pPr>
              <w:pStyle w:val="41"/>
              <w:rPr>
                <w:color w:val="auto"/>
                <w:highlight w:val="none"/>
              </w:rPr>
            </w:pPr>
            <w:r>
              <w:rPr>
                <w:color w:val="auto"/>
                <w:highlight w:val="none"/>
              </w:rPr>
              <w:t>40.2</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2691E71C">
            <w:pPr>
              <w:pStyle w:val="41"/>
              <w:rPr>
                <w:color w:val="auto"/>
                <w:highlight w:val="none"/>
              </w:rPr>
            </w:pPr>
            <w:r>
              <w:rPr>
                <w:color w:val="auto"/>
                <w:highlight w:val="none"/>
              </w:rPr>
              <w:t>40.1</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65BEB79">
            <w:pPr>
              <w:pStyle w:val="41"/>
              <w:rPr>
                <w:color w:val="auto"/>
                <w:highlight w:val="none"/>
              </w:rPr>
            </w:pPr>
            <w:r>
              <w:rPr>
                <w:color w:val="auto"/>
                <w:highlight w:val="none"/>
              </w:rPr>
              <w:t>40.1</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left w:w="28" w:type="dxa"/>
              <w:right w:w="28" w:type="dxa"/>
            </w:tcMar>
            <w:vAlign w:val="center"/>
          </w:tcPr>
          <w:p w14:paraId="4F6553AD">
            <w:pPr>
              <w:pStyle w:val="41"/>
              <w:rPr>
                <w:color w:val="auto"/>
                <w:highlight w:val="none"/>
              </w:rPr>
            </w:pPr>
            <w:r>
              <w:rPr>
                <w:color w:val="auto"/>
                <w:highlight w:val="none"/>
              </w:rPr>
              <w:t>1</w:t>
            </w:r>
          </w:p>
        </w:tc>
      </w:tr>
      <w:tr w14:paraId="4B53D4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left w:w="28" w:type="dxa"/>
              <w:right w:w="28" w:type="dxa"/>
            </w:tcMar>
            <w:vAlign w:val="center"/>
          </w:tcPr>
          <w:p w14:paraId="4E84276F">
            <w:pPr>
              <w:pStyle w:val="41"/>
              <w:rPr>
                <w:color w:val="auto"/>
                <w:highlight w:val="none"/>
              </w:rPr>
            </w:pPr>
          </w:p>
        </w:tc>
        <w:tc>
          <w:tcPr>
            <w:tcW w:w="124"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3EE99E79">
            <w:pPr>
              <w:pStyle w:val="41"/>
              <w:rPr>
                <w:color w:val="auto"/>
                <w:highlight w:val="none"/>
              </w:rPr>
            </w:pPr>
            <w:r>
              <w:rPr>
                <w:rFonts w:hint="eastAsia"/>
                <w:color w:val="auto"/>
                <w:highlight w:val="none"/>
              </w:rPr>
              <w:t>6</w:t>
            </w:r>
          </w:p>
        </w:tc>
        <w:tc>
          <w:tcPr>
            <w:tcW w:w="384"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237156EF">
            <w:pPr>
              <w:pStyle w:val="41"/>
              <w:rPr>
                <w:color w:val="auto"/>
                <w:highlight w:val="none"/>
              </w:rPr>
            </w:pPr>
            <w:r>
              <w:rPr>
                <w:rFonts w:hint="eastAsia"/>
                <w:color w:val="auto"/>
                <w:highlight w:val="none"/>
              </w:rPr>
              <w:t>水泵×3</w:t>
            </w: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E20D388">
            <w:pPr>
              <w:pStyle w:val="41"/>
              <w:rPr>
                <w:color w:val="auto"/>
                <w:highlight w:val="none"/>
              </w:rPr>
            </w:pPr>
            <w:r>
              <w:rPr>
                <w:rFonts w:hint="eastAsia"/>
                <w:color w:val="auto"/>
                <w:highlight w:val="none"/>
              </w:rPr>
              <w:t>83</w:t>
            </w:r>
          </w:p>
        </w:tc>
        <w:tc>
          <w:tcPr>
            <w:tcW w:w="176"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5C5FF7E6">
            <w:pPr>
              <w:pStyle w:val="41"/>
              <w:rPr>
                <w:color w:val="auto"/>
                <w:highlight w:val="none"/>
              </w:rPr>
            </w:pP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68B6172E">
            <w:pPr>
              <w:pStyle w:val="41"/>
              <w:rPr>
                <w:color w:val="auto"/>
                <w:highlight w:val="none"/>
              </w:rPr>
            </w:pPr>
            <w:r>
              <w:rPr>
                <w:color w:val="auto"/>
                <w:highlight w:val="none"/>
              </w:rPr>
              <w:t>181.3</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2CA43DBE">
            <w:pPr>
              <w:pStyle w:val="41"/>
              <w:rPr>
                <w:color w:val="auto"/>
                <w:highlight w:val="none"/>
              </w:rPr>
            </w:pPr>
            <w:r>
              <w:rPr>
                <w:color w:val="auto"/>
                <w:highlight w:val="none"/>
              </w:rPr>
              <w:t>64.1</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33E1696E">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69967EC5">
            <w:pPr>
              <w:pStyle w:val="41"/>
              <w:rPr>
                <w:color w:val="auto"/>
                <w:highlight w:val="none"/>
              </w:rPr>
            </w:pPr>
            <w:r>
              <w:rPr>
                <w:color w:val="auto"/>
                <w:highlight w:val="none"/>
              </w:rPr>
              <w:t>51.3</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D8A354A">
            <w:pPr>
              <w:pStyle w:val="41"/>
              <w:rPr>
                <w:color w:val="auto"/>
                <w:highlight w:val="none"/>
              </w:rPr>
            </w:pPr>
            <w:r>
              <w:rPr>
                <w:color w:val="auto"/>
                <w:highlight w:val="none"/>
              </w:rPr>
              <w:t>15.2</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A2B3D09">
            <w:pPr>
              <w:pStyle w:val="41"/>
              <w:rPr>
                <w:color w:val="auto"/>
                <w:highlight w:val="none"/>
              </w:rPr>
            </w:pPr>
            <w:r>
              <w:rPr>
                <w:color w:val="auto"/>
                <w:highlight w:val="none"/>
              </w:rPr>
              <w:t>204.1</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77D16459">
            <w:pPr>
              <w:pStyle w:val="41"/>
              <w:rPr>
                <w:color w:val="auto"/>
                <w:highlight w:val="none"/>
              </w:rPr>
            </w:pPr>
            <w:r>
              <w:rPr>
                <w:color w:val="auto"/>
                <w:highlight w:val="none"/>
              </w:rPr>
              <w:t>35.5</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3703A19E">
            <w:pPr>
              <w:pStyle w:val="41"/>
              <w:rPr>
                <w:color w:val="auto"/>
                <w:highlight w:val="none"/>
              </w:rPr>
            </w:pPr>
            <w:r>
              <w:rPr>
                <w:color w:val="auto"/>
                <w:highlight w:val="none"/>
              </w:rPr>
              <w:t>67.9</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215C0AD5">
            <w:pPr>
              <w:pStyle w:val="41"/>
              <w:rPr>
                <w:color w:val="auto"/>
                <w:highlight w:val="none"/>
              </w:rPr>
            </w:pPr>
            <w:r>
              <w:rPr>
                <w:color w:val="auto"/>
                <w:highlight w:val="none"/>
              </w:rPr>
              <w:t>68.1</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63185E73">
            <w:pPr>
              <w:pStyle w:val="41"/>
              <w:rPr>
                <w:color w:val="auto"/>
                <w:highlight w:val="none"/>
              </w:rPr>
            </w:pPr>
            <w:r>
              <w:rPr>
                <w:color w:val="auto"/>
                <w:highlight w:val="none"/>
              </w:rPr>
              <w:t>67.9</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38EC5026">
            <w:pPr>
              <w:pStyle w:val="41"/>
              <w:rPr>
                <w:color w:val="auto"/>
                <w:highlight w:val="none"/>
              </w:rPr>
            </w:pPr>
            <w:r>
              <w:rPr>
                <w:color w:val="auto"/>
                <w:highlight w:val="none"/>
              </w:rPr>
              <w:t>67.9</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5CCB8AA2">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79257F9">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1445AD3F">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50140FCB">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2CAECAA5">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8A0E4FF">
            <w:pPr>
              <w:pStyle w:val="41"/>
              <w:rPr>
                <w:color w:val="auto"/>
                <w:highlight w:val="none"/>
              </w:rPr>
            </w:pPr>
            <w:r>
              <w:rPr>
                <w:color w:val="auto"/>
                <w:highlight w:val="none"/>
              </w:rPr>
              <w:t>41.9</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5F7DE84C">
            <w:pPr>
              <w:pStyle w:val="41"/>
              <w:rPr>
                <w:color w:val="auto"/>
                <w:highlight w:val="none"/>
              </w:rPr>
            </w:pPr>
            <w:r>
              <w:rPr>
                <w:color w:val="auto"/>
                <w:highlight w:val="none"/>
              </w:rPr>
              <w:t>42.1</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7C458765">
            <w:pPr>
              <w:pStyle w:val="41"/>
              <w:rPr>
                <w:color w:val="auto"/>
                <w:highlight w:val="none"/>
              </w:rPr>
            </w:pPr>
            <w:r>
              <w:rPr>
                <w:color w:val="auto"/>
                <w:highlight w:val="none"/>
              </w:rPr>
              <w:t>41.9</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12681B17">
            <w:pPr>
              <w:pStyle w:val="41"/>
              <w:rPr>
                <w:color w:val="auto"/>
                <w:highlight w:val="none"/>
              </w:rPr>
            </w:pPr>
            <w:r>
              <w:rPr>
                <w:color w:val="auto"/>
                <w:highlight w:val="none"/>
              </w:rPr>
              <w:t>41.9</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left w:w="28" w:type="dxa"/>
              <w:right w:w="28" w:type="dxa"/>
            </w:tcMar>
            <w:vAlign w:val="center"/>
          </w:tcPr>
          <w:p w14:paraId="3EE3FC53">
            <w:pPr>
              <w:pStyle w:val="41"/>
              <w:rPr>
                <w:color w:val="auto"/>
                <w:highlight w:val="none"/>
              </w:rPr>
            </w:pPr>
            <w:r>
              <w:rPr>
                <w:color w:val="auto"/>
                <w:highlight w:val="none"/>
              </w:rPr>
              <w:t>1</w:t>
            </w:r>
          </w:p>
        </w:tc>
      </w:tr>
      <w:tr w14:paraId="73D195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vMerge w:val="restart"/>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69FD662D">
            <w:pPr>
              <w:pStyle w:val="41"/>
              <w:rPr>
                <w:color w:val="auto"/>
                <w:highlight w:val="none"/>
              </w:rPr>
            </w:pPr>
            <w:r>
              <w:rPr>
                <w:rFonts w:hint="eastAsia"/>
                <w:color w:val="auto"/>
                <w:highlight w:val="none"/>
              </w:rPr>
              <w:t>钛中矿烘干车间</w:t>
            </w:r>
          </w:p>
        </w:tc>
        <w:tc>
          <w:tcPr>
            <w:tcW w:w="124"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3945C00A">
            <w:pPr>
              <w:pStyle w:val="41"/>
              <w:rPr>
                <w:color w:val="auto"/>
                <w:highlight w:val="none"/>
              </w:rPr>
            </w:pPr>
            <w:r>
              <w:rPr>
                <w:rFonts w:hint="eastAsia"/>
                <w:color w:val="auto"/>
                <w:highlight w:val="none"/>
              </w:rPr>
              <w:t>1</w:t>
            </w:r>
          </w:p>
        </w:tc>
        <w:tc>
          <w:tcPr>
            <w:tcW w:w="384"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3E5047E">
            <w:pPr>
              <w:pStyle w:val="41"/>
              <w:rPr>
                <w:color w:val="auto"/>
                <w:highlight w:val="none"/>
              </w:rPr>
            </w:pPr>
            <w:r>
              <w:rPr>
                <w:rFonts w:hint="eastAsia"/>
                <w:color w:val="auto"/>
                <w:highlight w:val="none"/>
              </w:rPr>
              <w:t>引风机1</w:t>
            </w: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3EA2CD7">
            <w:pPr>
              <w:pStyle w:val="41"/>
              <w:rPr>
                <w:color w:val="auto"/>
                <w:highlight w:val="none"/>
              </w:rPr>
            </w:pPr>
            <w:r>
              <w:rPr>
                <w:rFonts w:hint="eastAsia"/>
                <w:color w:val="auto"/>
                <w:highlight w:val="none"/>
              </w:rPr>
              <w:t>95</w:t>
            </w:r>
          </w:p>
        </w:tc>
        <w:tc>
          <w:tcPr>
            <w:tcW w:w="176" w:type="pct"/>
            <w:vMerge w:val="restar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9C7107F">
            <w:pPr>
              <w:pStyle w:val="41"/>
              <w:rPr>
                <w:color w:val="auto"/>
                <w:highlight w:val="none"/>
              </w:rPr>
            </w:pPr>
            <w:r>
              <w:rPr>
                <w:rFonts w:hint="eastAsia"/>
                <w:color w:val="auto"/>
                <w:highlight w:val="none"/>
              </w:rPr>
              <w:t>隔声减振</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34D08A31">
            <w:pPr>
              <w:pStyle w:val="41"/>
              <w:rPr>
                <w:color w:val="auto"/>
                <w:highlight w:val="none"/>
              </w:rPr>
            </w:pPr>
            <w:r>
              <w:rPr>
                <w:color w:val="auto"/>
                <w:highlight w:val="none"/>
              </w:rPr>
              <w:t>264.5</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3F523A2A">
            <w:pPr>
              <w:pStyle w:val="41"/>
              <w:rPr>
                <w:color w:val="auto"/>
                <w:highlight w:val="none"/>
              </w:rPr>
            </w:pPr>
            <w:r>
              <w:rPr>
                <w:color w:val="auto"/>
                <w:highlight w:val="none"/>
              </w:rPr>
              <w:t>8.8</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508E3838">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7B0FA9D0">
            <w:pPr>
              <w:pStyle w:val="41"/>
              <w:rPr>
                <w:color w:val="auto"/>
                <w:highlight w:val="none"/>
              </w:rPr>
            </w:pPr>
            <w:r>
              <w:rPr>
                <w:color w:val="auto"/>
                <w:highlight w:val="none"/>
              </w:rPr>
              <w:t>47.1</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22F278DD">
            <w:pPr>
              <w:pStyle w:val="41"/>
              <w:rPr>
                <w:color w:val="auto"/>
                <w:highlight w:val="none"/>
              </w:rPr>
            </w:pPr>
            <w:r>
              <w:rPr>
                <w:color w:val="auto"/>
                <w:highlight w:val="none"/>
              </w:rPr>
              <w:t>66.8</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B138A21">
            <w:pPr>
              <w:pStyle w:val="41"/>
              <w:rPr>
                <w:color w:val="auto"/>
                <w:highlight w:val="none"/>
              </w:rPr>
            </w:pPr>
            <w:r>
              <w:rPr>
                <w:color w:val="auto"/>
                <w:highlight w:val="none"/>
              </w:rPr>
              <w:t>13.0</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7A6F7A5">
            <w:pPr>
              <w:pStyle w:val="41"/>
              <w:rPr>
                <w:color w:val="auto"/>
                <w:highlight w:val="none"/>
              </w:rPr>
            </w:pPr>
            <w:r>
              <w:rPr>
                <w:color w:val="auto"/>
                <w:highlight w:val="none"/>
              </w:rPr>
              <w:t>20.0</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6B773EBE">
            <w:pPr>
              <w:pStyle w:val="41"/>
              <w:rPr>
                <w:color w:val="auto"/>
                <w:highlight w:val="none"/>
              </w:rPr>
            </w:pPr>
            <w:r>
              <w:rPr>
                <w:color w:val="auto"/>
                <w:highlight w:val="none"/>
              </w:rPr>
              <w:t>77.7</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58AEFC01">
            <w:pPr>
              <w:pStyle w:val="41"/>
              <w:rPr>
                <w:color w:val="auto"/>
                <w:highlight w:val="none"/>
              </w:rPr>
            </w:pPr>
            <w:r>
              <w:rPr>
                <w:color w:val="auto"/>
                <w:highlight w:val="none"/>
              </w:rPr>
              <w:t>77.7</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C068B4E">
            <w:pPr>
              <w:pStyle w:val="41"/>
              <w:rPr>
                <w:color w:val="auto"/>
                <w:highlight w:val="none"/>
              </w:rPr>
            </w:pPr>
            <w:r>
              <w:rPr>
                <w:color w:val="auto"/>
                <w:highlight w:val="none"/>
              </w:rPr>
              <w:t>77.8</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321AFA1E">
            <w:pPr>
              <w:pStyle w:val="41"/>
              <w:rPr>
                <w:color w:val="auto"/>
                <w:highlight w:val="none"/>
              </w:rPr>
            </w:pPr>
            <w:r>
              <w:rPr>
                <w:color w:val="auto"/>
                <w:highlight w:val="none"/>
              </w:rPr>
              <w:t>77.8</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FFA0F03">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71ED62F">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50B98BA">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28EECE45">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6C6BF778">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5019E99">
            <w:pPr>
              <w:pStyle w:val="41"/>
              <w:rPr>
                <w:color w:val="auto"/>
                <w:highlight w:val="none"/>
              </w:rPr>
            </w:pPr>
            <w:r>
              <w:rPr>
                <w:color w:val="auto"/>
                <w:highlight w:val="none"/>
              </w:rPr>
              <w:t>51.7</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2A2E0B8E">
            <w:pPr>
              <w:pStyle w:val="41"/>
              <w:rPr>
                <w:color w:val="auto"/>
                <w:highlight w:val="none"/>
              </w:rPr>
            </w:pPr>
            <w:r>
              <w:rPr>
                <w:color w:val="auto"/>
                <w:highlight w:val="none"/>
              </w:rPr>
              <w:t>51.7</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37E145D">
            <w:pPr>
              <w:pStyle w:val="41"/>
              <w:rPr>
                <w:color w:val="auto"/>
                <w:highlight w:val="none"/>
              </w:rPr>
            </w:pPr>
            <w:r>
              <w:rPr>
                <w:color w:val="auto"/>
                <w:highlight w:val="none"/>
              </w:rPr>
              <w:t>51.8</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56DFFC17">
            <w:pPr>
              <w:pStyle w:val="41"/>
              <w:rPr>
                <w:color w:val="auto"/>
                <w:highlight w:val="none"/>
              </w:rPr>
            </w:pPr>
            <w:r>
              <w:rPr>
                <w:color w:val="auto"/>
                <w:highlight w:val="none"/>
              </w:rPr>
              <w:t>51.8</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left w:w="28" w:type="dxa"/>
              <w:right w:w="28" w:type="dxa"/>
            </w:tcMar>
            <w:vAlign w:val="center"/>
          </w:tcPr>
          <w:p w14:paraId="69D6E30F">
            <w:pPr>
              <w:pStyle w:val="41"/>
              <w:rPr>
                <w:color w:val="auto"/>
                <w:highlight w:val="none"/>
              </w:rPr>
            </w:pPr>
            <w:r>
              <w:rPr>
                <w:color w:val="auto"/>
                <w:highlight w:val="none"/>
              </w:rPr>
              <w:t>1</w:t>
            </w:r>
          </w:p>
        </w:tc>
      </w:tr>
      <w:tr w14:paraId="15222E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4A513047">
            <w:pPr>
              <w:pStyle w:val="41"/>
              <w:rPr>
                <w:color w:val="auto"/>
                <w:highlight w:val="none"/>
              </w:rPr>
            </w:pPr>
          </w:p>
        </w:tc>
        <w:tc>
          <w:tcPr>
            <w:tcW w:w="124"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27B5F221">
            <w:pPr>
              <w:pStyle w:val="41"/>
              <w:rPr>
                <w:color w:val="auto"/>
                <w:highlight w:val="none"/>
              </w:rPr>
            </w:pPr>
            <w:r>
              <w:rPr>
                <w:rFonts w:hint="eastAsia"/>
                <w:color w:val="auto"/>
                <w:highlight w:val="none"/>
              </w:rPr>
              <w:t>2</w:t>
            </w:r>
          </w:p>
        </w:tc>
        <w:tc>
          <w:tcPr>
            <w:tcW w:w="384"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A16A9C4">
            <w:pPr>
              <w:pStyle w:val="41"/>
              <w:rPr>
                <w:color w:val="auto"/>
                <w:highlight w:val="none"/>
              </w:rPr>
            </w:pPr>
            <w:r>
              <w:rPr>
                <w:rFonts w:hint="eastAsia"/>
                <w:color w:val="auto"/>
                <w:highlight w:val="none"/>
              </w:rPr>
              <w:t>鼓风机2</w:t>
            </w: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227B8C83">
            <w:pPr>
              <w:pStyle w:val="41"/>
              <w:rPr>
                <w:color w:val="auto"/>
                <w:highlight w:val="none"/>
              </w:rPr>
            </w:pPr>
            <w:r>
              <w:rPr>
                <w:rFonts w:hint="eastAsia"/>
                <w:color w:val="auto"/>
                <w:highlight w:val="none"/>
              </w:rPr>
              <w:t>95</w:t>
            </w:r>
          </w:p>
        </w:tc>
        <w:tc>
          <w:tcPr>
            <w:tcW w:w="176"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78CA3BED">
            <w:pPr>
              <w:pStyle w:val="41"/>
              <w:rPr>
                <w:color w:val="auto"/>
                <w:highlight w:val="none"/>
              </w:rPr>
            </w:pP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169F819">
            <w:pPr>
              <w:pStyle w:val="41"/>
              <w:rPr>
                <w:color w:val="auto"/>
                <w:highlight w:val="none"/>
              </w:rPr>
            </w:pPr>
            <w:r>
              <w:rPr>
                <w:color w:val="auto"/>
                <w:highlight w:val="none"/>
              </w:rPr>
              <w:t>236.2</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595F9A71">
            <w:pPr>
              <w:pStyle w:val="41"/>
              <w:rPr>
                <w:color w:val="auto"/>
                <w:highlight w:val="none"/>
              </w:rPr>
            </w:pPr>
            <w:r>
              <w:rPr>
                <w:color w:val="auto"/>
                <w:highlight w:val="none"/>
              </w:rPr>
              <w:t>11.1</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3B4C635">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924A671">
            <w:pPr>
              <w:pStyle w:val="41"/>
              <w:rPr>
                <w:color w:val="auto"/>
                <w:highlight w:val="none"/>
              </w:rPr>
            </w:pPr>
            <w:r>
              <w:rPr>
                <w:color w:val="auto"/>
                <w:highlight w:val="none"/>
              </w:rPr>
              <w:t>50.0</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5E11DF97">
            <w:pPr>
              <w:pStyle w:val="41"/>
              <w:rPr>
                <w:color w:val="auto"/>
                <w:highlight w:val="none"/>
              </w:rPr>
            </w:pPr>
            <w:r>
              <w:rPr>
                <w:color w:val="auto"/>
                <w:highlight w:val="none"/>
              </w:rPr>
              <w:t>94.9</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6EBB99F1">
            <w:pPr>
              <w:pStyle w:val="41"/>
              <w:rPr>
                <w:color w:val="auto"/>
                <w:highlight w:val="none"/>
              </w:rPr>
            </w:pPr>
            <w:r>
              <w:rPr>
                <w:color w:val="auto"/>
                <w:highlight w:val="none"/>
              </w:rPr>
              <w:t>16.6</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2E0D9695">
            <w:pPr>
              <w:pStyle w:val="41"/>
              <w:rPr>
                <w:color w:val="auto"/>
                <w:highlight w:val="none"/>
              </w:rPr>
            </w:pPr>
            <w:r>
              <w:rPr>
                <w:color w:val="auto"/>
                <w:highlight w:val="none"/>
              </w:rPr>
              <w:t>16.4</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5A56987C">
            <w:pPr>
              <w:pStyle w:val="41"/>
              <w:rPr>
                <w:color w:val="auto"/>
                <w:highlight w:val="none"/>
              </w:rPr>
            </w:pPr>
            <w:r>
              <w:rPr>
                <w:color w:val="auto"/>
                <w:highlight w:val="none"/>
              </w:rPr>
              <w:t>80.7</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724BC64">
            <w:pPr>
              <w:pStyle w:val="41"/>
              <w:rPr>
                <w:color w:val="auto"/>
                <w:highlight w:val="none"/>
              </w:rPr>
            </w:pPr>
            <w:r>
              <w:rPr>
                <w:color w:val="auto"/>
                <w:highlight w:val="none"/>
              </w:rPr>
              <w:t>80.7</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675C1F05">
            <w:pPr>
              <w:pStyle w:val="41"/>
              <w:rPr>
                <w:color w:val="auto"/>
                <w:highlight w:val="none"/>
              </w:rPr>
            </w:pPr>
            <w:r>
              <w:rPr>
                <w:color w:val="auto"/>
                <w:highlight w:val="none"/>
              </w:rPr>
              <w:t>80.8</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541EE2B9">
            <w:pPr>
              <w:pStyle w:val="41"/>
              <w:rPr>
                <w:color w:val="auto"/>
                <w:highlight w:val="none"/>
              </w:rPr>
            </w:pPr>
            <w:r>
              <w:rPr>
                <w:color w:val="auto"/>
                <w:highlight w:val="none"/>
              </w:rPr>
              <w:t>80.8</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3FECC03A">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789755EC">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60C82B4E">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7A3230D0">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7287A7D3">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593E4B0D">
            <w:pPr>
              <w:pStyle w:val="41"/>
              <w:rPr>
                <w:color w:val="auto"/>
                <w:highlight w:val="none"/>
              </w:rPr>
            </w:pPr>
            <w:r>
              <w:rPr>
                <w:color w:val="auto"/>
                <w:highlight w:val="none"/>
              </w:rPr>
              <w:t>54.7</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5D2263C">
            <w:pPr>
              <w:pStyle w:val="41"/>
              <w:rPr>
                <w:color w:val="auto"/>
                <w:highlight w:val="none"/>
              </w:rPr>
            </w:pPr>
            <w:r>
              <w:rPr>
                <w:color w:val="auto"/>
                <w:highlight w:val="none"/>
              </w:rPr>
              <w:t>54.7</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2A11B6F2">
            <w:pPr>
              <w:pStyle w:val="41"/>
              <w:rPr>
                <w:color w:val="auto"/>
                <w:highlight w:val="none"/>
              </w:rPr>
            </w:pPr>
            <w:r>
              <w:rPr>
                <w:color w:val="auto"/>
                <w:highlight w:val="none"/>
              </w:rPr>
              <w:t>54.8</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4A43204">
            <w:pPr>
              <w:pStyle w:val="41"/>
              <w:rPr>
                <w:color w:val="auto"/>
                <w:highlight w:val="none"/>
              </w:rPr>
            </w:pPr>
            <w:r>
              <w:rPr>
                <w:color w:val="auto"/>
                <w:highlight w:val="none"/>
              </w:rPr>
              <w:t>54.8</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left w:w="28" w:type="dxa"/>
              <w:right w:w="28" w:type="dxa"/>
            </w:tcMar>
            <w:vAlign w:val="center"/>
          </w:tcPr>
          <w:p w14:paraId="2A1F7D99">
            <w:pPr>
              <w:pStyle w:val="41"/>
              <w:rPr>
                <w:color w:val="auto"/>
                <w:highlight w:val="none"/>
              </w:rPr>
            </w:pPr>
            <w:r>
              <w:rPr>
                <w:color w:val="auto"/>
                <w:highlight w:val="none"/>
              </w:rPr>
              <w:t>1</w:t>
            </w:r>
          </w:p>
        </w:tc>
      </w:tr>
      <w:tr w14:paraId="38A3FB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vMerge w:val="continue"/>
            <w:tcBorders>
              <w:top w:val="single" w:color="auto" w:sz="4" w:space="0"/>
              <w:left w:val="single" w:color="auto" w:sz="12" w:space="0"/>
              <w:bottom w:val="single" w:color="auto" w:sz="4" w:space="0"/>
              <w:right w:val="single" w:color="auto" w:sz="4" w:space="0"/>
              <w:tl2br w:val="nil"/>
              <w:tr2bl w:val="nil"/>
            </w:tcBorders>
            <w:shd w:val="clear" w:color="auto" w:fill="FFFFFF"/>
            <w:tcMar>
              <w:top w:w="0" w:type="dxa"/>
              <w:left w:w="28" w:type="dxa"/>
              <w:bottom w:w="0" w:type="dxa"/>
              <w:right w:w="28" w:type="dxa"/>
            </w:tcMar>
            <w:vAlign w:val="center"/>
          </w:tcPr>
          <w:p w14:paraId="5B637402">
            <w:pPr>
              <w:pStyle w:val="41"/>
              <w:rPr>
                <w:color w:val="auto"/>
                <w:highlight w:val="none"/>
              </w:rPr>
            </w:pPr>
          </w:p>
        </w:tc>
        <w:tc>
          <w:tcPr>
            <w:tcW w:w="124"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1166604C">
            <w:pPr>
              <w:pStyle w:val="41"/>
              <w:rPr>
                <w:color w:val="auto"/>
                <w:highlight w:val="none"/>
              </w:rPr>
            </w:pPr>
            <w:r>
              <w:rPr>
                <w:rFonts w:hint="eastAsia"/>
                <w:color w:val="auto"/>
                <w:highlight w:val="none"/>
              </w:rPr>
              <w:t>3</w:t>
            </w:r>
          </w:p>
        </w:tc>
        <w:tc>
          <w:tcPr>
            <w:tcW w:w="384"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1F8908D8">
            <w:pPr>
              <w:pStyle w:val="41"/>
              <w:rPr>
                <w:color w:val="auto"/>
                <w:highlight w:val="none"/>
              </w:rPr>
            </w:pPr>
            <w:r>
              <w:rPr>
                <w:rFonts w:hint="eastAsia"/>
                <w:color w:val="auto"/>
                <w:highlight w:val="none"/>
              </w:rPr>
              <w:t>循环水泵2</w:t>
            </w:r>
          </w:p>
        </w:tc>
        <w:tc>
          <w:tcPr>
            <w:tcW w:w="218"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67251A03">
            <w:pPr>
              <w:pStyle w:val="41"/>
              <w:rPr>
                <w:color w:val="auto"/>
                <w:highlight w:val="none"/>
              </w:rPr>
            </w:pPr>
            <w:r>
              <w:rPr>
                <w:rFonts w:hint="eastAsia"/>
                <w:color w:val="auto"/>
                <w:highlight w:val="none"/>
              </w:rPr>
              <w:t>83</w:t>
            </w:r>
          </w:p>
        </w:tc>
        <w:tc>
          <w:tcPr>
            <w:tcW w:w="176"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1563D33D">
            <w:pPr>
              <w:pStyle w:val="41"/>
              <w:rPr>
                <w:color w:val="auto"/>
                <w:highlight w:val="none"/>
              </w:rPr>
            </w:pP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31AB7F16">
            <w:pPr>
              <w:pStyle w:val="41"/>
              <w:rPr>
                <w:color w:val="auto"/>
                <w:highlight w:val="none"/>
              </w:rPr>
            </w:pPr>
            <w:r>
              <w:rPr>
                <w:color w:val="auto"/>
                <w:highlight w:val="none"/>
              </w:rPr>
              <w:t>219.5</w:t>
            </w:r>
          </w:p>
        </w:tc>
        <w:tc>
          <w:tcPr>
            <w:tcW w:w="213"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1B37441D">
            <w:pPr>
              <w:pStyle w:val="41"/>
              <w:rPr>
                <w:color w:val="auto"/>
                <w:highlight w:val="none"/>
              </w:rPr>
            </w:pPr>
            <w:r>
              <w:rPr>
                <w:color w:val="auto"/>
                <w:highlight w:val="none"/>
              </w:rPr>
              <w:t>12.3</w:t>
            </w:r>
          </w:p>
        </w:tc>
        <w:tc>
          <w:tcPr>
            <w:tcW w:w="171"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323CCD33">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6198EE00">
            <w:pPr>
              <w:pStyle w:val="41"/>
              <w:rPr>
                <w:color w:val="auto"/>
                <w:highlight w:val="none"/>
              </w:rPr>
            </w:pPr>
            <w:r>
              <w:rPr>
                <w:color w:val="auto"/>
                <w:highlight w:val="none"/>
              </w:rPr>
              <w:t>51.5</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2EF52FC">
            <w:pPr>
              <w:pStyle w:val="41"/>
              <w:rPr>
                <w:color w:val="auto"/>
                <w:highlight w:val="none"/>
              </w:rPr>
            </w:pPr>
            <w:r>
              <w:rPr>
                <w:color w:val="auto"/>
                <w:highlight w:val="none"/>
              </w:rPr>
              <w:t>111.5</w:t>
            </w:r>
          </w:p>
        </w:tc>
        <w:tc>
          <w:tcPr>
            <w:tcW w:w="19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724F7758">
            <w:pPr>
              <w:pStyle w:val="41"/>
              <w:rPr>
                <w:color w:val="auto"/>
                <w:highlight w:val="none"/>
              </w:rPr>
            </w:pPr>
            <w:r>
              <w:rPr>
                <w:color w:val="auto"/>
                <w:highlight w:val="none"/>
              </w:rPr>
              <w:t>18.5</w:t>
            </w:r>
          </w:p>
        </w:tc>
        <w:tc>
          <w:tcPr>
            <w:tcW w:w="16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6DA25716">
            <w:pPr>
              <w:pStyle w:val="41"/>
              <w:rPr>
                <w:color w:val="auto"/>
                <w:highlight w:val="none"/>
              </w:rPr>
            </w:pPr>
            <w:r>
              <w:rPr>
                <w:color w:val="auto"/>
                <w:highlight w:val="none"/>
              </w:rPr>
              <w:t>14.5</w:t>
            </w:r>
          </w:p>
        </w:tc>
        <w:tc>
          <w:tcPr>
            <w:tcW w:w="18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7F3EB65">
            <w:pPr>
              <w:pStyle w:val="41"/>
              <w:rPr>
                <w:color w:val="auto"/>
                <w:highlight w:val="none"/>
              </w:rPr>
            </w:pPr>
            <w:r>
              <w:rPr>
                <w:color w:val="auto"/>
                <w:highlight w:val="none"/>
              </w:rPr>
              <w:t>68.7</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339A33AB">
            <w:pPr>
              <w:pStyle w:val="41"/>
              <w:rPr>
                <w:color w:val="auto"/>
                <w:highlight w:val="none"/>
              </w:rPr>
            </w:pPr>
            <w:r>
              <w:rPr>
                <w:color w:val="auto"/>
                <w:highlight w:val="none"/>
              </w:rPr>
              <w:t>68.7</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3DBD06E1">
            <w:pPr>
              <w:pStyle w:val="41"/>
              <w:rPr>
                <w:color w:val="auto"/>
                <w:highlight w:val="none"/>
              </w:rPr>
            </w:pPr>
            <w:r>
              <w:rPr>
                <w:color w:val="auto"/>
                <w:highlight w:val="none"/>
              </w:rPr>
              <w:t>68.8</w:t>
            </w:r>
          </w:p>
        </w:tc>
        <w:tc>
          <w:tcPr>
            <w:tcW w:w="191"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17BDC4D3">
            <w:pPr>
              <w:pStyle w:val="41"/>
              <w:rPr>
                <w:color w:val="auto"/>
                <w:highlight w:val="none"/>
              </w:rPr>
            </w:pPr>
            <w:r>
              <w:rPr>
                <w:color w:val="auto"/>
                <w:highlight w:val="none"/>
              </w:rPr>
              <w:t>68.8</w:t>
            </w:r>
          </w:p>
        </w:tc>
        <w:tc>
          <w:tcPr>
            <w:tcW w:w="221"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66349962">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0AED306D">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86787AF">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6CD265B">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7454C79">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48938883">
            <w:pPr>
              <w:pStyle w:val="41"/>
              <w:rPr>
                <w:color w:val="auto"/>
                <w:highlight w:val="none"/>
              </w:rPr>
            </w:pPr>
            <w:r>
              <w:rPr>
                <w:color w:val="auto"/>
                <w:highlight w:val="none"/>
              </w:rPr>
              <w:t>42.7</w:t>
            </w:r>
          </w:p>
        </w:tc>
        <w:tc>
          <w:tcPr>
            <w:tcW w:w="160"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5EE8D92A">
            <w:pPr>
              <w:pStyle w:val="41"/>
              <w:rPr>
                <w:color w:val="auto"/>
                <w:highlight w:val="none"/>
              </w:rPr>
            </w:pPr>
            <w:r>
              <w:rPr>
                <w:color w:val="auto"/>
                <w:highlight w:val="none"/>
              </w:rPr>
              <w:t>42.7</w:t>
            </w:r>
          </w:p>
        </w:tc>
        <w:tc>
          <w:tcPr>
            <w:tcW w:w="176"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25DFF65A">
            <w:pPr>
              <w:pStyle w:val="41"/>
              <w:rPr>
                <w:color w:val="auto"/>
                <w:highlight w:val="none"/>
              </w:rPr>
            </w:pPr>
            <w:r>
              <w:rPr>
                <w:color w:val="auto"/>
                <w:highlight w:val="none"/>
              </w:rPr>
              <w:t>42.8</w:t>
            </w:r>
          </w:p>
        </w:tc>
        <w:tc>
          <w:tcPr>
            <w:tcW w:w="165" w:type="pct"/>
            <w:tcBorders>
              <w:top w:val="single" w:color="auto" w:sz="4" w:space="0"/>
              <w:left w:val="single" w:color="auto" w:sz="4" w:space="0"/>
              <w:bottom w:val="single" w:color="auto" w:sz="4" w:space="0"/>
              <w:right w:val="single" w:color="auto" w:sz="4" w:space="0"/>
              <w:tl2br w:val="nil"/>
              <w:tr2bl w:val="nil"/>
            </w:tcBorders>
            <w:shd w:val="clear" w:color="auto" w:fill="FFFFFF"/>
            <w:tcMar>
              <w:left w:w="28" w:type="dxa"/>
              <w:right w:w="28" w:type="dxa"/>
            </w:tcMar>
            <w:vAlign w:val="center"/>
          </w:tcPr>
          <w:p w14:paraId="1BFAA939">
            <w:pPr>
              <w:pStyle w:val="41"/>
              <w:rPr>
                <w:color w:val="auto"/>
                <w:highlight w:val="none"/>
              </w:rPr>
            </w:pPr>
            <w:r>
              <w:rPr>
                <w:color w:val="auto"/>
                <w:highlight w:val="none"/>
              </w:rPr>
              <w:t>42.8</w:t>
            </w:r>
          </w:p>
        </w:tc>
        <w:tc>
          <w:tcPr>
            <w:tcW w:w="190" w:type="pct"/>
            <w:tcBorders>
              <w:top w:val="single" w:color="auto" w:sz="4" w:space="0"/>
              <w:left w:val="single" w:color="auto" w:sz="4" w:space="0"/>
              <w:bottom w:val="single" w:color="auto" w:sz="4" w:space="0"/>
              <w:right w:val="single" w:color="auto" w:sz="12" w:space="0"/>
              <w:tl2br w:val="nil"/>
              <w:tr2bl w:val="nil"/>
            </w:tcBorders>
            <w:shd w:val="clear" w:color="auto" w:fill="FFFFFF"/>
            <w:tcMar>
              <w:left w:w="28" w:type="dxa"/>
              <w:right w:w="28" w:type="dxa"/>
            </w:tcMar>
            <w:vAlign w:val="center"/>
          </w:tcPr>
          <w:p w14:paraId="7A3AB0F7">
            <w:pPr>
              <w:pStyle w:val="41"/>
              <w:rPr>
                <w:color w:val="auto"/>
                <w:highlight w:val="none"/>
              </w:rPr>
            </w:pPr>
            <w:r>
              <w:rPr>
                <w:color w:val="auto"/>
                <w:highlight w:val="none"/>
              </w:rPr>
              <w:t>1</w:t>
            </w:r>
          </w:p>
        </w:tc>
      </w:tr>
      <w:tr w14:paraId="31D1F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93" w:type="pct"/>
            <w:tcBorders>
              <w:top w:val="single" w:color="auto" w:sz="4" w:space="0"/>
              <w:left w:val="single" w:color="auto" w:sz="12" w:space="0"/>
              <w:bottom w:val="single" w:color="auto" w:sz="12" w:space="0"/>
              <w:right w:val="single" w:color="auto" w:sz="4" w:space="0"/>
              <w:tl2br w:val="nil"/>
              <w:tr2bl w:val="nil"/>
            </w:tcBorders>
            <w:shd w:val="clear" w:color="auto" w:fill="FFFFFF"/>
            <w:tcMar>
              <w:top w:w="0" w:type="dxa"/>
              <w:left w:w="28" w:type="dxa"/>
              <w:bottom w:w="0" w:type="dxa"/>
              <w:right w:w="28" w:type="dxa"/>
            </w:tcMar>
            <w:vAlign w:val="center"/>
          </w:tcPr>
          <w:p w14:paraId="06057BD0">
            <w:pPr>
              <w:pStyle w:val="41"/>
              <w:rPr>
                <w:color w:val="auto"/>
                <w:highlight w:val="none"/>
              </w:rPr>
            </w:pPr>
            <w:r>
              <w:rPr>
                <w:rFonts w:hint="eastAsia"/>
                <w:color w:val="auto"/>
                <w:highlight w:val="none"/>
              </w:rPr>
              <w:t>尾矿干排车间</w:t>
            </w:r>
          </w:p>
        </w:tc>
        <w:tc>
          <w:tcPr>
            <w:tcW w:w="124"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1B6B8892">
            <w:pPr>
              <w:pStyle w:val="41"/>
              <w:rPr>
                <w:color w:val="auto"/>
                <w:highlight w:val="none"/>
              </w:rPr>
            </w:pPr>
            <w:r>
              <w:rPr>
                <w:rFonts w:hint="eastAsia"/>
                <w:color w:val="auto"/>
                <w:highlight w:val="none"/>
              </w:rPr>
              <w:t>1</w:t>
            </w:r>
          </w:p>
        </w:tc>
        <w:tc>
          <w:tcPr>
            <w:tcW w:w="384"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076310C0">
            <w:pPr>
              <w:pStyle w:val="41"/>
              <w:rPr>
                <w:color w:val="auto"/>
                <w:highlight w:val="none"/>
              </w:rPr>
            </w:pPr>
            <w:r>
              <w:rPr>
                <w:rFonts w:hint="eastAsia"/>
                <w:color w:val="auto"/>
                <w:highlight w:val="none"/>
              </w:rPr>
              <w:t>脱水筛5</w:t>
            </w:r>
          </w:p>
        </w:tc>
        <w:tc>
          <w:tcPr>
            <w:tcW w:w="218"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7E8642B4">
            <w:pPr>
              <w:pStyle w:val="41"/>
              <w:rPr>
                <w:color w:val="auto"/>
                <w:highlight w:val="none"/>
              </w:rPr>
            </w:pPr>
            <w:r>
              <w:rPr>
                <w:rFonts w:hint="eastAsia"/>
                <w:color w:val="auto"/>
                <w:highlight w:val="none"/>
              </w:rPr>
              <w:t>85</w:t>
            </w:r>
          </w:p>
        </w:tc>
        <w:tc>
          <w:tcPr>
            <w:tcW w:w="176" w:type="pct"/>
            <w:vMerge w:val="continue"/>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7FB9F2FD">
            <w:pPr>
              <w:pStyle w:val="41"/>
              <w:rPr>
                <w:color w:val="auto"/>
                <w:highlight w:val="none"/>
              </w:rPr>
            </w:pPr>
          </w:p>
        </w:tc>
        <w:tc>
          <w:tcPr>
            <w:tcW w:w="202"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1BABE101">
            <w:pPr>
              <w:pStyle w:val="41"/>
              <w:rPr>
                <w:color w:val="auto"/>
                <w:highlight w:val="none"/>
              </w:rPr>
            </w:pPr>
            <w:r>
              <w:rPr>
                <w:color w:val="auto"/>
                <w:highlight w:val="none"/>
              </w:rPr>
              <w:t>259.7</w:t>
            </w:r>
          </w:p>
        </w:tc>
        <w:tc>
          <w:tcPr>
            <w:tcW w:w="213"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2BE3980A">
            <w:pPr>
              <w:pStyle w:val="41"/>
              <w:rPr>
                <w:color w:val="auto"/>
                <w:highlight w:val="none"/>
              </w:rPr>
            </w:pPr>
            <w:r>
              <w:rPr>
                <w:color w:val="auto"/>
                <w:highlight w:val="none"/>
              </w:rPr>
              <w:t>-24.8</w:t>
            </w:r>
          </w:p>
        </w:tc>
        <w:tc>
          <w:tcPr>
            <w:tcW w:w="171"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554C85B5">
            <w:pPr>
              <w:pStyle w:val="41"/>
              <w:rPr>
                <w:color w:val="auto"/>
                <w:highlight w:val="none"/>
              </w:rPr>
            </w:pPr>
            <w:r>
              <w:rPr>
                <w:color w:val="auto"/>
                <w:highlight w:val="none"/>
              </w:rPr>
              <w:t>1.2</w:t>
            </w:r>
          </w:p>
        </w:tc>
        <w:tc>
          <w:tcPr>
            <w:tcW w:w="202"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73B254EE">
            <w:pPr>
              <w:pStyle w:val="41"/>
              <w:rPr>
                <w:color w:val="auto"/>
                <w:highlight w:val="none"/>
              </w:rPr>
            </w:pPr>
            <w:r>
              <w:rPr>
                <w:color w:val="auto"/>
                <w:highlight w:val="none"/>
              </w:rPr>
              <w:t>9.7</w:t>
            </w:r>
          </w:p>
        </w:tc>
        <w:tc>
          <w:tcPr>
            <w:tcW w:w="197"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1B71290C">
            <w:pPr>
              <w:pStyle w:val="41"/>
              <w:rPr>
                <w:color w:val="auto"/>
                <w:highlight w:val="none"/>
              </w:rPr>
            </w:pPr>
            <w:r>
              <w:rPr>
                <w:color w:val="auto"/>
                <w:highlight w:val="none"/>
              </w:rPr>
              <w:t>9.2</w:t>
            </w:r>
          </w:p>
        </w:tc>
        <w:tc>
          <w:tcPr>
            <w:tcW w:w="197"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5F406B21">
            <w:pPr>
              <w:pStyle w:val="41"/>
              <w:rPr>
                <w:color w:val="auto"/>
                <w:highlight w:val="none"/>
              </w:rPr>
            </w:pPr>
            <w:r>
              <w:rPr>
                <w:color w:val="auto"/>
                <w:highlight w:val="none"/>
              </w:rPr>
              <w:t>9.7</w:t>
            </w:r>
          </w:p>
        </w:tc>
        <w:tc>
          <w:tcPr>
            <w:tcW w:w="166"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455AAC8D">
            <w:pPr>
              <w:pStyle w:val="41"/>
              <w:rPr>
                <w:color w:val="auto"/>
                <w:highlight w:val="none"/>
              </w:rPr>
            </w:pPr>
            <w:r>
              <w:rPr>
                <w:color w:val="auto"/>
                <w:highlight w:val="none"/>
              </w:rPr>
              <w:t>21.8</w:t>
            </w:r>
          </w:p>
        </w:tc>
        <w:tc>
          <w:tcPr>
            <w:tcW w:w="187"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429A75B7">
            <w:pPr>
              <w:pStyle w:val="41"/>
              <w:rPr>
                <w:color w:val="auto"/>
                <w:highlight w:val="none"/>
              </w:rPr>
            </w:pPr>
            <w:r>
              <w:rPr>
                <w:color w:val="auto"/>
                <w:highlight w:val="none"/>
              </w:rPr>
              <w:t>80.8</w:t>
            </w:r>
          </w:p>
        </w:tc>
        <w:tc>
          <w:tcPr>
            <w:tcW w:w="177"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3AA2B4D0">
            <w:pPr>
              <w:pStyle w:val="41"/>
              <w:rPr>
                <w:color w:val="auto"/>
                <w:highlight w:val="none"/>
              </w:rPr>
            </w:pPr>
            <w:r>
              <w:rPr>
                <w:color w:val="auto"/>
                <w:highlight w:val="none"/>
              </w:rPr>
              <w:t>80.8</w:t>
            </w:r>
          </w:p>
        </w:tc>
        <w:tc>
          <w:tcPr>
            <w:tcW w:w="221"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0EFF6668">
            <w:pPr>
              <w:pStyle w:val="41"/>
              <w:rPr>
                <w:color w:val="auto"/>
                <w:highlight w:val="none"/>
              </w:rPr>
            </w:pPr>
            <w:r>
              <w:rPr>
                <w:color w:val="auto"/>
                <w:highlight w:val="none"/>
              </w:rPr>
              <w:t>80.8</w:t>
            </w:r>
          </w:p>
        </w:tc>
        <w:tc>
          <w:tcPr>
            <w:tcW w:w="191"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77086B43">
            <w:pPr>
              <w:pStyle w:val="41"/>
              <w:rPr>
                <w:color w:val="auto"/>
                <w:highlight w:val="none"/>
              </w:rPr>
            </w:pPr>
            <w:r>
              <w:rPr>
                <w:color w:val="auto"/>
                <w:highlight w:val="none"/>
              </w:rPr>
              <w:t>80.8</w:t>
            </w:r>
          </w:p>
        </w:tc>
        <w:tc>
          <w:tcPr>
            <w:tcW w:w="221"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1907CE1F">
            <w:pPr>
              <w:pStyle w:val="41"/>
              <w:rPr>
                <w:color w:val="auto"/>
                <w:highlight w:val="none"/>
              </w:rPr>
            </w:pPr>
            <w:r>
              <w:rPr>
                <w:color w:val="auto"/>
                <w:highlight w:val="none"/>
              </w:rPr>
              <w:t>24.0</w:t>
            </w:r>
          </w:p>
        </w:tc>
        <w:tc>
          <w:tcPr>
            <w:tcW w:w="170"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5B7B3A93">
            <w:pPr>
              <w:pStyle w:val="41"/>
              <w:rPr>
                <w:color w:val="auto"/>
                <w:highlight w:val="none"/>
              </w:rPr>
            </w:pPr>
            <w:r>
              <w:rPr>
                <w:color w:val="auto"/>
                <w:highlight w:val="none"/>
              </w:rPr>
              <w:t>26.0</w:t>
            </w:r>
          </w:p>
        </w:tc>
        <w:tc>
          <w:tcPr>
            <w:tcW w:w="164"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218305E7">
            <w:pPr>
              <w:pStyle w:val="41"/>
              <w:rPr>
                <w:color w:val="auto"/>
                <w:highlight w:val="none"/>
              </w:rPr>
            </w:pPr>
            <w:r>
              <w:rPr>
                <w:color w:val="auto"/>
                <w:highlight w:val="none"/>
              </w:rPr>
              <w:t>26.0</w:t>
            </w:r>
          </w:p>
        </w:tc>
        <w:tc>
          <w:tcPr>
            <w:tcW w:w="170"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3A8622FE">
            <w:pPr>
              <w:pStyle w:val="41"/>
              <w:rPr>
                <w:color w:val="auto"/>
                <w:highlight w:val="none"/>
              </w:rPr>
            </w:pPr>
            <w:r>
              <w:rPr>
                <w:color w:val="auto"/>
                <w:highlight w:val="none"/>
              </w:rPr>
              <w:t>26.0</w:t>
            </w:r>
          </w:p>
        </w:tc>
        <w:tc>
          <w:tcPr>
            <w:tcW w:w="177"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46F94D54">
            <w:pPr>
              <w:pStyle w:val="41"/>
              <w:rPr>
                <w:color w:val="auto"/>
                <w:highlight w:val="none"/>
              </w:rPr>
            </w:pPr>
            <w:r>
              <w:rPr>
                <w:color w:val="auto"/>
                <w:highlight w:val="none"/>
              </w:rPr>
              <w:t>26.0</w:t>
            </w:r>
          </w:p>
        </w:tc>
        <w:tc>
          <w:tcPr>
            <w:tcW w:w="176"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65186E4C">
            <w:pPr>
              <w:pStyle w:val="41"/>
              <w:rPr>
                <w:color w:val="auto"/>
                <w:highlight w:val="none"/>
              </w:rPr>
            </w:pPr>
            <w:r>
              <w:rPr>
                <w:color w:val="auto"/>
                <w:highlight w:val="none"/>
              </w:rPr>
              <w:t>54.8</w:t>
            </w:r>
          </w:p>
        </w:tc>
        <w:tc>
          <w:tcPr>
            <w:tcW w:w="160"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754C5131">
            <w:pPr>
              <w:pStyle w:val="41"/>
              <w:rPr>
                <w:color w:val="auto"/>
                <w:highlight w:val="none"/>
              </w:rPr>
            </w:pPr>
            <w:r>
              <w:rPr>
                <w:color w:val="auto"/>
                <w:highlight w:val="none"/>
              </w:rPr>
              <w:t>54.8</w:t>
            </w:r>
          </w:p>
        </w:tc>
        <w:tc>
          <w:tcPr>
            <w:tcW w:w="176"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0BD3C11C">
            <w:pPr>
              <w:pStyle w:val="41"/>
              <w:rPr>
                <w:color w:val="auto"/>
                <w:highlight w:val="none"/>
              </w:rPr>
            </w:pPr>
            <w:r>
              <w:rPr>
                <w:color w:val="auto"/>
                <w:highlight w:val="none"/>
              </w:rPr>
              <w:t>54.8</w:t>
            </w:r>
          </w:p>
        </w:tc>
        <w:tc>
          <w:tcPr>
            <w:tcW w:w="165" w:type="pct"/>
            <w:tcBorders>
              <w:top w:val="single" w:color="auto" w:sz="4" w:space="0"/>
              <w:left w:val="single" w:color="auto" w:sz="4" w:space="0"/>
              <w:bottom w:val="single" w:color="auto" w:sz="12" w:space="0"/>
              <w:right w:val="single" w:color="auto" w:sz="4" w:space="0"/>
              <w:tl2br w:val="nil"/>
              <w:tr2bl w:val="nil"/>
            </w:tcBorders>
            <w:shd w:val="clear" w:color="auto" w:fill="FFFFFF"/>
            <w:tcMar>
              <w:left w:w="28" w:type="dxa"/>
              <w:right w:w="28" w:type="dxa"/>
            </w:tcMar>
            <w:vAlign w:val="center"/>
          </w:tcPr>
          <w:p w14:paraId="55A40FD6">
            <w:pPr>
              <w:pStyle w:val="41"/>
              <w:rPr>
                <w:color w:val="auto"/>
                <w:highlight w:val="none"/>
              </w:rPr>
            </w:pPr>
            <w:r>
              <w:rPr>
                <w:color w:val="auto"/>
                <w:highlight w:val="none"/>
              </w:rPr>
              <w:t>54.8</w:t>
            </w:r>
          </w:p>
        </w:tc>
        <w:tc>
          <w:tcPr>
            <w:tcW w:w="190" w:type="pct"/>
            <w:tcBorders>
              <w:top w:val="single" w:color="auto" w:sz="4" w:space="0"/>
              <w:left w:val="single" w:color="auto" w:sz="4" w:space="0"/>
              <w:bottom w:val="single" w:color="auto" w:sz="12" w:space="0"/>
              <w:right w:val="single" w:color="auto" w:sz="12" w:space="0"/>
              <w:tl2br w:val="nil"/>
              <w:tr2bl w:val="nil"/>
            </w:tcBorders>
            <w:shd w:val="clear" w:color="auto" w:fill="FFFFFF"/>
            <w:tcMar>
              <w:left w:w="28" w:type="dxa"/>
              <w:right w:w="28" w:type="dxa"/>
            </w:tcMar>
            <w:vAlign w:val="center"/>
          </w:tcPr>
          <w:p w14:paraId="12005538">
            <w:pPr>
              <w:pStyle w:val="41"/>
              <w:rPr>
                <w:color w:val="auto"/>
                <w:highlight w:val="none"/>
              </w:rPr>
            </w:pPr>
            <w:r>
              <w:rPr>
                <w:color w:val="auto"/>
                <w:highlight w:val="none"/>
              </w:rPr>
              <w:t>1</w:t>
            </w:r>
          </w:p>
        </w:tc>
      </w:tr>
    </w:tbl>
    <w:p w14:paraId="5FBC1C87">
      <w:pPr>
        <w:pStyle w:val="3"/>
        <w:ind w:firstLine="480"/>
        <w:rPr>
          <w:color w:val="auto"/>
          <w:highlight w:val="none"/>
          <w:lang w:val="zh-CN"/>
        </w:rPr>
        <w:sectPr>
          <w:pgSz w:w="16838" w:h="11906" w:orient="landscape"/>
          <w:pgMar w:top="1803" w:right="1440" w:bottom="1803" w:left="1440" w:header="1020" w:footer="992" w:gutter="0"/>
          <w:pgBorders>
            <w:top w:val="none" w:sz="0" w:space="0"/>
            <w:left w:val="none" w:sz="0" w:space="0"/>
            <w:bottom w:val="none" w:sz="0" w:space="0"/>
            <w:right w:val="none" w:sz="0" w:space="0"/>
          </w:pgBorders>
          <w:cols w:space="720" w:num="1"/>
          <w:docGrid w:type="lines" w:linePitch="332" w:charSpace="0"/>
        </w:sectPr>
      </w:pPr>
    </w:p>
    <w:p w14:paraId="4E9F532A">
      <w:pPr>
        <w:pStyle w:val="42"/>
        <w:rPr>
          <w:rFonts w:hint="default"/>
          <w:color w:val="auto"/>
          <w:highlight w:val="none"/>
        </w:rPr>
      </w:pPr>
      <w:r>
        <w:rPr>
          <w:rFonts w:hint="default"/>
          <w:color w:val="auto"/>
          <w:highlight w:val="none"/>
        </w:rPr>
        <w:t>预测模型</w:t>
      </w:r>
    </w:p>
    <w:p w14:paraId="51465038">
      <w:pPr>
        <w:pStyle w:val="3"/>
        <w:ind w:firstLine="480"/>
        <w:rPr>
          <w:color w:val="auto"/>
          <w:highlight w:val="none"/>
        </w:rPr>
      </w:pPr>
      <w:r>
        <w:rPr>
          <w:color w:val="auto"/>
          <w:highlight w:val="none"/>
        </w:rPr>
        <w:t>根据《环境影响评价技术导则 声环境》（HJ2.4-2021），室内噪声预测步骤如下：将室内分布集中、处于同一生产单元的噪声源叠加等效为一个点声源——计算室内各点声源传播至围护结构处的A声级，对于多个点声源噪声值进行叠加——通过插入损失计算等效室外声源的噪声级——室外声源通过几何发散、建筑阻隔、空气吸收、距离等作用发生衰减——计算预测点处声级。</w:t>
      </w:r>
    </w:p>
    <w:p w14:paraId="118045A5">
      <w:pPr>
        <w:pStyle w:val="3"/>
        <w:ind w:firstLine="480"/>
        <w:rPr>
          <w:color w:val="auto"/>
          <w:highlight w:val="none"/>
        </w:rPr>
      </w:pPr>
      <w:r>
        <w:rPr>
          <w:color w:val="auto"/>
          <w:highlight w:val="none"/>
        </w:rPr>
        <w:t>本项目没有声环境敏感目标，只预测厂界达标情况，所涉及的计算公式如下：</w:t>
      </w:r>
    </w:p>
    <w:p w14:paraId="00FC817E">
      <w:pPr>
        <w:pStyle w:val="3"/>
        <w:ind w:firstLine="480"/>
        <w:rPr>
          <w:color w:val="auto"/>
          <w:highlight w:val="none"/>
        </w:rPr>
      </w:pPr>
      <w:r>
        <w:rPr>
          <w:color w:val="auto"/>
          <w:highlight w:val="none"/>
        </w:rPr>
        <w:t>（1）室内分布集中、处于同一生产单元的噪声源叠加等效为一个点声源。声级叠加计算公式：</w:t>
      </w:r>
    </w:p>
    <w:p w14:paraId="72007B3D">
      <w:pPr>
        <w:pStyle w:val="3"/>
        <w:spacing w:line="360" w:lineRule="auto"/>
        <w:ind w:firstLine="0" w:firstLineChars="0"/>
        <w:jc w:val="center"/>
        <w:rPr>
          <w:color w:val="auto"/>
          <w:highlight w:val="none"/>
        </w:rPr>
      </w:pPr>
      <w:r>
        <w:rPr>
          <w:color w:val="auto"/>
          <w:highlight w:val="none"/>
        </w:rPr>
        <w:object>
          <v:shape id="_x0000_i1029" o:spt="75" type="#_x0000_t75" style="height:37.8pt;width:97.2pt;" o:ole="t" filled="f" o:preferrelative="t" stroked="f" coordsize="21600,21600">
            <v:path/>
            <v:fill on="f" focussize="0,0"/>
            <v:stroke on="f" joinstyle="miter"/>
            <v:imagedata r:id="rId71" o:title=""/>
            <o:lock v:ext="edit" aspectratio="t"/>
            <w10:wrap type="none"/>
            <w10:anchorlock/>
          </v:shape>
          <o:OLEObject Type="Embed" ProgID="Equation.KSEE3" ShapeID="_x0000_i1029" DrawAspect="Content" ObjectID="_1468075729" r:id="rId70">
            <o:LockedField>false</o:LockedField>
          </o:OLEObject>
        </w:object>
      </w:r>
    </w:p>
    <w:p w14:paraId="1784C368">
      <w:pPr>
        <w:pStyle w:val="3"/>
        <w:ind w:firstLine="480"/>
        <w:rPr>
          <w:color w:val="auto"/>
          <w:highlight w:val="none"/>
        </w:rPr>
      </w:pPr>
      <w:r>
        <w:rPr>
          <w:color w:val="auto"/>
          <w:highlight w:val="none"/>
        </w:rPr>
        <w:t>式中：</w:t>
      </w:r>
    </w:p>
    <w:p w14:paraId="5B492F8B">
      <w:pPr>
        <w:pStyle w:val="3"/>
        <w:ind w:firstLine="480"/>
        <w:rPr>
          <w:color w:val="auto"/>
          <w:highlight w:val="none"/>
        </w:rPr>
      </w:pPr>
      <w:r>
        <w:rPr>
          <w:color w:val="auto"/>
          <w:highlight w:val="none"/>
        </w:rPr>
        <w:t>L总——几个声压级相加后的总声压级，dB；</w:t>
      </w:r>
    </w:p>
    <w:p w14:paraId="21B1BB45">
      <w:pPr>
        <w:pStyle w:val="3"/>
        <w:ind w:firstLine="480"/>
        <w:rPr>
          <w:color w:val="auto"/>
          <w:highlight w:val="none"/>
        </w:rPr>
      </w:pPr>
      <w:r>
        <w:rPr>
          <w:color w:val="auto"/>
          <w:highlight w:val="none"/>
        </w:rPr>
        <w:t>Li——某个声压级，dB；</w:t>
      </w:r>
    </w:p>
    <w:p w14:paraId="3A69FC64">
      <w:pPr>
        <w:pStyle w:val="3"/>
        <w:ind w:firstLine="480"/>
        <w:rPr>
          <w:color w:val="auto"/>
          <w:highlight w:val="none"/>
        </w:rPr>
      </w:pPr>
      <w:r>
        <w:rPr>
          <w:color w:val="auto"/>
          <w:highlight w:val="none"/>
        </w:rPr>
        <w:t>（2）室内声源靠近围护结构处声压级，对于多个点声源噪声值进行叠加。</w:t>
      </w:r>
    </w:p>
    <w:p w14:paraId="0F045642">
      <w:pPr>
        <w:pStyle w:val="3"/>
        <w:spacing w:line="360" w:lineRule="auto"/>
        <w:ind w:firstLine="0" w:firstLineChars="0"/>
        <w:jc w:val="center"/>
        <w:rPr>
          <w:color w:val="auto"/>
          <w:highlight w:val="none"/>
        </w:rPr>
      </w:pPr>
      <w:r>
        <w:rPr>
          <w:color w:val="auto"/>
          <w:highlight w:val="none"/>
        </w:rPr>
        <w:object>
          <v:shape id="_x0000_i1030" o:spt="75" type="#_x0000_t75" style="height:34.2pt;width:133.2pt;" o:ole="t" filled="f" o:preferrelative="t" stroked="f" coordsize="21600,21600">
            <v:path/>
            <v:fill on="f" focussize="0,0"/>
            <v:stroke on="f" joinstyle="miter"/>
            <v:imagedata r:id="rId73" o:title=""/>
            <o:lock v:ext="edit" aspectratio="t"/>
            <w10:wrap type="none"/>
            <w10:anchorlock/>
          </v:shape>
          <o:OLEObject Type="Embed" ProgID="Equation.KSEE3" ShapeID="_x0000_i1030" DrawAspect="Content" ObjectID="_1468075730" r:id="rId72">
            <o:LockedField>false</o:LockedField>
          </o:OLEObject>
        </w:object>
      </w:r>
    </w:p>
    <w:p w14:paraId="346DD1DB">
      <w:pPr>
        <w:pStyle w:val="3"/>
        <w:ind w:firstLine="480"/>
        <w:rPr>
          <w:color w:val="auto"/>
          <w:highlight w:val="none"/>
        </w:rPr>
      </w:pPr>
      <w:r>
        <w:rPr>
          <w:color w:val="auto"/>
          <w:highlight w:val="none"/>
        </w:rPr>
        <w:t>式中：</w:t>
      </w:r>
    </w:p>
    <w:p w14:paraId="74189B04">
      <w:pPr>
        <w:pStyle w:val="3"/>
        <w:ind w:firstLine="480"/>
        <w:rPr>
          <w:color w:val="auto"/>
          <w:highlight w:val="none"/>
        </w:rPr>
      </w:pPr>
      <w:r>
        <w:rPr>
          <w:color w:val="auto"/>
          <w:highlight w:val="none"/>
        </w:rPr>
        <w:t>Q——指向性因数，通常对无指向性声源，当声源放在房间中心时，Q=1，当放在一面墙的中心时，Q=2，当放在两面墙夹角处时，Q=4，当放在三面墙夹角处时，Q=8；</w:t>
      </w:r>
    </w:p>
    <w:p w14:paraId="6EFFEE33">
      <w:pPr>
        <w:pStyle w:val="3"/>
        <w:ind w:firstLine="480"/>
        <w:rPr>
          <w:color w:val="auto"/>
          <w:highlight w:val="none"/>
        </w:rPr>
      </w:pPr>
      <w:r>
        <w:rPr>
          <w:color w:val="auto"/>
          <w:highlight w:val="none"/>
        </w:rPr>
        <w:t>R——房间常数，R=Sα/（1-α），S为房间内表面面积，㎡，α为平均吸声系数。</w:t>
      </w:r>
    </w:p>
    <w:p w14:paraId="6B61FD35">
      <w:pPr>
        <w:pStyle w:val="3"/>
        <w:ind w:firstLine="480"/>
        <w:rPr>
          <w:color w:val="auto"/>
          <w:highlight w:val="none"/>
        </w:rPr>
      </w:pPr>
      <w:r>
        <w:rPr>
          <w:color w:val="auto"/>
          <w:highlight w:val="none"/>
        </w:rPr>
        <w:t>（3）室内声源等效室外声源声功率级计算公式如下：</w:t>
      </w:r>
    </w:p>
    <w:p w14:paraId="293BBCA3">
      <w:pPr>
        <w:pStyle w:val="3"/>
        <w:spacing w:line="360" w:lineRule="auto"/>
        <w:ind w:firstLine="0" w:firstLineChars="0"/>
        <w:jc w:val="center"/>
        <w:rPr>
          <w:color w:val="auto"/>
          <w:highlight w:val="none"/>
        </w:rPr>
      </w:pPr>
      <w:r>
        <w:rPr>
          <w:color w:val="auto"/>
          <w:highlight w:val="none"/>
        </w:rPr>
        <w:object>
          <v:shape id="_x0000_i1031" o:spt="75" type="#_x0000_t75" style="height:19.2pt;width:96pt;" o:ole="t" filled="f" o:preferrelative="t" stroked="f" coordsize="21600,21600">
            <v:path/>
            <v:fill on="f" focussize="0,0"/>
            <v:stroke on="f" joinstyle="miter"/>
            <v:imagedata r:id="rId75" o:title=""/>
            <o:lock v:ext="edit" aspectratio="t"/>
            <w10:wrap type="none"/>
            <w10:anchorlock/>
          </v:shape>
          <o:OLEObject Type="Embed" ProgID="Equation.KSEE3" ShapeID="_x0000_i1031" DrawAspect="Content" ObjectID="_1468075731" r:id="rId74">
            <o:LockedField>false</o:LockedField>
          </o:OLEObject>
        </w:object>
      </w:r>
    </w:p>
    <w:p w14:paraId="73C07FB8">
      <w:pPr>
        <w:pStyle w:val="3"/>
        <w:spacing w:line="360" w:lineRule="auto"/>
        <w:ind w:firstLine="0" w:firstLineChars="0"/>
        <w:jc w:val="center"/>
        <w:rPr>
          <w:color w:val="auto"/>
          <w:highlight w:val="none"/>
        </w:rPr>
      </w:pPr>
      <w:r>
        <w:rPr>
          <w:color w:val="auto"/>
          <w:highlight w:val="none"/>
        </w:rPr>
        <w:object>
          <v:shape id="_x0000_i1032" o:spt="75" type="#_x0000_t75" style="height:19.2pt;width:103.2pt;" o:ole="t" filled="f" o:preferrelative="t" stroked="f" coordsize="21600,21600">
            <v:path/>
            <v:fill on="f" focussize="0,0"/>
            <v:stroke on="f" joinstyle="miter"/>
            <v:imagedata r:id="rId77" o:title=""/>
            <o:lock v:ext="edit" aspectratio="t"/>
            <w10:wrap type="none"/>
            <w10:anchorlock/>
          </v:shape>
          <o:OLEObject Type="Embed" ProgID="Equation.KSEE3" ShapeID="_x0000_i1032" DrawAspect="Content" ObjectID="_1468075732" r:id="rId76">
            <o:LockedField>false</o:LockedField>
          </o:OLEObject>
        </w:object>
      </w:r>
    </w:p>
    <w:p w14:paraId="3AF0B320">
      <w:pPr>
        <w:pStyle w:val="3"/>
        <w:ind w:firstLine="480"/>
        <w:rPr>
          <w:color w:val="auto"/>
          <w:highlight w:val="none"/>
        </w:rPr>
      </w:pPr>
      <w:r>
        <w:rPr>
          <w:color w:val="auto"/>
          <w:highlight w:val="none"/>
        </w:rPr>
        <w:t>式中：</w:t>
      </w:r>
    </w:p>
    <w:p w14:paraId="3F14A113">
      <w:pPr>
        <w:pStyle w:val="3"/>
        <w:ind w:firstLine="480"/>
        <w:rPr>
          <w:color w:val="auto"/>
          <w:highlight w:val="none"/>
        </w:rPr>
      </w:pPr>
      <w:r>
        <w:rPr>
          <w:color w:val="auto"/>
          <w:highlight w:val="none"/>
        </w:rPr>
        <w:t>Lp2——围护结构处点声源室内声级，dB。</w:t>
      </w:r>
    </w:p>
    <w:p w14:paraId="15743690">
      <w:pPr>
        <w:pStyle w:val="3"/>
        <w:ind w:firstLine="480"/>
        <w:rPr>
          <w:color w:val="auto"/>
          <w:highlight w:val="none"/>
        </w:rPr>
      </w:pPr>
      <w:r>
        <w:rPr>
          <w:color w:val="auto"/>
          <w:highlight w:val="none"/>
        </w:rPr>
        <w:t>Lp1——围护结构处点声源室外声级，dB。</w:t>
      </w:r>
    </w:p>
    <w:p w14:paraId="265DF1EE">
      <w:pPr>
        <w:pStyle w:val="3"/>
        <w:ind w:firstLine="480"/>
        <w:rPr>
          <w:color w:val="auto"/>
          <w:highlight w:val="none"/>
        </w:rPr>
      </w:pPr>
      <w:r>
        <w:rPr>
          <w:color w:val="auto"/>
          <w:highlight w:val="none"/>
        </w:rPr>
        <w:t>TL——门窗倍频带隔声量，dB。（5mm厚玻璃和门隔声量约为20-35dB，保守取20dB）；</w:t>
      </w:r>
    </w:p>
    <w:p w14:paraId="7D16F31A">
      <w:pPr>
        <w:pStyle w:val="3"/>
        <w:ind w:firstLine="480"/>
        <w:rPr>
          <w:color w:val="auto"/>
          <w:highlight w:val="none"/>
        </w:rPr>
      </w:pPr>
      <w:r>
        <w:rPr>
          <w:color w:val="auto"/>
          <w:highlight w:val="none"/>
        </w:rPr>
        <w:t>Lw——围护结构室外声源声压级和透过面积换算成的等效室外声源，dB。</w:t>
      </w:r>
    </w:p>
    <w:p w14:paraId="74791CC3">
      <w:pPr>
        <w:pStyle w:val="3"/>
        <w:ind w:firstLine="480"/>
        <w:rPr>
          <w:color w:val="auto"/>
          <w:highlight w:val="none"/>
        </w:rPr>
      </w:pPr>
      <w:r>
        <w:rPr>
          <w:color w:val="auto"/>
          <w:highlight w:val="none"/>
        </w:rPr>
        <w:t>S——透声面积，㎡。</w:t>
      </w:r>
    </w:p>
    <w:p w14:paraId="65514977">
      <w:pPr>
        <w:pStyle w:val="3"/>
        <w:ind w:firstLine="480"/>
        <w:rPr>
          <w:color w:val="auto"/>
          <w:highlight w:val="none"/>
        </w:rPr>
      </w:pPr>
      <w:r>
        <w:rPr>
          <w:color w:val="auto"/>
          <w:highlight w:val="none"/>
        </w:rPr>
        <w:t>（4）根据声源参考位置处的声压级、户外声传播衰减，计算预测点（厂界）的声级。</w:t>
      </w:r>
    </w:p>
    <w:p w14:paraId="7A7C5855">
      <w:pPr>
        <w:pStyle w:val="3"/>
        <w:ind w:firstLine="0" w:firstLineChars="0"/>
        <w:jc w:val="center"/>
        <w:rPr>
          <w:color w:val="auto"/>
          <w:highlight w:val="none"/>
        </w:rPr>
      </w:pPr>
      <w:r>
        <w:rPr>
          <w:color w:val="auto"/>
          <w:highlight w:val="none"/>
        </w:rPr>
        <w:t>Lp（r）＝Lp（r0）+DC-（Adiv+Aatm+Agr+Abar+Amisc）</w:t>
      </w:r>
    </w:p>
    <w:p w14:paraId="0F55A99F">
      <w:pPr>
        <w:pStyle w:val="3"/>
        <w:ind w:firstLine="480"/>
        <w:rPr>
          <w:color w:val="auto"/>
          <w:highlight w:val="none"/>
        </w:rPr>
      </w:pPr>
      <w:r>
        <w:rPr>
          <w:color w:val="auto"/>
          <w:highlight w:val="none"/>
        </w:rPr>
        <w:t>式中：Lp（r）——预测点处声压级，dB；</w:t>
      </w:r>
    </w:p>
    <w:p w14:paraId="6458EC3C">
      <w:pPr>
        <w:pStyle w:val="3"/>
        <w:ind w:firstLine="480"/>
        <w:rPr>
          <w:color w:val="auto"/>
          <w:highlight w:val="none"/>
        </w:rPr>
      </w:pPr>
      <w:r>
        <w:rPr>
          <w:color w:val="auto"/>
          <w:highlight w:val="none"/>
        </w:rPr>
        <w:t>Lp（r0）——参考位置r0处的声压级，dB；</w:t>
      </w:r>
    </w:p>
    <w:p w14:paraId="426BB1D5">
      <w:pPr>
        <w:pStyle w:val="3"/>
        <w:ind w:firstLine="480"/>
        <w:rPr>
          <w:color w:val="auto"/>
          <w:highlight w:val="none"/>
        </w:rPr>
      </w:pPr>
      <w:r>
        <w:rPr>
          <w:color w:val="auto"/>
          <w:highlight w:val="none"/>
        </w:rPr>
        <w:t>DC——指向性校正，它描述点声源的等效连续声压级与产生声功率级Lw的全向点声源在规定方向的声级的偏差程度，dB；</w:t>
      </w:r>
    </w:p>
    <w:p w14:paraId="389211C5">
      <w:pPr>
        <w:pStyle w:val="3"/>
        <w:ind w:firstLine="480"/>
        <w:rPr>
          <w:color w:val="auto"/>
          <w:highlight w:val="none"/>
        </w:rPr>
      </w:pPr>
      <w:r>
        <w:rPr>
          <w:color w:val="auto"/>
          <w:highlight w:val="none"/>
        </w:rPr>
        <w:t>Adiv——几何发散引起的衰减，dB；</w:t>
      </w:r>
    </w:p>
    <w:p w14:paraId="56C080CA">
      <w:pPr>
        <w:pStyle w:val="3"/>
        <w:ind w:firstLine="480"/>
        <w:rPr>
          <w:color w:val="auto"/>
          <w:highlight w:val="none"/>
        </w:rPr>
      </w:pPr>
      <w:r>
        <w:rPr>
          <w:color w:val="auto"/>
          <w:highlight w:val="none"/>
        </w:rPr>
        <w:t>Aatm——大气吸收引起的衰减，dB；</w:t>
      </w:r>
    </w:p>
    <w:p w14:paraId="3219B780">
      <w:pPr>
        <w:pStyle w:val="3"/>
        <w:ind w:firstLine="480"/>
        <w:rPr>
          <w:color w:val="auto"/>
          <w:highlight w:val="none"/>
        </w:rPr>
      </w:pPr>
      <w:r>
        <w:rPr>
          <w:color w:val="auto"/>
          <w:highlight w:val="none"/>
        </w:rPr>
        <w:t>Agr——地面效应引起的衰减，dB；</w:t>
      </w:r>
    </w:p>
    <w:p w14:paraId="1FA1757B">
      <w:pPr>
        <w:pStyle w:val="3"/>
        <w:ind w:firstLine="480"/>
        <w:rPr>
          <w:color w:val="auto"/>
          <w:highlight w:val="none"/>
        </w:rPr>
      </w:pPr>
      <w:r>
        <w:rPr>
          <w:color w:val="auto"/>
          <w:highlight w:val="none"/>
        </w:rPr>
        <w:t>Abar——障碍物屏蔽引起的衰减，dB；</w:t>
      </w:r>
    </w:p>
    <w:p w14:paraId="1024AA35">
      <w:pPr>
        <w:pStyle w:val="3"/>
        <w:ind w:firstLine="480"/>
        <w:rPr>
          <w:color w:val="auto"/>
          <w:highlight w:val="none"/>
        </w:rPr>
      </w:pPr>
      <w:r>
        <w:rPr>
          <w:color w:val="auto"/>
          <w:highlight w:val="none"/>
        </w:rPr>
        <w:t>Amisc——其他多方面效应引起的衰减，dB。</w:t>
      </w:r>
    </w:p>
    <w:p w14:paraId="69A26168">
      <w:pPr>
        <w:pStyle w:val="42"/>
        <w:rPr>
          <w:rFonts w:hint="default"/>
          <w:color w:val="auto"/>
          <w:highlight w:val="none"/>
        </w:rPr>
      </w:pPr>
      <w:r>
        <w:rPr>
          <w:rFonts w:hint="default"/>
          <w:color w:val="auto"/>
          <w:highlight w:val="none"/>
        </w:rPr>
        <w:t>环境影响预测</w:t>
      </w:r>
    </w:p>
    <w:p w14:paraId="157FCECA">
      <w:pPr>
        <w:pStyle w:val="3"/>
        <w:ind w:firstLine="480"/>
        <w:rPr>
          <w:color w:val="auto"/>
          <w:highlight w:val="none"/>
        </w:rPr>
      </w:pPr>
      <w:r>
        <w:rPr>
          <w:color w:val="auto"/>
          <w:highlight w:val="none"/>
        </w:rPr>
        <w:t>根据现场踏勘，本项目工业场地厂界外200m范围没有敏感性噪声保护目标，本环评仅预测厂界噪声。预测及评价结果见下表：</w:t>
      </w:r>
    </w:p>
    <w:p w14:paraId="632CE676">
      <w:pPr>
        <w:pStyle w:val="40"/>
        <w:rPr>
          <w:color w:val="auto"/>
          <w:highlight w:val="none"/>
        </w:rPr>
      </w:pPr>
      <w:r>
        <w:rPr>
          <w:color w:val="auto"/>
          <w:highlight w:val="none"/>
        </w:rPr>
        <w:t>表5.</w:t>
      </w:r>
      <w:r>
        <w:rPr>
          <w:rFonts w:hint="eastAsia"/>
          <w:color w:val="auto"/>
          <w:highlight w:val="none"/>
        </w:rPr>
        <w:t>4</w:t>
      </w:r>
      <w:r>
        <w:rPr>
          <w:color w:val="auto"/>
          <w:highlight w:val="none"/>
        </w:rPr>
        <w:t>-</w:t>
      </w:r>
      <w:r>
        <w:rPr>
          <w:rFonts w:hint="eastAsia"/>
          <w:color w:val="auto"/>
          <w:highlight w:val="none"/>
        </w:rPr>
        <w:t>2</w:t>
      </w:r>
      <w:r>
        <w:rPr>
          <w:color w:val="auto"/>
          <w:highlight w:val="none"/>
        </w:rPr>
        <w:t xml:space="preserve">   项目区厂界噪声预测结果一览表  单位dB（A）</w:t>
      </w:r>
    </w:p>
    <w:tbl>
      <w:tblPr>
        <w:tblStyle w:val="25"/>
        <w:tblW w:w="85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001"/>
        <w:gridCol w:w="838"/>
        <w:gridCol w:w="875"/>
        <w:gridCol w:w="1075"/>
        <w:gridCol w:w="1200"/>
        <w:gridCol w:w="1248"/>
        <w:gridCol w:w="1188"/>
      </w:tblGrid>
      <w:tr w14:paraId="56BCD0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1" w:type="dxa"/>
            <w:vMerge w:val="restart"/>
            <w:tcBorders>
              <w:tl2br w:val="nil"/>
              <w:tr2bl w:val="nil"/>
            </w:tcBorders>
            <w:vAlign w:val="center"/>
          </w:tcPr>
          <w:p w14:paraId="4C9216DB">
            <w:pPr>
              <w:pStyle w:val="41"/>
              <w:rPr>
                <w:color w:val="auto"/>
                <w:highlight w:val="none"/>
              </w:rPr>
            </w:pPr>
            <w:r>
              <w:rPr>
                <w:color w:val="auto"/>
                <w:highlight w:val="none"/>
              </w:rPr>
              <w:t>预测方位</w:t>
            </w:r>
          </w:p>
        </w:tc>
        <w:tc>
          <w:tcPr>
            <w:tcW w:w="2714" w:type="dxa"/>
            <w:gridSpan w:val="3"/>
            <w:tcBorders>
              <w:tl2br w:val="nil"/>
              <w:tr2bl w:val="nil"/>
            </w:tcBorders>
            <w:vAlign w:val="center"/>
          </w:tcPr>
          <w:p w14:paraId="1B83AF2B">
            <w:pPr>
              <w:pStyle w:val="41"/>
              <w:rPr>
                <w:color w:val="auto"/>
                <w:highlight w:val="none"/>
              </w:rPr>
            </w:pPr>
            <w:r>
              <w:rPr>
                <w:color w:val="auto"/>
                <w:highlight w:val="none"/>
              </w:rPr>
              <w:t>最大值点空间相对位置/m</w:t>
            </w:r>
          </w:p>
        </w:tc>
        <w:tc>
          <w:tcPr>
            <w:tcW w:w="1075" w:type="dxa"/>
            <w:vMerge w:val="restart"/>
            <w:tcBorders>
              <w:tl2br w:val="nil"/>
              <w:tr2bl w:val="nil"/>
            </w:tcBorders>
            <w:vAlign w:val="center"/>
          </w:tcPr>
          <w:p w14:paraId="25E3D5C5">
            <w:pPr>
              <w:pStyle w:val="41"/>
              <w:rPr>
                <w:color w:val="auto"/>
                <w:highlight w:val="none"/>
              </w:rPr>
            </w:pPr>
            <w:r>
              <w:rPr>
                <w:color w:val="auto"/>
                <w:highlight w:val="none"/>
              </w:rPr>
              <w:t>时段</w:t>
            </w:r>
          </w:p>
        </w:tc>
        <w:tc>
          <w:tcPr>
            <w:tcW w:w="1200" w:type="dxa"/>
            <w:vMerge w:val="restart"/>
            <w:tcBorders>
              <w:tl2br w:val="nil"/>
              <w:tr2bl w:val="nil"/>
            </w:tcBorders>
            <w:vAlign w:val="center"/>
          </w:tcPr>
          <w:p w14:paraId="308CB58B">
            <w:pPr>
              <w:pStyle w:val="41"/>
              <w:rPr>
                <w:color w:val="auto"/>
                <w:highlight w:val="none"/>
              </w:rPr>
            </w:pPr>
            <w:r>
              <w:rPr>
                <w:color w:val="auto"/>
                <w:highlight w:val="none"/>
              </w:rPr>
              <w:t>贡献值（dB（A））</w:t>
            </w:r>
          </w:p>
        </w:tc>
        <w:tc>
          <w:tcPr>
            <w:tcW w:w="1248" w:type="dxa"/>
            <w:vMerge w:val="restart"/>
            <w:tcBorders>
              <w:tl2br w:val="nil"/>
              <w:tr2bl w:val="nil"/>
            </w:tcBorders>
            <w:vAlign w:val="center"/>
          </w:tcPr>
          <w:p w14:paraId="211D5A35">
            <w:pPr>
              <w:pStyle w:val="41"/>
              <w:rPr>
                <w:color w:val="auto"/>
                <w:highlight w:val="none"/>
              </w:rPr>
            </w:pPr>
            <w:r>
              <w:rPr>
                <w:color w:val="auto"/>
                <w:highlight w:val="none"/>
              </w:rPr>
              <w:t>标准限值（dB（A））</w:t>
            </w:r>
          </w:p>
        </w:tc>
        <w:tc>
          <w:tcPr>
            <w:tcW w:w="1188" w:type="dxa"/>
            <w:vMerge w:val="restart"/>
            <w:tcBorders>
              <w:tl2br w:val="nil"/>
              <w:tr2bl w:val="nil"/>
            </w:tcBorders>
            <w:vAlign w:val="center"/>
          </w:tcPr>
          <w:p w14:paraId="7E1A6C61">
            <w:pPr>
              <w:pStyle w:val="41"/>
              <w:rPr>
                <w:color w:val="auto"/>
                <w:highlight w:val="none"/>
              </w:rPr>
            </w:pPr>
            <w:r>
              <w:rPr>
                <w:color w:val="auto"/>
                <w:highlight w:val="none"/>
              </w:rPr>
              <w:t>达标情况</w:t>
            </w:r>
          </w:p>
        </w:tc>
      </w:tr>
      <w:tr w14:paraId="77AD92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1" w:type="dxa"/>
            <w:vMerge w:val="continue"/>
            <w:tcBorders>
              <w:tl2br w:val="nil"/>
              <w:tr2bl w:val="nil"/>
            </w:tcBorders>
            <w:shd w:val="clear" w:color="auto" w:fill="FFFFFF"/>
            <w:vAlign w:val="center"/>
          </w:tcPr>
          <w:p w14:paraId="248D3F2D">
            <w:pPr>
              <w:pStyle w:val="41"/>
              <w:rPr>
                <w:color w:val="auto"/>
                <w:highlight w:val="none"/>
              </w:rPr>
            </w:pPr>
          </w:p>
        </w:tc>
        <w:tc>
          <w:tcPr>
            <w:tcW w:w="1001" w:type="dxa"/>
            <w:tcBorders>
              <w:tl2br w:val="nil"/>
              <w:tr2bl w:val="nil"/>
            </w:tcBorders>
            <w:shd w:val="clear" w:color="auto" w:fill="FFFFFF"/>
            <w:vAlign w:val="center"/>
          </w:tcPr>
          <w:p w14:paraId="59BD6FB9">
            <w:pPr>
              <w:pStyle w:val="41"/>
              <w:rPr>
                <w:color w:val="auto"/>
                <w:highlight w:val="none"/>
              </w:rPr>
            </w:pPr>
            <w:r>
              <w:rPr>
                <w:color w:val="auto"/>
                <w:highlight w:val="none"/>
              </w:rPr>
              <w:t>X</w:t>
            </w:r>
          </w:p>
        </w:tc>
        <w:tc>
          <w:tcPr>
            <w:tcW w:w="838" w:type="dxa"/>
            <w:tcBorders>
              <w:tl2br w:val="nil"/>
              <w:tr2bl w:val="nil"/>
            </w:tcBorders>
            <w:shd w:val="clear" w:color="auto" w:fill="FFFFFF"/>
            <w:vAlign w:val="center"/>
          </w:tcPr>
          <w:p w14:paraId="5373E5E5">
            <w:pPr>
              <w:pStyle w:val="41"/>
              <w:rPr>
                <w:color w:val="auto"/>
                <w:highlight w:val="none"/>
              </w:rPr>
            </w:pPr>
            <w:r>
              <w:rPr>
                <w:color w:val="auto"/>
                <w:highlight w:val="none"/>
              </w:rPr>
              <w:t>Y</w:t>
            </w:r>
          </w:p>
        </w:tc>
        <w:tc>
          <w:tcPr>
            <w:tcW w:w="875" w:type="dxa"/>
            <w:tcBorders>
              <w:tl2br w:val="nil"/>
              <w:tr2bl w:val="nil"/>
            </w:tcBorders>
            <w:shd w:val="clear" w:color="auto" w:fill="FFFFFF"/>
            <w:vAlign w:val="center"/>
          </w:tcPr>
          <w:p w14:paraId="20476C4B">
            <w:pPr>
              <w:pStyle w:val="41"/>
              <w:rPr>
                <w:color w:val="auto"/>
                <w:highlight w:val="none"/>
              </w:rPr>
            </w:pPr>
            <w:r>
              <w:rPr>
                <w:color w:val="auto"/>
                <w:highlight w:val="none"/>
              </w:rPr>
              <w:t>Z</w:t>
            </w:r>
          </w:p>
        </w:tc>
        <w:tc>
          <w:tcPr>
            <w:tcW w:w="1075" w:type="dxa"/>
            <w:vMerge w:val="continue"/>
            <w:tcBorders>
              <w:tl2br w:val="nil"/>
              <w:tr2bl w:val="nil"/>
            </w:tcBorders>
            <w:shd w:val="clear" w:color="auto" w:fill="FFFFFF"/>
            <w:vAlign w:val="center"/>
          </w:tcPr>
          <w:p w14:paraId="6F123483">
            <w:pPr>
              <w:pStyle w:val="41"/>
              <w:rPr>
                <w:color w:val="auto"/>
                <w:highlight w:val="none"/>
              </w:rPr>
            </w:pPr>
          </w:p>
        </w:tc>
        <w:tc>
          <w:tcPr>
            <w:tcW w:w="1200" w:type="dxa"/>
            <w:vMerge w:val="continue"/>
            <w:tcBorders>
              <w:tl2br w:val="nil"/>
              <w:tr2bl w:val="nil"/>
            </w:tcBorders>
            <w:shd w:val="clear" w:color="auto" w:fill="FFFFFF"/>
            <w:vAlign w:val="center"/>
          </w:tcPr>
          <w:p w14:paraId="2875796E">
            <w:pPr>
              <w:pStyle w:val="41"/>
              <w:rPr>
                <w:color w:val="auto"/>
                <w:highlight w:val="none"/>
              </w:rPr>
            </w:pPr>
          </w:p>
        </w:tc>
        <w:tc>
          <w:tcPr>
            <w:tcW w:w="1248" w:type="dxa"/>
            <w:vMerge w:val="continue"/>
            <w:tcBorders>
              <w:tl2br w:val="nil"/>
              <w:tr2bl w:val="nil"/>
            </w:tcBorders>
            <w:shd w:val="clear" w:color="auto" w:fill="FFFFFF"/>
            <w:vAlign w:val="center"/>
          </w:tcPr>
          <w:p w14:paraId="3DC043E8">
            <w:pPr>
              <w:pStyle w:val="41"/>
              <w:rPr>
                <w:color w:val="auto"/>
                <w:highlight w:val="none"/>
              </w:rPr>
            </w:pPr>
          </w:p>
        </w:tc>
        <w:tc>
          <w:tcPr>
            <w:tcW w:w="1188" w:type="dxa"/>
            <w:vMerge w:val="continue"/>
            <w:tcBorders>
              <w:tl2br w:val="nil"/>
              <w:tr2bl w:val="nil"/>
            </w:tcBorders>
            <w:shd w:val="clear" w:color="auto" w:fill="FFFFFF"/>
            <w:vAlign w:val="center"/>
          </w:tcPr>
          <w:p w14:paraId="13F9F80C">
            <w:pPr>
              <w:pStyle w:val="41"/>
              <w:rPr>
                <w:color w:val="auto"/>
                <w:highlight w:val="none"/>
              </w:rPr>
            </w:pPr>
          </w:p>
        </w:tc>
      </w:tr>
      <w:tr w14:paraId="157AB6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1101" w:type="dxa"/>
            <w:vMerge w:val="restart"/>
            <w:tcBorders>
              <w:tl2br w:val="nil"/>
              <w:tr2bl w:val="nil"/>
            </w:tcBorders>
            <w:shd w:val="clear" w:color="auto" w:fill="FFFFFF"/>
            <w:vAlign w:val="center"/>
          </w:tcPr>
          <w:p w14:paraId="58E906F3">
            <w:pPr>
              <w:pStyle w:val="41"/>
              <w:rPr>
                <w:color w:val="auto"/>
                <w:highlight w:val="none"/>
              </w:rPr>
            </w:pPr>
            <w:r>
              <w:rPr>
                <w:color w:val="auto"/>
                <w:highlight w:val="none"/>
              </w:rPr>
              <w:t>东侧</w:t>
            </w:r>
          </w:p>
        </w:tc>
        <w:tc>
          <w:tcPr>
            <w:tcW w:w="1001" w:type="dxa"/>
            <w:tcBorders>
              <w:tl2br w:val="nil"/>
              <w:tr2bl w:val="nil"/>
            </w:tcBorders>
            <w:shd w:val="clear" w:color="auto" w:fill="FFFFFF"/>
            <w:vAlign w:val="center"/>
          </w:tcPr>
          <w:p w14:paraId="7EBC751C">
            <w:pPr>
              <w:pStyle w:val="41"/>
              <w:rPr>
                <w:color w:val="auto"/>
                <w:highlight w:val="none"/>
              </w:rPr>
            </w:pPr>
            <w:r>
              <w:rPr>
                <w:color w:val="auto"/>
                <w:highlight w:val="none"/>
              </w:rPr>
              <w:t>595.3</w:t>
            </w:r>
          </w:p>
        </w:tc>
        <w:tc>
          <w:tcPr>
            <w:tcW w:w="838" w:type="dxa"/>
            <w:tcBorders>
              <w:tl2br w:val="nil"/>
              <w:tr2bl w:val="nil"/>
            </w:tcBorders>
            <w:shd w:val="clear" w:color="auto" w:fill="FFFFFF"/>
            <w:vAlign w:val="center"/>
          </w:tcPr>
          <w:p w14:paraId="1EE5B566">
            <w:pPr>
              <w:pStyle w:val="41"/>
              <w:rPr>
                <w:color w:val="auto"/>
                <w:highlight w:val="none"/>
              </w:rPr>
            </w:pPr>
            <w:r>
              <w:rPr>
                <w:color w:val="auto"/>
                <w:highlight w:val="none"/>
              </w:rPr>
              <w:t>371</w:t>
            </w:r>
          </w:p>
        </w:tc>
        <w:tc>
          <w:tcPr>
            <w:tcW w:w="875" w:type="dxa"/>
            <w:tcBorders>
              <w:tl2br w:val="nil"/>
              <w:tr2bl w:val="nil"/>
            </w:tcBorders>
            <w:shd w:val="clear" w:color="auto" w:fill="FFFFFF"/>
            <w:vAlign w:val="center"/>
          </w:tcPr>
          <w:p w14:paraId="6D6CD834">
            <w:pPr>
              <w:pStyle w:val="41"/>
              <w:rPr>
                <w:color w:val="auto"/>
                <w:highlight w:val="none"/>
              </w:rPr>
            </w:pPr>
            <w:r>
              <w:rPr>
                <w:color w:val="auto"/>
                <w:highlight w:val="none"/>
              </w:rPr>
              <w:t>1.2</w:t>
            </w:r>
          </w:p>
        </w:tc>
        <w:tc>
          <w:tcPr>
            <w:tcW w:w="1075" w:type="dxa"/>
            <w:tcBorders>
              <w:tl2br w:val="nil"/>
              <w:tr2bl w:val="nil"/>
            </w:tcBorders>
            <w:shd w:val="clear" w:color="auto" w:fill="FFFFFF"/>
            <w:vAlign w:val="center"/>
          </w:tcPr>
          <w:p w14:paraId="03AF2E0B">
            <w:pPr>
              <w:pStyle w:val="41"/>
              <w:rPr>
                <w:color w:val="auto"/>
                <w:highlight w:val="none"/>
              </w:rPr>
            </w:pPr>
            <w:r>
              <w:rPr>
                <w:color w:val="auto"/>
                <w:highlight w:val="none"/>
              </w:rPr>
              <w:t>昼间</w:t>
            </w:r>
          </w:p>
        </w:tc>
        <w:tc>
          <w:tcPr>
            <w:tcW w:w="1200" w:type="dxa"/>
            <w:tcBorders>
              <w:tl2br w:val="nil"/>
              <w:tr2bl w:val="nil"/>
            </w:tcBorders>
            <w:shd w:val="clear" w:color="auto" w:fill="FFFFFF"/>
            <w:vAlign w:val="center"/>
          </w:tcPr>
          <w:p w14:paraId="728605E1">
            <w:pPr>
              <w:pStyle w:val="41"/>
              <w:rPr>
                <w:color w:val="auto"/>
                <w:highlight w:val="none"/>
              </w:rPr>
            </w:pPr>
            <w:r>
              <w:rPr>
                <w:color w:val="auto"/>
                <w:highlight w:val="none"/>
              </w:rPr>
              <w:t>53.6</w:t>
            </w:r>
          </w:p>
        </w:tc>
        <w:tc>
          <w:tcPr>
            <w:tcW w:w="1248" w:type="dxa"/>
            <w:tcBorders>
              <w:tl2br w:val="nil"/>
              <w:tr2bl w:val="nil"/>
            </w:tcBorders>
            <w:shd w:val="clear" w:color="auto" w:fill="FFFFFF"/>
            <w:vAlign w:val="center"/>
          </w:tcPr>
          <w:p w14:paraId="1A9C772F">
            <w:pPr>
              <w:pStyle w:val="41"/>
              <w:rPr>
                <w:color w:val="auto"/>
                <w:highlight w:val="none"/>
              </w:rPr>
            </w:pPr>
            <w:r>
              <w:rPr>
                <w:color w:val="auto"/>
                <w:highlight w:val="none"/>
              </w:rPr>
              <w:t>60</w:t>
            </w:r>
          </w:p>
        </w:tc>
        <w:tc>
          <w:tcPr>
            <w:tcW w:w="1188" w:type="dxa"/>
            <w:tcBorders>
              <w:tl2br w:val="nil"/>
              <w:tr2bl w:val="nil"/>
            </w:tcBorders>
            <w:shd w:val="clear" w:color="auto" w:fill="FFFFFF"/>
            <w:vAlign w:val="center"/>
          </w:tcPr>
          <w:p w14:paraId="7F951605">
            <w:pPr>
              <w:pStyle w:val="41"/>
              <w:rPr>
                <w:color w:val="auto"/>
                <w:highlight w:val="none"/>
              </w:rPr>
            </w:pPr>
            <w:r>
              <w:rPr>
                <w:color w:val="auto"/>
                <w:highlight w:val="none"/>
              </w:rPr>
              <w:t>达标</w:t>
            </w:r>
          </w:p>
        </w:tc>
      </w:tr>
      <w:tr w14:paraId="4DD53A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1101" w:type="dxa"/>
            <w:vMerge w:val="continue"/>
            <w:tcBorders>
              <w:tl2br w:val="nil"/>
              <w:tr2bl w:val="nil"/>
            </w:tcBorders>
            <w:shd w:val="clear" w:color="auto" w:fill="FFFFFF"/>
            <w:vAlign w:val="center"/>
          </w:tcPr>
          <w:p w14:paraId="1FC1C42F">
            <w:pPr>
              <w:pStyle w:val="41"/>
              <w:rPr>
                <w:color w:val="auto"/>
                <w:highlight w:val="none"/>
              </w:rPr>
            </w:pPr>
            <w:r>
              <w:rPr>
                <w:color w:val="auto"/>
                <w:highlight w:val="none"/>
              </w:rPr>
              <w:t>东侧</w:t>
            </w:r>
          </w:p>
        </w:tc>
        <w:tc>
          <w:tcPr>
            <w:tcW w:w="1001" w:type="dxa"/>
            <w:tcBorders>
              <w:tl2br w:val="nil"/>
              <w:tr2bl w:val="nil"/>
            </w:tcBorders>
            <w:shd w:val="clear" w:color="auto" w:fill="FFFFFF"/>
            <w:vAlign w:val="center"/>
          </w:tcPr>
          <w:p w14:paraId="67901025">
            <w:pPr>
              <w:pStyle w:val="41"/>
              <w:rPr>
                <w:color w:val="auto"/>
                <w:highlight w:val="none"/>
              </w:rPr>
            </w:pPr>
            <w:r>
              <w:rPr>
                <w:color w:val="auto"/>
                <w:highlight w:val="none"/>
              </w:rPr>
              <w:t>598</w:t>
            </w:r>
          </w:p>
        </w:tc>
        <w:tc>
          <w:tcPr>
            <w:tcW w:w="838" w:type="dxa"/>
            <w:tcBorders>
              <w:tl2br w:val="nil"/>
              <w:tr2bl w:val="nil"/>
            </w:tcBorders>
            <w:shd w:val="clear" w:color="auto" w:fill="FFFFFF"/>
            <w:vAlign w:val="center"/>
          </w:tcPr>
          <w:p w14:paraId="1CC849D0">
            <w:pPr>
              <w:pStyle w:val="41"/>
              <w:rPr>
                <w:color w:val="auto"/>
                <w:highlight w:val="none"/>
              </w:rPr>
            </w:pPr>
            <w:r>
              <w:rPr>
                <w:color w:val="auto"/>
                <w:highlight w:val="none"/>
              </w:rPr>
              <w:t>356.2</w:t>
            </w:r>
          </w:p>
        </w:tc>
        <w:tc>
          <w:tcPr>
            <w:tcW w:w="875" w:type="dxa"/>
            <w:tcBorders>
              <w:tl2br w:val="nil"/>
              <w:tr2bl w:val="nil"/>
            </w:tcBorders>
            <w:shd w:val="clear" w:color="auto" w:fill="FFFFFF"/>
            <w:vAlign w:val="center"/>
          </w:tcPr>
          <w:p w14:paraId="4AC47964">
            <w:pPr>
              <w:pStyle w:val="41"/>
              <w:rPr>
                <w:color w:val="auto"/>
                <w:highlight w:val="none"/>
              </w:rPr>
            </w:pPr>
            <w:r>
              <w:rPr>
                <w:color w:val="auto"/>
                <w:highlight w:val="none"/>
              </w:rPr>
              <w:t>1.2</w:t>
            </w:r>
          </w:p>
        </w:tc>
        <w:tc>
          <w:tcPr>
            <w:tcW w:w="1075" w:type="dxa"/>
            <w:tcBorders>
              <w:tl2br w:val="nil"/>
              <w:tr2bl w:val="nil"/>
            </w:tcBorders>
            <w:shd w:val="clear" w:color="auto" w:fill="FFFFFF"/>
            <w:vAlign w:val="center"/>
          </w:tcPr>
          <w:p w14:paraId="6E71E072">
            <w:pPr>
              <w:pStyle w:val="41"/>
              <w:rPr>
                <w:color w:val="auto"/>
                <w:highlight w:val="none"/>
              </w:rPr>
            </w:pPr>
            <w:r>
              <w:rPr>
                <w:color w:val="auto"/>
                <w:highlight w:val="none"/>
              </w:rPr>
              <w:t>夜间</w:t>
            </w:r>
          </w:p>
        </w:tc>
        <w:tc>
          <w:tcPr>
            <w:tcW w:w="1200" w:type="dxa"/>
            <w:tcBorders>
              <w:tl2br w:val="nil"/>
              <w:tr2bl w:val="nil"/>
            </w:tcBorders>
            <w:shd w:val="clear" w:color="auto" w:fill="FFFFFF"/>
            <w:vAlign w:val="center"/>
          </w:tcPr>
          <w:p w14:paraId="21BC5D91">
            <w:pPr>
              <w:pStyle w:val="41"/>
              <w:rPr>
                <w:color w:val="auto"/>
                <w:highlight w:val="none"/>
              </w:rPr>
            </w:pPr>
            <w:r>
              <w:rPr>
                <w:color w:val="auto"/>
                <w:highlight w:val="none"/>
              </w:rPr>
              <w:t>48.6</w:t>
            </w:r>
          </w:p>
        </w:tc>
        <w:tc>
          <w:tcPr>
            <w:tcW w:w="1248" w:type="dxa"/>
            <w:tcBorders>
              <w:tl2br w:val="nil"/>
              <w:tr2bl w:val="nil"/>
            </w:tcBorders>
            <w:shd w:val="clear" w:color="auto" w:fill="FFFFFF"/>
            <w:vAlign w:val="center"/>
          </w:tcPr>
          <w:p w14:paraId="525E49BC">
            <w:pPr>
              <w:pStyle w:val="41"/>
              <w:rPr>
                <w:color w:val="auto"/>
                <w:highlight w:val="none"/>
              </w:rPr>
            </w:pPr>
            <w:r>
              <w:rPr>
                <w:color w:val="auto"/>
                <w:highlight w:val="none"/>
              </w:rPr>
              <w:t>50</w:t>
            </w:r>
          </w:p>
        </w:tc>
        <w:tc>
          <w:tcPr>
            <w:tcW w:w="1188" w:type="dxa"/>
            <w:tcBorders>
              <w:tl2br w:val="nil"/>
              <w:tr2bl w:val="nil"/>
            </w:tcBorders>
            <w:shd w:val="clear" w:color="auto" w:fill="FFFFFF"/>
            <w:vAlign w:val="center"/>
          </w:tcPr>
          <w:p w14:paraId="063F84C5">
            <w:pPr>
              <w:pStyle w:val="41"/>
              <w:rPr>
                <w:color w:val="auto"/>
                <w:highlight w:val="none"/>
              </w:rPr>
            </w:pPr>
            <w:r>
              <w:rPr>
                <w:color w:val="auto"/>
                <w:highlight w:val="none"/>
              </w:rPr>
              <w:t>达标</w:t>
            </w:r>
          </w:p>
        </w:tc>
      </w:tr>
      <w:tr w14:paraId="5B8107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1101" w:type="dxa"/>
            <w:vMerge w:val="restart"/>
            <w:tcBorders>
              <w:tl2br w:val="nil"/>
              <w:tr2bl w:val="nil"/>
            </w:tcBorders>
            <w:shd w:val="clear" w:color="auto" w:fill="FFFFFF"/>
            <w:vAlign w:val="center"/>
          </w:tcPr>
          <w:p w14:paraId="082D79A7">
            <w:pPr>
              <w:pStyle w:val="41"/>
              <w:rPr>
                <w:color w:val="auto"/>
                <w:highlight w:val="none"/>
              </w:rPr>
            </w:pPr>
            <w:r>
              <w:rPr>
                <w:color w:val="auto"/>
                <w:highlight w:val="none"/>
              </w:rPr>
              <w:t>南侧</w:t>
            </w:r>
          </w:p>
        </w:tc>
        <w:tc>
          <w:tcPr>
            <w:tcW w:w="1001" w:type="dxa"/>
            <w:tcBorders>
              <w:tl2br w:val="nil"/>
              <w:tr2bl w:val="nil"/>
            </w:tcBorders>
            <w:shd w:val="clear" w:color="auto" w:fill="FFFFFF"/>
            <w:vAlign w:val="center"/>
          </w:tcPr>
          <w:p w14:paraId="53A0AA0C">
            <w:pPr>
              <w:pStyle w:val="41"/>
              <w:rPr>
                <w:color w:val="auto"/>
                <w:highlight w:val="none"/>
              </w:rPr>
            </w:pPr>
            <w:r>
              <w:rPr>
                <w:color w:val="auto"/>
                <w:highlight w:val="none"/>
              </w:rPr>
              <w:t>6.5</w:t>
            </w:r>
          </w:p>
        </w:tc>
        <w:tc>
          <w:tcPr>
            <w:tcW w:w="838" w:type="dxa"/>
            <w:tcBorders>
              <w:tl2br w:val="nil"/>
              <w:tr2bl w:val="nil"/>
            </w:tcBorders>
            <w:shd w:val="clear" w:color="auto" w:fill="FFFFFF"/>
            <w:vAlign w:val="center"/>
          </w:tcPr>
          <w:p w14:paraId="55A878E8">
            <w:pPr>
              <w:pStyle w:val="41"/>
              <w:rPr>
                <w:color w:val="auto"/>
                <w:highlight w:val="none"/>
              </w:rPr>
            </w:pPr>
            <w:r>
              <w:rPr>
                <w:color w:val="auto"/>
                <w:highlight w:val="none"/>
              </w:rPr>
              <w:t>-20</w:t>
            </w:r>
          </w:p>
        </w:tc>
        <w:tc>
          <w:tcPr>
            <w:tcW w:w="875" w:type="dxa"/>
            <w:tcBorders>
              <w:tl2br w:val="nil"/>
              <w:tr2bl w:val="nil"/>
            </w:tcBorders>
            <w:shd w:val="clear" w:color="auto" w:fill="FFFFFF"/>
            <w:vAlign w:val="center"/>
          </w:tcPr>
          <w:p w14:paraId="3B33415C">
            <w:pPr>
              <w:pStyle w:val="41"/>
              <w:rPr>
                <w:color w:val="auto"/>
                <w:highlight w:val="none"/>
              </w:rPr>
            </w:pPr>
            <w:r>
              <w:rPr>
                <w:color w:val="auto"/>
                <w:highlight w:val="none"/>
              </w:rPr>
              <w:t>1.2</w:t>
            </w:r>
          </w:p>
        </w:tc>
        <w:tc>
          <w:tcPr>
            <w:tcW w:w="1075" w:type="dxa"/>
            <w:tcBorders>
              <w:tl2br w:val="nil"/>
              <w:tr2bl w:val="nil"/>
            </w:tcBorders>
            <w:shd w:val="clear" w:color="auto" w:fill="FFFFFF"/>
            <w:vAlign w:val="center"/>
          </w:tcPr>
          <w:p w14:paraId="385F4189">
            <w:pPr>
              <w:pStyle w:val="41"/>
              <w:rPr>
                <w:color w:val="auto"/>
                <w:highlight w:val="none"/>
              </w:rPr>
            </w:pPr>
            <w:r>
              <w:rPr>
                <w:color w:val="auto"/>
                <w:highlight w:val="none"/>
              </w:rPr>
              <w:t>昼间</w:t>
            </w:r>
          </w:p>
        </w:tc>
        <w:tc>
          <w:tcPr>
            <w:tcW w:w="1200" w:type="dxa"/>
            <w:tcBorders>
              <w:tl2br w:val="nil"/>
              <w:tr2bl w:val="nil"/>
            </w:tcBorders>
            <w:shd w:val="clear" w:color="auto" w:fill="FFFFFF"/>
            <w:vAlign w:val="center"/>
          </w:tcPr>
          <w:p w14:paraId="3961F9D0">
            <w:pPr>
              <w:pStyle w:val="41"/>
              <w:rPr>
                <w:color w:val="auto"/>
                <w:highlight w:val="none"/>
              </w:rPr>
            </w:pPr>
            <w:r>
              <w:rPr>
                <w:color w:val="auto"/>
                <w:highlight w:val="none"/>
              </w:rPr>
              <w:t>44.9</w:t>
            </w:r>
          </w:p>
        </w:tc>
        <w:tc>
          <w:tcPr>
            <w:tcW w:w="1248" w:type="dxa"/>
            <w:tcBorders>
              <w:tl2br w:val="nil"/>
              <w:tr2bl w:val="nil"/>
            </w:tcBorders>
            <w:shd w:val="clear" w:color="auto" w:fill="FFFFFF"/>
            <w:vAlign w:val="center"/>
          </w:tcPr>
          <w:p w14:paraId="7EB9809E">
            <w:pPr>
              <w:pStyle w:val="41"/>
              <w:rPr>
                <w:color w:val="auto"/>
                <w:highlight w:val="none"/>
              </w:rPr>
            </w:pPr>
            <w:r>
              <w:rPr>
                <w:color w:val="auto"/>
                <w:highlight w:val="none"/>
              </w:rPr>
              <w:t>60</w:t>
            </w:r>
          </w:p>
        </w:tc>
        <w:tc>
          <w:tcPr>
            <w:tcW w:w="1188" w:type="dxa"/>
            <w:tcBorders>
              <w:tl2br w:val="nil"/>
              <w:tr2bl w:val="nil"/>
            </w:tcBorders>
            <w:shd w:val="clear" w:color="auto" w:fill="FFFFFF"/>
            <w:vAlign w:val="center"/>
          </w:tcPr>
          <w:p w14:paraId="2D88285B">
            <w:pPr>
              <w:pStyle w:val="41"/>
              <w:rPr>
                <w:color w:val="auto"/>
                <w:highlight w:val="none"/>
              </w:rPr>
            </w:pPr>
            <w:r>
              <w:rPr>
                <w:color w:val="auto"/>
                <w:highlight w:val="none"/>
              </w:rPr>
              <w:t>达标</w:t>
            </w:r>
          </w:p>
        </w:tc>
      </w:tr>
      <w:tr w14:paraId="6B88B9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1101" w:type="dxa"/>
            <w:vMerge w:val="continue"/>
            <w:tcBorders>
              <w:tl2br w:val="nil"/>
              <w:tr2bl w:val="nil"/>
            </w:tcBorders>
            <w:shd w:val="clear" w:color="auto" w:fill="FFFFFF"/>
            <w:vAlign w:val="center"/>
          </w:tcPr>
          <w:p w14:paraId="0012F851">
            <w:pPr>
              <w:pStyle w:val="41"/>
              <w:rPr>
                <w:color w:val="auto"/>
                <w:highlight w:val="none"/>
              </w:rPr>
            </w:pPr>
            <w:r>
              <w:rPr>
                <w:color w:val="auto"/>
                <w:highlight w:val="none"/>
              </w:rPr>
              <w:t>南侧</w:t>
            </w:r>
          </w:p>
        </w:tc>
        <w:tc>
          <w:tcPr>
            <w:tcW w:w="1001" w:type="dxa"/>
            <w:tcBorders>
              <w:tl2br w:val="nil"/>
              <w:tr2bl w:val="nil"/>
            </w:tcBorders>
            <w:shd w:val="clear" w:color="auto" w:fill="FFFFFF"/>
            <w:vAlign w:val="center"/>
          </w:tcPr>
          <w:p w14:paraId="72CCEB4D">
            <w:pPr>
              <w:pStyle w:val="41"/>
              <w:rPr>
                <w:color w:val="auto"/>
                <w:highlight w:val="none"/>
              </w:rPr>
            </w:pPr>
            <w:r>
              <w:rPr>
                <w:color w:val="auto"/>
                <w:highlight w:val="none"/>
              </w:rPr>
              <w:t>6.5</w:t>
            </w:r>
          </w:p>
        </w:tc>
        <w:tc>
          <w:tcPr>
            <w:tcW w:w="838" w:type="dxa"/>
            <w:tcBorders>
              <w:tl2br w:val="nil"/>
              <w:tr2bl w:val="nil"/>
            </w:tcBorders>
            <w:shd w:val="clear" w:color="auto" w:fill="FFFFFF"/>
            <w:vAlign w:val="center"/>
          </w:tcPr>
          <w:p w14:paraId="3A6BEBCD">
            <w:pPr>
              <w:pStyle w:val="41"/>
              <w:rPr>
                <w:color w:val="auto"/>
                <w:highlight w:val="none"/>
              </w:rPr>
            </w:pPr>
            <w:r>
              <w:rPr>
                <w:color w:val="auto"/>
                <w:highlight w:val="none"/>
              </w:rPr>
              <w:t>-20</w:t>
            </w:r>
          </w:p>
        </w:tc>
        <w:tc>
          <w:tcPr>
            <w:tcW w:w="875" w:type="dxa"/>
            <w:tcBorders>
              <w:tl2br w:val="nil"/>
              <w:tr2bl w:val="nil"/>
            </w:tcBorders>
            <w:shd w:val="clear" w:color="auto" w:fill="FFFFFF"/>
            <w:vAlign w:val="center"/>
          </w:tcPr>
          <w:p w14:paraId="5941DE47">
            <w:pPr>
              <w:pStyle w:val="41"/>
              <w:rPr>
                <w:color w:val="auto"/>
                <w:highlight w:val="none"/>
              </w:rPr>
            </w:pPr>
            <w:r>
              <w:rPr>
                <w:color w:val="auto"/>
                <w:highlight w:val="none"/>
              </w:rPr>
              <w:t>1.2</w:t>
            </w:r>
          </w:p>
        </w:tc>
        <w:tc>
          <w:tcPr>
            <w:tcW w:w="1075" w:type="dxa"/>
            <w:tcBorders>
              <w:tl2br w:val="nil"/>
              <w:tr2bl w:val="nil"/>
            </w:tcBorders>
            <w:shd w:val="clear" w:color="auto" w:fill="FFFFFF"/>
            <w:vAlign w:val="center"/>
          </w:tcPr>
          <w:p w14:paraId="4EF93C95">
            <w:pPr>
              <w:pStyle w:val="41"/>
              <w:rPr>
                <w:color w:val="auto"/>
                <w:highlight w:val="none"/>
              </w:rPr>
            </w:pPr>
            <w:r>
              <w:rPr>
                <w:color w:val="auto"/>
                <w:highlight w:val="none"/>
              </w:rPr>
              <w:t>夜间</w:t>
            </w:r>
          </w:p>
        </w:tc>
        <w:tc>
          <w:tcPr>
            <w:tcW w:w="1200" w:type="dxa"/>
            <w:tcBorders>
              <w:tl2br w:val="nil"/>
              <w:tr2bl w:val="nil"/>
            </w:tcBorders>
            <w:shd w:val="clear" w:color="auto" w:fill="FFFFFF"/>
            <w:vAlign w:val="center"/>
          </w:tcPr>
          <w:p w14:paraId="4A960475">
            <w:pPr>
              <w:pStyle w:val="41"/>
              <w:rPr>
                <w:color w:val="auto"/>
                <w:highlight w:val="none"/>
              </w:rPr>
            </w:pPr>
            <w:r>
              <w:rPr>
                <w:color w:val="auto"/>
                <w:highlight w:val="none"/>
              </w:rPr>
              <w:t>44.3</w:t>
            </w:r>
          </w:p>
        </w:tc>
        <w:tc>
          <w:tcPr>
            <w:tcW w:w="1248" w:type="dxa"/>
            <w:tcBorders>
              <w:tl2br w:val="nil"/>
              <w:tr2bl w:val="nil"/>
            </w:tcBorders>
            <w:shd w:val="clear" w:color="auto" w:fill="FFFFFF"/>
            <w:vAlign w:val="center"/>
          </w:tcPr>
          <w:p w14:paraId="7835DEA8">
            <w:pPr>
              <w:pStyle w:val="41"/>
              <w:rPr>
                <w:color w:val="auto"/>
                <w:highlight w:val="none"/>
              </w:rPr>
            </w:pPr>
            <w:r>
              <w:rPr>
                <w:color w:val="auto"/>
                <w:highlight w:val="none"/>
              </w:rPr>
              <w:t>50</w:t>
            </w:r>
          </w:p>
        </w:tc>
        <w:tc>
          <w:tcPr>
            <w:tcW w:w="1188" w:type="dxa"/>
            <w:tcBorders>
              <w:tl2br w:val="nil"/>
              <w:tr2bl w:val="nil"/>
            </w:tcBorders>
            <w:shd w:val="clear" w:color="auto" w:fill="FFFFFF"/>
            <w:vAlign w:val="center"/>
          </w:tcPr>
          <w:p w14:paraId="45ABD149">
            <w:pPr>
              <w:pStyle w:val="41"/>
              <w:rPr>
                <w:color w:val="auto"/>
                <w:highlight w:val="none"/>
              </w:rPr>
            </w:pPr>
            <w:r>
              <w:rPr>
                <w:color w:val="auto"/>
                <w:highlight w:val="none"/>
              </w:rPr>
              <w:t>达标</w:t>
            </w:r>
          </w:p>
        </w:tc>
      </w:tr>
      <w:tr w14:paraId="455EA7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1101" w:type="dxa"/>
            <w:vMerge w:val="restart"/>
            <w:tcBorders>
              <w:tl2br w:val="nil"/>
              <w:tr2bl w:val="nil"/>
            </w:tcBorders>
            <w:shd w:val="clear" w:color="auto" w:fill="FFFFFF"/>
            <w:vAlign w:val="center"/>
          </w:tcPr>
          <w:p w14:paraId="7750D1B2">
            <w:pPr>
              <w:pStyle w:val="41"/>
              <w:rPr>
                <w:color w:val="auto"/>
                <w:highlight w:val="none"/>
              </w:rPr>
            </w:pPr>
            <w:r>
              <w:rPr>
                <w:color w:val="auto"/>
                <w:highlight w:val="none"/>
              </w:rPr>
              <w:t>西侧</w:t>
            </w:r>
          </w:p>
        </w:tc>
        <w:tc>
          <w:tcPr>
            <w:tcW w:w="1001" w:type="dxa"/>
            <w:tcBorders>
              <w:tl2br w:val="nil"/>
              <w:tr2bl w:val="nil"/>
            </w:tcBorders>
            <w:shd w:val="clear" w:color="auto" w:fill="FFFFFF"/>
            <w:vAlign w:val="center"/>
          </w:tcPr>
          <w:p w14:paraId="72898063">
            <w:pPr>
              <w:pStyle w:val="41"/>
              <w:rPr>
                <w:color w:val="auto"/>
                <w:highlight w:val="none"/>
              </w:rPr>
            </w:pPr>
            <w:r>
              <w:rPr>
                <w:color w:val="auto"/>
                <w:highlight w:val="none"/>
              </w:rPr>
              <w:t>92.7</w:t>
            </w:r>
          </w:p>
        </w:tc>
        <w:tc>
          <w:tcPr>
            <w:tcW w:w="838" w:type="dxa"/>
            <w:tcBorders>
              <w:tl2br w:val="nil"/>
              <w:tr2bl w:val="nil"/>
            </w:tcBorders>
            <w:shd w:val="clear" w:color="auto" w:fill="FFFFFF"/>
            <w:vAlign w:val="center"/>
          </w:tcPr>
          <w:p w14:paraId="200F575E">
            <w:pPr>
              <w:pStyle w:val="41"/>
              <w:rPr>
                <w:color w:val="auto"/>
                <w:highlight w:val="none"/>
              </w:rPr>
            </w:pPr>
            <w:r>
              <w:rPr>
                <w:color w:val="auto"/>
                <w:highlight w:val="none"/>
              </w:rPr>
              <w:t>108.4</w:t>
            </w:r>
          </w:p>
        </w:tc>
        <w:tc>
          <w:tcPr>
            <w:tcW w:w="875" w:type="dxa"/>
            <w:tcBorders>
              <w:tl2br w:val="nil"/>
              <w:tr2bl w:val="nil"/>
            </w:tcBorders>
            <w:shd w:val="clear" w:color="auto" w:fill="FFFFFF"/>
            <w:vAlign w:val="center"/>
          </w:tcPr>
          <w:p w14:paraId="07977F4D">
            <w:pPr>
              <w:pStyle w:val="41"/>
              <w:rPr>
                <w:color w:val="auto"/>
                <w:highlight w:val="none"/>
              </w:rPr>
            </w:pPr>
            <w:r>
              <w:rPr>
                <w:color w:val="auto"/>
                <w:highlight w:val="none"/>
              </w:rPr>
              <w:t>1.2</w:t>
            </w:r>
          </w:p>
        </w:tc>
        <w:tc>
          <w:tcPr>
            <w:tcW w:w="1075" w:type="dxa"/>
            <w:tcBorders>
              <w:tl2br w:val="nil"/>
              <w:tr2bl w:val="nil"/>
            </w:tcBorders>
            <w:shd w:val="clear" w:color="auto" w:fill="FFFFFF"/>
            <w:vAlign w:val="center"/>
          </w:tcPr>
          <w:p w14:paraId="59FB71C1">
            <w:pPr>
              <w:pStyle w:val="41"/>
              <w:rPr>
                <w:color w:val="auto"/>
                <w:highlight w:val="none"/>
              </w:rPr>
            </w:pPr>
            <w:r>
              <w:rPr>
                <w:color w:val="auto"/>
                <w:highlight w:val="none"/>
              </w:rPr>
              <w:t>昼间</w:t>
            </w:r>
          </w:p>
        </w:tc>
        <w:tc>
          <w:tcPr>
            <w:tcW w:w="1200" w:type="dxa"/>
            <w:tcBorders>
              <w:tl2br w:val="nil"/>
              <w:tr2bl w:val="nil"/>
            </w:tcBorders>
            <w:shd w:val="clear" w:color="auto" w:fill="FFFFFF"/>
            <w:vAlign w:val="center"/>
          </w:tcPr>
          <w:p w14:paraId="1E47EF94">
            <w:pPr>
              <w:pStyle w:val="41"/>
              <w:rPr>
                <w:color w:val="auto"/>
                <w:highlight w:val="none"/>
              </w:rPr>
            </w:pPr>
            <w:r>
              <w:rPr>
                <w:color w:val="auto"/>
                <w:highlight w:val="none"/>
              </w:rPr>
              <w:t>51.4</w:t>
            </w:r>
          </w:p>
        </w:tc>
        <w:tc>
          <w:tcPr>
            <w:tcW w:w="1248" w:type="dxa"/>
            <w:tcBorders>
              <w:tl2br w:val="nil"/>
              <w:tr2bl w:val="nil"/>
            </w:tcBorders>
            <w:shd w:val="clear" w:color="auto" w:fill="FFFFFF"/>
            <w:vAlign w:val="center"/>
          </w:tcPr>
          <w:p w14:paraId="48BEBAE9">
            <w:pPr>
              <w:pStyle w:val="41"/>
              <w:rPr>
                <w:color w:val="auto"/>
                <w:highlight w:val="none"/>
              </w:rPr>
            </w:pPr>
            <w:r>
              <w:rPr>
                <w:color w:val="auto"/>
                <w:highlight w:val="none"/>
              </w:rPr>
              <w:t>60</w:t>
            </w:r>
          </w:p>
        </w:tc>
        <w:tc>
          <w:tcPr>
            <w:tcW w:w="1188" w:type="dxa"/>
            <w:tcBorders>
              <w:tl2br w:val="nil"/>
              <w:tr2bl w:val="nil"/>
            </w:tcBorders>
            <w:shd w:val="clear" w:color="auto" w:fill="FFFFFF"/>
            <w:vAlign w:val="center"/>
          </w:tcPr>
          <w:p w14:paraId="581554AF">
            <w:pPr>
              <w:pStyle w:val="41"/>
              <w:rPr>
                <w:color w:val="auto"/>
                <w:highlight w:val="none"/>
              </w:rPr>
            </w:pPr>
            <w:r>
              <w:rPr>
                <w:color w:val="auto"/>
                <w:highlight w:val="none"/>
              </w:rPr>
              <w:t>达标</w:t>
            </w:r>
          </w:p>
        </w:tc>
      </w:tr>
      <w:tr w14:paraId="022D65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1101" w:type="dxa"/>
            <w:vMerge w:val="continue"/>
            <w:tcBorders>
              <w:tl2br w:val="nil"/>
              <w:tr2bl w:val="nil"/>
            </w:tcBorders>
            <w:shd w:val="clear" w:color="auto" w:fill="FFFFFF"/>
            <w:vAlign w:val="center"/>
          </w:tcPr>
          <w:p w14:paraId="5B5912DB">
            <w:pPr>
              <w:pStyle w:val="41"/>
              <w:rPr>
                <w:color w:val="auto"/>
                <w:highlight w:val="none"/>
              </w:rPr>
            </w:pPr>
            <w:r>
              <w:rPr>
                <w:color w:val="auto"/>
                <w:highlight w:val="none"/>
              </w:rPr>
              <w:t>西侧</w:t>
            </w:r>
          </w:p>
        </w:tc>
        <w:tc>
          <w:tcPr>
            <w:tcW w:w="1001" w:type="dxa"/>
            <w:tcBorders>
              <w:tl2br w:val="nil"/>
              <w:tr2bl w:val="nil"/>
            </w:tcBorders>
            <w:shd w:val="clear" w:color="auto" w:fill="FFFFFF"/>
            <w:vAlign w:val="center"/>
          </w:tcPr>
          <w:p w14:paraId="03354729">
            <w:pPr>
              <w:pStyle w:val="41"/>
              <w:rPr>
                <w:color w:val="auto"/>
                <w:highlight w:val="none"/>
              </w:rPr>
            </w:pPr>
            <w:r>
              <w:rPr>
                <w:color w:val="auto"/>
                <w:highlight w:val="none"/>
              </w:rPr>
              <w:t>92.7</w:t>
            </w:r>
          </w:p>
        </w:tc>
        <w:tc>
          <w:tcPr>
            <w:tcW w:w="838" w:type="dxa"/>
            <w:tcBorders>
              <w:tl2br w:val="nil"/>
              <w:tr2bl w:val="nil"/>
            </w:tcBorders>
            <w:shd w:val="clear" w:color="auto" w:fill="FFFFFF"/>
            <w:vAlign w:val="center"/>
          </w:tcPr>
          <w:p w14:paraId="2DF79D14">
            <w:pPr>
              <w:pStyle w:val="41"/>
              <w:rPr>
                <w:color w:val="auto"/>
                <w:highlight w:val="none"/>
              </w:rPr>
            </w:pPr>
            <w:r>
              <w:rPr>
                <w:color w:val="auto"/>
                <w:highlight w:val="none"/>
              </w:rPr>
              <w:t>108.4</w:t>
            </w:r>
          </w:p>
        </w:tc>
        <w:tc>
          <w:tcPr>
            <w:tcW w:w="875" w:type="dxa"/>
            <w:tcBorders>
              <w:tl2br w:val="nil"/>
              <w:tr2bl w:val="nil"/>
            </w:tcBorders>
            <w:shd w:val="clear" w:color="auto" w:fill="FFFFFF"/>
            <w:vAlign w:val="center"/>
          </w:tcPr>
          <w:p w14:paraId="0F51D00D">
            <w:pPr>
              <w:pStyle w:val="41"/>
              <w:rPr>
                <w:color w:val="auto"/>
                <w:highlight w:val="none"/>
              </w:rPr>
            </w:pPr>
            <w:r>
              <w:rPr>
                <w:color w:val="auto"/>
                <w:highlight w:val="none"/>
              </w:rPr>
              <w:t>1.2</w:t>
            </w:r>
          </w:p>
        </w:tc>
        <w:tc>
          <w:tcPr>
            <w:tcW w:w="1075" w:type="dxa"/>
            <w:tcBorders>
              <w:tl2br w:val="nil"/>
              <w:tr2bl w:val="nil"/>
            </w:tcBorders>
            <w:shd w:val="clear" w:color="auto" w:fill="FFFFFF"/>
            <w:vAlign w:val="center"/>
          </w:tcPr>
          <w:p w14:paraId="50A74DA6">
            <w:pPr>
              <w:pStyle w:val="41"/>
              <w:rPr>
                <w:color w:val="auto"/>
                <w:highlight w:val="none"/>
              </w:rPr>
            </w:pPr>
            <w:r>
              <w:rPr>
                <w:color w:val="auto"/>
                <w:highlight w:val="none"/>
              </w:rPr>
              <w:t>夜间</w:t>
            </w:r>
          </w:p>
        </w:tc>
        <w:tc>
          <w:tcPr>
            <w:tcW w:w="1200" w:type="dxa"/>
            <w:tcBorders>
              <w:tl2br w:val="nil"/>
              <w:tr2bl w:val="nil"/>
            </w:tcBorders>
            <w:shd w:val="clear" w:color="auto" w:fill="FFFFFF"/>
            <w:vAlign w:val="center"/>
          </w:tcPr>
          <w:p w14:paraId="3D5ACBB8">
            <w:pPr>
              <w:pStyle w:val="41"/>
              <w:rPr>
                <w:color w:val="auto"/>
                <w:highlight w:val="none"/>
              </w:rPr>
            </w:pPr>
            <w:r>
              <w:rPr>
                <w:color w:val="auto"/>
                <w:highlight w:val="none"/>
              </w:rPr>
              <w:t>41.6</w:t>
            </w:r>
          </w:p>
        </w:tc>
        <w:tc>
          <w:tcPr>
            <w:tcW w:w="1248" w:type="dxa"/>
            <w:tcBorders>
              <w:tl2br w:val="nil"/>
              <w:tr2bl w:val="nil"/>
            </w:tcBorders>
            <w:shd w:val="clear" w:color="auto" w:fill="FFFFFF"/>
            <w:vAlign w:val="center"/>
          </w:tcPr>
          <w:p w14:paraId="5F4639B1">
            <w:pPr>
              <w:pStyle w:val="41"/>
              <w:rPr>
                <w:color w:val="auto"/>
                <w:highlight w:val="none"/>
              </w:rPr>
            </w:pPr>
            <w:r>
              <w:rPr>
                <w:color w:val="auto"/>
                <w:highlight w:val="none"/>
              </w:rPr>
              <w:t>50</w:t>
            </w:r>
          </w:p>
        </w:tc>
        <w:tc>
          <w:tcPr>
            <w:tcW w:w="1188" w:type="dxa"/>
            <w:tcBorders>
              <w:tl2br w:val="nil"/>
              <w:tr2bl w:val="nil"/>
            </w:tcBorders>
            <w:shd w:val="clear" w:color="auto" w:fill="FFFFFF"/>
            <w:vAlign w:val="center"/>
          </w:tcPr>
          <w:p w14:paraId="24203210">
            <w:pPr>
              <w:pStyle w:val="41"/>
              <w:rPr>
                <w:color w:val="auto"/>
                <w:highlight w:val="none"/>
              </w:rPr>
            </w:pPr>
            <w:r>
              <w:rPr>
                <w:color w:val="auto"/>
                <w:highlight w:val="none"/>
              </w:rPr>
              <w:t>达标</w:t>
            </w:r>
          </w:p>
        </w:tc>
      </w:tr>
      <w:tr w14:paraId="208BC6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1101" w:type="dxa"/>
            <w:vMerge w:val="restart"/>
            <w:tcBorders>
              <w:tl2br w:val="nil"/>
              <w:tr2bl w:val="nil"/>
            </w:tcBorders>
            <w:shd w:val="clear" w:color="auto" w:fill="FFFFFF"/>
            <w:vAlign w:val="center"/>
          </w:tcPr>
          <w:p w14:paraId="22A863F0">
            <w:pPr>
              <w:pStyle w:val="41"/>
              <w:rPr>
                <w:color w:val="auto"/>
                <w:highlight w:val="none"/>
              </w:rPr>
            </w:pPr>
            <w:r>
              <w:rPr>
                <w:color w:val="auto"/>
                <w:highlight w:val="none"/>
              </w:rPr>
              <w:t>北侧</w:t>
            </w:r>
          </w:p>
        </w:tc>
        <w:tc>
          <w:tcPr>
            <w:tcW w:w="1001" w:type="dxa"/>
            <w:tcBorders>
              <w:tl2br w:val="nil"/>
              <w:tr2bl w:val="nil"/>
            </w:tcBorders>
            <w:shd w:val="clear" w:color="auto" w:fill="FFFFFF"/>
            <w:vAlign w:val="center"/>
          </w:tcPr>
          <w:p w14:paraId="310EB393">
            <w:pPr>
              <w:pStyle w:val="41"/>
              <w:rPr>
                <w:color w:val="auto"/>
                <w:highlight w:val="none"/>
              </w:rPr>
            </w:pPr>
            <w:r>
              <w:rPr>
                <w:color w:val="auto"/>
                <w:highlight w:val="none"/>
              </w:rPr>
              <w:t>388.7</w:t>
            </w:r>
          </w:p>
        </w:tc>
        <w:tc>
          <w:tcPr>
            <w:tcW w:w="838" w:type="dxa"/>
            <w:tcBorders>
              <w:tl2br w:val="nil"/>
              <w:tr2bl w:val="nil"/>
            </w:tcBorders>
            <w:shd w:val="clear" w:color="auto" w:fill="FFFFFF"/>
            <w:vAlign w:val="center"/>
          </w:tcPr>
          <w:p w14:paraId="1C0BE087">
            <w:pPr>
              <w:pStyle w:val="41"/>
              <w:rPr>
                <w:color w:val="auto"/>
                <w:highlight w:val="none"/>
              </w:rPr>
            </w:pPr>
            <w:r>
              <w:rPr>
                <w:color w:val="auto"/>
                <w:highlight w:val="none"/>
              </w:rPr>
              <w:t>67.5</w:t>
            </w:r>
          </w:p>
        </w:tc>
        <w:tc>
          <w:tcPr>
            <w:tcW w:w="875" w:type="dxa"/>
            <w:tcBorders>
              <w:tl2br w:val="nil"/>
              <w:tr2bl w:val="nil"/>
            </w:tcBorders>
            <w:shd w:val="clear" w:color="auto" w:fill="FFFFFF"/>
            <w:vAlign w:val="center"/>
          </w:tcPr>
          <w:p w14:paraId="0EB15185">
            <w:pPr>
              <w:pStyle w:val="41"/>
              <w:rPr>
                <w:color w:val="auto"/>
                <w:highlight w:val="none"/>
              </w:rPr>
            </w:pPr>
            <w:r>
              <w:rPr>
                <w:color w:val="auto"/>
                <w:highlight w:val="none"/>
              </w:rPr>
              <w:t>1.2</w:t>
            </w:r>
          </w:p>
        </w:tc>
        <w:tc>
          <w:tcPr>
            <w:tcW w:w="1075" w:type="dxa"/>
            <w:tcBorders>
              <w:tl2br w:val="nil"/>
              <w:tr2bl w:val="nil"/>
            </w:tcBorders>
            <w:shd w:val="clear" w:color="auto" w:fill="FFFFFF"/>
            <w:vAlign w:val="center"/>
          </w:tcPr>
          <w:p w14:paraId="439110D1">
            <w:pPr>
              <w:pStyle w:val="41"/>
              <w:rPr>
                <w:color w:val="auto"/>
                <w:highlight w:val="none"/>
              </w:rPr>
            </w:pPr>
            <w:r>
              <w:rPr>
                <w:color w:val="auto"/>
                <w:highlight w:val="none"/>
              </w:rPr>
              <w:t>昼间</w:t>
            </w:r>
          </w:p>
        </w:tc>
        <w:tc>
          <w:tcPr>
            <w:tcW w:w="1200" w:type="dxa"/>
            <w:tcBorders>
              <w:tl2br w:val="nil"/>
              <w:tr2bl w:val="nil"/>
            </w:tcBorders>
            <w:shd w:val="clear" w:color="auto" w:fill="FFFFFF"/>
            <w:vAlign w:val="center"/>
          </w:tcPr>
          <w:p w14:paraId="2F3EEFED">
            <w:pPr>
              <w:pStyle w:val="41"/>
              <w:rPr>
                <w:color w:val="auto"/>
                <w:highlight w:val="none"/>
              </w:rPr>
            </w:pPr>
            <w:r>
              <w:rPr>
                <w:color w:val="auto"/>
                <w:highlight w:val="none"/>
              </w:rPr>
              <w:t>29.9</w:t>
            </w:r>
          </w:p>
        </w:tc>
        <w:tc>
          <w:tcPr>
            <w:tcW w:w="1248" w:type="dxa"/>
            <w:tcBorders>
              <w:tl2br w:val="nil"/>
              <w:tr2bl w:val="nil"/>
            </w:tcBorders>
            <w:shd w:val="clear" w:color="auto" w:fill="FFFFFF"/>
            <w:vAlign w:val="center"/>
          </w:tcPr>
          <w:p w14:paraId="1C873450">
            <w:pPr>
              <w:pStyle w:val="41"/>
              <w:rPr>
                <w:color w:val="auto"/>
                <w:highlight w:val="none"/>
              </w:rPr>
            </w:pPr>
            <w:r>
              <w:rPr>
                <w:color w:val="auto"/>
                <w:highlight w:val="none"/>
              </w:rPr>
              <w:t>60</w:t>
            </w:r>
          </w:p>
        </w:tc>
        <w:tc>
          <w:tcPr>
            <w:tcW w:w="1188" w:type="dxa"/>
            <w:tcBorders>
              <w:tl2br w:val="nil"/>
              <w:tr2bl w:val="nil"/>
            </w:tcBorders>
            <w:shd w:val="clear" w:color="auto" w:fill="FFFFFF"/>
            <w:vAlign w:val="center"/>
          </w:tcPr>
          <w:p w14:paraId="09EE930B">
            <w:pPr>
              <w:pStyle w:val="41"/>
              <w:rPr>
                <w:color w:val="auto"/>
                <w:highlight w:val="none"/>
              </w:rPr>
            </w:pPr>
            <w:r>
              <w:rPr>
                <w:color w:val="auto"/>
                <w:highlight w:val="none"/>
              </w:rPr>
              <w:t>达标</w:t>
            </w:r>
          </w:p>
        </w:tc>
      </w:tr>
      <w:tr w14:paraId="3F1E68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1101" w:type="dxa"/>
            <w:vMerge w:val="continue"/>
            <w:tcBorders>
              <w:tl2br w:val="nil"/>
              <w:tr2bl w:val="nil"/>
            </w:tcBorders>
            <w:shd w:val="clear" w:color="auto" w:fill="FFFFFF"/>
            <w:vAlign w:val="center"/>
          </w:tcPr>
          <w:p w14:paraId="2D46C96A">
            <w:pPr>
              <w:pStyle w:val="41"/>
              <w:rPr>
                <w:color w:val="auto"/>
                <w:highlight w:val="none"/>
              </w:rPr>
            </w:pPr>
            <w:r>
              <w:rPr>
                <w:color w:val="auto"/>
                <w:highlight w:val="none"/>
              </w:rPr>
              <w:t>北侧</w:t>
            </w:r>
          </w:p>
        </w:tc>
        <w:tc>
          <w:tcPr>
            <w:tcW w:w="1001" w:type="dxa"/>
            <w:tcBorders>
              <w:tl2br w:val="nil"/>
              <w:tr2bl w:val="nil"/>
            </w:tcBorders>
            <w:shd w:val="clear" w:color="auto" w:fill="FFFFFF"/>
            <w:vAlign w:val="center"/>
          </w:tcPr>
          <w:p w14:paraId="0FA9AE3E">
            <w:pPr>
              <w:pStyle w:val="41"/>
              <w:rPr>
                <w:color w:val="auto"/>
                <w:highlight w:val="none"/>
              </w:rPr>
            </w:pPr>
            <w:r>
              <w:rPr>
                <w:color w:val="auto"/>
                <w:highlight w:val="none"/>
              </w:rPr>
              <w:t>388.7</w:t>
            </w:r>
          </w:p>
        </w:tc>
        <w:tc>
          <w:tcPr>
            <w:tcW w:w="838" w:type="dxa"/>
            <w:tcBorders>
              <w:tl2br w:val="nil"/>
              <w:tr2bl w:val="nil"/>
            </w:tcBorders>
            <w:shd w:val="clear" w:color="auto" w:fill="FFFFFF"/>
            <w:vAlign w:val="center"/>
          </w:tcPr>
          <w:p w14:paraId="7B8E45FB">
            <w:pPr>
              <w:pStyle w:val="41"/>
              <w:rPr>
                <w:color w:val="auto"/>
                <w:highlight w:val="none"/>
              </w:rPr>
            </w:pPr>
            <w:r>
              <w:rPr>
                <w:color w:val="auto"/>
                <w:highlight w:val="none"/>
              </w:rPr>
              <w:t>67.5</w:t>
            </w:r>
          </w:p>
        </w:tc>
        <w:tc>
          <w:tcPr>
            <w:tcW w:w="875" w:type="dxa"/>
            <w:tcBorders>
              <w:tl2br w:val="nil"/>
              <w:tr2bl w:val="nil"/>
            </w:tcBorders>
            <w:shd w:val="clear" w:color="auto" w:fill="FFFFFF"/>
            <w:vAlign w:val="center"/>
          </w:tcPr>
          <w:p w14:paraId="1C1F96A3">
            <w:pPr>
              <w:pStyle w:val="41"/>
              <w:rPr>
                <w:color w:val="auto"/>
                <w:highlight w:val="none"/>
              </w:rPr>
            </w:pPr>
            <w:r>
              <w:rPr>
                <w:color w:val="auto"/>
                <w:highlight w:val="none"/>
              </w:rPr>
              <w:t>1.2</w:t>
            </w:r>
          </w:p>
        </w:tc>
        <w:tc>
          <w:tcPr>
            <w:tcW w:w="1075" w:type="dxa"/>
            <w:tcBorders>
              <w:tl2br w:val="nil"/>
              <w:tr2bl w:val="nil"/>
            </w:tcBorders>
            <w:shd w:val="clear" w:color="auto" w:fill="FFFFFF"/>
            <w:vAlign w:val="center"/>
          </w:tcPr>
          <w:p w14:paraId="02E2A6C9">
            <w:pPr>
              <w:pStyle w:val="41"/>
              <w:rPr>
                <w:color w:val="auto"/>
                <w:highlight w:val="none"/>
              </w:rPr>
            </w:pPr>
            <w:r>
              <w:rPr>
                <w:color w:val="auto"/>
                <w:highlight w:val="none"/>
              </w:rPr>
              <w:t>夜间</w:t>
            </w:r>
          </w:p>
        </w:tc>
        <w:tc>
          <w:tcPr>
            <w:tcW w:w="1200" w:type="dxa"/>
            <w:tcBorders>
              <w:tl2br w:val="nil"/>
              <w:tr2bl w:val="nil"/>
            </w:tcBorders>
            <w:shd w:val="clear" w:color="auto" w:fill="FFFFFF"/>
            <w:vAlign w:val="center"/>
          </w:tcPr>
          <w:p w14:paraId="4C253001">
            <w:pPr>
              <w:pStyle w:val="41"/>
              <w:rPr>
                <w:color w:val="auto"/>
                <w:highlight w:val="none"/>
              </w:rPr>
            </w:pPr>
            <w:r>
              <w:rPr>
                <w:color w:val="auto"/>
                <w:highlight w:val="none"/>
              </w:rPr>
              <w:t>29.9</w:t>
            </w:r>
          </w:p>
        </w:tc>
        <w:tc>
          <w:tcPr>
            <w:tcW w:w="1248" w:type="dxa"/>
            <w:tcBorders>
              <w:tl2br w:val="nil"/>
              <w:tr2bl w:val="nil"/>
            </w:tcBorders>
            <w:shd w:val="clear" w:color="auto" w:fill="FFFFFF"/>
            <w:vAlign w:val="center"/>
          </w:tcPr>
          <w:p w14:paraId="49AF7F0A">
            <w:pPr>
              <w:pStyle w:val="41"/>
              <w:rPr>
                <w:color w:val="auto"/>
                <w:highlight w:val="none"/>
              </w:rPr>
            </w:pPr>
            <w:r>
              <w:rPr>
                <w:color w:val="auto"/>
                <w:highlight w:val="none"/>
              </w:rPr>
              <w:t>50</w:t>
            </w:r>
          </w:p>
        </w:tc>
        <w:tc>
          <w:tcPr>
            <w:tcW w:w="1188" w:type="dxa"/>
            <w:tcBorders>
              <w:tl2br w:val="nil"/>
              <w:tr2bl w:val="nil"/>
            </w:tcBorders>
            <w:shd w:val="clear" w:color="auto" w:fill="FFFFFF"/>
            <w:vAlign w:val="center"/>
          </w:tcPr>
          <w:p w14:paraId="6CA989F5">
            <w:pPr>
              <w:pStyle w:val="41"/>
              <w:rPr>
                <w:color w:val="auto"/>
                <w:highlight w:val="none"/>
              </w:rPr>
            </w:pPr>
            <w:r>
              <w:rPr>
                <w:color w:val="auto"/>
                <w:highlight w:val="none"/>
              </w:rPr>
              <w:t>达标</w:t>
            </w:r>
          </w:p>
        </w:tc>
      </w:tr>
    </w:tbl>
    <w:p w14:paraId="0C96115A">
      <w:pPr>
        <w:pStyle w:val="3"/>
        <w:ind w:firstLine="480"/>
        <w:rPr>
          <w:color w:val="auto"/>
          <w:highlight w:val="none"/>
        </w:rPr>
      </w:pPr>
      <w:r>
        <w:rPr>
          <w:color w:val="auto"/>
          <w:highlight w:val="none"/>
        </w:rPr>
        <w:t>由上表可知，本项目运营期昼间、夜间最大噪声均出现在东侧厂界，分别为53.6dB（A）和48.6dB（A）。项目区厂界噪声满足《工业企业厂界环境噪声排放标准》（GB12348-2008）2类标准。声环境评价范围内无噪声敏感目标，项目噪声可满足达标排放，对周围环境影响较小。</w:t>
      </w:r>
    </w:p>
    <w:p w14:paraId="74245633">
      <w:pPr>
        <w:pStyle w:val="40"/>
        <w:rPr>
          <w:color w:val="auto"/>
          <w:highlight w:val="none"/>
        </w:rPr>
      </w:pPr>
      <w:r>
        <w:rPr>
          <w:color w:val="auto"/>
          <w:highlight w:val="none"/>
        </w:rPr>
        <w:t>表5.</w:t>
      </w:r>
      <w:r>
        <w:rPr>
          <w:rFonts w:hint="eastAsia"/>
          <w:color w:val="auto"/>
          <w:highlight w:val="none"/>
        </w:rPr>
        <w:t>4</w:t>
      </w:r>
      <w:r>
        <w:rPr>
          <w:color w:val="auto"/>
          <w:highlight w:val="none"/>
        </w:rPr>
        <w:t>-</w:t>
      </w:r>
      <w:r>
        <w:rPr>
          <w:rFonts w:hint="eastAsia"/>
          <w:color w:val="auto"/>
          <w:highlight w:val="none"/>
        </w:rPr>
        <w:t>3</w:t>
      </w:r>
      <w:r>
        <w:rPr>
          <w:color w:val="auto"/>
          <w:highlight w:val="none"/>
        </w:rPr>
        <w:t xml:space="preserve">   声环境影响评价自查表</w:t>
      </w:r>
    </w:p>
    <w:tbl>
      <w:tblPr>
        <w:tblStyle w:val="25"/>
        <w:tblW w:w="85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1490"/>
        <w:gridCol w:w="960"/>
        <w:gridCol w:w="570"/>
        <w:gridCol w:w="360"/>
        <w:gridCol w:w="300"/>
        <w:gridCol w:w="660"/>
        <w:gridCol w:w="908"/>
        <w:gridCol w:w="537"/>
        <w:gridCol w:w="485"/>
        <w:gridCol w:w="1133"/>
      </w:tblGrid>
      <w:tr w14:paraId="2C3B2A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23" w:type="dxa"/>
            <w:tcBorders>
              <w:tl2br w:val="nil"/>
              <w:tr2bl w:val="nil"/>
            </w:tcBorders>
            <w:vAlign w:val="center"/>
          </w:tcPr>
          <w:p w14:paraId="310BDEAF">
            <w:pPr>
              <w:pStyle w:val="41"/>
              <w:rPr>
                <w:color w:val="auto"/>
                <w:highlight w:val="none"/>
              </w:rPr>
            </w:pPr>
            <w:r>
              <w:rPr>
                <w:color w:val="auto"/>
                <w:highlight w:val="none"/>
              </w:rPr>
              <w:t>工作内容</w:t>
            </w:r>
          </w:p>
        </w:tc>
        <w:tc>
          <w:tcPr>
            <w:tcW w:w="7403" w:type="dxa"/>
            <w:gridSpan w:val="10"/>
            <w:tcBorders>
              <w:tl2br w:val="nil"/>
              <w:tr2bl w:val="nil"/>
            </w:tcBorders>
            <w:vAlign w:val="center"/>
          </w:tcPr>
          <w:p w14:paraId="2F6AB8AA">
            <w:pPr>
              <w:pStyle w:val="41"/>
              <w:rPr>
                <w:color w:val="auto"/>
                <w:highlight w:val="none"/>
              </w:rPr>
            </w:pPr>
            <w:r>
              <w:rPr>
                <w:color w:val="auto"/>
                <w:highlight w:val="none"/>
              </w:rPr>
              <w:t>自查项目</w:t>
            </w:r>
          </w:p>
        </w:tc>
      </w:tr>
      <w:tr w14:paraId="3F6696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jc w:val="center"/>
        </w:trPr>
        <w:tc>
          <w:tcPr>
            <w:tcW w:w="1123" w:type="dxa"/>
            <w:vMerge w:val="restart"/>
            <w:tcBorders>
              <w:tl2br w:val="nil"/>
              <w:tr2bl w:val="nil"/>
            </w:tcBorders>
            <w:shd w:val="clear" w:color="auto" w:fill="FFFFFF"/>
            <w:vAlign w:val="center"/>
          </w:tcPr>
          <w:p w14:paraId="74D94031">
            <w:pPr>
              <w:pStyle w:val="41"/>
              <w:rPr>
                <w:color w:val="auto"/>
                <w:highlight w:val="none"/>
              </w:rPr>
            </w:pPr>
            <w:r>
              <w:rPr>
                <w:color w:val="auto"/>
                <w:highlight w:val="none"/>
              </w:rPr>
              <w:t>评价等级与范围</w:t>
            </w:r>
          </w:p>
        </w:tc>
        <w:tc>
          <w:tcPr>
            <w:tcW w:w="1490" w:type="dxa"/>
            <w:tcBorders>
              <w:tl2br w:val="nil"/>
              <w:tr2bl w:val="nil"/>
            </w:tcBorders>
            <w:shd w:val="clear" w:color="auto" w:fill="FFFFFF"/>
            <w:vAlign w:val="center"/>
          </w:tcPr>
          <w:p w14:paraId="4D8088A4">
            <w:pPr>
              <w:pStyle w:val="41"/>
              <w:rPr>
                <w:color w:val="auto"/>
                <w:highlight w:val="none"/>
              </w:rPr>
            </w:pPr>
            <w:r>
              <w:rPr>
                <w:color w:val="auto"/>
                <w:highlight w:val="none"/>
              </w:rPr>
              <w:t>评价等级</w:t>
            </w:r>
          </w:p>
        </w:tc>
        <w:tc>
          <w:tcPr>
            <w:tcW w:w="5913" w:type="dxa"/>
            <w:gridSpan w:val="9"/>
            <w:tcBorders>
              <w:tl2br w:val="nil"/>
              <w:tr2bl w:val="nil"/>
            </w:tcBorders>
            <w:shd w:val="clear" w:color="auto" w:fill="FFFFFF"/>
            <w:vAlign w:val="center"/>
          </w:tcPr>
          <w:p w14:paraId="5706EAB2">
            <w:pPr>
              <w:pStyle w:val="41"/>
              <w:rPr>
                <w:color w:val="auto"/>
                <w:highlight w:val="none"/>
              </w:rPr>
            </w:pPr>
            <w:r>
              <w:rPr>
                <w:color w:val="auto"/>
                <w:highlight w:val="none"/>
              </w:rPr>
              <w:t>一级□           二级☑          三级□</w:t>
            </w:r>
          </w:p>
        </w:tc>
      </w:tr>
      <w:tr w14:paraId="7E9656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jc w:val="center"/>
        </w:trPr>
        <w:tc>
          <w:tcPr>
            <w:tcW w:w="1123" w:type="dxa"/>
            <w:vMerge w:val="continue"/>
            <w:tcBorders>
              <w:tl2br w:val="nil"/>
              <w:tr2bl w:val="nil"/>
            </w:tcBorders>
            <w:shd w:val="clear" w:color="auto" w:fill="FFFFFF"/>
            <w:vAlign w:val="center"/>
          </w:tcPr>
          <w:p w14:paraId="5DB495D5">
            <w:pPr>
              <w:pStyle w:val="41"/>
              <w:rPr>
                <w:color w:val="auto"/>
                <w:highlight w:val="none"/>
              </w:rPr>
            </w:pPr>
          </w:p>
        </w:tc>
        <w:tc>
          <w:tcPr>
            <w:tcW w:w="1490" w:type="dxa"/>
            <w:tcBorders>
              <w:tl2br w:val="nil"/>
              <w:tr2bl w:val="nil"/>
            </w:tcBorders>
            <w:shd w:val="clear" w:color="auto" w:fill="FFFFFF"/>
            <w:vAlign w:val="center"/>
          </w:tcPr>
          <w:p w14:paraId="73E4F846">
            <w:pPr>
              <w:pStyle w:val="41"/>
              <w:rPr>
                <w:color w:val="auto"/>
                <w:highlight w:val="none"/>
              </w:rPr>
            </w:pPr>
            <w:r>
              <w:rPr>
                <w:color w:val="auto"/>
                <w:highlight w:val="none"/>
              </w:rPr>
              <w:t>评价范围</w:t>
            </w:r>
          </w:p>
        </w:tc>
        <w:tc>
          <w:tcPr>
            <w:tcW w:w="5913" w:type="dxa"/>
            <w:gridSpan w:val="9"/>
            <w:tcBorders>
              <w:tl2br w:val="nil"/>
              <w:tr2bl w:val="nil"/>
            </w:tcBorders>
            <w:shd w:val="clear" w:color="auto" w:fill="FFFFFF"/>
            <w:vAlign w:val="center"/>
          </w:tcPr>
          <w:p w14:paraId="321584D9">
            <w:pPr>
              <w:pStyle w:val="41"/>
              <w:rPr>
                <w:color w:val="auto"/>
                <w:highlight w:val="none"/>
              </w:rPr>
            </w:pPr>
            <w:r>
              <w:rPr>
                <w:color w:val="auto"/>
                <w:highlight w:val="none"/>
              </w:rPr>
              <w:t>200m☑        大于200m□         小于200m□</w:t>
            </w:r>
          </w:p>
        </w:tc>
      </w:tr>
      <w:tr w14:paraId="750994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jc w:val="center"/>
        </w:trPr>
        <w:tc>
          <w:tcPr>
            <w:tcW w:w="1123" w:type="dxa"/>
            <w:tcBorders>
              <w:tl2br w:val="nil"/>
              <w:tr2bl w:val="nil"/>
            </w:tcBorders>
            <w:shd w:val="clear" w:color="auto" w:fill="FFFFFF"/>
            <w:vAlign w:val="center"/>
          </w:tcPr>
          <w:p w14:paraId="6883DB6E">
            <w:pPr>
              <w:pStyle w:val="41"/>
              <w:rPr>
                <w:color w:val="auto"/>
                <w:highlight w:val="none"/>
              </w:rPr>
            </w:pPr>
            <w:r>
              <w:rPr>
                <w:color w:val="auto"/>
                <w:highlight w:val="none"/>
              </w:rPr>
              <w:t>评价因子</w:t>
            </w:r>
          </w:p>
        </w:tc>
        <w:tc>
          <w:tcPr>
            <w:tcW w:w="1490" w:type="dxa"/>
            <w:tcBorders>
              <w:tl2br w:val="nil"/>
              <w:tr2bl w:val="nil"/>
            </w:tcBorders>
            <w:shd w:val="clear" w:color="auto" w:fill="FFFFFF"/>
            <w:vAlign w:val="center"/>
          </w:tcPr>
          <w:p w14:paraId="2585F463">
            <w:pPr>
              <w:pStyle w:val="41"/>
              <w:rPr>
                <w:color w:val="auto"/>
                <w:highlight w:val="none"/>
              </w:rPr>
            </w:pPr>
            <w:r>
              <w:rPr>
                <w:color w:val="auto"/>
                <w:highlight w:val="none"/>
              </w:rPr>
              <w:t>评价因子</w:t>
            </w:r>
          </w:p>
        </w:tc>
        <w:tc>
          <w:tcPr>
            <w:tcW w:w="5913" w:type="dxa"/>
            <w:gridSpan w:val="9"/>
            <w:tcBorders>
              <w:tl2br w:val="nil"/>
              <w:tr2bl w:val="nil"/>
            </w:tcBorders>
            <w:shd w:val="clear" w:color="auto" w:fill="FFFFFF"/>
            <w:vAlign w:val="center"/>
          </w:tcPr>
          <w:p w14:paraId="1EFD433F">
            <w:pPr>
              <w:pStyle w:val="41"/>
              <w:rPr>
                <w:color w:val="auto"/>
                <w:highlight w:val="none"/>
              </w:rPr>
            </w:pPr>
            <w:r>
              <w:rPr>
                <w:color w:val="auto"/>
                <w:highlight w:val="none"/>
              </w:rPr>
              <w:t>等效连续A声级☑ 最大A声级□ 计权等效连续感觉噪声级□</w:t>
            </w:r>
          </w:p>
        </w:tc>
      </w:tr>
      <w:tr w14:paraId="5B2A10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jc w:val="center"/>
        </w:trPr>
        <w:tc>
          <w:tcPr>
            <w:tcW w:w="1123" w:type="dxa"/>
            <w:tcBorders>
              <w:tl2br w:val="nil"/>
              <w:tr2bl w:val="nil"/>
            </w:tcBorders>
            <w:shd w:val="clear" w:color="auto" w:fill="FFFFFF"/>
            <w:vAlign w:val="center"/>
          </w:tcPr>
          <w:p w14:paraId="0B8305C8">
            <w:pPr>
              <w:pStyle w:val="41"/>
              <w:rPr>
                <w:color w:val="auto"/>
                <w:highlight w:val="none"/>
              </w:rPr>
            </w:pPr>
            <w:r>
              <w:rPr>
                <w:color w:val="auto"/>
                <w:highlight w:val="none"/>
              </w:rPr>
              <w:t>评价标准</w:t>
            </w:r>
          </w:p>
        </w:tc>
        <w:tc>
          <w:tcPr>
            <w:tcW w:w="1490" w:type="dxa"/>
            <w:tcBorders>
              <w:tl2br w:val="nil"/>
              <w:tr2bl w:val="nil"/>
            </w:tcBorders>
            <w:shd w:val="clear" w:color="auto" w:fill="FFFFFF"/>
            <w:vAlign w:val="center"/>
          </w:tcPr>
          <w:p w14:paraId="3C8191D0">
            <w:pPr>
              <w:pStyle w:val="41"/>
              <w:rPr>
                <w:color w:val="auto"/>
                <w:highlight w:val="none"/>
              </w:rPr>
            </w:pPr>
            <w:r>
              <w:rPr>
                <w:color w:val="auto"/>
                <w:highlight w:val="none"/>
              </w:rPr>
              <w:t>评价标准</w:t>
            </w:r>
          </w:p>
        </w:tc>
        <w:tc>
          <w:tcPr>
            <w:tcW w:w="5913" w:type="dxa"/>
            <w:gridSpan w:val="9"/>
            <w:tcBorders>
              <w:tl2br w:val="nil"/>
              <w:tr2bl w:val="nil"/>
            </w:tcBorders>
            <w:shd w:val="clear" w:color="auto" w:fill="FFFFFF"/>
            <w:vAlign w:val="center"/>
          </w:tcPr>
          <w:p w14:paraId="51C3AF54">
            <w:pPr>
              <w:pStyle w:val="41"/>
              <w:rPr>
                <w:color w:val="auto"/>
                <w:highlight w:val="none"/>
              </w:rPr>
            </w:pPr>
            <w:r>
              <w:rPr>
                <w:color w:val="auto"/>
                <w:highlight w:val="none"/>
              </w:rPr>
              <w:t>国家标准☑     地方标准□      国外标准□</w:t>
            </w:r>
          </w:p>
        </w:tc>
      </w:tr>
      <w:tr w14:paraId="6A42BA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jc w:val="center"/>
        </w:trPr>
        <w:tc>
          <w:tcPr>
            <w:tcW w:w="1123" w:type="dxa"/>
            <w:vMerge w:val="restart"/>
            <w:tcBorders>
              <w:tl2br w:val="nil"/>
              <w:tr2bl w:val="nil"/>
            </w:tcBorders>
            <w:shd w:val="clear" w:color="auto" w:fill="FFFFFF"/>
            <w:vAlign w:val="center"/>
          </w:tcPr>
          <w:p w14:paraId="77C3B53A">
            <w:pPr>
              <w:pStyle w:val="41"/>
              <w:rPr>
                <w:color w:val="auto"/>
                <w:highlight w:val="none"/>
              </w:rPr>
            </w:pPr>
            <w:r>
              <w:rPr>
                <w:color w:val="auto"/>
                <w:highlight w:val="none"/>
              </w:rPr>
              <w:t>现状评价</w:t>
            </w:r>
          </w:p>
        </w:tc>
        <w:tc>
          <w:tcPr>
            <w:tcW w:w="1490" w:type="dxa"/>
            <w:tcBorders>
              <w:tl2br w:val="nil"/>
              <w:tr2bl w:val="nil"/>
            </w:tcBorders>
            <w:shd w:val="clear" w:color="auto" w:fill="FFFFFF"/>
            <w:vAlign w:val="center"/>
          </w:tcPr>
          <w:p w14:paraId="2A0C574D">
            <w:pPr>
              <w:pStyle w:val="41"/>
              <w:rPr>
                <w:color w:val="auto"/>
                <w:highlight w:val="none"/>
              </w:rPr>
            </w:pPr>
            <w:r>
              <w:rPr>
                <w:color w:val="auto"/>
                <w:highlight w:val="none"/>
              </w:rPr>
              <w:t>环境功能区</w:t>
            </w:r>
          </w:p>
        </w:tc>
        <w:tc>
          <w:tcPr>
            <w:tcW w:w="960" w:type="dxa"/>
            <w:tcBorders>
              <w:tl2br w:val="nil"/>
              <w:tr2bl w:val="nil"/>
            </w:tcBorders>
            <w:shd w:val="clear" w:color="auto" w:fill="FFFFFF"/>
            <w:vAlign w:val="center"/>
          </w:tcPr>
          <w:p w14:paraId="367DE7BC">
            <w:pPr>
              <w:pStyle w:val="41"/>
              <w:rPr>
                <w:color w:val="auto"/>
                <w:highlight w:val="none"/>
              </w:rPr>
            </w:pPr>
            <w:r>
              <w:rPr>
                <w:color w:val="auto"/>
                <w:highlight w:val="none"/>
              </w:rPr>
              <w:t>0类区□</w:t>
            </w:r>
          </w:p>
        </w:tc>
        <w:tc>
          <w:tcPr>
            <w:tcW w:w="930" w:type="dxa"/>
            <w:gridSpan w:val="2"/>
            <w:tcBorders>
              <w:tl2br w:val="nil"/>
              <w:tr2bl w:val="nil"/>
            </w:tcBorders>
            <w:shd w:val="clear" w:color="auto" w:fill="FFFFFF"/>
            <w:vAlign w:val="center"/>
          </w:tcPr>
          <w:p w14:paraId="172FEB12">
            <w:pPr>
              <w:pStyle w:val="41"/>
              <w:rPr>
                <w:color w:val="auto"/>
                <w:highlight w:val="none"/>
              </w:rPr>
            </w:pPr>
            <w:r>
              <w:rPr>
                <w:color w:val="auto"/>
                <w:highlight w:val="none"/>
              </w:rPr>
              <w:t>1类区□</w:t>
            </w:r>
          </w:p>
        </w:tc>
        <w:tc>
          <w:tcPr>
            <w:tcW w:w="960" w:type="dxa"/>
            <w:gridSpan w:val="2"/>
            <w:tcBorders>
              <w:tl2br w:val="nil"/>
              <w:tr2bl w:val="nil"/>
            </w:tcBorders>
            <w:shd w:val="clear" w:color="auto" w:fill="FFFFFF"/>
            <w:vAlign w:val="center"/>
          </w:tcPr>
          <w:p w14:paraId="2459C7DD">
            <w:pPr>
              <w:pStyle w:val="41"/>
              <w:rPr>
                <w:color w:val="auto"/>
                <w:highlight w:val="none"/>
              </w:rPr>
            </w:pPr>
            <w:r>
              <w:rPr>
                <w:color w:val="auto"/>
                <w:highlight w:val="none"/>
              </w:rPr>
              <w:t>2类区☑</w:t>
            </w:r>
          </w:p>
        </w:tc>
        <w:tc>
          <w:tcPr>
            <w:tcW w:w="908" w:type="dxa"/>
            <w:tcBorders>
              <w:tl2br w:val="nil"/>
              <w:tr2bl w:val="nil"/>
            </w:tcBorders>
            <w:shd w:val="clear" w:color="auto" w:fill="FFFFFF"/>
            <w:vAlign w:val="center"/>
          </w:tcPr>
          <w:p w14:paraId="23553736">
            <w:pPr>
              <w:pStyle w:val="41"/>
              <w:rPr>
                <w:color w:val="auto"/>
                <w:highlight w:val="none"/>
              </w:rPr>
            </w:pPr>
            <w:r>
              <w:rPr>
                <w:color w:val="auto"/>
                <w:highlight w:val="none"/>
              </w:rPr>
              <w:t>3类区□</w:t>
            </w:r>
          </w:p>
        </w:tc>
        <w:tc>
          <w:tcPr>
            <w:tcW w:w="1022" w:type="dxa"/>
            <w:gridSpan w:val="2"/>
            <w:tcBorders>
              <w:tl2br w:val="nil"/>
              <w:tr2bl w:val="nil"/>
            </w:tcBorders>
            <w:shd w:val="clear" w:color="auto" w:fill="FFFFFF"/>
            <w:vAlign w:val="center"/>
          </w:tcPr>
          <w:p w14:paraId="1733E8DD">
            <w:pPr>
              <w:pStyle w:val="41"/>
              <w:rPr>
                <w:color w:val="auto"/>
                <w:highlight w:val="none"/>
              </w:rPr>
            </w:pPr>
            <w:r>
              <w:rPr>
                <w:color w:val="auto"/>
                <w:highlight w:val="none"/>
              </w:rPr>
              <w:t>4a类区□</w:t>
            </w:r>
          </w:p>
        </w:tc>
        <w:tc>
          <w:tcPr>
            <w:tcW w:w="1133" w:type="dxa"/>
            <w:tcBorders>
              <w:tl2br w:val="nil"/>
              <w:tr2bl w:val="nil"/>
            </w:tcBorders>
            <w:shd w:val="clear" w:color="auto" w:fill="FFFFFF"/>
            <w:vAlign w:val="center"/>
          </w:tcPr>
          <w:p w14:paraId="3D791C62">
            <w:pPr>
              <w:pStyle w:val="41"/>
              <w:rPr>
                <w:color w:val="auto"/>
                <w:highlight w:val="none"/>
              </w:rPr>
            </w:pPr>
            <w:r>
              <w:rPr>
                <w:color w:val="auto"/>
                <w:highlight w:val="none"/>
              </w:rPr>
              <w:t>4b类区□</w:t>
            </w:r>
          </w:p>
        </w:tc>
      </w:tr>
      <w:tr w14:paraId="32078B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jc w:val="center"/>
        </w:trPr>
        <w:tc>
          <w:tcPr>
            <w:tcW w:w="1123" w:type="dxa"/>
            <w:vMerge w:val="continue"/>
            <w:tcBorders>
              <w:tl2br w:val="nil"/>
              <w:tr2bl w:val="nil"/>
            </w:tcBorders>
            <w:shd w:val="clear" w:color="auto" w:fill="FFFFFF"/>
            <w:vAlign w:val="center"/>
          </w:tcPr>
          <w:p w14:paraId="1D0C3828">
            <w:pPr>
              <w:pStyle w:val="41"/>
              <w:rPr>
                <w:color w:val="auto"/>
                <w:highlight w:val="none"/>
              </w:rPr>
            </w:pPr>
          </w:p>
        </w:tc>
        <w:tc>
          <w:tcPr>
            <w:tcW w:w="1490" w:type="dxa"/>
            <w:tcBorders>
              <w:tl2br w:val="nil"/>
              <w:tr2bl w:val="nil"/>
            </w:tcBorders>
            <w:shd w:val="clear" w:color="auto" w:fill="FFFFFF"/>
            <w:vAlign w:val="center"/>
          </w:tcPr>
          <w:p w14:paraId="78D30B81">
            <w:pPr>
              <w:pStyle w:val="41"/>
              <w:rPr>
                <w:color w:val="auto"/>
                <w:highlight w:val="none"/>
              </w:rPr>
            </w:pPr>
            <w:r>
              <w:rPr>
                <w:color w:val="auto"/>
                <w:highlight w:val="none"/>
              </w:rPr>
              <w:t>评价年度</w:t>
            </w:r>
          </w:p>
        </w:tc>
        <w:tc>
          <w:tcPr>
            <w:tcW w:w="1530" w:type="dxa"/>
            <w:gridSpan w:val="2"/>
            <w:tcBorders>
              <w:tl2br w:val="nil"/>
              <w:tr2bl w:val="nil"/>
            </w:tcBorders>
            <w:shd w:val="clear" w:color="auto" w:fill="FFFFFF"/>
            <w:vAlign w:val="center"/>
          </w:tcPr>
          <w:p w14:paraId="536D3DD0">
            <w:pPr>
              <w:pStyle w:val="41"/>
              <w:rPr>
                <w:color w:val="auto"/>
                <w:highlight w:val="none"/>
              </w:rPr>
            </w:pPr>
            <w:r>
              <w:rPr>
                <w:color w:val="auto"/>
                <w:highlight w:val="none"/>
              </w:rPr>
              <w:t>初期□</w:t>
            </w:r>
          </w:p>
        </w:tc>
        <w:tc>
          <w:tcPr>
            <w:tcW w:w="1320" w:type="dxa"/>
            <w:gridSpan w:val="3"/>
            <w:tcBorders>
              <w:tl2br w:val="nil"/>
              <w:tr2bl w:val="nil"/>
            </w:tcBorders>
            <w:shd w:val="clear" w:color="auto" w:fill="FFFFFF"/>
            <w:vAlign w:val="center"/>
          </w:tcPr>
          <w:p w14:paraId="20E92869">
            <w:pPr>
              <w:pStyle w:val="41"/>
              <w:rPr>
                <w:color w:val="auto"/>
                <w:highlight w:val="none"/>
              </w:rPr>
            </w:pPr>
            <w:r>
              <w:rPr>
                <w:color w:val="auto"/>
                <w:highlight w:val="none"/>
              </w:rPr>
              <w:t>近期□</w:t>
            </w:r>
          </w:p>
        </w:tc>
        <w:tc>
          <w:tcPr>
            <w:tcW w:w="1445" w:type="dxa"/>
            <w:gridSpan w:val="2"/>
            <w:tcBorders>
              <w:tl2br w:val="nil"/>
              <w:tr2bl w:val="nil"/>
            </w:tcBorders>
            <w:shd w:val="clear" w:color="auto" w:fill="FFFFFF"/>
            <w:vAlign w:val="center"/>
          </w:tcPr>
          <w:p w14:paraId="2BC00170">
            <w:pPr>
              <w:pStyle w:val="41"/>
              <w:rPr>
                <w:color w:val="auto"/>
                <w:highlight w:val="none"/>
              </w:rPr>
            </w:pPr>
            <w:r>
              <w:rPr>
                <w:color w:val="auto"/>
                <w:highlight w:val="none"/>
              </w:rPr>
              <w:t>中期☑</w:t>
            </w:r>
          </w:p>
        </w:tc>
        <w:tc>
          <w:tcPr>
            <w:tcW w:w="1618" w:type="dxa"/>
            <w:gridSpan w:val="2"/>
            <w:tcBorders>
              <w:tl2br w:val="nil"/>
              <w:tr2bl w:val="nil"/>
            </w:tcBorders>
            <w:shd w:val="clear" w:color="auto" w:fill="FFFFFF"/>
            <w:vAlign w:val="center"/>
          </w:tcPr>
          <w:p w14:paraId="0003EF7F">
            <w:pPr>
              <w:pStyle w:val="41"/>
              <w:rPr>
                <w:color w:val="auto"/>
                <w:highlight w:val="none"/>
              </w:rPr>
            </w:pPr>
            <w:r>
              <w:rPr>
                <w:color w:val="auto"/>
                <w:highlight w:val="none"/>
              </w:rPr>
              <w:t>远期□</w:t>
            </w:r>
          </w:p>
        </w:tc>
      </w:tr>
      <w:tr w14:paraId="39BD7B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jc w:val="center"/>
        </w:trPr>
        <w:tc>
          <w:tcPr>
            <w:tcW w:w="1123" w:type="dxa"/>
            <w:vMerge w:val="continue"/>
            <w:tcBorders>
              <w:tl2br w:val="nil"/>
              <w:tr2bl w:val="nil"/>
            </w:tcBorders>
            <w:shd w:val="clear" w:color="auto" w:fill="FFFFFF"/>
            <w:vAlign w:val="center"/>
          </w:tcPr>
          <w:p w14:paraId="667B5444">
            <w:pPr>
              <w:pStyle w:val="41"/>
              <w:rPr>
                <w:color w:val="auto"/>
                <w:highlight w:val="none"/>
              </w:rPr>
            </w:pPr>
          </w:p>
        </w:tc>
        <w:tc>
          <w:tcPr>
            <w:tcW w:w="1490" w:type="dxa"/>
            <w:tcBorders>
              <w:tl2br w:val="nil"/>
              <w:tr2bl w:val="nil"/>
            </w:tcBorders>
            <w:shd w:val="clear" w:color="auto" w:fill="FFFFFF"/>
            <w:vAlign w:val="center"/>
          </w:tcPr>
          <w:p w14:paraId="245CB3AC">
            <w:pPr>
              <w:pStyle w:val="41"/>
              <w:rPr>
                <w:color w:val="auto"/>
                <w:highlight w:val="none"/>
              </w:rPr>
            </w:pPr>
            <w:r>
              <w:rPr>
                <w:color w:val="auto"/>
                <w:highlight w:val="none"/>
              </w:rPr>
              <w:t>现状调查方法</w:t>
            </w:r>
          </w:p>
        </w:tc>
        <w:tc>
          <w:tcPr>
            <w:tcW w:w="5913" w:type="dxa"/>
            <w:gridSpan w:val="9"/>
            <w:tcBorders>
              <w:tl2br w:val="nil"/>
              <w:tr2bl w:val="nil"/>
            </w:tcBorders>
            <w:shd w:val="clear" w:color="auto" w:fill="FFFFFF"/>
            <w:vAlign w:val="center"/>
          </w:tcPr>
          <w:p w14:paraId="13658C21">
            <w:pPr>
              <w:pStyle w:val="41"/>
              <w:rPr>
                <w:color w:val="auto"/>
                <w:highlight w:val="none"/>
              </w:rPr>
            </w:pPr>
            <w:r>
              <w:rPr>
                <w:color w:val="auto"/>
                <w:highlight w:val="none"/>
              </w:rPr>
              <w:t>现场实测法□   现场实测加模型计算法□   收集资料法☑</w:t>
            </w:r>
          </w:p>
        </w:tc>
      </w:tr>
      <w:tr w14:paraId="346657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jc w:val="center"/>
        </w:trPr>
        <w:tc>
          <w:tcPr>
            <w:tcW w:w="1123" w:type="dxa"/>
            <w:vMerge w:val="continue"/>
            <w:tcBorders>
              <w:tl2br w:val="nil"/>
              <w:tr2bl w:val="nil"/>
            </w:tcBorders>
            <w:shd w:val="clear" w:color="auto" w:fill="FFFFFF"/>
            <w:vAlign w:val="center"/>
          </w:tcPr>
          <w:p w14:paraId="35420DBB">
            <w:pPr>
              <w:pStyle w:val="41"/>
              <w:rPr>
                <w:color w:val="auto"/>
                <w:highlight w:val="none"/>
              </w:rPr>
            </w:pPr>
          </w:p>
        </w:tc>
        <w:tc>
          <w:tcPr>
            <w:tcW w:w="1490" w:type="dxa"/>
            <w:tcBorders>
              <w:tl2br w:val="nil"/>
              <w:tr2bl w:val="nil"/>
            </w:tcBorders>
            <w:shd w:val="clear" w:color="auto" w:fill="FFFFFF"/>
            <w:vAlign w:val="center"/>
          </w:tcPr>
          <w:p w14:paraId="42159E9E">
            <w:pPr>
              <w:pStyle w:val="41"/>
              <w:rPr>
                <w:color w:val="auto"/>
                <w:highlight w:val="none"/>
              </w:rPr>
            </w:pPr>
            <w:r>
              <w:rPr>
                <w:color w:val="auto"/>
                <w:highlight w:val="none"/>
              </w:rPr>
              <w:t>现状评价</w:t>
            </w:r>
          </w:p>
        </w:tc>
        <w:tc>
          <w:tcPr>
            <w:tcW w:w="1890" w:type="dxa"/>
            <w:gridSpan w:val="3"/>
            <w:tcBorders>
              <w:tl2br w:val="nil"/>
              <w:tr2bl w:val="nil"/>
            </w:tcBorders>
            <w:shd w:val="clear" w:color="auto" w:fill="FFFFFF"/>
            <w:vAlign w:val="center"/>
          </w:tcPr>
          <w:p w14:paraId="5272EB83">
            <w:pPr>
              <w:pStyle w:val="41"/>
              <w:rPr>
                <w:color w:val="auto"/>
                <w:highlight w:val="none"/>
              </w:rPr>
            </w:pPr>
            <w:r>
              <w:rPr>
                <w:color w:val="auto"/>
                <w:highlight w:val="none"/>
              </w:rPr>
              <w:t>达标百分比</w:t>
            </w:r>
          </w:p>
        </w:tc>
        <w:tc>
          <w:tcPr>
            <w:tcW w:w="4023" w:type="dxa"/>
            <w:gridSpan w:val="6"/>
            <w:tcBorders>
              <w:tl2br w:val="nil"/>
              <w:tr2bl w:val="nil"/>
            </w:tcBorders>
            <w:shd w:val="clear" w:color="auto" w:fill="FFFFFF"/>
            <w:vAlign w:val="center"/>
          </w:tcPr>
          <w:p w14:paraId="1DC1F1CF">
            <w:pPr>
              <w:pStyle w:val="41"/>
              <w:rPr>
                <w:color w:val="auto"/>
                <w:highlight w:val="none"/>
              </w:rPr>
            </w:pPr>
            <w:r>
              <w:rPr>
                <w:color w:val="auto"/>
                <w:highlight w:val="none"/>
              </w:rPr>
              <w:t>100%</w:t>
            </w:r>
          </w:p>
        </w:tc>
      </w:tr>
      <w:tr w14:paraId="67A17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jc w:val="center"/>
        </w:trPr>
        <w:tc>
          <w:tcPr>
            <w:tcW w:w="1123" w:type="dxa"/>
            <w:tcBorders>
              <w:tl2br w:val="nil"/>
              <w:tr2bl w:val="nil"/>
            </w:tcBorders>
            <w:shd w:val="clear" w:color="auto" w:fill="FFFFFF"/>
            <w:vAlign w:val="center"/>
          </w:tcPr>
          <w:p w14:paraId="552F5120">
            <w:pPr>
              <w:pStyle w:val="41"/>
              <w:rPr>
                <w:color w:val="auto"/>
                <w:highlight w:val="none"/>
              </w:rPr>
            </w:pPr>
            <w:r>
              <w:rPr>
                <w:color w:val="auto"/>
                <w:highlight w:val="none"/>
              </w:rPr>
              <w:t>噪声源调查</w:t>
            </w:r>
          </w:p>
        </w:tc>
        <w:tc>
          <w:tcPr>
            <w:tcW w:w="1490" w:type="dxa"/>
            <w:tcBorders>
              <w:tl2br w:val="nil"/>
              <w:tr2bl w:val="nil"/>
            </w:tcBorders>
            <w:shd w:val="clear" w:color="auto" w:fill="FFFFFF"/>
            <w:vAlign w:val="center"/>
          </w:tcPr>
          <w:p w14:paraId="13482F04">
            <w:pPr>
              <w:pStyle w:val="41"/>
              <w:rPr>
                <w:color w:val="auto"/>
                <w:highlight w:val="none"/>
              </w:rPr>
            </w:pPr>
            <w:r>
              <w:rPr>
                <w:color w:val="auto"/>
                <w:highlight w:val="none"/>
              </w:rPr>
              <w:t>噪声源调查方法</w:t>
            </w:r>
          </w:p>
        </w:tc>
        <w:tc>
          <w:tcPr>
            <w:tcW w:w="5913" w:type="dxa"/>
            <w:gridSpan w:val="9"/>
            <w:tcBorders>
              <w:tl2br w:val="nil"/>
              <w:tr2bl w:val="nil"/>
            </w:tcBorders>
            <w:shd w:val="clear" w:color="auto" w:fill="FFFFFF"/>
            <w:vAlign w:val="center"/>
          </w:tcPr>
          <w:p w14:paraId="53405FA1">
            <w:pPr>
              <w:pStyle w:val="41"/>
              <w:rPr>
                <w:color w:val="auto"/>
                <w:highlight w:val="none"/>
              </w:rPr>
            </w:pPr>
            <w:r>
              <w:rPr>
                <w:color w:val="auto"/>
                <w:highlight w:val="none"/>
              </w:rPr>
              <w:t>现场实测□      已有资料☑      研究成果□</w:t>
            </w:r>
          </w:p>
        </w:tc>
      </w:tr>
      <w:tr w14:paraId="369280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jc w:val="center"/>
        </w:trPr>
        <w:tc>
          <w:tcPr>
            <w:tcW w:w="1123" w:type="dxa"/>
            <w:vMerge w:val="restart"/>
            <w:tcBorders>
              <w:tl2br w:val="nil"/>
              <w:tr2bl w:val="nil"/>
            </w:tcBorders>
            <w:shd w:val="clear" w:color="auto" w:fill="FFFFFF"/>
            <w:vAlign w:val="center"/>
          </w:tcPr>
          <w:p w14:paraId="39AAED2E">
            <w:pPr>
              <w:pStyle w:val="41"/>
              <w:rPr>
                <w:color w:val="auto"/>
                <w:highlight w:val="none"/>
              </w:rPr>
            </w:pPr>
            <w:r>
              <w:rPr>
                <w:color w:val="auto"/>
                <w:highlight w:val="none"/>
              </w:rPr>
              <w:t>声环境影响预测与评价</w:t>
            </w:r>
          </w:p>
        </w:tc>
        <w:tc>
          <w:tcPr>
            <w:tcW w:w="1490" w:type="dxa"/>
            <w:tcBorders>
              <w:tl2br w:val="nil"/>
              <w:tr2bl w:val="nil"/>
            </w:tcBorders>
            <w:shd w:val="clear" w:color="auto" w:fill="FFFFFF"/>
            <w:vAlign w:val="center"/>
          </w:tcPr>
          <w:p w14:paraId="6D59CA6F">
            <w:pPr>
              <w:pStyle w:val="41"/>
              <w:rPr>
                <w:color w:val="auto"/>
                <w:highlight w:val="none"/>
              </w:rPr>
            </w:pPr>
            <w:r>
              <w:rPr>
                <w:color w:val="auto"/>
                <w:highlight w:val="none"/>
              </w:rPr>
              <w:t>预测模型</w:t>
            </w:r>
          </w:p>
        </w:tc>
        <w:tc>
          <w:tcPr>
            <w:tcW w:w="5913" w:type="dxa"/>
            <w:gridSpan w:val="9"/>
            <w:tcBorders>
              <w:tl2br w:val="nil"/>
              <w:tr2bl w:val="nil"/>
            </w:tcBorders>
            <w:shd w:val="clear" w:color="auto" w:fill="FFFFFF"/>
            <w:vAlign w:val="center"/>
          </w:tcPr>
          <w:p w14:paraId="28B80487">
            <w:pPr>
              <w:pStyle w:val="41"/>
              <w:rPr>
                <w:color w:val="auto"/>
                <w:highlight w:val="none"/>
              </w:rPr>
            </w:pPr>
            <w:r>
              <w:rPr>
                <w:color w:val="auto"/>
                <w:highlight w:val="none"/>
              </w:rPr>
              <w:t>导则推荐模型☑           其他□</w:t>
            </w:r>
          </w:p>
        </w:tc>
      </w:tr>
      <w:tr w14:paraId="146E21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jc w:val="center"/>
        </w:trPr>
        <w:tc>
          <w:tcPr>
            <w:tcW w:w="1123" w:type="dxa"/>
            <w:vMerge w:val="continue"/>
            <w:tcBorders>
              <w:tl2br w:val="nil"/>
              <w:tr2bl w:val="nil"/>
            </w:tcBorders>
            <w:shd w:val="clear" w:color="auto" w:fill="FFFFFF"/>
            <w:vAlign w:val="center"/>
          </w:tcPr>
          <w:p w14:paraId="2D63A5BE">
            <w:pPr>
              <w:pStyle w:val="41"/>
              <w:rPr>
                <w:color w:val="auto"/>
                <w:highlight w:val="none"/>
              </w:rPr>
            </w:pPr>
          </w:p>
        </w:tc>
        <w:tc>
          <w:tcPr>
            <w:tcW w:w="1490" w:type="dxa"/>
            <w:tcBorders>
              <w:tl2br w:val="nil"/>
              <w:tr2bl w:val="nil"/>
            </w:tcBorders>
            <w:shd w:val="clear" w:color="auto" w:fill="FFFFFF"/>
            <w:vAlign w:val="center"/>
          </w:tcPr>
          <w:p w14:paraId="62DA3420">
            <w:pPr>
              <w:pStyle w:val="41"/>
              <w:rPr>
                <w:color w:val="auto"/>
                <w:highlight w:val="none"/>
              </w:rPr>
            </w:pPr>
            <w:r>
              <w:rPr>
                <w:color w:val="auto"/>
                <w:highlight w:val="none"/>
              </w:rPr>
              <w:t>预测范围</w:t>
            </w:r>
          </w:p>
        </w:tc>
        <w:tc>
          <w:tcPr>
            <w:tcW w:w="5913" w:type="dxa"/>
            <w:gridSpan w:val="9"/>
            <w:tcBorders>
              <w:tl2br w:val="nil"/>
              <w:tr2bl w:val="nil"/>
            </w:tcBorders>
            <w:shd w:val="clear" w:color="auto" w:fill="FFFFFF"/>
            <w:vAlign w:val="center"/>
          </w:tcPr>
          <w:p w14:paraId="680EA21D">
            <w:pPr>
              <w:pStyle w:val="41"/>
              <w:rPr>
                <w:color w:val="auto"/>
                <w:highlight w:val="none"/>
              </w:rPr>
            </w:pPr>
            <w:r>
              <w:rPr>
                <w:color w:val="auto"/>
                <w:highlight w:val="none"/>
              </w:rPr>
              <w:t>200m☑      大于200m□       小于200m□</w:t>
            </w:r>
          </w:p>
        </w:tc>
      </w:tr>
      <w:tr w14:paraId="111298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jc w:val="center"/>
        </w:trPr>
        <w:tc>
          <w:tcPr>
            <w:tcW w:w="1123" w:type="dxa"/>
            <w:vMerge w:val="continue"/>
            <w:tcBorders>
              <w:tl2br w:val="nil"/>
              <w:tr2bl w:val="nil"/>
            </w:tcBorders>
            <w:shd w:val="clear" w:color="auto" w:fill="FFFFFF"/>
            <w:vAlign w:val="center"/>
          </w:tcPr>
          <w:p w14:paraId="60026C55">
            <w:pPr>
              <w:pStyle w:val="41"/>
              <w:rPr>
                <w:color w:val="auto"/>
                <w:highlight w:val="none"/>
              </w:rPr>
            </w:pPr>
          </w:p>
        </w:tc>
        <w:tc>
          <w:tcPr>
            <w:tcW w:w="1490" w:type="dxa"/>
            <w:tcBorders>
              <w:tl2br w:val="nil"/>
              <w:tr2bl w:val="nil"/>
            </w:tcBorders>
            <w:shd w:val="clear" w:color="auto" w:fill="FFFFFF"/>
            <w:vAlign w:val="center"/>
          </w:tcPr>
          <w:p w14:paraId="5802F5A2">
            <w:pPr>
              <w:pStyle w:val="41"/>
              <w:rPr>
                <w:color w:val="auto"/>
                <w:highlight w:val="none"/>
              </w:rPr>
            </w:pPr>
            <w:r>
              <w:rPr>
                <w:color w:val="auto"/>
                <w:highlight w:val="none"/>
              </w:rPr>
              <w:t>预测因子</w:t>
            </w:r>
          </w:p>
        </w:tc>
        <w:tc>
          <w:tcPr>
            <w:tcW w:w="5913" w:type="dxa"/>
            <w:gridSpan w:val="9"/>
            <w:tcBorders>
              <w:tl2br w:val="nil"/>
              <w:tr2bl w:val="nil"/>
            </w:tcBorders>
            <w:shd w:val="clear" w:color="auto" w:fill="FFFFFF"/>
            <w:vAlign w:val="center"/>
          </w:tcPr>
          <w:p w14:paraId="04963241">
            <w:pPr>
              <w:pStyle w:val="41"/>
              <w:rPr>
                <w:color w:val="auto"/>
                <w:highlight w:val="none"/>
              </w:rPr>
            </w:pPr>
            <w:r>
              <w:rPr>
                <w:color w:val="auto"/>
                <w:highlight w:val="none"/>
              </w:rPr>
              <w:t>等效连续A声级☑ 最大A声级□ 计权等效连续感觉噪声级□</w:t>
            </w:r>
          </w:p>
        </w:tc>
      </w:tr>
      <w:tr w14:paraId="34ACE4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jc w:val="center"/>
        </w:trPr>
        <w:tc>
          <w:tcPr>
            <w:tcW w:w="1123" w:type="dxa"/>
            <w:vMerge w:val="continue"/>
            <w:tcBorders>
              <w:tl2br w:val="nil"/>
              <w:tr2bl w:val="nil"/>
            </w:tcBorders>
            <w:shd w:val="clear" w:color="auto" w:fill="FFFFFF"/>
            <w:vAlign w:val="center"/>
          </w:tcPr>
          <w:p w14:paraId="116D17B0">
            <w:pPr>
              <w:pStyle w:val="41"/>
              <w:rPr>
                <w:color w:val="auto"/>
                <w:highlight w:val="none"/>
              </w:rPr>
            </w:pPr>
          </w:p>
        </w:tc>
        <w:tc>
          <w:tcPr>
            <w:tcW w:w="1490" w:type="dxa"/>
            <w:tcBorders>
              <w:tl2br w:val="nil"/>
              <w:tr2bl w:val="nil"/>
            </w:tcBorders>
            <w:shd w:val="clear" w:color="auto" w:fill="FFFFFF"/>
            <w:vAlign w:val="center"/>
          </w:tcPr>
          <w:p w14:paraId="213268DF">
            <w:pPr>
              <w:pStyle w:val="41"/>
              <w:rPr>
                <w:color w:val="auto"/>
                <w:highlight w:val="none"/>
              </w:rPr>
            </w:pPr>
            <w:r>
              <w:rPr>
                <w:color w:val="auto"/>
                <w:highlight w:val="none"/>
              </w:rPr>
              <w:t>厂界噪声贡献值</w:t>
            </w:r>
          </w:p>
        </w:tc>
        <w:tc>
          <w:tcPr>
            <w:tcW w:w="5913" w:type="dxa"/>
            <w:gridSpan w:val="9"/>
            <w:tcBorders>
              <w:tl2br w:val="nil"/>
              <w:tr2bl w:val="nil"/>
            </w:tcBorders>
            <w:shd w:val="clear" w:color="auto" w:fill="FFFFFF"/>
            <w:vAlign w:val="center"/>
          </w:tcPr>
          <w:p w14:paraId="25EDF3C0">
            <w:pPr>
              <w:pStyle w:val="41"/>
              <w:rPr>
                <w:color w:val="auto"/>
                <w:highlight w:val="none"/>
              </w:rPr>
            </w:pPr>
            <w:r>
              <w:rPr>
                <w:color w:val="auto"/>
                <w:highlight w:val="none"/>
              </w:rPr>
              <w:t>达标☑      不达标□</w:t>
            </w:r>
          </w:p>
        </w:tc>
      </w:tr>
      <w:tr w14:paraId="24886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jc w:val="center"/>
        </w:trPr>
        <w:tc>
          <w:tcPr>
            <w:tcW w:w="1123" w:type="dxa"/>
            <w:vMerge w:val="continue"/>
            <w:tcBorders>
              <w:tl2br w:val="nil"/>
              <w:tr2bl w:val="nil"/>
            </w:tcBorders>
            <w:shd w:val="clear" w:color="auto" w:fill="FFFFFF"/>
            <w:vAlign w:val="center"/>
          </w:tcPr>
          <w:p w14:paraId="67BB04AA">
            <w:pPr>
              <w:pStyle w:val="41"/>
              <w:rPr>
                <w:color w:val="auto"/>
                <w:highlight w:val="none"/>
              </w:rPr>
            </w:pPr>
          </w:p>
        </w:tc>
        <w:tc>
          <w:tcPr>
            <w:tcW w:w="1490" w:type="dxa"/>
            <w:tcBorders>
              <w:tl2br w:val="nil"/>
              <w:tr2bl w:val="nil"/>
            </w:tcBorders>
            <w:shd w:val="clear" w:color="auto" w:fill="FFFFFF"/>
            <w:vAlign w:val="center"/>
          </w:tcPr>
          <w:p w14:paraId="0CAED7EF">
            <w:pPr>
              <w:pStyle w:val="41"/>
              <w:rPr>
                <w:color w:val="auto"/>
                <w:highlight w:val="none"/>
              </w:rPr>
            </w:pPr>
            <w:r>
              <w:rPr>
                <w:color w:val="auto"/>
                <w:highlight w:val="none"/>
              </w:rPr>
              <w:t>声环境保护目标处噪声值</w:t>
            </w:r>
          </w:p>
        </w:tc>
        <w:tc>
          <w:tcPr>
            <w:tcW w:w="5913" w:type="dxa"/>
            <w:gridSpan w:val="9"/>
            <w:tcBorders>
              <w:tl2br w:val="nil"/>
              <w:tr2bl w:val="nil"/>
            </w:tcBorders>
            <w:shd w:val="clear" w:color="auto" w:fill="FFFFFF"/>
            <w:vAlign w:val="center"/>
          </w:tcPr>
          <w:p w14:paraId="2A9EAE10">
            <w:pPr>
              <w:pStyle w:val="41"/>
              <w:rPr>
                <w:color w:val="auto"/>
                <w:highlight w:val="none"/>
              </w:rPr>
            </w:pPr>
            <w:r>
              <w:rPr>
                <w:color w:val="auto"/>
                <w:highlight w:val="none"/>
              </w:rPr>
              <w:t>达标□      不达标□</w:t>
            </w:r>
          </w:p>
        </w:tc>
      </w:tr>
      <w:tr w14:paraId="593977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jc w:val="center"/>
        </w:trPr>
        <w:tc>
          <w:tcPr>
            <w:tcW w:w="1123" w:type="dxa"/>
            <w:vMerge w:val="restart"/>
            <w:tcBorders>
              <w:tl2br w:val="nil"/>
              <w:tr2bl w:val="nil"/>
            </w:tcBorders>
            <w:shd w:val="clear" w:color="auto" w:fill="FFFFFF"/>
            <w:vAlign w:val="center"/>
          </w:tcPr>
          <w:p w14:paraId="1F9DF5CB">
            <w:pPr>
              <w:pStyle w:val="41"/>
              <w:rPr>
                <w:color w:val="auto"/>
                <w:highlight w:val="none"/>
              </w:rPr>
            </w:pPr>
            <w:r>
              <w:rPr>
                <w:color w:val="auto"/>
                <w:highlight w:val="none"/>
              </w:rPr>
              <w:t>环境监测计划</w:t>
            </w:r>
          </w:p>
        </w:tc>
        <w:tc>
          <w:tcPr>
            <w:tcW w:w="1490" w:type="dxa"/>
            <w:tcBorders>
              <w:tl2br w:val="nil"/>
              <w:tr2bl w:val="nil"/>
            </w:tcBorders>
            <w:shd w:val="clear" w:color="auto" w:fill="FFFFFF"/>
            <w:vAlign w:val="center"/>
          </w:tcPr>
          <w:p w14:paraId="09EB380D">
            <w:pPr>
              <w:pStyle w:val="41"/>
              <w:rPr>
                <w:color w:val="auto"/>
                <w:highlight w:val="none"/>
              </w:rPr>
            </w:pPr>
            <w:r>
              <w:rPr>
                <w:color w:val="auto"/>
                <w:highlight w:val="none"/>
              </w:rPr>
              <w:t>排放监测</w:t>
            </w:r>
          </w:p>
        </w:tc>
        <w:tc>
          <w:tcPr>
            <w:tcW w:w="5913" w:type="dxa"/>
            <w:gridSpan w:val="9"/>
            <w:tcBorders>
              <w:tl2br w:val="nil"/>
              <w:tr2bl w:val="nil"/>
            </w:tcBorders>
            <w:shd w:val="clear" w:color="auto" w:fill="FFFFFF"/>
            <w:vAlign w:val="center"/>
          </w:tcPr>
          <w:p w14:paraId="1FD21341">
            <w:pPr>
              <w:pStyle w:val="41"/>
              <w:rPr>
                <w:color w:val="auto"/>
                <w:highlight w:val="none"/>
              </w:rPr>
            </w:pPr>
            <w:r>
              <w:rPr>
                <w:color w:val="auto"/>
                <w:highlight w:val="none"/>
              </w:rPr>
              <w:t>厂界监测☑ 固定位置监测□ 自动监测□ 手动监测☑ 无监测□</w:t>
            </w:r>
          </w:p>
        </w:tc>
      </w:tr>
      <w:tr w14:paraId="6C5093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jc w:val="center"/>
        </w:trPr>
        <w:tc>
          <w:tcPr>
            <w:tcW w:w="1123" w:type="dxa"/>
            <w:vMerge w:val="continue"/>
            <w:tcBorders>
              <w:tl2br w:val="nil"/>
              <w:tr2bl w:val="nil"/>
            </w:tcBorders>
            <w:shd w:val="clear" w:color="auto" w:fill="FFFFFF"/>
            <w:vAlign w:val="center"/>
          </w:tcPr>
          <w:p w14:paraId="0CB80532">
            <w:pPr>
              <w:pStyle w:val="41"/>
              <w:rPr>
                <w:color w:val="auto"/>
                <w:highlight w:val="none"/>
              </w:rPr>
            </w:pPr>
          </w:p>
        </w:tc>
        <w:tc>
          <w:tcPr>
            <w:tcW w:w="1490" w:type="dxa"/>
            <w:tcBorders>
              <w:tl2br w:val="nil"/>
              <w:tr2bl w:val="nil"/>
            </w:tcBorders>
            <w:shd w:val="clear" w:color="auto" w:fill="FFFFFF"/>
            <w:vAlign w:val="center"/>
          </w:tcPr>
          <w:p w14:paraId="0AAC1394">
            <w:pPr>
              <w:pStyle w:val="41"/>
              <w:rPr>
                <w:color w:val="auto"/>
                <w:highlight w:val="none"/>
              </w:rPr>
            </w:pPr>
            <w:r>
              <w:rPr>
                <w:color w:val="auto"/>
                <w:highlight w:val="none"/>
              </w:rPr>
              <w:t>声环境保护目标处噪声监测</w:t>
            </w:r>
          </w:p>
        </w:tc>
        <w:tc>
          <w:tcPr>
            <w:tcW w:w="2190" w:type="dxa"/>
            <w:gridSpan w:val="4"/>
            <w:tcBorders>
              <w:tl2br w:val="nil"/>
              <w:tr2bl w:val="nil"/>
            </w:tcBorders>
            <w:shd w:val="clear" w:color="auto" w:fill="FFFFFF"/>
            <w:vAlign w:val="center"/>
          </w:tcPr>
          <w:p w14:paraId="0677C207">
            <w:pPr>
              <w:pStyle w:val="41"/>
              <w:rPr>
                <w:color w:val="auto"/>
                <w:highlight w:val="none"/>
              </w:rPr>
            </w:pPr>
            <w:r>
              <w:rPr>
                <w:color w:val="auto"/>
                <w:highlight w:val="none"/>
              </w:rPr>
              <w:t>监测因子：（  ）</w:t>
            </w:r>
          </w:p>
        </w:tc>
        <w:tc>
          <w:tcPr>
            <w:tcW w:w="2105" w:type="dxa"/>
            <w:gridSpan w:val="3"/>
            <w:tcBorders>
              <w:tl2br w:val="nil"/>
              <w:tr2bl w:val="nil"/>
            </w:tcBorders>
            <w:shd w:val="clear" w:color="auto" w:fill="FFFFFF"/>
            <w:vAlign w:val="center"/>
          </w:tcPr>
          <w:p w14:paraId="3B5B2EEE">
            <w:pPr>
              <w:pStyle w:val="41"/>
              <w:rPr>
                <w:color w:val="auto"/>
                <w:highlight w:val="none"/>
              </w:rPr>
            </w:pPr>
            <w:r>
              <w:rPr>
                <w:color w:val="auto"/>
                <w:highlight w:val="none"/>
              </w:rPr>
              <w:t>监测点位数（  ）</w:t>
            </w:r>
          </w:p>
        </w:tc>
        <w:tc>
          <w:tcPr>
            <w:tcW w:w="1618" w:type="dxa"/>
            <w:gridSpan w:val="2"/>
            <w:tcBorders>
              <w:tl2br w:val="nil"/>
              <w:tr2bl w:val="nil"/>
            </w:tcBorders>
            <w:shd w:val="clear" w:color="auto" w:fill="FFFFFF"/>
            <w:vAlign w:val="center"/>
          </w:tcPr>
          <w:p w14:paraId="342436A1">
            <w:pPr>
              <w:pStyle w:val="41"/>
              <w:rPr>
                <w:color w:val="auto"/>
                <w:highlight w:val="none"/>
              </w:rPr>
            </w:pPr>
            <w:r>
              <w:rPr>
                <w:color w:val="auto"/>
                <w:highlight w:val="none"/>
              </w:rPr>
              <w:t>无监测（无保护目标）</w:t>
            </w:r>
          </w:p>
        </w:tc>
      </w:tr>
      <w:tr w14:paraId="0F79AB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jc w:val="center"/>
        </w:trPr>
        <w:tc>
          <w:tcPr>
            <w:tcW w:w="1123" w:type="dxa"/>
            <w:tcBorders>
              <w:tl2br w:val="nil"/>
              <w:tr2bl w:val="nil"/>
            </w:tcBorders>
            <w:shd w:val="clear" w:color="auto" w:fill="FFFFFF"/>
            <w:vAlign w:val="center"/>
          </w:tcPr>
          <w:p w14:paraId="6A49E7B0">
            <w:pPr>
              <w:pStyle w:val="41"/>
              <w:rPr>
                <w:color w:val="auto"/>
                <w:highlight w:val="none"/>
              </w:rPr>
            </w:pPr>
            <w:r>
              <w:rPr>
                <w:color w:val="auto"/>
                <w:highlight w:val="none"/>
              </w:rPr>
              <w:t>评价结论</w:t>
            </w:r>
          </w:p>
        </w:tc>
        <w:tc>
          <w:tcPr>
            <w:tcW w:w="1490" w:type="dxa"/>
            <w:tcBorders>
              <w:tl2br w:val="nil"/>
              <w:tr2bl w:val="nil"/>
            </w:tcBorders>
            <w:shd w:val="clear" w:color="auto" w:fill="FFFFFF"/>
            <w:vAlign w:val="center"/>
          </w:tcPr>
          <w:p w14:paraId="304A2D2B">
            <w:pPr>
              <w:pStyle w:val="41"/>
              <w:rPr>
                <w:color w:val="auto"/>
                <w:highlight w:val="none"/>
              </w:rPr>
            </w:pPr>
            <w:r>
              <w:rPr>
                <w:color w:val="auto"/>
                <w:highlight w:val="none"/>
              </w:rPr>
              <w:t>环境影响</w:t>
            </w:r>
          </w:p>
        </w:tc>
        <w:tc>
          <w:tcPr>
            <w:tcW w:w="5913" w:type="dxa"/>
            <w:gridSpan w:val="9"/>
            <w:tcBorders>
              <w:tl2br w:val="nil"/>
              <w:tr2bl w:val="nil"/>
            </w:tcBorders>
            <w:shd w:val="clear" w:color="auto" w:fill="FFFFFF"/>
            <w:vAlign w:val="center"/>
          </w:tcPr>
          <w:p w14:paraId="28B3A97B">
            <w:pPr>
              <w:pStyle w:val="41"/>
              <w:rPr>
                <w:color w:val="auto"/>
                <w:highlight w:val="none"/>
              </w:rPr>
            </w:pPr>
            <w:r>
              <w:rPr>
                <w:color w:val="auto"/>
                <w:highlight w:val="none"/>
              </w:rPr>
              <w:t>可行☑   不可行□</w:t>
            </w:r>
          </w:p>
        </w:tc>
      </w:tr>
      <w:tr w14:paraId="6C669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27" w:hRule="atLeast"/>
          <w:jc w:val="center"/>
        </w:trPr>
        <w:tc>
          <w:tcPr>
            <w:tcW w:w="8526" w:type="dxa"/>
            <w:gridSpan w:val="11"/>
            <w:tcBorders>
              <w:tl2br w:val="nil"/>
              <w:tr2bl w:val="nil"/>
            </w:tcBorders>
            <w:shd w:val="clear" w:color="auto" w:fill="FFFFFF"/>
            <w:vAlign w:val="center"/>
          </w:tcPr>
          <w:p w14:paraId="49C38232">
            <w:pPr>
              <w:pStyle w:val="41"/>
              <w:rPr>
                <w:color w:val="auto"/>
                <w:highlight w:val="none"/>
              </w:rPr>
            </w:pPr>
            <w:r>
              <w:rPr>
                <w:color w:val="auto"/>
                <w:highlight w:val="none"/>
              </w:rPr>
              <w:t>注：“□”为勾选项，可√；“（    ）”为内容填写项。</w:t>
            </w:r>
          </w:p>
        </w:tc>
      </w:tr>
    </w:tbl>
    <w:p w14:paraId="38016AC2">
      <w:pPr>
        <w:pStyle w:val="39"/>
        <w:rPr>
          <w:rFonts w:hint="default"/>
          <w:color w:val="auto"/>
          <w:highlight w:val="none"/>
        </w:rPr>
      </w:pPr>
      <w:bookmarkStart w:id="383" w:name="_Toc5149"/>
      <w:bookmarkStart w:id="384" w:name="_Toc5982"/>
      <w:r>
        <w:rPr>
          <w:rFonts w:hint="default"/>
          <w:color w:val="auto"/>
          <w:highlight w:val="none"/>
        </w:rPr>
        <w:t>固体废物</w:t>
      </w:r>
      <w:r>
        <w:rPr>
          <w:rFonts w:hint="default"/>
          <w:color w:val="auto"/>
          <w:highlight w:val="none"/>
          <w:lang w:val="zh-CN"/>
        </w:rPr>
        <w:t>环境影响预测与评价</w:t>
      </w:r>
      <w:bookmarkEnd w:id="383"/>
      <w:bookmarkEnd w:id="384"/>
    </w:p>
    <w:p w14:paraId="29696121">
      <w:pPr>
        <w:pStyle w:val="42"/>
        <w:rPr>
          <w:rFonts w:hint="default"/>
          <w:color w:val="auto"/>
          <w:highlight w:val="none"/>
        </w:rPr>
      </w:pPr>
      <w:r>
        <w:rPr>
          <w:color w:val="auto"/>
          <w:highlight w:val="none"/>
        </w:rPr>
        <w:t>固体废物检测</w:t>
      </w:r>
      <w:r>
        <w:rPr>
          <w:rFonts w:hint="default"/>
          <w:color w:val="auto"/>
          <w:highlight w:val="none"/>
        </w:rPr>
        <w:t>结果</w:t>
      </w:r>
    </w:p>
    <w:p w14:paraId="4AC001DC">
      <w:pPr>
        <w:pStyle w:val="3"/>
        <w:ind w:firstLine="480"/>
        <w:rPr>
          <w:color w:val="auto"/>
          <w:highlight w:val="none"/>
        </w:rPr>
      </w:pPr>
      <w:r>
        <w:rPr>
          <w:color w:val="auto"/>
          <w:highlight w:val="none"/>
        </w:rPr>
        <w:t>委托新疆锡水金山环境科技有限公司进行尾矿</w:t>
      </w:r>
      <w:r>
        <w:rPr>
          <w:rFonts w:hint="eastAsia"/>
          <w:color w:val="auto"/>
          <w:highlight w:val="none"/>
        </w:rPr>
        <w:t>和废石</w:t>
      </w:r>
      <w:r>
        <w:rPr>
          <w:color w:val="auto"/>
          <w:highlight w:val="none"/>
        </w:rPr>
        <w:t>浸出毒性实验，结果如下表：</w:t>
      </w:r>
    </w:p>
    <w:p w14:paraId="43142AB7">
      <w:pPr>
        <w:pStyle w:val="40"/>
        <w:rPr>
          <w:color w:val="auto"/>
          <w:highlight w:val="none"/>
        </w:rPr>
      </w:pPr>
      <w:r>
        <w:rPr>
          <w:color w:val="auto"/>
          <w:highlight w:val="none"/>
        </w:rPr>
        <w:t>表5.</w:t>
      </w:r>
      <w:r>
        <w:rPr>
          <w:rFonts w:hint="eastAsia"/>
          <w:color w:val="auto"/>
          <w:highlight w:val="none"/>
        </w:rPr>
        <w:t>5</w:t>
      </w:r>
      <w:r>
        <w:rPr>
          <w:color w:val="auto"/>
          <w:highlight w:val="none"/>
        </w:rPr>
        <w:t>-</w:t>
      </w:r>
      <w:r>
        <w:rPr>
          <w:rFonts w:hint="eastAsia"/>
          <w:color w:val="auto"/>
          <w:highlight w:val="none"/>
        </w:rPr>
        <w:t>1</w:t>
      </w:r>
      <w:r>
        <w:rPr>
          <w:color w:val="auto"/>
          <w:highlight w:val="none"/>
        </w:rPr>
        <w:t xml:space="preserve">   尾矿浸出实验结果</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26"/>
        <w:gridCol w:w="1710"/>
        <w:gridCol w:w="686"/>
        <w:gridCol w:w="1173"/>
        <w:gridCol w:w="1143"/>
        <w:gridCol w:w="1535"/>
        <w:gridCol w:w="1838"/>
      </w:tblGrid>
      <w:tr w14:paraId="08EE4C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17" w:type="pct"/>
            <w:vAlign w:val="center"/>
          </w:tcPr>
          <w:p w14:paraId="77B7877E">
            <w:pPr>
              <w:pStyle w:val="41"/>
              <w:rPr>
                <w:color w:val="auto"/>
                <w:highlight w:val="none"/>
              </w:rPr>
            </w:pPr>
            <w:r>
              <w:rPr>
                <w:color w:val="auto"/>
                <w:highlight w:val="none"/>
              </w:rPr>
              <w:t>序号</w:t>
            </w:r>
          </w:p>
        </w:tc>
        <w:tc>
          <w:tcPr>
            <w:tcW w:w="1039" w:type="pct"/>
            <w:vAlign w:val="center"/>
          </w:tcPr>
          <w:p w14:paraId="56D5E4E2">
            <w:pPr>
              <w:pStyle w:val="41"/>
              <w:rPr>
                <w:color w:val="auto"/>
                <w:highlight w:val="none"/>
              </w:rPr>
            </w:pPr>
            <w:r>
              <w:rPr>
                <w:color w:val="auto"/>
                <w:highlight w:val="none"/>
              </w:rPr>
              <w:t>项目</w:t>
            </w:r>
          </w:p>
        </w:tc>
        <w:tc>
          <w:tcPr>
            <w:tcW w:w="438" w:type="pct"/>
            <w:vAlign w:val="center"/>
          </w:tcPr>
          <w:p w14:paraId="66BA9288">
            <w:pPr>
              <w:pStyle w:val="41"/>
              <w:rPr>
                <w:color w:val="auto"/>
                <w:highlight w:val="none"/>
              </w:rPr>
            </w:pPr>
            <w:r>
              <w:rPr>
                <w:color w:val="auto"/>
                <w:highlight w:val="none"/>
              </w:rPr>
              <w:t>单位</w:t>
            </w:r>
          </w:p>
        </w:tc>
        <w:tc>
          <w:tcPr>
            <w:tcW w:w="724" w:type="pct"/>
            <w:vAlign w:val="center"/>
          </w:tcPr>
          <w:p w14:paraId="1E9462D8">
            <w:pPr>
              <w:pStyle w:val="41"/>
              <w:rPr>
                <w:color w:val="auto"/>
                <w:highlight w:val="none"/>
              </w:rPr>
            </w:pPr>
            <w:r>
              <w:rPr>
                <w:color w:val="auto"/>
                <w:highlight w:val="none"/>
              </w:rPr>
              <w:t>尾矿</w:t>
            </w:r>
          </w:p>
        </w:tc>
        <w:tc>
          <w:tcPr>
            <w:tcW w:w="706" w:type="pct"/>
            <w:vAlign w:val="center"/>
          </w:tcPr>
          <w:p w14:paraId="3DA0C07A">
            <w:pPr>
              <w:pStyle w:val="41"/>
              <w:rPr>
                <w:color w:val="auto"/>
                <w:highlight w:val="none"/>
              </w:rPr>
            </w:pPr>
            <w:r>
              <w:rPr>
                <w:color w:val="auto"/>
                <w:highlight w:val="none"/>
              </w:rPr>
              <w:t>废石</w:t>
            </w:r>
          </w:p>
        </w:tc>
        <w:tc>
          <w:tcPr>
            <w:tcW w:w="936" w:type="pct"/>
            <w:vAlign w:val="center"/>
          </w:tcPr>
          <w:p w14:paraId="5B04D126">
            <w:pPr>
              <w:pStyle w:val="41"/>
              <w:rPr>
                <w:color w:val="auto"/>
                <w:highlight w:val="none"/>
              </w:rPr>
            </w:pPr>
            <w:r>
              <w:rPr>
                <w:color w:val="auto"/>
                <w:highlight w:val="none"/>
              </w:rPr>
              <w:t>《危险废物鉴别标准 浸出毒性鉴别》</w:t>
            </w:r>
          </w:p>
        </w:tc>
        <w:tc>
          <w:tcPr>
            <w:tcW w:w="936" w:type="pct"/>
            <w:vAlign w:val="center"/>
          </w:tcPr>
          <w:p w14:paraId="3B28E68C">
            <w:pPr>
              <w:pStyle w:val="41"/>
              <w:rPr>
                <w:rFonts w:hint="eastAsia" w:eastAsia="华文中宋"/>
                <w:color w:val="auto"/>
                <w:highlight w:val="none"/>
                <w:lang w:eastAsia="zh-CN"/>
              </w:rPr>
            </w:pPr>
            <w:r>
              <w:rPr>
                <w:rFonts w:hint="eastAsia" w:eastAsia="华文中宋"/>
                <w:color w:val="auto"/>
                <w:highlight w:val="none"/>
                <w:lang w:eastAsia="zh-CN"/>
              </w:rPr>
              <w:t>污水综合排放标准</w:t>
            </w:r>
            <w:r>
              <w:rPr>
                <w:rFonts w:hint="eastAsia"/>
                <w:color w:val="auto"/>
                <w:highlight w:val="none"/>
                <w:lang w:eastAsia="zh-CN"/>
              </w:rPr>
              <w:t>（</w:t>
            </w:r>
            <w:r>
              <w:rPr>
                <w:rFonts w:hint="eastAsia" w:eastAsia="华文中宋"/>
                <w:color w:val="auto"/>
                <w:highlight w:val="none"/>
                <w:lang w:eastAsia="zh-CN"/>
              </w:rPr>
              <w:t>GB8978-1996</w:t>
            </w:r>
            <w:r>
              <w:rPr>
                <w:rFonts w:hint="eastAsia"/>
                <w:color w:val="auto"/>
                <w:highlight w:val="none"/>
                <w:lang w:eastAsia="zh-CN"/>
              </w:rPr>
              <w:t>）一级标准</w:t>
            </w:r>
          </w:p>
        </w:tc>
      </w:tr>
      <w:tr w14:paraId="6514EA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17" w:type="pct"/>
            <w:vAlign w:val="center"/>
          </w:tcPr>
          <w:p w14:paraId="28C97EE3">
            <w:pPr>
              <w:pStyle w:val="41"/>
              <w:rPr>
                <w:color w:val="auto"/>
                <w:highlight w:val="none"/>
              </w:rPr>
            </w:pPr>
            <w:r>
              <w:rPr>
                <w:color w:val="auto"/>
                <w:highlight w:val="none"/>
              </w:rPr>
              <w:t>1</w:t>
            </w:r>
          </w:p>
        </w:tc>
        <w:tc>
          <w:tcPr>
            <w:tcW w:w="1039" w:type="pct"/>
            <w:vAlign w:val="center"/>
          </w:tcPr>
          <w:p w14:paraId="5515905F">
            <w:pPr>
              <w:pStyle w:val="41"/>
              <w:rPr>
                <w:color w:val="auto"/>
                <w:highlight w:val="none"/>
              </w:rPr>
            </w:pPr>
            <w:r>
              <w:rPr>
                <w:color w:val="auto"/>
                <w:highlight w:val="none"/>
              </w:rPr>
              <w:t>腐蚀性（pH）</w:t>
            </w:r>
          </w:p>
        </w:tc>
        <w:tc>
          <w:tcPr>
            <w:tcW w:w="438" w:type="pct"/>
            <w:vAlign w:val="center"/>
          </w:tcPr>
          <w:p w14:paraId="37507869">
            <w:pPr>
              <w:pStyle w:val="41"/>
              <w:rPr>
                <w:color w:val="auto"/>
                <w:highlight w:val="none"/>
              </w:rPr>
            </w:pPr>
            <w:r>
              <w:rPr>
                <w:color w:val="auto"/>
                <w:highlight w:val="none"/>
              </w:rPr>
              <w:t>/</w:t>
            </w:r>
          </w:p>
        </w:tc>
        <w:tc>
          <w:tcPr>
            <w:tcW w:w="724" w:type="pct"/>
            <w:vAlign w:val="center"/>
          </w:tcPr>
          <w:p w14:paraId="25281D34">
            <w:pPr>
              <w:pStyle w:val="41"/>
              <w:rPr>
                <w:color w:val="auto"/>
                <w:highlight w:val="none"/>
              </w:rPr>
            </w:pPr>
            <w:r>
              <w:rPr>
                <w:color w:val="auto"/>
                <w:highlight w:val="none"/>
              </w:rPr>
              <w:t>7.5</w:t>
            </w:r>
          </w:p>
        </w:tc>
        <w:tc>
          <w:tcPr>
            <w:tcW w:w="706" w:type="pct"/>
            <w:vAlign w:val="center"/>
          </w:tcPr>
          <w:p w14:paraId="0EF50B31">
            <w:pPr>
              <w:pStyle w:val="41"/>
              <w:rPr>
                <w:color w:val="auto"/>
                <w:highlight w:val="none"/>
              </w:rPr>
            </w:pPr>
            <w:r>
              <w:rPr>
                <w:color w:val="auto"/>
                <w:highlight w:val="none"/>
              </w:rPr>
              <w:t>7.4</w:t>
            </w:r>
          </w:p>
        </w:tc>
        <w:tc>
          <w:tcPr>
            <w:tcW w:w="936" w:type="pct"/>
            <w:vAlign w:val="center"/>
          </w:tcPr>
          <w:p w14:paraId="69BB0C39">
            <w:pPr>
              <w:pStyle w:val="41"/>
              <w:rPr>
                <w:color w:val="auto"/>
                <w:highlight w:val="none"/>
              </w:rPr>
            </w:pPr>
            <w:r>
              <w:rPr>
                <w:color w:val="auto"/>
                <w:highlight w:val="none"/>
              </w:rPr>
              <w:t>/</w:t>
            </w:r>
          </w:p>
        </w:tc>
        <w:tc>
          <w:tcPr>
            <w:tcW w:w="936" w:type="pct"/>
            <w:vAlign w:val="center"/>
          </w:tcPr>
          <w:p w14:paraId="722A3B95">
            <w:pPr>
              <w:pStyle w:val="41"/>
              <w:rPr>
                <w:rFonts w:hint="default" w:eastAsia="华文中宋"/>
                <w:color w:val="auto"/>
                <w:highlight w:val="none"/>
                <w:lang w:val="en-US" w:eastAsia="zh-CN"/>
              </w:rPr>
            </w:pPr>
            <w:r>
              <w:rPr>
                <w:rFonts w:hint="eastAsia"/>
                <w:color w:val="auto"/>
                <w:highlight w:val="none"/>
                <w:lang w:val="en-US" w:eastAsia="zh-CN"/>
              </w:rPr>
              <w:t>6~9</w:t>
            </w:r>
          </w:p>
        </w:tc>
      </w:tr>
      <w:tr w14:paraId="4873E6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17" w:type="pct"/>
            <w:vAlign w:val="center"/>
          </w:tcPr>
          <w:p w14:paraId="3165CAC7">
            <w:pPr>
              <w:pStyle w:val="41"/>
              <w:rPr>
                <w:color w:val="auto"/>
                <w:highlight w:val="none"/>
              </w:rPr>
            </w:pPr>
            <w:r>
              <w:rPr>
                <w:color w:val="auto"/>
                <w:highlight w:val="none"/>
              </w:rPr>
              <w:t>2</w:t>
            </w:r>
          </w:p>
        </w:tc>
        <w:tc>
          <w:tcPr>
            <w:tcW w:w="1039" w:type="pct"/>
            <w:vAlign w:val="center"/>
          </w:tcPr>
          <w:p w14:paraId="29210C43">
            <w:pPr>
              <w:pStyle w:val="41"/>
              <w:rPr>
                <w:color w:val="auto"/>
                <w:highlight w:val="none"/>
              </w:rPr>
            </w:pPr>
            <w:r>
              <w:rPr>
                <w:color w:val="auto"/>
                <w:highlight w:val="none"/>
              </w:rPr>
              <w:t>铜（以总铜计）</w:t>
            </w:r>
          </w:p>
        </w:tc>
        <w:tc>
          <w:tcPr>
            <w:tcW w:w="438" w:type="pct"/>
            <w:vAlign w:val="center"/>
          </w:tcPr>
          <w:p w14:paraId="73E02341">
            <w:pPr>
              <w:pStyle w:val="41"/>
              <w:rPr>
                <w:color w:val="auto"/>
                <w:highlight w:val="none"/>
              </w:rPr>
            </w:pPr>
            <w:r>
              <w:rPr>
                <w:color w:val="auto"/>
                <w:highlight w:val="none"/>
              </w:rPr>
              <w:t>mg/L</w:t>
            </w:r>
          </w:p>
        </w:tc>
        <w:tc>
          <w:tcPr>
            <w:tcW w:w="724" w:type="pct"/>
            <w:vAlign w:val="center"/>
          </w:tcPr>
          <w:p w14:paraId="78B5684D">
            <w:pPr>
              <w:pStyle w:val="41"/>
              <w:rPr>
                <w:color w:val="auto"/>
                <w:highlight w:val="none"/>
              </w:rPr>
            </w:pPr>
            <w:r>
              <w:rPr>
                <w:color w:val="auto"/>
                <w:highlight w:val="none"/>
              </w:rPr>
              <w:t>0.01063</w:t>
            </w:r>
          </w:p>
        </w:tc>
        <w:tc>
          <w:tcPr>
            <w:tcW w:w="706" w:type="pct"/>
            <w:vAlign w:val="center"/>
          </w:tcPr>
          <w:p w14:paraId="626F3D31">
            <w:pPr>
              <w:pStyle w:val="41"/>
              <w:rPr>
                <w:color w:val="auto"/>
                <w:highlight w:val="none"/>
              </w:rPr>
            </w:pPr>
            <w:r>
              <w:rPr>
                <w:color w:val="auto"/>
                <w:highlight w:val="none"/>
              </w:rPr>
              <w:t>0.01122</w:t>
            </w:r>
          </w:p>
        </w:tc>
        <w:tc>
          <w:tcPr>
            <w:tcW w:w="936" w:type="pct"/>
            <w:vAlign w:val="center"/>
          </w:tcPr>
          <w:p w14:paraId="608B7E4E">
            <w:pPr>
              <w:pStyle w:val="41"/>
              <w:rPr>
                <w:color w:val="auto"/>
                <w:highlight w:val="none"/>
              </w:rPr>
            </w:pPr>
            <w:r>
              <w:rPr>
                <w:color w:val="auto"/>
                <w:highlight w:val="none"/>
              </w:rPr>
              <w:t>100</w:t>
            </w:r>
          </w:p>
        </w:tc>
        <w:tc>
          <w:tcPr>
            <w:tcW w:w="936" w:type="pct"/>
            <w:vAlign w:val="center"/>
          </w:tcPr>
          <w:p w14:paraId="2240C387">
            <w:pPr>
              <w:pStyle w:val="41"/>
              <w:rPr>
                <w:rFonts w:hint="default" w:eastAsia="华文中宋"/>
                <w:color w:val="auto"/>
                <w:highlight w:val="none"/>
                <w:lang w:val="en-US" w:eastAsia="zh-CN"/>
              </w:rPr>
            </w:pPr>
            <w:r>
              <w:rPr>
                <w:rFonts w:hint="eastAsia"/>
                <w:color w:val="auto"/>
                <w:highlight w:val="none"/>
                <w:lang w:val="en-US" w:eastAsia="zh-CN"/>
              </w:rPr>
              <w:t>0.5</w:t>
            </w:r>
          </w:p>
        </w:tc>
      </w:tr>
      <w:tr w14:paraId="1AD4C7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17" w:type="pct"/>
            <w:vAlign w:val="center"/>
          </w:tcPr>
          <w:p w14:paraId="6472AF98">
            <w:pPr>
              <w:pStyle w:val="41"/>
              <w:rPr>
                <w:color w:val="auto"/>
                <w:highlight w:val="none"/>
              </w:rPr>
            </w:pPr>
            <w:r>
              <w:rPr>
                <w:color w:val="auto"/>
                <w:highlight w:val="none"/>
              </w:rPr>
              <w:t>3</w:t>
            </w:r>
          </w:p>
        </w:tc>
        <w:tc>
          <w:tcPr>
            <w:tcW w:w="1039" w:type="pct"/>
            <w:vAlign w:val="center"/>
          </w:tcPr>
          <w:p w14:paraId="1EC74153">
            <w:pPr>
              <w:pStyle w:val="41"/>
              <w:rPr>
                <w:color w:val="auto"/>
                <w:highlight w:val="none"/>
              </w:rPr>
            </w:pPr>
            <w:r>
              <w:rPr>
                <w:color w:val="auto"/>
                <w:highlight w:val="none"/>
              </w:rPr>
              <w:t>锌（以总锌计）</w:t>
            </w:r>
          </w:p>
        </w:tc>
        <w:tc>
          <w:tcPr>
            <w:tcW w:w="438" w:type="pct"/>
            <w:vAlign w:val="center"/>
          </w:tcPr>
          <w:p w14:paraId="5D21BE3B">
            <w:pPr>
              <w:pStyle w:val="41"/>
              <w:rPr>
                <w:color w:val="auto"/>
                <w:highlight w:val="none"/>
              </w:rPr>
            </w:pPr>
            <w:r>
              <w:rPr>
                <w:color w:val="auto"/>
                <w:highlight w:val="none"/>
              </w:rPr>
              <w:t>mg/L</w:t>
            </w:r>
          </w:p>
        </w:tc>
        <w:tc>
          <w:tcPr>
            <w:tcW w:w="724" w:type="pct"/>
            <w:vAlign w:val="center"/>
          </w:tcPr>
          <w:p w14:paraId="728BB64C">
            <w:pPr>
              <w:pStyle w:val="41"/>
              <w:rPr>
                <w:rFonts w:hint="default"/>
                <w:color w:val="auto"/>
                <w:highlight w:val="none"/>
              </w:rPr>
            </w:pPr>
            <w:r>
              <w:rPr>
                <w:rFonts w:hint="eastAsia"/>
                <w:color w:val="auto"/>
                <w:highlight w:val="none"/>
                <w:lang w:eastAsia="zh-CN"/>
              </w:rPr>
              <w:t>0</w:t>
            </w:r>
            <w:r>
              <w:rPr>
                <w:rFonts w:hint="eastAsia"/>
                <w:color w:val="auto"/>
                <w:highlight w:val="none"/>
                <w:lang w:val="en-US" w:eastAsia="zh-CN"/>
              </w:rPr>
              <w:t>.44</w:t>
            </w:r>
          </w:p>
        </w:tc>
        <w:tc>
          <w:tcPr>
            <w:tcW w:w="706" w:type="pct"/>
            <w:vAlign w:val="center"/>
          </w:tcPr>
          <w:p w14:paraId="74DD6BC8">
            <w:pPr>
              <w:pStyle w:val="41"/>
              <w:rPr>
                <w:rFonts w:hint="default"/>
                <w:color w:val="auto"/>
                <w:highlight w:val="none"/>
              </w:rPr>
            </w:pPr>
            <w:r>
              <w:rPr>
                <w:rFonts w:hint="eastAsia"/>
                <w:color w:val="auto"/>
                <w:highlight w:val="none"/>
                <w:lang w:eastAsia="zh-CN"/>
              </w:rPr>
              <w:t>0</w:t>
            </w:r>
            <w:r>
              <w:rPr>
                <w:rFonts w:hint="eastAsia"/>
                <w:color w:val="auto"/>
                <w:highlight w:val="none"/>
                <w:lang w:val="en-US" w:eastAsia="zh-CN"/>
              </w:rPr>
              <w:t>.44</w:t>
            </w:r>
          </w:p>
        </w:tc>
        <w:tc>
          <w:tcPr>
            <w:tcW w:w="936" w:type="pct"/>
            <w:vAlign w:val="center"/>
          </w:tcPr>
          <w:p w14:paraId="6D7CC054">
            <w:pPr>
              <w:pStyle w:val="41"/>
              <w:rPr>
                <w:color w:val="auto"/>
                <w:highlight w:val="none"/>
              </w:rPr>
            </w:pPr>
            <w:r>
              <w:rPr>
                <w:color w:val="auto"/>
                <w:highlight w:val="none"/>
              </w:rPr>
              <w:t>100</w:t>
            </w:r>
          </w:p>
        </w:tc>
        <w:tc>
          <w:tcPr>
            <w:tcW w:w="936" w:type="pct"/>
            <w:vAlign w:val="center"/>
          </w:tcPr>
          <w:p w14:paraId="74ACECF1">
            <w:pPr>
              <w:pStyle w:val="41"/>
              <w:rPr>
                <w:rFonts w:hint="default" w:eastAsia="华文中宋"/>
                <w:color w:val="auto"/>
                <w:highlight w:val="none"/>
                <w:lang w:val="en-US" w:eastAsia="zh-CN"/>
              </w:rPr>
            </w:pPr>
            <w:r>
              <w:rPr>
                <w:rFonts w:hint="eastAsia"/>
                <w:color w:val="auto"/>
                <w:highlight w:val="none"/>
                <w:lang w:val="en-US" w:eastAsia="zh-CN"/>
              </w:rPr>
              <w:t>2.0</w:t>
            </w:r>
          </w:p>
        </w:tc>
      </w:tr>
      <w:tr w14:paraId="4DE656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17" w:type="pct"/>
            <w:vAlign w:val="center"/>
          </w:tcPr>
          <w:p w14:paraId="0F0072E4">
            <w:pPr>
              <w:pStyle w:val="41"/>
              <w:rPr>
                <w:color w:val="auto"/>
                <w:highlight w:val="none"/>
              </w:rPr>
            </w:pPr>
            <w:r>
              <w:rPr>
                <w:color w:val="auto"/>
                <w:highlight w:val="none"/>
              </w:rPr>
              <w:t>4</w:t>
            </w:r>
          </w:p>
        </w:tc>
        <w:tc>
          <w:tcPr>
            <w:tcW w:w="1039" w:type="pct"/>
            <w:vAlign w:val="center"/>
          </w:tcPr>
          <w:p w14:paraId="1F443CFE">
            <w:pPr>
              <w:pStyle w:val="41"/>
              <w:rPr>
                <w:color w:val="auto"/>
                <w:highlight w:val="none"/>
              </w:rPr>
            </w:pPr>
            <w:r>
              <w:rPr>
                <w:color w:val="auto"/>
                <w:highlight w:val="none"/>
              </w:rPr>
              <w:t>镉（以总镉计）</w:t>
            </w:r>
          </w:p>
        </w:tc>
        <w:tc>
          <w:tcPr>
            <w:tcW w:w="438" w:type="pct"/>
            <w:vAlign w:val="center"/>
          </w:tcPr>
          <w:p w14:paraId="17E49D8A">
            <w:pPr>
              <w:pStyle w:val="41"/>
              <w:rPr>
                <w:color w:val="auto"/>
                <w:highlight w:val="none"/>
              </w:rPr>
            </w:pPr>
            <w:r>
              <w:rPr>
                <w:color w:val="auto"/>
                <w:highlight w:val="none"/>
              </w:rPr>
              <w:t>mg/L</w:t>
            </w:r>
          </w:p>
        </w:tc>
        <w:tc>
          <w:tcPr>
            <w:tcW w:w="724" w:type="pct"/>
            <w:vAlign w:val="center"/>
          </w:tcPr>
          <w:p w14:paraId="387C72A0">
            <w:pPr>
              <w:pStyle w:val="41"/>
              <w:rPr>
                <w:color w:val="auto"/>
                <w:highlight w:val="none"/>
              </w:rPr>
            </w:pPr>
            <w:r>
              <w:rPr>
                <w:color w:val="auto"/>
                <w:highlight w:val="none"/>
              </w:rPr>
              <w:t>0.00172</w:t>
            </w:r>
          </w:p>
        </w:tc>
        <w:tc>
          <w:tcPr>
            <w:tcW w:w="706" w:type="pct"/>
            <w:vAlign w:val="center"/>
          </w:tcPr>
          <w:p w14:paraId="19464682">
            <w:pPr>
              <w:pStyle w:val="41"/>
              <w:rPr>
                <w:color w:val="auto"/>
                <w:highlight w:val="none"/>
              </w:rPr>
            </w:pPr>
            <w:r>
              <w:rPr>
                <w:color w:val="auto"/>
                <w:highlight w:val="none"/>
              </w:rPr>
              <w:t>0.0012L</w:t>
            </w:r>
          </w:p>
        </w:tc>
        <w:tc>
          <w:tcPr>
            <w:tcW w:w="936" w:type="pct"/>
            <w:vAlign w:val="center"/>
          </w:tcPr>
          <w:p w14:paraId="380BAFA9">
            <w:pPr>
              <w:pStyle w:val="41"/>
              <w:rPr>
                <w:color w:val="auto"/>
                <w:highlight w:val="none"/>
              </w:rPr>
            </w:pPr>
            <w:r>
              <w:rPr>
                <w:color w:val="auto"/>
                <w:highlight w:val="none"/>
              </w:rPr>
              <w:t>1</w:t>
            </w:r>
          </w:p>
        </w:tc>
        <w:tc>
          <w:tcPr>
            <w:tcW w:w="936" w:type="pct"/>
            <w:vAlign w:val="center"/>
          </w:tcPr>
          <w:p w14:paraId="24186CD6">
            <w:pPr>
              <w:pStyle w:val="41"/>
              <w:rPr>
                <w:rFonts w:hint="default" w:eastAsia="华文中宋"/>
                <w:color w:val="auto"/>
                <w:highlight w:val="none"/>
                <w:lang w:val="en-US" w:eastAsia="zh-CN"/>
              </w:rPr>
            </w:pPr>
            <w:r>
              <w:rPr>
                <w:rFonts w:hint="eastAsia"/>
                <w:color w:val="auto"/>
                <w:highlight w:val="none"/>
                <w:lang w:val="en-US" w:eastAsia="zh-CN"/>
              </w:rPr>
              <w:t>0.1</w:t>
            </w:r>
          </w:p>
        </w:tc>
      </w:tr>
      <w:tr w14:paraId="5E8A8B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17" w:type="pct"/>
            <w:vAlign w:val="center"/>
          </w:tcPr>
          <w:p w14:paraId="5386208A">
            <w:pPr>
              <w:pStyle w:val="41"/>
              <w:rPr>
                <w:color w:val="auto"/>
                <w:highlight w:val="none"/>
              </w:rPr>
            </w:pPr>
            <w:r>
              <w:rPr>
                <w:color w:val="auto"/>
                <w:highlight w:val="none"/>
              </w:rPr>
              <w:t>5</w:t>
            </w:r>
          </w:p>
        </w:tc>
        <w:tc>
          <w:tcPr>
            <w:tcW w:w="1039" w:type="pct"/>
            <w:vAlign w:val="center"/>
          </w:tcPr>
          <w:p w14:paraId="5B9B2E6A">
            <w:pPr>
              <w:pStyle w:val="41"/>
              <w:rPr>
                <w:color w:val="auto"/>
                <w:highlight w:val="none"/>
              </w:rPr>
            </w:pPr>
            <w:r>
              <w:rPr>
                <w:color w:val="auto"/>
                <w:highlight w:val="none"/>
              </w:rPr>
              <w:t>铅（以总铅计）</w:t>
            </w:r>
          </w:p>
        </w:tc>
        <w:tc>
          <w:tcPr>
            <w:tcW w:w="438" w:type="pct"/>
            <w:vAlign w:val="center"/>
          </w:tcPr>
          <w:p w14:paraId="6B508201">
            <w:pPr>
              <w:pStyle w:val="41"/>
              <w:rPr>
                <w:color w:val="auto"/>
                <w:highlight w:val="none"/>
              </w:rPr>
            </w:pPr>
            <w:r>
              <w:rPr>
                <w:color w:val="auto"/>
                <w:highlight w:val="none"/>
              </w:rPr>
              <w:t>mg/L</w:t>
            </w:r>
          </w:p>
        </w:tc>
        <w:tc>
          <w:tcPr>
            <w:tcW w:w="724" w:type="pct"/>
            <w:vAlign w:val="center"/>
          </w:tcPr>
          <w:p w14:paraId="0A9856FA">
            <w:pPr>
              <w:pStyle w:val="41"/>
              <w:rPr>
                <w:color w:val="auto"/>
                <w:highlight w:val="none"/>
              </w:rPr>
            </w:pPr>
            <w:r>
              <w:rPr>
                <w:color w:val="auto"/>
                <w:highlight w:val="none"/>
              </w:rPr>
              <w:t>0.01919</w:t>
            </w:r>
          </w:p>
        </w:tc>
        <w:tc>
          <w:tcPr>
            <w:tcW w:w="706" w:type="pct"/>
            <w:vAlign w:val="center"/>
          </w:tcPr>
          <w:p w14:paraId="114D7CFB">
            <w:pPr>
              <w:pStyle w:val="41"/>
              <w:rPr>
                <w:color w:val="auto"/>
                <w:highlight w:val="none"/>
              </w:rPr>
            </w:pPr>
            <w:r>
              <w:rPr>
                <w:color w:val="auto"/>
                <w:highlight w:val="none"/>
              </w:rPr>
              <w:t>0.02566</w:t>
            </w:r>
          </w:p>
        </w:tc>
        <w:tc>
          <w:tcPr>
            <w:tcW w:w="936" w:type="pct"/>
            <w:vAlign w:val="center"/>
          </w:tcPr>
          <w:p w14:paraId="64C05996">
            <w:pPr>
              <w:pStyle w:val="41"/>
              <w:rPr>
                <w:color w:val="auto"/>
                <w:highlight w:val="none"/>
              </w:rPr>
            </w:pPr>
            <w:r>
              <w:rPr>
                <w:color w:val="auto"/>
                <w:highlight w:val="none"/>
              </w:rPr>
              <w:t>5</w:t>
            </w:r>
          </w:p>
        </w:tc>
        <w:tc>
          <w:tcPr>
            <w:tcW w:w="936" w:type="pct"/>
            <w:vAlign w:val="center"/>
          </w:tcPr>
          <w:p w14:paraId="0F00842C">
            <w:pPr>
              <w:pStyle w:val="41"/>
              <w:rPr>
                <w:rFonts w:hint="default" w:eastAsia="华文中宋"/>
                <w:color w:val="auto"/>
                <w:highlight w:val="none"/>
                <w:lang w:val="en-US" w:eastAsia="zh-CN"/>
              </w:rPr>
            </w:pPr>
            <w:r>
              <w:rPr>
                <w:rFonts w:hint="eastAsia"/>
                <w:color w:val="auto"/>
                <w:highlight w:val="none"/>
                <w:lang w:val="en-US" w:eastAsia="zh-CN"/>
              </w:rPr>
              <w:t>1.0</w:t>
            </w:r>
          </w:p>
        </w:tc>
      </w:tr>
      <w:tr w14:paraId="0D6880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00" w:hRule="atLeast"/>
          <w:jc w:val="center"/>
        </w:trPr>
        <w:tc>
          <w:tcPr>
            <w:tcW w:w="217" w:type="pct"/>
            <w:vAlign w:val="center"/>
          </w:tcPr>
          <w:p w14:paraId="3B161D0C">
            <w:pPr>
              <w:pStyle w:val="41"/>
              <w:rPr>
                <w:color w:val="auto"/>
                <w:highlight w:val="none"/>
              </w:rPr>
            </w:pPr>
            <w:r>
              <w:rPr>
                <w:color w:val="auto"/>
                <w:highlight w:val="none"/>
              </w:rPr>
              <w:t>6</w:t>
            </w:r>
          </w:p>
        </w:tc>
        <w:tc>
          <w:tcPr>
            <w:tcW w:w="1039" w:type="pct"/>
            <w:vAlign w:val="center"/>
          </w:tcPr>
          <w:p w14:paraId="5A653A96">
            <w:pPr>
              <w:pStyle w:val="41"/>
              <w:rPr>
                <w:color w:val="auto"/>
                <w:highlight w:val="none"/>
              </w:rPr>
            </w:pPr>
            <w:r>
              <w:rPr>
                <w:color w:val="auto"/>
                <w:highlight w:val="none"/>
              </w:rPr>
              <w:t>总铬</w:t>
            </w:r>
          </w:p>
        </w:tc>
        <w:tc>
          <w:tcPr>
            <w:tcW w:w="438" w:type="pct"/>
            <w:vAlign w:val="center"/>
          </w:tcPr>
          <w:p w14:paraId="7885758A">
            <w:pPr>
              <w:pStyle w:val="41"/>
              <w:rPr>
                <w:color w:val="auto"/>
                <w:highlight w:val="none"/>
              </w:rPr>
            </w:pPr>
            <w:r>
              <w:rPr>
                <w:color w:val="auto"/>
                <w:highlight w:val="none"/>
              </w:rPr>
              <w:t>mg/L</w:t>
            </w:r>
          </w:p>
        </w:tc>
        <w:tc>
          <w:tcPr>
            <w:tcW w:w="724" w:type="pct"/>
            <w:vAlign w:val="center"/>
          </w:tcPr>
          <w:p w14:paraId="32FB224C">
            <w:pPr>
              <w:pStyle w:val="41"/>
              <w:rPr>
                <w:color w:val="auto"/>
                <w:highlight w:val="none"/>
              </w:rPr>
            </w:pPr>
            <w:r>
              <w:rPr>
                <w:color w:val="auto"/>
                <w:highlight w:val="none"/>
              </w:rPr>
              <w:t>1.58</w:t>
            </w:r>
          </w:p>
        </w:tc>
        <w:tc>
          <w:tcPr>
            <w:tcW w:w="706" w:type="pct"/>
            <w:vAlign w:val="center"/>
          </w:tcPr>
          <w:p w14:paraId="675F9E7D">
            <w:pPr>
              <w:pStyle w:val="41"/>
              <w:rPr>
                <w:color w:val="auto"/>
                <w:highlight w:val="none"/>
              </w:rPr>
            </w:pPr>
            <w:r>
              <w:rPr>
                <w:color w:val="auto"/>
                <w:highlight w:val="none"/>
              </w:rPr>
              <w:t>1.60</w:t>
            </w:r>
          </w:p>
        </w:tc>
        <w:tc>
          <w:tcPr>
            <w:tcW w:w="936" w:type="pct"/>
            <w:vAlign w:val="center"/>
          </w:tcPr>
          <w:p w14:paraId="5A501C4B">
            <w:pPr>
              <w:pStyle w:val="41"/>
              <w:rPr>
                <w:color w:val="auto"/>
                <w:highlight w:val="none"/>
              </w:rPr>
            </w:pPr>
            <w:r>
              <w:rPr>
                <w:color w:val="auto"/>
                <w:highlight w:val="none"/>
              </w:rPr>
              <w:t>15</w:t>
            </w:r>
          </w:p>
        </w:tc>
        <w:tc>
          <w:tcPr>
            <w:tcW w:w="936" w:type="pct"/>
            <w:vAlign w:val="center"/>
          </w:tcPr>
          <w:p w14:paraId="63238FD3">
            <w:pPr>
              <w:pStyle w:val="41"/>
              <w:rPr>
                <w:rFonts w:hint="default" w:eastAsia="华文中宋"/>
                <w:color w:val="auto"/>
                <w:highlight w:val="none"/>
                <w:lang w:val="en-US" w:eastAsia="zh-CN"/>
              </w:rPr>
            </w:pPr>
            <w:r>
              <w:rPr>
                <w:rFonts w:hint="eastAsia"/>
                <w:color w:val="auto"/>
                <w:highlight w:val="none"/>
                <w:lang w:val="en-US" w:eastAsia="zh-CN"/>
              </w:rPr>
              <w:t>1.5</w:t>
            </w:r>
          </w:p>
        </w:tc>
      </w:tr>
      <w:tr w14:paraId="3A8742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17" w:type="pct"/>
            <w:vAlign w:val="center"/>
          </w:tcPr>
          <w:p w14:paraId="772B7BE7">
            <w:pPr>
              <w:pStyle w:val="41"/>
              <w:rPr>
                <w:color w:val="auto"/>
                <w:highlight w:val="none"/>
              </w:rPr>
            </w:pPr>
            <w:r>
              <w:rPr>
                <w:color w:val="auto"/>
                <w:highlight w:val="none"/>
              </w:rPr>
              <w:t>7</w:t>
            </w:r>
          </w:p>
        </w:tc>
        <w:tc>
          <w:tcPr>
            <w:tcW w:w="1039" w:type="pct"/>
            <w:vAlign w:val="center"/>
          </w:tcPr>
          <w:p w14:paraId="5A3D4D45">
            <w:pPr>
              <w:pStyle w:val="41"/>
              <w:rPr>
                <w:color w:val="auto"/>
                <w:highlight w:val="none"/>
              </w:rPr>
            </w:pPr>
            <w:r>
              <w:rPr>
                <w:color w:val="auto"/>
                <w:highlight w:val="none"/>
              </w:rPr>
              <w:t>铬（六价）</w:t>
            </w:r>
          </w:p>
        </w:tc>
        <w:tc>
          <w:tcPr>
            <w:tcW w:w="438" w:type="pct"/>
            <w:vAlign w:val="center"/>
          </w:tcPr>
          <w:p w14:paraId="7CCA2FBF">
            <w:pPr>
              <w:pStyle w:val="41"/>
              <w:rPr>
                <w:color w:val="auto"/>
                <w:highlight w:val="none"/>
              </w:rPr>
            </w:pPr>
            <w:r>
              <w:rPr>
                <w:color w:val="auto"/>
                <w:highlight w:val="none"/>
              </w:rPr>
              <w:t>mg/L</w:t>
            </w:r>
          </w:p>
        </w:tc>
        <w:tc>
          <w:tcPr>
            <w:tcW w:w="724" w:type="pct"/>
            <w:vAlign w:val="center"/>
          </w:tcPr>
          <w:p w14:paraId="7396B0DD">
            <w:pPr>
              <w:pStyle w:val="41"/>
              <w:rPr>
                <w:color w:val="auto"/>
                <w:highlight w:val="none"/>
              </w:rPr>
            </w:pPr>
            <w:r>
              <w:rPr>
                <w:color w:val="auto"/>
                <w:highlight w:val="none"/>
              </w:rPr>
              <w:t>0.004L</w:t>
            </w:r>
          </w:p>
        </w:tc>
        <w:tc>
          <w:tcPr>
            <w:tcW w:w="706" w:type="pct"/>
            <w:vAlign w:val="center"/>
          </w:tcPr>
          <w:p w14:paraId="770BFF80">
            <w:pPr>
              <w:pStyle w:val="41"/>
              <w:rPr>
                <w:color w:val="auto"/>
                <w:highlight w:val="none"/>
              </w:rPr>
            </w:pPr>
            <w:r>
              <w:rPr>
                <w:color w:val="auto"/>
                <w:highlight w:val="none"/>
              </w:rPr>
              <w:t>0.004L</w:t>
            </w:r>
          </w:p>
        </w:tc>
        <w:tc>
          <w:tcPr>
            <w:tcW w:w="936" w:type="pct"/>
            <w:vAlign w:val="center"/>
          </w:tcPr>
          <w:p w14:paraId="2255BD06">
            <w:pPr>
              <w:pStyle w:val="41"/>
              <w:rPr>
                <w:color w:val="auto"/>
                <w:highlight w:val="none"/>
              </w:rPr>
            </w:pPr>
            <w:r>
              <w:rPr>
                <w:color w:val="auto"/>
                <w:highlight w:val="none"/>
              </w:rPr>
              <w:t>5</w:t>
            </w:r>
          </w:p>
        </w:tc>
        <w:tc>
          <w:tcPr>
            <w:tcW w:w="936" w:type="pct"/>
            <w:vAlign w:val="center"/>
          </w:tcPr>
          <w:p w14:paraId="76AB22DD">
            <w:pPr>
              <w:pStyle w:val="41"/>
              <w:rPr>
                <w:rFonts w:hint="default" w:eastAsia="华文中宋"/>
                <w:color w:val="auto"/>
                <w:highlight w:val="none"/>
                <w:lang w:val="en-US" w:eastAsia="zh-CN"/>
              </w:rPr>
            </w:pPr>
            <w:r>
              <w:rPr>
                <w:rFonts w:hint="eastAsia"/>
                <w:color w:val="auto"/>
                <w:highlight w:val="none"/>
                <w:lang w:val="en-US" w:eastAsia="zh-CN"/>
              </w:rPr>
              <w:t>0.5</w:t>
            </w:r>
          </w:p>
        </w:tc>
      </w:tr>
      <w:tr w14:paraId="44E02F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17" w:type="pct"/>
            <w:vAlign w:val="center"/>
          </w:tcPr>
          <w:p w14:paraId="3C6CCD40">
            <w:pPr>
              <w:pStyle w:val="41"/>
              <w:rPr>
                <w:color w:val="auto"/>
                <w:highlight w:val="none"/>
              </w:rPr>
            </w:pPr>
            <w:r>
              <w:rPr>
                <w:color w:val="auto"/>
                <w:highlight w:val="none"/>
              </w:rPr>
              <w:t>9</w:t>
            </w:r>
          </w:p>
        </w:tc>
        <w:tc>
          <w:tcPr>
            <w:tcW w:w="1039" w:type="pct"/>
            <w:vAlign w:val="center"/>
          </w:tcPr>
          <w:p w14:paraId="350AE60B">
            <w:pPr>
              <w:pStyle w:val="41"/>
              <w:rPr>
                <w:color w:val="auto"/>
                <w:highlight w:val="none"/>
              </w:rPr>
            </w:pPr>
            <w:r>
              <w:rPr>
                <w:color w:val="auto"/>
                <w:highlight w:val="none"/>
              </w:rPr>
              <w:t>汞（以总汞计）</w:t>
            </w:r>
          </w:p>
        </w:tc>
        <w:tc>
          <w:tcPr>
            <w:tcW w:w="438" w:type="pct"/>
            <w:vAlign w:val="center"/>
          </w:tcPr>
          <w:p w14:paraId="7E280D02">
            <w:pPr>
              <w:pStyle w:val="41"/>
              <w:rPr>
                <w:color w:val="auto"/>
                <w:highlight w:val="none"/>
              </w:rPr>
            </w:pPr>
            <w:r>
              <w:rPr>
                <w:color w:val="auto"/>
                <w:highlight w:val="none"/>
              </w:rPr>
              <w:t>mg/L</w:t>
            </w:r>
          </w:p>
        </w:tc>
        <w:tc>
          <w:tcPr>
            <w:tcW w:w="724" w:type="pct"/>
            <w:vAlign w:val="center"/>
          </w:tcPr>
          <w:p w14:paraId="6187FDD6">
            <w:pPr>
              <w:pStyle w:val="41"/>
              <w:rPr>
                <w:color w:val="auto"/>
                <w:highlight w:val="none"/>
              </w:rPr>
            </w:pPr>
            <w:r>
              <w:rPr>
                <w:color w:val="auto"/>
                <w:highlight w:val="none"/>
              </w:rPr>
              <w:t>0.000650</w:t>
            </w:r>
          </w:p>
        </w:tc>
        <w:tc>
          <w:tcPr>
            <w:tcW w:w="706" w:type="pct"/>
            <w:vAlign w:val="center"/>
          </w:tcPr>
          <w:p w14:paraId="3921DB2D">
            <w:pPr>
              <w:pStyle w:val="41"/>
              <w:rPr>
                <w:color w:val="auto"/>
                <w:highlight w:val="none"/>
              </w:rPr>
            </w:pPr>
            <w:r>
              <w:rPr>
                <w:color w:val="auto"/>
                <w:highlight w:val="none"/>
              </w:rPr>
              <w:t>0.000929</w:t>
            </w:r>
          </w:p>
        </w:tc>
        <w:tc>
          <w:tcPr>
            <w:tcW w:w="936" w:type="pct"/>
            <w:vAlign w:val="center"/>
          </w:tcPr>
          <w:p w14:paraId="62E21E6B">
            <w:pPr>
              <w:pStyle w:val="41"/>
              <w:rPr>
                <w:color w:val="auto"/>
                <w:highlight w:val="none"/>
              </w:rPr>
            </w:pPr>
            <w:r>
              <w:rPr>
                <w:color w:val="auto"/>
                <w:highlight w:val="none"/>
              </w:rPr>
              <w:t>0.1</w:t>
            </w:r>
          </w:p>
        </w:tc>
        <w:tc>
          <w:tcPr>
            <w:tcW w:w="936" w:type="pct"/>
            <w:vAlign w:val="center"/>
          </w:tcPr>
          <w:p w14:paraId="11810D21">
            <w:pPr>
              <w:pStyle w:val="41"/>
              <w:rPr>
                <w:rFonts w:hint="default" w:eastAsia="华文中宋"/>
                <w:color w:val="auto"/>
                <w:highlight w:val="none"/>
                <w:lang w:val="en-US" w:eastAsia="zh-CN"/>
              </w:rPr>
            </w:pPr>
            <w:r>
              <w:rPr>
                <w:rFonts w:hint="eastAsia"/>
                <w:color w:val="auto"/>
                <w:highlight w:val="none"/>
                <w:lang w:val="en-US" w:eastAsia="zh-CN"/>
              </w:rPr>
              <w:t>0.05</w:t>
            </w:r>
          </w:p>
        </w:tc>
      </w:tr>
      <w:tr w14:paraId="7202D7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17" w:type="pct"/>
            <w:vAlign w:val="center"/>
          </w:tcPr>
          <w:p w14:paraId="36F55C5B">
            <w:pPr>
              <w:pStyle w:val="41"/>
              <w:rPr>
                <w:color w:val="auto"/>
                <w:highlight w:val="none"/>
              </w:rPr>
            </w:pPr>
            <w:r>
              <w:rPr>
                <w:color w:val="auto"/>
                <w:highlight w:val="none"/>
              </w:rPr>
              <w:t>10</w:t>
            </w:r>
          </w:p>
        </w:tc>
        <w:tc>
          <w:tcPr>
            <w:tcW w:w="1039" w:type="pct"/>
            <w:vAlign w:val="center"/>
          </w:tcPr>
          <w:p w14:paraId="7DE4D7CF">
            <w:pPr>
              <w:pStyle w:val="41"/>
              <w:rPr>
                <w:color w:val="auto"/>
                <w:highlight w:val="none"/>
              </w:rPr>
            </w:pPr>
            <w:r>
              <w:rPr>
                <w:color w:val="auto"/>
                <w:highlight w:val="none"/>
              </w:rPr>
              <w:t>铍（以总铍计）</w:t>
            </w:r>
          </w:p>
        </w:tc>
        <w:tc>
          <w:tcPr>
            <w:tcW w:w="438" w:type="pct"/>
            <w:vAlign w:val="center"/>
          </w:tcPr>
          <w:p w14:paraId="4F382EB6">
            <w:pPr>
              <w:pStyle w:val="41"/>
              <w:rPr>
                <w:color w:val="auto"/>
                <w:highlight w:val="none"/>
              </w:rPr>
            </w:pPr>
            <w:r>
              <w:rPr>
                <w:color w:val="auto"/>
                <w:highlight w:val="none"/>
              </w:rPr>
              <w:t>mg/L</w:t>
            </w:r>
          </w:p>
        </w:tc>
        <w:tc>
          <w:tcPr>
            <w:tcW w:w="724" w:type="pct"/>
            <w:vAlign w:val="center"/>
          </w:tcPr>
          <w:p w14:paraId="3964E88A">
            <w:pPr>
              <w:pStyle w:val="41"/>
              <w:rPr>
                <w:color w:val="auto"/>
                <w:highlight w:val="none"/>
              </w:rPr>
            </w:pPr>
            <w:r>
              <w:rPr>
                <w:color w:val="auto"/>
                <w:highlight w:val="none"/>
              </w:rPr>
              <w:t>0.0007L</w:t>
            </w:r>
          </w:p>
        </w:tc>
        <w:tc>
          <w:tcPr>
            <w:tcW w:w="706" w:type="pct"/>
            <w:vAlign w:val="center"/>
          </w:tcPr>
          <w:p w14:paraId="6F39C99A">
            <w:pPr>
              <w:pStyle w:val="41"/>
              <w:rPr>
                <w:color w:val="auto"/>
                <w:highlight w:val="none"/>
              </w:rPr>
            </w:pPr>
            <w:r>
              <w:rPr>
                <w:color w:val="auto"/>
                <w:highlight w:val="none"/>
              </w:rPr>
              <w:t>0.0007L</w:t>
            </w:r>
          </w:p>
        </w:tc>
        <w:tc>
          <w:tcPr>
            <w:tcW w:w="936" w:type="pct"/>
            <w:vAlign w:val="center"/>
          </w:tcPr>
          <w:p w14:paraId="16F80020">
            <w:pPr>
              <w:pStyle w:val="41"/>
              <w:rPr>
                <w:color w:val="auto"/>
                <w:highlight w:val="none"/>
              </w:rPr>
            </w:pPr>
            <w:r>
              <w:rPr>
                <w:color w:val="auto"/>
                <w:highlight w:val="none"/>
              </w:rPr>
              <w:t>0.02</w:t>
            </w:r>
          </w:p>
        </w:tc>
        <w:tc>
          <w:tcPr>
            <w:tcW w:w="936" w:type="pct"/>
            <w:vAlign w:val="center"/>
          </w:tcPr>
          <w:p w14:paraId="69ABC99C">
            <w:pPr>
              <w:pStyle w:val="41"/>
              <w:rPr>
                <w:rFonts w:hint="default" w:eastAsia="华文中宋"/>
                <w:color w:val="auto"/>
                <w:highlight w:val="none"/>
                <w:lang w:val="en-US" w:eastAsia="zh-CN"/>
              </w:rPr>
            </w:pPr>
            <w:r>
              <w:rPr>
                <w:rFonts w:hint="eastAsia"/>
                <w:color w:val="auto"/>
                <w:highlight w:val="none"/>
                <w:lang w:val="en-US" w:eastAsia="zh-CN"/>
              </w:rPr>
              <w:t>0.005</w:t>
            </w:r>
          </w:p>
        </w:tc>
      </w:tr>
      <w:tr w14:paraId="523300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17" w:type="pct"/>
            <w:vAlign w:val="center"/>
          </w:tcPr>
          <w:p w14:paraId="2AB0121A">
            <w:pPr>
              <w:pStyle w:val="41"/>
              <w:rPr>
                <w:color w:val="auto"/>
                <w:highlight w:val="none"/>
              </w:rPr>
            </w:pPr>
            <w:r>
              <w:rPr>
                <w:color w:val="auto"/>
                <w:highlight w:val="none"/>
              </w:rPr>
              <w:t>11</w:t>
            </w:r>
          </w:p>
        </w:tc>
        <w:tc>
          <w:tcPr>
            <w:tcW w:w="1039" w:type="pct"/>
            <w:vAlign w:val="center"/>
          </w:tcPr>
          <w:p w14:paraId="3FB32F82">
            <w:pPr>
              <w:pStyle w:val="41"/>
              <w:rPr>
                <w:color w:val="auto"/>
                <w:highlight w:val="none"/>
              </w:rPr>
            </w:pPr>
            <w:r>
              <w:rPr>
                <w:color w:val="auto"/>
                <w:highlight w:val="none"/>
              </w:rPr>
              <w:t>钡（以总钡计）</w:t>
            </w:r>
          </w:p>
        </w:tc>
        <w:tc>
          <w:tcPr>
            <w:tcW w:w="438" w:type="pct"/>
            <w:vAlign w:val="center"/>
          </w:tcPr>
          <w:p w14:paraId="583273AE">
            <w:pPr>
              <w:pStyle w:val="41"/>
              <w:rPr>
                <w:color w:val="auto"/>
                <w:highlight w:val="none"/>
              </w:rPr>
            </w:pPr>
            <w:r>
              <w:rPr>
                <w:color w:val="auto"/>
                <w:highlight w:val="none"/>
              </w:rPr>
              <w:t>mg/L</w:t>
            </w:r>
          </w:p>
        </w:tc>
        <w:tc>
          <w:tcPr>
            <w:tcW w:w="724" w:type="pct"/>
            <w:vAlign w:val="center"/>
          </w:tcPr>
          <w:p w14:paraId="228CB1CE">
            <w:pPr>
              <w:pStyle w:val="41"/>
              <w:rPr>
                <w:color w:val="auto"/>
                <w:highlight w:val="none"/>
              </w:rPr>
            </w:pPr>
            <w:r>
              <w:rPr>
                <w:color w:val="auto"/>
                <w:highlight w:val="none"/>
              </w:rPr>
              <w:t>0.05514</w:t>
            </w:r>
          </w:p>
        </w:tc>
        <w:tc>
          <w:tcPr>
            <w:tcW w:w="706" w:type="pct"/>
            <w:vAlign w:val="center"/>
          </w:tcPr>
          <w:p w14:paraId="0A8DEC47">
            <w:pPr>
              <w:pStyle w:val="41"/>
              <w:rPr>
                <w:color w:val="auto"/>
                <w:highlight w:val="none"/>
              </w:rPr>
            </w:pPr>
            <w:r>
              <w:rPr>
                <w:color w:val="auto"/>
                <w:highlight w:val="none"/>
              </w:rPr>
              <w:t>0.05415</w:t>
            </w:r>
          </w:p>
        </w:tc>
        <w:tc>
          <w:tcPr>
            <w:tcW w:w="936" w:type="pct"/>
            <w:vAlign w:val="center"/>
          </w:tcPr>
          <w:p w14:paraId="01AE1B5D">
            <w:pPr>
              <w:pStyle w:val="41"/>
              <w:rPr>
                <w:color w:val="auto"/>
                <w:highlight w:val="none"/>
              </w:rPr>
            </w:pPr>
            <w:r>
              <w:rPr>
                <w:color w:val="auto"/>
                <w:highlight w:val="none"/>
              </w:rPr>
              <w:t>100</w:t>
            </w:r>
          </w:p>
        </w:tc>
        <w:tc>
          <w:tcPr>
            <w:tcW w:w="936" w:type="pct"/>
            <w:vAlign w:val="center"/>
          </w:tcPr>
          <w:p w14:paraId="6F5EFD29">
            <w:pPr>
              <w:pStyle w:val="41"/>
              <w:rPr>
                <w:rFonts w:hint="eastAsia" w:eastAsia="华文中宋"/>
                <w:color w:val="auto"/>
                <w:highlight w:val="none"/>
                <w:lang w:val="en-US" w:eastAsia="zh-CN"/>
              </w:rPr>
            </w:pPr>
            <w:r>
              <w:rPr>
                <w:rFonts w:hint="eastAsia"/>
                <w:color w:val="auto"/>
                <w:highlight w:val="none"/>
                <w:lang w:val="en-US" w:eastAsia="zh-CN"/>
              </w:rPr>
              <w:t>/</w:t>
            </w:r>
          </w:p>
        </w:tc>
      </w:tr>
      <w:tr w14:paraId="6B3B45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17" w:type="pct"/>
            <w:vAlign w:val="center"/>
          </w:tcPr>
          <w:p w14:paraId="6AEB4B3E">
            <w:pPr>
              <w:pStyle w:val="41"/>
              <w:rPr>
                <w:color w:val="auto"/>
                <w:highlight w:val="none"/>
              </w:rPr>
            </w:pPr>
            <w:r>
              <w:rPr>
                <w:color w:val="auto"/>
                <w:highlight w:val="none"/>
              </w:rPr>
              <w:t>12</w:t>
            </w:r>
          </w:p>
        </w:tc>
        <w:tc>
          <w:tcPr>
            <w:tcW w:w="1039" w:type="pct"/>
            <w:vAlign w:val="center"/>
          </w:tcPr>
          <w:p w14:paraId="5FB270D9">
            <w:pPr>
              <w:pStyle w:val="41"/>
              <w:rPr>
                <w:color w:val="auto"/>
                <w:highlight w:val="none"/>
              </w:rPr>
            </w:pPr>
            <w:r>
              <w:rPr>
                <w:color w:val="auto"/>
                <w:highlight w:val="none"/>
              </w:rPr>
              <w:t>镍（以总镍计）</w:t>
            </w:r>
          </w:p>
        </w:tc>
        <w:tc>
          <w:tcPr>
            <w:tcW w:w="438" w:type="pct"/>
            <w:vAlign w:val="center"/>
          </w:tcPr>
          <w:p w14:paraId="5BA02140">
            <w:pPr>
              <w:pStyle w:val="41"/>
              <w:rPr>
                <w:color w:val="auto"/>
                <w:highlight w:val="none"/>
              </w:rPr>
            </w:pPr>
            <w:r>
              <w:rPr>
                <w:color w:val="auto"/>
                <w:highlight w:val="none"/>
              </w:rPr>
              <w:t>mg/L</w:t>
            </w:r>
          </w:p>
        </w:tc>
        <w:tc>
          <w:tcPr>
            <w:tcW w:w="724" w:type="pct"/>
            <w:vAlign w:val="center"/>
          </w:tcPr>
          <w:p w14:paraId="29288E16">
            <w:pPr>
              <w:pStyle w:val="41"/>
              <w:rPr>
                <w:color w:val="auto"/>
                <w:highlight w:val="none"/>
              </w:rPr>
            </w:pPr>
            <w:r>
              <w:rPr>
                <w:color w:val="auto"/>
                <w:highlight w:val="none"/>
              </w:rPr>
              <w:t>0.04075</w:t>
            </w:r>
          </w:p>
        </w:tc>
        <w:tc>
          <w:tcPr>
            <w:tcW w:w="706" w:type="pct"/>
            <w:vAlign w:val="center"/>
          </w:tcPr>
          <w:p w14:paraId="13DFA2CF">
            <w:pPr>
              <w:pStyle w:val="41"/>
              <w:rPr>
                <w:color w:val="auto"/>
                <w:highlight w:val="none"/>
              </w:rPr>
            </w:pPr>
            <w:r>
              <w:rPr>
                <w:color w:val="auto"/>
                <w:highlight w:val="none"/>
              </w:rPr>
              <w:t>0.04180</w:t>
            </w:r>
          </w:p>
        </w:tc>
        <w:tc>
          <w:tcPr>
            <w:tcW w:w="936" w:type="pct"/>
            <w:vAlign w:val="center"/>
          </w:tcPr>
          <w:p w14:paraId="05759740">
            <w:pPr>
              <w:pStyle w:val="41"/>
              <w:rPr>
                <w:color w:val="auto"/>
                <w:highlight w:val="none"/>
              </w:rPr>
            </w:pPr>
            <w:r>
              <w:rPr>
                <w:color w:val="auto"/>
                <w:highlight w:val="none"/>
              </w:rPr>
              <w:t>5</w:t>
            </w:r>
          </w:p>
        </w:tc>
        <w:tc>
          <w:tcPr>
            <w:tcW w:w="936" w:type="pct"/>
            <w:vAlign w:val="center"/>
          </w:tcPr>
          <w:p w14:paraId="15EC221B">
            <w:pPr>
              <w:pStyle w:val="41"/>
              <w:rPr>
                <w:rFonts w:hint="default" w:eastAsia="华文中宋"/>
                <w:color w:val="auto"/>
                <w:highlight w:val="none"/>
                <w:lang w:val="en-US" w:eastAsia="zh-CN"/>
              </w:rPr>
            </w:pPr>
            <w:r>
              <w:rPr>
                <w:rFonts w:hint="eastAsia"/>
                <w:color w:val="auto"/>
                <w:highlight w:val="none"/>
                <w:lang w:val="en-US" w:eastAsia="zh-CN"/>
              </w:rPr>
              <w:t>1.0</w:t>
            </w:r>
          </w:p>
        </w:tc>
      </w:tr>
      <w:tr w14:paraId="3ADE27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17" w:type="pct"/>
            <w:vAlign w:val="center"/>
          </w:tcPr>
          <w:p w14:paraId="0348AB0A">
            <w:pPr>
              <w:pStyle w:val="41"/>
              <w:rPr>
                <w:color w:val="auto"/>
                <w:highlight w:val="none"/>
              </w:rPr>
            </w:pPr>
            <w:r>
              <w:rPr>
                <w:color w:val="auto"/>
                <w:highlight w:val="none"/>
              </w:rPr>
              <w:t>13</w:t>
            </w:r>
          </w:p>
        </w:tc>
        <w:tc>
          <w:tcPr>
            <w:tcW w:w="1039" w:type="pct"/>
            <w:vAlign w:val="center"/>
          </w:tcPr>
          <w:p w14:paraId="15D65D5A">
            <w:pPr>
              <w:pStyle w:val="41"/>
              <w:rPr>
                <w:color w:val="auto"/>
                <w:highlight w:val="none"/>
              </w:rPr>
            </w:pPr>
            <w:r>
              <w:rPr>
                <w:color w:val="auto"/>
                <w:highlight w:val="none"/>
              </w:rPr>
              <w:t>总银</w:t>
            </w:r>
          </w:p>
        </w:tc>
        <w:tc>
          <w:tcPr>
            <w:tcW w:w="438" w:type="pct"/>
            <w:vAlign w:val="center"/>
          </w:tcPr>
          <w:p w14:paraId="5BC7FA72">
            <w:pPr>
              <w:pStyle w:val="41"/>
              <w:rPr>
                <w:color w:val="auto"/>
                <w:highlight w:val="none"/>
              </w:rPr>
            </w:pPr>
            <w:r>
              <w:rPr>
                <w:color w:val="auto"/>
                <w:highlight w:val="none"/>
              </w:rPr>
              <w:t>mg/L</w:t>
            </w:r>
          </w:p>
        </w:tc>
        <w:tc>
          <w:tcPr>
            <w:tcW w:w="724" w:type="pct"/>
            <w:vAlign w:val="center"/>
          </w:tcPr>
          <w:p w14:paraId="21DFD376">
            <w:pPr>
              <w:pStyle w:val="41"/>
              <w:rPr>
                <w:color w:val="auto"/>
                <w:highlight w:val="none"/>
              </w:rPr>
            </w:pPr>
            <w:r>
              <w:rPr>
                <w:color w:val="auto"/>
                <w:highlight w:val="none"/>
              </w:rPr>
              <w:t>0.0029L</w:t>
            </w:r>
          </w:p>
        </w:tc>
        <w:tc>
          <w:tcPr>
            <w:tcW w:w="706" w:type="pct"/>
            <w:vAlign w:val="center"/>
          </w:tcPr>
          <w:p w14:paraId="22C02CDC">
            <w:pPr>
              <w:pStyle w:val="41"/>
              <w:rPr>
                <w:color w:val="auto"/>
                <w:highlight w:val="none"/>
              </w:rPr>
            </w:pPr>
            <w:r>
              <w:rPr>
                <w:color w:val="auto"/>
                <w:highlight w:val="none"/>
              </w:rPr>
              <w:t>0.0029L</w:t>
            </w:r>
          </w:p>
        </w:tc>
        <w:tc>
          <w:tcPr>
            <w:tcW w:w="936" w:type="pct"/>
            <w:vAlign w:val="center"/>
          </w:tcPr>
          <w:p w14:paraId="4185C957">
            <w:pPr>
              <w:pStyle w:val="41"/>
              <w:rPr>
                <w:color w:val="auto"/>
                <w:highlight w:val="none"/>
              </w:rPr>
            </w:pPr>
            <w:r>
              <w:rPr>
                <w:color w:val="auto"/>
                <w:highlight w:val="none"/>
              </w:rPr>
              <w:t>5</w:t>
            </w:r>
          </w:p>
        </w:tc>
        <w:tc>
          <w:tcPr>
            <w:tcW w:w="936" w:type="pct"/>
            <w:vAlign w:val="center"/>
          </w:tcPr>
          <w:p w14:paraId="3643E81E">
            <w:pPr>
              <w:pStyle w:val="41"/>
              <w:rPr>
                <w:rFonts w:hint="default" w:eastAsia="华文中宋"/>
                <w:color w:val="auto"/>
                <w:highlight w:val="none"/>
                <w:lang w:val="en-US" w:eastAsia="zh-CN"/>
              </w:rPr>
            </w:pPr>
            <w:r>
              <w:rPr>
                <w:rFonts w:hint="eastAsia"/>
                <w:color w:val="auto"/>
                <w:highlight w:val="none"/>
                <w:lang w:val="en-US" w:eastAsia="zh-CN"/>
              </w:rPr>
              <w:t>0.5</w:t>
            </w:r>
          </w:p>
        </w:tc>
      </w:tr>
      <w:tr w14:paraId="56EE5F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17" w:type="pct"/>
            <w:vAlign w:val="center"/>
          </w:tcPr>
          <w:p w14:paraId="7A0EAA6D">
            <w:pPr>
              <w:pStyle w:val="41"/>
              <w:rPr>
                <w:color w:val="auto"/>
                <w:highlight w:val="none"/>
              </w:rPr>
            </w:pPr>
            <w:r>
              <w:rPr>
                <w:color w:val="auto"/>
                <w:highlight w:val="none"/>
              </w:rPr>
              <w:t>14</w:t>
            </w:r>
          </w:p>
        </w:tc>
        <w:tc>
          <w:tcPr>
            <w:tcW w:w="1039" w:type="pct"/>
            <w:vAlign w:val="center"/>
          </w:tcPr>
          <w:p w14:paraId="1FAD1C73">
            <w:pPr>
              <w:pStyle w:val="41"/>
              <w:rPr>
                <w:color w:val="auto"/>
                <w:highlight w:val="none"/>
              </w:rPr>
            </w:pPr>
            <w:r>
              <w:rPr>
                <w:color w:val="auto"/>
                <w:highlight w:val="none"/>
              </w:rPr>
              <w:t>砷（以总砷计）</w:t>
            </w:r>
          </w:p>
        </w:tc>
        <w:tc>
          <w:tcPr>
            <w:tcW w:w="438" w:type="pct"/>
            <w:vAlign w:val="center"/>
          </w:tcPr>
          <w:p w14:paraId="4F291D33">
            <w:pPr>
              <w:pStyle w:val="41"/>
              <w:rPr>
                <w:color w:val="auto"/>
                <w:highlight w:val="none"/>
              </w:rPr>
            </w:pPr>
            <w:r>
              <w:rPr>
                <w:color w:val="auto"/>
                <w:highlight w:val="none"/>
              </w:rPr>
              <w:t>mg/L</w:t>
            </w:r>
          </w:p>
        </w:tc>
        <w:tc>
          <w:tcPr>
            <w:tcW w:w="724" w:type="pct"/>
            <w:vAlign w:val="center"/>
          </w:tcPr>
          <w:p w14:paraId="77521AEB">
            <w:pPr>
              <w:pStyle w:val="41"/>
              <w:rPr>
                <w:color w:val="auto"/>
                <w:highlight w:val="none"/>
              </w:rPr>
            </w:pPr>
            <w:r>
              <w:rPr>
                <w:color w:val="auto"/>
                <w:highlight w:val="none"/>
              </w:rPr>
              <w:t>0.00673</w:t>
            </w:r>
          </w:p>
        </w:tc>
        <w:tc>
          <w:tcPr>
            <w:tcW w:w="706" w:type="pct"/>
            <w:vAlign w:val="center"/>
          </w:tcPr>
          <w:p w14:paraId="23DFB111">
            <w:pPr>
              <w:pStyle w:val="41"/>
              <w:rPr>
                <w:color w:val="auto"/>
                <w:highlight w:val="none"/>
              </w:rPr>
            </w:pPr>
            <w:r>
              <w:rPr>
                <w:color w:val="auto"/>
                <w:highlight w:val="none"/>
              </w:rPr>
              <w:t>0.00637</w:t>
            </w:r>
          </w:p>
        </w:tc>
        <w:tc>
          <w:tcPr>
            <w:tcW w:w="936" w:type="pct"/>
            <w:vAlign w:val="center"/>
          </w:tcPr>
          <w:p w14:paraId="5798B137">
            <w:pPr>
              <w:pStyle w:val="41"/>
              <w:rPr>
                <w:color w:val="auto"/>
                <w:highlight w:val="none"/>
              </w:rPr>
            </w:pPr>
            <w:r>
              <w:rPr>
                <w:color w:val="auto"/>
                <w:highlight w:val="none"/>
              </w:rPr>
              <w:t>5</w:t>
            </w:r>
          </w:p>
        </w:tc>
        <w:tc>
          <w:tcPr>
            <w:tcW w:w="936" w:type="pct"/>
            <w:vAlign w:val="center"/>
          </w:tcPr>
          <w:p w14:paraId="20275453">
            <w:pPr>
              <w:pStyle w:val="41"/>
              <w:rPr>
                <w:rFonts w:hint="default" w:eastAsia="华文中宋"/>
                <w:color w:val="auto"/>
                <w:highlight w:val="none"/>
                <w:lang w:val="en-US" w:eastAsia="zh-CN"/>
              </w:rPr>
            </w:pPr>
            <w:r>
              <w:rPr>
                <w:rFonts w:hint="eastAsia"/>
                <w:color w:val="auto"/>
                <w:highlight w:val="none"/>
                <w:lang w:val="en-US" w:eastAsia="zh-CN"/>
              </w:rPr>
              <w:t>0.5</w:t>
            </w:r>
          </w:p>
        </w:tc>
      </w:tr>
      <w:tr w14:paraId="753831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17" w:type="pct"/>
            <w:vAlign w:val="center"/>
          </w:tcPr>
          <w:p w14:paraId="264521A4">
            <w:pPr>
              <w:pStyle w:val="41"/>
              <w:rPr>
                <w:color w:val="auto"/>
                <w:highlight w:val="none"/>
              </w:rPr>
            </w:pPr>
            <w:r>
              <w:rPr>
                <w:color w:val="auto"/>
                <w:highlight w:val="none"/>
              </w:rPr>
              <w:t>15</w:t>
            </w:r>
          </w:p>
        </w:tc>
        <w:tc>
          <w:tcPr>
            <w:tcW w:w="1039" w:type="pct"/>
            <w:vAlign w:val="center"/>
          </w:tcPr>
          <w:p w14:paraId="452855D0">
            <w:pPr>
              <w:pStyle w:val="41"/>
              <w:rPr>
                <w:color w:val="auto"/>
                <w:highlight w:val="none"/>
              </w:rPr>
            </w:pPr>
            <w:r>
              <w:rPr>
                <w:color w:val="auto"/>
                <w:highlight w:val="none"/>
              </w:rPr>
              <w:t>硒（以总硒计）</w:t>
            </w:r>
          </w:p>
        </w:tc>
        <w:tc>
          <w:tcPr>
            <w:tcW w:w="438" w:type="pct"/>
            <w:vAlign w:val="center"/>
          </w:tcPr>
          <w:p w14:paraId="3770E01C">
            <w:pPr>
              <w:pStyle w:val="41"/>
              <w:rPr>
                <w:color w:val="auto"/>
                <w:highlight w:val="none"/>
              </w:rPr>
            </w:pPr>
            <w:r>
              <w:rPr>
                <w:color w:val="auto"/>
                <w:highlight w:val="none"/>
              </w:rPr>
              <w:t>mg/L</w:t>
            </w:r>
          </w:p>
        </w:tc>
        <w:tc>
          <w:tcPr>
            <w:tcW w:w="724" w:type="pct"/>
            <w:vAlign w:val="center"/>
          </w:tcPr>
          <w:p w14:paraId="005259F5">
            <w:pPr>
              <w:pStyle w:val="41"/>
              <w:rPr>
                <w:color w:val="auto"/>
                <w:highlight w:val="none"/>
              </w:rPr>
            </w:pPr>
            <w:r>
              <w:rPr>
                <w:color w:val="auto"/>
                <w:highlight w:val="none"/>
              </w:rPr>
              <w:t>0.00318</w:t>
            </w:r>
          </w:p>
        </w:tc>
        <w:tc>
          <w:tcPr>
            <w:tcW w:w="706" w:type="pct"/>
            <w:vAlign w:val="center"/>
          </w:tcPr>
          <w:p w14:paraId="7251BFED">
            <w:pPr>
              <w:pStyle w:val="41"/>
              <w:rPr>
                <w:color w:val="auto"/>
                <w:highlight w:val="none"/>
              </w:rPr>
            </w:pPr>
            <w:r>
              <w:rPr>
                <w:color w:val="auto"/>
                <w:highlight w:val="none"/>
              </w:rPr>
              <w:t>0.00382</w:t>
            </w:r>
          </w:p>
        </w:tc>
        <w:tc>
          <w:tcPr>
            <w:tcW w:w="936" w:type="pct"/>
            <w:vAlign w:val="center"/>
          </w:tcPr>
          <w:p w14:paraId="453CE295">
            <w:pPr>
              <w:pStyle w:val="41"/>
              <w:rPr>
                <w:color w:val="auto"/>
                <w:highlight w:val="none"/>
              </w:rPr>
            </w:pPr>
            <w:r>
              <w:rPr>
                <w:color w:val="auto"/>
                <w:highlight w:val="none"/>
              </w:rPr>
              <w:t>1</w:t>
            </w:r>
          </w:p>
        </w:tc>
        <w:tc>
          <w:tcPr>
            <w:tcW w:w="936" w:type="pct"/>
            <w:vAlign w:val="center"/>
          </w:tcPr>
          <w:p w14:paraId="29C8769A">
            <w:pPr>
              <w:pStyle w:val="41"/>
              <w:rPr>
                <w:rFonts w:hint="eastAsia" w:eastAsia="华文中宋"/>
                <w:color w:val="auto"/>
                <w:highlight w:val="none"/>
                <w:lang w:val="en-US" w:eastAsia="zh-CN"/>
              </w:rPr>
            </w:pPr>
            <w:r>
              <w:rPr>
                <w:rFonts w:hint="eastAsia"/>
                <w:color w:val="auto"/>
                <w:highlight w:val="none"/>
                <w:lang w:val="en-US" w:eastAsia="zh-CN"/>
              </w:rPr>
              <w:t>/</w:t>
            </w:r>
          </w:p>
        </w:tc>
      </w:tr>
      <w:tr w14:paraId="73E63D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00" w:hRule="atLeast"/>
          <w:jc w:val="center"/>
        </w:trPr>
        <w:tc>
          <w:tcPr>
            <w:tcW w:w="217" w:type="pct"/>
            <w:vAlign w:val="center"/>
          </w:tcPr>
          <w:p w14:paraId="1BB0D964">
            <w:pPr>
              <w:pStyle w:val="41"/>
              <w:rPr>
                <w:color w:val="auto"/>
                <w:highlight w:val="none"/>
              </w:rPr>
            </w:pPr>
            <w:r>
              <w:rPr>
                <w:color w:val="auto"/>
                <w:highlight w:val="none"/>
              </w:rPr>
              <w:t>16</w:t>
            </w:r>
          </w:p>
        </w:tc>
        <w:tc>
          <w:tcPr>
            <w:tcW w:w="1039" w:type="pct"/>
            <w:vAlign w:val="center"/>
          </w:tcPr>
          <w:p w14:paraId="6A909656">
            <w:pPr>
              <w:pStyle w:val="41"/>
              <w:rPr>
                <w:color w:val="auto"/>
                <w:highlight w:val="none"/>
              </w:rPr>
            </w:pPr>
            <w:r>
              <w:rPr>
                <w:color w:val="auto"/>
                <w:highlight w:val="none"/>
              </w:rPr>
              <w:t>无机氟化物（不包括氟化钙）</w:t>
            </w:r>
          </w:p>
        </w:tc>
        <w:tc>
          <w:tcPr>
            <w:tcW w:w="438" w:type="pct"/>
            <w:vAlign w:val="center"/>
          </w:tcPr>
          <w:p w14:paraId="47E4463F">
            <w:pPr>
              <w:pStyle w:val="41"/>
              <w:rPr>
                <w:color w:val="auto"/>
                <w:highlight w:val="none"/>
              </w:rPr>
            </w:pPr>
            <w:r>
              <w:rPr>
                <w:color w:val="auto"/>
                <w:highlight w:val="none"/>
              </w:rPr>
              <w:t>mg/L</w:t>
            </w:r>
          </w:p>
        </w:tc>
        <w:tc>
          <w:tcPr>
            <w:tcW w:w="724" w:type="pct"/>
            <w:vAlign w:val="center"/>
          </w:tcPr>
          <w:p w14:paraId="1B67B309">
            <w:pPr>
              <w:pStyle w:val="41"/>
              <w:rPr>
                <w:color w:val="auto"/>
                <w:highlight w:val="none"/>
              </w:rPr>
            </w:pPr>
            <w:r>
              <w:rPr>
                <w:color w:val="auto"/>
                <w:highlight w:val="none"/>
              </w:rPr>
              <w:t>3.68</w:t>
            </w:r>
          </w:p>
        </w:tc>
        <w:tc>
          <w:tcPr>
            <w:tcW w:w="706" w:type="pct"/>
            <w:vAlign w:val="center"/>
          </w:tcPr>
          <w:p w14:paraId="744C1311">
            <w:pPr>
              <w:pStyle w:val="41"/>
              <w:rPr>
                <w:color w:val="auto"/>
                <w:highlight w:val="none"/>
              </w:rPr>
            </w:pPr>
            <w:r>
              <w:rPr>
                <w:color w:val="auto"/>
                <w:highlight w:val="none"/>
              </w:rPr>
              <w:t>4.36</w:t>
            </w:r>
          </w:p>
        </w:tc>
        <w:tc>
          <w:tcPr>
            <w:tcW w:w="936" w:type="pct"/>
            <w:vAlign w:val="center"/>
          </w:tcPr>
          <w:p w14:paraId="25847939">
            <w:pPr>
              <w:pStyle w:val="41"/>
              <w:rPr>
                <w:color w:val="auto"/>
                <w:highlight w:val="none"/>
              </w:rPr>
            </w:pPr>
            <w:r>
              <w:rPr>
                <w:color w:val="auto"/>
                <w:highlight w:val="none"/>
              </w:rPr>
              <w:t>100</w:t>
            </w:r>
          </w:p>
        </w:tc>
        <w:tc>
          <w:tcPr>
            <w:tcW w:w="936" w:type="pct"/>
            <w:vAlign w:val="center"/>
          </w:tcPr>
          <w:p w14:paraId="1C2D9265">
            <w:pPr>
              <w:pStyle w:val="41"/>
              <w:rPr>
                <w:rFonts w:hint="default" w:eastAsia="华文中宋"/>
                <w:color w:val="auto"/>
                <w:highlight w:val="none"/>
                <w:lang w:val="en-US" w:eastAsia="zh-CN"/>
              </w:rPr>
            </w:pPr>
            <w:r>
              <w:rPr>
                <w:rFonts w:hint="eastAsia"/>
                <w:color w:val="auto"/>
                <w:highlight w:val="none"/>
                <w:lang w:val="en-US" w:eastAsia="zh-CN"/>
              </w:rPr>
              <w:t>10</w:t>
            </w:r>
          </w:p>
        </w:tc>
      </w:tr>
      <w:tr w14:paraId="0E8AF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17" w:type="pct"/>
            <w:vAlign w:val="center"/>
          </w:tcPr>
          <w:p w14:paraId="27D7E461">
            <w:pPr>
              <w:pStyle w:val="41"/>
              <w:rPr>
                <w:color w:val="auto"/>
                <w:highlight w:val="none"/>
              </w:rPr>
            </w:pPr>
            <w:r>
              <w:rPr>
                <w:color w:val="auto"/>
                <w:highlight w:val="none"/>
              </w:rPr>
              <w:t>17</w:t>
            </w:r>
          </w:p>
        </w:tc>
        <w:tc>
          <w:tcPr>
            <w:tcW w:w="1039" w:type="pct"/>
            <w:vAlign w:val="center"/>
          </w:tcPr>
          <w:p w14:paraId="20611E34">
            <w:pPr>
              <w:pStyle w:val="41"/>
              <w:rPr>
                <w:color w:val="auto"/>
                <w:highlight w:val="none"/>
              </w:rPr>
            </w:pPr>
            <w:r>
              <w:rPr>
                <w:color w:val="auto"/>
                <w:highlight w:val="none"/>
              </w:rPr>
              <w:t>氰化物（以CN-计）</w:t>
            </w:r>
          </w:p>
        </w:tc>
        <w:tc>
          <w:tcPr>
            <w:tcW w:w="438" w:type="pct"/>
            <w:vAlign w:val="center"/>
          </w:tcPr>
          <w:p w14:paraId="48D076E0">
            <w:pPr>
              <w:pStyle w:val="41"/>
              <w:rPr>
                <w:color w:val="auto"/>
                <w:highlight w:val="none"/>
              </w:rPr>
            </w:pPr>
            <w:r>
              <w:rPr>
                <w:color w:val="auto"/>
                <w:highlight w:val="none"/>
              </w:rPr>
              <w:t>mg/L</w:t>
            </w:r>
          </w:p>
        </w:tc>
        <w:tc>
          <w:tcPr>
            <w:tcW w:w="724" w:type="pct"/>
            <w:vAlign w:val="center"/>
          </w:tcPr>
          <w:p w14:paraId="006D3BE2">
            <w:pPr>
              <w:pStyle w:val="41"/>
              <w:rPr>
                <w:color w:val="auto"/>
                <w:highlight w:val="none"/>
              </w:rPr>
            </w:pPr>
            <w:r>
              <w:rPr>
                <w:color w:val="auto"/>
                <w:highlight w:val="none"/>
              </w:rPr>
              <w:t>0.04L</w:t>
            </w:r>
          </w:p>
        </w:tc>
        <w:tc>
          <w:tcPr>
            <w:tcW w:w="706" w:type="pct"/>
            <w:vAlign w:val="center"/>
          </w:tcPr>
          <w:p w14:paraId="799EEBAB">
            <w:pPr>
              <w:pStyle w:val="41"/>
              <w:rPr>
                <w:color w:val="auto"/>
                <w:highlight w:val="none"/>
              </w:rPr>
            </w:pPr>
            <w:r>
              <w:rPr>
                <w:color w:val="auto"/>
                <w:highlight w:val="none"/>
              </w:rPr>
              <w:t>0.04L</w:t>
            </w:r>
          </w:p>
        </w:tc>
        <w:tc>
          <w:tcPr>
            <w:tcW w:w="936" w:type="pct"/>
            <w:vAlign w:val="center"/>
          </w:tcPr>
          <w:p w14:paraId="60C40385">
            <w:pPr>
              <w:pStyle w:val="41"/>
              <w:rPr>
                <w:color w:val="auto"/>
                <w:highlight w:val="none"/>
              </w:rPr>
            </w:pPr>
            <w:r>
              <w:rPr>
                <w:color w:val="auto"/>
                <w:highlight w:val="none"/>
              </w:rPr>
              <w:t>5</w:t>
            </w:r>
          </w:p>
        </w:tc>
        <w:tc>
          <w:tcPr>
            <w:tcW w:w="936" w:type="pct"/>
            <w:vAlign w:val="center"/>
          </w:tcPr>
          <w:p w14:paraId="0D522409">
            <w:pPr>
              <w:pStyle w:val="41"/>
              <w:rPr>
                <w:rFonts w:hint="default" w:eastAsia="华文中宋"/>
                <w:color w:val="auto"/>
                <w:highlight w:val="none"/>
                <w:lang w:val="en-US" w:eastAsia="zh-CN"/>
              </w:rPr>
            </w:pPr>
            <w:r>
              <w:rPr>
                <w:rFonts w:hint="eastAsia"/>
                <w:color w:val="auto"/>
                <w:highlight w:val="none"/>
                <w:lang w:val="en-US" w:eastAsia="zh-CN"/>
              </w:rPr>
              <w:t>0.5</w:t>
            </w:r>
          </w:p>
        </w:tc>
      </w:tr>
    </w:tbl>
    <w:p w14:paraId="424A01E0">
      <w:pPr>
        <w:pStyle w:val="3"/>
        <w:ind w:firstLine="480"/>
        <w:rPr>
          <w:color w:val="auto"/>
          <w:highlight w:val="none"/>
        </w:rPr>
      </w:pPr>
      <w:r>
        <w:rPr>
          <w:color w:val="auto"/>
          <w:highlight w:val="none"/>
        </w:rPr>
        <w:t>由上表可知，尾矿和废石浸出液各项分析指标均小于《危险废物鉴别标准浸出毒性鉴别》（GB508</w:t>
      </w:r>
      <w:r>
        <w:rPr>
          <w:color w:val="auto"/>
          <w:highlight w:val="none"/>
        </w:rPr>
        <w:t>5</w:t>
      </w:r>
      <w:r>
        <w:rPr>
          <w:color w:val="auto"/>
          <w:highlight w:val="none"/>
        </w:rPr>
        <w:t>.3-2007）中的各项指标，而且未超过污水综合排放标准中最高允许排放浓度，pH值在6~9之间，判定尾矿及废石属于Ⅰ类一般工业固体废物。</w:t>
      </w:r>
    </w:p>
    <w:p w14:paraId="2C36B8A1">
      <w:pPr>
        <w:pStyle w:val="42"/>
        <w:rPr>
          <w:rFonts w:hint="default"/>
          <w:color w:val="auto"/>
          <w:highlight w:val="none"/>
        </w:rPr>
      </w:pPr>
      <w:r>
        <w:rPr>
          <w:color w:val="auto"/>
          <w:highlight w:val="none"/>
        </w:rPr>
        <w:t>固体废物环境影响分析</w:t>
      </w:r>
    </w:p>
    <w:p w14:paraId="4A55D28D">
      <w:pPr>
        <w:pStyle w:val="3"/>
        <w:ind w:firstLine="480"/>
        <w:rPr>
          <w:color w:val="auto"/>
          <w:highlight w:val="none"/>
        </w:rPr>
      </w:pPr>
      <w:r>
        <w:rPr>
          <w:color w:val="auto"/>
          <w:highlight w:val="none"/>
        </w:rPr>
        <w:t>改扩建工程生产过程中产生的固体废物主要有</w:t>
      </w:r>
      <w:r>
        <w:rPr>
          <w:rFonts w:hint="eastAsia"/>
          <w:color w:val="auto"/>
          <w:highlight w:val="none"/>
        </w:rPr>
        <w:t>废石</w:t>
      </w:r>
      <w:r>
        <w:rPr>
          <w:color w:val="auto"/>
          <w:highlight w:val="none"/>
        </w:rPr>
        <w:t>、尾矿、除尘灰、炉灰渣及脱硫石膏、污水处理设施污泥、</w:t>
      </w:r>
      <w:r>
        <w:rPr>
          <w:rFonts w:hint="eastAsia"/>
          <w:color w:val="auto"/>
          <w:highlight w:val="none"/>
          <w:lang w:eastAsia="zh-CN"/>
        </w:rPr>
        <w:t>沉淀池底泥、</w:t>
      </w:r>
      <w:r>
        <w:rPr>
          <w:color w:val="auto"/>
          <w:highlight w:val="none"/>
        </w:rPr>
        <w:t>废机油及生活垃圾。</w:t>
      </w:r>
    </w:p>
    <w:p w14:paraId="597B51CC">
      <w:pPr>
        <w:pStyle w:val="43"/>
        <w:rPr>
          <w:color w:val="auto"/>
          <w:highlight w:val="none"/>
        </w:rPr>
      </w:pPr>
      <w:r>
        <w:rPr>
          <w:rFonts w:hint="eastAsia"/>
          <w:color w:val="auto"/>
          <w:highlight w:val="none"/>
        </w:rPr>
        <w:t>一般固体废物影响分析</w:t>
      </w:r>
    </w:p>
    <w:p w14:paraId="6AFDF27F">
      <w:pPr>
        <w:pStyle w:val="3"/>
        <w:ind w:firstLine="480"/>
        <w:rPr>
          <w:color w:val="auto"/>
          <w:highlight w:val="none"/>
        </w:rPr>
      </w:pPr>
      <w:r>
        <w:rPr>
          <w:color w:val="auto"/>
          <w:highlight w:val="none"/>
        </w:rPr>
        <w:t>根据项目工程分析，项目产生的一般工业固体废物包括</w:t>
      </w:r>
      <w:r>
        <w:rPr>
          <w:rFonts w:hint="eastAsia"/>
          <w:color w:val="auto"/>
          <w:highlight w:val="none"/>
        </w:rPr>
        <w:t>废石</w:t>
      </w:r>
      <w:r>
        <w:rPr>
          <w:color w:val="auto"/>
          <w:highlight w:val="none"/>
        </w:rPr>
        <w:t>、尾矿、除尘灰、炉灰渣及脱硫石膏、污水处理设施污泥，其中破碎环节产生的</w:t>
      </w:r>
      <w:r>
        <w:rPr>
          <w:rFonts w:hint="eastAsia"/>
          <w:color w:val="auto"/>
          <w:highlight w:val="none"/>
        </w:rPr>
        <w:t>废石</w:t>
      </w:r>
      <w:r>
        <w:rPr>
          <w:color w:val="auto"/>
          <w:highlight w:val="none"/>
        </w:rPr>
        <w:t>和选矿结束后产生的尾矿，对于矿山企业来说，这两种工业固体废物由于产生量相对巨大，其处理处置措施适当与否将对周边生态</w:t>
      </w:r>
      <w:r>
        <w:rPr>
          <w:rFonts w:hint="eastAsia"/>
          <w:color w:val="auto"/>
          <w:highlight w:val="none"/>
          <w:lang w:eastAsia="zh-CN"/>
        </w:rPr>
        <w:t>环境</w:t>
      </w:r>
      <w:r>
        <w:rPr>
          <w:color w:val="auto"/>
          <w:highlight w:val="none"/>
        </w:rPr>
        <w:t>产生决定性的影响。</w:t>
      </w:r>
    </w:p>
    <w:p w14:paraId="2B4CE7DA">
      <w:pPr>
        <w:pStyle w:val="3"/>
        <w:ind w:firstLine="480"/>
        <w:rPr>
          <w:color w:val="auto"/>
          <w:highlight w:val="none"/>
        </w:rPr>
      </w:pPr>
      <w:r>
        <w:rPr>
          <w:rFonts w:hint="eastAsia"/>
          <w:color w:val="auto"/>
          <w:highlight w:val="none"/>
        </w:rPr>
        <w:t>废石</w:t>
      </w:r>
      <w:r>
        <w:rPr>
          <w:color w:val="auto"/>
          <w:highlight w:val="none"/>
        </w:rPr>
        <w:t>和尾矿是以泥化脉石矿物为主、混杂有价金属细粒的物质，根据危险废物浸出实验结果，</w:t>
      </w:r>
      <w:r>
        <w:rPr>
          <w:rFonts w:hint="eastAsia"/>
          <w:color w:val="auto"/>
          <w:highlight w:val="none"/>
        </w:rPr>
        <w:t>废石</w:t>
      </w:r>
      <w:r>
        <w:rPr>
          <w:color w:val="auto"/>
          <w:highlight w:val="none"/>
        </w:rPr>
        <w:t>和尾矿浸出液各项分析指标均小于《危险废物鉴别标准 浸出毒性鉴别》（GB5085.3-2007），而且未超过污水综合排放标准中最高允许排放浓度，pH值在6~9之间，判定本项目废石和干抛尾矿属于Ⅰ类一般工业固体废物。</w:t>
      </w:r>
    </w:p>
    <w:p w14:paraId="40675775">
      <w:pPr>
        <w:pStyle w:val="3"/>
        <w:ind w:firstLine="480"/>
        <w:rPr>
          <w:color w:val="auto"/>
          <w:highlight w:val="none"/>
        </w:rPr>
      </w:pPr>
      <w:r>
        <w:rPr>
          <w:color w:val="auto"/>
          <w:highlight w:val="none"/>
        </w:rPr>
        <w:t>根据项目工程设计资料，</w:t>
      </w:r>
      <w:r>
        <w:rPr>
          <w:rFonts w:hint="eastAsia"/>
          <w:color w:val="auto"/>
          <w:highlight w:val="none"/>
        </w:rPr>
        <w:t>废石</w:t>
      </w:r>
      <w:r>
        <w:rPr>
          <w:color w:val="auto"/>
          <w:highlight w:val="none"/>
        </w:rPr>
        <w:t>运送至与项目选矿配套建设的露天采矿</w:t>
      </w:r>
      <w:r>
        <w:rPr>
          <w:rFonts w:hint="eastAsia"/>
          <w:color w:val="auto"/>
          <w:highlight w:val="none"/>
          <w:lang w:eastAsia="zh-CN"/>
        </w:rPr>
        <w:t>排土场</w:t>
      </w:r>
      <w:r>
        <w:rPr>
          <w:color w:val="auto"/>
          <w:highlight w:val="none"/>
        </w:rPr>
        <w:t>，干排尾矿运送至本项目规划尾矿库排放。</w:t>
      </w:r>
    </w:p>
    <w:p w14:paraId="5793055C">
      <w:pPr>
        <w:pStyle w:val="3"/>
        <w:ind w:firstLine="480"/>
        <w:rPr>
          <w:color w:val="auto"/>
          <w:highlight w:val="none"/>
        </w:rPr>
      </w:pPr>
      <w:r>
        <w:rPr>
          <w:rFonts w:hint="eastAsia"/>
          <w:b/>
          <w:bCs/>
          <w:color w:val="auto"/>
          <w:highlight w:val="none"/>
          <w:lang w:eastAsia="zh-CN"/>
        </w:rPr>
        <w:t>排土场</w:t>
      </w:r>
      <w:r>
        <w:rPr>
          <w:rFonts w:hint="eastAsia"/>
          <w:b/>
          <w:bCs/>
          <w:color w:val="auto"/>
          <w:highlight w:val="none"/>
        </w:rPr>
        <w:t>设计：</w:t>
      </w:r>
      <w:r>
        <w:rPr>
          <w:rFonts w:hint="eastAsia"/>
          <w:color w:val="auto"/>
          <w:highlight w:val="none"/>
        </w:rPr>
        <w:t>根据</w:t>
      </w:r>
      <w:r>
        <w:rPr>
          <w:color w:val="auto"/>
          <w:highlight w:val="none"/>
        </w:rPr>
        <w:t>《阿图什市环球矿业有限公司新疆阿图什市托斯莫铁矿</w:t>
      </w:r>
      <w:r>
        <w:rPr>
          <w:rFonts w:hint="eastAsia"/>
          <w:color w:val="auto"/>
          <w:highlight w:val="none"/>
        </w:rPr>
        <w:t>可行性研究报告</w:t>
      </w:r>
      <w:r>
        <w:rPr>
          <w:color w:val="auto"/>
          <w:highlight w:val="none"/>
        </w:rPr>
        <w:t>》</w:t>
      </w:r>
      <w:r>
        <w:rPr>
          <w:rFonts w:hint="eastAsia"/>
          <w:color w:val="auto"/>
          <w:highlight w:val="none"/>
        </w:rPr>
        <w:t>：设计排土场位于西采场南部最近距离约240m处山前冲洪积平原缓坡地带，场地地形坡度3～12°。设计排土场排废工艺为汽车－装载机覆盖式排土，</w:t>
      </w:r>
      <w:r>
        <w:rPr>
          <w:rFonts w:hint="eastAsia"/>
          <w:color w:val="auto"/>
          <w:highlight w:val="none"/>
          <w:lang w:eastAsia="zh-CN"/>
        </w:rPr>
        <w:t>自下而上</w:t>
      </w:r>
      <w:r>
        <w:rPr>
          <w:rFonts w:hint="eastAsia"/>
          <w:color w:val="auto"/>
          <w:highlight w:val="none"/>
        </w:rPr>
        <w:t>逐层堆置，台阶间留有安全平台。第一台阶高度为0-26m、台阶标高1744m，第二台阶高度为0-24m、台阶标高1768m，第三台阶高度为0-24m、台阶标高1792m，第四台阶高度为24m、台阶标高1816m，共4个台阶。排土场堆置总高度为24-98m，台阶坡面角为35°，安全平台宽度为10m，排土场边坡角为30-35°。设计排土场总容积为3822.5829万m</w:t>
      </w:r>
      <w:r>
        <w:rPr>
          <w:rFonts w:hint="eastAsia"/>
          <w:color w:val="auto"/>
          <w:highlight w:val="none"/>
          <w:vertAlign w:val="superscript"/>
        </w:rPr>
        <w:t>3</w:t>
      </w:r>
      <w:r>
        <w:rPr>
          <w:rFonts w:hint="eastAsia"/>
          <w:color w:val="auto"/>
          <w:highlight w:val="none"/>
        </w:rPr>
        <w:t>，占地面积约76.1476万m</w:t>
      </w:r>
      <w:r>
        <w:rPr>
          <w:rFonts w:hint="eastAsia"/>
          <w:color w:val="auto"/>
          <w:highlight w:val="none"/>
          <w:vertAlign w:val="superscript"/>
        </w:rPr>
        <w:t>2</w:t>
      </w:r>
      <w:r>
        <w:rPr>
          <w:rFonts w:hint="eastAsia"/>
          <w:color w:val="auto"/>
          <w:highlight w:val="none"/>
        </w:rPr>
        <w:t>。</w:t>
      </w:r>
    </w:p>
    <w:p w14:paraId="3E417CCE">
      <w:pPr>
        <w:pStyle w:val="3"/>
        <w:ind w:firstLine="480"/>
        <w:rPr>
          <w:color w:val="auto"/>
          <w:highlight w:val="none"/>
        </w:rPr>
      </w:pPr>
      <w:r>
        <w:rPr>
          <w:b/>
          <w:bCs/>
          <w:color w:val="auto"/>
          <w:highlight w:val="none"/>
        </w:rPr>
        <w:t>拟建尾矿库</w:t>
      </w:r>
      <w:r>
        <w:rPr>
          <w:rFonts w:hint="eastAsia"/>
          <w:b/>
          <w:bCs/>
          <w:color w:val="auto"/>
          <w:highlight w:val="none"/>
        </w:rPr>
        <w:t>设计：</w:t>
      </w:r>
      <w:r>
        <w:rPr>
          <w:color w:val="auto"/>
          <w:highlight w:val="none"/>
        </w:rPr>
        <w:t>该尾矿库为山谷型尾矿库，采用“初期坝+堆积坝”的型式，初期坝可形成有效库容为289.44万m</w:t>
      </w:r>
      <w:r>
        <w:rPr>
          <w:color w:val="auto"/>
          <w:highlight w:val="none"/>
          <w:vertAlign w:val="superscript"/>
        </w:rPr>
        <w:t>3</w:t>
      </w:r>
      <w:r>
        <w:rPr>
          <w:color w:val="auto"/>
          <w:highlight w:val="none"/>
        </w:rPr>
        <w:t>。初期坝设置上游坡比1:1.75，下游坡比1:2.0，堆积坝坡比1：4.0。尾矿库排洪系统由5座排水井+4条排洪支隧洞+1条排洪主隧洞+1座消力池+1条导流明渠组成，同时布设坝肩截水沟，通过以上防洪系统将尾矿库外部汇水截排至应急事故池。库区内每层堆积坝下游坡面设置纵横向网状排水沟，两侧坝肩设置坝肩截水沟与初期坝坝肩截水沟相连，将库区内汇水导排至外部。该尾矿库参照第Ⅰ类一般工业固体废物防渗要求执行，库底防渗系统由5.2mm复合土工排水网、渗滤水收集盲沟和渗滤水排出管组成，渗滤液通过5.2mm复合土工排水网汇集到盲沟内，盲沟内设渗滤水导排花管，在盲沟终端设置有排出管（无孔），该排出管穿过坝体，由阀门控制，与下游的渗滤水收集池相连，并在出水口设置流量计，用于对渗滤液量的监测。尾矿排放期间定期对施工作业面及马道等实施洒水降尘措施。本项目拟建尾矿库最终形成总库容4223.61万m</w:t>
      </w:r>
      <w:r>
        <w:rPr>
          <w:color w:val="auto"/>
          <w:highlight w:val="none"/>
          <w:vertAlign w:val="superscript"/>
        </w:rPr>
        <w:t>3</w:t>
      </w:r>
      <w:r>
        <w:rPr>
          <w:color w:val="auto"/>
          <w:highlight w:val="none"/>
        </w:rPr>
        <w:t>，有效库容3801.25万m</w:t>
      </w:r>
      <w:r>
        <w:rPr>
          <w:color w:val="auto"/>
          <w:highlight w:val="none"/>
          <w:vertAlign w:val="superscript"/>
        </w:rPr>
        <w:t>3</w:t>
      </w:r>
      <w:r>
        <w:rPr>
          <w:color w:val="auto"/>
          <w:highlight w:val="none"/>
        </w:rPr>
        <w:t>，服务年限20.</w:t>
      </w:r>
      <w:r>
        <w:rPr>
          <w:rFonts w:hint="eastAsia"/>
          <w:color w:val="auto"/>
          <w:highlight w:val="none"/>
          <w:lang w:eastAsia="zh-CN"/>
        </w:rPr>
        <w:t>1</w:t>
      </w:r>
      <w:r>
        <w:rPr>
          <w:rFonts w:hint="eastAsia"/>
          <w:color w:val="auto"/>
          <w:highlight w:val="none"/>
          <w:lang w:val="en-US" w:eastAsia="zh-CN"/>
        </w:rPr>
        <w:t>4</w:t>
      </w:r>
      <w:r>
        <w:rPr>
          <w:color w:val="auto"/>
          <w:highlight w:val="none"/>
        </w:rPr>
        <w:t>年，为干式尾矿库，最终设计等别为二等。本项目选矿干抛尾矿产生量188.75万m</w:t>
      </w:r>
      <w:r>
        <w:rPr>
          <w:color w:val="auto"/>
          <w:highlight w:val="none"/>
          <w:vertAlign w:val="superscript"/>
        </w:rPr>
        <w:t>3</w:t>
      </w:r>
      <w:r>
        <w:rPr>
          <w:rFonts w:hint="eastAsia"/>
          <w:color w:val="auto"/>
          <w:highlight w:val="none"/>
          <w:lang w:val="en-US" w:eastAsia="zh-CN"/>
        </w:rPr>
        <w:t>/a</w:t>
      </w:r>
      <w:r>
        <w:rPr>
          <w:color w:val="auto"/>
          <w:highlight w:val="none"/>
        </w:rPr>
        <w:t>，服务期限内总入库量</w:t>
      </w:r>
      <w:r>
        <w:rPr>
          <w:rFonts w:hint="eastAsia"/>
          <w:color w:val="auto"/>
          <w:highlight w:val="none"/>
        </w:rPr>
        <w:t>约</w:t>
      </w:r>
      <w:r>
        <w:rPr>
          <w:color w:val="auto"/>
          <w:highlight w:val="none"/>
        </w:rPr>
        <w:t>为3801万m</w:t>
      </w:r>
      <w:r>
        <w:rPr>
          <w:color w:val="auto"/>
          <w:highlight w:val="none"/>
          <w:vertAlign w:val="superscript"/>
        </w:rPr>
        <w:t>3</w:t>
      </w:r>
      <w:r>
        <w:rPr>
          <w:color w:val="auto"/>
          <w:highlight w:val="none"/>
        </w:rPr>
        <w:t>，尾矿库能满足本项目尾矿排放需求。</w:t>
      </w:r>
    </w:p>
    <w:p w14:paraId="715DB144">
      <w:pPr>
        <w:pStyle w:val="3"/>
        <w:ind w:firstLine="480"/>
        <w:rPr>
          <w:color w:val="auto"/>
          <w:highlight w:val="none"/>
        </w:rPr>
      </w:pPr>
      <w:r>
        <w:rPr>
          <w:color w:val="auto"/>
          <w:highlight w:val="none"/>
        </w:rPr>
        <w:t>通过采取以上处理处置措施，本项目产生的废石和尾矿得到合理处置，结合大气、地下水环境预测结果，在严格按照设计及环评要求进行排放及管理的情况下，废石和尾矿造成的污染和生态损害在可控范围内，对周围环境影响较小。</w:t>
      </w:r>
    </w:p>
    <w:p w14:paraId="32667404">
      <w:pPr>
        <w:pStyle w:val="43"/>
        <w:rPr>
          <w:color w:val="auto"/>
          <w:highlight w:val="none"/>
        </w:rPr>
      </w:pPr>
      <w:r>
        <w:rPr>
          <w:rFonts w:hint="eastAsia"/>
          <w:color w:val="auto"/>
          <w:highlight w:val="none"/>
        </w:rPr>
        <w:t>危险废物影响分析</w:t>
      </w:r>
    </w:p>
    <w:p w14:paraId="1F7D901A">
      <w:pPr>
        <w:pStyle w:val="3"/>
        <w:ind w:firstLine="480"/>
        <w:rPr>
          <w:color w:val="auto"/>
          <w:highlight w:val="none"/>
        </w:rPr>
      </w:pPr>
      <w:r>
        <w:rPr>
          <w:color w:val="auto"/>
          <w:highlight w:val="none"/>
        </w:rPr>
        <w:t>根据项目工程分析，项目危险固废为设备维修保养产生废机油，在不采取相应防风、防晒、防雨、防漏、防渗措施的情况下，其发生挥发、淋溶、渗漏等情况下，对大气、地表水、地下水以及土壤均会产生较强的污染，甚至发生环境风险事故。</w:t>
      </w:r>
    </w:p>
    <w:p w14:paraId="2F0DF656">
      <w:pPr>
        <w:pStyle w:val="3"/>
        <w:ind w:firstLine="480"/>
        <w:rPr>
          <w:color w:val="auto"/>
          <w:highlight w:val="none"/>
        </w:rPr>
      </w:pPr>
      <w:r>
        <w:rPr>
          <w:color w:val="auto"/>
          <w:highlight w:val="none"/>
        </w:rPr>
        <w:t>本次针对危险废物的以上环境影响，主要提出了对各类危险废物按其危险性及反应特性，进行分类收集、分类贮存，依托厂区现有危险废物贮存设施，定期交由有资质单位拉运处置。</w:t>
      </w:r>
    </w:p>
    <w:p w14:paraId="45B00042">
      <w:pPr>
        <w:pStyle w:val="3"/>
        <w:ind w:firstLine="480"/>
        <w:rPr>
          <w:color w:val="auto"/>
          <w:highlight w:val="none"/>
        </w:rPr>
      </w:pPr>
      <w:r>
        <w:rPr>
          <w:color w:val="auto"/>
          <w:highlight w:val="none"/>
        </w:rPr>
        <w:t>现状危废贮存点为彩钢板房结构，面积25m</w:t>
      </w:r>
      <w:r>
        <w:rPr>
          <w:color w:val="auto"/>
          <w:highlight w:val="none"/>
          <w:vertAlign w:val="superscript"/>
        </w:rPr>
        <w:t>2</w:t>
      </w:r>
      <w:r>
        <w:rPr>
          <w:color w:val="auto"/>
          <w:highlight w:val="none"/>
        </w:rPr>
        <w:t>，进行了地面防渗，废机油封闭在钢制油桶内。危废贮存点按照《危险废物贮存污染控制标准》（GB18597-2023）建设，满足防风、防晒、防雨、防漏、防渗要求，在采取相应的防渗及事故应急措施后，危险废物对周围大气、土壤及地下水环境影响较小。</w:t>
      </w:r>
    </w:p>
    <w:p w14:paraId="0C06B49A">
      <w:pPr>
        <w:pStyle w:val="43"/>
        <w:rPr>
          <w:color w:val="auto"/>
          <w:highlight w:val="none"/>
        </w:rPr>
      </w:pPr>
      <w:r>
        <w:rPr>
          <w:color w:val="auto"/>
          <w:highlight w:val="none"/>
        </w:rPr>
        <w:t>生活垃圾影响分析</w:t>
      </w:r>
    </w:p>
    <w:p w14:paraId="784B3C80">
      <w:pPr>
        <w:pStyle w:val="3"/>
        <w:ind w:firstLine="480"/>
        <w:rPr>
          <w:color w:val="auto"/>
          <w:highlight w:val="none"/>
        </w:rPr>
      </w:pPr>
      <w:r>
        <w:rPr>
          <w:color w:val="auto"/>
          <w:highlight w:val="none"/>
        </w:rPr>
        <w:t>本项目生活垃圾主要是职工产生的垃圾。本项目在厂区生产区和生活区设置若干垃圾桶，配备专职的清洁员和必要的工具，负责清扫厂区，维持清洁卫生，每日定时把各个垃圾桶的垃圾收集到垃圾暂存点，每日清运一次。垃圾桶及存放场所经常维护，保证门、盖齐全完好，并定期消毒。生活垃圾集中收集后，运往</w:t>
      </w:r>
      <w:r>
        <w:rPr>
          <w:color w:val="auto"/>
          <w:highlight w:val="none"/>
        </w:rPr>
        <w:t>哈拉峻乡谢依提村垃圾场填埋处理</w:t>
      </w:r>
      <w:r>
        <w:rPr>
          <w:color w:val="auto"/>
          <w:highlight w:val="none"/>
        </w:rPr>
        <w:t>。通过以上措施，生活垃圾得到妥善处理，暂存和收集应符合卫生要求，对环境影响不大。</w:t>
      </w:r>
    </w:p>
    <w:p w14:paraId="795D026B">
      <w:pPr>
        <w:pStyle w:val="43"/>
        <w:rPr>
          <w:color w:val="auto"/>
          <w:highlight w:val="none"/>
        </w:rPr>
      </w:pPr>
      <w:r>
        <w:rPr>
          <w:rFonts w:hint="eastAsia"/>
          <w:color w:val="auto"/>
          <w:highlight w:val="none"/>
        </w:rPr>
        <w:t>固体废物环境影响结论</w:t>
      </w:r>
    </w:p>
    <w:p w14:paraId="0032AFE5">
      <w:pPr>
        <w:pStyle w:val="3"/>
        <w:ind w:firstLine="480"/>
        <w:rPr>
          <w:color w:val="auto"/>
          <w:highlight w:val="none"/>
        </w:rPr>
      </w:pPr>
      <w:r>
        <w:rPr>
          <w:color w:val="auto"/>
          <w:highlight w:val="none"/>
        </w:rPr>
        <w:t>本项目产生的废石运送至露天采矿</w:t>
      </w:r>
      <w:r>
        <w:rPr>
          <w:rFonts w:hint="eastAsia"/>
          <w:color w:val="auto"/>
          <w:highlight w:val="none"/>
          <w:lang w:eastAsia="zh-CN"/>
        </w:rPr>
        <w:t>排土场</w:t>
      </w:r>
      <w:r>
        <w:rPr>
          <w:color w:val="auto"/>
          <w:highlight w:val="none"/>
        </w:rPr>
        <w:t>，干排尾矿运送至本项目规划尾矿库排放，除尘灰返回选矿工艺再利用，炉灰渣作为土壤改良剂用于</w:t>
      </w:r>
      <w:r>
        <w:rPr>
          <w:rFonts w:hint="eastAsia"/>
          <w:color w:val="auto"/>
          <w:highlight w:val="none"/>
          <w:lang w:eastAsia="zh-CN"/>
        </w:rPr>
        <w:t>项目区</w:t>
      </w:r>
      <w:r>
        <w:rPr>
          <w:color w:val="auto"/>
          <w:highlight w:val="none"/>
        </w:rPr>
        <w:t>生态恢复治理，危险废物都由委托有资质的单位处置，危险废物贮存严格按《危险废物贮存污染控制标准》（GB18597-2023）管理，生活污水处理设施污泥和生活垃圾通过定期清运能够得到合理处置。综合以上，建设单位在加强工业固体废物的管理情况下，项目实施产生的固体废物对环境产生的影响较小。</w:t>
      </w:r>
    </w:p>
    <w:p w14:paraId="3392A2C2">
      <w:pPr>
        <w:pStyle w:val="39"/>
        <w:rPr>
          <w:rFonts w:hint="default"/>
          <w:color w:val="auto"/>
          <w:highlight w:val="none"/>
        </w:rPr>
      </w:pPr>
      <w:bookmarkStart w:id="385" w:name="_Toc31883"/>
      <w:bookmarkStart w:id="386" w:name="_Toc32581"/>
      <w:r>
        <w:rPr>
          <w:rFonts w:hint="default"/>
          <w:color w:val="auto"/>
          <w:highlight w:val="none"/>
        </w:rPr>
        <w:t>生态环境影响分析</w:t>
      </w:r>
      <w:bookmarkEnd w:id="385"/>
      <w:bookmarkEnd w:id="386"/>
    </w:p>
    <w:p w14:paraId="1B7AB9A8">
      <w:pPr>
        <w:pStyle w:val="42"/>
        <w:rPr>
          <w:rFonts w:hint="default"/>
          <w:color w:val="auto"/>
          <w:highlight w:val="none"/>
        </w:rPr>
      </w:pPr>
      <w:r>
        <w:rPr>
          <w:rFonts w:hint="default"/>
          <w:color w:val="auto"/>
          <w:highlight w:val="none"/>
        </w:rPr>
        <w:t>土地利用影响</w:t>
      </w:r>
    </w:p>
    <w:p w14:paraId="4E312757">
      <w:pPr>
        <w:pStyle w:val="3"/>
        <w:ind w:firstLine="480"/>
        <w:rPr>
          <w:color w:val="auto"/>
          <w:highlight w:val="none"/>
        </w:rPr>
      </w:pPr>
      <w:r>
        <w:rPr>
          <w:color w:val="auto"/>
          <w:highlight w:val="none"/>
        </w:rPr>
        <w:t>对</w:t>
      </w:r>
      <w:r>
        <w:rPr>
          <w:rFonts w:hint="eastAsia"/>
          <w:color w:val="auto"/>
          <w:highlight w:val="none"/>
        </w:rPr>
        <w:t>土地利用</w:t>
      </w:r>
      <w:r>
        <w:rPr>
          <w:color w:val="auto"/>
          <w:highlight w:val="none"/>
        </w:rPr>
        <w:t>的影响主要表现在项目建成后的永久占地，主要表现为建设选矿厂、尾矿库、生活区等配套设施，覆土平整及自然生态恢复治理。</w:t>
      </w:r>
    </w:p>
    <w:p w14:paraId="4EBF0F1E">
      <w:pPr>
        <w:pStyle w:val="3"/>
        <w:ind w:firstLine="480"/>
        <w:rPr>
          <w:color w:val="auto"/>
          <w:highlight w:val="none"/>
        </w:rPr>
      </w:pPr>
      <w:r>
        <w:rPr>
          <w:color w:val="auto"/>
          <w:highlight w:val="none"/>
        </w:rPr>
        <w:t>项目运营期占用土地将改变原有的土地利用类型，</w:t>
      </w:r>
      <w:r>
        <w:rPr>
          <w:rFonts w:hint="eastAsia"/>
          <w:color w:val="auto"/>
          <w:highlight w:val="none"/>
          <w:lang w:eastAsia="zh-CN"/>
        </w:rPr>
        <w:t>同时</w:t>
      </w:r>
      <w:r>
        <w:rPr>
          <w:rFonts w:hint="eastAsia"/>
          <w:color w:val="auto"/>
          <w:highlight w:val="none"/>
        </w:rPr>
        <w:t>选矿厂</w:t>
      </w:r>
      <w:r>
        <w:rPr>
          <w:color w:val="auto"/>
          <w:highlight w:val="none"/>
        </w:rPr>
        <w:t>、尾矿库的闭库及生态恢复将使一部分工业用地恢复原貌，且闭库期随着生态恢复和重建，所有占地将恢复原貌，这种影响将随之消失。</w:t>
      </w:r>
    </w:p>
    <w:p w14:paraId="12B3DBED">
      <w:pPr>
        <w:pStyle w:val="42"/>
        <w:rPr>
          <w:rFonts w:hint="default"/>
          <w:color w:val="auto"/>
          <w:highlight w:val="none"/>
        </w:rPr>
      </w:pPr>
      <w:r>
        <w:rPr>
          <w:rFonts w:hint="default"/>
          <w:color w:val="auto"/>
          <w:highlight w:val="none"/>
        </w:rPr>
        <w:t>植物资源影响评价</w:t>
      </w:r>
    </w:p>
    <w:p w14:paraId="1908C766">
      <w:pPr>
        <w:pStyle w:val="3"/>
        <w:ind w:firstLine="480"/>
        <w:rPr>
          <w:rFonts w:hint="eastAsia" w:eastAsia="华文中宋"/>
          <w:color w:val="auto"/>
          <w:highlight w:val="none"/>
          <w:lang w:eastAsia="zh-CN"/>
        </w:rPr>
      </w:pPr>
      <w:r>
        <w:rPr>
          <w:color w:val="auto"/>
          <w:highlight w:val="none"/>
        </w:rPr>
        <w:t>（1）</w:t>
      </w:r>
      <w:r>
        <w:rPr>
          <w:rFonts w:hint="eastAsia"/>
          <w:color w:val="auto"/>
          <w:highlight w:val="none"/>
          <w:lang w:eastAsia="zh-CN"/>
        </w:rPr>
        <w:t>工程</w:t>
      </w:r>
      <w:r>
        <w:rPr>
          <w:color w:val="auto"/>
          <w:highlight w:val="none"/>
        </w:rPr>
        <w:t>占地</w:t>
      </w:r>
      <w:r>
        <w:rPr>
          <w:rFonts w:hint="eastAsia"/>
          <w:color w:val="auto"/>
          <w:highlight w:val="none"/>
          <w:lang w:eastAsia="zh-CN"/>
        </w:rPr>
        <w:t>对植被的影响分析</w:t>
      </w:r>
    </w:p>
    <w:p w14:paraId="5A10EF28">
      <w:pPr>
        <w:pStyle w:val="3"/>
        <w:ind w:firstLine="480"/>
        <w:rPr>
          <w:color w:val="auto"/>
          <w:highlight w:val="none"/>
        </w:rPr>
      </w:pPr>
      <w:r>
        <w:rPr>
          <w:color w:val="auto"/>
          <w:highlight w:val="none"/>
        </w:rPr>
        <w:t>本项目总占地</w:t>
      </w:r>
      <w:r>
        <w:rPr>
          <w:rFonts w:hint="eastAsia"/>
          <w:color w:val="auto"/>
          <w:highlight w:val="none"/>
        </w:rPr>
        <w:t>143.738</w:t>
      </w:r>
      <w:r>
        <w:rPr>
          <w:color w:val="auto"/>
          <w:highlight w:val="none"/>
        </w:rPr>
        <w:t>hm</w:t>
      </w:r>
      <w:r>
        <w:rPr>
          <w:color w:val="auto"/>
          <w:highlight w:val="none"/>
          <w:vertAlign w:val="superscript"/>
        </w:rPr>
        <w:t>2</w:t>
      </w:r>
      <w:r>
        <w:rPr>
          <w:color w:val="auto"/>
          <w:highlight w:val="none"/>
        </w:rPr>
        <w:t>，</w:t>
      </w:r>
      <w:r>
        <w:rPr>
          <w:rFonts w:hint="eastAsia"/>
          <w:color w:val="auto"/>
          <w:highlight w:val="none"/>
        </w:rPr>
        <w:t>其中选矿厂占地面积39.388hm</w:t>
      </w:r>
      <w:r>
        <w:rPr>
          <w:rFonts w:hint="eastAsia"/>
          <w:color w:val="auto"/>
          <w:highlight w:val="none"/>
          <w:vertAlign w:val="superscript"/>
        </w:rPr>
        <w:t>2</w:t>
      </w:r>
      <w:r>
        <w:rPr>
          <w:rFonts w:hint="eastAsia"/>
          <w:color w:val="auto"/>
          <w:highlight w:val="none"/>
        </w:rPr>
        <w:t>，尾矿库占地面积85.76hm</w:t>
      </w:r>
      <w:r>
        <w:rPr>
          <w:rFonts w:hint="eastAsia"/>
          <w:color w:val="auto"/>
          <w:highlight w:val="none"/>
          <w:vertAlign w:val="superscript"/>
        </w:rPr>
        <w:t>2</w:t>
      </w:r>
      <w:r>
        <w:rPr>
          <w:rFonts w:hint="eastAsia"/>
          <w:color w:val="auto"/>
          <w:highlight w:val="none"/>
        </w:rPr>
        <w:t>，线性工程（皮带运输廊道）占地面积18.59hm</w:t>
      </w:r>
      <w:r>
        <w:rPr>
          <w:rFonts w:hint="eastAsia"/>
          <w:color w:val="auto"/>
          <w:highlight w:val="none"/>
          <w:vertAlign w:val="superscript"/>
        </w:rPr>
        <w:t>2</w:t>
      </w:r>
      <w:r>
        <w:rPr>
          <w:rFonts w:hint="eastAsia"/>
          <w:color w:val="auto"/>
          <w:highlight w:val="none"/>
        </w:rPr>
        <w:t>。受前期建设及本次扩建的地表扰动影响，选矿厂范围内的原生植被已被人工绿化植被替代，本次扩建对自然植被的影响有限；尾矿库及线性工程占地类型主要为砾石戈壁稀疏荒漠植被，地表覆盖度低，群落结构简单，物种组成单一。尽管工程占地会造成局部区域植被生物量的一定损失，但受影响的植被类型及植物物种在评价区内广泛分布，且占地范围内无珍稀濒危保护植物及地方特有种分布。因此，本工程建设不会改变评价区内植物群落的种类组成，亦不会造成任何植物物种在评价区范围内的消失，对区域植物多样性和生态系统完整性的影响总体可控。</w:t>
      </w:r>
    </w:p>
    <w:p w14:paraId="63666C7A">
      <w:pPr>
        <w:pStyle w:val="3"/>
        <w:bidi w:val="0"/>
        <w:rPr>
          <w:rFonts w:hint="eastAsia"/>
          <w:color w:val="auto"/>
          <w:highlight w:val="none"/>
        </w:rPr>
      </w:pPr>
      <w:r>
        <w:rPr>
          <w:color w:val="auto"/>
          <w:highlight w:val="none"/>
        </w:rPr>
        <w:t>（2）</w:t>
      </w:r>
      <w:r>
        <w:rPr>
          <w:rFonts w:hint="eastAsia"/>
          <w:color w:val="auto"/>
          <w:highlight w:val="none"/>
        </w:rPr>
        <w:t>运营期污染物排放对植被的间接影响分析</w:t>
      </w:r>
    </w:p>
    <w:p w14:paraId="118A5AE6">
      <w:pPr>
        <w:pStyle w:val="3"/>
        <w:bidi w:val="0"/>
        <w:rPr>
          <w:rFonts w:hint="eastAsia"/>
          <w:color w:val="auto"/>
          <w:highlight w:val="none"/>
        </w:rPr>
      </w:pPr>
      <w:r>
        <w:rPr>
          <w:rFonts w:hint="eastAsia"/>
          <w:color w:val="auto"/>
          <w:highlight w:val="none"/>
        </w:rPr>
        <w:t>运营期间，尾矿库干滩区域在风力作用下可能产生少量含尘气流，其中携带的特征重金属（如铅、镍）及颗粒物沉降至周边地表，可能对土壤环境和植被生长产生一定间接影响。</w:t>
      </w:r>
    </w:p>
    <w:p w14:paraId="38DD4F31">
      <w:pPr>
        <w:pStyle w:val="3"/>
        <w:bidi w:val="0"/>
        <w:rPr>
          <w:rFonts w:hint="eastAsia"/>
          <w:color w:val="auto"/>
          <w:highlight w:val="none"/>
        </w:rPr>
      </w:pPr>
      <w:r>
        <w:rPr>
          <w:rFonts w:hint="eastAsia"/>
          <w:color w:val="auto"/>
          <w:highlight w:val="none"/>
        </w:rPr>
        <w:t>就影响程度而言，评价区内植被盖度较低，选矿厂周边为裸地，尾矿库占地类型主要为砂砾覆盖的砾石戈壁，植被以旱生、超旱生灌木为主，零星分布，群落结构简单、盖度稀疏，单位面积生物量极低。受粉尘沉降直接影响的植物个体数量本就十分有限；同时，灌木植株相对高大，叶片离地较高，地表扬尘对其叶面的直接附着效率较低，加之该区域年均降水量仅118 mm、年蒸发量高达1500 mm，降水淋溶作用极弱，大气沉降物难以有效进入植物根际土壤溶液或被植物根系吸收，因此重金属通过大气—土壤—植物途径产生毒性胁迫的生物有效性较低。</w:t>
      </w:r>
    </w:p>
    <w:p w14:paraId="7856241B">
      <w:pPr>
        <w:pStyle w:val="3"/>
        <w:bidi w:val="0"/>
        <w:rPr>
          <w:rFonts w:hint="default"/>
          <w:color w:val="auto"/>
          <w:highlight w:val="none"/>
        </w:rPr>
      </w:pPr>
      <w:r>
        <w:rPr>
          <w:rFonts w:hint="eastAsia"/>
          <w:color w:val="auto"/>
          <w:highlight w:val="none"/>
        </w:rPr>
        <w:t>从影响机理来看，粉尘对植被的间接影响主要体现在两个方面：一是颗粒物长期覆盖于叶片表面可能阻碍气孔交换、降低光合效率；二是含重金属粉尘逐年累积于表层土壤，可能引起土壤理化性质（如pH值、养分有效性）的缓慢改变。考虑到本区域植被稀疏、土壤贫瘠、生态承载力本身较低，上述累积性影响尚在可控范围内，但仍需引起重视。建议运营期严格落实干滩洒水抑尘措施，并在尾矿库主导风向下风向的灌木分布区设置土壤—植被跟踪监测点位，定期监测表层土壤重金属含量及灌木生长状况变化。</w:t>
      </w:r>
    </w:p>
    <w:p w14:paraId="452CDE3C">
      <w:pPr>
        <w:pStyle w:val="42"/>
        <w:rPr>
          <w:rFonts w:hint="default"/>
          <w:color w:val="auto"/>
          <w:highlight w:val="none"/>
        </w:rPr>
      </w:pPr>
      <w:r>
        <w:rPr>
          <w:rFonts w:hint="default"/>
          <w:color w:val="auto"/>
          <w:highlight w:val="none"/>
        </w:rPr>
        <w:t>野生动物资源影响分析</w:t>
      </w:r>
    </w:p>
    <w:p w14:paraId="31A2FF77">
      <w:pPr>
        <w:pStyle w:val="3"/>
        <w:ind w:firstLine="480"/>
        <w:rPr>
          <w:color w:val="auto"/>
          <w:highlight w:val="none"/>
        </w:rPr>
      </w:pPr>
      <w:r>
        <w:rPr>
          <w:color w:val="auto"/>
          <w:highlight w:val="none"/>
        </w:rPr>
        <w:t>对大多数野生动物来说，最大的威胁来自其生境被分割、缩小、破坏和退化。</w:t>
      </w:r>
    </w:p>
    <w:p w14:paraId="1846080C">
      <w:pPr>
        <w:pStyle w:val="3"/>
        <w:ind w:firstLine="480"/>
        <w:rPr>
          <w:rFonts w:hint="eastAsia"/>
          <w:color w:val="auto"/>
          <w:highlight w:val="none"/>
        </w:rPr>
      </w:pPr>
      <w:r>
        <w:rPr>
          <w:rFonts w:hint="eastAsia"/>
          <w:color w:val="auto"/>
          <w:highlight w:val="none"/>
        </w:rPr>
        <w:t>（1）栖息地丧失与破碎化影响</w:t>
      </w:r>
    </w:p>
    <w:p w14:paraId="6CB0DDB6">
      <w:pPr>
        <w:pStyle w:val="3"/>
        <w:ind w:firstLine="480"/>
        <w:rPr>
          <w:rFonts w:hint="eastAsia"/>
          <w:color w:val="auto"/>
          <w:highlight w:val="none"/>
        </w:rPr>
      </w:pPr>
      <w:r>
        <w:rPr>
          <w:rFonts w:hint="eastAsia"/>
          <w:color w:val="auto"/>
          <w:highlight w:val="none"/>
        </w:rPr>
        <w:t>对大多数野生动物而言，生境分割、缩小及退化是主要威胁。本项目占地143.738 hm²，其中尾矿库及线性工程新增占用砾石戈壁生境，将直接导致部分野生动物活动面积减少。评价区地表植被覆盖度极低，总体上野生动物栖息条件较差，区系组成以中亚荒漠耐旱物种为主体，种群密度普遍较低。代表性物种包括爬行类的快步沙蜥，鸟类的二斑百灵、小沙百灵以及兽类的子午沙鼠、五趾跳鼠等小型啮齿类动物。上述物种生境适应性强，活动范围广，在评价区周边同类戈壁生境中广泛分布；且工程占地面积有限，未造成区域性栖息地分割或阻隔效应，不会导致任一物种的栖息地发生根本性改变。因此，本工程建设不会使评价区野生动物物种</w:t>
      </w:r>
      <w:r>
        <w:rPr>
          <w:rFonts w:hint="eastAsia"/>
          <w:color w:val="auto"/>
          <w:highlight w:val="none"/>
          <w:lang w:eastAsia="zh-CN"/>
        </w:rPr>
        <w:t>数量</w:t>
      </w:r>
      <w:r>
        <w:rPr>
          <w:rFonts w:hint="eastAsia"/>
          <w:color w:val="auto"/>
          <w:highlight w:val="none"/>
        </w:rPr>
        <w:t>发生明显变化，亦不会对种群数量造成显著影响。</w:t>
      </w:r>
    </w:p>
    <w:p w14:paraId="2F7743CE">
      <w:pPr>
        <w:pStyle w:val="3"/>
        <w:ind w:firstLine="480"/>
        <w:rPr>
          <w:rFonts w:hint="eastAsia"/>
          <w:color w:val="auto"/>
          <w:highlight w:val="none"/>
        </w:rPr>
      </w:pPr>
      <w:r>
        <w:rPr>
          <w:rFonts w:hint="eastAsia"/>
          <w:color w:val="auto"/>
          <w:highlight w:val="none"/>
        </w:rPr>
        <w:t>（2）运营期人为干扰对野生动物的影响</w:t>
      </w:r>
    </w:p>
    <w:p w14:paraId="5F054658">
      <w:pPr>
        <w:pStyle w:val="3"/>
        <w:ind w:firstLine="480"/>
        <w:rPr>
          <w:color w:val="auto"/>
          <w:highlight w:val="none"/>
        </w:rPr>
      </w:pPr>
      <w:r>
        <w:rPr>
          <w:rFonts w:hint="eastAsia"/>
          <w:color w:val="auto"/>
          <w:highlight w:val="none"/>
        </w:rPr>
        <w:t>运营期间，尾矿库运行设备噪声、运输车辆通行及巡检人员活动等，可能对周边野生动物产生一定惊扰效应。快步沙蜥等爬行类主要通过避让行为远离高噪声区域；二斑百灵、小沙百灵等鸟类在周边具有充裕的替代觅食与繁殖生境，可主动迁往邻近未扰动区域活动；子午沙鼠、五趾跳鼠等夜行性啮齿类动物，其活动高峰与人类作业时段重叠度低，受干扰相对较小。此外，区域年均降水量仅118 mm，蒸发量远大于降水量，尾矿库干排工艺不形成积水区，不会产生水生或湿地生境变化，对依赖水源的野生动物吸引力极低。上述干扰源仅在工程区局部范围内产生影响，且周边具有广泛的替代生境，加之荒漠物种对极端干旱环境及自然扰动已具备较强适应性，运营期人为干扰对区域野生动物种群的影响总体有限。</w:t>
      </w:r>
    </w:p>
    <w:p w14:paraId="3F5E6792">
      <w:pPr>
        <w:pStyle w:val="42"/>
        <w:rPr>
          <w:rFonts w:hint="default"/>
          <w:color w:val="auto"/>
          <w:highlight w:val="none"/>
        </w:rPr>
      </w:pPr>
      <w:r>
        <w:rPr>
          <w:rFonts w:hint="default"/>
          <w:color w:val="auto"/>
          <w:highlight w:val="none"/>
        </w:rPr>
        <w:t>景观影响分析</w:t>
      </w:r>
    </w:p>
    <w:p w14:paraId="67184B5A">
      <w:pPr>
        <w:pStyle w:val="3"/>
        <w:ind w:firstLine="480"/>
        <w:rPr>
          <w:rFonts w:hint="eastAsia"/>
          <w:color w:val="auto"/>
          <w:highlight w:val="none"/>
        </w:rPr>
      </w:pPr>
      <w:r>
        <w:rPr>
          <w:rFonts w:hint="eastAsia"/>
          <w:color w:val="auto"/>
          <w:highlight w:val="none"/>
        </w:rPr>
        <w:t>（1）景观格局变化分析</w:t>
      </w:r>
    </w:p>
    <w:p w14:paraId="7E6E0486">
      <w:pPr>
        <w:pStyle w:val="3"/>
        <w:ind w:firstLine="480"/>
        <w:rPr>
          <w:rFonts w:hint="eastAsia"/>
          <w:color w:val="auto"/>
          <w:highlight w:val="none"/>
        </w:rPr>
      </w:pPr>
      <w:r>
        <w:rPr>
          <w:rFonts w:hint="eastAsia"/>
          <w:color w:val="auto"/>
          <w:highlight w:val="none"/>
        </w:rPr>
        <w:t>本项目实施将导致评价区域内原有景观格局发生一定程度的改变。项目总占地143.738 hm</w:t>
      </w:r>
      <w:r>
        <w:rPr>
          <w:rFonts w:hint="eastAsia"/>
          <w:color w:val="auto"/>
          <w:highlight w:val="none"/>
          <w:vertAlign w:val="superscript"/>
          <w:lang w:val="en-US" w:eastAsia="zh-CN"/>
        </w:rPr>
        <w:t>2</w:t>
      </w:r>
      <w:r>
        <w:rPr>
          <w:rFonts w:hint="eastAsia"/>
          <w:color w:val="auto"/>
          <w:highlight w:val="none"/>
        </w:rPr>
        <w:t>，选矿厂、尾矿库、皮带运输廊道及配套生活区、道路等设施建成后，将使区域内原有砾石戈壁荒漠自然景观逐步转变为以工业车间、尾矿库、运输廊道、道路及生活区为主的人工工业景观。选矿厂所在区域因前期建设及扩建扰动，原生景观已不复存在，本次工程将进一步强化其人工属性；尾矿库及线性工程区域则将原有连续的自然景观切割为若干斑块，造成空间上的非连续性及视觉景观的破碎化，形成与周边自然环境反差较大的人工景观类型。</w:t>
      </w:r>
    </w:p>
    <w:p w14:paraId="043FF4BE">
      <w:pPr>
        <w:pStyle w:val="3"/>
        <w:ind w:firstLine="480"/>
        <w:rPr>
          <w:rFonts w:hint="eastAsia"/>
          <w:color w:val="auto"/>
          <w:highlight w:val="none"/>
        </w:rPr>
      </w:pPr>
      <w:r>
        <w:rPr>
          <w:rFonts w:hint="eastAsia"/>
          <w:color w:val="auto"/>
          <w:highlight w:val="none"/>
        </w:rPr>
        <w:t>（2）景观协调性影响分析</w:t>
      </w:r>
    </w:p>
    <w:p w14:paraId="47F72294">
      <w:pPr>
        <w:pStyle w:val="3"/>
        <w:ind w:firstLine="480"/>
        <w:rPr>
          <w:color w:val="auto"/>
          <w:highlight w:val="none"/>
        </w:rPr>
      </w:pPr>
      <w:r>
        <w:rPr>
          <w:rFonts w:hint="eastAsia"/>
          <w:color w:val="auto"/>
          <w:highlight w:val="none"/>
        </w:rPr>
        <w:t>评价区原有景观类型单一，为荒漠景观，景观异质化程度较低。本项目建成后，人工景观优势度显著上升，自然景观斑块面积相应缩减，导致区域景观同质性增强、自然美学价值有所降低。尾矿库设计最大坝高115 m，作为区域内的标志性人工构筑物，其体量突出于原地貌之上，对原有平坦开阔的戈壁天际线产生明显改变，与周边自然景观在色彩、形态、质感等方面均存在较大反差，视觉协调性较差。此外，干滩区域在干旱大风天气下可能产生扬尘，进一步降低区域景观质量。总体而言，项目建设期间及运营前期，景观协调性较差，对区域自然景观产生一定不利影响。</w:t>
      </w:r>
    </w:p>
    <w:p w14:paraId="309DF0FB">
      <w:pPr>
        <w:pStyle w:val="42"/>
        <w:rPr>
          <w:rFonts w:hint="default"/>
          <w:color w:val="auto"/>
          <w:highlight w:val="none"/>
        </w:rPr>
      </w:pPr>
      <w:r>
        <w:rPr>
          <w:color w:val="auto"/>
          <w:highlight w:val="none"/>
        </w:rPr>
        <w:t>生态系统稳定性的影响评价</w:t>
      </w:r>
    </w:p>
    <w:p w14:paraId="18B6163B">
      <w:pPr>
        <w:pStyle w:val="3"/>
        <w:ind w:firstLine="480"/>
        <w:rPr>
          <w:rFonts w:hint="eastAsia"/>
          <w:color w:val="auto"/>
          <w:highlight w:val="none"/>
        </w:rPr>
      </w:pPr>
      <w:r>
        <w:rPr>
          <w:rFonts w:hint="eastAsia"/>
          <w:color w:val="auto"/>
          <w:highlight w:val="none"/>
        </w:rPr>
        <w:t>（1）对生态系统阻抗稳定性的影响分析</w:t>
      </w:r>
    </w:p>
    <w:p w14:paraId="00C07BCA">
      <w:pPr>
        <w:pStyle w:val="3"/>
        <w:ind w:firstLine="480"/>
        <w:rPr>
          <w:rFonts w:hint="eastAsia"/>
          <w:color w:val="auto"/>
          <w:highlight w:val="none"/>
        </w:rPr>
      </w:pPr>
      <w:r>
        <w:rPr>
          <w:rFonts w:hint="eastAsia"/>
          <w:color w:val="auto"/>
          <w:highlight w:val="none"/>
        </w:rPr>
        <w:t>生态系统的阻抗稳定性是指生态系统抵抗外部扰动、维持自身结构和功能完整性的能力。本项目新增占用土地主要为砾石戈壁荒漠生态系统，该类型生态系统长期适应于极端干旱环境，物种组成简单、食物链结构单一、能量流动和物质循环速率较低，自身阻抗稳定性较弱，一旦受到强烈扰动，恢复能力相对有限。工程实施将导致占地范围内原有地表覆盖物（砾石、砂土及稀疏灌木）被清除或压占，表层土壤结构遭到破坏，可能引发局部风蚀加剧和地表水土保持功能下降，对生态系统的固碳释氧、土壤保持等生态服务功能造成一定程度的削弱。</w:t>
      </w:r>
    </w:p>
    <w:p w14:paraId="70550D03">
      <w:pPr>
        <w:pStyle w:val="3"/>
        <w:ind w:firstLine="480"/>
        <w:rPr>
          <w:rFonts w:hint="eastAsia"/>
          <w:color w:val="auto"/>
          <w:highlight w:val="none"/>
        </w:rPr>
      </w:pPr>
      <w:r>
        <w:rPr>
          <w:rFonts w:hint="eastAsia"/>
          <w:color w:val="auto"/>
          <w:highlight w:val="none"/>
        </w:rPr>
        <w:t>但本项目严格限定在划定的永久占地范围内，不涉及保护区、基本草原等敏感区域，且区域自然植被盖度极低、野生动物种群密度较小，生态系统本身处于低水平平衡状态。施工过程中通过规范作业行为、严格控制施工范围、减少大面积开挖和地表过度扰动、优化临时便道设置等措施，可将扰动控制在占地红线以内，不对外围未扰动区域产生明显扩散影响。同时，评价区内各类荒漠生物群落在周边区域广泛存在，工程未造成任何物种的种群灭绝或栖息地不可逆退化。因此，尽管局部地表形态和土壤条件短期内发生改变，但并未从根本上破坏区域生态系统的结构完整性和功能连续性，工程建设对区域整体阻抗稳定性的影响属于可控范围。</w:t>
      </w:r>
    </w:p>
    <w:p w14:paraId="6823B87D">
      <w:pPr>
        <w:pStyle w:val="3"/>
        <w:ind w:firstLine="480"/>
        <w:rPr>
          <w:rFonts w:hint="eastAsia"/>
          <w:color w:val="auto"/>
          <w:highlight w:val="none"/>
        </w:rPr>
      </w:pPr>
      <w:r>
        <w:rPr>
          <w:rFonts w:hint="eastAsia"/>
          <w:color w:val="auto"/>
          <w:highlight w:val="none"/>
        </w:rPr>
        <w:t>（2）对生态系统恢复稳定性的影响分析</w:t>
      </w:r>
    </w:p>
    <w:p w14:paraId="5499FF3E">
      <w:pPr>
        <w:pStyle w:val="3"/>
        <w:ind w:firstLine="480"/>
        <w:rPr>
          <w:rFonts w:hint="eastAsia"/>
          <w:color w:val="auto"/>
          <w:highlight w:val="none"/>
        </w:rPr>
      </w:pPr>
      <w:r>
        <w:rPr>
          <w:rFonts w:hint="eastAsia"/>
          <w:color w:val="auto"/>
          <w:highlight w:val="none"/>
        </w:rPr>
        <w:t>生态系统的恢复稳定性是指</w:t>
      </w:r>
      <w:r>
        <w:rPr>
          <w:rFonts w:hint="eastAsia"/>
          <w:color w:val="auto"/>
          <w:highlight w:val="none"/>
          <w:lang w:eastAsia="zh-CN"/>
        </w:rPr>
        <w:t>受到</w:t>
      </w:r>
      <w:r>
        <w:rPr>
          <w:rFonts w:hint="eastAsia"/>
          <w:color w:val="auto"/>
          <w:highlight w:val="none"/>
        </w:rPr>
        <w:t>干扰后返回原有状态的能力。项目区属大陆性中温带极端干旱气候，年均降水量仅118 mm，原生植被一旦破坏，自然恢复极为缓慢，生态脆弱性突出。需特别指出的是，尾矿库区地表为砂砾覆盖，库区范围内无可用土源，亦无灌溉水源，不具备人工植被恢复的基本立地条件。</w:t>
      </w:r>
    </w:p>
    <w:p w14:paraId="4754CB15">
      <w:pPr>
        <w:pStyle w:val="3"/>
        <w:ind w:firstLine="480"/>
        <w:rPr>
          <w:rFonts w:hint="eastAsia"/>
          <w:color w:val="auto"/>
          <w:highlight w:val="none"/>
        </w:rPr>
      </w:pPr>
      <w:r>
        <w:rPr>
          <w:rFonts w:hint="eastAsia"/>
          <w:color w:val="auto"/>
          <w:highlight w:val="none"/>
          <w:lang w:eastAsia="zh-CN"/>
        </w:rPr>
        <w:t>本环评要求</w:t>
      </w:r>
      <w:r>
        <w:rPr>
          <w:rFonts w:hint="eastAsia"/>
          <w:color w:val="auto"/>
          <w:highlight w:val="none"/>
        </w:rPr>
        <w:t>生态恢复以工程措施为主、自然修复为辅</w:t>
      </w:r>
      <w:r>
        <w:rPr>
          <w:rFonts w:hint="eastAsia"/>
          <w:color w:val="auto"/>
          <w:highlight w:val="none"/>
          <w:lang w:eastAsia="zh-CN"/>
        </w:rPr>
        <w:t>：</w:t>
      </w:r>
      <w:r>
        <w:rPr>
          <w:rFonts w:hint="eastAsia"/>
          <w:color w:val="auto"/>
          <w:highlight w:val="none"/>
        </w:rPr>
        <w:t>施工结束后对临时扰动区进行场地平整和原有砾石覆盖层恢复，以减少风蚀源；尾矿库坝体及边坡采用干砌石或预制块护坡等工程防护措施，维持地表稳定性；服务期满后按照闭库要求进行最终</w:t>
      </w:r>
      <w:r>
        <w:rPr>
          <w:rFonts w:hint="eastAsia"/>
          <w:color w:val="auto"/>
          <w:highlight w:val="none"/>
          <w:lang w:eastAsia="zh-CN"/>
        </w:rPr>
        <w:t>复垦</w:t>
      </w:r>
      <w:r>
        <w:rPr>
          <w:rFonts w:hint="eastAsia"/>
          <w:color w:val="auto"/>
          <w:highlight w:val="none"/>
        </w:rPr>
        <w:t>，在无土源条件下可采用土工布覆盖、碎石层铺设及化学固沙剂喷洒等物理稳定化措施，防止风蚀扬尘</w:t>
      </w:r>
      <w:r>
        <w:rPr>
          <w:rFonts w:hint="eastAsia"/>
          <w:color w:val="auto"/>
          <w:highlight w:val="none"/>
          <w:lang w:eastAsia="zh-CN"/>
        </w:rPr>
        <w:t>；在</w:t>
      </w:r>
      <w:r>
        <w:rPr>
          <w:rFonts w:hint="eastAsia"/>
          <w:color w:val="auto"/>
          <w:highlight w:val="none"/>
        </w:rPr>
        <w:t>植被恢复方面不追求人工建植，而依托周边荒漠植物种子自然传播，在自然降水条件下缓慢萌发。此外，可考虑在库区周边地势相对低洼、有一定汇水条件的边缘地带，小范围试验种植超旱生灌木（如梭梭、驼绒藜等）。</w:t>
      </w:r>
    </w:p>
    <w:p w14:paraId="239C54B3">
      <w:pPr>
        <w:pStyle w:val="3"/>
        <w:ind w:firstLine="480"/>
        <w:rPr>
          <w:rFonts w:hint="eastAsia"/>
          <w:color w:val="auto"/>
          <w:highlight w:val="none"/>
        </w:rPr>
      </w:pPr>
      <w:r>
        <w:rPr>
          <w:rFonts w:hint="eastAsia"/>
          <w:color w:val="auto"/>
          <w:highlight w:val="none"/>
        </w:rPr>
        <w:t>尾矿库闭库后地表进入相对稳定状态，在不新增人为干扰的前提下，依赖自然风积、降尘及零星降水，地表理化性质将缓慢改善，荒漠灌丛群落将借助种子库及周边种源逐步定殖，最终形成与区域背景相协调的稀疏荒漠植被格局。但必须承认，这一过程将极为漫长，恢复至原生态系统状态的可能性极低，生态恢复目标应定位为</w:t>
      </w:r>
      <w:r>
        <w:rPr>
          <w:rFonts w:hint="eastAsia"/>
          <w:color w:val="auto"/>
          <w:highlight w:val="none"/>
          <w:lang w:eastAsia="zh-CN"/>
        </w:rPr>
        <w:t>“</w:t>
      </w:r>
      <w:r>
        <w:rPr>
          <w:rFonts w:hint="eastAsia"/>
          <w:color w:val="auto"/>
          <w:highlight w:val="none"/>
        </w:rPr>
        <w:t>建立稳定的地表防护层，防止生态进一步退化”，而非“复原至原有自然生态系统”。因此，从恢复稳定性角度评价，本工程建设对区域生态系统的影响是长期的、不可逆的，但通过有效的工程防护措施，可将生态损害控制在最低程度，不会导致区域生物多样性锐减或生态系统服务功能严重退化。</w:t>
      </w:r>
    </w:p>
    <w:p w14:paraId="36329710">
      <w:pPr>
        <w:pStyle w:val="3"/>
        <w:ind w:firstLine="480"/>
        <w:rPr>
          <w:color w:val="auto"/>
          <w:highlight w:val="none"/>
        </w:rPr>
      </w:pPr>
      <w:r>
        <w:rPr>
          <w:rFonts w:hint="eastAsia"/>
          <w:color w:val="auto"/>
          <w:highlight w:val="none"/>
        </w:rPr>
        <w:t>综上所述，本工程施工及运营将对尾矿库占地区域的荒漠生态系统结构和功能造成一定程度的长期不利影响，受制于无土源、无水源的立地条件，人工生态恢复手段极为有限，自然恢复进程缓慢。但通过严格的施工管控、工程防护措施和闭库物理稳定化处理，可有效控制风蚀扩散和地表退化加剧，将影响锁定在永久占地范围之内。工程建设不会改变评价区生态系统的整体结构完整性和区域生态稳定性基线，不会造成任何物种的灭绝或关键生态过程的断裂，亦不会对区域生物多样性产生不可逆的严重破坏。从生态系统稳定性角度评价，在严格落实各项防护与稳定化措施的前提下，</w:t>
      </w:r>
      <w:r>
        <w:rPr>
          <w:rFonts w:hint="eastAsia"/>
          <w:color w:val="auto"/>
          <w:highlight w:val="none"/>
          <w:lang w:val="zh-CN"/>
        </w:rPr>
        <w:t>不会改变评价区生态系统结构的完整性和生态系统的稳定性。</w:t>
      </w:r>
    </w:p>
    <w:p w14:paraId="4DDA1E66">
      <w:pPr>
        <w:pStyle w:val="3"/>
        <w:ind w:firstLine="480"/>
        <w:rPr>
          <w:color w:val="auto"/>
          <w:highlight w:val="none"/>
        </w:rPr>
      </w:pPr>
      <w:r>
        <w:rPr>
          <w:color w:val="auto"/>
          <w:highlight w:val="none"/>
        </w:rPr>
        <w:t>生态影响评价自查表见表5.6-</w:t>
      </w:r>
      <w:r>
        <w:rPr>
          <w:rFonts w:hint="eastAsia"/>
          <w:color w:val="auto"/>
          <w:highlight w:val="none"/>
        </w:rPr>
        <w:t>1</w:t>
      </w:r>
      <w:r>
        <w:rPr>
          <w:color w:val="auto"/>
          <w:highlight w:val="none"/>
        </w:rPr>
        <w:t>。</w:t>
      </w:r>
    </w:p>
    <w:p w14:paraId="43CD03E0">
      <w:pPr>
        <w:pStyle w:val="40"/>
        <w:rPr>
          <w:color w:val="auto"/>
          <w:highlight w:val="none"/>
        </w:rPr>
      </w:pPr>
      <w:r>
        <w:rPr>
          <w:color w:val="auto"/>
          <w:highlight w:val="none"/>
        </w:rPr>
        <w:t>表5.6-</w:t>
      </w:r>
      <w:r>
        <w:rPr>
          <w:rFonts w:hint="eastAsia"/>
          <w:color w:val="auto"/>
          <w:highlight w:val="none"/>
        </w:rPr>
        <w:t>1</w:t>
      </w:r>
      <w:r>
        <w:rPr>
          <w:color w:val="auto"/>
          <w:highlight w:val="none"/>
        </w:rPr>
        <w:t xml:space="preserve">     生态影响评价自查表</w:t>
      </w:r>
    </w:p>
    <w:tbl>
      <w:tblPr>
        <w:tblStyle w:val="25"/>
        <w:tblW w:w="4999"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896"/>
        <w:gridCol w:w="1251"/>
        <w:gridCol w:w="6181"/>
      </w:tblGrid>
      <w:tr w14:paraId="0BE752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1289" w:type="pct"/>
            <w:gridSpan w:val="2"/>
          </w:tcPr>
          <w:p w14:paraId="2B1A7388">
            <w:pPr>
              <w:pStyle w:val="41"/>
              <w:rPr>
                <w:color w:val="auto"/>
                <w:highlight w:val="none"/>
              </w:rPr>
            </w:pPr>
            <w:r>
              <w:rPr>
                <w:color w:val="auto"/>
                <w:highlight w:val="none"/>
              </w:rPr>
              <w:t>工作内容</w:t>
            </w:r>
          </w:p>
        </w:tc>
        <w:tc>
          <w:tcPr>
            <w:tcW w:w="3710" w:type="pct"/>
          </w:tcPr>
          <w:p w14:paraId="30CEE300">
            <w:pPr>
              <w:pStyle w:val="41"/>
              <w:rPr>
                <w:color w:val="auto"/>
                <w:highlight w:val="none"/>
              </w:rPr>
            </w:pPr>
            <w:r>
              <w:rPr>
                <w:color w:val="auto"/>
                <w:highlight w:val="none"/>
              </w:rPr>
              <w:t>自查项目</w:t>
            </w:r>
          </w:p>
        </w:tc>
      </w:tr>
      <w:tr w14:paraId="557AAE7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538" w:type="pct"/>
            <w:vMerge w:val="restart"/>
          </w:tcPr>
          <w:p w14:paraId="445456EF">
            <w:pPr>
              <w:pStyle w:val="41"/>
              <w:rPr>
                <w:color w:val="auto"/>
                <w:highlight w:val="none"/>
              </w:rPr>
            </w:pPr>
          </w:p>
          <w:p w14:paraId="7297DA46">
            <w:pPr>
              <w:pStyle w:val="41"/>
              <w:rPr>
                <w:color w:val="auto"/>
                <w:highlight w:val="none"/>
              </w:rPr>
            </w:pPr>
          </w:p>
          <w:p w14:paraId="469DAC43">
            <w:pPr>
              <w:pStyle w:val="41"/>
              <w:rPr>
                <w:color w:val="auto"/>
                <w:highlight w:val="none"/>
              </w:rPr>
            </w:pPr>
          </w:p>
          <w:p w14:paraId="29E6517F">
            <w:pPr>
              <w:pStyle w:val="41"/>
              <w:rPr>
                <w:color w:val="auto"/>
                <w:highlight w:val="none"/>
              </w:rPr>
            </w:pPr>
          </w:p>
          <w:p w14:paraId="03D12FBC">
            <w:pPr>
              <w:pStyle w:val="41"/>
              <w:rPr>
                <w:color w:val="auto"/>
                <w:highlight w:val="none"/>
              </w:rPr>
            </w:pPr>
          </w:p>
          <w:p w14:paraId="0B20F46D">
            <w:pPr>
              <w:pStyle w:val="41"/>
              <w:rPr>
                <w:color w:val="auto"/>
                <w:highlight w:val="none"/>
              </w:rPr>
            </w:pPr>
          </w:p>
          <w:p w14:paraId="0A4DA4C3">
            <w:pPr>
              <w:pStyle w:val="41"/>
              <w:rPr>
                <w:color w:val="auto"/>
                <w:highlight w:val="none"/>
              </w:rPr>
            </w:pPr>
            <w:r>
              <w:rPr>
                <w:color w:val="auto"/>
                <w:highlight w:val="none"/>
              </w:rPr>
              <w:t>生态影响识别</w:t>
            </w:r>
          </w:p>
        </w:tc>
        <w:tc>
          <w:tcPr>
            <w:tcW w:w="751" w:type="pct"/>
          </w:tcPr>
          <w:p w14:paraId="5FB671EE">
            <w:pPr>
              <w:pStyle w:val="41"/>
              <w:rPr>
                <w:color w:val="auto"/>
                <w:highlight w:val="none"/>
              </w:rPr>
            </w:pPr>
            <w:r>
              <w:rPr>
                <w:color w:val="auto"/>
                <w:highlight w:val="none"/>
              </w:rPr>
              <w:t>生态保护目标</w:t>
            </w:r>
          </w:p>
        </w:tc>
        <w:tc>
          <w:tcPr>
            <w:tcW w:w="3710" w:type="pct"/>
          </w:tcPr>
          <w:p w14:paraId="753D8DED">
            <w:pPr>
              <w:pStyle w:val="41"/>
              <w:rPr>
                <w:color w:val="auto"/>
                <w:highlight w:val="none"/>
              </w:rPr>
            </w:pPr>
            <w:r>
              <w:rPr>
                <w:color w:val="auto"/>
                <w:highlight w:val="none"/>
              </w:rPr>
              <w:t>重要物种□；国家公园□；自然保护区□；自然公园□；世界自然遗产□；生态保护红线□；重要生境□；其他具有重要生态功能、对保护生物多样性具有重要意义的区域</w:t>
            </w:r>
            <w:r>
              <w:rPr>
                <w:color w:val="auto"/>
                <w:highlight w:val="none"/>
              </w:rPr>
              <w:sym w:font="Wingdings 2" w:char="0052"/>
            </w:r>
            <w:r>
              <w:rPr>
                <w:color w:val="auto"/>
                <w:highlight w:val="none"/>
              </w:rPr>
              <w:t>；其他□</w:t>
            </w:r>
          </w:p>
        </w:tc>
      </w:tr>
      <w:tr w14:paraId="36B892B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38" w:type="pct"/>
            <w:vMerge w:val="continue"/>
          </w:tcPr>
          <w:p w14:paraId="5E83DE53">
            <w:pPr>
              <w:pStyle w:val="41"/>
              <w:rPr>
                <w:color w:val="auto"/>
                <w:highlight w:val="none"/>
              </w:rPr>
            </w:pPr>
          </w:p>
        </w:tc>
        <w:tc>
          <w:tcPr>
            <w:tcW w:w="751" w:type="pct"/>
          </w:tcPr>
          <w:p w14:paraId="03F500DB">
            <w:pPr>
              <w:pStyle w:val="41"/>
              <w:rPr>
                <w:color w:val="auto"/>
                <w:highlight w:val="none"/>
              </w:rPr>
            </w:pPr>
            <w:r>
              <w:rPr>
                <w:color w:val="auto"/>
                <w:highlight w:val="none"/>
              </w:rPr>
              <w:t>影响方式</w:t>
            </w:r>
          </w:p>
        </w:tc>
        <w:tc>
          <w:tcPr>
            <w:tcW w:w="3710" w:type="pct"/>
          </w:tcPr>
          <w:p w14:paraId="692E77D8">
            <w:pPr>
              <w:pStyle w:val="41"/>
              <w:rPr>
                <w:color w:val="auto"/>
                <w:highlight w:val="none"/>
              </w:rPr>
            </w:pPr>
            <w:r>
              <w:rPr>
                <w:color w:val="auto"/>
                <w:highlight w:val="none"/>
              </w:rPr>
              <w:t>工程占用</w:t>
            </w:r>
            <w:r>
              <w:rPr>
                <w:color w:val="auto"/>
                <w:highlight w:val="none"/>
              </w:rPr>
              <w:sym w:font="Wingdings 2" w:char="0052"/>
            </w:r>
            <w:r>
              <w:rPr>
                <w:color w:val="auto"/>
                <w:highlight w:val="none"/>
              </w:rPr>
              <w:t>；施工活动干扰</w:t>
            </w:r>
            <w:r>
              <w:rPr>
                <w:color w:val="auto"/>
                <w:highlight w:val="none"/>
              </w:rPr>
              <w:sym w:font="Wingdings 2" w:char="0052"/>
            </w:r>
            <w:r>
              <w:rPr>
                <w:color w:val="auto"/>
                <w:highlight w:val="none"/>
              </w:rPr>
              <w:t>；改变环境条件□；其他□</w:t>
            </w:r>
          </w:p>
        </w:tc>
      </w:tr>
      <w:tr w14:paraId="0E2DB36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538" w:type="pct"/>
            <w:vMerge w:val="continue"/>
          </w:tcPr>
          <w:p w14:paraId="61E0D92F">
            <w:pPr>
              <w:pStyle w:val="41"/>
              <w:rPr>
                <w:color w:val="auto"/>
                <w:highlight w:val="none"/>
              </w:rPr>
            </w:pPr>
          </w:p>
        </w:tc>
        <w:tc>
          <w:tcPr>
            <w:tcW w:w="751" w:type="pct"/>
          </w:tcPr>
          <w:p w14:paraId="09F8B918">
            <w:pPr>
              <w:pStyle w:val="41"/>
              <w:rPr>
                <w:color w:val="auto"/>
                <w:highlight w:val="none"/>
              </w:rPr>
            </w:pPr>
          </w:p>
          <w:p w14:paraId="25E1791B">
            <w:pPr>
              <w:pStyle w:val="41"/>
              <w:rPr>
                <w:color w:val="auto"/>
                <w:highlight w:val="none"/>
              </w:rPr>
            </w:pPr>
          </w:p>
          <w:p w14:paraId="55EFBACD">
            <w:pPr>
              <w:pStyle w:val="41"/>
              <w:rPr>
                <w:color w:val="auto"/>
                <w:highlight w:val="none"/>
              </w:rPr>
            </w:pPr>
          </w:p>
          <w:p w14:paraId="68DE3AF0">
            <w:pPr>
              <w:pStyle w:val="41"/>
              <w:rPr>
                <w:color w:val="auto"/>
                <w:highlight w:val="none"/>
              </w:rPr>
            </w:pPr>
          </w:p>
          <w:p w14:paraId="3087FBAE">
            <w:pPr>
              <w:pStyle w:val="41"/>
              <w:rPr>
                <w:color w:val="auto"/>
                <w:highlight w:val="none"/>
              </w:rPr>
            </w:pPr>
            <w:r>
              <w:rPr>
                <w:color w:val="auto"/>
                <w:highlight w:val="none"/>
              </w:rPr>
              <w:t>评价因子</w:t>
            </w:r>
          </w:p>
        </w:tc>
        <w:tc>
          <w:tcPr>
            <w:tcW w:w="3710" w:type="pct"/>
          </w:tcPr>
          <w:p w14:paraId="6BCF0AAA">
            <w:pPr>
              <w:pStyle w:val="41"/>
              <w:rPr>
                <w:color w:val="auto"/>
                <w:highlight w:val="none"/>
              </w:rPr>
            </w:pPr>
            <w:r>
              <w:rPr>
                <w:color w:val="auto"/>
                <w:highlight w:val="none"/>
              </w:rPr>
              <w:t>物种</w:t>
            </w:r>
            <w:r>
              <w:rPr>
                <w:color w:val="auto"/>
                <w:highlight w:val="none"/>
              </w:rPr>
              <w:sym w:font="Wingdings 2" w:char="0052"/>
            </w:r>
            <w:r>
              <w:rPr>
                <w:color w:val="auto"/>
                <w:highlight w:val="none"/>
              </w:rPr>
              <w:t>（分布范围、种群数量、种群结构、行为等）</w:t>
            </w:r>
          </w:p>
          <w:p w14:paraId="00D90E67">
            <w:pPr>
              <w:pStyle w:val="41"/>
              <w:rPr>
                <w:color w:val="auto"/>
                <w:highlight w:val="none"/>
              </w:rPr>
            </w:pPr>
            <w:r>
              <w:rPr>
                <w:color w:val="auto"/>
                <w:highlight w:val="none"/>
              </w:rPr>
              <w:t>生境</w:t>
            </w:r>
            <w:r>
              <w:rPr>
                <w:color w:val="auto"/>
                <w:highlight w:val="none"/>
              </w:rPr>
              <w:sym w:font="Wingdings 2" w:char="00A3"/>
            </w:r>
            <w:r>
              <w:rPr>
                <w:rFonts w:hint="eastAsia"/>
                <w:color w:val="auto"/>
                <w:highlight w:val="none"/>
                <w:lang w:eastAsia="zh-CN"/>
              </w:rPr>
              <w:t>（</w:t>
            </w:r>
            <w:r>
              <w:rPr>
                <w:color w:val="auto"/>
                <w:highlight w:val="none"/>
              </w:rPr>
              <w:t>）生物群落</w:t>
            </w:r>
            <w:r>
              <w:rPr>
                <w:color w:val="auto"/>
                <w:highlight w:val="none"/>
              </w:rPr>
              <w:sym w:font="Wingdings 2" w:char="0052"/>
            </w:r>
            <w:r>
              <w:rPr>
                <w:color w:val="auto"/>
                <w:highlight w:val="none"/>
              </w:rPr>
              <w:t>（物种组成、群落结构等）</w:t>
            </w:r>
          </w:p>
          <w:p w14:paraId="220A3599">
            <w:pPr>
              <w:pStyle w:val="41"/>
              <w:rPr>
                <w:color w:val="auto"/>
                <w:highlight w:val="none"/>
              </w:rPr>
            </w:pPr>
            <w:r>
              <w:rPr>
                <w:color w:val="auto"/>
                <w:highlight w:val="none"/>
              </w:rPr>
              <w:t>生态系统</w:t>
            </w:r>
            <w:r>
              <w:rPr>
                <w:color w:val="auto"/>
                <w:highlight w:val="none"/>
              </w:rPr>
              <w:sym w:font="Wingdings 2" w:char="0052"/>
            </w:r>
            <w:r>
              <w:rPr>
                <w:color w:val="auto"/>
                <w:highlight w:val="none"/>
              </w:rPr>
              <w:t>（植被覆盖度、生产力、生物量、生态系统功能等）</w:t>
            </w:r>
          </w:p>
          <w:p w14:paraId="7CB7008D">
            <w:pPr>
              <w:pStyle w:val="41"/>
              <w:rPr>
                <w:color w:val="auto"/>
                <w:highlight w:val="none"/>
              </w:rPr>
            </w:pPr>
            <w:r>
              <w:rPr>
                <w:color w:val="auto"/>
                <w:highlight w:val="none"/>
              </w:rPr>
              <w:t>生物多样性</w:t>
            </w:r>
            <w:r>
              <w:rPr>
                <w:color w:val="auto"/>
                <w:highlight w:val="none"/>
              </w:rPr>
              <w:sym w:font="Wingdings 2" w:char="00A3"/>
            </w:r>
            <w:r>
              <w:rPr>
                <w:rFonts w:hint="eastAsia"/>
                <w:color w:val="auto"/>
                <w:highlight w:val="none"/>
                <w:lang w:eastAsia="zh-CN"/>
              </w:rPr>
              <w:t>（</w:t>
            </w:r>
            <w:r>
              <w:rPr>
                <w:color w:val="auto"/>
                <w:highlight w:val="none"/>
              </w:rPr>
              <w:t>）生态敏感区□</w:t>
            </w:r>
            <w:r>
              <w:rPr>
                <w:rFonts w:hint="eastAsia"/>
                <w:color w:val="auto"/>
                <w:highlight w:val="none"/>
                <w:lang w:eastAsia="zh-CN"/>
              </w:rPr>
              <w:t>（</w:t>
            </w:r>
            <w:r>
              <w:rPr>
                <w:color w:val="auto"/>
                <w:highlight w:val="none"/>
              </w:rPr>
              <w:t>）自然景观□()</w:t>
            </w:r>
          </w:p>
          <w:p w14:paraId="139D21FD">
            <w:pPr>
              <w:pStyle w:val="41"/>
              <w:rPr>
                <w:color w:val="auto"/>
                <w:highlight w:val="none"/>
              </w:rPr>
            </w:pPr>
            <w:r>
              <w:rPr>
                <w:color w:val="auto"/>
                <w:highlight w:val="none"/>
              </w:rPr>
              <w:t>自然遗迹□</w:t>
            </w:r>
            <w:r>
              <w:rPr>
                <w:rFonts w:hint="eastAsia"/>
                <w:color w:val="auto"/>
                <w:highlight w:val="none"/>
                <w:lang w:eastAsia="zh-CN"/>
              </w:rPr>
              <w:t>（</w:t>
            </w:r>
            <w:r>
              <w:rPr>
                <w:color w:val="auto"/>
                <w:highlight w:val="none"/>
              </w:rPr>
              <w:t>）其他□()</w:t>
            </w:r>
          </w:p>
        </w:tc>
      </w:tr>
      <w:tr w14:paraId="6ED83B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289" w:type="pct"/>
            <w:gridSpan w:val="2"/>
          </w:tcPr>
          <w:p w14:paraId="0A48AE72">
            <w:pPr>
              <w:pStyle w:val="41"/>
              <w:rPr>
                <w:color w:val="auto"/>
                <w:highlight w:val="none"/>
              </w:rPr>
            </w:pPr>
            <w:r>
              <w:rPr>
                <w:color w:val="auto"/>
                <w:highlight w:val="none"/>
              </w:rPr>
              <w:t>评价等级</w:t>
            </w:r>
          </w:p>
        </w:tc>
        <w:tc>
          <w:tcPr>
            <w:tcW w:w="3710" w:type="pct"/>
          </w:tcPr>
          <w:p w14:paraId="21590317">
            <w:pPr>
              <w:pStyle w:val="41"/>
              <w:rPr>
                <w:color w:val="auto"/>
                <w:highlight w:val="none"/>
              </w:rPr>
            </w:pPr>
            <w:r>
              <w:rPr>
                <w:color w:val="auto"/>
                <w:highlight w:val="none"/>
              </w:rPr>
              <w:t>一级</w:t>
            </w:r>
            <w:r>
              <w:rPr>
                <w:color w:val="auto"/>
                <w:highlight w:val="none"/>
              </w:rPr>
              <w:sym w:font="Wingdings 2" w:char="00A3"/>
            </w:r>
            <w:r>
              <w:rPr>
                <w:color w:val="auto"/>
                <w:highlight w:val="none"/>
              </w:rPr>
              <w:t>二级</w:t>
            </w:r>
            <w:r>
              <w:rPr>
                <w:color w:val="auto"/>
                <w:highlight w:val="none"/>
              </w:rPr>
              <w:sym w:font="Wingdings 2" w:char="0052"/>
            </w:r>
            <w:r>
              <w:rPr>
                <w:color w:val="auto"/>
                <w:highlight w:val="none"/>
              </w:rPr>
              <w:t>三级</w:t>
            </w:r>
            <w:r>
              <w:rPr>
                <w:color w:val="auto"/>
                <w:highlight w:val="none"/>
              </w:rPr>
              <w:sym w:font="Wingdings 2" w:char="00A3"/>
            </w:r>
            <w:r>
              <w:rPr>
                <w:color w:val="auto"/>
                <w:highlight w:val="none"/>
              </w:rPr>
              <w:t>生态影响简单分析□</w:t>
            </w:r>
          </w:p>
        </w:tc>
      </w:tr>
      <w:tr w14:paraId="4A3C1F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289" w:type="pct"/>
            <w:gridSpan w:val="2"/>
          </w:tcPr>
          <w:p w14:paraId="78662BC3">
            <w:pPr>
              <w:pStyle w:val="41"/>
              <w:rPr>
                <w:color w:val="auto"/>
                <w:highlight w:val="none"/>
              </w:rPr>
            </w:pPr>
            <w:r>
              <w:rPr>
                <w:color w:val="auto"/>
                <w:highlight w:val="none"/>
              </w:rPr>
              <w:t>评价范围</w:t>
            </w:r>
          </w:p>
        </w:tc>
        <w:tc>
          <w:tcPr>
            <w:tcW w:w="3710" w:type="pct"/>
          </w:tcPr>
          <w:p w14:paraId="02A9E17D">
            <w:pPr>
              <w:pStyle w:val="41"/>
              <w:rPr>
                <w:color w:val="auto"/>
                <w:highlight w:val="none"/>
              </w:rPr>
            </w:pPr>
            <w:r>
              <w:rPr>
                <w:color w:val="auto"/>
                <w:highlight w:val="none"/>
              </w:rPr>
              <w:t>陆域面积：（</w:t>
            </w:r>
            <w:r>
              <w:rPr>
                <w:rFonts w:hint="eastAsia"/>
                <w:color w:val="auto"/>
                <w:highlight w:val="none"/>
              </w:rPr>
              <w:t>1.437</w:t>
            </w:r>
            <w:r>
              <w:rPr>
                <w:color w:val="auto"/>
                <w:highlight w:val="none"/>
              </w:rPr>
              <w:t>）km</w:t>
            </w:r>
            <w:r>
              <w:rPr>
                <w:color w:val="auto"/>
                <w:highlight w:val="none"/>
                <w:vertAlign w:val="superscript"/>
              </w:rPr>
              <w:t>2</w:t>
            </w:r>
            <w:r>
              <w:rPr>
                <w:color w:val="auto"/>
                <w:highlight w:val="none"/>
              </w:rPr>
              <w:t>；水域面积：（0）km</w:t>
            </w:r>
            <w:r>
              <w:rPr>
                <w:color w:val="auto"/>
                <w:highlight w:val="none"/>
                <w:vertAlign w:val="superscript"/>
              </w:rPr>
              <w:t>2</w:t>
            </w:r>
          </w:p>
        </w:tc>
      </w:tr>
      <w:tr w14:paraId="2A56CE3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538" w:type="pct"/>
            <w:vMerge w:val="restart"/>
          </w:tcPr>
          <w:p w14:paraId="7F8F4A9B">
            <w:pPr>
              <w:pStyle w:val="41"/>
              <w:rPr>
                <w:color w:val="auto"/>
                <w:highlight w:val="none"/>
              </w:rPr>
            </w:pPr>
            <w:r>
              <w:rPr>
                <w:color w:val="auto"/>
                <w:highlight w:val="none"/>
              </w:rPr>
              <w:t>生态现状</w:t>
            </w:r>
          </w:p>
          <w:p w14:paraId="372E0642">
            <w:pPr>
              <w:pStyle w:val="41"/>
              <w:rPr>
                <w:color w:val="auto"/>
                <w:highlight w:val="none"/>
              </w:rPr>
            </w:pPr>
            <w:r>
              <w:rPr>
                <w:color w:val="auto"/>
                <w:highlight w:val="none"/>
              </w:rPr>
              <w:t>调查与</w:t>
            </w:r>
          </w:p>
          <w:p w14:paraId="7BB2E5D1">
            <w:pPr>
              <w:pStyle w:val="41"/>
              <w:rPr>
                <w:color w:val="auto"/>
                <w:highlight w:val="none"/>
              </w:rPr>
            </w:pPr>
            <w:r>
              <w:rPr>
                <w:color w:val="auto"/>
                <w:highlight w:val="none"/>
              </w:rPr>
              <w:t>评价</w:t>
            </w:r>
          </w:p>
        </w:tc>
        <w:tc>
          <w:tcPr>
            <w:tcW w:w="751" w:type="pct"/>
          </w:tcPr>
          <w:p w14:paraId="19278CF2">
            <w:pPr>
              <w:pStyle w:val="41"/>
              <w:rPr>
                <w:color w:val="auto"/>
                <w:highlight w:val="none"/>
              </w:rPr>
            </w:pPr>
            <w:r>
              <w:rPr>
                <w:color w:val="auto"/>
                <w:highlight w:val="none"/>
              </w:rPr>
              <w:t>调查方法</w:t>
            </w:r>
          </w:p>
        </w:tc>
        <w:tc>
          <w:tcPr>
            <w:tcW w:w="3710" w:type="pct"/>
          </w:tcPr>
          <w:p w14:paraId="1D56E9DF">
            <w:pPr>
              <w:pStyle w:val="41"/>
              <w:rPr>
                <w:color w:val="auto"/>
                <w:highlight w:val="none"/>
              </w:rPr>
            </w:pPr>
            <w:r>
              <w:rPr>
                <w:color w:val="auto"/>
                <w:highlight w:val="none"/>
              </w:rPr>
              <w:t>资料收集</w:t>
            </w:r>
            <w:r>
              <w:rPr>
                <w:color w:val="auto"/>
                <w:highlight w:val="none"/>
              </w:rPr>
              <w:sym w:font="Wingdings 2" w:char="0052"/>
            </w:r>
            <w:r>
              <w:rPr>
                <w:color w:val="auto"/>
                <w:highlight w:val="none"/>
              </w:rPr>
              <w:t>；遥感调查</w:t>
            </w:r>
            <w:r>
              <w:rPr>
                <w:color w:val="auto"/>
                <w:highlight w:val="none"/>
              </w:rPr>
              <w:sym w:font="Wingdings 2" w:char="0052"/>
            </w:r>
            <w:r>
              <w:rPr>
                <w:color w:val="auto"/>
                <w:highlight w:val="none"/>
              </w:rPr>
              <w:t>；调查样方、样线</w:t>
            </w:r>
            <w:r>
              <w:rPr>
                <w:color w:val="auto"/>
                <w:highlight w:val="none"/>
              </w:rPr>
              <w:sym w:font="Wingdings 2" w:char="00A3"/>
            </w:r>
            <w:r>
              <w:rPr>
                <w:color w:val="auto"/>
                <w:highlight w:val="none"/>
              </w:rPr>
              <w:t>；调查点位、断面</w:t>
            </w:r>
            <w:r>
              <w:rPr>
                <w:color w:val="auto"/>
                <w:highlight w:val="none"/>
              </w:rPr>
              <w:sym w:font="Wingdings 2" w:char="00A3"/>
            </w:r>
            <w:r>
              <w:rPr>
                <w:color w:val="auto"/>
                <w:highlight w:val="none"/>
              </w:rPr>
              <w:t>；专家和公众咨询法</w:t>
            </w:r>
            <w:r>
              <w:rPr>
                <w:color w:val="auto"/>
                <w:highlight w:val="none"/>
              </w:rPr>
              <w:sym w:font="Wingdings 2" w:char="00A3"/>
            </w:r>
            <w:r>
              <w:rPr>
                <w:color w:val="auto"/>
                <w:highlight w:val="none"/>
              </w:rPr>
              <w:t>；其他□</w:t>
            </w:r>
          </w:p>
        </w:tc>
      </w:tr>
      <w:tr w14:paraId="54541B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538" w:type="pct"/>
            <w:vMerge w:val="continue"/>
          </w:tcPr>
          <w:p w14:paraId="5F317196">
            <w:pPr>
              <w:pStyle w:val="41"/>
              <w:rPr>
                <w:color w:val="auto"/>
                <w:highlight w:val="none"/>
              </w:rPr>
            </w:pPr>
          </w:p>
        </w:tc>
        <w:tc>
          <w:tcPr>
            <w:tcW w:w="751" w:type="pct"/>
          </w:tcPr>
          <w:p w14:paraId="06DF7963">
            <w:pPr>
              <w:pStyle w:val="41"/>
              <w:rPr>
                <w:color w:val="auto"/>
                <w:highlight w:val="none"/>
              </w:rPr>
            </w:pPr>
            <w:r>
              <w:rPr>
                <w:color w:val="auto"/>
                <w:highlight w:val="none"/>
              </w:rPr>
              <w:t>调查时间</w:t>
            </w:r>
          </w:p>
        </w:tc>
        <w:tc>
          <w:tcPr>
            <w:tcW w:w="3710" w:type="pct"/>
          </w:tcPr>
          <w:p w14:paraId="46408209">
            <w:pPr>
              <w:pStyle w:val="41"/>
              <w:rPr>
                <w:color w:val="auto"/>
                <w:highlight w:val="none"/>
              </w:rPr>
            </w:pPr>
            <w:r>
              <w:rPr>
                <w:color w:val="auto"/>
                <w:highlight w:val="none"/>
              </w:rPr>
              <w:t>春季□；夏季</w:t>
            </w:r>
            <w:r>
              <w:rPr>
                <w:color w:val="auto"/>
                <w:highlight w:val="none"/>
              </w:rPr>
              <w:sym w:font="Wingdings 2" w:char="0052"/>
            </w:r>
            <w:r>
              <w:rPr>
                <w:color w:val="auto"/>
                <w:highlight w:val="none"/>
              </w:rPr>
              <w:t>；秋季</w:t>
            </w:r>
            <w:r>
              <w:rPr>
                <w:rFonts w:hint="eastAsia"/>
                <w:color w:val="auto"/>
                <w:highlight w:val="none"/>
              </w:rPr>
              <w:t>□</w:t>
            </w:r>
            <w:r>
              <w:rPr>
                <w:color w:val="auto"/>
                <w:highlight w:val="none"/>
              </w:rPr>
              <w:t>；冬季□</w:t>
            </w:r>
          </w:p>
          <w:p w14:paraId="33C98084">
            <w:pPr>
              <w:pStyle w:val="41"/>
              <w:rPr>
                <w:color w:val="auto"/>
                <w:highlight w:val="none"/>
              </w:rPr>
            </w:pPr>
            <w:r>
              <w:rPr>
                <w:color w:val="auto"/>
                <w:highlight w:val="none"/>
              </w:rPr>
              <w:t>丰水期□；枯水期□；平水期□</w:t>
            </w:r>
          </w:p>
        </w:tc>
      </w:tr>
      <w:tr w14:paraId="3F7438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538" w:type="pct"/>
            <w:vMerge w:val="continue"/>
          </w:tcPr>
          <w:p w14:paraId="39AA058A">
            <w:pPr>
              <w:pStyle w:val="41"/>
              <w:rPr>
                <w:color w:val="auto"/>
                <w:highlight w:val="none"/>
              </w:rPr>
            </w:pPr>
          </w:p>
        </w:tc>
        <w:tc>
          <w:tcPr>
            <w:tcW w:w="751" w:type="pct"/>
          </w:tcPr>
          <w:p w14:paraId="4AA361AA">
            <w:pPr>
              <w:pStyle w:val="41"/>
              <w:rPr>
                <w:color w:val="auto"/>
                <w:highlight w:val="none"/>
              </w:rPr>
            </w:pPr>
            <w:r>
              <w:rPr>
                <w:color w:val="auto"/>
                <w:highlight w:val="none"/>
              </w:rPr>
              <w:t>所在区域的生态问题</w:t>
            </w:r>
          </w:p>
        </w:tc>
        <w:tc>
          <w:tcPr>
            <w:tcW w:w="3710" w:type="pct"/>
          </w:tcPr>
          <w:p w14:paraId="78E68B20">
            <w:pPr>
              <w:pStyle w:val="41"/>
              <w:rPr>
                <w:color w:val="auto"/>
                <w:highlight w:val="none"/>
              </w:rPr>
            </w:pPr>
            <w:r>
              <w:rPr>
                <w:color w:val="auto"/>
                <w:highlight w:val="none"/>
              </w:rPr>
              <w:t>水土流失</w:t>
            </w:r>
            <w:r>
              <w:rPr>
                <w:color w:val="auto"/>
                <w:highlight w:val="none"/>
              </w:rPr>
              <w:sym w:font="Wingdings 2" w:char="0052"/>
            </w:r>
            <w:r>
              <w:rPr>
                <w:color w:val="auto"/>
                <w:highlight w:val="none"/>
              </w:rPr>
              <w:t>；沙漠化</w:t>
            </w:r>
            <w:r>
              <w:rPr>
                <w:color w:val="auto"/>
                <w:highlight w:val="none"/>
              </w:rPr>
              <w:sym w:font="Wingdings 2" w:char="00A3"/>
            </w:r>
            <w:r>
              <w:rPr>
                <w:color w:val="auto"/>
                <w:highlight w:val="none"/>
              </w:rPr>
              <w:t>；石漠化□；盐渍化□；生物入侵□；污染危害</w:t>
            </w:r>
            <w:r>
              <w:rPr>
                <w:color w:val="auto"/>
                <w:highlight w:val="none"/>
              </w:rPr>
              <w:sym w:font="Wingdings 2" w:char="0052"/>
            </w:r>
            <w:r>
              <w:rPr>
                <w:color w:val="auto"/>
                <w:highlight w:val="none"/>
              </w:rPr>
              <w:t>；其他□</w:t>
            </w:r>
          </w:p>
        </w:tc>
      </w:tr>
      <w:tr w14:paraId="1C216A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538" w:type="pct"/>
            <w:vMerge w:val="continue"/>
          </w:tcPr>
          <w:p w14:paraId="68AFD80F">
            <w:pPr>
              <w:pStyle w:val="41"/>
              <w:rPr>
                <w:color w:val="auto"/>
                <w:highlight w:val="none"/>
              </w:rPr>
            </w:pPr>
          </w:p>
        </w:tc>
        <w:tc>
          <w:tcPr>
            <w:tcW w:w="751" w:type="pct"/>
          </w:tcPr>
          <w:p w14:paraId="3D0097A8">
            <w:pPr>
              <w:pStyle w:val="41"/>
              <w:rPr>
                <w:color w:val="auto"/>
                <w:highlight w:val="none"/>
              </w:rPr>
            </w:pPr>
            <w:r>
              <w:rPr>
                <w:color w:val="auto"/>
                <w:highlight w:val="none"/>
              </w:rPr>
              <w:t>评价内容</w:t>
            </w:r>
          </w:p>
        </w:tc>
        <w:tc>
          <w:tcPr>
            <w:tcW w:w="3710" w:type="pct"/>
          </w:tcPr>
          <w:p w14:paraId="5AC6EA90">
            <w:pPr>
              <w:pStyle w:val="41"/>
              <w:rPr>
                <w:color w:val="auto"/>
                <w:highlight w:val="none"/>
              </w:rPr>
            </w:pPr>
            <w:r>
              <w:rPr>
                <w:color w:val="auto"/>
                <w:highlight w:val="none"/>
              </w:rPr>
              <w:t>植被/植物群落</w:t>
            </w:r>
            <w:r>
              <w:rPr>
                <w:color w:val="auto"/>
                <w:highlight w:val="none"/>
              </w:rPr>
              <w:sym w:font="Wingdings 2" w:char="0052"/>
            </w:r>
            <w:r>
              <w:rPr>
                <w:color w:val="auto"/>
                <w:highlight w:val="none"/>
              </w:rPr>
              <w:t>；土地利用</w:t>
            </w:r>
            <w:r>
              <w:rPr>
                <w:color w:val="auto"/>
                <w:highlight w:val="none"/>
              </w:rPr>
              <w:sym w:font="Wingdings 2" w:char="0052"/>
            </w:r>
            <w:r>
              <w:rPr>
                <w:color w:val="auto"/>
                <w:highlight w:val="none"/>
              </w:rPr>
              <w:t>；生态系统</w:t>
            </w:r>
            <w:r>
              <w:rPr>
                <w:color w:val="auto"/>
                <w:highlight w:val="none"/>
              </w:rPr>
              <w:sym w:font="Wingdings 2" w:char="0052"/>
            </w:r>
            <w:r>
              <w:rPr>
                <w:color w:val="auto"/>
                <w:highlight w:val="none"/>
              </w:rPr>
              <w:t>；生物多样性</w:t>
            </w:r>
            <w:r>
              <w:rPr>
                <w:color w:val="auto"/>
                <w:highlight w:val="none"/>
              </w:rPr>
              <w:sym w:font="Wingdings 2" w:char="0052"/>
            </w:r>
            <w:r>
              <w:rPr>
                <w:color w:val="auto"/>
                <w:highlight w:val="none"/>
              </w:rPr>
              <w:t>；重要物种□；生态敏感区□；其他□</w:t>
            </w:r>
          </w:p>
        </w:tc>
      </w:tr>
      <w:tr w14:paraId="558EE0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38" w:type="pct"/>
            <w:vMerge w:val="restart"/>
          </w:tcPr>
          <w:p w14:paraId="49068348">
            <w:pPr>
              <w:pStyle w:val="41"/>
              <w:rPr>
                <w:color w:val="auto"/>
                <w:highlight w:val="none"/>
              </w:rPr>
            </w:pPr>
            <w:r>
              <w:rPr>
                <w:color w:val="auto"/>
                <w:highlight w:val="none"/>
              </w:rPr>
              <w:t>生态影响</w:t>
            </w:r>
          </w:p>
          <w:p w14:paraId="19E7347B">
            <w:pPr>
              <w:pStyle w:val="41"/>
              <w:rPr>
                <w:color w:val="auto"/>
                <w:highlight w:val="none"/>
              </w:rPr>
            </w:pPr>
            <w:r>
              <w:rPr>
                <w:color w:val="auto"/>
                <w:highlight w:val="none"/>
              </w:rPr>
              <w:t>预测与</w:t>
            </w:r>
          </w:p>
          <w:p w14:paraId="55D5058F">
            <w:pPr>
              <w:pStyle w:val="41"/>
              <w:rPr>
                <w:color w:val="auto"/>
                <w:highlight w:val="none"/>
              </w:rPr>
            </w:pPr>
            <w:r>
              <w:rPr>
                <w:color w:val="auto"/>
                <w:highlight w:val="none"/>
              </w:rPr>
              <w:t>评价</w:t>
            </w:r>
          </w:p>
        </w:tc>
        <w:tc>
          <w:tcPr>
            <w:tcW w:w="751" w:type="pct"/>
          </w:tcPr>
          <w:p w14:paraId="68432599">
            <w:pPr>
              <w:pStyle w:val="41"/>
              <w:rPr>
                <w:color w:val="auto"/>
                <w:highlight w:val="none"/>
              </w:rPr>
            </w:pPr>
            <w:r>
              <w:rPr>
                <w:color w:val="auto"/>
                <w:highlight w:val="none"/>
              </w:rPr>
              <w:t>评价方法</w:t>
            </w:r>
          </w:p>
        </w:tc>
        <w:tc>
          <w:tcPr>
            <w:tcW w:w="3710" w:type="pct"/>
          </w:tcPr>
          <w:p w14:paraId="730658F0">
            <w:pPr>
              <w:pStyle w:val="41"/>
              <w:rPr>
                <w:color w:val="auto"/>
                <w:highlight w:val="none"/>
              </w:rPr>
            </w:pPr>
            <w:r>
              <w:rPr>
                <w:color w:val="auto"/>
                <w:highlight w:val="none"/>
              </w:rPr>
              <w:t>定性□；定性和定量</w:t>
            </w:r>
            <w:r>
              <w:rPr>
                <w:color w:val="auto"/>
                <w:highlight w:val="none"/>
              </w:rPr>
              <w:sym w:font="Wingdings 2" w:char="0052"/>
            </w:r>
          </w:p>
        </w:tc>
      </w:tr>
      <w:tr w14:paraId="6E52EE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538" w:type="pct"/>
            <w:vMerge w:val="continue"/>
          </w:tcPr>
          <w:p w14:paraId="65521A37">
            <w:pPr>
              <w:pStyle w:val="41"/>
              <w:rPr>
                <w:color w:val="auto"/>
                <w:highlight w:val="none"/>
              </w:rPr>
            </w:pPr>
          </w:p>
        </w:tc>
        <w:tc>
          <w:tcPr>
            <w:tcW w:w="751" w:type="pct"/>
          </w:tcPr>
          <w:p w14:paraId="19C4ADB6">
            <w:pPr>
              <w:pStyle w:val="41"/>
              <w:rPr>
                <w:color w:val="auto"/>
                <w:highlight w:val="none"/>
              </w:rPr>
            </w:pPr>
            <w:r>
              <w:rPr>
                <w:color w:val="auto"/>
                <w:highlight w:val="none"/>
              </w:rPr>
              <w:t>评价内容</w:t>
            </w:r>
          </w:p>
        </w:tc>
        <w:tc>
          <w:tcPr>
            <w:tcW w:w="3710" w:type="pct"/>
          </w:tcPr>
          <w:p w14:paraId="2948F104">
            <w:pPr>
              <w:pStyle w:val="41"/>
              <w:rPr>
                <w:color w:val="auto"/>
                <w:highlight w:val="none"/>
              </w:rPr>
            </w:pPr>
            <w:r>
              <w:rPr>
                <w:color w:val="auto"/>
                <w:highlight w:val="none"/>
              </w:rPr>
              <w:t>植被/植物群落</w:t>
            </w:r>
            <w:r>
              <w:rPr>
                <w:color w:val="auto"/>
                <w:highlight w:val="none"/>
              </w:rPr>
              <w:sym w:font="Wingdings 2" w:char="0052"/>
            </w:r>
            <w:r>
              <w:rPr>
                <w:color w:val="auto"/>
                <w:highlight w:val="none"/>
              </w:rPr>
              <w:t>；土地利用</w:t>
            </w:r>
            <w:r>
              <w:rPr>
                <w:color w:val="auto"/>
                <w:highlight w:val="none"/>
              </w:rPr>
              <w:sym w:font="Wingdings 2" w:char="0052"/>
            </w:r>
            <w:r>
              <w:rPr>
                <w:color w:val="auto"/>
                <w:highlight w:val="none"/>
              </w:rPr>
              <w:t>；生态系统□；生物多样性</w:t>
            </w:r>
            <w:r>
              <w:rPr>
                <w:color w:val="auto"/>
                <w:highlight w:val="none"/>
              </w:rPr>
              <w:sym w:font="Wingdings 2" w:char="00A3"/>
            </w:r>
            <w:r>
              <w:rPr>
                <w:color w:val="auto"/>
                <w:highlight w:val="none"/>
              </w:rPr>
              <w:t>；重要物种</w:t>
            </w:r>
            <w:r>
              <w:rPr>
                <w:color w:val="auto"/>
                <w:highlight w:val="none"/>
              </w:rPr>
              <w:sym w:font="Wingdings 2" w:char="0052"/>
            </w:r>
            <w:r>
              <w:rPr>
                <w:color w:val="auto"/>
                <w:highlight w:val="none"/>
              </w:rPr>
              <w:t>；生态敏感区</w:t>
            </w:r>
            <w:r>
              <w:rPr>
                <w:color w:val="auto"/>
                <w:highlight w:val="none"/>
              </w:rPr>
              <w:sym w:font="Wingdings 2" w:char="00A3"/>
            </w:r>
            <w:r>
              <w:rPr>
                <w:color w:val="auto"/>
                <w:highlight w:val="none"/>
              </w:rPr>
              <w:t>；生物入侵风险□；其他□</w:t>
            </w:r>
          </w:p>
        </w:tc>
      </w:tr>
      <w:tr w14:paraId="0C35F1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538" w:type="pct"/>
            <w:vMerge w:val="restart"/>
          </w:tcPr>
          <w:p w14:paraId="7E900DD3">
            <w:pPr>
              <w:pStyle w:val="41"/>
              <w:rPr>
                <w:color w:val="auto"/>
                <w:highlight w:val="none"/>
              </w:rPr>
            </w:pPr>
            <w:r>
              <w:rPr>
                <w:color w:val="auto"/>
                <w:highlight w:val="none"/>
              </w:rPr>
              <w:t>生态保护对策措施</w:t>
            </w:r>
          </w:p>
        </w:tc>
        <w:tc>
          <w:tcPr>
            <w:tcW w:w="751" w:type="pct"/>
          </w:tcPr>
          <w:p w14:paraId="776F4AF7">
            <w:pPr>
              <w:pStyle w:val="41"/>
              <w:rPr>
                <w:color w:val="auto"/>
                <w:highlight w:val="none"/>
              </w:rPr>
            </w:pPr>
            <w:r>
              <w:rPr>
                <w:color w:val="auto"/>
                <w:highlight w:val="none"/>
              </w:rPr>
              <w:t>对策措施</w:t>
            </w:r>
          </w:p>
        </w:tc>
        <w:tc>
          <w:tcPr>
            <w:tcW w:w="3710" w:type="pct"/>
          </w:tcPr>
          <w:p w14:paraId="039BD48E">
            <w:pPr>
              <w:pStyle w:val="41"/>
              <w:rPr>
                <w:color w:val="auto"/>
                <w:highlight w:val="none"/>
              </w:rPr>
            </w:pPr>
            <w:r>
              <w:rPr>
                <w:color w:val="auto"/>
                <w:highlight w:val="none"/>
              </w:rPr>
              <w:t>避让</w:t>
            </w:r>
            <w:r>
              <w:rPr>
                <w:color w:val="auto"/>
                <w:highlight w:val="none"/>
              </w:rPr>
              <w:sym w:font="Wingdings 2" w:char="00A3"/>
            </w:r>
            <w:r>
              <w:rPr>
                <w:color w:val="auto"/>
                <w:highlight w:val="none"/>
              </w:rPr>
              <w:t>；减缓</w:t>
            </w:r>
            <w:r>
              <w:rPr>
                <w:color w:val="auto"/>
                <w:highlight w:val="none"/>
              </w:rPr>
              <w:sym w:font="Wingdings 2" w:char="0052"/>
            </w:r>
            <w:r>
              <w:rPr>
                <w:color w:val="auto"/>
                <w:highlight w:val="none"/>
              </w:rPr>
              <w:t>；生态修复</w:t>
            </w:r>
            <w:r>
              <w:rPr>
                <w:color w:val="auto"/>
                <w:highlight w:val="none"/>
              </w:rPr>
              <w:sym w:font="Wingdings 2" w:char="0052"/>
            </w:r>
            <w:r>
              <w:rPr>
                <w:color w:val="auto"/>
                <w:highlight w:val="none"/>
              </w:rPr>
              <w:t>；生态补偿</w:t>
            </w:r>
            <w:r>
              <w:rPr>
                <w:color w:val="auto"/>
                <w:highlight w:val="none"/>
              </w:rPr>
              <w:sym w:font="Wingdings 2" w:char="0052"/>
            </w:r>
            <w:r>
              <w:rPr>
                <w:color w:val="auto"/>
                <w:highlight w:val="none"/>
              </w:rPr>
              <w:t>；科研□；其他□</w:t>
            </w:r>
          </w:p>
        </w:tc>
      </w:tr>
      <w:tr w14:paraId="12F18C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38" w:type="pct"/>
            <w:vMerge w:val="continue"/>
          </w:tcPr>
          <w:p w14:paraId="0C8171C4">
            <w:pPr>
              <w:pStyle w:val="41"/>
              <w:rPr>
                <w:color w:val="auto"/>
                <w:highlight w:val="none"/>
              </w:rPr>
            </w:pPr>
          </w:p>
        </w:tc>
        <w:tc>
          <w:tcPr>
            <w:tcW w:w="751" w:type="pct"/>
          </w:tcPr>
          <w:p w14:paraId="5CF62C1E">
            <w:pPr>
              <w:pStyle w:val="41"/>
              <w:rPr>
                <w:color w:val="auto"/>
                <w:highlight w:val="none"/>
              </w:rPr>
            </w:pPr>
            <w:r>
              <w:rPr>
                <w:color w:val="auto"/>
                <w:highlight w:val="none"/>
              </w:rPr>
              <w:t>生态监测计划</w:t>
            </w:r>
          </w:p>
        </w:tc>
        <w:tc>
          <w:tcPr>
            <w:tcW w:w="3710" w:type="pct"/>
          </w:tcPr>
          <w:p w14:paraId="6B07526A">
            <w:pPr>
              <w:pStyle w:val="41"/>
              <w:rPr>
                <w:color w:val="auto"/>
                <w:highlight w:val="none"/>
              </w:rPr>
            </w:pPr>
            <w:r>
              <w:rPr>
                <w:color w:val="auto"/>
                <w:highlight w:val="none"/>
              </w:rPr>
              <w:t>全生命周期</w:t>
            </w:r>
            <w:r>
              <w:rPr>
                <w:color w:val="auto"/>
                <w:highlight w:val="none"/>
              </w:rPr>
              <w:sym w:font="Wingdings 2" w:char="00A3"/>
            </w:r>
            <w:r>
              <w:rPr>
                <w:color w:val="auto"/>
                <w:highlight w:val="none"/>
              </w:rPr>
              <w:t>；长期跟踪□；常规</w:t>
            </w:r>
            <w:r>
              <w:rPr>
                <w:color w:val="auto"/>
                <w:highlight w:val="none"/>
              </w:rPr>
              <w:sym w:font="Wingdings 2" w:char="0052"/>
            </w:r>
            <w:r>
              <w:rPr>
                <w:color w:val="auto"/>
                <w:highlight w:val="none"/>
              </w:rPr>
              <w:t>；无□</w:t>
            </w:r>
          </w:p>
        </w:tc>
      </w:tr>
      <w:tr w14:paraId="29C06A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538" w:type="pct"/>
            <w:vMerge w:val="continue"/>
          </w:tcPr>
          <w:p w14:paraId="57A1CBBB">
            <w:pPr>
              <w:pStyle w:val="41"/>
              <w:rPr>
                <w:color w:val="auto"/>
                <w:highlight w:val="none"/>
              </w:rPr>
            </w:pPr>
          </w:p>
        </w:tc>
        <w:tc>
          <w:tcPr>
            <w:tcW w:w="751" w:type="pct"/>
          </w:tcPr>
          <w:p w14:paraId="7511B4E0">
            <w:pPr>
              <w:pStyle w:val="41"/>
              <w:rPr>
                <w:color w:val="auto"/>
                <w:highlight w:val="none"/>
              </w:rPr>
            </w:pPr>
            <w:r>
              <w:rPr>
                <w:color w:val="auto"/>
                <w:highlight w:val="none"/>
              </w:rPr>
              <w:t>环境管理</w:t>
            </w:r>
          </w:p>
        </w:tc>
        <w:tc>
          <w:tcPr>
            <w:tcW w:w="3710" w:type="pct"/>
          </w:tcPr>
          <w:p w14:paraId="4354DD73">
            <w:pPr>
              <w:pStyle w:val="41"/>
              <w:rPr>
                <w:color w:val="auto"/>
                <w:highlight w:val="none"/>
              </w:rPr>
            </w:pPr>
            <w:r>
              <w:rPr>
                <w:color w:val="auto"/>
                <w:highlight w:val="none"/>
              </w:rPr>
              <w:t>环境监理</w:t>
            </w:r>
            <w:r>
              <w:rPr>
                <w:color w:val="auto"/>
                <w:highlight w:val="none"/>
              </w:rPr>
              <w:sym w:font="Wingdings 2" w:char="0052"/>
            </w:r>
            <w:r>
              <w:rPr>
                <w:color w:val="auto"/>
                <w:highlight w:val="none"/>
              </w:rPr>
              <w:t>；环境影响后评价</w:t>
            </w:r>
            <w:r>
              <w:rPr>
                <w:color w:val="auto"/>
                <w:highlight w:val="none"/>
              </w:rPr>
              <w:sym w:font="Wingdings 2" w:char="0052"/>
            </w:r>
            <w:r>
              <w:rPr>
                <w:color w:val="auto"/>
                <w:highlight w:val="none"/>
              </w:rPr>
              <w:t>；其他□</w:t>
            </w:r>
          </w:p>
        </w:tc>
      </w:tr>
      <w:tr w14:paraId="0BF4AE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538" w:type="pct"/>
          </w:tcPr>
          <w:p w14:paraId="55B55127">
            <w:pPr>
              <w:pStyle w:val="41"/>
              <w:rPr>
                <w:color w:val="auto"/>
                <w:highlight w:val="none"/>
              </w:rPr>
            </w:pPr>
            <w:r>
              <w:rPr>
                <w:color w:val="auto"/>
                <w:highlight w:val="none"/>
              </w:rPr>
              <w:t>评价结论</w:t>
            </w:r>
          </w:p>
        </w:tc>
        <w:tc>
          <w:tcPr>
            <w:tcW w:w="751" w:type="pct"/>
          </w:tcPr>
          <w:p w14:paraId="27F73018">
            <w:pPr>
              <w:pStyle w:val="41"/>
              <w:rPr>
                <w:color w:val="auto"/>
                <w:highlight w:val="none"/>
              </w:rPr>
            </w:pPr>
            <w:r>
              <w:rPr>
                <w:color w:val="auto"/>
                <w:highlight w:val="none"/>
              </w:rPr>
              <w:t>生态影响</w:t>
            </w:r>
          </w:p>
        </w:tc>
        <w:tc>
          <w:tcPr>
            <w:tcW w:w="3710" w:type="pct"/>
          </w:tcPr>
          <w:p w14:paraId="50FCC3E9">
            <w:pPr>
              <w:pStyle w:val="41"/>
              <w:rPr>
                <w:color w:val="auto"/>
                <w:highlight w:val="none"/>
              </w:rPr>
            </w:pPr>
            <w:r>
              <w:rPr>
                <w:color w:val="auto"/>
                <w:highlight w:val="none"/>
              </w:rPr>
              <w:t>可行</w:t>
            </w:r>
            <w:r>
              <w:rPr>
                <w:color w:val="auto"/>
                <w:highlight w:val="none"/>
              </w:rPr>
              <w:sym w:font="Wingdings 2" w:char="0052"/>
            </w:r>
            <w:r>
              <w:rPr>
                <w:color w:val="auto"/>
                <w:highlight w:val="none"/>
              </w:rPr>
              <w:t>；不可行□</w:t>
            </w:r>
          </w:p>
        </w:tc>
      </w:tr>
      <w:tr w14:paraId="270E3D7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5000" w:type="pct"/>
            <w:gridSpan w:val="3"/>
          </w:tcPr>
          <w:p w14:paraId="44D7D4DF">
            <w:pPr>
              <w:pStyle w:val="41"/>
              <w:rPr>
                <w:color w:val="auto"/>
                <w:highlight w:val="none"/>
              </w:rPr>
            </w:pPr>
            <w:r>
              <w:rPr>
                <w:color w:val="auto"/>
                <w:highlight w:val="none"/>
              </w:rPr>
              <w:t>注：“□”为勾选项，可√；“（）”为内容填写项。</w:t>
            </w:r>
          </w:p>
        </w:tc>
      </w:tr>
    </w:tbl>
    <w:p w14:paraId="6858B886">
      <w:pPr>
        <w:pStyle w:val="39"/>
        <w:rPr>
          <w:rFonts w:hint="default"/>
          <w:color w:val="auto"/>
          <w:highlight w:val="none"/>
        </w:rPr>
      </w:pPr>
      <w:bookmarkStart w:id="387" w:name="_Toc3318"/>
      <w:bookmarkStart w:id="388" w:name="_Toc3560"/>
      <w:r>
        <w:rPr>
          <w:rFonts w:hint="default"/>
          <w:color w:val="auto"/>
          <w:highlight w:val="none"/>
        </w:rPr>
        <w:t>土壤</w:t>
      </w:r>
      <w:r>
        <w:rPr>
          <w:rFonts w:hint="default"/>
          <w:color w:val="auto"/>
          <w:highlight w:val="none"/>
          <w:lang w:val="zh-CN"/>
        </w:rPr>
        <w:t>环境影响预测与评价</w:t>
      </w:r>
      <w:bookmarkEnd w:id="387"/>
      <w:bookmarkEnd w:id="388"/>
    </w:p>
    <w:p w14:paraId="2EABD2A9">
      <w:pPr>
        <w:pStyle w:val="42"/>
        <w:rPr>
          <w:rFonts w:hint="default"/>
          <w:color w:val="auto"/>
          <w:highlight w:val="none"/>
        </w:rPr>
      </w:pPr>
      <w:r>
        <w:rPr>
          <w:rFonts w:hint="default"/>
          <w:color w:val="auto"/>
          <w:highlight w:val="none"/>
        </w:rPr>
        <w:t>环境影响识别</w:t>
      </w:r>
    </w:p>
    <w:p w14:paraId="10BD590A">
      <w:pPr>
        <w:pStyle w:val="3"/>
        <w:ind w:firstLine="480"/>
        <w:rPr>
          <w:color w:val="auto"/>
          <w:highlight w:val="none"/>
        </w:rPr>
      </w:pPr>
      <w:r>
        <w:rPr>
          <w:rFonts w:hint="eastAsia"/>
          <w:color w:val="auto"/>
          <w:highlight w:val="none"/>
        </w:rPr>
        <w:t>本项目主要包括选矿厂、尾矿库等生产运营过程中对土壤产生的影响。</w:t>
      </w:r>
      <w:r>
        <w:rPr>
          <w:color w:val="auto"/>
          <w:highlight w:val="none"/>
        </w:rPr>
        <w:t>本项目土壤环境影响类型为</w:t>
      </w:r>
      <w:r>
        <w:rPr>
          <w:rFonts w:hint="eastAsia"/>
          <w:color w:val="auto"/>
          <w:highlight w:val="none"/>
        </w:rPr>
        <w:t>“</w:t>
      </w:r>
      <w:r>
        <w:rPr>
          <w:color w:val="auto"/>
          <w:highlight w:val="none"/>
        </w:rPr>
        <w:t>污染影响型</w:t>
      </w:r>
      <w:r>
        <w:rPr>
          <w:rFonts w:hint="eastAsia"/>
          <w:color w:val="auto"/>
          <w:highlight w:val="none"/>
        </w:rPr>
        <w:t>”</w:t>
      </w:r>
      <w:r>
        <w:rPr>
          <w:color w:val="auto"/>
          <w:highlight w:val="none"/>
        </w:rPr>
        <w:t>，根据工程分析结果，运营期环境影响因素为</w:t>
      </w:r>
      <w:r>
        <w:rPr>
          <w:rFonts w:hint="eastAsia"/>
          <w:color w:val="auto"/>
          <w:highlight w:val="none"/>
        </w:rPr>
        <w:t>尾矿库产生的大气污染；选矿厂产生的</w:t>
      </w:r>
      <w:r>
        <w:rPr>
          <w:color w:val="auto"/>
          <w:highlight w:val="none"/>
        </w:rPr>
        <w:t>生产废水、固废等污染物</w:t>
      </w:r>
      <w:r>
        <w:rPr>
          <w:rFonts w:hint="eastAsia"/>
          <w:color w:val="auto"/>
          <w:highlight w:val="none"/>
        </w:rPr>
        <w:t>影响。</w:t>
      </w:r>
      <w:r>
        <w:rPr>
          <w:color w:val="auto"/>
          <w:highlight w:val="none"/>
        </w:rPr>
        <w:t>其中</w:t>
      </w:r>
      <w:r>
        <w:rPr>
          <w:rFonts w:hint="eastAsia"/>
          <w:color w:val="auto"/>
          <w:highlight w:val="none"/>
        </w:rPr>
        <w:t>选矿厂</w:t>
      </w:r>
      <w:r>
        <w:rPr>
          <w:color w:val="auto"/>
          <w:highlight w:val="none"/>
        </w:rPr>
        <w:t>对土壤产生的主要影响为生产过程中生产废水等跑冒滴漏及</w:t>
      </w:r>
      <w:r>
        <w:rPr>
          <w:rFonts w:hint="eastAsia"/>
          <w:color w:val="auto"/>
          <w:highlight w:val="none"/>
          <w:lang w:eastAsia="zh-CN"/>
        </w:rPr>
        <w:t>浓密池</w:t>
      </w:r>
      <w:r>
        <w:rPr>
          <w:color w:val="auto"/>
          <w:highlight w:val="none"/>
        </w:rPr>
        <w:t>破损发生废水垂直入渗对土壤造成的不利影响。项目土壤环境影响类型与影响途径见下表。</w:t>
      </w:r>
    </w:p>
    <w:p w14:paraId="4B0D9E96">
      <w:pPr>
        <w:pStyle w:val="40"/>
        <w:rPr>
          <w:color w:val="auto"/>
          <w:highlight w:val="none"/>
        </w:rPr>
      </w:pPr>
      <w:r>
        <w:rPr>
          <w:color w:val="auto"/>
          <w:highlight w:val="none"/>
        </w:rPr>
        <w:t>表</w:t>
      </w:r>
      <w:r>
        <w:rPr>
          <w:rFonts w:hint="eastAsia"/>
          <w:color w:val="auto"/>
          <w:highlight w:val="none"/>
        </w:rPr>
        <w:t>5</w:t>
      </w:r>
      <w:r>
        <w:rPr>
          <w:color w:val="auto"/>
          <w:highlight w:val="none"/>
        </w:rPr>
        <w:t>.</w:t>
      </w:r>
      <w:r>
        <w:rPr>
          <w:rFonts w:hint="eastAsia"/>
          <w:color w:val="auto"/>
          <w:highlight w:val="none"/>
        </w:rPr>
        <w:t>7</w:t>
      </w:r>
      <w:r>
        <w:rPr>
          <w:color w:val="auto"/>
          <w:highlight w:val="none"/>
        </w:rPr>
        <w:t>-</w:t>
      </w:r>
      <w:r>
        <w:rPr>
          <w:rFonts w:hint="eastAsia"/>
          <w:color w:val="auto"/>
          <w:highlight w:val="none"/>
        </w:rPr>
        <w:t xml:space="preserve">1   </w:t>
      </w:r>
      <w:r>
        <w:rPr>
          <w:color w:val="auto"/>
          <w:highlight w:val="none"/>
        </w:rPr>
        <w:t>本项目土壤环境影响类型与影响途径表</w:t>
      </w:r>
    </w:p>
    <w:tbl>
      <w:tblPr>
        <w:tblStyle w:val="26"/>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08"/>
        <w:gridCol w:w="1311"/>
        <w:gridCol w:w="1635"/>
        <w:gridCol w:w="1635"/>
        <w:gridCol w:w="1635"/>
        <w:gridCol w:w="989"/>
      </w:tblGrid>
      <w:tr w14:paraId="3C48C0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38" w:type="pct"/>
            <w:gridSpan w:val="2"/>
            <w:vMerge w:val="restart"/>
            <w:tcBorders>
              <w:tl2br w:val="nil"/>
              <w:tr2bl w:val="nil"/>
            </w:tcBorders>
            <w:vAlign w:val="center"/>
          </w:tcPr>
          <w:p w14:paraId="6489C50B">
            <w:pPr>
              <w:pStyle w:val="41"/>
              <w:widowControl w:val="0"/>
              <w:rPr>
                <w:color w:val="auto"/>
                <w:highlight w:val="none"/>
              </w:rPr>
            </w:pPr>
            <w:r>
              <w:rPr>
                <w:color w:val="auto"/>
                <w:highlight w:val="none"/>
              </w:rPr>
              <w:t>时段</w:t>
            </w:r>
          </w:p>
        </w:tc>
        <w:tc>
          <w:tcPr>
            <w:tcW w:w="3461" w:type="pct"/>
            <w:gridSpan w:val="4"/>
            <w:tcBorders>
              <w:tl2br w:val="nil"/>
              <w:tr2bl w:val="nil"/>
            </w:tcBorders>
            <w:vAlign w:val="center"/>
          </w:tcPr>
          <w:p w14:paraId="14592E0F">
            <w:pPr>
              <w:pStyle w:val="41"/>
              <w:widowControl w:val="0"/>
              <w:rPr>
                <w:color w:val="auto"/>
                <w:highlight w:val="none"/>
              </w:rPr>
            </w:pPr>
            <w:r>
              <w:rPr>
                <w:color w:val="auto"/>
                <w:highlight w:val="none"/>
              </w:rPr>
              <w:t>污染影响类型</w:t>
            </w:r>
          </w:p>
        </w:tc>
      </w:tr>
      <w:tr w14:paraId="0C5208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38" w:type="pct"/>
            <w:gridSpan w:val="2"/>
            <w:vMerge w:val="continue"/>
            <w:tcBorders>
              <w:tl2br w:val="nil"/>
              <w:tr2bl w:val="nil"/>
            </w:tcBorders>
            <w:vAlign w:val="center"/>
          </w:tcPr>
          <w:p w14:paraId="4E201441">
            <w:pPr>
              <w:pStyle w:val="41"/>
              <w:widowControl w:val="0"/>
              <w:rPr>
                <w:color w:val="auto"/>
                <w:highlight w:val="none"/>
              </w:rPr>
            </w:pPr>
          </w:p>
        </w:tc>
        <w:tc>
          <w:tcPr>
            <w:tcW w:w="960" w:type="pct"/>
            <w:tcBorders>
              <w:tl2br w:val="nil"/>
              <w:tr2bl w:val="nil"/>
            </w:tcBorders>
            <w:vAlign w:val="center"/>
          </w:tcPr>
          <w:p w14:paraId="3FB5EEDC">
            <w:pPr>
              <w:pStyle w:val="41"/>
              <w:widowControl w:val="0"/>
              <w:rPr>
                <w:color w:val="auto"/>
                <w:highlight w:val="none"/>
              </w:rPr>
            </w:pPr>
            <w:r>
              <w:rPr>
                <w:color w:val="auto"/>
                <w:highlight w:val="none"/>
              </w:rPr>
              <w:t>大气沉降</w:t>
            </w:r>
          </w:p>
        </w:tc>
        <w:tc>
          <w:tcPr>
            <w:tcW w:w="960" w:type="pct"/>
            <w:tcBorders>
              <w:tl2br w:val="nil"/>
              <w:tr2bl w:val="nil"/>
            </w:tcBorders>
            <w:vAlign w:val="center"/>
          </w:tcPr>
          <w:p w14:paraId="41994151">
            <w:pPr>
              <w:pStyle w:val="41"/>
              <w:widowControl w:val="0"/>
              <w:rPr>
                <w:color w:val="auto"/>
                <w:highlight w:val="none"/>
              </w:rPr>
            </w:pPr>
            <w:r>
              <w:rPr>
                <w:color w:val="auto"/>
                <w:highlight w:val="none"/>
              </w:rPr>
              <w:t>垂直入渗</w:t>
            </w:r>
          </w:p>
        </w:tc>
        <w:tc>
          <w:tcPr>
            <w:tcW w:w="960" w:type="pct"/>
            <w:tcBorders>
              <w:tl2br w:val="nil"/>
              <w:tr2bl w:val="nil"/>
            </w:tcBorders>
            <w:vAlign w:val="center"/>
          </w:tcPr>
          <w:p w14:paraId="2F6BA0A3">
            <w:pPr>
              <w:pStyle w:val="41"/>
              <w:widowControl w:val="0"/>
              <w:rPr>
                <w:color w:val="auto"/>
                <w:highlight w:val="none"/>
              </w:rPr>
            </w:pPr>
            <w:r>
              <w:rPr>
                <w:color w:val="auto"/>
                <w:highlight w:val="none"/>
              </w:rPr>
              <w:t>地面漫流</w:t>
            </w:r>
          </w:p>
        </w:tc>
        <w:tc>
          <w:tcPr>
            <w:tcW w:w="580" w:type="pct"/>
            <w:tcBorders>
              <w:tl2br w:val="nil"/>
              <w:tr2bl w:val="nil"/>
            </w:tcBorders>
            <w:vAlign w:val="center"/>
          </w:tcPr>
          <w:p w14:paraId="4EFE4962">
            <w:pPr>
              <w:pStyle w:val="41"/>
              <w:widowControl w:val="0"/>
              <w:rPr>
                <w:color w:val="auto"/>
                <w:highlight w:val="none"/>
              </w:rPr>
            </w:pPr>
            <w:r>
              <w:rPr>
                <w:color w:val="auto"/>
                <w:highlight w:val="none"/>
              </w:rPr>
              <w:t>其他</w:t>
            </w:r>
          </w:p>
        </w:tc>
      </w:tr>
      <w:tr w14:paraId="75B79F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68" w:type="pct"/>
            <w:vMerge w:val="restart"/>
            <w:tcBorders>
              <w:tl2br w:val="nil"/>
              <w:tr2bl w:val="nil"/>
            </w:tcBorders>
            <w:vAlign w:val="center"/>
          </w:tcPr>
          <w:p w14:paraId="422F002A">
            <w:pPr>
              <w:pStyle w:val="41"/>
              <w:widowControl w:val="0"/>
              <w:rPr>
                <w:color w:val="auto"/>
                <w:highlight w:val="none"/>
              </w:rPr>
            </w:pPr>
            <w:r>
              <w:rPr>
                <w:color w:val="auto"/>
                <w:highlight w:val="none"/>
              </w:rPr>
              <w:t>运行期</w:t>
            </w:r>
          </w:p>
        </w:tc>
        <w:tc>
          <w:tcPr>
            <w:tcW w:w="769" w:type="pct"/>
            <w:tcBorders>
              <w:tl2br w:val="nil"/>
              <w:tr2bl w:val="nil"/>
            </w:tcBorders>
            <w:vAlign w:val="center"/>
          </w:tcPr>
          <w:p w14:paraId="20261E95">
            <w:pPr>
              <w:pStyle w:val="41"/>
              <w:widowControl w:val="0"/>
              <w:rPr>
                <w:color w:val="auto"/>
                <w:highlight w:val="none"/>
              </w:rPr>
            </w:pPr>
            <w:r>
              <w:rPr>
                <w:rFonts w:hint="eastAsia"/>
                <w:color w:val="auto"/>
                <w:highlight w:val="none"/>
              </w:rPr>
              <w:t>选矿厂</w:t>
            </w:r>
          </w:p>
        </w:tc>
        <w:tc>
          <w:tcPr>
            <w:tcW w:w="960" w:type="pct"/>
            <w:tcBorders>
              <w:tl2br w:val="nil"/>
              <w:tr2bl w:val="nil"/>
            </w:tcBorders>
            <w:vAlign w:val="center"/>
          </w:tcPr>
          <w:p w14:paraId="716FED01">
            <w:pPr>
              <w:pStyle w:val="41"/>
              <w:widowControl w:val="0"/>
              <w:rPr>
                <w:color w:val="auto"/>
                <w:highlight w:val="none"/>
              </w:rPr>
            </w:pPr>
            <w:r>
              <w:rPr>
                <w:color w:val="auto"/>
                <w:highlight w:val="none"/>
              </w:rPr>
              <w:t>—</w:t>
            </w:r>
          </w:p>
        </w:tc>
        <w:tc>
          <w:tcPr>
            <w:tcW w:w="960" w:type="pct"/>
            <w:tcBorders>
              <w:tl2br w:val="nil"/>
              <w:tr2bl w:val="nil"/>
            </w:tcBorders>
            <w:vAlign w:val="center"/>
          </w:tcPr>
          <w:p w14:paraId="6DE42603">
            <w:pPr>
              <w:pStyle w:val="41"/>
              <w:widowControl w:val="0"/>
              <w:rPr>
                <w:color w:val="auto"/>
                <w:highlight w:val="none"/>
              </w:rPr>
            </w:pPr>
            <w:r>
              <w:rPr>
                <w:color w:val="auto"/>
                <w:highlight w:val="none"/>
              </w:rPr>
              <w:t>√</w:t>
            </w:r>
          </w:p>
        </w:tc>
        <w:tc>
          <w:tcPr>
            <w:tcW w:w="960" w:type="pct"/>
            <w:tcBorders>
              <w:tl2br w:val="nil"/>
              <w:tr2bl w:val="nil"/>
            </w:tcBorders>
            <w:vAlign w:val="center"/>
          </w:tcPr>
          <w:p w14:paraId="64933B98">
            <w:pPr>
              <w:pStyle w:val="41"/>
              <w:widowControl w:val="0"/>
              <w:rPr>
                <w:color w:val="auto"/>
                <w:highlight w:val="none"/>
              </w:rPr>
            </w:pPr>
            <w:r>
              <w:rPr>
                <w:color w:val="auto"/>
                <w:highlight w:val="none"/>
              </w:rPr>
              <w:t>√</w:t>
            </w:r>
          </w:p>
        </w:tc>
        <w:tc>
          <w:tcPr>
            <w:tcW w:w="580" w:type="pct"/>
            <w:tcBorders>
              <w:tl2br w:val="nil"/>
              <w:tr2bl w:val="nil"/>
            </w:tcBorders>
            <w:vAlign w:val="center"/>
          </w:tcPr>
          <w:p w14:paraId="7F6235D1">
            <w:pPr>
              <w:pStyle w:val="41"/>
              <w:widowControl w:val="0"/>
              <w:rPr>
                <w:color w:val="auto"/>
                <w:highlight w:val="none"/>
              </w:rPr>
            </w:pPr>
            <w:r>
              <w:rPr>
                <w:color w:val="auto"/>
                <w:highlight w:val="none"/>
              </w:rPr>
              <w:t>—</w:t>
            </w:r>
          </w:p>
        </w:tc>
      </w:tr>
      <w:tr w14:paraId="52351D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68" w:type="pct"/>
            <w:vMerge w:val="continue"/>
            <w:tcBorders>
              <w:tl2br w:val="nil"/>
              <w:tr2bl w:val="nil"/>
            </w:tcBorders>
            <w:vAlign w:val="center"/>
          </w:tcPr>
          <w:p w14:paraId="207FB4B3">
            <w:pPr>
              <w:pStyle w:val="41"/>
              <w:widowControl w:val="0"/>
              <w:rPr>
                <w:color w:val="auto"/>
                <w:highlight w:val="none"/>
              </w:rPr>
            </w:pPr>
          </w:p>
        </w:tc>
        <w:tc>
          <w:tcPr>
            <w:tcW w:w="769" w:type="pct"/>
            <w:tcBorders>
              <w:tl2br w:val="nil"/>
              <w:tr2bl w:val="nil"/>
            </w:tcBorders>
            <w:vAlign w:val="center"/>
          </w:tcPr>
          <w:p w14:paraId="5E43E9E7">
            <w:pPr>
              <w:pStyle w:val="41"/>
              <w:widowControl w:val="0"/>
              <w:rPr>
                <w:color w:val="auto"/>
                <w:highlight w:val="none"/>
              </w:rPr>
            </w:pPr>
            <w:r>
              <w:rPr>
                <w:rFonts w:hint="eastAsia"/>
                <w:color w:val="auto"/>
                <w:highlight w:val="none"/>
              </w:rPr>
              <w:t>尾矿库</w:t>
            </w:r>
          </w:p>
        </w:tc>
        <w:tc>
          <w:tcPr>
            <w:tcW w:w="960" w:type="pct"/>
            <w:tcBorders>
              <w:tl2br w:val="nil"/>
              <w:tr2bl w:val="nil"/>
            </w:tcBorders>
            <w:vAlign w:val="center"/>
          </w:tcPr>
          <w:p w14:paraId="6E712991">
            <w:pPr>
              <w:pStyle w:val="41"/>
              <w:widowControl w:val="0"/>
              <w:rPr>
                <w:color w:val="auto"/>
                <w:highlight w:val="none"/>
              </w:rPr>
            </w:pPr>
            <w:r>
              <w:rPr>
                <w:color w:val="auto"/>
                <w:highlight w:val="none"/>
              </w:rPr>
              <w:t>√</w:t>
            </w:r>
          </w:p>
        </w:tc>
        <w:tc>
          <w:tcPr>
            <w:tcW w:w="960" w:type="pct"/>
            <w:tcBorders>
              <w:tl2br w:val="nil"/>
              <w:tr2bl w:val="nil"/>
            </w:tcBorders>
            <w:vAlign w:val="center"/>
          </w:tcPr>
          <w:p w14:paraId="06549A0A">
            <w:pPr>
              <w:pStyle w:val="41"/>
              <w:widowControl w:val="0"/>
              <w:rPr>
                <w:color w:val="auto"/>
                <w:highlight w:val="none"/>
              </w:rPr>
            </w:pPr>
            <w:r>
              <w:rPr>
                <w:color w:val="auto"/>
                <w:highlight w:val="none"/>
              </w:rPr>
              <w:t>√</w:t>
            </w:r>
          </w:p>
        </w:tc>
        <w:tc>
          <w:tcPr>
            <w:tcW w:w="960" w:type="pct"/>
            <w:tcBorders>
              <w:tl2br w:val="nil"/>
              <w:tr2bl w:val="nil"/>
            </w:tcBorders>
            <w:vAlign w:val="center"/>
          </w:tcPr>
          <w:p w14:paraId="76A61692">
            <w:pPr>
              <w:pStyle w:val="41"/>
              <w:widowControl w:val="0"/>
              <w:rPr>
                <w:color w:val="auto"/>
                <w:highlight w:val="none"/>
              </w:rPr>
            </w:pPr>
            <w:r>
              <w:rPr>
                <w:color w:val="auto"/>
                <w:highlight w:val="none"/>
              </w:rPr>
              <w:t>√</w:t>
            </w:r>
          </w:p>
        </w:tc>
        <w:tc>
          <w:tcPr>
            <w:tcW w:w="580" w:type="pct"/>
            <w:tcBorders>
              <w:tl2br w:val="nil"/>
              <w:tr2bl w:val="nil"/>
            </w:tcBorders>
            <w:vAlign w:val="center"/>
          </w:tcPr>
          <w:p w14:paraId="5CBCCDEE">
            <w:pPr>
              <w:pStyle w:val="41"/>
              <w:widowControl w:val="0"/>
              <w:rPr>
                <w:color w:val="auto"/>
                <w:highlight w:val="none"/>
              </w:rPr>
            </w:pPr>
          </w:p>
        </w:tc>
      </w:tr>
    </w:tbl>
    <w:p w14:paraId="5AA90DCF">
      <w:pPr>
        <w:pStyle w:val="42"/>
        <w:rPr>
          <w:rFonts w:hint="default"/>
          <w:color w:val="auto"/>
          <w:highlight w:val="none"/>
        </w:rPr>
      </w:pPr>
      <w:r>
        <w:rPr>
          <w:color w:val="auto"/>
          <w:highlight w:val="none"/>
        </w:rPr>
        <w:t>预测评价范围、时段和预测情景设置</w:t>
      </w:r>
    </w:p>
    <w:p w14:paraId="2283A8F9">
      <w:pPr>
        <w:pStyle w:val="3"/>
        <w:ind w:firstLine="480"/>
        <w:rPr>
          <w:color w:val="auto"/>
          <w:highlight w:val="none"/>
        </w:rPr>
      </w:pPr>
      <w:r>
        <w:rPr>
          <w:color w:val="auto"/>
          <w:highlight w:val="none"/>
        </w:rPr>
        <w:t>项目的预测评价范围与调查评价范围一致，污染影响型评价时段为运营期。按项目正常运营和事故状态两种情形为预测情景。</w:t>
      </w:r>
    </w:p>
    <w:p w14:paraId="2FF62C14">
      <w:pPr>
        <w:pStyle w:val="42"/>
        <w:rPr>
          <w:rFonts w:hint="default"/>
          <w:color w:val="auto"/>
          <w:highlight w:val="none"/>
        </w:rPr>
      </w:pPr>
      <w:r>
        <w:rPr>
          <w:color w:val="auto"/>
          <w:highlight w:val="none"/>
        </w:rPr>
        <w:t>预测评价因子</w:t>
      </w:r>
    </w:p>
    <w:p w14:paraId="1205CA05">
      <w:pPr>
        <w:pStyle w:val="3"/>
        <w:ind w:firstLine="480"/>
        <w:rPr>
          <w:color w:val="auto"/>
          <w:highlight w:val="none"/>
        </w:rPr>
      </w:pPr>
      <w:r>
        <w:rPr>
          <w:color w:val="auto"/>
          <w:highlight w:val="none"/>
        </w:rPr>
        <w:t>本项目场地土壤污染以垂直入渗为主，预测评价因子选取本项目特征因子，本项目土壤环境影响源及影响因子识别见下表。</w:t>
      </w:r>
    </w:p>
    <w:p w14:paraId="0323D1A0">
      <w:pPr>
        <w:pStyle w:val="40"/>
        <w:rPr>
          <w:color w:val="auto"/>
          <w:highlight w:val="none"/>
        </w:rPr>
      </w:pPr>
      <w:r>
        <w:rPr>
          <w:color w:val="auto"/>
          <w:highlight w:val="none"/>
        </w:rPr>
        <w:t>表</w:t>
      </w:r>
      <w:r>
        <w:rPr>
          <w:rFonts w:hint="eastAsia"/>
          <w:color w:val="auto"/>
          <w:highlight w:val="none"/>
        </w:rPr>
        <w:t>5</w:t>
      </w:r>
      <w:r>
        <w:rPr>
          <w:color w:val="auto"/>
          <w:highlight w:val="none"/>
        </w:rPr>
        <w:t>.</w:t>
      </w:r>
      <w:r>
        <w:rPr>
          <w:rFonts w:hint="eastAsia"/>
          <w:color w:val="auto"/>
          <w:highlight w:val="none"/>
        </w:rPr>
        <w:t>7</w:t>
      </w:r>
      <w:r>
        <w:rPr>
          <w:color w:val="auto"/>
          <w:highlight w:val="none"/>
        </w:rPr>
        <w:t>-</w:t>
      </w:r>
      <w:r>
        <w:rPr>
          <w:rFonts w:hint="eastAsia"/>
          <w:color w:val="auto"/>
          <w:highlight w:val="none"/>
        </w:rPr>
        <w:t xml:space="preserve">2   </w:t>
      </w:r>
      <w:r>
        <w:rPr>
          <w:color w:val="auto"/>
          <w:highlight w:val="none"/>
        </w:rPr>
        <w:t>本项目土壤环境影响源与影响因子识别表</w:t>
      </w:r>
    </w:p>
    <w:tbl>
      <w:tblPr>
        <w:tblStyle w:val="25"/>
        <w:tblW w:w="496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98"/>
        <w:gridCol w:w="1593"/>
        <w:gridCol w:w="1304"/>
        <w:gridCol w:w="986"/>
        <w:gridCol w:w="2181"/>
        <w:gridCol w:w="988"/>
      </w:tblGrid>
      <w:tr w14:paraId="6814FE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right w:val="single" w:color="000000" w:sz="4" w:space="0"/>
              <w:tl2br w:val="nil"/>
              <w:tr2bl w:val="nil"/>
            </w:tcBorders>
            <w:vAlign w:val="center"/>
          </w:tcPr>
          <w:p w14:paraId="102D9642">
            <w:pPr>
              <w:pStyle w:val="41"/>
              <w:rPr>
                <w:color w:val="auto"/>
                <w:highlight w:val="none"/>
              </w:rPr>
            </w:pPr>
            <w:r>
              <w:rPr>
                <w:color w:val="auto"/>
                <w:highlight w:val="none"/>
              </w:rPr>
              <w:t>污染源</w:t>
            </w:r>
          </w:p>
        </w:tc>
        <w:tc>
          <w:tcPr>
            <w:tcW w:w="942" w:type="pct"/>
            <w:tcBorders>
              <w:left w:val="single" w:color="000000" w:sz="4" w:space="0"/>
              <w:tl2br w:val="nil"/>
              <w:tr2bl w:val="nil"/>
            </w:tcBorders>
            <w:vAlign w:val="center"/>
          </w:tcPr>
          <w:p w14:paraId="3FEA1F1F">
            <w:pPr>
              <w:pStyle w:val="41"/>
              <w:rPr>
                <w:color w:val="auto"/>
                <w:highlight w:val="none"/>
              </w:rPr>
            </w:pPr>
            <w:r>
              <w:rPr>
                <w:color w:val="auto"/>
                <w:highlight w:val="none"/>
              </w:rPr>
              <w:t>产污环节</w:t>
            </w:r>
          </w:p>
        </w:tc>
        <w:tc>
          <w:tcPr>
            <w:tcW w:w="771" w:type="pct"/>
            <w:tcBorders>
              <w:tl2br w:val="nil"/>
              <w:tr2bl w:val="nil"/>
            </w:tcBorders>
            <w:vAlign w:val="center"/>
          </w:tcPr>
          <w:p w14:paraId="13B8BB23">
            <w:pPr>
              <w:pStyle w:val="41"/>
              <w:rPr>
                <w:color w:val="auto"/>
                <w:highlight w:val="none"/>
              </w:rPr>
            </w:pPr>
            <w:r>
              <w:rPr>
                <w:color w:val="auto"/>
                <w:highlight w:val="none"/>
              </w:rPr>
              <w:t>污染途径</w:t>
            </w:r>
          </w:p>
        </w:tc>
        <w:tc>
          <w:tcPr>
            <w:tcW w:w="583" w:type="pct"/>
            <w:tcBorders>
              <w:tl2br w:val="nil"/>
              <w:tr2bl w:val="nil"/>
            </w:tcBorders>
            <w:vAlign w:val="center"/>
          </w:tcPr>
          <w:p w14:paraId="30EFDD25">
            <w:pPr>
              <w:pStyle w:val="41"/>
              <w:rPr>
                <w:color w:val="auto"/>
                <w:highlight w:val="none"/>
              </w:rPr>
            </w:pPr>
            <w:r>
              <w:rPr>
                <w:color w:val="auto"/>
                <w:highlight w:val="none"/>
              </w:rPr>
              <w:t>污染物</w:t>
            </w:r>
          </w:p>
        </w:tc>
        <w:tc>
          <w:tcPr>
            <w:tcW w:w="1290" w:type="pct"/>
            <w:tcBorders>
              <w:tl2br w:val="nil"/>
              <w:tr2bl w:val="nil"/>
            </w:tcBorders>
            <w:vAlign w:val="center"/>
          </w:tcPr>
          <w:p w14:paraId="7D03AD74">
            <w:pPr>
              <w:pStyle w:val="41"/>
              <w:rPr>
                <w:color w:val="auto"/>
                <w:highlight w:val="none"/>
              </w:rPr>
            </w:pPr>
            <w:r>
              <w:rPr>
                <w:color w:val="auto"/>
                <w:highlight w:val="none"/>
              </w:rPr>
              <w:t>特征因子</w:t>
            </w:r>
          </w:p>
        </w:tc>
        <w:tc>
          <w:tcPr>
            <w:tcW w:w="584" w:type="pct"/>
            <w:tcBorders>
              <w:tl2br w:val="nil"/>
              <w:tr2bl w:val="nil"/>
            </w:tcBorders>
            <w:vAlign w:val="center"/>
          </w:tcPr>
          <w:p w14:paraId="11223341">
            <w:pPr>
              <w:pStyle w:val="41"/>
              <w:rPr>
                <w:color w:val="auto"/>
                <w:highlight w:val="none"/>
              </w:rPr>
            </w:pPr>
            <w:r>
              <w:rPr>
                <w:color w:val="auto"/>
                <w:highlight w:val="none"/>
              </w:rPr>
              <w:t>备注</w:t>
            </w:r>
          </w:p>
        </w:tc>
      </w:tr>
      <w:tr w14:paraId="52617B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right w:val="single" w:color="000000" w:sz="4" w:space="0"/>
              <w:tl2br w:val="nil"/>
              <w:tr2bl w:val="nil"/>
            </w:tcBorders>
            <w:vAlign w:val="center"/>
          </w:tcPr>
          <w:p w14:paraId="087B50A6">
            <w:pPr>
              <w:pStyle w:val="41"/>
              <w:rPr>
                <w:color w:val="auto"/>
                <w:highlight w:val="none"/>
              </w:rPr>
            </w:pPr>
            <w:r>
              <w:rPr>
                <w:rFonts w:hint="eastAsia"/>
                <w:color w:val="auto"/>
                <w:highlight w:val="none"/>
              </w:rPr>
              <w:t>生产车间</w:t>
            </w:r>
          </w:p>
        </w:tc>
        <w:tc>
          <w:tcPr>
            <w:tcW w:w="942" w:type="pct"/>
            <w:tcBorders>
              <w:left w:val="single" w:color="000000" w:sz="4" w:space="0"/>
              <w:tl2br w:val="nil"/>
              <w:tr2bl w:val="nil"/>
            </w:tcBorders>
            <w:vAlign w:val="center"/>
          </w:tcPr>
          <w:p w14:paraId="7DD1B84F">
            <w:pPr>
              <w:pStyle w:val="41"/>
              <w:rPr>
                <w:color w:val="auto"/>
                <w:highlight w:val="none"/>
              </w:rPr>
            </w:pPr>
            <w:r>
              <w:rPr>
                <w:color w:val="auto"/>
                <w:highlight w:val="none"/>
              </w:rPr>
              <w:t>阀门、密封接口处</w:t>
            </w:r>
          </w:p>
        </w:tc>
        <w:tc>
          <w:tcPr>
            <w:tcW w:w="771" w:type="pct"/>
            <w:tcBorders>
              <w:tl2br w:val="nil"/>
              <w:tr2bl w:val="nil"/>
            </w:tcBorders>
            <w:vAlign w:val="center"/>
          </w:tcPr>
          <w:p w14:paraId="71989DE4">
            <w:pPr>
              <w:pStyle w:val="41"/>
              <w:rPr>
                <w:color w:val="auto"/>
                <w:highlight w:val="none"/>
              </w:rPr>
            </w:pPr>
            <w:r>
              <w:rPr>
                <w:color w:val="auto"/>
                <w:highlight w:val="none"/>
              </w:rPr>
              <w:t>垂直入渗、地表漫流</w:t>
            </w:r>
          </w:p>
        </w:tc>
        <w:tc>
          <w:tcPr>
            <w:tcW w:w="583" w:type="pct"/>
            <w:tcBorders>
              <w:tl2br w:val="nil"/>
              <w:tr2bl w:val="nil"/>
            </w:tcBorders>
            <w:vAlign w:val="center"/>
          </w:tcPr>
          <w:p w14:paraId="06EE22F3">
            <w:pPr>
              <w:pStyle w:val="41"/>
              <w:rPr>
                <w:color w:val="auto"/>
                <w:highlight w:val="none"/>
              </w:rPr>
            </w:pPr>
            <w:r>
              <w:rPr>
                <w:color w:val="auto"/>
                <w:highlight w:val="none"/>
              </w:rPr>
              <w:t>废水</w:t>
            </w:r>
          </w:p>
        </w:tc>
        <w:tc>
          <w:tcPr>
            <w:tcW w:w="1290" w:type="pct"/>
            <w:tcBorders>
              <w:tl2br w:val="nil"/>
              <w:tr2bl w:val="nil"/>
            </w:tcBorders>
            <w:vAlign w:val="center"/>
          </w:tcPr>
          <w:p w14:paraId="78BF8623">
            <w:pPr>
              <w:pStyle w:val="41"/>
              <w:rPr>
                <w:color w:val="auto"/>
                <w:highlight w:val="none"/>
              </w:rPr>
            </w:pPr>
            <w:r>
              <w:rPr>
                <w:color w:val="auto"/>
                <w:highlight w:val="none"/>
              </w:rPr>
              <w:t>砷、镉、铬（六价）、铜、铅、汞、镍、锌、pH值。</w:t>
            </w:r>
          </w:p>
        </w:tc>
        <w:tc>
          <w:tcPr>
            <w:tcW w:w="584" w:type="pct"/>
            <w:tcBorders>
              <w:tl2br w:val="nil"/>
              <w:tr2bl w:val="nil"/>
            </w:tcBorders>
            <w:vAlign w:val="center"/>
          </w:tcPr>
          <w:p w14:paraId="6689DFF4">
            <w:pPr>
              <w:pStyle w:val="41"/>
              <w:rPr>
                <w:color w:val="auto"/>
                <w:highlight w:val="none"/>
              </w:rPr>
            </w:pPr>
            <w:r>
              <w:rPr>
                <w:color w:val="auto"/>
                <w:highlight w:val="none"/>
              </w:rPr>
              <w:t>事故及降雨</w:t>
            </w:r>
          </w:p>
        </w:tc>
      </w:tr>
      <w:tr w14:paraId="1F83D8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right w:val="single" w:color="000000" w:sz="4" w:space="0"/>
              <w:tl2br w:val="nil"/>
              <w:tr2bl w:val="nil"/>
            </w:tcBorders>
            <w:vAlign w:val="center"/>
          </w:tcPr>
          <w:p w14:paraId="00CE410C">
            <w:pPr>
              <w:pStyle w:val="41"/>
              <w:rPr>
                <w:color w:val="auto"/>
                <w:highlight w:val="none"/>
              </w:rPr>
            </w:pPr>
            <w:r>
              <w:rPr>
                <w:rFonts w:hint="eastAsia"/>
                <w:color w:val="auto"/>
                <w:highlight w:val="none"/>
              </w:rPr>
              <w:t>尾矿库</w:t>
            </w:r>
          </w:p>
        </w:tc>
        <w:tc>
          <w:tcPr>
            <w:tcW w:w="942" w:type="pct"/>
            <w:tcBorders>
              <w:left w:val="single" w:color="000000" w:sz="4" w:space="0"/>
              <w:tl2br w:val="nil"/>
              <w:tr2bl w:val="nil"/>
            </w:tcBorders>
            <w:vAlign w:val="center"/>
          </w:tcPr>
          <w:p w14:paraId="03A214E6">
            <w:pPr>
              <w:pStyle w:val="41"/>
              <w:rPr>
                <w:color w:val="auto"/>
                <w:highlight w:val="none"/>
              </w:rPr>
            </w:pPr>
            <w:r>
              <w:rPr>
                <w:rFonts w:hint="eastAsia"/>
                <w:color w:val="auto"/>
                <w:highlight w:val="none"/>
              </w:rPr>
              <w:t>物料堆放</w:t>
            </w:r>
          </w:p>
        </w:tc>
        <w:tc>
          <w:tcPr>
            <w:tcW w:w="771" w:type="pct"/>
            <w:tcBorders>
              <w:tl2br w:val="nil"/>
              <w:tr2bl w:val="nil"/>
            </w:tcBorders>
            <w:vAlign w:val="center"/>
          </w:tcPr>
          <w:p w14:paraId="7C085D1F">
            <w:pPr>
              <w:pStyle w:val="41"/>
              <w:rPr>
                <w:color w:val="auto"/>
                <w:highlight w:val="none"/>
              </w:rPr>
            </w:pPr>
            <w:r>
              <w:rPr>
                <w:rFonts w:hint="eastAsia"/>
                <w:color w:val="auto"/>
                <w:highlight w:val="none"/>
              </w:rPr>
              <w:t>大气沉降</w:t>
            </w:r>
          </w:p>
        </w:tc>
        <w:tc>
          <w:tcPr>
            <w:tcW w:w="583" w:type="pct"/>
            <w:tcBorders>
              <w:tl2br w:val="nil"/>
              <w:tr2bl w:val="nil"/>
            </w:tcBorders>
            <w:vAlign w:val="center"/>
          </w:tcPr>
          <w:p w14:paraId="67E961FB">
            <w:pPr>
              <w:pStyle w:val="41"/>
              <w:rPr>
                <w:color w:val="auto"/>
                <w:highlight w:val="none"/>
              </w:rPr>
            </w:pPr>
            <w:r>
              <w:rPr>
                <w:rFonts w:hint="eastAsia"/>
                <w:color w:val="auto"/>
                <w:highlight w:val="none"/>
              </w:rPr>
              <w:t>废气</w:t>
            </w:r>
          </w:p>
        </w:tc>
        <w:tc>
          <w:tcPr>
            <w:tcW w:w="1290" w:type="pct"/>
            <w:tcBorders>
              <w:tl2br w:val="nil"/>
              <w:tr2bl w:val="nil"/>
            </w:tcBorders>
            <w:vAlign w:val="center"/>
          </w:tcPr>
          <w:p w14:paraId="7F60D48A">
            <w:pPr>
              <w:pStyle w:val="41"/>
              <w:rPr>
                <w:color w:val="auto"/>
                <w:highlight w:val="none"/>
              </w:rPr>
            </w:pPr>
            <w:r>
              <w:rPr>
                <w:rFonts w:hint="eastAsia"/>
                <w:color w:val="auto"/>
                <w:highlight w:val="none"/>
              </w:rPr>
              <w:t>颗粒物（成分中含少量</w:t>
            </w:r>
            <w:r>
              <w:rPr>
                <w:color w:val="auto"/>
                <w:highlight w:val="none"/>
              </w:rPr>
              <w:t>铅、</w:t>
            </w:r>
            <w:r>
              <w:rPr>
                <w:rFonts w:hint="eastAsia"/>
                <w:color w:val="auto"/>
                <w:highlight w:val="none"/>
                <w:lang w:eastAsia="zh-CN"/>
              </w:rPr>
              <w:t>镍</w:t>
            </w:r>
            <w:r>
              <w:rPr>
                <w:rFonts w:hint="eastAsia"/>
                <w:color w:val="auto"/>
                <w:highlight w:val="none"/>
              </w:rPr>
              <w:t>）</w:t>
            </w:r>
          </w:p>
        </w:tc>
        <w:tc>
          <w:tcPr>
            <w:tcW w:w="584" w:type="pct"/>
            <w:tcBorders>
              <w:tl2br w:val="nil"/>
              <w:tr2bl w:val="nil"/>
            </w:tcBorders>
            <w:vAlign w:val="center"/>
          </w:tcPr>
          <w:p w14:paraId="40C6A3B9">
            <w:pPr>
              <w:pStyle w:val="41"/>
              <w:rPr>
                <w:color w:val="auto"/>
                <w:highlight w:val="none"/>
              </w:rPr>
            </w:pPr>
            <w:r>
              <w:rPr>
                <w:rFonts w:hint="eastAsia"/>
                <w:color w:val="auto"/>
                <w:highlight w:val="none"/>
              </w:rPr>
              <w:t>沉降</w:t>
            </w:r>
          </w:p>
        </w:tc>
      </w:tr>
    </w:tbl>
    <w:p w14:paraId="200767B8">
      <w:pPr>
        <w:pStyle w:val="42"/>
        <w:rPr>
          <w:rFonts w:hint="default"/>
          <w:color w:val="auto"/>
          <w:highlight w:val="none"/>
        </w:rPr>
      </w:pPr>
      <w:r>
        <w:rPr>
          <w:color w:val="auto"/>
          <w:highlight w:val="none"/>
        </w:rPr>
        <w:t>污染影响型预测评价方法及结果分析</w:t>
      </w:r>
    </w:p>
    <w:p w14:paraId="6B170AE6">
      <w:pPr>
        <w:pStyle w:val="43"/>
        <w:bidi w:val="0"/>
        <w:rPr>
          <w:rFonts w:hint="default"/>
          <w:color w:val="auto"/>
          <w:highlight w:val="none"/>
          <w:lang w:val="en-US" w:eastAsia="zh-CN"/>
        </w:rPr>
      </w:pPr>
      <w:r>
        <w:rPr>
          <w:rFonts w:hint="eastAsia"/>
          <w:color w:val="auto"/>
          <w:highlight w:val="none"/>
          <w:lang w:val="en-US" w:eastAsia="zh-CN"/>
        </w:rPr>
        <w:t>选矿厂</w:t>
      </w:r>
    </w:p>
    <w:p w14:paraId="5722CFBD">
      <w:pPr>
        <w:pStyle w:val="3"/>
        <w:ind w:firstLine="480"/>
        <w:rPr>
          <w:color w:val="auto"/>
          <w:highlight w:val="none"/>
        </w:rPr>
      </w:pPr>
      <w:r>
        <w:rPr>
          <w:color w:val="auto"/>
          <w:highlight w:val="none"/>
        </w:rPr>
        <w:t>选矿厂涉及的污染影响类型主要为垂直入渗、地面漫流等。</w:t>
      </w:r>
    </w:p>
    <w:p w14:paraId="6D8873F4">
      <w:pPr>
        <w:pStyle w:val="3"/>
        <w:ind w:firstLine="480"/>
        <w:rPr>
          <w:color w:val="auto"/>
          <w:highlight w:val="none"/>
        </w:rPr>
      </w:pPr>
      <w:r>
        <w:rPr>
          <w:color w:val="auto"/>
          <w:highlight w:val="none"/>
        </w:rPr>
        <w:t>（1）垂直入渗</w:t>
      </w:r>
    </w:p>
    <w:p w14:paraId="26D53FDE">
      <w:pPr>
        <w:pStyle w:val="3"/>
        <w:ind w:firstLine="480"/>
        <w:rPr>
          <w:color w:val="auto"/>
          <w:highlight w:val="none"/>
        </w:rPr>
      </w:pPr>
      <w:r>
        <w:rPr>
          <w:color w:val="auto"/>
          <w:highlight w:val="none"/>
        </w:rPr>
        <w:t>对于地下或半地下工程构筑物，在事故情况下，会造成物料、污染物等的</w:t>
      </w:r>
      <w:r>
        <w:rPr>
          <w:rFonts w:hint="eastAsia"/>
          <w:color w:val="auto"/>
          <w:highlight w:val="none"/>
          <w:lang w:eastAsia="zh-CN"/>
        </w:rPr>
        <w:t>泄漏</w:t>
      </w:r>
      <w:r>
        <w:rPr>
          <w:color w:val="auto"/>
          <w:highlight w:val="none"/>
        </w:rPr>
        <w:t>，通过垂直入渗进一步污染土壤。</w:t>
      </w:r>
    </w:p>
    <w:p w14:paraId="5DFFF499">
      <w:pPr>
        <w:pStyle w:val="3"/>
        <w:ind w:firstLine="480"/>
        <w:rPr>
          <w:color w:val="auto"/>
          <w:highlight w:val="none"/>
        </w:rPr>
      </w:pPr>
      <w:r>
        <w:rPr>
          <w:color w:val="auto"/>
          <w:highlight w:val="none"/>
        </w:rPr>
        <w:t>拟建项目实施后，由于严格按照要求采取防渗措施，在正常工况下不会发生污水</w:t>
      </w:r>
      <w:r>
        <w:rPr>
          <w:rFonts w:hint="eastAsia"/>
          <w:color w:val="auto"/>
          <w:highlight w:val="none"/>
          <w:lang w:eastAsia="zh-CN"/>
        </w:rPr>
        <w:t>泄漏</w:t>
      </w:r>
      <w:r>
        <w:rPr>
          <w:color w:val="auto"/>
          <w:highlight w:val="none"/>
        </w:rPr>
        <w:t>进入土壤。因此，垂直入渗造成土壤污染主要为事故状态下，选矿厂运行过程中选矿厂渗滤液事故情况下经垂直入渗途径对土壤环境的影响。</w:t>
      </w:r>
    </w:p>
    <w:p w14:paraId="3F578054">
      <w:pPr>
        <w:pStyle w:val="3"/>
        <w:ind w:firstLine="480"/>
        <w:rPr>
          <w:color w:val="auto"/>
          <w:highlight w:val="none"/>
        </w:rPr>
      </w:pPr>
      <w:r>
        <w:rPr>
          <w:color w:val="auto"/>
          <w:highlight w:val="none"/>
        </w:rPr>
        <w:t>1</w:t>
      </w:r>
      <w:r>
        <w:rPr>
          <w:rFonts w:hint="eastAsia"/>
          <w:color w:val="auto"/>
          <w:highlight w:val="none"/>
        </w:rPr>
        <w:t>）</w:t>
      </w:r>
      <w:r>
        <w:rPr>
          <w:color w:val="auto"/>
          <w:highlight w:val="none"/>
        </w:rPr>
        <w:t>方法选取</w:t>
      </w:r>
    </w:p>
    <w:p w14:paraId="1AE2DBD4">
      <w:pPr>
        <w:pStyle w:val="3"/>
        <w:ind w:firstLine="480"/>
        <w:rPr>
          <w:color w:val="auto"/>
          <w:highlight w:val="none"/>
        </w:rPr>
      </w:pPr>
      <w:r>
        <w:rPr>
          <w:color w:val="auto"/>
          <w:highlight w:val="none"/>
        </w:rPr>
        <w:t>本</w:t>
      </w:r>
      <w:r>
        <w:rPr>
          <w:rFonts w:hint="eastAsia"/>
          <w:color w:val="auto"/>
          <w:highlight w:val="none"/>
          <w:lang w:eastAsia="zh-CN"/>
        </w:rPr>
        <w:t>项目选矿厂</w:t>
      </w:r>
      <w:r>
        <w:rPr>
          <w:color w:val="auto"/>
          <w:highlight w:val="none"/>
        </w:rPr>
        <w:t>土壤环境评价工作等级为</w:t>
      </w:r>
      <w:r>
        <w:rPr>
          <w:rFonts w:hint="eastAsia"/>
          <w:color w:val="auto"/>
          <w:highlight w:val="none"/>
        </w:rPr>
        <w:t>二</w:t>
      </w:r>
      <w:r>
        <w:rPr>
          <w:color w:val="auto"/>
          <w:highlight w:val="none"/>
        </w:rPr>
        <w:t>级，根据《环境影响评价技术</w:t>
      </w:r>
      <w:r>
        <w:rPr>
          <w:rFonts w:hint="eastAsia"/>
          <w:color w:val="auto"/>
          <w:highlight w:val="none"/>
          <w:lang w:eastAsia="zh-CN"/>
        </w:rPr>
        <w:t>导</w:t>
      </w:r>
      <w:r>
        <w:rPr>
          <w:color w:val="auto"/>
          <w:highlight w:val="none"/>
        </w:rPr>
        <w:t>则土壤环境（试行）》（HJ964-2018）附录E中预测方法对拟建项目垂直入渗对区域环境影响进行预测，预测模型如下：</w:t>
      </w:r>
    </w:p>
    <w:p w14:paraId="0C18082B">
      <w:pPr>
        <w:pStyle w:val="3"/>
        <w:ind w:firstLine="480"/>
        <w:rPr>
          <w:color w:val="auto"/>
          <w:highlight w:val="none"/>
        </w:rPr>
      </w:pPr>
      <w:r>
        <w:rPr>
          <w:color w:val="auto"/>
          <w:highlight w:val="none"/>
        </w:rPr>
        <w:t>①一维非饱和溶质垂向运移控制方程：</w:t>
      </w:r>
    </w:p>
    <w:p w14:paraId="10FE1D49">
      <w:pPr>
        <w:pStyle w:val="3"/>
        <w:spacing w:line="480" w:lineRule="auto"/>
        <w:ind w:firstLine="480"/>
        <w:rPr>
          <w:color w:val="auto"/>
          <w:highlight w:val="none"/>
        </w:rPr>
      </w:pPr>
      <w:r>
        <w:rPr>
          <w:color w:val="auto"/>
          <w:highlight w:val="none"/>
        </w:rPr>
        <w:drawing>
          <wp:inline distT="0" distB="0" distL="114300" distR="114300">
            <wp:extent cx="2273935" cy="424815"/>
            <wp:effectExtent l="0" t="0" r="12065" b="13335"/>
            <wp:docPr id="68" name="图片 53" descr="1667389692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53" descr="1667389692966"/>
                    <pic:cNvPicPr>
                      <a:picLocks noChangeAspect="1"/>
                    </pic:cNvPicPr>
                  </pic:nvPicPr>
                  <pic:blipFill>
                    <a:blip r:embed="rId78"/>
                    <a:stretch>
                      <a:fillRect/>
                    </a:stretch>
                  </pic:blipFill>
                  <pic:spPr>
                    <a:xfrm>
                      <a:off x="0" y="0"/>
                      <a:ext cx="2273935" cy="424815"/>
                    </a:xfrm>
                    <a:prstGeom prst="rect">
                      <a:avLst/>
                    </a:prstGeom>
                    <a:noFill/>
                    <a:ln>
                      <a:noFill/>
                    </a:ln>
                  </pic:spPr>
                </pic:pic>
              </a:graphicData>
            </a:graphic>
          </wp:inline>
        </w:drawing>
      </w:r>
    </w:p>
    <w:p w14:paraId="7FB62DD1">
      <w:pPr>
        <w:pStyle w:val="3"/>
        <w:ind w:firstLine="480"/>
        <w:rPr>
          <w:color w:val="auto"/>
          <w:highlight w:val="none"/>
        </w:rPr>
      </w:pPr>
      <w:r>
        <w:rPr>
          <w:color w:val="auto"/>
          <w:highlight w:val="none"/>
        </w:rPr>
        <w:t>式中：c——污染物介质中的浓度，mg/L；</w:t>
      </w:r>
    </w:p>
    <w:p w14:paraId="0B08A2E4">
      <w:pPr>
        <w:pStyle w:val="3"/>
        <w:ind w:firstLine="480"/>
        <w:rPr>
          <w:color w:val="auto"/>
          <w:highlight w:val="none"/>
        </w:rPr>
      </w:pPr>
      <w:r>
        <w:rPr>
          <w:color w:val="auto"/>
          <w:highlight w:val="none"/>
        </w:rPr>
        <w:t>D——弥散系数，m</w:t>
      </w:r>
      <w:r>
        <w:rPr>
          <w:color w:val="auto"/>
          <w:highlight w:val="none"/>
          <w:vertAlign w:val="superscript"/>
        </w:rPr>
        <w:t>2</w:t>
      </w:r>
      <w:r>
        <w:rPr>
          <w:color w:val="auto"/>
          <w:highlight w:val="none"/>
        </w:rPr>
        <w:t xml:space="preserve"> /d；</w:t>
      </w:r>
    </w:p>
    <w:p w14:paraId="655DB0F5">
      <w:pPr>
        <w:pStyle w:val="3"/>
        <w:ind w:firstLine="480"/>
        <w:rPr>
          <w:color w:val="auto"/>
          <w:highlight w:val="none"/>
        </w:rPr>
      </w:pPr>
      <w:r>
        <w:rPr>
          <w:color w:val="auto"/>
          <w:highlight w:val="none"/>
        </w:rPr>
        <w:t>q——渗流速度，m/d；</w:t>
      </w:r>
    </w:p>
    <w:p w14:paraId="565AA6AE">
      <w:pPr>
        <w:pStyle w:val="3"/>
        <w:ind w:firstLine="480"/>
        <w:rPr>
          <w:color w:val="auto"/>
          <w:highlight w:val="none"/>
        </w:rPr>
      </w:pPr>
      <w:r>
        <w:rPr>
          <w:color w:val="auto"/>
          <w:highlight w:val="none"/>
        </w:rPr>
        <w:t>z——沿z轴的距离，m；</w:t>
      </w:r>
    </w:p>
    <w:p w14:paraId="6EB94ED4">
      <w:pPr>
        <w:pStyle w:val="3"/>
        <w:ind w:firstLine="480"/>
        <w:rPr>
          <w:color w:val="auto"/>
          <w:highlight w:val="none"/>
        </w:rPr>
      </w:pPr>
      <w:r>
        <w:rPr>
          <w:color w:val="auto"/>
          <w:highlight w:val="none"/>
        </w:rPr>
        <w:t>t——时间变量，d；</w:t>
      </w:r>
    </w:p>
    <w:p w14:paraId="56121140">
      <w:pPr>
        <w:pStyle w:val="3"/>
        <w:ind w:firstLine="480"/>
        <w:rPr>
          <w:color w:val="auto"/>
          <w:highlight w:val="none"/>
        </w:rPr>
      </w:pPr>
      <w:r>
        <w:rPr>
          <w:color w:val="auto"/>
          <w:highlight w:val="none"/>
        </w:rPr>
        <w:t>θ——土壤含水率，%。</w:t>
      </w:r>
    </w:p>
    <w:p w14:paraId="0E2CB65F">
      <w:pPr>
        <w:pStyle w:val="3"/>
        <w:ind w:firstLine="480"/>
        <w:rPr>
          <w:color w:val="auto"/>
          <w:highlight w:val="none"/>
        </w:rPr>
      </w:pPr>
      <w:r>
        <w:rPr>
          <w:color w:val="auto"/>
          <w:highlight w:val="none"/>
        </w:rPr>
        <w:t>②初始条件</w:t>
      </w:r>
    </w:p>
    <w:p w14:paraId="645D0020">
      <w:pPr>
        <w:pStyle w:val="3"/>
        <w:ind w:firstLine="480"/>
        <w:rPr>
          <w:color w:val="auto"/>
          <w:highlight w:val="none"/>
        </w:rPr>
      </w:pPr>
      <w:r>
        <w:rPr>
          <w:color w:val="auto"/>
          <w:highlight w:val="none"/>
        </w:rPr>
        <w:t>第一类Dirichlet 边界条件：</w:t>
      </w:r>
    </w:p>
    <w:p w14:paraId="5EDAAC81">
      <w:pPr>
        <w:pStyle w:val="3"/>
        <w:ind w:firstLine="480"/>
        <w:rPr>
          <w:color w:val="auto"/>
          <w:highlight w:val="none"/>
        </w:rPr>
      </w:pPr>
      <w:r>
        <w:rPr>
          <w:color w:val="auto"/>
          <w:highlight w:val="none"/>
        </w:rPr>
        <w:t>2）模型概化</w:t>
      </w:r>
    </w:p>
    <w:p w14:paraId="0618CBC0">
      <w:pPr>
        <w:pStyle w:val="3"/>
        <w:ind w:firstLine="480"/>
        <w:rPr>
          <w:color w:val="auto"/>
          <w:highlight w:val="none"/>
        </w:rPr>
      </w:pPr>
      <w:r>
        <w:rPr>
          <w:color w:val="auto"/>
          <w:highlight w:val="none"/>
        </w:rPr>
        <w:t>①边界条件</w:t>
      </w:r>
    </w:p>
    <w:p w14:paraId="004D3409">
      <w:pPr>
        <w:pStyle w:val="3"/>
        <w:ind w:firstLine="480"/>
        <w:rPr>
          <w:color w:val="auto"/>
          <w:highlight w:val="none"/>
        </w:rPr>
      </w:pPr>
      <w:r>
        <w:rPr>
          <w:color w:val="auto"/>
          <w:highlight w:val="none"/>
        </w:rPr>
        <w:t>模型上边界概化为稳定的污染物定水头补给边界，下边界为自由排泄边界。</w:t>
      </w:r>
    </w:p>
    <w:p w14:paraId="2CD1E1FC">
      <w:pPr>
        <w:pStyle w:val="3"/>
        <w:ind w:firstLine="480"/>
        <w:rPr>
          <w:color w:val="auto"/>
          <w:highlight w:val="none"/>
        </w:rPr>
      </w:pPr>
      <w:r>
        <w:rPr>
          <w:color w:val="auto"/>
          <w:highlight w:val="none"/>
        </w:rPr>
        <w:t>②土壤概化</w:t>
      </w:r>
    </w:p>
    <w:p w14:paraId="0AD75A8A">
      <w:pPr>
        <w:pStyle w:val="3"/>
        <w:ind w:firstLine="480"/>
        <w:rPr>
          <w:rFonts w:hint="eastAsia"/>
          <w:color w:val="auto"/>
          <w:highlight w:val="none"/>
        </w:rPr>
      </w:pPr>
      <w:r>
        <w:rPr>
          <w:color w:val="auto"/>
          <w:highlight w:val="none"/>
        </w:rPr>
        <w:t>结合本项目岩土工程勘察及水文地质勘察成果，将土壤概化为一种类型，0</w:t>
      </w:r>
      <w:r>
        <w:rPr>
          <w:rFonts w:hint="eastAsia"/>
          <w:color w:val="auto"/>
          <w:highlight w:val="none"/>
        </w:rPr>
        <w:t>~</w:t>
      </w:r>
      <w:r>
        <w:rPr>
          <w:color w:val="auto"/>
          <w:highlight w:val="none"/>
        </w:rPr>
        <w:t>12m均为砂土，</w:t>
      </w:r>
      <w:r>
        <w:rPr>
          <w:rFonts w:hint="eastAsia"/>
          <w:color w:val="auto"/>
          <w:highlight w:val="none"/>
        </w:rPr>
        <w:t>根据土壤理化特性调查，</w:t>
      </w:r>
      <w:r>
        <w:rPr>
          <w:color w:val="auto"/>
          <w:highlight w:val="none"/>
        </w:rPr>
        <w:t>土壤相关参数见</w:t>
      </w:r>
      <w:r>
        <w:rPr>
          <w:rFonts w:hint="eastAsia"/>
          <w:color w:val="auto"/>
          <w:highlight w:val="none"/>
        </w:rPr>
        <w:t>下</w:t>
      </w:r>
      <w:r>
        <w:rPr>
          <w:color w:val="auto"/>
          <w:highlight w:val="none"/>
        </w:rPr>
        <w:t>表</w:t>
      </w:r>
      <w:r>
        <w:rPr>
          <w:rFonts w:hint="eastAsia"/>
          <w:color w:val="auto"/>
          <w:highlight w:val="none"/>
        </w:rPr>
        <w:t>：</w:t>
      </w:r>
    </w:p>
    <w:p w14:paraId="02CC8127">
      <w:pPr>
        <w:pStyle w:val="3"/>
        <w:ind w:firstLine="480"/>
        <w:rPr>
          <w:rFonts w:hint="eastAsia"/>
          <w:color w:val="auto"/>
          <w:highlight w:val="none"/>
        </w:rPr>
      </w:pPr>
    </w:p>
    <w:p w14:paraId="02B927C5">
      <w:pPr>
        <w:pStyle w:val="40"/>
        <w:rPr>
          <w:color w:val="auto"/>
          <w:highlight w:val="none"/>
        </w:rPr>
      </w:pPr>
      <w:r>
        <w:rPr>
          <w:color w:val="auto"/>
          <w:highlight w:val="none"/>
        </w:rPr>
        <w:t>表</w:t>
      </w:r>
      <w:r>
        <w:rPr>
          <w:rFonts w:hint="eastAsia"/>
          <w:color w:val="auto"/>
          <w:highlight w:val="none"/>
        </w:rPr>
        <w:t>5</w:t>
      </w:r>
      <w:r>
        <w:rPr>
          <w:color w:val="auto"/>
          <w:highlight w:val="none"/>
        </w:rPr>
        <w:t>.</w:t>
      </w:r>
      <w:r>
        <w:rPr>
          <w:rFonts w:hint="eastAsia"/>
          <w:color w:val="auto"/>
          <w:highlight w:val="none"/>
        </w:rPr>
        <w:t>7</w:t>
      </w:r>
      <w:r>
        <w:rPr>
          <w:color w:val="auto"/>
          <w:highlight w:val="none"/>
        </w:rPr>
        <w:t>-</w:t>
      </w:r>
      <w:r>
        <w:rPr>
          <w:rFonts w:hint="eastAsia"/>
          <w:color w:val="auto"/>
          <w:highlight w:val="none"/>
        </w:rPr>
        <w:t xml:space="preserve">3    </w:t>
      </w:r>
      <w:r>
        <w:rPr>
          <w:color w:val="auto"/>
          <w:highlight w:val="none"/>
        </w:rPr>
        <w:t>土壤参数表</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844"/>
        <w:gridCol w:w="1536"/>
        <w:gridCol w:w="1439"/>
        <w:gridCol w:w="1439"/>
        <w:gridCol w:w="1289"/>
        <w:gridCol w:w="1330"/>
      </w:tblGrid>
      <w:tr w14:paraId="7D4EAA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75" w:type="pct"/>
            <w:tcBorders>
              <w:tl2br w:val="nil"/>
              <w:tr2bl w:val="nil"/>
            </w:tcBorders>
            <w:vAlign w:val="center"/>
          </w:tcPr>
          <w:p w14:paraId="1437568F">
            <w:pPr>
              <w:pStyle w:val="41"/>
              <w:widowControl w:val="0"/>
              <w:rPr>
                <w:color w:val="auto"/>
                <w:highlight w:val="none"/>
              </w:rPr>
            </w:pPr>
            <w:r>
              <w:rPr>
                <w:color w:val="auto"/>
                <w:highlight w:val="none"/>
              </w:rPr>
              <w:t>类别</w:t>
            </w:r>
          </w:p>
        </w:tc>
        <w:tc>
          <w:tcPr>
            <w:tcW w:w="495" w:type="pct"/>
            <w:tcBorders>
              <w:tl2br w:val="nil"/>
              <w:tr2bl w:val="nil"/>
            </w:tcBorders>
            <w:vAlign w:val="center"/>
          </w:tcPr>
          <w:p w14:paraId="2A0062F3">
            <w:pPr>
              <w:pStyle w:val="41"/>
              <w:widowControl w:val="0"/>
              <w:rPr>
                <w:color w:val="auto"/>
                <w:highlight w:val="none"/>
              </w:rPr>
            </w:pPr>
            <w:r>
              <w:rPr>
                <w:color w:val="auto"/>
                <w:highlight w:val="none"/>
              </w:rPr>
              <w:t>厚度（m）</w:t>
            </w:r>
          </w:p>
        </w:tc>
        <w:tc>
          <w:tcPr>
            <w:tcW w:w="901" w:type="pct"/>
            <w:tcBorders>
              <w:tl2br w:val="nil"/>
              <w:tr2bl w:val="nil"/>
            </w:tcBorders>
            <w:vAlign w:val="center"/>
          </w:tcPr>
          <w:p w14:paraId="6BE0DB31">
            <w:pPr>
              <w:pStyle w:val="41"/>
              <w:widowControl w:val="0"/>
              <w:rPr>
                <w:color w:val="auto"/>
                <w:highlight w:val="none"/>
              </w:rPr>
            </w:pPr>
            <w:r>
              <w:rPr>
                <w:color w:val="auto"/>
                <w:highlight w:val="none"/>
              </w:rPr>
              <w:t>渗透系数</w:t>
            </w:r>
          </w:p>
          <w:p w14:paraId="2C45DB9E">
            <w:pPr>
              <w:pStyle w:val="41"/>
              <w:widowControl w:val="0"/>
              <w:rPr>
                <w:color w:val="auto"/>
                <w:highlight w:val="none"/>
              </w:rPr>
            </w:pPr>
            <w:r>
              <w:rPr>
                <w:rFonts w:hint="eastAsia"/>
                <w:color w:val="auto"/>
                <w:highlight w:val="none"/>
                <w:lang w:eastAsia="zh-CN"/>
              </w:rPr>
              <w:t>(</w:t>
            </w:r>
            <w:r>
              <w:rPr>
                <w:color w:val="auto"/>
                <w:highlight w:val="none"/>
              </w:rPr>
              <w:t>m/</w:t>
            </w:r>
            <w:r>
              <w:rPr>
                <w:rFonts w:hint="eastAsia"/>
                <w:color w:val="auto"/>
                <w:highlight w:val="none"/>
              </w:rPr>
              <w:t>d</w:t>
            </w:r>
            <w:r>
              <w:rPr>
                <w:rFonts w:hint="eastAsia"/>
                <w:color w:val="auto"/>
                <w:highlight w:val="none"/>
                <w:lang w:eastAsia="zh-CN"/>
              </w:rPr>
              <w:t>)</w:t>
            </w:r>
          </w:p>
        </w:tc>
        <w:tc>
          <w:tcPr>
            <w:tcW w:w="844" w:type="pct"/>
            <w:tcBorders>
              <w:tl2br w:val="nil"/>
              <w:tr2bl w:val="nil"/>
            </w:tcBorders>
            <w:vAlign w:val="center"/>
          </w:tcPr>
          <w:p w14:paraId="0F06F6C5">
            <w:pPr>
              <w:pStyle w:val="41"/>
              <w:widowControl w:val="0"/>
              <w:rPr>
                <w:color w:val="auto"/>
                <w:highlight w:val="none"/>
              </w:rPr>
            </w:pPr>
            <w:r>
              <w:rPr>
                <w:color w:val="auto"/>
                <w:highlight w:val="none"/>
              </w:rPr>
              <w:t>有效孔隙度（%）</w:t>
            </w:r>
          </w:p>
        </w:tc>
        <w:tc>
          <w:tcPr>
            <w:tcW w:w="844" w:type="pct"/>
            <w:tcBorders>
              <w:tl2br w:val="nil"/>
              <w:tr2bl w:val="nil"/>
            </w:tcBorders>
            <w:vAlign w:val="center"/>
          </w:tcPr>
          <w:p w14:paraId="1935AA27">
            <w:pPr>
              <w:pStyle w:val="41"/>
              <w:widowControl w:val="0"/>
              <w:rPr>
                <w:color w:val="auto"/>
                <w:highlight w:val="none"/>
              </w:rPr>
            </w:pPr>
            <w:r>
              <w:rPr>
                <w:color w:val="auto"/>
                <w:highlight w:val="none"/>
              </w:rPr>
              <w:t>土壤含水率（%）</w:t>
            </w:r>
          </w:p>
        </w:tc>
        <w:tc>
          <w:tcPr>
            <w:tcW w:w="756" w:type="pct"/>
            <w:tcBorders>
              <w:tl2br w:val="nil"/>
              <w:tr2bl w:val="nil"/>
            </w:tcBorders>
            <w:vAlign w:val="center"/>
          </w:tcPr>
          <w:p w14:paraId="3ACD51B1">
            <w:pPr>
              <w:pStyle w:val="41"/>
              <w:widowControl w:val="0"/>
              <w:rPr>
                <w:color w:val="auto"/>
                <w:highlight w:val="none"/>
              </w:rPr>
            </w:pPr>
            <w:r>
              <w:rPr>
                <w:color w:val="auto"/>
                <w:highlight w:val="none"/>
              </w:rPr>
              <w:t>弥散系数（m）</w:t>
            </w:r>
          </w:p>
        </w:tc>
        <w:tc>
          <w:tcPr>
            <w:tcW w:w="780" w:type="pct"/>
            <w:tcBorders>
              <w:tl2br w:val="nil"/>
              <w:tr2bl w:val="nil"/>
            </w:tcBorders>
            <w:vAlign w:val="center"/>
          </w:tcPr>
          <w:p w14:paraId="71C3BDA0">
            <w:pPr>
              <w:pStyle w:val="41"/>
              <w:widowControl w:val="0"/>
              <w:rPr>
                <w:color w:val="auto"/>
                <w:highlight w:val="none"/>
              </w:rPr>
            </w:pPr>
            <w:r>
              <w:rPr>
                <w:color w:val="auto"/>
                <w:highlight w:val="none"/>
              </w:rPr>
              <w:t>土壤容重</w:t>
            </w:r>
            <w:r>
              <w:rPr>
                <w:rFonts w:hint="eastAsia"/>
                <w:color w:val="auto"/>
                <w:highlight w:val="none"/>
              </w:rPr>
              <w:t>（</w:t>
            </w:r>
            <w:r>
              <w:rPr>
                <w:color w:val="auto"/>
                <w:highlight w:val="none"/>
              </w:rPr>
              <w:t>g/cm</w:t>
            </w:r>
            <w:r>
              <w:rPr>
                <w:color w:val="auto"/>
                <w:highlight w:val="none"/>
                <w:vertAlign w:val="superscript"/>
              </w:rPr>
              <w:t>3</w:t>
            </w:r>
            <w:r>
              <w:rPr>
                <w:rFonts w:hint="eastAsia"/>
                <w:color w:val="auto"/>
                <w:highlight w:val="none"/>
              </w:rPr>
              <w:t>）</w:t>
            </w:r>
          </w:p>
        </w:tc>
      </w:tr>
      <w:tr w14:paraId="650FB0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75" w:type="pct"/>
            <w:tcBorders>
              <w:tl2br w:val="nil"/>
              <w:tr2bl w:val="nil"/>
            </w:tcBorders>
            <w:vAlign w:val="center"/>
          </w:tcPr>
          <w:p w14:paraId="4DF092D9">
            <w:pPr>
              <w:pStyle w:val="41"/>
              <w:widowControl w:val="0"/>
              <w:rPr>
                <w:color w:val="auto"/>
                <w:highlight w:val="none"/>
              </w:rPr>
            </w:pPr>
            <w:r>
              <w:rPr>
                <w:color w:val="auto"/>
                <w:highlight w:val="none"/>
              </w:rPr>
              <w:t>砂土</w:t>
            </w:r>
          </w:p>
        </w:tc>
        <w:tc>
          <w:tcPr>
            <w:tcW w:w="495" w:type="pct"/>
            <w:tcBorders>
              <w:tl2br w:val="nil"/>
              <w:tr2bl w:val="nil"/>
            </w:tcBorders>
            <w:vAlign w:val="center"/>
          </w:tcPr>
          <w:p w14:paraId="213E6347">
            <w:pPr>
              <w:pStyle w:val="41"/>
              <w:widowControl w:val="0"/>
              <w:rPr>
                <w:rFonts w:hint="eastAsia" w:eastAsia="华文中宋"/>
                <w:color w:val="auto"/>
                <w:highlight w:val="none"/>
                <w:lang w:val="en-US" w:eastAsia="zh-CN"/>
              </w:rPr>
            </w:pPr>
            <w:r>
              <w:rPr>
                <w:rFonts w:hint="eastAsia"/>
                <w:color w:val="auto"/>
                <w:highlight w:val="none"/>
                <w:lang w:val="en-US" w:eastAsia="zh-CN"/>
              </w:rPr>
              <w:t>3</w:t>
            </w:r>
          </w:p>
        </w:tc>
        <w:tc>
          <w:tcPr>
            <w:tcW w:w="901" w:type="pct"/>
            <w:tcBorders>
              <w:tl2br w:val="nil"/>
              <w:tr2bl w:val="nil"/>
            </w:tcBorders>
            <w:vAlign w:val="center"/>
          </w:tcPr>
          <w:p w14:paraId="71736977">
            <w:pPr>
              <w:pStyle w:val="41"/>
              <w:widowControl w:val="0"/>
              <w:rPr>
                <w:rFonts w:hint="default" w:eastAsia="华文中宋"/>
                <w:color w:val="auto"/>
                <w:highlight w:val="none"/>
                <w:lang w:val="en-US" w:eastAsia="zh-CN"/>
              </w:rPr>
            </w:pPr>
            <w:r>
              <w:rPr>
                <w:rFonts w:hint="eastAsia"/>
                <w:color w:val="auto"/>
                <w:highlight w:val="none"/>
                <w:lang w:val="en-US" w:eastAsia="zh-CN"/>
              </w:rPr>
              <w:t>0.55</w:t>
            </w:r>
          </w:p>
        </w:tc>
        <w:tc>
          <w:tcPr>
            <w:tcW w:w="844" w:type="pct"/>
            <w:tcBorders>
              <w:tl2br w:val="nil"/>
              <w:tr2bl w:val="nil"/>
            </w:tcBorders>
            <w:vAlign w:val="center"/>
          </w:tcPr>
          <w:p w14:paraId="73A1EFCA">
            <w:pPr>
              <w:pStyle w:val="41"/>
              <w:widowControl w:val="0"/>
              <w:rPr>
                <w:rFonts w:hint="default" w:eastAsia="华文中宋"/>
                <w:color w:val="auto"/>
                <w:highlight w:val="none"/>
                <w:lang w:val="en-US" w:eastAsia="zh-CN"/>
              </w:rPr>
            </w:pPr>
            <w:r>
              <w:rPr>
                <w:rFonts w:hint="eastAsia"/>
                <w:color w:val="auto"/>
                <w:highlight w:val="none"/>
                <w:lang w:val="en-US" w:eastAsia="zh-CN"/>
              </w:rPr>
              <w:t>0.24</w:t>
            </w:r>
          </w:p>
        </w:tc>
        <w:tc>
          <w:tcPr>
            <w:tcW w:w="844" w:type="pct"/>
            <w:tcBorders>
              <w:tl2br w:val="nil"/>
              <w:tr2bl w:val="nil"/>
            </w:tcBorders>
            <w:vAlign w:val="center"/>
          </w:tcPr>
          <w:p w14:paraId="26791870">
            <w:pPr>
              <w:pStyle w:val="41"/>
              <w:widowControl w:val="0"/>
              <w:rPr>
                <w:color w:val="auto"/>
                <w:highlight w:val="none"/>
              </w:rPr>
            </w:pPr>
            <w:r>
              <w:rPr>
                <w:color w:val="auto"/>
                <w:highlight w:val="none"/>
              </w:rPr>
              <w:t>15</w:t>
            </w:r>
          </w:p>
        </w:tc>
        <w:tc>
          <w:tcPr>
            <w:tcW w:w="756" w:type="pct"/>
            <w:tcBorders>
              <w:tl2br w:val="nil"/>
              <w:tr2bl w:val="nil"/>
            </w:tcBorders>
            <w:vAlign w:val="center"/>
          </w:tcPr>
          <w:p w14:paraId="0EAB4480">
            <w:pPr>
              <w:pStyle w:val="41"/>
              <w:widowControl w:val="0"/>
              <w:rPr>
                <w:rFonts w:hint="eastAsia" w:eastAsia="华文中宋"/>
                <w:color w:val="auto"/>
                <w:highlight w:val="none"/>
                <w:lang w:eastAsia="zh-CN"/>
              </w:rPr>
            </w:pPr>
            <w:r>
              <w:rPr>
                <w:rFonts w:hint="eastAsia"/>
                <w:color w:val="auto"/>
                <w:highlight w:val="none"/>
                <w:lang w:val="en-US" w:eastAsia="zh-CN"/>
              </w:rPr>
              <w:t>5</w:t>
            </w:r>
          </w:p>
        </w:tc>
        <w:tc>
          <w:tcPr>
            <w:tcW w:w="780" w:type="pct"/>
            <w:tcBorders>
              <w:tl2br w:val="nil"/>
              <w:tr2bl w:val="nil"/>
            </w:tcBorders>
            <w:vAlign w:val="center"/>
          </w:tcPr>
          <w:p w14:paraId="5B6FA4BC">
            <w:pPr>
              <w:pStyle w:val="41"/>
              <w:widowControl w:val="0"/>
              <w:rPr>
                <w:rFonts w:hint="default" w:eastAsia="华文中宋"/>
                <w:color w:val="auto"/>
                <w:highlight w:val="none"/>
                <w:lang w:val="en-US" w:eastAsia="zh-CN"/>
              </w:rPr>
            </w:pPr>
            <w:r>
              <w:rPr>
                <w:rFonts w:hint="eastAsia"/>
                <w:color w:val="auto"/>
                <w:highlight w:val="none"/>
                <w:lang w:val="en-US" w:eastAsia="zh-CN"/>
              </w:rPr>
              <w:t>1.5</w:t>
            </w:r>
          </w:p>
        </w:tc>
      </w:tr>
    </w:tbl>
    <w:p w14:paraId="25E05CA0">
      <w:pPr>
        <w:pStyle w:val="3"/>
        <w:ind w:firstLine="480"/>
        <w:rPr>
          <w:color w:val="auto"/>
          <w:highlight w:val="none"/>
        </w:rPr>
      </w:pPr>
      <w:r>
        <w:rPr>
          <w:rFonts w:hint="eastAsia"/>
          <w:color w:val="auto"/>
          <w:highlight w:val="none"/>
        </w:rPr>
        <w:t>③</w:t>
      </w:r>
      <w:r>
        <w:rPr>
          <w:color w:val="auto"/>
          <w:highlight w:val="none"/>
        </w:rPr>
        <w:t>预测情景</w:t>
      </w:r>
    </w:p>
    <w:p w14:paraId="2B4E316E">
      <w:pPr>
        <w:pStyle w:val="3"/>
        <w:ind w:firstLine="480"/>
        <w:rPr>
          <w:color w:val="auto"/>
          <w:highlight w:val="none"/>
        </w:rPr>
      </w:pPr>
      <w:r>
        <w:rPr>
          <w:color w:val="auto"/>
          <w:highlight w:val="none"/>
        </w:rPr>
        <w:t>预测发生非正常渗漏时</w:t>
      </w:r>
      <w:r>
        <w:rPr>
          <w:rFonts w:hint="eastAsia"/>
          <w:color w:val="auto"/>
          <w:highlight w:val="none"/>
          <w:lang w:eastAsia="zh-CN"/>
        </w:rPr>
        <w:t>（</w:t>
      </w:r>
      <w:r>
        <w:rPr>
          <w:color w:val="auto"/>
          <w:highlight w:val="none"/>
        </w:rPr>
        <w:t>即防渗层发生破裂造成污染物渗漏</w:t>
      </w:r>
      <w:r>
        <w:rPr>
          <w:rFonts w:hint="eastAsia"/>
          <w:color w:val="auto"/>
          <w:highlight w:val="none"/>
          <w:lang w:eastAsia="zh-CN"/>
        </w:rPr>
        <w:t>）</w:t>
      </w:r>
      <w:r>
        <w:rPr>
          <w:color w:val="auto"/>
          <w:highlight w:val="none"/>
        </w:rPr>
        <w:t>，回水池池体防渗层</w:t>
      </w:r>
      <w:r>
        <w:rPr>
          <w:rFonts w:hint="eastAsia"/>
          <w:color w:val="auto"/>
          <w:highlight w:val="none"/>
        </w:rPr>
        <w:t>破坏</w:t>
      </w:r>
      <w:r>
        <w:rPr>
          <w:color w:val="auto"/>
          <w:highlight w:val="none"/>
        </w:rPr>
        <w:t>，废水通过裂缝下渗至包气带</w:t>
      </w:r>
      <w:r>
        <w:rPr>
          <w:rFonts w:hint="eastAsia"/>
          <w:color w:val="auto"/>
          <w:highlight w:val="none"/>
          <w:lang w:eastAsia="zh-CN"/>
        </w:rPr>
        <w:t>（</w:t>
      </w:r>
      <w:r>
        <w:rPr>
          <w:color w:val="auto"/>
          <w:highlight w:val="none"/>
        </w:rPr>
        <w:t>土壤</w:t>
      </w:r>
      <w:r>
        <w:rPr>
          <w:rFonts w:hint="eastAsia"/>
          <w:color w:val="auto"/>
          <w:highlight w:val="none"/>
          <w:lang w:eastAsia="zh-CN"/>
        </w:rPr>
        <w:t>）</w:t>
      </w:r>
      <w:r>
        <w:rPr>
          <w:color w:val="auto"/>
          <w:highlight w:val="none"/>
        </w:rPr>
        <w:t>，预测</w:t>
      </w:r>
      <w:r>
        <w:rPr>
          <w:rFonts w:hint="eastAsia"/>
          <w:color w:val="auto"/>
          <w:highlight w:val="none"/>
        </w:rPr>
        <w:t>铅</w:t>
      </w:r>
      <w:r>
        <w:rPr>
          <w:rFonts w:hint="eastAsia"/>
          <w:color w:val="auto"/>
          <w:highlight w:val="none"/>
          <w:lang w:eastAsia="zh-CN"/>
        </w:rPr>
        <w:t>、镍</w:t>
      </w:r>
      <w:r>
        <w:rPr>
          <w:rFonts w:hint="eastAsia"/>
          <w:color w:val="auto"/>
          <w:highlight w:val="none"/>
          <w:lang w:eastAsia="zh-CN"/>
        </w:rPr>
        <w:t>、锌</w:t>
      </w:r>
      <w:r>
        <w:rPr>
          <w:color w:val="auto"/>
          <w:highlight w:val="none"/>
        </w:rPr>
        <w:t>在包气带</w:t>
      </w:r>
      <w:r>
        <w:rPr>
          <w:rFonts w:hint="eastAsia"/>
          <w:color w:val="auto"/>
          <w:highlight w:val="none"/>
          <w:lang w:eastAsia="zh-CN"/>
        </w:rPr>
        <w:t>（</w:t>
      </w:r>
      <w:r>
        <w:rPr>
          <w:color w:val="auto"/>
          <w:highlight w:val="none"/>
        </w:rPr>
        <w:t>土壤</w:t>
      </w:r>
      <w:r>
        <w:rPr>
          <w:rFonts w:hint="eastAsia"/>
          <w:color w:val="auto"/>
          <w:highlight w:val="none"/>
          <w:lang w:eastAsia="zh-CN"/>
        </w:rPr>
        <w:t>）</w:t>
      </w:r>
      <w:r>
        <w:rPr>
          <w:color w:val="auto"/>
          <w:highlight w:val="none"/>
        </w:rPr>
        <w:t>中的运移情况。</w:t>
      </w:r>
      <w:r>
        <w:rPr>
          <w:rFonts w:hint="eastAsia"/>
          <w:color w:val="auto"/>
          <w:highlight w:val="none"/>
        </w:rPr>
        <w:t>铅</w:t>
      </w:r>
      <w:r>
        <w:rPr>
          <w:color w:val="auto"/>
          <w:highlight w:val="none"/>
        </w:rPr>
        <w:t>渗漏源强浓度为</w:t>
      </w:r>
      <w:r>
        <w:rPr>
          <w:rFonts w:hint="eastAsia"/>
          <w:color w:val="auto"/>
          <w:highlight w:val="none"/>
          <w:lang w:val="en-US" w:eastAsia="zh-CN"/>
        </w:rPr>
        <w:t>0.0256</w:t>
      </w:r>
      <w:r>
        <w:rPr>
          <w:rFonts w:hint="eastAsia"/>
          <w:color w:val="auto"/>
          <w:highlight w:val="none"/>
          <w:lang w:val="en-US" w:eastAsia="zh-CN"/>
        </w:rPr>
        <w:t>6</w:t>
      </w:r>
      <w:r>
        <w:rPr>
          <w:color w:val="auto"/>
          <w:highlight w:val="none"/>
        </w:rPr>
        <w:t>mg/L</w:t>
      </w:r>
      <w:r>
        <w:rPr>
          <w:rFonts w:hint="eastAsia"/>
          <w:color w:val="auto"/>
          <w:highlight w:val="none"/>
          <w:lang w:eastAsia="zh-CN"/>
        </w:rPr>
        <w:t>、镍</w:t>
      </w:r>
      <w:r>
        <w:rPr>
          <w:color w:val="auto"/>
          <w:highlight w:val="none"/>
        </w:rPr>
        <w:t>渗漏源强浓度为</w:t>
      </w:r>
      <w:r>
        <w:rPr>
          <w:rFonts w:hint="eastAsia"/>
          <w:color w:val="auto"/>
          <w:highlight w:val="none"/>
          <w:lang w:val="en-US" w:eastAsia="zh-CN"/>
        </w:rPr>
        <w:t>0.0418</w:t>
      </w:r>
      <w:r>
        <w:rPr>
          <w:color w:val="auto"/>
          <w:highlight w:val="none"/>
        </w:rPr>
        <w:t>mg/L</w:t>
      </w:r>
      <w:r>
        <w:rPr>
          <w:rFonts w:hint="eastAsia"/>
          <w:color w:val="auto"/>
          <w:highlight w:val="none"/>
          <w:lang w:eastAsia="zh-CN"/>
        </w:rPr>
        <w:t>、锌</w:t>
      </w:r>
      <w:r>
        <w:rPr>
          <w:color w:val="auto"/>
          <w:highlight w:val="none"/>
        </w:rPr>
        <w:t>渗漏源强浓度为</w:t>
      </w:r>
      <w:r>
        <w:rPr>
          <w:rFonts w:hint="eastAsia"/>
          <w:color w:val="auto"/>
          <w:highlight w:val="none"/>
          <w:lang w:val="en-US" w:eastAsia="zh-CN"/>
        </w:rPr>
        <w:t>0.44</w:t>
      </w:r>
      <w:r>
        <w:rPr>
          <w:color w:val="auto"/>
          <w:highlight w:val="none"/>
        </w:rPr>
        <w:t>mg/L</w:t>
      </w:r>
      <w:r>
        <w:rPr>
          <w:rFonts w:hint="eastAsia"/>
          <w:color w:val="auto"/>
          <w:highlight w:val="none"/>
          <w:lang w:eastAsia="zh-CN"/>
        </w:rPr>
        <w:t>，</w:t>
      </w:r>
      <w:r>
        <w:rPr>
          <w:color w:val="auto"/>
          <w:highlight w:val="none"/>
        </w:rPr>
        <w:t>渗漏时长为</w:t>
      </w:r>
      <w:r>
        <w:rPr>
          <w:rFonts w:hint="eastAsia"/>
          <w:color w:val="auto"/>
          <w:highlight w:val="none"/>
        </w:rPr>
        <w:t>100</w:t>
      </w:r>
      <w:r>
        <w:rPr>
          <w:color w:val="auto"/>
          <w:highlight w:val="none"/>
        </w:rPr>
        <w:t>天。</w:t>
      </w:r>
    </w:p>
    <w:p w14:paraId="71CB117D">
      <w:pPr>
        <w:pStyle w:val="3"/>
        <w:bidi w:val="0"/>
        <w:rPr>
          <w:color w:val="auto"/>
          <w:highlight w:val="none"/>
        </w:rPr>
      </w:pPr>
      <w:r>
        <w:rPr>
          <w:color w:val="auto"/>
          <w:highlight w:val="none"/>
        </w:rPr>
        <w:t>3）土壤污染预测结果</w:t>
      </w:r>
    </w:p>
    <w:p w14:paraId="597F44FE">
      <w:pPr>
        <w:pStyle w:val="3"/>
        <w:ind w:firstLine="480"/>
        <w:rPr>
          <w:rFonts w:hint="eastAsia"/>
          <w:color w:val="auto"/>
          <w:highlight w:val="none"/>
          <w:lang w:val="en-US" w:eastAsia="zh-CN"/>
        </w:rPr>
      </w:pPr>
      <w:r>
        <w:rPr>
          <w:color w:val="auto"/>
          <w:highlight w:val="none"/>
        </w:rPr>
        <w:t>根据上述预测结果进行分析，在发生污染物泄漏</w:t>
      </w:r>
      <w:r>
        <w:rPr>
          <w:rFonts w:hint="eastAsia"/>
          <w:color w:val="auto"/>
          <w:highlight w:val="none"/>
        </w:rPr>
        <w:t>100</w:t>
      </w:r>
      <w:r>
        <w:rPr>
          <w:color w:val="auto"/>
          <w:highlight w:val="none"/>
        </w:rPr>
        <w:t>天内，泄漏点以下土壤会受到一定程度污染，其中下渗的污染物浓度峰值由高</w:t>
      </w:r>
      <w:r>
        <w:rPr>
          <w:rFonts w:hint="eastAsia"/>
          <w:color w:val="auto"/>
          <w:highlight w:val="none"/>
          <w:lang w:eastAsia="zh-CN"/>
        </w:rPr>
        <w:t>（</w:t>
      </w:r>
      <w:r>
        <w:rPr>
          <w:rFonts w:hint="eastAsia"/>
          <w:color w:val="auto"/>
          <w:highlight w:val="none"/>
        </w:rPr>
        <w:t>铅</w:t>
      </w:r>
      <w:r>
        <w:rPr>
          <w:color w:val="auto"/>
          <w:highlight w:val="none"/>
        </w:rPr>
        <w:t>最大：</w:t>
      </w:r>
      <w:r>
        <w:rPr>
          <w:rFonts w:hint="eastAsia"/>
          <w:color w:val="auto"/>
          <w:highlight w:val="none"/>
          <w:lang w:val="en-US" w:eastAsia="zh-CN"/>
        </w:rPr>
        <w:t>0.02566</w:t>
      </w:r>
      <w:r>
        <w:rPr>
          <w:color w:val="auto"/>
          <w:highlight w:val="none"/>
        </w:rPr>
        <w:t>mg/L</w:t>
      </w:r>
      <w:r>
        <w:rPr>
          <w:rFonts w:hint="eastAsia"/>
          <w:color w:val="auto"/>
          <w:highlight w:val="none"/>
          <w:lang w:eastAsia="zh-CN"/>
        </w:rPr>
        <w:t>，镍</w:t>
      </w:r>
      <w:r>
        <w:rPr>
          <w:color w:val="auto"/>
          <w:highlight w:val="none"/>
        </w:rPr>
        <w:t>最大：</w:t>
      </w:r>
      <w:r>
        <w:rPr>
          <w:rFonts w:hint="eastAsia"/>
          <w:color w:val="auto"/>
          <w:highlight w:val="none"/>
          <w:lang w:val="en-US" w:eastAsia="zh-CN"/>
        </w:rPr>
        <w:t>0.0418</w:t>
      </w:r>
      <w:r>
        <w:rPr>
          <w:color w:val="auto"/>
          <w:highlight w:val="none"/>
        </w:rPr>
        <w:t>mg/L，</w:t>
      </w:r>
      <w:r>
        <w:rPr>
          <w:rFonts w:hint="eastAsia"/>
          <w:color w:val="auto"/>
          <w:highlight w:val="none"/>
          <w:lang w:eastAsia="zh-CN"/>
        </w:rPr>
        <w:t>锌</w:t>
      </w:r>
      <w:r>
        <w:rPr>
          <w:color w:val="auto"/>
          <w:highlight w:val="none"/>
        </w:rPr>
        <w:t>最大：</w:t>
      </w:r>
      <w:r>
        <w:rPr>
          <w:rFonts w:hint="eastAsia"/>
          <w:color w:val="auto"/>
          <w:highlight w:val="none"/>
          <w:lang w:val="en-US" w:eastAsia="zh-CN"/>
        </w:rPr>
        <w:t>0.44</w:t>
      </w:r>
      <w:r>
        <w:rPr>
          <w:color w:val="auto"/>
          <w:highlight w:val="none"/>
        </w:rPr>
        <w:t>mg/L</w:t>
      </w:r>
      <w:r>
        <w:rPr>
          <w:rFonts w:hint="eastAsia"/>
          <w:color w:val="auto"/>
          <w:highlight w:val="none"/>
          <w:lang w:eastAsia="zh-CN"/>
        </w:rPr>
        <w:t>）</w:t>
      </w:r>
      <w:r>
        <w:rPr>
          <w:color w:val="auto"/>
          <w:highlight w:val="none"/>
        </w:rPr>
        <w:t>，随后逐渐降低归于0</w:t>
      </w:r>
      <w:r>
        <w:rPr>
          <w:rFonts w:hint="eastAsia"/>
          <w:color w:val="auto"/>
          <w:highlight w:val="none"/>
          <w:lang w:val="en-US" w:eastAsia="zh-CN"/>
        </w:rPr>
        <w:t>。</w:t>
      </w:r>
    </w:p>
    <w:p w14:paraId="281884E5">
      <w:pPr>
        <w:pStyle w:val="3"/>
        <w:ind w:firstLine="480"/>
        <w:rPr>
          <w:color w:val="auto"/>
          <w:highlight w:val="none"/>
        </w:rPr>
      </w:pPr>
      <w:r>
        <w:rPr>
          <w:color w:val="auto"/>
          <w:highlight w:val="none"/>
        </w:rPr>
        <w:t>因此，当发生泄漏</w:t>
      </w:r>
      <w:r>
        <w:rPr>
          <w:rFonts w:hint="eastAsia"/>
          <w:color w:val="auto"/>
          <w:highlight w:val="none"/>
        </w:rPr>
        <w:t>100</w:t>
      </w:r>
      <w:r>
        <w:rPr>
          <w:color w:val="auto"/>
          <w:highlight w:val="none"/>
        </w:rPr>
        <w:t>天后，污染物将全部</w:t>
      </w:r>
      <w:r>
        <w:rPr>
          <w:rFonts w:hint="eastAsia"/>
          <w:color w:val="auto"/>
          <w:highlight w:val="none"/>
        </w:rPr>
        <w:t>进</w:t>
      </w:r>
      <w:bookmarkStart w:id="534" w:name="_GoBack"/>
      <w:bookmarkEnd w:id="534"/>
      <w:r>
        <w:rPr>
          <w:rFonts w:hint="eastAsia"/>
          <w:color w:val="auto"/>
          <w:highlight w:val="none"/>
        </w:rPr>
        <w:t>入</w:t>
      </w:r>
      <w:r>
        <w:rPr>
          <w:color w:val="auto"/>
          <w:highlight w:val="none"/>
        </w:rPr>
        <w:t>含水层，土壤对污染物质存在降解作用，污染物不断向下运移的过程，同时也是土壤降解污染物浓度的过程，污染物浓度逐渐由峰值降解至检出限以下。考虑泄漏只存在于防渗层破裂时的非正常工况，正常的生产活动均有回水池的检修活动，当发生泄漏时可得到及时发现并采取相应措施，因此，污染物的下渗量有限；另外，污染物的下渗只存在于防渗层破裂之处，其下渗的影响范围相对较小；同时，在一定程度上，土壤本身具备一定的污染物降解及净化功能，少量的污染物质滞留其中，不会对土壤造成本质影响，会在其自身的降解及净化作用下，逐渐减少。</w:t>
      </w:r>
    </w:p>
    <w:p w14:paraId="4FAF0435">
      <w:pPr>
        <w:pStyle w:val="3"/>
        <w:ind w:firstLine="480"/>
        <w:rPr>
          <w:color w:val="auto"/>
          <w:highlight w:val="none"/>
        </w:rPr>
      </w:pPr>
      <w:r>
        <w:rPr>
          <w:color w:val="auto"/>
          <w:highlight w:val="none"/>
        </w:rPr>
        <w:t>综上分析，本工程的正常运营对土壤环境基本无影响，当发生非正常泄漏时，对局部土壤会产生一定程度的影响，但污染物的产生量及影响范围均较小，是可接受的。</w:t>
      </w:r>
    </w:p>
    <w:p w14:paraId="084135E1">
      <w:pPr>
        <w:pStyle w:val="3"/>
        <w:ind w:firstLine="480"/>
        <w:rPr>
          <w:color w:val="auto"/>
          <w:highlight w:val="none"/>
        </w:rPr>
      </w:pPr>
      <w:r>
        <w:rPr>
          <w:color w:val="auto"/>
          <w:highlight w:val="none"/>
        </w:rPr>
        <w:t>（2）地面漫流</w:t>
      </w:r>
    </w:p>
    <w:p w14:paraId="0BB6EE2B">
      <w:pPr>
        <w:pStyle w:val="3"/>
        <w:ind w:firstLine="480"/>
        <w:rPr>
          <w:color w:val="auto"/>
          <w:highlight w:val="none"/>
        </w:rPr>
      </w:pPr>
      <w:r>
        <w:rPr>
          <w:color w:val="auto"/>
          <w:highlight w:val="none"/>
        </w:rPr>
        <w:t>对于地上设施，在事故情况和降雨情况下产生的废水、废水传输管线泄漏等会发生地面漫流，进一步污染土壤。设计要求地面均进行了硬化，并且一般情况下发生突发环境事故时生产废水能全部排入事故应急池暂存，不会发生漫流现象。雨水不会进入污水处理设施，本项目废水基本不会污染到雨水</w:t>
      </w:r>
      <w:r>
        <w:rPr>
          <w:rFonts w:hint="eastAsia"/>
          <w:color w:val="auto"/>
          <w:highlight w:val="none"/>
          <w:lang w:val="en-US" w:eastAsia="zh-CN"/>
        </w:rPr>
        <w:t>。并且</w:t>
      </w:r>
      <w:r>
        <w:rPr>
          <w:color w:val="auto"/>
          <w:highlight w:val="none"/>
        </w:rPr>
        <w:t>环评已要求采取相应措施防控事故废水地面漫流进入土壤</w:t>
      </w:r>
      <w:r>
        <w:rPr>
          <w:rFonts w:hint="eastAsia"/>
          <w:color w:val="auto"/>
          <w:highlight w:val="none"/>
          <w:lang w:eastAsia="zh-CN"/>
        </w:rPr>
        <w:t>，</w:t>
      </w:r>
      <w:r>
        <w:rPr>
          <w:color w:val="auto"/>
          <w:highlight w:val="none"/>
        </w:rPr>
        <w:t>在全面落实防控措施的情况下，污染物的地面漫流对土壤影响较小。</w:t>
      </w:r>
    </w:p>
    <w:p w14:paraId="61F4EC2A">
      <w:pPr>
        <w:pStyle w:val="43"/>
        <w:bidi w:val="0"/>
        <w:rPr>
          <w:rFonts w:hint="eastAsia"/>
          <w:color w:val="auto"/>
          <w:highlight w:val="none"/>
          <w:lang w:eastAsia="zh-CN"/>
        </w:rPr>
      </w:pPr>
      <w:r>
        <w:rPr>
          <w:rFonts w:hint="eastAsia"/>
          <w:color w:val="auto"/>
          <w:highlight w:val="none"/>
          <w:lang w:eastAsia="zh-CN"/>
        </w:rPr>
        <w:t>尾矿库</w:t>
      </w:r>
    </w:p>
    <w:p w14:paraId="67161E6C">
      <w:pPr>
        <w:pStyle w:val="3"/>
        <w:ind w:firstLine="480"/>
        <w:rPr>
          <w:rFonts w:hint="eastAsia"/>
          <w:color w:val="auto"/>
          <w:highlight w:val="none"/>
        </w:rPr>
      </w:pPr>
      <w:r>
        <w:rPr>
          <w:rFonts w:hint="eastAsia"/>
          <w:color w:val="auto"/>
          <w:highlight w:val="none"/>
        </w:rPr>
        <w:t>（1）地面漫流影响分析</w:t>
      </w:r>
    </w:p>
    <w:p w14:paraId="68CFCE2E">
      <w:pPr>
        <w:pStyle w:val="3"/>
        <w:ind w:firstLine="480"/>
        <w:rPr>
          <w:color w:val="auto"/>
          <w:highlight w:val="none"/>
        </w:rPr>
      </w:pPr>
      <w:r>
        <w:rPr>
          <w:rFonts w:hint="eastAsia"/>
          <w:color w:val="auto"/>
          <w:highlight w:val="none"/>
        </w:rPr>
        <w:t>拟建尾矿库位于相对独立水文地质单元的次级支单元，区域大气降水为地下水的主要补给来源。</w:t>
      </w:r>
      <w:r>
        <w:rPr>
          <w:rFonts w:hint="eastAsia"/>
          <w:color w:val="auto"/>
          <w:highlight w:val="none"/>
          <w:lang w:eastAsia="zh-CN"/>
        </w:rPr>
        <w:t>库</w:t>
      </w:r>
      <w:r>
        <w:rPr>
          <w:rFonts w:hint="eastAsia"/>
          <w:color w:val="auto"/>
          <w:highlight w:val="none"/>
        </w:rPr>
        <w:t>区属大陆性中温带干旱气候，多年平均降水量仅118 mm，而年均蒸发量高达1500 mm，约为降水量的12.7倍，极端干旱气候极大抑制了地表漫流的形成条件。为有效拦截坡面汇水，设计在初期坝下游面与岸坡衔接处设置坝肩截水沟，可系统疏导降雨径流。此外，本项目尾矿采用干排工艺，出库尾矿含水率约为18%，持水能力低，且尾矿自身不具备形成漫流的水量条件。综合气候、工程设计与工艺特性，本项目正常运行期间基本无地面漫流产生，对土壤环境的影响可忽略。</w:t>
      </w:r>
    </w:p>
    <w:p w14:paraId="698967AE">
      <w:pPr>
        <w:pStyle w:val="3"/>
        <w:ind w:firstLine="480"/>
        <w:rPr>
          <w:rFonts w:hint="eastAsia"/>
          <w:color w:val="auto"/>
          <w:highlight w:val="none"/>
        </w:rPr>
      </w:pPr>
      <w:r>
        <w:rPr>
          <w:rFonts w:hint="eastAsia"/>
          <w:color w:val="auto"/>
          <w:highlight w:val="none"/>
        </w:rPr>
        <w:t>（</w:t>
      </w:r>
      <w:r>
        <w:rPr>
          <w:rFonts w:hint="eastAsia"/>
          <w:color w:val="auto"/>
          <w:highlight w:val="none"/>
          <w:lang w:val="en-US" w:eastAsia="zh-CN"/>
        </w:rPr>
        <w:t>2</w:t>
      </w:r>
      <w:r>
        <w:rPr>
          <w:rFonts w:hint="eastAsia"/>
          <w:color w:val="auto"/>
          <w:highlight w:val="none"/>
        </w:rPr>
        <w:t>）垂直入渗影响分析</w:t>
      </w:r>
    </w:p>
    <w:p w14:paraId="3EF300F4">
      <w:pPr>
        <w:pStyle w:val="3"/>
        <w:ind w:firstLine="480"/>
        <w:rPr>
          <w:rFonts w:hint="eastAsia"/>
          <w:color w:val="auto"/>
          <w:highlight w:val="none"/>
          <w:lang w:eastAsia="zh-CN"/>
        </w:rPr>
      </w:pPr>
      <w:r>
        <w:rPr>
          <w:rFonts w:hint="eastAsia"/>
          <w:color w:val="auto"/>
          <w:highlight w:val="none"/>
          <w:lang w:eastAsia="zh-CN"/>
        </w:rPr>
        <w:t>库区上游无常年地表水体，且设计于库区上游设置截水沟，以拦截上游汇水，从源头减少外来水进入库区。因此，进入尾矿库的废水主要来源于尾矿自身携带水量及库面直接降水。鉴于尾矿干排后含水率仅约18%，且本区降雨稀少、蒸发强烈，入渗补给量极为有限。同时，按重点防渗区要求，库区底部及边坡均采用全防渗结构（含坝体与库底），防渗层设计满足相应环保标准，可有效阻隔污染物下渗。</w:t>
      </w:r>
    </w:p>
    <w:p w14:paraId="5DC6983F">
      <w:pPr>
        <w:pStyle w:val="3"/>
        <w:ind w:firstLine="480"/>
        <w:rPr>
          <w:rFonts w:hint="eastAsia"/>
          <w:color w:val="auto"/>
          <w:highlight w:val="none"/>
          <w:lang w:eastAsia="zh-CN"/>
        </w:rPr>
      </w:pPr>
      <w:r>
        <w:rPr>
          <w:rFonts w:hint="eastAsia"/>
          <w:color w:val="auto"/>
          <w:highlight w:val="none"/>
          <w:lang w:eastAsia="zh-CN"/>
        </w:rPr>
        <w:t>根据固体废物属性鉴定结果，尾矿砂浸出液各项检测指标均低于《危险废物鉴别标准 浸出毒性鉴别》（GB 5085.3—2007）限值，且未超过《污水综合排放标准》（GB 8978—1996）最高允许排放浓度，pH值处于6~9之间，属于Ⅰ类一般工业固体废物。综合防渗措施与固废属性，垂直入渗对库区及下游土壤环境影响极为有限。</w:t>
      </w:r>
    </w:p>
    <w:p w14:paraId="03DBAE22">
      <w:pPr>
        <w:pStyle w:val="3"/>
        <w:ind w:firstLine="480"/>
        <w:rPr>
          <w:color w:val="auto"/>
          <w:highlight w:val="none"/>
        </w:rPr>
      </w:pPr>
      <w:r>
        <w:rPr>
          <w:color w:val="auto"/>
          <w:highlight w:val="none"/>
        </w:rPr>
        <w:t>（</w:t>
      </w:r>
      <w:r>
        <w:rPr>
          <w:rFonts w:hint="eastAsia"/>
          <w:color w:val="auto"/>
          <w:highlight w:val="none"/>
        </w:rPr>
        <w:t>3</w:t>
      </w:r>
      <w:r>
        <w:rPr>
          <w:color w:val="auto"/>
          <w:highlight w:val="none"/>
        </w:rPr>
        <w:t>）大气沉降影响分析</w:t>
      </w:r>
    </w:p>
    <w:p w14:paraId="1DB3FEE8">
      <w:pPr>
        <w:pStyle w:val="3"/>
        <w:ind w:firstLine="480"/>
        <w:rPr>
          <w:color w:val="auto"/>
          <w:highlight w:val="none"/>
        </w:rPr>
      </w:pPr>
      <w:r>
        <w:rPr>
          <w:rFonts w:hint="eastAsia"/>
          <w:color w:val="auto"/>
          <w:highlight w:val="none"/>
          <w:lang w:eastAsia="zh-CN"/>
        </w:rPr>
        <w:t>尾矿出库含水率约18%，且装卸作业区配置洒水抑尘设施，可有效控制装卸及堆存过程中的扬尘产生。但尾矿库干滩区域在风力作用下仍可能产生少量扬尘，其所含特征重金属（如铅、镍、锌）随颗粒物沉降于周边土壤，可能造成一定累积影响。</w:t>
      </w:r>
      <w:r>
        <w:rPr>
          <w:color w:val="auto"/>
          <w:highlight w:val="none"/>
        </w:rPr>
        <w:t>本次评价采用《环境影响评价技术导则 土壤环境（试行）》（HJ964-2018）附录E提供的方法来计算铅、</w:t>
      </w:r>
      <w:r>
        <w:rPr>
          <w:rFonts w:hint="eastAsia"/>
          <w:color w:val="auto"/>
          <w:highlight w:val="none"/>
          <w:lang w:eastAsia="zh-CN"/>
        </w:rPr>
        <w:t>镍</w:t>
      </w:r>
      <w:r>
        <w:rPr>
          <w:rFonts w:hint="eastAsia"/>
          <w:color w:val="auto"/>
          <w:highlight w:val="none"/>
          <w:lang w:eastAsia="zh-CN"/>
        </w:rPr>
        <w:t>、锌</w:t>
      </w:r>
      <w:r>
        <w:rPr>
          <w:color w:val="auto"/>
          <w:highlight w:val="none"/>
        </w:rPr>
        <w:t>由大气沉降对土壤环境产生的影响。具体模型如下：</w:t>
      </w:r>
    </w:p>
    <w:p w14:paraId="1D46D8BC">
      <w:pPr>
        <w:pStyle w:val="3"/>
        <w:ind w:firstLine="480"/>
        <w:rPr>
          <w:color w:val="auto"/>
          <w:highlight w:val="none"/>
        </w:rPr>
      </w:pPr>
      <w:r>
        <w:rPr>
          <w:color w:val="auto"/>
          <w:highlight w:val="none"/>
        </w:rPr>
        <w:t>①单位质量土壤中某种物质的增量可用下式计算：</w:t>
      </w:r>
    </w:p>
    <w:p w14:paraId="41F55E97">
      <w:pPr>
        <w:pStyle w:val="3"/>
        <w:ind w:firstLine="480"/>
        <w:rPr>
          <w:color w:val="auto"/>
          <w:highlight w:val="none"/>
        </w:rPr>
      </w:pPr>
      <w:r>
        <w:rPr>
          <w:color w:val="auto"/>
          <w:highlight w:val="none"/>
        </w:rPr>
        <w:t>△S=n（Is-Ls-Rs）/</w:t>
      </w:r>
      <w:r>
        <w:rPr>
          <w:rFonts w:hint="eastAsia"/>
          <w:color w:val="auto"/>
          <w:highlight w:val="none"/>
          <w:lang w:eastAsia="zh-CN"/>
        </w:rPr>
        <w:t>(</w:t>
      </w:r>
      <w:r>
        <w:rPr>
          <w:color w:val="auto"/>
          <w:highlight w:val="none"/>
        </w:rPr>
        <w:t>ρb×A×D</w:t>
      </w:r>
      <w:r>
        <w:rPr>
          <w:rFonts w:hint="eastAsia"/>
          <w:color w:val="auto"/>
          <w:highlight w:val="none"/>
          <w:lang w:eastAsia="zh-CN"/>
        </w:rPr>
        <w:t>)</w:t>
      </w:r>
    </w:p>
    <w:p w14:paraId="7D3AACD4">
      <w:pPr>
        <w:pStyle w:val="3"/>
        <w:ind w:firstLine="480"/>
        <w:rPr>
          <w:color w:val="auto"/>
          <w:highlight w:val="none"/>
        </w:rPr>
      </w:pPr>
      <w:r>
        <w:rPr>
          <w:color w:val="auto"/>
          <w:highlight w:val="none"/>
        </w:rPr>
        <w:t>式中：</w:t>
      </w:r>
    </w:p>
    <w:p w14:paraId="4F054962">
      <w:pPr>
        <w:pStyle w:val="3"/>
        <w:ind w:firstLine="480"/>
        <w:rPr>
          <w:color w:val="auto"/>
          <w:highlight w:val="none"/>
        </w:rPr>
      </w:pPr>
      <w:r>
        <w:rPr>
          <w:color w:val="auto"/>
          <w:highlight w:val="none"/>
        </w:rPr>
        <w:t>ΔS—单位质量表层土壤中某种物质的增量，g/kg；</w:t>
      </w:r>
    </w:p>
    <w:p w14:paraId="18DD24EC">
      <w:pPr>
        <w:pStyle w:val="3"/>
        <w:ind w:firstLine="480"/>
        <w:rPr>
          <w:color w:val="auto"/>
          <w:highlight w:val="none"/>
        </w:rPr>
      </w:pPr>
      <w:r>
        <w:rPr>
          <w:color w:val="auto"/>
          <w:highlight w:val="none"/>
        </w:rPr>
        <w:t>IS—预测评价范围内单位年份表层土壤中某种物质的输入量g；本次采用原矿中铅、</w:t>
      </w:r>
      <w:r>
        <w:rPr>
          <w:rFonts w:hint="eastAsia"/>
          <w:color w:val="auto"/>
          <w:highlight w:val="none"/>
          <w:lang w:eastAsia="zh-CN"/>
        </w:rPr>
        <w:t>锌、镍</w:t>
      </w:r>
      <w:r>
        <w:rPr>
          <w:color w:val="auto"/>
          <w:highlight w:val="none"/>
        </w:rPr>
        <w:t>的含量，分别为</w:t>
      </w:r>
      <w:r>
        <w:rPr>
          <w:rFonts w:hint="eastAsia"/>
          <w:color w:val="auto"/>
          <w:highlight w:val="none"/>
        </w:rPr>
        <w:t>0.003</w:t>
      </w:r>
      <w:r>
        <w:rPr>
          <w:color w:val="auto"/>
          <w:highlight w:val="none"/>
        </w:rPr>
        <w:t>%、</w:t>
      </w:r>
      <w:r>
        <w:rPr>
          <w:rFonts w:hint="eastAsia"/>
          <w:color w:val="auto"/>
          <w:highlight w:val="none"/>
        </w:rPr>
        <w:t>0.013</w:t>
      </w:r>
      <w:r>
        <w:rPr>
          <w:color w:val="auto"/>
          <w:highlight w:val="none"/>
        </w:rPr>
        <w:t>%</w:t>
      </w:r>
      <w:r>
        <w:rPr>
          <w:rFonts w:hint="eastAsia"/>
          <w:color w:val="auto"/>
          <w:highlight w:val="none"/>
          <w:lang w:eastAsia="zh-CN"/>
        </w:rPr>
        <w:t>、</w:t>
      </w:r>
      <w:r>
        <w:rPr>
          <w:rFonts w:hint="eastAsia"/>
          <w:color w:val="auto"/>
          <w:highlight w:val="none"/>
        </w:rPr>
        <w:t>0.009</w:t>
      </w:r>
      <w:r>
        <w:rPr>
          <w:color w:val="auto"/>
          <w:highlight w:val="none"/>
        </w:rPr>
        <w:t>%，废气排放量为</w:t>
      </w:r>
      <w:r>
        <w:rPr>
          <w:rFonts w:hint="eastAsia"/>
          <w:color w:val="auto"/>
          <w:highlight w:val="none"/>
          <w:lang w:val="en-US" w:eastAsia="zh-CN"/>
        </w:rPr>
        <w:t>5.09</w:t>
      </w:r>
      <w:r>
        <w:rPr>
          <w:color w:val="auto"/>
          <w:highlight w:val="none"/>
        </w:rPr>
        <w:t>t/a，假设产生的废气全部沉降至土壤环境中，则沉降至土壤中的铅、</w:t>
      </w:r>
      <w:r>
        <w:rPr>
          <w:rFonts w:hint="eastAsia"/>
          <w:color w:val="auto"/>
          <w:highlight w:val="none"/>
          <w:lang w:eastAsia="zh-CN"/>
        </w:rPr>
        <w:t>锌、镍</w:t>
      </w:r>
      <w:r>
        <w:rPr>
          <w:color w:val="auto"/>
          <w:highlight w:val="none"/>
        </w:rPr>
        <w:t>的量分别为</w:t>
      </w:r>
      <w:r>
        <w:rPr>
          <w:rFonts w:hint="eastAsia"/>
          <w:color w:val="auto"/>
          <w:highlight w:val="none"/>
          <w:lang w:val="en-US" w:eastAsia="zh-CN"/>
        </w:rPr>
        <w:t>0.1527</w:t>
      </w:r>
      <w:r>
        <w:rPr>
          <w:color w:val="auto"/>
          <w:highlight w:val="none"/>
        </w:rPr>
        <w:t>kg、</w:t>
      </w:r>
      <w:r>
        <w:rPr>
          <w:rFonts w:hint="eastAsia"/>
          <w:color w:val="auto"/>
          <w:highlight w:val="none"/>
          <w:lang w:val="en-US" w:eastAsia="zh-CN"/>
        </w:rPr>
        <w:t>0.6617</w:t>
      </w:r>
      <w:r>
        <w:rPr>
          <w:color w:val="auto"/>
          <w:highlight w:val="none"/>
        </w:rPr>
        <w:t>kg、</w:t>
      </w:r>
      <w:r>
        <w:rPr>
          <w:rFonts w:hint="eastAsia"/>
          <w:color w:val="auto"/>
          <w:highlight w:val="none"/>
          <w:lang w:val="en-US" w:eastAsia="zh-CN"/>
        </w:rPr>
        <w:t>0.4581</w:t>
      </w:r>
      <w:r>
        <w:rPr>
          <w:color w:val="auto"/>
          <w:highlight w:val="none"/>
        </w:rPr>
        <w:t>kg。</w:t>
      </w:r>
    </w:p>
    <w:p w14:paraId="76DE2FEC">
      <w:pPr>
        <w:pStyle w:val="3"/>
        <w:ind w:firstLine="480"/>
        <w:rPr>
          <w:color w:val="auto"/>
          <w:highlight w:val="none"/>
        </w:rPr>
      </w:pPr>
      <w:r>
        <w:rPr>
          <w:color w:val="auto"/>
          <w:highlight w:val="none"/>
        </w:rPr>
        <w:t>LS—预测评价范围内单位年份表层土壤中某种物质经淋溶排出的量，g；本环评不考虑淋溶排出的量。</w:t>
      </w:r>
    </w:p>
    <w:p w14:paraId="44E167CC">
      <w:pPr>
        <w:pStyle w:val="3"/>
        <w:ind w:firstLine="480"/>
        <w:rPr>
          <w:color w:val="auto"/>
          <w:highlight w:val="none"/>
        </w:rPr>
      </w:pPr>
      <w:r>
        <w:rPr>
          <w:color w:val="auto"/>
          <w:highlight w:val="none"/>
        </w:rPr>
        <w:t>RS—预测评价范围内单位年份表层土壤中某种物质经径流排出的量，g；本环评不考虑经径流排出的量。</w:t>
      </w:r>
    </w:p>
    <w:p w14:paraId="1657C8B7">
      <w:pPr>
        <w:pStyle w:val="3"/>
        <w:ind w:firstLine="480"/>
        <w:rPr>
          <w:color w:val="auto"/>
          <w:highlight w:val="none"/>
        </w:rPr>
      </w:pPr>
      <w:r>
        <w:rPr>
          <w:color w:val="auto"/>
          <w:highlight w:val="none"/>
        </w:rPr>
        <w:t>ρb—表层土壤容重，kg/m</w:t>
      </w:r>
      <w:r>
        <w:rPr>
          <w:color w:val="auto"/>
          <w:highlight w:val="none"/>
          <w:vertAlign w:val="superscript"/>
        </w:rPr>
        <w:t>3</w:t>
      </w:r>
      <w:r>
        <w:rPr>
          <w:color w:val="auto"/>
          <w:highlight w:val="none"/>
        </w:rPr>
        <w:t>。</w:t>
      </w:r>
    </w:p>
    <w:p w14:paraId="40BBD285">
      <w:pPr>
        <w:pStyle w:val="3"/>
        <w:ind w:firstLine="480"/>
        <w:rPr>
          <w:color w:val="auto"/>
          <w:highlight w:val="none"/>
        </w:rPr>
      </w:pPr>
      <w:r>
        <w:rPr>
          <w:color w:val="auto"/>
          <w:highlight w:val="none"/>
        </w:rPr>
        <w:t>A—预测评价范围，m</w:t>
      </w:r>
      <w:r>
        <w:rPr>
          <w:color w:val="auto"/>
          <w:highlight w:val="none"/>
          <w:vertAlign w:val="superscript"/>
        </w:rPr>
        <w:t>2</w:t>
      </w:r>
      <w:r>
        <w:rPr>
          <w:color w:val="auto"/>
          <w:highlight w:val="none"/>
        </w:rPr>
        <w:t>。</w:t>
      </w:r>
    </w:p>
    <w:p w14:paraId="00882172">
      <w:pPr>
        <w:pStyle w:val="3"/>
        <w:ind w:firstLine="480"/>
        <w:rPr>
          <w:color w:val="auto"/>
          <w:highlight w:val="none"/>
        </w:rPr>
      </w:pPr>
      <w:r>
        <w:rPr>
          <w:color w:val="auto"/>
          <w:highlight w:val="none"/>
        </w:rPr>
        <w:t>D—表层土壤深度，一般取0.2m，本环评取0.2m；</w:t>
      </w:r>
    </w:p>
    <w:p w14:paraId="0177BFD3">
      <w:pPr>
        <w:pStyle w:val="3"/>
        <w:ind w:firstLine="480"/>
        <w:rPr>
          <w:color w:val="auto"/>
          <w:highlight w:val="none"/>
        </w:rPr>
      </w:pPr>
      <w:r>
        <w:rPr>
          <w:color w:val="auto"/>
          <w:highlight w:val="none"/>
        </w:rPr>
        <w:t>n—持续年份，a。</w:t>
      </w:r>
    </w:p>
    <w:p w14:paraId="6A06B7F9">
      <w:pPr>
        <w:pStyle w:val="3"/>
        <w:ind w:firstLine="480"/>
        <w:rPr>
          <w:color w:val="auto"/>
          <w:highlight w:val="none"/>
        </w:rPr>
      </w:pPr>
      <w:r>
        <w:rPr>
          <w:color w:val="auto"/>
          <w:highlight w:val="none"/>
        </w:rPr>
        <w:t>根据导则要求涉及大气沉降影响的，可不考虑输出量，本次不考虑输出量。公式简化为：</w:t>
      </w:r>
    </w:p>
    <w:p w14:paraId="1ECCCB3F">
      <w:pPr>
        <w:pStyle w:val="3"/>
        <w:ind w:firstLine="480"/>
        <w:rPr>
          <w:color w:val="auto"/>
          <w:highlight w:val="none"/>
        </w:rPr>
      </w:pPr>
      <w:r>
        <w:rPr>
          <w:color w:val="auto"/>
          <w:highlight w:val="none"/>
        </w:rPr>
        <w:t>△S=nIs/</w:t>
      </w:r>
      <w:r>
        <w:rPr>
          <w:rFonts w:hint="eastAsia"/>
          <w:color w:val="auto"/>
          <w:highlight w:val="none"/>
          <w:lang w:eastAsia="zh-CN"/>
        </w:rPr>
        <w:t>(</w:t>
      </w:r>
      <w:r>
        <w:rPr>
          <w:color w:val="auto"/>
          <w:highlight w:val="none"/>
        </w:rPr>
        <w:t>ρb×A×D</w:t>
      </w:r>
      <w:r>
        <w:rPr>
          <w:rFonts w:hint="eastAsia"/>
          <w:color w:val="auto"/>
          <w:highlight w:val="none"/>
          <w:lang w:eastAsia="zh-CN"/>
        </w:rPr>
        <w:t>)</w:t>
      </w:r>
    </w:p>
    <w:p w14:paraId="319DFDD0">
      <w:pPr>
        <w:pStyle w:val="3"/>
        <w:ind w:firstLine="480"/>
        <w:rPr>
          <w:color w:val="auto"/>
          <w:highlight w:val="none"/>
        </w:rPr>
      </w:pPr>
      <w:r>
        <w:rPr>
          <w:color w:val="auto"/>
          <w:highlight w:val="none"/>
        </w:rPr>
        <w:t>②单位质量土壤中某种物质的预测值根据其增量叠加现状值进行计算，如下式：</w:t>
      </w:r>
    </w:p>
    <w:p w14:paraId="151EEACF">
      <w:pPr>
        <w:pStyle w:val="3"/>
        <w:ind w:firstLine="480"/>
        <w:rPr>
          <w:color w:val="auto"/>
          <w:highlight w:val="none"/>
        </w:rPr>
      </w:pPr>
      <w:r>
        <w:rPr>
          <w:color w:val="auto"/>
          <w:highlight w:val="none"/>
        </w:rPr>
        <w:t>S=S+△S</w:t>
      </w:r>
    </w:p>
    <w:p w14:paraId="5E22BD4C">
      <w:pPr>
        <w:pStyle w:val="3"/>
        <w:ind w:firstLine="480"/>
        <w:rPr>
          <w:color w:val="auto"/>
          <w:highlight w:val="none"/>
        </w:rPr>
      </w:pPr>
      <w:r>
        <w:rPr>
          <w:color w:val="auto"/>
          <w:highlight w:val="none"/>
        </w:rPr>
        <w:t>式中：</w:t>
      </w:r>
    </w:p>
    <w:p w14:paraId="75C4EBFD">
      <w:pPr>
        <w:pStyle w:val="3"/>
        <w:ind w:firstLine="480"/>
        <w:rPr>
          <w:color w:val="auto"/>
          <w:highlight w:val="none"/>
        </w:rPr>
      </w:pPr>
      <w:r>
        <w:rPr>
          <w:color w:val="auto"/>
          <w:highlight w:val="none"/>
        </w:rPr>
        <w:t>Sb——单位质量土壤中污染物的现状值，g/kg；</w:t>
      </w:r>
    </w:p>
    <w:p w14:paraId="1E9E51E2">
      <w:pPr>
        <w:pStyle w:val="3"/>
        <w:ind w:firstLine="480"/>
        <w:rPr>
          <w:color w:val="auto"/>
          <w:highlight w:val="none"/>
        </w:rPr>
      </w:pPr>
      <w:r>
        <w:rPr>
          <w:color w:val="auto"/>
          <w:highlight w:val="none"/>
        </w:rPr>
        <w:t>S——单位质量土壤中污染物的预测值，g/kg。</w:t>
      </w:r>
    </w:p>
    <w:p w14:paraId="3AB80014">
      <w:pPr>
        <w:pStyle w:val="3"/>
        <w:ind w:firstLine="480"/>
        <w:rPr>
          <w:color w:val="auto"/>
          <w:highlight w:val="none"/>
        </w:rPr>
      </w:pPr>
      <w:r>
        <w:rPr>
          <w:color w:val="auto"/>
          <w:highlight w:val="none"/>
        </w:rPr>
        <w:t>将相关参数代入上述公式，则可预测本项目投产n年后土壤中各污染因子的贡献值。</w:t>
      </w:r>
    </w:p>
    <w:p w14:paraId="3FE7C2DA">
      <w:pPr>
        <w:pStyle w:val="3"/>
        <w:ind w:firstLine="480"/>
        <w:rPr>
          <w:color w:val="auto"/>
          <w:highlight w:val="none"/>
        </w:rPr>
      </w:pPr>
      <w:r>
        <w:rPr>
          <w:color w:val="auto"/>
          <w:highlight w:val="none"/>
        </w:rPr>
        <w:t>具体计算参数和计算结果详见下表：</w:t>
      </w:r>
    </w:p>
    <w:p w14:paraId="392AF8E4">
      <w:pPr>
        <w:pStyle w:val="40"/>
        <w:rPr>
          <w:color w:val="auto"/>
          <w:highlight w:val="none"/>
        </w:rPr>
      </w:pPr>
      <w:r>
        <w:rPr>
          <w:color w:val="auto"/>
          <w:highlight w:val="none"/>
        </w:rPr>
        <w:t>表5.</w:t>
      </w:r>
      <w:r>
        <w:rPr>
          <w:rFonts w:hint="eastAsia"/>
          <w:color w:val="auto"/>
          <w:highlight w:val="none"/>
        </w:rPr>
        <w:t>7</w:t>
      </w:r>
      <w:r>
        <w:rPr>
          <w:color w:val="auto"/>
          <w:highlight w:val="none"/>
        </w:rPr>
        <w:t>-</w:t>
      </w:r>
      <w:r>
        <w:rPr>
          <w:rFonts w:hint="eastAsia"/>
          <w:color w:val="auto"/>
          <w:highlight w:val="none"/>
        </w:rPr>
        <w:t>4</w:t>
      </w:r>
      <w:r>
        <w:rPr>
          <w:color w:val="auto"/>
          <w:highlight w:val="none"/>
        </w:rPr>
        <w:t>评价区域内土壤中铅、</w:t>
      </w:r>
      <w:r>
        <w:rPr>
          <w:rFonts w:hint="eastAsia"/>
          <w:color w:val="auto"/>
          <w:highlight w:val="none"/>
          <w:lang w:eastAsia="zh-CN"/>
        </w:rPr>
        <w:t>锌</w:t>
      </w:r>
      <w:r>
        <w:rPr>
          <w:color w:val="auto"/>
          <w:highlight w:val="none"/>
        </w:rPr>
        <w:t>累积量预测结果一览表</w:t>
      </w:r>
    </w:p>
    <w:tbl>
      <w:tblPr>
        <w:tblStyle w:val="25"/>
        <w:tblW w:w="501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907"/>
        <w:gridCol w:w="1659"/>
        <w:gridCol w:w="1543"/>
        <w:gridCol w:w="1629"/>
        <w:gridCol w:w="1804"/>
        <w:gridCol w:w="818"/>
      </w:tblGrid>
      <w:tr w14:paraId="1CA425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80" w:hRule="atLeast"/>
          <w:tblHeader/>
          <w:jc w:val="center"/>
        </w:trPr>
        <w:tc>
          <w:tcPr>
            <w:tcW w:w="543" w:type="pct"/>
            <w:tcBorders>
              <w:tl2br w:val="nil"/>
              <w:tr2bl w:val="nil"/>
            </w:tcBorders>
            <w:vAlign w:val="center"/>
          </w:tcPr>
          <w:p w14:paraId="409B188C">
            <w:pPr>
              <w:pStyle w:val="41"/>
              <w:rPr>
                <w:color w:val="auto"/>
                <w:highlight w:val="none"/>
              </w:rPr>
            </w:pPr>
            <w:r>
              <w:rPr>
                <w:color w:val="auto"/>
                <w:highlight w:val="none"/>
              </w:rPr>
              <w:t>累积时间</w:t>
            </w:r>
          </w:p>
        </w:tc>
        <w:tc>
          <w:tcPr>
            <w:tcW w:w="992" w:type="pct"/>
            <w:tcBorders>
              <w:tl2br w:val="nil"/>
              <w:tr2bl w:val="nil"/>
            </w:tcBorders>
            <w:vAlign w:val="center"/>
          </w:tcPr>
          <w:p w14:paraId="190984E9">
            <w:pPr>
              <w:pStyle w:val="41"/>
              <w:rPr>
                <w:color w:val="auto"/>
                <w:highlight w:val="none"/>
              </w:rPr>
            </w:pPr>
            <w:r>
              <w:rPr>
                <w:rFonts w:hint="eastAsia"/>
                <w:color w:val="auto"/>
                <w:highlight w:val="none"/>
                <w:lang w:eastAsia="zh-CN"/>
              </w:rPr>
              <w:t>镍</w:t>
            </w:r>
            <w:r>
              <w:rPr>
                <w:color w:val="auto"/>
                <w:highlight w:val="none"/>
              </w:rPr>
              <w:t>∆S（g/kg）</w:t>
            </w:r>
          </w:p>
        </w:tc>
        <w:tc>
          <w:tcPr>
            <w:tcW w:w="923" w:type="pct"/>
            <w:tcBorders>
              <w:tl2br w:val="nil"/>
              <w:tr2bl w:val="nil"/>
            </w:tcBorders>
            <w:vAlign w:val="center"/>
          </w:tcPr>
          <w:p w14:paraId="1D3C8E27">
            <w:pPr>
              <w:pStyle w:val="41"/>
              <w:rPr>
                <w:color w:val="auto"/>
                <w:highlight w:val="none"/>
              </w:rPr>
            </w:pPr>
            <w:r>
              <w:rPr>
                <w:color w:val="auto"/>
                <w:highlight w:val="none"/>
              </w:rPr>
              <w:t>现状值*</w:t>
            </w:r>
          </w:p>
          <w:p w14:paraId="372627CA">
            <w:pPr>
              <w:pStyle w:val="41"/>
              <w:rPr>
                <w:color w:val="auto"/>
                <w:highlight w:val="none"/>
              </w:rPr>
            </w:pPr>
            <w:r>
              <w:rPr>
                <w:rFonts w:hint="eastAsia"/>
                <w:color w:val="auto"/>
                <w:highlight w:val="none"/>
                <w:lang w:eastAsia="zh-CN"/>
              </w:rPr>
              <w:t>(</w:t>
            </w:r>
            <w:r>
              <w:rPr>
                <w:color w:val="auto"/>
                <w:highlight w:val="none"/>
              </w:rPr>
              <w:t>mg/kg</w:t>
            </w:r>
            <w:r>
              <w:rPr>
                <w:rFonts w:hint="eastAsia"/>
                <w:color w:val="auto"/>
                <w:highlight w:val="none"/>
                <w:lang w:eastAsia="zh-CN"/>
              </w:rPr>
              <w:t>)</w:t>
            </w:r>
          </w:p>
        </w:tc>
        <w:tc>
          <w:tcPr>
            <w:tcW w:w="974" w:type="pct"/>
            <w:tcBorders>
              <w:tl2br w:val="nil"/>
              <w:tr2bl w:val="nil"/>
            </w:tcBorders>
            <w:vAlign w:val="center"/>
          </w:tcPr>
          <w:p w14:paraId="4DD13E02">
            <w:pPr>
              <w:pStyle w:val="41"/>
              <w:rPr>
                <w:color w:val="auto"/>
                <w:highlight w:val="none"/>
              </w:rPr>
            </w:pPr>
            <w:r>
              <w:rPr>
                <w:color w:val="auto"/>
                <w:highlight w:val="none"/>
              </w:rPr>
              <w:t>叠加现状监测值（mg/kg）</w:t>
            </w:r>
          </w:p>
        </w:tc>
        <w:tc>
          <w:tcPr>
            <w:tcW w:w="1079" w:type="pct"/>
            <w:tcBorders>
              <w:tl2br w:val="nil"/>
              <w:tr2bl w:val="nil"/>
            </w:tcBorders>
            <w:vAlign w:val="center"/>
          </w:tcPr>
          <w:p w14:paraId="6F44B375">
            <w:pPr>
              <w:pStyle w:val="41"/>
              <w:rPr>
                <w:color w:val="auto"/>
                <w:highlight w:val="none"/>
              </w:rPr>
            </w:pPr>
            <w:r>
              <w:rPr>
                <w:color w:val="auto"/>
                <w:highlight w:val="none"/>
              </w:rPr>
              <w:t>第二类用地筛选值（mg/kg）</w:t>
            </w:r>
          </w:p>
        </w:tc>
        <w:tc>
          <w:tcPr>
            <w:tcW w:w="487" w:type="pct"/>
            <w:tcBorders>
              <w:tl2br w:val="nil"/>
              <w:tr2bl w:val="nil"/>
            </w:tcBorders>
            <w:vAlign w:val="center"/>
          </w:tcPr>
          <w:p w14:paraId="39A57C73">
            <w:pPr>
              <w:pStyle w:val="41"/>
              <w:rPr>
                <w:color w:val="auto"/>
                <w:highlight w:val="none"/>
              </w:rPr>
            </w:pPr>
            <w:r>
              <w:rPr>
                <w:color w:val="auto"/>
                <w:highlight w:val="none"/>
              </w:rPr>
              <w:t>达标情况</w:t>
            </w:r>
          </w:p>
        </w:tc>
      </w:tr>
      <w:tr w14:paraId="1951C9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80" w:hRule="atLeast"/>
          <w:tblHeader/>
          <w:jc w:val="center"/>
        </w:trPr>
        <w:tc>
          <w:tcPr>
            <w:tcW w:w="5000" w:type="pct"/>
            <w:gridSpan w:val="6"/>
            <w:tcBorders>
              <w:tl2br w:val="nil"/>
              <w:tr2bl w:val="nil"/>
            </w:tcBorders>
            <w:vAlign w:val="center"/>
          </w:tcPr>
          <w:p w14:paraId="2E04D001">
            <w:pPr>
              <w:pStyle w:val="41"/>
              <w:rPr>
                <w:color w:val="auto"/>
                <w:highlight w:val="none"/>
              </w:rPr>
            </w:pPr>
            <w:r>
              <w:rPr>
                <w:rFonts w:hint="eastAsia"/>
                <w:color w:val="auto"/>
                <w:highlight w:val="none"/>
                <w:lang w:eastAsia="zh-CN"/>
              </w:rPr>
              <w:t>镍</w:t>
            </w:r>
          </w:p>
        </w:tc>
      </w:tr>
      <w:tr w14:paraId="507AEE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3" w:type="pct"/>
            <w:tcBorders>
              <w:tl2br w:val="nil"/>
              <w:tr2bl w:val="nil"/>
            </w:tcBorders>
            <w:vAlign w:val="center"/>
          </w:tcPr>
          <w:p w14:paraId="604B74D4">
            <w:pPr>
              <w:pStyle w:val="41"/>
              <w:rPr>
                <w:color w:val="auto"/>
                <w:highlight w:val="none"/>
              </w:rPr>
            </w:pPr>
            <w:r>
              <w:rPr>
                <w:color w:val="auto"/>
                <w:highlight w:val="none"/>
              </w:rPr>
              <w:t>1年</w:t>
            </w:r>
          </w:p>
        </w:tc>
        <w:tc>
          <w:tcPr>
            <w:tcW w:w="992" w:type="pct"/>
            <w:tcBorders>
              <w:tl2br w:val="nil"/>
              <w:tr2bl w:val="nil"/>
            </w:tcBorders>
            <w:vAlign w:val="center"/>
          </w:tcPr>
          <w:p w14:paraId="49CDC1CE">
            <w:pPr>
              <w:pStyle w:val="41"/>
              <w:rPr>
                <w:rFonts w:ascii="Times New Roman" w:hAnsi="Times New Roman"/>
                <w:color w:val="auto"/>
                <w:highlight w:val="none"/>
              </w:rPr>
            </w:pPr>
            <w:r>
              <w:rPr>
                <w:rFonts w:hint="eastAsia" w:ascii="Times New Roman" w:hAnsi="Times New Roman"/>
                <w:color w:val="auto"/>
                <w:highlight w:val="none"/>
                <w:lang w:val="en-US" w:eastAsia="zh-CN"/>
              </w:rPr>
              <w:t xml:space="preserve">0.000201 </w:t>
            </w:r>
          </w:p>
        </w:tc>
        <w:tc>
          <w:tcPr>
            <w:tcW w:w="923" w:type="pct"/>
            <w:tcBorders>
              <w:tl2br w:val="nil"/>
              <w:tr2bl w:val="nil"/>
            </w:tcBorders>
            <w:vAlign w:val="center"/>
          </w:tcPr>
          <w:p w14:paraId="7590DF0A">
            <w:pPr>
              <w:pStyle w:val="41"/>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13</w:t>
            </w:r>
          </w:p>
        </w:tc>
        <w:tc>
          <w:tcPr>
            <w:tcW w:w="974" w:type="pct"/>
            <w:tcBorders>
              <w:tl2br w:val="nil"/>
              <w:tr2bl w:val="nil"/>
            </w:tcBorders>
            <w:vAlign w:val="center"/>
          </w:tcPr>
          <w:p w14:paraId="51C96F5A">
            <w:pPr>
              <w:pStyle w:val="41"/>
              <w:rPr>
                <w:rFonts w:ascii="Times New Roman" w:hAnsi="Times New Roman"/>
                <w:color w:val="auto"/>
                <w:highlight w:val="none"/>
              </w:rPr>
            </w:pPr>
            <w:r>
              <w:rPr>
                <w:rFonts w:hint="eastAsia" w:ascii="Times New Roman" w:hAnsi="Times New Roman"/>
                <w:color w:val="auto"/>
                <w:highlight w:val="none"/>
                <w:lang w:val="en-US" w:eastAsia="zh-CN"/>
              </w:rPr>
              <w:t xml:space="preserve">13.0002 </w:t>
            </w:r>
          </w:p>
        </w:tc>
        <w:tc>
          <w:tcPr>
            <w:tcW w:w="1079" w:type="pct"/>
            <w:tcBorders>
              <w:tl2br w:val="nil"/>
              <w:tr2bl w:val="nil"/>
            </w:tcBorders>
            <w:vAlign w:val="center"/>
          </w:tcPr>
          <w:p w14:paraId="37C1BF1D">
            <w:pPr>
              <w:pStyle w:val="41"/>
              <w:rPr>
                <w:rFonts w:ascii="Times New Roman" w:hAnsi="Times New Roman"/>
                <w:color w:val="auto"/>
                <w:highlight w:val="none"/>
              </w:rPr>
            </w:pPr>
            <w:r>
              <w:rPr>
                <w:rFonts w:hint="eastAsia" w:ascii="Times New Roman" w:hAnsi="Times New Roman"/>
                <w:color w:val="auto"/>
                <w:highlight w:val="none"/>
                <w:lang w:val="en-US" w:eastAsia="zh-CN"/>
              </w:rPr>
              <w:t>190</w:t>
            </w:r>
          </w:p>
        </w:tc>
        <w:tc>
          <w:tcPr>
            <w:tcW w:w="487" w:type="pct"/>
            <w:tcBorders>
              <w:tl2br w:val="nil"/>
              <w:tr2bl w:val="nil"/>
            </w:tcBorders>
            <w:vAlign w:val="center"/>
          </w:tcPr>
          <w:p w14:paraId="1ECD9933">
            <w:pPr>
              <w:pStyle w:val="41"/>
              <w:rPr>
                <w:rFonts w:ascii="Times New Roman" w:hAnsi="Times New Roman"/>
                <w:color w:val="auto"/>
                <w:highlight w:val="none"/>
              </w:rPr>
            </w:pPr>
            <w:r>
              <w:rPr>
                <w:rFonts w:ascii="Times New Roman" w:hAnsi="Times New Roman"/>
                <w:color w:val="auto"/>
                <w:highlight w:val="none"/>
              </w:rPr>
              <w:t>达标</w:t>
            </w:r>
          </w:p>
        </w:tc>
      </w:tr>
      <w:tr w14:paraId="2C407D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3" w:type="pct"/>
            <w:tcBorders>
              <w:tl2br w:val="nil"/>
              <w:tr2bl w:val="nil"/>
            </w:tcBorders>
            <w:vAlign w:val="center"/>
          </w:tcPr>
          <w:p w14:paraId="172DCDAD">
            <w:pPr>
              <w:pStyle w:val="41"/>
              <w:rPr>
                <w:color w:val="auto"/>
                <w:highlight w:val="none"/>
              </w:rPr>
            </w:pPr>
            <w:r>
              <w:rPr>
                <w:color w:val="auto"/>
                <w:highlight w:val="none"/>
              </w:rPr>
              <w:t>5年</w:t>
            </w:r>
          </w:p>
        </w:tc>
        <w:tc>
          <w:tcPr>
            <w:tcW w:w="992" w:type="pct"/>
            <w:tcBorders>
              <w:tl2br w:val="nil"/>
              <w:tr2bl w:val="nil"/>
            </w:tcBorders>
            <w:vAlign w:val="center"/>
          </w:tcPr>
          <w:p w14:paraId="533820D1">
            <w:pPr>
              <w:pStyle w:val="41"/>
              <w:rPr>
                <w:rFonts w:ascii="Times New Roman" w:hAnsi="Times New Roman"/>
                <w:color w:val="auto"/>
                <w:highlight w:val="none"/>
              </w:rPr>
            </w:pPr>
            <w:r>
              <w:rPr>
                <w:rFonts w:hint="eastAsia" w:ascii="Times New Roman" w:hAnsi="Times New Roman"/>
                <w:color w:val="auto"/>
                <w:highlight w:val="none"/>
                <w:lang w:val="en-US" w:eastAsia="zh-CN"/>
              </w:rPr>
              <w:t xml:space="preserve">0.001006 </w:t>
            </w:r>
          </w:p>
        </w:tc>
        <w:tc>
          <w:tcPr>
            <w:tcW w:w="923" w:type="pct"/>
            <w:tcBorders>
              <w:tl2br w:val="nil"/>
              <w:tr2bl w:val="nil"/>
            </w:tcBorders>
            <w:vAlign w:val="center"/>
          </w:tcPr>
          <w:p w14:paraId="2B4FC9E5">
            <w:pPr>
              <w:pStyle w:val="41"/>
              <w:rPr>
                <w:rFonts w:ascii="Times New Roman" w:hAnsi="Times New Roman"/>
                <w:color w:val="auto"/>
                <w:highlight w:val="none"/>
              </w:rPr>
            </w:pPr>
            <w:r>
              <w:rPr>
                <w:rFonts w:hint="eastAsia" w:ascii="Times New Roman" w:hAnsi="Times New Roman"/>
                <w:color w:val="auto"/>
                <w:highlight w:val="none"/>
                <w:lang w:val="en-US" w:eastAsia="zh-CN"/>
              </w:rPr>
              <w:t>13</w:t>
            </w:r>
          </w:p>
        </w:tc>
        <w:tc>
          <w:tcPr>
            <w:tcW w:w="974" w:type="pct"/>
            <w:tcBorders>
              <w:tl2br w:val="nil"/>
              <w:tr2bl w:val="nil"/>
            </w:tcBorders>
            <w:vAlign w:val="center"/>
          </w:tcPr>
          <w:p w14:paraId="2F01131C">
            <w:pPr>
              <w:pStyle w:val="41"/>
              <w:rPr>
                <w:rFonts w:ascii="Times New Roman" w:hAnsi="Times New Roman"/>
                <w:color w:val="auto"/>
                <w:highlight w:val="none"/>
              </w:rPr>
            </w:pPr>
            <w:r>
              <w:rPr>
                <w:rFonts w:hint="eastAsia" w:ascii="Times New Roman" w:hAnsi="Times New Roman"/>
                <w:color w:val="auto"/>
                <w:highlight w:val="none"/>
                <w:lang w:val="en-US" w:eastAsia="zh-CN"/>
              </w:rPr>
              <w:t xml:space="preserve">13.0010 </w:t>
            </w:r>
          </w:p>
        </w:tc>
        <w:tc>
          <w:tcPr>
            <w:tcW w:w="1079" w:type="pct"/>
            <w:tcBorders>
              <w:tl2br w:val="nil"/>
              <w:tr2bl w:val="nil"/>
            </w:tcBorders>
            <w:vAlign w:val="center"/>
          </w:tcPr>
          <w:p w14:paraId="5746E67F">
            <w:pPr>
              <w:pStyle w:val="41"/>
              <w:rPr>
                <w:rFonts w:ascii="Times New Roman" w:hAnsi="Times New Roman"/>
                <w:color w:val="auto"/>
                <w:highlight w:val="none"/>
              </w:rPr>
            </w:pPr>
            <w:r>
              <w:rPr>
                <w:rFonts w:hint="eastAsia" w:ascii="Times New Roman" w:hAnsi="Times New Roman"/>
                <w:color w:val="auto"/>
                <w:highlight w:val="none"/>
                <w:lang w:val="en-US" w:eastAsia="zh-CN"/>
              </w:rPr>
              <w:t>190</w:t>
            </w:r>
          </w:p>
        </w:tc>
        <w:tc>
          <w:tcPr>
            <w:tcW w:w="487" w:type="pct"/>
            <w:tcBorders>
              <w:tl2br w:val="nil"/>
              <w:tr2bl w:val="nil"/>
            </w:tcBorders>
            <w:vAlign w:val="center"/>
          </w:tcPr>
          <w:p w14:paraId="5605815C">
            <w:pPr>
              <w:pStyle w:val="41"/>
              <w:rPr>
                <w:rFonts w:ascii="Times New Roman" w:hAnsi="Times New Roman"/>
                <w:color w:val="auto"/>
                <w:highlight w:val="none"/>
              </w:rPr>
            </w:pPr>
            <w:r>
              <w:rPr>
                <w:rFonts w:ascii="Times New Roman" w:hAnsi="Times New Roman"/>
                <w:color w:val="auto"/>
                <w:highlight w:val="none"/>
              </w:rPr>
              <w:t>达标</w:t>
            </w:r>
          </w:p>
        </w:tc>
      </w:tr>
      <w:tr w14:paraId="429835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3" w:type="pct"/>
            <w:tcBorders>
              <w:tl2br w:val="nil"/>
              <w:tr2bl w:val="nil"/>
            </w:tcBorders>
            <w:vAlign w:val="center"/>
          </w:tcPr>
          <w:p w14:paraId="411B00CC">
            <w:pPr>
              <w:pStyle w:val="41"/>
              <w:rPr>
                <w:color w:val="auto"/>
                <w:highlight w:val="none"/>
              </w:rPr>
            </w:pPr>
            <w:r>
              <w:rPr>
                <w:color w:val="auto"/>
                <w:highlight w:val="none"/>
              </w:rPr>
              <w:t>10年</w:t>
            </w:r>
          </w:p>
        </w:tc>
        <w:tc>
          <w:tcPr>
            <w:tcW w:w="992" w:type="pct"/>
            <w:tcBorders>
              <w:tl2br w:val="nil"/>
              <w:tr2bl w:val="nil"/>
            </w:tcBorders>
            <w:vAlign w:val="center"/>
          </w:tcPr>
          <w:p w14:paraId="43FA6A86">
            <w:pPr>
              <w:pStyle w:val="41"/>
              <w:rPr>
                <w:rFonts w:ascii="Times New Roman" w:hAnsi="Times New Roman"/>
                <w:color w:val="auto"/>
                <w:highlight w:val="none"/>
              </w:rPr>
            </w:pPr>
            <w:r>
              <w:rPr>
                <w:rFonts w:hint="eastAsia" w:ascii="Times New Roman" w:hAnsi="Times New Roman"/>
                <w:color w:val="auto"/>
                <w:highlight w:val="none"/>
                <w:lang w:val="en-US" w:eastAsia="zh-CN"/>
              </w:rPr>
              <w:t xml:space="preserve">0.002012 </w:t>
            </w:r>
          </w:p>
        </w:tc>
        <w:tc>
          <w:tcPr>
            <w:tcW w:w="923" w:type="pct"/>
            <w:tcBorders>
              <w:tl2br w:val="nil"/>
              <w:tr2bl w:val="nil"/>
            </w:tcBorders>
            <w:vAlign w:val="center"/>
          </w:tcPr>
          <w:p w14:paraId="78D57D67">
            <w:pPr>
              <w:pStyle w:val="41"/>
              <w:rPr>
                <w:rFonts w:ascii="Times New Roman" w:hAnsi="Times New Roman"/>
                <w:color w:val="auto"/>
                <w:highlight w:val="none"/>
              </w:rPr>
            </w:pPr>
            <w:r>
              <w:rPr>
                <w:rFonts w:hint="eastAsia" w:ascii="Times New Roman" w:hAnsi="Times New Roman"/>
                <w:color w:val="auto"/>
                <w:highlight w:val="none"/>
                <w:lang w:val="en-US" w:eastAsia="zh-CN"/>
              </w:rPr>
              <w:t>13</w:t>
            </w:r>
          </w:p>
        </w:tc>
        <w:tc>
          <w:tcPr>
            <w:tcW w:w="974" w:type="pct"/>
            <w:tcBorders>
              <w:tl2br w:val="nil"/>
              <w:tr2bl w:val="nil"/>
            </w:tcBorders>
            <w:vAlign w:val="center"/>
          </w:tcPr>
          <w:p w14:paraId="3138D9BF">
            <w:pPr>
              <w:pStyle w:val="41"/>
              <w:rPr>
                <w:rFonts w:ascii="Times New Roman" w:hAnsi="Times New Roman"/>
                <w:color w:val="auto"/>
                <w:highlight w:val="none"/>
              </w:rPr>
            </w:pPr>
            <w:r>
              <w:rPr>
                <w:rFonts w:hint="eastAsia" w:ascii="Times New Roman" w:hAnsi="Times New Roman"/>
                <w:color w:val="auto"/>
                <w:highlight w:val="none"/>
                <w:lang w:val="en-US" w:eastAsia="zh-CN"/>
              </w:rPr>
              <w:t xml:space="preserve">13.0020 </w:t>
            </w:r>
          </w:p>
        </w:tc>
        <w:tc>
          <w:tcPr>
            <w:tcW w:w="1079" w:type="pct"/>
            <w:tcBorders>
              <w:tl2br w:val="nil"/>
              <w:tr2bl w:val="nil"/>
            </w:tcBorders>
            <w:vAlign w:val="center"/>
          </w:tcPr>
          <w:p w14:paraId="6D063BA4">
            <w:pPr>
              <w:pStyle w:val="41"/>
              <w:rPr>
                <w:rFonts w:ascii="Times New Roman" w:hAnsi="Times New Roman"/>
                <w:color w:val="auto"/>
                <w:highlight w:val="none"/>
              </w:rPr>
            </w:pPr>
            <w:r>
              <w:rPr>
                <w:rFonts w:hint="eastAsia" w:ascii="Times New Roman" w:hAnsi="Times New Roman"/>
                <w:color w:val="auto"/>
                <w:highlight w:val="none"/>
                <w:lang w:val="en-US" w:eastAsia="zh-CN"/>
              </w:rPr>
              <w:t>190</w:t>
            </w:r>
          </w:p>
        </w:tc>
        <w:tc>
          <w:tcPr>
            <w:tcW w:w="487" w:type="pct"/>
            <w:tcBorders>
              <w:tl2br w:val="nil"/>
              <w:tr2bl w:val="nil"/>
            </w:tcBorders>
            <w:vAlign w:val="center"/>
          </w:tcPr>
          <w:p w14:paraId="232AF8D1">
            <w:pPr>
              <w:pStyle w:val="41"/>
              <w:rPr>
                <w:rFonts w:ascii="Times New Roman" w:hAnsi="Times New Roman"/>
                <w:color w:val="auto"/>
                <w:highlight w:val="none"/>
              </w:rPr>
            </w:pPr>
            <w:r>
              <w:rPr>
                <w:rFonts w:ascii="Times New Roman" w:hAnsi="Times New Roman"/>
                <w:color w:val="auto"/>
                <w:highlight w:val="none"/>
              </w:rPr>
              <w:t>达标</w:t>
            </w:r>
          </w:p>
        </w:tc>
      </w:tr>
      <w:tr w14:paraId="73D43B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3" w:type="pct"/>
            <w:tcBorders>
              <w:tl2br w:val="nil"/>
              <w:tr2bl w:val="nil"/>
            </w:tcBorders>
            <w:vAlign w:val="center"/>
          </w:tcPr>
          <w:p w14:paraId="64502030">
            <w:pPr>
              <w:pStyle w:val="41"/>
              <w:rPr>
                <w:color w:val="auto"/>
                <w:highlight w:val="none"/>
              </w:rPr>
            </w:pPr>
            <w:r>
              <w:rPr>
                <w:color w:val="auto"/>
                <w:highlight w:val="none"/>
              </w:rPr>
              <w:t>20年</w:t>
            </w:r>
          </w:p>
        </w:tc>
        <w:tc>
          <w:tcPr>
            <w:tcW w:w="992" w:type="pct"/>
            <w:tcBorders>
              <w:tl2br w:val="nil"/>
              <w:tr2bl w:val="nil"/>
            </w:tcBorders>
            <w:vAlign w:val="center"/>
          </w:tcPr>
          <w:p w14:paraId="70EFB251">
            <w:pPr>
              <w:pStyle w:val="41"/>
              <w:rPr>
                <w:rFonts w:ascii="Times New Roman" w:hAnsi="Times New Roman"/>
                <w:color w:val="auto"/>
                <w:highlight w:val="none"/>
              </w:rPr>
            </w:pPr>
            <w:r>
              <w:rPr>
                <w:rFonts w:hint="eastAsia" w:ascii="Times New Roman" w:hAnsi="Times New Roman"/>
                <w:color w:val="auto"/>
                <w:highlight w:val="none"/>
                <w:lang w:val="en-US" w:eastAsia="zh-CN"/>
              </w:rPr>
              <w:t xml:space="preserve">0.004024 </w:t>
            </w:r>
          </w:p>
        </w:tc>
        <w:tc>
          <w:tcPr>
            <w:tcW w:w="923" w:type="pct"/>
            <w:tcBorders>
              <w:tl2br w:val="nil"/>
              <w:tr2bl w:val="nil"/>
            </w:tcBorders>
            <w:vAlign w:val="center"/>
          </w:tcPr>
          <w:p w14:paraId="3698C84F">
            <w:pPr>
              <w:pStyle w:val="41"/>
              <w:rPr>
                <w:rFonts w:ascii="Times New Roman" w:hAnsi="Times New Roman"/>
                <w:color w:val="auto"/>
                <w:highlight w:val="none"/>
              </w:rPr>
            </w:pPr>
            <w:r>
              <w:rPr>
                <w:rFonts w:hint="eastAsia" w:ascii="Times New Roman" w:hAnsi="Times New Roman"/>
                <w:color w:val="auto"/>
                <w:highlight w:val="none"/>
                <w:lang w:val="en-US" w:eastAsia="zh-CN"/>
              </w:rPr>
              <w:t>13</w:t>
            </w:r>
          </w:p>
        </w:tc>
        <w:tc>
          <w:tcPr>
            <w:tcW w:w="974" w:type="pct"/>
            <w:tcBorders>
              <w:tl2br w:val="nil"/>
              <w:tr2bl w:val="nil"/>
            </w:tcBorders>
            <w:vAlign w:val="center"/>
          </w:tcPr>
          <w:p w14:paraId="1E495458">
            <w:pPr>
              <w:pStyle w:val="41"/>
              <w:rPr>
                <w:rFonts w:ascii="Times New Roman" w:hAnsi="Times New Roman"/>
                <w:color w:val="auto"/>
                <w:highlight w:val="none"/>
              </w:rPr>
            </w:pPr>
            <w:r>
              <w:rPr>
                <w:rFonts w:hint="eastAsia" w:ascii="Times New Roman" w:hAnsi="Times New Roman"/>
                <w:color w:val="auto"/>
                <w:highlight w:val="none"/>
                <w:lang w:val="en-US" w:eastAsia="zh-CN"/>
              </w:rPr>
              <w:t xml:space="preserve">13.0040 </w:t>
            </w:r>
          </w:p>
        </w:tc>
        <w:tc>
          <w:tcPr>
            <w:tcW w:w="1079" w:type="pct"/>
            <w:tcBorders>
              <w:tl2br w:val="nil"/>
              <w:tr2bl w:val="nil"/>
            </w:tcBorders>
            <w:vAlign w:val="center"/>
          </w:tcPr>
          <w:p w14:paraId="7E357F0B">
            <w:pPr>
              <w:pStyle w:val="41"/>
              <w:rPr>
                <w:rFonts w:ascii="Times New Roman" w:hAnsi="Times New Roman"/>
                <w:color w:val="auto"/>
                <w:highlight w:val="none"/>
              </w:rPr>
            </w:pPr>
            <w:r>
              <w:rPr>
                <w:rFonts w:hint="eastAsia" w:ascii="Times New Roman" w:hAnsi="Times New Roman"/>
                <w:color w:val="auto"/>
                <w:highlight w:val="none"/>
                <w:lang w:val="en-US" w:eastAsia="zh-CN"/>
              </w:rPr>
              <w:t>190</w:t>
            </w:r>
          </w:p>
        </w:tc>
        <w:tc>
          <w:tcPr>
            <w:tcW w:w="487" w:type="pct"/>
            <w:tcBorders>
              <w:tl2br w:val="nil"/>
              <w:tr2bl w:val="nil"/>
            </w:tcBorders>
            <w:vAlign w:val="center"/>
          </w:tcPr>
          <w:p w14:paraId="6557C959">
            <w:pPr>
              <w:pStyle w:val="41"/>
              <w:rPr>
                <w:rFonts w:ascii="Times New Roman" w:hAnsi="Times New Roman"/>
                <w:color w:val="auto"/>
                <w:highlight w:val="none"/>
              </w:rPr>
            </w:pPr>
            <w:r>
              <w:rPr>
                <w:rFonts w:ascii="Times New Roman" w:hAnsi="Times New Roman"/>
                <w:color w:val="auto"/>
                <w:highlight w:val="none"/>
              </w:rPr>
              <w:t>达标</w:t>
            </w:r>
          </w:p>
        </w:tc>
      </w:tr>
      <w:tr w14:paraId="5787CE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3" w:type="pct"/>
            <w:tcBorders>
              <w:tl2br w:val="nil"/>
              <w:tr2bl w:val="nil"/>
            </w:tcBorders>
            <w:vAlign w:val="center"/>
          </w:tcPr>
          <w:p w14:paraId="2FE8E092">
            <w:pPr>
              <w:pStyle w:val="41"/>
              <w:rPr>
                <w:color w:val="auto"/>
                <w:highlight w:val="none"/>
              </w:rPr>
            </w:pPr>
            <w:r>
              <w:rPr>
                <w:color w:val="auto"/>
                <w:highlight w:val="none"/>
              </w:rPr>
              <w:t>30年</w:t>
            </w:r>
          </w:p>
        </w:tc>
        <w:tc>
          <w:tcPr>
            <w:tcW w:w="992" w:type="pct"/>
            <w:tcBorders>
              <w:tl2br w:val="nil"/>
              <w:tr2bl w:val="nil"/>
            </w:tcBorders>
            <w:vAlign w:val="center"/>
          </w:tcPr>
          <w:p w14:paraId="13FC0BE5">
            <w:pPr>
              <w:pStyle w:val="41"/>
              <w:rPr>
                <w:rFonts w:ascii="Times New Roman" w:hAnsi="Times New Roman"/>
                <w:color w:val="auto"/>
                <w:highlight w:val="none"/>
              </w:rPr>
            </w:pPr>
            <w:r>
              <w:rPr>
                <w:rFonts w:hint="eastAsia" w:ascii="Times New Roman" w:hAnsi="Times New Roman"/>
                <w:color w:val="auto"/>
                <w:highlight w:val="none"/>
                <w:lang w:val="en-US" w:eastAsia="zh-CN"/>
              </w:rPr>
              <w:t xml:space="preserve">0.006036 </w:t>
            </w:r>
          </w:p>
        </w:tc>
        <w:tc>
          <w:tcPr>
            <w:tcW w:w="923" w:type="pct"/>
            <w:tcBorders>
              <w:tl2br w:val="nil"/>
              <w:tr2bl w:val="nil"/>
            </w:tcBorders>
            <w:vAlign w:val="center"/>
          </w:tcPr>
          <w:p w14:paraId="47611546">
            <w:pPr>
              <w:pStyle w:val="41"/>
              <w:rPr>
                <w:rFonts w:ascii="Times New Roman" w:hAnsi="Times New Roman"/>
                <w:color w:val="auto"/>
                <w:highlight w:val="none"/>
              </w:rPr>
            </w:pPr>
            <w:r>
              <w:rPr>
                <w:rFonts w:hint="eastAsia" w:ascii="Times New Roman" w:hAnsi="Times New Roman"/>
                <w:color w:val="auto"/>
                <w:highlight w:val="none"/>
                <w:lang w:val="en-US" w:eastAsia="zh-CN"/>
              </w:rPr>
              <w:t>13</w:t>
            </w:r>
          </w:p>
        </w:tc>
        <w:tc>
          <w:tcPr>
            <w:tcW w:w="974" w:type="pct"/>
            <w:tcBorders>
              <w:tl2br w:val="nil"/>
              <w:tr2bl w:val="nil"/>
            </w:tcBorders>
            <w:vAlign w:val="center"/>
          </w:tcPr>
          <w:p w14:paraId="727A0A66">
            <w:pPr>
              <w:pStyle w:val="41"/>
              <w:rPr>
                <w:rFonts w:ascii="Times New Roman" w:hAnsi="Times New Roman"/>
                <w:color w:val="auto"/>
                <w:highlight w:val="none"/>
              </w:rPr>
            </w:pPr>
            <w:r>
              <w:rPr>
                <w:rFonts w:hint="eastAsia" w:ascii="Times New Roman" w:hAnsi="Times New Roman"/>
                <w:color w:val="auto"/>
                <w:highlight w:val="none"/>
                <w:lang w:val="en-US" w:eastAsia="zh-CN"/>
              </w:rPr>
              <w:t xml:space="preserve">13.0060 </w:t>
            </w:r>
          </w:p>
        </w:tc>
        <w:tc>
          <w:tcPr>
            <w:tcW w:w="1079" w:type="pct"/>
            <w:tcBorders>
              <w:tl2br w:val="nil"/>
              <w:tr2bl w:val="nil"/>
            </w:tcBorders>
            <w:vAlign w:val="center"/>
          </w:tcPr>
          <w:p w14:paraId="4EEDE171">
            <w:pPr>
              <w:pStyle w:val="41"/>
              <w:rPr>
                <w:rFonts w:ascii="Times New Roman" w:hAnsi="Times New Roman"/>
                <w:color w:val="auto"/>
                <w:highlight w:val="none"/>
              </w:rPr>
            </w:pPr>
            <w:r>
              <w:rPr>
                <w:rFonts w:hint="eastAsia" w:ascii="Times New Roman" w:hAnsi="Times New Roman"/>
                <w:color w:val="auto"/>
                <w:highlight w:val="none"/>
                <w:lang w:val="en-US" w:eastAsia="zh-CN"/>
              </w:rPr>
              <w:t>190</w:t>
            </w:r>
          </w:p>
        </w:tc>
        <w:tc>
          <w:tcPr>
            <w:tcW w:w="487" w:type="pct"/>
            <w:tcBorders>
              <w:tl2br w:val="nil"/>
              <w:tr2bl w:val="nil"/>
            </w:tcBorders>
            <w:vAlign w:val="center"/>
          </w:tcPr>
          <w:p w14:paraId="16EE8598">
            <w:pPr>
              <w:pStyle w:val="41"/>
              <w:rPr>
                <w:rFonts w:ascii="Times New Roman" w:hAnsi="Times New Roman"/>
                <w:color w:val="auto"/>
                <w:highlight w:val="none"/>
              </w:rPr>
            </w:pPr>
            <w:r>
              <w:rPr>
                <w:rFonts w:ascii="Times New Roman" w:hAnsi="Times New Roman"/>
                <w:color w:val="auto"/>
                <w:highlight w:val="none"/>
              </w:rPr>
              <w:t>达标</w:t>
            </w:r>
          </w:p>
        </w:tc>
      </w:tr>
      <w:tr w14:paraId="1F2AB8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00" w:type="pct"/>
            <w:gridSpan w:val="6"/>
            <w:tcBorders>
              <w:tl2br w:val="nil"/>
              <w:tr2bl w:val="nil"/>
            </w:tcBorders>
            <w:vAlign w:val="center"/>
          </w:tcPr>
          <w:p w14:paraId="0FF75954">
            <w:pPr>
              <w:pStyle w:val="41"/>
              <w:rPr>
                <w:color w:val="auto"/>
                <w:highlight w:val="none"/>
              </w:rPr>
            </w:pPr>
            <w:r>
              <w:rPr>
                <w:color w:val="auto"/>
                <w:highlight w:val="none"/>
              </w:rPr>
              <w:t>铅</w:t>
            </w:r>
          </w:p>
        </w:tc>
      </w:tr>
      <w:tr w14:paraId="189794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5" w:hRule="atLeast"/>
          <w:tblHeader/>
          <w:jc w:val="center"/>
        </w:trPr>
        <w:tc>
          <w:tcPr>
            <w:tcW w:w="543" w:type="pct"/>
            <w:tcBorders>
              <w:tl2br w:val="nil"/>
              <w:tr2bl w:val="nil"/>
            </w:tcBorders>
            <w:vAlign w:val="center"/>
          </w:tcPr>
          <w:p w14:paraId="44EAFC5D">
            <w:pPr>
              <w:pStyle w:val="41"/>
              <w:rPr>
                <w:color w:val="auto"/>
                <w:highlight w:val="none"/>
              </w:rPr>
            </w:pPr>
            <w:r>
              <w:rPr>
                <w:color w:val="auto"/>
                <w:highlight w:val="none"/>
              </w:rPr>
              <w:t>累积时间</w:t>
            </w:r>
          </w:p>
        </w:tc>
        <w:tc>
          <w:tcPr>
            <w:tcW w:w="992" w:type="pct"/>
            <w:tcBorders>
              <w:tl2br w:val="nil"/>
              <w:tr2bl w:val="nil"/>
            </w:tcBorders>
            <w:vAlign w:val="center"/>
          </w:tcPr>
          <w:p w14:paraId="05E04D76">
            <w:pPr>
              <w:pStyle w:val="41"/>
              <w:rPr>
                <w:color w:val="auto"/>
                <w:highlight w:val="none"/>
              </w:rPr>
            </w:pPr>
            <w:r>
              <w:rPr>
                <w:color w:val="auto"/>
                <w:highlight w:val="none"/>
              </w:rPr>
              <w:t>铅∆S（g/kg）</w:t>
            </w:r>
          </w:p>
        </w:tc>
        <w:tc>
          <w:tcPr>
            <w:tcW w:w="923" w:type="pct"/>
            <w:tcBorders>
              <w:tl2br w:val="nil"/>
              <w:tr2bl w:val="nil"/>
            </w:tcBorders>
            <w:vAlign w:val="center"/>
          </w:tcPr>
          <w:p w14:paraId="09085AE6">
            <w:pPr>
              <w:pStyle w:val="41"/>
              <w:rPr>
                <w:color w:val="auto"/>
                <w:highlight w:val="none"/>
              </w:rPr>
            </w:pPr>
            <w:r>
              <w:rPr>
                <w:color w:val="auto"/>
                <w:highlight w:val="none"/>
              </w:rPr>
              <w:t>现状值*</w:t>
            </w:r>
          </w:p>
          <w:p w14:paraId="2093D16B">
            <w:pPr>
              <w:pStyle w:val="41"/>
              <w:rPr>
                <w:color w:val="auto"/>
                <w:highlight w:val="none"/>
              </w:rPr>
            </w:pPr>
            <w:r>
              <w:rPr>
                <w:rFonts w:hint="eastAsia"/>
                <w:color w:val="auto"/>
                <w:highlight w:val="none"/>
                <w:lang w:eastAsia="zh-CN"/>
              </w:rPr>
              <w:t>(</w:t>
            </w:r>
            <w:r>
              <w:rPr>
                <w:color w:val="auto"/>
                <w:highlight w:val="none"/>
              </w:rPr>
              <w:t>mg/kg</w:t>
            </w:r>
            <w:r>
              <w:rPr>
                <w:rFonts w:hint="eastAsia"/>
                <w:color w:val="auto"/>
                <w:highlight w:val="none"/>
                <w:lang w:eastAsia="zh-CN"/>
              </w:rPr>
              <w:t>)</w:t>
            </w:r>
          </w:p>
        </w:tc>
        <w:tc>
          <w:tcPr>
            <w:tcW w:w="974" w:type="pct"/>
            <w:tcBorders>
              <w:tl2br w:val="nil"/>
              <w:tr2bl w:val="nil"/>
            </w:tcBorders>
            <w:vAlign w:val="center"/>
          </w:tcPr>
          <w:p w14:paraId="61D5C19F">
            <w:pPr>
              <w:pStyle w:val="41"/>
              <w:rPr>
                <w:color w:val="auto"/>
                <w:highlight w:val="none"/>
              </w:rPr>
            </w:pPr>
            <w:r>
              <w:rPr>
                <w:color w:val="auto"/>
                <w:highlight w:val="none"/>
              </w:rPr>
              <w:t>叠加现状监测值（mg/kg）</w:t>
            </w:r>
          </w:p>
        </w:tc>
        <w:tc>
          <w:tcPr>
            <w:tcW w:w="1079" w:type="pct"/>
            <w:tcBorders>
              <w:tl2br w:val="nil"/>
              <w:tr2bl w:val="nil"/>
            </w:tcBorders>
            <w:vAlign w:val="center"/>
          </w:tcPr>
          <w:p w14:paraId="6071E31A">
            <w:pPr>
              <w:pStyle w:val="41"/>
              <w:rPr>
                <w:color w:val="auto"/>
                <w:highlight w:val="none"/>
              </w:rPr>
            </w:pPr>
            <w:r>
              <w:rPr>
                <w:color w:val="auto"/>
                <w:highlight w:val="none"/>
              </w:rPr>
              <w:t>第二类用地筛选值（mg/kg）</w:t>
            </w:r>
          </w:p>
        </w:tc>
        <w:tc>
          <w:tcPr>
            <w:tcW w:w="487" w:type="pct"/>
            <w:tcBorders>
              <w:tl2br w:val="nil"/>
              <w:tr2bl w:val="nil"/>
            </w:tcBorders>
            <w:vAlign w:val="center"/>
          </w:tcPr>
          <w:p w14:paraId="0C223D55">
            <w:pPr>
              <w:pStyle w:val="41"/>
              <w:rPr>
                <w:color w:val="auto"/>
                <w:highlight w:val="none"/>
              </w:rPr>
            </w:pPr>
            <w:r>
              <w:rPr>
                <w:color w:val="auto"/>
                <w:highlight w:val="none"/>
              </w:rPr>
              <w:t>达标情况</w:t>
            </w:r>
          </w:p>
        </w:tc>
      </w:tr>
      <w:tr w14:paraId="1791AD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3" w:type="pct"/>
            <w:tcBorders>
              <w:tl2br w:val="nil"/>
              <w:tr2bl w:val="nil"/>
            </w:tcBorders>
            <w:vAlign w:val="center"/>
          </w:tcPr>
          <w:p w14:paraId="0A16F2EB">
            <w:pPr>
              <w:pStyle w:val="41"/>
              <w:rPr>
                <w:color w:val="auto"/>
                <w:highlight w:val="none"/>
              </w:rPr>
            </w:pPr>
            <w:r>
              <w:rPr>
                <w:color w:val="auto"/>
                <w:highlight w:val="none"/>
              </w:rPr>
              <w:t>1年</w:t>
            </w:r>
          </w:p>
        </w:tc>
        <w:tc>
          <w:tcPr>
            <w:tcW w:w="992" w:type="pct"/>
            <w:tcBorders>
              <w:tl2br w:val="nil"/>
              <w:tr2bl w:val="nil"/>
            </w:tcBorders>
            <w:vAlign w:val="center"/>
          </w:tcPr>
          <w:p w14:paraId="2D71C616">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 xml:space="preserve">0.000067 </w:t>
            </w:r>
          </w:p>
        </w:tc>
        <w:tc>
          <w:tcPr>
            <w:tcW w:w="923" w:type="pct"/>
            <w:tcBorders>
              <w:tl2br w:val="nil"/>
              <w:tr2bl w:val="nil"/>
            </w:tcBorders>
            <w:vAlign w:val="center"/>
          </w:tcPr>
          <w:p w14:paraId="00C913FC">
            <w:pPr>
              <w:pStyle w:val="41"/>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16</w:t>
            </w:r>
          </w:p>
        </w:tc>
        <w:tc>
          <w:tcPr>
            <w:tcW w:w="974" w:type="pct"/>
            <w:tcBorders>
              <w:tl2br w:val="nil"/>
              <w:tr2bl w:val="nil"/>
            </w:tcBorders>
            <w:vAlign w:val="center"/>
          </w:tcPr>
          <w:p w14:paraId="3D1063CB">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 xml:space="preserve">16.0001 </w:t>
            </w:r>
          </w:p>
        </w:tc>
        <w:tc>
          <w:tcPr>
            <w:tcW w:w="1079" w:type="pct"/>
            <w:tcBorders>
              <w:tl2br w:val="nil"/>
              <w:tr2bl w:val="nil"/>
            </w:tcBorders>
            <w:vAlign w:val="center"/>
          </w:tcPr>
          <w:p w14:paraId="38D133E5">
            <w:pPr>
              <w:pStyle w:val="41"/>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170</w:t>
            </w:r>
          </w:p>
        </w:tc>
        <w:tc>
          <w:tcPr>
            <w:tcW w:w="487" w:type="pct"/>
            <w:tcBorders>
              <w:tl2br w:val="nil"/>
              <w:tr2bl w:val="nil"/>
            </w:tcBorders>
            <w:vAlign w:val="center"/>
          </w:tcPr>
          <w:p w14:paraId="4CC0B2A1">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达标</w:t>
            </w:r>
          </w:p>
        </w:tc>
      </w:tr>
      <w:tr w14:paraId="6920A9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3" w:type="pct"/>
            <w:tcBorders>
              <w:tl2br w:val="nil"/>
              <w:tr2bl w:val="nil"/>
            </w:tcBorders>
            <w:vAlign w:val="center"/>
          </w:tcPr>
          <w:p w14:paraId="4ABB8C48">
            <w:pPr>
              <w:pStyle w:val="41"/>
              <w:rPr>
                <w:color w:val="auto"/>
                <w:highlight w:val="none"/>
              </w:rPr>
            </w:pPr>
            <w:r>
              <w:rPr>
                <w:color w:val="auto"/>
                <w:highlight w:val="none"/>
              </w:rPr>
              <w:t>5年</w:t>
            </w:r>
          </w:p>
        </w:tc>
        <w:tc>
          <w:tcPr>
            <w:tcW w:w="992" w:type="pct"/>
            <w:tcBorders>
              <w:tl2br w:val="nil"/>
              <w:tr2bl w:val="nil"/>
            </w:tcBorders>
            <w:vAlign w:val="center"/>
          </w:tcPr>
          <w:p w14:paraId="18017762">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 xml:space="preserve">0.000335 </w:t>
            </w:r>
          </w:p>
        </w:tc>
        <w:tc>
          <w:tcPr>
            <w:tcW w:w="923" w:type="pct"/>
            <w:tcBorders>
              <w:tl2br w:val="nil"/>
              <w:tr2bl w:val="nil"/>
            </w:tcBorders>
            <w:vAlign w:val="center"/>
          </w:tcPr>
          <w:p w14:paraId="0B4D9A2F">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16</w:t>
            </w:r>
          </w:p>
        </w:tc>
        <w:tc>
          <w:tcPr>
            <w:tcW w:w="974" w:type="pct"/>
            <w:tcBorders>
              <w:tl2br w:val="nil"/>
              <w:tr2bl w:val="nil"/>
            </w:tcBorders>
            <w:vAlign w:val="center"/>
          </w:tcPr>
          <w:p w14:paraId="3B20BDAA">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 xml:space="preserve">16.0003 </w:t>
            </w:r>
          </w:p>
        </w:tc>
        <w:tc>
          <w:tcPr>
            <w:tcW w:w="1079" w:type="pct"/>
            <w:tcBorders>
              <w:tl2br w:val="nil"/>
              <w:tr2bl w:val="nil"/>
            </w:tcBorders>
            <w:vAlign w:val="center"/>
          </w:tcPr>
          <w:p w14:paraId="7218EC42">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170</w:t>
            </w:r>
          </w:p>
        </w:tc>
        <w:tc>
          <w:tcPr>
            <w:tcW w:w="487" w:type="pct"/>
            <w:tcBorders>
              <w:tl2br w:val="nil"/>
              <w:tr2bl w:val="nil"/>
            </w:tcBorders>
            <w:vAlign w:val="center"/>
          </w:tcPr>
          <w:p w14:paraId="412CA772">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达标</w:t>
            </w:r>
          </w:p>
        </w:tc>
      </w:tr>
      <w:tr w14:paraId="0F7923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3" w:type="pct"/>
            <w:tcBorders>
              <w:tl2br w:val="nil"/>
              <w:tr2bl w:val="nil"/>
            </w:tcBorders>
            <w:vAlign w:val="center"/>
          </w:tcPr>
          <w:p w14:paraId="25206663">
            <w:pPr>
              <w:pStyle w:val="41"/>
              <w:rPr>
                <w:color w:val="auto"/>
                <w:highlight w:val="none"/>
              </w:rPr>
            </w:pPr>
            <w:r>
              <w:rPr>
                <w:color w:val="auto"/>
                <w:highlight w:val="none"/>
              </w:rPr>
              <w:t>10年</w:t>
            </w:r>
          </w:p>
        </w:tc>
        <w:tc>
          <w:tcPr>
            <w:tcW w:w="992" w:type="pct"/>
            <w:tcBorders>
              <w:tl2br w:val="nil"/>
              <w:tr2bl w:val="nil"/>
            </w:tcBorders>
            <w:vAlign w:val="center"/>
          </w:tcPr>
          <w:p w14:paraId="6704B02A">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 xml:space="preserve">0.000671 </w:t>
            </w:r>
          </w:p>
        </w:tc>
        <w:tc>
          <w:tcPr>
            <w:tcW w:w="923" w:type="pct"/>
            <w:tcBorders>
              <w:tl2br w:val="nil"/>
              <w:tr2bl w:val="nil"/>
            </w:tcBorders>
            <w:vAlign w:val="center"/>
          </w:tcPr>
          <w:p w14:paraId="39E7310C">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16</w:t>
            </w:r>
          </w:p>
        </w:tc>
        <w:tc>
          <w:tcPr>
            <w:tcW w:w="974" w:type="pct"/>
            <w:tcBorders>
              <w:tl2br w:val="nil"/>
              <w:tr2bl w:val="nil"/>
            </w:tcBorders>
            <w:vAlign w:val="center"/>
          </w:tcPr>
          <w:p w14:paraId="75516183">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 xml:space="preserve">16.0007 </w:t>
            </w:r>
          </w:p>
        </w:tc>
        <w:tc>
          <w:tcPr>
            <w:tcW w:w="1079" w:type="pct"/>
            <w:tcBorders>
              <w:tl2br w:val="nil"/>
              <w:tr2bl w:val="nil"/>
            </w:tcBorders>
            <w:vAlign w:val="center"/>
          </w:tcPr>
          <w:p w14:paraId="4E16DBB8">
            <w:pPr>
              <w:pStyle w:val="41"/>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170</w:t>
            </w:r>
          </w:p>
        </w:tc>
        <w:tc>
          <w:tcPr>
            <w:tcW w:w="487" w:type="pct"/>
            <w:tcBorders>
              <w:tl2br w:val="nil"/>
              <w:tr2bl w:val="nil"/>
            </w:tcBorders>
            <w:vAlign w:val="center"/>
          </w:tcPr>
          <w:p w14:paraId="5DF808DE">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达标</w:t>
            </w:r>
          </w:p>
        </w:tc>
      </w:tr>
      <w:tr w14:paraId="3410B1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3" w:type="pct"/>
            <w:tcBorders>
              <w:tl2br w:val="nil"/>
              <w:tr2bl w:val="nil"/>
            </w:tcBorders>
            <w:vAlign w:val="center"/>
          </w:tcPr>
          <w:p w14:paraId="35532909">
            <w:pPr>
              <w:pStyle w:val="41"/>
              <w:rPr>
                <w:color w:val="auto"/>
                <w:highlight w:val="none"/>
              </w:rPr>
            </w:pPr>
            <w:r>
              <w:rPr>
                <w:color w:val="auto"/>
                <w:highlight w:val="none"/>
              </w:rPr>
              <w:t>20年</w:t>
            </w:r>
          </w:p>
        </w:tc>
        <w:tc>
          <w:tcPr>
            <w:tcW w:w="992" w:type="pct"/>
            <w:tcBorders>
              <w:tl2br w:val="nil"/>
              <w:tr2bl w:val="nil"/>
            </w:tcBorders>
            <w:vAlign w:val="center"/>
          </w:tcPr>
          <w:p w14:paraId="525A01B4">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 xml:space="preserve">0.001341 </w:t>
            </w:r>
          </w:p>
        </w:tc>
        <w:tc>
          <w:tcPr>
            <w:tcW w:w="923" w:type="pct"/>
            <w:tcBorders>
              <w:tl2br w:val="nil"/>
              <w:tr2bl w:val="nil"/>
            </w:tcBorders>
            <w:vAlign w:val="center"/>
          </w:tcPr>
          <w:p w14:paraId="62004283">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16</w:t>
            </w:r>
          </w:p>
        </w:tc>
        <w:tc>
          <w:tcPr>
            <w:tcW w:w="974" w:type="pct"/>
            <w:tcBorders>
              <w:tl2br w:val="nil"/>
              <w:tr2bl w:val="nil"/>
            </w:tcBorders>
            <w:vAlign w:val="center"/>
          </w:tcPr>
          <w:p w14:paraId="3F04798D">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 xml:space="preserve">16.0013 </w:t>
            </w:r>
          </w:p>
        </w:tc>
        <w:tc>
          <w:tcPr>
            <w:tcW w:w="1079" w:type="pct"/>
            <w:tcBorders>
              <w:tl2br w:val="nil"/>
              <w:tr2bl w:val="nil"/>
            </w:tcBorders>
            <w:vAlign w:val="center"/>
          </w:tcPr>
          <w:p w14:paraId="29B7E786">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170</w:t>
            </w:r>
          </w:p>
        </w:tc>
        <w:tc>
          <w:tcPr>
            <w:tcW w:w="487" w:type="pct"/>
            <w:tcBorders>
              <w:tl2br w:val="nil"/>
              <w:tr2bl w:val="nil"/>
            </w:tcBorders>
            <w:vAlign w:val="center"/>
          </w:tcPr>
          <w:p w14:paraId="0F39B63B">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达标</w:t>
            </w:r>
          </w:p>
        </w:tc>
      </w:tr>
      <w:tr w14:paraId="3EE7D5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3" w:type="pct"/>
            <w:tcBorders>
              <w:tl2br w:val="nil"/>
              <w:tr2bl w:val="nil"/>
            </w:tcBorders>
            <w:vAlign w:val="center"/>
          </w:tcPr>
          <w:p w14:paraId="7F85B4CB">
            <w:pPr>
              <w:pStyle w:val="41"/>
              <w:rPr>
                <w:color w:val="auto"/>
                <w:highlight w:val="none"/>
              </w:rPr>
            </w:pPr>
            <w:r>
              <w:rPr>
                <w:color w:val="auto"/>
                <w:highlight w:val="none"/>
              </w:rPr>
              <w:t>30年</w:t>
            </w:r>
          </w:p>
        </w:tc>
        <w:tc>
          <w:tcPr>
            <w:tcW w:w="992" w:type="pct"/>
            <w:tcBorders>
              <w:tl2br w:val="nil"/>
              <w:tr2bl w:val="nil"/>
            </w:tcBorders>
            <w:vAlign w:val="center"/>
          </w:tcPr>
          <w:p w14:paraId="4775D3B2">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 xml:space="preserve">0.002012 </w:t>
            </w:r>
          </w:p>
        </w:tc>
        <w:tc>
          <w:tcPr>
            <w:tcW w:w="923" w:type="pct"/>
            <w:tcBorders>
              <w:tl2br w:val="nil"/>
              <w:tr2bl w:val="nil"/>
            </w:tcBorders>
            <w:vAlign w:val="center"/>
          </w:tcPr>
          <w:p w14:paraId="0E472890">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16</w:t>
            </w:r>
          </w:p>
        </w:tc>
        <w:tc>
          <w:tcPr>
            <w:tcW w:w="974" w:type="pct"/>
            <w:tcBorders>
              <w:tl2br w:val="nil"/>
              <w:tr2bl w:val="nil"/>
            </w:tcBorders>
            <w:vAlign w:val="center"/>
          </w:tcPr>
          <w:p w14:paraId="5AEBC812">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 xml:space="preserve">16.0020 </w:t>
            </w:r>
          </w:p>
        </w:tc>
        <w:tc>
          <w:tcPr>
            <w:tcW w:w="1079" w:type="pct"/>
            <w:tcBorders>
              <w:tl2br w:val="nil"/>
              <w:tr2bl w:val="nil"/>
            </w:tcBorders>
            <w:vAlign w:val="center"/>
          </w:tcPr>
          <w:p w14:paraId="22673761">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170</w:t>
            </w:r>
          </w:p>
        </w:tc>
        <w:tc>
          <w:tcPr>
            <w:tcW w:w="487" w:type="pct"/>
            <w:tcBorders>
              <w:tl2br w:val="nil"/>
              <w:tr2bl w:val="nil"/>
            </w:tcBorders>
            <w:vAlign w:val="center"/>
          </w:tcPr>
          <w:p w14:paraId="6CC439BC">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达标</w:t>
            </w:r>
          </w:p>
        </w:tc>
      </w:tr>
      <w:tr w14:paraId="1A6D9F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00" w:type="pct"/>
            <w:gridSpan w:val="6"/>
            <w:tcBorders>
              <w:tl2br w:val="nil"/>
              <w:tr2bl w:val="nil"/>
            </w:tcBorders>
            <w:vAlign w:val="center"/>
          </w:tcPr>
          <w:p w14:paraId="5EFC91AE">
            <w:pPr>
              <w:pStyle w:val="41"/>
              <w:rPr>
                <w:color w:val="auto"/>
                <w:highlight w:val="none"/>
              </w:rPr>
            </w:pPr>
            <w:r>
              <w:rPr>
                <w:color w:val="auto"/>
                <w:highlight w:val="none"/>
              </w:rPr>
              <w:t>锌</w:t>
            </w:r>
          </w:p>
        </w:tc>
      </w:tr>
      <w:tr w14:paraId="609216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80" w:hRule="atLeast"/>
          <w:tblHeader/>
          <w:jc w:val="center"/>
        </w:trPr>
        <w:tc>
          <w:tcPr>
            <w:tcW w:w="543" w:type="pct"/>
            <w:tcBorders>
              <w:tl2br w:val="nil"/>
              <w:tr2bl w:val="nil"/>
            </w:tcBorders>
            <w:vAlign w:val="center"/>
          </w:tcPr>
          <w:p w14:paraId="7A8D8CF3">
            <w:pPr>
              <w:pStyle w:val="41"/>
              <w:rPr>
                <w:color w:val="auto"/>
                <w:highlight w:val="none"/>
              </w:rPr>
            </w:pPr>
            <w:r>
              <w:rPr>
                <w:color w:val="auto"/>
                <w:highlight w:val="none"/>
              </w:rPr>
              <w:t>累积时间</w:t>
            </w:r>
          </w:p>
        </w:tc>
        <w:tc>
          <w:tcPr>
            <w:tcW w:w="992" w:type="pct"/>
            <w:tcBorders>
              <w:tl2br w:val="nil"/>
              <w:tr2bl w:val="nil"/>
            </w:tcBorders>
            <w:vAlign w:val="center"/>
          </w:tcPr>
          <w:p w14:paraId="23654C1A">
            <w:pPr>
              <w:pStyle w:val="41"/>
              <w:rPr>
                <w:color w:val="auto"/>
                <w:highlight w:val="none"/>
              </w:rPr>
            </w:pPr>
            <w:r>
              <w:rPr>
                <w:color w:val="auto"/>
                <w:highlight w:val="none"/>
              </w:rPr>
              <w:t>锌∆S（g/kg）</w:t>
            </w:r>
          </w:p>
        </w:tc>
        <w:tc>
          <w:tcPr>
            <w:tcW w:w="923" w:type="pct"/>
            <w:tcBorders>
              <w:tl2br w:val="nil"/>
              <w:tr2bl w:val="nil"/>
            </w:tcBorders>
            <w:vAlign w:val="center"/>
          </w:tcPr>
          <w:p w14:paraId="002544CF">
            <w:pPr>
              <w:pStyle w:val="41"/>
              <w:rPr>
                <w:color w:val="auto"/>
                <w:highlight w:val="none"/>
              </w:rPr>
            </w:pPr>
            <w:r>
              <w:rPr>
                <w:color w:val="auto"/>
                <w:highlight w:val="none"/>
              </w:rPr>
              <w:t>现状值*</w:t>
            </w:r>
          </w:p>
          <w:p w14:paraId="30CD77FE">
            <w:pPr>
              <w:pStyle w:val="41"/>
              <w:rPr>
                <w:color w:val="auto"/>
                <w:highlight w:val="none"/>
              </w:rPr>
            </w:pPr>
            <w:r>
              <w:rPr>
                <w:rFonts w:hint="eastAsia"/>
                <w:color w:val="auto"/>
                <w:highlight w:val="none"/>
                <w:lang w:eastAsia="zh-CN"/>
              </w:rPr>
              <w:t>(</w:t>
            </w:r>
            <w:r>
              <w:rPr>
                <w:color w:val="auto"/>
                <w:highlight w:val="none"/>
              </w:rPr>
              <w:t>mg/kg</w:t>
            </w:r>
            <w:r>
              <w:rPr>
                <w:rFonts w:hint="eastAsia"/>
                <w:color w:val="auto"/>
                <w:highlight w:val="none"/>
                <w:lang w:eastAsia="zh-CN"/>
              </w:rPr>
              <w:t>)</w:t>
            </w:r>
          </w:p>
        </w:tc>
        <w:tc>
          <w:tcPr>
            <w:tcW w:w="974" w:type="pct"/>
            <w:tcBorders>
              <w:tl2br w:val="nil"/>
              <w:tr2bl w:val="nil"/>
            </w:tcBorders>
            <w:vAlign w:val="center"/>
          </w:tcPr>
          <w:p w14:paraId="558106FE">
            <w:pPr>
              <w:pStyle w:val="41"/>
              <w:rPr>
                <w:color w:val="auto"/>
                <w:highlight w:val="none"/>
              </w:rPr>
            </w:pPr>
            <w:r>
              <w:rPr>
                <w:color w:val="auto"/>
                <w:highlight w:val="none"/>
              </w:rPr>
              <w:t>叠加现状监测值（mg/kg）</w:t>
            </w:r>
          </w:p>
        </w:tc>
        <w:tc>
          <w:tcPr>
            <w:tcW w:w="1079" w:type="pct"/>
            <w:tcBorders>
              <w:tl2br w:val="nil"/>
              <w:tr2bl w:val="nil"/>
            </w:tcBorders>
            <w:vAlign w:val="center"/>
          </w:tcPr>
          <w:p w14:paraId="51F61D95">
            <w:pPr>
              <w:pStyle w:val="41"/>
              <w:rPr>
                <w:color w:val="auto"/>
                <w:highlight w:val="none"/>
              </w:rPr>
            </w:pPr>
            <w:r>
              <w:rPr>
                <w:color w:val="auto"/>
                <w:highlight w:val="none"/>
              </w:rPr>
              <w:t>第二类用地筛选值（mg/kg）</w:t>
            </w:r>
          </w:p>
        </w:tc>
        <w:tc>
          <w:tcPr>
            <w:tcW w:w="487" w:type="pct"/>
            <w:tcBorders>
              <w:tl2br w:val="nil"/>
              <w:tr2bl w:val="nil"/>
            </w:tcBorders>
            <w:vAlign w:val="center"/>
          </w:tcPr>
          <w:p w14:paraId="69D9B8C4">
            <w:pPr>
              <w:pStyle w:val="41"/>
              <w:rPr>
                <w:color w:val="auto"/>
                <w:highlight w:val="none"/>
              </w:rPr>
            </w:pPr>
            <w:r>
              <w:rPr>
                <w:color w:val="auto"/>
                <w:highlight w:val="none"/>
              </w:rPr>
              <w:t>达标情况</w:t>
            </w:r>
          </w:p>
        </w:tc>
      </w:tr>
      <w:tr w14:paraId="1F45A1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3" w:type="pct"/>
            <w:tcBorders>
              <w:tl2br w:val="nil"/>
              <w:tr2bl w:val="nil"/>
            </w:tcBorders>
            <w:vAlign w:val="center"/>
          </w:tcPr>
          <w:p w14:paraId="5F7C3AF8">
            <w:pPr>
              <w:pStyle w:val="41"/>
              <w:rPr>
                <w:color w:val="auto"/>
                <w:highlight w:val="none"/>
              </w:rPr>
            </w:pPr>
            <w:r>
              <w:rPr>
                <w:color w:val="auto"/>
                <w:highlight w:val="none"/>
              </w:rPr>
              <w:t>1年</w:t>
            </w:r>
          </w:p>
        </w:tc>
        <w:tc>
          <w:tcPr>
            <w:tcW w:w="992" w:type="pct"/>
            <w:tcBorders>
              <w:tl2br w:val="nil"/>
              <w:tr2bl w:val="nil"/>
            </w:tcBorders>
            <w:vAlign w:val="center"/>
          </w:tcPr>
          <w:p w14:paraId="3BEF1350">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 xml:space="preserve">0.000291 </w:t>
            </w:r>
          </w:p>
        </w:tc>
        <w:tc>
          <w:tcPr>
            <w:tcW w:w="923" w:type="pct"/>
            <w:tcBorders>
              <w:tl2br w:val="nil"/>
              <w:tr2bl w:val="nil"/>
            </w:tcBorders>
            <w:vAlign w:val="center"/>
          </w:tcPr>
          <w:p w14:paraId="5DC4A805">
            <w:pPr>
              <w:pStyle w:val="41"/>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32.2</w:t>
            </w:r>
          </w:p>
        </w:tc>
        <w:tc>
          <w:tcPr>
            <w:tcW w:w="974" w:type="pct"/>
            <w:tcBorders>
              <w:tl2br w:val="nil"/>
              <w:tr2bl w:val="nil"/>
            </w:tcBorders>
            <w:vAlign w:val="center"/>
          </w:tcPr>
          <w:p w14:paraId="5C6EBE5A">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 xml:space="preserve">32.2003 </w:t>
            </w:r>
          </w:p>
        </w:tc>
        <w:tc>
          <w:tcPr>
            <w:tcW w:w="1079" w:type="pct"/>
            <w:tcBorders>
              <w:tl2br w:val="nil"/>
              <w:tr2bl w:val="nil"/>
            </w:tcBorders>
            <w:vAlign w:val="center"/>
          </w:tcPr>
          <w:p w14:paraId="1F896A2C">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300</w:t>
            </w:r>
          </w:p>
        </w:tc>
        <w:tc>
          <w:tcPr>
            <w:tcW w:w="487" w:type="pct"/>
            <w:tcBorders>
              <w:tl2br w:val="nil"/>
              <w:tr2bl w:val="nil"/>
            </w:tcBorders>
            <w:vAlign w:val="center"/>
          </w:tcPr>
          <w:p w14:paraId="75BAEDE7">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达标</w:t>
            </w:r>
          </w:p>
        </w:tc>
      </w:tr>
      <w:tr w14:paraId="7E1CFA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3" w:type="pct"/>
            <w:tcBorders>
              <w:tl2br w:val="nil"/>
              <w:tr2bl w:val="nil"/>
            </w:tcBorders>
            <w:vAlign w:val="center"/>
          </w:tcPr>
          <w:p w14:paraId="4D531741">
            <w:pPr>
              <w:pStyle w:val="41"/>
              <w:rPr>
                <w:color w:val="auto"/>
                <w:highlight w:val="none"/>
              </w:rPr>
            </w:pPr>
            <w:r>
              <w:rPr>
                <w:color w:val="auto"/>
                <w:highlight w:val="none"/>
              </w:rPr>
              <w:t>5年</w:t>
            </w:r>
          </w:p>
        </w:tc>
        <w:tc>
          <w:tcPr>
            <w:tcW w:w="992" w:type="pct"/>
            <w:tcBorders>
              <w:tl2br w:val="nil"/>
              <w:tr2bl w:val="nil"/>
            </w:tcBorders>
            <w:vAlign w:val="center"/>
          </w:tcPr>
          <w:p w14:paraId="07AFF694">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 xml:space="preserve">0.001453 </w:t>
            </w:r>
          </w:p>
        </w:tc>
        <w:tc>
          <w:tcPr>
            <w:tcW w:w="923" w:type="pct"/>
            <w:tcBorders>
              <w:tl2br w:val="nil"/>
              <w:tr2bl w:val="nil"/>
            </w:tcBorders>
            <w:vAlign w:val="center"/>
          </w:tcPr>
          <w:p w14:paraId="049336B4">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32.2</w:t>
            </w:r>
          </w:p>
        </w:tc>
        <w:tc>
          <w:tcPr>
            <w:tcW w:w="974" w:type="pct"/>
            <w:tcBorders>
              <w:tl2br w:val="nil"/>
              <w:tr2bl w:val="nil"/>
            </w:tcBorders>
            <w:vAlign w:val="center"/>
          </w:tcPr>
          <w:p w14:paraId="1EA64DF1">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 xml:space="preserve">32.2015 </w:t>
            </w:r>
          </w:p>
        </w:tc>
        <w:tc>
          <w:tcPr>
            <w:tcW w:w="1079" w:type="pct"/>
            <w:tcBorders>
              <w:tl2br w:val="nil"/>
              <w:tr2bl w:val="nil"/>
            </w:tcBorders>
            <w:vAlign w:val="center"/>
          </w:tcPr>
          <w:p w14:paraId="6D08D304">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300</w:t>
            </w:r>
          </w:p>
        </w:tc>
        <w:tc>
          <w:tcPr>
            <w:tcW w:w="487" w:type="pct"/>
            <w:tcBorders>
              <w:tl2br w:val="nil"/>
              <w:tr2bl w:val="nil"/>
            </w:tcBorders>
            <w:vAlign w:val="center"/>
          </w:tcPr>
          <w:p w14:paraId="069430B3">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达标</w:t>
            </w:r>
          </w:p>
        </w:tc>
      </w:tr>
      <w:tr w14:paraId="5BDDDA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3" w:type="pct"/>
            <w:tcBorders>
              <w:tl2br w:val="nil"/>
              <w:tr2bl w:val="nil"/>
            </w:tcBorders>
            <w:vAlign w:val="center"/>
          </w:tcPr>
          <w:p w14:paraId="38BEFDD0">
            <w:pPr>
              <w:pStyle w:val="41"/>
              <w:rPr>
                <w:color w:val="auto"/>
                <w:highlight w:val="none"/>
              </w:rPr>
            </w:pPr>
            <w:r>
              <w:rPr>
                <w:color w:val="auto"/>
                <w:highlight w:val="none"/>
              </w:rPr>
              <w:t>10年</w:t>
            </w:r>
          </w:p>
        </w:tc>
        <w:tc>
          <w:tcPr>
            <w:tcW w:w="992" w:type="pct"/>
            <w:tcBorders>
              <w:tl2br w:val="nil"/>
              <w:tr2bl w:val="nil"/>
            </w:tcBorders>
            <w:vAlign w:val="center"/>
          </w:tcPr>
          <w:p w14:paraId="121BD7A0">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 xml:space="preserve">0.002906 </w:t>
            </w:r>
          </w:p>
        </w:tc>
        <w:tc>
          <w:tcPr>
            <w:tcW w:w="923" w:type="pct"/>
            <w:tcBorders>
              <w:tl2br w:val="nil"/>
              <w:tr2bl w:val="nil"/>
            </w:tcBorders>
            <w:vAlign w:val="center"/>
          </w:tcPr>
          <w:p w14:paraId="512BDE67">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32.2</w:t>
            </w:r>
          </w:p>
        </w:tc>
        <w:tc>
          <w:tcPr>
            <w:tcW w:w="974" w:type="pct"/>
            <w:tcBorders>
              <w:tl2br w:val="nil"/>
              <w:tr2bl w:val="nil"/>
            </w:tcBorders>
            <w:vAlign w:val="center"/>
          </w:tcPr>
          <w:p w14:paraId="1B0007FC">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 xml:space="preserve">32.2029 </w:t>
            </w:r>
          </w:p>
        </w:tc>
        <w:tc>
          <w:tcPr>
            <w:tcW w:w="1079" w:type="pct"/>
            <w:tcBorders>
              <w:tl2br w:val="nil"/>
              <w:tr2bl w:val="nil"/>
            </w:tcBorders>
            <w:vAlign w:val="center"/>
          </w:tcPr>
          <w:p w14:paraId="6B3F1DF8">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300</w:t>
            </w:r>
          </w:p>
        </w:tc>
        <w:tc>
          <w:tcPr>
            <w:tcW w:w="487" w:type="pct"/>
            <w:tcBorders>
              <w:tl2br w:val="nil"/>
              <w:tr2bl w:val="nil"/>
            </w:tcBorders>
            <w:vAlign w:val="center"/>
          </w:tcPr>
          <w:p w14:paraId="6F6DA19C">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达标</w:t>
            </w:r>
          </w:p>
        </w:tc>
      </w:tr>
      <w:tr w14:paraId="6E898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3" w:type="pct"/>
            <w:tcBorders>
              <w:tl2br w:val="nil"/>
              <w:tr2bl w:val="nil"/>
            </w:tcBorders>
            <w:vAlign w:val="center"/>
          </w:tcPr>
          <w:p w14:paraId="6922B14B">
            <w:pPr>
              <w:pStyle w:val="41"/>
              <w:rPr>
                <w:color w:val="auto"/>
                <w:highlight w:val="none"/>
              </w:rPr>
            </w:pPr>
            <w:r>
              <w:rPr>
                <w:color w:val="auto"/>
                <w:highlight w:val="none"/>
              </w:rPr>
              <w:t>20年</w:t>
            </w:r>
          </w:p>
        </w:tc>
        <w:tc>
          <w:tcPr>
            <w:tcW w:w="992" w:type="pct"/>
            <w:tcBorders>
              <w:tl2br w:val="nil"/>
              <w:tr2bl w:val="nil"/>
            </w:tcBorders>
            <w:vAlign w:val="center"/>
          </w:tcPr>
          <w:p w14:paraId="72F875FD">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 xml:space="preserve">0.005812 </w:t>
            </w:r>
          </w:p>
        </w:tc>
        <w:tc>
          <w:tcPr>
            <w:tcW w:w="923" w:type="pct"/>
            <w:tcBorders>
              <w:tl2br w:val="nil"/>
              <w:tr2bl w:val="nil"/>
            </w:tcBorders>
            <w:vAlign w:val="center"/>
          </w:tcPr>
          <w:p w14:paraId="40D372C1">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32.2</w:t>
            </w:r>
          </w:p>
        </w:tc>
        <w:tc>
          <w:tcPr>
            <w:tcW w:w="974" w:type="pct"/>
            <w:tcBorders>
              <w:tl2br w:val="nil"/>
              <w:tr2bl w:val="nil"/>
            </w:tcBorders>
            <w:vAlign w:val="center"/>
          </w:tcPr>
          <w:p w14:paraId="0AE63C18">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 xml:space="preserve">32.2058 </w:t>
            </w:r>
          </w:p>
        </w:tc>
        <w:tc>
          <w:tcPr>
            <w:tcW w:w="1079" w:type="pct"/>
            <w:tcBorders>
              <w:tl2br w:val="nil"/>
              <w:tr2bl w:val="nil"/>
            </w:tcBorders>
            <w:vAlign w:val="center"/>
          </w:tcPr>
          <w:p w14:paraId="3D9C205D">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300</w:t>
            </w:r>
          </w:p>
        </w:tc>
        <w:tc>
          <w:tcPr>
            <w:tcW w:w="487" w:type="pct"/>
            <w:tcBorders>
              <w:tl2br w:val="nil"/>
              <w:tr2bl w:val="nil"/>
            </w:tcBorders>
            <w:vAlign w:val="center"/>
          </w:tcPr>
          <w:p w14:paraId="299259BE">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达标</w:t>
            </w:r>
          </w:p>
        </w:tc>
      </w:tr>
      <w:tr w14:paraId="527E0E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3" w:type="pct"/>
            <w:tcBorders>
              <w:tl2br w:val="nil"/>
              <w:tr2bl w:val="nil"/>
            </w:tcBorders>
            <w:vAlign w:val="center"/>
          </w:tcPr>
          <w:p w14:paraId="2DD4EAAE">
            <w:pPr>
              <w:pStyle w:val="41"/>
              <w:rPr>
                <w:color w:val="auto"/>
                <w:highlight w:val="none"/>
              </w:rPr>
            </w:pPr>
            <w:r>
              <w:rPr>
                <w:color w:val="auto"/>
                <w:highlight w:val="none"/>
              </w:rPr>
              <w:t>30年</w:t>
            </w:r>
          </w:p>
        </w:tc>
        <w:tc>
          <w:tcPr>
            <w:tcW w:w="992" w:type="pct"/>
            <w:tcBorders>
              <w:tl2br w:val="nil"/>
              <w:tr2bl w:val="nil"/>
            </w:tcBorders>
            <w:vAlign w:val="center"/>
          </w:tcPr>
          <w:p w14:paraId="5C3BE0D0">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 xml:space="preserve">0.008719 </w:t>
            </w:r>
          </w:p>
        </w:tc>
        <w:tc>
          <w:tcPr>
            <w:tcW w:w="923" w:type="pct"/>
            <w:tcBorders>
              <w:tl2br w:val="nil"/>
              <w:tr2bl w:val="nil"/>
            </w:tcBorders>
            <w:vAlign w:val="center"/>
          </w:tcPr>
          <w:p w14:paraId="002C6FF8">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32.2</w:t>
            </w:r>
          </w:p>
        </w:tc>
        <w:tc>
          <w:tcPr>
            <w:tcW w:w="974" w:type="pct"/>
            <w:tcBorders>
              <w:tl2br w:val="nil"/>
              <w:tr2bl w:val="nil"/>
            </w:tcBorders>
            <w:vAlign w:val="center"/>
          </w:tcPr>
          <w:p w14:paraId="43D03FDB">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 xml:space="preserve">32.2087 </w:t>
            </w:r>
          </w:p>
        </w:tc>
        <w:tc>
          <w:tcPr>
            <w:tcW w:w="1079" w:type="pct"/>
            <w:tcBorders>
              <w:tl2br w:val="nil"/>
              <w:tr2bl w:val="nil"/>
            </w:tcBorders>
            <w:vAlign w:val="center"/>
          </w:tcPr>
          <w:p w14:paraId="272E8855">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300</w:t>
            </w:r>
          </w:p>
        </w:tc>
        <w:tc>
          <w:tcPr>
            <w:tcW w:w="487" w:type="pct"/>
            <w:tcBorders>
              <w:tl2br w:val="nil"/>
              <w:tr2bl w:val="nil"/>
            </w:tcBorders>
            <w:vAlign w:val="center"/>
          </w:tcPr>
          <w:p w14:paraId="3F30E997">
            <w:pPr>
              <w:pStyle w:val="41"/>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达标</w:t>
            </w:r>
          </w:p>
        </w:tc>
      </w:tr>
    </w:tbl>
    <w:p w14:paraId="4911BE2D">
      <w:pPr>
        <w:pStyle w:val="3"/>
        <w:ind w:firstLine="480"/>
        <w:rPr>
          <w:color w:val="auto"/>
          <w:highlight w:val="none"/>
        </w:rPr>
      </w:pPr>
      <w:r>
        <w:rPr>
          <w:color w:val="auto"/>
          <w:highlight w:val="none"/>
        </w:rPr>
        <w:t>由表</w:t>
      </w:r>
      <w:r>
        <w:rPr>
          <w:rFonts w:hint="eastAsia"/>
          <w:color w:val="auto"/>
          <w:highlight w:val="none"/>
          <w:lang w:val="en-US" w:eastAsia="zh-CN"/>
        </w:rPr>
        <w:t>5.7-4</w:t>
      </w:r>
      <w:r>
        <w:rPr>
          <w:color w:val="auto"/>
          <w:highlight w:val="none"/>
        </w:rPr>
        <w:t>可知，叠加背景值后浓度低于《土壤环境质量农用地土壤污染风险管控标准（试行）》</w:t>
      </w:r>
      <w:r>
        <w:rPr>
          <w:rFonts w:hint="eastAsia"/>
          <w:color w:val="auto"/>
          <w:highlight w:val="none"/>
          <w:lang w:eastAsia="zh-CN"/>
        </w:rPr>
        <w:t>（</w:t>
      </w:r>
      <w:r>
        <w:rPr>
          <w:color w:val="auto"/>
          <w:highlight w:val="none"/>
        </w:rPr>
        <w:t>GB15618</w:t>
      </w:r>
      <w:r>
        <w:rPr>
          <w:rFonts w:hint="eastAsia"/>
          <w:color w:val="auto"/>
          <w:highlight w:val="none"/>
        </w:rPr>
        <w:t>-</w:t>
      </w:r>
      <w:r>
        <w:rPr>
          <w:color w:val="auto"/>
          <w:highlight w:val="none"/>
        </w:rPr>
        <w:t>2018</w:t>
      </w:r>
      <w:r>
        <w:rPr>
          <w:rFonts w:hint="eastAsia"/>
          <w:color w:val="auto"/>
          <w:highlight w:val="none"/>
          <w:lang w:eastAsia="zh-CN"/>
        </w:rPr>
        <w:t>）</w:t>
      </w:r>
      <w:r>
        <w:rPr>
          <w:color w:val="auto"/>
          <w:highlight w:val="none"/>
        </w:rPr>
        <w:t>表1限值要求，说明本项目的运行对周围土壤环境产生影响较小。</w:t>
      </w:r>
    </w:p>
    <w:p w14:paraId="48B99C03">
      <w:pPr>
        <w:pStyle w:val="42"/>
        <w:rPr>
          <w:rFonts w:hint="default"/>
          <w:color w:val="auto"/>
          <w:highlight w:val="none"/>
        </w:rPr>
      </w:pPr>
      <w:r>
        <w:rPr>
          <w:color w:val="auto"/>
          <w:highlight w:val="none"/>
        </w:rPr>
        <w:t>土壤环境影响评价自查表</w:t>
      </w:r>
    </w:p>
    <w:p w14:paraId="13A30CDD">
      <w:pPr>
        <w:pStyle w:val="3"/>
        <w:ind w:firstLine="480"/>
        <w:rPr>
          <w:color w:val="auto"/>
          <w:highlight w:val="none"/>
        </w:rPr>
      </w:pPr>
      <w:r>
        <w:rPr>
          <w:color w:val="auto"/>
          <w:highlight w:val="none"/>
        </w:rPr>
        <w:t>土壤环境影响评价自查表</w:t>
      </w:r>
      <w:r>
        <w:rPr>
          <w:rFonts w:hint="eastAsia"/>
          <w:color w:val="auto"/>
          <w:highlight w:val="none"/>
        </w:rPr>
        <w:t>如下：</w:t>
      </w:r>
    </w:p>
    <w:p w14:paraId="713131BB">
      <w:pPr>
        <w:pStyle w:val="40"/>
        <w:rPr>
          <w:color w:val="auto"/>
          <w:highlight w:val="none"/>
        </w:rPr>
      </w:pPr>
      <w:r>
        <w:rPr>
          <w:color w:val="auto"/>
          <w:highlight w:val="none"/>
        </w:rPr>
        <w:t>表</w:t>
      </w:r>
      <w:r>
        <w:rPr>
          <w:rFonts w:hint="eastAsia"/>
          <w:color w:val="auto"/>
          <w:highlight w:val="none"/>
        </w:rPr>
        <w:t>5</w:t>
      </w:r>
      <w:r>
        <w:rPr>
          <w:color w:val="auto"/>
          <w:highlight w:val="none"/>
        </w:rPr>
        <w:t>.</w:t>
      </w:r>
      <w:r>
        <w:rPr>
          <w:rFonts w:hint="eastAsia"/>
          <w:color w:val="auto"/>
          <w:highlight w:val="none"/>
        </w:rPr>
        <w:t>7</w:t>
      </w:r>
      <w:r>
        <w:rPr>
          <w:color w:val="auto"/>
          <w:highlight w:val="none"/>
        </w:rPr>
        <w:t>-</w:t>
      </w:r>
      <w:r>
        <w:rPr>
          <w:rFonts w:hint="eastAsia"/>
          <w:color w:val="auto"/>
          <w:highlight w:val="none"/>
        </w:rPr>
        <w:t xml:space="preserve">5        </w:t>
      </w:r>
      <w:r>
        <w:rPr>
          <w:color w:val="auto"/>
          <w:highlight w:val="none"/>
        </w:rPr>
        <w:t>土壤环境影响评价自查表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26"/>
        <w:gridCol w:w="766"/>
        <w:gridCol w:w="784"/>
        <w:gridCol w:w="1261"/>
        <w:gridCol w:w="336"/>
        <w:gridCol w:w="1043"/>
        <w:gridCol w:w="1419"/>
        <w:gridCol w:w="460"/>
        <w:gridCol w:w="1082"/>
        <w:gridCol w:w="939"/>
      </w:tblGrid>
      <w:tr w14:paraId="025720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61" w:type="pct"/>
            <w:gridSpan w:val="3"/>
            <w:vAlign w:val="center"/>
          </w:tcPr>
          <w:p w14:paraId="074DBCA9">
            <w:pPr>
              <w:pStyle w:val="41"/>
              <w:rPr>
                <w:color w:val="auto"/>
                <w:highlight w:val="none"/>
              </w:rPr>
            </w:pPr>
            <w:r>
              <w:rPr>
                <w:color w:val="auto"/>
                <w:highlight w:val="none"/>
              </w:rPr>
              <w:t>工作内容</w:t>
            </w:r>
          </w:p>
        </w:tc>
        <w:tc>
          <w:tcPr>
            <w:tcW w:w="3287" w:type="pct"/>
            <w:gridSpan w:val="6"/>
            <w:vAlign w:val="center"/>
          </w:tcPr>
          <w:p w14:paraId="4C4B5E42">
            <w:pPr>
              <w:pStyle w:val="41"/>
              <w:rPr>
                <w:color w:val="auto"/>
                <w:highlight w:val="none"/>
              </w:rPr>
            </w:pPr>
            <w:r>
              <w:rPr>
                <w:color w:val="auto"/>
                <w:highlight w:val="none"/>
              </w:rPr>
              <w:t>完成情况</w:t>
            </w:r>
          </w:p>
        </w:tc>
        <w:tc>
          <w:tcPr>
            <w:tcW w:w="551" w:type="pct"/>
            <w:vAlign w:val="center"/>
          </w:tcPr>
          <w:p w14:paraId="026BF308">
            <w:pPr>
              <w:pStyle w:val="41"/>
              <w:rPr>
                <w:color w:val="auto"/>
                <w:highlight w:val="none"/>
              </w:rPr>
            </w:pPr>
            <w:r>
              <w:rPr>
                <w:color w:val="auto"/>
                <w:highlight w:val="none"/>
              </w:rPr>
              <w:t>备注</w:t>
            </w:r>
          </w:p>
        </w:tc>
      </w:tr>
      <w:tr w14:paraId="0A21AC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restart"/>
            <w:vAlign w:val="center"/>
          </w:tcPr>
          <w:p w14:paraId="6380B0C7">
            <w:pPr>
              <w:pStyle w:val="41"/>
              <w:rPr>
                <w:color w:val="auto"/>
                <w:highlight w:val="none"/>
              </w:rPr>
            </w:pPr>
            <w:r>
              <w:rPr>
                <w:color w:val="auto"/>
                <w:highlight w:val="none"/>
              </w:rPr>
              <w:t>影响识别</w:t>
            </w:r>
          </w:p>
        </w:tc>
        <w:tc>
          <w:tcPr>
            <w:tcW w:w="911" w:type="pct"/>
            <w:gridSpan w:val="2"/>
            <w:vAlign w:val="center"/>
          </w:tcPr>
          <w:p w14:paraId="5B0AA6D7">
            <w:pPr>
              <w:pStyle w:val="41"/>
              <w:rPr>
                <w:color w:val="auto"/>
                <w:highlight w:val="none"/>
              </w:rPr>
            </w:pPr>
            <w:r>
              <w:rPr>
                <w:color w:val="auto"/>
                <w:highlight w:val="none"/>
              </w:rPr>
              <w:t>影响类型</w:t>
            </w:r>
          </w:p>
        </w:tc>
        <w:tc>
          <w:tcPr>
            <w:tcW w:w="3287" w:type="pct"/>
            <w:gridSpan w:val="6"/>
            <w:vAlign w:val="center"/>
          </w:tcPr>
          <w:p w14:paraId="42AF7586">
            <w:pPr>
              <w:pStyle w:val="41"/>
              <w:rPr>
                <w:color w:val="auto"/>
                <w:highlight w:val="none"/>
              </w:rPr>
            </w:pPr>
            <w:r>
              <w:rPr>
                <w:color w:val="auto"/>
                <w:highlight w:val="none"/>
              </w:rPr>
              <w:t>污染影响型</w:t>
            </w:r>
            <w:r>
              <w:rPr>
                <w:color w:val="auto"/>
                <w:highlight w:val="none"/>
              </w:rPr>
              <w:sym w:font="Wingdings 2" w:char="0052"/>
            </w:r>
            <w:r>
              <w:rPr>
                <w:color w:val="auto"/>
                <w:highlight w:val="none"/>
              </w:rPr>
              <w:t>；生态影响型</w:t>
            </w:r>
            <w:r>
              <w:rPr>
                <w:color w:val="auto"/>
                <w:highlight w:val="none"/>
              </w:rPr>
              <w:sym w:font="Wingdings 2" w:char="00A3"/>
            </w:r>
            <w:r>
              <w:rPr>
                <w:color w:val="auto"/>
                <w:highlight w:val="none"/>
              </w:rPr>
              <w:t>；两种兼有</w:t>
            </w:r>
            <w:r>
              <w:rPr>
                <w:color w:val="auto"/>
                <w:highlight w:val="none"/>
              </w:rPr>
              <w:sym w:font="Wingdings 2" w:char="00A3"/>
            </w:r>
          </w:p>
        </w:tc>
        <w:tc>
          <w:tcPr>
            <w:tcW w:w="551" w:type="pct"/>
            <w:vAlign w:val="center"/>
          </w:tcPr>
          <w:p w14:paraId="603C7357">
            <w:pPr>
              <w:pStyle w:val="41"/>
              <w:rPr>
                <w:color w:val="auto"/>
                <w:highlight w:val="none"/>
              </w:rPr>
            </w:pPr>
          </w:p>
        </w:tc>
      </w:tr>
      <w:tr w14:paraId="1D914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48DF65B9">
            <w:pPr>
              <w:pStyle w:val="41"/>
              <w:rPr>
                <w:color w:val="auto"/>
                <w:highlight w:val="none"/>
              </w:rPr>
            </w:pPr>
          </w:p>
        </w:tc>
        <w:tc>
          <w:tcPr>
            <w:tcW w:w="911" w:type="pct"/>
            <w:gridSpan w:val="2"/>
            <w:vAlign w:val="center"/>
          </w:tcPr>
          <w:p w14:paraId="3D4E4B8A">
            <w:pPr>
              <w:pStyle w:val="41"/>
              <w:rPr>
                <w:color w:val="auto"/>
                <w:highlight w:val="none"/>
              </w:rPr>
            </w:pPr>
            <w:r>
              <w:rPr>
                <w:color w:val="auto"/>
                <w:highlight w:val="none"/>
              </w:rPr>
              <w:t>土地利用类型</w:t>
            </w:r>
          </w:p>
        </w:tc>
        <w:tc>
          <w:tcPr>
            <w:tcW w:w="3287" w:type="pct"/>
            <w:gridSpan w:val="6"/>
            <w:vAlign w:val="center"/>
          </w:tcPr>
          <w:p w14:paraId="7FB4C518">
            <w:pPr>
              <w:pStyle w:val="41"/>
              <w:rPr>
                <w:color w:val="auto"/>
                <w:highlight w:val="none"/>
              </w:rPr>
            </w:pPr>
            <w:r>
              <w:rPr>
                <w:color w:val="auto"/>
                <w:highlight w:val="none"/>
              </w:rPr>
              <w:t>建设用地</w:t>
            </w:r>
            <w:r>
              <w:rPr>
                <w:color w:val="auto"/>
                <w:highlight w:val="none"/>
              </w:rPr>
              <w:sym w:font="Wingdings 2" w:char="0052"/>
            </w:r>
            <w:r>
              <w:rPr>
                <w:color w:val="auto"/>
                <w:highlight w:val="none"/>
              </w:rPr>
              <w:t>；农用地</w:t>
            </w:r>
            <w:r>
              <w:rPr>
                <w:color w:val="auto"/>
                <w:highlight w:val="none"/>
              </w:rPr>
              <w:sym w:font="Wingdings 2" w:char="00A3"/>
            </w:r>
            <w:r>
              <w:rPr>
                <w:color w:val="auto"/>
                <w:highlight w:val="none"/>
              </w:rPr>
              <w:t>；未利用地</w:t>
            </w:r>
            <w:r>
              <w:rPr>
                <w:color w:val="auto"/>
                <w:highlight w:val="none"/>
              </w:rPr>
              <w:sym w:font="Wingdings 2" w:char="00A3"/>
            </w:r>
          </w:p>
        </w:tc>
        <w:tc>
          <w:tcPr>
            <w:tcW w:w="551" w:type="pct"/>
            <w:vAlign w:val="center"/>
          </w:tcPr>
          <w:p w14:paraId="54FA335C">
            <w:pPr>
              <w:pStyle w:val="41"/>
              <w:rPr>
                <w:color w:val="auto"/>
                <w:highlight w:val="none"/>
              </w:rPr>
            </w:pPr>
          </w:p>
        </w:tc>
      </w:tr>
      <w:tr w14:paraId="6E89B6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68F1B143">
            <w:pPr>
              <w:pStyle w:val="41"/>
              <w:rPr>
                <w:color w:val="auto"/>
                <w:highlight w:val="none"/>
              </w:rPr>
            </w:pPr>
          </w:p>
        </w:tc>
        <w:tc>
          <w:tcPr>
            <w:tcW w:w="911" w:type="pct"/>
            <w:gridSpan w:val="2"/>
            <w:vAlign w:val="center"/>
          </w:tcPr>
          <w:p w14:paraId="1B2A50A7">
            <w:pPr>
              <w:pStyle w:val="41"/>
              <w:rPr>
                <w:color w:val="auto"/>
                <w:highlight w:val="none"/>
              </w:rPr>
            </w:pPr>
            <w:r>
              <w:rPr>
                <w:color w:val="auto"/>
                <w:highlight w:val="none"/>
              </w:rPr>
              <w:t>占地规模</w:t>
            </w:r>
          </w:p>
        </w:tc>
        <w:tc>
          <w:tcPr>
            <w:tcW w:w="3287" w:type="pct"/>
            <w:gridSpan w:val="6"/>
            <w:vAlign w:val="center"/>
          </w:tcPr>
          <w:p w14:paraId="4164CD11">
            <w:pPr>
              <w:pStyle w:val="41"/>
              <w:rPr>
                <w:color w:val="auto"/>
                <w:highlight w:val="none"/>
              </w:rPr>
            </w:pPr>
            <w:r>
              <w:rPr>
                <w:rFonts w:hint="eastAsia"/>
                <w:color w:val="auto"/>
                <w:highlight w:val="none"/>
              </w:rPr>
              <w:t>选矿厂总用地面积39.388hm</w:t>
            </w:r>
            <w:r>
              <w:rPr>
                <w:rFonts w:hint="eastAsia"/>
                <w:color w:val="auto"/>
                <w:highlight w:val="none"/>
                <w:vertAlign w:val="superscript"/>
              </w:rPr>
              <w:t>2</w:t>
            </w:r>
            <w:r>
              <w:rPr>
                <w:rFonts w:hint="eastAsia"/>
                <w:color w:val="auto"/>
                <w:highlight w:val="none"/>
              </w:rPr>
              <w:t>；尾矿库区占地面积85.76hm</w:t>
            </w:r>
            <w:r>
              <w:rPr>
                <w:rFonts w:hint="eastAsia"/>
                <w:color w:val="auto"/>
                <w:highlight w:val="none"/>
                <w:vertAlign w:val="superscript"/>
              </w:rPr>
              <w:t>2</w:t>
            </w:r>
            <w:r>
              <w:rPr>
                <w:rFonts w:hint="eastAsia"/>
                <w:color w:val="auto"/>
                <w:highlight w:val="none"/>
              </w:rPr>
              <w:t>。</w:t>
            </w:r>
          </w:p>
        </w:tc>
        <w:tc>
          <w:tcPr>
            <w:tcW w:w="551" w:type="pct"/>
            <w:vAlign w:val="center"/>
          </w:tcPr>
          <w:p w14:paraId="531BDA12">
            <w:pPr>
              <w:pStyle w:val="41"/>
              <w:rPr>
                <w:color w:val="auto"/>
                <w:highlight w:val="none"/>
              </w:rPr>
            </w:pPr>
          </w:p>
        </w:tc>
      </w:tr>
      <w:tr w14:paraId="43C5D5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34314E3B">
            <w:pPr>
              <w:pStyle w:val="41"/>
              <w:rPr>
                <w:color w:val="auto"/>
                <w:highlight w:val="none"/>
              </w:rPr>
            </w:pPr>
          </w:p>
        </w:tc>
        <w:tc>
          <w:tcPr>
            <w:tcW w:w="911" w:type="pct"/>
            <w:gridSpan w:val="2"/>
            <w:vAlign w:val="center"/>
          </w:tcPr>
          <w:p w14:paraId="6293095E">
            <w:pPr>
              <w:pStyle w:val="41"/>
              <w:rPr>
                <w:color w:val="auto"/>
                <w:highlight w:val="none"/>
              </w:rPr>
            </w:pPr>
            <w:r>
              <w:rPr>
                <w:color w:val="auto"/>
                <w:highlight w:val="none"/>
              </w:rPr>
              <w:t>敏感目标信息</w:t>
            </w:r>
          </w:p>
        </w:tc>
        <w:tc>
          <w:tcPr>
            <w:tcW w:w="3287" w:type="pct"/>
            <w:gridSpan w:val="6"/>
            <w:vAlign w:val="center"/>
          </w:tcPr>
          <w:p w14:paraId="3DDB567B">
            <w:pPr>
              <w:pStyle w:val="41"/>
              <w:rPr>
                <w:color w:val="auto"/>
                <w:highlight w:val="none"/>
              </w:rPr>
            </w:pPr>
            <w:r>
              <w:rPr>
                <w:color w:val="auto"/>
                <w:highlight w:val="none"/>
              </w:rPr>
              <w:t>无</w:t>
            </w:r>
          </w:p>
        </w:tc>
        <w:tc>
          <w:tcPr>
            <w:tcW w:w="551" w:type="pct"/>
            <w:vAlign w:val="center"/>
          </w:tcPr>
          <w:p w14:paraId="229185C7">
            <w:pPr>
              <w:pStyle w:val="41"/>
              <w:rPr>
                <w:color w:val="auto"/>
                <w:highlight w:val="none"/>
              </w:rPr>
            </w:pPr>
          </w:p>
        </w:tc>
      </w:tr>
      <w:tr w14:paraId="262489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17A1F72E">
            <w:pPr>
              <w:pStyle w:val="41"/>
              <w:rPr>
                <w:color w:val="auto"/>
                <w:highlight w:val="none"/>
              </w:rPr>
            </w:pPr>
          </w:p>
        </w:tc>
        <w:tc>
          <w:tcPr>
            <w:tcW w:w="911" w:type="pct"/>
            <w:gridSpan w:val="2"/>
            <w:vAlign w:val="center"/>
          </w:tcPr>
          <w:p w14:paraId="3B946A31">
            <w:pPr>
              <w:pStyle w:val="41"/>
              <w:rPr>
                <w:color w:val="auto"/>
                <w:highlight w:val="none"/>
              </w:rPr>
            </w:pPr>
            <w:r>
              <w:rPr>
                <w:color w:val="auto"/>
                <w:highlight w:val="none"/>
              </w:rPr>
              <w:t>影响途径</w:t>
            </w:r>
          </w:p>
        </w:tc>
        <w:tc>
          <w:tcPr>
            <w:tcW w:w="3287" w:type="pct"/>
            <w:gridSpan w:val="6"/>
            <w:vAlign w:val="center"/>
          </w:tcPr>
          <w:p w14:paraId="47BAA268">
            <w:pPr>
              <w:pStyle w:val="41"/>
              <w:rPr>
                <w:color w:val="auto"/>
                <w:highlight w:val="none"/>
              </w:rPr>
            </w:pPr>
            <w:r>
              <w:rPr>
                <w:color w:val="auto"/>
                <w:highlight w:val="none"/>
              </w:rPr>
              <w:t>大气沉降</w:t>
            </w:r>
            <w:r>
              <w:rPr>
                <w:color w:val="auto"/>
                <w:highlight w:val="none"/>
              </w:rPr>
              <w:sym w:font="Wingdings 2" w:char="00A3"/>
            </w:r>
            <w:r>
              <w:rPr>
                <w:color w:val="auto"/>
                <w:highlight w:val="none"/>
              </w:rPr>
              <w:t>；地面漫流</w:t>
            </w:r>
            <w:r>
              <w:rPr>
                <w:color w:val="auto"/>
                <w:highlight w:val="none"/>
              </w:rPr>
              <w:sym w:font="Wingdings 2" w:char="0052"/>
            </w:r>
            <w:r>
              <w:rPr>
                <w:color w:val="auto"/>
                <w:highlight w:val="none"/>
              </w:rPr>
              <w:t>；垂直入渗</w:t>
            </w:r>
            <w:r>
              <w:rPr>
                <w:color w:val="auto"/>
                <w:highlight w:val="none"/>
              </w:rPr>
              <w:sym w:font="Wingdings 2" w:char="0052"/>
            </w:r>
            <w:r>
              <w:rPr>
                <w:color w:val="auto"/>
                <w:highlight w:val="none"/>
              </w:rPr>
              <w:t>；地下水位</w:t>
            </w:r>
            <w:r>
              <w:rPr>
                <w:color w:val="auto"/>
                <w:highlight w:val="none"/>
              </w:rPr>
              <w:sym w:font="Wingdings 2" w:char="00A3"/>
            </w:r>
            <w:r>
              <w:rPr>
                <w:color w:val="auto"/>
                <w:highlight w:val="none"/>
              </w:rPr>
              <w:t>；其他（）</w:t>
            </w:r>
          </w:p>
        </w:tc>
        <w:tc>
          <w:tcPr>
            <w:tcW w:w="551" w:type="pct"/>
            <w:vAlign w:val="center"/>
          </w:tcPr>
          <w:p w14:paraId="5DF549FE">
            <w:pPr>
              <w:pStyle w:val="41"/>
              <w:rPr>
                <w:color w:val="auto"/>
                <w:highlight w:val="none"/>
              </w:rPr>
            </w:pPr>
          </w:p>
        </w:tc>
      </w:tr>
      <w:tr w14:paraId="7F9B37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62C6CF2A">
            <w:pPr>
              <w:pStyle w:val="41"/>
              <w:rPr>
                <w:color w:val="auto"/>
                <w:highlight w:val="none"/>
              </w:rPr>
            </w:pPr>
          </w:p>
        </w:tc>
        <w:tc>
          <w:tcPr>
            <w:tcW w:w="911" w:type="pct"/>
            <w:gridSpan w:val="2"/>
            <w:vAlign w:val="center"/>
          </w:tcPr>
          <w:p w14:paraId="000674B9">
            <w:pPr>
              <w:pStyle w:val="41"/>
              <w:rPr>
                <w:color w:val="auto"/>
                <w:highlight w:val="none"/>
              </w:rPr>
            </w:pPr>
            <w:r>
              <w:rPr>
                <w:color w:val="auto"/>
                <w:highlight w:val="none"/>
              </w:rPr>
              <w:t>全部污染物指标</w:t>
            </w:r>
          </w:p>
        </w:tc>
        <w:tc>
          <w:tcPr>
            <w:tcW w:w="3287" w:type="pct"/>
            <w:gridSpan w:val="6"/>
            <w:vAlign w:val="center"/>
          </w:tcPr>
          <w:p w14:paraId="12B8975B">
            <w:pPr>
              <w:pStyle w:val="41"/>
              <w:rPr>
                <w:color w:val="auto"/>
                <w:highlight w:val="none"/>
              </w:rPr>
            </w:pPr>
            <w:r>
              <w:rPr>
                <w:color w:val="auto"/>
                <w:highlight w:val="none"/>
              </w:rPr>
              <w:t>砷、镉、铬（六价）、铜、铅、汞、镍、锌、pH 值。</w:t>
            </w:r>
          </w:p>
        </w:tc>
        <w:tc>
          <w:tcPr>
            <w:tcW w:w="551" w:type="pct"/>
            <w:vAlign w:val="center"/>
          </w:tcPr>
          <w:p w14:paraId="4E932FBD">
            <w:pPr>
              <w:pStyle w:val="41"/>
              <w:rPr>
                <w:color w:val="auto"/>
                <w:highlight w:val="none"/>
              </w:rPr>
            </w:pPr>
          </w:p>
        </w:tc>
      </w:tr>
      <w:tr w14:paraId="602283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00A1897B">
            <w:pPr>
              <w:pStyle w:val="41"/>
              <w:rPr>
                <w:color w:val="auto"/>
                <w:highlight w:val="none"/>
              </w:rPr>
            </w:pPr>
          </w:p>
        </w:tc>
        <w:tc>
          <w:tcPr>
            <w:tcW w:w="911" w:type="pct"/>
            <w:gridSpan w:val="2"/>
            <w:vAlign w:val="center"/>
          </w:tcPr>
          <w:p w14:paraId="5023E12A">
            <w:pPr>
              <w:pStyle w:val="41"/>
              <w:rPr>
                <w:color w:val="auto"/>
                <w:highlight w:val="none"/>
              </w:rPr>
            </w:pPr>
            <w:r>
              <w:rPr>
                <w:color w:val="auto"/>
                <w:highlight w:val="none"/>
              </w:rPr>
              <w:t>特征因子</w:t>
            </w:r>
          </w:p>
        </w:tc>
        <w:tc>
          <w:tcPr>
            <w:tcW w:w="3287" w:type="pct"/>
            <w:gridSpan w:val="6"/>
            <w:vAlign w:val="center"/>
          </w:tcPr>
          <w:p w14:paraId="0B81EBEB">
            <w:pPr>
              <w:pStyle w:val="41"/>
              <w:rPr>
                <w:color w:val="auto"/>
                <w:highlight w:val="none"/>
              </w:rPr>
            </w:pPr>
            <w:r>
              <w:rPr>
                <w:color w:val="auto"/>
                <w:highlight w:val="none"/>
              </w:rPr>
              <w:t>砷、镉、铬（六价）、铜、铅、汞、镍、锌、pH 值。</w:t>
            </w:r>
          </w:p>
        </w:tc>
        <w:tc>
          <w:tcPr>
            <w:tcW w:w="551" w:type="pct"/>
            <w:vAlign w:val="center"/>
          </w:tcPr>
          <w:p w14:paraId="12444548">
            <w:pPr>
              <w:pStyle w:val="41"/>
              <w:rPr>
                <w:color w:val="auto"/>
                <w:highlight w:val="none"/>
              </w:rPr>
            </w:pPr>
          </w:p>
        </w:tc>
      </w:tr>
      <w:tr w14:paraId="6649C5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271781ED">
            <w:pPr>
              <w:pStyle w:val="41"/>
              <w:rPr>
                <w:color w:val="auto"/>
                <w:highlight w:val="none"/>
              </w:rPr>
            </w:pPr>
          </w:p>
        </w:tc>
        <w:tc>
          <w:tcPr>
            <w:tcW w:w="911" w:type="pct"/>
            <w:gridSpan w:val="2"/>
            <w:vAlign w:val="center"/>
          </w:tcPr>
          <w:p w14:paraId="4BE01878">
            <w:pPr>
              <w:pStyle w:val="41"/>
              <w:rPr>
                <w:color w:val="auto"/>
                <w:highlight w:val="none"/>
              </w:rPr>
            </w:pPr>
            <w:r>
              <w:rPr>
                <w:color w:val="auto"/>
                <w:highlight w:val="none"/>
              </w:rPr>
              <w:t>所属土壤环境影响评价项目类别</w:t>
            </w:r>
          </w:p>
        </w:tc>
        <w:tc>
          <w:tcPr>
            <w:tcW w:w="3287" w:type="pct"/>
            <w:gridSpan w:val="6"/>
            <w:vAlign w:val="center"/>
          </w:tcPr>
          <w:p w14:paraId="6F179659">
            <w:pPr>
              <w:pStyle w:val="41"/>
              <w:rPr>
                <w:color w:val="auto"/>
                <w:highlight w:val="none"/>
              </w:rPr>
            </w:pPr>
            <w:r>
              <w:rPr>
                <w:rFonts w:hint="eastAsia"/>
                <w:color w:val="auto"/>
                <w:highlight w:val="none"/>
              </w:rPr>
              <w:t>Ⅰ</w:t>
            </w:r>
            <w:r>
              <w:rPr>
                <w:color w:val="auto"/>
                <w:highlight w:val="none"/>
              </w:rPr>
              <w:t>类</w:t>
            </w:r>
            <w:r>
              <w:rPr>
                <w:color w:val="auto"/>
                <w:highlight w:val="none"/>
              </w:rPr>
              <w:sym w:font="Wingdings 2" w:char="0052"/>
            </w:r>
            <w:r>
              <w:rPr>
                <w:color w:val="auto"/>
                <w:highlight w:val="none"/>
              </w:rPr>
              <w:t>；</w:t>
            </w:r>
            <w:r>
              <w:rPr>
                <w:rFonts w:hint="eastAsia"/>
                <w:color w:val="auto"/>
                <w:highlight w:val="none"/>
              </w:rPr>
              <w:t>Ⅱ</w:t>
            </w:r>
            <w:r>
              <w:rPr>
                <w:color w:val="auto"/>
                <w:highlight w:val="none"/>
              </w:rPr>
              <w:t>类</w:t>
            </w:r>
            <w:r>
              <w:rPr>
                <w:color w:val="auto"/>
                <w:highlight w:val="none"/>
              </w:rPr>
              <w:sym w:font="Wingdings 2" w:char="00A3"/>
            </w:r>
            <w:r>
              <w:rPr>
                <w:color w:val="auto"/>
                <w:highlight w:val="none"/>
              </w:rPr>
              <w:t>；</w:t>
            </w:r>
            <w:r>
              <w:rPr>
                <w:rFonts w:hint="eastAsia"/>
                <w:color w:val="auto"/>
                <w:highlight w:val="none"/>
              </w:rPr>
              <w:t>Ⅲ</w:t>
            </w:r>
            <w:r>
              <w:rPr>
                <w:color w:val="auto"/>
                <w:highlight w:val="none"/>
              </w:rPr>
              <w:t>类</w:t>
            </w:r>
            <w:r>
              <w:rPr>
                <w:color w:val="auto"/>
                <w:highlight w:val="none"/>
              </w:rPr>
              <w:sym w:font="Wingdings 2" w:char="00A3"/>
            </w:r>
            <w:r>
              <w:rPr>
                <w:color w:val="auto"/>
                <w:highlight w:val="none"/>
              </w:rPr>
              <w:t>；</w:t>
            </w:r>
            <w:r>
              <w:rPr>
                <w:rFonts w:hint="eastAsia"/>
                <w:color w:val="auto"/>
                <w:highlight w:val="none"/>
              </w:rPr>
              <w:t>Ⅳ</w:t>
            </w:r>
            <w:r>
              <w:rPr>
                <w:color w:val="auto"/>
                <w:highlight w:val="none"/>
              </w:rPr>
              <w:t>类</w:t>
            </w:r>
            <w:r>
              <w:rPr>
                <w:color w:val="auto"/>
                <w:highlight w:val="none"/>
              </w:rPr>
              <w:sym w:font="Wingdings 2" w:char="00A3"/>
            </w:r>
          </w:p>
        </w:tc>
        <w:tc>
          <w:tcPr>
            <w:tcW w:w="551" w:type="pct"/>
            <w:vAlign w:val="center"/>
          </w:tcPr>
          <w:p w14:paraId="76EFBD9A">
            <w:pPr>
              <w:pStyle w:val="41"/>
              <w:rPr>
                <w:color w:val="auto"/>
                <w:highlight w:val="none"/>
              </w:rPr>
            </w:pPr>
          </w:p>
        </w:tc>
      </w:tr>
      <w:tr w14:paraId="574782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61" w:type="pct"/>
            <w:gridSpan w:val="3"/>
            <w:vAlign w:val="center"/>
          </w:tcPr>
          <w:p w14:paraId="371ADED8">
            <w:pPr>
              <w:pStyle w:val="41"/>
              <w:rPr>
                <w:color w:val="auto"/>
                <w:highlight w:val="none"/>
              </w:rPr>
            </w:pPr>
            <w:r>
              <w:rPr>
                <w:color w:val="auto"/>
                <w:highlight w:val="none"/>
              </w:rPr>
              <w:t>评价工作等级</w:t>
            </w:r>
          </w:p>
        </w:tc>
        <w:tc>
          <w:tcPr>
            <w:tcW w:w="3287" w:type="pct"/>
            <w:gridSpan w:val="6"/>
            <w:vAlign w:val="center"/>
          </w:tcPr>
          <w:p w14:paraId="1CE3D5FE">
            <w:pPr>
              <w:pStyle w:val="41"/>
              <w:rPr>
                <w:color w:val="auto"/>
                <w:highlight w:val="none"/>
              </w:rPr>
            </w:pPr>
            <w:r>
              <w:rPr>
                <w:color w:val="auto"/>
                <w:highlight w:val="none"/>
              </w:rPr>
              <w:t>一级</w:t>
            </w:r>
            <w:r>
              <w:rPr>
                <w:color w:val="auto"/>
                <w:highlight w:val="none"/>
              </w:rPr>
              <w:sym w:font="Wingdings 2" w:char="0052"/>
            </w:r>
            <w:r>
              <w:rPr>
                <w:rFonts w:hint="eastAsia"/>
                <w:color w:val="auto"/>
                <w:highlight w:val="none"/>
                <w:lang w:eastAsia="zh-CN"/>
              </w:rPr>
              <w:t>（尾矿库）</w:t>
            </w:r>
            <w:r>
              <w:rPr>
                <w:color w:val="auto"/>
                <w:highlight w:val="none"/>
              </w:rPr>
              <w:t>；二级</w:t>
            </w:r>
            <w:r>
              <w:rPr>
                <w:rFonts w:hint="eastAsia"/>
                <w:color w:val="auto"/>
                <w:highlight w:val="none"/>
              </w:rPr>
              <w:t>☑</w:t>
            </w:r>
            <w:r>
              <w:rPr>
                <w:rFonts w:hint="eastAsia"/>
                <w:color w:val="auto"/>
                <w:highlight w:val="none"/>
                <w:lang w:eastAsia="zh-CN"/>
              </w:rPr>
              <w:t>（选矿厂）</w:t>
            </w:r>
            <w:r>
              <w:rPr>
                <w:color w:val="auto"/>
                <w:highlight w:val="none"/>
              </w:rPr>
              <w:t>；三级</w:t>
            </w:r>
            <w:r>
              <w:rPr>
                <w:rFonts w:hint="eastAsia"/>
                <w:color w:val="auto"/>
                <w:highlight w:val="none"/>
                <w:lang w:eastAsia="zh-CN"/>
              </w:rPr>
              <w:t>（</w:t>
            </w:r>
          </w:p>
        </w:tc>
        <w:tc>
          <w:tcPr>
            <w:tcW w:w="551" w:type="pct"/>
            <w:vAlign w:val="center"/>
          </w:tcPr>
          <w:p w14:paraId="6B953CB9">
            <w:pPr>
              <w:pStyle w:val="41"/>
              <w:rPr>
                <w:color w:val="auto"/>
                <w:highlight w:val="none"/>
              </w:rPr>
            </w:pPr>
          </w:p>
        </w:tc>
      </w:tr>
      <w:tr w14:paraId="3E80BE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restart"/>
            <w:vAlign w:val="center"/>
          </w:tcPr>
          <w:p w14:paraId="6D5484C9">
            <w:pPr>
              <w:pStyle w:val="41"/>
              <w:rPr>
                <w:color w:val="auto"/>
                <w:highlight w:val="none"/>
              </w:rPr>
            </w:pPr>
          </w:p>
          <w:p w14:paraId="5E76F3FA">
            <w:pPr>
              <w:pStyle w:val="41"/>
              <w:rPr>
                <w:color w:val="auto"/>
                <w:highlight w:val="none"/>
              </w:rPr>
            </w:pPr>
            <w:r>
              <w:rPr>
                <w:color w:val="auto"/>
                <w:highlight w:val="none"/>
              </w:rPr>
              <w:t>现状调查内容</w:t>
            </w:r>
          </w:p>
        </w:tc>
        <w:tc>
          <w:tcPr>
            <w:tcW w:w="911" w:type="pct"/>
            <w:gridSpan w:val="2"/>
            <w:vAlign w:val="center"/>
          </w:tcPr>
          <w:p w14:paraId="147A9976">
            <w:pPr>
              <w:pStyle w:val="41"/>
              <w:rPr>
                <w:color w:val="auto"/>
                <w:highlight w:val="none"/>
              </w:rPr>
            </w:pPr>
            <w:r>
              <w:rPr>
                <w:color w:val="auto"/>
                <w:highlight w:val="none"/>
              </w:rPr>
              <w:t>资料收集</w:t>
            </w:r>
          </w:p>
        </w:tc>
        <w:tc>
          <w:tcPr>
            <w:tcW w:w="3287" w:type="pct"/>
            <w:gridSpan w:val="6"/>
            <w:vAlign w:val="center"/>
          </w:tcPr>
          <w:p w14:paraId="3E5DFCF7">
            <w:pPr>
              <w:pStyle w:val="41"/>
              <w:rPr>
                <w:color w:val="auto"/>
                <w:highlight w:val="none"/>
              </w:rPr>
            </w:pPr>
            <w:r>
              <w:rPr>
                <w:color w:val="auto"/>
                <w:highlight w:val="none"/>
              </w:rPr>
              <w:t>a</w:t>
            </w:r>
            <w:r>
              <w:rPr>
                <w:rFonts w:hint="eastAsia"/>
                <w:color w:val="auto"/>
                <w:highlight w:val="none"/>
                <w:lang w:eastAsia="zh-CN"/>
              </w:rPr>
              <w:t>）</w:t>
            </w:r>
            <w:r>
              <w:rPr>
                <w:color w:val="auto"/>
                <w:highlight w:val="none"/>
              </w:rPr>
              <w:sym w:font="Wingdings 2" w:char="0052"/>
            </w:r>
            <w:r>
              <w:rPr>
                <w:color w:val="auto"/>
                <w:highlight w:val="none"/>
              </w:rPr>
              <w:t>；b)</w:t>
            </w:r>
            <w:r>
              <w:rPr>
                <w:color w:val="auto"/>
                <w:highlight w:val="none"/>
              </w:rPr>
              <w:sym w:font="Wingdings 2" w:char="0052"/>
            </w:r>
            <w:r>
              <w:rPr>
                <w:color w:val="auto"/>
                <w:highlight w:val="none"/>
              </w:rPr>
              <w:t>；c)</w:t>
            </w:r>
            <w:r>
              <w:rPr>
                <w:color w:val="auto"/>
                <w:highlight w:val="none"/>
              </w:rPr>
              <w:sym w:font="Wingdings 2" w:char="0052"/>
            </w:r>
            <w:r>
              <w:rPr>
                <w:color w:val="auto"/>
                <w:highlight w:val="none"/>
              </w:rPr>
              <w:t>；d)</w:t>
            </w:r>
            <w:r>
              <w:rPr>
                <w:color w:val="auto"/>
                <w:highlight w:val="none"/>
              </w:rPr>
              <w:sym w:font="Wingdings 2" w:char="0052"/>
            </w:r>
          </w:p>
        </w:tc>
        <w:tc>
          <w:tcPr>
            <w:tcW w:w="551" w:type="pct"/>
            <w:vAlign w:val="center"/>
          </w:tcPr>
          <w:p w14:paraId="36BE52F1">
            <w:pPr>
              <w:pStyle w:val="41"/>
              <w:rPr>
                <w:color w:val="auto"/>
                <w:highlight w:val="none"/>
              </w:rPr>
            </w:pPr>
          </w:p>
        </w:tc>
      </w:tr>
      <w:tr w14:paraId="151E1C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6C234F86">
            <w:pPr>
              <w:pStyle w:val="41"/>
              <w:rPr>
                <w:color w:val="auto"/>
                <w:highlight w:val="none"/>
              </w:rPr>
            </w:pPr>
          </w:p>
        </w:tc>
        <w:tc>
          <w:tcPr>
            <w:tcW w:w="911" w:type="pct"/>
            <w:gridSpan w:val="2"/>
            <w:vAlign w:val="center"/>
          </w:tcPr>
          <w:p w14:paraId="21AEBE38">
            <w:pPr>
              <w:pStyle w:val="41"/>
              <w:rPr>
                <w:color w:val="auto"/>
                <w:highlight w:val="none"/>
              </w:rPr>
            </w:pPr>
            <w:r>
              <w:rPr>
                <w:color w:val="auto"/>
                <w:highlight w:val="none"/>
              </w:rPr>
              <w:t>理化特性</w:t>
            </w:r>
          </w:p>
        </w:tc>
        <w:tc>
          <w:tcPr>
            <w:tcW w:w="3287" w:type="pct"/>
            <w:gridSpan w:val="6"/>
            <w:vAlign w:val="center"/>
          </w:tcPr>
          <w:p w14:paraId="47C42B9B">
            <w:pPr>
              <w:pStyle w:val="41"/>
              <w:rPr>
                <w:color w:val="auto"/>
                <w:highlight w:val="none"/>
              </w:rPr>
            </w:pPr>
            <w:r>
              <w:rPr>
                <w:color w:val="auto"/>
                <w:highlight w:val="none"/>
              </w:rPr>
              <w:t>/</w:t>
            </w:r>
          </w:p>
        </w:tc>
        <w:tc>
          <w:tcPr>
            <w:tcW w:w="551" w:type="pct"/>
            <w:vAlign w:val="center"/>
          </w:tcPr>
          <w:p w14:paraId="4BC9BB2A">
            <w:pPr>
              <w:pStyle w:val="41"/>
              <w:rPr>
                <w:color w:val="auto"/>
                <w:highlight w:val="none"/>
              </w:rPr>
            </w:pPr>
            <w:r>
              <w:rPr>
                <w:color w:val="auto"/>
                <w:highlight w:val="none"/>
              </w:rPr>
              <w:t>同附录c</w:t>
            </w:r>
          </w:p>
        </w:tc>
      </w:tr>
      <w:tr w14:paraId="774625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3F3D8603">
            <w:pPr>
              <w:pStyle w:val="41"/>
              <w:rPr>
                <w:color w:val="auto"/>
                <w:highlight w:val="none"/>
              </w:rPr>
            </w:pPr>
          </w:p>
        </w:tc>
        <w:tc>
          <w:tcPr>
            <w:tcW w:w="450" w:type="pct"/>
            <w:vMerge w:val="restart"/>
            <w:tcBorders>
              <w:right w:val="single" w:color="auto" w:sz="4" w:space="0"/>
            </w:tcBorders>
            <w:vAlign w:val="center"/>
          </w:tcPr>
          <w:p w14:paraId="364AF10A">
            <w:pPr>
              <w:pStyle w:val="41"/>
              <w:rPr>
                <w:color w:val="auto"/>
                <w:highlight w:val="none"/>
              </w:rPr>
            </w:pPr>
            <w:r>
              <w:rPr>
                <w:color w:val="auto"/>
                <w:highlight w:val="none"/>
              </w:rPr>
              <w:t>现状监测点位</w:t>
            </w:r>
          </w:p>
        </w:tc>
        <w:tc>
          <w:tcPr>
            <w:tcW w:w="460" w:type="pct"/>
            <w:tcBorders>
              <w:left w:val="single" w:color="auto" w:sz="4" w:space="0"/>
              <w:bottom w:val="single" w:color="auto" w:sz="4" w:space="0"/>
            </w:tcBorders>
            <w:vAlign w:val="center"/>
          </w:tcPr>
          <w:p w14:paraId="51A2BA83">
            <w:pPr>
              <w:pStyle w:val="41"/>
              <w:rPr>
                <w:color w:val="auto"/>
                <w:highlight w:val="none"/>
              </w:rPr>
            </w:pPr>
          </w:p>
        </w:tc>
        <w:tc>
          <w:tcPr>
            <w:tcW w:w="740" w:type="pct"/>
            <w:vAlign w:val="center"/>
          </w:tcPr>
          <w:p w14:paraId="20721620">
            <w:pPr>
              <w:pStyle w:val="41"/>
              <w:rPr>
                <w:color w:val="auto"/>
                <w:highlight w:val="none"/>
              </w:rPr>
            </w:pPr>
          </w:p>
        </w:tc>
        <w:tc>
          <w:tcPr>
            <w:tcW w:w="809" w:type="pct"/>
            <w:gridSpan w:val="2"/>
            <w:vAlign w:val="center"/>
          </w:tcPr>
          <w:p w14:paraId="5338AE2C">
            <w:pPr>
              <w:pStyle w:val="41"/>
              <w:rPr>
                <w:color w:val="auto"/>
                <w:highlight w:val="none"/>
              </w:rPr>
            </w:pPr>
            <w:r>
              <w:rPr>
                <w:color w:val="auto"/>
                <w:highlight w:val="none"/>
              </w:rPr>
              <w:t>占地范围内</w:t>
            </w:r>
          </w:p>
        </w:tc>
        <w:tc>
          <w:tcPr>
            <w:tcW w:w="833" w:type="pct"/>
            <w:vAlign w:val="center"/>
          </w:tcPr>
          <w:p w14:paraId="407EB78F">
            <w:pPr>
              <w:pStyle w:val="41"/>
              <w:rPr>
                <w:color w:val="auto"/>
                <w:highlight w:val="none"/>
              </w:rPr>
            </w:pPr>
            <w:r>
              <w:rPr>
                <w:color w:val="auto"/>
                <w:highlight w:val="none"/>
              </w:rPr>
              <w:t>占地范围外</w:t>
            </w:r>
          </w:p>
        </w:tc>
        <w:tc>
          <w:tcPr>
            <w:tcW w:w="904" w:type="pct"/>
            <w:gridSpan w:val="2"/>
            <w:vAlign w:val="center"/>
          </w:tcPr>
          <w:p w14:paraId="5854C02A">
            <w:pPr>
              <w:pStyle w:val="41"/>
              <w:rPr>
                <w:color w:val="auto"/>
                <w:highlight w:val="none"/>
              </w:rPr>
            </w:pPr>
            <w:r>
              <w:rPr>
                <w:color w:val="auto"/>
                <w:highlight w:val="none"/>
              </w:rPr>
              <w:t>深度</w:t>
            </w:r>
          </w:p>
        </w:tc>
        <w:tc>
          <w:tcPr>
            <w:tcW w:w="551" w:type="pct"/>
            <w:vMerge w:val="restart"/>
            <w:vAlign w:val="center"/>
          </w:tcPr>
          <w:p w14:paraId="465CF595">
            <w:pPr>
              <w:pStyle w:val="41"/>
              <w:rPr>
                <w:color w:val="auto"/>
                <w:highlight w:val="none"/>
              </w:rPr>
            </w:pPr>
          </w:p>
        </w:tc>
      </w:tr>
      <w:tr w14:paraId="222992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4AC5EED8">
            <w:pPr>
              <w:pStyle w:val="41"/>
              <w:rPr>
                <w:color w:val="auto"/>
                <w:highlight w:val="none"/>
              </w:rPr>
            </w:pPr>
          </w:p>
        </w:tc>
        <w:tc>
          <w:tcPr>
            <w:tcW w:w="450" w:type="pct"/>
            <w:vMerge w:val="continue"/>
            <w:tcBorders>
              <w:right w:val="single" w:color="auto" w:sz="4" w:space="0"/>
            </w:tcBorders>
            <w:vAlign w:val="center"/>
          </w:tcPr>
          <w:p w14:paraId="59CBE539">
            <w:pPr>
              <w:pStyle w:val="41"/>
              <w:rPr>
                <w:color w:val="auto"/>
                <w:highlight w:val="none"/>
              </w:rPr>
            </w:pPr>
          </w:p>
        </w:tc>
        <w:tc>
          <w:tcPr>
            <w:tcW w:w="460" w:type="pct"/>
            <w:vMerge w:val="restart"/>
            <w:tcBorders>
              <w:top w:val="single" w:color="auto" w:sz="4" w:space="0"/>
              <w:left w:val="single" w:color="auto" w:sz="4" w:space="0"/>
            </w:tcBorders>
            <w:vAlign w:val="center"/>
          </w:tcPr>
          <w:p w14:paraId="0541E79E">
            <w:pPr>
              <w:pStyle w:val="41"/>
              <w:rPr>
                <w:rFonts w:hint="eastAsia" w:eastAsia="华文中宋"/>
                <w:color w:val="auto"/>
                <w:highlight w:val="none"/>
                <w:lang w:eastAsia="zh-CN"/>
              </w:rPr>
            </w:pPr>
            <w:r>
              <w:rPr>
                <w:rFonts w:hint="eastAsia"/>
                <w:color w:val="auto"/>
                <w:highlight w:val="none"/>
                <w:lang w:eastAsia="zh-CN"/>
              </w:rPr>
              <w:t>选矿厂</w:t>
            </w:r>
          </w:p>
        </w:tc>
        <w:tc>
          <w:tcPr>
            <w:tcW w:w="740" w:type="pct"/>
            <w:vAlign w:val="center"/>
          </w:tcPr>
          <w:p w14:paraId="1221AF28">
            <w:pPr>
              <w:pStyle w:val="41"/>
              <w:rPr>
                <w:color w:val="auto"/>
                <w:highlight w:val="none"/>
              </w:rPr>
            </w:pPr>
            <w:r>
              <w:rPr>
                <w:color w:val="auto"/>
                <w:highlight w:val="none"/>
              </w:rPr>
              <w:t>表层样</w:t>
            </w:r>
          </w:p>
        </w:tc>
        <w:tc>
          <w:tcPr>
            <w:tcW w:w="809" w:type="pct"/>
            <w:gridSpan w:val="2"/>
            <w:vAlign w:val="center"/>
          </w:tcPr>
          <w:p w14:paraId="32A998FB">
            <w:pPr>
              <w:pStyle w:val="41"/>
              <w:rPr>
                <w:rFonts w:hint="eastAsia" w:eastAsia="华文中宋"/>
                <w:color w:val="auto"/>
                <w:highlight w:val="none"/>
                <w:lang w:val="en-US" w:eastAsia="zh-CN"/>
              </w:rPr>
            </w:pPr>
            <w:r>
              <w:rPr>
                <w:rFonts w:hint="eastAsia"/>
                <w:color w:val="auto"/>
                <w:highlight w:val="none"/>
                <w:lang w:val="en-US" w:eastAsia="zh-CN"/>
              </w:rPr>
              <w:t>2</w:t>
            </w:r>
          </w:p>
        </w:tc>
        <w:tc>
          <w:tcPr>
            <w:tcW w:w="833" w:type="pct"/>
            <w:vAlign w:val="center"/>
          </w:tcPr>
          <w:p w14:paraId="6487324F">
            <w:pPr>
              <w:pStyle w:val="41"/>
              <w:rPr>
                <w:rFonts w:hint="eastAsia" w:eastAsia="华文中宋"/>
                <w:color w:val="auto"/>
                <w:highlight w:val="none"/>
                <w:lang w:val="en-US" w:eastAsia="zh-CN"/>
              </w:rPr>
            </w:pPr>
            <w:r>
              <w:rPr>
                <w:rFonts w:hint="eastAsia"/>
                <w:color w:val="auto"/>
                <w:highlight w:val="none"/>
                <w:lang w:val="en-US" w:eastAsia="zh-CN"/>
              </w:rPr>
              <w:t>4</w:t>
            </w:r>
          </w:p>
        </w:tc>
        <w:tc>
          <w:tcPr>
            <w:tcW w:w="1542" w:type="dxa"/>
            <w:gridSpan w:val="2"/>
            <w:vAlign w:val="center"/>
          </w:tcPr>
          <w:p w14:paraId="35F88235">
            <w:pPr>
              <w:pStyle w:val="41"/>
              <w:rPr>
                <w:color w:val="auto"/>
                <w:highlight w:val="none"/>
              </w:rPr>
            </w:pPr>
            <w:r>
              <w:rPr>
                <w:color w:val="auto"/>
                <w:highlight w:val="none"/>
              </w:rPr>
              <w:t>0.2m</w:t>
            </w:r>
          </w:p>
        </w:tc>
        <w:tc>
          <w:tcPr>
            <w:tcW w:w="551" w:type="pct"/>
            <w:vMerge w:val="continue"/>
            <w:vAlign w:val="center"/>
          </w:tcPr>
          <w:p w14:paraId="5A28FBD8">
            <w:pPr>
              <w:pStyle w:val="41"/>
              <w:rPr>
                <w:color w:val="auto"/>
                <w:highlight w:val="none"/>
              </w:rPr>
            </w:pPr>
          </w:p>
        </w:tc>
      </w:tr>
      <w:tr w14:paraId="082BEF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50" w:type="pct"/>
            <w:vMerge w:val="continue"/>
            <w:vAlign w:val="center"/>
          </w:tcPr>
          <w:p w14:paraId="3F5D0702">
            <w:pPr>
              <w:pStyle w:val="41"/>
              <w:rPr>
                <w:color w:val="auto"/>
                <w:highlight w:val="none"/>
              </w:rPr>
            </w:pPr>
          </w:p>
        </w:tc>
        <w:tc>
          <w:tcPr>
            <w:tcW w:w="450" w:type="pct"/>
            <w:vMerge w:val="continue"/>
            <w:tcBorders>
              <w:right w:val="single" w:color="auto" w:sz="4" w:space="0"/>
            </w:tcBorders>
            <w:vAlign w:val="center"/>
          </w:tcPr>
          <w:p w14:paraId="4F8FFE20">
            <w:pPr>
              <w:pStyle w:val="41"/>
              <w:rPr>
                <w:color w:val="auto"/>
                <w:highlight w:val="none"/>
              </w:rPr>
            </w:pPr>
          </w:p>
        </w:tc>
        <w:tc>
          <w:tcPr>
            <w:tcW w:w="460" w:type="pct"/>
            <w:vMerge w:val="continue"/>
            <w:tcBorders>
              <w:left w:val="single" w:color="auto" w:sz="4" w:space="0"/>
            </w:tcBorders>
            <w:vAlign w:val="center"/>
          </w:tcPr>
          <w:p w14:paraId="06E3545D">
            <w:pPr>
              <w:pStyle w:val="41"/>
              <w:rPr>
                <w:color w:val="auto"/>
                <w:highlight w:val="none"/>
              </w:rPr>
            </w:pPr>
          </w:p>
        </w:tc>
        <w:tc>
          <w:tcPr>
            <w:tcW w:w="740" w:type="pct"/>
            <w:vAlign w:val="center"/>
          </w:tcPr>
          <w:p w14:paraId="1EE8D437">
            <w:pPr>
              <w:pStyle w:val="41"/>
              <w:rPr>
                <w:color w:val="auto"/>
                <w:highlight w:val="none"/>
              </w:rPr>
            </w:pPr>
            <w:r>
              <w:rPr>
                <w:color w:val="auto"/>
                <w:highlight w:val="none"/>
              </w:rPr>
              <w:t>柱状样</w:t>
            </w:r>
          </w:p>
        </w:tc>
        <w:tc>
          <w:tcPr>
            <w:tcW w:w="809" w:type="pct"/>
            <w:gridSpan w:val="2"/>
            <w:vAlign w:val="center"/>
          </w:tcPr>
          <w:p w14:paraId="72E83BCA">
            <w:pPr>
              <w:pStyle w:val="41"/>
              <w:rPr>
                <w:rFonts w:hint="eastAsia" w:eastAsia="华文中宋"/>
                <w:color w:val="auto"/>
                <w:highlight w:val="none"/>
                <w:lang w:val="en-US" w:eastAsia="zh-CN"/>
              </w:rPr>
            </w:pPr>
            <w:r>
              <w:rPr>
                <w:rFonts w:hint="eastAsia"/>
                <w:color w:val="auto"/>
                <w:highlight w:val="none"/>
                <w:lang w:val="en-US" w:eastAsia="zh-CN"/>
              </w:rPr>
              <w:t>5</w:t>
            </w:r>
          </w:p>
        </w:tc>
        <w:tc>
          <w:tcPr>
            <w:tcW w:w="833" w:type="pct"/>
            <w:vAlign w:val="center"/>
          </w:tcPr>
          <w:p w14:paraId="5FDC3D9C">
            <w:pPr>
              <w:pStyle w:val="41"/>
              <w:rPr>
                <w:rFonts w:hint="eastAsia" w:eastAsia="华文中宋"/>
                <w:color w:val="auto"/>
                <w:highlight w:val="none"/>
                <w:lang w:val="en-US" w:eastAsia="zh-CN"/>
              </w:rPr>
            </w:pPr>
            <w:r>
              <w:rPr>
                <w:rFonts w:hint="eastAsia"/>
                <w:color w:val="auto"/>
                <w:highlight w:val="none"/>
                <w:lang w:val="en-US" w:eastAsia="zh-CN"/>
              </w:rPr>
              <w:t>/</w:t>
            </w:r>
          </w:p>
        </w:tc>
        <w:tc>
          <w:tcPr>
            <w:tcW w:w="1542" w:type="dxa"/>
            <w:gridSpan w:val="2"/>
            <w:vAlign w:val="center"/>
          </w:tcPr>
          <w:p w14:paraId="0968010E">
            <w:pPr>
              <w:pStyle w:val="41"/>
              <w:rPr>
                <w:color w:val="auto"/>
                <w:highlight w:val="none"/>
              </w:rPr>
            </w:pPr>
            <w:r>
              <w:rPr>
                <w:color w:val="auto"/>
                <w:highlight w:val="none"/>
              </w:rPr>
              <w:t>0.5m、1.5m、3m</w:t>
            </w:r>
          </w:p>
        </w:tc>
        <w:tc>
          <w:tcPr>
            <w:tcW w:w="551" w:type="pct"/>
            <w:vMerge w:val="continue"/>
            <w:vAlign w:val="center"/>
          </w:tcPr>
          <w:p w14:paraId="7666B7DC">
            <w:pPr>
              <w:pStyle w:val="41"/>
              <w:rPr>
                <w:color w:val="auto"/>
                <w:highlight w:val="none"/>
              </w:rPr>
            </w:pPr>
          </w:p>
        </w:tc>
      </w:tr>
      <w:tr w14:paraId="1B12BD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0EDA93D9">
            <w:pPr>
              <w:pStyle w:val="41"/>
              <w:rPr>
                <w:color w:val="auto"/>
                <w:highlight w:val="none"/>
              </w:rPr>
            </w:pPr>
          </w:p>
        </w:tc>
        <w:tc>
          <w:tcPr>
            <w:tcW w:w="450" w:type="pct"/>
            <w:vMerge w:val="continue"/>
            <w:tcBorders>
              <w:right w:val="single" w:color="auto" w:sz="4" w:space="0"/>
            </w:tcBorders>
            <w:vAlign w:val="center"/>
          </w:tcPr>
          <w:p w14:paraId="6AFA6147">
            <w:pPr>
              <w:pStyle w:val="41"/>
              <w:rPr>
                <w:color w:val="auto"/>
                <w:highlight w:val="none"/>
              </w:rPr>
            </w:pPr>
          </w:p>
        </w:tc>
        <w:tc>
          <w:tcPr>
            <w:tcW w:w="460" w:type="pct"/>
            <w:vMerge w:val="restart"/>
            <w:tcBorders>
              <w:top w:val="single" w:color="auto" w:sz="4" w:space="0"/>
              <w:left w:val="single" w:color="auto" w:sz="4" w:space="0"/>
            </w:tcBorders>
            <w:vAlign w:val="center"/>
          </w:tcPr>
          <w:p w14:paraId="5FB1B6DA">
            <w:pPr>
              <w:pStyle w:val="41"/>
              <w:rPr>
                <w:rFonts w:hint="eastAsia" w:eastAsia="华文中宋"/>
                <w:color w:val="auto"/>
                <w:highlight w:val="none"/>
                <w:lang w:eastAsia="zh-CN"/>
              </w:rPr>
            </w:pPr>
            <w:r>
              <w:rPr>
                <w:rFonts w:hint="eastAsia"/>
                <w:color w:val="auto"/>
                <w:highlight w:val="none"/>
                <w:lang w:eastAsia="zh-CN"/>
              </w:rPr>
              <w:t>尾矿库</w:t>
            </w:r>
          </w:p>
        </w:tc>
        <w:tc>
          <w:tcPr>
            <w:tcW w:w="740" w:type="pct"/>
            <w:shd w:val="clear" w:color="auto" w:fill="auto"/>
            <w:vAlign w:val="center"/>
          </w:tcPr>
          <w:p w14:paraId="102B4A45">
            <w:pPr>
              <w:pStyle w:val="41"/>
              <w:rPr>
                <w:rFonts w:ascii="Times New Roman" w:hAnsi="Times New Roman" w:eastAsia="华文中宋" w:cstheme="minorBidi"/>
                <w:color w:val="auto"/>
                <w:sz w:val="21"/>
                <w:szCs w:val="21"/>
                <w:highlight w:val="none"/>
                <w:lang w:val="en-US" w:eastAsia="zh-CN" w:bidi="ar-SA"/>
              </w:rPr>
            </w:pPr>
            <w:r>
              <w:rPr>
                <w:color w:val="auto"/>
                <w:highlight w:val="none"/>
              </w:rPr>
              <w:t>表层样</w:t>
            </w:r>
          </w:p>
        </w:tc>
        <w:tc>
          <w:tcPr>
            <w:tcW w:w="809" w:type="pct"/>
            <w:gridSpan w:val="2"/>
            <w:shd w:val="clear" w:color="auto" w:fill="auto"/>
            <w:vAlign w:val="center"/>
          </w:tcPr>
          <w:p w14:paraId="07C32C5E">
            <w:pPr>
              <w:pStyle w:val="41"/>
              <w:rPr>
                <w:rFonts w:hint="default" w:ascii="Times New Roman" w:hAnsi="Times New Roman" w:eastAsia="华文中宋" w:cstheme="minorBidi"/>
                <w:color w:val="auto"/>
                <w:sz w:val="21"/>
                <w:szCs w:val="21"/>
                <w:highlight w:val="none"/>
                <w:lang w:val="en-US" w:eastAsia="zh-CN" w:bidi="ar-SA"/>
              </w:rPr>
            </w:pPr>
            <w:r>
              <w:rPr>
                <w:rFonts w:hint="eastAsia" w:cstheme="minorBidi"/>
                <w:color w:val="auto"/>
                <w:sz w:val="21"/>
                <w:szCs w:val="21"/>
                <w:highlight w:val="none"/>
                <w:lang w:val="en-US" w:eastAsia="zh-CN" w:bidi="ar-SA"/>
              </w:rPr>
              <w:t>2</w:t>
            </w:r>
          </w:p>
        </w:tc>
        <w:tc>
          <w:tcPr>
            <w:tcW w:w="833" w:type="pct"/>
            <w:shd w:val="clear" w:color="auto" w:fill="auto"/>
            <w:vAlign w:val="center"/>
          </w:tcPr>
          <w:p w14:paraId="2EDE6C46">
            <w:pPr>
              <w:pStyle w:val="41"/>
              <w:rPr>
                <w:rFonts w:hint="eastAsia" w:ascii="Times New Roman" w:hAnsi="Times New Roman" w:eastAsia="华文中宋" w:cstheme="minorBidi"/>
                <w:color w:val="auto"/>
                <w:sz w:val="21"/>
                <w:szCs w:val="21"/>
                <w:highlight w:val="none"/>
                <w:lang w:val="en-US" w:eastAsia="zh-CN" w:bidi="ar-SA"/>
              </w:rPr>
            </w:pPr>
            <w:r>
              <w:rPr>
                <w:rFonts w:hint="eastAsia"/>
                <w:color w:val="auto"/>
                <w:highlight w:val="none"/>
                <w:lang w:val="en-US" w:eastAsia="zh-CN"/>
              </w:rPr>
              <w:t>4</w:t>
            </w:r>
          </w:p>
        </w:tc>
        <w:tc>
          <w:tcPr>
            <w:tcW w:w="904" w:type="pct"/>
            <w:gridSpan w:val="2"/>
            <w:shd w:val="clear" w:color="auto" w:fill="auto"/>
            <w:vAlign w:val="center"/>
          </w:tcPr>
          <w:p w14:paraId="600FCCD5">
            <w:pPr>
              <w:pStyle w:val="41"/>
              <w:rPr>
                <w:rFonts w:ascii="Times New Roman" w:hAnsi="Times New Roman" w:eastAsia="华文中宋" w:cstheme="minorBidi"/>
                <w:color w:val="auto"/>
                <w:sz w:val="21"/>
                <w:szCs w:val="21"/>
                <w:highlight w:val="none"/>
                <w:lang w:val="en-US" w:eastAsia="zh-CN" w:bidi="ar-SA"/>
              </w:rPr>
            </w:pPr>
            <w:r>
              <w:rPr>
                <w:color w:val="auto"/>
                <w:highlight w:val="none"/>
              </w:rPr>
              <w:t>0.2m</w:t>
            </w:r>
          </w:p>
        </w:tc>
        <w:tc>
          <w:tcPr>
            <w:tcW w:w="551" w:type="pct"/>
            <w:vMerge w:val="continue"/>
            <w:vAlign w:val="center"/>
          </w:tcPr>
          <w:p w14:paraId="7E1CA8A6">
            <w:pPr>
              <w:pStyle w:val="41"/>
              <w:rPr>
                <w:color w:val="auto"/>
                <w:highlight w:val="none"/>
              </w:rPr>
            </w:pPr>
          </w:p>
        </w:tc>
      </w:tr>
      <w:tr w14:paraId="15D95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5E18FF2D">
            <w:pPr>
              <w:pStyle w:val="41"/>
              <w:rPr>
                <w:color w:val="auto"/>
                <w:highlight w:val="none"/>
              </w:rPr>
            </w:pPr>
          </w:p>
        </w:tc>
        <w:tc>
          <w:tcPr>
            <w:tcW w:w="450" w:type="pct"/>
            <w:vMerge w:val="continue"/>
            <w:tcBorders>
              <w:right w:val="single" w:color="auto" w:sz="4" w:space="0"/>
            </w:tcBorders>
            <w:vAlign w:val="center"/>
          </w:tcPr>
          <w:p w14:paraId="1E2929C6">
            <w:pPr>
              <w:pStyle w:val="41"/>
              <w:rPr>
                <w:color w:val="auto"/>
                <w:highlight w:val="none"/>
              </w:rPr>
            </w:pPr>
          </w:p>
        </w:tc>
        <w:tc>
          <w:tcPr>
            <w:tcW w:w="460" w:type="pct"/>
            <w:vMerge w:val="continue"/>
            <w:tcBorders>
              <w:top w:val="single" w:color="auto" w:sz="4" w:space="0"/>
              <w:left w:val="single" w:color="auto" w:sz="4" w:space="0"/>
              <w:bottom w:val="single" w:color="auto" w:sz="4" w:space="0"/>
            </w:tcBorders>
            <w:vAlign w:val="center"/>
          </w:tcPr>
          <w:p w14:paraId="73AB9CD9">
            <w:pPr>
              <w:pStyle w:val="41"/>
              <w:rPr>
                <w:color w:val="auto"/>
                <w:highlight w:val="none"/>
              </w:rPr>
            </w:pPr>
          </w:p>
        </w:tc>
        <w:tc>
          <w:tcPr>
            <w:tcW w:w="740" w:type="pct"/>
            <w:shd w:val="clear" w:color="auto" w:fill="auto"/>
            <w:vAlign w:val="center"/>
          </w:tcPr>
          <w:p w14:paraId="2C345C29">
            <w:pPr>
              <w:pStyle w:val="41"/>
              <w:rPr>
                <w:rFonts w:ascii="Times New Roman" w:hAnsi="Times New Roman" w:eastAsia="华文中宋" w:cstheme="minorBidi"/>
                <w:color w:val="auto"/>
                <w:sz w:val="21"/>
                <w:szCs w:val="21"/>
                <w:highlight w:val="none"/>
                <w:lang w:val="en-US" w:eastAsia="zh-CN" w:bidi="ar-SA"/>
              </w:rPr>
            </w:pPr>
            <w:r>
              <w:rPr>
                <w:color w:val="auto"/>
                <w:highlight w:val="none"/>
              </w:rPr>
              <w:t>柱状样</w:t>
            </w:r>
          </w:p>
        </w:tc>
        <w:tc>
          <w:tcPr>
            <w:tcW w:w="809" w:type="pct"/>
            <w:gridSpan w:val="2"/>
            <w:shd w:val="clear" w:color="auto" w:fill="auto"/>
            <w:vAlign w:val="center"/>
          </w:tcPr>
          <w:p w14:paraId="6FC05274">
            <w:pPr>
              <w:pStyle w:val="41"/>
              <w:rPr>
                <w:rFonts w:hint="eastAsia" w:ascii="Times New Roman" w:hAnsi="Times New Roman" w:eastAsia="华文中宋" w:cstheme="minorBidi"/>
                <w:color w:val="auto"/>
                <w:sz w:val="21"/>
                <w:szCs w:val="21"/>
                <w:highlight w:val="none"/>
                <w:lang w:val="en-US" w:eastAsia="zh-CN" w:bidi="ar-SA"/>
              </w:rPr>
            </w:pPr>
            <w:r>
              <w:rPr>
                <w:rFonts w:hint="eastAsia"/>
                <w:color w:val="auto"/>
                <w:highlight w:val="none"/>
                <w:lang w:val="en-US" w:eastAsia="zh-CN"/>
              </w:rPr>
              <w:t>5</w:t>
            </w:r>
          </w:p>
        </w:tc>
        <w:tc>
          <w:tcPr>
            <w:tcW w:w="833" w:type="pct"/>
            <w:shd w:val="clear" w:color="auto" w:fill="auto"/>
            <w:vAlign w:val="center"/>
          </w:tcPr>
          <w:p w14:paraId="402829DF">
            <w:pPr>
              <w:pStyle w:val="41"/>
              <w:rPr>
                <w:rFonts w:ascii="Times New Roman" w:hAnsi="Times New Roman" w:eastAsia="华文中宋" w:cstheme="minorBidi"/>
                <w:color w:val="auto"/>
                <w:sz w:val="21"/>
                <w:szCs w:val="21"/>
                <w:highlight w:val="none"/>
                <w:lang w:val="en-US" w:eastAsia="zh-CN" w:bidi="ar-SA"/>
              </w:rPr>
            </w:pPr>
            <w:r>
              <w:rPr>
                <w:color w:val="auto"/>
                <w:highlight w:val="none"/>
              </w:rPr>
              <w:t>/</w:t>
            </w:r>
          </w:p>
        </w:tc>
        <w:tc>
          <w:tcPr>
            <w:tcW w:w="904" w:type="pct"/>
            <w:gridSpan w:val="2"/>
            <w:shd w:val="clear" w:color="auto" w:fill="auto"/>
            <w:vAlign w:val="center"/>
          </w:tcPr>
          <w:p w14:paraId="5FDB220E">
            <w:pPr>
              <w:pStyle w:val="41"/>
              <w:rPr>
                <w:rFonts w:ascii="Times New Roman" w:hAnsi="Times New Roman" w:eastAsia="华文中宋" w:cstheme="minorBidi"/>
                <w:color w:val="auto"/>
                <w:sz w:val="21"/>
                <w:szCs w:val="21"/>
                <w:highlight w:val="none"/>
                <w:lang w:val="en-US" w:eastAsia="zh-CN" w:bidi="ar-SA"/>
              </w:rPr>
            </w:pPr>
            <w:r>
              <w:rPr>
                <w:color w:val="auto"/>
                <w:highlight w:val="none"/>
              </w:rPr>
              <w:t>0.5m、1.5m、3m</w:t>
            </w:r>
          </w:p>
        </w:tc>
        <w:tc>
          <w:tcPr>
            <w:tcW w:w="551" w:type="pct"/>
            <w:vMerge w:val="continue"/>
            <w:vAlign w:val="center"/>
          </w:tcPr>
          <w:p w14:paraId="74B66F50">
            <w:pPr>
              <w:pStyle w:val="41"/>
              <w:rPr>
                <w:color w:val="auto"/>
                <w:highlight w:val="none"/>
              </w:rPr>
            </w:pPr>
          </w:p>
        </w:tc>
      </w:tr>
      <w:tr w14:paraId="446E8A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07F98D92">
            <w:pPr>
              <w:pStyle w:val="41"/>
              <w:rPr>
                <w:color w:val="auto"/>
                <w:highlight w:val="none"/>
              </w:rPr>
            </w:pPr>
          </w:p>
        </w:tc>
        <w:tc>
          <w:tcPr>
            <w:tcW w:w="911" w:type="pct"/>
            <w:gridSpan w:val="2"/>
            <w:tcBorders>
              <w:top w:val="single" w:color="auto" w:sz="4" w:space="0"/>
            </w:tcBorders>
            <w:vAlign w:val="center"/>
          </w:tcPr>
          <w:p w14:paraId="0BB8D1DD">
            <w:pPr>
              <w:pStyle w:val="41"/>
              <w:rPr>
                <w:color w:val="auto"/>
                <w:highlight w:val="none"/>
              </w:rPr>
            </w:pPr>
            <w:r>
              <w:rPr>
                <w:color w:val="auto"/>
                <w:highlight w:val="none"/>
              </w:rPr>
              <w:t>现状监测因子</w:t>
            </w:r>
          </w:p>
        </w:tc>
        <w:tc>
          <w:tcPr>
            <w:tcW w:w="3287" w:type="pct"/>
            <w:gridSpan w:val="6"/>
            <w:vAlign w:val="center"/>
          </w:tcPr>
          <w:p w14:paraId="4C57CB20">
            <w:pPr>
              <w:pStyle w:val="41"/>
              <w:rPr>
                <w:color w:val="auto"/>
                <w:highlight w:val="none"/>
              </w:rPr>
            </w:pPr>
            <w:r>
              <w:rPr>
                <w:color w:val="auto"/>
                <w:highlight w:val="none"/>
              </w:rPr>
              <w:t>基本因子：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对/间二甲苯、邻二甲苯）；硝基苯、苯胺、2-氯酚、苯并[a]蒽、苯并[a]芘、苯并[b]荧蒽、苯并[k]荧蒽、䓛、二苯并[a,h]蒽、茚并[1,2,3-cd]芘、萘）；特征因子：砷、镉、铬（六价）、铜、铅、汞、镍、锌、pH 值。</w:t>
            </w:r>
          </w:p>
        </w:tc>
        <w:tc>
          <w:tcPr>
            <w:tcW w:w="551" w:type="pct"/>
            <w:vAlign w:val="center"/>
          </w:tcPr>
          <w:p w14:paraId="5F185B2C">
            <w:pPr>
              <w:pStyle w:val="41"/>
              <w:rPr>
                <w:color w:val="auto"/>
                <w:highlight w:val="none"/>
              </w:rPr>
            </w:pPr>
          </w:p>
        </w:tc>
      </w:tr>
      <w:tr w14:paraId="2E9B74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restart"/>
            <w:vAlign w:val="center"/>
          </w:tcPr>
          <w:p w14:paraId="5FD4FEDD">
            <w:pPr>
              <w:pStyle w:val="41"/>
              <w:rPr>
                <w:color w:val="auto"/>
                <w:highlight w:val="none"/>
              </w:rPr>
            </w:pPr>
            <w:r>
              <w:rPr>
                <w:color w:val="auto"/>
                <w:highlight w:val="none"/>
              </w:rPr>
              <w:t>现状评价</w:t>
            </w:r>
          </w:p>
        </w:tc>
        <w:tc>
          <w:tcPr>
            <w:tcW w:w="911" w:type="pct"/>
            <w:gridSpan w:val="2"/>
            <w:vAlign w:val="center"/>
          </w:tcPr>
          <w:p w14:paraId="094250C9">
            <w:pPr>
              <w:pStyle w:val="41"/>
              <w:rPr>
                <w:color w:val="auto"/>
                <w:highlight w:val="none"/>
              </w:rPr>
            </w:pPr>
            <w:r>
              <w:rPr>
                <w:color w:val="auto"/>
                <w:highlight w:val="none"/>
              </w:rPr>
              <w:t>现状评价因子</w:t>
            </w:r>
          </w:p>
        </w:tc>
        <w:tc>
          <w:tcPr>
            <w:tcW w:w="3287" w:type="pct"/>
            <w:gridSpan w:val="6"/>
            <w:vAlign w:val="center"/>
          </w:tcPr>
          <w:p w14:paraId="5021E318">
            <w:pPr>
              <w:pStyle w:val="41"/>
              <w:rPr>
                <w:color w:val="auto"/>
                <w:highlight w:val="none"/>
              </w:rPr>
            </w:pPr>
            <w:r>
              <w:rPr>
                <w:color w:val="auto"/>
                <w:highlight w:val="none"/>
              </w:rPr>
              <w:t>同现状监测因子</w:t>
            </w:r>
          </w:p>
        </w:tc>
        <w:tc>
          <w:tcPr>
            <w:tcW w:w="551" w:type="pct"/>
            <w:vAlign w:val="center"/>
          </w:tcPr>
          <w:p w14:paraId="3F11F2C6">
            <w:pPr>
              <w:pStyle w:val="41"/>
              <w:rPr>
                <w:color w:val="auto"/>
                <w:highlight w:val="none"/>
              </w:rPr>
            </w:pPr>
          </w:p>
        </w:tc>
      </w:tr>
      <w:tr w14:paraId="509A5A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1CD961B5">
            <w:pPr>
              <w:pStyle w:val="41"/>
              <w:rPr>
                <w:color w:val="auto"/>
                <w:highlight w:val="none"/>
              </w:rPr>
            </w:pPr>
          </w:p>
        </w:tc>
        <w:tc>
          <w:tcPr>
            <w:tcW w:w="911" w:type="pct"/>
            <w:gridSpan w:val="2"/>
            <w:vAlign w:val="center"/>
          </w:tcPr>
          <w:p w14:paraId="5A860C55">
            <w:pPr>
              <w:pStyle w:val="41"/>
              <w:rPr>
                <w:color w:val="auto"/>
                <w:highlight w:val="none"/>
              </w:rPr>
            </w:pPr>
            <w:r>
              <w:rPr>
                <w:color w:val="auto"/>
                <w:highlight w:val="none"/>
              </w:rPr>
              <w:t>评价标准</w:t>
            </w:r>
          </w:p>
        </w:tc>
        <w:tc>
          <w:tcPr>
            <w:tcW w:w="3287" w:type="pct"/>
            <w:gridSpan w:val="6"/>
            <w:vAlign w:val="center"/>
          </w:tcPr>
          <w:p w14:paraId="6393FFD4">
            <w:pPr>
              <w:pStyle w:val="41"/>
              <w:rPr>
                <w:color w:val="auto"/>
                <w:highlight w:val="none"/>
              </w:rPr>
            </w:pPr>
            <w:r>
              <w:rPr>
                <w:color w:val="auto"/>
                <w:highlight w:val="none"/>
              </w:rPr>
              <w:t>《土壤环境质量建设用地土壤污染风险管控标准（试行）》（GB/36600-2018）；《土壤环境质量农用地土壤污染风险管控标准（试行）》（GB/156</w:t>
            </w:r>
            <w:r>
              <w:rPr>
                <w:color w:val="auto"/>
                <w:highlight w:val="none"/>
              </w:rPr>
              <w:t>1</w:t>
            </w:r>
            <w:r>
              <w:rPr>
                <w:color w:val="auto"/>
                <w:highlight w:val="none"/>
              </w:rPr>
              <w:t>8-2018）》中相关标准</w:t>
            </w:r>
          </w:p>
        </w:tc>
        <w:tc>
          <w:tcPr>
            <w:tcW w:w="551" w:type="pct"/>
            <w:vAlign w:val="center"/>
          </w:tcPr>
          <w:p w14:paraId="3FCA57E2">
            <w:pPr>
              <w:pStyle w:val="41"/>
              <w:rPr>
                <w:color w:val="auto"/>
                <w:highlight w:val="none"/>
              </w:rPr>
            </w:pPr>
          </w:p>
        </w:tc>
      </w:tr>
      <w:tr w14:paraId="50B3F3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4C838CAD">
            <w:pPr>
              <w:pStyle w:val="41"/>
              <w:rPr>
                <w:color w:val="auto"/>
                <w:highlight w:val="none"/>
              </w:rPr>
            </w:pPr>
          </w:p>
        </w:tc>
        <w:tc>
          <w:tcPr>
            <w:tcW w:w="911" w:type="pct"/>
            <w:gridSpan w:val="2"/>
            <w:vAlign w:val="center"/>
          </w:tcPr>
          <w:p w14:paraId="6DB8B87D">
            <w:pPr>
              <w:pStyle w:val="41"/>
              <w:rPr>
                <w:color w:val="auto"/>
                <w:highlight w:val="none"/>
              </w:rPr>
            </w:pPr>
            <w:r>
              <w:rPr>
                <w:color w:val="auto"/>
                <w:highlight w:val="none"/>
              </w:rPr>
              <w:t>现状评价结论</w:t>
            </w:r>
          </w:p>
        </w:tc>
        <w:tc>
          <w:tcPr>
            <w:tcW w:w="3287" w:type="pct"/>
            <w:gridSpan w:val="6"/>
            <w:vAlign w:val="center"/>
          </w:tcPr>
          <w:p w14:paraId="628A85F9">
            <w:pPr>
              <w:pStyle w:val="41"/>
              <w:rPr>
                <w:color w:val="auto"/>
                <w:highlight w:val="none"/>
              </w:rPr>
            </w:pPr>
            <w:r>
              <w:rPr>
                <w:color w:val="auto"/>
                <w:highlight w:val="none"/>
              </w:rPr>
              <w:t>达标</w:t>
            </w:r>
          </w:p>
        </w:tc>
        <w:tc>
          <w:tcPr>
            <w:tcW w:w="551" w:type="pct"/>
            <w:vAlign w:val="center"/>
          </w:tcPr>
          <w:p w14:paraId="77429751">
            <w:pPr>
              <w:pStyle w:val="41"/>
              <w:rPr>
                <w:color w:val="auto"/>
                <w:highlight w:val="none"/>
              </w:rPr>
            </w:pPr>
          </w:p>
        </w:tc>
      </w:tr>
      <w:tr w14:paraId="444B8C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restart"/>
            <w:vAlign w:val="center"/>
          </w:tcPr>
          <w:p w14:paraId="22A12AA8">
            <w:pPr>
              <w:pStyle w:val="41"/>
              <w:rPr>
                <w:color w:val="auto"/>
                <w:highlight w:val="none"/>
              </w:rPr>
            </w:pPr>
            <w:r>
              <w:rPr>
                <w:color w:val="auto"/>
                <w:highlight w:val="none"/>
              </w:rPr>
              <w:t>预测</w:t>
            </w:r>
          </w:p>
        </w:tc>
        <w:tc>
          <w:tcPr>
            <w:tcW w:w="911" w:type="pct"/>
            <w:gridSpan w:val="2"/>
            <w:vAlign w:val="center"/>
          </w:tcPr>
          <w:p w14:paraId="1BEE2FEC">
            <w:pPr>
              <w:pStyle w:val="41"/>
              <w:rPr>
                <w:color w:val="auto"/>
                <w:highlight w:val="none"/>
              </w:rPr>
            </w:pPr>
            <w:r>
              <w:rPr>
                <w:color w:val="auto"/>
                <w:highlight w:val="none"/>
              </w:rPr>
              <w:t>预测方法</w:t>
            </w:r>
          </w:p>
        </w:tc>
        <w:tc>
          <w:tcPr>
            <w:tcW w:w="3287" w:type="pct"/>
            <w:gridSpan w:val="6"/>
            <w:vAlign w:val="center"/>
          </w:tcPr>
          <w:p w14:paraId="1BB12FC0">
            <w:pPr>
              <w:pStyle w:val="41"/>
              <w:rPr>
                <w:color w:val="auto"/>
                <w:highlight w:val="none"/>
              </w:rPr>
            </w:pPr>
            <w:r>
              <w:rPr>
                <w:color w:val="auto"/>
                <w:highlight w:val="none"/>
              </w:rPr>
              <w:t>附录E</w:t>
            </w:r>
            <w:r>
              <w:rPr>
                <w:color w:val="auto"/>
                <w:highlight w:val="none"/>
              </w:rPr>
              <w:sym w:font="Wingdings 2" w:char="F052"/>
            </w:r>
            <w:r>
              <w:rPr>
                <w:color w:val="auto"/>
                <w:highlight w:val="none"/>
              </w:rPr>
              <w:t>；附录F</w:t>
            </w:r>
            <w:r>
              <w:rPr>
                <w:color w:val="auto"/>
                <w:highlight w:val="none"/>
              </w:rPr>
              <w:sym w:font="Wingdings 2" w:char="00A3"/>
            </w:r>
            <w:r>
              <w:rPr>
                <w:color w:val="auto"/>
                <w:highlight w:val="none"/>
              </w:rPr>
              <w:t>；其他</w:t>
            </w:r>
            <w:r>
              <w:rPr>
                <w:color w:val="auto"/>
                <w:highlight w:val="none"/>
              </w:rPr>
              <w:sym w:font="Wingdings 2" w:char="00A3"/>
            </w:r>
            <w:r>
              <w:rPr>
                <w:color w:val="auto"/>
                <w:highlight w:val="none"/>
              </w:rPr>
              <w:t xml:space="preserve"> （）</w:t>
            </w:r>
          </w:p>
        </w:tc>
        <w:tc>
          <w:tcPr>
            <w:tcW w:w="551" w:type="pct"/>
            <w:vAlign w:val="center"/>
          </w:tcPr>
          <w:p w14:paraId="7781A95F">
            <w:pPr>
              <w:pStyle w:val="41"/>
              <w:rPr>
                <w:color w:val="auto"/>
                <w:highlight w:val="none"/>
              </w:rPr>
            </w:pPr>
          </w:p>
        </w:tc>
      </w:tr>
      <w:tr w14:paraId="38B3AD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21575FF5">
            <w:pPr>
              <w:pStyle w:val="41"/>
              <w:rPr>
                <w:color w:val="auto"/>
                <w:highlight w:val="none"/>
              </w:rPr>
            </w:pPr>
          </w:p>
        </w:tc>
        <w:tc>
          <w:tcPr>
            <w:tcW w:w="911" w:type="pct"/>
            <w:gridSpan w:val="2"/>
            <w:vAlign w:val="center"/>
          </w:tcPr>
          <w:p w14:paraId="3009077B">
            <w:pPr>
              <w:pStyle w:val="41"/>
              <w:rPr>
                <w:color w:val="auto"/>
                <w:highlight w:val="none"/>
              </w:rPr>
            </w:pPr>
            <w:r>
              <w:rPr>
                <w:color w:val="auto"/>
                <w:highlight w:val="none"/>
              </w:rPr>
              <w:t>预测分析内容</w:t>
            </w:r>
          </w:p>
        </w:tc>
        <w:tc>
          <w:tcPr>
            <w:tcW w:w="3287" w:type="pct"/>
            <w:gridSpan w:val="6"/>
            <w:vAlign w:val="center"/>
          </w:tcPr>
          <w:p w14:paraId="6570CC7A">
            <w:pPr>
              <w:pStyle w:val="41"/>
              <w:rPr>
                <w:color w:val="auto"/>
                <w:highlight w:val="none"/>
              </w:rPr>
            </w:pPr>
            <w:r>
              <w:rPr>
                <w:color w:val="auto"/>
                <w:highlight w:val="none"/>
              </w:rPr>
              <w:t>场地外扩</w:t>
            </w:r>
            <w:r>
              <w:rPr>
                <w:rFonts w:hint="eastAsia"/>
                <w:color w:val="auto"/>
                <w:highlight w:val="none"/>
              </w:rPr>
              <w:t>2</w:t>
            </w:r>
            <w:r>
              <w:rPr>
                <w:color w:val="auto"/>
                <w:highlight w:val="none"/>
              </w:rPr>
              <w:t>00m。</w:t>
            </w:r>
          </w:p>
        </w:tc>
        <w:tc>
          <w:tcPr>
            <w:tcW w:w="551" w:type="pct"/>
            <w:vAlign w:val="center"/>
          </w:tcPr>
          <w:p w14:paraId="33615982">
            <w:pPr>
              <w:pStyle w:val="41"/>
              <w:rPr>
                <w:color w:val="auto"/>
                <w:highlight w:val="none"/>
              </w:rPr>
            </w:pPr>
          </w:p>
        </w:tc>
      </w:tr>
      <w:tr w14:paraId="26B662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600E9A28">
            <w:pPr>
              <w:pStyle w:val="41"/>
              <w:rPr>
                <w:color w:val="auto"/>
                <w:highlight w:val="none"/>
              </w:rPr>
            </w:pPr>
          </w:p>
        </w:tc>
        <w:tc>
          <w:tcPr>
            <w:tcW w:w="911" w:type="pct"/>
            <w:gridSpan w:val="2"/>
            <w:vAlign w:val="center"/>
          </w:tcPr>
          <w:p w14:paraId="2B3CD46A">
            <w:pPr>
              <w:pStyle w:val="41"/>
              <w:rPr>
                <w:color w:val="auto"/>
                <w:highlight w:val="none"/>
              </w:rPr>
            </w:pPr>
            <w:r>
              <w:rPr>
                <w:color w:val="auto"/>
                <w:highlight w:val="none"/>
              </w:rPr>
              <w:t>预测结论</w:t>
            </w:r>
          </w:p>
        </w:tc>
        <w:tc>
          <w:tcPr>
            <w:tcW w:w="3287" w:type="pct"/>
            <w:gridSpan w:val="6"/>
            <w:vAlign w:val="center"/>
          </w:tcPr>
          <w:p w14:paraId="57AD9EDA">
            <w:pPr>
              <w:pStyle w:val="41"/>
              <w:rPr>
                <w:color w:val="auto"/>
                <w:highlight w:val="none"/>
              </w:rPr>
            </w:pPr>
            <w:r>
              <w:rPr>
                <w:color w:val="auto"/>
                <w:highlight w:val="none"/>
              </w:rPr>
              <w:t>达标结论：a)</w:t>
            </w:r>
            <w:r>
              <w:rPr>
                <w:color w:val="auto"/>
                <w:highlight w:val="none"/>
              </w:rPr>
              <w:sym w:font="Wingdings 2" w:char="0052"/>
            </w:r>
            <w:r>
              <w:rPr>
                <w:color w:val="auto"/>
                <w:highlight w:val="none"/>
              </w:rPr>
              <w:t>；b)</w:t>
            </w:r>
            <w:r>
              <w:rPr>
                <w:color w:val="auto"/>
                <w:highlight w:val="none"/>
              </w:rPr>
              <w:sym w:font="Wingdings 2" w:char="00A3"/>
            </w:r>
            <w:r>
              <w:rPr>
                <w:color w:val="auto"/>
                <w:highlight w:val="none"/>
              </w:rPr>
              <w:t>；c)</w:t>
            </w:r>
            <w:r>
              <w:rPr>
                <w:color w:val="auto"/>
                <w:highlight w:val="none"/>
              </w:rPr>
              <w:sym w:font="Wingdings 2" w:char="00A3"/>
            </w:r>
          </w:p>
        </w:tc>
        <w:tc>
          <w:tcPr>
            <w:tcW w:w="551" w:type="pct"/>
            <w:vAlign w:val="center"/>
          </w:tcPr>
          <w:p w14:paraId="3AB401D0">
            <w:pPr>
              <w:pStyle w:val="41"/>
              <w:rPr>
                <w:color w:val="auto"/>
                <w:highlight w:val="none"/>
              </w:rPr>
            </w:pPr>
          </w:p>
        </w:tc>
      </w:tr>
      <w:tr w14:paraId="06AD7B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restart"/>
            <w:vAlign w:val="center"/>
          </w:tcPr>
          <w:p w14:paraId="3DF27AB4">
            <w:pPr>
              <w:pStyle w:val="41"/>
              <w:rPr>
                <w:color w:val="auto"/>
                <w:highlight w:val="none"/>
              </w:rPr>
            </w:pPr>
            <w:r>
              <w:rPr>
                <w:color w:val="auto"/>
                <w:highlight w:val="none"/>
              </w:rPr>
              <w:t>防治措施</w:t>
            </w:r>
          </w:p>
        </w:tc>
        <w:tc>
          <w:tcPr>
            <w:tcW w:w="911" w:type="pct"/>
            <w:gridSpan w:val="2"/>
            <w:vAlign w:val="center"/>
          </w:tcPr>
          <w:p w14:paraId="1A5A186B">
            <w:pPr>
              <w:pStyle w:val="41"/>
              <w:rPr>
                <w:color w:val="auto"/>
                <w:highlight w:val="none"/>
              </w:rPr>
            </w:pPr>
            <w:r>
              <w:rPr>
                <w:color w:val="auto"/>
                <w:highlight w:val="none"/>
              </w:rPr>
              <w:t>防控措施</w:t>
            </w:r>
          </w:p>
        </w:tc>
        <w:tc>
          <w:tcPr>
            <w:tcW w:w="3287" w:type="pct"/>
            <w:gridSpan w:val="6"/>
            <w:vAlign w:val="center"/>
          </w:tcPr>
          <w:p w14:paraId="0D679039">
            <w:pPr>
              <w:pStyle w:val="41"/>
              <w:rPr>
                <w:color w:val="auto"/>
                <w:highlight w:val="none"/>
              </w:rPr>
            </w:pPr>
            <w:r>
              <w:rPr>
                <w:color w:val="auto"/>
                <w:highlight w:val="none"/>
              </w:rPr>
              <w:t>土壤环境质量现状保障□；源头控制</w:t>
            </w:r>
            <w:r>
              <w:rPr>
                <w:color w:val="auto"/>
                <w:highlight w:val="none"/>
              </w:rPr>
              <w:sym w:font="Wingdings 2" w:char="0052"/>
            </w:r>
            <w:r>
              <w:rPr>
                <w:color w:val="auto"/>
                <w:highlight w:val="none"/>
              </w:rPr>
              <w:t>；过程防控</w:t>
            </w:r>
            <w:r>
              <w:rPr>
                <w:color w:val="auto"/>
                <w:highlight w:val="none"/>
              </w:rPr>
              <w:sym w:font="Wingdings 2" w:char="0052"/>
            </w:r>
            <w:r>
              <w:rPr>
                <w:color w:val="auto"/>
                <w:highlight w:val="none"/>
              </w:rPr>
              <w:t>；其他（）</w:t>
            </w:r>
          </w:p>
        </w:tc>
        <w:tc>
          <w:tcPr>
            <w:tcW w:w="551" w:type="pct"/>
            <w:vAlign w:val="center"/>
          </w:tcPr>
          <w:p w14:paraId="59149BE5">
            <w:pPr>
              <w:pStyle w:val="41"/>
              <w:rPr>
                <w:color w:val="auto"/>
                <w:highlight w:val="none"/>
              </w:rPr>
            </w:pPr>
          </w:p>
        </w:tc>
      </w:tr>
      <w:tr w14:paraId="55AF1C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485794C4">
            <w:pPr>
              <w:pStyle w:val="41"/>
              <w:rPr>
                <w:color w:val="auto"/>
                <w:highlight w:val="none"/>
              </w:rPr>
            </w:pPr>
          </w:p>
        </w:tc>
        <w:tc>
          <w:tcPr>
            <w:tcW w:w="911" w:type="pct"/>
            <w:gridSpan w:val="2"/>
            <w:vMerge w:val="restart"/>
            <w:vAlign w:val="center"/>
          </w:tcPr>
          <w:p w14:paraId="62F30F9F">
            <w:pPr>
              <w:pStyle w:val="41"/>
              <w:rPr>
                <w:color w:val="auto"/>
                <w:highlight w:val="none"/>
              </w:rPr>
            </w:pPr>
            <w:r>
              <w:rPr>
                <w:color w:val="auto"/>
                <w:highlight w:val="none"/>
              </w:rPr>
              <w:t>跟踪监测</w:t>
            </w:r>
          </w:p>
        </w:tc>
        <w:tc>
          <w:tcPr>
            <w:tcW w:w="937" w:type="pct"/>
            <w:gridSpan w:val="2"/>
            <w:vAlign w:val="center"/>
          </w:tcPr>
          <w:p w14:paraId="21AB4099">
            <w:pPr>
              <w:pStyle w:val="41"/>
              <w:rPr>
                <w:color w:val="auto"/>
                <w:highlight w:val="none"/>
              </w:rPr>
            </w:pPr>
            <w:r>
              <w:rPr>
                <w:color w:val="auto"/>
                <w:highlight w:val="none"/>
              </w:rPr>
              <w:t>监测点数</w:t>
            </w:r>
          </w:p>
        </w:tc>
        <w:tc>
          <w:tcPr>
            <w:tcW w:w="1715" w:type="pct"/>
            <w:gridSpan w:val="3"/>
            <w:vAlign w:val="center"/>
          </w:tcPr>
          <w:p w14:paraId="41D9EE65">
            <w:pPr>
              <w:pStyle w:val="41"/>
              <w:rPr>
                <w:color w:val="auto"/>
                <w:highlight w:val="none"/>
              </w:rPr>
            </w:pPr>
            <w:r>
              <w:rPr>
                <w:color w:val="auto"/>
                <w:highlight w:val="none"/>
              </w:rPr>
              <w:t>监测指标</w:t>
            </w:r>
          </w:p>
        </w:tc>
        <w:tc>
          <w:tcPr>
            <w:tcW w:w="634" w:type="pct"/>
            <w:vAlign w:val="center"/>
          </w:tcPr>
          <w:p w14:paraId="609B7719">
            <w:pPr>
              <w:pStyle w:val="41"/>
              <w:rPr>
                <w:color w:val="auto"/>
                <w:highlight w:val="none"/>
              </w:rPr>
            </w:pPr>
            <w:r>
              <w:rPr>
                <w:color w:val="auto"/>
                <w:highlight w:val="none"/>
              </w:rPr>
              <w:t>监测频次</w:t>
            </w:r>
          </w:p>
        </w:tc>
        <w:tc>
          <w:tcPr>
            <w:tcW w:w="551" w:type="pct"/>
            <w:vAlign w:val="center"/>
          </w:tcPr>
          <w:p w14:paraId="4734F530">
            <w:pPr>
              <w:pStyle w:val="41"/>
              <w:rPr>
                <w:color w:val="auto"/>
                <w:highlight w:val="none"/>
              </w:rPr>
            </w:pPr>
          </w:p>
        </w:tc>
      </w:tr>
      <w:tr w14:paraId="4E8A0A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39F7D4A0">
            <w:pPr>
              <w:pStyle w:val="41"/>
              <w:rPr>
                <w:color w:val="auto"/>
                <w:highlight w:val="none"/>
              </w:rPr>
            </w:pPr>
          </w:p>
        </w:tc>
        <w:tc>
          <w:tcPr>
            <w:tcW w:w="911" w:type="pct"/>
            <w:gridSpan w:val="2"/>
            <w:vMerge w:val="continue"/>
            <w:vAlign w:val="center"/>
          </w:tcPr>
          <w:p w14:paraId="73A4D93C">
            <w:pPr>
              <w:pStyle w:val="41"/>
              <w:rPr>
                <w:color w:val="auto"/>
                <w:highlight w:val="none"/>
              </w:rPr>
            </w:pPr>
          </w:p>
        </w:tc>
        <w:tc>
          <w:tcPr>
            <w:tcW w:w="937" w:type="pct"/>
            <w:gridSpan w:val="2"/>
            <w:vAlign w:val="center"/>
          </w:tcPr>
          <w:p w14:paraId="162ECE35">
            <w:pPr>
              <w:pStyle w:val="41"/>
              <w:rPr>
                <w:color w:val="auto"/>
                <w:highlight w:val="none"/>
              </w:rPr>
            </w:pPr>
            <w:r>
              <w:rPr>
                <w:rFonts w:hint="eastAsia"/>
                <w:color w:val="auto"/>
                <w:highlight w:val="none"/>
              </w:rPr>
              <w:t>车间下游</w:t>
            </w:r>
          </w:p>
        </w:tc>
        <w:tc>
          <w:tcPr>
            <w:tcW w:w="1715" w:type="pct"/>
            <w:gridSpan w:val="3"/>
            <w:vMerge w:val="restart"/>
            <w:vAlign w:val="center"/>
          </w:tcPr>
          <w:p w14:paraId="1CA98107">
            <w:pPr>
              <w:pStyle w:val="41"/>
              <w:rPr>
                <w:color w:val="auto"/>
                <w:highlight w:val="none"/>
              </w:rPr>
            </w:pPr>
            <w:r>
              <w:rPr>
                <w:color w:val="auto"/>
                <w:highlight w:val="none"/>
              </w:rPr>
              <w:t>砷、镉、铬（六价）、铜、铅、汞、镍、锌、pH 值。</w:t>
            </w:r>
          </w:p>
        </w:tc>
        <w:tc>
          <w:tcPr>
            <w:tcW w:w="634" w:type="pct"/>
            <w:vMerge w:val="restart"/>
            <w:vAlign w:val="center"/>
          </w:tcPr>
          <w:p w14:paraId="2DC79EBE">
            <w:pPr>
              <w:pStyle w:val="41"/>
              <w:rPr>
                <w:color w:val="auto"/>
                <w:highlight w:val="none"/>
              </w:rPr>
            </w:pPr>
            <w:r>
              <w:rPr>
                <w:rFonts w:hint="eastAsia"/>
                <w:color w:val="auto"/>
                <w:highlight w:val="none"/>
              </w:rPr>
              <w:t>1</w:t>
            </w:r>
            <w:r>
              <w:rPr>
                <w:color w:val="auto"/>
                <w:highlight w:val="none"/>
              </w:rPr>
              <w:t>次/</w:t>
            </w:r>
            <w:r>
              <w:rPr>
                <w:rFonts w:hint="eastAsia"/>
                <w:color w:val="auto"/>
                <w:highlight w:val="none"/>
              </w:rPr>
              <w:t>5</w:t>
            </w:r>
            <w:r>
              <w:rPr>
                <w:color w:val="auto"/>
                <w:highlight w:val="none"/>
              </w:rPr>
              <w:t>年</w:t>
            </w:r>
          </w:p>
        </w:tc>
        <w:tc>
          <w:tcPr>
            <w:tcW w:w="551" w:type="pct"/>
            <w:vAlign w:val="center"/>
          </w:tcPr>
          <w:p w14:paraId="5E21B783">
            <w:pPr>
              <w:pStyle w:val="41"/>
              <w:rPr>
                <w:color w:val="auto"/>
                <w:highlight w:val="none"/>
              </w:rPr>
            </w:pPr>
          </w:p>
        </w:tc>
      </w:tr>
      <w:tr w14:paraId="1FCF1B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3654894B">
            <w:pPr>
              <w:pStyle w:val="41"/>
              <w:rPr>
                <w:color w:val="auto"/>
                <w:highlight w:val="none"/>
              </w:rPr>
            </w:pPr>
          </w:p>
        </w:tc>
        <w:tc>
          <w:tcPr>
            <w:tcW w:w="911" w:type="pct"/>
            <w:gridSpan w:val="2"/>
            <w:vMerge w:val="continue"/>
            <w:vAlign w:val="center"/>
          </w:tcPr>
          <w:p w14:paraId="1F54C1E3">
            <w:pPr>
              <w:pStyle w:val="41"/>
              <w:rPr>
                <w:color w:val="auto"/>
                <w:highlight w:val="none"/>
              </w:rPr>
            </w:pPr>
          </w:p>
        </w:tc>
        <w:tc>
          <w:tcPr>
            <w:tcW w:w="937" w:type="pct"/>
            <w:gridSpan w:val="2"/>
            <w:vAlign w:val="center"/>
          </w:tcPr>
          <w:p w14:paraId="7A012B96">
            <w:pPr>
              <w:pStyle w:val="41"/>
              <w:rPr>
                <w:color w:val="auto"/>
                <w:highlight w:val="none"/>
              </w:rPr>
            </w:pPr>
            <w:r>
              <w:rPr>
                <w:rFonts w:hint="eastAsia"/>
                <w:color w:val="auto"/>
                <w:highlight w:val="none"/>
              </w:rPr>
              <w:t>厂区外下游</w:t>
            </w:r>
          </w:p>
        </w:tc>
        <w:tc>
          <w:tcPr>
            <w:tcW w:w="1715" w:type="pct"/>
            <w:gridSpan w:val="3"/>
            <w:vMerge w:val="continue"/>
            <w:vAlign w:val="center"/>
          </w:tcPr>
          <w:p w14:paraId="2D287571">
            <w:pPr>
              <w:pStyle w:val="41"/>
              <w:rPr>
                <w:color w:val="auto"/>
                <w:highlight w:val="none"/>
              </w:rPr>
            </w:pPr>
          </w:p>
        </w:tc>
        <w:tc>
          <w:tcPr>
            <w:tcW w:w="634" w:type="pct"/>
            <w:vMerge w:val="continue"/>
            <w:tcBorders>
              <w:bottom w:val="single" w:color="auto" w:sz="4" w:space="0"/>
            </w:tcBorders>
            <w:vAlign w:val="center"/>
          </w:tcPr>
          <w:p w14:paraId="0EC1E3C6">
            <w:pPr>
              <w:pStyle w:val="41"/>
              <w:rPr>
                <w:rFonts w:hint="eastAsia"/>
                <w:color w:val="auto"/>
                <w:highlight w:val="none"/>
              </w:rPr>
            </w:pPr>
          </w:p>
        </w:tc>
        <w:tc>
          <w:tcPr>
            <w:tcW w:w="551" w:type="pct"/>
            <w:vAlign w:val="center"/>
          </w:tcPr>
          <w:p w14:paraId="2DB018EA">
            <w:pPr>
              <w:pStyle w:val="41"/>
              <w:rPr>
                <w:color w:val="auto"/>
                <w:highlight w:val="none"/>
              </w:rPr>
            </w:pPr>
          </w:p>
        </w:tc>
      </w:tr>
      <w:tr w14:paraId="67C2C3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028F7931">
            <w:pPr>
              <w:pStyle w:val="41"/>
              <w:rPr>
                <w:color w:val="auto"/>
                <w:highlight w:val="none"/>
              </w:rPr>
            </w:pPr>
          </w:p>
        </w:tc>
        <w:tc>
          <w:tcPr>
            <w:tcW w:w="911" w:type="pct"/>
            <w:gridSpan w:val="2"/>
            <w:vMerge w:val="continue"/>
            <w:vAlign w:val="center"/>
          </w:tcPr>
          <w:p w14:paraId="47B5079D">
            <w:pPr>
              <w:pStyle w:val="41"/>
              <w:rPr>
                <w:color w:val="auto"/>
                <w:highlight w:val="none"/>
              </w:rPr>
            </w:pPr>
          </w:p>
        </w:tc>
        <w:tc>
          <w:tcPr>
            <w:tcW w:w="937" w:type="pct"/>
            <w:gridSpan w:val="2"/>
            <w:vAlign w:val="center"/>
          </w:tcPr>
          <w:p w14:paraId="09FF2D87">
            <w:pPr>
              <w:pStyle w:val="41"/>
              <w:rPr>
                <w:rFonts w:hint="eastAsia" w:eastAsia="华文中宋"/>
                <w:color w:val="auto"/>
                <w:highlight w:val="none"/>
                <w:lang w:eastAsia="zh-CN"/>
              </w:rPr>
            </w:pPr>
            <w:r>
              <w:rPr>
                <w:rFonts w:hint="eastAsia"/>
                <w:color w:val="auto"/>
                <w:highlight w:val="none"/>
                <w:lang w:eastAsia="zh-CN"/>
              </w:rPr>
              <w:t>库</w:t>
            </w:r>
            <w:r>
              <w:rPr>
                <w:rFonts w:hint="eastAsia"/>
                <w:color w:val="auto"/>
                <w:highlight w:val="none"/>
                <w:lang w:eastAsia="zh-CN"/>
              </w:rPr>
              <w:t>区</w:t>
            </w:r>
          </w:p>
        </w:tc>
        <w:tc>
          <w:tcPr>
            <w:tcW w:w="1715" w:type="pct"/>
            <w:gridSpan w:val="3"/>
            <w:vMerge w:val="continue"/>
            <w:vAlign w:val="center"/>
          </w:tcPr>
          <w:p w14:paraId="7F850698">
            <w:pPr>
              <w:pStyle w:val="41"/>
              <w:rPr>
                <w:color w:val="auto"/>
                <w:highlight w:val="none"/>
              </w:rPr>
            </w:pPr>
          </w:p>
        </w:tc>
        <w:tc>
          <w:tcPr>
            <w:tcW w:w="634" w:type="pct"/>
            <w:vMerge w:val="restart"/>
            <w:tcBorders>
              <w:top w:val="single" w:color="auto" w:sz="4" w:space="0"/>
            </w:tcBorders>
            <w:vAlign w:val="center"/>
          </w:tcPr>
          <w:p w14:paraId="3D9CD4C6">
            <w:pPr>
              <w:pStyle w:val="41"/>
              <w:rPr>
                <w:rFonts w:hint="eastAsia"/>
                <w:color w:val="auto"/>
                <w:highlight w:val="none"/>
              </w:rPr>
            </w:pPr>
            <w:r>
              <w:rPr>
                <w:rFonts w:hint="eastAsia"/>
                <w:color w:val="auto"/>
                <w:highlight w:val="none"/>
              </w:rPr>
              <w:t>1</w:t>
            </w:r>
            <w:r>
              <w:rPr>
                <w:color w:val="auto"/>
                <w:highlight w:val="none"/>
              </w:rPr>
              <w:t>次/</w:t>
            </w:r>
            <w:r>
              <w:rPr>
                <w:rFonts w:hint="eastAsia"/>
                <w:color w:val="auto"/>
                <w:highlight w:val="none"/>
                <w:lang w:val="en-US" w:eastAsia="zh-CN"/>
              </w:rPr>
              <w:t>3</w:t>
            </w:r>
            <w:r>
              <w:rPr>
                <w:color w:val="auto"/>
                <w:highlight w:val="none"/>
              </w:rPr>
              <w:t>年</w:t>
            </w:r>
          </w:p>
        </w:tc>
        <w:tc>
          <w:tcPr>
            <w:tcW w:w="551" w:type="pct"/>
            <w:vAlign w:val="center"/>
          </w:tcPr>
          <w:p w14:paraId="259F8C54">
            <w:pPr>
              <w:pStyle w:val="41"/>
              <w:rPr>
                <w:color w:val="auto"/>
                <w:highlight w:val="none"/>
              </w:rPr>
            </w:pPr>
          </w:p>
        </w:tc>
      </w:tr>
      <w:tr w14:paraId="668A36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120314C5">
            <w:pPr>
              <w:pStyle w:val="41"/>
              <w:rPr>
                <w:color w:val="auto"/>
                <w:highlight w:val="none"/>
              </w:rPr>
            </w:pPr>
          </w:p>
        </w:tc>
        <w:tc>
          <w:tcPr>
            <w:tcW w:w="911" w:type="pct"/>
            <w:gridSpan w:val="2"/>
            <w:vMerge w:val="continue"/>
            <w:vAlign w:val="center"/>
          </w:tcPr>
          <w:p w14:paraId="040BDC45">
            <w:pPr>
              <w:pStyle w:val="41"/>
              <w:rPr>
                <w:color w:val="auto"/>
                <w:highlight w:val="none"/>
              </w:rPr>
            </w:pPr>
          </w:p>
        </w:tc>
        <w:tc>
          <w:tcPr>
            <w:tcW w:w="937" w:type="pct"/>
            <w:gridSpan w:val="2"/>
            <w:vAlign w:val="center"/>
          </w:tcPr>
          <w:p w14:paraId="560E017B">
            <w:pPr>
              <w:pStyle w:val="41"/>
              <w:rPr>
                <w:color w:val="auto"/>
                <w:highlight w:val="none"/>
              </w:rPr>
            </w:pPr>
            <w:r>
              <w:rPr>
                <w:rFonts w:hint="eastAsia"/>
                <w:color w:val="auto"/>
                <w:highlight w:val="none"/>
                <w:lang w:eastAsia="zh-CN"/>
              </w:rPr>
              <w:t>库</w:t>
            </w:r>
            <w:r>
              <w:rPr>
                <w:rFonts w:hint="eastAsia"/>
                <w:color w:val="auto"/>
                <w:highlight w:val="none"/>
                <w:lang w:eastAsia="zh-CN"/>
              </w:rPr>
              <w:t>区下游</w:t>
            </w:r>
          </w:p>
        </w:tc>
        <w:tc>
          <w:tcPr>
            <w:tcW w:w="1715" w:type="pct"/>
            <w:gridSpan w:val="3"/>
            <w:vMerge w:val="continue"/>
            <w:vAlign w:val="center"/>
          </w:tcPr>
          <w:p w14:paraId="725BB149">
            <w:pPr>
              <w:pStyle w:val="41"/>
              <w:rPr>
                <w:color w:val="auto"/>
                <w:highlight w:val="none"/>
              </w:rPr>
            </w:pPr>
          </w:p>
        </w:tc>
        <w:tc>
          <w:tcPr>
            <w:tcW w:w="634" w:type="pct"/>
            <w:vMerge w:val="continue"/>
            <w:vAlign w:val="center"/>
          </w:tcPr>
          <w:p w14:paraId="42AD230C">
            <w:pPr>
              <w:pStyle w:val="41"/>
              <w:rPr>
                <w:color w:val="auto"/>
                <w:highlight w:val="none"/>
              </w:rPr>
            </w:pPr>
          </w:p>
        </w:tc>
        <w:tc>
          <w:tcPr>
            <w:tcW w:w="551" w:type="pct"/>
            <w:vAlign w:val="center"/>
          </w:tcPr>
          <w:p w14:paraId="072661FF">
            <w:pPr>
              <w:pStyle w:val="41"/>
              <w:rPr>
                <w:color w:val="auto"/>
                <w:highlight w:val="none"/>
              </w:rPr>
            </w:pPr>
          </w:p>
        </w:tc>
      </w:tr>
      <w:tr w14:paraId="5EFD7B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0" w:type="pct"/>
            <w:vMerge w:val="continue"/>
            <w:vAlign w:val="center"/>
          </w:tcPr>
          <w:p w14:paraId="5F69D9EB">
            <w:pPr>
              <w:pStyle w:val="41"/>
              <w:rPr>
                <w:color w:val="auto"/>
                <w:highlight w:val="none"/>
              </w:rPr>
            </w:pPr>
          </w:p>
        </w:tc>
        <w:tc>
          <w:tcPr>
            <w:tcW w:w="911" w:type="pct"/>
            <w:gridSpan w:val="2"/>
            <w:vAlign w:val="center"/>
          </w:tcPr>
          <w:p w14:paraId="7AD9F292">
            <w:pPr>
              <w:pStyle w:val="41"/>
              <w:rPr>
                <w:color w:val="auto"/>
                <w:highlight w:val="none"/>
              </w:rPr>
            </w:pPr>
            <w:r>
              <w:rPr>
                <w:color w:val="auto"/>
                <w:highlight w:val="none"/>
              </w:rPr>
              <w:t>信息公开指标</w:t>
            </w:r>
          </w:p>
        </w:tc>
        <w:tc>
          <w:tcPr>
            <w:tcW w:w="3287" w:type="pct"/>
            <w:gridSpan w:val="6"/>
            <w:vAlign w:val="center"/>
          </w:tcPr>
          <w:p w14:paraId="163BC1F4">
            <w:pPr>
              <w:pStyle w:val="41"/>
              <w:rPr>
                <w:color w:val="auto"/>
                <w:highlight w:val="none"/>
              </w:rPr>
            </w:pPr>
            <w:r>
              <w:rPr>
                <w:color w:val="auto"/>
                <w:highlight w:val="none"/>
              </w:rPr>
              <w:t>——</w:t>
            </w:r>
          </w:p>
        </w:tc>
        <w:tc>
          <w:tcPr>
            <w:tcW w:w="551" w:type="pct"/>
            <w:vAlign w:val="center"/>
          </w:tcPr>
          <w:p w14:paraId="0D8C6B4F">
            <w:pPr>
              <w:pStyle w:val="41"/>
              <w:rPr>
                <w:color w:val="auto"/>
                <w:highlight w:val="none"/>
              </w:rPr>
            </w:pPr>
          </w:p>
        </w:tc>
      </w:tr>
      <w:tr w14:paraId="165B71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61" w:type="pct"/>
            <w:gridSpan w:val="3"/>
            <w:vAlign w:val="center"/>
          </w:tcPr>
          <w:p w14:paraId="3D8A348F">
            <w:pPr>
              <w:pStyle w:val="41"/>
              <w:rPr>
                <w:color w:val="auto"/>
                <w:highlight w:val="none"/>
              </w:rPr>
            </w:pPr>
            <w:r>
              <w:rPr>
                <w:color w:val="auto"/>
                <w:highlight w:val="none"/>
              </w:rPr>
              <w:t>评价结论</w:t>
            </w:r>
          </w:p>
        </w:tc>
        <w:tc>
          <w:tcPr>
            <w:tcW w:w="3287" w:type="pct"/>
            <w:gridSpan w:val="6"/>
            <w:vAlign w:val="center"/>
          </w:tcPr>
          <w:p w14:paraId="7A0F2CC2">
            <w:pPr>
              <w:pStyle w:val="41"/>
              <w:rPr>
                <w:color w:val="auto"/>
                <w:highlight w:val="none"/>
              </w:rPr>
            </w:pPr>
            <w:r>
              <w:rPr>
                <w:color w:val="auto"/>
                <w:highlight w:val="none"/>
              </w:rPr>
              <w:t>可接受</w:t>
            </w:r>
            <w:r>
              <w:rPr>
                <w:color w:val="auto"/>
                <w:highlight w:val="none"/>
              </w:rPr>
              <w:sym w:font="Wingdings 2" w:char="0052"/>
            </w:r>
            <w:r>
              <w:rPr>
                <w:color w:val="auto"/>
                <w:highlight w:val="none"/>
              </w:rPr>
              <w:t>；不可接受</w:t>
            </w:r>
            <w:r>
              <w:rPr>
                <w:color w:val="auto"/>
                <w:highlight w:val="none"/>
              </w:rPr>
              <w:sym w:font="Wingdings 2" w:char="00A3"/>
            </w:r>
          </w:p>
        </w:tc>
        <w:tc>
          <w:tcPr>
            <w:tcW w:w="551" w:type="pct"/>
            <w:vAlign w:val="center"/>
          </w:tcPr>
          <w:p w14:paraId="33351460">
            <w:pPr>
              <w:pStyle w:val="41"/>
              <w:rPr>
                <w:color w:val="auto"/>
                <w:highlight w:val="none"/>
              </w:rPr>
            </w:pPr>
          </w:p>
        </w:tc>
      </w:tr>
    </w:tbl>
    <w:p w14:paraId="4D0FD90D">
      <w:pPr>
        <w:pStyle w:val="39"/>
        <w:rPr>
          <w:rFonts w:hint="default"/>
          <w:color w:val="auto"/>
          <w:highlight w:val="none"/>
        </w:rPr>
      </w:pPr>
      <w:bookmarkStart w:id="389" w:name="_Toc9811"/>
      <w:bookmarkStart w:id="390" w:name="_Toc3991"/>
      <w:r>
        <w:rPr>
          <w:rFonts w:hint="default"/>
          <w:color w:val="auto"/>
          <w:highlight w:val="none"/>
        </w:rPr>
        <w:t>服务期满后</w:t>
      </w:r>
      <w:r>
        <w:rPr>
          <w:rFonts w:hint="default"/>
          <w:color w:val="auto"/>
          <w:highlight w:val="none"/>
          <w:lang w:val="zh-CN"/>
        </w:rPr>
        <w:t>环境影响预测与评价</w:t>
      </w:r>
      <w:bookmarkEnd w:id="389"/>
      <w:bookmarkEnd w:id="390"/>
    </w:p>
    <w:p w14:paraId="7406AE4C">
      <w:pPr>
        <w:pStyle w:val="3"/>
        <w:ind w:firstLine="480"/>
        <w:rPr>
          <w:color w:val="auto"/>
          <w:highlight w:val="none"/>
        </w:rPr>
      </w:pPr>
      <w:r>
        <w:rPr>
          <w:color w:val="auto"/>
          <w:highlight w:val="none"/>
        </w:rPr>
        <w:t>退役期相对来说是正影响的过程，是对景观及生态的恢复过程，不会对环境继续产生破坏。退役</w:t>
      </w:r>
      <w:r>
        <w:rPr>
          <w:rFonts w:hint="eastAsia"/>
          <w:color w:val="auto"/>
          <w:highlight w:val="none"/>
          <w:lang w:eastAsia="zh-CN"/>
        </w:rPr>
        <w:t>期间</w:t>
      </w:r>
      <w:r>
        <w:rPr>
          <w:color w:val="auto"/>
          <w:highlight w:val="none"/>
        </w:rPr>
        <w:t>如不落实水土保持方案、复垦计划以及生态恢复，则对开发区域带来的环境影响是极为严重的。其主要的环境问题是植被破坏造成的水土流失、改变土地利用方式对地貌景观的破坏等问题。因此退役期的环境保护措施和生态恢复是本项目环境保护的重要环节。分析论证建设方和水土保持方案制定的可行性，为有效控制项目新增水土流失，保护和恢复项目区内植被，保障当地生态环境建设与经济协调发展，对水土保持方案设计原则与目标等进行论证。做到选矿厂、尾矿库退役的同时，水土保持工程同年完成。</w:t>
      </w:r>
    </w:p>
    <w:p w14:paraId="3F598D00">
      <w:pPr>
        <w:pStyle w:val="3"/>
        <w:ind w:firstLine="480"/>
        <w:rPr>
          <w:color w:val="auto"/>
          <w:highlight w:val="none"/>
        </w:rPr>
      </w:pPr>
      <w:r>
        <w:rPr>
          <w:color w:val="auto"/>
          <w:highlight w:val="none"/>
        </w:rPr>
        <w:t>本项目服务期满后应按照《尾矿库闭库安全监督管理规定》进行闭库。</w:t>
      </w:r>
    </w:p>
    <w:p w14:paraId="69830859">
      <w:pPr>
        <w:pStyle w:val="42"/>
        <w:rPr>
          <w:rFonts w:hint="default"/>
          <w:color w:val="auto"/>
          <w:highlight w:val="none"/>
        </w:rPr>
      </w:pPr>
      <w:r>
        <w:rPr>
          <w:rFonts w:hint="default"/>
          <w:color w:val="auto"/>
          <w:highlight w:val="none"/>
        </w:rPr>
        <w:t>退役期大气环境影响分析</w:t>
      </w:r>
    </w:p>
    <w:p w14:paraId="62E425E2">
      <w:pPr>
        <w:pStyle w:val="3"/>
        <w:ind w:firstLine="480"/>
        <w:rPr>
          <w:color w:val="auto"/>
          <w:highlight w:val="none"/>
        </w:rPr>
      </w:pPr>
      <w:r>
        <w:rPr>
          <w:color w:val="auto"/>
          <w:highlight w:val="none"/>
        </w:rPr>
        <w:t>本项目退役期废气主要为尾矿库内干滩扬尘。闭库期如管理不善，干滩扬尘将难以得到有效控制，对周边空气环境造成影响。故在闭库过程中应利用尾矿库内蓄积废水对干滩区域定期进行洒水保湿，以减少闭库中尾矿库干滩扬尘。闭库后应及时进行复垦，通过压实及覆盖植被等措施防止尾矿渣体大面积裸露，从而可起到抑制尾矿库干滩扬尘的作用。为减小尾矿干滩对周围环境的影响，报告提出项目建设方应在尾矿库闭库期采取以下措施：</w:t>
      </w:r>
    </w:p>
    <w:p w14:paraId="658E29FD">
      <w:pPr>
        <w:pStyle w:val="3"/>
        <w:ind w:firstLine="480"/>
        <w:rPr>
          <w:color w:val="auto"/>
          <w:highlight w:val="none"/>
        </w:rPr>
      </w:pPr>
      <w:r>
        <w:rPr>
          <w:color w:val="auto"/>
          <w:highlight w:val="none"/>
        </w:rPr>
        <w:t>（1）继续利用尾矿库内蓄积废水对干滩区域定期进行洒水保湿以减少扬尘量。</w:t>
      </w:r>
    </w:p>
    <w:p w14:paraId="19EDB56A">
      <w:pPr>
        <w:pStyle w:val="3"/>
        <w:ind w:firstLine="480"/>
        <w:rPr>
          <w:color w:val="auto"/>
          <w:highlight w:val="none"/>
        </w:rPr>
      </w:pPr>
      <w:r>
        <w:rPr>
          <w:color w:val="auto"/>
          <w:highlight w:val="none"/>
        </w:rPr>
        <w:t>（2）尾矿库应及时闭库复垦，进行覆土、压实等措施防止尾矿渣体大面积裸露，从而可起到抑制尾矿库干滩扬尘的作用。</w:t>
      </w:r>
    </w:p>
    <w:p w14:paraId="4F556991">
      <w:pPr>
        <w:pStyle w:val="3"/>
        <w:ind w:firstLine="480"/>
        <w:rPr>
          <w:color w:val="auto"/>
          <w:highlight w:val="none"/>
        </w:rPr>
      </w:pPr>
      <w:r>
        <w:rPr>
          <w:color w:val="auto"/>
          <w:highlight w:val="none"/>
        </w:rPr>
        <w:t>综合分析，在采取以上措施后可有效减轻闭库期及之后扬尘对周边空气环境的影响。</w:t>
      </w:r>
    </w:p>
    <w:p w14:paraId="1ABFB326">
      <w:pPr>
        <w:pStyle w:val="42"/>
        <w:rPr>
          <w:rFonts w:hint="default"/>
          <w:color w:val="auto"/>
          <w:highlight w:val="none"/>
        </w:rPr>
      </w:pPr>
      <w:r>
        <w:rPr>
          <w:rFonts w:hint="default"/>
          <w:color w:val="auto"/>
          <w:highlight w:val="none"/>
        </w:rPr>
        <w:t>退役期水环境影响分析</w:t>
      </w:r>
    </w:p>
    <w:p w14:paraId="4748799E">
      <w:pPr>
        <w:pStyle w:val="3"/>
        <w:ind w:firstLine="480"/>
        <w:rPr>
          <w:color w:val="auto"/>
          <w:highlight w:val="none"/>
        </w:rPr>
      </w:pPr>
      <w:r>
        <w:rPr>
          <w:color w:val="auto"/>
          <w:highlight w:val="none"/>
        </w:rPr>
        <w:t>退役期废水主要为尾矿库内汇入收集的大气降水形成的尾矿库内废水。这部分废水如管理不善直接外排将污染地下水及周边地表水体。</w:t>
      </w:r>
    </w:p>
    <w:p w14:paraId="426E80CF">
      <w:pPr>
        <w:pStyle w:val="3"/>
        <w:ind w:firstLine="480"/>
        <w:rPr>
          <w:color w:val="auto"/>
          <w:highlight w:val="none"/>
        </w:rPr>
      </w:pPr>
      <w:r>
        <w:rPr>
          <w:color w:val="auto"/>
          <w:highlight w:val="none"/>
        </w:rPr>
        <w:t>故为防止退役期这部分废水外排造成对周边地下水及地表水污染。对于闭库期尾矿库内蓄积废水，应回用于尾矿库库区洒水，防止其因缺乏管理外排污染周边地下水环境。</w:t>
      </w:r>
    </w:p>
    <w:p w14:paraId="245059F2">
      <w:pPr>
        <w:pStyle w:val="42"/>
        <w:rPr>
          <w:rFonts w:hint="default"/>
          <w:color w:val="auto"/>
          <w:highlight w:val="none"/>
        </w:rPr>
      </w:pPr>
      <w:r>
        <w:rPr>
          <w:rFonts w:hint="default"/>
          <w:color w:val="auto"/>
          <w:highlight w:val="none"/>
        </w:rPr>
        <w:t>退役期声环境影响分析</w:t>
      </w:r>
    </w:p>
    <w:p w14:paraId="39975D19">
      <w:pPr>
        <w:pStyle w:val="3"/>
        <w:ind w:firstLine="480"/>
        <w:rPr>
          <w:color w:val="auto"/>
          <w:highlight w:val="none"/>
        </w:rPr>
      </w:pPr>
      <w:r>
        <w:rPr>
          <w:color w:val="auto"/>
          <w:highlight w:val="none"/>
        </w:rPr>
        <w:t>退役期各类机械环境</w:t>
      </w:r>
      <w:r>
        <w:rPr>
          <w:rFonts w:hint="eastAsia"/>
          <w:color w:val="auto"/>
          <w:highlight w:val="none"/>
          <w:lang w:eastAsia="zh-CN"/>
        </w:rPr>
        <w:t>噪声</w:t>
      </w:r>
      <w:r>
        <w:rPr>
          <w:color w:val="auto"/>
          <w:highlight w:val="none"/>
        </w:rPr>
        <w:t>、车辆产生的噪声将消失，噪声较运营期将大幅降低，并逐渐恢复到环境背景值。因此，噪声对项目区及周围环境影响较小。</w:t>
      </w:r>
    </w:p>
    <w:p w14:paraId="7EDB6D28">
      <w:pPr>
        <w:pStyle w:val="42"/>
        <w:rPr>
          <w:rFonts w:hint="default"/>
          <w:color w:val="auto"/>
          <w:highlight w:val="none"/>
        </w:rPr>
      </w:pPr>
      <w:r>
        <w:rPr>
          <w:rFonts w:hint="default"/>
          <w:color w:val="auto"/>
          <w:highlight w:val="none"/>
        </w:rPr>
        <w:t>退役期固体废弃物环境影响分析</w:t>
      </w:r>
    </w:p>
    <w:p w14:paraId="42F79902">
      <w:pPr>
        <w:pStyle w:val="3"/>
        <w:ind w:firstLine="480"/>
        <w:rPr>
          <w:color w:val="auto"/>
          <w:highlight w:val="none"/>
        </w:rPr>
      </w:pPr>
      <w:r>
        <w:rPr>
          <w:color w:val="auto"/>
          <w:highlight w:val="none"/>
        </w:rPr>
        <w:t>尾矿库闭库要求如下：</w:t>
      </w:r>
    </w:p>
    <w:p w14:paraId="2FB5B6C6">
      <w:pPr>
        <w:pStyle w:val="3"/>
        <w:ind w:firstLine="480"/>
        <w:rPr>
          <w:color w:val="auto"/>
          <w:highlight w:val="none"/>
        </w:rPr>
      </w:pPr>
      <w:r>
        <w:rPr>
          <w:color w:val="auto"/>
          <w:highlight w:val="none"/>
        </w:rPr>
        <w:t>（1）尾矿库应按《尾矿库闭库安全监督管理规定》进行闭库；</w:t>
      </w:r>
    </w:p>
    <w:p w14:paraId="6931839F">
      <w:pPr>
        <w:pStyle w:val="3"/>
        <w:ind w:firstLine="480"/>
        <w:rPr>
          <w:color w:val="auto"/>
          <w:highlight w:val="none"/>
        </w:rPr>
      </w:pPr>
      <w:r>
        <w:rPr>
          <w:color w:val="auto"/>
          <w:highlight w:val="none"/>
        </w:rPr>
        <w:t>（2）在尾矿库闭库前1年，委托具有相应资质的评价机构进行尾矿库安全评价；</w:t>
      </w:r>
    </w:p>
    <w:p w14:paraId="2B9365B8">
      <w:pPr>
        <w:pStyle w:val="3"/>
        <w:ind w:firstLine="480"/>
        <w:rPr>
          <w:color w:val="auto"/>
          <w:highlight w:val="none"/>
        </w:rPr>
      </w:pPr>
      <w:r>
        <w:rPr>
          <w:color w:val="auto"/>
          <w:highlight w:val="none"/>
        </w:rPr>
        <w:t>（3）在尾矿库闭库前1年，委托具有相应资质的设计单位进行尾矿库闭库设计；</w:t>
      </w:r>
    </w:p>
    <w:p w14:paraId="50B22074">
      <w:pPr>
        <w:pStyle w:val="3"/>
        <w:ind w:firstLine="480"/>
        <w:rPr>
          <w:color w:val="auto"/>
          <w:highlight w:val="none"/>
        </w:rPr>
      </w:pPr>
      <w:r>
        <w:rPr>
          <w:color w:val="auto"/>
          <w:highlight w:val="none"/>
        </w:rPr>
        <w:t>（4）按照《尾矿设施施工及验收规程》（YS5418-95）进行闭库验收；</w:t>
      </w:r>
    </w:p>
    <w:p w14:paraId="5C93EF76">
      <w:pPr>
        <w:pStyle w:val="3"/>
        <w:ind w:firstLine="480"/>
        <w:rPr>
          <w:color w:val="auto"/>
          <w:highlight w:val="none"/>
        </w:rPr>
      </w:pPr>
      <w:r>
        <w:rPr>
          <w:color w:val="auto"/>
          <w:highlight w:val="none"/>
        </w:rPr>
        <w:t>（5）尾矿库周边警示标识及尾矿库观测点应予以保留。</w:t>
      </w:r>
    </w:p>
    <w:p w14:paraId="32565C3B">
      <w:pPr>
        <w:pStyle w:val="42"/>
        <w:rPr>
          <w:rFonts w:hint="default"/>
          <w:color w:val="auto"/>
          <w:highlight w:val="none"/>
        </w:rPr>
      </w:pPr>
      <w:r>
        <w:rPr>
          <w:rFonts w:hint="default"/>
          <w:color w:val="auto"/>
          <w:highlight w:val="none"/>
        </w:rPr>
        <w:t>退役期生态环境影响分析</w:t>
      </w:r>
    </w:p>
    <w:p w14:paraId="361D1F85">
      <w:pPr>
        <w:pStyle w:val="3"/>
        <w:ind w:firstLine="480"/>
        <w:rPr>
          <w:color w:val="auto"/>
          <w:highlight w:val="none"/>
        </w:rPr>
      </w:pPr>
      <w:r>
        <w:rPr>
          <w:color w:val="auto"/>
          <w:highlight w:val="none"/>
        </w:rPr>
        <w:t>退役期生态环境影响主要是遗留废弃建筑物及未按要求处置对今后周边生态环境带来的影响。</w:t>
      </w:r>
    </w:p>
    <w:p w14:paraId="164F143A">
      <w:pPr>
        <w:pStyle w:val="3"/>
        <w:ind w:firstLine="480"/>
        <w:rPr>
          <w:color w:val="auto"/>
          <w:highlight w:val="none"/>
        </w:rPr>
      </w:pPr>
      <w:r>
        <w:rPr>
          <w:color w:val="auto"/>
          <w:highlight w:val="none"/>
        </w:rPr>
        <w:t>尾矿库在闭库后需进行闭库设计。加强地质灾害防治工作，消除地质灾害隐患。对边坡进行稳定治理；对不稳定的岩块进行及时清理。</w:t>
      </w:r>
    </w:p>
    <w:p w14:paraId="72C79F8D">
      <w:pPr>
        <w:pStyle w:val="3"/>
        <w:ind w:firstLine="480"/>
        <w:rPr>
          <w:color w:val="auto"/>
          <w:highlight w:val="none"/>
        </w:rPr>
      </w:pPr>
      <w:r>
        <w:rPr>
          <w:color w:val="auto"/>
          <w:highlight w:val="none"/>
        </w:rPr>
        <w:t>随着项目区土地复垦的实施及植被的恢复，项目区将会恢复到原貌，使生态系统顺向演替。</w:t>
      </w:r>
    </w:p>
    <w:bookmarkEnd w:id="375"/>
    <w:bookmarkEnd w:id="376"/>
    <w:bookmarkEnd w:id="377"/>
    <w:bookmarkEnd w:id="378"/>
    <w:p w14:paraId="6F40E40C">
      <w:pPr>
        <w:pStyle w:val="3"/>
        <w:ind w:firstLine="480"/>
        <w:rPr>
          <w:color w:val="auto"/>
          <w:highlight w:val="none"/>
        </w:rPr>
        <w:sectPr>
          <w:pgSz w:w="11906" w:h="16838"/>
          <w:pgMar w:top="1440" w:right="1803" w:bottom="1440" w:left="1803" w:header="1020" w:footer="992" w:gutter="0"/>
          <w:pgBorders>
            <w:top w:val="none" w:sz="0" w:space="0"/>
            <w:left w:val="none" w:sz="0" w:space="0"/>
            <w:bottom w:val="none" w:sz="0" w:space="0"/>
            <w:right w:val="none" w:sz="0" w:space="0"/>
          </w:pgBorders>
          <w:cols w:space="720" w:num="1"/>
          <w:docGrid w:type="lines" w:linePitch="332" w:charSpace="0"/>
        </w:sectPr>
      </w:pPr>
    </w:p>
    <w:bookmarkEnd w:id="353"/>
    <w:bookmarkEnd w:id="354"/>
    <w:bookmarkEnd w:id="355"/>
    <w:bookmarkEnd w:id="356"/>
    <w:bookmarkEnd w:id="357"/>
    <w:p w14:paraId="27799C11">
      <w:pPr>
        <w:pStyle w:val="38"/>
        <w:rPr>
          <w:color w:val="auto"/>
          <w:highlight w:val="none"/>
        </w:rPr>
      </w:pPr>
      <w:bookmarkStart w:id="391" w:name="_Toc17184"/>
      <w:bookmarkStart w:id="392" w:name="_Toc16360"/>
      <w:bookmarkStart w:id="393" w:name="_Toc19488"/>
      <w:bookmarkStart w:id="394" w:name="_Toc23813"/>
      <w:bookmarkStart w:id="395" w:name="_Toc496433190"/>
      <w:bookmarkStart w:id="396" w:name="_Toc8884"/>
      <w:bookmarkStart w:id="397" w:name="_Toc2505"/>
      <w:bookmarkStart w:id="398" w:name="_Toc3220"/>
      <w:r>
        <w:rPr>
          <w:rStyle w:val="56"/>
          <w:b/>
          <w:bCs/>
          <w:color w:val="auto"/>
          <w:highlight w:val="none"/>
        </w:rPr>
        <w:t>环境风险评价</w:t>
      </w:r>
      <w:bookmarkEnd w:id="391"/>
      <w:bookmarkEnd w:id="392"/>
    </w:p>
    <w:p w14:paraId="7F650DD1">
      <w:pPr>
        <w:pStyle w:val="39"/>
        <w:rPr>
          <w:rFonts w:hint="default"/>
          <w:color w:val="auto"/>
          <w:highlight w:val="none"/>
        </w:rPr>
      </w:pPr>
      <w:bookmarkStart w:id="399" w:name="_Toc428964906"/>
      <w:bookmarkStart w:id="400" w:name="_Toc404006575"/>
      <w:bookmarkStart w:id="401" w:name="_Toc343503636"/>
      <w:bookmarkStart w:id="402" w:name="_Toc24954"/>
      <w:bookmarkStart w:id="403" w:name="_Toc19145"/>
      <w:bookmarkStart w:id="404" w:name="_Toc248748073"/>
      <w:bookmarkStart w:id="405" w:name="_Toc273629974"/>
      <w:r>
        <w:rPr>
          <w:rFonts w:hint="default"/>
          <w:color w:val="auto"/>
          <w:highlight w:val="none"/>
        </w:rPr>
        <w:t>环境风险评价</w:t>
      </w:r>
      <w:bookmarkEnd w:id="399"/>
      <w:bookmarkEnd w:id="400"/>
      <w:bookmarkEnd w:id="401"/>
      <w:r>
        <w:rPr>
          <w:rFonts w:hint="default"/>
          <w:color w:val="auto"/>
          <w:highlight w:val="none"/>
        </w:rPr>
        <w:t>原则</w:t>
      </w:r>
      <w:bookmarkEnd w:id="402"/>
      <w:bookmarkEnd w:id="403"/>
    </w:p>
    <w:p w14:paraId="62CFFC5E">
      <w:pPr>
        <w:pStyle w:val="3"/>
        <w:ind w:firstLine="480"/>
        <w:rPr>
          <w:color w:val="auto"/>
          <w:highlight w:val="none"/>
        </w:rPr>
      </w:pPr>
      <w:r>
        <w:rPr>
          <w:color w:val="auto"/>
          <w:highlight w:val="none"/>
        </w:rPr>
        <w:t>按照《建设项目环境风险评价技术导则》（HJ 169-2018）的要求，环境风险评价应以突发性事故导致的危险物质环境急性损害防控为目标，对建设项目的环境风险进行分析、预测和评估，提出环境风险预防、控制、减缓措施，明确环境风险监控及应急要求，为建设项目环境风险防控提供科学依据。</w:t>
      </w:r>
    </w:p>
    <w:p w14:paraId="60117C49">
      <w:pPr>
        <w:pStyle w:val="39"/>
        <w:rPr>
          <w:rFonts w:hint="default"/>
          <w:color w:val="auto"/>
          <w:highlight w:val="none"/>
        </w:rPr>
      </w:pPr>
      <w:bookmarkStart w:id="406" w:name="_Toc25303"/>
      <w:bookmarkStart w:id="407" w:name="_Toc23003"/>
      <w:r>
        <w:rPr>
          <w:rFonts w:hint="default"/>
          <w:color w:val="auto"/>
          <w:highlight w:val="none"/>
        </w:rPr>
        <w:t>评价工作程序</w:t>
      </w:r>
      <w:bookmarkEnd w:id="406"/>
      <w:bookmarkEnd w:id="407"/>
    </w:p>
    <w:p w14:paraId="19D9EA11">
      <w:pPr>
        <w:pStyle w:val="3"/>
        <w:ind w:firstLine="480"/>
        <w:rPr>
          <w:color w:val="auto"/>
          <w:highlight w:val="none"/>
        </w:rPr>
      </w:pPr>
      <w:r>
        <w:rPr>
          <w:color w:val="auto"/>
          <w:highlight w:val="none"/>
        </w:rPr>
        <w:t>评价工作程序见图6.2-1。</w:t>
      </w:r>
    </w:p>
    <w:p w14:paraId="57F55714">
      <w:pPr>
        <w:pStyle w:val="3"/>
        <w:spacing w:line="480" w:lineRule="auto"/>
        <w:ind w:firstLine="480"/>
        <w:rPr>
          <w:color w:val="auto"/>
          <w:highlight w:val="none"/>
        </w:rPr>
      </w:pPr>
      <w:r>
        <w:rPr>
          <w:color w:val="auto"/>
          <w:highlight w:val="none"/>
        </w:rPr>
        <w:drawing>
          <wp:inline distT="0" distB="0" distL="114300" distR="114300">
            <wp:extent cx="4779645" cy="5201285"/>
            <wp:effectExtent l="9525" t="9525" r="11430" b="27940"/>
            <wp:docPr id="72" name="图片 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6" descr="1"/>
                    <pic:cNvPicPr>
                      <a:picLocks noChangeAspect="1"/>
                    </pic:cNvPicPr>
                  </pic:nvPicPr>
                  <pic:blipFill>
                    <a:blip r:embed="rId79"/>
                    <a:stretch>
                      <a:fillRect/>
                    </a:stretch>
                  </pic:blipFill>
                  <pic:spPr>
                    <a:xfrm>
                      <a:off x="0" y="0"/>
                      <a:ext cx="4779645" cy="5201285"/>
                    </a:xfrm>
                    <a:prstGeom prst="rect">
                      <a:avLst/>
                    </a:prstGeom>
                    <a:noFill/>
                    <a:ln w="6350" cap="flat" cmpd="sng">
                      <a:solidFill>
                        <a:srgbClr val="000000"/>
                      </a:solidFill>
                      <a:prstDash val="solid"/>
                      <a:miter/>
                      <a:headEnd type="none" w="med" len="med"/>
                      <a:tailEnd type="none" w="med" len="med"/>
                    </a:ln>
                  </pic:spPr>
                </pic:pic>
              </a:graphicData>
            </a:graphic>
          </wp:inline>
        </w:drawing>
      </w:r>
    </w:p>
    <w:p w14:paraId="7A1A9059">
      <w:pPr>
        <w:pStyle w:val="40"/>
        <w:rPr>
          <w:color w:val="auto"/>
          <w:highlight w:val="none"/>
        </w:rPr>
      </w:pPr>
      <w:r>
        <w:rPr>
          <w:color w:val="auto"/>
          <w:highlight w:val="none"/>
        </w:rPr>
        <w:t>图6.2-1    评价工作程序</w:t>
      </w:r>
    </w:p>
    <w:p w14:paraId="6820B0B9">
      <w:pPr>
        <w:pStyle w:val="39"/>
        <w:rPr>
          <w:rFonts w:hint="default"/>
          <w:color w:val="auto"/>
          <w:highlight w:val="none"/>
        </w:rPr>
      </w:pPr>
      <w:bookmarkStart w:id="408" w:name="_Toc3086"/>
      <w:bookmarkStart w:id="409" w:name="_Toc8542"/>
      <w:r>
        <w:rPr>
          <w:rFonts w:hint="default"/>
          <w:color w:val="auto"/>
          <w:highlight w:val="none"/>
        </w:rPr>
        <w:t>风险调查</w:t>
      </w:r>
      <w:bookmarkEnd w:id="408"/>
      <w:bookmarkEnd w:id="409"/>
    </w:p>
    <w:p w14:paraId="492895EE">
      <w:pPr>
        <w:pStyle w:val="42"/>
        <w:rPr>
          <w:rFonts w:hint="default"/>
          <w:color w:val="auto"/>
          <w:highlight w:val="none"/>
        </w:rPr>
      </w:pPr>
      <w:r>
        <w:rPr>
          <w:rFonts w:hint="default"/>
          <w:color w:val="auto"/>
          <w:highlight w:val="none"/>
        </w:rPr>
        <w:t>建设项目风险源调查</w:t>
      </w:r>
    </w:p>
    <w:p w14:paraId="0F20726F">
      <w:pPr>
        <w:pStyle w:val="3"/>
        <w:ind w:firstLine="480"/>
        <w:rPr>
          <w:color w:val="auto"/>
          <w:highlight w:val="none"/>
        </w:rPr>
      </w:pPr>
      <w:r>
        <w:rPr>
          <w:color w:val="auto"/>
          <w:highlight w:val="none"/>
        </w:rPr>
        <w:t>根据《建设项目环境风险评价技术导则》（HJ169-2018）中有关规定，本次风险评价的识别范围主要为选矿厂和尾矿库。</w:t>
      </w:r>
    </w:p>
    <w:p w14:paraId="2F5CE475">
      <w:pPr>
        <w:pStyle w:val="43"/>
        <w:rPr>
          <w:color w:val="auto"/>
          <w:highlight w:val="none"/>
        </w:rPr>
      </w:pPr>
      <w:r>
        <w:rPr>
          <w:rFonts w:hint="eastAsia"/>
          <w:color w:val="auto"/>
          <w:highlight w:val="none"/>
        </w:rPr>
        <w:t>选矿厂</w:t>
      </w:r>
    </w:p>
    <w:p w14:paraId="1C141CC9">
      <w:pPr>
        <w:pStyle w:val="3"/>
        <w:ind w:firstLine="480"/>
        <w:rPr>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color w:val="auto"/>
          <w:highlight w:val="none"/>
        </w:rPr>
        <w:t>物质危险性识别</w:t>
      </w:r>
    </w:p>
    <w:p w14:paraId="381FE1AC">
      <w:pPr>
        <w:pStyle w:val="3"/>
        <w:ind w:firstLine="480"/>
        <w:rPr>
          <w:color w:val="auto"/>
          <w:highlight w:val="none"/>
        </w:rPr>
      </w:pPr>
      <w:r>
        <w:rPr>
          <w:color w:val="auto"/>
          <w:highlight w:val="none"/>
        </w:rPr>
        <w:t>本项目主要危险物质包括</w:t>
      </w:r>
      <w:r>
        <w:rPr>
          <w:rFonts w:hint="eastAsia"/>
          <w:color w:val="auto"/>
          <w:highlight w:val="none"/>
        </w:rPr>
        <w:t>润滑油及</w:t>
      </w:r>
      <w:r>
        <w:rPr>
          <w:color w:val="auto"/>
          <w:highlight w:val="none"/>
        </w:rPr>
        <w:t>废矿物油</w:t>
      </w:r>
      <w:r>
        <w:rPr>
          <w:rFonts w:hint="eastAsia"/>
          <w:color w:val="auto"/>
          <w:highlight w:val="none"/>
        </w:rPr>
        <w:t>。</w:t>
      </w:r>
      <w:r>
        <w:rPr>
          <w:color w:val="auto"/>
          <w:highlight w:val="none"/>
        </w:rPr>
        <w:t>主要危险物质理化性质见表6.3-1</w:t>
      </w:r>
      <w:r>
        <w:rPr>
          <w:rFonts w:hint="eastAsia"/>
          <w:color w:val="auto"/>
          <w:highlight w:val="none"/>
        </w:rPr>
        <w:t>、</w:t>
      </w:r>
      <w:r>
        <w:rPr>
          <w:color w:val="auto"/>
          <w:highlight w:val="none"/>
        </w:rPr>
        <w:t>表6.3-</w:t>
      </w:r>
      <w:r>
        <w:rPr>
          <w:rFonts w:hint="eastAsia"/>
          <w:color w:val="auto"/>
          <w:highlight w:val="none"/>
        </w:rPr>
        <w:t>2</w:t>
      </w:r>
      <w:r>
        <w:rPr>
          <w:color w:val="auto"/>
          <w:highlight w:val="none"/>
        </w:rPr>
        <w:t>。</w:t>
      </w:r>
    </w:p>
    <w:p w14:paraId="0B62DC30">
      <w:pPr>
        <w:pStyle w:val="40"/>
        <w:rPr>
          <w:color w:val="auto"/>
          <w:highlight w:val="none"/>
        </w:rPr>
      </w:pPr>
      <w:r>
        <w:rPr>
          <w:color w:val="auto"/>
          <w:highlight w:val="none"/>
          <w:lang w:val="zh-CN"/>
        </w:rPr>
        <w:t>表6.</w:t>
      </w:r>
      <w:r>
        <w:rPr>
          <w:color w:val="auto"/>
          <w:highlight w:val="none"/>
        </w:rPr>
        <w:t>3</w:t>
      </w:r>
      <w:r>
        <w:rPr>
          <w:color w:val="auto"/>
          <w:highlight w:val="none"/>
          <w:lang w:val="zh-CN"/>
        </w:rPr>
        <w:t>-</w:t>
      </w:r>
      <w:r>
        <w:rPr>
          <w:color w:val="auto"/>
          <w:highlight w:val="none"/>
        </w:rPr>
        <w:t xml:space="preserve">1  </w:t>
      </w:r>
      <w:r>
        <w:rPr>
          <w:color w:val="auto"/>
          <w:highlight w:val="none"/>
          <w:lang w:val="zh-CN"/>
        </w:rPr>
        <w:t xml:space="preserve">  </w:t>
      </w:r>
      <w:r>
        <w:rPr>
          <w:color w:val="auto"/>
          <w:highlight w:val="none"/>
        </w:rPr>
        <w:t xml:space="preserve">    润滑油的理化性质和危险特性</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65"/>
        <w:gridCol w:w="402"/>
        <w:gridCol w:w="2097"/>
        <w:gridCol w:w="446"/>
        <w:gridCol w:w="1615"/>
        <w:gridCol w:w="293"/>
        <w:gridCol w:w="2098"/>
      </w:tblGrid>
      <w:tr w14:paraId="6614E5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3" w:hRule="atLeast"/>
          <w:jc w:val="center"/>
        </w:trPr>
        <w:tc>
          <w:tcPr>
            <w:tcW w:w="5000" w:type="pct"/>
            <w:gridSpan w:val="7"/>
            <w:tcBorders>
              <w:tl2br w:val="nil"/>
              <w:tr2bl w:val="nil"/>
            </w:tcBorders>
            <w:vAlign w:val="center"/>
          </w:tcPr>
          <w:p w14:paraId="536F44D7">
            <w:pPr>
              <w:pStyle w:val="41"/>
              <w:rPr>
                <w:color w:val="auto"/>
                <w:highlight w:val="none"/>
                <w:lang w:val="zh-CN"/>
              </w:rPr>
            </w:pPr>
            <w:r>
              <w:rPr>
                <w:color w:val="auto"/>
                <w:highlight w:val="none"/>
                <w:lang w:val="zh-CN"/>
              </w:rPr>
              <w:t>危险性概述</w:t>
            </w:r>
          </w:p>
        </w:tc>
      </w:tr>
      <w:tr w14:paraId="6D6837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9" w:type="pct"/>
            <w:tcBorders>
              <w:tl2br w:val="nil"/>
              <w:tr2bl w:val="nil"/>
            </w:tcBorders>
            <w:vAlign w:val="center"/>
          </w:tcPr>
          <w:p w14:paraId="1C50A57B">
            <w:pPr>
              <w:pStyle w:val="41"/>
              <w:rPr>
                <w:color w:val="auto"/>
                <w:highlight w:val="none"/>
                <w:lang w:val="zh-CN"/>
              </w:rPr>
            </w:pPr>
            <w:r>
              <w:rPr>
                <w:color w:val="auto"/>
                <w:highlight w:val="none"/>
                <w:lang w:val="zh-CN"/>
              </w:rPr>
              <w:t>危险特性</w:t>
            </w:r>
          </w:p>
        </w:tc>
        <w:tc>
          <w:tcPr>
            <w:tcW w:w="1729" w:type="pct"/>
            <w:gridSpan w:val="3"/>
            <w:tcBorders>
              <w:tl2br w:val="nil"/>
              <w:tr2bl w:val="nil"/>
            </w:tcBorders>
            <w:vAlign w:val="center"/>
          </w:tcPr>
          <w:p w14:paraId="0BC122B1">
            <w:pPr>
              <w:pStyle w:val="41"/>
              <w:rPr>
                <w:color w:val="auto"/>
                <w:highlight w:val="none"/>
                <w:lang w:val="zh-CN"/>
              </w:rPr>
            </w:pPr>
            <w:r>
              <w:rPr>
                <w:color w:val="auto"/>
                <w:highlight w:val="none"/>
                <w:lang w:val="zh-CN"/>
              </w:rPr>
              <w:t>遇明火，高热可燃</w:t>
            </w:r>
          </w:p>
        </w:tc>
        <w:tc>
          <w:tcPr>
            <w:tcW w:w="1120" w:type="pct"/>
            <w:gridSpan w:val="2"/>
            <w:tcBorders>
              <w:tl2br w:val="nil"/>
              <w:tr2bl w:val="nil"/>
            </w:tcBorders>
            <w:vAlign w:val="center"/>
          </w:tcPr>
          <w:p w14:paraId="1E44594D">
            <w:pPr>
              <w:pStyle w:val="41"/>
              <w:rPr>
                <w:color w:val="auto"/>
                <w:highlight w:val="none"/>
                <w:lang w:val="zh-CN"/>
              </w:rPr>
            </w:pPr>
            <w:r>
              <w:rPr>
                <w:color w:val="auto"/>
                <w:highlight w:val="none"/>
                <w:lang w:val="zh-CN"/>
              </w:rPr>
              <w:t>燃爆危险</w:t>
            </w:r>
          </w:p>
        </w:tc>
        <w:tc>
          <w:tcPr>
            <w:tcW w:w="1231" w:type="pct"/>
            <w:tcBorders>
              <w:tl2br w:val="nil"/>
              <w:tr2bl w:val="nil"/>
            </w:tcBorders>
            <w:vAlign w:val="center"/>
          </w:tcPr>
          <w:p w14:paraId="3307B872">
            <w:pPr>
              <w:pStyle w:val="41"/>
              <w:rPr>
                <w:color w:val="auto"/>
                <w:highlight w:val="none"/>
                <w:lang w:val="zh-CN"/>
              </w:rPr>
            </w:pPr>
            <w:r>
              <w:rPr>
                <w:color w:val="auto"/>
                <w:highlight w:val="none"/>
                <w:lang w:val="zh-CN"/>
              </w:rPr>
              <w:t>易燃</w:t>
            </w:r>
          </w:p>
        </w:tc>
      </w:tr>
      <w:tr w14:paraId="49CA73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9" w:type="pct"/>
            <w:tcBorders>
              <w:tl2br w:val="nil"/>
              <w:tr2bl w:val="nil"/>
            </w:tcBorders>
            <w:vAlign w:val="center"/>
          </w:tcPr>
          <w:p w14:paraId="7BA6554E">
            <w:pPr>
              <w:pStyle w:val="41"/>
              <w:rPr>
                <w:color w:val="auto"/>
                <w:highlight w:val="none"/>
                <w:lang w:val="zh-CN"/>
              </w:rPr>
            </w:pPr>
            <w:r>
              <w:rPr>
                <w:color w:val="auto"/>
                <w:highlight w:val="none"/>
                <w:lang w:val="zh-CN"/>
              </w:rPr>
              <w:t>侵入途径</w:t>
            </w:r>
          </w:p>
        </w:tc>
        <w:tc>
          <w:tcPr>
            <w:tcW w:w="1729" w:type="pct"/>
            <w:gridSpan w:val="3"/>
            <w:tcBorders>
              <w:tl2br w:val="nil"/>
              <w:tr2bl w:val="nil"/>
            </w:tcBorders>
            <w:vAlign w:val="center"/>
          </w:tcPr>
          <w:p w14:paraId="388CA01F">
            <w:pPr>
              <w:pStyle w:val="41"/>
              <w:rPr>
                <w:color w:val="auto"/>
                <w:highlight w:val="none"/>
                <w:lang w:val="zh-CN"/>
              </w:rPr>
            </w:pPr>
            <w:r>
              <w:rPr>
                <w:color w:val="auto"/>
                <w:highlight w:val="none"/>
                <w:lang w:val="zh-CN"/>
              </w:rPr>
              <w:t>吸入</w:t>
            </w:r>
          </w:p>
        </w:tc>
        <w:tc>
          <w:tcPr>
            <w:tcW w:w="1120" w:type="pct"/>
            <w:gridSpan w:val="2"/>
            <w:tcBorders>
              <w:tl2br w:val="nil"/>
              <w:tr2bl w:val="nil"/>
            </w:tcBorders>
            <w:vAlign w:val="center"/>
          </w:tcPr>
          <w:p w14:paraId="1F9F83E7">
            <w:pPr>
              <w:pStyle w:val="41"/>
              <w:rPr>
                <w:color w:val="auto"/>
                <w:highlight w:val="none"/>
                <w:lang w:val="zh-CN"/>
              </w:rPr>
            </w:pPr>
            <w:r>
              <w:rPr>
                <w:color w:val="auto"/>
                <w:highlight w:val="none"/>
                <w:lang w:val="zh-CN"/>
              </w:rPr>
              <w:t>有害燃烧产物</w:t>
            </w:r>
          </w:p>
        </w:tc>
        <w:tc>
          <w:tcPr>
            <w:tcW w:w="1231" w:type="pct"/>
            <w:tcBorders>
              <w:tl2br w:val="nil"/>
              <w:tr2bl w:val="nil"/>
            </w:tcBorders>
            <w:vAlign w:val="center"/>
          </w:tcPr>
          <w:p w14:paraId="2FBD90B8">
            <w:pPr>
              <w:pStyle w:val="41"/>
              <w:rPr>
                <w:color w:val="auto"/>
                <w:highlight w:val="none"/>
                <w:lang w:val="zh-CN"/>
              </w:rPr>
            </w:pPr>
            <w:r>
              <w:rPr>
                <w:color w:val="auto"/>
                <w:highlight w:val="none"/>
                <w:lang w:val="zh-CN"/>
              </w:rPr>
              <w:t>一氧化碳、二氧化碳</w:t>
            </w:r>
          </w:p>
        </w:tc>
      </w:tr>
      <w:tr w14:paraId="21848A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9" w:type="pct"/>
            <w:tcBorders>
              <w:tl2br w:val="nil"/>
              <w:tr2bl w:val="nil"/>
            </w:tcBorders>
            <w:vAlign w:val="center"/>
          </w:tcPr>
          <w:p w14:paraId="2CFB8F6E">
            <w:pPr>
              <w:pStyle w:val="41"/>
              <w:rPr>
                <w:color w:val="auto"/>
                <w:highlight w:val="none"/>
                <w:lang w:val="zh-CN"/>
              </w:rPr>
            </w:pPr>
            <w:r>
              <w:rPr>
                <w:color w:val="auto"/>
                <w:highlight w:val="none"/>
                <w:lang w:val="zh-CN"/>
              </w:rPr>
              <w:t>溶解性</w:t>
            </w:r>
          </w:p>
        </w:tc>
        <w:tc>
          <w:tcPr>
            <w:tcW w:w="4080" w:type="pct"/>
            <w:gridSpan w:val="6"/>
            <w:tcBorders>
              <w:tl2br w:val="nil"/>
              <w:tr2bl w:val="nil"/>
            </w:tcBorders>
            <w:vAlign w:val="center"/>
          </w:tcPr>
          <w:p w14:paraId="48327399">
            <w:pPr>
              <w:pStyle w:val="41"/>
              <w:rPr>
                <w:color w:val="auto"/>
                <w:highlight w:val="none"/>
                <w:lang w:val="zh-CN"/>
              </w:rPr>
            </w:pPr>
            <w:r>
              <w:rPr>
                <w:color w:val="auto"/>
                <w:highlight w:val="none"/>
                <w:lang w:val="zh-CN"/>
              </w:rPr>
              <w:t>溶于苯、乙醇、乙醚、氯仿、丙酮等多数有机物</w:t>
            </w:r>
          </w:p>
        </w:tc>
      </w:tr>
      <w:tr w14:paraId="05E77E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7"/>
            <w:tcBorders>
              <w:tl2br w:val="nil"/>
              <w:tr2bl w:val="nil"/>
            </w:tcBorders>
            <w:vAlign w:val="center"/>
          </w:tcPr>
          <w:p w14:paraId="451BA9F6">
            <w:pPr>
              <w:pStyle w:val="41"/>
              <w:rPr>
                <w:color w:val="auto"/>
                <w:highlight w:val="none"/>
                <w:lang w:val="zh-CN"/>
              </w:rPr>
            </w:pPr>
            <w:r>
              <w:rPr>
                <w:color w:val="auto"/>
                <w:highlight w:val="none"/>
                <w:lang w:val="zh-CN"/>
              </w:rPr>
              <w:t>理化特性</w:t>
            </w:r>
          </w:p>
        </w:tc>
      </w:tr>
      <w:tr w14:paraId="145F54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5" w:type="pct"/>
            <w:gridSpan w:val="2"/>
            <w:tcBorders>
              <w:tl2br w:val="nil"/>
              <w:tr2bl w:val="nil"/>
            </w:tcBorders>
            <w:vAlign w:val="center"/>
          </w:tcPr>
          <w:p w14:paraId="69D4FE6A">
            <w:pPr>
              <w:pStyle w:val="41"/>
              <w:rPr>
                <w:color w:val="auto"/>
                <w:highlight w:val="none"/>
                <w:lang w:val="zh-CN"/>
              </w:rPr>
            </w:pPr>
            <w:r>
              <w:rPr>
                <w:color w:val="auto"/>
                <w:highlight w:val="none"/>
                <w:lang w:val="zh-CN"/>
              </w:rPr>
              <w:t>外观及性状</w:t>
            </w:r>
          </w:p>
        </w:tc>
        <w:tc>
          <w:tcPr>
            <w:tcW w:w="1231" w:type="pct"/>
            <w:tcBorders>
              <w:tl2br w:val="nil"/>
              <w:tr2bl w:val="nil"/>
            </w:tcBorders>
            <w:vAlign w:val="center"/>
          </w:tcPr>
          <w:p w14:paraId="49AC6301">
            <w:pPr>
              <w:pStyle w:val="41"/>
              <w:rPr>
                <w:color w:val="auto"/>
                <w:highlight w:val="none"/>
                <w:lang w:val="zh-CN"/>
              </w:rPr>
            </w:pPr>
            <w:r>
              <w:rPr>
                <w:color w:val="auto"/>
                <w:highlight w:val="none"/>
                <w:lang w:val="zh-CN"/>
              </w:rPr>
              <w:t>淡黄色黏稠液体</w:t>
            </w:r>
          </w:p>
        </w:tc>
        <w:tc>
          <w:tcPr>
            <w:tcW w:w="1210" w:type="pct"/>
            <w:gridSpan w:val="2"/>
            <w:tcBorders>
              <w:tl2br w:val="nil"/>
              <w:tr2bl w:val="nil"/>
            </w:tcBorders>
            <w:vAlign w:val="center"/>
          </w:tcPr>
          <w:p w14:paraId="118950A2">
            <w:pPr>
              <w:pStyle w:val="41"/>
              <w:rPr>
                <w:color w:val="auto"/>
                <w:highlight w:val="none"/>
                <w:lang w:val="zh-CN"/>
              </w:rPr>
            </w:pPr>
            <w:r>
              <w:rPr>
                <w:color w:val="auto"/>
                <w:highlight w:val="none"/>
                <w:lang w:val="zh-CN"/>
              </w:rPr>
              <w:t>主要用途</w:t>
            </w:r>
          </w:p>
        </w:tc>
        <w:tc>
          <w:tcPr>
            <w:tcW w:w="1403" w:type="pct"/>
            <w:gridSpan w:val="2"/>
            <w:tcBorders>
              <w:tl2br w:val="nil"/>
              <w:tr2bl w:val="nil"/>
            </w:tcBorders>
            <w:vAlign w:val="center"/>
          </w:tcPr>
          <w:p w14:paraId="5F3FA1EC">
            <w:pPr>
              <w:pStyle w:val="41"/>
              <w:rPr>
                <w:color w:val="auto"/>
                <w:highlight w:val="none"/>
                <w:lang w:val="zh-CN"/>
              </w:rPr>
            </w:pPr>
            <w:r>
              <w:rPr>
                <w:color w:val="auto"/>
                <w:highlight w:val="none"/>
                <w:lang w:val="zh-CN"/>
              </w:rPr>
              <w:t>机械润滑</w:t>
            </w:r>
          </w:p>
        </w:tc>
      </w:tr>
      <w:tr w14:paraId="1BDB36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5" w:type="pct"/>
            <w:gridSpan w:val="2"/>
            <w:tcBorders>
              <w:tl2br w:val="nil"/>
              <w:tr2bl w:val="nil"/>
            </w:tcBorders>
            <w:vAlign w:val="center"/>
          </w:tcPr>
          <w:p w14:paraId="27852B8A">
            <w:pPr>
              <w:pStyle w:val="41"/>
              <w:rPr>
                <w:color w:val="auto"/>
                <w:highlight w:val="none"/>
                <w:lang w:val="zh-CN"/>
              </w:rPr>
            </w:pPr>
            <w:r>
              <w:rPr>
                <w:rFonts w:hint="eastAsia"/>
                <w:color w:val="auto"/>
                <w:highlight w:val="none"/>
                <w:lang w:val="zh-CN"/>
              </w:rPr>
              <w:t>相对</w:t>
            </w:r>
            <w:r>
              <w:rPr>
                <w:color w:val="auto"/>
                <w:highlight w:val="none"/>
                <w:lang w:val="zh-CN"/>
              </w:rPr>
              <w:t>密度（空气=1）</w:t>
            </w:r>
          </w:p>
        </w:tc>
        <w:tc>
          <w:tcPr>
            <w:tcW w:w="1231" w:type="pct"/>
            <w:tcBorders>
              <w:tl2br w:val="nil"/>
              <w:tr2bl w:val="nil"/>
            </w:tcBorders>
            <w:vAlign w:val="center"/>
          </w:tcPr>
          <w:p w14:paraId="4529301F">
            <w:pPr>
              <w:pStyle w:val="41"/>
              <w:rPr>
                <w:color w:val="auto"/>
                <w:highlight w:val="none"/>
                <w:lang w:val="zh-CN"/>
              </w:rPr>
            </w:pPr>
            <w:r>
              <w:rPr>
                <w:color w:val="auto"/>
                <w:highlight w:val="none"/>
                <w:lang w:val="zh-CN"/>
              </w:rPr>
              <w:t>0.85</w:t>
            </w:r>
          </w:p>
        </w:tc>
        <w:tc>
          <w:tcPr>
            <w:tcW w:w="1210" w:type="pct"/>
            <w:gridSpan w:val="2"/>
            <w:tcBorders>
              <w:tl2br w:val="nil"/>
              <w:tr2bl w:val="nil"/>
            </w:tcBorders>
            <w:vAlign w:val="center"/>
          </w:tcPr>
          <w:p w14:paraId="3F855C65">
            <w:pPr>
              <w:pStyle w:val="41"/>
              <w:rPr>
                <w:color w:val="auto"/>
                <w:highlight w:val="none"/>
                <w:lang w:val="zh-CN"/>
              </w:rPr>
            </w:pPr>
            <w:r>
              <w:rPr>
                <w:color w:val="auto"/>
                <w:highlight w:val="none"/>
                <w:lang w:val="zh-CN"/>
              </w:rPr>
              <w:t>相对密度（水＝1）</w:t>
            </w:r>
          </w:p>
        </w:tc>
        <w:tc>
          <w:tcPr>
            <w:tcW w:w="1403" w:type="pct"/>
            <w:gridSpan w:val="2"/>
            <w:tcBorders>
              <w:tl2br w:val="nil"/>
              <w:tr2bl w:val="nil"/>
            </w:tcBorders>
            <w:vAlign w:val="center"/>
          </w:tcPr>
          <w:p w14:paraId="437C90E5">
            <w:pPr>
              <w:pStyle w:val="41"/>
              <w:rPr>
                <w:color w:val="auto"/>
                <w:highlight w:val="none"/>
                <w:lang w:val="zh-CN"/>
              </w:rPr>
            </w:pPr>
            <w:r>
              <w:rPr>
                <w:color w:val="auto"/>
                <w:highlight w:val="none"/>
                <w:lang w:val="zh-CN"/>
              </w:rPr>
              <w:t>934.8</w:t>
            </w:r>
          </w:p>
        </w:tc>
      </w:tr>
      <w:tr w14:paraId="08C334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5" w:type="pct"/>
            <w:gridSpan w:val="2"/>
            <w:tcBorders>
              <w:tl2br w:val="nil"/>
              <w:tr2bl w:val="nil"/>
            </w:tcBorders>
            <w:vAlign w:val="center"/>
          </w:tcPr>
          <w:p w14:paraId="33CDE0D5">
            <w:pPr>
              <w:pStyle w:val="41"/>
              <w:rPr>
                <w:color w:val="auto"/>
                <w:highlight w:val="none"/>
                <w:lang w:val="zh-CN"/>
              </w:rPr>
            </w:pPr>
            <w:r>
              <w:rPr>
                <w:color w:val="auto"/>
                <w:highlight w:val="none"/>
                <w:lang w:val="zh-CN"/>
              </w:rPr>
              <w:t>闪点（℃）</w:t>
            </w:r>
          </w:p>
        </w:tc>
        <w:tc>
          <w:tcPr>
            <w:tcW w:w="1231" w:type="pct"/>
            <w:tcBorders>
              <w:tl2br w:val="nil"/>
              <w:tr2bl w:val="nil"/>
            </w:tcBorders>
            <w:vAlign w:val="center"/>
          </w:tcPr>
          <w:p w14:paraId="059A8FAE">
            <w:pPr>
              <w:pStyle w:val="41"/>
              <w:rPr>
                <w:color w:val="auto"/>
                <w:highlight w:val="none"/>
                <w:lang w:val="zh-CN"/>
              </w:rPr>
            </w:pPr>
            <w:r>
              <w:rPr>
                <w:color w:val="auto"/>
                <w:highlight w:val="none"/>
                <w:lang w:val="zh-CN"/>
              </w:rPr>
              <w:t>120～340</w:t>
            </w:r>
          </w:p>
        </w:tc>
        <w:tc>
          <w:tcPr>
            <w:tcW w:w="1210" w:type="pct"/>
            <w:gridSpan w:val="2"/>
            <w:tcBorders>
              <w:tl2br w:val="nil"/>
              <w:tr2bl w:val="nil"/>
            </w:tcBorders>
            <w:vAlign w:val="center"/>
          </w:tcPr>
          <w:p w14:paraId="527A9DB3">
            <w:pPr>
              <w:pStyle w:val="41"/>
              <w:rPr>
                <w:color w:val="auto"/>
                <w:highlight w:val="none"/>
                <w:lang w:val="zh-CN"/>
              </w:rPr>
            </w:pPr>
            <w:r>
              <w:rPr>
                <w:color w:val="auto"/>
                <w:highlight w:val="none"/>
                <w:lang w:val="zh-CN"/>
              </w:rPr>
              <w:t>沸点（℃）</w:t>
            </w:r>
          </w:p>
        </w:tc>
        <w:tc>
          <w:tcPr>
            <w:tcW w:w="1403" w:type="pct"/>
            <w:gridSpan w:val="2"/>
            <w:tcBorders>
              <w:tl2br w:val="nil"/>
              <w:tr2bl w:val="nil"/>
            </w:tcBorders>
            <w:vAlign w:val="center"/>
          </w:tcPr>
          <w:p w14:paraId="6BDE7159">
            <w:pPr>
              <w:pStyle w:val="41"/>
              <w:rPr>
                <w:color w:val="auto"/>
                <w:highlight w:val="none"/>
                <w:lang w:val="zh-CN"/>
              </w:rPr>
            </w:pPr>
            <w:r>
              <w:rPr>
                <w:color w:val="auto"/>
                <w:highlight w:val="none"/>
                <w:lang w:val="zh-CN"/>
              </w:rPr>
              <w:t>-252.8</w:t>
            </w:r>
          </w:p>
        </w:tc>
      </w:tr>
      <w:tr w14:paraId="64B23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7"/>
            <w:tcBorders>
              <w:tl2br w:val="nil"/>
              <w:tr2bl w:val="nil"/>
            </w:tcBorders>
            <w:vAlign w:val="center"/>
          </w:tcPr>
          <w:p w14:paraId="30AEA402">
            <w:pPr>
              <w:pStyle w:val="41"/>
              <w:rPr>
                <w:color w:val="auto"/>
                <w:highlight w:val="none"/>
                <w:lang w:val="zh-CN"/>
              </w:rPr>
            </w:pPr>
            <w:r>
              <w:rPr>
                <w:color w:val="auto"/>
                <w:highlight w:val="none"/>
                <w:lang w:val="zh-CN"/>
              </w:rPr>
              <w:t>毒理学资料</w:t>
            </w:r>
          </w:p>
        </w:tc>
      </w:tr>
      <w:tr w14:paraId="7E9721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9" w:type="pct"/>
            <w:tcBorders>
              <w:tl2br w:val="nil"/>
              <w:tr2bl w:val="nil"/>
            </w:tcBorders>
            <w:vAlign w:val="center"/>
          </w:tcPr>
          <w:p w14:paraId="45E8E764">
            <w:pPr>
              <w:pStyle w:val="41"/>
              <w:rPr>
                <w:color w:val="auto"/>
                <w:highlight w:val="none"/>
                <w:lang w:val="zh-CN"/>
              </w:rPr>
            </w:pPr>
            <w:r>
              <w:rPr>
                <w:color w:val="auto"/>
                <w:highlight w:val="none"/>
                <w:lang w:val="zh-CN"/>
              </w:rPr>
              <w:t>急性中毒</w:t>
            </w:r>
          </w:p>
        </w:tc>
        <w:tc>
          <w:tcPr>
            <w:tcW w:w="4080" w:type="pct"/>
            <w:gridSpan w:val="6"/>
            <w:tcBorders>
              <w:tl2br w:val="nil"/>
              <w:tr2bl w:val="nil"/>
            </w:tcBorders>
            <w:vAlign w:val="center"/>
          </w:tcPr>
          <w:p w14:paraId="15862B40">
            <w:pPr>
              <w:pStyle w:val="41"/>
              <w:rPr>
                <w:color w:val="auto"/>
                <w:highlight w:val="none"/>
                <w:lang w:val="zh-CN"/>
              </w:rPr>
            </w:pPr>
            <w:r>
              <w:rPr>
                <w:color w:val="auto"/>
                <w:highlight w:val="none"/>
                <w:lang w:val="zh-CN"/>
              </w:rPr>
              <w:t>急性吸入可出现乏力、头晕、头痛、恶心，严重者可引起油脂性肺炎。慢接触者，暴露部位可发生油性痤疮和接触</w:t>
            </w:r>
            <w:r>
              <w:rPr>
                <w:rFonts w:hint="eastAsia"/>
                <w:color w:val="auto"/>
                <w:highlight w:val="none"/>
                <w:lang w:val="zh-CN"/>
              </w:rPr>
              <w:t>性皮炎</w:t>
            </w:r>
            <w:r>
              <w:rPr>
                <w:color w:val="auto"/>
                <w:highlight w:val="none"/>
                <w:lang w:val="zh-CN"/>
              </w:rPr>
              <w:t>。可引发神经衰弱</w:t>
            </w:r>
            <w:r>
              <w:rPr>
                <w:rFonts w:hint="eastAsia"/>
                <w:color w:val="auto"/>
                <w:highlight w:val="none"/>
                <w:lang w:val="zh-CN"/>
              </w:rPr>
              <w:t>综合征</w:t>
            </w:r>
            <w:r>
              <w:rPr>
                <w:color w:val="auto"/>
                <w:highlight w:val="none"/>
                <w:lang w:val="zh-CN"/>
              </w:rPr>
              <w:t>，呼吸道和眼</w:t>
            </w:r>
            <w:r>
              <w:rPr>
                <w:rFonts w:hint="eastAsia"/>
                <w:color w:val="auto"/>
                <w:highlight w:val="none"/>
                <w:lang w:val="zh-CN"/>
              </w:rPr>
              <w:t>刺激征</w:t>
            </w:r>
            <w:r>
              <w:rPr>
                <w:color w:val="auto"/>
                <w:highlight w:val="none"/>
                <w:lang w:val="zh-CN"/>
              </w:rPr>
              <w:t>状及慢性油脂性肺炎。</w:t>
            </w:r>
          </w:p>
        </w:tc>
      </w:tr>
      <w:tr w14:paraId="67F619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9" w:type="pct"/>
            <w:tcBorders>
              <w:tl2br w:val="nil"/>
              <w:tr2bl w:val="nil"/>
            </w:tcBorders>
            <w:vAlign w:val="center"/>
          </w:tcPr>
          <w:p w14:paraId="2BE6B148">
            <w:pPr>
              <w:pStyle w:val="41"/>
              <w:rPr>
                <w:color w:val="auto"/>
                <w:highlight w:val="none"/>
                <w:lang w:val="zh-CN"/>
              </w:rPr>
            </w:pPr>
            <w:r>
              <w:rPr>
                <w:color w:val="auto"/>
                <w:highlight w:val="none"/>
                <w:lang w:val="zh-CN"/>
              </w:rPr>
              <w:t>环境标</w:t>
            </w:r>
          </w:p>
        </w:tc>
        <w:tc>
          <w:tcPr>
            <w:tcW w:w="4080" w:type="pct"/>
            <w:gridSpan w:val="6"/>
            <w:tcBorders>
              <w:tl2br w:val="nil"/>
              <w:tr2bl w:val="nil"/>
            </w:tcBorders>
            <w:vAlign w:val="center"/>
          </w:tcPr>
          <w:p w14:paraId="2BEB3A4D">
            <w:pPr>
              <w:pStyle w:val="41"/>
              <w:rPr>
                <w:color w:val="auto"/>
                <w:highlight w:val="none"/>
                <w:lang w:val="zh-CN"/>
              </w:rPr>
            </w:pPr>
            <w:r>
              <w:rPr>
                <w:color w:val="auto"/>
                <w:highlight w:val="none"/>
                <w:lang w:val="zh-CN"/>
              </w:rPr>
              <w:t>目前无标准</w:t>
            </w:r>
          </w:p>
        </w:tc>
      </w:tr>
    </w:tbl>
    <w:p w14:paraId="6B84FE11">
      <w:pPr>
        <w:pStyle w:val="40"/>
        <w:rPr>
          <w:color w:val="auto"/>
          <w:highlight w:val="none"/>
        </w:rPr>
      </w:pPr>
      <w:r>
        <w:rPr>
          <w:color w:val="auto"/>
          <w:highlight w:val="none"/>
          <w:lang w:val="zh-CN"/>
        </w:rPr>
        <w:t>表</w:t>
      </w:r>
      <w:r>
        <w:rPr>
          <w:rFonts w:hint="eastAsia"/>
          <w:color w:val="auto"/>
          <w:highlight w:val="none"/>
        </w:rPr>
        <w:t>6.3-2</w:t>
      </w:r>
      <w:r>
        <w:rPr>
          <w:color w:val="auto"/>
          <w:highlight w:val="none"/>
          <w:lang w:val="zh-CN"/>
        </w:rPr>
        <w:t xml:space="preserve"> </w:t>
      </w:r>
      <w:r>
        <w:rPr>
          <w:rFonts w:hint="eastAsia"/>
          <w:color w:val="auto"/>
          <w:highlight w:val="none"/>
          <w:lang w:val="zh-CN"/>
        </w:rPr>
        <w:t xml:space="preserve">          废机油理化特性</w:t>
      </w:r>
      <w:r>
        <w:rPr>
          <w:color w:val="auto"/>
          <w:highlight w:val="none"/>
          <w:lang w:val="zh-CN"/>
        </w:rPr>
        <w:t>一览表</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2870"/>
        <w:gridCol w:w="1184"/>
        <w:gridCol w:w="3386"/>
      </w:tblGrid>
      <w:tr w14:paraId="4BC001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000" w:type="pct"/>
            <w:gridSpan w:val="4"/>
            <w:tcBorders>
              <w:tl2br w:val="nil"/>
              <w:tr2bl w:val="nil"/>
            </w:tcBorders>
            <w:vAlign w:val="center"/>
          </w:tcPr>
          <w:p w14:paraId="08A014DF">
            <w:pPr>
              <w:pStyle w:val="41"/>
              <w:rPr>
                <w:color w:val="auto"/>
                <w:highlight w:val="none"/>
              </w:rPr>
            </w:pPr>
            <w:r>
              <w:rPr>
                <w:color w:val="auto"/>
                <w:highlight w:val="none"/>
              </w:rPr>
              <w:t>一、基本理化参数</w:t>
            </w:r>
          </w:p>
        </w:tc>
      </w:tr>
      <w:tr w14:paraId="2686EB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32" w:type="pct"/>
            <w:tcBorders>
              <w:tl2br w:val="nil"/>
              <w:tr2bl w:val="nil"/>
            </w:tcBorders>
            <w:vAlign w:val="center"/>
          </w:tcPr>
          <w:p w14:paraId="48B9A80E">
            <w:pPr>
              <w:pStyle w:val="41"/>
              <w:rPr>
                <w:color w:val="auto"/>
                <w:highlight w:val="none"/>
              </w:rPr>
            </w:pPr>
            <w:r>
              <w:rPr>
                <w:color w:val="auto"/>
                <w:highlight w:val="none"/>
              </w:rPr>
              <w:t>比重</w:t>
            </w:r>
          </w:p>
        </w:tc>
        <w:tc>
          <w:tcPr>
            <w:tcW w:w="1685" w:type="pct"/>
            <w:tcBorders>
              <w:tl2br w:val="nil"/>
              <w:tr2bl w:val="nil"/>
            </w:tcBorders>
            <w:vAlign w:val="center"/>
          </w:tcPr>
          <w:p w14:paraId="751D0D48">
            <w:pPr>
              <w:pStyle w:val="41"/>
              <w:rPr>
                <w:color w:val="auto"/>
                <w:highlight w:val="none"/>
              </w:rPr>
            </w:pPr>
            <w:r>
              <w:rPr>
                <w:color w:val="auto"/>
                <w:highlight w:val="none"/>
              </w:rPr>
              <w:t>0.87</w:t>
            </w:r>
            <w:r>
              <w:rPr>
                <w:rFonts w:hint="eastAsia"/>
                <w:color w:val="auto"/>
                <w:highlight w:val="none"/>
                <w:lang w:eastAsia="zh-CN"/>
              </w:rPr>
              <w:t>—</w:t>
            </w:r>
            <w:r>
              <w:rPr>
                <w:color w:val="auto"/>
                <w:highlight w:val="none"/>
              </w:rPr>
              <w:t>0.95g/mL</w:t>
            </w:r>
          </w:p>
        </w:tc>
        <w:tc>
          <w:tcPr>
            <w:tcW w:w="695" w:type="pct"/>
            <w:tcBorders>
              <w:tl2br w:val="nil"/>
              <w:tr2bl w:val="nil"/>
            </w:tcBorders>
            <w:vAlign w:val="center"/>
          </w:tcPr>
          <w:p w14:paraId="288CD9CB">
            <w:pPr>
              <w:pStyle w:val="41"/>
              <w:rPr>
                <w:color w:val="auto"/>
                <w:highlight w:val="none"/>
              </w:rPr>
            </w:pPr>
            <w:r>
              <w:rPr>
                <w:color w:val="auto"/>
                <w:highlight w:val="none"/>
              </w:rPr>
              <w:t>颜色与外观</w:t>
            </w:r>
          </w:p>
        </w:tc>
        <w:tc>
          <w:tcPr>
            <w:tcW w:w="1986" w:type="pct"/>
            <w:tcBorders>
              <w:tl2br w:val="nil"/>
              <w:tr2bl w:val="nil"/>
            </w:tcBorders>
            <w:vAlign w:val="center"/>
          </w:tcPr>
          <w:p w14:paraId="4ABF9074">
            <w:pPr>
              <w:pStyle w:val="41"/>
              <w:rPr>
                <w:color w:val="auto"/>
                <w:highlight w:val="none"/>
              </w:rPr>
            </w:pPr>
            <w:r>
              <w:rPr>
                <w:color w:val="auto"/>
                <w:highlight w:val="none"/>
              </w:rPr>
              <w:t>呈深黑色或暗褐色，颜色深浅受污染程</w:t>
            </w:r>
          </w:p>
        </w:tc>
      </w:tr>
      <w:tr w14:paraId="2FF0D1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32" w:type="pct"/>
            <w:tcBorders>
              <w:tl2br w:val="nil"/>
              <w:tr2bl w:val="nil"/>
            </w:tcBorders>
            <w:vAlign w:val="center"/>
          </w:tcPr>
          <w:p w14:paraId="5C539008">
            <w:pPr>
              <w:pStyle w:val="41"/>
              <w:rPr>
                <w:color w:val="auto"/>
                <w:highlight w:val="none"/>
              </w:rPr>
            </w:pPr>
            <w:r>
              <w:rPr>
                <w:color w:val="auto"/>
                <w:highlight w:val="none"/>
              </w:rPr>
              <w:t>黏度特性</w:t>
            </w:r>
          </w:p>
        </w:tc>
        <w:tc>
          <w:tcPr>
            <w:tcW w:w="4367" w:type="pct"/>
            <w:gridSpan w:val="3"/>
            <w:tcBorders>
              <w:tl2br w:val="nil"/>
              <w:tr2bl w:val="nil"/>
            </w:tcBorders>
            <w:vAlign w:val="center"/>
          </w:tcPr>
          <w:p w14:paraId="1921F9E9">
            <w:pPr>
              <w:pStyle w:val="41"/>
              <w:rPr>
                <w:color w:val="auto"/>
                <w:highlight w:val="none"/>
              </w:rPr>
            </w:pPr>
            <w:r>
              <w:rPr>
                <w:color w:val="auto"/>
                <w:highlight w:val="none"/>
              </w:rPr>
              <w:t>40℃时运动黏度约为70-80cst，具体数值受混入杂质</w:t>
            </w:r>
          </w:p>
        </w:tc>
      </w:tr>
      <w:tr w14:paraId="0F4DC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32" w:type="pct"/>
            <w:tcBorders>
              <w:tl2br w:val="nil"/>
              <w:tr2bl w:val="nil"/>
            </w:tcBorders>
            <w:vAlign w:val="center"/>
          </w:tcPr>
          <w:p w14:paraId="4653FA03">
            <w:pPr>
              <w:pStyle w:val="41"/>
              <w:rPr>
                <w:color w:val="auto"/>
                <w:highlight w:val="none"/>
              </w:rPr>
            </w:pPr>
            <w:r>
              <w:rPr>
                <w:color w:val="auto"/>
                <w:highlight w:val="none"/>
              </w:rPr>
              <w:t>闪点</w:t>
            </w:r>
          </w:p>
        </w:tc>
        <w:tc>
          <w:tcPr>
            <w:tcW w:w="4367" w:type="pct"/>
            <w:gridSpan w:val="3"/>
            <w:tcBorders>
              <w:tl2br w:val="nil"/>
              <w:tr2bl w:val="nil"/>
            </w:tcBorders>
            <w:vAlign w:val="center"/>
          </w:tcPr>
          <w:p w14:paraId="6DFCC7E6">
            <w:pPr>
              <w:pStyle w:val="41"/>
              <w:rPr>
                <w:color w:val="auto"/>
                <w:highlight w:val="none"/>
              </w:rPr>
            </w:pPr>
            <w:r>
              <w:rPr>
                <w:color w:val="auto"/>
                <w:highlight w:val="none"/>
              </w:rPr>
              <w:t>闪点范围一般为120~140℃，但若混入低闪点燃料油（如汽油），闪点可能降低。</w:t>
            </w:r>
          </w:p>
        </w:tc>
      </w:tr>
      <w:tr w14:paraId="08C2EC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000" w:type="pct"/>
            <w:gridSpan w:val="4"/>
            <w:tcBorders>
              <w:tl2br w:val="nil"/>
              <w:tr2bl w:val="nil"/>
            </w:tcBorders>
            <w:vAlign w:val="center"/>
          </w:tcPr>
          <w:p w14:paraId="2A385405">
            <w:pPr>
              <w:pStyle w:val="41"/>
              <w:rPr>
                <w:color w:val="auto"/>
                <w:highlight w:val="none"/>
              </w:rPr>
            </w:pPr>
            <w:r>
              <w:rPr>
                <w:color w:val="auto"/>
                <w:highlight w:val="none"/>
              </w:rPr>
              <w:t>二、污染与变质特性</w:t>
            </w:r>
          </w:p>
        </w:tc>
      </w:tr>
      <w:tr w14:paraId="5BF642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32" w:type="pct"/>
            <w:tcBorders>
              <w:tl2br w:val="nil"/>
              <w:tr2bl w:val="nil"/>
            </w:tcBorders>
            <w:vAlign w:val="center"/>
          </w:tcPr>
          <w:p w14:paraId="1FDCB3E5">
            <w:pPr>
              <w:pStyle w:val="41"/>
              <w:rPr>
                <w:color w:val="auto"/>
                <w:highlight w:val="none"/>
              </w:rPr>
            </w:pPr>
            <w:r>
              <w:rPr>
                <w:color w:val="auto"/>
                <w:highlight w:val="none"/>
              </w:rPr>
              <w:t>污染物组成</w:t>
            </w:r>
          </w:p>
        </w:tc>
        <w:tc>
          <w:tcPr>
            <w:tcW w:w="4367" w:type="pct"/>
            <w:gridSpan w:val="3"/>
            <w:tcBorders>
              <w:tl2br w:val="nil"/>
              <w:tr2bl w:val="nil"/>
            </w:tcBorders>
            <w:vAlign w:val="center"/>
          </w:tcPr>
          <w:p w14:paraId="44979601">
            <w:pPr>
              <w:pStyle w:val="41"/>
              <w:rPr>
                <w:color w:val="auto"/>
                <w:highlight w:val="none"/>
              </w:rPr>
            </w:pPr>
            <w:r>
              <w:rPr>
                <w:color w:val="auto"/>
                <w:highlight w:val="none"/>
              </w:rPr>
              <w:t>包含机械杂质（金属屑、灰尘、纤维物质）、水分及燃料油稀释物；硫、磷、氮化合物及重金属（如铅、锌）含量显著升高。</w:t>
            </w:r>
          </w:p>
        </w:tc>
      </w:tr>
      <w:tr w14:paraId="1CFAB4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32" w:type="pct"/>
            <w:tcBorders>
              <w:tl2br w:val="nil"/>
              <w:tr2bl w:val="nil"/>
            </w:tcBorders>
            <w:vAlign w:val="center"/>
          </w:tcPr>
          <w:p w14:paraId="1FE4E492">
            <w:pPr>
              <w:pStyle w:val="41"/>
              <w:rPr>
                <w:color w:val="auto"/>
                <w:highlight w:val="none"/>
              </w:rPr>
            </w:pPr>
            <w:r>
              <w:rPr>
                <w:color w:val="auto"/>
                <w:highlight w:val="none"/>
              </w:rPr>
              <w:t>化学变质</w:t>
            </w:r>
          </w:p>
          <w:p w14:paraId="71C5B663">
            <w:pPr>
              <w:pStyle w:val="41"/>
              <w:rPr>
                <w:color w:val="auto"/>
                <w:highlight w:val="none"/>
              </w:rPr>
            </w:pPr>
            <w:r>
              <w:rPr>
                <w:color w:val="auto"/>
                <w:highlight w:val="none"/>
              </w:rPr>
              <w:t>产物</w:t>
            </w:r>
          </w:p>
        </w:tc>
        <w:tc>
          <w:tcPr>
            <w:tcW w:w="4367" w:type="pct"/>
            <w:gridSpan w:val="3"/>
            <w:tcBorders>
              <w:tl2br w:val="nil"/>
              <w:tr2bl w:val="nil"/>
            </w:tcBorders>
            <w:vAlign w:val="center"/>
          </w:tcPr>
          <w:p w14:paraId="6B2B855A">
            <w:pPr>
              <w:pStyle w:val="41"/>
              <w:rPr>
                <w:color w:val="auto"/>
                <w:highlight w:val="none"/>
              </w:rPr>
            </w:pPr>
            <w:r>
              <w:rPr>
                <w:color w:val="auto"/>
                <w:highlight w:val="none"/>
              </w:rPr>
              <w:t>氧化生成有机酸、胶质和沥青状物质，导致酸值升高；热分解产生焦炭和沉淀物，进一步影响流动性。</w:t>
            </w:r>
          </w:p>
        </w:tc>
      </w:tr>
      <w:tr w14:paraId="0603AF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32" w:type="pct"/>
            <w:tcBorders>
              <w:tl2br w:val="nil"/>
              <w:tr2bl w:val="nil"/>
            </w:tcBorders>
            <w:vAlign w:val="center"/>
          </w:tcPr>
          <w:p w14:paraId="125AB074">
            <w:pPr>
              <w:pStyle w:val="41"/>
              <w:rPr>
                <w:color w:val="auto"/>
                <w:highlight w:val="none"/>
              </w:rPr>
            </w:pPr>
            <w:r>
              <w:rPr>
                <w:color w:val="auto"/>
                <w:highlight w:val="none"/>
              </w:rPr>
              <w:t>低温流动性</w:t>
            </w:r>
          </w:p>
        </w:tc>
        <w:tc>
          <w:tcPr>
            <w:tcW w:w="4367" w:type="pct"/>
            <w:gridSpan w:val="3"/>
            <w:tcBorders>
              <w:tl2br w:val="nil"/>
              <w:tr2bl w:val="nil"/>
            </w:tcBorders>
            <w:vAlign w:val="center"/>
          </w:tcPr>
          <w:p w14:paraId="7877187F">
            <w:pPr>
              <w:pStyle w:val="41"/>
              <w:rPr>
                <w:color w:val="auto"/>
                <w:highlight w:val="none"/>
              </w:rPr>
            </w:pPr>
            <w:r>
              <w:rPr>
                <w:color w:val="auto"/>
                <w:highlight w:val="none"/>
              </w:rPr>
              <w:t>凝点通常低于-20℃，但污染物（如水分、胶质）会降低其低温性能‌。</w:t>
            </w:r>
          </w:p>
        </w:tc>
      </w:tr>
      <w:tr w14:paraId="25A50C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000" w:type="pct"/>
            <w:gridSpan w:val="4"/>
            <w:tcBorders>
              <w:tl2br w:val="nil"/>
              <w:tr2bl w:val="nil"/>
            </w:tcBorders>
            <w:vAlign w:val="center"/>
          </w:tcPr>
          <w:p w14:paraId="2D1BFBFC">
            <w:pPr>
              <w:pStyle w:val="41"/>
              <w:rPr>
                <w:color w:val="auto"/>
                <w:highlight w:val="none"/>
              </w:rPr>
            </w:pPr>
            <w:r>
              <w:rPr>
                <w:color w:val="auto"/>
                <w:highlight w:val="none"/>
              </w:rPr>
              <w:t>三、危险特性</w:t>
            </w:r>
          </w:p>
        </w:tc>
      </w:tr>
      <w:tr w14:paraId="121236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32" w:type="pct"/>
            <w:tcBorders>
              <w:tl2br w:val="nil"/>
              <w:tr2bl w:val="nil"/>
            </w:tcBorders>
            <w:vAlign w:val="center"/>
          </w:tcPr>
          <w:p w14:paraId="3B8A482D">
            <w:pPr>
              <w:pStyle w:val="41"/>
              <w:rPr>
                <w:color w:val="auto"/>
                <w:highlight w:val="none"/>
              </w:rPr>
            </w:pPr>
            <w:r>
              <w:rPr>
                <w:color w:val="auto"/>
                <w:highlight w:val="none"/>
              </w:rPr>
              <w:t>可燃性</w:t>
            </w:r>
          </w:p>
        </w:tc>
        <w:tc>
          <w:tcPr>
            <w:tcW w:w="4367" w:type="pct"/>
            <w:gridSpan w:val="3"/>
            <w:tcBorders>
              <w:tl2br w:val="nil"/>
              <w:tr2bl w:val="nil"/>
            </w:tcBorders>
            <w:vAlign w:val="center"/>
          </w:tcPr>
          <w:p w14:paraId="65F15A3E">
            <w:pPr>
              <w:pStyle w:val="41"/>
              <w:rPr>
                <w:color w:val="auto"/>
                <w:highlight w:val="none"/>
              </w:rPr>
            </w:pPr>
            <w:r>
              <w:rPr>
                <w:color w:val="auto"/>
                <w:highlight w:val="none"/>
              </w:rPr>
              <w:t>高闪点使其不易自燃，但受燃料稀释后易燃性显著增加‌。</w:t>
            </w:r>
          </w:p>
        </w:tc>
      </w:tr>
      <w:tr w14:paraId="35C99C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32" w:type="pct"/>
            <w:tcBorders>
              <w:tl2br w:val="nil"/>
              <w:tr2bl w:val="nil"/>
            </w:tcBorders>
            <w:vAlign w:val="center"/>
          </w:tcPr>
          <w:p w14:paraId="4B26B7BB">
            <w:pPr>
              <w:pStyle w:val="41"/>
              <w:rPr>
                <w:color w:val="auto"/>
                <w:highlight w:val="none"/>
              </w:rPr>
            </w:pPr>
            <w:r>
              <w:rPr>
                <w:color w:val="auto"/>
                <w:highlight w:val="none"/>
              </w:rPr>
              <w:t>腐蚀性</w:t>
            </w:r>
          </w:p>
        </w:tc>
        <w:tc>
          <w:tcPr>
            <w:tcW w:w="4367" w:type="pct"/>
            <w:gridSpan w:val="3"/>
            <w:tcBorders>
              <w:tl2br w:val="nil"/>
              <w:tr2bl w:val="nil"/>
            </w:tcBorders>
            <w:vAlign w:val="center"/>
          </w:tcPr>
          <w:p w14:paraId="42A77E75">
            <w:pPr>
              <w:pStyle w:val="41"/>
              <w:rPr>
                <w:color w:val="auto"/>
                <w:highlight w:val="none"/>
              </w:rPr>
            </w:pPr>
            <w:r>
              <w:rPr>
                <w:color w:val="auto"/>
                <w:highlight w:val="none"/>
              </w:rPr>
              <w:t>氧化产生的酸性物质对金属部件具有腐蚀性，铜片腐蚀试验可检测其腐蚀倾向‌。</w:t>
            </w:r>
          </w:p>
        </w:tc>
      </w:tr>
      <w:tr w14:paraId="4BBBC5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32" w:type="pct"/>
            <w:tcBorders>
              <w:tl2br w:val="nil"/>
              <w:tr2bl w:val="nil"/>
            </w:tcBorders>
            <w:vAlign w:val="center"/>
          </w:tcPr>
          <w:p w14:paraId="2E30639F">
            <w:pPr>
              <w:pStyle w:val="41"/>
              <w:rPr>
                <w:color w:val="auto"/>
                <w:highlight w:val="none"/>
              </w:rPr>
            </w:pPr>
            <w:r>
              <w:rPr>
                <w:color w:val="auto"/>
                <w:highlight w:val="none"/>
              </w:rPr>
              <w:t>‌环境危害</w:t>
            </w:r>
          </w:p>
        </w:tc>
        <w:tc>
          <w:tcPr>
            <w:tcW w:w="4367" w:type="pct"/>
            <w:gridSpan w:val="3"/>
            <w:tcBorders>
              <w:tl2br w:val="nil"/>
              <w:tr2bl w:val="nil"/>
            </w:tcBorders>
            <w:vAlign w:val="center"/>
          </w:tcPr>
          <w:p w14:paraId="09E59747">
            <w:pPr>
              <w:pStyle w:val="41"/>
              <w:rPr>
                <w:color w:val="auto"/>
                <w:highlight w:val="none"/>
              </w:rPr>
            </w:pPr>
            <w:r>
              <w:rPr>
                <w:color w:val="auto"/>
                <w:highlight w:val="none"/>
              </w:rPr>
              <w:t>含重金属、硫化物等有毒成分，可污染土壤和水体，需按危废HW08类别处理。</w:t>
            </w:r>
          </w:p>
        </w:tc>
      </w:tr>
      <w:tr w14:paraId="7AF7C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000" w:type="pct"/>
            <w:gridSpan w:val="4"/>
            <w:tcBorders>
              <w:tl2br w:val="nil"/>
              <w:tr2bl w:val="nil"/>
            </w:tcBorders>
            <w:vAlign w:val="center"/>
          </w:tcPr>
          <w:p w14:paraId="38E1A044">
            <w:pPr>
              <w:pStyle w:val="41"/>
              <w:rPr>
                <w:color w:val="auto"/>
                <w:highlight w:val="none"/>
              </w:rPr>
            </w:pPr>
            <w:r>
              <w:rPr>
                <w:color w:val="auto"/>
                <w:highlight w:val="none"/>
              </w:rPr>
              <w:t>四、废机油消防措施</w:t>
            </w:r>
          </w:p>
        </w:tc>
      </w:tr>
      <w:tr w14:paraId="1B786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000" w:type="pct"/>
            <w:gridSpan w:val="4"/>
            <w:tcBorders>
              <w:tl2br w:val="nil"/>
              <w:tr2bl w:val="nil"/>
            </w:tcBorders>
            <w:vAlign w:val="center"/>
          </w:tcPr>
          <w:p w14:paraId="4B5D45DB">
            <w:pPr>
              <w:pStyle w:val="41"/>
              <w:jc w:val="both"/>
              <w:rPr>
                <w:color w:val="auto"/>
                <w:highlight w:val="none"/>
              </w:rPr>
            </w:pPr>
            <w:r>
              <w:rPr>
                <w:rFonts w:hint="eastAsia"/>
                <w:color w:val="auto"/>
                <w:highlight w:val="none"/>
                <w:lang w:eastAsia="zh-CN"/>
              </w:rPr>
              <w:t>1.</w:t>
            </w:r>
            <w:r>
              <w:rPr>
                <w:color w:val="auto"/>
                <w:highlight w:val="none"/>
              </w:rPr>
              <w:t>预防措施</w:t>
            </w:r>
          </w:p>
          <w:p w14:paraId="7107C2C9">
            <w:pPr>
              <w:pStyle w:val="41"/>
              <w:jc w:val="both"/>
              <w:rPr>
                <w:color w:val="auto"/>
                <w:highlight w:val="none"/>
              </w:rPr>
            </w:pPr>
            <w:r>
              <w:rPr>
                <w:color w:val="auto"/>
                <w:highlight w:val="none"/>
              </w:rPr>
              <w:t>（1）‌操作人员培训‌</w:t>
            </w:r>
          </w:p>
          <w:p w14:paraId="3FA99307">
            <w:pPr>
              <w:pStyle w:val="41"/>
              <w:jc w:val="both"/>
              <w:rPr>
                <w:color w:val="auto"/>
                <w:highlight w:val="none"/>
              </w:rPr>
            </w:pPr>
            <w:r>
              <w:rPr>
                <w:color w:val="auto"/>
                <w:highlight w:val="none"/>
              </w:rPr>
              <w:t>废机油操作人员需接受特殊岗位及应急演练培训，掌握消防器材使用、环保常识及初期火灾扑救技能。</w:t>
            </w:r>
          </w:p>
          <w:p w14:paraId="2D43A3A4">
            <w:pPr>
              <w:pStyle w:val="41"/>
              <w:jc w:val="both"/>
              <w:rPr>
                <w:color w:val="auto"/>
                <w:highlight w:val="none"/>
              </w:rPr>
            </w:pPr>
            <w:r>
              <w:rPr>
                <w:color w:val="auto"/>
                <w:highlight w:val="none"/>
              </w:rPr>
              <w:t>（2）‌存放场所规范‌</w:t>
            </w:r>
          </w:p>
          <w:p w14:paraId="25A9768C">
            <w:pPr>
              <w:pStyle w:val="41"/>
              <w:jc w:val="both"/>
              <w:rPr>
                <w:color w:val="auto"/>
                <w:highlight w:val="none"/>
              </w:rPr>
            </w:pPr>
            <w:r>
              <w:rPr>
                <w:color w:val="auto"/>
                <w:highlight w:val="none"/>
              </w:rPr>
              <w:t>存放区需采取防雨、防渗、防漏措施，配备灭火器、消防沙等设施；禁止与易燃物混放，并设置明显的安全警示标识。</w:t>
            </w:r>
          </w:p>
          <w:p w14:paraId="461D591F">
            <w:pPr>
              <w:pStyle w:val="41"/>
              <w:jc w:val="both"/>
              <w:rPr>
                <w:color w:val="auto"/>
                <w:highlight w:val="none"/>
              </w:rPr>
            </w:pPr>
            <w:r>
              <w:rPr>
                <w:color w:val="auto"/>
                <w:highlight w:val="none"/>
              </w:rPr>
              <w:t>‌存放量控制‌</w:t>
            </w:r>
          </w:p>
          <w:p w14:paraId="48316180">
            <w:pPr>
              <w:pStyle w:val="41"/>
              <w:jc w:val="both"/>
              <w:rPr>
                <w:color w:val="auto"/>
                <w:highlight w:val="none"/>
              </w:rPr>
            </w:pPr>
            <w:r>
              <w:rPr>
                <w:color w:val="auto"/>
                <w:highlight w:val="none"/>
              </w:rPr>
              <w:t>废机油存放量需严格管控，定期转移至专业处置机构，避免过量积存引发火灾风险。</w:t>
            </w:r>
          </w:p>
          <w:p w14:paraId="52BC6CF4">
            <w:pPr>
              <w:pStyle w:val="41"/>
              <w:jc w:val="both"/>
              <w:rPr>
                <w:color w:val="auto"/>
                <w:highlight w:val="none"/>
              </w:rPr>
            </w:pPr>
            <w:r>
              <w:rPr>
                <w:rFonts w:hint="eastAsia"/>
                <w:color w:val="auto"/>
                <w:highlight w:val="none"/>
                <w:lang w:eastAsia="zh-CN"/>
              </w:rPr>
              <w:t>2.</w:t>
            </w:r>
            <w:r>
              <w:rPr>
                <w:color w:val="auto"/>
                <w:highlight w:val="none"/>
              </w:rPr>
              <w:t>应急响应流程</w:t>
            </w:r>
          </w:p>
          <w:p w14:paraId="7920AE93">
            <w:pPr>
              <w:pStyle w:val="41"/>
              <w:jc w:val="both"/>
              <w:rPr>
                <w:color w:val="auto"/>
                <w:highlight w:val="none"/>
              </w:rPr>
            </w:pPr>
            <w:r>
              <w:rPr>
                <w:color w:val="auto"/>
                <w:highlight w:val="none"/>
              </w:rPr>
              <w:t>（1）‌初期处置‌</w:t>
            </w:r>
          </w:p>
          <w:p w14:paraId="778148CC">
            <w:pPr>
              <w:pStyle w:val="41"/>
              <w:jc w:val="both"/>
              <w:rPr>
                <w:color w:val="auto"/>
                <w:highlight w:val="none"/>
              </w:rPr>
            </w:pPr>
            <w:r>
              <w:rPr>
                <w:color w:val="auto"/>
                <w:highlight w:val="none"/>
              </w:rPr>
              <w:t>火灾发生时，第一发现人应立即使用灭火器、</w:t>
            </w:r>
            <w:r>
              <w:rPr>
                <w:rFonts w:hint="eastAsia"/>
                <w:color w:val="auto"/>
                <w:highlight w:val="none"/>
              </w:rPr>
              <w:t>消防栓</w:t>
            </w:r>
            <w:r>
              <w:rPr>
                <w:color w:val="auto"/>
                <w:highlight w:val="none"/>
              </w:rPr>
              <w:t>等控制火势，同时启动现场消防设施（如喷淋系统）。</w:t>
            </w:r>
          </w:p>
          <w:p w14:paraId="6526401B">
            <w:pPr>
              <w:pStyle w:val="41"/>
              <w:jc w:val="both"/>
              <w:rPr>
                <w:color w:val="auto"/>
                <w:highlight w:val="none"/>
              </w:rPr>
            </w:pPr>
            <w:r>
              <w:rPr>
                <w:color w:val="auto"/>
                <w:highlight w:val="none"/>
              </w:rPr>
              <w:t>（2）‌报警与上报‌</w:t>
            </w:r>
          </w:p>
          <w:p w14:paraId="68D05CD8">
            <w:pPr>
              <w:pStyle w:val="41"/>
              <w:jc w:val="both"/>
              <w:rPr>
                <w:color w:val="auto"/>
                <w:highlight w:val="none"/>
              </w:rPr>
            </w:pPr>
            <w:r>
              <w:rPr>
                <w:color w:val="auto"/>
                <w:highlight w:val="none"/>
              </w:rPr>
              <w:t>拨打119报警，并上报应急管理小组，组织人员疏散至安全区域；切断电源和火源，防止火势蔓延。</w:t>
            </w:r>
          </w:p>
          <w:p w14:paraId="17D6F7D0">
            <w:pPr>
              <w:pStyle w:val="41"/>
              <w:jc w:val="both"/>
              <w:rPr>
                <w:color w:val="auto"/>
                <w:highlight w:val="none"/>
              </w:rPr>
            </w:pPr>
            <w:r>
              <w:rPr>
                <w:color w:val="auto"/>
                <w:highlight w:val="none"/>
              </w:rPr>
              <w:t>（3）‌污染防控‌</w:t>
            </w:r>
          </w:p>
          <w:p w14:paraId="41A568E8">
            <w:pPr>
              <w:pStyle w:val="41"/>
              <w:jc w:val="both"/>
              <w:rPr>
                <w:color w:val="auto"/>
                <w:highlight w:val="none"/>
              </w:rPr>
            </w:pPr>
            <w:r>
              <w:rPr>
                <w:color w:val="auto"/>
                <w:highlight w:val="none"/>
              </w:rPr>
              <w:t>泄漏事故中需使用吸附材料（如吸油毡）拦截污染源，防止废机油流入下水道或土壤；设置警戒区，禁止无关人员进入‌‌‌‌‌</w:t>
            </w:r>
          </w:p>
        </w:tc>
      </w:tr>
    </w:tbl>
    <w:p w14:paraId="37EAB22A">
      <w:pPr>
        <w:pStyle w:val="3"/>
        <w:ind w:firstLine="480"/>
        <w:rPr>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color w:val="auto"/>
          <w:highlight w:val="none"/>
        </w:rPr>
        <w:t>生产</w:t>
      </w:r>
      <w:r>
        <w:rPr>
          <w:rFonts w:hint="eastAsia"/>
          <w:color w:val="auto"/>
          <w:highlight w:val="none"/>
          <w:lang w:val="en-US" w:eastAsia="zh-CN"/>
        </w:rPr>
        <w:t>系统</w:t>
      </w:r>
      <w:r>
        <w:rPr>
          <w:color w:val="auto"/>
          <w:highlight w:val="none"/>
        </w:rPr>
        <w:t>危险性识别</w:t>
      </w:r>
    </w:p>
    <w:p w14:paraId="45FDB1BE">
      <w:pPr>
        <w:pStyle w:val="3"/>
        <w:ind w:firstLine="480"/>
        <w:rPr>
          <w:rFonts w:hint="eastAsia" w:eastAsia="华文中宋"/>
          <w:color w:val="auto"/>
          <w:highlight w:val="none"/>
          <w:lang w:val="en-US" w:eastAsia="zh-CN"/>
        </w:rPr>
      </w:pPr>
      <w:r>
        <w:rPr>
          <w:color w:val="auto"/>
          <w:highlight w:val="none"/>
        </w:rPr>
        <w:t>本项目选矿废水闭路循环。选矿水循环系统因设备老化、故障、操作不当以及建筑破损等原因可能发生选矿废水泄漏事故</w:t>
      </w:r>
      <w:r>
        <w:rPr>
          <w:rFonts w:hint="eastAsia"/>
          <w:color w:val="auto"/>
          <w:highlight w:val="none"/>
          <w:lang w:val="en-US" w:eastAsia="zh-CN"/>
        </w:rPr>
        <w:t>。</w:t>
      </w:r>
    </w:p>
    <w:p w14:paraId="59140BD2">
      <w:pPr>
        <w:pStyle w:val="3"/>
        <w:ind w:firstLine="480"/>
        <w:rPr>
          <w:rFonts w:hint="eastAsia"/>
          <w:color w:val="auto"/>
          <w:highlight w:val="none"/>
          <w:lang w:val="en-US" w:eastAsia="zh-CN"/>
        </w:rPr>
      </w:pPr>
      <w:r>
        <w:rPr>
          <w:rFonts w:hint="eastAsia"/>
          <w:color w:val="auto"/>
          <w:highlight w:val="none"/>
          <w:lang w:val="en-US" w:eastAsia="zh-CN"/>
        </w:rPr>
        <w:t>生物质炉窑负压控制失效、引风机故障，火焰倒窜引发连锁火灾、爆炸，造成大气污染。</w:t>
      </w:r>
    </w:p>
    <w:p w14:paraId="46B06DE4">
      <w:pPr>
        <w:pStyle w:val="3"/>
        <w:ind w:firstLine="480"/>
        <w:rPr>
          <w:rFonts w:hint="default" w:eastAsia="华文中宋"/>
          <w:color w:val="auto"/>
          <w:highlight w:val="none"/>
          <w:lang w:val="en-US" w:eastAsia="zh-CN"/>
        </w:rPr>
      </w:pPr>
      <w:r>
        <w:rPr>
          <w:rFonts w:hint="eastAsia" w:ascii="宋体" w:hAnsi="宋体"/>
          <w:color w:val="auto"/>
          <w:highlight w:val="none"/>
        </w:rPr>
        <w:t>污水处理设施出现运行故障，或由于误操作、自然灾害等导致失效或受损，可能造成</w:t>
      </w:r>
      <w:r>
        <w:rPr>
          <w:rFonts w:hint="eastAsia" w:ascii="宋体" w:hAnsi="宋体"/>
          <w:color w:val="auto"/>
          <w:highlight w:val="none"/>
          <w:lang w:val="en-US" w:eastAsia="zh-CN"/>
        </w:rPr>
        <w:t>污水进入外环境</w:t>
      </w:r>
      <w:r>
        <w:rPr>
          <w:rFonts w:hint="eastAsia" w:ascii="宋体" w:hAnsi="宋体"/>
          <w:color w:val="auto"/>
          <w:highlight w:val="none"/>
        </w:rPr>
        <w:t>，对环境造成严重污染</w:t>
      </w:r>
      <w:r>
        <w:rPr>
          <w:rFonts w:hint="eastAsia" w:ascii="宋体" w:hAnsi="宋体"/>
          <w:color w:val="auto"/>
          <w:highlight w:val="none"/>
          <w:lang w:val="en-US" w:eastAsia="zh-CN"/>
        </w:rPr>
        <w:t>。</w:t>
      </w:r>
    </w:p>
    <w:p w14:paraId="67844938">
      <w:pPr>
        <w:pStyle w:val="43"/>
        <w:rPr>
          <w:color w:val="auto"/>
          <w:highlight w:val="none"/>
        </w:rPr>
      </w:pPr>
      <w:r>
        <w:rPr>
          <w:color w:val="auto"/>
          <w:highlight w:val="none"/>
        </w:rPr>
        <w:t>尾矿库</w:t>
      </w:r>
    </w:p>
    <w:p w14:paraId="239489FA">
      <w:pPr>
        <w:pStyle w:val="3"/>
        <w:ind w:firstLine="480"/>
        <w:rPr>
          <w:color w:val="auto"/>
          <w:highlight w:val="none"/>
        </w:rPr>
      </w:pPr>
      <w:r>
        <w:rPr>
          <w:rFonts w:hint="eastAsia"/>
          <w:color w:val="auto"/>
          <w:highlight w:val="none"/>
          <w:lang w:val="en-US" w:eastAsia="zh-CN"/>
        </w:rPr>
        <w:t>本项目尾矿排放方式为干排，</w:t>
      </w:r>
      <w:r>
        <w:rPr>
          <w:rFonts w:hint="eastAsia"/>
          <w:color w:val="auto"/>
          <w:highlight w:val="none"/>
        </w:rPr>
        <w:t>前期尾矿</w:t>
      </w:r>
      <w:r>
        <w:rPr>
          <w:rFonts w:hint="eastAsia"/>
          <w:color w:val="auto"/>
          <w:highlight w:val="none"/>
          <w:lang w:eastAsia="zh-CN"/>
        </w:rPr>
        <w:t>利用现有道路采取</w:t>
      </w:r>
      <w:r>
        <w:rPr>
          <w:rFonts w:hint="eastAsia"/>
          <w:color w:val="auto"/>
          <w:highlight w:val="none"/>
        </w:rPr>
        <w:t>汽车运输</w:t>
      </w:r>
      <w:r>
        <w:rPr>
          <w:rFonts w:hint="eastAsia"/>
          <w:color w:val="auto"/>
          <w:highlight w:val="none"/>
          <w:lang w:eastAsia="zh-CN"/>
        </w:rPr>
        <w:t>，待后期皮带运输系统建设完成后采用皮带运输</w:t>
      </w:r>
      <w:r>
        <w:rPr>
          <w:rFonts w:hint="eastAsia"/>
          <w:color w:val="auto"/>
          <w:highlight w:val="none"/>
        </w:rPr>
        <w:t>。</w:t>
      </w:r>
      <w:r>
        <w:rPr>
          <w:color w:val="auto"/>
          <w:highlight w:val="none"/>
        </w:rPr>
        <w:t>若尾矿库溃坝，则可能造成人身安全、财产损失、环境污染、生态破坏等突发环境事件。</w:t>
      </w:r>
    </w:p>
    <w:p w14:paraId="55ACC4F1">
      <w:pPr>
        <w:pStyle w:val="3"/>
        <w:ind w:firstLine="480"/>
        <w:rPr>
          <w:color w:val="auto"/>
          <w:highlight w:val="none"/>
        </w:rPr>
      </w:pPr>
      <w:r>
        <w:rPr>
          <w:color w:val="auto"/>
          <w:highlight w:val="none"/>
        </w:rPr>
        <w:t>根据国家安全生产监督管理总局《尾矿库重大危险源辨识（征求意见稿）》中的相关规定，金属、非金属矿山尾矿库重大危险源辨识如下</w:t>
      </w:r>
      <w:r>
        <w:rPr>
          <w:rFonts w:hint="eastAsia"/>
          <w:color w:val="auto"/>
          <w:highlight w:val="none"/>
        </w:rPr>
        <w:t>：</w:t>
      </w:r>
    </w:p>
    <w:p w14:paraId="738FADF2">
      <w:pPr>
        <w:pStyle w:val="3"/>
        <w:ind w:firstLine="480"/>
        <w:rPr>
          <w:color w:val="auto"/>
          <w:highlight w:val="none"/>
        </w:rPr>
      </w:pPr>
      <w:r>
        <w:rPr>
          <w:color w:val="auto"/>
          <w:highlight w:val="none"/>
        </w:rPr>
        <w:t>A</w:t>
      </w:r>
      <w:r>
        <w:rPr>
          <w:rFonts w:hint="eastAsia"/>
          <w:color w:val="auto"/>
          <w:highlight w:val="none"/>
          <w:lang w:val="en-US" w:eastAsia="zh-CN"/>
        </w:rPr>
        <w:t>.</w:t>
      </w:r>
      <w:r>
        <w:rPr>
          <w:color w:val="auto"/>
          <w:highlight w:val="none"/>
        </w:rPr>
        <w:t>辨识依据</w:t>
      </w:r>
    </w:p>
    <w:p w14:paraId="066BFE13">
      <w:pPr>
        <w:pStyle w:val="3"/>
        <w:ind w:firstLine="480"/>
        <w:rPr>
          <w:color w:val="auto"/>
          <w:highlight w:val="none"/>
        </w:rPr>
      </w:pPr>
      <w:r>
        <w:rPr>
          <w:color w:val="auto"/>
          <w:highlight w:val="none"/>
        </w:rPr>
        <w:t>金属、非金属矿山尾矿库重大危险源的辨识以尾矿库为单元。辨识依据是尾矿库坝高、全库容和最大可能的事故后果。尾矿库重大危险源的辨识不包括经安全验收、已封闭的尾矿库。</w:t>
      </w:r>
    </w:p>
    <w:p w14:paraId="5C1CEECA">
      <w:pPr>
        <w:pStyle w:val="3"/>
        <w:ind w:firstLine="480"/>
        <w:rPr>
          <w:color w:val="auto"/>
          <w:highlight w:val="none"/>
        </w:rPr>
      </w:pPr>
      <w:r>
        <w:rPr>
          <w:color w:val="auto"/>
          <w:highlight w:val="none"/>
        </w:rPr>
        <w:t>B</w:t>
      </w:r>
      <w:r>
        <w:rPr>
          <w:rFonts w:hint="eastAsia"/>
          <w:color w:val="auto"/>
          <w:highlight w:val="none"/>
          <w:lang w:val="en-US" w:eastAsia="zh-CN"/>
        </w:rPr>
        <w:t>.</w:t>
      </w:r>
      <w:r>
        <w:rPr>
          <w:color w:val="auto"/>
          <w:highlight w:val="none"/>
        </w:rPr>
        <w:t>辨识方法</w:t>
      </w:r>
    </w:p>
    <w:p w14:paraId="7F0E5DB9">
      <w:pPr>
        <w:pStyle w:val="3"/>
        <w:ind w:firstLine="480"/>
        <w:rPr>
          <w:color w:val="auto"/>
          <w:highlight w:val="none"/>
        </w:rPr>
      </w:pPr>
      <w:r>
        <w:rPr>
          <w:color w:val="auto"/>
          <w:highlight w:val="none"/>
        </w:rPr>
        <w:t>满足下列条件之一者，即为尾矿库重大危险源。</w:t>
      </w:r>
    </w:p>
    <w:p w14:paraId="7D9C92D8">
      <w:pPr>
        <w:pStyle w:val="3"/>
        <w:ind w:firstLine="480"/>
        <w:rPr>
          <w:color w:val="auto"/>
          <w:highlight w:val="none"/>
        </w:rPr>
      </w:pPr>
      <w:r>
        <w:rPr>
          <w:color w:val="auto"/>
          <w:highlight w:val="none"/>
        </w:rPr>
        <w:t>a</w:t>
      </w:r>
      <w:r>
        <w:rPr>
          <w:rFonts w:hint="eastAsia"/>
          <w:color w:val="auto"/>
          <w:highlight w:val="none"/>
          <w:lang w:val="en-US" w:eastAsia="zh-CN"/>
        </w:rPr>
        <w:t>.</w:t>
      </w:r>
      <w:r>
        <w:rPr>
          <w:color w:val="auto"/>
          <w:highlight w:val="none"/>
        </w:rPr>
        <w:t>全库容1000万</w:t>
      </w:r>
      <w:r>
        <w:rPr>
          <w:rFonts w:hint="eastAsia"/>
          <w:color w:val="auto"/>
          <w:highlight w:val="none"/>
        </w:rPr>
        <w:t>m³</w:t>
      </w:r>
      <w:r>
        <w:rPr>
          <w:color w:val="auto"/>
          <w:highlight w:val="none"/>
        </w:rPr>
        <w:t>以上或坝高60m以上的尾矿库，即一、二、三等尾矿库。</w:t>
      </w:r>
    </w:p>
    <w:p w14:paraId="1AC4109E">
      <w:pPr>
        <w:pStyle w:val="3"/>
        <w:ind w:firstLine="480"/>
        <w:rPr>
          <w:color w:val="auto"/>
          <w:highlight w:val="none"/>
        </w:rPr>
      </w:pPr>
      <w:r>
        <w:rPr>
          <w:color w:val="auto"/>
          <w:highlight w:val="none"/>
        </w:rPr>
        <w:t>b</w:t>
      </w:r>
      <w:r>
        <w:rPr>
          <w:rFonts w:hint="eastAsia"/>
          <w:color w:val="auto"/>
          <w:highlight w:val="none"/>
          <w:lang w:val="en-US" w:eastAsia="zh-CN"/>
        </w:rPr>
        <w:t>.</w:t>
      </w:r>
      <w:r>
        <w:rPr>
          <w:color w:val="auto"/>
          <w:highlight w:val="none"/>
        </w:rPr>
        <w:t>一旦发生最大程度的溃坝事故，可能造成下游居民死亡50人以上的尾矿库；</w:t>
      </w:r>
    </w:p>
    <w:p w14:paraId="707B2A84">
      <w:pPr>
        <w:pStyle w:val="3"/>
        <w:ind w:firstLine="480"/>
        <w:rPr>
          <w:color w:val="auto"/>
          <w:highlight w:val="none"/>
        </w:rPr>
      </w:pPr>
      <w:r>
        <w:rPr>
          <w:color w:val="auto"/>
          <w:highlight w:val="none"/>
        </w:rPr>
        <w:t>c</w:t>
      </w:r>
      <w:r>
        <w:rPr>
          <w:rFonts w:hint="eastAsia"/>
          <w:color w:val="auto"/>
          <w:highlight w:val="none"/>
          <w:lang w:val="en-US" w:eastAsia="zh-CN"/>
        </w:rPr>
        <w:t>.</w:t>
      </w:r>
      <w:r>
        <w:rPr>
          <w:color w:val="auto"/>
          <w:highlight w:val="none"/>
        </w:rPr>
        <w:t>一旦发生失事，将会对下游的城镇、工矿企业、交通运输及其他重要设施造成严重危害，或有毒有害物质会大面积扩散的尾矿库。</w:t>
      </w:r>
    </w:p>
    <w:p w14:paraId="4665F982">
      <w:pPr>
        <w:pStyle w:val="3"/>
        <w:ind w:firstLine="480"/>
        <w:rPr>
          <w:color w:val="auto"/>
          <w:highlight w:val="none"/>
        </w:rPr>
      </w:pPr>
      <w:r>
        <w:rPr>
          <w:color w:val="auto"/>
          <w:highlight w:val="none"/>
        </w:rPr>
        <w:t>根据上述三个条件，结合本项目尾矿库的相关设计内容可知，本项目尾矿库设计最大坝高</w:t>
      </w:r>
      <w:r>
        <w:rPr>
          <w:rFonts w:hint="eastAsia"/>
          <w:color w:val="auto"/>
          <w:highlight w:val="none"/>
        </w:rPr>
        <w:t>115</w:t>
      </w:r>
      <w:r>
        <w:rPr>
          <w:color w:val="auto"/>
          <w:highlight w:val="none"/>
        </w:rPr>
        <w:t>m，总库容</w:t>
      </w:r>
      <w:r>
        <w:rPr>
          <w:rFonts w:hint="eastAsia"/>
          <w:color w:val="auto"/>
          <w:highlight w:val="none"/>
        </w:rPr>
        <w:t>4223.61万m</w:t>
      </w:r>
      <w:r>
        <w:rPr>
          <w:rFonts w:hint="eastAsia"/>
          <w:color w:val="auto"/>
          <w:highlight w:val="none"/>
          <w:vertAlign w:val="superscript"/>
        </w:rPr>
        <w:t>3</w:t>
      </w:r>
      <w:r>
        <w:rPr>
          <w:color w:val="auto"/>
          <w:highlight w:val="none"/>
        </w:rPr>
        <w:t>，有效库容为</w:t>
      </w:r>
      <w:r>
        <w:rPr>
          <w:rFonts w:hint="eastAsia"/>
          <w:color w:val="auto"/>
          <w:highlight w:val="none"/>
        </w:rPr>
        <w:t>3801.25万m</w:t>
      </w:r>
      <w:r>
        <w:rPr>
          <w:rFonts w:hint="eastAsia"/>
          <w:color w:val="auto"/>
          <w:highlight w:val="none"/>
          <w:vertAlign w:val="superscript"/>
        </w:rPr>
        <w:t>3</w:t>
      </w:r>
      <w:r>
        <w:rPr>
          <w:color w:val="auto"/>
          <w:highlight w:val="none"/>
        </w:rPr>
        <w:t>，为二等尾矿库，项目尾矿库属于重大危险源。</w:t>
      </w:r>
    </w:p>
    <w:p w14:paraId="7DCFFDF0">
      <w:pPr>
        <w:pStyle w:val="42"/>
        <w:rPr>
          <w:rFonts w:hint="default"/>
          <w:color w:val="auto"/>
          <w:highlight w:val="none"/>
        </w:rPr>
      </w:pPr>
      <w:r>
        <w:rPr>
          <w:rFonts w:hint="default"/>
          <w:color w:val="auto"/>
          <w:highlight w:val="none"/>
        </w:rPr>
        <w:t>环境敏感目标调查</w:t>
      </w:r>
    </w:p>
    <w:p w14:paraId="2F4DE2B7">
      <w:pPr>
        <w:pStyle w:val="3"/>
        <w:ind w:firstLine="480"/>
        <w:rPr>
          <w:color w:val="auto"/>
          <w:highlight w:val="none"/>
        </w:rPr>
      </w:pPr>
      <w:r>
        <w:rPr>
          <w:color w:val="auto"/>
          <w:highlight w:val="none"/>
        </w:rPr>
        <w:t>本项目评价范围内无风景名胜区、自然保护区、森林公园、地质公园、原始天然林、珍稀濒危野生动植物天然集中分布区、居民区、村庄等敏感区域。</w:t>
      </w:r>
    </w:p>
    <w:p w14:paraId="59FF4A24">
      <w:pPr>
        <w:pStyle w:val="39"/>
        <w:rPr>
          <w:rFonts w:hint="default"/>
          <w:color w:val="auto"/>
          <w:highlight w:val="none"/>
        </w:rPr>
      </w:pPr>
      <w:bookmarkStart w:id="410" w:name="_Toc10746"/>
      <w:bookmarkStart w:id="411" w:name="_Toc30738"/>
      <w:r>
        <w:rPr>
          <w:rFonts w:hint="default"/>
          <w:color w:val="auto"/>
          <w:highlight w:val="none"/>
        </w:rPr>
        <w:t>环境风险潜势初判</w:t>
      </w:r>
      <w:bookmarkEnd w:id="410"/>
      <w:bookmarkEnd w:id="411"/>
    </w:p>
    <w:p w14:paraId="31CC21BE">
      <w:pPr>
        <w:pStyle w:val="42"/>
        <w:rPr>
          <w:rFonts w:hint="default"/>
          <w:color w:val="auto"/>
          <w:highlight w:val="none"/>
        </w:rPr>
      </w:pPr>
      <w:r>
        <w:rPr>
          <w:rFonts w:hint="default"/>
          <w:color w:val="auto"/>
          <w:highlight w:val="none"/>
        </w:rPr>
        <w:t>选矿厂</w:t>
      </w:r>
    </w:p>
    <w:p w14:paraId="7F37479E">
      <w:pPr>
        <w:pStyle w:val="3"/>
        <w:ind w:firstLine="480"/>
        <w:rPr>
          <w:color w:val="auto"/>
          <w:highlight w:val="none"/>
        </w:rPr>
      </w:pPr>
      <w:r>
        <w:rPr>
          <w:rFonts w:hint="eastAsia"/>
          <w:color w:val="auto"/>
          <w:highlight w:val="none"/>
        </w:rPr>
        <w:t>（1）</w:t>
      </w:r>
      <w:r>
        <w:rPr>
          <w:color w:val="auto"/>
          <w:highlight w:val="none"/>
        </w:rPr>
        <w:t>评价等级划分</w:t>
      </w:r>
    </w:p>
    <w:p w14:paraId="06C37130">
      <w:pPr>
        <w:pStyle w:val="3"/>
        <w:ind w:firstLine="480"/>
        <w:rPr>
          <w:color w:val="auto"/>
          <w:highlight w:val="none"/>
        </w:rPr>
      </w:pPr>
      <w:r>
        <w:rPr>
          <w:color w:val="auto"/>
          <w:highlight w:val="none"/>
        </w:rPr>
        <w:t>根据《建设项目环境风险评价技术导则》（HJ169-2018）4.3的规定，评价工作等级划分依据详见表</w:t>
      </w:r>
      <w:r>
        <w:rPr>
          <w:rFonts w:hint="eastAsia"/>
          <w:color w:val="auto"/>
          <w:highlight w:val="none"/>
        </w:rPr>
        <w:t>6.4-1</w:t>
      </w:r>
      <w:r>
        <w:rPr>
          <w:color w:val="auto"/>
          <w:highlight w:val="none"/>
        </w:rPr>
        <w:t>。</w:t>
      </w:r>
    </w:p>
    <w:p w14:paraId="12D9EA6C">
      <w:pPr>
        <w:pStyle w:val="3"/>
        <w:ind w:firstLine="480"/>
        <w:rPr>
          <w:color w:val="auto"/>
          <w:highlight w:val="none"/>
        </w:rPr>
      </w:pPr>
      <w:r>
        <w:rPr>
          <w:color w:val="auto"/>
          <w:highlight w:val="none"/>
        </w:rPr>
        <w:t>建设项目环境风险潜势划分为Ⅰ、Ⅱ、Ⅲ、Ⅳ/Ⅳ+级。风险潜势为Ⅳ及以上，进行一级评价；风险潜势为Ⅲ，进行二级评价；风险潜势为Ⅱ，进行三级评价；风险潜势为Ⅰ，可开展简单分析。</w:t>
      </w:r>
    </w:p>
    <w:p w14:paraId="4D02FC9D">
      <w:pPr>
        <w:pStyle w:val="40"/>
        <w:rPr>
          <w:color w:val="auto"/>
          <w:highlight w:val="none"/>
        </w:rPr>
      </w:pPr>
      <w:r>
        <w:rPr>
          <w:color w:val="auto"/>
          <w:highlight w:val="none"/>
          <w:lang w:val="zh-CN"/>
        </w:rPr>
        <w:t>表</w:t>
      </w:r>
      <w:r>
        <w:rPr>
          <w:rFonts w:hint="eastAsia"/>
          <w:color w:val="auto"/>
          <w:highlight w:val="none"/>
        </w:rPr>
        <w:t>6.4-1</w:t>
      </w:r>
      <w:r>
        <w:rPr>
          <w:rFonts w:hint="eastAsia"/>
          <w:color w:val="auto"/>
          <w:highlight w:val="none"/>
          <w:lang w:val="zh-CN"/>
        </w:rPr>
        <w:t xml:space="preserve">            </w:t>
      </w:r>
      <w:r>
        <w:rPr>
          <w:color w:val="auto"/>
          <w:highlight w:val="none"/>
          <w:lang w:val="zh-CN"/>
        </w:rPr>
        <w:t>风险评价工作等级划分表</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76"/>
        <w:gridCol w:w="1706"/>
        <w:gridCol w:w="1421"/>
        <w:gridCol w:w="1704"/>
        <w:gridCol w:w="1706"/>
      </w:tblGrid>
      <w:tr w14:paraId="4458AF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160" w:type="pct"/>
            <w:tcBorders>
              <w:tl2br w:val="nil"/>
              <w:tr2bl w:val="nil"/>
            </w:tcBorders>
            <w:vAlign w:val="center"/>
          </w:tcPr>
          <w:p w14:paraId="06A1E28A">
            <w:pPr>
              <w:pStyle w:val="41"/>
              <w:rPr>
                <w:color w:val="auto"/>
                <w:highlight w:val="none"/>
              </w:rPr>
            </w:pPr>
            <w:r>
              <w:rPr>
                <w:color w:val="auto"/>
                <w:highlight w:val="none"/>
              </w:rPr>
              <w:t>环境风险潜势</w:t>
            </w:r>
          </w:p>
        </w:tc>
        <w:tc>
          <w:tcPr>
            <w:tcW w:w="1001" w:type="pct"/>
            <w:tcBorders>
              <w:tl2br w:val="nil"/>
              <w:tr2bl w:val="nil"/>
            </w:tcBorders>
            <w:vAlign w:val="center"/>
          </w:tcPr>
          <w:p w14:paraId="0B7C70E6">
            <w:pPr>
              <w:pStyle w:val="41"/>
              <w:rPr>
                <w:color w:val="auto"/>
                <w:highlight w:val="none"/>
              </w:rPr>
            </w:pPr>
            <w:r>
              <w:rPr>
                <w:color w:val="auto"/>
                <w:highlight w:val="none"/>
              </w:rPr>
              <w:t>Ⅳ、Ⅳ+</w:t>
            </w:r>
          </w:p>
        </w:tc>
        <w:tc>
          <w:tcPr>
            <w:tcW w:w="834" w:type="pct"/>
            <w:tcBorders>
              <w:tl2br w:val="nil"/>
              <w:tr2bl w:val="nil"/>
            </w:tcBorders>
            <w:vAlign w:val="center"/>
          </w:tcPr>
          <w:p w14:paraId="4003D3D6">
            <w:pPr>
              <w:pStyle w:val="41"/>
              <w:rPr>
                <w:color w:val="auto"/>
                <w:highlight w:val="none"/>
              </w:rPr>
            </w:pPr>
            <w:r>
              <w:rPr>
                <w:color w:val="auto"/>
                <w:highlight w:val="none"/>
              </w:rPr>
              <w:t>Ⅲ</w:t>
            </w:r>
          </w:p>
        </w:tc>
        <w:tc>
          <w:tcPr>
            <w:tcW w:w="1000" w:type="pct"/>
            <w:tcBorders>
              <w:tl2br w:val="nil"/>
              <w:tr2bl w:val="nil"/>
            </w:tcBorders>
            <w:vAlign w:val="center"/>
          </w:tcPr>
          <w:p w14:paraId="6DE29FFE">
            <w:pPr>
              <w:pStyle w:val="41"/>
              <w:rPr>
                <w:color w:val="auto"/>
                <w:highlight w:val="none"/>
              </w:rPr>
            </w:pPr>
            <w:r>
              <w:rPr>
                <w:color w:val="auto"/>
                <w:highlight w:val="none"/>
              </w:rPr>
              <w:t>Ⅱ</w:t>
            </w:r>
          </w:p>
        </w:tc>
        <w:tc>
          <w:tcPr>
            <w:tcW w:w="1001" w:type="pct"/>
            <w:tcBorders>
              <w:tl2br w:val="nil"/>
              <w:tr2bl w:val="nil"/>
            </w:tcBorders>
            <w:vAlign w:val="center"/>
          </w:tcPr>
          <w:p w14:paraId="2A20B8A7">
            <w:pPr>
              <w:pStyle w:val="41"/>
              <w:rPr>
                <w:color w:val="auto"/>
                <w:highlight w:val="none"/>
              </w:rPr>
            </w:pPr>
            <w:r>
              <w:rPr>
                <w:color w:val="auto"/>
                <w:highlight w:val="none"/>
              </w:rPr>
              <w:t>Ⅰ</w:t>
            </w:r>
          </w:p>
        </w:tc>
      </w:tr>
      <w:tr w14:paraId="3A0D1A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160" w:type="pct"/>
            <w:tcBorders>
              <w:tl2br w:val="nil"/>
              <w:tr2bl w:val="nil"/>
            </w:tcBorders>
            <w:vAlign w:val="center"/>
          </w:tcPr>
          <w:p w14:paraId="194C74AE">
            <w:pPr>
              <w:pStyle w:val="41"/>
              <w:rPr>
                <w:color w:val="auto"/>
                <w:highlight w:val="none"/>
              </w:rPr>
            </w:pPr>
            <w:r>
              <w:rPr>
                <w:color w:val="auto"/>
                <w:highlight w:val="none"/>
              </w:rPr>
              <w:t>评价工作等级</w:t>
            </w:r>
          </w:p>
        </w:tc>
        <w:tc>
          <w:tcPr>
            <w:tcW w:w="1001" w:type="pct"/>
            <w:tcBorders>
              <w:tl2br w:val="nil"/>
              <w:tr2bl w:val="nil"/>
            </w:tcBorders>
            <w:vAlign w:val="center"/>
          </w:tcPr>
          <w:p w14:paraId="2524EE49">
            <w:pPr>
              <w:pStyle w:val="41"/>
              <w:rPr>
                <w:color w:val="auto"/>
                <w:highlight w:val="none"/>
              </w:rPr>
            </w:pPr>
            <w:r>
              <w:rPr>
                <w:color w:val="auto"/>
                <w:highlight w:val="none"/>
              </w:rPr>
              <w:t>一</w:t>
            </w:r>
          </w:p>
        </w:tc>
        <w:tc>
          <w:tcPr>
            <w:tcW w:w="834" w:type="pct"/>
            <w:tcBorders>
              <w:tl2br w:val="nil"/>
              <w:tr2bl w:val="nil"/>
            </w:tcBorders>
            <w:vAlign w:val="center"/>
          </w:tcPr>
          <w:p w14:paraId="14D62D68">
            <w:pPr>
              <w:pStyle w:val="41"/>
              <w:rPr>
                <w:color w:val="auto"/>
                <w:highlight w:val="none"/>
              </w:rPr>
            </w:pPr>
            <w:r>
              <w:rPr>
                <w:color w:val="auto"/>
                <w:highlight w:val="none"/>
              </w:rPr>
              <w:t>二</w:t>
            </w:r>
          </w:p>
        </w:tc>
        <w:tc>
          <w:tcPr>
            <w:tcW w:w="1000" w:type="pct"/>
            <w:tcBorders>
              <w:tl2br w:val="nil"/>
              <w:tr2bl w:val="nil"/>
            </w:tcBorders>
            <w:vAlign w:val="center"/>
          </w:tcPr>
          <w:p w14:paraId="77989BCF">
            <w:pPr>
              <w:pStyle w:val="41"/>
              <w:rPr>
                <w:color w:val="auto"/>
                <w:highlight w:val="none"/>
              </w:rPr>
            </w:pPr>
            <w:r>
              <w:rPr>
                <w:color w:val="auto"/>
                <w:highlight w:val="none"/>
              </w:rPr>
              <w:t>三</w:t>
            </w:r>
          </w:p>
        </w:tc>
        <w:tc>
          <w:tcPr>
            <w:tcW w:w="1001" w:type="pct"/>
            <w:tcBorders>
              <w:tl2br w:val="nil"/>
              <w:tr2bl w:val="nil"/>
            </w:tcBorders>
            <w:vAlign w:val="center"/>
          </w:tcPr>
          <w:p w14:paraId="349E5AC5">
            <w:pPr>
              <w:pStyle w:val="41"/>
              <w:rPr>
                <w:color w:val="auto"/>
                <w:highlight w:val="none"/>
              </w:rPr>
            </w:pPr>
            <w:r>
              <w:rPr>
                <w:color w:val="auto"/>
                <w:highlight w:val="none"/>
              </w:rPr>
              <w:t>简单分析a</w:t>
            </w:r>
          </w:p>
        </w:tc>
      </w:tr>
    </w:tbl>
    <w:p w14:paraId="23AF0574">
      <w:pPr>
        <w:pStyle w:val="3"/>
        <w:ind w:firstLine="480"/>
        <w:rPr>
          <w:color w:val="auto"/>
          <w:highlight w:val="none"/>
        </w:rPr>
      </w:pPr>
      <w:r>
        <w:rPr>
          <w:rFonts w:hint="eastAsia"/>
          <w:color w:val="auto"/>
          <w:highlight w:val="none"/>
        </w:rPr>
        <w:t>（2）环境风险潜势划分</w:t>
      </w:r>
    </w:p>
    <w:p w14:paraId="0C70FADA">
      <w:pPr>
        <w:pStyle w:val="3"/>
        <w:ind w:firstLine="480"/>
        <w:rPr>
          <w:color w:val="auto"/>
          <w:highlight w:val="none"/>
        </w:rPr>
      </w:pPr>
      <w:r>
        <w:rPr>
          <w:color w:val="auto"/>
          <w:highlight w:val="none"/>
        </w:rPr>
        <w:t>根据《建设项目环境风险评价技术导则》（HJ 169-2018），建设项目环境风险潜势划分为Ⅰ、Ⅱ、Ⅲ、Ⅳ/Ⅳ+级。</w:t>
      </w:r>
    </w:p>
    <w:p w14:paraId="65542A26">
      <w:pPr>
        <w:pStyle w:val="3"/>
        <w:ind w:firstLine="480"/>
        <w:rPr>
          <w:color w:val="auto"/>
          <w:highlight w:val="none"/>
        </w:rPr>
      </w:pPr>
      <w:r>
        <w:rPr>
          <w:color w:val="auto"/>
          <w:highlight w:val="none"/>
        </w:rPr>
        <w:t>根据建设项目涉及的物质和工艺系统的危险性及其所在地的环境敏感程度，结合事故情形下环境影响途径，对建设项目潜在环境危害程度进行概化分析，环境风险潜势确定见表6.4-</w:t>
      </w:r>
      <w:r>
        <w:rPr>
          <w:rFonts w:hint="eastAsia"/>
          <w:color w:val="auto"/>
          <w:highlight w:val="none"/>
        </w:rPr>
        <w:t>2</w:t>
      </w:r>
      <w:r>
        <w:rPr>
          <w:color w:val="auto"/>
          <w:highlight w:val="none"/>
        </w:rPr>
        <w:t>。建设项目环境风险潜势综合等级取各要素等级的相对高值。</w:t>
      </w:r>
    </w:p>
    <w:p w14:paraId="68E1F368">
      <w:pPr>
        <w:pStyle w:val="40"/>
        <w:rPr>
          <w:color w:val="auto"/>
          <w:highlight w:val="none"/>
        </w:rPr>
      </w:pPr>
      <w:r>
        <w:rPr>
          <w:color w:val="auto"/>
          <w:highlight w:val="none"/>
        </w:rPr>
        <w:t>表6.4-</w:t>
      </w:r>
      <w:r>
        <w:rPr>
          <w:rFonts w:hint="eastAsia"/>
          <w:color w:val="auto"/>
          <w:highlight w:val="none"/>
        </w:rPr>
        <w:t>2</w:t>
      </w:r>
      <w:r>
        <w:rPr>
          <w:color w:val="auto"/>
          <w:highlight w:val="none"/>
        </w:rPr>
        <w:t xml:space="preserve">      建设项目环境风险潜势划分</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33"/>
        <w:gridCol w:w="1410"/>
        <w:gridCol w:w="1566"/>
        <w:gridCol w:w="1703"/>
        <w:gridCol w:w="1704"/>
      </w:tblGrid>
      <w:tr w14:paraId="047C0E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133" w:type="dxa"/>
            <w:vMerge w:val="restart"/>
            <w:tcBorders>
              <w:tl2br w:val="nil"/>
              <w:tr2bl w:val="nil"/>
            </w:tcBorders>
            <w:vAlign w:val="center"/>
          </w:tcPr>
          <w:p w14:paraId="3F43C36F">
            <w:pPr>
              <w:pStyle w:val="41"/>
              <w:rPr>
                <w:color w:val="auto"/>
                <w:highlight w:val="none"/>
              </w:rPr>
            </w:pPr>
            <w:r>
              <w:rPr>
                <w:color w:val="auto"/>
                <w:highlight w:val="none"/>
              </w:rPr>
              <w:t>环境敏感程度（E）</w:t>
            </w:r>
          </w:p>
        </w:tc>
        <w:tc>
          <w:tcPr>
            <w:tcW w:w="6383" w:type="dxa"/>
            <w:gridSpan w:val="4"/>
            <w:tcBorders>
              <w:tl2br w:val="nil"/>
              <w:tr2bl w:val="nil"/>
            </w:tcBorders>
            <w:vAlign w:val="center"/>
          </w:tcPr>
          <w:p w14:paraId="25AD4D52">
            <w:pPr>
              <w:pStyle w:val="41"/>
              <w:rPr>
                <w:color w:val="auto"/>
                <w:highlight w:val="none"/>
              </w:rPr>
            </w:pPr>
            <w:r>
              <w:rPr>
                <w:color w:val="auto"/>
                <w:highlight w:val="none"/>
              </w:rPr>
              <w:t>危险物质及工艺系统危险性（P）</w:t>
            </w:r>
          </w:p>
        </w:tc>
      </w:tr>
      <w:tr w14:paraId="4C51AF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133" w:type="dxa"/>
            <w:vMerge w:val="continue"/>
            <w:tcBorders>
              <w:tl2br w:val="nil"/>
              <w:tr2bl w:val="nil"/>
            </w:tcBorders>
            <w:vAlign w:val="center"/>
          </w:tcPr>
          <w:p w14:paraId="26329761">
            <w:pPr>
              <w:pStyle w:val="41"/>
              <w:rPr>
                <w:color w:val="auto"/>
                <w:highlight w:val="none"/>
              </w:rPr>
            </w:pPr>
          </w:p>
        </w:tc>
        <w:tc>
          <w:tcPr>
            <w:tcW w:w="1410" w:type="dxa"/>
            <w:tcBorders>
              <w:tl2br w:val="nil"/>
              <w:tr2bl w:val="nil"/>
            </w:tcBorders>
            <w:vAlign w:val="center"/>
          </w:tcPr>
          <w:p w14:paraId="7DE63B9A">
            <w:pPr>
              <w:pStyle w:val="41"/>
              <w:rPr>
                <w:color w:val="auto"/>
                <w:highlight w:val="none"/>
              </w:rPr>
            </w:pPr>
            <w:r>
              <w:rPr>
                <w:color w:val="auto"/>
                <w:highlight w:val="none"/>
              </w:rPr>
              <w:t>极高危害（P1）</w:t>
            </w:r>
          </w:p>
        </w:tc>
        <w:tc>
          <w:tcPr>
            <w:tcW w:w="1566" w:type="dxa"/>
            <w:tcBorders>
              <w:tl2br w:val="nil"/>
              <w:tr2bl w:val="nil"/>
            </w:tcBorders>
            <w:vAlign w:val="center"/>
          </w:tcPr>
          <w:p w14:paraId="04897B36">
            <w:pPr>
              <w:pStyle w:val="41"/>
              <w:rPr>
                <w:color w:val="auto"/>
                <w:highlight w:val="none"/>
              </w:rPr>
            </w:pPr>
            <w:r>
              <w:rPr>
                <w:color w:val="auto"/>
                <w:highlight w:val="none"/>
              </w:rPr>
              <w:t>高度危害（P2）</w:t>
            </w:r>
          </w:p>
        </w:tc>
        <w:tc>
          <w:tcPr>
            <w:tcW w:w="1703" w:type="dxa"/>
            <w:tcBorders>
              <w:tl2br w:val="nil"/>
              <w:tr2bl w:val="nil"/>
            </w:tcBorders>
            <w:vAlign w:val="center"/>
          </w:tcPr>
          <w:p w14:paraId="29486843">
            <w:pPr>
              <w:pStyle w:val="41"/>
              <w:rPr>
                <w:color w:val="auto"/>
                <w:highlight w:val="none"/>
              </w:rPr>
            </w:pPr>
            <w:r>
              <w:rPr>
                <w:color w:val="auto"/>
                <w:highlight w:val="none"/>
              </w:rPr>
              <w:t>中度危害（P3）</w:t>
            </w:r>
          </w:p>
        </w:tc>
        <w:tc>
          <w:tcPr>
            <w:tcW w:w="1704" w:type="dxa"/>
            <w:tcBorders>
              <w:tl2br w:val="nil"/>
              <w:tr2bl w:val="nil"/>
            </w:tcBorders>
            <w:vAlign w:val="center"/>
          </w:tcPr>
          <w:p w14:paraId="59D49B2B">
            <w:pPr>
              <w:pStyle w:val="41"/>
              <w:rPr>
                <w:color w:val="auto"/>
                <w:highlight w:val="none"/>
              </w:rPr>
            </w:pPr>
            <w:r>
              <w:rPr>
                <w:color w:val="auto"/>
                <w:highlight w:val="none"/>
              </w:rPr>
              <w:t>轻度危害（P4）</w:t>
            </w:r>
          </w:p>
        </w:tc>
      </w:tr>
      <w:tr w14:paraId="42EA79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133" w:type="dxa"/>
            <w:tcBorders>
              <w:tl2br w:val="nil"/>
              <w:tr2bl w:val="nil"/>
            </w:tcBorders>
            <w:vAlign w:val="center"/>
          </w:tcPr>
          <w:p w14:paraId="74CFCDCF">
            <w:pPr>
              <w:pStyle w:val="41"/>
              <w:rPr>
                <w:color w:val="auto"/>
                <w:highlight w:val="none"/>
              </w:rPr>
            </w:pPr>
            <w:r>
              <w:rPr>
                <w:color w:val="auto"/>
                <w:highlight w:val="none"/>
              </w:rPr>
              <w:t>环境高度敏感区（E1）</w:t>
            </w:r>
          </w:p>
        </w:tc>
        <w:tc>
          <w:tcPr>
            <w:tcW w:w="1410" w:type="dxa"/>
            <w:tcBorders>
              <w:tl2br w:val="nil"/>
              <w:tr2bl w:val="nil"/>
            </w:tcBorders>
            <w:vAlign w:val="center"/>
          </w:tcPr>
          <w:p w14:paraId="63176A78">
            <w:pPr>
              <w:pStyle w:val="41"/>
              <w:rPr>
                <w:color w:val="auto"/>
                <w:highlight w:val="none"/>
              </w:rPr>
            </w:pPr>
            <w:r>
              <w:rPr>
                <w:color w:val="auto"/>
                <w:highlight w:val="none"/>
              </w:rPr>
              <w:t>Ⅳ+</w:t>
            </w:r>
          </w:p>
        </w:tc>
        <w:tc>
          <w:tcPr>
            <w:tcW w:w="1566" w:type="dxa"/>
            <w:tcBorders>
              <w:tl2br w:val="nil"/>
              <w:tr2bl w:val="nil"/>
            </w:tcBorders>
            <w:vAlign w:val="center"/>
          </w:tcPr>
          <w:p w14:paraId="145C6992">
            <w:pPr>
              <w:pStyle w:val="41"/>
              <w:rPr>
                <w:color w:val="auto"/>
                <w:highlight w:val="none"/>
              </w:rPr>
            </w:pPr>
            <w:r>
              <w:rPr>
                <w:color w:val="auto"/>
                <w:highlight w:val="none"/>
              </w:rPr>
              <w:t>Ⅳ</w:t>
            </w:r>
          </w:p>
        </w:tc>
        <w:tc>
          <w:tcPr>
            <w:tcW w:w="1703" w:type="dxa"/>
            <w:tcBorders>
              <w:tl2br w:val="nil"/>
              <w:tr2bl w:val="nil"/>
            </w:tcBorders>
            <w:vAlign w:val="center"/>
          </w:tcPr>
          <w:p w14:paraId="384AAFB3">
            <w:pPr>
              <w:pStyle w:val="41"/>
              <w:rPr>
                <w:color w:val="auto"/>
                <w:highlight w:val="none"/>
              </w:rPr>
            </w:pPr>
            <w:r>
              <w:rPr>
                <w:color w:val="auto"/>
                <w:highlight w:val="none"/>
              </w:rPr>
              <w:t>Ⅲ</w:t>
            </w:r>
          </w:p>
        </w:tc>
        <w:tc>
          <w:tcPr>
            <w:tcW w:w="1704" w:type="dxa"/>
            <w:tcBorders>
              <w:tl2br w:val="nil"/>
              <w:tr2bl w:val="nil"/>
            </w:tcBorders>
            <w:vAlign w:val="center"/>
          </w:tcPr>
          <w:p w14:paraId="24433F92">
            <w:pPr>
              <w:pStyle w:val="41"/>
              <w:rPr>
                <w:color w:val="auto"/>
                <w:highlight w:val="none"/>
              </w:rPr>
            </w:pPr>
            <w:r>
              <w:rPr>
                <w:color w:val="auto"/>
                <w:highlight w:val="none"/>
              </w:rPr>
              <w:t>Ⅲ</w:t>
            </w:r>
          </w:p>
        </w:tc>
      </w:tr>
      <w:tr w14:paraId="64EB38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133" w:type="dxa"/>
            <w:tcBorders>
              <w:tl2br w:val="nil"/>
              <w:tr2bl w:val="nil"/>
            </w:tcBorders>
            <w:vAlign w:val="center"/>
          </w:tcPr>
          <w:p w14:paraId="3850F09E">
            <w:pPr>
              <w:pStyle w:val="41"/>
              <w:rPr>
                <w:color w:val="auto"/>
                <w:highlight w:val="none"/>
              </w:rPr>
            </w:pPr>
            <w:r>
              <w:rPr>
                <w:color w:val="auto"/>
                <w:highlight w:val="none"/>
              </w:rPr>
              <w:t>环境中度敏感区（E2）</w:t>
            </w:r>
          </w:p>
        </w:tc>
        <w:tc>
          <w:tcPr>
            <w:tcW w:w="1410" w:type="dxa"/>
            <w:tcBorders>
              <w:tl2br w:val="nil"/>
              <w:tr2bl w:val="nil"/>
            </w:tcBorders>
            <w:vAlign w:val="center"/>
          </w:tcPr>
          <w:p w14:paraId="142BAA21">
            <w:pPr>
              <w:pStyle w:val="41"/>
              <w:rPr>
                <w:color w:val="auto"/>
                <w:highlight w:val="none"/>
              </w:rPr>
            </w:pPr>
            <w:r>
              <w:rPr>
                <w:color w:val="auto"/>
                <w:highlight w:val="none"/>
              </w:rPr>
              <w:t>Ⅳ</w:t>
            </w:r>
          </w:p>
        </w:tc>
        <w:tc>
          <w:tcPr>
            <w:tcW w:w="1566" w:type="dxa"/>
            <w:tcBorders>
              <w:tl2br w:val="nil"/>
              <w:tr2bl w:val="nil"/>
            </w:tcBorders>
            <w:vAlign w:val="center"/>
          </w:tcPr>
          <w:p w14:paraId="6A2A6776">
            <w:pPr>
              <w:pStyle w:val="41"/>
              <w:rPr>
                <w:color w:val="auto"/>
                <w:highlight w:val="none"/>
              </w:rPr>
            </w:pPr>
            <w:r>
              <w:rPr>
                <w:color w:val="auto"/>
                <w:highlight w:val="none"/>
              </w:rPr>
              <w:t>Ⅲ</w:t>
            </w:r>
          </w:p>
        </w:tc>
        <w:tc>
          <w:tcPr>
            <w:tcW w:w="1703" w:type="dxa"/>
            <w:tcBorders>
              <w:tl2br w:val="nil"/>
              <w:tr2bl w:val="nil"/>
            </w:tcBorders>
            <w:vAlign w:val="center"/>
          </w:tcPr>
          <w:p w14:paraId="77D011E6">
            <w:pPr>
              <w:pStyle w:val="41"/>
              <w:rPr>
                <w:color w:val="auto"/>
                <w:highlight w:val="none"/>
              </w:rPr>
            </w:pPr>
            <w:r>
              <w:rPr>
                <w:color w:val="auto"/>
                <w:highlight w:val="none"/>
              </w:rPr>
              <w:t>Ⅲ</w:t>
            </w:r>
          </w:p>
        </w:tc>
        <w:tc>
          <w:tcPr>
            <w:tcW w:w="1704" w:type="dxa"/>
            <w:tcBorders>
              <w:tl2br w:val="nil"/>
              <w:tr2bl w:val="nil"/>
            </w:tcBorders>
            <w:vAlign w:val="center"/>
          </w:tcPr>
          <w:p w14:paraId="044BA450">
            <w:pPr>
              <w:pStyle w:val="41"/>
              <w:rPr>
                <w:color w:val="auto"/>
                <w:highlight w:val="none"/>
              </w:rPr>
            </w:pPr>
            <w:r>
              <w:rPr>
                <w:color w:val="auto"/>
                <w:highlight w:val="none"/>
              </w:rPr>
              <w:t>Ⅱ</w:t>
            </w:r>
          </w:p>
        </w:tc>
      </w:tr>
      <w:tr w14:paraId="37B341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133" w:type="dxa"/>
            <w:tcBorders>
              <w:tl2br w:val="nil"/>
              <w:tr2bl w:val="nil"/>
            </w:tcBorders>
            <w:vAlign w:val="center"/>
          </w:tcPr>
          <w:p w14:paraId="2EF687B9">
            <w:pPr>
              <w:pStyle w:val="41"/>
              <w:rPr>
                <w:color w:val="auto"/>
                <w:highlight w:val="none"/>
              </w:rPr>
            </w:pPr>
            <w:r>
              <w:rPr>
                <w:color w:val="auto"/>
                <w:highlight w:val="none"/>
              </w:rPr>
              <w:t>环境低度敏感区（E3）</w:t>
            </w:r>
          </w:p>
        </w:tc>
        <w:tc>
          <w:tcPr>
            <w:tcW w:w="1410" w:type="dxa"/>
            <w:tcBorders>
              <w:tl2br w:val="nil"/>
              <w:tr2bl w:val="nil"/>
            </w:tcBorders>
            <w:vAlign w:val="center"/>
          </w:tcPr>
          <w:p w14:paraId="42C18C10">
            <w:pPr>
              <w:pStyle w:val="41"/>
              <w:rPr>
                <w:color w:val="auto"/>
                <w:highlight w:val="none"/>
              </w:rPr>
            </w:pPr>
            <w:r>
              <w:rPr>
                <w:color w:val="auto"/>
                <w:highlight w:val="none"/>
              </w:rPr>
              <w:t>Ⅲ</w:t>
            </w:r>
          </w:p>
        </w:tc>
        <w:tc>
          <w:tcPr>
            <w:tcW w:w="1566" w:type="dxa"/>
            <w:tcBorders>
              <w:tl2br w:val="nil"/>
              <w:tr2bl w:val="nil"/>
            </w:tcBorders>
            <w:vAlign w:val="center"/>
          </w:tcPr>
          <w:p w14:paraId="16272313">
            <w:pPr>
              <w:pStyle w:val="41"/>
              <w:rPr>
                <w:color w:val="auto"/>
                <w:highlight w:val="none"/>
              </w:rPr>
            </w:pPr>
            <w:r>
              <w:rPr>
                <w:color w:val="auto"/>
                <w:highlight w:val="none"/>
              </w:rPr>
              <w:t>Ⅲ</w:t>
            </w:r>
          </w:p>
        </w:tc>
        <w:tc>
          <w:tcPr>
            <w:tcW w:w="1703" w:type="dxa"/>
            <w:tcBorders>
              <w:tl2br w:val="nil"/>
              <w:tr2bl w:val="nil"/>
            </w:tcBorders>
            <w:vAlign w:val="center"/>
          </w:tcPr>
          <w:p w14:paraId="76793A89">
            <w:pPr>
              <w:pStyle w:val="41"/>
              <w:rPr>
                <w:color w:val="auto"/>
                <w:highlight w:val="none"/>
              </w:rPr>
            </w:pPr>
            <w:r>
              <w:rPr>
                <w:color w:val="auto"/>
                <w:highlight w:val="none"/>
              </w:rPr>
              <w:t>Ⅱ</w:t>
            </w:r>
          </w:p>
        </w:tc>
        <w:tc>
          <w:tcPr>
            <w:tcW w:w="1704" w:type="dxa"/>
            <w:tcBorders>
              <w:tl2br w:val="nil"/>
              <w:tr2bl w:val="nil"/>
            </w:tcBorders>
            <w:vAlign w:val="center"/>
          </w:tcPr>
          <w:p w14:paraId="23C7812C">
            <w:pPr>
              <w:pStyle w:val="41"/>
              <w:rPr>
                <w:color w:val="auto"/>
                <w:highlight w:val="none"/>
              </w:rPr>
            </w:pPr>
            <w:r>
              <w:rPr>
                <w:color w:val="auto"/>
                <w:highlight w:val="none"/>
              </w:rPr>
              <w:t>Ⅰ</w:t>
            </w:r>
          </w:p>
        </w:tc>
      </w:tr>
      <w:tr w14:paraId="49ED12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516" w:type="dxa"/>
            <w:gridSpan w:val="5"/>
            <w:tcBorders>
              <w:tl2br w:val="nil"/>
              <w:tr2bl w:val="nil"/>
            </w:tcBorders>
            <w:vAlign w:val="center"/>
          </w:tcPr>
          <w:p w14:paraId="72F55C91">
            <w:pPr>
              <w:pStyle w:val="41"/>
              <w:rPr>
                <w:color w:val="auto"/>
                <w:highlight w:val="none"/>
              </w:rPr>
            </w:pPr>
            <w:r>
              <w:rPr>
                <w:color w:val="auto"/>
                <w:highlight w:val="none"/>
              </w:rPr>
              <w:t>注：Ⅳ+为极高环境风险。</w:t>
            </w:r>
          </w:p>
        </w:tc>
      </w:tr>
    </w:tbl>
    <w:p w14:paraId="26E5BAEC">
      <w:pPr>
        <w:pStyle w:val="3"/>
        <w:ind w:firstLine="480"/>
        <w:rPr>
          <w:color w:val="auto"/>
          <w:highlight w:val="none"/>
        </w:rPr>
      </w:pPr>
      <w:r>
        <w:rPr>
          <w:rFonts w:hint="eastAsia"/>
          <w:color w:val="auto"/>
          <w:highlight w:val="none"/>
        </w:rPr>
        <w:t>（3）危险物质数量与临界量比值（Q）</w:t>
      </w:r>
    </w:p>
    <w:p w14:paraId="5640BA5D">
      <w:pPr>
        <w:pStyle w:val="3"/>
        <w:ind w:firstLine="480"/>
        <w:rPr>
          <w:color w:val="auto"/>
          <w:highlight w:val="none"/>
        </w:rPr>
      </w:pPr>
      <w:r>
        <w:rPr>
          <w:color w:val="auto"/>
          <w:highlight w:val="none"/>
        </w:rPr>
        <w:t>计算所涉及的每种危险物质在厂界内的最大存在总量与其在附录B中对应临界量的比值Q，计算公式如下：</w:t>
      </w:r>
    </w:p>
    <w:p w14:paraId="0C3A5855">
      <w:pPr>
        <w:pStyle w:val="3"/>
        <w:spacing w:line="480" w:lineRule="auto"/>
        <w:ind w:firstLine="480"/>
        <w:rPr>
          <w:color w:val="auto"/>
          <w:highlight w:val="none"/>
        </w:rPr>
      </w:pPr>
      <w:r>
        <w:rPr>
          <w:color w:val="auto"/>
          <w:highlight w:val="none"/>
        </w:rPr>
        <w:object>
          <v:shape id="_x0000_i1033" o:spt="75" type="#_x0000_t75" style="height:36.6pt;width:108.6pt;" o:ole="t" filled="f" o:preferrelative="t" stroked="f" coordsize="21600,21600">
            <v:path/>
            <v:fill on="f" focussize="0,0"/>
            <v:stroke on="f" joinstyle="miter"/>
            <v:imagedata r:id="rId81" o:title=""/>
            <o:lock v:ext="edit" aspectratio="t"/>
            <w10:wrap type="none"/>
            <w10:anchorlock/>
          </v:shape>
          <o:OLEObject Type="Embed" ProgID="Equation.3" ShapeID="_x0000_i1033" DrawAspect="Content" ObjectID="_1468075733" r:id="rId80">
            <o:LockedField>false</o:LockedField>
          </o:OLEObject>
        </w:object>
      </w:r>
    </w:p>
    <w:p w14:paraId="355B607D">
      <w:pPr>
        <w:pStyle w:val="3"/>
        <w:ind w:firstLine="480"/>
        <w:rPr>
          <w:color w:val="auto"/>
          <w:highlight w:val="none"/>
        </w:rPr>
      </w:pPr>
      <w:r>
        <w:rPr>
          <w:color w:val="auto"/>
          <w:highlight w:val="none"/>
        </w:rPr>
        <w:t>式中：q1、q2、…qn----每种危险物质的最大存在总量，t；</w:t>
      </w:r>
    </w:p>
    <w:p w14:paraId="0D916A50">
      <w:pPr>
        <w:pStyle w:val="3"/>
        <w:ind w:firstLine="480"/>
        <w:rPr>
          <w:color w:val="auto"/>
          <w:highlight w:val="none"/>
        </w:rPr>
      </w:pPr>
      <w:r>
        <w:rPr>
          <w:color w:val="auto"/>
          <w:highlight w:val="none"/>
        </w:rPr>
        <w:t>Q1、Q2、…Qn----每种危险物质相对应的临界量，t。</w:t>
      </w:r>
    </w:p>
    <w:p w14:paraId="1EA83CCE">
      <w:pPr>
        <w:pStyle w:val="3"/>
        <w:ind w:firstLine="480"/>
        <w:rPr>
          <w:color w:val="auto"/>
          <w:highlight w:val="none"/>
        </w:rPr>
      </w:pPr>
      <w:r>
        <w:rPr>
          <w:color w:val="auto"/>
          <w:highlight w:val="none"/>
        </w:rPr>
        <w:t>计算出Q值后，当Q＜1时，该项目环境风险潜势为Ⅰ。</w:t>
      </w:r>
    </w:p>
    <w:p w14:paraId="37317816">
      <w:pPr>
        <w:pStyle w:val="3"/>
        <w:ind w:firstLine="480"/>
        <w:rPr>
          <w:color w:val="auto"/>
          <w:highlight w:val="none"/>
        </w:rPr>
      </w:pPr>
      <w:r>
        <w:rPr>
          <w:color w:val="auto"/>
          <w:highlight w:val="none"/>
        </w:rPr>
        <w:t>当Q≥1时，将Q值划分为：（1）1≤Q＜10；（2）10≤Q＜100；（3）Q≥100。</w:t>
      </w:r>
    </w:p>
    <w:p w14:paraId="7FD8C83E">
      <w:pPr>
        <w:pStyle w:val="3"/>
        <w:ind w:firstLine="480"/>
        <w:rPr>
          <w:color w:val="auto"/>
          <w:highlight w:val="none"/>
        </w:rPr>
      </w:pPr>
      <w:r>
        <w:rPr>
          <w:color w:val="auto"/>
          <w:highlight w:val="none"/>
        </w:rPr>
        <w:t>项目区主要</w:t>
      </w:r>
      <w:r>
        <w:rPr>
          <w:rFonts w:hint="eastAsia"/>
          <w:color w:val="auto"/>
          <w:highlight w:val="none"/>
        </w:rPr>
        <w:t>环境风险物资</w:t>
      </w:r>
      <w:r>
        <w:rPr>
          <w:color w:val="auto"/>
          <w:highlight w:val="none"/>
        </w:rPr>
        <w:t>储存情况见表6.4-</w:t>
      </w:r>
      <w:r>
        <w:rPr>
          <w:rFonts w:hint="eastAsia"/>
          <w:color w:val="auto"/>
          <w:highlight w:val="none"/>
        </w:rPr>
        <w:t>3</w:t>
      </w:r>
      <w:r>
        <w:rPr>
          <w:color w:val="auto"/>
          <w:highlight w:val="none"/>
        </w:rPr>
        <w:t>。</w:t>
      </w:r>
    </w:p>
    <w:p w14:paraId="3A86F413">
      <w:pPr>
        <w:pStyle w:val="40"/>
        <w:rPr>
          <w:color w:val="auto"/>
          <w:highlight w:val="none"/>
        </w:rPr>
      </w:pPr>
      <w:r>
        <w:rPr>
          <w:color w:val="auto"/>
          <w:highlight w:val="none"/>
          <w:lang w:val="zh-CN"/>
        </w:rPr>
        <w:t>表</w:t>
      </w:r>
      <w:r>
        <w:rPr>
          <w:color w:val="auto"/>
          <w:highlight w:val="none"/>
        </w:rPr>
        <w:t>6</w:t>
      </w:r>
      <w:r>
        <w:rPr>
          <w:color w:val="auto"/>
          <w:highlight w:val="none"/>
          <w:lang w:val="zh-CN"/>
        </w:rPr>
        <w:t>.</w:t>
      </w:r>
      <w:r>
        <w:rPr>
          <w:color w:val="auto"/>
          <w:highlight w:val="none"/>
        </w:rPr>
        <w:t>4</w:t>
      </w:r>
      <w:r>
        <w:rPr>
          <w:color w:val="auto"/>
          <w:highlight w:val="none"/>
          <w:lang w:val="zh-CN"/>
        </w:rPr>
        <w:t>-</w:t>
      </w:r>
      <w:r>
        <w:rPr>
          <w:rFonts w:hint="eastAsia"/>
          <w:color w:val="auto"/>
          <w:highlight w:val="none"/>
        </w:rPr>
        <w:t>3</w:t>
      </w:r>
      <w:r>
        <w:rPr>
          <w:color w:val="auto"/>
          <w:highlight w:val="none"/>
        </w:rPr>
        <w:t xml:space="preserve">  </w:t>
      </w:r>
      <w:r>
        <w:rPr>
          <w:color w:val="auto"/>
          <w:highlight w:val="none"/>
          <w:lang w:val="zh-CN"/>
        </w:rPr>
        <w:t xml:space="preserve">   项目区</w:t>
      </w:r>
      <w:r>
        <w:rPr>
          <w:rFonts w:hint="eastAsia"/>
          <w:color w:val="auto"/>
          <w:highlight w:val="none"/>
        </w:rPr>
        <w:t>风险物质</w:t>
      </w:r>
      <w:r>
        <w:rPr>
          <w:color w:val="auto"/>
          <w:highlight w:val="none"/>
          <w:lang w:val="zh-CN"/>
        </w:rPr>
        <w:t>贮存情况一览表</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26"/>
        <w:gridCol w:w="1480"/>
        <w:gridCol w:w="1794"/>
        <w:gridCol w:w="1893"/>
        <w:gridCol w:w="1320"/>
        <w:gridCol w:w="900"/>
      </w:tblGrid>
      <w:tr w14:paraId="351865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61" w:type="pct"/>
            <w:tcBorders>
              <w:tl2br w:val="nil"/>
              <w:tr2bl w:val="nil"/>
            </w:tcBorders>
            <w:vAlign w:val="center"/>
          </w:tcPr>
          <w:p w14:paraId="664E58FD">
            <w:pPr>
              <w:pStyle w:val="41"/>
              <w:rPr>
                <w:color w:val="auto"/>
                <w:highlight w:val="none"/>
              </w:rPr>
            </w:pPr>
            <w:r>
              <w:rPr>
                <w:color w:val="auto"/>
                <w:highlight w:val="none"/>
              </w:rPr>
              <w:t>序号</w:t>
            </w:r>
          </w:p>
        </w:tc>
        <w:tc>
          <w:tcPr>
            <w:tcW w:w="869" w:type="pct"/>
            <w:tcBorders>
              <w:tl2br w:val="nil"/>
              <w:tr2bl w:val="nil"/>
            </w:tcBorders>
            <w:vAlign w:val="center"/>
          </w:tcPr>
          <w:p w14:paraId="66B8C4D0">
            <w:pPr>
              <w:pStyle w:val="41"/>
              <w:rPr>
                <w:color w:val="auto"/>
                <w:highlight w:val="none"/>
              </w:rPr>
            </w:pPr>
            <w:r>
              <w:rPr>
                <w:color w:val="auto"/>
                <w:highlight w:val="none"/>
              </w:rPr>
              <w:t>名称</w:t>
            </w:r>
          </w:p>
        </w:tc>
        <w:tc>
          <w:tcPr>
            <w:tcW w:w="1053" w:type="pct"/>
            <w:tcBorders>
              <w:tl2br w:val="nil"/>
              <w:tr2bl w:val="nil"/>
            </w:tcBorders>
            <w:vAlign w:val="center"/>
          </w:tcPr>
          <w:p w14:paraId="596356C6">
            <w:pPr>
              <w:pStyle w:val="41"/>
              <w:rPr>
                <w:color w:val="auto"/>
                <w:highlight w:val="none"/>
              </w:rPr>
            </w:pPr>
            <w:r>
              <w:rPr>
                <w:color w:val="auto"/>
                <w:highlight w:val="none"/>
              </w:rPr>
              <w:t>消耗量（t/a）</w:t>
            </w:r>
          </w:p>
        </w:tc>
        <w:tc>
          <w:tcPr>
            <w:tcW w:w="1111" w:type="pct"/>
            <w:tcBorders>
              <w:tl2br w:val="nil"/>
              <w:tr2bl w:val="nil"/>
            </w:tcBorders>
            <w:vAlign w:val="center"/>
          </w:tcPr>
          <w:p w14:paraId="5304C365">
            <w:pPr>
              <w:pStyle w:val="41"/>
              <w:rPr>
                <w:color w:val="auto"/>
                <w:highlight w:val="none"/>
              </w:rPr>
            </w:pPr>
            <w:r>
              <w:rPr>
                <w:color w:val="auto"/>
                <w:highlight w:val="none"/>
              </w:rPr>
              <w:t>最大贮存量（t）</w:t>
            </w:r>
          </w:p>
        </w:tc>
        <w:tc>
          <w:tcPr>
            <w:tcW w:w="775" w:type="pct"/>
            <w:tcBorders>
              <w:tl2br w:val="nil"/>
              <w:tr2bl w:val="nil"/>
            </w:tcBorders>
            <w:vAlign w:val="center"/>
          </w:tcPr>
          <w:p w14:paraId="78C8CEE2">
            <w:pPr>
              <w:pStyle w:val="41"/>
              <w:rPr>
                <w:color w:val="auto"/>
                <w:highlight w:val="none"/>
              </w:rPr>
            </w:pPr>
            <w:r>
              <w:rPr>
                <w:color w:val="auto"/>
                <w:highlight w:val="none"/>
              </w:rPr>
              <w:t>临界量（t）</w:t>
            </w:r>
          </w:p>
        </w:tc>
        <w:tc>
          <w:tcPr>
            <w:tcW w:w="528" w:type="pct"/>
            <w:tcBorders>
              <w:tl2br w:val="nil"/>
              <w:tr2bl w:val="nil"/>
            </w:tcBorders>
            <w:vAlign w:val="center"/>
          </w:tcPr>
          <w:p w14:paraId="4AB5A219">
            <w:pPr>
              <w:pStyle w:val="41"/>
              <w:rPr>
                <w:color w:val="auto"/>
                <w:highlight w:val="none"/>
              </w:rPr>
            </w:pPr>
            <w:r>
              <w:rPr>
                <w:color w:val="auto"/>
                <w:highlight w:val="none"/>
              </w:rPr>
              <w:t>Q值</w:t>
            </w:r>
          </w:p>
        </w:tc>
      </w:tr>
      <w:tr w14:paraId="29A942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61" w:type="pct"/>
            <w:tcBorders>
              <w:tl2br w:val="nil"/>
              <w:tr2bl w:val="nil"/>
            </w:tcBorders>
            <w:vAlign w:val="center"/>
          </w:tcPr>
          <w:p w14:paraId="03F830B0">
            <w:pPr>
              <w:pStyle w:val="41"/>
              <w:rPr>
                <w:color w:val="auto"/>
                <w:highlight w:val="none"/>
              </w:rPr>
            </w:pPr>
            <w:r>
              <w:rPr>
                <w:rFonts w:hint="eastAsia"/>
                <w:color w:val="auto"/>
                <w:highlight w:val="none"/>
              </w:rPr>
              <w:t>1</w:t>
            </w:r>
          </w:p>
        </w:tc>
        <w:tc>
          <w:tcPr>
            <w:tcW w:w="869" w:type="pct"/>
            <w:tcBorders>
              <w:tl2br w:val="nil"/>
              <w:tr2bl w:val="nil"/>
            </w:tcBorders>
            <w:vAlign w:val="center"/>
          </w:tcPr>
          <w:p w14:paraId="63708FD9">
            <w:pPr>
              <w:pStyle w:val="41"/>
              <w:rPr>
                <w:color w:val="auto"/>
                <w:highlight w:val="none"/>
              </w:rPr>
            </w:pPr>
            <w:r>
              <w:rPr>
                <w:rFonts w:hint="eastAsia"/>
                <w:color w:val="auto"/>
                <w:highlight w:val="none"/>
              </w:rPr>
              <w:t>润滑油</w:t>
            </w:r>
          </w:p>
        </w:tc>
        <w:tc>
          <w:tcPr>
            <w:tcW w:w="1053" w:type="pct"/>
            <w:tcBorders>
              <w:tl2br w:val="nil"/>
              <w:tr2bl w:val="nil"/>
            </w:tcBorders>
            <w:vAlign w:val="center"/>
          </w:tcPr>
          <w:p w14:paraId="704B75B5">
            <w:pPr>
              <w:pStyle w:val="41"/>
              <w:rPr>
                <w:color w:val="auto"/>
                <w:highlight w:val="none"/>
              </w:rPr>
            </w:pPr>
            <w:r>
              <w:rPr>
                <w:rFonts w:hint="eastAsia"/>
                <w:color w:val="auto"/>
                <w:highlight w:val="none"/>
              </w:rPr>
              <w:t>174</w:t>
            </w:r>
          </w:p>
        </w:tc>
        <w:tc>
          <w:tcPr>
            <w:tcW w:w="1111" w:type="pct"/>
            <w:tcBorders>
              <w:tl2br w:val="nil"/>
              <w:tr2bl w:val="nil"/>
            </w:tcBorders>
            <w:vAlign w:val="center"/>
          </w:tcPr>
          <w:p w14:paraId="19EFA6F4">
            <w:pPr>
              <w:pStyle w:val="41"/>
              <w:rPr>
                <w:color w:val="auto"/>
                <w:highlight w:val="none"/>
              </w:rPr>
            </w:pPr>
            <w:r>
              <w:rPr>
                <w:rFonts w:hint="eastAsia"/>
                <w:color w:val="auto"/>
                <w:highlight w:val="none"/>
              </w:rPr>
              <w:t>43.5</w:t>
            </w:r>
          </w:p>
        </w:tc>
        <w:tc>
          <w:tcPr>
            <w:tcW w:w="775" w:type="pct"/>
            <w:tcBorders>
              <w:tl2br w:val="nil"/>
              <w:tr2bl w:val="nil"/>
            </w:tcBorders>
            <w:vAlign w:val="center"/>
          </w:tcPr>
          <w:p w14:paraId="19E49E68">
            <w:pPr>
              <w:pStyle w:val="41"/>
              <w:rPr>
                <w:color w:val="auto"/>
                <w:highlight w:val="none"/>
              </w:rPr>
            </w:pPr>
            <w:r>
              <w:rPr>
                <w:color w:val="auto"/>
                <w:highlight w:val="none"/>
              </w:rPr>
              <w:t>2500</w:t>
            </w:r>
          </w:p>
        </w:tc>
        <w:tc>
          <w:tcPr>
            <w:tcW w:w="528" w:type="pct"/>
            <w:tcBorders>
              <w:tl2br w:val="nil"/>
              <w:tr2bl w:val="nil"/>
            </w:tcBorders>
            <w:vAlign w:val="center"/>
          </w:tcPr>
          <w:p w14:paraId="729DC55C">
            <w:pPr>
              <w:pStyle w:val="41"/>
              <w:rPr>
                <w:color w:val="auto"/>
                <w:highlight w:val="none"/>
              </w:rPr>
            </w:pPr>
            <w:r>
              <w:rPr>
                <w:color w:val="auto"/>
                <w:highlight w:val="none"/>
              </w:rPr>
              <w:t>0.0</w:t>
            </w:r>
            <w:r>
              <w:rPr>
                <w:rFonts w:hint="eastAsia"/>
                <w:color w:val="auto"/>
                <w:highlight w:val="none"/>
              </w:rPr>
              <w:t>174</w:t>
            </w:r>
          </w:p>
        </w:tc>
      </w:tr>
      <w:tr w14:paraId="65B60F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61" w:type="pct"/>
            <w:tcBorders>
              <w:tl2br w:val="nil"/>
              <w:tr2bl w:val="nil"/>
            </w:tcBorders>
            <w:vAlign w:val="center"/>
          </w:tcPr>
          <w:p w14:paraId="5D68E783">
            <w:pPr>
              <w:pStyle w:val="41"/>
              <w:rPr>
                <w:color w:val="auto"/>
                <w:highlight w:val="none"/>
              </w:rPr>
            </w:pPr>
            <w:r>
              <w:rPr>
                <w:rFonts w:hint="eastAsia"/>
                <w:color w:val="auto"/>
                <w:highlight w:val="none"/>
              </w:rPr>
              <w:t>2</w:t>
            </w:r>
          </w:p>
        </w:tc>
        <w:tc>
          <w:tcPr>
            <w:tcW w:w="869" w:type="pct"/>
            <w:tcBorders>
              <w:tl2br w:val="nil"/>
              <w:tr2bl w:val="nil"/>
            </w:tcBorders>
            <w:vAlign w:val="center"/>
          </w:tcPr>
          <w:p w14:paraId="1C868394">
            <w:pPr>
              <w:pStyle w:val="41"/>
              <w:rPr>
                <w:color w:val="auto"/>
                <w:highlight w:val="none"/>
              </w:rPr>
            </w:pPr>
            <w:r>
              <w:rPr>
                <w:color w:val="auto"/>
                <w:highlight w:val="none"/>
              </w:rPr>
              <w:t>废矿物油</w:t>
            </w:r>
          </w:p>
        </w:tc>
        <w:tc>
          <w:tcPr>
            <w:tcW w:w="1053" w:type="pct"/>
            <w:tcBorders>
              <w:tl2br w:val="nil"/>
              <w:tr2bl w:val="nil"/>
            </w:tcBorders>
            <w:vAlign w:val="center"/>
          </w:tcPr>
          <w:p w14:paraId="6F728953">
            <w:pPr>
              <w:pStyle w:val="41"/>
              <w:rPr>
                <w:color w:val="auto"/>
                <w:highlight w:val="none"/>
              </w:rPr>
            </w:pPr>
            <w:r>
              <w:rPr>
                <w:color w:val="auto"/>
                <w:highlight w:val="none"/>
              </w:rPr>
              <w:t>/</w:t>
            </w:r>
          </w:p>
        </w:tc>
        <w:tc>
          <w:tcPr>
            <w:tcW w:w="1111" w:type="pct"/>
            <w:tcBorders>
              <w:tl2br w:val="nil"/>
              <w:tr2bl w:val="nil"/>
            </w:tcBorders>
            <w:vAlign w:val="center"/>
          </w:tcPr>
          <w:p w14:paraId="180B16B6">
            <w:pPr>
              <w:pStyle w:val="41"/>
              <w:rPr>
                <w:color w:val="auto"/>
                <w:highlight w:val="none"/>
              </w:rPr>
            </w:pPr>
            <w:r>
              <w:rPr>
                <w:color w:val="auto"/>
                <w:highlight w:val="none"/>
              </w:rPr>
              <w:t>3</w:t>
            </w:r>
          </w:p>
        </w:tc>
        <w:tc>
          <w:tcPr>
            <w:tcW w:w="775" w:type="pct"/>
            <w:tcBorders>
              <w:tl2br w:val="nil"/>
              <w:tr2bl w:val="nil"/>
            </w:tcBorders>
            <w:vAlign w:val="center"/>
          </w:tcPr>
          <w:p w14:paraId="7C730AC5">
            <w:pPr>
              <w:pStyle w:val="41"/>
              <w:rPr>
                <w:color w:val="auto"/>
                <w:highlight w:val="none"/>
              </w:rPr>
            </w:pPr>
            <w:r>
              <w:rPr>
                <w:color w:val="auto"/>
                <w:highlight w:val="none"/>
              </w:rPr>
              <w:t>2500</w:t>
            </w:r>
          </w:p>
        </w:tc>
        <w:tc>
          <w:tcPr>
            <w:tcW w:w="528" w:type="pct"/>
            <w:tcBorders>
              <w:tl2br w:val="nil"/>
              <w:tr2bl w:val="nil"/>
            </w:tcBorders>
            <w:vAlign w:val="center"/>
          </w:tcPr>
          <w:p w14:paraId="647132C8">
            <w:pPr>
              <w:pStyle w:val="41"/>
              <w:rPr>
                <w:color w:val="auto"/>
                <w:highlight w:val="none"/>
              </w:rPr>
            </w:pPr>
            <w:r>
              <w:rPr>
                <w:color w:val="auto"/>
                <w:highlight w:val="none"/>
              </w:rPr>
              <w:t>0.0012</w:t>
            </w:r>
          </w:p>
        </w:tc>
      </w:tr>
      <w:tr w14:paraId="54B74D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61" w:type="pct"/>
            <w:tcBorders>
              <w:tl2br w:val="nil"/>
              <w:tr2bl w:val="nil"/>
            </w:tcBorders>
            <w:vAlign w:val="center"/>
          </w:tcPr>
          <w:p w14:paraId="1478C539">
            <w:pPr>
              <w:pStyle w:val="41"/>
              <w:rPr>
                <w:color w:val="auto"/>
                <w:highlight w:val="none"/>
              </w:rPr>
            </w:pPr>
          </w:p>
        </w:tc>
        <w:tc>
          <w:tcPr>
            <w:tcW w:w="869" w:type="pct"/>
            <w:tcBorders>
              <w:tl2br w:val="nil"/>
              <w:tr2bl w:val="nil"/>
            </w:tcBorders>
            <w:vAlign w:val="center"/>
          </w:tcPr>
          <w:p w14:paraId="7832CC08">
            <w:pPr>
              <w:pStyle w:val="41"/>
              <w:rPr>
                <w:color w:val="auto"/>
                <w:highlight w:val="none"/>
              </w:rPr>
            </w:pPr>
            <w:r>
              <w:rPr>
                <w:color w:val="auto"/>
                <w:highlight w:val="none"/>
              </w:rPr>
              <w:t>/</w:t>
            </w:r>
          </w:p>
        </w:tc>
        <w:tc>
          <w:tcPr>
            <w:tcW w:w="1053" w:type="pct"/>
            <w:tcBorders>
              <w:tl2br w:val="nil"/>
              <w:tr2bl w:val="nil"/>
            </w:tcBorders>
            <w:vAlign w:val="center"/>
          </w:tcPr>
          <w:p w14:paraId="4FCA552D">
            <w:pPr>
              <w:pStyle w:val="41"/>
              <w:rPr>
                <w:color w:val="auto"/>
                <w:highlight w:val="none"/>
              </w:rPr>
            </w:pPr>
            <w:r>
              <w:rPr>
                <w:color w:val="auto"/>
                <w:highlight w:val="none"/>
              </w:rPr>
              <w:t>/</w:t>
            </w:r>
          </w:p>
        </w:tc>
        <w:tc>
          <w:tcPr>
            <w:tcW w:w="1111" w:type="pct"/>
            <w:tcBorders>
              <w:tl2br w:val="nil"/>
              <w:tr2bl w:val="nil"/>
            </w:tcBorders>
            <w:vAlign w:val="center"/>
          </w:tcPr>
          <w:p w14:paraId="20328C5F">
            <w:pPr>
              <w:pStyle w:val="41"/>
              <w:rPr>
                <w:color w:val="auto"/>
                <w:highlight w:val="none"/>
              </w:rPr>
            </w:pPr>
            <w:r>
              <w:rPr>
                <w:color w:val="auto"/>
                <w:highlight w:val="none"/>
              </w:rPr>
              <w:t>/</w:t>
            </w:r>
          </w:p>
        </w:tc>
        <w:tc>
          <w:tcPr>
            <w:tcW w:w="775" w:type="pct"/>
            <w:tcBorders>
              <w:tl2br w:val="nil"/>
              <w:tr2bl w:val="nil"/>
            </w:tcBorders>
            <w:vAlign w:val="center"/>
          </w:tcPr>
          <w:p w14:paraId="4E3FD700">
            <w:pPr>
              <w:pStyle w:val="41"/>
              <w:rPr>
                <w:color w:val="auto"/>
                <w:highlight w:val="none"/>
              </w:rPr>
            </w:pPr>
            <w:r>
              <w:rPr>
                <w:color w:val="auto"/>
                <w:highlight w:val="none"/>
              </w:rPr>
              <w:t>/</w:t>
            </w:r>
          </w:p>
        </w:tc>
        <w:tc>
          <w:tcPr>
            <w:tcW w:w="528" w:type="pct"/>
            <w:tcBorders>
              <w:tl2br w:val="nil"/>
              <w:tr2bl w:val="nil"/>
            </w:tcBorders>
            <w:vAlign w:val="center"/>
          </w:tcPr>
          <w:p w14:paraId="02280793">
            <w:pPr>
              <w:pStyle w:val="41"/>
              <w:rPr>
                <w:color w:val="auto"/>
                <w:highlight w:val="none"/>
              </w:rPr>
            </w:pPr>
            <w:r>
              <w:rPr>
                <w:rFonts w:hint="eastAsia"/>
                <w:color w:val="auto"/>
                <w:highlight w:val="none"/>
              </w:rPr>
              <w:t>0.0186</w:t>
            </w:r>
          </w:p>
        </w:tc>
      </w:tr>
    </w:tbl>
    <w:p w14:paraId="1722ED5A">
      <w:pPr>
        <w:pStyle w:val="3"/>
        <w:ind w:firstLine="480"/>
        <w:rPr>
          <w:color w:val="auto"/>
          <w:highlight w:val="none"/>
        </w:rPr>
      </w:pPr>
      <w:r>
        <w:rPr>
          <w:color w:val="auto"/>
          <w:highlight w:val="none"/>
        </w:rPr>
        <w:t>由上表可知，Q=0.01</w:t>
      </w:r>
      <w:r>
        <w:rPr>
          <w:rFonts w:hint="eastAsia"/>
          <w:color w:val="auto"/>
          <w:highlight w:val="none"/>
        </w:rPr>
        <w:t>86</w:t>
      </w:r>
      <w:r>
        <w:rPr>
          <w:color w:val="auto"/>
          <w:highlight w:val="none"/>
        </w:rPr>
        <w:t>&lt;1。</w:t>
      </w:r>
    </w:p>
    <w:p w14:paraId="31F8657F">
      <w:pPr>
        <w:pStyle w:val="3"/>
        <w:ind w:firstLine="480"/>
        <w:rPr>
          <w:color w:val="auto"/>
          <w:highlight w:val="none"/>
        </w:rPr>
      </w:pPr>
      <w:r>
        <w:rPr>
          <w:rFonts w:hint="eastAsia"/>
          <w:color w:val="auto"/>
          <w:highlight w:val="none"/>
        </w:rPr>
        <w:t>（4）</w:t>
      </w:r>
      <w:r>
        <w:rPr>
          <w:color w:val="auto"/>
          <w:highlight w:val="none"/>
        </w:rPr>
        <w:t>评价等级确定</w:t>
      </w:r>
    </w:p>
    <w:p w14:paraId="215A7DC6">
      <w:pPr>
        <w:pStyle w:val="3"/>
        <w:ind w:firstLine="480"/>
        <w:rPr>
          <w:color w:val="auto"/>
          <w:highlight w:val="none"/>
        </w:rPr>
      </w:pPr>
      <w:r>
        <w:rPr>
          <w:color w:val="auto"/>
          <w:highlight w:val="none"/>
        </w:rPr>
        <w:t>项目选矿厂Q=0.01</w:t>
      </w:r>
      <w:r>
        <w:rPr>
          <w:rFonts w:hint="eastAsia"/>
          <w:color w:val="auto"/>
          <w:highlight w:val="none"/>
        </w:rPr>
        <w:t>86</w:t>
      </w:r>
      <w:r>
        <w:rPr>
          <w:color w:val="auto"/>
          <w:highlight w:val="none"/>
        </w:rPr>
        <w:t>&lt;1，环境风险潜势Ⅰ类，仅需简单评价分析。</w:t>
      </w:r>
    </w:p>
    <w:p w14:paraId="2797D718">
      <w:pPr>
        <w:pStyle w:val="42"/>
        <w:rPr>
          <w:rFonts w:hint="default"/>
          <w:color w:val="auto"/>
          <w:highlight w:val="none"/>
        </w:rPr>
      </w:pPr>
      <w:r>
        <w:rPr>
          <w:rFonts w:hint="default"/>
          <w:color w:val="auto"/>
          <w:highlight w:val="none"/>
        </w:rPr>
        <w:t>尾矿库</w:t>
      </w:r>
    </w:p>
    <w:p w14:paraId="0723761C">
      <w:pPr>
        <w:pStyle w:val="3"/>
        <w:ind w:firstLine="480"/>
        <w:rPr>
          <w:color w:val="auto"/>
          <w:highlight w:val="none"/>
        </w:rPr>
      </w:pPr>
      <w:r>
        <w:rPr>
          <w:color w:val="auto"/>
          <w:highlight w:val="none"/>
        </w:rPr>
        <w:t>《尾矿库环境风险评估技术导则（试行）》（HJ740-2015）从尾矿库的环境危害性（H）、周边环境敏感性（S）、控制机制可靠性（R）三个方面进行环境风险等级的划分。</w:t>
      </w:r>
    </w:p>
    <w:p w14:paraId="7676C119">
      <w:pPr>
        <w:pStyle w:val="3"/>
        <w:ind w:firstLine="480"/>
        <w:rPr>
          <w:color w:val="auto"/>
          <w:highlight w:val="none"/>
        </w:rPr>
      </w:pPr>
      <w:r>
        <w:rPr>
          <w:color w:val="auto"/>
          <w:highlight w:val="none"/>
        </w:rPr>
        <w:t>评价等级划分指标体系见图6.4-1。</w:t>
      </w:r>
    </w:p>
    <w:p w14:paraId="44DACD60">
      <w:pPr>
        <w:pStyle w:val="3"/>
        <w:spacing w:line="480" w:lineRule="auto"/>
        <w:ind w:firstLine="480"/>
        <w:rPr>
          <w:color w:val="auto"/>
          <w:highlight w:val="none"/>
        </w:rPr>
      </w:pPr>
      <w:r>
        <w:rPr>
          <w:color w:val="auto"/>
          <w:highlight w:val="none"/>
        </w:rPr>
        <w:drawing>
          <wp:inline distT="0" distB="0" distL="114300" distR="114300">
            <wp:extent cx="5257165" cy="1304290"/>
            <wp:effectExtent l="9525" t="9525" r="10160" b="19685"/>
            <wp:docPr id="71"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58"/>
                    <pic:cNvPicPr>
                      <a:picLocks noChangeAspect="1"/>
                    </pic:cNvPicPr>
                  </pic:nvPicPr>
                  <pic:blipFill>
                    <a:blip r:embed="rId82"/>
                    <a:stretch>
                      <a:fillRect/>
                    </a:stretch>
                  </pic:blipFill>
                  <pic:spPr>
                    <a:xfrm>
                      <a:off x="0" y="0"/>
                      <a:ext cx="5257165" cy="1304290"/>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1905A7EE">
      <w:pPr>
        <w:pStyle w:val="3"/>
        <w:ind w:firstLine="480"/>
        <w:jc w:val="center"/>
        <w:rPr>
          <w:b/>
          <w:bCs/>
          <w:color w:val="auto"/>
          <w:highlight w:val="none"/>
        </w:rPr>
      </w:pPr>
      <w:r>
        <w:rPr>
          <w:b/>
          <w:bCs/>
          <w:color w:val="auto"/>
          <w:highlight w:val="none"/>
        </w:rPr>
        <w:t>图6.4-1    评价等级划分指标体系</w:t>
      </w:r>
    </w:p>
    <w:p w14:paraId="090816F4">
      <w:pPr>
        <w:pStyle w:val="3"/>
        <w:ind w:firstLine="480"/>
        <w:rPr>
          <w:color w:val="auto"/>
          <w:highlight w:val="none"/>
        </w:rPr>
      </w:pPr>
      <w:r>
        <w:rPr>
          <w:rFonts w:hint="eastAsia"/>
          <w:color w:val="auto"/>
          <w:highlight w:val="none"/>
        </w:rPr>
        <w:t>本项目尾矿库采用库前式尾矿排矿筑坝法。设计初期坝坝顶标高1930.0m，坝高30m；堆积坝坝顶标高2015.0m，坝高85.0m；总坝高115.0m，总库容4223.61万m3，有效库容3801.25万m</w:t>
      </w:r>
      <w:r>
        <w:rPr>
          <w:rFonts w:hint="eastAsia"/>
          <w:color w:val="auto"/>
          <w:highlight w:val="none"/>
          <w:vertAlign w:val="superscript"/>
        </w:rPr>
        <w:t>3</w:t>
      </w:r>
      <w:r>
        <w:rPr>
          <w:rFonts w:hint="eastAsia"/>
          <w:color w:val="auto"/>
          <w:highlight w:val="none"/>
        </w:rPr>
        <w:t>，服务年限20.</w:t>
      </w:r>
      <w:r>
        <w:rPr>
          <w:rFonts w:hint="eastAsia"/>
          <w:color w:val="auto"/>
          <w:highlight w:val="none"/>
          <w:lang w:val="en-US" w:eastAsia="zh-CN"/>
        </w:rPr>
        <w:t>14</w:t>
      </w:r>
      <w:r>
        <w:rPr>
          <w:rFonts w:hint="eastAsia"/>
          <w:color w:val="auto"/>
          <w:highlight w:val="none"/>
        </w:rPr>
        <w:t>年，设计尾矿库等别为二等库。</w:t>
      </w:r>
    </w:p>
    <w:p w14:paraId="166538AE">
      <w:pPr>
        <w:pStyle w:val="3"/>
        <w:ind w:firstLine="480"/>
        <w:rPr>
          <w:color w:val="auto"/>
          <w:highlight w:val="none"/>
        </w:rPr>
      </w:pPr>
      <w:r>
        <w:rPr>
          <w:rFonts w:hint="eastAsia"/>
          <w:color w:val="auto"/>
          <w:highlight w:val="none"/>
        </w:rPr>
        <w:t>根据尾矿浸出毒性试验检测结果可知，尾矿属于Ⅰ类固废。</w:t>
      </w:r>
    </w:p>
    <w:p w14:paraId="443C1ADE">
      <w:pPr>
        <w:pStyle w:val="3"/>
        <w:ind w:firstLine="480"/>
        <w:rPr>
          <w:color w:val="auto"/>
          <w:highlight w:val="none"/>
        </w:rPr>
      </w:pPr>
      <w:r>
        <w:rPr>
          <w:rFonts w:hint="eastAsia"/>
          <w:color w:val="auto"/>
          <w:highlight w:val="none"/>
        </w:rPr>
        <w:t>（1）尾矿库环境风险等级划分指标体系</w:t>
      </w:r>
    </w:p>
    <w:p w14:paraId="50DF7E34">
      <w:pPr>
        <w:pStyle w:val="3"/>
        <w:ind w:firstLine="480"/>
        <w:rPr>
          <w:color w:val="auto"/>
          <w:highlight w:val="none"/>
        </w:rPr>
      </w:pPr>
      <w:r>
        <w:rPr>
          <w:rFonts w:hint="eastAsia"/>
          <w:color w:val="auto"/>
          <w:highlight w:val="none"/>
        </w:rPr>
        <w:t>利用层次分析法，从尾矿库的环境危害性（H）、周边环境敏感性（S）、控制机制可靠性（R）三方面进行尾矿库环境风险等级划分。</w:t>
      </w:r>
    </w:p>
    <w:p w14:paraId="28F97CA4">
      <w:pPr>
        <w:pStyle w:val="3"/>
        <w:ind w:firstLine="480"/>
        <w:rPr>
          <w:color w:val="auto"/>
          <w:highlight w:val="none"/>
        </w:rPr>
      </w:pPr>
      <w:r>
        <w:rPr>
          <w:rFonts w:hint="eastAsia"/>
          <w:color w:val="auto"/>
          <w:highlight w:val="none"/>
        </w:rPr>
        <w:t>①环境危害性（H）</w:t>
      </w:r>
    </w:p>
    <w:p w14:paraId="062F5AB3">
      <w:pPr>
        <w:pStyle w:val="3"/>
        <w:ind w:firstLine="480"/>
        <w:rPr>
          <w:color w:val="auto"/>
          <w:highlight w:val="none"/>
        </w:rPr>
      </w:pPr>
      <w:r>
        <w:rPr>
          <w:rFonts w:hint="eastAsia"/>
          <w:color w:val="auto"/>
          <w:highlight w:val="none"/>
        </w:rPr>
        <w:t>采用评分方法，对类型、性质和规模三方面指标进行评分与累加求和，评估尾矿库环境危害性（H），危险性等别划分指标见表6.4-4。</w:t>
      </w:r>
    </w:p>
    <w:p w14:paraId="61B74491">
      <w:pPr>
        <w:pStyle w:val="40"/>
        <w:rPr>
          <w:color w:val="auto"/>
          <w:highlight w:val="none"/>
        </w:rPr>
      </w:pPr>
      <w:r>
        <w:rPr>
          <w:color w:val="auto"/>
          <w:highlight w:val="none"/>
          <w:lang w:val="zh-CN"/>
        </w:rPr>
        <w:t>表</w:t>
      </w:r>
      <w:r>
        <w:rPr>
          <w:rFonts w:hint="eastAsia"/>
          <w:color w:val="auto"/>
          <w:highlight w:val="none"/>
        </w:rPr>
        <w:t>6.4-4</w:t>
      </w:r>
      <w:r>
        <w:rPr>
          <w:rFonts w:hint="eastAsia"/>
          <w:color w:val="auto"/>
          <w:highlight w:val="none"/>
          <w:lang w:val="zh-CN"/>
        </w:rPr>
        <w:t xml:space="preserve">      </w:t>
      </w:r>
      <w:r>
        <w:rPr>
          <w:color w:val="auto"/>
          <w:highlight w:val="none"/>
          <w:lang w:val="zh-CN"/>
        </w:rPr>
        <w:t>尾矿库环境危害性（H）等级划分指标体系</w:t>
      </w:r>
    </w:p>
    <w:tbl>
      <w:tblPr>
        <w:tblStyle w:val="25"/>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640"/>
        <w:gridCol w:w="635"/>
        <w:gridCol w:w="1296"/>
        <w:gridCol w:w="1199"/>
        <w:gridCol w:w="1956"/>
        <w:gridCol w:w="1167"/>
        <w:gridCol w:w="895"/>
      </w:tblGrid>
      <w:tr w14:paraId="12781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426" w:type="pct"/>
            <w:tcBorders>
              <w:tl2br w:val="nil"/>
              <w:tr2bl w:val="nil"/>
            </w:tcBorders>
            <w:vAlign w:val="center"/>
          </w:tcPr>
          <w:p w14:paraId="4ECE49B7">
            <w:pPr>
              <w:pStyle w:val="41"/>
              <w:rPr>
                <w:color w:val="auto"/>
                <w:highlight w:val="none"/>
              </w:rPr>
            </w:pPr>
            <w:r>
              <w:rPr>
                <w:color w:val="auto"/>
                <w:highlight w:val="none"/>
              </w:rPr>
              <w:t>序号</w:t>
            </w:r>
          </w:p>
        </w:tc>
        <w:tc>
          <w:tcPr>
            <w:tcW w:w="3362" w:type="pct"/>
            <w:gridSpan w:val="5"/>
            <w:tcBorders>
              <w:tl2br w:val="nil"/>
              <w:tr2bl w:val="nil"/>
            </w:tcBorders>
            <w:vAlign w:val="center"/>
          </w:tcPr>
          <w:p w14:paraId="5AEEBF8E">
            <w:pPr>
              <w:pStyle w:val="41"/>
              <w:rPr>
                <w:color w:val="auto"/>
                <w:highlight w:val="none"/>
              </w:rPr>
            </w:pPr>
            <w:r>
              <w:rPr>
                <w:color w:val="auto"/>
                <w:highlight w:val="none"/>
              </w:rPr>
              <w:t>指标项目</w:t>
            </w:r>
          </w:p>
        </w:tc>
        <w:tc>
          <w:tcPr>
            <w:tcW w:w="685" w:type="pct"/>
            <w:tcBorders>
              <w:tl2br w:val="nil"/>
              <w:tr2bl w:val="nil"/>
            </w:tcBorders>
            <w:vAlign w:val="center"/>
          </w:tcPr>
          <w:p w14:paraId="14378EC5">
            <w:pPr>
              <w:pStyle w:val="41"/>
              <w:rPr>
                <w:color w:val="auto"/>
                <w:highlight w:val="none"/>
              </w:rPr>
            </w:pPr>
            <w:r>
              <w:rPr>
                <w:color w:val="auto"/>
                <w:highlight w:val="none"/>
              </w:rPr>
              <w:t>指标分值</w:t>
            </w:r>
          </w:p>
        </w:tc>
        <w:tc>
          <w:tcPr>
            <w:tcW w:w="525" w:type="pct"/>
            <w:tcBorders>
              <w:tl2br w:val="nil"/>
              <w:tr2bl w:val="nil"/>
            </w:tcBorders>
            <w:vAlign w:val="center"/>
          </w:tcPr>
          <w:p w14:paraId="326CC96C">
            <w:pPr>
              <w:pStyle w:val="41"/>
              <w:rPr>
                <w:color w:val="auto"/>
                <w:highlight w:val="none"/>
              </w:rPr>
            </w:pPr>
            <w:r>
              <w:rPr>
                <w:rFonts w:hint="eastAsia"/>
                <w:color w:val="auto"/>
                <w:highlight w:val="none"/>
              </w:rPr>
              <w:t>本项目</w:t>
            </w:r>
          </w:p>
        </w:tc>
      </w:tr>
      <w:tr w14:paraId="1FC5EF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26" w:type="pct"/>
            <w:tcBorders>
              <w:tl2br w:val="nil"/>
              <w:tr2bl w:val="nil"/>
            </w:tcBorders>
            <w:vAlign w:val="center"/>
          </w:tcPr>
          <w:p w14:paraId="23B235B6">
            <w:pPr>
              <w:pStyle w:val="41"/>
              <w:rPr>
                <w:color w:val="auto"/>
                <w:highlight w:val="none"/>
              </w:rPr>
            </w:pPr>
            <w:r>
              <w:rPr>
                <w:color w:val="auto"/>
                <w:highlight w:val="none"/>
              </w:rPr>
              <w:t>1</w:t>
            </w:r>
          </w:p>
        </w:tc>
        <w:tc>
          <w:tcPr>
            <w:tcW w:w="376" w:type="pct"/>
            <w:vMerge w:val="restart"/>
            <w:tcBorders>
              <w:tl2br w:val="nil"/>
              <w:tr2bl w:val="nil"/>
            </w:tcBorders>
            <w:vAlign w:val="center"/>
          </w:tcPr>
          <w:p w14:paraId="06C35F9C">
            <w:pPr>
              <w:pStyle w:val="41"/>
              <w:rPr>
                <w:color w:val="auto"/>
                <w:highlight w:val="none"/>
              </w:rPr>
            </w:pPr>
            <w:r>
              <w:rPr>
                <w:color w:val="auto"/>
                <w:highlight w:val="none"/>
              </w:rPr>
              <w:t>尾矿库环境危害性</w:t>
            </w:r>
          </w:p>
        </w:tc>
        <w:tc>
          <w:tcPr>
            <w:tcW w:w="372" w:type="pct"/>
            <w:tcBorders>
              <w:tl2br w:val="nil"/>
              <w:tr2bl w:val="nil"/>
            </w:tcBorders>
            <w:vAlign w:val="center"/>
          </w:tcPr>
          <w:p w14:paraId="1037AB02">
            <w:pPr>
              <w:pStyle w:val="41"/>
              <w:rPr>
                <w:color w:val="auto"/>
                <w:highlight w:val="none"/>
              </w:rPr>
            </w:pPr>
            <w:r>
              <w:rPr>
                <w:color w:val="auto"/>
                <w:highlight w:val="none"/>
              </w:rPr>
              <w:t>类型</w:t>
            </w:r>
          </w:p>
        </w:tc>
        <w:tc>
          <w:tcPr>
            <w:tcW w:w="2612" w:type="pct"/>
            <w:gridSpan w:val="3"/>
            <w:tcBorders>
              <w:tl2br w:val="nil"/>
              <w:tr2bl w:val="nil"/>
            </w:tcBorders>
            <w:vAlign w:val="center"/>
          </w:tcPr>
          <w:p w14:paraId="42A81C35">
            <w:pPr>
              <w:pStyle w:val="41"/>
              <w:rPr>
                <w:color w:val="auto"/>
                <w:highlight w:val="none"/>
              </w:rPr>
            </w:pPr>
            <w:r>
              <w:rPr>
                <w:color w:val="auto"/>
                <w:highlight w:val="none"/>
              </w:rPr>
              <w:t>矿种类型/固体废物类型/尾矿（或尾矿水）成分类型</w:t>
            </w:r>
          </w:p>
        </w:tc>
        <w:tc>
          <w:tcPr>
            <w:tcW w:w="685" w:type="pct"/>
            <w:tcBorders>
              <w:tl2br w:val="nil"/>
              <w:tr2bl w:val="nil"/>
            </w:tcBorders>
            <w:vAlign w:val="center"/>
          </w:tcPr>
          <w:p w14:paraId="464EE4BC">
            <w:pPr>
              <w:pStyle w:val="41"/>
              <w:rPr>
                <w:color w:val="auto"/>
                <w:highlight w:val="none"/>
              </w:rPr>
            </w:pPr>
            <w:r>
              <w:rPr>
                <w:color w:val="auto"/>
                <w:highlight w:val="none"/>
              </w:rPr>
              <w:t>48</w:t>
            </w:r>
          </w:p>
        </w:tc>
        <w:tc>
          <w:tcPr>
            <w:tcW w:w="525" w:type="pct"/>
            <w:tcBorders>
              <w:tl2br w:val="nil"/>
              <w:tr2bl w:val="nil"/>
            </w:tcBorders>
            <w:vAlign w:val="center"/>
          </w:tcPr>
          <w:p w14:paraId="5BA9E513">
            <w:pPr>
              <w:pStyle w:val="41"/>
              <w:rPr>
                <w:color w:val="auto"/>
                <w:highlight w:val="none"/>
              </w:rPr>
            </w:pPr>
            <w:r>
              <w:rPr>
                <w:rFonts w:hint="eastAsia"/>
                <w:color w:val="auto"/>
                <w:highlight w:val="none"/>
              </w:rPr>
              <w:t>24</w:t>
            </w:r>
          </w:p>
        </w:tc>
      </w:tr>
      <w:tr w14:paraId="146DBF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26" w:type="pct"/>
            <w:tcBorders>
              <w:tl2br w:val="nil"/>
              <w:tr2bl w:val="nil"/>
            </w:tcBorders>
            <w:vAlign w:val="center"/>
          </w:tcPr>
          <w:p w14:paraId="07820D65">
            <w:pPr>
              <w:pStyle w:val="41"/>
              <w:rPr>
                <w:color w:val="auto"/>
                <w:highlight w:val="none"/>
              </w:rPr>
            </w:pPr>
            <w:r>
              <w:rPr>
                <w:color w:val="auto"/>
                <w:highlight w:val="none"/>
              </w:rPr>
              <w:t>2</w:t>
            </w:r>
          </w:p>
        </w:tc>
        <w:tc>
          <w:tcPr>
            <w:tcW w:w="376" w:type="pct"/>
            <w:vMerge w:val="continue"/>
            <w:tcBorders>
              <w:tl2br w:val="nil"/>
              <w:tr2bl w:val="nil"/>
            </w:tcBorders>
            <w:vAlign w:val="center"/>
          </w:tcPr>
          <w:p w14:paraId="234893E4">
            <w:pPr>
              <w:pStyle w:val="41"/>
              <w:rPr>
                <w:color w:val="auto"/>
                <w:highlight w:val="none"/>
              </w:rPr>
            </w:pPr>
          </w:p>
        </w:tc>
        <w:tc>
          <w:tcPr>
            <w:tcW w:w="372" w:type="pct"/>
            <w:vMerge w:val="restart"/>
            <w:tcBorders>
              <w:tl2br w:val="nil"/>
              <w:tr2bl w:val="nil"/>
            </w:tcBorders>
            <w:vAlign w:val="center"/>
          </w:tcPr>
          <w:p w14:paraId="325E4E26">
            <w:pPr>
              <w:pStyle w:val="41"/>
              <w:rPr>
                <w:color w:val="auto"/>
                <w:highlight w:val="none"/>
              </w:rPr>
            </w:pPr>
            <w:r>
              <w:rPr>
                <w:color w:val="auto"/>
                <w:highlight w:val="none"/>
              </w:rPr>
              <w:t>性质</w:t>
            </w:r>
          </w:p>
        </w:tc>
        <w:tc>
          <w:tcPr>
            <w:tcW w:w="761" w:type="pct"/>
            <w:vMerge w:val="restart"/>
            <w:tcBorders>
              <w:tl2br w:val="nil"/>
              <w:tr2bl w:val="nil"/>
            </w:tcBorders>
            <w:vAlign w:val="center"/>
          </w:tcPr>
          <w:p w14:paraId="66E8C3BF">
            <w:pPr>
              <w:pStyle w:val="41"/>
              <w:rPr>
                <w:color w:val="auto"/>
                <w:highlight w:val="none"/>
              </w:rPr>
            </w:pPr>
            <w:r>
              <w:rPr>
                <w:color w:val="auto"/>
                <w:highlight w:val="none"/>
              </w:rPr>
              <w:t>特征污染物指标浓度情况</w:t>
            </w:r>
          </w:p>
        </w:tc>
        <w:tc>
          <w:tcPr>
            <w:tcW w:w="704" w:type="pct"/>
            <w:vMerge w:val="restart"/>
            <w:tcBorders>
              <w:tl2br w:val="nil"/>
              <w:tr2bl w:val="nil"/>
            </w:tcBorders>
            <w:vAlign w:val="center"/>
          </w:tcPr>
          <w:p w14:paraId="0AAA5C38">
            <w:pPr>
              <w:pStyle w:val="41"/>
              <w:rPr>
                <w:color w:val="auto"/>
                <w:highlight w:val="none"/>
              </w:rPr>
            </w:pPr>
            <w:r>
              <w:rPr>
                <w:color w:val="auto"/>
                <w:highlight w:val="none"/>
              </w:rPr>
              <w:t>浓度倍数情况</w:t>
            </w:r>
          </w:p>
        </w:tc>
        <w:tc>
          <w:tcPr>
            <w:tcW w:w="1147" w:type="pct"/>
            <w:tcBorders>
              <w:tl2br w:val="nil"/>
              <w:tr2bl w:val="nil"/>
            </w:tcBorders>
            <w:vAlign w:val="center"/>
          </w:tcPr>
          <w:p w14:paraId="44A07E0D">
            <w:pPr>
              <w:pStyle w:val="41"/>
              <w:rPr>
                <w:color w:val="auto"/>
                <w:highlight w:val="none"/>
              </w:rPr>
            </w:pPr>
            <w:r>
              <w:rPr>
                <w:color w:val="auto"/>
                <w:highlight w:val="none"/>
              </w:rPr>
              <w:t>pH值</w:t>
            </w:r>
          </w:p>
        </w:tc>
        <w:tc>
          <w:tcPr>
            <w:tcW w:w="685" w:type="pct"/>
            <w:tcBorders>
              <w:tl2br w:val="nil"/>
              <w:tr2bl w:val="nil"/>
            </w:tcBorders>
            <w:vAlign w:val="center"/>
          </w:tcPr>
          <w:p w14:paraId="5C108AEB">
            <w:pPr>
              <w:pStyle w:val="41"/>
              <w:rPr>
                <w:color w:val="auto"/>
                <w:highlight w:val="none"/>
              </w:rPr>
            </w:pPr>
            <w:r>
              <w:rPr>
                <w:color w:val="auto"/>
                <w:highlight w:val="none"/>
              </w:rPr>
              <w:t>8</w:t>
            </w:r>
          </w:p>
        </w:tc>
        <w:tc>
          <w:tcPr>
            <w:tcW w:w="525" w:type="pct"/>
            <w:tcBorders>
              <w:tl2br w:val="nil"/>
              <w:tr2bl w:val="nil"/>
            </w:tcBorders>
            <w:vAlign w:val="center"/>
          </w:tcPr>
          <w:p w14:paraId="01AE3D2E">
            <w:pPr>
              <w:pStyle w:val="41"/>
              <w:rPr>
                <w:color w:val="auto"/>
                <w:highlight w:val="none"/>
              </w:rPr>
            </w:pPr>
            <w:r>
              <w:rPr>
                <w:rFonts w:hint="eastAsia"/>
                <w:color w:val="auto"/>
                <w:highlight w:val="none"/>
              </w:rPr>
              <w:t>0</w:t>
            </w:r>
          </w:p>
        </w:tc>
      </w:tr>
      <w:tr w14:paraId="4B3F0B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26" w:type="pct"/>
            <w:tcBorders>
              <w:tl2br w:val="nil"/>
              <w:tr2bl w:val="nil"/>
            </w:tcBorders>
            <w:vAlign w:val="center"/>
          </w:tcPr>
          <w:p w14:paraId="5148A3BB">
            <w:pPr>
              <w:pStyle w:val="41"/>
              <w:rPr>
                <w:color w:val="auto"/>
                <w:highlight w:val="none"/>
              </w:rPr>
            </w:pPr>
            <w:r>
              <w:rPr>
                <w:color w:val="auto"/>
                <w:highlight w:val="none"/>
              </w:rPr>
              <w:t>3</w:t>
            </w:r>
          </w:p>
        </w:tc>
        <w:tc>
          <w:tcPr>
            <w:tcW w:w="376" w:type="pct"/>
            <w:vMerge w:val="continue"/>
            <w:tcBorders>
              <w:tl2br w:val="nil"/>
              <w:tr2bl w:val="nil"/>
            </w:tcBorders>
            <w:vAlign w:val="center"/>
          </w:tcPr>
          <w:p w14:paraId="6ABE2DA0">
            <w:pPr>
              <w:pStyle w:val="41"/>
              <w:rPr>
                <w:color w:val="auto"/>
                <w:highlight w:val="none"/>
              </w:rPr>
            </w:pPr>
          </w:p>
        </w:tc>
        <w:tc>
          <w:tcPr>
            <w:tcW w:w="372" w:type="pct"/>
            <w:vMerge w:val="continue"/>
            <w:tcBorders>
              <w:tl2br w:val="nil"/>
              <w:tr2bl w:val="nil"/>
            </w:tcBorders>
            <w:vAlign w:val="center"/>
          </w:tcPr>
          <w:p w14:paraId="1CE93429">
            <w:pPr>
              <w:pStyle w:val="41"/>
              <w:rPr>
                <w:color w:val="auto"/>
                <w:highlight w:val="none"/>
              </w:rPr>
            </w:pPr>
          </w:p>
        </w:tc>
        <w:tc>
          <w:tcPr>
            <w:tcW w:w="761" w:type="pct"/>
            <w:vMerge w:val="continue"/>
            <w:tcBorders>
              <w:tl2br w:val="nil"/>
              <w:tr2bl w:val="nil"/>
            </w:tcBorders>
            <w:vAlign w:val="center"/>
          </w:tcPr>
          <w:p w14:paraId="3982C4FD">
            <w:pPr>
              <w:pStyle w:val="41"/>
              <w:rPr>
                <w:color w:val="auto"/>
                <w:highlight w:val="none"/>
              </w:rPr>
            </w:pPr>
          </w:p>
        </w:tc>
        <w:tc>
          <w:tcPr>
            <w:tcW w:w="704" w:type="pct"/>
            <w:vMerge w:val="continue"/>
            <w:tcBorders>
              <w:tl2br w:val="nil"/>
              <w:tr2bl w:val="nil"/>
            </w:tcBorders>
            <w:vAlign w:val="center"/>
          </w:tcPr>
          <w:p w14:paraId="68CBEB4F">
            <w:pPr>
              <w:pStyle w:val="41"/>
              <w:rPr>
                <w:color w:val="auto"/>
                <w:highlight w:val="none"/>
              </w:rPr>
            </w:pPr>
          </w:p>
        </w:tc>
        <w:tc>
          <w:tcPr>
            <w:tcW w:w="1147" w:type="pct"/>
            <w:tcBorders>
              <w:tl2br w:val="nil"/>
              <w:tr2bl w:val="nil"/>
            </w:tcBorders>
            <w:vAlign w:val="center"/>
          </w:tcPr>
          <w:p w14:paraId="720F27E3">
            <w:pPr>
              <w:pStyle w:val="41"/>
              <w:rPr>
                <w:color w:val="auto"/>
                <w:highlight w:val="none"/>
              </w:rPr>
            </w:pPr>
            <w:r>
              <w:rPr>
                <w:color w:val="auto"/>
                <w:highlight w:val="none"/>
              </w:rPr>
              <w:t>指标最高浓度倍数</w:t>
            </w:r>
          </w:p>
        </w:tc>
        <w:tc>
          <w:tcPr>
            <w:tcW w:w="685" w:type="pct"/>
            <w:tcBorders>
              <w:tl2br w:val="nil"/>
              <w:tr2bl w:val="nil"/>
            </w:tcBorders>
            <w:vAlign w:val="center"/>
          </w:tcPr>
          <w:p w14:paraId="4A7A28C6">
            <w:pPr>
              <w:pStyle w:val="41"/>
              <w:rPr>
                <w:color w:val="auto"/>
                <w:highlight w:val="none"/>
              </w:rPr>
            </w:pPr>
            <w:r>
              <w:rPr>
                <w:color w:val="auto"/>
                <w:highlight w:val="none"/>
              </w:rPr>
              <w:t>14</w:t>
            </w:r>
          </w:p>
        </w:tc>
        <w:tc>
          <w:tcPr>
            <w:tcW w:w="525" w:type="pct"/>
            <w:tcBorders>
              <w:tl2br w:val="nil"/>
              <w:tr2bl w:val="nil"/>
            </w:tcBorders>
            <w:vAlign w:val="center"/>
          </w:tcPr>
          <w:p w14:paraId="4B7B10C4">
            <w:pPr>
              <w:pStyle w:val="41"/>
              <w:rPr>
                <w:color w:val="auto"/>
                <w:highlight w:val="none"/>
              </w:rPr>
            </w:pPr>
            <w:r>
              <w:rPr>
                <w:rFonts w:hint="eastAsia"/>
                <w:color w:val="auto"/>
                <w:highlight w:val="none"/>
              </w:rPr>
              <w:t>0</w:t>
            </w:r>
          </w:p>
        </w:tc>
      </w:tr>
      <w:tr w14:paraId="7BEFF8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26" w:type="pct"/>
            <w:tcBorders>
              <w:tl2br w:val="nil"/>
              <w:tr2bl w:val="nil"/>
            </w:tcBorders>
            <w:vAlign w:val="center"/>
          </w:tcPr>
          <w:p w14:paraId="4C98592D">
            <w:pPr>
              <w:pStyle w:val="41"/>
              <w:rPr>
                <w:color w:val="auto"/>
                <w:highlight w:val="none"/>
              </w:rPr>
            </w:pPr>
            <w:r>
              <w:rPr>
                <w:color w:val="auto"/>
                <w:highlight w:val="none"/>
              </w:rPr>
              <w:t>4</w:t>
            </w:r>
          </w:p>
        </w:tc>
        <w:tc>
          <w:tcPr>
            <w:tcW w:w="376" w:type="pct"/>
            <w:vMerge w:val="continue"/>
            <w:tcBorders>
              <w:tl2br w:val="nil"/>
              <w:tr2bl w:val="nil"/>
            </w:tcBorders>
            <w:vAlign w:val="center"/>
          </w:tcPr>
          <w:p w14:paraId="0BA1F090">
            <w:pPr>
              <w:pStyle w:val="41"/>
              <w:rPr>
                <w:color w:val="auto"/>
                <w:highlight w:val="none"/>
              </w:rPr>
            </w:pPr>
          </w:p>
        </w:tc>
        <w:tc>
          <w:tcPr>
            <w:tcW w:w="372" w:type="pct"/>
            <w:vMerge w:val="continue"/>
            <w:tcBorders>
              <w:tl2br w:val="nil"/>
              <w:tr2bl w:val="nil"/>
            </w:tcBorders>
            <w:vAlign w:val="center"/>
          </w:tcPr>
          <w:p w14:paraId="5E96764A">
            <w:pPr>
              <w:pStyle w:val="41"/>
              <w:rPr>
                <w:color w:val="auto"/>
                <w:highlight w:val="none"/>
              </w:rPr>
            </w:pPr>
          </w:p>
        </w:tc>
        <w:tc>
          <w:tcPr>
            <w:tcW w:w="761" w:type="pct"/>
            <w:vMerge w:val="continue"/>
            <w:tcBorders>
              <w:tl2br w:val="nil"/>
              <w:tr2bl w:val="nil"/>
            </w:tcBorders>
            <w:vAlign w:val="center"/>
          </w:tcPr>
          <w:p w14:paraId="4D44D4A4">
            <w:pPr>
              <w:pStyle w:val="41"/>
              <w:rPr>
                <w:color w:val="auto"/>
                <w:highlight w:val="none"/>
              </w:rPr>
            </w:pPr>
          </w:p>
        </w:tc>
        <w:tc>
          <w:tcPr>
            <w:tcW w:w="1851" w:type="pct"/>
            <w:gridSpan w:val="2"/>
            <w:tcBorders>
              <w:tl2br w:val="nil"/>
              <w:tr2bl w:val="nil"/>
            </w:tcBorders>
            <w:vAlign w:val="center"/>
          </w:tcPr>
          <w:p w14:paraId="649E76A9">
            <w:pPr>
              <w:pStyle w:val="41"/>
              <w:rPr>
                <w:color w:val="auto"/>
                <w:highlight w:val="none"/>
              </w:rPr>
            </w:pPr>
            <w:r>
              <w:rPr>
                <w:color w:val="auto"/>
                <w:highlight w:val="none"/>
              </w:rPr>
              <w:t>浓度倍数3倍及以上指标项数</w:t>
            </w:r>
          </w:p>
        </w:tc>
        <w:tc>
          <w:tcPr>
            <w:tcW w:w="685" w:type="pct"/>
            <w:tcBorders>
              <w:tl2br w:val="nil"/>
              <w:tr2bl w:val="nil"/>
            </w:tcBorders>
            <w:vAlign w:val="center"/>
          </w:tcPr>
          <w:p w14:paraId="2E3B1E7E">
            <w:pPr>
              <w:pStyle w:val="41"/>
              <w:rPr>
                <w:color w:val="auto"/>
                <w:highlight w:val="none"/>
              </w:rPr>
            </w:pPr>
            <w:r>
              <w:rPr>
                <w:color w:val="auto"/>
                <w:highlight w:val="none"/>
              </w:rPr>
              <w:t>6</w:t>
            </w:r>
          </w:p>
        </w:tc>
        <w:tc>
          <w:tcPr>
            <w:tcW w:w="525" w:type="pct"/>
            <w:tcBorders>
              <w:tl2br w:val="nil"/>
              <w:tr2bl w:val="nil"/>
            </w:tcBorders>
            <w:vAlign w:val="center"/>
          </w:tcPr>
          <w:p w14:paraId="2D0D8D3C">
            <w:pPr>
              <w:pStyle w:val="41"/>
              <w:rPr>
                <w:color w:val="auto"/>
                <w:highlight w:val="none"/>
              </w:rPr>
            </w:pPr>
            <w:r>
              <w:rPr>
                <w:rFonts w:hint="eastAsia"/>
                <w:color w:val="auto"/>
                <w:highlight w:val="none"/>
              </w:rPr>
              <w:t>0</w:t>
            </w:r>
          </w:p>
        </w:tc>
      </w:tr>
      <w:tr w14:paraId="5C40FA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26" w:type="pct"/>
            <w:tcBorders>
              <w:tl2br w:val="nil"/>
              <w:tr2bl w:val="nil"/>
            </w:tcBorders>
            <w:vAlign w:val="center"/>
          </w:tcPr>
          <w:p w14:paraId="402BD7E2">
            <w:pPr>
              <w:pStyle w:val="41"/>
              <w:rPr>
                <w:color w:val="auto"/>
                <w:highlight w:val="none"/>
              </w:rPr>
            </w:pPr>
            <w:r>
              <w:rPr>
                <w:color w:val="auto"/>
                <w:highlight w:val="none"/>
              </w:rPr>
              <w:t>5</w:t>
            </w:r>
          </w:p>
        </w:tc>
        <w:tc>
          <w:tcPr>
            <w:tcW w:w="376" w:type="pct"/>
            <w:vMerge w:val="continue"/>
            <w:tcBorders>
              <w:tl2br w:val="nil"/>
              <w:tr2bl w:val="nil"/>
            </w:tcBorders>
            <w:vAlign w:val="center"/>
          </w:tcPr>
          <w:p w14:paraId="6D05D496">
            <w:pPr>
              <w:pStyle w:val="41"/>
              <w:rPr>
                <w:color w:val="auto"/>
                <w:highlight w:val="none"/>
              </w:rPr>
            </w:pPr>
          </w:p>
        </w:tc>
        <w:tc>
          <w:tcPr>
            <w:tcW w:w="372" w:type="pct"/>
            <w:tcBorders>
              <w:tl2br w:val="nil"/>
              <w:tr2bl w:val="nil"/>
            </w:tcBorders>
            <w:vAlign w:val="center"/>
          </w:tcPr>
          <w:p w14:paraId="13B97661">
            <w:pPr>
              <w:pStyle w:val="41"/>
              <w:rPr>
                <w:color w:val="auto"/>
                <w:highlight w:val="none"/>
              </w:rPr>
            </w:pPr>
            <w:r>
              <w:rPr>
                <w:color w:val="auto"/>
                <w:highlight w:val="none"/>
              </w:rPr>
              <w:t>规模</w:t>
            </w:r>
          </w:p>
        </w:tc>
        <w:tc>
          <w:tcPr>
            <w:tcW w:w="2612" w:type="pct"/>
            <w:gridSpan w:val="3"/>
            <w:tcBorders>
              <w:tl2br w:val="nil"/>
              <w:tr2bl w:val="nil"/>
            </w:tcBorders>
            <w:vAlign w:val="center"/>
          </w:tcPr>
          <w:p w14:paraId="4CFF32B1">
            <w:pPr>
              <w:pStyle w:val="41"/>
              <w:rPr>
                <w:color w:val="auto"/>
                <w:highlight w:val="none"/>
              </w:rPr>
            </w:pPr>
            <w:r>
              <w:rPr>
                <w:color w:val="auto"/>
                <w:highlight w:val="none"/>
              </w:rPr>
              <w:t>现状库容</w:t>
            </w:r>
          </w:p>
        </w:tc>
        <w:tc>
          <w:tcPr>
            <w:tcW w:w="685" w:type="pct"/>
            <w:tcBorders>
              <w:tl2br w:val="nil"/>
              <w:tr2bl w:val="nil"/>
            </w:tcBorders>
            <w:vAlign w:val="center"/>
          </w:tcPr>
          <w:p w14:paraId="754886C4">
            <w:pPr>
              <w:pStyle w:val="41"/>
              <w:rPr>
                <w:color w:val="auto"/>
                <w:highlight w:val="none"/>
              </w:rPr>
            </w:pPr>
            <w:r>
              <w:rPr>
                <w:color w:val="auto"/>
                <w:highlight w:val="none"/>
              </w:rPr>
              <w:t>24</w:t>
            </w:r>
          </w:p>
        </w:tc>
        <w:tc>
          <w:tcPr>
            <w:tcW w:w="525" w:type="pct"/>
            <w:tcBorders>
              <w:tl2br w:val="nil"/>
              <w:tr2bl w:val="nil"/>
            </w:tcBorders>
            <w:vAlign w:val="center"/>
          </w:tcPr>
          <w:p w14:paraId="7A66FE91">
            <w:pPr>
              <w:pStyle w:val="41"/>
              <w:rPr>
                <w:color w:val="auto"/>
                <w:highlight w:val="none"/>
              </w:rPr>
            </w:pPr>
            <w:r>
              <w:rPr>
                <w:rFonts w:hint="eastAsia"/>
                <w:color w:val="auto"/>
                <w:highlight w:val="none"/>
              </w:rPr>
              <w:t>24</w:t>
            </w:r>
          </w:p>
        </w:tc>
      </w:tr>
      <w:tr w14:paraId="42E863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26" w:type="pct"/>
            <w:tcBorders>
              <w:tl2br w:val="nil"/>
              <w:tr2bl w:val="nil"/>
            </w:tcBorders>
            <w:vAlign w:val="center"/>
          </w:tcPr>
          <w:p w14:paraId="43C8D520">
            <w:pPr>
              <w:pStyle w:val="41"/>
              <w:rPr>
                <w:color w:val="auto"/>
                <w:highlight w:val="none"/>
              </w:rPr>
            </w:pPr>
            <w:r>
              <w:rPr>
                <w:rFonts w:hint="eastAsia"/>
                <w:color w:val="auto"/>
                <w:highlight w:val="none"/>
              </w:rPr>
              <w:t>6</w:t>
            </w:r>
          </w:p>
        </w:tc>
        <w:tc>
          <w:tcPr>
            <w:tcW w:w="749" w:type="pct"/>
            <w:gridSpan w:val="2"/>
            <w:tcBorders>
              <w:tl2br w:val="nil"/>
              <w:tr2bl w:val="nil"/>
            </w:tcBorders>
            <w:vAlign w:val="center"/>
          </w:tcPr>
          <w:p w14:paraId="0AA50040">
            <w:pPr>
              <w:pStyle w:val="41"/>
              <w:rPr>
                <w:color w:val="auto"/>
                <w:highlight w:val="none"/>
              </w:rPr>
            </w:pPr>
            <w:r>
              <w:rPr>
                <w:rFonts w:hint="eastAsia"/>
                <w:color w:val="auto"/>
                <w:highlight w:val="none"/>
              </w:rPr>
              <w:t>合计</w:t>
            </w:r>
          </w:p>
        </w:tc>
        <w:tc>
          <w:tcPr>
            <w:tcW w:w="2612" w:type="pct"/>
            <w:gridSpan w:val="3"/>
            <w:tcBorders>
              <w:tl2br w:val="nil"/>
              <w:tr2bl w:val="nil"/>
            </w:tcBorders>
            <w:vAlign w:val="center"/>
          </w:tcPr>
          <w:p w14:paraId="77073FA2">
            <w:pPr>
              <w:pStyle w:val="41"/>
              <w:rPr>
                <w:color w:val="auto"/>
                <w:highlight w:val="none"/>
              </w:rPr>
            </w:pPr>
          </w:p>
        </w:tc>
        <w:tc>
          <w:tcPr>
            <w:tcW w:w="685" w:type="pct"/>
            <w:tcBorders>
              <w:tl2br w:val="nil"/>
              <w:tr2bl w:val="nil"/>
            </w:tcBorders>
            <w:vAlign w:val="center"/>
          </w:tcPr>
          <w:p w14:paraId="6C212661">
            <w:pPr>
              <w:pStyle w:val="41"/>
              <w:rPr>
                <w:color w:val="auto"/>
                <w:highlight w:val="none"/>
              </w:rPr>
            </w:pPr>
          </w:p>
        </w:tc>
        <w:tc>
          <w:tcPr>
            <w:tcW w:w="525" w:type="pct"/>
            <w:tcBorders>
              <w:tl2br w:val="nil"/>
              <w:tr2bl w:val="nil"/>
            </w:tcBorders>
            <w:vAlign w:val="center"/>
          </w:tcPr>
          <w:p w14:paraId="4ECA533E">
            <w:pPr>
              <w:pStyle w:val="41"/>
              <w:rPr>
                <w:color w:val="auto"/>
                <w:highlight w:val="none"/>
              </w:rPr>
            </w:pPr>
            <w:r>
              <w:rPr>
                <w:rFonts w:hint="eastAsia"/>
                <w:color w:val="auto"/>
                <w:highlight w:val="none"/>
              </w:rPr>
              <w:t>48</w:t>
            </w:r>
          </w:p>
        </w:tc>
      </w:tr>
    </w:tbl>
    <w:p w14:paraId="682C5797">
      <w:pPr>
        <w:pStyle w:val="3"/>
        <w:ind w:firstLine="480"/>
        <w:rPr>
          <w:color w:val="auto"/>
          <w:highlight w:val="none"/>
        </w:rPr>
      </w:pPr>
      <w:r>
        <w:rPr>
          <w:color w:val="auto"/>
          <w:highlight w:val="none"/>
        </w:rPr>
        <w:t>根据《尾矿库环境风险评估技术导则（试行）》（HJ740-2015）附录B中各指标评分方法，本项目主要矿种为钛矿和铁矿，尾矿属于Ⅰ类工业固体废弃物，评分取24；特征污染物指标pH介于6~9，评分取0；有指标浓度倍数为10倍及以下，评分取0；浓度倍数3倍及以下，评分取0；新建尾矿库总库容为</w:t>
      </w:r>
      <w:r>
        <w:rPr>
          <w:rFonts w:hint="eastAsia"/>
          <w:color w:val="auto"/>
          <w:highlight w:val="none"/>
        </w:rPr>
        <w:t>4223.61万</w:t>
      </w:r>
      <w:r>
        <w:rPr>
          <w:color w:val="auto"/>
          <w:highlight w:val="none"/>
        </w:rPr>
        <w:t>m</w:t>
      </w:r>
      <w:r>
        <w:rPr>
          <w:color w:val="auto"/>
          <w:highlight w:val="none"/>
          <w:vertAlign w:val="superscript"/>
        </w:rPr>
        <w:t>3</w:t>
      </w:r>
      <w:r>
        <w:rPr>
          <w:color w:val="auto"/>
          <w:highlight w:val="none"/>
        </w:rPr>
        <w:t>，有效库容约为</w:t>
      </w:r>
      <w:r>
        <w:rPr>
          <w:rFonts w:hint="eastAsia"/>
          <w:color w:val="auto"/>
          <w:highlight w:val="none"/>
        </w:rPr>
        <w:t>3801.25万</w:t>
      </w:r>
      <w:r>
        <w:rPr>
          <w:color w:val="auto"/>
          <w:highlight w:val="none"/>
        </w:rPr>
        <w:t>m</w:t>
      </w:r>
      <w:r>
        <w:rPr>
          <w:color w:val="auto"/>
          <w:highlight w:val="none"/>
          <w:vertAlign w:val="superscript"/>
        </w:rPr>
        <w:t>3</w:t>
      </w:r>
      <w:r>
        <w:rPr>
          <w:color w:val="auto"/>
          <w:highlight w:val="none"/>
        </w:rPr>
        <w:t>，评分取</w:t>
      </w:r>
      <w:r>
        <w:rPr>
          <w:rFonts w:hint="eastAsia"/>
          <w:color w:val="auto"/>
          <w:highlight w:val="none"/>
        </w:rPr>
        <w:t>24</w:t>
      </w:r>
      <w:r>
        <w:rPr>
          <w:color w:val="auto"/>
          <w:highlight w:val="none"/>
        </w:rPr>
        <w:t>，由此得出总得分为</w:t>
      </w:r>
      <w:r>
        <w:rPr>
          <w:rFonts w:hint="eastAsia"/>
          <w:color w:val="auto"/>
          <w:highlight w:val="none"/>
        </w:rPr>
        <w:t>48</w:t>
      </w:r>
      <w:r>
        <w:rPr>
          <w:color w:val="auto"/>
          <w:highlight w:val="none"/>
        </w:rPr>
        <w:t>。</w:t>
      </w:r>
    </w:p>
    <w:p w14:paraId="08291759">
      <w:pPr>
        <w:pStyle w:val="40"/>
        <w:rPr>
          <w:color w:val="auto"/>
          <w:highlight w:val="none"/>
        </w:rPr>
      </w:pPr>
      <w:r>
        <w:rPr>
          <w:color w:val="auto"/>
          <w:highlight w:val="none"/>
          <w:lang w:val="zh-CN"/>
        </w:rPr>
        <w:t>表</w:t>
      </w:r>
      <w:r>
        <w:rPr>
          <w:rFonts w:hint="eastAsia"/>
          <w:color w:val="auto"/>
          <w:highlight w:val="none"/>
        </w:rPr>
        <w:t>6.4-5</w:t>
      </w:r>
      <w:r>
        <w:rPr>
          <w:rFonts w:hint="eastAsia"/>
          <w:color w:val="auto"/>
          <w:highlight w:val="none"/>
          <w:lang w:val="zh-CN"/>
        </w:rPr>
        <w:t xml:space="preserve">         </w:t>
      </w:r>
      <w:r>
        <w:rPr>
          <w:color w:val="auto"/>
          <w:highlight w:val="none"/>
          <w:lang w:val="zh-CN"/>
        </w:rPr>
        <w:t>尾矿库环境危害性（H）等别划分表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258"/>
        <w:gridCol w:w="4258"/>
      </w:tblGrid>
      <w:tr w14:paraId="1A329C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61" w:type="dxa"/>
            <w:tcBorders>
              <w:tl2br w:val="nil"/>
              <w:tr2bl w:val="nil"/>
            </w:tcBorders>
            <w:vAlign w:val="center"/>
          </w:tcPr>
          <w:p w14:paraId="2B715C7E">
            <w:pPr>
              <w:pStyle w:val="41"/>
              <w:rPr>
                <w:color w:val="auto"/>
                <w:highlight w:val="none"/>
              </w:rPr>
            </w:pPr>
            <w:r>
              <w:rPr>
                <w:color w:val="auto"/>
                <w:highlight w:val="none"/>
              </w:rPr>
              <w:t>尾矿库环境危害性得分（DH）</w:t>
            </w:r>
          </w:p>
        </w:tc>
        <w:tc>
          <w:tcPr>
            <w:tcW w:w="4261" w:type="dxa"/>
            <w:tcBorders>
              <w:tl2br w:val="nil"/>
              <w:tr2bl w:val="nil"/>
            </w:tcBorders>
            <w:vAlign w:val="center"/>
          </w:tcPr>
          <w:p w14:paraId="36F6193A">
            <w:pPr>
              <w:pStyle w:val="41"/>
              <w:rPr>
                <w:color w:val="auto"/>
                <w:highlight w:val="none"/>
              </w:rPr>
            </w:pPr>
            <w:r>
              <w:rPr>
                <w:color w:val="auto"/>
                <w:highlight w:val="none"/>
              </w:rPr>
              <w:t>尾矿库环境危害性等别代码</w:t>
            </w:r>
          </w:p>
        </w:tc>
      </w:tr>
      <w:tr w14:paraId="0AB94A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Borders>
              <w:tl2br w:val="nil"/>
              <w:tr2bl w:val="nil"/>
            </w:tcBorders>
            <w:vAlign w:val="center"/>
          </w:tcPr>
          <w:p w14:paraId="22AC2523">
            <w:pPr>
              <w:pStyle w:val="41"/>
              <w:rPr>
                <w:color w:val="auto"/>
                <w:highlight w:val="none"/>
              </w:rPr>
            </w:pPr>
            <w:r>
              <w:rPr>
                <w:color w:val="auto"/>
                <w:highlight w:val="none"/>
              </w:rPr>
              <w:t>DH&gt;60</w:t>
            </w:r>
          </w:p>
        </w:tc>
        <w:tc>
          <w:tcPr>
            <w:tcW w:w="4261" w:type="dxa"/>
            <w:tcBorders>
              <w:tl2br w:val="nil"/>
              <w:tr2bl w:val="nil"/>
            </w:tcBorders>
            <w:vAlign w:val="center"/>
          </w:tcPr>
          <w:p w14:paraId="411982BC">
            <w:pPr>
              <w:pStyle w:val="41"/>
              <w:rPr>
                <w:color w:val="auto"/>
                <w:highlight w:val="none"/>
              </w:rPr>
            </w:pPr>
            <w:r>
              <w:rPr>
                <w:color w:val="auto"/>
                <w:highlight w:val="none"/>
              </w:rPr>
              <w:t>H1</w:t>
            </w:r>
          </w:p>
        </w:tc>
      </w:tr>
      <w:tr w14:paraId="7A192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Borders>
              <w:tl2br w:val="nil"/>
              <w:tr2bl w:val="nil"/>
            </w:tcBorders>
            <w:vAlign w:val="center"/>
          </w:tcPr>
          <w:p w14:paraId="0159BF52">
            <w:pPr>
              <w:pStyle w:val="41"/>
              <w:rPr>
                <w:color w:val="auto"/>
                <w:highlight w:val="none"/>
              </w:rPr>
            </w:pPr>
            <w:r>
              <w:rPr>
                <w:color w:val="auto"/>
                <w:highlight w:val="none"/>
              </w:rPr>
              <w:t>30&lt;DH≦60</w:t>
            </w:r>
          </w:p>
        </w:tc>
        <w:tc>
          <w:tcPr>
            <w:tcW w:w="4261" w:type="dxa"/>
            <w:tcBorders>
              <w:tl2br w:val="nil"/>
              <w:tr2bl w:val="nil"/>
            </w:tcBorders>
            <w:vAlign w:val="center"/>
          </w:tcPr>
          <w:p w14:paraId="6B0D58EB">
            <w:pPr>
              <w:pStyle w:val="41"/>
              <w:rPr>
                <w:color w:val="auto"/>
                <w:highlight w:val="none"/>
              </w:rPr>
            </w:pPr>
            <w:r>
              <w:rPr>
                <w:color w:val="auto"/>
                <w:highlight w:val="none"/>
              </w:rPr>
              <w:t>H2</w:t>
            </w:r>
          </w:p>
        </w:tc>
      </w:tr>
      <w:tr w14:paraId="3F4763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Borders>
              <w:tl2br w:val="nil"/>
              <w:tr2bl w:val="nil"/>
            </w:tcBorders>
            <w:vAlign w:val="center"/>
          </w:tcPr>
          <w:p w14:paraId="332ED885">
            <w:pPr>
              <w:pStyle w:val="41"/>
              <w:rPr>
                <w:color w:val="auto"/>
                <w:highlight w:val="none"/>
              </w:rPr>
            </w:pPr>
            <w:r>
              <w:rPr>
                <w:color w:val="auto"/>
                <w:highlight w:val="none"/>
              </w:rPr>
              <w:t>DH≦30</w:t>
            </w:r>
          </w:p>
        </w:tc>
        <w:tc>
          <w:tcPr>
            <w:tcW w:w="4261" w:type="dxa"/>
            <w:tcBorders>
              <w:tl2br w:val="nil"/>
              <w:tr2bl w:val="nil"/>
            </w:tcBorders>
            <w:vAlign w:val="center"/>
          </w:tcPr>
          <w:p w14:paraId="27353538">
            <w:pPr>
              <w:pStyle w:val="41"/>
              <w:rPr>
                <w:color w:val="auto"/>
                <w:highlight w:val="none"/>
              </w:rPr>
            </w:pPr>
            <w:r>
              <w:rPr>
                <w:color w:val="auto"/>
                <w:highlight w:val="none"/>
              </w:rPr>
              <w:t>H3</w:t>
            </w:r>
          </w:p>
        </w:tc>
      </w:tr>
    </w:tbl>
    <w:p w14:paraId="30B1103F">
      <w:pPr>
        <w:pStyle w:val="3"/>
        <w:ind w:firstLine="480"/>
        <w:rPr>
          <w:color w:val="auto"/>
          <w:highlight w:val="none"/>
        </w:rPr>
      </w:pPr>
      <w:r>
        <w:rPr>
          <w:rFonts w:hint="eastAsia"/>
          <w:color w:val="auto"/>
          <w:highlight w:val="none"/>
        </w:rPr>
        <w:t>由上表可知，项目尾矿库的环境危害性为H2。</w:t>
      </w:r>
    </w:p>
    <w:p w14:paraId="13C8FEC8">
      <w:pPr>
        <w:pStyle w:val="3"/>
        <w:ind w:firstLine="480"/>
        <w:rPr>
          <w:color w:val="auto"/>
          <w:highlight w:val="none"/>
        </w:rPr>
      </w:pPr>
      <w:r>
        <w:rPr>
          <w:rFonts w:hint="eastAsia"/>
          <w:color w:val="auto"/>
          <w:highlight w:val="none"/>
        </w:rPr>
        <w:t>②周边环境敏感性（S）</w:t>
      </w:r>
    </w:p>
    <w:p w14:paraId="20E2F37C">
      <w:pPr>
        <w:pStyle w:val="3"/>
        <w:ind w:firstLine="480"/>
        <w:rPr>
          <w:color w:val="auto"/>
          <w:highlight w:val="none"/>
        </w:rPr>
      </w:pPr>
      <w:r>
        <w:rPr>
          <w:rFonts w:hint="eastAsia"/>
          <w:color w:val="auto"/>
          <w:highlight w:val="none"/>
        </w:rPr>
        <w:t>采用评分方法，对尾矿库下游涉及的跨界情况、周边环境风险受体情况、周边环境功能类别情况三方面指标进行评分与累加求和，评估尾矿库周边环境敏感性（S），尾矿库周边环境敏感性等别划分体系见表6.4-6。</w:t>
      </w:r>
    </w:p>
    <w:p w14:paraId="3DA391B2">
      <w:pPr>
        <w:pStyle w:val="40"/>
        <w:rPr>
          <w:color w:val="auto"/>
          <w:highlight w:val="none"/>
        </w:rPr>
      </w:pPr>
      <w:r>
        <w:rPr>
          <w:rFonts w:hint="eastAsia"/>
          <w:color w:val="auto"/>
          <w:highlight w:val="none"/>
          <w:lang w:val="zh-CN"/>
        </w:rPr>
        <w:t>表</w:t>
      </w:r>
      <w:r>
        <w:rPr>
          <w:rFonts w:hint="eastAsia"/>
          <w:color w:val="auto"/>
          <w:highlight w:val="none"/>
        </w:rPr>
        <w:t>6.4-6</w:t>
      </w:r>
      <w:r>
        <w:rPr>
          <w:rFonts w:hint="eastAsia"/>
          <w:color w:val="auto"/>
          <w:highlight w:val="none"/>
          <w:lang w:val="zh-CN"/>
        </w:rPr>
        <w:t xml:space="preserve">       尾矿库周边环境敏感性（S）等别划分指标体系</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666"/>
        <w:gridCol w:w="1194"/>
        <w:gridCol w:w="1034"/>
        <w:gridCol w:w="971"/>
        <w:gridCol w:w="1179"/>
        <w:gridCol w:w="1393"/>
        <w:gridCol w:w="1284"/>
      </w:tblGrid>
      <w:tr w14:paraId="51D7D0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65" w:type="pct"/>
            <w:tcBorders>
              <w:tl2br w:val="nil"/>
              <w:tr2bl w:val="nil"/>
            </w:tcBorders>
            <w:vAlign w:val="center"/>
          </w:tcPr>
          <w:p w14:paraId="4719359A">
            <w:pPr>
              <w:pStyle w:val="41"/>
              <w:rPr>
                <w:color w:val="auto"/>
                <w:highlight w:val="none"/>
              </w:rPr>
            </w:pPr>
            <w:r>
              <w:rPr>
                <w:color w:val="auto"/>
                <w:highlight w:val="none"/>
              </w:rPr>
              <w:t>序号</w:t>
            </w:r>
          </w:p>
        </w:tc>
        <w:tc>
          <w:tcPr>
            <w:tcW w:w="2961" w:type="pct"/>
            <w:gridSpan w:val="5"/>
            <w:tcBorders>
              <w:tl2br w:val="nil"/>
              <w:tr2bl w:val="nil"/>
            </w:tcBorders>
            <w:vAlign w:val="center"/>
          </w:tcPr>
          <w:p w14:paraId="2D2A29EA">
            <w:pPr>
              <w:pStyle w:val="41"/>
              <w:rPr>
                <w:color w:val="auto"/>
                <w:highlight w:val="none"/>
              </w:rPr>
            </w:pPr>
            <w:r>
              <w:rPr>
                <w:color w:val="auto"/>
                <w:highlight w:val="none"/>
              </w:rPr>
              <w:t>指标项目</w:t>
            </w:r>
          </w:p>
        </w:tc>
        <w:tc>
          <w:tcPr>
            <w:tcW w:w="818" w:type="pct"/>
            <w:tcBorders>
              <w:tl2br w:val="nil"/>
              <w:tr2bl w:val="nil"/>
            </w:tcBorders>
            <w:vAlign w:val="center"/>
          </w:tcPr>
          <w:p w14:paraId="4596CF19">
            <w:pPr>
              <w:pStyle w:val="41"/>
              <w:rPr>
                <w:color w:val="auto"/>
                <w:highlight w:val="none"/>
              </w:rPr>
            </w:pPr>
            <w:r>
              <w:rPr>
                <w:color w:val="auto"/>
                <w:highlight w:val="none"/>
              </w:rPr>
              <w:t>指标分值</w:t>
            </w:r>
          </w:p>
        </w:tc>
        <w:tc>
          <w:tcPr>
            <w:tcW w:w="754" w:type="pct"/>
            <w:tcBorders>
              <w:tl2br w:val="nil"/>
              <w:tr2bl w:val="nil"/>
            </w:tcBorders>
            <w:vAlign w:val="center"/>
          </w:tcPr>
          <w:p w14:paraId="4593CACC">
            <w:pPr>
              <w:pStyle w:val="41"/>
              <w:rPr>
                <w:color w:val="auto"/>
                <w:highlight w:val="none"/>
              </w:rPr>
            </w:pPr>
            <w:r>
              <w:rPr>
                <w:color w:val="auto"/>
                <w:highlight w:val="none"/>
              </w:rPr>
              <w:t>本项目</w:t>
            </w:r>
          </w:p>
        </w:tc>
      </w:tr>
      <w:tr w14:paraId="6FA7AC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65" w:type="pct"/>
            <w:tcBorders>
              <w:tl2br w:val="nil"/>
              <w:tr2bl w:val="nil"/>
            </w:tcBorders>
            <w:vAlign w:val="center"/>
          </w:tcPr>
          <w:p w14:paraId="5F60B0CF">
            <w:pPr>
              <w:pStyle w:val="41"/>
              <w:rPr>
                <w:color w:val="auto"/>
                <w:highlight w:val="none"/>
              </w:rPr>
            </w:pPr>
            <w:r>
              <w:rPr>
                <w:color w:val="auto"/>
                <w:highlight w:val="none"/>
              </w:rPr>
              <w:t>1</w:t>
            </w:r>
          </w:p>
        </w:tc>
        <w:tc>
          <w:tcPr>
            <w:tcW w:w="391" w:type="pct"/>
            <w:vMerge w:val="restart"/>
            <w:tcBorders>
              <w:tl2br w:val="nil"/>
              <w:tr2bl w:val="nil"/>
            </w:tcBorders>
            <w:vAlign w:val="center"/>
          </w:tcPr>
          <w:p w14:paraId="1B6BE42C">
            <w:pPr>
              <w:pStyle w:val="41"/>
              <w:rPr>
                <w:color w:val="auto"/>
                <w:highlight w:val="none"/>
              </w:rPr>
            </w:pPr>
            <w:r>
              <w:rPr>
                <w:color w:val="auto"/>
                <w:highlight w:val="none"/>
              </w:rPr>
              <w:t>尾矿库周边环境敏感性</w:t>
            </w:r>
          </w:p>
        </w:tc>
        <w:tc>
          <w:tcPr>
            <w:tcW w:w="701" w:type="pct"/>
            <w:vMerge w:val="restart"/>
            <w:tcBorders>
              <w:tl2br w:val="nil"/>
              <w:tr2bl w:val="nil"/>
            </w:tcBorders>
            <w:vAlign w:val="center"/>
          </w:tcPr>
          <w:p w14:paraId="151D1FD6">
            <w:pPr>
              <w:pStyle w:val="41"/>
              <w:rPr>
                <w:color w:val="auto"/>
                <w:highlight w:val="none"/>
              </w:rPr>
            </w:pPr>
            <w:r>
              <w:rPr>
                <w:color w:val="auto"/>
                <w:highlight w:val="none"/>
              </w:rPr>
              <w:t>下游涉及的跨界情况</w:t>
            </w:r>
          </w:p>
        </w:tc>
        <w:tc>
          <w:tcPr>
            <w:tcW w:w="1868" w:type="pct"/>
            <w:gridSpan w:val="3"/>
            <w:tcBorders>
              <w:tl2br w:val="nil"/>
              <w:tr2bl w:val="nil"/>
            </w:tcBorders>
            <w:vAlign w:val="center"/>
          </w:tcPr>
          <w:p w14:paraId="195B22E5">
            <w:pPr>
              <w:pStyle w:val="41"/>
              <w:rPr>
                <w:color w:val="auto"/>
                <w:highlight w:val="none"/>
              </w:rPr>
            </w:pPr>
            <w:r>
              <w:rPr>
                <w:color w:val="auto"/>
                <w:highlight w:val="none"/>
              </w:rPr>
              <w:t>涉及跨界类型</w:t>
            </w:r>
          </w:p>
        </w:tc>
        <w:tc>
          <w:tcPr>
            <w:tcW w:w="818" w:type="pct"/>
            <w:tcBorders>
              <w:tl2br w:val="nil"/>
              <w:tr2bl w:val="nil"/>
            </w:tcBorders>
            <w:vAlign w:val="center"/>
          </w:tcPr>
          <w:p w14:paraId="58566FF9">
            <w:pPr>
              <w:pStyle w:val="41"/>
              <w:rPr>
                <w:color w:val="auto"/>
                <w:highlight w:val="none"/>
              </w:rPr>
            </w:pPr>
            <w:r>
              <w:rPr>
                <w:color w:val="auto"/>
                <w:highlight w:val="none"/>
              </w:rPr>
              <w:t>18</w:t>
            </w:r>
          </w:p>
        </w:tc>
        <w:tc>
          <w:tcPr>
            <w:tcW w:w="754" w:type="pct"/>
            <w:tcBorders>
              <w:tl2br w:val="nil"/>
              <w:tr2bl w:val="nil"/>
            </w:tcBorders>
            <w:vAlign w:val="center"/>
          </w:tcPr>
          <w:p w14:paraId="071299EC">
            <w:pPr>
              <w:pStyle w:val="41"/>
              <w:rPr>
                <w:color w:val="auto"/>
                <w:highlight w:val="none"/>
              </w:rPr>
            </w:pPr>
            <w:r>
              <w:rPr>
                <w:color w:val="auto"/>
                <w:highlight w:val="none"/>
              </w:rPr>
              <w:t>0</w:t>
            </w:r>
          </w:p>
        </w:tc>
      </w:tr>
      <w:tr w14:paraId="60D4DA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65" w:type="pct"/>
            <w:tcBorders>
              <w:tl2br w:val="nil"/>
              <w:tr2bl w:val="nil"/>
            </w:tcBorders>
            <w:vAlign w:val="center"/>
          </w:tcPr>
          <w:p w14:paraId="0EA00BC8">
            <w:pPr>
              <w:pStyle w:val="41"/>
              <w:rPr>
                <w:color w:val="auto"/>
                <w:highlight w:val="none"/>
              </w:rPr>
            </w:pPr>
            <w:r>
              <w:rPr>
                <w:color w:val="auto"/>
                <w:highlight w:val="none"/>
              </w:rPr>
              <w:t>2</w:t>
            </w:r>
          </w:p>
        </w:tc>
        <w:tc>
          <w:tcPr>
            <w:tcW w:w="391" w:type="pct"/>
            <w:vMerge w:val="continue"/>
            <w:tcBorders>
              <w:tl2br w:val="nil"/>
              <w:tr2bl w:val="nil"/>
            </w:tcBorders>
            <w:vAlign w:val="center"/>
          </w:tcPr>
          <w:p w14:paraId="2CF0BB9E">
            <w:pPr>
              <w:pStyle w:val="41"/>
              <w:rPr>
                <w:color w:val="auto"/>
                <w:highlight w:val="none"/>
              </w:rPr>
            </w:pPr>
          </w:p>
        </w:tc>
        <w:tc>
          <w:tcPr>
            <w:tcW w:w="701" w:type="pct"/>
            <w:vMerge w:val="continue"/>
            <w:tcBorders>
              <w:tl2br w:val="nil"/>
              <w:tr2bl w:val="nil"/>
            </w:tcBorders>
            <w:vAlign w:val="center"/>
          </w:tcPr>
          <w:p w14:paraId="2A5A6C93">
            <w:pPr>
              <w:pStyle w:val="41"/>
              <w:rPr>
                <w:color w:val="auto"/>
                <w:highlight w:val="none"/>
              </w:rPr>
            </w:pPr>
          </w:p>
        </w:tc>
        <w:tc>
          <w:tcPr>
            <w:tcW w:w="1868" w:type="pct"/>
            <w:gridSpan w:val="3"/>
            <w:tcBorders>
              <w:tl2br w:val="nil"/>
              <w:tr2bl w:val="nil"/>
            </w:tcBorders>
            <w:vAlign w:val="center"/>
          </w:tcPr>
          <w:p w14:paraId="6A040483">
            <w:pPr>
              <w:pStyle w:val="41"/>
              <w:rPr>
                <w:color w:val="auto"/>
                <w:highlight w:val="none"/>
              </w:rPr>
            </w:pPr>
            <w:r>
              <w:rPr>
                <w:color w:val="auto"/>
                <w:highlight w:val="none"/>
              </w:rPr>
              <w:t>涉及跨界距离</w:t>
            </w:r>
          </w:p>
        </w:tc>
        <w:tc>
          <w:tcPr>
            <w:tcW w:w="818" w:type="pct"/>
            <w:tcBorders>
              <w:tl2br w:val="nil"/>
              <w:tr2bl w:val="nil"/>
            </w:tcBorders>
            <w:vAlign w:val="center"/>
          </w:tcPr>
          <w:p w14:paraId="372E0FE0">
            <w:pPr>
              <w:pStyle w:val="41"/>
              <w:rPr>
                <w:color w:val="auto"/>
                <w:highlight w:val="none"/>
              </w:rPr>
            </w:pPr>
            <w:r>
              <w:rPr>
                <w:color w:val="auto"/>
                <w:highlight w:val="none"/>
              </w:rPr>
              <w:t>6</w:t>
            </w:r>
          </w:p>
        </w:tc>
        <w:tc>
          <w:tcPr>
            <w:tcW w:w="754" w:type="pct"/>
            <w:tcBorders>
              <w:tl2br w:val="nil"/>
              <w:tr2bl w:val="nil"/>
            </w:tcBorders>
            <w:vAlign w:val="center"/>
          </w:tcPr>
          <w:p w14:paraId="7D23C8A2">
            <w:pPr>
              <w:pStyle w:val="41"/>
              <w:rPr>
                <w:color w:val="auto"/>
                <w:highlight w:val="none"/>
              </w:rPr>
            </w:pPr>
            <w:r>
              <w:rPr>
                <w:color w:val="auto"/>
                <w:highlight w:val="none"/>
              </w:rPr>
              <w:t>0</w:t>
            </w:r>
          </w:p>
        </w:tc>
      </w:tr>
      <w:tr w14:paraId="391E5C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65" w:type="pct"/>
            <w:tcBorders>
              <w:tl2br w:val="nil"/>
              <w:tr2bl w:val="nil"/>
            </w:tcBorders>
            <w:vAlign w:val="center"/>
          </w:tcPr>
          <w:p w14:paraId="60DE80B2">
            <w:pPr>
              <w:pStyle w:val="41"/>
              <w:rPr>
                <w:color w:val="auto"/>
                <w:highlight w:val="none"/>
              </w:rPr>
            </w:pPr>
            <w:r>
              <w:rPr>
                <w:color w:val="auto"/>
                <w:highlight w:val="none"/>
              </w:rPr>
              <w:t>3</w:t>
            </w:r>
          </w:p>
        </w:tc>
        <w:tc>
          <w:tcPr>
            <w:tcW w:w="391" w:type="pct"/>
            <w:vMerge w:val="continue"/>
            <w:tcBorders>
              <w:tl2br w:val="nil"/>
              <w:tr2bl w:val="nil"/>
            </w:tcBorders>
            <w:vAlign w:val="center"/>
          </w:tcPr>
          <w:p w14:paraId="52FC1005">
            <w:pPr>
              <w:pStyle w:val="41"/>
              <w:rPr>
                <w:color w:val="auto"/>
                <w:highlight w:val="none"/>
              </w:rPr>
            </w:pPr>
          </w:p>
        </w:tc>
        <w:tc>
          <w:tcPr>
            <w:tcW w:w="2570" w:type="pct"/>
            <w:gridSpan w:val="4"/>
            <w:tcBorders>
              <w:tl2br w:val="nil"/>
              <w:tr2bl w:val="nil"/>
            </w:tcBorders>
            <w:vAlign w:val="center"/>
          </w:tcPr>
          <w:p w14:paraId="2AFF641D">
            <w:pPr>
              <w:pStyle w:val="41"/>
              <w:rPr>
                <w:color w:val="auto"/>
                <w:highlight w:val="none"/>
              </w:rPr>
            </w:pPr>
            <w:r>
              <w:rPr>
                <w:color w:val="auto"/>
                <w:highlight w:val="none"/>
              </w:rPr>
              <w:t>周边环境风险受体情况</w:t>
            </w:r>
          </w:p>
        </w:tc>
        <w:tc>
          <w:tcPr>
            <w:tcW w:w="818" w:type="pct"/>
            <w:tcBorders>
              <w:tl2br w:val="nil"/>
              <w:tr2bl w:val="nil"/>
            </w:tcBorders>
            <w:vAlign w:val="center"/>
          </w:tcPr>
          <w:p w14:paraId="22B06D46">
            <w:pPr>
              <w:pStyle w:val="41"/>
              <w:rPr>
                <w:color w:val="auto"/>
                <w:highlight w:val="none"/>
              </w:rPr>
            </w:pPr>
            <w:r>
              <w:rPr>
                <w:color w:val="auto"/>
                <w:highlight w:val="none"/>
              </w:rPr>
              <w:t>54</w:t>
            </w:r>
          </w:p>
        </w:tc>
        <w:tc>
          <w:tcPr>
            <w:tcW w:w="754" w:type="pct"/>
            <w:tcBorders>
              <w:tl2br w:val="nil"/>
              <w:tr2bl w:val="nil"/>
            </w:tcBorders>
            <w:vAlign w:val="center"/>
          </w:tcPr>
          <w:p w14:paraId="655CEDDE">
            <w:pPr>
              <w:pStyle w:val="41"/>
              <w:rPr>
                <w:rFonts w:hint="eastAsia" w:eastAsia="华文中宋"/>
                <w:color w:val="auto"/>
                <w:highlight w:val="none"/>
                <w:lang w:eastAsia="zh-CN"/>
              </w:rPr>
            </w:pPr>
            <w:r>
              <w:rPr>
                <w:rFonts w:hint="eastAsia"/>
                <w:color w:val="auto"/>
                <w:highlight w:val="none"/>
                <w:lang w:val="en-US" w:eastAsia="zh-CN"/>
              </w:rPr>
              <w:t>0</w:t>
            </w:r>
          </w:p>
        </w:tc>
      </w:tr>
      <w:tr w14:paraId="40D2AE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65" w:type="pct"/>
            <w:tcBorders>
              <w:tl2br w:val="nil"/>
              <w:tr2bl w:val="nil"/>
            </w:tcBorders>
            <w:vAlign w:val="center"/>
          </w:tcPr>
          <w:p w14:paraId="5CDDE78C">
            <w:pPr>
              <w:pStyle w:val="41"/>
              <w:rPr>
                <w:color w:val="auto"/>
                <w:highlight w:val="none"/>
              </w:rPr>
            </w:pPr>
            <w:r>
              <w:rPr>
                <w:color w:val="auto"/>
                <w:highlight w:val="none"/>
              </w:rPr>
              <w:t>4</w:t>
            </w:r>
          </w:p>
        </w:tc>
        <w:tc>
          <w:tcPr>
            <w:tcW w:w="391" w:type="pct"/>
            <w:vMerge w:val="continue"/>
            <w:tcBorders>
              <w:tl2br w:val="nil"/>
              <w:tr2bl w:val="nil"/>
            </w:tcBorders>
            <w:vAlign w:val="center"/>
          </w:tcPr>
          <w:p w14:paraId="4808CE76">
            <w:pPr>
              <w:pStyle w:val="41"/>
              <w:rPr>
                <w:color w:val="auto"/>
                <w:highlight w:val="none"/>
              </w:rPr>
            </w:pPr>
          </w:p>
        </w:tc>
        <w:tc>
          <w:tcPr>
            <w:tcW w:w="701" w:type="pct"/>
            <w:vMerge w:val="restart"/>
            <w:tcBorders>
              <w:tl2br w:val="nil"/>
              <w:tr2bl w:val="nil"/>
            </w:tcBorders>
            <w:vAlign w:val="center"/>
          </w:tcPr>
          <w:p w14:paraId="14E54E3A">
            <w:pPr>
              <w:pStyle w:val="41"/>
              <w:rPr>
                <w:color w:val="auto"/>
                <w:highlight w:val="none"/>
              </w:rPr>
            </w:pPr>
            <w:r>
              <w:rPr>
                <w:color w:val="auto"/>
                <w:highlight w:val="none"/>
              </w:rPr>
              <w:t>周边环境功能类别情况</w:t>
            </w:r>
          </w:p>
        </w:tc>
        <w:tc>
          <w:tcPr>
            <w:tcW w:w="607" w:type="pct"/>
            <w:vMerge w:val="restart"/>
            <w:tcBorders>
              <w:tl2br w:val="nil"/>
              <w:tr2bl w:val="nil"/>
            </w:tcBorders>
            <w:vAlign w:val="center"/>
          </w:tcPr>
          <w:p w14:paraId="3BF6B3E1">
            <w:pPr>
              <w:pStyle w:val="41"/>
              <w:rPr>
                <w:color w:val="auto"/>
                <w:highlight w:val="none"/>
              </w:rPr>
            </w:pPr>
            <w:r>
              <w:rPr>
                <w:color w:val="auto"/>
                <w:highlight w:val="none"/>
              </w:rPr>
              <w:t>水环境</w:t>
            </w:r>
          </w:p>
        </w:tc>
        <w:tc>
          <w:tcPr>
            <w:tcW w:w="570" w:type="pct"/>
            <w:vMerge w:val="restart"/>
            <w:tcBorders>
              <w:tl2br w:val="nil"/>
              <w:tr2bl w:val="nil"/>
            </w:tcBorders>
            <w:vAlign w:val="center"/>
          </w:tcPr>
          <w:p w14:paraId="025F8A0C">
            <w:pPr>
              <w:pStyle w:val="41"/>
              <w:rPr>
                <w:color w:val="auto"/>
                <w:highlight w:val="none"/>
              </w:rPr>
            </w:pPr>
            <w:r>
              <w:rPr>
                <w:color w:val="auto"/>
                <w:highlight w:val="none"/>
              </w:rPr>
              <w:t>下游水体</w:t>
            </w:r>
          </w:p>
        </w:tc>
        <w:tc>
          <w:tcPr>
            <w:tcW w:w="691" w:type="pct"/>
            <w:tcBorders>
              <w:tl2br w:val="nil"/>
              <w:tr2bl w:val="nil"/>
            </w:tcBorders>
            <w:vAlign w:val="center"/>
          </w:tcPr>
          <w:p w14:paraId="263F9087">
            <w:pPr>
              <w:pStyle w:val="41"/>
              <w:rPr>
                <w:color w:val="auto"/>
                <w:highlight w:val="none"/>
              </w:rPr>
            </w:pPr>
            <w:r>
              <w:rPr>
                <w:color w:val="auto"/>
                <w:highlight w:val="none"/>
              </w:rPr>
              <w:t>地表水</w:t>
            </w:r>
          </w:p>
        </w:tc>
        <w:tc>
          <w:tcPr>
            <w:tcW w:w="818" w:type="pct"/>
            <w:vMerge w:val="restart"/>
            <w:tcBorders>
              <w:tl2br w:val="nil"/>
              <w:tr2bl w:val="nil"/>
            </w:tcBorders>
            <w:vAlign w:val="center"/>
          </w:tcPr>
          <w:p w14:paraId="6F985E4A">
            <w:pPr>
              <w:pStyle w:val="41"/>
              <w:rPr>
                <w:color w:val="auto"/>
                <w:highlight w:val="none"/>
              </w:rPr>
            </w:pPr>
            <w:r>
              <w:rPr>
                <w:color w:val="auto"/>
                <w:highlight w:val="none"/>
              </w:rPr>
              <w:t>9</w:t>
            </w:r>
          </w:p>
        </w:tc>
        <w:tc>
          <w:tcPr>
            <w:tcW w:w="754" w:type="pct"/>
            <w:tcBorders>
              <w:tl2br w:val="nil"/>
              <w:tr2bl w:val="nil"/>
            </w:tcBorders>
            <w:vAlign w:val="center"/>
          </w:tcPr>
          <w:p w14:paraId="43662628">
            <w:pPr>
              <w:pStyle w:val="41"/>
              <w:rPr>
                <w:rFonts w:hint="eastAsia" w:eastAsia="华文中宋"/>
                <w:color w:val="auto"/>
                <w:highlight w:val="none"/>
                <w:lang w:eastAsia="zh-CN"/>
              </w:rPr>
            </w:pPr>
            <w:r>
              <w:rPr>
                <w:rFonts w:hint="eastAsia"/>
                <w:color w:val="auto"/>
                <w:highlight w:val="none"/>
                <w:lang w:val="en-US" w:eastAsia="zh-CN"/>
              </w:rPr>
              <w:t>9</w:t>
            </w:r>
          </w:p>
        </w:tc>
      </w:tr>
      <w:tr w14:paraId="537AB3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65" w:type="pct"/>
            <w:tcBorders>
              <w:tl2br w:val="nil"/>
              <w:tr2bl w:val="nil"/>
            </w:tcBorders>
            <w:vAlign w:val="center"/>
          </w:tcPr>
          <w:p w14:paraId="6D760E79">
            <w:pPr>
              <w:pStyle w:val="41"/>
              <w:rPr>
                <w:color w:val="auto"/>
                <w:highlight w:val="none"/>
              </w:rPr>
            </w:pPr>
            <w:r>
              <w:rPr>
                <w:color w:val="auto"/>
                <w:highlight w:val="none"/>
              </w:rPr>
              <w:t>5</w:t>
            </w:r>
          </w:p>
        </w:tc>
        <w:tc>
          <w:tcPr>
            <w:tcW w:w="391" w:type="pct"/>
            <w:vMerge w:val="continue"/>
            <w:tcBorders>
              <w:tl2br w:val="nil"/>
              <w:tr2bl w:val="nil"/>
            </w:tcBorders>
            <w:vAlign w:val="center"/>
          </w:tcPr>
          <w:p w14:paraId="651628DF">
            <w:pPr>
              <w:pStyle w:val="41"/>
              <w:rPr>
                <w:color w:val="auto"/>
                <w:highlight w:val="none"/>
              </w:rPr>
            </w:pPr>
          </w:p>
        </w:tc>
        <w:tc>
          <w:tcPr>
            <w:tcW w:w="701" w:type="pct"/>
            <w:vMerge w:val="continue"/>
            <w:tcBorders>
              <w:tl2br w:val="nil"/>
              <w:tr2bl w:val="nil"/>
            </w:tcBorders>
            <w:vAlign w:val="center"/>
          </w:tcPr>
          <w:p w14:paraId="1E2AE907">
            <w:pPr>
              <w:pStyle w:val="41"/>
              <w:rPr>
                <w:color w:val="auto"/>
                <w:highlight w:val="none"/>
              </w:rPr>
            </w:pPr>
          </w:p>
        </w:tc>
        <w:tc>
          <w:tcPr>
            <w:tcW w:w="607" w:type="pct"/>
            <w:vMerge w:val="continue"/>
            <w:tcBorders>
              <w:tl2br w:val="nil"/>
              <w:tr2bl w:val="nil"/>
            </w:tcBorders>
            <w:vAlign w:val="center"/>
          </w:tcPr>
          <w:p w14:paraId="6F3A683D">
            <w:pPr>
              <w:pStyle w:val="41"/>
              <w:rPr>
                <w:color w:val="auto"/>
                <w:highlight w:val="none"/>
              </w:rPr>
            </w:pPr>
          </w:p>
        </w:tc>
        <w:tc>
          <w:tcPr>
            <w:tcW w:w="570" w:type="pct"/>
            <w:vMerge w:val="continue"/>
            <w:tcBorders>
              <w:tl2br w:val="nil"/>
              <w:tr2bl w:val="nil"/>
            </w:tcBorders>
            <w:vAlign w:val="center"/>
          </w:tcPr>
          <w:p w14:paraId="2EBDDCEE">
            <w:pPr>
              <w:pStyle w:val="41"/>
              <w:rPr>
                <w:color w:val="auto"/>
                <w:highlight w:val="none"/>
              </w:rPr>
            </w:pPr>
          </w:p>
        </w:tc>
        <w:tc>
          <w:tcPr>
            <w:tcW w:w="691" w:type="pct"/>
            <w:tcBorders>
              <w:tl2br w:val="nil"/>
              <w:tr2bl w:val="nil"/>
            </w:tcBorders>
            <w:vAlign w:val="center"/>
          </w:tcPr>
          <w:p w14:paraId="44D1582C">
            <w:pPr>
              <w:pStyle w:val="41"/>
              <w:rPr>
                <w:color w:val="auto"/>
                <w:highlight w:val="none"/>
              </w:rPr>
            </w:pPr>
            <w:r>
              <w:rPr>
                <w:color w:val="auto"/>
                <w:highlight w:val="none"/>
              </w:rPr>
              <w:t>海水</w:t>
            </w:r>
          </w:p>
        </w:tc>
        <w:tc>
          <w:tcPr>
            <w:tcW w:w="818" w:type="pct"/>
            <w:vMerge w:val="continue"/>
            <w:tcBorders>
              <w:tl2br w:val="nil"/>
              <w:tr2bl w:val="nil"/>
            </w:tcBorders>
            <w:vAlign w:val="center"/>
          </w:tcPr>
          <w:p w14:paraId="2E30754A">
            <w:pPr>
              <w:pStyle w:val="41"/>
              <w:rPr>
                <w:color w:val="auto"/>
                <w:highlight w:val="none"/>
              </w:rPr>
            </w:pPr>
          </w:p>
        </w:tc>
        <w:tc>
          <w:tcPr>
            <w:tcW w:w="754" w:type="pct"/>
            <w:tcBorders>
              <w:tl2br w:val="nil"/>
              <w:tr2bl w:val="nil"/>
            </w:tcBorders>
            <w:vAlign w:val="center"/>
          </w:tcPr>
          <w:p w14:paraId="1410618A">
            <w:pPr>
              <w:pStyle w:val="41"/>
              <w:rPr>
                <w:color w:val="auto"/>
                <w:highlight w:val="none"/>
              </w:rPr>
            </w:pPr>
            <w:r>
              <w:rPr>
                <w:color w:val="auto"/>
                <w:highlight w:val="none"/>
              </w:rPr>
              <w:t>0</w:t>
            </w:r>
          </w:p>
        </w:tc>
      </w:tr>
      <w:tr w14:paraId="6182C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65" w:type="pct"/>
            <w:tcBorders>
              <w:tl2br w:val="nil"/>
              <w:tr2bl w:val="nil"/>
            </w:tcBorders>
            <w:vAlign w:val="center"/>
          </w:tcPr>
          <w:p w14:paraId="255113BF">
            <w:pPr>
              <w:pStyle w:val="41"/>
              <w:rPr>
                <w:color w:val="auto"/>
                <w:highlight w:val="none"/>
              </w:rPr>
            </w:pPr>
            <w:r>
              <w:rPr>
                <w:color w:val="auto"/>
                <w:highlight w:val="none"/>
              </w:rPr>
              <w:t>6</w:t>
            </w:r>
          </w:p>
        </w:tc>
        <w:tc>
          <w:tcPr>
            <w:tcW w:w="391" w:type="pct"/>
            <w:vMerge w:val="continue"/>
            <w:tcBorders>
              <w:tl2br w:val="nil"/>
              <w:tr2bl w:val="nil"/>
            </w:tcBorders>
            <w:vAlign w:val="center"/>
          </w:tcPr>
          <w:p w14:paraId="326F506B">
            <w:pPr>
              <w:pStyle w:val="41"/>
              <w:rPr>
                <w:color w:val="auto"/>
                <w:highlight w:val="none"/>
              </w:rPr>
            </w:pPr>
          </w:p>
        </w:tc>
        <w:tc>
          <w:tcPr>
            <w:tcW w:w="701" w:type="pct"/>
            <w:vMerge w:val="continue"/>
            <w:tcBorders>
              <w:tl2br w:val="nil"/>
              <w:tr2bl w:val="nil"/>
            </w:tcBorders>
            <w:vAlign w:val="center"/>
          </w:tcPr>
          <w:p w14:paraId="736CDE07">
            <w:pPr>
              <w:pStyle w:val="41"/>
              <w:rPr>
                <w:color w:val="auto"/>
                <w:highlight w:val="none"/>
              </w:rPr>
            </w:pPr>
          </w:p>
        </w:tc>
        <w:tc>
          <w:tcPr>
            <w:tcW w:w="607" w:type="pct"/>
            <w:vMerge w:val="continue"/>
            <w:tcBorders>
              <w:tl2br w:val="nil"/>
              <w:tr2bl w:val="nil"/>
            </w:tcBorders>
            <w:vAlign w:val="center"/>
          </w:tcPr>
          <w:p w14:paraId="328EA57C">
            <w:pPr>
              <w:pStyle w:val="41"/>
              <w:rPr>
                <w:color w:val="auto"/>
                <w:highlight w:val="none"/>
              </w:rPr>
            </w:pPr>
          </w:p>
        </w:tc>
        <w:tc>
          <w:tcPr>
            <w:tcW w:w="1261" w:type="pct"/>
            <w:gridSpan w:val="2"/>
            <w:tcBorders>
              <w:tl2br w:val="nil"/>
              <w:tr2bl w:val="nil"/>
            </w:tcBorders>
            <w:vAlign w:val="center"/>
          </w:tcPr>
          <w:p w14:paraId="256F521A">
            <w:pPr>
              <w:pStyle w:val="41"/>
              <w:rPr>
                <w:color w:val="auto"/>
                <w:highlight w:val="none"/>
              </w:rPr>
            </w:pPr>
            <w:r>
              <w:rPr>
                <w:color w:val="auto"/>
                <w:highlight w:val="none"/>
              </w:rPr>
              <w:t>地下水</w:t>
            </w:r>
          </w:p>
        </w:tc>
        <w:tc>
          <w:tcPr>
            <w:tcW w:w="818" w:type="pct"/>
            <w:tcBorders>
              <w:tl2br w:val="nil"/>
              <w:tr2bl w:val="nil"/>
            </w:tcBorders>
            <w:vAlign w:val="center"/>
          </w:tcPr>
          <w:p w14:paraId="3AAD70EF">
            <w:pPr>
              <w:pStyle w:val="41"/>
              <w:rPr>
                <w:color w:val="auto"/>
                <w:highlight w:val="none"/>
              </w:rPr>
            </w:pPr>
            <w:r>
              <w:rPr>
                <w:color w:val="auto"/>
                <w:highlight w:val="none"/>
              </w:rPr>
              <w:t>6</w:t>
            </w:r>
          </w:p>
        </w:tc>
        <w:tc>
          <w:tcPr>
            <w:tcW w:w="754" w:type="pct"/>
            <w:tcBorders>
              <w:tl2br w:val="nil"/>
              <w:tr2bl w:val="nil"/>
            </w:tcBorders>
            <w:vAlign w:val="center"/>
          </w:tcPr>
          <w:p w14:paraId="2AD25139">
            <w:pPr>
              <w:pStyle w:val="41"/>
              <w:rPr>
                <w:color w:val="auto"/>
                <w:highlight w:val="none"/>
              </w:rPr>
            </w:pPr>
            <w:r>
              <w:rPr>
                <w:color w:val="auto"/>
                <w:highlight w:val="none"/>
              </w:rPr>
              <w:t>4</w:t>
            </w:r>
          </w:p>
        </w:tc>
      </w:tr>
      <w:tr w14:paraId="0377CD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65" w:type="pct"/>
            <w:tcBorders>
              <w:tl2br w:val="nil"/>
              <w:tr2bl w:val="nil"/>
            </w:tcBorders>
            <w:vAlign w:val="center"/>
          </w:tcPr>
          <w:p w14:paraId="721B2020">
            <w:pPr>
              <w:pStyle w:val="41"/>
              <w:rPr>
                <w:color w:val="auto"/>
                <w:highlight w:val="none"/>
              </w:rPr>
            </w:pPr>
            <w:r>
              <w:rPr>
                <w:color w:val="auto"/>
                <w:highlight w:val="none"/>
              </w:rPr>
              <w:t>7</w:t>
            </w:r>
          </w:p>
        </w:tc>
        <w:tc>
          <w:tcPr>
            <w:tcW w:w="391" w:type="pct"/>
            <w:vMerge w:val="continue"/>
            <w:tcBorders>
              <w:tl2br w:val="nil"/>
              <w:tr2bl w:val="nil"/>
            </w:tcBorders>
            <w:vAlign w:val="center"/>
          </w:tcPr>
          <w:p w14:paraId="15AC5760">
            <w:pPr>
              <w:pStyle w:val="41"/>
              <w:rPr>
                <w:color w:val="auto"/>
                <w:highlight w:val="none"/>
              </w:rPr>
            </w:pPr>
          </w:p>
        </w:tc>
        <w:tc>
          <w:tcPr>
            <w:tcW w:w="701" w:type="pct"/>
            <w:vMerge w:val="continue"/>
            <w:tcBorders>
              <w:tl2br w:val="nil"/>
              <w:tr2bl w:val="nil"/>
            </w:tcBorders>
            <w:vAlign w:val="center"/>
          </w:tcPr>
          <w:p w14:paraId="0FA0B926">
            <w:pPr>
              <w:pStyle w:val="41"/>
              <w:rPr>
                <w:color w:val="auto"/>
                <w:highlight w:val="none"/>
              </w:rPr>
            </w:pPr>
          </w:p>
        </w:tc>
        <w:tc>
          <w:tcPr>
            <w:tcW w:w="1868" w:type="pct"/>
            <w:gridSpan w:val="3"/>
            <w:tcBorders>
              <w:tl2br w:val="nil"/>
              <w:tr2bl w:val="nil"/>
            </w:tcBorders>
            <w:vAlign w:val="center"/>
          </w:tcPr>
          <w:p w14:paraId="23EB8DEB">
            <w:pPr>
              <w:pStyle w:val="41"/>
              <w:rPr>
                <w:color w:val="auto"/>
                <w:highlight w:val="none"/>
              </w:rPr>
            </w:pPr>
            <w:r>
              <w:rPr>
                <w:color w:val="auto"/>
                <w:highlight w:val="none"/>
              </w:rPr>
              <w:t>土壤环境</w:t>
            </w:r>
          </w:p>
        </w:tc>
        <w:tc>
          <w:tcPr>
            <w:tcW w:w="818" w:type="pct"/>
            <w:tcBorders>
              <w:tl2br w:val="nil"/>
              <w:tr2bl w:val="nil"/>
            </w:tcBorders>
            <w:vAlign w:val="center"/>
          </w:tcPr>
          <w:p w14:paraId="1EB0432B">
            <w:pPr>
              <w:pStyle w:val="41"/>
              <w:rPr>
                <w:color w:val="auto"/>
                <w:highlight w:val="none"/>
              </w:rPr>
            </w:pPr>
            <w:r>
              <w:rPr>
                <w:color w:val="auto"/>
                <w:highlight w:val="none"/>
              </w:rPr>
              <w:t>4</w:t>
            </w:r>
          </w:p>
        </w:tc>
        <w:tc>
          <w:tcPr>
            <w:tcW w:w="754" w:type="pct"/>
            <w:tcBorders>
              <w:tl2br w:val="nil"/>
              <w:tr2bl w:val="nil"/>
            </w:tcBorders>
            <w:vAlign w:val="center"/>
          </w:tcPr>
          <w:p w14:paraId="6B0D9771">
            <w:pPr>
              <w:pStyle w:val="41"/>
              <w:rPr>
                <w:color w:val="auto"/>
                <w:highlight w:val="none"/>
              </w:rPr>
            </w:pPr>
            <w:r>
              <w:rPr>
                <w:color w:val="auto"/>
                <w:highlight w:val="none"/>
              </w:rPr>
              <w:t>1</w:t>
            </w:r>
          </w:p>
        </w:tc>
      </w:tr>
      <w:tr w14:paraId="05744C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65" w:type="pct"/>
            <w:tcBorders>
              <w:tl2br w:val="nil"/>
              <w:tr2bl w:val="nil"/>
            </w:tcBorders>
            <w:vAlign w:val="center"/>
          </w:tcPr>
          <w:p w14:paraId="26156BAC">
            <w:pPr>
              <w:pStyle w:val="41"/>
              <w:rPr>
                <w:color w:val="auto"/>
                <w:highlight w:val="none"/>
              </w:rPr>
            </w:pPr>
            <w:r>
              <w:rPr>
                <w:color w:val="auto"/>
                <w:highlight w:val="none"/>
              </w:rPr>
              <w:t>8</w:t>
            </w:r>
          </w:p>
        </w:tc>
        <w:tc>
          <w:tcPr>
            <w:tcW w:w="391" w:type="pct"/>
            <w:vMerge w:val="continue"/>
            <w:tcBorders>
              <w:tl2br w:val="nil"/>
              <w:tr2bl w:val="nil"/>
            </w:tcBorders>
            <w:vAlign w:val="center"/>
          </w:tcPr>
          <w:p w14:paraId="1ED069F9">
            <w:pPr>
              <w:pStyle w:val="41"/>
              <w:rPr>
                <w:color w:val="auto"/>
                <w:highlight w:val="none"/>
              </w:rPr>
            </w:pPr>
          </w:p>
        </w:tc>
        <w:tc>
          <w:tcPr>
            <w:tcW w:w="701" w:type="pct"/>
            <w:vMerge w:val="continue"/>
            <w:tcBorders>
              <w:tl2br w:val="nil"/>
              <w:tr2bl w:val="nil"/>
            </w:tcBorders>
            <w:vAlign w:val="center"/>
          </w:tcPr>
          <w:p w14:paraId="3C7E29AF">
            <w:pPr>
              <w:pStyle w:val="41"/>
              <w:rPr>
                <w:color w:val="auto"/>
                <w:highlight w:val="none"/>
              </w:rPr>
            </w:pPr>
          </w:p>
        </w:tc>
        <w:tc>
          <w:tcPr>
            <w:tcW w:w="1868" w:type="pct"/>
            <w:gridSpan w:val="3"/>
            <w:tcBorders>
              <w:tl2br w:val="nil"/>
              <w:tr2bl w:val="nil"/>
            </w:tcBorders>
            <w:vAlign w:val="center"/>
          </w:tcPr>
          <w:p w14:paraId="4F11E934">
            <w:pPr>
              <w:pStyle w:val="41"/>
              <w:rPr>
                <w:color w:val="auto"/>
                <w:highlight w:val="none"/>
              </w:rPr>
            </w:pPr>
            <w:r>
              <w:rPr>
                <w:color w:val="auto"/>
                <w:highlight w:val="none"/>
              </w:rPr>
              <w:t>大气环境</w:t>
            </w:r>
          </w:p>
        </w:tc>
        <w:tc>
          <w:tcPr>
            <w:tcW w:w="818" w:type="pct"/>
            <w:tcBorders>
              <w:tl2br w:val="nil"/>
              <w:tr2bl w:val="nil"/>
            </w:tcBorders>
            <w:vAlign w:val="center"/>
          </w:tcPr>
          <w:p w14:paraId="7D2C466E">
            <w:pPr>
              <w:pStyle w:val="41"/>
              <w:rPr>
                <w:color w:val="auto"/>
                <w:highlight w:val="none"/>
              </w:rPr>
            </w:pPr>
            <w:r>
              <w:rPr>
                <w:color w:val="auto"/>
                <w:highlight w:val="none"/>
              </w:rPr>
              <w:t>3</w:t>
            </w:r>
          </w:p>
        </w:tc>
        <w:tc>
          <w:tcPr>
            <w:tcW w:w="754" w:type="pct"/>
            <w:tcBorders>
              <w:tl2br w:val="nil"/>
              <w:tr2bl w:val="nil"/>
            </w:tcBorders>
            <w:vAlign w:val="center"/>
          </w:tcPr>
          <w:p w14:paraId="2696E24C">
            <w:pPr>
              <w:pStyle w:val="41"/>
              <w:rPr>
                <w:color w:val="auto"/>
                <w:highlight w:val="none"/>
              </w:rPr>
            </w:pPr>
            <w:r>
              <w:rPr>
                <w:color w:val="auto"/>
                <w:highlight w:val="none"/>
              </w:rPr>
              <w:t>1.5</w:t>
            </w:r>
          </w:p>
        </w:tc>
      </w:tr>
      <w:tr w14:paraId="1252CC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65" w:type="pct"/>
            <w:tcBorders>
              <w:tl2br w:val="nil"/>
              <w:tr2bl w:val="nil"/>
            </w:tcBorders>
            <w:vAlign w:val="center"/>
          </w:tcPr>
          <w:p w14:paraId="59ADBB12">
            <w:pPr>
              <w:pStyle w:val="41"/>
              <w:rPr>
                <w:color w:val="auto"/>
                <w:highlight w:val="none"/>
              </w:rPr>
            </w:pPr>
            <w:r>
              <w:rPr>
                <w:color w:val="auto"/>
                <w:highlight w:val="none"/>
              </w:rPr>
              <w:t>9</w:t>
            </w:r>
          </w:p>
        </w:tc>
        <w:tc>
          <w:tcPr>
            <w:tcW w:w="2961" w:type="pct"/>
            <w:gridSpan w:val="5"/>
            <w:tcBorders>
              <w:tl2br w:val="nil"/>
              <w:tr2bl w:val="nil"/>
            </w:tcBorders>
            <w:vAlign w:val="center"/>
          </w:tcPr>
          <w:p w14:paraId="72A0ABA5">
            <w:pPr>
              <w:pStyle w:val="41"/>
              <w:rPr>
                <w:rFonts w:hint="eastAsia" w:eastAsia="华文中宋"/>
                <w:color w:val="auto"/>
                <w:highlight w:val="none"/>
                <w:lang w:val="en-US" w:eastAsia="zh-CN"/>
              </w:rPr>
            </w:pPr>
            <w:r>
              <w:rPr>
                <w:rFonts w:hint="eastAsia"/>
                <w:color w:val="auto"/>
                <w:highlight w:val="none"/>
                <w:lang w:val="en-US" w:eastAsia="zh-CN"/>
              </w:rPr>
              <w:t>合计</w:t>
            </w:r>
          </w:p>
        </w:tc>
        <w:tc>
          <w:tcPr>
            <w:tcW w:w="818" w:type="pct"/>
            <w:tcBorders>
              <w:tl2br w:val="nil"/>
              <w:tr2bl w:val="nil"/>
            </w:tcBorders>
            <w:vAlign w:val="center"/>
          </w:tcPr>
          <w:p w14:paraId="18E5D374">
            <w:pPr>
              <w:pStyle w:val="41"/>
              <w:rPr>
                <w:color w:val="auto"/>
                <w:highlight w:val="none"/>
              </w:rPr>
            </w:pPr>
          </w:p>
        </w:tc>
        <w:tc>
          <w:tcPr>
            <w:tcW w:w="754" w:type="pct"/>
            <w:tcBorders>
              <w:tl2br w:val="nil"/>
              <w:tr2bl w:val="nil"/>
            </w:tcBorders>
            <w:vAlign w:val="center"/>
          </w:tcPr>
          <w:p w14:paraId="43EDBC04">
            <w:pPr>
              <w:pStyle w:val="41"/>
              <w:rPr>
                <w:rFonts w:hint="default" w:eastAsia="华文中宋"/>
                <w:color w:val="auto"/>
                <w:highlight w:val="none"/>
                <w:lang w:val="en-US" w:eastAsia="zh-CN"/>
              </w:rPr>
            </w:pPr>
            <w:r>
              <w:rPr>
                <w:rFonts w:hint="eastAsia"/>
                <w:color w:val="auto"/>
                <w:highlight w:val="none"/>
                <w:lang w:val="en-US" w:eastAsia="zh-CN"/>
              </w:rPr>
              <w:t>15.5</w:t>
            </w:r>
          </w:p>
        </w:tc>
      </w:tr>
    </w:tbl>
    <w:p w14:paraId="0D6CFBCE">
      <w:pPr>
        <w:pStyle w:val="3"/>
        <w:ind w:firstLine="480"/>
        <w:rPr>
          <w:color w:val="auto"/>
          <w:highlight w:val="none"/>
        </w:rPr>
      </w:pPr>
      <w:r>
        <w:rPr>
          <w:rFonts w:hint="eastAsia"/>
          <w:color w:val="auto"/>
          <w:highlight w:val="none"/>
        </w:rPr>
        <w:t>根据《尾矿库环境风险评估技术导则（试行）》（HJ740-2015）附录C中各指标评分方法，本项目尾矿库下游均位于克州阿图什市，不涉及跨界情况，属其他类，评分取0；可能产生的事故污染物跨界距离大于10km，评分取0；尾矿库周边及下游不涉及自然保护区、风景名胜区等，评分取0；尾矿库下游地表水属</w:t>
      </w:r>
      <w:r>
        <w:rPr>
          <w:rFonts w:hint="eastAsia"/>
          <w:color w:val="auto"/>
          <w:highlight w:val="none"/>
          <w:lang w:val="en-US" w:eastAsia="zh-CN"/>
        </w:rPr>
        <w:t>Ⅱ类</w:t>
      </w:r>
      <w:r>
        <w:rPr>
          <w:rFonts w:hint="eastAsia"/>
          <w:color w:val="auto"/>
          <w:highlight w:val="none"/>
        </w:rPr>
        <w:t>，评分取</w:t>
      </w:r>
      <w:r>
        <w:rPr>
          <w:rFonts w:hint="eastAsia"/>
          <w:color w:val="auto"/>
          <w:highlight w:val="none"/>
          <w:lang w:val="en-US" w:eastAsia="zh-CN"/>
        </w:rPr>
        <w:t>9</w:t>
      </w:r>
      <w:r>
        <w:rPr>
          <w:rFonts w:hint="eastAsia"/>
          <w:color w:val="auto"/>
          <w:highlight w:val="none"/>
        </w:rPr>
        <w:t>分；地下水属于三类，评分取4分；土壤环境属三类，评分取1分；大气环境为二类，评分取1.5。综上，总得分为</w:t>
      </w:r>
      <w:r>
        <w:rPr>
          <w:rFonts w:hint="eastAsia"/>
          <w:color w:val="auto"/>
          <w:highlight w:val="none"/>
          <w:lang w:val="en-US" w:eastAsia="zh-CN"/>
        </w:rPr>
        <w:t>15.5</w:t>
      </w:r>
      <w:r>
        <w:rPr>
          <w:rFonts w:hint="eastAsia"/>
          <w:color w:val="auto"/>
          <w:highlight w:val="none"/>
        </w:rPr>
        <w:t>。</w:t>
      </w:r>
    </w:p>
    <w:p w14:paraId="2904D911">
      <w:pPr>
        <w:pStyle w:val="3"/>
        <w:ind w:firstLine="480"/>
        <w:rPr>
          <w:color w:val="auto"/>
          <w:highlight w:val="none"/>
        </w:rPr>
      </w:pPr>
      <w:r>
        <w:rPr>
          <w:rFonts w:hint="eastAsia"/>
          <w:color w:val="auto"/>
          <w:highlight w:val="none"/>
        </w:rPr>
        <w:t>依据尾矿库周边环境敏感性等别划分表，将周边环境敏感性（S）划分为S1、S2、S3三个等别，见表6.4-7。</w:t>
      </w:r>
    </w:p>
    <w:p w14:paraId="3A0822BD">
      <w:pPr>
        <w:pStyle w:val="40"/>
        <w:rPr>
          <w:color w:val="auto"/>
          <w:highlight w:val="none"/>
        </w:rPr>
      </w:pPr>
      <w:r>
        <w:rPr>
          <w:color w:val="auto"/>
          <w:highlight w:val="none"/>
          <w:lang w:val="zh-CN"/>
        </w:rPr>
        <w:t>表</w:t>
      </w:r>
      <w:r>
        <w:rPr>
          <w:rFonts w:hint="eastAsia"/>
          <w:color w:val="auto"/>
          <w:highlight w:val="none"/>
        </w:rPr>
        <w:t>6.4-7</w:t>
      </w:r>
      <w:r>
        <w:rPr>
          <w:rFonts w:hint="eastAsia"/>
          <w:color w:val="auto"/>
          <w:highlight w:val="none"/>
          <w:lang w:val="zh-CN"/>
        </w:rPr>
        <w:t xml:space="preserve">         </w:t>
      </w:r>
      <w:r>
        <w:rPr>
          <w:color w:val="auto"/>
          <w:highlight w:val="none"/>
          <w:lang w:val="zh-CN"/>
        </w:rPr>
        <w:t>尾矿库周边环境敏感性（S）等别划分表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258"/>
        <w:gridCol w:w="4258"/>
      </w:tblGrid>
      <w:tr w14:paraId="0E2800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4261" w:type="dxa"/>
            <w:tcBorders>
              <w:tl2br w:val="nil"/>
              <w:tr2bl w:val="nil"/>
            </w:tcBorders>
            <w:vAlign w:val="center"/>
          </w:tcPr>
          <w:p w14:paraId="65298406">
            <w:pPr>
              <w:pStyle w:val="41"/>
              <w:rPr>
                <w:color w:val="auto"/>
                <w:highlight w:val="none"/>
              </w:rPr>
            </w:pPr>
            <w:r>
              <w:rPr>
                <w:color w:val="auto"/>
                <w:highlight w:val="none"/>
              </w:rPr>
              <w:t>尾矿库周边环境敏感性得分（DS）</w:t>
            </w:r>
          </w:p>
        </w:tc>
        <w:tc>
          <w:tcPr>
            <w:tcW w:w="4261" w:type="dxa"/>
            <w:tcBorders>
              <w:tl2br w:val="nil"/>
              <w:tr2bl w:val="nil"/>
            </w:tcBorders>
            <w:vAlign w:val="center"/>
          </w:tcPr>
          <w:p w14:paraId="04BAD272">
            <w:pPr>
              <w:pStyle w:val="41"/>
              <w:rPr>
                <w:color w:val="auto"/>
                <w:highlight w:val="none"/>
              </w:rPr>
            </w:pPr>
            <w:r>
              <w:rPr>
                <w:color w:val="auto"/>
                <w:highlight w:val="none"/>
              </w:rPr>
              <w:t>尾矿库周边环境敏感性（S）等别代码</w:t>
            </w:r>
          </w:p>
        </w:tc>
      </w:tr>
      <w:tr w14:paraId="1964D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261" w:type="dxa"/>
            <w:tcBorders>
              <w:tl2br w:val="nil"/>
              <w:tr2bl w:val="nil"/>
            </w:tcBorders>
            <w:vAlign w:val="center"/>
          </w:tcPr>
          <w:p w14:paraId="2FBA8569">
            <w:pPr>
              <w:pStyle w:val="41"/>
              <w:rPr>
                <w:color w:val="auto"/>
                <w:highlight w:val="none"/>
              </w:rPr>
            </w:pPr>
            <w:r>
              <w:rPr>
                <w:color w:val="auto"/>
                <w:highlight w:val="none"/>
              </w:rPr>
              <w:t>DS&gt;60</w:t>
            </w:r>
          </w:p>
        </w:tc>
        <w:tc>
          <w:tcPr>
            <w:tcW w:w="4261" w:type="dxa"/>
            <w:tcBorders>
              <w:tl2br w:val="nil"/>
              <w:tr2bl w:val="nil"/>
            </w:tcBorders>
            <w:vAlign w:val="center"/>
          </w:tcPr>
          <w:p w14:paraId="219CDA06">
            <w:pPr>
              <w:pStyle w:val="41"/>
              <w:rPr>
                <w:color w:val="auto"/>
                <w:highlight w:val="none"/>
              </w:rPr>
            </w:pPr>
            <w:r>
              <w:rPr>
                <w:color w:val="auto"/>
                <w:highlight w:val="none"/>
              </w:rPr>
              <w:t>S1</w:t>
            </w:r>
          </w:p>
        </w:tc>
      </w:tr>
      <w:tr w14:paraId="352AB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261" w:type="dxa"/>
            <w:tcBorders>
              <w:tl2br w:val="nil"/>
              <w:tr2bl w:val="nil"/>
            </w:tcBorders>
            <w:vAlign w:val="center"/>
          </w:tcPr>
          <w:p w14:paraId="4CFC65A6">
            <w:pPr>
              <w:pStyle w:val="41"/>
              <w:rPr>
                <w:color w:val="auto"/>
                <w:highlight w:val="none"/>
              </w:rPr>
            </w:pPr>
            <w:r>
              <w:rPr>
                <w:color w:val="auto"/>
                <w:highlight w:val="none"/>
              </w:rPr>
              <w:t>30&lt;DS≦60</w:t>
            </w:r>
          </w:p>
        </w:tc>
        <w:tc>
          <w:tcPr>
            <w:tcW w:w="4261" w:type="dxa"/>
            <w:tcBorders>
              <w:tl2br w:val="nil"/>
              <w:tr2bl w:val="nil"/>
            </w:tcBorders>
            <w:vAlign w:val="center"/>
          </w:tcPr>
          <w:p w14:paraId="09D46B72">
            <w:pPr>
              <w:pStyle w:val="41"/>
              <w:rPr>
                <w:color w:val="auto"/>
                <w:highlight w:val="none"/>
              </w:rPr>
            </w:pPr>
            <w:r>
              <w:rPr>
                <w:color w:val="auto"/>
                <w:highlight w:val="none"/>
              </w:rPr>
              <w:t>S2</w:t>
            </w:r>
          </w:p>
        </w:tc>
      </w:tr>
      <w:tr w14:paraId="277F08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261" w:type="dxa"/>
            <w:tcBorders>
              <w:tl2br w:val="nil"/>
              <w:tr2bl w:val="nil"/>
            </w:tcBorders>
            <w:vAlign w:val="center"/>
          </w:tcPr>
          <w:p w14:paraId="436BA57D">
            <w:pPr>
              <w:pStyle w:val="41"/>
              <w:rPr>
                <w:color w:val="auto"/>
                <w:highlight w:val="none"/>
              </w:rPr>
            </w:pPr>
            <w:r>
              <w:rPr>
                <w:color w:val="auto"/>
                <w:highlight w:val="none"/>
              </w:rPr>
              <w:t>DS≦30</w:t>
            </w:r>
          </w:p>
        </w:tc>
        <w:tc>
          <w:tcPr>
            <w:tcW w:w="4261" w:type="dxa"/>
            <w:tcBorders>
              <w:tl2br w:val="nil"/>
              <w:tr2bl w:val="nil"/>
            </w:tcBorders>
            <w:vAlign w:val="center"/>
          </w:tcPr>
          <w:p w14:paraId="13B87C23">
            <w:pPr>
              <w:pStyle w:val="41"/>
              <w:rPr>
                <w:color w:val="auto"/>
                <w:highlight w:val="none"/>
              </w:rPr>
            </w:pPr>
            <w:r>
              <w:rPr>
                <w:color w:val="auto"/>
                <w:highlight w:val="none"/>
              </w:rPr>
              <w:t>S3</w:t>
            </w:r>
          </w:p>
        </w:tc>
      </w:tr>
    </w:tbl>
    <w:p w14:paraId="4F715DE2">
      <w:pPr>
        <w:pStyle w:val="3"/>
        <w:ind w:firstLine="480"/>
        <w:rPr>
          <w:color w:val="auto"/>
          <w:highlight w:val="none"/>
        </w:rPr>
      </w:pPr>
      <w:r>
        <w:rPr>
          <w:rFonts w:hint="eastAsia"/>
          <w:color w:val="auto"/>
          <w:highlight w:val="none"/>
        </w:rPr>
        <w:t>由上表可知，项目尾矿库周边环境敏感性总得分为</w:t>
      </w:r>
      <w:r>
        <w:rPr>
          <w:rFonts w:hint="eastAsia"/>
          <w:color w:val="auto"/>
          <w:highlight w:val="none"/>
          <w:lang w:val="en-US" w:eastAsia="zh-CN"/>
        </w:rPr>
        <w:t>15.5</w:t>
      </w:r>
      <w:r>
        <w:rPr>
          <w:rFonts w:hint="eastAsia"/>
          <w:color w:val="auto"/>
          <w:highlight w:val="none"/>
        </w:rPr>
        <w:t>，环境敏感性等别为S3。</w:t>
      </w:r>
    </w:p>
    <w:p w14:paraId="4B2B8F7A">
      <w:pPr>
        <w:pStyle w:val="3"/>
        <w:ind w:firstLine="480"/>
        <w:rPr>
          <w:color w:val="auto"/>
          <w:highlight w:val="none"/>
        </w:rPr>
      </w:pPr>
      <w:r>
        <w:rPr>
          <w:rFonts w:hint="eastAsia"/>
          <w:color w:val="auto"/>
          <w:highlight w:val="none"/>
        </w:rPr>
        <w:t>③控制机制可靠性（R）</w:t>
      </w:r>
    </w:p>
    <w:p w14:paraId="612C1622">
      <w:pPr>
        <w:pStyle w:val="3"/>
        <w:ind w:firstLine="480"/>
        <w:rPr>
          <w:color w:val="auto"/>
          <w:highlight w:val="none"/>
        </w:rPr>
      </w:pPr>
      <w:r>
        <w:rPr>
          <w:rFonts w:hint="eastAsia"/>
          <w:color w:val="auto"/>
          <w:highlight w:val="none"/>
        </w:rPr>
        <w:t>采用评分方法，对尾矿库的基本情况、自然条件情况、生产安全情况、环境保护情况和历史事件情况五方面指标进行评分与累加求和，评估尾矿库控制机制可靠性（R），控制机制可靠性等别划分指标体系详见下表。</w:t>
      </w:r>
    </w:p>
    <w:p w14:paraId="7359F5E2">
      <w:pPr>
        <w:pStyle w:val="40"/>
        <w:rPr>
          <w:color w:val="auto"/>
          <w:highlight w:val="none"/>
        </w:rPr>
      </w:pPr>
      <w:r>
        <w:rPr>
          <w:color w:val="auto"/>
          <w:highlight w:val="none"/>
          <w:lang w:val="zh-CN"/>
        </w:rPr>
        <w:t>表</w:t>
      </w:r>
      <w:r>
        <w:rPr>
          <w:rFonts w:hint="eastAsia"/>
          <w:color w:val="auto"/>
          <w:highlight w:val="none"/>
        </w:rPr>
        <w:t>6.4-8</w:t>
      </w:r>
      <w:r>
        <w:rPr>
          <w:rFonts w:hint="eastAsia"/>
          <w:color w:val="auto"/>
          <w:highlight w:val="none"/>
          <w:lang w:val="zh-CN"/>
        </w:rPr>
        <w:t xml:space="preserve">            尾矿库控制机制可靠性（R）等别划分指标体系</w:t>
      </w:r>
    </w:p>
    <w:tbl>
      <w:tblPr>
        <w:tblStyle w:val="25"/>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31"/>
        <w:gridCol w:w="618"/>
        <w:gridCol w:w="714"/>
        <w:gridCol w:w="913"/>
        <w:gridCol w:w="1242"/>
        <w:gridCol w:w="2475"/>
        <w:gridCol w:w="1010"/>
        <w:gridCol w:w="1010"/>
      </w:tblGrid>
      <w:tr w14:paraId="6B45CB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5D3ACFA4">
            <w:pPr>
              <w:pStyle w:val="41"/>
              <w:rPr>
                <w:color w:val="auto"/>
                <w:highlight w:val="none"/>
              </w:rPr>
            </w:pPr>
            <w:r>
              <w:rPr>
                <w:color w:val="auto"/>
                <w:highlight w:val="none"/>
              </w:rPr>
              <w:t>序号</w:t>
            </w:r>
          </w:p>
        </w:tc>
        <w:tc>
          <w:tcPr>
            <w:tcW w:w="3500" w:type="pct"/>
            <w:gridSpan w:val="5"/>
            <w:tcBorders>
              <w:tl2br w:val="nil"/>
              <w:tr2bl w:val="nil"/>
            </w:tcBorders>
            <w:vAlign w:val="center"/>
          </w:tcPr>
          <w:p w14:paraId="343CC030">
            <w:pPr>
              <w:pStyle w:val="41"/>
              <w:rPr>
                <w:color w:val="auto"/>
                <w:highlight w:val="none"/>
              </w:rPr>
            </w:pPr>
            <w:r>
              <w:rPr>
                <w:color w:val="auto"/>
                <w:highlight w:val="none"/>
              </w:rPr>
              <w:t>指标项目</w:t>
            </w:r>
          </w:p>
        </w:tc>
        <w:tc>
          <w:tcPr>
            <w:tcW w:w="593" w:type="pct"/>
            <w:tcBorders>
              <w:tl2br w:val="nil"/>
              <w:tr2bl w:val="nil"/>
            </w:tcBorders>
            <w:vAlign w:val="center"/>
          </w:tcPr>
          <w:p w14:paraId="19A5C3B6">
            <w:pPr>
              <w:pStyle w:val="41"/>
              <w:rPr>
                <w:color w:val="auto"/>
                <w:highlight w:val="none"/>
              </w:rPr>
            </w:pPr>
            <w:r>
              <w:rPr>
                <w:color w:val="auto"/>
                <w:highlight w:val="none"/>
              </w:rPr>
              <w:t>指标分值</w:t>
            </w:r>
          </w:p>
        </w:tc>
        <w:tc>
          <w:tcPr>
            <w:tcW w:w="593" w:type="pct"/>
            <w:tcBorders>
              <w:tl2br w:val="nil"/>
              <w:tr2bl w:val="nil"/>
            </w:tcBorders>
            <w:vAlign w:val="center"/>
          </w:tcPr>
          <w:p w14:paraId="0751E188">
            <w:pPr>
              <w:pStyle w:val="41"/>
              <w:rPr>
                <w:color w:val="auto"/>
                <w:highlight w:val="none"/>
              </w:rPr>
            </w:pPr>
            <w:r>
              <w:rPr>
                <w:color w:val="auto"/>
                <w:highlight w:val="none"/>
              </w:rPr>
              <w:t>本项目</w:t>
            </w:r>
          </w:p>
        </w:tc>
      </w:tr>
      <w:tr w14:paraId="75DADF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6FA30781">
            <w:pPr>
              <w:pStyle w:val="41"/>
              <w:rPr>
                <w:color w:val="auto"/>
                <w:highlight w:val="none"/>
              </w:rPr>
            </w:pPr>
            <w:r>
              <w:rPr>
                <w:color w:val="auto"/>
                <w:highlight w:val="none"/>
              </w:rPr>
              <w:t>1</w:t>
            </w:r>
          </w:p>
        </w:tc>
        <w:tc>
          <w:tcPr>
            <w:tcW w:w="363" w:type="pct"/>
            <w:vMerge w:val="restart"/>
            <w:tcBorders>
              <w:tl2br w:val="nil"/>
              <w:tr2bl w:val="nil"/>
            </w:tcBorders>
            <w:vAlign w:val="center"/>
          </w:tcPr>
          <w:p w14:paraId="5C63DC78">
            <w:pPr>
              <w:pStyle w:val="41"/>
              <w:rPr>
                <w:color w:val="auto"/>
                <w:highlight w:val="none"/>
              </w:rPr>
            </w:pPr>
            <w:r>
              <w:rPr>
                <w:color w:val="auto"/>
                <w:highlight w:val="none"/>
              </w:rPr>
              <w:t>尾矿库控制机制可靠性</w:t>
            </w:r>
          </w:p>
        </w:tc>
        <w:tc>
          <w:tcPr>
            <w:tcW w:w="419" w:type="pct"/>
            <w:vMerge w:val="restart"/>
            <w:tcBorders>
              <w:tl2br w:val="nil"/>
              <w:tr2bl w:val="nil"/>
            </w:tcBorders>
            <w:vAlign w:val="center"/>
          </w:tcPr>
          <w:p w14:paraId="7E0DC420">
            <w:pPr>
              <w:pStyle w:val="41"/>
              <w:rPr>
                <w:color w:val="auto"/>
                <w:highlight w:val="none"/>
              </w:rPr>
            </w:pPr>
            <w:r>
              <w:rPr>
                <w:color w:val="auto"/>
                <w:highlight w:val="none"/>
              </w:rPr>
              <w:t>基本情况</w:t>
            </w:r>
          </w:p>
        </w:tc>
        <w:tc>
          <w:tcPr>
            <w:tcW w:w="535" w:type="pct"/>
            <w:vMerge w:val="restart"/>
            <w:tcBorders>
              <w:tl2br w:val="nil"/>
              <w:tr2bl w:val="nil"/>
            </w:tcBorders>
            <w:vAlign w:val="center"/>
          </w:tcPr>
          <w:p w14:paraId="712A0C56">
            <w:pPr>
              <w:pStyle w:val="41"/>
              <w:rPr>
                <w:color w:val="auto"/>
                <w:highlight w:val="none"/>
              </w:rPr>
            </w:pPr>
            <w:r>
              <w:rPr>
                <w:color w:val="auto"/>
                <w:highlight w:val="none"/>
              </w:rPr>
              <w:t>堆存</w:t>
            </w:r>
          </w:p>
        </w:tc>
        <w:tc>
          <w:tcPr>
            <w:tcW w:w="2182" w:type="pct"/>
            <w:gridSpan w:val="2"/>
            <w:tcBorders>
              <w:tl2br w:val="nil"/>
              <w:tr2bl w:val="nil"/>
            </w:tcBorders>
            <w:vAlign w:val="center"/>
          </w:tcPr>
          <w:p w14:paraId="7528443D">
            <w:pPr>
              <w:pStyle w:val="41"/>
              <w:rPr>
                <w:color w:val="auto"/>
                <w:highlight w:val="none"/>
              </w:rPr>
            </w:pPr>
            <w:r>
              <w:rPr>
                <w:color w:val="auto"/>
                <w:highlight w:val="none"/>
              </w:rPr>
              <w:t>堆存种类</w:t>
            </w:r>
          </w:p>
        </w:tc>
        <w:tc>
          <w:tcPr>
            <w:tcW w:w="593" w:type="pct"/>
            <w:tcBorders>
              <w:tl2br w:val="nil"/>
              <w:tr2bl w:val="nil"/>
            </w:tcBorders>
            <w:vAlign w:val="center"/>
          </w:tcPr>
          <w:p w14:paraId="24CEC1E3">
            <w:pPr>
              <w:pStyle w:val="41"/>
              <w:rPr>
                <w:color w:val="auto"/>
                <w:highlight w:val="none"/>
              </w:rPr>
            </w:pPr>
            <w:r>
              <w:rPr>
                <w:color w:val="auto"/>
                <w:highlight w:val="none"/>
              </w:rPr>
              <w:t>1.5</w:t>
            </w:r>
          </w:p>
        </w:tc>
        <w:tc>
          <w:tcPr>
            <w:tcW w:w="593" w:type="pct"/>
            <w:tcBorders>
              <w:tl2br w:val="nil"/>
              <w:tr2bl w:val="nil"/>
            </w:tcBorders>
            <w:vAlign w:val="center"/>
          </w:tcPr>
          <w:p w14:paraId="2AF0E055">
            <w:pPr>
              <w:pStyle w:val="41"/>
              <w:rPr>
                <w:color w:val="auto"/>
                <w:highlight w:val="none"/>
              </w:rPr>
            </w:pPr>
            <w:r>
              <w:rPr>
                <w:color w:val="auto"/>
                <w:highlight w:val="none"/>
              </w:rPr>
              <w:t>0</w:t>
            </w:r>
          </w:p>
        </w:tc>
      </w:tr>
      <w:tr w14:paraId="6DD68E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68BF8A7A">
            <w:pPr>
              <w:pStyle w:val="41"/>
              <w:rPr>
                <w:color w:val="auto"/>
                <w:highlight w:val="none"/>
              </w:rPr>
            </w:pPr>
            <w:r>
              <w:rPr>
                <w:color w:val="auto"/>
                <w:highlight w:val="none"/>
              </w:rPr>
              <w:t>2</w:t>
            </w:r>
          </w:p>
        </w:tc>
        <w:tc>
          <w:tcPr>
            <w:tcW w:w="363" w:type="pct"/>
            <w:vMerge w:val="continue"/>
            <w:tcBorders>
              <w:tl2br w:val="nil"/>
              <w:tr2bl w:val="nil"/>
            </w:tcBorders>
            <w:vAlign w:val="center"/>
          </w:tcPr>
          <w:p w14:paraId="17304B35">
            <w:pPr>
              <w:pStyle w:val="41"/>
              <w:rPr>
                <w:color w:val="auto"/>
                <w:highlight w:val="none"/>
              </w:rPr>
            </w:pPr>
          </w:p>
        </w:tc>
        <w:tc>
          <w:tcPr>
            <w:tcW w:w="419" w:type="pct"/>
            <w:vMerge w:val="continue"/>
            <w:tcBorders>
              <w:tl2br w:val="nil"/>
              <w:tr2bl w:val="nil"/>
            </w:tcBorders>
            <w:vAlign w:val="center"/>
          </w:tcPr>
          <w:p w14:paraId="32C1DE69">
            <w:pPr>
              <w:pStyle w:val="41"/>
              <w:rPr>
                <w:color w:val="auto"/>
                <w:highlight w:val="none"/>
              </w:rPr>
            </w:pPr>
          </w:p>
        </w:tc>
        <w:tc>
          <w:tcPr>
            <w:tcW w:w="535" w:type="pct"/>
            <w:vMerge w:val="continue"/>
            <w:tcBorders>
              <w:tl2br w:val="nil"/>
              <w:tr2bl w:val="nil"/>
            </w:tcBorders>
            <w:vAlign w:val="center"/>
          </w:tcPr>
          <w:p w14:paraId="527E37C9">
            <w:pPr>
              <w:pStyle w:val="41"/>
              <w:rPr>
                <w:color w:val="auto"/>
                <w:highlight w:val="none"/>
              </w:rPr>
            </w:pPr>
          </w:p>
        </w:tc>
        <w:tc>
          <w:tcPr>
            <w:tcW w:w="2182" w:type="pct"/>
            <w:gridSpan w:val="2"/>
            <w:tcBorders>
              <w:tl2br w:val="nil"/>
              <w:tr2bl w:val="nil"/>
            </w:tcBorders>
            <w:vAlign w:val="center"/>
          </w:tcPr>
          <w:p w14:paraId="4F2F0B76">
            <w:pPr>
              <w:pStyle w:val="41"/>
              <w:rPr>
                <w:color w:val="auto"/>
                <w:highlight w:val="none"/>
              </w:rPr>
            </w:pPr>
            <w:r>
              <w:rPr>
                <w:color w:val="auto"/>
                <w:highlight w:val="none"/>
              </w:rPr>
              <w:t>堆存方式</w:t>
            </w:r>
          </w:p>
        </w:tc>
        <w:tc>
          <w:tcPr>
            <w:tcW w:w="593" w:type="pct"/>
            <w:tcBorders>
              <w:tl2br w:val="nil"/>
              <w:tr2bl w:val="nil"/>
            </w:tcBorders>
            <w:vAlign w:val="center"/>
          </w:tcPr>
          <w:p w14:paraId="5AD787DB">
            <w:pPr>
              <w:pStyle w:val="41"/>
              <w:rPr>
                <w:color w:val="auto"/>
                <w:highlight w:val="none"/>
              </w:rPr>
            </w:pPr>
            <w:r>
              <w:rPr>
                <w:color w:val="auto"/>
                <w:highlight w:val="none"/>
              </w:rPr>
              <w:t>1</w:t>
            </w:r>
          </w:p>
        </w:tc>
        <w:tc>
          <w:tcPr>
            <w:tcW w:w="593" w:type="pct"/>
            <w:tcBorders>
              <w:tl2br w:val="nil"/>
              <w:tr2bl w:val="nil"/>
            </w:tcBorders>
            <w:vAlign w:val="center"/>
          </w:tcPr>
          <w:p w14:paraId="1983BC2B">
            <w:pPr>
              <w:pStyle w:val="41"/>
              <w:rPr>
                <w:color w:val="auto"/>
                <w:highlight w:val="none"/>
              </w:rPr>
            </w:pPr>
            <w:r>
              <w:rPr>
                <w:color w:val="auto"/>
                <w:highlight w:val="none"/>
              </w:rPr>
              <w:t>0</w:t>
            </w:r>
          </w:p>
        </w:tc>
      </w:tr>
      <w:tr w14:paraId="57F83E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5B2FEA8A">
            <w:pPr>
              <w:pStyle w:val="41"/>
              <w:rPr>
                <w:color w:val="auto"/>
                <w:highlight w:val="none"/>
              </w:rPr>
            </w:pPr>
            <w:r>
              <w:rPr>
                <w:color w:val="auto"/>
                <w:highlight w:val="none"/>
              </w:rPr>
              <w:t>3</w:t>
            </w:r>
          </w:p>
        </w:tc>
        <w:tc>
          <w:tcPr>
            <w:tcW w:w="363" w:type="pct"/>
            <w:vMerge w:val="continue"/>
            <w:tcBorders>
              <w:tl2br w:val="nil"/>
              <w:tr2bl w:val="nil"/>
            </w:tcBorders>
            <w:vAlign w:val="center"/>
          </w:tcPr>
          <w:p w14:paraId="58459B5B">
            <w:pPr>
              <w:pStyle w:val="41"/>
              <w:rPr>
                <w:color w:val="auto"/>
                <w:highlight w:val="none"/>
              </w:rPr>
            </w:pPr>
          </w:p>
        </w:tc>
        <w:tc>
          <w:tcPr>
            <w:tcW w:w="419" w:type="pct"/>
            <w:vMerge w:val="continue"/>
            <w:tcBorders>
              <w:tl2br w:val="nil"/>
              <w:tr2bl w:val="nil"/>
            </w:tcBorders>
            <w:vAlign w:val="center"/>
          </w:tcPr>
          <w:p w14:paraId="0165C921">
            <w:pPr>
              <w:pStyle w:val="41"/>
              <w:rPr>
                <w:color w:val="auto"/>
                <w:highlight w:val="none"/>
              </w:rPr>
            </w:pPr>
          </w:p>
        </w:tc>
        <w:tc>
          <w:tcPr>
            <w:tcW w:w="535" w:type="pct"/>
            <w:vMerge w:val="continue"/>
            <w:tcBorders>
              <w:tl2br w:val="nil"/>
              <w:tr2bl w:val="nil"/>
            </w:tcBorders>
            <w:vAlign w:val="center"/>
          </w:tcPr>
          <w:p w14:paraId="38E1AD03">
            <w:pPr>
              <w:pStyle w:val="41"/>
              <w:rPr>
                <w:color w:val="auto"/>
                <w:highlight w:val="none"/>
              </w:rPr>
            </w:pPr>
          </w:p>
        </w:tc>
        <w:tc>
          <w:tcPr>
            <w:tcW w:w="2182" w:type="pct"/>
            <w:gridSpan w:val="2"/>
            <w:tcBorders>
              <w:tl2br w:val="nil"/>
              <w:tr2bl w:val="nil"/>
            </w:tcBorders>
            <w:vAlign w:val="center"/>
          </w:tcPr>
          <w:p w14:paraId="44B72482">
            <w:pPr>
              <w:pStyle w:val="41"/>
              <w:rPr>
                <w:color w:val="auto"/>
                <w:highlight w:val="none"/>
              </w:rPr>
            </w:pPr>
            <w:r>
              <w:rPr>
                <w:color w:val="auto"/>
                <w:highlight w:val="none"/>
              </w:rPr>
              <w:t>坝体透水情况</w:t>
            </w:r>
          </w:p>
        </w:tc>
        <w:tc>
          <w:tcPr>
            <w:tcW w:w="593" w:type="pct"/>
            <w:tcBorders>
              <w:tl2br w:val="nil"/>
              <w:tr2bl w:val="nil"/>
            </w:tcBorders>
            <w:vAlign w:val="center"/>
          </w:tcPr>
          <w:p w14:paraId="41005B0E">
            <w:pPr>
              <w:pStyle w:val="41"/>
              <w:rPr>
                <w:color w:val="auto"/>
                <w:highlight w:val="none"/>
              </w:rPr>
            </w:pPr>
            <w:r>
              <w:rPr>
                <w:color w:val="auto"/>
                <w:highlight w:val="none"/>
              </w:rPr>
              <w:t>2</w:t>
            </w:r>
          </w:p>
        </w:tc>
        <w:tc>
          <w:tcPr>
            <w:tcW w:w="593" w:type="pct"/>
            <w:tcBorders>
              <w:tl2br w:val="nil"/>
              <w:tr2bl w:val="nil"/>
            </w:tcBorders>
            <w:vAlign w:val="center"/>
          </w:tcPr>
          <w:p w14:paraId="45B1FB08">
            <w:pPr>
              <w:pStyle w:val="41"/>
              <w:rPr>
                <w:color w:val="auto"/>
                <w:highlight w:val="none"/>
              </w:rPr>
            </w:pPr>
            <w:r>
              <w:rPr>
                <w:color w:val="auto"/>
                <w:highlight w:val="none"/>
              </w:rPr>
              <w:t>0</w:t>
            </w:r>
          </w:p>
        </w:tc>
      </w:tr>
      <w:tr w14:paraId="501F81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6988FB03">
            <w:pPr>
              <w:pStyle w:val="41"/>
              <w:rPr>
                <w:color w:val="auto"/>
                <w:highlight w:val="none"/>
              </w:rPr>
            </w:pPr>
            <w:r>
              <w:rPr>
                <w:color w:val="auto"/>
                <w:highlight w:val="none"/>
              </w:rPr>
              <w:t>4</w:t>
            </w:r>
          </w:p>
        </w:tc>
        <w:tc>
          <w:tcPr>
            <w:tcW w:w="363" w:type="pct"/>
            <w:vMerge w:val="continue"/>
            <w:tcBorders>
              <w:tl2br w:val="nil"/>
              <w:tr2bl w:val="nil"/>
            </w:tcBorders>
            <w:vAlign w:val="center"/>
          </w:tcPr>
          <w:p w14:paraId="47129A93">
            <w:pPr>
              <w:pStyle w:val="41"/>
              <w:rPr>
                <w:color w:val="auto"/>
                <w:highlight w:val="none"/>
              </w:rPr>
            </w:pPr>
          </w:p>
        </w:tc>
        <w:tc>
          <w:tcPr>
            <w:tcW w:w="419" w:type="pct"/>
            <w:vMerge w:val="continue"/>
            <w:tcBorders>
              <w:tl2br w:val="nil"/>
              <w:tr2bl w:val="nil"/>
            </w:tcBorders>
            <w:vAlign w:val="center"/>
          </w:tcPr>
          <w:p w14:paraId="2FC0D63D">
            <w:pPr>
              <w:pStyle w:val="41"/>
              <w:rPr>
                <w:color w:val="auto"/>
                <w:highlight w:val="none"/>
              </w:rPr>
            </w:pPr>
          </w:p>
        </w:tc>
        <w:tc>
          <w:tcPr>
            <w:tcW w:w="535" w:type="pct"/>
            <w:vMerge w:val="restart"/>
            <w:tcBorders>
              <w:tl2br w:val="nil"/>
              <w:tr2bl w:val="nil"/>
            </w:tcBorders>
            <w:vAlign w:val="center"/>
          </w:tcPr>
          <w:p w14:paraId="13E7BE06">
            <w:pPr>
              <w:pStyle w:val="41"/>
              <w:rPr>
                <w:color w:val="auto"/>
                <w:highlight w:val="none"/>
              </w:rPr>
            </w:pPr>
            <w:r>
              <w:rPr>
                <w:color w:val="auto"/>
                <w:highlight w:val="none"/>
              </w:rPr>
              <w:t>输送</w:t>
            </w:r>
          </w:p>
        </w:tc>
        <w:tc>
          <w:tcPr>
            <w:tcW w:w="2182" w:type="pct"/>
            <w:gridSpan w:val="2"/>
            <w:tcBorders>
              <w:tl2br w:val="nil"/>
              <w:tr2bl w:val="nil"/>
            </w:tcBorders>
            <w:vAlign w:val="center"/>
          </w:tcPr>
          <w:p w14:paraId="3C71BA2E">
            <w:pPr>
              <w:pStyle w:val="41"/>
              <w:rPr>
                <w:color w:val="auto"/>
                <w:highlight w:val="none"/>
              </w:rPr>
            </w:pPr>
            <w:r>
              <w:rPr>
                <w:color w:val="auto"/>
                <w:highlight w:val="none"/>
              </w:rPr>
              <w:t>输送方式</w:t>
            </w:r>
          </w:p>
        </w:tc>
        <w:tc>
          <w:tcPr>
            <w:tcW w:w="593" w:type="pct"/>
            <w:tcBorders>
              <w:tl2br w:val="nil"/>
              <w:tr2bl w:val="nil"/>
            </w:tcBorders>
            <w:vAlign w:val="center"/>
          </w:tcPr>
          <w:p w14:paraId="720053EB">
            <w:pPr>
              <w:pStyle w:val="41"/>
              <w:rPr>
                <w:color w:val="auto"/>
                <w:highlight w:val="none"/>
              </w:rPr>
            </w:pPr>
            <w:r>
              <w:rPr>
                <w:color w:val="auto"/>
                <w:highlight w:val="none"/>
              </w:rPr>
              <w:t>1.5</w:t>
            </w:r>
          </w:p>
        </w:tc>
        <w:tc>
          <w:tcPr>
            <w:tcW w:w="593" w:type="pct"/>
            <w:tcBorders>
              <w:tl2br w:val="nil"/>
              <w:tr2bl w:val="nil"/>
            </w:tcBorders>
            <w:vAlign w:val="center"/>
          </w:tcPr>
          <w:p w14:paraId="11A05D14">
            <w:pPr>
              <w:pStyle w:val="41"/>
              <w:rPr>
                <w:color w:val="auto"/>
                <w:highlight w:val="none"/>
              </w:rPr>
            </w:pPr>
            <w:r>
              <w:rPr>
                <w:color w:val="auto"/>
                <w:highlight w:val="none"/>
              </w:rPr>
              <w:t>0</w:t>
            </w:r>
          </w:p>
        </w:tc>
      </w:tr>
      <w:tr w14:paraId="77E870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63C0EF59">
            <w:pPr>
              <w:pStyle w:val="41"/>
              <w:rPr>
                <w:color w:val="auto"/>
                <w:highlight w:val="none"/>
              </w:rPr>
            </w:pPr>
            <w:r>
              <w:rPr>
                <w:color w:val="auto"/>
                <w:highlight w:val="none"/>
              </w:rPr>
              <w:t>5</w:t>
            </w:r>
          </w:p>
        </w:tc>
        <w:tc>
          <w:tcPr>
            <w:tcW w:w="363" w:type="pct"/>
            <w:vMerge w:val="continue"/>
            <w:tcBorders>
              <w:tl2br w:val="nil"/>
              <w:tr2bl w:val="nil"/>
            </w:tcBorders>
            <w:vAlign w:val="center"/>
          </w:tcPr>
          <w:p w14:paraId="7BAB124E">
            <w:pPr>
              <w:pStyle w:val="41"/>
              <w:rPr>
                <w:color w:val="auto"/>
                <w:highlight w:val="none"/>
              </w:rPr>
            </w:pPr>
          </w:p>
        </w:tc>
        <w:tc>
          <w:tcPr>
            <w:tcW w:w="419" w:type="pct"/>
            <w:vMerge w:val="continue"/>
            <w:tcBorders>
              <w:tl2br w:val="nil"/>
              <w:tr2bl w:val="nil"/>
            </w:tcBorders>
            <w:vAlign w:val="center"/>
          </w:tcPr>
          <w:p w14:paraId="6CEA2688">
            <w:pPr>
              <w:pStyle w:val="41"/>
              <w:rPr>
                <w:color w:val="auto"/>
                <w:highlight w:val="none"/>
              </w:rPr>
            </w:pPr>
          </w:p>
        </w:tc>
        <w:tc>
          <w:tcPr>
            <w:tcW w:w="535" w:type="pct"/>
            <w:vMerge w:val="continue"/>
            <w:tcBorders>
              <w:tl2br w:val="nil"/>
              <w:tr2bl w:val="nil"/>
            </w:tcBorders>
            <w:vAlign w:val="center"/>
          </w:tcPr>
          <w:p w14:paraId="6DD51455">
            <w:pPr>
              <w:pStyle w:val="41"/>
              <w:rPr>
                <w:color w:val="auto"/>
                <w:highlight w:val="none"/>
              </w:rPr>
            </w:pPr>
          </w:p>
        </w:tc>
        <w:tc>
          <w:tcPr>
            <w:tcW w:w="2182" w:type="pct"/>
            <w:gridSpan w:val="2"/>
            <w:tcBorders>
              <w:tl2br w:val="nil"/>
              <w:tr2bl w:val="nil"/>
            </w:tcBorders>
            <w:vAlign w:val="center"/>
          </w:tcPr>
          <w:p w14:paraId="2279F47F">
            <w:pPr>
              <w:pStyle w:val="41"/>
              <w:rPr>
                <w:color w:val="auto"/>
                <w:highlight w:val="none"/>
              </w:rPr>
            </w:pPr>
            <w:r>
              <w:rPr>
                <w:color w:val="auto"/>
                <w:highlight w:val="none"/>
              </w:rPr>
              <w:t>输送量</w:t>
            </w:r>
          </w:p>
        </w:tc>
        <w:tc>
          <w:tcPr>
            <w:tcW w:w="593" w:type="pct"/>
            <w:tcBorders>
              <w:tl2br w:val="nil"/>
              <w:tr2bl w:val="nil"/>
            </w:tcBorders>
            <w:vAlign w:val="center"/>
          </w:tcPr>
          <w:p w14:paraId="3BA56A1A">
            <w:pPr>
              <w:pStyle w:val="41"/>
              <w:rPr>
                <w:color w:val="auto"/>
                <w:highlight w:val="none"/>
              </w:rPr>
            </w:pPr>
            <w:r>
              <w:rPr>
                <w:color w:val="auto"/>
                <w:highlight w:val="none"/>
              </w:rPr>
              <w:t>1</w:t>
            </w:r>
          </w:p>
        </w:tc>
        <w:tc>
          <w:tcPr>
            <w:tcW w:w="593" w:type="pct"/>
            <w:tcBorders>
              <w:tl2br w:val="nil"/>
              <w:tr2bl w:val="nil"/>
            </w:tcBorders>
            <w:vAlign w:val="center"/>
          </w:tcPr>
          <w:p w14:paraId="53E4499A">
            <w:pPr>
              <w:pStyle w:val="41"/>
              <w:rPr>
                <w:color w:val="auto"/>
                <w:highlight w:val="none"/>
              </w:rPr>
            </w:pPr>
            <w:r>
              <w:rPr>
                <w:color w:val="auto"/>
                <w:highlight w:val="none"/>
              </w:rPr>
              <w:t>0.5</w:t>
            </w:r>
          </w:p>
        </w:tc>
      </w:tr>
      <w:tr w14:paraId="3C5A9E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2B3D9E0E">
            <w:pPr>
              <w:pStyle w:val="41"/>
              <w:rPr>
                <w:color w:val="auto"/>
                <w:highlight w:val="none"/>
              </w:rPr>
            </w:pPr>
            <w:r>
              <w:rPr>
                <w:color w:val="auto"/>
                <w:highlight w:val="none"/>
              </w:rPr>
              <w:t>6</w:t>
            </w:r>
          </w:p>
        </w:tc>
        <w:tc>
          <w:tcPr>
            <w:tcW w:w="363" w:type="pct"/>
            <w:vMerge w:val="continue"/>
            <w:tcBorders>
              <w:tl2br w:val="nil"/>
              <w:tr2bl w:val="nil"/>
            </w:tcBorders>
            <w:vAlign w:val="center"/>
          </w:tcPr>
          <w:p w14:paraId="75E55088">
            <w:pPr>
              <w:pStyle w:val="41"/>
              <w:rPr>
                <w:color w:val="auto"/>
                <w:highlight w:val="none"/>
              </w:rPr>
            </w:pPr>
          </w:p>
        </w:tc>
        <w:tc>
          <w:tcPr>
            <w:tcW w:w="419" w:type="pct"/>
            <w:vMerge w:val="continue"/>
            <w:tcBorders>
              <w:tl2br w:val="nil"/>
              <w:tr2bl w:val="nil"/>
            </w:tcBorders>
            <w:vAlign w:val="center"/>
          </w:tcPr>
          <w:p w14:paraId="794F5C40">
            <w:pPr>
              <w:pStyle w:val="41"/>
              <w:rPr>
                <w:color w:val="auto"/>
                <w:highlight w:val="none"/>
              </w:rPr>
            </w:pPr>
          </w:p>
        </w:tc>
        <w:tc>
          <w:tcPr>
            <w:tcW w:w="535" w:type="pct"/>
            <w:vMerge w:val="continue"/>
            <w:tcBorders>
              <w:tl2br w:val="nil"/>
              <w:tr2bl w:val="nil"/>
            </w:tcBorders>
            <w:vAlign w:val="center"/>
          </w:tcPr>
          <w:p w14:paraId="74930459">
            <w:pPr>
              <w:pStyle w:val="41"/>
              <w:rPr>
                <w:color w:val="auto"/>
                <w:highlight w:val="none"/>
              </w:rPr>
            </w:pPr>
          </w:p>
        </w:tc>
        <w:tc>
          <w:tcPr>
            <w:tcW w:w="2182" w:type="pct"/>
            <w:gridSpan w:val="2"/>
            <w:tcBorders>
              <w:tl2br w:val="nil"/>
              <w:tr2bl w:val="nil"/>
            </w:tcBorders>
            <w:vAlign w:val="center"/>
          </w:tcPr>
          <w:p w14:paraId="471AC956">
            <w:pPr>
              <w:pStyle w:val="41"/>
              <w:rPr>
                <w:color w:val="auto"/>
                <w:highlight w:val="none"/>
              </w:rPr>
            </w:pPr>
            <w:r>
              <w:rPr>
                <w:color w:val="auto"/>
                <w:highlight w:val="none"/>
              </w:rPr>
              <w:t>输送距离</w:t>
            </w:r>
          </w:p>
        </w:tc>
        <w:tc>
          <w:tcPr>
            <w:tcW w:w="593" w:type="pct"/>
            <w:tcBorders>
              <w:tl2br w:val="nil"/>
              <w:tr2bl w:val="nil"/>
            </w:tcBorders>
            <w:vAlign w:val="center"/>
          </w:tcPr>
          <w:p w14:paraId="69AABD95">
            <w:pPr>
              <w:pStyle w:val="41"/>
              <w:rPr>
                <w:color w:val="auto"/>
                <w:highlight w:val="none"/>
              </w:rPr>
            </w:pPr>
            <w:r>
              <w:rPr>
                <w:color w:val="auto"/>
                <w:highlight w:val="none"/>
              </w:rPr>
              <w:t>1.5</w:t>
            </w:r>
          </w:p>
        </w:tc>
        <w:tc>
          <w:tcPr>
            <w:tcW w:w="593" w:type="pct"/>
            <w:tcBorders>
              <w:tl2br w:val="nil"/>
              <w:tr2bl w:val="nil"/>
            </w:tcBorders>
            <w:vAlign w:val="center"/>
          </w:tcPr>
          <w:p w14:paraId="5637F90F">
            <w:pPr>
              <w:pStyle w:val="41"/>
              <w:rPr>
                <w:color w:val="auto"/>
                <w:highlight w:val="none"/>
              </w:rPr>
            </w:pPr>
            <w:r>
              <w:rPr>
                <w:color w:val="auto"/>
                <w:highlight w:val="none"/>
              </w:rPr>
              <w:t>0.75</w:t>
            </w:r>
          </w:p>
        </w:tc>
      </w:tr>
      <w:tr w14:paraId="100584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7B8FA1D7">
            <w:pPr>
              <w:pStyle w:val="41"/>
              <w:rPr>
                <w:color w:val="auto"/>
                <w:highlight w:val="none"/>
              </w:rPr>
            </w:pPr>
            <w:r>
              <w:rPr>
                <w:color w:val="auto"/>
                <w:highlight w:val="none"/>
              </w:rPr>
              <w:t>7</w:t>
            </w:r>
          </w:p>
        </w:tc>
        <w:tc>
          <w:tcPr>
            <w:tcW w:w="363" w:type="pct"/>
            <w:vMerge w:val="continue"/>
            <w:tcBorders>
              <w:tl2br w:val="nil"/>
              <w:tr2bl w:val="nil"/>
            </w:tcBorders>
            <w:vAlign w:val="center"/>
          </w:tcPr>
          <w:p w14:paraId="5040BAB4">
            <w:pPr>
              <w:pStyle w:val="41"/>
              <w:rPr>
                <w:color w:val="auto"/>
                <w:highlight w:val="none"/>
              </w:rPr>
            </w:pPr>
          </w:p>
        </w:tc>
        <w:tc>
          <w:tcPr>
            <w:tcW w:w="419" w:type="pct"/>
            <w:vMerge w:val="continue"/>
            <w:tcBorders>
              <w:tl2br w:val="nil"/>
              <w:tr2bl w:val="nil"/>
            </w:tcBorders>
            <w:vAlign w:val="center"/>
          </w:tcPr>
          <w:p w14:paraId="5E476022">
            <w:pPr>
              <w:pStyle w:val="41"/>
              <w:rPr>
                <w:color w:val="auto"/>
                <w:highlight w:val="none"/>
              </w:rPr>
            </w:pPr>
          </w:p>
        </w:tc>
        <w:tc>
          <w:tcPr>
            <w:tcW w:w="535" w:type="pct"/>
            <w:vMerge w:val="restart"/>
            <w:tcBorders>
              <w:tl2br w:val="nil"/>
              <w:tr2bl w:val="nil"/>
            </w:tcBorders>
            <w:vAlign w:val="center"/>
          </w:tcPr>
          <w:p w14:paraId="733FE2E6">
            <w:pPr>
              <w:pStyle w:val="41"/>
              <w:rPr>
                <w:color w:val="auto"/>
                <w:highlight w:val="none"/>
              </w:rPr>
            </w:pPr>
            <w:r>
              <w:rPr>
                <w:color w:val="auto"/>
                <w:highlight w:val="none"/>
              </w:rPr>
              <w:t>回水</w:t>
            </w:r>
          </w:p>
        </w:tc>
        <w:tc>
          <w:tcPr>
            <w:tcW w:w="2182" w:type="pct"/>
            <w:gridSpan w:val="2"/>
            <w:tcBorders>
              <w:tl2br w:val="nil"/>
              <w:tr2bl w:val="nil"/>
            </w:tcBorders>
            <w:vAlign w:val="center"/>
          </w:tcPr>
          <w:p w14:paraId="74F076A1">
            <w:pPr>
              <w:pStyle w:val="41"/>
              <w:rPr>
                <w:color w:val="auto"/>
                <w:highlight w:val="none"/>
              </w:rPr>
            </w:pPr>
            <w:r>
              <w:rPr>
                <w:color w:val="auto"/>
                <w:highlight w:val="none"/>
              </w:rPr>
              <w:t>回水方式</w:t>
            </w:r>
          </w:p>
        </w:tc>
        <w:tc>
          <w:tcPr>
            <w:tcW w:w="593" w:type="pct"/>
            <w:tcBorders>
              <w:tl2br w:val="nil"/>
              <w:tr2bl w:val="nil"/>
            </w:tcBorders>
            <w:vAlign w:val="center"/>
          </w:tcPr>
          <w:p w14:paraId="4804000A">
            <w:pPr>
              <w:pStyle w:val="41"/>
              <w:rPr>
                <w:color w:val="auto"/>
                <w:highlight w:val="none"/>
              </w:rPr>
            </w:pPr>
            <w:r>
              <w:rPr>
                <w:color w:val="auto"/>
                <w:highlight w:val="none"/>
              </w:rPr>
              <w:t>1</w:t>
            </w:r>
          </w:p>
        </w:tc>
        <w:tc>
          <w:tcPr>
            <w:tcW w:w="593" w:type="pct"/>
            <w:tcBorders>
              <w:tl2br w:val="nil"/>
              <w:tr2bl w:val="nil"/>
            </w:tcBorders>
            <w:vAlign w:val="center"/>
          </w:tcPr>
          <w:p w14:paraId="5C825BB8">
            <w:pPr>
              <w:pStyle w:val="41"/>
              <w:rPr>
                <w:color w:val="auto"/>
                <w:highlight w:val="none"/>
              </w:rPr>
            </w:pPr>
            <w:r>
              <w:rPr>
                <w:rFonts w:hint="eastAsia"/>
                <w:color w:val="auto"/>
                <w:highlight w:val="none"/>
                <w:lang w:val="en-US" w:eastAsia="zh-CN"/>
              </w:rPr>
              <w:t>0</w:t>
            </w:r>
          </w:p>
        </w:tc>
      </w:tr>
      <w:tr w14:paraId="569E92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3EC28A99">
            <w:pPr>
              <w:pStyle w:val="41"/>
              <w:rPr>
                <w:color w:val="auto"/>
                <w:highlight w:val="none"/>
              </w:rPr>
            </w:pPr>
            <w:r>
              <w:rPr>
                <w:color w:val="auto"/>
                <w:highlight w:val="none"/>
              </w:rPr>
              <w:t>8</w:t>
            </w:r>
          </w:p>
        </w:tc>
        <w:tc>
          <w:tcPr>
            <w:tcW w:w="363" w:type="pct"/>
            <w:vMerge w:val="continue"/>
            <w:tcBorders>
              <w:tl2br w:val="nil"/>
              <w:tr2bl w:val="nil"/>
            </w:tcBorders>
            <w:vAlign w:val="center"/>
          </w:tcPr>
          <w:p w14:paraId="484BE90C">
            <w:pPr>
              <w:pStyle w:val="41"/>
              <w:rPr>
                <w:color w:val="auto"/>
                <w:highlight w:val="none"/>
              </w:rPr>
            </w:pPr>
          </w:p>
        </w:tc>
        <w:tc>
          <w:tcPr>
            <w:tcW w:w="419" w:type="pct"/>
            <w:vMerge w:val="continue"/>
            <w:tcBorders>
              <w:tl2br w:val="nil"/>
              <w:tr2bl w:val="nil"/>
            </w:tcBorders>
            <w:vAlign w:val="center"/>
          </w:tcPr>
          <w:p w14:paraId="2338468E">
            <w:pPr>
              <w:pStyle w:val="41"/>
              <w:rPr>
                <w:color w:val="auto"/>
                <w:highlight w:val="none"/>
              </w:rPr>
            </w:pPr>
          </w:p>
        </w:tc>
        <w:tc>
          <w:tcPr>
            <w:tcW w:w="535" w:type="pct"/>
            <w:vMerge w:val="continue"/>
            <w:tcBorders>
              <w:tl2br w:val="nil"/>
              <w:tr2bl w:val="nil"/>
            </w:tcBorders>
            <w:vAlign w:val="center"/>
          </w:tcPr>
          <w:p w14:paraId="40F77D38">
            <w:pPr>
              <w:pStyle w:val="41"/>
              <w:rPr>
                <w:color w:val="auto"/>
                <w:highlight w:val="none"/>
              </w:rPr>
            </w:pPr>
          </w:p>
        </w:tc>
        <w:tc>
          <w:tcPr>
            <w:tcW w:w="2182" w:type="pct"/>
            <w:gridSpan w:val="2"/>
            <w:tcBorders>
              <w:tl2br w:val="nil"/>
              <w:tr2bl w:val="nil"/>
            </w:tcBorders>
            <w:vAlign w:val="center"/>
          </w:tcPr>
          <w:p w14:paraId="718B99B1">
            <w:pPr>
              <w:pStyle w:val="41"/>
              <w:rPr>
                <w:color w:val="auto"/>
                <w:highlight w:val="none"/>
              </w:rPr>
            </w:pPr>
            <w:r>
              <w:rPr>
                <w:color w:val="auto"/>
                <w:highlight w:val="none"/>
              </w:rPr>
              <w:t>回水量</w:t>
            </w:r>
          </w:p>
        </w:tc>
        <w:tc>
          <w:tcPr>
            <w:tcW w:w="593" w:type="pct"/>
            <w:tcBorders>
              <w:tl2br w:val="nil"/>
              <w:tr2bl w:val="nil"/>
            </w:tcBorders>
            <w:vAlign w:val="center"/>
          </w:tcPr>
          <w:p w14:paraId="13941F07">
            <w:pPr>
              <w:pStyle w:val="41"/>
              <w:rPr>
                <w:color w:val="auto"/>
                <w:highlight w:val="none"/>
              </w:rPr>
            </w:pPr>
            <w:r>
              <w:rPr>
                <w:color w:val="auto"/>
                <w:highlight w:val="none"/>
              </w:rPr>
              <w:t>0.5</w:t>
            </w:r>
          </w:p>
        </w:tc>
        <w:tc>
          <w:tcPr>
            <w:tcW w:w="593" w:type="pct"/>
            <w:tcBorders>
              <w:tl2br w:val="nil"/>
              <w:tr2bl w:val="nil"/>
            </w:tcBorders>
            <w:vAlign w:val="center"/>
          </w:tcPr>
          <w:p w14:paraId="34770F9C">
            <w:pPr>
              <w:pStyle w:val="41"/>
              <w:rPr>
                <w:color w:val="auto"/>
                <w:highlight w:val="none"/>
              </w:rPr>
            </w:pPr>
            <w:r>
              <w:rPr>
                <w:rFonts w:hint="eastAsia"/>
                <w:color w:val="auto"/>
                <w:highlight w:val="none"/>
                <w:lang w:val="en-US" w:eastAsia="zh-CN"/>
              </w:rPr>
              <w:t>0</w:t>
            </w:r>
          </w:p>
        </w:tc>
      </w:tr>
      <w:tr w14:paraId="003AF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1C711A6F">
            <w:pPr>
              <w:pStyle w:val="41"/>
              <w:rPr>
                <w:color w:val="auto"/>
                <w:highlight w:val="none"/>
              </w:rPr>
            </w:pPr>
            <w:r>
              <w:rPr>
                <w:color w:val="auto"/>
                <w:highlight w:val="none"/>
              </w:rPr>
              <w:t>9</w:t>
            </w:r>
          </w:p>
        </w:tc>
        <w:tc>
          <w:tcPr>
            <w:tcW w:w="363" w:type="pct"/>
            <w:vMerge w:val="continue"/>
            <w:tcBorders>
              <w:tl2br w:val="nil"/>
              <w:tr2bl w:val="nil"/>
            </w:tcBorders>
            <w:vAlign w:val="center"/>
          </w:tcPr>
          <w:p w14:paraId="3A0FD4C3">
            <w:pPr>
              <w:pStyle w:val="41"/>
              <w:rPr>
                <w:color w:val="auto"/>
                <w:highlight w:val="none"/>
              </w:rPr>
            </w:pPr>
          </w:p>
        </w:tc>
        <w:tc>
          <w:tcPr>
            <w:tcW w:w="419" w:type="pct"/>
            <w:vMerge w:val="continue"/>
            <w:tcBorders>
              <w:tl2br w:val="nil"/>
              <w:tr2bl w:val="nil"/>
            </w:tcBorders>
            <w:vAlign w:val="center"/>
          </w:tcPr>
          <w:p w14:paraId="0C621EC6">
            <w:pPr>
              <w:pStyle w:val="41"/>
              <w:rPr>
                <w:color w:val="auto"/>
                <w:highlight w:val="none"/>
              </w:rPr>
            </w:pPr>
          </w:p>
        </w:tc>
        <w:tc>
          <w:tcPr>
            <w:tcW w:w="535" w:type="pct"/>
            <w:vMerge w:val="continue"/>
            <w:tcBorders>
              <w:tl2br w:val="nil"/>
              <w:tr2bl w:val="nil"/>
            </w:tcBorders>
            <w:vAlign w:val="center"/>
          </w:tcPr>
          <w:p w14:paraId="2B4354EB">
            <w:pPr>
              <w:pStyle w:val="41"/>
              <w:rPr>
                <w:color w:val="auto"/>
                <w:highlight w:val="none"/>
              </w:rPr>
            </w:pPr>
          </w:p>
        </w:tc>
        <w:tc>
          <w:tcPr>
            <w:tcW w:w="2182" w:type="pct"/>
            <w:gridSpan w:val="2"/>
            <w:tcBorders>
              <w:tl2br w:val="nil"/>
              <w:tr2bl w:val="nil"/>
            </w:tcBorders>
            <w:vAlign w:val="center"/>
          </w:tcPr>
          <w:p w14:paraId="511D7DAF">
            <w:pPr>
              <w:pStyle w:val="41"/>
              <w:rPr>
                <w:color w:val="auto"/>
                <w:highlight w:val="none"/>
              </w:rPr>
            </w:pPr>
            <w:r>
              <w:rPr>
                <w:color w:val="auto"/>
                <w:highlight w:val="none"/>
              </w:rPr>
              <w:t>回水距离</w:t>
            </w:r>
          </w:p>
        </w:tc>
        <w:tc>
          <w:tcPr>
            <w:tcW w:w="593" w:type="pct"/>
            <w:tcBorders>
              <w:tl2br w:val="nil"/>
              <w:tr2bl w:val="nil"/>
            </w:tcBorders>
            <w:vAlign w:val="center"/>
          </w:tcPr>
          <w:p w14:paraId="736B72E5">
            <w:pPr>
              <w:pStyle w:val="41"/>
              <w:rPr>
                <w:color w:val="auto"/>
                <w:highlight w:val="none"/>
              </w:rPr>
            </w:pPr>
            <w:r>
              <w:rPr>
                <w:color w:val="auto"/>
                <w:highlight w:val="none"/>
              </w:rPr>
              <w:t>1</w:t>
            </w:r>
          </w:p>
        </w:tc>
        <w:tc>
          <w:tcPr>
            <w:tcW w:w="593" w:type="pct"/>
            <w:tcBorders>
              <w:tl2br w:val="nil"/>
              <w:tr2bl w:val="nil"/>
            </w:tcBorders>
            <w:vAlign w:val="center"/>
          </w:tcPr>
          <w:p w14:paraId="7C23B09A">
            <w:pPr>
              <w:pStyle w:val="41"/>
              <w:rPr>
                <w:color w:val="auto"/>
                <w:highlight w:val="none"/>
              </w:rPr>
            </w:pPr>
            <w:r>
              <w:rPr>
                <w:rFonts w:hint="eastAsia"/>
                <w:color w:val="auto"/>
                <w:highlight w:val="none"/>
                <w:lang w:val="en-US" w:eastAsia="zh-CN"/>
              </w:rPr>
              <w:t>0</w:t>
            </w:r>
          </w:p>
        </w:tc>
      </w:tr>
      <w:tr w14:paraId="240B40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70FE8FDD">
            <w:pPr>
              <w:pStyle w:val="41"/>
              <w:rPr>
                <w:color w:val="auto"/>
                <w:highlight w:val="none"/>
              </w:rPr>
            </w:pPr>
            <w:r>
              <w:rPr>
                <w:color w:val="auto"/>
                <w:highlight w:val="none"/>
              </w:rPr>
              <w:t>10</w:t>
            </w:r>
          </w:p>
        </w:tc>
        <w:tc>
          <w:tcPr>
            <w:tcW w:w="363" w:type="pct"/>
            <w:vMerge w:val="continue"/>
            <w:tcBorders>
              <w:tl2br w:val="nil"/>
              <w:tr2bl w:val="nil"/>
            </w:tcBorders>
            <w:vAlign w:val="center"/>
          </w:tcPr>
          <w:p w14:paraId="70E1F922">
            <w:pPr>
              <w:pStyle w:val="41"/>
              <w:rPr>
                <w:color w:val="auto"/>
                <w:highlight w:val="none"/>
              </w:rPr>
            </w:pPr>
          </w:p>
        </w:tc>
        <w:tc>
          <w:tcPr>
            <w:tcW w:w="419" w:type="pct"/>
            <w:vMerge w:val="continue"/>
            <w:tcBorders>
              <w:tl2br w:val="nil"/>
              <w:tr2bl w:val="nil"/>
            </w:tcBorders>
            <w:vAlign w:val="center"/>
          </w:tcPr>
          <w:p w14:paraId="281F9280">
            <w:pPr>
              <w:pStyle w:val="41"/>
              <w:rPr>
                <w:color w:val="auto"/>
                <w:highlight w:val="none"/>
              </w:rPr>
            </w:pPr>
          </w:p>
        </w:tc>
        <w:tc>
          <w:tcPr>
            <w:tcW w:w="535" w:type="pct"/>
            <w:vMerge w:val="restart"/>
            <w:tcBorders>
              <w:tl2br w:val="nil"/>
              <w:tr2bl w:val="nil"/>
            </w:tcBorders>
            <w:vAlign w:val="center"/>
          </w:tcPr>
          <w:p w14:paraId="5E4409CC">
            <w:pPr>
              <w:pStyle w:val="41"/>
              <w:rPr>
                <w:color w:val="auto"/>
                <w:highlight w:val="none"/>
              </w:rPr>
            </w:pPr>
            <w:r>
              <w:rPr>
                <w:color w:val="auto"/>
                <w:highlight w:val="none"/>
              </w:rPr>
              <w:t>防洪</w:t>
            </w:r>
          </w:p>
        </w:tc>
        <w:tc>
          <w:tcPr>
            <w:tcW w:w="2182" w:type="pct"/>
            <w:gridSpan w:val="2"/>
            <w:tcBorders>
              <w:tl2br w:val="nil"/>
              <w:tr2bl w:val="nil"/>
            </w:tcBorders>
            <w:vAlign w:val="center"/>
          </w:tcPr>
          <w:p w14:paraId="7338B405">
            <w:pPr>
              <w:pStyle w:val="41"/>
              <w:rPr>
                <w:color w:val="auto"/>
                <w:highlight w:val="none"/>
              </w:rPr>
            </w:pPr>
            <w:r>
              <w:rPr>
                <w:color w:val="auto"/>
                <w:highlight w:val="none"/>
              </w:rPr>
              <w:t>库外截洪设施</w:t>
            </w:r>
          </w:p>
        </w:tc>
        <w:tc>
          <w:tcPr>
            <w:tcW w:w="593" w:type="pct"/>
            <w:tcBorders>
              <w:tl2br w:val="nil"/>
              <w:tr2bl w:val="nil"/>
            </w:tcBorders>
            <w:vAlign w:val="center"/>
          </w:tcPr>
          <w:p w14:paraId="615F06A5">
            <w:pPr>
              <w:pStyle w:val="41"/>
              <w:rPr>
                <w:color w:val="auto"/>
                <w:highlight w:val="none"/>
              </w:rPr>
            </w:pPr>
            <w:r>
              <w:rPr>
                <w:color w:val="auto"/>
                <w:highlight w:val="none"/>
              </w:rPr>
              <w:t>2</w:t>
            </w:r>
          </w:p>
        </w:tc>
        <w:tc>
          <w:tcPr>
            <w:tcW w:w="593" w:type="pct"/>
            <w:tcBorders>
              <w:tl2br w:val="nil"/>
              <w:tr2bl w:val="nil"/>
            </w:tcBorders>
            <w:vAlign w:val="center"/>
          </w:tcPr>
          <w:p w14:paraId="158ED843">
            <w:pPr>
              <w:pStyle w:val="41"/>
              <w:rPr>
                <w:color w:val="auto"/>
                <w:highlight w:val="none"/>
              </w:rPr>
            </w:pPr>
            <w:r>
              <w:rPr>
                <w:color w:val="auto"/>
                <w:highlight w:val="none"/>
              </w:rPr>
              <w:t>1</w:t>
            </w:r>
          </w:p>
        </w:tc>
      </w:tr>
      <w:tr w14:paraId="1D53BB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5EB7721A">
            <w:pPr>
              <w:pStyle w:val="41"/>
              <w:rPr>
                <w:color w:val="auto"/>
                <w:highlight w:val="none"/>
              </w:rPr>
            </w:pPr>
            <w:r>
              <w:rPr>
                <w:color w:val="auto"/>
                <w:highlight w:val="none"/>
              </w:rPr>
              <w:t>11</w:t>
            </w:r>
          </w:p>
        </w:tc>
        <w:tc>
          <w:tcPr>
            <w:tcW w:w="363" w:type="pct"/>
            <w:vMerge w:val="continue"/>
            <w:tcBorders>
              <w:tl2br w:val="nil"/>
              <w:tr2bl w:val="nil"/>
            </w:tcBorders>
            <w:vAlign w:val="center"/>
          </w:tcPr>
          <w:p w14:paraId="3EA14156">
            <w:pPr>
              <w:pStyle w:val="41"/>
              <w:rPr>
                <w:color w:val="auto"/>
                <w:highlight w:val="none"/>
              </w:rPr>
            </w:pPr>
          </w:p>
        </w:tc>
        <w:tc>
          <w:tcPr>
            <w:tcW w:w="419" w:type="pct"/>
            <w:vMerge w:val="continue"/>
            <w:tcBorders>
              <w:tl2br w:val="nil"/>
              <w:tr2bl w:val="nil"/>
            </w:tcBorders>
            <w:vAlign w:val="center"/>
          </w:tcPr>
          <w:p w14:paraId="4B545DAD">
            <w:pPr>
              <w:pStyle w:val="41"/>
              <w:rPr>
                <w:color w:val="auto"/>
                <w:highlight w:val="none"/>
              </w:rPr>
            </w:pPr>
          </w:p>
        </w:tc>
        <w:tc>
          <w:tcPr>
            <w:tcW w:w="535" w:type="pct"/>
            <w:vMerge w:val="continue"/>
            <w:tcBorders>
              <w:tl2br w:val="nil"/>
              <w:tr2bl w:val="nil"/>
            </w:tcBorders>
            <w:vAlign w:val="center"/>
          </w:tcPr>
          <w:p w14:paraId="7E9AA317">
            <w:pPr>
              <w:pStyle w:val="41"/>
              <w:rPr>
                <w:color w:val="auto"/>
                <w:highlight w:val="none"/>
              </w:rPr>
            </w:pPr>
          </w:p>
        </w:tc>
        <w:tc>
          <w:tcPr>
            <w:tcW w:w="2182" w:type="pct"/>
            <w:gridSpan w:val="2"/>
            <w:tcBorders>
              <w:tl2br w:val="nil"/>
              <w:tr2bl w:val="nil"/>
            </w:tcBorders>
            <w:vAlign w:val="center"/>
          </w:tcPr>
          <w:p w14:paraId="0D6FA31E">
            <w:pPr>
              <w:pStyle w:val="41"/>
              <w:rPr>
                <w:color w:val="auto"/>
                <w:highlight w:val="none"/>
              </w:rPr>
            </w:pPr>
            <w:r>
              <w:rPr>
                <w:color w:val="auto"/>
                <w:highlight w:val="none"/>
              </w:rPr>
              <w:t>库内排洪设施</w:t>
            </w:r>
          </w:p>
        </w:tc>
        <w:tc>
          <w:tcPr>
            <w:tcW w:w="593" w:type="pct"/>
            <w:tcBorders>
              <w:tl2br w:val="nil"/>
              <w:tr2bl w:val="nil"/>
            </w:tcBorders>
            <w:vAlign w:val="center"/>
          </w:tcPr>
          <w:p w14:paraId="0ED16FD2">
            <w:pPr>
              <w:pStyle w:val="41"/>
              <w:rPr>
                <w:color w:val="auto"/>
                <w:highlight w:val="none"/>
              </w:rPr>
            </w:pPr>
            <w:r>
              <w:rPr>
                <w:color w:val="auto"/>
                <w:highlight w:val="none"/>
              </w:rPr>
              <w:t>2</w:t>
            </w:r>
          </w:p>
        </w:tc>
        <w:tc>
          <w:tcPr>
            <w:tcW w:w="593" w:type="pct"/>
            <w:tcBorders>
              <w:tl2br w:val="nil"/>
              <w:tr2bl w:val="nil"/>
            </w:tcBorders>
            <w:vAlign w:val="center"/>
          </w:tcPr>
          <w:p w14:paraId="13BB8E6E">
            <w:pPr>
              <w:pStyle w:val="41"/>
              <w:rPr>
                <w:color w:val="auto"/>
                <w:highlight w:val="none"/>
              </w:rPr>
            </w:pPr>
            <w:r>
              <w:rPr>
                <w:color w:val="auto"/>
                <w:highlight w:val="none"/>
              </w:rPr>
              <w:t>1</w:t>
            </w:r>
          </w:p>
        </w:tc>
      </w:tr>
      <w:tr w14:paraId="3BE679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305A3BEA">
            <w:pPr>
              <w:pStyle w:val="41"/>
              <w:rPr>
                <w:color w:val="auto"/>
                <w:highlight w:val="none"/>
              </w:rPr>
            </w:pPr>
            <w:r>
              <w:rPr>
                <w:color w:val="auto"/>
                <w:highlight w:val="none"/>
              </w:rPr>
              <w:t>12</w:t>
            </w:r>
          </w:p>
        </w:tc>
        <w:tc>
          <w:tcPr>
            <w:tcW w:w="363" w:type="pct"/>
            <w:vMerge w:val="continue"/>
            <w:tcBorders>
              <w:tl2br w:val="nil"/>
              <w:tr2bl w:val="nil"/>
            </w:tcBorders>
            <w:vAlign w:val="center"/>
          </w:tcPr>
          <w:p w14:paraId="10B94FCF">
            <w:pPr>
              <w:pStyle w:val="41"/>
              <w:rPr>
                <w:color w:val="auto"/>
                <w:highlight w:val="none"/>
              </w:rPr>
            </w:pPr>
          </w:p>
        </w:tc>
        <w:tc>
          <w:tcPr>
            <w:tcW w:w="419" w:type="pct"/>
            <w:tcBorders>
              <w:tl2br w:val="nil"/>
              <w:tr2bl w:val="nil"/>
            </w:tcBorders>
            <w:vAlign w:val="center"/>
          </w:tcPr>
          <w:p w14:paraId="30377CD6">
            <w:pPr>
              <w:pStyle w:val="41"/>
              <w:rPr>
                <w:color w:val="auto"/>
                <w:highlight w:val="none"/>
              </w:rPr>
            </w:pPr>
            <w:r>
              <w:rPr>
                <w:color w:val="auto"/>
                <w:highlight w:val="none"/>
              </w:rPr>
              <w:t>自然条件情况</w:t>
            </w:r>
          </w:p>
        </w:tc>
        <w:tc>
          <w:tcPr>
            <w:tcW w:w="2718" w:type="pct"/>
            <w:gridSpan w:val="3"/>
            <w:tcBorders>
              <w:tl2br w:val="nil"/>
              <w:tr2bl w:val="nil"/>
            </w:tcBorders>
            <w:vAlign w:val="center"/>
          </w:tcPr>
          <w:p w14:paraId="5BBCDFE7">
            <w:pPr>
              <w:pStyle w:val="41"/>
              <w:rPr>
                <w:color w:val="auto"/>
                <w:highlight w:val="none"/>
              </w:rPr>
            </w:pPr>
            <w:r>
              <w:rPr>
                <w:color w:val="auto"/>
                <w:highlight w:val="none"/>
              </w:rPr>
              <w:t>是否处于按《地质灾害危险性评估技术要求（试行）》评定为“危害性中等”或“危害性大”的区域，或者处于地质灾害易灾区、岩溶（喀斯特）地貌区</w:t>
            </w:r>
          </w:p>
        </w:tc>
        <w:tc>
          <w:tcPr>
            <w:tcW w:w="593" w:type="pct"/>
            <w:tcBorders>
              <w:tl2br w:val="nil"/>
              <w:tr2bl w:val="nil"/>
            </w:tcBorders>
            <w:vAlign w:val="center"/>
          </w:tcPr>
          <w:p w14:paraId="77E689AA">
            <w:pPr>
              <w:pStyle w:val="41"/>
              <w:rPr>
                <w:color w:val="auto"/>
                <w:highlight w:val="none"/>
              </w:rPr>
            </w:pPr>
            <w:r>
              <w:rPr>
                <w:color w:val="auto"/>
                <w:highlight w:val="none"/>
              </w:rPr>
              <w:t>9</w:t>
            </w:r>
          </w:p>
        </w:tc>
        <w:tc>
          <w:tcPr>
            <w:tcW w:w="593" w:type="pct"/>
            <w:tcBorders>
              <w:tl2br w:val="nil"/>
              <w:tr2bl w:val="nil"/>
            </w:tcBorders>
            <w:vAlign w:val="center"/>
          </w:tcPr>
          <w:p w14:paraId="623C3C69">
            <w:pPr>
              <w:pStyle w:val="41"/>
              <w:rPr>
                <w:color w:val="auto"/>
                <w:highlight w:val="none"/>
              </w:rPr>
            </w:pPr>
            <w:r>
              <w:rPr>
                <w:color w:val="auto"/>
                <w:highlight w:val="none"/>
              </w:rPr>
              <w:t>0</w:t>
            </w:r>
          </w:p>
        </w:tc>
      </w:tr>
      <w:tr w14:paraId="474D14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13D0699D">
            <w:pPr>
              <w:pStyle w:val="41"/>
              <w:rPr>
                <w:color w:val="auto"/>
                <w:highlight w:val="none"/>
              </w:rPr>
            </w:pPr>
            <w:r>
              <w:rPr>
                <w:color w:val="auto"/>
                <w:highlight w:val="none"/>
              </w:rPr>
              <w:t>13</w:t>
            </w:r>
          </w:p>
        </w:tc>
        <w:tc>
          <w:tcPr>
            <w:tcW w:w="363" w:type="pct"/>
            <w:vMerge w:val="continue"/>
            <w:tcBorders>
              <w:tl2br w:val="nil"/>
              <w:tr2bl w:val="nil"/>
            </w:tcBorders>
            <w:vAlign w:val="center"/>
          </w:tcPr>
          <w:p w14:paraId="3D706967">
            <w:pPr>
              <w:pStyle w:val="41"/>
              <w:rPr>
                <w:color w:val="auto"/>
                <w:highlight w:val="none"/>
              </w:rPr>
            </w:pPr>
          </w:p>
        </w:tc>
        <w:tc>
          <w:tcPr>
            <w:tcW w:w="419" w:type="pct"/>
            <w:tcBorders>
              <w:tl2br w:val="nil"/>
              <w:tr2bl w:val="nil"/>
            </w:tcBorders>
            <w:vAlign w:val="center"/>
          </w:tcPr>
          <w:p w14:paraId="1C886531">
            <w:pPr>
              <w:pStyle w:val="41"/>
              <w:rPr>
                <w:color w:val="auto"/>
                <w:highlight w:val="none"/>
              </w:rPr>
            </w:pPr>
            <w:r>
              <w:rPr>
                <w:color w:val="auto"/>
                <w:highlight w:val="none"/>
              </w:rPr>
              <w:t>生产安全情况</w:t>
            </w:r>
          </w:p>
        </w:tc>
        <w:tc>
          <w:tcPr>
            <w:tcW w:w="2718" w:type="pct"/>
            <w:gridSpan w:val="3"/>
            <w:tcBorders>
              <w:tl2br w:val="nil"/>
              <w:tr2bl w:val="nil"/>
            </w:tcBorders>
            <w:vAlign w:val="center"/>
          </w:tcPr>
          <w:p w14:paraId="379EDB4C">
            <w:pPr>
              <w:pStyle w:val="41"/>
              <w:rPr>
                <w:color w:val="auto"/>
                <w:highlight w:val="none"/>
              </w:rPr>
            </w:pPr>
            <w:r>
              <w:rPr>
                <w:color w:val="auto"/>
                <w:highlight w:val="none"/>
              </w:rPr>
              <w:t>尾矿库安全度等别</w:t>
            </w:r>
          </w:p>
        </w:tc>
        <w:tc>
          <w:tcPr>
            <w:tcW w:w="593" w:type="pct"/>
            <w:tcBorders>
              <w:tl2br w:val="nil"/>
              <w:tr2bl w:val="nil"/>
            </w:tcBorders>
            <w:vAlign w:val="center"/>
          </w:tcPr>
          <w:p w14:paraId="644FCBEC">
            <w:pPr>
              <w:pStyle w:val="41"/>
              <w:rPr>
                <w:color w:val="auto"/>
                <w:highlight w:val="none"/>
              </w:rPr>
            </w:pPr>
            <w:r>
              <w:rPr>
                <w:color w:val="auto"/>
                <w:highlight w:val="none"/>
              </w:rPr>
              <w:t>15</w:t>
            </w:r>
          </w:p>
        </w:tc>
        <w:tc>
          <w:tcPr>
            <w:tcW w:w="593" w:type="pct"/>
            <w:tcBorders>
              <w:tl2br w:val="nil"/>
              <w:tr2bl w:val="nil"/>
            </w:tcBorders>
            <w:vAlign w:val="center"/>
          </w:tcPr>
          <w:p w14:paraId="644F0A5A">
            <w:pPr>
              <w:pStyle w:val="41"/>
              <w:rPr>
                <w:color w:val="auto"/>
                <w:highlight w:val="none"/>
              </w:rPr>
            </w:pPr>
            <w:r>
              <w:rPr>
                <w:color w:val="auto"/>
                <w:highlight w:val="none"/>
              </w:rPr>
              <w:t>0</w:t>
            </w:r>
          </w:p>
        </w:tc>
      </w:tr>
      <w:tr w14:paraId="42101C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7328E06D">
            <w:pPr>
              <w:pStyle w:val="41"/>
              <w:rPr>
                <w:color w:val="auto"/>
                <w:highlight w:val="none"/>
              </w:rPr>
            </w:pPr>
            <w:r>
              <w:rPr>
                <w:color w:val="auto"/>
                <w:highlight w:val="none"/>
              </w:rPr>
              <w:t>14</w:t>
            </w:r>
          </w:p>
        </w:tc>
        <w:tc>
          <w:tcPr>
            <w:tcW w:w="363" w:type="pct"/>
            <w:vMerge w:val="continue"/>
            <w:tcBorders>
              <w:tl2br w:val="nil"/>
              <w:tr2bl w:val="nil"/>
            </w:tcBorders>
            <w:vAlign w:val="center"/>
          </w:tcPr>
          <w:p w14:paraId="02369A01">
            <w:pPr>
              <w:pStyle w:val="41"/>
              <w:rPr>
                <w:color w:val="auto"/>
                <w:highlight w:val="none"/>
              </w:rPr>
            </w:pPr>
          </w:p>
        </w:tc>
        <w:tc>
          <w:tcPr>
            <w:tcW w:w="419" w:type="pct"/>
            <w:vMerge w:val="restart"/>
            <w:tcBorders>
              <w:tl2br w:val="nil"/>
              <w:tr2bl w:val="nil"/>
            </w:tcBorders>
            <w:vAlign w:val="center"/>
          </w:tcPr>
          <w:p w14:paraId="03BEDB21">
            <w:pPr>
              <w:pStyle w:val="41"/>
              <w:rPr>
                <w:color w:val="auto"/>
                <w:highlight w:val="none"/>
              </w:rPr>
            </w:pPr>
            <w:r>
              <w:rPr>
                <w:color w:val="auto"/>
                <w:highlight w:val="none"/>
              </w:rPr>
              <w:t>环境保护情况</w:t>
            </w:r>
          </w:p>
        </w:tc>
        <w:tc>
          <w:tcPr>
            <w:tcW w:w="535" w:type="pct"/>
            <w:tcBorders>
              <w:tl2br w:val="nil"/>
              <w:tr2bl w:val="nil"/>
            </w:tcBorders>
            <w:vAlign w:val="center"/>
          </w:tcPr>
          <w:p w14:paraId="4BE92E66">
            <w:pPr>
              <w:pStyle w:val="41"/>
              <w:rPr>
                <w:color w:val="auto"/>
                <w:highlight w:val="none"/>
              </w:rPr>
            </w:pPr>
            <w:r>
              <w:rPr>
                <w:color w:val="auto"/>
                <w:highlight w:val="none"/>
              </w:rPr>
              <w:t>环保审批</w:t>
            </w:r>
          </w:p>
        </w:tc>
        <w:tc>
          <w:tcPr>
            <w:tcW w:w="2182" w:type="pct"/>
            <w:gridSpan w:val="2"/>
            <w:tcBorders>
              <w:tl2br w:val="nil"/>
              <w:tr2bl w:val="nil"/>
            </w:tcBorders>
            <w:vAlign w:val="center"/>
          </w:tcPr>
          <w:p w14:paraId="4BA5CC5F">
            <w:pPr>
              <w:pStyle w:val="41"/>
              <w:rPr>
                <w:color w:val="auto"/>
                <w:highlight w:val="none"/>
              </w:rPr>
            </w:pPr>
            <w:r>
              <w:rPr>
                <w:color w:val="auto"/>
                <w:highlight w:val="none"/>
              </w:rPr>
              <w:t>是否通过“三同时”验收</w:t>
            </w:r>
          </w:p>
        </w:tc>
        <w:tc>
          <w:tcPr>
            <w:tcW w:w="593" w:type="pct"/>
            <w:tcBorders>
              <w:tl2br w:val="nil"/>
              <w:tr2bl w:val="nil"/>
            </w:tcBorders>
            <w:vAlign w:val="center"/>
          </w:tcPr>
          <w:p w14:paraId="329E3473">
            <w:pPr>
              <w:pStyle w:val="41"/>
              <w:rPr>
                <w:color w:val="auto"/>
                <w:highlight w:val="none"/>
              </w:rPr>
            </w:pPr>
            <w:r>
              <w:rPr>
                <w:color w:val="auto"/>
                <w:highlight w:val="none"/>
              </w:rPr>
              <w:t>8</w:t>
            </w:r>
          </w:p>
        </w:tc>
        <w:tc>
          <w:tcPr>
            <w:tcW w:w="593" w:type="pct"/>
            <w:tcBorders>
              <w:tl2br w:val="nil"/>
              <w:tr2bl w:val="nil"/>
            </w:tcBorders>
            <w:vAlign w:val="center"/>
          </w:tcPr>
          <w:p w14:paraId="7A4EF4BE">
            <w:pPr>
              <w:pStyle w:val="41"/>
              <w:rPr>
                <w:color w:val="auto"/>
                <w:highlight w:val="none"/>
              </w:rPr>
            </w:pPr>
            <w:r>
              <w:rPr>
                <w:color w:val="auto"/>
                <w:highlight w:val="none"/>
              </w:rPr>
              <w:t>8</w:t>
            </w:r>
          </w:p>
        </w:tc>
      </w:tr>
      <w:tr w14:paraId="1B2804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7F214D1B">
            <w:pPr>
              <w:pStyle w:val="41"/>
              <w:rPr>
                <w:color w:val="auto"/>
                <w:highlight w:val="none"/>
              </w:rPr>
            </w:pPr>
            <w:r>
              <w:rPr>
                <w:color w:val="auto"/>
                <w:highlight w:val="none"/>
              </w:rPr>
              <w:t>15</w:t>
            </w:r>
          </w:p>
        </w:tc>
        <w:tc>
          <w:tcPr>
            <w:tcW w:w="363" w:type="pct"/>
            <w:vMerge w:val="continue"/>
            <w:tcBorders>
              <w:tl2br w:val="nil"/>
              <w:tr2bl w:val="nil"/>
            </w:tcBorders>
            <w:vAlign w:val="center"/>
          </w:tcPr>
          <w:p w14:paraId="3B980E61">
            <w:pPr>
              <w:pStyle w:val="41"/>
              <w:rPr>
                <w:color w:val="auto"/>
                <w:highlight w:val="none"/>
              </w:rPr>
            </w:pPr>
          </w:p>
        </w:tc>
        <w:tc>
          <w:tcPr>
            <w:tcW w:w="419" w:type="pct"/>
            <w:vMerge w:val="continue"/>
            <w:tcBorders>
              <w:tl2br w:val="nil"/>
              <w:tr2bl w:val="nil"/>
            </w:tcBorders>
            <w:vAlign w:val="center"/>
          </w:tcPr>
          <w:p w14:paraId="536C6598">
            <w:pPr>
              <w:pStyle w:val="41"/>
              <w:rPr>
                <w:color w:val="auto"/>
                <w:highlight w:val="none"/>
              </w:rPr>
            </w:pPr>
          </w:p>
        </w:tc>
        <w:tc>
          <w:tcPr>
            <w:tcW w:w="535" w:type="pct"/>
            <w:vMerge w:val="restart"/>
            <w:tcBorders>
              <w:tl2br w:val="nil"/>
              <w:tr2bl w:val="nil"/>
            </w:tcBorders>
            <w:vAlign w:val="center"/>
          </w:tcPr>
          <w:p w14:paraId="00826791">
            <w:pPr>
              <w:pStyle w:val="41"/>
              <w:rPr>
                <w:color w:val="auto"/>
                <w:highlight w:val="none"/>
              </w:rPr>
            </w:pPr>
            <w:r>
              <w:rPr>
                <w:color w:val="auto"/>
                <w:highlight w:val="none"/>
              </w:rPr>
              <w:t>污染防治</w:t>
            </w:r>
          </w:p>
        </w:tc>
        <w:tc>
          <w:tcPr>
            <w:tcW w:w="2182" w:type="pct"/>
            <w:gridSpan w:val="2"/>
            <w:tcBorders>
              <w:tl2br w:val="nil"/>
              <w:tr2bl w:val="nil"/>
            </w:tcBorders>
            <w:vAlign w:val="center"/>
          </w:tcPr>
          <w:p w14:paraId="25CBD602">
            <w:pPr>
              <w:pStyle w:val="41"/>
              <w:rPr>
                <w:color w:val="auto"/>
                <w:highlight w:val="none"/>
              </w:rPr>
            </w:pPr>
            <w:r>
              <w:rPr>
                <w:color w:val="auto"/>
                <w:highlight w:val="none"/>
              </w:rPr>
              <w:t>水排放情况</w:t>
            </w:r>
          </w:p>
        </w:tc>
        <w:tc>
          <w:tcPr>
            <w:tcW w:w="593" w:type="pct"/>
            <w:tcBorders>
              <w:tl2br w:val="nil"/>
              <w:tr2bl w:val="nil"/>
            </w:tcBorders>
            <w:vAlign w:val="center"/>
          </w:tcPr>
          <w:p w14:paraId="17DDC447">
            <w:pPr>
              <w:pStyle w:val="41"/>
              <w:rPr>
                <w:color w:val="auto"/>
                <w:highlight w:val="none"/>
              </w:rPr>
            </w:pPr>
            <w:r>
              <w:rPr>
                <w:color w:val="auto"/>
                <w:highlight w:val="none"/>
              </w:rPr>
              <w:t>3</w:t>
            </w:r>
          </w:p>
        </w:tc>
        <w:tc>
          <w:tcPr>
            <w:tcW w:w="593" w:type="pct"/>
            <w:tcBorders>
              <w:tl2br w:val="nil"/>
              <w:tr2bl w:val="nil"/>
            </w:tcBorders>
            <w:vAlign w:val="center"/>
          </w:tcPr>
          <w:p w14:paraId="31BF8397">
            <w:pPr>
              <w:pStyle w:val="41"/>
              <w:rPr>
                <w:color w:val="auto"/>
                <w:highlight w:val="none"/>
              </w:rPr>
            </w:pPr>
            <w:r>
              <w:rPr>
                <w:color w:val="auto"/>
                <w:highlight w:val="none"/>
              </w:rPr>
              <w:t>0</w:t>
            </w:r>
          </w:p>
        </w:tc>
      </w:tr>
      <w:tr w14:paraId="4058D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69547141">
            <w:pPr>
              <w:pStyle w:val="41"/>
              <w:rPr>
                <w:color w:val="auto"/>
                <w:highlight w:val="none"/>
              </w:rPr>
            </w:pPr>
            <w:r>
              <w:rPr>
                <w:color w:val="auto"/>
                <w:highlight w:val="none"/>
              </w:rPr>
              <w:t>16</w:t>
            </w:r>
          </w:p>
        </w:tc>
        <w:tc>
          <w:tcPr>
            <w:tcW w:w="363" w:type="pct"/>
            <w:vMerge w:val="continue"/>
            <w:tcBorders>
              <w:tl2br w:val="nil"/>
              <w:tr2bl w:val="nil"/>
            </w:tcBorders>
            <w:vAlign w:val="center"/>
          </w:tcPr>
          <w:p w14:paraId="6789BF2A">
            <w:pPr>
              <w:pStyle w:val="41"/>
              <w:rPr>
                <w:color w:val="auto"/>
                <w:highlight w:val="none"/>
              </w:rPr>
            </w:pPr>
          </w:p>
        </w:tc>
        <w:tc>
          <w:tcPr>
            <w:tcW w:w="419" w:type="pct"/>
            <w:vMerge w:val="continue"/>
            <w:tcBorders>
              <w:tl2br w:val="nil"/>
              <w:tr2bl w:val="nil"/>
            </w:tcBorders>
            <w:vAlign w:val="center"/>
          </w:tcPr>
          <w:p w14:paraId="2A7789AC">
            <w:pPr>
              <w:pStyle w:val="41"/>
              <w:rPr>
                <w:color w:val="auto"/>
                <w:highlight w:val="none"/>
              </w:rPr>
            </w:pPr>
          </w:p>
        </w:tc>
        <w:tc>
          <w:tcPr>
            <w:tcW w:w="535" w:type="pct"/>
            <w:vMerge w:val="continue"/>
            <w:tcBorders>
              <w:tl2br w:val="nil"/>
              <w:tr2bl w:val="nil"/>
            </w:tcBorders>
            <w:vAlign w:val="center"/>
          </w:tcPr>
          <w:p w14:paraId="46E9560A">
            <w:pPr>
              <w:pStyle w:val="41"/>
              <w:rPr>
                <w:color w:val="auto"/>
                <w:highlight w:val="none"/>
              </w:rPr>
            </w:pPr>
          </w:p>
        </w:tc>
        <w:tc>
          <w:tcPr>
            <w:tcW w:w="2182" w:type="pct"/>
            <w:gridSpan w:val="2"/>
            <w:tcBorders>
              <w:tl2br w:val="nil"/>
              <w:tr2bl w:val="nil"/>
            </w:tcBorders>
            <w:vAlign w:val="center"/>
          </w:tcPr>
          <w:p w14:paraId="00968D36">
            <w:pPr>
              <w:pStyle w:val="41"/>
              <w:rPr>
                <w:color w:val="auto"/>
                <w:highlight w:val="none"/>
              </w:rPr>
            </w:pPr>
            <w:r>
              <w:rPr>
                <w:color w:val="auto"/>
                <w:highlight w:val="none"/>
              </w:rPr>
              <w:t>防流失情况</w:t>
            </w:r>
          </w:p>
        </w:tc>
        <w:tc>
          <w:tcPr>
            <w:tcW w:w="593" w:type="pct"/>
            <w:tcBorders>
              <w:tl2br w:val="nil"/>
              <w:tr2bl w:val="nil"/>
            </w:tcBorders>
            <w:vAlign w:val="center"/>
          </w:tcPr>
          <w:p w14:paraId="2AB40059">
            <w:pPr>
              <w:pStyle w:val="41"/>
              <w:rPr>
                <w:color w:val="auto"/>
                <w:highlight w:val="none"/>
              </w:rPr>
            </w:pPr>
            <w:r>
              <w:rPr>
                <w:color w:val="auto"/>
                <w:highlight w:val="none"/>
              </w:rPr>
              <w:t>1.5</w:t>
            </w:r>
          </w:p>
        </w:tc>
        <w:tc>
          <w:tcPr>
            <w:tcW w:w="593" w:type="pct"/>
            <w:tcBorders>
              <w:tl2br w:val="nil"/>
              <w:tr2bl w:val="nil"/>
            </w:tcBorders>
            <w:vAlign w:val="center"/>
          </w:tcPr>
          <w:p w14:paraId="567E24DB">
            <w:pPr>
              <w:pStyle w:val="41"/>
              <w:rPr>
                <w:color w:val="auto"/>
                <w:highlight w:val="none"/>
              </w:rPr>
            </w:pPr>
            <w:r>
              <w:rPr>
                <w:color w:val="auto"/>
                <w:highlight w:val="none"/>
              </w:rPr>
              <w:t>0</w:t>
            </w:r>
          </w:p>
        </w:tc>
      </w:tr>
      <w:tr w14:paraId="2FCFFE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2B7DA21E">
            <w:pPr>
              <w:pStyle w:val="41"/>
              <w:rPr>
                <w:color w:val="auto"/>
                <w:highlight w:val="none"/>
              </w:rPr>
            </w:pPr>
            <w:r>
              <w:rPr>
                <w:color w:val="auto"/>
                <w:highlight w:val="none"/>
              </w:rPr>
              <w:t>17</w:t>
            </w:r>
          </w:p>
        </w:tc>
        <w:tc>
          <w:tcPr>
            <w:tcW w:w="363" w:type="pct"/>
            <w:vMerge w:val="continue"/>
            <w:tcBorders>
              <w:tl2br w:val="nil"/>
              <w:tr2bl w:val="nil"/>
            </w:tcBorders>
            <w:vAlign w:val="center"/>
          </w:tcPr>
          <w:p w14:paraId="0DC12BFF">
            <w:pPr>
              <w:pStyle w:val="41"/>
              <w:rPr>
                <w:color w:val="auto"/>
                <w:highlight w:val="none"/>
              </w:rPr>
            </w:pPr>
          </w:p>
        </w:tc>
        <w:tc>
          <w:tcPr>
            <w:tcW w:w="419" w:type="pct"/>
            <w:vMerge w:val="continue"/>
            <w:tcBorders>
              <w:tl2br w:val="nil"/>
              <w:tr2bl w:val="nil"/>
            </w:tcBorders>
            <w:vAlign w:val="center"/>
          </w:tcPr>
          <w:p w14:paraId="46C199F9">
            <w:pPr>
              <w:pStyle w:val="41"/>
              <w:rPr>
                <w:color w:val="auto"/>
                <w:highlight w:val="none"/>
              </w:rPr>
            </w:pPr>
          </w:p>
        </w:tc>
        <w:tc>
          <w:tcPr>
            <w:tcW w:w="535" w:type="pct"/>
            <w:vMerge w:val="continue"/>
            <w:tcBorders>
              <w:tl2br w:val="nil"/>
              <w:tr2bl w:val="nil"/>
            </w:tcBorders>
            <w:vAlign w:val="center"/>
          </w:tcPr>
          <w:p w14:paraId="0C3CB21D">
            <w:pPr>
              <w:pStyle w:val="41"/>
              <w:rPr>
                <w:color w:val="auto"/>
                <w:highlight w:val="none"/>
              </w:rPr>
            </w:pPr>
          </w:p>
        </w:tc>
        <w:tc>
          <w:tcPr>
            <w:tcW w:w="2182" w:type="pct"/>
            <w:gridSpan w:val="2"/>
            <w:tcBorders>
              <w:tl2br w:val="nil"/>
              <w:tr2bl w:val="nil"/>
            </w:tcBorders>
            <w:vAlign w:val="center"/>
          </w:tcPr>
          <w:p w14:paraId="0F89AF0C">
            <w:pPr>
              <w:pStyle w:val="41"/>
              <w:rPr>
                <w:color w:val="auto"/>
                <w:highlight w:val="none"/>
              </w:rPr>
            </w:pPr>
            <w:r>
              <w:rPr>
                <w:color w:val="auto"/>
                <w:highlight w:val="none"/>
              </w:rPr>
              <w:t>防渗漏情况</w:t>
            </w:r>
          </w:p>
        </w:tc>
        <w:tc>
          <w:tcPr>
            <w:tcW w:w="593" w:type="pct"/>
            <w:tcBorders>
              <w:tl2br w:val="nil"/>
              <w:tr2bl w:val="nil"/>
            </w:tcBorders>
            <w:vAlign w:val="center"/>
          </w:tcPr>
          <w:p w14:paraId="300D0ECA">
            <w:pPr>
              <w:pStyle w:val="41"/>
              <w:rPr>
                <w:color w:val="auto"/>
                <w:highlight w:val="none"/>
              </w:rPr>
            </w:pPr>
            <w:r>
              <w:rPr>
                <w:color w:val="auto"/>
                <w:highlight w:val="none"/>
              </w:rPr>
              <w:t>2.5</w:t>
            </w:r>
          </w:p>
        </w:tc>
        <w:tc>
          <w:tcPr>
            <w:tcW w:w="593" w:type="pct"/>
            <w:tcBorders>
              <w:tl2br w:val="nil"/>
              <w:tr2bl w:val="nil"/>
            </w:tcBorders>
            <w:vAlign w:val="center"/>
          </w:tcPr>
          <w:p w14:paraId="7FFD3465">
            <w:pPr>
              <w:pStyle w:val="41"/>
              <w:rPr>
                <w:color w:val="auto"/>
                <w:highlight w:val="none"/>
              </w:rPr>
            </w:pPr>
            <w:r>
              <w:rPr>
                <w:color w:val="auto"/>
                <w:highlight w:val="none"/>
              </w:rPr>
              <w:t>0</w:t>
            </w:r>
          </w:p>
        </w:tc>
      </w:tr>
      <w:tr w14:paraId="2A2C0D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596EDEE7">
            <w:pPr>
              <w:pStyle w:val="41"/>
              <w:rPr>
                <w:color w:val="auto"/>
                <w:highlight w:val="none"/>
              </w:rPr>
            </w:pPr>
            <w:r>
              <w:rPr>
                <w:color w:val="auto"/>
                <w:highlight w:val="none"/>
              </w:rPr>
              <w:t>18</w:t>
            </w:r>
          </w:p>
        </w:tc>
        <w:tc>
          <w:tcPr>
            <w:tcW w:w="363" w:type="pct"/>
            <w:vMerge w:val="continue"/>
            <w:tcBorders>
              <w:tl2br w:val="nil"/>
              <w:tr2bl w:val="nil"/>
            </w:tcBorders>
            <w:vAlign w:val="center"/>
          </w:tcPr>
          <w:p w14:paraId="0D6A3B5B">
            <w:pPr>
              <w:pStyle w:val="41"/>
              <w:rPr>
                <w:color w:val="auto"/>
                <w:highlight w:val="none"/>
              </w:rPr>
            </w:pPr>
          </w:p>
        </w:tc>
        <w:tc>
          <w:tcPr>
            <w:tcW w:w="419" w:type="pct"/>
            <w:vMerge w:val="continue"/>
            <w:tcBorders>
              <w:tl2br w:val="nil"/>
              <w:tr2bl w:val="nil"/>
            </w:tcBorders>
            <w:vAlign w:val="center"/>
          </w:tcPr>
          <w:p w14:paraId="3F73DA11">
            <w:pPr>
              <w:pStyle w:val="41"/>
              <w:rPr>
                <w:color w:val="auto"/>
                <w:highlight w:val="none"/>
              </w:rPr>
            </w:pPr>
          </w:p>
        </w:tc>
        <w:tc>
          <w:tcPr>
            <w:tcW w:w="535" w:type="pct"/>
            <w:vMerge w:val="continue"/>
            <w:tcBorders>
              <w:tl2br w:val="nil"/>
              <w:tr2bl w:val="nil"/>
            </w:tcBorders>
            <w:vAlign w:val="center"/>
          </w:tcPr>
          <w:p w14:paraId="5A818701">
            <w:pPr>
              <w:pStyle w:val="41"/>
              <w:rPr>
                <w:color w:val="auto"/>
                <w:highlight w:val="none"/>
              </w:rPr>
            </w:pPr>
          </w:p>
        </w:tc>
        <w:tc>
          <w:tcPr>
            <w:tcW w:w="2182" w:type="pct"/>
            <w:gridSpan w:val="2"/>
            <w:tcBorders>
              <w:tl2br w:val="nil"/>
              <w:tr2bl w:val="nil"/>
            </w:tcBorders>
            <w:vAlign w:val="center"/>
          </w:tcPr>
          <w:p w14:paraId="3625207C">
            <w:pPr>
              <w:pStyle w:val="41"/>
              <w:rPr>
                <w:color w:val="auto"/>
                <w:highlight w:val="none"/>
              </w:rPr>
            </w:pPr>
            <w:r>
              <w:rPr>
                <w:color w:val="auto"/>
                <w:highlight w:val="none"/>
              </w:rPr>
              <w:t>防扬散情况</w:t>
            </w:r>
          </w:p>
        </w:tc>
        <w:tc>
          <w:tcPr>
            <w:tcW w:w="593" w:type="pct"/>
            <w:tcBorders>
              <w:tl2br w:val="nil"/>
              <w:tr2bl w:val="nil"/>
            </w:tcBorders>
            <w:vAlign w:val="center"/>
          </w:tcPr>
          <w:p w14:paraId="495BF6D5">
            <w:pPr>
              <w:pStyle w:val="41"/>
              <w:rPr>
                <w:color w:val="auto"/>
                <w:highlight w:val="none"/>
              </w:rPr>
            </w:pPr>
            <w:r>
              <w:rPr>
                <w:color w:val="auto"/>
                <w:highlight w:val="none"/>
              </w:rPr>
              <w:t>1.5</w:t>
            </w:r>
          </w:p>
        </w:tc>
        <w:tc>
          <w:tcPr>
            <w:tcW w:w="593" w:type="pct"/>
            <w:tcBorders>
              <w:tl2br w:val="nil"/>
              <w:tr2bl w:val="nil"/>
            </w:tcBorders>
            <w:vAlign w:val="center"/>
          </w:tcPr>
          <w:p w14:paraId="681935A6">
            <w:pPr>
              <w:pStyle w:val="41"/>
              <w:rPr>
                <w:color w:val="auto"/>
                <w:highlight w:val="none"/>
              </w:rPr>
            </w:pPr>
            <w:r>
              <w:rPr>
                <w:color w:val="auto"/>
                <w:highlight w:val="none"/>
              </w:rPr>
              <w:t>0</w:t>
            </w:r>
          </w:p>
        </w:tc>
      </w:tr>
      <w:tr w14:paraId="016E3C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77034CF1">
            <w:pPr>
              <w:pStyle w:val="41"/>
              <w:rPr>
                <w:color w:val="auto"/>
                <w:highlight w:val="none"/>
              </w:rPr>
            </w:pPr>
            <w:r>
              <w:rPr>
                <w:color w:val="auto"/>
                <w:highlight w:val="none"/>
              </w:rPr>
              <w:t>19</w:t>
            </w:r>
          </w:p>
        </w:tc>
        <w:tc>
          <w:tcPr>
            <w:tcW w:w="363" w:type="pct"/>
            <w:vMerge w:val="continue"/>
            <w:tcBorders>
              <w:tl2br w:val="nil"/>
              <w:tr2bl w:val="nil"/>
            </w:tcBorders>
            <w:vAlign w:val="center"/>
          </w:tcPr>
          <w:p w14:paraId="54ABBD93">
            <w:pPr>
              <w:pStyle w:val="41"/>
              <w:rPr>
                <w:color w:val="auto"/>
                <w:highlight w:val="none"/>
              </w:rPr>
            </w:pPr>
          </w:p>
        </w:tc>
        <w:tc>
          <w:tcPr>
            <w:tcW w:w="419" w:type="pct"/>
            <w:vMerge w:val="continue"/>
            <w:tcBorders>
              <w:tl2br w:val="nil"/>
              <w:tr2bl w:val="nil"/>
            </w:tcBorders>
            <w:vAlign w:val="center"/>
          </w:tcPr>
          <w:p w14:paraId="5B948C57">
            <w:pPr>
              <w:pStyle w:val="41"/>
              <w:rPr>
                <w:color w:val="auto"/>
                <w:highlight w:val="none"/>
              </w:rPr>
            </w:pPr>
          </w:p>
        </w:tc>
        <w:tc>
          <w:tcPr>
            <w:tcW w:w="535" w:type="pct"/>
            <w:vMerge w:val="restart"/>
            <w:tcBorders>
              <w:tl2br w:val="nil"/>
              <w:tr2bl w:val="nil"/>
            </w:tcBorders>
            <w:vAlign w:val="center"/>
          </w:tcPr>
          <w:p w14:paraId="6CD8BA92">
            <w:pPr>
              <w:pStyle w:val="41"/>
              <w:rPr>
                <w:color w:val="auto"/>
                <w:highlight w:val="none"/>
              </w:rPr>
            </w:pPr>
            <w:r>
              <w:rPr>
                <w:color w:val="auto"/>
                <w:highlight w:val="none"/>
              </w:rPr>
              <w:t>环境应急</w:t>
            </w:r>
          </w:p>
        </w:tc>
        <w:tc>
          <w:tcPr>
            <w:tcW w:w="729" w:type="pct"/>
            <w:vMerge w:val="restart"/>
            <w:tcBorders>
              <w:tl2br w:val="nil"/>
              <w:tr2bl w:val="nil"/>
            </w:tcBorders>
            <w:vAlign w:val="center"/>
          </w:tcPr>
          <w:p w14:paraId="517A727E">
            <w:pPr>
              <w:pStyle w:val="41"/>
              <w:rPr>
                <w:color w:val="auto"/>
                <w:highlight w:val="none"/>
              </w:rPr>
            </w:pPr>
            <w:r>
              <w:rPr>
                <w:color w:val="auto"/>
                <w:highlight w:val="none"/>
              </w:rPr>
              <w:t>环境应急设施</w:t>
            </w:r>
          </w:p>
        </w:tc>
        <w:tc>
          <w:tcPr>
            <w:tcW w:w="1453" w:type="pct"/>
            <w:tcBorders>
              <w:tl2br w:val="nil"/>
              <w:tr2bl w:val="nil"/>
            </w:tcBorders>
            <w:vAlign w:val="center"/>
          </w:tcPr>
          <w:p w14:paraId="61872490">
            <w:pPr>
              <w:pStyle w:val="41"/>
              <w:rPr>
                <w:color w:val="auto"/>
                <w:highlight w:val="none"/>
              </w:rPr>
            </w:pPr>
            <w:r>
              <w:rPr>
                <w:color w:val="auto"/>
                <w:highlight w:val="none"/>
              </w:rPr>
              <w:t>事故应急池建设情况</w:t>
            </w:r>
          </w:p>
        </w:tc>
        <w:tc>
          <w:tcPr>
            <w:tcW w:w="593" w:type="pct"/>
            <w:tcBorders>
              <w:tl2br w:val="nil"/>
              <w:tr2bl w:val="nil"/>
            </w:tcBorders>
            <w:vAlign w:val="center"/>
          </w:tcPr>
          <w:p w14:paraId="18928B85">
            <w:pPr>
              <w:pStyle w:val="41"/>
              <w:rPr>
                <w:color w:val="auto"/>
                <w:highlight w:val="none"/>
              </w:rPr>
            </w:pPr>
            <w:r>
              <w:rPr>
                <w:color w:val="auto"/>
                <w:highlight w:val="none"/>
              </w:rPr>
              <w:t>5</w:t>
            </w:r>
          </w:p>
        </w:tc>
        <w:tc>
          <w:tcPr>
            <w:tcW w:w="593" w:type="pct"/>
            <w:tcBorders>
              <w:tl2br w:val="nil"/>
              <w:tr2bl w:val="nil"/>
            </w:tcBorders>
            <w:vAlign w:val="center"/>
          </w:tcPr>
          <w:p w14:paraId="48FF33AD">
            <w:pPr>
              <w:pStyle w:val="41"/>
              <w:rPr>
                <w:color w:val="auto"/>
                <w:highlight w:val="none"/>
              </w:rPr>
            </w:pPr>
            <w:r>
              <w:rPr>
                <w:color w:val="auto"/>
                <w:highlight w:val="none"/>
              </w:rPr>
              <w:t>0</w:t>
            </w:r>
          </w:p>
        </w:tc>
      </w:tr>
      <w:tr w14:paraId="2FF7A4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7D2067B4">
            <w:pPr>
              <w:pStyle w:val="41"/>
              <w:rPr>
                <w:color w:val="auto"/>
                <w:highlight w:val="none"/>
              </w:rPr>
            </w:pPr>
            <w:r>
              <w:rPr>
                <w:color w:val="auto"/>
                <w:highlight w:val="none"/>
              </w:rPr>
              <w:t>20</w:t>
            </w:r>
          </w:p>
        </w:tc>
        <w:tc>
          <w:tcPr>
            <w:tcW w:w="363" w:type="pct"/>
            <w:vMerge w:val="continue"/>
            <w:tcBorders>
              <w:tl2br w:val="nil"/>
              <w:tr2bl w:val="nil"/>
            </w:tcBorders>
            <w:vAlign w:val="center"/>
          </w:tcPr>
          <w:p w14:paraId="5F376AA9">
            <w:pPr>
              <w:pStyle w:val="41"/>
              <w:rPr>
                <w:color w:val="auto"/>
                <w:highlight w:val="none"/>
              </w:rPr>
            </w:pPr>
          </w:p>
        </w:tc>
        <w:tc>
          <w:tcPr>
            <w:tcW w:w="419" w:type="pct"/>
            <w:vMerge w:val="continue"/>
            <w:tcBorders>
              <w:tl2br w:val="nil"/>
              <w:tr2bl w:val="nil"/>
            </w:tcBorders>
            <w:vAlign w:val="center"/>
          </w:tcPr>
          <w:p w14:paraId="6C03CDF4">
            <w:pPr>
              <w:pStyle w:val="41"/>
              <w:rPr>
                <w:color w:val="auto"/>
                <w:highlight w:val="none"/>
              </w:rPr>
            </w:pPr>
          </w:p>
        </w:tc>
        <w:tc>
          <w:tcPr>
            <w:tcW w:w="535" w:type="pct"/>
            <w:vMerge w:val="continue"/>
            <w:tcBorders>
              <w:tl2br w:val="nil"/>
              <w:tr2bl w:val="nil"/>
            </w:tcBorders>
            <w:vAlign w:val="center"/>
          </w:tcPr>
          <w:p w14:paraId="6900ED71">
            <w:pPr>
              <w:pStyle w:val="41"/>
              <w:rPr>
                <w:color w:val="auto"/>
                <w:highlight w:val="none"/>
              </w:rPr>
            </w:pPr>
          </w:p>
        </w:tc>
        <w:tc>
          <w:tcPr>
            <w:tcW w:w="729" w:type="pct"/>
            <w:vMerge w:val="continue"/>
            <w:tcBorders>
              <w:tl2br w:val="nil"/>
              <w:tr2bl w:val="nil"/>
            </w:tcBorders>
            <w:vAlign w:val="center"/>
          </w:tcPr>
          <w:p w14:paraId="63A20627">
            <w:pPr>
              <w:pStyle w:val="41"/>
              <w:rPr>
                <w:color w:val="auto"/>
                <w:highlight w:val="none"/>
              </w:rPr>
            </w:pPr>
          </w:p>
        </w:tc>
        <w:tc>
          <w:tcPr>
            <w:tcW w:w="1453" w:type="pct"/>
            <w:tcBorders>
              <w:tl2br w:val="nil"/>
              <w:tr2bl w:val="nil"/>
            </w:tcBorders>
            <w:vAlign w:val="center"/>
          </w:tcPr>
          <w:p w14:paraId="59D2FAE8">
            <w:pPr>
              <w:pStyle w:val="41"/>
              <w:rPr>
                <w:color w:val="auto"/>
                <w:highlight w:val="none"/>
              </w:rPr>
            </w:pPr>
            <w:r>
              <w:rPr>
                <w:color w:val="auto"/>
                <w:highlight w:val="none"/>
              </w:rPr>
              <w:t>输送系统环境应急设施建设情况</w:t>
            </w:r>
          </w:p>
        </w:tc>
        <w:tc>
          <w:tcPr>
            <w:tcW w:w="593" w:type="pct"/>
            <w:tcBorders>
              <w:tl2br w:val="nil"/>
              <w:tr2bl w:val="nil"/>
            </w:tcBorders>
            <w:vAlign w:val="center"/>
          </w:tcPr>
          <w:p w14:paraId="0DF06FF9">
            <w:pPr>
              <w:pStyle w:val="41"/>
              <w:rPr>
                <w:color w:val="auto"/>
                <w:highlight w:val="none"/>
              </w:rPr>
            </w:pPr>
            <w:r>
              <w:rPr>
                <w:color w:val="auto"/>
                <w:highlight w:val="none"/>
              </w:rPr>
              <w:t>2</w:t>
            </w:r>
          </w:p>
        </w:tc>
        <w:tc>
          <w:tcPr>
            <w:tcW w:w="593" w:type="pct"/>
            <w:tcBorders>
              <w:tl2br w:val="nil"/>
              <w:tr2bl w:val="nil"/>
            </w:tcBorders>
            <w:vAlign w:val="center"/>
          </w:tcPr>
          <w:p w14:paraId="5C046731">
            <w:pPr>
              <w:pStyle w:val="41"/>
              <w:rPr>
                <w:color w:val="auto"/>
                <w:highlight w:val="none"/>
              </w:rPr>
            </w:pPr>
            <w:r>
              <w:rPr>
                <w:color w:val="auto"/>
                <w:highlight w:val="none"/>
              </w:rPr>
              <w:t>0</w:t>
            </w:r>
          </w:p>
        </w:tc>
      </w:tr>
      <w:tr w14:paraId="6A5E4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4A6C03CD">
            <w:pPr>
              <w:pStyle w:val="41"/>
              <w:rPr>
                <w:color w:val="auto"/>
                <w:highlight w:val="none"/>
              </w:rPr>
            </w:pPr>
            <w:r>
              <w:rPr>
                <w:color w:val="auto"/>
                <w:highlight w:val="none"/>
              </w:rPr>
              <w:t>21</w:t>
            </w:r>
          </w:p>
        </w:tc>
        <w:tc>
          <w:tcPr>
            <w:tcW w:w="363" w:type="pct"/>
            <w:vMerge w:val="continue"/>
            <w:tcBorders>
              <w:tl2br w:val="nil"/>
              <w:tr2bl w:val="nil"/>
            </w:tcBorders>
            <w:vAlign w:val="center"/>
          </w:tcPr>
          <w:p w14:paraId="2CDAA245">
            <w:pPr>
              <w:pStyle w:val="41"/>
              <w:rPr>
                <w:color w:val="auto"/>
                <w:highlight w:val="none"/>
              </w:rPr>
            </w:pPr>
          </w:p>
        </w:tc>
        <w:tc>
          <w:tcPr>
            <w:tcW w:w="419" w:type="pct"/>
            <w:vMerge w:val="continue"/>
            <w:tcBorders>
              <w:tl2br w:val="nil"/>
              <w:tr2bl w:val="nil"/>
            </w:tcBorders>
            <w:vAlign w:val="center"/>
          </w:tcPr>
          <w:p w14:paraId="5A8FFFE4">
            <w:pPr>
              <w:pStyle w:val="41"/>
              <w:rPr>
                <w:color w:val="auto"/>
                <w:highlight w:val="none"/>
              </w:rPr>
            </w:pPr>
          </w:p>
        </w:tc>
        <w:tc>
          <w:tcPr>
            <w:tcW w:w="535" w:type="pct"/>
            <w:vMerge w:val="continue"/>
            <w:tcBorders>
              <w:tl2br w:val="nil"/>
              <w:tr2bl w:val="nil"/>
            </w:tcBorders>
            <w:vAlign w:val="center"/>
          </w:tcPr>
          <w:p w14:paraId="6158AAF6">
            <w:pPr>
              <w:pStyle w:val="41"/>
              <w:rPr>
                <w:color w:val="auto"/>
                <w:highlight w:val="none"/>
              </w:rPr>
            </w:pPr>
          </w:p>
        </w:tc>
        <w:tc>
          <w:tcPr>
            <w:tcW w:w="729" w:type="pct"/>
            <w:vMerge w:val="continue"/>
            <w:tcBorders>
              <w:tl2br w:val="nil"/>
              <w:tr2bl w:val="nil"/>
            </w:tcBorders>
            <w:vAlign w:val="center"/>
          </w:tcPr>
          <w:p w14:paraId="21A3971B">
            <w:pPr>
              <w:pStyle w:val="41"/>
              <w:rPr>
                <w:color w:val="auto"/>
                <w:highlight w:val="none"/>
              </w:rPr>
            </w:pPr>
          </w:p>
        </w:tc>
        <w:tc>
          <w:tcPr>
            <w:tcW w:w="1453" w:type="pct"/>
            <w:tcBorders>
              <w:tl2br w:val="nil"/>
              <w:tr2bl w:val="nil"/>
            </w:tcBorders>
            <w:vAlign w:val="center"/>
          </w:tcPr>
          <w:p w14:paraId="1BE8A454">
            <w:pPr>
              <w:pStyle w:val="41"/>
              <w:rPr>
                <w:color w:val="auto"/>
                <w:highlight w:val="none"/>
              </w:rPr>
            </w:pPr>
            <w:r>
              <w:rPr>
                <w:color w:val="auto"/>
                <w:highlight w:val="none"/>
              </w:rPr>
              <w:t>回水系统环境应急设施建设情况</w:t>
            </w:r>
          </w:p>
        </w:tc>
        <w:tc>
          <w:tcPr>
            <w:tcW w:w="593" w:type="pct"/>
            <w:tcBorders>
              <w:tl2br w:val="nil"/>
              <w:tr2bl w:val="nil"/>
            </w:tcBorders>
            <w:vAlign w:val="center"/>
          </w:tcPr>
          <w:p w14:paraId="46F4E2DD">
            <w:pPr>
              <w:pStyle w:val="41"/>
              <w:rPr>
                <w:color w:val="auto"/>
                <w:highlight w:val="none"/>
              </w:rPr>
            </w:pPr>
            <w:r>
              <w:rPr>
                <w:color w:val="auto"/>
                <w:highlight w:val="none"/>
              </w:rPr>
              <w:t>1.5</w:t>
            </w:r>
          </w:p>
        </w:tc>
        <w:tc>
          <w:tcPr>
            <w:tcW w:w="593" w:type="pct"/>
            <w:tcBorders>
              <w:tl2br w:val="nil"/>
              <w:tr2bl w:val="nil"/>
            </w:tcBorders>
            <w:vAlign w:val="center"/>
          </w:tcPr>
          <w:p w14:paraId="3BB0028A">
            <w:pPr>
              <w:pStyle w:val="41"/>
              <w:rPr>
                <w:color w:val="auto"/>
                <w:highlight w:val="none"/>
              </w:rPr>
            </w:pPr>
            <w:r>
              <w:rPr>
                <w:color w:val="auto"/>
                <w:highlight w:val="none"/>
              </w:rPr>
              <w:t>0</w:t>
            </w:r>
          </w:p>
        </w:tc>
      </w:tr>
      <w:tr w14:paraId="3AA40B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3D1E5EBE">
            <w:pPr>
              <w:pStyle w:val="41"/>
              <w:rPr>
                <w:color w:val="auto"/>
                <w:highlight w:val="none"/>
              </w:rPr>
            </w:pPr>
            <w:r>
              <w:rPr>
                <w:color w:val="auto"/>
                <w:highlight w:val="none"/>
              </w:rPr>
              <w:t>22</w:t>
            </w:r>
          </w:p>
        </w:tc>
        <w:tc>
          <w:tcPr>
            <w:tcW w:w="363" w:type="pct"/>
            <w:vMerge w:val="continue"/>
            <w:tcBorders>
              <w:tl2br w:val="nil"/>
              <w:tr2bl w:val="nil"/>
            </w:tcBorders>
            <w:vAlign w:val="center"/>
          </w:tcPr>
          <w:p w14:paraId="51256C0D">
            <w:pPr>
              <w:pStyle w:val="41"/>
              <w:rPr>
                <w:color w:val="auto"/>
                <w:highlight w:val="none"/>
              </w:rPr>
            </w:pPr>
          </w:p>
        </w:tc>
        <w:tc>
          <w:tcPr>
            <w:tcW w:w="419" w:type="pct"/>
            <w:vMerge w:val="continue"/>
            <w:tcBorders>
              <w:tl2br w:val="nil"/>
              <w:tr2bl w:val="nil"/>
            </w:tcBorders>
            <w:vAlign w:val="center"/>
          </w:tcPr>
          <w:p w14:paraId="23AEFE13">
            <w:pPr>
              <w:pStyle w:val="41"/>
              <w:rPr>
                <w:color w:val="auto"/>
                <w:highlight w:val="none"/>
              </w:rPr>
            </w:pPr>
          </w:p>
        </w:tc>
        <w:tc>
          <w:tcPr>
            <w:tcW w:w="535" w:type="pct"/>
            <w:vMerge w:val="continue"/>
            <w:tcBorders>
              <w:tl2br w:val="nil"/>
              <w:tr2bl w:val="nil"/>
            </w:tcBorders>
            <w:vAlign w:val="center"/>
          </w:tcPr>
          <w:p w14:paraId="0B55E018">
            <w:pPr>
              <w:pStyle w:val="41"/>
              <w:rPr>
                <w:color w:val="auto"/>
                <w:highlight w:val="none"/>
              </w:rPr>
            </w:pPr>
          </w:p>
        </w:tc>
        <w:tc>
          <w:tcPr>
            <w:tcW w:w="2182" w:type="pct"/>
            <w:gridSpan w:val="2"/>
            <w:tcBorders>
              <w:tl2br w:val="nil"/>
              <w:tr2bl w:val="nil"/>
            </w:tcBorders>
            <w:vAlign w:val="center"/>
          </w:tcPr>
          <w:p w14:paraId="7882AD3E">
            <w:pPr>
              <w:pStyle w:val="41"/>
              <w:rPr>
                <w:color w:val="auto"/>
                <w:highlight w:val="none"/>
              </w:rPr>
            </w:pPr>
            <w:r>
              <w:rPr>
                <w:color w:val="auto"/>
                <w:highlight w:val="none"/>
              </w:rPr>
              <w:t>环境应急预案</w:t>
            </w:r>
          </w:p>
        </w:tc>
        <w:tc>
          <w:tcPr>
            <w:tcW w:w="593" w:type="pct"/>
            <w:tcBorders>
              <w:tl2br w:val="nil"/>
              <w:tr2bl w:val="nil"/>
            </w:tcBorders>
            <w:vAlign w:val="center"/>
          </w:tcPr>
          <w:p w14:paraId="483D0A06">
            <w:pPr>
              <w:pStyle w:val="41"/>
              <w:rPr>
                <w:color w:val="auto"/>
                <w:highlight w:val="none"/>
              </w:rPr>
            </w:pPr>
            <w:r>
              <w:rPr>
                <w:color w:val="auto"/>
                <w:highlight w:val="none"/>
              </w:rPr>
              <w:t>6.5</w:t>
            </w:r>
          </w:p>
        </w:tc>
        <w:tc>
          <w:tcPr>
            <w:tcW w:w="593" w:type="pct"/>
            <w:tcBorders>
              <w:tl2br w:val="nil"/>
              <w:tr2bl w:val="nil"/>
            </w:tcBorders>
            <w:vAlign w:val="center"/>
          </w:tcPr>
          <w:p w14:paraId="68B67499">
            <w:pPr>
              <w:pStyle w:val="41"/>
              <w:rPr>
                <w:color w:val="auto"/>
                <w:highlight w:val="none"/>
              </w:rPr>
            </w:pPr>
            <w:r>
              <w:rPr>
                <w:color w:val="auto"/>
                <w:highlight w:val="none"/>
              </w:rPr>
              <w:t>6.5</w:t>
            </w:r>
          </w:p>
        </w:tc>
      </w:tr>
      <w:tr w14:paraId="2D443F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4256C8AF">
            <w:pPr>
              <w:pStyle w:val="41"/>
              <w:rPr>
                <w:color w:val="auto"/>
                <w:highlight w:val="none"/>
              </w:rPr>
            </w:pPr>
            <w:r>
              <w:rPr>
                <w:color w:val="auto"/>
                <w:highlight w:val="none"/>
              </w:rPr>
              <w:t>23</w:t>
            </w:r>
          </w:p>
        </w:tc>
        <w:tc>
          <w:tcPr>
            <w:tcW w:w="363" w:type="pct"/>
            <w:vMerge w:val="continue"/>
            <w:tcBorders>
              <w:tl2br w:val="nil"/>
              <w:tr2bl w:val="nil"/>
            </w:tcBorders>
            <w:vAlign w:val="center"/>
          </w:tcPr>
          <w:p w14:paraId="165DBFFD">
            <w:pPr>
              <w:pStyle w:val="41"/>
              <w:rPr>
                <w:color w:val="auto"/>
                <w:highlight w:val="none"/>
              </w:rPr>
            </w:pPr>
          </w:p>
        </w:tc>
        <w:tc>
          <w:tcPr>
            <w:tcW w:w="419" w:type="pct"/>
            <w:vMerge w:val="continue"/>
            <w:tcBorders>
              <w:tl2br w:val="nil"/>
              <w:tr2bl w:val="nil"/>
            </w:tcBorders>
            <w:vAlign w:val="center"/>
          </w:tcPr>
          <w:p w14:paraId="259AFB4B">
            <w:pPr>
              <w:pStyle w:val="41"/>
              <w:rPr>
                <w:color w:val="auto"/>
                <w:highlight w:val="none"/>
              </w:rPr>
            </w:pPr>
          </w:p>
        </w:tc>
        <w:tc>
          <w:tcPr>
            <w:tcW w:w="535" w:type="pct"/>
            <w:vMerge w:val="continue"/>
            <w:tcBorders>
              <w:tl2br w:val="nil"/>
              <w:tr2bl w:val="nil"/>
            </w:tcBorders>
            <w:vAlign w:val="center"/>
          </w:tcPr>
          <w:p w14:paraId="45A7306E">
            <w:pPr>
              <w:pStyle w:val="41"/>
              <w:rPr>
                <w:color w:val="auto"/>
                <w:highlight w:val="none"/>
              </w:rPr>
            </w:pPr>
          </w:p>
        </w:tc>
        <w:tc>
          <w:tcPr>
            <w:tcW w:w="2182" w:type="pct"/>
            <w:gridSpan w:val="2"/>
            <w:tcBorders>
              <w:tl2br w:val="nil"/>
              <w:tr2bl w:val="nil"/>
            </w:tcBorders>
            <w:vAlign w:val="center"/>
          </w:tcPr>
          <w:p w14:paraId="39F9D10A">
            <w:pPr>
              <w:pStyle w:val="41"/>
              <w:rPr>
                <w:color w:val="auto"/>
                <w:highlight w:val="none"/>
              </w:rPr>
            </w:pPr>
            <w:r>
              <w:rPr>
                <w:color w:val="auto"/>
                <w:highlight w:val="none"/>
              </w:rPr>
              <w:t>环境应急资源</w:t>
            </w:r>
          </w:p>
        </w:tc>
        <w:tc>
          <w:tcPr>
            <w:tcW w:w="593" w:type="pct"/>
            <w:tcBorders>
              <w:tl2br w:val="nil"/>
              <w:tr2bl w:val="nil"/>
            </w:tcBorders>
            <w:vAlign w:val="center"/>
          </w:tcPr>
          <w:p w14:paraId="3FD547BF">
            <w:pPr>
              <w:pStyle w:val="41"/>
              <w:rPr>
                <w:color w:val="auto"/>
                <w:highlight w:val="none"/>
              </w:rPr>
            </w:pPr>
            <w:r>
              <w:rPr>
                <w:color w:val="auto"/>
                <w:highlight w:val="none"/>
              </w:rPr>
              <w:t>2</w:t>
            </w:r>
          </w:p>
        </w:tc>
        <w:tc>
          <w:tcPr>
            <w:tcW w:w="593" w:type="pct"/>
            <w:tcBorders>
              <w:tl2br w:val="nil"/>
              <w:tr2bl w:val="nil"/>
            </w:tcBorders>
            <w:vAlign w:val="center"/>
          </w:tcPr>
          <w:p w14:paraId="742E3F6D">
            <w:pPr>
              <w:pStyle w:val="41"/>
              <w:rPr>
                <w:color w:val="auto"/>
                <w:highlight w:val="none"/>
              </w:rPr>
            </w:pPr>
            <w:r>
              <w:rPr>
                <w:color w:val="auto"/>
                <w:highlight w:val="none"/>
              </w:rPr>
              <w:t>2</w:t>
            </w:r>
          </w:p>
        </w:tc>
      </w:tr>
      <w:tr w14:paraId="4E003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2E327790">
            <w:pPr>
              <w:pStyle w:val="41"/>
              <w:rPr>
                <w:color w:val="auto"/>
                <w:highlight w:val="none"/>
              </w:rPr>
            </w:pPr>
            <w:r>
              <w:rPr>
                <w:color w:val="auto"/>
                <w:highlight w:val="none"/>
              </w:rPr>
              <w:t>24</w:t>
            </w:r>
          </w:p>
        </w:tc>
        <w:tc>
          <w:tcPr>
            <w:tcW w:w="363" w:type="pct"/>
            <w:vMerge w:val="continue"/>
            <w:tcBorders>
              <w:tl2br w:val="nil"/>
              <w:tr2bl w:val="nil"/>
            </w:tcBorders>
            <w:vAlign w:val="center"/>
          </w:tcPr>
          <w:p w14:paraId="6121937F">
            <w:pPr>
              <w:pStyle w:val="41"/>
              <w:rPr>
                <w:color w:val="auto"/>
                <w:highlight w:val="none"/>
              </w:rPr>
            </w:pPr>
          </w:p>
        </w:tc>
        <w:tc>
          <w:tcPr>
            <w:tcW w:w="419" w:type="pct"/>
            <w:vMerge w:val="continue"/>
            <w:tcBorders>
              <w:tl2br w:val="nil"/>
              <w:tr2bl w:val="nil"/>
            </w:tcBorders>
            <w:vAlign w:val="center"/>
          </w:tcPr>
          <w:p w14:paraId="60245437">
            <w:pPr>
              <w:pStyle w:val="41"/>
              <w:rPr>
                <w:color w:val="auto"/>
                <w:highlight w:val="none"/>
              </w:rPr>
            </w:pPr>
          </w:p>
        </w:tc>
        <w:tc>
          <w:tcPr>
            <w:tcW w:w="535" w:type="pct"/>
            <w:vMerge w:val="continue"/>
            <w:tcBorders>
              <w:tl2br w:val="nil"/>
              <w:tr2bl w:val="nil"/>
            </w:tcBorders>
            <w:vAlign w:val="center"/>
          </w:tcPr>
          <w:p w14:paraId="6CBF9D17">
            <w:pPr>
              <w:pStyle w:val="41"/>
              <w:rPr>
                <w:color w:val="auto"/>
                <w:highlight w:val="none"/>
              </w:rPr>
            </w:pPr>
          </w:p>
        </w:tc>
        <w:tc>
          <w:tcPr>
            <w:tcW w:w="729" w:type="pct"/>
            <w:vMerge w:val="restart"/>
            <w:tcBorders>
              <w:tl2br w:val="nil"/>
              <w:tr2bl w:val="nil"/>
            </w:tcBorders>
            <w:vAlign w:val="center"/>
          </w:tcPr>
          <w:p w14:paraId="0DFA76C4">
            <w:pPr>
              <w:pStyle w:val="41"/>
              <w:rPr>
                <w:color w:val="auto"/>
                <w:highlight w:val="none"/>
              </w:rPr>
            </w:pPr>
            <w:r>
              <w:rPr>
                <w:color w:val="auto"/>
                <w:highlight w:val="none"/>
              </w:rPr>
              <w:t>环境监测预警与日常检查</w:t>
            </w:r>
          </w:p>
        </w:tc>
        <w:tc>
          <w:tcPr>
            <w:tcW w:w="1453" w:type="pct"/>
            <w:tcBorders>
              <w:tl2br w:val="nil"/>
              <w:tr2bl w:val="nil"/>
            </w:tcBorders>
            <w:vAlign w:val="center"/>
          </w:tcPr>
          <w:p w14:paraId="5CAAF6F9">
            <w:pPr>
              <w:pStyle w:val="41"/>
              <w:rPr>
                <w:color w:val="auto"/>
                <w:highlight w:val="none"/>
              </w:rPr>
            </w:pPr>
            <w:r>
              <w:rPr>
                <w:color w:val="auto"/>
                <w:highlight w:val="none"/>
              </w:rPr>
              <w:t>监测预警</w:t>
            </w:r>
          </w:p>
        </w:tc>
        <w:tc>
          <w:tcPr>
            <w:tcW w:w="593" w:type="pct"/>
            <w:tcBorders>
              <w:tl2br w:val="nil"/>
              <w:tr2bl w:val="nil"/>
            </w:tcBorders>
            <w:vAlign w:val="center"/>
          </w:tcPr>
          <w:p w14:paraId="25D18A05">
            <w:pPr>
              <w:pStyle w:val="41"/>
              <w:rPr>
                <w:color w:val="auto"/>
                <w:highlight w:val="none"/>
              </w:rPr>
            </w:pPr>
            <w:r>
              <w:rPr>
                <w:color w:val="auto"/>
                <w:highlight w:val="none"/>
              </w:rPr>
              <w:t>2</w:t>
            </w:r>
          </w:p>
        </w:tc>
        <w:tc>
          <w:tcPr>
            <w:tcW w:w="593" w:type="pct"/>
            <w:tcBorders>
              <w:tl2br w:val="nil"/>
              <w:tr2bl w:val="nil"/>
            </w:tcBorders>
            <w:vAlign w:val="center"/>
          </w:tcPr>
          <w:p w14:paraId="72A8BA4E">
            <w:pPr>
              <w:pStyle w:val="41"/>
              <w:rPr>
                <w:color w:val="auto"/>
                <w:highlight w:val="none"/>
              </w:rPr>
            </w:pPr>
            <w:r>
              <w:rPr>
                <w:color w:val="auto"/>
                <w:highlight w:val="none"/>
              </w:rPr>
              <w:t>2</w:t>
            </w:r>
          </w:p>
        </w:tc>
      </w:tr>
      <w:tr w14:paraId="4645F8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783F79BF">
            <w:pPr>
              <w:pStyle w:val="41"/>
              <w:rPr>
                <w:color w:val="auto"/>
                <w:highlight w:val="none"/>
              </w:rPr>
            </w:pPr>
            <w:r>
              <w:rPr>
                <w:color w:val="auto"/>
                <w:highlight w:val="none"/>
              </w:rPr>
              <w:t>25</w:t>
            </w:r>
          </w:p>
        </w:tc>
        <w:tc>
          <w:tcPr>
            <w:tcW w:w="363" w:type="pct"/>
            <w:vMerge w:val="continue"/>
            <w:tcBorders>
              <w:tl2br w:val="nil"/>
              <w:tr2bl w:val="nil"/>
            </w:tcBorders>
            <w:vAlign w:val="center"/>
          </w:tcPr>
          <w:p w14:paraId="362E823C">
            <w:pPr>
              <w:pStyle w:val="41"/>
              <w:rPr>
                <w:color w:val="auto"/>
                <w:highlight w:val="none"/>
              </w:rPr>
            </w:pPr>
          </w:p>
        </w:tc>
        <w:tc>
          <w:tcPr>
            <w:tcW w:w="419" w:type="pct"/>
            <w:vMerge w:val="continue"/>
            <w:tcBorders>
              <w:tl2br w:val="nil"/>
              <w:tr2bl w:val="nil"/>
            </w:tcBorders>
            <w:vAlign w:val="center"/>
          </w:tcPr>
          <w:p w14:paraId="3146F65D">
            <w:pPr>
              <w:pStyle w:val="41"/>
              <w:rPr>
                <w:color w:val="auto"/>
                <w:highlight w:val="none"/>
              </w:rPr>
            </w:pPr>
          </w:p>
        </w:tc>
        <w:tc>
          <w:tcPr>
            <w:tcW w:w="535" w:type="pct"/>
            <w:vMerge w:val="continue"/>
            <w:tcBorders>
              <w:tl2br w:val="nil"/>
              <w:tr2bl w:val="nil"/>
            </w:tcBorders>
            <w:vAlign w:val="center"/>
          </w:tcPr>
          <w:p w14:paraId="0A661AF7">
            <w:pPr>
              <w:pStyle w:val="41"/>
              <w:rPr>
                <w:color w:val="auto"/>
                <w:highlight w:val="none"/>
              </w:rPr>
            </w:pPr>
          </w:p>
        </w:tc>
        <w:tc>
          <w:tcPr>
            <w:tcW w:w="729" w:type="pct"/>
            <w:vMerge w:val="continue"/>
            <w:tcBorders>
              <w:tl2br w:val="nil"/>
              <w:tr2bl w:val="nil"/>
            </w:tcBorders>
            <w:vAlign w:val="center"/>
          </w:tcPr>
          <w:p w14:paraId="0A252CA8">
            <w:pPr>
              <w:pStyle w:val="41"/>
              <w:rPr>
                <w:color w:val="auto"/>
                <w:highlight w:val="none"/>
              </w:rPr>
            </w:pPr>
          </w:p>
        </w:tc>
        <w:tc>
          <w:tcPr>
            <w:tcW w:w="1453" w:type="pct"/>
            <w:tcBorders>
              <w:tl2br w:val="nil"/>
              <w:tr2bl w:val="nil"/>
            </w:tcBorders>
            <w:vAlign w:val="center"/>
          </w:tcPr>
          <w:p w14:paraId="4F2EE1FA">
            <w:pPr>
              <w:pStyle w:val="41"/>
              <w:rPr>
                <w:color w:val="auto"/>
                <w:highlight w:val="none"/>
              </w:rPr>
            </w:pPr>
            <w:r>
              <w:rPr>
                <w:color w:val="auto"/>
                <w:highlight w:val="none"/>
              </w:rPr>
              <w:t>日常检查</w:t>
            </w:r>
          </w:p>
        </w:tc>
        <w:tc>
          <w:tcPr>
            <w:tcW w:w="593" w:type="pct"/>
            <w:tcBorders>
              <w:tl2br w:val="nil"/>
              <w:tr2bl w:val="nil"/>
            </w:tcBorders>
            <w:vAlign w:val="center"/>
          </w:tcPr>
          <w:p w14:paraId="54A00F75">
            <w:pPr>
              <w:pStyle w:val="41"/>
              <w:rPr>
                <w:color w:val="auto"/>
                <w:highlight w:val="none"/>
              </w:rPr>
            </w:pPr>
            <w:r>
              <w:rPr>
                <w:color w:val="auto"/>
                <w:highlight w:val="none"/>
              </w:rPr>
              <w:t>2</w:t>
            </w:r>
          </w:p>
        </w:tc>
        <w:tc>
          <w:tcPr>
            <w:tcW w:w="593" w:type="pct"/>
            <w:tcBorders>
              <w:tl2br w:val="nil"/>
              <w:tr2bl w:val="nil"/>
            </w:tcBorders>
            <w:vAlign w:val="center"/>
          </w:tcPr>
          <w:p w14:paraId="1B7DDAF7">
            <w:pPr>
              <w:pStyle w:val="41"/>
              <w:rPr>
                <w:color w:val="auto"/>
                <w:highlight w:val="none"/>
              </w:rPr>
            </w:pPr>
            <w:r>
              <w:rPr>
                <w:color w:val="auto"/>
                <w:highlight w:val="none"/>
              </w:rPr>
              <w:t>2</w:t>
            </w:r>
          </w:p>
        </w:tc>
      </w:tr>
      <w:tr w14:paraId="250D67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056C0CC5">
            <w:pPr>
              <w:pStyle w:val="41"/>
              <w:rPr>
                <w:color w:val="auto"/>
                <w:highlight w:val="none"/>
              </w:rPr>
            </w:pPr>
            <w:r>
              <w:rPr>
                <w:color w:val="auto"/>
                <w:highlight w:val="none"/>
              </w:rPr>
              <w:t>26</w:t>
            </w:r>
          </w:p>
        </w:tc>
        <w:tc>
          <w:tcPr>
            <w:tcW w:w="363" w:type="pct"/>
            <w:vMerge w:val="continue"/>
            <w:tcBorders>
              <w:tl2br w:val="nil"/>
              <w:tr2bl w:val="nil"/>
            </w:tcBorders>
            <w:vAlign w:val="center"/>
          </w:tcPr>
          <w:p w14:paraId="1D32A587">
            <w:pPr>
              <w:pStyle w:val="41"/>
              <w:rPr>
                <w:color w:val="auto"/>
                <w:highlight w:val="none"/>
              </w:rPr>
            </w:pPr>
          </w:p>
        </w:tc>
        <w:tc>
          <w:tcPr>
            <w:tcW w:w="419" w:type="pct"/>
            <w:vMerge w:val="continue"/>
            <w:tcBorders>
              <w:tl2br w:val="nil"/>
              <w:tr2bl w:val="nil"/>
            </w:tcBorders>
            <w:vAlign w:val="center"/>
          </w:tcPr>
          <w:p w14:paraId="3B04FC38">
            <w:pPr>
              <w:pStyle w:val="41"/>
              <w:rPr>
                <w:color w:val="auto"/>
                <w:highlight w:val="none"/>
              </w:rPr>
            </w:pPr>
          </w:p>
        </w:tc>
        <w:tc>
          <w:tcPr>
            <w:tcW w:w="535" w:type="pct"/>
            <w:vMerge w:val="continue"/>
            <w:tcBorders>
              <w:tl2br w:val="nil"/>
              <w:tr2bl w:val="nil"/>
            </w:tcBorders>
            <w:vAlign w:val="center"/>
          </w:tcPr>
          <w:p w14:paraId="494CB175">
            <w:pPr>
              <w:pStyle w:val="41"/>
              <w:rPr>
                <w:color w:val="auto"/>
                <w:highlight w:val="none"/>
              </w:rPr>
            </w:pPr>
          </w:p>
        </w:tc>
        <w:tc>
          <w:tcPr>
            <w:tcW w:w="729" w:type="pct"/>
            <w:vMerge w:val="restart"/>
            <w:tcBorders>
              <w:tl2br w:val="nil"/>
              <w:tr2bl w:val="nil"/>
            </w:tcBorders>
            <w:vAlign w:val="center"/>
          </w:tcPr>
          <w:p w14:paraId="1E40A96D">
            <w:pPr>
              <w:pStyle w:val="41"/>
              <w:rPr>
                <w:color w:val="auto"/>
                <w:highlight w:val="none"/>
              </w:rPr>
            </w:pPr>
            <w:r>
              <w:rPr>
                <w:color w:val="auto"/>
                <w:highlight w:val="none"/>
              </w:rPr>
              <w:t>环境安全隐患排查与治理</w:t>
            </w:r>
          </w:p>
        </w:tc>
        <w:tc>
          <w:tcPr>
            <w:tcW w:w="1453" w:type="pct"/>
            <w:tcBorders>
              <w:tl2br w:val="nil"/>
              <w:tr2bl w:val="nil"/>
            </w:tcBorders>
            <w:vAlign w:val="center"/>
          </w:tcPr>
          <w:p w14:paraId="31B07EDC">
            <w:pPr>
              <w:pStyle w:val="41"/>
              <w:rPr>
                <w:color w:val="auto"/>
                <w:highlight w:val="none"/>
              </w:rPr>
            </w:pPr>
            <w:r>
              <w:rPr>
                <w:color w:val="auto"/>
                <w:highlight w:val="none"/>
              </w:rPr>
              <w:t>安全隐患排查</w:t>
            </w:r>
          </w:p>
        </w:tc>
        <w:tc>
          <w:tcPr>
            <w:tcW w:w="593" w:type="pct"/>
            <w:tcBorders>
              <w:tl2br w:val="nil"/>
              <w:tr2bl w:val="nil"/>
            </w:tcBorders>
            <w:vAlign w:val="center"/>
          </w:tcPr>
          <w:p w14:paraId="5AFF839B">
            <w:pPr>
              <w:pStyle w:val="41"/>
              <w:rPr>
                <w:color w:val="auto"/>
                <w:highlight w:val="none"/>
              </w:rPr>
            </w:pPr>
            <w:r>
              <w:rPr>
                <w:color w:val="auto"/>
                <w:highlight w:val="none"/>
              </w:rPr>
              <w:t>3</w:t>
            </w:r>
          </w:p>
        </w:tc>
        <w:tc>
          <w:tcPr>
            <w:tcW w:w="593" w:type="pct"/>
            <w:tcBorders>
              <w:tl2br w:val="nil"/>
              <w:tr2bl w:val="nil"/>
            </w:tcBorders>
            <w:vAlign w:val="center"/>
          </w:tcPr>
          <w:p w14:paraId="1768A84E">
            <w:pPr>
              <w:pStyle w:val="41"/>
              <w:rPr>
                <w:color w:val="auto"/>
                <w:highlight w:val="none"/>
              </w:rPr>
            </w:pPr>
            <w:r>
              <w:rPr>
                <w:color w:val="auto"/>
                <w:highlight w:val="none"/>
              </w:rPr>
              <w:t>3</w:t>
            </w:r>
          </w:p>
        </w:tc>
      </w:tr>
      <w:tr w14:paraId="7EA406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0E4443DE">
            <w:pPr>
              <w:pStyle w:val="41"/>
              <w:rPr>
                <w:color w:val="auto"/>
                <w:highlight w:val="none"/>
              </w:rPr>
            </w:pPr>
            <w:r>
              <w:rPr>
                <w:color w:val="auto"/>
                <w:highlight w:val="none"/>
              </w:rPr>
              <w:t>27</w:t>
            </w:r>
          </w:p>
        </w:tc>
        <w:tc>
          <w:tcPr>
            <w:tcW w:w="363" w:type="pct"/>
            <w:vMerge w:val="continue"/>
            <w:tcBorders>
              <w:tl2br w:val="nil"/>
              <w:tr2bl w:val="nil"/>
            </w:tcBorders>
            <w:vAlign w:val="center"/>
          </w:tcPr>
          <w:p w14:paraId="6BEC5BA3">
            <w:pPr>
              <w:pStyle w:val="41"/>
              <w:rPr>
                <w:color w:val="auto"/>
                <w:highlight w:val="none"/>
              </w:rPr>
            </w:pPr>
          </w:p>
        </w:tc>
        <w:tc>
          <w:tcPr>
            <w:tcW w:w="419" w:type="pct"/>
            <w:vMerge w:val="continue"/>
            <w:tcBorders>
              <w:tl2br w:val="nil"/>
              <w:tr2bl w:val="nil"/>
            </w:tcBorders>
            <w:vAlign w:val="center"/>
          </w:tcPr>
          <w:p w14:paraId="65845AB3">
            <w:pPr>
              <w:pStyle w:val="41"/>
              <w:rPr>
                <w:color w:val="auto"/>
                <w:highlight w:val="none"/>
              </w:rPr>
            </w:pPr>
          </w:p>
        </w:tc>
        <w:tc>
          <w:tcPr>
            <w:tcW w:w="535" w:type="pct"/>
            <w:vMerge w:val="continue"/>
            <w:tcBorders>
              <w:tl2br w:val="nil"/>
              <w:tr2bl w:val="nil"/>
            </w:tcBorders>
            <w:vAlign w:val="center"/>
          </w:tcPr>
          <w:p w14:paraId="219860D1">
            <w:pPr>
              <w:pStyle w:val="41"/>
              <w:rPr>
                <w:color w:val="auto"/>
                <w:highlight w:val="none"/>
              </w:rPr>
            </w:pPr>
          </w:p>
        </w:tc>
        <w:tc>
          <w:tcPr>
            <w:tcW w:w="729" w:type="pct"/>
            <w:vMerge w:val="continue"/>
            <w:tcBorders>
              <w:tl2br w:val="nil"/>
              <w:tr2bl w:val="nil"/>
            </w:tcBorders>
            <w:vAlign w:val="center"/>
          </w:tcPr>
          <w:p w14:paraId="6DC6F8F5">
            <w:pPr>
              <w:pStyle w:val="41"/>
              <w:rPr>
                <w:color w:val="auto"/>
                <w:highlight w:val="none"/>
              </w:rPr>
            </w:pPr>
          </w:p>
        </w:tc>
        <w:tc>
          <w:tcPr>
            <w:tcW w:w="1453" w:type="pct"/>
            <w:tcBorders>
              <w:tl2br w:val="nil"/>
              <w:tr2bl w:val="nil"/>
            </w:tcBorders>
            <w:vAlign w:val="center"/>
          </w:tcPr>
          <w:p w14:paraId="0549B057">
            <w:pPr>
              <w:pStyle w:val="41"/>
              <w:rPr>
                <w:color w:val="auto"/>
                <w:highlight w:val="none"/>
              </w:rPr>
            </w:pPr>
            <w:r>
              <w:rPr>
                <w:color w:val="auto"/>
                <w:highlight w:val="none"/>
              </w:rPr>
              <w:t>环境安全隐患治理</w:t>
            </w:r>
          </w:p>
        </w:tc>
        <w:tc>
          <w:tcPr>
            <w:tcW w:w="593" w:type="pct"/>
            <w:tcBorders>
              <w:tl2br w:val="nil"/>
              <w:tr2bl w:val="nil"/>
            </w:tcBorders>
            <w:vAlign w:val="center"/>
          </w:tcPr>
          <w:p w14:paraId="76FEAB48">
            <w:pPr>
              <w:pStyle w:val="41"/>
              <w:rPr>
                <w:color w:val="auto"/>
                <w:highlight w:val="none"/>
              </w:rPr>
            </w:pPr>
            <w:r>
              <w:rPr>
                <w:color w:val="auto"/>
                <w:highlight w:val="none"/>
              </w:rPr>
              <w:t>2.5</w:t>
            </w:r>
          </w:p>
        </w:tc>
        <w:tc>
          <w:tcPr>
            <w:tcW w:w="593" w:type="pct"/>
            <w:tcBorders>
              <w:tl2br w:val="nil"/>
              <w:tr2bl w:val="nil"/>
            </w:tcBorders>
            <w:vAlign w:val="center"/>
          </w:tcPr>
          <w:p w14:paraId="22FDD368">
            <w:pPr>
              <w:pStyle w:val="41"/>
              <w:rPr>
                <w:color w:val="auto"/>
                <w:highlight w:val="none"/>
              </w:rPr>
            </w:pPr>
            <w:r>
              <w:rPr>
                <w:color w:val="auto"/>
                <w:highlight w:val="none"/>
              </w:rPr>
              <w:t>2.5</w:t>
            </w:r>
          </w:p>
        </w:tc>
      </w:tr>
      <w:tr w14:paraId="73546E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758C3FE2">
            <w:pPr>
              <w:pStyle w:val="41"/>
              <w:rPr>
                <w:color w:val="auto"/>
                <w:highlight w:val="none"/>
              </w:rPr>
            </w:pPr>
            <w:r>
              <w:rPr>
                <w:color w:val="auto"/>
                <w:highlight w:val="none"/>
              </w:rPr>
              <w:t>28</w:t>
            </w:r>
          </w:p>
        </w:tc>
        <w:tc>
          <w:tcPr>
            <w:tcW w:w="363" w:type="pct"/>
            <w:vMerge w:val="continue"/>
            <w:tcBorders>
              <w:tl2br w:val="nil"/>
              <w:tr2bl w:val="nil"/>
            </w:tcBorders>
            <w:vAlign w:val="center"/>
          </w:tcPr>
          <w:p w14:paraId="207BB2EB">
            <w:pPr>
              <w:pStyle w:val="41"/>
              <w:rPr>
                <w:color w:val="auto"/>
                <w:highlight w:val="none"/>
              </w:rPr>
            </w:pPr>
          </w:p>
        </w:tc>
        <w:tc>
          <w:tcPr>
            <w:tcW w:w="419" w:type="pct"/>
            <w:vMerge w:val="continue"/>
            <w:tcBorders>
              <w:tl2br w:val="nil"/>
              <w:tr2bl w:val="nil"/>
            </w:tcBorders>
            <w:vAlign w:val="center"/>
          </w:tcPr>
          <w:p w14:paraId="448BB7EA">
            <w:pPr>
              <w:pStyle w:val="41"/>
              <w:rPr>
                <w:color w:val="auto"/>
                <w:highlight w:val="none"/>
              </w:rPr>
            </w:pPr>
          </w:p>
        </w:tc>
        <w:tc>
          <w:tcPr>
            <w:tcW w:w="535" w:type="pct"/>
            <w:tcBorders>
              <w:tl2br w:val="nil"/>
              <w:tr2bl w:val="nil"/>
            </w:tcBorders>
            <w:vAlign w:val="center"/>
          </w:tcPr>
          <w:p w14:paraId="3F1B5DFB">
            <w:pPr>
              <w:pStyle w:val="41"/>
              <w:rPr>
                <w:color w:val="auto"/>
                <w:highlight w:val="none"/>
              </w:rPr>
            </w:pPr>
            <w:r>
              <w:rPr>
                <w:color w:val="auto"/>
                <w:highlight w:val="none"/>
              </w:rPr>
              <w:t>环境违法与环境纠纷情况</w:t>
            </w:r>
          </w:p>
        </w:tc>
        <w:tc>
          <w:tcPr>
            <w:tcW w:w="2182" w:type="pct"/>
            <w:gridSpan w:val="2"/>
            <w:tcBorders>
              <w:tl2br w:val="nil"/>
              <w:tr2bl w:val="nil"/>
            </w:tcBorders>
            <w:vAlign w:val="center"/>
          </w:tcPr>
          <w:p w14:paraId="17F13516">
            <w:pPr>
              <w:pStyle w:val="41"/>
              <w:rPr>
                <w:color w:val="auto"/>
                <w:highlight w:val="none"/>
              </w:rPr>
            </w:pPr>
            <w:r>
              <w:rPr>
                <w:color w:val="auto"/>
                <w:highlight w:val="none"/>
              </w:rPr>
              <w:t>近三年来是否存在环境违法行为或与周边存在环境纠纷</w:t>
            </w:r>
          </w:p>
        </w:tc>
        <w:tc>
          <w:tcPr>
            <w:tcW w:w="593" w:type="pct"/>
            <w:tcBorders>
              <w:tl2br w:val="nil"/>
              <w:tr2bl w:val="nil"/>
            </w:tcBorders>
            <w:vAlign w:val="center"/>
          </w:tcPr>
          <w:p w14:paraId="1B8E4ABC">
            <w:pPr>
              <w:pStyle w:val="41"/>
              <w:rPr>
                <w:color w:val="auto"/>
                <w:highlight w:val="none"/>
              </w:rPr>
            </w:pPr>
            <w:r>
              <w:rPr>
                <w:color w:val="auto"/>
                <w:highlight w:val="none"/>
              </w:rPr>
              <w:t>7</w:t>
            </w:r>
          </w:p>
        </w:tc>
        <w:tc>
          <w:tcPr>
            <w:tcW w:w="593" w:type="pct"/>
            <w:tcBorders>
              <w:tl2br w:val="nil"/>
              <w:tr2bl w:val="nil"/>
            </w:tcBorders>
            <w:vAlign w:val="center"/>
          </w:tcPr>
          <w:p w14:paraId="3CD5DB8C">
            <w:pPr>
              <w:pStyle w:val="41"/>
              <w:rPr>
                <w:color w:val="auto"/>
                <w:highlight w:val="none"/>
              </w:rPr>
            </w:pPr>
            <w:r>
              <w:rPr>
                <w:color w:val="auto"/>
                <w:highlight w:val="none"/>
              </w:rPr>
              <w:t>0</w:t>
            </w:r>
          </w:p>
        </w:tc>
      </w:tr>
      <w:tr w14:paraId="35FD06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091129BA">
            <w:pPr>
              <w:pStyle w:val="41"/>
              <w:rPr>
                <w:color w:val="auto"/>
                <w:highlight w:val="none"/>
              </w:rPr>
            </w:pPr>
            <w:r>
              <w:rPr>
                <w:color w:val="auto"/>
                <w:highlight w:val="none"/>
              </w:rPr>
              <w:t>29</w:t>
            </w:r>
          </w:p>
        </w:tc>
        <w:tc>
          <w:tcPr>
            <w:tcW w:w="363" w:type="pct"/>
            <w:vMerge w:val="continue"/>
            <w:tcBorders>
              <w:tl2br w:val="nil"/>
              <w:tr2bl w:val="nil"/>
            </w:tcBorders>
            <w:vAlign w:val="center"/>
          </w:tcPr>
          <w:p w14:paraId="727A7A4B">
            <w:pPr>
              <w:pStyle w:val="41"/>
              <w:rPr>
                <w:color w:val="auto"/>
                <w:highlight w:val="none"/>
              </w:rPr>
            </w:pPr>
          </w:p>
        </w:tc>
        <w:tc>
          <w:tcPr>
            <w:tcW w:w="419" w:type="pct"/>
            <w:vMerge w:val="continue"/>
            <w:tcBorders>
              <w:tl2br w:val="nil"/>
              <w:tr2bl w:val="nil"/>
            </w:tcBorders>
            <w:vAlign w:val="center"/>
          </w:tcPr>
          <w:p w14:paraId="5FB27226">
            <w:pPr>
              <w:pStyle w:val="41"/>
              <w:rPr>
                <w:color w:val="auto"/>
                <w:highlight w:val="none"/>
              </w:rPr>
            </w:pPr>
          </w:p>
        </w:tc>
        <w:tc>
          <w:tcPr>
            <w:tcW w:w="535" w:type="pct"/>
            <w:vMerge w:val="restart"/>
            <w:tcBorders>
              <w:tl2br w:val="nil"/>
              <w:tr2bl w:val="nil"/>
            </w:tcBorders>
            <w:vAlign w:val="center"/>
          </w:tcPr>
          <w:p w14:paraId="5BD21304">
            <w:pPr>
              <w:pStyle w:val="41"/>
              <w:rPr>
                <w:color w:val="auto"/>
                <w:highlight w:val="none"/>
              </w:rPr>
            </w:pPr>
            <w:r>
              <w:rPr>
                <w:color w:val="auto"/>
                <w:highlight w:val="none"/>
              </w:rPr>
              <w:t>近三年来发生事故或事件情况（包括安全和环境方面）</w:t>
            </w:r>
          </w:p>
        </w:tc>
        <w:tc>
          <w:tcPr>
            <w:tcW w:w="2182" w:type="pct"/>
            <w:gridSpan w:val="2"/>
            <w:tcBorders>
              <w:tl2br w:val="nil"/>
              <w:tr2bl w:val="nil"/>
            </w:tcBorders>
            <w:vAlign w:val="center"/>
          </w:tcPr>
          <w:p w14:paraId="253059EB">
            <w:pPr>
              <w:pStyle w:val="41"/>
              <w:rPr>
                <w:color w:val="auto"/>
                <w:highlight w:val="none"/>
              </w:rPr>
            </w:pPr>
            <w:r>
              <w:rPr>
                <w:color w:val="auto"/>
                <w:highlight w:val="none"/>
              </w:rPr>
              <w:t>事件等级</w:t>
            </w:r>
          </w:p>
        </w:tc>
        <w:tc>
          <w:tcPr>
            <w:tcW w:w="593" w:type="pct"/>
            <w:tcBorders>
              <w:tl2br w:val="nil"/>
              <w:tr2bl w:val="nil"/>
            </w:tcBorders>
            <w:vAlign w:val="center"/>
          </w:tcPr>
          <w:p w14:paraId="4AF66190">
            <w:pPr>
              <w:pStyle w:val="41"/>
              <w:rPr>
                <w:color w:val="auto"/>
                <w:highlight w:val="none"/>
              </w:rPr>
            </w:pPr>
            <w:r>
              <w:rPr>
                <w:color w:val="auto"/>
                <w:highlight w:val="none"/>
              </w:rPr>
              <w:t>8</w:t>
            </w:r>
          </w:p>
        </w:tc>
        <w:tc>
          <w:tcPr>
            <w:tcW w:w="593" w:type="pct"/>
            <w:tcBorders>
              <w:tl2br w:val="nil"/>
              <w:tr2bl w:val="nil"/>
            </w:tcBorders>
            <w:vAlign w:val="center"/>
          </w:tcPr>
          <w:p w14:paraId="6909BF4E">
            <w:pPr>
              <w:pStyle w:val="41"/>
              <w:rPr>
                <w:color w:val="auto"/>
                <w:highlight w:val="none"/>
              </w:rPr>
            </w:pPr>
            <w:r>
              <w:rPr>
                <w:color w:val="auto"/>
                <w:highlight w:val="none"/>
              </w:rPr>
              <w:t>0</w:t>
            </w:r>
          </w:p>
        </w:tc>
      </w:tr>
      <w:tr w14:paraId="4A58E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46DDFE15">
            <w:pPr>
              <w:pStyle w:val="41"/>
              <w:rPr>
                <w:color w:val="auto"/>
                <w:highlight w:val="none"/>
              </w:rPr>
            </w:pPr>
            <w:r>
              <w:rPr>
                <w:color w:val="auto"/>
                <w:highlight w:val="none"/>
              </w:rPr>
              <w:t>30</w:t>
            </w:r>
          </w:p>
        </w:tc>
        <w:tc>
          <w:tcPr>
            <w:tcW w:w="363" w:type="pct"/>
            <w:vMerge w:val="continue"/>
            <w:tcBorders>
              <w:tl2br w:val="nil"/>
              <w:tr2bl w:val="nil"/>
            </w:tcBorders>
            <w:vAlign w:val="center"/>
          </w:tcPr>
          <w:p w14:paraId="4D6951E8">
            <w:pPr>
              <w:pStyle w:val="41"/>
              <w:rPr>
                <w:color w:val="auto"/>
                <w:highlight w:val="none"/>
              </w:rPr>
            </w:pPr>
          </w:p>
        </w:tc>
        <w:tc>
          <w:tcPr>
            <w:tcW w:w="419" w:type="pct"/>
            <w:tcBorders>
              <w:tl2br w:val="nil"/>
              <w:tr2bl w:val="nil"/>
            </w:tcBorders>
            <w:vAlign w:val="center"/>
          </w:tcPr>
          <w:p w14:paraId="5C7808CC">
            <w:pPr>
              <w:pStyle w:val="41"/>
              <w:rPr>
                <w:color w:val="auto"/>
                <w:highlight w:val="none"/>
              </w:rPr>
            </w:pPr>
            <w:r>
              <w:rPr>
                <w:color w:val="auto"/>
                <w:highlight w:val="none"/>
              </w:rPr>
              <w:t>历史事件情况</w:t>
            </w:r>
          </w:p>
        </w:tc>
        <w:tc>
          <w:tcPr>
            <w:tcW w:w="535" w:type="pct"/>
            <w:vMerge w:val="continue"/>
            <w:tcBorders>
              <w:tl2br w:val="nil"/>
              <w:tr2bl w:val="nil"/>
            </w:tcBorders>
            <w:vAlign w:val="center"/>
          </w:tcPr>
          <w:p w14:paraId="03F659F2">
            <w:pPr>
              <w:pStyle w:val="41"/>
              <w:rPr>
                <w:color w:val="auto"/>
                <w:highlight w:val="none"/>
              </w:rPr>
            </w:pPr>
          </w:p>
        </w:tc>
        <w:tc>
          <w:tcPr>
            <w:tcW w:w="2182" w:type="pct"/>
            <w:gridSpan w:val="2"/>
            <w:tcBorders>
              <w:tl2br w:val="nil"/>
              <w:tr2bl w:val="nil"/>
            </w:tcBorders>
            <w:vAlign w:val="center"/>
          </w:tcPr>
          <w:p w14:paraId="1CE5589B">
            <w:pPr>
              <w:pStyle w:val="41"/>
              <w:rPr>
                <w:color w:val="auto"/>
                <w:highlight w:val="none"/>
              </w:rPr>
            </w:pPr>
            <w:r>
              <w:rPr>
                <w:color w:val="auto"/>
                <w:highlight w:val="none"/>
              </w:rPr>
              <w:t>事件次数</w:t>
            </w:r>
          </w:p>
        </w:tc>
        <w:tc>
          <w:tcPr>
            <w:tcW w:w="593" w:type="pct"/>
            <w:tcBorders>
              <w:tl2br w:val="nil"/>
              <w:tr2bl w:val="nil"/>
            </w:tcBorders>
            <w:vAlign w:val="center"/>
          </w:tcPr>
          <w:p w14:paraId="2584F4EC">
            <w:pPr>
              <w:pStyle w:val="41"/>
              <w:rPr>
                <w:color w:val="auto"/>
                <w:highlight w:val="none"/>
              </w:rPr>
            </w:pPr>
            <w:r>
              <w:rPr>
                <w:color w:val="auto"/>
                <w:highlight w:val="none"/>
              </w:rPr>
              <w:t>3</w:t>
            </w:r>
          </w:p>
        </w:tc>
        <w:tc>
          <w:tcPr>
            <w:tcW w:w="593" w:type="pct"/>
            <w:tcBorders>
              <w:tl2br w:val="nil"/>
              <w:tr2bl w:val="nil"/>
            </w:tcBorders>
            <w:vAlign w:val="center"/>
          </w:tcPr>
          <w:p w14:paraId="78B4C790">
            <w:pPr>
              <w:pStyle w:val="41"/>
              <w:rPr>
                <w:color w:val="auto"/>
                <w:highlight w:val="none"/>
              </w:rPr>
            </w:pPr>
            <w:r>
              <w:rPr>
                <w:color w:val="auto"/>
                <w:highlight w:val="none"/>
              </w:rPr>
              <w:t>0</w:t>
            </w:r>
          </w:p>
        </w:tc>
      </w:tr>
      <w:tr w14:paraId="525EBF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2" w:type="pct"/>
            <w:tcBorders>
              <w:tl2br w:val="nil"/>
              <w:tr2bl w:val="nil"/>
            </w:tcBorders>
            <w:vAlign w:val="center"/>
          </w:tcPr>
          <w:p w14:paraId="502D098F">
            <w:pPr>
              <w:pStyle w:val="41"/>
              <w:rPr>
                <w:color w:val="auto"/>
                <w:highlight w:val="none"/>
              </w:rPr>
            </w:pPr>
            <w:r>
              <w:rPr>
                <w:color w:val="auto"/>
                <w:highlight w:val="none"/>
              </w:rPr>
              <w:t>31</w:t>
            </w:r>
          </w:p>
        </w:tc>
        <w:tc>
          <w:tcPr>
            <w:tcW w:w="1318" w:type="pct"/>
            <w:gridSpan w:val="3"/>
            <w:tcBorders>
              <w:tl2br w:val="nil"/>
              <w:tr2bl w:val="nil"/>
            </w:tcBorders>
            <w:vAlign w:val="center"/>
          </w:tcPr>
          <w:p w14:paraId="6AD49733">
            <w:pPr>
              <w:pStyle w:val="41"/>
              <w:rPr>
                <w:color w:val="auto"/>
                <w:highlight w:val="none"/>
              </w:rPr>
            </w:pPr>
            <w:r>
              <w:rPr>
                <w:color w:val="auto"/>
                <w:highlight w:val="none"/>
              </w:rPr>
              <w:t>合计</w:t>
            </w:r>
          </w:p>
        </w:tc>
        <w:tc>
          <w:tcPr>
            <w:tcW w:w="2182" w:type="pct"/>
            <w:gridSpan w:val="2"/>
            <w:tcBorders>
              <w:tl2br w:val="nil"/>
              <w:tr2bl w:val="nil"/>
            </w:tcBorders>
            <w:vAlign w:val="center"/>
          </w:tcPr>
          <w:p w14:paraId="78B98113">
            <w:pPr>
              <w:pStyle w:val="41"/>
              <w:rPr>
                <w:color w:val="auto"/>
                <w:highlight w:val="none"/>
              </w:rPr>
            </w:pPr>
          </w:p>
        </w:tc>
        <w:tc>
          <w:tcPr>
            <w:tcW w:w="593" w:type="pct"/>
            <w:tcBorders>
              <w:tl2br w:val="nil"/>
              <w:tr2bl w:val="nil"/>
            </w:tcBorders>
            <w:vAlign w:val="center"/>
          </w:tcPr>
          <w:p w14:paraId="7F99B859">
            <w:pPr>
              <w:pStyle w:val="41"/>
              <w:rPr>
                <w:color w:val="auto"/>
                <w:highlight w:val="none"/>
              </w:rPr>
            </w:pPr>
          </w:p>
        </w:tc>
        <w:tc>
          <w:tcPr>
            <w:tcW w:w="593" w:type="pct"/>
            <w:tcBorders>
              <w:tl2br w:val="nil"/>
              <w:tr2bl w:val="nil"/>
            </w:tcBorders>
            <w:vAlign w:val="center"/>
          </w:tcPr>
          <w:p w14:paraId="474237AD">
            <w:pPr>
              <w:pStyle w:val="41"/>
              <w:rPr>
                <w:rFonts w:hint="default" w:eastAsia="华文中宋"/>
                <w:color w:val="auto"/>
                <w:highlight w:val="none"/>
                <w:lang w:val="en-US" w:eastAsia="zh-CN"/>
              </w:rPr>
            </w:pPr>
            <w:r>
              <w:rPr>
                <w:rFonts w:hint="eastAsia"/>
                <w:color w:val="auto"/>
                <w:highlight w:val="none"/>
                <w:lang w:val="en-US" w:eastAsia="zh-CN"/>
              </w:rPr>
              <w:t>29.25</w:t>
            </w:r>
          </w:p>
        </w:tc>
      </w:tr>
    </w:tbl>
    <w:p w14:paraId="17EE91F9">
      <w:pPr>
        <w:pStyle w:val="3"/>
        <w:ind w:firstLine="480"/>
        <w:rPr>
          <w:color w:val="auto"/>
          <w:highlight w:val="none"/>
        </w:rPr>
      </w:pPr>
      <w:r>
        <w:rPr>
          <w:rFonts w:hint="eastAsia"/>
          <w:color w:val="auto"/>
          <w:highlight w:val="none"/>
        </w:rPr>
        <w:t>由上表可知，项目尾矿库控制机制可靠性（R）总得分为</w:t>
      </w:r>
      <w:r>
        <w:rPr>
          <w:rFonts w:hint="eastAsia"/>
          <w:color w:val="auto"/>
          <w:highlight w:val="none"/>
          <w:lang w:val="en-US" w:eastAsia="zh-CN"/>
        </w:rPr>
        <w:t>29.25</w:t>
      </w:r>
      <w:r>
        <w:rPr>
          <w:rFonts w:hint="eastAsia"/>
          <w:color w:val="auto"/>
          <w:highlight w:val="none"/>
        </w:rPr>
        <w:t>。</w:t>
      </w:r>
    </w:p>
    <w:p w14:paraId="3662CEE8">
      <w:pPr>
        <w:pStyle w:val="3"/>
        <w:ind w:firstLine="480"/>
        <w:rPr>
          <w:color w:val="auto"/>
          <w:highlight w:val="none"/>
        </w:rPr>
      </w:pPr>
      <w:r>
        <w:rPr>
          <w:rFonts w:hint="eastAsia"/>
          <w:color w:val="auto"/>
          <w:highlight w:val="none"/>
        </w:rPr>
        <w:t>依据尾矿库控制机制可靠性等别划分表，将控制机制可靠性（R）划分为R1、R2、R3三个等别，控制机制可靠性等别划分见表6.4-9。</w:t>
      </w:r>
    </w:p>
    <w:p w14:paraId="07A85EC5">
      <w:pPr>
        <w:pStyle w:val="40"/>
        <w:rPr>
          <w:color w:val="auto"/>
          <w:highlight w:val="none"/>
        </w:rPr>
      </w:pPr>
      <w:r>
        <w:rPr>
          <w:color w:val="auto"/>
          <w:highlight w:val="none"/>
          <w:lang w:val="zh-CN"/>
        </w:rPr>
        <w:t>表</w:t>
      </w:r>
      <w:r>
        <w:rPr>
          <w:rFonts w:hint="eastAsia"/>
          <w:color w:val="auto"/>
          <w:highlight w:val="none"/>
        </w:rPr>
        <w:t>6.4-9</w:t>
      </w:r>
      <w:r>
        <w:rPr>
          <w:rFonts w:hint="eastAsia"/>
          <w:color w:val="auto"/>
          <w:highlight w:val="none"/>
          <w:lang w:val="zh-CN"/>
        </w:rPr>
        <w:t xml:space="preserve">            </w:t>
      </w:r>
      <w:r>
        <w:rPr>
          <w:color w:val="auto"/>
          <w:highlight w:val="none"/>
          <w:lang w:val="zh-CN"/>
        </w:rPr>
        <w:t>尾矿库控制机制可靠性（R）等别划分表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258"/>
        <w:gridCol w:w="4258"/>
      </w:tblGrid>
      <w:tr w14:paraId="14C76E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Borders>
              <w:tl2br w:val="nil"/>
              <w:tr2bl w:val="nil"/>
            </w:tcBorders>
            <w:vAlign w:val="center"/>
          </w:tcPr>
          <w:p w14:paraId="61485FCA">
            <w:pPr>
              <w:pStyle w:val="41"/>
              <w:rPr>
                <w:color w:val="auto"/>
                <w:highlight w:val="none"/>
              </w:rPr>
            </w:pPr>
            <w:r>
              <w:rPr>
                <w:color w:val="auto"/>
                <w:highlight w:val="none"/>
              </w:rPr>
              <w:t>尾矿库控制机制可靠性（DR）</w:t>
            </w:r>
          </w:p>
        </w:tc>
        <w:tc>
          <w:tcPr>
            <w:tcW w:w="4261" w:type="dxa"/>
            <w:tcBorders>
              <w:tl2br w:val="nil"/>
              <w:tr2bl w:val="nil"/>
            </w:tcBorders>
            <w:vAlign w:val="center"/>
          </w:tcPr>
          <w:p w14:paraId="308FB960">
            <w:pPr>
              <w:pStyle w:val="41"/>
              <w:rPr>
                <w:color w:val="auto"/>
                <w:highlight w:val="none"/>
              </w:rPr>
            </w:pPr>
            <w:r>
              <w:rPr>
                <w:color w:val="auto"/>
                <w:highlight w:val="none"/>
              </w:rPr>
              <w:t>尾矿库环境危害性（R）等别代码</w:t>
            </w:r>
          </w:p>
        </w:tc>
      </w:tr>
      <w:tr w14:paraId="4BA0A3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Borders>
              <w:tl2br w:val="nil"/>
              <w:tr2bl w:val="nil"/>
            </w:tcBorders>
            <w:vAlign w:val="center"/>
          </w:tcPr>
          <w:p w14:paraId="41E3D0D8">
            <w:pPr>
              <w:pStyle w:val="41"/>
              <w:rPr>
                <w:color w:val="auto"/>
                <w:highlight w:val="none"/>
              </w:rPr>
            </w:pPr>
            <w:r>
              <w:rPr>
                <w:color w:val="auto"/>
                <w:highlight w:val="none"/>
              </w:rPr>
              <w:t>DR&gt;60</w:t>
            </w:r>
          </w:p>
        </w:tc>
        <w:tc>
          <w:tcPr>
            <w:tcW w:w="4261" w:type="dxa"/>
            <w:tcBorders>
              <w:tl2br w:val="nil"/>
              <w:tr2bl w:val="nil"/>
            </w:tcBorders>
            <w:vAlign w:val="center"/>
          </w:tcPr>
          <w:p w14:paraId="5BCFBD5E">
            <w:pPr>
              <w:pStyle w:val="41"/>
              <w:rPr>
                <w:color w:val="auto"/>
                <w:highlight w:val="none"/>
              </w:rPr>
            </w:pPr>
            <w:r>
              <w:rPr>
                <w:color w:val="auto"/>
                <w:highlight w:val="none"/>
              </w:rPr>
              <w:t>R1</w:t>
            </w:r>
          </w:p>
        </w:tc>
      </w:tr>
      <w:tr w14:paraId="0033CC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Borders>
              <w:tl2br w:val="nil"/>
              <w:tr2bl w:val="nil"/>
            </w:tcBorders>
            <w:vAlign w:val="center"/>
          </w:tcPr>
          <w:p w14:paraId="6CA3C1DD">
            <w:pPr>
              <w:pStyle w:val="41"/>
              <w:rPr>
                <w:color w:val="auto"/>
                <w:highlight w:val="none"/>
              </w:rPr>
            </w:pPr>
            <w:r>
              <w:rPr>
                <w:color w:val="auto"/>
                <w:highlight w:val="none"/>
              </w:rPr>
              <w:t>30&lt;DR≦60</w:t>
            </w:r>
          </w:p>
        </w:tc>
        <w:tc>
          <w:tcPr>
            <w:tcW w:w="4261" w:type="dxa"/>
            <w:tcBorders>
              <w:tl2br w:val="nil"/>
              <w:tr2bl w:val="nil"/>
            </w:tcBorders>
            <w:vAlign w:val="center"/>
          </w:tcPr>
          <w:p w14:paraId="61511F8A">
            <w:pPr>
              <w:pStyle w:val="41"/>
              <w:rPr>
                <w:color w:val="auto"/>
                <w:highlight w:val="none"/>
              </w:rPr>
            </w:pPr>
            <w:r>
              <w:rPr>
                <w:color w:val="auto"/>
                <w:highlight w:val="none"/>
              </w:rPr>
              <w:t>R2</w:t>
            </w:r>
          </w:p>
        </w:tc>
      </w:tr>
      <w:tr w14:paraId="06F40C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Borders>
              <w:tl2br w:val="nil"/>
              <w:tr2bl w:val="nil"/>
            </w:tcBorders>
            <w:vAlign w:val="center"/>
          </w:tcPr>
          <w:p w14:paraId="5E38018A">
            <w:pPr>
              <w:pStyle w:val="41"/>
              <w:rPr>
                <w:color w:val="auto"/>
                <w:highlight w:val="none"/>
              </w:rPr>
            </w:pPr>
            <w:r>
              <w:rPr>
                <w:color w:val="auto"/>
                <w:highlight w:val="none"/>
              </w:rPr>
              <w:t>DR≦30</w:t>
            </w:r>
          </w:p>
        </w:tc>
        <w:tc>
          <w:tcPr>
            <w:tcW w:w="4261" w:type="dxa"/>
            <w:tcBorders>
              <w:tl2br w:val="nil"/>
              <w:tr2bl w:val="nil"/>
            </w:tcBorders>
            <w:vAlign w:val="center"/>
          </w:tcPr>
          <w:p w14:paraId="25A00532">
            <w:pPr>
              <w:pStyle w:val="41"/>
              <w:rPr>
                <w:color w:val="auto"/>
                <w:highlight w:val="none"/>
              </w:rPr>
            </w:pPr>
            <w:r>
              <w:rPr>
                <w:color w:val="auto"/>
                <w:highlight w:val="none"/>
              </w:rPr>
              <w:t>R3</w:t>
            </w:r>
          </w:p>
        </w:tc>
      </w:tr>
    </w:tbl>
    <w:p w14:paraId="5B9FED88">
      <w:pPr>
        <w:pStyle w:val="3"/>
        <w:ind w:firstLine="480"/>
        <w:rPr>
          <w:color w:val="auto"/>
          <w:highlight w:val="none"/>
        </w:rPr>
      </w:pPr>
      <w:r>
        <w:rPr>
          <w:rFonts w:hint="eastAsia"/>
          <w:color w:val="auto"/>
          <w:highlight w:val="none"/>
        </w:rPr>
        <w:t>根据《尾矿库环境风险评估技术导则（试行）》（HJ740-2015）附录D中各指标评分方法，本项目尾矿库总得分为</w:t>
      </w:r>
      <w:r>
        <w:rPr>
          <w:rFonts w:hint="eastAsia"/>
          <w:color w:val="auto"/>
          <w:highlight w:val="none"/>
          <w:lang w:val="en-US" w:eastAsia="zh-CN"/>
        </w:rPr>
        <w:t>29.25</w:t>
      </w:r>
      <w:r>
        <w:rPr>
          <w:rFonts w:hint="eastAsia"/>
          <w:color w:val="auto"/>
          <w:highlight w:val="none"/>
        </w:rPr>
        <w:t>，控制机制可靠性等别均为R3。</w:t>
      </w:r>
    </w:p>
    <w:p w14:paraId="21685EAA">
      <w:pPr>
        <w:pStyle w:val="3"/>
        <w:ind w:firstLine="480"/>
        <w:rPr>
          <w:color w:val="auto"/>
          <w:highlight w:val="none"/>
        </w:rPr>
      </w:pPr>
      <w:r>
        <w:rPr>
          <w:rFonts w:hint="eastAsia"/>
          <w:color w:val="auto"/>
          <w:highlight w:val="none"/>
        </w:rPr>
        <w:t>2）尾矿库环境风险等级</w:t>
      </w:r>
    </w:p>
    <w:p w14:paraId="3C045495">
      <w:pPr>
        <w:pStyle w:val="3"/>
        <w:ind w:firstLine="480"/>
        <w:rPr>
          <w:color w:val="auto"/>
          <w:highlight w:val="none"/>
        </w:rPr>
      </w:pPr>
      <w:r>
        <w:rPr>
          <w:rFonts w:hint="eastAsia"/>
          <w:color w:val="auto"/>
          <w:highlight w:val="none"/>
        </w:rPr>
        <w:t>结合尾矿库环境危害性（H）、周边环境敏感性（S）、控制机制可靠性（R）三方面的等别，对照尾矿库环境风险等级划分矩阵，将尾矿库环境风险划分为重大、较大、一般三个等级，见表6.4-10。</w:t>
      </w:r>
    </w:p>
    <w:p w14:paraId="0D2DB425">
      <w:pPr>
        <w:pStyle w:val="40"/>
        <w:rPr>
          <w:color w:val="auto"/>
          <w:highlight w:val="none"/>
        </w:rPr>
      </w:pPr>
      <w:r>
        <w:rPr>
          <w:color w:val="auto"/>
          <w:highlight w:val="none"/>
          <w:lang w:val="zh-CN"/>
        </w:rPr>
        <w:t>表</w:t>
      </w:r>
      <w:r>
        <w:rPr>
          <w:rFonts w:hint="eastAsia"/>
          <w:color w:val="auto"/>
          <w:highlight w:val="none"/>
        </w:rPr>
        <w:t>6.4-10</w:t>
      </w:r>
      <w:r>
        <w:rPr>
          <w:color w:val="auto"/>
          <w:highlight w:val="none"/>
          <w:lang w:val="zh-CN"/>
        </w:rPr>
        <w:t xml:space="preserve"> </w:t>
      </w:r>
      <w:r>
        <w:rPr>
          <w:rFonts w:hint="eastAsia"/>
          <w:color w:val="auto"/>
          <w:highlight w:val="none"/>
          <w:lang w:val="zh-CN"/>
        </w:rPr>
        <w:t xml:space="preserve">         尾矿库环境风险等级划分矩阵</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1906"/>
        <w:gridCol w:w="2190"/>
        <w:gridCol w:w="2117"/>
        <w:gridCol w:w="1599"/>
      </w:tblGrid>
      <w:tr w14:paraId="41816B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vMerge w:val="restart"/>
            <w:tcBorders>
              <w:tl2br w:val="nil"/>
              <w:tr2bl w:val="nil"/>
            </w:tcBorders>
            <w:vAlign w:val="center"/>
          </w:tcPr>
          <w:p w14:paraId="2D64A504">
            <w:pPr>
              <w:pStyle w:val="41"/>
              <w:rPr>
                <w:color w:val="auto"/>
                <w:highlight w:val="none"/>
              </w:rPr>
            </w:pPr>
            <w:r>
              <w:rPr>
                <w:color w:val="auto"/>
                <w:highlight w:val="none"/>
              </w:rPr>
              <w:t>序号</w:t>
            </w:r>
          </w:p>
        </w:tc>
        <w:tc>
          <w:tcPr>
            <w:tcW w:w="3648" w:type="pct"/>
            <w:gridSpan w:val="3"/>
            <w:tcBorders>
              <w:tl2br w:val="nil"/>
              <w:tr2bl w:val="nil"/>
            </w:tcBorders>
            <w:vAlign w:val="center"/>
          </w:tcPr>
          <w:p w14:paraId="091B5F6D">
            <w:pPr>
              <w:pStyle w:val="41"/>
              <w:rPr>
                <w:color w:val="auto"/>
                <w:highlight w:val="none"/>
              </w:rPr>
            </w:pPr>
            <w:r>
              <w:rPr>
                <w:color w:val="auto"/>
                <w:highlight w:val="none"/>
              </w:rPr>
              <w:t>情形</w:t>
            </w:r>
          </w:p>
        </w:tc>
        <w:tc>
          <w:tcPr>
            <w:tcW w:w="939" w:type="pct"/>
            <w:vMerge w:val="restart"/>
            <w:tcBorders>
              <w:tl2br w:val="nil"/>
              <w:tr2bl w:val="nil"/>
            </w:tcBorders>
            <w:vAlign w:val="center"/>
          </w:tcPr>
          <w:p w14:paraId="7A288B52">
            <w:pPr>
              <w:pStyle w:val="41"/>
              <w:rPr>
                <w:color w:val="auto"/>
                <w:highlight w:val="none"/>
              </w:rPr>
            </w:pPr>
            <w:r>
              <w:rPr>
                <w:color w:val="auto"/>
                <w:highlight w:val="none"/>
              </w:rPr>
              <w:t>环境风险</w:t>
            </w:r>
          </w:p>
          <w:p w14:paraId="0075C7DF">
            <w:pPr>
              <w:pStyle w:val="41"/>
              <w:rPr>
                <w:color w:val="auto"/>
                <w:highlight w:val="none"/>
              </w:rPr>
            </w:pPr>
            <w:r>
              <w:rPr>
                <w:color w:val="auto"/>
                <w:highlight w:val="none"/>
              </w:rPr>
              <w:t>等级</w:t>
            </w:r>
          </w:p>
        </w:tc>
      </w:tr>
      <w:tr w14:paraId="79D5A1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vMerge w:val="continue"/>
            <w:tcBorders>
              <w:tl2br w:val="nil"/>
              <w:tr2bl w:val="nil"/>
            </w:tcBorders>
            <w:vAlign w:val="center"/>
          </w:tcPr>
          <w:p w14:paraId="1D14ADF2">
            <w:pPr>
              <w:pStyle w:val="41"/>
              <w:rPr>
                <w:color w:val="auto"/>
                <w:highlight w:val="none"/>
              </w:rPr>
            </w:pPr>
          </w:p>
        </w:tc>
        <w:tc>
          <w:tcPr>
            <w:tcW w:w="1119" w:type="pct"/>
            <w:tcBorders>
              <w:tl2br w:val="nil"/>
              <w:tr2bl w:val="nil"/>
            </w:tcBorders>
            <w:vAlign w:val="center"/>
          </w:tcPr>
          <w:p w14:paraId="3D61F0FC">
            <w:pPr>
              <w:pStyle w:val="41"/>
              <w:rPr>
                <w:color w:val="auto"/>
                <w:highlight w:val="none"/>
              </w:rPr>
            </w:pPr>
            <w:r>
              <w:rPr>
                <w:color w:val="auto"/>
                <w:highlight w:val="none"/>
              </w:rPr>
              <w:t>环境危害性（H）</w:t>
            </w:r>
          </w:p>
        </w:tc>
        <w:tc>
          <w:tcPr>
            <w:tcW w:w="1286" w:type="pct"/>
            <w:tcBorders>
              <w:tl2br w:val="nil"/>
              <w:tr2bl w:val="nil"/>
            </w:tcBorders>
            <w:vAlign w:val="center"/>
          </w:tcPr>
          <w:p w14:paraId="7166C5BE">
            <w:pPr>
              <w:pStyle w:val="41"/>
              <w:rPr>
                <w:color w:val="auto"/>
                <w:highlight w:val="none"/>
              </w:rPr>
            </w:pPr>
            <w:r>
              <w:rPr>
                <w:color w:val="auto"/>
                <w:highlight w:val="none"/>
              </w:rPr>
              <w:t>周边环境敏感性（S）</w:t>
            </w:r>
          </w:p>
        </w:tc>
        <w:tc>
          <w:tcPr>
            <w:tcW w:w="1243" w:type="pct"/>
            <w:tcBorders>
              <w:tl2br w:val="nil"/>
              <w:tr2bl w:val="nil"/>
            </w:tcBorders>
            <w:vAlign w:val="center"/>
          </w:tcPr>
          <w:p w14:paraId="0EBCEDD5">
            <w:pPr>
              <w:pStyle w:val="41"/>
              <w:rPr>
                <w:color w:val="auto"/>
                <w:highlight w:val="none"/>
              </w:rPr>
            </w:pPr>
            <w:r>
              <w:rPr>
                <w:color w:val="auto"/>
                <w:highlight w:val="none"/>
              </w:rPr>
              <w:t>控制机制可靠性（R）</w:t>
            </w:r>
          </w:p>
        </w:tc>
        <w:tc>
          <w:tcPr>
            <w:tcW w:w="939" w:type="pct"/>
            <w:vMerge w:val="continue"/>
            <w:tcBorders>
              <w:tl2br w:val="nil"/>
              <w:tr2bl w:val="nil"/>
            </w:tcBorders>
            <w:vAlign w:val="center"/>
          </w:tcPr>
          <w:p w14:paraId="00FCB5C3">
            <w:pPr>
              <w:pStyle w:val="41"/>
              <w:rPr>
                <w:color w:val="auto"/>
                <w:highlight w:val="none"/>
              </w:rPr>
            </w:pPr>
          </w:p>
        </w:tc>
      </w:tr>
      <w:tr w14:paraId="399353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13AF01E4">
            <w:pPr>
              <w:pStyle w:val="41"/>
              <w:rPr>
                <w:color w:val="auto"/>
                <w:highlight w:val="none"/>
              </w:rPr>
            </w:pPr>
            <w:r>
              <w:rPr>
                <w:color w:val="auto"/>
                <w:highlight w:val="none"/>
              </w:rPr>
              <w:t>1</w:t>
            </w:r>
          </w:p>
        </w:tc>
        <w:tc>
          <w:tcPr>
            <w:tcW w:w="1119" w:type="pct"/>
            <w:vMerge w:val="restart"/>
            <w:tcBorders>
              <w:tl2br w:val="nil"/>
              <w:tr2bl w:val="nil"/>
            </w:tcBorders>
            <w:vAlign w:val="center"/>
          </w:tcPr>
          <w:p w14:paraId="3BE830D1">
            <w:pPr>
              <w:pStyle w:val="41"/>
              <w:rPr>
                <w:color w:val="auto"/>
                <w:highlight w:val="none"/>
              </w:rPr>
            </w:pPr>
            <w:r>
              <w:rPr>
                <w:color w:val="auto"/>
                <w:highlight w:val="none"/>
              </w:rPr>
              <w:t>H1</w:t>
            </w:r>
          </w:p>
        </w:tc>
        <w:tc>
          <w:tcPr>
            <w:tcW w:w="1286" w:type="pct"/>
            <w:vMerge w:val="restart"/>
            <w:tcBorders>
              <w:tl2br w:val="nil"/>
              <w:tr2bl w:val="nil"/>
            </w:tcBorders>
            <w:vAlign w:val="center"/>
          </w:tcPr>
          <w:p w14:paraId="55A5831D">
            <w:pPr>
              <w:pStyle w:val="41"/>
              <w:rPr>
                <w:color w:val="auto"/>
                <w:highlight w:val="none"/>
              </w:rPr>
            </w:pPr>
            <w:r>
              <w:rPr>
                <w:color w:val="auto"/>
                <w:highlight w:val="none"/>
              </w:rPr>
              <w:t>S1</w:t>
            </w:r>
          </w:p>
        </w:tc>
        <w:tc>
          <w:tcPr>
            <w:tcW w:w="1243" w:type="pct"/>
            <w:tcBorders>
              <w:tl2br w:val="nil"/>
              <w:tr2bl w:val="nil"/>
            </w:tcBorders>
            <w:vAlign w:val="center"/>
          </w:tcPr>
          <w:p w14:paraId="49A3CA6C">
            <w:pPr>
              <w:pStyle w:val="41"/>
              <w:rPr>
                <w:color w:val="auto"/>
                <w:highlight w:val="none"/>
              </w:rPr>
            </w:pPr>
            <w:r>
              <w:rPr>
                <w:color w:val="auto"/>
                <w:highlight w:val="none"/>
              </w:rPr>
              <w:t>R1</w:t>
            </w:r>
          </w:p>
        </w:tc>
        <w:tc>
          <w:tcPr>
            <w:tcW w:w="939" w:type="pct"/>
            <w:tcBorders>
              <w:tl2br w:val="nil"/>
              <w:tr2bl w:val="nil"/>
            </w:tcBorders>
            <w:vAlign w:val="center"/>
          </w:tcPr>
          <w:p w14:paraId="2B9977BD">
            <w:pPr>
              <w:pStyle w:val="41"/>
              <w:rPr>
                <w:color w:val="auto"/>
                <w:highlight w:val="none"/>
              </w:rPr>
            </w:pPr>
            <w:r>
              <w:rPr>
                <w:color w:val="auto"/>
                <w:highlight w:val="none"/>
              </w:rPr>
              <w:t>重大</w:t>
            </w:r>
          </w:p>
        </w:tc>
      </w:tr>
      <w:tr w14:paraId="6769FA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63FF8D50">
            <w:pPr>
              <w:pStyle w:val="41"/>
              <w:rPr>
                <w:color w:val="auto"/>
                <w:highlight w:val="none"/>
              </w:rPr>
            </w:pPr>
            <w:r>
              <w:rPr>
                <w:color w:val="auto"/>
                <w:highlight w:val="none"/>
              </w:rPr>
              <w:t>2</w:t>
            </w:r>
          </w:p>
        </w:tc>
        <w:tc>
          <w:tcPr>
            <w:tcW w:w="1119" w:type="pct"/>
            <w:vMerge w:val="continue"/>
            <w:tcBorders>
              <w:tl2br w:val="nil"/>
              <w:tr2bl w:val="nil"/>
            </w:tcBorders>
            <w:vAlign w:val="center"/>
          </w:tcPr>
          <w:p w14:paraId="5DDD1D3D">
            <w:pPr>
              <w:pStyle w:val="41"/>
              <w:rPr>
                <w:color w:val="auto"/>
                <w:highlight w:val="none"/>
              </w:rPr>
            </w:pPr>
          </w:p>
        </w:tc>
        <w:tc>
          <w:tcPr>
            <w:tcW w:w="1286" w:type="pct"/>
            <w:vMerge w:val="continue"/>
            <w:tcBorders>
              <w:tl2br w:val="nil"/>
              <w:tr2bl w:val="nil"/>
            </w:tcBorders>
            <w:vAlign w:val="center"/>
          </w:tcPr>
          <w:p w14:paraId="06B78B93">
            <w:pPr>
              <w:pStyle w:val="41"/>
              <w:rPr>
                <w:color w:val="auto"/>
                <w:highlight w:val="none"/>
              </w:rPr>
            </w:pPr>
          </w:p>
        </w:tc>
        <w:tc>
          <w:tcPr>
            <w:tcW w:w="1243" w:type="pct"/>
            <w:tcBorders>
              <w:tl2br w:val="nil"/>
              <w:tr2bl w:val="nil"/>
            </w:tcBorders>
            <w:vAlign w:val="center"/>
          </w:tcPr>
          <w:p w14:paraId="4A7234C8">
            <w:pPr>
              <w:pStyle w:val="41"/>
              <w:rPr>
                <w:color w:val="auto"/>
                <w:highlight w:val="none"/>
              </w:rPr>
            </w:pPr>
            <w:r>
              <w:rPr>
                <w:color w:val="auto"/>
                <w:highlight w:val="none"/>
              </w:rPr>
              <w:t>R2</w:t>
            </w:r>
          </w:p>
        </w:tc>
        <w:tc>
          <w:tcPr>
            <w:tcW w:w="939" w:type="pct"/>
            <w:tcBorders>
              <w:tl2br w:val="nil"/>
              <w:tr2bl w:val="nil"/>
            </w:tcBorders>
            <w:vAlign w:val="center"/>
          </w:tcPr>
          <w:p w14:paraId="1A5FC735">
            <w:pPr>
              <w:pStyle w:val="41"/>
              <w:rPr>
                <w:color w:val="auto"/>
                <w:highlight w:val="none"/>
              </w:rPr>
            </w:pPr>
            <w:r>
              <w:rPr>
                <w:color w:val="auto"/>
                <w:highlight w:val="none"/>
              </w:rPr>
              <w:t>重大</w:t>
            </w:r>
          </w:p>
        </w:tc>
      </w:tr>
      <w:tr w14:paraId="0642F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67CDD734">
            <w:pPr>
              <w:pStyle w:val="41"/>
              <w:rPr>
                <w:color w:val="auto"/>
                <w:highlight w:val="none"/>
              </w:rPr>
            </w:pPr>
            <w:r>
              <w:rPr>
                <w:color w:val="auto"/>
                <w:highlight w:val="none"/>
              </w:rPr>
              <w:t>3</w:t>
            </w:r>
          </w:p>
        </w:tc>
        <w:tc>
          <w:tcPr>
            <w:tcW w:w="1119" w:type="pct"/>
            <w:vMerge w:val="continue"/>
            <w:tcBorders>
              <w:tl2br w:val="nil"/>
              <w:tr2bl w:val="nil"/>
            </w:tcBorders>
            <w:vAlign w:val="center"/>
          </w:tcPr>
          <w:p w14:paraId="5EC5E14C">
            <w:pPr>
              <w:pStyle w:val="41"/>
              <w:rPr>
                <w:color w:val="auto"/>
                <w:highlight w:val="none"/>
              </w:rPr>
            </w:pPr>
          </w:p>
        </w:tc>
        <w:tc>
          <w:tcPr>
            <w:tcW w:w="1286" w:type="pct"/>
            <w:vMerge w:val="continue"/>
            <w:tcBorders>
              <w:tl2br w:val="nil"/>
              <w:tr2bl w:val="nil"/>
            </w:tcBorders>
            <w:vAlign w:val="center"/>
          </w:tcPr>
          <w:p w14:paraId="686100AA">
            <w:pPr>
              <w:pStyle w:val="41"/>
              <w:rPr>
                <w:color w:val="auto"/>
                <w:highlight w:val="none"/>
              </w:rPr>
            </w:pPr>
          </w:p>
        </w:tc>
        <w:tc>
          <w:tcPr>
            <w:tcW w:w="1243" w:type="pct"/>
            <w:tcBorders>
              <w:tl2br w:val="nil"/>
              <w:tr2bl w:val="nil"/>
            </w:tcBorders>
            <w:vAlign w:val="center"/>
          </w:tcPr>
          <w:p w14:paraId="6C6374B6">
            <w:pPr>
              <w:pStyle w:val="41"/>
              <w:rPr>
                <w:color w:val="auto"/>
                <w:highlight w:val="none"/>
              </w:rPr>
            </w:pPr>
            <w:r>
              <w:rPr>
                <w:color w:val="auto"/>
                <w:highlight w:val="none"/>
              </w:rPr>
              <w:t>R3</w:t>
            </w:r>
          </w:p>
        </w:tc>
        <w:tc>
          <w:tcPr>
            <w:tcW w:w="939" w:type="pct"/>
            <w:tcBorders>
              <w:tl2br w:val="nil"/>
              <w:tr2bl w:val="nil"/>
            </w:tcBorders>
            <w:vAlign w:val="center"/>
          </w:tcPr>
          <w:p w14:paraId="3E816D18">
            <w:pPr>
              <w:pStyle w:val="41"/>
              <w:rPr>
                <w:color w:val="auto"/>
                <w:highlight w:val="none"/>
              </w:rPr>
            </w:pPr>
            <w:r>
              <w:rPr>
                <w:color w:val="auto"/>
                <w:highlight w:val="none"/>
              </w:rPr>
              <w:t>较大</w:t>
            </w:r>
          </w:p>
        </w:tc>
      </w:tr>
      <w:tr w14:paraId="0EA132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524ADF36">
            <w:pPr>
              <w:pStyle w:val="41"/>
              <w:rPr>
                <w:color w:val="auto"/>
                <w:highlight w:val="none"/>
              </w:rPr>
            </w:pPr>
            <w:r>
              <w:rPr>
                <w:color w:val="auto"/>
                <w:highlight w:val="none"/>
              </w:rPr>
              <w:t>4</w:t>
            </w:r>
          </w:p>
        </w:tc>
        <w:tc>
          <w:tcPr>
            <w:tcW w:w="1119" w:type="pct"/>
            <w:vMerge w:val="continue"/>
            <w:tcBorders>
              <w:tl2br w:val="nil"/>
              <w:tr2bl w:val="nil"/>
            </w:tcBorders>
            <w:vAlign w:val="center"/>
          </w:tcPr>
          <w:p w14:paraId="1D61F6B5">
            <w:pPr>
              <w:pStyle w:val="41"/>
              <w:rPr>
                <w:color w:val="auto"/>
                <w:highlight w:val="none"/>
              </w:rPr>
            </w:pPr>
          </w:p>
        </w:tc>
        <w:tc>
          <w:tcPr>
            <w:tcW w:w="1286" w:type="pct"/>
            <w:vMerge w:val="restart"/>
            <w:tcBorders>
              <w:tl2br w:val="nil"/>
              <w:tr2bl w:val="nil"/>
            </w:tcBorders>
            <w:vAlign w:val="center"/>
          </w:tcPr>
          <w:p w14:paraId="52423A4C">
            <w:pPr>
              <w:pStyle w:val="41"/>
              <w:rPr>
                <w:color w:val="auto"/>
                <w:highlight w:val="none"/>
              </w:rPr>
            </w:pPr>
            <w:r>
              <w:rPr>
                <w:color w:val="auto"/>
                <w:highlight w:val="none"/>
              </w:rPr>
              <w:t>S2</w:t>
            </w:r>
          </w:p>
        </w:tc>
        <w:tc>
          <w:tcPr>
            <w:tcW w:w="1243" w:type="pct"/>
            <w:tcBorders>
              <w:tl2br w:val="nil"/>
              <w:tr2bl w:val="nil"/>
            </w:tcBorders>
            <w:vAlign w:val="center"/>
          </w:tcPr>
          <w:p w14:paraId="51C34675">
            <w:pPr>
              <w:pStyle w:val="41"/>
              <w:rPr>
                <w:color w:val="auto"/>
                <w:highlight w:val="none"/>
              </w:rPr>
            </w:pPr>
            <w:r>
              <w:rPr>
                <w:color w:val="auto"/>
                <w:highlight w:val="none"/>
              </w:rPr>
              <w:t>R1</w:t>
            </w:r>
          </w:p>
        </w:tc>
        <w:tc>
          <w:tcPr>
            <w:tcW w:w="939" w:type="pct"/>
            <w:tcBorders>
              <w:tl2br w:val="nil"/>
              <w:tr2bl w:val="nil"/>
            </w:tcBorders>
            <w:vAlign w:val="center"/>
          </w:tcPr>
          <w:p w14:paraId="4B72CFF8">
            <w:pPr>
              <w:pStyle w:val="41"/>
              <w:rPr>
                <w:color w:val="auto"/>
                <w:highlight w:val="none"/>
              </w:rPr>
            </w:pPr>
            <w:r>
              <w:rPr>
                <w:color w:val="auto"/>
                <w:highlight w:val="none"/>
              </w:rPr>
              <w:t>重大</w:t>
            </w:r>
          </w:p>
        </w:tc>
      </w:tr>
      <w:tr w14:paraId="45580C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59130883">
            <w:pPr>
              <w:pStyle w:val="41"/>
              <w:rPr>
                <w:color w:val="auto"/>
                <w:highlight w:val="none"/>
              </w:rPr>
            </w:pPr>
            <w:r>
              <w:rPr>
                <w:color w:val="auto"/>
                <w:highlight w:val="none"/>
              </w:rPr>
              <w:t>5</w:t>
            </w:r>
          </w:p>
        </w:tc>
        <w:tc>
          <w:tcPr>
            <w:tcW w:w="1119" w:type="pct"/>
            <w:vMerge w:val="continue"/>
            <w:tcBorders>
              <w:tl2br w:val="nil"/>
              <w:tr2bl w:val="nil"/>
            </w:tcBorders>
            <w:vAlign w:val="center"/>
          </w:tcPr>
          <w:p w14:paraId="4A3A7C4E">
            <w:pPr>
              <w:pStyle w:val="41"/>
              <w:rPr>
                <w:color w:val="auto"/>
                <w:highlight w:val="none"/>
              </w:rPr>
            </w:pPr>
          </w:p>
        </w:tc>
        <w:tc>
          <w:tcPr>
            <w:tcW w:w="1286" w:type="pct"/>
            <w:vMerge w:val="continue"/>
            <w:tcBorders>
              <w:tl2br w:val="nil"/>
              <w:tr2bl w:val="nil"/>
            </w:tcBorders>
            <w:vAlign w:val="center"/>
          </w:tcPr>
          <w:p w14:paraId="40BF99B2">
            <w:pPr>
              <w:pStyle w:val="41"/>
              <w:rPr>
                <w:color w:val="auto"/>
                <w:highlight w:val="none"/>
              </w:rPr>
            </w:pPr>
          </w:p>
        </w:tc>
        <w:tc>
          <w:tcPr>
            <w:tcW w:w="1243" w:type="pct"/>
            <w:tcBorders>
              <w:tl2br w:val="nil"/>
              <w:tr2bl w:val="nil"/>
            </w:tcBorders>
            <w:vAlign w:val="center"/>
          </w:tcPr>
          <w:p w14:paraId="117827F2">
            <w:pPr>
              <w:pStyle w:val="41"/>
              <w:rPr>
                <w:color w:val="auto"/>
                <w:highlight w:val="none"/>
              </w:rPr>
            </w:pPr>
            <w:r>
              <w:rPr>
                <w:color w:val="auto"/>
                <w:highlight w:val="none"/>
              </w:rPr>
              <w:t>R2</w:t>
            </w:r>
          </w:p>
        </w:tc>
        <w:tc>
          <w:tcPr>
            <w:tcW w:w="939" w:type="pct"/>
            <w:tcBorders>
              <w:tl2br w:val="nil"/>
              <w:tr2bl w:val="nil"/>
            </w:tcBorders>
            <w:vAlign w:val="center"/>
          </w:tcPr>
          <w:p w14:paraId="49A12011">
            <w:pPr>
              <w:pStyle w:val="41"/>
              <w:rPr>
                <w:color w:val="auto"/>
                <w:highlight w:val="none"/>
              </w:rPr>
            </w:pPr>
            <w:r>
              <w:rPr>
                <w:color w:val="auto"/>
                <w:highlight w:val="none"/>
              </w:rPr>
              <w:t>较大</w:t>
            </w:r>
          </w:p>
        </w:tc>
      </w:tr>
      <w:tr w14:paraId="3CDEEA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5DD18EC7">
            <w:pPr>
              <w:pStyle w:val="41"/>
              <w:rPr>
                <w:color w:val="auto"/>
                <w:highlight w:val="none"/>
              </w:rPr>
            </w:pPr>
            <w:r>
              <w:rPr>
                <w:color w:val="auto"/>
                <w:highlight w:val="none"/>
              </w:rPr>
              <w:t>6</w:t>
            </w:r>
          </w:p>
        </w:tc>
        <w:tc>
          <w:tcPr>
            <w:tcW w:w="1119" w:type="pct"/>
            <w:vMerge w:val="continue"/>
            <w:tcBorders>
              <w:tl2br w:val="nil"/>
              <w:tr2bl w:val="nil"/>
            </w:tcBorders>
            <w:vAlign w:val="center"/>
          </w:tcPr>
          <w:p w14:paraId="4B5F5144">
            <w:pPr>
              <w:pStyle w:val="41"/>
              <w:rPr>
                <w:color w:val="auto"/>
                <w:highlight w:val="none"/>
              </w:rPr>
            </w:pPr>
          </w:p>
        </w:tc>
        <w:tc>
          <w:tcPr>
            <w:tcW w:w="1286" w:type="pct"/>
            <w:vMerge w:val="continue"/>
            <w:tcBorders>
              <w:tl2br w:val="nil"/>
              <w:tr2bl w:val="nil"/>
            </w:tcBorders>
            <w:vAlign w:val="center"/>
          </w:tcPr>
          <w:p w14:paraId="22BD89E7">
            <w:pPr>
              <w:pStyle w:val="41"/>
              <w:rPr>
                <w:color w:val="auto"/>
                <w:highlight w:val="none"/>
              </w:rPr>
            </w:pPr>
          </w:p>
        </w:tc>
        <w:tc>
          <w:tcPr>
            <w:tcW w:w="1243" w:type="pct"/>
            <w:tcBorders>
              <w:tl2br w:val="nil"/>
              <w:tr2bl w:val="nil"/>
            </w:tcBorders>
            <w:vAlign w:val="center"/>
          </w:tcPr>
          <w:p w14:paraId="5C60217B">
            <w:pPr>
              <w:pStyle w:val="41"/>
              <w:rPr>
                <w:color w:val="auto"/>
                <w:highlight w:val="none"/>
              </w:rPr>
            </w:pPr>
            <w:r>
              <w:rPr>
                <w:color w:val="auto"/>
                <w:highlight w:val="none"/>
              </w:rPr>
              <w:t>R3</w:t>
            </w:r>
          </w:p>
        </w:tc>
        <w:tc>
          <w:tcPr>
            <w:tcW w:w="939" w:type="pct"/>
            <w:tcBorders>
              <w:tl2br w:val="nil"/>
              <w:tr2bl w:val="nil"/>
            </w:tcBorders>
            <w:vAlign w:val="center"/>
          </w:tcPr>
          <w:p w14:paraId="6EF15F38">
            <w:pPr>
              <w:pStyle w:val="41"/>
              <w:rPr>
                <w:color w:val="auto"/>
                <w:highlight w:val="none"/>
              </w:rPr>
            </w:pPr>
            <w:r>
              <w:rPr>
                <w:color w:val="auto"/>
                <w:highlight w:val="none"/>
              </w:rPr>
              <w:t>较大</w:t>
            </w:r>
          </w:p>
        </w:tc>
      </w:tr>
      <w:tr w14:paraId="69DC98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4EE9F1A8">
            <w:pPr>
              <w:pStyle w:val="41"/>
              <w:rPr>
                <w:color w:val="auto"/>
                <w:highlight w:val="none"/>
              </w:rPr>
            </w:pPr>
            <w:r>
              <w:rPr>
                <w:color w:val="auto"/>
                <w:highlight w:val="none"/>
              </w:rPr>
              <w:t>7</w:t>
            </w:r>
          </w:p>
        </w:tc>
        <w:tc>
          <w:tcPr>
            <w:tcW w:w="1119" w:type="pct"/>
            <w:vMerge w:val="continue"/>
            <w:tcBorders>
              <w:tl2br w:val="nil"/>
              <w:tr2bl w:val="nil"/>
            </w:tcBorders>
            <w:vAlign w:val="center"/>
          </w:tcPr>
          <w:p w14:paraId="7FE89CA2">
            <w:pPr>
              <w:pStyle w:val="41"/>
              <w:rPr>
                <w:color w:val="auto"/>
                <w:highlight w:val="none"/>
              </w:rPr>
            </w:pPr>
          </w:p>
        </w:tc>
        <w:tc>
          <w:tcPr>
            <w:tcW w:w="1286" w:type="pct"/>
            <w:vMerge w:val="restart"/>
            <w:tcBorders>
              <w:tl2br w:val="nil"/>
              <w:tr2bl w:val="nil"/>
            </w:tcBorders>
            <w:vAlign w:val="center"/>
          </w:tcPr>
          <w:p w14:paraId="19CDF48E">
            <w:pPr>
              <w:pStyle w:val="41"/>
              <w:rPr>
                <w:color w:val="auto"/>
                <w:highlight w:val="none"/>
              </w:rPr>
            </w:pPr>
            <w:r>
              <w:rPr>
                <w:color w:val="auto"/>
                <w:highlight w:val="none"/>
              </w:rPr>
              <w:t>S3</w:t>
            </w:r>
          </w:p>
        </w:tc>
        <w:tc>
          <w:tcPr>
            <w:tcW w:w="1243" w:type="pct"/>
            <w:tcBorders>
              <w:tl2br w:val="nil"/>
              <w:tr2bl w:val="nil"/>
            </w:tcBorders>
            <w:vAlign w:val="center"/>
          </w:tcPr>
          <w:p w14:paraId="0D2BAF40">
            <w:pPr>
              <w:pStyle w:val="41"/>
              <w:rPr>
                <w:color w:val="auto"/>
                <w:highlight w:val="none"/>
              </w:rPr>
            </w:pPr>
            <w:r>
              <w:rPr>
                <w:color w:val="auto"/>
                <w:highlight w:val="none"/>
              </w:rPr>
              <w:t>R1</w:t>
            </w:r>
          </w:p>
        </w:tc>
        <w:tc>
          <w:tcPr>
            <w:tcW w:w="939" w:type="pct"/>
            <w:tcBorders>
              <w:tl2br w:val="nil"/>
              <w:tr2bl w:val="nil"/>
            </w:tcBorders>
            <w:vAlign w:val="center"/>
          </w:tcPr>
          <w:p w14:paraId="5FEEDE8C">
            <w:pPr>
              <w:pStyle w:val="41"/>
              <w:rPr>
                <w:color w:val="auto"/>
                <w:highlight w:val="none"/>
              </w:rPr>
            </w:pPr>
            <w:r>
              <w:rPr>
                <w:color w:val="auto"/>
                <w:highlight w:val="none"/>
              </w:rPr>
              <w:t>重大</w:t>
            </w:r>
          </w:p>
        </w:tc>
      </w:tr>
      <w:tr w14:paraId="2C2E05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4EDF82B6">
            <w:pPr>
              <w:pStyle w:val="41"/>
              <w:rPr>
                <w:color w:val="auto"/>
                <w:highlight w:val="none"/>
              </w:rPr>
            </w:pPr>
            <w:r>
              <w:rPr>
                <w:color w:val="auto"/>
                <w:highlight w:val="none"/>
              </w:rPr>
              <w:t>8</w:t>
            </w:r>
          </w:p>
        </w:tc>
        <w:tc>
          <w:tcPr>
            <w:tcW w:w="1119" w:type="pct"/>
            <w:vMerge w:val="continue"/>
            <w:tcBorders>
              <w:tl2br w:val="nil"/>
              <w:tr2bl w:val="nil"/>
            </w:tcBorders>
            <w:vAlign w:val="center"/>
          </w:tcPr>
          <w:p w14:paraId="6FA65276">
            <w:pPr>
              <w:pStyle w:val="41"/>
              <w:rPr>
                <w:color w:val="auto"/>
                <w:highlight w:val="none"/>
              </w:rPr>
            </w:pPr>
          </w:p>
        </w:tc>
        <w:tc>
          <w:tcPr>
            <w:tcW w:w="1286" w:type="pct"/>
            <w:vMerge w:val="continue"/>
            <w:tcBorders>
              <w:tl2br w:val="nil"/>
              <w:tr2bl w:val="nil"/>
            </w:tcBorders>
            <w:vAlign w:val="center"/>
          </w:tcPr>
          <w:p w14:paraId="5AB66A9B">
            <w:pPr>
              <w:pStyle w:val="41"/>
              <w:rPr>
                <w:color w:val="auto"/>
                <w:highlight w:val="none"/>
              </w:rPr>
            </w:pPr>
          </w:p>
        </w:tc>
        <w:tc>
          <w:tcPr>
            <w:tcW w:w="1243" w:type="pct"/>
            <w:tcBorders>
              <w:tl2br w:val="nil"/>
              <w:tr2bl w:val="nil"/>
            </w:tcBorders>
            <w:vAlign w:val="center"/>
          </w:tcPr>
          <w:p w14:paraId="2324B253">
            <w:pPr>
              <w:pStyle w:val="41"/>
              <w:rPr>
                <w:color w:val="auto"/>
                <w:highlight w:val="none"/>
              </w:rPr>
            </w:pPr>
            <w:r>
              <w:rPr>
                <w:color w:val="auto"/>
                <w:highlight w:val="none"/>
              </w:rPr>
              <w:t>R2</w:t>
            </w:r>
          </w:p>
        </w:tc>
        <w:tc>
          <w:tcPr>
            <w:tcW w:w="939" w:type="pct"/>
            <w:tcBorders>
              <w:tl2br w:val="nil"/>
              <w:tr2bl w:val="nil"/>
            </w:tcBorders>
            <w:vAlign w:val="center"/>
          </w:tcPr>
          <w:p w14:paraId="51D9D0D9">
            <w:pPr>
              <w:pStyle w:val="41"/>
              <w:rPr>
                <w:color w:val="auto"/>
                <w:highlight w:val="none"/>
              </w:rPr>
            </w:pPr>
            <w:r>
              <w:rPr>
                <w:color w:val="auto"/>
                <w:highlight w:val="none"/>
              </w:rPr>
              <w:t>较大</w:t>
            </w:r>
          </w:p>
        </w:tc>
      </w:tr>
      <w:tr w14:paraId="7FB11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7C99A694">
            <w:pPr>
              <w:pStyle w:val="41"/>
              <w:rPr>
                <w:color w:val="auto"/>
                <w:highlight w:val="none"/>
              </w:rPr>
            </w:pPr>
            <w:r>
              <w:rPr>
                <w:color w:val="auto"/>
                <w:highlight w:val="none"/>
              </w:rPr>
              <w:t>9</w:t>
            </w:r>
          </w:p>
        </w:tc>
        <w:tc>
          <w:tcPr>
            <w:tcW w:w="1119" w:type="pct"/>
            <w:vMerge w:val="continue"/>
            <w:tcBorders>
              <w:tl2br w:val="nil"/>
              <w:tr2bl w:val="nil"/>
            </w:tcBorders>
            <w:vAlign w:val="center"/>
          </w:tcPr>
          <w:p w14:paraId="2D988077">
            <w:pPr>
              <w:pStyle w:val="41"/>
              <w:rPr>
                <w:color w:val="auto"/>
                <w:highlight w:val="none"/>
              </w:rPr>
            </w:pPr>
          </w:p>
        </w:tc>
        <w:tc>
          <w:tcPr>
            <w:tcW w:w="1286" w:type="pct"/>
            <w:vMerge w:val="continue"/>
            <w:tcBorders>
              <w:tl2br w:val="nil"/>
              <w:tr2bl w:val="nil"/>
            </w:tcBorders>
            <w:vAlign w:val="center"/>
          </w:tcPr>
          <w:p w14:paraId="4E852315">
            <w:pPr>
              <w:pStyle w:val="41"/>
              <w:rPr>
                <w:color w:val="auto"/>
                <w:highlight w:val="none"/>
              </w:rPr>
            </w:pPr>
          </w:p>
        </w:tc>
        <w:tc>
          <w:tcPr>
            <w:tcW w:w="1243" w:type="pct"/>
            <w:tcBorders>
              <w:tl2br w:val="nil"/>
              <w:tr2bl w:val="nil"/>
            </w:tcBorders>
            <w:vAlign w:val="center"/>
          </w:tcPr>
          <w:p w14:paraId="649FABE7">
            <w:pPr>
              <w:pStyle w:val="41"/>
              <w:rPr>
                <w:color w:val="auto"/>
                <w:highlight w:val="none"/>
              </w:rPr>
            </w:pPr>
            <w:r>
              <w:rPr>
                <w:color w:val="auto"/>
                <w:highlight w:val="none"/>
              </w:rPr>
              <w:t>R3</w:t>
            </w:r>
          </w:p>
        </w:tc>
        <w:tc>
          <w:tcPr>
            <w:tcW w:w="939" w:type="pct"/>
            <w:tcBorders>
              <w:tl2br w:val="nil"/>
              <w:tr2bl w:val="nil"/>
            </w:tcBorders>
            <w:vAlign w:val="center"/>
          </w:tcPr>
          <w:p w14:paraId="5C929D80">
            <w:pPr>
              <w:pStyle w:val="41"/>
              <w:rPr>
                <w:color w:val="auto"/>
                <w:highlight w:val="none"/>
              </w:rPr>
            </w:pPr>
            <w:r>
              <w:rPr>
                <w:color w:val="auto"/>
                <w:highlight w:val="none"/>
              </w:rPr>
              <w:t>一般</w:t>
            </w:r>
          </w:p>
        </w:tc>
      </w:tr>
      <w:tr w14:paraId="0BA2E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47B95F5B">
            <w:pPr>
              <w:pStyle w:val="41"/>
              <w:rPr>
                <w:color w:val="auto"/>
                <w:highlight w:val="none"/>
              </w:rPr>
            </w:pPr>
            <w:r>
              <w:rPr>
                <w:color w:val="auto"/>
                <w:highlight w:val="none"/>
              </w:rPr>
              <w:t>10</w:t>
            </w:r>
          </w:p>
        </w:tc>
        <w:tc>
          <w:tcPr>
            <w:tcW w:w="1119" w:type="pct"/>
            <w:vMerge w:val="restart"/>
            <w:tcBorders>
              <w:tl2br w:val="nil"/>
              <w:tr2bl w:val="nil"/>
            </w:tcBorders>
            <w:vAlign w:val="center"/>
          </w:tcPr>
          <w:p w14:paraId="2D8BEFB7">
            <w:pPr>
              <w:pStyle w:val="41"/>
              <w:rPr>
                <w:color w:val="auto"/>
                <w:highlight w:val="none"/>
              </w:rPr>
            </w:pPr>
            <w:r>
              <w:rPr>
                <w:color w:val="auto"/>
                <w:highlight w:val="none"/>
              </w:rPr>
              <w:t>H2</w:t>
            </w:r>
          </w:p>
        </w:tc>
        <w:tc>
          <w:tcPr>
            <w:tcW w:w="1286" w:type="pct"/>
            <w:vMerge w:val="restart"/>
            <w:tcBorders>
              <w:tl2br w:val="nil"/>
              <w:tr2bl w:val="nil"/>
            </w:tcBorders>
            <w:vAlign w:val="center"/>
          </w:tcPr>
          <w:p w14:paraId="6C780829">
            <w:pPr>
              <w:pStyle w:val="41"/>
              <w:rPr>
                <w:color w:val="auto"/>
                <w:highlight w:val="none"/>
              </w:rPr>
            </w:pPr>
            <w:r>
              <w:rPr>
                <w:color w:val="auto"/>
                <w:highlight w:val="none"/>
              </w:rPr>
              <w:t>S1</w:t>
            </w:r>
          </w:p>
        </w:tc>
        <w:tc>
          <w:tcPr>
            <w:tcW w:w="1243" w:type="pct"/>
            <w:tcBorders>
              <w:tl2br w:val="nil"/>
              <w:tr2bl w:val="nil"/>
            </w:tcBorders>
            <w:vAlign w:val="center"/>
          </w:tcPr>
          <w:p w14:paraId="53DDEE13">
            <w:pPr>
              <w:pStyle w:val="41"/>
              <w:rPr>
                <w:color w:val="auto"/>
                <w:highlight w:val="none"/>
              </w:rPr>
            </w:pPr>
            <w:r>
              <w:rPr>
                <w:color w:val="auto"/>
                <w:highlight w:val="none"/>
              </w:rPr>
              <w:t>R1</w:t>
            </w:r>
          </w:p>
        </w:tc>
        <w:tc>
          <w:tcPr>
            <w:tcW w:w="939" w:type="pct"/>
            <w:tcBorders>
              <w:tl2br w:val="nil"/>
              <w:tr2bl w:val="nil"/>
            </w:tcBorders>
            <w:vAlign w:val="center"/>
          </w:tcPr>
          <w:p w14:paraId="04033F60">
            <w:pPr>
              <w:pStyle w:val="41"/>
              <w:rPr>
                <w:color w:val="auto"/>
                <w:highlight w:val="none"/>
              </w:rPr>
            </w:pPr>
            <w:r>
              <w:rPr>
                <w:color w:val="auto"/>
                <w:highlight w:val="none"/>
              </w:rPr>
              <w:t>重大</w:t>
            </w:r>
          </w:p>
        </w:tc>
      </w:tr>
      <w:tr w14:paraId="014325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0436BB0A">
            <w:pPr>
              <w:pStyle w:val="41"/>
              <w:rPr>
                <w:color w:val="auto"/>
                <w:highlight w:val="none"/>
              </w:rPr>
            </w:pPr>
            <w:r>
              <w:rPr>
                <w:color w:val="auto"/>
                <w:highlight w:val="none"/>
              </w:rPr>
              <w:t>11</w:t>
            </w:r>
          </w:p>
        </w:tc>
        <w:tc>
          <w:tcPr>
            <w:tcW w:w="1119" w:type="pct"/>
            <w:vMerge w:val="continue"/>
            <w:tcBorders>
              <w:tl2br w:val="nil"/>
              <w:tr2bl w:val="nil"/>
            </w:tcBorders>
            <w:vAlign w:val="center"/>
          </w:tcPr>
          <w:p w14:paraId="42B2148C">
            <w:pPr>
              <w:pStyle w:val="41"/>
              <w:rPr>
                <w:color w:val="auto"/>
                <w:highlight w:val="none"/>
              </w:rPr>
            </w:pPr>
          </w:p>
        </w:tc>
        <w:tc>
          <w:tcPr>
            <w:tcW w:w="1286" w:type="pct"/>
            <w:vMerge w:val="continue"/>
            <w:tcBorders>
              <w:tl2br w:val="nil"/>
              <w:tr2bl w:val="nil"/>
            </w:tcBorders>
            <w:vAlign w:val="center"/>
          </w:tcPr>
          <w:p w14:paraId="44CB1540">
            <w:pPr>
              <w:pStyle w:val="41"/>
              <w:rPr>
                <w:color w:val="auto"/>
                <w:highlight w:val="none"/>
              </w:rPr>
            </w:pPr>
          </w:p>
        </w:tc>
        <w:tc>
          <w:tcPr>
            <w:tcW w:w="1243" w:type="pct"/>
            <w:tcBorders>
              <w:tl2br w:val="nil"/>
              <w:tr2bl w:val="nil"/>
            </w:tcBorders>
            <w:vAlign w:val="center"/>
          </w:tcPr>
          <w:p w14:paraId="3DFB22A6">
            <w:pPr>
              <w:pStyle w:val="41"/>
              <w:rPr>
                <w:color w:val="auto"/>
                <w:highlight w:val="none"/>
              </w:rPr>
            </w:pPr>
            <w:r>
              <w:rPr>
                <w:color w:val="auto"/>
                <w:highlight w:val="none"/>
              </w:rPr>
              <w:t>R2</w:t>
            </w:r>
          </w:p>
        </w:tc>
        <w:tc>
          <w:tcPr>
            <w:tcW w:w="939" w:type="pct"/>
            <w:tcBorders>
              <w:tl2br w:val="nil"/>
              <w:tr2bl w:val="nil"/>
            </w:tcBorders>
            <w:vAlign w:val="center"/>
          </w:tcPr>
          <w:p w14:paraId="666D1172">
            <w:pPr>
              <w:pStyle w:val="41"/>
              <w:rPr>
                <w:color w:val="auto"/>
                <w:highlight w:val="none"/>
              </w:rPr>
            </w:pPr>
            <w:r>
              <w:rPr>
                <w:color w:val="auto"/>
                <w:highlight w:val="none"/>
              </w:rPr>
              <w:t>较大</w:t>
            </w:r>
          </w:p>
        </w:tc>
      </w:tr>
      <w:tr w14:paraId="3B11A4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080CCADD">
            <w:pPr>
              <w:pStyle w:val="41"/>
              <w:rPr>
                <w:color w:val="auto"/>
                <w:highlight w:val="none"/>
              </w:rPr>
            </w:pPr>
            <w:r>
              <w:rPr>
                <w:color w:val="auto"/>
                <w:highlight w:val="none"/>
              </w:rPr>
              <w:t>12</w:t>
            </w:r>
          </w:p>
        </w:tc>
        <w:tc>
          <w:tcPr>
            <w:tcW w:w="1119" w:type="pct"/>
            <w:vMerge w:val="continue"/>
            <w:tcBorders>
              <w:tl2br w:val="nil"/>
              <w:tr2bl w:val="nil"/>
            </w:tcBorders>
            <w:vAlign w:val="center"/>
          </w:tcPr>
          <w:p w14:paraId="6DCF4106">
            <w:pPr>
              <w:pStyle w:val="41"/>
              <w:rPr>
                <w:color w:val="auto"/>
                <w:highlight w:val="none"/>
              </w:rPr>
            </w:pPr>
          </w:p>
        </w:tc>
        <w:tc>
          <w:tcPr>
            <w:tcW w:w="1286" w:type="pct"/>
            <w:vMerge w:val="continue"/>
            <w:tcBorders>
              <w:tl2br w:val="nil"/>
              <w:tr2bl w:val="nil"/>
            </w:tcBorders>
            <w:vAlign w:val="center"/>
          </w:tcPr>
          <w:p w14:paraId="42FE661F">
            <w:pPr>
              <w:pStyle w:val="41"/>
              <w:rPr>
                <w:color w:val="auto"/>
                <w:highlight w:val="none"/>
              </w:rPr>
            </w:pPr>
          </w:p>
        </w:tc>
        <w:tc>
          <w:tcPr>
            <w:tcW w:w="1243" w:type="pct"/>
            <w:tcBorders>
              <w:tl2br w:val="nil"/>
              <w:tr2bl w:val="nil"/>
            </w:tcBorders>
            <w:vAlign w:val="center"/>
          </w:tcPr>
          <w:p w14:paraId="34A09AE3">
            <w:pPr>
              <w:pStyle w:val="41"/>
              <w:rPr>
                <w:color w:val="auto"/>
                <w:highlight w:val="none"/>
              </w:rPr>
            </w:pPr>
            <w:r>
              <w:rPr>
                <w:color w:val="auto"/>
                <w:highlight w:val="none"/>
              </w:rPr>
              <w:t>R3</w:t>
            </w:r>
          </w:p>
        </w:tc>
        <w:tc>
          <w:tcPr>
            <w:tcW w:w="939" w:type="pct"/>
            <w:tcBorders>
              <w:tl2br w:val="nil"/>
              <w:tr2bl w:val="nil"/>
            </w:tcBorders>
            <w:vAlign w:val="center"/>
          </w:tcPr>
          <w:p w14:paraId="1062D853">
            <w:pPr>
              <w:pStyle w:val="41"/>
              <w:rPr>
                <w:color w:val="auto"/>
                <w:highlight w:val="none"/>
              </w:rPr>
            </w:pPr>
            <w:r>
              <w:rPr>
                <w:color w:val="auto"/>
                <w:highlight w:val="none"/>
              </w:rPr>
              <w:t>较大</w:t>
            </w:r>
          </w:p>
        </w:tc>
      </w:tr>
      <w:tr w14:paraId="34E09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2ED3F26B">
            <w:pPr>
              <w:pStyle w:val="41"/>
              <w:rPr>
                <w:color w:val="auto"/>
                <w:highlight w:val="none"/>
              </w:rPr>
            </w:pPr>
            <w:r>
              <w:rPr>
                <w:color w:val="auto"/>
                <w:highlight w:val="none"/>
              </w:rPr>
              <w:t>13</w:t>
            </w:r>
          </w:p>
        </w:tc>
        <w:tc>
          <w:tcPr>
            <w:tcW w:w="1119" w:type="pct"/>
            <w:vMerge w:val="continue"/>
            <w:tcBorders>
              <w:tl2br w:val="nil"/>
              <w:tr2bl w:val="nil"/>
            </w:tcBorders>
            <w:vAlign w:val="center"/>
          </w:tcPr>
          <w:p w14:paraId="1407C2D3">
            <w:pPr>
              <w:pStyle w:val="41"/>
              <w:rPr>
                <w:color w:val="auto"/>
                <w:highlight w:val="none"/>
              </w:rPr>
            </w:pPr>
          </w:p>
        </w:tc>
        <w:tc>
          <w:tcPr>
            <w:tcW w:w="1286" w:type="pct"/>
            <w:vMerge w:val="restart"/>
            <w:tcBorders>
              <w:tl2br w:val="nil"/>
              <w:tr2bl w:val="nil"/>
            </w:tcBorders>
            <w:vAlign w:val="center"/>
          </w:tcPr>
          <w:p w14:paraId="08C9C4DD">
            <w:pPr>
              <w:pStyle w:val="41"/>
              <w:rPr>
                <w:color w:val="auto"/>
                <w:highlight w:val="none"/>
              </w:rPr>
            </w:pPr>
            <w:r>
              <w:rPr>
                <w:color w:val="auto"/>
                <w:highlight w:val="none"/>
              </w:rPr>
              <w:t>S2</w:t>
            </w:r>
          </w:p>
        </w:tc>
        <w:tc>
          <w:tcPr>
            <w:tcW w:w="1243" w:type="pct"/>
            <w:tcBorders>
              <w:tl2br w:val="nil"/>
              <w:tr2bl w:val="nil"/>
            </w:tcBorders>
            <w:vAlign w:val="center"/>
          </w:tcPr>
          <w:p w14:paraId="3F920C35">
            <w:pPr>
              <w:pStyle w:val="41"/>
              <w:rPr>
                <w:color w:val="auto"/>
                <w:highlight w:val="none"/>
              </w:rPr>
            </w:pPr>
            <w:r>
              <w:rPr>
                <w:color w:val="auto"/>
                <w:highlight w:val="none"/>
              </w:rPr>
              <w:t>R1</w:t>
            </w:r>
          </w:p>
        </w:tc>
        <w:tc>
          <w:tcPr>
            <w:tcW w:w="939" w:type="pct"/>
            <w:tcBorders>
              <w:tl2br w:val="nil"/>
              <w:tr2bl w:val="nil"/>
            </w:tcBorders>
            <w:vAlign w:val="center"/>
          </w:tcPr>
          <w:p w14:paraId="60EB1063">
            <w:pPr>
              <w:pStyle w:val="41"/>
              <w:rPr>
                <w:color w:val="auto"/>
                <w:highlight w:val="none"/>
              </w:rPr>
            </w:pPr>
            <w:r>
              <w:rPr>
                <w:color w:val="auto"/>
                <w:highlight w:val="none"/>
              </w:rPr>
              <w:t>较大</w:t>
            </w:r>
          </w:p>
        </w:tc>
      </w:tr>
      <w:tr w14:paraId="6ABD1E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27E3A1D9">
            <w:pPr>
              <w:pStyle w:val="41"/>
              <w:rPr>
                <w:color w:val="auto"/>
                <w:highlight w:val="none"/>
              </w:rPr>
            </w:pPr>
            <w:r>
              <w:rPr>
                <w:color w:val="auto"/>
                <w:highlight w:val="none"/>
              </w:rPr>
              <w:t>14</w:t>
            </w:r>
          </w:p>
        </w:tc>
        <w:tc>
          <w:tcPr>
            <w:tcW w:w="1119" w:type="pct"/>
            <w:vMerge w:val="continue"/>
            <w:tcBorders>
              <w:tl2br w:val="nil"/>
              <w:tr2bl w:val="nil"/>
            </w:tcBorders>
            <w:vAlign w:val="center"/>
          </w:tcPr>
          <w:p w14:paraId="62C4D1A1">
            <w:pPr>
              <w:pStyle w:val="41"/>
              <w:rPr>
                <w:color w:val="auto"/>
                <w:highlight w:val="none"/>
              </w:rPr>
            </w:pPr>
          </w:p>
        </w:tc>
        <w:tc>
          <w:tcPr>
            <w:tcW w:w="1286" w:type="pct"/>
            <w:vMerge w:val="continue"/>
            <w:tcBorders>
              <w:tl2br w:val="nil"/>
              <w:tr2bl w:val="nil"/>
            </w:tcBorders>
            <w:vAlign w:val="center"/>
          </w:tcPr>
          <w:p w14:paraId="33AAF87D">
            <w:pPr>
              <w:pStyle w:val="41"/>
              <w:rPr>
                <w:color w:val="auto"/>
                <w:highlight w:val="none"/>
              </w:rPr>
            </w:pPr>
          </w:p>
        </w:tc>
        <w:tc>
          <w:tcPr>
            <w:tcW w:w="1243" w:type="pct"/>
            <w:tcBorders>
              <w:tl2br w:val="nil"/>
              <w:tr2bl w:val="nil"/>
            </w:tcBorders>
            <w:vAlign w:val="center"/>
          </w:tcPr>
          <w:p w14:paraId="410B9592">
            <w:pPr>
              <w:pStyle w:val="41"/>
              <w:rPr>
                <w:color w:val="auto"/>
                <w:highlight w:val="none"/>
              </w:rPr>
            </w:pPr>
            <w:r>
              <w:rPr>
                <w:color w:val="auto"/>
                <w:highlight w:val="none"/>
              </w:rPr>
              <w:t>R2</w:t>
            </w:r>
          </w:p>
        </w:tc>
        <w:tc>
          <w:tcPr>
            <w:tcW w:w="939" w:type="pct"/>
            <w:tcBorders>
              <w:tl2br w:val="nil"/>
              <w:tr2bl w:val="nil"/>
            </w:tcBorders>
            <w:vAlign w:val="center"/>
          </w:tcPr>
          <w:p w14:paraId="7475EAC9">
            <w:pPr>
              <w:pStyle w:val="41"/>
              <w:rPr>
                <w:color w:val="auto"/>
                <w:highlight w:val="none"/>
              </w:rPr>
            </w:pPr>
            <w:r>
              <w:rPr>
                <w:color w:val="auto"/>
                <w:highlight w:val="none"/>
              </w:rPr>
              <w:t>一般</w:t>
            </w:r>
          </w:p>
        </w:tc>
      </w:tr>
      <w:tr w14:paraId="618B5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744E9DD9">
            <w:pPr>
              <w:pStyle w:val="41"/>
              <w:rPr>
                <w:color w:val="auto"/>
                <w:highlight w:val="none"/>
              </w:rPr>
            </w:pPr>
            <w:r>
              <w:rPr>
                <w:color w:val="auto"/>
                <w:highlight w:val="none"/>
              </w:rPr>
              <w:t>15</w:t>
            </w:r>
          </w:p>
        </w:tc>
        <w:tc>
          <w:tcPr>
            <w:tcW w:w="1119" w:type="pct"/>
            <w:vMerge w:val="continue"/>
            <w:tcBorders>
              <w:tl2br w:val="nil"/>
              <w:tr2bl w:val="nil"/>
            </w:tcBorders>
            <w:vAlign w:val="center"/>
          </w:tcPr>
          <w:p w14:paraId="070A8738">
            <w:pPr>
              <w:pStyle w:val="41"/>
              <w:rPr>
                <w:color w:val="auto"/>
                <w:highlight w:val="none"/>
              </w:rPr>
            </w:pPr>
          </w:p>
        </w:tc>
        <w:tc>
          <w:tcPr>
            <w:tcW w:w="1286" w:type="pct"/>
            <w:vMerge w:val="continue"/>
            <w:tcBorders>
              <w:tl2br w:val="nil"/>
              <w:tr2bl w:val="nil"/>
            </w:tcBorders>
            <w:vAlign w:val="center"/>
          </w:tcPr>
          <w:p w14:paraId="39F22CB6">
            <w:pPr>
              <w:pStyle w:val="41"/>
              <w:rPr>
                <w:color w:val="auto"/>
                <w:highlight w:val="none"/>
              </w:rPr>
            </w:pPr>
          </w:p>
        </w:tc>
        <w:tc>
          <w:tcPr>
            <w:tcW w:w="1243" w:type="pct"/>
            <w:tcBorders>
              <w:tl2br w:val="nil"/>
              <w:tr2bl w:val="nil"/>
            </w:tcBorders>
            <w:vAlign w:val="center"/>
          </w:tcPr>
          <w:p w14:paraId="1AAA12E4">
            <w:pPr>
              <w:pStyle w:val="41"/>
              <w:rPr>
                <w:color w:val="auto"/>
                <w:highlight w:val="none"/>
              </w:rPr>
            </w:pPr>
            <w:r>
              <w:rPr>
                <w:color w:val="auto"/>
                <w:highlight w:val="none"/>
              </w:rPr>
              <w:t>R3</w:t>
            </w:r>
          </w:p>
        </w:tc>
        <w:tc>
          <w:tcPr>
            <w:tcW w:w="939" w:type="pct"/>
            <w:tcBorders>
              <w:tl2br w:val="nil"/>
              <w:tr2bl w:val="nil"/>
            </w:tcBorders>
            <w:vAlign w:val="center"/>
          </w:tcPr>
          <w:p w14:paraId="09A38754">
            <w:pPr>
              <w:pStyle w:val="41"/>
              <w:rPr>
                <w:color w:val="auto"/>
                <w:highlight w:val="none"/>
              </w:rPr>
            </w:pPr>
            <w:r>
              <w:rPr>
                <w:color w:val="auto"/>
                <w:highlight w:val="none"/>
              </w:rPr>
              <w:t>一般</w:t>
            </w:r>
          </w:p>
        </w:tc>
      </w:tr>
      <w:tr w14:paraId="19E173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393446DA">
            <w:pPr>
              <w:pStyle w:val="41"/>
              <w:rPr>
                <w:color w:val="auto"/>
                <w:highlight w:val="none"/>
              </w:rPr>
            </w:pPr>
            <w:r>
              <w:rPr>
                <w:color w:val="auto"/>
                <w:highlight w:val="none"/>
              </w:rPr>
              <w:t>16</w:t>
            </w:r>
          </w:p>
        </w:tc>
        <w:tc>
          <w:tcPr>
            <w:tcW w:w="1119" w:type="pct"/>
            <w:vMerge w:val="continue"/>
            <w:tcBorders>
              <w:tl2br w:val="nil"/>
              <w:tr2bl w:val="nil"/>
            </w:tcBorders>
            <w:vAlign w:val="center"/>
          </w:tcPr>
          <w:p w14:paraId="258EE912">
            <w:pPr>
              <w:pStyle w:val="41"/>
              <w:rPr>
                <w:color w:val="auto"/>
                <w:highlight w:val="none"/>
              </w:rPr>
            </w:pPr>
          </w:p>
        </w:tc>
        <w:tc>
          <w:tcPr>
            <w:tcW w:w="1286" w:type="pct"/>
            <w:vMerge w:val="restart"/>
            <w:tcBorders>
              <w:tl2br w:val="nil"/>
              <w:tr2bl w:val="nil"/>
            </w:tcBorders>
            <w:vAlign w:val="center"/>
          </w:tcPr>
          <w:p w14:paraId="76902324">
            <w:pPr>
              <w:pStyle w:val="41"/>
              <w:rPr>
                <w:color w:val="auto"/>
                <w:highlight w:val="none"/>
              </w:rPr>
            </w:pPr>
            <w:r>
              <w:rPr>
                <w:color w:val="auto"/>
                <w:highlight w:val="none"/>
              </w:rPr>
              <w:t>S3</w:t>
            </w:r>
          </w:p>
        </w:tc>
        <w:tc>
          <w:tcPr>
            <w:tcW w:w="1243" w:type="pct"/>
            <w:tcBorders>
              <w:tl2br w:val="nil"/>
              <w:tr2bl w:val="nil"/>
            </w:tcBorders>
            <w:vAlign w:val="center"/>
          </w:tcPr>
          <w:p w14:paraId="12A1007C">
            <w:pPr>
              <w:pStyle w:val="41"/>
              <w:rPr>
                <w:color w:val="auto"/>
                <w:highlight w:val="none"/>
              </w:rPr>
            </w:pPr>
            <w:r>
              <w:rPr>
                <w:color w:val="auto"/>
                <w:highlight w:val="none"/>
              </w:rPr>
              <w:t>R1</w:t>
            </w:r>
          </w:p>
        </w:tc>
        <w:tc>
          <w:tcPr>
            <w:tcW w:w="939" w:type="pct"/>
            <w:tcBorders>
              <w:tl2br w:val="nil"/>
              <w:tr2bl w:val="nil"/>
            </w:tcBorders>
            <w:vAlign w:val="center"/>
          </w:tcPr>
          <w:p w14:paraId="459C57CF">
            <w:pPr>
              <w:pStyle w:val="41"/>
              <w:rPr>
                <w:color w:val="auto"/>
                <w:highlight w:val="none"/>
              </w:rPr>
            </w:pPr>
            <w:r>
              <w:rPr>
                <w:color w:val="auto"/>
                <w:highlight w:val="none"/>
              </w:rPr>
              <w:t>一般</w:t>
            </w:r>
          </w:p>
        </w:tc>
      </w:tr>
      <w:tr w14:paraId="41E7C7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792ACDC7">
            <w:pPr>
              <w:pStyle w:val="41"/>
              <w:rPr>
                <w:color w:val="auto"/>
                <w:highlight w:val="none"/>
              </w:rPr>
            </w:pPr>
            <w:r>
              <w:rPr>
                <w:color w:val="auto"/>
                <w:highlight w:val="none"/>
              </w:rPr>
              <w:t>17</w:t>
            </w:r>
          </w:p>
        </w:tc>
        <w:tc>
          <w:tcPr>
            <w:tcW w:w="1119" w:type="pct"/>
            <w:vMerge w:val="continue"/>
            <w:tcBorders>
              <w:tl2br w:val="nil"/>
              <w:tr2bl w:val="nil"/>
            </w:tcBorders>
            <w:vAlign w:val="center"/>
          </w:tcPr>
          <w:p w14:paraId="7A253F94">
            <w:pPr>
              <w:pStyle w:val="41"/>
              <w:rPr>
                <w:color w:val="auto"/>
                <w:highlight w:val="none"/>
              </w:rPr>
            </w:pPr>
          </w:p>
        </w:tc>
        <w:tc>
          <w:tcPr>
            <w:tcW w:w="1286" w:type="pct"/>
            <w:vMerge w:val="continue"/>
            <w:tcBorders>
              <w:tl2br w:val="nil"/>
              <w:tr2bl w:val="nil"/>
            </w:tcBorders>
            <w:vAlign w:val="center"/>
          </w:tcPr>
          <w:p w14:paraId="02050D60">
            <w:pPr>
              <w:pStyle w:val="41"/>
              <w:rPr>
                <w:color w:val="auto"/>
                <w:highlight w:val="none"/>
              </w:rPr>
            </w:pPr>
          </w:p>
        </w:tc>
        <w:tc>
          <w:tcPr>
            <w:tcW w:w="1243" w:type="pct"/>
            <w:tcBorders>
              <w:tl2br w:val="nil"/>
              <w:tr2bl w:val="nil"/>
            </w:tcBorders>
            <w:vAlign w:val="center"/>
          </w:tcPr>
          <w:p w14:paraId="16DED20D">
            <w:pPr>
              <w:pStyle w:val="41"/>
              <w:rPr>
                <w:color w:val="auto"/>
                <w:highlight w:val="none"/>
              </w:rPr>
            </w:pPr>
            <w:r>
              <w:rPr>
                <w:color w:val="auto"/>
                <w:highlight w:val="none"/>
              </w:rPr>
              <w:t>R2</w:t>
            </w:r>
          </w:p>
        </w:tc>
        <w:tc>
          <w:tcPr>
            <w:tcW w:w="939" w:type="pct"/>
            <w:tcBorders>
              <w:tl2br w:val="nil"/>
              <w:tr2bl w:val="nil"/>
            </w:tcBorders>
            <w:vAlign w:val="center"/>
          </w:tcPr>
          <w:p w14:paraId="7D2CFCB6">
            <w:pPr>
              <w:pStyle w:val="41"/>
              <w:rPr>
                <w:color w:val="auto"/>
                <w:highlight w:val="none"/>
              </w:rPr>
            </w:pPr>
            <w:r>
              <w:rPr>
                <w:color w:val="auto"/>
                <w:highlight w:val="none"/>
              </w:rPr>
              <w:t>一般</w:t>
            </w:r>
          </w:p>
        </w:tc>
      </w:tr>
      <w:tr w14:paraId="58F47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73E157F4">
            <w:pPr>
              <w:pStyle w:val="41"/>
              <w:rPr>
                <w:color w:val="auto"/>
                <w:highlight w:val="none"/>
              </w:rPr>
            </w:pPr>
            <w:r>
              <w:rPr>
                <w:color w:val="auto"/>
                <w:highlight w:val="none"/>
              </w:rPr>
              <w:t>18</w:t>
            </w:r>
          </w:p>
        </w:tc>
        <w:tc>
          <w:tcPr>
            <w:tcW w:w="1119" w:type="pct"/>
            <w:vMerge w:val="continue"/>
            <w:tcBorders>
              <w:tl2br w:val="nil"/>
              <w:tr2bl w:val="nil"/>
            </w:tcBorders>
            <w:vAlign w:val="center"/>
          </w:tcPr>
          <w:p w14:paraId="26F812E5">
            <w:pPr>
              <w:pStyle w:val="41"/>
              <w:rPr>
                <w:color w:val="auto"/>
                <w:highlight w:val="none"/>
              </w:rPr>
            </w:pPr>
          </w:p>
        </w:tc>
        <w:tc>
          <w:tcPr>
            <w:tcW w:w="1286" w:type="pct"/>
            <w:vMerge w:val="continue"/>
            <w:tcBorders>
              <w:tl2br w:val="nil"/>
              <w:tr2bl w:val="nil"/>
            </w:tcBorders>
            <w:vAlign w:val="center"/>
          </w:tcPr>
          <w:p w14:paraId="15F99A5C">
            <w:pPr>
              <w:pStyle w:val="41"/>
              <w:rPr>
                <w:color w:val="auto"/>
                <w:highlight w:val="none"/>
              </w:rPr>
            </w:pPr>
          </w:p>
        </w:tc>
        <w:tc>
          <w:tcPr>
            <w:tcW w:w="1243" w:type="pct"/>
            <w:tcBorders>
              <w:tl2br w:val="nil"/>
              <w:tr2bl w:val="nil"/>
            </w:tcBorders>
            <w:vAlign w:val="center"/>
          </w:tcPr>
          <w:p w14:paraId="23A3739F">
            <w:pPr>
              <w:pStyle w:val="41"/>
              <w:rPr>
                <w:color w:val="auto"/>
                <w:highlight w:val="none"/>
              </w:rPr>
            </w:pPr>
            <w:r>
              <w:rPr>
                <w:color w:val="auto"/>
                <w:highlight w:val="none"/>
              </w:rPr>
              <w:t>R3</w:t>
            </w:r>
          </w:p>
        </w:tc>
        <w:tc>
          <w:tcPr>
            <w:tcW w:w="939" w:type="pct"/>
            <w:tcBorders>
              <w:tl2br w:val="nil"/>
              <w:tr2bl w:val="nil"/>
            </w:tcBorders>
            <w:vAlign w:val="center"/>
          </w:tcPr>
          <w:p w14:paraId="50975714">
            <w:pPr>
              <w:pStyle w:val="41"/>
              <w:rPr>
                <w:color w:val="auto"/>
                <w:highlight w:val="none"/>
              </w:rPr>
            </w:pPr>
            <w:r>
              <w:rPr>
                <w:color w:val="auto"/>
                <w:highlight w:val="none"/>
              </w:rPr>
              <w:t>一般</w:t>
            </w:r>
          </w:p>
        </w:tc>
      </w:tr>
      <w:tr w14:paraId="12816A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365BD2DE">
            <w:pPr>
              <w:pStyle w:val="41"/>
              <w:rPr>
                <w:color w:val="auto"/>
                <w:highlight w:val="none"/>
              </w:rPr>
            </w:pPr>
            <w:r>
              <w:rPr>
                <w:color w:val="auto"/>
                <w:highlight w:val="none"/>
              </w:rPr>
              <w:t>19</w:t>
            </w:r>
          </w:p>
        </w:tc>
        <w:tc>
          <w:tcPr>
            <w:tcW w:w="1119" w:type="pct"/>
            <w:vMerge w:val="restart"/>
            <w:tcBorders>
              <w:tl2br w:val="nil"/>
              <w:tr2bl w:val="nil"/>
            </w:tcBorders>
            <w:vAlign w:val="center"/>
          </w:tcPr>
          <w:p w14:paraId="7BB562B7">
            <w:pPr>
              <w:pStyle w:val="41"/>
              <w:rPr>
                <w:color w:val="auto"/>
                <w:highlight w:val="none"/>
              </w:rPr>
            </w:pPr>
            <w:r>
              <w:rPr>
                <w:color w:val="auto"/>
                <w:highlight w:val="none"/>
              </w:rPr>
              <w:t>H3</w:t>
            </w:r>
          </w:p>
        </w:tc>
        <w:tc>
          <w:tcPr>
            <w:tcW w:w="1286" w:type="pct"/>
            <w:vMerge w:val="restart"/>
            <w:tcBorders>
              <w:tl2br w:val="nil"/>
              <w:tr2bl w:val="nil"/>
            </w:tcBorders>
            <w:vAlign w:val="center"/>
          </w:tcPr>
          <w:p w14:paraId="7898FF09">
            <w:pPr>
              <w:pStyle w:val="41"/>
              <w:rPr>
                <w:color w:val="auto"/>
                <w:highlight w:val="none"/>
              </w:rPr>
            </w:pPr>
            <w:r>
              <w:rPr>
                <w:color w:val="auto"/>
                <w:highlight w:val="none"/>
              </w:rPr>
              <w:t>S1</w:t>
            </w:r>
          </w:p>
        </w:tc>
        <w:tc>
          <w:tcPr>
            <w:tcW w:w="1243" w:type="pct"/>
            <w:tcBorders>
              <w:tl2br w:val="nil"/>
              <w:tr2bl w:val="nil"/>
            </w:tcBorders>
            <w:vAlign w:val="center"/>
          </w:tcPr>
          <w:p w14:paraId="207D0684">
            <w:pPr>
              <w:pStyle w:val="41"/>
              <w:rPr>
                <w:color w:val="auto"/>
                <w:highlight w:val="none"/>
              </w:rPr>
            </w:pPr>
            <w:r>
              <w:rPr>
                <w:color w:val="auto"/>
                <w:highlight w:val="none"/>
              </w:rPr>
              <w:t>R1</w:t>
            </w:r>
          </w:p>
        </w:tc>
        <w:tc>
          <w:tcPr>
            <w:tcW w:w="939" w:type="pct"/>
            <w:tcBorders>
              <w:tl2br w:val="nil"/>
              <w:tr2bl w:val="nil"/>
            </w:tcBorders>
            <w:vAlign w:val="center"/>
          </w:tcPr>
          <w:p w14:paraId="776FAE5F">
            <w:pPr>
              <w:pStyle w:val="41"/>
              <w:rPr>
                <w:color w:val="auto"/>
                <w:highlight w:val="none"/>
              </w:rPr>
            </w:pPr>
            <w:r>
              <w:rPr>
                <w:color w:val="auto"/>
                <w:highlight w:val="none"/>
              </w:rPr>
              <w:t>较大</w:t>
            </w:r>
          </w:p>
        </w:tc>
      </w:tr>
      <w:tr w14:paraId="4A6C9A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09D01707">
            <w:pPr>
              <w:pStyle w:val="41"/>
              <w:rPr>
                <w:color w:val="auto"/>
                <w:highlight w:val="none"/>
              </w:rPr>
            </w:pPr>
            <w:r>
              <w:rPr>
                <w:color w:val="auto"/>
                <w:highlight w:val="none"/>
              </w:rPr>
              <w:t>20</w:t>
            </w:r>
          </w:p>
        </w:tc>
        <w:tc>
          <w:tcPr>
            <w:tcW w:w="1119" w:type="pct"/>
            <w:vMerge w:val="continue"/>
            <w:tcBorders>
              <w:tl2br w:val="nil"/>
              <w:tr2bl w:val="nil"/>
            </w:tcBorders>
            <w:vAlign w:val="center"/>
          </w:tcPr>
          <w:p w14:paraId="0F102822">
            <w:pPr>
              <w:pStyle w:val="41"/>
              <w:rPr>
                <w:color w:val="auto"/>
                <w:highlight w:val="none"/>
              </w:rPr>
            </w:pPr>
          </w:p>
        </w:tc>
        <w:tc>
          <w:tcPr>
            <w:tcW w:w="1286" w:type="pct"/>
            <w:vMerge w:val="continue"/>
            <w:tcBorders>
              <w:tl2br w:val="nil"/>
              <w:tr2bl w:val="nil"/>
            </w:tcBorders>
            <w:vAlign w:val="center"/>
          </w:tcPr>
          <w:p w14:paraId="79E069DA">
            <w:pPr>
              <w:pStyle w:val="41"/>
              <w:rPr>
                <w:color w:val="auto"/>
                <w:highlight w:val="none"/>
              </w:rPr>
            </w:pPr>
          </w:p>
        </w:tc>
        <w:tc>
          <w:tcPr>
            <w:tcW w:w="1243" w:type="pct"/>
            <w:tcBorders>
              <w:tl2br w:val="nil"/>
              <w:tr2bl w:val="nil"/>
            </w:tcBorders>
            <w:vAlign w:val="center"/>
          </w:tcPr>
          <w:p w14:paraId="3149D7AB">
            <w:pPr>
              <w:pStyle w:val="41"/>
              <w:rPr>
                <w:color w:val="auto"/>
                <w:highlight w:val="none"/>
              </w:rPr>
            </w:pPr>
            <w:r>
              <w:rPr>
                <w:color w:val="auto"/>
                <w:highlight w:val="none"/>
              </w:rPr>
              <w:t>R2</w:t>
            </w:r>
          </w:p>
        </w:tc>
        <w:tc>
          <w:tcPr>
            <w:tcW w:w="939" w:type="pct"/>
            <w:tcBorders>
              <w:tl2br w:val="nil"/>
              <w:tr2bl w:val="nil"/>
            </w:tcBorders>
            <w:vAlign w:val="center"/>
          </w:tcPr>
          <w:p w14:paraId="78E37E2E">
            <w:pPr>
              <w:pStyle w:val="41"/>
              <w:rPr>
                <w:color w:val="auto"/>
                <w:highlight w:val="none"/>
              </w:rPr>
            </w:pPr>
            <w:r>
              <w:rPr>
                <w:color w:val="auto"/>
                <w:highlight w:val="none"/>
              </w:rPr>
              <w:t>较大</w:t>
            </w:r>
          </w:p>
        </w:tc>
      </w:tr>
      <w:tr w14:paraId="4EC27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436A6169">
            <w:pPr>
              <w:pStyle w:val="41"/>
              <w:rPr>
                <w:color w:val="auto"/>
                <w:highlight w:val="none"/>
              </w:rPr>
            </w:pPr>
            <w:r>
              <w:rPr>
                <w:color w:val="auto"/>
                <w:highlight w:val="none"/>
              </w:rPr>
              <w:t>21</w:t>
            </w:r>
          </w:p>
        </w:tc>
        <w:tc>
          <w:tcPr>
            <w:tcW w:w="1119" w:type="pct"/>
            <w:vMerge w:val="continue"/>
            <w:tcBorders>
              <w:tl2br w:val="nil"/>
              <w:tr2bl w:val="nil"/>
            </w:tcBorders>
            <w:vAlign w:val="center"/>
          </w:tcPr>
          <w:p w14:paraId="6327D681">
            <w:pPr>
              <w:pStyle w:val="41"/>
              <w:rPr>
                <w:color w:val="auto"/>
                <w:highlight w:val="none"/>
              </w:rPr>
            </w:pPr>
          </w:p>
        </w:tc>
        <w:tc>
          <w:tcPr>
            <w:tcW w:w="1286" w:type="pct"/>
            <w:vMerge w:val="continue"/>
            <w:tcBorders>
              <w:tl2br w:val="nil"/>
              <w:tr2bl w:val="nil"/>
            </w:tcBorders>
            <w:vAlign w:val="center"/>
          </w:tcPr>
          <w:p w14:paraId="0A5CF925">
            <w:pPr>
              <w:pStyle w:val="41"/>
              <w:rPr>
                <w:color w:val="auto"/>
                <w:highlight w:val="none"/>
              </w:rPr>
            </w:pPr>
          </w:p>
        </w:tc>
        <w:tc>
          <w:tcPr>
            <w:tcW w:w="1243" w:type="pct"/>
            <w:tcBorders>
              <w:tl2br w:val="nil"/>
              <w:tr2bl w:val="nil"/>
            </w:tcBorders>
            <w:vAlign w:val="center"/>
          </w:tcPr>
          <w:p w14:paraId="2BCEB199">
            <w:pPr>
              <w:pStyle w:val="41"/>
              <w:rPr>
                <w:color w:val="auto"/>
                <w:highlight w:val="none"/>
              </w:rPr>
            </w:pPr>
            <w:r>
              <w:rPr>
                <w:color w:val="auto"/>
                <w:highlight w:val="none"/>
              </w:rPr>
              <w:t>R3</w:t>
            </w:r>
          </w:p>
        </w:tc>
        <w:tc>
          <w:tcPr>
            <w:tcW w:w="939" w:type="pct"/>
            <w:tcBorders>
              <w:tl2br w:val="nil"/>
              <w:tr2bl w:val="nil"/>
            </w:tcBorders>
            <w:vAlign w:val="center"/>
          </w:tcPr>
          <w:p w14:paraId="337FF40E">
            <w:pPr>
              <w:pStyle w:val="41"/>
              <w:rPr>
                <w:color w:val="auto"/>
                <w:highlight w:val="none"/>
              </w:rPr>
            </w:pPr>
            <w:r>
              <w:rPr>
                <w:color w:val="auto"/>
                <w:highlight w:val="none"/>
              </w:rPr>
              <w:t>一般</w:t>
            </w:r>
          </w:p>
        </w:tc>
      </w:tr>
      <w:tr w14:paraId="714B5F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1639A0E8">
            <w:pPr>
              <w:pStyle w:val="41"/>
              <w:rPr>
                <w:color w:val="auto"/>
                <w:highlight w:val="none"/>
              </w:rPr>
            </w:pPr>
            <w:r>
              <w:rPr>
                <w:color w:val="auto"/>
                <w:highlight w:val="none"/>
              </w:rPr>
              <w:t>22</w:t>
            </w:r>
          </w:p>
        </w:tc>
        <w:tc>
          <w:tcPr>
            <w:tcW w:w="1119" w:type="pct"/>
            <w:vMerge w:val="continue"/>
            <w:tcBorders>
              <w:tl2br w:val="nil"/>
              <w:tr2bl w:val="nil"/>
            </w:tcBorders>
            <w:vAlign w:val="center"/>
          </w:tcPr>
          <w:p w14:paraId="3BDEAA1D">
            <w:pPr>
              <w:pStyle w:val="41"/>
              <w:rPr>
                <w:color w:val="auto"/>
                <w:highlight w:val="none"/>
              </w:rPr>
            </w:pPr>
          </w:p>
        </w:tc>
        <w:tc>
          <w:tcPr>
            <w:tcW w:w="1286" w:type="pct"/>
            <w:vMerge w:val="restart"/>
            <w:tcBorders>
              <w:tl2br w:val="nil"/>
              <w:tr2bl w:val="nil"/>
            </w:tcBorders>
            <w:vAlign w:val="center"/>
          </w:tcPr>
          <w:p w14:paraId="6830FF76">
            <w:pPr>
              <w:pStyle w:val="41"/>
              <w:rPr>
                <w:color w:val="auto"/>
                <w:highlight w:val="none"/>
              </w:rPr>
            </w:pPr>
            <w:r>
              <w:rPr>
                <w:color w:val="auto"/>
                <w:highlight w:val="none"/>
              </w:rPr>
              <w:t>S2</w:t>
            </w:r>
          </w:p>
        </w:tc>
        <w:tc>
          <w:tcPr>
            <w:tcW w:w="1243" w:type="pct"/>
            <w:tcBorders>
              <w:tl2br w:val="nil"/>
              <w:tr2bl w:val="nil"/>
            </w:tcBorders>
            <w:vAlign w:val="center"/>
          </w:tcPr>
          <w:p w14:paraId="3AC54568">
            <w:pPr>
              <w:pStyle w:val="41"/>
              <w:rPr>
                <w:color w:val="auto"/>
                <w:highlight w:val="none"/>
              </w:rPr>
            </w:pPr>
            <w:r>
              <w:rPr>
                <w:color w:val="auto"/>
                <w:highlight w:val="none"/>
              </w:rPr>
              <w:t>R1</w:t>
            </w:r>
          </w:p>
        </w:tc>
        <w:tc>
          <w:tcPr>
            <w:tcW w:w="939" w:type="pct"/>
            <w:tcBorders>
              <w:tl2br w:val="nil"/>
              <w:tr2bl w:val="nil"/>
            </w:tcBorders>
            <w:vAlign w:val="center"/>
          </w:tcPr>
          <w:p w14:paraId="3D048411">
            <w:pPr>
              <w:pStyle w:val="41"/>
              <w:rPr>
                <w:color w:val="auto"/>
                <w:highlight w:val="none"/>
              </w:rPr>
            </w:pPr>
            <w:r>
              <w:rPr>
                <w:color w:val="auto"/>
                <w:highlight w:val="none"/>
              </w:rPr>
              <w:t>一般</w:t>
            </w:r>
          </w:p>
        </w:tc>
      </w:tr>
      <w:tr w14:paraId="0C3E05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739AF3AE">
            <w:pPr>
              <w:pStyle w:val="41"/>
              <w:rPr>
                <w:color w:val="auto"/>
                <w:highlight w:val="none"/>
              </w:rPr>
            </w:pPr>
            <w:r>
              <w:rPr>
                <w:color w:val="auto"/>
                <w:highlight w:val="none"/>
              </w:rPr>
              <w:t>23</w:t>
            </w:r>
          </w:p>
        </w:tc>
        <w:tc>
          <w:tcPr>
            <w:tcW w:w="1119" w:type="pct"/>
            <w:vMerge w:val="continue"/>
            <w:tcBorders>
              <w:tl2br w:val="nil"/>
              <w:tr2bl w:val="nil"/>
            </w:tcBorders>
            <w:vAlign w:val="center"/>
          </w:tcPr>
          <w:p w14:paraId="1A83601C">
            <w:pPr>
              <w:pStyle w:val="41"/>
              <w:rPr>
                <w:color w:val="auto"/>
                <w:highlight w:val="none"/>
              </w:rPr>
            </w:pPr>
          </w:p>
        </w:tc>
        <w:tc>
          <w:tcPr>
            <w:tcW w:w="1286" w:type="pct"/>
            <w:vMerge w:val="continue"/>
            <w:tcBorders>
              <w:tl2br w:val="nil"/>
              <w:tr2bl w:val="nil"/>
            </w:tcBorders>
            <w:vAlign w:val="center"/>
          </w:tcPr>
          <w:p w14:paraId="3D0ADC6D">
            <w:pPr>
              <w:pStyle w:val="41"/>
              <w:rPr>
                <w:color w:val="auto"/>
                <w:highlight w:val="none"/>
              </w:rPr>
            </w:pPr>
          </w:p>
        </w:tc>
        <w:tc>
          <w:tcPr>
            <w:tcW w:w="1243" w:type="pct"/>
            <w:tcBorders>
              <w:tl2br w:val="nil"/>
              <w:tr2bl w:val="nil"/>
            </w:tcBorders>
            <w:vAlign w:val="center"/>
          </w:tcPr>
          <w:p w14:paraId="64B71BA9">
            <w:pPr>
              <w:pStyle w:val="41"/>
              <w:rPr>
                <w:color w:val="auto"/>
                <w:highlight w:val="none"/>
              </w:rPr>
            </w:pPr>
            <w:r>
              <w:rPr>
                <w:color w:val="auto"/>
                <w:highlight w:val="none"/>
              </w:rPr>
              <w:t>R2</w:t>
            </w:r>
          </w:p>
        </w:tc>
        <w:tc>
          <w:tcPr>
            <w:tcW w:w="939" w:type="pct"/>
            <w:tcBorders>
              <w:tl2br w:val="nil"/>
              <w:tr2bl w:val="nil"/>
            </w:tcBorders>
            <w:vAlign w:val="center"/>
          </w:tcPr>
          <w:p w14:paraId="5FAD08F8">
            <w:pPr>
              <w:pStyle w:val="41"/>
              <w:rPr>
                <w:color w:val="auto"/>
                <w:highlight w:val="none"/>
              </w:rPr>
            </w:pPr>
            <w:r>
              <w:rPr>
                <w:color w:val="auto"/>
                <w:highlight w:val="none"/>
              </w:rPr>
              <w:t>一般</w:t>
            </w:r>
          </w:p>
        </w:tc>
      </w:tr>
      <w:tr w14:paraId="27604E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42653565">
            <w:pPr>
              <w:pStyle w:val="41"/>
              <w:rPr>
                <w:color w:val="auto"/>
                <w:highlight w:val="none"/>
              </w:rPr>
            </w:pPr>
            <w:r>
              <w:rPr>
                <w:color w:val="auto"/>
                <w:highlight w:val="none"/>
              </w:rPr>
              <w:t>24</w:t>
            </w:r>
          </w:p>
        </w:tc>
        <w:tc>
          <w:tcPr>
            <w:tcW w:w="1119" w:type="pct"/>
            <w:vMerge w:val="continue"/>
            <w:tcBorders>
              <w:tl2br w:val="nil"/>
              <w:tr2bl w:val="nil"/>
            </w:tcBorders>
            <w:vAlign w:val="center"/>
          </w:tcPr>
          <w:p w14:paraId="3FBE4B3E">
            <w:pPr>
              <w:pStyle w:val="41"/>
              <w:rPr>
                <w:color w:val="auto"/>
                <w:highlight w:val="none"/>
              </w:rPr>
            </w:pPr>
          </w:p>
        </w:tc>
        <w:tc>
          <w:tcPr>
            <w:tcW w:w="1286" w:type="pct"/>
            <w:vMerge w:val="continue"/>
            <w:tcBorders>
              <w:tl2br w:val="nil"/>
              <w:tr2bl w:val="nil"/>
            </w:tcBorders>
            <w:vAlign w:val="center"/>
          </w:tcPr>
          <w:p w14:paraId="0259646A">
            <w:pPr>
              <w:pStyle w:val="41"/>
              <w:rPr>
                <w:color w:val="auto"/>
                <w:highlight w:val="none"/>
              </w:rPr>
            </w:pPr>
          </w:p>
        </w:tc>
        <w:tc>
          <w:tcPr>
            <w:tcW w:w="1243" w:type="pct"/>
            <w:tcBorders>
              <w:tl2br w:val="nil"/>
              <w:tr2bl w:val="nil"/>
            </w:tcBorders>
            <w:vAlign w:val="center"/>
          </w:tcPr>
          <w:p w14:paraId="3A6DF6A6">
            <w:pPr>
              <w:pStyle w:val="41"/>
              <w:rPr>
                <w:color w:val="auto"/>
                <w:highlight w:val="none"/>
              </w:rPr>
            </w:pPr>
            <w:r>
              <w:rPr>
                <w:color w:val="auto"/>
                <w:highlight w:val="none"/>
              </w:rPr>
              <w:t>R3</w:t>
            </w:r>
          </w:p>
        </w:tc>
        <w:tc>
          <w:tcPr>
            <w:tcW w:w="939" w:type="pct"/>
            <w:tcBorders>
              <w:tl2br w:val="nil"/>
              <w:tr2bl w:val="nil"/>
            </w:tcBorders>
            <w:vAlign w:val="center"/>
          </w:tcPr>
          <w:p w14:paraId="279C045E">
            <w:pPr>
              <w:pStyle w:val="41"/>
              <w:rPr>
                <w:color w:val="auto"/>
                <w:highlight w:val="none"/>
              </w:rPr>
            </w:pPr>
            <w:r>
              <w:rPr>
                <w:color w:val="auto"/>
                <w:highlight w:val="none"/>
              </w:rPr>
              <w:t>一般</w:t>
            </w:r>
          </w:p>
        </w:tc>
      </w:tr>
      <w:tr w14:paraId="766C8F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34A71816">
            <w:pPr>
              <w:pStyle w:val="41"/>
              <w:rPr>
                <w:color w:val="auto"/>
                <w:highlight w:val="none"/>
              </w:rPr>
            </w:pPr>
            <w:r>
              <w:rPr>
                <w:color w:val="auto"/>
                <w:highlight w:val="none"/>
              </w:rPr>
              <w:t>25</w:t>
            </w:r>
          </w:p>
        </w:tc>
        <w:tc>
          <w:tcPr>
            <w:tcW w:w="1119" w:type="pct"/>
            <w:vMerge w:val="continue"/>
            <w:tcBorders>
              <w:tl2br w:val="nil"/>
              <w:tr2bl w:val="nil"/>
            </w:tcBorders>
            <w:vAlign w:val="center"/>
          </w:tcPr>
          <w:p w14:paraId="0953E33B">
            <w:pPr>
              <w:pStyle w:val="41"/>
              <w:rPr>
                <w:color w:val="auto"/>
                <w:highlight w:val="none"/>
              </w:rPr>
            </w:pPr>
          </w:p>
        </w:tc>
        <w:tc>
          <w:tcPr>
            <w:tcW w:w="1286" w:type="pct"/>
            <w:vMerge w:val="restart"/>
            <w:tcBorders>
              <w:tl2br w:val="nil"/>
              <w:tr2bl w:val="nil"/>
            </w:tcBorders>
            <w:vAlign w:val="center"/>
          </w:tcPr>
          <w:p w14:paraId="7240FCBD">
            <w:pPr>
              <w:pStyle w:val="41"/>
              <w:rPr>
                <w:color w:val="auto"/>
                <w:highlight w:val="none"/>
              </w:rPr>
            </w:pPr>
            <w:r>
              <w:rPr>
                <w:color w:val="auto"/>
                <w:highlight w:val="none"/>
              </w:rPr>
              <w:t>S3</w:t>
            </w:r>
          </w:p>
        </w:tc>
        <w:tc>
          <w:tcPr>
            <w:tcW w:w="1243" w:type="pct"/>
            <w:tcBorders>
              <w:tl2br w:val="nil"/>
              <w:tr2bl w:val="nil"/>
            </w:tcBorders>
            <w:vAlign w:val="center"/>
          </w:tcPr>
          <w:p w14:paraId="422CC23D">
            <w:pPr>
              <w:pStyle w:val="41"/>
              <w:rPr>
                <w:color w:val="auto"/>
                <w:highlight w:val="none"/>
              </w:rPr>
            </w:pPr>
            <w:r>
              <w:rPr>
                <w:color w:val="auto"/>
                <w:highlight w:val="none"/>
              </w:rPr>
              <w:t>R1</w:t>
            </w:r>
          </w:p>
        </w:tc>
        <w:tc>
          <w:tcPr>
            <w:tcW w:w="939" w:type="pct"/>
            <w:tcBorders>
              <w:tl2br w:val="nil"/>
              <w:tr2bl w:val="nil"/>
            </w:tcBorders>
            <w:vAlign w:val="center"/>
          </w:tcPr>
          <w:p w14:paraId="4A24876F">
            <w:pPr>
              <w:pStyle w:val="41"/>
              <w:rPr>
                <w:color w:val="auto"/>
                <w:highlight w:val="none"/>
              </w:rPr>
            </w:pPr>
            <w:r>
              <w:rPr>
                <w:color w:val="auto"/>
                <w:highlight w:val="none"/>
              </w:rPr>
              <w:t>一般</w:t>
            </w:r>
          </w:p>
        </w:tc>
      </w:tr>
      <w:tr w14:paraId="1D3402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3DB7FA5A">
            <w:pPr>
              <w:pStyle w:val="41"/>
              <w:rPr>
                <w:color w:val="auto"/>
                <w:highlight w:val="none"/>
              </w:rPr>
            </w:pPr>
            <w:r>
              <w:rPr>
                <w:color w:val="auto"/>
                <w:highlight w:val="none"/>
              </w:rPr>
              <w:t>26</w:t>
            </w:r>
          </w:p>
        </w:tc>
        <w:tc>
          <w:tcPr>
            <w:tcW w:w="1119" w:type="pct"/>
            <w:vMerge w:val="continue"/>
            <w:tcBorders>
              <w:tl2br w:val="nil"/>
              <w:tr2bl w:val="nil"/>
            </w:tcBorders>
            <w:vAlign w:val="center"/>
          </w:tcPr>
          <w:p w14:paraId="560C1D72">
            <w:pPr>
              <w:pStyle w:val="41"/>
              <w:rPr>
                <w:color w:val="auto"/>
                <w:highlight w:val="none"/>
              </w:rPr>
            </w:pPr>
          </w:p>
        </w:tc>
        <w:tc>
          <w:tcPr>
            <w:tcW w:w="1286" w:type="pct"/>
            <w:vMerge w:val="continue"/>
            <w:tcBorders>
              <w:tl2br w:val="nil"/>
              <w:tr2bl w:val="nil"/>
            </w:tcBorders>
            <w:vAlign w:val="center"/>
          </w:tcPr>
          <w:p w14:paraId="29D27495">
            <w:pPr>
              <w:pStyle w:val="41"/>
              <w:rPr>
                <w:color w:val="auto"/>
                <w:highlight w:val="none"/>
              </w:rPr>
            </w:pPr>
          </w:p>
        </w:tc>
        <w:tc>
          <w:tcPr>
            <w:tcW w:w="1243" w:type="pct"/>
            <w:tcBorders>
              <w:tl2br w:val="nil"/>
              <w:tr2bl w:val="nil"/>
            </w:tcBorders>
            <w:vAlign w:val="center"/>
          </w:tcPr>
          <w:p w14:paraId="09CF4DA0">
            <w:pPr>
              <w:pStyle w:val="41"/>
              <w:rPr>
                <w:color w:val="auto"/>
                <w:highlight w:val="none"/>
              </w:rPr>
            </w:pPr>
            <w:r>
              <w:rPr>
                <w:color w:val="auto"/>
                <w:highlight w:val="none"/>
              </w:rPr>
              <w:t>R2</w:t>
            </w:r>
          </w:p>
        </w:tc>
        <w:tc>
          <w:tcPr>
            <w:tcW w:w="939" w:type="pct"/>
            <w:tcBorders>
              <w:tl2br w:val="nil"/>
              <w:tr2bl w:val="nil"/>
            </w:tcBorders>
            <w:vAlign w:val="center"/>
          </w:tcPr>
          <w:p w14:paraId="70E1B044">
            <w:pPr>
              <w:pStyle w:val="41"/>
              <w:rPr>
                <w:color w:val="auto"/>
                <w:highlight w:val="none"/>
              </w:rPr>
            </w:pPr>
            <w:r>
              <w:rPr>
                <w:color w:val="auto"/>
                <w:highlight w:val="none"/>
              </w:rPr>
              <w:t>一般</w:t>
            </w:r>
          </w:p>
        </w:tc>
      </w:tr>
      <w:tr w14:paraId="57C164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2" w:type="pct"/>
            <w:tcBorders>
              <w:tl2br w:val="nil"/>
              <w:tr2bl w:val="nil"/>
            </w:tcBorders>
            <w:vAlign w:val="center"/>
          </w:tcPr>
          <w:p w14:paraId="6F6169C1">
            <w:pPr>
              <w:pStyle w:val="41"/>
              <w:rPr>
                <w:color w:val="auto"/>
                <w:highlight w:val="none"/>
              </w:rPr>
            </w:pPr>
            <w:r>
              <w:rPr>
                <w:color w:val="auto"/>
                <w:highlight w:val="none"/>
              </w:rPr>
              <w:t>27</w:t>
            </w:r>
          </w:p>
        </w:tc>
        <w:tc>
          <w:tcPr>
            <w:tcW w:w="1119" w:type="pct"/>
            <w:vMerge w:val="continue"/>
            <w:tcBorders>
              <w:tl2br w:val="nil"/>
              <w:tr2bl w:val="nil"/>
            </w:tcBorders>
            <w:vAlign w:val="center"/>
          </w:tcPr>
          <w:p w14:paraId="072316A4">
            <w:pPr>
              <w:pStyle w:val="41"/>
              <w:rPr>
                <w:color w:val="auto"/>
                <w:highlight w:val="none"/>
              </w:rPr>
            </w:pPr>
          </w:p>
        </w:tc>
        <w:tc>
          <w:tcPr>
            <w:tcW w:w="1286" w:type="pct"/>
            <w:vMerge w:val="continue"/>
            <w:tcBorders>
              <w:tl2br w:val="nil"/>
              <w:tr2bl w:val="nil"/>
            </w:tcBorders>
            <w:vAlign w:val="center"/>
          </w:tcPr>
          <w:p w14:paraId="68283910">
            <w:pPr>
              <w:pStyle w:val="41"/>
              <w:rPr>
                <w:color w:val="auto"/>
                <w:highlight w:val="none"/>
              </w:rPr>
            </w:pPr>
          </w:p>
        </w:tc>
        <w:tc>
          <w:tcPr>
            <w:tcW w:w="1243" w:type="pct"/>
            <w:tcBorders>
              <w:tl2br w:val="nil"/>
              <w:tr2bl w:val="nil"/>
            </w:tcBorders>
            <w:vAlign w:val="center"/>
          </w:tcPr>
          <w:p w14:paraId="6A221073">
            <w:pPr>
              <w:pStyle w:val="41"/>
              <w:rPr>
                <w:color w:val="auto"/>
                <w:highlight w:val="none"/>
              </w:rPr>
            </w:pPr>
            <w:r>
              <w:rPr>
                <w:color w:val="auto"/>
                <w:highlight w:val="none"/>
              </w:rPr>
              <w:t>R3</w:t>
            </w:r>
          </w:p>
        </w:tc>
        <w:tc>
          <w:tcPr>
            <w:tcW w:w="939" w:type="pct"/>
            <w:tcBorders>
              <w:tl2br w:val="nil"/>
              <w:tr2bl w:val="nil"/>
            </w:tcBorders>
            <w:vAlign w:val="center"/>
          </w:tcPr>
          <w:p w14:paraId="37DDEC5C">
            <w:pPr>
              <w:pStyle w:val="41"/>
              <w:rPr>
                <w:color w:val="auto"/>
                <w:highlight w:val="none"/>
              </w:rPr>
            </w:pPr>
            <w:r>
              <w:rPr>
                <w:color w:val="auto"/>
                <w:highlight w:val="none"/>
              </w:rPr>
              <w:t>一般</w:t>
            </w:r>
          </w:p>
        </w:tc>
      </w:tr>
    </w:tbl>
    <w:p w14:paraId="3136B617">
      <w:pPr>
        <w:pStyle w:val="3"/>
        <w:ind w:firstLine="480"/>
        <w:rPr>
          <w:color w:val="auto"/>
          <w:highlight w:val="none"/>
        </w:rPr>
      </w:pPr>
      <w:r>
        <w:rPr>
          <w:rFonts w:hint="eastAsia"/>
          <w:color w:val="auto"/>
          <w:highlight w:val="none"/>
        </w:rPr>
        <w:t>根据以上判定，结合《尾矿库环境风险评估技术导则（试行）》（HJ740-2015）表7中等级划分矩阵，确定本次尾矿库环境风险等级为一般（H2S3R3）。</w:t>
      </w:r>
    </w:p>
    <w:p w14:paraId="1AF459F0">
      <w:pPr>
        <w:pStyle w:val="39"/>
        <w:rPr>
          <w:rFonts w:hint="default"/>
          <w:color w:val="auto"/>
          <w:highlight w:val="none"/>
        </w:rPr>
      </w:pPr>
      <w:bookmarkStart w:id="412" w:name="_Toc31346"/>
      <w:bookmarkStart w:id="413" w:name="_Toc21357"/>
      <w:r>
        <w:rPr>
          <w:rFonts w:hint="default"/>
          <w:color w:val="auto"/>
          <w:highlight w:val="none"/>
        </w:rPr>
        <w:t>环境风险识别</w:t>
      </w:r>
      <w:bookmarkEnd w:id="412"/>
      <w:bookmarkEnd w:id="413"/>
    </w:p>
    <w:p w14:paraId="176AD85A">
      <w:pPr>
        <w:pStyle w:val="3"/>
        <w:ind w:firstLine="480"/>
        <w:rPr>
          <w:color w:val="auto"/>
          <w:highlight w:val="none"/>
        </w:rPr>
      </w:pPr>
      <w:r>
        <w:rPr>
          <w:color w:val="auto"/>
          <w:highlight w:val="none"/>
        </w:rPr>
        <w:t>本项目属选矿加工建设项目，涉及</w:t>
      </w:r>
      <w:r>
        <w:rPr>
          <w:rFonts w:hint="eastAsia"/>
          <w:color w:val="auto"/>
          <w:highlight w:val="none"/>
          <w:lang w:val="en-US" w:eastAsia="zh-CN"/>
        </w:rPr>
        <w:t>润滑油等</w:t>
      </w:r>
      <w:r>
        <w:rPr>
          <w:color w:val="auto"/>
          <w:highlight w:val="none"/>
        </w:rPr>
        <w:t>易燃物质，同时涉及较多生产单元及尾矿库，各生产单元的潜在危险因素和潜在危害程度也不同。因此，对各生产单元的危险因素进行识别。</w:t>
      </w:r>
    </w:p>
    <w:p w14:paraId="014B5715">
      <w:pPr>
        <w:pStyle w:val="40"/>
        <w:rPr>
          <w:color w:val="auto"/>
          <w:highlight w:val="none"/>
        </w:rPr>
      </w:pPr>
      <w:r>
        <w:rPr>
          <w:color w:val="auto"/>
          <w:highlight w:val="none"/>
          <w:lang w:val="zh-CN"/>
        </w:rPr>
        <w:t>表</w:t>
      </w:r>
      <w:r>
        <w:rPr>
          <w:color w:val="auto"/>
          <w:highlight w:val="none"/>
        </w:rPr>
        <w:t>6.</w:t>
      </w:r>
      <w:r>
        <w:rPr>
          <w:rFonts w:hint="eastAsia"/>
          <w:color w:val="auto"/>
          <w:highlight w:val="none"/>
        </w:rPr>
        <w:t>5</w:t>
      </w:r>
      <w:r>
        <w:rPr>
          <w:color w:val="auto"/>
          <w:highlight w:val="none"/>
        </w:rPr>
        <w:t>-1</w:t>
      </w:r>
      <w:r>
        <w:rPr>
          <w:color w:val="auto"/>
          <w:highlight w:val="none"/>
          <w:lang w:val="zh-CN"/>
        </w:rPr>
        <w:t xml:space="preserve"> </w:t>
      </w:r>
      <w:r>
        <w:rPr>
          <w:color w:val="auto"/>
          <w:highlight w:val="none"/>
        </w:rPr>
        <w:t xml:space="preserve">  </w:t>
      </w:r>
      <w:r>
        <w:rPr>
          <w:color w:val="auto"/>
          <w:highlight w:val="none"/>
          <w:lang w:val="zh-CN"/>
        </w:rPr>
        <w:t xml:space="preserve">  本项目生产各作业场所的危险有害因素分布</w:t>
      </w:r>
    </w:p>
    <w:tbl>
      <w:tblPr>
        <w:tblStyle w:val="45"/>
        <w:tblW w:w="8336"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02"/>
        <w:gridCol w:w="1178"/>
        <w:gridCol w:w="964"/>
        <w:gridCol w:w="5692"/>
      </w:tblGrid>
      <w:tr w14:paraId="17E673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 w:hRule="atLeast"/>
          <w:jc w:val="center"/>
        </w:trPr>
        <w:tc>
          <w:tcPr>
            <w:tcW w:w="502" w:type="dxa"/>
            <w:tcBorders>
              <w:tl2br w:val="nil"/>
              <w:tr2bl w:val="nil"/>
            </w:tcBorders>
            <w:vAlign w:val="center"/>
          </w:tcPr>
          <w:p w14:paraId="361E9779">
            <w:pPr>
              <w:pStyle w:val="41"/>
              <w:rPr>
                <w:color w:val="auto"/>
                <w:highlight w:val="none"/>
                <w:lang w:eastAsia="en-US"/>
              </w:rPr>
            </w:pPr>
            <w:r>
              <w:rPr>
                <w:color w:val="auto"/>
                <w:highlight w:val="none"/>
                <w:lang w:eastAsia="en-US"/>
              </w:rPr>
              <w:t>序号</w:t>
            </w:r>
          </w:p>
        </w:tc>
        <w:tc>
          <w:tcPr>
            <w:tcW w:w="1178" w:type="dxa"/>
            <w:tcBorders>
              <w:tl2br w:val="nil"/>
              <w:tr2bl w:val="nil"/>
            </w:tcBorders>
            <w:vAlign w:val="center"/>
          </w:tcPr>
          <w:p w14:paraId="190596F1">
            <w:pPr>
              <w:pStyle w:val="41"/>
              <w:rPr>
                <w:color w:val="auto"/>
                <w:highlight w:val="none"/>
                <w:lang w:eastAsia="en-US"/>
              </w:rPr>
            </w:pPr>
            <w:r>
              <w:rPr>
                <w:color w:val="auto"/>
                <w:highlight w:val="none"/>
                <w:lang w:eastAsia="en-US"/>
              </w:rPr>
              <w:t>风险单元</w:t>
            </w:r>
          </w:p>
        </w:tc>
        <w:tc>
          <w:tcPr>
            <w:tcW w:w="964" w:type="dxa"/>
            <w:tcBorders>
              <w:tl2br w:val="nil"/>
              <w:tr2bl w:val="nil"/>
            </w:tcBorders>
            <w:vAlign w:val="center"/>
          </w:tcPr>
          <w:p w14:paraId="2A1DD69A">
            <w:pPr>
              <w:pStyle w:val="41"/>
              <w:rPr>
                <w:color w:val="auto"/>
                <w:highlight w:val="none"/>
                <w:lang w:eastAsia="en-US"/>
              </w:rPr>
            </w:pPr>
            <w:r>
              <w:rPr>
                <w:color w:val="auto"/>
                <w:highlight w:val="none"/>
                <w:lang w:eastAsia="en-US"/>
              </w:rPr>
              <w:t>事故类型</w:t>
            </w:r>
          </w:p>
        </w:tc>
        <w:tc>
          <w:tcPr>
            <w:tcW w:w="5692" w:type="dxa"/>
            <w:tcBorders>
              <w:tl2br w:val="nil"/>
              <w:tr2bl w:val="nil"/>
            </w:tcBorders>
            <w:vAlign w:val="center"/>
          </w:tcPr>
          <w:p w14:paraId="309C958C">
            <w:pPr>
              <w:pStyle w:val="41"/>
              <w:rPr>
                <w:color w:val="auto"/>
                <w:highlight w:val="none"/>
              </w:rPr>
            </w:pPr>
            <w:r>
              <w:rPr>
                <w:color w:val="auto"/>
                <w:highlight w:val="none"/>
              </w:rPr>
              <w:t>次生、衍生厂外环境污染</w:t>
            </w:r>
          </w:p>
        </w:tc>
      </w:tr>
      <w:tr w14:paraId="221539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 w:hRule="atLeast"/>
          <w:jc w:val="center"/>
        </w:trPr>
        <w:tc>
          <w:tcPr>
            <w:tcW w:w="502" w:type="dxa"/>
            <w:vMerge w:val="restart"/>
            <w:tcBorders>
              <w:tl2br w:val="nil"/>
              <w:tr2bl w:val="nil"/>
            </w:tcBorders>
            <w:vAlign w:val="center"/>
          </w:tcPr>
          <w:p w14:paraId="4A7DBB28">
            <w:pPr>
              <w:pStyle w:val="41"/>
              <w:rPr>
                <w:color w:val="auto"/>
                <w:highlight w:val="none"/>
              </w:rPr>
            </w:pPr>
            <w:r>
              <w:rPr>
                <w:rFonts w:hint="eastAsia"/>
                <w:color w:val="auto"/>
                <w:highlight w:val="none"/>
              </w:rPr>
              <w:t>1</w:t>
            </w:r>
          </w:p>
        </w:tc>
        <w:tc>
          <w:tcPr>
            <w:tcW w:w="1178" w:type="dxa"/>
            <w:vMerge w:val="restart"/>
            <w:tcBorders>
              <w:tl2br w:val="nil"/>
              <w:tr2bl w:val="nil"/>
            </w:tcBorders>
            <w:vAlign w:val="center"/>
          </w:tcPr>
          <w:p w14:paraId="3CEBD93F">
            <w:pPr>
              <w:pStyle w:val="41"/>
              <w:rPr>
                <w:color w:val="auto"/>
                <w:highlight w:val="none"/>
              </w:rPr>
            </w:pPr>
            <w:r>
              <w:rPr>
                <w:rFonts w:hint="eastAsia"/>
                <w:color w:val="auto"/>
                <w:highlight w:val="none"/>
              </w:rPr>
              <w:t>危废暂存场所</w:t>
            </w:r>
          </w:p>
        </w:tc>
        <w:tc>
          <w:tcPr>
            <w:tcW w:w="964" w:type="dxa"/>
            <w:tcBorders>
              <w:tl2br w:val="nil"/>
              <w:tr2bl w:val="nil"/>
            </w:tcBorders>
            <w:vAlign w:val="center"/>
          </w:tcPr>
          <w:p w14:paraId="33D659D7">
            <w:pPr>
              <w:pStyle w:val="41"/>
              <w:rPr>
                <w:color w:val="auto"/>
                <w:highlight w:val="none"/>
                <w:lang w:eastAsia="en-US"/>
              </w:rPr>
            </w:pPr>
            <w:r>
              <w:rPr>
                <w:color w:val="auto"/>
                <w:highlight w:val="none"/>
                <w:lang w:eastAsia="en-US"/>
              </w:rPr>
              <w:t>泄漏</w:t>
            </w:r>
          </w:p>
        </w:tc>
        <w:tc>
          <w:tcPr>
            <w:tcW w:w="5692" w:type="dxa"/>
            <w:tcBorders>
              <w:tl2br w:val="nil"/>
              <w:tr2bl w:val="nil"/>
            </w:tcBorders>
            <w:vAlign w:val="center"/>
          </w:tcPr>
          <w:p w14:paraId="7437DE38">
            <w:pPr>
              <w:pStyle w:val="41"/>
              <w:rPr>
                <w:color w:val="auto"/>
                <w:highlight w:val="none"/>
              </w:rPr>
            </w:pPr>
            <w:r>
              <w:rPr>
                <w:color w:val="auto"/>
                <w:highlight w:val="none"/>
              </w:rPr>
              <w:t>泄漏/撒漏危险废物收集处置措施不当，直接外排，污染地表水；泄漏/撒漏危险废物收集处置措施不当，流入土壤，污染土壤及地下水；用于收集吸附泄漏/撒漏危险废物的吸收吸附材料后期处理处置不当，污染环境；洗消液被泄漏/撒漏危险废物污染的地面过程中产生的洗消废水直接外排，污染地表水；洗消被泄漏/撒漏危险废物污染的地面过程中产生的洗消废水流入土壤，污染土壤及地下水。</w:t>
            </w:r>
          </w:p>
        </w:tc>
      </w:tr>
      <w:tr w14:paraId="4886BE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 w:hRule="atLeast"/>
          <w:jc w:val="center"/>
        </w:trPr>
        <w:tc>
          <w:tcPr>
            <w:tcW w:w="502" w:type="dxa"/>
            <w:vMerge w:val="continue"/>
            <w:tcBorders>
              <w:tl2br w:val="nil"/>
              <w:tr2bl w:val="nil"/>
            </w:tcBorders>
            <w:vAlign w:val="center"/>
          </w:tcPr>
          <w:p w14:paraId="6E9BFAD2">
            <w:pPr>
              <w:pStyle w:val="41"/>
              <w:rPr>
                <w:color w:val="auto"/>
                <w:highlight w:val="none"/>
              </w:rPr>
            </w:pPr>
          </w:p>
        </w:tc>
        <w:tc>
          <w:tcPr>
            <w:tcW w:w="1178" w:type="dxa"/>
            <w:vMerge w:val="continue"/>
            <w:tcBorders>
              <w:tl2br w:val="nil"/>
              <w:tr2bl w:val="nil"/>
            </w:tcBorders>
            <w:vAlign w:val="center"/>
          </w:tcPr>
          <w:p w14:paraId="0C4F572B">
            <w:pPr>
              <w:pStyle w:val="41"/>
              <w:rPr>
                <w:color w:val="auto"/>
                <w:highlight w:val="none"/>
              </w:rPr>
            </w:pPr>
          </w:p>
        </w:tc>
        <w:tc>
          <w:tcPr>
            <w:tcW w:w="964" w:type="dxa"/>
            <w:tcBorders>
              <w:tl2br w:val="nil"/>
              <w:tr2bl w:val="nil"/>
            </w:tcBorders>
            <w:vAlign w:val="center"/>
          </w:tcPr>
          <w:p w14:paraId="659E1A30">
            <w:pPr>
              <w:pStyle w:val="41"/>
              <w:rPr>
                <w:color w:val="auto"/>
                <w:highlight w:val="none"/>
                <w:lang w:eastAsia="en-US"/>
              </w:rPr>
            </w:pPr>
            <w:r>
              <w:rPr>
                <w:color w:val="auto"/>
                <w:highlight w:val="none"/>
                <w:lang w:eastAsia="en-US"/>
              </w:rPr>
              <w:t>火灾</w:t>
            </w:r>
          </w:p>
        </w:tc>
        <w:tc>
          <w:tcPr>
            <w:tcW w:w="5692" w:type="dxa"/>
            <w:tcBorders>
              <w:tl2br w:val="nil"/>
              <w:tr2bl w:val="nil"/>
            </w:tcBorders>
            <w:vAlign w:val="center"/>
          </w:tcPr>
          <w:p w14:paraId="39E5F6BF">
            <w:pPr>
              <w:pStyle w:val="41"/>
              <w:rPr>
                <w:color w:val="auto"/>
                <w:highlight w:val="none"/>
              </w:rPr>
            </w:pPr>
            <w:r>
              <w:rPr>
                <w:color w:val="auto"/>
                <w:highlight w:val="none"/>
              </w:rPr>
              <w:t>危废燃烧产生的烟尘、一氧化碳等污染物污染周围大气环境；危废燃烧消防过程中产生的消防废水处置不当，直接外排，污染地表水；危废燃烧消防过程中产生的消防废水处置不当，流入土壤，污染土壤及地下水。</w:t>
            </w:r>
          </w:p>
        </w:tc>
      </w:tr>
      <w:tr w14:paraId="7233E1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 w:hRule="atLeast"/>
          <w:jc w:val="center"/>
        </w:trPr>
        <w:tc>
          <w:tcPr>
            <w:tcW w:w="502" w:type="dxa"/>
            <w:vMerge w:val="continue"/>
            <w:tcBorders>
              <w:tl2br w:val="nil"/>
              <w:tr2bl w:val="nil"/>
            </w:tcBorders>
            <w:vAlign w:val="center"/>
          </w:tcPr>
          <w:p w14:paraId="6FBB06E2">
            <w:pPr>
              <w:pStyle w:val="41"/>
              <w:rPr>
                <w:color w:val="auto"/>
                <w:highlight w:val="none"/>
              </w:rPr>
            </w:pPr>
          </w:p>
        </w:tc>
        <w:tc>
          <w:tcPr>
            <w:tcW w:w="1178" w:type="dxa"/>
            <w:vMerge w:val="continue"/>
            <w:tcBorders>
              <w:tl2br w:val="nil"/>
              <w:tr2bl w:val="nil"/>
            </w:tcBorders>
            <w:vAlign w:val="center"/>
          </w:tcPr>
          <w:p w14:paraId="13238D2A">
            <w:pPr>
              <w:pStyle w:val="41"/>
              <w:rPr>
                <w:color w:val="auto"/>
                <w:highlight w:val="none"/>
              </w:rPr>
            </w:pPr>
          </w:p>
        </w:tc>
        <w:tc>
          <w:tcPr>
            <w:tcW w:w="964" w:type="dxa"/>
            <w:tcBorders>
              <w:tl2br w:val="nil"/>
              <w:tr2bl w:val="nil"/>
            </w:tcBorders>
            <w:vAlign w:val="center"/>
          </w:tcPr>
          <w:p w14:paraId="4E33EBDC">
            <w:pPr>
              <w:pStyle w:val="41"/>
              <w:rPr>
                <w:color w:val="auto"/>
                <w:highlight w:val="none"/>
                <w:lang w:eastAsia="en-US"/>
              </w:rPr>
            </w:pPr>
            <w:r>
              <w:rPr>
                <w:color w:val="auto"/>
                <w:highlight w:val="none"/>
                <w:lang w:eastAsia="en-US"/>
              </w:rPr>
              <w:t>爆炸</w:t>
            </w:r>
          </w:p>
        </w:tc>
        <w:tc>
          <w:tcPr>
            <w:tcW w:w="5692" w:type="dxa"/>
            <w:tcBorders>
              <w:tl2br w:val="nil"/>
              <w:tr2bl w:val="nil"/>
            </w:tcBorders>
            <w:vAlign w:val="center"/>
          </w:tcPr>
          <w:p w14:paraId="406B2813">
            <w:pPr>
              <w:pStyle w:val="41"/>
              <w:rPr>
                <w:color w:val="auto"/>
                <w:highlight w:val="none"/>
              </w:rPr>
            </w:pPr>
            <w:r>
              <w:rPr>
                <w:color w:val="auto"/>
                <w:highlight w:val="none"/>
              </w:rPr>
              <w:t>危废燃烧产生的烟尘、一氧化碳等污染物污染周围大气环境；危废燃烧消防过程中产生的消防废水处置不当，直接外排，污染地表水；危废燃烧消防过程中产生的消防废水处置不当，流入土壤，污染土壤及地下水。</w:t>
            </w:r>
          </w:p>
        </w:tc>
      </w:tr>
      <w:tr w14:paraId="7BCF96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 w:hRule="atLeast"/>
          <w:jc w:val="center"/>
        </w:trPr>
        <w:tc>
          <w:tcPr>
            <w:tcW w:w="502" w:type="dxa"/>
            <w:tcBorders>
              <w:tl2br w:val="nil"/>
              <w:tr2bl w:val="nil"/>
            </w:tcBorders>
            <w:vAlign w:val="center"/>
          </w:tcPr>
          <w:p w14:paraId="2FAFF08D">
            <w:pPr>
              <w:pStyle w:val="41"/>
              <w:rPr>
                <w:color w:val="auto"/>
                <w:highlight w:val="none"/>
              </w:rPr>
            </w:pPr>
            <w:r>
              <w:rPr>
                <w:rFonts w:hint="eastAsia"/>
                <w:color w:val="auto"/>
                <w:highlight w:val="none"/>
              </w:rPr>
              <w:t>2</w:t>
            </w:r>
          </w:p>
        </w:tc>
        <w:tc>
          <w:tcPr>
            <w:tcW w:w="1178" w:type="dxa"/>
            <w:tcBorders>
              <w:tl2br w:val="nil"/>
              <w:tr2bl w:val="nil"/>
            </w:tcBorders>
            <w:vAlign w:val="center"/>
          </w:tcPr>
          <w:p w14:paraId="08097CF1">
            <w:pPr>
              <w:pStyle w:val="41"/>
              <w:rPr>
                <w:color w:val="auto"/>
                <w:highlight w:val="none"/>
                <w:lang w:eastAsia="en-US"/>
              </w:rPr>
            </w:pPr>
            <w:r>
              <w:rPr>
                <w:color w:val="auto"/>
                <w:highlight w:val="none"/>
              </w:rPr>
              <w:t>布袋除尘器</w:t>
            </w:r>
          </w:p>
        </w:tc>
        <w:tc>
          <w:tcPr>
            <w:tcW w:w="964" w:type="dxa"/>
            <w:tcBorders>
              <w:tl2br w:val="nil"/>
              <w:tr2bl w:val="nil"/>
            </w:tcBorders>
            <w:vAlign w:val="center"/>
          </w:tcPr>
          <w:p w14:paraId="40DB0EC4">
            <w:pPr>
              <w:pStyle w:val="41"/>
              <w:rPr>
                <w:color w:val="auto"/>
                <w:highlight w:val="none"/>
                <w:lang w:eastAsia="en-US"/>
              </w:rPr>
            </w:pPr>
            <w:r>
              <w:rPr>
                <w:color w:val="auto"/>
                <w:highlight w:val="none"/>
              </w:rPr>
              <w:t>泄漏</w:t>
            </w:r>
          </w:p>
        </w:tc>
        <w:tc>
          <w:tcPr>
            <w:tcW w:w="5692" w:type="dxa"/>
            <w:tcBorders>
              <w:tl2br w:val="nil"/>
              <w:tr2bl w:val="nil"/>
            </w:tcBorders>
            <w:vAlign w:val="center"/>
          </w:tcPr>
          <w:p w14:paraId="31A2E339">
            <w:pPr>
              <w:pStyle w:val="41"/>
              <w:rPr>
                <w:color w:val="auto"/>
                <w:highlight w:val="none"/>
              </w:rPr>
            </w:pPr>
            <w:r>
              <w:rPr>
                <w:color w:val="auto"/>
                <w:highlight w:val="none"/>
              </w:rPr>
              <w:t>因布袋除尘器发生故障，以至于布袋除尘器达</w:t>
            </w:r>
            <w:r>
              <w:rPr>
                <w:rFonts w:hint="eastAsia"/>
                <w:color w:val="auto"/>
                <w:highlight w:val="none"/>
              </w:rPr>
              <w:t>不</w:t>
            </w:r>
            <w:r>
              <w:rPr>
                <w:color w:val="auto"/>
                <w:highlight w:val="none"/>
              </w:rPr>
              <w:t>到设计净化效率，引发颗粒物超标排放，污染项目区及周边环境。</w:t>
            </w:r>
          </w:p>
        </w:tc>
      </w:tr>
      <w:tr w14:paraId="37FA5E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 w:hRule="atLeast"/>
          <w:jc w:val="center"/>
        </w:trPr>
        <w:tc>
          <w:tcPr>
            <w:tcW w:w="502" w:type="dxa"/>
            <w:tcBorders>
              <w:tl2br w:val="nil"/>
              <w:tr2bl w:val="nil"/>
            </w:tcBorders>
            <w:vAlign w:val="center"/>
          </w:tcPr>
          <w:p w14:paraId="2A017482">
            <w:pPr>
              <w:pStyle w:val="41"/>
              <w:rPr>
                <w:color w:val="auto"/>
                <w:highlight w:val="none"/>
                <w:lang w:eastAsia="en-US"/>
              </w:rPr>
            </w:pPr>
            <w:r>
              <w:rPr>
                <w:color w:val="auto"/>
                <w:highlight w:val="none"/>
                <w:lang w:eastAsia="en-US"/>
              </w:rPr>
              <w:t>3</w:t>
            </w:r>
          </w:p>
        </w:tc>
        <w:tc>
          <w:tcPr>
            <w:tcW w:w="1178" w:type="dxa"/>
            <w:tcBorders>
              <w:tl2br w:val="nil"/>
              <w:tr2bl w:val="nil"/>
            </w:tcBorders>
            <w:vAlign w:val="center"/>
          </w:tcPr>
          <w:p w14:paraId="60269ADC">
            <w:pPr>
              <w:pStyle w:val="41"/>
              <w:rPr>
                <w:color w:val="auto"/>
                <w:highlight w:val="none"/>
                <w:lang w:eastAsia="en-US"/>
              </w:rPr>
            </w:pPr>
            <w:r>
              <w:rPr>
                <w:rFonts w:hint="eastAsia"/>
                <w:color w:val="auto"/>
                <w:highlight w:val="none"/>
                <w:lang w:val="en-US" w:eastAsia="zh-CN"/>
              </w:rPr>
              <w:t>尾矿</w:t>
            </w:r>
            <w:r>
              <w:rPr>
                <w:color w:val="auto"/>
                <w:highlight w:val="none"/>
                <w:lang w:eastAsia="en-US"/>
              </w:rPr>
              <w:t>输送系统管道</w:t>
            </w:r>
          </w:p>
        </w:tc>
        <w:tc>
          <w:tcPr>
            <w:tcW w:w="964" w:type="dxa"/>
            <w:tcBorders>
              <w:tl2br w:val="nil"/>
              <w:tr2bl w:val="nil"/>
            </w:tcBorders>
            <w:vAlign w:val="center"/>
          </w:tcPr>
          <w:p w14:paraId="4861CC93">
            <w:pPr>
              <w:pStyle w:val="41"/>
              <w:rPr>
                <w:color w:val="auto"/>
                <w:highlight w:val="none"/>
                <w:lang w:eastAsia="en-US"/>
              </w:rPr>
            </w:pPr>
            <w:r>
              <w:rPr>
                <w:color w:val="auto"/>
                <w:highlight w:val="none"/>
                <w:lang w:eastAsia="en-US"/>
              </w:rPr>
              <w:t>泄漏</w:t>
            </w:r>
          </w:p>
        </w:tc>
        <w:tc>
          <w:tcPr>
            <w:tcW w:w="5692" w:type="dxa"/>
            <w:tcBorders>
              <w:tl2br w:val="nil"/>
              <w:tr2bl w:val="nil"/>
            </w:tcBorders>
            <w:vAlign w:val="center"/>
          </w:tcPr>
          <w:p w14:paraId="27344D46">
            <w:pPr>
              <w:pStyle w:val="41"/>
              <w:rPr>
                <w:color w:val="auto"/>
                <w:highlight w:val="none"/>
              </w:rPr>
            </w:pPr>
            <w:r>
              <w:rPr>
                <w:rFonts w:hint="eastAsia"/>
                <w:color w:val="auto"/>
                <w:highlight w:val="none"/>
                <w:lang w:val="en-US" w:eastAsia="zh-CN"/>
              </w:rPr>
              <w:t>厂内尾矿</w:t>
            </w:r>
            <w:r>
              <w:rPr>
                <w:color w:val="auto"/>
                <w:highlight w:val="none"/>
              </w:rPr>
              <w:t>输送系统管道破裂、接头和阀门损坏易导致污水外溢，污染地下水。</w:t>
            </w:r>
          </w:p>
        </w:tc>
      </w:tr>
      <w:tr w14:paraId="6BE285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 w:hRule="atLeast"/>
          <w:jc w:val="center"/>
        </w:trPr>
        <w:tc>
          <w:tcPr>
            <w:tcW w:w="502" w:type="dxa"/>
            <w:vMerge w:val="restart"/>
            <w:tcBorders>
              <w:tl2br w:val="nil"/>
              <w:tr2bl w:val="nil"/>
            </w:tcBorders>
            <w:vAlign w:val="center"/>
          </w:tcPr>
          <w:p w14:paraId="6FB50BEB">
            <w:pPr>
              <w:pStyle w:val="41"/>
              <w:rPr>
                <w:color w:val="auto"/>
                <w:highlight w:val="none"/>
                <w:lang w:eastAsia="en-US"/>
              </w:rPr>
            </w:pPr>
            <w:r>
              <w:rPr>
                <w:color w:val="auto"/>
                <w:highlight w:val="none"/>
                <w:lang w:eastAsia="en-US"/>
              </w:rPr>
              <w:t>4</w:t>
            </w:r>
          </w:p>
        </w:tc>
        <w:tc>
          <w:tcPr>
            <w:tcW w:w="1178" w:type="dxa"/>
            <w:vMerge w:val="restart"/>
            <w:tcBorders>
              <w:tl2br w:val="nil"/>
              <w:tr2bl w:val="nil"/>
            </w:tcBorders>
            <w:vAlign w:val="center"/>
          </w:tcPr>
          <w:p w14:paraId="233CF0E8">
            <w:pPr>
              <w:pStyle w:val="41"/>
              <w:rPr>
                <w:color w:val="auto"/>
                <w:highlight w:val="none"/>
                <w:lang w:eastAsia="en-US"/>
              </w:rPr>
            </w:pPr>
            <w:r>
              <w:rPr>
                <w:color w:val="auto"/>
                <w:highlight w:val="none"/>
                <w:lang w:eastAsia="en-US"/>
              </w:rPr>
              <w:t>尾矿库</w:t>
            </w:r>
          </w:p>
        </w:tc>
        <w:tc>
          <w:tcPr>
            <w:tcW w:w="964" w:type="dxa"/>
            <w:tcBorders>
              <w:tl2br w:val="nil"/>
              <w:tr2bl w:val="nil"/>
            </w:tcBorders>
            <w:vAlign w:val="center"/>
          </w:tcPr>
          <w:p w14:paraId="09663582">
            <w:pPr>
              <w:pStyle w:val="41"/>
              <w:rPr>
                <w:color w:val="auto"/>
                <w:highlight w:val="none"/>
                <w:lang w:eastAsia="en-US"/>
              </w:rPr>
            </w:pPr>
            <w:r>
              <w:rPr>
                <w:color w:val="auto"/>
                <w:highlight w:val="none"/>
                <w:lang w:eastAsia="en-US"/>
              </w:rPr>
              <w:t>溃坝</w:t>
            </w:r>
          </w:p>
        </w:tc>
        <w:tc>
          <w:tcPr>
            <w:tcW w:w="5692" w:type="dxa"/>
            <w:tcBorders>
              <w:tl2br w:val="nil"/>
              <w:tr2bl w:val="nil"/>
            </w:tcBorders>
            <w:vAlign w:val="center"/>
          </w:tcPr>
          <w:p w14:paraId="0A77A9AB">
            <w:pPr>
              <w:pStyle w:val="41"/>
              <w:rPr>
                <w:color w:val="auto"/>
                <w:highlight w:val="none"/>
              </w:rPr>
            </w:pPr>
            <w:r>
              <w:rPr>
                <w:color w:val="auto"/>
                <w:highlight w:val="none"/>
              </w:rPr>
              <w:t>排水设施堵塞或损坏、坝体裂缝、滑坡、洪水漫顶等导致的溃坝事故，污染地下水，破坏生态环境。</w:t>
            </w:r>
          </w:p>
        </w:tc>
      </w:tr>
      <w:tr w14:paraId="211714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1" w:hRule="atLeast"/>
          <w:jc w:val="center"/>
        </w:trPr>
        <w:tc>
          <w:tcPr>
            <w:tcW w:w="502" w:type="dxa"/>
            <w:vMerge w:val="continue"/>
            <w:tcBorders>
              <w:tl2br w:val="nil"/>
              <w:tr2bl w:val="nil"/>
            </w:tcBorders>
            <w:vAlign w:val="center"/>
          </w:tcPr>
          <w:p w14:paraId="7A1F56AB">
            <w:pPr>
              <w:pStyle w:val="41"/>
              <w:rPr>
                <w:color w:val="auto"/>
                <w:highlight w:val="none"/>
              </w:rPr>
            </w:pPr>
          </w:p>
        </w:tc>
        <w:tc>
          <w:tcPr>
            <w:tcW w:w="1178" w:type="dxa"/>
            <w:vMerge w:val="continue"/>
            <w:tcBorders>
              <w:tl2br w:val="nil"/>
              <w:tr2bl w:val="nil"/>
            </w:tcBorders>
            <w:vAlign w:val="center"/>
          </w:tcPr>
          <w:p w14:paraId="565E031B">
            <w:pPr>
              <w:pStyle w:val="41"/>
              <w:rPr>
                <w:color w:val="auto"/>
                <w:highlight w:val="none"/>
              </w:rPr>
            </w:pPr>
          </w:p>
        </w:tc>
        <w:tc>
          <w:tcPr>
            <w:tcW w:w="964" w:type="dxa"/>
            <w:tcBorders>
              <w:tl2br w:val="nil"/>
              <w:tr2bl w:val="nil"/>
            </w:tcBorders>
            <w:vAlign w:val="center"/>
          </w:tcPr>
          <w:p w14:paraId="56CB7894">
            <w:pPr>
              <w:pStyle w:val="41"/>
              <w:rPr>
                <w:color w:val="auto"/>
                <w:highlight w:val="none"/>
                <w:lang w:eastAsia="en-US"/>
              </w:rPr>
            </w:pPr>
            <w:r>
              <w:rPr>
                <w:color w:val="auto"/>
                <w:highlight w:val="none"/>
              </w:rPr>
              <w:t>泄漏</w:t>
            </w:r>
          </w:p>
        </w:tc>
        <w:tc>
          <w:tcPr>
            <w:tcW w:w="5692" w:type="dxa"/>
            <w:tcBorders>
              <w:tl2br w:val="nil"/>
              <w:tr2bl w:val="nil"/>
            </w:tcBorders>
            <w:vAlign w:val="center"/>
          </w:tcPr>
          <w:p w14:paraId="1F335B8B">
            <w:pPr>
              <w:pStyle w:val="41"/>
              <w:rPr>
                <w:color w:val="auto"/>
                <w:highlight w:val="none"/>
              </w:rPr>
            </w:pPr>
            <w:r>
              <w:rPr>
                <w:color w:val="auto"/>
                <w:highlight w:val="none"/>
              </w:rPr>
              <w:t>尾矿库防渗达不到设计要求，致使尾矿库渗滤液污染项目区地下水和土壤环境。</w:t>
            </w:r>
          </w:p>
        </w:tc>
      </w:tr>
      <w:tr w14:paraId="5FA656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1" w:hRule="atLeast"/>
          <w:jc w:val="center"/>
        </w:trPr>
        <w:tc>
          <w:tcPr>
            <w:tcW w:w="502" w:type="dxa"/>
            <w:vMerge w:val="restart"/>
            <w:tcBorders>
              <w:tl2br w:val="nil"/>
              <w:tr2bl w:val="nil"/>
            </w:tcBorders>
            <w:vAlign w:val="center"/>
          </w:tcPr>
          <w:p w14:paraId="774C3DDB">
            <w:pPr>
              <w:pStyle w:val="41"/>
              <w:rPr>
                <w:rFonts w:hint="eastAsia" w:eastAsia="华文中宋"/>
                <w:color w:val="auto"/>
                <w:highlight w:val="none"/>
                <w:lang w:val="en-US" w:eastAsia="zh-CN"/>
              </w:rPr>
            </w:pPr>
            <w:r>
              <w:rPr>
                <w:rFonts w:hint="eastAsia"/>
                <w:color w:val="auto"/>
                <w:highlight w:val="none"/>
                <w:lang w:val="en-US" w:eastAsia="zh-CN"/>
              </w:rPr>
              <w:t>5</w:t>
            </w:r>
          </w:p>
        </w:tc>
        <w:tc>
          <w:tcPr>
            <w:tcW w:w="1178" w:type="dxa"/>
            <w:vMerge w:val="restart"/>
            <w:tcBorders>
              <w:tl2br w:val="nil"/>
              <w:tr2bl w:val="nil"/>
            </w:tcBorders>
            <w:vAlign w:val="center"/>
          </w:tcPr>
          <w:p w14:paraId="127A5C4B">
            <w:pPr>
              <w:pStyle w:val="41"/>
              <w:rPr>
                <w:rFonts w:hint="default" w:eastAsia="华文中宋"/>
                <w:color w:val="auto"/>
                <w:highlight w:val="none"/>
                <w:lang w:val="en-US" w:eastAsia="zh-CN"/>
              </w:rPr>
            </w:pPr>
            <w:r>
              <w:rPr>
                <w:rFonts w:hint="eastAsia"/>
                <w:color w:val="auto"/>
                <w:highlight w:val="none"/>
                <w:lang w:val="en-US" w:eastAsia="zh-CN"/>
              </w:rPr>
              <w:t>生物质炉窑</w:t>
            </w:r>
          </w:p>
        </w:tc>
        <w:tc>
          <w:tcPr>
            <w:tcW w:w="964" w:type="dxa"/>
            <w:tcBorders>
              <w:tl2br w:val="nil"/>
              <w:tr2bl w:val="nil"/>
            </w:tcBorders>
            <w:vAlign w:val="center"/>
          </w:tcPr>
          <w:p w14:paraId="65B8CF93">
            <w:pPr>
              <w:pStyle w:val="41"/>
              <w:rPr>
                <w:rFonts w:hint="default" w:eastAsia="华文中宋"/>
                <w:color w:val="auto"/>
                <w:highlight w:val="none"/>
                <w:lang w:val="en-US" w:eastAsia="zh-CN"/>
              </w:rPr>
            </w:pPr>
            <w:r>
              <w:rPr>
                <w:rFonts w:hint="eastAsia"/>
                <w:color w:val="auto"/>
                <w:highlight w:val="none"/>
                <w:lang w:val="en-US" w:eastAsia="zh-CN"/>
              </w:rPr>
              <w:t>火灾</w:t>
            </w:r>
          </w:p>
        </w:tc>
        <w:tc>
          <w:tcPr>
            <w:tcW w:w="5692" w:type="dxa"/>
            <w:tcBorders>
              <w:tl2br w:val="nil"/>
              <w:tr2bl w:val="nil"/>
            </w:tcBorders>
            <w:vAlign w:val="center"/>
          </w:tcPr>
          <w:p w14:paraId="40142EDB">
            <w:pPr>
              <w:pStyle w:val="41"/>
              <w:rPr>
                <w:color w:val="auto"/>
                <w:highlight w:val="none"/>
              </w:rPr>
            </w:pPr>
            <w:r>
              <w:rPr>
                <w:color w:val="auto"/>
                <w:kern w:val="0"/>
                <w:sz w:val="21"/>
                <w:highlight w:val="none"/>
              </w:rPr>
              <w:t>可燃物质燃烧产生的烟尘、一氧化碳等污染物污染周围大气环 境；可燃物质燃烧消防过程中产生的消防废水处置不当，污染地下水。</w:t>
            </w:r>
          </w:p>
        </w:tc>
      </w:tr>
      <w:tr w14:paraId="4DDDDA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1" w:hRule="atLeast"/>
          <w:jc w:val="center"/>
        </w:trPr>
        <w:tc>
          <w:tcPr>
            <w:tcW w:w="502" w:type="dxa"/>
            <w:vMerge w:val="continue"/>
            <w:tcBorders>
              <w:tl2br w:val="nil"/>
              <w:tr2bl w:val="nil"/>
            </w:tcBorders>
            <w:vAlign w:val="center"/>
          </w:tcPr>
          <w:p w14:paraId="367B8B2B">
            <w:pPr>
              <w:pStyle w:val="41"/>
              <w:rPr>
                <w:color w:val="auto"/>
                <w:highlight w:val="none"/>
              </w:rPr>
            </w:pPr>
          </w:p>
        </w:tc>
        <w:tc>
          <w:tcPr>
            <w:tcW w:w="1178" w:type="dxa"/>
            <w:vMerge w:val="continue"/>
            <w:tcBorders>
              <w:tl2br w:val="nil"/>
              <w:tr2bl w:val="nil"/>
            </w:tcBorders>
            <w:vAlign w:val="center"/>
          </w:tcPr>
          <w:p w14:paraId="4FA3FEE0">
            <w:pPr>
              <w:pStyle w:val="41"/>
              <w:rPr>
                <w:rFonts w:hint="eastAsia"/>
                <w:color w:val="auto"/>
                <w:highlight w:val="none"/>
                <w:lang w:val="en-US" w:eastAsia="zh-CN"/>
              </w:rPr>
            </w:pPr>
          </w:p>
        </w:tc>
        <w:tc>
          <w:tcPr>
            <w:tcW w:w="964" w:type="dxa"/>
            <w:tcBorders>
              <w:tl2br w:val="nil"/>
              <w:tr2bl w:val="nil"/>
            </w:tcBorders>
            <w:vAlign w:val="center"/>
          </w:tcPr>
          <w:p w14:paraId="7242D176">
            <w:pPr>
              <w:pStyle w:val="41"/>
              <w:rPr>
                <w:rFonts w:hint="eastAsia"/>
                <w:color w:val="auto"/>
                <w:highlight w:val="none"/>
                <w:lang w:val="en-US" w:eastAsia="zh-CN"/>
              </w:rPr>
            </w:pPr>
            <w:r>
              <w:rPr>
                <w:rFonts w:hint="eastAsia"/>
                <w:color w:val="auto"/>
                <w:highlight w:val="none"/>
                <w:lang w:val="en-US" w:eastAsia="zh-CN"/>
              </w:rPr>
              <w:t>爆炸</w:t>
            </w:r>
          </w:p>
        </w:tc>
        <w:tc>
          <w:tcPr>
            <w:tcW w:w="5692" w:type="dxa"/>
            <w:tcBorders>
              <w:tl2br w:val="nil"/>
              <w:tr2bl w:val="nil"/>
            </w:tcBorders>
            <w:vAlign w:val="center"/>
          </w:tcPr>
          <w:p w14:paraId="372761B2">
            <w:pPr>
              <w:pStyle w:val="41"/>
              <w:rPr>
                <w:rFonts w:hint="eastAsia" w:eastAsia="华文中宋"/>
                <w:color w:val="auto"/>
                <w:highlight w:val="none"/>
                <w:lang w:eastAsia="zh-CN"/>
              </w:rPr>
            </w:pPr>
            <w:r>
              <w:rPr>
                <w:color w:val="auto"/>
                <w:kern w:val="0"/>
                <w:sz w:val="21"/>
                <w:highlight w:val="none"/>
              </w:rPr>
              <w:t>可燃物质爆炸后化学品燃烧产生的烟尘、一氧化碳等污染物污染周围大气环境</w:t>
            </w:r>
            <w:r>
              <w:rPr>
                <w:rFonts w:hint="eastAsia"/>
                <w:color w:val="auto"/>
                <w:kern w:val="0"/>
                <w:sz w:val="21"/>
                <w:highlight w:val="none"/>
                <w:lang w:eastAsia="zh-CN"/>
              </w:rPr>
              <w:t>。</w:t>
            </w:r>
          </w:p>
        </w:tc>
      </w:tr>
      <w:tr w14:paraId="623160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1" w:hRule="atLeast"/>
          <w:jc w:val="center"/>
        </w:trPr>
        <w:tc>
          <w:tcPr>
            <w:tcW w:w="502" w:type="dxa"/>
            <w:tcBorders>
              <w:tl2br w:val="nil"/>
              <w:tr2bl w:val="nil"/>
            </w:tcBorders>
            <w:vAlign w:val="center"/>
          </w:tcPr>
          <w:p w14:paraId="0F9105E2">
            <w:pPr>
              <w:pStyle w:val="41"/>
              <w:rPr>
                <w:rFonts w:hint="eastAsia" w:eastAsia="华文中宋"/>
                <w:color w:val="auto"/>
                <w:highlight w:val="none"/>
                <w:lang w:val="en-US" w:eastAsia="zh-CN"/>
              </w:rPr>
            </w:pPr>
            <w:r>
              <w:rPr>
                <w:rFonts w:hint="eastAsia"/>
                <w:color w:val="auto"/>
                <w:highlight w:val="none"/>
                <w:lang w:val="en-US" w:eastAsia="zh-CN"/>
              </w:rPr>
              <w:t>6</w:t>
            </w:r>
          </w:p>
        </w:tc>
        <w:tc>
          <w:tcPr>
            <w:tcW w:w="1178" w:type="dxa"/>
            <w:tcBorders>
              <w:tl2br w:val="nil"/>
              <w:tr2bl w:val="nil"/>
            </w:tcBorders>
            <w:vAlign w:val="center"/>
          </w:tcPr>
          <w:p w14:paraId="20FED63B">
            <w:pPr>
              <w:pStyle w:val="41"/>
              <w:rPr>
                <w:rFonts w:hint="eastAsia" w:eastAsia="华文中宋"/>
                <w:color w:val="auto"/>
                <w:highlight w:val="none"/>
                <w:lang w:val="en-US" w:eastAsia="zh-CN"/>
              </w:rPr>
            </w:pPr>
            <w:r>
              <w:rPr>
                <w:rFonts w:hint="eastAsia"/>
                <w:color w:val="auto"/>
                <w:highlight w:val="none"/>
                <w:lang w:val="en-US" w:eastAsia="zh-CN"/>
              </w:rPr>
              <w:t>污水处理站</w:t>
            </w:r>
          </w:p>
        </w:tc>
        <w:tc>
          <w:tcPr>
            <w:tcW w:w="964" w:type="dxa"/>
            <w:tcBorders>
              <w:tl2br w:val="nil"/>
              <w:tr2bl w:val="nil"/>
            </w:tcBorders>
            <w:vAlign w:val="center"/>
          </w:tcPr>
          <w:p w14:paraId="6CAB6E6D">
            <w:pPr>
              <w:pStyle w:val="41"/>
              <w:rPr>
                <w:rFonts w:hint="eastAsia" w:eastAsia="华文中宋"/>
                <w:color w:val="auto"/>
                <w:highlight w:val="none"/>
                <w:lang w:val="en-US" w:eastAsia="zh-CN"/>
              </w:rPr>
            </w:pPr>
            <w:r>
              <w:rPr>
                <w:rFonts w:hint="eastAsia"/>
                <w:color w:val="auto"/>
                <w:highlight w:val="none"/>
                <w:lang w:val="en-US" w:eastAsia="zh-CN"/>
              </w:rPr>
              <w:t>外溢</w:t>
            </w:r>
          </w:p>
        </w:tc>
        <w:tc>
          <w:tcPr>
            <w:tcW w:w="5692" w:type="dxa"/>
            <w:tcBorders>
              <w:tl2br w:val="nil"/>
              <w:tr2bl w:val="nil"/>
            </w:tcBorders>
            <w:vAlign w:val="center"/>
          </w:tcPr>
          <w:p w14:paraId="1AF90C61">
            <w:pPr>
              <w:pStyle w:val="41"/>
              <w:rPr>
                <w:rFonts w:hint="default" w:eastAsia="华文中宋"/>
                <w:color w:val="auto"/>
                <w:highlight w:val="none"/>
                <w:lang w:val="en-US" w:eastAsia="zh-CN"/>
              </w:rPr>
            </w:pPr>
            <w:r>
              <w:rPr>
                <w:rFonts w:hint="eastAsia" w:ascii="宋体" w:hAnsi="宋体"/>
                <w:color w:val="auto"/>
                <w:highlight w:val="none"/>
              </w:rPr>
              <w:t>污水处理设施出现运行故障，或由于误操作、自然灾害等导致失效或受损，可能造成</w:t>
            </w:r>
            <w:r>
              <w:rPr>
                <w:rFonts w:hint="eastAsia"/>
                <w:color w:val="auto"/>
                <w:highlight w:val="none"/>
                <w:lang w:val="en-US" w:eastAsia="zh-CN"/>
              </w:rPr>
              <w:t>废水外溢污染厂区内地下水、土壤。</w:t>
            </w:r>
          </w:p>
        </w:tc>
      </w:tr>
    </w:tbl>
    <w:p w14:paraId="210537D0">
      <w:pPr>
        <w:pStyle w:val="39"/>
        <w:rPr>
          <w:rFonts w:hint="default"/>
          <w:color w:val="auto"/>
          <w:highlight w:val="none"/>
        </w:rPr>
      </w:pPr>
      <w:bookmarkStart w:id="414" w:name="_Toc24945"/>
      <w:bookmarkStart w:id="415" w:name="_Toc25987"/>
      <w:r>
        <w:rPr>
          <w:rFonts w:hint="default"/>
          <w:color w:val="auto"/>
          <w:highlight w:val="none"/>
        </w:rPr>
        <w:t>环境风险</w:t>
      </w:r>
      <w:r>
        <w:rPr>
          <w:color w:val="auto"/>
          <w:highlight w:val="none"/>
        </w:rPr>
        <w:t>分析及防范措施</w:t>
      </w:r>
      <w:bookmarkEnd w:id="414"/>
      <w:bookmarkEnd w:id="415"/>
    </w:p>
    <w:p w14:paraId="603AF72F">
      <w:pPr>
        <w:pStyle w:val="42"/>
        <w:rPr>
          <w:rFonts w:hint="default"/>
          <w:color w:val="auto"/>
          <w:highlight w:val="none"/>
        </w:rPr>
      </w:pPr>
      <w:r>
        <w:rPr>
          <w:color w:val="auto"/>
          <w:highlight w:val="none"/>
        </w:rPr>
        <w:t>环境风险影响分析</w:t>
      </w:r>
    </w:p>
    <w:p w14:paraId="5129B0FF">
      <w:pPr>
        <w:pStyle w:val="3"/>
        <w:ind w:firstLine="480"/>
        <w:rPr>
          <w:color w:val="auto"/>
          <w:highlight w:val="none"/>
        </w:rPr>
      </w:pPr>
      <w:r>
        <w:rPr>
          <w:rFonts w:hint="eastAsia"/>
          <w:color w:val="auto"/>
          <w:highlight w:val="none"/>
        </w:rPr>
        <w:t>（1）贮存、生产过程中泄漏事故的风险分析</w:t>
      </w:r>
    </w:p>
    <w:p w14:paraId="47780831">
      <w:pPr>
        <w:pStyle w:val="3"/>
        <w:ind w:firstLine="480"/>
        <w:rPr>
          <w:color w:val="auto"/>
          <w:highlight w:val="none"/>
        </w:rPr>
      </w:pPr>
      <w:r>
        <w:rPr>
          <w:color w:val="auto"/>
          <w:highlight w:val="none"/>
        </w:rPr>
        <w:t>本项目</w:t>
      </w:r>
      <w:r>
        <w:rPr>
          <w:rFonts w:hint="eastAsia"/>
          <w:color w:val="auto"/>
          <w:highlight w:val="none"/>
        </w:rPr>
        <w:t>使用的润滑油</w:t>
      </w:r>
      <w:r>
        <w:rPr>
          <w:color w:val="auto"/>
          <w:highlight w:val="none"/>
        </w:rPr>
        <w:t>为可燃易燃类物质，</w:t>
      </w:r>
      <w:r>
        <w:rPr>
          <w:rFonts w:hint="eastAsia"/>
          <w:color w:val="auto"/>
          <w:highlight w:val="none"/>
        </w:rPr>
        <w:t>润滑油</w:t>
      </w:r>
      <w:r>
        <w:rPr>
          <w:color w:val="auto"/>
          <w:highlight w:val="none"/>
        </w:rPr>
        <w:t>发生泄漏可能在火源存在下引发火灾爆炸事故，及衍生大气污染。火灾事故次生/伴生灾害主要为燃烧过程产生的烟雾、CO等有毒有害物质随大气扩散，对周围人群及大气环境产生影响。事故伴生、次生污染物排放时间越长，影响范围越大，对环境质量和人体健康的危害越大；火灾爆炸或扩散事故停止后，随着时间的延长，污染物在环境中的浓度逐渐降低，但仍会在一定浓度范围内超出伤害阈浓度和最高允许浓度。为</w:t>
      </w:r>
      <w:r>
        <w:rPr>
          <w:rFonts w:hint="eastAsia"/>
          <w:color w:val="auto"/>
          <w:highlight w:val="none"/>
        </w:rPr>
        <w:t>减少</w:t>
      </w:r>
      <w:r>
        <w:rPr>
          <w:color w:val="auto"/>
          <w:highlight w:val="none"/>
        </w:rPr>
        <w:t>周围敏感目标处人身健康受到毒害影响，必须尽量缩短火灾事故和扩散的持续时间，并及时组织下风向人员迅速转移。</w:t>
      </w:r>
    </w:p>
    <w:p w14:paraId="62DF2CAB">
      <w:pPr>
        <w:pStyle w:val="3"/>
        <w:ind w:firstLine="480"/>
        <w:rPr>
          <w:color w:val="auto"/>
          <w:highlight w:val="none"/>
        </w:rPr>
      </w:pPr>
      <w:r>
        <w:rPr>
          <w:color w:val="auto"/>
          <w:highlight w:val="none"/>
        </w:rPr>
        <w:t>现场处置人员应根据不同类型环境事件的特点，配备相应的专业防护装备，采取安全防护措施，防止火灾的危害。同时根据事发时当地的气象条件，告知生活区员工应</w:t>
      </w:r>
      <w:r>
        <w:rPr>
          <w:rFonts w:hint="eastAsia"/>
          <w:color w:val="auto"/>
          <w:highlight w:val="none"/>
          <w:lang w:eastAsia="zh-CN"/>
        </w:rPr>
        <w:t>采取</w:t>
      </w:r>
      <w:r>
        <w:rPr>
          <w:color w:val="auto"/>
          <w:highlight w:val="none"/>
        </w:rPr>
        <w:t>安全防护措施，必要时疏散生活区员工。从而减少爆炸产生的大气污染物对人体的危害。</w:t>
      </w:r>
    </w:p>
    <w:p w14:paraId="26C19967">
      <w:pPr>
        <w:pStyle w:val="3"/>
        <w:ind w:firstLine="480"/>
        <w:rPr>
          <w:color w:val="auto"/>
          <w:highlight w:val="none"/>
        </w:rPr>
      </w:pPr>
      <w:r>
        <w:rPr>
          <w:color w:val="auto"/>
          <w:highlight w:val="none"/>
        </w:rPr>
        <w:t>本项目</w:t>
      </w:r>
      <w:r>
        <w:rPr>
          <w:rFonts w:hint="eastAsia"/>
          <w:color w:val="auto"/>
          <w:highlight w:val="none"/>
        </w:rPr>
        <w:t>润滑油</w:t>
      </w:r>
      <w:r>
        <w:rPr>
          <w:color w:val="auto"/>
          <w:highlight w:val="none"/>
        </w:rPr>
        <w:t>暂存量较小，火灾程度较小，一旦发生火灾时，及时采用灭火措施，迅速疏导厂内及周边人员，预计不会对环境和周边人员产生显著影响。</w:t>
      </w:r>
    </w:p>
    <w:p w14:paraId="6C26D2DE">
      <w:pPr>
        <w:pStyle w:val="3"/>
        <w:ind w:firstLine="480"/>
        <w:rPr>
          <w:color w:val="auto"/>
          <w:highlight w:val="none"/>
        </w:rPr>
      </w:pPr>
      <w:r>
        <w:rPr>
          <w:color w:val="auto"/>
          <w:highlight w:val="none"/>
        </w:rPr>
        <w:t>（</w:t>
      </w:r>
      <w:r>
        <w:rPr>
          <w:rFonts w:hint="eastAsia"/>
          <w:color w:val="auto"/>
          <w:highlight w:val="none"/>
        </w:rPr>
        <w:t>2</w:t>
      </w:r>
      <w:r>
        <w:rPr>
          <w:color w:val="auto"/>
          <w:highlight w:val="none"/>
        </w:rPr>
        <w:t>）火灾事故环境空气影响分析</w:t>
      </w:r>
    </w:p>
    <w:p w14:paraId="28746F4F">
      <w:pPr>
        <w:pStyle w:val="3"/>
        <w:ind w:firstLine="480"/>
        <w:rPr>
          <w:color w:val="auto"/>
          <w:highlight w:val="none"/>
        </w:rPr>
      </w:pPr>
      <w:r>
        <w:rPr>
          <w:color w:val="auto"/>
          <w:highlight w:val="none"/>
        </w:rPr>
        <w:t>物料发生火灾时将放出大量辐射热，同时还散发出大量的浓烟，浓烟是由燃烧物质释放出的高温蒸汽和毒气、被分解和凝聚的未燃烧物质、被火焰加热而带入上升气流中的大量空气等多种物质组成。它不但含有大量的热量，而且含有毒气体和弥散的固体微粒。因此浓烟对火场周围人员的生命安全危害程度远超过火灾本身，并对周围的大气环境质量造成很大的污染和破坏。</w:t>
      </w:r>
    </w:p>
    <w:p w14:paraId="15DEE977">
      <w:pPr>
        <w:pStyle w:val="3"/>
        <w:ind w:firstLine="480"/>
        <w:rPr>
          <w:color w:val="auto"/>
          <w:highlight w:val="none"/>
        </w:rPr>
      </w:pPr>
      <w:r>
        <w:rPr>
          <w:color w:val="auto"/>
          <w:highlight w:val="none"/>
        </w:rPr>
        <w:t>（</w:t>
      </w:r>
      <w:r>
        <w:rPr>
          <w:rFonts w:hint="eastAsia"/>
          <w:color w:val="auto"/>
          <w:highlight w:val="none"/>
        </w:rPr>
        <w:t>3</w:t>
      </w:r>
      <w:r>
        <w:rPr>
          <w:color w:val="auto"/>
          <w:highlight w:val="none"/>
        </w:rPr>
        <w:t>）废机油存储与运输风险影响</w:t>
      </w:r>
    </w:p>
    <w:p w14:paraId="23AF43D0">
      <w:pPr>
        <w:pStyle w:val="3"/>
        <w:ind w:firstLine="480"/>
        <w:rPr>
          <w:color w:val="auto"/>
          <w:highlight w:val="none"/>
        </w:rPr>
      </w:pPr>
      <w:r>
        <w:rPr>
          <w:color w:val="auto"/>
          <w:highlight w:val="none"/>
        </w:rPr>
        <w:t>①项目选矿厂设置危废</w:t>
      </w:r>
      <w:r>
        <w:rPr>
          <w:rFonts w:hint="eastAsia"/>
          <w:color w:val="auto"/>
          <w:highlight w:val="none"/>
        </w:rPr>
        <w:t>暂存场所</w:t>
      </w:r>
      <w:r>
        <w:rPr>
          <w:color w:val="auto"/>
          <w:highlight w:val="none"/>
        </w:rPr>
        <w:t>一座，用于收集和暂存废机油，在贮运过程中因容器破损或操作失误发生泄漏进入土壤、地下水，可能导致污染影响。</w:t>
      </w:r>
    </w:p>
    <w:p w14:paraId="15C94447">
      <w:pPr>
        <w:pStyle w:val="3"/>
        <w:ind w:firstLine="480"/>
        <w:rPr>
          <w:color w:val="auto"/>
          <w:highlight w:val="none"/>
        </w:rPr>
      </w:pPr>
      <w:r>
        <w:rPr>
          <w:color w:val="auto"/>
          <w:highlight w:val="none"/>
        </w:rPr>
        <w:t>②运输危险物品的车辆是一个流动的危险源，本项目运输废机油的车辆，一旦发生事故，造成</w:t>
      </w:r>
      <w:r>
        <w:rPr>
          <w:rFonts w:hint="eastAsia"/>
          <w:color w:val="auto"/>
          <w:highlight w:val="none"/>
        </w:rPr>
        <w:t>废机油</w:t>
      </w:r>
      <w:r>
        <w:rPr>
          <w:color w:val="auto"/>
          <w:highlight w:val="none"/>
        </w:rPr>
        <w:t>泄漏，可能造成事故发生地地表水体、土壤的污染。本项目废机油运输量较小，可能造成的</w:t>
      </w:r>
      <w:r>
        <w:rPr>
          <w:rFonts w:hint="eastAsia"/>
          <w:color w:val="auto"/>
          <w:highlight w:val="none"/>
        </w:rPr>
        <w:t>废机油</w:t>
      </w:r>
      <w:r>
        <w:rPr>
          <w:color w:val="auto"/>
          <w:highlight w:val="none"/>
        </w:rPr>
        <w:t>运输风险较小。</w:t>
      </w:r>
    </w:p>
    <w:p w14:paraId="654D16BB">
      <w:pPr>
        <w:pStyle w:val="3"/>
        <w:ind w:firstLine="480"/>
        <w:rPr>
          <w:color w:val="auto"/>
          <w:highlight w:val="none"/>
        </w:rPr>
      </w:pPr>
      <w:r>
        <w:rPr>
          <w:color w:val="auto"/>
          <w:highlight w:val="none"/>
        </w:rPr>
        <w:t>（4）风险事故水环境影响分析</w:t>
      </w:r>
    </w:p>
    <w:p w14:paraId="596DF3F3">
      <w:pPr>
        <w:pStyle w:val="3"/>
        <w:ind w:firstLine="480"/>
        <w:rPr>
          <w:color w:val="auto"/>
          <w:highlight w:val="none"/>
        </w:rPr>
      </w:pPr>
      <w:r>
        <w:rPr>
          <w:color w:val="auto"/>
          <w:highlight w:val="none"/>
        </w:rPr>
        <w:t>项目区内火灾除对空气会造成一定影响外，采用雾状水</w:t>
      </w:r>
      <w:r>
        <w:rPr>
          <w:rFonts w:hint="eastAsia"/>
          <w:color w:val="auto"/>
          <w:highlight w:val="none"/>
        </w:rPr>
        <w:t>做</w:t>
      </w:r>
      <w:r>
        <w:rPr>
          <w:color w:val="auto"/>
          <w:highlight w:val="none"/>
        </w:rPr>
        <w:t>灭火剂时，消防水处理不当也会对地下水造成影响。因此，建设单位在运营时既要充分考虑火灾对大气的影响，又要特别重视事故处理过程中消防水的收集和处理问题，防止因火灾对周围造成二次污染。</w:t>
      </w:r>
    </w:p>
    <w:p w14:paraId="6A34A052">
      <w:pPr>
        <w:pStyle w:val="3"/>
        <w:ind w:firstLine="480"/>
        <w:rPr>
          <w:color w:val="auto"/>
          <w:highlight w:val="none"/>
        </w:rPr>
      </w:pPr>
      <w:r>
        <w:rPr>
          <w:color w:val="auto"/>
          <w:highlight w:val="none"/>
        </w:rPr>
        <w:t>项目区不处于饮用水源保护区，地下水为Ⅲ类，不属于敏感区，项目运行后采用公路运输。因此，只对风险事故发生后产生的水环境影响进行分析。</w:t>
      </w:r>
    </w:p>
    <w:p w14:paraId="7FF74AF8">
      <w:pPr>
        <w:pStyle w:val="3"/>
        <w:ind w:firstLine="480"/>
        <w:rPr>
          <w:color w:val="auto"/>
          <w:highlight w:val="none"/>
        </w:rPr>
      </w:pPr>
      <w:r>
        <w:rPr>
          <w:color w:val="auto"/>
          <w:highlight w:val="none"/>
        </w:rPr>
        <w:t>（5）对地下水的风险影响分析</w:t>
      </w:r>
    </w:p>
    <w:p w14:paraId="4D03FC7C">
      <w:pPr>
        <w:pStyle w:val="3"/>
        <w:ind w:firstLine="480"/>
        <w:rPr>
          <w:color w:val="auto"/>
          <w:highlight w:val="none"/>
        </w:rPr>
      </w:pPr>
      <w:r>
        <w:rPr>
          <w:color w:val="auto"/>
          <w:highlight w:val="none"/>
        </w:rPr>
        <w:t>选矿车间、</w:t>
      </w:r>
      <w:r>
        <w:rPr>
          <w:rFonts w:hint="eastAsia"/>
          <w:color w:val="auto"/>
          <w:highlight w:val="none"/>
          <w:lang w:eastAsia="zh-CN"/>
        </w:rPr>
        <w:t>输送</w:t>
      </w:r>
      <w:r>
        <w:rPr>
          <w:color w:val="auto"/>
          <w:highlight w:val="none"/>
        </w:rPr>
        <w:t>管道等一旦发生泄漏事故，如不能收集进入</w:t>
      </w:r>
      <w:r>
        <w:rPr>
          <w:rFonts w:hint="eastAsia"/>
          <w:color w:val="auto"/>
          <w:highlight w:val="none"/>
          <w:lang w:val="en-US" w:eastAsia="zh-CN"/>
        </w:rPr>
        <w:t>事故</w:t>
      </w:r>
      <w:r>
        <w:rPr>
          <w:color w:val="auto"/>
          <w:highlight w:val="none"/>
        </w:rPr>
        <w:t>池，选矿废水可能通过下渗污染地下水。本项目在生产过程中，一旦发生火灾等事故，在处理过程中，消防水会携带大量粉尘形成有悬浮物的废水，由于消防用水瞬时量比较大，悬浮物含量也较高，任其漫流会导致 污水污染地下水水质。项目区内事故废水统一收集至事故水池，因此，如项目区发生事故时，基本不会对地下水造成污染。</w:t>
      </w:r>
    </w:p>
    <w:p w14:paraId="2CFA0C92">
      <w:pPr>
        <w:pStyle w:val="3"/>
        <w:ind w:firstLine="480"/>
        <w:rPr>
          <w:color w:val="auto"/>
          <w:highlight w:val="none"/>
        </w:rPr>
      </w:pPr>
      <w:r>
        <w:rPr>
          <w:color w:val="auto"/>
          <w:highlight w:val="none"/>
        </w:rPr>
        <w:t>（6）事故废水防控体系的风险影响分析</w:t>
      </w:r>
    </w:p>
    <w:p w14:paraId="0FC1099E">
      <w:pPr>
        <w:pStyle w:val="3"/>
        <w:ind w:firstLine="480"/>
        <w:rPr>
          <w:color w:val="auto"/>
          <w:highlight w:val="none"/>
        </w:rPr>
      </w:pPr>
      <w:r>
        <w:rPr>
          <w:color w:val="auto"/>
          <w:highlight w:val="none"/>
        </w:rPr>
        <w:t>当火灾事故发生时，企业要建立消防废水、全厂废水的事故废水防控体系。消防废水防控体系：当项目生产储运区发生火灾事故时，使大量消防废水进入项目区沉淀池中。如果部分废水漫流进入雨水管网，应立即关闭雨水排放口，将雨水管网与沉淀池相连，使废水进入池中，避免进入外环境。以上措施作为企业消防废水防控措施，目的在于切断污染物与外界的通道，将污染物导入沉淀池内，将污染控制在项目区，防止产 生的消防废水造成环境污染。</w:t>
      </w:r>
    </w:p>
    <w:p w14:paraId="7B9ABE4C">
      <w:pPr>
        <w:pStyle w:val="3"/>
        <w:ind w:firstLine="480"/>
        <w:rPr>
          <w:color w:val="auto"/>
          <w:highlight w:val="none"/>
        </w:rPr>
      </w:pPr>
      <w:r>
        <w:rPr>
          <w:color w:val="auto"/>
          <w:highlight w:val="none"/>
        </w:rPr>
        <w:t>（</w:t>
      </w:r>
      <w:r>
        <w:rPr>
          <w:rFonts w:hint="eastAsia"/>
          <w:color w:val="auto"/>
          <w:highlight w:val="none"/>
        </w:rPr>
        <w:t>7</w:t>
      </w:r>
      <w:r>
        <w:rPr>
          <w:color w:val="auto"/>
          <w:highlight w:val="none"/>
        </w:rPr>
        <w:t>）尾矿库溃坝的风险影响分析</w:t>
      </w:r>
    </w:p>
    <w:p w14:paraId="7A8369E2">
      <w:pPr>
        <w:pStyle w:val="3"/>
        <w:ind w:firstLine="480"/>
        <w:rPr>
          <w:color w:val="auto"/>
          <w:highlight w:val="none"/>
        </w:rPr>
      </w:pPr>
      <w:r>
        <w:rPr>
          <w:color w:val="auto"/>
          <w:highlight w:val="none"/>
        </w:rPr>
        <w:t>溃坝是在蠕变拉裂一剪断复合机制下形成的，在重力和残余剪切强度作用下，自坡脚区材料强度破坏开始，缓慢累进性破坏，其过程初为坡脚蠕变，接着沿接裂扩张，然后中部剪断贯通，当贯通剪断面形成时，斜坡开始高速滑动，与此相应，溃坝过程由静止、加速并达到整体滑动的最大速度，其后滑体自后部至前锋依次减速构成，溃坝过程往往在几分钟内完成。溃坝液体下泄时一般以涌波形式运动，涌波的高度是不断变化的，同时逐渐向下游形成扇形流推进，最后流进附近地势较低处，溃坝对下游区域生态环境会造成一定影响。</w:t>
      </w:r>
    </w:p>
    <w:p w14:paraId="547738E3">
      <w:pPr>
        <w:widowControl/>
        <w:kinsoku w:val="0"/>
        <w:autoSpaceDE w:val="0"/>
        <w:autoSpaceDN w:val="0"/>
        <w:spacing w:line="480" w:lineRule="exact"/>
        <w:ind w:firstLine="480"/>
        <w:textAlignment w:val="baseline"/>
        <w:rPr>
          <w:color w:val="auto"/>
          <w:szCs w:val="24"/>
          <w:highlight w:val="none"/>
        </w:rPr>
      </w:pPr>
      <w:r>
        <w:rPr>
          <w:color w:val="auto"/>
          <w:szCs w:val="24"/>
          <w:highlight w:val="none"/>
        </w:rPr>
        <w:t>本项目以尾矿库为预测对象，尾矿库最终堆积标高为</w:t>
      </w:r>
      <w:r>
        <w:rPr>
          <w:rFonts w:hint="eastAsia"/>
          <w:color w:val="auto"/>
          <w:szCs w:val="24"/>
          <w:highlight w:val="none"/>
          <w:lang w:val="en-US" w:eastAsia="zh-CN"/>
        </w:rPr>
        <w:t>2015</w:t>
      </w:r>
      <w:r>
        <w:rPr>
          <w:color w:val="auto"/>
          <w:szCs w:val="24"/>
          <w:highlight w:val="none"/>
        </w:rPr>
        <w:t>m，堆积坝高</w:t>
      </w:r>
      <w:r>
        <w:rPr>
          <w:rFonts w:hint="eastAsia"/>
          <w:color w:val="auto"/>
          <w:szCs w:val="24"/>
          <w:highlight w:val="none"/>
          <w:lang w:val="en-US" w:eastAsia="zh-CN"/>
        </w:rPr>
        <w:t>115</w:t>
      </w:r>
      <w:r>
        <w:rPr>
          <w:color w:val="auto"/>
          <w:szCs w:val="24"/>
          <w:highlight w:val="none"/>
        </w:rPr>
        <w:t>m，设计库容为</w:t>
      </w:r>
      <w:r>
        <w:rPr>
          <w:color w:val="auto"/>
          <w:highlight w:val="none"/>
        </w:rPr>
        <w:t>4223.61</w:t>
      </w:r>
      <w:r>
        <w:rPr>
          <w:color w:val="auto"/>
          <w:szCs w:val="24"/>
          <w:highlight w:val="none"/>
        </w:rPr>
        <w:t>万m³，有效库容为</w:t>
      </w:r>
      <w:r>
        <w:rPr>
          <w:rFonts w:hint="eastAsia"/>
          <w:color w:val="auto"/>
          <w:highlight w:val="none"/>
        </w:rPr>
        <w:t>3801.25</w:t>
      </w:r>
      <w:r>
        <w:rPr>
          <w:color w:val="auto"/>
          <w:szCs w:val="24"/>
          <w:highlight w:val="none"/>
        </w:rPr>
        <w:t>万m³，尾矿库等别为二等，按</w:t>
      </w:r>
      <w:r>
        <w:rPr>
          <w:rFonts w:hint="eastAsia"/>
          <w:color w:val="auto"/>
          <w:szCs w:val="24"/>
          <w:highlight w:val="none"/>
          <w:lang w:val="en-US" w:eastAsia="zh-CN"/>
        </w:rPr>
        <w:t>580</w:t>
      </w:r>
      <w:r>
        <w:rPr>
          <w:color w:val="auto"/>
          <w:szCs w:val="24"/>
          <w:highlight w:val="none"/>
        </w:rPr>
        <w:t>万t/a的选矿规模，可使用</w:t>
      </w:r>
      <w:r>
        <w:rPr>
          <w:rFonts w:hint="eastAsia"/>
          <w:color w:val="auto"/>
          <w:szCs w:val="24"/>
          <w:highlight w:val="none"/>
          <w:lang w:val="en-US" w:eastAsia="zh-CN"/>
        </w:rPr>
        <w:t>20.14</w:t>
      </w:r>
      <w:r>
        <w:rPr>
          <w:color w:val="auto"/>
          <w:szCs w:val="24"/>
          <w:highlight w:val="none"/>
        </w:rPr>
        <w:t>年，尾矿库溃坝情景为尾矿坝堆满时溃坝。</w:t>
      </w:r>
    </w:p>
    <w:p w14:paraId="28BEFC93">
      <w:pPr>
        <w:pStyle w:val="68"/>
        <w:spacing w:line="480" w:lineRule="exact"/>
        <w:ind w:firstLine="480"/>
        <w:rPr>
          <w:bCs/>
          <w:color w:val="auto"/>
          <w:szCs w:val="24"/>
          <w:highlight w:val="none"/>
        </w:rPr>
      </w:pPr>
      <w:r>
        <w:rPr>
          <w:bCs/>
          <w:color w:val="auto"/>
          <w:szCs w:val="24"/>
          <w:highlight w:val="none"/>
        </w:rPr>
        <w:t>①溃口宽度</w:t>
      </w:r>
    </w:p>
    <w:p w14:paraId="1869EA07">
      <w:pPr>
        <w:pStyle w:val="68"/>
        <w:spacing w:line="480" w:lineRule="exact"/>
        <w:ind w:firstLine="0" w:firstLineChars="0"/>
        <w:jc w:val="center"/>
        <w:rPr>
          <w:bCs/>
          <w:color w:val="auto"/>
          <w:szCs w:val="24"/>
          <w:highlight w:val="none"/>
        </w:rPr>
      </w:pPr>
      <w:r>
        <w:rPr>
          <w:bCs/>
          <w:color w:val="auto"/>
          <w:szCs w:val="24"/>
          <w:highlight w:val="none"/>
        </w:rPr>
        <w:t>B=0.1</w:t>
      </w:r>
      <w:r>
        <w:rPr>
          <w:rFonts w:hint="eastAsia"/>
          <w:bCs/>
          <w:color w:val="auto"/>
          <w:szCs w:val="24"/>
          <w:highlight w:val="none"/>
          <w:lang w:eastAsia="zh-CN"/>
        </w:rPr>
        <w:t>kW</w:t>
      </w:r>
      <w:r>
        <w:rPr>
          <w:bCs/>
          <w:color w:val="auto"/>
          <w:szCs w:val="24"/>
          <w:highlight w:val="none"/>
          <w:vertAlign w:val="superscript"/>
        </w:rPr>
        <w:t>0.25</w:t>
      </w:r>
      <w:r>
        <w:rPr>
          <w:bCs/>
          <w:color w:val="auto"/>
          <w:szCs w:val="24"/>
          <w:highlight w:val="none"/>
        </w:rPr>
        <w:t>B</w:t>
      </w:r>
      <w:r>
        <w:rPr>
          <w:bCs/>
          <w:color w:val="auto"/>
          <w:szCs w:val="24"/>
          <w:highlight w:val="none"/>
          <w:vertAlign w:val="superscript"/>
        </w:rPr>
        <w:t>0.25</w:t>
      </w:r>
      <w:r>
        <w:rPr>
          <w:bCs/>
          <w:color w:val="auto"/>
          <w:szCs w:val="24"/>
          <w:highlight w:val="none"/>
        </w:rPr>
        <w:t>H</w:t>
      </w:r>
      <w:r>
        <w:rPr>
          <w:bCs/>
          <w:color w:val="auto"/>
          <w:szCs w:val="24"/>
          <w:highlight w:val="none"/>
          <w:vertAlign w:val="superscript"/>
        </w:rPr>
        <w:t>0.5</w:t>
      </w:r>
      <w:r>
        <w:rPr>
          <w:bCs/>
          <w:color w:val="auto"/>
          <w:szCs w:val="24"/>
          <w:highlight w:val="none"/>
        </w:rPr>
        <w:t>（黄河水利委员会经验公式）</w:t>
      </w:r>
    </w:p>
    <w:p w14:paraId="52E6E1AC">
      <w:pPr>
        <w:pStyle w:val="68"/>
        <w:spacing w:line="480" w:lineRule="exact"/>
        <w:ind w:firstLine="480"/>
        <w:rPr>
          <w:bCs/>
          <w:color w:val="auto"/>
          <w:szCs w:val="24"/>
          <w:highlight w:val="none"/>
        </w:rPr>
      </w:pPr>
      <w:r>
        <w:rPr>
          <w:bCs/>
          <w:color w:val="auto"/>
          <w:szCs w:val="24"/>
          <w:highlight w:val="none"/>
        </w:rPr>
        <w:t>上式中，W—下泄尾砂量，取有效库容的50%，则为</w:t>
      </w:r>
      <w:r>
        <w:rPr>
          <w:rFonts w:hint="eastAsia"/>
          <w:bCs/>
          <w:color w:val="auto"/>
          <w:szCs w:val="24"/>
          <w:highlight w:val="none"/>
          <w:lang w:val="en-US" w:eastAsia="zh-CN"/>
        </w:rPr>
        <w:t>1900</w:t>
      </w:r>
      <w:r>
        <w:rPr>
          <w:bCs/>
          <w:color w:val="auto"/>
          <w:szCs w:val="24"/>
          <w:highlight w:val="none"/>
        </w:rPr>
        <w:t>万m³。</w:t>
      </w:r>
    </w:p>
    <w:p w14:paraId="267E03BB">
      <w:pPr>
        <w:pStyle w:val="68"/>
        <w:spacing w:line="480" w:lineRule="exact"/>
        <w:ind w:firstLine="1440" w:firstLineChars="600"/>
        <w:rPr>
          <w:bCs/>
          <w:color w:val="auto"/>
          <w:szCs w:val="24"/>
          <w:highlight w:val="none"/>
        </w:rPr>
      </w:pPr>
      <w:r>
        <w:rPr>
          <w:bCs/>
          <w:color w:val="auto"/>
          <w:szCs w:val="24"/>
          <w:highlight w:val="none"/>
        </w:rPr>
        <w:t>B—坝顶长度，</w:t>
      </w:r>
      <w:r>
        <w:rPr>
          <w:rFonts w:hint="eastAsia"/>
          <w:bCs/>
          <w:color w:val="auto"/>
          <w:szCs w:val="24"/>
          <w:highlight w:val="none"/>
          <w:lang w:val="en-US" w:eastAsia="zh-CN"/>
        </w:rPr>
        <w:t>536.66</w:t>
      </w:r>
      <w:r>
        <w:rPr>
          <w:bCs/>
          <w:color w:val="auto"/>
          <w:szCs w:val="24"/>
          <w:highlight w:val="none"/>
        </w:rPr>
        <w:t>m；</w:t>
      </w:r>
    </w:p>
    <w:p w14:paraId="68E1F1FE">
      <w:pPr>
        <w:pStyle w:val="68"/>
        <w:spacing w:line="480" w:lineRule="exact"/>
        <w:ind w:firstLine="1440" w:firstLineChars="600"/>
        <w:rPr>
          <w:bCs/>
          <w:color w:val="auto"/>
          <w:szCs w:val="24"/>
          <w:highlight w:val="none"/>
        </w:rPr>
      </w:pPr>
      <w:r>
        <w:rPr>
          <w:bCs/>
          <w:color w:val="auto"/>
          <w:szCs w:val="24"/>
          <w:highlight w:val="none"/>
        </w:rPr>
        <w:t>H—坝高，为</w:t>
      </w:r>
      <w:r>
        <w:rPr>
          <w:rFonts w:hint="eastAsia"/>
          <w:bCs/>
          <w:color w:val="auto"/>
          <w:szCs w:val="24"/>
          <w:highlight w:val="none"/>
          <w:lang w:val="en-US" w:eastAsia="zh-CN"/>
        </w:rPr>
        <w:t>115</w:t>
      </w:r>
      <w:r>
        <w:rPr>
          <w:bCs/>
          <w:color w:val="auto"/>
          <w:szCs w:val="24"/>
          <w:highlight w:val="none"/>
        </w:rPr>
        <w:t>m；</w:t>
      </w:r>
    </w:p>
    <w:p w14:paraId="056AAF75">
      <w:pPr>
        <w:pStyle w:val="68"/>
        <w:spacing w:line="480" w:lineRule="exact"/>
        <w:ind w:firstLine="1440" w:firstLineChars="600"/>
        <w:rPr>
          <w:bCs/>
          <w:color w:val="auto"/>
          <w:szCs w:val="24"/>
          <w:highlight w:val="none"/>
        </w:rPr>
      </w:pPr>
      <w:r>
        <w:rPr>
          <w:bCs/>
          <w:color w:val="auto"/>
          <w:szCs w:val="24"/>
          <w:highlight w:val="none"/>
        </w:rPr>
        <w:t>K—与坝体土质有关的经验系数，</w:t>
      </w:r>
      <w:r>
        <w:rPr>
          <w:rFonts w:hint="eastAsia"/>
          <w:bCs/>
          <w:color w:val="auto"/>
          <w:szCs w:val="24"/>
          <w:highlight w:val="none"/>
          <w:lang w:val="en-US" w:eastAsia="zh-CN"/>
        </w:rPr>
        <w:t>堆石</w:t>
      </w:r>
      <w:r>
        <w:rPr>
          <w:bCs/>
          <w:color w:val="auto"/>
          <w:szCs w:val="24"/>
          <w:highlight w:val="none"/>
        </w:rPr>
        <w:t>取</w:t>
      </w:r>
      <w:r>
        <w:rPr>
          <w:rFonts w:hint="eastAsia"/>
          <w:bCs/>
          <w:color w:val="auto"/>
          <w:szCs w:val="24"/>
          <w:highlight w:val="none"/>
          <w:lang w:val="en-US" w:eastAsia="zh-CN"/>
        </w:rPr>
        <w:t>2.30</w:t>
      </w:r>
      <w:r>
        <w:rPr>
          <w:bCs/>
          <w:color w:val="auto"/>
          <w:szCs w:val="24"/>
          <w:highlight w:val="none"/>
        </w:rPr>
        <w:t>。</w:t>
      </w:r>
    </w:p>
    <w:p w14:paraId="760F7B1C">
      <w:pPr>
        <w:pStyle w:val="68"/>
        <w:spacing w:line="480" w:lineRule="exact"/>
        <w:ind w:firstLine="480"/>
        <w:rPr>
          <w:bCs/>
          <w:color w:val="auto"/>
          <w:szCs w:val="24"/>
          <w:highlight w:val="none"/>
        </w:rPr>
      </w:pPr>
      <w:r>
        <w:rPr>
          <w:bCs/>
          <w:color w:val="auto"/>
          <w:szCs w:val="24"/>
          <w:highlight w:val="none"/>
        </w:rPr>
        <w:t>经计算，b=</w:t>
      </w:r>
      <w:r>
        <w:rPr>
          <w:rFonts w:hint="eastAsia"/>
          <w:bCs/>
          <w:color w:val="auto"/>
          <w:szCs w:val="24"/>
          <w:highlight w:val="none"/>
          <w:lang w:val="en-US" w:eastAsia="zh-CN"/>
        </w:rPr>
        <w:t>783.77</w:t>
      </w:r>
      <w:r>
        <w:rPr>
          <w:bCs/>
          <w:color w:val="auto"/>
          <w:szCs w:val="24"/>
          <w:highlight w:val="none"/>
        </w:rPr>
        <w:t>m</w:t>
      </w:r>
      <w:r>
        <w:rPr>
          <w:rFonts w:hint="eastAsia"/>
          <w:bCs/>
          <w:color w:val="auto"/>
          <w:szCs w:val="24"/>
          <w:highlight w:val="none"/>
          <w:lang w:eastAsia="zh-CN"/>
        </w:rPr>
        <w:t>。坝两端为稳定不可冲刷山体，</w:t>
      </w:r>
      <w:r>
        <w:rPr>
          <w:rFonts w:hint="eastAsia"/>
          <w:bCs/>
          <w:color w:val="auto"/>
          <w:szCs w:val="24"/>
          <w:highlight w:val="none"/>
          <w:lang w:val="en-US" w:eastAsia="zh-CN"/>
        </w:rPr>
        <w:t>因此</w:t>
      </w:r>
      <w:r>
        <w:rPr>
          <w:bCs/>
          <w:color w:val="auto"/>
          <w:szCs w:val="24"/>
          <w:highlight w:val="none"/>
        </w:rPr>
        <w:t>溃坝口宽度</w:t>
      </w:r>
      <w:r>
        <w:rPr>
          <w:rFonts w:hint="eastAsia"/>
          <w:bCs/>
          <w:color w:val="auto"/>
          <w:szCs w:val="24"/>
          <w:highlight w:val="none"/>
          <w:lang w:val="en-US" w:eastAsia="zh-CN"/>
        </w:rPr>
        <w:t>取坝体最大坝轴线长度</w:t>
      </w:r>
      <w:r>
        <w:rPr>
          <w:rFonts w:hint="eastAsia"/>
          <w:color w:val="auto"/>
          <w:szCs w:val="24"/>
          <w:highlight w:val="none"/>
          <w:lang w:val="en-US" w:eastAsia="zh-CN"/>
        </w:rPr>
        <w:t>536.66m</w:t>
      </w:r>
      <w:r>
        <w:rPr>
          <w:bCs/>
          <w:color w:val="auto"/>
          <w:szCs w:val="24"/>
          <w:highlight w:val="none"/>
        </w:rPr>
        <w:t>。</w:t>
      </w:r>
    </w:p>
    <w:p w14:paraId="30500D8D">
      <w:pPr>
        <w:pStyle w:val="68"/>
        <w:spacing w:line="480" w:lineRule="exact"/>
        <w:ind w:firstLine="480"/>
        <w:rPr>
          <w:bCs/>
          <w:color w:val="auto"/>
          <w:szCs w:val="24"/>
          <w:highlight w:val="none"/>
        </w:rPr>
      </w:pPr>
      <w:r>
        <w:rPr>
          <w:bCs/>
          <w:color w:val="auto"/>
          <w:szCs w:val="24"/>
          <w:highlight w:val="none"/>
        </w:rPr>
        <w:t>②最大下泄流量</w:t>
      </w:r>
    </w:p>
    <w:p w14:paraId="3BEFFB2A">
      <w:pPr>
        <w:pStyle w:val="68"/>
        <w:spacing w:line="480" w:lineRule="auto"/>
        <w:ind w:firstLine="480"/>
        <w:jc w:val="center"/>
        <w:rPr>
          <w:bCs/>
          <w:color w:val="auto"/>
          <w:szCs w:val="24"/>
          <w:highlight w:val="none"/>
        </w:rPr>
      </w:pPr>
      <w:r>
        <w:rPr>
          <w:color w:val="auto"/>
          <w:position w:val="-13"/>
          <w:highlight w:val="none"/>
        </w:rPr>
        <w:drawing>
          <wp:inline distT="0" distB="0" distL="114300" distR="114300">
            <wp:extent cx="1593215" cy="431165"/>
            <wp:effectExtent l="0" t="0" r="6985" b="6985"/>
            <wp:docPr id="62" name="图片 11"/>
            <wp:cNvGraphicFramePr/>
            <a:graphic xmlns:a="http://schemas.openxmlformats.org/drawingml/2006/main">
              <a:graphicData uri="http://schemas.openxmlformats.org/drawingml/2006/picture">
                <pic:pic xmlns:pic="http://schemas.openxmlformats.org/drawingml/2006/picture">
                  <pic:nvPicPr>
                    <pic:cNvPr id="62" name="图片 11"/>
                    <pic:cNvPicPr/>
                  </pic:nvPicPr>
                  <pic:blipFill>
                    <a:blip r:embed="rId83"/>
                    <a:stretch>
                      <a:fillRect/>
                    </a:stretch>
                  </pic:blipFill>
                  <pic:spPr>
                    <a:xfrm>
                      <a:off x="0" y="0"/>
                      <a:ext cx="1593215" cy="431165"/>
                    </a:xfrm>
                    <a:prstGeom prst="rect">
                      <a:avLst/>
                    </a:prstGeom>
                    <a:noFill/>
                    <a:ln>
                      <a:noFill/>
                    </a:ln>
                  </pic:spPr>
                </pic:pic>
              </a:graphicData>
            </a:graphic>
          </wp:inline>
        </w:drawing>
      </w:r>
    </w:p>
    <w:p w14:paraId="104ABA1A">
      <w:pPr>
        <w:spacing w:line="480" w:lineRule="exact"/>
        <w:ind w:firstLine="480"/>
        <w:rPr>
          <w:color w:val="auto"/>
          <w:szCs w:val="24"/>
          <w:highlight w:val="none"/>
        </w:rPr>
      </w:pPr>
      <w:r>
        <w:rPr>
          <w:color w:val="auto"/>
          <w:szCs w:val="24"/>
          <w:highlight w:val="none"/>
        </w:rPr>
        <w:t>式中：b——溃口宽度，</w:t>
      </w:r>
      <w:r>
        <w:rPr>
          <w:rFonts w:hint="eastAsia"/>
          <w:color w:val="auto"/>
          <w:szCs w:val="24"/>
          <w:highlight w:val="none"/>
          <w:lang w:val="en-US" w:eastAsia="zh-CN"/>
        </w:rPr>
        <w:t>取</w:t>
      </w:r>
      <w:r>
        <w:rPr>
          <w:color w:val="auto"/>
          <w:szCs w:val="24"/>
          <w:highlight w:val="none"/>
        </w:rPr>
        <w:t>主坝长度</w:t>
      </w:r>
      <w:r>
        <w:rPr>
          <w:rFonts w:hint="eastAsia"/>
          <w:color w:val="auto"/>
          <w:szCs w:val="24"/>
          <w:highlight w:val="none"/>
          <w:lang w:val="en-US" w:eastAsia="zh-CN"/>
        </w:rPr>
        <w:t>536.66</w:t>
      </w:r>
      <w:r>
        <w:rPr>
          <w:color w:val="auto"/>
          <w:szCs w:val="24"/>
          <w:highlight w:val="none"/>
        </w:rPr>
        <w:t>m；</w:t>
      </w:r>
    </w:p>
    <w:p w14:paraId="4B10EB90">
      <w:pPr>
        <w:spacing w:line="480" w:lineRule="exact"/>
        <w:ind w:firstLine="1200" w:firstLineChars="500"/>
        <w:rPr>
          <w:color w:val="auto"/>
          <w:szCs w:val="24"/>
          <w:highlight w:val="none"/>
        </w:rPr>
      </w:pPr>
      <w:r>
        <w:rPr>
          <w:color w:val="auto"/>
          <w:szCs w:val="24"/>
          <w:highlight w:val="none"/>
        </w:rPr>
        <w:t>B——尾矿库主坝长度，为</w:t>
      </w:r>
      <w:r>
        <w:rPr>
          <w:rFonts w:hint="eastAsia"/>
          <w:color w:val="auto"/>
          <w:szCs w:val="24"/>
          <w:highlight w:val="none"/>
          <w:lang w:val="en-US" w:eastAsia="zh-CN"/>
        </w:rPr>
        <w:t>536.66</w:t>
      </w:r>
      <w:r>
        <w:rPr>
          <w:color w:val="auto"/>
          <w:szCs w:val="24"/>
          <w:highlight w:val="none"/>
        </w:rPr>
        <w:t>m；</w:t>
      </w:r>
    </w:p>
    <w:p w14:paraId="03A963CD">
      <w:pPr>
        <w:spacing w:line="480" w:lineRule="exact"/>
        <w:ind w:firstLine="1200" w:firstLineChars="500"/>
        <w:rPr>
          <w:color w:val="auto"/>
          <w:szCs w:val="24"/>
          <w:highlight w:val="none"/>
        </w:rPr>
      </w:pPr>
      <w:r>
        <w:rPr>
          <w:rFonts w:hint="eastAsia"/>
          <w:color w:val="auto"/>
          <w:szCs w:val="24"/>
          <w:highlight w:val="none"/>
        </w:rPr>
        <w:t>g</w:t>
      </w:r>
      <w:r>
        <w:rPr>
          <w:color w:val="auto"/>
          <w:szCs w:val="24"/>
          <w:highlight w:val="none"/>
        </w:rPr>
        <w:t>——重力加速度，9.8m/s²；</w:t>
      </w:r>
    </w:p>
    <w:p w14:paraId="52E5F90F">
      <w:pPr>
        <w:spacing w:line="480" w:lineRule="exact"/>
        <w:ind w:firstLine="1200" w:firstLineChars="500"/>
        <w:rPr>
          <w:color w:val="auto"/>
          <w:szCs w:val="24"/>
          <w:highlight w:val="none"/>
        </w:rPr>
      </w:pPr>
      <w:r>
        <w:rPr>
          <w:color w:val="auto"/>
          <w:szCs w:val="24"/>
          <w:highlight w:val="none"/>
        </w:rPr>
        <w:t>H</w:t>
      </w:r>
      <w:r>
        <w:rPr>
          <w:color w:val="auto"/>
          <w:szCs w:val="24"/>
          <w:highlight w:val="none"/>
          <w:vertAlign w:val="subscript"/>
        </w:rPr>
        <w:t>0</w:t>
      </w:r>
      <w:r>
        <w:rPr>
          <w:color w:val="auto"/>
          <w:szCs w:val="24"/>
          <w:highlight w:val="none"/>
        </w:rPr>
        <w:t>——坝前上游水深，取1.5m。</w:t>
      </w:r>
    </w:p>
    <w:p w14:paraId="4DC8DC46">
      <w:pPr>
        <w:spacing w:line="480" w:lineRule="exact"/>
        <w:ind w:firstLine="480"/>
        <w:rPr>
          <w:color w:val="auto"/>
          <w:szCs w:val="24"/>
          <w:highlight w:val="none"/>
        </w:rPr>
      </w:pPr>
      <w:r>
        <w:rPr>
          <w:color w:val="auto"/>
          <w:szCs w:val="24"/>
          <w:highlight w:val="none"/>
        </w:rPr>
        <w:t>通过计算可得，最大下泄流量为</w:t>
      </w:r>
      <w:r>
        <w:rPr>
          <w:rFonts w:hint="eastAsia"/>
          <w:color w:val="auto"/>
          <w:szCs w:val="24"/>
          <w:highlight w:val="none"/>
          <w:lang w:val="en-US" w:eastAsia="zh-CN"/>
        </w:rPr>
        <w:t>914.48</w:t>
      </w:r>
      <w:r>
        <w:rPr>
          <w:color w:val="auto"/>
          <w:szCs w:val="24"/>
          <w:highlight w:val="none"/>
        </w:rPr>
        <w:t>m</w:t>
      </w:r>
      <w:r>
        <w:rPr>
          <w:rFonts w:hint="eastAsia"/>
          <w:color w:val="auto"/>
          <w:szCs w:val="24"/>
          <w:highlight w:val="none"/>
          <w:vertAlign w:val="superscript"/>
        </w:rPr>
        <w:t>3</w:t>
      </w:r>
      <w:r>
        <w:rPr>
          <w:color w:val="auto"/>
          <w:szCs w:val="24"/>
          <w:highlight w:val="none"/>
        </w:rPr>
        <w:t>/s。</w:t>
      </w:r>
    </w:p>
    <w:p w14:paraId="6FC31AF4">
      <w:pPr>
        <w:pStyle w:val="68"/>
        <w:spacing w:line="480" w:lineRule="exact"/>
        <w:ind w:firstLine="480"/>
        <w:rPr>
          <w:bCs/>
          <w:color w:val="auto"/>
          <w:szCs w:val="24"/>
          <w:highlight w:val="none"/>
        </w:rPr>
      </w:pPr>
      <w:r>
        <w:rPr>
          <w:bCs/>
          <w:color w:val="auto"/>
          <w:szCs w:val="24"/>
          <w:highlight w:val="none"/>
        </w:rPr>
        <w:t>③溃坝尾砂流到达时间</w:t>
      </w:r>
    </w:p>
    <w:p w14:paraId="1810AF2F">
      <w:pPr>
        <w:pStyle w:val="68"/>
        <w:spacing w:line="480" w:lineRule="exact"/>
        <w:ind w:firstLine="480"/>
        <w:rPr>
          <w:bCs/>
          <w:color w:val="auto"/>
          <w:szCs w:val="24"/>
          <w:highlight w:val="none"/>
        </w:rPr>
      </w:pPr>
      <w:r>
        <w:rPr>
          <w:bCs/>
          <w:color w:val="auto"/>
          <w:szCs w:val="24"/>
          <w:highlight w:val="none"/>
        </w:rPr>
        <w:t>根据尾矿泄漏量和最大泄砂流量可以计算，溃坝尾矿下泄最小总历时，计算公式如下：</w:t>
      </w:r>
    </w:p>
    <w:p w14:paraId="24DBF85F">
      <w:pPr>
        <w:pStyle w:val="68"/>
        <w:spacing w:line="480" w:lineRule="exact"/>
        <w:ind w:firstLine="480"/>
        <w:jc w:val="center"/>
        <w:rPr>
          <w:color w:val="auto"/>
          <w:position w:val="-12"/>
          <w:highlight w:val="none"/>
        </w:rPr>
      </w:pPr>
      <w:r>
        <w:rPr>
          <w:color w:val="auto"/>
          <w:position w:val="-12"/>
          <w:highlight w:val="none"/>
        </w:rPr>
        <w:drawing>
          <wp:inline distT="0" distB="0" distL="114300" distR="114300">
            <wp:extent cx="501015" cy="349250"/>
            <wp:effectExtent l="0" t="0" r="13335" b="13335"/>
            <wp:docPr id="73" name="图片 12"/>
            <wp:cNvGraphicFramePr/>
            <a:graphic xmlns:a="http://schemas.openxmlformats.org/drawingml/2006/main">
              <a:graphicData uri="http://schemas.openxmlformats.org/drawingml/2006/picture">
                <pic:pic xmlns:pic="http://schemas.openxmlformats.org/drawingml/2006/picture">
                  <pic:nvPicPr>
                    <pic:cNvPr id="73" name="图片 12"/>
                    <pic:cNvPicPr/>
                  </pic:nvPicPr>
                  <pic:blipFill>
                    <a:blip r:embed="rId84"/>
                    <a:stretch>
                      <a:fillRect/>
                    </a:stretch>
                  </pic:blipFill>
                  <pic:spPr>
                    <a:xfrm>
                      <a:off x="0" y="0"/>
                      <a:ext cx="501015" cy="349250"/>
                    </a:xfrm>
                    <a:prstGeom prst="rect">
                      <a:avLst/>
                    </a:prstGeom>
                    <a:noFill/>
                    <a:ln>
                      <a:noFill/>
                    </a:ln>
                  </pic:spPr>
                </pic:pic>
              </a:graphicData>
            </a:graphic>
          </wp:inline>
        </w:drawing>
      </w:r>
    </w:p>
    <w:p w14:paraId="31A97C30">
      <w:pPr>
        <w:pStyle w:val="68"/>
        <w:spacing w:line="480" w:lineRule="exact"/>
        <w:ind w:firstLine="480"/>
        <w:rPr>
          <w:bCs/>
          <w:color w:val="auto"/>
          <w:position w:val="0"/>
          <w:highlight w:val="none"/>
        </w:rPr>
      </w:pPr>
      <w:r>
        <w:rPr>
          <w:bCs/>
          <w:color w:val="auto"/>
          <w:position w:val="0"/>
          <w:highlight w:val="none"/>
        </w:rPr>
        <w:t>式中：V—尾矿最大下泄量，取有效库容的50%，为</w:t>
      </w:r>
      <w:r>
        <w:rPr>
          <w:rFonts w:hint="eastAsia"/>
          <w:bCs/>
          <w:color w:val="auto"/>
          <w:position w:val="0"/>
          <w:highlight w:val="none"/>
          <w:lang w:eastAsia="zh-CN"/>
        </w:rPr>
        <w:t>1</w:t>
      </w:r>
      <w:r>
        <w:rPr>
          <w:rFonts w:hint="eastAsia"/>
          <w:bCs/>
          <w:color w:val="auto"/>
          <w:position w:val="0"/>
          <w:highlight w:val="none"/>
          <w:lang w:val="en-US" w:eastAsia="zh-CN"/>
        </w:rPr>
        <w:t>900</w:t>
      </w:r>
      <w:r>
        <w:rPr>
          <w:bCs/>
          <w:color w:val="auto"/>
          <w:position w:val="0"/>
          <w:highlight w:val="none"/>
        </w:rPr>
        <w:t>万m</w:t>
      </w:r>
      <w:r>
        <w:rPr>
          <w:rFonts w:hint="default"/>
          <w:bCs/>
          <w:color w:val="auto"/>
          <w:position w:val="0"/>
          <w:highlight w:val="none"/>
          <w:vertAlign w:val="superscript"/>
        </w:rPr>
        <w:t>3</w:t>
      </w:r>
      <w:r>
        <w:rPr>
          <w:rFonts w:hint="default"/>
          <w:bCs/>
          <w:color w:val="auto"/>
          <w:position w:val="0"/>
          <w:highlight w:val="none"/>
        </w:rPr>
        <w:t>；</w:t>
      </w:r>
    </w:p>
    <w:p w14:paraId="054D3F8F">
      <w:pPr>
        <w:pStyle w:val="68"/>
        <w:spacing w:line="480" w:lineRule="exact"/>
        <w:ind w:firstLine="480" w:firstLineChars="0"/>
        <w:rPr>
          <w:rFonts w:hint="default"/>
          <w:bCs/>
          <w:color w:val="auto"/>
          <w:position w:val="0"/>
          <w:highlight w:val="none"/>
        </w:rPr>
      </w:pPr>
      <w:r>
        <w:rPr>
          <w:rFonts w:hint="default"/>
          <w:bCs/>
          <w:color w:val="auto"/>
          <w:position w:val="0"/>
          <w:highlight w:val="none"/>
        </w:rPr>
        <w:t>Q</w:t>
      </w:r>
      <w:r>
        <w:rPr>
          <w:rFonts w:hint="default"/>
          <w:bCs/>
          <w:color w:val="auto"/>
          <w:position w:val="0"/>
          <w:highlight w:val="none"/>
          <w:vertAlign w:val="baseline"/>
        </w:rPr>
        <w:t>max</w:t>
      </w:r>
      <w:r>
        <w:rPr>
          <w:rFonts w:hint="default"/>
          <w:bCs/>
          <w:color w:val="auto"/>
          <w:position w:val="0"/>
          <w:highlight w:val="none"/>
        </w:rPr>
        <w:t>—最大泄砂流量，为</w:t>
      </w:r>
      <w:r>
        <w:rPr>
          <w:rFonts w:hint="eastAsia"/>
          <w:bCs/>
          <w:color w:val="auto"/>
          <w:position w:val="0"/>
          <w:highlight w:val="none"/>
          <w:lang w:eastAsia="zh-CN"/>
        </w:rPr>
        <w:t>9</w:t>
      </w:r>
      <w:r>
        <w:rPr>
          <w:rFonts w:hint="eastAsia"/>
          <w:bCs/>
          <w:color w:val="auto"/>
          <w:position w:val="0"/>
          <w:highlight w:val="none"/>
          <w:lang w:val="en-US" w:eastAsia="zh-CN"/>
        </w:rPr>
        <w:t>14.48</w:t>
      </w:r>
      <w:r>
        <w:rPr>
          <w:rFonts w:hint="default"/>
          <w:bCs/>
          <w:color w:val="auto"/>
          <w:position w:val="0"/>
          <w:highlight w:val="none"/>
        </w:rPr>
        <w:t>m</w:t>
      </w:r>
      <w:r>
        <w:rPr>
          <w:rFonts w:hint="default"/>
          <w:bCs/>
          <w:color w:val="auto"/>
          <w:position w:val="0"/>
          <w:highlight w:val="none"/>
          <w:vertAlign w:val="superscript"/>
        </w:rPr>
        <w:t>3</w:t>
      </w:r>
      <w:r>
        <w:rPr>
          <w:rFonts w:hint="default"/>
          <w:bCs/>
          <w:color w:val="auto"/>
          <w:position w:val="0"/>
          <w:highlight w:val="none"/>
        </w:rPr>
        <w:t>/s；</w:t>
      </w:r>
    </w:p>
    <w:p w14:paraId="6C6E6B1F">
      <w:pPr>
        <w:pStyle w:val="68"/>
        <w:spacing w:line="480" w:lineRule="exact"/>
        <w:ind w:firstLine="480"/>
        <w:rPr>
          <w:bCs/>
          <w:color w:val="auto"/>
          <w:position w:val="0"/>
          <w:highlight w:val="none"/>
        </w:rPr>
      </w:pPr>
      <w:r>
        <w:rPr>
          <w:rFonts w:hint="default"/>
          <w:bCs/>
          <w:color w:val="auto"/>
          <w:position w:val="0"/>
          <w:highlight w:val="none"/>
        </w:rPr>
        <w:t>经计算，尾矿下泄最小总历时为</w:t>
      </w:r>
      <w:r>
        <w:rPr>
          <w:rFonts w:hint="eastAsia"/>
          <w:bCs/>
          <w:color w:val="auto"/>
          <w:position w:val="0"/>
          <w:highlight w:val="none"/>
          <w:lang w:eastAsia="zh-CN"/>
        </w:rPr>
        <w:t>2</w:t>
      </w:r>
      <w:r>
        <w:rPr>
          <w:rFonts w:hint="eastAsia"/>
          <w:bCs/>
          <w:color w:val="auto"/>
          <w:position w:val="0"/>
          <w:highlight w:val="none"/>
          <w:lang w:val="en-US" w:eastAsia="zh-CN"/>
        </w:rPr>
        <w:t>0776.8</w:t>
      </w:r>
      <w:r>
        <w:rPr>
          <w:rFonts w:hint="default"/>
          <w:bCs/>
          <w:color w:val="auto"/>
          <w:position w:val="0"/>
          <w:highlight w:val="none"/>
        </w:rPr>
        <w:t>s。</w:t>
      </w:r>
    </w:p>
    <w:p w14:paraId="328FD622">
      <w:pPr>
        <w:pStyle w:val="68"/>
        <w:spacing w:line="480" w:lineRule="exact"/>
        <w:ind w:firstLine="480"/>
        <w:rPr>
          <w:bCs/>
          <w:color w:val="auto"/>
          <w:szCs w:val="24"/>
          <w:highlight w:val="none"/>
        </w:rPr>
      </w:pPr>
      <w:r>
        <w:rPr>
          <w:bCs/>
          <w:color w:val="auto"/>
          <w:szCs w:val="24"/>
          <w:highlight w:val="none"/>
        </w:rPr>
        <w:t>④环境影响范围</w:t>
      </w:r>
    </w:p>
    <w:p w14:paraId="26F5EF96">
      <w:pPr>
        <w:pStyle w:val="68"/>
        <w:spacing w:line="480" w:lineRule="exact"/>
        <w:ind w:firstLine="480"/>
        <w:rPr>
          <w:bCs/>
          <w:color w:val="auto"/>
          <w:position w:val="0"/>
          <w:highlight w:val="none"/>
        </w:rPr>
      </w:pPr>
      <w:r>
        <w:rPr>
          <w:bCs/>
          <w:color w:val="auto"/>
          <w:position w:val="0"/>
          <w:highlight w:val="none"/>
        </w:rPr>
        <w:t>总结国内外曾发生的尾矿库溃坝事故实例，溃坝影响范围与坝高和下游坡度有较大的关系，一般溃坝影响范围是坝高的10~50倍。本项目尾矿库下游坡度约为3%左右，根据经验值估算，溃坝事故的环境影响范围取总坝高的40倍，本项目尾矿库坝高最大值</w:t>
      </w:r>
      <w:r>
        <w:rPr>
          <w:rFonts w:hint="eastAsia"/>
          <w:bCs/>
          <w:color w:val="auto"/>
          <w:position w:val="0"/>
          <w:highlight w:val="none"/>
          <w:lang w:eastAsia="zh-CN"/>
        </w:rPr>
        <w:t>1</w:t>
      </w:r>
      <w:r>
        <w:rPr>
          <w:rFonts w:hint="eastAsia"/>
          <w:bCs/>
          <w:color w:val="auto"/>
          <w:position w:val="0"/>
          <w:highlight w:val="none"/>
          <w:lang w:val="en-US" w:eastAsia="zh-CN"/>
        </w:rPr>
        <w:t>15</w:t>
      </w:r>
      <w:r>
        <w:rPr>
          <w:bCs/>
          <w:color w:val="auto"/>
          <w:position w:val="0"/>
          <w:highlight w:val="none"/>
        </w:rPr>
        <w:t>m，库体下游为平原，则本次主坝溃坝风险影响范围为尾矿坝下游</w:t>
      </w:r>
      <w:r>
        <w:rPr>
          <w:rFonts w:hint="eastAsia"/>
          <w:bCs/>
          <w:color w:val="auto"/>
          <w:position w:val="0"/>
          <w:highlight w:val="none"/>
          <w:lang w:eastAsia="zh-CN"/>
        </w:rPr>
        <w:t>4</w:t>
      </w:r>
      <w:r>
        <w:rPr>
          <w:rFonts w:hint="eastAsia"/>
          <w:bCs/>
          <w:color w:val="auto"/>
          <w:position w:val="0"/>
          <w:highlight w:val="none"/>
          <w:lang w:val="en-US" w:eastAsia="zh-CN"/>
        </w:rPr>
        <w:t>6</w:t>
      </w:r>
      <w:r>
        <w:rPr>
          <w:bCs/>
          <w:color w:val="auto"/>
          <w:position w:val="0"/>
          <w:highlight w:val="none"/>
        </w:rPr>
        <w:t>00m范围。</w:t>
      </w:r>
    </w:p>
    <w:p w14:paraId="43D4A0F3">
      <w:pPr>
        <w:pStyle w:val="68"/>
        <w:spacing w:line="480" w:lineRule="exact"/>
        <w:ind w:firstLine="480"/>
        <w:rPr>
          <w:bCs/>
          <w:color w:val="auto"/>
          <w:position w:val="0"/>
          <w:highlight w:val="none"/>
        </w:rPr>
      </w:pPr>
      <w:r>
        <w:rPr>
          <w:bCs/>
          <w:color w:val="auto"/>
          <w:position w:val="0"/>
          <w:highlight w:val="none"/>
        </w:rPr>
        <w:t>本项目的尾矿砂属于I类固体废物，不属于有毒有害物质，即便尾矿外泄，由于尾矿砂不属于有毒有害物质的大面积扩散，不构成重大危险事故源。根据预测结果，当尾矿库发生溃坝事件时，下泄流量将达到</w:t>
      </w:r>
      <w:r>
        <w:rPr>
          <w:rFonts w:hint="eastAsia"/>
          <w:bCs/>
          <w:color w:val="auto"/>
          <w:position w:val="0"/>
          <w:highlight w:val="none"/>
          <w:lang w:eastAsia="zh-CN"/>
        </w:rPr>
        <w:t>9</w:t>
      </w:r>
      <w:r>
        <w:rPr>
          <w:rFonts w:hint="eastAsia"/>
          <w:bCs/>
          <w:color w:val="auto"/>
          <w:position w:val="0"/>
          <w:highlight w:val="none"/>
          <w:lang w:val="en-US" w:eastAsia="zh-CN"/>
        </w:rPr>
        <w:t>14.48</w:t>
      </w:r>
      <w:r>
        <w:rPr>
          <w:rFonts w:hint="default"/>
          <w:bCs/>
          <w:color w:val="auto"/>
          <w:position w:val="0"/>
          <w:highlight w:val="none"/>
        </w:rPr>
        <w:t>m</w:t>
      </w:r>
      <w:r>
        <w:rPr>
          <w:rFonts w:hint="default"/>
          <w:bCs/>
          <w:color w:val="auto"/>
          <w:position w:val="0"/>
          <w:highlight w:val="none"/>
          <w:vertAlign w:val="superscript"/>
        </w:rPr>
        <w:t>3</w:t>
      </w:r>
      <w:r>
        <w:rPr>
          <w:rFonts w:hint="default"/>
          <w:bCs/>
          <w:color w:val="auto"/>
          <w:position w:val="0"/>
          <w:highlight w:val="none"/>
        </w:rPr>
        <w:t>/s，</w:t>
      </w:r>
      <w:r>
        <w:rPr>
          <w:bCs/>
          <w:color w:val="auto"/>
          <w:position w:val="0"/>
          <w:highlight w:val="none"/>
        </w:rPr>
        <w:t>一旦发生溃坝事件将对尾矿库下游的生态环境造成影响，因此建设单位需加强尾矿库的监管及隐患排查工作，避免出现尾矿库溃坝现象对下游环境产生影响。</w:t>
      </w:r>
    </w:p>
    <w:p w14:paraId="1E82021B">
      <w:pPr>
        <w:pStyle w:val="42"/>
        <w:rPr>
          <w:rFonts w:hint="default"/>
          <w:color w:val="auto"/>
          <w:highlight w:val="none"/>
        </w:rPr>
      </w:pPr>
      <w:r>
        <w:rPr>
          <w:rFonts w:hint="default"/>
          <w:color w:val="auto"/>
          <w:highlight w:val="none"/>
        </w:rPr>
        <w:t>环境风险防范措施</w:t>
      </w:r>
    </w:p>
    <w:p w14:paraId="7C979B26">
      <w:pPr>
        <w:pStyle w:val="3"/>
        <w:ind w:firstLine="480"/>
        <w:rPr>
          <w:color w:val="auto"/>
          <w:highlight w:val="none"/>
        </w:rPr>
      </w:pPr>
      <w:r>
        <w:rPr>
          <w:color w:val="auto"/>
          <w:highlight w:val="none"/>
        </w:rPr>
        <w:t>（1）火灾事故防范措施</w:t>
      </w:r>
    </w:p>
    <w:p w14:paraId="5F27FCBC">
      <w:pPr>
        <w:pStyle w:val="3"/>
        <w:ind w:firstLine="480"/>
        <w:rPr>
          <w:color w:val="auto"/>
          <w:highlight w:val="none"/>
        </w:rPr>
      </w:pPr>
      <w:r>
        <w:rPr>
          <w:color w:val="auto"/>
          <w:highlight w:val="none"/>
        </w:rPr>
        <w:t>①</w:t>
      </w:r>
      <w:r>
        <w:rPr>
          <w:rFonts w:hint="eastAsia"/>
          <w:color w:val="auto"/>
          <w:highlight w:val="none"/>
        </w:rPr>
        <w:t>在选矿厂各个</w:t>
      </w:r>
      <w:r>
        <w:rPr>
          <w:color w:val="auto"/>
          <w:highlight w:val="none"/>
        </w:rPr>
        <w:t>车间内配备相应品种和数量的消防器材及泄漏应急处理设备。</w:t>
      </w:r>
    </w:p>
    <w:p w14:paraId="1C17A2EC">
      <w:pPr>
        <w:pStyle w:val="3"/>
        <w:ind w:firstLine="480"/>
        <w:rPr>
          <w:color w:val="auto"/>
          <w:highlight w:val="none"/>
        </w:rPr>
      </w:pPr>
      <w:r>
        <w:rPr>
          <w:color w:val="auto"/>
          <w:highlight w:val="none"/>
        </w:rPr>
        <w:t>②安排专人每周对废机油储存桶进行使用安全检查，并将检查情况记录在“储存设备检查记录表”上，检查内容包括：储存设备是否泄漏、是否完好、各种警示</w:t>
      </w:r>
      <w:r>
        <w:rPr>
          <w:rFonts w:hint="eastAsia"/>
          <w:color w:val="auto"/>
          <w:highlight w:val="none"/>
        </w:rPr>
        <w:t>标识</w:t>
      </w:r>
      <w:r>
        <w:rPr>
          <w:color w:val="auto"/>
          <w:highlight w:val="none"/>
        </w:rPr>
        <w:t>是否齐全、周边消防设施是否正常等。</w:t>
      </w:r>
    </w:p>
    <w:p w14:paraId="51D1FD6B">
      <w:pPr>
        <w:pStyle w:val="3"/>
        <w:ind w:firstLine="480"/>
        <w:rPr>
          <w:color w:val="auto"/>
          <w:highlight w:val="none"/>
        </w:rPr>
      </w:pPr>
      <w:r>
        <w:rPr>
          <w:color w:val="auto"/>
          <w:highlight w:val="none"/>
        </w:rPr>
        <w:t>③操作人员必须经过专门培训，严格遵守操作规程。搬运时要轻装轻卸，防止包装及容器损坏。</w:t>
      </w:r>
    </w:p>
    <w:p w14:paraId="7FF3C8DC">
      <w:pPr>
        <w:pStyle w:val="3"/>
        <w:ind w:firstLine="480"/>
        <w:rPr>
          <w:color w:val="auto"/>
          <w:highlight w:val="none"/>
        </w:rPr>
      </w:pPr>
      <w:r>
        <w:rPr>
          <w:color w:val="auto"/>
          <w:highlight w:val="none"/>
        </w:rPr>
        <w:t>④车间内工作人员不得携带易燃易爆、易腐烂危险品或与生产无关物品。控制明火，不得在车间任何区域吸烟。</w:t>
      </w:r>
    </w:p>
    <w:p w14:paraId="466D9BB4">
      <w:pPr>
        <w:pStyle w:val="3"/>
        <w:ind w:firstLine="480"/>
        <w:rPr>
          <w:color w:val="auto"/>
          <w:highlight w:val="none"/>
        </w:rPr>
      </w:pPr>
      <w:r>
        <w:rPr>
          <w:color w:val="auto"/>
          <w:highlight w:val="none"/>
        </w:rPr>
        <w:t>通过采取以上防范措施，可以有效降低火灾事故发生概率。</w:t>
      </w:r>
    </w:p>
    <w:p w14:paraId="75FB24ED">
      <w:pPr>
        <w:pStyle w:val="3"/>
        <w:ind w:firstLine="480"/>
        <w:rPr>
          <w:color w:val="auto"/>
          <w:highlight w:val="none"/>
        </w:rPr>
      </w:pPr>
      <w:r>
        <w:rPr>
          <w:color w:val="auto"/>
          <w:highlight w:val="none"/>
        </w:rPr>
        <w:t>（2）废机油风险防范</w:t>
      </w:r>
    </w:p>
    <w:p w14:paraId="3EC47E73">
      <w:pPr>
        <w:pStyle w:val="3"/>
        <w:ind w:firstLine="480"/>
        <w:rPr>
          <w:color w:val="auto"/>
          <w:highlight w:val="none"/>
        </w:rPr>
      </w:pPr>
      <w:r>
        <w:rPr>
          <w:color w:val="auto"/>
          <w:highlight w:val="none"/>
        </w:rPr>
        <w:t>1）废机油贮存风险防范措施</w:t>
      </w:r>
    </w:p>
    <w:p w14:paraId="1333E06A">
      <w:pPr>
        <w:pStyle w:val="3"/>
        <w:ind w:firstLine="480"/>
        <w:rPr>
          <w:color w:val="auto"/>
          <w:highlight w:val="none"/>
        </w:rPr>
      </w:pPr>
      <w:r>
        <w:rPr>
          <w:color w:val="auto"/>
          <w:highlight w:val="none"/>
        </w:rPr>
        <w:t>本项目将废机油装入</w:t>
      </w:r>
      <w:r>
        <w:rPr>
          <w:rFonts w:hint="eastAsia"/>
          <w:color w:val="auto"/>
          <w:highlight w:val="none"/>
        </w:rPr>
        <w:t>废油桶</w:t>
      </w:r>
      <w:r>
        <w:rPr>
          <w:color w:val="auto"/>
          <w:highlight w:val="none"/>
        </w:rPr>
        <w:t>内暂存于</w:t>
      </w:r>
      <w:r>
        <w:rPr>
          <w:rFonts w:hint="eastAsia"/>
          <w:color w:val="auto"/>
          <w:highlight w:val="none"/>
        </w:rPr>
        <w:t>危废暂存场所</w:t>
      </w:r>
      <w:r>
        <w:rPr>
          <w:color w:val="auto"/>
          <w:highlight w:val="none"/>
        </w:rPr>
        <w:t>，</w:t>
      </w:r>
      <w:r>
        <w:rPr>
          <w:rFonts w:hint="eastAsia"/>
          <w:color w:val="auto"/>
          <w:highlight w:val="none"/>
        </w:rPr>
        <w:t>危废暂存场所</w:t>
      </w:r>
      <w:r>
        <w:rPr>
          <w:color w:val="auto"/>
          <w:highlight w:val="none"/>
        </w:rPr>
        <w:t>严格按照《危险废物贮存污染控制标准》（GB18597-2023）的要求进行设计和修建，对</w:t>
      </w:r>
      <w:r>
        <w:rPr>
          <w:rFonts w:hint="eastAsia"/>
          <w:color w:val="auto"/>
          <w:highlight w:val="none"/>
        </w:rPr>
        <w:t>废油</w:t>
      </w:r>
      <w:r>
        <w:rPr>
          <w:color w:val="auto"/>
          <w:highlight w:val="none"/>
        </w:rPr>
        <w:t>桶周围修建围堰，并进行防渗处理，确保废机油不泄漏至外环境。废机油的储存应满足《危险废物收集、贮存、运输技术规范》（HJ 2025-2012）中有关危险废物收集、贮存要求。一旦发生废机油泄漏，应及时将</w:t>
      </w:r>
      <w:r>
        <w:rPr>
          <w:rFonts w:hint="eastAsia"/>
          <w:color w:val="auto"/>
          <w:highlight w:val="none"/>
        </w:rPr>
        <w:t>废油</w:t>
      </w:r>
      <w:r>
        <w:rPr>
          <w:color w:val="auto"/>
          <w:highlight w:val="none"/>
        </w:rPr>
        <w:t>桶中剩余的废机油转移至其余完好的备用铁桶中，用砂土吸收泄漏在地面的废机油，与废机油一并</w:t>
      </w:r>
      <w:r>
        <w:rPr>
          <w:rFonts w:hint="eastAsia"/>
          <w:color w:val="auto"/>
          <w:highlight w:val="none"/>
        </w:rPr>
        <w:t>交由</w:t>
      </w:r>
      <w:r>
        <w:rPr>
          <w:color w:val="auto"/>
          <w:highlight w:val="none"/>
        </w:rPr>
        <w:t>资质的单位处理。</w:t>
      </w:r>
    </w:p>
    <w:p w14:paraId="483505CB">
      <w:pPr>
        <w:pStyle w:val="3"/>
        <w:ind w:firstLine="480"/>
        <w:rPr>
          <w:color w:val="auto"/>
          <w:highlight w:val="none"/>
        </w:rPr>
      </w:pPr>
      <w:r>
        <w:rPr>
          <w:color w:val="auto"/>
          <w:highlight w:val="none"/>
        </w:rPr>
        <w:t>本次评价依据废机油泄漏事故的发生及排放途径提出了相应的防范措施，操作性强，效果明显。此外，在选矿厂做好日常防范工作的前提下，废机油泄漏事故的</w:t>
      </w:r>
      <w:r>
        <w:rPr>
          <w:rFonts w:hint="eastAsia"/>
          <w:color w:val="auto"/>
          <w:highlight w:val="none"/>
        </w:rPr>
        <w:t>发生概率较</w:t>
      </w:r>
      <w:r>
        <w:rPr>
          <w:color w:val="auto"/>
          <w:highlight w:val="none"/>
        </w:rPr>
        <w:t>低。</w:t>
      </w:r>
    </w:p>
    <w:p w14:paraId="352C1AEF">
      <w:pPr>
        <w:pStyle w:val="3"/>
        <w:ind w:firstLine="480"/>
        <w:rPr>
          <w:color w:val="auto"/>
          <w:highlight w:val="none"/>
        </w:rPr>
      </w:pPr>
      <w:r>
        <w:rPr>
          <w:color w:val="auto"/>
          <w:highlight w:val="none"/>
        </w:rPr>
        <w:t>2）废机油运输风险防范措施</w:t>
      </w:r>
    </w:p>
    <w:p w14:paraId="781202A9">
      <w:pPr>
        <w:pStyle w:val="3"/>
        <w:ind w:firstLine="480"/>
        <w:rPr>
          <w:color w:val="auto"/>
          <w:highlight w:val="none"/>
        </w:rPr>
      </w:pPr>
      <w:r>
        <w:rPr>
          <w:color w:val="auto"/>
          <w:highlight w:val="none"/>
        </w:rPr>
        <w:t>①运输危险物料的单位，应有资质，车辆应有危险废物运输许可证，司机、押运员有上岗证，具备运输危险品的资格，熟悉所运输的危险品的毒性及应急防范措施。包装物、容器应是定点单位生产。</w:t>
      </w:r>
    </w:p>
    <w:p w14:paraId="65FD044E">
      <w:pPr>
        <w:pStyle w:val="3"/>
        <w:ind w:firstLine="480"/>
        <w:rPr>
          <w:color w:val="auto"/>
          <w:highlight w:val="none"/>
        </w:rPr>
      </w:pPr>
      <w:r>
        <w:rPr>
          <w:color w:val="auto"/>
          <w:highlight w:val="none"/>
        </w:rPr>
        <w:t>②运输途中，要平稳行车、安全驾驶。物流公司运输化学品的司机要技术精湛，并且不吸烟。驾驶中要尽量少用紧急刹车，以保持货物的稳定。</w:t>
      </w:r>
    </w:p>
    <w:p w14:paraId="369B085E">
      <w:pPr>
        <w:pStyle w:val="3"/>
        <w:ind w:firstLine="480"/>
        <w:rPr>
          <w:color w:val="auto"/>
          <w:highlight w:val="none"/>
        </w:rPr>
      </w:pPr>
      <w:r>
        <w:rPr>
          <w:color w:val="auto"/>
          <w:highlight w:val="none"/>
        </w:rPr>
        <w:t>③行车途中勤检查废机油是否有泄漏。由于行车途中车辆颠簸振动，往往容易造成包装破损从而造成废机油泄漏。因此，物流人员要定时查看一下桶盖上有无溢出。再来检查一下铁桶之间的充填物有无跌落，车厢底部四周有无泄漏液体。</w:t>
      </w:r>
    </w:p>
    <w:p w14:paraId="749CC46E">
      <w:pPr>
        <w:pStyle w:val="3"/>
        <w:ind w:firstLine="480"/>
        <w:rPr>
          <w:color w:val="auto"/>
          <w:highlight w:val="none"/>
        </w:rPr>
      </w:pPr>
      <w:r>
        <w:rPr>
          <w:color w:val="auto"/>
          <w:highlight w:val="none"/>
        </w:rPr>
        <w:t>④在运输危险化学品前事先对道路、天气等进行调查，慎重选择路线，并制定相应的预防措施；严禁运输危险品的车辆在中途随意改变路线，随意停车。</w:t>
      </w:r>
    </w:p>
    <w:p w14:paraId="3D289856">
      <w:pPr>
        <w:pStyle w:val="3"/>
        <w:ind w:firstLine="480"/>
        <w:rPr>
          <w:color w:val="auto"/>
          <w:highlight w:val="none"/>
        </w:rPr>
      </w:pPr>
      <w:r>
        <w:rPr>
          <w:color w:val="auto"/>
          <w:highlight w:val="none"/>
        </w:rPr>
        <w:t>通过采取以上防范措施，可以有效降低废机油运输过程事故发生概率。</w:t>
      </w:r>
    </w:p>
    <w:p w14:paraId="5968F621">
      <w:pPr>
        <w:pStyle w:val="3"/>
        <w:ind w:firstLine="480"/>
        <w:rPr>
          <w:color w:val="auto"/>
          <w:highlight w:val="none"/>
        </w:rPr>
      </w:pPr>
      <w:r>
        <w:rPr>
          <w:color w:val="auto"/>
          <w:highlight w:val="none"/>
        </w:rPr>
        <w:t>（3）</w:t>
      </w:r>
      <w:r>
        <w:rPr>
          <w:rFonts w:hint="eastAsia"/>
          <w:color w:val="auto"/>
          <w:highlight w:val="none"/>
        </w:rPr>
        <w:t>地下水</w:t>
      </w:r>
      <w:r>
        <w:rPr>
          <w:color w:val="auto"/>
          <w:highlight w:val="none"/>
        </w:rPr>
        <w:t>风险防范措施</w:t>
      </w:r>
    </w:p>
    <w:p w14:paraId="2AB7367E">
      <w:pPr>
        <w:pStyle w:val="3"/>
        <w:ind w:firstLine="480"/>
        <w:rPr>
          <w:color w:val="auto"/>
          <w:highlight w:val="none"/>
        </w:rPr>
      </w:pPr>
      <w:r>
        <w:rPr>
          <w:color w:val="auto"/>
          <w:highlight w:val="none"/>
        </w:rPr>
        <w:t>①源头控制措施</w:t>
      </w:r>
    </w:p>
    <w:p w14:paraId="51B245D5">
      <w:pPr>
        <w:pStyle w:val="3"/>
        <w:ind w:firstLine="480"/>
        <w:rPr>
          <w:color w:val="auto"/>
          <w:highlight w:val="none"/>
        </w:rPr>
      </w:pPr>
      <w:r>
        <w:rPr>
          <w:color w:val="auto"/>
          <w:highlight w:val="none"/>
        </w:rPr>
        <w:t>项目建设、生产过程中，除了按照既定方案处理废水外，应严格把关工程质量：</w:t>
      </w:r>
    </w:p>
    <w:p w14:paraId="3F2DCFD9">
      <w:pPr>
        <w:pStyle w:val="3"/>
        <w:ind w:firstLine="480"/>
        <w:rPr>
          <w:color w:val="auto"/>
          <w:highlight w:val="none"/>
        </w:rPr>
      </w:pPr>
      <w:r>
        <w:rPr>
          <w:color w:val="auto"/>
          <w:highlight w:val="none"/>
        </w:rPr>
        <w:t>a设备采购中要按照国家相关标准严格把关设备质量；</w:t>
      </w:r>
    </w:p>
    <w:p w14:paraId="5B8B9F02">
      <w:pPr>
        <w:pStyle w:val="3"/>
        <w:ind w:firstLine="480"/>
        <w:rPr>
          <w:color w:val="auto"/>
          <w:highlight w:val="none"/>
        </w:rPr>
      </w:pPr>
      <w:r>
        <w:rPr>
          <w:color w:val="auto"/>
          <w:highlight w:val="none"/>
        </w:rPr>
        <w:t>b施工过程中要按照国家相关建设标准严格把关建设质量；</w:t>
      </w:r>
    </w:p>
    <w:p w14:paraId="165FEE24">
      <w:pPr>
        <w:pStyle w:val="3"/>
        <w:ind w:firstLine="480"/>
        <w:rPr>
          <w:color w:val="auto"/>
          <w:highlight w:val="none"/>
        </w:rPr>
      </w:pPr>
      <w:r>
        <w:rPr>
          <w:color w:val="auto"/>
          <w:highlight w:val="none"/>
        </w:rPr>
        <w:t>c施工过程中要对管道采取防腐措施，运行期间要定期进行防腐检测；</w:t>
      </w:r>
    </w:p>
    <w:p w14:paraId="793F8975">
      <w:pPr>
        <w:pStyle w:val="3"/>
        <w:ind w:firstLine="480"/>
        <w:rPr>
          <w:color w:val="auto"/>
          <w:highlight w:val="none"/>
        </w:rPr>
      </w:pPr>
      <w:r>
        <w:rPr>
          <w:color w:val="auto"/>
          <w:highlight w:val="none"/>
        </w:rPr>
        <w:t>d投产前应按要求进行试运行，并对管道进行试压，对焊缝质量进行检验；</w:t>
      </w:r>
    </w:p>
    <w:p w14:paraId="1589380E">
      <w:pPr>
        <w:pStyle w:val="3"/>
        <w:ind w:firstLine="480"/>
        <w:rPr>
          <w:color w:val="auto"/>
          <w:highlight w:val="none"/>
        </w:rPr>
      </w:pPr>
      <w:r>
        <w:rPr>
          <w:color w:val="auto"/>
          <w:highlight w:val="none"/>
        </w:rPr>
        <w:t>e运行期间要定期检查各设备、管线及其连接部位，确保无跑冒滴漏现象。</w:t>
      </w:r>
    </w:p>
    <w:p w14:paraId="2581CF8C">
      <w:pPr>
        <w:pStyle w:val="3"/>
        <w:ind w:firstLine="480"/>
        <w:rPr>
          <w:color w:val="auto"/>
          <w:highlight w:val="none"/>
        </w:rPr>
      </w:pPr>
      <w:r>
        <w:rPr>
          <w:color w:val="auto"/>
          <w:highlight w:val="none"/>
        </w:rPr>
        <w:t>②严格做好工程防渗</w:t>
      </w:r>
    </w:p>
    <w:p w14:paraId="64E82A7B">
      <w:pPr>
        <w:pStyle w:val="3"/>
        <w:ind w:firstLine="480"/>
        <w:rPr>
          <w:color w:val="auto"/>
          <w:highlight w:val="none"/>
        </w:rPr>
      </w:pPr>
      <w:r>
        <w:rPr>
          <w:color w:val="auto"/>
          <w:highlight w:val="none"/>
        </w:rPr>
        <w:t>为防止地下水污染事故，本项目针对各生产车间、尾矿库</w:t>
      </w:r>
      <w:r>
        <w:rPr>
          <w:rFonts w:hint="eastAsia"/>
          <w:color w:val="auto"/>
          <w:highlight w:val="none"/>
          <w:lang w:eastAsia="zh-CN"/>
        </w:rPr>
        <w:t>、</w:t>
      </w:r>
      <w:r>
        <w:rPr>
          <w:rFonts w:hint="eastAsia"/>
          <w:color w:val="auto"/>
          <w:highlight w:val="none"/>
          <w:lang w:val="en-US" w:eastAsia="zh-CN"/>
        </w:rPr>
        <w:t>事故池</w:t>
      </w:r>
      <w:r>
        <w:rPr>
          <w:color w:val="auto"/>
          <w:highlight w:val="none"/>
        </w:rPr>
        <w:t>等要求其进行分区防渗，采取分区防渗后可从源头控制对地下水的影响。</w:t>
      </w:r>
    </w:p>
    <w:p w14:paraId="133F0944">
      <w:pPr>
        <w:pStyle w:val="3"/>
        <w:ind w:firstLine="480"/>
        <w:rPr>
          <w:rFonts w:hint="eastAsia" w:eastAsia="华文中宋"/>
          <w:color w:val="auto"/>
          <w:highlight w:val="none"/>
          <w:lang w:val="en-US" w:eastAsia="zh-CN"/>
        </w:rPr>
      </w:pPr>
      <w:r>
        <w:rPr>
          <w:rFonts w:hint="eastAsia"/>
          <w:color w:val="auto"/>
          <w:highlight w:val="none"/>
        </w:rPr>
        <w:t>尾矿库防渗型式采用库区底部水平防渗和库区边坡防渗，库区底部分区修整后纵横均形成不小于2%的坡降，水平防渗结构由上至下依次为：0.3m厚尾砂保护层、5.2mm厚复合土工排水网、1.5mmHDPE单糙面土工膜、4500g/m</w:t>
      </w:r>
      <w:r>
        <w:rPr>
          <w:rFonts w:hint="eastAsia"/>
          <w:color w:val="auto"/>
          <w:highlight w:val="none"/>
          <w:vertAlign w:val="superscript"/>
        </w:rPr>
        <w:t>2</w:t>
      </w:r>
      <w:r>
        <w:rPr>
          <w:rFonts w:hint="eastAsia"/>
          <w:color w:val="auto"/>
          <w:highlight w:val="none"/>
        </w:rPr>
        <w:t>天然钠基膨润土GCL；库区边坡由上至下依次为：600g/m</w:t>
      </w:r>
      <w:r>
        <w:rPr>
          <w:rFonts w:hint="eastAsia"/>
          <w:color w:val="auto"/>
          <w:highlight w:val="none"/>
          <w:vertAlign w:val="superscript"/>
        </w:rPr>
        <w:t>2</w:t>
      </w:r>
      <w:r>
        <w:rPr>
          <w:rFonts w:hint="eastAsia"/>
          <w:color w:val="auto"/>
          <w:highlight w:val="none"/>
        </w:rPr>
        <w:t>长丝无纺土工布作为保护层、5.2mm厚复合土工排水网、1.5mmHDPE双糙面土工膜、4500g/m</w:t>
      </w:r>
      <w:r>
        <w:rPr>
          <w:rFonts w:hint="eastAsia"/>
          <w:color w:val="auto"/>
          <w:highlight w:val="none"/>
          <w:vertAlign w:val="superscript"/>
        </w:rPr>
        <w:t>2</w:t>
      </w:r>
      <w:r>
        <w:rPr>
          <w:rFonts w:hint="eastAsia"/>
          <w:color w:val="auto"/>
          <w:highlight w:val="none"/>
        </w:rPr>
        <w:t>天然钠基膨润土GCL。</w:t>
      </w:r>
      <w:r>
        <w:rPr>
          <w:rFonts w:hint="eastAsia"/>
          <w:color w:val="auto"/>
          <w:highlight w:val="none"/>
          <w:lang w:val="en-US" w:eastAsia="zh-CN"/>
        </w:rPr>
        <w:t>事故池</w:t>
      </w:r>
      <w:r>
        <w:rPr>
          <w:color w:val="auto"/>
          <w:highlight w:val="none"/>
        </w:rPr>
        <w:t>防渗性能</w:t>
      </w:r>
      <w:r>
        <w:rPr>
          <w:rFonts w:hint="eastAsia"/>
          <w:color w:val="auto"/>
          <w:highlight w:val="none"/>
          <w:lang w:val="en-US" w:eastAsia="zh-CN"/>
        </w:rPr>
        <w:t>要求</w:t>
      </w:r>
      <w:r>
        <w:rPr>
          <w:color w:val="auto"/>
          <w:highlight w:val="none"/>
        </w:rPr>
        <w:t>不低于6m厚、渗透系数不大于10</w:t>
      </w:r>
      <w:r>
        <w:rPr>
          <w:color w:val="auto"/>
          <w:highlight w:val="none"/>
          <w:vertAlign w:val="superscript"/>
        </w:rPr>
        <w:t>-7</w:t>
      </w:r>
      <w:r>
        <w:rPr>
          <w:color w:val="auto"/>
          <w:highlight w:val="none"/>
        </w:rPr>
        <w:t>cm/s的黏土层防渗性能。</w:t>
      </w:r>
    </w:p>
    <w:p w14:paraId="7EF56EF1">
      <w:pPr>
        <w:pStyle w:val="3"/>
        <w:ind w:firstLine="480"/>
        <w:rPr>
          <w:color w:val="auto"/>
          <w:highlight w:val="none"/>
        </w:rPr>
      </w:pPr>
      <w:r>
        <w:rPr>
          <w:color w:val="auto"/>
          <w:highlight w:val="none"/>
        </w:rPr>
        <w:t>③防渗层维护</w:t>
      </w:r>
    </w:p>
    <w:p w14:paraId="760E9099">
      <w:pPr>
        <w:pStyle w:val="3"/>
        <w:ind w:firstLine="480"/>
        <w:rPr>
          <w:color w:val="auto"/>
          <w:highlight w:val="none"/>
        </w:rPr>
      </w:pPr>
      <w:r>
        <w:rPr>
          <w:color w:val="auto"/>
          <w:highlight w:val="none"/>
        </w:rPr>
        <w:t>项目日常运营过</w:t>
      </w:r>
      <w:r>
        <w:rPr>
          <w:rFonts w:hint="eastAsia"/>
          <w:color w:val="auto"/>
          <w:highlight w:val="none"/>
        </w:rPr>
        <w:t>程中</w:t>
      </w:r>
      <w:r>
        <w:rPr>
          <w:color w:val="auto"/>
          <w:highlight w:val="none"/>
        </w:rPr>
        <w:t>，要定期对防渗措施进行检查和维护，确保防渗层的防渗效果，一旦发现防渗层有开裂、腐蚀等问题，应及时修补，避免事故状态下对项目区地下水造成污染。</w:t>
      </w:r>
    </w:p>
    <w:p w14:paraId="0FFA762E">
      <w:pPr>
        <w:pStyle w:val="3"/>
        <w:ind w:firstLine="480"/>
        <w:rPr>
          <w:color w:val="auto"/>
          <w:highlight w:val="none"/>
        </w:rPr>
      </w:pPr>
      <w:r>
        <w:rPr>
          <w:color w:val="auto"/>
          <w:highlight w:val="none"/>
        </w:rPr>
        <w:t>经采取上述措施后，事故状态下产生的废水对区域地下水周围环境的影响较小。</w:t>
      </w:r>
    </w:p>
    <w:p w14:paraId="51FD3B17">
      <w:pPr>
        <w:pStyle w:val="3"/>
        <w:ind w:firstLine="480"/>
        <w:rPr>
          <w:color w:val="auto"/>
          <w:highlight w:val="none"/>
        </w:rPr>
      </w:pPr>
      <w:r>
        <w:rPr>
          <w:color w:val="auto"/>
          <w:highlight w:val="none"/>
        </w:rPr>
        <w:t>（4）尾矿库环境风险防范措施</w:t>
      </w:r>
    </w:p>
    <w:p w14:paraId="02789362">
      <w:pPr>
        <w:pStyle w:val="3"/>
        <w:ind w:firstLine="480"/>
        <w:rPr>
          <w:color w:val="auto"/>
          <w:highlight w:val="none"/>
        </w:rPr>
      </w:pPr>
      <w:r>
        <w:rPr>
          <w:color w:val="auto"/>
          <w:highlight w:val="none"/>
        </w:rPr>
        <w:t>本项目必须严格按照《选矿安全规程</w:t>
      </w:r>
      <w:r>
        <w:rPr>
          <w:rFonts w:hint="eastAsia"/>
          <w:color w:val="auto"/>
          <w:highlight w:val="none"/>
        </w:rPr>
        <w:t>》《</w:t>
      </w:r>
      <w:r>
        <w:rPr>
          <w:color w:val="auto"/>
          <w:highlight w:val="none"/>
        </w:rPr>
        <w:t>选矿厂尾矿库设施设计规范</w:t>
      </w:r>
      <w:r>
        <w:rPr>
          <w:rFonts w:hint="eastAsia"/>
          <w:color w:val="auto"/>
          <w:highlight w:val="none"/>
        </w:rPr>
        <w:t>》《</w:t>
      </w:r>
      <w:r>
        <w:rPr>
          <w:color w:val="auto"/>
          <w:highlight w:val="none"/>
        </w:rPr>
        <w:t>尾矿库安全监督管理规定</w:t>
      </w:r>
      <w:r>
        <w:rPr>
          <w:rFonts w:hint="eastAsia"/>
          <w:color w:val="auto"/>
          <w:highlight w:val="none"/>
        </w:rPr>
        <w:t>》《</w:t>
      </w:r>
      <w:r>
        <w:rPr>
          <w:color w:val="auto"/>
          <w:highlight w:val="none"/>
        </w:rPr>
        <w:t>尾矿库安全技术规程》等相关规范，对尾矿库进行设计、施工、生产运行、关闭及安全监督管理与维护，以防止发生溃坝等严重事故，并按《建筑抗震设计规范》进行抗震验算，同时环评要求本项目尾矿库在未闭库之前其安全管理</w:t>
      </w:r>
      <w:r>
        <w:rPr>
          <w:rFonts w:hint="eastAsia"/>
          <w:color w:val="auto"/>
          <w:highlight w:val="none"/>
        </w:rPr>
        <w:t>必须严格按照</w:t>
      </w:r>
      <w:r>
        <w:rPr>
          <w:color w:val="auto"/>
          <w:highlight w:val="none"/>
        </w:rPr>
        <w:t>有关规范执行。尾矿库主要风险防范措施如下：</w:t>
      </w:r>
    </w:p>
    <w:p w14:paraId="332FAB96">
      <w:pPr>
        <w:pStyle w:val="3"/>
        <w:ind w:firstLine="480"/>
        <w:rPr>
          <w:color w:val="auto"/>
          <w:highlight w:val="none"/>
        </w:rPr>
      </w:pPr>
      <w:r>
        <w:rPr>
          <w:color w:val="auto"/>
          <w:highlight w:val="none"/>
        </w:rPr>
        <w:t>1）尾矿库</w:t>
      </w:r>
      <w:r>
        <w:rPr>
          <w:rFonts w:hint="eastAsia"/>
          <w:color w:val="auto"/>
          <w:highlight w:val="none"/>
        </w:rPr>
        <w:t>溃坝</w:t>
      </w:r>
      <w:r>
        <w:rPr>
          <w:color w:val="auto"/>
          <w:highlight w:val="none"/>
        </w:rPr>
        <w:t>的防范措施</w:t>
      </w:r>
    </w:p>
    <w:p w14:paraId="7A9F9177">
      <w:pPr>
        <w:pStyle w:val="3"/>
        <w:ind w:firstLine="480"/>
        <w:rPr>
          <w:color w:val="auto"/>
          <w:highlight w:val="none"/>
        </w:rPr>
      </w:pPr>
      <w:r>
        <w:rPr>
          <w:color w:val="auto"/>
          <w:highlight w:val="none"/>
        </w:rPr>
        <w:t>A.要坚持对尾矿坝的定期观测，包括坝体变形、坝内浸润线观测；通过坝体的渗透流量观测以及变形观测等，以保证能够及时发现问题，及时解决，防患于未然。</w:t>
      </w:r>
    </w:p>
    <w:p w14:paraId="71AB9334">
      <w:pPr>
        <w:pStyle w:val="3"/>
        <w:ind w:firstLine="480"/>
        <w:rPr>
          <w:color w:val="auto"/>
          <w:highlight w:val="none"/>
        </w:rPr>
      </w:pPr>
      <w:r>
        <w:rPr>
          <w:color w:val="auto"/>
          <w:highlight w:val="none"/>
        </w:rPr>
        <w:t>B.本项目修建有初期坝、排水管等设施。应对尾矿库进行管理和维护，随时检查尾矿库排水、排洪等构筑物的排洪情况，特别是在雨季、汛期，要坚持24小时值班，以保证遇到险情及时报告、及时排除。</w:t>
      </w:r>
    </w:p>
    <w:p w14:paraId="5DBD8491">
      <w:pPr>
        <w:pStyle w:val="3"/>
        <w:ind w:firstLine="480"/>
        <w:rPr>
          <w:color w:val="auto"/>
          <w:highlight w:val="none"/>
        </w:rPr>
      </w:pPr>
      <w:r>
        <w:rPr>
          <w:color w:val="auto"/>
          <w:highlight w:val="none"/>
        </w:rPr>
        <w:t>C.项目设置位移监测设施，包括位移监测点及监测基点。定期对坝体变形、坝内浸润线进行观测；通过坝体的渗透流量观测及变形观测等，以保证能够及时发现问题，及时解决，防患于未然。</w:t>
      </w:r>
    </w:p>
    <w:p w14:paraId="4435223C">
      <w:pPr>
        <w:pStyle w:val="3"/>
        <w:ind w:firstLine="480"/>
        <w:rPr>
          <w:color w:val="auto"/>
          <w:highlight w:val="none"/>
        </w:rPr>
      </w:pPr>
      <w:r>
        <w:rPr>
          <w:color w:val="auto"/>
          <w:highlight w:val="none"/>
        </w:rPr>
        <w:t>D.服务期满后要在试验研究的基础上及时制定覆土、植被或复田的实施方案，并对坝体的稳定性进行检验，确保尾矿坝的安全。同时应做到及时封场并恢复植被，禁止尾矿库排入尾矿量超过设计指标。</w:t>
      </w:r>
    </w:p>
    <w:p w14:paraId="3AB9DC2D">
      <w:pPr>
        <w:pStyle w:val="3"/>
        <w:ind w:firstLine="480"/>
        <w:rPr>
          <w:color w:val="auto"/>
          <w:highlight w:val="none"/>
        </w:rPr>
      </w:pPr>
      <w:r>
        <w:rPr>
          <w:color w:val="auto"/>
          <w:highlight w:val="none"/>
        </w:rPr>
        <w:t>E.根据国内外尾矿库的建设与运行实践，只要在尾矿库的设计、施工和运行过程中严格执行《选矿厂尾矿设施设计规程》和《尾矿设施管理规程》，保证施工质量，尾矿库垮坝的事故是可以避免的。</w:t>
      </w:r>
    </w:p>
    <w:p w14:paraId="54FAA6BB">
      <w:pPr>
        <w:overflowPunct w:val="0"/>
        <w:topLinePunct/>
        <w:ind w:firstLine="480"/>
        <w:rPr>
          <w:color w:val="auto"/>
          <w:highlight w:val="none"/>
        </w:rPr>
      </w:pPr>
      <w:r>
        <w:rPr>
          <w:color w:val="auto"/>
          <w:highlight w:val="none"/>
        </w:rPr>
        <w:t>2）尾矿库维护管理</w:t>
      </w:r>
    </w:p>
    <w:p w14:paraId="4787C762">
      <w:pPr>
        <w:overflowPunct w:val="0"/>
        <w:topLinePunct/>
        <w:ind w:firstLine="480"/>
        <w:rPr>
          <w:color w:val="auto"/>
          <w:highlight w:val="none"/>
        </w:rPr>
      </w:pPr>
      <w:r>
        <w:rPr>
          <w:color w:val="auto"/>
          <w:highlight w:val="none"/>
        </w:rPr>
        <w:t>A.尾矿库运行过程中，必须按照设计和有关技术规定，认真做好作业平台、待作业平台的维护管理工作。</w:t>
      </w:r>
    </w:p>
    <w:p w14:paraId="506F8665">
      <w:pPr>
        <w:overflowPunct w:val="0"/>
        <w:topLinePunct/>
        <w:ind w:firstLine="480"/>
        <w:rPr>
          <w:color w:val="auto"/>
          <w:highlight w:val="none"/>
        </w:rPr>
      </w:pPr>
      <w:r>
        <w:rPr>
          <w:color w:val="auto"/>
          <w:highlight w:val="none"/>
        </w:rPr>
        <w:t>B.建立健全巡坝护坝工作责任制度，安排专人巡视尾矿坝和整个尾矿库区，保护好尾矿库内相关观测设施，做好坝体安全监测工作。</w:t>
      </w:r>
    </w:p>
    <w:p w14:paraId="0FFD6C7F">
      <w:pPr>
        <w:overflowPunct w:val="0"/>
        <w:topLinePunct/>
        <w:ind w:firstLine="480"/>
        <w:rPr>
          <w:color w:val="auto"/>
          <w:highlight w:val="none"/>
        </w:rPr>
      </w:pPr>
      <w:r>
        <w:rPr>
          <w:color w:val="auto"/>
          <w:highlight w:val="none"/>
        </w:rPr>
        <w:t>C.发现尾矿坝外坡出现局部隆起、坍塌、流沙（土）、管涌等异常现象，应立即分析研究原因，制定处理措施并及时实施处理方案，同时加密观测次数并报告有关部门。</w:t>
      </w:r>
    </w:p>
    <w:p w14:paraId="34DD735D">
      <w:pPr>
        <w:overflowPunct w:val="0"/>
        <w:topLinePunct/>
        <w:ind w:firstLine="480"/>
        <w:rPr>
          <w:color w:val="auto"/>
          <w:highlight w:val="none"/>
        </w:rPr>
      </w:pPr>
      <w:r>
        <w:rPr>
          <w:color w:val="auto"/>
          <w:highlight w:val="none"/>
        </w:rPr>
        <w:t>D.针对尾矿库实际情况，制定尾矿库管理维护和运行细则。安排专人定期检查维护排洪设施、排渗设施等。</w:t>
      </w:r>
    </w:p>
    <w:p w14:paraId="2CC84626">
      <w:pPr>
        <w:overflowPunct w:val="0"/>
        <w:topLinePunct/>
        <w:ind w:firstLine="480"/>
        <w:rPr>
          <w:color w:val="auto"/>
          <w:highlight w:val="none"/>
        </w:rPr>
      </w:pPr>
      <w:r>
        <w:rPr>
          <w:color w:val="auto"/>
          <w:highlight w:val="none"/>
        </w:rPr>
        <w:t>F.当接到震情预报时，根据实际情况作出防震计划和安排。</w:t>
      </w:r>
    </w:p>
    <w:p w14:paraId="280AF36F">
      <w:pPr>
        <w:overflowPunct w:val="0"/>
        <w:topLinePunct/>
        <w:ind w:firstLine="480"/>
        <w:rPr>
          <w:color w:val="auto"/>
          <w:highlight w:val="none"/>
        </w:rPr>
      </w:pPr>
      <w:r>
        <w:rPr>
          <w:color w:val="auto"/>
          <w:highlight w:val="none"/>
        </w:rPr>
        <w:t>G.在库区内严禁爆破、采石、挖土、滥挖尾矿等危害尾矿库安全的活动。如企业需要回采或综合利用库区尾矿时，必须做开发工程设计并经上级主管部门批准后方可进行。</w:t>
      </w:r>
    </w:p>
    <w:p w14:paraId="47EC02EE">
      <w:pPr>
        <w:overflowPunct w:val="0"/>
        <w:topLinePunct/>
        <w:ind w:firstLine="480"/>
        <w:rPr>
          <w:color w:val="auto"/>
          <w:highlight w:val="none"/>
        </w:rPr>
      </w:pPr>
      <w:r>
        <w:rPr>
          <w:color w:val="auto"/>
          <w:highlight w:val="none"/>
        </w:rPr>
        <w:t>H.每级子坝堆筑完毕，应进行质量检验，检验记录与报告需经技术人员签字后存档。</w:t>
      </w:r>
    </w:p>
    <w:p w14:paraId="4CB4C4D1">
      <w:pPr>
        <w:overflowPunct w:val="0"/>
        <w:topLinePunct/>
        <w:ind w:firstLine="480"/>
        <w:rPr>
          <w:color w:val="auto"/>
          <w:highlight w:val="none"/>
        </w:rPr>
      </w:pPr>
      <w:r>
        <w:rPr>
          <w:color w:val="auto"/>
          <w:highlight w:val="none"/>
        </w:rPr>
        <w:t>3）尾矿库</w:t>
      </w:r>
      <w:r>
        <w:rPr>
          <w:rFonts w:hint="eastAsia"/>
          <w:color w:val="auto"/>
          <w:highlight w:val="none"/>
          <w:lang w:eastAsia="zh-CN"/>
        </w:rPr>
        <w:t>度汛</w:t>
      </w:r>
    </w:p>
    <w:p w14:paraId="75787DEC">
      <w:pPr>
        <w:overflowPunct w:val="0"/>
        <w:topLinePunct/>
        <w:ind w:firstLine="480"/>
        <w:rPr>
          <w:color w:val="auto"/>
          <w:highlight w:val="none"/>
        </w:rPr>
      </w:pPr>
      <w:r>
        <w:rPr>
          <w:color w:val="auto"/>
          <w:highlight w:val="none"/>
        </w:rPr>
        <w:t>A.汛前应按下列要求制定</w:t>
      </w:r>
      <w:r>
        <w:rPr>
          <w:rFonts w:hint="eastAsia"/>
          <w:color w:val="auto"/>
          <w:highlight w:val="none"/>
          <w:lang w:eastAsia="zh-CN"/>
        </w:rPr>
        <w:t>度汛</w:t>
      </w:r>
      <w:r>
        <w:rPr>
          <w:color w:val="auto"/>
          <w:highlight w:val="none"/>
        </w:rPr>
        <w:t>方案：</w:t>
      </w:r>
    </w:p>
    <w:p w14:paraId="12733927">
      <w:pPr>
        <w:overflowPunct w:val="0"/>
        <w:topLinePunct/>
        <w:ind w:firstLine="480"/>
        <w:rPr>
          <w:color w:val="auto"/>
          <w:highlight w:val="none"/>
        </w:rPr>
      </w:pPr>
      <w:r>
        <w:rPr>
          <w:color w:val="auto"/>
          <w:highlight w:val="none"/>
        </w:rPr>
        <w:t>B.对坝体必须进行详细检查和可靠的维护，确保排洪通道畅通。</w:t>
      </w:r>
    </w:p>
    <w:p w14:paraId="54B3A46D">
      <w:pPr>
        <w:overflowPunct w:val="0"/>
        <w:topLinePunct/>
        <w:ind w:firstLine="480"/>
        <w:rPr>
          <w:color w:val="auto"/>
          <w:highlight w:val="none"/>
        </w:rPr>
      </w:pPr>
      <w:r>
        <w:rPr>
          <w:color w:val="auto"/>
          <w:highlight w:val="none"/>
        </w:rPr>
        <w:t>C.应准备好必要的抢险、交通、通讯、供电及照明器材或设施，维护整修上坝道路，并确保安全畅通。</w:t>
      </w:r>
    </w:p>
    <w:p w14:paraId="0166307B">
      <w:pPr>
        <w:overflowPunct w:val="0"/>
        <w:topLinePunct/>
        <w:ind w:firstLine="480"/>
        <w:rPr>
          <w:color w:val="auto"/>
          <w:highlight w:val="none"/>
        </w:rPr>
      </w:pPr>
      <w:r>
        <w:rPr>
          <w:color w:val="auto"/>
          <w:highlight w:val="none"/>
        </w:rPr>
        <w:t>D.应了解掌握汛期水情和气象预报。</w:t>
      </w:r>
    </w:p>
    <w:p w14:paraId="43E965E6">
      <w:pPr>
        <w:overflowPunct w:val="0"/>
        <w:topLinePunct/>
        <w:ind w:firstLine="480"/>
        <w:rPr>
          <w:color w:val="auto"/>
          <w:highlight w:val="none"/>
        </w:rPr>
      </w:pPr>
      <w:r>
        <w:rPr>
          <w:color w:val="auto"/>
          <w:highlight w:val="none"/>
        </w:rPr>
        <w:t>4）尾矿库渗流控制</w:t>
      </w:r>
    </w:p>
    <w:p w14:paraId="1B375194">
      <w:pPr>
        <w:overflowPunct w:val="0"/>
        <w:topLinePunct/>
        <w:ind w:firstLine="480"/>
        <w:rPr>
          <w:color w:val="auto"/>
          <w:highlight w:val="none"/>
        </w:rPr>
      </w:pPr>
      <w:r>
        <w:rPr>
          <w:color w:val="auto"/>
          <w:highlight w:val="none"/>
        </w:rPr>
        <w:t>A.应防止坝肩、坝体及坝基出现渗透破坏。</w:t>
      </w:r>
    </w:p>
    <w:p w14:paraId="7F279DAE">
      <w:pPr>
        <w:overflowPunct w:val="0"/>
        <w:topLinePunct/>
        <w:ind w:firstLine="480"/>
        <w:rPr>
          <w:color w:val="auto"/>
          <w:highlight w:val="none"/>
        </w:rPr>
      </w:pPr>
      <w:r>
        <w:rPr>
          <w:color w:val="auto"/>
          <w:highlight w:val="none"/>
        </w:rPr>
        <w:t>B.当发现坝体裂缝、坍塌、管涌、渗水量增大或渗透水浑浊等异常情况时，应立即采取处理措施，同时加强观察并报告有关部门。</w:t>
      </w:r>
    </w:p>
    <w:p w14:paraId="178791A0">
      <w:pPr>
        <w:overflowPunct w:val="0"/>
        <w:topLinePunct/>
        <w:ind w:firstLine="480"/>
        <w:rPr>
          <w:color w:val="auto"/>
          <w:highlight w:val="none"/>
        </w:rPr>
      </w:pPr>
      <w:r>
        <w:rPr>
          <w:color w:val="auto"/>
          <w:highlight w:val="none"/>
        </w:rPr>
        <w:t>5）检查和观测</w:t>
      </w:r>
    </w:p>
    <w:p w14:paraId="3AB3AAEB">
      <w:pPr>
        <w:overflowPunct w:val="0"/>
        <w:topLinePunct/>
        <w:ind w:firstLine="480"/>
        <w:rPr>
          <w:color w:val="auto"/>
          <w:highlight w:val="none"/>
        </w:rPr>
      </w:pPr>
      <w:r>
        <w:rPr>
          <w:color w:val="auto"/>
          <w:highlight w:val="none"/>
        </w:rPr>
        <w:t>A.尾矿库检查</w:t>
      </w:r>
    </w:p>
    <w:p w14:paraId="3D4ADEF8">
      <w:pPr>
        <w:overflowPunct w:val="0"/>
        <w:topLinePunct/>
        <w:ind w:firstLine="480"/>
        <w:rPr>
          <w:color w:val="auto"/>
          <w:highlight w:val="none"/>
        </w:rPr>
      </w:pPr>
      <w:r>
        <w:rPr>
          <w:color w:val="auto"/>
          <w:highlight w:val="none"/>
        </w:rPr>
        <w:t>尾矿库的检查工作可分为经常检查、定期检查、特别检查和安全鉴定：</w:t>
      </w:r>
    </w:p>
    <w:p w14:paraId="52A838E2">
      <w:pPr>
        <w:overflowPunct w:val="0"/>
        <w:topLinePunct/>
        <w:ind w:firstLine="480"/>
        <w:rPr>
          <w:color w:val="auto"/>
          <w:highlight w:val="none"/>
        </w:rPr>
      </w:pPr>
      <w:r>
        <w:rPr>
          <w:color w:val="auto"/>
          <w:highlight w:val="none"/>
        </w:rPr>
        <w:t>a.经常检查由基层管理机构组织进行，检查项目可根据各尾矿库的具体情况自行决定。</w:t>
      </w:r>
    </w:p>
    <w:p w14:paraId="4ABDD715">
      <w:pPr>
        <w:overflowPunct w:val="0"/>
        <w:topLinePunct/>
        <w:ind w:firstLine="480"/>
        <w:rPr>
          <w:color w:val="auto"/>
          <w:highlight w:val="none"/>
        </w:rPr>
      </w:pPr>
      <w:r>
        <w:rPr>
          <w:color w:val="auto"/>
          <w:highlight w:val="none"/>
        </w:rPr>
        <w:t>b.定期检查由上级管理机构组织进行，每年汛前、汛后，应对尾矿库进行全面检查。</w:t>
      </w:r>
    </w:p>
    <w:p w14:paraId="77F7DAB5">
      <w:pPr>
        <w:overflowPunct w:val="0"/>
        <w:topLinePunct/>
        <w:ind w:firstLine="480"/>
        <w:rPr>
          <w:color w:val="auto"/>
          <w:highlight w:val="none"/>
        </w:rPr>
      </w:pPr>
      <w:r>
        <w:rPr>
          <w:color w:val="auto"/>
          <w:highlight w:val="none"/>
        </w:rPr>
        <w:t>c.特别检查，当发生特大洪水、暴雨、强烈地震及重大事故等非常情况后，基层管理单位应及时组织检查，必要时报上级有关单位会同检查。</w:t>
      </w:r>
    </w:p>
    <w:p w14:paraId="066FDAE8">
      <w:pPr>
        <w:overflowPunct w:val="0"/>
        <w:topLinePunct/>
        <w:ind w:firstLine="480"/>
        <w:rPr>
          <w:color w:val="auto"/>
          <w:highlight w:val="none"/>
        </w:rPr>
      </w:pPr>
      <w:r>
        <w:rPr>
          <w:color w:val="auto"/>
          <w:highlight w:val="none"/>
        </w:rPr>
        <w:t>d.安全鉴定：应根据具体情况按现行规范进行一至两次以抗洪、稳定为重点的安全鉴定，以指导后期尾矿库的管理工作。</w:t>
      </w:r>
    </w:p>
    <w:p w14:paraId="7B9E8A4F">
      <w:pPr>
        <w:overflowPunct w:val="0"/>
        <w:topLinePunct/>
        <w:ind w:firstLine="480"/>
        <w:rPr>
          <w:color w:val="auto"/>
          <w:highlight w:val="none"/>
        </w:rPr>
      </w:pPr>
      <w:r>
        <w:rPr>
          <w:color w:val="auto"/>
          <w:highlight w:val="none"/>
        </w:rPr>
        <w:t>通过检查尾矿库的实际运行情况可及时掌握</w:t>
      </w:r>
      <w:r>
        <w:rPr>
          <w:rFonts w:hint="eastAsia"/>
          <w:color w:val="auto"/>
          <w:highlight w:val="none"/>
          <w:lang w:val="en-US" w:eastAsia="zh-CN"/>
        </w:rPr>
        <w:t>坝体的</w:t>
      </w:r>
      <w:r>
        <w:rPr>
          <w:color w:val="auto"/>
          <w:highlight w:val="none"/>
        </w:rPr>
        <w:t>工作状态，为正确管理、处理事故、维修等提供依据；及时发现不正常的迹象，可分析原因、采取措施，从而防止事故发生。</w:t>
      </w:r>
    </w:p>
    <w:p w14:paraId="21B739ED">
      <w:pPr>
        <w:overflowPunct w:val="0"/>
        <w:topLinePunct/>
        <w:ind w:firstLine="480"/>
        <w:rPr>
          <w:color w:val="auto"/>
          <w:highlight w:val="none"/>
        </w:rPr>
      </w:pPr>
      <w:r>
        <w:rPr>
          <w:color w:val="auto"/>
          <w:highlight w:val="none"/>
        </w:rPr>
        <w:t>对尾矿库的检查应按照以下要求具体执行：</w:t>
      </w:r>
    </w:p>
    <w:p w14:paraId="7EF432A1">
      <w:pPr>
        <w:overflowPunct w:val="0"/>
        <w:topLinePunct/>
        <w:ind w:firstLine="480"/>
        <w:rPr>
          <w:color w:val="auto"/>
          <w:highlight w:val="none"/>
        </w:rPr>
      </w:pPr>
      <w:r>
        <w:rPr>
          <w:color w:val="auto"/>
          <w:highlight w:val="none"/>
        </w:rPr>
        <w:t>a.当尾矿设施遇到特殊运行情况或遭受严重外界影响时，例如排矿初期，暴风雨、温度聚变或地震等，对工程的薄弱部位和重要部位，应特别仔细检查，如发现对工程安全有严重威胁的情况，必须昼夜连续监视，并采取有效控制措施。</w:t>
      </w:r>
    </w:p>
    <w:p w14:paraId="60A272B6">
      <w:pPr>
        <w:overflowPunct w:val="0"/>
        <w:topLinePunct/>
        <w:ind w:firstLine="480"/>
        <w:rPr>
          <w:color w:val="auto"/>
          <w:highlight w:val="none"/>
        </w:rPr>
      </w:pPr>
      <w:r>
        <w:rPr>
          <w:color w:val="auto"/>
          <w:highlight w:val="none"/>
        </w:rPr>
        <w:t>b.对其他土工构筑物的检查应注意它们有无裂缝、塌陷、隆起、流土、管涌、滑裂或滑落等现象，坝坡有无冲刷破坏，导渗降压设施是否完好等。</w:t>
      </w:r>
    </w:p>
    <w:p w14:paraId="43172E8C">
      <w:pPr>
        <w:overflowPunct w:val="0"/>
        <w:topLinePunct/>
        <w:ind w:firstLine="480"/>
        <w:rPr>
          <w:color w:val="auto"/>
          <w:highlight w:val="none"/>
        </w:rPr>
      </w:pPr>
      <w:r>
        <w:rPr>
          <w:color w:val="auto"/>
          <w:highlight w:val="none"/>
        </w:rPr>
        <w:t>c.对于混凝土构筑物应针对不同工程的结构特点，注意检查结构有无裂缝，表面</w:t>
      </w:r>
      <w:r>
        <w:rPr>
          <w:rFonts w:hint="eastAsia"/>
          <w:color w:val="auto"/>
          <w:highlight w:val="none"/>
          <w:lang w:eastAsia="zh-CN"/>
        </w:rPr>
        <w:t>有无</w:t>
      </w:r>
      <w:r>
        <w:rPr>
          <w:color w:val="auto"/>
          <w:highlight w:val="none"/>
        </w:rPr>
        <w:t>剥蚀、脱落，有无冲刷、渗漏等。</w:t>
      </w:r>
    </w:p>
    <w:p w14:paraId="0D568FCE">
      <w:pPr>
        <w:overflowPunct w:val="0"/>
        <w:topLinePunct/>
        <w:ind w:firstLine="480"/>
        <w:rPr>
          <w:color w:val="auto"/>
          <w:highlight w:val="none"/>
        </w:rPr>
      </w:pPr>
      <w:r>
        <w:rPr>
          <w:color w:val="auto"/>
          <w:highlight w:val="none"/>
        </w:rPr>
        <w:t>B.尾矿库观测</w:t>
      </w:r>
    </w:p>
    <w:p w14:paraId="18161CFA">
      <w:pPr>
        <w:overflowPunct w:val="0"/>
        <w:topLinePunct/>
        <w:ind w:firstLine="480"/>
        <w:rPr>
          <w:color w:val="auto"/>
          <w:highlight w:val="none"/>
        </w:rPr>
      </w:pPr>
      <w:r>
        <w:rPr>
          <w:color w:val="auto"/>
          <w:highlight w:val="none"/>
        </w:rPr>
        <w:t>尾矿库观测应满足下列基本要求：</w:t>
      </w:r>
    </w:p>
    <w:p w14:paraId="39D5FD9B">
      <w:pPr>
        <w:overflowPunct w:val="0"/>
        <w:topLinePunct/>
        <w:ind w:firstLine="480"/>
        <w:rPr>
          <w:color w:val="auto"/>
          <w:highlight w:val="none"/>
        </w:rPr>
      </w:pPr>
      <w:r>
        <w:rPr>
          <w:color w:val="auto"/>
          <w:highlight w:val="none"/>
        </w:rPr>
        <w:t>a.尾矿库工程观测必须按设计和管理规定的内容和时间进行全面、系统和连续的观测，相关的观测项目应配合进行。</w:t>
      </w:r>
    </w:p>
    <w:p w14:paraId="6224731B">
      <w:pPr>
        <w:overflowPunct w:val="0"/>
        <w:topLinePunct/>
        <w:ind w:firstLine="480"/>
        <w:rPr>
          <w:color w:val="auto"/>
          <w:highlight w:val="none"/>
        </w:rPr>
      </w:pPr>
      <w:r>
        <w:rPr>
          <w:color w:val="auto"/>
          <w:highlight w:val="none"/>
        </w:rPr>
        <w:t>b.必须保证观测结果准确。</w:t>
      </w:r>
    </w:p>
    <w:p w14:paraId="60BA1103">
      <w:pPr>
        <w:overflowPunct w:val="0"/>
        <w:topLinePunct/>
        <w:ind w:firstLine="480"/>
        <w:rPr>
          <w:color w:val="auto"/>
          <w:highlight w:val="none"/>
        </w:rPr>
      </w:pPr>
      <w:r>
        <w:rPr>
          <w:color w:val="auto"/>
          <w:highlight w:val="none"/>
        </w:rPr>
        <w:t>c.专业技术人员应对观测成果及时进行整编分析、绘制图表，如有异常现象时应进行复测，并根据复测结果提出处理意见。</w:t>
      </w:r>
    </w:p>
    <w:p w14:paraId="29E9560F">
      <w:pPr>
        <w:overflowPunct w:val="0"/>
        <w:topLinePunct/>
        <w:ind w:firstLine="480"/>
        <w:rPr>
          <w:color w:val="auto"/>
          <w:highlight w:val="none"/>
        </w:rPr>
      </w:pPr>
      <w:r>
        <w:rPr>
          <w:color w:val="auto"/>
          <w:highlight w:val="none"/>
        </w:rPr>
        <w:t>d.尾矿设施的观测项目应根据运行要求、结构物特点、工程规模和技术水平等实际情况确定。</w:t>
      </w:r>
    </w:p>
    <w:p w14:paraId="102DC229">
      <w:pPr>
        <w:overflowPunct w:val="0"/>
        <w:topLinePunct/>
        <w:ind w:firstLine="480"/>
        <w:rPr>
          <w:color w:val="auto"/>
          <w:highlight w:val="none"/>
        </w:rPr>
      </w:pPr>
      <w:r>
        <w:rPr>
          <w:color w:val="auto"/>
          <w:highlight w:val="none"/>
        </w:rPr>
        <w:t>e.检查观测都应详细记录，交给专业技术人员审阅分析后存档。</w:t>
      </w:r>
    </w:p>
    <w:p w14:paraId="049B918F">
      <w:pPr>
        <w:overflowPunct w:val="0"/>
        <w:topLinePunct/>
        <w:ind w:firstLine="480"/>
        <w:rPr>
          <w:color w:val="auto"/>
          <w:highlight w:val="none"/>
        </w:rPr>
      </w:pPr>
      <w:r>
        <w:rPr>
          <w:color w:val="auto"/>
          <w:highlight w:val="none"/>
        </w:rPr>
        <w:t>f.定期检查、特别检查和安全鉴定的技术文件，观测结果的分析意见和主要参数，都应形成书面报告，除本单位存档外，同时报上级主管部门和监督站。</w:t>
      </w:r>
    </w:p>
    <w:p w14:paraId="7AE47211">
      <w:pPr>
        <w:overflowPunct w:val="0"/>
        <w:topLinePunct/>
        <w:ind w:firstLine="480"/>
        <w:rPr>
          <w:color w:val="auto"/>
          <w:highlight w:val="none"/>
        </w:rPr>
      </w:pPr>
      <w:r>
        <w:rPr>
          <w:color w:val="auto"/>
          <w:highlight w:val="none"/>
        </w:rPr>
        <w:t>6）抗震</w:t>
      </w:r>
    </w:p>
    <w:p w14:paraId="2CC62EDC">
      <w:pPr>
        <w:overflowPunct w:val="0"/>
        <w:topLinePunct/>
        <w:ind w:firstLine="480"/>
        <w:rPr>
          <w:color w:val="auto"/>
          <w:highlight w:val="none"/>
        </w:rPr>
      </w:pPr>
      <w:r>
        <w:rPr>
          <w:color w:val="auto"/>
          <w:highlight w:val="none"/>
        </w:rPr>
        <w:t>抗震工作应贯彻预防为主的方针。当接到震情预防时，应根据实际情况做出防震、抗震技术和安排，其内容应包括：</w:t>
      </w:r>
    </w:p>
    <w:p w14:paraId="2EFCB091">
      <w:pPr>
        <w:overflowPunct w:val="0"/>
        <w:topLinePunct/>
        <w:ind w:firstLine="480"/>
        <w:rPr>
          <w:color w:val="auto"/>
          <w:highlight w:val="none"/>
        </w:rPr>
      </w:pPr>
      <w:r>
        <w:rPr>
          <w:color w:val="auto"/>
          <w:highlight w:val="none"/>
        </w:rPr>
        <w:t>A.按照设计文件的要求进行尾矿库抗震检查，根据检查结果，采取预防措施。</w:t>
      </w:r>
    </w:p>
    <w:p w14:paraId="2B96B277">
      <w:pPr>
        <w:overflowPunct w:val="0"/>
        <w:topLinePunct/>
        <w:ind w:firstLine="480"/>
        <w:rPr>
          <w:color w:val="auto"/>
          <w:highlight w:val="none"/>
        </w:rPr>
      </w:pPr>
      <w:r>
        <w:rPr>
          <w:color w:val="auto"/>
          <w:highlight w:val="none"/>
        </w:rPr>
        <w:t>B.做好人员组织、物资、交通、通讯、照明、报警、抢险和救护等各项抗震准备工作，同时加强震前值班、巡坝工作。</w:t>
      </w:r>
    </w:p>
    <w:p w14:paraId="4D21EC52">
      <w:pPr>
        <w:overflowPunct w:val="0"/>
        <w:topLinePunct/>
        <w:ind w:firstLine="480"/>
        <w:rPr>
          <w:color w:val="auto"/>
          <w:highlight w:val="none"/>
        </w:rPr>
      </w:pPr>
      <w:r>
        <w:rPr>
          <w:color w:val="auto"/>
          <w:highlight w:val="none"/>
        </w:rPr>
        <w:t>项目在实际运行的过程中应同时加强尾矿输送过程的管理，定期对管道进行检查，发现问题及时解决，防止由于管道磨损或破裂造成尾矿泄漏。</w:t>
      </w:r>
    </w:p>
    <w:p w14:paraId="3F36AEE4">
      <w:pPr>
        <w:overflowPunct w:val="0"/>
        <w:topLinePunct/>
        <w:ind w:firstLine="480"/>
        <w:rPr>
          <w:rFonts w:hint="eastAsia"/>
          <w:color w:val="auto"/>
          <w:highlight w:val="none"/>
          <w:lang w:val="en-US" w:eastAsia="zh-CN"/>
        </w:rPr>
      </w:pPr>
      <w:r>
        <w:rPr>
          <w:rFonts w:hint="eastAsia"/>
          <w:color w:val="auto"/>
          <w:highlight w:val="none"/>
          <w:lang w:val="en-US" w:eastAsia="zh-CN"/>
        </w:rPr>
        <w:t>6）建立尾矿库应急预案及三级防控体系</w:t>
      </w:r>
    </w:p>
    <w:p w14:paraId="0CEFCEBC">
      <w:pPr>
        <w:overflowPunct w:val="0"/>
        <w:topLinePunct/>
        <w:ind w:firstLine="480"/>
        <w:rPr>
          <w:rFonts w:hint="eastAsia"/>
          <w:color w:val="auto"/>
          <w:highlight w:val="none"/>
          <w:lang w:val="en-US" w:eastAsia="zh-CN"/>
        </w:rPr>
      </w:pPr>
      <w:r>
        <w:rPr>
          <w:rFonts w:hint="eastAsia"/>
          <w:color w:val="auto"/>
          <w:highlight w:val="none"/>
          <w:lang w:val="en-US" w:eastAsia="zh-CN"/>
        </w:rPr>
        <w:t>A.建设单位应对可能发生的突发性事故、事件（如特大暴雨、排水系统部分堵塞或坍塌、坝体出现浅层滑动迹象、坝体出现较大的管涌</w:t>
      </w:r>
      <w:r>
        <w:rPr>
          <w:rFonts w:hint="eastAsia"/>
          <w:color w:val="auto"/>
          <w:highlight w:val="none"/>
          <w:lang w:val="en-US" w:eastAsia="zh-CN"/>
        </w:rPr>
        <w:t>，甚至</w:t>
      </w:r>
      <w:r>
        <w:rPr>
          <w:rFonts w:hint="eastAsia"/>
          <w:color w:val="auto"/>
          <w:highlight w:val="none"/>
          <w:lang w:val="en-US" w:eastAsia="zh-CN"/>
        </w:rPr>
        <w:t>溃坝）等要建立应急预案，在可能条件下进行适当的演练，提高对突发性事故的处理能力。</w:t>
      </w:r>
    </w:p>
    <w:p w14:paraId="3345BC8B">
      <w:pPr>
        <w:overflowPunct w:val="0"/>
        <w:topLinePunct/>
        <w:ind w:firstLine="480"/>
        <w:rPr>
          <w:rFonts w:hint="eastAsia"/>
          <w:color w:val="auto"/>
          <w:highlight w:val="none"/>
          <w:lang w:val="en-US" w:eastAsia="zh-CN"/>
        </w:rPr>
      </w:pPr>
      <w:r>
        <w:rPr>
          <w:rFonts w:hint="eastAsia"/>
          <w:color w:val="auto"/>
          <w:highlight w:val="none"/>
          <w:lang w:val="en-US" w:eastAsia="zh-CN"/>
        </w:rPr>
        <w:t>B.根据国家环保部《尾矿库环境应急管理工作指南（试行）》关于三级防控体系的要求，尾矿库三级防控体系包括：车间一级防控、厂区二级防控和尾矿库下游三级防控，建设内容应符合《尾矿库环境应急管理工作指南（试行）》要求。</w:t>
      </w:r>
    </w:p>
    <w:p w14:paraId="3391C1D3">
      <w:pPr>
        <w:overflowPunct w:val="0"/>
        <w:topLinePunct/>
        <w:ind w:firstLine="480"/>
        <w:rPr>
          <w:rFonts w:hint="eastAsia"/>
          <w:color w:val="auto"/>
          <w:highlight w:val="none"/>
          <w:lang w:val="en-US" w:eastAsia="zh-CN"/>
        </w:rPr>
      </w:pPr>
      <w:r>
        <w:rPr>
          <w:rFonts w:hint="eastAsia"/>
          <w:color w:val="auto"/>
          <w:highlight w:val="none"/>
          <w:lang w:val="en-US" w:eastAsia="zh-CN"/>
        </w:rPr>
        <w:t>C.按照《关于发布〈尾矿库污染隐患排查治理工作指南（试行）〉的公告》（生态环境部公告2022年第10号）相关要求，在尾矿库安装符合要求的视频监控设施，并与生态环境部门联网。</w:t>
      </w:r>
    </w:p>
    <w:p w14:paraId="07490FD0">
      <w:pPr>
        <w:overflowPunct w:val="0"/>
        <w:topLinePunct/>
        <w:ind w:firstLine="480"/>
        <w:rPr>
          <w:rFonts w:hint="eastAsia"/>
          <w:color w:val="auto"/>
          <w:highlight w:val="none"/>
          <w:lang w:val="en-US" w:eastAsia="zh-CN"/>
        </w:rPr>
      </w:pPr>
      <w:r>
        <w:rPr>
          <w:rFonts w:hint="eastAsia"/>
          <w:color w:val="auto"/>
          <w:highlight w:val="none"/>
          <w:lang w:val="en-US" w:eastAsia="zh-CN"/>
        </w:rPr>
        <w:t>D.突发性环境污染事故发生后，一经发现，立即启动应急计划。有关人员应快速赶赴现场，对事故原因作出评估，依据实际情况迅速确定应急响应行动方案。采取切断污染源、消除污染物及善后处理、通报事故情况等。存在环境风险的建设项目，提出有效的环境风险防范措施及环境风险应急预案编制原则和要求，纳入区域环境风险应急联动机制。</w:t>
      </w:r>
    </w:p>
    <w:p w14:paraId="25EEF0D5">
      <w:pPr>
        <w:overflowPunct w:val="0"/>
        <w:topLinePunct/>
        <w:ind w:firstLine="480"/>
        <w:rPr>
          <w:color w:val="auto"/>
          <w:highlight w:val="none"/>
        </w:rPr>
      </w:pPr>
      <w:r>
        <w:rPr>
          <w:rFonts w:hint="eastAsia"/>
          <w:color w:val="auto"/>
          <w:highlight w:val="none"/>
          <w:lang w:val="en-US" w:eastAsia="zh-CN"/>
        </w:rPr>
        <w:t>7</w:t>
      </w:r>
      <w:r>
        <w:rPr>
          <w:color w:val="auto"/>
          <w:highlight w:val="none"/>
        </w:rPr>
        <w:t>）尾矿库服务期满</w:t>
      </w:r>
    </w:p>
    <w:p w14:paraId="1D99DA42">
      <w:pPr>
        <w:pStyle w:val="69"/>
        <w:overflowPunct w:val="0"/>
        <w:topLinePunct/>
        <w:spacing w:line="480" w:lineRule="exact"/>
        <w:ind w:firstLine="480"/>
        <w:rPr>
          <w:rFonts w:cs="Times New Roman"/>
          <w:color w:val="auto"/>
          <w:highlight w:val="none"/>
        </w:rPr>
      </w:pPr>
      <w:r>
        <w:rPr>
          <w:rFonts w:hint="eastAsia" w:ascii="宋体" w:hAnsi="宋体"/>
          <w:color w:val="auto"/>
          <w:highlight w:val="none"/>
        </w:rPr>
        <w:t>①</w:t>
      </w:r>
      <w:r>
        <w:rPr>
          <w:rFonts w:cs="Times New Roman"/>
          <w:color w:val="auto"/>
          <w:highlight w:val="none"/>
        </w:rPr>
        <w:t>建设单位在尾矿库停止使用后必须进行处置，保证不污染环境，消除污染事故隐患。对尾矿库的环境污染防治设施、生态保护工程进行闭库验收，验收时应对尾矿库中的尾砂进行环境达标监测。关闭尾矿环保设施必须经企业主管部门报当地省环境保护行政部门验收、批准。经验收移交后的尾矿设施其污染防治由接收单位负责。利用处置过的环保设施，需经地区、县生态环境行政部门批准，并报省生态环境行政部门备案。</w:t>
      </w:r>
    </w:p>
    <w:p w14:paraId="75E9B1C0">
      <w:pPr>
        <w:pStyle w:val="69"/>
        <w:overflowPunct w:val="0"/>
        <w:topLinePunct/>
        <w:spacing w:line="480" w:lineRule="exact"/>
        <w:ind w:firstLine="480"/>
        <w:rPr>
          <w:rFonts w:cs="Times New Roman"/>
          <w:color w:val="auto"/>
          <w:highlight w:val="none"/>
        </w:rPr>
      </w:pPr>
      <w:r>
        <w:rPr>
          <w:rFonts w:hint="eastAsia" w:ascii="宋体" w:hAnsi="宋体"/>
          <w:color w:val="auto"/>
          <w:highlight w:val="none"/>
        </w:rPr>
        <w:t>②</w:t>
      </w:r>
      <w:r>
        <w:rPr>
          <w:rFonts w:cs="Times New Roman"/>
          <w:color w:val="auto"/>
          <w:highlight w:val="none"/>
        </w:rPr>
        <w:t>尾矿库使用到最终设计高程时，选矿厂应停止生产并进行闭库设计，做好闭库后尾矿库的管理工作。建设单位应当根据尾矿库设计资料，在尾矿库闭库前1年，委托具有相应资质的设计单位进行尾矿库闭库设计。</w:t>
      </w:r>
    </w:p>
    <w:p w14:paraId="3CCE4FE1">
      <w:pPr>
        <w:pStyle w:val="42"/>
        <w:rPr>
          <w:rFonts w:hint="default"/>
          <w:color w:val="auto"/>
          <w:highlight w:val="none"/>
        </w:rPr>
      </w:pPr>
      <w:r>
        <w:rPr>
          <w:rFonts w:hint="default"/>
          <w:color w:val="auto"/>
          <w:highlight w:val="none"/>
        </w:rPr>
        <w:t>尾矿库环境安全隐患排查</w:t>
      </w:r>
    </w:p>
    <w:p w14:paraId="51DB3464">
      <w:pPr>
        <w:pStyle w:val="3"/>
        <w:ind w:firstLine="480"/>
        <w:rPr>
          <w:color w:val="auto"/>
          <w:highlight w:val="none"/>
        </w:rPr>
      </w:pPr>
      <w:r>
        <w:rPr>
          <w:color w:val="auto"/>
          <w:highlight w:val="none"/>
        </w:rPr>
        <w:t>（1）尾矿库环境安全隐患排查治理</w:t>
      </w:r>
    </w:p>
    <w:p w14:paraId="6175CF5F">
      <w:pPr>
        <w:pStyle w:val="3"/>
        <w:ind w:firstLine="480"/>
        <w:rPr>
          <w:color w:val="auto"/>
          <w:highlight w:val="none"/>
        </w:rPr>
      </w:pPr>
      <w:r>
        <w:rPr>
          <w:color w:val="auto"/>
          <w:highlight w:val="none"/>
        </w:rPr>
        <w:t>根据同类型尾矿库隐患及事故分析，本项目隐患排查应当建立台账，实行</w:t>
      </w:r>
      <w:r>
        <w:rPr>
          <w:rFonts w:hint="eastAsia"/>
          <w:color w:val="auto"/>
          <w:highlight w:val="none"/>
        </w:rPr>
        <w:t>“</w:t>
      </w:r>
      <w:r>
        <w:rPr>
          <w:color w:val="auto"/>
          <w:highlight w:val="none"/>
        </w:rPr>
        <w:t>一库一档</w:t>
      </w:r>
      <w:r>
        <w:rPr>
          <w:rFonts w:hint="eastAsia"/>
          <w:color w:val="auto"/>
          <w:highlight w:val="none"/>
        </w:rPr>
        <w:t>”</w:t>
      </w:r>
      <w:r>
        <w:rPr>
          <w:color w:val="auto"/>
          <w:highlight w:val="none"/>
        </w:rPr>
        <w:t>档案管理，对存在的环境违法问题和安全隐患进行全面整改，有效遏制突发环境事故的发生。本项目隐患排查注意事项见表6.</w:t>
      </w:r>
      <w:r>
        <w:rPr>
          <w:rFonts w:hint="eastAsia"/>
          <w:color w:val="auto"/>
          <w:highlight w:val="none"/>
        </w:rPr>
        <w:t>6</w:t>
      </w:r>
      <w:r>
        <w:rPr>
          <w:color w:val="auto"/>
          <w:highlight w:val="none"/>
        </w:rPr>
        <w:t>-1。</w:t>
      </w:r>
    </w:p>
    <w:p w14:paraId="6AA186B1">
      <w:pPr>
        <w:pStyle w:val="40"/>
        <w:rPr>
          <w:color w:val="auto"/>
          <w:highlight w:val="none"/>
        </w:rPr>
      </w:pPr>
      <w:r>
        <w:rPr>
          <w:color w:val="auto"/>
          <w:highlight w:val="none"/>
          <w:lang w:val="zh-CN"/>
        </w:rPr>
        <w:t>表</w:t>
      </w:r>
      <w:r>
        <w:rPr>
          <w:color w:val="auto"/>
          <w:highlight w:val="none"/>
        </w:rPr>
        <w:t>6.</w:t>
      </w:r>
      <w:r>
        <w:rPr>
          <w:rFonts w:hint="eastAsia"/>
          <w:color w:val="auto"/>
          <w:highlight w:val="none"/>
        </w:rPr>
        <w:t>6</w:t>
      </w:r>
      <w:r>
        <w:rPr>
          <w:color w:val="auto"/>
          <w:highlight w:val="none"/>
        </w:rPr>
        <w:t>-1</w:t>
      </w:r>
      <w:r>
        <w:rPr>
          <w:color w:val="auto"/>
          <w:highlight w:val="none"/>
          <w:lang w:val="zh-CN"/>
        </w:rPr>
        <w:t xml:space="preserve">    尾矿库隐患排查记录表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00"/>
        <w:gridCol w:w="741"/>
        <w:gridCol w:w="3967"/>
        <w:gridCol w:w="1265"/>
        <w:gridCol w:w="2043"/>
      </w:tblGrid>
      <w:tr w14:paraId="6ACE2A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tcBorders>
              <w:tl2br w:val="nil"/>
              <w:tr2bl w:val="nil"/>
            </w:tcBorders>
            <w:vAlign w:val="center"/>
          </w:tcPr>
          <w:p w14:paraId="51B91FD2">
            <w:pPr>
              <w:pStyle w:val="41"/>
              <w:rPr>
                <w:color w:val="auto"/>
                <w:highlight w:val="none"/>
              </w:rPr>
            </w:pPr>
            <w:r>
              <w:rPr>
                <w:color w:val="auto"/>
                <w:highlight w:val="none"/>
              </w:rPr>
              <w:t>序号</w:t>
            </w:r>
          </w:p>
        </w:tc>
        <w:tc>
          <w:tcPr>
            <w:tcW w:w="741" w:type="dxa"/>
            <w:tcBorders>
              <w:tl2br w:val="nil"/>
              <w:tr2bl w:val="nil"/>
            </w:tcBorders>
            <w:vAlign w:val="center"/>
          </w:tcPr>
          <w:p w14:paraId="4606AE3B">
            <w:pPr>
              <w:pStyle w:val="41"/>
              <w:rPr>
                <w:color w:val="auto"/>
                <w:highlight w:val="none"/>
              </w:rPr>
            </w:pPr>
            <w:r>
              <w:rPr>
                <w:color w:val="auto"/>
                <w:highlight w:val="none"/>
              </w:rPr>
              <w:t>检查内容</w:t>
            </w:r>
          </w:p>
        </w:tc>
        <w:tc>
          <w:tcPr>
            <w:tcW w:w="3970" w:type="dxa"/>
            <w:tcBorders>
              <w:tl2br w:val="nil"/>
              <w:tr2bl w:val="nil"/>
            </w:tcBorders>
            <w:vAlign w:val="center"/>
          </w:tcPr>
          <w:p w14:paraId="0956D957">
            <w:pPr>
              <w:pStyle w:val="41"/>
              <w:rPr>
                <w:color w:val="auto"/>
                <w:highlight w:val="none"/>
              </w:rPr>
            </w:pPr>
            <w:r>
              <w:rPr>
                <w:color w:val="auto"/>
                <w:highlight w:val="none"/>
              </w:rPr>
              <w:t>检查标准或依据</w:t>
            </w:r>
          </w:p>
        </w:tc>
        <w:tc>
          <w:tcPr>
            <w:tcW w:w="1266" w:type="dxa"/>
            <w:tcBorders>
              <w:tl2br w:val="nil"/>
              <w:tr2bl w:val="nil"/>
            </w:tcBorders>
            <w:vAlign w:val="center"/>
          </w:tcPr>
          <w:p w14:paraId="63DC9227">
            <w:pPr>
              <w:pStyle w:val="41"/>
              <w:rPr>
                <w:color w:val="auto"/>
                <w:highlight w:val="none"/>
              </w:rPr>
            </w:pPr>
            <w:r>
              <w:rPr>
                <w:color w:val="auto"/>
                <w:highlight w:val="none"/>
              </w:rPr>
              <w:t>法规依据</w:t>
            </w:r>
          </w:p>
        </w:tc>
        <w:tc>
          <w:tcPr>
            <w:tcW w:w="2044" w:type="dxa"/>
            <w:tcBorders>
              <w:tl2br w:val="nil"/>
              <w:tr2bl w:val="nil"/>
            </w:tcBorders>
            <w:vAlign w:val="center"/>
          </w:tcPr>
          <w:p w14:paraId="1FDFE12C">
            <w:pPr>
              <w:pStyle w:val="41"/>
              <w:rPr>
                <w:color w:val="auto"/>
                <w:highlight w:val="none"/>
              </w:rPr>
            </w:pPr>
            <w:r>
              <w:rPr>
                <w:color w:val="auto"/>
                <w:highlight w:val="none"/>
              </w:rPr>
              <w:t>检查方法</w:t>
            </w:r>
          </w:p>
        </w:tc>
      </w:tr>
      <w:tr w14:paraId="08C015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restart"/>
            <w:tcBorders>
              <w:tl2br w:val="nil"/>
              <w:tr2bl w:val="nil"/>
            </w:tcBorders>
            <w:vAlign w:val="center"/>
          </w:tcPr>
          <w:p w14:paraId="0237CE38">
            <w:pPr>
              <w:pStyle w:val="41"/>
              <w:rPr>
                <w:color w:val="auto"/>
                <w:highlight w:val="none"/>
              </w:rPr>
            </w:pPr>
            <w:r>
              <w:rPr>
                <w:color w:val="auto"/>
                <w:highlight w:val="none"/>
              </w:rPr>
              <w:t>1</w:t>
            </w:r>
          </w:p>
        </w:tc>
        <w:tc>
          <w:tcPr>
            <w:tcW w:w="741" w:type="dxa"/>
            <w:vMerge w:val="restart"/>
            <w:tcBorders>
              <w:tl2br w:val="nil"/>
              <w:tr2bl w:val="nil"/>
            </w:tcBorders>
            <w:vAlign w:val="center"/>
          </w:tcPr>
          <w:p w14:paraId="31EEDC4A">
            <w:pPr>
              <w:pStyle w:val="41"/>
              <w:rPr>
                <w:color w:val="auto"/>
                <w:highlight w:val="none"/>
              </w:rPr>
            </w:pPr>
            <w:r>
              <w:rPr>
                <w:color w:val="auto"/>
                <w:highlight w:val="none"/>
              </w:rPr>
              <w:t>尾矿坝</w:t>
            </w:r>
          </w:p>
        </w:tc>
        <w:tc>
          <w:tcPr>
            <w:tcW w:w="3970" w:type="dxa"/>
            <w:tcBorders>
              <w:tl2br w:val="nil"/>
              <w:tr2bl w:val="nil"/>
            </w:tcBorders>
            <w:vAlign w:val="center"/>
          </w:tcPr>
          <w:p w14:paraId="3385C13A">
            <w:pPr>
              <w:pStyle w:val="41"/>
              <w:rPr>
                <w:color w:val="auto"/>
                <w:highlight w:val="none"/>
              </w:rPr>
            </w:pPr>
            <w:r>
              <w:rPr>
                <w:color w:val="auto"/>
                <w:highlight w:val="none"/>
              </w:rPr>
              <w:t>初期坝上下游坡比应满足规程要求，同时不陡于设计规定的坡度</w:t>
            </w:r>
          </w:p>
        </w:tc>
        <w:tc>
          <w:tcPr>
            <w:tcW w:w="1266" w:type="dxa"/>
            <w:vMerge w:val="restart"/>
            <w:tcBorders>
              <w:tl2br w:val="nil"/>
              <w:tr2bl w:val="nil"/>
            </w:tcBorders>
            <w:vAlign w:val="center"/>
          </w:tcPr>
          <w:p w14:paraId="2D529D59">
            <w:pPr>
              <w:pStyle w:val="41"/>
              <w:rPr>
                <w:color w:val="auto"/>
                <w:highlight w:val="none"/>
              </w:rPr>
            </w:pPr>
            <w:r>
              <w:rPr>
                <w:color w:val="auto"/>
                <w:highlight w:val="none"/>
              </w:rPr>
              <w:t>《尾矿库安全规程》（GB39496-2020）</w:t>
            </w:r>
          </w:p>
        </w:tc>
        <w:tc>
          <w:tcPr>
            <w:tcW w:w="2044" w:type="dxa"/>
            <w:tcBorders>
              <w:tl2br w:val="nil"/>
              <w:tr2bl w:val="nil"/>
            </w:tcBorders>
            <w:vAlign w:val="center"/>
          </w:tcPr>
          <w:p w14:paraId="556B198D">
            <w:pPr>
              <w:pStyle w:val="41"/>
              <w:rPr>
                <w:color w:val="auto"/>
                <w:highlight w:val="none"/>
              </w:rPr>
            </w:pPr>
            <w:r>
              <w:rPr>
                <w:color w:val="auto"/>
                <w:highlight w:val="none"/>
              </w:rPr>
              <w:t>查阅设计资料，检查初期坝</w:t>
            </w:r>
          </w:p>
        </w:tc>
      </w:tr>
      <w:tr w14:paraId="58896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continue"/>
            <w:tcBorders>
              <w:tl2br w:val="nil"/>
              <w:tr2bl w:val="nil"/>
            </w:tcBorders>
            <w:vAlign w:val="center"/>
          </w:tcPr>
          <w:p w14:paraId="4BFB5E8F">
            <w:pPr>
              <w:pStyle w:val="41"/>
              <w:rPr>
                <w:color w:val="auto"/>
                <w:highlight w:val="none"/>
              </w:rPr>
            </w:pPr>
          </w:p>
        </w:tc>
        <w:tc>
          <w:tcPr>
            <w:tcW w:w="741" w:type="dxa"/>
            <w:vMerge w:val="continue"/>
            <w:tcBorders>
              <w:tl2br w:val="nil"/>
              <w:tr2bl w:val="nil"/>
            </w:tcBorders>
            <w:vAlign w:val="center"/>
          </w:tcPr>
          <w:p w14:paraId="056783E5">
            <w:pPr>
              <w:pStyle w:val="41"/>
              <w:rPr>
                <w:color w:val="auto"/>
                <w:highlight w:val="none"/>
              </w:rPr>
            </w:pPr>
          </w:p>
        </w:tc>
        <w:tc>
          <w:tcPr>
            <w:tcW w:w="3970" w:type="dxa"/>
            <w:tcBorders>
              <w:tl2br w:val="nil"/>
              <w:tr2bl w:val="nil"/>
            </w:tcBorders>
            <w:vAlign w:val="center"/>
          </w:tcPr>
          <w:p w14:paraId="6F3BA9E7">
            <w:pPr>
              <w:pStyle w:val="41"/>
              <w:rPr>
                <w:color w:val="auto"/>
                <w:highlight w:val="none"/>
              </w:rPr>
            </w:pPr>
            <w:r>
              <w:rPr>
                <w:color w:val="auto"/>
                <w:highlight w:val="none"/>
              </w:rPr>
              <w:t>坝下渗水量正常，水质清澈，无</w:t>
            </w:r>
            <w:r>
              <w:rPr>
                <w:rFonts w:hint="eastAsia"/>
                <w:color w:val="auto"/>
                <w:highlight w:val="none"/>
                <w:lang w:eastAsia="zh-CN"/>
              </w:rPr>
              <w:t>浑水</w:t>
            </w:r>
            <w:r>
              <w:rPr>
                <w:color w:val="auto"/>
                <w:highlight w:val="none"/>
              </w:rPr>
              <w:t>渗出</w:t>
            </w:r>
          </w:p>
        </w:tc>
        <w:tc>
          <w:tcPr>
            <w:tcW w:w="1266" w:type="dxa"/>
            <w:vMerge w:val="continue"/>
            <w:tcBorders>
              <w:tl2br w:val="nil"/>
              <w:tr2bl w:val="nil"/>
            </w:tcBorders>
            <w:vAlign w:val="center"/>
          </w:tcPr>
          <w:p w14:paraId="5EF1E838">
            <w:pPr>
              <w:pStyle w:val="41"/>
              <w:rPr>
                <w:color w:val="auto"/>
                <w:highlight w:val="none"/>
              </w:rPr>
            </w:pPr>
          </w:p>
        </w:tc>
        <w:tc>
          <w:tcPr>
            <w:tcW w:w="2044" w:type="dxa"/>
            <w:tcBorders>
              <w:tl2br w:val="nil"/>
              <w:tr2bl w:val="nil"/>
            </w:tcBorders>
            <w:vAlign w:val="center"/>
          </w:tcPr>
          <w:p w14:paraId="01669C5E">
            <w:pPr>
              <w:pStyle w:val="41"/>
              <w:rPr>
                <w:color w:val="auto"/>
                <w:highlight w:val="none"/>
              </w:rPr>
            </w:pPr>
            <w:r>
              <w:rPr>
                <w:color w:val="auto"/>
                <w:highlight w:val="none"/>
              </w:rPr>
              <w:t>检查坝体渗水量和是否浑浊</w:t>
            </w:r>
          </w:p>
        </w:tc>
      </w:tr>
      <w:tr w14:paraId="798538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continue"/>
            <w:tcBorders>
              <w:tl2br w:val="nil"/>
              <w:tr2bl w:val="nil"/>
            </w:tcBorders>
            <w:vAlign w:val="center"/>
          </w:tcPr>
          <w:p w14:paraId="29E00A6A">
            <w:pPr>
              <w:pStyle w:val="41"/>
              <w:rPr>
                <w:color w:val="auto"/>
                <w:highlight w:val="none"/>
              </w:rPr>
            </w:pPr>
          </w:p>
        </w:tc>
        <w:tc>
          <w:tcPr>
            <w:tcW w:w="741" w:type="dxa"/>
            <w:vMerge w:val="continue"/>
            <w:tcBorders>
              <w:tl2br w:val="nil"/>
              <w:tr2bl w:val="nil"/>
            </w:tcBorders>
            <w:vAlign w:val="center"/>
          </w:tcPr>
          <w:p w14:paraId="12FC5A01">
            <w:pPr>
              <w:pStyle w:val="41"/>
              <w:rPr>
                <w:color w:val="auto"/>
                <w:highlight w:val="none"/>
              </w:rPr>
            </w:pPr>
          </w:p>
        </w:tc>
        <w:tc>
          <w:tcPr>
            <w:tcW w:w="3970" w:type="dxa"/>
            <w:tcBorders>
              <w:tl2br w:val="nil"/>
              <w:tr2bl w:val="nil"/>
            </w:tcBorders>
            <w:vAlign w:val="center"/>
          </w:tcPr>
          <w:p w14:paraId="76159580">
            <w:pPr>
              <w:pStyle w:val="41"/>
              <w:rPr>
                <w:color w:val="auto"/>
                <w:highlight w:val="none"/>
              </w:rPr>
            </w:pPr>
            <w:r>
              <w:rPr>
                <w:color w:val="auto"/>
                <w:highlight w:val="none"/>
              </w:rPr>
              <w:t>堆积坡比符合设计要求，不应陡于设计规定</w:t>
            </w:r>
          </w:p>
        </w:tc>
        <w:tc>
          <w:tcPr>
            <w:tcW w:w="1266" w:type="dxa"/>
            <w:vMerge w:val="continue"/>
            <w:tcBorders>
              <w:tl2br w:val="nil"/>
              <w:tr2bl w:val="nil"/>
            </w:tcBorders>
            <w:vAlign w:val="center"/>
          </w:tcPr>
          <w:p w14:paraId="35155818">
            <w:pPr>
              <w:pStyle w:val="41"/>
              <w:rPr>
                <w:color w:val="auto"/>
                <w:highlight w:val="none"/>
              </w:rPr>
            </w:pPr>
          </w:p>
        </w:tc>
        <w:tc>
          <w:tcPr>
            <w:tcW w:w="2044" w:type="dxa"/>
            <w:tcBorders>
              <w:tl2br w:val="nil"/>
              <w:tr2bl w:val="nil"/>
            </w:tcBorders>
            <w:vAlign w:val="center"/>
          </w:tcPr>
          <w:p w14:paraId="0EE16FA8">
            <w:pPr>
              <w:pStyle w:val="41"/>
              <w:rPr>
                <w:color w:val="auto"/>
                <w:highlight w:val="none"/>
              </w:rPr>
            </w:pPr>
            <w:r>
              <w:rPr>
                <w:color w:val="auto"/>
                <w:highlight w:val="none"/>
              </w:rPr>
              <w:t>检查尾矿坝现场，查阅设计资料</w:t>
            </w:r>
          </w:p>
        </w:tc>
      </w:tr>
      <w:tr w14:paraId="479AD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continue"/>
            <w:tcBorders>
              <w:tl2br w:val="nil"/>
              <w:tr2bl w:val="nil"/>
            </w:tcBorders>
            <w:vAlign w:val="center"/>
          </w:tcPr>
          <w:p w14:paraId="06E1EAB8">
            <w:pPr>
              <w:pStyle w:val="41"/>
              <w:rPr>
                <w:color w:val="auto"/>
                <w:highlight w:val="none"/>
              </w:rPr>
            </w:pPr>
          </w:p>
        </w:tc>
        <w:tc>
          <w:tcPr>
            <w:tcW w:w="741" w:type="dxa"/>
            <w:vMerge w:val="continue"/>
            <w:tcBorders>
              <w:tl2br w:val="nil"/>
              <w:tr2bl w:val="nil"/>
            </w:tcBorders>
            <w:vAlign w:val="center"/>
          </w:tcPr>
          <w:p w14:paraId="23F65642">
            <w:pPr>
              <w:pStyle w:val="41"/>
              <w:rPr>
                <w:color w:val="auto"/>
                <w:highlight w:val="none"/>
              </w:rPr>
            </w:pPr>
          </w:p>
        </w:tc>
        <w:tc>
          <w:tcPr>
            <w:tcW w:w="3970" w:type="dxa"/>
            <w:tcBorders>
              <w:tl2br w:val="nil"/>
              <w:tr2bl w:val="nil"/>
            </w:tcBorders>
            <w:vAlign w:val="center"/>
          </w:tcPr>
          <w:p w14:paraId="3C57EB68">
            <w:pPr>
              <w:pStyle w:val="41"/>
              <w:rPr>
                <w:color w:val="auto"/>
                <w:highlight w:val="none"/>
              </w:rPr>
            </w:pPr>
            <w:r>
              <w:rPr>
                <w:color w:val="auto"/>
                <w:highlight w:val="none"/>
              </w:rPr>
              <w:t>下游坡面无严重冲沟、裂缝、塌坑和滑坡等不良现象</w:t>
            </w:r>
          </w:p>
        </w:tc>
        <w:tc>
          <w:tcPr>
            <w:tcW w:w="1266" w:type="dxa"/>
            <w:vMerge w:val="continue"/>
            <w:tcBorders>
              <w:tl2br w:val="nil"/>
              <w:tr2bl w:val="nil"/>
            </w:tcBorders>
            <w:vAlign w:val="center"/>
          </w:tcPr>
          <w:p w14:paraId="13EECEEC">
            <w:pPr>
              <w:pStyle w:val="41"/>
              <w:rPr>
                <w:color w:val="auto"/>
                <w:highlight w:val="none"/>
              </w:rPr>
            </w:pPr>
          </w:p>
        </w:tc>
        <w:tc>
          <w:tcPr>
            <w:tcW w:w="2044" w:type="dxa"/>
            <w:tcBorders>
              <w:tl2br w:val="nil"/>
              <w:tr2bl w:val="nil"/>
            </w:tcBorders>
            <w:vAlign w:val="center"/>
          </w:tcPr>
          <w:p w14:paraId="4B84FAEA">
            <w:pPr>
              <w:pStyle w:val="41"/>
              <w:rPr>
                <w:color w:val="auto"/>
                <w:highlight w:val="none"/>
              </w:rPr>
            </w:pPr>
            <w:r>
              <w:rPr>
                <w:color w:val="auto"/>
                <w:highlight w:val="none"/>
              </w:rPr>
              <w:t>检查尾矿坝下游坡面</w:t>
            </w:r>
          </w:p>
        </w:tc>
      </w:tr>
      <w:tr w14:paraId="6D4B75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continue"/>
            <w:tcBorders>
              <w:tl2br w:val="nil"/>
              <w:tr2bl w:val="nil"/>
            </w:tcBorders>
            <w:vAlign w:val="center"/>
          </w:tcPr>
          <w:p w14:paraId="1981BD85">
            <w:pPr>
              <w:pStyle w:val="41"/>
              <w:rPr>
                <w:color w:val="auto"/>
                <w:highlight w:val="none"/>
              </w:rPr>
            </w:pPr>
          </w:p>
        </w:tc>
        <w:tc>
          <w:tcPr>
            <w:tcW w:w="741" w:type="dxa"/>
            <w:vMerge w:val="continue"/>
            <w:tcBorders>
              <w:tl2br w:val="nil"/>
              <w:tr2bl w:val="nil"/>
            </w:tcBorders>
            <w:vAlign w:val="center"/>
          </w:tcPr>
          <w:p w14:paraId="215054FC">
            <w:pPr>
              <w:pStyle w:val="41"/>
              <w:rPr>
                <w:color w:val="auto"/>
                <w:highlight w:val="none"/>
              </w:rPr>
            </w:pPr>
          </w:p>
        </w:tc>
        <w:tc>
          <w:tcPr>
            <w:tcW w:w="3970" w:type="dxa"/>
            <w:tcBorders>
              <w:tl2br w:val="nil"/>
              <w:tr2bl w:val="nil"/>
            </w:tcBorders>
            <w:vAlign w:val="center"/>
          </w:tcPr>
          <w:p w14:paraId="21D90DD5">
            <w:pPr>
              <w:pStyle w:val="41"/>
              <w:rPr>
                <w:color w:val="auto"/>
                <w:highlight w:val="none"/>
              </w:rPr>
            </w:pPr>
            <w:r>
              <w:rPr>
                <w:color w:val="auto"/>
                <w:highlight w:val="none"/>
              </w:rPr>
              <w:t>尾矿坝下游坡面上不得有积水坑</w:t>
            </w:r>
          </w:p>
        </w:tc>
        <w:tc>
          <w:tcPr>
            <w:tcW w:w="1266" w:type="dxa"/>
            <w:vMerge w:val="continue"/>
            <w:tcBorders>
              <w:tl2br w:val="nil"/>
              <w:tr2bl w:val="nil"/>
            </w:tcBorders>
            <w:vAlign w:val="center"/>
          </w:tcPr>
          <w:p w14:paraId="1EF46665">
            <w:pPr>
              <w:pStyle w:val="41"/>
              <w:rPr>
                <w:color w:val="auto"/>
                <w:highlight w:val="none"/>
              </w:rPr>
            </w:pPr>
          </w:p>
        </w:tc>
        <w:tc>
          <w:tcPr>
            <w:tcW w:w="2044" w:type="dxa"/>
            <w:tcBorders>
              <w:tl2br w:val="nil"/>
              <w:tr2bl w:val="nil"/>
            </w:tcBorders>
            <w:vAlign w:val="center"/>
          </w:tcPr>
          <w:p w14:paraId="2108E525">
            <w:pPr>
              <w:pStyle w:val="41"/>
              <w:rPr>
                <w:color w:val="auto"/>
                <w:highlight w:val="none"/>
              </w:rPr>
            </w:pPr>
            <w:r>
              <w:rPr>
                <w:color w:val="auto"/>
                <w:highlight w:val="none"/>
              </w:rPr>
              <w:t>检查尾矿坝下游坡面</w:t>
            </w:r>
          </w:p>
        </w:tc>
      </w:tr>
      <w:tr w14:paraId="62129D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continue"/>
            <w:tcBorders>
              <w:tl2br w:val="nil"/>
              <w:tr2bl w:val="nil"/>
            </w:tcBorders>
            <w:vAlign w:val="center"/>
          </w:tcPr>
          <w:p w14:paraId="02EBD238">
            <w:pPr>
              <w:pStyle w:val="41"/>
              <w:rPr>
                <w:color w:val="auto"/>
                <w:highlight w:val="none"/>
              </w:rPr>
            </w:pPr>
          </w:p>
        </w:tc>
        <w:tc>
          <w:tcPr>
            <w:tcW w:w="741" w:type="dxa"/>
            <w:vMerge w:val="continue"/>
            <w:tcBorders>
              <w:tl2br w:val="nil"/>
              <w:tr2bl w:val="nil"/>
            </w:tcBorders>
            <w:vAlign w:val="center"/>
          </w:tcPr>
          <w:p w14:paraId="2BEC5B3A">
            <w:pPr>
              <w:pStyle w:val="41"/>
              <w:rPr>
                <w:color w:val="auto"/>
                <w:highlight w:val="none"/>
              </w:rPr>
            </w:pPr>
          </w:p>
        </w:tc>
        <w:tc>
          <w:tcPr>
            <w:tcW w:w="3970" w:type="dxa"/>
            <w:tcBorders>
              <w:tl2br w:val="nil"/>
              <w:tr2bl w:val="nil"/>
            </w:tcBorders>
            <w:vAlign w:val="center"/>
          </w:tcPr>
          <w:p w14:paraId="25749259">
            <w:pPr>
              <w:pStyle w:val="41"/>
              <w:rPr>
                <w:color w:val="auto"/>
                <w:highlight w:val="none"/>
              </w:rPr>
            </w:pPr>
            <w:r>
              <w:rPr>
                <w:color w:val="auto"/>
                <w:highlight w:val="none"/>
              </w:rPr>
              <w:t>堆积坝下游坡面上宜用土石覆盖或用其他方式植被绿化，并可结合排渗设施每隔6～10m高差设置排水沟</w:t>
            </w:r>
          </w:p>
        </w:tc>
        <w:tc>
          <w:tcPr>
            <w:tcW w:w="1266" w:type="dxa"/>
            <w:vMerge w:val="continue"/>
            <w:tcBorders>
              <w:tl2br w:val="nil"/>
              <w:tr2bl w:val="nil"/>
            </w:tcBorders>
            <w:vAlign w:val="center"/>
          </w:tcPr>
          <w:p w14:paraId="041F1563">
            <w:pPr>
              <w:pStyle w:val="41"/>
              <w:rPr>
                <w:color w:val="auto"/>
                <w:highlight w:val="none"/>
              </w:rPr>
            </w:pPr>
          </w:p>
        </w:tc>
        <w:tc>
          <w:tcPr>
            <w:tcW w:w="2044" w:type="dxa"/>
            <w:tcBorders>
              <w:tl2br w:val="nil"/>
              <w:tr2bl w:val="nil"/>
            </w:tcBorders>
            <w:vAlign w:val="center"/>
          </w:tcPr>
          <w:p w14:paraId="37841B28">
            <w:pPr>
              <w:pStyle w:val="41"/>
              <w:rPr>
                <w:color w:val="auto"/>
                <w:highlight w:val="none"/>
              </w:rPr>
            </w:pPr>
            <w:r>
              <w:rPr>
                <w:color w:val="auto"/>
                <w:highlight w:val="none"/>
              </w:rPr>
              <w:t>检查尾矿坝下游坡面有无绿化和排水沟</w:t>
            </w:r>
          </w:p>
        </w:tc>
      </w:tr>
      <w:tr w14:paraId="31E87B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continue"/>
            <w:tcBorders>
              <w:tl2br w:val="nil"/>
              <w:tr2bl w:val="nil"/>
            </w:tcBorders>
            <w:vAlign w:val="center"/>
          </w:tcPr>
          <w:p w14:paraId="7F21EAE6">
            <w:pPr>
              <w:pStyle w:val="41"/>
              <w:rPr>
                <w:color w:val="auto"/>
                <w:highlight w:val="none"/>
              </w:rPr>
            </w:pPr>
          </w:p>
        </w:tc>
        <w:tc>
          <w:tcPr>
            <w:tcW w:w="741" w:type="dxa"/>
            <w:vMerge w:val="continue"/>
            <w:tcBorders>
              <w:tl2br w:val="nil"/>
              <w:tr2bl w:val="nil"/>
            </w:tcBorders>
            <w:vAlign w:val="center"/>
          </w:tcPr>
          <w:p w14:paraId="533D6E71">
            <w:pPr>
              <w:pStyle w:val="41"/>
              <w:rPr>
                <w:color w:val="auto"/>
                <w:highlight w:val="none"/>
              </w:rPr>
            </w:pPr>
          </w:p>
        </w:tc>
        <w:tc>
          <w:tcPr>
            <w:tcW w:w="3970" w:type="dxa"/>
            <w:tcBorders>
              <w:tl2br w:val="nil"/>
              <w:tr2bl w:val="nil"/>
            </w:tcBorders>
            <w:vAlign w:val="center"/>
          </w:tcPr>
          <w:p w14:paraId="76C2CCAC">
            <w:pPr>
              <w:pStyle w:val="41"/>
              <w:rPr>
                <w:color w:val="auto"/>
                <w:highlight w:val="none"/>
              </w:rPr>
            </w:pPr>
            <w:r>
              <w:rPr>
                <w:color w:val="auto"/>
                <w:highlight w:val="none"/>
              </w:rPr>
              <w:t>尾矿堆积坝下游坡与两岸山坡结合处应设置截水沟</w:t>
            </w:r>
          </w:p>
        </w:tc>
        <w:tc>
          <w:tcPr>
            <w:tcW w:w="1266" w:type="dxa"/>
            <w:vMerge w:val="continue"/>
            <w:tcBorders>
              <w:tl2br w:val="nil"/>
              <w:tr2bl w:val="nil"/>
            </w:tcBorders>
            <w:vAlign w:val="center"/>
          </w:tcPr>
          <w:p w14:paraId="2A32EAB5">
            <w:pPr>
              <w:pStyle w:val="41"/>
              <w:rPr>
                <w:color w:val="auto"/>
                <w:highlight w:val="none"/>
              </w:rPr>
            </w:pPr>
          </w:p>
        </w:tc>
        <w:tc>
          <w:tcPr>
            <w:tcW w:w="2044" w:type="dxa"/>
            <w:tcBorders>
              <w:tl2br w:val="nil"/>
              <w:tr2bl w:val="nil"/>
            </w:tcBorders>
            <w:vAlign w:val="center"/>
          </w:tcPr>
          <w:p w14:paraId="7E62DDEB">
            <w:pPr>
              <w:pStyle w:val="41"/>
              <w:rPr>
                <w:color w:val="auto"/>
                <w:highlight w:val="none"/>
              </w:rPr>
            </w:pPr>
            <w:r>
              <w:rPr>
                <w:color w:val="auto"/>
                <w:highlight w:val="none"/>
              </w:rPr>
              <w:t>检查尾矿坝有无截水沟</w:t>
            </w:r>
          </w:p>
        </w:tc>
      </w:tr>
      <w:tr w14:paraId="5C3FC1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continue"/>
            <w:tcBorders>
              <w:tl2br w:val="nil"/>
              <w:tr2bl w:val="nil"/>
            </w:tcBorders>
            <w:vAlign w:val="center"/>
          </w:tcPr>
          <w:p w14:paraId="3EC782AA">
            <w:pPr>
              <w:pStyle w:val="41"/>
              <w:rPr>
                <w:color w:val="auto"/>
                <w:highlight w:val="none"/>
              </w:rPr>
            </w:pPr>
          </w:p>
        </w:tc>
        <w:tc>
          <w:tcPr>
            <w:tcW w:w="741" w:type="dxa"/>
            <w:vMerge w:val="continue"/>
            <w:tcBorders>
              <w:tl2br w:val="nil"/>
              <w:tr2bl w:val="nil"/>
            </w:tcBorders>
            <w:vAlign w:val="center"/>
          </w:tcPr>
          <w:p w14:paraId="06EC9505">
            <w:pPr>
              <w:pStyle w:val="41"/>
              <w:rPr>
                <w:color w:val="auto"/>
                <w:highlight w:val="none"/>
              </w:rPr>
            </w:pPr>
          </w:p>
        </w:tc>
        <w:tc>
          <w:tcPr>
            <w:tcW w:w="3970" w:type="dxa"/>
            <w:tcBorders>
              <w:tl2br w:val="nil"/>
              <w:tr2bl w:val="nil"/>
            </w:tcBorders>
            <w:vAlign w:val="center"/>
          </w:tcPr>
          <w:p w14:paraId="3D1D8B73">
            <w:pPr>
              <w:pStyle w:val="41"/>
              <w:rPr>
                <w:color w:val="auto"/>
                <w:highlight w:val="none"/>
              </w:rPr>
            </w:pPr>
            <w:r>
              <w:rPr>
                <w:color w:val="auto"/>
                <w:highlight w:val="none"/>
              </w:rPr>
              <w:t>严格按设计要求控制坝体浸润线埋深</w:t>
            </w:r>
          </w:p>
        </w:tc>
        <w:tc>
          <w:tcPr>
            <w:tcW w:w="1266" w:type="dxa"/>
            <w:vMerge w:val="continue"/>
            <w:tcBorders>
              <w:tl2br w:val="nil"/>
              <w:tr2bl w:val="nil"/>
            </w:tcBorders>
            <w:vAlign w:val="center"/>
          </w:tcPr>
          <w:p w14:paraId="317BA22E">
            <w:pPr>
              <w:pStyle w:val="41"/>
              <w:rPr>
                <w:color w:val="auto"/>
                <w:highlight w:val="none"/>
              </w:rPr>
            </w:pPr>
          </w:p>
        </w:tc>
        <w:tc>
          <w:tcPr>
            <w:tcW w:w="2044" w:type="dxa"/>
            <w:tcBorders>
              <w:tl2br w:val="nil"/>
              <w:tr2bl w:val="nil"/>
            </w:tcBorders>
            <w:vAlign w:val="center"/>
          </w:tcPr>
          <w:p w14:paraId="6F098BA9">
            <w:pPr>
              <w:pStyle w:val="41"/>
              <w:rPr>
                <w:color w:val="auto"/>
                <w:highlight w:val="none"/>
              </w:rPr>
            </w:pPr>
            <w:r>
              <w:rPr>
                <w:color w:val="auto"/>
                <w:highlight w:val="none"/>
              </w:rPr>
              <w:t>查阅设计资料、浸润线观测资料、现场检查</w:t>
            </w:r>
          </w:p>
        </w:tc>
      </w:tr>
      <w:tr w14:paraId="69918B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continue"/>
            <w:tcBorders>
              <w:tl2br w:val="nil"/>
              <w:tr2bl w:val="nil"/>
            </w:tcBorders>
            <w:vAlign w:val="center"/>
          </w:tcPr>
          <w:p w14:paraId="14E1478A">
            <w:pPr>
              <w:pStyle w:val="41"/>
              <w:rPr>
                <w:color w:val="auto"/>
                <w:highlight w:val="none"/>
              </w:rPr>
            </w:pPr>
          </w:p>
        </w:tc>
        <w:tc>
          <w:tcPr>
            <w:tcW w:w="741" w:type="dxa"/>
            <w:vMerge w:val="continue"/>
            <w:tcBorders>
              <w:tl2br w:val="nil"/>
              <w:tr2bl w:val="nil"/>
            </w:tcBorders>
            <w:vAlign w:val="center"/>
          </w:tcPr>
          <w:p w14:paraId="21823B39">
            <w:pPr>
              <w:pStyle w:val="41"/>
              <w:rPr>
                <w:color w:val="auto"/>
                <w:highlight w:val="none"/>
              </w:rPr>
            </w:pPr>
          </w:p>
        </w:tc>
        <w:tc>
          <w:tcPr>
            <w:tcW w:w="3970" w:type="dxa"/>
            <w:tcBorders>
              <w:tl2br w:val="nil"/>
              <w:tr2bl w:val="nil"/>
            </w:tcBorders>
            <w:vAlign w:val="center"/>
          </w:tcPr>
          <w:p w14:paraId="1C26B521">
            <w:pPr>
              <w:pStyle w:val="41"/>
              <w:rPr>
                <w:color w:val="auto"/>
                <w:highlight w:val="none"/>
              </w:rPr>
            </w:pPr>
            <w:r>
              <w:rPr>
                <w:color w:val="auto"/>
                <w:highlight w:val="none"/>
              </w:rPr>
              <w:t>4级以上尾矿坝应设置坝体位移和坝体浸润线观测设施</w:t>
            </w:r>
          </w:p>
        </w:tc>
        <w:tc>
          <w:tcPr>
            <w:tcW w:w="1266" w:type="dxa"/>
            <w:vMerge w:val="continue"/>
            <w:tcBorders>
              <w:tl2br w:val="nil"/>
              <w:tr2bl w:val="nil"/>
            </w:tcBorders>
            <w:vAlign w:val="center"/>
          </w:tcPr>
          <w:p w14:paraId="13FF680A">
            <w:pPr>
              <w:pStyle w:val="41"/>
              <w:rPr>
                <w:color w:val="auto"/>
                <w:highlight w:val="none"/>
              </w:rPr>
            </w:pPr>
          </w:p>
        </w:tc>
        <w:tc>
          <w:tcPr>
            <w:tcW w:w="2044" w:type="dxa"/>
            <w:tcBorders>
              <w:tl2br w:val="nil"/>
              <w:tr2bl w:val="nil"/>
            </w:tcBorders>
            <w:vAlign w:val="center"/>
          </w:tcPr>
          <w:p w14:paraId="48471230">
            <w:pPr>
              <w:pStyle w:val="41"/>
              <w:rPr>
                <w:color w:val="auto"/>
                <w:highlight w:val="none"/>
              </w:rPr>
            </w:pPr>
            <w:r>
              <w:rPr>
                <w:color w:val="auto"/>
                <w:highlight w:val="none"/>
              </w:rPr>
              <w:t>检查尾矿库现场、查阅监测资料</w:t>
            </w:r>
          </w:p>
        </w:tc>
      </w:tr>
      <w:tr w14:paraId="7662E0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continue"/>
            <w:tcBorders>
              <w:tl2br w:val="nil"/>
              <w:tr2bl w:val="nil"/>
            </w:tcBorders>
            <w:vAlign w:val="center"/>
          </w:tcPr>
          <w:p w14:paraId="0F8EC830">
            <w:pPr>
              <w:pStyle w:val="41"/>
              <w:rPr>
                <w:color w:val="auto"/>
                <w:highlight w:val="none"/>
              </w:rPr>
            </w:pPr>
          </w:p>
        </w:tc>
        <w:tc>
          <w:tcPr>
            <w:tcW w:w="741" w:type="dxa"/>
            <w:vMerge w:val="continue"/>
            <w:tcBorders>
              <w:tl2br w:val="nil"/>
              <w:tr2bl w:val="nil"/>
            </w:tcBorders>
            <w:vAlign w:val="center"/>
          </w:tcPr>
          <w:p w14:paraId="73A28199">
            <w:pPr>
              <w:pStyle w:val="41"/>
              <w:rPr>
                <w:color w:val="auto"/>
                <w:highlight w:val="none"/>
              </w:rPr>
            </w:pPr>
          </w:p>
        </w:tc>
        <w:tc>
          <w:tcPr>
            <w:tcW w:w="3970" w:type="dxa"/>
            <w:tcBorders>
              <w:tl2br w:val="nil"/>
              <w:tr2bl w:val="nil"/>
            </w:tcBorders>
            <w:vAlign w:val="center"/>
          </w:tcPr>
          <w:p w14:paraId="3C52B235">
            <w:pPr>
              <w:pStyle w:val="41"/>
              <w:rPr>
                <w:color w:val="auto"/>
                <w:highlight w:val="none"/>
              </w:rPr>
            </w:pPr>
            <w:r>
              <w:rPr>
                <w:color w:val="auto"/>
                <w:highlight w:val="none"/>
              </w:rPr>
              <w:t>副坝坝高、坝型、上下游坡比应满足设计要求</w:t>
            </w:r>
          </w:p>
        </w:tc>
        <w:tc>
          <w:tcPr>
            <w:tcW w:w="1266" w:type="dxa"/>
            <w:vMerge w:val="continue"/>
            <w:tcBorders>
              <w:tl2br w:val="nil"/>
              <w:tr2bl w:val="nil"/>
            </w:tcBorders>
            <w:vAlign w:val="center"/>
          </w:tcPr>
          <w:p w14:paraId="4B8B7D2F">
            <w:pPr>
              <w:pStyle w:val="41"/>
              <w:rPr>
                <w:color w:val="auto"/>
                <w:highlight w:val="none"/>
              </w:rPr>
            </w:pPr>
          </w:p>
        </w:tc>
        <w:tc>
          <w:tcPr>
            <w:tcW w:w="2044" w:type="dxa"/>
            <w:tcBorders>
              <w:tl2br w:val="nil"/>
              <w:tr2bl w:val="nil"/>
            </w:tcBorders>
            <w:vAlign w:val="center"/>
          </w:tcPr>
          <w:p w14:paraId="414E5D6C">
            <w:pPr>
              <w:pStyle w:val="41"/>
              <w:rPr>
                <w:color w:val="auto"/>
                <w:highlight w:val="none"/>
              </w:rPr>
            </w:pPr>
            <w:r>
              <w:rPr>
                <w:color w:val="auto"/>
                <w:highlight w:val="none"/>
              </w:rPr>
              <w:t>现场检查和查看设计资料</w:t>
            </w:r>
          </w:p>
        </w:tc>
      </w:tr>
      <w:tr w14:paraId="00177A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continue"/>
            <w:tcBorders>
              <w:tl2br w:val="nil"/>
              <w:tr2bl w:val="nil"/>
            </w:tcBorders>
            <w:vAlign w:val="center"/>
          </w:tcPr>
          <w:p w14:paraId="4A5B1AF8">
            <w:pPr>
              <w:pStyle w:val="41"/>
              <w:rPr>
                <w:color w:val="auto"/>
                <w:highlight w:val="none"/>
              </w:rPr>
            </w:pPr>
          </w:p>
        </w:tc>
        <w:tc>
          <w:tcPr>
            <w:tcW w:w="741" w:type="dxa"/>
            <w:vMerge w:val="continue"/>
            <w:tcBorders>
              <w:tl2br w:val="nil"/>
              <w:tr2bl w:val="nil"/>
            </w:tcBorders>
            <w:vAlign w:val="center"/>
          </w:tcPr>
          <w:p w14:paraId="24266B25">
            <w:pPr>
              <w:pStyle w:val="41"/>
              <w:rPr>
                <w:color w:val="auto"/>
                <w:highlight w:val="none"/>
              </w:rPr>
            </w:pPr>
          </w:p>
        </w:tc>
        <w:tc>
          <w:tcPr>
            <w:tcW w:w="3970" w:type="dxa"/>
            <w:tcBorders>
              <w:tl2br w:val="nil"/>
              <w:tr2bl w:val="nil"/>
            </w:tcBorders>
            <w:vAlign w:val="center"/>
          </w:tcPr>
          <w:p w14:paraId="70E9361E">
            <w:pPr>
              <w:pStyle w:val="41"/>
              <w:rPr>
                <w:color w:val="auto"/>
                <w:highlight w:val="none"/>
              </w:rPr>
            </w:pPr>
            <w:r>
              <w:rPr>
                <w:color w:val="auto"/>
                <w:highlight w:val="none"/>
              </w:rPr>
              <w:t>建设单位应组织施工、监理、设计等单位的人员组成交工验收机构，进行初期坝、副坝、观测设施等工程验收，并编写验收报告</w:t>
            </w:r>
          </w:p>
        </w:tc>
        <w:tc>
          <w:tcPr>
            <w:tcW w:w="1266" w:type="dxa"/>
            <w:tcBorders>
              <w:tl2br w:val="nil"/>
              <w:tr2bl w:val="nil"/>
            </w:tcBorders>
            <w:vAlign w:val="center"/>
          </w:tcPr>
          <w:p w14:paraId="3DCE0845">
            <w:pPr>
              <w:pStyle w:val="41"/>
              <w:rPr>
                <w:color w:val="auto"/>
                <w:highlight w:val="none"/>
              </w:rPr>
            </w:pPr>
            <w:r>
              <w:rPr>
                <w:color w:val="auto"/>
                <w:highlight w:val="none"/>
              </w:rPr>
              <w:t>《尾矿设施施工及验收规程》</w:t>
            </w:r>
          </w:p>
        </w:tc>
        <w:tc>
          <w:tcPr>
            <w:tcW w:w="2044" w:type="dxa"/>
            <w:tcBorders>
              <w:tl2br w:val="nil"/>
              <w:tr2bl w:val="nil"/>
            </w:tcBorders>
            <w:vAlign w:val="center"/>
          </w:tcPr>
          <w:p w14:paraId="24202426">
            <w:pPr>
              <w:pStyle w:val="41"/>
              <w:rPr>
                <w:color w:val="auto"/>
                <w:highlight w:val="none"/>
              </w:rPr>
            </w:pPr>
            <w:r>
              <w:rPr>
                <w:color w:val="auto"/>
                <w:highlight w:val="none"/>
              </w:rPr>
              <w:t>查阅验收报告资料</w:t>
            </w:r>
          </w:p>
        </w:tc>
      </w:tr>
      <w:tr w14:paraId="15F891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continue"/>
            <w:tcBorders>
              <w:tl2br w:val="nil"/>
              <w:tr2bl w:val="nil"/>
            </w:tcBorders>
            <w:vAlign w:val="center"/>
          </w:tcPr>
          <w:p w14:paraId="1FC56EA2">
            <w:pPr>
              <w:pStyle w:val="41"/>
              <w:rPr>
                <w:color w:val="auto"/>
                <w:highlight w:val="none"/>
              </w:rPr>
            </w:pPr>
          </w:p>
        </w:tc>
        <w:tc>
          <w:tcPr>
            <w:tcW w:w="741" w:type="dxa"/>
            <w:vMerge w:val="continue"/>
            <w:tcBorders>
              <w:tl2br w:val="nil"/>
              <w:tr2bl w:val="nil"/>
            </w:tcBorders>
            <w:vAlign w:val="center"/>
          </w:tcPr>
          <w:p w14:paraId="7431F68B">
            <w:pPr>
              <w:pStyle w:val="41"/>
              <w:rPr>
                <w:color w:val="auto"/>
                <w:highlight w:val="none"/>
              </w:rPr>
            </w:pPr>
          </w:p>
        </w:tc>
        <w:tc>
          <w:tcPr>
            <w:tcW w:w="3970" w:type="dxa"/>
            <w:tcBorders>
              <w:tl2br w:val="nil"/>
              <w:tr2bl w:val="nil"/>
            </w:tcBorders>
            <w:vAlign w:val="center"/>
          </w:tcPr>
          <w:p w14:paraId="3BCC3B17">
            <w:pPr>
              <w:pStyle w:val="41"/>
              <w:rPr>
                <w:color w:val="auto"/>
                <w:highlight w:val="none"/>
              </w:rPr>
            </w:pPr>
            <w:r>
              <w:rPr>
                <w:color w:val="auto"/>
                <w:highlight w:val="none"/>
              </w:rPr>
              <w:t>尾矿初期坝与堆积坝坝坡的抗滑稳定性系数应满足规程关于抗滑稳定安全系数要求</w:t>
            </w:r>
          </w:p>
        </w:tc>
        <w:tc>
          <w:tcPr>
            <w:tcW w:w="1266" w:type="dxa"/>
            <w:tcBorders>
              <w:tl2br w:val="nil"/>
              <w:tr2bl w:val="nil"/>
            </w:tcBorders>
            <w:vAlign w:val="center"/>
          </w:tcPr>
          <w:p w14:paraId="2503C04B">
            <w:pPr>
              <w:pStyle w:val="41"/>
              <w:rPr>
                <w:color w:val="auto"/>
                <w:highlight w:val="none"/>
              </w:rPr>
            </w:pPr>
            <w:r>
              <w:rPr>
                <w:color w:val="auto"/>
                <w:highlight w:val="none"/>
              </w:rPr>
              <w:t>《选矿厂尾矿设施设计规范》</w:t>
            </w:r>
          </w:p>
        </w:tc>
        <w:tc>
          <w:tcPr>
            <w:tcW w:w="2044" w:type="dxa"/>
            <w:tcBorders>
              <w:tl2br w:val="nil"/>
              <w:tr2bl w:val="nil"/>
            </w:tcBorders>
            <w:vAlign w:val="center"/>
          </w:tcPr>
          <w:p w14:paraId="1BF4B60B">
            <w:pPr>
              <w:pStyle w:val="41"/>
              <w:rPr>
                <w:color w:val="auto"/>
                <w:highlight w:val="none"/>
              </w:rPr>
            </w:pPr>
            <w:r>
              <w:rPr>
                <w:color w:val="auto"/>
                <w:highlight w:val="none"/>
              </w:rPr>
              <w:t>查阅有无坝体稳定性计算资料</w:t>
            </w:r>
          </w:p>
        </w:tc>
      </w:tr>
      <w:tr w14:paraId="79B109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restart"/>
            <w:tcBorders>
              <w:tl2br w:val="nil"/>
              <w:tr2bl w:val="nil"/>
            </w:tcBorders>
            <w:vAlign w:val="center"/>
          </w:tcPr>
          <w:p w14:paraId="7BFA415D">
            <w:pPr>
              <w:pStyle w:val="41"/>
              <w:rPr>
                <w:color w:val="auto"/>
                <w:highlight w:val="none"/>
              </w:rPr>
            </w:pPr>
            <w:r>
              <w:rPr>
                <w:color w:val="auto"/>
                <w:highlight w:val="none"/>
              </w:rPr>
              <w:t>2</w:t>
            </w:r>
          </w:p>
        </w:tc>
        <w:tc>
          <w:tcPr>
            <w:tcW w:w="741" w:type="dxa"/>
            <w:vMerge w:val="restart"/>
            <w:tcBorders>
              <w:tl2br w:val="nil"/>
              <w:tr2bl w:val="nil"/>
            </w:tcBorders>
            <w:vAlign w:val="center"/>
          </w:tcPr>
          <w:p w14:paraId="4AAA759C">
            <w:pPr>
              <w:pStyle w:val="41"/>
              <w:rPr>
                <w:color w:val="auto"/>
                <w:highlight w:val="none"/>
              </w:rPr>
            </w:pPr>
            <w:r>
              <w:rPr>
                <w:color w:val="auto"/>
                <w:highlight w:val="none"/>
              </w:rPr>
              <w:t>排洪防汛</w:t>
            </w:r>
          </w:p>
        </w:tc>
        <w:tc>
          <w:tcPr>
            <w:tcW w:w="3970" w:type="dxa"/>
            <w:tcBorders>
              <w:tl2br w:val="nil"/>
              <w:tr2bl w:val="nil"/>
            </w:tcBorders>
            <w:vAlign w:val="center"/>
          </w:tcPr>
          <w:p w14:paraId="086EC003">
            <w:pPr>
              <w:pStyle w:val="41"/>
              <w:rPr>
                <w:color w:val="auto"/>
                <w:highlight w:val="none"/>
              </w:rPr>
            </w:pPr>
            <w:r>
              <w:rPr>
                <w:color w:val="auto"/>
                <w:highlight w:val="none"/>
              </w:rPr>
              <w:t>根据设计或尾矿库安全生产年度计划，应保证在洪水来临并达到最高洪水水位时，滩顶安全超高和干滩长度满足规程和设计要求</w:t>
            </w:r>
          </w:p>
        </w:tc>
        <w:tc>
          <w:tcPr>
            <w:tcW w:w="1266" w:type="dxa"/>
            <w:vMerge w:val="restart"/>
            <w:tcBorders>
              <w:tl2br w:val="nil"/>
              <w:tr2bl w:val="nil"/>
            </w:tcBorders>
            <w:vAlign w:val="center"/>
          </w:tcPr>
          <w:p w14:paraId="1BC8DA81">
            <w:pPr>
              <w:pStyle w:val="41"/>
              <w:rPr>
                <w:color w:val="auto"/>
                <w:highlight w:val="none"/>
              </w:rPr>
            </w:pPr>
            <w:r>
              <w:rPr>
                <w:color w:val="auto"/>
                <w:highlight w:val="none"/>
              </w:rPr>
              <w:t>《尾矿库安全规程》</w:t>
            </w:r>
          </w:p>
        </w:tc>
        <w:tc>
          <w:tcPr>
            <w:tcW w:w="2044" w:type="dxa"/>
            <w:tcBorders>
              <w:tl2br w:val="nil"/>
              <w:tr2bl w:val="nil"/>
            </w:tcBorders>
            <w:vAlign w:val="center"/>
          </w:tcPr>
          <w:p w14:paraId="03734F2C">
            <w:pPr>
              <w:pStyle w:val="41"/>
              <w:rPr>
                <w:color w:val="auto"/>
                <w:highlight w:val="none"/>
              </w:rPr>
            </w:pPr>
            <w:r>
              <w:rPr>
                <w:color w:val="auto"/>
                <w:highlight w:val="none"/>
              </w:rPr>
              <w:t>现场检查、查阅设计资料及安全生产年度计划</w:t>
            </w:r>
          </w:p>
        </w:tc>
      </w:tr>
      <w:tr w14:paraId="558B6F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continue"/>
            <w:tcBorders>
              <w:tl2br w:val="nil"/>
              <w:tr2bl w:val="nil"/>
            </w:tcBorders>
            <w:vAlign w:val="center"/>
          </w:tcPr>
          <w:p w14:paraId="17BF93CA">
            <w:pPr>
              <w:pStyle w:val="41"/>
              <w:rPr>
                <w:color w:val="auto"/>
                <w:highlight w:val="none"/>
              </w:rPr>
            </w:pPr>
          </w:p>
        </w:tc>
        <w:tc>
          <w:tcPr>
            <w:tcW w:w="741" w:type="dxa"/>
            <w:vMerge w:val="continue"/>
            <w:tcBorders>
              <w:tl2br w:val="nil"/>
              <w:tr2bl w:val="nil"/>
            </w:tcBorders>
            <w:vAlign w:val="center"/>
          </w:tcPr>
          <w:p w14:paraId="2B956FBF">
            <w:pPr>
              <w:pStyle w:val="41"/>
              <w:rPr>
                <w:color w:val="auto"/>
                <w:highlight w:val="none"/>
              </w:rPr>
            </w:pPr>
          </w:p>
        </w:tc>
        <w:tc>
          <w:tcPr>
            <w:tcW w:w="3970" w:type="dxa"/>
            <w:tcBorders>
              <w:tl2br w:val="nil"/>
              <w:tr2bl w:val="nil"/>
            </w:tcBorders>
            <w:vAlign w:val="center"/>
          </w:tcPr>
          <w:p w14:paraId="1EECB12E">
            <w:pPr>
              <w:pStyle w:val="41"/>
              <w:rPr>
                <w:color w:val="auto"/>
                <w:highlight w:val="none"/>
              </w:rPr>
            </w:pPr>
            <w:r>
              <w:rPr>
                <w:color w:val="auto"/>
                <w:highlight w:val="none"/>
              </w:rPr>
              <w:t>防洪标准应满足规程中有关不同等别尾矿库防洪标准的要求</w:t>
            </w:r>
          </w:p>
        </w:tc>
        <w:tc>
          <w:tcPr>
            <w:tcW w:w="1266" w:type="dxa"/>
            <w:vMerge w:val="continue"/>
            <w:tcBorders>
              <w:tl2br w:val="nil"/>
              <w:tr2bl w:val="nil"/>
            </w:tcBorders>
            <w:vAlign w:val="center"/>
          </w:tcPr>
          <w:p w14:paraId="7955ED6D">
            <w:pPr>
              <w:pStyle w:val="41"/>
              <w:rPr>
                <w:color w:val="auto"/>
                <w:highlight w:val="none"/>
              </w:rPr>
            </w:pPr>
          </w:p>
        </w:tc>
        <w:tc>
          <w:tcPr>
            <w:tcW w:w="2044" w:type="dxa"/>
            <w:tcBorders>
              <w:tl2br w:val="nil"/>
              <w:tr2bl w:val="nil"/>
            </w:tcBorders>
            <w:vAlign w:val="center"/>
          </w:tcPr>
          <w:p w14:paraId="708265E1">
            <w:pPr>
              <w:pStyle w:val="41"/>
              <w:rPr>
                <w:color w:val="auto"/>
                <w:highlight w:val="none"/>
              </w:rPr>
            </w:pPr>
            <w:r>
              <w:rPr>
                <w:color w:val="auto"/>
                <w:highlight w:val="none"/>
              </w:rPr>
              <w:t>查阅设计报告</w:t>
            </w:r>
          </w:p>
        </w:tc>
      </w:tr>
      <w:tr w14:paraId="747168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continue"/>
            <w:tcBorders>
              <w:tl2br w:val="nil"/>
              <w:tr2bl w:val="nil"/>
            </w:tcBorders>
            <w:vAlign w:val="center"/>
          </w:tcPr>
          <w:p w14:paraId="6142ABEA">
            <w:pPr>
              <w:pStyle w:val="41"/>
              <w:rPr>
                <w:color w:val="auto"/>
                <w:highlight w:val="none"/>
              </w:rPr>
            </w:pPr>
          </w:p>
        </w:tc>
        <w:tc>
          <w:tcPr>
            <w:tcW w:w="741" w:type="dxa"/>
            <w:vMerge w:val="continue"/>
            <w:tcBorders>
              <w:tl2br w:val="nil"/>
              <w:tr2bl w:val="nil"/>
            </w:tcBorders>
            <w:vAlign w:val="center"/>
          </w:tcPr>
          <w:p w14:paraId="55CA2558">
            <w:pPr>
              <w:pStyle w:val="41"/>
              <w:rPr>
                <w:color w:val="auto"/>
                <w:highlight w:val="none"/>
              </w:rPr>
            </w:pPr>
          </w:p>
        </w:tc>
        <w:tc>
          <w:tcPr>
            <w:tcW w:w="3970" w:type="dxa"/>
            <w:tcBorders>
              <w:tl2br w:val="nil"/>
              <w:tr2bl w:val="nil"/>
            </w:tcBorders>
            <w:vAlign w:val="center"/>
          </w:tcPr>
          <w:p w14:paraId="47078C0B">
            <w:pPr>
              <w:pStyle w:val="41"/>
              <w:rPr>
                <w:color w:val="auto"/>
                <w:highlight w:val="none"/>
              </w:rPr>
            </w:pPr>
            <w:r>
              <w:rPr>
                <w:color w:val="auto"/>
                <w:highlight w:val="none"/>
              </w:rPr>
              <w:t>排洪系统现状能够满足设计要求的泄水能力，当24小时洪水总量小于调洪库容时，洪水排出时间不宜超过72小时</w:t>
            </w:r>
          </w:p>
        </w:tc>
        <w:tc>
          <w:tcPr>
            <w:tcW w:w="1266" w:type="dxa"/>
            <w:vMerge w:val="continue"/>
            <w:tcBorders>
              <w:tl2br w:val="nil"/>
              <w:tr2bl w:val="nil"/>
            </w:tcBorders>
            <w:vAlign w:val="center"/>
          </w:tcPr>
          <w:p w14:paraId="07944B21">
            <w:pPr>
              <w:pStyle w:val="41"/>
              <w:rPr>
                <w:color w:val="auto"/>
                <w:highlight w:val="none"/>
              </w:rPr>
            </w:pPr>
          </w:p>
        </w:tc>
        <w:tc>
          <w:tcPr>
            <w:tcW w:w="2044" w:type="dxa"/>
            <w:tcBorders>
              <w:tl2br w:val="nil"/>
              <w:tr2bl w:val="nil"/>
            </w:tcBorders>
            <w:vAlign w:val="center"/>
          </w:tcPr>
          <w:p w14:paraId="5F12EF41">
            <w:pPr>
              <w:pStyle w:val="41"/>
              <w:rPr>
                <w:color w:val="auto"/>
                <w:highlight w:val="none"/>
              </w:rPr>
            </w:pPr>
            <w:r>
              <w:rPr>
                <w:color w:val="auto"/>
                <w:highlight w:val="none"/>
              </w:rPr>
              <w:t>查阅设计资料、检查排洪设施是否完好</w:t>
            </w:r>
          </w:p>
        </w:tc>
      </w:tr>
      <w:tr w14:paraId="04EFC0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continue"/>
            <w:tcBorders>
              <w:tl2br w:val="nil"/>
              <w:tr2bl w:val="nil"/>
            </w:tcBorders>
            <w:vAlign w:val="center"/>
          </w:tcPr>
          <w:p w14:paraId="3DBA5990">
            <w:pPr>
              <w:pStyle w:val="41"/>
              <w:rPr>
                <w:color w:val="auto"/>
                <w:highlight w:val="none"/>
              </w:rPr>
            </w:pPr>
          </w:p>
        </w:tc>
        <w:tc>
          <w:tcPr>
            <w:tcW w:w="741" w:type="dxa"/>
            <w:vMerge w:val="continue"/>
            <w:tcBorders>
              <w:tl2br w:val="nil"/>
              <w:tr2bl w:val="nil"/>
            </w:tcBorders>
            <w:vAlign w:val="center"/>
          </w:tcPr>
          <w:p w14:paraId="310AC733">
            <w:pPr>
              <w:pStyle w:val="41"/>
              <w:rPr>
                <w:color w:val="auto"/>
                <w:highlight w:val="none"/>
              </w:rPr>
            </w:pPr>
          </w:p>
        </w:tc>
        <w:tc>
          <w:tcPr>
            <w:tcW w:w="3970" w:type="dxa"/>
            <w:tcBorders>
              <w:tl2br w:val="nil"/>
              <w:tr2bl w:val="nil"/>
            </w:tcBorders>
            <w:vAlign w:val="center"/>
          </w:tcPr>
          <w:p w14:paraId="0588B9DC">
            <w:pPr>
              <w:pStyle w:val="41"/>
              <w:rPr>
                <w:color w:val="auto"/>
                <w:highlight w:val="none"/>
              </w:rPr>
            </w:pPr>
            <w:r>
              <w:rPr>
                <w:color w:val="auto"/>
                <w:highlight w:val="none"/>
              </w:rPr>
              <w:t>在排水构筑物上或尾矿库内适当地点，应设置清晰醒目的水位标尺，标明正常运行水位和警戒水位</w:t>
            </w:r>
          </w:p>
        </w:tc>
        <w:tc>
          <w:tcPr>
            <w:tcW w:w="1266" w:type="dxa"/>
            <w:vMerge w:val="continue"/>
            <w:tcBorders>
              <w:tl2br w:val="nil"/>
              <w:tr2bl w:val="nil"/>
            </w:tcBorders>
            <w:vAlign w:val="center"/>
          </w:tcPr>
          <w:p w14:paraId="694EE797">
            <w:pPr>
              <w:pStyle w:val="41"/>
              <w:rPr>
                <w:color w:val="auto"/>
                <w:highlight w:val="none"/>
              </w:rPr>
            </w:pPr>
          </w:p>
        </w:tc>
        <w:tc>
          <w:tcPr>
            <w:tcW w:w="2044" w:type="dxa"/>
            <w:tcBorders>
              <w:tl2br w:val="nil"/>
              <w:tr2bl w:val="nil"/>
            </w:tcBorders>
            <w:vAlign w:val="center"/>
          </w:tcPr>
          <w:p w14:paraId="13176E50">
            <w:pPr>
              <w:pStyle w:val="41"/>
              <w:rPr>
                <w:color w:val="auto"/>
                <w:highlight w:val="none"/>
              </w:rPr>
            </w:pPr>
            <w:r>
              <w:rPr>
                <w:color w:val="auto"/>
                <w:highlight w:val="none"/>
              </w:rPr>
              <w:t>检查尾矿库有无设置明显水位标尺</w:t>
            </w:r>
          </w:p>
        </w:tc>
      </w:tr>
      <w:tr w14:paraId="399471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continue"/>
            <w:tcBorders>
              <w:tl2br w:val="nil"/>
              <w:tr2bl w:val="nil"/>
            </w:tcBorders>
            <w:vAlign w:val="center"/>
          </w:tcPr>
          <w:p w14:paraId="7CB7610E">
            <w:pPr>
              <w:pStyle w:val="41"/>
              <w:rPr>
                <w:color w:val="auto"/>
                <w:highlight w:val="none"/>
              </w:rPr>
            </w:pPr>
          </w:p>
        </w:tc>
        <w:tc>
          <w:tcPr>
            <w:tcW w:w="741" w:type="dxa"/>
            <w:vMerge w:val="continue"/>
            <w:tcBorders>
              <w:tl2br w:val="nil"/>
              <w:tr2bl w:val="nil"/>
            </w:tcBorders>
            <w:vAlign w:val="center"/>
          </w:tcPr>
          <w:p w14:paraId="22134F66">
            <w:pPr>
              <w:pStyle w:val="41"/>
              <w:rPr>
                <w:color w:val="auto"/>
                <w:highlight w:val="none"/>
              </w:rPr>
            </w:pPr>
          </w:p>
        </w:tc>
        <w:tc>
          <w:tcPr>
            <w:tcW w:w="3970" w:type="dxa"/>
            <w:tcBorders>
              <w:tl2br w:val="nil"/>
              <w:tr2bl w:val="nil"/>
            </w:tcBorders>
            <w:vAlign w:val="center"/>
          </w:tcPr>
          <w:p w14:paraId="59D9B287">
            <w:pPr>
              <w:pStyle w:val="41"/>
              <w:rPr>
                <w:color w:val="auto"/>
                <w:highlight w:val="none"/>
              </w:rPr>
            </w:pPr>
            <w:r>
              <w:rPr>
                <w:color w:val="auto"/>
                <w:highlight w:val="none"/>
              </w:rPr>
              <w:t>汛期前应对排洪设施进行检查、维修和疏浚，确保排洪设施畅通。根据确定的排洪底坎高程，将排洪底坎以上1.5倍调洪高度内的挡板全部打开，清除排洪口前水面漂浮物</w:t>
            </w:r>
          </w:p>
        </w:tc>
        <w:tc>
          <w:tcPr>
            <w:tcW w:w="1266" w:type="dxa"/>
            <w:vMerge w:val="continue"/>
            <w:tcBorders>
              <w:tl2br w:val="nil"/>
              <w:tr2bl w:val="nil"/>
            </w:tcBorders>
            <w:vAlign w:val="center"/>
          </w:tcPr>
          <w:p w14:paraId="0FA2C0E9">
            <w:pPr>
              <w:pStyle w:val="41"/>
              <w:rPr>
                <w:color w:val="auto"/>
                <w:highlight w:val="none"/>
              </w:rPr>
            </w:pPr>
          </w:p>
        </w:tc>
        <w:tc>
          <w:tcPr>
            <w:tcW w:w="2044" w:type="dxa"/>
            <w:tcBorders>
              <w:tl2br w:val="nil"/>
              <w:tr2bl w:val="nil"/>
            </w:tcBorders>
            <w:vAlign w:val="center"/>
          </w:tcPr>
          <w:p w14:paraId="71CF5247">
            <w:pPr>
              <w:pStyle w:val="41"/>
              <w:rPr>
                <w:color w:val="auto"/>
                <w:highlight w:val="none"/>
              </w:rPr>
            </w:pPr>
            <w:r>
              <w:rPr>
                <w:color w:val="auto"/>
                <w:highlight w:val="none"/>
              </w:rPr>
              <w:t>现场检查排洪设施和查阅记录</w:t>
            </w:r>
          </w:p>
        </w:tc>
      </w:tr>
      <w:tr w14:paraId="60D1BD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continue"/>
            <w:tcBorders>
              <w:tl2br w:val="nil"/>
              <w:tr2bl w:val="nil"/>
            </w:tcBorders>
            <w:vAlign w:val="center"/>
          </w:tcPr>
          <w:p w14:paraId="0ECDFB7E">
            <w:pPr>
              <w:pStyle w:val="41"/>
              <w:rPr>
                <w:color w:val="auto"/>
                <w:highlight w:val="none"/>
              </w:rPr>
            </w:pPr>
          </w:p>
        </w:tc>
        <w:tc>
          <w:tcPr>
            <w:tcW w:w="741" w:type="dxa"/>
            <w:vMerge w:val="continue"/>
            <w:tcBorders>
              <w:tl2br w:val="nil"/>
              <w:tr2bl w:val="nil"/>
            </w:tcBorders>
            <w:vAlign w:val="center"/>
          </w:tcPr>
          <w:p w14:paraId="0F35CA2C">
            <w:pPr>
              <w:pStyle w:val="41"/>
              <w:rPr>
                <w:color w:val="auto"/>
                <w:highlight w:val="none"/>
              </w:rPr>
            </w:pPr>
          </w:p>
        </w:tc>
        <w:tc>
          <w:tcPr>
            <w:tcW w:w="3970" w:type="dxa"/>
            <w:tcBorders>
              <w:tl2br w:val="nil"/>
              <w:tr2bl w:val="nil"/>
            </w:tcBorders>
            <w:vAlign w:val="center"/>
          </w:tcPr>
          <w:p w14:paraId="1D99B2B5">
            <w:pPr>
              <w:pStyle w:val="41"/>
              <w:rPr>
                <w:color w:val="auto"/>
                <w:highlight w:val="none"/>
              </w:rPr>
            </w:pPr>
            <w:r>
              <w:rPr>
                <w:color w:val="auto"/>
                <w:highlight w:val="none"/>
              </w:rPr>
              <w:t>洪水过后应对排洪构筑物进行全面认真的检查与清理，发现问题及时修复，同时，采取措施降低库水位，防止连续降雨后发生垮坝事故</w:t>
            </w:r>
          </w:p>
        </w:tc>
        <w:tc>
          <w:tcPr>
            <w:tcW w:w="1266" w:type="dxa"/>
            <w:vMerge w:val="continue"/>
            <w:tcBorders>
              <w:tl2br w:val="nil"/>
              <w:tr2bl w:val="nil"/>
            </w:tcBorders>
            <w:vAlign w:val="center"/>
          </w:tcPr>
          <w:p w14:paraId="2C69907D">
            <w:pPr>
              <w:pStyle w:val="41"/>
              <w:rPr>
                <w:color w:val="auto"/>
                <w:highlight w:val="none"/>
              </w:rPr>
            </w:pPr>
          </w:p>
        </w:tc>
        <w:tc>
          <w:tcPr>
            <w:tcW w:w="2044" w:type="dxa"/>
            <w:tcBorders>
              <w:tl2br w:val="nil"/>
              <w:tr2bl w:val="nil"/>
            </w:tcBorders>
            <w:vAlign w:val="center"/>
          </w:tcPr>
          <w:p w14:paraId="68D8D0DE">
            <w:pPr>
              <w:pStyle w:val="41"/>
              <w:rPr>
                <w:color w:val="auto"/>
                <w:highlight w:val="none"/>
              </w:rPr>
            </w:pPr>
            <w:r>
              <w:rPr>
                <w:color w:val="auto"/>
                <w:highlight w:val="none"/>
              </w:rPr>
              <w:t>查阅检查记录</w:t>
            </w:r>
          </w:p>
        </w:tc>
      </w:tr>
      <w:tr w14:paraId="01D20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501" w:type="dxa"/>
            <w:vMerge w:val="continue"/>
            <w:tcBorders>
              <w:tl2br w:val="nil"/>
              <w:tr2bl w:val="nil"/>
            </w:tcBorders>
            <w:vAlign w:val="center"/>
          </w:tcPr>
          <w:p w14:paraId="695049DC">
            <w:pPr>
              <w:pStyle w:val="41"/>
              <w:rPr>
                <w:color w:val="auto"/>
                <w:highlight w:val="none"/>
              </w:rPr>
            </w:pPr>
          </w:p>
        </w:tc>
        <w:tc>
          <w:tcPr>
            <w:tcW w:w="741" w:type="dxa"/>
            <w:vMerge w:val="continue"/>
            <w:tcBorders>
              <w:tl2br w:val="nil"/>
              <w:tr2bl w:val="nil"/>
            </w:tcBorders>
            <w:vAlign w:val="center"/>
          </w:tcPr>
          <w:p w14:paraId="482E7EB3">
            <w:pPr>
              <w:pStyle w:val="41"/>
              <w:rPr>
                <w:color w:val="auto"/>
                <w:highlight w:val="none"/>
              </w:rPr>
            </w:pPr>
          </w:p>
        </w:tc>
        <w:tc>
          <w:tcPr>
            <w:tcW w:w="3970" w:type="dxa"/>
            <w:tcBorders>
              <w:tl2br w:val="nil"/>
              <w:tr2bl w:val="nil"/>
            </w:tcBorders>
            <w:vAlign w:val="center"/>
          </w:tcPr>
          <w:p w14:paraId="3ABF6395">
            <w:pPr>
              <w:pStyle w:val="41"/>
              <w:rPr>
                <w:color w:val="auto"/>
                <w:highlight w:val="none"/>
              </w:rPr>
            </w:pPr>
            <w:r>
              <w:rPr>
                <w:color w:val="auto"/>
                <w:highlight w:val="none"/>
              </w:rPr>
              <w:t>尾矿库排水构筑物停用后，</w:t>
            </w:r>
            <w:r>
              <w:rPr>
                <w:rFonts w:hint="eastAsia"/>
                <w:color w:val="auto"/>
                <w:highlight w:val="none"/>
              </w:rPr>
              <w:t>必须严格按照</w:t>
            </w:r>
            <w:r>
              <w:rPr>
                <w:color w:val="auto"/>
                <w:highlight w:val="none"/>
              </w:rPr>
              <w:t>设计要求及时封堵，并确保施工质量。严禁在排水井井筒顶部封堵</w:t>
            </w:r>
          </w:p>
        </w:tc>
        <w:tc>
          <w:tcPr>
            <w:tcW w:w="1266" w:type="dxa"/>
            <w:vMerge w:val="continue"/>
            <w:tcBorders>
              <w:tl2br w:val="nil"/>
              <w:tr2bl w:val="nil"/>
            </w:tcBorders>
            <w:vAlign w:val="center"/>
          </w:tcPr>
          <w:p w14:paraId="5B5C1AB4">
            <w:pPr>
              <w:pStyle w:val="41"/>
              <w:rPr>
                <w:color w:val="auto"/>
                <w:highlight w:val="none"/>
              </w:rPr>
            </w:pPr>
          </w:p>
        </w:tc>
        <w:tc>
          <w:tcPr>
            <w:tcW w:w="2044" w:type="dxa"/>
            <w:tcBorders>
              <w:tl2br w:val="nil"/>
              <w:tr2bl w:val="nil"/>
            </w:tcBorders>
            <w:vAlign w:val="center"/>
          </w:tcPr>
          <w:p w14:paraId="7779417B">
            <w:pPr>
              <w:pStyle w:val="41"/>
              <w:rPr>
                <w:color w:val="auto"/>
                <w:highlight w:val="none"/>
              </w:rPr>
            </w:pPr>
            <w:r>
              <w:rPr>
                <w:color w:val="auto"/>
                <w:highlight w:val="none"/>
              </w:rPr>
              <w:t>现场检查和查阅封堵记录</w:t>
            </w:r>
          </w:p>
        </w:tc>
      </w:tr>
      <w:tr w14:paraId="7280C8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restart"/>
            <w:tcBorders>
              <w:tl2br w:val="nil"/>
              <w:tr2bl w:val="nil"/>
            </w:tcBorders>
            <w:vAlign w:val="center"/>
          </w:tcPr>
          <w:p w14:paraId="706CC8AA">
            <w:pPr>
              <w:pStyle w:val="41"/>
              <w:rPr>
                <w:color w:val="auto"/>
                <w:highlight w:val="none"/>
              </w:rPr>
            </w:pPr>
            <w:r>
              <w:rPr>
                <w:color w:val="auto"/>
                <w:highlight w:val="none"/>
              </w:rPr>
              <w:t>3</w:t>
            </w:r>
          </w:p>
        </w:tc>
        <w:tc>
          <w:tcPr>
            <w:tcW w:w="741" w:type="dxa"/>
            <w:vMerge w:val="restart"/>
            <w:tcBorders>
              <w:tl2br w:val="nil"/>
              <w:tr2bl w:val="nil"/>
            </w:tcBorders>
            <w:vAlign w:val="center"/>
          </w:tcPr>
          <w:p w14:paraId="185B039F">
            <w:pPr>
              <w:pStyle w:val="41"/>
              <w:rPr>
                <w:color w:val="auto"/>
                <w:highlight w:val="none"/>
              </w:rPr>
            </w:pPr>
            <w:r>
              <w:rPr>
                <w:color w:val="auto"/>
                <w:highlight w:val="none"/>
              </w:rPr>
              <w:t>排放筑坝</w:t>
            </w:r>
          </w:p>
        </w:tc>
        <w:tc>
          <w:tcPr>
            <w:tcW w:w="3970" w:type="dxa"/>
            <w:tcBorders>
              <w:tl2br w:val="nil"/>
              <w:tr2bl w:val="nil"/>
            </w:tcBorders>
            <w:vAlign w:val="center"/>
          </w:tcPr>
          <w:p w14:paraId="76A6977E">
            <w:pPr>
              <w:pStyle w:val="41"/>
              <w:rPr>
                <w:color w:val="auto"/>
                <w:highlight w:val="none"/>
              </w:rPr>
            </w:pPr>
            <w:r>
              <w:rPr>
                <w:color w:val="auto"/>
                <w:highlight w:val="none"/>
              </w:rPr>
              <w:t>上游式筑坝法，应于坝前均匀放矿，维持坝体均匀上升，不得任意在库后或一侧岸坡放矿</w:t>
            </w:r>
          </w:p>
        </w:tc>
        <w:tc>
          <w:tcPr>
            <w:tcW w:w="1266" w:type="dxa"/>
            <w:vMerge w:val="continue"/>
            <w:tcBorders>
              <w:tl2br w:val="nil"/>
              <w:tr2bl w:val="nil"/>
            </w:tcBorders>
            <w:vAlign w:val="center"/>
          </w:tcPr>
          <w:p w14:paraId="700EA778">
            <w:pPr>
              <w:pStyle w:val="41"/>
              <w:rPr>
                <w:color w:val="auto"/>
                <w:highlight w:val="none"/>
              </w:rPr>
            </w:pPr>
          </w:p>
        </w:tc>
        <w:tc>
          <w:tcPr>
            <w:tcW w:w="2044" w:type="dxa"/>
            <w:tcBorders>
              <w:tl2br w:val="nil"/>
              <w:tr2bl w:val="nil"/>
            </w:tcBorders>
            <w:vAlign w:val="center"/>
          </w:tcPr>
          <w:p w14:paraId="7D3B999B">
            <w:pPr>
              <w:pStyle w:val="41"/>
              <w:rPr>
                <w:color w:val="auto"/>
                <w:highlight w:val="none"/>
              </w:rPr>
            </w:pPr>
            <w:r>
              <w:rPr>
                <w:color w:val="auto"/>
                <w:highlight w:val="none"/>
              </w:rPr>
              <w:t>现场检查是否均匀放矿</w:t>
            </w:r>
          </w:p>
        </w:tc>
      </w:tr>
      <w:tr w14:paraId="49A2C8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continue"/>
            <w:tcBorders>
              <w:tl2br w:val="nil"/>
              <w:tr2bl w:val="nil"/>
            </w:tcBorders>
            <w:vAlign w:val="center"/>
          </w:tcPr>
          <w:p w14:paraId="519D323C">
            <w:pPr>
              <w:pStyle w:val="41"/>
              <w:rPr>
                <w:color w:val="auto"/>
                <w:highlight w:val="none"/>
              </w:rPr>
            </w:pPr>
          </w:p>
        </w:tc>
        <w:tc>
          <w:tcPr>
            <w:tcW w:w="741" w:type="dxa"/>
            <w:vMerge w:val="continue"/>
            <w:tcBorders>
              <w:tl2br w:val="nil"/>
              <w:tr2bl w:val="nil"/>
            </w:tcBorders>
            <w:vAlign w:val="center"/>
          </w:tcPr>
          <w:p w14:paraId="169D03BD">
            <w:pPr>
              <w:pStyle w:val="41"/>
              <w:rPr>
                <w:color w:val="auto"/>
                <w:highlight w:val="none"/>
              </w:rPr>
            </w:pPr>
          </w:p>
        </w:tc>
        <w:tc>
          <w:tcPr>
            <w:tcW w:w="3970" w:type="dxa"/>
            <w:tcBorders>
              <w:tl2br w:val="nil"/>
              <w:tr2bl w:val="nil"/>
            </w:tcBorders>
            <w:vAlign w:val="center"/>
          </w:tcPr>
          <w:p w14:paraId="20A51845">
            <w:pPr>
              <w:pStyle w:val="41"/>
              <w:rPr>
                <w:color w:val="auto"/>
                <w:highlight w:val="none"/>
              </w:rPr>
            </w:pPr>
            <w:r>
              <w:rPr>
                <w:color w:val="auto"/>
                <w:highlight w:val="none"/>
              </w:rPr>
              <w:t>坝体较长时应采用分段交替作业，使坝体均匀上升，应避免滩面出现侧坡、扇形坡或细粒尾矿大量集中沉积于某端或某侧</w:t>
            </w:r>
          </w:p>
        </w:tc>
        <w:tc>
          <w:tcPr>
            <w:tcW w:w="1266" w:type="dxa"/>
            <w:vMerge w:val="continue"/>
            <w:tcBorders>
              <w:tl2br w:val="nil"/>
              <w:tr2bl w:val="nil"/>
            </w:tcBorders>
            <w:vAlign w:val="center"/>
          </w:tcPr>
          <w:p w14:paraId="78A0C1CA">
            <w:pPr>
              <w:pStyle w:val="41"/>
              <w:rPr>
                <w:color w:val="auto"/>
                <w:highlight w:val="none"/>
              </w:rPr>
            </w:pPr>
          </w:p>
        </w:tc>
        <w:tc>
          <w:tcPr>
            <w:tcW w:w="2044" w:type="dxa"/>
            <w:tcBorders>
              <w:tl2br w:val="nil"/>
              <w:tr2bl w:val="nil"/>
            </w:tcBorders>
            <w:vAlign w:val="center"/>
          </w:tcPr>
          <w:p w14:paraId="4A376176">
            <w:pPr>
              <w:pStyle w:val="41"/>
              <w:rPr>
                <w:color w:val="auto"/>
                <w:highlight w:val="none"/>
              </w:rPr>
            </w:pPr>
            <w:r>
              <w:rPr>
                <w:color w:val="auto"/>
                <w:highlight w:val="none"/>
              </w:rPr>
              <w:t>检查尾矿坝现场</w:t>
            </w:r>
          </w:p>
        </w:tc>
      </w:tr>
      <w:tr w14:paraId="72FC6B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01" w:type="dxa"/>
            <w:vMerge w:val="continue"/>
            <w:tcBorders>
              <w:tl2br w:val="nil"/>
              <w:tr2bl w:val="nil"/>
            </w:tcBorders>
            <w:vAlign w:val="center"/>
          </w:tcPr>
          <w:p w14:paraId="04E37E4B">
            <w:pPr>
              <w:pStyle w:val="41"/>
              <w:rPr>
                <w:color w:val="auto"/>
                <w:highlight w:val="none"/>
              </w:rPr>
            </w:pPr>
          </w:p>
        </w:tc>
        <w:tc>
          <w:tcPr>
            <w:tcW w:w="741" w:type="dxa"/>
            <w:vMerge w:val="continue"/>
            <w:tcBorders>
              <w:tl2br w:val="nil"/>
              <w:tr2bl w:val="nil"/>
            </w:tcBorders>
            <w:vAlign w:val="center"/>
          </w:tcPr>
          <w:p w14:paraId="2670A57D">
            <w:pPr>
              <w:pStyle w:val="41"/>
              <w:rPr>
                <w:color w:val="auto"/>
                <w:highlight w:val="none"/>
              </w:rPr>
            </w:pPr>
          </w:p>
        </w:tc>
        <w:tc>
          <w:tcPr>
            <w:tcW w:w="3970" w:type="dxa"/>
            <w:tcBorders>
              <w:tl2br w:val="nil"/>
              <w:tr2bl w:val="nil"/>
            </w:tcBorders>
            <w:vAlign w:val="center"/>
          </w:tcPr>
          <w:p w14:paraId="4A8986A0">
            <w:pPr>
              <w:pStyle w:val="41"/>
              <w:rPr>
                <w:color w:val="auto"/>
                <w:highlight w:val="none"/>
              </w:rPr>
            </w:pPr>
            <w:r>
              <w:rPr>
                <w:color w:val="auto"/>
                <w:highlight w:val="none"/>
              </w:rPr>
              <w:t>每期子坝堆筑完毕，应进行质量检查，检查记录需经主管技术人员签字后存档备查</w:t>
            </w:r>
          </w:p>
        </w:tc>
        <w:tc>
          <w:tcPr>
            <w:tcW w:w="1266" w:type="dxa"/>
            <w:vMerge w:val="continue"/>
            <w:tcBorders>
              <w:tl2br w:val="nil"/>
              <w:tr2bl w:val="nil"/>
            </w:tcBorders>
            <w:vAlign w:val="center"/>
          </w:tcPr>
          <w:p w14:paraId="18FE7647">
            <w:pPr>
              <w:pStyle w:val="41"/>
              <w:rPr>
                <w:color w:val="auto"/>
                <w:highlight w:val="none"/>
              </w:rPr>
            </w:pPr>
          </w:p>
        </w:tc>
        <w:tc>
          <w:tcPr>
            <w:tcW w:w="2044" w:type="dxa"/>
            <w:tcBorders>
              <w:tl2br w:val="nil"/>
              <w:tr2bl w:val="nil"/>
            </w:tcBorders>
            <w:vAlign w:val="center"/>
          </w:tcPr>
          <w:p w14:paraId="750C4693">
            <w:pPr>
              <w:pStyle w:val="41"/>
              <w:rPr>
                <w:color w:val="auto"/>
                <w:highlight w:val="none"/>
              </w:rPr>
            </w:pPr>
            <w:r>
              <w:rPr>
                <w:color w:val="auto"/>
                <w:highlight w:val="none"/>
              </w:rPr>
              <w:t>查阅堆坝记录</w:t>
            </w:r>
          </w:p>
        </w:tc>
      </w:tr>
    </w:tbl>
    <w:p w14:paraId="58C2DDDE">
      <w:pPr>
        <w:pStyle w:val="3"/>
        <w:ind w:firstLine="480"/>
        <w:rPr>
          <w:color w:val="auto"/>
          <w:highlight w:val="none"/>
        </w:rPr>
      </w:pPr>
      <w:r>
        <w:rPr>
          <w:color w:val="auto"/>
          <w:highlight w:val="none"/>
        </w:rPr>
        <w:t>对于排查发现的问题，应及时消除环境隐患，积极整改，确保尾矿库环境风险可控。如发现重大环境风险安全隐患，应立即预警，并启动应急预案，及时报告当地生态环境部门，并邀请相关行业专家进行现场评估及出具尾矿库整改方案，积极整改到位，消除风险安全隐患。</w:t>
      </w:r>
    </w:p>
    <w:p w14:paraId="46C66CBB">
      <w:pPr>
        <w:pStyle w:val="3"/>
        <w:ind w:firstLine="480"/>
        <w:rPr>
          <w:color w:val="auto"/>
          <w:highlight w:val="none"/>
        </w:rPr>
      </w:pPr>
      <w:r>
        <w:rPr>
          <w:color w:val="auto"/>
          <w:highlight w:val="none"/>
        </w:rPr>
        <w:t>（2）尾矿库环境安全隐患治理计划</w:t>
      </w:r>
    </w:p>
    <w:p w14:paraId="45462F07">
      <w:pPr>
        <w:pStyle w:val="3"/>
        <w:ind w:firstLine="480"/>
        <w:rPr>
          <w:color w:val="auto"/>
          <w:highlight w:val="none"/>
        </w:rPr>
      </w:pPr>
      <w:r>
        <w:rPr>
          <w:color w:val="auto"/>
          <w:highlight w:val="none"/>
        </w:rPr>
        <w:t>按照</w:t>
      </w:r>
      <w:r>
        <w:rPr>
          <w:rFonts w:hint="eastAsia"/>
          <w:color w:val="auto"/>
          <w:highlight w:val="none"/>
        </w:rPr>
        <w:t>“</w:t>
      </w:r>
      <w:r>
        <w:rPr>
          <w:color w:val="auto"/>
          <w:highlight w:val="none"/>
        </w:rPr>
        <w:t>一库一档</w:t>
      </w:r>
      <w:r>
        <w:rPr>
          <w:rFonts w:hint="eastAsia"/>
          <w:color w:val="auto"/>
          <w:highlight w:val="none"/>
        </w:rPr>
        <w:t>”</w:t>
      </w:r>
      <w:r>
        <w:rPr>
          <w:color w:val="auto"/>
          <w:highlight w:val="none"/>
        </w:rPr>
        <w:t>的要求，对历史遗留，要落实责任，制定整改方案，加强资金、技术、保障等方面的统筹，明确整治计划和期限，采取有力措施逐步消除安全和环境隐患。重点对尾矿库履行环评审批及建设项目</w:t>
      </w:r>
      <w:r>
        <w:rPr>
          <w:rFonts w:hint="eastAsia"/>
          <w:color w:val="auto"/>
          <w:highlight w:val="none"/>
        </w:rPr>
        <w:t>“</w:t>
      </w:r>
      <w:r>
        <w:rPr>
          <w:color w:val="auto"/>
          <w:highlight w:val="none"/>
        </w:rPr>
        <w:t>三同时</w:t>
      </w:r>
      <w:r>
        <w:rPr>
          <w:rFonts w:hint="eastAsia"/>
          <w:color w:val="auto"/>
          <w:highlight w:val="none"/>
        </w:rPr>
        <w:t>”</w:t>
      </w:r>
      <w:r>
        <w:rPr>
          <w:color w:val="auto"/>
          <w:highlight w:val="none"/>
        </w:rPr>
        <w:t>制度，相关环保设施设计、施工建设，尾矿库</w:t>
      </w:r>
      <w:r>
        <w:rPr>
          <w:rFonts w:hint="eastAsia"/>
          <w:color w:val="auto"/>
          <w:highlight w:val="none"/>
        </w:rPr>
        <w:t>“</w:t>
      </w:r>
      <w:r>
        <w:rPr>
          <w:color w:val="auto"/>
          <w:highlight w:val="none"/>
        </w:rPr>
        <w:t>三防措施</w:t>
      </w:r>
      <w:r>
        <w:rPr>
          <w:rFonts w:hint="eastAsia"/>
          <w:color w:val="auto"/>
          <w:highlight w:val="none"/>
        </w:rPr>
        <w:t>”</w:t>
      </w:r>
      <w:r>
        <w:rPr>
          <w:color w:val="auto"/>
          <w:highlight w:val="none"/>
        </w:rPr>
        <w:t>落实，污染物排放，尾矿库环境风险防范和应急管理等情况进行检查。具体内容见表6.</w:t>
      </w:r>
      <w:r>
        <w:rPr>
          <w:rFonts w:hint="eastAsia"/>
          <w:color w:val="auto"/>
          <w:highlight w:val="none"/>
        </w:rPr>
        <w:t>6</w:t>
      </w:r>
      <w:r>
        <w:rPr>
          <w:color w:val="auto"/>
          <w:highlight w:val="none"/>
        </w:rPr>
        <w:t>-2。</w:t>
      </w:r>
    </w:p>
    <w:p w14:paraId="30870B5E">
      <w:pPr>
        <w:pStyle w:val="40"/>
        <w:rPr>
          <w:color w:val="auto"/>
          <w:highlight w:val="none"/>
        </w:rPr>
      </w:pPr>
      <w:r>
        <w:rPr>
          <w:color w:val="auto"/>
          <w:highlight w:val="none"/>
        </w:rPr>
        <w:t>表6.</w:t>
      </w:r>
      <w:r>
        <w:rPr>
          <w:rFonts w:hint="eastAsia"/>
          <w:color w:val="auto"/>
          <w:highlight w:val="none"/>
        </w:rPr>
        <w:t>6</w:t>
      </w:r>
      <w:r>
        <w:rPr>
          <w:color w:val="auto"/>
          <w:highlight w:val="none"/>
        </w:rPr>
        <w:t>-2    尾矿库安全隐患治理计划表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8"/>
        <w:gridCol w:w="4698"/>
        <w:gridCol w:w="1141"/>
        <w:gridCol w:w="2039"/>
      </w:tblGrid>
      <w:tr w14:paraId="2BEF86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8" w:type="dxa"/>
            <w:tcBorders>
              <w:tl2br w:val="nil"/>
              <w:tr2bl w:val="nil"/>
            </w:tcBorders>
            <w:vAlign w:val="center"/>
          </w:tcPr>
          <w:p w14:paraId="47CBD73C">
            <w:pPr>
              <w:pStyle w:val="41"/>
              <w:rPr>
                <w:color w:val="auto"/>
                <w:highlight w:val="none"/>
              </w:rPr>
            </w:pPr>
            <w:r>
              <w:rPr>
                <w:color w:val="auto"/>
                <w:highlight w:val="none"/>
              </w:rPr>
              <w:t>序号</w:t>
            </w:r>
          </w:p>
        </w:tc>
        <w:tc>
          <w:tcPr>
            <w:tcW w:w="4702" w:type="dxa"/>
            <w:tcBorders>
              <w:tl2br w:val="nil"/>
              <w:tr2bl w:val="nil"/>
            </w:tcBorders>
            <w:vAlign w:val="center"/>
          </w:tcPr>
          <w:p w14:paraId="720CFA93">
            <w:pPr>
              <w:pStyle w:val="41"/>
              <w:rPr>
                <w:color w:val="auto"/>
                <w:highlight w:val="none"/>
              </w:rPr>
            </w:pPr>
            <w:r>
              <w:rPr>
                <w:color w:val="auto"/>
                <w:highlight w:val="none"/>
              </w:rPr>
              <w:t>治理内容</w:t>
            </w:r>
          </w:p>
        </w:tc>
        <w:tc>
          <w:tcPr>
            <w:tcW w:w="1142" w:type="dxa"/>
            <w:tcBorders>
              <w:tl2br w:val="nil"/>
              <w:tr2bl w:val="nil"/>
            </w:tcBorders>
            <w:vAlign w:val="center"/>
          </w:tcPr>
          <w:p w14:paraId="76F5DB2D">
            <w:pPr>
              <w:pStyle w:val="41"/>
              <w:rPr>
                <w:color w:val="auto"/>
                <w:highlight w:val="none"/>
              </w:rPr>
            </w:pPr>
            <w:r>
              <w:rPr>
                <w:color w:val="auto"/>
                <w:highlight w:val="none"/>
              </w:rPr>
              <w:t>法规依据</w:t>
            </w:r>
          </w:p>
        </w:tc>
        <w:tc>
          <w:tcPr>
            <w:tcW w:w="2040" w:type="dxa"/>
            <w:tcBorders>
              <w:tl2br w:val="nil"/>
              <w:tr2bl w:val="nil"/>
            </w:tcBorders>
            <w:vAlign w:val="center"/>
          </w:tcPr>
          <w:p w14:paraId="50E63E44">
            <w:pPr>
              <w:pStyle w:val="41"/>
              <w:rPr>
                <w:color w:val="auto"/>
                <w:highlight w:val="none"/>
              </w:rPr>
            </w:pPr>
            <w:r>
              <w:rPr>
                <w:color w:val="auto"/>
                <w:highlight w:val="none"/>
              </w:rPr>
              <w:t>检查方法</w:t>
            </w:r>
          </w:p>
        </w:tc>
      </w:tr>
      <w:tr w14:paraId="0B714E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8" w:type="dxa"/>
            <w:tcBorders>
              <w:tl2br w:val="nil"/>
              <w:tr2bl w:val="nil"/>
            </w:tcBorders>
            <w:vAlign w:val="center"/>
          </w:tcPr>
          <w:p w14:paraId="1F0207C2">
            <w:pPr>
              <w:pStyle w:val="41"/>
              <w:rPr>
                <w:color w:val="auto"/>
                <w:highlight w:val="none"/>
              </w:rPr>
            </w:pPr>
            <w:r>
              <w:rPr>
                <w:color w:val="auto"/>
                <w:highlight w:val="none"/>
              </w:rPr>
              <w:t>1</w:t>
            </w:r>
          </w:p>
        </w:tc>
        <w:tc>
          <w:tcPr>
            <w:tcW w:w="4702" w:type="dxa"/>
            <w:tcBorders>
              <w:tl2br w:val="nil"/>
              <w:tr2bl w:val="nil"/>
            </w:tcBorders>
            <w:vAlign w:val="center"/>
          </w:tcPr>
          <w:p w14:paraId="2BF067E2">
            <w:pPr>
              <w:pStyle w:val="41"/>
              <w:rPr>
                <w:color w:val="auto"/>
                <w:highlight w:val="none"/>
              </w:rPr>
            </w:pPr>
            <w:r>
              <w:rPr>
                <w:color w:val="auto"/>
                <w:highlight w:val="none"/>
              </w:rPr>
              <w:t>尾矿库及其相应的选矿项目，必须依法进行环境影响评价。</w:t>
            </w:r>
          </w:p>
        </w:tc>
        <w:tc>
          <w:tcPr>
            <w:tcW w:w="1142" w:type="dxa"/>
            <w:tcBorders>
              <w:tl2br w:val="nil"/>
              <w:tr2bl w:val="nil"/>
            </w:tcBorders>
            <w:vAlign w:val="center"/>
          </w:tcPr>
          <w:p w14:paraId="40CE0ABD">
            <w:pPr>
              <w:pStyle w:val="41"/>
              <w:rPr>
                <w:color w:val="auto"/>
                <w:highlight w:val="none"/>
              </w:rPr>
            </w:pPr>
            <w:r>
              <w:rPr>
                <w:color w:val="auto"/>
                <w:highlight w:val="none"/>
              </w:rPr>
              <w:t>环评报告及批复</w:t>
            </w:r>
          </w:p>
        </w:tc>
        <w:tc>
          <w:tcPr>
            <w:tcW w:w="2040" w:type="dxa"/>
            <w:tcBorders>
              <w:tl2br w:val="nil"/>
              <w:tr2bl w:val="nil"/>
            </w:tcBorders>
            <w:vAlign w:val="center"/>
          </w:tcPr>
          <w:p w14:paraId="3B7ED2FF">
            <w:pPr>
              <w:pStyle w:val="41"/>
              <w:rPr>
                <w:color w:val="auto"/>
                <w:highlight w:val="none"/>
              </w:rPr>
            </w:pPr>
            <w:r>
              <w:rPr>
                <w:color w:val="auto"/>
                <w:highlight w:val="none"/>
              </w:rPr>
              <w:t>查阅资料</w:t>
            </w:r>
          </w:p>
        </w:tc>
      </w:tr>
      <w:tr w14:paraId="245A3C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8" w:type="dxa"/>
            <w:tcBorders>
              <w:tl2br w:val="nil"/>
              <w:tr2bl w:val="nil"/>
            </w:tcBorders>
            <w:vAlign w:val="center"/>
          </w:tcPr>
          <w:p w14:paraId="14DA00D1">
            <w:pPr>
              <w:pStyle w:val="41"/>
              <w:rPr>
                <w:color w:val="auto"/>
                <w:highlight w:val="none"/>
              </w:rPr>
            </w:pPr>
            <w:r>
              <w:rPr>
                <w:color w:val="auto"/>
                <w:highlight w:val="none"/>
              </w:rPr>
              <w:t>2</w:t>
            </w:r>
          </w:p>
        </w:tc>
        <w:tc>
          <w:tcPr>
            <w:tcW w:w="4702" w:type="dxa"/>
            <w:tcBorders>
              <w:tl2br w:val="nil"/>
              <w:tr2bl w:val="nil"/>
            </w:tcBorders>
            <w:vAlign w:val="center"/>
          </w:tcPr>
          <w:p w14:paraId="0A5E1045">
            <w:pPr>
              <w:pStyle w:val="41"/>
              <w:rPr>
                <w:color w:val="auto"/>
                <w:highlight w:val="none"/>
              </w:rPr>
            </w:pPr>
            <w:r>
              <w:rPr>
                <w:color w:val="auto"/>
                <w:highlight w:val="none"/>
              </w:rPr>
              <w:t>按要求开展自行监测，公开排污信息。</w:t>
            </w:r>
          </w:p>
        </w:tc>
        <w:tc>
          <w:tcPr>
            <w:tcW w:w="1142" w:type="dxa"/>
            <w:vMerge w:val="restart"/>
            <w:tcBorders>
              <w:tl2br w:val="nil"/>
              <w:tr2bl w:val="nil"/>
            </w:tcBorders>
            <w:vAlign w:val="center"/>
          </w:tcPr>
          <w:p w14:paraId="55A2DF56">
            <w:pPr>
              <w:pStyle w:val="41"/>
              <w:rPr>
                <w:color w:val="auto"/>
                <w:highlight w:val="none"/>
              </w:rPr>
            </w:pPr>
            <w:r>
              <w:rPr>
                <w:color w:val="auto"/>
                <w:highlight w:val="none"/>
              </w:rPr>
              <w:t>排污许可证</w:t>
            </w:r>
          </w:p>
        </w:tc>
        <w:tc>
          <w:tcPr>
            <w:tcW w:w="2040" w:type="dxa"/>
            <w:tcBorders>
              <w:tl2br w:val="nil"/>
              <w:tr2bl w:val="nil"/>
            </w:tcBorders>
            <w:vAlign w:val="center"/>
          </w:tcPr>
          <w:p w14:paraId="645ECFE4">
            <w:pPr>
              <w:pStyle w:val="41"/>
              <w:rPr>
                <w:color w:val="auto"/>
                <w:highlight w:val="none"/>
              </w:rPr>
            </w:pPr>
            <w:r>
              <w:rPr>
                <w:color w:val="auto"/>
                <w:highlight w:val="none"/>
              </w:rPr>
              <w:t>检查排污许可及公开情况</w:t>
            </w:r>
          </w:p>
        </w:tc>
      </w:tr>
      <w:tr w14:paraId="6E283A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8" w:type="dxa"/>
            <w:tcBorders>
              <w:tl2br w:val="nil"/>
              <w:tr2bl w:val="nil"/>
            </w:tcBorders>
            <w:vAlign w:val="center"/>
          </w:tcPr>
          <w:p w14:paraId="34BD254B">
            <w:pPr>
              <w:pStyle w:val="41"/>
              <w:rPr>
                <w:color w:val="auto"/>
                <w:highlight w:val="none"/>
              </w:rPr>
            </w:pPr>
            <w:r>
              <w:rPr>
                <w:color w:val="auto"/>
                <w:highlight w:val="none"/>
              </w:rPr>
              <w:t>3</w:t>
            </w:r>
          </w:p>
        </w:tc>
        <w:tc>
          <w:tcPr>
            <w:tcW w:w="4702" w:type="dxa"/>
            <w:tcBorders>
              <w:tl2br w:val="nil"/>
              <w:tr2bl w:val="nil"/>
            </w:tcBorders>
            <w:vAlign w:val="center"/>
          </w:tcPr>
          <w:p w14:paraId="574C7ECB">
            <w:pPr>
              <w:pStyle w:val="41"/>
              <w:rPr>
                <w:color w:val="auto"/>
                <w:highlight w:val="none"/>
              </w:rPr>
            </w:pPr>
            <w:r>
              <w:rPr>
                <w:color w:val="auto"/>
                <w:highlight w:val="none"/>
              </w:rPr>
              <w:t>尾矿库按规范设置监控井，加强地下水监测，封场后地下水监测系统应继续维持正常运转。</w:t>
            </w:r>
          </w:p>
        </w:tc>
        <w:tc>
          <w:tcPr>
            <w:tcW w:w="1142" w:type="dxa"/>
            <w:vMerge w:val="continue"/>
            <w:tcBorders>
              <w:tl2br w:val="nil"/>
              <w:tr2bl w:val="nil"/>
            </w:tcBorders>
            <w:vAlign w:val="center"/>
          </w:tcPr>
          <w:p w14:paraId="2CA915B4">
            <w:pPr>
              <w:pStyle w:val="41"/>
              <w:rPr>
                <w:color w:val="auto"/>
                <w:highlight w:val="none"/>
              </w:rPr>
            </w:pPr>
          </w:p>
        </w:tc>
        <w:tc>
          <w:tcPr>
            <w:tcW w:w="2040" w:type="dxa"/>
            <w:tcBorders>
              <w:tl2br w:val="nil"/>
              <w:tr2bl w:val="nil"/>
            </w:tcBorders>
            <w:vAlign w:val="center"/>
          </w:tcPr>
          <w:p w14:paraId="6DB259B4">
            <w:pPr>
              <w:pStyle w:val="41"/>
              <w:rPr>
                <w:color w:val="auto"/>
                <w:highlight w:val="none"/>
              </w:rPr>
            </w:pPr>
            <w:r>
              <w:rPr>
                <w:color w:val="auto"/>
                <w:highlight w:val="none"/>
              </w:rPr>
              <w:t>现场检查</w:t>
            </w:r>
          </w:p>
        </w:tc>
      </w:tr>
      <w:tr w14:paraId="17F1EB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8" w:type="dxa"/>
            <w:tcBorders>
              <w:tl2br w:val="nil"/>
              <w:tr2bl w:val="nil"/>
            </w:tcBorders>
            <w:vAlign w:val="center"/>
          </w:tcPr>
          <w:p w14:paraId="1867F0E8">
            <w:pPr>
              <w:pStyle w:val="41"/>
              <w:rPr>
                <w:color w:val="auto"/>
                <w:highlight w:val="none"/>
              </w:rPr>
            </w:pPr>
            <w:r>
              <w:rPr>
                <w:color w:val="auto"/>
                <w:highlight w:val="none"/>
              </w:rPr>
              <w:t>4</w:t>
            </w:r>
          </w:p>
        </w:tc>
        <w:tc>
          <w:tcPr>
            <w:tcW w:w="4702" w:type="dxa"/>
            <w:tcBorders>
              <w:tl2br w:val="nil"/>
              <w:tr2bl w:val="nil"/>
            </w:tcBorders>
            <w:vAlign w:val="center"/>
          </w:tcPr>
          <w:p w14:paraId="6691B10C">
            <w:pPr>
              <w:pStyle w:val="41"/>
              <w:rPr>
                <w:color w:val="auto"/>
                <w:highlight w:val="none"/>
              </w:rPr>
            </w:pPr>
            <w:r>
              <w:rPr>
                <w:color w:val="auto"/>
                <w:highlight w:val="none"/>
              </w:rPr>
              <w:t>加强环境质量监测，及时掌握环境质量状况及其变化趋势。</w:t>
            </w:r>
          </w:p>
        </w:tc>
        <w:tc>
          <w:tcPr>
            <w:tcW w:w="1142" w:type="dxa"/>
            <w:vMerge w:val="continue"/>
            <w:tcBorders>
              <w:tl2br w:val="nil"/>
              <w:tr2bl w:val="nil"/>
            </w:tcBorders>
            <w:vAlign w:val="center"/>
          </w:tcPr>
          <w:p w14:paraId="7E41FF1C">
            <w:pPr>
              <w:pStyle w:val="41"/>
              <w:rPr>
                <w:color w:val="auto"/>
                <w:highlight w:val="none"/>
              </w:rPr>
            </w:pPr>
          </w:p>
        </w:tc>
        <w:tc>
          <w:tcPr>
            <w:tcW w:w="2040" w:type="dxa"/>
            <w:tcBorders>
              <w:tl2br w:val="nil"/>
              <w:tr2bl w:val="nil"/>
            </w:tcBorders>
            <w:vAlign w:val="center"/>
          </w:tcPr>
          <w:p w14:paraId="44E4C8A3">
            <w:pPr>
              <w:pStyle w:val="41"/>
              <w:rPr>
                <w:color w:val="auto"/>
                <w:highlight w:val="none"/>
              </w:rPr>
            </w:pPr>
            <w:r>
              <w:rPr>
                <w:color w:val="auto"/>
                <w:highlight w:val="none"/>
              </w:rPr>
              <w:t>查阅资料</w:t>
            </w:r>
          </w:p>
        </w:tc>
      </w:tr>
      <w:tr w14:paraId="3B08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8" w:type="dxa"/>
            <w:tcBorders>
              <w:tl2br w:val="nil"/>
              <w:tr2bl w:val="nil"/>
            </w:tcBorders>
            <w:vAlign w:val="center"/>
          </w:tcPr>
          <w:p w14:paraId="36E883B5">
            <w:pPr>
              <w:pStyle w:val="41"/>
              <w:rPr>
                <w:color w:val="auto"/>
                <w:highlight w:val="none"/>
              </w:rPr>
            </w:pPr>
            <w:r>
              <w:rPr>
                <w:color w:val="auto"/>
                <w:highlight w:val="none"/>
              </w:rPr>
              <w:t>5</w:t>
            </w:r>
          </w:p>
        </w:tc>
        <w:tc>
          <w:tcPr>
            <w:tcW w:w="4702" w:type="dxa"/>
            <w:tcBorders>
              <w:tl2br w:val="nil"/>
              <w:tr2bl w:val="nil"/>
            </w:tcBorders>
            <w:vAlign w:val="center"/>
          </w:tcPr>
          <w:p w14:paraId="11118DE6">
            <w:pPr>
              <w:pStyle w:val="41"/>
              <w:rPr>
                <w:color w:val="auto"/>
                <w:highlight w:val="none"/>
              </w:rPr>
            </w:pPr>
            <w:r>
              <w:rPr>
                <w:color w:val="auto"/>
                <w:highlight w:val="none"/>
              </w:rPr>
              <w:t>按照原环保部《突发环境事件应急管理办法》（环境保护部令第34号）等有关要求，落实环境隐患排查治理主体责任，开展环境隐患排查治理、环境风险评估，制定突发环境事件应急预案并报环保部门备案。</w:t>
            </w:r>
          </w:p>
        </w:tc>
        <w:tc>
          <w:tcPr>
            <w:tcW w:w="1142" w:type="dxa"/>
            <w:tcBorders>
              <w:tl2br w:val="nil"/>
              <w:tr2bl w:val="nil"/>
            </w:tcBorders>
            <w:vAlign w:val="center"/>
          </w:tcPr>
          <w:p w14:paraId="697D6D8B">
            <w:pPr>
              <w:pStyle w:val="41"/>
              <w:rPr>
                <w:color w:val="auto"/>
                <w:highlight w:val="none"/>
              </w:rPr>
            </w:pPr>
            <w:r>
              <w:rPr>
                <w:color w:val="auto"/>
                <w:highlight w:val="none"/>
              </w:rPr>
              <w:t>突发环境事件应急预案</w:t>
            </w:r>
          </w:p>
        </w:tc>
        <w:tc>
          <w:tcPr>
            <w:tcW w:w="2040" w:type="dxa"/>
            <w:tcBorders>
              <w:tl2br w:val="nil"/>
              <w:tr2bl w:val="nil"/>
            </w:tcBorders>
            <w:vAlign w:val="center"/>
          </w:tcPr>
          <w:p w14:paraId="0BE06828">
            <w:pPr>
              <w:pStyle w:val="41"/>
              <w:rPr>
                <w:color w:val="auto"/>
                <w:highlight w:val="none"/>
              </w:rPr>
            </w:pPr>
            <w:r>
              <w:rPr>
                <w:color w:val="auto"/>
                <w:highlight w:val="none"/>
              </w:rPr>
              <w:t>查询资料及现场核查</w:t>
            </w:r>
          </w:p>
        </w:tc>
      </w:tr>
      <w:tr w14:paraId="3BDEA3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8" w:type="dxa"/>
            <w:tcBorders>
              <w:tl2br w:val="nil"/>
              <w:tr2bl w:val="nil"/>
            </w:tcBorders>
            <w:vAlign w:val="center"/>
          </w:tcPr>
          <w:p w14:paraId="513A3982">
            <w:pPr>
              <w:pStyle w:val="41"/>
              <w:rPr>
                <w:color w:val="auto"/>
                <w:highlight w:val="none"/>
              </w:rPr>
            </w:pPr>
            <w:r>
              <w:rPr>
                <w:color w:val="auto"/>
                <w:highlight w:val="none"/>
              </w:rPr>
              <w:t>6</w:t>
            </w:r>
          </w:p>
        </w:tc>
        <w:tc>
          <w:tcPr>
            <w:tcW w:w="4702" w:type="dxa"/>
            <w:tcBorders>
              <w:tl2br w:val="nil"/>
              <w:tr2bl w:val="nil"/>
            </w:tcBorders>
            <w:vAlign w:val="center"/>
          </w:tcPr>
          <w:p w14:paraId="41BD0917">
            <w:pPr>
              <w:pStyle w:val="41"/>
              <w:rPr>
                <w:color w:val="auto"/>
                <w:highlight w:val="none"/>
              </w:rPr>
            </w:pPr>
            <w:r>
              <w:rPr>
                <w:color w:val="auto"/>
                <w:highlight w:val="none"/>
              </w:rPr>
              <w:t>尾矿库应具备完整的截排水系统，应设置收集管网、坝下收集池对尾矿库溢流水进行收集，确保溢流水处理设施正常运行，外排废水达到相应排放标准。尾矿库闭库后，渗滤液处理设施应继续维持正常运转，直至水质稳定达标。</w:t>
            </w:r>
          </w:p>
        </w:tc>
        <w:tc>
          <w:tcPr>
            <w:tcW w:w="1142" w:type="dxa"/>
            <w:tcBorders>
              <w:tl2br w:val="nil"/>
              <w:tr2bl w:val="nil"/>
            </w:tcBorders>
            <w:vAlign w:val="center"/>
          </w:tcPr>
          <w:p w14:paraId="0C12A188">
            <w:pPr>
              <w:pStyle w:val="41"/>
              <w:rPr>
                <w:color w:val="auto"/>
                <w:highlight w:val="none"/>
              </w:rPr>
            </w:pPr>
            <w:r>
              <w:rPr>
                <w:color w:val="auto"/>
                <w:highlight w:val="none"/>
              </w:rPr>
              <w:t>环评报告及批复</w:t>
            </w:r>
          </w:p>
        </w:tc>
        <w:tc>
          <w:tcPr>
            <w:tcW w:w="2040" w:type="dxa"/>
            <w:tcBorders>
              <w:tl2br w:val="nil"/>
              <w:tr2bl w:val="nil"/>
            </w:tcBorders>
            <w:vAlign w:val="center"/>
          </w:tcPr>
          <w:p w14:paraId="41CBA0A5">
            <w:pPr>
              <w:pStyle w:val="41"/>
              <w:rPr>
                <w:color w:val="auto"/>
                <w:highlight w:val="none"/>
              </w:rPr>
            </w:pPr>
            <w:r>
              <w:rPr>
                <w:color w:val="auto"/>
                <w:highlight w:val="none"/>
              </w:rPr>
              <w:t>现场检查、查阅设计资料</w:t>
            </w:r>
          </w:p>
        </w:tc>
      </w:tr>
      <w:tr w14:paraId="189DC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8" w:type="dxa"/>
            <w:tcBorders>
              <w:tl2br w:val="nil"/>
              <w:tr2bl w:val="nil"/>
            </w:tcBorders>
            <w:vAlign w:val="center"/>
          </w:tcPr>
          <w:p w14:paraId="672B6DC7">
            <w:pPr>
              <w:pStyle w:val="41"/>
              <w:rPr>
                <w:color w:val="auto"/>
                <w:highlight w:val="none"/>
              </w:rPr>
            </w:pPr>
            <w:r>
              <w:rPr>
                <w:color w:val="auto"/>
                <w:highlight w:val="none"/>
              </w:rPr>
              <w:t>7</w:t>
            </w:r>
          </w:p>
        </w:tc>
        <w:tc>
          <w:tcPr>
            <w:tcW w:w="4702" w:type="dxa"/>
            <w:tcBorders>
              <w:tl2br w:val="nil"/>
              <w:tr2bl w:val="nil"/>
            </w:tcBorders>
            <w:vAlign w:val="center"/>
          </w:tcPr>
          <w:p w14:paraId="081F5CF7">
            <w:pPr>
              <w:pStyle w:val="41"/>
              <w:rPr>
                <w:color w:val="auto"/>
                <w:highlight w:val="none"/>
              </w:rPr>
            </w:pPr>
            <w:r>
              <w:rPr>
                <w:color w:val="auto"/>
                <w:highlight w:val="none"/>
              </w:rPr>
              <w:t>尾矿库禁止危险废物和生活垃圾混入，无法综合处理的尾砂应进入符合规范要求的尾矿库进行安全堆存。</w:t>
            </w:r>
          </w:p>
        </w:tc>
        <w:tc>
          <w:tcPr>
            <w:tcW w:w="1142" w:type="dxa"/>
            <w:tcBorders>
              <w:tl2br w:val="nil"/>
              <w:tr2bl w:val="nil"/>
            </w:tcBorders>
            <w:vAlign w:val="center"/>
          </w:tcPr>
          <w:p w14:paraId="363E11E6">
            <w:pPr>
              <w:pStyle w:val="41"/>
              <w:rPr>
                <w:color w:val="auto"/>
                <w:highlight w:val="none"/>
              </w:rPr>
            </w:pPr>
            <w:r>
              <w:rPr>
                <w:color w:val="auto"/>
                <w:highlight w:val="none"/>
              </w:rPr>
              <w:t>环评报告及批复</w:t>
            </w:r>
          </w:p>
        </w:tc>
        <w:tc>
          <w:tcPr>
            <w:tcW w:w="2040" w:type="dxa"/>
            <w:tcBorders>
              <w:tl2br w:val="nil"/>
              <w:tr2bl w:val="nil"/>
            </w:tcBorders>
            <w:vAlign w:val="center"/>
          </w:tcPr>
          <w:p w14:paraId="064177CE">
            <w:pPr>
              <w:pStyle w:val="41"/>
              <w:rPr>
                <w:color w:val="auto"/>
                <w:highlight w:val="none"/>
              </w:rPr>
            </w:pPr>
            <w:r>
              <w:rPr>
                <w:color w:val="auto"/>
                <w:highlight w:val="none"/>
              </w:rPr>
              <w:t>现场检查</w:t>
            </w:r>
          </w:p>
        </w:tc>
      </w:tr>
      <w:tr w14:paraId="564162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8" w:type="dxa"/>
            <w:tcBorders>
              <w:tl2br w:val="nil"/>
              <w:tr2bl w:val="nil"/>
            </w:tcBorders>
            <w:vAlign w:val="center"/>
          </w:tcPr>
          <w:p w14:paraId="77B7F4CB">
            <w:pPr>
              <w:pStyle w:val="41"/>
              <w:rPr>
                <w:color w:val="auto"/>
                <w:highlight w:val="none"/>
              </w:rPr>
            </w:pPr>
            <w:r>
              <w:rPr>
                <w:color w:val="auto"/>
                <w:highlight w:val="none"/>
              </w:rPr>
              <w:t>8</w:t>
            </w:r>
          </w:p>
        </w:tc>
        <w:tc>
          <w:tcPr>
            <w:tcW w:w="4702" w:type="dxa"/>
            <w:tcBorders>
              <w:tl2br w:val="nil"/>
              <w:tr2bl w:val="nil"/>
            </w:tcBorders>
            <w:vAlign w:val="center"/>
          </w:tcPr>
          <w:p w14:paraId="673709BA">
            <w:pPr>
              <w:pStyle w:val="41"/>
              <w:rPr>
                <w:color w:val="auto"/>
                <w:highlight w:val="none"/>
              </w:rPr>
            </w:pPr>
            <w:r>
              <w:rPr>
                <w:color w:val="auto"/>
                <w:highlight w:val="none"/>
              </w:rPr>
              <w:t>完善覆膜、压土、排洪、堤坝加固等隐患治理和闭库措施，阻断污染扩散途径。在尾矿库停止使用后必须进行处置，保证坝体安全，不污染环境，消除污染事故隐患。关闭尾矿设施必须报上级生态环境主管部门验收、批准。利用处置过的尾矿或其设施，需经上级生态环境主管部门批准，并备案。</w:t>
            </w:r>
          </w:p>
        </w:tc>
        <w:tc>
          <w:tcPr>
            <w:tcW w:w="1142" w:type="dxa"/>
            <w:tcBorders>
              <w:tl2br w:val="nil"/>
              <w:tr2bl w:val="nil"/>
            </w:tcBorders>
            <w:vAlign w:val="center"/>
          </w:tcPr>
          <w:p w14:paraId="457D19AF">
            <w:pPr>
              <w:pStyle w:val="41"/>
              <w:rPr>
                <w:color w:val="auto"/>
                <w:highlight w:val="none"/>
              </w:rPr>
            </w:pPr>
            <w:r>
              <w:rPr>
                <w:color w:val="auto"/>
                <w:highlight w:val="none"/>
              </w:rPr>
              <w:t>环评报告及批复</w:t>
            </w:r>
          </w:p>
        </w:tc>
        <w:tc>
          <w:tcPr>
            <w:tcW w:w="2040" w:type="dxa"/>
            <w:tcBorders>
              <w:tl2br w:val="nil"/>
              <w:tr2bl w:val="nil"/>
            </w:tcBorders>
            <w:vAlign w:val="center"/>
          </w:tcPr>
          <w:p w14:paraId="6B4F24BD">
            <w:pPr>
              <w:pStyle w:val="41"/>
              <w:rPr>
                <w:color w:val="auto"/>
                <w:highlight w:val="none"/>
              </w:rPr>
            </w:pPr>
            <w:r>
              <w:rPr>
                <w:color w:val="auto"/>
                <w:highlight w:val="none"/>
              </w:rPr>
              <w:t>查阅设计资料、现场检查</w:t>
            </w:r>
          </w:p>
        </w:tc>
      </w:tr>
    </w:tbl>
    <w:p w14:paraId="256D4589">
      <w:pPr>
        <w:pStyle w:val="42"/>
        <w:rPr>
          <w:rFonts w:hint="default"/>
          <w:color w:val="auto"/>
          <w:highlight w:val="none"/>
        </w:rPr>
      </w:pPr>
      <w:r>
        <w:rPr>
          <w:rFonts w:hint="default"/>
          <w:color w:val="auto"/>
          <w:highlight w:val="none"/>
        </w:rPr>
        <w:t>尾矿库环境风险三级防控体系</w:t>
      </w:r>
    </w:p>
    <w:p w14:paraId="6C115B9A">
      <w:pPr>
        <w:pStyle w:val="3"/>
        <w:ind w:firstLine="480"/>
        <w:rPr>
          <w:color w:val="auto"/>
          <w:highlight w:val="none"/>
        </w:rPr>
      </w:pPr>
      <w:r>
        <w:rPr>
          <w:color w:val="auto"/>
          <w:highlight w:val="none"/>
        </w:rPr>
        <w:t>根据《尾矿库环境应急管理工作指南（试行）》（环办〔2010〕138号）要求，尾矿库企业应执行尾矿库三级防控体系进行分级防控。在车间、</w:t>
      </w:r>
      <w:r>
        <w:rPr>
          <w:rFonts w:hint="eastAsia"/>
          <w:color w:val="auto"/>
          <w:highlight w:val="none"/>
          <w:lang w:val="en-US" w:eastAsia="zh-CN"/>
        </w:rPr>
        <w:t>厂</w:t>
      </w:r>
      <w:r>
        <w:rPr>
          <w:color w:val="auto"/>
          <w:highlight w:val="none"/>
        </w:rPr>
        <w:t>区和流域三个层级设防布控，防止尾矿库企业发生污染事件。其中尾矿库企业应采取措施对车间及库区范围内可能发生的突发环境事件进行防控，地方人民政府组织企业建设流域防控措施。</w:t>
      </w:r>
    </w:p>
    <w:p w14:paraId="70F4240B">
      <w:pPr>
        <w:pStyle w:val="3"/>
        <w:ind w:firstLine="480"/>
        <w:rPr>
          <w:color w:val="auto"/>
          <w:highlight w:val="none"/>
        </w:rPr>
      </w:pPr>
      <w:r>
        <w:rPr>
          <w:color w:val="auto"/>
          <w:highlight w:val="none"/>
        </w:rPr>
        <w:t>（1）第一级防控：车间级</w:t>
      </w:r>
    </w:p>
    <w:p w14:paraId="6117B8FF">
      <w:pPr>
        <w:pStyle w:val="3"/>
        <w:ind w:firstLine="480"/>
        <w:rPr>
          <w:color w:val="auto"/>
          <w:highlight w:val="none"/>
        </w:rPr>
      </w:pPr>
      <w:r>
        <w:rPr>
          <w:color w:val="auto"/>
          <w:highlight w:val="none"/>
        </w:rPr>
        <w:t>第一级防控主要</w:t>
      </w:r>
      <w:r>
        <w:rPr>
          <w:rFonts w:hint="eastAsia"/>
          <w:color w:val="auto"/>
          <w:highlight w:val="none"/>
        </w:rPr>
        <w:t>预防</w:t>
      </w:r>
      <w:r>
        <w:rPr>
          <w:color w:val="auto"/>
          <w:highlight w:val="none"/>
        </w:rPr>
        <w:t>尾矿库回水泵故障造成尾矿废水溢流。</w:t>
      </w:r>
    </w:p>
    <w:p w14:paraId="66210A57">
      <w:pPr>
        <w:pStyle w:val="3"/>
        <w:ind w:firstLine="480"/>
        <w:rPr>
          <w:color w:val="auto"/>
          <w:highlight w:val="none"/>
        </w:rPr>
      </w:pPr>
      <w:r>
        <w:rPr>
          <w:color w:val="auto"/>
          <w:highlight w:val="none"/>
        </w:rPr>
        <w:t>第一级防控主要措施为及时检修尾矿库相关设备，发现故障立即启用备用设备。同时联系选矿厂做好尾矿输送调度安排。</w:t>
      </w:r>
    </w:p>
    <w:p w14:paraId="1C96A78A">
      <w:pPr>
        <w:pStyle w:val="3"/>
        <w:ind w:firstLine="480"/>
        <w:rPr>
          <w:color w:val="auto"/>
          <w:highlight w:val="none"/>
        </w:rPr>
      </w:pPr>
      <w:r>
        <w:rPr>
          <w:color w:val="auto"/>
          <w:highlight w:val="none"/>
        </w:rPr>
        <w:t>（2）第二级防控：厂区级</w:t>
      </w:r>
    </w:p>
    <w:p w14:paraId="5AA61D3E">
      <w:pPr>
        <w:pStyle w:val="3"/>
        <w:ind w:firstLine="480"/>
        <w:rPr>
          <w:color w:val="auto"/>
          <w:highlight w:val="none"/>
        </w:rPr>
      </w:pPr>
      <w:r>
        <w:rPr>
          <w:color w:val="auto"/>
          <w:highlight w:val="none"/>
        </w:rPr>
        <w:t>第二级防控主要预防排水系统出现堵塞、管道破裂而发生泄漏。</w:t>
      </w:r>
    </w:p>
    <w:p w14:paraId="31BCB1A2">
      <w:pPr>
        <w:pStyle w:val="3"/>
        <w:ind w:firstLine="480"/>
        <w:rPr>
          <w:color w:val="auto"/>
          <w:highlight w:val="none"/>
        </w:rPr>
      </w:pPr>
      <w:r>
        <w:rPr>
          <w:color w:val="auto"/>
          <w:highlight w:val="none"/>
        </w:rPr>
        <w:t>第二级防控主要措施为平时加强尾矿库排水系统的维护，定期检修。尾矿排水管道破裂或堵塞时，应立即停止使用、切换到备用管道。尾矿库上游设置截水坝，两侧设置排水沟，减少坝外回水进入尾矿库。通过采取以上措施可以减少事故条件下下泄水量，有效地降低尾矿排水事故对下游的影响。</w:t>
      </w:r>
    </w:p>
    <w:p w14:paraId="2EF77316">
      <w:pPr>
        <w:pStyle w:val="3"/>
        <w:ind w:firstLine="480"/>
        <w:rPr>
          <w:color w:val="auto"/>
          <w:highlight w:val="none"/>
        </w:rPr>
      </w:pPr>
      <w:r>
        <w:rPr>
          <w:color w:val="auto"/>
          <w:highlight w:val="none"/>
        </w:rPr>
        <w:t>（3）第三级防控：流域级</w:t>
      </w:r>
    </w:p>
    <w:p w14:paraId="6606E7A9">
      <w:pPr>
        <w:pStyle w:val="3"/>
        <w:ind w:firstLine="480"/>
        <w:rPr>
          <w:color w:val="auto"/>
          <w:highlight w:val="none"/>
        </w:rPr>
      </w:pPr>
      <w:r>
        <w:rPr>
          <w:color w:val="auto"/>
          <w:highlight w:val="none"/>
        </w:rPr>
        <w:t>第三级防控主要预防尾矿库发生溃坝，滑坡等事故，发生尾矿泄漏，一、二级防控失败条件下的防控措施。</w:t>
      </w:r>
    </w:p>
    <w:p w14:paraId="31F221FA">
      <w:pPr>
        <w:pStyle w:val="3"/>
        <w:ind w:firstLine="480"/>
        <w:rPr>
          <w:color w:val="auto"/>
          <w:highlight w:val="none"/>
        </w:rPr>
      </w:pPr>
      <w:r>
        <w:rPr>
          <w:color w:val="auto"/>
          <w:highlight w:val="none"/>
        </w:rPr>
        <w:t>评价建议当地有关部门按照《尾矿库环境应急管理工作指南（试行）》（环办〔2010〕138号）的有关要求编制流域级防治规定，并定期演练。主要措施包括在受尾矿库溃坝事故影响的流域下游设置具有拦截降解作用的设施，包括拦截坝等；在尾矿库上游建设应急物资储备库，储备沙袋、水泥管等应急物资等。待当地流域级尾矿库环境应急防治规划出台后，本项目应严格履行相关规定，落实规划防治措施要求，并配合当地定期演练。</w:t>
      </w:r>
    </w:p>
    <w:p w14:paraId="310E36A8">
      <w:pPr>
        <w:pStyle w:val="42"/>
        <w:rPr>
          <w:rFonts w:hint="default"/>
          <w:color w:val="auto"/>
          <w:highlight w:val="none"/>
        </w:rPr>
      </w:pPr>
      <w:r>
        <w:rPr>
          <w:rFonts w:hint="default"/>
          <w:color w:val="auto"/>
          <w:highlight w:val="none"/>
        </w:rPr>
        <w:t>应急预案</w:t>
      </w:r>
    </w:p>
    <w:p w14:paraId="0953A5C6">
      <w:pPr>
        <w:pStyle w:val="3"/>
        <w:ind w:firstLine="480"/>
        <w:rPr>
          <w:color w:val="auto"/>
          <w:highlight w:val="none"/>
        </w:rPr>
      </w:pPr>
      <w:r>
        <w:rPr>
          <w:color w:val="auto"/>
          <w:highlight w:val="none"/>
        </w:rPr>
        <w:t>预防是防止事故发生的根本措施，但一旦发生事故，处置是否得当，关系到事故蔓延的范围，损失大小，因此，也应有应急措施。根据本项目环境风险分析的结果，对于该项目可能造成环境风险的突发性事故制定应急预案纲要，供项目决策人参考。</w:t>
      </w:r>
    </w:p>
    <w:p w14:paraId="690B4F21">
      <w:pPr>
        <w:pStyle w:val="3"/>
        <w:ind w:firstLine="480"/>
        <w:rPr>
          <w:color w:val="auto"/>
          <w:highlight w:val="none"/>
        </w:rPr>
      </w:pPr>
      <w:r>
        <w:rPr>
          <w:color w:val="auto"/>
          <w:highlight w:val="none"/>
        </w:rPr>
        <w:t>企业须按照风险应急预案的要求进行企业环境风险的管理。根据《企业事业单位突发环境事件应急预案备案管理办法（试行）》，企业结合环境应急预案实施情况，至少每三年对环境应急预案进行一次回顾性评估。在本项目运行前，</w:t>
      </w:r>
      <w:r>
        <w:rPr>
          <w:rFonts w:hint="eastAsia"/>
          <w:color w:val="auto"/>
          <w:highlight w:val="none"/>
        </w:rPr>
        <w:t>完成</w:t>
      </w:r>
      <w:r>
        <w:rPr>
          <w:color w:val="auto"/>
          <w:highlight w:val="none"/>
        </w:rPr>
        <w:t>突发环境事件应急预案编制。</w:t>
      </w:r>
    </w:p>
    <w:p w14:paraId="71E799A6">
      <w:pPr>
        <w:pStyle w:val="3"/>
        <w:ind w:firstLine="480"/>
        <w:rPr>
          <w:color w:val="auto"/>
          <w:highlight w:val="none"/>
        </w:rPr>
      </w:pPr>
      <w:r>
        <w:rPr>
          <w:color w:val="auto"/>
          <w:highlight w:val="none"/>
        </w:rPr>
        <w:t>若发生突发事件必须采取如下措施：</w:t>
      </w:r>
    </w:p>
    <w:p w14:paraId="5CFE6E63">
      <w:pPr>
        <w:pStyle w:val="3"/>
        <w:ind w:firstLine="480"/>
        <w:rPr>
          <w:color w:val="auto"/>
          <w:highlight w:val="none"/>
        </w:rPr>
      </w:pPr>
      <w:r>
        <w:rPr>
          <w:color w:val="auto"/>
          <w:highlight w:val="none"/>
        </w:rPr>
        <w:t>（1）必须立即报告当地政府、公安部门和公司领导（或安全部门）；</w:t>
      </w:r>
    </w:p>
    <w:p w14:paraId="27DDBA30">
      <w:pPr>
        <w:pStyle w:val="3"/>
        <w:ind w:firstLine="480"/>
        <w:rPr>
          <w:color w:val="auto"/>
          <w:highlight w:val="none"/>
        </w:rPr>
      </w:pPr>
      <w:r>
        <w:rPr>
          <w:color w:val="auto"/>
          <w:highlight w:val="none"/>
        </w:rPr>
        <w:t>（2）及时疏散事故区附近人员；</w:t>
      </w:r>
    </w:p>
    <w:p w14:paraId="003C7E56">
      <w:pPr>
        <w:pStyle w:val="3"/>
        <w:ind w:firstLine="480"/>
        <w:rPr>
          <w:color w:val="auto"/>
          <w:highlight w:val="none"/>
        </w:rPr>
      </w:pPr>
      <w:r>
        <w:rPr>
          <w:color w:val="auto"/>
          <w:highlight w:val="none"/>
        </w:rPr>
        <w:t>（3）事先制定有效处理事故的行动方案，方案要经有关部门认同，并能与项目区、救护队、医务室、消防队充分配合，协调行动；</w:t>
      </w:r>
    </w:p>
    <w:p w14:paraId="2BC753E1">
      <w:pPr>
        <w:pStyle w:val="3"/>
        <w:ind w:firstLine="480"/>
        <w:rPr>
          <w:color w:val="auto"/>
          <w:highlight w:val="none"/>
        </w:rPr>
      </w:pPr>
      <w:r>
        <w:rPr>
          <w:color w:val="auto"/>
          <w:highlight w:val="none"/>
        </w:rPr>
        <w:t>（4）应有制止事故蔓延，控制和减少影响范围的程序救护的具体行动计划，包括救护措施，保护企业员工、国家财产及周围环境安全必须采取的措施和方法；</w:t>
      </w:r>
    </w:p>
    <w:p w14:paraId="18E99FC8">
      <w:pPr>
        <w:pStyle w:val="3"/>
        <w:ind w:firstLine="480"/>
        <w:rPr>
          <w:color w:val="auto"/>
          <w:highlight w:val="none"/>
        </w:rPr>
      </w:pPr>
      <w:r>
        <w:rPr>
          <w:color w:val="auto"/>
          <w:highlight w:val="none"/>
        </w:rPr>
        <w:t>（5）项目区安全部门工作人员和富有事故处置经验的人员，要轮流值班，监视事故现场及其处置实施直至事故结果；</w:t>
      </w:r>
    </w:p>
    <w:p w14:paraId="55A370A1">
      <w:pPr>
        <w:pStyle w:val="3"/>
        <w:ind w:firstLine="480"/>
        <w:rPr>
          <w:color w:val="auto"/>
          <w:highlight w:val="none"/>
        </w:rPr>
      </w:pPr>
      <w:r>
        <w:rPr>
          <w:color w:val="auto"/>
          <w:highlight w:val="none"/>
        </w:rPr>
        <w:t>（6）训练事故处置人员（包括事故发生时的处置和补救）。</w:t>
      </w:r>
    </w:p>
    <w:p w14:paraId="7A24BA6F">
      <w:pPr>
        <w:pStyle w:val="3"/>
        <w:ind w:firstLine="480"/>
        <w:rPr>
          <w:color w:val="auto"/>
          <w:highlight w:val="none"/>
        </w:rPr>
      </w:pPr>
      <w:r>
        <w:rPr>
          <w:color w:val="auto"/>
          <w:highlight w:val="none"/>
        </w:rPr>
        <w:t>项目具体事故应急预案主要内容见表6.</w:t>
      </w:r>
      <w:r>
        <w:rPr>
          <w:rFonts w:hint="eastAsia"/>
          <w:color w:val="auto"/>
          <w:highlight w:val="none"/>
        </w:rPr>
        <w:t>6</w:t>
      </w:r>
      <w:r>
        <w:rPr>
          <w:color w:val="auto"/>
          <w:highlight w:val="none"/>
        </w:rPr>
        <w:t>-3。</w:t>
      </w:r>
    </w:p>
    <w:p w14:paraId="6E112E61">
      <w:pPr>
        <w:pStyle w:val="40"/>
        <w:rPr>
          <w:color w:val="auto"/>
          <w:highlight w:val="none"/>
        </w:rPr>
      </w:pPr>
      <w:r>
        <w:rPr>
          <w:color w:val="auto"/>
          <w:highlight w:val="none"/>
        </w:rPr>
        <w:t>表6.</w:t>
      </w:r>
      <w:r>
        <w:rPr>
          <w:rFonts w:hint="eastAsia"/>
          <w:color w:val="auto"/>
          <w:highlight w:val="none"/>
        </w:rPr>
        <w:t>6</w:t>
      </w:r>
      <w:r>
        <w:rPr>
          <w:color w:val="auto"/>
          <w:highlight w:val="none"/>
        </w:rPr>
        <w:t>-3    事故应急预案主要内容汇总表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2"/>
        <w:gridCol w:w="2520"/>
        <w:gridCol w:w="5334"/>
      </w:tblGrid>
      <w:tr w14:paraId="36F03F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8" w:type="dxa"/>
            <w:tcBorders>
              <w:tl2br w:val="nil"/>
              <w:tr2bl w:val="nil"/>
            </w:tcBorders>
            <w:vAlign w:val="center"/>
          </w:tcPr>
          <w:p w14:paraId="242D3B66">
            <w:pPr>
              <w:pStyle w:val="41"/>
              <w:rPr>
                <w:color w:val="auto"/>
                <w:highlight w:val="none"/>
              </w:rPr>
            </w:pPr>
            <w:r>
              <w:rPr>
                <w:color w:val="auto"/>
                <w:highlight w:val="none"/>
              </w:rPr>
              <w:t>序号</w:t>
            </w:r>
          </w:p>
        </w:tc>
        <w:tc>
          <w:tcPr>
            <w:tcW w:w="2712" w:type="dxa"/>
            <w:tcBorders>
              <w:tl2br w:val="nil"/>
              <w:tr2bl w:val="nil"/>
            </w:tcBorders>
            <w:vAlign w:val="center"/>
          </w:tcPr>
          <w:p w14:paraId="764C6AC7">
            <w:pPr>
              <w:pStyle w:val="41"/>
              <w:rPr>
                <w:color w:val="auto"/>
                <w:highlight w:val="none"/>
              </w:rPr>
            </w:pPr>
            <w:r>
              <w:rPr>
                <w:color w:val="auto"/>
                <w:highlight w:val="none"/>
              </w:rPr>
              <w:t>项目</w:t>
            </w:r>
          </w:p>
        </w:tc>
        <w:tc>
          <w:tcPr>
            <w:tcW w:w="5764" w:type="dxa"/>
            <w:tcBorders>
              <w:tl2br w:val="nil"/>
              <w:tr2bl w:val="nil"/>
            </w:tcBorders>
            <w:vAlign w:val="center"/>
          </w:tcPr>
          <w:p w14:paraId="6CA9535E">
            <w:pPr>
              <w:pStyle w:val="41"/>
              <w:rPr>
                <w:color w:val="auto"/>
                <w:highlight w:val="none"/>
              </w:rPr>
            </w:pPr>
            <w:r>
              <w:rPr>
                <w:color w:val="auto"/>
                <w:highlight w:val="none"/>
              </w:rPr>
              <w:t>内容及要求</w:t>
            </w:r>
          </w:p>
        </w:tc>
      </w:tr>
      <w:tr w14:paraId="42CCD7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8" w:type="dxa"/>
            <w:tcBorders>
              <w:tl2br w:val="nil"/>
              <w:tr2bl w:val="nil"/>
            </w:tcBorders>
            <w:vAlign w:val="center"/>
          </w:tcPr>
          <w:p w14:paraId="39CA734E">
            <w:pPr>
              <w:pStyle w:val="41"/>
              <w:rPr>
                <w:color w:val="auto"/>
                <w:highlight w:val="none"/>
              </w:rPr>
            </w:pPr>
            <w:r>
              <w:rPr>
                <w:color w:val="auto"/>
                <w:highlight w:val="none"/>
              </w:rPr>
              <w:t>1</w:t>
            </w:r>
          </w:p>
        </w:tc>
        <w:tc>
          <w:tcPr>
            <w:tcW w:w="2712" w:type="dxa"/>
            <w:tcBorders>
              <w:tl2br w:val="nil"/>
              <w:tr2bl w:val="nil"/>
            </w:tcBorders>
            <w:vAlign w:val="center"/>
          </w:tcPr>
          <w:p w14:paraId="26B646E9">
            <w:pPr>
              <w:pStyle w:val="41"/>
              <w:rPr>
                <w:color w:val="auto"/>
                <w:highlight w:val="none"/>
              </w:rPr>
            </w:pPr>
            <w:r>
              <w:rPr>
                <w:color w:val="auto"/>
                <w:highlight w:val="none"/>
              </w:rPr>
              <w:t>应急计划区</w:t>
            </w:r>
          </w:p>
        </w:tc>
        <w:tc>
          <w:tcPr>
            <w:tcW w:w="5764" w:type="dxa"/>
            <w:tcBorders>
              <w:tl2br w:val="nil"/>
              <w:tr2bl w:val="nil"/>
            </w:tcBorders>
            <w:vAlign w:val="center"/>
          </w:tcPr>
          <w:p w14:paraId="39CB2EBD">
            <w:pPr>
              <w:pStyle w:val="41"/>
              <w:rPr>
                <w:color w:val="auto"/>
                <w:highlight w:val="none"/>
              </w:rPr>
            </w:pPr>
            <w:r>
              <w:rPr>
                <w:color w:val="auto"/>
                <w:highlight w:val="none"/>
              </w:rPr>
              <w:t>选矿厂、尾矿库</w:t>
            </w:r>
          </w:p>
        </w:tc>
      </w:tr>
      <w:tr w14:paraId="3FDBB0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8" w:type="dxa"/>
            <w:tcBorders>
              <w:tl2br w:val="nil"/>
              <w:tr2bl w:val="nil"/>
            </w:tcBorders>
            <w:vAlign w:val="center"/>
          </w:tcPr>
          <w:p w14:paraId="47680DB3">
            <w:pPr>
              <w:pStyle w:val="41"/>
              <w:rPr>
                <w:color w:val="auto"/>
                <w:highlight w:val="none"/>
              </w:rPr>
            </w:pPr>
            <w:r>
              <w:rPr>
                <w:color w:val="auto"/>
                <w:highlight w:val="none"/>
              </w:rPr>
              <w:t>2</w:t>
            </w:r>
          </w:p>
        </w:tc>
        <w:tc>
          <w:tcPr>
            <w:tcW w:w="2712" w:type="dxa"/>
            <w:tcBorders>
              <w:tl2br w:val="nil"/>
              <w:tr2bl w:val="nil"/>
            </w:tcBorders>
            <w:vAlign w:val="center"/>
          </w:tcPr>
          <w:p w14:paraId="7DE26DE1">
            <w:pPr>
              <w:pStyle w:val="41"/>
              <w:rPr>
                <w:color w:val="auto"/>
                <w:highlight w:val="none"/>
              </w:rPr>
            </w:pPr>
            <w:r>
              <w:rPr>
                <w:color w:val="auto"/>
                <w:highlight w:val="none"/>
              </w:rPr>
              <w:t>应急组织结构、人员</w:t>
            </w:r>
          </w:p>
        </w:tc>
        <w:tc>
          <w:tcPr>
            <w:tcW w:w="5764" w:type="dxa"/>
            <w:tcBorders>
              <w:tl2br w:val="nil"/>
              <w:tr2bl w:val="nil"/>
            </w:tcBorders>
            <w:vAlign w:val="center"/>
          </w:tcPr>
          <w:p w14:paraId="729E597B">
            <w:pPr>
              <w:pStyle w:val="41"/>
              <w:rPr>
                <w:color w:val="auto"/>
                <w:highlight w:val="none"/>
              </w:rPr>
            </w:pPr>
            <w:r>
              <w:rPr>
                <w:color w:val="auto"/>
                <w:highlight w:val="none"/>
              </w:rPr>
              <w:t>应急组织机构分级，各级别主要负责人为应急计划、协调第一人，应急人员必须为培训上岗熟练工；区域应急组织结构由阿图什</w:t>
            </w:r>
            <w:r>
              <w:rPr>
                <w:rFonts w:hint="eastAsia"/>
                <w:color w:val="auto"/>
                <w:highlight w:val="none"/>
              </w:rPr>
              <w:t>市</w:t>
            </w:r>
            <w:r>
              <w:rPr>
                <w:color w:val="auto"/>
                <w:highlight w:val="none"/>
              </w:rPr>
              <w:t>人民政府、相关行业专家、卫生安全相关单位组成，并由阿图什</w:t>
            </w:r>
            <w:r>
              <w:rPr>
                <w:rFonts w:hint="eastAsia"/>
                <w:color w:val="auto"/>
                <w:highlight w:val="none"/>
              </w:rPr>
              <w:t>市</w:t>
            </w:r>
            <w:r>
              <w:rPr>
                <w:color w:val="auto"/>
                <w:highlight w:val="none"/>
              </w:rPr>
              <w:t>人民政府进行统一调度</w:t>
            </w:r>
          </w:p>
        </w:tc>
      </w:tr>
      <w:tr w14:paraId="39A2D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8" w:type="dxa"/>
            <w:tcBorders>
              <w:tl2br w:val="nil"/>
              <w:tr2bl w:val="nil"/>
            </w:tcBorders>
            <w:vAlign w:val="center"/>
          </w:tcPr>
          <w:p w14:paraId="6A110E93">
            <w:pPr>
              <w:pStyle w:val="41"/>
              <w:rPr>
                <w:color w:val="auto"/>
                <w:highlight w:val="none"/>
              </w:rPr>
            </w:pPr>
            <w:r>
              <w:rPr>
                <w:color w:val="auto"/>
                <w:highlight w:val="none"/>
              </w:rPr>
              <w:t>3</w:t>
            </w:r>
          </w:p>
        </w:tc>
        <w:tc>
          <w:tcPr>
            <w:tcW w:w="2712" w:type="dxa"/>
            <w:tcBorders>
              <w:tl2br w:val="nil"/>
              <w:tr2bl w:val="nil"/>
            </w:tcBorders>
            <w:vAlign w:val="center"/>
          </w:tcPr>
          <w:p w14:paraId="2B69192F">
            <w:pPr>
              <w:pStyle w:val="41"/>
              <w:rPr>
                <w:color w:val="auto"/>
                <w:highlight w:val="none"/>
              </w:rPr>
            </w:pPr>
            <w:r>
              <w:rPr>
                <w:color w:val="auto"/>
                <w:highlight w:val="none"/>
              </w:rPr>
              <w:t>预案分级响应条件</w:t>
            </w:r>
          </w:p>
        </w:tc>
        <w:tc>
          <w:tcPr>
            <w:tcW w:w="5764" w:type="dxa"/>
            <w:tcBorders>
              <w:tl2br w:val="nil"/>
              <w:tr2bl w:val="nil"/>
            </w:tcBorders>
            <w:vAlign w:val="center"/>
          </w:tcPr>
          <w:p w14:paraId="79F7FC9C">
            <w:pPr>
              <w:pStyle w:val="41"/>
              <w:rPr>
                <w:color w:val="auto"/>
                <w:highlight w:val="none"/>
              </w:rPr>
            </w:pPr>
            <w:r>
              <w:rPr>
                <w:color w:val="auto"/>
                <w:highlight w:val="none"/>
              </w:rPr>
              <w:t>根据事故的严重程度制定相应级别的应急预案以及适合相应情况的处理措施</w:t>
            </w:r>
          </w:p>
        </w:tc>
      </w:tr>
      <w:tr w14:paraId="5F7C33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8" w:type="dxa"/>
            <w:tcBorders>
              <w:tl2br w:val="nil"/>
              <w:tr2bl w:val="nil"/>
            </w:tcBorders>
            <w:vAlign w:val="center"/>
          </w:tcPr>
          <w:p w14:paraId="36866BD1">
            <w:pPr>
              <w:pStyle w:val="41"/>
              <w:rPr>
                <w:color w:val="auto"/>
                <w:highlight w:val="none"/>
              </w:rPr>
            </w:pPr>
            <w:r>
              <w:rPr>
                <w:color w:val="auto"/>
                <w:highlight w:val="none"/>
              </w:rPr>
              <w:t>4</w:t>
            </w:r>
          </w:p>
        </w:tc>
        <w:tc>
          <w:tcPr>
            <w:tcW w:w="2712" w:type="dxa"/>
            <w:tcBorders>
              <w:tl2br w:val="nil"/>
              <w:tr2bl w:val="nil"/>
            </w:tcBorders>
            <w:vAlign w:val="center"/>
          </w:tcPr>
          <w:p w14:paraId="5DE2F436">
            <w:pPr>
              <w:pStyle w:val="41"/>
              <w:rPr>
                <w:color w:val="auto"/>
                <w:highlight w:val="none"/>
              </w:rPr>
            </w:pPr>
            <w:r>
              <w:rPr>
                <w:color w:val="auto"/>
                <w:highlight w:val="none"/>
              </w:rPr>
              <w:t>应急救援保障</w:t>
            </w:r>
          </w:p>
        </w:tc>
        <w:tc>
          <w:tcPr>
            <w:tcW w:w="5764" w:type="dxa"/>
            <w:tcBorders>
              <w:tl2br w:val="nil"/>
              <w:tr2bl w:val="nil"/>
            </w:tcBorders>
            <w:vAlign w:val="center"/>
          </w:tcPr>
          <w:p w14:paraId="66BF99CD">
            <w:pPr>
              <w:pStyle w:val="41"/>
              <w:rPr>
                <w:color w:val="auto"/>
                <w:highlight w:val="none"/>
              </w:rPr>
            </w:pPr>
            <w:r>
              <w:rPr>
                <w:color w:val="auto"/>
                <w:highlight w:val="none"/>
              </w:rPr>
              <w:t>应急设施、设备与器材等</w:t>
            </w:r>
          </w:p>
        </w:tc>
      </w:tr>
      <w:tr w14:paraId="602C66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8" w:type="dxa"/>
            <w:tcBorders>
              <w:tl2br w:val="nil"/>
              <w:tr2bl w:val="nil"/>
            </w:tcBorders>
            <w:vAlign w:val="center"/>
          </w:tcPr>
          <w:p w14:paraId="3AD74465">
            <w:pPr>
              <w:pStyle w:val="41"/>
              <w:rPr>
                <w:color w:val="auto"/>
                <w:highlight w:val="none"/>
              </w:rPr>
            </w:pPr>
            <w:r>
              <w:rPr>
                <w:color w:val="auto"/>
                <w:highlight w:val="none"/>
              </w:rPr>
              <w:t>5</w:t>
            </w:r>
          </w:p>
        </w:tc>
        <w:tc>
          <w:tcPr>
            <w:tcW w:w="2712" w:type="dxa"/>
            <w:tcBorders>
              <w:tl2br w:val="nil"/>
              <w:tr2bl w:val="nil"/>
            </w:tcBorders>
            <w:vAlign w:val="center"/>
          </w:tcPr>
          <w:p w14:paraId="6F67BAA5">
            <w:pPr>
              <w:pStyle w:val="41"/>
              <w:rPr>
                <w:color w:val="auto"/>
                <w:highlight w:val="none"/>
              </w:rPr>
            </w:pPr>
            <w:r>
              <w:rPr>
                <w:color w:val="auto"/>
                <w:highlight w:val="none"/>
              </w:rPr>
              <w:t>报警、通讯联络方式</w:t>
            </w:r>
          </w:p>
        </w:tc>
        <w:tc>
          <w:tcPr>
            <w:tcW w:w="5764" w:type="dxa"/>
            <w:tcBorders>
              <w:tl2br w:val="nil"/>
              <w:tr2bl w:val="nil"/>
            </w:tcBorders>
            <w:vAlign w:val="center"/>
          </w:tcPr>
          <w:p w14:paraId="7970319E">
            <w:pPr>
              <w:pStyle w:val="41"/>
              <w:rPr>
                <w:color w:val="auto"/>
                <w:highlight w:val="none"/>
              </w:rPr>
            </w:pPr>
            <w:r>
              <w:rPr>
                <w:color w:val="auto"/>
                <w:highlight w:val="none"/>
              </w:rPr>
              <w:t>逐一细化应急状态下各主要负责单位的报警通讯方式、地点、电话号码以及相关配套的交通保障、管制、消防联络方法</w:t>
            </w:r>
          </w:p>
        </w:tc>
      </w:tr>
      <w:tr w14:paraId="54E841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8" w:type="dxa"/>
            <w:tcBorders>
              <w:tl2br w:val="nil"/>
              <w:tr2bl w:val="nil"/>
            </w:tcBorders>
            <w:vAlign w:val="center"/>
          </w:tcPr>
          <w:p w14:paraId="22771994">
            <w:pPr>
              <w:pStyle w:val="41"/>
              <w:rPr>
                <w:color w:val="auto"/>
                <w:highlight w:val="none"/>
              </w:rPr>
            </w:pPr>
            <w:r>
              <w:rPr>
                <w:color w:val="auto"/>
                <w:highlight w:val="none"/>
              </w:rPr>
              <w:t>6</w:t>
            </w:r>
          </w:p>
        </w:tc>
        <w:tc>
          <w:tcPr>
            <w:tcW w:w="2712" w:type="dxa"/>
            <w:tcBorders>
              <w:tl2br w:val="nil"/>
              <w:tr2bl w:val="nil"/>
            </w:tcBorders>
            <w:vAlign w:val="center"/>
          </w:tcPr>
          <w:p w14:paraId="4E1D024E">
            <w:pPr>
              <w:pStyle w:val="41"/>
              <w:rPr>
                <w:color w:val="auto"/>
                <w:highlight w:val="none"/>
              </w:rPr>
            </w:pPr>
            <w:r>
              <w:rPr>
                <w:color w:val="auto"/>
                <w:highlight w:val="none"/>
              </w:rPr>
              <w:t>应急环境监测、抢险、救援控制措施</w:t>
            </w:r>
          </w:p>
        </w:tc>
        <w:tc>
          <w:tcPr>
            <w:tcW w:w="5764" w:type="dxa"/>
            <w:tcBorders>
              <w:tl2br w:val="nil"/>
              <w:tr2bl w:val="nil"/>
            </w:tcBorders>
            <w:vAlign w:val="center"/>
          </w:tcPr>
          <w:p w14:paraId="49EE4560">
            <w:pPr>
              <w:pStyle w:val="41"/>
              <w:rPr>
                <w:color w:val="auto"/>
                <w:highlight w:val="none"/>
              </w:rPr>
            </w:pPr>
            <w:r>
              <w:rPr>
                <w:color w:val="auto"/>
                <w:highlight w:val="none"/>
              </w:rPr>
              <w:t>组织专业队伍负责对事故现场进行侦察监测，对事故性质、参数与后果进行评估，专为指挥部门提供决策依据</w:t>
            </w:r>
          </w:p>
        </w:tc>
      </w:tr>
      <w:tr w14:paraId="12FC4D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8" w:type="dxa"/>
            <w:tcBorders>
              <w:tl2br w:val="nil"/>
              <w:tr2bl w:val="nil"/>
            </w:tcBorders>
            <w:vAlign w:val="center"/>
          </w:tcPr>
          <w:p w14:paraId="6D36EB74">
            <w:pPr>
              <w:pStyle w:val="41"/>
              <w:rPr>
                <w:color w:val="auto"/>
                <w:highlight w:val="none"/>
              </w:rPr>
            </w:pPr>
            <w:r>
              <w:rPr>
                <w:color w:val="auto"/>
                <w:highlight w:val="none"/>
              </w:rPr>
              <w:t>7</w:t>
            </w:r>
          </w:p>
        </w:tc>
        <w:tc>
          <w:tcPr>
            <w:tcW w:w="2712" w:type="dxa"/>
            <w:tcBorders>
              <w:tl2br w:val="nil"/>
              <w:tr2bl w:val="nil"/>
            </w:tcBorders>
            <w:vAlign w:val="center"/>
          </w:tcPr>
          <w:p w14:paraId="6EF3BBB9">
            <w:pPr>
              <w:pStyle w:val="41"/>
              <w:rPr>
                <w:color w:val="auto"/>
                <w:highlight w:val="none"/>
              </w:rPr>
            </w:pPr>
            <w:r>
              <w:rPr>
                <w:color w:val="auto"/>
                <w:highlight w:val="none"/>
              </w:rPr>
              <w:t>应急监测、防护措施、清除泄漏措施和器材</w:t>
            </w:r>
          </w:p>
        </w:tc>
        <w:tc>
          <w:tcPr>
            <w:tcW w:w="5764" w:type="dxa"/>
            <w:tcBorders>
              <w:tl2br w:val="nil"/>
              <w:tr2bl w:val="nil"/>
            </w:tcBorders>
            <w:vAlign w:val="center"/>
          </w:tcPr>
          <w:p w14:paraId="17758858">
            <w:pPr>
              <w:pStyle w:val="41"/>
              <w:rPr>
                <w:color w:val="auto"/>
                <w:highlight w:val="none"/>
              </w:rPr>
            </w:pPr>
            <w:r>
              <w:rPr>
                <w:color w:val="auto"/>
                <w:highlight w:val="none"/>
              </w:rPr>
              <w:t>严格规定事故多发区、事故现场、邻近区域、设置控制和清除污染措施及相应设备的数量、使用方法、使用人员</w:t>
            </w:r>
          </w:p>
        </w:tc>
      </w:tr>
      <w:tr w14:paraId="18FFD5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8" w:type="dxa"/>
            <w:tcBorders>
              <w:tl2br w:val="nil"/>
              <w:tr2bl w:val="nil"/>
            </w:tcBorders>
            <w:vAlign w:val="center"/>
          </w:tcPr>
          <w:p w14:paraId="742C22FB">
            <w:pPr>
              <w:pStyle w:val="41"/>
              <w:rPr>
                <w:color w:val="auto"/>
                <w:highlight w:val="none"/>
              </w:rPr>
            </w:pPr>
            <w:r>
              <w:rPr>
                <w:color w:val="auto"/>
                <w:highlight w:val="none"/>
              </w:rPr>
              <w:t>8</w:t>
            </w:r>
          </w:p>
        </w:tc>
        <w:tc>
          <w:tcPr>
            <w:tcW w:w="2712" w:type="dxa"/>
            <w:tcBorders>
              <w:tl2br w:val="nil"/>
              <w:tr2bl w:val="nil"/>
            </w:tcBorders>
            <w:vAlign w:val="center"/>
          </w:tcPr>
          <w:p w14:paraId="5C46E0C2">
            <w:pPr>
              <w:pStyle w:val="41"/>
              <w:rPr>
                <w:color w:val="auto"/>
                <w:highlight w:val="none"/>
              </w:rPr>
            </w:pPr>
            <w:r>
              <w:rPr>
                <w:color w:val="auto"/>
                <w:highlight w:val="none"/>
              </w:rPr>
              <w:t>人员紧急撤离、疏散计划</w:t>
            </w:r>
          </w:p>
        </w:tc>
        <w:tc>
          <w:tcPr>
            <w:tcW w:w="5764" w:type="dxa"/>
            <w:tcBorders>
              <w:tl2br w:val="nil"/>
              <w:tr2bl w:val="nil"/>
            </w:tcBorders>
            <w:vAlign w:val="center"/>
          </w:tcPr>
          <w:p w14:paraId="262949C5">
            <w:pPr>
              <w:pStyle w:val="41"/>
              <w:rPr>
                <w:color w:val="auto"/>
                <w:highlight w:val="none"/>
              </w:rPr>
            </w:pPr>
            <w:r>
              <w:rPr>
                <w:color w:val="auto"/>
                <w:highlight w:val="none"/>
              </w:rPr>
              <w:t>制定紧急撤离组织计划和救护，医疗救护与公众健康</w:t>
            </w:r>
          </w:p>
        </w:tc>
      </w:tr>
      <w:tr w14:paraId="581C35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8" w:type="dxa"/>
            <w:tcBorders>
              <w:tl2br w:val="nil"/>
              <w:tr2bl w:val="nil"/>
            </w:tcBorders>
            <w:vAlign w:val="center"/>
          </w:tcPr>
          <w:p w14:paraId="29AE3531">
            <w:pPr>
              <w:pStyle w:val="41"/>
              <w:rPr>
                <w:color w:val="auto"/>
                <w:highlight w:val="none"/>
              </w:rPr>
            </w:pPr>
            <w:r>
              <w:rPr>
                <w:color w:val="auto"/>
                <w:highlight w:val="none"/>
              </w:rPr>
              <w:t>9</w:t>
            </w:r>
          </w:p>
        </w:tc>
        <w:tc>
          <w:tcPr>
            <w:tcW w:w="2712" w:type="dxa"/>
            <w:tcBorders>
              <w:tl2br w:val="nil"/>
              <w:tr2bl w:val="nil"/>
            </w:tcBorders>
            <w:vAlign w:val="center"/>
          </w:tcPr>
          <w:p w14:paraId="1B3B5A4A">
            <w:pPr>
              <w:pStyle w:val="41"/>
              <w:rPr>
                <w:color w:val="auto"/>
                <w:highlight w:val="none"/>
              </w:rPr>
            </w:pPr>
            <w:r>
              <w:rPr>
                <w:color w:val="auto"/>
                <w:highlight w:val="none"/>
              </w:rPr>
              <w:t>事故应急救援关闭程序</w:t>
            </w:r>
          </w:p>
        </w:tc>
        <w:tc>
          <w:tcPr>
            <w:tcW w:w="5764" w:type="dxa"/>
            <w:tcBorders>
              <w:tl2br w:val="nil"/>
              <w:tr2bl w:val="nil"/>
            </w:tcBorders>
            <w:vAlign w:val="center"/>
          </w:tcPr>
          <w:p w14:paraId="4F039948">
            <w:pPr>
              <w:pStyle w:val="41"/>
              <w:rPr>
                <w:color w:val="auto"/>
                <w:highlight w:val="none"/>
              </w:rPr>
            </w:pPr>
            <w:r>
              <w:rPr>
                <w:color w:val="auto"/>
                <w:highlight w:val="none"/>
              </w:rPr>
              <w:t>制定相关应急状态终止程序，事故现场、受影响范围内的善后处理、恢复措施，邻近区域解除事故警戒及善后恢复措施</w:t>
            </w:r>
          </w:p>
        </w:tc>
      </w:tr>
      <w:tr w14:paraId="1FA288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8" w:type="dxa"/>
            <w:tcBorders>
              <w:tl2br w:val="nil"/>
              <w:tr2bl w:val="nil"/>
            </w:tcBorders>
            <w:vAlign w:val="center"/>
          </w:tcPr>
          <w:p w14:paraId="4D30C6E7">
            <w:pPr>
              <w:pStyle w:val="41"/>
              <w:rPr>
                <w:color w:val="auto"/>
                <w:highlight w:val="none"/>
              </w:rPr>
            </w:pPr>
            <w:r>
              <w:rPr>
                <w:color w:val="auto"/>
                <w:highlight w:val="none"/>
              </w:rPr>
              <w:t>10</w:t>
            </w:r>
          </w:p>
        </w:tc>
        <w:tc>
          <w:tcPr>
            <w:tcW w:w="2712" w:type="dxa"/>
            <w:tcBorders>
              <w:tl2br w:val="nil"/>
              <w:tr2bl w:val="nil"/>
            </w:tcBorders>
            <w:vAlign w:val="center"/>
          </w:tcPr>
          <w:p w14:paraId="634B77AA">
            <w:pPr>
              <w:pStyle w:val="41"/>
              <w:rPr>
                <w:color w:val="auto"/>
                <w:highlight w:val="none"/>
              </w:rPr>
            </w:pPr>
            <w:r>
              <w:rPr>
                <w:color w:val="auto"/>
                <w:highlight w:val="none"/>
              </w:rPr>
              <w:t>事故恢复措施</w:t>
            </w:r>
          </w:p>
        </w:tc>
        <w:tc>
          <w:tcPr>
            <w:tcW w:w="5764" w:type="dxa"/>
            <w:tcBorders>
              <w:tl2br w:val="nil"/>
              <w:tr2bl w:val="nil"/>
            </w:tcBorders>
            <w:vAlign w:val="center"/>
          </w:tcPr>
          <w:p w14:paraId="613A963D">
            <w:pPr>
              <w:pStyle w:val="41"/>
              <w:rPr>
                <w:color w:val="auto"/>
                <w:highlight w:val="none"/>
              </w:rPr>
            </w:pPr>
            <w:r>
              <w:rPr>
                <w:color w:val="auto"/>
                <w:highlight w:val="none"/>
              </w:rPr>
              <w:t>制定有关的环境恢复措施（包括生态环境、水体），组织专业人员对事故后的环境变化进行监测，对事故应急措施的环境可行性进行后影响评价</w:t>
            </w:r>
          </w:p>
        </w:tc>
      </w:tr>
      <w:tr w14:paraId="7F06FD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8" w:type="dxa"/>
            <w:tcBorders>
              <w:tl2br w:val="nil"/>
              <w:tr2bl w:val="nil"/>
            </w:tcBorders>
            <w:vAlign w:val="center"/>
          </w:tcPr>
          <w:p w14:paraId="394AA8DA">
            <w:pPr>
              <w:pStyle w:val="41"/>
              <w:rPr>
                <w:color w:val="auto"/>
                <w:highlight w:val="none"/>
              </w:rPr>
            </w:pPr>
            <w:r>
              <w:rPr>
                <w:color w:val="auto"/>
                <w:highlight w:val="none"/>
              </w:rPr>
              <w:t>11</w:t>
            </w:r>
          </w:p>
        </w:tc>
        <w:tc>
          <w:tcPr>
            <w:tcW w:w="2712" w:type="dxa"/>
            <w:tcBorders>
              <w:tl2br w:val="nil"/>
              <w:tr2bl w:val="nil"/>
            </w:tcBorders>
            <w:vAlign w:val="center"/>
          </w:tcPr>
          <w:p w14:paraId="0A04AF8D">
            <w:pPr>
              <w:pStyle w:val="41"/>
              <w:rPr>
                <w:color w:val="auto"/>
                <w:highlight w:val="none"/>
              </w:rPr>
            </w:pPr>
            <w:r>
              <w:rPr>
                <w:color w:val="auto"/>
                <w:highlight w:val="none"/>
              </w:rPr>
              <w:t>应急培训计划</w:t>
            </w:r>
          </w:p>
        </w:tc>
        <w:tc>
          <w:tcPr>
            <w:tcW w:w="5764" w:type="dxa"/>
            <w:tcBorders>
              <w:tl2br w:val="nil"/>
              <w:tr2bl w:val="nil"/>
            </w:tcBorders>
            <w:vAlign w:val="center"/>
          </w:tcPr>
          <w:p w14:paraId="2C38183F">
            <w:pPr>
              <w:pStyle w:val="41"/>
              <w:rPr>
                <w:color w:val="auto"/>
                <w:highlight w:val="none"/>
              </w:rPr>
            </w:pPr>
            <w:r>
              <w:rPr>
                <w:color w:val="auto"/>
                <w:highlight w:val="none"/>
              </w:rPr>
              <w:t>定期安排有关人员进行培训与演练</w:t>
            </w:r>
          </w:p>
        </w:tc>
      </w:tr>
      <w:tr w14:paraId="41C9D6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8" w:type="dxa"/>
            <w:tcBorders>
              <w:tl2br w:val="nil"/>
              <w:tr2bl w:val="nil"/>
            </w:tcBorders>
            <w:vAlign w:val="center"/>
          </w:tcPr>
          <w:p w14:paraId="4A28E354">
            <w:pPr>
              <w:pStyle w:val="41"/>
              <w:rPr>
                <w:color w:val="auto"/>
                <w:highlight w:val="none"/>
              </w:rPr>
            </w:pPr>
            <w:r>
              <w:rPr>
                <w:color w:val="auto"/>
                <w:highlight w:val="none"/>
              </w:rPr>
              <w:t>12</w:t>
            </w:r>
          </w:p>
        </w:tc>
        <w:tc>
          <w:tcPr>
            <w:tcW w:w="2712" w:type="dxa"/>
            <w:tcBorders>
              <w:tl2br w:val="nil"/>
              <w:tr2bl w:val="nil"/>
            </w:tcBorders>
            <w:vAlign w:val="center"/>
          </w:tcPr>
          <w:p w14:paraId="1DA5E45C">
            <w:pPr>
              <w:pStyle w:val="41"/>
              <w:rPr>
                <w:color w:val="auto"/>
                <w:highlight w:val="none"/>
              </w:rPr>
            </w:pPr>
            <w:r>
              <w:rPr>
                <w:color w:val="auto"/>
                <w:highlight w:val="none"/>
              </w:rPr>
              <w:t>公众教育和信息</w:t>
            </w:r>
          </w:p>
        </w:tc>
        <w:tc>
          <w:tcPr>
            <w:tcW w:w="5764" w:type="dxa"/>
            <w:tcBorders>
              <w:tl2br w:val="nil"/>
              <w:tr2bl w:val="nil"/>
            </w:tcBorders>
            <w:vAlign w:val="center"/>
          </w:tcPr>
          <w:p w14:paraId="003664E8">
            <w:pPr>
              <w:pStyle w:val="41"/>
              <w:rPr>
                <w:color w:val="auto"/>
                <w:highlight w:val="none"/>
              </w:rPr>
            </w:pPr>
            <w:r>
              <w:rPr>
                <w:color w:val="auto"/>
                <w:highlight w:val="none"/>
              </w:rPr>
              <w:t>对工厂邻近地区开展公众教育、培训和发布有关信息</w:t>
            </w:r>
          </w:p>
        </w:tc>
      </w:tr>
    </w:tbl>
    <w:p w14:paraId="773E5044">
      <w:pPr>
        <w:pStyle w:val="39"/>
        <w:rPr>
          <w:rFonts w:hint="default"/>
          <w:color w:val="auto"/>
          <w:highlight w:val="none"/>
        </w:rPr>
      </w:pPr>
      <w:r>
        <w:rPr>
          <w:rFonts w:hint="default"/>
          <w:color w:val="auto"/>
          <w:highlight w:val="none"/>
        </w:rPr>
        <w:t xml:space="preserve"> </w:t>
      </w:r>
      <w:bookmarkStart w:id="416" w:name="_Toc15700"/>
      <w:bookmarkStart w:id="417" w:name="_Toc185"/>
      <w:r>
        <w:rPr>
          <w:rFonts w:hint="default"/>
          <w:color w:val="auto"/>
          <w:highlight w:val="none"/>
        </w:rPr>
        <w:t>环境风险评价小结</w:t>
      </w:r>
      <w:bookmarkEnd w:id="416"/>
      <w:bookmarkEnd w:id="417"/>
    </w:p>
    <w:p w14:paraId="2C9A349E">
      <w:pPr>
        <w:pStyle w:val="3"/>
        <w:ind w:firstLine="480"/>
        <w:rPr>
          <w:color w:val="auto"/>
          <w:highlight w:val="none"/>
        </w:rPr>
      </w:pPr>
      <w:r>
        <w:rPr>
          <w:color w:val="auto"/>
          <w:highlight w:val="none"/>
        </w:rPr>
        <w:t>企业在严格落实本次评价提出的各项环境风险防控措施的情况下，发生风险事故概率较小，项目环境风险可防可控。本次评价建议项目运营过程应根据生产运行工况以及各类危险物质的实际消耗量，尽可能减少危险物质在项目区内的存在量，减轻环境风险隐患；针对项目区存在的环境风险防控问题，尽快进行整改，同时应加强日常风险管理，加强员工安全培训，杜绝人为造成的环境风险隐患。</w:t>
      </w:r>
    </w:p>
    <w:p w14:paraId="32E16B3D">
      <w:pPr>
        <w:pStyle w:val="40"/>
        <w:rPr>
          <w:color w:val="auto"/>
          <w:highlight w:val="none"/>
        </w:rPr>
      </w:pPr>
      <w:r>
        <w:rPr>
          <w:color w:val="auto"/>
          <w:highlight w:val="none"/>
          <w:lang w:val="zh-CN"/>
        </w:rPr>
        <w:t>表</w:t>
      </w:r>
      <w:r>
        <w:rPr>
          <w:rFonts w:hint="eastAsia"/>
          <w:color w:val="auto"/>
          <w:highlight w:val="none"/>
        </w:rPr>
        <w:t>6.7-1</w:t>
      </w:r>
      <w:r>
        <w:rPr>
          <w:color w:val="auto"/>
          <w:highlight w:val="none"/>
          <w:lang w:val="zh-CN"/>
        </w:rPr>
        <w:t xml:space="preserve">        </w:t>
      </w:r>
      <w:r>
        <w:rPr>
          <w:rFonts w:hint="eastAsia"/>
          <w:color w:val="auto"/>
          <w:highlight w:val="none"/>
          <w:lang w:val="zh-CN"/>
        </w:rPr>
        <w:t xml:space="preserve">   建设项目环境风险简单分析内容表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45"/>
        <w:gridCol w:w="1445"/>
        <w:gridCol w:w="1881"/>
        <w:gridCol w:w="900"/>
        <w:gridCol w:w="1738"/>
        <w:gridCol w:w="1107"/>
      </w:tblGrid>
      <w:tr w14:paraId="1AA266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49" w:type="pct"/>
            <w:tcBorders>
              <w:tl2br w:val="nil"/>
              <w:tr2bl w:val="nil"/>
            </w:tcBorders>
            <w:vAlign w:val="center"/>
          </w:tcPr>
          <w:p w14:paraId="0CDBD4D6">
            <w:pPr>
              <w:pStyle w:val="41"/>
              <w:rPr>
                <w:color w:val="auto"/>
                <w:highlight w:val="none"/>
              </w:rPr>
            </w:pPr>
            <w:r>
              <w:rPr>
                <w:color w:val="auto"/>
                <w:highlight w:val="none"/>
              </w:rPr>
              <w:t>建设项目</w:t>
            </w:r>
          </w:p>
          <w:p w14:paraId="6880C8C4">
            <w:pPr>
              <w:pStyle w:val="41"/>
              <w:rPr>
                <w:color w:val="auto"/>
                <w:highlight w:val="none"/>
              </w:rPr>
            </w:pPr>
            <w:r>
              <w:rPr>
                <w:color w:val="auto"/>
                <w:highlight w:val="none"/>
              </w:rPr>
              <w:t>名称</w:t>
            </w:r>
          </w:p>
        </w:tc>
        <w:tc>
          <w:tcPr>
            <w:tcW w:w="4150" w:type="pct"/>
            <w:gridSpan w:val="5"/>
            <w:tcBorders>
              <w:tl2br w:val="nil"/>
              <w:tr2bl w:val="nil"/>
            </w:tcBorders>
            <w:vAlign w:val="center"/>
          </w:tcPr>
          <w:p w14:paraId="2FA2FBCB">
            <w:pPr>
              <w:pStyle w:val="41"/>
              <w:rPr>
                <w:rFonts w:hint="eastAsia" w:eastAsia="华文中宋"/>
                <w:color w:val="auto"/>
                <w:highlight w:val="none"/>
                <w:lang w:eastAsia="zh-CN"/>
              </w:rPr>
            </w:pPr>
            <w:r>
              <w:rPr>
                <w:rFonts w:hint="eastAsia"/>
                <w:color w:val="auto"/>
                <w:highlight w:val="none"/>
              </w:rPr>
              <w:t>阿图什市环球矿业钒钛磁铁矿900万吨/年选矿厂建设项目</w:t>
            </w:r>
            <w:r>
              <w:rPr>
                <w:rFonts w:hint="eastAsia"/>
                <w:color w:val="auto"/>
                <w:highlight w:val="none"/>
                <w:lang w:eastAsia="zh-CN"/>
              </w:rPr>
              <w:t>（</w:t>
            </w:r>
            <w:r>
              <w:rPr>
                <w:rFonts w:hint="eastAsia"/>
                <w:color w:val="auto"/>
                <w:highlight w:val="none"/>
                <w:lang w:val="en-US" w:eastAsia="zh-CN"/>
              </w:rPr>
              <w:t>一期</w:t>
            </w:r>
            <w:r>
              <w:rPr>
                <w:rFonts w:hint="eastAsia"/>
                <w:color w:val="auto"/>
                <w:highlight w:val="none"/>
                <w:lang w:eastAsia="zh-CN"/>
              </w:rPr>
              <w:t>）</w:t>
            </w:r>
          </w:p>
        </w:tc>
      </w:tr>
      <w:tr w14:paraId="4B0174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49" w:type="pct"/>
            <w:tcBorders>
              <w:tl2br w:val="nil"/>
              <w:tr2bl w:val="nil"/>
            </w:tcBorders>
            <w:vAlign w:val="center"/>
          </w:tcPr>
          <w:p w14:paraId="6343087A">
            <w:pPr>
              <w:pStyle w:val="41"/>
              <w:rPr>
                <w:color w:val="auto"/>
                <w:highlight w:val="none"/>
              </w:rPr>
            </w:pPr>
            <w:r>
              <w:rPr>
                <w:color w:val="auto"/>
                <w:highlight w:val="none"/>
              </w:rPr>
              <w:t>建设地点</w:t>
            </w:r>
          </w:p>
        </w:tc>
        <w:tc>
          <w:tcPr>
            <w:tcW w:w="848" w:type="pct"/>
            <w:tcBorders>
              <w:tl2br w:val="nil"/>
              <w:tr2bl w:val="nil"/>
            </w:tcBorders>
            <w:vAlign w:val="center"/>
          </w:tcPr>
          <w:p w14:paraId="1DA91134">
            <w:pPr>
              <w:pStyle w:val="41"/>
              <w:rPr>
                <w:color w:val="auto"/>
                <w:highlight w:val="none"/>
              </w:rPr>
            </w:pPr>
            <w:r>
              <w:rPr>
                <w:color w:val="auto"/>
                <w:highlight w:val="none"/>
              </w:rPr>
              <w:t>新疆维吾尔自治区</w:t>
            </w:r>
          </w:p>
        </w:tc>
        <w:tc>
          <w:tcPr>
            <w:tcW w:w="1104" w:type="pct"/>
            <w:tcBorders>
              <w:tl2br w:val="nil"/>
              <w:tr2bl w:val="nil"/>
            </w:tcBorders>
            <w:vAlign w:val="center"/>
          </w:tcPr>
          <w:p w14:paraId="7A05CC68">
            <w:pPr>
              <w:pStyle w:val="41"/>
              <w:rPr>
                <w:color w:val="auto"/>
                <w:highlight w:val="none"/>
              </w:rPr>
            </w:pPr>
            <w:r>
              <w:rPr>
                <w:rFonts w:hint="eastAsia"/>
                <w:color w:val="auto"/>
                <w:highlight w:val="none"/>
              </w:rPr>
              <w:t>阿图什市</w:t>
            </w:r>
          </w:p>
        </w:tc>
        <w:tc>
          <w:tcPr>
            <w:tcW w:w="528" w:type="pct"/>
            <w:tcBorders>
              <w:tl2br w:val="nil"/>
              <w:tr2bl w:val="nil"/>
            </w:tcBorders>
            <w:vAlign w:val="center"/>
          </w:tcPr>
          <w:p w14:paraId="4B7FADCA">
            <w:pPr>
              <w:pStyle w:val="41"/>
              <w:rPr>
                <w:color w:val="auto"/>
                <w:highlight w:val="none"/>
              </w:rPr>
            </w:pPr>
            <w:r>
              <w:rPr>
                <w:rFonts w:hint="eastAsia"/>
                <w:color w:val="auto"/>
                <w:highlight w:val="none"/>
              </w:rPr>
              <w:t>（</w:t>
            </w:r>
            <w:r>
              <w:rPr>
                <w:rFonts w:hint="eastAsia"/>
                <w:color w:val="auto"/>
                <w:highlight w:val="none"/>
                <w:lang w:val="en-US" w:eastAsia="zh-CN"/>
              </w:rPr>
              <w:t>/</w:t>
            </w:r>
            <w:r>
              <w:rPr>
                <w:color w:val="auto"/>
                <w:highlight w:val="none"/>
              </w:rPr>
              <w:t>）区</w:t>
            </w:r>
          </w:p>
        </w:tc>
        <w:tc>
          <w:tcPr>
            <w:tcW w:w="1020" w:type="pct"/>
            <w:tcBorders>
              <w:tl2br w:val="nil"/>
              <w:tr2bl w:val="nil"/>
            </w:tcBorders>
            <w:vAlign w:val="center"/>
          </w:tcPr>
          <w:p w14:paraId="7C3AE988">
            <w:pPr>
              <w:pStyle w:val="41"/>
              <w:rPr>
                <w:color w:val="auto"/>
                <w:highlight w:val="none"/>
              </w:rPr>
            </w:pPr>
            <w:r>
              <w:rPr>
                <w:rFonts w:hint="eastAsia"/>
                <w:color w:val="auto"/>
                <w:highlight w:val="none"/>
              </w:rPr>
              <w:t>（</w:t>
            </w:r>
            <w:r>
              <w:rPr>
                <w:rFonts w:hint="eastAsia"/>
                <w:color w:val="auto"/>
                <w:highlight w:val="none"/>
                <w:lang w:val="en-US" w:eastAsia="zh-CN"/>
              </w:rPr>
              <w:t>/</w:t>
            </w:r>
            <w:r>
              <w:rPr>
                <w:color w:val="auto"/>
                <w:highlight w:val="none"/>
              </w:rPr>
              <w:t>）县</w:t>
            </w:r>
          </w:p>
        </w:tc>
        <w:tc>
          <w:tcPr>
            <w:tcW w:w="648" w:type="pct"/>
            <w:tcBorders>
              <w:tl2br w:val="nil"/>
              <w:tr2bl w:val="nil"/>
            </w:tcBorders>
            <w:vAlign w:val="center"/>
          </w:tcPr>
          <w:p w14:paraId="7B1E0DB9">
            <w:pPr>
              <w:pStyle w:val="41"/>
              <w:rPr>
                <w:color w:val="auto"/>
                <w:highlight w:val="none"/>
              </w:rPr>
            </w:pPr>
            <w:r>
              <w:rPr>
                <w:rFonts w:hint="eastAsia"/>
                <w:color w:val="auto"/>
                <w:highlight w:val="none"/>
              </w:rPr>
              <w:t>（</w:t>
            </w:r>
            <w:r>
              <w:rPr>
                <w:rFonts w:hint="eastAsia"/>
                <w:color w:val="auto"/>
                <w:highlight w:val="none"/>
                <w:lang w:val="en-US" w:eastAsia="zh-CN"/>
              </w:rPr>
              <w:t>/</w:t>
            </w:r>
            <w:r>
              <w:rPr>
                <w:color w:val="auto"/>
                <w:highlight w:val="none"/>
              </w:rPr>
              <w:t>）园区</w:t>
            </w:r>
          </w:p>
        </w:tc>
      </w:tr>
      <w:tr w14:paraId="1AD1CB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49" w:type="pct"/>
            <w:tcBorders>
              <w:tl2br w:val="nil"/>
              <w:tr2bl w:val="nil"/>
            </w:tcBorders>
            <w:vAlign w:val="center"/>
          </w:tcPr>
          <w:p w14:paraId="11D3F4CA">
            <w:pPr>
              <w:pStyle w:val="41"/>
              <w:rPr>
                <w:color w:val="auto"/>
                <w:highlight w:val="none"/>
              </w:rPr>
            </w:pPr>
            <w:r>
              <w:rPr>
                <w:color w:val="auto"/>
                <w:highlight w:val="none"/>
              </w:rPr>
              <w:t>地理坐标</w:t>
            </w:r>
          </w:p>
        </w:tc>
        <w:tc>
          <w:tcPr>
            <w:tcW w:w="848" w:type="pct"/>
            <w:tcBorders>
              <w:tl2br w:val="nil"/>
              <w:tr2bl w:val="nil"/>
            </w:tcBorders>
            <w:vAlign w:val="center"/>
          </w:tcPr>
          <w:p w14:paraId="0B62B391">
            <w:pPr>
              <w:pStyle w:val="41"/>
              <w:rPr>
                <w:color w:val="auto"/>
                <w:highlight w:val="none"/>
              </w:rPr>
            </w:pPr>
            <w:r>
              <w:rPr>
                <w:color w:val="auto"/>
                <w:highlight w:val="none"/>
              </w:rPr>
              <w:t>经度</w:t>
            </w:r>
          </w:p>
        </w:tc>
        <w:tc>
          <w:tcPr>
            <w:tcW w:w="1104" w:type="pct"/>
            <w:tcBorders>
              <w:tl2br w:val="nil"/>
              <w:tr2bl w:val="nil"/>
            </w:tcBorders>
            <w:vAlign w:val="center"/>
          </w:tcPr>
          <w:p w14:paraId="648F6E68">
            <w:pPr>
              <w:pStyle w:val="41"/>
              <w:rPr>
                <w:color w:val="auto"/>
                <w:highlight w:val="none"/>
              </w:rPr>
            </w:pPr>
            <w:r>
              <w:rPr>
                <w:color w:val="auto"/>
                <w:highlight w:val="none"/>
              </w:rPr>
              <w:t>7</w:t>
            </w:r>
            <w:r>
              <w:rPr>
                <w:rFonts w:hint="eastAsia"/>
                <w:color w:val="auto"/>
                <w:highlight w:val="none"/>
              </w:rPr>
              <w:t>6</w:t>
            </w:r>
            <w:r>
              <w:rPr>
                <w:color w:val="auto"/>
                <w:highlight w:val="none"/>
              </w:rPr>
              <w:t>°3</w:t>
            </w:r>
            <w:r>
              <w:rPr>
                <w:rFonts w:hint="eastAsia"/>
                <w:color w:val="auto"/>
                <w:highlight w:val="none"/>
              </w:rPr>
              <w:t>6</w:t>
            </w:r>
            <w:r>
              <w:rPr>
                <w:color w:val="auto"/>
                <w:highlight w:val="none"/>
              </w:rPr>
              <w:t>'</w:t>
            </w:r>
            <w:r>
              <w:rPr>
                <w:rFonts w:hint="eastAsia"/>
                <w:color w:val="auto"/>
                <w:highlight w:val="none"/>
              </w:rPr>
              <w:t>22.35</w:t>
            </w:r>
            <w:r>
              <w:rPr>
                <w:color w:val="auto"/>
                <w:highlight w:val="none"/>
              </w:rPr>
              <w:t>"</w:t>
            </w:r>
          </w:p>
        </w:tc>
        <w:tc>
          <w:tcPr>
            <w:tcW w:w="528" w:type="pct"/>
            <w:tcBorders>
              <w:tl2br w:val="nil"/>
              <w:tr2bl w:val="nil"/>
            </w:tcBorders>
            <w:vAlign w:val="center"/>
          </w:tcPr>
          <w:p w14:paraId="6D8B767A">
            <w:pPr>
              <w:pStyle w:val="41"/>
              <w:rPr>
                <w:color w:val="auto"/>
                <w:highlight w:val="none"/>
              </w:rPr>
            </w:pPr>
            <w:r>
              <w:rPr>
                <w:color w:val="auto"/>
                <w:highlight w:val="none"/>
              </w:rPr>
              <w:t>纬度</w:t>
            </w:r>
          </w:p>
        </w:tc>
        <w:tc>
          <w:tcPr>
            <w:tcW w:w="1669" w:type="pct"/>
            <w:gridSpan w:val="2"/>
            <w:tcBorders>
              <w:tl2br w:val="nil"/>
              <w:tr2bl w:val="nil"/>
            </w:tcBorders>
            <w:vAlign w:val="center"/>
          </w:tcPr>
          <w:p w14:paraId="1A4D1956">
            <w:pPr>
              <w:pStyle w:val="41"/>
              <w:rPr>
                <w:color w:val="auto"/>
                <w:highlight w:val="none"/>
              </w:rPr>
            </w:pPr>
            <w:r>
              <w:rPr>
                <w:color w:val="auto"/>
                <w:highlight w:val="none"/>
              </w:rPr>
              <w:t>40°</w:t>
            </w:r>
            <w:r>
              <w:rPr>
                <w:rFonts w:hint="eastAsia"/>
                <w:color w:val="auto"/>
                <w:highlight w:val="none"/>
              </w:rPr>
              <w:t>4</w:t>
            </w:r>
            <w:r>
              <w:rPr>
                <w:color w:val="auto"/>
                <w:highlight w:val="none"/>
              </w:rPr>
              <w:t>'</w:t>
            </w:r>
            <w:r>
              <w:rPr>
                <w:rFonts w:hint="eastAsia"/>
                <w:color w:val="auto"/>
                <w:highlight w:val="none"/>
              </w:rPr>
              <w:t>20.31</w:t>
            </w:r>
            <w:r>
              <w:rPr>
                <w:color w:val="auto"/>
                <w:highlight w:val="none"/>
              </w:rPr>
              <w:t>"</w:t>
            </w:r>
          </w:p>
        </w:tc>
      </w:tr>
      <w:tr w14:paraId="3C48EB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9" w:type="pct"/>
            <w:tcBorders>
              <w:tl2br w:val="nil"/>
              <w:tr2bl w:val="nil"/>
            </w:tcBorders>
            <w:vAlign w:val="center"/>
          </w:tcPr>
          <w:p w14:paraId="7D6CCD32">
            <w:pPr>
              <w:pStyle w:val="41"/>
              <w:rPr>
                <w:color w:val="auto"/>
                <w:highlight w:val="none"/>
              </w:rPr>
            </w:pPr>
            <w:r>
              <w:rPr>
                <w:color w:val="auto"/>
                <w:highlight w:val="none"/>
              </w:rPr>
              <w:t>主要危险物质及分布</w:t>
            </w:r>
          </w:p>
        </w:tc>
        <w:tc>
          <w:tcPr>
            <w:tcW w:w="4150" w:type="pct"/>
            <w:gridSpan w:val="5"/>
            <w:tcBorders>
              <w:tl2br w:val="nil"/>
              <w:tr2bl w:val="nil"/>
            </w:tcBorders>
            <w:vAlign w:val="center"/>
          </w:tcPr>
          <w:p w14:paraId="5208F26C">
            <w:pPr>
              <w:pStyle w:val="41"/>
              <w:rPr>
                <w:color w:val="auto"/>
                <w:highlight w:val="none"/>
              </w:rPr>
            </w:pPr>
            <w:r>
              <w:rPr>
                <w:color w:val="auto"/>
                <w:highlight w:val="none"/>
              </w:rPr>
              <w:t>废机油暂存于危废</w:t>
            </w:r>
            <w:r>
              <w:rPr>
                <w:rFonts w:hint="eastAsia"/>
                <w:color w:val="auto"/>
                <w:highlight w:val="none"/>
              </w:rPr>
              <w:t>暂存场所</w:t>
            </w:r>
          </w:p>
        </w:tc>
      </w:tr>
      <w:tr w14:paraId="6DC1DE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49" w:type="pct"/>
            <w:tcBorders>
              <w:tl2br w:val="nil"/>
              <w:tr2bl w:val="nil"/>
            </w:tcBorders>
            <w:vAlign w:val="center"/>
          </w:tcPr>
          <w:p w14:paraId="547CBEC4">
            <w:pPr>
              <w:pStyle w:val="41"/>
              <w:rPr>
                <w:color w:val="auto"/>
                <w:highlight w:val="none"/>
              </w:rPr>
            </w:pPr>
            <w:r>
              <w:rPr>
                <w:color w:val="auto"/>
                <w:highlight w:val="none"/>
              </w:rPr>
              <w:t>环境影响途径及危害后果（大气、地下水等）</w:t>
            </w:r>
          </w:p>
        </w:tc>
        <w:tc>
          <w:tcPr>
            <w:tcW w:w="4150" w:type="pct"/>
            <w:gridSpan w:val="5"/>
            <w:tcBorders>
              <w:tl2br w:val="nil"/>
              <w:tr2bl w:val="nil"/>
            </w:tcBorders>
            <w:vAlign w:val="center"/>
          </w:tcPr>
          <w:p w14:paraId="50AF3CF2">
            <w:pPr>
              <w:pStyle w:val="41"/>
              <w:rPr>
                <w:color w:val="auto"/>
                <w:highlight w:val="none"/>
              </w:rPr>
            </w:pPr>
            <w:r>
              <w:rPr>
                <w:color w:val="auto"/>
                <w:highlight w:val="none"/>
              </w:rPr>
              <w:t>在管理、存放等过程中会因管理不当造成事故。废机油发生火灾事故对周围的大气环境质量造成很大的污染和破坏；</w:t>
            </w:r>
            <w:r>
              <w:rPr>
                <w:rFonts w:hint="eastAsia"/>
                <w:color w:val="auto"/>
                <w:highlight w:val="none"/>
              </w:rPr>
              <w:t>润滑油</w:t>
            </w:r>
            <w:r>
              <w:rPr>
                <w:color w:val="auto"/>
                <w:highlight w:val="none"/>
              </w:rPr>
              <w:t>泄漏，可能造成事故发生地地表水体、土壤的污染；消防水处理不当也会对地表水体造成影响；循环水系统故障造成选矿废水事故排放；尾矿库溃坝造成的人身安全、财产损失、环境污染、生态破坏等环境伤害。</w:t>
            </w:r>
          </w:p>
        </w:tc>
      </w:tr>
      <w:tr w14:paraId="262EA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49" w:type="pct"/>
            <w:tcBorders>
              <w:tl2br w:val="nil"/>
              <w:tr2bl w:val="nil"/>
            </w:tcBorders>
            <w:vAlign w:val="center"/>
          </w:tcPr>
          <w:p w14:paraId="41799692">
            <w:pPr>
              <w:pStyle w:val="41"/>
              <w:rPr>
                <w:color w:val="auto"/>
                <w:highlight w:val="none"/>
              </w:rPr>
            </w:pPr>
            <w:r>
              <w:rPr>
                <w:color w:val="auto"/>
                <w:highlight w:val="none"/>
              </w:rPr>
              <w:t>风险防范措施要求</w:t>
            </w:r>
          </w:p>
        </w:tc>
        <w:tc>
          <w:tcPr>
            <w:tcW w:w="4150" w:type="pct"/>
            <w:gridSpan w:val="5"/>
            <w:tcBorders>
              <w:tl2br w:val="nil"/>
              <w:tr2bl w:val="nil"/>
            </w:tcBorders>
            <w:vAlign w:val="center"/>
          </w:tcPr>
          <w:p w14:paraId="70924936">
            <w:pPr>
              <w:pStyle w:val="41"/>
              <w:rPr>
                <w:color w:val="auto"/>
                <w:highlight w:val="none"/>
              </w:rPr>
            </w:pPr>
            <w:r>
              <w:rPr>
                <w:color w:val="auto"/>
                <w:highlight w:val="none"/>
              </w:rPr>
              <w:t>（1）火灾事故防范措施：车间内配备相应品种和数量的消防器材及泄漏应急处理设备；安排专人每周对废机油储存桶进行安全检查；严格遵守操作规程。</w:t>
            </w:r>
          </w:p>
          <w:p w14:paraId="370F8538">
            <w:pPr>
              <w:pStyle w:val="41"/>
              <w:rPr>
                <w:color w:val="auto"/>
                <w:highlight w:val="none"/>
              </w:rPr>
            </w:pPr>
            <w:r>
              <w:rPr>
                <w:color w:val="auto"/>
                <w:highlight w:val="none"/>
              </w:rPr>
              <w:t>（2）废机油运输风险防范措施：运输危险物料的单位，应有资质，车辆应有危险废物运输许可证，司机、押运员有上岗证，具备运输危险品的资格，熟悉所运输的危险品的毒性及应急防范措施。包装物、容器应是定点单位生产。运输途中，要平稳行车、安全驾驶。行车途中勤检查废机油是否有泄漏。</w:t>
            </w:r>
          </w:p>
          <w:p w14:paraId="69767EB2">
            <w:pPr>
              <w:pStyle w:val="41"/>
              <w:rPr>
                <w:color w:val="auto"/>
                <w:highlight w:val="none"/>
              </w:rPr>
            </w:pPr>
            <w:r>
              <w:rPr>
                <w:color w:val="auto"/>
                <w:highlight w:val="none"/>
              </w:rPr>
              <w:t>（3）地下水风险防范措施：源头控制、严格做好工程防渗，定期对防渗措施进行检查和维护，确保防渗层的防渗效果，一旦发现防渗层有开裂、腐蚀等问题，应及时修补。</w:t>
            </w:r>
          </w:p>
          <w:p w14:paraId="01E76C34">
            <w:pPr>
              <w:pStyle w:val="41"/>
              <w:rPr>
                <w:color w:val="auto"/>
                <w:highlight w:val="none"/>
              </w:rPr>
            </w:pPr>
            <w:r>
              <w:rPr>
                <w:color w:val="auto"/>
                <w:highlight w:val="none"/>
              </w:rPr>
              <w:t>（4）尾矿库溃坝风险防范措施：在运行中应加强尾矿库的监测和尾矿排放管理，特别是在汛期要加强尾矿库的巡视工作，避免库内水位骤升洪水漫过坝顶造成溃坝事故。</w:t>
            </w:r>
          </w:p>
        </w:tc>
      </w:tr>
    </w:tbl>
    <w:p w14:paraId="6782D2E9">
      <w:pPr>
        <w:pStyle w:val="3"/>
        <w:ind w:firstLine="480"/>
        <w:rPr>
          <w:color w:val="auto"/>
          <w:highlight w:val="none"/>
        </w:rPr>
      </w:pPr>
      <w:r>
        <w:rPr>
          <w:color w:val="auto"/>
          <w:highlight w:val="none"/>
        </w:rPr>
        <w:t>本项目环境风险评价自查表见表6.7-</w:t>
      </w:r>
      <w:r>
        <w:rPr>
          <w:rFonts w:hint="eastAsia"/>
          <w:color w:val="auto"/>
          <w:highlight w:val="none"/>
        </w:rPr>
        <w:t>2</w:t>
      </w:r>
      <w:r>
        <w:rPr>
          <w:color w:val="auto"/>
          <w:highlight w:val="none"/>
        </w:rPr>
        <w:t>。</w:t>
      </w:r>
    </w:p>
    <w:p w14:paraId="20E21EE5">
      <w:pPr>
        <w:pStyle w:val="40"/>
        <w:rPr>
          <w:color w:val="auto"/>
          <w:highlight w:val="none"/>
        </w:rPr>
      </w:pPr>
      <w:r>
        <w:rPr>
          <w:color w:val="auto"/>
          <w:highlight w:val="none"/>
        </w:rPr>
        <w:t>表6.7-</w:t>
      </w:r>
      <w:r>
        <w:rPr>
          <w:rFonts w:hint="eastAsia"/>
          <w:color w:val="auto"/>
          <w:highlight w:val="none"/>
        </w:rPr>
        <w:t>2</w:t>
      </w:r>
      <w:r>
        <w:rPr>
          <w:color w:val="auto"/>
          <w:highlight w:val="none"/>
        </w:rPr>
        <w:t xml:space="preserve">    环境风险评价自查表</w:t>
      </w:r>
    </w:p>
    <w:tbl>
      <w:tblPr>
        <w:tblStyle w:val="25"/>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389"/>
        <w:gridCol w:w="1010"/>
        <w:gridCol w:w="1037"/>
        <w:gridCol w:w="310"/>
        <w:gridCol w:w="716"/>
        <w:gridCol w:w="767"/>
        <w:gridCol w:w="1218"/>
        <w:gridCol w:w="63"/>
        <w:gridCol w:w="616"/>
        <w:gridCol w:w="133"/>
        <w:gridCol w:w="724"/>
        <w:gridCol w:w="39"/>
        <w:gridCol w:w="736"/>
        <w:gridCol w:w="758"/>
      </w:tblGrid>
      <w:tr w14:paraId="286500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1399" w:type="dxa"/>
            <w:gridSpan w:val="2"/>
            <w:tcBorders>
              <w:tl2br w:val="nil"/>
              <w:tr2bl w:val="nil"/>
            </w:tcBorders>
            <w:vAlign w:val="center"/>
          </w:tcPr>
          <w:p w14:paraId="1DC80066">
            <w:pPr>
              <w:pStyle w:val="41"/>
              <w:rPr>
                <w:color w:val="auto"/>
                <w:highlight w:val="none"/>
              </w:rPr>
            </w:pPr>
            <w:r>
              <w:rPr>
                <w:color w:val="auto"/>
                <w:highlight w:val="none"/>
              </w:rPr>
              <w:t>工作内容</w:t>
            </w:r>
          </w:p>
        </w:tc>
        <w:tc>
          <w:tcPr>
            <w:tcW w:w="7117" w:type="dxa"/>
            <w:gridSpan w:val="12"/>
            <w:tcBorders>
              <w:tl2br w:val="nil"/>
              <w:tr2bl w:val="nil"/>
            </w:tcBorders>
            <w:vAlign w:val="center"/>
          </w:tcPr>
          <w:p w14:paraId="1CC40E4A">
            <w:pPr>
              <w:pStyle w:val="41"/>
              <w:rPr>
                <w:color w:val="auto"/>
                <w:highlight w:val="none"/>
              </w:rPr>
            </w:pPr>
            <w:r>
              <w:rPr>
                <w:color w:val="auto"/>
                <w:highlight w:val="none"/>
              </w:rPr>
              <w:t>完成情况</w:t>
            </w:r>
          </w:p>
        </w:tc>
      </w:tr>
      <w:tr w14:paraId="6B42D38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389" w:type="dxa"/>
            <w:vMerge w:val="restart"/>
            <w:tcBorders>
              <w:tl2br w:val="nil"/>
              <w:tr2bl w:val="nil"/>
            </w:tcBorders>
            <w:vAlign w:val="center"/>
          </w:tcPr>
          <w:p w14:paraId="45CE43BE">
            <w:pPr>
              <w:pStyle w:val="41"/>
              <w:rPr>
                <w:color w:val="auto"/>
                <w:highlight w:val="none"/>
              </w:rPr>
            </w:pPr>
            <w:r>
              <w:rPr>
                <w:color w:val="auto"/>
                <w:highlight w:val="none"/>
              </w:rPr>
              <w:t>风险调查</w:t>
            </w:r>
          </w:p>
        </w:tc>
        <w:tc>
          <w:tcPr>
            <w:tcW w:w="1010" w:type="dxa"/>
            <w:vMerge w:val="restart"/>
            <w:tcBorders>
              <w:tl2br w:val="nil"/>
              <w:tr2bl w:val="nil"/>
            </w:tcBorders>
            <w:vAlign w:val="center"/>
          </w:tcPr>
          <w:p w14:paraId="1509AA51">
            <w:pPr>
              <w:pStyle w:val="41"/>
              <w:rPr>
                <w:color w:val="auto"/>
                <w:highlight w:val="none"/>
              </w:rPr>
            </w:pPr>
            <w:r>
              <w:rPr>
                <w:color w:val="auto"/>
                <w:highlight w:val="none"/>
              </w:rPr>
              <w:t>危险</w:t>
            </w:r>
          </w:p>
          <w:p w14:paraId="2ED7942F">
            <w:pPr>
              <w:pStyle w:val="41"/>
              <w:rPr>
                <w:color w:val="auto"/>
                <w:highlight w:val="none"/>
              </w:rPr>
            </w:pPr>
            <w:r>
              <w:rPr>
                <w:color w:val="auto"/>
                <w:highlight w:val="none"/>
              </w:rPr>
              <w:t>物质</w:t>
            </w:r>
          </w:p>
        </w:tc>
        <w:tc>
          <w:tcPr>
            <w:tcW w:w="1037" w:type="dxa"/>
            <w:tcBorders>
              <w:tl2br w:val="nil"/>
              <w:tr2bl w:val="nil"/>
            </w:tcBorders>
            <w:vAlign w:val="center"/>
          </w:tcPr>
          <w:p w14:paraId="1F5C8FBD">
            <w:pPr>
              <w:pStyle w:val="41"/>
              <w:rPr>
                <w:color w:val="auto"/>
                <w:highlight w:val="none"/>
              </w:rPr>
            </w:pPr>
            <w:r>
              <w:rPr>
                <w:color w:val="auto"/>
                <w:highlight w:val="none"/>
              </w:rPr>
              <w:t>名称</w:t>
            </w:r>
          </w:p>
        </w:tc>
        <w:tc>
          <w:tcPr>
            <w:tcW w:w="1026" w:type="dxa"/>
            <w:gridSpan w:val="2"/>
            <w:tcBorders>
              <w:tl2br w:val="nil"/>
              <w:tr2bl w:val="nil"/>
            </w:tcBorders>
            <w:vAlign w:val="center"/>
          </w:tcPr>
          <w:p w14:paraId="3D031622">
            <w:pPr>
              <w:pStyle w:val="41"/>
              <w:rPr>
                <w:color w:val="auto"/>
                <w:highlight w:val="none"/>
              </w:rPr>
            </w:pPr>
            <w:r>
              <w:rPr>
                <w:color w:val="auto"/>
                <w:highlight w:val="none"/>
              </w:rPr>
              <w:t>废矿物油</w:t>
            </w:r>
          </w:p>
        </w:tc>
        <w:tc>
          <w:tcPr>
            <w:tcW w:w="767" w:type="dxa"/>
            <w:tcBorders>
              <w:tl2br w:val="nil"/>
              <w:tr2bl w:val="nil"/>
            </w:tcBorders>
            <w:vAlign w:val="center"/>
          </w:tcPr>
          <w:p w14:paraId="3A74F357">
            <w:pPr>
              <w:pStyle w:val="41"/>
              <w:rPr>
                <w:color w:val="auto"/>
                <w:highlight w:val="none"/>
              </w:rPr>
            </w:pPr>
            <w:r>
              <w:rPr>
                <w:rFonts w:hint="eastAsia"/>
                <w:color w:val="auto"/>
                <w:highlight w:val="none"/>
              </w:rPr>
              <w:t>润滑油</w:t>
            </w:r>
          </w:p>
        </w:tc>
        <w:tc>
          <w:tcPr>
            <w:tcW w:w="1218" w:type="dxa"/>
            <w:tcBorders>
              <w:tl2br w:val="nil"/>
              <w:tr2bl w:val="nil"/>
            </w:tcBorders>
            <w:vAlign w:val="center"/>
          </w:tcPr>
          <w:p w14:paraId="33A8140B">
            <w:pPr>
              <w:pStyle w:val="41"/>
              <w:rPr>
                <w:color w:val="auto"/>
                <w:highlight w:val="none"/>
              </w:rPr>
            </w:pPr>
          </w:p>
        </w:tc>
        <w:tc>
          <w:tcPr>
            <w:tcW w:w="812" w:type="dxa"/>
            <w:gridSpan w:val="3"/>
            <w:tcBorders>
              <w:tl2br w:val="nil"/>
              <w:tr2bl w:val="nil"/>
            </w:tcBorders>
            <w:vAlign w:val="center"/>
          </w:tcPr>
          <w:p w14:paraId="5215AFC1">
            <w:pPr>
              <w:pStyle w:val="41"/>
              <w:rPr>
                <w:color w:val="auto"/>
                <w:highlight w:val="none"/>
              </w:rPr>
            </w:pPr>
          </w:p>
        </w:tc>
        <w:tc>
          <w:tcPr>
            <w:tcW w:w="724" w:type="dxa"/>
            <w:tcBorders>
              <w:tl2br w:val="nil"/>
              <w:tr2bl w:val="nil"/>
            </w:tcBorders>
            <w:vAlign w:val="center"/>
          </w:tcPr>
          <w:p w14:paraId="25045D13">
            <w:pPr>
              <w:pStyle w:val="41"/>
              <w:rPr>
                <w:color w:val="auto"/>
                <w:highlight w:val="none"/>
              </w:rPr>
            </w:pPr>
          </w:p>
        </w:tc>
        <w:tc>
          <w:tcPr>
            <w:tcW w:w="775" w:type="dxa"/>
            <w:gridSpan w:val="2"/>
            <w:tcBorders>
              <w:tl2br w:val="nil"/>
              <w:tr2bl w:val="nil"/>
            </w:tcBorders>
            <w:vAlign w:val="center"/>
          </w:tcPr>
          <w:p w14:paraId="33737333">
            <w:pPr>
              <w:pStyle w:val="41"/>
              <w:rPr>
                <w:color w:val="auto"/>
                <w:highlight w:val="none"/>
              </w:rPr>
            </w:pPr>
          </w:p>
        </w:tc>
        <w:tc>
          <w:tcPr>
            <w:tcW w:w="758" w:type="dxa"/>
            <w:tcBorders>
              <w:tl2br w:val="nil"/>
              <w:tr2bl w:val="nil"/>
            </w:tcBorders>
            <w:vAlign w:val="center"/>
          </w:tcPr>
          <w:p w14:paraId="6F174870">
            <w:pPr>
              <w:pStyle w:val="41"/>
              <w:rPr>
                <w:color w:val="auto"/>
                <w:highlight w:val="none"/>
              </w:rPr>
            </w:pPr>
          </w:p>
        </w:tc>
      </w:tr>
      <w:tr w14:paraId="633E943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389" w:type="dxa"/>
            <w:vMerge w:val="continue"/>
            <w:tcBorders>
              <w:tl2br w:val="nil"/>
              <w:tr2bl w:val="nil"/>
            </w:tcBorders>
            <w:vAlign w:val="center"/>
          </w:tcPr>
          <w:p w14:paraId="7DB95F44">
            <w:pPr>
              <w:pStyle w:val="41"/>
              <w:rPr>
                <w:color w:val="auto"/>
                <w:highlight w:val="none"/>
              </w:rPr>
            </w:pPr>
          </w:p>
        </w:tc>
        <w:tc>
          <w:tcPr>
            <w:tcW w:w="1010" w:type="dxa"/>
            <w:vMerge w:val="continue"/>
            <w:tcBorders>
              <w:tl2br w:val="nil"/>
              <w:tr2bl w:val="nil"/>
            </w:tcBorders>
            <w:vAlign w:val="center"/>
          </w:tcPr>
          <w:p w14:paraId="4B88BEB2">
            <w:pPr>
              <w:pStyle w:val="41"/>
              <w:rPr>
                <w:color w:val="auto"/>
                <w:highlight w:val="none"/>
              </w:rPr>
            </w:pPr>
          </w:p>
        </w:tc>
        <w:tc>
          <w:tcPr>
            <w:tcW w:w="1037" w:type="dxa"/>
            <w:tcBorders>
              <w:tl2br w:val="nil"/>
              <w:tr2bl w:val="nil"/>
            </w:tcBorders>
            <w:vAlign w:val="center"/>
          </w:tcPr>
          <w:p w14:paraId="58088A67">
            <w:pPr>
              <w:pStyle w:val="41"/>
              <w:rPr>
                <w:color w:val="auto"/>
                <w:highlight w:val="none"/>
              </w:rPr>
            </w:pPr>
            <w:r>
              <w:rPr>
                <w:color w:val="auto"/>
                <w:highlight w:val="none"/>
              </w:rPr>
              <w:t>存在</w:t>
            </w:r>
          </w:p>
          <w:p w14:paraId="5AB28628">
            <w:pPr>
              <w:pStyle w:val="41"/>
              <w:rPr>
                <w:color w:val="auto"/>
                <w:highlight w:val="none"/>
              </w:rPr>
            </w:pPr>
            <w:r>
              <w:rPr>
                <w:color w:val="auto"/>
                <w:highlight w:val="none"/>
              </w:rPr>
              <w:t>总量/t</w:t>
            </w:r>
          </w:p>
        </w:tc>
        <w:tc>
          <w:tcPr>
            <w:tcW w:w="1026" w:type="dxa"/>
            <w:gridSpan w:val="2"/>
            <w:tcBorders>
              <w:tl2br w:val="nil"/>
              <w:tr2bl w:val="nil"/>
            </w:tcBorders>
            <w:vAlign w:val="center"/>
          </w:tcPr>
          <w:p w14:paraId="0DD18639">
            <w:pPr>
              <w:pStyle w:val="41"/>
              <w:rPr>
                <w:color w:val="auto"/>
                <w:highlight w:val="none"/>
              </w:rPr>
            </w:pPr>
            <w:r>
              <w:rPr>
                <w:color w:val="auto"/>
                <w:highlight w:val="none"/>
              </w:rPr>
              <w:t>3</w:t>
            </w:r>
          </w:p>
        </w:tc>
        <w:tc>
          <w:tcPr>
            <w:tcW w:w="767" w:type="dxa"/>
            <w:tcBorders>
              <w:tl2br w:val="nil"/>
              <w:tr2bl w:val="nil"/>
            </w:tcBorders>
            <w:vAlign w:val="center"/>
          </w:tcPr>
          <w:p w14:paraId="3A16FC71">
            <w:pPr>
              <w:pStyle w:val="41"/>
              <w:rPr>
                <w:color w:val="auto"/>
                <w:highlight w:val="none"/>
              </w:rPr>
            </w:pPr>
            <w:r>
              <w:rPr>
                <w:rFonts w:hint="eastAsia"/>
                <w:color w:val="auto"/>
                <w:highlight w:val="none"/>
              </w:rPr>
              <w:t>43.5</w:t>
            </w:r>
          </w:p>
        </w:tc>
        <w:tc>
          <w:tcPr>
            <w:tcW w:w="1218" w:type="dxa"/>
            <w:tcBorders>
              <w:tl2br w:val="nil"/>
              <w:tr2bl w:val="nil"/>
            </w:tcBorders>
            <w:vAlign w:val="center"/>
          </w:tcPr>
          <w:p w14:paraId="1EDF5CAF">
            <w:pPr>
              <w:pStyle w:val="41"/>
              <w:rPr>
                <w:color w:val="auto"/>
                <w:highlight w:val="none"/>
              </w:rPr>
            </w:pPr>
          </w:p>
        </w:tc>
        <w:tc>
          <w:tcPr>
            <w:tcW w:w="812" w:type="dxa"/>
            <w:gridSpan w:val="3"/>
            <w:tcBorders>
              <w:tl2br w:val="nil"/>
              <w:tr2bl w:val="nil"/>
            </w:tcBorders>
            <w:vAlign w:val="center"/>
          </w:tcPr>
          <w:p w14:paraId="79F3730C">
            <w:pPr>
              <w:pStyle w:val="41"/>
              <w:rPr>
                <w:color w:val="auto"/>
                <w:highlight w:val="none"/>
              </w:rPr>
            </w:pPr>
          </w:p>
        </w:tc>
        <w:tc>
          <w:tcPr>
            <w:tcW w:w="724" w:type="dxa"/>
            <w:tcBorders>
              <w:tl2br w:val="nil"/>
              <w:tr2bl w:val="nil"/>
            </w:tcBorders>
            <w:vAlign w:val="center"/>
          </w:tcPr>
          <w:p w14:paraId="0B918C86">
            <w:pPr>
              <w:pStyle w:val="41"/>
              <w:rPr>
                <w:color w:val="auto"/>
                <w:highlight w:val="none"/>
              </w:rPr>
            </w:pPr>
          </w:p>
        </w:tc>
        <w:tc>
          <w:tcPr>
            <w:tcW w:w="775" w:type="dxa"/>
            <w:gridSpan w:val="2"/>
            <w:tcBorders>
              <w:tl2br w:val="nil"/>
              <w:tr2bl w:val="nil"/>
            </w:tcBorders>
            <w:vAlign w:val="center"/>
          </w:tcPr>
          <w:p w14:paraId="69C89937">
            <w:pPr>
              <w:pStyle w:val="41"/>
              <w:rPr>
                <w:color w:val="auto"/>
                <w:highlight w:val="none"/>
              </w:rPr>
            </w:pPr>
          </w:p>
        </w:tc>
        <w:tc>
          <w:tcPr>
            <w:tcW w:w="758" w:type="dxa"/>
            <w:tcBorders>
              <w:tl2br w:val="nil"/>
              <w:tr2bl w:val="nil"/>
            </w:tcBorders>
            <w:vAlign w:val="center"/>
          </w:tcPr>
          <w:p w14:paraId="4FAAB716">
            <w:pPr>
              <w:pStyle w:val="41"/>
              <w:rPr>
                <w:color w:val="auto"/>
                <w:highlight w:val="none"/>
              </w:rPr>
            </w:pPr>
          </w:p>
        </w:tc>
      </w:tr>
      <w:tr w14:paraId="47F503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389" w:type="dxa"/>
            <w:vMerge w:val="continue"/>
            <w:tcBorders>
              <w:tl2br w:val="nil"/>
              <w:tr2bl w:val="nil"/>
            </w:tcBorders>
            <w:vAlign w:val="center"/>
          </w:tcPr>
          <w:p w14:paraId="72C9F2C6">
            <w:pPr>
              <w:pStyle w:val="41"/>
              <w:rPr>
                <w:color w:val="auto"/>
                <w:highlight w:val="none"/>
              </w:rPr>
            </w:pPr>
          </w:p>
        </w:tc>
        <w:tc>
          <w:tcPr>
            <w:tcW w:w="1010" w:type="dxa"/>
            <w:vMerge w:val="restart"/>
            <w:tcBorders>
              <w:tl2br w:val="nil"/>
              <w:tr2bl w:val="nil"/>
            </w:tcBorders>
            <w:vAlign w:val="center"/>
          </w:tcPr>
          <w:p w14:paraId="4873977B">
            <w:pPr>
              <w:pStyle w:val="41"/>
              <w:rPr>
                <w:color w:val="auto"/>
                <w:highlight w:val="none"/>
              </w:rPr>
            </w:pPr>
            <w:r>
              <w:rPr>
                <w:color w:val="auto"/>
                <w:highlight w:val="none"/>
              </w:rPr>
              <w:t>环境敏感性</w:t>
            </w:r>
          </w:p>
        </w:tc>
        <w:tc>
          <w:tcPr>
            <w:tcW w:w="1037" w:type="dxa"/>
            <w:vMerge w:val="restart"/>
            <w:tcBorders>
              <w:tl2br w:val="nil"/>
              <w:tr2bl w:val="nil"/>
            </w:tcBorders>
            <w:vAlign w:val="center"/>
          </w:tcPr>
          <w:p w14:paraId="158725C6">
            <w:pPr>
              <w:pStyle w:val="41"/>
              <w:rPr>
                <w:color w:val="auto"/>
                <w:highlight w:val="none"/>
              </w:rPr>
            </w:pPr>
            <w:r>
              <w:rPr>
                <w:color w:val="auto"/>
                <w:highlight w:val="none"/>
              </w:rPr>
              <w:t>大气</w:t>
            </w:r>
          </w:p>
        </w:tc>
        <w:tc>
          <w:tcPr>
            <w:tcW w:w="3011" w:type="dxa"/>
            <w:gridSpan w:val="4"/>
            <w:tcBorders>
              <w:tl2br w:val="nil"/>
              <w:tr2bl w:val="nil"/>
            </w:tcBorders>
            <w:vAlign w:val="center"/>
          </w:tcPr>
          <w:p w14:paraId="7CC0D978">
            <w:pPr>
              <w:pStyle w:val="41"/>
              <w:rPr>
                <w:color w:val="auto"/>
                <w:highlight w:val="none"/>
              </w:rPr>
            </w:pPr>
            <w:r>
              <w:rPr>
                <w:color w:val="auto"/>
                <w:highlight w:val="none"/>
              </w:rPr>
              <w:t>500m范围内人口数0人</w:t>
            </w:r>
          </w:p>
        </w:tc>
        <w:tc>
          <w:tcPr>
            <w:tcW w:w="3069" w:type="dxa"/>
            <w:gridSpan w:val="7"/>
            <w:tcBorders>
              <w:tl2br w:val="nil"/>
              <w:tr2bl w:val="nil"/>
            </w:tcBorders>
            <w:vAlign w:val="center"/>
          </w:tcPr>
          <w:p w14:paraId="0D63C7CF">
            <w:pPr>
              <w:pStyle w:val="41"/>
              <w:rPr>
                <w:color w:val="auto"/>
                <w:highlight w:val="none"/>
              </w:rPr>
            </w:pPr>
            <w:r>
              <w:rPr>
                <w:color w:val="auto"/>
                <w:highlight w:val="none"/>
              </w:rPr>
              <w:t>5km范围内人口数0人</w:t>
            </w:r>
          </w:p>
        </w:tc>
      </w:tr>
      <w:tr w14:paraId="1E4AF3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389" w:type="dxa"/>
            <w:vMerge w:val="continue"/>
            <w:tcBorders>
              <w:tl2br w:val="nil"/>
              <w:tr2bl w:val="nil"/>
            </w:tcBorders>
            <w:vAlign w:val="center"/>
          </w:tcPr>
          <w:p w14:paraId="1D8F560A">
            <w:pPr>
              <w:pStyle w:val="41"/>
              <w:rPr>
                <w:color w:val="auto"/>
                <w:highlight w:val="none"/>
              </w:rPr>
            </w:pPr>
          </w:p>
        </w:tc>
        <w:tc>
          <w:tcPr>
            <w:tcW w:w="1010" w:type="dxa"/>
            <w:vMerge w:val="continue"/>
            <w:tcBorders>
              <w:tl2br w:val="nil"/>
              <w:tr2bl w:val="nil"/>
            </w:tcBorders>
            <w:vAlign w:val="center"/>
          </w:tcPr>
          <w:p w14:paraId="1EE48125">
            <w:pPr>
              <w:pStyle w:val="41"/>
              <w:rPr>
                <w:color w:val="auto"/>
                <w:highlight w:val="none"/>
              </w:rPr>
            </w:pPr>
          </w:p>
        </w:tc>
        <w:tc>
          <w:tcPr>
            <w:tcW w:w="1037" w:type="dxa"/>
            <w:vMerge w:val="continue"/>
            <w:tcBorders>
              <w:tl2br w:val="nil"/>
              <w:tr2bl w:val="nil"/>
            </w:tcBorders>
            <w:vAlign w:val="center"/>
          </w:tcPr>
          <w:p w14:paraId="3F3B352B">
            <w:pPr>
              <w:pStyle w:val="41"/>
              <w:rPr>
                <w:color w:val="auto"/>
                <w:highlight w:val="none"/>
              </w:rPr>
            </w:pPr>
          </w:p>
        </w:tc>
        <w:tc>
          <w:tcPr>
            <w:tcW w:w="4547" w:type="dxa"/>
            <w:gridSpan w:val="8"/>
            <w:tcBorders>
              <w:tl2br w:val="nil"/>
              <w:tr2bl w:val="nil"/>
            </w:tcBorders>
            <w:vAlign w:val="center"/>
          </w:tcPr>
          <w:p w14:paraId="5D738C75">
            <w:pPr>
              <w:pStyle w:val="41"/>
              <w:rPr>
                <w:color w:val="auto"/>
                <w:highlight w:val="none"/>
              </w:rPr>
            </w:pPr>
            <w:r>
              <w:rPr>
                <w:color w:val="auto"/>
                <w:highlight w:val="none"/>
              </w:rPr>
              <w:t>每公里管段周边200m范围内人口数（最大）</w:t>
            </w:r>
          </w:p>
        </w:tc>
        <w:tc>
          <w:tcPr>
            <w:tcW w:w="1533" w:type="dxa"/>
            <w:gridSpan w:val="3"/>
            <w:tcBorders>
              <w:tl2br w:val="nil"/>
              <w:tr2bl w:val="nil"/>
            </w:tcBorders>
            <w:vAlign w:val="center"/>
          </w:tcPr>
          <w:p w14:paraId="34E05C8A">
            <w:pPr>
              <w:pStyle w:val="41"/>
              <w:rPr>
                <w:color w:val="auto"/>
                <w:highlight w:val="none"/>
              </w:rPr>
            </w:pPr>
            <w:r>
              <w:rPr>
                <w:color w:val="auto"/>
                <w:highlight w:val="none"/>
              </w:rPr>
              <w:t>/人</w:t>
            </w:r>
          </w:p>
        </w:tc>
      </w:tr>
      <w:tr w14:paraId="1F6BE9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389" w:type="dxa"/>
            <w:vMerge w:val="continue"/>
            <w:tcBorders>
              <w:tl2br w:val="nil"/>
              <w:tr2bl w:val="nil"/>
            </w:tcBorders>
            <w:vAlign w:val="center"/>
          </w:tcPr>
          <w:p w14:paraId="3C6D29E8">
            <w:pPr>
              <w:pStyle w:val="41"/>
              <w:rPr>
                <w:color w:val="auto"/>
                <w:highlight w:val="none"/>
              </w:rPr>
            </w:pPr>
          </w:p>
        </w:tc>
        <w:tc>
          <w:tcPr>
            <w:tcW w:w="1010" w:type="dxa"/>
            <w:vMerge w:val="continue"/>
            <w:tcBorders>
              <w:tl2br w:val="nil"/>
              <w:tr2bl w:val="nil"/>
            </w:tcBorders>
            <w:vAlign w:val="center"/>
          </w:tcPr>
          <w:p w14:paraId="42ED7509">
            <w:pPr>
              <w:pStyle w:val="41"/>
              <w:rPr>
                <w:color w:val="auto"/>
                <w:highlight w:val="none"/>
              </w:rPr>
            </w:pPr>
          </w:p>
        </w:tc>
        <w:tc>
          <w:tcPr>
            <w:tcW w:w="1037" w:type="dxa"/>
            <w:vMerge w:val="restart"/>
            <w:tcBorders>
              <w:tl2br w:val="nil"/>
              <w:tr2bl w:val="nil"/>
            </w:tcBorders>
            <w:vAlign w:val="center"/>
          </w:tcPr>
          <w:p w14:paraId="2AAFA640">
            <w:pPr>
              <w:pStyle w:val="41"/>
              <w:rPr>
                <w:color w:val="auto"/>
                <w:highlight w:val="none"/>
              </w:rPr>
            </w:pPr>
            <w:r>
              <w:rPr>
                <w:color w:val="auto"/>
                <w:highlight w:val="none"/>
              </w:rPr>
              <w:t>地表水</w:t>
            </w:r>
          </w:p>
        </w:tc>
        <w:tc>
          <w:tcPr>
            <w:tcW w:w="1793" w:type="dxa"/>
            <w:gridSpan w:val="3"/>
            <w:tcBorders>
              <w:tl2br w:val="nil"/>
              <w:tr2bl w:val="nil"/>
            </w:tcBorders>
            <w:vAlign w:val="center"/>
          </w:tcPr>
          <w:p w14:paraId="2F899FC5">
            <w:pPr>
              <w:pStyle w:val="41"/>
              <w:rPr>
                <w:color w:val="auto"/>
                <w:highlight w:val="none"/>
              </w:rPr>
            </w:pPr>
            <w:r>
              <w:rPr>
                <w:color w:val="auto"/>
                <w:highlight w:val="none"/>
              </w:rPr>
              <w:t>地表水功能敏感性</w:t>
            </w:r>
          </w:p>
        </w:tc>
        <w:tc>
          <w:tcPr>
            <w:tcW w:w="1218" w:type="dxa"/>
            <w:tcBorders>
              <w:tl2br w:val="nil"/>
              <w:tr2bl w:val="nil"/>
            </w:tcBorders>
            <w:vAlign w:val="center"/>
          </w:tcPr>
          <w:p w14:paraId="4DC31D16">
            <w:pPr>
              <w:pStyle w:val="41"/>
              <w:rPr>
                <w:color w:val="auto"/>
                <w:highlight w:val="none"/>
              </w:rPr>
            </w:pPr>
            <w:r>
              <w:rPr>
                <w:color w:val="auto"/>
                <w:highlight w:val="none"/>
              </w:rPr>
              <w:t>F1□</w:t>
            </w:r>
          </w:p>
        </w:tc>
        <w:tc>
          <w:tcPr>
            <w:tcW w:w="1536" w:type="dxa"/>
            <w:gridSpan w:val="4"/>
            <w:tcBorders>
              <w:tl2br w:val="nil"/>
              <w:tr2bl w:val="nil"/>
            </w:tcBorders>
            <w:vAlign w:val="center"/>
          </w:tcPr>
          <w:p w14:paraId="513FAAA2">
            <w:pPr>
              <w:pStyle w:val="41"/>
              <w:rPr>
                <w:color w:val="auto"/>
                <w:highlight w:val="none"/>
              </w:rPr>
            </w:pPr>
            <w:r>
              <w:rPr>
                <w:color w:val="auto"/>
                <w:highlight w:val="none"/>
              </w:rPr>
              <w:t>F2□</w:t>
            </w:r>
          </w:p>
        </w:tc>
        <w:tc>
          <w:tcPr>
            <w:tcW w:w="1533" w:type="dxa"/>
            <w:gridSpan w:val="3"/>
            <w:tcBorders>
              <w:tl2br w:val="nil"/>
              <w:tr2bl w:val="nil"/>
            </w:tcBorders>
            <w:vAlign w:val="center"/>
          </w:tcPr>
          <w:p w14:paraId="1281FA4C">
            <w:pPr>
              <w:pStyle w:val="41"/>
              <w:rPr>
                <w:color w:val="auto"/>
                <w:highlight w:val="none"/>
              </w:rPr>
            </w:pPr>
            <w:r>
              <w:rPr>
                <w:color w:val="auto"/>
                <w:highlight w:val="none"/>
              </w:rPr>
              <w:t>F3□</w:t>
            </w:r>
          </w:p>
        </w:tc>
      </w:tr>
      <w:tr w14:paraId="128570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389" w:type="dxa"/>
            <w:vMerge w:val="continue"/>
            <w:tcBorders>
              <w:tl2br w:val="nil"/>
              <w:tr2bl w:val="nil"/>
            </w:tcBorders>
            <w:vAlign w:val="center"/>
          </w:tcPr>
          <w:p w14:paraId="09DF8269">
            <w:pPr>
              <w:pStyle w:val="41"/>
              <w:rPr>
                <w:color w:val="auto"/>
                <w:highlight w:val="none"/>
              </w:rPr>
            </w:pPr>
          </w:p>
        </w:tc>
        <w:tc>
          <w:tcPr>
            <w:tcW w:w="1010" w:type="dxa"/>
            <w:vMerge w:val="continue"/>
            <w:tcBorders>
              <w:tl2br w:val="nil"/>
              <w:tr2bl w:val="nil"/>
            </w:tcBorders>
            <w:vAlign w:val="center"/>
          </w:tcPr>
          <w:p w14:paraId="5E9AA0ED">
            <w:pPr>
              <w:pStyle w:val="41"/>
              <w:rPr>
                <w:color w:val="auto"/>
                <w:highlight w:val="none"/>
              </w:rPr>
            </w:pPr>
          </w:p>
        </w:tc>
        <w:tc>
          <w:tcPr>
            <w:tcW w:w="1037" w:type="dxa"/>
            <w:vMerge w:val="continue"/>
            <w:tcBorders>
              <w:tl2br w:val="nil"/>
              <w:tr2bl w:val="nil"/>
            </w:tcBorders>
            <w:vAlign w:val="center"/>
          </w:tcPr>
          <w:p w14:paraId="6D1C996F">
            <w:pPr>
              <w:pStyle w:val="41"/>
              <w:rPr>
                <w:color w:val="auto"/>
                <w:highlight w:val="none"/>
              </w:rPr>
            </w:pPr>
          </w:p>
        </w:tc>
        <w:tc>
          <w:tcPr>
            <w:tcW w:w="1793" w:type="dxa"/>
            <w:gridSpan w:val="3"/>
            <w:tcBorders>
              <w:tl2br w:val="nil"/>
              <w:tr2bl w:val="nil"/>
            </w:tcBorders>
            <w:vAlign w:val="center"/>
          </w:tcPr>
          <w:p w14:paraId="7D372265">
            <w:pPr>
              <w:pStyle w:val="41"/>
              <w:rPr>
                <w:color w:val="auto"/>
                <w:highlight w:val="none"/>
              </w:rPr>
            </w:pPr>
            <w:r>
              <w:rPr>
                <w:color w:val="auto"/>
                <w:highlight w:val="none"/>
              </w:rPr>
              <w:t>环境敏感目标分级</w:t>
            </w:r>
          </w:p>
        </w:tc>
        <w:tc>
          <w:tcPr>
            <w:tcW w:w="1218" w:type="dxa"/>
            <w:tcBorders>
              <w:tl2br w:val="nil"/>
              <w:tr2bl w:val="nil"/>
            </w:tcBorders>
            <w:vAlign w:val="center"/>
          </w:tcPr>
          <w:p w14:paraId="472F6C42">
            <w:pPr>
              <w:pStyle w:val="41"/>
              <w:rPr>
                <w:color w:val="auto"/>
                <w:highlight w:val="none"/>
              </w:rPr>
            </w:pPr>
            <w:r>
              <w:rPr>
                <w:color w:val="auto"/>
                <w:highlight w:val="none"/>
              </w:rPr>
              <w:t>S1□</w:t>
            </w:r>
          </w:p>
        </w:tc>
        <w:tc>
          <w:tcPr>
            <w:tcW w:w="1536" w:type="dxa"/>
            <w:gridSpan w:val="4"/>
            <w:tcBorders>
              <w:tl2br w:val="nil"/>
              <w:tr2bl w:val="nil"/>
            </w:tcBorders>
            <w:vAlign w:val="center"/>
          </w:tcPr>
          <w:p w14:paraId="01590BA7">
            <w:pPr>
              <w:pStyle w:val="41"/>
              <w:rPr>
                <w:color w:val="auto"/>
                <w:highlight w:val="none"/>
              </w:rPr>
            </w:pPr>
            <w:r>
              <w:rPr>
                <w:color w:val="auto"/>
                <w:highlight w:val="none"/>
              </w:rPr>
              <w:t>S2□</w:t>
            </w:r>
          </w:p>
        </w:tc>
        <w:tc>
          <w:tcPr>
            <w:tcW w:w="1533" w:type="dxa"/>
            <w:gridSpan w:val="3"/>
            <w:tcBorders>
              <w:tl2br w:val="nil"/>
              <w:tr2bl w:val="nil"/>
            </w:tcBorders>
            <w:vAlign w:val="center"/>
          </w:tcPr>
          <w:p w14:paraId="5020B9D1">
            <w:pPr>
              <w:pStyle w:val="41"/>
              <w:rPr>
                <w:color w:val="auto"/>
                <w:highlight w:val="none"/>
              </w:rPr>
            </w:pPr>
            <w:r>
              <w:rPr>
                <w:color w:val="auto"/>
                <w:highlight w:val="none"/>
              </w:rPr>
              <w:t>S3</w:t>
            </w:r>
            <w:r>
              <w:rPr>
                <w:color w:val="auto"/>
                <w:highlight w:val="none"/>
              </w:rPr>
              <w:sym w:font="Wingdings 2" w:char="00A3"/>
            </w:r>
          </w:p>
        </w:tc>
      </w:tr>
      <w:tr w14:paraId="6F1714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389" w:type="dxa"/>
            <w:vMerge w:val="continue"/>
            <w:tcBorders>
              <w:tl2br w:val="nil"/>
              <w:tr2bl w:val="nil"/>
            </w:tcBorders>
            <w:vAlign w:val="center"/>
          </w:tcPr>
          <w:p w14:paraId="244B0068">
            <w:pPr>
              <w:pStyle w:val="41"/>
              <w:rPr>
                <w:color w:val="auto"/>
                <w:highlight w:val="none"/>
              </w:rPr>
            </w:pPr>
          </w:p>
        </w:tc>
        <w:tc>
          <w:tcPr>
            <w:tcW w:w="1010" w:type="dxa"/>
            <w:vMerge w:val="continue"/>
            <w:tcBorders>
              <w:tl2br w:val="nil"/>
              <w:tr2bl w:val="nil"/>
            </w:tcBorders>
            <w:vAlign w:val="center"/>
          </w:tcPr>
          <w:p w14:paraId="6C5B5F5C">
            <w:pPr>
              <w:pStyle w:val="41"/>
              <w:rPr>
                <w:color w:val="auto"/>
                <w:highlight w:val="none"/>
              </w:rPr>
            </w:pPr>
          </w:p>
        </w:tc>
        <w:tc>
          <w:tcPr>
            <w:tcW w:w="1037" w:type="dxa"/>
            <w:vMerge w:val="restart"/>
            <w:tcBorders>
              <w:tl2br w:val="nil"/>
              <w:tr2bl w:val="nil"/>
            </w:tcBorders>
            <w:vAlign w:val="center"/>
          </w:tcPr>
          <w:p w14:paraId="08663480">
            <w:pPr>
              <w:pStyle w:val="41"/>
              <w:rPr>
                <w:color w:val="auto"/>
                <w:highlight w:val="none"/>
              </w:rPr>
            </w:pPr>
            <w:r>
              <w:rPr>
                <w:color w:val="auto"/>
                <w:highlight w:val="none"/>
              </w:rPr>
              <w:t>地下水</w:t>
            </w:r>
          </w:p>
        </w:tc>
        <w:tc>
          <w:tcPr>
            <w:tcW w:w="1793" w:type="dxa"/>
            <w:gridSpan w:val="3"/>
            <w:tcBorders>
              <w:tl2br w:val="nil"/>
              <w:tr2bl w:val="nil"/>
            </w:tcBorders>
            <w:vAlign w:val="center"/>
          </w:tcPr>
          <w:p w14:paraId="53F8D184">
            <w:pPr>
              <w:pStyle w:val="41"/>
              <w:rPr>
                <w:color w:val="auto"/>
                <w:highlight w:val="none"/>
              </w:rPr>
            </w:pPr>
            <w:r>
              <w:rPr>
                <w:color w:val="auto"/>
                <w:highlight w:val="none"/>
              </w:rPr>
              <w:t>地下水功能敏感性</w:t>
            </w:r>
          </w:p>
        </w:tc>
        <w:tc>
          <w:tcPr>
            <w:tcW w:w="1218" w:type="dxa"/>
            <w:tcBorders>
              <w:tl2br w:val="nil"/>
              <w:tr2bl w:val="nil"/>
            </w:tcBorders>
            <w:vAlign w:val="center"/>
          </w:tcPr>
          <w:p w14:paraId="0B8A8594">
            <w:pPr>
              <w:pStyle w:val="41"/>
              <w:rPr>
                <w:color w:val="auto"/>
                <w:highlight w:val="none"/>
              </w:rPr>
            </w:pPr>
            <w:r>
              <w:rPr>
                <w:color w:val="auto"/>
                <w:highlight w:val="none"/>
              </w:rPr>
              <w:t>G1□</w:t>
            </w:r>
          </w:p>
        </w:tc>
        <w:tc>
          <w:tcPr>
            <w:tcW w:w="1536" w:type="dxa"/>
            <w:gridSpan w:val="4"/>
            <w:tcBorders>
              <w:tl2br w:val="nil"/>
              <w:tr2bl w:val="nil"/>
            </w:tcBorders>
            <w:vAlign w:val="center"/>
          </w:tcPr>
          <w:p w14:paraId="5C334353">
            <w:pPr>
              <w:pStyle w:val="41"/>
              <w:rPr>
                <w:color w:val="auto"/>
                <w:highlight w:val="none"/>
              </w:rPr>
            </w:pPr>
            <w:r>
              <w:rPr>
                <w:color w:val="auto"/>
                <w:highlight w:val="none"/>
              </w:rPr>
              <w:t>G2□</w:t>
            </w:r>
          </w:p>
        </w:tc>
        <w:tc>
          <w:tcPr>
            <w:tcW w:w="1533" w:type="dxa"/>
            <w:gridSpan w:val="3"/>
            <w:tcBorders>
              <w:tl2br w:val="nil"/>
              <w:tr2bl w:val="nil"/>
            </w:tcBorders>
            <w:vAlign w:val="center"/>
          </w:tcPr>
          <w:p w14:paraId="35AAA8B6">
            <w:pPr>
              <w:pStyle w:val="41"/>
              <w:rPr>
                <w:color w:val="auto"/>
                <w:highlight w:val="none"/>
              </w:rPr>
            </w:pPr>
            <w:r>
              <w:rPr>
                <w:color w:val="auto"/>
                <w:highlight w:val="none"/>
              </w:rPr>
              <w:t>G3</w:t>
            </w:r>
            <w:r>
              <w:rPr>
                <w:color w:val="auto"/>
                <w:highlight w:val="none"/>
              </w:rPr>
              <w:sym w:font="Wingdings 2" w:char="00A3"/>
            </w:r>
          </w:p>
        </w:tc>
      </w:tr>
      <w:tr w14:paraId="56DF05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389" w:type="dxa"/>
            <w:vMerge w:val="continue"/>
            <w:tcBorders>
              <w:tl2br w:val="nil"/>
              <w:tr2bl w:val="nil"/>
            </w:tcBorders>
            <w:vAlign w:val="center"/>
          </w:tcPr>
          <w:p w14:paraId="637F150A">
            <w:pPr>
              <w:pStyle w:val="41"/>
              <w:rPr>
                <w:color w:val="auto"/>
                <w:highlight w:val="none"/>
              </w:rPr>
            </w:pPr>
          </w:p>
        </w:tc>
        <w:tc>
          <w:tcPr>
            <w:tcW w:w="1010" w:type="dxa"/>
            <w:vMerge w:val="continue"/>
            <w:tcBorders>
              <w:tl2br w:val="nil"/>
              <w:tr2bl w:val="nil"/>
            </w:tcBorders>
            <w:vAlign w:val="center"/>
          </w:tcPr>
          <w:p w14:paraId="1D571573">
            <w:pPr>
              <w:pStyle w:val="41"/>
              <w:rPr>
                <w:color w:val="auto"/>
                <w:highlight w:val="none"/>
              </w:rPr>
            </w:pPr>
          </w:p>
        </w:tc>
        <w:tc>
          <w:tcPr>
            <w:tcW w:w="1037" w:type="dxa"/>
            <w:vMerge w:val="continue"/>
            <w:tcBorders>
              <w:tl2br w:val="nil"/>
              <w:tr2bl w:val="nil"/>
            </w:tcBorders>
            <w:vAlign w:val="center"/>
          </w:tcPr>
          <w:p w14:paraId="30DE9713">
            <w:pPr>
              <w:pStyle w:val="41"/>
              <w:rPr>
                <w:color w:val="auto"/>
                <w:highlight w:val="none"/>
              </w:rPr>
            </w:pPr>
          </w:p>
        </w:tc>
        <w:tc>
          <w:tcPr>
            <w:tcW w:w="1793" w:type="dxa"/>
            <w:gridSpan w:val="3"/>
            <w:tcBorders>
              <w:tl2br w:val="nil"/>
              <w:tr2bl w:val="nil"/>
            </w:tcBorders>
            <w:vAlign w:val="center"/>
          </w:tcPr>
          <w:p w14:paraId="66567384">
            <w:pPr>
              <w:pStyle w:val="41"/>
              <w:rPr>
                <w:color w:val="auto"/>
                <w:highlight w:val="none"/>
              </w:rPr>
            </w:pPr>
            <w:r>
              <w:rPr>
                <w:color w:val="auto"/>
                <w:highlight w:val="none"/>
              </w:rPr>
              <w:t>包气带防污性能</w:t>
            </w:r>
          </w:p>
        </w:tc>
        <w:tc>
          <w:tcPr>
            <w:tcW w:w="1218" w:type="dxa"/>
            <w:tcBorders>
              <w:tl2br w:val="nil"/>
              <w:tr2bl w:val="nil"/>
            </w:tcBorders>
            <w:vAlign w:val="center"/>
          </w:tcPr>
          <w:p w14:paraId="1D9A70F6">
            <w:pPr>
              <w:pStyle w:val="41"/>
              <w:rPr>
                <w:color w:val="auto"/>
                <w:highlight w:val="none"/>
              </w:rPr>
            </w:pPr>
            <w:r>
              <w:rPr>
                <w:color w:val="auto"/>
                <w:highlight w:val="none"/>
              </w:rPr>
              <w:t>D1</w:t>
            </w:r>
            <w:r>
              <w:rPr>
                <w:color w:val="auto"/>
                <w:highlight w:val="none"/>
              </w:rPr>
              <w:sym w:font="Wingdings 2" w:char="00A3"/>
            </w:r>
          </w:p>
        </w:tc>
        <w:tc>
          <w:tcPr>
            <w:tcW w:w="1536" w:type="dxa"/>
            <w:gridSpan w:val="4"/>
            <w:tcBorders>
              <w:tl2br w:val="nil"/>
              <w:tr2bl w:val="nil"/>
            </w:tcBorders>
            <w:vAlign w:val="center"/>
          </w:tcPr>
          <w:p w14:paraId="48EC5752">
            <w:pPr>
              <w:pStyle w:val="41"/>
              <w:rPr>
                <w:color w:val="auto"/>
                <w:highlight w:val="none"/>
              </w:rPr>
            </w:pPr>
            <w:r>
              <w:rPr>
                <w:color w:val="auto"/>
                <w:highlight w:val="none"/>
              </w:rPr>
              <w:t>D2</w:t>
            </w:r>
            <w:r>
              <w:rPr>
                <w:color w:val="auto"/>
                <w:highlight w:val="none"/>
              </w:rPr>
              <w:sym w:font="Wingdings 2" w:char="00A3"/>
            </w:r>
          </w:p>
        </w:tc>
        <w:tc>
          <w:tcPr>
            <w:tcW w:w="1533" w:type="dxa"/>
            <w:gridSpan w:val="3"/>
            <w:tcBorders>
              <w:tl2br w:val="nil"/>
              <w:tr2bl w:val="nil"/>
            </w:tcBorders>
            <w:vAlign w:val="center"/>
          </w:tcPr>
          <w:p w14:paraId="2DDEC958">
            <w:pPr>
              <w:pStyle w:val="41"/>
              <w:rPr>
                <w:color w:val="auto"/>
                <w:highlight w:val="none"/>
              </w:rPr>
            </w:pPr>
            <w:r>
              <w:rPr>
                <w:color w:val="auto"/>
                <w:highlight w:val="none"/>
              </w:rPr>
              <w:t>D3□</w:t>
            </w:r>
          </w:p>
        </w:tc>
      </w:tr>
      <w:tr w14:paraId="18D5DCC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1399" w:type="dxa"/>
            <w:gridSpan w:val="2"/>
            <w:vMerge w:val="restart"/>
            <w:tcBorders>
              <w:tl2br w:val="nil"/>
              <w:tr2bl w:val="nil"/>
            </w:tcBorders>
            <w:vAlign w:val="center"/>
          </w:tcPr>
          <w:p w14:paraId="44E93CA6">
            <w:pPr>
              <w:pStyle w:val="41"/>
              <w:rPr>
                <w:color w:val="auto"/>
                <w:highlight w:val="none"/>
              </w:rPr>
            </w:pPr>
            <w:r>
              <w:rPr>
                <w:color w:val="auto"/>
                <w:highlight w:val="none"/>
              </w:rPr>
              <w:t>物质及工艺系统危险性</w:t>
            </w:r>
          </w:p>
        </w:tc>
        <w:tc>
          <w:tcPr>
            <w:tcW w:w="1037" w:type="dxa"/>
            <w:tcBorders>
              <w:tl2br w:val="nil"/>
              <w:tr2bl w:val="nil"/>
            </w:tcBorders>
            <w:vAlign w:val="center"/>
          </w:tcPr>
          <w:p w14:paraId="42C889BE">
            <w:pPr>
              <w:pStyle w:val="41"/>
              <w:rPr>
                <w:color w:val="auto"/>
                <w:highlight w:val="none"/>
              </w:rPr>
            </w:pPr>
            <w:r>
              <w:rPr>
                <w:color w:val="auto"/>
                <w:highlight w:val="none"/>
              </w:rPr>
              <w:t>Q值</w:t>
            </w:r>
          </w:p>
        </w:tc>
        <w:tc>
          <w:tcPr>
            <w:tcW w:w="1793" w:type="dxa"/>
            <w:gridSpan w:val="3"/>
            <w:tcBorders>
              <w:tl2br w:val="nil"/>
              <w:tr2bl w:val="nil"/>
            </w:tcBorders>
            <w:vAlign w:val="center"/>
          </w:tcPr>
          <w:p w14:paraId="225904E8">
            <w:pPr>
              <w:pStyle w:val="41"/>
              <w:rPr>
                <w:color w:val="auto"/>
                <w:highlight w:val="none"/>
              </w:rPr>
            </w:pPr>
            <w:r>
              <w:rPr>
                <w:color w:val="auto"/>
                <w:highlight w:val="none"/>
              </w:rPr>
              <w:t>Q＜1</w:t>
            </w:r>
            <w:r>
              <w:rPr>
                <w:rFonts w:hint="eastAsia"/>
                <w:color w:val="auto"/>
                <w:highlight w:val="none"/>
              </w:rPr>
              <w:t>☑</w:t>
            </w:r>
          </w:p>
        </w:tc>
        <w:tc>
          <w:tcPr>
            <w:tcW w:w="1218" w:type="dxa"/>
            <w:tcBorders>
              <w:tl2br w:val="nil"/>
              <w:tr2bl w:val="nil"/>
            </w:tcBorders>
            <w:vAlign w:val="center"/>
          </w:tcPr>
          <w:p w14:paraId="4C1E0BAD">
            <w:pPr>
              <w:pStyle w:val="41"/>
              <w:rPr>
                <w:color w:val="auto"/>
                <w:highlight w:val="none"/>
              </w:rPr>
            </w:pPr>
            <w:r>
              <w:rPr>
                <w:color w:val="auto"/>
                <w:highlight w:val="none"/>
              </w:rPr>
              <w:t>1≤Q＜10□</w:t>
            </w:r>
          </w:p>
        </w:tc>
        <w:tc>
          <w:tcPr>
            <w:tcW w:w="1536" w:type="dxa"/>
            <w:gridSpan w:val="4"/>
            <w:tcBorders>
              <w:tl2br w:val="nil"/>
              <w:tr2bl w:val="nil"/>
            </w:tcBorders>
            <w:vAlign w:val="center"/>
          </w:tcPr>
          <w:p w14:paraId="37B2CC0E">
            <w:pPr>
              <w:pStyle w:val="41"/>
              <w:rPr>
                <w:color w:val="auto"/>
                <w:highlight w:val="none"/>
              </w:rPr>
            </w:pPr>
            <w:r>
              <w:rPr>
                <w:color w:val="auto"/>
                <w:highlight w:val="none"/>
              </w:rPr>
              <w:t>10≤Q＜100</w:t>
            </w:r>
            <w:r>
              <w:rPr>
                <w:color w:val="auto"/>
                <w:highlight w:val="none"/>
              </w:rPr>
              <w:sym w:font="Wingdings 2" w:char="00A3"/>
            </w:r>
          </w:p>
        </w:tc>
        <w:tc>
          <w:tcPr>
            <w:tcW w:w="1533" w:type="dxa"/>
            <w:gridSpan w:val="3"/>
            <w:tcBorders>
              <w:tl2br w:val="nil"/>
              <w:tr2bl w:val="nil"/>
            </w:tcBorders>
            <w:vAlign w:val="center"/>
          </w:tcPr>
          <w:p w14:paraId="614B179D">
            <w:pPr>
              <w:pStyle w:val="41"/>
              <w:rPr>
                <w:color w:val="auto"/>
                <w:highlight w:val="none"/>
              </w:rPr>
            </w:pPr>
            <w:r>
              <w:rPr>
                <w:color w:val="auto"/>
                <w:highlight w:val="none"/>
              </w:rPr>
              <w:t>Q＞100□</w:t>
            </w:r>
          </w:p>
        </w:tc>
      </w:tr>
      <w:tr w14:paraId="605440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1399" w:type="dxa"/>
            <w:gridSpan w:val="2"/>
            <w:vMerge w:val="continue"/>
            <w:tcBorders>
              <w:tl2br w:val="nil"/>
              <w:tr2bl w:val="nil"/>
            </w:tcBorders>
            <w:vAlign w:val="center"/>
          </w:tcPr>
          <w:p w14:paraId="5F833945">
            <w:pPr>
              <w:pStyle w:val="41"/>
              <w:rPr>
                <w:color w:val="auto"/>
                <w:highlight w:val="none"/>
              </w:rPr>
            </w:pPr>
          </w:p>
        </w:tc>
        <w:tc>
          <w:tcPr>
            <w:tcW w:w="1037" w:type="dxa"/>
            <w:tcBorders>
              <w:tl2br w:val="nil"/>
              <w:tr2bl w:val="nil"/>
            </w:tcBorders>
            <w:vAlign w:val="center"/>
          </w:tcPr>
          <w:p w14:paraId="483905C0">
            <w:pPr>
              <w:pStyle w:val="41"/>
              <w:rPr>
                <w:color w:val="auto"/>
                <w:highlight w:val="none"/>
              </w:rPr>
            </w:pPr>
            <w:r>
              <w:rPr>
                <w:color w:val="auto"/>
                <w:highlight w:val="none"/>
              </w:rPr>
              <w:t>M值</w:t>
            </w:r>
          </w:p>
        </w:tc>
        <w:tc>
          <w:tcPr>
            <w:tcW w:w="1793" w:type="dxa"/>
            <w:gridSpan w:val="3"/>
            <w:tcBorders>
              <w:tl2br w:val="nil"/>
              <w:tr2bl w:val="nil"/>
            </w:tcBorders>
            <w:vAlign w:val="center"/>
          </w:tcPr>
          <w:p w14:paraId="4E9E6FFD">
            <w:pPr>
              <w:pStyle w:val="41"/>
              <w:rPr>
                <w:color w:val="auto"/>
                <w:highlight w:val="none"/>
              </w:rPr>
            </w:pPr>
            <w:r>
              <w:rPr>
                <w:color w:val="auto"/>
                <w:highlight w:val="none"/>
              </w:rPr>
              <w:t>M1□</w:t>
            </w:r>
          </w:p>
        </w:tc>
        <w:tc>
          <w:tcPr>
            <w:tcW w:w="1218" w:type="dxa"/>
            <w:tcBorders>
              <w:tl2br w:val="nil"/>
              <w:tr2bl w:val="nil"/>
            </w:tcBorders>
            <w:vAlign w:val="center"/>
          </w:tcPr>
          <w:p w14:paraId="2F3B2390">
            <w:pPr>
              <w:pStyle w:val="41"/>
              <w:rPr>
                <w:color w:val="auto"/>
                <w:highlight w:val="none"/>
              </w:rPr>
            </w:pPr>
            <w:r>
              <w:rPr>
                <w:color w:val="auto"/>
                <w:highlight w:val="none"/>
              </w:rPr>
              <w:t>M2</w:t>
            </w:r>
            <w:r>
              <w:rPr>
                <w:color w:val="auto"/>
                <w:highlight w:val="none"/>
              </w:rPr>
              <w:sym w:font="Wingdings 2" w:char="00A3"/>
            </w:r>
          </w:p>
        </w:tc>
        <w:tc>
          <w:tcPr>
            <w:tcW w:w="1536" w:type="dxa"/>
            <w:gridSpan w:val="4"/>
            <w:tcBorders>
              <w:tl2br w:val="nil"/>
              <w:tr2bl w:val="nil"/>
            </w:tcBorders>
            <w:vAlign w:val="center"/>
          </w:tcPr>
          <w:p w14:paraId="0AD01F50">
            <w:pPr>
              <w:pStyle w:val="41"/>
              <w:rPr>
                <w:color w:val="auto"/>
                <w:highlight w:val="none"/>
              </w:rPr>
            </w:pPr>
            <w:r>
              <w:rPr>
                <w:color w:val="auto"/>
                <w:highlight w:val="none"/>
              </w:rPr>
              <w:t>M3</w:t>
            </w:r>
            <w:r>
              <w:rPr>
                <w:color w:val="auto"/>
                <w:highlight w:val="none"/>
              </w:rPr>
              <w:sym w:font="Wingdings 2" w:char="00A3"/>
            </w:r>
          </w:p>
        </w:tc>
        <w:tc>
          <w:tcPr>
            <w:tcW w:w="1533" w:type="dxa"/>
            <w:gridSpan w:val="3"/>
            <w:tcBorders>
              <w:tl2br w:val="nil"/>
              <w:tr2bl w:val="nil"/>
            </w:tcBorders>
            <w:vAlign w:val="center"/>
          </w:tcPr>
          <w:p w14:paraId="6D4DE4ED">
            <w:pPr>
              <w:pStyle w:val="41"/>
              <w:rPr>
                <w:color w:val="auto"/>
                <w:highlight w:val="none"/>
              </w:rPr>
            </w:pPr>
            <w:r>
              <w:rPr>
                <w:color w:val="auto"/>
                <w:highlight w:val="none"/>
              </w:rPr>
              <w:t>M4</w:t>
            </w:r>
            <w:r>
              <w:rPr>
                <w:rFonts w:hint="eastAsia"/>
                <w:color w:val="auto"/>
                <w:highlight w:val="none"/>
              </w:rPr>
              <w:t>□</w:t>
            </w:r>
          </w:p>
        </w:tc>
      </w:tr>
      <w:tr w14:paraId="3ED913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1399" w:type="dxa"/>
            <w:gridSpan w:val="2"/>
            <w:vMerge w:val="continue"/>
            <w:tcBorders>
              <w:tl2br w:val="nil"/>
              <w:tr2bl w:val="nil"/>
            </w:tcBorders>
            <w:vAlign w:val="center"/>
          </w:tcPr>
          <w:p w14:paraId="1B28FDA0">
            <w:pPr>
              <w:pStyle w:val="41"/>
              <w:rPr>
                <w:color w:val="auto"/>
                <w:highlight w:val="none"/>
              </w:rPr>
            </w:pPr>
          </w:p>
        </w:tc>
        <w:tc>
          <w:tcPr>
            <w:tcW w:w="1037" w:type="dxa"/>
            <w:tcBorders>
              <w:tl2br w:val="nil"/>
              <w:tr2bl w:val="nil"/>
            </w:tcBorders>
            <w:vAlign w:val="center"/>
          </w:tcPr>
          <w:p w14:paraId="0E9695A1">
            <w:pPr>
              <w:pStyle w:val="41"/>
              <w:rPr>
                <w:color w:val="auto"/>
                <w:highlight w:val="none"/>
              </w:rPr>
            </w:pPr>
            <w:r>
              <w:rPr>
                <w:color w:val="auto"/>
                <w:highlight w:val="none"/>
              </w:rPr>
              <w:t>P值</w:t>
            </w:r>
          </w:p>
        </w:tc>
        <w:tc>
          <w:tcPr>
            <w:tcW w:w="1793" w:type="dxa"/>
            <w:gridSpan w:val="3"/>
            <w:tcBorders>
              <w:tl2br w:val="nil"/>
              <w:tr2bl w:val="nil"/>
            </w:tcBorders>
            <w:vAlign w:val="center"/>
          </w:tcPr>
          <w:p w14:paraId="41F7054C">
            <w:pPr>
              <w:pStyle w:val="41"/>
              <w:rPr>
                <w:color w:val="auto"/>
                <w:highlight w:val="none"/>
              </w:rPr>
            </w:pPr>
            <w:r>
              <w:rPr>
                <w:color w:val="auto"/>
                <w:highlight w:val="none"/>
              </w:rPr>
              <w:t>P1□</w:t>
            </w:r>
          </w:p>
        </w:tc>
        <w:tc>
          <w:tcPr>
            <w:tcW w:w="1218" w:type="dxa"/>
            <w:tcBorders>
              <w:tl2br w:val="nil"/>
              <w:tr2bl w:val="nil"/>
            </w:tcBorders>
            <w:vAlign w:val="center"/>
          </w:tcPr>
          <w:p w14:paraId="3C931D36">
            <w:pPr>
              <w:pStyle w:val="41"/>
              <w:rPr>
                <w:color w:val="auto"/>
                <w:highlight w:val="none"/>
              </w:rPr>
            </w:pPr>
            <w:r>
              <w:rPr>
                <w:color w:val="auto"/>
                <w:highlight w:val="none"/>
              </w:rPr>
              <w:t>P2□</w:t>
            </w:r>
          </w:p>
        </w:tc>
        <w:tc>
          <w:tcPr>
            <w:tcW w:w="1536" w:type="dxa"/>
            <w:gridSpan w:val="4"/>
            <w:tcBorders>
              <w:tl2br w:val="nil"/>
              <w:tr2bl w:val="nil"/>
            </w:tcBorders>
            <w:vAlign w:val="center"/>
          </w:tcPr>
          <w:p w14:paraId="72D469F8">
            <w:pPr>
              <w:pStyle w:val="41"/>
              <w:rPr>
                <w:color w:val="auto"/>
                <w:highlight w:val="none"/>
              </w:rPr>
            </w:pPr>
            <w:r>
              <w:rPr>
                <w:color w:val="auto"/>
                <w:highlight w:val="none"/>
              </w:rPr>
              <w:t>P3</w:t>
            </w:r>
            <w:r>
              <w:rPr>
                <w:color w:val="auto"/>
                <w:highlight w:val="none"/>
              </w:rPr>
              <w:sym w:font="Wingdings 2" w:char="00A3"/>
            </w:r>
          </w:p>
        </w:tc>
        <w:tc>
          <w:tcPr>
            <w:tcW w:w="1533" w:type="dxa"/>
            <w:gridSpan w:val="3"/>
            <w:tcBorders>
              <w:tl2br w:val="nil"/>
              <w:tr2bl w:val="nil"/>
            </w:tcBorders>
            <w:vAlign w:val="center"/>
          </w:tcPr>
          <w:p w14:paraId="59F248A0">
            <w:pPr>
              <w:pStyle w:val="41"/>
              <w:rPr>
                <w:color w:val="auto"/>
                <w:highlight w:val="none"/>
              </w:rPr>
            </w:pPr>
            <w:r>
              <w:rPr>
                <w:color w:val="auto"/>
                <w:highlight w:val="none"/>
              </w:rPr>
              <w:t>P4</w:t>
            </w:r>
            <w:r>
              <w:rPr>
                <w:rFonts w:hint="eastAsia"/>
                <w:color w:val="auto"/>
                <w:highlight w:val="none"/>
              </w:rPr>
              <w:t>□</w:t>
            </w:r>
          </w:p>
        </w:tc>
      </w:tr>
      <w:tr w14:paraId="310264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1399" w:type="dxa"/>
            <w:gridSpan w:val="2"/>
            <w:vMerge w:val="restart"/>
            <w:tcBorders>
              <w:tl2br w:val="nil"/>
              <w:tr2bl w:val="nil"/>
            </w:tcBorders>
            <w:vAlign w:val="center"/>
          </w:tcPr>
          <w:p w14:paraId="28DEDB05">
            <w:pPr>
              <w:pStyle w:val="41"/>
              <w:rPr>
                <w:color w:val="auto"/>
                <w:highlight w:val="none"/>
              </w:rPr>
            </w:pPr>
            <w:r>
              <w:rPr>
                <w:color w:val="auto"/>
                <w:highlight w:val="none"/>
              </w:rPr>
              <w:t>环境敏感程度</w:t>
            </w:r>
          </w:p>
        </w:tc>
        <w:tc>
          <w:tcPr>
            <w:tcW w:w="1037" w:type="dxa"/>
            <w:tcBorders>
              <w:tl2br w:val="nil"/>
              <w:tr2bl w:val="nil"/>
            </w:tcBorders>
            <w:vAlign w:val="center"/>
          </w:tcPr>
          <w:p w14:paraId="088519D3">
            <w:pPr>
              <w:pStyle w:val="41"/>
              <w:rPr>
                <w:color w:val="auto"/>
                <w:highlight w:val="none"/>
              </w:rPr>
            </w:pPr>
            <w:r>
              <w:rPr>
                <w:color w:val="auto"/>
                <w:highlight w:val="none"/>
              </w:rPr>
              <w:t>大气</w:t>
            </w:r>
          </w:p>
        </w:tc>
        <w:tc>
          <w:tcPr>
            <w:tcW w:w="1793" w:type="dxa"/>
            <w:gridSpan w:val="3"/>
            <w:tcBorders>
              <w:tl2br w:val="nil"/>
              <w:tr2bl w:val="nil"/>
            </w:tcBorders>
            <w:vAlign w:val="center"/>
          </w:tcPr>
          <w:p w14:paraId="753C604F">
            <w:pPr>
              <w:pStyle w:val="41"/>
              <w:rPr>
                <w:color w:val="auto"/>
                <w:highlight w:val="none"/>
              </w:rPr>
            </w:pPr>
            <w:r>
              <w:rPr>
                <w:color w:val="auto"/>
                <w:highlight w:val="none"/>
              </w:rPr>
              <w:t>E1□</w:t>
            </w:r>
          </w:p>
        </w:tc>
        <w:tc>
          <w:tcPr>
            <w:tcW w:w="2030" w:type="dxa"/>
            <w:gridSpan w:val="4"/>
            <w:tcBorders>
              <w:tl2br w:val="nil"/>
              <w:tr2bl w:val="nil"/>
            </w:tcBorders>
            <w:vAlign w:val="center"/>
          </w:tcPr>
          <w:p w14:paraId="28479A6E">
            <w:pPr>
              <w:pStyle w:val="41"/>
              <w:rPr>
                <w:color w:val="auto"/>
                <w:highlight w:val="none"/>
              </w:rPr>
            </w:pPr>
            <w:r>
              <w:rPr>
                <w:color w:val="auto"/>
                <w:highlight w:val="none"/>
              </w:rPr>
              <w:t>E2□</w:t>
            </w:r>
          </w:p>
        </w:tc>
        <w:tc>
          <w:tcPr>
            <w:tcW w:w="2257" w:type="dxa"/>
            <w:gridSpan w:val="4"/>
            <w:tcBorders>
              <w:tl2br w:val="nil"/>
              <w:tr2bl w:val="nil"/>
            </w:tcBorders>
            <w:vAlign w:val="center"/>
          </w:tcPr>
          <w:p w14:paraId="5DFC3ECF">
            <w:pPr>
              <w:pStyle w:val="41"/>
              <w:rPr>
                <w:color w:val="auto"/>
                <w:highlight w:val="none"/>
              </w:rPr>
            </w:pPr>
            <w:r>
              <w:rPr>
                <w:color w:val="auto"/>
                <w:highlight w:val="none"/>
              </w:rPr>
              <w:t>E3</w:t>
            </w:r>
            <w:r>
              <w:rPr>
                <w:color w:val="auto"/>
                <w:highlight w:val="none"/>
              </w:rPr>
              <w:sym w:font="Wingdings 2" w:char="00A3"/>
            </w:r>
          </w:p>
        </w:tc>
      </w:tr>
      <w:tr w14:paraId="7963BD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1399" w:type="dxa"/>
            <w:gridSpan w:val="2"/>
            <w:vMerge w:val="continue"/>
            <w:tcBorders>
              <w:tl2br w:val="nil"/>
              <w:tr2bl w:val="nil"/>
            </w:tcBorders>
            <w:vAlign w:val="center"/>
          </w:tcPr>
          <w:p w14:paraId="43DCA2F4">
            <w:pPr>
              <w:pStyle w:val="41"/>
              <w:rPr>
                <w:color w:val="auto"/>
                <w:highlight w:val="none"/>
              </w:rPr>
            </w:pPr>
          </w:p>
        </w:tc>
        <w:tc>
          <w:tcPr>
            <w:tcW w:w="1037" w:type="dxa"/>
            <w:tcBorders>
              <w:tl2br w:val="nil"/>
              <w:tr2bl w:val="nil"/>
            </w:tcBorders>
            <w:vAlign w:val="center"/>
          </w:tcPr>
          <w:p w14:paraId="02643247">
            <w:pPr>
              <w:pStyle w:val="41"/>
              <w:rPr>
                <w:color w:val="auto"/>
                <w:highlight w:val="none"/>
              </w:rPr>
            </w:pPr>
            <w:r>
              <w:rPr>
                <w:color w:val="auto"/>
                <w:highlight w:val="none"/>
              </w:rPr>
              <w:t>地表水</w:t>
            </w:r>
          </w:p>
        </w:tc>
        <w:tc>
          <w:tcPr>
            <w:tcW w:w="1793" w:type="dxa"/>
            <w:gridSpan w:val="3"/>
            <w:tcBorders>
              <w:tl2br w:val="nil"/>
              <w:tr2bl w:val="nil"/>
            </w:tcBorders>
            <w:vAlign w:val="center"/>
          </w:tcPr>
          <w:p w14:paraId="58E973C8">
            <w:pPr>
              <w:pStyle w:val="41"/>
              <w:rPr>
                <w:color w:val="auto"/>
                <w:highlight w:val="none"/>
              </w:rPr>
            </w:pPr>
            <w:r>
              <w:rPr>
                <w:color w:val="auto"/>
                <w:highlight w:val="none"/>
              </w:rPr>
              <w:t>E1□</w:t>
            </w:r>
          </w:p>
        </w:tc>
        <w:tc>
          <w:tcPr>
            <w:tcW w:w="2030" w:type="dxa"/>
            <w:gridSpan w:val="4"/>
            <w:tcBorders>
              <w:tl2br w:val="nil"/>
              <w:tr2bl w:val="nil"/>
            </w:tcBorders>
            <w:vAlign w:val="center"/>
          </w:tcPr>
          <w:p w14:paraId="0F0B9D06">
            <w:pPr>
              <w:pStyle w:val="41"/>
              <w:rPr>
                <w:color w:val="auto"/>
                <w:highlight w:val="none"/>
              </w:rPr>
            </w:pPr>
            <w:r>
              <w:rPr>
                <w:color w:val="auto"/>
                <w:highlight w:val="none"/>
              </w:rPr>
              <w:t>E2□</w:t>
            </w:r>
          </w:p>
        </w:tc>
        <w:tc>
          <w:tcPr>
            <w:tcW w:w="2257" w:type="dxa"/>
            <w:gridSpan w:val="4"/>
            <w:tcBorders>
              <w:tl2br w:val="nil"/>
              <w:tr2bl w:val="nil"/>
            </w:tcBorders>
            <w:vAlign w:val="center"/>
          </w:tcPr>
          <w:p w14:paraId="4B939FBC">
            <w:pPr>
              <w:pStyle w:val="41"/>
              <w:rPr>
                <w:color w:val="auto"/>
                <w:highlight w:val="none"/>
              </w:rPr>
            </w:pPr>
            <w:r>
              <w:rPr>
                <w:color w:val="auto"/>
                <w:highlight w:val="none"/>
              </w:rPr>
              <w:t>E3</w:t>
            </w:r>
            <w:r>
              <w:rPr>
                <w:color w:val="auto"/>
                <w:highlight w:val="none"/>
              </w:rPr>
              <w:sym w:font="Wingdings 2" w:char="00A3"/>
            </w:r>
          </w:p>
        </w:tc>
      </w:tr>
      <w:tr w14:paraId="348DB0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1399" w:type="dxa"/>
            <w:gridSpan w:val="2"/>
            <w:vMerge w:val="continue"/>
            <w:tcBorders>
              <w:tl2br w:val="nil"/>
              <w:tr2bl w:val="nil"/>
            </w:tcBorders>
            <w:vAlign w:val="center"/>
          </w:tcPr>
          <w:p w14:paraId="0273290C">
            <w:pPr>
              <w:pStyle w:val="41"/>
              <w:rPr>
                <w:color w:val="auto"/>
                <w:highlight w:val="none"/>
              </w:rPr>
            </w:pPr>
          </w:p>
        </w:tc>
        <w:tc>
          <w:tcPr>
            <w:tcW w:w="1037" w:type="dxa"/>
            <w:tcBorders>
              <w:tl2br w:val="nil"/>
              <w:tr2bl w:val="nil"/>
            </w:tcBorders>
            <w:vAlign w:val="center"/>
          </w:tcPr>
          <w:p w14:paraId="16FA7120">
            <w:pPr>
              <w:pStyle w:val="41"/>
              <w:rPr>
                <w:color w:val="auto"/>
                <w:highlight w:val="none"/>
              </w:rPr>
            </w:pPr>
            <w:r>
              <w:rPr>
                <w:color w:val="auto"/>
                <w:highlight w:val="none"/>
              </w:rPr>
              <w:t>地下水</w:t>
            </w:r>
          </w:p>
        </w:tc>
        <w:tc>
          <w:tcPr>
            <w:tcW w:w="1793" w:type="dxa"/>
            <w:gridSpan w:val="3"/>
            <w:tcBorders>
              <w:tl2br w:val="nil"/>
              <w:tr2bl w:val="nil"/>
            </w:tcBorders>
            <w:vAlign w:val="center"/>
          </w:tcPr>
          <w:p w14:paraId="20D2A236">
            <w:pPr>
              <w:pStyle w:val="41"/>
              <w:rPr>
                <w:color w:val="auto"/>
                <w:highlight w:val="none"/>
              </w:rPr>
            </w:pPr>
            <w:r>
              <w:rPr>
                <w:color w:val="auto"/>
                <w:highlight w:val="none"/>
              </w:rPr>
              <w:t>E1□</w:t>
            </w:r>
          </w:p>
        </w:tc>
        <w:tc>
          <w:tcPr>
            <w:tcW w:w="2030" w:type="dxa"/>
            <w:gridSpan w:val="4"/>
            <w:tcBorders>
              <w:tl2br w:val="nil"/>
              <w:tr2bl w:val="nil"/>
            </w:tcBorders>
            <w:vAlign w:val="center"/>
          </w:tcPr>
          <w:p w14:paraId="4BA5A3F8">
            <w:pPr>
              <w:pStyle w:val="41"/>
              <w:rPr>
                <w:color w:val="auto"/>
                <w:highlight w:val="none"/>
              </w:rPr>
            </w:pPr>
            <w:r>
              <w:rPr>
                <w:color w:val="auto"/>
                <w:highlight w:val="none"/>
              </w:rPr>
              <w:t>E2</w:t>
            </w:r>
            <w:r>
              <w:rPr>
                <w:color w:val="auto"/>
                <w:highlight w:val="none"/>
              </w:rPr>
              <w:sym w:font="Wingdings 2" w:char="00A3"/>
            </w:r>
          </w:p>
        </w:tc>
        <w:tc>
          <w:tcPr>
            <w:tcW w:w="2257" w:type="dxa"/>
            <w:gridSpan w:val="4"/>
            <w:tcBorders>
              <w:tl2br w:val="nil"/>
              <w:tr2bl w:val="nil"/>
            </w:tcBorders>
            <w:vAlign w:val="center"/>
          </w:tcPr>
          <w:p w14:paraId="2C903D55">
            <w:pPr>
              <w:pStyle w:val="41"/>
              <w:rPr>
                <w:color w:val="auto"/>
                <w:highlight w:val="none"/>
              </w:rPr>
            </w:pPr>
            <w:r>
              <w:rPr>
                <w:color w:val="auto"/>
                <w:highlight w:val="none"/>
              </w:rPr>
              <w:t>E3</w:t>
            </w:r>
            <w:r>
              <w:rPr>
                <w:color w:val="auto"/>
                <w:highlight w:val="none"/>
              </w:rPr>
              <w:sym w:font="Wingdings 2" w:char="00A3"/>
            </w:r>
          </w:p>
        </w:tc>
      </w:tr>
      <w:tr w14:paraId="202D364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1399" w:type="dxa"/>
            <w:gridSpan w:val="2"/>
            <w:tcBorders>
              <w:tl2br w:val="nil"/>
              <w:tr2bl w:val="nil"/>
            </w:tcBorders>
            <w:vAlign w:val="center"/>
          </w:tcPr>
          <w:p w14:paraId="3AB38207">
            <w:pPr>
              <w:pStyle w:val="41"/>
              <w:rPr>
                <w:color w:val="auto"/>
                <w:highlight w:val="none"/>
              </w:rPr>
            </w:pPr>
            <w:r>
              <w:rPr>
                <w:color w:val="auto"/>
                <w:highlight w:val="none"/>
              </w:rPr>
              <w:t>环境风险潜势</w:t>
            </w:r>
          </w:p>
        </w:tc>
        <w:tc>
          <w:tcPr>
            <w:tcW w:w="1347" w:type="dxa"/>
            <w:gridSpan w:val="2"/>
            <w:tcBorders>
              <w:tl2br w:val="nil"/>
              <w:tr2bl w:val="nil"/>
            </w:tcBorders>
            <w:vAlign w:val="center"/>
          </w:tcPr>
          <w:p w14:paraId="139020C2">
            <w:pPr>
              <w:pStyle w:val="41"/>
              <w:rPr>
                <w:color w:val="auto"/>
                <w:highlight w:val="none"/>
              </w:rPr>
            </w:pPr>
            <w:r>
              <w:rPr>
                <w:color w:val="auto"/>
                <w:highlight w:val="none"/>
              </w:rPr>
              <w:t>Ⅳ+□</w:t>
            </w:r>
          </w:p>
        </w:tc>
        <w:tc>
          <w:tcPr>
            <w:tcW w:w="1483" w:type="dxa"/>
            <w:gridSpan w:val="2"/>
            <w:tcBorders>
              <w:tl2br w:val="nil"/>
              <w:tr2bl w:val="nil"/>
            </w:tcBorders>
            <w:vAlign w:val="center"/>
          </w:tcPr>
          <w:p w14:paraId="1B4580A1">
            <w:pPr>
              <w:pStyle w:val="41"/>
              <w:rPr>
                <w:color w:val="auto"/>
                <w:highlight w:val="none"/>
              </w:rPr>
            </w:pPr>
            <w:r>
              <w:rPr>
                <w:color w:val="auto"/>
                <w:highlight w:val="none"/>
              </w:rPr>
              <w:t>Ⅳ</w:t>
            </w:r>
            <w:r>
              <w:rPr>
                <w:color w:val="auto"/>
                <w:highlight w:val="none"/>
              </w:rPr>
              <w:sym w:font="Wingdings 2" w:char="00A3"/>
            </w:r>
          </w:p>
        </w:tc>
        <w:tc>
          <w:tcPr>
            <w:tcW w:w="1281" w:type="dxa"/>
            <w:gridSpan w:val="2"/>
            <w:tcBorders>
              <w:tl2br w:val="nil"/>
              <w:tr2bl w:val="nil"/>
            </w:tcBorders>
            <w:vAlign w:val="center"/>
          </w:tcPr>
          <w:p w14:paraId="54646546">
            <w:pPr>
              <w:pStyle w:val="41"/>
              <w:rPr>
                <w:color w:val="auto"/>
                <w:highlight w:val="none"/>
              </w:rPr>
            </w:pPr>
            <w:r>
              <w:rPr>
                <w:color w:val="auto"/>
                <w:highlight w:val="none"/>
              </w:rPr>
              <w:t>Ⅲ</w:t>
            </w:r>
            <w:r>
              <w:rPr>
                <w:color w:val="auto"/>
                <w:highlight w:val="none"/>
              </w:rPr>
              <w:sym w:font="Wingdings 2" w:char="00A3"/>
            </w:r>
          </w:p>
        </w:tc>
        <w:tc>
          <w:tcPr>
            <w:tcW w:w="1512" w:type="dxa"/>
            <w:gridSpan w:val="4"/>
            <w:tcBorders>
              <w:tl2br w:val="nil"/>
              <w:tr2bl w:val="nil"/>
            </w:tcBorders>
            <w:vAlign w:val="center"/>
          </w:tcPr>
          <w:p w14:paraId="2A8DFE88">
            <w:pPr>
              <w:pStyle w:val="41"/>
              <w:rPr>
                <w:color w:val="auto"/>
                <w:highlight w:val="none"/>
              </w:rPr>
            </w:pPr>
            <w:r>
              <w:rPr>
                <w:color w:val="auto"/>
                <w:highlight w:val="none"/>
              </w:rPr>
              <w:t>Ⅱ</w:t>
            </w:r>
            <w:r>
              <w:rPr>
                <w:color w:val="auto"/>
                <w:highlight w:val="none"/>
              </w:rPr>
              <w:sym w:font="Wingdings 2" w:char="00A3"/>
            </w:r>
          </w:p>
        </w:tc>
        <w:tc>
          <w:tcPr>
            <w:tcW w:w="1494" w:type="dxa"/>
            <w:gridSpan w:val="2"/>
            <w:tcBorders>
              <w:tl2br w:val="nil"/>
              <w:tr2bl w:val="nil"/>
            </w:tcBorders>
            <w:vAlign w:val="center"/>
          </w:tcPr>
          <w:p w14:paraId="246A618D">
            <w:pPr>
              <w:pStyle w:val="41"/>
              <w:rPr>
                <w:color w:val="auto"/>
                <w:highlight w:val="none"/>
              </w:rPr>
            </w:pPr>
            <w:r>
              <w:rPr>
                <w:color w:val="auto"/>
                <w:highlight w:val="none"/>
              </w:rPr>
              <w:t>I</w:t>
            </w:r>
            <w:r>
              <w:rPr>
                <w:rFonts w:hint="eastAsia"/>
                <w:color w:val="auto"/>
                <w:highlight w:val="none"/>
              </w:rPr>
              <w:t>☑</w:t>
            </w:r>
          </w:p>
        </w:tc>
      </w:tr>
      <w:tr w14:paraId="4C3DC7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1399" w:type="dxa"/>
            <w:gridSpan w:val="2"/>
            <w:tcBorders>
              <w:tl2br w:val="nil"/>
              <w:tr2bl w:val="nil"/>
            </w:tcBorders>
            <w:vAlign w:val="center"/>
          </w:tcPr>
          <w:p w14:paraId="01879298">
            <w:pPr>
              <w:pStyle w:val="41"/>
              <w:rPr>
                <w:color w:val="auto"/>
                <w:highlight w:val="none"/>
              </w:rPr>
            </w:pPr>
            <w:r>
              <w:rPr>
                <w:color w:val="auto"/>
                <w:highlight w:val="none"/>
              </w:rPr>
              <w:t>评价等级</w:t>
            </w:r>
          </w:p>
        </w:tc>
        <w:tc>
          <w:tcPr>
            <w:tcW w:w="2830" w:type="dxa"/>
            <w:gridSpan w:val="4"/>
            <w:tcBorders>
              <w:tl2br w:val="nil"/>
              <w:tr2bl w:val="nil"/>
            </w:tcBorders>
            <w:vAlign w:val="center"/>
          </w:tcPr>
          <w:p w14:paraId="490F740F">
            <w:pPr>
              <w:pStyle w:val="41"/>
              <w:rPr>
                <w:color w:val="auto"/>
                <w:highlight w:val="none"/>
              </w:rPr>
            </w:pPr>
            <w:r>
              <w:rPr>
                <w:color w:val="auto"/>
                <w:highlight w:val="none"/>
              </w:rPr>
              <w:t>一级</w:t>
            </w:r>
            <w:r>
              <w:rPr>
                <w:color w:val="auto"/>
                <w:highlight w:val="none"/>
              </w:rPr>
              <w:sym w:font="Wingdings 2" w:char="00A3"/>
            </w:r>
          </w:p>
        </w:tc>
        <w:tc>
          <w:tcPr>
            <w:tcW w:w="1281" w:type="dxa"/>
            <w:gridSpan w:val="2"/>
            <w:tcBorders>
              <w:tl2br w:val="nil"/>
              <w:tr2bl w:val="nil"/>
            </w:tcBorders>
            <w:vAlign w:val="center"/>
          </w:tcPr>
          <w:p w14:paraId="70E44F0B">
            <w:pPr>
              <w:pStyle w:val="41"/>
              <w:rPr>
                <w:color w:val="auto"/>
                <w:highlight w:val="none"/>
              </w:rPr>
            </w:pPr>
            <w:r>
              <w:rPr>
                <w:color w:val="auto"/>
                <w:highlight w:val="none"/>
              </w:rPr>
              <w:t>二级</w:t>
            </w:r>
            <w:r>
              <w:rPr>
                <w:color w:val="auto"/>
                <w:highlight w:val="none"/>
              </w:rPr>
              <w:sym w:font="Wingdings 2" w:char="00A3"/>
            </w:r>
          </w:p>
        </w:tc>
        <w:tc>
          <w:tcPr>
            <w:tcW w:w="1512" w:type="dxa"/>
            <w:gridSpan w:val="4"/>
            <w:tcBorders>
              <w:tl2br w:val="nil"/>
              <w:tr2bl w:val="nil"/>
            </w:tcBorders>
            <w:vAlign w:val="center"/>
          </w:tcPr>
          <w:p w14:paraId="01B95E5F">
            <w:pPr>
              <w:pStyle w:val="41"/>
              <w:rPr>
                <w:color w:val="auto"/>
                <w:highlight w:val="none"/>
              </w:rPr>
            </w:pPr>
            <w:r>
              <w:rPr>
                <w:color w:val="auto"/>
                <w:highlight w:val="none"/>
              </w:rPr>
              <w:t>三级</w:t>
            </w:r>
            <w:r>
              <w:rPr>
                <w:color w:val="auto"/>
                <w:highlight w:val="none"/>
              </w:rPr>
              <w:sym w:font="Wingdings 2" w:char="00A3"/>
            </w:r>
          </w:p>
        </w:tc>
        <w:tc>
          <w:tcPr>
            <w:tcW w:w="1494" w:type="dxa"/>
            <w:gridSpan w:val="2"/>
            <w:tcBorders>
              <w:tl2br w:val="nil"/>
              <w:tr2bl w:val="nil"/>
            </w:tcBorders>
            <w:vAlign w:val="center"/>
          </w:tcPr>
          <w:p w14:paraId="3F662247">
            <w:pPr>
              <w:pStyle w:val="41"/>
              <w:rPr>
                <w:color w:val="auto"/>
                <w:highlight w:val="none"/>
              </w:rPr>
            </w:pPr>
            <w:r>
              <w:rPr>
                <w:color w:val="auto"/>
                <w:highlight w:val="none"/>
              </w:rPr>
              <w:t>简单分析</w:t>
            </w:r>
            <w:r>
              <w:rPr>
                <w:rFonts w:hint="eastAsia"/>
                <w:color w:val="auto"/>
                <w:highlight w:val="none"/>
              </w:rPr>
              <w:t>☑</w:t>
            </w:r>
          </w:p>
        </w:tc>
      </w:tr>
      <w:tr w14:paraId="119067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389" w:type="dxa"/>
            <w:vMerge w:val="restart"/>
            <w:tcBorders>
              <w:tl2br w:val="nil"/>
              <w:tr2bl w:val="nil"/>
            </w:tcBorders>
            <w:vAlign w:val="center"/>
          </w:tcPr>
          <w:p w14:paraId="79168696">
            <w:pPr>
              <w:pStyle w:val="41"/>
              <w:rPr>
                <w:color w:val="auto"/>
                <w:highlight w:val="none"/>
              </w:rPr>
            </w:pPr>
            <w:r>
              <w:rPr>
                <w:color w:val="auto"/>
                <w:highlight w:val="none"/>
              </w:rPr>
              <w:t>风险识别</w:t>
            </w:r>
          </w:p>
        </w:tc>
        <w:tc>
          <w:tcPr>
            <w:tcW w:w="1010" w:type="dxa"/>
            <w:tcBorders>
              <w:tl2br w:val="nil"/>
              <w:tr2bl w:val="nil"/>
            </w:tcBorders>
            <w:vAlign w:val="center"/>
          </w:tcPr>
          <w:p w14:paraId="70362B17">
            <w:pPr>
              <w:pStyle w:val="41"/>
              <w:rPr>
                <w:color w:val="auto"/>
                <w:highlight w:val="none"/>
              </w:rPr>
            </w:pPr>
            <w:r>
              <w:rPr>
                <w:color w:val="auto"/>
                <w:highlight w:val="none"/>
              </w:rPr>
              <w:t>物质危险性</w:t>
            </w:r>
          </w:p>
        </w:tc>
        <w:tc>
          <w:tcPr>
            <w:tcW w:w="2830" w:type="dxa"/>
            <w:gridSpan w:val="4"/>
            <w:tcBorders>
              <w:tl2br w:val="nil"/>
              <w:tr2bl w:val="nil"/>
            </w:tcBorders>
            <w:vAlign w:val="center"/>
          </w:tcPr>
          <w:p w14:paraId="69200245">
            <w:pPr>
              <w:pStyle w:val="41"/>
              <w:rPr>
                <w:color w:val="auto"/>
                <w:highlight w:val="none"/>
              </w:rPr>
            </w:pPr>
            <w:r>
              <w:rPr>
                <w:color w:val="auto"/>
                <w:highlight w:val="none"/>
              </w:rPr>
              <w:t>有毒有害</w:t>
            </w:r>
            <w:r>
              <w:rPr>
                <w:color w:val="auto"/>
                <w:highlight w:val="none"/>
              </w:rPr>
              <w:sym w:font="Wingdings 2" w:char="0052"/>
            </w:r>
          </w:p>
        </w:tc>
        <w:tc>
          <w:tcPr>
            <w:tcW w:w="4287" w:type="dxa"/>
            <w:gridSpan w:val="8"/>
            <w:tcBorders>
              <w:tl2br w:val="nil"/>
              <w:tr2bl w:val="nil"/>
            </w:tcBorders>
            <w:vAlign w:val="center"/>
          </w:tcPr>
          <w:p w14:paraId="0C040715">
            <w:pPr>
              <w:pStyle w:val="41"/>
              <w:rPr>
                <w:color w:val="auto"/>
                <w:highlight w:val="none"/>
              </w:rPr>
            </w:pPr>
            <w:r>
              <w:rPr>
                <w:color w:val="auto"/>
                <w:highlight w:val="none"/>
              </w:rPr>
              <w:t>易燃易爆</w:t>
            </w:r>
            <w:r>
              <w:rPr>
                <w:color w:val="auto"/>
                <w:highlight w:val="none"/>
              </w:rPr>
              <w:sym w:font="Wingdings 2" w:char="0052"/>
            </w:r>
          </w:p>
        </w:tc>
      </w:tr>
      <w:tr w14:paraId="381692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389" w:type="dxa"/>
            <w:vMerge w:val="continue"/>
            <w:tcBorders>
              <w:tl2br w:val="nil"/>
              <w:tr2bl w:val="nil"/>
            </w:tcBorders>
            <w:vAlign w:val="center"/>
          </w:tcPr>
          <w:p w14:paraId="6BD8CBEB">
            <w:pPr>
              <w:pStyle w:val="41"/>
              <w:rPr>
                <w:color w:val="auto"/>
                <w:highlight w:val="none"/>
              </w:rPr>
            </w:pPr>
          </w:p>
        </w:tc>
        <w:tc>
          <w:tcPr>
            <w:tcW w:w="1010" w:type="dxa"/>
            <w:tcBorders>
              <w:tl2br w:val="nil"/>
              <w:tr2bl w:val="nil"/>
            </w:tcBorders>
            <w:vAlign w:val="center"/>
          </w:tcPr>
          <w:p w14:paraId="7713DE5E">
            <w:pPr>
              <w:pStyle w:val="41"/>
              <w:rPr>
                <w:color w:val="auto"/>
                <w:highlight w:val="none"/>
              </w:rPr>
            </w:pPr>
            <w:r>
              <w:rPr>
                <w:color w:val="auto"/>
                <w:highlight w:val="none"/>
              </w:rPr>
              <w:t>环境风险类型</w:t>
            </w:r>
          </w:p>
        </w:tc>
        <w:tc>
          <w:tcPr>
            <w:tcW w:w="2830" w:type="dxa"/>
            <w:gridSpan w:val="4"/>
            <w:tcBorders>
              <w:tl2br w:val="nil"/>
              <w:tr2bl w:val="nil"/>
            </w:tcBorders>
            <w:vAlign w:val="center"/>
          </w:tcPr>
          <w:p w14:paraId="5046C0D9">
            <w:pPr>
              <w:pStyle w:val="41"/>
              <w:rPr>
                <w:color w:val="auto"/>
                <w:highlight w:val="none"/>
              </w:rPr>
            </w:pPr>
            <w:r>
              <w:rPr>
                <w:color w:val="auto"/>
                <w:highlight w:val="none"/>
              </w:rPr>
              <w:t>泄漏</w:t>
            </w:r>
            <w:r>
              <w:rPr>
                <w:color w:val="auto"/>
                <w:highlight w:val="none"/>
              </w:rPr>
              <w:sym w:font="Wingdings 2" w:char="0052"/>
            </w:r>
          </w:p>
        </w:tc>
        <w:tc>
          <w:tcPr>
            <w:tcW w:w="4287" w:type="dxa"/>
            <w:gridSpan w:val="8"/>
            <w:tcBorders>
              <w:tl2br w:val="nil"/>
              <w:tr2bl w:val="nil"/>
            </w:tcBorders>
            <w:vAlign w:val="center"/>
          </w:tcPr>
          <w:p w14:paraId="456112AF">
            <w:pPr>
              <w:pStyle w:val="41"/>
              <w:rPr>
                <w:color w:val="auto"/>
                <w:highlight w:val="none"/>
              </w:rPr>
            </w:pPr>
            <w:r>
              <w:rPr>
                <w:color w:val="auto"/>
                <w:highlight w:val="none"/>
              </w:rPr>
              <w:t>火灾、爆炸引发伴生/次生污染物排放</w:t>
            </w:r>
            <w:r>
              <w:rPr>
                <w:color w:val="auto"/>
                <w:highlight w:val="none"/>
              </w:rPr>
              <w:sym w:font="Wingdings 2" w:char="0052"/>
            </w:r>
          </w:p>
        </w:tc>
      </w:tr>
      <w:tr w14:paraId="7B9871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389" w:type="dxa"/>
            <w:vMerge w:val="continue"/>
            <w:tcBorders>
              <w:tl2br w:val="nil"/>
              <w:tr2bl w:val="nil"/>
            </w:tcBorders>
            <w:vAlign w:val="center"/>
          </w:tcPr>
          <w:p w14:paraId="550C6F6A">
            <w:pPr>
              <w:pStyle w:val="41"/>
              <w:rPr>
                <w:color w:val="auto"/>
                <w:highlight w:val="none"/>
              </w:rPr>
            </w:pPr>
          </w:p>
        </w:tc>
        <w:tc>
          <w:tcPr>
            <w:tcW w:w="1010" w:type="dxa"/>
            <w:tcBorders>
              <w:tl2br w:val="nil"/>
              <w:tr2bl w:val="nil"/>
            </w:tcBorders>
            <w:vAlign w:val="center"/>
          </w:tcPr>
          <w:p w14:paraId="591B1484">
            <w:pPr>
              <w:pStyle w:val="41"/>
              <w:rPr>
                <w:color w:val="auto"/>
                <w:highlight w:val="none"/>
              </w:rPr>
            </w:pPr>
            <w:r>
              <w:rPr>
                <w:color w:val="auto"/>
                <w:highlight w:val="none"/>
              </w:rPr>
              <w:t>影响途径</w:t>
            </w:r>
          </w:p>
        </w:tc>
        <w:tc>
          <w:tcPr>
            <w:tcW w:w="2830" w:type="dxa"/>
            <w:gridSpan w:val="4"/>
            <w:tcBorders>
              <w:tl2br w:val="nil"/>
              <w:tr2bl w:val="nil"/>
            </w:tcBorders>
            <w:vAlign w:val="center"/>
          </w:tcPr>
          <w:p w14:paraId="7EEEF214">
            <w:pPr>
              <w:pStyle w:val="41"/>
              <w:rPr>
                <w:color w:val="auto"/>
                <w:highlight w:val="none"/>
              </w:rPr>
            </w:pPr>
            <w:r>
              <w:rPr>
                <w:color w:val="auto"/>
                <w:highlight w:val="none"/>
              </w:rPr>
              <w:t>大气</w:t>
            </w:r>
            <w:r>
              <w:rPr>
                <w:color w:val="auto"/>
                <w:highlight w:val="none"/>
              </w:rPr>
              <w:sym w:font="Wingdings 2" w:char="0052"/>
            </w:r>
          </w:p>
        </w:tc>
        <w:tc>
          <w:tcPr>
            <w:tcW w:w="1897" w:type="dxa"/>
            <w:gridSpan w:val="3"/>
            <w:tcBorders>
              <w:tl2br w:val="nil"/>
              <w:tr2bl w:val="nil"/>
            </w:tcBorders>
            <w:vAlign w:val="center"/>
          </w:tcPr>
          <w:p w14:paraId="2FC9D936">
            <w:pPr>
              <w:pStyle w:val="41"/>
              <w:rPr>
                <w:color w:val="auto"/>
                <w:highlight w:val="none"/>
              </w:rPr>
            </w:pPr>
            <w:r>
              <w:rPr>
                <w:color w:val="auto"/>
                <w:highlight w:val="none"/>
              </w:rPr>
              <w:t>地表水</w:t>
            </w:r>
            <w:r>
              <w:rPr>
                <w:color w:val="auto"/>
                <w:highlight w:val="none"/>
              </w:rPr>
              <w:sym w:font="Wingdings 2" w:char="00A3"/>
            </w:r>
          </w:p>
        </w:tc>
        <w:tc>
          <w:tcPr>
            <w:tcW w:w="2390" w:type="dxa"/>
            <w:gridSpan w:val="5"/>
            <w:tcBorders>
              <w:tl2br w:val="nil"/>
              <w:tr2bl w:val="nil"/>
            </w:tcBorders>
            <w:vAlign w:val="center"/>
          </w:tcPr>
          <w:p w14:paraId="6D9EAE7A">
            <w:pPr>
              <w:pStyle w:val="41"/>
              <w:rPr>
                <w:color w:val="auto"/>
                <w:highlight w:val="none"/>
              </w:rPr>
            </w:pPr>
            <w:r>
              <w:rPr>
                <w:color w:val="auto"/>
                <w:highlight w:val="none"/>
              </w:rPr>
              <w:t>地下水</w:t>
            </w:r>
            <w:r>
              <w:rPr>
                <w:color w:val="auto"/>
                <w:highlight w:val="none"/>
              </w:rPr>
              <w:sym w:font="Wingdings 2" w:char="0052"/>
            </w:r>
          </w:p>
        </w:tc>
      </w:tr>
      <w:tr w14:paraId="510E7B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1399" w:type="dxa"/>
            <w:gridSpan w:val="2"/>
            <w:tcBorders>
              <w:tl2br w:val="nil"/>
              <w:tr2bl w:val="nil"/>
            </w:tcBorders>
            <w:vAlign w:val="center"/>
          </w:tcPr>
          <w:p w14:paraId="224962E0">
            <w:pPr>
              <w:pStyle w:val="41"/>
              <w:rPr>
                <w:color w:val="auto"/>
                <w:highlight w:val="none"/>
              </w:rPr>
            </w:pPr>
            <w:r>
              <w:rPr>
                <w:color w:val="auto"/>
                <w:highlight w:val="none"/>
              </w:rPr>
              <w:t>事故情形</w:t>
            </w:r>
          </w:p>
          <w:p w14:paraId="746302D0">
            <w:pPr>
              <w:pStyle w:val="41"/>
              <w:rPr>
                <w:color w:val="auto"/>
                <w:highlight w:val="none"/>
              </w:rPr>
            </w:pPr>
            <w:r>
              <w:rPr>
                <w:color w:val="auto"/>
                <w:highlight w:val="none"/>
              </w:rPr>
              <w:t>分析</w:t>
            </w:r>
          </w:p>
        </w:tc>
        <w:tc>
          <w:tcPr>
            <w:tcW w:w="1037" w:type="dxa"/>
            <w:tcBorders>
              <w:tl2br w:val="nil"/>
              <w:tr2bl w:val="nil"/>
            </w:tcBorders>
            <w:vAlign w:val="center"/>
          </w:tcPr>
          <w:p w14:paraId="156FE4CB">
            <w:pPr>
              <w:pStyle w:val="41"/>
              <w:rPr>
                <w:color w:val="auto"/>
                <w:highlight w:val="none"/>
              </w:rPr>
            </w:pPr>
            <w:r>
              <w:rPr>
                <w:color w:val="auto"/>
                <w:highlight w:val="none"/>
              </w:rPr>
              <w:t>源强设定方法</w:t>
            </w:r>
          </w:p>
        </w:tc>
        <w:tc>
          <w:tcPr>
            <w:tcW w:w="1793" w:type="dxa"/>
            <w:gridSpan w:val="3"/>
            <w:tcBorders>
              <w:tl2br w:val="nil"/>
              <w:tr2bl w:val="nil"/>
            </w:tcBorders>
            <w:vAlign w:val="center"/>
          </w:tcPr>
          <w:p w14:paraId="00A903B6">
            <w:pPr>
              <w:pStyle w:val="41"/>
              <w:rPr>
                <w:color w:val="auto"/>
                <w:highlight w:val="none"/>
              </w:rPr>
            </w:pPr>
            <w:r>
              <w:rPr>
                <w:color w:val="auto"/>
                <w:highlight w:val="none"/>
              </w:rPr>
              <w:t>计算法</w:t>
            </w:r>
            <w:r>
              <w:rPr>
                <w:color w:val="auto"/>
                <w:highlight w:val="none"/>
              </w:rPr>
              <w:sym w:font="Wingdings 2" w:char="00A3"/>
            </w:r>
          </w:p>
        </w:tc>
        <w:tc>
          <w:tcPr>
            <w:tcW w:w="1897" w:type="dxa"/>
            <w:gridSpan w:val="3"/>
            <w:tcBorders>
              <w:tl2br w:val="nil"/>
              <w:tr2bl w:val="nil"/>
            </w:tcBorders>
            <w:vAlign w:val="center"/>
          </w:tcPr>
          <w:p w14:paraId="6F0006ED">
            <w:pPr>
              <w:pStyle w:val="41"/>
              <w:rPr>
                <w:color w:val="auto"/>
                <w:highlight w:val="none"/>
              </w:rPr>
            </w:pPr>
            <w:r>
              <w:rPr>
                <w:color w:val="auto"/>
                <w:highlight w:val="none"/>
              </w:rPr>
              <w:t>经验估算法□</w:t>
            </w:r>
          </w:p>
        </w:tc>
        <w:tc>
          <w:tcPr>
            <w:tcW w:w="2390" w:type="dxa"/>
            <w:gridSpan w:val="5"/>
            <w:tcBorders>
              <w:tl2br w:val="nil"/>
              <w:tr2bl w:val="nil"/>
            </w:tcBorders>
            <w:vAlign w:val="center"/>
          </w:tcPr>
          <w:p w14:paraId="6F169992">
            <w:pPr>
              <w:pStyle w:val="41"/>
              <w:rPr>
                <w:color w:val="auto"/>
                <w:highlight w:val="none"/>
              </w:rPr>
            </w:pPr>
            <w:r>
              <w:rPr>
                <w:color w:val="auto"/>
                <w:highlight w:val="none"/>
              </w:rPr>
              <w:t>其他估算法</w:t>
            </w:r>
            <w:r>
              <w:rPr>
                <w:color w:val="auto"/>
                <w:highlight w:val="none"/>
              </w:rPr>
              <w:sym w:font="Wingdings 2" w:char="00A3"/>
            </w:r>
          </w:p>
        </w:tc>
      </w:tr>
      <w:tr w14:paraId="475918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389" w:type="dxa"/>
            <w:vMerge w:val="restart"/>
            <w:tcBorders>
              <w:tl2br w:val="nil"/>
              <w:tr2bl w:val="nil"/>
            </w:tcBorders>
            <w:vAlign w:val="center"/>
          </w:tcPr>
          <w:p w14:paraId="33B57071">
            <w:pPr>
              <w:pStyle w:val="41"/>
              <w:rPr>
                <w:color w:val="auto"/>
                <w:highlight w:val="none"/>
              </w:rPr>
            </w:pPr>
            <w:r>
              <w:rPr>
                <w:color w:val="auto"/>
                <w:highlight w:val="none"/>
              </w:rPr>
              <w:t>风险预测与评价</w:t>
            </w:r>
          </w:p>
        </w:tc>
        <w:tc>
          <w:tcPr>
            <w:tcW w:w="1010" w:type="dxa"/>
            <w:vMerge w:val="restart"/>
            <w:tcBorders>
              <w:tl2br w:val="nil"/>
              <w:tr2bl w:val="nil"/>
            </w:tcBorders>
            <w:vAlign w:val="center"/>
          </w:tcPr>
          <w:p w14:paraId="52A7791D">
            <w:pPr>
              <w:pStyle w:val="41"/>
              <w:rPr>
                <w:color w:val="auto"/>
                <w:highlight w:val="none"/>
              </w:rPr>
            </w:pPr>
            <w:r>
              <w:rPr>
                <w:color w:val="auto"/>
                <w:highlight w:val="none"/>
              </w:rPr>
              <w:t>大气</w:t>
            </w:r>
          </w:p>
        </w:tc>
        <w:tc>
          <w:tcPr>
            <w:tcW w:w="1037" w:type="dxa"/>
            <w:tcBorders>
              <w:tl2br w:val="nil"/>
              <w:tr2bl w:val="nil"/>
            </w:tcBorders>
            <w:vAlign w:val="center"/>
          </w:tcPr>
          <w:p w14:paraId="7DDE341C">
            <w:pPr>
              <w:pStyle w:val="41"/>
              <w:rPr>
                <w:color w:val="auto"/>
                <w:highlight w:val="none"/>
              </w:rPr>
            </w:pPr>
            <w:r>
              <w:rPr>
                <w:color w:val="auto"/>
                <w:highlight w:val="none"/>
              </w:rPr>
              <w:t>预测模型</w:t>
            </w:r>
          </w:p>
        </w:tc>
        <w:tc>
          <w:tcPr>
            <w:tcW w:w="1793" w:type="dxa"/>
            <w:gridSpan w:val="3"/>
            <w:tcBorders>
              <w:tl2br w:val="nil"/>
              <w:tr2bl w:val="nil"/>
            </w:tcBorders>
            <w:vAlign w:val="center"/>
          </w:tcPr>
          <w:p w14:paraId="50820990">
            <w:pPr>
              <w:pStyle w:val="41"/>
              <w:rPr>
                <w:color w:val="auto"/>
                <w:highlight w:val="none"/>
              </w:rPr>
            </w:pPr>
            <w:r>
              <w:rPr>
                <w:color w:val="auto"/>
                <w:highlight w:val="none"/>
              </w:rPr>
              <w:t>SLAB</w:t>
            </w:r>
            <w:r>
              <w:rPr>
                <w:color w:val="auto"/>
                <w:highlight w:val="none"/>
              </w:rPr>
              <w:sym w:font="Wingdings 2" w:char="00A3"/>
            </w:r>
          </w:p>
        </w:tc>
        <w:tc>
          <w:tcPr>
            <w:tcW w:w="1897" w:type="dxa"/>
            <w:gridSpan w:val="3"/>
            <w:tcBorders>
              <w:tl2br w:val="nil"/>
              <w:tr2bl w:val="nil"/>
            </w:tcBorders>
            <w:vAlign w:val="center"/>
          </w:tcPr>
          <w:p w14:paraId="27B5A8AA">
            <w:pPr>
              <w:pStyle w:val="41"/>
              <w:rPr>
                <w:color w:val="auto"/>
                <w:highlight w:val="none"/>
              </w:rPr>
            </w:pPr>
            <w:r>
              <w:rPr>
                <w:color w:val="auto"/>
                <w:highlight w:val="none"/>
              </w:rPr>
              <w:t>AFTOX</w:t>
            </w:r>
            <w:r>
              <w:rPr>
                <w:color w:val="auto"/>
                <w:highlight w:val="none"/>
              </w:rPr>
              <w:sym w:font="Wingdings 2" w:char="00A3"/>
            </w:r>
          </w:p>
        </w:tc>
        <w:tc>
          <w:tcPr>
            <w:tcW w:w="2390" w:type="dxa"/>
            <w:gridSpan w:val="5"/>
            <w:tcBorders>
              <w:tl2br w:val="nil"/>
              <w:tr2bl w:val="nil"/>
            </w:tcBorders>
            <w:vAlign w:val="center"/>
          </w:tcPr>
          <w:p w14:paraId="7F1442F1">
            <w:pPr>
              <w:pStyle w:val="41"/>
              <w:rPr>
                <w:color w:val="auto"/>
                <w:highlight w:val="none"/>
              </w:rPr>
            </w:pPr>
            <w:r>
              <w:rPr>
                <w:color w:val="auto"/>
                <w:highlight w:val="none"/>
              </w:rPr>
              <w:t>其他</w:t>
            </w:r>
            <w:r>
              <w:rPr>
                <w:color w:val="auto"/>
                <w:highlight w:val="none"/>
              </w:rPr>
              <w:sym w:font="Wingdings 2" w:char="00A3"/>
            </w:r>
          </w:p>
        </w:tc>
      </w:tr>
      <w:tr w14:paraId="2DA0EF2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389" w:type="dxa"/>
            <w:vMerge w:val="continue"/>
            <w:tcBorders>
              <w:tl2br w:val="nil"/>
              <w:tr2bl w:val="nil"/>
            </w:tcBorders>
            <w:vAlign w:val="center"/>
          </w:tcPr>
          <w:p w14:paraId="4019570D">
            <w:pPr>
              <w:pStyle w:val="41"/>
              <w:rPr>
                <w:color w:val="auto"/>
                <w:highlight w:val="none"/>
              </w:rPr>
            </w:pPr>
          </w:p>
        </w:tc>
        <w:tc>
          <w:tcPr>
            <w:tcW w:w="1010" w:type="dxa"/>
            <w:vMerge w:val="continue"/>
            <w:tcBorders>
              <w:tl2br w:val="nil"/>
              <w:tr2bl w:val="nil"/>
            </w:tcBorders>
            <w:vAlign w:val="center"/>
          </w:tcPr>
          <w:p w14:paraId="272D5AC0">
            <w:pPr>
              <w:pStyle w:val="41"/>
              <w:rPr>
                <w:color w:val="auto"/>
                <w:highlight w:val="none"/>
              </w:rPr>
            </w:pPr>
          </w:p>
        </w:tc>
        <w:tc>
          <w:tcPr>
            <w:tcW w:w="1037" w:type="dxa"/>
            <w:vMerge w:val="restart"/>
            <w:tcBorders>
              <w:tl2br w:val="nil"/>
              <w:tr2bl w:val="nil"/>
            </w:tcBorders>
            <w:vAlign w:val="center"/>
          </w:tcPr>
          <w:p w14:paraId="11FF471A">
            <w:pPr>
              <w:pStyle w:val="41"/>
              <w:rPr>
                <w:color w:val="auto"/>
                <w:highlight w:val="none"/>
              </w:rPr>
            </w:pPr>
            <w:r>
              <w:rPr>
                <w:color w:val="auto"/>
                <w:highlight w:val="none"/>
              </w:rPr>
              <w:t>预测结果（最不利气象）</w:t>
            </w:r>
          </w:p>
        </w:tc>
        <w:tc>
          <w:tcPr>
            <w:tcW w:w="1793" w:type="dxa"/>
            <w:gridSpan w:val="3"/>
            <w:vMerge w:val="restart"/>
            <w:tcBorders>
              <w:tl2br w:val="nil"/>
              <w:tr2bl w:val="nil"/>
            </w:tcBorders>
            <w:vAlign w:val="center"/>
          </w:tcPr>
          <w:p w14:paraId="095771A3">
            <w:pPr>
              <w:pStyle w:val="41"/>
              <w:rPr>
                <w:color w:val="auto"/>
                <w:highlight w:val="none"/>
              </w:rPr>
            </w:pPr>
            <w:r>
              <w:rPr>
                <w:color w:val="auto"/>
                <w:highlight w:val="none"/>
              </w:rPr>
              <w:t>/</w:t>
            </w:r>
          </w:p>
        </w:tc>
        <w:tc>
          <w:tcPr>
            <w:tcW w:w="4287" w:type="dxa"/>
            <w:gridSpan w:val="8"/>
            <w:tcBorders>
              <w:tl2br w:val="nil"/>
              <w:tr2bl w:val="nil"/>
            </w:tcBorders>
            <w:vAlign w:val="center"/>
          </w:tcPr>
          <w:p w14:paraId="7AAF2EBC">
            <w:pPr>
              <w:pStyle w:val="41"/>
              <w:rPr>
                <w:color w:val="auto"/>
                <w:highlight w:val="none"/>
              </w:rPr>
            </w:pPr>
            <w:r>
              <w:rPr>
                <w:color w:val="auto"/>
                <w:highlight w:val="none"/>
              </w:rPr>
              <w:t>大气毒性终点浓度-1  最大影响范围  / m</w:t>
            </w:r>
          </w:p>
        </w:tc>
      </w:tr>
      <w:tr w14:paraId="45C400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389" w:type="dxa"/>
            <w:vMerge w:val="continue"/>
            <w:tcBorders>
              <w:tl2br w:val="nil"/>
              <w:tr2bl w:val="nil"/>
            </w:tcBorders>
            <w:vAlign w:val="center"/>
          </w:tcPr>
          <w:p w14:paraId="1203E452">
            <w:pPr>
              <w:pStyle w:val="41"/>
              <w:rPr>
                <w:color w:val="auto"/>
                <w:highlight w:val="none"/>
              </w:rPr>
            </w:pPr>
          </w:p>
        </w:tc>
        <w:tc>
          <w:tcPr>
            <w:tcW w:w="1010" w:type="dxa"/>
            <w:vMerge w:val="continue"/>
            <w:tcBorders>
              <w:tl2br w:val="nil"/>
              <w:tr2bl w:val="nil"/>
            </w:tcBorders>
            <w:vAlign w:val="center"/>
          </w:tcPr>
          <w:p w14:paraId="3A5ACAE6">
            <w:pPr>
              <w:pStyle w:val="41"/>
              <w:rPr>
                <w:color w:val="auto"/>
                <w:highlight w:val="none"/>
              </w:rPr>
            </w:pPr>
          </w:p>
        </w:tc>
        <w:tc>
          <w:tcPr>
            <w:tcW w:w="1037" w:type="dxa"/>
            <w:vMerge w:val="continue"/>
            <w:tcBorders>
              <w:tl2br w:val="nil"/>
              <w:tr2bl w:val="nil"/>
            </w:tcBorders>
            <w:vAlign w:val="center"/>
          </w:tcPr>
          <w:p w14:paraId="48269A5E">
            <w:pPr>
              <w:pStyle w:val="41"/>
              <w:rPr>
                <w:color w:val="auto"/>
                <w:highlight w:val="none"/>
              </w:rPr>
            </w:pPr>
          </w:p>
        </w:tc>
        <w:tc>
          <w:tcPr>
            <w:tcW w:w="1793" w:type="dxa"/>
            <w:gridSpan w:val="3"/>
            <w:vMerge w:val="continue"/>
            <w:tcBorders>
              <w:tl2br w:val="nil"/>
              <w:tr2bl w:val="nil"/>
            </w:tcBorders>
            <w:vAlign w:val="center"/>
          </w:tcPr>
          <w:p w14:paraId="0BFCE690">
            <w:pPr>
              <w:pStyle w:val="41"/>
              <w:rPr>
                <w:color w:val="auto"/>
                <w:highlight w:val="none"/>
              </w:rPr>
            </w:pPr>
          </w:p>
        </w:tc>
        <w:tc>
          <w:tcPr>
            <w:tcW w:w="4287" w:type="dxa"/>
            <w:gridSpan w:val="8"/>
            <w:tcBorders>
              <w:tl2br w:val="nil"/>
              <w:tr2bl w:val="nil"/>
            </w:tcBorders>
            <w:vAlign w:val="center"/>
          </w:tcPr>
          <w:p w14:paraId="0025D0B3">
            <w:pPr>
              <w:pStyle w:val="41"/>
              <w:rPr>
                <w:color w:val="auto"/>
                <w:highlight w:val="none"/>
              </w:rPr>
            </w:pPr>
            <w:r>
              <w:rPr>
                <w:color w:val="auto"/>
                <w:highlight w:val="none"/>
              </w:rPr>
              <w:t>大气毒性终点浓度-2  最大影响范围  / m</w:t>
            </w:r>
          </w:p>
        </w:tc>
      </w:tr>
      <w:tr w14:paraId="517BA5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389" w:type="dxa"/>
            <w:vMerge w:val="continue"/>
            <w:tcBorders>
              <w:tl2br w:val="nil"/>
              <w:tr2bl w:val="nil"/>
            </w:tcBorders>
            <w:vAlign w:val="center"/>
          </w:tcPr>
          <w:p w14:paraId="0B6169EA">
            <w:pPr>
              <w:pStyle w:val="41"/>
              <w:rPr>
                <w:color w:val="auto"/>
                <w:highlight w:val="none"/>
              </w:rPr>
            </w:pPr>
          </w:p>
        </w:tc>
        <w:tc>
          <w:tcPr>
            <w:tcW w:w="1010" w:type="dxa"/>
            <w:vMerge w:val="continue"/>
            <w:tcBorders>
              <w:tl2br w:val="nil"/>
              <w:tr2bl w:val="nil"/>
            </w:tcBorders>
            <w:vAlign w:val="center"/>
          </w:tcPr>
          <w:p w14:paraId="3328F925">
            <w:pPr>
              <w:pStyle w:val="41"/>
              <w:rPr>
                <w:color w:val="auto"/>
                <w:highlight w:val="none"/>
              </w:rPr>
            </w:pPr>
          </w:p>
        </w:tc>
        <w:tc>
          <w:tcPr>
            <w:tcW w:w="1037" w:type="dxa"/>
            <w:vMerge w:val="restart"/>
            <w:tcBorders>
              <w:tl2br w:val="nil"/>
              <w:tr2bl w:val="nil"/>
            </w:tcBorders>
            <w:vAlign w:val="center"/>
          </w:tcPr>
          <w:p w14:paraId="45EAD0B1">
            <w:pPr>
              <w:pStyle w:val="41"/>
              <w:rPr>
                <w:color w:val="auto"/>
                <w:highlight w:val="none"/>
              </w:rPr>
            </w:pPr>
            <w:r>
              <w:rPr>
                <w:color w:val="auto"/>
                <w:highlight w:val="none"/>
              </w:rPr>
              <w:t>预测结果（最常见气象）</w:t>
            </w:r>
          </w:p>
        </w:tc>
        <w:tc>
          <w:tcPr>
            <w:tcW w:w="1793" w:type="dxa"/>
            <w:gridSpan w:val="3"/>
            <w:vMerge w:val="restart"/>
            <w:tcBorders>
              <w:tl2br w:val="nil"/>
              <w:tr2bl w:val="nil"/>
            </w:tcBorders>
            <w:vAlign w:val="center"/>
          </w:tcPr>
          <w:p w14:paraId="5C54DE61">
            <w:pPr>
              <w:pStyle w:val="41"/>
              <w:rPr>
                <w:color w:val="auto"/>
                <w:highlight w:val="none"/>
              </w:rPr>
            </w:pPr>
            <w:r>
              <w:rPr>
                <w:color w:val="auto"/>
                <w:highlight w:val="none"/>
              </w:rPr>
              <w:t>/</w:t>
            </w:r>
          </w:p>
        </w:tc>
        <w:tc>
          <w:tcPr>
            <w:tcW w:w="4287" w:type="dxa"/>
            <w:gridSpan w:val="8"/>
            <w:tcBorders>
              <w:tl2br w:val="nil"/>
              <w:tr2bl w:val="nil"/>
            </w:tcBorders>
            <w:vAlign w:val="center"/>
          </w:tcPr>
          <w:p w14:paraId="3EE42567">
            <w:pPr>
              <w:pStyle w:val="41"/>
              <w:rPr>
                <w:color w:val="auto"/>
                <w:highlight w:val="none"/>
              </w:rPr>
            </w:pPr>
            <w:r>
              <w:rPr>
                <w:color w:val="auto"/>
                <w:highlight w:val="none"/>
              </w:rPr>
              <w:t>大气毒性终点浓度-1  最大影响范围  / m</w:t>
            </w:r>
          </w:p>
        </w:tc>
      </w:tr>
      <w:tr w14:paraId="7809E5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389" w:type="dxa"/>
            <w:vMerge w:val="continue"/>
            <w:tcBorders>
              <w:tl2br w:val="nil"/>
              <w:tr2bl w:val="nil"/>
            </w:tcBorders>
            <w:vAlign w:val="center"/>
          </w:tcPr>
          <w:p w14:paraId="0F77CC40">
            <w:pPr>
              <w:pStyle w:val="41"/>
              <w:rPr>
                <w:color w:val="auto"/>
                <w:highlight w:val="none"/>
              </w:rPr>
            </w:pPr>
          </w:p>
        </w:tc>
        <w:tc>
          <w:tcPr>
            <w:tcW w:w="1010" w:type="dxa"/>
            <w:vMerge w:val="continue"/>
            <w:tcBorders>
              <w:tl2br w:val="nil"/>
              <w:tr2bl w:val="nil"/>
            </w:tcBorders>
            <w:vAlign w:val="center"/>
          </w:tcPr>
          <w:p w14:paraId="01E375A4">
            <w:pPr>
              <w:pStyle w:val="41"/>
              <w:rPr>
                <w:color w:val="auto"/>
                <w:highlight w:val="none"/>
              </w:rPr>
            </w:pPr>
          </w:p>
        </w:tc>
        <w:tc>
          <w:tcPr>
            <w:tcW w:w="1037" w:type="dxa"/>
            <w:vMerge w:val="continue"/>
            <w:tcBorders>
              <w:tl2br w:val="nil"/>
              <w:tr2bl w:val="nil"/>
            </w:tcBorders>
            <w:vAlign w:val="center"/>
          </w:tcPr>
          <w:p w14:paraId="0E24C582">
            <w:pPr>
              <w:pStyle w:val="41"/>
              <w:rPr>
                <w:color w:val="auto"/>
                <w:highlight w:val="none"/>
              </w:rPr>
            </w:pPr>
          </w:p>
        </w:tc>
        <w:tc>
          <w:tcPr>
            <w:tcW w:w="1793" w:type="dxa"/>
            <w:gridSpan w:val="3"/>
            <w:vMerge w:val="continue"/>
            <w:tcBorders>
              <w:tl2br w:val="nil"/>
              <w:tr2bl w:val="nil"/>
            </w:tcBorders>
            <w:vAlign w:val="center"/>
          </w:tcPr>
          <w:p w14:paraId="33B9D729">
            <w:pPr>
              <w:pStyle w:val="41"/>
              <w:rPr>
                <w:color w:val="auto"/>
                <w:highlight w:val="none"/>
              </w:rPr>
            </w:pPr>
          </w:p>
        </w:tc>
        <w:tc>
          <w:tcPr>
            <w:tcW w:w="4287" w:type="dxa"/>
            <w:gridSpan w:val="8"/>
            <w:tcBorders>
              <w:tl2br w:val="nil"/>
              <w:tr2bl w:val="nil"/>
            </w:tcBorders>
            <w:vAlign w:val="center"/>
          </w:tcPr>
          <w:p w14:paraId="7B7FFC95">
            <w:pPr>
              <w:pStyle w:val="41"/>
              <w:rPr>
                <w:color w:val="auto"/>
                <w:highlight w:val="none"/>
              </w:rPr>
            </w:pPr>
            <w:r>
              <w:rPr>
                <w:color w:val="auto"/>
                <w:highlight w:val="none"/>
              </w:rPr>
              <w:t>大气毒性终点浓度-2  最大影响范围  / m</w:t>
            </w:r>
          </w:p>
        </w:tc>
      </w:tr>
      <w:tr w14:paraId="6DD0E7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389" w:type="dxa"/>
            <w:vMerge w:val="continue"/>
            <w:tcBorders>
              <w:tl2br w:val="nil"/>
              <w:tr2bl w:val="nil"/>
            </w:tcBorders>
            <w:vAlign w:val="center"/>
          </w:tcPr>
          <w:p w14:paraId="2EADA617">
            <w:pPr>
              <w:pStyle w:val="41"/>
              <w:rPr>
                <w:color w:val="auto"/>
                <w:highlight w:val="none"/>
              </w:rPr>
            </w:pPr>
          </w:p>
        </w:tc>
        <w:tc>
          <w:tcPr>
            <w:tcW w:w="1010" w:type="dxa"/>
            <w:tcBorders>
              <w:tl2br w:val="nil"/>
              <w:tr2bl w:val="nil"/>
            </w:tcBorders>
            <w:vAlign w:val="center"/>
          </w:tcPr>
          <w:p w14:paraId="56C99D57">
            <w:pPr>
              <w:pStyle w:val="41"/>
              <w:rPr>
                <w:color w:val="auto"/>
                <w:highlight w:val="none"/>
              </w:rPr>
            </w:pPr>
            <w:r>
              <w:rPr>
                <w:color w:val="auto"/>
                <w:highlight w:val="none"/>
              </w:rPr>
              <w:t>地表水</w:t>
            </w:r>
          </w:p>
        </w:tc>
        <w:tc>
          <w:tcPr>
            <w:tcW w:w="7117" w:type="dxa"/>
            <w:gridSpan w:val="12"/>
            <w:tcBorders>
              <w:tl2br w:val="nil"/>
              <w:tr2bl w:val="nil"/>
            </w:tcBorders>
            <w:vAlign w:val="center"/>
          </w:tcPr>
          <w:p w14:paraId="0FA5FC68">
            <w:pPr>
              <w:pStyle w:val="41"/>
              <w:rPr>
                <w:color w:val="auto"/>
                <w:highlight w:val="none"/>
              </w:rPr>
            </w:pPr>
            <w:r>
              <w:rPr>
                <w:color w:val="auto"/>
                <w:highlight w:val="none"/>
              </w:rPr>
              <w:t>最近环境敏感目标：  ；到达时间：   。</w:t>
            </w:r>
          </w:p>
        </w:tc>
      </w:tr>
      <w:tr w14:paraId="74BA28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389" w:type="dxa"/>
            <w:vMerge w:val="continue"/>
            <w:tcBorders>
              <w:tl2br w:val="nil"/>
              <w:tr2bl w:val="nil"/>
            </w:tcBorders>
            <w:vAlign w:val="center"/>
          </w:tcPr>
          <w:p w14:paraId="024F7719">
            <w:pPr>
              <w:pStyle w:val="41"/>
              <w:rPr>
                <w:color w:val="auto"/>
                <w:highlight w:val="none"/>
              </w:rPr>
            </w:pPr>
          </w:p>
        </w:tc>
        <w:tc>
          <w:tcPr>
            <w:tcW w:w="1010" w:type="dxa"/>
            <w:vMerge w:val="restart"/>
            <w:tcBorders>
              <w:tl2br w:val="nil"/>
              <w:tr2bl w:val="nil"/>
            </w:tcBorders>
            <w:vAlign w:val="center"/>
          </w:tcPr>
          <w:p w14:paraId="3D98A52B">
            <w:pPr>
              <w:pStyle w:val="41"/>
              <w:rPr>
                <w:color w:val="auto"/>
                <w:highlight w:val="none"/>
              </w:rPr>
            </w:pPr>
            <w:r>
              <w:rPr>
                <w:color w:val="auto"/>
                <w:highlight w:val="none"/>
              </w:rPr>
              <w:t>地下水</w:t>
            </w:r>
          </w:p>
        </w:tc>
        <w:tc>
          <w:tcPr>
            <w:tcW w:w="7117" w:type="dxa"/>
            <w:gridSpan w:val="12"/>
            <w:tcBorders>
              <w:tl2br w:val="nil"/>
              <w:tr2bl w:val="nil"/>
            </w:tcBorders>
            <w:vAlign w:val="center"/>
          </w:tcPr>
          <w:p w14:paraId="2405271C">
            <w:pPr>
              <w:pStyle w:val="41"/>
              <w:rPr>
                <w:color w:val="auto"/>
                <w:highlight w:val="none"/>
              </w:rPr>
            </w:pPr>
            <w:r>
              <w:rPr>
                <w:color w:val="auto"/>
                <w:highlight w:val="none"/>
              </w:rPr>
              <w:t>下游厂区边界到达时间：</w:t>
            </w:r>
          </w:p>
        </w:tc>
      </w:tr>
      <w:tr w14:paraId="641FCA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389" w:type="dxa"/>
            <w:vMerge w:val="continue"/>
            <w:tcBorders>
              <w:tl2br w:val="nil"/>
              <w:tr2bl w:val="nil"/>
            </w:tcBorders>
            <w:vAlign w:val="center"/>
          </w:tcPr>
          <w:p w14:paraId="24ACB8FB">
            <w:pPr>
              <w:pStyle w:val="41"/>
              <w:rPr>
                <w:color w:val="auto"/>
                <w:highlight w:val="none"/>
              </w:rPr>
            </w:pPr>
          </w:p>
        </w:tc>
        <w:tc>
          <w:tcPr>
            <w:tcW w:w="1010" w:type="dxa"/>
            <w:vMerge w:val="continue"/>
            <w:tcBorders>
              <w:tl2br w:val="nil"/>
              <w:tr2bl w:val="nil"/>
            </w:tcBorders>
            <w:vAlign w:val="center"/>
          </w:tcPr>
          <w:p w14:paraId="11414CA1">
            <w:pPr>
              <w:pStyle w:val="41"/>
              <w:rPr>
                <w:color w:val="auto"/>
                <w:highlight w:val="none"/>
              </w:rPr>
            </w:pPr>
          </w:p>
        </w:tc>
        <w:tc>
          <w:tcPr>
            <w:tcW w:w="7117" w:type="dxa"/>
            <w:gridSpan w:val="12"/>
            <w:tcBorders>
              <w:tl2br w:val="nil"/>
              <w:tr2bl w:val="nil"/>
            </w:tcBorders>
            <w:vAlign w:val="center"/>
          </w:tcPr>
          <w:p w14:paraId="11256EFE">
            <w:pPr>
              <w:pStyle w:val="41"/>
              <w:rPr>
                <w:color w:val="auto"/>
                <w:highlight w:val="none"/>
              </w:rPr>
            </w:pPr>
            <w:r>
              <w:rPr>
                <w:color w:val="auto"/>
                <w:highlight w:val="none"/>
              </w:rPr>
              <w:t>最近环境敏感目标：  ，到达时间：</w:t>
            </w:r>
          </w:p>
        </w:tc>
      </w:tr>
      <w:tr w14:paraId="7C2628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1399" w:type="dxa"/>
            <w:gridSpan w:val="2"/>
            <w:tcBorders>
              <w:tl2br w:val="nil"/>
              <w:tr2bl w:val="nil"/>
            </w:tcBorders>
            <w:vAlign w:val="center"/>
          </w:tcPr>
          <w:p w14:paraId="3298703B">
            <w:pPr>
              <w:pStyle w:val="41"/>
              <w:rPr>
                <w:color w:val="auto"/>
                <w:highlight w:val="none"/>
              </w:rPr>
            </w:pPr>
            <w:r>
              <w:rPr>
                <w:color w:val="auto"/>
                <w:highlight w:val="none"/>
              </w:rPr>
              <w:t>重点风险防范措施</w:t>
            </w:r>
          </w:p>
        </w:tc>
        <w:tc>
          <w:tcPr>
            <w:tcW w:w="7117" w:type="dxa"/>
            <w:gridSpan w:val="12"/>
            <w:tcBorders>
              <w:tl2br w:val="nil"/>
              <w:tr2bl w:val="nil"/>
            </w:tcBorders>
            <w:vAlign w:val="center"/>
          </w:tcPr>
          <w:p w14:paraId="1D1650CA">
            <w:pPr>
              <w:pStyle w:val="41"/>
              <w:rPr>
                <w:color w:val="auto"/>
                <w:highlight w:val="none"/>
              </w:rPr>
            </w:pPr>
            <w:r>
              <w:rPr>
                <w:color w:val="auto"/>
                <w:highlight w:val="none"/>
              </w:rPr>
              <w:t>详见正文“6 环境风险影响评价”章节</w:t>
            </w:r>
          </w:p>
        </w:tc>
      </w:tr>
      <w:tr w14:paraId="0A46AD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1399" w:type="dxa"/>
            <w:gridSpan w:val="2"/>
            <w:tcBorders>
              <w:tl2br w:val="nil"/>
              <w:tr2bl w:val="nil"/>
            </w:tcBorders>
            <w:vAlign w:val="center"/>
          </w:tcPr>
          <w:p w14:paraId="5EEE9AE3">
            <w:pPr>
              <w:pStyle w:val="41"/>
              <w:rPr>
                <w:color w:val="auto"/>
                <w:highlight w:val="none"/>
              </w:rPr>
            </w:pPr>
            <w:r>
              <w:rPr>
                <w:color w:val="auto"/>
                <w:highlight w:val="none"/>
              </w:rPr>
              <w:t>评价结论与建议</w:t>
            </w:r>
          </w:p>
        </w:tc>
        <w:tc>
          <w:tcPr>
            <w:tcW w:w="7117" w:type="dxa"/>
            <w:gridSpan w:val="12"/>
            <w:tcBorders>
              <w:tl2br w:val="nil"/>
              <w:tr2bl w:val="nil"/>
            </w:tcBorders>
            <w:vAlign w:val="center"/>
          </w:tcPr>
          <w:p w14:paraId="02B8E570">
            <w:pPr>
              <w:pStyle w:val="41"/>
              <w:rPr>
                <w:color w:val="auto"/>
                <w:highlight w:val="none"/>
              </w:rPr>
            </w:pPr>
            <w:r>
              <w:rPr>
                <w:color w:val="auto"/>
                <w:highlight w:val="none"/>
              </w:rPr>
              <w:t>通过采取有效的预防措施和制定完善的应急救援预案，严格执行项目安全评价提出的安全对策措施，本项目的环境风险是可以防控的。</w:t>
            </w:r>
          </w:p>
        </w:tc>
      </w:tr>
      <w:tr w14:paraId="40E0AD4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8516" w:type="dxa"/>
            <w:gridSpan w:val="14"/>
            <w:tcBorders>
              <w:tl2br w:val="nil"/>
              <w:tr2bl w:val="nil"/>
            </w:tcBorders>
            <w:vAlign w:val="center"/>
          </w:tcPr>
          <w:p w14:paraId="547C5549">
            <w:pPr>
              <w:pStyle w:val="41"/>
              <w:rPr>
                <w:color w:val="auto"/>
                <w:highlight w:val="none"/>
              </w:rPr>
            </w:pPr>
            <w:r>
              <w:rPr>
                <w:color w:val="auto"/>
                <w:highlight w:val="none"/>
              </w:rPr>
              <w:t>注：</w:t>
            </w:r>
            <w:r>
              <w:rPr>
                <w:rFonts w:hint="eastAsia"/>
                <w:color w:val="auto"/>
                <w:highlight w:val="none"/>
              </w:rPr>
              <w:t>“</w:t>
            </w:r>
            <w:r>
              <w:rPr>
                <w:color w:val="auto"/>
                <w:highlight w:val="none"/>
              </w:rPr>
              <w:t>□</w:t>
            </w:r>
            <w:r>
              <w:rPr>
                <w:rFonts w:hint="eastAsia"/>
                <w:color w:val="auto"/>
                <w:highlight w:val="none"/>
              </w:rPr>
              <w:t>”</w:t>
            </w:r>
            <w:r>
              <w:rPr>
                <w:color w:val="auto"/>
                <w:highlight w:val="none"/>
              </w:rPr>
              <w:t>为勾选项，</w:t>
            </w:r>
            <w:r>
              <w:rPr>
                <w:rFonts w:hint="eastAsia"/>
                <w:color w:val="auto"/>
                <w:highlight w:val="none"/>
              </w:rPr>
              <w:t>“</w:t>
            </w:r>
            <w:r>
              <w:rPr>
                <w:color w:val="auto"/>
                <w:highlight w:val="none"/>
              </w:rPr>
              <w:t xml:space="preserve">     </w:t>
            </w:r>
            <w:r>
              <w:rPr>
                <w:rFonts w:hint="eastAsia"/>
                <w:color w:val="auto"/>
                <w:highlight w:val="none"/>
              </w:rPr>
              <w:t>”</w:t>
            </w:r>
            <w:r>
              <w:rPr>
                <w:color w:val="auto"/>
                <w:highlight w:val="none"/>
              </w:rPr>
              <w:t>为填写项。</w:t>
            </w:r>
          </w:p>
        </w:tc>
      </w:tr>
    </w:tbl>
    <w:p w14:paraId="06651AB9">
      <w:pPr>
        <w:pStyle w:val="3"/>
        <w:ind w:firstLine="480"/>
        <w:rPr>
          <w:color w:val="auto"/>
          <w:highlight w:val="none"/>
        </w:rPr>
      </w:pPr>
    </w:p>
    <w:p w14:paraId="6FBEE413">
      <w:pPr>
        <w:pStyle w:val="3"/>
        <w:ind w:firstLine="480"/>
        <w:rPr>
          <w:color w:val="auto"/>
          <w:highlight w:val="none"/>
        </w:rPr>
      </w:pPr>
    </w:p>
    <w:p w14:paraId="0940A7F0">
      <w:pPr>
        <w:pStyle w:val="3"/>
        <w:ind w:firstLine="480"/>
        <w:rPr>
          <w:color w:val="auto"/>
          <w:highlight w:val="none"/>
        </w:rPr>
      </w:pPr>
    </w:p>
    <w:p w14:paraId="10775F8F">
      <w:pPr>
        <w:pStyle w:val="3"/>
        <w:ind w:firstLine="480"/>
        <w:rPr>
          <w:color w:val="auto"/>
          <w:highlight w:val="none"/>
        </w:rPr>
      </w:pPr>
    </w:p>
    <w:p w14:paraId="4E999B5C">
      <w:pPr>
        <w:pStyle w:val="3"/>
        <w:ind w:firstLine="480"/>
        <w:rPr>
          <w:color w:val="auto"/>
          <w:highlight w:val="none"/>
        </w:rPr>
        <w:sectPr>
          <w:pgSz w:w="11906" w:h="16838"/>
          <w:pgMar w:top="1440" w:right="1803" w:bottom="1440" w:left="1803" w:header="1020" w:footer="992" w:gutter="0"/>
          <w:pgBorders>
            <w:top w:val="none" w:sz="0" w:space="0"/>
            <w:left w:val="none" w:sz="0" w:space="0"/>
            <w:bottom w:val="none" w:sz="0" w:space="0"/>
            <w:right w:val="none" w:sz="0" w:space="0"/>
          </w:pgBorders>
          <w:cols w:space="720" w:num="1"/>
          <w:docGrid w:type="lines" w:linePitch="332" w:charSpace="0"/>
        </w:sectPr>
      </w:pPr>
    </w:p>
    <w:bookmarkEnd w:id="404"/>
    <w:bookmarkEnd w:id="405"/>
    <w:p w14:paraId="75E9EAEA">
      <w:pPr>
        <w:pStyle w:val="38"/>
        <w:rPr>
          <w:color w:val="auto"/>
          <w:highlight w:val="none"/>
        </w:rPr>
      </w:pPr>
      <w:bookmarkStart w:id="418" w:name="_Toc8067"/>
      <w:bookmarkStart w:id="419" w:name="_Toc3162"/>
      <w:r>
        <w:rPr>
          <w:color w:val="auto"/>
          <w:highlight w:val="none"/>
        </w:rPr>
        <w:t>环境保护措施及其可行性论证</w:t>
      </w:r>
      <w:bookmarkEnd w:id="393"/>
      <w:bookmarkEnd w:id="394"/>
      <w:bookmarkEnd w:id="395"/>
      <w:bookmarkEnd w:id="396"/>
      <w:bookmarkEnd w:id="397"/>
      <w:bookmarkEnd w:id="398"/>
      <w:bookmarkEnd w:id="418"/>
      <w:bookmarkEnd w:id="419"/>
    </w:p>
    <w:p w14:paraId="29E612B0">
      <w:pPr>
        <w:pStyle w:val="39"/>
        <w:rPr>
          <w:rFonts w:hint="default"/>
          <w:color w:val="auto"/>
          <w:highlight w:val="none"/>
        </w:rPr>
      </w:pPr>
      <w:bookmarkStart w:id="420" w:name="_Toc528146404"/>
      <w:bookmarkStart w:id="421" w:name="_Toc24069"/>
      <w:bookmarkStart w:id="422" w:name="_Toc7359"/>
      <w:bookmarkStart w:id="423" w:name="_Toc504131320"/>
      <w:bookmarkStart w:id="424" w:name="_Toc20391334"/>
      <w:bookmarkStart w:id="425" w:name="_Toc29515"/>
      <w:bookmarkStart w:id="426" w:name="_Toc12994"/>
      <w:bookmarkStart w:id="427" w:name="_Toc21721"/>
      <w:bookmarkStart w:id="428" w:name="_Toc23754"/>
      <w:r>
        <w:rPr>
          <w:rFonts w:hint="default"/>
          <w:color w:val="auto"/>
          <w:highlight w:val="none"/>
        </w:rPr>
        <w:t>施工期环境保护措施</w:t>
      </w:r>
      <w:bookmarkEnd w:id="420"/>
      <w:bookmarkEnd w:id="421"/>
      <w:bookmarkEnd w:id="422"/>
      <w:bookmarkEnd w:id="423"/>
    </w:p>
    <w:p w14:paraId="7A67B131">
      <w:pPr>
        <w:pStyle w:val="42"/>
        <w:rPr>
          <w:rFonts w:hint="default"/>
          <w:color w:val="auto"/>
          <w:highlight w:val="none"/>
        </w:rPr>
      </w:pPr>
      <w:r>
        <w:rPr>
          <w:rFonts w:hint="default"/>
          <w:color w:val="auto"/>
          <w:highlight w:val="none"/>
        </w:rPr>
        <w:t>大气污染防治措施</w:t>
      </w:r>
    </w:p>
    <w:p w14:paraId="77059B09">
      <w:pPr>
        <w:pStyle w:val="3"/>
        <w:ind w:firstLine="480"/>
        <w:rPr>
          <w:color w:val="auto"/>
          <w:highlight w:val="none"/>
        </w:rPr>
      </w:pPr>
      <w:r>
        <w:rPr>
          <w:color w:val="auto"/>
          <w:highlight w:val="none"/>
        </w:rPr>
        <w:t>针对施工期间产生的扬尘、尾气等，应采取一定的治理或防治措施：</w:t>
      </w:r>
    </w:p>
    <w:p w14:paraId="2D199A63">
      <w:pPr>
        <w:pStyle w:val="3"/>
        <w:ind w:firstLine="480"/>
        <w:rPr>
          <w:color w:val="auto"/>
          <w:highlight w:val="none"/>
        </w:rPr>
      </w:pPr>
      <w:r>
        <w:rPr>
          <w:color w:val="auto"/>
          <w:highlight w:val="none"/>
        </w:rPr>
        <w:t>（1）工地应设置材料仓库，禁止水泥、砂石等物料随意露天堆放。</w:t>
      </w:r>
    </w:p>
    <w:p w14:paraId="4A449404">
      <w:pPr>
        <w:pStyle w:val="3"/>
        <w:ind w:firstLine="480"/>
        <w:rPr>
          <w:color w:val="auto"/>
          <w:highlight w:val="none"/>
        </w:rPr>
      </w:pPr>
      <w:r>
        <w:rPr>
          <w:color w:val="auto"/>
          <w:highlight w:val="none"/>
        </w:rPr>
        <w:t>（2）对施工废弃物及时清理分类，建筑垃圾、残土、废石及时清运，送至指定地点堆放，临时堆放时要做好覆盖或洒水降尘处理，避免在大风天气引起扬尘污染。</w:t>
      </w:r>
    </w:p>
    <w:p w14:paraId="43EF454E">
      <w:pPr>
        <w:pStyle w:val="3"/>
        <w:ind w:firstLine="480"/>
        <w:rPr>
          <w:color w:val="auto"/>
          <w:highlight w:val="none"/>
        </w:rPr>
      </w:pPr>
      <w:r>
        <w:rPr>
          <w:color w:val="auto"/>
          <w:highlight w:val="none"/>
        </w:rPr>
        <w:t>（3）运输车辆采取密封措施，运输路线要及时清理、养护。</w:t>
      </w:r>
    </w:p>
    <w:p w14:paraId="4D4291BC">
      <w:pPr>
        <w:pStyle w:val="3"/>
        <w:ind w:firstLine="480"/>
        <w:rPr>
          <w:color w:val="auto"/>
          <w:highlight w:val="none"/>
        </w:rPr>
      </w:pPr>
      <w:r>
        <w:rPr>
          <w:color w:val="auto"/>
          <w:highlight w:val="none"/>
        </w:rPr>
        <w:t>（4）工地配置专用洒水车，定期对施工场地、运输道路路面洒水，并在装料、卸料等必要场合使用。</w:t>
      </w:r>
    </w:p>
    <w:p w14:paraId="0DDDAF51">
      <w:pPr>
        <w:pStyle w:val="3"/>
        <w:ind w:firstLine="480"/>
        <w:rPr>
          <w:color w:val="auto"/>
          <w:highlight w:val="none"/>
        </w:rPr>
      </w:pPr>
      <w:r>
        <w:rPr>
          <w:color w:val="auto"/>
          <w:highlight w:val="none"/>
        </w:rPr>
        <w:t>（5）散装物料在装卸、运输过程中要用隔板阻挡以防止物料撒落，堆放物料的露天堆场要遮盖。</w:t>
      </w:r>
    </w:p>
    <w:p w14:paraId="0C9B7DFC">
      <w:pPr>
        <w:pStyle w:val="3"/>
        <w:ind w:firstLine="480"/>
        <w:rPr>
          <w:color w:val="auto"/>
          <w:highlight w:val="none"/>
        </w:rPr>
      </w:pPr>
      <w:r>
        <w:rPr>
          <w:color w:val="auto"/>
          <w:highlight w:val="none"/>
        </w:rPr>
        <w:t>（6）开挖的土石方要妥善堆放防止起尘，施工场地和通往施工区的道路必须预先平整，保持路面平坦，并定期洒水，防止起尘。</w:t>
      </w:r>
    </w:p>
    <w:p w14:paraId="443CF1EE">
      <w:pPr>
        <w:pStyle w:val="42"/>
        <w:rPr>
          <w:rFonts w:hint="default"/>
          <w:color w:val="auto"/>
          <w:highlight w:val="none"/>
        </w:rPr>
      </w:pPr>
      <w:r>
        <w:rPr>
          <w:rFonts w:hint="default"/>
          <w:color w:val="auto"/>
          <w:highlight w:val="none"/>
        </w:rPr>
        <w:t>水污染防治措施</w:t>
      </w:r>
    </w:p>
    <w:p w14:paraId="711A18F1">
      <w:pPr>
        <w:pStyle w:val="3"/>
        <w:ind w:firstLine="480"/>
        <w:rPr>
          <w:color w:val="auto"/>
          <w:highlight w:val="none"/>
        </w:rPr>
      </w:pPr>
      <w:bookmarkStart w:id="429" w:name="_Toc25741"/>
      <w:bookmarkStart w:id="430" w:name="_Toc5419"/>
      <w:bookmarkStart w:id="431" w:name="_Toc11998"/>
      <w:bookmarkStart w:id="432" w:name="_Toc27977"/>
      <w:bookmarkStart w:id="433" w:name="_Toc239"/>
      <w:bookmarkStart w:id="434" w:name="_Toc28613"/>
      <w:r>
        <w:rPr>
          <w:rFonts w:hint="eastAsia"/>
          <w:color w:val="auto"/>
          <w:highlight w:val="none"/>
        </w:rPr>
        <w:t>施工期废水主要来自施工废水及施工人员的生活污水。其中：施工废水主要是施工期的水泥养护、进出车辆轮胎以及施工设备冲洗过程，或通过雨水冲刷等途径产生污水。生活污水包括施工人员的盥洗水等。施工期废水处置不当会对施工场地周围的水环境产生短时间的不良影响，拟对施工期产生的废水采取如下污染防治措施：</w:t>
      </w:r>
    </w:p>
    <w:p w14:paraId="113BBB75">
      <w:pPr>
        <w:pStyle w:val="3"/>
        <w:ind w:firstLine="480"/>
        <w:rPr>
          <w:color w:val="auto"/>
          <w:highlight w:val="none"/>
        </w:rPr>
      </w:pPr>
      <w:r>
        <w:rPr>
          <w:rFonts w:hint="eastAsia"/>
          <w:color w:val="auto"/>
          <w:highlight w:val="none"/>
        </w:rPr>
        <w:t>（1）在施工期间制定严格的施工环保管理制度，施工人员自觉遵守规章制度，并加以严格监督和管理。</w:t>
      </w:r>
    </w:p>
    <w:p w14:paraId="3B932C2E">
      <w:pPr>
        <w:pStyle w:val="3"/>
        <w:ind w:firstLine="480"/>
        <w:rPr>
          <w:color w:val="auto"/>
          <w:highlight w:val="none"/>
        </w:rPr>
      </w:pPr>
      <w:r>
        <w:rPr>
          <w:rFonts w:hint="eastAsia"/>
          <w:color w:val="auto"/>
          <w:highlight w:val="none"/>
        </w:rPr>
        <w:t>（2）项目施工期生活污水依托现状地埋式一体化污水处理设施，经处理达标后用于厂区绿化灌溉。</w:t>
      </w:r>
    </w:p>
    <w:p w14:paraId="1812AECA">
      <w:pPr>
        <w:pStyle w:val="3"/>
        <w:ind w:firstLine="480"/>
        <w:rPr>
          <w:color w:val="auto"/>
          <w:highlight w:val="none"/>
        </w:rPr>
      </w:pPr>
      <w:r>
        <w:rPr>
          <w:rFonts w:hint="eastAsia"/>
          <w:color w:val="auto"/>
          <w:highlight w:val="none"/>
        </w:rPr>
        <w:t>（3）施工废水为间断排水，水量较小，主要污染因子为SS，工程施工时设置1个临时沉淀池，用防水布或塑料薄膜进行防渗，将施工废水进行沉淀处理，降低废水中SS的含量，经过沉淀处理后的施工废水用于施工场地洒水降尘或回用。施工结束后，防水布或塑料薄膜回收再用，将废水收集坑填埋清理，恢复原貌。该处理措施特点是构造简单，造价低，管理也方便，仅需定期清池。</w:t>
      </w:r>
    </w:p>
    <w:p w14:paraId="1FC83933">
      <w:pPr>
        <w:pStyle w:val="3"/>
        <w:ind w:firstLine="480"/>
        <w:rPr>
          <w:color w:val="auto"/>
          <w:highlight w:val="none"/>
        </w:rPr>
      </w:pPr>
      <w:r>
        <w:rPr>
          <w:rFonts w:hint="eastAsia"/>
          <w:color w:val="auto"/>
          <w:highlight w:val="none"/>
        </w:rPr>
        <w:t>（4）在施工过程中加强对机械设备的检修和维护，以防止设备漏油现象的发生；施工机械设备的维修应在专业厂家进行。</w:t>
      </w:r>
    </w:p>
    <w:p w14:paraId="5F472DBF">
      <w:pPr>
        <w:pStyle w:val="3"/>
        <w:ind w:firstLine="480"/>
        <w:rPr>
          <w:color w:val="auto"/>
          <w:highlight w:val="none"/>
        </w:rPr>
      </w:pPr>
      <w:r>
        <w:rPr>
          <w:rFonts w:hint="eastAsia"/>
          <w:color w:val="auto"/>
          <w:highlight w:val="none"/>
        </w:rPr>
        <w:t>（5）加强施工期固体废物的管理。固体废物应堆放至指定的地点并及时清运，堆放点应做好防排水设置，防止固体废物造成污染。</w:t>
      </w:r>
    </w:p>
    <w:p w14:paraId="48B2D885">
      <w:pPr>
        <w:pStyle w:val="3"/>
        <w:ind w:firstLine="480"/>
        <w:rPr>
          <w:color w:val="auto"/>
          <w:highlight w:val="none"/>
        </w:rPr>
      </w:pPr>
      <w:r>
        <w:rPr>
          <w:rFonts w:hint="eastAsia"/>
          <w:color w:val="auto"/>
          <w:highlight w:val="none"/>
        </w:rPr>
        <w:t>（6）做好建筑材料和施工废渣的管理和回收，特别是含有油污的物体，不能露天存放，以免因雨水冲刷而污染水体。</w:t>
      </w:r>
    </w:p>
    <w:p w14:paraId="102941E2">
      <w:pPr>
        <w:pStyle w:val="3"/>
        <w:ind w:firstLine="480"/>
        <w:rPr>
          <w:color w:val="auto"/>
          <w:highlight w:val="none"/>
        </w:rPr>
      </w:pPr>
      <w:r>
        <w:rPr>
          <w:rFonts w:hint="eastAsia"/>
          <w:color w:val="auto"/>
          <w:highlight w:val="none"/>
        </w:rPr>
        <w:t>通过以上水污染控制措施，拟建项目施工期污水对周边环境影响极小，项目施工期水污染防治措施可行</w:t>
      </w:r>
      <w:r>
        <w:rPr>
          <w:color w:val="auto"/>
          <w:highlight w:val="none"/>
        </w:rPr>
        <w:t>。</w:t>
      </w:r>
    </w:p>
    <w:bookmarkEnd w:id="429"/>
    <w:bookmarkEnd w:id="430"/>
    <w:bookmarkEnd w:id="431"/>
    <w:p w14:paraId="19D12D3B">
      <w:pPr>
        <w:pStyle w:val="42"/>
        <w:rPr>
          <w:rFonts w:hint="default"/>
          <w:color w:val="auto"/>
          <w:highlight w:val="none"/>
        </w:rPr>
      </w:pPr>
      <w:r>
        <w:rPr>
          <w:rFonts w:hint="default"/>
          <w:color w:val="auto"/>
          <w:highlight w:val="none"/>
        </w:rPr>
        <w:t>噪声污染防治措施</w:t>
      </w:r>
      <w:bookmarkEnd w:id="432"/>
      <w:bookmarkEnd w:id="433"/>
      <w:bookmarkEnd w:id="434"/>
      <w:bookmarkStart w:id="435" w:name="_Toc26585"/>
      <w:bookmarkStart w:id="436" w:name="_Toc16998"/>
      <w:bookmarkStart w:id="437" w:name="_Toc4245"/>
    </w:p>
    <w:p w14:paraId="08C0F7C5">
      <w:pPr>
        <w:pStyle w:val="3"/>
        <w:ind w:firstLine="480"/>
        <w:rPr>
          <w:color w:val="auto"/>
          <w:highlight w:val="none"/>
        </w:rPr>
      </w:pPr>
      <w:r>
        <w:rPr>
          <w:color w:val="auto"/>
          <w:highlight w:val="none"/>
        </w:rPr>
        <w:t>本项目施工过程中噪声主要来源于施工机械、车辆等噪声，对周围声环境产生一定的影响，应采取以下噪声污染防治措施：</w:t>
      </w:r>
    </w:p>
    <w:p w14:paraId="6DEDF10B">
      <w:pPr>
        <w:pStyle w:val="3"/>
        <w:ind w:firstLine="480"/>
        <w:rPr>
          <w:color w:val="auto"/>
          <w:highlight w:val="none"/>
        </w:rPr>
      </w:pPr>
      <w:r>
        <w:rPr>
          <w:color w:val="auto"/>
          <w:highlight w:val="none"/>
        </w:rPr>
        <w:t>（1）施工单位对施工场地应合理布设，使高噪声设备尽量远离厂界。</w:t>
      </w:r>
    </w:p>
    <w:p w14:paraId="5C4520D7">
      <w:pPr>
        <w:pStyle w:val="3"/>
        <w:ind w:firstLine="480"/>
        <w:rPr>
          <w:color w:val="auto"/>
          <w:highlight w:val="none"/>
        </w:rPr>
      </w:pPr>
      <w:r>
        <w:rPr>
          <w:color w:val="auto"/>
          <w:highlight w:val="none"/>
        </w:rPr>
        <w:t>（2）施工单位应合理安排施工时间，避免长时间使用高噪声设备，使施工期造成的噪声污染降到最低。</w:t>
      </w:r>
    </w:p>
    <w:p w14:paraId="6309BD08">
      <w:pPr>
        <w:pStyle w:val="3"/>
        <w:ind w:firstLine="480"/>
        <w:rPr>
          <w:color w:val="auto"/>
          <w:highlight w:val="none"/>
        </w:rPr>
      </w:pPr>
      <w:r>
        <w:rPr>
          <w:color w:val="auto"/>
          <w:highlight w:val="none"/>
        </w:rPr>
        <w:t>（3）施工设备选型时，在满足施工需要的前提下，尽可能选取噪声低、振动小、能耗小的先进设备。加强施工机械的维护保养，避免由于设备性能差而使机械噪声增大的现象发生。</w:t>
      </w:r>
    </w:p>
    <w:p w14:paraId="07A5CF73">
      <w:pPr>
        <w:pStyle w:val="3"/>
        <w:ind w:firstLine="480"/>
        <w:rPr>
          <w:color w:val="auto"/>
          <w:highlight w:val="none"/>
        </w:rPr>
      </w:pPr>
      <w:r>
        <w:rPr>
          <w:color w:val="auto"/>
          <w:highlight w:val="none"/>
        </w:rPr>
        <w:t>（4）场外运输作业安排在白天进行，施工车辆经过村庄时采取减速、禁鸣等措施，夜间禁止施工作业及运输。</w:t>
      </w:r>
    </w:p>
    <w:p w14:paraId="7F1425B2">
      <w:pPr>
        <w:pStyle w:val="3"/>
        <w:ind w:firstLine="480"/>
        <w:rPr>
          <w:color w:val="auto"/>
          <w:highlight w:val="none"/>
        </w:rPr>
      </w:pPr>
      <w:r>
        <w:rPr>
          <w:color w:val="auto"/>
          <w:highlight w:val="none"/>
        </w:rPr>
        <w:t>（5）提高施工人员特别是现场施工负责人员的环保意识，施工部门负责人应学习国家相关环保法律法规，增强环保意识，明确认识噪声对人体的危害。</w:t>
      </w:r>
    </w:p>
    <w:p w14:paraId="42F72356">
      <w:pPr>
        <w:pStyle w:val="3"/>
        <w:ind w:firstLine="480"/>
        <w:rPr>
          <w:color w:val="auto"/>
          <w:highlight w:val="none"/>
        </w:rPr>
      </w:pPr>
      <w:r>
        <w:rPr>
          <w:color w:val="auto"/>
          <w:highlight w:val="none"/>
        </w:rPr>
        <w:t>（6）严格按照国家和地方环境保护法律法规的要求，建筑施工场界噪声不得超过《建筑施工噪声排放标准》（GB12523-2025）中的排放限值。</w:t>
      </w:r>
    </w:p>
    <w:p w14:paraId="1E1375E2">
      <w:pPr>
        <w:pStyle w:val="3"/>
        <w:ind w:firstLine="480"/>
        <w:rPr>
          <w:color w:val="auto"/>
          <w:highlight w:val="none"/>
        </w:rPr>
      </w:pPr>
      <w:r>
        <w:rPr>
          <w:color w:val="auto"/>
          <w:highlight w:val="none"/>
        </w:rPr>
        <w:t>采取以上噪声污染控制措施后，可将施工期噪声影响降至最低程度，预测对周围环境影响可接受，措施可行。</w:t>
      </w:r>
    </w:p>
    <w:p w14:paraId="6B9E1832">
      <w:pPr>
        <w:pStyle w:val="42"/>
        <w:rPr>
          <w:rFonts w:hint="default"/>
          <w:color w:val="auto"/>
          <w:highlight w:val="none"/>
        </w:rPr>
      </w:pPr>
      <w:r>
        <w:rPr>
          <w:rFonts w:hint="default"/>
          <w:color w:val="auto"/>
          <w:highlight w:val="none"/>
        </w:rPr>
        <w:t>固体废物防治措施</w:t>
      </w:r>
      <w:bookmarkEnd w:id="435"/>
      <w:bookmarkEnd w:id="436"/>
      <w:bookmarkEnd w:id="437"/>
    </w:p>
    <w:p w14:paraId="2B131FBD">
      <w:pPr>
        <w:pStyle w:val="3"/>
        <w:ind w:firstLine="480"/>
        <w:rPr>
          <w:color w:val="auto"/>
          <w:highlight w:val="none"/>
        </w:rPr>
      </w:pPr>
      <w:r>
        <w:rPr>
          <w:color w:val="auto"/>
          <w:highlight w:val="none"/>
        </w:rPr>
        <w:t>本项目施工期固体废物主要为人员生活垃圾，施工中产生的建筑垃圾。建设单位和施工单位要重视和加强固体废物的管理，采取积极措施防止对环境的污染。施工期采取以下固废防治措施：</w:t>
      </w:r>
    </w:p>
    <w:p w14:paraId="17B56CF4">
      <w:pPr>
        <w:pStyle w:val="3"/>
        <w:ind w:firstLine="480"/>
        <w:rPr>
          <w:color w:val="auto"/>
          <w:highlight w:val="none"/>
        </w:rPr>
      </w:pPr>
      <w:r>
        <w:rPr>
          <w:color w:val="auto"/>
          <w:highlight w:val="none"/>
        </w:rPr>
        <w:t>（1）做到土石方合理平衡，弃土在施工区内暂时堆放，并采取苫布遮盖、洒水抑尘等措施，完工后全部用于施工区场地平整，无弃方。</w:t>
      </w:r>
    </w:p>
    <w:p w14:paraId="26219792">
      <w:pPr>
        <w:pStyle w:val="3"/>
        <w:ind w:firstLine="480"/>
        <w:rPr>
          <w:color w:val="auto"/>
          <w:highlight w:val="none"/>
        </w:rPr>
      </w:pPr>
      <w:r>
        <w:rPr>
          <w:color w:val="auto"/>
          <w:highlight w:val="none"/>
        </w:rPr>
        <w:t>（2）建筑垃圾进行分类收集、分类暂存，能够回收利用的尽量回收利用；对无利用价值的建筑垃圾及时清运至当地指定的建筑垃圾填埋场，防止其因长期堆放而产生扬尘污染。</w:t>
      </w:r>
    </w:p>
    <w:p w14:paraId="71C08817">
      <w:pPr>
        <w:pStyle w:val="3"/>
        <w:ind w:firstLine="480"/>
        <w:rPr>
          <w:color w:val="auto"/>
          <w:highlight w:val="none"/>
        </w:rPr>
      </w:pPr>
      <w:r>
        <w:rPr>
          <w:color w:val="auto"/>
          <w:highlight w:val="none"/>
        </w:rPr>
        <w:t>（3）施工区设置生活垃圾桶，施工人员生活垃圾集中收集后，运往哈拉峻乡谢依提村垃圾场填埋处理。</w:t>
      </w:r>
    </w:p>
    <w:p w14:paraId="0231C236">
      <w:pPr>
        <w:pStyle w:val="3"/>
        <w:ind w:firstLine="480"/>
        <w:rPr>
          <w:color w:val="auto"/>
          <w:highlight w:val="none"/>
        </w:rPr>
      </w:pPr>
      <w:r>
        <w:rPr>
          <w:color w:val="auto"/>
          <w:highlight w:val="none"/>
        </w:rPr>
        <w:t>通过加强施工期间的卫生管理，严禁乱堆、乱倒垃圾，可以减轻施工</w:t>
      </w:r>
      <w:r>
        <w:rPr>
          <w:rFonts w:hint="eastAsia"/>
          <w:color w:val="auto"/>
          <w:highlight w:val="none"/>
        </w:rPr>
        <w:t>期间</w:t>
      </w:r>
      <w:r>
        <w:rPr>
          <w:color w:val="auto"/>
          <w:highlight w:val="none"/>
        </w:rPr>
        <w:t>固体废物对环境的影响。只要加强管理，采取切实可行的措施，施工废弃物不会给环境带来较大影响。</w:t>
      </w:r>
    </w:p>
    <w:p w14:paraId="49F43BCD">
      <w:pPr>
        <w:pStyle w:val="42"/>
        <w:rPr>
          <w:rFonts w:hint="default"/>
          <w:color w:val="auto"/>
          <w:highlight w:val="none"/>
        </w:rPr>
      </w:pPr>
      <w:r>
        <w:rPr>
          <w:rFonts w:hint="default"/>
          <w:color w:val="auto"/>
          <w:highlight w:val="none"/>
        </w:rPr>
        <w:t>生态保护措施</w:t>
      </w:r>
    </w:p>
    <w:p w14:paraId="39A70B6E">
      <w:pPr>
        <w:pStyle w:val="3"/>
        <w:ind w:firstLine="480"/>
        <w:rPr>
          <w:color w:val="auto"/>
          <w:highlight w:val="none"/>
          <w:lang w:val="zh-CN"/>
        </w:rPr>
      </w:pPr>
      <w:r>
        <w:rPr>
          <w:rFonts w:hint="eastAsia"/>
          <w:color w:val="auto"/>
          <w:highlight w:val="none"/>
          <w:lang w:val="zh-CN"/>
        </w:rPr>
        <w:t>（</w:t>
      </w:r>
      <w:r>
        <w:rPr>
          <w:color w:val="auto"/>
          <w:highlight w:val="none"/>
          <w:lang w:val="zh-CN"/>
        </w:rPr>
        <w:t>1）控制作业范围，减少占地生态破坏</w:t>
      </w:r>
    </w:p>
    <w:p w14:paraId="586E5147">
      <w:pPr>
        <w:pStyle w:val="3"/>
        <w:ind w:firstLine="480"/>
        <w:rPr>
          <w:color w:val="auto"/>
          <w:highlight w:val="none"/>
          <w:lang w:val="zh-CN"/>
        </w:rPr>
      </w:pPr>
      <w:r>
        <w:rPr>
          <w:color w:val="auto"/>
          <w:highlight w:val="none"/>
          <w:lang w:val="zh-CN"/>
        </w:rPr>
        <w:t>本项目在施工场地清理过程中，施工场地范围内的土壤和植被都可能受到扰动和破坏，但其造成的影响仅局限在施工场地范围内。施工人员的施工作业活动，严格限制在施工作业范围之内，不得在作业范围之外进行施工作业。若无法避免在施工场地范围之外进行施工作业，必须严格要求施工人员，禁止踩踏及破坏周围植被，禁止铲除任何植被，以保护施工作业范围之外的生态环境。</w:t>
      </w:r>
    </w:p>
    <w:p w14:paraId="1B30F43A">
      <w:pPr>
        <w:pStyle w:val="3"/>
        <w:ind w:firstLine="480"/>
        <w:rPr>
          <w:color w:val="auto"/>
          <w:highlight w:val="none"/>
          <w:lang w:val="zh-CN"/>
        </w:rPr>
      </w:pPr>
      <w:r>
        <w:rPr>
          <w:rFonts w:hint="eastAsia"/>
          <w:color w:val="auto"/>
          <w:highlight w:val="none"/>
          <w:lang w:val="zh-CN"/>
        </w:rPr>
        <w:t>（</w:t>
      </w:r>
      <w:r>
        <w:rPr>
          <w:color w:val="auto"/>
          <w:highlight w:val="none"/>
          <w:lang w:val="zh-CN"/>
        </w:rPr>
        <w:t>2）多余土方充分利用</w:t>
      </w:r>
    </w:p>
    <w:p w14:paraId="401609F8">
      <w:pPr>
        <w:pStyle w:val="3"/>
        <w:ind w:firstLine="480"/>
        <w:rPr>
          <w:color w:val="auto"/>
          <w:highlight w:val="none"/>
          <w:lang w:val="zh-CN"/>
        </w:rPr>
      </w:pPr>
      <w:r>
        <w:rPr>
          <w:color w:val="auto"/>
          <w:highlight w:val="none"/>
          <w:lang w:val="zh-CN"/>
        </w:rPr>
        <w:t>建筑垃圾临时堆场及土石方堆场四周应设挡土墙及集水沟，开挖的土石方应做到随挖、随运、随压，及时回填，不能及时回填的土石方应筑挡土墙有组织地集中堆放，遇暴雨应用帆布遮盖，减轻水土流失。</w:t>
      </w:r>
    </w:p>
    <w:p w14:paraId="28895213">
      <w:pPr>
        <w:pStyle w:val="3"/>
        <w:ind w:firstLine="480"/>
        <w:rPr>
          <w:color w:val="auto"/>
          <w:highlight w:val="none"/>
          <w:lang w:val="zh-CN"/>
        </w:rPr>
      </w:pPr>
      <w:r>
        <w:rPr>
          <w:rFonts w:hint="eastAsia"/>
          <w:color w:val="auto"/>
          <w:highlight w:val="none"/>
          <w:lang w:val="zh-CN"/>
        </w:rPr>
        <w:t>（</w:t>
      </w:r>
      <w:r>
        <w:rPr>
          <w:color w:val="auto"/>
          <w:highlight w:val="none"/>
          <w:lang w:val="zh-CN"/>
        </w:rPr>
        <w:t>3）恢复土地利用原有格局</w:t>
      </w:r>
    </w:p>
    <w:p w14:paraId="371E7AB8">
      <w:pPr>
        <w:pStyle w:val="3"/>
        <w:ind w:firstLine="480"/>
        <w:rPr>
          <w:color w:val="auto"/>
          <w:highlight w:val="none"/>
          <w:lang w:val="zh-CN"/>
        </w:rPr>
      </w:pPr>
      <w:r>
        <w:rPr>
          <w:color w:val="auto"/>
          <w:highlight w:val="none"/>
          <w:lang w:val="zh-CN"/>
        </w:rPr>
        <w:t>施工结束后，应恢复临时占地的地貌原状。尽可能降低对土壤养分的影响最快使土壤得以恢复，同时减少水土流失。清理施工作业区域内产生的废弃物，凡受到施工车辆、机械破坏的地方，及时修整。</w:t>
      </w:r>
    </w:p>
    <w:p w14:paraId="2756BA30">
      <w:pPr>
        <w:pStyle w:val="3"/>
        <w:ind w:firstLine="480"/>
        <w:rPr>
          <w:color w:val="auto"/>
          <w:highlight w:val="none"/>
          <w:lang w:val="zh-CN"/>
        </w:rPr>
      </w:pPr>
      <w:r>
        <w:rPr>
          <w:rFonts w:hint="eastAsia"/>
          <w:color w:val="auto"/>
          <w:highlight w:val="none"/>
          <w:lang w:val="zh-CN"/>
        </w:rPr>
        <w:t>（</w:t>
      </w:r>
      <w:r>
        <w:rPr>
          <w:rFonts w:hint="eastAsia"/>
          <w:color w:val="auto"/>
          <w:highlight w:val="none"/>
        </w:rPr>
        <w:t>4</w:t>
      </w:r>
      <w:r>
        <w:rPr>
          <w:color w:val="auto"/>
          <w:highlight w:val="none"/>
          <w:lang w:val="zh-CN"/>
        </w:rPr>
        <w:t>）水土保持措施</w:t>
      </w:r>
    </w:p>
    <w:p w14:paraId="45319901">
      <w:pPr>
        <w:pStyle w:val="3"/>
        <w:ind w:firstLine="480"/>
        <w:rPr>
          <w:color w:val="auto"/>
          <w:highlight w:val="none"/>
          <w:lang w:val="zh-CN"/>
        </w:rPr>
      </w:pPr>
      <w:r>
        <w:rPr>
          <w:color w:val="auto"/>
          <w:highlight w:val="none"/>
          <w:lang w:val="zh-CN"/>
        </w:rPr>
        <w:t>针对建设过程中扰动和破坏地表方式多种多样，水土流失强度及治理难度各异的特点，本项目水土流失可采用如下防治措施：</w:t>
      </w:r>
    </w:p>
    <w:p w14:paraId="1AC7A5D7">
      <w:pPr>
        <w:pStyle w:val="3"/>
        <w:ind w:firstLine="480"/>
        <w:rPr>
          <w:color w:val="auto"/>
          <w:highlight w:val="none"/>
          <w:lang w:val="zh-CN"/>
        </w:rPr>
      </w:pPr>
      <w:r>
        <w:rPr>
          <w:color w:val="auto"/>
          <w:highlight w:val="none"/>
          <w:lang w:val="zh-CN"/>
        </w:rPr>
        <w:t>1）加强水土保护法制宣传，有关部门应积极主动，加强水土保持执法管理，将其纳入依法办事的轨道上来。对施工人员进行培训和教育，自觉保持水土，保护植被。</w:t>
      </w:r>
    </w:p>
    <w:p w14:paraId="7831E0D9">
      <w:pPr>
        <w:pStyle w:val="3"/>
        <w:ind w:firstLine="480"/>
        <w:rPr>
          <w:color w:val="auto"/>
          <w:highlight w:val="none"/>
          <w:lang w:val="zh-CN"/>
        </w:rPr>
      </w:pPr>
      <w:r>
        <w:rPr>
          <w:color w:val="auto"/>
          <w:highlight w:val="none"/>
          <w:lang w:val="zh-CN"/>
        </w:rPr>
        <w:t>2）规划设计应充分考虑弃土的合理综合利用，在建设总体规划中，合理安排工期和工程顺序，做到挖方、填方土石方平衡，减少土壤损失和地表破坏面积，特别是减少施工区以外的料场数量。</w:t>
      </w:r>
    </w:p>
    <w:p w14:paraId="2C8BEA6E">
      <w:pPr>
        <w:pStyle w:val="3"/>
        <w:ind w:firstLine="480"/>
        <w:rPr>
          <w:color w:val="auto"/>
          <w:highlight w:val="none"/>
          <w:lang w:val="zh-CN"/>
        </w:rPr>
      </w:pPr>
      <w:r>
        <w:rPr>
          <w:color w:val="auto"/>
          <w:highlight w:val="none"/>
          <w:lang w:val="zh-CN"/>
        </w:rPr>
        <w:t>3）施工期间应划定施工活动范围，严格控制和管理运输车辆及重型机械的运行范围，不得离开运输道路随意行驶，应由专人负责，以防破坏土壤和植被，引发水土流失。</w:t>
      </w:r>
    </w:p>
    <w:p w14:paraId="0EAD52B5">
      <w:pPr>
        <w:pStyle w:val="3"/>
        <w:ind w:firstLine="480"/>
        <w:rPr>
          <w:color w:val="auto"/>
          <w:highlight w:val="none"/>
          <w:lang w:val="zh-CN"/>
        </w:rPr>
      </w:pPr>
      <w:r>
        <w:rPr>
          <w:color w:val="auto"/>
          <w:highlight w:val="none"/>
          <w:lang w:val="zh-CN"/>
        </w:rPr>
        <w:t>4）施工开挖土方、装卸运输土方等工序，应尽量避开降雨天。</w:t>
      </w:r>
    </w:p>
    <w:p w14:paraId="2A4AADF1">
      <w:pPr>
        <w:pStyle w:val="3"/>
        <w:ind w:firstLine="480"/>
        <w:rPr>
          <w:color w:val="auto"/>
          <w:highlight w:val="none"/>
          <w:lang w:val="zh-CN"/>
        </w:rPr>
      </w:pPr>
      <w:r>
        <w:rPr>
          <w:color w:val="auto"/>
          <w:highlight w:val="none"/>
          <w:lang w:val="zh-CN"/>
        </w:rPr>
        <w:t>5）尽量减少非生产生活车辆、机械进入施工区，施工中严格按照规划、设计施工占地要求，尽量减少地表植被及地表形态破坏。</w:t>
      </w:r>
    </w:p>
    <w:p w14:paraId="0DFFB545">
      <w:pPr>
        <w:pStyle w:val="3"/>
        <w:ind w:firstLine="480"/>
        <w:rPr>
          <w:color w:val="auto"/>
          <w:highlight w:val="none"/>
          <w:lang w:val="zh-CN"/>
        </w:rPr>
      </w:pPr>
      <w:r>
        <w:rPr>
          <w:color w:val="auto"/>
          <w:highlight w:val="none"/>
          <w:lang w:val="zh-CN"/>
        </w:rPr>
        <w:t>6）结合地形合理规划土方堆置场地，周围</w:t>
      </w:r>
      <w:r>
        <w:rPr>
          <w:rFonts w:hint="eastAsia"/>
          <w:color w:val="auto"/>
          <w:highlight w:val="none"/>
          <w:lang w:val="zh-CN"/>
        </w:rPr>
        <w:t>设置</w:t>
      </w:r>
      <w:r>
        <w:rPr>
          <w:color w:val="auto"/>
          <w:highlight w:val="none"/>
          <w:lang w:val="zh-CN"/>
        </w:rPr>
        <w:t>围挡物。</w:t>
      </w:r>
    </w:p>
    <w:p w14:paraId="25D9CCD1">
      <w:pPr>
        <w:pStyle w:val="3"/>
        <w:ind w:firstLine="480"/>
        <w:rPr>
          <w:color w:val="auto"/>
          <w:highlight w:val="none"/>
          <w:lang w:val="zh-CN"/>
        </w:rPr>
      </w:pPr>
      <w:r>
        <w:rPr>
          <w:color w:val="auto"/>
          <w:highlight w:val="none"/>
          <w:lang w:val="zh-CN"/>
        </w:rPr>
        <w:t>7）在装卸和运输土方、石灰等材料时，沿途尽量减少散落，定期清扫路面。厂区工程开挖造成的取土坑和回填好的坑待工序结束后，须及时压实整平，原土覆盖。</w:t>
      </w:r>
    </w:p>
    <w:p w14:paraId="2F9342F9">
      <w:pPr>
        <w:pStyle w:val="3"/>
        <w:ind w:firstLine="480"/>
        <w:rPr>
          <w:color w:val="auto"/>
          <w:highlight w:val="none"/>
          <w:lang w:val="zh-CN"/>
        </w:rPr>
      </w:pPr>
      <w:r>
        <w:rPr>
          <w:color w:val="auto"/>
          <w:highlight w:val="none"/>
          <w:lang w:val="zh-CN"/>
        </w:rPr>
        <w:t>8）原料输送管线铺设时注意挖出的土方集中堆置，并用苫布遮盖，及时进行回填，不能回填的土方用于绿化带覆土。</w:t>
      </w:r>
    </w:p>
    <w:p w14:paraId="3F7D0427">
      <w:pPr>
        <w:pStyle w:val="3"/>
        <w:ind w:firstLine="480"/>
        <w:rPr>
          <w:color w:val="auto"/>
          <w:highlight w:val="none"/>
          <w:lang w:val="zh-CN"/>
        </w:rPr>
      </w:pPr>
      <w:r>
        <w:rPr>
          <w:color w:val="auto"/>
          <w:highlight w:val="none"/>
          <w:lang w:val="zh-CN"/>
        </w:rPr>
        <w:t>9）施工过程中定时洒水，防治扬尘。</w:t>
      </w:r>
    </w:p>
    <w:p w14:paraId="3A1520C3">
      <w:pPr>
        <w:pStyle w:val="3"/>
        <w:ind w:firstLine="480"/>
        <w:rPr>
          <w:color w:val="auto"/>
          <w:highlight w:val="none"/>
          <w:lang w:val="zh-CN"/>
        </w:rPr>
      </w:pPr>
      <w:r>
        <w:rPr>
          <w:color w:val="auto"/>
          <w:highlight w:val="none"/>
          <w:lang w:val="zh-CN"/>
        </w:rPr>
        <w:t>10）在大风天气尽量不要施工，并做好堆土和建筑材料的遮盖。</w:t>
      </w:r>
    </w:p>
    <w:p w14:paraId="5796B573">
      <w:pPr>
        <w:pStyle w:val="3"/>
        <w:ind w:firstLine="480"/>
        <w:rPr>
          <w:color w:val="auto"/>
          <w:highlight w:val="none"/>
        </w:rPr>
      </w:pPr>
      <w:r>
        <w:rPr>
          <w:rFonts w:hint="eastAsia"/>
          <w:color w:val="auto"/>
          <w:highlight w:val="none"/>
        </w:rPr>
        <w:t>（5）</w:t>
      </w:r>
      <w:r>
        <w:rPr>
          <w:color w:val="auto"/>
          <w:highlight w:val="none"/>
        </w:rPr>
        <w:t>防沙治沙治理措施</w:t>
      </w:r>
    </w:p>
    <w:p w14:paraId="4BBBEA19">
      <w:pPr>
        <w:pStyle w:val="3"/>
        <w:ind w:firstLine="480"/>
        <w:rPr>
          <w:color w:val="auto"/>
          <w:highlight w:val="none"/>
        </w:rPr>
      </w:pPr>
      <w:r>
        <w:rPr>
          <w:color w:val="auto"/>
          <w:highlight w:val="none"/>
        </w:rPr>
        <w:t>按照《中华人民共和国防沙治沙法》（2018年11月14日修订）有关规定以及《关于加强沙区建设项目环境影响评价工作的通知》（新环环评发</w:t>
      </w:r>
      <w:r>
        <w:rPr>
          <w:rFonts w:hint="eastAsia"/>
          <w:color w:val="auto"/>
          <w:highlight w:val="none"/>
        </w:rPr>
        <w:t>〔2020〕138号</w:t>
      </w:r>
      <w:r>
        <w:rPr>
          <w:color w:val="auto"/>
          <w:highlight w:val="none"/>
        </w:rPr>
        <w:t>）文件：在沙化土地范围内从事开发建设活动的，必须事先就该项目可能对当地及相关地区生态产生的影响进行环境影响评价，依法提交环境影响报告，环境影响报告应当包括有关防沙治沙的内容。为了做好施工期防沙治沙工作，因此本次环评主要对施工期防沙有关措施进行明确。</w:t>
      </w:r>
    </w:p>
    <w:p w14:paraId="03109B73">
      <w:pPr>
        <w:pStyle w:val="3"/>
        <w:ind w:firstLine="480"/>
        <w:rPr>
          <w:color w:val="auto"/>
          <w:highlight w:val="none"/>
        </w:rPr>
      </w:pPr>
      <w:r>
        <w:rPr>
          <w:color w:val="auto"/>
          <w:highlight w:val="none"/>
        </w:rPr>
        <w:t>①施工方案应根据项目地周边植被分布情况，在满足设计要求的前提下进行适当的调整，以减少占地对区域环境的影响。</w:t>
      </w:r>
    </w:p>
    <w:p w14:paraId="2F284081">
      <w:pPr>
        <w:pStyle w:val="3"/>
        <w:ind w:firstLine="480"/>
        <w:rPr>
          <w:color w:val="auto"/>
          <w:highlight w:val="none"/>
        </w:rPr>
      </w:pPr>
      <w:r>
        <w:rPr>
          <w:color w:val="auto"/>
          <w:highlight w:val="none"/>
        </w:rPr>
        <w:t>②严格采取水土流失防治措施，施工完毕后对临时占地采取土地平整和防沙治沙措施，地表基本可免受水土流失影响。</w:t>
      </w:r>
    </w:p>
    <w:p w14:paraId="363F5169">
      <w:pPr>
        <w:pStyle w:val="3"/>
        <w:ind w:firstLine="480"/>
        <w:rPr>
          <w:color w:val="auto"/>
          <w:highlight w:val="none"/>
        </w:rPr>
      </w:pPr>
      <w:r>
        <w:rPr>
          <w:color w:val="auto"/>
          <w:highlight w:val="none"/>
        </w:rPr>
        <w:t>③严格控制和管理车辆及重型机械的运行范围，所有车辆采用“一”字型作业法，不开辟新路，以减少风蚀沙化活动的范围。</w:t>
      </w:r>
    </w:p>
    <w:p w14:paraId="3622EAA2">
      <w:pPr>
        <w:pStyle w:val="3"/>
        <w:ind w:firstLine="480"/>
        <w:rPr>
          <w:color w:val="auto"/>
          <w:highlight w:val="none"/>
        </w:rPr>
      </w:pPr>
      <w:r>
        <w:rPr>
          <w:color w:val="auto"/>
          <w:highlight w:val="none"/>
        </w:rPr>
        <w:t>④施工结束后，及时对临时占地进行压实平整，恢复原地貌。</w:t>
      </w:r>
    </w:p>
    <w:p w14:paraId="7490193F">
      <w:pPr>
        <w:pStyle w:val="3"/>
        <w:ind w:firstLine="480"/>
        <w:rPr>
          <w:color w:val="auto"/>
          <w:highlight w:val="none"/>
        </w:rPr>
      </w:pPr>
      <w:r>
        <w:rPr>
          <w:color w:val="auto"/>
          <w:highlight w:val="none"/>
        </w:rPr>
        <w:t>通过采取上述措施，项目施工期在一定程度上可以起到防沙治沙的作用。</w:t>
      </w:r>
    </w:p>
    <w:p w14:paraId="57258244">
      <w:pPr>
        <w:pStyle w:val="42"/>
        <w:rPr>
          <w:rFonts w:hint="default"/>
          <w:color w:val="auto"/>
          <w:highlight w:val="none"/>
        </w:rPr>
      </w:pPr>
      <w:r>
        <w:rPr>
          <w:color w:val="auto"/>
          <w:highlight w:val="none"/>
        </w:rPr>
        <w:t>施工期土壤环境影响防治措施</w:t>
      </w:r>
    </w:p>
    <w:p w14:paraId="5503589F">
      <w:pPr>
        <w:pStyle w:val="3"/>
        <w:ind w:firstLine="480"/>
        <w:rPr>
          <w:color w:val="auto"/>
          <w:highlight w:val="none"/>
        </w:rPr>
      </w:pPr>
      <w:r>
        <w:rPr>
          <w:rFonts w:hint="eastAsia"/>
          <w:color w:val="auto"/>
          <w:highlight w:val="none"/>
        </w:rPr>
        <w:t>生活污水依托现有一体化污水处理设施处理达标后，用于项目区绿化、洒水等；施工废水采取临时沉淀池处理后回用于工程施工生产用水及降尘洒水不外排。施工场地严格落实“6个100%”控尘措施，采取设置围栏、道路硬化、洒水抑尘、土料等覆盖防尘、限制车速、保持施工场地洁净、避免大风天气作业等防尘措施。</w:t>
      </w:r>
      <w:r>
        <w:rPr>
          <w:color w:val="auto"/>
          <w:highlight w:val="none"/>
        </w:rPr>
        <w:t>固体废物分类安全处置</w:t>
      </w:r>
      <w:r>
        <w:rPr>
          <w:rFonts w:hint="eastAsia"/>
          <w:color w:val="auto"/>
          <w:highlight w:val="none"/>
        </w:rPr>
        <w:t>，</w:t>
      </w:r>
      <w:r>
        <w:rPr>
          <w:color w:val="auto"/>
          <w:highlight w:val="none"/>
        </w:rPr>
        <w:t>机械勤加保养，防止漏油。</w:t>
      </w:r>
    </w:p>
    <w:p w14:paraId="7C6BB781">
      <w:pPr>
        <w:pStyle w:val="39"/>
        <w:rPr>
          <w:rFonts w:hint="default"/>
          <w:color w:val="auto"/>
          <w:highlight w:val="none"/>
        </w:rPr>
      </w:pPr>
      <w:bookmarkStart w:id="438" w:name="_Toc17065"/>
      <w:bookmarkStart w:id="439" w:name="_Toc19837"/>
      <w:r>
        <w:rPr>
          <w:rFonts w:hint="default"/>
          <w:color w:val="auto"/>
          <w:highlight w:val="none"/>
        </w:rPr>
        <w:t>运营期环境保护措施及其可行性分析</w:t>
      </w:r>
      <w:bookmarkEnd w:id="438"/>
      <w:bookmarkEnd w:id="439"/>
    </w:p>
    <w:p w14:paraId="4B6BD7B5">
      <w:pPr>
        <w:pStyle w:val="42"/>
        <w:rPr>
          <w:rFonts w:hint="default"/>
          <w:color w:val="auto"/>
          <w:highlight w:val="none"/>
        </w:rPr>
      </w:pPr>
      <w:r>
        <w:rPr>
          <w:rFonts w:hint="default"/>
          <w:color w:val="auto"/>
          <w:highlight w:val="none"/>
        </w:rPr>
        <w:t>大气污染防治措施</w:t>
      </w:r>
    </w:p>
    <w:p w14:paraId="033F20BC">
      <w:pPr>
        <w:pStyle w:val="3"/>
        <w:ind w:firstLine="480"/>
        <w:rPr>
          <w:color w:val="auto"/>
          <w:highlight w:val="none"/>
        </w:rPr>
      </w:pPr>
      <w:r>
        <w:rPr>
          <w:color w:val="auto"/>
          <w:highlight w:val="none"/>
        </w:rPr>
        <w:t>为了有效地控制颗粒物的排放量，减少其对周围环境的影响，对新增的产尘点采取以防为主的方针，从工艺设计上尽量减少生产中的扬尘产生，对有组织粉尘排放点采用密闭、安装集气罩及除尘器等措施，选矿厂所有产生点均安装收尘设施，对无组织粉尘排放源采用密闭式输送、降低物料落差、粉状物料储存采用封闭库以及洒水降尘等措施。</w:t>
      </w:r>
    </w:p>
    <w:p w14:paraId="27D787F1">
      <w:pPr>
        <w:pStyle w:val="43"/>
        <w:rPr>
          <w:color w:val="auto"/>
          <w:highlight w:val="none"/>
        </w:rPr>
      </w:pPr>
      <w:r>
        <w:rPr>
          <w:color w:val="auto"/>
          <w:highlight w:val="none"/>
        </w:rPr>
        <w:t xml:space="preserve"> 工艺废气</w:t>
      </w:r>
      <w:r>
        <w:rPr>
          <w:rFonts w:hint="eastAsia"/>
          <w:color w:val="auto"/>
          <w:highlight w:val="none"/>
        </w:rPr>
        <w:t>－</w:t>
      </w:r>
      <w:r>
        <w:rPr>
          <w:color w:val="auto"/>
          <w:highlight w:val="none"/>
        </w:rPr>
        <w:t>有组织粉尘排放污染防治措施及其可行性分析</w:t>
      </w:r>
    </w:p>
    <w:p w14:paraId="1286F283">
      <w:pPr>
        <w:pStyle w:val="3"/>
        <w:ind w:firstLine="480"/>
        <w:rPr>
          <w:color w:val="auto"/>
          <w:highlight w:val="none"/>
        </w:rPr>
      </w:pPr>
      <w:r>
        <w:rPr>
          <w:color w:val="auto"/>
          <w:highlight w:val="none"/>
        </w:rPr>
        <w:t>车间在上料工序的落料点设备和破碎、筛分等设备上方安装集气罩，并配套安装袋式除尘器，车间安装排气筒，变无组织排放为有组织排放。目前袋式除尘技术在我国较成熟，使用广泛，收尘效率可达到99.9%以上，由于布袋更换容易，因此事故排放时间短，排放量小，影响也较小。收集至袋式除尘器处理后的粉尘通过排气筒排放、加强收尘器运行管理等治理措施后，有组织废气污染物排放满足《铁矿采选工业污染物排放标准》（GB28661-2012）中“表5新建企业大气污染物排放浓度限值”中有组织排放标准限值及环境功能区的要求。</w:t>
      </w:r>
    </w:p>
    <w:p w14:paraId="5E123A6B">
      <w:pPr>
        <w:pStyle w:val="3"/>
        <w:ind w:firstLine="480"/>
        <w:rPr>
          <w:color w:val="auto"/>
          <w:highlight w:val="none"/>
        </w:rPr>
      </w:pPr>
      <w:r>
        <w:rPr>
          <w:color w:val="auto"/>
          <w:highlight w:val="none"/>
        </w:rPr>
        <w:t>袋式除尘器是一种干式滤尘装置，适用于捕集细小、干燥、非纤维性粉尘。袋式除尘器的滤袋采用纺织的滤布或非纺织的毡制成，利用纤维织物的过滤作用对含尘气体进行过滤，当含尘气体进入袋式除尘器后，颗粒大、比重大的粉尘，由于重力的作用沉降下来，落入灰斗，含有较细小粉尘的气体在通过滤料时，粉尘被阻留，使气体得到净化。</w:t>
      </w:r>
    </w:p>
    <w:p w14:paraId="7C5808DD">
      <w:pPr>
        <w:pStyle w:val="3"/>
        <w:ind w:firstLine="480"/>
        <w:rPr>
          <w:color w:val="auto"/>
          <w:highlight w:val="none"/>
        </w:rPr>
      </w:pPr>
      <w:r>
        <w:rPr>
          <w:color w:val="auto"/>
          <w:highlight w:val="none"/>
        </w:rPr>
        <w:t>袋式除尘器为现行粉尘废气较为常用的废气处理方式，具有以下特点：</w:t>
      </w:r>
    </w:p>
    <w:p w14:paraId="5858F900">
      <w:pPr>
        <w:pStyle w:val="3"/>
        <w:ind w:firstLine="480"/>
        <w:rPr>
          <w:color w:val="auto"/>
          <w:highlight w:val="none"/>
        </w:rPr>
      </w:pPr>
      <w:r>
        <w:rPr>
          <w:color w:val="auto"/>
          <w:highlight w:val="none"/>
        </w:rPr>
        <w:t>A.除尘效率高，一般在99%～99.99%，除尘器出口气体含尘浓度在数10mg/m</w:t>
      </w:r>
      <w:r>
        <w:rPr>
          <w:color w:val="auto"/>
          <w:highlight w:val="none"/>
          <w:vertAlign w:val="superscript"/>
        </w:rPr>
        <w:t>3</w:t>
      </w:r>
      <w:r>
        <w:rPr>
          <w:color w:val="auto"/>
          <w:highlight w:val="none"/>
        </w:rPr>
        <w:t>之内，对亚微米粒径的细尘有较高的分级效率。</w:t>
      </w:r>
    </w:p>
    <w:p w14:paraId="6855526F">
      <w:pPr>
        <w:pStyle w:val="3"/>
        <w:ind w:firstLine="480"/>
        <w:rPr>
          <w:color w:val="auto"/>
          <w:highlight w:val="none"/>
        </w:rPr>
      </w:pPr>
      <w:r>
        <w:rPr>
          <w:color w:val="auto"/>
          <w:highlight w:val="none"/>
        </w:rPr>
        <w:t>B.处理风量的范围广，小的仅1min数m</w:t>
      </w:r>
      <w:r>
        <w:rPr>
          <w:color w:val="auto"/>
          <w:highlight w:val="none"/>
          <w:vertAlign w:val="superscript"/>
        </w:rPr>
        <w:t>3</w:t>
      </w:r>
      <w:r>
        <w:rPr>
          <w:color w:val="auto"/>
          <w:highlight w:val="none"/>
        </w:rPr>
        <w:t>，大的可达1min数万m</w:t>
      </w:r>
      <w:r>
        <w:rPr>
          <w:color w:val="auto"/>
          <w:highlight w:val="none"/>
          <w:vertAlign w:val="superscript"/>
        </w:rPr>
        <w:t>3</w:t>
      </w:r>
      <w:r>
        <w:rPr>
          <w:color w:val="auto"/>
          <w:highlight w:val="none"/>
        </w:rPr>
        <w:t>，</w:t>
      </w:r>
      <w:r>
        <w:rPr>
          <w:rFonts w:hint="eastAsia"/>
          <w:color w:val="auto"/>
          <w:highlight w:val="none"/>
        </w:rPr>
        <w:t>即可</w:t>
      </w:r>
      <w:r>
        <w:rPr>
          <w:color w:val="auto"/>
          <w:highlight w:val="none"/>
        </w:rPr>
        <w:t>用于工业炉窑的烟气除尘，减少大气污染物的排放。</w:t>
      </w:r>
    </w:p>
    <w:p w14:paraId="2C485992">
      <w:pPr>
        <w:pStyle w:val="3"/>
        <w:ind w:firstLine="480"/>
        <w:rPr>
          <w:color w:val="auto"/>
          <w:highlight w:val="none"/>
        </w:rPr>
      </w:pPr>
      <w:r>
        <w:rPr>
          <w:color w:val="auto"/>
          <w:highlight w:val="none"/>
        </w:rPr>
        <w:t>C.结构简单，维护操作方便。</w:t>
      </w:r>
    </w:p>
    <w:p w14:paraId="6EA1096F">
      <w:pPr>
        <w:pStyle w:val="3"/>
        <w:ind w:firstLine="480"/>
        <w:rPr>
          <w:color w:val="auto"/>
          <w:highlight w:val="none"/>
        </w:rPr>
      </w:pPr>
      <w:r>
        <w:rPr>
          <w:color w:val="auto"/>
          <w:highlight w:val="none"/>
        </w:rPr>
        <w:t>D.在保证同样高除尘效率的前提下，造价低于电除尘器。</w:t>
      </w:r>
    </w:p>
    <w:p w14:paraId="32F3C789">
      <w:pPr>
        <w:pStyle w:val="3"/>
        <w:ind w:firstLine="480"/>
        <w:rPr>
          <w:color w:val="auto"/>
          <w:highlight w:val="none"/>
        </w:rPr>
      </w:pPr>
      <w:r>
        <w:rPr>
          <w:color w:val="auto"/>
          <w:highlight w:val="none"/>
        </w:rPr>
        <w:t>E.采用玻璃纤维、聚四氟乙烯、P84等耐高温滤料时，可在200℃以上的高温条件下运行。</w:t>
      </w:r>
    </w:p>
    <w:p w14:paraId="4D3A8EF0">
      <w:pPr>
        <w:pStyle w:val="3"/>
        <w:ind w:firstLine="480"/>
        <w:rPr>
          <w:color w:val="auto"/>
          <w:highlight w:val="none"/>
        </w:rPr>
      </w:pPr>
      <w:r>
        <w:rPr>
          <w:color w:val="auto"/>
          <w:highlight w:val="none"/>
        </w:rPr>
        <w:t>F.对粉尘的特性不敏感，不受粉尘比电阻的影响。</w:t>
      </w:r>
    </w:p>
    <w:p w14:paraId="5A8A618E">
      <w:pPr>
        <w:pStyle w:val="43"/>
        <w:rPr>
          <w:color w:val="auto"/>
          <w:highlight w:val="none"/>
        </w:rPr>
      </w:pPr>
      <w:r>
        <w:rPr>
          <w:color w:val="auto"/>
          <w:highlight w:val="none"/>
        </w:rPr>
        <w:t>锅炉废气排放污染防治措施及其可行性分析</w:t>
      </w:r>
    </w:p>
    <w:p w14:paraId="09CD72A9">
      <w:pPr>
        <w:pStyle w:val="3"/>
        <w:ind w:firstLine="480"/>
        <w:rPr>
          <w:color w:val="auto"/>
          <w:highlight w:val="none"/>
        </w:rPr>
      </w:pPr>
      <w:r>
        <w:rPr>
          <w:color w:val="auto"/>
          <w:highlight w:val="none"/>
        </w:rPr>
        <w:t>钛精矿烘干间建设2台</w:t>
      </w:r>
      <w:r>
        <w:rPr>
          <w:rFonts w:hint="eastAsia"/>
          <w:color w:val="auto"/>
          <w:highlight w:val="none"/>
        </w:rPr>
        <w:t>生物质炉窑</w:t>
      </w:r>
      <w:r>
        <w:rPr>
          <w:color w:val="auto"/>
          <w:highlight w:val="none"/>
        </w:rPr>
        <w:t>（一用一备），废气治理设施采用“布袋除尘器+双碱法脱硫”处理达标后排放，通过一根</w:t>
      </w:r>
      <w:r>
        <w:rPr>
          <w:rFonts w:hint="eastAsia"/>
          <w:color w:val="auto"/>
          <w:highlight w:val="none"/>
          <w:lang w:val="en-US" w:eastAsia="zh-CN"/>
        </w:rPr>
        <w:t>25</w:t>
      </w:r>
      <w:r>
        <w:rPr>
          <w:color w:val="auto"/>
          <w:highlight w:val="none"/>
        </w:rPr>
        <w:t>m高烟囱排放，布袋除尘器合计2台，脱硫塔1台。符合《锅炉</w:t>
      </w:r>
      <w:r>
        <w:rPr>
          <w:rFonts w:hint="eastAsia"/>
          <w:color w:val="auto"/>
          <w:highlight w:val="none"/>
        </w:rPr>
        <w:t>大气污染</w:t>
      </w:r>
      <w:r>
        <w:rPr>
          <w:rFonts w:hint="eastAsia"/>
          <w:color w:val="auto"/>
          <w:highlight w:val="none"/>
          <w:lang w:eastAsia="zh-CN"/>
        </w:rPr>
        <w:t>物</w:t>
      </w:r>
      <w:r>
        <w:rPr>
          <w:color w:val="auto"/>
          <w:highlight w:val="none"/>
        </w:rPr>
        <w:t>排放标准》（</w:t>
      </w:r>
      <w:r>
        <w:rPr>
          <w:rFonts w:hint="eastAsia"/>
          <w:color w:val="auto"/>
          <w:highlight w:val="none"/>
        </w:rPr>
        <w:t>GB13271</w:t>
      </w:r>
      <w:r>
        <w:rPr>
          <w:color w:val="auto"/>
          <w:highlight w:val="none"/>
        </w:rPr>
        <w:t>-2014）中推荐的污染防治可行技术。</w:t>
      </w:r>
    </w:p>
    <w:p w14:paraId="29B46A5A">
      <w:pPr>
        <w:pStyle w:val="3"/>
        <w:ind w:firstLine="480"/>
        <w:rPr>
          <w:color w:val="auto"/>
          <w:highlight w:val="none"/>
        </w:rPr>
      </w:pPr>
      <w:r>
        <w:rPr>
          <w:color w:val="auto"/>
          <w:highlight w:val="none"/>
        </w:rPr>
        <w:t>（1）粉尘</w:t>
      </w:r>
    </w:p>
    <w:p w14:paraId="0960D7F0">
      <w:pPr>
        <w:pStyle w:val="3"/>
        <w:ind w:firstLine="480"/>
        <w:rPr>
          <w:color w:val="auto"/>
          <w:highlight w:val="none"/>
        </w:rPr>
      </w:pPr>
      <w:r>
        <w:rPr>
          <w:color w:val="auto"/>
          <w:highlight w:val="none"/>
        </w:rPr>
        <w:t>颗粒物采用布袋除尘器治理，工作原理见上文“7.2.1.1 工艺废气</w:t>
      </w:r>
      <w:r>
        <w:rPr>
          <w:rFonts w:hint="eastAsia"/>
          <w:color w:val="auto"/>
          <w:highlight w:val="none"/>
        </w:rPr>
        <w:t>－</w:t>
      </w:r>
      <w:r>
        <w:rPr>
          <w:color w:val="auto"/>
          <w:highlight w:val="none"/>
        </w:rPr>
        <w:t>有组织粉尘排放污染防治措施及其可行性分析”。</w:t>
      </w:r>
    </w:p>
    <w:p w14:paraId="6348D279">
      <w:pPr>
        <w:pStyle w:val="3"/>
        <w:ind w:firstLine="480"/>
        <w:rPr>
          <w:color w:val="auto"/>
          <w:highlight w:val="none"/>
        </w:rPr>
      </w:pPr>
      <w:r>
        <w:rPr>
          <w:color w:val="auto"/>
          <w:highlight w:val="none"/>
        </w:rPr>
        <w:t>（2）二氧化硫</w:t>
      </w:r>
    </w:p>
    <w:p w14:paraId="7BBF6650">
      <w:pPr>
        <w:pStyle w:val="3"/>
        <w:ind w:firstLine="480"/>
        <w:rPr>
          <w:color w:val="auto"/>
          <w:highlight w:val="none"/>
        </w:rPr>
      </w:pPr>
      <w:r>
        <w:rPr>
          <w:color w:val="auto"/>
          <w:highlight w:val="none"/>
        </w:rPr>
        <w:t>本工程采用双碱法脱硫工艺脱硫，双碱法烟气脱硫技术是为了克服石灰石/石灰法容易结垢的缺点而发展起来的。它先用碱金属盐类如NaOH、Na</w:t>
      </w:r>
      <w:r>
        <w:rPr>
          <w:color w:val="auto"/>
          <w:highlight w:val="none"/>
          <w:vertAlign w:val="subscript"/>
        </w:rPr>
        <w:t>2</w:t>
      </w:r>
      <w:r>
        <w:rPr>
          <w:color w:val="auto"/>
          <w:highlight w:val="none"/>
        </w:rPr>
        <w:t>CO</w:t>
      </w:r>
      <w:r>
        <w:rPr>
          <w:color w:val="auto"/>
          <w:highlight w:val="none"/>
          <w:vertAlign w:val="subscript"/>
        </w:rPr>
        <w:t>3</w:t>
      </w:r>
      <w:r>
        <w:rPr>
          <w:color w:val="auto"/>
          <w:highlight w:val="none"/>
        </w:rPr>
        <w:t>、NaHCO</w:t>
      </w:r>
      <w:r>
        <w:rPr>
          <w:color w:val="auto"/>
          <w:highlight w:val="none"/>
          <w:vertAlign w:val="subscript"/>
        </w:rPr>
        <w:t>3</w:t>
      </w:r>
      <w:r>
        <w:rPr>
          <w:color w:val="auto"/>
          <w:highlight w:val="none"/>
        </w:rPr>
        <w:t>、Na</w:t>
      </w:r>
      <w:r>
        <w:rPr>
          <w:color w:val="auto"/>
          <w:highlight w:val="none"/>
          <w:vertAlign w:val="subscript"/>
        </w:rPr>
        <w:t>2</w:t>
      </w:r>
      <w:r>
        <w:rPr>
          <w:color w:val="auto"/>
          <w:highlight w:val="none"/>
        </w:rPr>
        <w:t>SO</w:t>
      </w:r>
      <w:r>
        <w:rPr>
          <w:color w:val="auto"/>
          <w:highlight w:val="none"/>
          <w:vertAlign w:val="subscript"/>
        </w:rPr>
        <w:t>3</w:t>
      </w:r>
      <w:r>
        <w:rPr>
          <w:color w:val="auto"/>
          <w:highlight w:val="none"/>
        </w:rPr>
        <w:t>等的水溶液吸收SO</w:t>
      </w:r>
      <w:r>
        <w:rPr>
          <w:color w:val="auto"/>
          <w:highlight w:val="none"/>
          <w:vertAlign w:val="subscript"/>
        </w:rPr>
        <w:t>2</w:t>
      </w:r>
      <w:r>
        <w:rPr>
          <w:color w:val="auto"/>
          <w:highlight w:val="none"/>
        </w:rPr>
        <w:t>，然后再用另一石灰反应器中用石灰或石灰石将吸收SO</w:t>
      </w:r>
      <w:r>
        <w:rPr>
          <w:color w:val="auto"/>
          <w:highlight w:val="none"/>
          <w:vertAlign w:val="subscript"/>
        </w:rPr>
        <w:t>2</w:t>
      </w:r>
      <w:r>
        <w:rPr>
          <w:color w:val="auto"/>
          <w:highlight w:val="none"/>
        </w:rPr>
        <w:t>后的溶液再生，再生后的吸收液循环使用，而SO</w:t>
      </w:r>
      <w:r>
        <w:rPr>
          <w:color w:val="auto"/>
          <w:highlight w:val="none"/>
          <w:vertAlign w:val="subscript"/>
        </w:rPr>
        <w:t>2</w:t>
      </w:r>
      <w:r>
        <w:rPr>
          <w:color w:val="auto"/>
          <w:highlight w:val="none"/>
        </w:rPr>
        <w:t>则以石膏的形式析出，生成亚硫酸钙和石膏。该法的明显优点是，由于主塔内采用液相吸收，吸收剂在塔外的再生池中进行再生，从而不存在塔内结垢和浆料堵塞问题，从而可以使用高效的板式塔或填料塔代替目前广泛使用的喷淋塔浆液法，减小吸收塔的尺寸及操作液气比，降低成本。另外，双碱法可得到较高的脱硫率，可达90%以上，应用范围较广，该法的主要缺点是再生池和澄清池占地面积较大。</w:t>
      </w:r>
    </w:p>
    <w:p w14:paraId="78C4FCA7">
      <w:pPr>
        <w:pStyle w:val="3"/>
        <w:ind w:firstLine="480"/>
        <w:rPr>
          <w:color w:val="auto"/>
          <w:highlight w:val="none"/>
        </w:rPr>
      </w:pPr>
      <w:r>
        <w:rPr>
          <w:color w:val="auto"/>
          <w:highlight w:val="none"/>
        </w:rPr>
        <w:t xml:space="preserve"> 湿法脱硫技术最为成熟，效率高，钙硫比低，运行可靠，操作简单，但存在脱硫产物的处理方法比较麻烦，烟温降低不易扩散，工艺复杂，废水处理，占地面积和投资</w:t>
      </w:r>
      <w:r>
        <w:rPr>
          <w:rFonts w:hint="eastAsia"/>
          <w:color w:val="auto"/>
          <w:highlight w:val="none"/>
        </w:rPr>
        <w:t>较大</w:t>
      </w:r>
      <w:r>
        <w:rPr>
          <w:color w:val="auto"/>
          <w:highlight w:val="none"/>
        </w:rPr>
        <w:t>等问题。</w:t>
      </w:r>
    </w:p>
    <w:p w14:paraId="381D7A98">
      <w:pPr>
        <w:pStyle w:val="3"/>
        <w:ind w:firstLine="480"/>
        <w:rPr>
          <w:color w:val="auto"/>
          <w:highlight w:val="none"/>
        </w:rPr>
      </w:pPr>
      <w:r>
        <w:rPr>
          <w:color w:val="auto"/>
          <w:highlight w:val="none"/>
        </w:rPr>
        <w:t xml:space="preserve"> 干法、半干法的脱硫产物为干粉状，处理容易，工艺比较简单，投资一般低于传统湿法，但脱硫剂（石灰/石灰石）的钙硫比高，脱硫效率低，脱硫剂的利用率低。综合上述干法与半干法装机率较低。</w:t>
      </w:r>
    </w:p>
    <w:p w14:paraId="5DF4F0A9">
      <w:pPr>
        <w:pStyle w:val="3"/>
        <w:ind w:firstLine="480"/>
        <w:rPr>
          <w:color w:val="auto"/>
          <w:highlight w:val="none"/>
        </w:rPr>
      </w:pPr>
      <w:r>
        <w:rPr>
          <w:color w:val="auto"/>
          <w:highlight w:val="none"/>
        </w:rPr>
        <w:t>综上所述本方案选用高效易操作</w:t>
      </w:r>
      <w:r>
        <w:rPr>
          <w:rFonts w:hint="eastAsia"/>
          <w:color w:val="auto"/>
          <w:highlight w:val="none"/>
        </w:rPr>
        <w:t>的</w:t>
      </w:r>
      <w:r>
        <w:rPr>
          <w:color w:val="auto"/>
          <w:highlight w:val="none"/>
        </w:rPr>
        <w:t>钠钙湿式双碱法脱硫工艺；</w:t>
      </w:r>
    </w:p>
    <w:p w14:paraId="18C15C43">
      <w:pPr>
        <w:pStyle w:val="3"/>
        <w:ind w:firstLine="480"/>
        <w:rPr>
          <w:color w:val="auto"/>
          <w:highlight w:val="none"/>
        </w:rPr>
      </w:pPr>
      <w:r>
        <w:rPr>
          <w:color w:val="auto"/>
          <w:highlight w:val="none"/>
        </w:rPr>
        <w:t>脱硫工艺见下图：</w:t>
      </w:r>
    </w:p>
    <w:p w14:paraId="4CFD3A26">
      <w:pPr>
        <w:pStyle w:val="3"/>
        <w:spacing w:line="480" w:lineRule="auto"/>
        <w:ind w:firstLine="0" w:firstLineChars="0"/>
        <w:jc w:val="center"/>
        <w:rPr>
          <w:color w:val="auto"/>
          <w:highlight w:val="none"/>
        </w:rPr>
      </w:pPr>
      <w:r>
        <w:rPr>
          <w:color w:val="auto"/>
          <w:highlight w:val="none"/>
        </w:rPr>
        <w:object>
          <v:shape id="_x0000_i1034" o:spt="75" type="#_x0000_t75" style="height:249.6pt;width:456.6pt;" o:ole="t" filled="f" o:preferrelative="t" stroked="f" coordsize="21600,21600">
            <v:path/>
            <v:fill on="f" focussize="0,0"/>
            <v:stroke on="f" joinstyle="miter"/>
            <v:imagedata r:id="rId86" o:title=""/>
            <o:lock v:ext="edit" aspectratio="t"/>
            <w10:wrap type="none"/>
            <w10:anchorlock/>
          </v:shape>
          <o:OLEObject Type="Embed" ProgID="AutoCAD.Drawing.16" ShapeID="_x0000_i1034" DrawAspect="Content" ObjectID="_1468075734" r:id="rId85">
            <o:LockedField>false</o:LockedField>
          </o:OLEObject>
        </w:object>
      </w:r>
      <w:r>
        <w:rPr>
          <w:color w:val="auto"/>
          <w:highlight w:val="none"/>
        </w:rPr>
        <w:t xml:space="preserve">    </w:t>
      </w:r>
      <w:r>
        <w:rPr>
          <w:rFonts w:hint="eastAsia"/>
          <w:b/>
          <w:bCs/>
          <w:color w:val="auto"/>
          <w:kern w:val="0"/>
          <w:sz w:val="22"/>
          <w:szCs w:val="22"/>
          <w:highlight w:val="none"/>
        </w:rPr>
        <w:t>图7.2-1  项目脱硫工艺流程图</w:t>
      </w:r>
    </w:p>
    <w:p w14:paraId="29ACAC68">
      <w:pPr>
        <w:pStyle w:val="3"/>
        <w:ind w:firstLine="480"/>
        <w:rPr>
          <w:color w:val="auto"/>
          <w:highlight w:val="none"/>
        </w:rPr>
      </w:pPr>
      <w:r>
        <w:rPr>
          <w:color w:val="auto"/>
          <w:highlight w:val="none"/>
        </w:rPr>
        <w:t>正常运行时，未脱硫的烟气经过脱硫系统进口挡板门进入吸收塔内，烟气在塔内自下而上运动，其间与从塔的上部喷淋下来的碱液充分接触，并发生化学反应，烟气中的二氧化硫被除去，同时烟气温度降至80℃左右，净化后的烟气经吸收塔顶部的两级除雾器除去雾滴后，离开吸收塔进入烟道，经过脱硫系统出口挡板门，回到原有主烟道，再经过烟囱排入大气。</w:t>
      </w:r>
    </w:p>
    <w:p w14:paraId="605EDB22">
      <w:pPr>
        <w:pStyle w:val="42"/>
        <w:rPr>
          <w:rFonts w:hint="default"/>
          <w:color w:val="auto"/>
          <w:highlight w:val="none"/>
        </w:rPr>
      </w:pPr>
      <w:r>
        <w:rPr>
          <w:rFonts w:hint="default"/>
          <w:color w:val="auto"/>
          <w:highlight w:val="none"/>
        </w:rPr>
        <w:t>无组织粉尘污染防治措施</w:t>
      </w:r>
    </w:p>
    <w:p w14:paraId="3209A0E3">
      <w:pPr>
        <w:pStyle w:val="3"/>
        <w:ind w:firstLine="480"/>
        <w:rPr>
          <w:color w:val="auto"/>
          <w:highlight w:val="none"/>
        </w:rPr>
      </w:pPr>
      <w:r>
        <w:rPr>
          <w:color w:val="auto"/>
          <w:highlight w:val="none"/>
        </w:rPr>
        <w:t>（1）生产车间封闭，各工艺设备间有封闭皮带通廊。</w:t>
      </w:r>
    </w:p>
    <w:p w14:paraId="366DEFC5">
      <w:pPr>
        <w:pStyle w:val="3"/>
        <w:ind w:firstLine="480"/>
        <w:rPr>
          <w:color w:val="auto"/>
          <w:highlight w:val="none"/>
        </w:rPr>
      </w:pPr>
      <w:r>
        <w:rPr>
          <w:color w:val="auto"/>
          <w:highlight w:val="none"/>
        </w:rPr>
        <w:t>（2）原矿堆场，采用封闭储存，同时设置洒水装置，可降低堆场周围的扬尘。</w:t>
      </w:r>
    </w:p>
    <w:p w14:paraId="32942119">
      <w:pPr>
        <w:pStyle w:val="3"/>
        <w:ind w:firstLine="480"/>
        <w:rPr>
          <w:color w:val="auto"/>
          <w:highlight w:val="none"/>
        </w:rPr>
      </w:pPr>
      <w:r>
        <w:rPr>
          <w:color w:val="auto"/>
          <w:highlight w:val="none"/>
        </w:rPr>
        <w:t>（3）建设封闭式产品库房；</w:t>
      </w:r>
    </w:p>
    <w:p w14:paraId="77C68F53">
      <w:pPr>
        <w:pStyle w:val="3"/>
        <w:ind w:firstLine="480"/>
        <w:rPr>
          <w:color w:val="auto"/>
          <w:highlight w:val="none"/>
        </w:rPr>
      </w:pPr>
      <w:r>
        <w:rPr>
          <w:color w:val="auto"/>
          <w:highlight w:val="none"/>
        </w:rPr>
        <w:t>（4）尾矿库扬尘：尾砂含水分蒸发后形成干滩，当天晴有风时，裸露在干滩上的尾矿对尾矿库周围环境有一定的影响。尾矿放矿过程中必须严格遵循设计提出的方案，尾矿浆的排放必须按设计要求沿坝体内坡均匀分散放矿，严禁在坝一侧或库中放矿。</w:t>
      </w:r>
    </w:p>
    <w:p w14:paraId="17755BCA">
      <w:pPr>
        <w:pStyle w:val="3"/>
        <w:ind w:firstLine="480"/>
        <w:rPr>
          <w:color w:val="auto"/>
          <w:highlight w:val="none"/>
        </w:rPr>
      </w:pPr>
      <w:r>
        <w:rPr>
          <w:color w:val="auto"/>
          <w:highlight w:val="none"/>
        </w:rPr>
        <w:t>（5）运输扬尘：本项目采取道路路面硬化并洒水降尘，道路两侧、生活区根据实际情况实施绿化以减轻风力的扬尘影响。项目区内运输线路两侧无居民区。运输车辆上覆篷布，运输途中不易起尘，运输途中车辆严禁超载和超速行驶，运输道路进行洒水抑尘，减少粉尘污染。</w:t>
      </w:r>
    </w:p>
    <w:p w14:paraId="0C4F18F2">
      <w:pPr>
        <w:pStyle w:val="3"/>
        <w:ind w:firstLine="480"/>
        <w:rPr>
          <w:color w:val="auto"/>
          <w:highlight w:val="none"/>
        </w:rPr>
      </w:pPr>
      <w:r>
        <w:rPr>
          <w:color w:val="auto"/>
          <w:highlight w:val="none"/>
        </w:rPr>
        <w:t>（6）针对燃油设备和车辆运行时产生的无组织燃油废气，选用低能耗、高效率的燃油设备和车辆，对其加强日常检修及维护保养，加强对燃油设备和车辆的管理，对项目区建筑设施及场所进行合理布局，在项目区合理设置指示牌，减少燃油设备和车辆运行时间和距离。</w:t>
      </w:r>
    </w:p>
    <w:p w14:paraId="517CB71B">
      <w:pPr>
        <w:pStyle w:val="3"/>
        <w:ind w:firstLine="480"/>
        <w:rPr>
          <w:color w:val="auto"/>
          <w:highlight w:val="none"/>
        </w:rPr>
      </w:pPr>
      <w:r>
        <w:rPr>
          <w:color w:val="auto"/>
          <w:highlight w:val="none"/>
        </w:rPr>
        <w:t>（7）选矿厂工业场地的工作人员佩戴好个人劳动防护用品，对接触粉尘较多的工人佩戴好防尘口罩和增强个体营养保健。</w:t>
      </w:r>
    </w:p>
    <w:p w14:paraId="388973AE">
      <w:pPr>
        <w:pStyle w:val="3"/>
        <w:ind w:firstLine="480"/>
        <w:rPr>
          <w:color w:val="auto"/>
          <w:highlight w:val="none"/>
        </w:rPr>
      </w:pPr>
      <w:r>
        <w:rPr>
          <w:color w:val="auto"/>
          <w:highlight w:val="none"/>
        </w:rPr>
        <w:t>以上措施是国内外生产实践中防止粉尘无组织排放而普遍采用、简易可行的成熟的技术和方法，经同类企业实践证明效果亦是较好的，尤其是对物料堆存粉尘的无组织排放防治效果明显，可以保证无组织粉尘达标排放，最大限度地减少对周围环境的影响。本项目对上述措施应严格予以实施。</w:t>
      </w:r>
    </w:p>
    <w:p w14:paraId="0C27B122">
      <w:pPr>
        <w:pStyle w:val="3"/>
        <w:ind w:firstLine="480"/>
        <w:rPr>
          <w:color w:val="auto"/>
          <w:highlight w:val="none"/>
        </w:rPr>
      </w:pPr>
      <w:r>
        <w:rPr>
          <w:color w:val="auto"/>
          <w:highlight w:val="none"/>
        </w:rPr>
        <w:t>本项目采取的废气治理措施经济合理可行，易操作。对于本项目无组织排放能够起到较好</w:t>
      </w:r>
      <w:r>
        <w:rPr>
          <w:rFonts w:hint="eastAsia"/>
          <w:color w:val="auto"/>
          <w:highlight w:val="none"/>
        </w:rPr>
        <w:t>的</w:t>
      </w:r>
      <w:r>
        <w:rPr>
          <w:color w:val="auto"/>
          <w:highlight w:val="none"/>
        </w:rPr>
        <w:t>控制效果。厂界粉尘满足《铁矿采选工业污染物排放标准》（GB28661-2012）中无组织排放监控浓度限值标准要求。</w:t>
      </w:r>
    </w:p>
    <w:p w14:paraId="69C30D70">
      <w:pPr>
        <w:pStyle w:val="42"/>
        <w:rPr>
          <w:rFonts w:hint="default"/>
          <w:color w:val="auto"/>
          <w:highlight w:val="none"/>
        </w:rPr>
      </w:pPr>
      <w:r>
        <w:rPr>
          <w:rFonts w:hint="default"/>
          <w:color w:val="auto"/>
          <w:highlight w:val="none"/>
        </w:rPr>
        <w:t>地表水污染防治措施</w:t>
      </w:r>
    </w:p>
    <w:p w14:paraId="0744F26A">
      <w:pPr>
        <w:pStyle w:val="43"/>
        <w:rPr>
          <w:color w:val="auto"/>
          <w:highlight w:val="none"/>
        </w:rPr>
      </w:pPr>
      <w:r>
        <w:rPr>
          <w:color w:val="auto"/>
          <w:highlight w:val="none"/>
        </w:rPr>
        <w:t>生活污水防治措施</w:t>
      </w:r>
    </w:p>
    <w:p w14:paraId="1BAE34D2">
      <w:pPr>
        <w:pStyle w:val="3"/>
        <w:ind w:firstLine="480"/>
        <w:rPr>
          <w:color w:val="auto"/>
          <w:highlight w:val="none"/>
        </w:rPr>
      </w:pPr>
      <w:r>
        <w:rPr>
          <w:color w:val="auto"/>
          <w:highlight w:val="none"/>
        </w:rPr>
        <w:t>本项目生产废水主要为选矿废水，选矿尾矿通过尾矿输送管进入尾矿库，通过回水系统进入集水池循环泵送回选矿回水</w:t>
      </w:r>
      <w:r>
        <w:rPr>
          <w:rFonts w:hint="eastAsia"/>
          <w:color w:val="auto"/>
          <w:highlight w:val="none"/>
        </w:rPr>
        <w:t>循环</w:t>
      </w:r>
      <w:r>
        <w:rPr>
          <w:color w:val="auto"/>
          <w:highlight w:val="none"/>
        </w:rPr>
        <w:t>水池，澄清后进入选矿生产线循环使用，定期补充新鲜水，无生产废水产生。生活污水依托现状地埋式一体化污水处理设施。通过以上措施，本项目废水可实现内部循环利用，不外排，不会对地表水产生影响，且项目区及周边无地表水体，措施可行。</w:t>
      </w:r>
    </w:p>
    <w:p w14:paraId="0EF70B3A">
      <w:pPr>
        <w:pStyle w:val="3"/>
        <w:ind w:firstLine="480"/>
        <w:rPr>
          <w:rFonts w:hint="default" w:eastAsia="华文中宋"/>
          <w:color w:val="auto"/>
          <w:highlight w:val="none"/>
          <w:lang w:val="en-US" w:eastAsia="zh-CN"/>
        </w:rPr>
      </w:pPr>
      <w:r>
        <w:rPr>
          <w:rFonts w:hint="eastAsia"/>
          <w:color w:val="auto"/>
          <w:highlight w:val="none"/>
          <w:lang w:val="en-US" w:eastAsia="zh-CN"/>
        </w:rPr>
        <w:t>本项目生活污水依托选矿厂现有地埋式一体化污水处理设施进行处理，根据收集资料，选矿厂现有污水处理设施处理能力为200m</w:t>
      </w:r>
      <w:r>
        <w:rPr>
          <w:rFonts w:hint="eastAsia"/>
          <w:color w:val="auto"/>
          <w:highlight w:val="none"/>
          <w:vertAlign w:val="superscript"/>
          <w:lang w:val="en-US" w:eastAsia="zh-CN"/>
        </w:rPr>
        <w:t>3</w:t>
      </w:r>
      <w:r>
        <w:rPr>
          <w:rFonts w:hint="eastAsia"/>
          <w:color w:val="auto"/>
          <w:highlight w:val="none"/>
          <w:lang w:val="en-US" w:eastAsia="zh-CN"/>
        </w:rPr>
        <w:t>/d，现有20万t/a选矿厂生活污水产生量为0.884m</w:t>
      </w:r>
      <w:r>
        <w:rPr>
          <w:rFonts w:hint="eastAsia"/>
          <w:color w:val="auto"/>
          <w:highlight w:val="none"/>
          <w:vertAlign w:val="superscript"/>
          <w:lang w:val="en-US" w:eastAsia="zh-CN"/>
        </w:rPr>
        <w:t>3</w:t>
      </w:r>
      <w:r>
        <w:rPr>
          <w:rFonts w:hint="eastAsia"/>
          <w:color w:val="auto"/>
          <w:highlight w:val="none"/>
          <w:lang w:val="en-US" w:eastAsia="zh-CN"/>
        </w:rPr>
        <w:t>/d，本项目生活污水产生量为54.24m</w:t>
      </w:r>
      <w:r>
        <w:rPr>
          <w:rFonts w:hint="eastAsia"/>
          <w:color w:val="auto"/>
          <w:highlight w:val="none"/>
          <w:vertAlign w:val="superscript"/>
          <w:lang w:val="en-US" w:eastAsia="zh-CN"/>
        </w:rPr>
        <w:t>3</w:t>
      </w:r>
      <w:r>
        <w:rPr>
          <w:rFonts w:hint="eastAsia"/>
          <w:color w:val="auto"/>
          <w:highlight w:val="none"/>
          <w:lang w:val="en-US" w:eastAsia="zh-CN"/>
        </w:rPr>
        <w:t>/d，从处理能力分析，现有生活污水处理设施处理能力能够满足本项目生活污水的处理量。</w:t>
      </w:r>
    </w:p>
    <w:p w14:paraId="56EA5303">
      <w:pPr>
        <w:pStyle w:val="3"/>
        <w:ind w:firstLine="480"/>
        <w:jc w:val="center"/>
        <w:rPr>
          <w:color w:val="auto"/>
          <w:highlight w:val="none"/>
        </w:rPr>
      </w:pPr>
      <w:r>
        <w:rPr>
          <w:color w:val="auto"/>
          <w:highlight w:val="none"/>
        </w:rPr>
        <w:t>图7.2-</w:t>
      </w:r>
      <w:r>
        <w:rPr>
          <w:rFonts w:hint="eastAsia"/>
          <w:color w:val="auto"/>
          <w:highlight w:val="none"/>
          <w:lang w:val="en-US" w:eastAsia="zh-CN"/>
        </w:rPr>
        <w:t>2</w:t>
      </w:r>
      <w:r>
        <w:rPr>
          <w:color w:val="auto"/>
          <w:highlight w:val="none"/>
        </w:rPr>
        <w:t xml:space="preserve">     一体化地埋式处理设施概况图</w:t>
      </w:r>
      <w:r>
        <w:rPr>
          <w:color w:val="auto"/>
          <w:highlight w:val="none"/>
        </w:rPr>
        <w:drawing>
          <wp:anchor distT="0" distB="0" distL="114300" distR="114300" simplePos="0" relativeHeight="251663360" behindDoc="0" locked="0" layoutInCell="1" allowOverlap="1">
            <wp:simplePos x="0" y="0"/>
            <wp:positionH relativeFrom="column">
              <wp:posOffset>2686050</wp:posOffset>
            </wp:positionH>
            <wp:positionV relativeFrom="paragraph">
              <wp:posOffset>154940</wp:posOffset>
            </wp:positionV>
            <wp:extent cx="2505075" cy="1885950"/>
            <wp:effectExtent l="9525" t="9525" r="19050" b="9525"/>
            <wp:wrapTopAndBottom/>
            <wp:docPr id="20" name="图片 21" descr="lALPD4d8sOOE-jfMxs0BBw_263_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1" descr="lALPD4d8sOOE-jfMxs0BBw_263_198"/>
                    <pic:cNvPicPr>
                      <a:picLocks noChangeAspect="1"/>
                    </pic:cNvPicPr>
                  </pic:nvPicPr>
                  <pic:blipFill>
                    <a:blip r:embed="rId87"/>
                    <a:stretch>
                      <a:fillRect/>
                    </a:stretch>
                  </pic:blipFill>
                  <pic:spPr>
                    <a:xfrm>
                      <a:off x="0" y="0"/>
                      <a:ext cx="2505075" cy="1885950"/>
                    </a:xfrm>
                    <a:prstGeom prst="rect">
                      <a:avLst/>
                    </a:prstGeom>
                    <a:noFill/>
                    <a:ln w="9525" cap="flat" cmpd="sng">
                      <a:solidFill>
                        <a:srgbClr val="000000"/>
                      </a:solidFill>
                      <a:prstDash val="solid"/>
                      <a:miter/>
                      <a:headEnd type="none" w="med" len="med"/>
                      <a:tailEnd type="none" w="med" len="med"/>
                    </a:ln>
                  </pic:spPr>
                </pic:pic>
              </a:graphicData>
            </a:graphic>
          </wp:anchor>
        </w:drawing>
      </w:r>
      <w:r>
        <w:rPr>
          <w:color w:val="auto"/>
          <w:highlight w:val="none"/>
        </w:rPr>
        <w:drawing>
          <wp:anchor distT="0" distB="0" distL="114300" distR="114300" simplePos="0" relativeHeight="251664384" behindDoc="0" locked="0" layoutInCell="1" allowOverlap="1">
            <wp:simplePos x="0" y="0"/>
            <wp:positionH relativeFrom="column">
              <wp:posOffset>47625</wp:posOffset>
            </wp:positionH>
            <wp:positionV relativeFrom="paragraph">
              <wp:posOffset>139065</wp:posOffset>
            </wp:positionV>
            <wp:extent cx="2552700" cy="1885950"/>
            <wp:effectExtent l="9525" t="9525" r="9525" b="9525"/>
            <wp:wrapTopAndBottom/>
            <wp:docPr id="67" name="图片 22" descr="lALPD4Bhs5n5E2jMxs0BDA_268_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2" descr="lALPD4Bhs5n5E2jMxs0BDA_268_198"/>
                    <pic:cNvPicPr>
                      <a:picLocks noChangeAspect="1"/>
                    </pic:cNvPicPr>
                  </pic:nvPicPr>
                  <pic:blipFill>
                    <a:blip r:embed="rId88"/>
                    <a:stretch>
                      <a:fillRect/>
                    </a:stretch>
                  </pic:blipFill>
                  <pic:spPr>
                    <a:xfrm>
                      <a:off x="0" y="0"/>
                      <a:ext cx="2552700" cy="1885950"/>
                    </a:xfrm>
                    <a:prstGeom prst="rect">
                      <a:avLst/>
                    </a:prstGeom>
                    <a:noFill/>
                    <a:ln w="9525" cap="flat" cmpd="sng">
                      <a:solidFill>
                        <a:srgbClr val="000000"/>
                      </a:solidFill>
                      <a:prstDash val="solid"/>
                      <a:miter/>
                      <a:headEnd type="none" w="med" len="med"/>
                      <a:tailEnd type="none" w="med" len="med"/>
                    </a:ln>
                  </pic:spPr>
                </pic:pic>
              </a:graphicData>
            </a:graphic>
          </wp:anchor>
        </w:drawing>
      </w:r>
    </w:p>
    <w:p w14:paraId="0D81658A">
      <w:pPr>
        <w:pStyle w:val="3"/>
        <w:ind w:firstLine="480"/>
        <w:rPr>
          <w:color w:val="auto"/>
          <w:highlight w:val="none"/>
        </w:rPr>
      </w:pPr>
      <w:r>
        <w:rPr>
          <w:rFonts w:hint="eastAsia"/>
          <w:color w:val="auto"/>
          <w:highlight w:val="none"/>
          <w:lang w:val="en-US" w:eastAsia="zh-CN"/>
        </w:rPr>
        <w:t>现有生活污水处理</w:t>
      </w:r>
      <w:r>
        <w:rPr>
          <w:color w:val="auto"/>
          <w:highlight w:val="none"/>
        </w:rPr>
        <w:t>工作原理：生活污水经粗、细格栅后和经过预处理后的生产废水进入调节池，在其中达到均质、均量；然后进入初沉池以去除水中悬浮物等，进入初沉池后较大比重的悬浮物及颗粒物下沉到底部；而后进入水解酸化池，水解酸化工艺可将废水中难生物降解的有机物转变为易生物降解的有机物，提高废水的可生化性，以利于后续的好氧处理。经沉淀和水解酸化处理的废水进入接触氧化池，在池内设置填料，池底曝气对污水进行充氧，并使池体内污水处于流动状态，以保证污水与污水中的填料充分接触，避免生物接触氧化池中存在污水与填料接触不均的缺陷。接触氧化池下方分布曝气头以提升氧料，上方串挂气体弹性填料，有机物在水中利用好氧菌的作用得以去除。废水最后进入二沉池，经沉淀后外排，部分污泥回流到接触氧化池。</w:t>
      </w:r>
    </w:p>
    <w:p w14:paraId="54AFF565">
      <w:pPr>
        <w:pStyle w:val="3"/>
        <w:ind w:firstLine="480"/>
        <w:rPr>
          <w:rFonts w:hint="eastAsia"/>
          <w:color w:val="auto"/>
          <w:highlight w:val="none"/>
          <w:lang w:eastAsia="zh-CN"/>
        </w:rPr>
      </w:pPr>
      <w:r>
        <w:rPr>
          <w:rFonts w:hint="eastAsia"/>
          <w:color w:val="auto"/>
          <w:highlight w:val="none"/>
          <w:lang w:val="en-US" w:eastAsia="zh-CN"/>
        </w:rPr>
        <w:t>生活污水中COD、BOD</w:t>
      </w:r>
      <w:r>
        <w:rPr>
          <w:rFonts w:hint="eastAsia"/>
          <w:color w:val="auto"/>
          <w:highlight w:val="none"/>
          <w:vertAlign w:val="subscript"/>
          <w:lang w:val="en-US" w:eastAsia="zh-CN"/>
        </w:rPr>
        <w:t>5</w:t>
      </w:r>
      <w:r>
        <w:rPr>
          <w:rFonts w:hint="eastAsia"/>
          <w:color w:val="auto"/>
          <w:highlight w:val="none"/>
          <w:lang w:val="en-US" w:eastAsia="zh-CN"/>
        </w:rPr>
        <w:t>、SS、氨氮等污染物产生浓度分别约为300mg/L、200mg/L、250mg/L、25mg/L。经生物接触氧化法处理后</w:t>
      </w:r>
      <w:r>
        <w:rPr>
          <w:color w:val="auto"/>
          <w:highlight w:val="none"/>
        </w:rPr>
        <w:t>，出水水质能够达到</w:t>
      </w:r>
      <w:r>
        <w:rPr>
          <w:rFonts w:hint="eastAsia"/>
          <w:color w:val="auto"/>
          <w:highlight w:val="none"/>
        </w:rPr>
        <w:t>《城市污水再生利用</w:t>
      </w:r>
      <w:r>
        <w:rPr>
          <w:rFonts w:hint="eastAsia"/>
          <w:color w:val="auto"/>
          <w:highlight w:val="none"/>
          <w:lang w:val="en-US" w:eastAsia="zh-CN"/>
        </w:rPr>
        <w:t xml:space="preserve"> </w:t>
      </w:r>
      <w:r>
        <w:rPr>
          <w:rFonts w:hint="eastAsia"/>
          <w:color w:val="auto"/>
          <w:highlight w:val="none"/>
        </w:rPr>
        <w:t>城市杂用水水质》</w:t>
      </w:r>
      <w:r>
        <w:rPr>
          <w:rFonts w:hint="eastAsia"/>
          <w:color w:val="auto"/>
          <w:highlight w:val="none"/>
          <w:lang w:eastAsia="zh-CN"/>
        </w:rPr>
        <w:t>（</w:t>
      </w:r>
      <w:r>
        <w:rPr>
          <w:rFonts w:hint="eastAsia"/>
          <w:color w:val="auto"/>
          <w:highlight w:val="none"/>
        </w:rPr>
        <w:t>GB/T 18920-2020</w:t>
      </w:r>
      <w:r>
        <w:rPr>
          <w:rFonts w:hint="eastAsia"/>
          <w:color w:val="auto"/>
          <w:highlight w:val="none"/>
          <w:lang w:eastAsia="zh-CN"/>
        </w:rPr>
        <w:t>）</w:t>
      </w:r>
      <w:r>
        <w:rPr>
          <w:rFonts w:hint="eastAsia"/>
          <w:color w:val="auto"/>
          <w:highlight w:val="none"/>
        </w:rPr>
        <w:t>中的城市绿化、道路清扫、消防、建筑施工限值</w:t>
      </w:r>
      <w:r>
        <w:rPr>
          <w:rFonts w:hint="eastAsia"/>
          <w:color w:val="auto"/>
          <w:highlight w:val="none"/>
          <w:lang w:eastAsia="zh-CN"/>
        </w:rPr>
        <w:t>。</w:t>
      </w:r>
    </w:p>
    <w:p w14:paraId="2006970B">
      <w:pPr>
        <w:pStyle w:val="3"/>
        <w:ind w:firstLine="480"/>
        <w:rPr>
          <w:rFonts w:hint="eastAsia"/>
          <w:color w:val="auto"/>
          <w:highlight w:val="none"/>
          <w:lang w:val="en-US" w:eastAsia="zh-CN"/>
        </w:rPr>
      </w:pPr>
      <w:r>
        <w:rPr>
          <w:rFonts w:hint="eastAsia"/>
          <w:color w:val="auto"/>
          <w:highlight w:val="none"/>
          <w:lang w:val="en-US" w:eastAsia="zh-CN"/>
        </w:rPr>
        <w:t>综上所述，选矿厂现有地埋式一体化生活污水处理设施处理能力、处理工艺、出水水质等均能够满足本项目生活污水的处理要求，依托可行。</w:t>
      </w:r>
    </w:p>
    <w:p w14:paraId="0213C110">
      <w:pPr>
        <w:pStyle w:val="43"/>
        <w:rPr>
          <w:rFonts w:hint="default"/>
          <w:color w:val="auto"/>
          <w:highlight w:val="none"/>
          <w:lang w:val="en-US" w:eastAsia="zh-CN"/>
        </w:rPr>
      </w:pPr>
      <w:r>
        <w:rPr>
          <w:rFonts w:hint="eastAsia"/>
          <w:color w:val="auto"/>
          <w:highlight w:val="none"/>
          <w:lang w:val="en-US" w:eastAsia="zh-CN"/>
        </w:rPr>
        <w:t>选矿生产废水防治措施</w:t>
      </w:r>
    </w:p>
    <w:p w14:paraId="28C90F67">
      <w:pPr>
        <w:keepNext w:val="0"/>
        <w:keepLines w:val="0"/>
        <w:pageBreakBefore w:val="0"/>
        <w:kinsoku/>
        <w:wordWrap/>
        <w:overflowPunct w:val="0"/>
        <w:topLinePunct/>
        <w:autoSpaceDE/>
        <w:autoSpaceDN/>
        <w:bidi w:val="0"/>
        <w:adjustRightInd/>
        <w:snapToGrid/>
        <w:ind w:firstLine="480"/>
        <w:textAlignment w:val="auto"/>
        <w:rPr>
          <w:rFonts w:hint="eastAsia" w:ascii="华文中宋" w:hAnsi="华文中宋" w:eastAsia="华文中宋" w:cs="华文中宋"/>
          <w:color w:val="auto"/>
          <w:highlight w:val="none"/>
          <w:lang w:val="en-US" w:eastAsia="zh-CN"/>
        </w:rPr>
      </w:pPr>
      <w:r>
        <w:rPr>
          <w:rFonts w:hint="eastAsia"/>
          <w:color w:val="auto"/>
          <w:highlight w:val="none"/>
          <w:lang w:val="en-US" w:eastAsia="zh-CN"/>
        </w:rPr>
        <w:t>本项目运营期选矿废水产生于选矿过程，</w:t>
      </w:r>
      <w:r>
        <w:rPr>
          <w:rFonts w:hint="eastAsia" w:ascii="华文中宋" w:hAnsi="华文中宋" w:eastAsia="华文中宋" w:cs="华文中宋"/>
          <w:color w:val="auto"/>
          <w:highlight w:val="none"/>
        </w:rPr>
        <w:t>选矿</w:t>
      </w:r>
      <w:r>
        <w:rPr>
          <w:rFonts w:hint="eastAsia" w:ascii="华文中宋" w:hAnsi="华文中宋" w:cs="华文中宋"/>
          <w:color w:val="auto"/>
          <w:highlight w:val="none"/>
          <w:lang w:val="en-US" w:eastAsia="zh-CN"/>
        </w:rPr>
        <w:t>废水</w:t>
      </w:r>
      <w:r>
        <w:rPr>
          <w:rFonts w:hint="eastAsia" w:ascii="华文中宋" w:hAnsi="华文中宋" w:eastAsia="华文中宋" w:cs="华文中宋"/>
          <w:color w:val="auto"/>
          <w:kern w:val="0"/>
          <w:highlight w:val="none"/>
        </w:rPr>
        <w:t>主要污染因子为COD、SS及少量金属等</w:t>
      </w:r>
      <w:r>
        <w:rPr>
          <w:rFonts w:hint="eastAsia" w:ascii="华文中宋" w:hAnsi="华文中宋" w:eastAsia="华文中宋" w:cs="华文中宋"/>
          <w:color w:val="auto"/>
          <w:highlight w:val="none"/>
        </w:rPr>
        <w:t>。选矿废水部分被铁精粉</w:t>
      </w:r>
      <w:r>
        <w:rPr>
          <w:rFonts w:hint="eastAsia" w:ascii="华文中宋" w:hAnsi="华文中宋" w:cs="华文中宋"/>
          <w:color w:val="auto"/>
          <w:highlight w:val="none"/>
          <w:lang w:eastAsia="zh-CN"/>
        </w:rPr>
        <w:t>、</w:t>
      </w:r>
      <w:r>
        <w:rPr>
          <w:rFonts w:hint="eastAsia" w:ascii="华文中宋" w:hAnsi="华文中宋" w:cs="华文中宋"/>
          <w:color w:val="auto"/>
          <w:highlight w:val="none"/>
          <w:lang w:val="en-US" w:eastAsia="zh-CN"/>
        </w:rPr>
        <w:t>钛精粉</w:t>
      </w:r>
      <w:r>
        <w:rPr>
          <w:rFonts w:hint="eastAsia" w:ascii="华文中宋" w:hAnsi="华文中宋" w:eastAsia="华文中宋" w:cs="华文中宋"/>
          <w:color w:val="auto"/>
          <w:highlight w:val="none"/>
        </w:rPr>
        <w:t>带走，</w:t>
      </w:r>
      <w:r>
        <w:rPr>
          <w:rFonts w:hint="eastAsia" w:ascii="华文中宋" w:hAnsi="华文中宋" w:cs="华文中宋"/>
          <w:color w:val="auto"/>
          <w:highlight w:val="none"/>
          <w:lang w:val="en-US" w:eastAsia="zh-CN"/>
        </w:rPr>
        <w:t>其余</w:t>
      </w:r>
      <w:r>
        <w:rPr>
          <w:rFonts w:hint="eastAsia" w:ascii="华文中宋" w:hAnsi="华文中宋" w:eastAsia="华文中宋" w:cs="华文中宋"/>
          <w:color w:val="auto"/>
          <w:highlight w:val="none"/>
        </w:rPr>
        <w:t>返回生产工序</w:t>
      </w:r>
      <w:r>
        <w:rPr>
          <w:rFonts w:hint="eastAsia" w:ascii="华文中宋" w:hAnsi="华文中宋" w:cs="华文中宋"/>
          <w:color w:val="auto"/>
          <w:highlight w:val="none"/>
          <w:lang w:val="en-US" w:eastAsia="zh-CN"/>
        </w:rPr>
        <w:t>经过滤机、浓密机沉淀处理后排入</w:t>
      </w:r>
      <w:r>
        <w:rPr>
          <w:rFonts w:hint="eastAsia" w:ascii="华文中宋" w:hAnsi="华文中宋" w:eastAsia="华文中宋" w:cs="华文中宋"/>
          <w:color w:val="auto"/>
          <w:highlight w:val="none"/>
        </w:rPr>
        <w:t>循环</w:t>
      </w:r>
      <w:r>
        <w:rPr>
          <w:rFonts w:hint="eastAsia" w:ascii="华文中宋" w:hAnsi="华文中宋" w:cs="华文中宋"/>
          <w:color w:val="auto"/>
          <w:highlight w:val="none"/>
          <w:lang w:val="en-US" w:eastAsia="zh-CN"/>
        </w:rPr>
        <w:t>水池</w:t>
      </w:r>
      <w:r>
        <w:rPr>
          <w:rFonts w:hint="eastAsia" w:ascii="华文中宋" w:hAnsi="华文中宋" w:eastAsia="华文中宋" w:cs="华文中宋"/>
          <w:color w:val="auto"/>
          <w:highlight w:val="none"/>
        </w:rPr>
        <w:t>，供选矿循环使用，实现生产废水“闭路循环”，不外排。</w:t>
      </w:r>
      <w:r>
        <w:rPr>
          <w:rFonts w:hint="eastAsia" w:ascii="华文中宋" w:hAnsi="华文中宋" w:cs="华文中宋"/>
          <w:color w:val="auto"/>
          <w:highlight w:val="none"/>
          <w:lang w:val="en-US" w:eastAsia="zh-CN"/>
        </w:rPr>
        <w:t>循环水池可容纳2750m</w:t>
      </w:r>
      <w:r>
        <w:rPr>
          <w:rFonts w:hint="eastAsia" w:ascii="华文中宋" w:hAnsi="华文中宋" w:cs="华文中宋"/>
          <w:color w:val="auto"/>
          <w:highlight w:val="none"/>
          <w:vertAlign w:val="superscript"/>
          <w:lang w:val="en-US" w:eastAsia="zh-CN"/>
        </w:rPr>
        <w:t>3</w:t>
      </w:r>
      <w:r>
        <w:rPr>
          <w:rFonts w:hint="eastAsia" w:ascii="华文中宋" w:hAnsi="华文中宋" w:cs="华文中宋"/>
          <w:color w:val="auto"/>
          <w:highlight w:val="none"/>
          <w:lang w:val="en-US" w:eastAsia="zh-CN"/>
        </w:rPr>
        <w:t>澄清后的选矿废水。</w:t>
      </w:r>
    </w:p>
    <w:p w14:paraId="55752187">
      <w:pPr>
        <w:pStyle w:val="43"/>
        <w:numPr>
          <w:ilvl w:val="-1"/>
          <w:numId w:val="0"/>
        </w:numPr>
        <w:ind w:left="0" w:firstLine="0"/>
        <w:rPr>
          <w:rFonts w:hint="default"/>
          <w:color w:val="auto"/>
          <w:highlight w:val="none"/>
          <w:lang w:val="en-US" w:eastAsia="zh-CN"/>
        </w:rPr>
      </w:pPr>
      <w:r>
        <w:rPr>
          <w:rFonts w:hint="eastAsia"/>
          <w:color w:val="auto"/>
          <w:highlight w:val="none"/>
          <w:lang w:val="en-US" w:eastAsia="zh-CN"/>
        </w:rPr>
        <w:t>7.2.3.3尾矿库废水防治措施</w:t>
      </w:r>
    </w:p>
    <w:p w14:paraId="20CD9257">
      <w:pPr>
        <w:pStyle w:val="3"/>
        <w:ind w:firstLine="480"/>
        <w:rPr>
          <w:rFonts w:hint="default"/>
          <w:color w:val="auto"/>
          <w:highlight w:val="none"/>
          <w:lang w:val="en-US" w:eastAsia="zh-CN"/>
        </w:rPr>
      </w:pPr>
      <w:r>
        <w:rPr>
          <w:rFonts w:hint="eastAsia"/>
          <w:color w:val="auto"/>
          <w:highlight w:val="none"/>
          <w:lang w:val="en-US" w:eastAsia="zh-CN"/>
        </w:rPr>
        <w:t>本项目运营期尾矿库采用尾矿干排系统，一级斜板浓密机溢流和扫选尾矿旋流器溢流水进入二级斜板浓密机进行浓密，溢流水进入循环水池进行综合利用。</w:t>
      </w:r>
    </w:p>
    <w:p w14:paraId="4A93EE82">
      <w:pPr>
        <w:pStyle w:val="3"/>
        <w:ind w:firstLine="480"/>
        <w:rPr>
          <w:rFonts w:hint="eastAsia"/>
          <w:color w:val="auto"/>
          <w:highlight w:val="none"/>
          <w:lang w:val="en-US" w:eastAsia="zh-CN"/>
        </w:rPr>
      </w:pPr>
      <w:r>
        <w:rPr>
          <w:rFonts w:hint="eastAsia"/>
          <w:color w:val="auto"/>
          <w:highlight w:val="none"/>
          <w:lang w:val="en-US" w:eastAsia="zh-CN"/>
        </w:rPr>
        <w:t>尾矿库为山谷型，采用“初期坝+堆积坝”。初期坝上、下游边坡均采用干砌块石护坡。</w:t>
      </w:r>
    </w:p>
    <w:p w14:paraId="3661039E">
      <w:pPr>
        <w:pStyle w:val="3"/>
        <w:ind w:firstLine="480"/>
        <w:rPr>
          <w:rFonts w:hint="default" w:eastAsia="华文中宋"/>
          <w:color w:val="auto"/>
          <w:highlight w:val="none"/>
          <w:lang w:val="en-US" w:eastAsia="zh-CN"/>
        </w:rPr>
      </w:pPr>
      <w:r>
        <w:rPr>
          <w:rFonts w:hint="eastAsia"/>
          <w:color w:val="auto"/>
          <w:highlight w:val="none"/>
          <w:lang w:val="en-US" w:eastAsia="zh-CN"/>
        </w:rPr>
        <w:t>初期坝坝体构造由防、排渗设施、防冲设施等构成。坝体上游设置反滤层，由外向内分别为双层土工布、粗砂粒保护层、砂砾石过滤层、机械碾压堆石坝体构成；为防止污废水下渗，坝底设置防渗设施，由上而下分别为</w:t>
      </w:r>
      <w:r>
        <w:rPr>
          <w:rFonts w:hint="eastAsia"/>
          <w:color w:val="auto"/>
          <w:highlight w:val="none"/>
        </w:rPr>
        <w:t>机械碾压堆石坝体、砂砾石反滤层、粗砂保护层、复合土工膜、钠基膨润土毯垫、粗砂保护层、砂砾石过渡层、坝基</w:t>
      </w:r>
      <w:r>
        <w:rPr>
          <w:rFonts w:hint="eastAsia"/>
          <w:color w:val="auto"/>
          <w:highlight w:val="none"/>
          <w:lang w:val="en-US" w:eastAsia="zh-CN"/>
        </w:rPr>
        <w:t>等；为防止雨水冲刷，下游</w:t>
      </w:r>
      <w:r>
        <w:rPr>
          <w:rFonts w:hint="eastAsia"/>
          <w:color w:val="auto"/>
          <w:highlight w:val="none"/>
        </w:rPr>
        <w:t>与岸坡联结处修筑坝肩截水沟</w:t>
      </w:r>
      <w:r>
        <w:rPr>
          <w:rFonts w:hint="eastAsia"/>
          <w:color w:val="auto"/>
          <w:highlight w:val="none"/>
          <w:lang w:eastAsia="zh-CN"/>
        </w:rPr>
        <w:t>（</w:t>
      </w:r>
      <w:r>
        <w:rPr>
          <w:rFonts w:hint="eastAsia"/>
          <w:color w:val="auto"/>
          <w:highlight w:val="none"/>
          <w:lang w:val="en-US" w:eastAsia="zh-CN"/>
        </w:rPr>
        <w:t>钢筋混凝土结构</w:t>
      </w:r>
      <w:r>
        <w:rPr>
          <w:rFonts w:hint="eastAsia"/>
          <w:color w:val="auto"/>
          <w:highlight w:val="none"/>
          <w:lang w:eastAsia="zh-CN"/>
        </w:rPr>
        <w:t>）</w:t>
      </w:r>
      <w:r>
        <w:rPr>
          <w:rFonts w:hint="eastAsia"/>
          <w:color w:val="auto"/>
          <w:highlight w:val="none"/>
          <w:lang w:val="en-US" w:eastAsia="zh-CN"/>
        </w:rPr>
        <w:t>进行导排雨水。</w:t>
      </w:r>
    </w:p>
    <w:p w14:paraId="4BE86B99">
      <w:pPr>
        <w:pStyle w:val="3"/>
        <w:ind w:firstLine="480"/>
        <w:rPr>
          <w:rFonts w:hint="eastAsia"/>
          <w:color w:val="auto"/>
          <w:highlight w:val="none"/>
          <w:lang w:val="en-US" w:eastAsia="zh-CN"/>
        </w:rPr>
      </w:pPr>
      <w:r>
        <w:rPr>
          <w:rFonts w:hint="eastAsia"/>
          <w:color w:val="auto"/>
          <w:highlight w:val="none"/>
          <w:lang w:val="en-US" w:eastAsia="zh-CN"/>
        </w:rPr>
        <w:t>堆积坝下游</w:t>
      </w:r>
      <w:r>
        <w:rPr>
          <w:color w:val="auto"/>
          <w:highlight w:val="none"/>
        </w:rPr>
        <w:t>坡面设置纵横向网状排水沟</w:t>
      </w:r>
      <w:r>
        <w:rPr>
          <w:rFonts w:hint="eastAsia"/>
          <w:color w:val="auto"/>
          <w:highlight w:val="none"/>
          <w:lang w:eastAsia="zh-CN"/>
        </w:rPr>
        <w:t>（</w:t>
      </w:r>
      <w:r>
        <w:rPr>
          <w:rFonts w:hint="eastAsia"/>
          <w:color w:val="auto"/>
          <w:highlight w:val="none"/>
          <w:lang w:val="en-US" w:eastAsia="zh-CN"/>
        </w:rPr>
        <w:t>混凝土结构</w:t>
      </w:r>
      <w:r>
        <w:rPr>
          <w:rFonts w:hint="eastAsia"/>
          <w:color w:val="auto"/>
          <w:highlight w:val="none"/>
          <w:lang w:eastAsia="zh-CN"/>
        </w:rPr>
        <w:t>），</w:t>
      </w:r>
      <w:r>
        <w:rPr>
          <w:color w:val="auto"/>
          <w:highlight w:val="none"/>
        </w:rPr>
        <w:t>两侧坝肩设置坝肩截水沟与初期坝坝肩截水沟相连</w:t>
      </w:r>
      <w:r>
        <w:rPr>
          <w:rFonts w:hint="eastAsia"/>
          <w:color w:val="auto"/>
          <w:highlight w:val="none"/>
          <w:lang w:eastAsia="zh-CN"/>
        </w:rPr>
        <w:t>，</w:t>
      </w:r>
      <w:r>
        <w:rPr>
          <w:rFonts w:hint="eastAsia"/>
          <w:color w:val="auto"/>
          <w:highlight w:val="none"/>
          <w:lang w:val="en-US" w:eastAsia="zh-CN"/>
        </w:rPr>
        <w:t>截水沟采用钢筋混凝土结构。</w:t>
      </w:r>
    </w:p>
    <w:p w14:paraId="59761905">
      <w:pPr>
        <w:pStyle w:val="3"/>
        <w:ind w:firstLine="480"/>
        <w:rPr>
          <w:rFonts w:hint="eastAsia"/>
          <w:color w:val="auto"/>
          <w:highlight w:val="none"/>
          <w:lang w:eastAsia="zh-CN"/>
        </w:rPr>
      </w:pPr>
      <w:r>
        <w:rPr>
          <w:rFonts w:hint="eastAsia"/>
          <w:color w:val="auto"/>
          <w:highlight w:val="none"/>
          <w:lang w:val="en-US" w:eastAsia="zh-CN"/>
        </w:rPr>
        <w:t>库区底部水平防渗由上而下分别为：</w:t>
      </w:r>
      <w:r>
        <w:rPr>
          <w:color w:val="auto"/>
          <w:highlight w:val="none"/>
        </w:rPr>
        <w:t>0.3m厚尾砂保护层</w:t>
      </w:r>
      <w:r>
        <w:rPr>
          <w:rFonts w:hint="eastAsia"/>
          <w:color w:val="auto"/>
          <w:highlight w:val="none"/>
          <w:lang w:eastAsia="zh-CN"/>
        </w:rPr>
        <w:t>、</w:t>
      </w:r>
      <w:r>
        <w:rPr>
          <w:color w:val="auto"/>
          <w:highlight w:val="none"/>
        </w:rPr>
        <w:t>5.2mm厚复合土工排水网</w:t>
      </w:r>
      <w:r>
        <w:rPr>
          <w:rFonts w:hint="eastAsia"/>
          <w:color w:val="auto"/>
          <w:highlight w:val="none"/>
          <w:lang w:eastAsia="zh-CN"/>
        </w:rPr>
        <w:t>、</w:t>
      </w:r>
      <w:r>
        <w:rPr>
          <w:color w:val="auto"/>
          <w:highlight w:val="none"/>
        </w:rPr>
        <w:t>1.5mmHDPE单糙面土工膜</w:t>
      </w:r>
      <w:r>
        <w:rPr>
          <w:rFonts w:hint="eastAsia"/>
          <w:color w:val="auto"/>
          <w:highlight w:val="none"/>
          <w:lang w:eastAsia="zh-CN"/>
        </w:rPr>
        <w:t>、</w:t>
      </w:r>
      <w:r>
        <w:rPr>
          <w:color w:val="auto"/>
          <w:highlight w:val="none"/>
        </w:rPr>
        <w:t>4500g/m</w:t>
      </w:r>
      <w:r>
        <w:rPr>
          <w:rFonts w:hint="eastAsia"/>
          <w:color w:val="auto"/>
          <w:highlight w:val="none"/>
          <w:vertAlign w:val="superscript"/>
        </w:rPr>
        <w:t>2</w:t>
      </w:r>
      <w:r>
        <w:rPr>
          <w:color w:val="auto"/>
          <w:highlight w:val="none"/>
        </w:rPr>
        <w:t>天然钠基膨润土GCL</w:t>
      </w:r>
      <w:r>
        <w:rPr>
          <w:rFonts w:hint="eastAsia"/>
          <w:color w:val="auto"/>
          <w:highlight w:val="none"/>
          <w:lang w:val="en-US" w:eastAsia="zh-CN"/>
        </w:rPr>
        <w:t>；库区边坡防渗由上而下分别为：</w:t>
      </w:r>
      <w:r>
        <w:rPr>
          <w:color w:val="auto"/>
          <w:highlight w:val="none"/>
        </w:rPr>
        <w:t>600g/m</w:t>
      </w:r>
      <w:r>
        <w:rPr>
          <w:rFonts w:hint="eastAsia"/>
          <w:color w:val="auto"/>
          <w:highlight w:val="none"/>
          <w:vertAlign w:val="superscript"/>
        </w:rPr>
        <w:t>2</w:t>
      </w:r>
      <w:r>
        <w:rPr>
          <w:color w:val="auto"/>
          <w:highlight w:val="none"/>
        </w:rPr>
        <w:t>长丝无纺土工布作为保护层</w:t>
      </w:r>
      <w:r>
        <w:rPr>
          <w:rFonts w:hint="eastAsia"/>
          <w:color w:val="auto"/>
          <w:highlight w:val="none"/>
          <w:lang w:eastAsia="zh-CN"/>
        </w:rPr>
        <w:t>、</w:t>
      </w:r>
      <w:r>
        <w:rPr>
          <w:color w:val="auto"/>
          <w:highlight w:val="none"/>
        </w:rPr>
        <w:t>5.2mm厚复合土工排水网</w:t>
      </w:r>
      <w:r>
        <w:rPr>
          <w:rFonts w:hint="eastAsia"/>
          <w:color w:val="auto"/>
          <w:highlight w:val="none"/>
          <w:lang w:eastAsia="zh-CN"/>
        </w:rPr>
        <w:t>、</w:t>
      </w:r>
      <w:r>
        <w:rPr>
          <w:color w:val="auto"/>
          <w:highlight w:val="none"/>
        </w:rPr>
        <w:t>1.5mmHDPE双糙面土工膜</w:t>
      </w:r>
      <w:r>
        <w:rPr>
          <w:rFonts w:hint="eastAsia"/>
          <w:color w:val="auto"/>
          <w:highlight w:val="none"/>
          <w:lang w:eastAsia="zh-CN"/>
        </w:rPr>
        <w:t>、</w:t>
      </w:r>
      <w:r>
        <w:rPr>
          <w:color w:val="auto"/>
          <w:highlight w:val="none"/>
        </w:rPr>
        <w:t>4500g/m</w:t>
      </w:r>
      <w:r>
        <w:rPr>
          <w:rFonts w:hint="eastAsia"/>
          <w:color w:val="auto"/>
          <w:highlight w:val="none"/>
          <w:vertAlign w:val="superscript"/>
        </w:rPr>
        <w:t>2</w:t>
      </w:r>
      <w:r>
        <w:rPr>
          <w:color w:val="auto"/>
          <w:highlight w:val="none"/>
        </w:rPr>
        <w:t>天然钠基膨润土GCL</w:t>
      </w:r>
      <w:r>
        <w:rPr>
          <w:rFonts w:hint="eastAsia"/>
          <w:color w:val="auto"/>
          <w:highlight w:val="none"/>
          <w:lang w:eastAsia="zh-CN"/>
        </w:rPr>
        <w:t>。</w:t>
      </w:r>
    </w:p>
    <w:p w14:paraId="029EA799">
      <w:pPr>
        <w:pStyle w:val="3"/>
        <w:ind w:firstLine="480"/>
        <w:rPr>
          <w:rFonts w:hint="eastAsia"/>
          <w:color w:val="auto"/>
          <w:highlight w:val="none"/>
          <w:lang w:eastAsia="zh-CN"/>
        </w:rPr>
      </w:pPr>
      <w:r>
        <w:rPr>
          <w:rFonts w:hint="eastAsia"/>
          <w:color w:val="auto"/>
          <w:highlight w:val="none"/>
          <w:lang w:val="en-US" w:eastAsia="zh-CN"/>
        </w:rPr>
        <w:t>坝体排渗为堆积坝每隔20m设置坝体土工席垫排渗层和</w:t>
      </w:r>
      <w:r>
        <w:rPr>
          <w:color w:val="auto"/>
          <w:highlight w:val="none"/>
        </w:rPr>
        <w:t>在距尾矿坝滩顶水平距离75m处，每隔20m高度铺设坝前水平排渗层</w:t>
      </w:r>
      <w:r>
        <w:rPr>
          <w:rFonts w:hint="eastAsia"/>
          <w:color w:val="auto"/>
          <w:highlight w:val="none"/>
          <w:lang w:val="en-US" w:eastAsia="zh-CN"/>
        </w:rPr>
        <w:t>，排渗层具体由</w:t>
      </w:r>
      <w:r>
        <w:rPr>
          <w:color w:val="auto"/>
          <w:highlight w:val="none"/>
        </w:rPr>
        <w:t>δ=12mm土工席垫、φ159×6mm排渗软塑管+φ100软式透水管+400g/m</w:t>
      </w:r>
      <w:r>
        <w:rPr>
          <w:rFonts w:hint="eastAsia"/>
          <w:color w:val="auto"/>
          <w:highlight w:val="none"/>
          <w:vertAlign w:val="superscript"/>
        </w:rPr>
        <w:t>2</w:t>
      </w:r>
      <w:r>
        <w:rPr>
          <w:color w:val="auto"/>
          <w:highlight w:val="none"/>
        </w:rPr>
        <w:t>土工布组成</w:t>
      </w:r>
      <w:r>
        <w:rPr>
          <w:rFonts w:hint="eastAsia"/>
          <w:color w:val="auto"/>
          <w:highlight w:val="none"/>
          <w:lang w:eastAsia="zh-CN"/>
        </w:rPr>
        <w:t>，</w:t>
      </w:r>
      <w:r>
        <w:rPr>
          <w:rFonts w:hint="eastAsia"/>
          <w:color w:val="auto"/>
          <w:highlight w:val="none"/>
          <w:lang w:val="en-US" w:eastAsia="zh-CN"/>
        </w:rPr>
        <w:t>将渗水排入堆积坝马道排水沟</w:t>
      </w:r>
      <w:r>
        <w:rPr>
          <w:rFonts w:hint="eastAsia"/>
          <w:color w:val="auto"/>
          <w:highlight w:val="none"/>
          <w:lang w:eastAsia="zh-CN"/>
        </w:rPr>
        <w:t>。</w:t>
      </w:r>
    </w:p>
    <w:p w14:paraId="52188859">
      <w:pPr>
        <w:pStyle w:val="3"/>
        <w:ind w:firstLine="480"/>
        <w:rPr>
          <w:rFonts w:hint="eastAsia"/>
          <w:color w:val="auto"/>
          <w:highlight w:val="none"/>
          <w:lang w:val="en-US" w:eastAsia="zh-CN"/>
        </w:rPr>
      </w:pPr>
      <w:r>
        <w:rPr>
          <w:rFonts w:hint="eastAsia"/>
          <w:color w:val="auto"/>
          <w:highlight w:val="none"/>
          <w:lang w:val="en-US" w:eastAsia="zh-CN"/>
        </w:rPr>
        <w:t>库底排渗主要为渗滤液导排系统，</w:t>
      </w:r>
      <w:r>
        <w:rPr>
          <w:color w:val="auto"/>
          <w:highlight w:val="none"/>
        </w:rPr>
        <w:t>由5.2mm复合土工排水网、渗滤水收集盲沟和渗滤水排出管组成</w:t>
      </w:r>
      <w:r>
        <w:rPr>
          <w:rFonts w:hint="eastAsia"/>
          <w:color w:val="auto"/>
          <w:highlight w:val="none"/>
          <w:lang w:eastAsia="zh-CN"/>
        </w:rPr>
        <w:t>，</w:t>
      </w:r>
      <w:r>
        <w:rPr>
          <w:rFonts w:hint="eastAsia"/>
          <w:color w:val="auto"/>
          <w:highlight w:val="none"/>
          <w:lang w:val="en-US" w:eastAsia="zh-CN"/>
        </w:rPr>
        <w:t>并在出水口设置流量计，对渗滤液量进行监测。</w:t>
      </w:r>
    </w:p>
    <w:p w14:paraId="5F383015">
      <w:pPr>
        <w:pStyle w:val="3"/>
        <w:ind w:firstLine="480"/>
        <w:rPr>
          <w:rFonts w:hint="default" w:eastAsia="华文中宋"/>
          <w:color w:val="auto"/>
          <w:highlight w:val="none"/>
          <w:lang w:val="en-US" w:eastAsia="zh-CN"/>
        </w:rPr>
      </w:pPr>
      <w:r>
        <w:rPr>
          <w:rFonts w:hint="eastAsia"/>
          <w:color w:val="auto"/>
          <w:highlight w:val="none"/>
          <w:lang w:val="en-US" w:eastAsia="zh-CN"/>
        </w:rPr>
        <w:t>尾矿库设计</w:t>
      </w:r>
      <w:r>
        <w:rPr>
          <w:color w:val="auto"/>
          <w:highlight w:val="none"/>
        </w:rPr>
        <w:t>由5座排水井+4条排洪支隧洞+1条排洪主隧洞+1 座消力池+1条导流明渠组成，将洪水引至应急事故池</w:t>
      </w:r>
      <w:r>
        <w:rPr>
          <w:rFonts w:hint="eastAsia"/>
          <w:color w:val="auto"/>
          <w:highlight w:val="none"/>
          <w:lang w:eastAsia="zh-CN"/>
        </w:rPr>
        <w:t>，</w:t>
      </w:r>
      <w:r>
        <w:rPr>
          <w:rFonts w:hint="eastAsia"/>
          <w:color w:val="auto"/>
          <w:highlight w:val="none"/>
          <w:lang w:val="en-US" w:eastAsia="zh-CN"/>
        </w:rPr>
        <w:t>不外排。</w:t>
      </w:r>
    </w:p>
    <w:p w14:paraId="46D9AB44">
      <w:pPr>
        <w:pStyle w:val="3"/>
        <w:ind w:firstLine="480"/>
        <w:rPr>
          <w:color w:val="auto"/>
          <w:highlight w:val="none"/>
        </w:rPr>
      </w:pPr>
      <w:r>
        <w:rPr>
          <w:rFonts w:hint="eastAsia"/>
          <w:color w:val="auto"/>
          <w:highlight w:val="none"/>
          <w:lang w:val="en-US" w:eastAsia="zh-CN"/>
        </w:rPr>
        <w:t>综上所述，尾矿库“初期坝+堆积坝”及其配套设施，能够满足库区防渗和排渗要求，不会对尾矿库下游南侧地表水产生不利影响</w:t>
      </w:r>
      <w:r>
        <w:rPr>
          <w:color w:val="auto"/>
          <w:highlight w:val="none"/>
        </w:rPr>
        <w:t>。</w:t>
      </w:r>
    </w:p>
    <w:p w14:paraId="32DC5162">
      <w:pPr>
        <w:pStyle w:val="42"/>
        <w:rPr>
          <w:rFonts w:hint="default"/>
          <w:color w:val="auto"/>
          <w:highlight w:val="none"/>
        </w:rPr>
      </w:pPr>
      <w:bookmarkStart w:id="440" w:name="_Toc29274"/>
      <w:bookmarkStart w:id="441" w:name="_Toc26495"/>
      <w:bookmarkStart w:id="442" w:name="_Toc12575"/>
      <w:bookmarkStart w:id="443" w:name="_Toc14156"/>
      <w:r>
        <w:rPr>
          <w:rFonts w:hint="default"/>
          <w:color w:val="auto"/>
          <w:highlight w:val="none"/>
        </w:rPr>
        <w:t>地下水污染防治措施</w:t>
      </w:r>
      <w:bookmarkEnd w:id="440"/>
      <w:bookmarkEnd w:id="441"/>
      <w:bookmarkEnd w:id="442"/>
    </w:p>
    <w:p w14:paraId="492AEDC0">
      <w:pPr>
        <w:pStyle w:val="43"/>
        <w:rPr>
          <w:color w:val="auto"/>
          <w:highlight w:val="none"/>
        </w:rPr>
      </w:pPr>
      <w:bookmarkStart w:id="444" w:name="_Toc1278_WPSOffice_Level3"/>
      <w:r>
        <w:rPr>
          <w:color w:val="auto"/>
          <w:highlight w:val="none"/>
        </w:rPr>
        <w:t>地下水水质监控措施</w:t>
      </w:r>
    </w:p>
    <w:p w14:paraId="0EEFADBA">
      <w:pPr>
        <w:pStyle w:val="3"/>
        <w:ind w:firstLine="480"/>
        <w:rPr>
          <w:color w:val="auto"/>
          <w:highlight w:val="none"/>
          <w:lang w:val="zh-CN"/>
        </w:rPr>
      </w:pPr>
      <w:r>
        <w:rPr>
          <w:color w:val="auto"/>
          <w:highlight w:val="none"/>
          <w:lang w:val="zh-CN"/>
        </w:rPr>
        <w:t>（1）监测井设置：建立地下水环境监测管理体系，配置必要的地下水监控井，以便及时准确地反馈地下水水质状况，为防止对地下水的污染采取相应的措施提供重要依据。根据《地下水环境监测技术规范》（HJ164-2020）的要求，根据本项目类型、地下水评价等级及前述地下水预测结果，本次共布设3眼监控井，监控井分别为厂区上游、厂区、厂区下游。</w:t>
      </w:r>
    </w:p>
    <w:p w14:paraId="1BE87D48">
      <w:pPr>
        <w:pStyle w:val="3"/>
        <w:ind w:firstLine="480"/>
        <w:rPr>
          <w:color w:val="auto"/>
          <w:highlight w:val="none"/>
          <w:lang w:val="zh-CN"/>
        </w:rPr>
      </w:pPr>
      <w:r>
        <w:rPr>
          <w:color w:val="auto"/>
          <w:highlight w:val="none"/>
          <w:lang w:val="zh-CN"/>
        </w:rPr>
        <w:t>（2）监测计划：地下水跟踪监测项目为地下水水位、水质水温，同时还应测定气温，描述天气情况和降水情况。</w:t>
      </w:r>
    </w:p>
    <w:p w14:paraId="411AFC49">
      <w:pPr>
        <w:pStyle w:val="3"/>
        <w:ind w:firstLine="480"/>
        <w:rPr>
          <w:color w:val="auto"/>
          <w:highlight w:val="none"/>
          <w:lang w:val="zh-CN"/>
        </w:rPr>
      </w:pPr>
      <w:r>
        <w:rPr>
          <w:color w:val="auto"/>
          <w:highlight w:val="none"/>
          <w:lang w:val="zh-CN"/>
        </w:rPr>
        <w:t>本项目包括基本水质因子以pH、硝酸盐、亚硝酸盐、挥发性酚类、氰化物、砷、汞、铬（六价）、总硬度、铅、</w:t>
      </w:r>
      <w:r>
        <w:rPr>
          <w:rFonts w:hint="eastAsia"/>
          <w:color w:val="auto"/>
          <w:highlight w:val="none"/>
          <w:lang w:val="en-US" w:eastAsia="zh-CN"/>
        </w:rPr>
        <w:t>镍、</w:t>
      </w:r>
      <w:r>
        <w:rPr>
          <w:rFonts w:hint="eastAsia"/>
          <w:color w:val="auto"/>
          <w:highlight w:val="none"/>
        </w:rPr>
        <w:t>锌、</w:t>
      </w:r>
      <w:r>
        <w:rPr>
          <w:color w:val="auto"/>
          <w:highlight w:val="none"/>
          <w:lang w:val="zh-CN"/>
        </w:rPr>
        <w:t>氯、镉、铁、锰、溶解性总固体、高锰酸盐指数、硫酸盐、氯化物类等及背景值超标的水质因子为基础，跟踪检测因子包括环境监测的超标因子。</w:t>
      </w:r>
    </w:p>
    <w:p w14:paraId="434D6126">
      <w:pPr>
        <w:pStyle w:val="3"/>
        <w:ind w:firstLine="480"/>
        <w:rPr>
          <w:color w:val="auto"/>
          <w:highlight w:val="none"/>
          <w:lang w:val="zh-CN"/>
        </w:rPr>
      </w:pPr>
      <w:r>
        <w:rPr>
          <w:color w:val="auto"/>
          <w:highlight w:val="none"/>
          <w:lang w:val="zh-CN"/>
        </w:rPr>
        <w:t>项目区布设监控井，监测频率为每年</w:t>
      </w:r>
      <w:r>
        <w:rPr>
          <w:color w:val="auto"/>
          <w:highlight w:val="none"/>
        </w:rPr>
        <w:t>2</w:t>
      </w:r>
      <w:r>
        <w:rPr>
          <w:color w:val="auto"/>
          <w:highlight w:val="none"/>
          <w:lang w:val="zh-CN"/>
        </w:rPr>
        <w:t>次</w:t>
      </w:r>
      <w:r>
        <w:rPr>
          <w:rFonts w:hint="eastAsia"/>
          <w:color w:val="auto"/>
          <w:highlight w:val="none"/>
          <w:lang w:val="zh-CN"/>
        </w:rPr>
        <w:t>（</w:t>
      </w:r>
      <w:r>
        <w:rPr>
          <w:rFonts w:hint="eastAsia"/>
          <w:color w:val="auto"/>
          <w:highlight w:val="none"/>
        </w:rPr>
        <w:t>丰水期和枯水期各一次</w:t>
      </w:r>
      <w:r>
        <w:rPr>
          <w:rFonts w:hint="eastAsia"/>
          <w:color w:val="auto"/>
          <w:highlight w:val="none"/>
          <w:lang w:val="zh-CN"/>
        </w:rPr>
        <w:t>）</w:t>
      </w:r>
      <w:r>
        <w:rPr>
          <w:color w:val="auto"/>
          <w:highlight w:val="none"/>
          <w:lang w:val="zh-CN"/>
        </w:rPr>
        <w:t>，监测一旦发现水质发生异常，应及时通知有关管理部门，做好应急防范工作，同时应立即查找渗漏点，进行修补。</w:t>
      </w:r>
    </w:p>
    <w:p w14:paraId="0A94C679">
      <w:pPr>
        <w:pStyle w:val="3"/>
        <w:ind w:firstLine="480"/>
        <w:rPr>
          <w:color w:val="auto"/>
          <w:highlight w:val="none"/>
          <w:lang w:val="zh-CN"/>
        </w:rPr>
      </w:pPr>
      <w:r>
        <w:rPr>
          <w:color w:val="auto"/>
          <w:highlight w:val="none"/>
          <w:lang w:val="zh-CN"/>
        </w:rPr>
        <w:t>（3）管理要求</w:t>
      </w:r>
    </w:p>
    <w:p w14:paraId="088ED75E">
      <w:pPr>
        <w:pStyle w:val="3"/>
        <w:ind w:firstLine="480"/>
        <w:rPr>
          <w:color w:val="auto"/>
          <w:highlight w:val="none"/>
          <w:lang w:val="zh-CN"/>
        </w:rPr>
      </w:pPr>
      <w:r>
        <w:rPr>
          <w:color w:val="auto"/>
          <w:highlight w:val="none"/>
          <w:lang w:val="zh-CN"/>
        </w:rPr>
        <w:t>①项目区环境保护管理部门指派专人负责防治地下水污染管理工作。</w:t>
      </w:r>
    </w:p>
    <w:p w14:paraId="6AE8E898">
      <w:pPr>
        <w:pStyle w:val="3"/>
        <w:ind w:firstLine="480"/>
        <w:rPr>
          <w:color w:val="auto"/>
          <w:highlight w:val="none"/>
          <w:lang w:val="zh-CN"/>
        </w:rPr>
      </w:pPr>
      <w:r>
        <w:rPr>
          <w:color w:val="auto"/>
          <w:highlight w:val="none"/>
          <w:lang w:val="zh-CN"/>
        </w:rPr>
        <w:t>②企业应指派专人负责地下水环境跟踪监测工作，按上述监控措施委托具有监测资质的单位负责地下水监控工作，并按要求及时分析整理原始资料和负责监测报告的编写工作；</w:t>
      </w:r>
    </w:p>
    <w:p w14:paraId="042FF8F2">
      <w:pPr>
        <w:pStyle w:val="3"/>
        <w:ind w:firstLine="480"/>
        <w:rPr>
          <w:color w:val="auto"/>
          <w:highlight w:val="none"/>
          <w:lang w:val="zh-CN"/>
        </w:rPr>
      </w:pPr>
      <w:r>
        <w:rPr>
          <w:color w:val="auto"/>
          <w:highlight w:val="none"/>
          <w:lang w:val="zh-CN"/>
        </w:rPr>
        <w:t>③企业应按时向环境保护管理部门上报生产运行记录，内容应包括地下水监测报告，排放污染物的种类、数量、浓度，生产设备、管道与管沟、原料及成品贮存与运输装置、污染物贮存与处理装置、事故应急装置等设施的运行状况、跑冒滴漏记录、维护记录等。由项目区环境保护管理部门建立地下水环境跟踪监测数据信息管理系统，编制地下水环境跟踪监测报告并在网站上公示信息，公开内容至少应包括该建设项目的特征因子及其相应的背景监测值和现状监测值。</w:t>
      </w:r>
    </w:p>
    <w:p w14:paraId="3D7A3B44">
      <w:pPr>
        <w:pStyle w:val="3"/>
        <w:ind w:firstLine="480"/>
        <w:rPr>
          <w:rFonts w:hint="default" w:eastAsia="宋体"/>
          <w:color w:val="auto"/>
          <w:highlight w:val="none"/>
          <w:lang w:val="en-US" w:eastAsia="zh-CN"/>
        </w:rPr>
      </w:pPr>
      <w:r>
        <w:rPr>
          <w:rFonts w:hint="eastAsia" w:ascii="宋体" w:hAnsi="宋体" w:eastAsia="宋体" w:cs="宋体"/>
          <w:color w:val="auto"/>
          <w:highlight w:val="none"/>
          <w:lang w:val="zh-CN"/>
        </w:rPr>
        <w:t>④</w:t>
      </w:r>
      <w:r>
        <w:rPr>
          <w:rFonts w:hint="eastAsia"/>
          <w:color w:val="auto"/>
          <w:highlight w:val="none"/>
          <w:lang w:val="en-US" w:eastAsia="zh-CN"/>
        </w:rPr>
        <w:t>废石和尾矿浸出液中镍、铅污染物浓度超过《地下水质量标准》</w:t>
      </w:r>
      <w:r>
        <w:rPr>
          <w:rFonts w:hint="eastAsia"/>
          <w:color w:val="auto"/>
          <w:highlight w:val="none"/>
          <w:lang w:val="zh-CN" w:eastAsia="zh-CN"/>
        </w:rPr>
        <w:t>（GB/T14848-2017）Ⅲ</w:t>
      </w:r>
      <w:r>
        <w:rPr>
          <w:rFonts w:hint="eastAsia"/>
          <w:color w:val="auto"/>
          <w:highlight w:val="none"/>
          <w:lang w:val="en-US" w:eastAsia="zh-CN"/>
        </w:rPr>
        <w:t>类标准，因此需对尾矿库在严格按照Ⅰ类贮存场防渗基础上，完善渗滤液全部收集回用，加大地下水长期监控等措施，非正常渗漏可通过监测预警与应急抽排快速阻断污染。</w:t>
      </w:r>
    </w:p>
    <w:p w14:paraId="3F6E1AC7">
      <w:pPr>
        <w:pStyle w:val="3"/>
        <w:ind w:firstLine="480"/>
        <w:rPr>
          <w:color w:val="auto"/>
          <w:highlight w:val="none"/>
          <w:lang w:val="zh-CN"/>
        </w:rPr>
      </w:pPr>
      <w:r>
        <w:rPr>
          <w:color w:val="auto"/>
          <w:highlight w:val="none"/>
          <w:lang w:val="zh-CN"/>
        </w:rPr>
        <w:t>（4）技术措施</w:t>
      </w:r>
    </w:p>
    <w:p w14:paraId="7E062D57">
      <w:pPr>
        <w:pStyle w:val="3"/>
        <w:ind w:firstLine="480"/>
        <w:rPr>
          <w:color w:val="auto"/>
          <w:highlight w:val="none"/>
          <w:lang w:val="zh-CN"/>
        </w:rPr>
      </w:pPr>
      <w:r>
        <w:rPr>
          <w:color w:val="auto"/>
          <w:highlight w:val="none"/>
          <w:lang w:val="zh-CN"/>
        </w:rPr>
        <w:t>①按照《地下水环境监测技术规范》（HJ164-2020）要求，及时上报监测数据和有关表格。</w:t>
      </w:r>
    </w:p>
    <w:p w14:paraId="4E0655C5">
      <w:pPr>
        <w:pStyle w:val="3"/>
        <w:ind w:firstLine="480"/>
        <w:rPr>
          <w:color w:val="auto"/>
          <w:highlight w:val="none"/>
          <w:lang w:val="zh-CN"/>
        </w:rPr>
      </w:pPr>
      <w:r>
        <w:rPr>
          <w:color w:val="auto"/>
          <w:highlight w:val="none"/>
          <w:lang w:val="zh-CN"/>
        </w:rPr>
        <w:t>②在日常例行监测中，一旦发现地下水水质监测数据异常，应尽快核查数据，查找异常原因，确保数据的正确性。并将核查过的监测数据通告生态环境主管部门，由专人负责对数据进行分析、核实，并密切关注生产设施的运行情况，为防止地下污染采取措施提供正确可靠的依据、应采取的措施有：</w:t>
      </w:r>
    </w:p>
    <w:p w14:paraId="583A7705">
      <w:pPr>
        <w:pStyle w:val="3"/>
        <w:ind w:firstLine="480"/>
        <w:rPr>
          <w:color w:val="auto"/>
          <w:highlight w:val="none"/>
          <w:lang w:val="zh-CN"/>
        </w:rPr>
      </w:pPr>
      <w:r>
        <w:rPr>
          <w:color w:val="auto"/>
          <w:highlight w:val="none"/>
        </w:rPr>
        <w:t>a.</w:t>
      </w:r>
      <w:r>
        <w:rPr>
          <w:color w:val="auto"/>
          <w:highlight w:val="none"/>
          <w:lang w:val="zh-CN"/>
        </w:rPr>
        <w:t>了解全区生产是否出现异常情况，出现异常情况的装置、原因。加大监测密度，如监测频率由每</w:t>
      </w:r>
      <w:r>
        <w:rPr>
          <w:rFonts w:hint="eastAsia"/>
          <w:color w:val="auto"/>
          <w:highlight w:val="none"/>
          <w:lang w:val="zh-CN"/>
        </w:rPr>
        <w:t>季度</w:t>
      </w:r>
      <w:r>
        <w:rPr>
          <w:color w:val="auto"/>
          <w:highlight w:val="none"/>
          <w:lang w:val="zh-CN"/>
        </w:rPr>
        <w:t>一次临时加密为</w:t>
      </w:r>
      <w:r>
        <w:rPr>
          <w:rFonts w:hint="eastAsia"/>
          <w:color w:val="auto"/>
          <w:highlight w:val="none"/>
          <w:lang w:val="en-US" w:eastAsia="zh-CN"/>
        </w:rPr>
        <w:t>每半月一次</w:t>
      </w:r>
      <w:r>
        <w:rPr>
          <w:color w:val="auto"/>
          <w:highlight w:val="none"/>
          <w:lang w:val="zh-CN"/>
        </w:rPr>
        <w:t>，分析变化动向；</w:t>
      </w:r>
    </w:p>
    <w:p w14:paraId="1F62DB4C">
      <w:pPr>
        <w:pStyle w:val="3"/>
        <w:ind w:firstLine="480"/>
        <w:rPr>
          <w:color w:val="auto"/>
          <w:highlight w:val="none"/>
          <w:lang w:val="zh-CN"/>
        </w:rPr>
      </w:pPr>
      <w:r>
        <w:rPr>
          <w:color w:val="auto"/>
          <w:highlight w:val="none"/>
        </w:rPr>
        <w:t>b.</w:t>
      </w:r>
      <w:r>
        <w:rPr>
          <w:color w:val="auto"/>
          <w:highlight w:val="none"/>
          <w:lang w:val="zh-CN"/>
        </w:rPr>
        <w:t>定期对污染区的装置等进行检查。</w:t>
      </w:r>
    </w:p>
    <w:bookmarkEnd w:id="444"/>
    <w:p w14:paraId="2E83C841">
      <w:pPr>
        <w:pStyle w:val="43"/>
        <w:rPr>
          <w:color w:val="auto"/>
          <w:highlight w:val="none"/>
        </w:rPr>
      </w:pPr>
      <w:r>
        <w:rPr>
          <w:color w:val="auto"/>
          <w:highlight w:val="none"/>
        </w:rPr>
        <w:t>全厂分区防渗措施</w:t>
      </w:r>
    </w:p>
    <w:p w14:paraId="10A630B2">
      <w:pPr>
        <w:pStyle w:val="3"/>
        <w:ind w:firstLine="480"/>
        <w:rPr>
          <w:color w:val="auto"/>
          <w:highlight w:val="none"/>
        </w:rPr>
      </w:pPr>
      <w:r>
        <w:rPr>
          <w:color w:val="auto"/>
          <w:highlight w:val="none"/>
        </w:rPr>
        <w:t>（1）采用国际国内先进的防渗材料、技术和实施手段，确保工程建设对区域内地下水影响最小，确保地下水现有水体功能。</w:t>
      </w:r>
    </w:p>
    <w:p w14:paraId="52A6D04A">
      <w:pPr>
        <w:pStyle w:val="3"/>
        <w:ind w:firstLine="480"/>
        <w:rPr>
          <w:color w:val="auto"/>
          <w:highlight w:val="none"/>
        </w:rPr>
      </w:pPr>
      <w:r>
        <w:rPr>
          <w:color w:val="auto"/>
          <w:highlight w:val="none"/>
        </w:rPr>
        <w:t>（2）坚持分区管理和控制原则，根据场址所在地的工程地质、水文地质条件和全厂可能发生泄漏的物料性质、排放量，参照相应标准要求有针对性</w:t>
      </w:r>
      <w:r>
        <w:rPr>
          <w:rFonts w:hint="eastAsia"/>
          <w:color w:val="auto"/>
          <w:highlight w:val="none"/>
          <w:lang w:eastAsia="zh-CN"/>
        </w:rPr>
        <w:t>地</w:t>
      </w:r>
      <w:r>
        <w:rPr>
          <w:color w:val="auto"/>
          <w:highlight w:val="none"/>
        </w:rPr>
        <w:t>分区，并分别设计地面防渗层结构。</w:t>
      </w:r>
    </w:p>
    <w:p w14:paraId="6491867D">
      <w:pPr>
        <w:pStyle w:val="3"/>
        <w:ind w:firstLine="480"/>
        <w:rPr>
          <w:color w:val="auto"/>
          <w:highlight w:val="none"/>
        </w:rPr>
      </w:pPr>
      <w:r>
        <w:rPr>
          <w:color w:val="auto"/>
          <w:highlight w:val="none"/>
        </w:rPr>
        <w:t>（3）坚持“可视化”原则，在满足工程和防渗层结构标准要求的前提下，尽量在地表面实施防渗措施，便于泄漏物质的收集和及时发现破损的防渗层。</w:t>
      </w:r>
    </w:p>
    <w:p w14:paraId="3DE160EC">
      <w:pPr>
        <w:pStyle w:val="3"/>
        <w:ind w:firstLine="480"/>
        <w:rPr>
          <w:color w:val="auto"/>
          <w:highlight w:val="none"/>
        </w:rPr>
      </w:pPr>
      <w:r>
        <w:rPr>
          <w:color w:val="auto"/>
          <w:highlight w:val="none"/>
        </w:rPr>
        <w:t>（4</w:t>
      </w:r>
      <w:r>
        <w:rPr>
          <w:rFonts w:hint="eastAsia"/>
          <w:color w:val="auto"/>
          <w:highlight w:val="none"/>
          <w:lang w:eastAsia="zh-CN"/>
        </w:rPr>
        <w:t>）在</w:t>
      </w:r>
      <w:r>
        <w:rPr>
          <w:color w:val="auto"/>
          <w:highlight w:val="none"/>
        </w:rPr>
        <w:t>可能泄漏危险废物的重点污染防治区设置检漏设施。</w:t>
      </w:r>
    </w:p>
    <w:p w14:paraId="0A500CB6">
      <w:pPr>
        <w:pStyle w:val="3"/>
        <w:ind w:firstLine="480"/>
        <w:rPr>
          <w:color w:val="auto"/>
          <w:highlight w:val="none"/>
        </w:rPr>
      </w:pPr>
      <w:r>
        <w:rPr>
          <w:color w:val="auto"/>
          <w:highlight w:val="none"/>
        </w:rPr>
        <w:t>本项目区应划分为非污染区和污染区，污染区分为简单防渗区、一般防渗区和重点防渗区。非污染区可不进行防渗处理，污染区则应按照不同分区要求，采取不同等级的防渗措施，并确保其可靠性和有效性。</w:t>
      </w:r>
    </w:p>
    <w:p w14:paraId="3C0466D4">
      <w:pPr>
        <w:pStyle w:val="3"/>
        <w:ind w:firstLine="480"/>
        <w:rPr>
          <w:color w:val="auto"/>
          <w:highlight w:val="none"/>
        </w:rPr>
      </w:pPr>
      <w:r>
        <w:rPr>
          <w:color w:val="auto"/>
          <w:highlight w:val="none"/>
        </w:rPr>
        <w:t>重点防渗区：重点防渗区地面采用水泥硬化或钢筋混凝土结构严格防渗、防腐和防爆措施，周围</w:t>
      </w:r>
      <w:r>
        <w:rPr>
          <w:rFonts w:hint="eastAsia"/>
          <w:color w:val="auto"/>
          <w:highlight w:val="none"/>
          <w:lang w:eastAsia="zh-CN"/>
        </w:rPr>
        <w:t>需设</w:t>
      </w:r>
      <w:r>
        <w:rPr>
          <w:color w:val="auto"/>
          <w:highlight w:val="none"/>
        </w:rPr>
        <w:t>置具有强防渗性的围堰和导流渠。防渗要求需保证防渗性能不低于6m厚、渗透系数不大于10</w:t>
      </w:r>
      <w:r>
        <w:rPr>
          <w:color w:val="auto"/>
          <w:highlight w:val="none"/>
          <w:vertAlign w:val="superscript"/>
        </w:rPr>
        <w:t>-7</w:t>
      </w:r>
      <w:r>
        <w:rPr>
          <w:color w:val="auto"/>
          <w:highlight w:val="none"/>
        </w:rPr>
        <w:t>cm/s的黏土层防渗性能。</w:t>
      </w:r>
    </w:p>
    <w:p w14:paraId="2EE9808C">
      <w:pPr>
        <w:pStyle w:val="3"/>
        <w:ind w:firstLine="480"/>
        <w:rPr>
          <w:color w:val="auto"/>
          <w:highlight w:val="none"/>
        </w:rPr>
      </w:pPr>
      <w:r>
        <w:rPr>
          <w:color w:val="auto"/>
          <w:highlight w:val="none"/>
        </w:rPr>
        <w:t>一般防渗区：</w:t>
      </w:r>
      <w:r>
        <w:rPr>
          <w:rFonts w:hint="eastAsia"/>
          <w:color w:val="auto"/>
          <w:highlight w:val="none"/>
          <w:lang w:val="en-US" w:eastAsia="zh-CN"/>
        </w:rPr>
        <w:t>尾矿库及渗滤液收集系统，选矿厂</w:t>
      </w:r>
      <w:r>
        <w:rPr>
          <w:color w:val="auto"/>
          <w:highlight w:val="none"/>
        </w:rPr>
        <w:t>除重点防渗区外的</w:t>
      </w:r>
      <w:r>
        <w:rPr>
          <w:rFonts w:hint="eastAsia"/>
          <w:color w:val="auto"/>
          <w:highlight w:val="none"/>
          <w:lang w:eastAsia="zh-CN"/>
        </w:rPr>
        <w:t>其他</w:t>
      </w:r>
      <w:r>
        <w:rPr>
          <w:color w:val="auto"/>
          <w:highlight w:val="none"/>
        </w:rPr>
        <w:t>区域等非污染防治区，防渗结构采用单层土工膜复合防渗衬层结构，其防渗性能应至少相当于渗透系数为1.0×10</w:t>
      </w:r>
      <w:r>
        <w:rPr>
          <w:color w:val="auto"/>
          <w:highlight w:val="none"/>
          <w:vertAlign w:val="superscript"/>
        </w:rPr>
        <w:t>-5</w:t>
      </w:r>
      <w:r>
        <w:rPr>
          <w:color w:val="auto"/>
          <w:highlight w:val="none"/>
        </w:rPr>
        <w:t>cm/s且厚度为0.75m的天然基础层。</w:t>
      </w:r>
    </w:p>
    <w:p w14:paraId="2628D29E">
      <w:pPr>
        <w:pStyle w:val="3"/>
        <w:ind w:firstLine="480"/>
        <w:rPr>
          <w:color w:val="auto"/>
          <w:highlight w:val="none"/>
        </w:rPr>
      </w:pPr>
      <w:r>
        <w:rPr>
          <w:color w:val="auto"/>
          <w:highlight w:val="none"/>
        </w:rPr>
        <w:t>本项目将危废贮存点、</w:t>
      </w:r>
      <w:r>
        <w:rPr>
          <w:rFonts w:hint="eastAsia"/>
          <w:color w:val="auto"/>
          <w:highlight w:val="none"/>
        </w:rPr>
        <w:t>浓密池、事故池</w:t>
      </w:r>
      <w:r>
        <w:rPr>
          <w:color w:val="auto"/>
          <w:highlight w:val="none"/>
        </w:rPr>
        <w:t>设为重点防渗区，选矿车间</w:t>
      </w:r>
      <w:r>
        <w:rPr>
          <w:rFonts w:hint="eastAsia"/>
          <w:color w:val="auto"/>
          <w:highlight w:val="none"/>
        </w:rPr>
        <w:t>、精选车间、机修间</w:t>
      </w:r>
      <w:r>
        <w:rPr>
          <w:color w:val="auto"/>
          <w:highlight w:val="none"/>
        </w:rPr>
        <w:t>、产品库房</w:t>
      </w:r>
      <w:r>
        <w:rPr>
          <w:rFonts w:hint="eastAsia"/>
          <w:color w:val="auto"/>
          <w:highlight w:val="none"/>
        </w:rPr>
        <w:t>、循环水池、下水管线</w:t>
      </w:r>
      <w:r>
        <w:rPr>
          <w:color w:val="auto"/>
          <w:highlight w:val="none"/>
        </w:rPr>
        <w:t>等一般防渗区，办公生活区为简单防渗区。</w:t>
      </w:r>
    </w:p>
    <w:p w14:paraId="07F9B635">
      <w:pPr>
        <w:pStyle w:val="3"/>
        <w:ind w:firstLine="480"/>
        <w:rPr>
          <w:color w:val="auto"/>
          <w:highlight w:val="none"/>
        </w:rPr>
      </w:pPr>
      <w:r>
        <w:rPr>
          <w:color w:val="auto"/>
          <w:highlight w:val="none"/>
        </w:rPr>
        <w:t>本项目防渗分区划分、防渗措施及等级见表7.2-1。</w:t>
      </w:r>
    </w:p>
    <w:p w14:paraId="11CFD6AA">
      <w:pPr>
        <w:pStyle w:val="40"/>
        <w:rPr>
          <w:color w:val="auto"/>
          <w:highlight w:val="none"/>
        </w:rPr>
      </w:pPr>
      <w:r>
        <w:rPr>
          <w:color w:val="auto"/>
          <w:highlight w:val="none"/>
        </w:rPr>
        <w:t>表7.2-1     本项目污染区划分及防渗要求一览表</w:t>
      </w:r>
    </w:p>
    <w:tbl>
      <w:tblPr>
        <w:tblStyle w:val="26"/>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13"/>
        <w:gridCol w:w="1836"/>
        <w:gridCol w:w="1983"/>
        <w:gridCol w:w="3481"/>
      </w:tblGrid>
      <w:tr w14:paraId="6C567F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2" w:type="pct"/>
            <w:tcBorders>
              <w:tl2br w:val="nil"/>
              <w:tr2bl w:val="nil"/>
            </w:tcBorders>
            <w:vAlign w:val="center"/>
          </w:tcPr>
          <w:p w14:paraId="6D6AEF34">
            <w:pPr>
              <w:pStyle w:val="41"/>
              <w:widowControl w:val="0"/>
              <w:rPr>
                <w:color w:val="auto"/>
                <w:highlight w:val="none"/>
              </w:rPr>
            </w:pPr>
            <w:r>
              <w:rPr>
                <w:color w:val="auto"/>
                <w:highlight w:val="none"/>
              </w:rPr>
              <w:t>防渗分区</w:t>
            </w:r>
          </w:p>
        </w:tc>
        <w:tc>
          <w:tcPr>
            <w:tcW w:w="1078" w:type="pct"/>
            <w:tcBorders>
              <w:tl2br w:val="nil"/>
              <w:tr2bl w:val="nil"/>
            </w:tcBorders>
            <w:vAlign w:val="center"/>
          </w:tcPr>
          <w:p w14:paraId="3A67879D">
            <w:pPr>
              <w:pStyle w:val="41"/>
              <w:widowControl w:val="0"/>
              <w:rPr>
                <w:color w:val="auto"/>
                <w:highlight w:val="none"/>
              </w:rPr>
            </w:pPr>
            <w:r>
              <w:rPr>
                <w:color w:val="auto"/>
                <w:highlight w:val="none"/>
              </w:rPr>
              <w:t>定义</w:t>
            </w:r>
          </w:p>
        </w:tc>
        <w:tc>
          <w:tcPr>
            <w:tcW w:w="1164" w:type="pct"/>
            <w:tcBorders>
              <w:tl2br w:val="nil"/>
              <w:tr2bl w:val="nil"/>
            </w:tcBorders>
            <w:vAlign w:val="center"/>
          </w:tcPr>
          <w:p w14:paraId="30CA7744">
            <w:pPr>
              <w:pStyle w:val="41"/>
              <w:widowControl w:val="0"/>
              <w:rPr>
                <w:color w:val="auto"/>
                <w:highlight w:val="none"/>
              </w:rPr>
            </w:pPr>
            <w:r>
              <w:rPr>
                <w:color w:val="auto"/>
                <w:highlight w:val="none"/>
              </w:rPr>
              <w:t>厂内分区</w:t>
            </w:r>
          </w:p>
        </w:tc>
        <w:tc>
          <w:tcPr>
            <w:tcW w:w="2043" w:type="pct"/>
            <w:tcBorders>
              <w:tl2br w:val="nil"/>
              <w:tr2bl w:val="nil"/>
            </w:tcBorders>
            <w:vAlign w:val="center"/>
          </w:tcPr>
          <w:p w14:paraId="624E2E63">
            <w:pPr>
              <w:pStyle w:val="41"/>
              <w:widowControl w:val="0"/>
              <w:rPr>
                <w:color w:val="auto"/>
                <w:highlight w:val="none"/>
              </w:rPr>
            </w:pPr>
            <w:r>
              <w:rPr>
                <w:color w:val="auto"/>
                <w:highlight w:val="none"/>
              </w:rPr>
              <w:t>防渗要求</w:t>
            </w:r>
          </w:p>
        </w:tc>
      </w:tr>
      <w:tr w14:paraId="3323D3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2" w:type="pct"/>
            <w:tcBorders>
              <w:tl2br w:val="nil"/>
              <w:tr2bl w:val="nil"/>
            </w:tcBorders>
            <w:vAlign w:val="center"/>
          </w:tcPr>
          <w:p w14:paraId="4D57F5CC">
            <w:pPr>
              <w:pStyle w:val="41"/>
              <w:widowControl w:val="0"/>
              <w:rPr>
                <w:color w:val="auto"/>
                <w:highlight w:val="none"/>
              </w:rPr>
            </w:pPr>
            <w:r>
              <w:rPr>
                <w:color w:val="auto"/>
                <w:highlight w:val="none"/>
              </w:rPr>
              <w:t>重点防渗区</w:t>
            </w:r>
          </w:p>
        </w:tc>
        <w:tc>
          <w:tcPr>
            <w:tcW w:w="1078" w:type="pct"/>
            <w:tcBorders>
              <w:tl2br w:val="nil"/>
              <w:tr2bl w:val="nil"/>
            </w:tcBorders>
            <w:vAlign w:val="center"/>
          </w:tcPr>
          <w:p w14:paraId="427D60A9">
            <w:pPr>
              <w:pStyle w:val="41"/>
              <w:widowControl w:val="0"/>
              <w:rPr>
                <w:color w:val="auto"/>
                <w:highlight w:val="none"/>
              </w:rPr>
            </w:pPr>
            <w:r>
              <w:rPr>
                <w:color w:val="auto"/>
                <w:highlight w:val="none"/>
              </w:rPr>
              <w:t>危害性大、毒性较大的生产装置区、物料储罐区、危险废物贮存区等</w:t>
            </w:r>
          </w:p>
        </w:tc>
        <w:tc>
          <w:tcPr>
            <w:tcW w:w="1164" w:type="pct"/>
            <w:tcBorders>
              <w:tl2br w:val="nil"/>
              <w:tr2bl w:val="nil"/>
            </w:tcBorders>
            <w:vAlign w:val="center"/>
          </w:tcPr>
          <w:p w14:paraId="5EF20D28">
            <w:pPr>
              <w:pStyle w:val="41"/>
              <w:widowControl w:val="0"/>
              <w:rPr>
                <w:color w:val="auto"/>
                <w:highlight w:val="none"/>
              </w:rPr>
            </w:pPr>
            <w:r>
              <w:rPr>
                <w:color w:val="auto"/>
                <w:highlight w:val="none"/>
              </w:rPr>
              <w:t>危废贮存点、</w:t>
            </w:r>
            <w:r>
              <w:rPr>
                <w:rFonts w:hint="eastAsia"/>
                <w:color w:val="auto"/>
                <w:highlight w:val="none"/>
              </w:rPr>
              <w:t>浓密池、事故池</w:t>
            </w:r>
          </w:p>
        </w:tc>
        <w:tc>
          <w:tcPr>
            <w:tcW w:w="2043" w:type="pct"/>
            <w:tcBorders>
              <w:tl2br w:val="nil"/>
              <w:tr2bl w:val="nil"/>
            </w:tcBorders>
            <w:vAlign w:val="center"/>
          </w:tcPr>
          <w:p w14:paraId="06EFA89A">
            <w:pPr>
              <w:pStyle w:val="41"/>
              <w:widowControl w:val="0"/>
              <w:rPr>
                <w:color w:val="auto"/>
                <w:highlight w:val="none"/>
              </w:rPr>
            </w:pPr>
            <w:r>
              <w:rPr>
                <w:color w:val="auto"/>
                <w:highlight w:val="none"/>
              </w:rPr>
              <w:t>保证防渗性能不低于6m厚、渗透系数不大于10</w:t>
            </w:r>
            <w:r>
              <w:rPr>
                <w:color w:val="auto"/>
                <w:highlight w:val="none"/>
                <w:vertAlign w:val="superscript"/>
              </w:rPr>
              <w:t>-7</w:t>
            </w:r>
            <w:r>
              <w:rPr>
                <w:color w:val="auto"/>
                <w:highlight w:val="none"/>
              </w:rPr>
              <w:t>cm/s的黏土层防渗性能</w:t>
            </w:r>
          </w:p>
        </w:tc>
      </w:tr>
      <w:tr w14:paraId="46F901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2" w:type="pct"/>
            <w:tcBorders>
              <w:tl2br w:val="nil"/>
              <w:tr2bl w:val="nil"/>
            </w:tcBorders>
            <w:vAlign w:val="center"/>
          </w:tcPr>
          <w:p w14:paraId="00660D93">
            <w:pPr>
              <w:pStyle w:val="41"/>
              <w:widowControl w:val="0"/>
              <w:rPr>
                <w:color w:val="auto"/>
                <w:highlight w:val="none"/>
              </w:rPr>
            </w:pPr>
            <w:r>
              <w:rPr>
                <w:color w:val="auto"/>
                <w:highlight w:val="none"/>
              </w:rPr>
              <w:t>一般防渗区</w:t>
            </w:r>
          </w:p>
        </w:tc>
        <w:tc>
          <w:tcPr>
            <w:tcW w:w="1078" w:type="pct"/>
            <w:tcBorders>
              <w:tl2br w:val="nil"/>
              <w:tr2bl w:val="nil"/>
            </w:tcBorders>
            <w:vAlign w:val="center"/>
          </w:tcPr>
          <w:p w14:paraId="66236950">
            <w:pPr>
              <w:pStyle w:val="41"/>
              <w:widowControl w:val="0"/>
              <w:rPr>
                <w:color w:val="auto"/>
                <w:highlight w:val="none"/>
              </w:rPr>
            </w:pPr>
            <w:r>
              <w:rPr>
                <w:color w:val="auto"/>
                <w:highlight w:val="none"/>
              </w:rPr>
              <w:t>无毒性或毒性小的生产装置区、装置区外管廊区</w:t>
            </w:r>
          </w:p>
        </w:tc>
        <w:tc>
          <w:tcPr>
            <w:tcW w:w="1164" w:type="pct"/>
            <w:tcBorders>
              <w:tl2br w:val="nil"/>
              <w:tr2bl w:val="nil"/>
            </w:tcBorders>
            <w:vAlign w:val="center"/>
          </w:tcPr>
          <w:p w14:paraId="778C02A5">
            <w:pPr>
              <w:pStyle w:val="41"/>
              <w:widowControl w:val="0"/>
              <w:rPr>
                <w:color w:val="auto"/>
                <w:highlight w:val="none"/>
              </w:rPr>
            </w:pPr>
            <w:r>
              <w:rPr>
                <w:color w:val="auto"/>
                <w:highlight w:val="none"/>
              </w:rPr>
              <w:t>尾矿库、</w:t>
            </w:r>
            <w:r>
              <w:rPr>
                <w:rFonts w:hint="eastAsia"/>
                <w:color w:val="auto"/>
                <w:highlight w:val="none"/>
              </w:rPr>
              <w:t>渗滤液收集、</w:t>
            </w:r>
            <w:r>
              <w:rPr>
                <w:color w:val="auto"/>
                <w:highlight w:val="none"/>
              </w:rPr>
              <w:t>选矿车间</w:t>
            </w:r>
            <w:r>
              <w:rPr>
                <w:rFonts w:hint="eastAsia"/>
                <w:color w:val="auto"/>
                <w:highlight w:val="none"/>
              </w:rPr>
              <w:t>、精选车间、机修间</w:t>
            </w:r>
            <w:r>
              <w:rPr>
                <w:color w:val="auto"/>
                <w:highlight w:val="none"/>
              </w:rPr>
              <w:t>、产品库房</w:t>
            </w:r>
            <w:r>
              <w:rPr>
                <w:rFonts w:hint="eastAsia"/>
                <w:color w:val="auto"/>
                <w:highlight w:val="none"/>
              </w:rPr>
              <w:t>、循环水池、下水管线</w:t>
            </w:r>
          </w:p>
        </w:tc>
        <w:tc>
          <w:tcPr>
            <w:tcW w:w="2043" w:type="pct"/>
            <w:tcBorders>
              <w:tl2br w:val="nil"/>
              <w:tr2bl w:val="nil"/>
            </w:tcBorders>
            <w:vAlign w:val="center"/>
          </w:tcPr>
          <w:p w14:paraId="514E6156">
            <w:pPr>
              <w:pStyle w:val="41"/>
              <w:widowControl w:val="0"/>
              <w:rPr>
                <w:color w:val="auto"/>
                <w:highlight w:val="none"/>
              </w:rPr>
            </w:pPr>
            <w:r>
              <w:rPr>
                <w:color w:val="auto"/>
                <w:highlight w:val="none"/>
              </w:rPr>
              <w:t>防渗结构采用单层土工膜复合防渗衬层结构，其防渗性能应至少相当于渗透系数为1.0×10</w:t>
            </w:r>
            <w:r>
              <w:rPr>
                <w:color w:val="auto"/>
                <w:highlight w:val="none"/>
                <w:vertAlign w:val="superscript"/>
              </w:rPr>
              <w:t>-5</w:t>
            </w:r>
            <w:r>
              <w:rPr>
                <w:color w:val="auto"/>
                <w:highlight w:val="none"/>
              </w:rPr>
              <w:t>cm/s且厚度为0.75m的天然基础层</w:t>
            </w:r>
          </w:p>
        </w:tc>
      </w:tr>
      <w:tr w14:paraId="00BB09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2" w:type="pct"/>
            <w:tcBorders>
              <w:tl2br w:val="nil"/>
              <w:tr2bl w:val="nil"/>
            </w:tcBorders>
            <w:vAlign w:val="center"/>
          </w:tcPr>
          <w:p w14:paraId="59BE3C5E">
            <w:pPr>
              <w:pStyle w:val="41"/>
              <w:widowControl w:val="0"/>
              <w:rPr>
                <w:color w:val="auto"/>
                <w:highlight w:val="none"/>
              </w:rPr>
            </w:pPr>
            <w:r>
              <w:rPr>
                <w:color w:val="auto"/>
                <w:highlight w:val="none"/>
              </w:rPr>
              <w:t>简单防渗区</w:t>
            </w:r>
          </w:p>
        </w:tc>
        <w:tc>
          <w:tcPr>
            <w:tcW w:w="1078" w:type="pct"/>
            <w:tcBorders>
              <w:tl2br w:val="nil"/>
              <w:tr2bl w:val="nil"/>
            </w:tcBorders>
            <w:vAlign w:val="center"/>
          </w:tcPr>
          <w:p w14:paraId="721EC56D">
            <w:pPr>
              <w:pStyle w:val="41"/>
              <w:widowControl w:val="0"/>
              <w:rPr>
                <w:color w:val="auto"/>
                <w:highlight w:val="none"/>
              </w:rPr>
            </w:pPr>
            <w:r>
              <w:rPr>
                <w:color w:val="auto"/>
                <w:highlight w:val="none"/>
              </w:rPr>
              <w:t>除污染区的其余区域</w:t>
            </w:r>
          </w:p>
        </w:tc>
        <w:tc>
          <w:tcPr>
            <w:tcW w:w="1164" w:type="pct"/>
            <w:tcBorders>
              <w:tl2br w:val="nil"/>
              <w:tr2bl w:val="nil"/>
            </w:tcBorders>
            <w:vAlign w:val="center"/>
          </w:tcPr>
          <w:p w14:paraId="2188DA4A">
            <w:pPr>
              <w:pStyle w:val="41"/>
              <w:widowControl w:val="0"/>
              <w:rPr>
                <w:color w:val="auto"/>
                <w:highlight w:val="none"/>
              </w:rPr>
            </w:pPr>
            <w:r>
              <w:rPr>
                <w:color w:val="auto"/>
                <w:highlight w:val="none"/>
              </w:rPr>
              <w:t>办公生活区</w:t>
            </w:r>
          </w:p>
        </w:tc>
        <w:tc>
          <w:tcPr>
            <w:tcW w:w="2043" w:type="pct"/>
            <w:tcBorders>
              <w:tl2br w:val="nil"/>
              <w:tr2bl w:val="nil"/>
            </w:tcBorders>
            <w:vAlign w:val="center"/>
          </w:tcPr>
          <w:p w14:paraId="1A2B0DBF">
            <w:pPr>
              <w:pStyle w:val="41"/>
              <w:widowControl w:val="0"/>
              <w:rPr>
                <w:color w:val="auto"/>
                <w:highlight w:val="none"/>
              </w:rPr>
            </w:pPr>
            <w:r>
              <w:rPr>
                <w:color w:val="auto"/>
                <w:highlight w:val="none"/>
              </w:rPr>
              <w:t>进行地面硬化</w:t>
            </w:r>
          </w:p>
        </w:tc>
      </w:tr>
      <w:bookmarkEnd w:id="443"/>
    </w:tbl>
    <w:p w14:paraId="225893BF">
      <w:pPr>
        <w:pStyle w:val="42"/>
        <w:rPr>
          <w:rFonts w:hint="default"/>
          <w:color w:val="auto"/>
          <w:highlight w:val="none"/>
        </w:rPr>
      </w:pPr>
      <w:r>
        <w:rPr>
          <w:rFonts w:hint="default"/>
          <w:color w:val="auto"/>
          <w:highlight w:val="none"/>
        </w:rPr>
        <w:t>噪声污染防治措施</w:t>
      </w:r>
    </w:p>
    <w:p w14:paraId="3B28B871">
      <w:pPr>
        <w:pStyle w:val="3"/>
        <w:ind w:firstLine="480"/>
        <w:rPr>
          <w:color w:val="auto"/>
          <w:highlight w:val="none"/>
        </w:rPr>
      </w:pPr>
      <w:r>
        <w:rPr>
          <w:color w:val="auto"/>
          <w:highlight w:val="none"/>
        </w:rPr>
        <w:t>生产噪声主要来源为选矿机械设备以及各种风机、泵类，均为固定室内声源。为进一步防止高噪声设备对周围环境的影响，针对本项目噪声源噪声特点，对项目噪声治理提出如下措施：</w:t>
      </w:r>
    </w:p>
    <w:p w14:paraId="243892EB">
      <w:pPr>
        <w:pStyle w:val="3"/>
        <w:ind w:firstLine="480"/>
        <w:rPr>
          <w:color w:val="auto"/>
          <w:highlight w:val="none"/>
        </w:rPr>
      </w:pPr>
      <w:r>
        <w:rPr>
          <w:color w:val="auto"/>
          <w:highlight w:val="none"/>
        </w:rPr>
        <w:t>（1）合理布局，并选择满足国家噪声标准要求的低噪声设备。</w:t>
      </w:r>
    </w:p>
    <w:p w14:paraId="296904A9">
      <w:pPr>
        <w:pStyle w:val="3"/>
        <w:ind w:firstLine="480"/>
        <w:rPr>
          <w:color w:val="auto"/>
          <w:highlight w:val="none"/>
        </w:rPr>
      </w:pPr>
      <w:r>
        <w:rPr>
          <w:color w:val="auto"/>
          <w:highlight w:val="none"/>
        </w:rPr>
        <w:t>（2）工艺设计中对产生噪声较大的设备采取降低噪声的措施，如破碎机、球磨机、压滤机等大型设备在基础安装时采取减振降噪措施。</w:t>
      </w:r>
    </w:p>
    <w:p w14:paraId="3CE47F37">
      <w:pPr>
        <w:pStyle w:val="3"/>
        <w:ind w:firstLine="480"/>
        <w:rPr>
          <w:color w:val="auto"/>
          <w:highlight w:val="none"/>
        </w:rPr>
      </w:pPr>
      <w:r>
        <w:rPr>
          <w:color w:val="auto"/>
          <w:highlight w:val="none"/>
        </w:rPr>
        <w:t>（3）水泵采用独立基础固定减振，进出口柔性连接等降噪措施。</w:t>
      </w:r>
    </w:p>
    <w:p w14:paraId="24F1472F">
      <w:pPr>
        <w:pStyle w:val="3"/>
        <w:ind w:firstLine="480"/>
        <w:rPr>
          <w:color w:val="auto"/>
          <w:highlight w:val="none"/>
        </w:rPr>
      </w:pPr>
      <w:r>
        <w:rPr>
          <w:color w:val="auto"/>
          <w:highlight w:val="none"/>
        </w:rPr>
        <w:t>（4）本项目主要发声设备如引风机、水泵等全部在室内安置，厂房等具有一定的隔声降噪效果。</w:t>
      </w:r>
    </w:p>
    <w:p w14:paraId="5744A69F">
      <w:pPr>
        <w:pStyle w:val="3"/>
        <w:ind w:firstLine="480"/>
        <w:rPr>
          <w:color w:val="auto"/>
          <w:highlight w:val="none"/>
        </w:rPr>
      </w:pPr>
      <w:r>
        <w:rPr>
          <w:color w:val="auto"/>
          <w:highlight w:val="none"/>
        </w:rPr>
        <w:t>（4）本项目风机安装阻性消声器，阻性消声器是一种吸收型消声器，阻性消声器是利用声波在多孔性吸声材料传播时，受摩擦和粘滞阻力，将声能转化为热能耗散掉，从而达到消声降噪的目的。</w:t>
      </w:r>
    </w:p>
    <w:p w14:paraId="7FB905B6">
      <w:pPr>
        <w:pStyle w:val="3"/>
        <w:ind w:firstLine="480"/>
        <w:rPr>
          <w:color w:val="auto"/>
          <w:highlight w:val="none"/>
        </w:rPr>
      </w:pPr>
      <w:r>
        <w:rPr>
          <w:color w:val="auto"/>
          <w:highlight w:val="none"/>
        </w:rPr>
        <w:t>（5）增加场区绿化，增加绿化带隔声效果。</w:t>
      </w:r>
    </w:p>
    <w:p w14:paraId="781D2328">
      <w:pPr>
        <w:pStyle w:val="3"/>
        <w:ind w:firstLine="480"/>
        <w:rPr>
          <w:color w:val="auto"/>
          <w:highlight w:val="none"/>
        </w:rPr>
      </w:pPr>
      <w:r>
        <w:rPr>
          <w:color w:val="auto"/>
          <w:highlight w:val="none"/>
        </w:rPr>
        <w:t>（6）合理调度运输车辆作业时间，禁止夜间运输大宗物料。</w:t>
      </w:r>
    </w:p>
    <w:p w14:paraId="10DAA21B">
      <w:pPr>
        <w:pStyle w:val="3"/>
        <w:ind w:firstLine="480"/>
        <w:rPr>
          <w:color w:val="auto"/>
          <w:highlight w:val="none"/>
        </w:rPr>
      </w:pPr>
      <w:r>
        <w:rPr>
          <w:color w:val="auto"/>
          <w:highlight w:val="none"/>
        </w:rPr>
        <w:t>（7）厂区内设置限速禁鸣标识，并加强运输车辆的维护管理，确保运输车辆在最佳工况下行驶。</w:t>
      </w:r>
    </w:p>
    <w:p w14:paraId="2E89A0EE">
      <w:pPr>
        <w:pStyle w:val="3"/>
        <w:ind w:firstLine="480"/>
        <w:rPr>
          <w:color w:val="auto"/>
          <w:highlight w:val="none"/>
        </w:rPr>
      </w:pPr>
      <w:r>
        <w:rPr>
          <w:color w:val="auto"/>
          <w:highlight w:val="none"/>
        </w:rPr>
        <w:t>由声环境影响预测结果可知，运营期厂界噪声排放满足《工业企业厂界环境噪声排放标准》中2类要求，项目评价范围内无声环境敏感目标，通过采取上述措施后，可有效减轻运营期间设备运行噪声对周边环境的影响，噪声污染防治措施可行。</w:t>
      </w:r>
    </w:p>
    <w:p w14:paraId="70EF89FF">
      <w:pPr>
        <w:pStyle w:val="42"/>
        <w:rPr>
          <w:rFonts w:hint="default"/>
          <w:color w:val="auto"/>
          <w:highlight w:val="none"/>
        </w:rPr>
      </w:pPr>
      <w:r>
        <w:rPr>
          <w:rFonts w:hint="default"/>
          <w:color w:val="auto"/>
          <w:highlight w:val="none"/>
        </w:rPr>
        <w:t>固体废弃物污染防治措施</w:t>
      </w:r>
    </w:p>
    <w:p w14:paraId="308DFD0A">
      <w:pPr>
        <w:pStyle w:val="43"/>
        <w:rPr>
          <w:color w:val="auto"/>
          <w:highlight w:val="none"/>
        </w:rPr>
      </w:pPr>
      <w:r>
        <w:rPr>
          <w:color w:val="auto"/>
          <w:highlight w:val="none"/>
        </w:rPr>
        <w:t xml:space="preserve"> </w:t>
      </w:r>
      <w:r>
        <w:rPr>
          <w:rFonts w:hint="eastAsia"/>
          <w:color w:val="auto"/>
          <w:highlight w:val="none"/>
        </w:rPr>
        <w:t>固体废物处置措施</w:t>
      </w:r>
    </w:p>
    <w:p w14:paraId="523136C8">
      <w:pPr>
        <w:pStyle w:val="3"/>
        <w:ind w:firstLine="480"/>
        <w:rPr>
          <w:color w:val="auto"/>
          <w:highlight w:val="none"/>
        </w:rPr>
      </w:pPr>
      <w:r>
        <w:rPr>
          <w:color w:val="auto"/>
          <w:highlight w:val="none"/>
        </w:rPr>
        <w:t>（1）一般工业固废</w:t>
      </w:r>
    </w:p>
    <w:p w14:paraId="450F81CE">
      <w:pPr>
        <w:pStyle w:val="3"/>
        <w:ind w:firstLine="480"/>
        <w:rPr>
          <w:color w:val="auto"/>
          <w:highlight w:val="none"/>
        </w:rPr>
      </w:pPr>
      <w:r>
        <w:rPr>
          <w:color w:val="auto"/>
          <w:highlight w:val="none"/>
        </w:rPr>
        <w:t>本项目一般工业固体废物包括废石、干抛尾矿、除尘灰、炉灰渣、</w:t>
      </w:r>
      <w:r>
        <w:rPr>
          <w:rFonts w:hint="eastAsia"/>
          <w:color w:val="auto"/>
          <w:highlight w:val="none"/>
          <w:lang w:val="en-US" w:eastAsia="zh-CN"/>
        </w:rPr>
        <w:t>脱硫石膏、沉淀池底泥、废布袋、</w:t>
      </w:r>
      <w:r>
        <w:rPr>
          <w:color w:val="auto"/>
          <w:highlight w:val="none"/>
        </w:rPr>
        <w:t>污水处理设施污泥。</w:t>
      </w:r>
    </w:p>
    <w:p w14:paraId="7EF38BEE">
      <w:pPr>
        <w:pStyle w:val="3"/>
        <w:ind w:firstLine="480"/>
        <w:rPr>
          <w:color w:val="auto"/>
          <w:highlight w:val="none"/>
        </w:rPr>
      </w:pPr>
      <w:r>
        <w:rPr>
          <w:color w:val="auto"/>
          <w:highlight w:val="none"/>
        </w:rPr>
        <w:t>废石：本项目</w:t>
      </w:r>
      <w:r>
        <w:rPr>
          <w:rFonts w:hint="eastAsia"/>
          <w:color w:val="auto"/>
          <w:highlight w:val="none"/>
        </w:rPr>
        <w:t>废石</w:t>
      </w:r>
      <w:r>
        <w:rPr>
          <w:color w:val="auto"/>
          <w:highlight w:val="none"/>
        </w:rPr>
        <w:t>量</w:t>
      </w:r>
      <w:r>
        <w:rPr>
          <w:rFonts w:hint="eastAsia"/>
          <w:color w:val="auto"/>
          <w:highlight w:val="none"/>
        </w:rPr>
        <w:t>232</w:t>
      </w:r>
      <w:r>
        <w:rPr>
          <w:color w:val="auto"/>
          <w:highlight w:val="none"/>
        </w:rPr>
        <w:t>万t/a，</w:t>
      </w:r>
      <w:r>
        <w:rPr>
          <w:rFonts w:hint="eastAsia"/>
          <w:color w:val="auto"/>
          <w:highlight w:val="none"/>
        </w:rPr>
        <w:t>废石</w:t>
      </w:r>
      <w:r>
        <w:rPr>
          <w:color w:val="auto"/>
          <w:highlight w:val="none"/>
        </w:rPr>
        <w:t>运往采矿项目</w:t>
      </w:r>
      <w:r>
        <w:rPr>
          <w:rFonts w:hint="eastAsia"/>
          <w:color w:val="auto"/>
          <w:highlight w:val="none"/>
          <w:lang w:eastAsia="zh-CN"/>
        </w:rPr>
        <w:t>排土场</w:t>
      </w:r>
      <w:r>
        <w:rPr>
          <w:color w:val="auto"/>
          <w:highlight w:val="none"/>
        </w:rPr>
        <w:t>进行堆存，后期可回填采坑。</w:t>
      </w:r>
    </w:p>
    <w:p w14:paraId="604C3055">
      <w:pPr>
        <w:pStyle w:val="3"/>
        <w:ind w:firstLine="480"/>
        <w:rPr>
          <w:color w:val="auto"/>
          <w:highlight w:val="none"/>
        </w:rPr>
      </w:pPr>
      <w:r>
        <w:rPr>
          <w:color w:val="auto"/>
          <w:highlight w:val="none"/>
        </w:rPr>
        <w:t>干抛尾矿：本项目尾矿产生量</w:t>
      </w:r>
      <w:r>
        <w:rPr>
          <w:rFonts w:hint="eastAsia"/>
          <w:color w:val="auto"/>
          <w:highlight w:val="none"/>
        </w:rPr>
        <w:t>302</w:t>
      </w:r>
      <w:r>
        <w:rPr>
          <w:color w:val="auto"/>
          <w:highlight w:val="none"/>
        </w:rPr>
        <w:t>万t/a，根据项目工程设计资料，干排尾矿运送至本项目规划尾矿库排放。</w:t>
      </w:r>
    </w:p>
    <w:p w14:paraId="65E704EB">
      <w:pPr>
        <w:pStyle w:val="3"/>
        <w:ind w:firstLine="480"/>
        <w:rPr>
          <w:color w:val="auto"/>
          <w:highlight w:val="none"/>
        </w:rPr>
      </w:pPr>
      <w:r>
        <w:rPr>
          <w:color w:val="auto"/>
          <w:highlight w:val="none"/>
        </w:rPr>
        <w:t>除尘灰：本项目破碎筛分、磁选等工序收集的除尘灰总产生量为</w:t>
      </w:r>
      <w:r>
        <w:rPr>
          <w:rFonts w:hint="eastAsia"/>
          <w:color w:val="auto"/>
          <w:highlight w:val="none"/>
        </w:rPr>
        <w:t>1090.441</w:t>
      </w:r>
      <w:r>
        <w:rPr>
          <w:color w:val="auto"/>
          <w:highlight w:val="none"/>
        </w:rPr>
        <w:t>t/a，该粉尘为一般工业固体废物，由于该粉尘粒度较细，成分与原矿石成分一致，可收集后作为细颗粒原料进入选矿工段生产精矿，不作为固体废物管理。</w:t>
      </w:r>
    </w:p>
    <w:p w14:paraId="6AB4959E">
      <w:pPr>
        <w:pStyle w:val="3"/>
        <w:ind w:firstLine="480"/>
        <w:rPr>
          <w:color w:val="auto"/>
          <w:highlight w:val="none"/>
        </w:rPr>
      </w:pPr>
      <w:r>
        <w:rPr>
          <w:color w:val="auto"/>
          <w:highlight w:val="none"/>
        </w:rPr>
        <w:t>炉灰渣：炉灰渣主要包括布袋除尘器中的除尘灰及炉膛炉渣，生物质炉灰渣产生量约42.37t/a，作为土壤改良剂用于</w:t>
      </w:r>
      <w:r>
        <w:rPr>
          <w:rFonts w:hint="eastAsia"/>
          <w:color w:val="auto"/>
          <w:highlight w:val="none"/>
          <w:lang w:eastAsia="zh-CN"/>
        </w:rPr>
        <w:t>项目区</w:t>
      </w:r>
      <w:r>
        <w:rPr>
          <w:color w:val="auto"/>
          <w:highlight w:val="none"/>
        </w:rPr>
        <w:t>生态恢复治理。</w:t>
      </w:r>
    </w:p>
    <w:p w14:paraId="2CDCBDF8">
      <w:pPr>
        <w:pStyle w:val="3"/>
        <w:ind w:firstLine="480"/>
        <w:rPr>
          <w:color w:val="auto"/>
          <w:highlight w:val="none"/>
        </w:rPr>
      </w:pPr>
      <w:r>
        <w:rPr>
          <w:color w:val="auto"/>
          <w:highlight w:val="none"/>
        </w:rPr>
        <w:t>污水处理设施污泥：污泥产生量为6.63t/a，污泥干化后与生活垃圾一起拉运至哈拉峻乡谢依提村垃圾场填埋处理。</w:t>
      </w:r>
    </w:p>
    <w:p w14:paraId="2B709854">
      <w:pPr>
        <w:pStyle w:val="3"/>
        <w:ind w:firstLine="480"/>
        <w:rPr>
          <w:color w:val="auto"/>
          <w:highlight w:val="none"/>
        </w:rPr>
      </w:pPr>
      <w:r>
        <w:rPr>
          <w:color w:val="auto"/>
          <w:highlight w:val="none"/>
        </w:rPr>
        <w:t>（2）危险废物</w:t>
      </w:r>
    </w:p>
    <w:p w14:paraId="1990A210">
      <w:pPr>
        <w:pStyle w:val="3"/>
        <w:ind w:firstLine="480"/>
        <w:rPr>
          <w:color w:val="auto"/>
          <w:highlight w:val="none"/>
        </w:rPr>
      </w:pPr>
      <w:r>
        <w:rPr>
          <w:color w:val="auto"/>
          <w:highlight w:val="none"/>
        </w:rPr>
        <w:t>选矿设备维修保养废机油产生量约3.0t/a，属于危险废物，产生后暂存于危废贮存点，委托有危废处理资质</w:t>
      </w:r>
      <w:r>
        <w:rPr>
          <w:color w:val="auto"/>
          <w:highlight w:val="none"/>
        </w:rPr>
        <w:t>克</w:t>
      </w:r>
      <w:r>
        <w:rPr>
          <w:color w:val="auto"/>
          <w:highlight w:val="none"/>
        </w:rPr>
        <w:t>州天蓝蓝环保有限公司拉运走处置。</w:t>
      </w:r>
    </w:p>
    <w:p w14:paraId="5CA60798">
      <w:pPr>
        <w:pStyle w:val="3"/>
        <w:ind w:firstLine="480"/>
        <w:rPr>
          <w:color w:val="auto"/>
          <w:highlight w:val="none"/>
        </w:rPr>
      </w:pPr>
      <w:r>
        <w:rPr>
          <w:color w:val="auto"/>
          <w:highlight w:val="none"/>
        </w:rPr>
        <w:t>（3）生活垃圾</w:t>
      </w:r>
    </w:p>
    <w:p w14:paraId="687E2C81">
      <w:pPr>
        <w:pStyle w:val="3"/>
        <w:ind w:firstLine="480"/>
        <w:rPr>
          <w:color w:val="auto"/>
          <w:highlight w:val="none"/>
        </w:rPr>
      </w:pPr>
      <w:r>
        <w:rPr>
          <w:color w:val="auto"/>
          <w:highlight w:val="none"/>
        </w:rPr>
        <w:t>本项目运营期生活垃圾产生量为75.768t/a，产生的生活垃圾集中收集定期清运至哈拉峻乡谢依提村垃圾场填埋处理。</w:t>
      </w:r>
    </w:p>
    <w:p w14:paraId="4B7E4C58">
      <w:pPr>
        <w:pStyle w:val="3"/>
        <w:ind w:firstLine="480"/>
        <w:rPr>
          <w:color w:val="auto"/>
          <w:highlight w:val="none"/>
        </w:rPr>
      </w:pPr>
      <w:r>
        <w:rPr>
          <w:color w:val="auto"/>
          <w:highlight w:val="none"/>
        </w:rPr>
        <w:t>在采取以上措施后，各类固体废物处理处置措施满足《一般工业固体废物贮存和填埋污染控制标准》（GB18599-2020）、《危险废物贮存污染控制标准》（GB18597-2023）等规范要求，对环境污染得到有效控制。</w:t>
      </w:r>
    </w:p>
    <w:p w14:paraId="4743B2FF">
      <w:pPr>
        <w:pStyle w:val="43"/>
        <w:rPr>
          <w:color w:val="auto"/>
          <w:highlight w:val="none"/>
        </w:rPr>
      </w:pPr>
      <w:r>
        <w:rPr>
          <w:rFonts w:hint="eastAsia"/>
          <w:color w:val="auto"/>
          <w:highlight w:val="none"/>
        </w:rPr>
        <w:t>依托可行性分析要求</w:t>
      </w:r>
    </w:p>
    <w:p w14:paraId="0B36B11D">
      <w:pPr>
        <w:pStyle w:val="3"/>
        <w:ind w:firstLine="480"/>
        <w:rPr>
          <w:b/>
          <w:bCs/>
          <w:color w:val="auto"/>
          <w:highlight w:val="none"/>
        </w:rPr>
      </w:pPr>
      <w:r>
        <w:rPr>
          <w:b/>
          <w:bCs/>
          <w:color w:val="auto"/>
          <w:highlight w:val="none"/>
        </w:rPr>
        <w:t>（1）</w:t>
      </w:r>
      <w:r>
        <w:rPr>
          <w:rFonts w:hint="eastAsia"/>
          <w:b/>
          <w:bCs/>
          <w:color w:val="auto"/>
          <w:highlight w:val="none"/>
          <w:lang w:eastAsia="zh-CN"/>
        </w:rPr>
        <w:t>排土场</w:t>
      </w:r>
      <w:r>
        <w:rPr>
          <w:b/>
          <w:bCs/>
          <w:color w:val="auto"/>
          <w:highlight w:val="none"/>
        </w:rPr>
        <w:t>依托可行性</w:t>
      </w:r>
    </w:p>
    <w:p w14:paraId="4C355C28">
      <w:pPr>
        <w:pStyle w:val="3"/>
        <w:ind w:firstLine="480"/>
        <w:rPr>
          <w:color w:val="auto"/>
          <w:highlight w:val="none"/>
        </w:rPr>
      </w:pPr>
      <w:r>
        <w:rPr>
          <w:color w:val="auto"/>
          <w:highlight w:val="none"/>
        </w:rPr>
        <w:t>根据项目工程设计资料，废石运送至与项目选矿配套建设的露天采矿</w:t>
      </w:r>
      <w:r>
        <w:rPr>
          <w:rFonts w:hint="eastAsia"/>
          <w:color w:val="auto"/>
          <w:highlight w:val="none"/>
          <w:lang w:eastAsia="zh-CN"/>
        </w:rPr>
        <w:t>排土场</w:t>
      </w:r>
      <w:r>
        <w:rPr>
          <w:rFonts w:hint="eastAsia"/>
          <w:color w:val="auto"/>
          <w:highlight w:val="none"/>
        </w:rPr>
        <w:t>临时堆放</w:t>
      </w:r>
      <w:r>
        <w:rPr>
          <w:color w:val="auto"/>
          <w:highlight w:val="none"/>
        </w:rPr>
        <w:t>，</w:t>
      </w:r>
      <w:r>
        <w:rPr>
          <w:rFonts w:hint="eastAsia"/>
          <w:color w:val="auto"/>
          <w:highlight w:val="none"/>
        </w:rPr>
        <w:t>后期回填露天采坑</w:t>
      </w:r>
      <w:r>
        <w:rPr>
          <w:color w:val="auto"/>
          <w:highlight w:val="none"/>
        </w:rPr>
        <w:t>。</w:t>
      </w:r>
    </w:p>
    <w:p w14:paraId="361D5455">
      <w:pPr>
        <w:pStyle w:val="3"/>
        <w:ind w:firstLine="480"/>
        <w:rPr>
          <w:color w:val="auto"/>
          <w:highlight w:val="none"/>
        </w:rPr>
      </w:pPr>
      <w:r>
        <w:rPr>
          <w:color w:val="auto"/>
          <w:highlight w:val="none"/>
        </w:rPr>
        <w:t>根据《阿图什市环球矿业有限公司新疆阿图什市托斯莫铁矿可行性研究报告》：设计排土场位于西采场南部最近距离约240m处山前冲洪积平原缓坡地带。排土场堆置总高度为24-98m，台阶坡面角为35°，安全平台宽度为10m，排土场边坡角为30-35°。设计排土场总容积为3822.5829万m</w:t>
      </w:r>
      <w:r>
        <w:rPr>
          <w:color w:val="auto"/>
          <w:highlight w:val="none"/>
          <w:vertAlign w:val="superscript"/>
        </w:rPr>
        <w:t>3</w:t>
      </w:r>
      <w:r>
        <w:rPr>
          <w:color w:val="auto"/>
          <w:highlight w:val="none"/>
        </w:rPr>
        <w:t>，占地面积</w:t>
      </w:r>
      <w:r>
        <w:rPr>
          <w:rFonts w:hint="eastAsia"/>
          <w:color w:val="auto"/>
          <w:highlight w:val="none"/>
        </w:rPr>
        <w:t>约</w:t>
      </w:r>
      <w:r>
        <w:rPr>
          <w:color w:val="auto"/>
          <w:highlight w:val="none"/>
        </w:rPr>
        <w:t>76.1476万m</w:t>
      </w:r>
      <w:r>
        <w:rPr>
          <w:color w:val="auto"/>
          <w:highlight w:val="none"/>
          <w:vertAlign w:val="superscript"/>
        </w:rPr>
        <w:t>2</w:t>
      </w:r>
      <w:r>
        <w:rPr>
          <w:color w:val="auto"/>
          <w:highlight w:val="none"/>
        </w:rPr>
        <w:t>。</w:t>
      </w:r>
    </w:p>
    <w:p w14:paraId="1E3906A4">
      <w:pPr>
        <w:pStyle w:val="3"/>
        <w:ind w:firstLine="480"/>
        <w:rPr>
          <w:color w:val="auto"/>
          <w:highlight w:val="none"/>
        </w:rPr>
      </w:pPr>
      <w:r>
        <w:rPr>
          <w:color w:val="auto"/>
          <w:highlight w:val="none"/>
        </w:rPr>
        <w:t>阿图什市环球矿业有限公司新疆阿图什市托斯莫铁矿</w:t>
      </w:r>
      <w:r>
        <w:rPr>
          <w:rFonts w:hint="eastAsia"/>
          <w:color w:val="auto"/>
          <w:highlight w:val="none"/>
        </w:rPr>
        <w:t>露天开采服务年限2</w:t>
      </w:r>
      <w:r>
        <w:rPr>
          <w:rFonts w:hint="eastAsia"/>
          <w:color w:val="auto"/>
          <w:highlight w:val="none"/>
          <w:lang w:val="en-US" w:eastAsia="zh-CN"/>
        </w:rPr>
        <w:t>0.03</w:t>
      </w:r>
      <w:r>
        <w:rPr>
          <w:rFonts w:hint="eastAsia"/>
          <w:color w:val="auto"/>
          <w:highlight w:val="none"/>
        </w:rPr>
        <w:t>a，开采规模580万t/a，露天剥离物产生量为7752.8054万t（369.18万t/a），规划东、西两个露天采场，东采场服务年限为4.2年，西采场服务年限为16.8年。</w:t>
      </w:r>
      <w:r>
        <w:rPr>
          <w:rFonts w:hint="eastAsia"/>
          <w:color w:val="auto"/>
          <w:highlight w:val="none"/>
          <w:lang w:eastAsia="zh-CN"/>
        </w:rPr>
        <w:t>排土场</w:t>
      </w:r>
      <w:r>
        <w:rPr>
          <w:rFonts w:hint="eastAsia"/>
          <w:color w:val="auto"/>
          <w:highlight w:val="none"/>
        </w:rPr>
        <w:t>规划总容积为3822.5829万m</w:t>
      </w:r>
      <w:r>
        <w:rPr>
          <w:rFonts w:hint="eastAsia"/>
          <w:color w:val="auto"/>
          <w:highlight w:val="none"/>
          <w:vertAlign w:val="superscript"/>
        </w:rPr>
        <w:t>3</w:t>
      </w:r>
      <w:r>
        <w:rPr>
          <w:rFonts w:hint="eastAsia"/>
          <w:color w:val="auto"/>
          <w:highlight w:val="none"/>
        </w:rPr>
        <w:t>，占地面积约76.1476万m</w:t>
      </w:r>
      <w:r>
        <w:rPr>
          <w:rFonts w:hint="eastAsia"/>
          <w:color w:val="auto"/>
          <w:highlight w:val="none"/>
          <w:vertAlign w:val="superscript"/>
        </w:rPr>
        <w:t>2</w:t>
      </w:r>
      <w:r>
        <w:rPr>
          <w:rFonts w:hint="eastAsia"/>
          <w:color w:val="auto"/>
          <w:highlight w:val="none"/>
        </w:rPr>
        <w:t>。剥离物在</w:t>
      </w:r>
      <w:r>
        <w:rPr>
          <w:rFonts w:hint="eastAsia"/>
          <w:color w:val="auto"/>
          <w:highlight w:val="none"/>
          <w:lang w:eastAsia="zh-CN"/>
        </w:rPr>
        <w:t>排土场</w:t>
      </w:r>
      <w:r>
        <w:rPr>
          <w:rFonts w:hint="eastAsia"/>
          <w:color w:val="auto"/>
          <w:highlight w:val="none"/>
        </w:rPr>
        <w:t>堆存，后期回填露天采坑。东采场剥离完毕后（4.2年）即可实现剥离物的回填。</w:t>
      </w:r>
    </w:p>
    <w:p w14:paraId="0CC0792E">
      <w:pPr>
        <w:pStyle w:val="3"/>
        <w:ind w:firstLine="480"/>
        <w:rPr>
          <w:color w:val="auto"/>
          <w:highlight w:val="none"/>
        </w:rPr>
      </w:pPr>
      <w:r>
        <w:rPr>
          <w:rFonts w:hint="eastAsia"/>
          <w:color w:val="auto"/>
          <w:highlight w:val="none"/>
        </w:rPr>
        <w:t>施工时序及剥离物产生量如下表：</w:t>
      </w:r>
    </w:p>
    <w:p w14:paraId="4EF584A5">
      <w:pPr>
        <w:pStyle w:val="40"/>
        <w:rPr>
          <w:color w:val="auto"/>
          <w:highlight w:val="none"/>
        </w:rPr>
      </w:pPr>
      <w:r>
        <w:rPr>
          <w:color w:val="auto"/>
          <w:highlight w:val="none"/>
        </w:rPr>
        <w:t>表</w:t>
      </w:r>
      <w:r>
        <w:rPr>
          <w:rFonts w:hint="eastAsia"/>
          <w:color w:val="auto"/>
          <w:highlight w:val="none"/>
          <w:lang w:val="en-US" w:eastAsia="zh-CN"/>
        </w:rPr>
        <w:t>7.2-2</w:t>
      </w:r>
      <w:r>
        <w:rPr>
          <w:color w:val="auto"/>
          <w:highlight w:val="none"/>
        </w:rPr>
        <w:t xml:space="preserve">      施工时序及剥离物产生量表</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96"/>
        <w:gridCol w:w="1060"/>
        <w:gridCol w:w="794"/>
        <w:gridCol w:w="722"/>
        <w:gridCol w:w="1017"/>
        <w:gridCol w:w="794"/>
        <w:gridCol w:w="678"/>
        <w:gridCol w:w="1148"/>
        <w:gridCol w:w="1004"/>
      </w:tblGrid>
      <w:tr w14:paraId="2F3740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61" w:type="pct"/>
            <w:vMerge w:val="restart"/>
            <w:tcBorders>
              <w:tl2br w:val="nil"/>
              <w:tr2bl w:val="nil"/>
            </w:tcBorders>
            <w:vAlign w:val="center"/>
          </w:tcPr>
          <w:p w14:paraId="3BEE8ADA">
            <w:pPr>
              <w:pStyle w:val="41"/>
              <w:rPr>
                <w:color w:val="auto"/>
                <w:highlight w:val="none"/>
              </w:rPr>
            </w:pPr>
            <w:r>
              <w:rPr>
                <w:rFonts w:hint="eastAsia"/>
                <w:color w:val="auto"/>
                <w:highlight w:val="none"/>
              </w:rPr>
              <w:t>项目</w:t>
            </w:r>
          </w:p>
        </w:tc>
        <w:tc>
          <w:tcPr>
            <w:tcW w:w="622" w:type="pct"/>
            <w:vMerge w:val="restart"/>
            <w:tcBorders>
              <w:tl2br w:val="nil"/>
              <w:tr2bl w:val="nil"/>
            </w:tcBorders>
            <w:vAlign w:val="center"/>
          </w:tcPr>
          <w:p w14:paraId="4951B007">
            <w:pPr>
              <w:pStyle w:val="41"/>
              <w:rPr>
                <w:color w:val="auto"/>
                <w:highlight w:val="none"/>
              </w:rPr>
            </w:pPr>
            <w:r>
              <w:rPr>
                <w:rFonts w:hint="eastAsia"/>
                <w:color w:val="auto"/>
                <w:highlight w:val="none"/>
              </w:rPr>
              <w:t>单位</w:t>
            </w:r>
          </w:p>
        </w:tc>
        <w:tc>
          <w:tcPr>
            <w:tcW w:w="1487" w:type="pct"/>
            <w:gridSpan w:val="3"/>
            <w:tcBorders>
              <w:tl2br w:val="nil"/>
              <w:tr2bl w:val="nil"/>
            </w:tcBorders>
            <w:vAlign w:val="center"/>
          </w:tcPr>
          <w:p w14:paraId="5DDAC66C">
            <w:pPr>
              <w:pStyle w:val="41"/>
              <w:rPr>
                <w:color w:val="auto"/>
                <w:highlight w:val="none"/>
              </w:rPr>
            </w:pPr>
            <w:r>
              <w:rPr>
                <w:color w:val="auto"/>
                <w:highlight w:val="none"/>
              </w:rPr>
              <w:t>东采场</w:t>
            </w:r>
          </w:p>
        </w:tc>
        <w:tc>
          <w:tcPr>
            <w:tcW w:w="1538" w:type="pct"/>
            <w:gridSpan w:val="3"/>
            <w:tcBorders>
              <w:tl2br w:val="nil"/>
              <w:tr2bl w:val="nil"/>
            </w:tcBorders>
            <w:vAlign w:val="center"/>
          </w:tcPr>
          <w:p w14:paraId="2CFAFAD2">
            <w:pPr>
              <w:pStyle w:val="41"/>
              <w:rPr>
                <w:color w:val="auto"/>
                <w:highlight w:val="none"/>
              </w:rPr>
            </w:pPr>
            <w:r>
              <w:rPr>
                <w:color w:val="auto"/>
                <w:highlight w:val="none"/>
              </w:rPr>
              <w:t>西采场</w:t>
            </w:r>
          </w:p>
        </w:tc>
        <w:tc>
          <w:tcPr>
            <w:tcW w:w="589" w:type="pct"/>
            <w:tcBorders>
              <w:tl2br w:val="nil"/>
              <w:tr2bl w:val="nil"/>
            </w:tcBorders>
            <w:vAlign w:val="center"/>
          </w:tcPr>
          <w:p w14:paraId="33751F1C">
            <w:pPr>
              <w:pStyle w:val="41"/>
              <w:rPr>
                <w:color w:val="auto"/>
                <w:highlight w:val="none"/>
              </w:rPr>
            </w:pPr>
            <w:r>
              <w:rPr>
                <w:color w:val="auto"/>
                <w:highlight w:val="none"/>
              </w:rPr>
              <w:t>合计</w:t>
            </w:r>
          </w:p>
        </w:tc>
      </w:tr>
      <w:tr w14:paraId="7F20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61" w:type="pct"/>
            <w:vMerge w:val="continue"/>
            <w:tcBorders>
              <w:tl2br w:val="nil"/>
              <w:tr2bl w:val="nil"/>
            </w:tcBorders>
            <w:shd w:val="clear" w:color="auto" w:fill="auto"/>
            <w:vAlign w:val="center"/>
          </w:tcPr>
          <w:p w14:paraId="75AB911B">
            <w:pPr>
              <w:pStyle w:val="41"/>
              <w:rPr>
                <w:color w:val="auto"/>
                <w:highlight w:val="none"/>
              </w:rPr>
            </w:pPr>
          </w:p>
        </w:tc>
        <w:tc>
          <w:tcPr>
            <w:tcW w:w="622" w:type="pct"/>
            <w:vMerge w:val="continue"/>
            <w:tcBorders>
              <w:tl2br w:val="nil"/>
              <w:tr2bl w:val="nil"/>
            </w:tcBorders>
            <w:vAlign w:val="center"/>
          </w:tcPr>
          <w:p w14:paraId="51EABAA9">
            <w:pPr>
              <w:pStyle w:val="41"/>
              <w:rPr>
                <w:color w:val="auto"/>
                <w:highlight w:val="none"/>
              </w:rPr>
            </w:pPr>
          </w:p>
        </w:tc>
        <w:tc>
          <w:tcPr>
            <w:tcW w:w="466" w:type="pct"/>
            <w:tcBorders>
              <w:tl2br w:val="nil"/>
              <w:tr2bl w:val="nil"/>
            </w:tcBorders>
            <w:vAlign w:val="center"/>
          </w:tcPr>
          <w:p w14:paraId="3507B6FE">
            <w:pPr>
              <w:pStyle w:val="41"/>
              <w:rPr>
                <w:color w:val="auto"/>
                <w:highlight w:val="none"/>
              </w:rPr>
            </w:pPr>
            <w:r>
              <w:rPr>
                <w:rFonts w:hint="eastAsia"/>
                <w:color w:val="auto"/>
                <w:highlight w:val="none"/>
              </w:rPr>
              <w:t>第1年</w:t>
            </w:r>
          </w:p>
        </w:tc>
        <w:tc>
          <w:tcPr>
            <w:tcW w:w="424" w:type="pct"/>
            <w:tcBorders>
              <w:tl2br w:val="nil"/>
              <w:tr2bl w:val="nil"/>
            </w:tcBorders>
            <w:vAlign w:val="center"/>
          </w:tcPr>
          <w:p w14:paraId="040400B3">
            <w:pPr>
              <w:pStyle w:val="41"/>
              <w:rPr>
                <w:color w:val="auto"/>
                <w:highlight w:val="none"/>
              </w:rPr>
            </w:pPr>
            <w:r>
              <w:rPr>
                <w:rFonts w:hint="eastAsia"/>
                <w:color w:val="auto"/>
                <w:highlight w:val="none"/>
              </w:rPr>
              <w:t>...</w:t>
            </w:r>
          </w:p>
        </w:tc>
        <w:tc>
          <w:tcPr>
            <w:tcW w:w="597" w:type="pct"/>
            <w:tcBorders>
              <w:tl2br w:val="nil"/>
              <w:tr2bl w:val="nil"/>
            </w:tcBorders>
            <w:vAlign w:val="center"/>
          </w:tcPr>
          <w:p w14:paraId="289B7F03">
            <w:pPr>
              <w:pStyle w:val="41"/>
              <w:rPr>
                <w:color w:val="auto"/>
                <w:highlight w:val="none"/>
              </w:rPr>
            </w:pPr>
            <w:r>
              <w:rPr>
                <w:rFonts w:hint="eastAsia"/>
                <w:color w:val="auto"/>
                <w:highlight w:val="none"/>
              </w:rPr>
              <w:t>第4年</w:t>
            </w:r>
          </w:p>
        </w:tc>
        <w:tc>
          <w:tcPr>
            <w:tcW w:w="466" w:type="pct"/>
            <w:tcBorders>
              <w:tl2br w:val="nil"/>
              <w:tr2bl w:val="nil"/>
            </w:tcBorders>
            <w:shd w:val="clear" w:color="auto" w:fill="auto"/>
            <w:vAlign w:val="center"/>
          </w:tcPr>
          <w:p w14:paraId="70646177">
            <w:pPr>
              <w:pStyle w:val="41"/>
              <w:rPr>
                <w:color w:val="auto"/>
                <w:highlight w:val="none"/>
              </w:rPr>
            </w:pPr>
            <w:r>
              <w:rPr>
                <w:rFonts w:hint="eastAsia"/>
                <w:color w:val="auto"/>
                <w:highlight w:val="none"/>
              </w:rPr>
              <w:t>第5年</w:t>
            </w:r>
          </w:p>
        </w:tc>
        <w:tc>
          <w:tcPr>
            <w:tcW w:w="398" w:type="pct"/>
            <w:tcBorders>
              <w:tl2br w:val="nil"/>
              <w:tr2bl w:val="nil"/>
            </w:tcBorders>
            <w:shd w:val="clear" w:color="auto" w:fill="auto"/>
            <w:vAlign w:val="center"/>
          </w:tcPr>
          <w:p w14:paraId="55FC0817">
            <w:pPr>
              <w:pStyle w:val="41"/>
              <w:rPr>
                <w:color w:val="auto"/>
                <w:highlight w:val="none"/>
              </w:rPr>
            </w:pPr>
            <w:r>
              <w:rPr>
                <w:rFonts w:hint="eastAsia"/>
                <w:color w:val="auto"/>
                <w:highlight w:val="none"/>
              </w:rPr>
              <w:t>...</w:t>
            </w:r>
          </w:p>
        </w:tc>
        <w:tc>
          <w:tcPr>
            <w:tcW w:w="674" w:type="pct"/>
            <w:tcBorders>
              <w:tl2br w:val="nil"/>
              <w:tr2bl w:val="nil"/>
            </w:tcBorders>
            <w:shd w:val="clear" w:color="auto" w:fill="auto"/>
            <w:vAlign w:val="center"/>
          </w:tcPr>
          <w:p w14:paraId="40CF4FEB">
            <w:pPr>
              <w:pStyle w:val="41"/>
              <w:rPr>
                <w:color w:val="auto"/>
                <w:highlight w:val="none"/>
              </w:rPr>
            </w:pPr>
            <w:r>
              <w:rPr>
                <w:rFonts w:hint="eastAsia"/>
                <w:color w:val="auto"/>
                <w:highlight w:val="none"/>
              </w:rPr>
              <w:t>第21年</w:t>
            </w:r>
          </w:p>
        </w:tc>
        <w:tc>
          <w:tcPr>
            <w:tcW w:w="589" w:type="pct"/>
            <w:tcBorders>
              <w:tl2br w:val="nil"/>
              <w:tr2bl w:val="nil"/>
            </w:tcBorders>
            <w:vAlign w:val="center"/>
          </w:tcPr>
          <w:p w14:paraId="6C39C3FC">
            <w:pPr>
              <w:pStyle w:val="41"/>
              <w:rPr>
                <w:color w:val="auto"/>
                <w:highlight w:val="none"/>
              </w:rPr>
            </w:pPr>
            <w:r>
              <w:rPr>
                <w:color w:val="auto"/>
                <w:highlight w:val="none"/>
              </w:rPr>
              <w:t>年</w:t>
            </w:r>
          </w:p>
        </w:tc>
      </w:tr>
      <w:tr w14:paraId="684FAF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61" w:type="pct"/>
            <w:tcBorders>
              <w:tl2br w:val="nil"/>
              <w:tr2bl w:val="nil"/>
            </w:tcBorders>
            <w:shd w:val="clear" w:color="auto" w:fill="auto"/>
            <w:vAlign w:val="center"/>
          </w:tcPr>
          <w:p w14:paraId="1C823BAD">
            <w:pPr>
              <w:pStyle w:val="41"/>
              <w:rPr>
                <w:color w:val="auto"/>
                <w:highlight w:val="none"/>
              </w:rPr>
            </w:pPr>
            <w:r>
              <w:rPr>
                <w:color w:val="auto"/>
                <w:highlight w:val="none"/>
              </w:rPr>
              <w:t>矿石</w:t>
            </w:r>
          </w:p>
        </w:tc>
        <w:tc>
          <w:tcPr>
            <w:tcW w:w="622" w:type="pct"/>
            <w:tcBorders>
              <w:tl2br w:val="nil"/>
              <w:tr2bl w:val="nil"/>
            </w:tcBorders>
            <w:vAlign w:val="center"/>
          </w:tcPr>
          <w:p w14:paraId="4B382FFE">
            <w:pPr>
              <w:pStyle w:val="41"/>
              <w:rPr>
                <w:color w:val="auto"/>
                <w:highlight w:val="none"/>
              </w:rPr>
            </w:pPr>
            <w:r>
              <w:rPr>
                <w:rFonts w:hint="eastAsia"/>
                <w:color w:val="auto"/>
                <w:highlight w:val="none"/>
              </w:rPr>
              <w:t>万</w:t>
            </w:r>
            <w:r>
              <w:rPr>
                <w:color w:val="auto"/>
                <w:highlight w:val="none"/>
              </w:rPr>
              <w:t>t</w:t>
            </w:r>
          </w:p>
        </w:tc>
        <w:tc>
          <w:tcPr>
            <w:tcW w:w="466" w:type="pct"/>
            <w:tcBorders>
              <w:tl2br w:val="nil"/>
              <w:tr2bl w:val="nil"/>
            </w:tcBorders>
            <w:vAlign w:val="center"/>
          </w:tcPr>
          <w:p w14:paraId="4595FC70">
            <w:pPr>
              <w:pStyle w:val="41"/>
              <w:rPr>
                <w:color w:val="auto"/>
                <w:highlight w:val="none"/>
              </w:rPr>
            </w:pPr>
            <w:r>
              <w:rPr>
                <w:rFonts w:hint="eastAsia"/>
                <w:color w:val="auto"/>
                <w:highlight w:val="none"/>
              </w:rPr>
              <w:t>580</w:t>
            </w:r>
          </w:p>
        </w:tc>
        <w:tc>
          <w:tcPr>
            <w:tcW w:w="424" w:type="pct"/>
            <w:tcBorders>
              <w:tl2br w:val="nil"/>
              <w:tr2bl w:val="nil"/>
            </w:tcBorders>
            <w:vAlign w:val="center"/>
          </w:tcPr>
          <w:p w14:paraId="2602345F">
            <w:pPr>
              <w:pStyle w:val="41"/>
              <w:rPr>
                <w:color w:val="auto"/>
                <w:highlight w:val="none"/>
              </w:rPr>
            </w:pPr>
            <w:r>
              <w:rPr>
                <w:rFonts w:hint="eastAsia"/>
                <w:color w:val="auto"/>
                <w:highlight w:val="none"/>
              </w:rPr>
              <w:t>...</w:t>
            </w:r>
          </w:p>
        </w:tc>
        <w:tc>
          <w:tcPr>
            <w:tcW w:w="597" w:type="pct"/>
            <w:tcBorders>
              <w:tl2br w:val="nil"/>
              <w:tr2bl w:val="nil"/>
            </w:tcBorders>
            <w:shd w:val="clear" w:color="auto" w:fill="auto"/>
            <w:vAlign w:val="center"/>
          </w:tcPr>
          <w:p w14:paraId="3D9FF8A1">
            <w:pPr>
              <w:pStyle w:val="41"/>
              <w:rPr>
                <w:color w:val="auto"/>
                <w:highlight w:val="none"/>
              </w:rPr>
            </w:pPr>
            <w:r>
              <w:rPr>
                <w:rFonts w:hint="eastAsia"/>
                <w:color w:val="auto"/>
                <w:highlight w:val="none"/>
              </w:rPr>
              <w:t>580</w:t>
            </w:r>
          </w:p>
        </w:tc>
        <w:tc>
          <w:tcPr>
            <w:tcW w:w="466" w:type="pct"/>
            <w:tcBorders>
              <w:tl2br w:val="nil"/>
              <w:tr2bl w:val="nil"/>
            </w:tcBorders>
            <w:shd w:val="clear" w:color="auto" w:fill="auto"/>
            <w:vAlign w:val="center"/>
          </w:tcPr>
          <w:p w14:paraId="3D120358">
            <w:pPr>
              <w:pStyle w:val="41"/>
              <w:rPr>
                <w:color w:val="auto"/>
                <w:highlight w:val="none"/>
              </w:rPr>
            </w:pPr>
            <w:r>
              <w:rPr>
                <w:rFonts w:hint="eastAsia"/>
                <w:color w:val="auto"/>
                <w:highlight w:val="none"/>
              </w:rPr>
              <w:t>580</w:t>
            </w:r>
          </w:p>
        </w:tc>
        <w:tc>
          <w:tcPr>
            <w:tcW w:w="398" w:type="pct"/>
            <w:tcBorders>
              <w:tl2br w:val="nil"/>
              <w:tr2bl w:val="nil"/>
            </w:tcBorders>
            <w:shd w:val="clear" w:color="auto" w:fill="auto"/>
            <w:vAlign w:val="center"/>
          </w:tcPr>
          <w:p w14:paraId="77170C0D">
            <w:pPr>
              <w:pStyle w:val="41"/>
              <w:rPr>
                <w:color w:val="auto"/>
                <w:highlight w:val="none"/>
              </w:rPr>
            </w:pPr>
            <w:r>
              <w:rPr>
                <w:rFonts w:hint="eastAsia"/>
                <w:color w:val="auto"/>
                <w:highlight w:val="none"/>
              </w:rPr>
              <w:t>...</w:t>
            </w:r>
          </w:p>
        </w:tc>
        <w:tc>
          <w:tcPr>
            <w:tcW w:w="674" w:type="pct"/>
            <w:tcBorders>
              <w:tl2br w:val="nil"/>
              <w:tr2bl w:val="nil"/>
            </w:tcBorders>
            <w:shd w:val="clear" w:color="auto" w:fill="auto"/>
            <w:vAlign w:val="center"/>
          </w:tcPr>
          <w:p w14:paraId="4A363AB2">
            <w:pPr>
              <w:pStyle w:val="41"/>
              <w:rPr>
                <w:color w:val="auto"/>
                <w:highlight w:val="none"/>
              </w:rPr>
            </w:pPr>
            <w:r>
              <w:rPr>
                <w:rFonts w:hint="eastAsia"/>
                <w:color w:val="auto"/>
                <w:highlight w:val="none"/>
              </w:rPr>
              <w:t>580</w:t>
            </w:r>
          </w:p>
        </w:tc>
        <w:tc>
          <w:tcPr>
            <w:tcW w:w="589" w:type="pct"/>
            <w:tcBorders>
              <w:tl2br w:val="nil"/>
              <w:tr2bl w:val="nil"/>
            </w:tcBorders>
            <w:vAlign w:val="center"/>
          </w:tcPr>
          <w:p w14:paraId="1D768EC4">
            <w:pPr>
              <w:pStyle w:val="41"/>
              <w:rPr>
                <w:color w:val="auto"/>
                <w:highlight w:val="none"/>
              </w:rPr>
            </w:pPr>
            <w:r>
              <w:rPr>
                <w:rFonts w:hint="eastAsia"/>
                <w:color w:val="auto"/>
                <w:highlight w:val="none"/>
              </w:rPr>
              <w:t>12180</w:t>
            </w:r>
          </w:p>
        </w:tc>
      </w:tr>
      <w:tr w14:paraId="732F36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61" w:type="pct"/>
            <w:tcBorders>
              <w:tl2br w:val="nil"/>
              <w:tr2bl w:val="nil"/>
            </w:tcBorders>
            <w:shd w:val="clear" w:color="auto" w:fill="auto"/>
            <w:vAlign w:val="center"/>
          </w:tcPr>
          <w:p w14:paraId="5406C15F">
            <w:pPr>
              <w:pStyle w:val="41"/>
              <w:rPr>
                <w:color w:val="auto"/>
                <w:highlight w:val="none"/>
              </w:rPr>
            </w:pPr>
            <w:r>
              <w:rPr>
                <w:rFonts w:hint="eastAsia"/>
                <w:color w:val="auto"/>
                <w:highlight w:val="none"/>
              </w:rPr>
              <w:t>剥离物</w:t>
            </w:r>
          </w:p>
        </w:tc>
        <w:tc>
          <w:tcPr>
            <w:tcW w:w="622" w:type="pct"/>
            <w:tcBorders>
              <w:tl2br w:val="nil"/>
              <w:tr2bl w:val="nil"/>
            </w:tcBorders>
            <w:vAlign w:val="center"/>
          </w:tcPr>
          <w:p w14:paraId="223543C3">
            <w:pPr>
              <w:pStyle w:val="41"/>
              <w:rPr>
                <w:color w:val="auto"/>
                <w:highlight w:val="none"/>
              </w:rPr>
            </w:pPr>
            <w:r>
              <w:rPr>
                <w:rFonts w:hint="eastAsia"/>
                <w:color w:val="auto"/>
                <w:highlight w:val="none"/>
              </w:rPr>
              <w:t>万</w:t>
            </w:r>
            <w:r>
              <w:rPr>
                <w:color w:val="auto"/>
                <w:highlight w:val="none"/>
              </w:rPr>
              <w:t>t</w:t>
            </w:r>
          </w:p>
        </w:tc>
        <w:tc>
          <w:tcPr>
            <w:tcW w:w="466" w:type="pct"/>
            <w:tcBorders>
              <w:tl2br w:val="nil"/>
              <w:tr2bl w:val="nil"/>
            </w:tcBorders>
            <w:vAlign w:val="center"/>
          </w:tcPr>
          <w:p w14:paraId="7075590B">
            <w:pPr>
              <w:pStyle w:val="41"/>
              <w:rPr>
                <w:color w:val="auto"/>
                <w:highlight w:val="none"/>
              </w:rPr>
            </w:pPr>
            <w:r>
              <w:rPr>
                <w:rFonts w:hint="eastAsia"/>
                <w:color w:val="auto"/>
                <w:highlight w:val="none"/>
              </w:rPr>
              <w:t>369.18</w:t>
            </w:r>
          </w:p>
        </w:tc>
        <w:tc>
          <w:tcPr>
            <w:tcW w:w="424" w:type="pct"/>
            <w:tcBorders>
              <w:tl2br w:val="nil"/>
              <w:tr2bl w:val="nil"/>
            </w:tcBorders>
            <w:vAlign w:val="center"/>
          </w:tcPr>
          <w:p w14:paraId="60E5E697">
            <w:pPr>
              <w:pStyle w:val="41"/>
              <w:rPr>
                <w:color w:val="auto"/>
                <w:highlight w:val="none"/>
              </w:rPr>
            </w:pPr>
            <w:r>
              <w:rPr>
                <w:rFonts w:hint="eastAsia"/>
                <w:color w:val="auto"/>
                <w:highlight w:val="none"/>
              </w:rPr>
              <w:t>...</w:t>
            </w:r>
          </w:p>
        </w:tc>
        <w:tc>
          <w:tcPr>
            <w:tcW w:w="597" w:type="pct"/>
            <w:tcBorders>
              <w:tl2br w:val="nil"/>
              <w:tr2bl w:val="nil"/>
            </w:tcBorders>
            <w:shd w:val="clear" w:color="auto" w:fill="auto"/>
            <w:vAlign w:val="center"/>
          </w:tcPr>
          <w:p w14:paraId="6ECC28C3">
            <w:pPr>
              <w:pStyle w:val="41"/>
              <w:rPr>
                <w:color w:val="auto"/>
                <w:highlight w:val="none"/>
              </w:rPr>
            </w:pPr>
            <w:r>
              <w:rPr>
                <w:rFonts w:hint="eastAsia"/>
                <w:color w:val="auto"/>
                <w:highlight w:val="none"/>
              </w:rPr>
              <w:t>369.18</w:t>
            </w:r>
          </w:p>
        </w:tc>
        <w:tc>
          <w:tcPr>
            <w:tcW w:w="466" w:type="pct"/>
            <w:tcBorders>
              <w:tl2br w:val="nil"/>
              <w:tr2bl w:val="nil"/>
            </w:tcBorders>
            <w:shd w:val="clear" w:color="auto" w:fill="auto"/>
            <w:vAlign w:val="center"/>
          </w:tcPr>
          <w:p w14:paraId="2944AEFC">
            <w:pPr>
              <w:pStyle w:val="41"/>
              <w:rPr>
                <w:color w:val="auto"/>
                <w:highlight w:val="none"/>
              </w:rPr>
            </w:pPr>
            <w:r>
              <w:rPr>
                <w:rFonts w:hint="eastAsia"/>
                <w:color w:val="auto"/>
                <w:highlight w:val="none"/>
              </w:rPr>
              <w:t>369.18</w:t>
            </w:r>
          </w:p>
        </w:tc>
        <w:tc>
          <w:tcPr>
            <w:tcW w:w="398" w:type="pct"/>
            <w:tcBorders>
              <w:tl2br w:val="nil"/>
              <w:tr2bl w:val="nil"/>
            </w:tcBorders>
            <w:shd w:val="clear" w:color="auto" w:fill="auto"/>
            <w:vAlign w:val="center"/>
          </w:tcPr>
          <w:p w14:paraId="4AF9D3FC">
            <w:pPr>
              <w:pStyle w:val="41"/>
              <w:rPr>
                <w:color w:val="auto"/>
                <w:highlight w:val="none"/>
              </w:rPr>
            </w:pPr>
            <w:r>
              <w:rPr>
                <w:rFonts w:hint="eastAsia"/>
                <w:color w:val="auto"/>
                <w:highlight w:val="none"/>
              </w:rPr>
              <w:t>...</w:t>
            </w:r>
          </w:p>
        </w:tc>
        <w:tc>
          <w:tcPr>
            <w:tcW w:w="674" w:type="pct"/>
            <w:tcBorders>
              <w:tl2br w:val="nil"/>
              <w:tr2bl w:val="nil"/>
            </w:tcBorders>
            <w:shd w:val="clear" w:color="auto" w:fill="auto"/>
            <w:vAlign w:val="center"/>
          </w:tcPr>
          <w:p w14:paraId="6D464D9A">
            <w:pPr>
              <w:pStyle w:val="41"/>
              <w:rPr>
                <w:color w:val="auto"/>
                <w:highlight w:val="none"/>
              </w:rPr>
            </w:pPr>
            <w:r>
              <w:rPr>
                <w:rFonts w:hint="eastAsia"/>
                <w:color w:val="auto"/>
                <w:highlight w:val="none"/>
              </w:rPr>
              <w:t>369.18</w:t>
            </w:r>
          </w:p>
        </w:tc>
        <w:tc>
          <w:tcPr>
            <w:tcW w:w="589" w:type="pct"/>
            <w:tcBorders>
              <w:tl2br w:val="nil"/>
              <w:tr2bl w:val="nil"/>
            </w:tcBorders>
            <w:vAlign w:val="center"/>
          </w:tcPr>
          <w:p w14:paraId="3D1BEBBB">
            <w:pPr>
              <w:pStyle w:val="41"/>
              <w:rPr>
                <w:color w:val="auto"/>
                <w:highlight w:val="none"/>
              </w:rPr>
            </w:pPr>
            <w:r>
              <w:rPr>
                <w:rFonts w:hint="eastAsia"/>
                <w:color w:val="auto"/>
                <w:highlight w:val="none"/>
              </w:rPr>
              <w:t>7752.78</w:t>
            </w:r>
          </w:p>
        </w:tc>
      </w:tr>
      <w:tr w14:paraId="195C06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61" w:type="pct"/>
            <w:tcBorders>
              <w:tl2br w:val="nil"/>
              <w:tr2bl w:val="nil"/>
            </w:tcBorders>
            <w:shd w:val="clear" w:color="auto" w:fill="auto"/>
            <w:vAlign w:val="center"/>
          </w:tcPr>
          <w:p w14:paraId="75405257">
            <w:pPr>
              <w:pStyle w:val="41"/>
              <w:rPr>
                <w:color w:val="auto"/>
                <w:highlight w:val="none"/>
              </w:rPr>
            </w:pPr>
            <w:r>
              <w:rPr>
                <w:color w:val="auto"/>
                <w:highlight w:val="none"/>
              </w:rPr>
              <w:t>合计</w:t>
            </w:r>
          </w:p>
        </w:tc>
        <w:tc>
          <w:tcPr>
            <w:tcW w:w="622" w:type="pct"/>
            <w:tcBorders>
              <w:tl2br w:val="nil"/>
              <w:tr2bl w:val="nil"/>
            </w:tcBorders>
            <w:vAlign w:val="center"/>
          </w:tcPr>
          <w:p w14:paraId="3FA3DCCD">
            <w:pPr>
              <w:pStyle w:val="41"/>
              <w:rPr>
                <w:color w:val="auto"/>
                <w:highlight w:val="none"/>
              </w:rPr>
            </w:pPr>
            <w:r>
              <w:rPr>
                <w:rFonts w:hint="eastAsia"/>
                <w:color w:val="auto"/>
                <w:highlight w:val="none"/>
              </w:rPr>
              <w:t>万</w:t>
            </w:r>
            <w:r>
              <w:rPr>
                <w:color w:val="auto"/>
                <w:highlight w:val="none"/>
              </w:rPr>
              <w:t>t</w:t>
            </w:r>
          </w:p>
        </w:tc>
        <w:tc>
          <w:tcPr>
            <w:tcW w:w="466" w:type="pct"/>
            <w:tcBorders>
              <w:tl2br w:val="nil"/>
              <w:tr2bl w:val="nil"/>
            </w:tcBorders>
            <w:vAlign w:val="center"/>
          </w:tcPr>
          <w:p w14:paraId="0C5A6E6E">
            <w:pPr>
              <w:pStyle w:val="41"/>
              <w:rPr>
                <w:color w:val="auto"/>
                <w:highlight w:val="none"/>
              </w:rPr>
            </w:pPr>
            <w:r>
              <w:rPr>
                <w:rFonts w:hint="eastAsia"/>
                <w:color w:val="auto"/>
                <w:highlight w:val="none"/>
              </w:rPr>
              <w:t>949.18</w:t>
            </w:r>
          </w:p>
        </w:tc>
        <w:tc>
          <w:tcPr>
            <w:tcW w:w="424" w:type="pct"/>
            <w:tcBorders>
              <w:tl2br w:val="nil"/>
              <w:tr2bl w:val="nil"/>
            </w:tcBorders>
            <w:vAlign w:val="center"/>
          </w:tcPr>
          <w:p w14:paraId="044B3028">
            <w:pPr>
              <w:pStyle w:val="41"/>
              <w:rPr>
                <w:color w:val="auto"/>
                <w:highlight w:val="none"/>
              </w:rPr>
            </w:pPr>
            <w:r>
              <w:rPr>
                <w:rFonts w:hint="eastAsia"/>
                <w:color w:val="auto"/>
                <w:highlight w:val="none"/>
              </w:rPr>
              <w:t>...</w:t>
            </w:r>
          </w:p>
        </w:tc>
        <w:tc>
          <w:tcPr>
            <w:tcW w:w="597" w:type="pct"/>
            <w:tcBorders>
              <w:tl2br w:val="nil"/>
              <w:tr2bl w:val="nil"/>
            </w:tcBorders>
            <w:shd w:val="clear" w:color="auto" w:fill="auto"/>
            <w:vAlign w:val="center"/>
          </w:tcPr>
          <w:p w14:paraId="538318DD">
            <w:pPr>
              <w:pStyle w:val="41"/>
              <w:rPr>
                <w:color w:val="auto"/>
                <w:highlight w:val="none"/>
              </w:rPr>
            </w:pPr>
            <w:r>
              <w:rPr>
                <w:rFonts w:hint="eastAsia"/>
                <w:color w:val="auto"/>
                <w:highlight w:val="none"/>
              </w:rPr>
              <w:t>949.18</w:t>
            </w:r>
          </w:p>
        </w:tc>
        <w:tc>
          <w:tcPr>
            <w:tcW w:w="466" w:type="pct"/>
            <w:tcBorders>
              <w:tl2br w:val="nil"/>
              <w:tr2bl w:val="nil"/>
            </w:tcBorders>
            <w:shd w:val="clear" w:color="auto" w:fill="auto"/>
            <w:vAlign w:val="center"/>
          </w:tcPr>
          <w:p w14:paraId="675DC82D">
            <w:pPr>
              <w:pStyle w:val="41"/>
              <w:rPr>
                <w:color w:val="auto"/>
                <w:highlight w:val="none"/>
              </w:rPr>
            </w:pPr>
            <w:r>
              <w:rPr>
                <w:rFonts w:hint="eastAsia"/>
                <w:color w:val="auto"/>
                <w:highlight w:val="none"/>
              </w:rPr>
              <w:t>949.18</w:t>
            </w:r>
          </w:p>
        </w:tc>
        <w:tc>
          <w:tcPr>
            <w:tcW w:w="398" w:type="pct"/>
            <w:tcBorders>
              <w:tl2br w:val="nil"/>
              <w:tr2bl w:val="nil"/>
            </w:tcBorders>
            <w:shd w:val="clear" w:color="auto" w:fill="auto"/>
            <w:vAlign w:val="center"/>
          </w:tcPr>
          <w:p w14:paraId="13D543C9">
            <w:pPr>
              <w:pStyle w:val="41"/>
              <w:rPr>
                <w:color w:val="auto"/>
                <w:highlight w:val="none"/>
              </w:rPr>
            </w:pPr>
            <w:r>
              <w:rPr>
                <w:rFonts w:hint="eastAsia"/>
                <w:color w:val="auto"/>
                <w:highlight w:val="none"/>
              </w:rPr>
              <w:t>...</w:t>
            </w:r>
          </w:p>
        </w:tc>
        <w:tc>
          <w:tcPr>
            <w:tcW w:w="674" w:type="pct"/>
            <w:tcBorders>
              <w:tl2br w:val="nil"/>
              <w:tr2bl w:val="nil"/>
            </w:tcBorders>
            <w:shd w:val="clear" w:color="auto" w:fill="auto"/>
            <w:vAlign w:val="center"/>
          </w:tcPr>
          <w:p w14:paraId="77963CE6">
            <w:pPr>
              <w:pStyle w:val="41"/>
              <w:rPr>
                <w:color w:val="auto"/>
                <w:highlight w:val="none"/>
              </w:rPr>
            </w:pPr>
            <w:r>
              <w:rPr>
                <w:rFonts w:hint="eastAsia"/>
                <w:color w:val="auto"/>
                <w:highlight w:val="none"/>
              </w:rPr>
              <w:t>949.18</w:t>
            </w:r>
          </w:p>
        </w:tc>
        <w:tc>
          <w:tcPr>
            <w:tcW w:w="589" w:type="pct"/>
            <w:tcBorders>
              <w:tl2br w:val="nil"/>
              <w:tr2bl w:val="nil"/>
            </w:tcBorders>
            <w:vAlign w:val="center"/>
          </w:tcPr>
          <w:p w14:paraId="59AB3D50">
            <w:pPr>
              <w:pStyle w:val="41"/>
              <w:rPr>
                <w:color w:val="auto"/>
                <w:highlight w:val="none"/>
              </w:rPr>
            </w:pPr>
            <w:r>
              <w:rPr>
                <w:rFonts w:hint="eastAsia"/>
                <w:color w:val="auto"/>
                <w:highlight w:val="none"/>
              </w:rPr>
              <w:t>19932.78</w:t>
            </w:r>
          </w:p>
        </w:tc>
      </w:tr>
    </w:tbl>
    <w:p w14:paraId="7A6C4777">
      <w:pPr>
        <w:pStyle w:val="3"/>
        <w:ind w:firstLine="480"/>
        <w:rPr>
          <w:color w:val="auto"/>
          <w:highlight w:val="none"/>
        </w:rPr>
      </w:pPr>
      <w:r>
        <w:rPr>
          <w:color w:val="auto"/>
          <w:highlight w:val="none"/>
        </w:rPr>
        <w:t>本项目废石产生量为232万t/a，</w:t>
      </w:r>
      <w:r>
        <w:rPr>
          <w:rFonts w:hint="eastAsia"/>
          <w:color w:val="auto"/>
          <w:highlight w:val="none"/>
        </w:rPr>
        <w:t>当实现东侧露天采坑的回填时，废石进入</w:t>
      </w:r>
      <w:r>
        <w:rPr>
          <w:rFonts w:hint="eastAsia"/>
          <w:color w:val="auto"/>
          <w:highlight w:val="none"/>
          <w:lang w:eastAsia="zh-CN"/>
        </w:rPr>
        <w:t>排土场</w:t>
      </w:r>
      <w:r>
        <w:rPr>
          <w:rFonts w:hint="eastAsia"/>
          <w:color w:val="auto"/>
          <w:highlight w:val="none"/>
        </w:rPr>
        <w:t>的总量为974.4万t，此时露天剥离物进入</w:t>
      </w:r>
      <w:r>
        <w:rPr>
          <w:rFonts w:hint="eastAsia"/>
          <w:color w:val="auto"/>
          <w:highlight w:val="none"/>
          <w:lang w:eastAsia="zh-CN"/>
        </w:rPr>
        <w:t>排土场</w:t>
      </w:r>
      <w:r>
        <w:rPr>
          <w:rFonts w:hint="eastAsia"/>
          <w:color w:val="auto"/>
          <w:highlight w:val="none"/>
        </w:rPr>
        <w:t>的总量为1550.556万t，废石及剥离物容重为2.7g/cm</w:t>
      </w:r>
      <w:r>
        <w:rPr>
          <w:rFonts w:hint="eastAsia"/>
          <w:color w:val="auto"/>
          <w:highlight w:val="none"/>
          <w:vertAlign w:val="superscript"/>
        </w:rPr>
        <w:t>3</w:t>
      </w:r>
      <w:r>
        <w:rPr>
          <w:rFonts w:hint="eastAsia"/>
          <w:color w:val="auto"/>
          <w:highlight w:val="none"/>
        </w:rPr>
        <w:t>，则第4.2年时，</w:t>
      </w:r>
      <w:r>
        <w:rPr>
          <w:rFonts w:hint="eastAsia"/>
          <w:color w:val="auto"/>
          <w:highlight w:val="none"/>
          <w:lang w:eastAsia="zh-CN"/>
        </w:rPr>
        <w:t>排土场</w:t>
      </w:r>
      <w:r>
        <w:rPr>
          <w:rFonts w:hint="eastAsia"/>
          <w:color w:val="auto"/>
          <w:highlight w:val="none"/>
        </w:rPr>
        <w:t>接收露天剥离物和废石总量为935.169万m</w:t>
      </w:r>
      <w:r>
        <w:rPr>
          <w:rFonts w:hint="eastAsia"/>
          <w:color w:val="auto"/>
          <w:highlight w:val="none"/>
          <w:vertAlign w:val="superscript"/>
        </w:rPr>
        <w:t>3</w:t>
      </w:r>
      <w:r>
        <w:rPr>
          <w:rFonts w:hint="eastAsia"/>
          <w:color w:val="auto"/>
          <w:highlight w:val="none"/>
        </w:rPr>
        <w:t>，</w:t>
      </w:r>
      <w:r>
        <w:rPr>
          <w:rFonts w:hint="eastAsia"/>
          <w:color w:val="auto"/>
          <w:highlight w:val="none"/>
          <w:lang w:eastAsia="zh-CN"/>
        </w:rPr>
        <w:t>排土场</w:t>
      </w:r>
      <w:r>
        <w:rPr>
          <w:rFonts w:hint="eastAsia"/>
          <w:color w:val="auto"/>
          <w:highlight w:val="none"/>
        </w:rPr>
        <w:t>规划容积为3822.5829万m</w:t>
      </w:r>
      <w:r>
        <w:rPr>
          <w:rFonts w:hint="eastAsia"/>
          <w:color w:val="auto"/>
          <w:highlight w:val="none"/>
          <w:vertAlign w:val="superscript"/>
        </w:rPr>
        <w:t>3</w:t>
      </w:r>
      <w:r>
        <w:rPr>
          <w:rFonts w:hint="eastAsia"/>
          <w:color w:val="auto"/>
          <w:highlight w:val="none"/>
        </w:rPr>
        <w:t>，可满足本项目废石临时堆存需求。</w:t>
      </w:r>
    </w:p>
    <w:p w14:paraId="26FE96D8">
      <w:pPr>
        <w:pStyle w:val="3"/>
        <w:ind w:firstLine="480"/>
        <w:rPr>
          <w:color w:val="auto"/>
          <w:highlight w:val="none"/>
        </w:rPr>
      </w:pPr>
      <w:r>
        <w:rPr>
          <w:rFonts w:hint="eastAsia"/>
          <w:color w:val="auto"/>
          <w:highlight w:val="none"/>
        </w:rPr>
        <w:t>综合以上，本项目废石依托露天采场规划</w:t>
      </w:r>
      <w:r>
        <w:rPr>
          <w:rFonts w:hint="eastAsia"/>
          <w:color w:val="auto"/>
          <w:highlight w:val="none"/>
          <w:lang w:eastAsia="zh-CN"/>
        </w:rPr>
        <w:t>排土场</w:t>
      </w:r>
      <w:r>
        <w:rPr>
          <w:rFonts w:hint="eastAsia"/>
          <w:color w:val="auto"/>
          <w:highlight w:val="none"/>
        </w:rPr>
        <w:t>进行临时堆放可行。</w:t>
      </w:r>
    </w:p>
    <w:p w14:paraId="0FEDA4A1">
      <w:pPr>
        <w:pStyle w:val="3"/>
        <w:ind w:firstLine="480"/>
        <w:rPr>
          <w:b/>
          <w:bCs/>
          <w:color w:val="auto"/>
          <w:highlight w:val="none"/>
        </w:rPr>
      </w:pPr>
      <w:r>
        <w:rPr>
          <w:b/>
          <w:bCs/>
          <w:color w:val="auto"/>
          <w:highlight w:val="none"/>
        </w:rPr>
        <w:t>（2）生活垃圾场依托可行性</w:t>
      </w:r>
    </w:p>
    <w:p w14:paraId="2AD164E5">
      <w:pPr>
        <w:pStyle w:val="3"/>
        <w:ind w:firstLine="480"/>
        <w:rPr>
          <w:color w:val="auto"/>
          <w:highlight w:val="none"/>
        </w:rPr>
      </w:pPr>
      <w:r>
        <w:rPr>
          <w:color w:val="auto"/>
          <w:highlight w:val="none"/>
        </w:rPr>
        <w:t>项目产生的生活垃圾集中收集定期清运至哈拉峻乡谢依提村垃圾场填埋处理。</w:t>
      </w:r>
    </w:p>
    <w:p w14:paraId="3E1865B5">
      <w:pPr>
        <w:pStyle w:val="3"/>
        <w:ind w:firstLine="480"/>
        <w:rPr>
          <w:color w:val="auto"/>
          <w:highlight w:val="none"/>
        </w:rPr>
      </w:pPr>
      <w:r>
        <w:rPr>
          <w:color w:val="auto"/>
          <w:highlight w:val="none"/>
        </w:rPr>
        <w:t>阿图什市哈拉峻乡人民政府于2025年在哈拉峻乡谢依提村新建1座生活垃圾填埋场，占地面积1.4hm</w:t>
      </w:r>
      <w:r>
        <w:rPr>
          <w:color w:val="auto"/>
          <w:highlight w:val="none"/>
          <w:vertAlign w:val="superscript"/>
        </w:rPr>
        <w:t>2</w:t>
      </w:r>
      <w:r>
        <w:rPr>
          <w:color w:val="auto"/>
          <w:highlight w:val="none"/>
        </w:rPr>
        <w:t>，库容为3.3万m</w:t>
      </w:r>
      <w:r>
        <w:rPr>
          <w:color w:val="auto"/>
          <w:highlight w:val="none"/>
          <w:vertAlign w:val="superscript"/>
        </w:rPr>
        <w:t>3</w:t>
      </w:r>
      <w:r>
        <w:rPr>
          <w:color w:val="auto"/>
          <w:highlight w:val="none"/>
        </w:rPr>
        <w:t>。近期，日处理生活垃圾量约4t。远期（2040年）日处理生活垃圾量约4.8t。目前该填埋场已建成并投入使用。本项目生活垃圾产生量为75.768t/a，即252.56kg/d，约占哈拉峻乡谢依提村垃圾场处理能力（近期）的6.3%，本项目生活垃圾运至哈拉峻乡谢依提村垃圾场统一填埋具有较好的依托条件，建议建设单位与该生活垃圾场尽快签订处理协议。</w:t>
      </w:r>
    </w:p>
    <w:p w14:paraId="4902934A">
      <w:pPr>
        <w:pStyle w:val="3"/>
        <w:ind w:firstLine="480"/>
        <w:rPr>
          <w:color w:val="auto"/>
          <w:highlight w:val="none"/>
        </w:rPr>
      </w:pPr>
      <w:r>
        <w:rPr>
          <w:rFonts w:hint="eastAsia"/>
          <w:color w:val="auto"/>
          <w:highlight w:val="none"/>
        </w:rPr>
        <w:t>（3）危废贮存点依托可行性</w:t>
      </w:r>
    </w:p>
    <w:p w14:paraId="02D9631D">
      <w:pPr>
        <w:pStyle w:val="3"/>
        <w:ind w:firstLine="480"/>
        <w:rPr>
          <w:color w:val="auto"/>
          <w:highlight w:val="none"/>
        </w:rPr>
      </w:pPr>
      <w:r>
        <w:rPr>
          <w:rFonts w:hint="eastAsia"/>
          <w:color w:val="auto"/>
          <w:highlight w:val="none"/>
        </w:rPr>
        <w:t>本项目产生的危废物主要为设备维护保养产生的废机油，产生量为3t/a。工业场地现状建设</w:t>
      </w:r>
      <w:r>
        <w:rPr>
          <w:rFonts w:hint="eastAsia"/>
          <w:color w:val="auto"/>
          <w:highlight w:val="none"/>
          <w:lang w:val="en-US" w:eastAsia="zh-CN"/>
        </w:rPr>
        <w:t>有</w:t>
      </w:r>
      <w:r>
        <w:rPr>
          <w:rFonts w:hint="eastAsia"/>
          <w:color w:val="auto"/>
          <w:highlight w:val="none"/>
        </w:rPr>
        <w:t>专门的危废贮存点，危废贮存点为彩钢板房结构，面积25m</w:t>
      </w:r>
      <w:r>
        <w:rPr>
          <w:rFonts w:hint="eastAsia"/>
          <w:color w:val="auto"/>
          <w:highlight w:val="none"/>
          <w:vertAlign w:val="superscript"/>
        </w:rPr>
        <w:t>2</w:t>
      </w:r>
      <w:r>
        <w:rPr>
          <w:rFonts w:hint="eastAsia"/>
          <w:color w:val="auto"/>
          <w:highlight w:val="none"/>
        </w:rPr>
        <w:t>，进行了地面防渗，设置有围堰、事故导流槽及收集设施，废机油封闭在钢制油桶内，危废贮存点建设满足《危险废物贮存污染控制标准》（GB18597-2023）防风、防晒、防雨、防漏、防渗要求，可满足本项目危险废物贮存需求。</w:t>
      </w:r>
    </w:p>
    <w:p w14:paraId="68BC1238">
      <w:pPr>
        <w:pStyle w:val="43"/>
        <w:rPr>
          <w:color w:val="auto"/>
          <w:highlight w:val="none"/>
        </w:rPr>
      </w:pPr>
      <w:r>
        <w:rPr>
          <w:rFonts w:hint="eastAsia"/>
          <w:color w:val="auto"/>
          <w:highlight w:val="none"/>
        </w:rPr>
        <w:t>尾矿库选址与建设要求</w:t>
      </w:r>
    </w:p>
    <w:p w14:paraId="1213E184">
      <w:pPr>
        <w:pStyle w:val="3"/>
        <w:ind w:firstLine="480"/>
        <w:rPr>
          <w:color w:val="auto"/>
          <w:highlight w:val="none"/>
        </w:rPr>
      </w:pPr>
      <w:r>
        <w:rPr>
          <w:color w:val="auto"/>
          <w:highlight w:val="none"/>
        </w:rPr>
        <w:t>根据危险废物浸出实验结果，尾矿属于Ⅰ类一般工业固体废物</w:t>
      </w:r>
      <w:r>
        <w:rPr>
          <w:rFonts w:hint="eastAsia"/>
          <w:color w:val="auto"/>
          <w:highlight w:val="none"/>
        </w:rPr>
        <w:t>，尾矿库建设需满足《一般工业固体废物贮存和填埋污染控制标准》（GB18599-2020）建设及污染防治要求。</w:t>
      </w:r>
    </w:p>
    <w:p w14:paraId="1FBF300A">
      <w:pPr>
        <w:pStyle w:val="3"/>
        <w:ind w:firstLine="480"/>
        <w:rPr>
          <w:color w:val="auto"/>
          <w:highlight w:val="none"/>
        </w:rPr>
      </w:pPr>
      <w:r>
        <w:rPr>
          <w:color w:val="auto"/>
          <w:highlight w:val="none"/>
        </w:rPr>
        <w:t>根据《一般工业固体废物贮存和填埋污染控制标准》（GB18599-2020）第I类一般工业固体废物贮存场、填埋场选址要求，本项目尾矿库不占用生态保护红线区域、永久基本农田集中区域和其他需要特别保护的区域内。尾矿库所在区域无活动断层、溶洞区、天然滑坡或泥石流影响区以及湿地等区域。尾矿库周边10km范围内无江河、湖泊、运河、渠道、水库等水体，因此本项目尾矿库选址合理。</w:t>
      </w:r>
    </w:p>
    <w:p w14:paraId="04A2B41F">
      <w:pPr>
        <w:pStyle w:val="3"/>
        <w:ind w:firstLine="480"/>
        <w:rPr>
          <w:color w:val="auto"/>
          <w:highlight w:val="none"/>
        </w:rPr>
      </w:pPr>
      <w:r>
        <w:rPr>
          <w:color w:val="auto"/>
          <w:highlight w:val="none"/>
        </w:rPr>
        <w:t>尾矿库建设应满足《一般工业固体废物贮存和填埋污染控制标准》（GB 18599-2020），具体如下：</w:t>
      </w:r>
    </w:p>
    <w:p w14:paraId="70E4BD7C">
      <w:pPr>
        <w:pStyle w:val="3"/>
        <w:ind w:firstLine="480"/>
        <w:rPr>
          <w:color w:val="auto"/>
          <w:highlight w:val="none"/>
        </w:rPr>
      </w:pPr>
      <w:r>
        <w:rPr>
          <w:color w:val="auto"/>
          <w:highlight w:val="none"/>
        </w:rPr>
        <w:t>（1）尾矿库的防洪标准应按重现期不小于50年一遇的洪水位设计。</w:t>
      </w:r>
    </w:p>
    <w:p w14:paraId="12462F0B">
      <w:pPr>
        <w:pStyle w:val="3"/>
        <w:ind w:firstLine="480"/>
        <w:rPr>
          <w:color w:val="auto"/>
          <w:highlight w:val="none"/>
        </w:rPr>
      </w:pPr>
      <w:r>
        <w:rPr>
          <w:color w:val="auto"/>
          <w:highlight w:val="none"/>
        </w:rPr>
        <w:t>（2）尾矿库应建设防渗系统，当天然基础层饱和渗透系数不大于1.0×10</w:t>
      </w:r>
      <w:r>
        <w:rPr>
          <w:color w:val="auto"/>
          <w:highlight w:val="none"/>
          <w:vertAlign w:val="superscript"/>
        </w:rPr>
        <w:t>-5</w:t>
      </w:r>
      <w:r>
        <w:rPr>
          <w:color w:val="auto"/>
          <w:highlight w:val="none"/>
        </w:rPr>
        <w:t>cm/s，且厚度不小于0.75 m时，可以采用天然基础层作为防渗衬层。当天然基础层不能满足上述防渗要求时，可采用改性压实粘土类衬层或具有同等以上隔水效力的其他材料防渗衬层，其防渗性能应至少相当于渗透系数为1.0×10</w:t>
      </w:r>
      <w:r>
        <w:rPr>
          <w:color w:val="auto"/>
          <w:highlight w:val="none"/>
          <w:vertAlign w:val="superscript"/>
        </w:rPr>
        <w:t>-5</w:t>
      </w:r>
      <w:r>
        <w:rPr>
          <w:color w:val="auto"/>
          <w:highlight w:val="none"/>
        </w:rPr>
        <w:t>cm/s且厚度为0.75 m的天然基础层。</w:t>
      </w:r>
    </w:p>
    <w:p w14:paraId="2987692D">
      <w:pPr>
        <w:pStyle w:val="3"/>
        <w:ind w:firstLine="480"/>
        <w:rPr>
          <w:color w:val="auto"/>
          <w:highlight w:val="none"/>
        </w:rPr>
      </w:pPr>
      <w:r>
        <w:rPr>
          <w:color w:val="auto"/>
          <w:highlight w:val="none"/>
        </w:rPr>
        <w:t>（3）尾矿库应配置渗滤液收集和导排系统、雨污分流系统。</w:t>
      </w:r>
    </w:p>
    <w:p w14:paraId="4ADAB552">
      <w:pPr>
        <w:pStyle w:val="3"/>
        <w:ind w:firstLine="480"/>
        <w:rPr>
          <w:color w:val="auto"/>
          <w:highlight w:val="none"/>
        </w:rPr>
      </w:pPr>
      <w:r>
        <w:rPr>
          <w:color w:val="auto"/>
          <w:highlight w:val="none"/>
        </w:rPr>
        <w:t>（4）尾矿库施工方案中应包括施工质量保证和施工质量控制内容，明确环保条款和责任，作为项目竣工环境保护验收的依据，同时可作为建设环境监理的主要内容。</w:t>
      </w:r>
    </w:p>
    <w:p w14:paraId="436AD9B0">
      <w:pPr>
        <w:pStyle w:val="3"/>
        <w:ind w:firstLine="480"/>
        <w:rPr>
          <w:color w:val="auto"/>
          <w:highlight w:val="none"/>
        </w:rPr>
      </w:pPr>
      <w:r>
        <w:rPr>
          <w:color w:val="auto"/>
          <w:highlight w:val="none"/>
        </w:rPr>
        <w:t>（5）尾矿库在施工完毕后应保存施工报告、全套竣工图、所有材料的现场及实验室检测报告。采用高密度聚乙烯膜作为人工合成材料衬层的还应提交人工防渗衬层完整性检测报告。上述材料连同施工质量保证书作为竣工环境保护验收的依据。</w:t>
      </w:r>
    </w:p>
    <w:p w14:paraId="752E190A">
      <w:pPr>
        <w:pStyle w:val="3"/>
        <w:ind w:firstLine="480"/>
        <w:rPr>
          <w:color w:val="auto"/>
          <w:highlight w:val="none"/>
        </w:rPr>
      </w:pPr>
      <w:r>
        <w:rPr>
          <w:rFonts w:hint="eastAsia"/>
          <w:color w:val="auto"/>
          <w:highlight w:val="none"/>
        </w:rPr>
        <w:t>本项目</w:t>
      </w:r>
      <w:r>
        <w:rPr>
          <w:color w:val="auto"/>
          <w:highlight w:val="none"/>
        </w:rPr>
        <w:t>尾矿库</w:t>
      </w:r>
      <w:r>
        <w:rPr>
          <w:rFonts w:hint="eastAsia"/>
          <w:color w:val="auto"/>
          <w:highlight w:val="none"/>
        </w:rPr>
        <w:t>建设有截排水设施、防渗及渗滤液收集设施，</w:t>
      </w:r>
      <w:r>
        <w:rPr>
          <w:color w:val="auto"/>
          <w:highlight w:val="none"/>
        </w:rPr>
        <w:t>尾矿排放期间定期对施工作业面及马道等实施洒水降尘措施。本项目拟建尾矿库最终形成总库容4223.61万m</w:t>
      </w:r>
      <w:r>
        <w:rPr>
          <w:color w:val="auto"/>
          <w:highlight w:val="none"/>
          <w:vertAlign w:val="superscript"/>
        </w:rPr>
        <w:t>3</w:t>
      </w:r>
      <w:r>
        <w:rPr>
          <w:color w:val="auto"/>
          <w:highlight w:val="none"/>
        </w:rPr>
        <w:t>，有效库容3801.25万m</w:t>
      </w:r>
      <w:r>
        <w:rPr>
          <w:color w:val="auto"/>
          <w:highlight w:val="none"/>
          <w:vertAlign w:val="superscript"/>
        </w:rPr>
        <w:t>3</w:t>
      </w:r>
      <w:r>
        <w:rPr>
          <w:color w:val="auto"/>
          <w:highlight w:val="none"/>
        </w:rPr>
        <w:t>，服务年限20.14年，选矿干抛尾矿</w:t>
      </w:r>
      <w:r>
        <w:rPr>
          <w:rFonts w:hint="eastAsia"/>
          <w:color w:val="auto"/>
          <w:highlight w:val="none"/>
          <w:lang w:val="en-US" w:eastAsia="zh-CN"/>
        </w:rPr>
        <w:t>年</w:t>
      </w:r>
      <w:r>
        <w:rPr>
          <w:color w:val="auto"/>
          <w:highlight w:val="none"/>
        </w:rPr>
        <w:t>产生量188.75万m</w:t>
      </w:r>
      <w:r>
        <w:rPr>
          <w:color w:val="auto"/>
          <w:highlight w:val="none"/>
          <w:vertAlign w:val="superscript"/>
        </w:rPr>
        <w:t>3</w:t>
      </w:r>
      <w:r>
        <w:rPr>
          <w:color w:val="auto"/>
          <w:highlight w:val="none"/>
        </w:rPr>
        <w:t>，服务期限内总入库量</w:t>
      </w:r>
      <w:r>
        <w:rPr>
          <w:rFonts w:hint="eastAsia"/>
          <w:color w:val="auto"/>
          <w:highlight w:val="none"/>
        </w:rPr>
        <w:t>约</w:t>
      </w:r>
      <w:r>
        <w:rPr>
          <w:color w:val="auto"/>
          <w:highlight w:val="none"/>
        </w:rPr>
        <w:t>为3801万m</w:t>
      </w:r>
      <w:r>
        <w:rPr>
          <w:color w:val="auto"/>
          <w:highlight w:val="none"/>
          <w:vertAlign w:val="superscript"/>
        </w:rPr>
        <w:t>3</w:t>
      </w:r>
      <w:r>
        <w:rPr>
          <w:color w:val="auto"/>
          <w:highlight w:val="none"/>
        </w:rPr>
        <w:t>，尾矿库</w:t>
      </w:r>
      <w:r>
        <w:rPr>
          <w:rFonts w:hint="eastAsia"/>
          <w:color w:val="auto"/>
          <w:highlight w:val="none"/>
        </w:rPr>
        <w:t>库容及污染防治措施</w:t>
      </w:r>
      <w:r>
        <w:rPr>
          <w:color w:val="auto"/>
          <w:highlight w:val="none"/>
        </w:rPr>
        <w:t>能满足本项目尾矿排放需求。</w:t>
      </w:r>
    </w:p>
    <w:p w14:paraId="04838840">
      <w:pPr>
        <w:pStyle w:val="43"/>
        <w:rPr>
          <w:color w:val="auto"/>
          <w:highlight w:val="none"/>
        </w:rPr>
      </w:pPr>
      <w:r>
        <w:rPr>
          <w:rFonts w:hint="eastAsia"/>
          <w:color w:val="auto"/>
          <w:highlight w:val="none"/>
        </w:rPr>
        <w:t>危险废物环境管理要求</w:t>
      </w:r>
    </w:p>
    <w:p w14:paraId="450EBD37">
      <w:pPr>
        <w:pStyle w:val="3"/>
        <w:ind w:firstLine="480"/>
        <w:rPr>
          <w:color w:val="auto"/>
          <w:highlight w:val="none"/>
        </w:rPr>
      </w:pPr>
      <w:r>
        <w:rPr>
          <w:color w:val="auto"/>
          <w:highlight w:val="none"/>
        </w:rPr>
        <w:t>（1）危险废物贮存污染控制要求</w:t>
      </w:r>
    </w:p>
    <w:p w14:paraId="617DC923">
      <w:pPr>
        <w:pStyle w:val="3"/>
        <w:ind w:firstLine="480"/>
        <w:rPr>
          <w:color w:val="auto"/>
          <w:highlight w:val="none"/>
        </w:rPr>
      </w:pPr>
      <w:r>
        <w:rPr>
          <w:color w:val="auto"/>
          <w:highlight w:val="none"/>
        </w:rPr>
        <w:t>根据《危险废物贮存污染控制标准》（GB18597-2023）建设本项目危废贮存点，环境管理要求应符合以下要求：</w:t>
      </w:r>
    </w:p>
    <w:p w14:paraId="319A1B9B">
      <w:pPr>
        <w:pStyle w:val="3"/>
        <w:ind w:firstLine="480"/>
        <w:rPr>
          <w:color w:val="auto"/>
          <w:highlight w:val="none"/>
        </w:rPr>
      </w:pPr>
      <w:r>
        <w:rPr>
          <w:color w:val="auto"/>
          <w:highlight w:val="none"/>
        </w:rPr>
        <w:t>1）贮存点应具有固定的区域边界，并应采取与其他区域进行隔离的措施。</w:t>
      </w:r>
    </w:p>
    <w:p w14:paraId="0021E5A0">
      <w:pPr>
        <w:pStyle w:val="3"/>
        <w:ind w:firstLine="480"/>
        <w:rPr>
          <w:color w:val="auto"/>
          <w:highlight w:val="none"/>
        </w:rPr>
      </w:pPr>
      <w:r>
        <w:rPr>
          <w:color w:val="auto"/>
          <w:highlight w:val="none"/>
        </w:rPr>
        <w:t>2）贮存点应采取防风、防雨、防晒和防止危险废物流失、扬散等措施。</w:t>
      </w:r>
    </w:p>
    <w:p w14:paraId="2F72D636">
      <w:pPr>
        <w:pStyle w:val="3"/>
        <w:ind w:firstLine="480"/>
        <w:rPr>
          <w:color w:val="auto"/>
          <w:highlight w:val="none"/>
        </w:rPr>
      </w:pPr>
      <w:r>
        <w:rPr>
          <w:color w:val="auto"/>
          <w:highlight w:val="none"/>
        </w:rPr>
        <w:t>3）贮存点贮存的危险废物应置于容器或包装物中，不应直接散堆。</w:t>
      </w:r>
    </w:p>
    <w:p w14:paraId="63909A1A">
      <w:pPr>
        <w:pStyle w:val="3"/>
        <w:ind w:firstLine="480"/>
        <w:rPr>
          <w:color w:val="auto"/>
          <w:highlight w:val="none"/>
        </w:rPr>
      </w:pPr>
      <w:r>
        <w:rPr>
          <w:color w:val="auto"/>
          <w:highlight w:val="none"/>
        </w:rPr>
        <w:t>4）贮存点应根据危险废物的形态、物理化学性质、包装形式等，采取防渗、防漏等污染防治措施或采用具有相应功能的装置。</w:t>
      </w:r>
    </w:p>
    <w:p w14:paraId="3D74C06C">
      <w:pPr>
        <w:pStyle w:val="3"/>
        <w:ind w:firstLine="480"/>
        <w:rPr>
          <w:color w:val="auto"/>
          <w:highlight w:val="none"/>
        </w:rPr>
      </w:pPr>
      <w:r>
        <w:rPr>
          <w:color w:val="auto"/>
          <w:highlight w:val="none"/>
        </w:rPr>
        <w:t>5）贮存点应及时清运贮存的危险废物，实时贮存量不应超过3吨。</w:t>
      </w:r>
    </w:p>
    <w:p w14:paraId="4306B511">
      <w:pPr>
        <w:pStyle w:val="3"/>
        <w:ind w:firstLine="480"/>
        <w:rPr>
          <w:color w:val="auto"/>
          <w:highlight w:val="none"/>
        </w:rPr>
      </w:pPr>
      <w:r>
        <w:rPr>
          <w:color w:val="auto"/>
          <w:highlight w:val="none"/>
        </w:rPr>
        <w:t>危废专门贮存点采用彩钢板与其他区域进行隔离，设备维修保养产生的废机油在钢制机油桶内封闭，废机油贮存区四周建设防渗围堰。贮存点内地表防渗采用2.0mm厚HDPE防渗膜铺设防渗层，防渗系数≤1.0×10</w:t>
      </w:r>
      <w:r>
        <w:rPr>
          <w:color w:val="auto"/>
          <w:highlight w:val="none"/>
          <w:vertAlign w:val="superscript"/>
        </w:rPr>
        <w:t>-10</w:t>
      </w:r>
      <w:r>
        <w:rPr>
          <w:color w:val="auto"/>
          <w:highlight w:val="none"/>
        </w:rPr>
        <w:t>cm/s；防渗膜与周边结构物连接部位涂刷乳化沥青（厚2mm）粘接。地面及裙角采用2mm厚高密度聚乙烯防渗膜，内外均设置危险废物标识，加强通风干燥，严格按照《危险废物贮存污染控制标准》（GB18597-2023）要求进行修建和布局。贮存设施或场所、容器和包装物应按HJ1276要求设置危险废物贮存设施或场所标志、危险废物贮存分区标志和危险废物标签等危险废物识别标志。</w:t>
      </w:r>
    </w:p>
    <w:p w14:paraId="735D321A">
      <w:pPr>
        <w:pStyle w:val="3"/>
        <w:ind w:firstLine="480"/>
        <w:rPr>
          <w:color w:val="auto"/>
          <w:highlight w:val="none"/>
        </w:rPr>
      </w:pPr>
      <w:r>
        <w:rPr>
          <w:color w:val="auto"/>
          <w:highlight w:val="none"/>
        </w:rPr>
        <w:t>项目建设符合生态环境分区管控要求，选址不在生态保护红线、永久基本农田和其他需要特别保护的区域内，不涉及溶洞区或易遭受洪水、滑坡、泥石流、潮汐等严重自然灾害影响的地区以及江河、湖泊、运河、渠道、水库及其最高水位线以下的滩地和岸坡，场区不涉及断裂带等地质不稳定区，发生自然事故以及引起危险废物贮存点危废</w:t>
      </w:r>
      <w:r>
        <w:rPr>
          <w:rFonts w:hint="eastAsia"/>
          <w:color w:val="auto"/>
          <w:highlight w:val="none"/>
          <w:lang w:eastAsia="zh-CN"/>
        </w:rPr>
        <w:t>泄漏</w:t>
      </w:r>
      <w:r>
        <w:rPr>
          <w:color w:val="auto"/>
          <w:highlight w:val="none"/>
        </w:rPr>
        <w:t>的可能性很小。</w:t>
      </w:r>
    </w:p>
    <w:p w14:paraId="595802FC">
      <w:pPr>
        <w:pStyle w:val="3"/>
        <w:ind w:firstLine="480"/>
        <w:rPr>
          <w:color w:val="auto"/>
          <w:highlight w:val="none"/>
        </w:rPr>
      </w:pPr>
      <w:r>
        <w:rPr>
          <w:color w:val="auto"/>
          <w:highlight w:val="none"/>
        </w:rPr>
        <w:t>综上，项目危险废物贮存设施选址可行，建设符合《危险废物贮存污染控制标准》（GB18597-2023）要求。</w:t>
      </w:r>
    </w:p>
    <w:p w14:paraId="20775AFC">
      <w:pPr>
        <w:pStyle w:val="3"/>
        <w:ind w:firstLine="480"/>
        <w:rPr>
          <w:color w:val="auto"/>
          <w:highlight w:val="none"/>
        </w:rPr>
      </w:pPr>
      <w:r>
        <w:rPr>
          <w:color w:val="auto"/>
          <w:highlight w:val="none"/>
        </w:rPr>
        <w:t>（2）危险废物转移过程污染防治措施</w:t>
      </w:r>
    </w:p>
    <w:p w14:paraId="1DEA3C6E">
      <w:pPr>
        <w:pStyle w:val="3"/>
        <w:ind w:firstLine="480"/>
        <w:rPr>
          <w:color w:val="auto"/>
          <w:highlight w:val="none"/>
        </w:rPr>
      </w:pPr>
      <w:r>
        <w:rPr>
          <w:color w:val="auto"/>
          <w:highlight w:val="none"/>
        </w:rPr>
        <w:t>本项目危险废物运输委托有资质单位进行，危险废物运输过程污染控制应满足《危险废物收集 贮存 运输技术规范》（HJ2025-2012）相关要求，具体如下：</w:t>
      </w:r>
    </w:p>
    <w:p w14:paraId="3E1D1B5B">
      <w:pPr>
        <w:pStyle w:val="3"/>
        <w:ind w:firstLine="480"/>
        <w:rPr>
          <w:color w:val="auto"/>
          <w:highlight w:val="none"/>
        </w:rPr>
      </w:pPr>
      <w:r>
        <w:rPr>
          <w:color w:val="auto"/>
          <w:highlight w:val="none"/>
        </w:rPr>
        <w:t>1）危险废物运输应由持有危险废物经营许可证的单位按照其许可证的经营范围组织实施，承担危险废物运输的单位应获得交通运输部门颁发的危险货物运输资质。</w:t>
      </w:r>
    </w:p>
    <w:p w14:paraId="7DAF5243">
      <w:pPr>
        <w:pStyle w:val="3"/>
        <w:ind w:firstLine="480"/>
        <w:rPr>
          <w:color w:val="auto"/>
          <w:highlight w:val="none"/>
        </w:rPr>
      </w:pPr>
      <w:r>
        <w:rPr>
          <w:color w:val="auto"/>
          <w:highlight w:val="none"/>
        </w:rPr>
        <w:t>2）危险废物公路运输应按照交通运输部关于修改《道路危险货物运输管理规定》的决定（交通运输部令〔2019年〕第42号）、JT617以及JT618执行。</w:t>
      </w:r>
    </w:p>
    <w:p w14:paraId="49F3DD3C">
      <w:pPr>
        <w:pStyle w:val="3"/>
        <w:ind w:firstLine="480"/>
        <w:rPr>
          <w:color w:val="auto"/>
          <w:highlight w:val="none"/>
        </w:rPr>
      </w:pPr>
      <w:r>
        <w:rPr>
          <w:color w:val="auto"/>
          <w:highlight w:val="none"/>
        </w:rPr>
        <w:t>3）运输单位承运危险废物时，应在危险废物包装上按照GB18597附录A设置标志。</w:t>
      </w:r>
    </w:p>
    <w:p w14:paraId="2B7B1B3E">
      <w:pPr>
        <w:pStyle w:val="3"/>
        <w:ind w:firstLine="480"/>
        <w:rPr>
          <w:color w:val="auto"/>
          <w:highlight w:val="none"/>
        </w:rPr>
      </w:pPr>
      <w:r>
        <w:rPr>
          <w:color w:val="auto"/>
          <w:highlight w:val="none"/>
        </w:rPr>
        <w:t>4）危险废物公路运输时，运输车辆应按GB13392设置车辆标志。</w:t>
      </w:r>
    </w:p>
    <w:p w14:paraId="2CD0E833">
      <w:pPr>
        <w:pStyle w:val="3"/>
        <w:ind w:firstLine="480"/>
        <w:rPr>
          <w:color w:val="auto"/>
          <w:highlight w:val="none"/>
        </w:rPr>
      </w:pPr>
      <w:r>
        <w:rPr>
          <w:color w:val="auto"/>
          <w:highlight w:val="none"/>
        </w:rPr>
        <w:t>5）建设单位应先在网上在线填报危险废物管理计划，按《危险废物转移管理办法》（</w:t>
      </w:r>
      <w:r>
        <w:rPr>
          <w:rFonts w:hint="eastAsia"/>
          <w:color w:val="auto"/>
          <w:highlight w:val="none"/>
        </w:rPr>
        <w:t>生态环境部、公安部、交通运输</w:t>
      </w:r>
      <w:r>
        <w:rPr>
          <w:color w:val="auto"/>
          <w:highlight w:val="none"/>
        </w:rPr>
        <w:t>部令第23号）办理电子联单。</w:t>
      </w:r>
    </w:p>
    <w:p w14:paraId="6568BBB9">
      <w:pPr>
        <w:pStyle w:val="3"/>
        <w:ind w:firstLine="480"/>
        <w:rPr>
          <w:color w:val="auto"/>
          <w:highlight w:val="none"/>
        </w:rPr>
      </w:pPr>
      <w:r>
        <w:rPr>
          <w:color w:val="auto"/>
          <w:highlight w:val="none"/>
        </w:rPr>
        <w:t>6）本项目应建立环境管理台账记录制度，落实环境管理台账记录的责任部门和责任人，明确工作职责，并对环境管理台账的真实性、完整性和规范性负责。环境管理台账应真实记录各危险废物贮存量、转运量等信息。</w:t>
      </w:r>
    </w:p>
    <w:p w14:paraId="7DF6A82E">
      <w:pPr>
        <w:pStyle w:val="42"/>
        <w:rPr>
          <w:rFonts w:hint="default"/>
          <w:color w:val="auto"/>
          <w:highlight w:val="none"/>
        </w:rPr>
      </w:pPr>
      <w:r>
        <w:rPr>
          <w:rFonts w:hint="default"/>
          <w:color w:val="auto"/>
          <w:highlight w:val="none"/>
        </w:rPr>
        <w:t>生态保护与恢复措施</w:t>
      </w:r>
    </w:p>
    <w:p w14:paraId="7A9EF633">
      <w:pPr>
        <w:pStyle w:val="3"/>
        <w:ind w:firstLine="480"/>
        <w:rPr>
          <w:color w:val="auto"/>
          <w:highlight w:val="none"/>
        </w:rPr>
      </w:pPr>
      <w:r>
        <w:rPr>
          <w:color w:val="auto"/>
          <w:highlight w:val="none"/>
        </w:rPr>
        <w:t>选矿厂生产时，禁止随意排弃，必须堆存在指定地方，避免在项目区增加新的地表扰动和水土流失。选矿厂、尾矿库、生活区等应严格采取以下生态环境保护措施。</w:t>
      </w:r>
    </w:p>
    <w:p w14:paraId="3F580EB8">
      <w:pPr>
        <w:pStyle w:val="3"/>
        <w:ind w:firstLine="480"/>
        <w:rPr>
          <w:color w:val="auto"/>
          <w:highlight w:val="none"/>
        </w:rPr>
      </w:pPr>
      <w:r>
        <w:rPr>
          <w:color w:val="auto"/>
          <w:highlight w:val="none"/>
        </w:rPr>
        <w:t>（1）尾矿库生态环境保护措施</w:t>
      </w:r>
    </w:p>
    <w:p w14:paraId="2C562F3C">
      <w:pPr>
        <w:pStyle w:val="3"/>
        <w:ind w:firstLine="480"/>
        <w:rPr>
          <w:rFonts w:hint="eastAsia"/>
          <w:color w:val="auto"/>
          <w:highlight w:val="none"/>
        </w:rPr>
      </w:pPr>
      <w:r>
        <w:rPr>
          <w:rFonts w:hint="eastAsia"/>
          <w:color w:val="auto"/>
          <w:highlight w:val="none"/>
        </w:rPr>
        <w:t>尾矿库区地表为砂砾覆盖，库区范围内无可用土源，亦无灌溉水源，不具备人工植被恢复的基本立地条件。</w:t>
      </w:r>
      <w:r>
        <w:rPr>
          <w:rFonts w:hint="eastAsia"/>
          <w:color w:val="auto"/>
          <w:highlight w:val="none"/>
          <w:lang w:eastAsia="zh-CN"/>
        </w:rPr>
        <w:t>因此本环评要求，</w:t>
      </w:r>
      <w:r>
        <w:rPr>
          <w:rFonts w:hint="eastAsia"/>
          <w:color w:val="auto"/>
          <w:highlight w:val="none"/>
        </w:rPr>
        <w:t>生态恢复以工程措施为主、自然修复为辅：施工结束后对临时扰动区进行场地平整和原有砾石覆盖层恢复，以减少风蚀源；尾矿库坝体及边坡采用干砌石或预制块护坡等工程防护措施，维持地表稳定性；服务期满后按照闭库要求进行最终</w:t>
      </w:r>
      <w:r>
        <w:rPr>
          <w:rFonts w:hint="eastAsia"/>
          <w:color w:val="auto"/>
          <w:highlight w:val="none"/>
          <w:lang w:eastAsia="zh-CN"/>
        </w:rPr>
        <w:t>复垦</w:t>
      </w:r>
      <w:r>
        <w:rPr>
          <w:rFonts w:hint="eastAsia"/>
          <w:color w:val="auto"/>
          <w:highlight w:val="none"/>
        </w:rPr>
        <w:t>，在无土源条件下可采用土工布覆盖、碎石层铺设及化学固沙剂喷洒等物理稳定化措施，防止风蚀扬尘</w:t>
      </w:r>
      <w:r>
        <w:rPr>
          <w:rFonts w:hint="eastAsia"/>
          <w:color w:val="auto"/>
          <w:highlight w:val="none"/>
          <w:lang w:eastAsia="zh-CN"/>
        </w:rPr>
        <w:t>；在</w:t>
      </w:r>
      <w:r>
        <w:rPr>
          <w:rFonts w:hint="eastAsia"/>
          <w:color w:val="auto"/>
          <w:highlight w:val="none"/>
        </w:rPr>
        <w:t>植被恢复方面不追求人工建植，而依托周边荒漠植物种子自然传播，在自然降水条件下缓慢萌发。此外，可考虑在库区周边地势相对低洼、有一定汇水条件的边缘地带，小范围试验种植超旱生灌木（如梭梭、驼绒藜等）。</w:t>
      </w:r>
    </w:p>
    <w:p w14:paraId="287CCF14">
      <w:pPr>
        <w:pStyle w:val="3"/>
        <w:ind w:firstLine="480"/>
        <w:rPr>
          <w:color w:val="auto"/>
          <w:highlight w:val="none"/>
        </w:rPr>
      </w:pPr>
      <w:r>
        <w:rPr>
          <w:color w:val="auto"/>
          <w:highlight w:val="none"/>
        </w:rPr>
        <w:t>尾矿库沉积滩风蚀是其最普遍、最重要的水土流失形式。并且随着尾矿堆积面积不断升高，风蚀程度会愈加严重。在尾矿库运行过程中应加强尾矿库的管理和放矿管理，特别是汛期加强尾矿库的巡检和在线监测，保持排洪设施畅通。</w:t>
      </w:r>
    </w:p>
    <w:p w14:paraId="5720EB96">
      <w:pPr>
        <w:pStyle w:val="3"/>
        <w:ind w:firstLine="480"/>
        <w:rPr>
          <w:color w:val="auto"/>
          <w:highlight w:val="none"/>
        </w:rPr>
      </w:pPr>
      <w:r>
        <w:rPr>
          <w:color w:val="auto"/>
          <w:highlight w:val="none"/>
        </w:rPr>
        <w:t>（2）选矿厂、生活区生态环境保护措施</w:t>
      </w:r>
    </w:p>
    <w:p w14:paraId="24FAB19C">
      <w:pPr>
        <w:pStyle w:val="3"/>
        <w:ind w:firstLine="480"/>
        <w:rPr>
          <w:color w:val="auto"/>
          <w:highlight w:val="none"/>
        </w:rPr>
      </w:pPr>
      <w:r>
        <w:rPr>
          <w:color w:val="auto"/>
          <w:highlight w:val="none"/>
        </w:rPr>
        <w:t>绿化是项目区绿化的一个重要组成部分，工业场地是项目区的主要办公区，其良好绿化的实现，不仅可以提高项目区周围的环境质量，还可以为职工休闲提供一个良好的环境。工业场地在建设过程中应进行平整土地，排水设施、硬化等水土保持措施以及绿化措施。</w:t>
      </w:r>
    </w:p>
    <w:p w14:paraId="407C7887">
      <w:pPr>
        <w:pStyle w:val="3"/>
        <w:ind w:firstLine="480"/>
        <w:rPr>
          <w:color w:val="auto"/>
          <w:highlight w:val="none"/>
        </w:rPr>
      </w:pPr>
      <w:r>
        <w:rPr>
          <w:color w:val="auto"/>
          <w:highlight w:val="none"/>
        </w:rPr>
        <w:t>大力进行项目区人工绿化，在不影响运输、消防的前提下，绿化区域主要放在生活区、未被建（构）筑物覆盖的地表及厂区道路两侧，同时包括项目区周围的场地。工业场地绿化方式选择种草、种树都可，房屋前后可种植人工草坪及花卉。</w:t>
      </w:r>
    </w:p>
    <w:p w14:paraId="02289822">
      <w:pPr>
        <w:pStyle w:val="42"/>
        <w:rPr>
          <w:rFonts w:hint="default"/>
          <w:color w:val="auto"/>
          <w:highlight w:val="none"/>
        </w:rPr>
      </w:pPr>
      <w:r>
        <w:rPr>
          <w:rFonts w:hint="default"/>
          <w:color w:val="auto"/>
          <w:highlight w:val="none"/>
        </w:rPr>
        <w:t>运营期土壤保护措施</w:t>
      </w:r>
    </w:p>
    <w:p w14:paraId="6A60EF98">
      <w:pPr>
        <w:pStyle w:val="3"/>
        <w:ind w:firstLine="480"/>
        <w:rPr>
          <w:color w:val="auto"/>
          <w:highlight w:val="none"/>
        </w:rPr>
      </w:pPr>
      <w:r>
        <w:rPr>
          <w:color w:val="auto"/>
          <w:highlight w:val="none"/>
        </w:rPr>
        <w:t>（1）源头控制</w:t>
      </w:r>
    </w:p>
    <w:p w14:paraId="23D4909C">
      <w:pPr>
        <w:pStyle w:val="3"/>
        <w:ind w:firstLine="480"/>
        <w:rPr>
          <w:color w:val="auto"/>
          <w:highlight w:val="none"/>
        </w:rPr>
      </w:pPr>
      <w:r>
        <w:rPr>
          <w:color w:val="auto"/>
          <w:highlight w:val="none"/>
        </w:rPr>
        <w:fldChar w:fldCharType="begin"/>
      </w:r>
      <w:r>
        <w:rPr>
          <w:color w:val="auto"/>
          <w:highlight w:val="none"/>
        </w:rPr>
        <w:instrText xml:space="preserve"> = 1 \* GB3 \* MERGEFORMAT </w:instrText>
      </w:r>
      <w:r>
        <w:rPr>
          <w:color w:val="auto"/>
          <w:highlight w:val="none"/>
        </w:rPr>
        <w:fldChar w:fldCharType="separate"/>
      </w:r>
      <w:r>
        <w:rPr>
          <w:rFonts w:hint="eastAsia"/>
          <w:color w:val="auto"/>
          <w:highlight w:val="none"/>
        </w:rPr>
        <w:t>①</w:t>
      </w:r>
      <w:r>
        <w:rPr>
          <w:color w:val="auto"/>
          <w:highlight w:val="none"/>
        </w:rPr>
        <w:fldChar w:fldCharType="end"/>
      </w:r>
      <w:r>
        <w:rPr>
          <w:color w:val="auto"/>
          <w:highlight w:val="none"/>
        </w:rPr>
        <w:t>项目区设置比较完善的雨污分流系统，生产废水经管道或生产车间内地沟收集排入浓缩池，经沉淀后溢流澄清水泵入循环水池循环利用。项目生产废水闭路循环，与雨水不发生混流。初期取水进行收集，经</w:t>
      </w:r>
      <w:r>
        <w:rPr>
          <w:rFonts w:hint="eastAsia"/>
          <w:color w:val="auto"/>
          <w:highlight w:val="none"/>
        </w:rPr>
        <w:t>沉淀池</w:t>
      </w:r>
      <w:r>
        <w:rPr>
          <w:color w:val="auto"/>
          <w:highlight w:val="none"/>
        </w:rPr>
        <w:t>澄清后回用于生产系统。</w:t>
      </w:r>
    </w:p>
    <w:p w14:paraId="2CBC7ADA">
      <w:pPr>
        <w:pStyle w:val="3"/>
        <w:ind w:firstLine="480"/>
        <w:rPr>
          <w:color w:val="auto"/>
          <w:highlight w:val="none"/>
        </w:rPr>
      </w:pPr>
      <w:r>
        <w:rPr>
          <w:color w:val="auto"/>
          <w:highlight w:val="none"/>
        </w:rPr>
        <w:fldChar w:fldCharType="begin"/>
      </w:r>
      <w:r>
        <w:rPr>
          <w:color w:val="auto"/>
          <w:highlight w:val="none"/>
        </w:rPr>
        <w:instrText xml:space="preserve"> = 2 \* GB3 \* MERGEFORMAT </w:instrText>
      </w:r>
      <w:r>
        <w:rPr>
          <w:color w:val="auto"/>
          <w:highlight w:val="none"/>
        </w:rPr>
        <w:fldChar w:fldCharType="separate"/>
      </w:r>
      <w:r>
        <w:rPr>
          <w:rFonts w:hint="eastAsia"/>
          <w:color w:val="auto"/>
          <w:highlight w:val="none"/>
        </w:rPr>
        <w:t>②</w:t>
      </w:r>
      <w:r>
        <w:rPr>
          <w:color w:val="auto"/>
          <w:highlight w:val="none"/>
        </w:rPr>
        <w:fldChar w:fldCharType="end"/>
      </w:r>
      <w:r>
        <w:rPr>
          <w:color w:val="auto"/>
          <w:highlight w:val="none"/>
        </w:rPr>
        <w:t>项目浓缩池为钢混结构，</w:t>
      </w:r>
      <w:r>
        <w:rPr>
          <w:rFonts w:hint="eastAsia"/>
          <w:color w:val="auto"/>
          <w:highlight w:val="none"/>
        </w:rPr>
        <w:t>下面</w:t>
      </w:r>
      <w:r>
        <w:rPr>
          <w:color w:val="auto"/>
          <w:highlight w:val="none"/>
        </w:rPr>
        <w:t>留有检修空间，方便巡查及检修，如渗漏可及时发现，防止池体破损进一步扩大，污染土壤及地下水。</w:t>
      </w:r>
    </w:p>
    <w:p w14:paraId="55C1D04A">
      <w:pPr>
        <w:pStyle w:val="3"/>
        <w:ind w:firstLine="480"/>
        <w:rPr>
          <w:color w:val="auto"/>
          <w:highlight w:val="none"/>
        </w:rPr>
      </w:pPr>
      <w:r>
        <w:rPr>
          <w:color w:val="auto"/>
          <w:highlight w:val="none"/>
        </w:rPr>
        <w:fldChar w:fldCharType="begin"/>
      </w:r>
      <w:r>
        <w:rPr>
          <w:color w:val="auto"/>
          <w:highlight w:val="none"/>
        </w:rPr>
        <w:instrText xml:space="preserve"> = 3 \* GB3 \* MERGEFORMAT </w:instrText>
      </w:r>
      <w:r>
        <w:rPr>
          <w:color w:val="auto"/>
          <w:highlight w:val="none"/>
        </w:rPr>
        <w:fldChar w:fldCharType="separate"/>
      </w:r>
      <w:r>
        <w:rPr>
          <w:rFonts w:hint="eastAsia"/>
          <w:color w:val="auto"/>
          <w:highlight w:val="none"/>
        </w:rPr>
        <w:t>③</w:t>
      </w:r>
      <w:r>
        <w:rPr>
          <w:color w:val="auto"/>
          <w:highlight w:val="none"/>
        </w:rPr>
        <w:fldChar w:fldCharType="end"/>
      </w:r>
      <w:r>
        <w:rPr>
          <w:color w:val="auto"/>
          <w:highlight w:val="none"/>
        </w:rPr>
        <w:t>废水管道采用地上式，加强生产系统、浓缩池及管线日常巡查，发现跑冒滴漏及时采取措施，防止矿浆或废水持续渗漏。</w:t>
      </w:r>
    </w:p>
    <w:p w14:paraId="07609196">
      <w:pPr>
        <w:pStyle w:val="3"/>
        <w:ind w:firstLine="480"/>
        <w:rPr>
          <w:color w:val="auto"/>
          <w:highlight w:val="none"/>
        </w:rPr>
      </w:pPr>
      <w:r>
        <w:rPr>
          <w:color w:val="auto"/>
          <w:highlight w:val="none"/>
        </w:rPr>
        <w:fldChar w:fldCharType="begin"/>
      </w:r>
      <w:r>
        <w:rPr>
          <w:color w:val="auto"/>
          <w:highlight w:val="none"/>
        </w:rPr>
        <w:instrText xml:space="preserve"> = 4 \* GB3 \* MERGEFORMAT </w:instrText>
      </w:r>
      <w:r>
        <w:rPr>
          <w:color w:val="auto"/>
          <w:highlight w:val="none"/>
        </w:rPr>
        <w:fldChar w:fldCharType="separate"/>
      </w:r>
      <w:r>
        <w:rPr>
          <w:rFonts w:hint="eastAsia"/>
          <w:color w:val="auto"/>
          <w:highlight w:val="none"/>
        </w:rPr>
        <w:t>④</w:t>
      </w:r>
      <w:r>
        <w:rPr>
          <w:color w:val="auto"/>
          <w:highlight w:val="none"/>
        </w:rPr>
        <w:fldChar w:fldCharType="end"/>
      </w:r>
      <w:r>
        <w:rPr>
          <w:color w:val="auto"/>
          <w:highlight w:val="none"/>
        </w:rPr>
        <w:t>尾矿坝下游设置1座</w:t>
      </w:r>
      <w:r>
        <w:rPr>
          <w:rFonts w:hint="eastAsia"/>
          <w:color w:val="auto"/>
          <w:highlight w:val="none"/>
        </w:rPr>
        <w:t>28625</w:t>
      </w:r>
      <w:r>
        <w:rPr>
          <w:color w:val="auto"/>
          <w:highlight w:val="none"/>
        </w:rPr>
        <w:t>m</w:t>
      </w:r>
      <w:r>
        <w:rPr>
          <w:color w:val="auto"/>
          <w:highlight w:val="none"/>
          <w:vertAlign w:val="superscript"/>
        </w:rPr>
        <w:t>3</w:t>
      </w:r>
      <w:r>
        <w:rPr>
          <w:color w:val="auto"/>
          <w:highlight w:val="none"/>
        </w:rPr>
        <w:t>事故池</w:t>
      </w:r>
      <w:r>
        <w:rPr>
          <w:rFonts w:hint="eastAsia"/>
          <w:color w:val="auto"/>
          <w:highlight w:val="none"/>
          <w:lang w:eastAsia="zh-CN"/>
        </w:rPr>
        <w:t>；</w:t>
      </w:r>
      <w:r>
        <w:rPr>
          <w:color w:val="auto"/>
          <w:highlight w:val="none"/>
        </w:rPr>
        <w:t>选矿厂建设一座防渗</w:t>
      </w:r>
      <w:r>
        <w:rPr>
          <w:rFonts w:hint="eastAsia"/>
          <w:color w:val="auto"/>
          <w:highlight w:val="none"/>
          <w:lang w:eastAsia="zh-CN"/>
        </w:rPr>
        <w:t>事故池（</w:t>
      </w:r>
      <w:r>
        <w:rPr>
          <w:rFonts w:hint="eastAsia"/>
          <w:color w:val="auto"/>
          <w:highlight w:val="none"/>
          <w:lang w:val="en-US" w:eastAsia="zh-CN"/>
        </w:rPr>
        <w:t>250</w:t>
      </w:r>
      <w:r>
        <w:rPr>
          <w:color w:val="auto"/>
          <w:highlight w:val="none"/>
        </w:rPr>
        <w:t>m</w:t>
      </w:r>
      <w:r>
        <w:rPr>
          <w:color w:val="auto"/>
          <w:highlight w:val="none"/>
          <w:vertAlign w:val="superscript"/>
        </w:rPr>
        <w:t>3</w:t>
      </w:r>
      <w:r>
        <w:rPr>
          <w:rFonts w:hint="eastAsia"/>
          <w:color w:val="auto"/>
          <w:highlight w:val="none"/>
          <w:lang w:eastAsia="zh-CN"/>
        </w:rPr>
        <w:t>）</w:t>
      </w:r>
      <w:r>
        <w:rPr>
          <w:color w:val="auto"/>
          <w:highlight w:val="none"/>
        </w:rPr>
        <w:t>，用于收集事故状态下的尾矿浆及事故废水。</w:t>
      </w:r>
    </w:p>
    <w:p w14:paraId="1EBDCDC8">
      <w:pPr>
        <w:pStyle w:val="3"/>
        <w:ind w:firstLine="480"/>
        <w:rPr>
          <w:color w:val="auto"/>
          <w:highlight w:val="none"/>
        </w:rPr>
      </w:pPr>
      <w:r>
        <w:rPr>
          <w:color w:val="auto"/>
          <w:highlight w:val="none"/>
        </w:rPr>
        <w:t>（2）过程控制措施</w:t>
      </w:r>
    </w:p>
    <w:p w14:paraId="728C4486">
      <w:pPr>
        <w:pStyle w:val="3"/>
        <w:ind w:firstLine="480"/>
        <w:rPr>
          <w:color w:val="auto"/>
          <w:highlight w:val="none"/>
        </w:rPr>
      </w:pPr>
      <w:r>
        <w:rPr>
          <w:color w:val="auto"/>
          <w:highlight w:val="none"/>
        </w:rPr>
        <w:t>阻断意外渗漏地下水污染土壤及地下水，采取分区防渗措施，具体分区及防治措施如下：</w:t>
      </w:r>
    </w:p>
    <w:p w14:paraId="0A2DC4D7">
      <w:pPr>
        <w:pStyle w:val="3"/>
        <w:ind w:firstLine="480"/>
        <w:rPr>
          <w:color w:val="auto"/>
          <w:highlight w:val="none"/>
        </w:rPr>
      </w:pPr>
      <w:r>
        <w:rPr>
          <w:color w:val="auto"/>
          <w:highlight w:val="none"/>
        </w:rPr>
        <w:t>重点防渗区</w:t>
      </w:r>
      <w:r>
        <w:rPr>
          <w:rFonts w:hint="eastAsia"/>
          <w:color w:val="auto"/>
          <w:highlight w:val="none"/>
        </w:rPr>
        <w:t>：危废贮存点、浓密池、</w:t>
      </w:r>
      <w:r>
        <w:rPr>
          <w:rFonts w:hint="eastAsia"/>
          <w:color w:val="auto"/>
          <w:highlight w:val="none"/>
          <w:lang w:eastAsia="zh-CN"/>
        </w:rPr>
        <w:t>事故池</w:t>
      </w:r>
      <w:r>
        <w:rPr>
          <w:color w:val="auto"/>
          <w:highlight w:val="none"/>
        </w:rPr>
        <w:t>。等效黏土防渗层Mb≥6.0m，K≤1.0×10</w:t>
      </w:r>
      <w:r>
        <w:rPr>
          <w:color w:val="auto"/>
          <w:highlight w:val="none"/>
          <w:vertAlign w:val="superscript"/>
        </w:rPr>
        <w:t>-7</w:t>
      </w:r>
      <w:r>
        <w:rPr>
          <w:color w:val="auto"/>
          <w:highlight w:val="none"/>
        </w:rPr>
        <w:t>cm/s</w:t>
      </w:r>
      <w:r>
        <w:rPr>
          <w:color w:val="auto"/>
          <w:highlight w:val="none"/>
          <w:lang w:val="zh-CN"/>
        </w:rPr>
        <w:t>。</w:t>
      </w:r>
    </w:p>
    <w:p w14:paraId="18E51ED6">
      <w:pPr>
        <w:pStyle w:val="3"/>
        <w:ind w:firstLine="480"/>
        <w:rPr>
          <w:color w:val="auto"/>
          <w:highlight w:val="none"/>
          <w:lang w:val="zh-CN"/>
        </w:rPr>
      </w:pPr>
      <w:r>
        <w:rPr>
          <w:color w:val="auto"/>
          <w:highlight w:val="none"/>
          <w:lang w:val="zh-CN"/>
        </w:rPr>
        <w:t>一般防渗区</w:t>
      </w:r>
      <w:r>
        <w:rPr>
          <w:rFonts w:hint="eastAsia"/>
          <w:color w:val="auto"/>
          <w:highlight w:val="none"/>
          <w:lang w:val="zh-CN"/>
        </w:rPr>
        <w:t>：</w:t>
      </w:r>
      <w:r>
        <w:rPr>
          <w:color w:val="auto"/>
          <w:highlight w:val="none"/>
        </w:rPr>
        <w:t>尾矿库、</w:t>
      </w:r>
      <w:r>
        <w:rPr>
          <w:rFonts w:hint="eastAsia"/>
          <w:color w:val="auto"/>
          <w:highlight w:val="none"/>
        </w:rPr>
        <w:t>渗滤液收集、</w:t>
      </w:r>
      <w:r>
        <w:rPr>
          <w:color w:val="auto"/>
          <w:highlight w:val="none"/>
        </w:rPr>
        <w:t>选矿车间</w:t>
      </w:r>
      <w:r>
        <w:rPr>
          <w:rFonts w:hint="eastAsia"/>
          <w:color w:val="auto"/>
          <w:highlight w:val="none"/>
        </w:rPr>
        <w:t>、精选车间、机修间</w:t>
      </w:r>
      <w:r>
        <w:rPr>
          <w:color w:val="auto"/>
          <w:highlight w:val="none"/>
        </w:rPr>
        <w:t>、产品库房</w:t>
      </w:r>
      <w:r>
        <w:rPr>
          <w:rFonts w:hint="eastAsia"/>
          <w:color w:val="auto"/>
          <w:highlight w:val="none"/>
        </w:rPr>
        <w:t>、循环水池、下水管线</w:t>
      </w:r>
      <w:r>
        <w:rPr>
          <w:color w:val="auto"/>
          <w:highlight w:val="none"/>
        </w:rPr>
        <w:t>。防渗结构采用单层土工膜复合防渗衬层结构，其防渗性能应至少相当于渗透系数为1.0×10</w:t>
      </w:r>
      <w:r>
        <w:rPr>
          <w:color w:val="auto"/>
          <w:highlight w:val="none"/>
          <w:vertAlign w:val="superscript"/>
        </w:rPr>
        <w:t>-5</w:t>
      </w:r>
      <w:r>
        <w:rPr>
          <w:color w:val="auto"/>
          <w:highlight w:val="none"/>
        </w:rPr>
        <w:t>cm/s且厚度为0.75m的天然基础层</w:t>
      </w:r>
      <w:r>
        <w:rPr>
          <w:color w:val="auto"/>
          <w:highlight w:val="none"/>
          <w:lang w:val="zh-CN"/>
        </w:rPr>
        <w:t>。</w:t>
      </w:r>
    </w:p>
    <w:p w14:paraId="28DCAA19">
      <w:pPr>
        <w:pStyle w:val="3"/>
        <w:ind w:firstLine="480"/>
        <w:rPr>
          <w:color w:val="auto"/>
          <w:highlight w:val="none"/>
          <w:lang w:val="zh-CN"/>
        </w:rPr>
      </w:pPr>
      <w:r>
        <w:rPr>
          <w:color w:val="auto"/>
          <w:highlight w:val="none"/>
          <w:lang w:val="zh-CN"/>
        </w:rPr>
        <w:t>简单防渗区</w:t>
      </w:r>
      <w:r>
        <w:rPr>
          <w:rFonts w:hint="eastAsia"/>
          <w:color w:val="auto"/>
          <w:highlight w:val="none"/>
          <w:lang w:val="zh-CN"/>
        </w:rPr>
        <w:t>：办公生活区</w:t>
      </w:r>
      <w:r>
        <w:rPr>
          <w:color w:val="auto"/>
          <w:highlight w:val="none"/>
          <w:lang w:val="zh-CN"/>
        </w:rPr>
        <w:t>，地基按民用建筑加固处理。该区域采取一般地面硬化。</w:t>
      </w:r>
    </w:p>
    <w:p w14:paraId="347636F5">
      <w:pPr>
        <w:pStyle w:val="3"/>
        <w:ind w:firstLine="480"/>
        <w:rPr>
          <w:color w:val="auto"/>
          <w:highlight w:val="none"/>
        </w:rPr>
      </w:pPr>
      <w:r>
        <w:rPr>
          <w:color w:val="auto"/>
          <w:highlight w:val="none"/>
        </w:rPr>
        <w:t>（3）跟踪监测</w:t>
      </w:r>
    </w:p>
    <w:p w14:paraId="36271F7C">
      <w:pPr>
        <w:pStyle w:val="3"/>
        <w:ind w:firstLine="480"/>
        <w:rPr>
          <w:color w:val="auto"/>
          <w:highlight w:val="none"/>
        </w:rPr>
      </w:pPr>
      <w:r>
        <w:rPr>
          <w:color w:val="auto"/>
          <w:highlight w:val="none"/>
        </w:rPr>
        <w:t>建设单位应该针对选矿厂设立严格的管理制度，进一步加强车间管理措施</w:t>
      </w:r>
      <w:r>
        <w:rPr>
          <w:rFonts w:hint="eastAsia"/>
          <w:color w:val="auto"/>
          <w:highlight w:val="none"/>
          <w:lang w:eastAsia="zh-CN"/>
        </w:rPr>
        <w:t>，从</w:t>
      </w:r>
      <w:r>
        <w:rPr>
          <w:color w:val="auto"/>
          <w:highlight w:val="none"/>
        </w:rPr>
        <w:t>源头上</w:t>
      </w:r>
      <w:r>
        <w:rPr>
          <w:rFonts w:hint="eastAsia"/>
          <w:color w:val="auto"/>
          <w:highlight w:val="none"/>
          <w:lang w:eastAsia="zh-CN"/>
        </w:rPr>
        <w:t>防止</w:t>
      </w:r>
      <w:r>
        <w:rPr>
          <w:color w:val="auto"/>
          <w:highlight w:val="none"/>
        </w:rPr>
        <w:t>或避免事故泄漏事件发生的</w:t>
      </w:r>
      <w:r>
        <w:rPr>
          <w:rFonts w:hint="eastAsia"/>
          <w:color w:val="auto"/>
          <w:highlight w:val="none"/>
          <w:lang w:eastAsia="zh-CN"/>
        </w:rPr>
        <w:t>概率</w:t>
      </w:r>
      <w:r>
        <w:rPr>
          <w:color w:val="auto"/>
          <w:highlight w:val="none"/>
        </w:rPr>
        <w:t>，同时各车间需设立相应标志，禁止无关人员出入，加强车间巡检，发现隐患及时采取应对措施，严格选矿厂管理措施。</w:t>
      </w:r>
    </w:p>
    <w:p w14:paraId="15EFA0A8">
      <w:pPr>
        <w:pStyle w:val="3"/>
        <w:ind w:firstLine="480"/>
        <w:rPr>
          <w:color w:val="auto"/>
          <w:highlight w:val="none"/>
        </w:rPr>
      </w:pPr>
      <w:r>
        <w:rPr>
          <w:color w:val="auto"/>
          <w:highlight w:val="none"/>
        </w:rPr>
        <w:t>评价根据项目主要土壤环境污染影响类型及途径确定跟踪监测计划见表</w:t>
      </w:r>
      <w:r>
        <w:rPr>
          <w:rFonts w:hint="eastAsia"/>
          <w:color w:val="auto"/>
          <w:highlight w:val="none"/>
          <w:lang w:val="en-US" w:eastAsia="zh-CN"/>
        </w:rPr>
        <w:t>7</w:t>
      </w:r>
      <w:r>
        <w:rPr>
          <w:color w:val="auto"/>
          <w:highlight w:val="none"/>
        </w:rPr>
        <w:t>.2-</w:t>
      </w:r>
      <w:r>
        <w:rPr>
          <w:rFonts w:hint="eastAsia"/>
          <w:color w:val="auto"/>
          <w:highlight w:val="none"/>
          <w:lang w:val="en-US" w:eastAsia="zh-CN"/>
        </w:rPr>
        <w:t>3</w:t>
      </w:r>
      <w:r>
        <w:rPr>
          <w:color w:val="auto"/>
          <w:highlight w:val="none"/>
        </w:rPr>
        <w:t>。</w:t>
      </w:r>
    </w:p>
    <w:p w14:paraId="24F300E2">
      <w:pPr>
        <w:pStyle w:val="40"/>
        <w:rPr>
          <w:color w:val="auto"/>
          <w:highlight w:val="none"/>
        </w:rPr>
      </w:pPr>
      <w:r>
        <w:rPr>
          <w:color w:val="auto"/>
          <w:highlight w:val="none"/>
          <w:lang w:val="zh-CN"/>
        </w:rPr>
        <w:t>表</w:t>
      </w:r>
      <w:r>
        <w:rPr>
          <w:rFonts w:hint="eastAsia"/>
          <w:color w:val="auto"/>
          <w:highlight w:val="none"/>
          <w:lang w:val="en-US" w:eastAsia="zh-CN"/>
        </w:rPr>
        <w:t>7</w:t>
      </w:r>
      <w:r>
        <w:rPr>
          <w:color w:val="auto"/>
          <w:highlight w:val="none"/>
        </w:rPr>
        <w:t>.2-</w:t>
      </w:r>
      <w:r>
        <w:rPr>
          <w:rFonts w:hint="eastAsia"/>
          <w:color w:val="auto"/>
          <w:highlight w:val="none"/>
          <w:lang w:val="en-US" w:eastAsia="zh-CN"/>
        </w:rPr>
        <w:t>3</w:t>
      </w:r>
      <w:r>
        <w:rPr>
          <w:rFonts w:hint="eastAsia"/>
          <w:color w:val="auto"/>
          <w:highlight w:val="none"/>
        </w:rPr>
        <w:t xml:space="preserve">    </w:t>
      </w:r>
      <w:r>
        <w:rPr>
          <w:color w:val="auto"/>
          <w:highlight w:val="none"/>
          <w:lang w:val="zh-CN"/>
        </w:rPr>
        <w:t>土壤环境跟踪监测布点一览表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09"/>
        <w:gridCol w:w="1299"/>
        <w:gridCol w:w="883"/>
        <w:gridCol w:w="1715"/>
        <w:gridCol w:w="956"/>
        <w:gridCol w:w="2894"/>
      </w:tblGrid>
      <w:tr w14:paraId="184E43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8" w:hRule="atLeast"/>
          <w:jc w:val="center"/>
        </w:trPr>
        <w:tc>
          <w:tcPr>
            <w:tcW w:w="364" w:type="pct"/>
            <w:vAlign w:val="center"/>
          </w:tcPr>
          <w:p w14:paraId="1975AC41">
            <w:pPr>
              <w:pStyle w:val="41"/>
              <w:rPr>
                <w:color w:val="auto"/>
                <w:highlight w:val="none"/>
              </w:rPr>
            </w:pPr>
            <w:r>
              <w:rPr>
                <w:color w:val="auto"/>
                <w:highlight w:val="none"/>
              </w:rPr>
              <w:t>序号</w:t>
            </w:r>
          </w:p>
        </w:tc>
        <w:tc>
          <w:tcPr>
            <w:tcW w:w="777" w:type="pct"/>
            <w:vAlign w:val="center"/>
          </w:tcPr>
          <w:p w14:paraId="525DFE66">
            <w:pPr>
              <w:pStyle w:val="41"/>
              <w:rPr>
                <w:color w:val="auto"/>
                <w:highlight w:val="none"/>
              </w:rPr>
            </w:pPr>
            <w:r>
              <w:rPr>
                <w:color w:val="auto"/>
                <w:highlight w:val="none"/>
              </w:rPr>
              <w:t>监测点位</w:t>
            </w:r>
          </w:p>
        </w:tc>
        <w:tc>
          <w:tcPr>
            <w:tcW w:w="528" w:type="pct"/>
            <w:vAlign w:val="center"/>
          </w:tcPr>
          <w:p w14:paraId="7AF55F26">
            <w:pPr>
              <w:pStyle w:val="41"/>
              <w:rPr>
                <w:color w:val="auto"/>
                <w:highlight w:val="none"/>
              </w:rPr>
            </w:pPr>
            <w:r>
              <w:rPr>
                <w:color w:val="auto"/>
                <w:highlight w:val="none"/>
              </w:rPr>
              <w:t>样品要求</w:t>
            </w:r>
          </w:p>
        </w:tc>
        <w:tc>
          <w:tcPr>
            <w:tcW w:w="1026" w:type="pct"/>
            <w:vAlign w:val="center"/>
          </w:tcPr>
          <w:p w14:paraId="32503BAD">
            <w:pPr>
              <w:pStyle w:val="41"/>
              <w:rPr>
                <w:color w:val="auto"/>
                <w:highlight w:val="none"/>
              </w:rPr>
            </w:pPr>
            <w:r>
              <w:rPr>
                <w:color w:val="auto"/>
                <w:highlight w:val="none"/>
              </w:rPr>
              <w:t>监测因子</w:t>
            </w:r>
          </w:p>
        </w:tc>
        <w:tc>
          <w:tcPr>
            <w:tcW w:w="572" w:type="pct"/>
            <w:vAlign w:val="center"/>
          </w:tcPr>
          <w:p w14:paraId="4B0E33E3">
            <w:pPr>
              <w:pStyle w:val="41"/>
              <w:rPr>
                <w:color w:val="auto"/>
                <w:highlight w:val="none"/>
              </w:rPr>
            </w:pPr>
            <w:r>
              <w:rPr>
                <w:color w:val="auto"/>
                <w:highlight w:val="none"/>
              </w:rPr>
              <w:t>监测</w:t>
            </w:r>
          </w:p>
          <w:p w14:paraId="7AE975B6">
            <w:pPr>
              <w:pStyle w:val="41"/>
              <w:rPr>
                <w:color w:val="auto"/>
                <w:highlight w:val="none"/>
              </w:rPr>
            </w:pPr>
            <w:r>
              <w:rPr>
                <w:color w:val="auto"/>
                <w:highlight w:val="none"/>
              </w:rPr>
              <w:t>频次</w:t>
            </w:r>
          </w:p>
        </w:tc>
        <w:tc>
          <w:tcPr>
            <w:tcW w:w="1731" w:type="pct"/>
            <w:vAlign w:val="center"/>
          </w:tcPr>
          <w:p w14:paraId="6955B6AF">
            <w:pPr>
              <w:pStyle w:val="41"/>
              <w:rPr>
                <w:color w:val="auto"/>
                <w:highlight w:val="none"/>
              </w:rPr>
            </w:pPr>
            <w:r>
              <w:rPr>
                <w:color w:val="auto"/>
                <w:highlight w:val="none"/>
              </w:rPr>
              <w:t>执行标准</w:t>
            </w:r>
          </w:p>
        </w:tc>
      </w:tr>
      <w:tr w14:paraId="712CB4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007" w:hRule="atLeast"/>
          <w:jc w:val="center"/>
        </w:trPr>
        <w:tc>
          <w:tcPr>
            <w:tcW w:w="364" w:type="pct"/>
            <w:vAlign w:val="center"/>
          </w:tcPr>
          <w:p w14:paraId="0D76A267">
            <w:pPr>
              <w:pStyle w:val="41"/>
              <w:rPr>
                <w:color w:val="auto"/>
                <w:highlight w:val="none"/>
              </w:rPr>
            </w:pPr>
            <w:r>
              <w:rPr>
                <w:color w:val="auto"/>
                <w:highlight w:val="none"/>
              </w:rPr>
              <w:t>1#</w:t>
            </w:r>
          </w:p>
        </w:tc>
        <w:tc>
          <w:tcPr>
            <w:tcW w:w="777" w:type="pct"/>
            <w:vAlign w:val="center"/>
          </w:tcPr>
          <w:p w14:paraId="1B410D15">
            <w:pPr>
              <w:pStyle w:val="41"/>
              <w:rPr>
                <w:color w:val="auto"/>
                <w:highlight w:val="none"/>
              </w:rPr>
            </w:pPr>
            <w:r>
              <w:rPr>
                <w:color w:val="auto"/>
                <w:highlight w:val="none"/>
              </w:rPr>
              <w:t>车间下游</w:t>
            </w:r>
          </w:p>
        </w:tc>
        <w:tc>
          <w:tcPr>
            <w:tcW w:w="528" w:type="pct"/>
            <w:vAlign w:val="center"/>
          </w:tcPr>
          <w:p w14:paraId="299F92EE">
            <w:pPr>
              <w:pStyle w:val="41"/>
              <w:rPr>
                <w:color w:val="auto"/>
                <w:highlight w:val="none"/>
              </w:rPr>
            </w:pPr>
            <w:r>
              <w:rPr>
                <w:color w:val="auto"/>
                <w:highlight w:val="none"/>
              </w:rPr>
              <w:t>柱状样</w:t>
            </w:r>
          </w:p>
        </w:tc>
        <w:tc>
          <w:tcPr>
            <w:tcW w:w="1026" w:type="pct"/>
            <w:vAlign w:val="center"/>
          </w:tcPr>
          <w:p w14:paraId="69D4860E">
            <w:pPr>
              <w:pStyle w:val="41"/>
              <w:rPr>
                <w:color w:val="auto"/>
                <w:highlight w:val="none"/>
              </w:rPr>
            </w:pPr>
            <w:r>
              <w:rPr>
                <w:color w:val="auto"/>
                <w:highlight w:val="none"/>
              </w:rPr>
              <w:t>砷、镉、铬（六价）、铜、铅、汞、镍、锌、pH值。</w:t>
            </w:r>
          </w:p>
        </w:tc>
        <w:tc>
          <w:tcPr>
            <w:tcW w:w="572" w:type="pct"/>
            <w:vAlign w:val="center"/>
          </w:tcPr>
          <w:p w14:paraId="1927BFDF">
            <w:pPr>
              <w:pStyle w:val="41"/>
              <w:rPr>
                <w:color w:val="auto"/>
                <w:highlight w:val="none"/>
              </w:rPr>
            </w:pPr>
            <w:r>
              <w:rPr>
                <w:color w:val="auto"/>
                <w:highlight w:val="none"/>
              </w:rPr>
              <w:t>1次/5年</w:t>
            </w:r>
          </w:p>
        </w:tc>
        <w:tc>
          <w:tcPr>
            <w:tcW w:w="1731" w:type="pct"/>
            <w:vAlign w:val="center"/>
          </w:tcPr>
          <w:p w14:paraId="24F8A05C">
            <w:pPr>
              <w:pStyle w:val="41"/>
              <w:rPr>
                <w:color w:val="auto"/>
                <w:highlight w:val="none"/>
              </w:rPr>
            </w:pPr>
            <w:r>
              <w:rPr>
                <w:color w:val="auto"/>
                <w:highlight w:val="none"/>
              </w:rPr>
              <w:t>《土壤环境质量建设用地土壤污染风险管控标准（试行）》（GB/36600-2018）；</w:t>
            </w:r>
          </w:p>
        </w:tc>
      </w:tr>
      <w:tr w14:paraId="00F2C3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64" w:type="pct"/>
            <w:vAlign w:val="center"/>
          </w:tcPr>
          <w:p w14:paraId="5B20EBF8">
            <w:pPr>
              <w:pStyle w:val="41"/>
              <w:rPr>
                <w:color w:val="auto"/>
                <w:highlight w:val="none"/>
              </w:rPr>
            </w:pPr>
            <w:r>
              <w:rPr>
                <w:color w:val="auto"/>
                <w:highlight w:val="none"/>
              </w:rPr>
              <w:t>2#</w:t>
            </w:r>
          </w:p>
        </w:tc>
        <w:tc>
          <w:tcPr>
            <w:tcW w:w="777" w:type="pct"/>
            <w:vAlign w:val="center"/>
          </w:tcPr>
          <w:p w14:paraId="19097EA9">
            <w:pPr>
              <w:pStyle w:val="41"/>
              <w:rPr>
                <w:color w:val="auto"/>
                <w:highlight w:val="none"/>
              </w:rPr>
            </w:pPr>
            <w:r>
              <w:rPr>
                <w:color w:val="auto"/>
                <w:highlight w:val="none"/>
              </w:rPr>
              <w:t>厂区外下游</w:t>
            </w:r>
          </w:p>
        </w:tc>
        <w:tc>
          <w:tcPr>
            <w:tcW w:w="528" w:type="pct"/>
            <w:vAlign w:val="center"/>
          </w:tcPr>
          <w:p w14:paraId="1C4CCCA6">
            <w:pPr>
              <w:pStyle w:val="41"/>
              <w:rPr>
                <w:color w:val="auto"/>
                <w:highlight w:val="none"/>
              </w:rPr>
            </w:pPr>
            <w:r>
              <w:rPr>
                <w:rFonts w:hint="eastAsia"/>
                <w:color w:val="auto"/>
                <w:highlight w:val="none"/>
              </w:rPr>
              <w:t>表层样</w:t>
            </w:r>
          </w:p>
        </w:tc>
        <w:tc>
          <w:tcPr>
            <w:tcW w:w="1026" w:type="pct"/>
            <w:vAlign w:val="center"/>
          </w:tcPr>
          <w:p w14:paraId="4953B912">
            <w:pPr>
              <w:pStyle w:val="41"/>
              <w:rPr>
                <w:color w:val="auto"/>
                <w:highlight w:val="none"/>
              </w:rPr>
            </w:pPr>
            <w:r>
              <w:rPr>
                <w:color w:val="auto"/>
                <w:highlight w:val="none"/>
              </w:rPr>
              <w:t>砷、镉、铬、铜、铅、汞、镍、锌、pH值。</w:t>
            </w:r>
          </w:p>
        </w:tc>
        <w:tc>
          <w:tcPr>
            <w:tcW w:w="572" w:type="pct"/>
            <w:vAlign w:val="center"/>
          </w:tcPr>
          <w:p w14:paraId="2BEFCD4B">
            <w:pPr>
              <w:pStyle w:val="41"/>
              <w:rPr>
                <w:color w:val="auto"/>
                <w:highlight w:val="none"/>
              </w:rPr>
            </w:pPr>
            <w:r>
              <w:rPr>
                <w:color w:val="auto"/>
                <w:highlight w:val="none"/>
              </w:rPr>
              <w:t>1次/5年</w:t>
            </w:r>
          </w:p>
        </w:tc>
        <w:tc>
          <w:tcPr>
            <w:tcW w:w="1731" w:type="pct"/>
            <w:vAlign w:val="center"/>
          </w:tcPr>
          <w:p w14:paraId="29A38359">
            <w:pPr>
              <w:pStyle w:val="41"/>
              <w:rPr>
                <w:color w:val="auto"/>
                <w:highlight w:val="none"/>
              </w:rPr>
            </w:pPr>
            <w:r>
              <w:rPr>
                <w:color w:val="auto"/>
                <w:highlight w:val="none"/>
              </w:rPr>
              <w:t>《土壤环境质量农业用地土壤污染风险管控标准（试行）》（GB156</w:t>
            </w:r>
            <w:r>
              <w:rPr>
                <w:color w:val="auto"/>
                <w:highlight w:val="none"/>
              </w:rPr>
              <w:t>1</w:t>
            </w:r>
            <w:r>
              <w:rPr>
                <w:color w:val="auto"/>
                <w:highlight w:val="none"/>
              </w:rPr>
              <w:t>8-2018）</w:t>
            </w:r>
          </w:p>
        </w:tc>
      </w:tr>
      <w:tr w14:paraId="2AE7DE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64" w:type="pct"/>
            <w:vAlign w:val="center"/>
          </w:tcPr>
          <w:p w14:paraId="71D6BC86">
            <w:pPr>
              <w:pStyle w:val="41"/>
              <w:rPr>
                <w:rFonts w:hint="default" w:eastAsia="华文中宋"/>
                <w:color w:val="auto"/>
                <w:highlight w:val="none"/>
                <w:lang w:val="en-US" w:eastAsia="zh-CN"/>
              </w:rPr>
            </w:pPr>
            <w:bookmarkStart w:id="445" w:name="_Toc4516"/>
            <w:bookmarkStart w:id="446" w:name="_Toc31051"/>
            <w:bookmarkStart w:id="447" w:name="_Toc3673"/>
            <w:bookmarkStart w:id="448" w:name="_Toc26565"/>
            <w:bookmarkStart w:id="449" w:name="_Toc12173"/>
            <w:r>
              <w:rPr>
                <w:rFonts w:hint="eastAsia"/>
                <w:color w:val="auto"/>
                <w:highlight w:val="none"/>
                <w:lang w:val="en-US" w:eastAsia="zh-CN"/>
              </w:rPr>
              <w:t>3#</w:t>
            </w:r>
          </w:p>
        </w:tc>
        <w:tc>
          <w:tcPr>
            <w:tcW w:w="777" w:type="pct"/>
            <w:vAlign w:val="center"/>
          </w:tcPr>
          <w:p w14:paraId="5D4A8881">
            <w:pPr>
              <w:pStyle w:val="41"/>
              <w:rPr>
                <w:rFonts w:hint="eastAsia" w:eastAsia="华文中宋"/>
                <w:color w:val="auto"/>
                <w:highlight w:val="none"/>
                <w:lang w:eastAsia="zh-CN"/>
              </w:rPr>
            </w:pPr>
            <w:r>
              <w:rPr>
                <w:rFonts w:hint="eastAsia"/>
                <w:color w:val="auto"/>
                <w:highlight w:val="none"/>
                <w:lang w:eastAsia="zh-CN"/>
              </w:rPr>
              <w:t>库区</w:t>
            </w:r>
          </w:p>
        </w:tc>
        <w:tc>
          <w:tcPr>
            <w:tcW w:w="883" w:type="dxa"/>
            <w:vAlign w:val="center"/>
          </w:tcPr>
          <w:p w14:paraId="3E8FF741">
            <w:pPr>
              <w:pStyle w:val="41"/>
              <w:rPr>
                <w:rFonts w:hint="eastAsia"/>
                <w:color w:val="auto"/>
                <w:highlight w:val="none"/>
              </w:rPr>
            </w:pPr>
            <w:r>
              <w:rPr>
                <w:color w:val="auto"/>
                <w:highlight w:val="none"/>
              </w:rPr>
              <w:t>柱状样</w:t>
            </w:r>
          </w:p>
        </w:tc>
        <w:tc>
          <w:tcPr>
            <w:tcW w:w="1026" w:type="pct"/>
            <w:vAlign w:val="center"/>
          </w:tcPr>
          <w:p w14:paraId="6B6F4FC6">
            <w:pPr>
              <w:pStyle w:val="41"/>
              <w:rPr>
                <w:color w:val="auto"/>
                <w:highlight w:val="none"/>
              </w:rPr>
            </w:pPr>
            <w:r>
              <w:rPr>
                <w:color w:val="auto"/>
                <w:highlight w:val="none"/>
              </w:rPr>
              <w:t>砷、镉、铬（六价）、铜、铅、汞、镍、锌、pH值。</w:t>
            </w:r>
          </w:p>
        </w:tc>
        <w:tc>
          <w:tcPr>
            <w:tcW w:w="572" w:type="pct"/>
            <w:vAlign w:val="center"/>
          </w:tcPr>
          <w:p w14:paraId="07D44B62">
            <w:pPr>
              <w:pStyle w:val="41"/>
              <w:rPr>
                <w:color w:val="auto"/>
                <w:highlight w:val="none"/>
              </w:rPr>
            </w:pPr>
            <w:r>
              <w:rPr>
                <w:color w:val="auto"/>
                <w:highlight w:val="none"/>
              </w:rPr>
              <w:t>1次/</w:t>
            </w:r>
            <w:r>
              <w:rPr>
                <w:rFonts w:hint="eastAsia"/>
                <w:color w:val="auto"/>
                <w:highlight w:val="none"/>
                <w:lang w:val="en-US" w:eastAsia="zh-CN"/>
              </w:rPr>
              <w:t>3</w:t>
            </w:r>
            <w:r>
              <w:rPr>
                <w:color w:val="auto"/>
                <w:highlight w:val="none"/>
              </w:rPr>
              <w:t>年</w:t>
            </w:r>
          </w:p>
        </w:tc>
        <w:tc>
          <w:tcPr>
            <w:tcW w:w="2894" w:type="dxa"/>
            <w:vAlign w:val="center"/>
          </w:tcPr>
          <w:p w14:paraId="5839FFC9">
            <w:pPr>
              <w:pStyle w:val="41"/>
              <w:rPr>
                <w:color w:val="auto"/>
                <w:highlight w:val="none"/>
              </w:rPr>
            </w:pPr>
            <w:r>
              <w:rPr>
                <w:color w:val="auto"/>
                <w:highlight w:val="none"/>
              </w:rPr>
              <w:t>《土壤环境质量建设用地土壤污染风险管控标准（试行）》（GB/36600-2018）；</w:t>
            </w:r>
          </w:p>
        </w:tc>
      </w:tr>
      <w:tr w14:paraId="2B0DF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64" w:type="pct"/>
            <w:vAlign w:val="center"/>
          </w:tcPr>
          <w:p w14:paraId="7165D9C9">
            <w:pPr>
              <w:pStyle w:val="41"/>
              <w:rPr>
                <w:color w:val="auto"/>
                <w:highlight w:val="none"/>
              </w:rPr>
            </w:pPr>
            <w:r>
              <w:rPr>
                <w:rFonts w:hint="eastAsia"/>
                <w:color w:val="auto"/>
                <w:highlight w:val="none"/>
                <w:lang w:val="en-US" w:eastAsia="zh-CN"/>
              </w:rPr>
              <w:t>4#</w:t>
            </w:r>
          </w:p>
        </w:tc>
        <w:tc>
          <w:tcPr>
            <w:tcW w:w="777" w:type="pct"/>
            <w:vAlign w:val="center"/>
          </w:tcPr>
          <w:p w14:paraId="79F35835">
            <w:pPr>
              <w:pStyle w:val="41"/>
              <w:rPr>
                <w:color w:val="auto"/>
                <w:highlight w:val="none"/>
              </w:rPr>
            </w:pPr>
            <w:r>
              <w:rPr>
                <w:rFonts w:hint="eastAsia"/>
                <w:color w:val="auto"/>
                <w:highlight w:val="none"/>
                <w:lang w:eastAsia="zh-CN"/>
              </w:rPr>
              <w:t>库区下游</w:t>
            </w:r>
          </w:p>
        </w:tc>
        <w:tc>
          <w:tcPr>
            <w:tcW w:w="883" w:type="dxa"/>
            <w:vAlign w:val="center"/>
          </w:tcPr>
          <w:p w14:paraId="1F06332B">
            <w:pPr>
              <w:pStyle w:val="41"/>
              <w:rPr>
                <w:rFonts w:hint="eastAsia"/>
                <w:color w:val="auto"/>
                <w:highlight w:val="none"/>
              </w:rPr>
            </w:pPr>
            <w:r>
              <w:rPr>
                <w:rFonts w:hint="eastAsia"/>
                <w:color w:val="auto"/>
                <w:highlight w:val="none"/>
              </w:rPr>
              <w:t>表层样</w:t>
            </w:r>
          </w:p>
        </w:tc>
        <w:tc>
          <w:tcPr>
            <w:tcW w:w="1026" w:type="pct"/>
            <w:vAlign w:val="center"/>
          </w:tcPr>
          <w:p w14:paraId="126B7915">
            <w:pPr>
              <w:pStyle w:val="41"/>
              <w:rPr>
                <w:color w:val="auto"/>
                <w:highlight w:val="none"/>
              </w:rPr>
            </w:pPr>
            <w:r>
              <w:rPr>
                <w:color w:val="auto"/>
                <w:highlight w:val="none"/>
              </w:rPr>
              <w:t>砷、镉、铬、铜、铅、汞、镍、锌、pH值。</w:t>
            </w:r>
          </w:p>
        </w:tc>
        <w:tc>
          <w:tcPr>
            <w:tcW w:w="572" w:type="pct"/>
            <w:vAlign w:val="center"/>
          </w:tcPr>
          <w:p w14:paraId="0121FF67">
            <w:pPr>
              <w:pStyle w:val="41"/>
              <w:rPr>
                <w:color w:val="auto"/>
                <w:highlight w:val="none"/>
              </w:rPr>
            </w:pPr>
            <w:r>
              <w:rPr>
                <w:color w:val="auto"/>
                <w:highlight w:val="none"/>
              </w:rPr>
              <w:t>1次/</w:t>
            </w:r>
            <w:r>
              <w:rPr>
                <w:rFonts w:hint="eastAsia"/>
                <w:color w:val="auto"/>
                <w:highlight w:val="none"/>
                <w:lang w:val="en-US" w:eastAsia="zh-CN"/>
              </w:rPr>
              <w:t>3</w:t>
            </w:r>
            <w:r>
              <w:rPr>
                <w:color w:val="auto"/>
                <w:highlight w:val="none"/>
              </w:rPr>
              <w:t>年</w:t>
            </w:r>
          </w:p>
        </w:tc>
        <w:tc>
          <w:tcPr>
            <w:tcW w:w="2894" w:type="dxa"/>
            <w:vAlign w:val="center"/>
          </w:tcPr>
          <w:p w14:paraId="4CD622B1">
            <w:pPr>
              <w:pStyle w:val="41"/>
              <w:rPr>
                <w:color w:val="auto"/>
                <w:highlight w:val="none"/>
              </w:rPr>
            </w:pPr>
            <w:r>
              <w:rPr>
                <w:color w:val="auto"/>
                <w:highlight w:val="none"/>
              </w:rPr>
              <w:t>《土壤环境质量农业用地土壤污染风险管控标准（试行）》（GB156</w:t>
            </w:r>
            <w:r>
              <w:rPr>
                <w:color w:val="auto"/>
                <w:highlight w:val="none"/>
              </w:rPr>
              <w:t>1</w:t>
            </w:r>
            <w:r>
              <w:rPr>
                <w:color w:val="auto"/>
                <w:highlight w:val="none"/>
              </w:rPr>
              <w:t>8-2018）</w:t>
            </w:r>
          </w:p>
        </w:tc>
      </w:tr>
    </w:tbl>
    <w:p w14:paraId="7C489ABB">
      <w:pPr>
        <w:pStyle w:val="39"/>
        <w:rPr>
          <w:rFonts w:hint="default"/>
          <w:color w:val="auto"/>
          <w:highlight w:val="none"/>
        </w:rPr>
      </w:pPr>
      <w:bookmarkStart w:id="450" w:name="_Toc14541"/>
      <w:r>
        <w:rPr>
          <w:rFonts w:hint="default"/>
          <w:color w:val="auto"/>
          <w:highlight w:val="none"/>
        </w:rPr>
        <w:t>服务期满后的</w:t>
      </w:r>
      <w:bookmarkEnd w:id="445"/>
      <w:bookmarkEnd w:id="446"/>
      <w:r>
        <w:rPr>
          <w:rFonts w:hint="default"/>
          <w:color w:val="auto"/>
          <w:highlight w:val="none"/>
        </w:rPr>
        <w:t>生态恢复措施</w:t>
      </w:r>
      <w:bookmarkEnd w:id="447"/>
      <w:bookmarkEnd w:id="448"/>
      <w:bookmarkEnd w:id="449"/>
      <w:bookmarkEnd w:id="450"/>
    </w:p>
    <w:p w14:paraId="0864F990">
      <w:pPr>
        <w:pStyle w:val="3"/>
        <w:ind w:firstLine="480"/>
        <w:rPr>
          <w:color w:val="auto"/>
          <w:highlight w:val="none"/>
        </w:rPr>
      </w:pPr>
      <w:r>
        <w:rPr>
          <w:color w:val="auto"/>
          <w:highlight w:val="none"/>
        </w:rPr>
        <w:t>项目所在区域为</w:t>
      </w:r>
      <w:r>
        <w:rPr>
          <w:rFonts w:hint="eastAsia"/>
          <w:color w:val="auto"/>
          <w:highlight w:val="none"/>
          <w:lang w:eastAsia="zh-CN"/>
        </w:rPr>
        <w:t>裸土地</w:t>
      </w:r>
      <w:r>
        <w:rPr>
          <w:color w:val="auto"/>
          <w:highlight w:val="none"/>
        </w:rPr>
        <w:t>，生态恢复可适度进行人工绿化及</w:t>
      </w:r>
      <w:r>
        <w:rPr>
          <w:rFonts w:hint="eastAsia"/>
          <w:color w:val="auto"/>
          <w:highlight w:val="none"/>
        </w:rPr>
        <w:t>植被自然</w:t>
      </w:r>
      <w:r>
        <w:rPr>
          <w:color w:val="auto"/>
          <w:highlight w:val="none"/>
        </w:rPr>
        <w:t>恢复。</w:t>
      </w:r>
    </w:p>
    <w:p w14:paraId="24C6D178">
      <w:pPr>
        <w:pStyle w:val="3"/>
        <w:ind w:firstLine="480"/>
        <w:rPr>
          <w:color w:val="auto"/>
          <w:highlight w:val="none"/>
        </w:rPr>
      </w:pPr>
      <w:r>
        <w:rPr>
          <w:color w:val="auto"/>
          <w:highlight w:val="none"/>
        </w:rPr>
        <w:t>（1）生活区与选矿厂恢复措施</w:t>
      </w:r>
    </w:p>
    <w:p w14:paraId="7A5EBF5C">
      <w:pPr>
        <w:pStyle w:val="3"/>
        <w:ind w:firstLine="480"/>
        <w:rPr>
          <w:color w:val="auto"/>
          <w:highlight w:val="none"/>
        </w:rPr>
      </w:pPr>
      <w:r>
        <w:rPr>
          <w:color w:val="auto"/>
          <w:highlight w:val="none"/>
        </w:rPr>
        <w:t>生活区与选矿厂拆除各建筑物、清理平整场地，可利用建筑材料全部回收利用，少量建筑垃圾送建筑垃圾填埋场填埋。</w:t>
      </w:r>
    </w:p>
    <w:p w14:paraId="1FE0134D">
      <w:pPr>
        <w:pStyle w:val="3"/>
        <w:ind w:firstLine="480"/>
        <w:rPr>
          <w:color w:val="auto"/>
          <w:highlight w:val="none"/>
        </w:rPr>
      </w:pPr>
      <w:r>
        <w:rPr>
          <w:color w:val="auto"/>
          <w:highlight w:val="none"/>
        </w:rPr>
        <w:t>（2）尾矿库生态恢复措施</w:t>
      </w:r>
    </w:p>
    <w:p w14:paraId="72513395">
      <w:pPr>
        <w:pStyle w:val="3"/>
        <w:ind w:firstLine="480"/>
        <w:rPr>
          <w:color w:val="auto"/>
          <w:highlight w:val="none"/>
        </w:rPr>
      </w:pPr>
      <w:r>
        <w:rPr>
          <w:color w:val="auto"/>
          <w:highlight w:val="none"/>
        </w:rPr>
        <w:t>尾矿库服务期满后应该关闭或封场，关闭或封场前，必须编制关闭或封场计划，报请当地生态环境行政主管部门核准，并采取污染防治措施。尾矿库关闭或封场后，仍需继续管理和维护，直到稳定为止，并设置标志物，注明关闭和封场时间以及使用该土地应该注意事项。</w:t>
      </w:r>
    </w:p>
    <w:p w14:paraId="3034C754">
      <w:pPr>
        <w:pStyle w:val="3"/>
        <w:ind w:firstLine="480"/>
        <w:rPr>
          <w:color w:val="auto"/>
          <w:highlight w:val="none"/>
        </w:rPr>
      </w:pPr>
      <w:r>
        <w:rPr>
          <w:color w:val="auto"/>
          <w:highlight w:val="none"/>
        </w:rPr>
        <w:t>尾矿库闭库后，坝体和坝内应视尾矿库所处地区气象条件、尾矿污染物、植被恢复方式、土源情况进行不同厚度进行覆土，因地制宜进行植被恢复和综合利用，恢复植被的覆土厚度应不低于10cm。</w:t>
      </w:r>
    </w:p>
    <w:p w14:paraId="73CFA014">
      <w:pPr>
        <w:pStyle w:val="3"/>
        <w:ind w:firstLine="480"/>
        <w:rPr>
          <w:color w:val="auto"/>
          <w:highlight w:val="none"/>
        </w:rPr>
      </w:pPr>
      <w:r>
        <w:rPr>
          <w:color w:val="auto"/>
          <w:highlight w:val="none"/>
        </w:rPr>
        <w:t>项目服务期满后应进行回填、平整等工程技术措施。根据项目区实际情况，各复垦区主要采取以下几项工程技术措施：</w:t>
      </w:r>
    </w:p>
    <w:p w14:paraId="149C7762">
      <w:pPr>
        <w:pStyle w:val="12"/>
        <w:rPr>
          <w:color w:val="auto"/>
          <w:highlight w:val="none"/>
        </w:rPr>
      </w:pPr>
      <w:r>
        <w:rPr>
          <w:color w:val="auto"/>
          <w:highlight w:val="none"/>
        </w:rPr>
        <w:t>项目占压土地后，使原有的土地形态发生改变，导致原有土地的表层起伏不平，难以达到预期的土地利用方向。根据相关标准，需对区域进行土地平整，使平整后的地面坡度不超过5°。</w:t>
      </w:r>
      <w:r>
        <w:rPr>
          <w:rFonts w:hint="eastAsia"/>
          <w:color w:val="auto"/>
          <w:highlight w:val="none"/>
        </w:rPr>
        <w:t>依托周边荒漠植物种子自然传播，在自然降水条件下缓慢萌发。</w:t>
      </w:r>
    </w:p>
    <w:p w14:paraId="631FB263">
      <w:pPr>
        <w:pStyle w:val="3"/>
        <w:ind w:firstLine="480"/>
        <w:rPr>
          <w:color w:val="auto"/>
          <w:highlight w:val="none"/>
        </w:rPr>
      </w:pPr>
      <w:r>
        <w:rPr>
          <w:color w:val="auto"/>
          <w:highlight w:val="none"/>
        </w:rPr>
        <w:t>（3）尾矿再利用及尾矿闭库后再利用</w:t>
      </w:r>
    </w:p>
    <w:p w14:paraId="520B5A54">
      <w:pPr>
        <w:pStyle w:val="3"/>
        <w:ind w:firstLine="480"/>
        <w:rPr>
          <w:color w:val="auto"/>
          <w:highlight w:val="none"/>
        </w:rPr>
      </w:pPr>
      <w:r>
        <w:rPr>
          <w:color w:val="auto"/>
          <w:highlight w:val="none"/>
        </w:rPr>
        <w:t>①在用尾矿库进行回采再利用或经批准闭库的尾矿库重新启用或改作他用时，必须按照《尾矿库安全技术规程》（AQ2006-2020）中尾矿库建设的规定进行技术论证、工程设计、安全评价。</w:t>
      </w:r>
    </w:p>
    <w:p w14:paraId="1895249B">
      <w:pPr>
        <w:pStyle w:val="3"/>
        <w:ind w:firstLine="480"/>
        <w:rPr>
          <w:color w:val="auto"/>
          <w:highlight w:val="none"/>
        </w:rPr>
      </w:pPr>
      <w:r>
        <w:rPr>
          <w:color w:val="auto"/>
          <w:highlight w:val="none"/>
        </w:rPr>
        <w:t>②在尾矿库再利用生产运行过程中必须按照《尾矿库安全技术规程》（AQ2006-2020）要求尾矿库安全生产运行的规定确保尾矿库安全。</w:t>
      </w:r>
    </w:p>
    <w:p w14:paraId="2CAA0ADA">
      <w:pPr>
        <w:pStyle w:val="3"/>
        <w:ind w:firstLine="480"/>
        <w:rPr>
          <w:color w:val="auto"/>
          <w:highlight w:val="none"/>
        </w:rPr>
      </w:pPr>
      <w:r>
        <w:rPr>
          <w:color w:val="auto"/>
          <w:highlight w:val="none"/>
        </w:rPr>
        <w:t>③对在用尾矿库或已闭库尾矿库进行回采再利用的，不得影响尾矿坝和原排洪设施的安全。</w:t>
      </w:r>
    </w:p>
    <w:p w14:paraId="126F1E0C">
      <w:pPr>
        <w:pStyle w:val="3"/>
        <w:ind w:firstLine="480"/>
        <w:rPr>
          <w:color w:val="auto"/>
          <w:highlight w:val="none"/>
        </w:rPr>
      </w:pPr>
      <w:r>
        <w:rPr>
          <w:color w:val="auto"/>
          <w:highlight w:val="none"/>
        </w:rPr>
        <w:t>④尾矿库再利用生产完成后，应按照《尾矿库安全技术规程》（AQ2006-2020）第9章尾矿库闭库的规定，进行闭库。尾矿库达到正常库标准，进行闭库整治设计，确保尾矿库防洪能力和尾矿坝稳定性满足规程要求，完善坝面土石覆盖或植被绿化、截洪沟、观测设施等。</w:t>
      </w:r>
    </w:p>
    <w:p w14:paraId="4BE06576">
      <w:pPr>
        <w:pStyle w:val="3"/>
        <w:ind w:firstLine="480"/>
        <w:rPr>
          <w:color w:val="auto"/>
          <w:highlight w:val="none"/>
        </w:rPr>
        <w:sectPr>
          <w:pgSz w:w="11906" w:h="16838"/>
          <w:pgMar w:top="1440" w:right="1803" w:bottom="1440" w:left="1803" w:header="1020" w:footer="992" w:gutter="0"/>
          <w:pgBorders>
            <w:top w:val="none" w:sz="0" w:space="0"/>
            <w:left w:val="none" w:sz="0" w:space="0"/>
            <w:bottom w:val="none" w:sz="0" w:space="0"/>
            <w:right w:val="none" w:sz="0" w:space="0"/>
          </w:pgBorders>
          <w:cols w:space="720" w:num="1"/>
          <w:docGrid w:type="lines" w:linePitch="332" w:charSpace="0"/>
        </w:sectPr>
      </w:pPr>
    </w:p>
    <w:bookmarkEnd w:id="424"/>
    <w:bookmarkEnd w:id="425"/>
    <w:bookmarkEnd w:id="426"/>
    <w:bookmarkEnd w:id="427"/>
    <w:bookmarkEnd w:id="428"/>
    <w:p w14:paraId="7AA1350F">
      <w:pPr>
        <w:pStyle w:val="38"/>
        <w:rPr>
          <w:color w:val="auto"/>
          <w:highlight w:val="none"/>
        </w:rPr>
      </w:pPr>
      <w:bookmarkStart w:id="451" w:name="_Toc9126"/>
      <w:bookmarkStart w:id="452" w:name="_Toc5928"/>
      <w:r>
        <w:rPr>
          <w:color w:val="auto"/>
          <w:highlight w:val="none"/>
        </w:rPr>
        <w:t>环境影响经济损益分析</w:t>
      </w:r>
      <w:bookmarkEnd w:id="451"/>
      <w:bookmarkEnd w:id="452"/>
    </w:p>
    <w:p w14:paraId="157D6E72">
      <w:pPr>
        <w:pStyle w:val="3"/>
        <w:ind w:firstLine="480"/>
        <w:rPr>
          <w:color w:val="auto"/>
          <w:highlight w:val="none"/>
        </w:rPr>
      </w:pPr>
      <w:r>
        <w:rPr>
          <w:color w:val="auto"/>
          <w:highlight w:val="none"/>
        </w:rPr>
        <w:t>环境影响经济损益分析主要是通过对该项目的经济效益、社会效益和环境效益进行分析比较，得出环境保护与经济之间的相互促进，相互制约的关系；分析建设项目的社会、经济和环境损益，评价建设项目环境保护投资的合理性以及环境保护投资的效益，促进项目建设的社会、经济和环境效益的协调统一和可持续发展。</w:t>
      </w:r>
    </w:p>
    <w:p w14:paraId="0802D7C5">
      <w:pPr>
        <w:pStyle w:val="39"/>
        <w:rPr>
          <w:rFonts w:hint="default"/>
          <w:color w:val="auto"/>
          <w:highlight w:val="none"/>
        </w:rPr>
      </w:pPr>
      <w:bookmarkStart w:id="453" w:name="_Toc26291215"/>
      <w:bookmarkStart w:id="454" w:name="_Toc29055"/>
      <w:bookmarkStart w:id="455" w:name="_Toc149705178"/>
      <w:bookmarkStart w:id="456" w:name="_Toc13677"/>
      <w:bookmarkStart w:id="457" w:name="_Toc188349481"/>
      <w:bookmarkStart w:id="458" w:name="_Toc4214"/>
      <w:bookmarkStart w:id="459" w:name="_Toc146967279"/>
      <w:r>
        <w:rPr>
          <w:rFonts w:hint="default"/>
          <w:color w:val="auto"/>
          <w:highlight w:val="none"/>
        </w:rPr>
        <w:t>经济效益分析</w:t>
      </w:r>
      <w:bookmarkEnd w:id="453"/>
      <w:bookmarkEnd w:id="454"/>
      <w:bookmarkEnd w:id="455"/>
      <w:bookmarkEnd w:id="456"/>
      <w:bookmarkEnd w:id="457"/>
      <w:bookmarkEnd w:id="458"/>
      <w:bookmarkEnd w:id="459"/>
    </w:p>
    <w:p w14:paraId="701C5790">
      <w:pPr>
        <w:pStyle w:val="3"/>
        <w:ind w:firstLine="480"/>
        <w:rPr>
          <w:color w:val="auto"/>
          <w:highlight w:val="none"/>
        </w:rPr>
      </w:pPr>
      <w:bookmarkStart w:id="460" w:name="_Toc188349482"/>
      <w:bookmarkStart w:id="461" w:name="_Toc146967280"/>
      <w:bookmarkStart w:id="462" w:name="_Toc149705179"/>
      <w:r>
        <w:rPr>
          <w:color w:val="auto"/>
          <w:highlight w:val="none"/>
        </w:rPr>
        <w:t>本项目的投资估算范围包括：项目所需生产车间及辅助配套设施土建工程费、设备购置费及安装费、其它费用、预备费等，项目总投资为</w:t>
      </w:r>
      <w:r>
        <w:rPr>
          <w:rFonts w:hint="eastAsia"/>
          <w:color w:val="auto"/>
          <w:highlight w:val="none"/>
        </w:rPr>
        <w:t>68118</w:t>
      </w:r>
      <w:r>
        <w:rPr>
          <w:color w:val="auto"/>
          <w:highlight w:val="none"/>
        </w:rPr>
        <w:t>万元。</w:t>
      </w:r>
    </w:p>
    <w:p w14:paraId="0A581598">
      <w:pPr>
        <w:pStyle w:val="3"/>
        <w:ind w:firstLine="480"/>
        <w:rPr>
          <w:color w:val="auto"/>
          <w:highlight w:val="none"/>
        </w:rPr>
      </w:pPr>
      <w:r>
        <w:rPr>
          <w:color w:val="auto"/>
          <w:highlight w:val="none"/>
        </w:rPr>
        <w:t>本项目采用钒钛磁铁矿为原料，进一步</w:t>
      </w:r>
      <w:r>
        <w:rPr>
          <w:rFonts w:hint="eastAsia"/>
          <w:color w:val="auto"/>
          <w:highlight w:val="none"/>
        </w:rPr>
        <w:t>分选</w:t>
      </w:r>
      <w:r>
        <w:rPr>
          <w:color w:val="auto"/>
          <w:highlight w:val="none"/>
        </w:rPr>
        <w:t>铁精矿和钛精矿，对资源进行充分利用。最终产品方案为选矿厂一期产品铁精粉年产量为30.14万t</w:t>
      </w:r>
      <w:r>
        <w:rPr>
          <w:rFonts w:hint="eastAsia"/>
          <w:color w:val="auto"/>
          <w:highlight w:val="none"/>
        </w:rPr>
        <w:t>，</w:t>
      </w:r>
      <w:r>
        <w:rPr>
          <w:color w:val="auto"/>
          <w:highlight w:val="none"/>
        </w:rPr>
        <w:t>钛精粉年产量为15.87万t。</w:t>
      </w:r>
    </w:p>
    <w:p w14:paraId="70411972">
      <w:pPr>
        <w:pStyle w:val="3"/>
        <w:ind w:firstLine="480"/>
        <w:rPr>
          <w:color w:val="auto"/>
          <w:highlight w:val="none"/>
        </w:rPr>
      </w:pPr>
      <w:r>
        <w:rPr>
          <w:color w:val="auto"/>
          <w:highlight w:val="none"/>
        </w:rPr>
        <w:t>本项目建成投产后，依托项目产品市场需求及合理的生产运营模式，可形成稳定的营业收入。项目在运营期内，通过科学管控原材料消耗、动力消耗、人工成本及各项期间费用，合理控制总成本费用，并按照国家现行税收政策依法缴纳增值税、税金及附加、企业所得税等各项税费。</w:t>
      </w:r>
    </w:p>
    <w:p w14:paraId="0C7A1138">
      <w:pPr>
        <w:pStyle w:val="3"/>
        <w:ind w:firstLine="480"/>
        <w:rPr>
          <w:color w:val="auto"/>
          <w:highlight w:val="none"/>
        </w:rPr>
      </w:pPr>
      <w:r>
        <w:rPr>
          <w:color w:val="auto"/>
          <w:highlight w:val="none"/>
        </w:rPr>
        <w:t>项目在扣除总成本费用、税金及附加后，可实现合理的利润总额，并按规定缴纳企业所得税，最终形成净利润。项目财务方案合理，盈利能力较强，具备良好的财务生存能力与抗风险能力，从经济角度分析，项目建设可行。</w:t>
      </w:r>
    </w:p>
    <w:p w14:paraId="41F34CE9">
      <w:pPr>
        <w:pStyle w:val="39"/>
        <w:rPr>
          <w:rFonts w:hint="default"/>
          <w:color w:val="auto"/>
          <w:highlight w:val="none"/>
        </w:rPr>
      </w:pPr>
      <w:bookmarkStart w:id="463" w:name="_Toc16149"/>
      <w:bookmarkStart w:id="464" w:name="_Toc26291216"/>
      <w:bookmarkStart w:id="465" w:name="_Toc6095"/>
      <w:bookmarkStart w:id="466" w:name="_Toc9056"/>
      <w:r>
        <w:rPr>
          <w:rFonts w:hint="default"/>
          <w:color w:val="auto"/>
          <w:highlight w:val="none"/>
        </w:rPr>
        <w:t>社会效益分析</w:t>
      </w:r>
      <w:bookmarkEnd w:id="460"/>
      <w:bookmarkEnd w:id="461"/>
      <w:bookmarkEnd w:id="462"/>
      <w:bookmarkEnd w:id="463"/>
      <w:bookmarkEnd w:id="464"/>
      <w:bookmarkEnd w:id="465"/>
      <w:bookmarkEnd w:id="466"/>
    </w:p>
    <w:p w14:paraId="2DDA6FFF">
      <w:pPr>
        <w:pStyle w:val="3"/>
        <w:ind w:firstLine="480"/>
        <w:rPr>
          <w:color w:val="auto"/>
          <w:highlight w:val="none"/>
        </w:rPr>
      </w:pPr>
      <w:r>
        <w:rPr>
          <w:color w:val="auto"/>
          <w:highlight w:val="none"/>
        </w:rPr>
        <w:t>本项目实施有利于促进当地铁矿行业的快速发展，可有效缓解当地市场压力，有利于市场竞争，并可带动当地相关产业发展，为当地下游行业提供发展机遇，可扩大当地相关产品消费市场，创造较大经济效益同时在一定程度上增加区域经济竞争力，促进当地社会可持续发展。</w:t>
      </w:r>
    </w:p>
    <w:p w14:paraId="30074BF3">
      <w:pPr>
        <w:pStyle w:val="3"/>
        <w:ind w:firstLine="480"/>
        <w:rPr>
          <w:color w:val="auto"/>
          <w:highlight w:val="none"/>
        </w:rPr>
      </w:pPr>
      <w:r>
        <w:rPr>
          <w:color w:val="auto"/>
          <w:highlight w:val="none"/>
        </w:rPr>
        <w:t>综上所述，本项目具有良好的社会效益。</w:t>
      </w:r>
    </w:p>
    <w:p w14:paraId="22F9799A">
      <w:pPr>
        <w:pStyle w:val="39"/>
        <w:rPr>
          <w:rFonts w:hint="default"/>
          <w:color w:val="auto"/>
          <w:highlight w:val="none"/>
        </w:rPr>
      </w:pPr>
      <w:bookmarkStart w:id="467" w:name="_Toc6963"/>
      <w:bookmarkStart w:id="468" w:name="_Toc146967281"/>
      <w:bookmarkStart w:id="469" w:name="_Toc149705180"/>
      <w:bookmarkStart w:id="470" w:name="_Toc26291217"/>
      <w:bookmarkStart w:id="471" w:name="_Toc188349483"/>
      <w:bookmarkStart w:id="472" w:name="_Toc2451"/>
      <w:bookmarkStart w:id="473" w:name="_Toc31313"/>
      <w:r>
        <w:rPr>
          <w:rFonts w:hint="default"/>
          <w:color w:val="auto"/>
          <w:highlight w:val="none"/>
        </w:rPr>
        <w:t>项目环境效益分析</w:t>
      </w:r>
      <w:bookmarkEnd w:id="467"/>
      <w:bookmarkEnd w:id="468"/>
      <w:bookmarkEnd w:id="469"/>
      <w:bookmarkEnd w:id="470"/>
      <w:bookmarkEnd w:id="471"/>
      <w:bookmarkEnd w:id="472"/>
      <w:bookmarkEnd w:id="473"/>
    </w:p>
    <w:p w14:paraId="678BA047">
      <w:pPr>
        <w:pStyle w:val="3"/>
        <w:ind w:firstLine="480"/>
        <w:rPr>
          <w:color w:val="auto"/>
          <w:highlight w:val="none"/>
        </w:rPr>
      </w:pPr>
      <w:r>
        <w:rPr>
          <w:color w:val="auto"/>
          <w:highlight w:val="none"/>
        </w:rPr>
        <w:t>在项目建设过程中，不可避免地要对环境产生一定的污染和破坏，为了减轻和消除因开发活动对环境造成的影响，就必须投入一定的资金用于污染防治、恢复地貌、绿化等环境建设。</w:t>
      </w:r>
      <w:r>
        <w:rPr>
          <w:color w:val="auto"/>
          <w:highlight w:val="none"/>
        </w:rPr>
        <w:t>本项目总投资为</w:t>
      </w:r>
      <w:r>
        <w:rPr>
          <w:rFonts w:hint="eastAsia"/>
          <w:color w:val="auto"/>
          <w:highlight w:val="none"/>
        </w:rPr>
        <w:t>68118</w:t>
      </w:r>
      <w:r>
        <w:rPr>
          <w:color w:val="auto"/>
          <w:highlight w:val="none"/>
        </w:rPr>
        <w:t>万元，其中环保投资为</w:t>
      </w:r>
      <w:r>
        <w:rPr>
          <w:rFonts w:hint="eastAsia"/>
          <w:color w:val="auto"/>
          <w:highlight w:val="none"/>
          <w:lang w:val="en-US" w:eastAsia="zh-CN"/>
        </w:rPr>
        <w:t>6446.6</w:t>
      </w:r>
      <w:r>
        <w:rPr>
          <w:color w:val="auto"/>
          <w:highlight w:val="none"/>
        </w:rPr>
        <w:t>万元，占总投资的</w:t>
      </w:r>
      <w:r>
        <w:rPr>
          <w:rFonts w:hint="eastAsia"/>
          <w:color w:val="auto"/>
          <w:highlight w:val="none"/>
          <w:lang w:val="en-US" w:eastAsia="zh-CN"/>
        </w:rPr>
        <w:t>9.46</w:t>
      </w:r>
      <w:r>
        <w:rPr>
          <w:color w:val="auto"/>
          <w:highlight w:val="none"/>
        </w:rPr>
        <w:t>%，</w:t>
      </w:r>
      <w:r>
        <w:rPr>
          <w:rFonts w:hint="eastAsia"/>
          <w:color w:val="auto"/>
          <w:highlight w:val="none"/>
        </w:rPr>
        <w:t>环保投资</w:t>
      </w:r>
      <w:r>
        <w:rPr>
          <w:color w:val="auto"/>
          <w:highlight w:val="none"/>
        </w:rPr>
        <w:t>估算见表8.3-1。</w:t>
      </w:r>
    </w:p>
    <w:p w14:paraId="64C675E1">
      <w:pPr>
        <w:pStyle w:val="40"/>
        <w:rPr>
          <w:color w:val="auto"/>
          <w:highlight w:val="none"/>
        </w:rPr>
      </w:pPr>
      <w:r>
        <w:rPr>
          <w:color w:val="auto"/>
          <w:highlight w:val="none"/>
        </w:rPr>
        <w:t>表8.3-1     环保投资一览表</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60"/>
        <w:gridCol w:w="1626"/>
        <w:gridCol w:w="4079"/>
        <w:gridCol w:w="1260"/>
        <w:gridCol w:w="1088"/>
      </w:tblGrid>
      <w:tr w14:paraId="162C7F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25" w:type="pct"/>
            <w:gridSpan w:val="2"/>
            <w:tcBorders>
              <w:tl2br w:val="nil"/>
              <w:tr2bl w:val="nil"/>
            </w:tcBorders>
            <w:vAlign w:val="center"/>
          </w:tcPr>
          <w:p w14:paraId="11E4B8AC">
            <w:pPr>
              <w:pStyle w:val="41"/>
              <w:rPr>
                <w:color w:val="auto"/>
                <w:highlight w:val="none"/>
              </w:rPr>
            </w:pPr>
            <w:r>
              <w:rPr>
                <w:color w:val="auto"/>
                <w:highlight w:val="none"/>
              </w:rPr>
              <w:t>项目</w:t>
            </w:r>
          </w:p>
        </w:tc>
        <w:tc>
          <w:tcPr>
            <w:tcW w:w="2395" w:type="pct"/>
            <w:tcBorders>
              <w:tl2br w:val="nil"/>
              <w:tr2bl w:val="nil"/>
            </w:tcBorders>
            <w:vAlign w:val="center"/>
          </w:tcPr>
          <w:p w14:paraId="5EB09E2C">
            <w:pPr>
              <w:pStyle w:val="41"/>
              <w:rPr>
                <w:color w:val="auto"/>
                <w:highlight w:val="none"/>
              </w:rPr>
            </w:pPr>
            <w:r>
              <w:rPr>
                <w:color w:val="auto"/>
                <w:highlight w:val="none"/>
              </w:rPr>
              <w:t>环保措施概要</w:t>
            </w:r>
          </w:p>
        </w:tc>
        <w:tc>
          <w:tcPr>
            <w:tcW w:w="740" w:type="pct"/>
            <w:tcBorders>
              <w:tl2br w:val="nil"/>
              <w:tr2bl w:val="nil"/>
            </w:tcBorders>
            <w:vAlign w:val="center"/>
          </w:tcPr>
          <w:p w14:paraId="3479E927">
            <w:pPr>
              <w:pStyle w:val="41"/>
              <w:rPr>
                <w:color w:val="auto"/>
                <w:highlight w:val="none"/>
              </w:rPr>
            </w:pPr>
            <w:r>
              <w:rPr>
                <w:color w:val="auto"/>
                <w:highlight w:val="none"/>
              </w:rPr>
              <w:t>投资（万元）</w:t>
            </w:r>
          </w:p>
        </w:tc>
        <w:tc>
          <w:tcPr>
            <w:tcW w:w="639" w:type="pct"/>
            <w:tcBorders>
              <w:tl2br w:val="nil"/>
              <w:tr2bl w:val="nil"/>
            </w:tcBorders>
            <w:vAlign w:val="center"/>
          </w:tcPr>
          <w:p w14:paraId="4231AF75">
            <w:pPr>
              <w:pStyle w:val="41"/>
              <w:rPr>
                <w:rFonts w:hint="eastAsia"/>
                <w:color w:val="auto"/>
                <w:highlight w:val="none"/>
                <w:lang w:eastAsia="zh-CN"/>
              </w:rPr>
            </w:pPr>
            <w:r>
              <w:rPr>
                <w:rFonts w:hint="eastAsia"/>
                <w:color w:val="auto"/>
                <w:highlight w:val="none"/>
                <w:lang w:eastAsia="zh-CN"/>
              </w:rPr>
              <w:t>备注</w:t>
            </w:r>
          </w:p>
        </w:tc>
      </w:tr>
      <w:tr w14:paraId="3F1513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70" w:type="pct"/>
            <w:vMerge w:val="restart"/>
            <w:tcBorders>
              <w:tl2br w:val="nil"/>
              <w:tr2bl w:val="nil"/>
            </w:tcBorders>
            <w:vAlign w:val="center"/>
          </w:tcPr>
          <w:p w14:paraId="570EFE14">
            <w:pPr>
              <w:pStyle w:val="41"/>
              <w:rPr>
                <w:color w:val="auto"/>
                <w:highlight w:val="none"/>
              </w:rPr>
            </w:pPr>
            <w:r>
              <w:rPr>
                <w:color w:val="auto"/>
                <w:highlight w:val="none"/>
              </w:rPr>
              <w:t>施工期</w:t>
            </w:r>
          </w:p>
        </w:tc>
        <w:tc>
          <w:tcPr>
            <w:tcW w:w="955" w:type="pct"/>
            <w:tcBorders>
              <w:tl2br w:val="nil"/>
              <w:tr2bl w:val="nil"/>
            </w:tcBorders>
            <w:vAlign w:val="center"/>
          </w:tcPr>
          <w:p w14:paraId="39906DB4">
            <w:pPr>
              <w:pStyle w:val="41"/>
              <w:rPr>
                <w:color w:val="auto"/>
                <w:highlight w:val="none"/>
              </w:rPr>
            </w:pPr>
            <w:r>
              <w:rPr>
                <w:color w:val="auto"/>
                <w:highlight w:val="none"/>
              </w:rPr>
              <w:t>废气</w:t>
            </w:r>
          </w:p>
        </w:tc>
        <w:tc>
          <w:tcPr>
            <w:tcW w:w="2395" w:type="pct"/>
            <w:tcBorders>
              <w:tl2br w:val="nil"/>
              <w:tr2bl w:val="nil"/>
            </w:tcBorders>
            <w:vAlign w:val="center"/>
          </w:tcPr>
          <w:p w14:paraId="41789562">
            <w:pPr>
              <w:pStyle w:val="41"/>
              <w:rPr>
                <w:color w:val="auto"/>
                <w:highlight w:val="none"/>
              </w:rPr>
            </w:pPr>
            <w:r>
              <w:rPr>
                <w:color w:val="auto"/>
                <w:highlight w:val="none"/>
              </w:rPr>
              <w:t>施工场地、道路洒水，运输物料遮盖等</w:t>
            </w:r>
          </w:p>
        </w:tc>
        <w:tc>
          <w:tcPr>
            <w:tcW w:w="740" w:type="pct"/>
            <w:tcBorders>
              <w:tl2br w:val="nil"/>
              <w:tr2bl w:val="nil"/>
            </w:tcBorders>
            <w:vAlign w:val="center"/>
          </w:tcPr>
          <w:p w14:paraId="7E94657C">
            <w:pPr>
              <w:pStyle w:val="41"/>
              <w:rPr>
                <w:color w:val="auto"/>
                <w:highlight w:val="none"/>
              </w:rPr>
            </w:pPr>
            <w:r>
              <w:rPr>
                <w:rFonts w:hint="eastAsia"/>
                <w:color w:val="auto"/>
                <w:highlight w:val="none"/>
              </w:rPr>
              <w:t>30</w:t>
            </w:r>
          </w:p>
        </w:tc>
        <w:tc>
          <w:tcPr>
            <w:tcW w:w="639" w:type="pct"/>
            <w:tcBorders>
              <w:tl2br w:val="nil"/>
              <w:tr2bl w:val="nil"/>
            </w:tcBorders>
            <w:vAlign w:val="center"/>
          </w:tcPr>
          <w:p w14:paraId="205C0CD3">
            <w:pPr>
              <w:pStyle w:val="41"/>
              <w:rPr>
                <w:rFonts w:hint="eastAsia"/>
                <w:color w:val="auto"/>
                <w:highlight w:val="none"/>
              </w:rPr>
            </w:pPr>
          </w:p>
        </w:tc>
      </w:tr>
      <w:tr w14:paraId="6F69B1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70" w:type="pct"/>
            <w:vMerge w:val="continue"/>
            <w:tcBorders>
              <w:tl2br w:val="nil"/>
              <w:tr2bl w:val="nil"/>
            </w:tcBorders>
            <w:vAlign w:val="center"/>
          </w:tcPr>
          <w:p w14:paraId="61DDC0E0">
            <w:pPr>
              <w:pStyle w:val="41"/>
              <w:rPr>
                <w:color w:val="auto"/>
                <w:highlight w:val="none"/>
              </w:rPr>
            </w:pPr>
          </w:p>
        </w:tc>
        <w:tc>
          <w:tcPr>
            <w:tcW w:w="955" w:type="pct"/>
            <w:tcBorders>
              <w:tl2br w:val="nil"/>
              <w:tr2bl w:val="nil"/>
            </w:tcBorders>
            <w:vAlign w:val="center"/>
          </w:tcPr>
          <w:p w14:paraId="01DD89DE">
            <w:pPr>
              <w:pStyle w:val="41"/>
              <w:rPr>
                <w:color w:val="auto"/>
                <w:highlight w:val="none"/>
              </w:rPr>
            </w:pPr>
            <w:r>
              <w:rPr>
                <w:color w:val="auto"/>
                <w:highlight w:val="none"/>
              </w:rPr>
              <w:t>废水</w:t>
            </w:r>
          </w:p>
        </w:tc>
        <w:tc>
          <w:tcPr>
            <w:tcW w:w="2395" w:type="pct"/>
            <w:tcBorders>
              <w:tl2br w:val="nil"/>
              <w:tr2bl w:val="nil"/>
            </w:tcBorders>
            <w:vAlign w:val="center"/>
          </w:tcPr>
          <w:p w14:paraId="1B3556C2">
            <w:pPr>
              <w:pStyle w:val="41"/>
              <w:rPr>
                <w:color w:val="auto"/>
                <w:highlight w:val="none"/>
              </w:rPr>
            </w:pPr>
            <w:r>
              <w:rPr>
                <w:color w:val="auto"/>
                <w:highlight w:val="none"/>
              </w:rPr>
              <w:t>施工期临时沉淀池</w:t>
            </w:r>
          </w:p>
        </w:tc>
        <w:tc>
          <w:tcPr>
            <w:tcW w:w="740" w:type="pct"/>
            <w:tcBorders>
              <w:tl2br w:val="nil"/>
              <w:tr2bl w:val="nil"/>
            </w:tcBorders>
            <w:vAlign w:val="center"/>
          </w:tcPr>
          <w:p w14:paraId="73AA5F6F">
            <w:pPr>
              <w:pStyle w:val="41"/>
              <w:rPr>
                <w:color w:val="auto"/>
                <w:highlight w:val="none"/>
              </w:rPr>
            </w:pPr>
            <w:r>
              <w:rPr>
                <w:color w:val="auto"/>
                <w:highlight w:val="none"/>
              </w:rPr>
              <w:t>15</w:t>
            </w:r>
          </w:p>
        </w:tc>
        <w:tc>
          <w:tcPr>
            <w:tcW w:w="639" w:type="pct"/>
            <w:tcBorders>
              <w:tl2br w:val="nil"/>
              <w:tr2bl w:val="nil"/>
            </w:tcBorders>
            <w:vAlign w:val="center"/>
          </w:tcPr>
          <w:p w14:paraId="5C261295">
            <w:pPr>
              <w:pStyle w:val="41"/>
              <w:rPr>
                <w:color w:val="auto"/>
                <w:highlight w:val="none"/>
              </w:rPr>
            </w:pPr>
          </w:p>
        </w:tc>
      </w:tr>
      <w:tr w14:paraId="1E10EA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70" w:type="pct"/>
            <w:vMerge w:val="continue"/>
            <w:tcBorders>
              <w:tl2br w:val="nil"/>
              <w:tr2bl w:val="nil"/>
            </w:tcBorders>
            <w:vAlign w:val="center"/>
          </w:tcPr>
          <w:p w14:paraId="7A332F30">
            <w:pPr>
              <w:pStyle w:val="41"/>
              <w:rPr>
                <w:color w:val="auto"/>
                <w:highlight w:val="none"/>
              </w:rPr>
            </w:pPr>
          </w:p>
        </w:tc>
        <w:tc>
          <w:tcPr>
            <w:tcW w:w="955" w:type="pct"/>
            <w:tcBorders>
              <w:tl2br w:val="nil"/>
              <w:tr2bl w:val="nil"/>
            </w:tcBorders>
            <w:vAlign w:val="center"/>
          </w:tcPr>
          <w:p w14:paraId="56D08251">
            <w:pPr>
              <w:pStyle w:val="41"/>
              <w:rPr>
                <w:color w:val="auto"/>
                <w:highlight w:val="none"/>
              </w:rPr>
            </w:pPr>
            <w:r>
              <w:rPr>
                <w:color w:val="auto"/>
                <w:highlight w:val="none"/>
              </w:rPr>
              <w:t>噪声</w:t>
            </w:r>
          </w:p>
        </w:tc>
        <w:tc>
          <w:tcPr>
            <w:tcW w:w="2395" w:type="pct"/>
            <w:tcBorders>
              <w:tl2br w:val="nil"/>
              <w:tr2bl w:val="nil"/>
            </w:tcBorders>
            <w:vAlign w:val="center"/>
          </w:tcPr>
          <w:p w14:paraId="4A538670">
            <w:pPr>
              <w:pStyle w:val="41"/>
              <w:rPr>
                <w:color w:val="auto"/>
                <w:highlight w:val="none"/>
              </w:rPr>
            </w:pPr>
            <w:r>
              <w:rPr>
                <w:color w:val="auto"/>
                <w:highlight w:val="none"/>
              </w:rPr>
              <w:t>合理布局，基础减振</w:t>
            </w:r>
          </w:p>
        </w:tc>
        <w:tc>
          <w:tcPr>
            <w:tcW w:w="740" w:type="pct"/>
            <w:tcBorders>
              <w:tl2br w:val="nil"/>
              <w:tr2bl w:val="nil"/>
            </w:tcBorders>
            <w:vAlign w:val="center"/>
          </w:tcPr>
          <w:p w14:paraId="502D87F1">
            <w:pPr>
              <w:pStyle w:val="41"/>
              <w:rPr>
                <w:color w:val="auto"/>
                <w:highlight w:val="none"/>
              </w:rPr>
            </w:pPr>
            <w:r>
              <w:rPr>
                <w:rFonts w:hint="eastAsia"/>
                <w:color w:val="auto"/>
                <w:highlight w:val="none"/>
              </w:rPr>
              <w:t>25</w:t>
            </w:r>
          </w:p>
        </w:tc>
        <w:tc>
          <w:tcPr>
            <w:tcW w:w="639" w:type="pct"/>
            <w:tcBorders>
              <w:tl2br w:val="nil"/>
              <w:tr2bl w:val="nil"/>
            </w:tcBorders>
            <w:vAlign w:val="center"/>
          </w:tcPr>
          <w:p w14:paraId="5999094F">
            <w:pPr>
              <w:pStyle w:val="41"/>
              <w:rPr>
                <w:rFonts w:hint="eastAsia"/>
                <w:color w:val="auto"/>
                <w:highlight w:val="none"/>
              </w:rPr>
            </w:pPr>
          </w:p>
        </w:tc>
      </w:tr>
      <w:tr w14:paraId="5934CC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70" w:type="pct"/>
            <w:vMerge w:val="continue"/>
            <w:tcBorders>
              <w:tl2br w:val="nil"/>
              <w:tr2bl w:val="nil"/>
            </w:tcBorders>
            <w:vAlign w:val="center"/>
          </w:tcPr>
          <w:p w14:paraId="7F0CE024">
            <w:pPr>
              <w:pStyle w:val="41"/>
              <w:rPr>
                <w:color w:val="auto"/>
                <w:highlight w:val="none"/>
              </w:rPr>
            </w:pPr>
          </w:p>
        </w:tc>
        <w:tc>
          <w:tcPr>
            <w:tcW w:w="955" w:type="pct"/>
            <w:tcBorders>
              <w:tl2br w:val="nil"/>
              <w:tr2bl w:val="nil"/>
            </w:tcBorders>
            <w:vAlign w:val="center"/>
          </w:tcPr>
          <w:p w14:paraId="6ECBE712">
            <w:pPr>
              <w:pStyle w:val="41"/>
              <w:rPr>
                <w:color w:val="auto"/>
                <w:highlight w:val="none"/>
              </w:rPr>
            </w:pPr>
            <w:r>
              <w:rPr>
                <w:color w:val="auto"/>
                <w:highlight w:val="none"/>
              </w:rPr>
              <w:t>固体废物</w:t>
            </w:r>
          </w:p>
        </w:tc>
        <w:tc>
          <w:tcPr>
            <w:tcW w:w="2395" w:type="pct"/>
            <w:tcBorders>
              <w:tl2br w:val="nil"/>
              <w:tr2bl w:val="nil"/>
            </w:tcBorders>
            <w:vAlign w:val="center"/>
          </w:tcPr>
          <w:p w14:paraId="1C33FBCC">
            <w:pPr>
              <w:pStyle w:val="41"/>
              <w:rPr>
                <w:color w:val="auto"/>
                <w:highlight w:val="none"/>
              </w:rPr>
            </w:pPr>
            <w:r>
              <w:rPr>
                <w:color w:val="auto"/>
                <w:highlight w:val="none"/>
              </w:rPr>
              <w:t>弃土、弃方、建筑垃圾的处置，施工期生活垃圾的处置</w:t>
            </w:r>
          </w:p>
        </w:tc>
        <w:tc>
          <w:tcPr>
            <w:tcW w:w="740" w:type="pct"/>
            <w:tcBorders>
              <w:tl2br w:val="nil"/>
              <w:tr2bl w:val="nil"/>
            </w:tcBorders>
            <w:vAlign w:val="center"/>
          </w:tcPr>
          <w:p w14:paraId="22B2E9D1">
            <w:pPr>
              <w:pStyle w:val="41"/>
              <w:rPr>
                <w:color w:val="auto"/>
                <w:highlight w:val="none"/>
              </w:rPr>
            </w:pPr>
            <w:r>
              <w:rPr>
                <w:rFonts w:hint="eastAsia"/>
                <w:color w:val="auto"/>
                <w:highlight w:val="none"/>
              </w:rPr>
              <w:t>20</w:t>
            </w:r>
          </w:p>
        </w:tc>
        <w:tc>
          <w:tcPr>
            <w:tcW w:w="639" w:type="pct"/>
            <w:tcBorders>
              <w:tl2br w:val="nil"/>
              <w:tr2bl w:val="nil"/>
            </w:tcBorders>
            <w:vAlign w:val="center"/>
          </w:tcPr>
          <w:p w14:paraId="5A7D764F">
            <w:pPr>
              <w:pStyle w:val="41"/>
              <w:rPr>
                <w:rFonts w:hint="eastAsia"/>
                <w:color w:val="auto"/>
                <w:highlight w:val="none"/>
              </w:rPr>
            </w:pPr>
          </w:p>
        </w:tc>
      </w:tr>
      <w:tr w14:paraId="396DD8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70" w:type="pct"/>
            <w:vMerge w:val="continue"/>
            <w:tcBorders>
              <w:tl2br w:val="nil"/>
              <w:tr2bl w:val="nil"/>
            </w:tcBorders>
            <w:vAlign w:val="center"/>
          </w:tcPr>
          <w:p w14:paraId="7463017F">
            <w:pPr>
              <w:pStyle w:val="41"/>
              <w:rPr>
                <w:color w:val="auto"/>
                <w:highlight w:val="none"/>
              </w:rPr>
            </w:pPr>
          </w:p>
        </w:tc>
        <w:tc>
          <w:tcPr>
            <w:tcW w:w="955" w:type="pct"/>
            <w:tcBorders>
              <w:tl2br w:val="nil"/>
              <w:tr2bl w:val="nil"/>
            </w:tcBorders>
            <w:vAlign w:val="center"/>
          </w:tcPr>
          <w:p w14:paraId="58488803">
            <w:pPr>
              <w:pStyle w:val="41"/>
              <w:rPr>
                <w:color w:val="auto"/>
                <w:highlight w:val="none"/>
              </w:rPr>
            </w:pPr>
            <w:r>
              <w:rPr>
                <w:color w:val="auto"/>
                <w:highlight w:val="none"/>
              </w:rPr>
              <w:t>生态环境</w:t>
            </w:r>
          </w:p>
        </w:tc>
        <w:tc>
          <w:tcPr>
            <w:tcW w:w="2395" w:type="pct"/>
            <w:tcBorders>
              <w:tl2br w:val="nil"/>
              <w:tr2bl w:val="nil"/>
            </w:tcBorders>
            <w:vAlign w:val="center"/>
          </w:tcPr>
          <w:p w14:paraId="3A7A1732">
            <w:pPr>
              <w:pStyle w:val="41"/>
              <w:rPr>
                <w:color w:val="auto"/>
                <w:highlight w:val="none"/>
              </w:rPr>
            </w:pPr>
            <w:r>
              <w:rPr>
                <w:color w:val="auto"/>
                <w:highlight w:val="none"/>
              </w:rPr>
              <w:t>场地平整、绿化</w:t>
            </w:r>
          </w:p>
        </w:tc>
        <w:tc>
          <w:tcPr>
            <w:tcW w:w="740" w:type="pct"/>
            <w:tcBorders>
              <w:tl2br w:val="nil"/>
              <w:tr2bl w:val="nil"/>
            </w:tcBorders>
            <w:vAlign w:val="center"/>
          </w:tcPr>
          <w:p w14:paraId="040493F6">
            <w:pPr>
              <w:pStyle w:val="41"/>
              <w:rPr>
                <w:color w:val="auto"/>
                <w:highlight w:val="none"/>
              </w:rPr>
            </w:pPr>
            <w:r>
              <w:rPr>
                <w:rFonts w:hint="eastAsia"/>
                <w:color w:val="auto"/>
                <w:highlight w:val="none"/>
              </w:rPr>
              <w:t>60</w:t>
            </w:r>
          </w:p>
        </w:tc>
        <w:tc>
          <w:tcPr>
            <w:tcW w:w="639" w:type="pct"/>
            <w:tcBorders>
              <w:tl2br w:val="nil"/>
              <w:tr2bl w:val="nil"/>
            </w:tcBorders>
            <w:vAlign w:val="center"/>
          </w:tcPr>
          <w:p w14:paraId="489764AD">
            <w:pPr>
              <w:pStyle w:val="41"/>
              <w:rPr>
                <w:rFonts w:hint="eastAsia"/>
                <w:color w:val="auto"/>
                <w:highlight w:val="none"/>
              </w:rPr>
            </w:pPr>
          </w:p>
        </w:tc>
      </w:tr>
      <w:tr w14:paraId="2E9B2F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70" w:type="pct"/>
            <w:vMerge w:val="restart"/>
            <w:tcBorders>
              <w:tl2br w:val="nil"/>
              <w:tr2bl w:val="nil"/>
            </w:tcBorders>
            <w:vAlign w:val="center"/>
          </w:tcPr>
          <w:p w14:paraId="1BDBC901">
            <w:pPr>
              <w:pStyle w:val="41"/>
              <w:rPr>
                <w:color w:val="auto"/>
                <w:highlight w:val="none"/>
              </w:rPr>
            </w:pPr>
            <w:r>
              <w:rPr>
                <w:color w:val="auto"/>
                <w:highlight w:val="none"/>
              </w:rPr>
              <w:t>运营期</w:t>
            </w:r>
          </w:p>
        </w:tc>
        <w:tc>
          <w:tcPr>
            <w:tcW w:w="955" w:type="pct"/>
            <w:vMerge w:val="restart"/>
            <w:tcBorders>
              <w:tl2br w:val="nil"/>
              <w:tr2bl w:val="nil"/>
            </w:tcBorders>
            <w:vAlign w:val="center"/>
          </w:tcPr>
          <w:p w14:paraId="487D727C">
            <w:pPr>
              <w:pStyle w:val="41"/>
              <w:rPr>
                <w:color w:val="auto"/>
                <w:highlight w:val="none"/>
              </w:rPr>
            </w:pPr>
            <w:r>
              <w:rPr>
                <w:color w:val="auto"/>
                <w:highlight w:val="none"/>
              </w:rPr>
              <w:t>废气</w:t>
            </w:r>
          </w:p>
        </w:tc>
        <w:tc>
          <w:tcPr>
            <w:tcW w:w="2395" w:type="pct"/>
            <w:tcBorders>
              <w:tl2br w:val="nil"/>
              <w:tr2bl w:val="nil"/>
            </w:tcBorders>
            <w:vAlign w:val="center"/>
          </w:tcPr>
          <w:p w14:paraId="72E153FE">
            <w:pPr>
              <w:pStyle w:val="41"/>
              <w:rPr>
                <w:color w:val="auto"/>
                <w:highlight w:val="none"/>
              </w:rPr>
            </w:pPr>
            <w:r>
              <w:rPr>
                <w:rFonts w:hint="eastAsia"/>
                <w:color w:val="auto"/>
                <w:highlight w:val="none"/>
                <w:lang w:eastAsia="zh-CN"/>
              </w:rPr>
              <w:t>封闭式</w:t>
            </w:r>
            <w:r>
              <w:rPr>
                <w:color w:val="auto"/>
                <w:highlight w:val="none"/>
              </w:rPr>
              <w:t>原料</w:t>
            </w:r>
            <w:r>
              <w:rPr>
                <w:rFonts w:hint="eastAsia"/>
                <w:color w:val="auto"/>
                <w:highlight w:val="none"/>
                <w:lang w:eastAsia="zh-CN"/>
              </w:rPr>
              <w:t>堆库：</w:t>
            </w:r>
            <w:r>
              <w:rPr>
                <w:color w:val="auto"/>
                <w:highlight w:val="none"/>
              </w:rPr>
              <w:t>洒水降尘</w:t>
            </w:r>
          </w:p>
        </w:tc>
        <w:tc>
          <w:tcPr>
            <w:tcW w:w="740" w:type="pct"/>
            <w:tcBorders>
              <w:tl2br w:val="nil"/>
              <w:tr2bl w:val="nil"/>
            </w:tcBorders>
            <w:vAlign w:val="center"/>
          </w:tcPr>
          <w:p w14:paraId="1E766AD0">
            <w:pPr>
              <w:pStyle w:val="41"/>
              <w:rPr>
                <w:color w:val="auto"/>
                <w:highlight w:val="none"/>
              </w:rPr>
            </w:pPr>
            <w:r>
              <w:rPr>
                <w:rFonts w:hint="eastAsia"/>
                <w:color w:val="auto"/>
                <w:highlight w:val="none"/>
              </w:rPr>
              <w:t>30</w:t>
            </w:r>
          </w:p>
        </w:tc>
        <w:tc>
          <w:tcPr>
            <w:tcW w:w="639" w:type="pct"/>
            <w:tcBorders>
              <w:tl2br w:val="nil"/>
              <w:tr2bl w:val="nil"/>
            </w:tcBorders>
            <w:vAlign w:val="center"/>
          </w:tcPr>
          <w:p w14:paraId="0D7DC00C">
            <w:pPr>
              <w:pStyle w:val="41"/>
              <w:rPr>
                <w:rFonts w:hint="eastAsia"/>
                <w:color w:val="auto"/>
                <w:highlight w:val="none"/>
              </w:rPr>
            </w:pPr>
          </w:p>
        </w:tc>
      </w:tr>
      <w:tr w14:paraId="21387F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70" w:type="pct"/>
            <w:vMerge w:val="continue"/>
            <w:tcBorders>
              <w:tl2br w:val="nil"/>
              <w:tr2bl w:val="nil"/>
            </w:tcBorders>
            <w:vAlign w:val="center"/>
          </w:tcPr>
          <w:p w14:paraId="162EB21E">
            <w:pPr>
              <w:pStyle w:val="41"/>
              <w:rPr>
                <w:color w:val="auto"/>
                <w:highlight w:val="none"/>
              </w:rPr>
            </w:pPr>
          </w:p>
        </w:tc>
        <w:tc>
          <w:tcPr>
            <w:tcW w:w="955" w:type="pct"/>
            <w:vMerge w:val="continue"/>
            <w:tcBorders>
              <w:tl2br w:val="nil"/>
              <w:tr2bl w:val="nil"/>
            </w:tcBorders>
            <w:vAlign w:val="center"/>
          </w:tcPr>
          <w:p w14:paraId="5FE21CF2">
            <w:pPr>
              <w:pStyle w:val="41"/>
              <w:rPr>
                <w:color w:val="auto"/>
                <w:highlight w:val="none"/>
              </w:rPr>
            </w:pPr>
          </w:p>
        </w:tc>
        <w:tc>
          <w:tcPr>
            <w:tcW w:w="2395" w:type="pct"/>
            <w:tcBorders>
              <w:tl2br w:val="nil"/>
              <w:tr2bl w:val="nil"/>
            </w:tcBorders>
            <w:vAlign w:val="center"/>
          </w:tcPr>
          <w:p w14:paraId="1E1CBA89">
            <w:pPr>
              <w:pStyle w:val="41"/>
              <w:rPr>
                <w:color w:val="auto"/>
                <w:highlight w:val="none"/>
              </w:rPr>
            </w:pPr>
            <w:r>
              <w:rPr>
                <w:rFonts w:hint="eastAsia"/>
                <w:color w:val="auto"/>
                <w:highlight w:val="none"/>
                <w:lang w:val="en-US" w:eastAsia="zh-CN"/>
              </w:rPr>
              <w:t>封闭式</w:t>
            </w:r>
            <w:r>
              <w:rPr>
                <w:color w:val="auto"/>
                <w:highlight w:val="none"/>
              </w:rPr>
              <w:t>精矿堆场</w:t>
            </w:r>
          </w:p>
        </w:tc>
        <w:tc>
          <w:tcPr>
            <w:tcW w:w="740" w:type="pct"/>
            <w:tcBorders>
              <w:tl2br w:val="nil"/>
              <w:tr2bl w:val="nil"/>
            </w:tcBorders>
            <w:vAlign w:val="center"/>
          </w:tcPr>
          <w:p w14:paraId="1CE07CC8">
            <w:pPr>
              <w:pStyle w:val="41"/>
              <w:rPr>
                <w:color w:val="auto"/>
                <w:highlight w:val="none"/>
              </w:rPr>
            </w:pPr>
            <w:r>
              <w:rPr>
                <w:rFonts w:hint="eastAsia"/>
                <w:color w:val="auto"/>
                <w:highlight w:val="none"/>
              </w:rPr>
              <w:t>300</w:t>
            </w:r>
          </w:p>
        </w:tc>
        <w:tc>
          <w:tcPr>
            <w:tcW w:w="639" w:type="pct"/>
            <w:tcBorders>
              <w:tl2br w:val="nil"/>
              <w:tr2bl w:val="nil"/>
            </w:tcBorders>
            <w:vAlign w:val="center"/>
          </w:tcPr>
          <w:p w14:paraId="7D6DA349">
            <w:pPr>
              <w:pStyle w:val="41"/>
              <w:rPr>
                <w:rFonts w:hint="eastAsia"/>
                <w:color w:val="auto"/>
                <w:highlight w:val="none"/>
              </w:rPr>
            </w:pPr>
          </w:p>
        </w:tc>
      </w:tr>
      <w:tr w14:paraId="35B224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70" w:type="pct"/>
            <w:vMerge w:val="continue"/>
            <w:tcBorders>
              <w:tl2br w:val="nil"/>
              <w:tr2bl w:val="nil"/>
            </w:tcBorders>
            <w:vAlign w:val="center"/>
          </w:tcPr>
          <w:p w14:paraId="176AB541">
            <w:pPr>
              <w:pStyle w:val="41"/>
              <w:rPr>
                <w:color w:val="auto"/>
                <w:highlight w:val="none"/>
              </w:rPr>
            </w:pPr>
          </w:p>
        </w:tc>
        <w:tc>
          <w:tcPr>
            <w:tcW w:w="955" w:type="pct"/>
            <w:vMerge w:val="continue"/>
            <w:tcBorders>
              <w:tl2br w:val="nil"/>
              <w:tr2bl w:val="nil"/>
            </w:tcBorders>
            <w:vAlign w:val="center"/>
          </w:tcPr>
          <w:p w14:paraId="2FF925BA">
            <w:pPr>
              <w:pStyle w:val="41"/>
              <w:rPr>
                <w:color w:val="auto"/>
                <w:highlight w:val="none"/>
              </w:rPr>
            </w:pPr>
          </w:p>
        </w:tc>
        <w:tc>
          <w:tcPr>
            <w:tcW w:w="2395" w:type="pct"/>
            <w:tcBorders>
              <w:tl2br w:val="nil"/>
              <w:tr2bl w:val="nil"/>
            </w:tcBorders>
            <w:vAlign w:val="center"/>
          </w:tcPr>
          <w:p w14:paraId="4A53B4DD">
            <w:pPr>
              <w:pStyle w:val="41"/>
              <w:rPr>
                <w:rFonts w:hint="default"/>
                <w:color w:val="auto"/>
                <w:highlight w:val="none"/>
                <w:lang w:val="en-US" w:eastAsia="zh-CN"/>
              </w:rPr>
            </w:pPr>
            <w:r>
              <w:rPr>
                <w:rFonts w:hint="eastAsia"/>
                <w:color w:val="auto"/>
                <w:highlight w:val="none"/>
                <w:lang w:val="en-US" w:eastAsia="zh-CN"/>
              </w:rPr>
              <w:t>生物质炉窑：</w:t>
            </w:r>
            <w:r>
              <w:rPr>
                <w:rFonts w:hint="eastAsia"/>
                <w:color w:val="auto"/>
                <w:highlight w:val="none"/>
              </w:rPr>
              <w:t>布袋除尘器除尘+双碱法脱硫</w:t>
            </w:r>
          </w:p>
        </w:tc>
        <w:tc>
          <w:tcPr>
            <w:tcW w:w="740" w:type="pct"/>
            <w:tcBorders>
              <w:tl2br w:val="nil"/>
              <w:tr2bl w:val="nil"/>
            </w:tcBorders>
            <w:vAlign w:val="center"/>
          </w:tcPr>
          <w:p w14:paraId="47A5210E">
            <w:pPr>
              <w:pStyle w:val="41"/>
              <w:rPr>
                <w:rFonts w:hint="default"/>
                <w:color w:val="auto"/>
                <w:highlight w:val="none"/>
                <w:lang w:val="en-US" w:eastAsia="zh-CN"/>
              </w:rPr>
            </w:pPr>
            <w:r>
              <w:rPr>
                <w:rFonts w:hint="eastAsia"/>
                <w:color w:val="auto"/>
                <w:highlight w:val="none"/>
                <w:lang w:val="en-US" w:eastAsia="zh-CN"/>
              </w:rPr>
              <w:t>12</w:t>
            </w:r>
          </w:p>
        </w:tc>
        <w:tc>
          <w:tcPr>
            <w:tcW w:w="639" w:type="pct"/>
            <w:tcBorders>
              <w:tl2br w:val="nil"/>
              <w:tr2bl w:val="nil"/>
            </w:tcBorders>
            <w:vAlign w:val="center"/>
          </w:tcPr>
          <w:p w14:paraId="01B006DD">
            <w:pPr>
              <w:pStyle w:val="41"/>
              <w:rPr>
                <w:rFonts w:hint="eastAsia"/>
                <w:color w:val="auto"/>
                <w:highlight w:val="none"/>
                <w:lang w:val="en-US" w:eastAsia="zh-CN"/>
              </w:rPr>
            </w:pPr>
          </w:p>
        </w:tc>
      </w:tr>
      <w:tr w14:paraId="00F9E6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70" w:type="pct"/>
            <w:vMerge w:val="continue"/>
            <w:tcBorders>
              <w:tl2br w:val="nil"/>
              <w:tr2bl w:val="nil"/>
            </w:tcBorders>
            <w:vAlign w:val="center"/>
          </w:tcPr>
          <w:p w14:paraId="4E2303DD">
            <w:pPr>
              <w:pStyle w:val="41"/>
              <w:rPr>
                <w:color w:val="auto"/>
                <w:highlight w:val="none"/>
              </w:rPr>
            </w:pPr>
          </w:p>
        </w:tc>
        <w:tc>
          <w:tcPr>
            <w:tcW w:w="955" w:type="pct"/>
            <w:vMerge w:val="continue"/>
            <w:tcBorders>
              <w:tl2br w:val="nil"/>
              <w:tr2bl w:val="nil"/>
            </w:tcBorders>
            <w:vAlign w:val="center"/>
          </w:tcPr>
          <w:p w14:paraId="2AEDB4C5">
            <w:pPr>
              <w:pStyle w:val="41"/>
              <w:rPr>
                <w:color w:val="auto"/>
                <w:highlight w:val="none"/>
              </w:rPr>
            </w:pPr>
          </w:p>
        </w:tc>
        <w:tc>
          <w:tcPr>
            <w:tcW w:w="2395" w:type="pct"/>
            <w:tcBorders>
              <w:tl2br w:val="nil"/>
              <w:tr2bl w:val="nil"/>
            </w:tcBorders>
            <w:vAlign w:val="center"/>
          </w:tcPr>
          <w:p w14:paraId="652A24F3">
            <w:pPr>
              <w:pStyle w:val="41"/>
              <w:rPr>
                <w:rFonts w:hint="eastAsia"/>
                <w:color w:val="auto"/>
                <w:highlight w:val="none"/>
                <w:lang w:val="en-US" w:eastAsia="zh-CN"/>
              </w:rPr>
            </w:pPr>
            <w:r>
              <w:rPr>
                <w:rFonts w:hint="eastAsia"/>
                <w:color w:val="auto"/>
                <w:highlight w:val="none"/>
                <w:lang w:eastAsia="zh-CN"/>
              </w:rPr>
              <w:t>生产系统：</w:t>
            </w:r>
            <w:r>
              <w:rPr>
                <w:color w:val="auto"/>
                <w:highlight w:val="none"/>
              </w:rPr>
              <w:t>集气</w:t>
            </w:r>
            <w:r>
              <w:rPr>
                <w:rFonts w:hint="eastAsia"/>
                <w:color w:val="auto"/>
                <w:highlight w:val="none"/>
              </w:rPr>
              <w:t>罩</w:t>
            </w:r>
            <w:r>
              <w:rPr>
                <w:color w:val="auto"/>
                <w:highlight w:val="none"/>
              </w:rPr>
              <w:t>+布袋除尘器</w:t>
            </w:r>
            <w:r>
              <w:rPr>
                <w:rFonts w:hint="eastAsia"/>
                <w:color w:val="auto"/>
                <w:highlight w:val="none"/>
                <w:lang w:val="en-US" w:eastAsia="zh-CN"/>
              </w:rPr>
              <w:t>+排气筒</w:t>
            </w:r>
          </w:p>
        </w:tc>
        <w:tc>
          <w:tcPr>
            <w:tcW w:w="740" w:type="pct"/>
            <w:tcBorders>
              <w:tl2br w:val="nil"/>
              <w:tr2bl w:val="nil"/>
            </w:tcBorders>
            <w:vAlign w:val="center"/>
          </w:tcPr>
          <w:p w14:paraId="368FDE74">
            <w:pPr>
              <w:pStyle w:val="41"/>
              <w:rPr>
                <w:color w:val="auto"/>
                <w:highlight w:val="none"/>
              </w:rPr>
            </w:pPr>
            <w:r>
              <w:rPr>
                <w:rFonts w:hint="eastAsia"/>
                <w:color w:val="auto"/>
                <w:highlight w:val="none"/>
              </w:rPr>
              <w:t>1</w:t>
            </w:r>
            <w:r>
              <w:rPr>
                <w:rFonts w:hint="eastAsia"/>
                <w:color w:val="auto"/>
                <w:highlight w:val="none"/>
                <w:lang w:val="en-US" w:eastAsia="zh-CN"/>
              </w:rPr>
              <w:t>6</w:t>
            </w:r>
            <w:r>
              <w:rPr>
                <w:rFonts w:hint="eastAsia"/>
                <w:color w:val="auto"/>
                <w:highlight w:val="none"/>
              </w:rPr>
              <w:t>0</w:t>
            </w:r>
          </w:p>
        </w:tc>
        <w:tc>
          <w:tcPr>
            <w:tcW w:w="639" w:type="pct"/>
            <w:tcBorders>
              <w:tl2br w:val="nil"/>
              <w:tr2bl w:val="nil"/>
            </w:tcBorders>
            <w:vAlign w:val="center"/>
          </w:tcPr>
          <w:p w14:paraId="4FDA80B1">
            <w:pPr>
              <w:pStyle w:val="41"/>
              <w:rPr>
                <w:rFonts w:hint="eastAsia"/>
                <w:color w:val="auto"/>
                <w:highlight w:val="none"/>
              </w:rPr>
            </w:pPr>
          </w:p>
        </w:tc>
      </w:tr>
      <w:tr w14:paraId="19B623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70" w:type="pct"/>
            <w:vMerge w:val="continue"/>
            <w:tcBorders>
              <w:tl2br w:val="nil"/>
              <w:tr2bl w:val="nil"/>
            </w:tcBorders>
            <w:vAlign w:val="center"/>
          </w:tcPr>
          <w:p w14:paraId="6B85127A">
            <w:pPr>
              <w:pStyle w:val="41"/>
              <w:rPr>
                <w:color w:val="auto"/>
                <w:highlight w:val="none"/>
              </w:rPr>
            </w:pPr>
          </w:p>
        </w:tc>
        <w:tc>
          <w:tcPr>
            <w:tcW w:w="955" w:type="pct"/>
            <w:vMerge w:val="continue"/>
            <w:tcBorders>
              <w:tl2br w:val="nil"/>
              <w:tr2bl w:val="nil"/>
            </w:tcBorders>
            <w:vAlign w:val="center"/>
          </w:tcPr>
          <w:p w14:paraId="3146C81A">
            <w:pPr>
              <w:pStyle w:val="41"/>
              <w:rPr>
                <w:color w:val="auto"/>
                <w:highlight w:val="none"/>
              </w:rPr>
            </w:pPr>
          </w:p>
        </w:tc>
        <w:tc>
          <w:tcPr>
            <w:tcW w:w="2395" w:type="pct"/>
            <w:tcBorders>
              <w:tl2br w:val="nil"/>
              <w:tr2bl w:val="nil"/>
            </w:tcBorders>
            <w:vAlign w:val="center"/>
          </w:tcPr>
          <w:p w14:paraId="72BFCF82">
            <w:pPr>
              <w:pStyle w:val="41"/>
              <w:rPr>
                <w:rFonts w:hint="eastAsia"/>
                <w:color w:val="auto"/>
                <w:highlight w:val="none"/>
                <w:lang w:eastAsia="zh-CN"/>
              </w:rPr>
            </w:pPr>
            <w:r>
              <w:rPr>
                <w:rFonts w:hint="eastAsia"/>
                <w:color w:val="auto"/>
                <w:highlight w:val="none"/>
                <w:lang w:eastAsia="zh-CN"/>
              </w:rPr>
              <w:t>车辆篷布遮盖、洒水降尘</w:t>
            </w:r>
          </w:p>
        </w:tc>
        <w:tc>
          <w:tcPr>
            <w:tcW w:w="740" w:type="pct"/>
            <w:tcBorders>
              <w:tl2br w:val="nil"/>
              <w:tr2bl w:val="nil"/>
            </w:tcBorders>
            <w:vAlign w:val="center"/>
          </w:tcPr>
          <w:p w14:paraId="668A244A">
            <w:pPr>
              <w:pStyle w:val="41"/>
              <w:rPr>
                <w:color w:val="auto"/>
                <w:highlight w:val="none"/>
              </w:rPr>
            </w:pPr>
            <w:r>
              <w:rPr>
                <w:rFonts w:hint="eastAsia"/>
                <w:color w:val="auto"/>
                <w:highlight w:val="none"/>
              </w:rPr>
              <w:t>20</w:t>
            </w:r>
          </w:p>
        </w:tc>
        <w:tc>
          <w:tcPr>
            <w:tcW w:w="639" w:type="pct"/>
            <w:tcBorders>
              <w:tl2br w:val="nil"/>
              <w:tr2bl w:val="nil"/>
            </w:tcBorders>
            <w:vAlign w:val="center"/>
          </w:tcPr>
          <w:p w14:paraId="7E5A8771">
            <w:pPr>
              <w:pStyle w:val="41"/>
              <w:rPr>
                <w:rFonts w:hint="eastAsia"/>
                <w:color w:val="auto"/>
                <w:highlight w:val="none"/>
              </w:rPr>
            </w:pPr>
          </w:p>
        </w:tc>
      </w:tr>
      <w:tr w14:paraId="5CA6F0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70" w:type="pct"/>
            <w:vMerge w:val="continue"/>
            <w:tcBorders>
              <w:tl2br w:val="nil"/>
              <w:tr2bl w:val="nil"/>
            </w:tcBorders>
            <w:vAlign w:val="center"/>
          </w:tcPr>
          <w:p w14:paraId="4693AA33">
            <w:pPr>
              <w:pStyle w:val="41"/>
              <w:rPr>
                <w:color w:val="auto"/>
                <w:highlight w:val="none"/>
              </w:rPr>
            </w:pPr>
          </w:p>
        </w:tc>
        <w:tc>
          <w:tcPr>
            <w:tcW w:w="955" w:type="pct"/>
            <w:vMerge w:val="restart"/>
            <w:tcBorders>
              <w:tl2br w:val="nil"/>
              <w:tr2bl w:val="nil"/>
            </w:tcBorders>
            <w:vAlign w:val="center"/>
          </w:tcPr>
          <w:p w14:paraId="71E668AC">
            <w:pPr>
              <w:pStyle w:val="41"/>
              <w:rPr>
                <w:color w:val="auto"/>
                <w:highlight w:val="none"/>
              </w:rPr>
            </w:pPr>
            <w:r>
              <w:rPr>
                <w:color w:val="auto"/>
                <w:highlight w:val="none"/>
              </w:rPr>
              <w:t>废水</w:t>
            </w:r>
          </w:p>
        </w:tc>
        <w:tc>
          <w:tcPr>
            <w:tcW w:w="2395" w:type="pct"/>
            <w:tcBorders>
              <w:tl2br w:val="nil"/>
              <w:tr2bl w:val="nil"/>
            </w:tcBorders>
            <w:vAlign w:val="center"/>
          </w:tcPr>
          <w:p w14:paraId="48FB5F97">
            <w:pPr>
              <w:pStyle w:val="41"/>
              <w:rPr>
                <w:color w:val="auto"/>
                <w:highlight w:val="none"/>
              </w:rPr>
            </w:pPr>
            <w:r>
              <w:rPr>
                <w:rFonts w:hint="eastAsia"/>
                <w:color w:val="auto"/>
                <w:highlight w:val="none"/>
              </w:rPr>
              <w:t>选矿厂</w:t>
            </w:r>
            <w:r>
              <w:rPr>
                <w:color w:val="auto"/>
                <w:highlight w:val="none"/>
              </w:rPr>
              <w:t>地埋式一体化污水处理设施</w:t>
            </w:r>
          </w:p>
        </w:tc>
        <w:tc>
          <w:tcPr>
            <w:tcW w:w="740" w:type="pct"/>
            <w:tcBorders>
              <w:tl2br w:val="nil"/>
              <w:tr2bl w:val="nil"/>
            </w:tcBorders>
            <w:vAlign w:val="center"/>
          </w:tcPr>
          <w:p w14:paraId="657839C6">
            <w:pPr>
              <w:pStyle w:val="41"/>
              <w:rPr>
                <w:rFonts w:hint="eastAsia"/>
                <w:color w:val="auto"/>
                <w:highlight w:val="none"/>
                <w:lang w:eastAsia="zh-CN"/>
              </w:rPr>
            </w:pPr>
            <w:r>
              <w:rPr>
                <w:rFonts w:hint="eastAsia"/>
                <w:color w:val="auto"/>
                <w:highlight w:val="none"/>
                <w:lang w:val="en-US" w:eastAsia="zh-CN"/>
              </w:rPr>
              <w:t>/</w:t>
            </w:r>
          </w:p>
        </w:tc>
        <w:tc>
          <w:tcPr>
            <w:tcW w:w="639" w:type="pct"/>
            <w:tcBorders>
              <w:tl2br w:val="nil"/>
              <w:tr2bl w:val="nil"/>
            </w:tcBorders>
            <w:vAlign w:val="center"/>
          </w:tcPr>
          <w:p w14:paraId="05B34E60">
            <w:pPr>
              <w:pStyle w:val="41"/>
              <w:rPr>
                <w:rFonts w:hint="default"/>
                <w:color w:val="auto"/>
                <w:highlight w:val="none"/>
                <w:lang w:val="en-US" w:eastAsia="zh-CN"/>
              </w:rPr>
            </w:pPr>
            <w:r>
              <w:rPr>
                <w:rFonts w:hint="eastAsia"/>
                <w:color w:val="auto"/>
                <w:highlight w:val="none"/>
                <w:lang w:val="en-US" w:eastAsia="zh-CN"/>
              </w:rPr>
              <w:t>依托现有</w:t>
            </w:r>
          </w:p>
        </w:tc>
      </w:tr>
      <w:tr w14:paraId="556EC7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70" w:type="pct"/>
            <w:vMerge w:val="continue"/>
            <w:tcBorders>
              <w:tl2br w:val="nil"/>
              <w:tr2bl w:val="nil"/>
            </w:tcBorders>
            <w:vAlign w:val="center"/>
          </w:tcPr>
          <w:p w14:paraId="24DE996D">
            <w:pPr>
              <w:pStyle w:val="41"/>
              <w:rPr>
                <w:color w:val="auto"/>
                <w:highlight w:val="none"/>
              </w:rPr>
            </w:pPr>
          </w:p>
        </w:tc>
        <w:tc>
          <w:tcPr>
            <w:tcW w:w="955" w:type="pct"/>
            <w:vMerge w:val="continue"/>
            <w:tcBorders>
              <w:tl2br w:val="nil"/>
              <w:tr2bl w:val="nil"/>
            </w:tcBorders>
            <w:vAlign w:val="center"/>
          </w:tcPr>
          <w:p w14:paraId="36A313F0">
            <w:pPr>
              <w:pStyle w:val="41"/>
              <w:rPr>
                <w:color w:val="auto"/>
                <w:highlight w:val="none"/>
              </w:rPr>
            </w:pPr>
          </w:p>
        </w:tc>
        <w:tc>
          <w:tcPr>
            <w:tcW w:w="2395" w:type="pct"/>
            <w:tcBorders>
              <w:tl2br w:val="nil"/>
              <w:tr2bl w:val="nil"/>
            </w:tcBorders>
            <w:vAlign w:val="center"/>
          </w:tcPr>
          <w:p w14:paraId="28538EC7">
            <w:pPr>
              <w:pStyle w:val="41"/>
              <w:rPr>
                <w:rFonts w:hint="eastAsia"/>
                <w:color w:val="auto"/>
                <w:highlight w:val="none"/>
                <w:lang w:eastAsia="zh-CN"/>
              </w:rPr>
            </w:pPr>
            <w:r>
              <w:rPr>
                <w:color w:val="auto"/>
                <w:highlight w:val="none"/>
              </w:rPr>
              <w:t>尾矿</w:t>
            </w:r>
            <w:r>
              <w:rPr>
                <w:rFonts w:hint="eastAsia"/>
                <w:color w:val="auto"/>
                <w:highlight w:val="none"/>
                <w:lang w:eastAsia="zh-CN"/>
              </w:rPr>
              <w:t>回水系统</w:t>
            </w:r>
          </w:p>
        </w:tc>
        <w:tc>
          <w:tcPr>
            <w:tcW w:w="740" w:type="pct"/>
            <w:tcBorders>
              <w:tl2br w:val="nil"/>
              <w:tr2bl w:val="nil"/>
            </w:tcBorders>
            <w:vAlign w:val="center"/>
          </w:tcPr>
          <w:p w14:paraId="16075153">
            <w:pPr>
              <w:pStyle w:val="41"/>
              <w:rPr>
                <w:color w:val="auto"/>
                <w:highlight w:val="none"/>
              </w:rPr>
            </w:pPr>
            <w:r>
              <w:rPr>
                <w:rFonts w:hint="eastAsia"/>
                <w:color w:val="auto"/>
                <w:highlight w:val="none"/>
              </w:rPr>
              <w:t>100</w:t>
            </w:r>
          </w:p>
        </w:tc>
        <w:tc>
          <w:tcPr>
            <w:tcW w:w="639" w:type="pct"/>
            <w:tcBorders>
              <w:tl2br w:val="nil"/>
              <w:tr2bl w:val="nil"/>
            </w:tcBorders>
            <w:vAlign w:val="center"/>
          </w:tcPr>
          <w:p w14:paraId="1B5D0E44">
            <w:pPr>
              <w:pStyle w:val="41"/>
              <w:rPr>
                <w:rFonts w:hint="eastAsia"/>
                <w:color w:val="auto"/>
                <w:highlight w:val="none"/>
              </w:rPr>
            </w:pPr>
          </w:p>
        </w:tc>
      </w:tr>
      <w:tr w14:paraId="381929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8" w:hRule="atLeast"/>
          <w:jc w:val="center"/>
        </w:trPr>
        <w:tc>
          <w:tcPr>
            <w:tcW w:w="270" w:type="pct"/>
            <w:vMerge w:val="continue"/>
            <w:tcBorders>
              <w:tl2br w:val="nil"/>
              <w:tr2bl w:val="nil"/>
            </w:tcBorders>
            <w:vAlign w:val="center"/>
          </w:tcPr>
          <w:p w14:paraId="73D3819A">
            <w:pPr>
              <w:pStyle w:val="41"/>
              <w:rPr>
                <w:color w:val="auto"/>
                <w:highlight w:val="none"/>
              </w:rPr>
            </w:pPr>
          </w:p>
        </w:tc>
        <w:tc>
          <w:tcPr>
            <w:tcW w:w="955" w:type="pct"/>
            <w:vMerge w:val="continue"/>
            <w:tcBorders>
              <w:tl2br w:val="nil"/>
              <w:tr2bl w:val="nil"/>
            </w:tcBorders>
            <w:vAlign w:val="center"/>
          </w:tcPr>
          <w:p w14:paraId="7D9D2601">
            <w:pPr>
              <w:pStyle w:val="41"/>
              <w:rPr>
                <w:color w:val="auto"/>
                <w:highlight w:val="none"/>
              </w:rPr>
            </w:pPr>
          </w:p>
        </w:tc>
        <w:tc>
          <w:tcPr>
            <w:tcW w:w="2395" w:type="pct"/>
            <w:tcBorders>
              <w:tl2br w:val="nil"/>
              <w:tr2bl w:val="nil"/>
            </w:tcBorders>
            <w:vAlign w:val="center"/>
          </w:tcPr>
          <w:p w14:paraId="1DC80E6B">
            <w:pPr>
              <w:pStyle w:val="41"/>
              <w:rPr>
                <w:color w:val="auto"/>
                <w:highlight w:val="none"/>
              </w:rPr>
            </w:pPr>
            <w:r>
              <w:rPr>
                <w:rFonts w:hint="eastAsia"/>
                <w:color w:val="auto"/>
                <w:highlight w:val="none"/>
              </w:rPr>
              <w:t>尾矿库环保应急事故池</w:t>
            </w:r>
          </w:p>
        </w:tc>
        <w:tc>
          <w:tcPr>
            <w:tcW w:w="740" w:type="pct"/>
            <w:tcBorders>
              <w:tl2br w:val="nil"/>
              <w:tr2bl w:val="nil"/>
            </w:tcBorders>
            <w:vAlign w:val="center"/>
          </w:tcPr>
          <w:p w14:paraId="72816243">
            <w:pPr>
              <w:pStyle w:val="41"/>
              <w:rPr>
                <w:rFonts w:hint="default"/>
                <w:color w:val="auto"/>
                <w:highlight w:val="none"/>
                <w:lang w:val="en-US" w:eastAsia="zh-CN"/>
              </w:rPr>
            </w:pPr>
            <w:r>
              <w:rPr>
                <w:rFonts w:hint="eastAsia"/>
                <w:color w:val="auto"/>
                <w:highlight w:val="none"/>
                <w:lang w:val="en-US" w:eastAsia="zh-CN"/>
              </w:rPr>
              <w:t>105</w:t>
            </w:r>
          </w:p>
        </w:tc>
        <w:tc>
          <w:tcPr>
            <w:tcW w:w="639" w:type="pct"/>
            <w:tcBorders>
              <w:tl2br w:val="nil"/>
              <w:tr2bl w:val="nil"/>
            </w:tcBorders>
            <w:vAlign w:val="center"/>
          </w:tcPr>
          <w:p w14:paraId="7E944F75">
            <w:pPr>
              <w:pStyle w:val="41"/>
              <w:rPr>
                <w:rFonts w:hint="default"/>
                <w:color w:val="auto"/>
                <w:highlight w:val="none"/>
                <w:lang w:val="en-US"/>
              </w:rPr>
            </w:pPr>
          </w:p>
        </w:tc>
      </w:tr>
      <w:tr w14:paraId="008888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8" w:hRule="atLeast"/>
          <w:jc w:val="center"/>
        </w:trPr>
        <w:tc>
          <w:tcPr>
            <w:tcW w:w="270" w:type="pct"/>
            <w:vMerge w:val="continue"/>
            <w:tcBorders>
              <w:tl2br w:val="nil"/>
              <w:tr2bl w:val="nil"/>
            </w:tcBorders>
            <w:vAlign w:val="center"/>
          </w:tcPr>
          <w:p w14:paraId="0C6BA20C">
            <w:pPr>
              <w:pStyle w:val="41"/>
              <w:rPr>
                <w:color w:val="auto"/>
                <w:highlight w:val="none"/>
              </w:rPr>
            </w:pPr>
          </w:p>
        </w:tc>
        <w:tc>
          <w:tcPr>
            <w:tcW w:w="955" w:type="pct"/>
            <w:vMerge w:val="continue"/>
            <w:tcBorders>
              <w:tl2br w:val="nil"/>
              <w:tr2bl w:val="nil"/>
            </w:tcBorders>
            <w:vAlign w:val="center"/>
          </w:tcPr>
          <w:p w14:paraId="023C5854">
            <w:pPr>
              <w:pStyle w:val="41"/>
              <w:rPr>
                <w:color w:val="auto"/>
                <w:highlight w:val="none"/>
              </w:rPr>
            </w:pPr>
          </w:p>
        </w:tc>
        <w:tc>
          <w:tcPr>
            <w:tcW w:w="2395" w:type="pct"/>
            <w:tcBorders>
              <w:tl2br w:val="nil"/>
              <w:tr2bl w:val="nil"/>
            </w:tcBorders>
            <w:vAlign w:val="center"/>
          </w:tcPr>
          <w:p w14:paraId="2C8FF8E4">
            <w:pPr>
              <w:pStyle w:val="41"/>
              <w:rPr>
                <w:rFonts w:hint="eastAsia"/>
                <w:color w:val="auto"/>
                <w:highlight w:val="none"/>
              </w:rPr>
            </w:pPr>
            <w:r>
              <w:rPr>
                <w:color w:val="auto"/>
                <w:highlight w:val="none"/>
              </w:rPr>
              <w:t>尾矿库防</w:t>
            </w:r>
            <w:r>
              <w:rPr>
                <w:rFonts w:hint="eastAsia"/>
                <w:color w:val="auto"/>
                <w:highlight w:val="none"/>
                <w:lang w:eastAsia="zh-CN"/>
              </w:rPr>
              <w:t>排、</w:t>
            </w:r>
            <w:r>
              <w:rPr>
                <w:color w:val="auto"/>
                <w:highlight w:val="none"/>
              </w:rPr>
              <w:t>渗系统</w:t>
            </w:r>
          </w:p>
        </w:tc>
        <w:tc>
          <w:tcPr>
            <w:tcW w:w="740" w:type="pct"/>
            <w:tcBorders>
              <w:tl2br w:val="nil"/>
              <w:tr2bl w:val="nil"/>
            </w:tcBorders>
            <w:vAlign w:val="center"/>
          </w:tcPr>
          <w:p w14:paraId="6FBE3C99">
            <w:pPr>
              <w:pStyle w:val="41"/>
              <w:rPr>
                <w:rFonts w:hint="default"/>
                <w:color w:val="auto"/>
                <w:highlight w:val="none"/>
                <w:lang w:val="en-US"/>
              </w:rPr>
            </w:pPr>
            <w:r>
              <w:rPr>
                <w:rFonts w:hint="eastAsia"/>
                <w:color w:val="auto"/>
                <w:highlight w:val="none"/>
              </w:rPr>
              <w:t>4398.05</w:t>
            </w:r>
          </w:p>
        </w:tc>
        <w:tc>
          <w:tcPr>
            <w:tcW w:w="639" w:type="pct"/>
            <w:tcBorders>
              <w:tl2br w:val="nil"/>
              <w:tr2bl w:val="nil"/>
            </w:tcBorders>
            <w:vAlign w:val="center"/>
          </w:tcPr>
          <w:p w14:paraId="73EF34F0">
            <w:pPr>
              <w:pStyle w:val="41"/>
              <w:rPr>
                <w:rFonts w:hint="default"/>
                <w:color w:val="auto"/>
                <w:highlight w:val="none"/>
                <w:lang w:val="en-US"/>
              </w:rPr>
            </w:pPr>
          </w:p>
        </w:tc>
      </w:tr>
      <w:tr w14:paraId="1CA57B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70" w:type="pct"/>
            <w:vMerge w:val="continue"/>
            <w:tcBorders>
              <w:tl2br w:val="nil"/>
              <w:tr2bl w:val="nil"/>
            </w:tcBorders>
            <w:vAlign w:val="center"/>
          </w:tcPr>
          <w:p w14:paraId="79927A22">
            <w:pPr>
              <w:pStyle w:val="41"/>
              <w:rPr>
                <w:color w:val="auto"/>
                <w:highlight w:val="none"/>
              </w:rPr>
            </w:pPr>
          </w:p>
        </w:tc>
        <w:tc>
          <w:tcPr>
            <w:tcW w:w="955" w:type="pct"/>
            <w:tcBorders>
              <w:tl2br w:val="nil"/>
              <w:tr2bl w:val="nil"/>
            </w:tcBorders>
            <w:vAlign w:val="center"/>
          </w:tcPr>
          <w:p w14:paraId="6EEA8242">
            <w:pPr>
              <w:pStyle w:val="41"/>
              <w:rPr>
                <w:color w:val="auto"/>
                <w:highlight w:val="none"/>
              </w:rPr>
            </w:pPr>
            <w:r>
              <w:rPr>
                <w:color w:val="auto"/>
                <w:highlight w:val="none"/>
              </w:rPr>
              <w:t>噪声</w:t>
            </w:r>
          </w:p>
        </w:tc>
        <w:tc>
          <w:tcPr>
            <w:tcW w:w="2395" w:type="pct"/>
            <w:tcBorders>
              <w:tl2br w:val="nil"/>
              <w:tr2bl w:val="nil"/>
            </w:tcBorders>
            <w:vAlign w:val="center"/>
          </w:tcPr>
          <w:p w14:paraId="0D81811D">
            <w:pPr>
              <w:pStyle w:val="41"/>
              <w:rPr>
                <w:color w:val="auto"/>
                <w:highlight w:val="none"/>
              </w:rPr>
            </w:pPr>
            <w:r>
              <w:rPr>
                <w:color w:val="auto"/>
                <w:highlight w:val="none"/>
              </w:rPr>
              <w:t>高噪声设备进行基础减振，设备养护</w:t>
            </w:r>
          </w:p>
        </w:tc>
        <w:tc>
          <w:tcPr>
            <w:tcW w:w="740" w:type="pct"/>
            <w:tcBorders>
              <w:tl2br w:val="nil"/>
              <w:tr2bl w:val="nil"/>
            </w:tcBorders>
            <w:vAlign w:val="center"/>
          </w:tcPr>
          <w:p w14:paraId="03127EBC">
            <w:pPr>
              <w:pStyle w:val="41"/>
              <w:rPr>
                <w:color w:val="auto"/>
                <w:highlight w:val="none"/>
              </w:rPr>
            </w:pPr>
            <w:r>
              <w:rPr>
                <w:rFonts w:hint="eastAsia"/>
                <w:color w:val="auto"/>
                <w:highlight w:val="none"/>
              </w:rPr>
              <w:t>20</w:t>
            </w:r>
          </w:p>
        </w:tc>
        <w:tc>
          <w:tcPr>
            <w:tcW w:w="639" w:type="pct"/>
            <w:tcBorders>
              <w:tl2br w:val="nil"/>
              <w:tr2bl w:val="nil"/>
            </w:tcBorders>
            <w:vAlign w:val="center"/>
          </w:tcPr>
          <w:p w14:paraId="4BA04E2B">
            <w:pPr>
              <w:pStyle w:val="41"/>
              <w:rPr>
                <w:rFonts w:hint="eastAsia"/>
                <w:color w:val="auto"/>
                <w:highlight w:val="none"/>
              </w:rPr>
            </w:pPr>
          </w:p>
        </w:tc>
      </w:tr>
      <w:tr w14:paraId="5D2444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270" w:type="pct"/>
            <w:vMerge w:val="continue"/>
            <w:tcBorders>
              <w:tl2br w:val="nil"/>
              <w:tr2bl w:val="nil"/>
            </w:tcBorders>
            <w:vAlign w:val="center"/>
          </w:tcPr>
          <w:p w14:paraId="6B1C6162">
            <w:pPr>
              <w:pStyle w:val="41"/>
              <w:rPr>
                <w:color w:val="auto"/>
                <w:highlight w:val="none"/>
              </w:rPr>
            </w:pPr>
          </w:p>
        </w:tc>
        <w:tc>
          <w:tcPr>
            <w:tcW w:w="955" w:type="pct"/>
            <w:vMerge w:val="restart"/>
            <w:tcBorders>
              <w:tl2br w:val="nil"/>
              <w:tr2bl w:val="nil"/>
            </w:tcBorders>
            <w:vAlign w:val="center"/>
          </w:tcPr>
          <w:p w14:paraId="23CC405C">
            <w:pPr>
              <w:pStyle w:val="41"/>
              <w:rPr>
                <w:color w:val="auto"/>
                <w:highlight w:val="none"/>
              </w:rPr>
            </w:pPr>
            <w:r>
              <w:rPr>
                <w:color w:val="auto"/>
                <w:highlight w:val="none"/>
              </w:rPr>
              <w:t>固体废物</w:t>
            </w:r>
          </w:p>
        </w:tc>
        <w:tc>
          <w:tcPr>
            <w:tcW w:w="2395" w:type="pct"/>
            <w:tcBorders>
              <w:tl2br w:val="nil"/>
              <w:tr2bl w:val="nil"/>
            </w:tcBorders>
            <w:vAlign w:val="center"/>
          </w:tcPr>
          <w:p w14:paraId="3E837C19">
            <w:pPr>
              <w:pStyle w:val="41"/>
              <w:rPr>
                <w:color w:val="auto"/>
                <w:highlight w:val="none"/>
              </w:rPr>
            </w:pPr>
            <w:r>
              <w:rPr>
                <w:color w:val="auto"/>
                <w:highlight w:val="none"/>
              </w:rPr>
              <w:t>危废贮存点</w:t>
            </w:r>
          </w:p>
        </w:tc>
        <w:tc>
          <w:tcPr>
            <w:tcW w:w="740" w:type="pct"/>
            <w:tcBorders>
              <w:tl2br w:val="nil"/>
              <w:tr2bl w:val="nil"/>
            </w:tcBorders>
            <w:vAlign w:val="center"/>
          </w:tcPr>
          <w:p w14:paraId="1B8629C3">
            <w:pPr>
              <w:pStyle w:val="41"/>
              <w:rPr>
                <w:color w:val="auto"/>
                <w:highlight w:val="none"/>
              </w:rPr>
            </w:pPr>
            <w:r>
              <w:rPr>
                <w:rFonts w:hint="eastAsia"/>
                <w:color w:val="auto"/>
                <w:highlight w:val="none"/>
                <w:lang w:val="en-US" w:eastAsia="zh-CN"/>
              </w:rPr>
              <w:t>/</w:t>
            </w:r>
          </w:p>
        </w:tc>
        <w:tc>
          <w:tcPr>
            <w:tcW w:w="639" w:type="pct"/>
            <w:tcBorders>
              <w:tl2br w:val="nil"/>
              <w:tr2bl w:val="nil"/>
            </w:tcBorders>
            <w:vAlign w:val="center"/>
          </w:tcPr>
          <w:p w14:paraId="622D24CB">
            <w:pPr>
              <w:pStyle w:val="41"/>
              <w:rPr>
                <w:rFonts w:hint="eastAsia"/>
                <w:color w:val="auto"/>
                <w:highlight w:val="none"/>
              </w:rPr>
            </w:pPr>
            <w:r>
              <w:rPr>
                <w:rFonts w:hint="eastAsia"/>
                <w:color w:val="auto"/>
                <w:highlight w:val="none"/>
                <w:lang w:val="en-US" w:eastAsia="zh-CN"/>
              </w:rPr>
              <w:t>依托现有</w:t>
            </w:r>
          </w:p>
        </w:tc>
      </w:tr>
      <w:tr w14:paraId="64D3D7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70" w:type="pct"/>
            <w:vMerge w:val="continue"/>
            <w:tcBorders>
              <w:tl2br w:val="nil"/>
              <w:tr2bl w:val="nil"/>
            </w:tcBorders>
            <w:vAlign w:val="center"/>
          </w:tcPr>
          <w:p w14:paraId="08D59843">
            <w:pPr>
              <w:pStyle w:val="41"/>
              <w:rPr>
                <w:color w:val="auto"/>
                <w:highlight w:val="none"/>
              </w:rPr>
            </w:pPr>
          </w:p>
        </w:tc>
        <w:tc>
          <w:tcPr>
            <w:tcW w:w="955" w:type="pct"/>
            <w:vMerge w:val="continue"/>
            <w:tcBorders>
              <w:tl2br w:val="nil"/>
              <w:tr2bl w:val="nil"/>
            </w:tcBorders>
            <w:vAlign w:val="center"/>
          </w:tcPr>
          <w:p w14:paraId="710085DC">
            <w:pPr>
              <w:pStyle w:val="41"/>
              <w:rPr>
                <w:color w:val="auto"/>
                <w:highlight w:val="none"/>
              </w:rPr>
            </w:pPr>
          </w:p>
        </w:tc>
        <w:tc>
          <w:tcPr>
            <w:tcW w:w="2395" w:type="pct"/>
            <w:tcBorders>
              <w:tl2br w:val="nil"/>
              <w:tr2bl w:val="nil"/>
            </w:tcBorders>
            <w:vAlign w:val="center"/>
          </w:tcPr>
          <w:p w14:paraId="44AC7D7B">
            <w:pPr>
              <w:pStyle w:val="41"/>
              <w:rPr>
                <w:color w:val="auto"/>
                <w:highlight w:val="none"/>
              </w:rPr>
            </w:pPr>
          </w:p>
        </w:tc>
        <w:tc>
          <w:tcPr>
            <w:tcW w:w="740" w:type="pct"/>
            <w:tcBorders>
              <w:tl2br w:val="nil"/>
              <w:tr2bl w:val="nil"/>
            </w:tcBorders>
            <w:vAlign w:val="center"/>
          </w:tcPr>
          <w:p w14:paraId="59F9FE4C">
            <w:pPr>
              <w:pStyle w:val="41"/>
              <w:rPr>
                <w:color w:val="auto"/>
                <w:highlight w:val="none"/>
              </w:rPr>
            </w:pPr>
          </w:p>
        </w:tc>
        <w:tc>
          <w:tcPr>
            <w:tcW w:w="639" w:type="pct"/>
            <w:tcBorders>
              <w:tl2br w:val="nil"/>
              <w:tr2bl w:val="nil"/>
            </w:tcBorders>
            <w:vAlign w:val="center"/>
          </w:tcPr>
          <w:p w14:paraId="0AB89B28">
            <w:pPr>
              <w:pStyle w:val="41"/>
              <w:rPr>
                <w:color w:val="auto"/>
                <w:highlight w:val="none"/>
              </w:rPr>
            </w:pPr>
          </w:p>
        </w:tc>
      </w:tr>
      <w:tr w14:paraId="700A9E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70" w:type="pct"/>
            <w:vMerge w:val="continue"/>
            <w:tcBorders>
              <w:tl2br w:val="nil"/>
              <w:tr2bl w:val="nil"/>
            </w:tcBorders>
            <w:vAlign w:val="center"/>
          </w:tcPr>
          <w:p w14:paraId="3DECF2BE">
            <w:pPr>
              <w:pStyle w:val="41"/>
              <w:rPr>
                <w:color w:val="auto"/>
                <w:highlight w:val="none"/>
              </w:rPr>
            </w:pPr>
          </w:p>
        </w:tc>
        <w:tc>
          <w:tcPr>
            <w:tcW w:w="955" w:type="pct"/>
            <w:tcBorders>
              <w:tl2br w:val="nil"/>
              <w:tr2bl w:val="nil"/>
            </w:tcBorders>
            <w:vAlign w:val="center"/>
          </w:tcPr>
          <w:p w14:paraId="45398F8A">
            <w:pPr>
              <w:pStyle w:val="41"/>
              <w:rPr>
                <w:color w:val="auto"/>
                <w:highlight w:val="none"/>
              </w:rPr>
            </w:pPr>
            <w:r>
              <w:rPr>
                <w:rFonts w:hint="eastAsia"/>
                <w:color w:val="auto"/>
                <w:highlight w:val="none"/>
              </w:rPr>
              <w:t>生态环境</w:t>
            </w:r>
            <w:r>
              <w:rPr>
                <w:rFonts w:hint="eastAsia"/>
                <w:color w:val="auto"/>
                <w:highlight w:val="none"/>
                <w:lang w:eastAsia="zh-CN"/>
              </w:rPr>
              <w:t>、</w:t>
            </w:r>
            <w:r>
              <w:rPr>
                <w:color w:val="auto"/>
                <w:highlight w:val="none"/>
              </w:rPr>
              <w:t>水土保持</w:t>
            </w:r>
          </w:p>
        </w:tc>
        <w:tc>
          <w:tcPr>
            <w:tcW w:w="2395" w:type="pct"/>
            <w:tcBorders>
              <w:tl2br w:val="nil"/>
              <w:tr2bl w:val="nil"/>
            </w:tcBorders>
            <w:vAlign w:val="center"/>
          </w:tcPr>
          <w:p w14:paraId="3DFC0260">
            <w:pPr>
              <w:pStyle w:val="41"/>
              <w:rPr>
                <w:color w:val="auto"/>
                <w:highlight w:val="none"/>
              </w:rPr>
            </w:pPr>
            <w:r>
              <w:rPr>
                <w:color w:val="auto"/>
                <w:highlight w:val="none"/>
              </w:rPr>
              <w:t>恢复植被、绿化</w:t>
            </w:r>
          </w:p>
        </w:tc>
        <w:tc>
          <w:tcPr>
            <w:tcW w:w="740" w:type="pct"/>
            <w:tcBorders>
              <w:tl2br w:val="nil"/>
              <w:tr2bl w:val="nil"/>
            </w:tcBorders>
            <w:vAlign w:val="center"/>
          </w:tcPr>
          <w:p w14:paraId="3B4E0473">
            <w:pPr>
              <w:pStyle w:val="41"/>
              <w:rPr>
                <w:color w:val="auto"/>
                <w:highlight w:val="none"/>
              </w:rPr>
            </w:pPr>
            <w:r>
              <w:rPr>
                <w:rFonts w:hint="eastAsia"/>
                <w:color w:val="auto"/>
                <w:highlight w:val="none"/>
              </w:rPr>
              <w:t>85</w:t>
            </w:r>
          </w:p>
        </w:tc>
        <w:tc>
          <w:tcPr>
            <w:tcW w:w="639" w:type="pct"/>
            <w:tcBorders>
              <w:tl2br w:val="nil"/>
              <w:tr2bl w:val="nil"/>
            </w:tcBorders>
            <w:vAlign w:val="center"/>
          </w:tcPr>
          <w:p w14:paraId="181B11ED">
            <w:pPr>
              <w:pStyle w:val="41"/>
              <w:rPr>
                <w:rFonts w:hint="eastAsia"/>
                <w:color w:val="auto"/>
                <w:highlight w:val="none"/>
              </w:rPr>
            </w:pPr>
          </w:p>
        </w:tc>
      </w:tr>
      <w:tr w14:paraId="389696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70" w:type="pct"/>
            <w:vMerge w:val="continue"/>
            <w:tcBorders>
              <w:tl2br w:val="nil"/>
              <w:tr2bl w:val="nil"/>
            </w:tcBorders>
            <w:vAlign w:val="center"/>
          </w:tcPr>
          <w:p w14:paraId="53A89B47">
            <w:pPr>
              <w:pStyle w:val="41"/>
              <w:rPr>
                <w:color w:val="auto"/>
                <w:highlight w:val="none"/>
              </w:rPr>
            </w:pPr>
          </w:p>
        </w:tc>
        <w:tc>
          <w:tcPr>
            <w:tcW w:w="955" w:type="pct"/>
            <w:tcBorders>
              <w:tl2br w:val="nil"/>
              <w:tr2bl w:val="nil"/>
            </w:tcBorders>
            <w:vAlign w:val="center"/>
          </w:tcPr>
          <w:p w14:paraId="0ADC69A1">
            <w:pPr>
              <w:pStyle w:val="41"/>
              <w:rPr>
                <w:color w:val="auto"/>
                <w:highlight w:val="none"/>
              </w:rPr>
            </w:pPr>
            <w:r>
              <w:rPr>
                <w:color w:val="auto"/>
                <w:highlight w:val="none"/>
              </w:rPr>
              <w:t>环境风险</w:t>
            </w:r>
          </w:p>
        </w:tc>
        <w:tc>
          <w:tcPr>
            <w:tcW w:w="2395" w:type="pct"/>
            <w:tcBorders>
              <w:tl2br w:val="nil"/>
              <w:tr2bl w:val="nil"/>
            </w:tcBorders>
            <w:vAlign w:val="center"/>
          </w:tcPr>
          <w:p w14:paraId="7930632A">
            <w:pPr>
              <w:pStyle w:val="41"/>
              <w:rPr>
                <w:color w:val="auto"/>
                <w:highlight w:val="none"/>
              </w:rPr>
            </w:pPr>
            <w:r>
              <w:rPr>
                <w:color w:val="auto"/>
                <w:highlight w:val="none"/>
              </w:rPr>
              <w:t>尾矿库截</w:t>
            </w:r>
            <w:r>
              <w:rPr>
                <w:rFonts w:hint="eastAsia"/>
                <w:color w:val="auto"/>
                <w:highlight w:val="none"/>
                <w:lang w:eastAsia="zh-CN"/>
              </w:rPr>
              <w:t>、排水</w:t>
            </w:r>
            <w:r>
              <w:rPr>
                <w:color w:val="auto"/>
                <w:highlight w:val="none"/>
              </w:rPr>
              <w:t>沟、</w:t>
            </w:r>
            <w:r>
              <w:rPr>
                <w:rFonts w:hint="eastAsia"/>
                <w:color w:val="auto"/>
                <w:highlight w:val="none"/>
                <w:lang w:eastAsia="zh-CN"/>
              </w:rPr>
              <w:t>防洪系统</w:t>
            </w:r>
          </w:p>
        </w:tc>
        <w:tc>
          <w:tcPr>
            <w:tcW w:w="740" w:type="pct"/>
            <w:tcBorders>
              <w:tl2br w:val="nil"/>
              <w:tr2bl w:val="nil"/>
            </w:tcBorders>
            <w:vAlign w:val="center"/>
          </w:tcPr>
          <w:p w14:paraId="4D7B3C77">
            <w:pPr>
              <w:pStyle w:val="41"/>
              <w:rPr>
                <w:rFonts w:hint="default"/>
                <w:color w:val="auto"/>
                <w:highlight w:val="none"/>
                <w:lang w:val="en-US" w:eastAsia="zh-CN"/>
              </w:rPr>
            </w:pPr>
            <w:r>
              <w:rPr>
                <w:rFonts w:hint="eastAsia"/>
                <w:color w:val="auto"/>
                <w:highlight w:val="none"/>
                <w:lang w:val="en-US" w:eastAsia="zh-CN"/>
              </w:rPr>
              <w:t>956.55</w:t>
            </w:r>
          </w:p>
        </w:tc>
        <w:tc>
          <w:tcPr>
            <w:tcW w:w="639" w:type="pct"/>
            <w:tcBorders>
              <w:tl2br w:val="nil"/>
              <w:tr2bl w:val="nil"/>
            </w:tcBorders>
            <w:vAlign w:val="center"/>
          </w:tcPr>
          <w:p w14:paraId="17E1D917">
            <w:pPr>
              <w:pStyle w:val="41"/>
              <w:rPr>
                <w:rFonts w:hint="eastAsia"/>
                <w:color w:val="auto"/>
                <w:highlight w:val="none"/>
              </w:rPr>
            </w:pPr>
          </w:p>
        </w:tc>
      </w:tr>
      <w:tr w14:paraId="788B06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3620" w:type="pct"/>
            <w:gridSpan w:val="3"/>
            <w:tcBorders>
              <w:tl2br w:val="nil"/>
              <w:tr2bl w:val="nil"/>
            </w:tcBorders>
            <w:vAlign w:val="center"/>
          </w:tcPr>
          <w:p w14:paraId="70C13BD4">
            <w:pPr>
              <w:pStyle w:val="41"/>
              <w:rPr>
                <w:rFonts w:hint="eastAsia"/>
                <w:color w:val="auto"/>
                <w:highlight w:val="none"/>
              </w:rPr>
            </w:pPr>
            <w:r>
              <w:rPr>
                <w:rFonts w:hint="eastAsia"/>
                <w:color w:val="auto"/>
                <w:highlight w:val="none"/>
              </w:rPr>
              <w:t>环评、验收、环境管理</w:t>
            </w:r>
            <w:r>
              <w:rPr>
                <w:rFonts w:hint="eastAsia"/>
                <w:color w:val="auto"/>
                <w:highlight w:val="none"/>
                <w:lang w:eastAsia="zh-CN"/>
              </w:rPr>
              <w:t>、</w:t>
            </w:r>
            <w:r>
              <w:rPr>
                <w:rFonts w:hint="eastAsia"/>
                <w:color w:val="auto"/>
                <w:highlight w:val="none"/>
              </w:rPr>
              <w:t>环境监理、监测费用</w:t>
            </w:r>
          </w:p>
        </w:tc>
        <w:tc>
          <w:tcPr>
            <w:tcW w:w="740" w:type="pct"/>
            <w:tcBorders>
              <w:tl2br w:val="nil"/>
              <w:tr2bl w:val="nil"/>
            </w:tcBorders>
            <w:vAlign w:val="center"/>
          </w:tcPr>
          <w:p w14:paraId="4040B326">
            <w:pPr>
              <w:pStyle w:val="41"/>
              <w:rPr>
                <w:color w:val="auto"/>
                <w:highlight w:val="none"/>
              </w:rPr>
            </w:pPr>
            <w:r>
              <w:rPr>
                <w:rFonts w:hint="eastAsia"/>
                <w:color w:val="auto"/>
                <w:highlight w:val="none"/>
              </w:rPr>
              <w:t>110</w:t>
            </w:r>
          </w:p>
        </w:tc>
        <w:tc>
          <w:tcPr>
            <w:tcW w:w="639" w:type="pct"/>
            <w:tcBorders>
              <w:tl2br w:val="nil"/>
              <w:tr2bl w:val="nil"/>
            </w:tcBorders>
            <w:vAlign w:val="center"/>
          </w:tcPr>
          <w:p w14:paraId="16CCB692">
            <w:pPr>
              <w:pStyle w:val="41"/>
              <w:rPr>
                <w:rFonts w:hint="eastAsia"/>
                <w:color w:val="auto"/>
                <w:highlight w:val="none"/>
              </w:rPr>
            </w:pPr>
          </w:p>
        </w:tc>
      </w:tr>
      <w:tr w14:paraId="0AB6C2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3620" w:type="pct"/>
            <w:gridSpan w:val="3"/>
            <w:tcBorders>
              <w:tl2br w:val="nil"/>
              <w:tr2bl w:val="nil"/>
            </w:tcBorders>
            <w:vAlign w:val="center"/>
          </w:tcPr>
          <w:p w14:paraId="2A14E80F">
            <w:pPr>
              <w:pStyle w:val="41"/>
              <w:rPr>
                <w:color w:val="auto"/>
                <w:highlight w:val="none"/>
              </w:rPr>
            </w:pPr>
            <w:r>
              <w:rPr>
                <w:color w:val="auto"/>
                <w:highlight w:val="none"/>
              </w:rPr>
              <w:t>合计</w:t>
            </w:r>
          </w:p>
        </w:tc>
        <w:tc>
          <w:tcPr>
            <w:tcW w:w="740" w:type="pct"/>
            <w:tcBorders>
              <w:tl2br w:val="nil"/>
              <w:tr2bl w:val="nil"/>
            </w:tcBorders>
            <w:vAlign w:val="center"/>
          </w:tcPr>
          <w:p w14:paraId="7444B763">
            <w:pPr>
              <w:pStyle w:val="41"/>
              <w:rPr>
                <w:color w:val="auto"/>
                <w:highlight w:val="none"/>
              </w:rPr>
            </w:pPr>
            <w:r>
              <w:rPr>
                <w:rFonts w:hint="eastAsia"/>
                <w:color w:val="auto"/>
                <w:highlight w:val="none"/>
                <w:lang w:val="en-US" w:eastAsia="zh-CN"/>
              </w:rPr>
              <w:t>6446.6</w:t>
            </w:r>
          </w:p>
        </w:tc>
        <w:tc>
          <w:tcPr>
            <w:tcW w:w="639" w:type="pct"/>
            <w:tcBorders>
              <w:tl2br w:val="nil"/>
              <w:tr2bl w:val="nil"/>
            </w:tcBorders>
            <w:vAlign w:val="center"/>
          </w:tcPr>
          <w:p w14:paraId="322A7102">
            <w:pPr>
              <w:pStyle w:val="41"/>
              <w:rPr>
                <w:rFonts w:hint="eastAsia"/>
                <w:color w:val="auto"/>
                <w:highlight w:val="none"/>
              </w:rPr>
            </w:pPr>
          </w:p>
        </w:tc>
      </w:tr>
    </w:tbl>
    <w:p w14:paraId="01CF4E45">
      <w:pPr>
        <w:pStyle w:val="3"/>
        <w:ind w:firstLine="480"/>
        <w:rPr>
          <w:color w:val="auto"/>
          <w:highlight w:val="none"/>
        </w:rPr>
      </w:pPr>
      <w:r>
        <w:rPr>
          <w:color w:val="auto"/>
          <w:highlight w:val="none"/>
        </w:rPr>
        <w:t>综上所述，本项目具有较好的经济效益和社会效益，同时也对环境造成一定的负面影响。因此，一定要重视建设项目的环境保护工作，落实环境保护治理投资，其长期效益是显著的。</w:t>
      </w:r>
    </w:p>
    <w:p w14:paraId="08FA700E">
      <w:pPr>
        <w:pStyle w:val="3"/>
        <w:ind w:firstLine="480"/>
        <w:rPr>
          <w:color w:val="auto"/>
          <w:highlight w:val="none"/>
        </w:rPr>
      </w:pPr>
    </w:p>
    <w:p w14:paraId="0AA98B67">
      <w:pPr>
        <w:pStyle w:val="38"/>
        <w:rPr>
          <w:color w:val="auto"/>
          <w:highlight w:val="none"/>
        </w:rPr>
      </w:pPr>
      <w:bookmarkStart w:id="474" w:name="_Toc25055"/>
      <w:bookmarkStart w:id="475" w:name="_Toc18026"/>
      <w:r>
        <w:rPr>
          <w:color w:val="auto"/>
          <w:highlight w:val="none"/>
        </w:rPr>
        <w:t>环境管理与监测计划</w:t>
      </w:r>
      <w:bookmarkEnd w:id="474"/>
      <w:bookmarkEnd w:id="475"/>
    </w:p>
    <w:p w14:paraId="2555AF60">
      <w:pPr>
        <w:pStyle w:val="39"/>
        <w:rPr>
          <w:rFonts w:hint="default"/>
          <w:color w:val="auto"/>
          <w:highlight w:val="none"/>
        </w:rPr>
      </w:pPr>
      <w:bookmarkStart w:id="476" w:name="_Toc21445"/>
      <w:bookmarkStart w:id="477" w:name="_Toc32215"/>
      <w:bookmarkStart w:id="478" w:name="_Toc737"/>
      <w:r>
        <w:rPr>
          <w:rFonts w:hint="default"/>
          <w:color w:val="auto"/>
          <w:highlight w:val="none"/>
        </w:rPr>
        <w:t>环境管理</w:t>
      </w:r>
      <w:bookmarkEnd w:id="476"/>
      <w:bookmarkEnd w:id="477"/>
      <w:bookmarkEnd w:id="478"/>
    </w:p>
    <w:p w14:paraId="6335AC99">
      <w:pPr>
        <w:pStyle w:val="42"/>
        <w:rPr>
          <w:rFonts w:hint="default"/>
          <w:color w:val="auto"/>
          <w:highlight w:val="none"/>
        </w:rPr>
      </w:pPr>
      <w:r>
        <w:rPr>
          <w:rFonts w:hint="default"/>
          <w:color w:val="auto"/>
          <w:highlight w:val="none"/>
        </w:rPr>
        <w:t>施工期环境管理</w:t>
      </w:r>
    </w:p>
    <w:p w14:paraId="1D2B61C5">
      <w:pPr>
        <w:pStyle w:val="3"/>
        <w:ind w:firstLine="480"/>
        <w:rPr>
          <w:color w:val="auto"/>
          <w:highlight w:val="none"/>
        </w:rPr>
      </w:pPr>
      <w:r>
        <w:rPr>
          <w:color w:val="auto"/>
          <w:highlight w:val="none"/>
        </w:rPr>
        <w:t>施工期环境管理与环境监控主要</w:t>
      </w:r>
      <w:r>
        <w:rPr>
          <w:rFonts w:hint="eastAsia"/>
          <w:color w:val="auto"/>
          <w:highlight w:val="none"/>
        </w:rPr>
        <w:t>包括施工单位的环境管理机构</w:t>
      </w:r>
      <w:r>
        <w:rPr>
          <w:color w:val="auto"/>
          <w:highlight w:val="none"/>
        </w:rPr>
        <w:t>和任务、施工方案中有关环境监控计划的审查、环境监测方案的制定。</w:t>
      </w:r>
    </w:p>
    <w:p w14:paraId="24528388">
      <w:pPr>
        <w:pStyle w:val="3"/>
        <w:ind w:firstLine="480"/>
        <w:rPr>
          <w:color w:val="auto"/>
          <w:highlight w:val="none"/>
        </w:rPr>
      </w:pPr>
      <w:r>
        <w:rPr>
          <w:color w:val="auto"/>
          <w:highlight w:val="none"/>
        </w:rPr>
        <w:t>（1）施工期环境管理</w:t>
      </w:r>
    </w:p>
    <w:p w14:paraId="0C8CBE65">
      <w:pPr>
        <w:pStyle w:val="3"/>
        <w:ind w:firstLine="480"/>
        <w:rPr>
          <w:color w:val="auto"/>
          <w:highlight w:val="none"/>
        </w:rPr>
      </w:pPr>
      <w:r>
        <w:rPr>
          <w:color w:val="auto"/>
          <w:highlight w:val="none"/>
        </w:rPr>
        <w:t>施工期应成立相应的环境管理监督小组，成员包括施工单位的环保监督员、施工监理和建设单位的环境管理人员。施工场地内有关施工活动造成的污染和影响的防治措施，由施工单位负责实施，由工程监理单位和建设单位进行检查、监督。建立施工HSE管理体系，即健康（Health）、安全（Safety）和环境（Environment）三位一体的管理体系等。</w:t>
      </w:r>
    </w:p>
    <w:p w14:paraId="0E70CED5">
      <w:pPr>
        <w:pStyle w:val="3"/>
        <w:ind w:firstLine="480"/>
        <w:rPr>
          <w:color w:val="auto"/>
          <w:highlight w:val="none"/>
        </w:rPr>
      </w:pPr>
      <w:r>
        <w:rPr>
          <w:color w:val="auto"/>
          <w:highlight w:val="none"/>
        </w:rPr>
        <w:t>施工期主要由监理工程师对施工过程中各项环保措施的落实情况进行监督，对施工中出现的环境问题提出相应的解决办法及建议，切实做到文明施工。对施工中出现的环境纠纷，视情况的复杂程度和纠纷的大小，及时给予解决或协助生态环境主管部门协调解决。</w:t>
      </w:r>
    </w:p>
    <w:p w14:paraId="18BB8651">
      <w:pPr>
        <w:pStyle w:val="3"/>
        <w:ind w:firstLine="480"/>
        <w:rPr>
          <w:color w:val="auto"/>
          <w:highlight w:val="none"/>
        </w:rPr>
      </w:pPr>
      <w:r>
        <w:rPr>
          <w:color w:val="auto"/>
          <w:highlight w:val="none"/>
        </w:rPr>
        <w:t>监督小组协助施工单位和建设单位对施工队伍进行与项目有关的环境保护方针、政策、法规、条例及标准的学习与教育，增强施工人员的生态保护意识。贯彻“预防为主、防治结合、因地制宜、综合治理”的指导方针。</w:t>
      </w:r>
    </w:p>
    <w:p w14:paraId="6D1C8918">
      <w:pPr>
        <w:pStyle w:val="3"/>
        <w:ind w:firstLine="480"/>
        <w:rPr>
          <w:color w:val="auto"/>
          <w:highlight w:val="none"/>
        </w:rPr>
      </w:pPr>
      <w:r>
        <w:rPr>
          <w:color w:val="auto"/>
          <w:highlight w:val="none"/>
        </w:rPr>
        <w:t>施工结束后，监督施工单位对施工场地进行清理，积极落实环保验收工作，对环保措施不到位的地方进行督促并整改完善。</w:t>
      </w:r>
    </w:p>
    <w:p w14:paraId="7AC45C58">
      <w:pPr>
        <w:pStyle w:val="3"/>
        <w:ind w:firstLine="480"/>
        <w:rPr>
          <w:color w:val="auto"/>
          <w:highlight w:val="none"/>
        </w:rPr>
      </w:pPr>
      <w:r>
        <w:rPr>
          <w:color w:val="auto"/>
          <w:highlight w:val="none"/>
        </w:rPr>
        <w:t>（2）施工期环境监控</w:t>
      </w:r>
    </w:p>
    <w:p w14:paraId="5A179B45">
      <w:pPr>
        <w:pStyle w:val="3"/>
        <w:ind w:firstLine="480"/>
        <w:rPr>
          <w:color w:val="auto"/>
          <w:highlight w:val="none"/>
        </w:rPr>
      </w:pPr>
      <w:r>
        <w:rPr>
          <w:color w:val="auto"/>
          <w:highlight w:val="none"/>
        </w:rPr>
        <w:t>施工期环境监控应由环境管理监督小组制定环境监控计划，负责监督控制措施的落实和执行等。施工期主要的环境影响为原状地貌及植被遭到破坏而加重水土流失、施工噪声、扬尘、废水、施工垃圾对周围环境的影响。</w:t>
      </w:r>
    </w:p>
    <w:p w14:paraId="56AC9748">
      <w:pPr>
        <w:pStyle w:val="3"/>
        <w:ind w:firstLine="480"/>
        <w:rPr>
          <w:color w:val="auto"/>
          <w:highlight w:val="none"/>
        </w:rPr>
      </w:pPr>
      <w:r>
        <w:rPr>
          <w:color w:val="auto"/>
          <w:highlight w:val="none"/>
        </w:rPr>
        <w:t>施工期环境监控计划见下表：</w:t>
      </w:r>
    </w:p>
    <w:p w14:paraId="3634909B">
      <w:pPr>
        <w:pStyle w:val="40"/>
        <w:rPr>
          <w:color w:val="auto"/>
          <w:highlight w:val="none"/>
        </w:rPr>
      </w:pPr>
      <w:r>
        <w:rPr>
          <w:color w:val="auto"/>
          <w:highlight w:val="none"/>
        </w:rPr>
        <w:t>表</w:t>
      </w:r>
      <w:r>
        <w:rPr>
          <w:rFonts w:hint="eastAsia"/>
          <w:color w:val="auto"/>
          <w:highlight w:val="none"/>
        </w:rPr>
        <w:t>9</w:t>
      </w:r>
      <w:r>
        <w:rPr>
          <w:color w:val="auto"/>
          <w:highlight w:val="none"/>
        </w:rPr>
        <w:t>.1-1   施工期环境监控计划一览表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57" w:type="dxa"/>
          <w:bottom w:w="0" w:type="dxa"/>
          <w:right w:w="57" w:type="dxa"/>
        </w:tblCellMar>
      </w:tblPr>
      <w:tblGrid>
        <w:gridCol w:w="556"/>
        <w:gridCol w:w="865"/>
        <w:gridCol w:w="4881"/>
        <w:gridCol w:w="1024"/>
        <w:gridCol w:w="1088"/>
      </w:tblGrid>
      <w:tr w14:paraId="48AA03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330" w:type="pct"/>
            <w:tcBorders>
              <w:tl2br w:val="nil"/>
              <w:tr2bl w:val="nil"/>
            </w:tcBorders>
            <w:vAlign w:val="center"/>
          </w:tcPr>
          <w:p w14:paraId="199C4FEB">
            <w:pPr>
              <w:pStyle w:val="41"/>
              <w:rPr>
                <w:color w:val="auto"/>
                <w:highlight w:val="none"/>
              </w:rPr>
            </w:pPr>
            <w:r>
              <w:rPr>
                <w:color w:val="auto"/>
                <w:highlight w:val="none"/>
              </w:rPr>
              <w:t>序号</w:t>
            </w:r>
          </w:p>
        </w:tc>
        <w:tc>
          <w:tcPr>
            <w:tcW w:w="514" w:type="pct"/>
            <w:tcBorders>
              <w:tl2br w:val="nil"/>
              <w:tr2bl w:val="nil"/>
            </w:tcBorders>
            <w:vAlign w:val="center"/>
          </w:tcPr>
          <w:p w14:paraId="1CB2BA66">
            <w:pPr>
              <w:pStyle w:val="41"/>
              <w:rPr>
                <w:color w:val="auto"/>
                <w:highlight w:val="none"/>
              </w:rPr>
            </w:pPr>
            <w:r>
              <w:rPr>
                <w:color w:val="auto"/>
                <w:highlight w:val="none"/>
              </w:rPr>
              <w:t>环境问题</w:t>
            </w:r>
          </w:p>
        </w:tc>
        <w:tc>
          <w:tcPr>
            <w:tcW w:w="2899" w:type="pct"/>
            <w:tcBorders>
              <w:tl2br w:val="nil"/>
              <w:tr2bl w:val="nil"/>
            </w:tcBorders>
            <w:vAlign w:val="center"/>
          </w:tcPr>
          <w:p w14:paraId="0FA58E3C">
            <w:pPr>
              <w:pStyle w:val="41"/>
              <w:rPr>
                <w:color w:val="auto"/>
                <w:highlight w:val="none"/>
              </w:rPr>
            </w:pPr>
            <w:r>
              <w:rPr>
                <w:color w:val="auto"/>
                <w:highlight w:val="none"/>
              </w:rPr>
              <w:t>环保措施</w:t>
            </w:r>
          </w:p>
        </w:tc>
        <w:tc>
          <w:tcPr>
            <w:tcW w:w="608" w:type="pct"/>
            <w:tcBorders>
              <w:tl2br w:val="nil"/>
              <w:tr2bl w:val="nil"/>
            </w:tcBorders>
            <w:vAlign w:val="center"/>
          </w:tcPr>
          <w:p w14:paraId="5D4E4998">
            <w:pPr>
              <w:pStyle w:val="41"/>
              <w:rPr>
                <w:color w:val="auto"/>
                <w:highlight w:val="none"/>
              </w:rPr>
            </w:pPr>
            <w:r>
              <w:rPr>
                <w:color w:val="auto"/>
                <w:highlight w:val="none"/>
              </w:rPr>
              <w:t>执行与实施单位</w:t>
            </w:r>
          </w:p>
        </w:tc>
        <w:tc>
          <w:tcPr>
            <w:tcW w:w="646" w:type="pct"/>
            <w:tcBorders>
              <w:tl2br w:val="nil"/>
              <w:tr2bl w:val="nil"/>
            </w:tcBorders>
            <w:vAlign w:val="center"/>
          </w:tcPr>
          <w:p w14:paraId="1F6A3618">
            <w:pPr>
              <w:pStyle w:val="41"/>
              <w:rPr>
                <w:color w:val="auto"/>
                <w:highlight w:val="none"/>
              </w:rPr>
            </w:pPr>
            <w:r>
              <w:rPr>
                <w:color w:val="auto"/>
                <w:highlight w:val="none"/>
              </w:rPr>
              <w:t>管理与监督机构</w:t>
            </w:r>
          </w:p>
        </w:tc>
      </w:tr>
      <w:tr w14:paraId="0C713A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330" w:type="pct"/>
            <w:tcBorders>
              <w:tl2br w:val="nil"/>
              <w:tr2bl w:val="nil"/>
            </w:tcBorders>
            <w:vAlign w:val="center"/>
          </w:tcPr>
          <w:p w14:paraId="3D530641">
            <w:pPr>
              <w:pStyle w:val="41"/>
              <w:rPr>
                <w:color w:val="auto"/>
                <w:highlight w:val="none"/>
              </w:rPr>
            </w:pPr>
            <w:r>
              <w:rPr>
                <w:color w:val="auto"/>
                <w:highlight w:val="none"/>
              </w:rPr>
              <w:t>1</w:t>
            </w:r>
          </w:p>
        </w:tc>
        <w:tc>
          <w:tcPr>
            <w:tcW w:w="514" w:type="pct"/>
            <w:tcBorders>
              <w:tl2br w:val="nil"/>
              <w:tr2bl w:val="nil"/>
            </w:tcBorders>
            <w:vAlign w:val="center"/>
          </w:tcPr>
          <w:p w14:paraId="3523BD49">
            <w:pPr>
              <w:pStyle w:val="41"/>
              <w:rPr>
                <w:color w:val="auto"/>
                <w:highlight w:val="none"/>
              </w:rPr>
            </w:pPr>
            <w:r>
              <w:rPr>
                <w:color w:val="auto"/>
                <w:highlight w:val="none"/>
              </w:rPr>
              <w:t>环境</w:t>
            </w:r>
          </w:p>
          <w:p w14:paraId="372172E9">
            <w:pPr>
              <w:pStyle w:val="41"/>
              <w:rPr>
                <w:color w:val="auto"/>
                <w:highlight w:val="none"/>
              </w:rPr>
            </w:pPr>
            <w:r>
              <w:rPr>
                <w:color w:val="auto"/>
                <w:highlight w:val="none"/>
              </w:rPr>
              <w:t>空气</w:t>
            </w:r>
          </w:p>
        </w:tc>
        <w:tc>
          <w:tcPr>
            <w:tcW w:w="2899" w:type="pct"/>
            <w:tcBorders>
              <w:tl2br w:val="nil"/>
              <w:tr2bl w:val="nil"/>
            </w:tcBorders>
            <w:vAlign w:val="center"/>
          </w:tcPr>
          <w:p w14:paraId="194222DF">
            <w:pPr>
              <w:pStyle w:val="41"/>
              <w:rPr>
                <w:color w:val="auto"/>
                <w:highlight w:val="none"/>
              </w:rPr>
            </w:pPr>
            <w:r>
              <w:rPr>
                <w:color w:val="auto"/>
                <w:highlight w:val="none"/>
              </w:rPr>
              <w:t>（1）定时对施工现场扬尘区及道路洒水。</w:t>
            </w:r>
          </w:p>
          <w:p w14:paraId="194090C4">
            <w:pPr>
              <w:pStyle w:val="41"/>
              <w:rPr>
                <w:color w:val="auto"/>
                <w:highlight w:val="none"/>
              </w:rPr>
            </w:pPr>
            <w:r>
              <w:rPr>
                <w:color w:val="auto"/>
                <w:highlight w:val="none"/>
              </w:rPr>
              <w:t>（2）遇有大风天气应停止土方施工作业。</w:t>
            </w:r>
          </w:p>
          <w:p w14:paraId="5CFE7B2E">
            <w:pPr>
              <w:pStyle w:val="41"/>
              <w:rPr>
                <w:color w:val="auto"/>
                <w:highlight w:val="none"/>
              </w:rPr>
            </w:pPr>
            <w:r>
              <w:rPr>
                <w:color w:val="auto"/>
                <w:highlight w:val="none"/>
              </w:rPr>
              <w:t>（3）建筑材料存放在库房内或者严密遮盖；砂石、土方等散体材料须覆盖；施工场地内装卸、搬倒物料应遮盖、封闭或洒水。</w:t>
            </w:r>
          </w:p>
          <w:p w14:paraId="29C87498">
            <w:pPr>
              <w:pStyle w:val="41"/>
              <w:rPr>
                <w:color w:val="auto"/>
                <w:highlight w:val="none"/>
              </w:rPr>
            </w:pPr>
            <w:r>
              <w:rPr>
                <w:color w:val="auto"/>
                <w:highlight w:val="none"/>
              </w:rPr>
              <w:t>（4）建筑垃圾集中分类堆放，严密遮盖，及时清运。</w:t>
            </w:r>
          </w:p>
          <w:p w14:paraId="0A2DBFBE">
            <w:pPr>
              <w:pStyle w:val="41"/>
              <w:rPr>
                <w:color w:val="auto"/>
                <w:highlight w:val="none"/>
              </w:rPr>
            </w:pPr>
            <w:r>
              <w:rPr>
                <w:color w:val="auto"/>
                <w:highlight w:val="none"/>
              </w:rPr>
              <w:t>（5）建筑垃圾在运输时应用苫布覆盖，避免沿途遗撒。</w:t>
            </w:r>
          </w:p>
          <w:p w14:paraId="18218B4E">
            <w:pPr>
              <w:pStyle w:val="41"/>
              <w:rPr>
                <w:color w:val="auto"/>
                <w:highlight w:val="none"/>
              </w:rPr>
            </w:pPr>
            <w:r>
              <w:rPr>
                <w:color w:val="auto"/>
                <w:highlight w:val="none"/>
              </w:rPr>
              <w:t>（6）施工防尘“六个百分百”抑尘措施。</w:t>
            </w:r>
          </w:p>
          <w:p w14:paraId="59E9FA6A">
            <w:pPr>
              <w:pStyle w:val="41"/>
              <w:rPr>
                <w:color w:val="auto"/>
                <w:highlight w:val="none"/>
              </w:rPr>
            </w:pPr>
            <w:r>
              <w:rPr>
                <w:color w:val="auto"/>
                <w:highlight w:val="none"/>
              </w:rPr>
              <w:t>（7）对各类扬尘的散流体原料堆放场必须完善“防扬尘、防流失、防渗漏”，设置防风抑尘网，并配备喷淋、覆盖、围挡措施。</w:t>
            </w:r>
          </w:p>
        </w:tc>
        <w:tc>
          <w:tcPr>
            <w:tcW w:w="608" w:type="pct"/>
            <w:vMerge w:val="restart"/>
            <w:tcBorders>
              <w:tl2br w:val="nil"/>
              <w:tr2bl w:val="nil"/>
            </w:tcBorders>
            <w:vAlign w:val="center"/>
          </w:tcPr>
          <w:p w14:paraId="00388E80">
            <w:pPr>
              <w:pStyle w:val="41"/>
              <w:rPr>
                <w:color w:val="auto"/>
                <w:highlight w:val="none"/>
              </w:rPr>
            </w:pPr>
            <w:r>
              <w:rPr>
                <w:color w:val="auto"/>
                <w:highlight w:val="none"/>
              </w:rPr>
              <w:t>（1）建设单位；</w:t>
            </w:r>
          </w:p>
          <w:p w14:paraId="14BF7DC0">
            <w:pPr>
              <w:pStyle w:val="41"/>
              <w:rPr>
                <w:color w:val="auto"/>
                <w:highlight w:val="none"/>
              </w:rPr>
            </w:pPr>
            <w:r>
              <w:rPr>
                <w:color w:val="auto"/>
                <w:highlight w:val="none"/>
              </w:rPr>
              <w:t>（2）施工单位</w:t>
            </w:r>
          </w:p>
        </w:tc>
        <w:tc>
          <w:tcPr>
            <w:tcW w:w="646" w:type="pct"/>
            <w:vMerge w:val="restart"/>
            <w:tcBorders>
              <w:tl2br w:val="nil"/>
              <w:tr2bl w:val="nil"/>
            </w:tcBorders>
            <w:vAlign w:val="center"/>
          </w:tcPr>
          <w:p w14:paraId="1147D98A">
            <w:pPr>
              <w:pStyle w:val="41"/>
              <w:rPr>
                <w:color w:val="auto"/>
                <w:highlight w:val="none"/>
              </w:rPr>
            </w:pPr>
            <w:r>
              <w:rPr>
                <w:color w:val="auto"/>
                <w:highlight w:val="none"/>
              </w:rPr>
              <w:t>克孜勒苏柯尔克孜自治州生态环境局阿图什市分局</w:t>
            </w:r>
          </w:p>
        </w:tc>
      </w:tr>
      <w:tr w14:paraId="49C42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330" w:type="pct"/>
            <w:tcBorders>
              <w:tl2br w:val="nil"/>
              <w:tr2bl w:val="nil"/>
            </w:tcBorders>
            <w:vAlign w:val="center"/>
          </w:tcPr>
          <w:p w14:paraId="6ECF324C">
            <w:pPr>
              <w:pStyle w:val="41"/>
              <w:rPr>
                <w:color w:val="auto"/>
                <w:highlight w:val="none"/>
              </w:rPr>
            </w:pPr>
            <w:r>
              <w:rPr>
                <w:color w:val="auto"/>
                <w:highlight w:val="none"/>
              </w:rPr>
              <w:t>2</w:t>
            </w:r>
          </w:p>
        </w:tc>
        <w:tc>
          <w:tcPr>
            <w:tcW w:w="514" w:type="pct"/>
            <w:tcBorders>
              <w:tl2br w:val="nil"/>
              <w:tr2bl w:val="nil"/>
            </w:tcBorders>
            <w:vAlign w:val="center"/>
          </w:tcPr>
          <w:p w14:paraId="1DC96FC0">
            <w:pPr>
              <w:pStyle w:val="41"/>
              <w:rPr>
                <w:color w:val="auto"/>
                <w:highlight w:val="none"/>
              </w:rPr>
            </w:pPr>
            <w:r>
              <w:rPr>
                <w:color w:val="auto"/>
                <w:highlight w:val="none"/>
              </w:rPr>
              <w:t>噪声</w:t>
            </w:r>
          </w:p>
        </w:tc>
        <w:tc>
          <w:tcPr>
            <w:tcW w:w="2899" w:type="pct"/>
            <w:tcBorders>
              <w:tl2br w:val="nil"/>
              <w:tr2bl w:val="nil"/>
            </w:tcBorders>
            <w:vAlign w:val="center"/>
          </w:tcPr>
          <w:p w14:paraId="53D0D238">
            <w:pPr>
              <w:pStyle w:val="41"/>
              <w:rPr>
                <w:color w:val="auto"/>
                <w:highlight w:val="none"/>
              </w:rPr>
            </w:pPr>
            <w:r>
              <w:rPr>
                <w:color w:val="auto"/>
                <w:highlight w:val="none"/>
              </w:rPr>
              <w:t>（1）使用低噪声机械设备，定期保养和维护，严格按操作规范使用各类机械。</w:t>
            </w:r>
          </w:p>
          <w:p w14:paraId="0D1D9466">
            <w:pPr>
              <w:pStyle w:val="41"/>
              <w:rPr>
                <w:color w:val="auto"/>
                <w:highlight w:val="none"/>
              </w:rPr>
            </w:pPr>
            <w:r>
              <w:rPr>
                <w:color w:val="auto"/>
                <w:highlight w:val="none"/>
              </w:rPr>
              <w:t>（2）强噪声设备尽量分散布置使用，固定机械设备应尽量入棚操作。</w:t>
            </w:r>
          </w:p>
          <w:p w14:paraId="42D2CFAB">
            <w:pPr>
              <w:pStyle w:val="41"/>
              <w:rPr>
                <w:color w:val="auto"/>
                <w:highlight w:val="none"/>
              </w:rPr>
            </w:pPr>
            <w:r>
              <w:rPr>
                <w:color w:val="auto"/>
                <w:highlight w:val="none"/>
              </w:rPr>
              <w:t>（3）合理安排施工顺序，施工时间应尽量安排在昼间进行。</w:t>
            </w:r>
          </w:p>
          <w:p w14:paraId="2C7598F5">
            <w:pPr>
              <w:pStyle w:val="41"/>
              <w:rPr>
                <w:color w:val="auto"/>
                <w:highlight w:val="none"/>
              </w:rPr>
            </w:pPr>
            <w:r>
              <w:rPr>
                <w:color w:val="auto"/>
                <w:highlight w:val="none"/>
              </w:rPr>
              <w:t>（4）建设管理部门应加强管理，避免因施工噪声产生纠纷。</w:t>
            </w:r>
          </w:p>
        </w:tc>
        <w:tc>
          <w:tcPr>
            <w:tcW w:w="608" w:type="pct"/>
            <w:vMerge w:val="continue"/>
            <w:tcBorders>
              <w:tl2br w:val="nil"/>
              <w:tr2bl w:val="nil"/>
            </w:tcBorders>
            <w:vAlign w:val="center"/>
          </w:tcPr>
          <w:p w14:paraId="3679AD92">
            <w:pPr>
              <w:pStyle w:val="41"/>
              <w:rPr>
                <w:color w:val="auto"/>
                <w:highlight w:val="none"/>
              </w:rPr>
            </w:pPr>
          </w:p>
        </w:tc>
        <w:tc>
          <w:tcPr>
            <w:tcW w:w="646" w:type="pct"/>
            <w:vMerge w:val="continue"/>
            <w:tcBorders>
              <w:tl2br w:val="nil"/>
              <w:tr2bl w:val="nil"/>
            </w:tcBorders>
            <w:vAlign w:val="center"/>
          </w:tcPr>
          <w:p w14:paraId="75048736">
            <w:pPr>
              <w:pStyle w:val="41"/>
              <w:rPr>
                <w:color w:val="auto"/>
                <w:highlight w:val="none"/>
              </w:rPr>
            </w:pPr>
          </w:p>
        </w:tc>
      </w:tr>
      <w:tr w14:paraId="7EFF04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330" w:type="pct"/>
            <w:tcBorders>
              <w:tl2br w:val="nil"/>
              <w:tr2bl w:val="nil"/>
            </w:tcBorders>
            <w:vAlign w:val="center"/>
          </w:tcPr>
          <w:p w14:paraId="04FCDE17">
            <w:pPr>
              <w:pStyle w:val="41"/>
              <w:rPr>
                <w:color w:val="auto"/>
                <w:highlight w:val="none"/>
              </w:rPr>
            </w:pPr>
            <w:r>
              <w:rPr>
                <w:color w:val="auto"/>
                <w:highlight w:val="none"/>
              </w:rPr>
              <w:t>3</w:t>
            </w:r>
          </w:p>
        </w:tc>
        <w:tc>
          <w:tcPr>
            <w:tcW w:w="514" w:type="pct"/>
            <w:tcBorders>
              <w:tl2br w:val="nil"/>
              <w:tr2bl w:val="nil"/>
            </w:tcBorders>
            <w:vAlign w:val="center"/>
          </w:tcPr>
          <w:p w14:paraId="73E0D498">
            <w:pPr>
              <w:pStyle w:val="41"/>
              <w:rPr>
                <w:color w:val="auto"/>
                <w:highlight w:val="none"/>
              </w:rPr>
            </w:pPr>
            <w:r>
              <w:rPr>
                <w:color w:val="auto"/>
                <w:highlight w:val="none"/>
              </w:rPr>
              <w:t>生态</w:t>
            </w:r>
          </w:p>
          <w:p w14:paraId="1348CCEC">
            <w:pPr>
              <w:pStyle w:val="41"/>
              <w:rPr>
                <w:color w:val="auto"/>
                <w:highlight w:val="none"/>
              </w:rPr>
            </w:pPr>
            <w:r>
              <w:rPr>
                <w:color w:val="auto"/>
                <w:highlight w:val="none"/>
              </w:rPr>
              <w:t>环境</w:t>
            </w:r>
          </w:p>
        </w:tc>
        <w:tc>
          <w:tcPr>
            <w:tcW w:w="2899" w:type="pct"/>
            <w:tcBorders>
              <w:tl2br w:val="nil"/>
              <w:tr2bl w:val="nil"/>
            </w:tcBorders>
            <w:vAlign w:val="center"/>
          </w:tcPr>
          <w:p w14:paraId="6AEA3D64">
            <w:pPr>
              <w:pStyle w:val="41"/>
              <w:rPr>
                <w:color w:val="auto"/>
                <w:highlight w:val="none"/>
              </w:rPr>
            </w:pPr>
            <w:r>
              <w:rPr>
                <w:color w:val="auto"/>
                <w:highlight w:val="none"/>
              </w:rPr>
              <w:t>（1）将施工活动严格控制在项目占地范围内，避免对周围较大范围产生影响；</w:t>
            </w:r>
          </w:p>
          <w:p w14:paraId="3742265B">
            <w:pPr>
              <w:pStyle w:val="41"/>
              <w:rPr>
                <w:color w:val="auto"/>
                <w:highlight w:val="none"/>
              </w:rPr>
            </w:pPr>
            <w:r>
              <w:rPr>
                <w:color w:val="auto"/>
                <w:highlight w:val="none"/>
              </w:rPr>
              <w:t>（2）合理安排施工计划，避免在雨季施工；</w:t>
            </w:r>
          </w:p>
          <w:p w14:paraId="7FC642CD">
            <w:pPr>
              <w:pStyle w:val="41"/>
              <w:rPr>
                <w:color w:val="auto"/>
                <w:highlight w:val="none"/>
              </w:rPr>
            </w:pPr>
            <w:r>
              <w:rPr>
                <w:color w:val="auto"/>
                <w:highlight w:val="none"/>
              </w:rPr>
              <w:t>（3）合理划分场地施工分区，避免同时大面积的工程土石方开挖；对施工材料、土方堆存，在雨季要采取防护堤挡护措施，避免水土流失；</w:t>
            </w:r>
          </w:p>
          <w:p w14:paraId="73FDB931">
            <w:pPr>
              <w:pStyle w:val="41"/>
              <w:rPr>
                <w:color w:val="auto"/>
                <w:highlight w:val="none"/>
              </w:rPr>
            </w:pPr>
            <w:r>
              <w:rPr>
                <w:color w:val="auto"/>
                <w:highlight w:val="none"/>
              </w:rPr>
              <w:t>（4）厂区平整，使得厂区上下坡度减缓；</w:t>
            </w:r>
          </w:p>
          <w:p w14:paraId="67B67D6A">
            <w:pPr>
              <w:pStyle w:val="41"/>
              <w:rPr>
                <w:color w:val="auto"/>
                <w:highlight w:val="none"/>
              </w:rPr>
            </w:pPr>
            <w:r>
              <w:rPr>
                <w:color w:val="auto"/>
                <w:highlight w:val="none"/>
              </w:rPr>
              <w:t>（5）施工结束后，要及时清理现场；</w:t>
            </w:r>
          </w:p>
        </w:tc>
        <w:tc>
          <w:tcPr>
            <w:tcW w:w="608" w:type="pct"/>
            <w:vMerge w:val="continue"/>
            <w:tcBorders>
              <w:tl2br w:val="nil"/>
              <w:tr2bl w:val="nil"/>
            </w:tcBorders>
            <w:vAlign w:val="center"/>
          </w:tcPr>
          <w:p w14:paraId="5EF64C02">
            <w:pPr>
              <w:pStyle w:val="41"/>
              <w:rPr>
                <w:color w:val="auto"/>
                <w:highlight w:val="none"/>
              </w:rPr>
            </w:pPr>
          </w:p>
        </w:tc>
        <w:tc>
          <w:tcPr>
            <w:tcW w:w="646" w:type="pct"/>
            <w:vMerge w:val="continue"/>
            <w:tcBorders>
              <w:tl2br w:val="nil"/>
              <w:tr2bl w:val="nil"/>
            </w:tcBorders>
            <w:vAlign w:val="center"/>
          </w:tcPr>
          <w:p w14:paraId="29CED646">
            <w:pPr>
              <w:pStyle w:val="41"/>
              <w:rPr>
                <w:color w:val="auto"/>
                <w:highlight w:val="none"/>
              </w:rPr>
            </w:pPr>
          </w:p>
        </w:tc>
      </w:tr>
      <w:tr w14:paraId="565CF8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330" w:type="pct"/>
            <w:tcBorders>
              <w:tl2br w:val="nil"/>
              <w:tr2bl w:val="nil"/>
            </w:tcBorders>
            <w:vAlign w:val="center"/>
          </w:tcPr>
          <w:p w14:paraId="185626F8">
            <w:pPr>
              <w:pStyle w:val="41"/>
              <w:rPr>
                <w:color w:val="auto"/>
                <w:highlight w:val="none"/>
              </w:rPr>
            </w:pPr>
            <w:r>
              <w:rPr>
                <w:color w:val="auto"/>
                <w:highlight w:val="none"/>
              </w:rPr>
              <w:t>4</w:t>
            </w:r>
          </w:p>
        </w:tc>
        <w:tc>
          <w:tcPr>
            <w:tcW w:w="514" w:type="pct"/>
            <w:tcBorders>
              <w:tl2br w:val="nil"/>
              <w:tr2bl w:val="nil"/>
            </w:tcBorders>
            <w:vAlign w:val="center"/>
          </w:tcPr>
          <w:p w14:paraId="3C21B5C3">
            <w:pPr>
              <w:pStyle w:val="41"/>
              <w:rPr>
                <w:color w:val="auto"/>
                <w:highlight w:val="none"/>
              </w:rPr>
            </w:pPr>
            <w:r>
              <w:rPr>
                <w:color w:val="auto"/>
                <w:highlight w:val="none"/>
              </w:rPr>
              <w:t>固体</w:t>
            </w:r>
          </w:p>
          <w:p w14:paraId="7446C01F">
            <w:pPr>
              <w:pStyle w:val="41"/>
              <w:rPr>
                <w:color w:val="auto"/>
                <w:highlight w:val="none"/>
              </w:rPr>
            </w:pPr>
            <w:r>
              <w:rPr>
                <w:color w:val="auto"/>
                <w:highlight w:val="none"/>
              </w:rPr>
              <w:t>废物</w:t>
            </w:r>
          </w:p>
        </w:tc>
        <w:tc>
          <w:tcPr>
            <w:tcW w:w="2899" w:type="pct"/>
            <w:tcBorders>
              <w:tl2br w:val="nil"/>
              <w:tr2bl w:val="nil"/>
            </w:tcBorders>
            <w:vAlign w:val="center"/>
          </w:tcPr>
          <w:p w14:paraId="59454DA3">
            <w:pPr>
              <w:pStyle w:val="41"/>
              <w:rPr>
                <w:color w:val="auto"/>
                <w:highlight w:val="none"/>
              </w:rPr>
            </w:pPr>
            <w:r>
              <w:rPr>
                <w:color w:val="auto"/>
                <w:highlight w:val="none"/>
              </w:rPr>
              <w:t>对于施工过程中产生的建筑垃圾和弃土均可用于厂区地面的平整</w:t>
            </w:r>
          </w:p>
        </w:tc>
        <w:tc>
          <w:tcPr>
            <w:tcW w:w="608" w:type="pct"/>
            <w:vMerge w:val="continue"/>
            <w:tcBorders>
              <w:tl2br w:val="nil"/>
              <w:tr2bl w:val="nil"/>
            </w:tcBorders>
            <w:vAlign w:val="center"/>
          </w:tcPr>
          <w:p w14:paraId="52C0411A">
            <w:pPr>
              <w:pStyle w:val="41"/>
              <w:rPr>
                <w:color w:val="auto"/>
                <w:highlight w:val="none"/>
              </w:rPr>
            </w:pPr>
          </w:p>
        </w:tc>
        <w:tc>
          <w:tcPr>
            <w:tcW w:w="646" w:type="pct"/>
            <w:vMerge w:val="continue"/>
            <w:tcBorders>
              <w:tl2br w:val="nil"/>
              <w:tr2bl w:val="nil"/>
            </w:tcBorders>
            <w:vAlign w:val="center"/>
          </w:tcPr>
          <w:p w14:paraId="348E68F3">
            <w:pPr>
              <w:pStyle w:val="41"/>
              <w:rPr>
                <w:color w:val="auto"/>
                <w:highlight w:val="none"/>
              </w:rPr>
            </w:pPr>
          </w:p>
        </w:tc>
      </w:tr>
    </w:tbl>
    <w:p w14:paraId="47AFCEB6">
      <w:pPr>
        <w:pStyle w:val="3"/>
        <w:ind w:firstLine="480"/>
        <w:rPr>
          <w:color w:val="auto"/>
          <w:highlight w:val="none"/>
        </w:rPr>
      </w:pPr>
      <w:r>
        <w:rPr>
          <w:color w:val="auto"/>
          <w:highlight w:val="none"/>
        </w:rPr>
        <w:t>综上，施工期环境管理与监督监控主要由环境监督小组具体负责，由主管部门进行不定期检查；将施工单位对环境保护的意识和</w:t>
      </w:r>
      <w:r>
        <w:rPr>
          <w:rFonts w:hint="eastAsia"/>
          <w:color w:val="auto"/>
          <w:highlight w:val="none"/>
        </w:rPr>
        <w:t>环境污染</w:t>
      </w:r>
      <w:r>
        <w:rPr>
          <w:color w:val="auto"/>
          <w:highlight w:val="none"/>
        </w:rPr>
        <w:t>控制措施的重视程度、手段和措施等作为工程质量验收和评比的一个因素予以考虑，把工程行为对环境的影响降到最低限度。</w:t>
      </w:r>
    </w:p>
    <w:p w14:paraId="3E9A034B">
      <w:pPr>
        <w:pStyle w:val="42"/>
        <w:rPr>
          <w:rFonts w:hint="default"/>
          <w:color w:val="auto"/>
          <w:highlight w:val="none"/>
        </w:rPr>
      </w:pPr>
      <w:r>
        <w:rPr>
          <w:rFonts w:hint="default"/>
          <w:color w:val="auto"/>
          <w:highlight w:val="none"/>
        </w:rPr>
        <w:t>运营期环境管理</w:t>
      </w:r>
    </w:p>
    <w:p w14:paraId="357D32A8">
      <w:pPr>
        <w:pStyle w:val="3"/>
        <w:ind w:firstLine="480"/>
        <w:rPr>
          <w:color w:val="auto"/>
          <w:highlight w:val="none"/>
        </w:rPr>
      </w:pPr>
      <w:r>
        <w:rPr>
          <w:color w:val="auto"/>
          <w:highlight w:val="none"/>
        </w:rPr>
        <w:t>（1）环境管理机构及职责</w:t>
      </w:r>
    </w:p>
    <w:p w14:paraId="1F0D2BC7">
      <w:pPr>
        <w:pStyle w:val="3"/>
        <w:ind w:firstLine="480"/>
        <w:rPr>
          <w:color w:val="auto"/>
          <w:highlight w:val="none"/>
        </w:rPr>
      </w:pPr>
      <w:r>
        <w:rPr>
          <w:color w:val="auto"/>
          <w:highlight w:val="none"/>
        </w:rPr>
        <w:t>环境管理由阿图什市环球矿业有限公司环境管理机构进行统一管理，建立环境管理机构和健全的环境管理制度，成立以厂长为负责人的整套环境管理体系，设置专职环境管理人员，制定环境管理制度与岗位操作规程，将环境管理纳入日常管理中，全面提升项目环境管理水平。负责人组织开展日常环境管理和检查工作，并保持同本部门和上级生态环境部门的联系，及时汇报情况，对出现的环境问题作出及时反映和反馈。</w:t>
      </w:r>
    </w:p>
    <w:p w14:paraId="5755357A">
      <w:pPr>
        <w:pStyle w:val="3"/>
        <w:ind w:firstLine="480"/>
        <w:rPr>
          <w:color w:val="auto"/>
          <w:highlight w:val="none"/>
        </w:rPr>
      </w:pPr>
      <w:r>
        <w:rPr>
          <w:color w:val="auto"/>
          <w:highlight w:val="none"/>
        </w:rPr>
        <w:t>（2）环境管理制度</w:t>
      </w:r>
    </w:p>
    <w:p w14:paraId="7AF16E65">
      <w:pPr>
        <w:pStyle w:val="3"/>
        <w:ind w:firstLine="480"/>
        <w:rPr>
          <w:color w:val="auto"/>
          <w:highlight w:val="none"/>
        </w:rPr>
      </w:pPr>
      <w:r>
        <w:rPr>
          <w:color w:val="auto"/>
          <w:highlight w:val="none"/>
        </w:rPr>
        <w:t>1）贯彻执行“三同时”制度</w:t>
      </w:r>
    </w:p>
    <w:p w14:paraId="1B251A2C">
      <w:pPr>
        <w:pStyle w:val="3"/>
        <w:ind w:firstLine="480"/>
        <w:rPr>
          <w:color w:val="auto"/>
          <w:highlight w:val="none"/>
        </w:rPr>
      </w:pPr>
      <w:r>
        <w:rPr>
          <w:color w:val="auto"/>
          <w:highlight w:val="none"/>
        </w:rPr>
        <w:t>项目建设过程中必须认真贯彻执行“三同时”制度。建设单位必须确保污染防治设施与主体工程同时设计、同时施工、同时投入运行，项目竣工后，组织开展建设项目竣工环境保护验收准备工作。</w:t>
      </w:r>
    </w:p>
    <w:p w14:paraId="7969B8A9">
      <w:pPr>
        <w:pStyle w:val="3"/>
        <w:ind w:firstLine="480"/>
        <w:rPr>
          <w:color w:val="auto"/>
          <w:highlight w:val="none"/>
        </w:rPr>
      </w:pPr>
      <w:r>
        <w:rPr>
          <w:color w:val="auto"/>
          <w:highlight w:val="none"/>
        </w:rPr>
        <w:t>2）环保设施运行管理制度</w:t>
      </w:r>
    </w:p>
    <w:p w14:paraId="67DE31D0">
      <w:pPr>
        <w:pStyle w:val="3"/>
        <w:ind w:firstLine="480"/>
        <w:rPr>
          <w:color w:val="auto"/>
          <w:highlight w:val="none"/>
        </w:rPr>
      </w:pPr>
      <w:r>
        <w:rPr>
          <w:color w:val="auto"/>
          <w:highlight w:val="none"/>
        </w:rPr>
        <w:t>建立环保设施定期检查制度和污染治理措施岗位责任制，实行污染治理岗位运行记录制度，以确保污染治理设施稳定高效运行。当生产运行设施及污染治理设施发生故障时，应及时组织抢修，并根据实际情况采取相应措施（包括减产和停止生产），防止污染事故的发生。</w:t>
      </w:r>
    </w:p>
    <w:p w14:paraId="5229F3AB">
      <w:pPr>
        <w:pStyle w:val="3"/>
        <w:ind w:firstLine="480"/>
        <w:rPr>
          <w:color w:val="auto"/>
          <w:highlight w:val="none"/>
        </w:rPr>
      </w:pPr>
      <w:r>
        <w:rPr>
          <w:color w:val="auto"/>
          <w:highlight w:val="none"/>
        </w:rPr>
        <w:t>3）建立环保档案</w:t>
      </w:r>
    </w:p>
    <w:p w14:paraId="2E75D1AC">
      <w:pPr>
        <w:pStyle w:val="3"/>
        <w:ind w:firstLine="480"/>
        <w:rPr>
          <w:color w:val="auto"/>
          <w:highlight w:val="none"/>
        </w:rPr>
      </w:pPr>
      <w:r>
        <w:rPr>
          <w:color w:val="auto"/>
          <w:highlight w:val="none"/>
        </w:rPr>
        <w:t>本项目生产过程中应对废水、废气、厂界噪声进行定期监测，建立污染源档案，发现污染物非正常排放时，应分析原因并及时采取相应措施，以控制污染影响的范围和程度。</w:t>
      </w:r>
    </w:p>
    <w:p w14:paraId="78F97232">
      <w:pPr>
        <w:pStyle w:val="3"/>
        <w:ind w:firstLine="480"/>
        <w:rPr>
          <w:color w:val="auto"/>
          <w:highlight w:val="none"/>
        </w:rPr>
      </w:pPr>
      <w:r>
        <w:rPr>
          <w:color w:val="auto"/>
          <w:highlight w:val="none"/>
        </w:rPr>
        <w:t>4）奖惩制度</w:t>
      </w:r>
    </w:p>
    <w:p w14:paraId="149EE9A5">
      <w:pPr>
        <w:pStyle w:val="3"/>
        <w:ind w:firstLine="480"/>
        <w:rPr>
          <w:color w:val="auto"/>
          <w:highlight w:val="none"/>
        </w:rPr>
      </w:pPr>
      <w:r>
        <w:rPr>
          <w:color w:val="auto"/>
          <w:highlight w:val="none"/>
        </w:rPr>
        <w:t>本项目应建立环保工作奖惩制度，对保护和改善厂区环境成绩显著的车间、个人应给予表彰和奖励。对违反环境保护条款规定并造成污染事故的车间或个人，应视情节轻重给予批评教育和处罚。</w:t>
      </w:r>
    </w:p>
    <w:p w14:paraId="2F760DA0">
      <w:pPr>
        <w:pStyle w:val="3"/>
        <w:ind w:firstLine="480"/>
        <w:rPr>
          <w:color w:val="auto"/>
          <w:highlight w:val="none"/>
        </w:rPr>
      </w:pPr>
      <w:r>
        <w:rPr>
          <w:color w:val="auto"/>
          <w:highlight w:val="none"/>
        </w:rPr>
        <w:t>（3）环境管理台账</w:t>
      </w:r>
    </w:p>
    <w:p w14:paraId="5EF56CD1">
      <w:pPr>
        <w:pStyle w:val="3"/>
        <w:ind w:firstLine="480"/>
        <w:rPr>
          <w:color w:val="auto"/>
          <w:highlight w:val="none"/>
        </w:rPr>
      </w:pPr>
      <w:r>
        <w:rPr>
          <w:color w:val="auto"/>
          <w:highlight w:val="none"/>
        </w:rPr>
        <w:t>建设单位应建立环境管理台账制度，设置专人开展台账记录、整理、维护等管理工作，并对台账记录结果的真实性、准确性、完整性负责；环境管理台账应真实记录污染治理设施运行管理信息、监测记录信息和其他环境管理信息等内容。为便于携带、储存、导出及证明排污许可证执行情况，环境管理台账应采用电子化储存和纸质储存两种形式同步管理，保存期限不少于5年。</w:t>
      </w:r>
    </w:p>
    <w:p w14:paraId="085C88E3">
      <w:pPr>
        <w:pStyle w:val="3"/>
        <w:ind w:firstLine="480"/>
        <w:rPr>
          <w:color w:val="auto"/>
          <w:highlight w:val="none"/>
        </w:rPr>
      </w:pPr>
      <w:r>
        <w:rPr>
          <w:color w:val="auto"/>
          <w:highlight w:val="none"/>
        </w:rPr>
        <w:t>（4）自行监测管理要求</w:t>
      </w:r>
    </w:p>
    <w:p w14:paraId="60FC22B6">
      <w:pPr>
        <w:pStyle w:val="3"/>
        <w:ind w:firstLine="480"/>
        <w:rPr>
          <w:color w:val="auto"/>
          <w:highlight w:val="none"/>
        </w:rPr>
      </w:pPr>
      <w:r>
        <w:rPr>
          <w:color w:val="auto"/>
          <w:highlight w:val="none"/>
        </w:rPr>
        <w:t>根据《排污单位自行监测技术指南 总则》（HJ819-2017）</w:t>
      </w:r>
      <w:r>
        <w:rPr>
          <w:rFonts w:hint="eastAsia"/>
          <w:color w:val="auto"/>
          <w:highlight w:val="none"/>
        </w:rPr>
        <w:t>、</w:t>
      </w:r>
      <w:r>
        <w:rPr>
          <w:color w:val="auto"/>
          <w:highlight w:val="none"/>
        </w:rPr>
        <w:t>《工业企业土壤和地下水自行监测技术指南（试行）》（HJ1209-2021）</w:t>
      </w:r>
      <w:r>
        <w:rPr>
          <w:rFonts w:hint="eastAsia"/>
          <w:color w:val="auto"/>
          <w:highlight w:val="none"/>
        </w:rPr>
        <w:t>、《排污许可证申请与核发技术规范 工业炉窑》（HJ1121-2020）、《排污许可证申请与核发技术规范 工业噪声》（HJ1301-2023）</w:t>
      </w:r>
      <w:r>
        <w:rPr>
          <w:color w:val="auto"/>
          <w:highlight w:val="none"/>
        </w:rPr>
        <w:t>等相关技术规范的要求，制定自行监测方案。</w:t>
      </w:r>
    </w:p>
    <w:p w14:paraId="43CC8D70">
      <w:pPr>
        <w:pStyle w:val="3"/>
        <w:ind w:firstLine="480"/>
        <w:rPr>
          <w:color w:val="auto"/>
          <w:highlight w:val="none"/>
        </w:rPr>
      </w:pPr>
      <w:r>
        <w:rPr>
          <w:color w:val="auto"/>
          <w:highlight w:val="none"/>
        </w:rPr>
        <w:t>自行监测方案中应明确企业的基本情况、监测点位、监测指标、执行排放标准及其限值、监测频次、监测方法和仪器、采样方法、监测质量控制、监测点位示意图、监测结果公开时限等。对于采用自动监测的，应当如实填报采用自动监测的污染物指标、自动监测系统联网情况、自动监测系统的运行维护情况等；对于无自动监测的大气污染物和水污染物指标，企业应当填报开展手工监测的污染物排放口、监测点位、监测方法、监测频次。</w:t>
      </w:r>
    </w:p>
    <w:p w14:paraId="195ADC0E">
      <w:pPr>
        <w:pStyle w:val="3"/>
        <w:ind w:firstLine="480"/>
        <w:rPr>
          <w:color w:val="auto"/>
          <w:highlight w:val="none"/>
        </w:rPr>
      </w:pPr>
      <w:r>
        <w:rPr>
          <w:color w:val="auto"/>
          <w:highlight w:val="none"/>
        </w:rPr>
        <w:t>自行监测污染源和污染物应包括排放标准中涉及的各项废气、废水污染源和污染物。本项目应当开展自行监测的污染源包括无组织废气、生活污水、噪声等污染源。</w:t>
      </w:r>
    </w:p>
    <w:p w14:paraId="4DB8BACF">
      <w:pPr>
        <w:pStyle w:val="3"/>
        <w:ind w:firstLine="480"/>
        <w:rPr>
          <w:color w:val="auto"/>
          <w:highlight w:val="none"/>
        </w:rPr>
      </w:pPr>
      <w:r>
        <w:rPr>
          <w:color w:val="auto"/>
          <w:highlight w:val="none"/>
        </w:rPr>
        <w:t>（5）信息公开</w:t>
      </w:r>
    </w:p>
    <w:p w14:paraId="42E37A1B">
      <w:pPr>
        <w:pStyle w:val="3"/>
        <w:ind w:firstLine="480"/>
        <w:rPr>
          <w:color w:val="auto"/>
          <w:highlight w:val="none"/>
        </w:rPr>
      </w:pPr>
      <w:r>
        <w:rPr>
          <w:color w:val="auto"/>
          <w:highlight w:val="none"/>
        </w:rPr>
        <w:t>根据《企业环境信息依法披露管理办法》（生态环境部令第24号）及《新疆维吾尔自治区生态环境厅环境信息公开办法（试行）》，本项目应当采取主动公开和申请公开两种方式及时、如实地公开其环境信息。</w:t>
      </w:r>
    </w:p>
    <w:p w14:paraId="2BD02EA8">
      <w:pPr>
        <w:pStyle w:val="3"/>
        <w:ind w:firstLine="480"/>
        <w:rPr>
          <w:color w:val="auto"/>
          <w:highlight w:val="none"/>
        </w:rPr>
      </w:pPr>
      <w:r>
        <w:rPr>
          <w:color w:val="auto"/>
          <w:highlight w:val="none"/>
        </w:rPr>
        <w:t>1）主动公开</w:t>
      </w:r>
    </w:p>
    <w:p w14:paraId="6C9ABC7E">
      <w:pPr>
        <w:pStyle w:val="3"/>
        <w:ind w:firstLine="480"/>
        <w:rPr>
          <w:color w:val="auto"/>
          <w:highlight w:val="none"/>
        </w:rPr>
      </w:pPr>
      <w:r>
        <w:rPr>
          <w:color w:val="auto"/>
          <w:highlight w:val="none"/>
        </w:rPr>
        <w:t>主动向社会公开的信息内容包括企业基本信息（企业生产和生态环境保护等方面）、企业环境管理信息（生态环境行政许可、环境保护税、环境污染责任保险、环保信用评价等方面）、污染物产生、治理与排放信息（污染防治设施，污染物排放，有毒有害物质排放，工业固体废物和危险废物产生、贮存、流向、利用、处置，自行监测等方面）、碳排放信息（排放量、排放设施等方面）、生态环境应急信息（突发环境事件应急预案、重污染天气应急响应等方面）、生态环境违法信息、本年度临时环境信息依法披露情况、法律法规规定的其他环境信息等。主动公开的环保信息主要通过</w:t>
      </w:r>
      <w:r>
        <w:rPr>
          <w:rFonts w:hint="eastAsia"/>
          <w:color w:val="auto"/>
          <w:highlight w:val="none"/>
          <w:lang w:eastAsia="zh-CN"/>
        </w:rPr>
        <w:t>阿图什</w:t>
      </w:r>
      <w:r>
        <w:rPr>
          <w:color w:val="auto"/>
          <w:highlight w:val="none"/>
        </w:rPr>
        <w:t>生态环境分局网站公开，同时，根据政府信息内容和特点通过报刊、广播、电视等便于公众知晓的辅助方式公开。</w:t>
      </w:r>
    </w:p>
    <w:p w14:paraId="073E2956">
      <w:pPr>
        <w:pStyle w:val="3"/>
        <w:ind w:firstLine="480"/>
        <w:rPr>
          <w:color w:val="auto"/>
          <w:highlight w:val="none"/>
        </w:rPr>
      </w:pPr>
      <w:r>
        <w:rPr>
          <w:color w:val="auto"/>
          <w:highlight w:val="none"/>
        </w:rPr>
        <w:t>2）依法申请公开</w:t>
      </w:r>
    </w:p>
    <w:p w14:paraId="76C46995">
      <w:pPr>
        <w:pStyle w:val="3"/>
        <w:ind w:firstLine="480"/>
        <w:rPr>
          <w:color w:val="auto"/>
          <w:highlight w:val="none"/>
        </w:rPr>
      </w:pPr>
      <w:r>
        <w:rPr>
          <w:color w:val="auto"/>
          <w:highlight w:val="none"/>
        </w:rPr>
        <w:t>公民、法人和其他组织依照《中华人民共和国政府信息公开条例》的规定，向</w:t>
      </w:r>
      <w:r>
        <w:rPr>
          <w:rFonts w:hint="eastAsia"/>
          <w:color w:val="auto"/>
          <w:highlight w:val="none"/>
          <w:lang w:eastAsia="zh-CN"/>
        </w:rPr>
        <w:t>阿图什</w:t>
      </w:r>
      <w:r>
        <w:rPr>
          <w:color w:val="auto"/>
          <w:highlight w:val="none"/>
        </w:rPr>
        <w:t>生态环境分局及其直属机构申请主动公开以外的环境信息。</w:t>
      </w:r>
    </w:p>
    <w:p w14:paraId="681372CF">
      <w:pPr>
        <w:pStyle w:val="3"/>
        <w:ind w:firstLine="480"/>
        <w:rPr>
          <w:color w:val="auto"/>
          <w:highlight w:val="none"/>
        </w:rPr>
      </w:pPr>
      <w:r>
        <w:rPr>
          <w:rFonts w:hint="eastAsia"/>
          <w:color w:val="auto"/>
          <w:highlight w:val="none"/>
          <w:lang w:eastAsia="zh-CN"/>
        </w:rPr>
        <w:t>（</w:t>
      </w:r>
      <w:r>
        <w:rPr>
          <w:rFonts w:hint="eastAsia"/>
          <w:color w:val="auto"/>
          <w:highlight w:val="none"/>
          <w:lang w:val="en-US" w:eastAsia="zh-CN"/>
        </w:rPr>
        <w:t>6</w:t>
      </w:r>
      <w:r>
        <w:rPr>
          <w:rFonts w:hint="eastAsia"/>
          <w:color w:val="auto"/>
          <w:highlight w:val="none"/>
          <w:lang w:eastAsia="zh-CN"/>
        </w:rPr>
        <w:t>）</w:t>
      </w:r>
      <w:r>
        <w:rPr>
          <w:color w:val="auto"/>
          <w:highlight w:val="none"/>
        </w:rPr>
        <w:t>环境影响评价制度与排污许可制度衔接</w:t>
      </w:r>
    </w:p>
    <w:p w14:paraId="4D286ECD">
      <w:pPr>
        <w:pStyle w:val="3"/>
        <w:ind w:firstLine="480"/>
        <w:rPr>
          <w:color w:val="auto"/>
          <w:highlight w:val="none"/>
        </w:rPr>
      </w:pPr>
      <w:r>
        <w:rPr>
          <w:color w:val="auto"/>
          <w:highlight w:val="none"/>
        </w:rPr>
        <w:t>根据环办环评〔2017〕84号《关于做好环境影响评价制度与排污许可制衔接相关工作的通知》，为贯彻落实《国务院办公厅关于印发控制污染物排放许可制实施方案的通知》（国办发〔2016〕81号），推进环境质量改善，现就做好建设项目环境影响评价制度与排污许可</w:t>
      </w:r>
      <w:r>
        <w:rPr>
          <w:rFonts w:hint="eastAsia"/>
          <w:color w:val="auto"/>
          <w:highlight w:val="none"/>
          <w:lang w:eastAsia="zh-CN"/>
        </w:rPr>
        <w:t>制度</w:t>
      </w:r>
      <w:r>
        <w:rPr>
          <w:color w:val="auto"/>
          <w:highlight w:val="none"/>
        </w:rPr>
        <w:t>有机衔接相关工作通知。2021年3月1日起实施的《排污许可管理条例》第二条：“依照法律规定实行排污许可管理的企业事业单位和其他生产经营者（以下称排污单位），应当依照本条例规定申请取得排污许可证；未取得排污许可证的，不得排放污染物。”排污许可制是企事业单位生产运营期排污的法律依据，是确保环境影响评价提出的污染防治设施和措施落实落地的重要保障。</w:t>
      </w:r>
    </w:p>
    <w:p w14:paraId="232F9520">
      <w:pPr>
        <w:pStyle w:val="3"/>
        <w:ind w:firstLine="480"/>
        <w:rPr>
          <w:color w:val="auto"/>
          <w:highlight w:val="none"/>
        </w:rPr>
      </w:pPr>
      <w:r>
        <w:rPr>
          <w:color w:val="auto"/>
          <w:highlight w:val="none"/>
        </w:rPr>
        <w:t>根据《固定污染源排污许可分类管理名录（2019年版）》（生态环境部令第11号，2019年12月20日），本项目选矿厂属于“四、黑色金属矿采选业08”</w:t>
      </w:r>
      <w:r>
        <w:rPr>
          <w:rFonts w:hint="eastAsia"/>
          <w:color w:val="auto"/>
          <w:highlight w:val="none"/>
        </w:rPr>
        <w:t>，本项目</w:t>
      </w:r>
      <w:r>
        <w:rPr>
          <w:color w:val="auto"/>
          <w:highlight w:val="none"/>
        </w:rPr>
        <w:t>建设2台生物质窑炉（一用一备）</w:t>
      </w:r>
      <w:r>
        <w:rPr>
          <w:rFonts w:hint="eastAsia"/>
          <w:color w:val="auto"/>
          <w:highlight w:val="none"/>
        </w:rPr>
        <w:t>，用于生产烘干提供热风，</w:t>
      </w:r>
      <w:r>
        <w:rPr>
          <w:color w:val="auto"/>
          <w:highlight w:val="none"/>
        </w:rPr>
        <w:t>属于实施</w:t>
      </w:r>
      <w:r>
        <w:rPr>
          <w:rFonts w:hint="eastAsia"/>
          <w:color w:val="auto"/>
          <w:highlight w:val="none"/>
        </w:rPr>
        <w:t>登记</w:t>
      </w:r>
      <w:r>
        <w:rPr>
          <w:color w:val="auto"/>
          <w:highlight w:val="none"/>
        </w:rPr>
        <w:t>管理的行业。本项目在报批环评报告书后、项目实际发生排污行为之前，在全国排污许可证管理信息平台进行填报排污登记表，作为本项目合法运行的前提。</w:t>
      </w:r>
    </w:p>
    <w:p w14:paraId="7378C09E">
      <w:pPr>
        <w:pStyle w:val="42"/>
        <w:rPr>
          <w:rFonts w:hint="default"/>
          <w:color w:val="auto"/>
          <w:highlight w:val="none"/>
        </w:rPr>
      </w:pPr>
      <w:r>
        <w:rPr>
          <w:rFonts w:hint="default"/>
          <w:color w:val="auto"/>
          <w:highlight w:val="none"/>
        </w:rPr>
        <w:t>排污口规范化管理</w:t>
      </w:r>
    </w:p>
    <w:p w14:paraId="7A825EFD">
      <w:pPr>
        <w:pStyle w:val="3"/>
        <w:ind w:firstLine="480"/>
        <w:rPr>
          <w:color w:val="auto"/>
          <w:highlight w:val="none"/>
        </w:rPr>
      </w:pPr>
      <w:r>
        <w:rPr>
          <w:color w:val="auto"/>
          <w:highlight w:val="none"/>
        </w:rPr>
        <w:t>按照生态环境部、新疆维吾尔自治区生态环境厅关于对排放口规范化整治的统一要求，规范废气采样平台，便于环境管理及监测部门的日常监督、检查和监测。首先排污口要立标管理，设立国家标准规定的标志牌，根据排污口污染物的排放特点，设置提示性或警告性环境保护图形标志牌，一般污染源设置提示性标志牌，毒性污染物设置警示性标志牌。</w:t>
      </w:r>
    </w:p>
    <w:p w14:paraId="7682F7D5">
      <w:pPr>
        <w:pStyle w:val="3"/>
        <w:ind w:firstLine="480"/>
        <w:rPr>
          <w:rFonts w:hint="eastAsia"/>
          <w:color w:val="auto"/>
          <w:highlight w:val="none"/>
        </w:rPr>
      </w:pPr>
      <w:r>
        <w:rPr>
          <w:rFonts w:hint="eastAsia"/>
          <w:color w:val="auto"/>
          <w:highlight w:val="none"/>
        </w:rPr>
        <w:t>废气、废水排放口和噪声排放源、固体废物贮存（处置）场图形符号分为提示图形符号和警告图形符号两种，图形符号的设置按GB15562.1-1995执行；危险废物暂存间警示标志按《危险废物识别标志设置技术规范》（HJ1276-2022）设置。相关环境保护图形标志见下表：</w:t>
      </w:r>
    </w:p>
    <w:p w14:paraId="4458A7EF">
      <w:pPr>
        <w:pStyle w:val="3"/>
        <w:ind w:firstLine="480"/>
        <w:rPr>
          <w:rFonts w:hint="eastAsia"/>
          <w:color w:val="auto"/>
          <w:highlight w:val="none"/>
        </w:rPr>
      </w:pPr>
    </w:p>
    <w:p w14:paraId="03D0BEBF">
      <w:pPr>
        <w:pStyle w:val="3"/>
        <w:ind w:firstLine="480"/>
        <w:rPr>
          <w:rFonts w:hint="eastAsia"/>
          <w:color w:val="auto"/>
          <w:highlight w:val="none"/>
        </w:rPr>
      </w:pPr>
    </w:p>
    <w:p w14:paraId="503FA77E">
      <w:pPr>
        <w:pStyle w:val="3"/>
        <w:ind w:firstLine="480"/>
        <w:rPr>
          <w:rFonts w:hint="eastAsia"/>
          <w:color w:val="auto"/>
          <w:highlight w:val="none"/>
        </w:rPr>
      </w:pPr>
    </w:p>
    <w:p w14:paraId="350A5A6D">
      <w:pPr>
        <w:pStyle w:val="3"/>
        <w:ind w:firstLine="480"/>
        <w:rPr>
          <w:rFonts w:hint="eastAsia"/>
          <w:color w:val="auto"/>
          <w:highlight w:val="none"/>
        </w:rPr>
      </w:pPr>
    </w:p>
    <w:p w14:paraId="1F08C4F6">
      <w:pPr>
        <w:pStyle w:val="40"/>
        <w:rPr>
          <w:rFonts w:hint="eastAsia"/>
          <w:color w:val="auto"/>
          <w:highlight w:val="none"/>
        </w:rPr>
      </w:pPr>
    </w:p>
    <w:p w14:paraId="196AA430">
      <w:pPr>
        <w:pStyle w:val="40"/>
        <w:rPr>
          <w:color w:val="auto"/>
          <w:highlight w:val="none"/>
        </w:rPr>
      </w:pPr>
      <w:r>
        <w:rPr>
          <w:rFonts w:hint="eastAsia"/>
          <w:color w:val="auto"/>
          <w:highlight w:val="none"/>
        </w:rPr>
        <w:t>表9.1-2  环境保护图形标志一览表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57" w:type="dxa"/>
          <w:bottom w:w="0" w:type="dxa"/>
          <w:right w:w="57" w:type="dxa"/>
        </w:tblCellMar>
      </w:tblPr>
      <w:tblGrid>
        <w:gridCol w:w="2343"/>
        <w:gridCol w:w="2776"/>
        <w:gridCol w:w="3295"/>
      </w:tblGrid>
      <w:tr w14:paraId="0DBDA5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tblHeader/>
          <w:jc w:val="center"/>
        </w:trPr>
        <w:tc>
          <w:tcPr>
            <w:tcW w:w="1510" w:type="pct"/>
            <w:tcBorders>
              <w:tl2br w:val="nil"/>
              <w:tr2bl w:val="nil"/>
            </w:tcBorders>
            <w:vAlign w:val="center"/>
          </w:tcPr>
          <w:p w14:paraId="2B297804">
            <w:pPr>
              <w:pStyle w:val="41"/>
              <w:rPr>
                <w:color w:val="auto"/>
                <w:highlight w:val="none"/>
              </w:rPr>
            </w:pPr>
            <w:r>
              <w:rPr>
                <w:rFonts w:hint="eastAsia"/>
                <w:color w:val="auto"/>
                <w:highlight w:val="none"/>
              </w:rPr>
              <w:t>名 称</w:t>
            </w:r>
          </w:p>
        </w:tc>
        <w:tc>
          <w:tcPr>
            <w:tcW w:w="1767" w:type="pct"/>
            <w:tcBorders>
              <w:tl2br w:val="nil"/>
              <w:tr2bl w:val="nil"/>
            </w:tcBorders>
            <w:vAlign w:val="center"/>
          </w:tcPr>
          <w:p w14:paraId="70EDFC3B">
            <w:pPr>
              <w:pStyle w:val="41"/>
              <w:rPr>
                <w:color w:val="auto"/>
                <w:highlight w:val="none"/>
              </w:rPr>
            </w:pPr>
            <w:r>
              <w:rPr>
                <w:rFonts w:hint="eastAsia"/>
                <w:color w:val="auto"/>
                <w:highlight w:val="none"/>
              </w:rPr>
              <w:t>提示图形符号</w:t>
            </w:r>
          </w:p>
        </w:tc>
        <w:tc>
          <w:tcPr>
            <w:tcW w:w="1723" w:type="pct"/>
            <w:tcBorders>
              <w:tl2br w:val="nil"/>
              <w:tr2bl w:val="nil"/>
            </w:tcBorders>
            <w:vAlign w:val="center"/>
          </w:tcPr>
          <w:p w14:paraId="74F247E9">
            <w:pPr>
              <w:pStyle w:val="41"/>
              <w:rPr>
                <w:color w:val="auto"/>
                <w:highlight w:val="none"/>
              </w:rPr>
            </w:pPr>
            <w:r>
              <w:rPr>
                <w:rFonts w:hint="eastAsia"/>
                <w:color w:val="auto"/>
                <w:highlight w:val="none"/>
              </w:rPr>
              <w:t>警告图形符号</w:t>
            </w:r>
          </w:p>
        </w:tc>
      </w:tr>
      <w:tr w14:paraId="24D85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10" w:type="pct"/>
            <w:tcBorders>
              <w:tl2br w:val="nil"/>
              <w:tr2bl w:val="nil"/>
            </w:tcBorders>
            <w:vAlign w:val="center"/>
          </w:tcPr>
          <w:p w14:paraId="3F8EF341">
            <w:pPr>
              <w:pStyle w:val="41"/>
              <w:rPr>
                <w:color w:val="auto"/>
                <w:highlight w:val="none"/>
              </w:rPr>
            </w:pPr>
            <w:r>
              <w:rPr>
                <w:rFonts w:hint="eastAsia"/>
                <w:color w:val="auto"/>
                <w:highlight w:val="none"/>
              </w:rPr>
              <w:t>污水排放口</w:t>
            </w:r>
          </w:p>
        </w:tc>
        <w:tc>
          <w:tcPr>
            <w:tcW w:w="1767" w:type="pct"/>
            <w:tcBorders>
              <w:tl2br w:val="nil"/>
              <w:tr2bl w:val="nil"/>
            </w:tcBorders>
            <w:vAlign w:val="center"/>
          </w:tcPr>
          <w:p w14:paraId="6A16E485">
            <w:pPr>
              <w:pStyle w:val="41"/>
              <w:rPr>
                <w:color w:val="auto"/>
                <w:highlight w:val="none"/>
              </w:rPr>
            </w:pPr>
            <w:r>
              <w:rPr>
                <w:rFonts w:hint="eastAsia"/>
                <w:color w:val="auto"/>
                <w:highlight w:val="none"/>
              </w:rPr>
              <w:drawing>
                <wp:inline distT="0" distB="0" distL="114300" distR="114300">
                  <wp:extent cx="1009650" cy="1038225"/>
                  <wp:effectExtent l="0" t="0" r="0" b="9525"/>
                  <wp:docPr id="37"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9"/>
                          <pic:cNvPicPr>
                            <a:picLocks noChangeAspect="1"/>
                          </pic:cNvPicPr>
                        </pic:nvPicPr>
                        <pic:blipFill>
                          <a:blip r:embed="rId89"/>
                          <a:stretch>
                            <a:fillRect/>
                          </a:stretch>
                        </pic:blipFill>
                        <pic:spPr>
                          <a:xfrm>
                            <a:off x="0" y="0"/>
                            <a:ext cx="1009650" cy="1038225"/>
                          </a:xfrm>
                          <a:prstGeom prst="rect">
                            <a:avLst/>
                          </a:prstGeom>
                          <a:noFill/>
                          <a:ln>
                            <a:noFill/>
                          </a:ln>
                        </pic:spPr>
                      </pic:pic>
                    </a:graphicData>
                  </a:graphic>
                </wp:inline>
              </w:drawing>
            </w:r>
          </w:p>
        </w:tc>
        <w:tc>
          <w:tcPr>
            <w:tcW w:w="1723" w:type="pct"/>
            <w:tcBorders>
              <w:tl2br w:val="nil"/>
              <w:tr2bl w:val="nil"/>
            </w:tcBorders>
            <w:vAlign w:val="center"/>
          </w:tcPr>
          <w:p w14:paraId="0B49AF57">
            <w:pPr>
              <w:pStyle w:val="41"/>
              <w:rPr>
                <w:color w:val="auto"/>
                <w:highlight w:val="none"/>
              </w:rPr>
            </w:pPr>
            <w:r>
              <w:rPr>
                <w:rFonts w:hint="eastAsia"/>
                <w:color w:val="auto"/>
                <w:highlight w:val="none"/>
              </w:rPr>
              <w:drawing>
                <wp:inline distT="0" distB="0" distL="114300" distR="114300">
                  <wp:extent cx="1057275" cy="1066800"/>
                  <wp:effectExtent l="0" t="0" r="9525" b="0"/>
                  <wp:docPr id="69"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0"/>
                          <pic:cNvPicPr>
                            <a:picLocks noChangeAspect="1"/>
                          </pic:cNvPicPr>
                        </pic:nvPicPr>
                        <pic:blipFill>
                          <a:blip r:embed="rId90"/>
                          <a:stretch>
                            <a:fillRect/>
                          </a:stretch>
                        </pic:blipFill>
                        <pic:spPr>
                          <a:xfrm>
                            <a:off x="0" y="0"/>
                            <a:ext cx="1057275" cy="1066800"/>
                          </a:xfrm>
                          <a:prstGeom prst="rect">
                            <a:avLst/>
                          </a:prstGeom>
                          <a:noFill/>
                          <a:ln>
                            <a:noFill/>
                          </a:ln>
                        </pic:spPr>
                      </pic:pic>
                    </a:graphicData>
                  </a:graphic>
                </wp:inline>
              </w:drawing>
            </w:r>
          </w:p>
        </w:tc>
      </w:tr>
      <w:tr w14:paraId="10A1CE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10" w:type="pct"/>
            <w:tcBorders>
              <w:tl2br w:val="nil"/>
              <w:tr2bl w:val="nil"/>
            </w:tcBorders>
            <w:vAlign w:val="center"/>
          </w:tcPr>
          <w:p w14:paraId="1B2B944B">
            <w:pPr>
              <w:pStyle w:val="41"/>
              <w:rPr>
                <w:color w:val="auto"/>
                <w:highlight w:val="none"/>
              </w:rPr>
            </w:pPr>
            <w:r>
              <w:rPr>
                <w:rFonts w:hint="eastAsia"/>
                <w:color w:val="auto"/>
                <w:highlight w:val="none"/>
              </w:rPr>
              <w:t>废气排放口</w:t>
            </w:r>
          </w:p>
        </w:tc>
        <w:tc>
          <w:tcPr>
            <w:tcW w:w="1767" w:type="pct"/>
            <w:tcBorders>
              <w:tl2br w:val="nil"/>
              <w:tr2bl w:val="nil"/>
            </w:tcBorders>
            <w:vAlign w:val="center"/>
          </w:tcPr>
          <w:p w14:paraId="71E4BC49">
            <w:pPr>
              <w:pStyle w:val="41"/>
              <w:rPr>
                <w:color w:val="auto"/>
                <w:highlight w:val="none"/>
              </w:rPr>
            </w:pPr>
            <w:r>
              <w:rPr>
                <w:rFonts w:hint="eastAsia"/>
                <w:color w:val="auto"/>
                <w:highlight w:val="none"/>
              </w:rPr>
              <w:drawing>
                <wp:inline distT="0" distB="0" distL="114300" distR="114300">
                  <wp:extent cx="1000125" cy="1000125"/>
                  <wp:effectExtent l="0" t="0" r="9525" b="9525"/>
                  <wp:docPr id="70"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61"/>
                          <pic:cNvPicPr>
                            <a:picLocks noChangeAspect="1"/>
                          </pic:cNvPicPr>
                        </pic:nvPicPr>
                        <pic:blipFill>
                          <a:blip r:embed="rId91"/>
                          <a:stretch>
                            <a:fillRect/>
                          </a:stretch>
                        </pic:blipFill>
                        <pic:spPr>
                          <a:xfrm>
                            <a:off x="0" y="0"/>
                            <a:ext cx="1000125" cy="1000125"/>
                          </a:xfrm>
                          <a:prstGeom prst="rect">
                            <a:avLst/>
                          </a:prstGeom>
                          <a:noFill/>
                          <a:ln>
                            <a:noFill/>
                          </a:ln>
                        </pic:spPr>
                      </pic:pic>
                    </a:graphicData>
                  </a:graphic>
                </wp:inline>
              </w:drawing>
            </w:r>
          </w:p>
        </w:tc>
        <w:tc>
          <w:tcPr>
            <w:tcW w:w="1723" w:type="pct"/>
            <w:tcBorders>
              <w:tl2br w:val="nil"/>
              <w:tr2bl w:val="nil"/>
            </w:tcBorders>
            <w:vAlign w:val="center"/>
          </w:tcPr>
          <w:p w14:paraId="6F1841D0">
            <w:pPr>
              <w:pStyle w:val="41"/>
              <w:rPr>
                <w:color w:val="auto"/>
                <w:highlight w:val="none"/>
              </w:rPr>
            </w:pPr>
            <w:r>
              <w:rPr>
                <w:rFonts w:hint="eastAsia"/>
                <w:color w:val="auto"/>
                <w:highlight w:val="none"/>
              </w:rPr>
              <w:drawing>
                <wp:inline distT="0" distB="0" distL="114300" distR="114300">
                  <wp:extent cx="1076325" cy="1076325"/>
                  <wp:effectExtent l="0" t="0" r="9525" b="9525"/>
                  <wp:docPr id="6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2"/>
                          <pic:cNvPicPr>
                            <a:picLocks noChangeAspect="1"/>
                          </pic:cNvPicPr>
                        </pic:nvPicPr>
                        <pic:blipFill>
                          <a:blip r:embed="rId92"/>
                          <a:stretch>
                            <a:fillRect/>
                          </a:stretch>
                        </pic:blipFill>
                        <pic:spPr>
                          <a:xfrm>
                            <a:off x="0" y="0"/>
                            <a:ext cx="1076325" cy="1076325"/>
                          </a:xfrm>
                          <a:prstGeom prst="rect">
                            <a:avLst/>
                          </a:prstGeom>
                          <a:noFill/>
                          <a:ln>
                            <a:noFill/>
                          </a:ln>
                        </pic:spPr>
                      </pic:pic>
                    </a:graphicData>
                  </a:graphic>
                </wp:inline>
              </w:drawing>
            </w:r>
          </w:p>
        </w:tc>
      </w:tr>
      <w:tr w14:paraId="0738F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10" w:type="pct"/>
            <w:tcBorders>
              <w:tl2br w:val="nil"/>
              <w:tr2bl w:val="nil"/>
            </w:tcBorders>
            <w:vAlign w:val="center"/>
          </w:tcPr>
          <w:p w14:paraId="2A6ECFA4">
            <w:pPr>
              <w:pStyle w:val="41"/>
              <w:rPr>
                <w:color w:val="auto"/>
                <w:highlight w:val="none"/>
              </w:rPr>
            </w:pPr>
            <w:r>
              <w:rPr>
                <w:rFonts w:hint="eastAsia"/>
                <w:color w:val="auto"/>
                <w:highlight w:val="none"/>
              </w:rPr>
              <w:t>噪声排放源</w:t>
            </w:r>
          </w:p>
        </w:tc>
        <w:tc>
          <w:tcPr>
            <w:tcW w:w="1767" w:type="pct"/>
            <w:tcBorders>
              <w:tl2br w:val="nil"/>
              <w:tr2bl w:val="nil"/>
            </w:tcBorders>
            <w:vAlign w:val="center"/>
          </w:tcPr>
          <w:p w14:paraId="78208AC3">
            <w:pPr>
              <w:pStyle w:val="41"/>
              <w:rPr>
                <w:color w:val="auto"/>
                <w:highlight w:val="none"/>
              </w:rPr>
            </w:pPr>
            <w:r>
              <w:rPr>
                <w:rFonts w:hint="eastAsia"/>
                <w:color w:val="auto"/>
                <w:highlight w:val="none"/>
              </w:rPr>
              <w:drawing>
                <wp:inline distT="0" distB="0" distL="114300" distR="114300">
                  <wp:extent cx="1000125" cy="1000125"/>
                  <wp:effectExtent l="0" t="0" r="9525" b="9525"/>
                  <wp:docPr id="76"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63"/>
                          <pic:cNvPicPr>
                            <a:picLocks noChangeAspect="1"/>
                          </pic:cNvPicPr>
                        </pic:nvPicPr>
                        <pic:blipFill>
                          <a:blip r:embed="rId93"/>
                          <a:stretch>
                            <a:fillRect/>
                          </a:stretch>
                        </pic:blipFill>
                        <pic:spPr>
                          <a:xfrm>
                            <a:off x="0" y="0"/>
                            <a:ext cx="1000125" cy="1000125"/>
                          </a:xfrm>
                          <a:prstGeom prst="rect">
                            <a:avLst/>
                          </a:prstGeom>
                          <a:noFill/>
                          <a:ln>
                            <a:noFill/>
                          </a:ln>
                        </pic:spPr>
                      </pic:pic>
                    </a:graphicData>
                  </a:graphic>
                </wp:inline>
              </w:drawing>
            </w:r>
          </w:p>
        </w:tc>
        <w:tc>
          <w:tcPr>
            <w:tcW w:w="1723" w:type="pct"/>
            <w:tcBorders>
              <w:tl2br w:val="nil"/>
              <w:tr2bl w:val="nil"/>
            </w:tcBorders>
            <w:vAlign w:val="center"/>
          </w:tcPr>
          <w:p w14:paraId="13783FEC">
            <w:pPr>
              <w:pStyle w:val="41"/>
              <w:rPr>
                <w:color w:val="auto"/>
                <w:highlight w:val="none"/>
              </w:rPr>
            </w:pPr>
            <w:r>
              <w:rPr>
                <w:rFonts w:hint="eastAsia"/>
                <w:color w:val="auto"/>
                <w:highlight w:val="none"/>
              </w:rPr>
              <w:drawing>
                <wp:inline distT="0" distB="0" distL="114300" distR="114300">
                  <wp:extent cx="1057275" cy="923925"/>
                  <wp:effectExtent l="0" t="0" r="9525" b="9525"/>
                  <wp:docPr id="7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4"/>
                          <pic:cNvPicPr>
                            <a:picLocks noChangeAspect="1"/>
                          </pic:cNvPicPr>
                        </pic:nvPicPr>
                        <pic:blipFill>
                          <a:blip r:embed="rId94"/>
                          <a:stretch>
                            <a:fillRect/>
                          </a:stretch>
                        </pic:blipFill>
                        <pic:spPr>
                          <a:xfrm>
                            <a:off x="0" y="0"/>
                            <a:ext cx="1057275" cy="923925"/>
                          </a:xfrm>
                          <a:prstGeom prst="rect">
                            <a:avLst/>
                          </a:prstGeom>
                          <a:noFill/>
                          <a:ln>
                            <a:noFill/>
                          </a:ln>
                        </pic:spPr>
                      </pic:pic>
                    </a:graphicData>
                  </a:graphic>
                </wp:inline>
              </w:drawing>
            </w:r>
          </w:p>
        </w:tc>
      </w:tr>
      <w:tr w14:paraId="19248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10" w:type="pct"/>
            <w:tcBorders>
              <w:tl2br w:val="nil"/>
              <w:tr2bl w:val="nil"/>
            </w:tcBorders>
            <w:vAlign w:val="center"/>
          </w:tcPr>
          <w:p w14:paraId="2F314AF6">
            <w:pPr>
              <w:pStyle w:val="41"/>
              <w:rPr>
                <w:color w:val="auto"/>
                <w:highlight w:val="none"/>
              </w:rPr>
            </w:pPr>
            <w:r>
              <w:rPr>
                <w:rFonts w:hint="eastAsia"/>
                <w:color w:val="auto"/>
                <w:highlight w:val="none"/>
              </w:rPr>
              <w:t>一般固体废物</w:t>
            </w:r>
          </w:p>
        </w:tc>
        <w:tc>
          <w:tcPr>
            <w:tcW w:w="1767" w:type="pct"/>
            <w:vMerge w:val="restart"/>
            <w:tcBorders>
              <w:tl2br w:val="nil"/>
              <w:tr2bl w:val="nil"/>
            </w:tcBorders>
            <w:vAlign w:val="center"/>
          </w:tcPr>
          <w:p w14:paraId="11159B4F">
            <w:pPr>
              <w:pStyle w:val="41"/>
              <w:rPr>
                <w:color w:val="auto"/>
                <w:highlight w:val="none"/>
              </w:rPr>
            </w:pPr>
            <w:r>
              <w:rPr>
                <w:rFonts w:hint="eastAsia"/>
                <w:color w:val="auto"/>
                <w:highlight w:val="none"/>
              </w:rPr>
              <w:drawing>
                <wp:inline distT="0" distB="0" distL="114300" distR="114300">
                  <wp:extent cx="1228725" cy="1247775"/>
                  <wp:effectExtent l="0" t="0" r="9525" b="9525"/>
                  <wp:docPr id="64"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5"/>
                          <pic:cNvPicPr>
                            <a:picLocks noChangeAspect="1"/>
                          </pic:cNvPicPr>
                        </pic:nvPicPr>
                        <pic:blipFill>
                          <a:blip r:embed="rId95"/>
                          <a:stretch>
                            <a:fillRect/>
                          </a:stretch>
                        </pic:blipFill>
                        <pic:spPr>
                          <a:xfrm>
                            <a:off x="0" y="0"/>
                            <a:ext cx="1228725" cy="1247775"/>
                          </a:xfrm>
                          <a:prstGeom prst="rect">
                            <a:avLst/>
                          </a:prstGeom>
                          <a:noFill/>
                          <a:ln>
                            <a:noFill/>
                          </a:ln>
                        </pic:spPr>
                      </pic:pic>
                    </a:graphicData>
                  </a:graphic>
                </wp:inline>
              </w:drawing>
            </w:r>
          </w:p>
        </w:tc>
        <w:tc>
          <w:tcPr>
            <w:tcW w:w="1723" w:type="pct"/>
            <w:tcBorders>
              <w:tl2br w:val="nil"/>
              <w:tr2bl w:val="nil"/>
            </w:tcBorders>
            <w:vAlign w:val="center"/>
          </w:tcPr>
          <w:p w14:paraId="04F3D44F">
            <w:pPr>
              <w:pStyle w:val="41"/>
              <w:rPr>
                <w:color w:val="auto"/>
                <w:highlight w:val="none"/>
              </w:rPr>
            </w:pPr>
            <w:r>
              <w:rPr>
                <w:rFonts w:hint="eastAsia"/>
                <w:color w:val="auto"/>
                <w:highlight w:val="none"/>
              </w:rPr>
              <w:drawing>
                <wp:inline distT="0" distB="0" distL="114300" distR="114300">
                  <wp:extent cx="1114425" cy="1038225"/>
                  <wp:effectExtent l="0" t="0" r="9525" b="9525"/>
                  <wp:docPr id="65"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6"/>
                          <pic:cNvPicPr>
                            <a:picLocks noChangeAspect="1"/>
                          </pic:cNvPicPr>
                        </pic:nvPicPr>
                        <pic:blipFill>
                          <a:blip r:embed="rId96"/>
                          <a:stretch>
                            <a:fillRect/>
                          </a:stretch>
                        </pic:blipFill>
                        <pic:spPr>
                          <a:xfrm>
                            <a:off x="0" y="0"/>
                            <a:ext cx="1114425" cy="1038225"/>
                          </a:xfrm>
                          <a:prstGeom prst="rect">
                            <a:avLst/>
                          </a:prstGeom>
                          <a:noFill/>
                          <a:ln>
                            <a:noFill/>
                          </a:ln>
                        </pic:spPr>
                      </pic:pic>
                    </a:graphicData>
                  </a:graphic>
                </wp:inline>
              </w:drawing>
            </w:r>
          </w:p>
        </w:tc>
      </w:tr>
      <w:tr w14:paraId="2E3812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10" w:type="pct"/>
            <w:tcBorders>
              <w:tl2br w:val="nil"/>
              <w:tr2bl w:val="nil"/>
            </w:tcBorders>
            <w:vAlign w:val="center"/>
          </w:tcPr>
          <w:p w14:paraId="2A526750">
            <w:pPr>
              <w:pStyle w:val="41"/>
              <w:rPr>
                <w:color w:val="auto"/>
                <w:highlight w:val="none"/>
              </w:rPr>
            </w:pPr>
            <w:r>
              <w:rPr>
                <w:rFonts w:hint="eastAsia"/>
                <w:color w:val="auto"/>
                <w:highlight w:val="none"/>
              </w:rPr>
              <w:t>危险废物</w:t>
            </w:r>
          </w:p>
        </w:tc>
        <w:tc>
          <w:tcPr>
            <w:tcW w:w="1767" w:type="pct"/>
            <w:vMerge w:val="continue"/>
            <w:tcBorders>
              <w:tl2br w:val="nil"/>
              <w:tr2bl w:val="nil"/>
            </w:tcBorders>
            <w:vAlign w:val="center"/>
          </w:tcPr>
          <w:p w14:paraId="3652444D">
            <w:pPr>
              <w:pStyle w:val="41"/>
              <w:rPr>
                <w:color w:val="auto"/>
                <w:highlight w:val="none"/>
              </w:rPr>
            </w:pPr>
          </w:p>
        </w:tc>
        <w:tc>
          <w:tcPr>
            <w:tcW w:w="1723" w:type="pct"/>
            <w:tcBorders>
              <w:tl2br w:val="nil"/>
              <w:tr2bl w:val="nil"/>
            </w:tcBorders>
            <w:vAlign w:val="center"/>
          </w:tcPr>
          <w:p w14:paraId="0D130874">
            <w:pPr>
              <w:pStyle w:val="41"/>
              <w:rPr>
                <w:color w:val="auto"/>
                <w:highlight w:val="none"/>
              </w:rPr>
            </w:pPr>
            <w:r>
              <w:rPr>
                <w:color w:val="auto"/>
                <w:highlight w:val="none"/>
              </w:rPr>
              <w:drawing>
                <wp:inline distT="0" distB="0" distL="114300" distR="114300">
                  <wp:extent cx="2006600" cy="1265555"/>
                  <wp:effectExtent l="0" t="0" r="12700" b="10795"/>
                  <wp:docPr id="6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7"/>
                          <pic:cNvPicPr>
                            <a:picLocks noChangeAspect="1"/>
                          </pic:cNvPicPr>
                        </pic:nvPicPr>
                        <pic:blipFill>
                          <a:blip r:embed="rId97"/>
                          <a:stretch>
                            <a:fillRect/>
                          </a:stretch>
                        </pic:blipFill>
                        <pic:spPr>
                          <a:xfrm>
                            <a:off x="0" y="0"/>
                            <a:ext cx="2006600" cy="1265555"/>
                          </a:xfrm>
                          <a:prstGeom prst="rect">
                            <a:avLst/>
                          </a:prstGeom>
                          <a:noFill/>
                          <a:ln>
                            <a:noFill/>
                          </a:ln>
                        </pic:spPr>
                      </pic:pic>
                    </a:graphicData>
                  </a:graphic>
                </wp:inline>
              </w:drawing>
            </w:r>
          </w:p>
        </w:tc>
      </w:tr>
    </w:tbl>
    <w:p w14:paraId="3834039A">
      <w:pPr>
        <w:pStyle w:val="3"/>
        <w:ind w:firstLine="480"/>
        <w:rPr>
          <w:color w:val="auto"/>
          <w:highlight w:val="none"/>
        </w:rPr>
      </w:pPr>
      <w:r>
        <w:rPr>
          <w:rFonts w:hint="eastAsia"/>
          <w:color w:val="auto"/>
          <w:highlight w:val="none"/>
        </w:rPr>
        <w:t>（1）排污口立标</w:t>
      </w:r>
    </w:p>
    <w:p w14:paraId="3E7AF919">
      <w:pPr>
        <w:pStyle w:val="3"/>
        <w:ind w:firstLine="480"/>
        <w:rPr>
          <w:color w:val="auto"/>
          <w:highlight w:val="none"/>
        </w:rPr>
      </w:pPr>
      <w:r>
        <w:rPr>
          <w:rFonts w:hint="eastAsia"/>
          <w:color w:val="auto"/>
          <w:highlight w:val="none"/>
        </w:rPr>
        <w:t>①污染物排放口的环保图形标志牌应设置在靠近采样点，且醒目处，标志牌设置高度为其上边缘距离地面约2m；</w:t>
      </w:r>
    </w:p>
    <w:p w14:paraId="0EB2F8DF">
      <w:pPr>
        <w:pStyle w:val="3"/>
        <w:ind w:firstLine="480"/>
        <w:rPr>
          <w:color w:val="auto"/>
          <w:highlight w:val="none"/>
        </w:rPr>
      </w:pPr>
      <w:r>
        <w:rPr>
          <w:rFonts w:hint="eastAsia"/>
          <w:color w:val="auto"/>
          <w:highlight w:val="none"/>
        </w:rPr>
        <w:t>②重点排污单位的污染物排放口以设置立式标志牌为主，一般排污单位的污染物排放口，可根据情况设置立式或平面固定式标志牌。</w:t>
      </w:r>
    </w:p>
    <w:p w14:paraId="03022CC0">
      <w:pPr>
        <w:pStyle w:val="3"/>
        <w:ind w:firstLine="480"/>
        <w:rPr>
          <w:color w:val="auto"/>
          <w:highlight w:val="none"/>
        </w:rPr>
      </w:pPr>
      <w:r>
        <w:rPr>
          <w:rFonts w:hint="eastAsia"/>
          <w:color w:val="auto"/>
          <w:highlight w:val="none"/>
        </w:rPr>
        <w:t>（2）排污口管理</w:t>
      </w:r>
    </w:p>
    <w:p w14:paraId="057B7BE6">
      <w:pPr>
        <w:pStyle w:val="3"/>
        <w:ind w:firstLine="480"/>
        <w:rPr>
          <w:color w:val="auto"/>
          <w:highlight w:val="none"/>
        </w:rPr>
      </w:pPr>
      <w:r>
        <w:rPr>
          <w:rFonts w:hint="eastAsia"/>
          <w:color w:val="auto"/>
          <w:highlight w:val="none"/>
        </w:rPr>
        <w:t>①管理原则</w:t>
      </w:r>
    </w:p>
    <w:p w14:paraId="6D4CD83B">
      <w:pPr>
        <w:pStyle w:val="3"/>
        <w:ind w:firstLine="480"/>
        <w:rPr>
          <w:color w:val="auto"/>
          <w:highlight w:val="none"/>
        </w:rPr>
      </w:pPr>
      <w:r>
        <w:rPr>
          <w:rFonts w:hint="eastAsia"/>
          <w:color w:val="auto"/>
          <w:highlight w:val="none"/>
        </w:rPr>
        <w:t>排污口是企业污染物进入环境，污染环境的通道，强化排污口的管理是实施污染物总量控制的基础工作之一，也是区域环境管理逐步实现污染物排放科学化、定量化的重要手段。具体管理原则如下：</w:t>
      </w:r>
    </w:p>
    <w:p w14:paraId="381050AD">
      <w:pPr>
        <w:pStyle w:val="3"/>
        <w:ind w:firstLine="480"/>
        <w:rPr>
          <w:color w:val="auto"/>
          <w:highlight w:val="none"/>
        </w:rPr>
      </w:pPr>
      <w:r>
        <w:rPr>
          <w:rFonts w:hint="eastAsia"/>
          <w:color w:val="auto"/>
          <w:highlight w:val="none"/>
        </w:rPr>
        <w:t>a.向环境排放的污染物的排放口必须规范化。</w:t>
      </w:r>
    </w:p>
    <w:p w14:paraId="64F3D423">
      <w:pPr>
        <w:pStyle w:val="3"/>
        <w:ind w:firstLine="480"/>
        <w:rPr>
          <w:color w:val="auto"/>
          <w:highlight w:val="none"/>
        </w:rPr>
      </w:pPr>
      <w:r>
        <w:rPr>
          <w:rFonts w:hint="eastAsia"/>
          <w:color w:val="auto"/>
          <w:highlight w:val="none"/>
        </w:rPr>
        <w:t>b.列入总量控制的污染物排放源列为管理的重点。</w:t>
      </w:r>
    </w:p>
    <w:p w14:paraId="791E3401">
      <w:pPr>
        <w:pStyle w:val="3"/>
        <w:ind w:firstLine="480"/>
        <w:rPr>
          <w:color w:val="auto"/>
          <w:highlight w:val="none"/>
        </w:rPr>
      </w:pPr>
      <w:r>
        <w:rPr>
          <w:rFonts w:hint="eastAsia"/>
          <w:color w:val="auto"/>
          <w:highlight w:val="none"/>
        </w:rPr>
        <w:t>c.如实向环保管理部门申报排污口数量、位置及所排放的主要污染物种类、数量、浓度、排放去向等情况。</w:t>
      </w:r>
    </w:p>
    <w:p w14:paraId="16BDFCC8">
      <w:pPr>
        <w:pStyle w:val="3"/>
        <w:ind w:firstLine="480"/>
        <w:rPr>
          <w:color w:val="auto"/>
          <w:highlight w:val="none"/>
        </w:rPr>
      </w:pPr>
      <w:r>
        <w:rPr>
          <w:rFonts w:hint="eastAsia"/>
          <w:color w:val="auto"/>
          <w:highlight w:val="none"/>
        </w:rPr>
        <w:t>d.废气排气装置应设置便于采样、监测的采样孔和采样平台，设置应符合《污染源监测技术规范》。</w:t>
      </w:r>
    </w:p>
    <w:p w14:paraId="11974639">
      <w:pPr>
        <w:pStyle w:val="3"/>
        <w:ind w:firstLine="480"/>
        <w:rPr>
          <w:color w:val="auto"/>
          <w:highlight w:val="none"/>
        </w:rPr>
      </w:pPr>
      <w:r>
        <w:rPr>
          <w:rFonts w:hint="eastAsia"/>
          <w:color w:val="auto"/>
          <w:highlight w:val="none"/>
        </w:rPr>
        <w:t>②排放源建档</w:t>
      </w:r>
    </w:p>
    <w:p w14:paraId="736DA9B5">
      <w:pPr>
        <w:pStyle w:val="3"/>
        <w:ind w:firstLine="480"/>
        <w:rPr>
          <w:color w:val="auto"/>
          <w:highlight w:val="none"/>
        </w:rPr>
      </w:pPr>
      <w:r>
        <w:rPr>
          <w:rFonts w:hint="eastAsia"/>
          <w:color w:val="auto"/>
          <w:highlight w:val="none"/>
        </w:rPr>
        <w:t>a.本项目应使用原国家环保局统一印制的《中华人民共和国规范化排污口标志登记证》，并按要求填写有关内容；</w:t>
      </w:r>
    </w:p>
    <w:p w14:paraId="51147D03">
      <w:pPr>
        <w:pStyle w:val="3"/>
        <w:ind w:firstLine="480"/>
        <w:rPr>
          <w:color w:val="auto"/>
          <w:highlight w:val="none"/>
        </w:rPr>
      </w:pPr>
      <w:r>
        <w:rPr>
          <w:rFonts w:hint="eastAsia"/>
          <w:color w:val="auto"/>
          <w:highlight w:val="none"/>
        </w:rPr>
        <w:t>b.根据排污口管理内容要求，项目建成投产后，应将主要污染物种类、数量、浓度、排放去向，达标情况及设施运行情况记录于档案。</w:t>
      </w:r>
    </w:p>
    <w:p w14:paraId="1A0CCA76">
      <w:pPr>
        <w:pStyle w:val="39"/>
        <w:rPr>
          <w:rFonts w:hint="default"/>
          <w:color w:val="auto"/>
          <w:highlight w:val="none"/>
        </w:rPr>
      </w:pPr>
      <w:bookmarkStart w:id="479" w:name="_Toc31570"/>
      <w:bookmarkStart w:id="480" w:name="_Toc23735"/>
      <w:r>
        <w:rPr>
          <w:rFonts w:hint="default"/>
          <w:color w:val="auto"/>
          <w:highlight w:val="none"/>
        </w:rPr>
        <w:t>环境监测计划</w:t>
      </w:r>
      <w:bookmarkEnd w:id="479"/>
      <w:bookmarkEnd w:id="480"/>
    </w:p>
    <w:p w14:paraId="77BFD9B2">
      <w:pPr>
        <w:pStyle w:val="42"/>
        <w:rPr>
          <w:rFonts w:hint="default"/>
          <w:color w:val="auto"/>
          <w:highlight w:val="none"/>
        </w:rPr>
      </w:pPr>
      <w:r>
        <w:rPr>
          <w:color w:val="auto"/>
          <w:highlight w:val="none"/>
        </w:rPr>
        <w:t>监测目的</w:t>
      </w:r>
    </w:p>
    <w:p w14:paraId="160F70C9">
      <w:pPr>
        <w:pStyle w:val="3"/>
        <w:ind w:firstLine="480"/>
        <w:rPr>
          <w:color w:val="auto"/>
          <w:highlight w:val="none"/>
        </w:rPr>
      </w:pPr>
      <w:r>
        <w:rPr>
          <w:color w:val="auto"/>
          <w:highlight w:val="none"/>
        </w:rPr>
        <w:t>环境监测计划是为环境管理服务的一项重要制度，通过环境监测，及时了解企业的环境状况，不断完善、改进防治措施，清洁生产，不断适应环境保护的发展要求，是实现企业环境管理定量化、规范化的重要技术支持。建立一套完善而行之有效的环境监测计划是企业环境保护工作的重要组成部分。为切实控制本项目治理设施的有效运行和“达标排放”，落实排污总量控制制度，根据《建设项目环境保护管理条例》的规定，项目应进行污染源监测、环境质量监测。</w:t>
      </w:r>
    </w:p>
    <w:p w14:paraId="696690E1">
      <w:pPr>
        <w:pStyle w:val="42"/>
        <w:rPr>
          <w:rFonts w:hint="default"/>
          <w:color w:val="auto"/>
          <w:highlight w:val="none"/>
        </w:rPr>
      </w:pPr>
      <w:r>
        <w:rPr>
          <w:color w:val="auto"/>
          <w:highlight w:val="none"/>
        </w:rPr>
        <w:t>监测机构</w:t>
      </w:r>
    </w:p>
    <w:p w14:paraId="1ED0FAFB">
      <w:pPr>
        <w:pStyle w:val="3"/>
        <w:ind w:firstLine="480"/>
        <w:rPr>
          <w:color w:val="auto"/>
          <w:highlight w:val="none"/>
        </w:rPr>
      </w:pPr>
      <w:r>
        <w:rPr>
          <w:color w:val="auto"/>
          <w:highlight w:val="none"/>
        </w:rPr>
        <w:t>环境及污染源监测由建设方委托第三方监测机构按有关规程定期进行。</w:t>
      </w:r>
    </w:p>
    <w:p w14:paraId="52393098">
      <w:pPr>
        <w:pStyle w:val="42"/>
        <w:rPr>
          <w:color w:val="auto"/>
          <w:highlight w:val="none"/>
        </w:rPr>
      </w:pPr>
      <w:r>
        <w:rPr>
          <w:rFonts w:hint="eastAsia"/>
          <w:color w:val="auto"/>
          <w:highlight w:val="none"/>
        </w:rPr>
        <w:t>监测内容</w:t>
      </w:r>
    </w:p>
    <w:p w14:paraId="770A2702">
      <w:pPr>
        <w:pStyle w:val="3"/>
        <w:ind w:firstLine="480"/>
        <w:rPr>
          <w:color w:val="auto"/>
          <w:highlight w:val="none"/>
        </w:rPr>
      </w:pPr>
      <w:r>
        <w:rPr>
          <w:color w:val="auto"/>
          <w:highlight w:val="none"/>
        </w:rPr>
        <w:t>根据《排污单位自行监测技术指南总则》（HJ819-2017）、《工业企业土壤和地下水自行监测 技术指南》（HJ1209-2021）</w:t>
      </w:r>
      <w:r>
        <w:rPr>
          <w:rFonts w:hint="eastAsia"/>
          <w:color w:val="auto"/>
          <w:highlight w:val="none"/>
        </w:rPr>
        <w:t>、《排污许可证申请与核发技术规范 工业炉窑》（HJ1121-2020）、《排污许可证申请与核发技术规范 工业噪声》（HJ1301-2023）</w:t>
      </w:r>
      <w:r>
        <w:rPr>
          <w:color w:val="auto"/>
          <w:highlight w:val="none"/>
        </w:rPr>
        <w:t>制定运营期环境监测计划，运营期环境监测分为污染源监测和环境质量监测</w:t>
      </w:r>
      <w:r>
        <w:rPr>
          <w:rFonts w:hint="eastAsia"/>
          <w:color w:val="auto"/>
          <w:highlight w:val="none"/>
        </w:rPr>
        <w:t>。</w:t>
      </w:r>
    </w:p>
    <w:p w14:paraId="5B87783A">
      <w:pPr>
        <w:pStyle w:val="3"/>
        <w:ind w:firstLine="480"/>
        <w:rPr>
          <w:color w:val="auto"/>
          <w:highlight w:val="none"/>
        </w:rPr>
      </w:pPr>
      <w:r>
        <w:rPr>
          <w:rFonts w:hint="eastAsia"/>
          <w:color w:val="auto"/>
          <w:highlight w:val="none"/>
        </w:rPr>
        <w:t>（1）污染源</w:t>
      </w:r>
      <w:r>
        <w:rPr>
          <w:color w:val="auto"/>
          <w:highlight w:val="none"/>
        </w:rPr>
        <w:t>监测计划</w:t>
      </w:r>
    </w:p>
    <w:p w14:paraId="771C36B0">
      <w:pPr>
        <w:pStyle w:val="40"/>
        <w:rPr>
          <w:color w:val="auto"/>
          <w:highlight w:val="none"/>
        </w:rPr>
      </w:pPr>
      <w:r>
        <w:rPr>
          <w:color w:val="auto"/>
          <w:highlight w:val="none"/>
        </w:rPr>
        <w:t>表</w:t>
      </w:r>
      <w:r>
        <w:rPr>
          <w:rFonts w:hint="eastAsia"/>
          <w:color w:val="auto"/>
          <w:highlight w:val="none"/>
        </w:rPr>
        <w:t>9.2-1</w:t>
      </w:r>
      <w:r>
        <w:rPr>
          <w:color w:val="auto"/>
          <w:highlight w:val="none"/>
        </w:rPr>
        <w:t xml:space="preserve">  运营期污染源监控计划一览表</w:t>
      </w:r>
    </w:p>
    <w:tbl>
      <w:tblPr>
        <w:tblStyle w:val="25"/>
        <w:tblW w:w="499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57" w:type="dxa"/>
          <w:bottom w:w="0" w:type="dxa"/>
          <w:right w:w="57" w:type="dxa"/>
        </w:tblCellMar>
      </w:tblPr>
      <w:tblGrid>
        <w:gridCol w:w="981"/>
        <w:gridCol w:w="1896"/>
        <w:gridCol w:w="2110"/>
        <w:gridCol w:w="1893"/>
        <w:gridCol w:w="1529"/>
      </w:tblGrid>
      <w:tr w14:paraId="50316C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23" w:hRule="atLeast"/>
          <w:tblHeader/>
          <w:jc w:val="center"/>
        </w:trPr>
        <w:tc>
          <w:tcPr>
            <w:tcW w:w="583" w:type="pct"/>
            <w:tcBorders>
              <w:tl2br w:val="nil"/>
              <w:tr2bl w:val="nil"/>
            </w:tcBorders>
            <w:vAlign w:val="center"/>
          </w:tcPr>
          <w:p w14:paraId="106AF42D">
            <w:pPr>
              <w:pStyle w:val="41"/>
              <w:rPr>
                <w:color w:val="auto"/>
                <w:highlight w:val="none"/>
              </w:rPr>
            </w:pPr>
            <w:r>
              <w:rPr>
                <w:color w:val="auto"/>
                <w:highlight w:val="none"/>
              </w:rPr>
              <w:t>类别</w:t>
            </w:r>
          </w:p>
        </w:tc>
        <w:tc>
          <w:tcPr>
            <w:tcW w:w="1127" w:type="pct"/>
            <w:tcBorders>
              <w:tl2br w:val="nil"/>
              <w:tr2bl w:val="nil"/>
            </w:tcBorders>
            <w:vAlign w:val="center"/>
          </w:tcPr>
          <w:p w14:paraId="72262E19">
            <w:pPr>
              <w:pStyle w:val="41"/>
              <w:rPr>
                <w:color w:val="auto"/>
                <w:highlight w:val="none"/>
              </w:rPr>
            </w:pPr>
            <w:r>
              <w:rPr>
                <w:color w:val="auto"/>
                <w:highlight w:val="none"/>
              </w:rPr>
              <w:t>污染源</w:t>
            </w:r>
          </w:p>
        </w:tc>
        <w:tc>
          <w:tcPr>
            <w:tcW w:w="1254" w:type="pct"/>
            <w:tcBorders>
              <w:tl2br w:val="nil"/>
              <w:tr2bl w:val="nil"/>
            </w:tcBorders>
            <w:vAlign w:val="center"/>
          </w:tcPr>
          <w:p w14:paraId="3DC3676C">
            <w:pPr>
              <w:pStyle w:val="41"/>
              <w:rPr>
                <w:color w:val="auto"/>
                <w:highlight w:val="none"/>
              </w:rPr>
            </w:pPr>
            <w:r>
              <w:rPr>
                <w:color w:val="auto"/>
                <w:highlight w:val="none"/>
              </w:rPr>
              <w:t>监测点位置</w:t>
            </w:r>
          </w:p>
        </w:tc>
        <w:tc>
          <w:tcPr>
            <w:tcW w:w="1125" w:type="pct"/>
            <w:tcBorders>
              <w:tl2br w:val="nil"/>
              <w:tr2bl w:val="nil"/>
            </w:tcBorders>
            <w:vAlign w:val="center"/>
          </w:tcPr>
          <w:p w14:paraId="0C637B45">
            <w:pPr>
              <w:pStyle w:val="41"/>
              <w:rPr>
                <w:color w:val="auto"/>
                <w:highlight w:val="none"/>
              </w:rPr>
            </w:pPr>
            <w:r>
              <w:rPr>
                <w:color w:val="auto"/>
                <w:highlight w:val="none"/>
              </w:rPr>
              <w:t>监测因子</w:t>
            </w:r>
          </w:p>
        </w:tc>
        <w:tc>
          <w:tcPr>
            <w:tcW w:w="909" w:type="pct"/>
            <w:tcBorders>
              <w:tl2br w:val="nil"/>
              <w:tr2bl w:val="nil"/>
            </w:tcBorders>
            <w:vAlign w:val="center"/>
          </w:tcPr>
          <w:p w14:paraId="5F7CC228">
            <w:pPr>
              <w:pStyle w:val="41"/>
              <w:rPr>
                <w:color w:val="auto"/>
                <w:highlight w:val="none"/>
              </w:rPr>
            </w:pPr>
            <w:r>
              <w:rPr>
                <w:color w:val="auto"/>
                <w:highlight w:val="none"/>
              </w:rPr>
              <w:t>监测频次</w:t>
            </w:r>
          </w:p>
        </w:tc>
      </w:tr>
      <w:tr w14:paraId="6CF7F8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23" w:hRule="atLeast"/>
          <w:tblHeader/>
          <w:jc w:val="center"/>
        </w:trPr>
        <w:tc>
          <w:tcPr>
            <w:tcW w:w="583" w:type="pct"/>
            <w:vMerge w:val="restart"/>
            <w:tcBorders>
              <w:tl2br w:val="nil"/>
              <w:tr2bl w:val="nil"/>
            </w:tcBorders>
            <w:vAlign w:val="center"/>
          </w:tcPr>
          <w:p w14:paraId="13146B71">
            <w:pPr>
              <w:pStyle w:val="41"/>
              <w:rPr>
                <w:color w:val="auto"/>
                <w:highlight w:val="none"/>
              </w:rPr>
            </w:pPr>
            <w:r>
              <w:rPr>
                <w:rFonts w:hint="eastAsia"/>
                <w:color w:val="auto"/>
                <w:highlight w:val="none"/>
              </w:rPr>
              <w:t>有组织废气</w:t>
            </w:r>
          </w:p>
        </w:tc>
        <w:tc>
          <w:tcPr>
            <w:tcW w:w="1127" w:type="pct"/>
            <w:tcBorders>
              <w:tl2br w:val="nil"/>
              <w:tr2bl w:val="nil"/>
            </w:tcBorders>
            <w:vAlign w:val="center"/>
          </w:tcPr>
          <w:p w14:paraId="116A7AA3">
            <w:pPr>
              <w:pStyle w:val="41"/>
              <w:rPr>
                <w:color w:val="auto"/>
                <w:highlight w:val="none"/>
              </w:rPr>
            </w:pPr>
            <w:r>
              <w:rPr>
                <w:rFonts w:hint="eastAsia"/>
                <w:color w:val="auto"/>
                <w:highlight w:val="none"/>
              </w:rPr>
              <w:t>滚轴筛车间</w:t>
            </w:r>
          </w:p>
        </w:tc>
        <w:tc>
          <w:tcPr>
            <w:tcW w:w="1254" w:type="pct"/>
            <w:tcBorders>
              <w:tl2br w:val="nil"/>
              <w:tr2bl w:val="nil"/>
            </w:tcBorders>
            <w:vAlign w:val="center"/>
          </w:tcPr>
          <w:p w14:paraId="3CEF759D">
            <w:pPr>
              <w:pStyle w:val="41"/>
              <w:rPr>
                <w:color w:val="auto"/>
                <w:highlight w:val="none"/>
              </w:rPr>
            </w:pPr>
            <w:r>
              <w:rPr>
                <w:rFonts w:hint="eastAsia"/>
                <w:color w:val="auto"/>
                <w:highlight w:val="none"/>
              </w:rPr>
              <w:t>排气筒（DA001）</w:t>
            </w:r>
          </w:p>
        </w:tc>
        <w:tc>
          <w:tcPr>
            <w:tcW w:w="1125" w:type="pct"/>
            <w:tcBorders>
              <w:tl2br w:val="nil"/>
              <w:tr2bl w:val="nil"/>
            </w:tcBorders>
            <w:vAlign w:val="center"/>
          </w:tcPr>
          <w:p w14:paraId="497FDCEE">
            <w:pPr>
              <w:pStyle w:val="41"/>
              <w:rPr>
                <w:color w:val="auto"/>
                <w:highlight w:val="none"/>
              </w:rPr>
            </w:pPr>
            <w:r>
              <w:rPr>
                <w:color w:val="auto"/>
                <w:highlight w:val="none"/>
              </w:rPr>
              <w:t>颗粒物</w:t>
            </w:r>
          </w:p>
        </w:tc>
        <w:tc>
          <w:tcPr>
            <w:tcW w:w="909" w:type="pct"/>
            <w:tcBorders>
              <w:tl2br w:val="nil"/>
              <w:tr2bl w:val="nil"/>
            </w:tcBorders>
            <w:vAlign w:val="center"/>
          </w:tcPr>
          <w:p w14:paraId="494B6895">
            <w:pPr>
              <w:pStyle w:val="41"/>
              <w:rPr>
                <w:color w:val="auto"/>
                <w:highlight w:val="none"/>
              </w:rPr>
            </w:pPr>
            <w:r>
              <w:rPr>
                <w:color w:val="auto"/>
                <w:highlight w:val="none"/>
              </w:rPr>
              <w:t>1次/年</w:t>
            </w:r>
          </w:p>
        </w:tc>
      </w:tr>
      <w:tr w14:paraId="7BDC24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23" w:hRule="atLeast"/>
          <w:tblHeader/>
          <w:jc w:val="center"/>
        </w:trPr>
        <w:tc>
          <w:tcPr>
            <w:tcW w:w="583" w:type="pct"/>
            <w:vMerge w:val="continue"/>
            <w:tcBorders>
              <w:tl2br w:val="nil"/>
              <w:tr2bl w:val="nil"/>
            </w:tcBorders>
            <w:vAlign w:val="center"/>
          </w:tcPr>
          <w:p w14:paraId="0016F799">
            <w:pPr>
              <w:pStyle w:val="41"/>
              <w:rPr>
                <w:color w:val="auto"/>
                <w:highlight w:val="none"/>
              </w:rPr>
            </w:pPr>
          </w:p>
        </w:tc>
        <w:tc>
          <w:tcPr>
            <w:tcW w:w="1127" w:type="pct"/>
            <w:tcBorders>
              <w:tl2br w:val="nil"/>
              <w:tr2bl w:val="nil"/>
            </w:tcBorders>
            <w:vAlign w:val="center"/>
          </w:tcPr>
          <w:p w14:paraId="0C25505F">
            <w:pPr>
              <w:pStyle w:val="41"/>
              <w:rPr>
                <w:color w:val="auto"/>
                <w:highlight w:val="none"/>
              </w:rPr>
            </w:pPr>
            <w:r>
              <w:rPr>
                <w:rFonts w:hint="eastAsia"/>
                <w:color w:val="auto"/>
                <w:highlight w:val="none"/>
              </w:rPr>
              <w:t>粗中碎车间</w:t>
            </w:r>
          </w:p>
        </w:tc>
        <w:tc>
          <w:tcPr>
            <w:tcW w:w="1254" w:type="pct"/>
            <w:tcBorders>
              <w:tl2br w:val="nil"/>
              <w:tr2bl w:val="nil"/>
            </w:tcBorders>
            <w:vAlign w:val="center"/>
          </w:tcPr>
          <w:p w14:paraId="0E89114D">
            <w:pPr>
              <w:pStyle w:val="41"/>
              <w:rPr>
                <w:color w:val="auto"/>
                <w:highlight w:val="none"/>
              </w:rPr>
            </w:pPr>
            <w:r>
              <w:rPr>
                <w:rFonts w:hint="eastAsia"/>
                <w:color w:val="auto"/>
                <w:highlight w:val="none"/>
              </w:rPr>
              <w:t>排气筒（DA002）</w:t>
            </w:r>
          </w:p>
        </w:tc>
        <w:tc>
          <w:tcPr>
            <w:tcW w:w="1125" w:type="pct"/>
            <w:tcBorders>
              <w:tl2br w:val="nil"/>
              <w:tr2bl w:val="nil"/>
            </w:tcBorders>
            <w:vAlign w:val="center"/>
          </w:tcPr>
          <w:p w14:paraId="3B696E5D">
            <w:pPr>
              <w:pStyle w:val="41"/>
              <w:rPr>
                <w:color w:val="auto"/>
                <w:highlight w:val="none"/>
              </w:rPr>
            </w:pPr>
            <w:r>
              <w:rPr>
                <w:color w:val="auto"/>
                <w:highlight w:val="none"/>
              </w:rPr>
              <w:t>颗粒物</w:t>
            </w:r>
          </w:p>
        </w:tc>
        <w:tc>
          <w:tcPr>
            <w:tcW w:w="909" w:type="pct"/>
            <w:tcBorders>
              <w:tl2br w:val="nil"/>
              <w:tr2bl w:val="nil"/>
            </w:tcBorders>
            <w:vAlign w:val="center"/>
          </w:tcPr>
          <w:p w14:paraId="56BBC0B1">
            <w:pPr>
              <w:pStyle w:val="41"/>
              <w:rPr>
                <w:color w:val="auto"/>
                <w:highlight w:val="none"/>
              </w:rPr>
            </w:pPr>
            <w:r>
              <w:rPr>
                <w:color w:val="auto"/>
                <w:highlight w:val="none"/>
              </w:rPr>
              <w:t>1次/年</w:t>
            </w:r>
          </w:p>
        </w:tc>
      </w:tr>
      <w:tr w14:paraId="539524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23" w:hRule="atLeast"/>
          <w:tblHeader/>
          <w:jc w:val="center"/>
        </w:trPr>
        <w:tc>
          <w:tcPr>
            <w:tcW w:w="583" w:type="pct"/>
            <w:vMerge w:val="continue"/>
            <w:tcBorders>
              <w:tl2br w:val="nil"/>
              <w:tr2bl w:val="nil"/>
            </w:tcBorders>
            <w:vAlign w:val="center"/>
          </w:tcPr>
          <w:p w14:paraId="4781CE79">
            <w:pPr>
              <w:pStyle w:val="41"/>
              <w:rPr>
                <w:color w:val="auto"/>
                <w:highlight w:val="none"/>
              </w:rPr>
            </w:pPr>
          </w:p>
        </w:tc>
        <w:tc>
          <w:tcPr>
            <w:tcW w:w="1127" w:type="pct"/>
            <w:tcBorders>
              <w:tl2br w:val="nil"/>
              <w:tr2bl w:val="nil"/>
            </w:tcBorders>
            <w:vAlign w:val="center"/>
          </w:tcPr>
          <w:p w14:paraId="59DAD64A">
            <w:pPr>
              <w:pStyle w:val="41"/>
              <w:rPr>
                <w:color w:val="auto"/>
                <w:highlight w:val="none"/>
              </w:rPr>
            </w:pPr>
            <w:r>
              <w:rPr>
                <w:rFonts w:hint="eastAsia"/>
                <w:color w:val="auto"/>
                <w:highlight w:val="none"/>
              </w:rPr>
              <w:t>细</w:t>
            </w:r>
            <w:r>
              <w:rPr>
                <w:color w:val="auto"/>
                <w:highlight w:val="none"/>
              </w:rPr>
              <w:t>碎车间</w:t>
            </w:r>
          </w:p>
        </w:tc>
        <w:tc>
          <w:tcPr>
            <w:tcW w:w="1254" w:type="pct"/>
            <w:tcBorders>
              <w:tl2br w:val="nil"/>
              <w:tr2bl w:val="nil"/>
            </w:tcBorders>
            <w:vAlign w:val="center"/>
          </w:tcPr>
          <w:p w14:paraId="3B5BC906">
            <w:pPr>
              <w:pStyle w:val="41"/>
              <w:rPr>
                <w:color w:val="auto"/>
                <w:highlight w:val="none"/>
              </w:rPr>
            </w:pPr>
            <w:r>
              <w:rPr>
                <w:rFonts w:hint="eastAsia"/>
                <w:color w:val="auto"/>
                <w:highlight w:val="none"/>
              </w:rPr>
              <w:t>排气筒（DA003）</w:t>
            </w:r>
          </w:p>
        </w:tc>
        <w:tc>
          <w:tcPr>
            <w:tcW w:w="1125" w:type="pct"/>
            <w:tcBorders>
              <w:tl2br w:val="nil"/>
              <w:tr2bl w:val="nil"/>
            </w:tcBorders>
            <w:vAlign w:val="center"/>
          </w:tcPr>
          <w:p w14:paraId="4B3BB37C">
            <w:pPr>
              <w:pStyle w:val="41"/>
              <w:rPr>
                <w:color w:val="auto"/>
                <w:highlight w:val="none"/>
              </w:rPr>
            </w:pPr>
            <w:r>
              <w:rPr>
                <w:color w:val="auto"/>
                <w:highlight w:val="none"/>
              </w:rPr>
              <w:t>颗粒物</w:t>
            </w:r>
          </w:p>
        </w:tc>
        <w:tc>
          <w:tcPr>
            <w:tcW w:w="909" w:type="pct"/>
            <w:tcBorders>
              <w:tl2br w:val="nil"/>
              <w:tr2bl w:val="nil"/>
            </w:tcBorders>
            <w:vAlign w:val="center"/>
          </w:tcPr>
          <w:p w14:paraId="4C6180C0">
            <w:pPr>
              <w:pStyle w:val="41"/>
              <w:rPr>
                <w:color w:val="auto"/>
                <w:highlight w:val="none"/>
              </w:rPr>
            </w:pPr>
            <w:r>
              <w:rPr>
                <w:color w:val="auto"/>
                <w:highlight w:val="none"/>
              </w:rPr>
              <w:t>1次/年</w:t>
            </w:r>
          </w:p>
        </w:tc>
      </w:tr>
      <w:tr w14:paraId="01B0D8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23" w:hRule="atLeast"/>
          <w:tblHeader/>
          <w:jc w:val="center"/>
        </w:trPr>
        <w:tc>
          <w:tcPr>
            <w:tcW w:w="583" w:type="pct"/>
            <w:vMerge w:val="continue"/>
            <w:tcBorders>
              <w:tl2br w:val="nil"/>
              <w:tr2bl w:val="nil"/>
            </w:tcBorders>
            <w:vAlign w:val="center"/>
          </w:tcPr>
          <w:p w14:paraId="1BA1AD41">
            <w:pPr>
              <w:pStyle w:val="41"/>
              <w:rPr>
                <w:color w:val="auto"/>
                <w:highlight w:val="none"/>
              </w:rPr>
            </w:pPr>
          </w:p>
        </w:tc>
        <w:tc>
          <w:tcPr>
            <w:tcW w:w="1127" w:type="pct"/>
            <w:tcBorders>
              <w:tl2br w:val="nil"/>
              <w:tr2bl w:val="nil"/>
            </w:tcBorders>
            <w:vAlign w:val="center"/>
          </w:tcPr>
          <w:p w14:paraId="24804E70">
            <w:pPr>
              <w:pStyle w:val="41"/>
              <w:rPr>
                <w:color w:val="auto"/>
                <w:highlight w:val="none"/>
              </w:rPr>
            </w:pPr>
            <w:r>
              <w:rPr>
                <w:rFonts w:hint="eastAsia"/>
                <w:color w:val="auto"/>
                <w:highlight w:val="none"/>
              </w:rPr>
              <w:t>1号振动筛</w:t>
            </w:r>
            <w:r>
              <w:rPr>
                <w:rFonts w:hint="eastAsia"/>
                <w:color w:val="auto"/>
                <w:highlight w:val="none"/>
                <w:lang w:val="en-US" w:eastAsia="zh-CN"/>
              </w:rPr>
              <w:t>分</w:t>
            </w:r>
            <w:r>
              <w:rPr>
                <w:rFonts w:hint="eastAsia"/>
                <w:color w:val="auto"/>
                <w:highlight w:val="none"/>
              </w:rPr>
              <w:t>车间</w:t>
            </w:r>
          </w:p>
        </w:tc>
        <w:tc>
          <w:tcPr>
            <w:tcW w:w="1254" w:type="pct"/>
            <w:tcBorders>
              <w:tl2br w:val="nil"/>
              <w:tr2bl w:val="nil"/>
            </w:tcBorders>
            <w:vAlign w:val="center"/>
          </w:tcPr>
          <w:p w14:paraId="694DDE86">
            <w:pPr>
              <w:pStyle w:val="41"/>
              <w:rPr>
                <w:color w:val="auto"/>
                <w:highlight w:val="none"/>
              </w:rPr>
            </w:pPr>
            <w:r>
              <w:rPr>
                <w:rFonts w:hint="eastAsia"/>
                <w:color w:val="auto"/>
                <w:highlight w:val="none"/>
              </w:rPr>
              <w:t>排气筒（DA004）</w:t>
            </w:r>
          </w:p>
        </w:tc>
        <w:tc>
          <w:tcPr>
            <w:tcW w:w="1125" w:type="pct"/>
            <w:tcBorders>
              <w:tl2br w:val="nil"/>
              <w:tr2bl w:val="nil"/>
            </w:tcBorders>
            <w:vAlign w:val="center"/>
          </w:tcPr>
          <w:p w14:paraId="6B5EB197">
            <w:pPr>
              <w:pStyle w:val="41"/>
              <w:rPr>
                <w:color w:val="auto"/>
                <w:highlight w:val="none"/>
              </w:rPr>
            </w:pPr>
            <w:r>
              <w:rPr>
                <w:color w:val="auto"/>
                <w:highlight w:val="none"/>
              </w:rPr>
              <w:t>颗粒物</w:t>
            </w:r>
          </w:p>
        </w:tc>
        <w:tc>
          <w:tcPr>
            <w:tcW w:w="909" w:type="pct"/>
            <w:tcBorders>
              <w:tl2br w:val="nil"/>
              <w:tr2bl w:val="nil"/>
            </w:tcBorders>
            <w:vAlign w:val="center"/>
          </w:tcPr>
          <w:p w14:paraId="2ACFD1D0">
            <w:pPr>
              <w:pStyle w:val="41"/>
              <w:rPr>
                <w:color w:val="auto"/>
                <w:highlight w:val="none"/>
              </w:rPr>
            </w:pPr>
            <w:r>
              <w:rPr>
                <w:color w:val="auto"/>
                <w:highlight w:val="none"/>
              </w:rPr>
              <w:t>1次/年</w:t>
            </w:r>
          </w:p>
        </w:tc>
      </w:tr>
      <w:tr w14:paraId="568D5C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23" w:hRule="atLeast"/>
          <w:tblHeader/>
          <w:jc w:val="center"/>
        </w:trPr>
        <w:tc>
          <w:tcPr>
            <w:tcW w:w="583" w:type="pct"/>
            <w:vMerge w:val="continue"/>
            <w:tcBorders>
              <w:tl2br w:val="nil"/>
              <w:tr2bl w:val="nil"/>
            </w:tcBorders>
            <w:vAlign w:val="center"/>
          </w:tcPr>
          <w:p w14:paraId="785C589C">
            <w:pPr>
              <w:pStyle w:val="41"/>
              <w:rPr>
                <w:color w:val="auto"/>
                <w:highlight w:val="none"/>
              </w:rPr>
            </w:pPr>
          </w:p>
        </w:tc>
        <w:tc>
          <w:tcPr>
            <w:tcW w:w="1127" w:type="pct"/>
            <w:tcBorders>
              <w:tl2br w:val="nil"/>
              <w:tr2bl w:val="nil"/>
            </w:tcBorders>
            <w:vAlign w:val="center"/>
          </w:tcPr>
          <w:p w14:paraId="09C0513D">
            <w:pPr>
              <w:pStyle w:val="41"/>
              <w:rPr>
                <w:color w:val="auto"/>
                <w:highlight w:val="none"/>
              </w:rPr>
            </w:pPr>
            <w:r>
              <w:rPr>
                <w:rFonts w:hint="eastAsia"/>
                <w:color w:val="auto"/>
                <w:highlight w:val="none"/>
              </w:rPr>
              <w:t>2号振动筛</w:t>
            </w:r>
            <w:r>
              <w:rPr>
                <w:rFonts w:hint="eastAsia"/>
                <w:color w:val="auto"/>
                <w:highlight w:val="none"/>
                <w:lang w:val="en-US" w:eastAsia="zh-CN"/>
              </w:rPr>
              <w:t>分</w:t>
            </w:r>
            <w:r>
              <w:rPr>
                <w:rFonts w:hint="eastAsia"/>
                <w:color w:val="auto"/>
                <w:highlight w:val="none"/>
              </w:rPr>
              <w:t>车间</w:t>
            </w:r>
          </w:p>
        </w:tc>
        <w:tc>
          <w:tcPr>
            <w:tcW w:w="1254" w:type="pct"/>
            <w:tcBorders>
              <w:tl2br w:val="nil"/>
              <w:tr2bl w:val="nil"/>
            </w:tcBorders>
            <w:vAlign w:val="center"/>
          </w:tcPr>
          <w:p w14:paraId="31F93F3E">
            <w:pPr>
              <w:pStyle w:val="41"/>
              <w:rPr>
                <w:color w:val="auto"/>
                <w:highlight w:val="none"/>
              </w:rPr>
            </w:pPr>
            <w:r>
              <w:rPr>
                <w:rFonts w:hint="eastAsia"/>
                <w:color w:val="auto"/>
                <w:highlight w:val="none"/>
              </w:rPr>
              <w:t>排气筒（DA005）</w:t>
            </w:r>
          </w:p>
        </w:tc>
        <w:tc>
          <w:tcPr>
            <w:tcW w:w="1125" w:type="pct"/>
            <w:tcBorders>
              <w:tl2br w:val="nil"/>
              <w:tr2bl w:val="nil"/>
            </w:tcBorders>
            <w:vAlign w:val="center"/>
          </w:tcPr>
          <w:p w14:paraId="41FBFC33">
            <w:pPr>
              <w:pStyle w:val="41"/>
              <w:rPr>
                <w:color w:val="auto"/>
                <w:highlight w:val="none"/>
              </w:rPr>
            </w:pPr>
            <w:r>
              <w:rPr>
                <w:color w:val="auto"/>
                <w:highlight w:val="none"/>
              </w:rPr>
              <w:t>颗粒物</w:t>
            </w:r>
          </w:p>
        </w:tc>
        <w:tc>
          <w:tcPr>
            <w:tcW w:w="909" w:type="pct"/>
            <w:tcBorders>
              <w:tl2br w:val="nil"/>
              <w:tr2bl w:val="nil"/>
            </w:tcBorders>
            <w:vAlign w:val="center"/>
          </w:tcPr>
          <w:p w14:paraId="7B06FFB9">
            <w:pPr>
              <w:pStyle w:val="41"/>
              <w:rPr>
                <w:color w:val="auto"/>
                <w:highlight w:val="none"/>
              </w:rPr>
            </w:pPr>
            <w:r>
              <w:rPr>
                <w:color w:val="auto"/>
                <w:highlight w:val="none"/>
              </w:rPr>
              <w:t>1次/年</w:t>
            </w:r>
          </w:p>
        </w:tc>
      </w:tr>
      <w:tr w14:paraId="38051E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23" w:hRule="atLeast"/>
          <w:tblHeader/>
          <w:jc w:val="center"/>
        </w:trPr>
        <w:tc>
          <w:tcPr>
            <w:tcW w:w="583" w:type="pct"/>
            <w:vMerge w:val="continue"/>
            <w:tcBorders>
              <w:tl2br w:val="nil"/>
              <w:tr2bl w:val="nil"/>
            </w:tcBorders>
            <w:vAlign w:val="center"/>
          </w:tcPr>
          <w:p w14:paraId="08165A35">
            <w:pPr>
              <w:pStyle w:val="41"/>
              <w:rPr>
                <w:color w:val="auto"/>
                <w:highlight w:val="none"/>
              </w:rPr>
            </w:pPr>
          </w:p>
        </w:tc>
        <w:tc>
          <w:tcPr>
            <w:tcW w:w="1127" w:type="pct"/>
            <w:tcBorders>
              <w:tl2br w:val="nil"/>
              <w:tr2bl w:val="nil"/>
            </w:tcBorders>
            <w:vAlign w:val="center"/>
          </w:tcPr>
          <w:p w14:paraId="5C8F62A4">
            <w:pPr>
              <w:pStyle w:val="41"/>
              <w:rPr>
                <w:color w:val="auto"/>
                <w:highlight w:val="none"/>
              </w:rPr>
            </w:pPr>
            <w:r>
              <w:rPr>
                <w:rFonts w:hint="eastAsia"/>
                <w:color w:val="auto"/>
                <w:highlight w:val="none"/>
              </w:rPr>
              <w:t>3号振动筛</w:t>
            </w:r>
            <w:r>
              <w:rPr>
                <w:rFonts w:hint="eastAsia"/>
                <w:color w:val="auto"/>
                <w:highlight w:val="none"/>
                <w:lang w:val="en-US" w:eastAsia="zh-CN"/>
              </w:rPr>
              <w:t>分</w:t>
            </w:r>
            <w:r>
              <w:rPr>
                <w:rFonts w:hint="eastAsia"/>
                <w:color w:val="auto"/>
                <w:highlight w:val="none"/>
              </w:rPr>
              <w:t>车间</w:t>
            </w:r>
          </w:p>
        </w:tc>
        <w:tc>
          <w:tcPr>
            <w:tcW w:w="1254" w:type="pct"/>
            <w:tcBorders>
              <w:tl2br w:val="nil"/>
              <w:tr2bl w:val="nil"/>
            </w:tcBorders>
            <w:vAlign w:val="center"/>
          </w:tcPr>
          <w:p w14:paraId="03C8210C">
            <w:pPr>
              <w:pStyle w:val="41"/>
              <w:rPr>
                <w:color w:val="auto"/>
                <w:highlight w:val="none"/>
              </w:rPr>
            </w:pPr>
            <w:r>
              <w:rPr>
                <w:rFonts w:hint="eastAsia"/>
                <w:color w:val="auto"/>
                <w:highlight w:val="none"/>
              </w:rPr>
              <w:t>排气筒（DA006）</w:t>
            </w:r>
          </w:p>
        </w:tc>
        <w:tc>
          <w:tcPr>
            <w:tcW w:w="1125" w:type="pct"/>
            <w:tcBorders>
              <w:tl2br w:val="nil"/>
              <w:tr2bl w:val="nil"/>
            </w:tcBorders>
            <w:vAlign w:val="center"/>
          </w:tcPr>
          <w:p w14:paraId="2FA87951">
            <w:pPr>
              <w:pStyle w:val="41"/>
              <w:rPr>
                <w:color w:val="auto"/>
                <w:highlight w:val="none"/>
              </w:rPr>
            </w:pPr>
            <w:r>
              <w:rPr>
                <w:color w:val="auto"/>
                <w:highlight w:val="none"/>
              </w:rPr>
              <w:t>颗粒物</w:t>
            </w:r>
          </w:p>
        </w:tc>
        <w:tc>
          <w:tcPr>
            <w:tcW w:w="909" w:type="pct"/>
            <w:tcBorders>
              <w:tl2br w:val="nil"/>
              <w:tr2bl w:val="nil"/>
            </w:tcBorders>
            <w:vAlign w:val="center"/>
          </w:tcPr>
          <w:p w14:paraId="6D42D57D">
            <w:pPr>
              <w:pStyle w:val="41"/>
              <w:rPr>
                <w:color w:val="auto"/>
                <w:highlight w:val="none"/>
              </w:rPr>
            </w:pPr>
            <w:r>
              <w:rPr>
                <w:color w:val="auto"/>
                <w:highlight w:val="none"/>
              </w:rPr>
              <w:t>1次/年</w:t>
            </w:r>
          </w:p>
        </w:tc>
      </w:tr>
      <w:tr w14:paraId="787A2C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23" w:hRule="atLeast"/>
          <w:tblHeader/>
          <w:jc w:val="center"/>
        </w:trPr>
        <w:tc>
          <w:tcPr>
            <w:tcW w:w="583" w:type="pct"/>
            <w:vMerge w:val="continue"/>
            <w:tcBorders>
              <w:tl2br w:val="nil"/>
              <w:tr2bl w:val="nil"/>
            </w:tcBorders>
            <w:vAlign w:val="center"/>
          </w:tcPr>
          <w:p w14:paraId="375E2267">
            <w:pPr>
              <w:pStyle w:val="41"/>
              <w:rPr>
                <w:color w:val="auto"/>
                <w:highlight w:val="none"/>
              </w:rPr>
            </w:pPr>
          </w:p>
        </w:tc>
        <w:tc>
          <w:tcPr>
            <w:tcW w:w="1127" w:type="pct"/>
            <w:tcBorders>
              <w:tl2br w:val="nil"/>
              <w:tr2bl w:val="nil"/>
            </w:tcBorders>
            <w:vAlign w:val="center"/>
          </w:tcPr>
          <w:p w14:paraId="315A88CF">
            <w:pPr>
              <w:pStyle w:val="41"/>
              <w:rPr>
                <w:color w:val="auto"/>
                <w:highlight w:val="none"/>
              </w:rPr>
            </w:pPr>
            <w:r>
              <w:rPr>
                <w:rFonts w:hint="eastAsia"/>
                <w:color w:val="auto"/>
                <w:highlight w:val="none"/>
              </w:rPr>
              <w:t>干抛磁选车间</w:t>
            </w:r>
          </w:p>
        </w:tc>
        <w:tc>
          <w:tcPr>
            <w:tcW w:w="1254" w:type="pct"/>
            <w:tcBorders>
              <w:tl2br w:val="nil"/>
              <w:tr2bl w:val="nil"/>
            </w:tcBorders>
            <w:vAlign w:val="center"/>
          </w:tcPr>
          <w:p w14:paraId="793F3A4C">
            <w:pPr>
              <w:pStyle w:val="41"/>
              <w:rPr>
                <w:color w:val="auto"/>
                <w:highlight w:val="none"/>
              </w:rPr>
            </w:pPr>
            <w:r>
              <w:rPr>
                <w:rFonts w:hint="eastAsia"/>
                <w:color w:val="auto"/>
                <w:highlight w:val="none"/>
              </w:rPr>
              <w:t>排气筒（DA007）</w:t>
            </w:r>
          </w:p>
        </w:tc>
        <w:tc>
          <w:tcPr>
            <w:tcW w:w="1125" w:type="pct"/>
            <w:tcBorders>
              <w:tl2br w:val="nil"/>
              <w:tr2bl w:val="nil"/>
            </w:tcBorders>
            <w:vAlign w:val="center"/>
          </w:tcPr>
          <w:p w14:paraId="09AC724B">
            <w:pPr>
              <w:pStyle w:val="41"/>
              <w:rPr>
                <w:color w:val="auto"/>
                <w:highlight w:val="none"/>
              </w:rPr>
            </w:pPr>
            <w:r>
              <w:rPr>
                <w:color w:val="auto"/>
                <w:highlight w:val="none"/>
              </w:rPr>
              <w:t>颗粒物</w:t>
            </w:r>
          </w:p>
        </w:tc>
        <w:tc>
          <w:tcPr>
            <w:tcW w:w="909" w:type="pct"/>
            <w:tcBorders>
              <w:tl2br w:val="nil"/>
              <w:tr2bl w:val="nil"/>
            </w:tcBorders>
            <w:vAlign w:val="center"/>
          </w:tcPr>
          <w:p w14:paraId="37A96450">
            <w:pPr>
              <w:pStyle w:val="41"/>
              <w:rPr>
                <w:color w:val="auto"/>
                <w:highlight w:val="none"/>
              </w:rPr>
            </w:pPr>
            <w:r>
              <w:rPr>
                <w:color w:val="auto"/>
                <w:highlight w:val="none"/>
              </w:rPr>
              <w:t>1次/年</w:t>
            </w:r>
          </w:p>
        </w:tc>
      </w:tr>
      <w:tr w14:paraId="783BFF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23" w:hRule="atLeast"/>
          <w:tblHeader/>
          <w:jc w:val="center"/>
        </w:trPr>
        <w:tc>
          <w:tcPr>
            <w:tcW w:w="583" w:type="pct"/>
            <w:vMerge w:val="continue"/>
            <w:tcBorders>
              <w:tl2br w:val="nil"/>
              <w:tr2bl w:val="nil"/>
            </w:tcBorders>
            <w:vAlign w:val="center"/>
          </w:tcPr>
          <w:p w14:paraId="02034F23">
            <w:pPr>
              <w:pStyle w:val="41"/>
              <w:rPr>
                <w:color w:val="auto"/>
                <w:highlight w:val="none"/>
              </w:rPr>
            </w:pPr>
          </w:p>
        </w:tc>
        <w:tc>
          <w:tcPr>
            <w:tcW w:w="1127" w:type="pct"/>
            <w:tcBorders>
              <w:tl2br w:val="nil"/>
              <w:tr2bl w:val="nil"/>
            </w:tcBorders>
            <w:vAlign w:val="center"/>
          </w:tcPr>
          <w:p w14:paraId="53FFA33E">
            <w:pPr>
              <w:pStyle w:val="41"/>
              <w:rPr>
                <w:color w:val="auto"/>
                <w:highlight w:val="none"/>
              </w:rPr>
            </w:pPr>
            <w:r>
              <w:rPr>
                <w:color w:val="auto"/>
                <w:highlight w:val="none"/>
              </w:rPr>
              <w:t>烘干间锅炉</w:t>
            </w:r>
          </w:p>
        </w:tc>
        <w:tc>
          <w:tcPr>
            <w:tcW w:w="1254" w:type="pct"/>
            <w:tcBorders>
              <w:tl2br w:val="nil"/>
              <w:tr2bl w:val="nil"/>
            </w:tcBorders>
            <w:vAlign w:val="center"/>
          </w:tcPr>
          <w:p w14:paraId="11265DD7">
            <w:pPr>
              <w:pStyle w:val="41"/>
              <w:rPr>
                <w:color w:val="auto"/>
                <w:highlight w:val="none"/>
              </w:rPr>
            </w:pPr>
            <w:r>
              <w:rPr>
                <w:rFonts w:hint="eastAsia"/>
                <w:color w:val="auto"/>
                <w:highlight w:val="none"/>
              </w:rPr>
              <w:t>排气筒（DA008）</w:t>
            </w:r>
          </w:p>
        </w:tc>
        <w:tc>
          <w:tcPr>
            <w:tcW w:w="1125" w:type="pct"/>
            <w:tcBorders>
              <w:tl2br w:val="nil"/>
              <w:tr2bl w:val="nil"/>
            </w:tcBorders>
            <w:vAlign w:val="center"/>
          </w:tcPr>
          <w:p w14:paraId="07EAC332">
            <w:pPr>
              <w:pStyle w:val="41"/>
              <w:rPr>
                <w:color w:val="auto"/>
                <w:highlight w:val="none"/>
              </w:rPr>
            </w:pPr>
            <w:r>
              <w:rPr>
                <w:color w:val="auto"/>
                <w:highlight w:val="none"/>
              </w:rPr>
              <w:t>颗粒物、二氧化硫、氮氧化物</w:t>
            </w:r>
          </w:p>
        </w:tc>
        <w:tc>
          <w:tcPr>
            <w:tcW w:w="909" w:type="pct"/>
            <w:tcBorders>
              <w:tl2br w:val="nil"/>
              <w:tr2bl w:val="nil"/>
            </w:tcBorders>
            <w:vAlign w:val="center"/>
          </w:tcPr>
          <w:p w14:paraId="544F1095">
            <w:pPr>
              <w:pStyle w:val="41"/>
              <w:rPr>
                <w:color w:val="auto"/>
                <w:highlight w:val="none"/>
              </w:rPr>
            </w:pPr>
            <w:r>
              <w:rPr>
                <w:color w:val="auto"/>
                <w:highlight w:val="none"/>
              </w:rPr>
              <w:t>1次/年</w:t>
            </w:r>
          </w:p>
        </w:tc>
      </w:tr>
      <w:tr w14:paraId="5934F0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583" w:type="pct"/>
            <w:tcBorders>
              <w:tl2br w:val="nil"/>
              <w:tr2bl w:val="nil"/>
            </w:tcBorders>
            <w:vAlign w:val="center"/>
          </w:tcPr>
          <w:p w14:paraId="30C7420D">
            <w:pPr>
              <w:pStyle w:val="41"/>
              <w:rPr>
                <w:color w:val="auto"/>
                <w:highlight w:val="none"/>
              </w:rPr>
            </w:pPr>
            <w:r>
              <w:rPr>
                <w:rFonts w:hint="eastAsia"/>
                <w:color w:val="auto"/>
                <w:highlight w:val="none"/>
              </w:rPr>
              <w:t>无组织</w:t>
            </w:r>
            <w:r>
              <w:rPr>
                <w:color w:val="auto"/>
                <w:highlight w:val="none"/>
              </w:rPr>
              <w:t>废气</w:t>
            </w:r>
          </w:p>
        </w:tc>
        <w:tc>
          <w:tcPr>
            <w:tcW w:w="1127" w:type="pct"/>
            <w:tcBorders>
              <w:tl2br w:val="nil"/>
              <w:tr2bl w:val="nil"/>
            </w:tcBorders>
            <w:vAlign w:val="center"/>
          </w:tcPr>
          <w:p w14:paraId="673DBC5F">
            <w:pPr>
              <w:pStyle w:val="41"/>
              <w:rPr>
                <w:color w:val="auto"/>
                <w:highlight w:val="none"/>
              </w:rPr>
            </w:pPr>
            <w:r>
              <w:rPr>
                <w:color w:val="auto"/>
                <w:highlight w:val="none"/>
              </w:rPr>
              <w:t>厂界</w:t>
            </w:r>
          </w:p>
        </w:tc>
        <w:tc>
          <w:tcPr>
            <w:tcW w:w="1254" w:type="pct"/>
            <w:tcBorders>
              <w:tl2br w:val="nil"/>
              <w:tr2bl w:val="nil"/>
            </w:tcBorders>
            <w:vAlign w:val="center"/>
          </w:tcPr>
          <w:p w14:paraId="46706593">
            <w:pPr>
              <w:pStyle w:val="41"/>
              <w:rPr>
                <w:color w:val="auto"/>
                <w:highlight w:val="none"/>
              </w:rPr>
            </w:pPr>
            <w:r>
              <w:rPr>
                <w:rFonts w:hint="eastAsia"/>
                <w:color w:val="auto"/>
                <w:highlight w:val="none"/>
              </w:rPr>
              <w:t>选矿厂、尾矿库</w:t>
            </w:r>
          </w:p>
        </w:tc>
        <w:tc>
          <w:tcPr>
            <w:tcW w:w="1125" w:type="pct"/>
            <w:tcBorders>
              <w:tl2br w:val="nil"/>
              <w:tr2bl w:val="nil"/>
            </w:tcBorders>
            <w:vAlign w:val="center"/>
          </w:tcPr>
          <w:p w14:paraId="60F582CE">
            <w:pPr>
              <w:pStyle w:val="41"/>
              <w:rPr>
                <w:color w:val="auto"/>
                <w:highlight w:val="none"/>
              </w:rPr>
            </w:pPr>
            <w:r>
              <w:rPr>
                <w:color w:val="auto"/>
                <w:highlight w:val="none"/>
              </w:rPr>
              <w:t>颗粒物</w:t>
            </w:r>
          </w:p>
        </w:tc>
        <w:tc>
          <w:tcPr>
            <w:tcW w:w="909" w:type="pct"/>
            <w:tcBorders>
              <w:tl2br w:val="nil"/>
              <w:tr2bl w:val="nil"/>
            </w:tcBorders>
            <w:vAlign w:val="center"/>
          </w:tcPr>
          <w:p w14:paraId="45A800D6">
            <w:pPr>
              <w:pStyle w:val="41"/>
              <w:rPr>
                <w:color w:val="auto"/>
                <w:highlight w:val="none"/>
              </w:rPr>
            </w:pPr>
            <w:r>
              <w:rPr>
                <w:color w:val="auto"/>
                <w:highlight w:val="none"/>
              </w:rPr>
              <w:t>1次/年</w:t>
            </w:r>
          </w:p>
        </w:tc>
      </w:tr>
      <w:tr w14:paraId="5AAD23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583" w:type="pct"/>
            <w:tcBorders>
              <w:tl2br w:val="nil"/>
              <w:tr2bl w:val="nil"/>
            </w:tcBorders>
            <w:vAlign w:val="center"/>
          </w:tcPr>
          <w:p w14:paraId="5EEAFD0A">
            <w:pPr>
              <w:pStyle w:val="41"/>
              <w:rPr>
                <w:color w:val="auto"/>
                <w:highlight w:val="none"/>
              </w:rPr>
            </w:pPr>
            <w:r>
              <w:rPr>
                <w:color w:val="auto"/>
                <w:highlight w:val="none"/>
              </w:rPr>
              <w:t>废水</w:t>
            </w:r>
          </w:p>
        </w:tc>
        <w:tc>
          <w:tcPr>
            <w:tcW w:w="1127" w:type="pct"/>
            <w:tcBorders>
              <w:tl2br w:val="nil"/>
              <w:tr2bl w:val="nil"/>
            </w:tcBorders>
            <w:vAlign w:val="center"/>
          </w:tcPr>
          <w:p w14:paraId="77FA574C">
            <w:pPr>
              <w:pStyle w:val="41"/>
              <w:rPr>
                <w:color w:val="auto"/>
                <w:highlight w:val="none"/>
              </w:rPr>
            </w:pPr>
            <w:r>
              <w:rPr>
                <w:color w:val="auto"/>
                <w:highlight w:val="none"/>
              </w:rPr>
              <w:t>生活污水</w:t>
            </w:r>
          </w:p>
        </w:tc>
        <w:tc>
          <w:tcPr>
            <w:tcW w:w="1254" w:type="pct"/>
            <w:tcBorders>
              <w:tl2br w:val="nil"/>
              <w:tr2bl w:val="nil"/>
            </w:tcBorders>
            <w:vAlign w:val="center"/>
          </w:tcPr>
          <w:p w14:paraId="59F409AD">
            <w:pPr>
              <w:pStyle w:val="41"/>
              <w:rPr>
                <w:color w:val="auto"/>
                <w:highlight w:val="none"/>
              </w:rPr>
            </w:pPr>
            <w:r>
              <w:rPr>
                <w:color w:val="auto"/>
                <w:highlight w:val="none"/>
              </w:rPr>
              <w:t>一体化处理设施排放口</w:t>
            </w:r>
          </w:p>
        </w:tc>
        <w:tc>
          <w:tcPr>
            <w:tcW w:w="1125" w:type="pct"/>
            <w:tcBorders>
              <w:tl2br w:val="nil"/>
              <w:tr2bl w:val="nil"/>
            </w:tcBorders>
            <w:vAlign w:val="center"/>
          </w:tcPr>
          <w:p w14:paraId="0224107C">
            <w:pPr>
              <w:pStyle w:val="41"/>
              <w:rPr>
                <w:color w:val="auto"/>
                <w:highlight w:val="none"/>
              </w:rPr>
            </w:pPr>
            <w:r>
              <w:rPr>
                <w:color w:val="auto"/>
                <w:highlight w:val="none"/>
              </w:rPr>
              <w:t>COD、BOD</w:t>
            </w:r>
            <w:r>
              <w:rPr>
                <w:color w:val="auto"/>
                <w:highlight w:val="none"/>
                <w:vertAlign w:val="subscript"/>
              </w:rPr>
              <w:t>5</w:t>
            </w:r>
            <w:r>
              <w:rPr>
                <w:color w:val="auto"/>
                <w:highlight w:val="none"/>
              </w:rPr>
              <w:t>、SS、氨氮、动植物油、粪大肠菌群、LAS、pH</w:t>
            </w:r>
          </w:p>
        </w:tc>
        <w:tc>
          <w:tcPr>
            <w:tcW w:w="909" w:type="pct"/>
            <w:tcBorders>
              <w:tl2br w:val="nil"/>
              <w:tr2bl w:val="nil"/>
            </w:tcBorders>
            <w:vAlign w:val="center"/>
          </w:tcPr>
          <w:p w14:paraId="3C992855">
            <w:pPr>
              <w:pStyle w:val="41"/>
              <w:rPr>
                <w:color w:val="auto"/>
                <w:highlight w:val="none"/>
              </w:rPr>
            </w:pPr>
            <w:r>
              <w:rPr>
                <w:color w:val="auto"/>
                <w:highlight w:val="none"/>
              </w:rPr>
              <w:t>1次/年</w:t>
            </w:r>
          </w:p>
        </w:tc>
      </w:tr>
      <w:tr w14:paraId="7A9E4D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583" w:type="pct"/>
            <w:tcBorders>
              <w:tl2br w:val="nil"/>
              <w:tr2bl w:val="nil"/>
            </w:tcBorders>
            <w:vAlign w:val="center"/>
          </w:tcPr>
          <w:p w14:paraId="3F271A05">
            <w:pPr>
              <w:pStyle w:val="41"/>
              <w:rPr>
                <w:color w:val="auto"/>
                <w:highlight w:val="none"/>
              </w:rPr>
            </w:pPr>
            <w:r>
              <w:rPr>
                <w:color w:val="auto"/>
                <w:highlight w:val="none"/>
              </w:rPr>
              <w:t>噪声</w:t>
            </w:r>
          </w:p>
        </w:tc>
        <w:tc>
          <w:tcPr>
            <w:tcW w:w="1127" w:type="pct"/>
            <w:tcBorders>
              <w:tl2br w:val="nil"/>
              <w:tr2bl w:val="nil"/>
            </w:tcBorders>
            <w:vAlign w:val="center"/>
          </w:tcPr>
          <w:p w14:paraId="5A1DF94C">
            <w:pPr>
              <w:pStyle w:val="41"/>
              <w:rPr>
                <w:color w:val="auto"/>
                <w:highlight w:val="none"/>
              </w:rPr>
            </w:pPr>
            <w:r>
              <w:rPr>
                <w:color w:val="auto"/>
                <w:highlight w:val="none"/>
              </w:rPr>
              <w:t>各种机械设备</w:t>
            </w:r>
          </w:p>
        </w:tc>
        <w:tc>
          <w:tcPr>
            <w:tcW w:w="1254" w:type="pct"/>
            <w:tcBorders>
              <w:tl2br w:val="nil"/>
              <w:tr2bl w:val="nil"/>
            </w:tcBorders>
            <w:vAlign w:val="center"/>
          </w:tcPr>
          <w:p w14:paraId="4AF1BD63">
            <w:pPr>
              <w:pStyle w:val="41"/>
              <w:rPr>
                <w:color w:val="auto"/>
                <w:highlight w:val="none"/>
              </w:rPr>
            </w:pPr>
            <w:r>
              <w:rPr>
                <w:color w:val="auto"/>
                <w:highlight w:val="none"/>
              </w:rPr>
              <w:t>厂界</w:t>
            </w:r>
          </w:p>
        </w:tc>
        <w:tc>
          <w:tcPr>
            <w:tcW w:w="1125" w:type="pct"/>
            <w:tcBorders>
              <w:tl2br w:val="nil"/>
              <w:tr2bl w:val="nil"/>
            </w:tcBorders>
            <w:vAlign w:val="center"/>
          </w:tcPr>
          <w:p w14:paraId="36FB6492">
            <w:pPr>
              <w:pStyle w:val="41"/>
              <w:rPr>
                <w:color w:val="auto"/>
                <w:highlight w:val="none"/>
              </w:rPr>
            </w:pPr>
            <w:r>
              <w:rPr>
                <w:color w:val="auto"/>
                <w:highlight w:val="none"/>
              </w:rPr>
              <w:t>等效A声级</w:t>
            </w:r>
          </w:p>
        </w:tc>
        <w:tc>
          <w:tcPr>
            <w:tcW w:w="909" w:type="pct"/>
            <w:tcBorders>
              <w:tl2br w:val="nil"/>
              <w:tr2bl w:val="nil"/>
            </w:tcBorders>
            <w:vAlign w:val="center"/>
          </w:tcPr>
          <w:p w14:paraId="654DF434">
            <w:pPr>
              <w:pStyle w:val="41"/>
              <w:rPr>
                <w:color w:val="auto"/>
                <w:highlight w:val="none"/>
              </w:rPr>
            </w:pPr>
            <w:r>
              <w:rPr>
                <w:color w:val="auto"/>
                <w:highlight w:val="none"/>
              </w:rPr>
              <w:t>1次/季度</w:t>
            </w:r>
          </w:p>
        </w:tc>
      </w:tr>
    </w:tbl>
    <w:p w14:paraId="260E1776">
      <w:pPr>
        <w:pStyle w:val="3"/>
        <w:ind w:firstLine="480"/>
        <w:rPr>
          <w:color w:val="auto"/>
          <w:highlight w:val="none"/>
        </w:rPr>
      </w:pPr>
      <w:r>
        <w:rPr>
          <w:rFonts w:hint="eastAsia"/>
          <w:color w:val="auto"/>
          <w:highlight w:val="none"/>
        </w:rPr>
        <w:t>（2）环境质量监测计划</w:t>
      </w:r>
    </w:p>
    <w:p w14:paraId="05A6C5E3">
      <w:pPr>
        <w:pStyle w:val="3"/>
        <w:ind w:firstLine="480"/>
        <w:rPr>
          <w:color w:val="auto"/>
          <w:highlight w:val="none"/>
        </w:rPr>
      </w:pPr>
      <w:r>
        <w:rPr>
          <w:rFonts w:hint="eastAsia"/>
          <w:color w:val="auto"/>
          <w:highlight w:val="none"/>
        </w:rPr>
        <w:t>①</w:t>
      </w:r>
      <w:r>
        <w:rPr>
          <w:color w:val="auto"/>
          <w:highlight w:val="none"/>
        </w:rPr>
        <w:t>环境空气监测计划</w:t>
      </w:r>
    </w:p>
    <w:p w14:paraId="6A025BE5">
      <w:pPr>
        <w:pStyle w:val="3"/>
        <w:ind w:firstLine="480"/>
        <w:rPr>
          <w:color w:val="auto"/>
          <w:highlight w:val="none"/>
        </w:rPr>
      </w:pPr>
      <w:r>
        <w:rPr>
          <w:color w:val="auto"/>
          <w:highlight w:val="none"/>
        </w:rPr>
        <w:t>根据《环境影响评价技术导则 大气环境》（HJ2.2-2018）中</w:t>
      </w:r>
      <w:r>
        <w:rPr>
          <w:rFonts w:hint="eastAsia"/>
          <w:color w:val="auto"/>
          <w:highlight w:val="none"/>
        </w:rPr>
        <w:t>“二</w:t>
      </w:r>
      <w:r>
        <w:rPr>
          <w:color w:val="auto"/>
          <w:highlight w:val="none"/>
        </w:rPr>
        <w:t>级评价项目按 HJ819 的要求，提出项目在生产运行阶段的污染源监测计划。</w:t>
      </w:r>
      <w:r>
        <w:rPr>
          <w:rFonts w:hint="eastAsia"/>
          <w:color w:val="auto"/>
          <w:highlight w:val="none"/>
        </w:rPr>
        <w:t>”无需进行</w:t>
      </w:r>
      <w:r>
        <w:rPr>
          <w:color w:val="auto"/>
          <w:highlight w:val="none"/>
        </w:rPr>
        <w:t>环境质量</w:t>
      </w:r>
      <w:r>
        <w:rPr>
          <w:rFonts w:hint="eastAsia"/>
          <w:color w:val="auto"/>
          <w:highlight w:val="none"/>
        </w:rPr>
        <w:t>监测</w:t>
      </w:r>
      <w:r>
        <w:rPr>
          <w:color w:val="auto"/>
          <w:highlight w:val="none"/>
        </w:rPr>
        <w:t>。</w:t>
      </w:r>
    </w:p>
    <w:p w14:paraId="778C5680">
      <w:pPr>
        <w:pStyle w:val="3"/>
        <w:ind w:firstLine="480"/>
        <w:rPr>
          <w:color w:val="auto"/>
          <w:highlight w:val="none"/>
        </w:rPr>
      </w:pPr>
      <w:r>
        <w:rPr>
          <w:rFonts w:hint="eastAsia"/>
          <w:color w:val="auto"/>
          <w:highlight w:val="none"/>
        </w:rPr>
        <w:t>②</w:t>
      </w:r>
      <w:r>
        <w:rPr>
          <w:color w:val="auto"/>
          <w:highlight w:val="none"/>
        </w:rPr>
        <w:t>地下水监测计划</w:t>
      </w:r>
    </w:p>
    <w:p w14:paraId="5DDF656F">
      <w:pPr>
        <w:pStyle w:val="3"/>
        <w:ind w:firstLine="480"/>
        <w:rPr>
          <w:color w:val="auto"/>
          <w:highlight w:val="none"/>
        </w:rPr>
      </w:pPr>
      <w:r>
        <w:rPr>
          <w:color w:val="auto"/>
          <w:highlight w:val="none"/>
        </w:rPr>
        <w:t>根据《环境影响评价技术导则 地下水环境》（HJ610-2016），</w:t>
      </w:r>
      <w:r>
        <w:rPr>
          <w:rFonts w:hint="eastAsia"/>
          <w:color w:val="auto"/>
          <w:highlight w:val="none"/>
        </w:rPr>
        <w:t>二级评价</w:t>
      </w:r>
      <w:r>
        <w:rPr>
          <w:color w:val="auto"/>
          <w:highlight w:val="none"/>
        </w:rPr>
        <w:t>跟踪监测点数量一般不少于</w:t>
      </w:r>
      <w:r>
        <w:rPr>
          <w:rFonts w:hint="eastAsia"/>
          <w:color w:val="auto"/>
          <w:highlight w:val="none"/>
        </w:rPr>
        <w:t>3</w:t>
      </w:r>
      <w:r>
        <w:rPr>
          <w:color w:val="auto"/>
          <w:highlight w:val="none"/>
        </w:rPr>
        <w:t>个</w:t>
      </w:r>
      <w:r>
        <w:rPr>
          <w:rFonts w:hint="eastAsia"/>
          <w:color w:val="auto"/>
          <w:highlight w:val="none"/>
        </w:rPr>
        <w:t>，</w:t>
      </w:r>
      <w:r>
        <w:rPr>
          <w:color w:val="auto"/>
          <w:highlight w:val="none"/>
        </w:rPr>
        <w:t>监测计划如下：</w:t>
      </w:r>
    </w:p>
    <w:p w14:paraId="5E4333C1">
      <w:pPr>
        <w:pStyle w:val="3"/>
        <w:ind w:firstLine="480"/>
        <w:rPr>
          <w:color w:val="auto"/>
          <w:highlight w:val="none"/>
        </w:rPr>
      </w:pPr>
      <w:r>
        <w:rPr>
          <w:color w:val="auto"/>
          <w:highlight w:val="none"/>
        </w:rPr>
        <w:t>监测点位：上游、厂区、厂区下游</w:t>
      </w:r>
      <w:r>
        <w:rPr>
          <w:rFonts w:hint="eastAsia"/>
          <w:color w:val="auto"/>
          <w:highlight w:val="none"/>
        </w:rPr>
        <w:t>各1个；</w:t>
      </w:r>
    </w:p>
    <w:p w14:paraId="53256A8C">
      <w:pPr>
        <w:pStyle w:val="3"/>
        <w:ind w:firstLine="480"/>
        <w:rPr>
          <w:color w:val="auto"/>
          <w:highlight w:val="none"/>
        </w:rPr>
      </w:pPr>
      <w:r>
        <w:rPr>
          <w:color w:val="auto"/>
          <w:highlight w:val="none"/>
        </w:rPr>
        <w:t>监测项目：</w:t>
      </w:r>
      <w:r>
        <w:rPr>
          <w:color w:val="auto"/>
          <w:highlight w:val="none"/>
          <w:lang w:val="zh-CN"/>
        </w:rPr>
        <w:t>pH、硝酸盐、亚硝酸盐、挥发性酚类、氰化物、砷、汞、铬（六价）、总硬度、铅、</w:t>
      </w:r>
      <w:r>
        <w:rPr>
          <w:rFonts w:hint="eastAsia"/>
          <w:color w:val="auto"/>
          <w:highlight w:val="none"/>
          <w:lang w:val="en-US" w:eastAsia="zh-CN"/>
        </w:rPr>
        <w:t>镍、</w:t>
      </w:r>
      <w:r>
        <w:rPr>
          <w:rFonts w:hint="eastAsia"/>
          <w:color w:val="auto"/>
          <w:highlight w:val="none"/>
        </w:rPr>
        <w:t>锌、</w:t>
      </w:r>
      <w:r>
        <w:rPr>
          <w:color w:val="auto"/>
          <w:highlight w:val="none"/>
          <w:lang w:val="zh-CN"/>
        </w:rPr>
        <w:t>氯、镉、铁、锰、溶解性总固体、高锰酸盐指数、硫酸盐、氯化物</w:t>
      </w:r>
      <w:r>
        <w:rPr>
          <w:rFonts w:hint="eastAsia"/>
          <w:color w:val="auto"/>
          <w:highlight w:val="none"/>
          <w:lang w:val="en-US" w:eastAsia="zh-CN"/>
        </w:rPr>
        <w:t>等</w:t>
      </w:r>
      <w:r>
        <w:rPr>
          <w:color w:val="auto"/>
          <w:highlight w:val="none"/>
        </w:rPr>
        <w:t>；</w:t>
      </w:r>
    </w:p>
    <w:p w14:paraId="5D756B3A">
      <w:pPr>
        <w:pStyle w:val="3"/>
        <w:ind w:firstLine="480"/>
        <w:rPr>
          <w:color w:val="auto"/>
          <w:highlight w:val="none"/>
        </w:rPr>
      </w:pPr>
      <w:r>
        <w:rPr>
          <w:color w:val="auto"/>
          <w:highlight w:val="none"/>
        </w:rPr>
        <w:t>监测频次：每年开展</w:t>
      </w:r>
      <w:r>
        <w:rPr>
          <w:rFonts w:hint="eastAsia"/>
          <w:color w:val="auto"/>
          <w:highlight w:val="none"/>
          <w:lang w:val="en-US" w:eastAsia="zh-CN"/>
        </w:rPr>
        <w:t>2</w:t>
      </w:r>
      <w:r>
        <w:rPr>
          <w:color w:val="auto"/>
          <w:highlight w:val="none"/>
        </w:rPr>
        <w:t>次地下水环境质量跟踪监测。</w:t>
      </w:r>
    </w:p>
    <w:p w14:paraId="7C9F7F43">
      <w:pPr>
        <w:pStyle w:val="3"/>
        <w:ind w:firstLine="480"/>
        <w:rPr>
          <w:color w:val="auto"/>
          <w:highlight w:val="none"/>
        </w:rPr>
      </w:pPr>
      <w:r>
        <w:rPr>
          <w:color w:val="auto"/>
          <w:highlight w:val="none"/>
        </w:rPr>
        <w:t>环境质量标准：《地下水质量标准》（GB/T14848-2017）中Ⅲ类标准。</w:t>
      </w:r>
    </w:p>
    <w:p w14:paraId="0DE21C76">
      <w:pPr>
        <w:pStyle w:val="3"/>
        <w:ind w:firstLine="480"/>
        <w:rPr>
          <w:color w:val="auto"/>
          <w:highlight w:val="none"/>
        </w:rPr>
      </w:pPr>
      <w:r>
        <w:rPr>
          <w:rFonts w:hint="eastAsia"/>
          <w:color w:val="auto"/>
          <w:highlight w:val="none"/>
        </w:rPr>
        <w:t>③</w:t>
      </w:r>
      <w:r>
        <w:rPr>
          <w:color w:val="auto"/>
          <w:highlight w:val="none"/>
        </w:rPr>
        <w:t>土壤监测计划</w:t>
      </w:r>
    </w:p>
    <w:p w14:paraId="366A9CBB">
      <w:pPr>
        <w:pStyle w:val="3"/>
        <w:ind w:firstLine="480"/>
        <w:rPr>
          <w:color w:val="auto"/>
          <w:highlight w:val="none"/>
        </w:rPr>
      </w:pPr>
      <w:r>
        <w:rPr>
          <w:color w:val="auto"/>
          <w:highlight w:val="none"/>
        </w:rPr>
        <w:t>根据《环境影响评价技术导则 土壤环境》（HJ964-2018），土壤环境跟踪监测计划如下：</w:t>
      </w:r>
    </w:p>
    <w:p w14:paraId="330B7ED0">
      <w:pPr>
        <w:pStyle w:val="3"/>
        <w:ind w:firstLine="480"/>
        <w:rPr>
          <w:color w:val="auto"/>
          <w:highlight w:val="none"/>
        </w:rPr>
      </w:pPr>
      <w:r>
        <w:rPr>
          <w:color w:val="auto"/>
          <w:highlight w:val="none"/>
        </w:rPr>
        <w:t>监测布点：</w:t>
      </w:r>
      <w:r>
        <w:rPr>
          <w:rFonts w:hint="eastAsia"/>
          <w:color w:val="auto"/>
          <w:highlight w:val="none"/>
          <w:lang w:val="en-US" w:eastAsia="zh-CN"/>
        </w:rPr>
        <w:t>生产车间下游、厂区外下游、库区、库区下游</w:t>
      </w:r>
      <w:r>
        <w:rPr>
          <w:color w:val="auto"/>
          <w:highlight w:val="none"/>
        </w:rPr>
        <w:t>；</w:t>
      </w:r>
    </w:p>
    <w:p w14:paraId="5B0CB2F9">
      <w:pPr>
        <w:pStyle w:val="3"/>
        <w:ind w:firstLine="480"/>
        <w:rPr>
          <w:color w:val="auto"/>
          <w:highlight w:val="none"/>
        </w:rPr>
      </w:pPr>
      <w:r>
        <w:rPr>
          <w:color w:val="auto"/>
          <w:highlight w:val="none"/>
        </w:rPr>
        <w:t>监测项目：</w:t>
      </w:r>
      <w:r>
        <w:rPr>
          <w:color w:val="auto"/>
          <w:highlight w:val="none"/>
        </w:rPr>
        <w:t>砷、镉、铬（六价）、铜、铅、汞、镍、锌、pH值</w:t>
      </w:r>
      <w:r>
        <w:rPr>
          <w:color w:val="auto"/>
          <w:highlight w:val="none"/>
        </w:rPr>
        <w:t>；</w:t>
      </w:r>
    </w:p>
    <w:p w14:paraId="113AEA41">
      <w:pPr>
        <w:pStyle w:val="3"/>
        <w:ind w:firstLine="480"/>
        <w:rPr>
          <w:color w:val="auto"/>
          <w:highlight w:val="none"/>
        </w:rPr>
      </w:pPr>
      <w:r>
        <w:rPr>
          <w:color w:val="auto"/>
          <w:highlight w:val="none"/>
        </w:rPr>
        <w:t>监测频次：按照《环境影响评价技术导则 土壤环境》（HJ964-2018）的要求，</w:t>
      </w:r>
      <w:r>
        <w:rPr>
          <w:rFonts w:hint="eastAsia"/>
          <w:color w:val="auto"/>
          <w:highlight w:val="none"/>
          <w:lang w:val="en-US" w:eastAsia="zh-CN"/>
        </w:rPr>
        <w:t>选矿厂区域每5年开展1次监测，尾矿库区域</w:t>
      </w:r>
      <w:r>
        <w:rPr>
          <w:color w:val="auto"/>
          <w:highlight w:val="none"/>
        </w:rPr>
        <w:t>每</w:t>
      </w:r>
      <w:r>
        <w:rPr>
          <w:rFonts w:hint="eastAsia"/>
          <w:color w:val="auto"/>
          <w:highlight w:val="none"/>
        </w:rPr>
        <w:t>3</w:t>
      </w:r>
      <w:r>
        <w:rPr>
          <w:color w:val="auto"/>
          <w:highlight w:val="none"/>
        </w:rPr>
        <w:t>年开展1次土壤环境质量跟踪监测。</w:t>
      </w:r>
    </w:p>
    <w:p w14:paraId="1C397364">
      <w:pPr>
        <w:pStyle w:val="3"/>
        <w:ind w:firstLine="480"/>
        <w:rPr>
          <w:color w:val="auto"/>
          <w:highlight w:val="none"/>
        </w:rPr>
      </w:pPr>
      <w:r>
        <w:rPr>
          <w:color w:val="auto"/>
          <w:highlight w:val="none"/>
        </w:rPr>
        <w:t>环境质量标准：</w:t>
      </w:r>
      <w:r>
        <w:rPr>
          <w:color w:val="auto"/>
          <w:highlight w:val="none"/>
          <w:lang w:val="zh-CN"/>
        </w:rPr>
        <w:t>《土壤环境质量</w:t>
      </w:r>
      <w:r>
        <w:rPr>
          <w:color w:val="auto"/>
          <w:highlight w:val="none"/>
        </w:rPr>
        <w:t xml:space="preserve"> 建设用地土壤风险管控标准（试行）</w:t>
      </w:r>
      <w:r>
        <w:rPr>
          <w:color w:val="auto"/>
          <w:highlight w:val="none"/>
          <w:lang w:val="zh-CN"/>
        </w:rPr>
        <w:t>》（</w:t>
      </w:r>
      <w:r>
        <w:rPr>
          <w:color w:val="auto"/>
          <w:highlight w:val="none"/>
        </w:rPr>
        <w:t>GB36600-2018</w:t>
      </w:r>
      <w:r>
        <w:rPr>
          <w:color w:val="auto"/>
          <w:highlight w:val="none"/>
          <w:lang w:val="zh-CN"/>
        </w:rPr>
        <w:t>）中第二类用地筛选值</w:t>
      </w:r>
      <w:r>
        <w:rPr>
          <w:color w:val="auto"/>
          <w:highlight w:val="none"/>
        </w:rPr>
        <w:t>。</w:t>
      </w:r>
    </w:p>
    <w:p w14:paraId="630C8A82">
      <w:pPr>
        <w:pStyle w:val="40"/>
        <w:rPr>
          <w:color w:val="auto"/>
          <w:highlight w:val="none"/>
        </w:rPr>
      </w:pPr>
      <w:r>
        <w:rPr>
          <w:color w:val="auto"/>
          <w:highlight w:val="none"/>
        </w:rPr>
        <w:t>表</w:t>
      </w:r>
      <w:r>
        <w:rPr>
          <w:rFonts w:hint="eastAsia"/>
          <w:color w:val="auto"/>
          <w:highlight w:val="none"/>
        </w:rPr>
        <w:t>9.2-2</w:t>
      </w:r>
      <w:r>
        <w:rPr>
          <w:color w:val="auto"/>
          <w:highlight w:val="none"/>
        </w:rPr>
        <w:t xml:space="preserve"> 环境质量监测计划内容</w:t>
      </w:r>
    </w:p>
    <w:tbl>
      <w:tblPr>
        <w:tblStyle w:val="25"/>
        <w:tblW w:w="4998" w:type="pct"/>
        <w:jc w:val="center"/>
        <w:tblBorders>
          <w:top w:val="single" w:color="000000" w:sz="12" w:space="0"/>
          <w:left w:val="single" w:color="000000" w:sz="12" w:space="0"/>
          <w:bottom w:val="single" w:color="000000" w:sz="12" w:space="0"/>
          <w:right w:val="single" w:color="000000" w:sz="12" w:space="0"/>
          <w:insideH w:val="none" w:color="auto" w:sz="0" w:space="0"/>
          <w:insideV w:val="single" w:color="000000" w:sz="4" w:space="0"/>
        </w:tblBorders>
        <w:tblLayout w:type="autofit"/>
        <w:tblCellMar>
          <w:top w:w="0" w:type="dxa"/>
          <w:left w:w="108" w:type="dxa"/>
          <w:bottom w:w="0" w:type="dxa"/>
          <w:right w:w="108" w:type="dxa"/>
        </w:tblCellMar>
      </w:tblPr>
      <w:tblGrid>
        <w:gridCol w:w="775"/>
        <w:gridCol w:w="1378"/>
        <w:gridCol w:w="4152"/>
        <w:gridCol w:w="1104"/>
        <w:gridCol w:w="1104"/>
      </w:tblGrid>
      <w:tr w14:paraId="4BEF2ABA">
        <w:tblPrEx>
          <w:tblBorders>
            <w:top w:val="single" w:color="000000" w:sz="12" w:space="0"/>
            <w:left w:val="single" w:color="000000" w:sz="12" w:space="0"/>
            <w:bottom w:val="single" w:color="000000" w:sz="12" w:space="0"/>
            <w:right w:val="single" w:color="000000" w:sz="12" w:space="0"/>
            <w:insideH w:val="none" w:color="auto" w:sz="0" w:space="0"/>
            <w:insideV w:val="single" w:color="000000" w:sz="4" w:space="0"/>
          </w:tblBorders>
          <w:tblCellMar>
            <w:top w:w="0" w:type="dxa"/>
            <w:left w:w="108" w:type="dxa"/>
            <w:bottom w:w="0" w:type="dxa"/>
            <w:right w:w="108" w:type="dxa"/>
          </w:tblCellMar>
        </w:tblPrEx>
        <w:trPr>
          <w:trHeight w:val="99" w:hRule="atLeast"/>
          <w:jc w:val="center"/>
        </w:trPr>
        <w:tc>
          <w:tcPr>
            <w:tcW w:w="455" w:type="pct"/>
            <w:tcBorders>
              <w:bottom w:val="single" w:color="000000" w:sz="4" w:space="0"/>
            </w:tcBorders>
            <w:vAlign w:val="center"/>
          </w:tcPr>
          <w:p w14:paraId="732A8C7E">
            <w:pPr>
              <w:pStyle w:val="41"/>
              <w:rPr>
                <w:color w:val="auto"/>
                <w:highlight w:val="none"/>
              </w:rPr>
            </w:pPr>
            <w:r>
              <w:rPr>
                <w:color w:val="auto"/>
                <w:highlight w:val="none"/>
              </w:rPr>
              <w:t>环境要素</w:t>
            </w:r>
          </w:p>
        </w:tc>
        <w:tc>
          <w:tcPr>
            <w:tcW w:w="809" w:type="pct"/>
            <w:tcBorders>
              <w:bottom w:val="single" w:color="000000" w:sz="4" w:space="0"/>
            </w:tcBorders>
            <w:vAlign w:val="center"/>
          </w:tcPr>
          <w:p w14:paraId="425CB3DC">
            <w:pPr>
              <w:pStyle w:val="41"/>
              <w:rPr>
                <w:color w:val="auto"/>
                <w:highlight w:val="none"/>
              </w:rPr>
            </w:pPr>
            <w:r>
              <w:rPr>
                <w:color w:val="auto"/>
                <w:highlight w:val="none"/>
              </w:rPr>
              <w:t>监测点位</w:t>
            </w:r>
          </w:p>
        </w:tc>
        <w:tc>
          <w:tcPr>
            <w:tcW w:w="2438" w:type="pct"/>
            <w:tcBorders>
              <w:bottom w:val="single" w:color="000000" w:sz="4" w:space="0"/>
            </w:tcBorders>
            <w:vAlign w:val="center"/>
          </w:tcPr>
          <w:p w14:paraId="796CE2F3">
            <w:pPr>
              <w:pStyle w:val="41"/>
              <w:rPr>
                <w:color w:val="auto"/>
                <w:highlight w:val="none"/>
              </w:rPr>
            </w:pPr>
            <w:r>
              <w:rPr>
                <w:color w:val="auto"/>
                <w:highlight w:val="none"/>
              </w:rPr>
              <w:t>监测因子</w:t>
            </w:r>
          </w:p>
        </w:tc>
        <w:tc>
          <w:tcPr>
            <w:tcW w:w="648" w:type="pct"/>
            <w:tcBorders>
              <w:bottom w:val="single" w:color="000000" w:sz="4" w:space="0"/>
            </w:tcBorders>
            <w:vAlign w:val="center"/>
          </w:tcPr>
          <w:p w14:paraId="614B70EC">
            <w:pPr>
              <w:pStyle w:val="41"/>
              <w:rPr>
                <w:color w:val="auto"/>
                <w:highlight w:val="none"/>
              </w:rPr>
            </w:pPr>
            <w:r>
              <w:rPr>
                <w:color w:val="auto"/>
                <w:highlight w:val="none"/>
              </w:rPr>
              <w:t>监测频次</w:t>
            </w:r>
          </w:p>
        </w:tc>
        <w:tc>
          <w:tcPr>
            <w:tcW w:w="648" w:type="pct"/>
            <w:tcBorders>
              <w:bottom w:val="single" w:color="000000" w:sz="4" w:space="0"/>
            </w:tcBorders>
            <w:vAlign w:val="center"/>
          </w:tcPr>
          <w:p w14:paraId="2637F643">
            <w:pPr>
              <w:pStyle w:val="41"/>
              <w:rPr>
                <w:color w:val="auto"/>
                <w:highlight w:val="none"/>
              </w:rPr>
            </w:pPr>
            <w:r>
              <w:rPr>
                <w:rFonts w:hint="eastAsia"/>
                <w:color w:val="auto"/>
                <w:highlight w:val="none"/>
              </w:rPr>
              <w:t>监测方式</w:t>
            </w:r>
          </w:p>
        </w:tc>
      </w:tr>
      <w:tr w14:paraId="18D54020">
        <w:tblPrEx>
          <w:tblBorders>
            <w:top w:val="single" w:color="000000" w:sz="12" w:space="0"/>
            <w:left w:val="single" w:color="000000" w:sz="12" w:space="0"/>
            <w:bottom w:val="single" w:color="000000" w:sz="12" w:space="0"/>
            <w:right w:val="single" w:color="000000" w:sz="12" w:space="0"/>
            <w:insideH w:val="none" w:color="auto" w:sz="0" w:space="0"/>
            <w:insideV w:val="single" w:color="000000" w:sz="4" w:space="0"/>
          </w:tblBorders>
          <w:tblCellMar>
            <w:top w:w="0" w:type="dxa"/>
            <w:left w:w="108" w:type="dxa"/>
            <w:bottom w:w="0" w:type="dxa"/>
            <w:right w:w="108" w:type="dxa"/>
          </w:tblCellMar>
        </w:tblPrEx>
        <w:trPr>
          <w:trHeight w:val="223" w:hRule="atLeast"/>
          <w:jc w:val="center"/>
        </w:trPr>
        <w:tc>
          <w:tcPr>
            <w:tcW w:w="455" w:type="pct"/>
            <w:tcBorders>
              <w:top w:val="single" w:color="000000" w:sz="4" w:space="0"/>
              <w:bottom w:val="single" w:color="000000" w:sz="4" w:space="0"/>
            </w:tcBorders>
            <w:vAlign w:val="center"/>
          </w:tcPr>
          <w:p w14:paraId="3146F8DD">
            <w:pPr>
              <w:pStyle w:val="41"/>
              <w:rPr>
                <w:color w:val="auto"/>
                <w:highlight w:val="none"/>
              </w:rPr>
            </w:pPr>
            <w:r>
              <w:rPr>
                <w:color w:val="auto"/>
                <w:highlight w:val="none"/>
              </w:rPr>
              <w:t>地下水</w:t>
            </w:r>
          </w:p>
        </w:tc>
        <w:tc>
          <w:tcPr>
            <w:tcW w:w="809" w:type="pct"/>
            <w:tcBorders>
              <w:top w:val="single" w:color="000000" w:sz="4" w:space="0"/>
              <w:bottom w:val="single" w:color="000000" w:sz="4" w:space="0"/>
            </w:tcBorders>
            <w:vAlign w:val="center"/>
          </w:tcPr>
          <w:p w14:paraId="0AC60138">
            <w:pPr>
              <w:pStyle w:val="41"/>
              <w:rPr>
                <w:color w:val="auto"/>
                <w:highlight w:val="none"/>
              </w:rPr>
            </w:pPr>
            <w:r>
              <w:rPr>
                <w:color w:val="auto"/>
                <w:highlight w:val="none"/>
              </w:rPr>
              <w:t>项目场地下游设置</w:t>
            </w:r>
            <w:r>
              <w:rPr>
                <w:rFonts w:hint="eastAsia"/>
                <w:color w:val="auto"/>
                <w:highlight w:val="none"/>
              </w:rPr>
              <w:t>3</w:t>
            </w:r>
            <w:r>
              <w:rPr>
                <w:color w:val="auto"/>
                <w:highlight w:val="none"/>
              </w:rPr>
              <w:t>口监测井</w:t>
            </w:r>
          </w:p>
        </w:tc>
        <w:tc>
          <w:tcPr>
            <w:tcW w:w="2438" w:type="pct"/>
            <w:tcBorders>
              <w:top w:val="single" w:color="000000" w:sz="4" w:space="0"/>
              <w:bottom w:val="single" w:color="000000" w:sz="4" w:space="0"/>
            </w:tcBorders>
            <w:vAlign w:val="center"/>
          </w:tcPr>
          <w:p w14:paraId="69296708">
            <w:pPr>
              <w:pStyle w:val="41"/>
              <w:rPr>
                <w:color w:val="auto"/>
                <w:highlight w:val="none"/>
              </w:rPr>
            </w:pPr>
            <w:r>
              <w:rPr>
                <w:color w:val="auto"/>
                <w:highlight w:val="none"/>
              </w:rPr>
              <w:t>pH、硝酸盐、亚硝酸盐、挥发性酚类、氰化物、砷、汞、铬（六价）、总硬度、铅、锌、氯、镉、铁、锰、溶解性总固体、高锰酸盐指数、硫酸盐、氯化物</w:t>
            </w:r>
          </w:p>
        </w:tc>
        <w:tc>
          <w:tcPr>
            <w:tcW w:w="648" w:type="pct"/>
            <w:tcBorders>
              <w:top w:val="single" w:color="000000" w:sz="4" w:space="0"/>
              <w:bottom w:val="single" w:color="000000" w:sz="4" w:space="0"/>
            </w:tcBorders>
            <w:vAlign w:val="center"/>
          </w:tcPr>
          <w:p w14:paraId="746285C1">
            <w:pPr>
              <w:pStyle w:val="41"/>
              <w:rPr>
                <w:color w:val="auto"/>
                <w:highlight w:val="none"/>
              </w:rPr>
            </w:pPr>
            <w:r>
              <w:rPr>
                <w:color w:val="auto"/>
                <w:highlight w:val="none"/>
              </w:rPr>
              <w:t>1次/年</w:t>
            </w:r>
          </w:p>
        </w:tc>
        <w:tc>
          <w:tcPr>
            <w:tcW w:w="648" w:type="pct"/>
            <w:vMerge w:val="restart"/>
            <w:tcBorders>
              <w:top w:val="single" w:color="000000" w:sz="4" w:space="0"/>
            </w:tcBorders>
            <w:vAlign w:val="center"/>
          </w:tcPr>
          <w:p w14:paraId="02B233E1">
            <w:pPr>
              <w:pStyle w:val="41"/>
              <w:rPr>
                <w:color w:val="auto"/>
                <w:highlight w:val="none"/>
              </w:rPr>
            </w:pPr>
            <w:r>
              <w:rPr>
                <w:rFonts w:hint="eastAsia"/>
                <w:color w:val="auto"/>
                <w:highlight w:val="none"/>
              </w:rPr>
              <w:t>委托监测</w:t>
            </w:r>
          </w:p>
          <w:p w14:paraId="097CEE79">
            <w:pPr>
              <w:pStyle w:val="41"/>
              <w:rPr>
                <w:color w:val="auto"/>
                <w:highlight w:val="none"/>
              </w:rPr>
            </w:pPr>
          </w:p>
        </w:tc>
      </w:tr>
      <w:tr w14:paraId="5E33D333">
        <w:tblPrEx>
          <w:tblBorders>
            <w:top w:val="single" w:color="000000" w:sz="12" w:space="0"/>
            <w:left w:val="single" w:color="000000" w:sz="12" w:space="0"/>
            <w:bottom w:val="single" w:color="000000" w:sz="12" w:space="0"/>
            <w:right w:val="single" w:color="000000" w:sz="12" w:space="0"/>
            <w:insideH w:val="none" w:color="auto" w:sz="0" w:space="0"/>
            <w:insideV w:val="single" w:color="000000" w:sz="4" w:space="0"/>
          </w:tblBorders>
          <w:tblCellMar>
            <w:top w:w="0" w:type="dxa"/>
            <w:left w:w="108" w:type="dxa"/>
            <w:bottom w:w="0" w:type="dxa"/>
            <w:right w:w="108" w:type="dxa"/>
          </w:tblCellMar>
        </w:tblPrEx>
        <w:trPr>
          <w:trHeight w:val="246" w:hRule="atLeast"/>
          <w:jc w:val="center"/>
        </w:trPr>
        <w:tc>
          <w:tcPr>
            <w:tcW w:w="455" w:type="pct"/>
            <w:vMerge w:val="restart"/>
            <w:tcBorders>
              <w:top w:val="single" w:color="000000" w:sz="4" w:space="0"/>
            </w:tcBorders>
            <w:vAlign w:val="center"/>
          </w:tcPr>
          <w:p w14:paraId="4809BD85">
            <w:pPr>
              <w:pStyle w:val="41"/>
              <w:rPr>
                <w:color w:val="auto"/>
                <w:highlight w:val="none"/>
              </w:rPr>
            </w:pPr>
            <w:r>
              <w:rPr>
                <w:color w:val="auto"/>
                <w:highlight w:val="none"/>
              </w:rPr>
              <w:t>土壤</w:t>
            </w:r>
          </w:p>
          <w:p w14:paraId="38B860DC">
            <w:pPr>
              <w:pStyle w:val="41"/>
              <w:rPr>
                <w:color w:val="auto"/>
                <w:highlight w:val="none"/>
              </w:rPr>
            </w:pPr>
            <w:r>
              <w:rPr>
                <w:color w:val="auto"/>
                <w:highlight w:val="none"/>
              </w:rPr>
              <w:t>质量</w:t>
            </w:r>
          </w:p>
        </w:tc>
        <w:tc>
          <w:tcPr>
            <w:tcW w:w="809" w:type="pct"/>
            <w:tcBorders>
              <w:top w:val="single" w:color="000000" w:sz="4" w:space="0"/>
              <w:bottom w:val="single" w:color="000000" w:sz="4" w:space="0"/>
            </w:tcBorders>
            <w:vAlign w:val="center"/>
          </w:tcPr>
          <w:p w14:paraId="1468A94C">
            <w:pPr>
              <w:pStyle w:val="41"/>
              <w:rPr>
                <w:rFonts w:hint="default" w:eastAsia="华文中宋"/>
                <w:color w:val="auto"/>
                <w:highlight w:val="none"/>
                <w:lang w:val="en-US" w:eastAsia="zh-CN"/>
              </w:rPr>
            </w:pPr>
            <w:r>
              <w:rPr>
                <w:rFonts w:hint="eastAsia"/>
                <w:color w:val="auto"/>
                <w:highlight w:val="none"/>
                <w:lang w:val="en-US" w:eastAsia="zh-CN"/>
              </w:rPr>
              <w:t>生产车间下游</w:t>
            </w:r>
          </w:p>
        </w:tc>
        <w:tc>
          <w:tcPr>
            <w:tcW w:w="2438" w:type="pct"/>
            <w:vMerge w:val="restart"/>
            <w:tcBorders>
              <w:top w:val="single" w:color="000000" w:sz="4" w:space="0"/>
            </w:tcBorders>
            <w:vAlign w:val="center"/>
          </w:tcPr>
          <w:p w14:paraId="0E338621">
            <w:pPr>
              <w:pStyle w:val="41"/>
              <w:rPr>
                <w:color w:val="auto"/>
                <w:highlight w:val="none"/>
              </w:rPr>
            </w:pPr>
            <w:r>
              <w:rPr>
                <w:color w:val="auto"/>
                <w:highlight w:val="none"/>
              </w:rPr>
              <w:t>砷、镉、铬、铜、铅、汞、镍、锌、pH值</w:t>
            </w:r>
          </w:p>
        </w:tc>
        <w:tc>
          <w:tcPr>
            <w:tcW w:w="648" w:type="pct"/>
            <w:tcBorders>
              <w:top w:val="single" w:color="000000" w:sz="4" w:space="0"/>
              <w:bottom w:val="single" w:color="auto" w:sz="4" w:space="0"/>
            </w:tcBorders>
            <w:vAlign w:val="center"/>
          </w:tcPr>
          <w:p w14:paraId="69AD5855">
            <w:pPr>
              <w:pStyle w:val="41"/>
              <w:rPr>
                <w:color w:val="auto"/>
                <w:highlight w:val="none"/>
              </w:rPr>
            </w:pPr>
            <w:r>
              <w:rPr>
                <w:color w:val="auto"/>
                <w:highlight w:val="none"/>
              </w:rPr>
              <w:t>1次/</w:t>
            </w:r>
            <w:r>
              <w:rPr>
                <w:rFonts w:hint="eastAsia"/>
                <w:color w:val="auto"/>
                <w:highlight w:val="none"/>
              </w:rPr>
              <w:t>5</w:t>
            </w:r>
            <w:r>
              <w:rPr>
                <w:color w:val="auto"/>
                <w:highlight w:val="none"/>
              </w:rPr>
              <w:t>年</w:t>
            </w:r>
          </w:p>
        </w:tc>
        <w:tc>
          <w:tcPr>
            <w:tcW w:w="648" w:type="pct"/>
            <w:vMerge w:val="continue"/>
            <w:vAlign w:val="center"/>
          </w:tcPr>
          <w:p w14:paraId="3A22A57F">
            <w:pPr>
              <w:pStyle w:val="41"/>
              <w:rPr>
                <w:color w:val="auto"/>
                <w:highlight w:val="none"/>
              </w:rPr>
            </w:pPr>
          </w:p>
        </w:tc>
      </w:tr>
      <w:tr w14:paraId="3F6E0320">
        <w:tblPrEx>
          <w:tblBorders>
            <w:top w:val="single" w:color="000000" w:sz="12" w:space="0"/>
            <w:left w:val="single" w:color="000000" w:sz="12" w:space="0"/>
            <w:bottom w:val="single" w:color="000000" w:sz="12" w:space="0"/>
            <w:right w:val="single" w:color="000000" w:sz="12" w:space="0"/>
            <w:insideH w:val="none" w:color="auto" w:sz="0" w:space="0"/>
            <w:insideV w:val="single" w:color="000000" w:sz="4" w:space="0"/>
          </w:tblBorders>
          <w:tblCellMar>
            <w:top w:w="0" w:type="dxa"/>
            <w:left w:w="108" w:type="dxa"/>
            <w:bottom w:w="0" w:type="dxa"/>
            <w:right w:w="108" w:type="dxa"/>
          </w:tblCellMar>
        </w:tblPrEx>
        <w:trPr>
          <w:trHeight w:val="246" w:hRule="atLeast"/>
          <w:jc w:val="center"/>
        </w:trPr>
        <w:tc>
          <w:tcPr>
            <w:tcW w:w="455" w:type="pct"/>
            <w:vMerge w:val="continue"/>
            <w:vAlign w:val="center"/>
          </w:tcPr>
          <w:p w14:paraId="053A321C">
            <w:pPr>
              <w:pStyle w:val="41"/>
              <w:rPr>
                <w:color w:val="auto"/>
                <w:highlight w:val="none"/>
              </w:rPr>
            </w:pPr>
          </w:p>
        </w:tc>
        <w:tc>
          <w:tcPr>
            <w:tcW w:w="809" w:type="pct"/>
            <w:tcBorders>
              <w:top w:val="single" w:color="000000" w:sz="4" w:space="0"/>
              <w:bottom w:val="single" w:color="000000" w:sz="4" w:space="0"/>
            </w:tcBorders>
            <w:vAlign w:val="center"/>
          </w:tcPr>
          <w:p w14:paraId="24A102D6">
            <w:pPr>
              <w:pStyle w:val="41"/>
              <w:rPr>
                <w:rFonts w:hint="default" w:eastAsia="华文中宋"/>
                <w:color w:val="auto"/>
                <w:highlight w:val="none"/>
                <w:lang w:val="en-US" w:eastAsia="zh-CN"/>
              </w:rPr>
            </w:pPr>
            <w:r>
              <w:rPr>
                <w:rFonts w:hint="eastAsia"/>
                <w:color w:val="auto"/>
                <w:highlight w:val="none"/>
                <w:lang w:val="en-US" w:eastAsia="zh-CN"/>
              </w:rPr>
              <w:t>厂区外下游</w:t>
            </w:r>
          </w:p>
        </w:tc>
        <w:tc>
          <w:tcPr>
            <w:tcW w:w="2438" w:type="pct"/>
            <w:vMerge w:val="continue"/>
            <w:vAlign w:val="center"/>
          </w:tcPr>
          <w:p w14:paraId="4FF69B17">
            <w:pPr>
              <w:pStyle w:val="41"/>
              <w:rPr>
                <w:color w:val="auto"/>
                <w:highlight w:val="none"/>
              </w:rPr>
            </w:pPr>
          </w:p>
        </w:tc>
        <w:tc>
          <w:tcPr>
            <w:tcW w:w="648" w:type="pct"/>
            <w:tcBorders>
              <w:top w:val="single" w:color="auto" w:sz="4" w:space="0"/>
              <w:bottom w:val="single" w:color="auto" w:sz="4" w:space="0"/>
            </w:tcBorders>
            <w:vAlign w:val="center"/>
          </w:tcPr>
          <w:p w14:paraId="42A8A8E8">
            <w:pPr>
              <w:pStyle w:val="41"/>
              <w:rPr>
                <w:color w:val="auto"/>
                <w:highlight w:val="none"/>
              </w:rPr>
            </w:pPr>
            <w:r>
              <w:rPr>
                <w:color w:val="auto"/>
                <w:highlight w:val="none"/>
              </w:rPr>
              <w:t>1次/</w:t>
            </w:r>
            <w:r>
              <w:rPr>
                <w:rFonts w:hint="eastAsia"/>
                <w:color w:val="auto"/>
                <w:highlight w:val="none"/>
              </w:rPr>
              <w:t>5</w:t>
            </w:r>
            <w:r>
              <w:rPr>
                <w:color w:val="auto"/>
                <w:highlight w:val="none"/>
              </w:rPr>
              <w:t>年</w:t>
            </w:r>
          </w:p>
        </w:tc>
        <w:tc>
          <w:tcPr>
            <w:tcW w:w="648" w:type="pct"/>
            <w:vMerge w:val="continue"/>
            <w:vAlign w:val="center"/>
          </w:tcPr>
          <w:p w14:paraId="5B64A72B">
            <w:pPr>
              <w:pStyle w:val="41"/>
              <w:rPr>
                <w:color w:val="auto"/>
                <w:highlight w:val="none"/>
              </w:rPr>
            </w:pPr>
          </w:p>
        </w:tc>
      </w:tr>
      <w:tr w14:paraId="10697448">
        <w:tblPrEx>
          <w:tblBorders>
            <w:top w:val="single" w:color="000000" w:sz="12" w:space="0"/>
            <w:left w:val="single" w:color="000000" w:sz="12" w:space="0"/>
            <w:bottom w:val="single" w:color="000000" w:sz="12" w:space="0"/>
            <w:right w:val="single" w:color="000000" w:sz="12" w:space="0"/>
            <w:insideH w:val="none" w:color="auto" w:sz="0" w:space="0"/>
            <w:insideV w:val="single" w:color="000000" w:sz="4" w:space="0"/>
          </w:tblBorders>
          <w:tblCellMar>
            <w:top w:w="0" w:type="dxa"/>
            <w:left w:w="108" w:type="dxa"/>
            <w:bottom w:w="0" w:type="dxa"/>
            <w:right w:w="108" w:type="dxa"/>
          </w:tblCellMar>
        </w:tblPrEx>
        <w:trPr>
          <w:trHeight w:val="246" w:hRule="atLeast"/>
          <w:jc w:val="center"/>
        </w:trPr>
        <w:tc>
          <w:tcPr>
            <w:tcW w:w="455" w:type="pct"/>
            <w:vMerge w:val="continue"/>
            <w:vAlign w:val="center"/>
          </w:tcPr>
          <w:p w14:paraId="7A7AA8AE">
            <w:pPr>
              <w:pStyle w:val="41"/>
              <w:rPr>
                <w:color w:val="auto"/>
                <w:highlight w:val="none"/>
              </w:rPr>
            </w:pPr>
          </w:p>
        </w:tc>
        <w:tc>
          <w:tcPr>
            <w:tcW w:w="809" w:type="pct"/>
            <w:tcBorders>
              <w:top w:val="single" w:color="000000" w:sz="4" w:space="0"/>
              <w:bottom w:val="single" w:color="000000" w:sz="4" w:space="0"/>
            </w:tcBorders>
            <w:vAlign w:val="center"/>
          </w:tcPr>
          <w:p w14:paraId="4EA6150B">
            <w:pPr>
              <w:pStyle w:val="41"/>
              <w:rPr>
                <w:rFonts w:hint="eastAsia" w:eastAsia="华文中宋"/>
                <w:color w:val="auto"/>
                <w:highlight w:val="none"/>
                <w:lang w:eastAsia="zh-CN"/>
              </w:rPr>
            </w:pPr>
            <w:r>
              <w:rPr>
                <w:rFonts w:hint="eastAsia"/>
                <w:color w:val="auto"/>
                <w:highlight w:val="none"/>
                <w:lang w:val="en-US" w:eastAsia="zh-CN"/>
              </w:rPr>
              <w:t>库区</w:t>
            </w:r>
          </w:p>
        </w:tc>
        <w:tc>
          <w:tcPr>
            <w:tcW w:w="2438" w:type="pct"/>
            <w:vMerge w:val="continue"/>
            <w:vAlign w:val="center"/>
          </w:tcPr>
          <w:p w14:paraId="54822E52">
            <w:pPr>
              <w:pStyle w:val="41"/>
              <w:rPr>
                <w:color w:val="auto"/>
                <w:highlight w:val="none"/>
              </w:rPr>
            </w:pPr>
          </w:p>
        </w:tc>
        <w:tc>
          <w:tcPr>
            <w:tcW w:w="648" w:type="pct"/>
            <w:tcBorders>
              <w:top w:val="single" w:color="auto" w:sz="4" w:space="0"/>
              <w:bottom w:val="single" w:color="auto" w:sz="4" w:space="0"/>
            </w:tcBorders>
            <w:vAlign w:val="center"/>
          </w:tcPr>
          <w:p w14:paraId="2137EC23">
            <w:pPr>
              <w:pStyle w:val="41"/>
              <w:rPr>
                <w:color w:val="auto"/>
                <w:highlight w:val="none"/>
              </w:rPr>
            </w:pPr>
            <w:r>
              <w:rPr>
                <w:color w:val="auto"/>
                <w:highlight w:val="none"/>
              </w:rPr>
              <w:t>1次/</w:t>
            </w:r>
            <w:r>
              <w:rPr>
                <w:rFonts w:hint="eastAsia"/>
                <w:color w:val="auto"/>
                <w:highlight w:val="none"/>
              </w:rPr>
              <w:t>3</w:t>
            </w:r>
            <w:r>
              <w:rPr>
                <w:color w:val="auto"/>
                <w:highlight w:val="none"/>
              </w:rPr>
              <w:t>年</w:t>
            </w:r>
          </w:p>
        </w:tc>
        <w:tc>
          <w:tcPr>
            <w:tcW w:w="648" w:type="pct"/>
            <w:vMerge w:val="continue"/>
            <w:vAlign w:val="center"/>
          </w:tcPr>
          <w:p w14:paraId="796AC737">
            <w:pPr>
              <w:pStyle w:val="41"/>
              <w:rPr>
                <w:color w:val="auto"/>
                <w:highlight w:val="none"/>
              </w:rPr>
            </w:pPr>
          </w:p>
        </w:tc>
      </w:tr>
      <w:tr w14:paraId="1B6532BF">
        <w:tblPrEx>
          <w:tblBorders>
            <w:top w:val="single" w:color="000000" w:sz="12" w:space="0"/>
            <w:left w:val="single" w:color="000000" w:sz="12" w:space="0"/>
            <w:bottom w:val="single" w:color="000000" w:sz="12" w:space="0"/>
            <w:right w:val="single" w:color="000000" w:sz="12" w:space="0"/>
            <w:insideH w:val="none" w:color="auto" w:sz="0" w:space="0"/>
            <w:insideV w:val="single" w:color="000000" w:sz="4" w:space="0"/>
          </w:tblBorders>
          <w:tblCellMar>
            <w:top w:w="0" w:type="dxa"/>
            <w:left w:w="108" w:type="dxa"/>
            <w:bottom w:w="0" w:type="dxa"/>
            <w:right w:w="108" w:type="dxa"/>
          </w:tblCellMar>
        </w:tblPrEx>
        <w:trPr>
          <w:trHeight w:val="246" w:hRule="atLeast"/>
          <w:jc w:val="center"/>
        </w:trPr>
        <w:tc>
          <w:tcPr>
            <w:tcW w:w="455" w:type="pct"/>
            <w:vMerge w:val="continue"/>
            <w:vAlign w:val="center"/>
          </w:tcPr>
          <w:p w14:paraId="389EA5D4">
            <w:pPr>
              <w:pStyle w:val="41"/>
              <w:rPr>
                <w:color w:val="auto"/>
                <w:highlight w:val="none"/>
              </w:rPr>
            </w:pPr>
          </w:p>
        </w:tc>
        <w:tc>
          <w:tcPr>
            <w:tcW w:w="809" w:type="pct"/>
            <w:tcBorders>
              <w:top w:val="single" w:color="000000" w:sz="4" w:space="0"/>
            </w:tcBorders>
            <w:vAlign w:val="center"/>
          </w:tcPr>
          <w:p w14:paraId="394C8E48">
            <w:pPr>
              <w:pStyle w:val="41"/>
              <w:rPr>
                <w:color w:val="auto"/>
                <w:highlight w:val="none"/>
              </w:rPr>
            </w:pPr>
            <w:r>
              <w:rPr>
                <w:rFonts w:hint="eastAsia"/>
                <w:color w:val="auto"/>
                <w:highlight w:val="none"/>
              </w:rPr>
              <w:t>尾矿库下游</w:t>
            </w:r>
          </w:p>
        </w:tc>
        <w:tc>
          <w:tcPr>
            <w:tcW w:w="2438" w:type="pct"/>
            <w:vMerge w:val="continue"/>
            <w:vAlign w:val="center"/>
          </w:tcPr>
          <w:p w14:paraId="48FB38F2">
            <w:pPr>
              <w:pStyle w:val="41"/>
              <w:rPr>
                <w:color w:val="auto"/>
                <w:highlight w:val="none"/>
              </w:rPr>
            </w:pPr>
          </w:p>
        </w:tc>
        <w:tc>
          <w:tcPr>
            <w:tcW w:w="648" w:type="pct"/>
            <w:tcBorders>
              <w:top w:val="single" w:color="auto" w:sz="4" w:space="0"/>
            </w:tcBorders>
            <w:vAlign w:val="center"/>
          </w:tcPr>
          <w:p w14:paraId="68C47F1E">
            <w:pPr>
              <w:pStyle w:val="41"/>
              <w:rPr>
                <w:color w:val="auto"/>
                <w:highlight w:val="none"/>
              </w:rPr>
            </w:pPr>
            <w:r>
              <w:rPr>
                <w:color w:val="auto"/>
                <w:highlight w:val="none"/>
              </w:rPr>
              <w:t>1次/</w:t>
            </w:r>
            <w:r>
              <w:rPr>
                <w:rFonts w:hint="eastAsia"/>
                <w:color w:val="auto"/>
                <w:highlight w:val="none"/>
              </w:rPr>
              <w:t>3</w:t>
            </w:r>
            <w:r>
              <w:rPr>
                <w:color w:val="auto"/>
                <w:highlight w:val="none"/>
              </w:rPr>
              <w:t>年</w:t>
            </w:r>
          </w:p>
        </w:tc>
        <w:tc>
          <w:tcPr>
            <w:tcW w:w="648" w:type="pct"/>
            <w:vMerge w:val="continue"/>
            <w:vAlign w:val="center"/>
          </w:tcPr>
          <w:p w14:paraId="554D8E9E">
            <w:pPr>
              <w:pStyle w:val="41"/>
              <w:rPr>
                <w:color w:val="auto"/>
                <w:highlight w:val="none"/>
              </w:rPr>
            </w:pPr>
          </w:p>
        </w:tc>
      </w:tr>
    </w:tbl>
    <w:p w14:paraId="145879B8">
      <w:pPr>
        <w:pStyle w:val="39"/>
        <w:rPr>
          <w:rFonts w:hint="default"/>
          <w:color w:val="auto"/>
          <w:highlight w:val="none"/>
        </w:rPr>
      </w:pPr>
      <w:bookmarkStart w:id="481" w:name="_Toc26659"/>
      <w:bookmarkStart w:id="482" w:name="_Toc10483"/>
      <w:r>
        <w:rPr>
          <w:color w:val="auto"/>
          <w:highlight w:val="none"/>
        </w:rPr>
        <w:t>环境保护</w:t>
      </w:r>
      <w:r>
        <w:rPr>
          <w:rFonts w:hint="default"/>
          <w:color w:val="auto"/>
          <w:highlight w:val="none"/>
        </w:rPr>
        <w:t>竣工验收</w:t>
      </w:r>
      <w:bookmarkEnd w:id="481"/>
      <w:bookmarkEnd w:id="482"/>
    </w:p>
    <w:p w14:paraId="21424164">
      <w:pPr>
        <w:pStyle w:val="3"/>
        <w:ind w:firstLine="480"/>
        <w:rPr>
          <w:color w:val="auto"/>
          <w:highlight w:val="none"/>
        </w:rPr>
      </w:pPr>
      <w:r>
        <w:rPr>
          <w:color w:val="auto"/>
          <w:highlight w:val="none"/>
        </w:rPr>
        <w:t>根据《建设项目环境保护管理条例》《建设项目竣工环境保护验收暂行办法》及《建设项目竣工环境保护验收技术规范》的规定，在建设项目正式投入生产或使用之前，建设单位必须组织环境保护竣工验收，提交环境保护验收</w:t>
      </w:r>
      <w:r>
        <w:rPr>
          <w:rFonts w:hint="eastAsia"/>
          <w:color w:val="auto"/>
          <w:highlight w:val="none"/>
          <w:lang w:val="en-US" w:eastAsia="zh-CN"/>
        </w:rPr>
        <w:t>监测</w:t>
      </w:r>
      <w:r>
        <w:rPr>
          <w:color w:val="auto"/>
          <w:highlight w:val="none"/>
        </w:rPr>
        <w:t>报告。</w:t>
      </w:r>
    </w:p>
    <w:p w14:paraId="05D35FFD">
      <w:pPr>
        <w:pStyle w:val="3"/>
        <w:ind w:firstLine="480"/>
        <w:rPr>
          <w:color w:val="auto"/>
          <w:highlight w:val="none"/>
        </w:rPr>
      </w:pPr>
      <w:r>
        <w:rPr>
          <w:color w:val="auto"/>
          <w:highlight w:val="none"/>
        </w:rPr>
        <w:t>（1）验收范围</w:t>
      </w:r>
    </w:p>
    <w:p w14:paraId="19162B67">
      <w:pPr>
        <w:pStyle w:val="3"/>
        <w:ind w:firstLine="480"/>
        <w:rPr>
          <w:color w:val="auto"/>
          <w:highlight w:val="none"/>
        </w:rPr>
      </w:pPr>
      <w:r>
        <w:rPr>
          <w:color w:val="auto"/>
          <w:highlight w:val="none"/>
        </w:rPr>
        <w:t>1）与项目有关的各项环保设施，包括为防治污染和保护环境所建成或配套建成的治理工程、设备、装置和监测手段以及各项生态保护设施等。</w:t>
      </w:r>
    </w:p>
    <w:p w14:paraId="028BD4A1">
      <w:pPr>
        <w:pStyle w:val="3"/>
        <w:ind w:firstLine="480"/>
        <w:rPr>
          <w:color w:val="auto"/>
          <w:highlight w:val="none"/>
        </w:rPr>
      </w:pPr>
      <w:r>
        <w:rPr>
          <w:color w:val="auto"/>
          <w:highlight w:val="none"/>
        </w:rPr>
        <w:t>2）本项目环评文件和有关设计文件规定应采取的其它各项环保措施。</w:t>
      </w:r>
    </w:p>
    <w:p w14:paraId="4968DF88">
      <w:pPr>
        <w:pStyle w:val="3"/>
        <w:ind w:firstLine="480"/>
        <w:rPr>
          <w:color w:val="auto"/>
          <w:highlight w:val="none"/>
        </w:rPr>
      </w:pPr>
      <w:r>
        <w:rPr>
          <w:color w:val="auto"/>
          <w:highlight w:val="none"/>
        </w:rPr>
        <w:t>（2）验收内容</w:t>
      </w:r>
    </w:p>
    <w:p w14:paraId="57544357">
      <w:pPr>
        <w:pStyle w:val="3"/>
        <w:ind w:firstLine="480"/>
        <w:rPr>
          <w:color w:val="auto"/>
          <w:highlight w:val="none"/>
        </w:rPr>
      </w:pPr>
      <w:r>
        <w:rPr>
          <w:color w:val="auto"/>
          <w:highlight w:val="none"/>
        </w:rPr>
        <w:t>根据建设项目环境管理办法，环境污染防治设施必须与主体工程同时设计、同时施工、同时投入使用。本项目环保工程竣工验收内容，见下表。</w:t>
      </w:r>
    </w:p>
    <w:p w14:paraId="56A856C4">
      <w:pPr>
        <w:pStyle w:val="40"/>
        <w:rPr>
          <w:color w:val="auto"/>
          <w:highlight w:val="none"/>
        </w:rPr>
      </w:pPr>
      <w:r>
        <w:rPr>
          <w:color w:val="auto"/>
          <w:highlight w:val="none"/>
        </w:rPr>
        <w:t>表</w:t>
      </w:r>
      <w:r>
        <w:rPr>
          <w:rFonts w:hint="eastAsia"/>
          <w:color w:val="auto"/>
          <w:highlight w:val="none"/>
        </w:rPr>
        <w:t>9.3</w:t>
      </w:r>
      <w:r>
        <w:rPr>
          <w:color w:val="auto"/>
          <w:highlight w:val="none"/>
        </w:rPr>
        <w:t>-1    环境保护措施竣工“三同时”验收内容及要求一览表</w:t>
      </w:r>
    </w:p>
    <w:tbl>
      <w:tblPr>
        <w:tblStyle w:val="26"/>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57" w:type="dxa"/>
          <w:bottom w:w="0" w:type="dxa"/>
          <w:right w:w="57" w:type="dxa"/>
        </w:tblCellMar>
      </w:tblPr>
      <w:tblGrid>
        <w:gridCol w:w="821"/>
        <w:gridCol w:w="1163"/>
        <w:gridCol w:w="1371"/>
        <w:gridCol w:w="2648"/>
        <w:gridCol w:w="2408"/>
      </w:tblGrid>
      <w:tr w14:paraId="439B17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88" w:type="pct"/>
            <w:tcBorders>
              <w:tl2br w:val="nil"/>
              <w:tr2bl w:val="nil"/>
            </w:tcBorders>
            <w:vAlign w:val="center"/>
          </w:tcPr>
          <w:p w14:paraId="13158834">
            <w:pPr>
              <w:pStyle w:val="41"/>
              <w:widowControl w:val="0"/>
              <w:rPr>
                <w:color w:val="auto"/>
                <w:highlight w:val="none"/>
              </w:rPr>
            </w:pPr>
            <w:r>
              <w:rPr>
                <w:color w:val="auto"/>
                <w:highlight w:val="none"/>
              </w:rPr>
              <w:t>项目</w:t>
            </w:r>
          </w:p>
        </w:tc>
        <w:tc>
          <w:tcPr>
            <w:tcW w:w="691" w:type="pct"/>
            <w:tcBorders>
              <w:tl2br w:val="nil"/>
              <w:tr2bl w:val="nil"/>
            </w:tcBorders>
            <w:vAlign w:val="center"/>
          </w:tcPr>
          <w:p w14:paraId="3C16F50E">
            <w:pPr>
              <w:pStyle w:val="41"/>
              <w:widowControl w:val="0"/>
              <w:rPr>
                <w:color w:val="auto"/>
                <w:highlight w:val="none"/>
              </w:rPr>
            </w:pPr>
            <w:r>
              <w:rPr>
                <w:color w:val="auto"/>
                <w:highlight w:val="none"/>
              </w:rPr>
              <w:t>验收内容/验收点位</w:t>
            </w:r>
          </w:p>
        </w:tc>
        <w:tc>
          <w:tcPr>
            <w:tcW w:w="815" w:type="pct"/>
            <w:tcBorders>
              <w:tl2br w:val="nil"/>
              <w:tr2bl w:val="nil"/>
            </w:tcBorders>
            <w:vAlign w:val="center"/>
          </w:tcPr>
          <w:p w14:paraId="57C3DC79">
            <w:pPr>
              <w:pStyle w:val="41"/>
              <w:widowControl w:val="0"/>
              <w:rPr>
                <w:color w:val="auto"/>
                <w:highlight w:val="none"/>
              </w:rPr>
            </w:pPr>
            <w:r>
              <w:rPr>
                <w:color w:val="auto"/>
                <w:highlight w:val="none"/>
              </w:rPr>
              <w:t>监测因子</w:t>
            </w:r>
          </w:p>
        </w:tc>
        <w:tc>
          <w:tcPr>
            <w:tcW w:w="1574" w:type="pct"/>
            <w:tcBorders>
              <w:tl2br w:val="nil"/>
              <w:tr2bl w:val="nil"/>
            </w:tcBorders>
            <w:vAlign w:val="center"/>
          </w:tcPr>
          <w:p w14:paraId="0FEDE540">
            <w:pPr>
              <w:pStyle w:val="41"/>
              <w:widowControl w:val="0"/>
              <w:rPr>
                <w:color w:val="auto"/>
                <w:highlight w:val="none"/>
              </w:rPr>
            </w:pPr>
            <w:r>
              <w:rPr>
                <w:color w:val="auto"/>
                <w:highlight w:val="none"/>
              </w:rPr>
              <w:t>处理措施验收</w:t>
            </w:r>
          </w:p>
        </w:tc>
        <w:tc>
          <w:tcPr>
            <w:tcW w:w="1431" w:type="pct"/>
            <w:tcBorders>
              <w:tl2br w:val="nil"/>
              <w:tr2bl w:val="nil"/>
            </w:tcBorders>
            <w:vAlign w:val="center"/>
          </w:tcPr>
          <w:p w14:paraId="3480932E">
            <w:pPr>
              <w:pStyle w:val="41"/>
              <w:widowControl w:val="0"/>
              <w:rPr>
                <w:color w:val="auto"/>
                <w:highlight w:val="none"/>
              </w:rPr>
            </w:pPr>
            <w:r>
              <w:rPr>
                <w:color w:val="auto"/>
                <w:highlight w:val="none"/>
              </w:rPr>
              <w:t>验收要求</w:t>
            </w:r>
          </w:p>
        </w:tc>
      </w:tr>
      <w:tr w14:paraId="3BD326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88" w:type="pct"/>
            <w:vMerge w:val="restart"/>
            <w:tcBorders>
              <w:tl2br w:val="nil"/>
              <w:tr2bl w:val="nil"/>
            </w:tcBorders>
            <w:vAlign w:val="center"/>
          </w:tcPr>
          <w:p w14:paraId="2FEB7BB1">
            <w:pPr>
              <w:pStyle w:val="41"/>
              <w:widowControl w:val="0"/>
              <w:rPr>
                <w:color w:val="auto"/>
                <w:highlight w:val="none"/>
              </w:rPr>
            </w:pPr>
            <w:r>
              <w:rPr>
                <w:color w:val="auto"/>
                <w:highlight w:val="none"/>
              </w:rPr>
              <w:t>废气（有组织）</w:t>
            </w:r>
          </w:p>
        </w:tc>
        <w:tc>
          <w:tcPr>
            <w:tcW w:w="691" w:type="pct"/>
            <w:tcBorders>
              <w:tl2br w:val="nil"/>
              <w:tr2bl w:val="nil"/>
            </w:tcBorders>
            <w:vAlign w:val="center"/>
          </w:tcPr>
          <w:p w14:paraId="77F505B2">
            <w:pPr>
              <w:pStyle w:val="41"/>
              <w:widowControl w:val="0"/>
              <w:rPr>
                <w:color w:val="auto"/>
                <w:highlight w:val="none"/>
              </w:rPr>
            </w:pPr>
            <w:r>
              <w:rPr>
                <w:rFonts w:hint="eastAsia"/>
                <w:color w:val="auto"/>
                <w:highlight w:val="none"/>
              </w:rPr>
              <w:t>滚轴筛车间（DA001）</w:t>
            </w:r>
          </w:p>
        </w:tc>
        <w:tc>
          <w:tcPr>
            <w:tcW w:w="815" w:type="pct"/>
            <w:tcBorders>
              <w:tl2br w:val="nil"/>
              <w:tr2bl w:val="nil"/>
            </w:tcBorders>
            <w:vAlign w:val="center"/>
          </w:tcPr>
          <w:p w14:paraId="0DE87A0C">
            <w:pPr>
              <w:pStyle w:val="41"/>
              <w:widowControl w:val="0"/>
              <w:rPr>
                <w:color w:val="auto"/>
                <w:highlight w:val="none"/>
              </w:rPr>
            </w:pPr>
            <w:r>
              <w:rPr>
                <w:color w:val="auto"/>
                <w:highlight w:val="none"/>
              </w:rPr>
              <w:t>颗粒物</w:t>
            </w:r>
          </w:p>
        </w:tc>
        <w:tc>
          <w:tcPr>
            <w:tcW w:w="1574" w:type="pct"/>
            <w:tcBorders>
              <w:tl2br w:val="nil"/>
              <w:tr2bl w:val="nil"/>
            </w:tcBorders>
            <w:vAlign w:val="center"/>
          </w:tcPr>
          <w:p w14:paraId="2A9EE5EB">
            <w:pPr>
              <w:pStyle w:val="41"/>
              <w:widowControl w:val="0"/>
              <w:rPr>
                <w:color w:val="auto"/>
                <w:highlight w:val="none"/>
              </w:rPr>
            </w:pPr>
            <w:r>
              <w:rPr>
                <w:color w:val="auto"/>
                <w:highlight w:val="none"/>
              </w:rPr>
              <w:t>集气装置+布袋除尘器</w:t>
            </w:r>
            <w:r>
              <w:rPr>
                <w:rFonts w:hint="eastAsia"/>
                <w:color w:val="auto"/>
                <w:highlight w:val="none"/>
              </w:rPr>
              <w:t>+25</w:t>
            </w:r>
            <w:r>
              <w:rPr>
                <w:color w:val="auto"/>
                <w:highlight w:val="none"/>
              </w:rPr>
              <w:t>m高排气筒</w:t>
            </w:r>
          </w:p>
        </w:tc>
        <w:tc>
          <w:tcPr>
            <w:tcW w:w="1431" w:type="pct"/>
            <w:vMerge w:val="restart"/>
            <w:tcBorders>
              <w:tl2br w:val="nil"/>
              <w:tr2bl w:val="nil"/>
            </w:tcBorders>
            <w:vAlign w:val="center"/>
          </w:tcPr>
          <w:p w14:paraId="2CE72DC2">
            <w:pPr>
              <w:pStyle w:val="41"/>
              <w:widowControl w:val="0"/>
              <w:rPr>
                <w:color w:val="auto"/>
                <w:highlight w:val="none"/>
              </w:rPr>
            </w:pPr>
            <w:r>
              <w:rPr>
                <w:color w:val="auto"/>
                <w:highlight w:val="none"/>
              </w:rPr>
              <w:t>《铁矿采选工业污染物排放标准》（GB28661-2012）</w:t>
            </w:r>
            <w:r>
              <w:rPr>
                <w:rFonts w:hint="eastAsia"/>
                <w:color w:val="auto"/>
                <w:highlight w:val="none"/>
              </w:rPr>
              <w:t>表5新建企业大气污染物排放浓度限值</w:t>
            </w:r>
          </w:p>
        </w:tc>
      </w:tr>
      <w:tr w14:paraId="782CB1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88" w:type="pct"/>
            <w:vMerge w:val="continue"/>
            <w:tcBorders>
              <w:tl2br w:val="nil"/>
              <w:tr2bl w:val="nil"/>
            </w:tcBorders>
            <w:vAlign w:val="center"/>
          </w:tcPr>
          <w:p w14:paraId="2E7C7B1F">
            <w:pPr>
              <w:pStyle w:val="41"/>
              <w:widowControl w:val="0"/>
              <w:rPr>
                <w:color w:val="auto"/>
                <w:highlight w:val="none"/>
              </w:rPr>
            </w:pPr>
          </w:p>
        </w:tc>
        <w:tc>
          <w:tcPr>
            <w:tcW w:w="691" w:type="pct"/>
            <w:tcBorders>
              <w:tl2br w:val="nil"/>
              <w:tr2bl w:val="nil"/>
            </w:tcBorders>
            <w:vAlign w:val="center"/>
          </w:tcPr>
          <w:p w14:paraId="788C2F4C">
            <w:pPr>
              <w:pStyle w:val="41"/>
              <w:widowControl w:val="0"/>
              <w:rPr>
                <w:color w:val="auto"/>
                <w:highlight w:val="none"/>
              </w:rPr>
            </w:pPr>
            <w:r>
              <w:rPr>
                <w:rFonts w:hint="eastAsia"/>
                <w:color w:val="auto"/>
                <w:highlight w:val="none"/>
              </w:rPr>
              <w:t>粗中碎车间（DA002）</w:t>
            </w:r>
          </w:p>
        </w:tc>
        <w:tc>
          <w:tcPr>
            <w:tcW w:w="815" w:type="pct"/>
            <w:tcBorders>
              <w:tl2br w:val="nil"/>
              <w:tr2bl w:val="nil"/>
            </w:tcBorders>
            <w:vAlign w:val="center"/>
          </w:tcPr>
          <w:p w14:paraId="34FF6B0D">
            <w:pPr>
              <w:pStyle w:val="41"/>
              <w:widowControl w:val="0"/>
              <w:rPr>
                <w:color w:val="auto"/>
                <w:highlight w:val="none"/>
              </w:rPr>
            </w:pPr>
            <w:r>
              <w:rPr>
                <w:color w:val="auto"/>
                <w:highlight w:val="none"/>
              </w:rPr>
              <w:t>颗粒物</w:t>
            </w:r>
          </w:p>
        </w:tc>
        <w:tc>
          <w:tcPr>
            <w:tcW w:w="1574" w:type="pct"/>
            <w:tcBorders>
              <w:tl2br w:val="nil"/>
              <w:tr2bl w:val="nil"/>
            </w:tcBorders>
            <w:vAlign w:val="center"/>
          </w:tcPr>
          <w:p w14:paraId="45BA8FB0">
            <w:pPr>
              <w:pStyle w:val="41"/>
              <w:widowControl w:val="0"/>
              <w:rPr>
                <w:color w:val="auto"/>
                <w:highlight w:val="none"/>
              </w:rPr>
            </w:pPr>
            <w:r>
              <w:rPr>
                <w:color w:val="auto"/>
                <w:highlight w:val="none"/>
              </w:rPr>
              <w:t>集气装置+布袋除尘器</w:t>
            </w:r>
            <w:r>
              <w:rPr>
                <w:rFonts w:hint="eastAsia"/>
                <w:color w:val="auto"/>
                <w:highlight w:val="none"/>
              </w:rPr>
              <w:t>+25</w:t>
            </w:r>
            <w:r>
              <w:rPr>
                <w:color w:val="auto"/>
                <w:highlight w:val="none"/>
              </w:rPr>
              <w:t>m高排气筒</w:t>
            </w:r>
          </w:p>
        </w:tc>
        <w:tc>
          <w:tcPr>
            <w:tcW w:w="1431" w:type="pct"/>
            <w:vMerge w:val="continue"/>
            <w:tcBorders>
              <w:tl2br w:val="nil"/>
              <w:tr2bl w:val="nil"/>
            </w:tcBorders>
            <w:vAlign w:val="center"/>
          </w:tcPr>
          <w:p w14:paraId="21273519">
            <w:pPr>
              <w:pStyle w:val="41"/>
              <w:widowControl w:val="0"/>
              <w:rPr>
                <w:color w:val="auto"/>
                <w:highlight w:val="none"/>
              </w:rPr>
            </w:pPr>
          </w:p>
        </w:tc>
      </w:tr>
      <w:tr w14:paraId="77471D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88" w:type="pct"/>
            <w:vMerge w:val="continue"/>
            <w:tcBorders>
              <w:tl2br w:val="nil"/>
              <w:tr2bl w:val="nil"/>
            </w:tcBorders>
            <w:vAlign w:val="center"/>
          </w:tcPr>
          <w:p w14:paraId="65A689FB">
            <w:pPr>
              <w:pStyle w:val="41"/>
              <w:widowControl w:val="0"/>
              <w:rPr>
                <w:color w:val="auto"/>
                <w:highlight w:val="none"/>
              </w:rPr>
            </w:pPr>
          </w:p>
        </w:tc>
        <w:tc>
          <w:tcPr>
            <w:tcW w:w="691" w:type="pct"/>
            <w:tcBorders>
              <w:tl2br w:val="nil"/>
              <w:tr2bl w:val="nil"/>
            </w:tcBorders>
            <w:vAlign w:val="center"/>
          </w:tcPr>
          <w:p w14:paraId="410859FF">
            <w:pPr>
              <w:pStyle w:val="41"/>
              <w:widowControl w:val="0"/>
              <w:rPr>
                <w:color w:val="auto"/>
                <w:highlight w:val="none"/>
              </w:rPr>
            </w:pPr>
            <w:r>
              <w:rPr>
                <w:rFonts w:hint="eastAsia"/>
                <w:color w:val="auto"/>
                <w:highlight w:val="none"/>
              </w:rPr>
              <w:t>细</w:t>
            </w:r>
            <w:r>
              <w:rPr>
                <w:color w:val="auto"/>
                <w:highlight w:val="none"/>
              </w:rPr>
              <w:t>碎车间</w:t>
            </w:r>
            <w:r>
              <w:rPr>
                <w:rFonts w:hint="eastAsia"/>
                <w:color w:val="auto"/>
                <w:highlight w:val="none"/>
              </w:rPr>
              <w:t>（DA003）</w:t>
            </w:r>
          </w:p>
        </w:tc>
        <w:tc>
          <w:tcPr>
            <w:tcW w:w="815" w:type="pct"/>
            <w:tcBorders>
              <w:tl2br w:val="nil"/>
              <w:tr2bl w:val="nil"/>
            </w:tcBorders>
            <w:vAlign w:val="center"/>
          </w:tcPr>
          <w:p w14:paraId="7871501E">
            <w:pPr>
              <w:pStyle w:val="41"/>
              <w:widowControl w:val="0"/>
              <w:rPr>
                <w:color w:val="auto"/>
                <w:highlight w:val="none"/>
              </w:rPr>
            </w:pPr>
            <w:r>
              <w:rPr>
                <w:color w:val="auto"/>
                <w:highlight w:val="none"/>
              </w:rPr>
              <w:t>颗粒物</w:t>
            </w:r>
          </w:p>
        </w:tc>
        <w:tc>
          <w:tcPr>
            <w:tcW w:w="1574" w:type="pct"/>
            <w:tcBorders>
              <w:tl2br w:val="nil"/>
              <w:tr2bl w:val="nil"/>
            </w:tcBorders>
            <w:vAlign w:val="center"/>
          </w:tcPr>
          <w:p w14:paraId="2E1B8FDA">
            <w:pPr>
              <w:pStyle w:val="41"/>
              <w:widowControl w:val="0"/>
              <w:rPr>
                <w:color w:val="auto"/>
                <w:highlight w:val="none"/>
              </w:rPr>
            </w:pPr>
            <w:r>
              <w:rPr>
                <w:color w:val="auto"/>
                <w:highlight w:val="none"/>
              </w:rPr>
              <w:t>集气装置+布袋除尘器</w:t>
            </w:r>
            <w:r>
              <w:rPr>
                <w:rFonts w:hint="eastAsia"/>
                <w:color w:val="auto"/>
                <w:highlight w:val="none"/>
              </w:rPr>
              <w:t>+25</w:t>
            </w:r>
            <w:r>
              <w:rPr>
                <w:color w:val="auto"/>
                <w:highlight w:val="none"/>
              </w:rPr>
              <w:t>m高排气筒</w:t>
            </w:r>
          </w:p>
        </w:tc>
        <w:tc>
          <w:tcPr>
            <w:tcW w:w="1431" w:type="pct"/>
            <w:vMerge w:val="continue"/>
            <w:tcBorders>
              <w:tl2br w:val="nil"/>
              <w:tr2bl w:val="nil"/>
            </w:tcBorders>
            <w:vAlign w:val="center"/>
          </w:tcPr>
          <w:p w14:paraId="726A68E5">
            <w:pPr>
              <w:pStyle w:val="41"/>
              <w:widowControl w:val="0"/>
              <w:rPr>
                <w:color w:val="auto"/>
                <w:highlight w:val="none"/>
              </w:rPr>
            </w:pPr>
          </w:p>
        </w:tc>
      </w:tr>
      <w:tr w14:paraId="5E7EA7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88" w:type="pct"/>
            <w:vMerge w:val="continue"/>
            <w:tcBorders>
              <w:tl2br w:val="nil"/>
              <w:tr2bl w:val="nil"/>
            </w:tcBorders>
            <w:vAlign w:val="center"/>
          </w:tcPr>
          <w:p w14:paraId="7E32E306">
            <w:pPr>
              <w:pStyle w:val="41"/>
              <w:widowControl w:val="0"/>
              <w:rPr>
                <w:color w:val="auto"/>
                <w:highlight w:val="none"/>
              </w:rPr>
            </w:pPr>
          </w:p>
        </w:tc>
        <w:tc>
          <w:tcPr>
            <w:tcW w:w="691" w:type="pct"/>
            <w:tcBorders>
              <w:tl2br w:val="nil"/>
              <w:tr2bl w:val="nil"/>
            </w:tcBorders>
            <w:vAlign w:val="center"/>
          </w:tcPr>
          <w:p w14:paraId="013C52E5">
            <w:pPr>
              <w:pStyle w:val="41"/>
              <w:widowControl w:val="0"/>
              <w:rPr>
                <w:color w:val="auto"/>
                <w:highlight w:val="none"/>
              </w:rPr>
            </w:pPr>
            <w:r>
              <w:rPr>
                <w:rFonts w:hint="eastAsia"/>
                <w:color w:val="auto"/>
                <w:highlight w:val="none"/>
              </w:rPr>
              <w:t>1号振动</w:t>
            </w:r>
            <w:r>
              <w:rPr>
                <w:rFonts w:hint="eastAsia"/>
                <w:color w:val="auto"/>
                <w:highlight w:val="none"/>
                <w:lang w:eastAsia="zh-CN"/>
              </w:rPr>
              <w:t>筛分</w:t>
            </w:r>
            <w:r>
              <w:rPr>
                <w:rFonts w:hint="eastAsia"/>
                <w:color w:val="auto"/>
                <w:highlight w:val="none"/>
              </w:rPr>
              <w:t>车间（DA004）</w:t>
            </w:r>
          </w:p>
        </w:tc>
        <w:tc>
          <w:tcPr>
            <w:tcW w:w="815" w:type="pct"/>
            <w:tcBorders>
              <w:tl2br w:val="nil"/>
              <w:tr2bl w:val="nil"/>
            </w:tcBorders>
            <w:vAlign w:val="center"/>
          </w:tcPr>
          <w:p w14:paraId="0244DC75">
            <w:pPr>
              <w:pStyle w:val="41"/>
              <w:widowControl w:val="0"/>
              <w:rPr>
                <w:color w:val="auto"/>
                <w:highlight w:val="none"/>
              </w:rPr>
            </w:pPr>
            <w:r>
              <w:rPr>
                <w:color w:val="auto"/>
                <w:highlight w:val="none"/>
              </w:rPr>
              <w:t>颗粒物</w:t>
            </w:r>
          </w:p>
        </w:tc>
        <w:tc>
          <w:tcPr>
            <w:tcW w:w="1574" w:type="pct"/>
            <w:tcBorders>
              <w:tl2br w:val="nil"/>
              <w:tr2bl w:val="nil"/>
            </w:tcBorders>
            <w:vAlign w:val="center"/>
          </w:tcPr>
          <w:p w14:paraId="26CA3000">
            <w:pPr>
              <w:pStyle w:val="41"/>
              <w:widowControl w:val="0"/>
              <w:rPr>
                <w:color w:val="auto"/>
                <w:highlight w:val="none"/>
              </w:rPr>
            </w:pPr>
            <w:r>
              <w:rPr>
                <w:color w:val="auto"/>
                <w:highlight w:val="none"/>
              </w:rPr>
              <w:t>集气装置+布袋除尘器</w:t>
            </w:r>
            <w:r>
              <w:rPr>
                <w:rFonts w:hint="eastAsia"/>
                <w:color w:val="auto"/>
                <w:highlight w:val="none"/>
              </w:rPr>
              <w:t>+25</w:t>
            </w:r>
            <w:r>
              <w:rPr>
                <w:color w:val="auto"/>
                <w:highlight w:val="none"/>
              </w:rPr>
              <w:t>m高排气筒</w:t>
            </w:r>
          </w:p>
        </w:tc>
        <w:tc>
          <w:tcPr>
            <w:tcW w:w="1431" w:type="pct"/>
            <w:vMerge w:val="continue"/>
            <w:tcBorders>
              <w:tl2br w:val="nil"/>
              <w:tr2bl w:val="nil"/>
            </w:tcBorders>
            <w:vAlign w:val="center"/>
          </w:tcPr>
          <w:p w14:paraId="35A03785">
            <w:pPr>
              <w:pStyle w:val="41"/>
              <w:widowControl w:val="0"/>
              <w:rPr>
                <w:color w:val="auto"/>
                <w:highlight w:val="none"/>
              </w:rPr>
            </w:pPr>
          </w:p>
        </w:tc>
      </w:tr>
      <w:tr w14:paraId="2B379F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88" w:type="pct"/>
            <w:vMerge w:val="continue"/>
            <w:tcBorders>
              <w:tl2br w:val="nil"/>
              <w:tr2bl w:val="nil"/>
            </w:tcBorders>
            <w:vAlign w:val="center"/>
          </w:tcPr>
          <w:p w14:paraId="3BE8A728">
            <w:pPr>
              <w:pStyle w:val="41"/>
              <w:widowControl w:val="0"/>
              <w:rPr>
                <w:color w:val="auto"/>
                <w:highlight w:val="none"/>
              </w:rPr>
            </w:pPr>
          </w:p>
        </w:tc>
        <w:tc>
          <w:tcPr>
            <w:tcW w:w="691" w:type="pct"/>
            <w:tcBorders>
              <w:tl2br w:val="nil"/>
              <w:tr2bl w:val="nil"/>
            </w:tcBorders>
            <w:vAlign w:val="center"/>
          </w:tcPr>
          <w:p w14:paraId="67617EB9">
            <w:pPr>
              <w:pStyle w:val="41"/>
              <w:widowControl w:val="0"/>
              <w:rPr>
                <w:color w:val="auto"/>
                <w:highlight w:val="none"/>
              </w:rPr>
            </w:pPr>
            <w:r>
              <w:rPr>
                <w:rFonts w:hint="eastAsia"/>
                <w:color w:val="auto"/>
                <w:highlight w:val="none"/>
              </w:rPr>
              <w:t>2号振动</w:t>
            </w:r>
            <w:r>
              <w:rPr>
                <w:rFonts w:hint="eastAsia"/>
                <w:color w:val="auto"/>
                <w:highlight w:val="none"/>
                <w:lang w:eastAsia="zh-CN"/>
              </w:rPr>
              <w:t>筛分</w:t>
            </w:r>
            <w:r>
              <w:rPr>
                <w:rFonts w:hint="eastAsia"/>
                <w:color w:val="auto"/>
                <w:highlight w:val="none"/>
              </w:rPr>
              <w:t>车间（DA005）</w:t>
            </w:r>
          </w:p>
        </w:tc>
        <w:tc>
          <w:tcPr>
            <w:tcW w:w="815" w:type="pct"/>
            <w:tcBorders>
              <w:tl2br w:val="nil"/>
              <w:tr2bl w:val="nil"/>
            </w:tcBorders>
            <w:vAlign w:val="center"/>
          </w:tcPr>
          <w:p w14:paraId="22476D34">
            <w:pPr>
              <w:pStyle w:val="41"/>
              <w:widowControl w:val="0"/>
              <w:rPr>
                <w:color w:val="auto"/>
                <w:highlight w:val="none"/>
              </w:rPr>
            </w:pPr>
            <w:r>
              <w:rPr>
                <w:color w:val="auto"/>
                <w:highlight w:val="none"/>
              </w:rPr>
              <w:t>颗粒物</w:t>
            </w:r>
          </w:p>
        </w:tc>
        <w:tc>
          <w:tcPr>
            <w:tcW w:w="1574" w:type="pct"/>
            <w:tcBorders>
              <w:tl2br w:val="nil"/>
              <w:tr2bl w:val="nil"/>
            </w:tcBorders>
            <w:vAlign w:val="center"/>
          </w:tcPr>
          <w:p w14:paraId="2935303F">
            <w:pPr>
              <w:pStyle w:val="41"/>
              <w:widowControl w:val="0"/>
              <w:rPr>
                <w:color w:val="auto"/>
                <w:highlight w:val="none"/>
              </w:rPr>
            </w:pPr>
            <w:r>
              <w:rPr>
                <w:color w:val="auto"/>
                <w:highlight w:val="none"/>
              </w:rPr>
              <w:t>集气装置+布袋除尘器</w:t>
            </w:r>
            <w:r>
              <w:rPr>
                <w:rFonts w:hint="eastAsia"/>
                <w:color w:val="auto"/>
                <w:highlight w:val="none"/>
              </w:rPr>
              <w:t>+25</w:t>
            </w:r>
            <w:r>
              <w:rPr>
                <w:color w:val="auto"/>
                <w:highlight w:val="none"/>
              </w:rPr>
              <w:t>m高排气筒</w:t>
            </w:r>
          </w:p>
        </w:tc>
        <w:tc>
          <w:tcPr>
            <w:tcW w:w="1431" w:type="pct"/>
            <w:vMerge w:val="continue"/>
            <w:tcBorders>
              <w:tl2br w:val="nil"/>
              <w:tr2bl w:val="nil"/>
            </w:tcBorders>
            <w:vAlign w:val="center"/>
          </w:tcPr>
          <w:p w14:paraId="788897E2">
            <w:pPr>
              <w:pStyle w:val="41"/>
              <w:widowControl w:val="0"/>
              <w:rPr>
                <w:color w:val="auto"/>
                <w:highlight w:val="none"/>
              </w:rPr>
            </w:pPr>
          </w:p>
        </w:tc>
      </w:tr>
      <w:tr w14:paraId="06B40E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88" w:type="pct"/>
            <w:vMerge w:val="continue"/>
            <w:tcBorders>
              <w:tl2br w:val="nil"/>
              <w:tr2bl w:val="nil"/>
            </w:tcBorders>
            <w:vAlign w:val="center"/>
          </w:tcPr>
          <w:p w14:paraId="0FEA23D5">
            <w:pPr>
              <w:pStyle w:val="41"/>
              <w:widowControl w:val="0"/>
              <w:rPr>
                <w:color w:val="auto"/>
                <w:highlight w:val="none"/>
              </w:rPr>
            </w:pPr>
          </w:p>
        </w:tc>
        <w:tc>
          <w:tcPr>
            <w:tcW w:w="691" w:type="pct"/>
            <w:tcBorders>
              <w:tl2br w:val="nil"/>
              <w:tr2bl w:val="nil"/>
            </w:tcBorders>
            <w:vAlign w:val="center"/>
          </w:tcPr>
          <w:p w14:paraId="246D62D2">
            <w:pPr>
              <w:pStyle w:val="41"/>
              <w:widowControl w:val="0"/>
              <w:rPr>
                <w:color w:val="auto"/>
                <w:highlight w:val="none"/>
              </w:rPr>
            </w:pPr>
            <w:r>
              <w:rPr>
                <w:rFonts w:hint="eastAsia"/>
                <w:color w:val="auto"/>
                <w:highlight w:val="none"/>
              </w:rPr>
              <w:t>3号振动</w:t>
            </w:r>
            <w:r>
              <w:rPr>
                <w:rFonts w:hint="eastAsia"/>
                <w:color w:val="auto"/>
                <w:highlight w:val="none"/>
                <w:lang w:eastAsia="zh-CN"/>
              </w:rPr>
              <w:t>筛分</w:t>
            </w:r>
            <w:r>
              <w:rPr>
                <w:rFonts w:hint="eastAsia"/>
                <w:color w:val="auto"/>
                <w:highlight w:val="none"/>
              </w:rPr>
              <w:t>车间（DA006）</w:t>
            </w:r>
          </w:p>
        </w:tc>
        <w:tc>
          <w:tcPr>
            <w:tcW w:w="815" w:type="pct"/>
            <w:tcBorders>
              <w:tl2br w:val="nil"/>
              <w:tr2bl w:val="nil"/>
            </w:tcBorders>
            <w:vAlign w:val="center"/>
          </w:tcPr>
          <w:p w14:paraId="1374CDDC">
            <w:pPr>
              <w:pStyle w:val="41"/>
              <w:widowControl w:val="0"/>
              <w:rPr>
                <w:color w:val="auto"/>
                <w:highlight w:val="none"/>
              </w:rPr>
            </w:pPr>
            <w:r>
              <w:rPr>
                <w:color w:val="auto"/>
                <w:highlight w:val="none"/>
              </w:rPr>
              <w:t>颗粒物</w:t>
            </w:r>
          </w:p>
        </w:tc>
        <w:tc>
          <w:tcPr>
            <w:tcW w:w="1574" w:type="pct"/>
            <w:tcBorders>
              <w:tl2br w:val="nil"/>
              <w:tr2bl w:val="nil"/>
            </w:tcBorders>
            <w:vAlign w:val="center"/>
          </w:tcPr>
          <w:p w14:paraId="030A33E9">
            <w:pPr>
              <w:pStyle w:val="41"/>
              <w:widowControl w:val="0"/>
              <w:rPr>
                <w:color w:val="auto"/>
                <w:highlight w:val="none"/>
              </w:rPr>
            </w:pPr>
            <w:r>
              <w:rPr>
                <w:color w:val="auto"/>
                <w:highlight w:val="none"/>
              </w:rPr>
              <w:t>集气装置+布袋除尘器</w:t>
            </w:r>
            <w:r>
              <w:rPr>
                <w:rFonts w:hint="eastAsia"/>
                <w:color w:val="auto"/>
                <w:highlight w:val="none"/>
              </w:rPr>
              <w:t>+25</w:t>
            </w:r>
            <w:r>
              <w:rPr>
                <w:color w:val="auto"/>
                <w:highlight w:val="none"/>
              </w:rPr>
              <w:t>m高排气筒</w:t>
            </w:r>
          </w:p>
        </w:tc>
        <w:tc>
          <w:tcPr>
            <w:tcW w:w="1431" w:type="pct"/>
            <w:vMerge w:val="continue"/>
            <w:tcBorders>
              <w:tl2br w:val="nil"/>
              <w:tr2bl w:val="nil"/>
            </w:tcBorders>
            <w:vAlign w:val="center"/>
          </w:tcPr>
          <w:p w14:paraId="397633F5">
            <w:pPr>
              <w:pStyle w:val="41"/>
              <w:widowControl w:val="0"/>
              <w:rPr>
                <w:color w:val="auto"/>
                <w:highlight w:val="none"/>
              </w:rPr>
            </w:pPr>
          </w:p>
        </w:tc>
      </w:tr>
      <w:tr w14:paraId="6D57C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88" w:type="pct"/>
            <w:vMerge w:val="continue"/>
            <w:tcBorders>
              <w:tl2br w:val="nil"/>
              <w:tr2bl w:val="nil"/>
            </w:tcBorders>
            <w:vAlign w:val="center"/>
          </w:tcPr>
          <w:p w14:paraId="44969291">
            <w:pPr>
              <w:pStyle w:val="41"/>
              <w:widowControl w:val="0"/>
              <w:rPr>
                <w:color w:val="auto"/>
                <w:highlight w:val="none"/>
              </w:rPr>
            </w:pPr>
          </w:p>
        </w:tc>
        <w:tc>
          <w:tcPr>
            <w:tcW w:w="691" w:type="pct"/>
            <w:tcBorders>
              <w:tl2br w:val="nil"/>
              <w:tr2bl w:val="nil"/>
            </w:tcBorders>
            <w:vAlign w:val="center"/>
          </w:tcPr>
          <w:p w14:paraId="5F81ADA6">
            <w:pPr>
              <w:pStyle w:val="41"/>
              <w:widowControl w:val="0"/>
              <w:rPr>
                <w:color w:val="auto"/>
                <w:highlight w:val="none"/>
              </w:rPr>
            </w:pPr>
            <w:r>
              <w:rPr>
                <w:rFonts w:hint="eastAsia"/>
                <w:color w:val="auto"/>
                <w:highlight w:val="none"/>
              </w:rPr>
              <w:t>干抛磁选车间（DA007）</w:t>
            </w:r>
          </w:p>
        </w:tc>
        <w:tc>
          <w:tcPr>
            <w:tcW w:w="815" w:type="pct"/>
            <w:tcBorders>
              <w:tl2br w:val="nil"/>
              <w:tr2bl w:val="nil"/>
            </w:tcBorders>
            <w:vAlign w:val="center"/>
          </w:tcPr>
          <w:p w14:paraId="0CEFA581">
            <w:pPr>
              <w:pStyle w:val="41"/>
              <w:widowControl w:val="0"/>
              <w:rPr>
                <w:color w:val="auto"/>
                <w:highlight w:val="none"/>
              </w:rPr>
            </w:pPr>
            <w:r>
              <w:rPr>
                <w:color w:val="auto"/>
                <w:highlight w:val="none"/>
              </w:rPr>
              <w:t>颗粒物</w:t>
            </w:r>
          </w:p>
        </w:tc>
        <w:tc>
          <w:tcPr>
            <w:tcW w:w="1574" w:type="pct"/>
            <w:tcBorders>
              <w:tl2br w:val="nil"/>
              <w:tr2bl w:val="nil"/>
            </w:tcBorders>
            <w:vAlign w:val="center"/>
          </w:tcPr>
          <w:p w14:paraId="60AD046D">
            <w:pPr>
              <w:pStyle w:val="41"/>
              <w:widowControl w:val="0"/>
              <w:rPr>
                <w:color w:val="auto"/>
                <w:highlight w:val="none"/>
              </w:rPr>
            </w:pPr>
            <w:r>
              <w:rPr>
                <w:color w:val="auto"/>
                <w:highlight w:val="none"/>
              </w:rPr>
              <w:t>集气装置+布袋除尘器</w:t>
            </w:r>
            <w:r>
              <w:rPr>
                <w:rFonts w:hint="eastAsia"/>
                <w:color w:val="auto"/>
                <w:highlight w:val="none"/>
              </w:rPr>
              <w:t>+25</w:t>
            </w:r>
            <w:r>
              <w:rPr>
                <w:color w:val="auto"/>
                <w:highlight w:val="none"/>
              </w:rPr>
              <w:t>m高排气筒</w:t>
            </w:r>
          </w:p>
        </w:tc>
        <w:tc>
          <w:tcPr>
            <w:tcW w:w="1431" w:type="pct"/>
            <w:vMerge w:val="continue"/>
            <w:tcBorders>
              <w:tl2br w:val="nil"/>
              <w:tr2bl w:val="nil"/>
            </w:tcBorders>
            <w:vAlign w:val="center"/>
          </w:tcPr>
          <w:p w14:paraId="688FBD23">
            <w:pPr>
              <w:pStyle w:val="41"/>
              <w:widowControl w:val="0"/>
              <w:rPr>
                <w:color w:val="auto"/>
                <w:highlight w:val="none"/>
              </w:rPr>
            </w:pPr>
          </w:p>
        </w:tc>
      </w:tr>
      <w:tr w14:paraId="57B5A9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88" w:type="pct"/>
            <w:vMerge w:val="continue"/>
            <w:tcBorders>
              <w:tl2br w:val="nil"/>
              <w:tr2bl w:val="nil"/>
            </w:tcBorders>
            <w:vAlign w:val="center"/>
          </w:tcPr>
          <w:p w14:paraId="5B2D704F">
            <w:pPr>
              <w:pStyle w:val="41"/>
              <w:widowControl w:val="0"/>
              <w:rPr>
                <w:color w:val="auto"/>
                <w:highlight w:val="none"/>
              </w:rPr>
            </w:pPr>
          </w:p>
        </w:tc>
        <w:tc>
          <w:tcPr>
            <w:tcW w:w="691" w:type="pct"/>
            <w:tcBorders>
              <w:tl2br w:val="nil"/>
              <w:tr2bl w:val="nil"/>
            </w:tcBorders>
            <w:vAlign w:val="center"/>
          </w:tcPr>
          <w:p w14:paraId="793A6255">
            <w:pPr>
              <w:pStyle w:val="41"/>
              <w:widowControl w:val="0"/>
              <w:rPr>
                <w:color w:val="auto"/>
                <w:highlight w:val="none"/>
              </w:rPr>
            </w:pPr>
            <w:r>
              <w:rPr>
                <w:color w:val="auto"/>
                <w:highlight w:val="none"/>
              </w:rPr>
              <w:t>烘干间锅炉</w:t>
            </w:r>
            <w:r>
              <w:rPr>
                <w:rFonts w:hint="eastAsia"/>
                <w:color w:val="auto"/>
                <w:highlight w:val="none"/>
              </w:rPr>
              <w:t>（DA008）</w:t>
            </w:r>
          </w:p>
        </w:tc>
        <w:tc>
          <w:tcPr>
            <w:tcW w:w="815" w:type="pct"/>
            <w:tcBorders>
              <w:tl2br w:val="nil"/>
              <w:tr2bl w:val="nil"/>
            </w:tcBorders>
            <w:vAlign w:val="center"/>
          </w:tcPr>
          <w:p w14:paraId="4FDB5CB3">
            <w:pPr>
              <w:pStyle w:val="41"/>
              <w:widowControl w:val="0"/>
              <w:rPr>
                <w:color w:val="auto"/>
                <w:highlight w:val="none"/>
              </w:rPr>
            </w:pPr>
            <w:r>
              <w:rPr>
                <w:color w:val="auto"/>
                <w:highlight w:val="none"/>
              </w:rPr>
              <w:t>颗粒物、二氧化硫、氮氧化物</w:t>
            </w:r>
          </w:p>
        </w:tc>
        <w:tc>
          <w:tcPr>
            <w:tcW w:w="1574" w:type="pct"/>
            <w:tcBorders>
              <w:tl2br w:val="nil"/>
              <w:tr2bl w:val="nil"/>
            </w:tcBorders>
            <w:vAlign w:val="center"/>
          </w:tcPr>
          <w:p w14:paraId="2D8028C1">
            <w:pPr>
              <w:pStyle w:val="41"/>
              <w:widowControl w:val="0"/>
              <w:rPr>
                <w:color w:val="auto"/>
                <w:highlight w:val="none"/>
              </w:rPr>
            </w:pPr>
            <w:r>
              <w:rPr>
                <w:color w:val="auto"/>
                <w:highlight w:val="none"/>
              </w:rPr>
              <w:t>“布袋除尘器+</w:t>
            </w:r>
            <w:r>
              <w:rPr>
                <w:rFonts w:hint="eastAsia"/>
                <w:color w:val="auto"/>
                <w:highlight w:val="none"/>
              </w:rPr>
              <w:t>双碱法脱硫</w:t>
            </w:r>
            <w:r>
              <w:rPr>
                <w:color w:val="auto"/>
                <w:highlight w:val="none"/>
              </w:rPr>
              <w:t>”</w:t>
            </w:r>
            <w:r>
              <w:rPr>
                <w:rFonts w:hint="eastAsia"/>
                <w:color w:val="auto"/>
                <w:highlight w:val="none"/>
              </w:rPr>
              <w:t>+25</w:t>
            </w:r>
            <w:r>
              <w:rPr>
                <w:color w:val="auto"/>
                <w:highlight w:val="none"/>
              </w:rPr>
              <w:t>m高烟囱</w:t>
            </w:r>
          </w:p>
        </w:tc>
        <w:tc>
          <w:tcPr>
            <w:tcW w:w="1431" w:type="pct"/>
            <w:tcBorders>
              <w:tl2br w:val="nil"/>
              <w:tr2bl w:val="nil"/>
            </w:tcBorders>
            <w:vAlign w:val="center"/>
          </w:tcPr>
          <w:p w14:paraId="28A832E8">
            <w:pPr>
              <w:pStyle w:val="41"/>
              <w:widowControl w:val="0"/>
              <w:rPr>
                <w:color w:val="auto"/>
                <w:highlight w:val="none"/>
              </w:rPr>
            </w:pPr>
            <w:r>
              <w:rPr>
                <w:color w:val="auto"/>
                <w:highlight w:val="none"/>
              </w:rPr>
              <w:t>《锅炉大气污染物排放标准》（GB13271-2014）</w:t>
            </w:r>
          </w:p>
        </w:tc>
      </w:tr>
      <w:tr w14:paraId="57FE55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16" w:hRule="atLeast"/>
        </w:trPr>
        <w:tc>
          <w:tcPr>
            <w:tcW w:w="488" w:type="pct"/>
            <w:tcBorders>
              <w:tl2br w:val="nil"/>
              <w:tr2bl w:val="nil"/>
            </w:tcBorders>
            <w:vAlign w:val="center"/>
          </w:tcPr>
          <w:p w14:paraId="6F4792EC">
            <w:pPr>
              <w:pStyle w:val="41"/>
              <w:widowControl w:val="0"/>
              <w:rPr>
                <w:color w:val="auto"/>
                <w:highlight w:val="none"/>
              </w:rPr>
            </w:pPr>
            <w:r>
              <w:rPr>
                <w:color w:val="auto"/>
                <w:highlight w:val="none"/>
              </w:rPr>
              <w:t>废气（无组织）</w:t>
            </w:r>
          </w:p>
        </w:tc>
        <w:tc>
          <w:tcPr>
            <w:tcW w:w="691" w:type="pct"/>
            <w:tcBorders>
              <w:tl2br w:val="nil"/>
              <w:tr2bl w:val="nil"/>
            </w:tcBorders>
            <w:vAlign w:val="center"/>
          </w:tcPr>
          <w:p w14:paraId="27DC482B">
            <w:pPr>
              <w:pStyle w:val="41"/>
              <w:widowControl w:val="0"/>
              <w:rPr>
                <w:color w:val="auto"/>
                <w:highlight w:val="none"/>
              </w:rPr>
            </w:pPr>
            <w:r>
              <w:rPr>
                <w:color w:val="auto"/>
                <w:highlight w:val="none"/>
              </w:rPr>
              <w:t>厂界</w:t>
            </w:r>
          </w:p>
        </w:tc>
        <w:tc>
          <w:tcPr>
            <w:tcW w:w="815" w:type="pct"/>
            <w:tcBorders>
              <w:tl2br w:val="nil"/>
              <w:tr2bl w:val="nil"/>
            </w:tcBorders>
            <w:vAlign w:val="center"/>
          </w:tcPr>
          <w:p w14:paraId="48C96AC5">
            <w:pPr>
              <w:pStyle w:val="41"/>
              <w:widowControl w:val="0"/>
              <w:rPr>
                <w:color w:val="auto"/>
                <w:highlight w:val="none"/>
              </w:rPr>
            </w:pPr>
            <w:r>
              <w:rPr>
                <w:color w:val="auto"/>
                <w:highlight w:val="none"/>
              </w:rPr>
              <w:t>颗粒物</w:t>
            </w:r>
          </w:p>
        </w:tc>
        <w:tc>
          <w:tcPr>
            <w:tcW w:w="1574" w:type="pct"/>
            <w:tcBorders>
              <w:tl2br w:val="nil"/>
              <w:tr2bl w:val="nil"/>
            </w:tcBorders>
            <w:vAlign w:val="center"/>
          </w:tcPr>
          <w:p w14:paraId="7211D68A">
            <w:pPr>
              <w:pStyle w:val="41"/>
              <w:widowControl w:val="0"/>
              <w:rPr>
                <w:color w:val="auto"/>
                <w:highlight w:val="none"/>
              </w:rPr>
            </w:pPr>
            <w:r>
              <w:rPr>
                <w:color w:val="auto"/>
                <w:highlight w:val="none"/>
              </w:rPr>
              <w:t>生产车间封闭，各工艺设备间有封闭皮带通廊；尾矿库保持尾矿沉积滩面的湿润，减少扬尘；道路洒水降尘、道路为水稳层硬化路面，及时清扫路面；</w:t>
            </w:r>
          </w:p>
        </w:tc>
        <w:tc>
          <w:tcPr>
            <w:tcW w:w="1431" w:type="pct"/>
            <w:tcBorders>
              <w:tl2br w:val="nil"/>
              <w:tr2bl w:val="nil"/>
            </w:tcBorders>
            <w:vAlign w:val="center"/>
          </w:tcPr>
          <w:p w14:paraId="31605735">
            <w:pPr>
              <w:pStyle w:val="41"/>
              <w:widowControl w:val="0"/>
              <w:rPr>
                <w:color w:val="auto"/>
                <w:highlight w:val="none"/>
              </w:rPr>
            </w:pPr>
            <w:r>
              <w:rPr>
                <w:color w:val="auto"/>
                <w:highlight w:val="none"/>
              </w:rPr>
              <w:t>《铁矿采选工业污染物排放标准》（GB28661-2012）表7现有和新建企业大气污染物无组织排放浓度限值</w:t>
            </w:r>
          </w:p>
        </w:tc>
      </w:tr>
      <w:tr w14:paraId="6517DE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88" w:type="pct"/>
            <w:vMerge w:val="restart"/>
            <w:tcBorders>
              <w:tl2br w:val="nil"/>
              <w:tr2bl w:val="nil"/>
            </w:tcBorders>
            <w:vAlign w:val="center"/>
          </w:tcPr>
          <w:p w14:paraId="5321551A">
            <w:pPr>
              <w:pStyle w:val="41"/>
              <w:widowControl w:val="0"/>
              <w:rPr>
                <w:color w:val="auto"/>
                <w:highlight w:val="none"/>
              </w:rPr>
            </w:pPr>
            <w:r>
              <w:rPr>
                <w:color w:val="auto"/>
                <w:highlight w:val="none"/>
              </w:rPr>
              <w:t>废水</w:t>
            </w:r>
          </w:p>
        </w:tc>
        <w:tc>
          <w:tcPr>
            <w:tcW w:w="691" w:type="pct"/>
            <w:tcBorders>
              <w:tl2br w:val="nil"/>
              <w:tr2bl w:val="nil"/>
            </w:tcBorders>
            <w:vAlign w:val="center"/>
          </w:tcPr>
          <w:p w14:paraId="40CA99FE">
            <w:pPr>
              <w:pStyle w:val="41"/>
              <w:widowControl w:val="0"/>
              <w:rPr>
                <w:color w:val="auto"/>
                <w:highlight w:val="none"/>
              </w:rPr>
            </w:pPr>
            <w:r>
              <w:rPr>
                <w:rFonts w:hint="eastAsia"/>
                <w:color w:val="auto"/>
                <w:highlight w:val="none"/>
              </w:rPr>
              <w:t>生产</w:t>
            </w:r>
            <w:r>
              <w:rPr>
                <w:color w:val="auto"/>
                <w:highlight w:val="none"/>
              </w:rPr>
              <w:t>废水</w:t>
            </w:r>
          </w:p>
        </w:tc>
        <w:tc>
          <w:tcPr>
            <w:tcW w:w="815" w:type="pct"/>
            <w:tcBorders>
              <w:tl2br w:val="nil"/>
              <w:tr2bl w:val="nil"/>
            </w:tcBorders>
            <w:vAlign w:val="center"/>
          </w:tcPr>
          <w:p w14:paraId="37826D0E">
            <w:pPr>
              <w:pStyle w:val="41"/>
              <w:widowControl w:val="0"/>
              <w:rPr>
                <w:color w:val="auto"/>
                <w:highlight w:val="none"/>
              </w:rPr>
            </w:pPr>
            <w:r>
              <w:rPr>
                <w:color w:val="auto"/>
                <w:highlight w:val="none"/>
              </w:rPr>
              <w:t>SS</w:t>
            </w:r>
          </w:p>
        </w:tc>
        <w:tc>
          <w:tcPr>
            <w:tcW w:w="1574" w:type="pct"/>
            <w:tcBorders>
              <w:tl2br w:val="nil"/>
              <w:tr2bl w:val="nil"/>
            </w:tcBorders>
            <w:vAlign w:val="center"/>
          </w:tcPr>
          <w:p w14:paraId="219E8C60">
            <w:pPr>
              <w:pStyle w:val="41"/>
              <w:widowControl w:val="0"/>
              <w:rPr>
                <w:color w:val="auto"/>
                <w:highlight w:val="none"/>
              </w:rPr>
            </w:pPr>
            <w:r>
              <w:rPr>
                <w:color w:val="auto"/>
                <w:highlight w:val="none"/>
              </w:rPr>
              <w:t>回用于生产补水</w:t>
            </w:r>
          </w:p>
        </w:tc>
        <w:tc>
          <w:tcPr>
            <w:tcW w:w="1431" w:type="pct"/>
            <w:tcBorders>
              <w:tl2br w:val="nil"/>
              <w:tr2bl w:val="nil"/>
            </w:tcBorders>
            <w:vAlign w:val="center"/>
          </w:tcPr>
          <w:p w14:paraId="5A7C13FE">
            <w:pPr>
              <w:pStyle w:val="41"/>
              <w:widowControl w:val="0"/>
              <w:rPr>
                <w:color w:val="auto"/>
                <w:highlight w:val="none"/>
              </w:rPr>
            </w:pPr>
            <w:r>
              <w:rPr>
                <w:rFonts w:hint="eastAsia"/>
                <w:color w:val="auto"/>
                <w:highlight w:val="none"/>
              </w:rPr>
              <w:t>/</w:t>
            </w:r>
          </w:p>
        </w:tc>
      </w:tr>
      <w:tr w14:paraId="43631F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88" w:type="pct"/>
            <w:vMerge w:val="continue"/>
            <w:tcBorders>
              <w:tl2br w:val="nil"/>
              <w:tr2bl w:val="nil"/>
            </w:tcBorders>
            <w:vAlign w:val="center"/>
          </w:tcPr>
          <w:p w14:paraId="5FB80072">
            <w:pPr>
              <w:pStyle w:val="41"/>
              <w:widowControl w:val="0"/>
              <w:rPr>
                <w:color w:val="auto"/>
                <w:highlight w:val="none"/>
              </w:rPr>
            </w:pPr>
          </w:p>
        </w:tc>
        <w:tc>
          <w:tcPr>
            <w:tcW w:w="691" w:type="pct"/>
            <w:tcBorders>
              <w:tl2br w:val="nil"/>
              <w:tr2bl w:val="nil"/>
            </w:tcBorders>
            <w:vAlign w:val="center"/>
          </w:tcPr>
          <w:p w14:paraId="30F5F267">
            <w:pPr>
              <w:pStyle w:val="41"/>
              <w:widowControl w:val="0"/>
              <w:rPr>
                <w:color w:val="auto"/>
                <w:highlight w:val="none"/>
              </w:rPr>
            </w:pPr>
            <w:r>
              <w:rPr>
                <w:color w:val="auto"/>
                <w:highlight w:val="none"/>
              </w:rPr>
              <w:t>生活污水</w:t>
            </w:r>
          </w:p>
        </w:tc>
        <w:tc>
          <w:tcPr>
            <w:tcW w:w="815" w:type="pct"/>
            <w:tcBorders>
              <w:tl2br w:val="nil"/>
              <w:tr2bl w:val="nil"/>
            </w:tcBorders>
            <w:vAlign w:val="center"/>
          </w:tcPr>
          <w:p w14:paraId="66611CDA">
            <w:pPr>
              <w:pStyle w:val="41"/>
              <w:widowControl w:val="0"/>
              <w:rPr>
                <w:color w:val="auto"/>
                <w:highlight w:val="none"/>
              </w:rPr>
            </w:pPr>
            <w:r>
              <w:rPr>
                <w:color w:val="auto"/>
                <w:highlight w:val="none"/>
              </w:rPr>
              <w:t>COD、BOD5、SS、氨氮</w:t>
            </w:r>
            <w:r>
              <w:rPr>
                <w:rFonts w:hint="eastAsia"/>
                <w:color w:val="auto"/>
                <w:highlight w:val="none"/>
              </w:rPr>
              <w:t>等</w:t>
            </w:r>
          </w:p>
        </w:tc>
        <w:tc>
          <w:tcPr>
            <w:tcW w:w="1574" w:type="pct"/>
            <w:tcBorders>
              <w:tl2br w:val="nil"/>
              <w:tr2bl w:val="nil"/>
            </w:tcBorders>
            <w:vAlign w:val="center"/>
          </w:tcPr>
          <w:p w14:paraId="369CC351">
            <w:pPr>
              <w:pStyle w:val="41"/>
              <w:widowControl w:val="0"/>
              <w:rPr>
                <w:color w:val="auto"/>
                <w:highlight w:val="none"/>
              </w:rPr>
            </w:pPr>
            <w:r>
              <w:rPr>
                <w:color w:val="auto"/>
                <w:highlight w:val="none"/>
              </w:rPr>
              <w:t>地埋式一体化污水处理设施处理</w:t>
            </w:r>
          </w:p>
        </w:tc>
        <w:tc>
          <w:tcPr>
            <w:tcW w:w="1431" w:type="pct"/>
            <w:tcBorders>
              <w:tl2br w:val="nil"/>
              <w:tr2bl w:val="nil"/>
            </w:tcBorders>
            <w:vAlign w:val="center"/>
          </w:tcPr>
          <w:p w14:paraId="36FDD863">
            <w:pPr>
              <w:pStyle w:val="41"/>
              <w:widowControl w:val="0"/>
              <w:rPr>
                <w:rFonts w:hint="eastAsia" w:eastAsia="华文中宋"/>
                <w:color w:val="auto"/>
                <w:highlight w:val="none"/>
                <w:lang w:eastAsia="zh-CN"/>
              </w:rPr>
            </w:pPr>
            <w:r>
              <w:rPr>
                <w:rFonts w:hint="eastAsia"/>
                <w:color w:val="auto"/>
                <w:highlight w:val="none"/>
                <w:lang w:eastAsia="zh-CN"/>
              </w:rPr>
              <w:t>《城市污水再生利用—城市杂用水水质》（GB/T18920-2020）</w:t>
            </w:r>
          </w:p>
        </w:tc>
      </w:tr>
      <w:tr w14:paraId="57A1B9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88" w:type="pct"/>
            <w:tcBorders>
              <w:tl2br w:val="nil"/>
              <w:tr2bl w:val="nil"/>
            </w:tcBorders>
            <w:vAlign w:val="center"/>
          </w:tcPr>
          <w:p w14:paraId="4CB32A40">
            <w:pPr>
              <w:pStyle w:val="41"/>
              <w:widowControl w:val="0"/>
              <w:rPr>
                <w:color w:val="auto"/>
                <w:highlight w:val="none"/>
              </w:rPr>
            </w:pPr>
            <w:r>
              <w:rPr>
                <w:color w:val="auto"/>
                <w:highlight w:val="none"/>
              </w:rPr>
              <w:t>噪声</w:t>
            </w:r>
          </w:p>
        </w:tc>
        <w:tc>
          <w:tcPr>
            <w:tcW w:w="691" w:type="pct"/>
            <w:tcBorders>
              <w:tl2br w:val="nil"/>
              <w:tr2bl w:val="nil"/>
            </w:tcBorders>
            <w:vAlign w:val="center"/>
          </w:tcPr>
          <w:p w14:paraId="1068BC15">
            <w:pPr>
              <w:pStyle w:val="41"/>
              <w:widowControl w:val="0"/>
              <w:rPr>
                <w:color w:val="auto"/>
                <w:highlight w:val="none"/>
              </w:rPr>
            </w:pPr>
            <w:r>
              <w:rPr>
                <w:color w:val="auto"/>
                <w:highlight w:val="none"/>
              </w:rPr>
              <w:t>机械噪声/厂界四周</w:t>
            </w:r>
          </w:p>
        </w:tc>
        <w:tc>
          <w:tcPr>
            <w:tcW w:w="815" w:type="pct"/>
            <w:tcBorders>
              <w:tl2br w:val="nil"/>
              <w:tr2bl w:val="nil"/>
            </w:tcBorders>
            <w:vAlign w:val="center"/>
          </w:tcPr>
          <w:p w14:paraId="1D043B83">
            <w:pPr>
              <w:pStyle w:val="41"/>
              <w:widowControl w:val="0"/>
              <w:rPr>
                <w:color w:val="auto"/>
                <w:highlight w:val="none"/>
              </w:rPr>
            </w:pPr>
            <w:r>
              <w:rPr>
                <w:color w:val="auto"/>
                <w:highlight w:val="none"/>
              </w:rPr>
              <w:t>Ld、Ln</w:t>
            </w:r>
          </w:p>
        </w:tc>
        <w:tc>
          <w:tcPr>
            <w:tcW w:w="1574" w:type="pct"/>
            <w:tcBorders>
              <w:tl2br w:val="nil"/>
              <w:tr2bl w:val="nil"/>
            </w:tcBorders>
            <w:vAlign w:val="center"/>
          </w:tcPr>
          <w:p w14:paraId="466BC7D0">
            <w:pPr>
              <w:pStyle w:val="41"/>
              <w:widowControl w:val="0"/>
              <w:rPr>
                <w:color w:val="auto"/>
                <w:highlight w:val="none"/>
              </w:rPr>
            </w:pPr>
            <w:r>
              <w:rPr>
                <w:color w:val="auto"/>
                <w:highlight w:val="none"/>
              </w:rPr>
              <w:t>车间隔声、基础减震等</w:t>
            </w:r>
          </w:p>
        </w:tc>
        <w:tc>
          <w:tcPr>
            <w:tcW w:w="1431" w:type="pct"/>
            <w:tcBorders>
              <w:tl2br w:val="nil"/>
              <w:tr2bl w:val="nil"/>
            </w:tcBorders>
            <w:vAlign w:val="center"/>
          </w:tcPr>
          <w:p w14:paraId="2FDD4B62">
            <w:pPr>
              <w:pStyle w:val="41"/>
              <w:widowControl w:val="0"/>
              <w:rPr>
                <w:color w:val="auto"/>
                <w:highlight w:val="none"/>
              </w:rPr>
            </w:pPr>
            <w:r>
              <w:rPr>
                <w:color w:val="auto"/>
                <w:highlight w:val="none"/>
              </w:rPr>
              <w:t>《工业企业厂界环境噪声排放标准》（GB12348-2008）</w:t>
            </w:r>
            <w:r>
              <w:rPr>
                <w:rFonts w:hint="eastAsia"/>
                <w:color w:val="auto"/>
                <w:highlight w:val="none"/>
              </w:rPr>
              <w:t>2</w:t>
            </w:r>
            <w:r>
              <w:rPr>
                <w:color w:val="auto"/>
                <w:highlight w:val="none"/>
              </w:rPr>
              <w:t>类</w:t>
            </w:r>
          </w:p>
        </w:tc>
      </w:tr>
      <w:tr w14:paraId="3B1EB1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88" w:type="pct"/>
            <w:vMerge w:val="restart"/>
            <w:tcBorders>
              <w:tl2br w:val="nil"/>
              <w:tr2bl w:val="nil"/>
            </w:tcBorders>
            <w:vAlign w:val="center"/>
          </w:tcPr>
          <w:p w14:paraId="72600211">
            <w:pPr>
              <w:pStyle w:val="41"/>
              <w:widowControl w:val="0"/>
              <w:rPr>
                <w:color w:val="auto"/>
                <w:highlight w:val="none"/>
              </w:rPr>
            </w:pPr>
            <w:r>
              <w:rPr>
                <w:color w:val="auto"/>
                <w:highlight w:val="none"/>
              </w:rPr>
              <w:t>固废</w:t>
            </w:r>
          </w:p>
        </w:tc>
        <w:tc>
          <w:tcPr>
            <w:tcW w:w="1506" w:type="pct"/>
            <w:gridSpan w:val="2"/>
            <w:tcBorders>
              <w:tl2br w:val="nil"/>
              <w:tr2bl w:val="nil"/>
            </w:tcBorders>
            <w:vAlign w:val="center"/>
          </w:tcPr>
          <w:p w14:paraId="683C4806">
            <w:pPr>
              <w:pStyle w:val="41"/>
              <w:widowControl w:val="0"/>
              <w:rPr>
                <w:color w:val="auto"/>
                <w:highlight w:val="none"/>
              </w:rPr>
            </w:pPr>
            <w:r>
              <w:rPr>
                <w:color w:val="auto"/>
                <w:highlight w:val="none"/>
              </w:rPr>
              <w:t>废石</w:t>
            </w:r>
          </w:p>
        </w:tc>
        <w:tc>
          <w:tcPr>
            <w:tcW w:w="1574" w:type="pct"/>
            <w:tcBorders>
              <w:tl2br w:val="nil"/>
              <w:tr2bl w:val="nil"/>
            </w:tcBorders>
            <w:vAlign w:val="center"/>
          </w:tcPr>
          <w:p w14:paraId="6BA40623">
            <w:pPr>
              <w:pStyle w:val="41"/>
              <w:widowControl w:val="0"/>
              <w:rPr>
                <w:color w:val="auto"/>
                <w:highlight w:val="none"/>
              </w:rPr>
            </w:pPr>
            <w:r>
              <w:rPr>
                <w:rFonts w:hint="eastAsia"/>
                <w:color w:val="auto"/>
                <w:highlight w:val="none"/>
              </w:rPr>
              <w:t>/</w:t>
            </w:r>
          </w:p>
        </w:tc>
        <w:tc>
          <w:tcPr>
            <w:tcW w:w="1431" w:type="pct"/>
            <w:tcBorders>
              <w:tl2br w:val="nil"/>
              <w:tr2bl w:val="nil"/>
            </w:tcBorders>
            <w:vAlign w:val="center"/>
          </w:tcPr>
          <w:p w14:paraId="0E8C6581">
            <w:pPr>
              <w:pStyle w:val="41"/>
              <w:widowControl w:val="0"/>
              <w:rPr>
                <w:color w:val="auto"/>
                <w:highlight w:val="none"/>
              </w:rPr>
            </w:pPr>
            <w:r>
              <w:rPr>
                <w:rFonts w:hint="eastAsia"/>
                <w:color w:val="auto"/>
                <w:highlight w:val="none"/>
              </w:rPr>
              <w:t>运往采坑外排土场</w:t>
            </w:r>
          </w:p>
        </w:tc>
      </w:tr>
      <w:tr w14:paraId="71194B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88" w:type="pct"/>
            <w:vMerge w:val="continue"/>
            <w:tcBorders>
              <w:tl2br w:val="nil"/>
              <w:tr2bl w:val="nil"/>
            </w:tcBorders>
            <w:vAlign w:val="center"/>
          </w:tcPr>
          <w:p w14:paraId="23999D36">
            <w:pPr>
              <w:pStyle w:val="41"/>
              <w:widowControl w:val="0"/>
              <w:rPr>
                <w:color w:val="auto"/>
                <w:highlight w:val="none"/>
              </w:rPr>
            </w:pPr>
          </w:p>
        </w:tc>
        <w:tc>
          <w:tcPr>
            <w:tcW w:w="1506" w:type="pct"/>
            <w:gridSpan w:val="2"/>
            <w:tcBorders>
              <w:tl2br w:val="nil"/>
              <w:tr2bl w:val="nil"/>
            </w:tcBorders>
            <w:vAlign w:val="center"/>
          </w:tcPr>
          <w:p w14:paraId="5730F01D">
            <w:pPr>
              <w:pStyle w:val="41"/>
              <w:widowControl w:val="0"/>
              <w:rPr>
                <w:color w:val="auto"/>
                <w:highlight w:val="none"/>
              </w:rPr>
            </w:pPr>
            <w:r>
              <w:rPr>
                <w:rFonts w:hint="eastAsia"/>
                <w:color w:val="auto"/>
                <w:highlight w:val="none"/>
              </w:rPr>
              <w:t>锅</w:t>
            </w:r>
            <w:r>
              <w:rPr>
                <w:color w:val="auto"/>
                <w:highlight w:val="none"/>
              </w:rPr>
              <w:t>炉灰渣、脱硫石膏</w:t>
            </w:r>
          </w:p>
        </w:tc>
        <w:tc>
          <w:tcPr>
            <w:tcW w:w="1574" w:type="pct"/>
            <w:tcBorders>
              <w:tl2br w:val="nil"/>
              <w:tr2bl w:val="nil"/>
            </w:tcBorders>
            <w:vAlign w:val="center"/>
          </w:tcPr>
          <w:p w14:paraId="0B787E07">
            <w:pPr>
              <w:pStyle w:val="41"/>
              <w:widowControl w:val="0"/>
              <w:rPr>
                <w:color w:val="auto"/>
                <w:highlight w:val="none"/>
              </w:rPr>
            </w:pPr>
            <w:r>
              <w:rPr>
                <w:rFonts w:hint="eastAsia"/>
                <w:color w:val="auto"/>
                <w:highlight w:val="none"/>
              </w:rPr>
              <w:t>/</w:t>
            </w:r>
          </w:p>
        </w:tc>
        <w:tc>
          <w:tcPr>
            <w:tcW w:w="1431" w:type="pct"/>
            <w:tcBorders>
              <w:tl2br w:val="nil"/>
              <w:tr2bl w:val="nil"/>
            </w:tcBorders>
            <w:vAlign w:val="center"/>
          </w:tcPr>
          <w:p w14:paraId="28877ED4">
            <w:pPr>
              <w:pStyle w:val="41"/>
              <w:widowControl w:val="0"/>
              <w:rPr>
                <w:rFonts w:hint="eastAsia" w:eastAsia="华文中宋"/>
                <w:color w:val="auto"/>
                <w:highlight w:val="none"/>
                <w:lang w:eastAsia="zh-CN"/>
              </w:rPr>
            </w:pPr>
            <w:r>
              <w:rPr>
                <w:rFonts w:hint="eastAsia"/>
                <w:color w:val="auto"/>
                <w:highlight w:val="none"/>
              </w:rPr>
              <w:t>生物质炉灰渣作为土壤改良剂用于</w:t>
            </w:r>
            <w:r>
              <w:rPr>
                <w:rFonts w:hint="eastAsia"/>
                <w:color w:val="auto"/>
                <w:highlight w:val="none"/>
                <w:lang w:eastAsia="zh-CN"/>
              </w:rPr>
              <w:t>项目区</w:t>
            </w:r>
            <w:r>
              <w:rPr>
                <w:rFonts w:hint="eastAsia"/>
                <w:color w:val="auto"/>
                <w:highlight w:val="none"/>
              </w:rPr>
              <w:t>生态恢复治理</w:t>
            </w:r>
            <w:r>
              <w:rPr>
                <w:rFonts w:hint="eastAsia"/>
                <w:color w:val="auto"/>
                <w:highlight w:val="none"/>
                <w:lang w:eastAsia="zh-CN"/>
              </w:rPr>
              <w:t>；脱硫石膏外售进行综合利用；</w:t>
            </w:r>
          </w:p>
        </w:tc>
      </w:tr>
      <w:tr w14:paraId="2459B9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88" w:type="pct"/>
            <w:vMerge w:val="continue"/>
            <w:tcBorders>
              <w:tl2br w:val="nil"/>
              <w:tr2bl w:val="nil"/>
            </w:tcBorders>
            <w:vAlign w:val="center"/>
          </w:tcPr>
          <w:p w14:paraId="7281C24B">
            <w:pPr>
              <w:pStyle w:val="41"/>
              <w:widowControl w:val="0"/>
              <w:rPr>
                <w:color w:val="auto"/>
                <w:highlight w:val="none"/>
              </w:rPr>
            </w:pPr>
          </w:p>
        </w:tc>
        <w:tc>
          <w:tcPr>
            <w:tcW w:w="1506" w:type="pct"/>
            <w:gridSpan w:val="2"/>
            <w:tcBorders>
              <w:tl2br w:val="nil"/>
              <w:tr2bl w:val="nil"/>
            </w:tcBorders>
            <w:vAlign w:val="center"/>
          </w:tcPr>
          <w:p w14:paraId="7707AE4E">
            <w:pPr>
              <w:pStyle w:val="41"/>
              <w:widowControl w:val="0"/>
              <w:rPr>
                <w:color w:val="auto"/>
                <w:highlight w:val="none"/>
              </w:rPr>
            </w:pPr>
            <w:r>
              <w:rPr>
                <w:color w:val="auto"/>
                <w:highlight w:val="none"/>
              </w:rPr>
              <w:t>尾矿砂</w:t>
            </w:r>
          </w:p>
        </w:tc>
        <w:tc>
          <w:tcPr>
            <w:tcW w:w="1574" w:type="pct"/>
            <w:tcBorders>
              <w:tl2br w:val="nil"/>
              <w:tr2bl w:val="nil"/>
            </w:tcBorders>
            <w:vAlign w:val="center"/>
          </w:tcPr>
          <w:p w14:paraId="7CB6D84C">
            <w:pPr>
              <w:pStyle w:val="41"/>
              <w:widowControl w:val="0"/>
              <w:rPr>
                <w:color w:val="auto"/>
                <w:highlight w:val="none"/>
              </w:rPr>
            </w:pPr>
            <w:r>
              <w:rPr>
                <w:rFonts w:hint="eastAsia"/>
                <w:color w:val="auto"/>
                <w:highlight w:val="none"/>
              </w:rPr>
              <w:t>尾矿库</w:t>
            </w:r>
          </w:p>
        </w:tc>
        <w:tc>
          <w:tcPr>
            <w:tcW w:w="1431" w:type="pct"/>
            <w:tcBorders>
              <w:tl2br w:val="nil"/>
              <w:tr2bl w:val="nil"/>
            </w:tcBorders>
            <w:vAlign w:val="center"/>
          </w:tcPr>
          <w:p w14:paraId="0D94E674">
            <w:pPr>
              <w:pStyle w:val="41"/>
              <w:widowControl w:val="0"/>
              <w:rPr>
                <w:color w:val="auto"/>
                <w:highlight w:val="none"/>
              </w:rPr>
            </w:pPr>
            <w:r>
              <w:rPr>
                <w:color w:val="auto"/>
                <w:highlight w:val="none"/>
              </w:rPr>
              <w:t>输送至新建尾矿库</w:t>
            </w:r>
          </w:p>
        </w:tc>
      </w:tr>
      <w:tr w14:paraId="72EE58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88" w:type="pct"/>
            <w:vMerge w:val="continue"/>
            <w:tcBorders>
              <w:tl2br w:val="nil"/>
              <w:tr2bl w:val="nil"/>
            </w:tcBorders>
            <w:vAlign w:val="center"/>
          </w:tcPr>
          <w:p w14:paraId="213F4F89">
            <w:pPr>
              <w:pStyle w:val="41"/>
              <w:widowControl w:val="0"/>
              <w:rPr>
                <w:color w:val="auto"/>
                <w:highlight w:val="none"/>
              </w:rPr>
            </w:pPr>
          </w:p>
        </w:tc>
        <w:tc>
          <w:tcPr>
            <w:tcW w:w="1506" w:type="pct"/>
            <w:gridSpan w:val="2"/>
            <w:tcBorders>
              <w:tl2br w:val="nil"/>
              <w:tr2bl w:val="nil"/>
            </w:tcBorders>
            <w:vAlign w:val="center"/>
          </w:tcPr>
          <w:p w14:paraId="14DAED59">
            <w:pPr>
              <w:pStyle w:val="41"/>
              <w:widowControl w:val="0"/>
              <w:rPr>
                <w:color w:val="auto"/>
                <w:highlight w:val="none"/>
              </w:rPr>
            </w:pPr>
            <w:r>
              <w:rPr>
                <w:color w:val="auto"/>
                <w:highlight w:val="none"/>
              </w:rPr>
              <w:t>除尘灰</w:t>
            </w:r>
          </w:p>
        </w:tc>
        <w:tc>
          <w:tcPr>
            <w:tcW w:w="1574" w:type="pct"/>
            <w:tcBorders>
              <w:tl2br w:val="nil"/>
              <w:tr2bl w:val="nil"/>
            </w:tcBorders>
            <w:vAlign w:val="center"/>
          </w:tcPr>
          <w:p w14:paraId="2DD03A1D">
            <w:pPr>
              <w:pStyle w:val="41"/>
              <w:widowControl w:val="0"/>
              <w:rPr>
                <w:color w:val="auto"/>
                <w:highlight w:val="none"/>
              </w:rPr>
            </w:pPr>
            <w:r>
              <w:rPr>
                <w:rFonts w:hint="eastAsia"/>
                <w:color w:val="auto"/>
                <w:highlight w:val="none"/>
              </w:rPr>
              <w:t>/</w:t>
            </w:r>
          </w:p>
        </w:tc>
        <w:tc>
          <w:tcPr>
            <w:tcW w:w="1431" w:type="pct"/>
            <w:tcBorders>
              <w:tl2br w:val="nil"/>
              <w:tr2bl w:val="nil"/>
            </w:tcBorders>
            <w:vAlign w:val="center"/>
          </w:tcPr>
          <w:p w14:paraId="285228A7">
            <w:pPr>
              <w:pStyle w:val="41"/>
              <w:widowControl w:val="0"/>
              <w:rPr>
                <w:color w:val="auto"/>
                <w:highlight w:val="none"/>
              </w:rPr>
            </w:pPr>
            <w:r>
              <w:rPr>
                <w:color w:val="auto"/>
                <w:highlight w:val="none"/>
              </w:rPr>
              <w:t>返回生产线</w:t>
            </w:r>
          </w:p>
        </w:tc>
      </w:tr>
      <w:tr w14:paraId="189E0C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88" w:type="pct"/>
            <w:vMerge w:val="continue"/>
            <w:tcBorders>
              <w:tl2br w:val="nil"/>
              <w:tr2bl w:val="nil"/>
            </w:tcBorders>
            <w:vAlign w:val="center"/>
          </w:tcPr>
          <w:p w14:paraId="3CC210B4">
            <w:pPr>
              <w:pStyle w:val="41"/>
              <w:widowControl w:val="0"/>
              <w:rPr>
                <w:color w:val="auto"/>
                <w:highlight w:val="none"/>
              </w:rPr>
            </w:pPr>
          </w:p>
        </w:tc>
        <w:tc>
          <w:tcPr>
            <w:tcW w:w="1506" w:type="pct"/>
            <w:gridSpan w:val="2"/>
            <w:tcBorders>
              <w:tl2br w:val="nil"/>
              <w:tr2bl w:val="nil"/>
            </w:tcBorders>
            <w:vAlign w:val="center"/>
          </w:tcPr>
          <w:p w14:paraId="7C07A686">
            <w:pPr>
              <w:pStyle w:val="41"/>
              <w:widowControl w:val="0"/>
              <w:rPr>
                <w:color w:val="auto"/>
                <w:highlight w:val="none"/>
              </w:rPr>
            </w:pPr>
            <w:r>
              <w:rPr>
                <w:color w:val="auto"/>
                <w:highlight w:val="none"/>
              </w:rPr>
              <w:t>废矿物油及废矿物油桶</w:t>
            </w:r>
          </w:p>
        </w:tc>
        <w:tc>
          <w:tcPr>
            <w:tcW w:w="1574" w:type="pct"/>
            <w:tcBorders>
              <w:tl2br w:val="nil"/>
              <w:tr2bl w:val="nil"/>
            </w:tcBorders>
            <w:vAlign w:val="center"/>
          </w:tcPr>
          <w:p w14:paraId="4C8C5A6A">
            <w:pPr>
              <w:pStyle w:val="41"/>
              <w:widowControl w:val="0"/>
              <w:rPr>
                <w:color w:val="auto"/>
                <w:highlight w:val="none"/>
              </w:rPr>
            </w:pPr>
            <w:r>
              <w:rPr>
                <w:rFonts w:hint="eastAsia"/>
                <w:color w:val="auto"/>
                <w:highlight w:val="none"/>
              </w:rPr>
              <w:t>危废暂存场所</w:t>
            </w:r>
          </w:p>
        </w:tc>
        <w:tc>
          <w:tcPr>
            <w:tcW w:w="1431" w:type="pct"/>
            <w:tcBorders>
              <w:tl2br w:val="nil"/>
              <w:tr2bl w:val="nil"/>
            </w:tcBorders>
            <w:vAlign w:val="center"/>
          </w:tcPr>
          <w:p w14:paraId="3F75788A">
            <w:pPr>
              <w:pStyle w:val="41"/>
              <w:widowControl w:val="0"/>
              <w:rPr>
                <w:color w:val="auto"/>
                <w:highlight w:val="none"/>
              </w:rPr>
            </w:pPr>
            <w:r>
              <w:rPr>
                <w:color w:val="auto"/>
                <w:highlight w:val="none"/>
              </w:rPr>
              <w:t>委托有资质单位合理处置</w:t>
            </w:r>
          </w:p>
        </w:tc>
      </w:tr>
      <w:tr w14:paraId="6EA8AC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88" w:type="pct"/>
            <w:vMerge w:val="continue"/>
            <w:tcBorders>
              <w:tl2br w:val="nil"/>
              <w:tr2bl w:val="nil"/>
            </w:tcBorders>
            <w:vAlign w:val="center"/>
          </w:tcPr>
          <w:p w14:paraId="024F26E3">
            <w:pPr>
              <w:pStyle w:val="41"/>
              <w:widowControl w:val="0"/>
              <w:rPr>
                <w:color w:val="auto"/>
                <w:highlight w:val="none"/>
              </w:rPr>
            </w:pPr>
          </w:p>
        </w:tc>
        <w:tc>
          <w:tcPr>
            <w:tcW w:w="1506" w:type="pct"/>
            <w:gridSpan w:val="2"/>
            <w:tcBorders>
              <w:tl2br w:val="nil"/>
              <w:tr2bl w:val="nil"/>
            </w:tcBorders>
            <w:vAlign w:val="center"/>
          </w:tcPr>
          <w:p w14:paraId="319386EA">
            <w:pPr>
              <w:pStyle w:val="41"/>
              <w:widowControl w:val="0"/>
              <w:rPr>
                <w:color w:val="auto"/>
                <w:highlight w:val="none"/>
              </w:rPr>
            </w:pPr>
            <w:r>
              <w:rPr>
                <w:color w:val="auto"/>
                <w:highlight w:val="none"/>
              </w:rPr>
              <w:t>生活垃圾</w:t>
            </w:r>
          </w:p>
        </w:tc>
        <w:tc>
          <w:tcPr>
            <w:tcW w:w="1574" w:type="pct"/>
            <w:tcBorders>
              <w:tl2br w:val="nil"/>
              <w:tr2bl w:val="nil"/>
            </w:tcBorders>
            <w:vAlign w:val="center"/>
          </w:tcPr>
          <w:p w14:paraId="03AB9E8C">
            <w:pPr>
              <w:pStyle w:val="41"/>
              <w:widowControl w:val="0"/>
              <w:rPr>
                <w:color w:val="auto"/>
                <w:highlight w:val="none"/>
              </w:rPr>
            </w:pPr>
            <w:r>
              <w:rPr>
                <w:rFonts w:hint="eastAsia"/>
                <w:color w:val="auto"/>
                <w:highlight w:val="none"/>
              </w:rPr>
              <w:t>生活垃圾桶</w:t>
            </w:r>
          </w:p>
        </w:tc>
        <w:tc>
          <w:tcPr>
            <w:tcW w:w="1431" w:type="pct"/>
            <w:tcBorders>
              <w:tl2br w:val="nil"/>
              <w:tr2bl w:val="nil"/>
            </w:tcBorders>
            <w:vAlign w:val="center"/>
          </w:tcPr>
          <w:p w14:paraId="69EE1BAD">
            <w:pPr>
              <w:pStyle w:val="41"/>
              <w:widowControl w:val="0"/>
              <w:rPr>
                <w:color w:val="auto"/>
                <w:highlight w:val="none"/>
              </w:rPr>
            </w:pPr>
            <w:r>
              <w:rPr>
                <w:color w:val="auto"/>
                <w:highlight w:val="none"/>
              </w:rPr>
              <w:t>集中收集定期清运至</w:t>
            </w:r>
            <w:r>
              <w:rPr>
                <w:color w:val="auto"/>
                <w:highlight w:val="none"/>
              </w:rPr>
              <w:t>哈拉峻乡谢依提村垃圾场</w:t>
            </w:r>
            <w:r>
              <w:rPr>
                <w:color w:val="auto"/>
                <w:highlight w:val="none"/>
              </w:rPr>
              <w:t>填埋</w:t>
            </w:r>
          </w:p>
        </w:tc>
      </w:tr>
      <w:tr w14:paraId="2E8A83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88" w:type="pct"/>
            <w:vMerge w:val="continue"/>
            <w:tcBorders>
              <w:tl2br w:val="nil"/>
              <w:tr2bl w:val="nil"/>
            </w:tcBorders>
            <w:vAlign w:val="center"/>
          </w:tcPr>
          <w:p w14:paraId="57E48BAE">
            <w:pPr>
              <w:pStyle w:val="41"/>
              <w:widowControl w:val="0"/>
              <w:rPr>
                <w:color w:val="auto"/>
                <w:highlight w:val="none"/>
              </w:rPr>
            </w:pPr>
          </w:p>
        </w:tc>
        <w:tc>
          <w:tcPr>
            <w:tcW w:w="1506" w:type="pct"/>
            <w:gridSpan w:val="2"/>
            <w:tcBorders>
              <w:tl2br w:val="nil"/>
              <w:tr2bl w:val="nil"/>
            </w:tcBorders>
            <w:vAlign w:val="center"/>
          </w:tcPr>
          <w:p w14:paraId="75CF8539">
            <w:pPr>
              <w:pStyle w:val="41"/>
              <w:widowControl w:val="0"/>
              <w:rPr>
                <w:color w:val="auto"/>
                <w:highlight w:val="none"/>
              </w:rPr>
            </w:pPr>
            <w:r>
              <w:rPr>
                <w:color w:val="auto"/>
                <w:highlight w:val="none"/>
              </w:rPr>
              <w:t>污水处理设施污泥</w:t>
            </w:r>
          </w:p>
        </w:tc>
        <w:tc>
          <w:tcPr>
            <w:tcW w:w="1574" w:type="pct"/>
            <w:tcBorders>
              <w:tl2br w:val="nil"/>
              <w:tr2bl w:val="nil"/>
            </w:tcBorders>
            <w:vAlign w:val="center"/>
          </w:tcPr>
          <w:p w14:paraId="3536D4F1">
            <w:pPr>
              <w:pStyle w:val="41"/>
              <w:widowControl w:val="0"/>
              <w:rPr>
                <w:color w:val="auto"/>
                <w:highlight w:val="none"/>
              </w:rPr>
            </w:pPr>
            <w:r>
              <w:rPr>
                <w:rFonts w:hint="eastAsia"/>
                <w:color w:val="auto"/>
                <w:highlight w:val="none"/>
              </w:rPr>
              <w:t>/</w:t>
            </w:r>
          </w:p>
        </w:tc>
        <w:tc>
          <w:tcPr>
            <w:tcW w:w="1431" w:type="pct"/>
            <w:tcBorders>
              <w:tl2br w:val="nil"/>
              <w:tr2bl w:val="nil"/>
            </w:tcBorders>
            <w:vAlign w:val="center"/>
          </w:tcPr>
          <w:p w14:paraId="1393F77F">
            <w:pPr>
              <w:pStyle w:val="41"/>
              <w:widowControl w:val="0"/>
              <w:rPr>
                <w:color w:val="auto"/>
                <w:highlight w:val="none"/>
              </w:rPr>
            </w:pPr>
            <w:r>
              <w:rPr>
                <w:color w:val="auto"/>
                <w:highlight w:val="none"/>
              </w:rPr>
              <w:t>用于厂区绿化带绿化肥料。</w:t>
            </w:r>
          </w:p>
        </w:tc>
      </w:tr>
      <w:tr w14:paraId="4C1E08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c>
          <w:tcPr>
            <w:tcW w:w="488" w:type="pct"/>
            <w:tcBorders>
              <w:tl2br w:val="nil"/>
              <w:tr2bl w:val="nil"/>
            </w:tcBorders>
            <w:vAlign w:val="center"/>
          </w:tcPr>
          <w:p w14:paraId="12EC4014">
            <w:pPr>
              <w:pStyle w:val="41"/>
              <w:widowControl w:val="0"/>
              <w:rPr>
                <w:color w:val="auto"/>
                <w:highlight w:val="none"/>
              </w:rPr>
            </w:pPr>
            <w:r>
              <w:rPr>
                <w:color w:val="auto"/>
                <w:highlight w:val="none"/>
              </w:rPr>
              <w:t>环境风险</w:t>
            </w:r>
          </w:p>
        </w:tc>
        <w:tc>
          <w:tcPr>
            <w:tcW w:w="4511" w:type="pct"/>
            <w:gridSpan w:val="4"/>
            <w:tcBorders>
              <w:tl2br w:val="nil"/>
              <w:tr2bl w:val="nil"/>
            </w:tcBorders>
            <w:vAlign w:val="center"/>
          </w:tcPr>
          <w:p w14:paraId="0C62FA03">
            <w:pPr>
              <w:pStyle w:val="41"/>
              <w:widowControl w:val="0"/>
              <w:rPr>
                <w:color w:val="auto"/>
                <w:highlight w:val="none"/>
              </w:rPr>
            </w:pPr>
            <w:r>
              <w:rPr>
                <w:color w:val="auto"/>
                <w:highlight w:val="none"/>
              </w:rPr>
              <w:t>尾矿坝下游设置1座</w:t>
            </w:r>
            <w:r>
              <w:rPr>
                <w:rFonts w:hint="eastAsia"/>
                <w:color w:val="auto"/>
                <w:highlight w:val="none"/>
              </w:rPr>
              <w:t>28625</w:t>
            </w:r>
            <w:r>
              <w:rPr>
                <w:color w:val="auto"/>
                <w:highlight w:val="none"/>
              </w:rPr>
              <w:t>m</w:t>
            </w:r>
            <w:r>
              <w:rPr>
                <w:color w:val="auto"/>
                <w:highlight w:val="none"/>
                <w:vertAlign w:val="superscript"/>
              </w:rPr>
              <w:t>3</w:t>
            </w:r>
            <w:r>
              <w:rPr>
                <w:color w:val="auto"/>
                <w:highlight w:val="none"/>
              </w:rPr>
              <w:t>事故池</w:t>
            </w:r>
            <w:r>
              <w:rPr>
                <w:rFonts w:hint="eastAsia"/>
                <w:color w:val="auto"/>
                <w:highlight w:val="none"/>
              </w:rPr>
              <w:t>。</w:t>
            </w:r>
            <w:r>
              <w:rPr>
                <w:color w:val="auto"/>
                <w:highlight w:val="none"/>
              </w:rPr>
              <w:t>选矿厂建设一座防渗</w:t>
            </w:r>
            <w:r>
              <w:rPr>
                <w:rFonts w:hint="eastAsia"/>
                <w:color w:val="auto"/>
                <w:highlight w:val="none"/>
              </w:rPr>
              <w:t>事故池</w:t>
            </w:r>
            <w:r>
              <w:rPr>
                <w:rFonts w:hint="eastAsia"/>
                <w:color w:val="auto"/>
                <w:highlight w:val="none"/>
                <w:lang w:eastAsia="zh-CN"/>
              </w:rPr>
              <w:t>（</w:t>
            </w:r>
            <w:r>
              <w:rPr>
                <w:rFonts w:hint="eastAsia"/>
                <w:color w:val="auto"/>
                <w:highlight w:val="none"/>
                <w:lang w:val="en-US" w:eastAsia="zh-CN"/>
              </w:rPr>
              <w:t>250m³</w:t>
            </w:r>
            <w:r>
              <w:rPr>
                <w:rFonts w:hint="eastAsia"/>
                <w:color w:val="auto"/>
                <w:highlight w:val="none"/>
                <w:lang w:eastAsia="zh-CN"/>
              </w:rPr>
              <w:t>）</w:t>
            </w:r>
            <w:r>
              <w:rPr>
                <w:color w:val="auto"/>
                <w:highlight w:val="none"/>
              </w:rPr>
              <w:t>，用于收集事故状态下的尾矿浆及事故废水。</w:t>
            </w:r>
          </w:p>
        </w:tc>
      </w:tr>
    </w:tbl>
    <w:p w14:paraId="372B8973">
      <w:pPr>
        <w:pStyle w:val="39"/>
        <w:rPr>
          <w:rFonts w:hint="default"/>
          <w:color w:val="auto"/>
          <w:highlight w:val="none"/>
        </w:rPr>
      </w:pPr>
      <w:bookmarkStart w:id="483" w:name="_Toc9654"/>
      <w:bookmarkStart w:id="484" w:name="_Toc24755"/>
      <w:bookmarkStart w:id="485" w:name="_Toc481789559"/>
      <w:bookmarkStart w:id="486" w:name="_Toc30051"/>
      <w:bookmarkStart w:id="487" w:name="_Toc481768520"/>
      <w:bookmarkStart w:id="488" w:name="_Toc13820"/>
      <w:bookmarkStart w:id="489" w:name="_Toc481768168"/>
      <w:bookmarkStart w:id="490" w:name="_Toc29402"/>
      <w:bookmarkStart w:id="491" w:name="_Toc962"/>
      <w:r>
        <w:rPr>
          <w:rFonts w:hint="default"/>
          <w:color w:val="auto"/>
          <w:highlight w:val="none"/>
        </w:rPr>
        <w:t>污染</w:t>
      </w:r>
      <w:r>
        <w:rPr>
          <w:color w:val="auto"/>
          <w:highlight w:val="none"/>
        </w:rPr>
        <w:t>物</w:t>
      </w:r>
      <w:r>
        <w:rPr>
          <w:rFonts w:hint="default"/>
          <w:color w:val="auto"/>
          <w:highlight w:val="none"/>
        </w:rPr>
        <w:t>排放清单</w:t>
      </w:r>
      <w:bookmarkEnd w:id="483"/>
      <w:bookmarkEnd w:id="484"/>
    </w:p>
    <w:p w14:paraId="1C44CCFB">
      <w:pPr>
        <w:pStyle w:val="3"/>
        <w:ind w:firstLine="480"/>
        <w:rPr>
          <w:color w:val="auto"/>
          <w:highlight w:val="none"/>
        </w:rPr>
      </w:pPr>
      <w:r>
        <w:rPr>
          <w:color w:val="auto"/>
          <w:highlight w:val="none"/>
        </w:rPr>
        <w:t>本工程污染物排放清单见表9.</w:t>
      </w:r>
      <w:r>
        <w:rPr>
          <w:rFonts w:hint="eastAsia"/>
          <w:color w:val="auto"/>
          <w:highlight w:val="none"/>
        </w:rPr>
        <w:t>4-1</w:t>
      </w:r>
      <w:r>
        <w:rPr>
          <w:color w:val="auto"/>
          <w:highlight w:val="none"/>
        </w:rPr>
        <w:t>。</w:t>
      </w:r>
    </w:p>
    <w:p w14:paraId="1678889C">
      <w:pPr>
        <w:pStyle w:val="3"/>
        <w:ind w:firstLine="480"/>
        <w:rPr>
          <w:color w:val="auto"/>
          <w:highlight w:val="none"/>
        </w:rPr>
        <w:sectPr>
          <w:pgSz w:w="11906" w:h="16838"/>
          <w:pgMar w:top="1440" w:right="1803" w:bottom="1440" w:left="1803" w:header="1020" w:footer="992" w:gutter="0"/>
          <w:pgBorders>
            <w:top w:val="none" w:sz="0" w:space="0"/>
            <w:left w:val="none" w:sz="0" w:space="0"/>
            <w:bottom w:val="none" w:sz="0" w:space="0"/>
            <w:right w:val="none" w:sz="0" w:space="0"/>
          </w:pgBorders>
          <w:cols w:space="720" w:num="1"/>
          <w:docGrid w:type="lines" w:linePitch="332" w:charSpace="0"/>
        </w:sectPr>
      </w:pPr>
    </w:p>
    <w:p w14:paraId="291D90D4">
      <w:pPr>
        <w:pStyle w:val="40"/>
        <w:rPr>
          <w:color w:val="auto"/>
          <w:highlight w:val="none"/>
        </w:rPr>
      </w:pPr>
      <w:r>
        <w:rPr>
          <w:color w:val="auto"/>
          <w:highlight w:val="none"/>
        </w:rPr>
        <w:t>表9.</w:t>
      </w:r>
      <w:r>
        <w:rPr>
          <w:rFonts w:hint="eastAsia"/>
          <w:color w:val="auto"/>
          <w:highlight w:val="none"/>
        </w:rPr>
        <w:t>4-1</w:t>
      </w:r>
      <w:r>
        <w:rPr>
          <w:color w:val="auto"/>
          <w:highlight w:val="none"/>
        </w:rPr>
        <w:t xml:space="preserve">     本项目污染物排放清单</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57" w:type="dxa"/>
          <w:bottom w:w="0" w:type="dxa"/>
          <w:right w:w="57" w:type="dxa"/>
        </w:tblCellMar>
      </w:tblPr>
      <w:tblGrid>
        <w:gridCol w:w="437"/>
        <w:gridCol w:w="1866"/>
        <w:gridCol w:w="1299"/>
        <w:gridCol w:w="843"/>
        <w:gridCol w:w="2396"/>
        <w:gridCol w:w="1037"/>
        <w:gridCol w:w="1414"/>
        <w:gridCol w:w="1009"/>
        <w:gridCol w:w="1223"/>
        <w:gridCol w:w="2540"/>
      </w:tblGrid>
      <w:tr w14:paraId="5B2BF0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tcBorders>
              <w:tl2br w:val="nil"/>
              <w:tr2bl w:val="nil"/>
            </w:tcBorders>
            <w:vAlign w:val="center"/>
          </w:tcPr>
          <w:p w14:paraId="6E49EBC8">
            <w:pPr>
              <w:pStyle w:val="41"/>
              <w:rPr>
                <w:color w:val="auto"/>
                <w:highlight w:val="none"/>
              </w:rPr>
            </w:pPr>
            <w:r>
              <w:rPr>
                <w:color w:val="auto"/>
                <w:highlight w:val="none"/>
              </w:rPr>
              <w:t>污染物</w:t>
            </w:r>
          </w:p>
        </w:tc>
        <w:tc>
          <w:tcPr>
            <w:tcW w:w="664" w:type="pct"/>
            <w:tcBorders>
              <w:tl2br w:val="nil"/>
              <w:tr2bl w:val="nil"/>
            </w:tcBorders>
            <w:vAlign w:val="center"/>
          </w:tcPr>
          <w:p w14:paraId="24E73E89">
            <w:pPr>
              <w:pStyle w:val="41"/>
              <w:rPr>
                <w:color w:val="auto"/>
                <w:highlight w:val="none"/>
              </w:rPr>
            </w:pPr>
            <w:r>
              <w:rPr>
                <w:color w:val="auto"/>
                <w:highlight w:val="none"/>
              </w:rPr>
              <w:t>产污环节</w:t>
            </w:r>
          </w:p>
        </w:tc>
        <w:tc>
          <w:tcPr>
            <w:tcW w:w="462" w:type="pct"/>
            <w:tcBorders>
              <w:tl2br w:val="nil"/>
              <w:tr2bl w:val="nil"/>
            </w:tcBorders>
            <w:vAlign w:val="center"/>
          </w:tcPr>
          <w:p w14:paraId="5656D061">
            <w:pPr>
              <w:pStyle w:val="41"/>
              <w:rPr>
                <w:color w:val="auto"/>
                <w:highlight w:val="none"/>
              </w:rPr>
            </w:pPr>
            <w:r>
              <w:rPr>
                <w:color w:val="auto"/>
                <w:highlight w:val="none"/>
              </w:rPr>
              <w:t>污染物</w:t>
            </w:r>
          </w:p>
          <w:p w14:paraId="5B85056F">
            <w:pPr>
              <w:pStyle w:val="41"/>
              <w:rPr>
                <w:color w:val="auto"/>
                <w:highlight w:val="none"/>
              </w:rPr>
            </w:pPr>
            <w:r>
              <w:rPr>
                <w:color w:val="auto"/>
                <w:highlight w:val="none"/>
              </w:rPr>
              <w:t>种类</w:t>
            </w:r>
          </w:p>
        </w:tc>
        <w:tc>
          <w:tcPr>
            <w:tcW w:w="300" w:type="pct"/>
            <w:tcBorders>
              <w:tl2br w:val="nil"/>
              <w:tr2bl w:val="nil"/>
            </w:tcBorders>
            <w:vAlign w:val="center"/>
          </w:tcPr>
          <w:p w14:paraId="192E5841">
            <w:pPr>
              <w:pStyle w:val="41"/>
              <w:rPr>
                <w:color w:val="auto"/>
                <w:highlight w:val="none"/>
              </w:rPr>
            </w:pPr>
            <w:r>
              <w:rPr>
                <w:color w:val="auto"/>
                <w:highlight w:val="none"/>
              </w:rPr>
              <w:t>排放</w:t>
            </w:r>
          </w:p>
          <w:p w14:paraId="21FC82CB">
            <w:pPr>
              <w:pStyle w:val="41"/>
              <w:rPr>
                <w:color w:val="auto"/>
                <w:highlight w:val="none"/>
              </w:rPr>
            </w:pPr>
            <w:r>
              <w:rPr>
                <w:color w:val="auto"/>
                <w:highlight w:val="none"/>
              </w:rPr>
              <w:t>形式</w:t>
            </w:r>
          </w:p>
        </w:tc>
        <w:tc>
          <w:tcPr>
            <w:tcW w:w="852" w:type="pct"/>
            <w:tcBorders>
              <w:tl2br w:val="nil"/>
              <w:tr2bl w:val="nil"/>
            </w:tcBorders>
            <w:vAlign w:val="center"/>
          </w:tcPr>
          <w:p w14:paraId="6F325CAA">
            <w:pPr>
              <w:pStyle w:val="41"/>
              <w:rPr>
                <w:color w:val="auto"/>
                <w:highlight w:val="none"/>
              </w:rPr>
            </w:pPr>
            <w:r>
              <w:rPr>
                <w:color w:val="auto"/>
                <w:highlight w:val="none"/>
              </w:rPr>
              <w:t>拟采取的措施</w:t>
            </w:r>
          </w:p>
        </w:tc>
        <w:tc>
          <w:tcPr>
            <w:tcW w:w="369" w:type="pct"/>
            <w:tcBorders>
              <w:tl2br w:val="nil"/>
              <w:tr2bl w:val="nil"/>
            </w:tcBorders>
            <w:vAlign w:val="center"/>
          </w:tcPr>
          <w:p w14:paraId="7A19EB6D">
            <w:pPr>
              <w:pStyle w:val="41"/>
              <w:rPr>
                <w:color w:val="auto"/>
                <w:highlight w:val="none"/>
              </w:rPr>
            </w:pPr>
            <w:r>
              <w:rPr>
                <w:color w:val="auto"/>
                <w:highlight w:val="none"/>
              </w:rPr>
              <w:t>排放量</w:t>
            </w:r>
          </w:p>
          <w:p w14:paraId="4F69B699">
            <w:pPr>
              <w:pStyle w:val="41"/>
              <w:rPr>
                <w:color w:val="auto"/>
                <w:highlight w:val="none"/>
              </w:rPr>
            </w:pPr>
            <w:r>
              <w:rPr>
                <w:color w:val="auto"/>
                <w:highlight w:val="none"/>
              </w:rPr>
              <w:t>(t/a)</w:t>
            </w:r>
          </w:p>
        </w:tc>
        <w:tc>
          <w:tcPr>
            <w:tcW w:w="502" w:type="pct"/>
            <w:tcBorders>
              <w:tl2br w:val="nil"/>
              <w:tr2bl w:val="nil"/>
            </w:tcBorders>
            <w:vAlign w:val="center"/>
          </w:tcPr>
          <w:p w14:paraId="258EEB1E">
            <w:pPr>
              <w:pStyle w:val="41"/>
              <w:rPr>
                <w:color w:val="auto"/>
                <w:highlight w:val="none"/>
              </w:rPr>
            </w:pPr>
            <w:r>
              <w:rPr>
                <w:color w:val="auto"/>
                <w:highlight w:val="none"/>
              </w:rPr>
              <w:t>速率</w:t>
            </w:r>
          </w:p>
          <w:p w14:paraId="76DEA813">
            <w:pPr>
              <w:pStyle w:val="41"/>
              <w:rPr>
                <w:color w:val="auto"/>
                <w:highlight w:val="none"/>
              </w:rPr>
            </w:pPr>
            <w:r>
              <w:rPr>
                <w:color w:val="auto"/>
                <w:highlight w:val="none"/>
              </w:rPr>
              <w:t>(kg/h)</w:t>
            </w:r>
          </w:p>
        </w:tc>
        <w:tc>
          <w:tcPr>
            <w:tcW w:w="355" w:type="pct"/>
            <w:tcBorders>
              <w:tl2br w:val="nil"/>
              <w:tr2bl w:val="nil"/>
            </w:tcBorders>
            <w:vAlign w:val="center"/>
          </w:tcPr>
          <w:p w14:paraId="56E2DA5C">
            <w:pPr>
              <w:pStyle w:val="41"/>
              <w:rPr>
                <w:color w:val="auto"/>
                <w:highlight w:val="none"/>
              </w:rPr>
            </w:pPr>
            <w:r>
              <w:rPr>
                <w:color w:val="auto"/>
                <w:highlight w:val="none"/>
              </w:rPr>
              <w:t>浓度（mg/m</w:t>
            </w:r>
            <w:r>
              <w:rPr>
                <w:color w:val="auto"/>
                <w:highlight w:val="none"/>
                <w:vertAlign w:val="superscript"/>
              </w:rPr>
              <w:t>3</w:t>
            </w:r>
            <w:r>
              <w:rPr>
                <w:rFonts w:hint="eastAsia"/>
                <w:color w:val="auto"/>
                <w:highlight w:val="none"/>
                <w:vertAlign w:val="superscript"/>
                <w:lang w:eastAsia="zh-CN"/>
              </w:rPr>
              <w:t>）</w:t>
            </w:r>
          </w:p>
        </w:tc>
        <w:tc>
          <w:tcPr>
            <w:tcW w:w="435" w:type="pct"/>
            <w:tcBorders>
              <w:tl2br w:val="nil"/>
              <w:tr2bl w:val="nil"/>
            </w:tcBorders>
            <w:vAlign w:val="center"/>
          </w:tcPr>
          <w:p w14:paraId="57DFE632">
            <w:pPr>
              <w:pStyle w:val="41"/>
              <w:rPr>
                <w:color w:val="auto"/>
                <w:highlight w:val="none"/>
              </w:rPr>
            </w:pPr>
            <w:r>
              <w:rPr>
                <w:color w:val="auto"/>
                <w:highlight w:val="none"/>
              </w:rPr>
              <w:t>排放标准</w:t>
            </w:r>
          </w:p>
        </w:tc>
        <w:tc>
          <w:tcPr>
            <w:tcW w:w="903" w:type="pct"/>
            <w:tcBorders>
              <w:tl2br w:val="nil"/>
              <w:tr2bl w:val="nil"/>
            </w:tcBorders>
            <w:vAlign w:val="center"/>
          </w:tcPr>
          <w:p w14:paraId="438EDFC9">
            <w:pPr>
              <w:pStyle w:val="41"/>
              <w:rPr>
                <w:color w:val="auto"/>
                <w:highlight w:val="none"/>
              </w:rPr>
            </w:pPr>
            <w:r>
              <w:rPr>
                <w:color w:val="auto"/>
                <w:highlight w:val="none"/>
              </w:rPr>
              <w:t>执行标准</w:t>
            </w:r>
          </w:p>
        </w:tc>
      </w:tr>
      <w:tr w14:paraId="4A1076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restart"/>
            <w:tcBorders>
              <w:tl2br w:val="nil"/>
              <w:tr2bl w:val="nil"/>
            </w:tcBorders>
            <w:vAlign w:val="center"/>
          </w:tcPr>
          <w:p w14:paraId="3FC08BBC">
            <w:pPr>
              <w:pStyle w:val="41"/>
              <w:rPr>
                <w:color w:val="auto"/>
                <w:highlight w:val="none"/>
              </w:rPr>
            </w:pPr>
            <w:r>
              <w:rPr>
                <w:color w:val="auto"/>
                <w:highlight w:val="none"/>
              </w:rPr>
              <w:t>有</w:t>
            </w:r>
          </w:p>
          <w:p w14:paraId="58BD80CA">
            <w:pPr>
              <w:pStyle w:val="41"/>
              <w:rPr>
                <w:color w:val="auto"/>
                <w:highlight w:val="none"/>
              </w:rPr>
            </w:pPr>
            <w:r>
              <w:rPr>
                <w:color w:val="auto"/>
                <w:highlight w:val="none"/>
              </w:rPr>
              <w:t>组</w:t>
            </w:r>
          </w:p>
          <w:p w14:paraId="7902A8E2">
            <w:pPr>
              <w:pStyle w:val="41"/>
              <w:rPr>
                <w:color w:val="auto"/>
                <w:highlight w:val="none"/>
              </w:rPr>
            </w:pPr>
            <w:r>
              <w:rPr>
                <w:color w:val="auto"/>
                <w:highlight w:val="none"/>
              </w:rPr>
              <w:t>织</w:t>
            </w:r>
          </w:p>
          <w:p w14:paraId="7615EEB1">
            <w:pPr>
              <w:pStyle w:val="41"/>
              <w:rPr>
                <w:color w:val="auto"/>
                <w:highlight w:val="none"/>
              </w:rPr>
            </w:pPr>
            <w:r>
              <w:rPr>
                <w:color w:val="auto"/>
                <w:highlight w:val="none"/>
              </w:rPr>
              <w:t>废</w:t>
            </w:r>
          </w:p>
          <w:p w14:paraId="42730199">
            <w:pPr>
              <w:pStyle w:val="41"/>
              <w:rPr>
                <w:color w:val="auto"/>
                <w:highlight w:val="none"/>
              </w:rPr>
            </w:pPr>
            <w:r>
              <w:rPr>
                <w:color w:val="auto"/>
                <w:highlight w:val="none"/>
              </w:rPr>
              <w:t>气</w:t>
            </w:r>
          </w:p>
        </w:tc>
        <w:tc>
          <w:tcPr>
            <w:tcW w:w="664" w:type="pct"/>
            <w:tcBorders>
              <w:tl2br w:val="nil"/>
              <w:tr2bl w:val="nil"/>
            </w:tcBorders>
            <w:vAlign w:val="center"/>
          </w:tcPr>
          <w:p w14:paraId="511129D1">
            <w:pPr>
              <w:pStyle w:val="41"/>
              <w:rPr>
                <w:color w:val="auto"/>
                <w:highlight w:val="none"/>
              </w:rPr>
            </w:pPr>
            <w:r>
              <w:rPr>
                <w:rFonts w:hint="eastAsia"/>
                <w:color w:val="auto"/>
                <w:highlight w:val="none"/>
              </w:rPr>
              <w:t>滚轴筛车间</w:t>
            </w:r>
          </w:p>
        </w:tc>
        <w:tc>
          <w:tcPr>
            <w:tcW w:w="462" w:type="pct"/>
            <w:tcBorders>
              <w:tl2br w:val="nil"/>
              <w:tr2bl w:val="nil"/>
            </w:tcBorders>
            <w:vAlign w:val="center"/>
          </w:tcPr>
          <w:p w14:paraId="1A7E0B99">
            <w:pPr>
              <w:pStyle w:val="41"/>
              <w:rPr>
                <w:color w:val="auto"/>
                <w:highlight w:val="none"/>
              </w:rPr>
            </w:pPr>
            <w:r>
              <w:rPr>
                <w:color w:val="auto"/>
                <w:highlight w:val="none"/>
              </w:rPr>
              <w:t>颗粒物</w:t>
            </w:r>
          </w:p>
        </w:tc>
        <w:tc>
          <w:tcPr>
            <w:tcW w:w="300" w:type="pct"/>
            <w:tcBorders>
              <w:tl2br w:val="nil"/>
              <w:tr2bl w:val="nil"/>
            </w:tcBorders>
            <w:vAlign w:val="center"/>
          </w:tcPr>
          <w:p w14:paraId="708FA9CC">
            <w:pPr>
              <w:pStyle w:val="41"/>
              <w:rPr>
                <w:color w:val="auto"/>
                <w:highlight w:val="none"/>
              </w:rPr>
            </w:pPr>
            <w:r>
              <w:rPr>
                <w:color w:val="auto"/>
                <w:highlight w:val="none"/>
              </w:rPr>
              <w:t>有组织</w:t>
            </w:r>
          </w:p>
        </w:tc>
        <w:tc>
          <w:tcPr>
            <w:tcW w:w="852" w:type="pct"/>
            <w:tcBorders>
              <w:tl2br w:val="nil"/>
              <w:tr2bl w:val="nil"/>
            </w:tcBorders>
            <w:vAlign w:val="center"/>
          </w:tcPr>
          <w:p w14:paraId="5271E04F">
            <w:pPr>
              <w:pStyle w:val="41"/>
              <w:rPr>
                <w:color w:val="auto"/>
                <w:highlight w:val="none"/>
              </w:rPr>
            </w:pPr>
            <w:r>
              <w:rPr>
                <w:color w:val="auto"/>
                <w:highlight w:val="none"/>
              </w:rPr>
              <w:t>布袋除尘器</w:t>
            </w:r>
          </w:p>
          <w:p w14:paraId="75B7116F">
            <w:pPr>
              <w:pStyle w:val="41"/>
              <w:rPr>
                <w:color w:val="auto"/>
                <w:highlight w:val="none"/>
              </w:rPr>
            </w:pPr>
            <w:r>
              <w:rPr>
                <w:color w:val="auto"/>
                <w:highlight w:val="none"/>
              </w:rPr>
              <w:t>（去除效率99.</w:t>
            </w:r>
            <w:r>
              <w:rPr>
                <w:rFonts w:hint="eastAsia"/>
                <w:color w:val="auto"/>
                <w:highlight w:val="none"/>
              </w:rPr>
              <w:t>9</w:t>
            </w:r>
            <w:r>
              <w:rPr>
                <w:color w:val="auto"/>
                <w:highlight w:val="none"/>
              </w:rPr>
              <w:t>%）</w:t>
            </w:r>
          </w:p>
        </w:tc>
        <w:tc>
          <w:tcPr>
            <w:tcW w:w="369" w:type="pct"/>
            <w:tcBorders>
              <w:tl2br w:val="nil"/>
              <w:tr2bl w:val="nil"/>
            </w:tcBorders>
            <w:vAlign w:val="center"/>
          </w:tcPr>
          <w:p w14:paraId="0B24CE42">
            <w:pPr>
              <w:pStyle w:val="41"/>
              <w:rPr>
                <w:color w:val="auto"/>
                <w:highlight w:val="none"/>
              </w:rPr>
            </w:pPr>
            <w:r>
              <w:rPr>
                <w:rFonts w:hint="eastAsia"/>
                <w:color w:val="auto"/>
                <w:highlight w:val="none"/>
              </w:rPr>
              <w:t>0.0707</w:t>
            </w:r>
          </w:p>
        </w:tc>
        <w:tc>
          <w:tcPr>
            <w:tcW w:w="502" w:type="pct"/>
            <w:tcBorders>
              <w:tl2br w:val="nil"/>
              <w:tr2bl w:val="nil"/>
            </w:tcBorders>
            <w:vAlign w:val="center"/>
          </w:tcPr>
          <w:p w14:paraId="1E096211">
            <w:pPr>
              <w:pStyle w:val="41"/>
              <w:rPr>
                <w:color w:val="auto"/>
                <w:highlight w:val="none"/>
              </w:rPr>
            </w:pPr>
            <w:r>
              <w:rPr>
                <w:color w:val="auto"/>
                <w:highlight w:val="none"/>
              </w:rPr>
              <w:t>0.0098</w:t>
            </w:r>
          </w:p>
        </w:tc>
        <w:tc>
          <w:tcPr>
            <w:tcW w:w="355" w:type="pct"/>
            <w:tcBorders>
              <w:tl2br w:val="nil"/>
              <w:tr2bl w:val="nil"/>
            </w:tcBorders>
            <w:vAlign w:val="center"/>
          </w:tcPr>
          <w:p w14:paraId="6903E078">
            <w:pPr>
              <w:pStyle w:val="41"/>
              <w:rPr>
                <w:color w:val="auto"/>
                <w:highlight w:val="none"/>
              </w:rPr>
            </w:pPr>
            <w:r>
              <w:rPr>
                <w:rFonts w:hint="eastAsia"/>
                <w:color w:val="auto"/>
                <w:highlight w:val="none"/>
              </w:rPr>
              <w:t>1.10</w:t>
            </w:r>
          </w:p>
        </w:tc>
        <w:tc>
          <w:tcPr>
            <w:tcW w:w="435" w:type="pct"/>
            <w:vMerge w:val="restart"/>
            <w:tcBorders>
              <w:tl2br w:val="nil"/>
              <w:tr2bl w:val="nil"/>
            </w:tcBorders>
            <w:vAlign w:val="center"/>
          </w:tcPr>
          <w:p w14:paraId="54C74192">
            <w:pPr>
              <w:pStyle w:val="41"/>
              <w:rPr>
                <w:rFonts w:hint="eastAsia" w:eastAsia="华文中宋"/>
                <w:color w:val="auto"/>
                <w:highlight w:val="none"/>
                <w:lang w:eastAsia="zh-CN"/>
              </w:rPr>
            </w:pPr>
            <w:r>
              <w:rPr>
                <w:color w:val="auto"/>
                <w:highlight w:val="none"/>
              </w:rPr>
              <w:t>20mg/</w:t>
            </w:r>
            <w:r>
              <w:rPr>
                <w:rFonts w:hint="eastAsia"/>
                <w:color w:val="auto"/>
                <w:highlight w:val="none"/>
                <w:lang w:val="en-US" w:eastAsia="zh-CN"/>
              </w:rPr>
              <w:t>m³</w:t>
            </w:r>
          </w:p>
        </w:tc>
        <w:tc>
          <w:tcPr>
            <w:tcW w:w="903" w:type="pct"/>
            <w:vMerge w:val="restart"/>
            <w:tcBorders>
              <w:tl2br w:val="nil"/>
              <w:tr2bl w:val="nil"/>
            </w:tcBorders>
            <w:vAlign w:val="center"/>
          </w:tcPr>
          <w:p w14:paraId="7B2B600B">
            <w:pPr>
              <w:pStyle w:val="41"/>
              <w:rPr>
                <w:color w:val="auto"/>
                <w:highlight w:val="none"/>
              </w:rPr>
            </w:pPr>
            <w:r>
              <w:rPr>
                <w:color w:val="auto"/>
                <w:highlight w:val="none"/>
              </w:rPr>
              <w:t>《铁矿采选工业污染物排放标准》（GB28661-2012）</w:t>
            </w:r>
          </w:p>
        </w:tc>
      </w:tr>
      <w:tr w14:paraId="09234C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7497BFB0">
            <w:pPr>
              <w:pStyle w:val="41"/>
              <w:rPr>
                <w:color w:val="auto"/>
                <w:highlight w:val="none"/>
              </w:rPr>
            </w:pPr>
          </w:p>
        </w:tc>
        <w:tc>
          <w:tcPr>
            <w:tcW w:w="664" w:type="pct"/>
            <w:tcBorders>
              <w:tl2br w:val="nil"/>
              <w:tr2bl w:val="nil"/>
            </w:tcBorders>
            <w:vAlign w:val="center"/>
          </w:tcPr>
          <w:p w14:paraId="7CA1C0F7">
            <w:pPr>
              <w:pStyle w:val="41"/>
              <w:rPr>
                <w:color w:val="auto"/>
                <w:highlight w:val="none"/>
              </w:rPr>
            </w:pPr>
            <w:r>
              <w:rPr>
                <w:rFonts w:hint="eastAsia"/>
                <w:color w:val="auto"/>
                <w:highlight w:val="none"/>
              </w:rPr>
              <w:t>粗中碎车间</w:t>
            </w:r>
          </w:p>
        </w:tc>
        <w:tc>
          <w:tcPr>
            <w:tcW w:w="462" w:type="pct"/>
            <w:tcBorders>
              <w:tl2br w:val="nil"/>
              <w:tr2bl w:val="nil"/>
            </w:tcBorders>
            <w:vAlign w:val="center"/>
          </w:tcPr>
          <w:p w14:paraId="6474B1A6">
            <w:pPr>
              <w:pStyle w:val="41"/>
              <w:rPr>
                <w:color w:val="auto"/>
                <w:highlight w:val="none"/>
              </w:rPr>
            </w:pPr>
            <w:r>
              <w:rPr>
                <w:color w:val="auto"/>
                <w:highlight w:val="none"/>
              </w:rPr>
              <w:t>颗粒物</w:t>
            </w:r>
          </w:p>
        </w:tc>
        <w:tc>
          <w:tcPr>
            <w:tcW w:w="300" w:type="pct"/>
            <w:tcBorders>
              <w:tl2br w:val="nil"/>
              <w:tr2bl w:val="nil"/>
            </w:tcBorders>
            <w:vAlign w:val="center"/>
          </w:tcPr>
          <w:p w14:paraId="6BD01920">
            <w:pPr>
              <w:pStyle w:val="41"/>
              <w:rPr>
                <w:color w:val="auto"/>
                <w:highlight w:val="none"/>
              </w:rPr>
            </w:pPr>
            <w:r>
              <w:rPr>
                <w:color w:val="auto"/>
                <w:highlight w:val="none"/>
              </w:rPr>
              <w:t>有组织</w:t>
            </w:r>
          </w:p>
        </w:tc>
        <w:tc>
          <w:tcPr>
            <w:tcW w:w="852" w:type="pct"/>
            <w:tcBorders>
              <w:tl2br w:val="nil"/>
              <w:tr2bl w:val="nil"/>
            </w:tcBorders>
            <w:vAlign w:val="center"/>
          </w:tcPr>
          <w:p w14:paraId="2960C914">
            <w:pPr>
              <w:pStyle w:val="41"/>
              <w:rPr>
                <w:color w:val="auto"/>
                <w:highlight w:val="none"/>
              </w:rPr>
            </w:pPr>
            <w:r>
              <w:rPr>
                <w:color w:val="auto"/>
                <w:highlight w:val="none"/>
              </w:rPr>
              <w:t>布袋除尘器</w:t>
            </w:r>
          </w:p>
          <w:p w14:paraId="010EBFD6">
            <w:pPr>
              <w:pStyle w:val="41"/>
              <w:rPr>
                <w:color w:val="auto"/>
                <w:highlight w:val="none"/>
              </w:rPr>
            </w:pPr>
            <w:r>
              <w:rPr>
                <w:color w:val="auto"/>
                <w:highlight w:val="none"/>
              </w:rPr>
              <w:t>（去除效率</w:t>
            </w:r>
            <w:r>
              <w:rPr>
                <w:rFonts w:hint="eastAsia"/>
                <w:color w:val="auto"/>
                <w:highlight w:val="none"/>
              </w:rPr>
              <w:t>99.8</w:t>
            </w:r>
            <w:r>
              <w:rPr>
                <w:color w:val="auto"/>
                <w:highlight w:val="none"/>
              </w:rPr>
              <w:t>%）</w:t>
            </w:r>
          </w:p>
        </w:tc>
        <w:tc>
          <w:tcPr>
            <w:tcW w:w="369" w:type="pct"/>
            <w:tcBorders>
              <w:tl2br w:val="nil"/>
              <w:tr2bl w:val="nil"/>
            </w:tcBorders>
            <w:vAlign w:val="center"/>
          </w:tcPr>
          <w:p w14:paraId="2DE237BB">
            <w:pPr>
              <w:pStyle w:val="41"/>
              <w:rPr>
                <w:color w:val="auto"/>
                <w:highlight w:val="none"/>
              </w:rPr>
            </w:pPr>
            <w:r>
              <w:rPr>
                <w:rFonts w:hint="eastAsia"/>
                <w:color w:val="auto"/>
                <w:highlight w:val="none"/>
              </w:rPr>
              <w:t>0.0707</w:t>
            </w:r>
          </w:p>
        </w:tc>
        <w:tc>
          <w:tcPr>
            <w:tcW w:w="502" w:type="pct"/>
            <w:tcBorders>
              <w:tl2br w:val="nil"/>
              <w:tr2bl w:val="nil"/>
            </w:tcBorders>
            <w:vAlign w:val="center"/>
          </w:tcPr>
          <w:p w14:paraId="5A80C33F">
            <w:pPr>
              <w:pStyle w:val="41"/>
              <w:rPr>
                <w:color w:val="auto"/>
                <w:highlight w:val="none"/>
              </w:rPr>
            </w:pPr>
            <w:r>
              <w:rPr>
                <w:color w:val="auto"/>
                <w:highlight w:val="none"/>
              </w:rPr>
              <w:t>0.0098</w:t>
            </w:r>
          </w:p>
        </w:tc>
        <w:tc>
          <w:tcPr>
            <w:tcW w:w="355" w:type="pct"/>
            <w:tcBorders>
              <w:tl2br w:val="nil"/>
              <w:tr2bl w:val="nil"/>
            </w:tcBorders>
            <w:vAlign w:val="center"/>
          </w:tcPr>
          <w:p w14:paraId="18CF23B7">
            <w:pPr>
              <w:pStyle w:val="41"/>
              <w:rPr>
                <w:color w:val="auto"/>
                <w:highlight w:val="none"/>
              </w:rPr>
            </w:pPr>
            <w:r>
              <w:rPr>
                <w:rFonts w:hint="eastAsia"/>
                <w:color w:val="auto"/>
                <w:highlight w:val="none"/>
              </w:rPr>
              <w:t>1.10</w:t>
            </w:r>
          </w:p>
        </w:tc>
        <w:tc>
          <w:tcPr>
            <w:tcW w:w="435" w:type="pct"/>
            <w:vMerge w:val="continue"/>
            <w:tcBorders>
              <w:tl2br w:val="nil"/>
              <w:tr2bl w:val="nil"/>
            </w:tcBorders>
            <w:vAlign w:val="center"/>
          </w:tcPr>
          <w:p w14:paraId="5D99DAC7">
            <w:pPr>
              <w:pStyle w:val="41"/>
              <w:rPr>
                <w:color w:val="auto"/>
                <w:highlight w:val="none"/>
              </w:rPr>
            </w:pPr>
          </w:p>
        </w:tc>
        <w:tc>
          <w:tcPr>
            <w:tcW w:w="903" w:type="pct"/>
            <w:vMerge w:val="continue"/>
            <w:tcBorders>
              <w:tl2br w:val="nil"/>
              <w:tr2bl w:val="nil"/>
            </w:tcBorders>
            <w:vAlign w:val="center"/>
          </w:tcPr>
          <w:p w14:paraId="726AE014">
            <w:pPr>
              <w:pStyle w:val="41"/>
              <w:rPr>
                <w:color w:val="auto"/>
                <w:highlight w:val="none"/>
              </w:rPr>
            </w:pPr>
          </w:p>
        </w:tc>
      </w:tr>
      <w:tr w14:paraId="777860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2A40D0BA">
            <w:pPr>
              <w:pStyle w:val="41"/>
              <w:rPr>
                <w:color w:val="auto"/>
                <w:highlight w:val="none"/>
              </w:rPr>
            </w:pPr>
          </w:p>
        </w:tc>
        <w:tc>
          <w:tcPr>
            <w:tcW w:w="664" w:type="pct"/>
            <w:tcBorders>
              <w:tl2br w:val="nil"/>
              <w:tr2bl w:val="nil"/>
            </w:tcBorders>
            <w:vAlign w:val="center"/>
          </w:tcPr>
          <w:p w14:paraId="1394478A">
            <w:pPr>
              <w:pStyle w:val="41"/>
              <w:rPr>
                <w:color w:val="auto"/>
                <w:highlight w:val="none"/>
              </w:rPr>
            </w:pPr>
            <w:r>
              <w:rPr>
                <w:rFonts w:hint="eastAsia"/>
                <w:color w:val="auto"/>
                <w:highlight w:val="none"/>
              </w:rPr>
              <w:t>细</w:t>
            </w:r>
            <w:r>
              <w:rPr>
                <w:color w:val="auto"/>
                <w:highlight w:val="none"/>
              </w:rPr>
              <w:t>碎车间</w:t>
            </w:r>
          </w:p>
        </w:tc>
        <w:tc>
          <w:tcPr>
            <w:tcW w:w="462" w:type="pct"/>
            <w:tcBorders>
              <w:tl2br w:val="nil"/>
              <w:tr2bl w:val="nil"/>
            </w:tcBorders>
            <w:vAlign w:val="center"/>
          </w:tcPr>
          <w:p w14:paraId="3A89360D">
            <w:pPr>
              <w:pStyle w:val="41"/>
              <w:rPr>
                <w:color w:val="auto"/>
                <w:highlight w:val="none"/>
              </w:rPr>
            </w:pPr>
            <w:r>
              <w:rPr>
                <w:color w:val="auto"/>
                <w:highlight w:val="none"/>
              </w:rPr>
              <w:t>颗粒物</w:t>
            </w:r>
          </w:p>
        </w:tc>
        <w:tc>
          <w:tcPr>
            <w:tcW w:w="300" w:type="pct"/>
            <w:tcBorders>
              <w:tl2br w:val="nil"/>
              <w:tr2bl w:val="nil"/>
            </w:tcBorders>
            <w:vAlign w:val="center"/>
          </w:tcPr>
          <w:p w14:paraId="3CEB5E0D">
            <w:pPr>
              <w:pStyle w:val="41"/>
              <w:rPr>
                <w:color w:val="auto"/>
                <w:highlight w:val="none"/>
              </w:rPr>
            </w:pPr>
            <w:r>
              <w:rPr>
                <w:color w:val="auto"/>
                <w:highlight w:val="none"/>
              </w:rPr>
              <w:t>有组织</w:t>
            </w:r>
          </w:p>
        </w:tc>
        <w:tc>
          <w:tcPr>
            <w:tcW w:w="852" w:type="pct"/>
            <w:tcBorders>
              <w:tl2br w:val="nil"/>
              <w:tr2bl w:val="nil"/>
            </w:tcBorders>
            <w:vAlign w:val="center"/>
          </w:tcPr>
          <w:p w14:paraId="2C83DD95">
            <w:pPr>
              <w:pStyle w:val="41"/>
              <w:rPr>
                <w:color w:val="auto"/>
                <w:highlight w:val="none"/>
              </w:rPr>
            </w:pPr>
            <w:r>
              <w:rPr>
                <w:color w:val="auto"/>
                <w:highlight w:val="none"/>
              </w:rPr>
              <w:t>布袋除尘器</w:t>
            </w:r>
          </w:p>
          <w:p w14:paraId="59D87432">
            <w:pPr>
              <w:pStyle w:val="41"/>
              <w:rPr>
                <w:color w:val="auto"/>
                <w:highlight w:val="none"/>
              </w:rPr>
            </w:pPr>
            <w:r>
              <w:rPr>
                <w:color w:val="auto"/>
                <w:highlight w:val="none"/>
              </w:rPr>
              <w:t>（去除效率</w:t>
            </w:r>
            <w:r>
              <w:rPr>
                <w:rFonts w:hint="eastAsia"/>
                <w:color w:val="auto"/>
                <w:highlight w:val="none"/>
              </w:rPr>
              <w:t>99.8</w:t>
            </w:r>
            <w:r>
              <w:rPr>
                <w:color w:val="auto"/>
                <w:highlight w:val="none"/>
              </w:rPr>
              <w:t>%）</w:t>
            </w:r>
          </w:p>
        </w:tc>
        <w:tc>
          <w:tcPr>
            <w:tcW w:w="369" w:type="pct"/>
            <w:tcBorders>
              <w:tl2br w:val="nil"/>
              <w:tr2bl w:val="nil"/>
            </w:tcBorders>
            <w:vAlign w:val="center"/>
          </w:tcPr>
          <w:p w14:paraId="5FEE7E8D">
            <w:pPr>
              <w:pStyle w:val="41"/>
              <w:rPr>
                <w:color w:val="auto"/>
                <w:highlight w:val="none"/>
              </w:rPr>
            </w:pPr>
            <w:r>
              <w:rPr>
                <w:rFonts w:hint="eastAsia"/>
                <w:color w:val="auto"/>
                <w:highlight w:val="none"/>
              </w:rPr>
              <w:t>0.0707</w:t>
            </w:r>
          </w:p>
        </w:tc>
        <w:tc>
          <w:tcPr>
            <w:tcW w:w="502" w:type="pct"/>
            <w:tcBorders>
              <w:tl2br w:val="nil"/>
              <w:tr2bl w:val="nil"/>
            </w:tcBorders>
            <w:vAlign w:val="center"/>
          </w:tcPr>
          <w:p w14:paraId="5B79BFA3">
            <w:pPr>
              <w:pStyle w:val="41"/>
              <w:rPr>
                <w:color w:val="auto"/>
                <w:highlight w:val="none"/>
              </w:rPr>
            </w:pPr>
            <w:r>
              <w:rPr>
                <w:color w:val="auto"/>
                <w:highlight w:val="none"/>
              </w:rPr>
              <w:t>0.0098</w:t>
            </w:r>
          </w:p>
        </w:tc>
        <w:tc>
          <w:tcPr>
            <w:tcW w:w="355" w:type="pct"/>
            <w:tcBorders>
              <w:tl2br w:val="nil"/>
              <w:tr2bl w:val="nil"/>
            </w:tcBorders>
            <w:vAlign w:val="center"/>
          </w:tcPr>
          <w:p w14:paraId="68B9B6F0">
            <w:pPr>
              <w:pStyle w:val="41"/>
              <w:rPr>
                <w:color w:val="auto"/>
                <w:highlight w:val="none"/>
              </w:rPr>
            </w:pPr>
            <w:r>
              <w:rPr>
                <w:rFonts w:hint="eastAsia"/>
                <w:color w:val="auto"/>
                <w:highlight w:val="none"/>
              </w:rPr>
              <w:t>1.10</w:t>
            </w:r>
          </w:p>
        </w:tc>
        <w:tc>
          <w:tcPr>
            <w:tcW w:w="435" w:type="pct"/>
            <w:vMerge w:val="continue"/>
            <w:tcBorders>
              <w:tl2br w:val="nil"/>
              <w:tr2bl w:val="nil"/>
            </w:tcBorders>
            <w:vAlign w:val="center"/>
          </w:tcPr>
          <w:p w14:paraId="37AC1684">
            <w:pPr>
              <w:pStyle w:val="41"/>
              <w:rPr>
                <w:color w:val="auto"/>
                <w:highlight w:val="none"/>
              </w:rPr>
            </w:pPr>
          </w:p>
        </w:tc>
        <w:tc>
          <w:tcPr>
            <w:tcW w:w="903" w:type="pct"/>
            <w:vMerge w:val="continue"/>
            <w:tcBorders>
              <w:tl2br w:val="nil"/>
              <w:tr2bl w:val="nil"/>
            </w:tcBorders>
            <w:vAlign w:val="center"/>
          </w:tcPr>
          <w:p w14:paraId="5FE88D0F">
            <w:pPr>
              <w:pStyle w:val="41"/>
              <w:rPr>
                <w:color w:val="auto"/>
                <w:highlight w:val="none"/>
              </w:rPr>
            </w:pPr>
          </w:p>
        </w:tc>
      </w:tr>
      <w:tr w14:paraId="579E4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60247998">
            <w:pPr>
              <w:pStyle w:val="41"/>
              <w:rPr>
                <w:color w:val="auto"/>
                <w:highlight w:val="none"/>
              </w:rPr>
            </w:pPr>
          </w:p>
        </w:tc>
        <w:tc>
          <w:tcPr>
            <w:tcW w:w="664" w:type="pct"/>
            <w:tcBorders>
              <w:tl2br w:val="nil"/>
              <w:tr2bl w:val="nil"/>
            </w:tcBorders>
            <w:vAlign w:val="center"/>
          </w:tcPr>
          <w:p w14:paraId="72599FF2">
            <w:pPr>
              <w:pStyle w:val="41"/>
              <w:rPr>
                <w:color w:val="auto"/>
                <w:highlight w:val="none"/>
              </w:rPr>
            </w:pPr>
            <w:r>
              <w:rPr>
                <w:rFonts w:hint="eastAsia"/>
                <w:color w:val="auto"/>
                <w:highlight w:val="none"/>
              </w:rPr>
              <w:t>1号振动</w:t>
            </w:r>
            <w:r>
              <w:rPr>
                <w:rFonts w:hint="eastAsia"/>
                <w:color w:val="auto"/>
                <w:highlight w:val="none"/>
                <w:lang w:eastAsia="zh-CN"/>
              </w:rPr>
              <w:t>筛分</w:t>
            </w:r>
            <w:r>
              <w:rPr>
                <w:rFonts w:hint="eastAsia"/>
                <w:color w:val="auto"/>
                <w:highlight w:val="none"/>
              </w:rPr>
              <w:t>车间</w:t>
            </w:r>
          </w:p>
        </w:tc>
        <w:tc>
          <w:tcPr>
            <w:tcW w:w="462" w:type="pct"/>
            <w:tcBorders>
              <w:tl2br w:val="nil"/>
              <w:tr2bl w:val="nil"/>
            </w:tcBorders>
            <w:vAlign w:val="center"/>
          </w:tcPr>
          <w:p w14:paraId="7359FE0C">
            <w:pPr>
              <w:pStyle w:val="41"/>
              <w:rPr>
                <w:color w:val="auto"/>
                <w:highlight w:val="none"/>
              </w:rPr>
            </w:pPr>
            <w:r>
              <w:rPr>
                <w:color w:val="auto"/>
                <w:highlight w:val="none"/>
              </w:rPr>
              <w:t>颗粒物</w:t>
            </w:r>
          </w:p>
        </w:tc>
        <w:tc>
          <w:tcPr>
            <w:tcW w:w="300" w:type="pct"/>
            <w:tcBorders>
              <w:tl2br w:val="nil"/>
              <w:tr2bl w:val="nil"/>
            </w:tcBorders>
            <w:vAlign w:val="center"/>
          </w:tcPr>
          <w:p w14:paraId="5E740B5E">
            <w:pPr>
              <w:pStyle w:val="41"/>
              <w:rPr>
                <w:color w:val="auto"/>
                <w:highlight w:val="none"/>
              </w:rPr>
            </w:pPr>
            <w:r>
              <w:rPr>
                <w:color w:val="auto"/>
                <w:highlight w:val="none"/>
              </w:rPr>
              <w:t>有组织</w:t>
            </w:r>
          </w:p>
        </w:tc>
        <w:tc>
          <w:tcPr>
            <w:tcW w:w="852" w:type="pct"/>
            <w:tcBorders>
              <w:tl2br w:val="nil"/>
              <w:tr2bl w:val="nil"/>
            </w:tcBorders>
            <w:vAlign w:val="center"/>
          </w:tcPr>
          <w:p w14:paraId="24E4FC7A">
            <w:pPr>
              <w:pStyle w:val="41"/>
              <w:rPr>
                <w:color w:val="auto"/>
                <w:highlight w:val="none"/>
              </w:rPr>
            </w:pPr>
            <w:r>
              <w:rPr>
                <w:color w:val="auto"/>
                <w:highlight w:val="none"/>
              </w:rPr>
              <w:t>布袋除尘器</w:t>
            </w:r>
          </w:p>
          <w:p w14:paraId="7FB69A4D">
            <w:pPr>
              <w:pStyle w:val="41"/>
              <w:rPr>
                <w:color w:val="auto"/>
                <w:highlight w:val="none"/>
              </w:rPr>
            </w:pPr>
            <w:r>
              <w:rPr>
                <w:color w:val="auto"/>
                <w:highlight w:val="none"/>
              </w:rPr>
              <w:t>（去除效率</w:t>
            </w:r>
            <w:r>
              <w:rPr>
                <w:rFonts w:hint="eastAsia"/>
                <w:color w:val="auto"/>
                <w:highlight w:val="none"/>
              </w:rPr>
              <w:t>99.8</w:t>
            </w:r>
            <w:r>
              <w:rPr>
                <w:color w:val="auto"/>
                <w:highlight w:val="none"/>
              </w:rPr>
              <w:t>%）</w:t>
            </w:r>
          </w:p>
        </w:tc>
        <w:tc>
          <w:tcPr>
            <w:tcW w:w="369" w:type="pct"/>
            <w:tcBorders>
              <w:tl2br w:val="nil"/>
              <w:tr2bl w:val="nil"/>
            </w:tcBorders>
            <w:vAlign w:val="center"/>
          </w:tcPr>
          <w:p w14:paraId="1B4A6ED7">
            <w:pPr>
              <w:pStyle w:val="41"/>
              <w:rPr>
                <w:color w:val="auto"/>
                <w:highlight w:val="none"/>
              </w:rPr>
            </w:pPr>
            <w:r>
              <w:rPr>
                <w:rFonts w:hint="eastAsia"/>
                <w:color w:val="auto"/>
                <w:highlight w:val="none"/>
              </w:rPr>
              <w:t>0.0707</w:t>
            </w:r>
          </w:p>
        </w:tc>
        <w:tc>
          <w:tcPr>
            <w:tcW w:w="502" w:type="pct"/>
            <w:tcBorders>
              <w:tl2br w:val="nil"/>
              <w:tr2bl w:val="nil"/>
            </w:tcBorders>
            <w:vAlign w:val="center"/>
          </w:tcPr>
          <w:p w14:paraId="118AF31E">
            <w:pPr>
              <w:pStyle w:val="41"/>
              <w:rPr>
                <w:color w:val="auto"/>
                <w:highlight w:val="none"/>
              </w:rPr>
            </w:pPr>
            <w:r>
              <w:rPr>
                <w:color w:val="auto"/>
                <w:highlight w:val="none"/>
              </w:rPr>
              <w:t>0.0098</w:t>
            </w:r>
          </w:p>
        </w:tc>
        <w:tc>
          <w:tcPr>
            <w:tcW w:w="355" w:type="pct"/>
            <w:tcBorders>
              <w:tl2br w:val="nil"/>
              <w:tr2bl w:val="nil"/>
            </w:tcBorders>
            <w:vAlign w:val="center"/>
          </w:tcPr>
          <w:p w14:paraId="1A9D848B">
            <w:pPr>
              <w:pStyle w:val="41"/>
              <w:rPr>
                <w:color w:val="auto"/>
                <w:highlight w:val="none"/>
              </w:rPr>
            </w:pPr>
            <w:r>
              <w:rPr>
                <w:rFonts w:hint="eastAsia"/>
                <w:color w:val="auto"/>
                <w:highlight w:val="none"/>
              </w:rPr>
              <w:t>1.10</w:t>
            </w:r>
          </w:p>
        </w:tc>
        <w:tc>
          <w:tcPr>
            <w:tcW w:w="435" w:type="pct"/>
            <w:vMerge w:val="continue"/>
            <w:tcBorders>
              <w:tl2br w:val="nil"/>
              <w:tr2bl w:val="nil"/>
            </w:tcBorders>
            <w:vAlign w:val="center"/>
          </w:tcPr>
          <w:p w14:paraId="27F27647">
            <w:pPr>
              <w:pStyle w:val="41"/>
              <w:rPr>
                <w:color w:val="auto"/>
                <w:highlight w:val="none"/>
              </w:rPr>
            </w:pPr>
          </w:p>
        </w:tc>
        <w:tc>
          <w:tcPr>
            <w:tcW w:w="903" w:type="pct"/>
            <w:vMerge w:val="continue"/>
            <w:tcBorders>
              <w:tl2br w:val="nil"/>
              <w:tr2bl w:val="nil"/>
            </w:tcBorders>
            <w:vAlign w:val="center"/>
          </w:tcPr>
          <w:p w14:paraId="1BB05AF6">
            <w:pPr>
              <w:pStyle w:val="41"/>
              <w:rPr>
                <w:color w:val="auto"/>
                <w:highlight w:val="none"/>
              </w:rPr>
            </w:pPr>
          </w:p>
        </w:tc>
      </w:tr>
      <w:tr w14:paraId="0A9308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6E57600D">
            <w:pPr>
              <w:pStyle w:val="41"/>
              <w:rPr>
                <w:color w:val="auto"/>
                <w:highlight w:val="none"/>
              </w:rPr>
            </w:pPr>
          </w:p>
        </w:tc>
        <w:tc>
          <w:tcPr>
            <w:tcW w:w="664" w:type="pct"/>
            <w:tcBorders>
              <w:tl2br w:val="nil"/>
              <w:tr2bl w:val="nil"/>
            </w:tcBorders>
            <w:vAlign w:val="center"/>
          </w:tcPr>
          <w:p w14:paraId="290CC3F1">
            <w:pPr>
              <w:pStyle w:val="41"/>
              <w:rPr>
                <w:color w:val="auto"/>
                <w:highlight w:val="none"/>
              </w:rPr>
            </w:pPr>
            <w:r>
              <w:rPr>
                <w:rFonts w:hint="eastAsia"/>
                <w:color w:val="auto"/>
                <w:highlight w:val="none"/>
              </w:rPr>
              <w:t>2号振动</w:t>
            </w:r>
            <w:r>
              <w:rPr>
                <w:rFonts w:hint="eastAsia"/>
                <w:color w:val="auto"/>
                <w:highlight w:val="none"/>
                <w:lang w:eastAsia="zh-CN"/>
              </w:rPr>
              <w:t>筛分</w:t>
            </w:r>
            <w:r>
              <w:rPr>
                <w:rFonts w:hint="eastAsia"/>
                <w:color w:val="auto"/>
                <w:highlight w:val="none"/>
              </w:rPr>
              <w:t>车间</w:t>
            </w:r>
          </w:p>
        </w:tc>
        <w:tc>
          <w:tcPr>
            <w:tcW w:w="462" w:type="pct"/>
            <w:tcBorders>
              <w:tl2br w:val="nil"/>
              <w:tr2bl w:val="nil"/>
            </w:tcBorders>
            <w:vAlign w:val="center"/>
          </w:tcPr>
          <w:p w14:paraId="69C5B9B5">
            <w:pPr>
              <w:pStyle w:val="41"/>
              <w:rPr>
                <w:color w:val="auto"/>
                <w:highlight w:val="none"/>
              </w:rPr>
            </w:pPr>
            <w:r>
              <w:rPr>
                <w:color w:val="auto"/>
                <w:highlight w:val="none"/>
              </w:rPr>
              <w:t>颗粒物</w:t>
            </w:r>
          </w:p>
        </w:tc>
        <w:tc>
          <w:tcPr>
            <w:tcW w:w="300" w:type="pct"/>
            <w:tcBorders>
              <w:tl2br w:val="nil"/>
              <w:tr2bl w:val="nil"/>
            </w:tcBorders>
            <w:vAlign w:val="center"/>
          </w:tcPr>
          <w:p w14:paraId="617247B1">
            <w:pPr>
              <w:pStyle w:val="41"/>
              <w:rPr>
                <w:color w:val="auto"/>
                <w:highlight w:val="none"/>
              </w:rPr>
            </w:pPr>
            <w:r>
              <w:rPr>
                <w:color w:val="auto"/>
                <w:highlight w:val="none"/>
              </w:rPr>
              <w:t>有组织</w:t>
            </w:r>
          </w:p>
        </w:tc>
        <w:tc>
          <w:tcPr>
            <w:tcW w:w="852" w:type="pct"/>
            <w:tcBorders>
              <w:tl2br w:val="nil"/>
              <w:tr2bl w:val="nil"/>
            </w:tcBorders>
            <w:vAlign w:val="center"/>
          </w:tcPr>
          <w:p w14:paraId="78354390">
            <w:pPr>
              <w:pStyle w:val="41"/>
              <w:rPr>
                <w:color w:val="auto"/>
                <w:highlight w:val="none"/>
              </w:rPr>
            </w:pPr>
            <w:r>
              <w:rPr>
                <w:color w:val="auto"/>
                <w:highlight w:val="none"/>
              </w:rPr>
              <w:t>布袋除尘器</w:t>
            </w:r>
          </w:p>
          <w:p w14:paraId="2E6DEB97">
            <w:pPr>
              <w:pStyle w:val="41"/>
              <w:rPr>
                <w:color w:val="auto"/>
                <w:highlight w:val="none"/>
              </w:rPr>
            </w:pPr>
            <w:r>
              <w:rPr>
                <w:color w:val="auto"/>
                <w:highlight w:val="none"/>
              </w:rPr>
              <w:t>（去除效率</w:t>
            </w:r>
            <w:r>
              <w:rPr>
                <w:rFonts w:hint="eastAsia"/>
                <w:color w:val="auto"/>
                <w:highlight w:val="none"/>
              </w:rPr>
              <w:t>99.8</w:t>
            </w:r>
            <w:r>
              <w:rPr>
                <w:color w:val="auto"/>
                <w:highlight w:val="none"/>
              </w:rPr>
              <w:t>%）</w:t>
            </w:r>
          </w:p>
        </w:tc>
        <w:tc>
          <w:tcPr>
            <w:tcW w:w="369" w:type="pct"/>
            <w:tcBorders>
              <w:tl2br w:val="nil"/>
              <w:tr2bl w:val="nil"/>
            </w:tcBorders>
            <w:vAlign w:val="center"/>
          </w:tcPr>
          <w:p w14:paraId="49F3D87F">
            <w:pPr>
              <w:pStyle w:val="41"/>
              <w:rPr>
                <w:color w:val="auto"/>
                <w:highlight w:val="none"/>
              </w:rPr>
            </w:pPr>
            <w:r>
              <w:rPr>
                <w:rFonts w:hint="eastAsia"/>
                <w:color w:val="auto"/>
                <w:highlight w:val="none"/>
              </w:rPr>
              <w:t>0.0707</w:t>
            </w:r>
          </w:p>
        </w:tc>
        <w:tc>
          <w:tcPr>
            <w:tcW w:w="502" w:type="pct"/>
            <w:tcBorders>
              <w:tl2br w:val="nil"/>
              <w:tr2bl w:val="nil"/>
            </w:tcBorders>
            <w:vAlign w:val="center"/>
          </w:tcPr>
          <w:p w14:paraId="2AC55568">
            <w:pPr>
              <w:pStyle w:val="41"/>
              <w:rPr>
                <w:color w:val="auto"/>
                <w:highlight w:val="none"/>
              </w:rPr>
            </w:pPr>
            <w:r>
              <w:rPr>
                <w:color w:val="auto"/>
                <w:highlight w:val="none"/>
              </w:rPr>
              <w:t>0.0098</w:t>
            </w:r>
          </w:p>
        </w:tc>
        <w:tc>
          <w:tcPr>
            <w:tcW w:w="355" w:type="pct"/>
            <w:tcBorders>
              <w:tl2br w:val="nil"/>
              <w:tr2bl w:val="nil"/>
            </w:tcBorders>
            <w:vAlign w:val="center"/>
          </w:tcPr>
          <w:p w14:paraId="6F6A4561">
            <w:pPr>
              <w:pStyle w:val="41"/>
              <w:rPr>
                <w:color w:val="auto"/>
                <w:highlight w:val="none"/>
              </w:rPr>
            </w:pPr>
            <w:r>
              <w:rPr>
                <w:rFonts w:hint="eastAsia"/>
                <w:color w:val="auto"/>
                <w:highlight w:val="none"/>
              </w:rPr>
              <w:t>1.10</w:t>
            </w:r>
          </w:p>
        </w:tc>
        <w:tc>
          <w:tcPr>
            <w:tcW w:w="435" w:type="pct"/>
            <w:vMerge w:val="continue"/>
            <w:tcBorders>
              <w:tl2br w:val="nil"/>
              <w:tr2bl w:val="nil"/>
            </w:tcBorders>
            <w:vAlign w:val="center"/>
          </w:tcPr>
          <w:p w14:paraId="5AF488D5">
            <w:pPr>
              <w:pStyle w:val="41"/>
              <w:rPr>
                <w:color w:val="auto"/>
                <w:highlight w:val="none"/>
              </w:rPr>
            </w:pPr>
          </w:p>
        </w:tc>
        <w:tc>
          <w:tcPr>
            <w:tcW w:w="903" w:type="pct"/>
            <w:vMerge w:val="continue"/>
            <w:tcBorders>
              <w:tl2br w:val="nil"/>
              <w:tr2bl w:val="nil"/>
            </w:tcBorders>
            <w:vAlign w:val="center"/>
          </w:tcPr>
          <w:p w14:paraId="7232311D">
            <w:pPr>
              <w:pStyle w:val="41"/>
              <w:rPr>
                <w:color w:val="auto"/>
                <w:highlight w:val="none"/>
              </w:rPr>
            </w:pPr>
          </w:p>
        </w:tc>
      </w:tr>
      <w:tr w14:paraId="70A7C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45B1E84F">
            <w:pPr>
              <w:pStyle w:val="41"/>
              <w:rPr>
                <w:color w:val="auto"/>
                <w:highlight w:val="none"/>
              </w:rPr>
            </w:pPr>
          </w:p>
        </w:tc>
        <w:tc>
          <w:tcPr>
            <w:tcW w:w="664" w:type="pct"/>
            <w:tcBorders>
              <w:tl2br w:val="nil"/>
              <w:tr2bl w:val="nil"/>
            </w:tcBorders>
            <w:vAlign w:val="center"/>
          </w:tcPr>
          <w:p w14:paraId="5529E7FA">
            <w:pPr>
              <w:pStyle w:val="41"/>
              <w:rPr>
                <w:color w:val="auto"/>
                <w:highlight w:val="none"/>
              </w:rPr>
            </w:pPr>
            <w:r>
              <w:rPr>
                <w:rFonts w:hint="eastAsia"/>
                <w:color w:val="auto"/>
                <w:highlight w:val="none"/>
              </w:rPr>
              <w:t>3号振动</w:t>
            </w:r>
            <w:r>
              <w:rPr>
                <w:rFonts w:hint="eastAsia"/>
                <w:color w:val="auto"/>
                <w:highlight w:val="none"/>
                <w:lang w:eastAsia="zh-CN"/>
              </w:rPr>
              <w:t>筛分</w:t>
            </w:r>
            <w:r>
              <w:rPr>
                <w:rFonts w:hint="eastAsia"/>
                <w:color w:val="auto"/>
                <w:highlight w:val="none"/>
              </w:rPr>
              <w:t>车间</w:t>
            </w:r>
          </w:p>
        </w:tc>
        <w:tc>
          <w:tcPr>
            <w:tcW w:w="462" w:type="pct"/>
            <w:tcBorders>
              <w:tl2br w:val="nil"/>
              <w:tr2bl w:val="nil"/>
            </w:tcBorders>
            <w:vAlign w:val="center"/>
          </w:tcPr>
          <w:p w14:paraId="43B55463">
            <w:pPr>
              <w:pStyle w:val="41"/>
              <w:rPr>
                <w:color w:val="auto"/>
                <w:highlight w:val="none"/>
              </w:rPr>
            </w:pPr>
            <w:r>
              <w:rPr>
                <w:color w:val="auto"/>
                <w:highlight w:val="none"/>
              </w:rPr>
              <w:t>颗粒物</w:t>
            </w:r>
          </w:p>
        </w:tc>
        <w:tc>
          <w:tcPr>
            <w:tcW w:w="300" w:type="pct"/>
            <w:tcBorders>
              <w:tl2br w:val="nil"/>
              <w:tr2bl w:val="nil"/>
            </w:tcBorders>
            <w:vAlign w:val="center"/>
          </w:tcPr>
          <w:p w14:paraId="1E732964">
            <w:pPr>
              <w:pStyle w:val="41"/>
              <w:rPr>
                <w:color w:val="auto"/>
                <w:highlight w:val="none"/>
              </w:rPr>
            </w:pPr>
            <w:r>
              <w:rPr>
                <w:color w:val="auto"/>
                <w:highlight w:val="none"/>
              </w:rPr>
              <w:t>有组织</w:t>
            </w:r>
          </w:p>
        </w:tc>
        <w:tc>
          <w:tcPr>
            <w:tcW w:w="852" w:type="pct"/>
            <w:tcBorders>
              <w:tl2br w:val="nil"/>
              <w:tr2bl w:val="nil"/>
            </w:tcBorders>
            <w:vAlign w:val="center"/>
          </w:tcPr>
          <w:p w14:paraId="4307A97C">
            <w:pPr>
              <w:pStyle w:val="41"/>
              <w:rPr>
                <w:color w:val="auto"/>
                <w:highlight w:val="none"/>
              </w:rPr>
            </w:pPr>
            <w:r>
              <w:rPr>
                <w:color w:val="auto"/>
                <w:highlight w:val="none"/>
              </w:rPr>
              <w:t>布袋除尘器</w:t>
            </w:r>
          </w:p>
          <w:p w14:paraId="17FDD0D1">
            <w:pPr>
              <w:pStyle w:val="41"/>
              <w:rPr>
                <w:color w:val="auto"/>
                <w:highlight w:val="none"/>
              </w:rPr>
            </w:pPr>
            <w:r>
              <w:rPr>
                <w:color w:val="auto"/>
                <w:highlight w:val="none"/>
              </w:rPr>
              <w:t>（去除效率</w:t>
            </w:r>
            <w:r>
              <w:rPr>
                <w:rFonts w:hint="eastAsia"/>
                <w:color w:val="auto"/>
                <w:highlight w:val="none"/>
              </w:rPr>
              <w:t>99.8</w:t>
            </w:r>
            <w:r>
              <w:rPr>
                <w:color w:val="auto"/>
                <w:highlight w:val="none"/>
              </w:rPr>
              <w:t>%）</w:t>
            </w:r>
          </w:p>
        </w:tc>
        <w:tc>
          <w:tcPr>
            <w:tcW w:w="369" w:type="pct"/>
            <w:tcBorders>
              <w:tl2br w:val="nil"/>
              <w:tr2bl w:val="nil"/>
            </w:tcBorders>
            <w:vAlign w:val="center"/>
          </w:tcPr>
          <w:p w14:paraId="7F40A26F">
            <w:pPr>
              <w:pStyle w:val="41"/>
              <w:rPr>
                <w:color w:val="auto"/>
                <w:highlight w:val="none"/>
              </w:rPr>
            </w:pPr>
            <w:r>
              <w:rPr>
                <w:rFonts w:hint="eastAsia"/>
                <w:color w:val="auto"/>
                <w:highlight w:val="none"/>
              </w:rPr>
              <w:t>0.0707</w:t>
            </w:r>
          </w:p>
        </w:tc>
        <w:tc>
          <w:tcPr>
            <w:tcW w:w="502" w:type="pct"/>
            <w:tcBorders>
              <w:tl2br w:val="nil"/>
              <w:tr2bl w:val="nil"/>
            </w:tcBorders>
            <w:vAlign w:val="center"/>
          </w:tcPr>
          <w:p w14:paraId="6DA48B96">
            <w:pPr>
              <w:pStyle w:val="41"/>
              <w:rPr>
                <w:color w:val="auto"/>
                <w:highlight w:val="none"/>
              </w:rPr>
            </w:pPr>
            <w:r>
              <w:rPr>
                <w:color w:val="auto"/>
                <w:highlight w:val="none"/>
              </w:rPr>
              <w:t>0.0098</w:t>
            </w:r>
          </w:p>
        </w:tc>
        <w:tc>
          <w:tcPr>
            <w:tcW w:w="355" w:type="pct"/>
            <w:tcBorders>
              <w:tl2br w:val="nil"/>
              <w:tr2bl w:val="nil"/>
            </w:tcBorders>
            <w:vAlign w:val="center"/>
          </w:tcPr>
          <w:p w14:paraId="5C8BDEB8">
            <w:pPr>
              <w:pStyle w:val="41"/>
              <w:rPr>
                <w:color w:val="auto"/>
                <w:highlight w:val="none"/>
              </w:rPr>
            </w:pPr>
            <w:r>
              <w:rPr>
                <w:rFonts w:hint="eastAsia"/>
                <w:color w:val="auto"/>
                <w:highlight w:val="none"/>
              </w:rPr>
              <w:t>1.10</w:t>
            </w:r>
          </w:p>
        </w:tc>
        <w:tc>
          <w:tcPr>
            <w:tcW w:w="435" w:type="pct"/>
            <w:vMerge w:val="continue"/>
            <w:tcBorders>
              <w:tl2br w:val="nil"/>
              <w:tr2bl w:val="nil"/>
            </w:tcBorders>
            <w:vAlign w:val="center"/>
          </w:tcPr>
          <w:p w14:paraId="7CEC21F7">
            <w:pPr>
              <w:pStyle w:val="41"/>
              <w:rPr>
                <w:color w:val="auto"/>
                <w:highlight w:val="none"/>
              </w:rPr>
            </w:pPr>
          </w:p>
        </w:tc>
        <w:tc>
          <w:tcPr>
            <w:tcW w:w="903" w:type="pct"/>
            <w:vMerge w:val="continue"/>
            <w:tcBorders>
              <w:tl2br w:val="nil"/>
              <w:tr2bl w:val="nil"/>
            </w:tcBorders>
            <w:vAlign w:val="center"/>
          </w:tcPr>
          <w:p w14:paraId="09DFFADE">
            <w:pPr>
              <w:pStyle w:val="41"/>
              <w:rPr>
                <w:color w:val="auto"/>
                <w:highlight w:val="none"/>
              </w:rPr>
            </w:pPr>
          </w:p>
        </w:tc>
      </w:tr>
      <w:tr w14:paraId="3AFFCF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7074FA1F">
            <w:pPr>
              <w:pStyle w:val="41"/>
              <w:rPr>
                <w:color w:val="auto"/>
                <w:highlight w:val="none"/>
              </w:rPr>
            </w:pPr>
          </w:p>
        </w:tc>
        <w:tc>
          <w:tcPr>
            <w:tcW w:w="664" w:type="pct"/>
            <w:tcBorders>
              <w:tl2br w:val="nil"/>
              <w:tr2bl w:val="nil"/>
            </w:tcBorders>
            <w:vAlign w:val="center"/>
          </w:tcPr>
          <w:p w14:paraId="52AC6BC6">
            <w:pPr>
              <w:pStyle w:val="41"/>
              <w:rPr>
                <w:color w:val="auto"/>
                <w:highlight w:val="none"/>
              </w:rPr>
            </w:pPr>
            <w:r>
              <w:rPr>
                <w:rFonts w:hint="eastAsia"/>
                <w:color w:val="auto"/>
                <w:highlight w:val="none"/>
              </w:rPr>
              <w:t>干抛磁选车间</w:t>
            </w:r>
          </w:p>
        </w:tc>
        <w:tc>
          <w:tcPr>
            <w:tcW w:w="462" w:type="pct"/>
            <w:tcBorders>
              <w:tl2br w:val="nil"/>
              <w:tr2bl w:val="nil"/>
            </w:tcBorders>
            <w:vAlign w:val="center"/>
          </w:tcPr>
          <w:p w14:paraId="3BAF7627">
            <w:pPr>
              <w:pStyle w:val="41"/>
              <w:rPr>
                <w:color w:val="auto"/>
                <w:highlight w:val="none"/>
              </w:rPr>
            </w:pPr>
            <w:r>
              <w:rPr>
                <w:color w:val="auto"/>
                <w:highlight w:val="none"/>
              </w:rPr>
              <w:t>颗粒物</w:t>
            </w:r>
          </w:p>
        </w:tc>
        <w:tc>
          <w:tcPr>
            <w:tcW w:w="300" w:type="pct"/>
            <w:tcBorders>
              <w:tl2br w:val="nil"/>
              <w:tr2bl w:val="nil"/>
            </w:tcBorders>
            <w:vAlign w:val="center"/>
          </w:tcPr>
          <w:p w14:paraId="55548D3C">
            <w:pPr>
              <w:pStyle w:val="41"/>
              <w:rPr>
                <w:color w:val="auto"/>
                <w:highlight w:val="none"/>
              </w:rPr>
            </w:pPr>
            <w:r>
              <w:rPr>
                <w:color w:val="auto"/>
                <w:highlight w:val="none"/>
              </w:rPr>
              <w:t>有组织</w:t>
            </w:r>
          </w:p>
        </w:tc>
        <w:tc>
          <w:tcPr>
            <w:tcW w:w="852" w:type="pct"/>
            <w:tcBorders>
              <w:tl2br w:val="nil"/>
              <w:tr2bl w:val="nil"/>
            </w:tcBorders>
            <w:vAlign w:val="center"/>
          </w:tcPr>
          <w:p w14:paraId="27BB132F">
            <w:pPr>
              <w:pStyle w:val="41"/>
              <w:rPr>
                <w:color w:val="auto"/>
                <w:highlight w:val="none"/>
              </w:rPr>
            </w:pPr>
            <w:r>
              <w:rPr>
                <w:color w:val="auto"/>
                <w:highlight w:val="none"/>
              </w:rPr>
              <w:t>布袋除尘器</w:t>
            </w:r>
          </w:p>
          <w:p w14:paraId="4EDBCA7D">
            <w:pPr>
              <w:pStyle w:val="41"/>
              <w:rPr>
                <w:color w:val="auto"/>
                <w:highlight w:val="none"/>
              </w:rPr>
            </w:pPr>
            <w:r>
              <w:rPr>
                <w:color w:val="auto"/>
                <w:highlight w:val="none"/>
              </w:rPr>
              <w:t>（去除效率</w:t>
            </w:r>
            <w:r>
              <w:rPr>
                <w:rFonts w:hint="eastAsia"/>
                <w:color w:val="auto"/>
                <w:highlight w:val="none"/>
              </w:rPr>
              <w:t>99.8</w:t>
            </w:r>
            <w:r>
              <w:rPr>
                <w:color w:val="auto"/>
                <w:highlight w:val="none"/>
              </w:rPr>
              <w:t>%）</w:t>
            </w:r>
          </w:p>
        </w:tc>
        <w:tc>
          <w:tcPr>
            <w:tcW w:w="369" w:type="pct"/>
            <w:tcBorders>
              <w:tl2br w:val="nil"/>
              <w:tr2bl w:val="nil"/>
            </w:tcBorders>
            <w:vAlign w:val="center"/>
          </w:tcPr>
          <w:p w14:paraId="60F40423">
            <w:pPr>
              <w:pStyle w:val="41"/>
              <w:rPr>
                <w:color w:val="auto"/>
                <w:highlight w:val="none"/>
              </w:rPr>
            </w:pPr>
            <w:r>
              <w:rPr>
                <w:rFonts w:hint="eastAsia"/>
                <w:color w:val="auto"/>
                <w:highlight w:val="none"/>
              </w:rPr>
              <w:t>1.0987</w:t>
            </w:r>
          </w:p>
        </w:tc>
        <w:tc>
          <w:tcPr>
            <w:tcW w:w="502" w:type="pct"/>
            <w:tcBorders>
              <w:tl2br w:val="nil"/>
              <w:tr2bl w:val="nil"/>
            </w:tcBorders>
            <w:vAlign w:val="center"/>
          </w:tcPr>
          <w:p w14:paraId="0C4F8DAE">
            <w:pPr>
              <w:pStyle w:val="41"/>
              <w:rPr>
                <w:color w:val="auto"/>
                <w:highlight w:val="none"/>
              </w:rPr>
            </w:pPr>
            <w:r>
              <w:rPr>
                <w:rFonts w:hint="eastAsia"/>
                <w:color w:val="auto"/>
                <w:highlight w:val="none"/>
              </w:rPr>
              <w:t>0.1526</w:t>
            </w:r>
          </w:p>
        </w:tc>
        <w:tc>
          <w:tcPr>
            <w:tcW w:w="355" w:type="pct"/>
            <w:tcBorders>
              <w:tl2br w:val="nil"/>
              <w:tr2bl w:val="nil"/>
            </w:tcBorders>
            <w:vAlign w:val="center"/>
          </w:tcPr>
          <w:p w14:paraId="62FB1351">
            <w:pPr>
              <w:pStyle w:val="41"/>
              <w:rPr>
                <w:color w:val="auto"/>
                <w:highlight w:val="none"/>
              </w:rPr>
            </w:pPr>
            <w:r>
              <w:rPr>
                <w:rFonts w:hint="eastAsia"/>
                <w:color w:val="auto"/>
                <w:highlight w:val="none"/>
              </w:rPr>
              <w:t>1.16</w:t>
            </w:r>
          </w:p>
        </w:tc>
        <w:tc>
          <w:tcPr>
            <w:tcW w:w="435" w:type="pct"/>
            <w:vMerge w:val="continue"/>
            <w:tcBorders>
              <w:tl2br w:val="nil"/>
              <w:tr2bl w:val="nil"/>
            </w:tcBorders>
            <w:vAlign w:val="center"/>
          </w:tcPr>
          <w:p w14:paraId="5520F2BA">
            <w:pPr>
              <w:pStyle w:val="41"/>
              <w:rPr>
                <w:color w:val="auto"/>
                <w:highlight w:val="none"/>
              </w:rPr>
            </w:pPr>
          </w:p>
        </w:tc>
        <w:tc>
          <w:tcPr>
            <w:tcW w:w="903" w:type="pct"/>
            <w:vMerge w:val="continue"/>
            <w:tcBorders>
              <w:tl2br w:val="nil"/>
              <w:tr2bl w:val="nil"/>
            </w:tcBorders>
            <w:vAlign w:val="center"/>
          </w:tcPr>
          <w:p w14:paraId="6C0C9D6A">
            <w:pPr>
              <w:pStyle w:val="41"/>
              <w:rPr>
                <w:color w:val="auto"/>
                <w:highlight w:val="none"/>
              </w:rPr>
            </w:pPr>
          </w:p>
        </w:tc>
      </w:tr>
      <w:tr w14:paraId="0B38D2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02BB4837">
            <w:pPr>
              <w:pStyle w:val="41"/>
              <w:rPr>
                <w:color w:val="auto"/>
                <w:highlight w:val="none"/>
              </w:rPr>
            </w:pPr>
          </w:p>
        </w:tc>
        <w:tc>
          <w:tcPr>
            <w:tcW w:w="664" w:type="pct"/>
            <w:vMerge w:val="restart"/>
            <w:tcBorders>
              <w:tl2br w:val="nil"/>
              <w:tr2bl w:val="nil"/>
            </w:tcBorders>
            <w:vAlign w:val="center"/>
          </w:tcPr>
          <w:p w14:paraId="65CE242B">
            <w:pPr>
              <w:pStyle w:val="41"/>
              <w:rPr>
                <w:color w:val="auto"/>
                <w:highlight w:val="none"/>
              </w:rPr>
            </w:pPr>
            <w:r>
              <w:rPr>
                <w:color w:val="auto"/>
                <w:highlight w:val="none"/>
              </w:rPr>
              <w:t>烘干间锅炉</w:t>
            </w:r>
          </w:p>
        </w:tc>
        <w:tc>
          <w:tcPr>
            <w:tcW w:w="462" w:type="pct"/>
            <w:tcBorders>
              <w:tl2br w:val="nil"/>
              <w:tr2bl w:val="nil"/>
            </w:tcBorders>
            <w:vAlign w:val="center"/>
          </w:tcPr>
          <w:p w14:paraId="304E7CB0">
            <w:pPr>
              <w:pStyle w:val="41"/>
              <w:rPr>
                <w:color w:val="auto"/>
                <w:highlight w:val="none"/>
              </w:rPr>
            </w:pPr>
            <w:r>
              <w:rPr>
                <w:color w:val="auto"/>
                <w:highlight w:val="none"/>
              </w:rPr>
              <w:t>SO</w:t>
            </w:r>
            <w:r>
              <w:rPr>
                <w:color w:val="auto"/>
                <w:highlight w:val="none"/>
                <w:vertAlign w:val="subscript"/>
              </w:rPr>
              <w:t>2</w:t>
            </w:r>
          </w:p>
        </w:tc>
        <w:tc>
          <w:tcPr>
            <w:tcW w:w="300" w:type="pct"/>
            <w:vMerge w:val="restart"/>
            <w:tcBorders>
              <w:tl2br w:val="nil"/>
              <w:tr2bl w:val="nil"/>
            </w:tcBorders>
            <w:vAlign w:val="center"/>
          </w:tcPr>
          <w:p w14:paraId="4E12281B">
            <w:pPr>
              <w:pStyle w:val="41"/>
              <w:rPr>
                <w:color w:val="auto"/>
                <w:highlight w:val="none"/>
              </w:rPr>
            </w:pPr>
            <w:r>
              <w:rPr>
                <w:color w:val="auto"/>
                <w:highlight w:val="none"/>
              </w:rPr>
              <w:t>有组织</w:t>
            </w:r>
          </w:p>
        </w:tc>
        <w:tc>
          <w:tcPr>
            <w:tcW w:w="852" w:type="pct"/>
            <w:vMerge w:val="restart"/>
            <w:tcBorders>
              <w:tl2br w:val="nil"/>
              <w:tr2bl w:val="nil"/>
            </w:tcBorders>
            <w:vAlign w:val="center"/>
          </w:tcPr>
          <w:p w14:paraId="2999682E">
            <w:pPr>
              <w:pStyle w:val="41"/>
              <w:rPr>
                <w:color w:val="auto"/>
                <w:highlight w:val="none"/>
              </w:rPr>
            </w:pPr>
            <w:r>
              <w:rPr>
                <w:rFonts w:hint="eastAsia"/>
                <w:color w:val="auto"/>
                <w:highlight w:val="none"/>
              </w:rPr>
              <w:t>双碱法脱硫+布袋除尘</w:t>
            </w:r>
          </w:p>
        </w:tc>
        <w:tc>
          <w:tcPr>
            <w:tcW w:w="369" w:type="pct"/>
            <w:tcBorders>
              <w:tl2br w:val="nil"/>
              <w:tr2bl w:val="nil"/>
            </w:tcBorders>
            <w:vAlign w:val="center"/>
          </w:tcPr>
          <w:p w14:paraId="7D3E746A">
            <w:pPr>
              <w:pStyle w:val="41"/>
              <w:rPr>
                <w:color w:val="auto"/>
                <w:highlight w:val="none"/>
              </w:rPr>
            </w:pPr>
            <w:r>
              <w:rPr>
                <w:rFonts w:hint="eastAsia"/>
                <w:color w:val="auto"/>
                <w:highlight w:val="none"/>
              </w:rPr>
              <w:t>0.918</w:t>
            </w:r>
          </w:p>
        </w:tc>
        <w:tc>
          <w:tcPr>
            <w:tcW w:w="502" w:type="pct"/>
            <w:tcBorders>
              <w:tl2br w:val="nil"/>
              <w:tr2bl w:val="nil"/>
            </w:tcBorders>
            <w:vAlign w:val="center"/>
          </w:tcPr>
          <w:p w14:paraId="60050031">
            <w:pPr>
              <w:pStyle w:val="41"/>
              <w:rPr>
                <w:color w:val="auto"/>
                <w:highlight w:val="none"/>
              </w:rPr>
            </w:pPr>
            <w:r>
              <w:rPr>
                <w:rFonts w:hint="eastAsia"/>
                <w:color w:val="auto"/>
                <w:highlight w:val="none"/>
              </w:rPr>
              <w:t>0.1275</w:t>
            </w:r>
          </w:p>
        </w:tc>
        <w:tc>
          <w:tcPr>
            <w:tcW w:w="355" w:type="pct"/>
            <w:tcBorders>
              <w:tl2br w:val="nil"/>
              <w:tr2bl w:val="nil"/>
            </w:tcBorders>
            <w:vAlign w:val="center"/>
          </w:tcPr>
          <w:p w14:paraId="3AE5310A">
            <w:pPr>
              <w:pStyle w:val="41"/>
              <w:rPr>
                <w:color w:val="auto"/>
                <w:highlight w:val="none"/>
              </w:rPr>
            </w:pPr>
            <w:r>
              <w:rPr>
                <w:rFonts w:hint="eastAsia"/>
                <w:color w:val="auto"/>
                <w:highlight w:val="none"/>
              </w:rPr>
              <w:t>54.49</w:t>
            </w:r>
          </w:p>
        </w:tc>
        <w:tc>
          <w:tcPr>
            <w:tcW w:w="435" w:type="pct"/>
            <w:tcBorders>
              <w:tl2br w:val="nil"/>
              <w:tr2bl w:val="nil"/>
            </w:tcBorders>
            <w:vAlign w:val="center"/>
          </w:tcPr>
          <w:p w14:paraId="0597334A">
            <w:pPr>
              <w:pStyle w:val="41"/>
              <w:rPr>
                <w:color w:val="auto"/>
                <w:highlight w:val="none"/>
              </w:rPr>
            </w:pPr>
            <w:r>
              <w:rPr>
                <w:rFonts w:hint="eastAsia"/>
                <w:color w:val="auto"/>
                <w:highlight w:val="none"/>
              </w:rPr>
              <w:t>300</w:t>
            </w:r>
            <w:r>
              <w:rPr>
                <w:color w:val="auto"/>
                <w:highlight w:val="none"/>
              </w:rPr>
              <w:t>mg/</w:t>
            </w:r>
            <w:r>
              <w:rPr>
                <w:rFonts w:hint="eastAsia"/>
                <w:color w:val="auto"/>
                <w:highlight w:val="none"/>
                <w:lang w:val="en-US" w:eastAsia="zh-CN"/>
              </w:rPr>
              <w:t>m³</w:t>
            </w:r>
          </w:p>
        </w:tc>
        <w:tc>
          <w:tcPr>
            <w:tcW w:w="903" w:type="pct"/>
            <w:vMerge w:val="restart"/>
            <w:tcBorders>
              <w:tl2br w:val="nil"/>
              <w:tr2bl w:val="nil"/>
            </w:tcBorders>
            <w:vAlign w:val="center"/>
          </w:tcPr>
          <w:p w14:paraId="14974B84">
            <w:pPr>
              <w:pStyle w:val="41"/>
              <w:rPr>
                <w:color w:val="auto"/>
                <w:highlight w:val="none"/>
              </w:rPr>
            </w:pPr>
            <w:r>
              <w:rPr>
                <w:color w:val="auto"/>
                <w:highlight w:val="none"/>
              </w:rPr>
              <w:t>《锅炉大气污染物排放标准》（GB13271-2014）</w:t>
            </w:r>
          </w:p>
        </w:tc>
      </w:tr>
      <w:tr w14:paraId="3BB600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1DE416A4">
            <w:pPr>
              <w:pStyle w:val="41"/>
              <w:rPr>
                <w:color w:val="auto"/>
                <w:highlight w:val="none"/>
              </w:rPr>
            </w:pPr>
          </w:p>
        </w:tc>
        <w:tc>
          <w:tcPr>
            <w:tcW w:w="664" w:type="pct"/>
            <w:vMerge w:val="continue"/>
            <w:tcBorders>
              <w:tl2br w:val="nil"/>
              <w:tr2bl w:val="nil"/>
            </w:tcBorders>
            <w:vAlign w:val="center"/>
          </w:tcPr>
          <w:p w14:paraId="52454295">
            <w:pPr>
              <w:pStyle w:val="41"/>
              <w:rPr>
                <w:color w:val="auto"/>
                <w:highlight w:val="none"/>
              </w:rPr>
            </w:pPr>
          </w:p>
        </w:tc>
        <w:tc>
          <w:tcPr>
            <w:tcW w:w="462" w:type="pct"/>
            <w:tcBorders>
              <w:tl2br w:val="nil"/>
              <w:tr2bl w:val="nil"/>
            </w:tcBorders>
            <w:vAlign w:val="center"/>
          </w:tcPr>
          <w:p w14:paraId="46182007">
            <w:pPr>
              <w:pStyle w:val="41"/>
              <w:rPr>
                <w:color w:val="auto"/>
                <w:highlight w:val="none"/>
              </w:rPr>
            </w:pPr>
            <w:r>
              <w:rPr>
                <w:color w:val="auto"/>
                <w:highlight w:val="none"/>
              </w:rPr>
              <w:t>颗粒物</w:t>
            </w:r>
          </w:p>
        </w:tc>
        <w:tc>
          <w:tcPr>
            <w:tcW w:w="300" w:type="pct"/>
            <w:vMerge w:val="continue"/>
            <w:tcBorders>
              <w:tl2br w:val="nil"/>
              <w:tr2bl w:val="nil"/>
            </w:tcBorders>
            <w:vAlign w:val="center"/>
          </w:tcPr>
          <w:p w14:paraId="2691747A">
            <w:pPr>
              <w:pStyle w:val="41"/>
              <w:rPr>
                <w:color w:val="auto"/>
                <w:highlight w:val="none"/>
              </w:rPr>
            </w:pPr>
          </w:p>
        </w:tc>
        <w:tc>
          <w:tcPr>
            <w:tcW w:w="852" w:type="pct"/>
            <w:vMerge w:val="continue"/>
            <w:tcBorders>
              <w:tl2br w:val="nil"/>
              <w:tr2bl w:val="nil"/>
            </w:tcBorders>
            <w:vAlign w:val="center"/>
          </w:tcPr>
          <w:p w14:paraId="352E2E2F">
            <w:pPr>
              <w:pStyle w:val="41"/>
              <w:rPr>
                <w:color w:val="auto"/>
                <w:highlight w:val="none"/>
              </w:rPr>
            </w:pPr>
          </w:p>
        </w:tc>
        <w:tc>
          <w:tcPr>
            <w:tcW w:w="369" w:type="pct"/>
            <w:tcBorders>
              <w:tl2br w:val="nil"/>
              <w:tr2bl w:val="nil"/>
            </w:tcBorders>
            <w:vAlign w:val="center"/>
          </w:tcPr>
          <w:p w14:paraId="47AE8DF3">
            <w:pPr>
              <w:pStyle w:val="41"/>
              <w:rPr>
                <w:color w:val="auto"/>
                <w:highlight w:val="none"/>
              </w:rPr>
            </w:pPr>
            <w:r>
              <w:rPr>
                <w:rFonts w:hint="eastAsia"/>
                <w:color w:val="auto"/>
                <w:highlight w:val="none"/>
              </w:rPr>
              <w:t>0.0135</w:t>
            </w:r>
          </w:p>
        </w:tc>
        <w:tc>
          <w:tcPr>
            <w:tcW w:w="502" w:type="pct"/>
            <w:tcBorders>
              <w:tl2br w:val="nil"/>
              <w:tr2bl w:val="nil"/>
            </w:tcBorders>
            <w:vAlign w:val="center"/>
          </w:tcPr>
          <w:p w14:paraId="0E888B0E">
            <w:pPr>
              <w:pStyle w:val="41"/>
              <w:rPr>
                <w:color w:val="auto"/>
                <w:highlight w:val="none"/>
              </w:rPr>
            </w:pPr>
            <w:r>
              <w:rPr>
                <w:rFonts w:hint="eastAsia"/>
                <w:color w:val="auto"/>
                <w:highlight w:val="none"/>
              </w:rPr>
              <w:t>0.001875</w:t>
            </w:r>
          </w:p>
        </w:tc>
        <w:tc>
          <w:tcPr>
            <w:tcW w:w="355" w:type="pct"/>
            <w:tcBorders>
              <w:tl2br w:val="nil"/>
              <w:tr2bl w:val="nil"/>
            </w:tcBorders>
            <w:vAlign w:val="center"/>
          </w:tcPr>
          <w:p w14:paraId="274B6184">
            <w:pPr>
              <w:pStyle w:val="41"/>
              <w:rPr>
                <w:color w:val="auto"/>
                <w:highlight w:val="none"/>
              </w:rPr>
            </w:pPr>
            <w:r>
              <w:rPr>
                <w:rFonts w:hint="eastAsia"/>
                <w:color w:val="auto"/>
                <w:highlight w:val="none"/>
              </w:rPr>
              <w:t>0.80</w:t>
            </w:r>
          </w:p>
        </w:tc>
        <w:tc>
          <w:tcPr>
            <w:tcW w:w="435" w:type="pct"/>
            <w:tcBorders>
              <w:tl2br w:val="nil"/>
              <w:tr2bl w:val="nil"/>
            </w:tcBorders>
            <w:vAlign w:val="center"/>
          </w:tcPr>
          <w:p w14:paraId="11E8DF18">
            <w:pPr>
              <w:pStyle w:val="41"/>
              <w:rPr>
                <w:color w:val="auto"/>
                <w:highlight w:val="none"/>
              </w:rPr>
            </w:pPr>
            <w:r>
              <w:rPr>
                <w:rFonts w:hint="eastAsia"/>
                <w:color w:val="auto"/>
                <w:highlight w:val="none"/>
              </w:rPr>
              <w:t>50</w:t>
            </w:r>
            <w:r>
              <w:rPr>
                <w:color w:val="auto"/>
                <w:highlight w:val="none"/>
              </w:rPr>
              <w:t>mg/</w:t>
            </w:r>
            <w:r>
              <w:rPr>
                <w:rFonts w:hint="eastAsia"/>
                <w:color w:val="auto"/>
                <w:highlight w:val="none"/>
                <w:lang w:val="en-US" w:eastAsia="zh-CN"/>
              </w:rPr>
              <w:t>m³</w:t>
            </w:r>
          </w:p>
        </w:tc>
        <w:tc>
          <w:tcPr>
            <w:tcW w:w="903" w:type="pct"/>
            <w:vMerge w:val="continue"/>
            <w:tcBorders>
              <w:tl2br w:val="nil"/>
              <w:tr2bl w:val="nil"/>
            </w:tcBorders>
            <w:vAlign w:val="center"/>
          </w:tcPr>
          <w:p w14:paraId="2DC362E7">
            <w:pPr>
              <w:pStyle w:val="41"/>
              <w:rPr>
                <w:color w:val="auto"/>
                <w:highlight w:val="none"/>
              </w:rPr>
            </w:pPr>
          </w:p>
        </w:tc>
      </w:tr>
      <w:tr w14:paraId="6C4A60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68" w:hRule="atLeast"/>
          <w:jc w:val="center"/>
        </w:trPr>
        <w:tc>
          <w:tcPr>
            <w:tcW w:w="156" w:type="pct"/>
            <w:vMerge w:val="continue"/>
            <w:tcBorders>
              <w:tl2br w:val="nil"/>
              <w:tr2bl w:val="nil"/>
            </w:tcBorders>
            <w:vAlign w:val="center"/>
          </w:tcPr>
          <w:p w14:paraId="504A6E60">
            <w:pPr>
              <w:pStyle w:val="41"/>
              <w:rPr>
                <w:color w:val="auto"/>
                <w:highlight w:val="none"/>
              </w:rPr>
            </w:pPr>
          </w:p>
        </w:tc>
        <w:tc>
          <w:tcPr>
            <w:tcW w:w="664" w:type="pct"/>
            <w:vMerge w:val="continue"/>
            <w:tcBorders>
              <w:tl2br w:val="nil"/>
              <w:tr2bl w:val="nil"/>
            </w:tcBorders>
            <w:vAlign w:val="center"/>
          </w:tcPr>
          <w:p w14:paraId="52793CE7">
            <w:pPr>
              <w:pStyle w:val="41"/>
              <w:rPr>
                <w:color w:val="auto"/>
                <w:highlight w:val="none"/>
              </w:rPr>
            </w:pPr>
          </w:p>
        </w:tc>
        <w:tc>
          <w:tcPr>
            <w:tcW w:w="462" w:type="pct"/>
            <w:tcBorders>
              <w:tl2br w:val="nil"/>
              <w:tr2bl w:val="nil"/>
            </w:tcBorders>
            <w:vAlign w:val="center"/>
          </w:tcPr>
          <w:p w14:paraId="10225691">
            <w:pPr>
              <w:pStyle w:val="41"/>
              <w:rPr>
                <w:color w:val="auto"/>
                <w:highlight w:val="none"/>
              </w:rPr>
            </w:pPr>
            <w:r>
              <w:rPr>
                <w:color w:val="auto"/>
                <w:highlight w:val="none"/>
              </w:rPr>
              <w:t>NO</w:t>
            </w:r>
            <w:r>
              <w:rPr>
                <w:color w:val="auto"/>
                <w:highlight w:val="none"/>
                <w:vertAlign w:val="subscript"/>
              </w:rPr>
              <w:t>X</w:t>
            </w:r>
          </w:p>
        </w:tc>
        <w:tc>
          <w:tcPr>
            <w:tcW w:w="300" w:type="pct"/>
            <w:vMerge w:val="continue"/>
            <w:tcBorders>
              <w:tl2br w:val="nil"/>
              <w:tr2bl w:val="nil"/>
            </w:tcBorders>
            <w:vAlign w:val="center"/>
          </w:tcPr>
          <w:p w14:paraId="105FBAB1">
            <w:pPr>
              <w:pStyle w:val="41"/>
              <w:rPr>
                <w:color w:val="auto"/>
                <w:highlight w:val="none"/>
              </w:rPr>
            </w:pPr>
          </w:p>
        </w:tc>
        <w:tc>
          <w:tcPr>
            <w:tcW w:w="852" w:type="pct"/>
            <w:vMerge w:val="continue"/>
            <w:tcBorders>
              <w:tl2br w:val="nil"/>
              <w:tr2bl w:val="nil"/>
            </w:tcBorders>
            <w:vAlign w:val="center"/>
          </w:tcPr>
          <w:p w14:paraId="4389CCC0">
            <w:pPr>
              <w:pStyle w:val="41"/>
              <w:rPr>
                <w:color w:val="auto"/>
                <w:highlight w:val="none"/>
              </w:rPr>
            </w:pPr>
          </w:p>
        </w:tc>
        <w:tc>
          <w:tcPr>
            <w:tcW w:w="369" w:type="pct"/>
            <w:tcBorders>
              <w:tl2br w:val="nil"/>
              <w:tr2bl w:val="nil"/>
            </w:tcBorders>
            <w:vAlign w:val="center"/>
          </w:tcPr>
          <w:p w14:paraId="1880C149">
            <w:pPr>
              <w:pStyle w:val="41"/>
              <w:rPr>
                <w:color w:val="auto"/>
                <w:highlight w:val="none"/>
              </w:rPr>
            </w:pPr>
            <w:r>
              <w:rPr>
                <w:rFonts w:hint="eastAsia"/>
                <w:color w:val="auto"/>
                <w:highlight w:val="none"/>
              </w:rPr>
              <w:t>2.754</w:t>
            </w:r>
          </w:p>
        </w:tc>
        <w:tc>
          <w:tcPr>
            <w:tcW w:w="502" w:type="pct"/>
            <w:tcBorders>
              <w:tl2br w:val="nil"/>
              <w:tr2bl w:val="nil"/>
            </w:tcBorders>
            <w:vAlign w:val="center"/>
          </w:tcPr>
          <w:p w14:paraId="1E83D7B3">
            <w:pPr>
              <w:pStyle w:val="41"/>
              <w:rPr>
                <w:color w:val="auto"/>
                <w:highlight w:val="none"/>
              </w:rPr>
            </w:pPr>
            <w:r>
              <w:rPr>
                <w:rFonts w:hint="eastAsia"/>
                <w:color w:val="auto"/>
                <w:highlight w:val="none"/>
              </w:rPr>
              <w:t>0.3825</w:t>
            </w:r>
          </w:p>
        </w:tc>
        <w:tc>
          <w:tcPr>
            <w:tcW w:w="355" w:type="pct"/>
            <w:tcBorders>
              <w:tl2br w:val="nil"/>
              <w:tr2bl w:val="nil"/>
            </w:tcBorders>
            <w:vAlign w:val="center"/>
          </w:tcPr>
          <w:p w14:paraId="42F6C11F">
            <w:pPr>
              <w:pStyle w:val="41"/>
              <w:rPr>
                <w:color w:val="auto"/>
                <w:highlight w:val="none"/>
              </w:rPr>
            </w:pPr>
            <w:r>
              <w:rPr>
                <w:rFonts w:hint="eastAsia"/>
                <w:color w:val="auto"/>
                <w:highlight w:val="none"/>
              </w:rPr>
              <w:t>163.46</w:t>
            </w:r>
          </w:p>
        </w:tc>
        <w:tc>
          <w:tcPr>
            <w:tcW w:w="435" w:type="pct"/>
            <w:tcBorders>
              <w:tl2br w:val="nil"/>
              <w:tr2bl w:val="nil"/>
            </w:tcBorders>
            <w:vAlign w:val="center"/>
          </w:tcPr>
          <w:p w14:paraId="0F5BACF7">
            <w:pPr>
              <w:pStyle w:val="41"/>
              <w:rPr>
                <w:color w:val="auto"/>
                <w:highlight w:val="none"/>
              </w:rPr>
            </w:pPr>
            <w:r>
              <w:rPr>
                <w:color w:val="auto"/>
                <w:highlight w:val="none"/>
              </w:rPr>
              <w:t>300mg/</w:t>
            </w:r>
            <w:r>
              <w:rPr>
                <w:rFonts w:hint="eastAsia"/>
                <w:color w:val="auto"/>
                <w:highlight w:val="none"/>
                <w:lang w:val="en-US" w:eastAsia="zh-CN"/>
              </w:rPr>
              <w:t>m³</w:t>
            </w:r>
          </w:p>
        </w:tc>
        <w:tc>
          <w:tcPr>
            <w:tcW w:w="903" w:type="pct"/>
            <w:vMerge w:val="continue"/>
            <w:tcBorders>
              <w:tl2br w:val="nil"/>
              <w:tr2bl w:val="nil"/>
            </w:tcBorders>
            <w:vAlign w:val="center"/>
          </w:tcPr>
          <w:p w14:paraId="4B072605">
            <w:pPr>
              <w:pStyle w:val="41"/>
              <w:rPr>
                <w:color w:val="auto"/>
                <w:highlight w:val="none"/>
              </w:rPr>
            </w:pPr>
          </w:p>
        </w:tc>
      </w:tr>
      <w:tr w14:paraId="6C685E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restart"/>
            <w:tcBorders>
              <w:tl2br w:val="nil"/>
              <w:tr2bl w:val="nil"/>
            </w:tcBorders>
            <w:vAlign w:val="center"/>
          </w:tcPr>
          <w:p w14:paraId="7C6C15BA">
            <w:pPr>
              <w:pStyle w:val="41"/>
              <w:rPr>
                <w:color w:val="auto"/>
                <w:highlight w:val="none"/>
              </w:rPr>
            </w:pPr>
            <w:r>
              <w:rPr>
                <w:color w:val="auto"/>
                <w:highlight w:val="none"/>
              </w:rPr>
              <w:t>无</w:t>
            </w:r>
          </w:p>
          <w:p w14:paraId="598A8006">
            <w:pPr>
              <w:pStyle w:val="41"/>
              <w:rPr>
                <w:color w:val="auto"/>
                <w:highlight w:val="none"/>
              </w:rPr>
            </w:pPr>
            <w:r>
              <w:rPr>
                <w:color w:val="auto"/>
                <w:highlight w:val="none"/>
              </w:rPr>
              <w:t>组</w:t>
            </w:r>
          </w:p>
          <w:p w14:paraId="315E3EF9">
            <w:pPr>
              <w:pStyle w:val="41"/>
              <w:rPr>
                <w:color w:val="auto"/>
                <w:highlight w:val="none"/>
              </w:rPr>
            </w:pPr>
            <w:r>
              <w:rPr>
                <w:color w:val="auto"/>
                <w:highlight w:val="none"/>
              </w:rPr>
              <w:t>织</w:t>
            </w:r>
          </w:p>
          <w:p w14:paraId="07A2934D">
            <w:pPr>
              <w:pStyle w:val="41"/>
              <w:rPr>
                <w:color w:val="auto"/>
                <w:highlight w:val="none"/>
              </w:rPr>
            </w:pPr>
            <w:r>
              <w:rPr>
                <w:color w:val="auto"/>
                <w:highlight w:val="none"/>
              </w:rPr>
              <w:t>废</w:t>
            </w:r>
          </w:p>
          <w:p w14:paraId="02F9B756">
            <w:pPr>
              <w:pStyle w:val="41"/>
              <w:rPr>
                <w:color w:val="auto"/>
                <w:highlight w:val="none"/>
              </w:rPr>
            </w:pPr>
            <w:r>
              <w:rPr>
                <w:color w:val="auto"/>
                <w:highlight w:val="none"/>
              </w:rPr>
              <w:t>气</w:t>
            </w:r>
          </w:p>
        </w:tc>
        <w:tc>
          <w:tcPr>
            <w:tcW w:w="664" w:type="pct"/>
            <w:tcBorders>
              <w:tl2br w:val="nil"/>
              <w:tr2bl w:val="nil"/>
            </w:tcBorders>
            <w:vAlign w:val="center"/>
          </w:tcPr>
          <w:p w14:paraId="40FB00DC">
            <w:pPr>
              <w:pStyle w:val="41"/>
              <w:rPr>
                <w:color w:val="auto"/>
                <w:highlight w:val="none"/>
              </w:rPr>
            </w:pPr>
            <w:r>
              <w:rPr>
                <w:rFonts w:hint="eastAsia"/>
                <w:color w:val="auto"/>
                <w:highlight w:val="none"/>
              </w:rPr>
              <w:t>原矿</w:t>
            </w:r>
            <w:r>
              <w:rPr>
                <w:rFonts w:hint="eastAsia"/>
                <w:color w:val="auto"/>
                <w:highlight w:val="none"/>
                <w:lang w:val="en-US" w:eastAsia="zh-CN"/>
              </w:rPr>
              <w:t>堆库</w:t>
            </w:r>
          </w:p>
        </w:tc>
        <w:tc>
          <w:tcPr>
            <w:tcW w:w="462" w:type="pct"/>
            <w:tcBorders>
              <w:tl2br w:val="nil"/>
              <w:tr2bl w:val="nil"/>
            </w:tcBorders>
            <w:vAlign w:val="center"/>
          </w:tcPr>
          <w:p w14:paraId="785CCE9D">
            <w:pPr>
              <w:pStyle w:val="41"/>
              <w:rPr>
                <w:color w:val="auto"/>
                <w:highlight w:val="none"/>
              </w:rPr>
            </w:pPr>
            <w:r>
              <w:rPr>
                <w:color w:val="auto"/>
                <w:highlight w:val="none"/>
              </w:rPr>
              <w:t>颗粒物</w:t>
            </w:r>
          </w:p>
        </w:tc>
        <w:tc>
          <w:tcPr>
            <w:tcW w:w="300" w:type="pct"/>
            <w:vMerge w:val="restart"/>
            <w:tcBorders>
              <w:tl2br w:val="nil"/>
              <w:tr2bl w:val="nil"/>
            </w:tcBorders>
            <w:vAlign w:val="center"/>
          </w:tcPr>
          <w:p w14:paraId="1B6F53F3">
            <w:pPr>
              <w:pStyle w:val="41"/>
              <w:rPr>
                <w:color w:val="auto"/>
                <w:highlight w:val="none"/>
              </w:rPr>
            </w:pPr>
            <w:r>
              <w:rPr>
                <w:rFonts w:hint="eastAsia"/>
                <w:color w:val="auto"/>
                <w:highlight w:val="none"/>
              </w:rPr>
              <w:t>无组织</w:t>
            </w:r>
          </w:p>
        </w:tc>
        <w:tc>
          <w:tcPr>
            <w:tcW w:w="852" w:type="pct"/>
            <w:tcBorders>
              <w:tl2br w:val="nil"/>
              <w:tr2bl w:val="nil"/>
            </w:tcBorders>
            <w:vAlign w:val="center"/>
          </w:tcPr>
          <w:p w14:paraId="18F44EF2">
            <w:pPr>
              <w:pStyle w:val="41"/>
              <w:rPr>
                <w:color w:val="auto"/>
                <w:highlight w:val="none"/>
              </w:rPr>
            </w:pPr>
            <w:r>
              <w:rPr>
                <w:rFonts w:hint="eastAsia"/>
                <w:color w:val="auto"/>
                <w:highlight w:val="none"/>
              </w:rPr>
              <w:t>封闭设计、洒水抑尘</w:t>
            </w:r>
          </w:p>
        </w:tc>
        <w:tc>
          <w:tcPr>
            <w:tcW w:w="369" w:type="pct"/>
            <w:tcBorders>
              <w:tl2br w:val="nil"/>
              <w:tr2bl w:val="nil"/>
            </w:tcBorders>
            <w:vAlign w:val="center"/>
          </w:tcPr>
          <w:p w14:paraId="6F856032">
            <w:pPr>
              <w:pStyle w:val="41"/>
              <w:rPr>
                <w:color w:val="auto"/>
                <w:highlight w:val="none"/>
              </w:rPr>
            </w:pPr>
            <w:r>
              <w:rPr>
                <w:rFonts w:hint="eastAsia"/>
                <w:color w:val="auto"/>
                <w:highlight w:val="none"/>
              </w:rPr>
              <w:t>3.48</w:t>
            </w:r>
          </w:p>
        </w:tc>
        <w:tc>
          <w:tcPr>
            <w:tcW w:w="502" w:type="pct"/>
            <w:tcBorders>
              <w:tl2br w:val="nil"/>
              <w:tr2bl w:val="nil"/>
            </w:tcBorders>
            <w:vAlign w:val="center"/>
          </w:tcPr>
          <w:p w14:paraId="6AC84689">
            <w:pPr>
              <w:pStyle w:val="41"/>
              <w:rPr>
                <w:color w:val="auto"/>
                <w:highlight w:val="none"/>
              </w:rPr>
            </w:pPr>
            <w:r>
              <w:rPr>
                <w:rFonts w:hint="eastAsia"/>
                <w:color w:val="auto"/>
                <w:highlight w:val="none"/>
              </w:rPr>
              <w:t>0.48</w:t>
            </w:r>
          </w:p>
        </w:tc>
        <w:tc>
          <w:tcPr>
            <w:tcW w:w="355" w:type="pct"/>
            <w:tcBorders>
              <w:tl2br w:val="nil"/>
              <w:tr2bl w:val="nil"/>
            </w:tcBorders>
            <w:vAlign w:val="center"/>
          </w:tcPr>
          <w:p w14:paraId="2046F706">
            <w:pPr>
              <w:pStyle w:val="41"/>
              <w:rPr>
                <w:color w:val="auto"/>
                <w:highlight w:val="none"/>
              </w:rPr>
            </w:pPr>
            <w:r>
              <w:rPr>
                <w:color w:val="auto"/>
                <w:highlight w:val="none"/>
              </w:rPr>
              <w:t>/</w:t>
            </w:r>
          </w:p>
        </w:tc>
        <w:tc>
          <w:tcPr>
            <w:tcW w:w="435" w:type="pct"/>
            <w:vMerge w:val="restart"/>
            <w:tcBorders>
              <w:tl2br w:val="nil"/>
              <w:tr2bl w:val="nil"/>
            </w:tcBorders>
            <w:vAlign w:val="center"/>
          </w:tcPr>
          <w:p w14:paraId="5D7F6164">
            <w:pPr>
              <w:pStyle w:val="41"/>
              <w:rPr>
                <w:color w:val="auto"/>
                <w:highlight w:val="none"/>
              </w:rPr>
            </w:pPr>
            <w:r>
              <w:rPr>
                <w:color w:val="auto"/>
                <w:highlight w:val="none"/>
              </w:rPr>
              <w:t>1.0mg/</w:t>
            </w:r>
            <w:r>
              <w:rPr>
                <w:rFonts w:hint="eastAsia"/>
                <w:color w:val="auto"/>
                <w:highlight w:val="none"/>
                <w:lang w:val="en-US" w:eastAsia="zh-CN"/>
              </w:rPr>
              <w:t>m³</w:t>
            </w:r>
          </w:p>
        </w:tc>
        <w:tc>
          <w:tcPr>
            <w:tcW w:w="903" w:type="pct"/>
            <w:vMerge w:val="restart"/>
            <w:tcBorders>
              <w:tl2br w:val="nil"/>
              <w:tr2bl w:val="nil"/>
            </w:tcBorders>
            <w:vAlign w:val="center"/>
          </w:tcPr>
          <w:p w14:paraId="7AC82CB7">
            <w:pPr>
              <w:pStyle w:val="41"/>
              <w:rPr>
                <w:color w:val="auto"/>
                <w:highlight w:val="none"/>
              </w:rPr>
            </w:pPr>
            <w:r>
              <w:rPr>
                <w:color w:val="auto"/>
                <w:highlight w:val="none"/>
              </w:rPr>
              <w:t>《铁矿采选工业污染物排放标准》（GB28661-2012）</w:t>
            </w:r>
          </w:p>
        </w:tc>
      </w:tr>
      <w:tr w14:paraId="0506E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7AF2656C">
            <w:pPr>
              <w:pStyle w:val="41"/>
              <w:rPr>
                <w:color w:val="auto"/>
                <w:highlight w:val="none"/>
              </w:rPr>
            </w:pPr>
          </w:p>
        </w:tc>
        <w:tc>
          <w:tcPr>
            <w:tcW w:w="664" w:type="pct"/>
            <w:tcBorders>
              <w:tl2br w:val="nil"/>
              <w:tr2bl w:val="nil"/>
            </w:tcBorders>
            <w:vAlign w:val="center"/>
          </w:tcPr>
          <w:p w14:paraId="4029E887">
            <w:pPr>
              <w:pStyle w:val="41"/>
              <w:rPr>
                <w:color w:val="auto"/>
                <w:highlight w:val="none"/>
              </w:rPr>
            </w:pPr>
            <w:r>
              <w:rPr>
                <w:rFonts w:hint="eastAsia"/>
                <w:color w:val="auto"/>
                <w:highlight w:val="none"/>
              </w:rPr>
              <w:t>滚轴筛车间</w:t>
            </w:r>
          </w:p>
        </w:tc>
        <w:tc>
          <w:tcPr>
            <w:tcW w:w="462" w:type="pct"/>
            <w:tcBorders>
              <w:tl2br w:val="nil"/>
              <w:tr2bl w:val="nil"/>
            </w:tcBorders>
            <w:vAlign w:val="center"/>
          </w:tcPr>
          <w:p w14:paraId="22CA6C78">
            <w:pPr>
              <w:pStyle w:val="41"/>
              <w:rPr>
                <w:color w:val="auto"/>
                <w:highlight w:val="none"/>
              </w:rPr>
            </w:pPr>
            <w:r>
              <w:rPr>
                <w:color w:val="auto"/>
                <w:highlight w:val="none"/>
              </w:rPr>
              <w:t>颗粒物</w:t>
            </w:r>
          </w:p>
        </w:tc>
        <w:tc>
          <w:tcPr>
            <w:tcW w:w="300" w:type="pct"/>
            <w:vMerge w:val="continue"/>
            <w:tcBorders>
              <w:tl2br w:val="nil"/>
              <w:tr2bl w:val="nil"/>
            </w:tcBorders>
            <w:vAlign w:val="center"/>
          </w:tcPr>
          <w:p w14:paraId="4AB000E0">
            <w:pPr>
              <w:pStyle w:val="41"/>
              <w:rPr>
                <w:color w:val="auto"/>
                <w:highlight w:val="none"/>
              </w:rPr>
            </w:pPr>
          </w:p>
        </w:tc>
        <w:tc>
          <w:tcPr>
            <w:tcW w:w="852" w:type="pct"/>
            <w:tcBorders>
              <w:tl2br w:val="nil"/>
              <w:tr2bl w:val="nil"/>
            </w:tcBorders>
            <w:vAlign w:val="center"/>
          </w:tcPr>
          <w:p w14:paraId="5D1E5D93">
            <w:pPr>
              <w:pStyle w:val="41"/>
              <w:rPr>
                <w:color w:val="auto"/>
                <w:highlight w:val="none"/>
              </w:rPr>
            </w:pPr>
            <w:r>
              <w:rPr>
                <w:color w:val="auto"/>
                <w:highlight w:val="none"/>
              </w:rPr>
              <w:t>封闭式厂房</w:t>
            </w:r>
          </w:p>
        </w:tc>
        <w:tc>
          <w:tcPr>
            <w:tcW w:w="369" w:type="pct"/>
            <w:tcBorders>
              <w:tl2br w:val="nil"/>
              <w:tr2bl w:val="nil"/>
            </w:tcBorders>
            <w:vAlign w:val="center"/>
          </w:tcPr>
          <w:p w14:paraId="70F8C630">
            <w:pPr>
              <w:pStyle w:val="41"/>
              <w:rPr>
                <w:color w:val="auto"/>
                <w:highlight w:val="none"/>
              </w:rPr>
            </w:pPr>
            <w:r>
              <w:rPr>
                <w:rFonts w:hint="eastAsia"/>
                <w:color w:val="auto"/>
                <w:highlight w:val="none"/>
              </w:rPr>
              <w:t>0.078529</w:t>
            </w:r>
          </w:p>
        </w:tc>
        <w:tc>
          <w:tcPr>
            <w:tcW w:w="1415" w:type="dxa"/>
            <w:tcBorders>
              <w:tl2br w:val="nil"/>
              <w:tr2bl w:val="nil"/>
            </w:tcBorders>
            <w:vAlign w:val="center"/>
          </w:tcPr>
          <w:p w14:paraId="12D80DF6">
            <w:pPr>
              <w:pStyle w:val="41"/>
              <w:rPr>
                <w:color w:val="auto"/>
                <w:highlight w:val="none"/>
              </w:rPr>
            </w:pPr>
            <w:r>
              <w:rPr>
                <w:rFonts w:hint="eastAsia"/>
                <w:color w:val="auto"/>
                <w:highlight w:val="none"/>
              </w:rPr>
              <w:t xml:space="preserve">0.01 </w:t>
            </w:r>
          </w:p>
        </w:tc>
        <w:tc>
          <w:tcPr>
            <w:tcW w:w="355" w:type="pct"/>
            <w:tcBorders>
              <w:tl2br w:val="nil"/>
              <w:tr2bl w:val="nil"/>
            </w:tcBorders>
            <w:vAlign w:val="center"/>
          </w:tcPr>
          <w:p w14:paraId="059C46DA">
            <w:pPr>
              <w:pStyle w:val="41"/>
              <w:rPr>
                <w:color w:val="auto"/>
                <w:highlight w:val="none"/>
              </w:rPr>
            </w:pPr>
            <w:r>
              <w:rPr>
                <w:rFonts w:hint="eastAsia"/>
                <w:color w:val="auto"/>
                <w:highlight w:val="none"/>
              </w:rPr>
              <w:t>/</w:t>
            </w:r>
          </w:p>
        </w:tc>
        <w:tc>
          <w:tcPr>
            <w:tcW w:w="435" w:type="pct"/>
            <w:vMerge w:val="continue"/>
            <w:tcBorders>
              <w:tl2br w:val="nil"/>
              <w:tr2bl w:val="nil"/>
            </w:tcBorders>
            <w:vAlign w:val="center"/>
          </w:tcPr>
          <w:p w14:paraId="5756BA50">
            <w:pPr>
              <w:pStyle w:val="41"/>
              <w:rPr>
                <w:color w:val="auto"/>
                <w:highlight w:val="none"/>
              </w:rPr>
            </w:pPr>
          </w:p>
        </w:tc>
        <w:tc>
          <w:tcPr>
            <w:tcW w:w="903" w:type="pct"/>
            <w:vMerge w:val="continue"/>
            <w:tcBorders>
              <w:tl2br w:val="nil"/>
              <w:tr2bl w:val="nil"/>
            </w:tcBorders>
            <w:vAlign w:val="center"/>
          </w:tcPr>
          <w:p w14:paraId="353673D8">
            <w:pPr>
              <w:pStyle w:val="41"/>
              <w:rPr>
                <w:color w:val="auto"/>
                <w:highlight w:val="none"/>
              </w:rPr>
            </w:pPr>
          </w:p>
        </w:tc>
      </w:tr>
      <w:tr w14:paraId="2D0C6F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7480D947">
            <w:pPr>
              <w:pStyle w:val="41"/>
              <w:rPr>
                <w:color w:val="auto"/>
                <w:highlight w:val="none"/>
              </w:rPr>
            </w:pPr>
          </w:p>
        </w:tc>
        <w:tc>
          <w:tcPr>
            <w:tcW w:w="664" w:type="pct"/>
            <w:tcBorders>
              <w:tl2br w:val="nil"/>
              <w:tr2bl w:val="nil"/>
            </w:tcBorders>
            <w:vAlign w:val="center"/>
          </w:tcPr>
          <w:p w14:paraId="0E1C7DB8">
            <w:pPr>
              <w:pStyle w:val="41"/>
              <w:rPr>
                <w:color w:val="auto"/>
                <w:highlight w:val="none"/>
              </w:rPr>
            </w:pPr>
            <w:r>
              <w:rPr>
                <w:rFonts w:hint="eastAsia"/>
                <w:color w:val="auto"/>
                <w:highlight w:val="none"/>
              </w:rPr>
              <w:t>粗中碎车间</w:t>
            </w:r>
          </w:p>
        </w:tc>
        <w:tc>
          <w:tcPr>
            <w:tcW w:w="462" w:type="pct"/>
            <w:tcBorders>
              <w:tl2br w:val="nil"/>
              <w:tr2bl w:val="nil"/>
            </w:tcBorders>
            <w:vAlign w:val="center"/>
          </w:tcPr>
          <w:p w14:paraId="760FB84F">
            <w:pPr>
              <w:pStyle w:val="41"/>
              <w:rPr>
                <w:color w:val="auto"/>
                <w:highlight w:val="none"/>
              </w:rPr>
            </w:pPr>
            <w:r>
              <w:rPr>
                <w:color w:val="auto"/>
                <w:highlight w:val="none"/>
              </w:rPr>
              <w:t>颗粒物</w:t>
            </w:r>
          </w:p>
        </w:tc>
        <w:tc>
          <w:tcPr>
            <w:tcW w:w="300" w:type="pct"/>
            <w:vMerge w:val="continue"/>
            <w:tcBorders>
              <w:tl2br w:val="nil"/>
              <w:tr2bl w:val="nil"/>
            </w:tcBorders>
            <w:vAlign w:val="center"/>
          </w:tcPr>
          <w:p w14:paraId="541E9EF1">
            <w:pPr>
              <w:pStyle w:val="41"/>
              <w:rPr>
                <w:color w:val="auto"/>
                <w:highlight w:val="none"/>
              </w:rPr>
            </w:pPr>
          </w:p>
        </w:tc>
        <w:tc>
          <w:tcPr>
            <w:tcW w:w="852" w:type="pct"/>
            <w:tcBorders>
              <w:tl2br w:val="nil"/>
              <w:tr2bl w:val="nil"/>
            </w:tcBorders>
            <w:vAlign w:val="center"/>
          </w:tcPr>
          <w:p w14:paraId="35C46149">
            <w:pPr>
              <w:pStyle w:val="41"/>
              <w:rPr>
                <w:color w:val="auto"/>
                <w:highlight w:val="none"/>
              </w:rPr>
            </w:pPr>
            <w:r>
              <w:rPr>
                <w:color w:val="auto"/>
                <w:highlight w:val="none"/>
              </w:rPr>
              <w:t>封闭式厂房</w:t>
            </w:r>
          </w:p>
        </w:tc>
        <w:tc>
          <w:tcPr>
            <w:tcW w:w="369" w:type="pct"/>
            <w:tcBorders>
              <w:tl2br w:val="nil"/>
              <w:tr2bl w:val="nil"/>
            </w:tcBorders>
            <w:vAlign w:val="center"/>
          </w:tcPr>
          <w:p w14:paraId="49D51046">
            <w:pPr>
              <w:pStyle w:val="41"/>
              <w:rPr>
                <w:color w:val="auto"/>
                <w:highlight w:val="none"/>
              </w:rPr>
            </w:pPr>
            <w:r>
              <w:rPr>
                <w:rFonts w:hint="eastAsia"/>
                <w:color w:val="auto"/>
                <w:highlight w:val="none"/>
              </w:rPr>
              <w:t>0.078529</w:t>
            </w:r>
          </w:p>
        </w:tc>
        <w:tc>
          <w:tcPr>
            <w:tcW w:w="1415" w:type="dxa"/>
            <w:tcBorders>
              <w:tl2br w:val="nil"/>
              <w:tr2bl w:val="nil"/>
            </w:tcBorders>
            <w:vAlign w:val="center"/>
          </w:tcPr>
          <w:p w14:paraId="0DDE36B5">
            <w:pPr>
              <w:pStyle w:val="41"/>
              <w:rPr>
                <w:color w:val="auto"/>
                <w:highlight w:val="none"/>
              </w:rPr>
            </w:pPr>
            <w:r>
              <w:rPr>
                <w:rFonts w:hint="eastAsia"/>
                <w:color w:val="auto"/>
                <w:highlight w:val="none"/>
              </w:rPr>
              <w:t xml:space="preserve">0.01 </w:t>
            </w:r>
          </w:p>
        </w:tc>
        <w:tc>
          <w:tcPr>
            <w:tcW w:w="355" w:type="pct"/>
            <w:tcBorders>
              <w:tl2br w:val="nil"/>
              <w:tr2bl w:val="nil"/>
            </w:tcBorders>
            <w:vAlign w:val="center"/>
          </w:tcPr>
          <w:p w14:paraId="20E57919">
            <w:pPr>
              <w:pStyle w:val="41"/>
              <w:rPr>
                <w:color w:val="auto"/>
                <w:highlight w:val="none"/>
              </w:rPr>
            </w:pPr>
            <w:r>
              <w:rPr>
                <w:color w:val="auto"/>
                <w:highlight w:val="none"/>
              </w:rPr>
              <w:t>/</w:t>
            </w:r>
          </w:p>
        </w:tc>
        <w:tc>
          <w:tcPr>
            <w:tcW w:w="435" w:type="pct"/>
            <w:vMerge w:val="continue"/>
            <w:tcBorders>
              <w:tl2br w:val="nil"/>
              <w:tr2bl w:val="nil"/>
            </w:tcBorders>
            <w:vAlign w:val="center"/>
          </w:tcPr>
          <w:p w14:paraId="1E638887">
            <w:pPr>
              <w:pStyle w:val="41"/>
              <w:rPr>
                <w:color w:val="auto"/>
                <w:highlight w:val="none"/>
              </w:rPr>
            </w:pPr>
          </w:p>
        </w:tc>
        <w:tc>
          <w:tcPr>
            <w:tcW w:w="903" w:type="pct"/>
            <w:vMerge w:val="continue"/>
            <w:tcBorders>
              <w:tl2br w:val="nil"/>
              <w:tr2bl w:val="nil"/>
            </w:tcBorders>
            <w:vAlign w:val="center"/>
          </w:tcPr>
          <w:p w14:paraId="6B7971B7">
            <w:pPr>
              <w:pStyle w:val="41"/>
              <w:rPr>
                <w:color w:val="auto"/>
                <w:highlight w:val="none"/>
              </w:rPr>
            </w:pPr>
          </w:p>
        </w:tc>
      </w:tr>
      <w:tr w14:paraId="6CBFE1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510CD2AF">
            <w:pPr>
              <w:pStyle w:val="41"/>
              <w:rPr>
                <w:color w:val="auto"/>
                <w:highlight w:val="none"/>
              </w:rPr>
            </w:pPr>
          </w:p>
        </w:tc>
        <w:tc>
          <w:tcPr>
            <w:tcW w:w="664" w:type="pct"/>
            <w:tcBorders>
              <w:tl2br w:val="nil"/>
              <w:tr2bl w:val="nil"/>
            </w:tcBorders>
            <w:vAlign w:val="center"/>
          </w:tcPr>
          <w:p w14:paraId="73FB6DAB">
            <w:pPr>
              <w:pStyle w:val="41"/>
              <w:rPr>
                <w:color w:val="auto"/>
                <w:highlight w:val="none"/>
              </w:rPr>
            </w:pPr>
            <w:r>
              <w:rPr>
                <w:rFonts w:hint="eastAsia"/>
                <w:color w:val="auto"/>
                <w:highlight w:val="none"/>
              </w:rPr>
              <w:t>细</w:t>
            </w:r>
            <w:r>
              <w:rPr>
                <w:color w:val="auto"/>
                <w:highlight w:val="none"/>
              </w:rPr>
              <w:t>碎车间</w:t>
            </w:r>
          </w:p>
        </w:tc>
        <w:tc>
          <w:tcPr>
            <w:tcW w:w="462" w:type="pct"/>
            <w:tcBorders>
              <w:tl2br w:val="nil"/>
              <w:tr2bl w:val="nil"/>
            </w:tcBorders>
            <w:vAlign w:val="center"/>
          </w:tcPr>
          <w:p w14:paraId="0FAB411F">
            <w:pPr>
              <w:pStyle w:val="41"/>
              <w:rPr>
                <w:color w:val="auto"/>
                <w:highlight w:val="none"/>
              </w:rPr>
            </w:pPr>
            <w:r>
              <w:rPr>
                <w:color w:val="auto"/>
                <w:highlight w:val="none"/>
              </w:rPr>
              <w:t>颗粒物</w:t>
            </w:r>
          </w:p>
        </w:tc>
        <w:tc>
          <w:tcPr>
            <w:tcW w:w="300" w:type="pct"/>
            <w:vMerge w:val="continue"/>
            <w:tcBorders>
              <w:tl2br w:val="nil"/>
              <w:tr2bl w:val="nil"/>
            </w:tcBorders>
            <w:vAlign w:val="center"/>
          </w:tcPr>
          <w:p w14:paraId="37EDE973">
            <w:pPr>
              <w:pStyle w:val="41"/>
              <w:rPr>
                <w:color w:val="auto"/>
                <w:highlight w:val="none"/>
              </w:rPr>
            </w:pPr>
          </w:p>
        </w:tc>
        <w:tc>
          <w:tcPr>
            <w:tcW w:w="852" w:type="pct"/>
            <w:tcBorders>
              <w:tl2br w:val="nil"/>
              <w:tr2bl w:val="nil"/>
            </w:tcBorders>
            <w:vAlign w:val="center"/>
          </w:tcPr>
          <w:p w14:paraId="3D21BA8B">
            <w:pPr>
              <w:pStyle w:val="41"/>
              <w:rPr>
                <w:color w:val="auto"/>
                <w:highlight w:val="none"/>
              </w:rPr>
            </w:pPr>
            <w:r>
              <w:rPr>
                <w:color w:val="auto"/>
                <w:highlight w:val="none"/>
              </w:rPr>
              <w:t>封闭式厂房</w:t>
            </w:r>
          </w:p>
        </w:tc>
        <w:tc>
          <w:tcPr>
            <w:tcW w:w="369" w:type="pct"/>
            <w:tcBorders>
              <w:tl2br w:val="nil"/>
              <w:tr2bl w:val="nil"/>
            </w:tcBorders>
            <w:vAlign w:val="center"/>
          </w:tcPr>
          <w:p w14:paraId="51FE3133">
            <w:pPr>
              <w:pStyle w:val="41"/>
              <w:rPr>
                <w:color w:val="auto"/>
                <w:highlight w:val="none"/>
              </w:rPr>
            </w:pPr>
            <w:r>
              <w:rPr>
                <w:rFonts w:hint="eastAsia"/>
                <w:color w:val="auto"/>
                <w:highlight w:val="none"/>
              </w:rPr>
              <w:t>0.078529</w:t>
            </w:r>
          </w:p>
        </w:tc>
        <w:tc>
          <w:tcPr>
            <w:tcW w:w="1415" w:type="dxa"/>
            <w:tcBorders>
              <w:tl2br w:val="nil"/>
              <w:tr2bl w:val="nil"/>
            </w:tcBorders>
            <w:vAlign w:val="center"/>
          </w:tcPr>
          <w:p w14:paraId="1FB24F0A">
            <w:pPr>
              <w:pStyle w:val="41"/>
              <w:rPr>
                <w:color w:val="auto"/>
                <w:highlight w:val="none"/>
              </w:rPr>
            </w:pPr>
            <w:r>
              <w:rPr>
                <w:rFonts w:hint="eastAsia"/>
                <w:color w:val="auto"/>
                <w:highlight w:val="none"/>
              </w:rPr>
              <w:t xml:space="preserve">0.01 </w:t>
            </w:r>
          </w:p>
        </w:tc>
        <w:tc>
          <w:tcPr>
            <w:tcW w:w="355" w:type="pct"/>
            <w:tcBorders>
              <w:tl2br w:val="nil"/>
              <w:tr2bl w:val="nil"/>
            </w:tcBorders>
            <w:vAlign w:val="center"/>
          </w:tcPr>
          <w:p w14:paraId="168F007C">
            <w:pPr>
              <w:pStyle w:val="41"/>
              <w:rPr>
                <w:color w:val="auto"/>
                <w:highlight w:val="none"/>
              </w:rPr>
            </w:pPr>
            <w:r>
              <w:rPr>
                <w:color w:val="auto"/>
                <w:highlight w:val="none"/>
              </w:rPr>
              <w:t>/</w:t>
            </w:r>
          </w:p>
        </w:tc>
        <w:tc>
          <w:tcPr>
            <w:tcW w:w="435" w:type="pct"/>
            <w:vMerge w:val="continue"/>
            <w:tcBorders>
              <w:tl2br w:val="nil"/>
              <w:tr2bl w:val="nil"/>
            </w:tcBorders>
            <w:vAlign w:val="center"/>
          </w:tcPr>
          <w:p w14:paraId="07126453">
            <w:pPr>
              <w:pStyle w:val="41"/>
              <w:rPr>
                <w:color w:val="auto"/>
                <w:highlight w:val="none"/>
              </w:rPr>
            </w:pPr>
          </w:p>
        </w:tc>
        <w:tc>
          <w:tcPr>
            <w:tcW w:w="903" w:type="pct"/>
            <w:vMerge w:val="continue"/>
            <w:tcBorders>
              <w:tl2br w:val="nil"/>
              <w:tr2bl w:val="nil"/>
            </w:tcBorders>
            <w:vAlign w:val="center"/>
          </w:tcPr>
          <w:p w14:paraId="679F7E5F">
            <w:pPr>
              <w:pStyle w:val="41"/>
              <w:rPr>
                <w:color w:val="auto"/>
                <w:highlight w:val="none"/>
              </w:rPr>
            </w:pPr>
          </w:p>
        </w:tc>
      </w:tr>
      <w:tr w14:paraId="34F2B1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183B9172">
            <w:pPr>
              <w:pStyle w:val="41"/>
              <w:rPr>
                <w:color w:val="auto"/>
                <w:highlight w:val="none"/>
              </w:rPr>
            </w:pPr>
          </w:p>
        </w:tc>
        <w:tc>
          <w:tcPr>
            <w:tcW w:w="664" w:type="pct"/>
            <w:vMerge w:val="restart"/>
            <w:tcBorders>
              <w:tl2br w:val="nil"/>
              <w:tr2bl w:val="nil"/>
            </w:tcBorders>
            <w:vAlign w:val="center"/>
          </w:tcPr>
          <w:p w14:paraId="40478C12">
            <w:pPr>
              <w:pStyle w:val="41"/>
              <w:rPr>
                <w:color w:val="auto"/>
                <w:highlight w:val="none"/>
              </w:rPr>
            </w:pPr>
            <w:r>
              <w:rPr>
                <w:rFonts w:hint="eastAsia"/>
                <w:color w:val="auto"/>
                <w:highlight w:val="none"/>
              </w:rPr>
              <w:t>1号振动</w:t>
            </w:r>
            <w:r>
              <w:rPr>
                <w:rFonts w:hint="eastAsia"/>
                <w:color w:val="auto"/>
                <w:highlight w:val="none"/>
                <w:lang w:eastAsia="zh-CN"/>
              </w:rPr>
              <w:t>筛分</w:t>
            </w:r>
            <w:r>
              <w:rPr>
                <w:rFonts w:hint="eastAsia"/>
                <w:color w:val="auto"/>
                <w:highlight w:val="none"/>
              </w:rPr>
              <w:t>车间</w:t>
            </w:r>
          </w:p>
        </w:tc>
        <w:tc>
          <w:tcPr>
            <w:tcW w:w="462" w:type="pct"/>
            <w:tcBorders>
              <w:tl2br w:val="nil"/>
              <w:tr2bl w:val="nil"/>
            </w:tcBorders>
            <w:vAlign w:val="center"/>
          </w:tcPr>
          <w:p w14:paraId="13D55739">
            <w:pPr>
              <w:pStyle w:val="41"/>
              <w:rPr>
                <w:color w:val="auto"/>
                <w:highlight w:val="none"/>
              </w:rPr>
            </w:pPr>
            <w:r>
              <w:rPr>
                <w:color w:val="auto"/>
                <w:highlight w:val="none"/>
              </w:rPr>
              <w:t>颗粒物</w:t>
            </w:r>
          </w:p>
        </w:tc>
        <w:tc>
          <w:tcPr>
            <w:tcW w:w="300" w:type="pct"/>
            <w:vMerge w:val="continue"/>
            <w:tcBorders>
              <w:tl2br w:val="nil"/>
              <w:tr2bl w:val="nil"/>
            </w:tcBorders>
            <w:vAlign w:val="center"/>
          </w:tcPr>
          <w:p w14:paraId="7A7FE086">
            <w:pPr>
              <w:pStyle w:val="41"/>
              <w:rPr>
                <w:color w:val="auto"/>
                <w:highlight w:val="none"/>
              </w:rPr>
            </w:pPr>
          </w:p>
        </w:tc>
        <w:tc>
          <w:tcPr>
            <w:tcW w:w="852" w:type="pct"/>
            <w:tcBorders>
              <w:tl2br w:val="nil"/>
              <w:tr2bl w:val="nil"/>
            </w:tcBorders>
            <w:vAlign w:val="center"/>
          </w:tcPr>
          <w:p w14:paraId="16D56513">
            <w:pPr>
              <w:pStyle w:val="41"/>
              <w:rPr>
                <w:color w:val="auto"/>
                <w:highlight w:val="none"/>
              </w:rPr>
            </w:pPr>
            <w:r>
              <w:rPr>
                <w:color w:val="auto"/>
                <w:highlight w:val="none"/>
              </w:rPr>
              <w:t>封闭式厂房</w:t>
            </w:r>
          </w:p>
        </w:tc>
        <w:tc>
          <w:tcPr>
            <w:tcW w:w="369" w:type="pct"/>
            <w:tcBorders>
              <w:tl2br w:val="nil"/>
              <w:tr2bl w:val="nil"/>
            </w:tcBorders>
            <w:vAlign w:val="center"/>
          </w:tcPr>
          <w:p w14:paraId="13934F10">
            <w:pPr>
              <w:pStyle w:val="41"/>
              <w:rPr>
                <w:color w:val="auto"/>
                <w:highlight w:val="none"/>
              </w:rPr>
            </w:pPr>
            <w:r>
              <w:rPr>
                <w:rFonts w:hint="eastAsia"/>
                <w:color w:val="auto"/>
                <w:highlight w:val="none"/>
              </w:rPr>
              <w:t>0.078529</w:t>
            </w:r>
          </w:p>
        </w:tc>
        <w:tc>
          <w:tcPr>
            <w:tcW w:w="1415" w:type="dxa"/>
            <w:tcBorders>
              <w:tl2br w:val="nil"/>
              <w:tr2bl w:val="nil"/>
            </w:tcBorders>
            <w:vAlign w:val="center"/>
          </w:tcPr>
          <w:p w14:paraId="154CE564">
            <w:pPr>
              <w:pStyle w:val="41"/>
              <w:rPr>
                <w:color w:val="auto"/>
                <w:highlight w:val="none"/>
              </w:rPr>
            </w:pPr>
            <w:r>
              <w:rPr>
                <w:rFonts w:hint="eastAsia"/>
                <w:color w:val="auto"/>
                <w:highlight w:val="none"/>
              </w:rPr>
              <w:t xml:space="preserve">0.01 </w:t>
            </w:r>
          </w:p>
        </w:tc>
        <w:tc>
          <w:tcPr>
            <w:tcW w:w="355" w:type="pct"/>
            <w:tcBorders>
              <w:tl2br w:val="nil"/>
              <w:tr2bl w:val="nil"/>
            </w:tcBorders>
            <w:vAlign w:val="center"/>
          </w:tcPr>
          <w:p w14:paraId="4208F93B">
            <w:pPr>
              <w:pStyle w:val="41"/>
              <w:rPr>
                <w:color w:val="auto"/>
                <w:highlight w:val="none"/>
              </w:rPr>
            </w:pPr>
            <w:r>
              <w:rPr>
                <w:color w:val="auto"/>
                <w:highlight w:val="none"/>
              </w:rPr>
              <w:t>/</w:t>
            </w:r>
          </w:p>
        </w:tc>
        <w:tc>
          <w:tcPr>
            <w:tcW w:w="435" w:type="pct"/>
            <w:vMerge w:val="continue"/>
            <w:tcBorders>
              <w:tl2br w:val="nil"/>
              <w:tr2bl w:val="nil"/>
            </w:tcBorders>
            <w:vAlign w:val="center"/>
          </w:tcPr>
          <w:p w14:paraId="6D4E2658">
            <w:pPr>
              <w:pStyle w:val="41"/>
              <w:rPr>
                <w:color w:val="auto"/>
                <w:highlight w:val="none"/>
              </w:rPr>
            </w:pPr>
          </w:p>
        </w:tc>
        <w:tc>
          <w:tcPr>
            <w:tcW w:w="903" w:type="pct"/>
            <w:vMerge w:val="continue"/>
            <w:tcBorders>
              <w:tl2br w:val="nil"/>
              <w:tr2bl w:val="nil"/>
            </w:tcBorders>
            <w:vAlign w:val="center"/>
          </w:tcPr>
          <w:p w14:paraId="6A21FCF8">
            <w:pPr>
              <w:pStyle w:val="41"/>
              <w:rPr>
                <w:color w:val="auto"/>
                <w:highlight w:val="none"/>
              </w:rPr>
            </w:pPr>
          </w:p>
        </w:tc>
      </w:tr>
      <w:tr w14:paraId="439C01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5D9BDB0A">
            <w:pPr>
              <w:pStyle w:val="41"/>
              <w:rPr>
                <w:color w:val="auto"/>
                <w:highlight w:val="none"/>
              </w:rPr>
            </w:pPr>
          </w:p>
        </w:tc>
        <w:tc>
          <w:tcPr>
            <w:tcW w:w="664" w:type="pct"/>
            <w:vMerge w:val="continue"/>
            <w:tcBorders>
              <w:tl2br w:val="nil"/>
              <w:tr2bl w:val="nil"/>
            </w:tcBorders>
            <w:vAlign w:val="center"/>
          </w:tcPr>
          <w:p w14:paraId="3F2EF91B">
            <w:pPr>
              <w:pStyle w:val="41"/>
              <w:rPr>
                <w:color w:val="auto"/>
                <w:highlight w:val="none"/>
              </w:rPr>
            </w:pPr>
          </w:p>
        </w:tc>
        <w:tc>
          <w:tcPr>
            <w:tcW w:w="462" w:type="pct"/>
            <w:tcBorders>
              <w:tl2br w:val="nil"/>
              <w:tr2bl w:val="nil"/>
            </w:tcBorders>
            <w:vAlign w:val="center"/>
          </w:tcPr>
          <w:p w14:paraId="08175EEC">
            <w:pPr>
              <w:pStyle w:val="41"/>
              <w:rPr>
                <w:color w:val="auto"/>
                <w:highlight w:val="none"/>
              </w:rPr>
            </w:pPr>
            <w:r>
              <w:rPr>
                <w:color w:val="auto"/>
                <w:highlight w:val="none"/>
              </w:rPr>
              <w:t>颗粒物</w:t>
            </w:r>
          </w:p>
        </w:tc>
        <w:tc>
          <w:tcPr>
            <w:tcW w:w="300" w:type="pct"/>
            <w:vMerge w:val="continue"/>
            <w:tcBorders>
              <w:tl2br w:val="nil"/>
              <w:tr2bl w:val="nil"/>
            </w:tcBorders>
            <w:vAlign w:val="center"/>
          </w:tcPr>
          <w:p w14:paraId="03A13C9C">
            <w:pPr>
              <w:pStyle w:val="41"/>
              <w:rPr>
                <w:color w:val="auto"/>
                <w:highlight w:val="none"/>
              </w:rPr>
            </w:pPr>
          </w:p>
        </w:tc>
        <w:tc>
          <w:tcPr>
            <w:tcW w:w="852" w:type="pct"/>
            <w:tcBorders>
              <w:tl2br w:val="nil"/>
              <w:tr2bl w:val="nil"/>
            </w:tcBorders>
            <w:vAlign w:val="center"/>
          </w:tcPr>
          <w:p w14:paraId="5B9EDAFA">
            <w:pPr>
              <w:pStyle w:val="41"/>
              <w:rPr>
                <w:color w:val="auto"/>
                <w:highlight w:val="none"/>
              </w:rPr>
            </w:pPr>
            <w:r>
              <w:rPr>
                <w:color w:val="auto"/>
                <w:highlight w:val="none"/>
              </w:rPr>
              <w:t>封闭式厂房</w:t>
            </w:r>
          </w:p>
        </w:tc>
        <w:tc>
          <w:tcPr>
            <w:tcW w:w="369" w:type="pct"/>
            <w:tcBorders>
              <w:tl2br w:val="nil"/>
              <w:tr2bl w:val="nil"/>
            </w:tcBorders>
            <w:vAlign w:val="center"/>
          </w:tcPr>
          <w:p w14:paraId="78438C66">
            <w:pPr>
              <w:pStyle w:val="41"/>
              <w:rPr>
                <w:color w:val="auto"/>
                <w:highlight w:val="none"/>
              </w:rPr>
            </w:pPr>
            <w:r>
              <w:rPr>
                <w:rFonts w:hint="eastAsia"/>
                <w:color w:val="auto"/>
                <w:highlight w:val="none"/>
              </w:rPr>
              <w:t>0.078529</w:t>
            </w:r>
          </w:p>
        </w:tc>
        <w:tc>
          <w:tcPr>
            <w:tcW w:w="1415" w:type="dxa"/>
            <w:tcBorders>
              <w:tl2br w:val="nil"/>
              <w:tr2bl w:val="nil"/>
            </w:tcBorders>
            <w:vAlign w:val="center"/>
          </w:tcPr>
          <w:p w14:paraId="526E0E41">
            <w:pPr>
              <w:pStyle w:val="41"/>
              <w:rPr>
                <w:color w:val="auto"/>
                <w:highlight w:val="none"/>
              </w:rPr>
            </w:pPr>
            <w:r>
              <w:rPr>
                <w:rFonts w:hint="eastAsia"/>
                <w:color w:val="auto"/>
                <w:highlight w:val="none"/>
              </w:rPr>
              <w:t xml:space="preserve">0.01 </w:t>
            </w:r>
          </w:p>
        </w:tc>
        <w:tc>
          <w:tcPr>
            <w:tcW w:w="355" w:type="pct"/>
            <w:tcBorders>
              <w:tl2br w:val="nil"/>
              <w:tr2bl w:val="nil"/>
            </w:tcBorders>
            <w:vAlign w:val="center"/>
          </w:tcPr>
          <w:p w14:paraId="6325AE5A">
            <w:pPr>
              <w:pStyle w:val="41"/>
              <w:rPr>
                <w:color w:val="auto"/>
                <w:highlight w:val="none"/>
              </w:rPr>
            </w:pPr>
            <w:r>
              <w:rPr>
                <w:color w:val="auto"/>
                <w:highlight w:val="none"/>
              </w:rPr>
              <w:t>/</w:t>
            </w:r>
          </w:p>
        </w:tc>
        <w:tc>
          <w:tcPr>
            <w:tcW w:w="435" w:type="pct"/>
            <w:vMerge w:val="continue"/>
            <w:tcBorders>
              <w:tl2br w:val="nil"/>
              <w:tr2bl w:val="nil"/>
            </w:tcBorders>
            <w:vAlign w:val="center"/>
          </w:tcPr>
          <w:p w14:paraId="379E8B43">
            <w:pPr>
              <w:pStyle w:val="41"/>
              <w:rPr>
                <w:color w:val="auto"/>
                <w:highlight w:val="none"/>
              </w:rPr>
            </w:pPr>
          </w:p>
        </w:tc>
        <w:tc>
          <w:tcPr>
            <w:tcW w:w="903" w:type="pct"/>
            <w:vMerge w:val="continue"/>
            <w:tcBorders>
              <w:tl2br w:val="nil"/>
              <w:tr2bl w:val="nil"/>
            </w:tcBorders>
            <w:vAlign w:val="center"/>
          </w:tcPr>
          <w:p w14:paraId="585157A4">
            <w:pPr>
              <w:pStyle w:val="41"/>
              <w:rPr>
                <w:color w:val="auto"/>
                <w:highlight w:val="none"/>
              </w:rPr>
            </w:pPr>
          </w:p>
        </w:tc>
      </w:tr>
      <w:tr w14:paraId="67B4A1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52EAAED4">
            <w:pPr>
              <w:pStyle w:val="41"/>
              <w:rPr>
                <w:color w:val="auto"/>
                <w:highlight w:val="none"/>
              </w:rPr>
            </w:pPr>
          </w:p>
        </w:tc>
        <w:tc>
          <w:tcPr>
            <w:tcW w:w="664" w:type="pct"/>
            <w:tcBorders>
              <w:tl2br w:val="nil"/>
              <w:tr2bl w:val="nil"/>
            </w:tcBorders>
            <w:vAlign w:val="center"/>
          </w:tcPr>
          <w:p w14:paraId="1041DC47">
            <w:pPr>
              <w:pStyle w:val="41"/>
              <w:rPr>
                <w:color w:val="auto"/>
                <w:highlight w:val="none"/>
              </w:rPr>
            </w:pPr>
            <w:r>
              <w:rPr>
                <w:rFonts w:hint="eastAsia"/>
                <w:color w:val="auto"/>
                <w:highlight w:val="none"/>
              </w:rPr>
              <w:t>2号振动</w:t>
            </w:r>
            <w:r>
              <w:rPr>
                <w:rFonts w:hint="eastAsia"/>
                <w:color w:val="auto"/>
                <w:highlight w:val="none"/>
                <w:lang w:eastAsia="zh-CN"/>
              </w:rPr>
              <w:t>筛分</w:t>
            </w:r>
            <w:r>
              <w:rPr>
                <w:rFonts w:hint="eastAsia"/>
                <w:color w:val="auto"/>
                <w:highlight w:val="none"/>
              </w:rPr>
              <w:t>车间</w:t>
            </w:r>
          </w:p>
        </w:tc>
        <w:tc>
          <w:tcPr>
            <w:tcW w:w="462" w:type="pct"/>
            <w:tcBorders>
              <w:tl2br w:val="nil"/>
              <w:tr2bl w:val="nil"/>
            </w:tcBorders>
            <w:vAlign w:val="center"/>
          </w:tcPr>
          <w:p w14:paraId="49AC3A6D">
            <w:pPr>
              <w:pStyle w:val="41"/>
              <w:rPr>
                <w:color w:val="auto"/>
                <w:highlight w:val="none"/>
              </w:rPr>
            </w:pPr>
            <w:r>
              <w:rPr>
                <w:color w:val="auto"/>
                <w:highlight w:val="none"/>
              </w:rPr>
              <w:t>颗粒物</w:t>
            </w:r>
          </w:p>
        </w:tc>
        <w:tc>
          <w:tcPr>
            <w:tcW w:w="300" w:type="pct"/>
            <w:vMerge w:val="continue"/>
            <w:tcBorders>
              <w:tl2br w:val="nil"/>
              <w:tr2bl w:val="nil"/>
            </w:tcBorders>
            <w:vAlign w:val="center"/>
          </w:tcPr>
          <w:p w14:paraId="6F4A4EFF">
            <w:pPr>
              <w:pStyle w:val="41"/>
              <w:rPr>
                <w:color w:val="auto"/>
                <w:highlight w:val="none"/>
              </w:rPr>
            </w:pPr>
          </w:p>
        </w:tc>
        <w:tc>
          <w:tcPr>
            <w:tcW w:w="852" w:type="pct"/>
            <w:tcBorders>
              <w:tl2br w:val="nil"/>
              <w:tr2bl w:val="nil"/>
            </w:tcBorders>
            <w:vAlign w:val="center"/>
          </w:tcPr>
          <w:p w14:paraId="10C57FF4">
            <w:pPr>
              <w:pStyle w:val="41"/>
              <w:rPr>
                <w:color w:val="auto"/>
                <w:highlight w:val="none"/>
              </w:rPr>
            </w:pPr>
            <w:r>
              <w:rPr>
                <w:color w:val="auto"/>
                <w:highlight w:val="none"/>
              </w:rPr>
              <w:t>封闭式厂房</w:t>
            </w:r>
          </w:p>
        </w:tc>
        <w:tc>
          <w:tcPr>
            <w:tcW w:w="369" w:type="pct"/>
            <w:tcBorders>
              <w:tl2br w:val="nil"/>
              <w:tr2bl w:val="nil"/>
            </w:tcBorders>
            <w:vAlign w:val="center"/>
          </w:tcPr>
          <w:p w14:paraId="03CA7C1A">
            <w:pPr>
              <w:pStyle w:val="41"/>
              <w:rPr>
                <w:color w:val="auto"/>
                <w:highlight w:val="none"/>
              </w:rPr>
            </w:pPr>
            <w:r>
              <w:rPr>
                <w:rFonts w:hint="eastAsia"/>
                <w:color w:val="auto"/>
                <w:highlight w:val="none"/>
              </w:rPr>
              <w:t>0.078529</w:t>
            </w:r>
          </w:p>
        </w:tc>
        <w:tc>
          <w:tcPr>
            <w:tcW w:w="1415" w:type="dxa"/>
            <w:tcBorders>
              <w:tl2br w:val="nil"/>
              <w:tr2bl w:val="nil"/>
            </w:tcBorders>
            <w:vAlign w:val="center"/>
          </w:tcPr>
          <w:p w14:paraId="0A07975D">
            <w:pPr>
              <w:pStyle w:val="41"/>
              <w:rPr>
                <w:color w:val="auto"/>
                <w:highlight w:val="none"/>
              </w:rPr>
            </w:pPr>
            <w:r>
              <w:rPr>
                <w:rFonts w:hint="eastAsia"/>
                <w:color w:val="auto"/>
                <w:highlight w:val="none"/>
              </w:rPr>
              <w:t xml:space="preserve">0.01 </w:t>
            </w:r>
          </w:p>
        </w:tc>
        <w:tc>
          <w:tcPr>
            <w:tcW w:w="355" w:type="pct"/>
            <w:tcBorders>
              <w:tl2br w:val="nil"/>
              <w:tr2bl w:val="nil"/>
            </w:tcBorders>
            <w:vAlign w:val="center"/>
          </w:tcPr>
          <w:p w14:paraId="60467AD0">
            <w:pPr>
              <w:pStyle w:val="41"/>
              <w:rPr>
                <w:color w:val="auto"/>
                <w:highlight w:val="none"/>
              </w:rPr>
            </w:pPr>
            <w:r>
              <w:rPr>
                <w:color w:val="auto"/>
                <w:highlight w:val="none"/>
              </w:rPr>
              <w:t>/</w:t>
            </w:r>
          </w:p>
        </w:tc>
        <w:tc>
          <w:tcPr>
            <w:tcW w:w="435" w:type="pct"/>
            <w:vMerge w:val="continue"/>
            <w:tcBorders>
              <w:tl2br w:val="nil"/>
              <w:tr2bl w:val="nil"/>
            </w:tcBorders>
            <w:vAlign w:val="center"/>
          </w:tcPr>
          <w:p w14:paraId="0AE267F7">
            <w:pPr>
              <w:pStyle w:val="41"/>
              <w:rPr>
                <w:color w:val="auto"/>
                <w:highlight w:val="none"/>
              </w:rPr>
            </w:pPr>
          </w:p>
        </w:tc>
        <w:tc>
          <w:tcPr>
            <w:tcW w:w="903" w:type="pct"/>
            <w:vMerge w:val="continue"/>
            <w:tcBorders>
              <w:tl2br w:val="nil"/>
              <w:tr2bl w:val="nil"/>
            </w:tcBorders>
            <w:vAlign w:val="center"/>
          </w:tcPr>
          <w:p w14:paraId="2ABB1F83">
            <w:pPr>
              <w:pStyle w:val="41"/>
              <w:rPr>
                <w:color w:val="auto"/>
                <w:highlight w:val="none"/>
              </w:rPr>
            </w:pPr>
          </w:p>
        </w:tc>
      </w:tr>
      <w:tr w14:paraId="2E1A18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17A7A56D">
            <w:pPr>
              <w:pStyle w:val="41"/>
              <w:rPr>
                <w:color w:val="auto"/>
                <w:highlight w:val="none"/>
              </w:rPr>
            </w:pPr>
          </w:p>
        </w:tc>
        <w:tc>
          <w:tcPr>
            <w:tcW w:w="664" w:type="pct"/>
            <w:tcBorders>
              <w:tl2br w:val="nil"/>
              <w:tr2bl w:val="nil"/>
            </w:tcBorders>
            <w:vAlign w:val="center"/>
          </w:tcPr>
          <w:p w14:paraId="15820757">
            <w:pPr>
              <w:pStyle w:val="41"/>
              <w:rPr>
                <w:color w:val="auto"/>
                <w:highlight w:val="none"/>
              </w:rPr>
            </w:pPr>
            <w:r>
              <w:rPr>
                <w:rFonts w:hint="eastAsia"/>
                <w:color w:val="auto"/>
                <w:highlight w:val="none"/>
              </w:rPr>
              <w:t>3号振动</w:t>
            </w:r>
            <w:r>
              <w:rPr>
                <w:rFonts w:hint="eastAsia"/>
                <w:color w:val="auto"/>
                <w:highlight w:val="none"/>
                <w:lang w:eastAsia="zh-CN"/>
              </w:rPr>
              <w:t>筛分</w:t>
            </w:r>
            <w:r>
              <w:rPr>
                <w:rFonts w:hint="eastAsia"/>
                <w:color w:val="auto"/>
                <w:highlight w:val="none"/>
              </w:rPr>
              <w:t>车间</w:t>
            </w:r>
          </w:p>
        </w:tc>
        <w:tc>
          <w:tcPr>
            <w:tcW w:w="462" w:type="pct"/>
            <w:tcBorders>
              <w:tl2br w:val="nil"/>
              <w:tr2bl w:val="nil"/>
            </w:tcBorders>
            <w:vAlign w:val="center"/>
          </w:tcPr>
          <w:p w14:paraId="386045AF">
            <w:pPr>
              <w:pStyle w:val="41"/>
              <w:rPr>
                <w:color w:val="auto"/>
                <w:highlight w:val="none"/>
              </w:rPr>
            </w:pPr>
            <w:r>
              <w:rPr>
                <w:color w:val="auto"/>
                <w:highlight w:val="none"/>
              </w:rPr>
              <w:t>颗粒物</w:t>
            </w:r>
          </w:p>
        </w:tc>
        <w:tc>
          <w:tcPr>
            <w:tcW w:w="300" w:type="pct"/>
            <w:vMerge w:val="continue"/>
            <w:tcBorders>
              <w:tl2br w:val="nil"/>
              <w:tr2bl w:val="nil"/>
            </w:tcBorders>
            <w:vAlign w:val="center"/>
          </w:tcPr>
          <w:p w14:paraId="605E2370">
            <w:pPr>
              <w:pStyle w:val="41"/>
              <w:rPr>
                <w:color w:val="auto"/>
                <w:highlight w:val="none"/>
              </w:rPr>
            </w:pPr>
          </w:p>
        </w:tc>
        <w:tc>
          <w:tcPr>
            <w:tcW w:w="852" w:type="pct"/>
            <w:tcBorders>
              <w:tl2br w:val="nil"/>
              <w:tr2bl w:val="nil"/>
            </w:tcBorders>
            <w:vAlign w:val="center"/>
          </w:tcPr>
          <w:p w14:paraId="168269DD">
            <w:pPr>
              <w:pStyle w:val="41"/>
              <w:rPr>
                <w:color w:val="auto"/>
                <w:highlight w:val="none"/>
              </w:rPr>
            </w:pPr>
            <w:r>
              <w:rPr>
                <w:color w:val="auto"/>
                <w:highlight w:val="none"/>
              </w:rPr>
              <w:t>封闭式厂房</w:t>
            </w:r>
          </w:p>
        </w:tc>
        <w:tc>
          <w:tcPr>
            <w:tcW w:w="369" w:type="pct"/>
            <w:tcBorders>
              <w:tl2br w:val="nil"/>
              <w:tr2bl w:val="nil"/>
            </w:tcBorders>
            <w:vAlign w:val="center"/>
          </w:tcPr>
          <w:p w14:paraId="24240586">
            <w:pPr>
              <w:pStyle w:val="41"/>
              <w:rPr>
                <w:color w:val="auto"/>
                <w:highlight w:val="none"/>
              </w:rPr>
            </w:pPr>
            <w:r>
              <w:rPr>
                <w:rFonts w:hint="eastAsia"/>
                <w:color w:val="auto"/>
                <w:highlight w:val="none"/>
              </w:rPr>
              <w:t>0.078529</w:t>
            </w:r>
          </w:p>
        </w:tc>
        <w:tc>
          <w:tcPr>
            <w:tcW w:w="1415" w:type="dxa"/>
            <w:tcBorders>
              <w:tl2br w:val="nil"/>
              <w:tr2bl w:val="nil"/>
            </w:tcBorders>
            <w:vAlign w:val="center"/>
          </w:tcPr>
          <w:p w14:paraId="14F4AF0A">
            <w:pPr>
              <w:pStyle w:val="41"/>
              <w:rPr>
                <w:color w:val="auto"/>
                <w:highlight w:val="none"/>
              </w:rPr>
            </w:pPr>
            <w:r>
              <w:rPr>
                <w:rFonts w:hint="eastAsia"/>
                <w:color w:val="auto"/>
                <w:highlight w:val="none"/>
              </w:rPr>
              <w:t xml:space="preserve">0.01 </w:t>
            </w:r>
          </w:p>
        </w:tc>
        <w:tc>
          <w:tcPr>
            <w:tcW w:w="355" w:type="pct"/>
            <w:tcBorders>
              <w:tl2br w:val="nil"/>
              <w:tr2bl w:val="nil"/>
            </w:tcBorders>
            <w:vAlign w:val="center"/>
          </w:tcPr>
          <w:p w14:paraId="09EBBF72">
            <w:pPr>
              <w:pStyle w:val="41"/>
              <w:rPr>
                <w:color w:val="auto"/>
                <w:highlight w:val="none"/>
              </w:rPr>
            </w:pPr>
            <w:r>
              <w:rPr>
                <w:color w:val="auto"/>
                <w:highlight w:val="none"/>
              </w:rPr>
              <w:t>/</w:t>
            </w:r>
          </w:p>
        </w:tc>
        <w:tc>
          <w:tcPr>
            <w:tcW w:w="435" w:type="pct"/>
            <w:vMerge w:val="continue"/>
            <w:tcBorders>
              <w:tl2br w:val="nil"/>
              <w:tr2bl w:val="nil"/>
            </w:tcBorders>
            <w:vAlign w:val="center"/>
          </w:tcPr>
          <w:p w14:paraId="341C1D5B">
            <w:pPr>
              <w:pStyle w:val="41"/>
              <w:rPr>
                <w:color w:val="auto"/>
                <w:highlight w:val="none"/>
              </w:rPr>
            </w:pPr>
          </w:p>
        </w:tc>
        <w:tc>
          <w:tcPr>
            <w:tcW w:w="903" w:type="pct"/>
            <w:vMerge w:val="continue"/>
            <w:tcBorders>
              <w:tl2br w:val="nil"/>
              <w:tr2bl w:val="nil"/>
            </w:tcBorders>
            <w:vAlign w:val="center"/>
          </w:tcPr>
          <w:p w14:paraId="359EF497">
            <w:pPr>
              <w:pStyle w:val="41"/>
              <w:rPr>
                <w:color w:val="auto"/>
                <w:highlight w:val="none"/>
              </w:rPr>
            </w:pPr>
          </w:p>
        </w:tc>
      </w:tr>
      <w:tr w14:paraId="4F3765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3A1B6FB8">
            <w:pPr>
              <w:pStyle w:val="41"/>
              <w:rPr>
                <w:color w:val="auto"/>
                <w:highlight w:val="none"/>
              </w:rPr>
            </w:pPr>
          </w:p>
        </w:tc>
        <w:tc>
          <w:tcPr>
            <w:tcW w:w="664" w:type="pct"/>
            <w:tcBorders>
              <w:tl2br w:val="nil"/>
              <w:tr2bl w:val="nil"/>
            </w:tcBorders>
            <w:vAlign w:val="center"/>
          </w:tcPr>
          <w:p w14:paraId="4999AA41">
            <w:pPr>
              <w:pStyle w:val="41"/>
              <w:rPr>
                <w:color w:val="auto"/>
                <w:highlight w:val="none"/>
              </w:rPr>
            </w:pPr>
            <w:r>
              <w:rPr>
                <w:rFonts w:hint="eastAsia"/>
                <w:color w:val="auto"/>
                <w:highlight w:val="none"/>
              </w:rPr>
              <w:t>干抛磁选车间</w:t>
            </w:r>
          </w:p>
        </w:tc>
        <w:tc>
          <w:tcPr>
            <w:tcW w:w="462" w:type="pct"/>
            <w:tcBorders>
              <w:tl2br w:val="nil"/>
              <w:tr2bl w:val="nil"/>
            </w:tcBorders>
            <w:vAlign w:val="center"/>
          </w:tcPr>
          <w:p w14:paraId="2725533C">
            <w:pPr>
              <w:pStyle w:val="41"/>
              <w:rPr>
                <w:color w:val="auto"/>
                <w:highlight w:val="none"/>
              </w:rPr>
            </w:pPr>
            <w:r>
              <w:rPr>
                <w:color w:val="auto"/>
                <w:highlight w:val="none"/>
              </w:rPr>
              <w:t>颗粒物</w:t>
            </w:r>
          </w:p>
        </w:tc>
        <w:tc>
          <w:tcPr>
            <w:tcW w:w="300" w:type="pct"/>
            <w:vMerge w:val="continue"/>
            <w:tcBorders>
              <w:tl2br w:val="nil"/>
              <w:tr2bl w:val="nil"/>
            </w:tcBorders>
            <w:vAlign w:val="center"/>
          </w:tcPr>
          <w:p w14:paraId="5DF6F38C">
            <w:pPr>
              <w:pStyle w:val="41"/>
              <w:rPr>
                <w:color w:val="auto"/>
                <w:highlight w:val="none"/>
              </w:rPr>
            </w:pPr>
          </w:p>
        </w:tc>
        <w:tc>
          <w:tcPr>
            <w:tcW w:w="852" w:type="pct"/>
            <w:tcBorders>
              <w:tl2br w:val="nil"/>
              <w:tr2bl w:val="nil"/>
            </w:tcBorders>
            <w:vAlign w:val="center"/>
          </w:tcPr>
          <w:p w14:paraId="65EA1806">
            <w:pPr>
              <w:pStyle w:val="41"/>
              <w:rPr>
                <w:color w:val="auto"/>
                <w:highlight w:val="none"/>
              </w:rPr>
            </w:pPr>
            <w:r>
              <w:rPr>
                <w:color w:val="auto"/>
                <w:highlight w:val="none"/>
              </w:rPr>
              <w:t>封闭式厂房</w:t>
            </w:r>
          </w:p>
        </w:tc>
        <w:tc>
          <w:tcPr>
            <w:tcW w:w="369" w:type="pct"/>
            <w:tcBorders>
              <w:tl2br w:val="nil"/>
              <w:tr2bl w:val="nil"/>
            </w:tcBorders>
            <w:vAlign w:val="center"/>
          </w:tcPr>
          <w:p w14:paraId="60A89A09">
            <w:pPr>
              <w:pStyle w:val="41"/>
              <w:rPr>
                <w:color w:val="auto"/>
                <w:highlight w:val="none"/>
              </w:rPr>
            </w:pPr>
            <w:r>
              <w:rPr>
                <w:rFonts w:hint="eastAsia"/>
                <w:color w:val="auto"/>
                <w:highlight w:val="none"/>
              </w:rPr>
              <w:t>0.078529</w:t>
            </w:r>
          </w:p>
        </w:tc>
        <w:tc>
          <w:tcPr>
            <w:tcW w:w="1415" w:type="dxa"/>
            <w:tcBorders>
              <w:tl2br w:val="nil"/>
              <w:tr2bl w:val="nil"/>
            </w:tcBorders>
            <w:vAlign w:val="center"/>
          </w:tcPr>
          <w:p w14:paraId="3F2A2EC6">
            <w:pPr>
              <w:pStyle w:val="41"/>
              <w:rPr>
                <w:color w:val="auto"/>
                <w:highlight w:val="none"/>
              </w:rPr>
            </w:pPr>
            <w:r>
              <w:rPr>
                <w:rFonts w:hint="eastAsia"/>
                <w:color w:val="auto"/>
                <w:highlight w:val="none"/>
              </w:rPr>
              <w:t xml:space="preserve">0.01 </w:t>
            </w:r>
          </w:p>
        </w:tc>
        <w:tc>
          <w:tcPr>
            <w:tcW w:w="355" w:type="pct"/>
            <w:tcBorders>
              <w:tl2br w:val="nil"/>
              <w:tr2bl w:val="nil"/>
            </w:tcBorders>
            <w:vAlign w:val="center"/>
          </w:tcPr>
          <w:p w14:paraId="50514429">
            <w:pPr>
              <w:pStyle w:val="41"/>
              <w:rPr>
                <w:color w:val="auto"/>
                <w:highlight w:val="none"/>
              </w:rPr>
            </w:pPr>
            <w:r>
              <w:rPr>
                <w:color w:val="auto"/>
                <w:highlight w:val="none"/>
              </w:rPr>
              <w:t>/</w:t>
            </w:r>
          </w:p>
        </w:tc>
        <w:tc>
          <w:tcPr>
            <w:tcW w:w="435" w:type="pct"/>
            <w:vMerge w:val="continue"/>
            <w:tcBorders>
              <w:tl2br w:val="nil"/>
              <w:tr2bl w:val="nil"/>
            </w:tcBorders>
            <w:vAlign w:val="center"/>
          </w:tcPr>
          <w:p w14:paraId="58B0B7C1">
            <w:pPr>
              <w:pStyle w:val="41"/>
              <w:rPr>
                <w:color w:val="auto"/>
                <w:highlight w:val="none"/>
              </w:rPr>
            </w:pPr>
          </w:p>
        </w:tc>
        <w:tc>
          <w:tcPr>
            <w:tcW w:w="903" w:type="pct"/>
            <w:vMerge w:val="continue"/>
            <w:tcBorders>
              <w:tl2br w:val="nil"/>
              <w:tr2bl w:val="nil"/>
            </w:tcBorders>
            <w:vAlign w:val="center"/>
          </w:tcPr>
          <w:p w14:paraId="0E863F4F">
            <w:pPr>
              <w:pStyle w:val="41"/>
              <w:rPr>
                <w:color w:val="auto"/>
                <w:highlight w:val="none"/>
              </w:rPr>
            </w:pPr>
          </w:p>
        </w:tc>
      </w:tr>
      <w:tr w14:paraId="1F7364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1B3096DC">
            <w:pPr>
              <w:pStyle w:val="41"/>
              <w:rPr>
                <w:color w:val="auto"/>
                <w:highlight w:val="none"/>
              </w:rPr>
            </w:pPr>
          </w:p>
        </w:tc>
        <w:tc>
          <w:tcPr>
            <w:tcW w:w="664" w:type="pct"/>
            <w:tcBorders>
              <w:tl2br w:val="nil"/>
              <w:tr2bl w:val="nil"/>
            </w:tcBorders>
            <w:vAlign w:val="center"/>
          </w:tcPr>
          <w:p w14:paraId="32183BE8">
            <w:pPr>
              <w:pStyle w:val="41"/>
              <w:rPr>
                <w:color w:val="auto"/>
                <w:highlight w:val="none"/>
              </w:rPr>
            </w:pPr>
            <w:r>
              <w:rPr>
                <w:rFonts w:hint="eastAsia"/>
                <w:color w:val="auto"/>
                <w:highlight w:val="none"/>
              </w:rPr>
              <w:t>干抛磁选车间</w:t>
            </w:r>
          </w:p>
        </w:tc>
        <w:tc>
          <w:tcPr>
            <w:tcW w:w="462" w:type="pct"/>
            <w:tcBorders>
              <w:tl2br w:val="nil"/>
              <w:tr2bl w:val="nil"/>
            </w:tcBorders>
            <w:vAlign w:val="center"/>
          </w:tcPr>
          <w:p w14:paraId="66BEFFC8">
            <w:pPr>
              <w:pStyle w:val="41"/>
              <w:rPr>
                <w:color w:val="auto"/>
                <w:highlight w:val="none"/>
              </w:rPr>
            </w:pPr>
            <w:r>
              <w:rPr>
                <w:color w:val="auto"/>
                <w:highlight w:val="none"/>
              </w:rPr>
              <w:t>颗粒物</w:t>
            </w:r>
          </w:p>
        </w:tc>
        <w:tc>
          <w:tcPr>
            <w:tcW w:w="300" w:type="pct"/>
            <w:vMerge w:val="continue"/>
            <w:tcBorders>
              <w:tl2br w:val="nil"/>
              <w:tr2bl w:val="nil"/>
            </w:tcBorders>
            <w:vAlign w:val="center"/>
          </w:tcPr>
          <w:p w14:paraId="486786F4">
            <w:pPr>
              <w:pStyle w:val="41"/>
              <w:rPr>
                <w:color w:val="auto"/>
                <w:highlight w:val="none"/>
              </w:rPr>
            </w:pPr>
          </w:p>
        </w:tc>
        <w:tc>
          <w:tcPr>
            <w:tcW w:w="852" w:type="pct"/>
            <w:tcBorders>
              <w:tl2br w:val="nil"/>
              <w:tr2bl w:val="nil"/>
            </w:tcBorders>
            <w:vAlign w:val="center"/>
          </w:tcPr>
          <w:p w14:paraId="46B11CAD">
            <w:pPr>
              <w:pStyle w:val="41"/>
              <w:rPr>
                <w:color w:val="auto"/>
                <w:highlight w:val="none"/>
              </w:rPr>
            </w:pPr>
            <w:r>
              <w:rPr>
                <w:color w:val="auto"/>
                <w:highlight w:val="none"/>
              </w:rPr>
              <w:t>封闭式厂房</w:t>
            </w:r>
          </w:p>
        </w:tc>
        <w:tc>
          <w:tcPr>
            <w:tcW w:w="369" w:type="pct"/>
            <w:tcBorders>
              <w:tl2br w:val="nil"/>
              <w:tr2bl w:val="nil"/>
            </w:tcBorders>
            <w:vAlign w:val="center"/>
          </w:tcPr>
          <w:p w14:paraId="13A5F11E">
            <w:pPr>
              <w:pStyle w:val="41"/>
              <w:rPr>
                <w:color w:val="auto"/>
                <w:highlight w:val="none"/>
              </w:rPr>
            </w:pPr>
            <w:r>
              <w:rPr>
                <w:rFonts w:hint="eastAsia"/>
                <w:color w:val="auto"/>
                <w:highlight w:val="none"/>
              </w:rPr>
              <w:t>1.220769</w:t>
            </w:r>
          </w:p>
        </w:tc>
        <w:tc>
          <w:tcPr>
            <w:tcW w:w="1415" w:type="dxa"/>
            <w:tcBorders>
              <w:tl2br w:val="nil"/>
              <w:tr2bl w:val="nil"/>
            </w:tcBorders>
            <w:vAlign w:val="center"/>
          </w:tcPr>
          <w:p w14:paraId="601FBE53">
            <w:pPr>
              <w:pStyle w:val="41"/>
              <w:rPr>
                <w:color w:val="auto"/>
                <w:highlight w:val="none"/>
              </w:rPr>
            </w:pPr>
            <w:r>
              <w:rPr>
                <w:rFonts w:hint="eastAsia"/>
                <w:color w:val="auto"/>
                <w:highlight w:val="none"/>
              </w:rPr>
              <w:t xml:space="preserve">0.17 </w:t>
            </w:r>
          </w:p>
        </w:tc>
        <w:tc>
          <w:tcPr>
            <w:tcW w:w="355" w:type="pct"/>
            <w:tcBorders>
              <w:tl2br w:val="nil"/>
              <w:tr2bl w:val="nil"/>
            </w:tcBorders>
            <w:vAlign w:val="center"/>
          </w:tcPr>
          <w:p w14:paraId="3CD5595C">
            <w:pPr>
              <w:pStyle w:val="41"/>
              <w:rPr>
                <w:color w:val="auto"/>
                <w:highlight w:val="none"/>
              </w:rPr>
            </w:pPr>
            <w:r>
              <w:rPr>
                <w:color w:val="auto"/>
                <w:highlight w:val="none"/>
              </w:rPr>
              <w:t>/</w:t>
            </w:r>
          </w:p>
        </w:tc>
        <w:tc>
          <w:tcPr>
            <w:tcW w:w="435" w:type="pct"/>
            <w:vMerge w:val="continue"/>
            <w:tcBorders>
              <w:tl2br w:val="nil"/>
              <w:tr2bl w:val="nil"/>
            </w:tcBorders>
            <w:vAlign w:val="center"/>
          </w:tcPr>
          <w:p w14:paraId="5FD1E4C7">
            <w:pPr>
              <w:pStyle w:val="41"/>
              <w:rPr>
                <w:color w:val="auto"/>
                <w:highlight w:val="none"/>
              </w:rPr>
            </w:pPr>
          </w:p>
        </w:tc>
        <w:tc>
          <w:tcPr>
            <w:tcW w:w="903" w:type="pct"/>
            <w:vMerge w:val="continue"/>
            <w:tcBorders>
              <w:tl2br w:val="nil"/>
              <w:tr2bl w:val="nil"/>
            </w:tcBorders>
            <w:vAlign w:val="center"/>
          </w:tcPr>
          <w:p w14:paraId="124295A4">
            <w:pPr>
              <w:pStyle w:val="41"/>
              <w:rPr>
                <w:color w:val="auto"/>
                <w:highlight w:val="none"/>
              </w:rPr>
            </w:pPr>
          </w:p>
        </w:tc>
      </w:tr>
      <w:tr w14:paraId="48849D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28F2F831">
            <w:pPr>
              <w:pStyle w:val="41"/>
              <w:rPr>
                <w:color w:val="auto"/>
                <w:highlight w:val="none"/>
              </w:rPr>
            </w:pPr>
          </w:p>
        </w:tc>
        <w:tc>
          <w:tcPr>
            <w:tcW w:w="664" w:type="pct"/>
            <w:tcBorders>
              <w:tl2br w:val="nil"/>
              <w:tr2bl w:val="nil"/>
            </w:tcBorders>
            <w:vAlign w:val="center"/>
          </w:tcPr>
          <w:p w14:paraId="0C283676">
            <w:pPr>
              <w:pStyle w:val="41"/>
              <w:rPr>
                <w:color w:val="auto"/>
                <w:highlight w:val="none"/>
              </w:rPr>
            </w:pPr>
            <w:r>
              <w:rPr>
                <w:color w:val="auto"/>
                <w:highlight w:val="none"/>
              </w:rPr>
              <w:t>成品堆存区</w:t>
            </w:r>
          </w:p>
        </w:tc>
        <w:tc>
          <w:tcPr>
            <w:tcW w:w="462" w:type="pct"/>
            <w:tcBorders>
              <w:tl2br w:val="nil"/>
              <w:tr2bl w:val="nil"/>
            </w:tcBorders>
            <w:vAlign w:val="center"/>
          </w:tcPr>
          <w:p w14:paraId="7DBE0B5B">
            <w:pPr>
              <w:pStyle w:val="41"/>
              <w:rPr>
                <w:color w:val="auto"/>
                <w:highlight w:val="none"/>
              </w:rPr>
            </w:pPr>
            <w:r>
              <w:rPr>
                <w:color w:val="auto"/>
                <w:highlight w:val="none"/>
              </w:rPr>
              <w:t>颗粒物</w:t>
            </w:r>
          </w:p>
        </w:tc>
        <w:tc>
          <w:tcPr>
            <w:tcW w:w="300" w:type="pct"/>
            <w:vMerge w:val="continue"/>
            <w:tcBorders>
              <w:tl2br w:val="nil"/>
              <w:tr2bl w:val="nil"/>
            </w:tcBorders>
            <w:vAlign w:val="center"/>
          </w:tcPr>
          <w:p w14:paraId="7EC68EA0">
            <w:pPr>
              <w:pStyle w:val="41"/>
              <w:rPr>
                <w:color w:val="auto"/>
                <w:highlight w:val="none"/>
              </w:rPr>
            </w:pPr>
          </w:p>
        </w:tc>
        <w:tc>
          <w:tcPr>
            <w:tcW w:w="852" w:type="pct"/>
            <w:tcBorders>
              <w:tl2br w:val="nil"/>
              <w:tr2bl w:val="nil"/>
            </w:tcBorders>
            <w:vAlign w:val="center"/>
          </w:tcPr>
          <w:p w14:paraId="225A97F9">
            <w:pPr>
              <w:pStyle w:val="41"/>
              <w:rPr>
                <w:color w:val="auto"/>
                <w:highlight w:val="none"/>
              </w:rPr>
            </w:pPr>
            <w:r>
              <w:rPr>
                <w:color w:val="auto"/>
                <w:highlight w:val="none"/>
              </w:rPr>
              <w:t>封闭式堆场</w:t>
            </w:r>
          </w:p>
        </w:tc>
        <w:tc>
          <w:tcPr>
            <w:tcW w:w="369" w:type="pct"/>
            <w:tcBorders>
              <w:tl2br w:val="nil"/>
              <w:tr2bl w:val="nil"/>
            </w:tcBorders>
            <w:vAlign w:val="center"/>
          </w:tcPr>
          <w:p w14:paraId="0884EB13">
            <w:pPr>
              <w:pStyle w:val="41"/>
              <w:rPr>
                <w:color w:val="auto"/>
                <w:highlight w:val="none"/>
              </w:rPr>
            </w:pPr>
            <w:r>
              <w:rPr>
                <w:color w:val="auto"/>
                <w:highlight w:val="none"/>
              </w:rPr>
              <w:t>0.0014324</w:t>
            </w:r>
          </w:p>
        </w:tc>
        <w:tc>
          <w:tcPr>
            <w:tcW w:w="502" w:type="pct"/>
            <w:tcBorders>
              <w:tl2br w:val="nil"/>
              <w:tr2bl w:val="nil"/>
            </w:tcBorders>
            <w:vAlign w:val="center"/>
          </w:tcPr>
          <w:p w14:paraId="6E3AF38B">
            <w:pPr>
              <w:pStyle w:val="41"/>
              <w:rPr>
                <w:color w:val="auto"/>
                <w:highlight w:val="none"/>
              </w:rPr>
            </w:pPr>
            <w:r>
              <w:rPr>
                <w:color w:val="auto"/>
                <w:highlight w:val="none"/>
              </w:rPr>
              <w:t>0.000595</w:t>
            </w:r>
          </w:p>
        </w:tc>
        <w:tc>
          <w:tcPr>
            <w:tcW w:w="355" w:type="pct"/>
            <w:tcBorders>
              <w:tl2br w:val="nil"/>
              <w:tr2bl w:val="nil"/>
            </w:tcBorders>
            <w:vAlign w:val="center"/>
          </w:tcPr>
          <w:p w14:paraId="669E0BD0">
            <w:pPr>
              <w:pStyle w:val="41"/>
              <w:rPr>
                <w:color w:val="auto"/>
                <w:highlight w:val="none"/>
              </w:rPr>
            </w:pPr>
            <w:r>
              <w:rPr>
                <w:color w:val="auto"/>
                <w:highlight w:val="none"/>
              </w:rPr>
              <w:t>/</w:t>
            </w:r>
          </w:p>
        </w:tc>
        <w:tc>
          <w:tcPr>
            <w:tcW w:w="435" w:type="pct"/>
            <w:vMerge w:val="continue"/>
            <w:tcBorders>
              <w:tl2br w:val="nil"/>
              <w:tr2bl w:val="nil"/>
            </w:tcBorders>
            <w:vAlign w:val="center"/>
          </w:tcPr>
          <w:p w14:paraId="58380F31">
            <w:pPr>
              <w:pStyle w:val="41"/>
              <w:rPr>
                <w:color w:val="auto"/>
                <w:highlight w:val="none"/>
              </w:rPr>
            </w:pPr>
          </w:p>
        </w:tc>
        <w:tc>
          <w:tcPr>
            <w:tcW w:w="903" w:type="pct"/>
            <w:vMerge w:val="continue"/>
            <w:tcBorders>
              <w:tl2br w:val="nil"/>
              <w:tr2bl w:val="nil"/>
            </w:tcBorders>
            <w:vAlign w:val="center"/>
          </w:tcPr>
          <w:p w14:paraId="79ABA277">
            <w:pPr>
              <w:pStyle w:val="41"/>
              <w:rPr>
                <w:color w:val="auto"/>
                <w:highlight w:val="none"/>
              </w:rPr>
            </w:pPr>
          </w:p>
        </w:tc>
      </w:tr>
      <w:tr w14:paraId="1E57B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2287E6E3">
            <w:pPr>
              <w:pStyle w:val="41"/>
              <w:rPr>
                <w:color w:val="auto"/>
                <w:highlight w:val="none"/>
              </w:rPr>
            </w:pPr>
          </w:p>
        </w:tc>
        <w:tc>
          <w:tcPr>
            <w:tcW w:w="664" w:type="pct"/>
            <w:tcBorders>
              <w:tl2br w:val="nil"/>
              <w:tr2bl w:val="nil"/>
            </w:tcBorders>
            <w:vAlign w:val="center"/>
          </w:tcPr>
          <w:p w14:paraId="52B15CCB">
            <w:pPr>
              <w:pStyle w:val="41"/>
              <w:rPr>
                <w:color w:val="auto"/>
                <w:highlight w:val="none"/>
              </w:rPr>
            </w:pPr>
            <w:r>
              <w:rPr>
                <w:color w:val="auto"/>
                <w:highlight w:val="none"/>
              </w:rPr>
              <w:t>尾矿库</w:t>
            </w:r>
          </w:p>
        </w:tc>
        <w:tc>
          <w:tcPr>
            <w:tcW w:w="462" w:type="pct"/>
            <w:tcBorders>
              <w:tl2br w:val="nil"/>
              <w:tr2bl w:val="nil"/>
            </w:tcBorders>
            <w:vAlign w:val="center"/>
          </w:tcPr>
          <w:p w14:paraId="7941B8C6">
            <w:pPr>
              <w:pStyle w:val="41"/>
              <w:rPr>
                <w:color w:val="auto"/>
                <w:highlight w:val="none"/>
              </w:rPr>
            </w:pPr>
            <w:r>
              <w:rPr>
                <w:color w:val="auto"/>
                <w:highlight w:val="none"/>
              </w:rPr>
              <w:t>颗粒物</w:t>
            </w:r>
          </w:p>
        </w:tc>
        <w:tc>
          <w:tcPr>
            <w:tcW w:w="300" w:type="pct"/>
            <w:vMerge w:val="continue"/>
            <w:tcBorders>
              <w:tl2br w:val="nil"/>
              <w:tr2bl w:val="nil"/>
            </w:tcBorders>
            <w:vAlign w:val="center"/>
          </w:tcPr>
          <w:p w14:paraId="695A8CBF">
            <w:pPr>
              <w:pStyle w:val="41"/>
              <w:rPr>
                <w:color w:val="auto"/>
                <w:highlight w:val="none"/>
              </w:rPr>
            </w:pPr>
          </w:p>
        </w:tc>
        <w:tc>
          <w:tcPr>
            <w:tcW w:w="852" w:type="pct"/>
            <w:tcBorders>
              <w:tl2br w:val="nil"/>
              <w:tr2bl w:val="nil"/>
            </w:tcBorders>
            <w:vAlign w:val="center"/>
          </w:tcPr>
          <w:p w14:paraId="51D66F4D">
            <w:pPr>
              <w:pStyle w:val="41"/>
              <w:rPr>
                <w:color w:val="auto"/>
                <w:highlight w:val="none"/>
              </w:rPr>
            </w:pPr>
            <w:r>
              <w:rPr>
                <w:color w:val="auto"/>
                <w:highlight w:val="none"/>
              </w:rPr>
              <w:t>生态高效抑尘剂</w:t>
            </w:r>
          </w:p>
        </w:tc>
        <w:tc>
          <w:tcPr>
            <w:tcW w:w="369" w:type="pct"/>
            <w:tcBorders>
              <w:tl2br w:val="nil"/>
              <w:tr2bl w:val="nil"/>
            </w:tcBorders>
            <w:vAlign w:val="center"/>
          </w:tcPr>
          <w:p w14:paraId="2A78B6BD">
            <w:pPr>
              <w:pStyle w:val="41"/>
              <w:rPr>
                <w:color w:val="auto"/>
                <w:highlight w:val="none"/>
              </w:rPr>
            </w:pPr>
            <w:r>
              <w:rPr>
                <w:color w:val="auto"/>
                <w:highlight w:val="none"/>
              </w:rPr>
              <w:t>5.09</w:t>
            </w:r>
          </w:p>
        </w:tc>
        <w:tc>
          <w:tcPr>
            <w:tcW w:w="502" w:type="pct"/>
            <w:tcBorders>
              <w:tl2br w:val="nil"/>
              <w:tr2bl w:val="nil"/>
            </w:tcBorders>
            <w:vAlign w:val="center"/>
          </w:tcPr>
          <w:p w14:paraId="74073B5C">
            <w:pPr>
              <w:pStyle w:val="41"/>
              <w:rPr>
                <w:color w:val="auto"/>
                <w:highlight w:val="none"/>
              </w:rPr>
            </w:pPr>
            <w:r>
              <w:rPr>
                <w:rFonts w:hint="eastAsia"/>
                <w:color w:val="auto"/>
                <w:highlight w:val="none"/>
              </w:rPr>
              <w:t>0.71</w:t>
            </w:r>
          </w:p>
        </w:tc>
        <w:tc>
          <w:tcPr>
            <w:tcW w:w="355" w:type="pct"/>
            <w:tcBorders>
              <w:tl2br w:val="nil"/>
              <w:tr2bl w:val="nil"/>
            </w:tcBorders>
            <w:vAlign w:val="center"/>
          </w:tcPr>
          <w:p w14:paraId="547D3C4B">
            <w:pPr>
              <w:pStyle w:val="41"/>
              <w:rPr>
                <w:color w:val="auto"/>
                <w:highlight w:val="none"/>
              </w:rPr>
            </w:pPr>
            <w:r>
              <w:rPr>
                <w:color w:val="auto"/>
                <w:highlight w:val="none"/>
              </w:rPr>
              <w:t>/</w:t>
            </w:r>
          </w:p>
        </w:tc>
        <w:tc>
          <w:tcPr>
            <w:tcW w:w="435" w:type="pct"/>
            <w:vMerge w:val="continue"/>
            <w:tcBorders>
              <w:tl2br w:val="nil"/>
              <w:tr2bl w:val="nil"/>
            </w:tcBorders>
            <w:vAlign w:val="center"/>
          </w:tcPr>
          <w:p w14:paraId="637EFD75">
            <w:pPr>
              <w:pStyle w:val="41"/>
              <w:rPr>
                <w:color w:val="auto"/>
                <w:highlight w:val="none"/>
              </w:rPr>
            </w:pPr>
          </w:p>
        </w:tc>
        <w:tc>
          <w:tcPr>
            <w:tcW w:w="903" w:type="pct"/>
            <w:vMerge w:val="continue"/>
            <w:tcBorders>
              <w:tl2br w:val="nil"/>
              <w:tr2bl w:val="nil"/>
            </w:tcBorders>
            <w:vAlign w:val="center"/>
          </w:tcPr>
          <w:p w14:paraId="19CE6725">
            <w:pPr>
              <w:pStyle w:val="41"/>
              <w:rPr>
                <w:color w:val="auto"/>
                <w:highlight w:val="none"/>
              </w:rPr>
            </w:pPr>
          </w:p>
        </w:tc>
      </w:tr>
      <w:tr w14:paraId="18A4D1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25212268">
            <w:pPr>
              <w:pStyle w:val="41"/>
              <w:rPr>
                <w:color w:val="auto"/>
                <w:highlight w:val="none"/>
              </w:rPr>
            </w:pPr>
          </w:p>
        </w:tc>
        <w:tc>
          <w:tcPr>
            <w:tcW w:w="664" w:type="pct"/>
            <w:tcBorders>
              <w:tl2br w:val="nil"/>
              <w:tr2bl w:val="nil"/>
            </w:tcBorders>
            <w:vAlign w:val="center"/>
          </w:tcPr>
          <w:p w14:paraId="0331AF8D">
            <w:pPr>
              <w:pStyle w:val="41"/>
              <w:rPr>
                <w:color w:val="auto"/>
                <w:highlight w:val="none"/>
              </w:rPr>
            </w:pPr>
            <w:r>
              <w:rPr>
                <w:rFonts w:hint="eastAsia"/>
                <w:color w:val="auto"/>
                <w:highlight w:val="none"/>
              </w:rPr>
              <w:t>交通运输</w:t>
            </w:r>
          </w:p>
        </w:tc>
        <w:tc>
          <w:tcPr>
            <w:tcW w:w="462" w:type="pct"/>
            <w:tcBorders>
              <w:tl2br w:val="nil"/>
              <w:tr2bl w:val="nil"/>
            </w:tcBorders>
            <w:vAlign w:val="center"/>
          </w:tcPr>
          <w:p w14:paraId="24285771">
            <w:pPr>
              <w:pStyle w:val="41"/>
              <w:rPr>
                <w:color w:val="auto"/>
                <w:highlight w:val="none"/>
              </w:rPr>
            </w:pPr>
            <w:r>
              <w:rPr>
                <w:color w:val="auto"/>
                <w:highlight w:val="none"/>
              </w:rPr>
              <w:t>颗粒物</w:t>
            </w:r>
          </w:p>
        </w:tc>
        <w:tc>
          <w:tcPr>
            <w:tcW w:w="300" w:type="pct"/>
            <w:vMerge w:val="continue"/>
            <w:tcBorders>
              <w:tl2br w:val="nil"/>
              <w:tr2bl w:val="nil"/>
            </w:tcBorders>
            <w:vAlign w:val="center"/>
          </w:tcPr>
          <w:p w14:paraId="3AAF4BC4">
            <w:pPr>
              <w:pStyle w:val="41"/>
              <w:rPr>
                <w:color w:val="auto"/>
                <w:highlight w:val="none"/>
              </w:rPr>
            </w:pPr>
          </w:p>
        </w:tc>
        <w:tc>
          <w:tcPr>
            <w:tcW w:w="852" w:type="pct"/>
            <w:tcBorders>
              <w:tl2br w:val="nil"/>
              <w:tr2bl w:val="nil"/>
            </w:tcBorders>
            <w:vAlign w:val="center"/>
          </w:tcPr>
          <w:p w14:paraId="30469665">
            <w:pPr>
              <w:pStyle w:val="41"/>
              <w:rPr>
                <w:color w:val="auto"/>
                <w:highlight w:val="none"/>
              </w:rPr>
            </w:pPr>
            <w:r>
              <w:rPr>
                <w:rFonts w:hint="eastAsia"/>
                <w:color w:val="auto"/>
                <w:highlight w:val="none"/>
              </w:rPr>
              <w:t>篷布遮盖、洒水降尘抑尘</w:t>
            </w:r>
          </w:p>
        </w:tc>
        <w:tc>
          <w:tcPr>
            <w:tcW w:w="369" w:type="pct"/>
            <w:tcBorders>
              <w:tl2br w:val="nil"/>
              <w:tr2bl w:val="nil"/>
            </w:tcBorders>
            <w:vAlign w:val="center"/>
          </w:tcPr>
          <w:p w14:paraId="1F046A59">
            <w:pPr>
              <w:pStyle w:val="41"/>
              <w:rPr>
                <w:color w:val="auto"/>
                <w:highlight w:val="none"/>
              </w:rPr>
            </w:pPr>
            <w:r>
              <w:rPr>
                <w:rFonts w:hint="eastAsia"/>
                <w:color w:val="auto"/>
                <w:highlight w:val="none"/>
              </w:rPr>
              <w:t>20.08</w:t>
            </w:r>
          </w:p>
        </w:tc>
        <w:tc>
          <w:tcPr>
            <w:tcW w:w="502" w:type="pct"/>
            <w:tcBorders>
              <w:tl2br w:val="nil"/>
              <w:tr2bl w:val="nil"/>
            </w:tcBorders>
            <w:vAlign w:val="center"/>
          </w:tcPr>
          <w:p w14:paraId="0770A104">
            <w:pPr>
              <w:pStyle w:val="41"/>
              <w:rPr>
                <w:color w:val="auto"/>
                <w:highlight w:val="none"/>
              </w:rPr>
            </w:pPr>
            <w:r>
              <w:rPr>
                <w:color w:val="auto"/>
                <w:highlight w:val="none"/>
              </w:rPr>
              <w:t>/</w:t>
            </w:r>
          </w:p>
        </w:tc>
        <w:tc>
          <w:tcPr>
            <w:tcW w:w="355" w:type="pct"/>
            <w:tcBorders>
              <w:tl2br w:val="nil"/>
              <w:tr2bl w:val="nil"/>
            </w:tcBorders>
            <w:vAlign w:val="center"/>
          </w:tcPr>
          <w:p w14:paraId="06DDD147">
            <w:pPr>
              <w:pStyle w:val="41"/>
              <w:rPr>
                <w:color w:val="auto"/>
                <w:highlight w:val="none"/>
              </w:rPr>
            </w:pPr>
            <w:r>
              <w:rPr>
                <w:color w:val="auto"/>
                <w:highlight w:val="none"/>
              </w:rPr>
              <w:t>/</w:t>
            </w:r>
          </w:p>
        </w:tc>
        <w:tc>
          <w:tcPr>
            <w:tcW w:w="435" w:type="pct"/>
            <w:vMerge w:val="continue"/>
            <w:tcBorders>
              <w:tl2br w:val="nil"/>
              <w:tr2bl w:val="nil"/>
            </w:tcBorders>
            <w:vAlign w:val="center"/>
          </w:tcPr>
          <w:p w14:paraId="06B23476">
            <w:pPr>
              <w:pStyle w:val="41"/>
              <w:rPr>
                <w:color w:val="auto"/>
                <w:highlight w:val="none"/>
              </w:rPr>
            </w:pPr>
          </w:p>
        </w:tc>
        <w:tc>
          <w:tcPr>
            <w:tcW w:w="903" w:type="pct"/>
            <w:vMerge w:val="continue"/>
            <w:tcBorders>
              <w:tl2br w:val="nil"/>
              <w:tr2bl w:val="nil"/>
            </w:tcBorders>
            <w:vAlign w:val="center"/>
          </w:tcPr>
          <w:p w14:paraId="7D935806">
            <w:pPr>
              <w:pStyle w:val="41"/>
              <w:rPr>
                <w:color w:val="auto"/>
                <w:highlight w:val="none"/>
              </w:rPr>
            </w:pPr>
          </w:p>
        </w:tc>
      </w:tr>
      <w:tr w14:paraId="37D556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restart"/>
            <w:tcBorders>
              <w:tl2br w:val="nil"/>
              <w:tr2bl w:val="nil"/>
            </w:tcBorders>
            <w:vAlign w:val="center"/>
          </w:tcPr>
          <w:p w14:paraId="05F75E51">
            <w:pPr>
              <w:pStyle w:val="41"/>
              <w:rPr>
                <w:color w:val="auto"/>
                <w:highlight w:val="none"/>
              </w:rPr>
            </w:pPr>
            <w:r>
              <w:rPr>
                <w:color w:val="auto"/>
                <w:highlight w:val="none"/>
              </w:rPr>
              <w:t>废水</w:t>
            </w:r>
          </w:p>
        </w:tc>
        <w:tc>
          <w:tcPr>
            <w:tcW w:w="664" w:type="pct"/>
            <w:tcBorders>
              <w:tl2br w:val="nil"/>
              <w:tr2bl w:val="nil"/>
            </w:tcBorders>
            <w:vAlign w:val="center"/>
          </w:tcPr>
          <w:p w14:paraId="7DEA0AE9">
            <w:pPr>
              <w:pStyle w:val="41"/>
              <w:rPr>
                <w:color w:val="auto"/>
                <w:highlight w:val="none"/>
              </w:rPr>
            </w:pPr>
            <w:r>
              <w:rPr>
                <w:color w:val="auto"/>
                <w:highlight w:val="none"/>
              </w:rPr>
              <w:t>选矿废水</w:t>
            </w:r>
          </w:p>
        </w:tc>
        <w:tc>
          <w:tcPr>
            <w:tcW w:w="762" w:type="pct"/>
            <w:gridSpan w:val="2"/>
            <w:tcBorders>
              <w:tl2br w:val="nil"/>
              <w:tr2bl w:val="nil"/>
            </w:tcBorders>
            <w:vAlign w:val="center"/>
          </w:tcPr>
          <w:p w14:paraId="16B18369">
            <w:pPr>
              <w:pStyle w:val="41"/>
              <w:rPr>
                <w:color w:val="auto"/>
                <w:highlight w:val="none"/>
              </w:rPr>
            </w:pPr>
            <w:r>
              <w:rPr>
                <w:color w:val="auto"/>
                <w:highlight w:val="none"/>
              </w:rPr>
              <w:t>/</w:t>
            </w:r>
          </w:p>
        </w:tc>
        <w:tc>
          <w:tcPr>
            <w:tcW w:w="852" w:type="pct"/>
            <w:tcBorders>
              <w:tl2br w:val="nil"/>
              <w:tr2bl w:val="nil"/>
            </w:tcBorders>
            <w:vAlign w:val="center"/>
          </w:tcPr>
          <w:p w14:paraId="330B02E0">
            <w:pPr>
              <w:pStyle w:val="41"/>
              <w:rPr>
                <w:color w:val="auto"/>
                <w:highlight w:val="none"/>
              </w:rPr>
            </w:pPr>
            <w:r>
              <w:rPr>
                <w:color w:val="auto"/>
                <w:highlight w:val="none"/>
              </w:rPr>
              <w:t>循环</w:t>
            </w:r>
            <w:r>
              <w:rPr>
                <w:rFonts w:hint="eastAsia"/>
                <w:color w:val="auto"/>
                <w:highlight w:val="none"/>
                <w:lang w:val="en-US" w:eastAsia="zh-CN"/>
              </w:rPr>
              <w:t>水池</w:t>
            </w:r>
          </w:p>
        </w:tc>
        <w:tc>
          <w:tcPr>
            <w:tcW w:w="369" w:type="pct"/>
            <w:tcBorders>
              <w:tl2br w:val="nil"/>
              <w:tr2bl w:val="nil"/>
            </w:tcBorders>
            <w:vAlign w:val="center"/>
          </w:tcPr>
          <w:p w14:paraId="487A19E6">
            <w:pPr>
              <w:pStyle w:val="41"/>
              <w:rPr>
                <w:color w:val="auto"/>
                <w:highlight w:val="none"/>
              </w:rPr>
            </w:pPr>
            <w:r>
              <w:rPr>
                <w:color w:val="auto"/>
                <w:highlight w:val="none"/>
              </w:rPr>
              <w:t>/</w:t>
            </w:r>
          </w:p>
        </w:tc>
        <w:tc>
          <w:tcPr>
            <w:tcW w:w="502" w:type="pct"/>
            <w:tcBorders>
              <w:tl2br w:val="nil"/>
              <w:tr2bl w:val="nil"/>
            </w:tcBorders>
            <w:vAlign w:val="center"/>
          </w:tcPr>
          <w:p w14:paraId="0F40742F">
            <w:pPr>
              <w:pStyle w:val="41"/>
              <w:rPr>
                <w:color w:val="auto"/>
                <w:highlight w:val="none"/>
              </w:rPr>
            </w:pPr>
            <w:r>
              <w:rPr>
                <w:color w:val="auto"/>
                <w:highlight w:val="none"/>
              </w:rPr>
              <w:t>/</w:t>
            </w:r>
          </w:p>
        </w:tc>
        <w:tc>
          <w:tcPr>
            <w:tcW w:w="355" w:type="pct"/>
            <w:tcBorders>
              <w:tl2br w:val="nil"/>
              <w:tr2bl w:val="nil"/>
            </w:tcBorders>
            <w:vAlign w:val="center"/>
          </w:tcPr>
          <w:p w14:paraId="36B5EA91">
            <w:pPr>
              <w:pStyle w:val="41"/>
              <w:rPr>
                <w:color w:val="auto"/>
                <w:highlight w:val="none"/>
              </w:rPr>
            </w:pPr>
            <w:r>
              <w:rPr>
                <w:color w:val="auto"/>
                <w:highlight w:val="none"/>
              </w:rPr>
              <w:t>/</w:t>
            </w:r>
          </w:p>
        </w:tc>
        <w:tc>
          <w:tcPr>
            <w:tcW w:w="435" w:type="pct"/>
            <w:tcBorders>
              <w:tl2br w:val="nil"/>
              <w:tr2bl w:val="nil"/>
            </w:tcBorders>
            <w:vAlign w:val="center"/>
          </w:tcPr>
          <w:p w14:paraId="7BF49F0E">
            <w:pPr>
              <w:pStyle w:val="41"/>
              <w:rPr>
                <w:color w:val="auto"/>
                <w:highlight w:val="none"/>
              </w:rPr>
            </w:pPr>
            <w:r>
              <w:rPr>
                <w:color w:val="auto"/>
                <w:highlight w:val="none"/>
              </w:rPr>
              <w:t>/</w:t>
            </w:r>
          </w:p>
        </w:tc>
        <w:tc>
          <w:tcPr>
            <w:tcW w:w="903" w:type="pct"/>
            <w:tcBorders>
              <w:tl2br w:val="nil"/>
              <w:tr2bl w:val="nil"/>
            </w:tcBorders>
            <w:vAlign w:val="center"/>
          </w:tcPr>
          <w:p w14:paraId="7286C8E1">
            <w:pPr>
              <w:pStyle w:val="41"/>
              <w:rPr>
                <w:color w:val="auto"/>
                <w:highlight w:val="none"/>
              </w:rPr>
            </w:pPr>
            <w:r>
              <w:rPr>
                <w:color w:val="auto"/>
                <w:highlight w:val="none"/>
              </w:rPr>
              <w:t>回用</w:t>
            </w:r>
          </w:p>
        </w:tc>
      </w:tr>
      <w:tr w14:paraId="78B34F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0E53035F">
            <w:pPr>
              <w:pStyle w:val="41"/>
              <w:rPr>
                <w:color w:val="auto"/>
                <w:highlight w:val="none"/>
              </w:rPr>
            </w:pPr>
          </w:p>
        </w:tc>
        <w:tc>
          <w:tcPr>
            <w:tcW w:w="664" w:type="pct"/>
            <w:tcBorders>
              <w:tl2br w:val="nil"/>
              <w:tr2bl w:val="nil"/>
            </w:tcBorders>
            <w:vAlign w:val="center"/>
          </w:tcPr>
          <w:p w14:paraId="21B51467">
            <w:pPr>
              <w:pStyle w:val="41"/>
              <w:rPr>
                <w:color w:val="auto"/>
                <w:highlight w:val="none"/>
              </w:rPr>
            </w:pPr>
            <w:r>
              <w:rPr>
                <w:color w:val="auto"/>
                <w:highlight w:val="none"/>
              </w:rPr>
              <w:t>生活污水</w:t>
            </w:r>
          </w:p>
        </w:tc>
        <w:tc>
          <w:tcPr>
            <w:tcW w:w="762" w:type="pct"/>
            <w:gridSpan w:val="2"/>
            <w:tcBorders>
              <w:tl2br w:val="nil"/>
              <w:tr2bl w:val="nil"/>
            </w:tcBorders>
            <w:vAlign w:val="center"/>
          </w:tcPr>
          <w:p w14:paraId="3ADC726F">
            <w:pPr>
              <w:pStyle w:val="41"/>
              <w:rPr>
                <w:color w:val="auto"/>
                <w:highlight w:val="none"/>
              </w:rPr>
            </w:pPr>
            <w:r>
              <w:rPr>
                <w:color w:val="auto"/>
                <w:highlight w:val="none"/>
              </w:rPr>
              <w:t>/</w:t>
            </w:r>
          </w:p>
        </w:tc>
        <w:tc>
          <w:tcPr>
            <w:tcW w:w="852" w:type="pct"/>
            <w:tcBorders>
              <w:tl2br w:val="nil"/>
              <w:tr2bl w:val="nil"/>
            </w:tcBorders>
            <w:vAlign w:val="center"/>
          </w:tcPr>
          <w:p w14:paraId="361EDCF3">
            <w:pPr>
              <w:pStyle w:val="41"/>
              <w:rPr>
                <w:rFonts w:hint="eastAsia" w:eastAsia="华文中宋"/>
                <w:color w:val="auto"/>
                <w:highlight w:val="none"/>
                <w:lang w:eastAsia="zh-CN"/>
              </w:rPr>
            </w:pPr>
            <w:r>
              <w:rPr>
                <w:color w:val="auto"/>
                <w:highlight w:val="none"/>
              </w:rPr>
              <w:t>本项目生活污水排入原有地埋式一体化污水处理设施处理，满足</w:t>
            </w:r>
            <w:r>
              <w:rPr>
                <w:rFonts w:hint="eastAsia"/>
                <w:color w:val="auto"/>
                <w:highlight w:val="none"/>
                <w:lang w:eastAsia="zh-CN"/>
              </w:rPr>
              <w:t>《城市污水再生利用—城市杂用水水质》（GB/T18920-2020）</w:t>
            </w:r>
          </w:p>
        </w:tc>
        <w:tc>
          <w:tcPr>
            <w:tcW w:w="369" w:type="pct"/>
            <w:tcBorders>
              <w:tl2br w:val="nil"/>
              <w:tr2bl w:val="nil"/>
            </w:tcBorders>
            <w:vAlign w:val="center"/>
          </w:tcPr>
          <w:p w14:paraId="590F1AD6">
            <w:pPr>
              <w:pStyle w:val="41"/>
              <w:rPr>
                <w:color w:val="auto"/>
                <w:highlight w:val="none"/>
              </w:rPr>
            </w:pPr>
            <w:r>
              <w:rPr>
                <w:color w:val="auto"/>
                <w:highlight w:val="none"/>
              </w:rPr>
              <w:t>/</w:t>
            </w:r>
          </w:p>
        </w:tc>
        <w:tc>
          <w:tcPr>
            <w:tcW w:w="502" w:type="pct"/>
            <w:tcBorders>
              <w:tl2br w:val="nil"/>
              <w:tr2bl w:val="nil"/>
            </w:tcBorders>
            <w:vAlign w:val="center"/>
          </w:tcPr>
          <w:p w14:paraId="3385654D">
            <w:pPr>
              <w:pStyle w:val="41"/>
              <w:rPr>
                <w:color w:val="auto"/>
                <w:highlight w:val="none"/>
              </w:rPr>
            </w:pPr>
            <w:r>
              <w:rPr>
                <w:color w:val="auto"/>
                <w:highlight w:val="none"/>
              </w:rPr>
              <w:t>/</w:t>
            </w:r>
          </w:p>
        </w:tc>
        <w:tc>
          <w:tcPr>
            <w:tcW w:w="355" w:type="pct"/>
            <w:tcBorders>
              <w:tl2br w:val="nil"/>
              <w:tr2bl w:val="nil"/>
            </w:tcBorders>
            <w:vAlign w:val="center"/>
          </w:tcPr>
          <w:p w14:paraId="1F8C017C">
            <w:pPr>
              <w:pStyle w:val="41"/>
              <w:rPr>
                <w:color w:val="auto"/>
                <w:highlight w:val="none"/>
              </w:rPr>
            </w:pPr>
            <w:r>
              <w:rPr>
                <w:color w:val="auto"/>
                <w:highlight w:val="none"/>
              </w:rPr>
              <w:t>/</w:t>
            </w:r>
          </w:p>
        </w:tc>
        <w:tc>
          <w:tcPr>
            <w:tcW w:w="435" w:type="pct"/>
            <w:tcBorders>
              <w:tl2br w:val="nil"/>
              <w:tr2bl w:val="nil"/>
            </w:tcBorders>
            <w:vAlign w:val="center"/>
          </w:tcPr>
          <w:p w14:paraId="5921A299">
            <w:pPr>
              <w:pStyle w:val="41"/>
              <w:rPr>
                <w:color w:val="auto"/>
                <w:highlight w:val="none"/>
              </w:rPr>
            </w:pPr>
            <w:r>
              <w:rPr>
                <w:color w:val="auto"/>
                <w:highlight w:val="none"/>
              </w:rPr>
              <w:t>/</w:t>
            </w:r>
          </w:p>
        </w:tc>
        <w:tc>
          <w:tcPr>
            <w:tcW w:w="903" w:type="pct"/>
            <w:tcBorders>
              <w:tl2br w:val="nil"/>
              <w:tr2bl w:val="nil"/>
            </w:tcBorders>
            <w:vAlign w:val="center"/>
          </w:tcPr>
          <w:p w14:paraId="7A67BC64">
            <w:pPr>
              <w:pStyle w:val="41"/>
              <w:rPr>
                <w:color w:val="auto"/>
                <w:highlight w:val="none"/>
              </w:rPr>
            </w:pPr>
            <w:r>
              <w:rPr>
                <w:color w:val="auto"/>
                <w:highlight w:val="none"/>
              </w:rPr>
              <w:t>《农村生活污水处理排放标准》（DB654275-2019）A级标准</w:t>
            </w:r>
          </w:p>
        </w:tc>
      </w:tr>
      <w:tr w14:paraId="160DEA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restart"/>
            <w:tcBorders>
              <w:tl2br w:val="nil"/>
              <w:tr2bl w:val="nil"/>
            </w:tcBorders>
            <w:vAlign w:val="center"/>
          </w:tcPr>
          <w:p w14:paraId="11F7EF76">
            <w:pPr>
              <w:pStyle w:val="41"/>
              <w:rPr>
                <w:color w:val="auto"/>
                <w:highlight w:val="none"/>
              </w:rPr>
            </w:pPr>
            <w:r>
              <w:rPr>
                <w:color w:val="auto"/>
                <w:highlight w:val="none"/>
              </w:rPr>
              <w:t>固废</w:t>
            </w:r>
          </w:p>
        </w:tc>
        <w:tc>
          <w:tcPr>
            <w:tcW w:w="664" w:type="pct"/>
            <w:tcBorders>
              <w:tl2br w:val="nil"/>
              <w:tr2bl w:val="nil"/>
            </w:tcBorders>
            <w:vAlign w:val="center"/>
          </w:tcPr>
          <w:p w14:paraId="6FAA4B85">
            <w:pPr>
              <w:pStyle w:val="41"/>
              <w:rPr>
                <w:color w:val="auto"/>
                <w:highlight w:val="none"/>
              </w:rPr>
            </w:pPr>
            <w:r>
              <w:rPr>
                <w:color w:val="auto"/>
                <w:highlight w:val="none"/>
              </w:rPr>
              <w:t>尾矿砂</w:t>
            </w:r>
          </w:p>
        </w:tc>
        <w:tc>
          <w:tcPr>
            <w:tcW w:w="462" w:type="pct"/>
            <w:tcBorders>
              <w:tl2br w:val="nil"/>
              <w:tr2bl w:val="nil"/>
            </w:tcBorders>
            <w:vAlign w:val="center"/>
          </w:tcPr>
          <w:p w14:paraId="73201C5B">
            <w:pPr>
              <w:pStyle w:val="41"/>
              <w:rPr>
                <w:color w:val="auto"/>
                <w:highlight w:val="none"/>
              </w:rPr>
            </w:pPr>
            <w:r>
              <w:rPr>
                <w:color w:val="auto"/>
                <w:highlight w:val="none"/>
              </w:rPr>
              <w:t>081-001-S05</w:t>
            </w:r>
          </w:p>
        </w:tc>
        <w:tc>
          <w:tcPr>
            <w:tcW w:w="300" w:type="pct"/>
            <w:vMerge w:val="restart"/>
            <w:tcBorders>
              <w:tl2br w:val="nil"/>
              <w:tr2bl w:val="nil"/>
            </w:tcBorders>
            <w:vAlign w:val="center"/>
          </w:tcPr>
          <w:p w14:paraId="31ECD6C1">
            <w:pPr>
              <w:pStyle w:val="41"/>
              <w:rPr>
                <w:color w:val="auto"/>
                <w:highlight w:val="none"/>
              </w:rPr>
            </w:pPr>
            <w:r>
              <w:rPr>
                <w:color w:val="auto"/>
                <w:highlight w:val="none"/>
              </w:rPr>
              <w:t>一般工业固体废物</w:t>
            </w:r>
          </w:p>
        </w:tc>
        <w:tc>
          <w:tcPr>
            <w:tcW w:w="1724" w:type="pct"/>
            <w:gridSpan w:val="3"/>
            <w:tcBorders>
              <w:tl2br w:val="nil"/>
              <w:tr2bl w:val="nil"/>
            </w:tcBorders>
            <w:vAlign w:val="center"/>
          </w:tcPr>
          <w:p w14:paraId="65F78227">
            <w:pPr>
              <w:pStyle w:val="41"/>
              <w:rPr>
                <w:color w:val="auto"/>
                <w:highlight w:val="none"/>
              </w:rPr>
            </w:pPr>
            <w:r>
              <w:rPr>
                <w:color w:val="auto"/>
                <w:highlight w:val="none"/>
              </w:rPr>
              <w:t>输送至新建尾矿库</w:t>
            </w:r>
          </w:p>
        </w:tc>
        <w:tc>
          <w:tcPr>
            <w:tcW w:w="790" w:type="pct"/>
            <w:gridSpan w:val="2"/>
            <w:tcBorders>
              <w:tl2br w:val="nil"/>
              <w:tr2bl w:val="nil"/>
            </w:tcBorders>
            <w:vAlign w:val="center"/>
          </w:tcPr>
          <w:p w14:paraId="6348FC6A">
            <w:pPr>
              <w:pStyle w:val="41"/>
              <w:rPr>
                <w:color w:val="auto"/>
                <w:highlight w:val="none"/>
              </w:rPr>
            </w:pPr>
            <w:r>
              <w:rPr>
                <w:rFonts w:hint="eastAsia"/>
                <w:color w:val="auto"/>
                <w:highlight w:val="none"/>
                <w:lang w:val="en-US" w:eastAsia="zh-CN"/>
              </w:rPr>
              <w:t>302</w:t>
            </w:r>
            <w:r>
              <w:rPr>
                <w:rFonts w:hint="eastAsia"/>
                <w:color w:val="auto"/>
                <w:highlight w:val="none"/>
              </w:rPr>
              <w:t>万</w:t>
            </w:r>
            <w:r>
              <w:rPr>
                <w:color w:val="auto"/>
                <w:highlight w:val="none"/>
              </w:rPr>
              <w:t>t/a</w:t>
            </w:r>
          </w:p>
        </w:tc>
        <w:tc>
          <w:tcPr>
            <w:tcW w:w="903" w:type="pct"/>
            <w:tcBorders>
              <w:tl2br w:val="nil"/>
              <w:tr2bl w:val="nil"/>
            </w:tcBorders>
            <w:vAlign w:val="center"/>
          </w:tcPr>
          <w:p w14:paraId="02085E15">
            <w:pPr>
              <w:pStyle w:val="41"/>
              <w:rPr>
                <w:color w:val="auto"/>
                <w:highlight w:val="none"/>
              </w:rPr>
            </w:pPr>
            <w:r>
              <w:rPr>
                <w:color w:val="auto"/>
                <w:highlight w:val="none"/>
                <w:lang w:val="zh-CN"/>
              </w:rPr>
              <w:t>《危险废物贮存污染控制标准》（GB18597-</w:t>
            </w:r>
            <w:r>
              <w:rPr>
                <w:color w:val="auto"/>
                <w:highlight w:val="none"/>
              </w:rPr>
              <w:t>2023</w:t>
            </w:r>
            <w:r>
              <w:rPr>
                <w:color w:val="auto"/>
                <w:highlight w:val="none"/>
                <w:lang w:val="zh-CN"/>
              </w:rPr>
              <w:t>）</w:t>
            </w:r>
          </w:p>
        </w:tc>
      </w:tr>
      <w:tr w14:paraId="7F9471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2EEA040C">
            <w:pPr>
              <w:pStyle w:val="41"/>
              <w:rPr>
                <w:color w:val="auto"/>
                <w:highlight w:val="none"/>
              </w:rPr>
            </w:pPr>
          </w:p>
        </w:tc>
        <w:tc>
          <w:tcPr>
            <w:tcW w:w="664" w:type="pct"/>
            <w:tcBorders>
              <w:tl2br w:val="nil"/>
              <w:tr2bl w:val="nil"/>
            </w:tcBorders>
            <w:vAlign w:val="center"/>
          </w:tcPr>
          <w:p w14:paraId="62AA1F24">
            <w:pPr>
              <w:pStyle w:val="41"/>
              <w:rPr>
                <w:color w:val="auto"/>
                <w:highlight w:val="none"/>
              </w:rPr>
            </w:pPr>
            <w:r>
              <w:rPr>
                <w:rFonts w:hint="eastAsia"/>
                <w:color w:val="auto"/>
                <w:highlight w:val="none"/>
              </w:rPr>
              <w:t>废石</w:t>
            </w:r>
          </w:p>
        </w:tc>
        <w:tc>
          <w:tcPr>
            <w:tcW w:w="462" w:type="pct"/>
            <w:tcBorders>
              <w:tl2br w:val="nil"/>
              <w:tr2bl w:val="nil"/>
            </w:tcBorders>
            <w:vAlign w:val="center"/>
          </w:tcPr>
          <w:p w14:paraId="33799FAA">
            <w:pPr>
              <w:pStyle w:val="41"/>
              <w:rPr>
                <w:color w:val="auto"/>
                <w:highlight w:val="none"/>
              </w:rPr>
            </w:pPr>
            <w:r>
              <w:rPr>
                <w:color w:val="auto"/>
                <w:highlight w:val="none"/>
              </w:rPr>
              <w:t>081-001-S05</w:t>
            </w:r>
          </w:p>
        </w:tc>
        <w:tc>
          <w:tcPr>
            <w:tcW w:w="300" w:type="pct"/>
            <w:vMerge w:val="continue"/>
            <w:tcBorders>
              <w:tl2br w:val="nil"/>
              <w:tr2bl w:val="nil"/>
            </w:tcBorders>
            <w:vAlign w:val="center"/>
          </w:tcPr>
          <w:p w14:paraId="5BEF12B3">
            <w:pPr>
              <w:pStyle w:val="41"/>
              <w:rPr>
                <w:color w:val="auto"/>
                <w:highlight w:val="none"/>
              </w:rPr>
            </w:pPr>
          </w:p>
        </w:tc>
        <w:tc>
          <w:tcPr>
            <w:tcW w:w="1724" w:type="pct"/>
            <w:gridSpan w:val="3"/>
            <w:tcBorders>
              <w:tl2br w:val="nil"/>
              <w:tr2bl w:val="nil"/>
            </w:tcBorders>
            <w:vAlign w:val="center"/>
          </w:tcPr>
          <w:p w14:paraId="7DAD43FA">
            <w:pPr>
              <w:pStyle w:val="41"/>
              <w:rPr>
                <w:color w:val="auto"/>
                <w:highlight w:val="none"/>
              </w:rPr>
            </w:pPr>
            <w:r>
              <w:rPr>
                <w:rFonts w:hint="eastAsia"/>
                <w:color w:val="auto"/>
                <w:highlight w:val="none"/>
              </w:rPr>
              <w:t>运往采坑外排土场</w:t>
            </w:r>
          </w:p>
        </w:tc>
        <w:tc>
          <w:tcPr>
            <w:tcW w:w="790" w:type="pct"/>
            <w:gridSpan w:val="2"/>
            <w:tcBorders>
              <w:tl2br w:val="nil"/>
              <w:tr2bl w:val="nil"/>
            </w:tcBorders>
            <w:vAlign w:val="center"/>
          </w:tcPr>
          <w:p w14:paraId="7B15BDAF">
            <w:pPr>
              <w:pStyle w:val="41"/>
              <w:rPr>
                <w:color w:val="auto"/>
                <w:highlight w:val="none"/>
              </w:rPr>
            </w:pPr>
            <w:r>
              <w:rPr>
                <w:rFonts w:hint="eastAsia"/>
                <w:color w:val="auto"/>
                <w:highlight w:val="none"/>
                <w:lang w:val="en-US" w:eastAsia="zh-CN"/>
              </w:rPr>
              <w:t>232</w:t>
            </w:r>
            <w:r>
              <w:rPr>
                <w:rFonts w:hint="eastAsia"/>
                <w:color w:val="auto"/>
                <w:highlight w:val="none"/>
              </w:rPr>
              <w:t>万</w:t>
            </w:r>
            <w:r>
              <w:rPr>
                <w:color w:val="auto"/>
                <w:highlight w:val="none"/>
              </w:rPr>
              <w:t>t/a</w:t>
            </w:r>
          </w:p>
        </w:tc>
        <w:tc>
          <w:tcPr>
            <w:tcW w:w="903" w:type="pct"/>
            <w:tcBorders>
              <w:tl2br w:val="nil"/>
              <w:tr2bl w:val="nil"/>
            </w:tcBorders>
            <w:vAlign w:val="center"/>
          </w:tcPr>
          <w:p w14:paraId="0C1AEA1F">
            <w:pPr>
              <w:pStyle w:val="41"/>
              <w:rPr>
                <w:color w:val="auto"/>
                <w:highlight w:val="none"/>
                <w:lang w:val="zh-CN"/>
              </w:rPr>
            </w:pPr>
            <w:r>
              <w:rPr>
                <w:color w:val="auto"/>
                <w:highlight w:val="none"/>
              </w:rPr>
              <w:t>《一般工业固体废物贮存和填埋污染控制标准》（GB18599-2020）</w:t>
            </w:r>
          </w:p>
        </w:tc>
      </w:tr>
      <w:tr w14:paraId="4B99A7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7CCDEF46">
            <w:pPr>
              <w:pStyle w:val="41"/>
              <w:rPr>
                <w:color w:val="auto"/>
                <w:highlight w:val="none"/>
              </w:rPr>
            </w:pPr>
          </w:p>
        </w:tc>
        <w:tc>
          <w:tcPr>
            <w:tcW w:w="664" w:type="pct"/>
            <w:tcBorders>
              <w:tl2br w:val="nil"/>
              <w:tr2bl w:val="nil"/>
            </w:tcBorders>
            <w:vAlign w:val="center"/>
          </w:tcPr>
          <w:p w14:paraId="03613F41">
            <w:pPr>
              <w:pStyle w:val="41"/>
              <w:rPr>
                <w:color w:val="auto"/>
                <w:highlight w:val="none"/>
              </w:rPr>
            </w:pPr>
            <w:r>
              <w:rPr>
                <w:color w:val="auto"/>
                <w:highlight w:val="none"/>
              </w:rPr>
              <w:t>生活垃圾</w:t>
            </w:r>
          </w:p>
        </w:tc>
        <w:tc>
          <w:tcPr>
            <w:tcW w:w="462" w:type="pct"/>
            <w:tcBorders>
              <w:tl2br w:val="nil"/>
              <w:tr2bl w:val="nil"/>
            </w:tcBorders>
            <w:vAlign w:val="center"/>
          </w:tcPr>
          <w:p w14:paraId="44C4469A">
            <w:pPr>
              <w:pStyle w:val="41"/>
              <w:rPr>
                <w:color w:val="auto"/>
                <w:highlight w:val="none"/>
              </w:rPr>
            </w:pPr>
            <w:r>
              <w:rPr>
                <w:color w:val="auto"/>
                <w:highlight w:val="none"/>
              </w:rPr>
              <w:t xml:space="preserve">900-099-S64  </w:t>
            </w:r>
          </w:p>
        </w:tc>
        <w:tc>
          <w:tcPr>
            <w:tcW w:w="300" w:type="pct"/>
            <w:tcBorders>
              <w:tl2br w:val="nil"/>
              <w:tr2bl w:val="nil"/>
            </w:tcBorders>
            <w:vAlign w:val="center"/>
          </w:tcPr>
          <w:p w14:paraId="38D55F4F">
            <w:pPr>
              <w:pStyle w:val="41"/>
              <w:rPr>
                <w:color w:val="auto"/>
                <w:highlight w:val="none"/>
              </w:rPr>
            </w:pPr>
            <w:r>
              <w:rPr>
                <w:rFonts w:hint="eastAsia"/>
                <w:color w:val="auto"/>
                <w:highlight w:val="none"/>
              </w:rPr>
              <w:t>生活垃圾</w:t>
            </w:r>
          </w:p>
        </w:tc>
        <w:tc>
          <w:tcPr>
            <w:tcW w:w="1724" w:type="pct"/>
            <w:gridSpan w:val="3"/>
            <w:tcBorders>
              <w:tl2br w:val="nil"/>
              <w:tr2bl w:val="nil"/>
            </w:tcBorders>
            <w:vAlign w:val="center"/>
          </w:tcPr>
          <w:p w14:paraId="6CB6199C">
            <w:pPr>
              <w:pStyle w:val="41"/>
              <w:rPr>
                <w:color w:val="auto"/>
                <w:highlight w:val="none"/>
              </w:rPr>
            </w:pPr>
            <w:r>
              <w:rPr>
                <w:color w:val="auto"/>
                <w:highlight w:val="none"/>
              </w:rPr>
              <w:t>集中收集定期</w:t>
            </w:r>
            <w:r>
              <w:rPr>
                <w:rFonts w:hint="eastAsia"/>
                <w:color w:val="auto"/>
                <w:highlight w:val="none"/>
              </w:rPr>
              <w:t>清</w:t>
            </w:r>
            <w:r>
              <w:rPr>
                <w:color w:val="auto"/>
                <w:highlight w:val="none"/>
              </w:rPr>
              <w:t>运至哈拉峻乡谢依提村垃圾场填埋</w:t>
            </w:r>
          </w:p>
        </w:tc>
        <w:tc>
          <w:tcPr>
            <w:tcW w:w="790" w:type="pct"/>
            <w:gridSpan w:val="2"/>
            <w:tcBorders>
              <w:tl2br w:val="nil"/>
              <w:tr2bl w:val="nil"/>
            </w:tcBorders>
            <w:vAlign w:val="center"/>
          </w:tcPr>
          <w:p w14:paraId="2101738E">
            <w:pPr>
              <w:pStyle w:val="41"/>
              <w:rPr>
                <w:color w:val="auto"/>
                <w:highlight w:val="none"/>
              </w:rPr>
            </w:pPr>
            <w:r>
              <w:rPr>
                <w:rFonts w:hint="eastAsia"/>
                <w:color w:val="auto"/>
                <w:highlight w:val="none"/>
              </w:rPr>
              <w:t>75.768</w:t>
            </w:r>
            <w:r>
              <w:rPr>
                <w:color w:val="auto"/>
                <w:highlight w:val="none"/>
              </w:rPr>
              <w:t>t/a</w:t>
            </w:r>
          </w:p>
        </w:tc>
        <w:tc>
          <w:tcPr>
            <w:tcW w:w="903" w:type="pct"/>
            <w:tcBorders>
              <w:tl2br w:val="nil"/>
              <w:tr2bl w:val="nil"/>
            </w:tcBorders>
            <w:vAlign w:val="center"/>
          </w:tcPr>
          <w:p w14:paraId="4FBAC80E">
            <w:pPr>
              <w:pStyle w:val="41"/>
              <w:rPr>
                <w:color w:val="auto"/>
                <w:highlight w:val="none"/>
              </w:rPr>
            </w:pPr>
            <w:r>
              <w:rPr>
                <w:rFonts w:hint="eastAsia"/>
                <w:color w:val="auto"/>
                <w:highlight w:val="none"/>
              </w:rPr>
              <w:t>合理处置</w:t>
            </w:r>
          </w:p>
        </w:tc>
      </w:tr>
      <w:tr w14:paraId="26E87C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60ADD2B0">
            <w:pPr>
              <w:pStyle w:val="41"/>
              <w:rPr>
                <w:color w:val="auto"/>
                <w:highlight w:val="none"/>
              </w:rPr>
            </w:pPr>
          </w:p>
        </w:tc>
        <w:tc>
          <w:tcPr>
            <w:tcW w:w="664" w:type="pct"/>
            <w:tcBorders>
              <w:tl2br w:val="nil"/>
              <w:tr2bl w:val="nil"/>
            </w:tcBorders>
            <w:vAlign w:val="center"/>
          </w:tcPr>
          <w:p w14:paraId="07789623">
            <w:pPr>
              <w:pStyle w:val="41"/>
              <w:rPr>
                <w:color w:val="auto"/>
                <w:highlight w:val="none"/>
              </w:rPr>
            </w:pPr>
            <w:r>
              <w:rPr>
                <w:color w:val="auto"/>
                <w:highlight w:val="none"/>
              </w:rPr>
              <w:t>除尘灰</w:t>
            </w:r>
          </w:p>
        </w:tc>
        <w:tc>
          <w:tcPr>
            <w:tcW w:w="462" w:type="pct"/>
            <w:tcBorders>
              <w:tl2br w:val="nil"/>
              <w:tr2bl w:val="nil"/>
            </w:tcBorders>
            <w:vAlign w:val="center"/>
          </w:tcPr>
          <w:p w14:paraId="38247B48">
            <w:pPr>
              <w:pStyle w:val="41"/>
              <w:rPr>
                <w:color w:val="auto"/>
                <w:highlight w:val="none"/>
              </w:rPr>
            </w:pPr>
            <w:r>
              <w:rPr>
                <w:color w:val="auto"/>
                <w:highlight w:val="none"/>
              </w:rPr>
              <w:t xml:space="preserve">900-099-S59 </w:t>
            </w:r>
          </w:p>
        </w:tc>
        <w:tc>
          <w:tcPr>
            <w:tcW w:w="300" w:type="pct"/>
            <w:tcBorders>
              <w:tl2br w:val="nil"/>
              <w:tr2bl w:val="nil"/>
            </w:tcBorders>
            <w:vAlign w:val="center"/>
          </w:tcPr>
          <w:p w14:paraId="6A9A4655">
            <w:pPr>
              <w:pStyle w:val="41"/>
              <w:rPr>
                <w:color w:val="auto"/>
                <w:highlight w:val="none"/>
              </w:rPr>
            </w:pPr>
            <w:r>
              <w:rPr>
                <w:color w:val="auto"/>
                <w:highlight w:val="none"/>
              </w:rPr>
              <w:t>一般工业固体废物</w:t>
            </w:r>
          </w:p>
        </w:tc>
        <w:tc>
          <w:tcPr>
            <w:tcW w:w="1724" w:type="pct"/>
            <w:gridSpan w:val="3"/>
            <w:tcBorders>
              <w:tl2br w:val="nil"/>
              <w:tr2bl w:val="nil"/>
            </w:tcBorders>
            <w:vAlign w:val="center"/>
          </w:tcPr>
          <w:p w14:paraId="3B89082A">
            <w:pPr>
              <w:pStyle w:val="41"/>
              <w:rPr>
                <w:color w:val="auto"/>
                <w:highlight w:val="none"/>
              </w:rPr>
            </w:pPr>
            <w:r>
              <w:rPr>
                <w:color w:val="auto"/>
                <w:highlight w:val="none"/>
              </w:rPr>
              <w:t>返回生产线</w:t>
            </w:r>
          </w:p>
        </w:tc>
        <w:tc>
          <w:tcPr>
            <w:tcW w:w="790" w:type="pct"/>
            <w:gridSpan w:val="2"/>
            <w:tcBorders>
              <w:tl2br w:val="nil"/>
              <w:tr2bl w:val="nil"/>
            </w:tcBorders>
            <w:vAlign w:val="center"/>
          </w:tcPr>
          <w:p w14:paraId="130B1292">
            <w:pPr>
              <w:pStyle w:val="41"/>
              <w:rPr>
                <w:color w:val="auto"/>
                <w:highlight w:val="none"/>
              </w:rPr>
            </w:pPr>
            <w:r>
              <w:rPr>
                <w:rFonts w:hint="eastAsia"/>
                <w:color w:val="auto"/>
                <w:highlight w:val="none"/>
                <w:lang w:val="en-US" w:eastAsia="zh-CN"/>
              </w:rPr>
              <w:t>1090.441</w:t>
            </w:r>
            <w:r>
              <w:rPr>
                <w:color w:val="auto"/>
                <w:highlight w:val="none"/>
              </w:rPr>
              <w:t>t/a</w:t>
            </w:r>
          </w:p>
        </w:tc>
        <w:tc>
          <w:tcPr>
            <w:tcW w:w="903" w:type="pct"/>
            <w:tcBorders>
              <w:tl2br w:val="nil"/>
              <w:tr2bl w:val="nil"/>
            </w:tcBorders>
            <w:vAlign w:val="center"/>
          </w:tcPr>
          <w:p w14:paraId="2AD42051">
            <w:pPr>
              <w:pStyle w:val="41"/>
              <w:rPr>
                <w:color w:val="auto"/>
                <w:highlight w:val="none"/>
                <w:lang w:val="zh-CN"/>
              </w:rPr>
            </w:pPr>
            <w:r>
              <w:rPr>
                <w:color w:val="auto"/>
                <w:highlight w:val="none"/>
              </w:rPr>
              <w:t>《一般工业固体废物贮存和填埋污染控制标准》（GB18599-2020）</w:t>
            </w:r>
          </w:p>
        </w:tc>
      </w:tr>
      <w:tr w14:paraId="652C0F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3FFDE3E4">
            <w:pPr>
              <w:pStyle w:val="41"/>
              <w:rPr>
                <w:color w:val="auto"/>
                <w:highlight w:val="none"/>
              </w:rPr>
            </w:pPr>
          </w:p>
        </w:tc>
        <w:tc>
          <w:tcPr>
            <w:tcW w:w="664" w:type="pct"/>
            <w:tcBorders>
              <w:tl2br w:val="nil"/>
              <w:tr2bl w:val="nil"/>
            </w:tcBorders>
            <w:vAlign w:val="center"/>
          </w:tcPr>
          <w:p w14:paraId="0A1C790C">
            <w:pPr>
              <w:pStyle w:val="41"/>
              <w:rPr>
                <w:color w:val="auto"/>
                <w:highlight w:val="none"/>
              </w:rPr>
            </w:pPr>
            <w:r>
              <w:rPr>
                <w:color w:val="auto"/>
                <w:highlight w:val="none"/>
              </w:rPr>
              <w:t>污水处理设施污泥</w:t>
            </w:r>
          </w:p>
        </w:tc>
        <w:tc>
          <w:tcPr>
            <w:tcW w:w="462" w:type="pct"/>
            <w:tcBorders>
              <w:tl2br w:val="nil"/>
              <w:tr2bl w:val="nil"/>
            </w:tcBorders>
            <w:vAlign w:val="center"/>
          </w:tcPr>
          <w:p w14:paraId="015C8553">
            <w:pPr>
              <w:pStyle w:val="41"/>
              <w:rPr>
                <w:color w:val="auto"/>
                <w:highlight w:val="none"/>
              </w:rPr>
            </w:pPr>
            <w:r>
              <w:rPr>
                <w:color w:val="auto"/>
                <w:highlight w:val="none"/>
              </w:rPr>
              <w:t xml:space="preserve">900-099-S07 </w:t>
            </w:r>
          </w:p>
        </w:tc>
        <w:tc>
          <w:tcPr>
            <w:tcW w:w="300" w:type="pct"/>
            <w:tcBorders>
              <w:tl2br w:val="nil"/>
              <w:tr2bl w:val="nil"/>
            </w:tcBorders>
            <w:vAlign w:val="center"/>
          </w:tcPr>
          <w:p w14:paraId="55736AF6">
            <w:pPr>
              <w:pStyle w:val="41"/>
              <w:rPr>
                <w:color w:val="auto"/>
                <w:highlight w:val="none"/>
              </w:rPr>
            </w:pPr>
            <w:r>
              <w:rPr>
                <w:color w:val="auto"/>
                <w:highlight w:val="none"/>
              </w:rPr>
              <w:t>一般工业固体废物</w:t>
            </w:r>
          </w:p>
        </w:tc>
        <w:tc>
          <w:tcPr>
            <w:tcW w:w="1724" w:type="pct"/>
            <w:gridSpan w:val="3"/>
            <w:tcBorders>
              <w:tl2br w:val="nil"/>
              <w:tr2bl w:val="nil"/>
            </w:tcBorders>
            <w:vAlign w:val="center"/>
          </w:tcPr>
          <w:p w14:paraId="47DB46D8">
            <w:pPr>
              <w:pStyle w:val="41"/>
              <w:rPr>
                <w:color w:val="auto"/>
                <w:highlight w:val="none"/>
              </w:rPr>
            </w:pPr>
            <w:r>
              <w:rPr>
                <w:color w:val="auto"/>
                <w:highlight w:val="none"/>
              </w:rPr>
              <w:t>用于厂区绿化带绿化肥料。</w:t>
            </w:r>
          </w:p>
        </w:tc>
        <w:tc>
          <w:tcPr>
            <w:tcW w:w="790" w:type="pct"/>
            <w:gridSpan w:val="2"/>
            <w:tcBorders>
              <w:tl2br w:val="nil"/>
              <w:tr2bl w:val="nil"/>
            </w:tcBorders>
            <w:vAlign w:val="center"/>
          </w:tcPr>
          <w:p w14:paraId="4239ABDA">
            <w:pPr>
              <w:pStyle w:val="41"/>
              <w:rPr>
                <w:color w:val="auto"/>
                <w:highlight w:val="none"/>
              </w:rPr>
            </w:pPr>
            <w:r>
              <w:rPr>
                <w:rFonts w:hint="eastAsia"/>
                <w:color w:val="auto"/>
                <w:highlight w:val="none"/>
              </w:rPr>
              <w:t>6.63</w:t>
            </w:r>
            <w:r>
              <w:rPr>
                <w:color w:val="auto"/>
                <w:highlight w:val="none"/>
              </w:rPr>
              <w:t>t/a</w:t>
            </w:r>
          </w:p>
        </w:tc>
        <w:tc>
          <w:tcPr>
            <w:tcW w:w="903" w:type="pct"/>
            <w:tcBorders>
              <w:tl2br w:val="nil"/>
              <w:tr2bl w:val="nil"/>
            </w:tcBorders>
            <w:vAlign w:val="center"/>
          </w:tcPr>
          <w:p w14:paraId="3982ACCD">
            <w:pPr>
              <w:pStyle w:val="41"/>
              <w:rPr>
                <w:color w:val="auto"/>
                <w:highlight w:val="none"/>
                <w:lang w:val="zh-CN"/>
              </w:rPr>
            </w:pPr>
            <w:r>
              <w:rPr>
                <w:color w:val="auto"/>
                <w:highlight w:val="none"/>
              </w:rPr>
              <w:t>《一般工业固体废物贮存和填埋污染控制标准》（GB18599-2020）</w:t>
            </w:r>
          </w:p>
        </w:tc>
      </w:tr>
      <w:tr w14:paraId="4BE53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66676225">
            <w:pPr>
              <w:pStyle w:val="41"/>
              <w:rPr>
                <w:color w:val="auto"/>
                <w:highlight w:val="none"/>
              </w:rPr>
            </w:pPr>
          </w:p>
        </w:tc>
        <w:tc>
          <w:tcPr>
            <w:tcW w:w="664" w:type="pct"/>
            <w:tcBorders>
              <w:tl2br w:val="nil"/>
              <w:tr2bl w:val="nil"/>
            </w:tcBorders>
            <w:vAlign w:val="center"/>
          </w:tcPr>
          <w:p w14:paraId="272D1F80">
            <w:pPr>
              <w:pStyle w:val="41"/>
              <w:rPr>
                <w:color w:val="auto"/>
                <w:highlight w:val="none"/>
              </w:rPr>
            </w:pPr>
            <w:r>
              <w:rPr>
                <w:rFonts w:hint="eastAsia"/>
                <w:color w:val="auto"/>
                <w:highlight w:val="none"/>
              </w:rPr>
              <w:t>锅炉灰渣</w:t>
            </w:r>
          </w:p>
        </w:tc>
        <w:tc>
          <w:tcPr>
            <w:tcW w:w="462" w:type="pct"/>
            <w:tcBorders>
              <w:tl2br w:val="nil"/>
              <w:tr2bl w:val="nil"/>
            </w:tcBorders>
            <w:vAlign w:val="center"/>
          </w:tcPr>
          <w:p w14:paraId="091E4739">
            <w:pPr>
              <w:pStyle w:val="41"/>
              <w:rPr>
                <w:color w:val="auto"/>
                <w:highlight w:val="none"/>
              </w:rPr>
            </w:pPr>
            <w:r>
              <w:rPr>
                <w:rFonts w:hint="eastAsia"/>
                <w:color w:val="auto"/>
                <w:highlight w:val="none"/>
              </w:rPr>
              <w:t xml:space="preserve">900-099-S03 </w:t>
            </w:r>
          </w:p>
        </w:tc>
        <w:tc>
          <w:tcPr>
            <w:tcW w:w="300" w:type="pct"/>
            <w:tcBorders>
              <w:tl2br w:val="nil"/>
              <w:tr2bl w:val="nil"/>
            </w:tcBorders>
            <w:vAlign w:val="center"/>
          </w:tcPr>
          <w:p w14:paraId="699F0163">
            <w:pPr>
              <w:pStyle w:val="41"/>
              <w:rPr>
                <w:color w:val="auto"/>
                <w:highlight w:val="none"/>
              </w:rPr>
            </w:pPr>
            <w:r>
              <w:rPr>
                <w:color w:val="auto"/>
                <w:highlight w:val="none"/>
              </w:rPr>
              <w:t>一般工业固体废物</w:t>
            </w:r>
          </w:p>
        </w:tc>
        <w:tc>
          <w:tcPr>
            <w:tcW w:w="1724" w:type="pct"/>
            <w:gridSpan w:val="3"/>
            <w:tcBorders>
              <w:tl2br w:val="nil"/>
              <w:tr2bl w:val="nil"/>
            </w:tcBorders>
            <w:vAlign w:val="center"/>
          </w:tcPr>
          <w:p w14:paraId="14052F33">
            <w:pPr>
              <w:pStyle w:val="41"/>
              <w:rPr>
                <w:color w:val="auto"/>
                <w:highlight w:val="none"/>
              </w:rPr>
            </w:pPr>
            <w:r>
              <w:rPr>
                <w:rFonts w:hint="eastAsia"/>
                <w:color w:val="auto"/>
                <w:highlight w:val="none"/>
              </w:rPr>
              <w:t>作为土壤改良剂用于</w:t>
            </w:r>
            <w:r>
              <w:rPr>
                <w:rFonts w:hint="eastAsia"/>
                <w:color w:val="auto"/>
                <w:highlight w:val="none"/>
                <w:lang w:eastAsia="zh-CN"/>
              </w:rPr>
              <w:t>项目区</w:t>
            </w:r>
            <w:r>
              <w:rPr>
                <w:rFonts w:hint="eastAsia"/>
                <w:color w:val="auto"/>
                <w:highlight w:val="none"/>
              </w:rPr>
              <w:t>生态恢复治理</w:t>
            </w:r>
            <w:r>
              <w:rPr>
                <w:rFonts w:hint="eastAsia"/>
                <w:color w:val="auto"/>
                <w:highlight w:val="none"/>
                <w:lang w:eastAsia="zh-CN"/>
              </w:rPr>
              <w:t>；</w:t>
            </w:r>
          </w:p>
        </w:tc>
        <w:tc>
          <w:tcPr>
            <w:tcW w:w="790" w:type="pct"/>
            <w:gridSpan w:val="2"/>
            <w:tcBorders>
              <w:tl2br w:val="nil"/>
              <w:tr2bl w:val="nil"/>
            </w:tcBorders>
            <w:vAlign w:val="center"/>
          </w:tcPr>
          <w:p w14:paraId="25F07126">
            <w:pPr>
              <w:pStyle w:val="41"/>
              <w:rPr>
                <w:color w:val="auto"/>
                <w:highlight w:val="none"/>
              </w:rPr>
            </w:pPr>
            <w:r>
              <w:rPr>
                <w:rFonts w:hint="eastAsia"/>
                <w:color w:val="auto"/>
                <w:highlight w:val="none"/>
              </w:rPr>
              <w:t>42.37</w:t>
            </w:r>
            <w:r>
              <w:rPr>
                <w:color w:val="auto"/>
                <w:highlight w:val="none"/>
              </w:rPr>
              <w:t>t/a</w:t>
            </w:r>
          </w:p>
        </w:tc>
        <w:tc>
          <w:tcPr>
            <w:tcW w:w="903" w:type="pct"/>
            <w:tcBorders>
              <w:tl2br w:val="nil"/>
              <w:tr2bl w:val="nil"/>
            </w:tcBorders>
            <w:vAlign w:val="center"/>
          </w:tcPr>
          <w:p w14:paraId="14318C6F">
            <w:pPr>
              <w:pStyle w:val="41"/>
              <w:rPr>
                <w:color w:val="auto"/>
                <w:highlight w:val="none"/>
                <w:lang w:val="zh-CN"/>
              </w:rPr>
            </w:pPr>
            <w:r>
              <w:rPr>
                <w:color w:val="auto"/>
                <w:highlight w:val="none"/>
              </w:rPr>
              <w:t>《一般工业固体废物贮存和填埋污染控制标准》（GB18599-2020）</w:t>
            </w:r>
          </w:p>
        </w:tc>
      </w:tr>
      <w:tr w14:paraId="6FDBA3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33BCCB3F">
            <w:pPr>
              <w:pStyle w:val="41"/>
              <w:rPr>
                <w:color w:val="auto"/>
                <w:highlight w:val="none"/>
              </w:rPr>
            </w:pPr>
          </w:p>
        </w:tc>
        <w:tc>
          <w:tcPr>
            <w:tcW w:w="664" w:type="pct"/>
            <w:tcBorders>
              <w:tl2br w:val="nil"/>
              <w:tr2bl w:val="nil"/>
            </w:tcBorders>
            <w:vAlign w:val="center"/>
          </w:tcPr>
          <w:p w14:paraId="6CCE0DC5">
            <w:pPr>
              <w:pStyle w:val="41"/>
              <w:rPr>
                <w:color w:val="auto"/>
                <w:highlight w:val="none"/>
              </w:rPr>
            </w:pPr>
            <w:r>
              <w:rPr>
                <w:rFonts w:hint="eastAsia"/>
                <w:color w:val="auto"/>
                <w:highlight w:val="none"/>
              </w:rPr>
              <w:t>脱硫渣</w:t>
            </w:r>
          </w:p>
        </w:tc>
        <w:tc>
          <w:tcPr>
            <w:tcW w:w="462" w:type="pct"/>
            <w:tcBorders>
              <w:tl2br w:val="nil"/>
              <w:tr2bl w:val="nil"/>
            </w:tcBorders>
            <w:vAlign w:val="center"/>
          </w:tcPr>
          <w:p w14:paraId="37F32F42">
            <w:pPr>
              <w:pStyle w:val="41"/>
              <w:rPr>
                <w:color w:val="auto"/>
                <w:highlight w:val="none"/>
              </w:rPr>
            </w:pPr>
            <w:r>
              <w:rPr>
                <w:rFonts w:hint="eastAsia"/>
                <w:color w:val="auto"/>
                <w:highlight w:val="none"/>
              </w:rPr>
              <w:t>900-099-S06</w:t>
            </w:r>
          </w:p>
        </w:tc>
        <w:tc>
          <w:tcPr>
            <w:tcW w:w="300" w:type="pct"/>
            <w:tcBorders>
              <w:tl2br w:val="nil"/>
              <w:tr2bl w:val="nil"/>
            </w:tcBorders>
            <w:vAlign w:val="center"/>
          </w:tcPr>
          <w:p w14:paraId="0768D803">
            <w:pPr>
              <w:pStyle w:val="41"/>
              <w:rPr>
                <w:color w:val="auto"/>
                <w:highlight w:val="none"/>
              </w:rPr>
            </w:pPr>
            <w:r>
              <w:rPr>
                <w:color w:val="auto"/>
                <w:highlight w:val="none"/>
              </w:rPr>
              <w:t>一般工业固体废物</w:t>
            </w:r>
          </w:p>
        </w:tc>
        <w:tc>
          <w:tcPr>
            <w:tcW w:w="1724" w:type="pct"/>
            <w:gridSpan w:val="3"/>
            <w:tcBorders>
              <w:tl2br w:val="nil"/>
              <w:tr2bl w:val="nil"/>
            </w:tcBorders>
            <w:vAlign w:val="center"/>
          </w:tcPr>
          <w:p w14:paraId="5C33A72E">
            <w:pPr>
              <w:pStyle w:val="41"/>
              <w:rPr>
                <w:color w:val="auto"/>
                <w:highlight w:val="none"/>
              </w:rPr>
            </w:pPr>
            <w:r>
              <w:rPr>
                <w:rFonts w:hint="eastAsia"/>
                <w:color w:val="auto"/>
                <w:highlight w:val="none"/>
                <w:lang w:eastAsia="zh-CN"/>
              </w:rPr>
              <w:t>脱硫石膏外售进行综合利用</w:t>
            </w:r>
          </w:p>
        </w:tc>
        <w:tc>
          <w:tcPr>
            <w:tcW w:w="790" w:type="pct"/>
            <w:gridSpan w:val="2"/>
            <w:tcBorders>
              <w:tl2br w:val="nil"/>
              <w:tr2bl w:val="nil"/>
            </w:tcBorders>
            <w:vAlign w:val="center"/>
          </w:tcPr>
          <w:p w14:paraId="44A1837A">
            <w:pPr>
              <w:pStyle w:val="41"/>
              <w:rPr>
                <w:color w:val="auto"/>
                <w:highlight w:val="none"/>
              </w:rPr>
            </w:pPr>
            <w:r>
              <w:rPr>
                <w:rFonts w:hint="eastAsia"/>
                <w:color w:val="auto"/>
                <w:highlight w:val="none"/>
                <w:lang w:val="en-US" w:eastAsia="zh-CN"/>
              </w:rPr>
              <w:t>12.18</w:t>
            </w:r>
            <w:r>
              <w:rPr>
                <w:color w:val="auto"/>
                <w:highlight w:val="none"/>
              </w:rPr>
              <w:t>t/a</w:t>
            </w:r>
          </w:p>
        </w:tc>
        <w:tc>
          <w:tcPr>
            <w:tcW w:w="903" w:type="pct"/>
            <w:tcBorders>
              <w:tl2br w:val="nil"/>
              <w:tr2bl w:val="nil"/>
            </w:tcBorders>
            <w:vAlign w:val="center"/>
          </w:tcPr>
          <w:p w14:paraId="033DAB27">
            <w:pPr>
              <w:pStyle w:val="41"/>
              <w:rPr>
                <w:color w:val="auto"/>
                <w:highlight w:val="none"/>
              </w:rPr>
            </w:pPr>
            <w:r>
              <w:rPr>
                <w:color w:val="auto"/>
                <w:highlight w:val="none"/>
              </w:rPr>
              <w:t>《一般工业固体废物贮存和填埋污染控制标准》（GB18599-2020）</w:t>
            </w:r>
          </w:p>
        </w:tc>
      </w:tr>
      <w:tr w14:paraId="3EFF64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56" w:type="pct"/>
            <w:vMerge w:val="continue"/>
            <w:tcBorders>
              <w:tl2br w:val="nil"/>
              <w:tr2bl w:val="nil"/>
            </w:tcBorders>
            <w:vAlign w:val="center"/>
          </w:tcPr>
          <w:p w14:paraId="5825D983">
            <w:pPr>
              <w:pStyle w:val="41"/>
              <w:rPr>
                <w:color w:val="auto"/>
                <w:highlight w:val="none"/>
              </w:rPr>
            </w:pPr>
          </w:p>
        </w:tc>
        <w:tc>
          <w:tcPr>
            <w:tcW w:w="664" w:type="pct"/>
            <w:tcBorders>
              <w:tl2br w:val="nil"/>
              <w:tr2bl w:val="nil"/>
            </w:tcBorders>
            <w:vAlign w:val="center"/>
          </w:tcPr>
          <w:p w14:paraId="3F166290">
            <w:pPr>
              <w:pStyle w:val="41"/>
              <w:rPr>
                <w:color w:val="auto"/>
                <w:highlight w:val="none"/>
              </w:rPr>
            </w:pPr>
            <w:r>
              <w:rPr>
                <w:color w:val="auto"/>
                <w:highlight w:val="none"/>
              </w:rPr>
              <w:t>废机油</w:t>
            </w:r>
          </w:p>
        </w:tc>
        <w:tc>
          <w:tcPr>
            <w:tcW w:w="462" w:type="pct"/>
            <w:tcBorders>
              <w:tl2br w:val="nil"/>
              <w:tr2bl w:val="nil"/>
            </w:tcBorders>
            <w:vAlign w:val="center"/>
          </w:tcPr>
          <w:p w14:paraId="58CFFE56">
            <w:pPr>
              <w:pStyle w:val="41"/>
              <w:rPr>
                <w:color w:val="auto"/>
                <w:highlight w:val="none"/>
              </w:rPr>
            </w:pPr>
            <w:r>
              <w:rPr>
                <w:color w:val="auto"/>
                <w:highlight w:val="none"/>
              </w:rPr>
              <w:t>HW08</w:t>
            </w:r>
          </w:p>
          <w:p w14:paraId="3E5D02C8">
            <w:pPr>
              <w:pStyle w:val="41"/>
              <w:rPr>
                <w:color w:val="auto"/>
                <w:highlight w:val="none"/>
              </w:rPr>
            </w:pPr>
            <w:r>
              <w:rPr>
                <w:color w:val="auto"/>
                <w:highlight w:val="none"/>
              </w:rPr>
              <w:t>900-214-08</w:t>
            </w:r>
          </w:p>
        </w:tc>
        <w:tc>
          <w:tcPr>
            <w:tcW w:w="300" w:type="pct"/>
            <w:tcBorders>
              <w:tl2br w:val="nil"/>
              <w:tr2bl w:val="nil"/>
            </w:tcBorders>
            <w:vAlign w:val="center"/>
          </w:tcPr>
          <w:p w14:paraId="11408ED2">
            <w:pPr>
              <w:pStyle w:val="41"/>
              <w:rPr>
                <w:color w:val="auto"/>
                <w:highlight w:val="none"/>
              </w:rPr>
            </w:pPr>
            <w:r>
              <w:rPr>
                <w:color w:val="auto"/>
                <w:highlight w:val="none"/>
              </w:rPr>
              <w:t>危险</w:t>
            </w:r>
          </w:p>
          <w:p w14:paraId="74B3D1CC">
            <w:pPr>
              <w:pStyle w:val="41"/>
              <w:rPr>
                <w:color w:val="auto"/>
                <w:highlight w:val="none"/>
              </w:rPr>
            </w:pPr>
            <w:r>
              <w:rPr>
                <w:color w:val="auto"/>
                <w:highlight w:val="none"/>
              </w:rPr>
              <w:t>废物</w:t>
            </w:r>
          </w:p>
        </w:tc>
        <w:tc>
          <w:tcPr>
            <w:tcW w:w="1724" w:type="pct"/>
            <w:gridSpan w:val="3"/>
            <w:tcBorders>
              <w:tl2br w:val="nil"/>
              <w:tr2bl w:val="nil"/>
            </w:tcBorders>
            <w:vAlign w:val="center"/>
          </w:tcPr>
          <w:p w14:paraId="31847233">
            <w:pPr>
              <w:pStyle w:val="41"/>
              <w:rPr>
                <w:color w:val="auto"/>
                <w:highlight w:val="none"/>
              </w:rPr>
            </w:pPr>
            <w:r>
              <w:rPr>
                <w:color w:val="auto"/>
                <w:highlight w:val="none"/>
              </w:rPr>
              <w:t>危废暂存</w:t>
            </w:r>
            <w:r>
              <w:rPr>
                <w:rFonts w:hint="eastAsia"/>
                <w:color w:val="auto"/>
                <w:highlight w:val="none"/>
              </w:rPr>
              <w:t>场所</w:t>
            </w:r>
            <w:r>
              <w:rPr>
                <w:color w:val="auto"/>
                <w:highlight w:val="none"/>
              </w:rPr>
              <w:t>暂存</w:t>
            </w:r>
            <w:r>
              <w:rPr>
                <w:rFonts w:hint="eastAsia"/>
                <w:color w:val="auto"/>
                <w:highlight w:val="none"/>
              </w:rPr>
              <w:t>，</w:t>
            </w:r>
            <w:r>
              <w:rPr>
                <w:color w:val="auto"/>
                <w:highlight w:val="none"/>
              </w:rPr>
              <w:t>委托有资质单位处置</w:t>
            </w:r>
          </w:p>
        </w:tc>
        <w:tc>
          <w:tcPr>
            <w:tcW w:w="790" w:type="pct"/>
            <w:gridSpan w:val="2"/>
            <w:tcBorders>
              <w:tl2br w:val="nil"/>
              <w:tr2bl w:val="nil"/>
            </w:tcBorders>
            <w:vAlign w:val="center"/>
          </w:tcPr>
          <w:p w14:paraId="411DE85E">
            <w:pPr>
              <w:pStyle w:val="41"/>
              <w:rPr>
                <w:color w:val="auto"/>
                <w:highlight w:val="none"/>
              </w:rPr>
            </w:pPr>
            <w:r>
              <w:rPr>
                <w:rFonts w:hint="eastAsia"/>
                <w:color w:val="auto"/>
                <w:highlight w:val="none"/>
              </w:rPr>
              <w:t>3</w:t>
            </w:r>
            <w:r>
              <w:rPr>
                <w:color w:val="auto"/>
                <w:highlight w:val="none"/>
              </w:rPr>
              <w:t>.0t/a</w:t>
            </w:r>
          </w:p>
        </w:tc>
        <w:tc>
          <w:tcPr>
            <w:tcW w:w="903" w:type="pct"/>
            <w:tcBorders>
              <w:tl2br w:val="nil"/>
              <w:tr2bl w:val="nil"/>
            </w:tcBorders>
            <w:vAlign w:val="center"/>
          </w:tcPr>
          <w:p w14:paraId="33682FD2">
            <w:pPr>
              <w:pStyle w:val="41"/>
              <w:rPr>
                <w:color w:val="auto"/>
                <w:highlight w:val="none"/>
                <w:lang w:val="zh-CN"/>
              </w:rPr>
            </w:pPr>
            <w:r>
              <w:rPr>
                <w:color w:val="auto"/>
                <w:highlight w:val="none"/>
                <w:lang w:val="zh-CN"/>
              </w:rPr>
              <w:t>《危险废物贮存污染控制标准》（GB18597-</w:t>
            </w:r>
            <w:r>
              <w:rPr>
                <w:color w:val="auto"/>
                <w:highlight w:val="none"/>
              </w:rPr>
              <w:t>2023</w:t>
            </w:r>
            <w:r>
              <w:rPr>
                <w:color w:val="auto"/>
                <w:highlight w:val="none"/>
                <w:lang w:val="zh-CN"/>
              </w:rPr>
              <w:t>）</w:t>
            </w:r>
          </w:p>
        </w:tc>
      </w:tr>
    </w:tbl>
    <w:p w14:paraId="66C6356F">
      <w:pPr>
        <w:pStyle w:val="3"/>
        <w:ind w:firstLine="480"/>
        <w:rPr>
          <w:color w:val="auto"/>
          <w:highlight w:val="none"/>
        </w:rPr>
        <w:sectPr>
          <w:pgSz w:w="16838" w:h="11906" w:orient="landscape"/>
          <w:pgMar w:top="1803" w:right="1440" w:bottom="1803" w:left="1440" w:header="1020" w:footer="992" w:gutter="0"/>
          <w:pgBorders>
            <w:top w:val="none" w:sz="0" w:space="0"/>
            <w:left w:val="none" w:sz="0" w:space="0"/>
            <w:bottom w:val="none" w:sz="0" w:space="0"/>
            <w:right w:val="none" w:sz="0" w:space="0"/>
          </w:pgBorders>
          <w:cols w:space="720" w:num="1"/>
          <w:docGrid w:type="lines" w:linePitch="332" w:charSpace="0"/>
        </w:sectPr>
      </w:pPr>
    </w:p>
    <w:p w14:paraId="5CFCD570">
      <w:pPr>
        <w:pStyle w:val="38"/>
        <w:rPr>
          <w:color w:val="auto"/>
          <w:highlight w:val="none"/>
        </w:rPr>
      </w:pPr>
      <w:bookmarkStart w:id="492" w:name="_Toc9993"/>
      <w:bookmarkStart w:id="493" w:name="_Toc5531"/>
      <w:r>
        <w:rPr>
          <w:color w:val="auto"/>
          <w:highlight w:val="none"/>
        </w:rPr>
        <w:t>环境影响评价结论</w:t>
      </w:r>
      <w:bookmarkEnd w:id="485"/>
      <w:bookmarkEnd w:id="486"/>
      <w:bookmarkEnd w:id="487"/>
      <w:bookmarkEnd w:id="488"/>
      <w:bookmarkEnd w:id="489"/>
      <w:bookmarkEnd w:id="490"/>
      <w:bookmarkEnd w:id="491"/>
      <w:bookmarkEnd w:id="492"/>
      <w:bookmarkEnd w:id="493"/>
    </w:p>
    <w:p w14:paraId="6A951C07">
      <w:pPr>
        <w:pStyle w:val="39"/>
        <w:rPr>
          <w:rFonts w:hint="default"/>
          <w:color w:val="auto"/>
          <w:highlight w:val="none"/>
        </w:rPr>
      </w:pPr>
      <w:bookmarkStart w:id="494" w:name="_Toc635"/>
      <w:bookmarkStart w:id="495" w:name="_Toc28158"/>
      <w:r>
        <w:rPr>
          <w:rFonts w:hint="default"/>
          <w:color w:val="auto"/>
          <w:highlight w:val="none"/>
        </w:rPr>
        <w:t>项目概况</w:t>
      </w:r>
      <w:bookmarkEnd w:id="494"/>
      <w:bookmarkEnd w:id="495"/>
    </w:p>
    <w:p w14:paraId="7561196C">
      <w:pPr>
        <w:pStyle w:val="3"/>
        <w:ind w:firstLine="480"/>
        <w:rPr>
          <w:color w:val="auto"/>
          <w:highlight w:val="none"/>
        </w:rPr>
      </w:pPr>
      <w:r>
        <w:rPr>
          <w:rFonts w:hint="eastAsia"/>
          <w:color w:val="auto"/>
          <w:highlight w:val="none"/>
        </w:rPr>
        <w:t>本项目为</w:t>
      </w:r>
      <w:r>
        <w:rPr>
          <w:rFonts w:hint="eastAsia"/>
          <w:color w:val="auto"/>
          <w:highlight w:val="none"/>
          <w:lang w:eastAsia="zh-CN"/>
        </w:rPr>
        <w:t>阿图什市环球矿业有限公司</w:t>
      </w:r>
      <w:r>
        <w:rPr>
          <w:color w:val="auto"/>
          <w:highlight w:val="none"/>
        </w:rPr>
        <w:t>自有矿山</w:t>
      </w:r>
      <w:r>
        <w:rPr>
          <w:rFonts w:hint="eastAsia"/>
          <w:color w:val="auto"/>
          <w:highlight w:val="none"/>
        </w:rPr>
        <w:t>新疆阿图什市托斯莫铁矿配套建设的选矿厂，属于改扩建工程。原有项目于2011年3月11日以</w:t>
      </w:r>
      <w:r>
        <w:rPr>
          <w:color w:val="auto"/>
          <w:highlight w:val="none"/>
        </w:rPr>
        <w:t>新环评价函</w:t>
      </w:r>
      <w:r>
        <w:rPr>
          <w:rFonts w:hint="eastAsia"/>
          <w:color w:val="auto"/>
          <w:highlight w:val="none"/>
        </w:rPr>
        <w:t>〔2011〕186号取得了《关于阿图什市环球矿业有限公司20万t/a铁选矿厂环境影响报告书的批复》，2013年12月建成，克州环境监测站于2014年12月10日编制完成了《新疆阿图什环球矿业投资有限责任公司铁选矿厂项目竣工环境保护验收调查报告》，且通过了克州环保局对该项目竣工环境保护验收。于2024年6月开始停产进行了900万吨的改扩建工程。</w:t>
      </w:r>
    </w:p>
    <w:p w14:paraId="29193F1E">
      <w:pPr>
        <w:pStyle w:val="3"/>
        <w:ind w:firstLine="480"/>
        <w:rPr>
          <w:color w:val="auto"/>
          <w:highlight w:val="none"/>
        </w:rPr>
      </w:pPr>
      <w:r>
        <w:rPr>
          <w:rFonts w:hint="eastAsia"/>
          <w:color w:val="auto"/>
          <w:highlight w:val="none"/>
        </w:rPr>
        <w:t>扩建后本项目设计总生产规模900万t/a，其中一期580万t/a生产线，二期320万t/a生产线。产品方案为铁精矿和钛精矿。选矿厂一期铁精粉年产量为30.14万t，钛精粉年产量为15.87万t；选矿厂二期铁精粉年产量为16.63万t，钛精粉年产量为8.75万t。</w:t>
      </w:r>
    </w:p>
    <w:p w14:paraId="4897378B">
      <w:pPr>
        <w:pStyle w:val="3"/>
        <w:ind w:firstLine="480"/>
        <w:rPr>
          <w:color w:val="auto"/>
          <w:highlight w:val="none"/>
        </w:rPr>
      </w:pPr>
      <w:r>
        <w:rPr>
          <w:rFonts w:hint="eastAsia"/>
          <w:color w:val="auto"/>
          <w:highlight w:val="none"/>
        </w:rPr>
        <w:t>本项目主要建设选矿厂、尾矿库以及选矿厂至尾矿库的皮带运输廊道。生产烘干热源采用生物质炉窑，办公生活区锅炉利用生物质炉窑余热。选矿废水采用闭路循环设施、生活污水处理后全部回用，不外排。尾矿经选矿厂内的干排脱水筛一体机脱水后，前期利用现有道路采用公路运输，后期采用皮带运输至新建尾矿库。</w:t>
      </w:r>
      <w:r>
        <w:rPr>
          <w:color w:val="auto"/>
          <w:highlight w:val="none"/>
        </w:rPr>
        <w:t>本项目总投资为</w:t>
      </w:r>
      <w:r>
        <w:rPr>
          <w:rFonts w:hint="eastAsia"/>
          <w:color w:val="auto"/>
          <w:highlight w:val="none"/>
        </w:rPr>
        <w:t>68118</w:t>
      </w:r>
      <w:r>
        <w:rPr>
          <w:color w:val="auto"/>
          <w:highlight w:val="none"/>
        </w:rPr>
        <w:t>万元，其中环保投资为</w:t>
      </w:r>
      <w:r>
        <w:rPr>
          <w:rFonts w:hint="eastAsia"/>
          <w:color w:val="auto"/>
          <w:highlight w:val="none"/>
          <w:lang w:val="en-US" w:eastAsia="zh-CN"/>
        </w:rPr>
        <w:t>6446.6</w:t>
      </w:r>
      <w:r>
        <w:rPr>
          <w:color w:val="auto"/>
          <w:highlight w:val="none"/>
        </w:rPr>
        <w:t>万元，占总投资的</w:t>
      </w:r>
      <w:r>
        <w:rPr>
          <w:rFonts w:hint="eastAsia"/>
          <w:color w:val="auto"/>
          <w:highlight w:val="none"/>
          <w:lang w:val="en-US" w:eastAsia="zh-CN"/>
        </w:rPr>
        <w:t>9.46</w:t>
      </w:r>
      <w:r>
        <w:rPr>
          <w:color w:val="auto"/>
          <w:highlight w:val="none"/>
        </w:rPr>
        <w:t>%。</w:t>
      </w:r>
      <w:r>
        <w:rPr>
          <w:rFonts w:hint="eastAsia"/>
          <w:color w:val="auto"/>
          <w:highlight w:val="none"/>
        </w:rPr>
        <w:t>本项目备案规模为900万吨/年，但因本项目</w:t>
      </w:r>
      <w:r>
        <w:rPr>
          <w:color w:val="auto"/>
          <w:highlight w:val="none"/>
        </w:rPr>
        <w:t>选矿厂一期580万t/a生产线矿石原料来源为</w:t>
      </w:r>
      <w:r>
        <w:rPr>
          <w:rFonts w:hint="eastAsia"/>
          <w:color w:val="auto"/>
          <w:highlight w:val="none"/>
          <w:lang w:eastAsia="zh-CN"/>
        </w:rPr>
        <w:t>阿图什市环球矿业有限公司</w:t>
      </w:r>
      <w:r>
        <w:rPr>
          <w:color w:val="auto"/>
          <w:highlight w:val="none"/>
        </w:rPr>
        <w:t>自有矿山新疆阿图什市托斯莫铁矿，当前矿山可采出矿石资源量为11616.26万t，矿山露天采矿生产能力为580万t/a，服务年限20.03年，供本项目选矿一期生产线。二期生产线矿石来源为勘探区内其他矿区，目前正在勘探阶段，暂无资源储量数据。</w:t>
      </w:r>
      <w:r>
        <w:rPr>
          <w:rFonts w:hint="eastAsia"/>
          <w:color w:val="auto"/>
          <w:highlight w:val="none"/>
        </w:rPr>
        <w:t>尾矿库容量也仅可容纳一期尾矿，因此本环评仅评价根据可研设计，仅评价一期选矿及尾矿库，待二期有可靠的矿石来源及尾矿库，另行评价。</w:t>
      </w:r>
    </w:p>
    <w:p w14:paraId="6C3A9A92">
      <w:pPr>
        <w:pStyle w:val="39"/>
        <w:rPr>
          <w:rFonts w:hint="default"/>
          <w:color w:val="auto"/>
          <w:highlight w:val="none"/>
        </w:rPr>
      </w:pPr>
      <w:bookmarkStart w:id="496" w:name="_Toc18129"/>
      <w:bookmarkStart w:id="497" w:name="_Toc16185"/>
      <w:r>
        <w:rPr>
          <w:rFonts w:hint="default"/>
          <w:color w:val="auto"/>
          <w:highlight w:val="none"/>
        </w:rPr>
        <w:t>环境质量现状</w:t>
      </w:r>
      <w:bookmarkEnd w:id="496"/>
      <w:bookmarkEnd w:id="497"/>
    </w:p>
    <w:p w14:paraId="1F48D365">
      <w:pPr>
        <w:pStyle w:val="3"/>
        <w:ind w:firstLine="480"/>
        <w:rPr>
          <w:color w:val="auto"/>
          <w:highlight w:val="none"/>
        </w:rPr>
      </w:pPr>
      <w:r>
        <w:rPr>
          <w:color w:val="auto"/>
          <w:highlight w:val="none"/>
        </w:rPr>
        <w:t>（1）大气环境质量现状</w:t>
      </w:r>
    </w:p>
    <w:p w14:paraId="363762B3">
      <w:pPr>
        <w:pStyle w:val="3"/>
        <w:ind w:firstLine="480"/>
        <w:rPr>
          <w:color w:val="auto"/>
          <w:highlight w:val="none"/>
        </w:rPr>
      </w:pPr>
      <w:r>
        <w:rPr>
          <w:color w:val="auto"/>
          <w:highlight w:val="none"/>
        </w:rPr>
        <w:t>SO</w:t>
      </w:r>
      <w:r>
        <w:rPr>
          <w:color w:val="auto"/>
          <w:highlight w:val="none"/>
          <w:vertAlign w:val="subscript"/>
        </w:rPr>
        <w:t>2</w:t>
      </w:r>
      <w:r>
        <w:rPr>
          <w:color w:val="auto"/>
          <w:highlight w:val="none"/>
        </w:rPr>
        <w:t>、NO</w:t>
      </w:r>
      <w:r>
        <w:rPr>
          <w:color w:val="auto"/>
          <w:highlight w:val="none"/>
          <w:vertAlign w:val="subscript"/>
        </w:rPr>
        <w:t>2</w:t>
      </w:r>
      <w:r>
        <w:rPr>
          <w:color w:val="auto"/>
          <w:highlight w:val="none"/>
        </w:rPr>
        <w:t>、PM</w:t>
      </w:r>
      <w:r>
        <w:rPr>
          <w:color w:val="auto"/>
          <w:highlight w:val="none"/>
          <w:vertAlign w:val="subscript"/>
        </w:rPr>
        <w:t>10</w:t>
      </w:r>
      <w:r>
        <w:rPr>
          <w:color w:val="auto"/>
          <w:highlight w:val="none"/>
        </w:rPr>
        <w:t>、PM</w:t>
      </w:r>
      <w:r>
        <w:rPr>
          <w:color w:val="auto"/>
          <w:highlight w:val="none"/>
          <w:vertAlign w:val="subscript"/>
        </w:rPr>
        <w:t>2.5</w:t>
      </w:r>
      <w:r>
        <w:rPr>
          <w:color w:val="auto"/>
          <w:highlight w:val="none"/>
        </w:rPr>
        <w:t>、CO和O</w:t>
      </w:r>
      <w:r>
        <w:rPr>
          <w:color w:val="auto"/>
          <w:highlight w:val="none"/>
          <w:vertAlign w:val="subscript"/>
        </w:rPr>
        <w:t>3</w:t>
      </w:r>
      <w:r>
        <w:rPr>
          <w:rFonts w:hint="eastAsia"/>
          <w:color w:val="auto"/>
          <w:highlight w:val="none"/>
        </w:rPr>
        <w:t>满足</w:t>
      </w:r>
      <w:r>
        <w:rPr>
          <w:color w:val="auto"/>
          <w:highlight w:val="none"/>
        </w:rPr>
        <w:t>《环境空气质量标准》（GB3095-20</w:t>
      </w:r>
      <w:r>
        <w:rPr>
          <w:rFonts w:hint="eastAsia"/>
          <w:color w:val="auto"/>
          <w:highlight w:val="none"/>
        </w:rPr>
        <w:t>26</w:t>
      </w:r>
      <w:r>
        <w:rPr>
          <w:color w:val="auto"/>
          <w:highlight w:val="none"/>
        </w:rPr>
        <w:t>）中的</w:t>
      </w:r>
      <w:r>
        <w:rPr>
          <w:rFonts w:hint="eastAsia"/>
          <w:color w:val="auto"/>
          <w:highlight w:val="none"/>
          <w:lang w:val="en-US" w:eastAsia="zh-CN"/>
        </w:rPr>
        <w:t>过渡阶段</w:t>
      </w:r>
      <w:r>
        <w:rPr>
          <w:color w:val="auto"/>
          <w:highlight w:val="none"/>
        </w:rPr>
        <w:t>二级标准</w:t>
      </w:r>
      <w:r>
        <w:rPr>
          <w:rFonts w:hint="eastAsia"/>
          <w:color w:val="auto"/>
          <w:highlight w:val="none"/>
        </w:rPr>
        <w:t>要求</w:t>
      </w:r>
      <w:r>
        <w:rPr>
          <w:color w:val="auto"/>
          <w:highlight w:val="none"/>
        </w:rPr>
        <w:t>，</w:t>
      </w:r>
      <w:r>
        <w:rPr>
          <w:rFonts w:hint="eastAsia"/>
          <w:color w:val="auto"/>
          <w:highlight w:val="none"/>
        </w:rPr>
        <w:t>PM</w:t>
      </w:r>
      <w:r>
        <w:rPr>
          <w:rFonts w:hint="eastAsia"/>
          <w:color w:val="auto"/>
          <w:highlight w:val="none"/>
          <w:vertAlign w:val="subscript"/>
        </w:rPr>
        <w:t>10</w:t>
      </w:r>
      <w:r>
        <w:rPr>
          <w:rFonts w:hint="eastAsia"/>
          <w:color w:val="auto"/>
          <w:highlight w:val="none"/>
        </w:rPr>
        <w:t>超过</w:t>
      </w:r>
      <w:r>
        <w:rPr>
          <w:color w:val="auto"/>
          <w:highlight w:val="none"/>
        </w:rPr>
        <w:t>《环境空气质量标准》（GB3095-20</w:t>
      </w:r>
      <w:r>
        <w:rPr>
          <w:rFonts w:hint="eastAsia"/>
          <w:color w:val="auto"/>
          <w:highlight w:val="none"/>
        </w:rPr>
        <w:t>26</w:t>
      </w:r>
      <w:r>
        <w:rPr>
          <w:color w:val="auto"/>
          <w:highlight w:val="none"/>
        </w:rPr>
        <w:t>）中的</w:t>
      </w:r>
      <w:r>
        <w:rPr>
          <w:rFonts w:hint="eastAsia"/>
          <w:color w:val="auto"/>
          <w:highlight w:val="none"/>
          <w:lang w:val="en-US" w:eastAsia="zh-CN"/>
        </w:rPr>
        <w:t>过渡阶段</w:t>
      </w:r>
      <w:r>
        <w:rPr>
          <w:color w:val="auto"/>
          <w:highlight w:val="none"/>
        </w:rPr>
        <w:t>二级标准</w:t>
      </w:r>
      <w:r>
        <w:rPr>
          <w:rFonts w:hint="eastAsia"/>
          <w:color w:val="auto"/>
          <w:highlight w:val="none"/>
        </w:rPr>
        <w:t>要求</w:t>
      </w:r>
      <w:r>
        <w:rPr>
          <w:color w:val="auto"/>
          <w:highlight w:val="none"/>
        </w:rPr>
        <w:t>，阿图什市</w:t>
      </w:r>
      <w:r>
        <w:rPr>
          <w:rFonts w:hint="eastAsia"/>
          <w:color w:val="auto"/>
          <w:highlight w:val="none"/>
        </w:rPr>
        <w:t>大气环境质量超标，属于不达标区，超标原因主要是阿图什地处南疆地区，区域地表植被覆盖度较低，沙尘天气较多等原因造成的</w:t>
      </w:r>
      <w:r>
        <w:rPr>
          <w:color w:val="auto"/>
          <w:highlight w:val="none"/>
        </w:rPr>
        <w:t>。</w:t>
      </w:r>
    </w:p>
    <w:p w14:paraId="57C8E234">
      <w:pPr>
        <w:pStyle w:val="3"/>
        <w:ind w:firstLine="480"/>
        <w:rPr>
          <w:color w:val="auto"/>
          <w:highlight w:val="none"/>
        </w:rPr>
      </w:pPr>
      <w:r>
        <w:rPr>
          <w:color w:val="auto"/>
          <w:highlight w:val="none"/>
        </w:rPr>
        <w:t>2处监测点TSP均符合《环境空气质量标准》（GB3095-20</w:t>
      </w:r>
      <w:r>
        <w:rPr>
          <w:rFonts w:hint="eastAsia"/>
          <w:color w:val="auto"/>
          <w:highlight w:val="none"/>
        </w:rPr>
        <w:t>26</w:t>
      </w:r>
      <w:r>
        <w:rPr>
          <w:color w:val="auto"/>
          <w:highlight w:val="none"/>
        </w:rPr>
        <w:t>）二级标准要求。</w:t>
      </w:r>
    </w:p>
    <w:p w14:paraId="509AD61B">
      <w:pPr>
        <w:pStyle w:val="3"/>
        <w:ind w:firstLine="480"/>
        <w:rPr>
          <w:color w:val="auto"/>
          <w:highlight w:val="none"/>
        </w:rPr>
      </w:pPr>
      <w:r>
        <w:rPr>
          <w:color w:val="auto"/>
          <w:highlight w:val="none"/>
        </w:rPr>
        <w:t>（2）地下水环境质量现状</w:t>
      </w:r>
    </w:p>
    <w:p w14:paraId="039B768E">
      <w:pPr>
        <w:pStyle w:val="3"/>
        <w:ind w:firstLine="480"/>
        <w:rPr>
          <w:color w:val="auto"/>
          <w:highlight w:val="none"/>
          <w:lang w:val="zh-CN"/>
        </w:rPr>
      </w:pPr>
      <w:r>
        <w:rPr>
          <w:color w:val="auto"/>
          <w:highlight w:val="none"/>
          <w:lang w:val="zh-CN"/>
        </w:rPr>
        <w:t>地下水监测井</w:t>
      </w:r>
      <w:r>
        <w:rPr>
          <w:rFonts w:hint="eastAsia"/>
          <w:color w:val="auto"/>
          <w:highlight w:val="none"/>
          <w:lang w:val="en-US" w:eastAsia="zh-CN"/>
        </w:rPr>
        <w:t>各项</w:t>
      </w:r>
      <w:r>
        <w:rPr>
          <w:color w:val="auto"/>
          <w:highlight w:val="none"/>
          <w:lang w:val="zh-CN"/>
        </w:rPr>
        <w:t>监测指标</w:t>
      </w:r>
      <w:r>
        <w:rPr>
          <w:rFonts w:hint="eastAsia"/>
          <w:color w:val="auto"/>
          <w:highlight w:val="none"/>
          <w:lang w:val="en-US" w:eastAsia="zh-CN"/>
        </w:rPr>
        <w:t>均</w:t>
      </w:r>
      <w:r>
        <w:rPr>
          <w:color w:val="auto"/>
          <w:highlight w:val="none"/>
          <w:lang w:val="zh-CN"/>
        </w:rPr>
        <w:t>满足《地下水质量标准》（GB/T14848-2017）中Ⅲ类水标准的要求</w:t>
      </w:r>
      <w:r>
        <w:rPr>
          <w:rFonts w:hint="eastAsia"/>
          <w:color w:val="auto"/>
          <w:highlight w:val="none"/>
          <w:lang w:val="zh-CN"/>
        </w:rPr>
        <w:t>，</w:t>
      </w:r>
      <w:r>
        <w:rPr>
          <w:rFonts w:hint="eastAsia"/>
          <w:color w:val="auto"/>
          <w:highlight w:val="none"/>
          <w:lang w:val="en-US" w:eastAsia="zh-CN"/>
        </w:rPr>
        <w:t>地下水环境质量较好</w:t>
      </w:r>
      <w:r>
        <w:rPr>
          <w:color w:val="auto"/>
          <w:highlight w:val="none"/>
          <w:lang w:val="zh-CN"/>
        </w:rPr>
        <w:t>。</w:t>
      </w:r>
    </w:p>
    <w:p w14:paraId="387A6A96">
      <w:pPr>
        <w:pStyle w:val="3"/>
        <w:ind w:firstLine="480"/>
        <w:rPr>
          <w:color w:val="auto"/>
          <w:highlight w:val="none"/>
        </w:rPr>
      </w:pPr>
      <w:r>
        <w:rPr>
          <w:color w:val="auto"/>
          <w:highlight w:val="none"/>
        </w:rPr>
        <w:t>（3）声环境质量现状</w:t>
      </w:r>
    </w:p>
    <w:p w14:paraId="4B57CC84">
      <w:pPr>
        <w:pStyle w:val="3"/>
        <w:ind w:firstLine="480"/>
        <w:rPr>
          <w:color w:val="auto"/>
          <w:highlight w:val="none"/>
        </w:rPr>
      </w:pPr>
      <w:r>
        <w:rPr>
          <w:color w:val="auto"/>
          <w:highlight w:val="none"/>
        </w:rPr>
        <w:t>项目各监测点均满足《声环境质量标准》（GB3096-2008）中的2类标准要求。区域声环境质量较好。</w:t>
      </w:r>
    </w:p>
    <w:p w14:paraId="024DBD7F">
      <w:pPr>
        <w:pStyle w:val="3"/>
        <w:ind w:firstLine="480"/>
        <w:rPr>
          <w:color w:val="auto"/>
          <w:highlight w:val="none"/>
        </w:rPr>
      </w:pPr>
      <w:r>
        <w:rPr>
          <w:color w:val="auto"/>
          <w:highlight w:val="none"/>
        </w:rPr>
        <w:t>（4）土壤环境质量现状</w:t>
      </w:r>
    </w:p>
    <w:p w14:paraId="7B6B66EF">
      <w:pPr>
        <w:pStyle w:val="3"/>
        <w:ind w:firstLine="480"/>
        <w:rPr>
          <w:color w:val="auto"/>
          <w:highlight w:val="none"/>
        </w:rPr>
      </w:pPr>
      <w:r>
        <w:rPr>
          <w:color w:val="auto"/>
          <w:highlight w:val="none"/>
        </w:rPr>
        <w:t>土壤环境评价范围内土壤质量满足《土壤环境质量建设用地土壤污染风险管控标准（试行）》（GB36600-2018）、《土壤环境质量 农用地土壤污染风险管控标准（试行）》（GB 15618-2018）要求，项目区土壤环境质量现状良好。</w:t>
      </w:r>
    </w:p>
    <w:p w14:paraId="6258C8B3">
      <w:pPr>
        <w:pStyle w:val="3"/>
        <w:ind w:firstLine="480"/>
        <w:rPr>
          <w:color w:val="auto"/>
          <w:highlight w:val="none"/>
        </w:rPr>
      </w:pPr>
      <w:r>
        <w:rPr>
          <w:color w:val="auto"/>
          <w:highlight w:val="none"/>
        </w:rPr>
        <w:t>（5）辐射监测</w:t>
      </w:r>
    </w:p>
    <w:p w14:paraId="03185EC3">
      <w:pPr>
        <w:pStyle w:val="3"/>
        <w:ind w:firstLine="480"/>
        <w:rPr>
          <w:color w:val="auto"/>
          <w:highlight w:val="none"/>
        </w:rPr>
      </w:pPr>
      <w:r>
        <w:rPr>
          <w:rFonts w:hint="default" w:ascii="Times New Roman" w:hAnsi="Times New Roman" w:eastAsia="华文中宋" w:cs="Times New Roman"/>
          <w:color w:val="auto"/>
          <w:highlight w:val="none"/>
        </w:rPr>
        <w:t>该区域产出的</w:t>
      </w:r>
      <w:r>
        <w:rPr>
          <w:rFonts w:hint="eastAsia" w:ascii="Times New Roman" w:hAnsi="Times New Roman" w:cs="Times New Roman"/>
          <w:color w:val="auto"/>
          <w:highlight w:val="none"/>
          <w:lang w:eastAsia="zh-CN"/>
        </w:rPr>
        <w:t>尾矿</w:t>
      </w:r>
      <w:r>
        <w:rPr>
          <w:rFonts w:hint="default" w:ascii="Times New Roman" w:hAnsi="Times New Roman" w:eastAsia="华文中宋" w:cs="Times New Roman"/>
          <w:color w:val="auto"/>
          <w:highlight w:val="none"/>
          <w:lang w:eastAsia="zh-CN"/>
        </w:rPr>
        <w:t>、</w:t>
      </w:r>
      <w:r>
        <w:rPr>
          <w:rFonts w:hint="eastAsia" w:ascii="Times New Roman" w:hAnsi="Times New Roman" w:cs="Times New Roman"/>
          <w:color w:val="auto"/>
          <w:highlight w:val="none"/>
          <w:lang w:eastAsia="zh-CN"/>
        </w:rPr>
        <w:t>原矿</w:t>
      </w:r>
      <w:r>
        <w:rPr>
          <w:rFonts w:hint="default" w:ascii="Times New Roman" w:hAnsi="Times New Roman" w:eastAsia="华文中宋" w:cs="Times New Roman"/>
          <w:color w:val="auto"/>
          <w:highlight w:val="none"/>
        </w:rPr>
        <w:t>中</w:t>
      </w:r>
      <w:r>
        <w:rPr>
          <w:rFonts w:hint="default" w:ascii="Times New Roman" w:hAnsi="Times New Roman" w:eastAsia="华文中宋" w:cs="Times New Roman"/>
          <w:snapToGrid w:val="0"/>
          <w:color w:val="auto"/>
          <w:kern w:val="0"/>
          <w:sz w:val="24"/>
          <w:szCs w:val="24"/>
          <w:highlight w:val="none"/>
        </w:rPr>
        <w:t>铀系、</w:t>
      </w:r>
      <w:r>
        <w:rPr>
          <w:rFonts w:hint="eastAsia" w:ascii="Times New Roman" w:hAnsi="Times New Roman" w:cs="Times New Roman"/>
          <w:snapToGrid w:val="0"/>
          <w:color w:val="auto"/>
          <w:kern w:val="0"/>
          <w:sz w:val="24"/>
          <w:szCs w:val="24"/>
          <w:highlight w:val="none"/>
          <w:lang w:eastAsia="zh-CN"/>
        </w:rPr>
        <w:t>钾系、</w:t>
      </w:r>
      <w:r>
        <w:rPr>
          <w:rFonts w:hint="default" w:ascii="Times New Roman" w:hAnsi="Times New Roman" w:eastAsia="华文中宋" w:cs="Times New Roman"/>
          <w:snapToGrid w:val="0"/>
          <w:color w:val="auto"/>
          <w:kern w:val="0"/>
          <w:sz w:val="24"/>
          <w:szCs w:val="24"/>
          <w:highlight w:val="none"/>
        </w:rPr>
        <w:t>钍系、镭系</w:t>
      </w:r>
      <w:r>
        <w:rPr>
          <w:rFonts w:hint="default" w:ascii="Times New Roman" w:hAnsi="Times New Roman" w:eastAsia="华文中宋" w:cs="Times New Roman"/>
          <w:color w:val="auto"/>
          <w:highlight w:val="none"/>
        </w:rPr>
        <w:t>单个核素活度浓度均远低于1Bq/g</w:t>
      </w:r>
      <w:r>
        <w:rPr>
          <w:rFonts w:hint="eastAsia" w:cs="Times New Roman"/>
          <w:color w:val="auto"/>
          <w:highlight w:val="none"/>
          <w:lang w:eastAsia="zh-CN"/>
        </w:rPr>
        <w:t>。</w:t>
      </w:r>
    </w:p>
    <w:p w14:paraId="58F80940">
      <w:pPr>
        <w:pStyle w:val="39"/>
        <w:rPr>
          <w:rFonts w:hint="default"/>
          <w:color w:val="auto"/>
          <w:highlight w:val="none"/>
        </w:rPr>
      </w:pPr>
      <w:bookmarkStart w:id="498" w:name="_Toc19569"/>
      <w:bookmarkStart w:id="499" w:name="_Toc15095"/>
      <w:bookmarkStart w:id="500" w:name="_Toc18385"/>
      <w:r>
        <w:rPr>
          <w:rFonts w:hint="default"/>
          <w:color w:val="auto"/>
          <w:highlight w:val="none"/>
        </w:rPr>
        <w:t>环境影响及保护措施</w:t>
      </w:r>
      <w:bookmarkEnd w:id="498"/>
      <w:bookmarkEnd w:id="499"/>
      <w:bookmarkEnd w:id="500"/>
    </w:p>
    <w:p w14:paraId="3E87AEC0">
      <w:pPr>
        <w:pStyle w:val="3"/>
        <w:ind w:firstLine="480"/>
        <w:rPr>
          <w:color w:val="auto"/>
          <w:highlight w:val="none"/>
        </w:rPr>
      </w:pPr>
      <w:r>
        <w:rPr>
          <w:color w:val="auto"/>
          <w:highlight w:val="none"/>
        </w:rPr>
        <w:t>（1）大气环境影响结论</w:t>
      </w:r>
    </w:p>
    <w:p w14:paraId="7647C5B4">
      <w:pPr>
        <w:pStyle w:val="3"/>
        <w:ind w:firstLine="480"/>
        <w:rPr>
          <w:color w:val="auto"/>
          <w:highlight w:val="none"/>
        </w:rPr>
      </w:pPr>
      <w:r>
        <w:rPr>
          <w:color w:val="auto"/>
          <w:highlight w:val="none"/>
        </w:rPr>
        <w:t>经预测，工程各生产工序在各环保设施正常运行条件下，排放污染物SO</w:t>
      </w:r>
      <w:r>
        <w:rPr>
          <w:color w:val="auto"/>
          <w:highlight w:val="none"/>
          <w:vertAlign w:val="subscript"/>
        </w:rPr>
        <w:t>2</w:t>
      </w:r>
      <w:r>
        <w:rPr>
          <w:color w:val="auto"/>
          <w:highlight w:val="none"/>
        </w:rPr>
        <w:t>、NO</w:t>
      </w:r>
      <w:r>
        <w:rPr>
          <w:color w:val="auto"/>
          <w:highlight w:val="none"/>
          <w:vertAlign w:val="subscript"/>
        </w:rPr>
        <w:t>2</w:t>
      </w:r>
      <w:r>
        <w:rPr>
          <w:color w:val="auto"/>
          <w:highlight w:val="none"/>
        </w:rPr>
        <w:t>、PM</w:t>
      </w:r>
      <w:r>
        <w:rPr>
          <w:color w:val="auto"/>
          <w:highlight w:val="none"/>
          <w:vertAlign w:val="subscript"/>
        </w:rPr>
        <w:t>10</w:t>
      </w:r>
      <w:r>
        <w:rPr>
          <w:color w:val="auto"/>
          <w:highlight w:val="none"/>
        </w:rPr>
        <w:t>、TSP最大落地浓度均达标。说明本项目所在地气象条件有利于污染物扩散，项目污染物排放对外界环境影响不大。</w:t>
      </w:r>
    </w:p>
    <w:p w14:paraId="3A786EF2">
      <w:pPr>
        <w:pStyle w:val="3"/>
        <w:ind w:firstLine="480"/>
        <w:rPr>
          <w:color w:val="auto"/>
          <w:highlight w:val="none"/>
        </w:rPr>
      </w:pPr>
      <w:r>
        <w:rPr>
          <w:color w:val="auto"/>
          <w:highlight w:val="none"/>
        </w:rPr>
        <w:t>本项目选矿厂产生的粉尘最大落地浓度无超标值出现，符合《铁矿采选工业污染物排放标准》（GB28661-2012）的标准，对周边空气环境影响较小。</w:t>
      </w:r>
    </w:p>
    <w:p w14:paraId="39450AC3">
      <w:pPr>
        <w:pStyle w:val="3"/>
        <w:ind w:firstLine="480"/>
        <w:rPr>
          <w:color w:val="auto"/>
          <w:highlight w:val="none"/>
        </w:rPr>
      </w:pPr>
      <w:r>
        <w:rPr>
          <w:color w:val="auto"/>
          <w:highlight w:val="none"/>
        </w:rPr>
        <w:t>尾矿库粉尘排放符合《铁矿采选工业污染物排放标准》（GB28661-2012）的标准，对周边空气环境影响较小。</w:t>
      </w:r>
    </w:p>
    <w:p w14:paraId="28BAB44E">
      <w:pPr>
        <w:pStyle w:val="3"/>
        <w:ind w:firstLine="480"/>
        <w:rPr>
          <w:color w:val="auto"/>
          <w:highlight w:val="none"/>
        </w:rPr>
      </w:pPr>
      <w:r>
        <w:rPr>
          <w:color w:val="auto"/>
          <w:highlight w:val="none"/>
        </w:rPr>
        <w:t>本项目不位于城市建成区，建设2台生物质</w:t>
      </w:r>
      <w:r>
        <w:rPr>
          <w:rFonts w:hint="eastAsia"/>
          <w:color w:val="auto"/>
          <w:highlight w:val="none"/>
        </w:rPr>
        <w:t>锅炉（一用一备）</w:t>
      </w:r>
      <w:r>
        <w:rPr>
          <w:color w:val="auto"/>
          <w:highlight w:val="none"/>
        </w:rPr>
        <w:t>，符合</w:t>
      </w:r>
      <w:r>
        <w:rPr>
          <w:rFonts w:hint="eastAsia"/>
          <w:color w:val="auto"/>
          <w:highlight w:val="none"/>
          <w:lang w:eastAsia="zh-CN"/>
        </w:rPr>
        <w:t>《新疆维吾尔自治区2025年空气质量持续改善行动实施方案</w:t>
      </w:r>
      <w:r>
        <w:rPr>
          <w:rFonts w:hint="eastAsia"/>
          <w:color w:val="auto"/>
          <w:highlight w:val="none"/>
          <w:lang w:eastAsia="zh-CN"/>
        </w:rPr>
        <w:t>》《</w:t>
      </w:r>
      <w:r>
        <w:rPr>
          <w:rFonts w:hint="eastAsia"/>
          <w:color w:val="auto"/>
          <w:highlight w:val="none"/>
          <w:lang w:eastAsia="zh-CN"/>
        </w:rPr>
        <w:t>新疆维吾尔自治区大气污染防治条例</w:t>
      </w:r>
      <w:r>
        <w:rPr>
          <w:color w:val="auto"/>
          <w:highlight w:val="none"/>
        </w:rPr>
        <w:t>》</w:t>
      </w:r>
      <w:r>
        <w:rPr>
          <w:rFonts w:hint="eastAsia"/>
          <w:color w:val="auto"/>
          <w:highlight w:val="none"/>
          <w:lang w:eastAsia="zh-CN"/>
        </w:rPr>
        <w:t>相关要求</w:t>
      </w:r>
      <w:r>
        <w:rPr>
          <w:color w:val="auto"/>
          <w:highlight w:val="none"/>
        </w:rPr>
        <w:t>。主要污染物SO</w:t>
      </w:r>
      <w:r>
        <w:rPr>
          <w:color w:val="auto"/>
          <w:highlight w:val="none"/>
          <w:vertAlign w:val="subscript"/>
        </w:rPr>
        <w:t>2</w:t>
      </w:r>
      <w:r>
        <w:rPr>
          <w:color w:val="auto"/>
          <w:highlight w:val="none"/>
        </w:rPr>
        <w:t>、NO</w:t>
      </w:r>
      <w:r>
        <w:rPr>
          <w:color w:val="auto"/>
          <w:highlight w:val="none"/>
          <w:vertAlign w:val="subscript"/>
        </w:rPr>
        <w:t>2</w:t>
      </w:r>
      <w:r>
        <w:rPr>
          <w:color w:val="auto"/>
          <w:highlight w:val="none"/>
        </w:rPr>
        <w:t>、烟尘均可以达标排放。</w:t>
      </w:r>
    </w:p>
    <w:p w14:paraId="1DA3E988">
      <w:pPr>
        <w:pStyle w:val="3"/>
        <w:ind w:firstLine="480"/>
        <w:rPr>
          <w:color w:val="auto"/>
          <w:highlight w:val="none"/>
        </w:rPr>
      </w:pPr>
      <w:r>
        <w:rPr>
          <w:color w:val="auto"/>
          <w:highlight w:val="none"/>
        </w:rPr>
        <w:t>（2）水环境影响评价结论</w:t>
      </w:r>
    </w:p>
    <w:p w14:paraId="3442CE0A">
      <w:pPr>
        <w:pStyle w:val="3"/>
        <w:ind w:firstLine="480"/>
        <w:rPr>
          <w:rFonts w:hint="eastAsia" w:eastAsia="华文中宋"/>
          <w:color w:val="auto"/>
          <w:highlight w:val="none"/>
          <w:lang w:eastAsia="zh-CN"/>
        </w:rPr>
      </w:pPr>
      <w:r>
        <w:rPr>
          <w:color w:val="auto"/>
          <w:highlight w:val="none"/>
        </w:rPr>
        <w:t>正常工况下：本项目生产废水</w:t>
      </w:r>
      <w:r>
        <w:rPr>
          <w:rFonts w:hint="eastAsia"/>
          <w:color w:val="auto"/>
          <w:highlight w:val="none"/>
        </w:rPr>
        <w:t>“</w:t>
      </w:r>
      <w:r>
        <w:rPr>
          <w:color w:val="auto"/>
          <w:highlight w:val="none"/>
        </w:rPr>
        <w:t>闭路循环</w:t>
      </w:r>
      <w:r>
        <w:rPr>
          <w:rFonts w:hint="eastAsia"/>
          <w:color w:val="auto"/>
          <w:highlight w:val="none"/>
        </w:rPr>
        <w:t>”</w:t>
      </w:r>
      <w:r>
        <w:rPr>
          <w:color w:val="auto"/>
          <w:highlight w:val="none"/>
        </w:rPr>
        <w:t>；项目生活污水经污水处理装置处理后，生活污水指标满足</w:t>
      </w:r>
      <w:r>
        <w:rPr>
          <w:rFonts w:hint="eastAsia"/>
          <w:color w:val="auto"/>
          <w:highlight w:val="none"/>
          <w:lang w:eastAsia="zh-CN"/>
        </w:rPr>
        <w:t>《城市污水再生利用—城市杂用水水质》（GB/T18920-2020），用于厂区绿化、洒水降尘等。</w:t>
      </w:r>
    </w:p>
    <w:p w14:paraId="01E721FD">
      <w:pPr>
        <w:pStyle w:val="3"/>
        <w:ind w:firstLine="480"/>
        <w:rPr>
          <w:color w:val="auto"/>
          <w:highlight w:val="none"/>
        </w:rPr>
      </w:pPr>
      <w:r>
        <w:rPr>
          <w:color w:val="auto"/>
          <w:highlight w:val="none"/>
        </w:rPr>
        <w:t>非正常工况下：为防止选矿生产系统故障或事故矿浆溢流对外环境造成污染影响，选厂在发生事故时立即停止生产，溢出水排入车间排水沟，最终由车间回水泵排入防渗循环水池。及时维修故障设备，在故障或事故排除后，再泵回生产系统，不会发生外排，对外环境影响不大。</w:t>
      </w:r>
    </w:p>
    <w:p w14:paraId="1B0F9DE9">
      <w:pPr>
        <w:pStyle w:val="3"/>
        <w:ind w:firstLine="480"/>
        <w:rPr>
          <w:color w:val="auto"/>
          <w:highlight w:val="none"/>
        </w:rPr>
      </w:pPr>
      <w:r>
        <w:rPr>
          <w:color w:val="auto"/>
          <w:highlight w:val="none"/>
        </w:rPr>
        <w:t>（3）声环境影响结论</w:t>
      </w:r>
    </w:p>
    <w:p w14:paraId="4129B390">
      <w:pPr>
        <w:pStyle w:val="3"/>
        <w:ind w:firstLine="480"/>
        <w:rPr>
          <w:color w:val="auto"/>
          <w:highlight w:val="none"/>
        </w:rPr>
      </w:pPr>
      <w:r>
        <w:rPr>
          <w:color w:val="auto"/>
          <w:highlight w:val="none"/>
        </w:rPr>
        <w:t>由声环境影响预测结果可知，项目评价范围内无声环境敏感目标，通过采取措施后，运营期厂界噪声排放满足《工业企业厂界环境噪声排放标准》中</w:t>
      </w:r>
      <w:r>
        <w:rPr>
          <w:rFonts w:hint="eastAsia"/>
          <w:color w:val="auto"/>
          <w:highlight w:val="none"/>
        </w:rPr>
        <w:t>2</w:t>
      </w:r>
      <w:r>
        <w:rPr>
          <w:color w:val="auto"/>
          <w:highlight w:val="none"/>
        </w:rPr>
        <w:t>类要求</w:t>
      </w:r>
      <w:r>
        <w:rPr>
          <w:rFonts w:hint="eastAsia"/>
          <w:color w:val="auto"/>
          <w:highlight w:val="none"/>
        </w:rPr>
        <w:t>。</w:t>
      </w:r>
    </w:p>
    <w:p w14:paraId="77DA6377">
      <w:pPr>
        <w:pStyle w:val="3"/>
        <w:ind w:firstLine="480"/>
        <w:rPr>
          <w:color w:val="auto"/>
          <w:highlight w:val="none"/>
        </w:rPr>
      </w:pPr>
      <w:r>
        <w:rPr>
          <w:color w:val="auto"/>
          <w:highlight w:val="none"/>
        </w:rPr>
        <w:t>（4）固废对环境影响分析结论</w:t>
      </w:r>
    </w:p>
    <w:p w14:paraId="1026C95D">
      <w:pPr>
        <w:pStyle w:val="3"/>
        <w:ind w:firstLine="480"/>
        <w:rPr>
          <w:color w:val="auto"/>
          <w:highlight w:val="none"/>
        </w:rPr>
      </w:pPr>
      <w:r>
        <w:rPr>
          <w:color w:val="auto"/>
          <w:highlight w:val="none"/>
        </w:rPr>
        <w:t>本项目运营期各项固体废物均得到妥善处置，固体废物对项目区及周边环境影响较小。</w:t>
      </w:r>
    </w:p>
    <w:p w14:paraId="3B07B573">
      <w:pPr>
        <w:pStyle w:val="3"/>
        <w:ind w:firstLine="480"/>
        <w:rPr>
          <w:color w:val="auto"/>
          <w:highlight w:val="none"/>
        </w:rPr>
      </w:pPr>
      <w:r>
        <w:rPr>
          <w:color w:val="auto"/>
          <w:highlight w:val="none"/>
        </w:rPr>
        <w:t>（5）环境风险分析结论</w:t>
      </w:r>
    </w:p>
    <w:p w14:paraId="31C8CD40">
      <w:pPr>
        <w:pStyle w:val="3"/>
        <w:ind w:firstLine="480"/>
        <w:rPr>
          <w:color w:val="auto"/>
          <w:highlight w:val="none"/>
        </w:rPr>
      </w:pPr>
      <w:r>
        <w:rPr>
          <w:color w:val="auto"/>
          <w:highlight w:val="none"/>
        </w:rPr>
        <w:t>在落实本报告书中提出的环境保护措施的前提下，因地制宜地进行环境优化，本项目的环境风险在采取本次评价提出的各项措施并加强管理及风险防范措施得当的情况下，项目风险是可以接受的。</w:t>
      </w:r>
    </w:p>
    <w:p w14:paraId="7F76ED3C">
      <w:pPr>
        <w:pStyle w:val="39"/>
        <w:rPr>
          <w:rFonts w:hint="default"/>
          <w:color w:val="auto"/>
          <w:highlight w:val="none"/>
        </w:rPr>
      </w:pPr>
      <w:bookmarkStart w:id="501" w:name="_Toc3274"/>
      <w:bookmarkStart w:id="502" w:name="_Toc10854"/>
      <w:bookmarkStart w:id="503" w:name="_Toc19994"/>
      <w:bookmarkStart w:id="504" w:name="_Toc15382"/>
      <w:bookmarkStart w:id="505" w:name="_Toc56751356"/>
      <w:bookmarkStart w:id="506" w:name="_Toc2146"/>
      <w:r>
        <w:rPr>
          <w:rFonts w:hint="default"/>
          <w:color w:val="auto"/>
          <w:highlight w:val="none"/>
        </w:rPr>
        <w:t>清洁生产</w:t>
      </w:r>
      <w:bookmarkEnd w:id="501"/>
      <w:bookmarkEnd w:id="502"/>
      <w:bookmarkEnd w:id="503"/>
      <w:bookmarkEnd w:id="504"/>
      <w:bookmarkEnd w:id="505"/>
      <w:bookmarkEnd w:id="506"/>
    </w:p>
    <w:p w14:paraId="10780099">
      <w:pPr>
        <w:pStyle w:val="3"/>
        <w:ind w:firstLine="480"/>
        <w:rPr>
          <w:color w:val="auto"/>
          <w:highlight w:val="none"/>
        </w:rPr>
      </w:pPr>
      <w:r>
        <w:rPr>
          <w:rFonts w:hint="eastAsia"/>
          <w:color w:val="auto"/>
          <w:highlight w:val="none"/>
        </w:rPr>
        <w:t>根据《清洁生产标准 铁矿采选业》（HJ/T294-2006）中的（选矿类），</w:t>
      </w:r>
      <w:r>
        <w:rPr>
          <w:color w:val="auto"/>
          <w:highlight w:val="none"/>
        </w:rPr>
        <w:t>本项目基本满足清洁生产</w:t>
      </w:r>
      <w:r>
        <w:rPr>
          <w:rFonts w:hint="eastAsia"/>
          <w:color w:val="auto"/>
          <w:highlight w:val="none"/>
        </w:rPr>
        <w:t>三</w:t>
      </w:r>
      <w:r>
        <w:rPr>
          <w:color w:val="auto"/>
          <w:highlight w:val="none"/>
        </w:rPr>
        <w:t>级及以上，</w:t>
      </w:r>
      <w:r>
        <w:rPr>
          <w:rFonts w:hint="eastAsia"/>
          <w:color w:val="auto"/>
          <w:highlight w:val="none"/>
        </w:rPr>
        <w:t>因此本项目清洁生产水平为国内清洁生产基本水平。</w:t>
      </w:r>
    </w:p>
    <w:p w14:paraId="66BBB357">
      <w:pPr>
        <w:pStyle w:val="39"/>
        <w:rPr>
          <w:rFonts w:hint="default"/>
          <w:color w:val="auto"/>
          <w:highlight w:val="none"/>
        </w:rPr>
      </w:pPr>
      <w:bookmarkStart w:id="507" w:name="_Toc56751357"/>
      <w:bookmarkStart w:id="508" w:name="_Toc23632"/>
      <w:bookmarkStart w:id="509" w:name="_Toc24567"/>
      <w:bookmarkStart w:id="510" w:name="_Toc536453277"/>
      <w:bookmarkStart w:id="511" w:name="_Toc13806"/>
      <w:bookmarkStart w:id="512" w:name="_Toc7164"/>
      <w:bookmarkStart w:id="513" w:name="_Toc4086"/>
      <w:r>
        <w:rPr>
          <w:rFonts w:hint="default"/>
          <w:color w:val="auto"/>
          <w:highlight w:val="none"/>
        </w:rPr>
        <w:t>总量控制</w:t>
      </w:r>
      <w:bookmarkEnd w:id="507"/>
      <w:bookmarkEnd w:id="508"/>
      <w:bookmarkEnd w:id="509"/>
      <w:bookmarkEnd w:id="510"/>
      <w:bookmarkEnd w:id="511"/>
      <w:bookmarkEnd w:id="512"/>
      <w:bookmarkEnd w:id="513"/>
    </w:p>
    <w:p w14:paraId="3F163C09">
      <w:pPr>
        <w:pStyle w:val="3"/>
        <w:ind w:firstLine="480"/>
        <w:rPr>
          <w:color w:val="auto"/>
          <w:highlight w:val="none"/>
        </w:rPr>
      </w:pPr>
      <w:r>
        <w:rPr>
          <w:color w:val="auto"/>
          <w:highlight w:val="none"/>
        </w:rPr>
        <w:t>根据《关于进一步加强重金属污染防控的意见》（环固体〔2022〕17号），铅、汞、镉、铬、砷、铊、锑属于重点重金属污染物。</w:t>
      </w:r>
      <w:r>
        <w:rPr>
          <w:rFonts w:hint="eastAsia"/>
          <w:color w:val="auto"/>
          <w:highlight w:val="none"/>
        </w:rPr>
        <w:t>本项目为阿图什市环球矿业有限公司新疆阿图什市托斯莫铁矿配套的选矿厂，利用该矿的钒钛磁铁矿通过磨矿－弱磁分选磁铁矿－重选等</w:t>
      </w:r>
      <w:r>
        <w:rPr>
          <w:rFonts w:hint="eastAsia"/>
          <w:color w:val="auto"/>
          <w:highlight w:val="none"/>
          <w:lang w:eastAsia="zh-CN"/>
        </w:rPr>
        <w:t>物理方式</w:t>
      </w:r>
      <w:r>
        <w:rPr>
          <w:rFonts w:hint="eastAsia"/>
          <w:color w:val="auto"/>
          <w:highlight w:val="none"/>
        </w:rPr>
        <w:t>得到钛精粉和铁精粉</w:t>
      </w:r>
      <w:r>
        <w:rPr>
          <w:rFonts w:hint="eastAsia"/>
          <w:color w:val="auto"/>
          <w:highlight w:val="none"/>
          <w:lang w:eastAsia="zh-CN"/>
        </w:rPr>
        <w:t>。</w:t>
      </w:r>
      <w:r>
        <w:rPr>
          <w:color w:val="auto"/>
          <w:highlight w:val="none"/>
        </w:rPr>
        <w:t>不属于《关于加强涉重金属行业污染防控的意见》及《关于印发新疆维吾尔自治区加强涉重金属行业污染防控工作方案的通知》中所提及的重有色金属矿采选业（铜、铅锌、镍钴、锡、锑和汞矿采选）、重有色金属冶炼业（铜、铅锌、镍钴、锡、锑和汞冶炼）等重点行业。</w:t>
      </w:r>
      <w:r>
        <w:rPr>
          <w:rFonts w:hint="eastAsia"/>
          <w:color w:val="auto"/>
          <w:highlight w:val="none"/>
          <w:lang w:eastAsia="zh-CN"/>
        </w:rPr>
        <w:t>原矿石中虽含有“铅（</w:t>
      </w:r>
      <w:r>
        <w:rPr>
          <w:rFonts w:hint="eastAsia"/>
          <w:color w:val="auto"/>
          <w:highlight w:val="none"/>
          <w:lang w:val="en-US" w:eastAsia="zh-CN"/>
        </w:rPr>
        <w:t>0.003%</w:t>
      </w:r>
      <w:r>
        <w:rPr>
          <w:rFonts w:hint="eastAsia"/>
          <w:color w:val="auto"/>
          <w:highlight w:val="none"/>
          <w:lang w:eastAsia="zh-CN"/>
        </w:rPr>
        <w:t>）、镍（</w:t>
      </w:r>
      <w:r>
        <w:rPr>
          <w:rFonts w:hint="eastAsia"/>
          <w:color w:val="auto"/>
          <w:highlight w:val="none"/>
          <w:lang w:val="en-US" w:eastAsia="zh-CN"/>
        </w:rPr>
        <w:t>0.009%</w:t>
      </w:r>
      <w:r>
        <w:rPr>
          <w:rFonts w:hint="eastAsia"/>
          <w:color w:val="auto"/>
          <w:highlight w:val="none"/>
          <w:lang w:eastAsia="zh-CN"/>
        </w:rPr>
        <w:t>）、钴（</w:t>
      </w:r>
      <w:r>
        <w:rPr>
          <w:rFonts w:hint="eastAsia"/>
          <w:color w:val="auto"/>
          <w:highlight w:val="none"/>
          <w:lang w:val="en-US" w:eastAsia="zh-CN"/>
        </w:rPr>
        <w:t>0.006%</w:t>
      </w:r>
      <w:r>
        <w:rPr>
          <w:rFonts w:hint="eastAsia"/>
          <w:color w:val="auto"/>
          <w:highlight w:val="none"/>
          <w:lang w:eastAsia="zh-CN"/>
        </w:rPr>
        <w:t>）”等重金属，但</w:t>
      </w:r>
      <w:r>
        <w:rPr>
          <w:color w:val="auto"/>
          <w:highlight w:val="none"/>
        </w:rPr>
        <w:t>原矿石中重金属为微量，</w:t>
      </w:r>
      <w:r>
        <w:rPr>
          <w:rFonts w:hint="eastAsia"/>
          <w:color w:val="auto"/>
          <w:highlight w:val="none"/>
          <w:lang w:eastAsia="zh-CN"/>
        </w:rPr>
        <w:t>并且</w:t>
      </w:r>
      <w:r>
        <w:rPr>
          <w:rFonts w:hint="eastAsia"/>
          <w:color w:val="auto"/>
          <w:highlight w:val="none"/>
        </w:rPr>
        <w:t>项目废气执行</w:t>
      </w:r>
      <w:r>
        <w:rPr>
          <w:rFonts w:hint="eastAsia"/>
          <w:color w:val="auto"/>
          <w:highlight w:val="none"/>
          <w:lang w:val="en-US" w:eastAsia="zh-CN"/>
        </w:rPr>
        <w:t>的</w:t>
      </w:r>
      <w:r>
        <w:rPr>
          <w:color w:val="auto"/>
          <w:highlight w:val="none"/>
        </w:rPr>
        <w:t>《铁矿采选工业污染物排放标准》（GB28661-2012）</w:t>
      </w:r>
      <w:r>
        <w:rPr>
          <w:rFonts w:hint="eastAsia"/>
          <w:color w:val="auto"/>
          <w:highlight w:val="none"/>
        </w:rPr>
        <w:t>以及《排放源统计调查产排污核算方法和系数手册》中，大气污染因子为颗粒物，</w:t>
      </w:r>
      <w:r>
        <w:rPr>
          <w:rFonts w:hint="eastAsia"/>
          <w:color w:val="auto"/>
          <w:highlight w:val="none"/>
          <w:lang w:eastAsia="zh-CN"/>
        </w:rPr>
        <w:t>因此</w:t>
      </w:r>
      <w:r>
        <w:rPr>
          <w:rFonts w:hint="eastAsia"/>
          <w:color w:val="auto"/>
          <w:highlight w:val="none"/>
        </w:rPr>
        <w:t>，项目不需设置重金属污染总量控制指标。</w:t>
      </w:r>
    </w:p>
    <w:p w14:paraId="49DBEE91">
      <w:pPr>
        <w:pStyle w:val="3"/>
        <w:ind w:firstLine="480"/>
        <w:rPr>
          <w:color w:val="auto"/>
          <w:highlight w:val="none"/>
        </w:rPr>
      </w:pPr>
      <w:r>
        <w:rPr>
          <w:color w:val="auto"/>
          <w:highlight w:val="none"/>
        </w:rPr>
        <w:t>生活污水及</w:t>
      </w:r>
      <w:r>
        <w:rPr>
          <w:rFonts w:hint="eastAsia"/>
          <w:color w:val="auto"/>
          <w:highlight w:val="none"/>
        </w:rPr>
        <w:t>选矿废水</w:t>
      </w:r>
      <w:r>
        <w:rPr>
          <w:color w:val="auto"/>
          <w:highlight w:val="none"/>
        </w:rPr>
        <w:t>经处理后全部回用，不外排，所以本项目不涉及水污染物总量控制指标。</w:t>
      </w:r>
    </w:p>
    <w:p w14:paraId="155C01FA">
      <w:pPr>
        <w:pStyle w:val="3"/>
        <w:ind w:firstLine="480"/>
        <w:rPr>
          <w:color w:val="auto"/>
          <w:highlight w:val="none"/>
        </w:rPr>
      </w:pPr>
      <w:r>
        <w:rPr>
          <w:color w:val="auto"/>
          <w:highlight w:val="none"/>
        </w:rPr>
        <w:t>本</w:t>
      </w:r>
      <w:r>
        <w:rPr>
          <w:rFonts w:hint="eastAsia"/>
          <w:color w:val="auto"/>
          <w:highlight w:val="none"/>
        </w:rPr>
        <w:t>项目</w:t>
      </w:r>
      <w:r>
        <w:rPr>
          <w:color w:val="auto"/>
          <w:highlight w:val="none"/>
        </w:rPr>
        <w:t>采用</w:t>
      </w:r>
      <w:r>
        <w:rPr>
          <w:rFonts w:hint="eastAsia"/>
          <w:color w:val="auto"/>
          <w:highlight w:val="none"/>
        </w:rPr>
        <w:t>生物质炉窑</w:t>
      </w:r>
      <w:r>
        <w:rPr>
          <w:color w:val="auto"/>
          <w:highlight w:val="none"/>
        </w:rPr>
        <w:t>供热，总量控制指标为</w:t>
      </w:r>
      <w:r>
        <w:rPr>
          <w:rFonts w:hint="eastAsia"/>
          <w:color w:val="auto"/>
          <w:highlight w:val="none"/>
        </w:rPr>
        <w:t>生物质炉窑</w:t>
      </w:r>
      <w:r>
        <w:rPr>
          <w:color w:val="auto"/>
          <w:highlight w:val="none"/>
        </w:rPr>
        <w:t>燃烧废气：NO</w:t>
      </w:r>
      <w:r>
        <w:rPr>
          <w:rFonts w:hint="eastAsia"/>
          <w:color w:val="auto"/>
          <w:highlight w:val="none"/>
        </w:rPr>
        <w:t>x</w:t>
      </w:r>
      <w:r>
        <w:rPr>
          <w:color w:val="auto"/>
          <w:highlight w:val="none"/>
        </w:rPr>
        <w:t>。确定项目大气污染物总量控制因子为氮氧化物</w:t>
      </w:r>
      <w:r>
        <w:rPr>
          <w:rFonts w:hint="eastAsia"/>
          <w:color w:val="auto"/>
          <w:highlight w:val="none"/>
        </w:rPr>
        <w:t>，</w:t>
      </w:r>
      <w:r>
        <w:rPr>
          <w:color w:val="auto"/>
          <w:highlight w:val="none"/>
        </w:rPr>
        <w:t>申请总量指标为NO</w:t>
      </w:r>
      <w:r>
        <w:rPr>
          <w:color w:val="auto"/>
          <w:highlight w:val="none"/>
          <w:vertAlign w:val="subscript"/>
        </w:rPr>
        <w:t>X</w:t>
      </w:r>
      <w:r>
        <w:rPr>
          <w:color w:val="auto"/>
          <w:highlight w:val="none"/>
        </w:rPr>
        <w:t>：</w:t>
      </w:r>
      <w:r>
        <w:rPr>
          <w:rFonts w:hint="eastAsia"/>
          <w:color w:val="auto"/>
          <w:highlight w:val="none"/>
        </w:rPr>
        <w:t>2.754</w:t>
      </w:r>
      <w:r>
        <w:rPr>
          <w:color w:val="auto"/>
          <w:highlight w:val="none"/>
        </w:rPr>
        <w:t>t/a。</w:t>
      </w:r>
    </w:p>
    <w:p w14:paraId="05C48A5F">
      <w:pPr>
        <w:pStyle w:val="39"/>
        <w:rPr>
          <w:rFonts w:hint="default"/>
          <w:color w:val="auto"/>
          <w:highlight w:val="none"/>
        </w:rPr>
      </w:pPr>
      <w:bookmarkStart w:id="514" w:name="_Toc23317"/>
      <w:bookmarkStart w:id="515" w:name="_Toc56751359"/>
      <w:bookmarkStart w:id="516" w:name="_Toc22446"/>
      <w:bookmarkStart w:id="517" w:name="_Toc18739"/>
      <w:bookmarkStart w:id="518" w:name="_Toc12180"/>
      <w:bookmarkStart w:id="519" w:name="_Toc21614"/>
      <w:r>
        <w:rPr>
          <w:rFonts w:hint="default"/>
          <w:color w:val="auto"/>
          <w:highlight w:val="none"/>
        </w:rPr>
        <w:t>公众参与工作情况</w:t>
      </w:r>
      <w:bookmarkEnd w:id="514"/>
      <w:bookmarkEnd w:id="515"/>
      <w:bookmarkEnd w:id="516"/>
      <w:bookmarkEnd w:id="517"/>
      <w:bookmarkEnd w:id="518"/>
      <w:bookmarkEnd w:id="519"/>
    </w:p>
    <w:p w14:paraId="5FFD1AFA">
      <w:pPr>
        <w:ind w:firstLine="480"/>
        <w:rPr>
          <w:color w:val="auto"/>
          <w:highlight w:val="none"/>
        </w:rPr>
      </w:pPr>
      <w:r>
        <w:rPr>
          <w:color w:val="auto"/>
          <w:highlight w:val="none"/>
        </w:rPr>
        <w:t>本项目环评在编制过程中，建设单位于</w:t>
      </w:r>
      <w:r>
        <w:rPr>
          <w:rFonts w:hint="eastAsia"/>
          <w:color w:val="auto"/>
          <w:highlight w:val="none"/>
        </w:rPr>
        <w:t>2026年5月18日在新疆维吾尔自治区生态环境保护产业协会网站进行了第一次信息公开；于2026年6月22日在新疆维吾尔自治区生态环境保护产业协会网站进行了第二次信息公开，并且同步于2026年6月26、29日分别在新疆法制报进行了两次报纸公示、2026年6月23日在项目区周边的阿亚克苏洪村进行了张贴公告。</w:t>
      </w:r>
      <w:r>
        <w:rPr>
          <w:color w:val="auto"/>
          <w:highlight w:val="none"/>
        </w:rPr>
        <w:t>202</w:t>
      </w:r>
      <w:r>
        <w:rPr>
          <w:rFonts w:hint="eastAsia"/>
          <w:color w:val="auto"/>
          <w:highlight w:val="none"/>
        </w:rPr>
        <w:t>6</w:t>
      </w:r>
      <w:r>
        <w:rPr>
          <w:color w:val="auto"/>
          <w:highlight w:val="none"/>
        </w:rPr>
        <w:t>年</w:t>
      </w:r>
      <w:r>
        <w:rPr>
          <w:rFonts w:hint="eastAsia"/>
          <w:color w:val="auto"/>
          <w:highlight w:val="none"/>
        </w:rPr>
        <w:t>7</w:t>
      </w:r>
      <w:r>
        <w:rPr>
          <w:color w:val="auto"/>
          <w:highlight w:val="none"/>
        </w:rPr>
        <w:t>月</w:t>
      </w:r>
      <w:r>
        <w:rPr>
          <w:rFonts w:hint="eastAsia"/>
          <w:color w:val="auto"/>
          <w:highlight w:val="none"/>
          <w:lang w:val="en-US" w:eastAsia="zh-CN"/>
        </w:rPr>
        <w:t>8</w:t>
      </w:r>
      <w:r>
        <w:rPr>
          <w:color w:val="auto"/>
          <w:highlight w:val="none"/>
        </w:rPr>
        <w:t>日，</w:t>
      </w:r>
      <w:r>
        <w:rPr>
          <w:rFonts w:hint="eastAsia"/>
          <w:color w:val="auto"/>
          <w:highlight w:val="none"/>
        </w:rPr>
        <w:t>在新疆维吾尔自治区生态环境保护产业协会网站进行</w:t>
      </w:r>
      <w:r>
        <w:rPr>
          <w:color w:val="auto"/>
          <w:highlight w:val="none"/>
        </w:rPr>
        <w:t>批前的公示。</w:t>
      </w:r>
    </w:p>
    <w:p w14:paraId="0C00D911">
      <w:pPr>
        <w:ind w:firstLine="480"/>
        <w:rPr>
          <w:color w:val="auto"/>
          <w:highlight w:val="none"/>
        </w:rPr>
      </w:pPr>
      <w:r>
        <w:rPr>
          <w:color w:val="auto"/>
          <w:highlight w:val="none"/>
        </w:rPr>
        <w:t>公示期内未收到当地群众书面或口头的反馈意见，总体来说，该项目建设得到了社会公众的理解与支持。</w:t>
      </w:r>
    </w:p>
    <w:p w14:paraId="17941867">
      <w:pPr>
        <w:pStyle w:val="39"/>
        <w:rPr>
          <w:rFonts w:hint="default"/>
          <w:color w:val="auto"/>
          <w:highlight w:val="none"/>
        </w:rPr>
      </w:pPr>
      <w:bookmarkStart w:id="520" w:name="_Toc481768145"/>
      <w:bookmarkEnd w:id="520"/>
      <w:bookmarkStart w:id="521" w:name="_Toc481768497"/>
      <w:bookmarkEnd w:id="521"/>
      <w:bookmarkStart w:id="522" w:name="_Toc471926019"/>
      <w:bookmarkEnd w:id="522"/>
      <w:bookmarkStart w:id="523" w:name="_Toc6152"/>
      <w:bookmarkStart w:id="524" w:name="_Toc27927"/>
      <w:bookmarkStart w:id="525" w:name="_Toc9815"/>
      <w:bookmarkStart w:id="526" w:name="_Toc12447"/>
      <w:bookmarkStart w:id="527" w:name="_Toc536453281"/>
      <w:bookmarkStart w:id="528" w:name="_Toc16280"/>
      <w:bookmarkStart w:id="529" w:name="_Toc56751361"/>
      <w:bookmarkStart w:id="530" w:name="_Toc18915"/>
      <w:bookmarkStart w:id="531" w:name="_Toc15354"/>
      <w:bookmarkStart w:id="532" w:name="_Toc23379"/>
      <w:r>
        <w:rPr>
          <w:rFonts w:hint="default"/>
          <w:color w:val="auto"/>
          <w:highlight w:val="none"/>
        </w:rPr>
        <w:t>综合评价结论</w:t>
      </w:r>
      <w:bookmarkEnd w:id="523"/>
      <w:bookmarkEnd w:id="524"/>
      <w:bookmarkEnd w:id="525"/>
      <w:bookmarkEnd w:id="526"/>
    </w:p>
    <w:p w14:paraId="2778D5E0">
      <w:pPr>
        <w:pStyle w:val="3"/>
        <w:ind w:firstLine="480"/>
        <w:rPr>
          <w:color w:val="auto"/>
          <w:highlight w:val="none"/>
        </w:rPr>
      </w:pPr>
      <w:r>
        <w:rPr>
          <w:color w:val="auto"/>
          <w:highlight w:val="none"/>
        </w:rPr>
        <w:t>根据《产业结构调整指导目录（2024年本）》，</w:t>
      </w:r>
      <w:r>
        <w:rPr>
          <w:rFonts w:hint="eastAsia"/>
          <w:color w:val="auto"/>
          <w:highlight w:val="none"/>
        </w:rPr>
        <w:t>产品方案为铁精矿和钛精矿</w:t>
      </w:r>
      <w:r>
        <w:rPr>
          <w:color w:val="auto"/>
          <w:highlight w:val="none"/>
        </w:rPr>
        <w:t>，根据《产业结构调整指导目录（2024年本）》，不属于产业政策鼓励类、限制类、淘汰类，</w:t>
      </w:r>
      <w:r>
        <w:rPr>
          <w:rFonts w:hint="eastAsia"/>
          <w:color w:val="auto"/>
          <w:highlight w:val="none"/>
        </w:rPr>
        <w:t>根据国务院关于发布实施《促进产业结构调整暂行规定》的决定第三章产业结构调整指导目录第十三条“不属于鼓励类、限制类和淘汰类，且符合国家有关</w:t>
      </w:r>
      <w:r>
        <w:rPr>
          <w:rFonts w:hint="eastAsia"/>
          <w:color w:val="auto"/>
          <w:highlight w:val="none"/>
          <w:lang w:eastAsia="zh-CN"/>
        </w:rPr>
        <w:t>法律法规</w:t>
      </w:r>
      <w:r>
        <w:rPr>
          <w:rFonts w:hint="eastAsia"/>
          <w:color w:val="auto"/>
          <w:highlight w:val="none"/>
        </w:rPr>
        <w:t>和政策规定的，为允许类”</w:t>
      </w:r>
      <w:r>
        <w:rPr>
          <w:rFonts w:hint="eastAsia"/>
          <w:color w:val="auto"/>
          <w:highlight w:val="none"/>
          <w:lang w:eastAsia="zh-CN"/>
        </w:rPr>
        <w:t>，因此本项目属于允许类</w:t>
      </w:r>
      <w:r>
        <w:rPr>
          <w:color w:val="auto"/>
          <w:highlight w:val="none"/>
        </w:rPr>
        <w:t>，本项目的建设符合国家产业政策要求。本项目选矿工艺路线符合清洁生产的要求。本项目符合国家产业政策和环保政策要求，具有良好的经济效益和社会效益，可满足当地环境保护目标要求，在严格落实本报告提出的环保、节能降耗措施，特别是污染防治和风险防范措施后，从保护环境的角度出发，本项目的建设是可行的。</w:t>
      </w:r>
    </w:p>
    <w:p w14:paraId="61B1BD87">
      <w:pPr>
        <w:pStyle w:val="39"/>
        <w:rPr>
          <w:rFonts w:hint="default"/>
          <w:color w:val="auto"/>
          <w:highlight w:val="none"/>
        </w:rPr>
      </w:pPr>
      <w:bookmarkStart w:id="533" w:name="_Toc4684"/>
      <w:r>
        <w:rPr>
          <w:rFonts w:hint="default"/>
          <w:color w:val="auto"/>
          <w:highlight w:val="none"/>
        </w:rPr>
        <w:t>建议及要求</w:t>
      </w:r>
      <w:bookmarkEnd w:id="527"/>
      <w:bookmarkEnd w:id="528"/>
      <w:bookmarkEnd w:id="529"/>
      <w:bookmarkEnd w:id="530"/>
      <w:bookmarkEnd w:id="531"/>
      <w:bookmarkEnd w:id="532"/>
      <w:bookmarkEnd w:id="533"/>
    </w:p>
    <w:p w14:paraId="7AC0C4FF">
      <w:pPr>
        <w:pStyle w:val="3"/>
        <w:ind w:firstLine="480"/>
        <w:rPr>
          <w:color w:val="auto"/>
          <w:highlight w:val="none"/>
        </w:rPr>
      </w:pPr>
      <w:r>
        <w:rPr>
          <w:color w:val="auto"/>
          <w:highlight w:val="none"/>
        </w:rPr>
        <w:t>（1）定期进行环境保护教育，增强职工的环保意识，制定严格的、可行的环境保护指标作为考核依据。</w:t>
      </w:r>
    </w:p>
    <w:p w14:paraId="50526C7D">
      <w:pPr>
        <w:pStyle w:val="3"/>
        <w:ind w:firstLine="480"/>
        <w:rPr>
          <w:color w:val="auto"/>
          <w:highlight w:val="none"/>
        </w:rPr>
      </w:pPr>
      <w:r>
        <w:rPr>
          <w:color w:val="auto"/>
          <w:highlight w:val="none"/>
        </w:rPr>
        <w:t>（2）应设置专职人员负责环保工作，保证各项环保措施得到落实。</w:t>
      </w:r>
    </w:p>
    <w:p w14:paraId="0518C903">
      <w:pPr>
        <w:pStyle w:val="3"/>
        <w:ind w:firstLine="480"/>
        <w:rPr>
          <w:color w:val="auto"/>
          <w:highlight w:val="none"/>
        </w:rPr>
      </w:pPr>
    </w:p>
    <w:p w14:paraId="22E42426">
      <w:pPr>
        <w:pStyle w:val="3"/>
        <w:ind w:firstLine="480"/>
        <w:rPr>
          <w:color w:val="auto"/>
          <w:highlight w:val="none"/>
        </w:rPr>
      </w:pPr>
    </w:p>
    <w:p w14:paraId="254B9827">
      <w:pPr>
        <w:pStyle w:val="3"/>
        <w:ind w:firstLine="480"/>
        <w:rPr>
          <w:color w:val="auto"/>
          <w:highlight w:val="none"/>
        </w:rPr>
      </w:pPr>
    </w:p>
    <w:p w14:paraId="6018DB8B">
      <w:pPr>
        <w:pStyle w:val="3"/>
        <w:ind w:firstLine="480"/>
        <w:rPr>
          <w:color w:val="auto"/>
          <w:highlight w:val="none"/>
        </w:rPr>
      </w:pPr>
    </w:p>
    <w:p w14:paraId="141E9977">
      <w:pPr>
        <w:pStyle w:val="3"/>
        <w:ind w:firstLine="480"/>
        <w:rPr>
          <w:color w:val="auto"/>
          <w:highlight w:val="none"/>
        </w:rPr>
      </w:pPr>
    </w:p>
    <w:p w14:paraId="47E0D3B1">
      <w:pPr>
        <w:ind w:firstLine="0" w:firstLineChars="0"/>
        <w:rPr>
          <w:color w:val="auto"/>
          <w:highlight w:val="none"/>
        </w:rPr>
      </w:pPr>
    </w:p>
    <w:p w14:paraId="5BCED2B3">
      <w:pPr>
        <w:rPr>
          <w:color w:val="auto"/>
          <w:highlight w:val="none"/>
        </w:rPr>
      </w:pPr>
    </w:p>
    <w:sectPr>
      <w:headerReference r:id="rId21" w:type="default"/>
      <w:footerReference r:id="rId22" w:type="default"/>
      <w:pgSz w:w="11906" w:h="16838"/>
      <w:pgMar w:top="1440" w:right="1800" w:bottom="1440" w:left="1800" w:header="964" w:footer="964"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57BAC24-5145-4D15-B42A-34FB6B4C480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2" w:fontKey="{878AA327-2B87-4FED-A3B7-5621037D88C9}"/>
  </w:font>
  <w:font w:name="华文宋体">
    <w:altName w:val="宋体"/>
    <w:panose1 w:val="02010600040101010101"/>
    <w:charset w:val="86"/>
    <w:family w:val="auto"/>
    <w:pitch w:val="default"/>
    <w:sig w:usb0="00000000" w:usb1="00000000" w:usb2="00000010" w:usb3="00000000" w:csb0="0004009F" w:csb1="00000000"/>
  </w:font>
  <w:font w:name="宋体l萀">
    <w:altName w:val="宋体"/>
    <w:panose1 w:val="00000000000000000000"/>
    <w:charset w:val="86"/>
    <w:family w:val="roman"/>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embedRegular r:id="rId3" w:fontKey="{10CE0152-5E3A-4286-8DBE-05EC62C5ADF8}"/>
  </w:font>
  <w:font w:name="Wingdings 2">
    <w:panose1 w:val="05020102010507070707"/>
    <w:charset w:val="02"/>
    <w:family w:val="roman"/>
    <w:pitch w:val="default"/>
    <w:sig w:usb0="00000000" w:usb1="00000000" w:usb2="00000000" w:usb3="00000000" w:csb0="80000000" w:csb1="00000000"/>
    <w:embedRegular r:id="rId4" w:fontKey="{6D6A5116-F672-4BD8-8E4E-A1C908B55F0C}"/>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Mincho">
    <w:altName w:val="ESRI AMFM Electric"/>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61B25">
    <w:pPr>
      <w:pStyle w:val="17"/>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BB8D0">
    <w:pPr>
      <w:pStyle w:val="17"/>
      <w:pBdr>
        <w:top w:val="thickThinSmallGap" w:color="auto" w:sz="24" w:space="1"/>
      </w:pBdr>
      <w:spacing w:line="240" w:lineRule="atLeast"/>
      <w:ind w:firstLine="0" w:firstLineChars="0"/>
      <w:rPr>
        <w:rFonts w:eastAsia="华文中宋"/>
        <w:sz w:val="21"/>
        <w:szCs w:val="21"/>
      </w:rPr>
    </w:pPr>
    <w:r>
      <w:rPr>
        <w:rFonts w:eastAsia="华文中宋"/>
        <w:sz w:val="21"/>
        <w:szCs w:val="21"/>
      </w:rPr>
      <w:t xml:space="preserve">新疆煤炭设计研究院有限责任公司              </w:t>
    </w:r>
    <w:r>
      <w:rPr>
        <w:rFonts w:eastAsia="华文中宋"/>
        <w:sz w:val="21"/>
        <w:szCs w:val="21"/>
      </w:rPr>
      <w:fldChar w:fldCharType="begin"/>
    </w:r>
    <w:r>
      <w:rPr>
        <w:rFonts w:eastAsia="华文中宋"/>
        <w:sz w:val="21"/>
        <w:szCs w:val="21"/>
      </w:rPr>
      <w:instrText xml:space="preserve">PAGE   \* MERGEFORMAT</w:instrText>
    </w:r>
    <w:r>
      <w:rPr>
        <w:rFonts w:eastAsia="华文中宋"/>
        <w:sz w:val="21"/>
        <w:szCs w:val="21"/>
      </w:rPr>
      <w:fldChar w:fldCharType="separate"/>
    </w:r>
    <w:r>
      <w:rPr>
        <w:rFonts w:eastAsia="华文中宋"/>
        <w:sz w:val="21"/>
        <w:szCs w:val="21"/>
        <w:lang w:val="zh-CN"/>
      </w:rPr>
      <w:t>77</w:t>
    </w:r>
    <w:r>
      <w:rPr>
        <w:rFonts w:eastAsia="华文中宋"/>
        <w:sz w:val="21"/>
        <w:szCs w:val="21"/>
      </w:rPr>
      <w:fldChar w:fldCharType="end"/>
    </w:r>
    <w:r>
      <w:rPr>
        <w:rFonts w:eastAsia="华文中宋"/>
        <w:sz w:val="21"/>
        <w:szCs w:val="21"/>
      </w:rPr>
      <w:t xml:space="preserve">                      2026年</w:t>
    </w:r>
    <w:r>
      <w:rPr>
        <w:rFonts w:hint="eastAsia" w:eastAsia="华文中宋"/>
        <w:sz w:val="21"/>
        <w:szCs w:val="21"/>
        <w:lang w:val="en-US" w:eastAsia="zh-CN"/>
      </w:rPr>
      <w:t>8</w:t>
    </w:r>
    <w:r>
      <w:rPr>
        <w:rFonts w:eastAsia="华文中宋"/>
        <w:sz w:val="21"/>
        <w:szCs w:val="21"/>
      </w:rPr>
      <w:t>月</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94C5B">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01269">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CDA3B">
    <w:pPr>
      <w:pStyle w:val="17"/>
      <w:pBdr>
        <w:top w:val="thickThinSmallGap" w:color="auto" w:sz="24" w:space="1"/>
      </w:pBdr>
      <w:spacing w:line="240" w:lineRule="atLeast"/>
      <w:ind w:firstLine="0" w:firstLineChars="0"/>
      <w:rPr>
        <w:rFonts w:eastAsia="华文中宋"/>
        <w:sz w:val="21"/>
        <w:szCs w:val="21"/>
      </w:rPr>
    </w:pPr>
    <w:r>
      <w:rPr>
        <w:rFonts w:eastAsia="华文中宋"/>
        <w:sz w:val="21"/>
        <w:szCs w:val="21"/>
      </w:rPr>
      <w:t xml:space="preserve">新疆煤炭设计研究院有限责任公司              </w:t>
    </w:r>
    <w:r>
      <w:rPr>
        <w:rFonts w:eastAsia="华文中宋"/>
        <w:sz w:val="21"/>
        <w:szCs w:val="21"/>
      </w:rPr>
      <w:fldChar w:fldCharType="begin"/>
    </w:r>
    <w:r>
      <w:rPr>
        <w:rFonts w:eastAsia="华文中宋"/>
        <w:sz w:val="21"/>
        <w:szCs w:val="21"/>
      </w:rPr>
      <w:instrText xml:space="preserve">PAGE   \* MERGEFORMAT</w:instrText>
    </w:r>
    <w:r>
      <w:rPr>
        <w:rFonts w:eastAsia="华文中宋"/>
        <w:sz w:val="21"/>
        <w:szCs w:val="21"/>
      </w:rPr>
      <w:fldChar w:fldCharType="separate"/>
    </w:r>
    <w:r>
      <w:rPr>
        <w:rFonts w:eastAsia="华文中宋"/>
        <w:sz w:val="21"/>
        <w:szCs w:val="21"/>
        <w:lang w:val="zh-CN"/>
      </w:rPr>
      <w:t>77</w:t>
    </w:r>
    <w:r>
      <w:rPr>
        <w:rFonts w:eastAsia="华文中宋"/>
        <w:sz w:val="21"/>
        <w:szCs w:val="21"/>
      </w:rPr>
      <w:fldChar w:fldCharType="end"/>
    </w:r>
    <w:r>
      <w:rPr>
        <w:rFonts w:eastAsia="华文中宋"/>
        <w:sz w:val="21"/>
        <w:szCs w:val="21"/>
      </w:rPr>
      <w:t xml:space="preserve">                      2026年</w:t>
    </w:r>
    <w:r>
      <w:rPr>
        <w:rFonts w:hint="eastAsia" w:eastAsia="华文中宋"/>
        <w:sz w:val="21"/>
        <w:szCs w:val="21"/>
        <w:lang w:val="en-US" w:eastAsia="zh-CN"/>
      </w:rPr>
      <w:t>8</w:t>
    </w:r>
    <w:r>
      <w:rPr>
        <w:rFonts w:eastAsia="华文中宋"/>
        <w:sz w:val="21"/>
        <w:szCs w:val="21"/>
      </w:rPr>
      <w:t>月</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1796E">
    <w:pPr>
      <w:pStyle w:val="17"/>
      <w:pBdr>
        <w:top w:val="thickThinSmallGap" w:color="auto" w:sz="24" w:space="1"/>
      </w:pBdr>
      <w:spacing w:line="240" w:lineRule="atLeast"/>
      <w:ind w:firstLine="0" w:firstLineChars="0"/>
      <w:rPr>
        <w:rFonts w:eastAsia="华文中宋"/>
        <w:sz w:val="21"/>
        <w:szCs w:val="21"/>
      </w:rPr>
    </w:pPr>
    <w:r>
      <w:rPr>
        <w:rFonts w:eastAsia="华文中宋"/>
        <w:sz w:val="21"/>
        <w:szCs w:val="21"/>
      </w:rPr>
      <w:t xml:space="preserve">新疆煤炭设计研究院有限责任公司              </w:t>
    </w:r>
    <w:r>
      <w:rPr>
        <w:rFonts w:eastAsia="华文中宋"/>
        <w:sz w:val="21"/>
        <w:szCs w:val="21"/>
      </w:rPr>
      <w:fldChar w:fldCharType="begin"/>
    </w:r>
    <w:r>
      <w:rPr>
        <w:rFonts w:eastAsia="华文中宋"/>
        <w:sz w:val="21"/>
        <w:szCs w:val="21"/>
      </w:rPr>
      <w:instrText xml:space="preserve">PAGE   \* MERGEFORMAT</w:instrText>
    </w:r>
    <w:r>
      <w:rPr>
        <w:rFonts w:eastAsia="华文中宋"/>
        <w:sz w:val="21"/>
        <w:szCs w:val="21"/>
      </w:rPr>
      <w:fldChar w:fldCharType="separate"/>
    </w:r>
    <w:r>
      <w:rPr>
        <w:rFonts w:eastAsia="华文中宋"/>
        <w:sz w:val="21"/>
        <w:szCs w:val="21"/>
        <w:lang w:val="zh-CN"/>
      </w:rPr>
      <w:t>77</w:t>
    </w:r>
    <w:r>
      <w:rPr>
        <w:rFonts w:eastAsia="华文中宋"/>
        <w:sz w:val="21"/>
        <w:szCs w:val="21"/>
      </w:rPr>
      <w:fldChar w:fldCharType="end"/>
    </w:r>
    <w:r>
      <w:rPr>
        <w:rFonts w:eastAsia="华文中宋"/>
        <w:sz w:val="21"/>
        <w:szCs w:val="21"/>
      </w:rPr>
      <w:t xml:space="preserve">                      2026年</w:t>
    </w:r>
    <w:r>
      <w:rPr>
        <w:rFonts w:hint="eastAsia" w:eastAsia="华文中宋"/>
        <w:sz w:val="21"/>
        <w:szCs w:val="21"/>
        <w:lang w:val="en-US" w:eastAsia="zh-CN"/>
      </w:rPr>
      <w:t>8</w:t>
    </w:r>
    <w:r>
      <w:rPr>
        <w:rFonts w:eastAsia="华文中宋"/>
        <w:sz w:val="21"/>
        <w:szCs w:val="21"/>
      </w:rPr>
      <w:t>月</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B61A3">
    <w:pPr>
      <w:pStyle w:val="17"/>
      <w:pBdr>
        <w:top w:val="thickThinSmallGap" w:color="auto" w:sz="24" w:space="1"/>
      </w:pBdr>
      <w:spacing w:line="240" w:lineRule="atLeast"/>
      <w:ind w:firstLine="0" w:firstLineChars="0"/>
      <w:rPr>
        <w:rFonts w:eastAsia="华文中宋"/>
        <w:sz w:val="21"/>
        <w:szCs w:val="21"/>
      </w:rPr>
    </w:pPr>
    <w:r>
      <w:rPr>
        <w:rFonts w:eastAsia="华文中宋"/>
        <w:sz w:val="21"/>
        <w:szCs w:val="21"/>
      </w:rPr>
      <w:t xml:space="preserve">新疆煤炭设计研究院有限责任公司              </w:t>
    </w:r>
    <w:r>
      <w:rPr>
        <w:rFonts w:eastAsia="华文中宋"/>
        <w:sz w:val="21"/>
        <w:szCs w:val="21"/>
      </w:rPr>
      <w:fldChar w:fldCharType="begin"/>
    </w:r>
    <w:r>
      <w:rPr>
        <w:rFonts w:eastAsia="华文中宋"/>
        <w:sz w:val="21"/>
        <w:szCs w:val="21"/>
      </w:rPr>
      <w:instrText xml:space="preserve">PAGE   \* MERGEFORMAT</w:instrText>
    </w:r>
    <w:r>
      <w:rPr>
        <w:rFonts w:eastAsia="华文中宋"/>
        <w:sz w:val="21"/>
        <w:szCs w:val="21"/>
      </w:rPr>
      <w:fldChar w:fldCharType="separate"/>
    </w:r>
    <w:r>
      <w:rPr>
        <w:rFonts w:eastAsia="华文中宋"/>
        <w:sz w:val="21"/>
        <w:szCs w:val="21"/>
        <w:lang w:val="zh-CN"/>
      </w:rPr>
      <w:t>77</w:t>
    </w:r>
    <w:r>
      <w:rPr>
        <w:rFonts w:eastAsia="华文中宋"/>
        <w:sz w:val="21"/>
        <w:szCs w:val="21"/>
      </w:rPr>
      <w:fldChar w:fldCharType="end"/>
    </w:r>
    <w:r>
      <w:rPr>
        <w:rFonts w:eastAsia="华文中宋"/>
        <w:sz w:val="21"/>
        <w:szCs w:val="21"/>
      </w:rPr>
      <w:t xml:space="preserve">                      2026年</w:t>
    </w:r>
    <w:r>
      <w:rPr>
        <w:rFonts w:hint="eastAsia" w:eastAsia="华文中宋"/>
        <w:sz w:val="21"/>
        <w:szCs w:val="21"/>
        <w:lang w:val="en-US" w:eastAsia="zh-CN"/>
      </w:rPr>
      <w:t>8</w:t>
    </w:r>
    <w:r>
      <w:rPr>
        <w:rFonts w:eastAsia="华文中宋"/>
        <w:sz w:val="21"/>
        <w:szCs w:val="21"/>
      </w:rPr>
      <w:t>月</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19EB0">
    <w:pPr>
      <w:pStyle w:val="17"/>
      <w:pBdr>
        <w:top w:val="thickThinSmallGap" w:color="auto" w:sz="24" w:space="1"/>
      </w:pBdr>
      <w:spacing w:line="240" w:lineRule="atLeast"/>
      <w:ind w:firstLine="0" w:firstLineChars="0"/>
      <w:rPr>
        <w:rFonts w:eastAsia="华文中宋"/>
      </w:rPr>
    </w:pPr>
    <w:r>
      <w:rPr>
        <w:rFonts w:eastAsia="华文中宋"/>
        <w:sz w:val="21"/>
        <w:szCs w:val="21"/>
      </w:rPr>
      <w:t xml:space="preserve">新疆煤炭设计研究院有限责任公司              </w:t>
    </w:r>
    <w:r>
      <w:rPr>
        <w:rFonts w:eastAsia="华文中宋"/>
        <w:sz w:val="21"/>
        <w:szCs w:val="21"/>
      </w:rPr>
      <w:fldChar w:fldCharType="begin"/>
    </w:r>
    <w:r>
      <w:rPr>
        <w:rFonts w:eastAsia="华文中宋"/>
        <w:sz w:val="21"/>
        <w:szCs w:val="21"/>
      </w:rPr>
      <w:instrText xml:space="preserve">PAGE   \* MERGEFORMAT</w:instrText>
    </w:r>
    <w:r>
      <w:rPr>
        <w:rFonts w:eastAsia="华文中宋"/>
        <w:sz w:val="21"/>
        <w:szCs w:val="21"/>
      </w:rPr>
      <w:fldChar w:fldCharType="separate"/>
    </w:r>
    <w:r>
      <w:rPr>
        <w:rFonts w:eastAsia="华文中宋"/>
        <w:sz w:val="21"/>
        <w:szCs w:val="21"/>
        <w:lang w:val="zh-CN"/>
      </w:rPr>
      <w:t>77</w:t>
    </w:r>
    <w:r>
      <w:rPr>
        <w:rFonts w:eastAsia="华文中宋"/>
        <w:sz w:val="21"/>
        <w:szCs w:val="21"/>
      </w:rPr>
      <w:fldChar w:fldCharType="end"/>
    </w:r>
    <w:r>
      <w:rPr>
        <w:rFonts w:eastAsia="华文中宋"/>
        <w:sz w:val="21"/>
        <w:szCs w:val="21"/>
      </w:rPr>
      <w:t xml:space="preserve">                      2026年</w:t>
    </w:r>
    <w:r>
      <w:rPr>
        <w:rFonts w:hint="eastAsia" w:eastAsia="华文中宋"/>
        <w:sz w:val="21"/>
        <w:szCs w:val="21"/>
        <w:lang w:val="en-US" w:eastAsia="zh-CN"/>
      </w:rPr>
      <w:t>8</w:t>
    </w:r>
    <w:r>
      <w:rPr>
        <w:rFonts w:eastAsia="华文中宋"/>
        <w:sz w:val="21"/>
        <w:szCs w:val="21"/>
      </w:rPr>
      <w:t>月</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FF6ED">
    <w:pPr>
      <w:pStyle w:val="17"/>
      <w:pBdr>
        <w:top w:val="thickThinSmallGap" w:color="auto" w:sz="24" w:space="1"/>
      </w:pBdr>
      <w:spacing w:line="240" w:lineRule="atLeast"/>
      <w:ind w:firstLine="0" w:firstLineChars="0"/>
      <w:jc w:val="both"/>
      <w:rPr>
        <w:rFonts w:hint="eastAsia" w:ascii="宋体" w:hAnsi="宋体"/>
      </w:rPr>
    </w:pPr>
    <w:r>
      <w:rPr>
        <w:rFonts w:hint="eastAsia"/>
        <w:sz w:val="21"/>
        <w:szCs w:val="21"/>
      </w:rPr>
      <w:t xml:space="preserve">新疆煤炭设计研究院有限责任公司              </w:t>
    </w: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77</w:t>
    </w:r>
    <w:r>
      <w:rPr>
        <w:sz w:val="21"/>
        <w:szCs w:val="21"/>
      </w:rPr>
      <w:fldChar w:fldCharType="end"/>
    </w:r>
    <w:r>
      <w:rPr>
        <w:rFonts w:hint="eastAsia"/>
        <w:sz w:val="21"/>
        <w:szCs w:val="21"/>
      </w:rPr>
      <w:t xml:space="preserve">                     2026年6月</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3311C">
    <w:pPr>
      <w:pStyle w:val="17"/>
      <w:pBdr>
        <w:top w:val="thickThinSmallGap" w:color="auto" w:sz="24" w:space="1"/>
      </w:pBdr>
      <w:spacing w:line="240" w:lineRule="atLeast"/>
      <w:ind w:firstLine="0" w:firstLineChars="0"/>
      <w:rPr>
        <w:rFonts w:eastAsia="华文中宋"/>
        <w:sz w:val="21"/>
        <w:szCs w:val="21"/>
      </w:rPr>
    </w:pPr>
    <w:r>
      <w:rPr>
        <w:rFonts w:eastAsia="华文中宋"/>
        <w:sz w:val="21"/>
        <w:szCs w:val="21"/>
      </w:rPr>
      <w:t xml:space="preserve">新疆煤炭设计研究院有限责任公司              </w:t>
    </w:r>
    <w:r>
      <w:rPr>
        <w:rFonts w:eastAsia="华文中宋"/>
        <w:sz w:val="21"/>
        <w:szCs w:val="21"/>
      </w:rPr>
      <w:fldChar w:fldCharType="begin"/>
    </w:r>
    <w:r>
      <w:rPr>
        <w:rFonts w:eastAsia="华文中宋"/>
        <w:sz w:val="21"/>
        <w:szCs w:val="21"/>
      </w:rPr>
      <w:instrText xml:space="preserve">PAGE   \* MERGEFORMAT</w:instrText>
    </w:r>
    <w:r>
      <w:rPr>
        <w:rFonts w:eastAsia="华文中宋"/>
        <w:sz w:val="21"/>
        <w:szCs w:val="21"/>
      </w:rPr>
      <w:fldChar w:fldCharType="separate"/>
    </w:r>
    <w:r>
      <w:rPr>
        <w:rFonts w:eastAsia="华文中宋"/>
        <w:sz w:val="21"/>
        <w:szCs w:val="21"/>
        <w:lang w:val="zh-CN"/>
      </w:rPr>
      <w:t>77</w:t>
    </w:r>
    <w:r>
      <w:rPr>
        <w:rFonts w:eastAsia="华文中宋"/>
        <w:sz w:val="21"/>
        <w:szCs w:val="21"/>
      </w:rPr>
      <w:fldChar w:fldCharType="end"/>
    </w:r>
    <w:r>
      <w:rPr>
        <w:rFonts w:eastAsia="华文中宋"/>
        <w:sz w:val="21"/>
        <w:szCs w:val="21"/>
      </w:rPr>
      <w:t xml:space="preserve">                      2026年</w:t>
    </w:r>
    <w:r>
      <w:rPr>
        <w:rFonts w:hint="eastAsia" w:eastAsia="华文中宋"/>
        <w:sz w:val="21"/>
        <w:szCs w:val="21"/>
        <w:lang w:val="en-US" w:eastAsia="zh-CN"/>
      </w:rPr>
      <w:t>8</w:t>
    </w:r>
    <w:r>
      <w:rPr>
        <w:rFonts w:eastAsia="华文中宋"/>
        <w:sz w:val="21"/>
        <w:szCs w:val="21"/>
      </w:rPr>
      <w:t>月</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26DDD">
    <w:pPr>
      <w:pBdr>
        <w:bottom w:val="none" w:color="auto" w:sz="0" w:space="1"/>
      </w:pBdr>
      <w:spacing w:line="240" w:lineRule="exact"/>
      <w:ind w:firstLine="0" w:firstLineChars="0"/>
      <w:rPr>
        <w:rFonts w:hint="eastAsia" w:eastAsia="华文中宋"/>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435F2">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5219F">
    <w:pPr>
      <w:pStyle w:val="1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14085">
    <w:pPr>
      <w:pBdr>
        <w:bottom w:val="thickThinSmallGap" w:color="auto" w:sz="24" w:space="1"/>
      </w:pBdr>
      <w:tabs>
        <w:tab w:val="center" w:pos="4153"/>
        <w:tab w:val="right" w:pos="8306"/>
      </w:tabs>
      <w:spacing w:line="240" w:lineRule="exact"/>
      <w:ind w:firstLine="0" w:firstLineChars="0"/>
      <w:rPr>
        <w:rFonts w:hint="eastAsia" w:eastAsia="华文中宋"/>
        <w:lang w:eastAsia="zh-CN"/>
      </w:rPr>
    </w:pPr>
    <w:r>
      <w:rPr>
        <w:rFonts w:hint="eastAsia"/>
        <w:color w:val="000000"/>
        <w:sz w:val="18"/>
        <w:szCs w:val="18"/>
      </w:rPr>
      <w:t xml:space="preserve">阿图什市环球矿业钒钛磁铁矿900万吨/年选矿厂建设项目（一期）                    </w:t>
    </w:r>
    <w:r>
      <w:rPr>
        <w:color w:val="000000"/>
        <w:sz w:val="18"/>
        <w:szCs w:val="18"/>
      </w:rPr>
      <w:t>环境影响报告</w:t>
    </w:r>
    <w:r>
      <w:rPr>
        <w:rFonts w:hint="eastAsia"/>
        <w:color w:val="000000"/>
        <w:sz w:val="18"/>
        <w:szCs w:val="18"/>
        <w:lang w:eastAsia="zh-CN"/>
      </w:rPr>
      <w:t>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50FD7">
    <w:pPr>
      <w:pBdr>
        <w:bottom w:val="thickThinSmallGap" w:color="auto" w:sz="24" w:space="1"/>
      </w:pBdr>
      <w:spacing w:line="240" w:lineRule="exact"/>
      <w:ind w:firstLine="0" w:firstLineChars="0"/>
      <w:rPr>
        <w:color w:val="000000"/>
        <w:sz w:val="18"/>
        <w:szCs w:val="18"/>
      </w:rPr>
    </w:pPr>
    <w:r>
      <w:rPr>
        <w:rFonts w:hint="eastAsia"/>
        <w:color w:val="000000"/>
        <w:sz w:val="18"/>
        <w:szCs w:val="18"/>
      </w:rPr>
      <w:t xml:space="preserve">阿图什市环球矿业钒钛磁铁矿900万吨/年选矿厂建设项目（一期）                    </w:t>
    </w:r>
    <w:r>
      <w:rPr>
        <w:color w:val="000000"/>
        <w:sz w:val="18"/>
        <w:szCs w:val="18"/>
      </w:rPr>
      <w:t>环境影响报告书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78E56">
    <w:pPr>
      <w:pBdr>
        <w:bottom w:val="thickThinSmallGap" w:color="auto" w:sz="24" w:space="1"/>
      </w:pBdr>
      <w:spacing w:line="240" w:lineRule="exact"/>
      <w:ind w:firstLine="0" w:firstLineChars="0"/>
      <w:rPr>
        <w:color w:val="000000"/>
        <w:sz w:val="18"/>
        <w:szCs w:val="18"/>
      </w:rPr>
    </w:pPr>
    <w:r>
      <w:rPr>
        <w:rFonts w:hint="eastAsia"/>
        <w:color w:val="000000"/>
        <w:sz w:val="18"/>
        <w:szCs w:val="18"/>
      </w:rPr>
      <w:t xml:space="preserve">阿图什市环球矿业钒钛磁铁矿900万吨/年选矿厂建设项目                            </w:t>
    </w:r>
    <w:r>
      <w:rPr>
        <w:color w:val="000000"/>
        <w:sz w:val="18"/>
        <w:szCs w:val="18"/>
      </w:rPr>
      <w:t>环境影响报告书</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01E91">
    <w:pPr>
      <w:pBdr>
        <w:bottom w:val="thickThinSmallGap" w:color="auto" w:sz="24" w:space="1"/>
      </w:pBdr>
      <w:spacing w:line="240" w:lineRule="exact"/>
      <w:ind w:firstLine="0" w:firstLineChars="0"/>
      <w:rPr>
        <w:color w:val="000000"/>
        <w:sz w:val="18"/>
        <w:szCs w:val="18"/>
      </w:rPr>
    </w:pPr>
    <w:r>
      <w:rPr>
        <w:rFonts w:hint="eastAsia"/>
        <w:color w:val="000000"/>
        <w:sz w:val="18"/>
        <w:szCs w:val="18"/>
      </w:rPr>
      <w:t xml:space="preserve">阿图什市环球矿业钒钛磁铁矿900万吨/年选矿厂建设项目（一期）                    </w:t>
    </w:r>
    <w:r>
      <w:rPr>
        <w:color w:val="000000"/>
        <w:sz w:val="18"/>
        <w:szCs w:val="18"/>
      </w:rPr>
      <w:t>环境影响报告书</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3F9E5">
    <w:pPr>
      <w:pBdr>
        <w:bottom w:val="thickThinSmallGap" w:color="auto" w:sz="24" w:space="1"/>
      </w:pBdr>
      <w:spacing w:line="240" w:lineRule="exact"/>
      <w:ind w:firstLine="0" w:firstLineChars="0"/>
      <w:rPr>
        <w:color w:val="000000"/>
        <w:sz w:val="18"/>
        <w:szCs w:val="18"/>
      </w:rPr>
    </w:pPr>
    <w:r>
      <w:rPr>
        <w:color w:val="000000"/>
        <w:sz w:val="18"/>
        <w:szCs w:val="18"/>
      </w:rPr>
      <w:t>阿图什市环球矿业钒钛磁铁矿900万吨/年选矿厂建设项目</w:t>
    </w:r>
    <w:r>
      <w:rPr>
        <w:rFonts w:hint="eastAsia"/>
        <w:color w:val="000000"/>
        <w:sz w:val="18"/>
        <w:szCs w:val="18"/>
      </w:rPr>
      <w:t>（一期）</w:t>
    </w:r>
    <w:r>
      <w:rPr>
        <w:color w:val="000000"/>
        <w:sz w:val="18"/>
        <w:szCs w:val="18"/>
      </w:rPr>
      <w:t xml:space="preserve">                  环境影响报告书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198136"/>
    <w:multiLevelType w:val="multilevel"/>
    <w:tmpl w:val="92198136"/>
    <w:lvl w:ilvl="0" w:tentative="0">
      <w:start w:val="1"/>
      <w:numFmt w:val="decimal"/>
      <w:pStyle w:val="38"/>
      <w:suff w:val="space"/>
      <w:lvlText w:val="%1"/>
      <w:lvlJc w:val="left"/>
      <w:pPr>
        <w:tabs>
          <w:tab w:val="left" w:pos="0"/>
        </w:tabs>
        <w:ind w:left="210" w:hanging="210"/>
      </w:pPr>
      <w:rPr>
        <w:rFonts w:hint="default" w:ascii="Times New Roman" w:hAnsi="Times New Roman" w:eastAsia="宋体" w:cs="Times New Roman"/>
        <w:b/>
        <w:bCs/>
        <w:sz w:val="32"/>
        <w:szCs w:val="32"/>
      </w:rPr>
    </w:lvl>
    <w:lvl w:ilvl="1" w:tentative="0">
      <w:start w:val="1"/>
      <w:numFmt w:val="decimal"/>
      <w:pStyle w:val="39"/>
      <w:suff w:val="space"/>
      <w:lvlText w:val="%1.%2"/>
      <w:lvlJc w:val="left"/>
      <w:pPr>
        <w:tabs>
          <w:tab w:val="left" w:pos="850"/>
        </w:tabs>
        <w:ind w:left="210" w:hanging="210"/>
      </w:pPr>
      <w:rPr>
        <w:rFonts w:hint="default" w:ascii="Times New Roman" w:hAnsi="Times New Roman" w:eastAsia="宋体" w:cs="Times New Roman"/>
        <w:b/>
        <w:bCs/>
        <w:sz w:val="30"/>
        <w:szCs w:val="30"/>
      </w:rPr>
    </w:lvl>
    <w:lvl w:ilvl="2" w:tentative="0">
      <w:start w:val="1"/>
      <w:numFmt w:val="decimal"/>
      <w:pStyle w:val="42"/>
      <w:suff w:val="space"/>
      <w:lvlText w:val="%1.%2.%3"/>
      <w:lvlJc w:val="left"/>
      <w:pPr>
        <w:tabs>
          <w:tab w:val="left" w:pos="850"/>
        </w:tabs>
        <w:ind w:left="210" w:hanging="210"/>
      </w:pPr>
      <w:rPr>
        <w:rFonts w:hint="default" w:ascii="Times New Roman" w:hAnsi="Times New Roman" w:eastAsia="宋体" w:cs="Times New Roman"/>
        <w:b/>
        <w:bCs/>
        <w:sz w:val="28"/>
        <w:szCs w:val="28"/>
      </w:rPr>
    </w:lvl>
    <w:lvl w:ilvl="3" w:tentative="0">
      <w:start w:val="1"/>
      <w:numFmt w:val="decimal"/>
      <w:pStyle w:val="43"/>
      <w:suff w:val="space"/>
      <w:lvlText w:val="%1.%2.%3.%4"/>
      <w:lvlJc w:val="left"/>
      <w:pPr>
        <w:tabs>
          <w:tab w:val="left" w:pos="850"/>
        </w:tabs>
        <w:ind w:left="210" w:hanging="210"/>
      </w:pPr>
      <w:rPr>
        <w:rFonts w:hint="default" w:ascii="Times New Roman" w:hAnsi="Times New Roman" w:eastAsia="宋体" w:cs="Times New Roman"/>
        <w:b/>
        <w:bCs/>
        <w:sz w:val="24"/>
        <w:szCs w:val="24"/>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9F95955D"/>
    <w:multiLevelType w:val="multilevel"/>
    <w:tmpl w:val="9F95955D"/>
    <w:lvl w:ilvl="0" w:tentative="0">
      <w:start w:val="1"/>
      <w:numFmt w:val="decimal"/>
      <w:pStyle w:val="2"/>
      <w:lvlText w:val="%1."/>
      <w:lvlJc w:val="left"/>
      <w:pPr>
        <w:ind w:left="432" w:hanging="432"/>
      </w:pPr>
      <w:rPr>
        <w:rFonts w:hint="default"/>
      </w:rPr>
    </w:lvl>
    <w:lvl w:ilvl="1" w:tentative="0">
      <w:start w:val="1"/>
      <w:numFmt w:val="decimal"/>
      <w:pStyle w:val="4"/>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2">
    <w:nsid w:val="D22D9896"/>
    <w:multiLevelType w:val="singleLevel"/>
    <w:tmpl w:val="D22D9896"/>
    <w:lvl w:ilvl="0" w:tentative="0">
      <w:start w:val="1"/>
      <w:numFmt w:val="decimal"/>
      <w:suff w:val="nothing"/>
      <w:lvlText w:val="(%1)"/>
      <w:lvlJc w:val="left"/>
      <w:pPr>
        <w:ind w:left="425" w:hanging="425"/>
      </w:pPr>
      <w:rPr>
        <w:rFonts w:hint="default"/>
      </w:rPr>
    </w:lvl>
  </w:abstractNum>
  <w:abstractNum w:abstractNumId="3">
    <w:nsid w:val="D5523835"/>
    <w:multiLevelType w:val="singleLevel"/>
    <w:tmpl w:val="D5523835"/>
    <w:lvl w:ilvl="0" w:tentative="0">
      <w:start w:val="1"/>
      <w:numFmt w:val="decimal"/>
      <w:suff w:val="nothing"/>
      <w:lvlText w:val="(%1)"/>
      <w:lvlJc w:val="left"/>
      <w:pPr>
        <w:ind w:left="425" w:hanging="425"/>
      </w:pPr>
      <w:rPr>
        <w:rFonts w:hint="default"/>
      </w:rPr>
    </w:lvl>
  </w:abstractNum>
  <w:abstractNum w:abstractNumId="4">
    <w:nsid w:val="D6F337E4"/>
    <w:multiLevelType w:val="singleLevel"/>
    <w:tmpl w:val="D6F337E4"/>
    <w:lvl w:ilvl="0" w:tentative="0">
      <w:start w:val="1"/>
      <w:numFmt w:val="bullet"/>
      <w:pStyle w:val="14"/>
      <w:lvlText w:val=""/>
      <w:lvlJc w:val="left"/>
      <w:pPr>
        <w:tabs>
          <w:tab w:val="left" w:pos="2040"/>
        </w:tabs>
        <w:ind w:left="2040" w:hanging="360"/>
      </w:pPr>
      <w:rPr>
        <w:rFonts w:hint="default" w:ascii="Wingdings" w:hAnsi="Wingdings"/>
      </w:rPr>
    </w:lvl>
  </w:abstractNum>
  <w:abstractNum w:abstractNumId="5">
    <w:nsid w:val="E4BE8E8E"/>
    <w:multiLevelType w:val="singleLevel"/>
    <w:tmpl w:val="E4BE8E8E"/>
    <w:lvl w:ilvl="0" w:tentative="0">
      <w:start w:val="1"/>
      <w:numFmt w:val="decimal"/>
      <w:suff w:val="nothing"/>
      <w:lvlText w:val="(%1)"/>
      <w:lvlJc w:val="left"/>
      <w:pPr>
        <w:ind w:left="425" w:hanging="425"/>
      </w:pPr>
      <w:rPr>
        <w:rFonts w:hint="default"/>
      </w:rPr>
    </w:lvl>
  </w:abstractNum>
  <w:abstractNum w:abstractNumId="6">
    <w:nsid w:val="F1FBBEB2"/>
    <w:multiLevelType w:val="singleLevel"/>
    <w:tmpl w:val="F1FBBEB2"/>
    <w:lvl w:ilvl="0" w:tentative="0">
      <w:start w:val="1"/>
      <w:numFmt w:val="decimal"/>
      <w:lvlText w:val="(%1)"/>
      <w:lvlJc w:val="left"/>
      <w:pPr>
        <w:ind w:left="425" w:hanging="425"/>
      </w:pPr>
      <w:rPr>
        <w:rFonts w:hint="default"/>
      </w:rPr>
    </w:lvl>
  </w:abstractNum>
  <w:abstractNum w:abstractNumId="7">
    <w:nsid w:val="F62D69BC"/>
    <w:multiLevelType w:val="multilevel"/>
    <w:tmpl w:val="F62D69BC"/>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pStyle w:val="30"/>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8">
    <w:nsid w:val="F69EB19E"/>
    <w:multiLevelType w:val="singleLevel"/>
    <w:tmpl w:val="F69EB19E"/>
    <w:lvl w:ilvl="0" w:tentative="0">
      <w:start w:val="1"/>
      <w:numFmt w:val="decimal"/>
      <w:suff w:val="nothing"/>
      <w:lvlText w:val="(%1)"/>
      <w:lvlJc w:val="left"/>
      <w:pPr>
        <w:ind w:left="425" w:hanging="425"/>
      </w:pPr>
      <w:rPr>
        <w:rFonts w:hint="default"/>
      </w:rPr>
    </w:lvl>
  </w:abstractNum>
  <w:abstractNum w:abstractNumId="9">
    <w:nsid w:val="FAD4F3F1"/>
    <w:multiLevelType w:val="multilevel"/>
    <w:tmpl w:val="FAD4F3F1"/>
    <w:lvl w:ilvl="0" w:tentative="0">
      <w:start w:val="1"/>
      <w:numFmt w:val="decimal"/>
      <w:suff w:val="space"/>
      <w:lvlText w:val="%1."/>
      <w:lvlJc w:val="left"/>
      <w:pPr>
        <w:tabs>
          <w:tab w:val="left" w:pos="0"/>
        </w:tabs>
        <w:ind w:left="210" w:hanging="210"/>
      </w:pPr>
      <w:rPr>
        <w:rFonts w:hint="default" w:ascii="Times New Roman" w:hAnsi="Times New Roman" w:eastAsia="华文中宋" w:cs="Times New Roman"/>
        <w:b/>
        <w:bCs/>
        <w:sz w:val="32"/>
        <w:szCs w:val="32"/>
      </w:rPr>
    </w:lvl>
    <w:lvl w:ilvl="1" w:tentative="0">
      <w:start w:val="1"/>
      <w:numFmt w:val="decimal"/>
      <w:suff w:val="space"/>
      <w:lvlText w:val="%1.%2."/>
      <w:lvlJc w:val="left"/>
      <w:pPr>
        <w:tabs>
          <w:tab w:val="left" w:pos="850"/>
        </w:tabs>
        <w:ind w:left="210" w:hanging="210"/>
      </w:pPr>
      <w:rPr>
        <w:rFonts w:hint="default" w:ascii="Times New Roman" w:hAnsi="Times New Roman" w:eastAsia="宋体" w:cs="Times New Roman"/>
        <w:b/>
        <w:bCs/>
        <w:sz w:val="30"/>
        <w:szCs w:val="30"/>
      </w:rPr>
    </w:lvl>
    <w:lvl w:ilvl="2" w:tentative="0">
      <w:start w:val="1"/>
      <w:numFmt w:val="decimal"/>
      <w:pStyle w:val="5"/>
      <w:suff w:val="space"/>
      <w:lvlText w:val="%1.%2.%3."/>
      <w:lvlJc w:val="left"/>
      <w:pPr>
        <w:tabs>
          <w:tab w:val="left" w:pos="850"/>
        </w:tabs>
        <w:ind w:left="210" w:hanging="210"/>
      </w:pPr>
      <w:rPr>
        <w:rFonts w:hint="default" w:ascii="Times New Roman" w:hAnsi="Times New Roman" w:eastAsia="宋体" w:cs="Times New Roman"/>
        <w:b/>
        <w:bCs/>
        <w:sz w:val="28"/>
        <w:szCs w:val="28"/>
      </w:rPr>
    </w:lvl>
    <w:lvl w:ilvl="3" w:tentative="0">
      <w:start w:val="1"/>
      <w:numFmt w:val="decimal"/>
      <w:suff w:val="space"/>
      <w:lvlText w:val="%1.%2.%3.%4."/>
      <w:lvlJc w:val="left"/>
      <w:pPr>
        <w:tabs>
          <w:tab w:val="left" w:pos="850"/>
        </w:tabs>
        <w:ind w:left="210" w:hanging="210"/>
      </w:pPr>
      <w:rPr>
        <w:rFonts w:hint="default" w:ascii="Times New Roman" w:hAnsi="Times New Roman" w:eastAsia="宋体" w:cs="Times New Roman"/>
        <w:b/>
        <w:bCs/>
        <w:sz w:val="24"/>
        <w:szCs w:val="24"/>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0">
    <w:nsid w:val="6EB72B60"/>
    <w:multiLevelType w:val="singleLevel"/>
    <w:tmpl w:val="6EB72B60"/>
    <w:lvl w:ilvl="0" w:tentative="0">
      <w:start w:val="1"/>
      <w:numFmt w:val="decimal"/>
      <w:suff w:val="nothing"/>
      <w:lvlText w:val="(%1)"/>
      <w:lvlJc w:val="left"/>
      <w:pPr>
        <w:ind w:left="425" w:hanging="425"/>
      </w:pPr>
      <w:rPr>
        <w:rFonts w:hint="default"/>
      </w:rPr>
    </w:lvl>
  </w:abstractNum>
  <w:abstractNum w:abstractNumId="11">
    <w:nsid w:val="71608BE5"/>
    <w:multiLevelType w:val="singleLevel"/>
    <w:tmpl w:val="71608BE5"/>
    <w:lvl w:ilvl="0" w:tentative="0">
      <w:start w:val="1"/>
      <w:numFmt w:val="decimal"/>
      <w:suff w:val="nothing"/>
      <w:lvlText w:val="(%1)"/>
      <w:lvlJc w:val="left"/>
      <w:pPr>
        <w:ind w:left="425" w:hanging="425"/>
      </w:pPr>
      <w:rPr>
        <w:rFonts w:hint="default"/>
      </w:rPr>
    </w:lvl>
  </w:abstractNum>
  <w:num w:numId="1">
    <w:abstractNumId w:val="1"/>
  </w:num>
  <w:num w:numId="2">
    <w:abstractNumId w:val="9"/>
  </w:num>
  <w:num w:numId="3">
    <w:abstractNumId w:val="4"/>
  </w:num>
  <w:num w:numId="4">
    <w:abstractNumId w:val="7"/>
  </w:num>
  <w:num w:numId="5">
    <w:abstractNumId w:val="0"/>
  </w:num>
  <w:num w:numId="6">
    <w:abstractNumId w:val="10"/>
  </w:num>
  <w:num w:numId="7">
    <w:abstractNumId w:val="2"/>
  </w:num>
  <w:num w:numId="8">
    <w:abstractNumId w:val="8"/>
  </w:num>
  <w:num w:numId="9">
    <w:abstractNumId w:val="5"/>
  </w:num>
  <w:num w:numId="10">
    <w:abstractNumId w:val="3"/>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ZGE4NmQ4ZjE4NDk2N2YwZjc0OGRkZTIxZDJkNjMifQ=="/>
  </w:docVars>
  <w:rsids>
    <w:rsidRoot w:val="00172A27"/>
    <w:rsid w:val="000F5215"/>
    <w:rsid w:val="001238BE"/>
    <w:rsid w:val="00172A27"/>
    <w:rsid w:val="002D032B"/>
    <w:rsid w:val="00416C54"/>
    <w:rsid w:val="004434E0"/>
    <w:rsid w:val="00503998"/>
    <w:rsid w:val="005253DF"/>
    <w:rsid w:val="00541E66"/>
    <w:rsid w:val="0067396F"/>
    <w:rsid w:val="00693778"/>
    <w:rsid w:val="006E74A6"/>
    <w:rsid w:val="007C0F2D"/>
    <w:rsid w:val="00844285"/>
    <w:rsid w:val="008953F8"/>
    <w:rsid w:val="00903A7D"/>
    <w:rsid w:val="009E4892"/>
    <w:rsid w:val="00A40922"/>
    <w:rsid w:val="00AE0355"/>
    <w:rsid w:val="00AE20E9"/>
    <w:rsid w:val="00B10AE6"/>
    <w:rsid w:val="00B844FC"/>
    <w:rsid w:val="00BE2D21"/>
    <w:rsid w:val="00C85CE0"/>
    <w:rsid w:val="00DC3B02"/>
    <w:rsid w:val="00E81440"/>
    <w:rsid w:val="00EC4E0D"/>
    <w:rsid w:val="01336BB0"/>
    <w:rsid w:val="014D28C9"/>
    <w:rsid w:val="017F3796"/>
    <w:rsid w:val="019404F8"/>
    <w:rsid w:val="01FB2325"/>
    <w:rsid w:val="02096033"/>
    <w:rsid w:val="02125772"/>
    <w:rsid w:val="023F5F38"/>
    <w:rsid w:val="02553107"/>
    <w:rsid w:val="025E5E91"/>
    <w:rsid w:val="02647532"/>
    <w:rsid w:val="02870FE9"/>
    <w:rsid w:val="02A17821"/>
    <w:rsid w:val="02B640B5"/>
    <w:rsid w:val="02C1356F"/>
    <w:rsid w:val="02FC70B4"/>
    <w:rsid w:val="03165668"/>
    <w:rsid w:val="03173601"/>
    <w:rsid w:val="031931D9"/>
    <w:rsid w:val="03405BCF"/>
    <w:rsid w:val="036A3F01"/>
    <w:rsid w:val="03B46D1F"/>
    <w:rsid w:val="03E05C76"/>
    <w:rsid w:val="04245CD7"/>
    <w:rsid w:val="042514C6"/>
    <w:rsid w:val="04451C17"/>
    <w:rsid w:val="04477D53"/>
    <w:rsid w:val="044B7594"/>
    <w:rsid w:val="045B3AEF"/>
    <w:rsid w:val="045D2E23"/>
    <w:rsid w:val="047343F5"/>
    <w:rsid w:val="0475494B"/>
    <w:rsid w:val="04907800"/>
    <w:rsid w:val="04A42CC5"/>
    <w:rsid w:val="04A96068"/>
    <w:rsid w:val="04F862D0"/>
    <w:rsid w:val="05085485"/>
    <w:rsid w:val="050C5875"/>
    <w:rsid w:val="05133BF3"/>
    <w:rsid w:val="052B5E71"/>
    <w:rsid w:val="054002D4"/>
    <w:rsid w:val="058C1932"/>
    <w:rsid w:val="059C5BCD"/>
    <w:rsid w:val="05C141FC"/>
    <w:rsid w:val="05C25634"/>
    <w:rsid w:val="05ED01A4"/>
    <w:rsid w:val="05FD666C"/>
    <w:rsid w:val="060317A8"/>
    <w:rsid w:val="062E0F1B"/>
    <w:rsid w:val="063876A4"/>
    <w:rsid w:val="06492FA6"/>
    <w:rsid w:val="06763EC5"/>
    <w:rsid w:val="06A42F8B"/>
    <w:rsid w:val="06AC5F67"/>
    <w:rsid w:val="06EE06AA"/>
    <w:rsid w:val="06F86E33"/>
    <w:rsid w:val="07034D03"/>
    <w:rsid w:val="07421DBC"/>
    <w:rsid w:val="075532E9"/>
    <w:rsid w:val="077C1812"/>
    <w:rsid w:val="077C4159"/>
    <w:rsid w:val="078359ED"/>
    <w:rsid w:val="07A324BE"/>
    <w:rsid w:val="07AF6AAF"/>
    <w:rsid w:val="07EA5563"/>
    <w:rsid w:val="07ED23E6"/>
    <w:rsid w:val="080946DA"/>
    <w:rsid w:val="08193505"/>
    <w:rsid w:val="082223BA"/>
    <w:rsid w:val="08256BE2"/>
    <w:rsid w:val="084E1C2E"/>
    <w:rsid w:val="087F1701"/>
    <w:rsid w:val="08AA4AAA"/>
    <w:rsid w:val="08B37318"/>
    <w:rsid w:val="08C97472"/>
    <w:rsid w:val="08DA734C"/>
    <w:rsid w:val="08FB70B7"/>
    <w:rsid w:val="09045F63"/>
    <w:rsid w:val="090E65E8"/>
    <w:rsid w:val="0918485D"/>
    <w:rsid w:val="092C4EB6"/>
    <w:rsid w:val="09335A44"/>
    <w:rsid w:val="094D5EAB"/>
    <w:rsid w:val="09542264"/>
    <w:rsid w:val="096E21D1"/>
    <w:rsid w:val="098B18F9"/>
    <w:rsid w:val="099278CE"/>
    <w:rsid w:val="09C7604B"/>
    <w:rsid w:val="09F41B3F"/>
    <w:rsid w:val="09F525C5"/>
    <w:rsid w:val="09FE0C04"/>
    <w:rsid w:val="0A252635"/>
    <w:rsid w:val="0A382368"/>
    <w:rsid w:val="0A3D35C6"/>
    <w:rsid w:val="0A49038D"/>
    <w:rsid w:val="0A4923BF"/>
    <w:rsid w:val="0A4933CA"/>
    <w:rsid w:val="0A784D07"/>
    <w:rsid w:val="0A7942C5"/>
    <w:rsid w:val="0A9E16C2"/>
    <w:rsid w:val="0AA852FA"/>
    <w:rsid w:val="0AA9080E"/>
    <w:rsid w:val="0AB8072D"/>
    <w:rsid w:val="0AC91DAD"/>
    <w:rsid w:val="0ACB31DC"/>
    <w:rsid w:val="0AF60EB6"/>
    <w:rsid w:val="0AFF4C34"/>
    <w:rsid w:val="0B160B96"/>
    <w:rsid w:val="0B5E5DFE"/>
    <w:rsid w:val="0B603C52"/>
    <w:rsid w:val="0B681DF5"/>
    <w:rsid w:val="0B745622"/>
    <w:rsid w:val="0B7C23F0"/>
    <w:rsid w:val="0BA96E0B"/>
    <w:rsid w:val="0BDB744F"/>
    <w:rsid w:val="0C04361E"/>
    <w:rsid w:val="0C126BE9"/>
    <w:rsid w:val="0C161BBA"/>
    <w:rsid w:val="0C2F3769"/>
    <w:rsid w:val="0C427D7C"/>
    <w:rsid w:val="0C684A5B"/>
    <w:rsid w:val="0C863D4E"/>
    <w:rsid w:val="0C9149F4"/>
    <w:rsid w:val="0CA55764"/>
    <w:rsid w:val="0CDF5895"/>
    <w:rsid w:val="0D1573D2"/>
    <w:rsid w:val="0D4D08A2"/>
    <w:rsid w:val="0D5968A9"/>
    <w:rsid w:val="0D7F4801"/>
    <w:rsid w:val="0D8E229F"/>
    <w:rsid w:val="0D8E2983"/>
    <w:rsid w:val="0D9851AA"/>
    <w:rsid w:val="0DB51BF5"/>
    <w:rsid w:val="0E0919E0"/>
    <w:rsid w:val="0E322D8F"/>
    <w:rsid w:val="0E4F783E"/>
    <w:rsid w:val="0E907369"/>
    <w:rsid w:val="0EB21FBD"/>
    <w:rsid w:val="0ECC25F9"/>
    <w:rsid w:val="0F04659C"/>
    <w:rsid w:val="0F1F541B"/>
    <w:rsid w:val="0F3054A7"/>
    <w:rsid w:val="0F4339BE"/>
    <w:rsid w:val="0F5F460A"/>
    <w:rsid w:val="0F7F0A52"/>
    <w:rsid w:val="0F8A49AB"/>
    <w:rsid w:val="0FB3423F"/>
    <w:rsid w:val="0FBF0E36"/>
    <w:rsid w:val="0FE4716A"/>
    <w:rsid w:val="0FEA384E"/>
    <w:rsid w:val="0FF2359E"/>
    <w:rsid w:val="100438AF"/>
    <w:rsid w:val="100A5431"/>
    <w:rsid w:val="10106ED8"/>
    <w:rsid w:val="1045360D"/>
    <w:rsid w:val="10581150"/>
    <w:rsid w:val="105D4409"/>
    <w:rsid w:val="106D1709"/>
    <w:rsid w:val="10884FAF"/>
    <w:rsid w:val="10AC7AE3"/>
    <w:rsid w:val="10C20BDE"/>
    <w:rsid w:val="10C2298C"/>
    <w:rsid w:val="10CC55B8"/>
    <w:rsid w:val="10F73046"/>
    <w:rsid w:val="111662FD"/>
    <w:rsid w:val="111F3CDF"/>
    <w:rsid w:val="1142587A"/>
    <w:rsid w:val="114B315E"/>
    <w:rsid w:val="118557BF"/>
    <w:rsid w:val="11990339"/>
    <w:rsid w:val="119D5C66"/>
    <w:rsid w:val="11A10115"/>
    <w:rsid w:val="11A13517"/>
    <w:rsid w:val="11CD604A"/>
    <w:rsid w:val="120314AE"/>
    <w:rsid w:val="120A6000"/>
    <w:rsid w:val="1263789C"/>
    <w:rsid w:val="126B2BAF"/>
    <w:rsid w:val="128D70C3"/>
    <w:rsid w:val="1293209E"/>
    <w:rsid w:val="12A7643B"/>
    <w:rsid w:val="12BC5B47"/>
    <w:rsid w:val="12BE23FB"/>
    <w:rsid w:val="12C03564"/>
    <w:rsid w:val="12C30C3D"/>
    <w:rsid w:val="12DA7293"/>
    <w:rsid w:val="12F6094F"/>
    <w:rsid w:val="13216ED1"/>
    <w:rsid w:val="132D42B1"/>
    <w:rsid w:val="13394A5B"/>
    <w:rsid w:val="13431C0E"/>
    <w:rsid w:val="13596EAB"/>
    <w:rsid w:val="135D2E40"/>
    <w:rsid w:val="13741F37"/>
    <w:rsid w:val="13765103"/>
    <w:rsid w:val="139E0EA1"/>
    <w:rsid w:val="13A16CBF"/>
    <w:rsid w:val="13C6332A"/>
    <w:rsid w:val="13D215D8"/>
    <w:rsid w:val="13D523D8"/>
    <w:rsid w:val="13FA0089"/>
    <w:rsid w:val="141B5AF7"/>
    <w:rsid w:val="14400D24"/>
    <w:rsid w:val="144E4536"/>
    <w:rsid w:val="146E5D7A"/>
    <w:rsid w:val="147B17F8"/>
    <w:rsid w:val="147F207F"/>
    <w:rsid w:val="14A10361"/>
    <w:rsid w:val="14AA29E8"/>
    <w:rsid w:val="14B95E54"/>
    <w:rsid w:val="14CE5904"/>
    <w:rsid w:val="14D02D41"/>
    <w:rsid w:val="14E54E9B"/>
    <w:rsid w:val="15491A66"/>
    <w:rsid w:val="1562473D"/>
    <w:rsid w:val="1592693B"/>
    <w:rsid w:val="15B4772A"/>
    <w:rsid w:val="15B71F81"/>
    <w:rsid w:val="15D67BF1"/>
    <w:rsid w:val="15F03EF5"/>
    <w:rsid w:val="15F12F93"/>
    <w:rsid w:val="16021A7C"/>
    <w:rsid w:val="16026D99"/>
    <w:rsid w:val="160D0852"/>
    <w:rsid w:val="16263192"/>
    <w:rsid w:val="164B0464"/>
    <w:rsid w:val="164C4F29"/>
    <w:rsid w:val="169B00C9"/>
    <w:rsid w:val="16CB2E15"/>
    <w:rsid w:val="16E92565"/>
    <w:rsid w:val="16F6347E"/>
    <w:rsid w:val="170B670F"/>
    <w:rsid w:val="17270F96"/>
    <w:rsid w:val="173459A0"/>
    <w:rsid w:val="173C2D6C"/>
    <w:rsid w:val="174540BD"/>
    <w:rsid w:val="174E122C"/>
    <w:rsid w:val="17B6195E"/>
    <w:rsid w:val="17BD3677"/>
    <w:rsid w:val="17DA45B1"/>
    <w:rsid w:val="180E78A8"/>
    <w:rsid w:val="18344F5E"/>
    <w:rsid w:val="18454F86"/>
    <w:rsid w:val="184A7E09"/>
    <w:rsid w:val="184F3A10"/>
    <w:rsid w:val="18733F82"/>
    <w:rsid w:val="187C02C9"/>
    <w:rsid w:val="188F4D22"/>
    <w:rsid w:val="18934C0E"/>
    <w:rsid w:val="18985E50"/>
    <w:rsid w:val="18A6717D"/>
    <w:rsid w:val="18C86EE8"/>
    <w:rsid w:val="18DA45EA"/>
    <w:rsid w:val="18DD567D"/>
    <w:rsid w:val="18E04FBB"/>
    <w:rsid w:val="18F36B04"/>
    <w:rsid w:val="18F94347"/>
    <w:rsid w:val="19081158"/>
    <w:rsid w:val="192C2EEE"/>
    <w:rsid w:val="192E3BDE"/>
    <w:rsid w:val="19333C3D"/>
    <w:rsid w:val="19402691"/>
    <w:rsid w:val="194859F8"/>
    <w:rsid w:val="19497E23"/>
    <w:rsid w:val="196B16E7"/>
    <w:rsid w:val="198C1D89"/>
    <w:rsid w:val="19AD7F51"/>
    <w:rsid w:val="1A0F29BA"/>
    <w:rsid w:val="1A177ED0"/>
    <w:rsid w:val="1A1B310D"/>
    <w:rsid w:val="1A4C1518"/>
    <w:rsid w:val="1A5D199F"/>
    <w:rsid w:val="1A6379A6"/>
    <w:rsid w:val="1A9130D2"/>
    <w:rsid w:val="1A9A4562"/>
    <w:rsid w:val="1AD0039B"/>
    <w:rsid w:val="1AF74538"/>
    <w:rsid w:val="1B446B9D"/>
    <w:rsid w:val="1B4B7A22"/>
    <w:rsid w:val="1B553139"/>
    <w:rsid w:val="1B5763C6"/>
    <w:rsid w:val="1B5E3B65"/>
    <w:rsid w:val="1B901217"/>
    <w:rsid w:val="1BB70009"/>
    <w:rsid w:val="1BD44333"/>
    <w:rsid w:val="1BE5300C"/>
    <w:rsid w:val="1BEE3673"/>
    <w:rsid w:val="1BF92425"/>
    <w:rsid w:val="1C104F9B"/>
    <w:rsid w:val="1C3A27DC"/>
    <w:rsid w:val="1C4A432B"/>
    <w:rsid w:val="1C50081A"/>
    <w:rsid w:val="1C940F54"/>
    <w:rsid w:val="1C9A13D0"/>
    <w:rsid w:val="1CAC629E"/>
    <w:rsid w:val="1CB23020"/>
    <w:rsid w:val="1CC602A3"/>
    <w:rsid w:val="1CCE7662"/>
    <w:rsid w:val="1D2A0A29"/>
    <w:rsid w:val="1D310127"/>
    <w:rsid w:val="1D396692"/>
    <w:rsid w:val="1D5A456F"/>
    <w:rsid w:val="1D6C2F59"/>
    <w:rsid w:val="1D9B59B9"/>
    <w:rsid w:val="1D9E208B"/>
    <w:rsid w:val="1DA71EAE"/>
    <w:rsid w:val="1DB0305F"/>
    <w:rsid w:val="1DB85074"/>
    <w:rsid w:val="1DE32193"/>
    <w:rsid w:val="1E1150A7"/>
    <w:rsid w:val="1E1E4F79"/>
    <w:rsid w:val="1E222C03"/>
    <w:rsid w:val="1E266884"/>
    <w:rsid w:val="1E2961C9"/>
    <w:rsid w:val="1E904C15"/>
    <w:rsid w:val="1EA3606E"/>
    <w:rsid w:val="1EA42CCF"/>
    <w:rsid w:val="1EC02DEE"/>
    <w:rsid w:val="1EE605B5"/>
    <w:rsid w:val="1F132604"/>
    <w:rsid w:val="1F2759B8"/>
    <w:rsid w:val="1F2B5BA0"/>
    <w:rsid w:val="1F3D33EE"/>
    <w:rsid w:val="1F7A07CC"/>
    <w:rsid w:val="1F9E45C4"/>
    <w:rsid w:val="1FE21EC2"/>
    <w:rsid w:val="1FE22078"/>
    <w:rsid w:val="20045519"/>
    <w:rsid w:val="20100CAA"/>
    <w:rsid w:val="205E5E89"/>
    <w:rsid w:val="206B7FA9"/>
    <w:rsid w:val="20C55B80"/>
    <w:rsid w:val="20CC7DC8"/>
    <w:rsid w:val="20D15490"/>
    <w:rsid w:val="20EE2D3F"/>
    <w:rsid w:val="20F87891"/>
    <w:rsid w:val="21191067"/>
    <w:rsid w:val="213B2BFF"/>
    <w:rsid w:val="214F6BCA"/>
    <w:rsid w:val="21502035"/>
    <w:rsid w:val="216655B5"/>
    <w:rsid w:val="21787BE5"/>
    <w:rsid w:val="219F4623"/>
    <w:rsid w:val="21B07111"/>
    <w:rsid w:val="21EF55AB"/>
    <w:rsid w:val="221B26FB"/>
    <w:rsid w:val="2223541C"/>
    <w:rsid w:val="22486A69"/>
    <w:rsid w:val="22842F43"/>
    <w:rsid w:val="22B35CB2"/>
    <w:rsid w:val="22B7281C"/>
    <w:rsid w:val="22B954D1"/>
    <w:rsid w:val="22BA624D"/>
    <w:rsid w:val="230474F0"/>
    <w:rsid w:val="230E7B54"/>
    <w:rsid w:val="23127C96"/>
    <w:rsid w:val="2338636B"/>
    <w:rsid w:val="23D04F68"/>
    <w:rsid w:val="23D661CC"/>
    <w:rsid w:val="23DA5DE6"/>
    <w:rsid w:val="23E02EF9"/>
    <w:rsid w:val="23E10F23"/>
    <w:rsid w:val="23EC2D68"/>
    <w:rsid w:val="24022CF3"/>
    <w:rsid w:val="24257A47"/>
    <w:rsid w:val="24283AD9"/>
    <w:rsid w:val="243A357F"/>
    <w:rsid w:val="2442300E"/>
    <w:rsid w:val="24611A8E"/>
    <w:rsid w:val="248B3114"/>
    <w:rsid w:val="248E2B0A"/>
    <w:rsid w:val="24981A9D"/>
    <w:rsid w:val="24A3110E"/>
    <w:rsid w:val="24C71835"/>
    <w:rsid w:val="24F22C92"/>
    <w:rsid w:val="24FA3544"/>
    <w:rsid w:val="25164BFC"/>
    <w:rsid w:val="255C32ED"/>
    <w:rsid w:val="25617784"/>
    <w:rsid w:val="256C0CC0"/>
    <w:rsid w:val="258022BC"/>
    <w:rsid w:val="2585764B"/>
    <w:rsid w:val="258778A8"/>
    <w:rsid w:val="25910727"/>
    <w:rsid w:val="25B60204"/>
    <w:rsid w:val="25D1132C"/>
    <w:rsid w:val="25ED34E0"/>
    <w:rsid w:val="25F0369F"/>
    <w:rsid w:val="26054C2C"/>
    <w:rsid w:val="26135D17"/>
    <w:rsid w:val="2628108B"/>
    <w:rsid w:val="26366495"/>
    <w:rsid w:val="264435AC"/>
    <w:rsid w:val="26513AF2"/>
    <w:rsid w:val="26803E51"/>
    <w:rsid w:val="26B61130"/>
    <w:rsid w:val="26C62652"/>
    <w:rsid w:val="26E4519A"/>
    <w:rsid w:val="26EF0D07"/>
    <w:rsid w:val="26F31699"/>
    <w:rsid w:val="270218DC"/>
    <w:rsid w:val="270F33EF"/>
    <w:rsid w:val="27292135"/>
    <w:rsid w:val="27303B89"/>
    <w:rsid w:val="27426A3D"/>
    <w:rsid w:val="27462F7F"/>
    <w:rsid w:val="274C2C9A"/>
    <w:rsid w:val="274C6D05"/>
    <w:rsid w:val="274C6FFB"/>
    <w:rsid w:val="27671F0B"/>
    <w:rsid w:val="27697ACB"/>
    <w:rsid w:val="277B3374"/>
    <w:rsid w:val="277F6AA8"/>
    <w:rsid w:val="27983FEE"/>
    <w:rsid w:val="27AA5AD0"/>
    <w:rsid w:val="27ED62B7"/>
    <w:rsid w:val="27F54F9D"/>
    <w:rsid w:val="27FD1D77"/>
    <w:rsid w:val="280A36E4"/>
    <w:rsid w:val="281275BB"/>
    <w:rsid w:val="283C7103"/>
    <w:rsid w:val="284249A6"/>
    <w:rsid w:val="28773C04"/>
    <w:rsid w:val="289C1E9E"/>
    <w:rsid w:val="28A454C6"/>
    <w:rsid w:val="28E976B6"/>
    <w:rsid w:val="28F27AD3"/>
    <w:rsid w:val="28F93369"/>
    <w:rsid w:val="2902208A"/>
    <w:rsid w:val="291E0523"/>
    <w:rsid w:val="292A72E9"/>
    <w:rsid w:val="29373393"/>
    <w:rsid w:val="293865F9"/>
    <w:rsid w:val="29392CCF"/>
    <w:rsid w:val="294C0D98"/>
    <w:rsid w:val="297744D3"/>
    <w:rsid w:val="298C38F4"/>
    <w:rsid w:val="29DA19F6"/>
    <w:rsid w:val="29F41202"/>
    <w:rsid w:val="2A2102CB"/>
    <w:rsid w:val="2A5D507B"/>
    <w:rsid w:val="2A924FCC"/>
    <w:rsid w:val="2B111FCA"/>
    <w:rsid w:val="2B116592"/>
    <w:rsid w:val="2B1F304F"/>
    <w:rsid w:val="2B250A45"/>
    <w:rsid w:val="2B4659F3"/>
    <w:rsid w:val="2B6A66DD"/>
    <w:rsid w:val="2B7B7EAF"/>
    <w:rsid w:val="2B886128"/>
    <w:rsid w:val="2B8B5D4D"/>
    <w:rsid w:val="2B964CE9"/>
    <w:rsid w:val="2BBA1421"/>
    <w:rsid w:val="2BBD471E"/>
    <w:rsid w:val="2BC5737C"/>
    <w:rsid w:val="2BD52B52"/>
    <w:rsid w:val="2BF527E8"/>
    <w:rsid w:val="2C4604BD"/>
    <w:rsid w:val="2C9C1C42"/>
    <w:rsid w:val="2CB5578E"/>
    <w:rsid w:val="2CB85E79"/>
    <w:rsid w:val="2CC908F4"/>
    <w:rsid w:val="2CE455E0"/>
    <w:rsid w:val="2CEE4EDE"/>
    <w:rsid w:val="2D450775"/>
    <w:rsid w:val="2D562444"/>
    <w:rsid w:val="2D5C786C"/>
    <w:rsid w:val="2DC86626"/>
    <w:rsid w:val="2DE45FBF"/>
    <w:rsid w:val="2DE92FC9"/>
    <w:rsid w:val="2DF301D1"/>
    <w:rsid w:val="2DFD467B"/>
    <w:rsid w:val="2DFF226E"/>
    <w:rsid w:val="2E112C5C"/>
    <w:rsid w:val="2E2B6863"/>
    <w:rsid w:val="2E4A5D00"/>
    <w:rsid w:val="2E614C94"/>
    <w:rsid w:val="2E650A49"/>
    <w:rsid w:val="2E792813"/>
    <w:rsid w:val="2E836835"/>
    <w:rsid w:val="2E8710F6"/>
    <w:rsid w:val="2E8F766D"/>
    <w:rsid w:val="2EB16135"/>
    <w:rsid w:val="2EE13A3F"/>
    <w:rsid w:val="2EE26446"/>
    <w:rsid w:val="2EE50EA1"/>
    <w:rsid w:val="2EEB70FA"/>
    <w:rsid w:val="2EF953A4"/>
    <w:rsid w:val="2F241FF4"/>
    <w:rsid w:val="2F6534D3"/>
    <w:rsid w:val="2F6A2714"/>
    <w:rsid w:val="2F846413"/>
    <w:rsid w:val="2FAC07E2"/>
    <w:rsid w:val="2FDD6BE8"/>
    <w:rsid w:val="2FF62D3D"/>
    <w:rsid w:val="300B084F"/>
    <w:rsid w:val="302A1EA4"/>
    <w:rsid w:val="3040550F"/>
    <w:rsid w:val="306D1203"/>
    <w:rsid w:val="307F7AFA"/>
    <w:rsid w:val="30843362"/>
    <w:rsid w:val="30872E52"/>
    <w:rsid w:val="30877221"/>
    <w:rsid w:val="30960B75"/>
    <w:rsid w:val="30CC4192"/>
    <w:rsid w:val="30D320BD"/>
    <w:rsid w:val="30FC788E"/>
    <w:rsid w:val="31066164"/>
    <w:rsid w:val="312B41D4"/>
    <w:rsid w:val="31727D3D"/>
    <w:rsid w:val="3197548F"/>
    <w:rsid w:val="319E7C49"/>
    <w:rsid w:val="31AD4B3A"/>
    <w:rsid w:val="31B25CAD"/>
    <w:rsid w:val="31B859B9"/>
    <w:rsid w:val="31D60AC4"/>
    <w:rsid w:val="31F53E58"/>
    <w:rsid w:val="31FE41E1"/>
    <w:rsid w:val="32053B90"/>
    <w:rsid w:val="322E1B03"/>
    <w:rsid w:val="32801871"/>
    <w:rsid w:val="32AA645E"/>
    <w:rsid w:val="32D0096E"/>
    <w:rsid w:val="32D51B5A"/>
    <w:rsid w:val="32DC7815"/>
    <w:rsid w:val="32E3352E"/>
    <w:rsid w:val="32E45BD9"/>
    <w:rsid w:val="32FE2CD7"/>
    <w:rsid w:val="33024FB0"/>
    <w:rsid w:val="33060252"/>
    <w:rsid w:val="33133474"/>
    <w:rsid w:val="331F7328"/>
    <w:rsid w:val="33253531"/>
    <w:rsid w:val="33356DA1"/>
    <w:rsid w:val="335D3F70"/>
    <w:rsid w:val="336246D8"/>
    <w:rsid w:val="336431FE"/>
    <w:rsid w:val="33990B51"/>
    <w:rsid w:val="33A15F51"/>
    <w:rsid w:val="33BD29BE"/>
    <w:rsid w:val="340261ED"/>
    <w:rsid w:val="340F3A44"/>
    <w:rsid w:val="342A7568"/>
    <w:rsid w:val="34692F9B"/>
    <w:rsid w:val="34713F61"/>
    <w:rsid w:val="347A2085"/>
    <w:rsid w:val="34907662"/>
    <w:rsid w:val="34B644B3"/>
    <w:rsid w:val="34C226AB"/>
    <w:rsid w:val="34C50E72"/>
    <w:rsid w:val="34E03C50"/>
    <w:rsid w:val="34FB5BBD"/>
    <w:rsid w:val="3555732C"/>
    <w:rsid w:val="355A7397"/>
    <w:rsid w:val="356579BA"/>
    <w:rsid w:val="35787085"/>
    <w:rsid w:val="357E3F30"/>
    <w:rsid w:val="358B6F41"/>
    <w:rsid w:val="358F17EB"/>
    <w:rsid w:val="35A973C7"/>
    <w:rsid w:val="35B51CDA"/>
    <w:rsid w:val="35DE62F9"/>
    <w:rsid w:val="35F1061B"/>
    <w:rsid w:val="361138EA"/>
    <w:rsid w:val="361C1AEF"/>
    <w:rsid w:val="36513CE6"/>
    <w:rsid w:val="36751064"/>
    <w:rsid w:val="369B44F9"/>
    <w:rsid w:val="36B10C29"/>
    <w:rsid w:val="36B21986"/>
    <w:rsid w:val="36EE3C2B"/>
    <w:rsid w:val="370B01C4"/>
    <w:rsid w:val="371E5FF9"/>
    <w:rsid w:val="37206A37"/>
    <w:rsid w:val="3733163E"/>
    <w:rsid w:val="3737448B"/>
    <w:rsid w:val="37682AB2"/>
    <w:rsid w:val="376A14D2"/>
    <w:rsid w:val="378A295B"/>
    <w:rsid w:val="37A367C3"/>
    <w:rsid w:val="37B671A6"/>
    <w:rsid w:val="37CE779B"/>
    <w:rsid w:val="38090DB7"/>
    <w:rsid w:val="381F1BC2"/>
    <w:rsid w:val="384B14E7"/>
    <w:rsid w:val="387E2D8D"/>
    <w:rsid w:val="3881089C"/>
    <w:rsid w:val="389A576E"/>
    <w:rsid w:val="38AA5930"/>
    <w:rsid w:val="38C63620"/>
    <w:rsid w:val="38D46E50"/>
    <w:rsid w:val="38D741CC"/>
    <w:rsid w:val="38D97FC3"/>
    <w:rsid w:val="38F83344"/>
    <w:rsid w:val="391060DB"/>
    <w:rsid w:val="394418E0"/>
    <w:rsid w:val="39551D3F"/>
    <w:rsid w:val="39581830"/>
    <w:rsid w:val="39611F7F"/>
    <w:rsid w:val="399B118C"/>
    <w:rsid w:val="39A65FDC"/>
    <w:rsid w:val="39C80763"/>
    <w:rsid w:val="39CF1EDD"/>
    <w:rsid w:val="39DB605B"/>
    <w:rsid w:val="39DC5FBD"/>
    <w:rsid w:val="39F46A96"/>
    <w:rsid w:val="3A5215A3"/>
    <w:rsid w:val="3A570783"/>
    <w:rsid w:val="3A606BEE"/>
    <w:rsid w:val="3A702CC0"/>
    <w:rsid w:val="3A8A77C7"/>
    <w:rsid w:val="3A981F25"/>
    <w:rsid w:val="3A9C74FA"/>
    <w:rsid w:val="3AA92102"/>
    <w:rsid w:val="3AAA3AAE"/>
    <w:rsid w:val="3ABD4CA7"/>
    <w:rsid w:val="3ABE3914"/>
    <w:rsid w:val="3AC86541"/>
    <w:rsid w:val="3ACA73B0"/>
    <w:rsid w:val="3ACD1DA9"/>
    <w:rsid w:val="3AED5760"/>
    <w:rsid w:val="3AF83EE3"/>
    <w:rsid w:val="3B2E2E78"/>
    <w:rsid w:val="3B3F7A2F"/>
    <w:rsid w:val="3B5677D8"/>
    <w:rsid w:val="3B81185E"/>
    <w:rsid w:val="3B8C3E53"/>
    <w:rsid w:val="3B8D0FF5"/>
    <w:rsid w:val="3B9052B1"/>
    <w:rsid w:val="3BBF6C65"/>
    <w:rsid w:val="3BC7166B"/>
    <w:rsid w:val="3BE64F79"/>
    <w:rsid w:val="3BEE4623"/>
    <w:rsid w:val="3C0D57D9"/>
    <w:rsid w:val="3C1A2DCC"/>
    <w:rsid w:val="3C463BC1"/>
    <w:rsid w:val="3C4B4157"/>
    <w:rsid w:val="3C6D114E"/>
    <w:rsid w:val="3C7A386B"/>
    <w:rsid w:val="3C8A1D00"/>
    <w:rsid w:val="3C966AE1"/>
    <w:rsid w:val="3CA11D54"/>
    <w:rsid w:val="3CF7310E"/>
    <w:rsid w:val="3D073351"/>
    <w:rsid w:val="3D137EF7"/>
    <w:rsid w:val="3D6C58AA"/>
    <w:rsid w:val="3DA037A5"/>
    <w:rsid w:val="3DA211F0"/>
    <w:rsid w:val="3DBA2D6A"/>
    <w:rsid w:val="3DBC2AA5"/>
    <w:rsid w:val="3DD35929"/>
    <w:rsid w:val="3DDA2813"/>
    <w:rsid w:val="3DEB5B4D"/>
    <w:rsid w:val="3E2A007D"/>
    <w:rsid w:val="3E64795C"/>
    <w:rsid w:val="3E834185"/>
    <w:rsid w:val="3E9A2885"/>
    <w:rsid w:val="3EAD43CC"/>
    <w:rsid w:val="3EBA6941"/>
    <w:rsid w:val="3ECB5E95"/>
    <w:rsid w:val="3EDF0827"/>
    <w:rsid w:val="3F20694C"/>
    <w:rsid w:val="3F316DAB"/>
    <w:rsid w:val="3F5A2FF1"/>
    <w:rsid w:val="3F7F4170"/>
    <w:rsid w:val="3FBC48A0"/>
    <w:rsid w:val="3FCB1C7D"/>
    <w:rsid w:val="3FD01CAC"/>
    <w:rsid w:val="3FE412BF"/>
    <w:rsid w:val="3FF550FA"/>
    <w:rsid w:val="40171C89"/>
    <w:rsid w:val="40404F09"/>
    <w:rsid w:val="40504245"/>
    <w:rsid w:val="40707630"/>
    <w:rsid w:val="407518C3"/>
    <w:rsid w:val="407F23BC"/>
    <w:rsid w:val="40FE4BEC"/>
    <w:rsid w:val="411662C5"/>
    <w:rsid w:val="41210759"/>
    <w:rsid w:val="412255E9"/>
    <w:rsid w:val="41250249"/>
    <w:rsid w:val="415E375B"/>
    <w:rsid w:val="41614FF9"/>
    <w:rsid w:val="41980F3A"/>
    <w:rsid w:val="41B3551B"/>
    <w:rsid w:val="41B63AD4"/>
    <w:rsid w:val="41BC374E"/>
    <w:rsid w:val="41CD1761"/>
    <w:rsid w:val="42021144"/>
    <w:rsid w:val="42116633"/>
    <w:rsid w:val="422A4836"/>
    <w:rsid w:val="422F25A0"/>
    <w:rsid w:val="423C025F"/>
    <w:rsid w:val="424F183F"/>
    <w:rsid w:val="425C413F"/>
    <w:rsid w:val="42683C6F"/>
    <w:rsid w:val="426F77BC"/>
    <w:rsid w:val="42A007E4"/>
    <w:rsid w:val="42BD701F"/>
    <w:rsid w:val="42CB2122"/>
    <w:rsid w:val="42D125AE"/>
    <w:rsid w:val="42D40179"/>
    <w:rsid w:val="42E327E1"/>
    <w:rsid w:val="42EC161B"/>
    <w:rsid w:val="42F00275"/>
    <w:rsid w:val="43067795"/>
    <w:rsid w:val="430B1DAB"/>
    <w:rsid w:val="43234C5C"/>
    <w:rsid w:val="432B3B11"/>
    <w:rsid w:val="4336028D"/>
    <w:rsid w:val="43386F69"/>
    <w:rsid w:val="434E7724"/>
    <w:rsid w:val="4387343D"/>
    <w:rsid w:val="438E6714"/>
    <w:rsid w:val="43E53CC0"/>
    <w:rsid w:val="44185E43"/>
    <w:rsid w:val="443E19BE"/>
    <w:rsid w:val="44462EB5"/>
    <w:rsid w:val="444D24EA"/>
    <w:rsid w:val="4457207C"/>
    <w:rsid w:val="448514E3"/>
    <w:rsid w:val="44A95715"/>
    <w:rsid w:val="44C04A64"/>
    <w:rsid w:val="44DF431F"/>
    <w:rsid w:val="44EB7B9D"/>
    <w:rsid w:val="450C650E"/>
    <w:rsid w:val="451104F6"/>
    <w:rsid w:val="452A192A"/>
    <w:rsid w:val="452F69F8"/>
    <w:rsid w:val="45347F1C"/>
    <w:rsid w:val="45737D24"/>
    <w:rsid w:val="45813083"/>
    <w:rsid w:val="458666FA"/>
    <w:rsid w:val="45915E08"/>
    <w:rsid w:val="459E4A6E"/>
    <w:rsid w:val="45AE0941"/>
    <w:rsid w:val="45C673D4"/>
    <w:rsid w:val="45CC442A"/>
    <w:rsid w:val="45D4223E"/>
    <w:rsid w:val="45DB1913"/>
    <w:rsid w:val="46247F71"/>
    <w:rsid w:val="46317690"/>
    <w:rsid w:val="4634177D"/>
    <w:rsid w:val="46351A8C"/>
    <w:rsid w:val="463D6035"/>
    <w:rsid w:val="468E2EE2"/>
    <w:rsid w:val="46C422B2"/>
    <w:rsid w:val="46C52786"/>
    <w:rsid w:val="46F63DCA"/>
    <w:rsid w:val="471031B6"/>
    <w:rsid w:val="4728143F"/>
    <w:rsid w:val="472D42FC"/>
    <w:rsid w:val="474B4782"/>
    <w:rsid w:val="475E0317"/>
    <w:rsid w:val="476F66C2"/>
    <w:rsid w:val="478F466E"/>
    <w:rsid w:val="47A120FB"/>
    <w:rsid w:val="47B64CAA"/>
    <w:rsid w:val="47BA3075"/>
    <w:rsid w:val="47C50090"/>
    <w:rsid w:val="47EB0F4F"/>
    <w:rsid w:val="480D3BD9"/>
    <w:rsid w:val="48102154"/>
    <w:rsid w:val="48391852"/>
    <w:rsid w:val="484521EF"/>
    <w:rsid w:val="48452B2F"/>
    <w:rsid w:val="485850EC"/>
    <w:rsid w:val="48597AA1"/>
    <w:rsid w:val="485C6DF9"/>
    <w:rsid w:val="48807943"/>
    <w:rsid w:val="48896514"/>
    <w:rsid w:val="489B58C6"/>
    <w:rsid w:val="48BC146E"/>
    <w:rsid w:val="48C95701"/>
    <w:rsid w:val="48D6385E"/>
    <w:rsid w:val="48F826E7"/>
    <w:rsid w:val="49246467"/>
    <w:rsid w:val="4928696B"/>
    <w:rsid w:val="492D42A3"/>
    <w:rsid w:val="49310712"/>
    <w:rsid w:val="49463453"/>
    <w:rsid w:val="496F15EB"/>
    <w:rsid w:val="497677D5"/>
    <w:rsid w:val="4991121D"/>
    <w:rsid w:val="4991654E"/>
    <w:rsid w:val="49995C78"/>
    <w:rsid w:val="49AB1508"/>
    <w:rsid w:val="49D325C2"/>
    <w:rsid w:val="49FD4C54"/>
    <w:rsid w:val="4A0B78D0"/>
    <w:rsid w:val="4A2760F9"/>
    <w:rsid w:val="4A285370"/>
    <w:rsid w:val="4A2A0ABF"/>
    <w:rsid w:val="4A437992"/>
    <w:rsid w:val="4A783AE0"/>
    <w:rsid w:val="4A7B607D"/>
    <w:rsid w:val="4A994F05"/>
    <w:rsid w:val="4AC244C3"/>
    <w:rsid w:val="4ACC5BD9"/>
    <w:rsid w:val="4AE42F23"/>
    <w:rsid w:val="4AE66C9B"/>
    <w:rsid w:val="4AE729B3"/>
    <w:rsid w:val="4AE85674"/>
    <w:rsid w:val="4AE91B25"/>
    <w:rsid w:val="4B507049"/>
    <w:rsid w:val="4B531E57"/>
    <w:rsid w:val="4B545CB8"/>
    <w:rsid w:val="4B5E0F27"/>
    <w:rsid w:val="4B6139DB"/>
    <w:rsid w:val="4B66673A"/>
    <w:rsid w:val="4B747D07"/>
    <w:rsid w:val="4B77285C"/>
    <w:rsid w:val="4B7A5635"/>
    <w:rsid w:val="4B7C4DC7"/>
    <w:rsid w:val="4B803312"/>
    <w:rsid w:val="4B8A48B6"/>
    <w:rsid w:val="4B9009B5"/>
    <w:rsid w:val="4BBF201F"/>
    <w:rsid w:val="4BE24AAB"/>
    <w:rsid w:val="4BF834AA"/>
    <w:rsid w:val="4C0969C8"/>
    <w:rsid w:val="4C4F4439"/>
    <w:rsid w:val="4C611387"/>
    <w:rsid w:val="4C624713"/>
    <w:rsid w:val="4C6F3C62"/>
    <w:rsid w:val="4C6F74BC"/>
    <w:rsid w:val="4C83051A"/>
    <w:rsid w:val="4C8B4D21"/>
    <w:rsid w:val="4C980243"/>
    <w:rsid w:val="4CB56150"/>
    <w:rsid w:val="4CCB7920"/>
    <w:rsid w:val="4CF231A3"/>
    <w:rsid w:val="4CFA0BF6"/>
    <w:rsid w:val="4D1B59DE"/>
    <w:rsid w:val="4D2F3665"/>
    <w:rsid w:val="4D355CB8"/>
    <w:rsid w:val="4D406E2F"/>
    <w:rsid w:val="4D6A1893"/>
    <w:rsid w:val="4D8125CD"/>
    <w:rsid w:val="4DAB1FDE"/>
    <w:rsid w:val="4DAE03C1"/>
    <w:rsid w:val="4DB6125B"/>
    <w:rsid w:val="4DF92CF4"/>
    <w:rsid w:val="4DFD48E8"/>
    <w:rsid w:val="4E05418F"/>
    <w:rsid w:val="4E0E2C69"/>
    <w:rsid w:val="4E241889"/>
    <w:rsid w:val="4E480FAE"/>
    <w:rsid w:val="4E7108D0"/>
    <w:rsid w:val="4E956EC4"/>
    <w:rsid w:val="4E9A2AB0"/>
    <w:rsid w:val="4E9B36C6"/>
    <w:rsid w:val="4E9E163B"/>
    <w:rsid w:val="4EA07161"/>
    <w:rsid w:val="4EB64BD7"/>
    <w:rsid w:val="4EB9284A"/>
    <w:rsid w:val="4ECC2545"/>
    <w:rsid w:val="4ED16532"/>
    <w:rsid w:val="4EDD5024"/>
    <w:rsid w:val="4EEA0249"/>
    <w:rsid w:val="4EEC1008"/>
    <w:rsid w:val="4F0170B6"/>
    <w:rsid w:val="4F04405D"/>
    <w:rsid w:val="4F05790C"/>
    <w:rsid w:val="4F12329A"/>
    <w:rsid w:val="4F5902F9"/>
    <w:rsid w:val="4F667A5E"/>
    <w:rsid w:val="4F6C0472"/>
    <w:rsid w:val="4F7062A7"/>
    <w:rsid w:val="4F7420D6"/>
    <w:rsid w:val="4F932AC0"/>
    <w:rsid w:val="4FA26F09"/>
    <w:rsid w:val="4FB122BD"/>
    <w:rsid w:val="4FB21842"/>
    <w:rsid w:val="4FBE01E7"/>
    <w:rsid w:val="4FCE3A09"/>
    <w:rsid w:val="4FE95891"/>
    <w:rsid w:val="4FF80D8C"/>
    <w:rsid w:val="4FFE4A87"/>
    <w:rsid w:val="500110B1"/>
    <w:rsid w:val="50025995"/>
    <w:rsid w:val="50267B3A"/>
    <w:rsid w:val="502E7C52"/>
    <w:rsid w:val="502F2E92"/>
    <w:rsid w:val="50514650"/>
    <w:rsid w:val="50772B05"/>
    <w:rsid w:val="50830AE8"/>
    <w:rsid w:val="50937D24"/>
    <w:rsid w:val="50B213CE"/>
    <w:rsid w:val="50C46D41"/>
    <w:rsid w:val="50D04016"/>
    <w:rsid w:val="50D52BFC"/>
    <w:rsid w:val="50E05F3B"/>
    <w:rsid w:val="50EA7200"/>
    <w:rsid w:val="50EB1F65"/>
    <w:rsid w:val="5119144D"/>
    <w:rsid w:val="512247A5"/>
    <w:rsid w:val="5126646B"/>
    <w:rsid w:val="51436D8B"/>
    <w:rsid w:val="516140B5"/>
    <w:rsid w:val="516B238B"/>
    <w:rsid w:val="52214363"/>
    <w:rsid w:val="523A1214"/>
    <w:rsid w:val="526F57C8"/>
    <w:rsid w:val="52722DB0"/>
    <w:rsid w:val="52797587"/>
    <w:rsid w:val="52936460"/>
    <w:rsid w:val="52943481"/>
    <w:rsid w:val="52A03BD4"/>
    <w:rsid w:val="52B91560"/>
    <w:rsid w:val="52CC7EF3"/>
    <w:rsid w:val="52D2196D"/>
    <w:rsid w:val="52DF683D"/>
    <w:rsid w:val="52F514E3"/>
    <w:rsid w:val="53400AFD"/>
    <w:rsid w:val="53422EDD"/>
    <w:rsid w:val="53504717"/>
    <w:rsid w:val="53A35EBC"/>
    <w:rsid w:val="53BA3C08"/>
    <w:rsid w:val="53E959AF"/>
    <w:rsid w:val="53F20E0A"/>
    <w:rsid w:val="54237016"/>
    <w:rsid w:val="542C0E12"/>
    <w:rsid w:val="542D593B"/>
    <w:rsid w:val="54477F36"/>
    <w:rsid w:val="545B0D53"/>
    <w:rsid w:val="54684BC5"/>
    <w:rsid w:val="5480588D"/>
    <w:rsid w:val="549D0001"/>
    <w:rsid w:val="54B576DE"/>
    <w:rsid w:val="54B91580"/>
    <w:rsid w:val="54C3004D"/>
    <w:rsid w:val="54CD4A28"/>
    <w:rsid w:val="54F324F8"/>
    <w:rsid w:val="54FE7253"/>
    <w:rsid w:val="550E3A33"/>
    <w:rsid w:val="55142657"/>
    <w:rsid w:val="551A4729"/>
    <w:rsid w:val="553920BD"/>
    <w:rsid w:val="55397B56"/>
    <w:rsid w:val="55454A06"/>
    <w:rsid w:val="55565DDB"/>
    <w:rsid w:val="55603AEE"/>
    <w:rsid w:val="55915A56"/>
    <w:rsid w:val="55C7438A"/>
    <w:rsid w:val="55E22D8D"/>
    <w:rsid w:val="55EE705B"/>
    <w:rsid w:val="55FD62D7"/>
    <w:rsid w:val="56251A15"/>
    <w:rsid w:val="56401615"/>
    <w:rsid w:val="56486A5C"/>
    <w:rsid w:val="56503B63"/>
    <w:rsid w:val="56584483"/>
    <w:rsid w:val="565E4A50"/>
    <w:rsid w:val="56955BE7"/>
    <w:rsid w:val="56B3585F"/>
    <w:rsid w:val="57044B1F"/>
    <w:rsid w:val="570566FB"/>
    <w:rsid w:val="57316401"/>
    <w:rsid w:val="575C4408"/>
    <w:rsid w:val="57686754"/>
    <w:rsid w:val="577606F8"/>
    <w:rsid w:val="577E64AD"/>
    <w:rsid w:val="57AE406E"/>
    <w:rsid w:val="57C61DA6"/>
    <w:rsid w:val="57D10B3A"/>
    <w:rsid w:val="5812316E"/>
    <w:rsid w:val="581B1CCB"/>
    <w:rsid w:val="58690128"/>
    <w:rsid w:val="588C69A8"/>
    <w:rsid w:val="5891283B"/>
    <w:rsid w:val="58B252CA"/>
    <w:rsid w:val="59386FEA"/>
    <w:rsid w:val="59487C83"/>
    <w:rsid w:val="59657925"/>
    <w:rsid w:val="596C7466"/>
    <w:rsid w:val="596E1FA1"/>
    <w:rsid w:val="59922D2B"/>
    <w:rsid w:val="59B220B9"/>
    <w:rsid w:val="59F80BFC"/>
    <w:rsid w:val="5A02006D"/>
    <w:rsid w:val="5A203C4E"/>
    <w:rsid w:val="5A271679"/>
    <w:rsid w:val="5A2D7C12"/>
    <w:rsid w:val="5A421A14"/>
    <w:rsid w:val="5A4511BC"/>
    <w:rsid w:val="5A4C0714"/>
    <w:rsid w:val="5A6C4CE3"/>
    <w:rsid w:val="5A7F0572"/>
    <w:rsid w:val="5A854A24"/>
    <w:rsid w:val="5A9A6B7F"/>
    <w:rsid w:val="5B40097A"/>
    <w:rsid w:val="5B7D4480"/>
    <w:rsid w:val="5B7F2398"/>
    <w:rsid w:val="5BB93137"/>
    <w:rsid w:val="5BC9755C"/>
    <w:rsid w:val="5BDB4667"/>
    <w:rsid w:val="5C184330"/>
    <w:rsid w:val="5C1E5B4F"/>
    <w:rsid w:val="5C3E620B"/>
    <w:rsid w:val="5C414939"/>
    <w:rsid w:val="5C6173BF"/>
    <w:rsid w:val="5C7D6D34"/>
    <w:rsid w:val="5C86202D"/>
    <w:rsid w:val="5C894B1F"/>
    <w:rsid w:val="5CAA4817"/>
    <w:rsid w:val="5CB44B76"/>
    <w:rsid w:val="5CBE0D13"/>
    <w:rsid w:val="5CE15514"/>
    <w:rsid w:val="5D04687A"/>
    <w:rsid w:val="5D14180F"/>
    <w:rsid w:val="5D4D77A6"/>
    <w:rsid w:val="5D50269A"/>
    <w:rsid w:val="5D51797B"/>
    <w:rsid w:val="5D963448"/>
    <w:rsid w:val="5DB35FBB"/>
    <w:rsid w:val="5DB669A1"/>
    <w:rsid w:val="5DCA41FA"/>
    <w:rsid w:val="5DF748C4"/>
    <w:rsid w:val="5E0B133E"/>
    <w:rsid w:val="5E0C62AC"/>
    <w:rsid w:val="5E3959CA"/>
    <w:rsid w:val="5E7012D1"/>
    <w:rsid w:val="5E7E5003"/>
    <w:rsid w:val="5EA04452"/>
    <w:rsid w:val="5EB033F0"/>
    <w:rsid w:val="5F1A2A65"/>
    <w:rsid w:val="5F3A715E"/>
    <w:rsid w:val="5F4B4EC7"/>
    <w:rsid w:val="5F693D64"/>
    <w:rsid w:val="5FB83754"/>
    <w:rsid w:val="5FC444C5"/>
    <w:rsid w:val="5FC66C44"/>
    <w:rsid w:val="5FC8476A"/>
    <w:rsid w:val="5FCD1D80"/>
    <w:rsid w:val="5FE54BF0"/>
    <w:rsid w:val="600D2854"/>
    <w:rsid w:val="607622A0"/>
    <w:rsid w:val="607647DD"/>
    <w:rsid w:val="60F66071"/>
    <w:rsid w:val="611A5DD1"/>
    <w:rsid w:val="611A7DDF"/>
    <w:rsid w:val="61323F23"/>
    <w:rsid w:val="613A1697"/>
    <w:rsid w:val="61534507"/>
    <w:rsid w:val="61693D2A"/>
    <w:rsid w:val="616D28BA"/>
    <w:rsid w:val="61B208FC"/>
    <w:rsid w:val="61BB4E74"/>
    <w:rsid w:val="61EE74F0"/>
    <w:rsid w:val="62262924"/>
    <w:rsid w:val="623948D3"/>
    <w:rsid w:val="62436329"/>
    <w:rsid w:val="62732C1C"/>
    <w:rsid w:val="629D3C8C"/>
    <w:rsid w:val="62EC4C13"/>
    <w:rsid w:val="631E14B9"/>
    <w:rsid w:val="635051A2"/>
    <w:rsid w:val="63614B99"/>
    <w:rsid w:val="637D216D"/>
    <w:rsid w:val="63896DE6"/>
    <w:rsid w:val="63BC4B5A"/>
    <w:rsid w:val="63BF5E84"/>
    <w:rsid w:val="63BF7C32"/>
    <w:rsid w:val="63C224D8"/>
    <w:rsid w:val="63FD5B1F"/>
    <w:rsid w:val="640D6BEF"/>
    <w:rsid w:val="6431668F"/>
    <w:rsid w:val="643D3BB5"/>
    <w:rsid w:val="64406FC4"/>
    <w:rsid w:val="644D7933"/>
    <w:rsid w:val="6455166F"/>
    <w:rsid w:val="64661E5B"/>
    <w:rsid w:val="646E26ED"/>
    <w:rsid w:val="64A07A63"/>
    <w:rsid w:val="64C62B9C"/>
    <w:rsid w:val="64D140C0"/>
    <w:rsid w:val="64D468AD"/>
    <w:rsid w:val="650C5284"/>
    <w:rsid w:val="650C7EE3"/>
    <w:rsid w:val="651346D9"/>
    <w:rsid w:val="651B358E"/>
    <w:rsid w:val="651B73C9"/>
    <w:rsid w:val="651F4F19"/>
    <w:rsid w:val="654C2D18"/>
    <w:rsid w:val="65646CE3"/>
    <w:rsid w:val="656C0AD8"/>
    <w:rsid w:val="658F30A1"/>
    <w:rsid w:val="65C37EAD"/>
    <w:rsid w:val="65DC0FF9"/>
    <w:rsid w:val="65E8335B"/>
    <w:rsid w:val="65F338AB"/>
    <w:rsid w:val="66372AED"/>
    <w:rsid w:val="66383D45"/>
    <w:rsid w:val="6655469F"/>
    <w:rsid w:val="6658247E"/>
    <w:rsid w:val="668F251A"/>
    <w:rsid w:val="669678D9"/>
    <w:rsid w:val="669B37C4"/>
    <w:rsid w:val="66A87E90"/>
    <w:rsid w:val="66C454A2"/>
    <w:rsid w:val="66C67529"/>
    <w:rsid w:val="66CF4630"/>
    <w:rsid w:val="66D963A7"/>
    <w:rsid w:val="66E4730A"/>
    <w:rsid w:val="671319B0"/>
    <w:rsid w:val="67166171"/>
    <w:rsid w:val="673615F3"/>
    <w:rsid w:val="677500E1"/>
    <w:rsid w:val="67772223"/>
    <w:rsid w:val="678A0BB2"/>
    <w:rsid w:val="67A12762"/>
    <w:rsid w:val="67B00EF8"/>
    <w:rsid w:val="67C8039D"/>
    <w:rsid w:val="67ED70AA"/>
    <w:rsid w:val="67EF375C"/>
    <w:rsid w:val="67F105D6"/>
    <w:rsid w:val="67F32B5E"/>
    <w:rsid w:val="680B1697"/>
    <w:rsid w:val="682F6539"/>
    <w:rsid w:val="683B6664"/>
    <w:rsid w:val="68490C9C"/>
    <w:rsid w:val="6864524C"/>
    <w:rsid w:val="68877872"/>
    <w:rsid w:val="68B319E4"/>
    <w:rsid w:val="68B47F81"/>
    <w:rsid w:val="68D0643D"/>
    <w:rsid w:val="69034A64"/>
    <w:rsid w:val="692665F4"/>
    <w:rsid w:val="693370F8"/>
    <w:rsid w:val="69606656"/>
    <w:rsid w:val="69770C56"/>
    <w:rsid w:val="6985092D"/>
    <w:rsid w:val="69A531FF"/>
    <w:rsid w:val="69AA4BD8"/>
    <w:rsid w:val="69CD0749"/>
    <w:rsid w:val="69FF1362"/>
    <w:rsid w:val="6A0D27EB"/>
    <w:rsid w:val="6A21493F"/>
    <w:rsid w:val="6A33139A"/>
    <w:rsid w:val="6A3E6562"/>
    <w:rsid w:val="6A6D147C"/>
    <w:rsid w:val="6A6D6CB4"/>
    <w:rsid w:val="6A99664B"/>
    <w:rsid w:val="6AA45DD3"/>
    <w:rsid w:val="6AE215AE"/>
    <w:rsid w:val="6AFE32F3"/>
    <w:rsid w:val="6B0C5E52"/>
    <w:rsid w:val="6B106FC5"/>
    <w:rsid w:val="6B162075"/>
    <w:rsid w:val="6B1E16E2"/>
    <w:rsid w:val="6B431148"/>
    <w:rsid w:val="6B570EC0"/>
    <w:rsid w:val="6B6348EE"/>
    <w:rsid w:val="6B6E7F6A"/>
    <w:rsid w:val="6B843DAF"/>
    <w:rsid w:val="6B8F438D"/>
    <w:rsid w:val="6B9E2823"/>
    <w:rsid w:val="6BE20961"/>
    <w:rsid w:val="6BF9053F"/>
    <w:rsid w:val="6C03179A"/>
    <w:rsid w:val="6C0352F8"/>
    <w:rsid w:val="6C086F42"/>
    <w:rsid w:val="6C411B2C"/>
    <w:rsid w:val="6C565D19"/>
    <w:rsid w:val="6C6501E7"/>
    <w:rsid w:val="6CB4220A"/>
    <w:rsid w:val="6CCC3665"/>
    <w:rsid w:val="6CD07034"/>
    <w:rsid w:val="6D4C20F8"/>
    <w:rsid w:val="6D632886"/>
    <w:rsid w:val="6D6736A3"/>
    <w:rsid w:val="6D723F67"/>
    <w:rsid w:val="6D7E5AAD"/>
    <w:rsid w:val="6DA27809"/>
    <w:rsid w:val="6DCE5641"/>
    <w:rsid w:val="6E25722B"/>
    <w:rsid w:val="6E31797E"/>
    <w:rsid w:val="6E34057F"/>
    <w:rsid w:val="6E405F42"/>
    <w:rsid w:val="6E5614AC"/>
    <w:rsid w:val="6E671358"/>
    <w:rsid w:val="6E712470"/>
    <w:rsid w:val="6EC801D0"/>
    <w:rsid w:val="6ECB3E6A"/>
    <w:rsid w:val="6ED53D6E"/>
    <w:rsid w:val="6F060E0B"/>
    <w:rsid w:val="6F0F7CD5"/>
    <w:rsid w:val="6F26136F"/>
    <w:rsid w:val="6F2E72E5"/>
    <w:rsid w:val="6F377216"/>
    <w:rsid w:val="6F4F0728"/>
    <w:rsid w:val="6F537B60"/>
    <w:rsid w:val="6F6C08B9"/>
    <w:rsid w:val="6F745D74"/>
    <w:rsid w:val="6F8A26CC"/>
    <w:rsid w:val="6F8F0C34"/>
    <w:rsid w:val="6FC371B7"/>
    <w:rsid w:val="6FD509AE"/>
    <w:rsid w:val="6FDE6B73"/>
    <w:rsid w:val="6FE7486A"/>
    <w:rsid w:val="6FEA072C"/>
    <w:rsid w:val="6FEA4497"/>
    <w:rsid w:val="70063CD5"/>
    <w:rsid w:val="700D39D8"/>
    <w:rsid w:val="70116A46"/>
    <w:rsid w:val="7023091D"/>
    <w:rsid w:val="70384FF4"/>
    <w:rsid w:val="7084648B"/>
    <w:rsid w:val="70D03724"/>
    <w:rsid w:val="711649A5"/>
    <w:rsid w:val="714845BD"/>
    <w:rsid w:val="71722787"/>
    <w:rsid w:val="71BC0483"/>
    <w:rsid w:val="71C70D25"/>
    <w:rsid w:val="720348F7"/>
    <w:rsid w:val="7213642F"/>
    <w:rsid w:val="72263920"/>
    <w:rsid w:val="725D51E5"/>
    <w:rsid w:val="72897D89"/>
    <w:rsid w:val="72997E4C"/>
    <w:rsid w:val="72B8760C"/>
    <w:rsid w:val="72C2773E"/>
    <w:rsid w:val="730C77D0"/>
    <w:rsid w:val="73267CCD"/>
    <w:rsid w:val="73504972"/>
    <w:rsid w:val="737679A3"/>
    <w:rsid w:val="73AB57B7"/>
    <w:rsid w:val="73E71E7B"/>
    <w:rsid w:val="73F67E5A"/>
    <w:rsid w:val="74365CEE"/>
    <w:rsid w:val="7437766D"/>
    <w:rsid w:val="74714F78"/>
    <w:rsid w:val="7478673E"/>
    <w:rsid w:val="747D4203"/>
    <w:rsid w:val="74940C67"/>
    <w:rsid w:val="74A0585D"/>
    <w:rsid w:val="74CA4688"/>
    <w:rsid w:val="74D17A7B"/>
    <w:rsid w:val="74DD616A"/>
    <w:rsid w:val="751B3C54"/>
    <w:rsid w:val="752124FA"/>
    <w:rsid w:val="75463D35"/>
    <w:rsid w:val="75516919"/>
    <w:rsid w:val="755503F6"/>
    <w:rsid w:val="75563DE9"/>
    <w:rsid w:val="75720710"/>
    <w:rsid w:val="758A3C7E"/>
    <w:rsid w:val="75932CCC"/>
    <w:rsid w:val="759747A8"/>
    <w:rsid w:val="75983784"/>
    <w:rsid w:val="75A10D1F"/>
    <w:rsid w:val="75AB6268"/>
    <w:rsid w:val="75AD5295"/>
    <w:rsid w:val="75B80028"/>
    <w:rsid w:val="75DB5951"/>
    <w:rsid w:val="75E2044E"/>
    <w:rsid w:val="75F50F9F"/>
    <w:rsid w:val="76116A13"/>
    <w:rsid w:val="763C5A77"/>
    <w:rsid w:val="76407C2C"/>
    <w:rsid w:val="766216D5"/>
    <w:rsid w:val="767910B0"/>
    <w:rsid w:val="76BA444F"/>
    <w:rsid w:val="76D9138A"/>
    <w:rsid w:val="76FD6F97"/>
    <w:rsid w:val="77043DE0"/>
    <w:rsid w:val="77056BE1"/>
    <w:rsid w:val="77450125"/>
    <w:rsid w:val="77554DCB"/>
    <w:rsid w:val="77604072"/>
    <w:rsid w:val="77857245"/>
    <w:rsid w:val="77894387"/>
    <w:rsid w:val="77AC3080"/>
    <w:rsid w:val="77C0324D"/>
    <w:rsid w:val="77C15CBD"/>
    <w:rsid w:val="77C6300D"/>
    <w:rsid w:val="77E63E73"/>
    <w:rsid w:val="77E872FF"/>
    <w:rsid w:val="77F0151C"/>
    <w:rsid w:val="783267CC"/>
    <w:rsid w:val="7855737F"/>
    <w:rsid w:val="785D684A"/>
    <w:rsid w:val="78621EDA"/>
    <w:rsid w:val="786345EF"/>
    <w:rsid w:val="78E1137D"/>
    <w:rsid w:val="78FB12B4"/>
    <w:rsid w:val="78FC2C30"/>
    <w:rsid w:val="78FD7339"/>
    <w:rsid w:val="79073835"/>
    <w:rsid w:val="793E1645"/>
    <w:rsid w:val="79552D62"/>
    <w:rsid w:val="79637FB3"/>
    <w:rsid w:val="79B2065C"/>
    <w:rsid w:val="79C67B14"/>
    <w:rsid w:val="79D9192B"/>
    <w:rsid w:val="79DD5E43"/>
    <w:rsid w:val="79F3642F"/>
    <w:rsid w:val="7A0231DC"/>
    <w:rsid w:val="7A0927D1"/>
    <w:rsid w:val="7A127479"/>
    <w:rsid w:val="7A8A024A"/>
    <w:rsid w:val="7AAE5DB4"/>
    <w:rsid w:val="7AE77E0A"/>
    <w:rsid w:val="7AEF1878"/>
    <w:rsid w:val="7B0271A1"/>
    <w:rsid w:val="7B1E7CBF"/>
    <w:rsid w:val="7B5E382E"/>
    <w:rsid w:val="7B6E49BB"/>
    <w:rsid w:val="7B926CDC"/>
    <w:rsid w:val="7BDC1E35"/>
    <w:rsid w:val="7BE87535"/>
    <w:rsid w:val="7BF5724E"/>
    <w:rsid w:val="7C0D4B66"/>
    <w:rsid w:val="7C350F81"/>
    <w:rsid w:val="7C354ADD"/>
    <w:rsid w:val="7C3B3FD5"/>
    <w:rsid w:val="7C467BC2"/>
    <w:rsid w:val="7C4E0BFD"/>
    <w:rsid w:val="7C4F341A"/>
    <w:rsid w:val="7C60564E"/>
    <w:rsid w:val="7C694336"/>
    <w:rsid w:val="7C6D4269"/>
    <w:rsid w:val="7C705B15"/>
    <w:rsid w:val="7C843334"/>
    <w:rsid w:val="7C9537CE"/>
    <w:rsid w:val="7CAE2219"/>
    <w:rsid w:val="7CB32178"/>
    <w:rsid w:val="7CC320BD"/>
    <w:rsid w:val="7D034BDB"/>
    <w:rsid w:val="7D07647A"/>
    <w:rsid w:val="7D320482"/>
    <w:rsid w:val="7D366C51"/>
    <w:rsid w:val="7D4B5A04"/>
    <w:rsid w:val="7D4E40A8"/>
    <w:rsid w:val="7D511DEB"/>
    <w:rsid w:val="7D641B1E"/>
    <w:rsid w:val="7D860AAE"/>
    <w:rsid w:val="7D935F5F"/>
    <w:rsid w:val="7DA01972"/>
    <w:rsid w:val="7DA864A3"/>
    <w:rsid w:val="7DDB0EDD"/>
    <w:rsid w:val="7E0F3FA5"/>
    <w:rsid w:val="7E24305B"/>
    <w:rsid w:val="7E4604BD"/>
    <w:rsid w:val="7E5A384E"/>
    <w:rsid w:val="7E5D5CD9"/>
    <w:rsid w:val="7E7830A8"/>
    <w:rsid w:val="7EA41A4B"/>
    <w:rsid w:val="7EAC72D9"/>
    <w:rsid w:val="7EB64B61"/>
    <w:rsid w:val="7EC127A7"/>
    <w:rsid w:val="7EC7446B"/>
    <w:rsid w:val="7EED1E81"/>
    <w:rsid w:val="7F084EAE"/>
    <w:rsid w:val="7F111831"/>
    <w:rsid w:val="7F2302E3"/>
    <w:rsid w:val="7F361298"/>
    <w:rsid w:val="7F362230"/>
    <w:rsid w:val="7F45772D"/>
    <w:rsid w:val="7F4E109B"/>
    <w:rsid w:val="7F9F5B66"/>
    <w:rsid w:val="7FA63E8F"/>
    <w:rsid w:val="7FAD6AF3"/>
    <w:rsid w:val="7FE24F7C"/>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500" w:lineRule="exact"/>
      <w:ind w:firstLine="200" w:firstLineChars="200"/>
      <w:jc w:val="both"/>
    </w:pPr>
    <w:rPr>
      <w:rFonts w:ascii="Times New Roman" w:hAnsi="Times New Roman" w:eastAsia="华文中宋" w:cs="Times New Roman"/>
      <w:kern w:val="2"/>
      <w:sz w:val="24"/>
      <w:szCs w:val="24"/>
      <w:lang w:val="en-US" w:eastAsia="zh-CN" w:bidi="ar-SA"/>
    </w:rPr>
  </w:style>
  <w:style w:type="paragraph" w:styleId="2">
    <w:name w:val="heading 1"/>
    <w:basedOn w:val="1"/>
    <w:next w:val="3"/>
    <w:autoRedefine/>
    <w:qFormat/>
    <w:uiPriority w:val="0"/>
    <w:pPr>
      <w:keepNext/>
      <w:keepLines/>
      <w:numPr>
        <w:ilvl w:val="0"/>
        <w:numId w:val="1"/>
      </w:numPr>
      <w:spacing w:before="340" w:after="330" w:line="576" w:lineRule="auto"/>
      <w:outlineLvl w:val="0"/>
    </w:pPr>
    <w:rPr>
      <w:b/>
      <w:kern w:val="44"/>
      <w:sz w:val="44"/>
    </w:rPr>
  </w:style>
  <w:style w:type="paragraph" w:styleId="4">
    <w:name w:val="heading 2"/>
    <w:basedOn w:val="1"/>
    <w:next w:val="1"/>
    <w:autoRedefine/>
    <w:unhideWhenUsed/>
    <w:qFormat/>
    <w:uiPriority w:val="0"/>
    <w:pPr>
      <w:keepNext/>
      <w:keepLines/>
      <w:numPr>
        <w:ilvl w:val="1"/>
        <w:numId w:val="1"/>
      </w:numPr>
      <w:spacing w:before="260" w:after="260" w:line="413" w:lineRule="auto"/>
      <w:outlineLvl w:val="1"/>
    </w:pPr>
    <w:rPr>
      <w:rFonts w:ascii="Arial" w:hAnsi="Arial" w:eastAsia="黑体"/>
      <w:b/>
      <w:sz w:val="32"/>
    </w:rPr>
  </w:style>
  <w:style w:type="paragraph" w:styleId="5">
    <w:name w:val="heading 3"/>
    <w:basedOn w:val="1"/>
    <w:next w:val="1"/>
    <w:autoRedefine/>
    <w:unhideWhenUsed/>
    <w:qFormat/>
    <w:uiPriority w:val="0"/>
    <w:pPr>
      <w:keepNext/>
      <w:keepLines/>
      <w:numPr>
        <w:ilvl w:val="2"/>
        <w:numId w:val="2"/>
      </w:numPr>
      <w:spacing w:before="260" w:after="260" w:line="413" w:lineRule="auto"/>
      <w:ind w:left="720" w:hanging="720"/>
      <w:outlineLvl w:val="2"/>
    </w:pPr>
    <w:rPr>
      <w:sz w:val="32"/>
    </w:rPr>
  </w:style>
  <w:style w:type="paragraph" w:styleId="6">
    <w:name w:val="heading 4"/>
    <w:basedOn w:val="1"/>
    <w:next w:val="1"/>
    <w:autoRedefine/>
    <w:qFormat/>
    <w:uiPriority w:val="0"/>
    <w:pPr>
      <w:keepNext/>
      <w:keepLines/>
      <w:spacing w:before="280" w:after="290" w:line="376" w:lineRule="auto"/>
      <w:outlineLvl w:val="3"/>
    </w:pPr>
    <w:rPr>
      <w:rFonts w:ascii="Arial" w:hAnsi="Arial" w:eastAsia="黑体"/>
      <w:b/>
      <w:bCs/>
      <w:kern w:val="0"/>
      <w:sz w:val="28"/>
      <w:szCs w:val="28"/>
    </w:rPr>
  </w:style>
  <w:style w:type="paragraph" w:styleId="7">
    <w:name w:val="heading 5"/>
    <w:basedOn w:val="1"/>
    <w:next w:val="1"/>
    <w:autoRedefine/>
    <w:unhideWhenUsed/>
    <w:qFormat/>
    <w:uiPriority w:val="0"/>
    <w:pPr>
      <w:keepNext/>
      <w:keepLines/>
      <w:outlineLvl w:val="4"/>
    </w:pPr>
    <w:rPr>
      <w:b/>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3">
    <w:name w:val="@正文缩进"/>
    <w:basedOn w:val="1"/>
    <w:link w:val="44"/>
    <w:autoRedefine/>
    <w:qFormat/>
    <w:uiPriority w:val="0"/>
    <w:pPr>
      <w:widowControl/>
      <w:snapToGrid w:val="0"/>
      <w:spacing w:line="480" w:lineRule="exact"/>
      <w:ind w:firstLine="641"/>
    </w:pPr>
  </w:style>
  <w:style w:type="paragraph" w:styleId="8">
    <w:name w:val="Normal Indent"/>
    <w:basedOn w:val="1"/>
    <w:next w:val="9"/>
    <w:qFormat/>
    <w:uiPriority w:val="0"/>
    <w:pPr>
      <w:adjustRightInd/>
      <w:spacing w:line="360" w:lineRule="auto"/>
      <w:ind w:firstLine="480"/>
    </w:pPr>
    <w:rPr>
      <w:rFonts w:ascii="宋体" w:hAnsi="宋体" w:eastAsia="宋体"/>
      <w:kern w:val="0"/>
    </w:rPr>
  </w:style>
  <w:style w:type="paragraph" w:styleId="9">
    <w:name w:val="Body Text First Indent 2"/>
    <w:basedOn w:val="1"/>
    <w:next w:val="10"/>
    <w:unhideWhenUsed/>
    <w:qFormat/>
    <w:uiPriority w:val="99"/>
    <w:pPr>
      <w:widowControl w:val="0"/>
      <w:spacing w:after="120" w:line="240" w:lineRule="auto"/>
      <w:ind w:left="420" w:leftChars="200" w:firstLine="420"/>
      <w:jc w:val="both"/>
    </w:pPr>
    <w:rPr>
      <w:kern w:val="2"/>
      <w:sz w:val="21"/>
    </w:rPr>
  </w:style>
  <w:style w:type="paragraph" w:styleId="10">
    <w:name w:val="List Continue 4"/>
    <w:basedOn w:val="1"/>
    <w:next w:val="1"/>
    <w:qFormat/>
    <w:uiPriority w:val="0"/>
    <w:pPr>
      <w:widowControl w:val="0"/>
      <w:spacing w:after="120" w:line="360" w:lineRule="auto"/>
      <w:ind w:left="1680"/>
      <w:jc w:val="both"/>
    </w:pPr>
    <w:rPr>
      <w:rFonts w:ascii="宋体"/>
      <w:sz w:val="24"/>
    </w:rPr>
  </w:style>
  <w:style w:type="paragraph" w:styleId="11">
    <w:name w:val="caption"/>
    <w:basedOn w:val="1"/>
    <w:next w:val="1"/>
    <w:unhideWhenUsed/>
    <w:qFormat/>
    <w:uiPriority w:val="0"/>
    <w:pPr>
      <w:spacing w:line="240" w:lineRule="auto"/>
      <w:ind w:firstLine="0" w:firstLineChars="0"/>
      <w:jc w:val="center"/>
    </w:pPr>
    <w:rPr>
      <w:rFonts w:ascii="Times New Roman" w:hAnsi="Times New Roman" w:eastAsia="黑体"/>
      <w:b/>
      <w:bCs/>
      <w:sz w:val="21"/>
      <w:szCs w:val="21"/>
    </w:rPr>
  </w:style>
  <w:style w:type="paragraph" w:styleId="12">
    <w:name w:val="annotation text"/>
    <w:basedOn w:val="1"/>
    <w:qFormat/>
    <w:uiPriority w:val="0"/>
    <w:pPr>
      <w:jc w:val="left"/>
    </w:pPr>
  </w:style>
  <w:style w:type="paragraph" w:styleId="13">
    <w:name w:val="Body Text"/>
    <w:basedOn w:val="1"/>
    <w:next w:val="14"/>
    <w:unhideWhenUsed/>
    <w:qFormat/>
    <w:uiPriority w:val="99"/>
    <w:pPr>
      <w:spacing w:after="120"/>
    </w:pPr>
  </w:style>
  <w:style w:type="paragraph" w:styleId="14">
    <w:name w:val="List Bullet 5"/>
    <w:basedOn w:val="1"/>
    <w:qFormat/>
    <w:uiPriority w:val="0"/>
    <w:pPr>
      <w:numPr>
        <w:ilvl w:val="0"/>
        <w:numId w:val="3"/>
      </w:numPr>
    </w:pPr>
  </w:style>
  <w:style w:type="paragraph" w:styleId="15">
    <w:name w:val="Body Text Indent"/>
    <w:basedOn w:val="1"/>
    <w:next w:val="1"/>
    <w:qFormat/>
    <w:uiPriority w:val="0"/>
    <w:pPr>
      <w:widowControl/>
      <w:ind w:firstLine="480"/>
      <w:jc w:val="left"/>
    </w:pPr>
    <w:rPr>
      <w:rFonts w:ascii="宋体" w:hAnsi="宋体"/>
      <w:kern w:val="0"/>
    </w:rPr>
  </w:style>
  <w:style w:type="paragraph" w:styleId="16">
    <w:name w:val="Body Text Indent 2"/>
    <w:basedOn w:val="1"/>
    <w:qFormat/>
    <w:uiPriority w:val="0"/>
    <w:pPr>
      <w:tabs>
        <w:tab w:val="left" w:pos="7380"/>
      </w:tabs>
      <w:snapToGrid w:val="0"/>
      <w:ind w:firstLine="499"/>
    </w:pPr>
    <w:rPr>
      <w:color w:val="000000"/>
      <w:kern w:val="21"/>
      <w:szCs w:val="20"/>
      <w:lang w:val="de-DE"/>
    </w:rPr>
  </w:style>
  <w:style w:type="paragraph" w:styleId="17">
    <w:name w:val="footer"/>
    <w:basedOn w:val="1"/>
    <w:autoRedefine/>
    <w:qFormat/>
    <w:uiPriority w:val="0"/>
    <w:pPr>
      <w:tabs>
        <w:tab w:val="center" w:pos="4153"/>
        <w:tab w:val="right" w:pos="8306"/>
      </w:tabs>
      <w:snapToGrid w:val="0"/>
      <w:jc w:val="left"/>
    </w:pPr>
    <w:rPr>
      <w:rFonts w:eastAsia="仿宋_GB2312"/>
      <w:sz w:val="18"/>
      <w:szCs w:val="18"/>
    </w:rPr>
  </w:style>
  <w:style w:type="paragraph" w:styleId="18">
    <w:name w:val="header"/>
    <w:basedOn w:val="1"/>
    <w:next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right"/>
    </w:pPr>
    <w:rPr>
      <w:rFonts w:eastAsia="仿宋_GB2312"/>
      <w:sz w:val="18"/>
      <w:szCs w:val="18"/>
    </w:rPr>
  </w:style>
  <w:style w:type="paragraph" w:styleId="19">
    <w:name w:val="toc 1"/>
    <w:basedOn w:val="1"/>
    <w:next w:val="1"/>
    <w:autoRedefine/>
    <w:qFormat/>
    <w:uiPriority w:val="0"/>
    <w:pPr>
      <w:spacing w:line="360" w:lineRule="auto"/>
    </w:pPr>
    <w:rPr>
      <w:b/>
    </w:rPr>
  </w:style>
  <w:style w:type="paragraph" w:styleId="20">
    <w:name w:val="List"/>
    <w:basedOn w:val="1"/>
    <w:next w:val="1"/>
    <w:qFormat/>
    <w:uiPriority w:val="0"/>
    <w:pPr>
      <w:ind w:left="200" w:hanging="200" w:hangingChars="200"/>
    </w:pPr>
  </w:style>
  <w:style w:type="paragraph" w:styleId="21">
    <w:name w:val="toc 2"/>
    <w:basedOn w:val="1"/>
    <w:next w:val="1"/>
    <w:autoRedefine/>
    <w:qFormat/>
    <w:uiPriority w:val="0"/>
    <w:pPr>
      <w:spacing w:line="360" w:lineRule="auto"/>
      <w:ind w:left="420" w:leftChars="200"/>
    </w:pPr>
    <w:rPr>
      <w:szCs w:val="21"/>
    </w:rPr>
  </w:style>
  <w:style w:type="paragraph" w:styleId="2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3">
    <w:name w:val="Title"/>
    <w:basedOn w:val="1"/>
    <w:next w:val="1"/>
    <w:autoRedefine/>
    <w:qFormat/>
    <w:uiPriority w:val="0"/>
    <w:pPr>
      <w:spacing w:before="240" w:after="60"/>
      <w:jc w:val="center"/>
      <w:outlineLvl w:val="0"/>
    </w:pPr>
    <w:rPr>
      <w:rFonts w:ascii="Arial" w:hAnsi="Arial" w:eastAsia="宋体"/>
      <w:b/>
      <w:sz w:val="32"/>
      <w:szCs w:val="32"/>
    </w:rPr>
  </w:style>
  <w:style w:type="paragraph" w:styleId="24">
    <w:name w:val="Body Text First Indent"/>
    <w:basedOn w:val="13"/>
    <w:next w:val="1"/>
    <w:qFormat/>
    <w:uiPriority w:val="0"/>
    <w:pPr>
      <w:adjustRightInd/>
      <w:spacing w:line="240" w:lineRule="auto"/>
      <w:ind w:firstLine="420" w:firstLineChars="100"/>
    </w:pPr>
    <w:rPr>
      <w:rFonts w:ascii="Calibri"/>
      <w:sz w:val="21"/>
    </w:r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rPr>
  </w:style>
  <w:style w:type="character" w:styleId="29">
    <w:name w:val="Hyperlink"/>
    <w:autoRedefine/>
    <w:unhideWhenUsed/>
    <w:qFormat/>
    <w:uiPriority w:val="99"/>
    <w:rPr>
      <w:color w:val="136EC2"/>
      <w:u w:val="single"/>
    </w:rPr>
  </w:style>
  <w:style w:type="paragraph" w:customStyle="1" w:styleId="30">
    <w:name w:val="@标题5"/>
    <w:basedOn w:val="6"/>
    <w:next w:val="3"/>
    <w:qFormat/>
    <w:uiPriority w:val="0"/>
    <w:pPr>
      <w:numPr>
        <w:ilvl w:val="3"/>
        <w:numId w:val="4"/>
      </w:numPr>
      <w:tabs>
        <w:tab w:val="left" w:pos="0"/>
        <w:tab w:val="left" w:pos="567"/>
        <w:tab w:val="left" w:pos="709"/>
      </w:tabs>
      <w:spacing w:line="500" w:lineRule="exact"/>
      <w:ind w:left="0" w:firstLine="0" w:firstLineChars="0"/>
      <w:jc w:val="left"/>
    </w:pPr>
    <w:rPr>
      <w:rFonts w:ascii="Times New Roman" w:hAnsi="Times New Roman" w:eastAsia="华文中宋"/>
      <w:b w:val="0"/>
      <w:bCs w:val="0"/>
      <w:sz w:val="24"/>
      <w:szCs w:val="24"/>
    </w:rPr>
  </w:style>
  <w:style w:type="paragraph" w:customStyle="1" w:styleId="31">
    <w:name w:val="我的正文"/>
    <w:basedOn w:val="1"/>
    <w:qFormat/>
    <w:uiPriority w:val="0"/>
    <w:pPr>
      <w:spacing w:line="360" w:lineRule="auto"/>
      <w:jc w:val="left"/>
    </w:pPr>
    <w:rPr>
      <w:rFonts w:cs="宋体"/>
      <w:szCs w:val="20"/>
    </w:rPr>
  </w:style>
  <w:style w:type="paragraph" w:customStyle="1" w:styleId="32">
    <w:name w:val="Body Text 21"/>
    <w:basedOn w:val="1"/>
    <w:qFormat/>
    <w:uiPriority w:val="0"/>
    <w:pPr>
      <w:spacing w:after="120" w:line="480" w:lineRule="auto"/>
    </w:pPr>
  </w:style>
  <w:style w:type="paragraph" w:customStyle="1" w:styleId="33">
    <w:name w:val="明显引用1"/>
    <w:basedOn w:val="1"/>
    <w:next w:val="1"/>
    <w:qFormat/>
    <w:uiPriority w:val="0"/>
    <w:pPr>
      <w:adjustRightInd/>
      <w:snapToGrid w:val="0"/>
      <w:ind w:left="720" w:right="720"/>
    </w:pPr>
    <w:rPr>
      <w:b/>
      <w:i/>
      <w:kern w:val="0"/>
      <w:szCs w:val="20"/>
    </w:rPr>
  </w:style>
  <w:style w:type="paragraph" w:customStyle="1" w:styleId="34">
    <w:name w:val="样式5"/>
    <w:basedOn w:val="35"/>
    <w:qFormat/>
    <w:uiPriority w:val="0"/>
    <w:pPr>
      <w:ind w:firstLine="0" w:firstLineChars="0"/>
      <w:jc w:val="center"/>
    </w:pPr>
    <w:rPr>
      <w:rFonts w:ascii="华文宋体" w:hAnsi="华文宋体" w:eastAsia="华文宋体"/>
    </w:rPr>
  </w:style>
  <w:style w:type="paragraph" w:customStyle="1" w:styleId="35">
    <w:name w:val="正文1"/>
    <w:basedOn w:val="8"/>
    <w:qFormat/>
    <w:uiPriority w:val="0"/>
    <w:pPr>
      <w:spacing w:before="156" w:beforeLines="50" w:line="240" w:lineRule="auto"/>
      <w:ind w:firstLine="560"/>
    </w:pPr>
    <w:rPr>
      <w:b/>
      <w:color w:val="000000"/>
      <w:sz w:val="28"/>
      <w:szCs w:val="30"/>
      <w:lang w:val="zh-CN"/>
    </w:rPr>
  </w:style>
  <w:style w:type="paragraph" w:customStyle="1" w:styleId="36">
    <w:name w:val="样式 标题 3 + 首行缩进:  2 字符"/>
    <w:basedOn w:val="5"/>
    <w:qFormat/>
    <w:uiPriority w:val="0"/>
    <w:pPr>
      <w:adjustRightInd/>
      <w:ind w:firstLine="482"/>
    </w:pPr>
    <w:rPr>
      <w:rFonts w:hAnsi="宋体" w:eastAsia="黑体"/>
      <w:szCs w:val="20"/>
    </w:rPr>
  </w:style>
  <w:style w:type="paragraph" w:customStyle="1" w:styleId="37">
    <w:name w:val="Default"/>
    <w:next w:val="1"/>
    <w:autoRedefine/>
    <w:qFormat/>
    <w:uiPriority w:val="0"/>
    <w:pPr>
      <w:widowControl w:val="0"/>
      <w:autoSpaceDE w:val="0"/>
      <w:autoSpaceDN w:val="0"/>
      <w:adjustRightInd w:val="0"/>
    </w:pPr>
    <w:rPr>
      <w:rFonts w:ascii="宋体l萀" w:hAnsi="Times New Roman" w:eastAsia="宋体l萀" w:cs="宋体l萀"/>
      <w:color w:val="000000"/>
      <w:sz w:val="24"/>
      <w:szCs w:val="24"/>
      <w:lang w:val="en-US" w:eastAsia="zh-CN" w:bidi="ar-SA"/>
    </w:rPr>
  </w:style>
  <w:style w:type="paragraph" w:customStyle="1" w:styleId="38">
    <w:name w:val="@标题1"/>
    <w:next w:val="3"/>
    <w:link w:val="56"/>
    <w:autoRedefine/>
    <w:qFormat/>
    <w:uiPriority w:val="0"/>
    <w:pPr>
      <w:pageBreakBefore/>
      <w:numPr>
        <w:ilvl w:val="0"/>
        <w:numId w:val="5"/>
      </w:numPr>
      <w:spacing w:line="600" w:lineRule="exact"/>
      <w:outlineLvl w:val="0"/>
    </w:pPr>
    <w:rPr>
      <w:rFonts w:ascii="Times New Roman" w:hAnsi="Times New Roman" w:eastAsia="华文中宋" w:cstheme="minorBidi"/>
      <w:b/>
      <w:bCs/>
      <w:sz w:val="32"/>
      <w:szCs w:val="32"/>
      <w:lang w:val="en-US" w:eastAsia="zh-CN" w:bidi="ar-SA"/>
    </w:rPr>
  </w:style>
  <w:style w:type="paragraph" w:customStyle="1" w:styleId="39">
    <w:name w:val="@标题2"/>
    <w:basedOn w:val="38"/>
    <w:next w:val="3"/>
    <w:autoRedefine/>
    <w:qFormat/>
    <w:uiPriority w:val="0"/>
    <w:pPr>
      <w:pageBreakBefore w:val="0"/>
      <w:numPr>
        <w:ilvl w:val="1"/>
      </w:numPr>
      <w:tabs>
        <w:tab w:val="left" w:pos="567"/>
      </w:tabs>
      <w:spacing w:line="560" w:lineRule="exact"/>
      <w:outlineLvl w:val="1"/>
    </w:pPr>
    <w:rPr>
      <w:rFonts w:hint="eastAsia"/>
      <w:sz w:val="30"/>
      <w:szCs w:val="30"/>
    </w:rPr>
  </w:style>
  <w:style w:type="paragraph" w:customStyle="1" w:styleId="40">
    <w:name w:val="@表头"/>
    <w:basedOn w:val="35"/>
    <w:autoRedefine/>
    <w:qFormat/>
    <w:uiPriority w:val="0"/>
    <w:pPr>
      <w:snapToGrid w:val="0"/>
      <w:spacing w:before="33" w:beforeLines="10" w:after="33" w:afterLines="10" w:line="440" w:lineRule="exact"/>
      <w:ind w:firstLine="0" w:firstLineChars="0"/>
      <w:jc w:val="center"/>
    </w:pPr>
    <w:rPr>
      <w:rFonts w:ascii="Times New Roman" w:hAnsi="Times New Roman" w:eastAsia="华文中宋"/>
      <w:bCs/>
      <w:sz w:val="22"/>
      <w:szCs w:val="22"/>
      <w:lang w:val="en-US"/>
    </w:rPr>
  </w:style>
  <w:style w:type="paragraph" w:customStyle="1" w:styleId="41">
    <w:name w:val="@表格内容"/>
    <w:link w:val="46"/>
    <w:autoRedefine/>
    <w:qFormat/>
    <w:uiPriority w:val="0"/>
    <w:pPr>
      <w:snapToGrid w:val="0"/>
      <w:jc w:val="center"/>
    </w:pPr>
    <w:rPr>
      <w:rFonts w:ascii="Times New Roman" w:hAnsi="Times New Roman" w:eastAsia="华文中宋" w:cstheme="minorBidi"/>
      <w:sz w:val="21"/>
      <w:szCs w:val="21"/>
      <w:lang w:val="en-US" w:eastAsia="zh-CN" w:bidi="ar-SA"/>
    </w:rPr>
  </w:style>
  <w:style w:type="paragraph" w:customStyle="1" w:styleId="42">
    <w:name w:val="@标题3"/>
    <w:basedOn w:val="39"/>
    <w:next w:val="3"/>
    <w:autoRedefine/>
    <w:qFormat/>
    <w:uiPriority w:val="0"/>
    <w:pPr>
      <w:numPr>
        <w:ilvl w:val="2"/>
      </w:numPr>
      <w:tabs>
        <w:tab w:val="left" w:pos="709"/>
      </w:tabs>
      <w:spacing w:line="520" w:lineRule="exact"/>
      <w:outlineLvl w:val="2"/>
    </w:pPr>
    <w:rPr>
      <w:sz w:val="28"/>
      <w:szCs w:val="28"/>
    </w:rPr>
  </w:style>
  <w:style w:type="paragraph" w:customStyle="1" w:styleId="43">
    <w:name w:val="@标题4"/>
    <w:basedOn w:val="42"/>
    <w:next w:val="3"/>
    <w:autoRedefine/>
    <w:qFormat/>
    <w:uiPriority w:val="0"/>
    <w:pPr>
      <w:numPr>
        <w:ilvl w:val="3"/>
      </w:numPr>
      <w:spacing w:line="480" w:lineRule="exact"/>
      <w:outlineLvl w:val="3"/>
    </w:pPr>
    <w:rPr>
      <w:rFonts w:hint="default"/>
      <w:sz w:val="24"/>
      <w:szCs w:val="24"/>
    </w:rPr>
  </w:style>
  <w:style w:type="character" w:customStyle="1" w:styleId="44">
    <w:name w:val="@正文缩进 Char"/>
    <w:link w:val="3"/>
    <w:autoRedefine/>
    <w:qFormat/>
    <w:uiPriority w:val="0"/>
    <w:rPr>
      <w:rFonts w:ascii="Times New Roman" w:hAnsi="Times New Roman" w:eastAsia="华文中宋"/>
      <w:sz w:val="24"/>
    </w:rPr>
  </w:style>
  <w:style w:type="table" w:customStyle="1" w:styleId="45">
    <w:name w:val="Table Normal"/>
    <w:autoRedefine/>
    <w:unhideWhenUsed/>
    <w:qFormat/>
    <w:uiPriority w:val="0"/>
    <w:tblPr>
      <w:tblCellMar>
        <w:top w:w="0" w:type="dxa"/>
        <w:left w:w="0" w:type="dxa"/>
        <w:bottom w:w="0" w:type="dxa"/>
        <w:right w:w="0" w:type="dxa"/>
      </w:tblCellMar>
    </w:tblPr>
  </w:style>
  <w:style w:type="character" w:customStyle="1" w:styleId="46">
    <w:name w:val="@表格内容 Char"/>
    <w:link w:val="41"/>
    <w:autoRedefine/>
    <w:qFormat/>
    <w:uiPriority w:val="0"/>
    <w:rPr>
      <w:rFonts w:ascii="Times New Roman" w:hAnsi="Times New Roman" w:eastAsia="华文中宋" w:cstheme="minorBidi"/>
      <w:sz w:val="21"/>
      <w:szCs w:val="21"/>
      <w:lang w:val="en-US" w:eastAsia="zh-CN" w:bidi="ar-SA"/>
    </w:rPr>
  </w:style>
  <w:style w:type="table" w:customStyle="1" w:styleId="47">
    <w:name w:val="表格主题1"/>
    <w:basedOn w:val="25"/>
    <w:autoRedefine/>
    <w:qFormat/>
    <w:uiPriority w:val="0"/>
    <w:pPr>
      <w:widowControl w:val="0"/>
      <w:spacing w:line="360" w:lineRule="atLeast"/>
      <w:jc w:val="center"/>
    </w:pPr>
    <w:rPr>
      <w:rFonts w:eastAsia="仿宋_GB2312"/>
    </w:rPr>
    <w:tblPr>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left w:w="0" w:type="dxa"/>
        <w:right w:w="0" w:type="dxa"/>
      </w:tblCellMar>
    </w:tblPr>
    <w:trPr>
      <w:jc w:val="center"/>
    </w:trPr>
    <w:tcPr>
      <w:vAlign w:val="center"/>
    </w:tcPr>
  </w:style>
  <w:style w:type="table" w:customStyle="1" w:styleId="48">
    <w:name w:val="表格主题12"/>
    <w:basedOn w:val="25"/>
    <w:autoRedefine/>
    <w:qFormat/>
    <w:uiPriority w:val="0"/>
    <w:pPr>
      <w:widowControl w:val="0"/>
      <w:spacing w:line="360" w:lineRule="atLeast"/>
      <w:jc w:val="both"/>
    </w:pPr>
    <w:rPr>
      <w:rFonts w:eastAsia="仿宋_GB2312"/>
    </w:rPr>
    <w:tblPr>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left w:w="0" w:type="dxa"/>
        <w:right w:w="0" w:type="dxa"/>
      </w:tblCellMar>
    </w:tblPr>
    <w:trPr>
      <w:jc w:val="center"/>
    </w:trPr>
    <w:tcPr>
      <w:vAlign w:val="center"/>
    </w:tcPr>
  </w:style>
  <w:style w:type="table" w:customStyle="1" w:styleId="49">
    <w:name w:val="表格格式21"/>
    <w:autoRedefine/>
    <w:qFormat/>
    <w:uiPriority w:val="0"/>
    <w:pPr>
      <w:spacing w:line="360" w:lineRule="exact"/>
      <w:jc w:val="center"/>
    </w:pPr>
    <w:rPr>
      <w:rFonts w:eastAsia="仿宋_GB2312"/>
    </w:rPr>
    <w:tblPr>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
    <w:trPr>
      <w:jc w:val="center"/>
    </w:trPr>
    <w:tcPr>
      <w:vAlign w:val="center"/>
    </w:tcPr>
  </w:style>
  <w:style w:type="table" w:customStyle="1" w:styleId="50">
    <w:name w:val="表格格式11"/>
    <w:basedOn w:val="25"/>
    <w:autoRedefine/>
    <w:qFormat/>
    <w:uiPriority w:val="0"/>
    <w:pPr>
      <w:jc w:val="center"/>
    </w:pPr>
    <w:rPr>
      <w:rFonts w:eastAsia="仿宋_GB2312"/>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left w:w="0" w:type="dxa"/>
        <w:right w:w="0" w:type="dxa"/>
      </w:tblCellMar>
    </w:tblPr>
  </w:style>
  <w:style w:type="paragraph" w:customStyle="1" w:styleId="51">
    <w:name w:val="@tim"/>
    <w:basedOn w:val="3"/>
    <w:next w:val="3"/>
    <w:link w:val="52"/>
    <w:autoRedefine/>
    <w:qFormat/>
    <w:uiPriority w:val="0"/>
    <w:rPr>
      <w:rFonts w:hint="eastAsia" w:eastAsia="Times New Roman"/>
      <w:color w:val="0000FF"/>
    </w:rPr>
  </w:style>
  <w:style w:type="character" w:customStyle="1" w:styleId="52">
    <w:name w:val="@tim Char"/>
    <w:link w:val="51"/>
    <w:autoRedefine/>
    <w:qFormat/>
    <w:uiPriority w:val="0"/>
    <w:rPr>
      <w:rFonts w:hint="eastAsia" w:ascii="Times New Roman" w:hAnsi="Times New Roman" w:eastAsia="Times New Roman"/>
      <w:color w:val="0000FF"/>
    </w:rPr>
  </w:style>
  <w:style w:type="paragraph" w:customStyle="1" w:styleId="53">
    <w:name w:val="！正文"/>
    <w:basedOn w:val="1"/>
    <w:autoRedefine/>
    <w:qFormat/>
    <w:uiPriority w:val="0"/>
    <w:rPr>
      <w:color w:val="1F497D"/>
      <w:kern w:val="0"/>
    </w:rPr>
  </w:style>
  <w:style w:type="paragraph" w:customStyle="1" w:styleId="54">
    <w:name w:val="@表头、图头"/>
    <w:basedOn w:val="3"/>
    <w:next w:val="3"/>
    <w:autoRedefine/>
    <w:qFormat/>
    <w:uiPriority w:val="0"/>
    <w:pPr>
      <w:ind w:firstLine="0" w:firstLineChars="0"/>
      <w:jc w:val="center"/>
    </w:pPr>
    <w:rPr>
      <w:b/>
      <w:bCs/>
      <w:sz w:val="21"/>
      <w:szCs w:val="22"/>
    </w:rPr>
  </w:style>
  <w:style w:type="table" w:customStyle="1" w:styleId="55">
    <w:name w:val="报告书表格样式"/>
    <w:basedOn w:val="25"/>
    <w:qFormat/>
    <w:uiPriority w:val="0"/>
    <w:pPr>
      <w:adjustRightInd w:val="0"/>
      <w:snapToGrid w:val="0"/>
      <w:spacing w:line="300" w:lineRule="exact"/>
      <w:jc w:val="center"/>
    </w:pPr>
    <w:rPr>
      <w:rFonts w:ascii="宋体" w:hAnsi="宋体"/>
    </w:rPr>
    <w:tblPr>
      <w:jc w:val="center"/>
      <w:tblBorders>
        <w:top w:val="single" w:color="auto" w:sz="12" w:space="0"/>
        <w:bottom w:val="single" w:color="auto" w:sz="12" w:space="0"/>
        <w:insideH w:val="single" w:color="auto" w:sz="6" w:space="0"/>
        <w:insideV w:val="single" w:color="auto" w:sz="6" w:space="0"/>
      </w:tblBorders>
    </w:tblPr>
    <w:trPr>
      <w:cantSplit/>
      <w:jc w:val="center"/>
    </w:trPr>
    <w:tcPr>
      <w:vAlign w:val="center"/>
    </w:tcPr>
  </w:style>
  <w:style w:type="character" w:customStyle="1" w:styleId="56">
    <w:name w:val="@标题1 Char"/>
    <w:link w:val="38"/>
    <w:qFormat/>
    <w:uiPriority w:val="0"/>
    <w:rPr>
      <w:rFonts w:ascii="Times New Roman" w:hAnsi="Times New Roman" w:eastAsia="华文中宋" w:cstheme="minorBidi"/>
      <w:b/>
      <w:bCs/>
      <w:sz w:val="32"/>
      <w:szCs w:val="32"/>
      <w:lang w:val="en-US" w:eastAsia="zh-CN" w:bidi="ar-SA"/>
    </w:rPr>
  </w:style>
  <w:style w:type="paragraph" w:customStyle="1" w:styleId="57">
    <w:name w:val="表头"/>
    <w:basedOn w:val="8"/>
    <w:next w:val="1"/>
    <w:qFormat/>
    <w:uiPriority w:val="0"/>
    <w:pPr>
      <w:tabs>
        <w:tab w:val="left" w:pos="6840"/>
      </w:tabs>
      <w:topLinePunct/>
      <w:snapToGrid w:val="0"/>
      <w:spacing w:line="529" w:lineRule="exact"/>
      <w:jc w:val="center"/>
    </w:pPr>
    <w:rPr>
      <w:b/>
      <w:kern w:val="32"/>
      <w:szCs w:val="20"/>
    </w:rPr>
  </w:style>
  <w:style w:type="paragraph" w:customStyle="1" w:styleId="58">
    <w:name w:val="正文（lzq）"/>
    <w:qFormat/>
    <w:uiPriority w:val="0"/>
    <w:pPr>
      <w:widowControl w:val="0"/>
      <w:spacing w:line="500" w:lineRule="exact"/>
      <w:ind w:firstLine="200" w:firstLineChars="200"/>
    </w:pPr>
    <w:rPr>
      <w:rFonts w:ascii="Times New Roman" w:hAnsi="Times New Roman" w:eastAsia="华文中宋" w:cs="Times New Roman"/>
      <w:color w:val="993366"/>
      <w:kern w:val="2"/>
      <w:sz w:val="24"/>
      <w:szCs w:val="24"/>
      <w:lang w:val="en-US" w:eastAsia="zh-CN" w:bidi="ar-SA"/>
    </w:rPr>
  </w:style>
  <w:style w:type="character" w:customStyle="1" w:styleId="59">
    <w:name w:val="font51"/>
    <w:basedOn w:val="27"/>
    <w:qFormat/>
    <w:uiPriority w:val="0"/>
    <w:rPr>
      <w:rFonts w:hint="default" w:ascii="Times New Roman" w:hAnsi="Times New Roman" w:cs="Times New Roman"/>
      <w:b/>
      <w:bCs/>
      <w:color w:val="000000"/>
      <w:sz w:val="26"/>
      <w:szCs w:val="26"/>
      <w:u w:val="none"/>
    </w:rPr>
  </w:style>
  <w:style w:type="character" w:customStyle="1" w:styleId="60">
    <w:name w:val="font71"/>
    <w:basedOn w:val="27"/>
    <w:qFormat/>
    <w:uiPriority w:val="0"/>
    <w:rPr>
      <w:rFonts w:ascii="楷体_GB2312" w:eastAsia="楷体_GB2312" w:cs="楷体_GB2312"/>
      <w:b/>
      <w:bCs/>
      <w:color w:val="000000"/>
      <w:sz w:val="26"/>
      <w:szCs w:val="26"/>
      <w:u w:val="none"/>
    </w:rPr>
  </w:style>
  <w:style w:type="character" w:customStyle="1" w:styleId="61">
    <w:name w:val="font11"/>
    <w:basedOn w:val="27"/>
    <w:qFormat/>
    <w:uiPriority w:val="0"/>
    <w:rPr>
      <w:rFonts w:hint="default" w:ascii="Times New Roman" w:hAnsi="Times New Roman" w:cs="Times New Roman"/>
      <w:b/>
      <w:bCs/>
      <w:color w:val="000000"/>
      <w:sz w:val="26"/>
      <w:szCs w:val="26"/>
      <w:u w:val="none"/>
    </w:rPr>
  </w:style>
  <w:style w:type="character" w:customStyle="1" w:styleId="62">
    <w:name w:val="font21"/>
    <w:basedOn w:val="27"/>
    <w:qFormat/>
    <w:uiPriority w:val="0"/>
    <w:rPr>
      <w:rFonts w:ascii="楷体_GB2312" w:eastAsia="楷体_GB2312" w:cs="楷体_GB2312"/>
      <w:b/>
      <w:bCs/>
      <w:color w:val="000000"/>
      <w:sz w:val="26"/>
      <w:szCs w:val="26"/>
      <w:u w:val="none"/>
    </w:rPr>
  </w:style>
  <w:style w:type="paragraph" w:customStyle="1" w:styleId="63">
    <w:name w:val="表格文字"/>
    <w:basedOn w:val="1"/>
    <w:next w:val="1"/>
    <w:qFormat/>
    <w:uiPriority w:val="0"/>
    <w:pPr>
      <w:tabs>
        <w:tab w:val="left" w:pos="540"/>
        <w:tab w:val="left" w:pos="1080"/>
        <w:tab w:val="left" w:pos="1260"/>
        <w:tab w:val="left" w:pos="1440"/>
      </w:tabs>
      <w:snapToGrid w:val="0"/>
      <w:spacing w:line="240" w:lineRule="atLeast"/>
      <w:ind w:firstLine="0" w:firstLineChars="0"/>
      <w:jc w:val="center"/>
    </w:pPr>
    <w:rPr>
      <w:bCs/>
      <w:color w:val="000000"/>
      <w:kern w:val="0"/>
      <w:sz w:val="21"/>
      <w:szCs w:val="28"/>
    </w:rPr>
  </w:style>
  <w:style w:type="character" w:customStyle="1" w:styleId="64">
    <w:name w:val="font31"/>
    <w:basedOn w:val="27"/>
    <w:qFormat/>
    <w:uiPriority w:val="0"/>
    <w:rPr>
      <w:rFonts w:hint="default" w:ascii="Times New Roman" w:hAnsi="Times New Roman" w:cs="Times New Roman"/>
      <w:color w:val="000000"/>
      <w:sz w:val="21"/>
      <w:szCs w:val="21"/>
      <w:u w:val="none"/>
      <w:vertAlign w:val="superscript"/>
    </w:rPr>
  </w:style>
  <w:style w:type="character" w:customStyle="1" w:styleId="65">
    <w:name w:val="font41"/>
    <w:basedOn w:val="27"/>
    <w:qFormat/>
    <w:uiPriority w:val="0"/>
    <w:rPr>
      <w:rFonts w:hint="eastAsia" w:ascii="宋体" w:hAnsi="宋体" w:eastAsia="宋体" w:cs="宋体"/>
      <w:color w:val="000000"/>
      <w:sz w:val="21"/>
      <w:szCs w:val="21"/>
      <w:u w:val="none"/>
    </w:rPr>
  </w:style>
  <w:style w:type="paragraph" w:customStyle="1" w:styleId="66">
    <w:name w:val="表格内容"/>
    <w:basedOn w:val="1"/>
    <w:next w:val="1"/>
    <w:qFormat/>
    <w:uiPriority w:val="0"/>
    <w:pPr>
      <w:keepNext/>
      <w:adjustRightInd/>
      <w:snapToGrid w:val="0"/>
      <w:spacing w:line="240" w:lineRule="auto"/>
      <w:ind w:firstLine="0" w:firstLineChars="0"/>
      <w:jc w:val="center"/>
    </w:pPr>
    <w:rPr>
      <w:rFonts w:ascii="宋体" w:hAnsi="宋体" w:eastAsia="宋体" w:cs="Arial"/>
      <w:kern w:val="0"/>
      <w:sz w:val="21"/>
      <w:szCs w:val="20"/>
    </w:rPr>
  </w:style>
  <w:style w:type="paragraph" w:customStyle="1" w:styleId="67">
    <w:name w:val="Table Text"/>
    <w:basedOn w:val="1"/>
    <w:semiHidden/>
    <w:qFormat/>
    <w:uiPriority w:val="0"/>
    <w:rPr>
      <w:rFonts w:ascii="宋体" w:hAnsi="宋体" w:eastAsia="宋体" w:cs="宋体"/>
      <w:sz w:val="22"/>
      <w:szCs w:val="22"/>
      <w:lang w:val="en-US" w:eastAsia="en-US" w:bidi="ar-SA"/>
    </w:rPr>
  </w:style>
  <w:style w:type="paragraph" w:customStyle="1" w:styleId="68">
    <w:name w:val="我"/>
    <w:basedOn w:val="1"/>
    <w:qFormat/>
    <w:uiPriority w:val="0"/>
    <w:pPr>
      <w:spacing w:line="360" w:lineRule="auto"/>
      <w:ind w:firstLine="640" w:firstLineChars="200"/>
    </w:pPr>
    <w:rPr>
      <w:sz w:val="24"/>
    </w:rPr>
  </w:style>
  <w:style w:type="paragraph" w:customStyle="1" w:styleId="69">
    <w:name w:val="样式 首行缩进:  2 字符1"/>
    <w:basedOn w:val="1"/>
    <w:qFormat/>
    <w:uiPriority w:val="0"/>
    <w:pPr>
      <w:spacing w:line="360" w:lineRule="auto"/>
      <w:ind w:firstLine="200"/>
    </w:pPr>
    <w:rPr>
      <w:rFonts w:cs="宋体"/>
      <w:szCs w:val="20"/>
    </w:rPr>
  </w:style>
</w:styles>
</file>

<file path=word/_rels/document.xml.rels><?xml version="1.0" encoding="UTF-8" standalone="yes"?>
<Relationships xmlns="http://schemas.openxmlformats.org/package/2006/relationships"><Relationship Id="rId99" Type="http://schemas.openxmlformats.org/officeDocument/2006/relationships/numbering" Target="numbering.xml"/><Relationship Id="rId98" Type="http://schemas.openxmlformats.org/officeDocument/2006/relationships/customXml" Target="../customXml/item1.xml"/><Relationship Id="rId97" Type="http://schemas.openxmlformats.org/officeDocument/2006/relationships/image" Target="media/image64.png"/><Relationship Id="rId96" Type="http://schemas.openxmlformats.org/officeDocument/2006/relationships/image" Target="media/image63.emf"/><Relationship Id="rId95" Type="http://schemas.openxmlformats.org/officeDocument/2006/relationships/image" Target="media/image62.emf"/><Relationship Id="rId94" Type="http://schemas.openxmlformats.org/officeDocument/2006/relationships/image" Target="media/image61.emf"/><Relationship Id="rId93" Type="http://schemas.openxmlformats.org/officeDocument/2006/relationships/image" Target="media/image60.emf"/><Relationship Id="rId92" Type="http://schemas.openxmlformats.org/officeDocument/2006/relationships/image" Target="media/image59.emf"/><Relationship Id="rId91" Type="http://schemas.openxmlformats.org/officeDocument/2006/relationships/image" Target="media/image58.emf"/><Relationship Id="rId90" Type="http://schemas.openxmlformats.org/officeDocument/2006/relationships/image" Target="media/image57.emf"/><Relationship Id="rId9" Type="http://schemas.openxmlformats.org/officeDocument/2006/relationships/footer" Target="footer2.xml"/><Relationship Id="rId89" Type="http://schemas.openxmlformats.org/officeDocument/2006/relationships/image" Target="media/image56.emf"/><Relationship Id="rId88" Type="http://schemas.openxmlformats.org/officeDocument/2006/relationships/image" Target="media/image55.png"/><Relationship Id="rId87" Type="http://schemas.openxmlformats.org/officeDocument/2006/relationships/image" Target="media/image54.png"/><Relationship Id="rId86" Type="http://schemas.openxmlformats.org/officeDocument/2006/relationships/image" Target="media/image53.wmf"/><Relationship Id="rId85" Type="http://schemas.openxmlformats.org/officeDocument/2006/relationships/oleObject" Target="embeddings/oleObject10.bin"/><Relationship Id="rId84" Type="http://schemas.openxmlformats.org/officeDocument/2006/relationships/image" Target="media/image52.png"/><Relationship Id="rId83" Type="http://schemas.openxmlformats.org/officeDocument/2006/relationships/image" Target="media/image51.png"/><Relationship Id="rId82" Type="http://schemas.openxmlformats.org/officeDocument/2006/relationships/image" Target="media/image50.jpeg"/><Relationship Id="rId81" Type="http://schemas.openxmlformats.org/officeDocument/2006/relationships/image" Target="media/image49.wmf"/><Relationship Id="rId80" Type="http://schemas.openxmlformats.org/officeDocument/2006/relationships/oleObject" Target="embeddings/oleObject9.bin"/><Relationship Id="rId8" Type="http://schemas.openxmlformats.org/officeDocument/2006/relationships/footer" Target="footer1.xml"/><Relationship Id="rId79" Type="http://schemas.openxmlformats.org/officeDocument/2006/relationships/image" Target="media/image48.jpeg"/><Relationship Id="rId78" Type="http://schemas.openxmlformats.org/officeDocument/2006/relationships/image" Target="media/image47.png"/><Relationship Id="rId77" Type="http://schemas.openxmlformats.org/officeDocument/2006/relationships/image" Target="media/image46.wmf"/><Relationship Id="rId76" Type="http://schemas.openxmlformats.org/officeDocument/2006/relationships/oleObject" Target="embeddings/oleObject8.bin"/><Relationship Id="rId75" Type="http://schemas.openxmlformats.org/officeDocument/2006/relationships/image" Target="media/image45.wmf"/><Relationship Id="rId74" Type="http://schemas.openxmlformats.org/officeDocument/2006/relationships/oleObject" Target="embeddings/oleObject7.bin"/><Relationship Id="rId73" Type="http://schemas.openxmlformats.org/officeDocument/2006/relationships/image" Target="media/image44.wmf"/><Relationship Id="rId72" Type="http://schemas.openxmlformats.org/officeDocument/2006/relationships/oleObject" Target="embeddings/oleObject6.bin"/><Relationship Id="rId71" Type="http://schemas.openxmlformats.org/officeDocument/2006/relationships/image" Target="media/image43.wmf"/><Relationship Id="rId70" Type="http://schemas.openxmlformats.org/officeDocument/2006/relationships/oleObject" Target="embeddings/oleObject5.bin"/><Relationship Id="rId7" Type="http://schemas.openxmlformats.org/officeDocument/2006/relationships/header" Target="header3.xml"/><Relationship Id="rId69" Type="http://schemas.openxmlformats.org/officeDocument/2006/relationships/image" Target="media/image42.png"/><Relationship Id="rId68" Type="http://schemas.openxmlformats.org/officeDocument/2006/relationships/image" Target="media/image41.png"/><Relationship Id="rId67" Type="http://schemas.openxmlformats.org/officeDocument/2006/relationships/image" Target="media/image40.png"/><Relationship Id="rId66" Type="http://schemas.openxmlformats.org/officeDocument/2006/relationships/image" Target="media/image39.png"/><Relationship Id="rId65" Type="http://schemas.openxmlformats.org/officeDocument/2006/relationships/image" Target="media/image38.png"/><Relationship Id="rId64" Type="http://schemas.openxmlformats.org/officeDocument/2006/relationships/image" Target="media/image37.png"/><Relationship Id="rId63" Type="http://schemas.openxmlformats.org/officeDocument/2006/relationships/image" Target="media/image36.png"/><Relationship Id="rId62" Type="http://schemas.openxmlformats.org/officeDocument/2006/relationships/image" Target="media/image35.png"/><Relationship Id="rId61" Type="http://schemas.openxmlformats.org/officeDocument/2006/relationships/image" Target="media/image34.png"/><Relationship Id="rId60" Type="http://schemas.openxmlformats.org/officeDocument/2006/relationships/image" Target="media/image33.png"/><Relationship Id="rId6" Type="http://schemas.openxmlformats.org/officeDocument/2006/relationships/header" Target="header2.xml"/><Relationship Id="rId59" Type="http://schemas.openxmlformats.org/officeDocument/2006/relationships/image" Target="media/image32.jpeg"/><Relationship Id="rId58" Type="http://schemas.openxmlformats.org/officeDocument/2006/relationships/image" Target="media/image31.jpeg"/><Relationship Id="rId57" Type="http://schemas.openxmlformats.org/officeDocument/2006/relationships/image" Target="media/image30.jpeg"/><Relationship Id="rId56" Type="http://schemas.openxmlformats.org/officeDocument/2006/relationships/image" Target="media/image29.jpeg"/><Relationship Id="rId55" Type="http://schemas.openxmlformats.org/officeDocument/2006/relationships/image" Target="media/image28.jpeg"/><Relationship Id="rId54" Type="http://schemas.openxmlformats.org/officeDocument/2006/relationships/image" Target="media/image27.jpeg"/><Relationship Id="rId53" Type="http://schemas.openxmlformats.org/officeDocument/2006/relationships/image" Target="media/image26.jpeg"/><Relationship Id="rId52" Type="http://schemas.openxmlformats.org/officeDocument/2006/relationships/image" Target="media/image25.jpeg"/><Relationship Id="rId51" Type="http://schemas.openxmlformats.org/officeDocument/2006/relationships/image" Target="media/image24.jpeg"/><Relationship Id="rId50" Type="http://schemas.openxmlformats.org/officeDocument/2006/relationships/image" Target="media/image23.jpeg"/><Relationship Id="rId5" Type="http://schemas.openxmlformats.org/officeDocument/2006/relationships/header" Target="header1.xml"/><Relationship Id="rId49" Type="http://schemas.openxmlformats.org/officeDocument/2006/relationships/image" Target="media/image22.jpeg"/><Relationship Id="rId48" Type="http://schemas.openxmlformats.org/officeDocument/2006/relationships/image" Target="media/image21.png"/><Relationship Id="rId47" Type="http://schemas.openxmlformats.org/officeDocument/2006/relationships/image" Target="media/image20.wmf"/><Relationship Id="rId46" Type="http://schemas.openxmlformats.org/officeDocument/2006/relationships/oleObject" Target="embeddings/oleObject4.bin"/><Relationship Id="rId45" Type="http://schemas.openxmlformats.org/officeDocument/2006/relationships/image" Target="media/image19.wmf"/><Relationship Id="rId44" Type="http://schemas.openxmlformats.org/officeDocument/2006/relationships/oleObject" Target="embeddings/oleObject3.bin"/><Relationship Id="rId43" Type="http://schemas.openxmlformats.org/officeDocument/2006/relationships/image" Target="media/image18.wmf"/><Relationship Id="rId42" Type="http://schemas.openxmlformats.org/officeDocument/2006/relationships/oleObject" Target="embeddings/oleObject2.bin"/><Relationship Id="rId41" Type="http://schemas.openxmlformats.org/officeDocument/2006/relationships/image" Target="media/image17.wmf"/><Relationship Id="rId40" Type="http://schemas.openxmlformats.org/officeDocument/2006/relationships/oleObject" Target="embeddings/oleObject1.bin"/><Relationship Id="rId4" Type="http://schemas.openxmlformats.org/officeDocument/2006/relationships/endnotes" Target="endnotes.xml"/><Relationship Id="rId39" Type="http://schemas.openxmlformats.org/officeDocument/2006/relationships/image" Target="media/image16.png"/><Relationship Id="rId38" Type="http://schemas.openxmlformats.org/officeDocument/2006/relationships/image" Target="media/image15.wmf"/><Relationship Id="rId37" Type="http://schemas.openxmlformats.org/officeDocument/2006/relationships/image" Target="media/image14.wmf"/><Relationship Id="rId36" Type="http://schemas.openxmlformats.org/officeDocument/2006/relationships/image" Target="media/image13.wmf"/><Relationship Id="rId35" Type="http://schemas.openxmlformats.org/officeDocument/2006/relationships/image" Target="media/image12.png"/><Relationship Id="rId34" Type="http://schemas.openxmlformats.org/officeDocument/2006/relationships/image" Target="media/image11.png"/><Relationship Id="rId33" Type="http://schemas.openxmlformats.org/officeDocument/2006/relationships/image" Target="media/image10.png"/><Relationship Id="rId32" Type="http://schemas.openxmlformats.org/officeDocument/2006/relationships/image" Target="media/image9.png"/><Relationship Id="rId31" Type="http://schemas.openxmlformats.org/officeDocument/2006/relationships/image" Target="media/image8.png"/><Relationship Id="rId30" Type="http://schemas.openxmlformats.org/officeDocument/2006/relationships/image" Target="media/image7.png"/><Relationship Id="rId3" Type="http://schemas.openxmlformats.org/officeDocument/2006/relationships/footnotes" Target="footnotes.xml"/><Relationship Id="rId29" Type="http://schemas.openxmlformats.org/officeDocument/2006/relationships/image" Target="media/image6.png"/><Relationship Id="rId28" Type="http://schemas.openxmlformats.org/officeDocument/2006/relationships/image" Target="media/image5.jpeg"/><Relationship Id="rId27" Type="http://schemas.openxmlformats.org/officeDocument/2006/relationships/image" Target="media/image4.png"/><Relationship Id="rId26" Type="http://schemas.openxmlformats.org/officeDocument/2006/relationships/image" Target="media/image3.jpeg"/><Relationship Id="rId25" Type="http://schemas.openxmlformats.org/officeDocument/2006/relationships/image" Target="media/image2.jpeg"/><Relationship Id="rId24" Type="http://schemas.openxmlformats.org/officeDocument/2006/relationships/image" Target="media/image1.jpeg"/><Relationship Id="rId23" Type="http://schemas.openxmlformats.org/officeDocument/2006/relationships/theme" Target="theme/theme1.xml"/><Relationship Id="rId22" Type="http://schemas.openxmlformats.org/officeDocument/2006/relationships/footer" Target="footer10.xml"/><Relationship Id="rId21" Type="http://schemas.openxmlformats.org/officeDocument/2006/relationships/header" Target="header8.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8.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1" Type="http://schemas.openxmlformats.org/officeDocument/2006/relationships/fontTable" Target="fontTable.xml"/><Relationship Id="rId100" Type="http://schemas.openxmlformats.org/officeDocument/2006/relationships/customXml" Target="../customXml/item2.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34d9bf54-4505-458a-90bb-8adf51083183</errorID>
      <errorWord> </errorWord>
      <group>L1_Word</group>
      <groupName>字词问题</groupName>
      <ability>L2_Typo</ability>
      <abilityName>字词错误</abilityName>
      <candidateList>
        <item>°</item>
      </candidateList>
      <explain/>
      <paraID>690F8933</paraID>
      <start>49</start>
      <end>50</end>
      <status>unmodified</status>
      <modifiedWord/>
      <trackRevisions>false</trackRevisions>
    </reviewItem>
    <reviewItem>
      <errorID>6065be72-0267-4e0f-a605-e9d21cce7b54</errorID>
      <errorWord>新疆阿图什环球矿业投资有限责任公司</errorWord>
      <group>L1_Other</group>
      <groupName>其他问题</groupName>
      <ability>L2_Consistency</ability>
      <abilityName>一致性检查</abilityName>
      <candidateList>
        <item>阿图什市环球矿业有限公司</item>
      </candidateList>
      <explain>实体一致性，原文中建设单位统一名称为阿图什市环球矿业有限公司，此处名称表述不一致</explain>
      <paraID>140F4F35</paraID>
      <start>167</start>
      <end>184</end>
      <status>unmodified</status>
      <modifiedWord/>
      <trackRevisions>false</trackRevisions>
    </reviewItem>
    <reviewItem>
      <errorID>242f71f0-4917-4b18-a547-b7c66f17da1f</errorID>
      <errorWord>进行</errorWord>
      <group>L1_Punc</group>
      <groupName>标点问题</groupName>
      <ability>L2_Punc_CN</ability>
      <abilityName>标点符号问题</abilityName>
      <candidateList>
        <item>，进行</item>
      </candidateList>
      <explain/>
      <paraID>140F4F35</paraID>
      <start>239</start>
      <end>244</end>
      <status>modified</status>
      <modifiedWord>，进行</modifiedWord>
      <trackRevisions>true</trackRevisions>
    </reviewItem>
    <reviewItem>
      <errorID>92e56e11-4858-4967-9764-4c5bdd7f9da7</errorID>
      <errorWord>处</errorWord>
      <group>L1_Word</group>
      <groupName>字词问题</groupName>
      <ability>L2_Typo</ability>
      <abilityName>字词错误</abilityName>
      <candidateList>
        <item>处于</item>
      </candidateList>
      <explain/>
      <paraID>437A75C0</paraID>
      <start>159</start>
      <end>161</end>
      <status>modified</status>
      <modifiedWord>处于</modifiedWord>
      <trackRevisions>true</trackRevisions>
    </reviewItem>
    <reviewItem>
      <errorID>2e62b837-abd9-44fd-9fc6-d4b2145c833e</errorID>
      <errorWord>(</errorWord>
      <group>L1_Format</group>
      <groupName>格式问题</groupName>
      <ability>L2_HalfPunc_CN</ability>
      <abilityName>全半角问题</abilityName>
      <candidateList>
        <item>（</item>
      </candidateList>
      <explain>文本全半角错误。</explain>
      <paraID>6A240D20</paraID>
      <start>131</start>
      <end>133</end>
      <status>modified</status>
      <modifiedWord>（</modifiedWord>
      <trackRevisions>true</trackRevisions>
    </reviewItem>
    <reviewItem>
      <errorID>0f6d4040-f245-442b-864e-815eeaf7db04</errorID>
      <errorWord>)</errorWord>
      <group>L1_Format</group>
      <groupName>格式问题</groupName>
      <ability>L2_HalfPunc_CN</ability>
      <abilityName>全半角问题</abilityName>
      <candidateList>
        <item>）</item>
      </candidateList>
      <explain>文本全半角错误。</explain>
      <paraID>6A240D20</paraID>
      <start>135</start>
      <end>137</end>
      <status>modified</status>
      <modifiedWord>）</modifiedWord>
      <trackRevisions>true</trackRevisions>
    </reviewItem>
    <reviewItem>
      <errorID>b9d6079a-ea65-4308-ae5c-4e2989904e0b</errorID>
      <errorWord>法律、法规</errorWord>
      <group>L1_Word</group>
      <groupName>字词问题</groupName>
      <ability>L2_Typo</ability>
      <abilityName>字词错误</abilityName>
      <candidateList>
        <item>法律法规</item>
      </candidateList>
      <explain/>
      <paraID>243AA5A6</paraID>
      <start>142</start>
      <end>146</end>
      <status>modified</status>
      <modifiedWord>法律法规</modifiedWord>
      <trackRevisions>true</trackRevisions>
    </reviewItem>
    <reviewItem>
      <errorID>74900b90-529c-43c6-ba46-aed1e31ba605</errorID>
      <errorWord>、和</errorWord>
      <group>L1_Word</group>
      <groupName>字词问题</groupName>
      <ability>L2_Typo</ability>
      <abilityName>字词错误</abilityName>
      <candidateList>
        <item>、</item>
      </candidateList>
      <explain/>
      <paraID> DC40C93</paraID>
      <start>10</start>
      <end>13</end>
      <status>modified</status>
      <modifiedWord>、</modifiedWord>
      <trackRevisions>true</trackRevisions>
    </reviewItem>
    <reviewItem>
      <errorID>1c26fa54-4d7f-480b-a2fd-cff3a6f3354e</errorID>
      <errorWord>，</errorWord>
      <group>L1_Punc</group>
      <groupName>标点问题</groupName>
      <ability>L2_Punc_CN</ability>
      <abilityName>标点符号问题</abilityName>
      <candidateList>
        <item/>
      </candidateList>
      <explain/>
      <paraID>50E6F32D</paraID>
      <start>101</start>
      <end>102</end>
      <status>modified</status>
      <modifiedWord/>
      <trackRevisions>true</trackRevisions>
    </reviewItem>
    <reviewItem>
      <errorID>657fc2c2-3dda-485c-b056-b86706c7b32a</errorID>
      <errorWord>轨道上来</errorWord>
      <group>L1_Grammar</group>
      <groupName>语法问题</groupName>
      <ability>L2_Grammar</ability>
      <abilityName>语法错误</abilityName>
      <candidateList>
        <item>轨道</item>
      </candidateList>
      <explain/>
      <paraID>50E6F32D</paraID>
      <start>122</start>
      <end>128</end>
      <status>modified</status>
      <modifiedWord>轨道</modifiedWord>
      <trackRevisions>true</trackRevisions>
    </reviewItem>
    <reviewItem>
      <errorID>dc7cb3b7-a52a-48a4-bee4-90961c626bb4</errorID>
      <errorWord>相符</errorWord>
      <group>L1_Word</group>
      <groupName>字词问题</groupName>
      <ability>L2_Typo</ability>
      <abilityName>字词错误</abilityName>
      <candidateList>
        <item>的相符</item>
      </candidateList>
      <explain/>
      <paraID>7CF448D8</paraID>
      <start>18</start>
      <end>23</end>
      <status>modified</status>
      <modifiedWord>的相符</modifiedWord>
      <trackRevisions>true</trackRevisions>
    </reviewItem>
    <reviewItem>
      <errorID>6d6af8c8-12b9-4f9d-a8cc-9bb5beae2ddb</errorID>
      <errorWord>月</errorWord>
      <group>L1_Punc</group>
      <groupName>标点问题</groupName>
      <ability>L2_Punc_CN</ability>
      <abilityName>标点符号问题</abilityName>
      <candidateList>
        <item>月。</item>
      </candidateList>
      <explain/>
      <paraID>68856FD5</paraID>
      <start>41</start>
      <end>44</end>
      <status>modified</status>
      <modifiedWord>月。</modifiedWord>
      <trackRevisions>true</trackRevisions>
    </reviewItem>
    <reviewItem>
      <errorID>632bbfcf-c261-4f54-8684-918ba59d5b54</errorID>
      <errorWord>关于印发防范化解尾矿库安全风险工作方案的通知</errorWord>
      <group>L1_Political</group>
      <groupName>政治性问题</groupName>
      <ability>L2_Keyword</ability>
      <abilityName>固定表述</abilityName>
      <candidateList>
        <item>《关于印发防范化解尾矿库安全风险工作方案的通知》</item>
      </candidateList>
      <explain>此处内容疑似含有固定表述相关错误，建议核查。</explain>
      <paraID>6DC24D2B</paraID>
      <start>13</start>
      <end>59</end>
      <status>modified</status>
      <modifiedWord>《关于印发防范化解尾矿库安全风险工作方案的通知》</modifiedWord>
      <trackRevisions>true</trackRevisions>
    </reviewItem>
    <reviewItem>
      <errorID>81a3096e-2f7f-4ef7-9e61-96a8e4360bbd</errorID>
      <errorWord>关于进一步加强尾矿库监督管理工作的指导意见</errorWord>
      <group>L1_Punc</group>
      <groupName>标点问题</groupName>
      <ability>L2_Punc_CN</ability>
      <abilityName>标点符号问题</abilityName>
      <candidateList>
        <item>《关于进一步加强尾矿库监督管理工作的指导意见》</item>
      </candidateList>
      <explain/>
      <paraID>410DE854</paraID>
      <start>13</start>
      <end>57</end>
      <status>modified</status>
      <modifiedWord>《关于进一步加强尾矿库监督管理工作的指导意见》</modifiedWord>
      <trackRevisions>true</trackRevisions>
    </reviewItem>
    <reviewItem>
      <errorID>23c6bc9f-9466-4339-8d1d-53a32b6fe2fa</errorID>
      <errorWord>项目严格按照</errorWord>
      <group>L1_Grammar</group>
      <groupName>语法问题</groupName>
      <ability>L2_Grammar</ability>
      <abilityName>语法错误</abilityName>
      <candidateList>
        <item>项目</item>
      </candidateList>
      <explain/>
      <paraID>7C034555</paraID>
      <start>1</start>
      <end>9</end>
      <status>modified</status>
      <modifiedWord>项目</modifiedWord>
      <trackRevisions>true</trackRevisions>
    </reviewItem>
    <reviewItem>
      <errorID>ada6549d-56e8-4de6-a00c-ad36cde17a9a</errorID>
      <errorWord>联动</errorWord>
      <group>L1_Grammar</group>
      <groupName>语法问题</groupName>
      <ability>L2_Grammar</ability>
      <abilityName>语法错误</abilityName>
      <candidateList>
        <item>联动机制</item>
      </candidateList>
      <explain/>
      <paraID>7C034555</paraID>
      <start>85</start>
      <end>91</end>
      <status>modified</status>
      <modifiedWord>联动机制</modifiedWord>
      <trackRevisions>true</trackRevisions>
    </reviewItem>
    <reviewItem>
      <errorID>d7413f41-0ca9-4bec-880b-81326cffee5b</errorID>
      <errorWord>，项目尾矿库</errorWord>
      <group>L1_Grammar</group>
      <groupName>语法问题</groupName>
      <ability>L2_Grammar</ability>
      <abilityName>语法错误</abilityName>
      <candidateList>
        <item>，</item>
      </candidateList>
      <explain/>
      <paraID>175EB1C6</paraID>
      <start>12</start>
      <end>19</end>
      <status>modified</status>
      <modifiedWord>，</modifiedWord>
      <trackRevisions>true</trackRevisions>
    </reviewItem>
    <reviewItem>
      <errorID>9c8440ef-4f37-449a-b549-9f2ea741124b</errorID>
      <errorWord>工作不能</errorWord>
      <group>L1_Grammar</group>
      <groupName>语法问题</groupName>
      <ability>L2_Grammar</ability>
      <abilityName>语法错误</abilityName>
      <candidateList>
        <item>不得</item>
      </candidateList>
      <explain/>
      <paraID>761F95DC</paraID>
      <start>35</start>
      <end>41</end>
      <status>modified</status>
      <modifiedWord>不得</modifiedWord>
      <trackRevisions>true</trackRevisions>
    </reviewItem>
    <reviewItem>
      <errorID>b8d10e2b-0fbc-4598-b1e9-1d77e792df79</errorID>
      <errorWord>进一步加强对</errorWord>
      <group>L1_Word</group>
      <groupName>字词问题</groupName>
      <ability>L2_Typo</ability>
      <abilityName>字词错误</abilityName>
      <candidateList>
        <item>进一步加强</item>
      </candidateList>
      <explain/>
      <paraID>7FE27CB7</paraID>
      <start>32</start>
      <end>38</end>
      <status>unmodified</status>
      <modifiedWord/>
      <trackRevisions>false</trackRevisions>
    </reviewItem>
    <reviewItem>
      <errorID>a4b1da06-e38a-4074-b01c-642401a16e68</errorID>
      <errorWord>法律、法规</errorWord>
      <group>L1_Word</group>
      <groupName>字词问题</groupName>
      <ability>L2_Typo</ability>
      <abilityName>字词错误</abilityName>
      <candidateList>
        <item>法律法规</item>
      </candidateList>
      <explain/>
      <paraID>7FE27CB7</paraID>
      <start>69</start>
      <end>78</end>
      <status>modified</status>
      <modifiedWord>法律法规</modifiedWord>
      <trackRevisions>true</trackRevisions>
    </reviewItem>
    <reviewItem>
      <errorID>9cdaa783-79b8-4321-b512-92da0067777a</errorID>
      <errorWord>整改和解决</errorWord>
      <group>L1_Grammar</group>
      <groupName>语法问题</groupName>
      <ability>L2_Grammar</ability>
      <abilityName>语法错误</abilityName>
      <candidateList>
        <item>整改</item>
      </candidateList>
      <explain/>
      <paraID>2ED78845</paraID>
      <start>87</start>
      <end>94</end>
      <status>modified</status>
      <modifiedWord>整改</modifiedWord>
      <trackRevisions>true</trackRevisions>
    </reviewItem>
    <reviewItem>
      <errorID>05790777-0c3e-4f23-9a49-05fafb13b4a3</errorID>
      <errorWord>回收</errorWord>
      <group>L1_Word</group>
      <groupName>字词问题</groupName>
      <ability>L2_Typo</ability>
      <abilityName>字词错误</abilityName>
      <candidateList>
        <item>回收率</item>
      </candidateList>
      <explain/>
      <paraID>472066ED</paraID>
      <start>56</start>
      <end>61</end>
      <status>modified</status>
      <modifiedWord>回收率</modifiedWord>
      <trackRevisions>true</trackRevisions>
    </reviewItem>
    <reviewItem>
      <errorID>bf3383f6-d45b-453a-862f-e060bec31b41</errorID>
      <errorWord>尽量</errorWord>
      <group>L1_Word</group>
      <groupName>字词问题</groupName>
      <ability>L2_Typo</ability>
      <abilityName>字词错误</abilityName>
      <candidateList>
        <item>如何</item>
      </candidateList>
      <explain/>
      <paraID> 9F39C84</paraID>
      <start>16</start>
      <end>20</end>
      <status>modified</status>
      <modifiedWord>如何</modifiedWord>
      <trackRevisions>true</trackRevisions>
    </reviewItem>
    <reviewItem>
      <errorID>eb0c3750-8dbd-473e-8df8-6372012b28b1</errorID>
      <errorWord>和</errorWord>
      <group>L1_Grammar</group>
      <groupName>语法问题</groupName>
      <ability>L2_Grammar</ability>
      <abilityName>语法错误</abilityName>
      <candidateList>
        <item>，加强对</item>
      </candidateList>
      <explain/>
      <paraID>399D1FC1</paraID>
      <start>9</start>
      <end>14</end>
      <status>modified</status>
      <modifiedWord>，加强对</modifiedWord>
      <trackRevisions>true</trackRevisions>
    </reviewItem>
    <reviewItem>
      <errorID>bc0fb113-4d2c-4909-9fd2-f11fc0f26c29</errorID>
      <errorWord>或者</errorWord>
      <group>L1_Word</group>
      <groupName>字词问题</groupName>
      <ability>L2_Typo</ability>
      <abilityName>字词错误</abilityName>
      <candidateList>
        <item>、</item>
      </candidateList>
      <explain/>
      <paraID>399D1FC1</paraID>
      <start>92</start>
      <end>94</end>
      <status>unmodified</status>
      <modifiedWord/>
      <trackRevisions>false</trackRevisions>
    </reviewItem>
    <reviewItem>
      <errorID>a9fd02b5-f07f-4897-8cb4-d14e77316266</errorID>
      <errorWord>已</errorWord>
      <group>L1_Word</group>
      <groupName>字词问题</groupName>
      <ability>L2_Typo</ability>
      <abilityName>字词错误</abilityName>
      <candidateList>
        <item>的已</item>
      </candidateList>
      <explain/>
      <paraID>399D1FC1</paraID>
      <start>105</start>
      <end>106</end>
      <status>unmodified</status>
      <modifiedWord/>
      <trackRevisions>false</trackRevisions>
    </reviewItem>
    <reviewItem>
      <errorID>bb8f6078-549d-4849-999c-2640d15bb465</errorID>
      <errorWord>应</errorWord>
      <group>L1_Word</group>
      <groupName>字词问题</groupName>
      <ability>L2_Typo</ability>
      <abilityName>字词错误</abilityName>
      <candidateList>
        <item>应当</item>
      </candidateList>
      <explain/>
      <paraID>399D1FC1</paraID>
      <start>231</start>
      <end>232</end>
      <status>unmodified</status>
      <modifiedWord/>
      <trackRevisions>false</trackRevisions>
    </reviewItem>
    <reviewItem>
      <errorID>dd0832c1-a385-4abf-b5a1-083eedb329ec</errorID>
      <errorWord>，</errorWord>
      <group>L1_Punc</group>
      <groupName>标点问题</groupName>
      <ability>L2_Punc_CN</ability>
      <abilityName>标点符号问题</abilityName>
      <candidateList>
        <item>。</item>
      </candidateList>
      <explain/>
      <paraID>399D1FC1</paraID>
      <start>255</start>
      <end>257</end>
      <status>modified</status>
      <modifiedWord>。</modifiedWord>
      <trackRevisions>true</trackRevisions>
    </reviewItem>
    <reviewItem>
      <errorID>05125fa4-e87c-4106-80b5-52d5a8225564</errorID>
      <errorWord>环保</errorWord>
      <group>L1_Word</group>
      <groupName>字词问题</groupName>
      <ability>L2_Typo</ability>
      <abilityName>字词错误</abilityName>
      <candidateList>
        <item>其环保</item>
      </candidateList>
      <explain/>
      <paraID>399D1FC1</paraID>
      <start>281</start>
      <end>283</end>
      <status>unmodified</status>
      <modifiedWord/>
      <trackRevisions>false</trackRevisions>
    </reviewItem>
    <reviewItem>
      <errorID>9c215cc5-a0a5-4833-88f7-e0393bfe2eeb</errorID>
      <errorWord>设置</errorWord>
      <group>L1_Word</group>
      <groupName>字词问题</groupName>
      <ability>L2_Typo</ability>
      <abilityName>字词错误</abilityName>
      <candidateList>
        <item>应设置</item>
      </candidateList>
      <explain/>
      <paraID>5BD802CF</paraID>
      <start>3</start>
      <end>8</end>
      <status>modified</status>
      <modifiedWord>应设置</modifiedWord>
      <trackRevisions>true</trackRevisions>
    </reviewItem>
    <reviewItem>
      <errorID>d85b130e-bebe-4525-85a7-d4905634cb9f</errorID>
      <errorWord>按照</errorWord>
      <group>L1_Word</group>
      <groupName>字词问题</groupName>
      <ability>L2_Typo</ability>
      <abilityName>字词错误</abilityName>
      <candidateList>
        <item>应按照</item>
      </candidateList>
      <explain/>
      <paraID>5BD802CF</paraID>
      <start>37</start>
      <end>42</end>
      <status>modified</status>
      <modifiedWord>应按照</modifiedWord>
      <trackRevisions>true</trackRevisions>
    </reviewItem>
    <reviewItem>
      <errorID>1412d4e4-0932-4073-b21b-2748622aa542</errorID>
      <errorWord>按照</errorWord>
      <group>L1_Word</group>
      <groupName>字词问题</groupName>
      <ability>L2_Typo</ability>
      <abilityName>字词错误</abilityName>
      <candidateList>
        <item>应按照</item>
      </candidateList>
      <explain/>
      <paraID>5BD802CF</paraID>
      <start>63</start>
      <end>68</end>
      <status>modified</status>
      <modifiedWord>应按照</modifiedWord>
      <trackRevisions>true</trackRevisions>
    </reviewItem>
    <reviewItem>
      <errorID>c094208d-71e5-4630-9ebc-e66c01ecc670</errorID>
      <errorWord>同时对其</errorWord>
      <group>L1_Grammar</group>
      <groupName>语法问题</groupName>
      <ability>L2_Grammar</ability>
      <abilityName>语法错误</abilityName>
      <candidateList>
        <item>同时</item>
      </candidateList>
      <explain/>
      <paraID>5BD802CF</paraID>
      <start>93</start>
      <end>99</end>
      <status>modified</status>
      <modifiedWord>同时</modifiedWord>
      <trackRevisions>true</trackRevisions>
    </reviewItem>
    <reviewItem>
      <errorID>f155fb7c-cf6d-48e7-b1ad-6fb0e2f07fcd</errorID>
      <errorWord>进行土地</errorWord>
      <group>L1_Word</group>
      <groupName>字词问题</groupName>
      <ability>L2_Typo</ability>
      <abilityName>字词错误</abilityName>
      <candidateList>
        <item>对土地进行</item>
      </candidateList>
      <explain/>
      <paraID>5BD802CF</paraID>
      <start>103</start>
      <end>112</end>
      <status>modified</status>
      <modifiedWord>对土地进行</modifiedWord>
      <trackRevisions>true</trackRevisions>
    </reviewItem>
    <reviewItem>
      <errorID>7c2cd20c-3946-4e54-9b4b-f8dbbc56704d</errorID>
      <errorWord>》的通知</errorWord>
      <group>L1_Grammar</group>
      <groupName>语法问题</groupName>
      <ability>L2_Grammar</ability>
      <abilityName>语法错误</abilityName>
      <candidateList>
        <item>》</item>
      </candidateList>
      <explain/>
      <paraID>3A9C7032</paraID>
      <start>14</start>
      <end>19</end>
      <status>modified</status>
      <modifiedWord>》</modifiedWord>
      <trackRevisions>true</trackRevisions>
    </reviewItem>
    <reviewItem>
      <errorID>ac680576-c32b-4c04-8cf2-a2351b421b1a</errorID>
      <errorWord>（</errorWord>
      <group>L1_Punc</group>
      <groupName>标点问题</groupName>
      <ability>L2_Punc_CN</ability>
      <abilityName>标点符号问题</abilityName>
      <candidateList/>
      <explain>同一形式括号套用。</explain>
      <paraID>7FCAA39F</paraID>
      <start>91</start>
      <end>92</end>
      <status>unmodified</status>
      <modifiedWord/>
      <trackRevisions>false</trackRevisions>
    </reviewItem>
    <reviewItem>
      <errorID>5f5b2597-821b-4eaa-a609-cac84b0124b0</errorID>
      <errorWord>）</errorWord>
      <group>L1_Punc</group>
      <groupName>标点问题</groupName>
      <ability>L2_Punc_CN</ability>
      <abilityName>标点符号问题</abilityName>
      <candidateList/>
      <explain>同一形式括号套用。</explain>
      <paraID>7FCAA39F</paraID>
      <start>93</start>
      <end>94</end>
      <status>unmodified</status>
      <modifiedWord/>
      <trackRevisions>false</trackRevisions>
    </reviewItem>
    <reviewItem>
      <errorID>6f477cb0-704a-4b09-931d-9b1ec8e84bf5</errorID>
      <errorWord>》</errorWord>
      <group>L1_Word</group>
      <groupName>字词问题</groupName>
      <ability>L2_Typo</ability>
      <abilityName>字词错误</abilityName>
      <candidateList>
        <item>》和</item>
      </candidateList>
      <explain/>
      <paraID> 7FD2F76</paraID>
      <start>29</start>
      <end>32</end>
      <status>modified</status>
      <modifiedWord>》和</modifiedWord>
      <trackRevisions>true</trackRevisions>
    </reviewItem>
    <reviewItem>
      <errorID>debf066b-7dc7-46d1-b115-7aaa5713aa8e</errorID>
      <errorWord>%以上</errorWord>
      <group>L1_Grammar</group>
      <groupName>语法问题</groupName>
      <ability>L2_Grammar</ability>
      <abilityName>语法错误</abilityName>
      <candidateList>
        <item>%</item>
      </candidateList>
      <explain/>
      <paraID>759D35BF</paraID>
      <start>119</start>
      <end>123</end>
      <status>modified</status>
      <modifiedWord>%</modifiedWord>
      <trackRevisions>true</trackRevisions>
    </reviewItem>
    <reviewItem>
      <errorID>87b85217-6ad4-41fe-8977-0913a8d95e3e</errorID>
      <errorWord>：第十六条</errorWord>
      <group>L1_Grammar</group>
      <groupName>语法问题</groupName>
      <ability>L2_Grammar</ability>
      <abilityName>语法错误</abilityName>
      <candidateList>
        <item>第十六条规定：</item>
      </candidateList>
      <explain/>
      <paraID>6BDC31F7</paraID>
      <start>18</start>
      <end>30</end>
      <status>modified</status>
      <modifiedWord>第十六条规定：</modifiedWord>
      <trackRevisions>true</trackRevisions>
    </reviewItem>
    <reviewItem>
      <errorID>1168d6ea-b9a1-469b-87ef-3fa48b6c48ce</errorID>
      <errorWord>）文件</errorWord>
      <group>L1_Grammar</group>
      <groupName>语法问题</groupName>
      <ability>L2_Grammar</ability>
      <abilityName>语法错误</abilityName>
      <candidateList>
        <item>）</item>
      </candidateList>
      <explain/>
      <paraID>2FE1AD45</paraID>
      <start>128</start>
      <end>132</end>
      <status>modified</status>
      <modifiedWord>）</modifiedWord>
      <trackRevisions>true</trackRevisions>
    </reviewItem>
    <reviewItem>
      <errorID>62524112-5df7-4b1f-8cee-bdee2123ff0d</errorID>
      <errorWord>提出</errorWord>
      <group>L1_Word</group>
      <groupName>字词问题</groupName>
      <ability>L2_Typo</ability>
      <abilityName>字词错误</abilityName>
      <candidateList>
        <item>的内容</item>
      </candidateList>
      <explain/>
      <paraID>1539058B</paraID>
      <start>42</start>
      <end>47</end>
      <status>modified</status>
      <modifiedWord>的内容</modifiedWord>
      <trackRevisions>true</trackRevisions>
    </reviewItem>
    <reviewItem>
      <errorID>94d7ad10-172e-499e-90e6-ad9c0eb1a301</errorID>
      <errorWord> </errorWord>
      <group>L1_Word</group>
      <groupName>字词问题</groupName>
      <ability>L2_Typo</ability>
      <abilityName>字词错误</abilityName>
      <candidateList>
        <item>°</item>
      </candidateList>
      <explain/>
      <paraID>51200A50</paraID>
      <start>14</start>
      <end>15</end>
      <status>unmodified</status>
      <modifiedWord/>
      <trackRevisions>false</trackRevisions>
    </reviewItem>
    <reviewItem>
      <errorID>d7601db8-8c66-4a89-9816-24a7a3e1162c</errorID>
      <errorWord>－－</errorWord>
      <group>L1_Punc</group>
      <groupName>标点问题</groupName>
      <ability>L2_Punc_CN</ability>
      <abilityName>标点符号问题</abilityName>
      <candidateList>
        <item>—</item>
      </candidateList>
      <explain/>
      <paraID>7942DBC5</paraID>
      <start>124</start>
      <end>127</end>
      <status>modified</status>
      <modifiedWord>—</modifiedWord>
      <trackRevisions>true</trackRevisions>
    </reviewItem>
    <reviewItem>
      <errorID>8c767eb0-7be8-4783-ba3e-56c0c20d491c</errorID>
      <errorWord>－</errorWord>
      <group>L1_Punc</group>
      <groupName>标点问题</groupName>
      <ability>L2_Punc_CN</ability>
      <abilityName>标点符号问题</abilityName>
      <candidateList>
        <item>——</item>
      </candidateList>
      <explain/>
      <paraID>3BD305FE</paraID>
      <start>1</start>
      <end>4</end>
      <status>modified</status>
      <modifiedWord>——</modifiedWord>
      <trackRevisions>true</trackRevisions>
    </reviewItem>
    <reviewItem>
      <errorID>8ae69904-f24b-4b36-bea3-649e05806073</errorID>
      <errorWord>－</errorWord>
      <group>L1_Punc</group>
      <groupName>标点问题</groupName>
      <ability>L2_Punc_CN</ability>
      <abilityName>标点符号问题</abilityName>
      <candidateList>
        <item>——</item>
      </candidateList>
      <explain/>
      <paraID>2999AC81</paraID>
      <start>1</start>
      <end>4</end>
      <status>modified</status>
      <modifiedWord>——</modifiedWord>
      <trackRevisions>true</trackRevisions>
    </reviewItem>
    <reviewItem>
      <errorID>0acb702f-4ebb-47bb-97ce-01f63fd4f1ef</errorID>
      <errorWord>选矿</errorWord>
      <group>L1_Punc</group>
      <groupName>标点问题</groupName>
      <ability>L2_Punc_CN</ability>
      <abilityName>标点符号问题</abilityName>
      <candidateList>
        <item>、选矿</item>
      </candidateList>
      <explain/>
      <paraID>49DA2921</paraID>
      <start>220</start>
      <end>222</end>
      <status>unmodified</status>
      <modifiedWord/>
      <trackRevisions>false</trackRevisions>
    </reviewItem>
    <reviewItem>
      <errorID>b3d6c306-b09f-485b-a2e4-6c83b04e02ef</errorID>
      <errorWord>固体生产</errorWord>
      <group>L1_Grammar</group>
      <groupName>语法问题</groupName>
      <ability>L2_Grammar</ability>
      <abilityName>语法错误</abilityName>
      <candidateList>
        <item>固体</item>
      </candidateList>
      <explain/>
      <paraID>49DA2921</paraID>
      <start>289</start>
      <end>293</end>
      <status>unmodified</status>
      <modifiedWord/>
      <trackRevisions>false</trackRevisions>
    </reviewItem>
    <reviewItem>
      <errorID>a03d5a26-4b30-414e-a4f0-bb044d81e904</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453B56AF</paraID>
      <start>209</start>
      <end>218</end>
      <status>unmodified</status>
      <modifiedWord/>
      <trackRevisions>false</trackRevisions>
    </reviewItem>
    <reviewItem>
      <errorID>9c29597d-0897-452e-b587-fcf2eb0f3977</errorID>
      <errorWord>生态环境保护监测</errorWord>
      <group>L1_Political</group>
      <groupName>政治性问题</groupName>
      <ability>L2_Keyword</ability>
      <abilityName>固定表述</abilityName>
      <candidateList>
        <item>生态环境保护督察</item>
      </candidateList>
      <explain>词汇“生态环境保护督察”在特定场景下为固定表述形式，请确认此处的“生态环境保护监测”是否存在不当。</explain>
      <paraID>499FED67</paraID>
      <start>5</start>
      <end>13</end>
      <status>unmodified</status>
      <modifiedWord/>
      <trackRevisions>false</trackRevisions>
    </reviewItem>
    <reviewItem>
      <errorID>b06ca212-76a8-4599-9dc8-0631c6ed61e7</errorID>
      <errorWord>：</errorWord>
      <group>L1_Punc</group>
      <groupName>标点问题</groupName>
      <ability>L2_Punc_CN</ability>
      <abilityName>标点符号问题</abilityName>
      <candidateList>
        <item>；</item>
      </candidateList>
      <explain/>
      <paraID>499FED67</paraID>
      <start>129</start>
      <end>131</end>
      <status>modified</status>
      <modifiedWord>；</modifiedWord>
      <trackRevisions>true</trackRevisions>
    </reviewItem>
    <reviewItem>
      <errorID>d46736bd-fbf2-45f6-9b25-caa221ab7adb</errorID>
      <errorWord>、</errorWord>
      <group>L1_Punc</group>
      <groupName>标点问题</groupName>
      <ability>L2_Punc_CN</ability>
      <abilityName>标点符号问题</abilityName>
      <candidateList>
        <item>，</item>
      </candidateList>
      <explain/>
      <paraID>176371B2</paraID>
      <start>65</start>
      <end>67</end>
      <status>modified</status>
      <modifiedWord>，</modifiedWord>
      <trackRevisions>true</trackRevisions>
    </reviewItem>
    <reviewItem>
      <errorID>552ced0d-46ed-4a8e-9f07-6c0e37422adf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2BB040A9</paraID>
      <start>8</start>
      <end>9</end>
      <status>unmodified</status>
      <modifiedWord/>
      <trackRevisions>false</trackRevisions>
    </reviewItem>
    <reviewItem>
      <errorID>2648f333-ed4a-4dfa-b95c-55ab81dcd472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2BB040A9</paraID>
      <start>30</start>
      <end>32</end>
      <status>modified</status>
      <modifiedWord>—</modifiedWord>
      <trackRevisions>true</trackRevisions>
    </reviewItem>
    <reviewItem>
      <errorID>65bd5337-c520-4a2d-a525-d491da01851a</errorID>
      <errorWord>和</errorWord>
      <group>L1_Punc</group>
      <groupName>标点问题</groupName>
      <ability>L2_Punc_CN</ability>
      <abilityName>标点符号问题</abilityName>
      <candidateList>
        <item>》和</item>
      </candidateList>
      <explain/>
      <paraID>2BB040A9</paraID>
      <start>38</start>
      <end>41</end>
      <status>modified</status>
      <modifiedWord>》和</modifiedWord>
      <trackRevisions>true</trackRevisions>
    </reviewItem>
    <reviewItem>
      <errorID>0a3d80dc-25c3-4f2d-a94c-aecd0f5c05af</errorID>
      <errorWord>、</errorWord>
      <group>L1_Word</group>
      <groupName>字词问题</groupName>
      <ability>L2_Typo</ability>
      <abilityName>字词错误</abilityName>
      <candidateList>
        <item>和</item>
      </candidateList>
      <explain/>
      <paraID>6C9B9FDD</paraID>
      <start>57</start>
      <end>59</end>
      <status>modified</status>
      <modifiedWord>和</modifiedWord>
      <trackRevisions>true</trackRevisions>
    </reviewItem>
    <reviewItem>
      <errorID>38003893-cfaf-4257-a206-344d1d74476b</errorID>
      <errorWord>年底前</errorWord>
      <group>L1_Word</group>
      <groupName>字词问题</groupName>
      <ability>L2_Typo</ability>
      <abilityName>字词错误</abilityName>
      <candidateList>
        <item>年底</item>
      </candidateList>
      <explain/>
      <paraID>2FA70AF1</paraID>
      <start>128</start>
      <end>131</end>
      <status>unmodified</status>
      <modifiedWord/>
      <trackRevisions>false</trackRevisions>
    </reviewItem>
    <reviewItem>
      <errorID>20a0509a-13d2-489e-a193-5b0d2dcbde43</errorID>
      <errorWord>GB18599</errorWord>
      <group>L1_Word</group>
      <groupName>字词问题</groupName>
      <ability>L2_Typo</ability>
      <abilityName>字词错误</abilityName>
      <candidateList>
        <item>GB 18599</item>
      </candidateList>
      <explain/>
      <paraID>1DA479CE</paraID>
      <start>43</start>
      <end>51</end>
      <status>modified</status>
      <modifiedWord>GB 18599</modifiedWord>
      <trackRevisions>true</trackRevisions>
    </reviewItem>
    <reviewItem>
      <errorID>0cc9f838-ce9d-4b30-93b4-472e9f19ad4e</errorID>
      <errorWord>-</errorWord>
      <group>L1_Format</group>
      <groupName>格式问题</groupName>
      <ability>L2_HalfPunc_CN</ability>
      <abilityName>全半角问题</abilityName>
      <candidateList>
        <item>－</item>
      </candidateList>
      <explain>文本全半角错误。</explain>
      <paraID>1098D27A</paraID>
      <start>3</start>
      <end>5</end>
      <status>modified</status>
      <modifiedWord>－</modifiedWord>
      <trackRevisions>true</trackRevisions>
    </reviewItem>
    <reviewItem>
      <errorID>5349c5c9-7592-4924-928d-c20b1a5424bd</errorID>
      <errorWord>机遇</errorWord>
      <group>L1_Word</group>
      <groupName>字词问题</groupName>
      <ability>L2_Typo</ability>
      <abilityName>字词错误</abilityName>
      <candidateList>
        <item>的机遇</item>
      </candidateList>
      <explain/>
      <paraID>6E153160</paraID>
      <start>27</start>
      <end>32</end>
      <status>modified</status>
      <modifiedWord>的机遇</modifiedWord>
      <trackRevisions>true</trackRevisions>
    </reviewItem>
    <reviewItem>
      <errorID>8767b52b-18b8-4c56-a470-bd78b22c4a0e</errorID>
      <errorWord>--</errorWord>
      <group>L1_Punc</group>
      <groupName>标点问题</groupName>
      <ability>L2_Punc_CN</ability>
      <abilityName>标点符号问题</abilityName>
      <candidateList>
        <item>——</item>
      </candidateList>
      <explain/>
      <paraID>10F962C3</paraID>
      <start>0</start>
      <end>2</end>
      <status>unmodified</status>
      <modifiedWord/>
      <trackRevisions>false</trackRevisions>
    </reviewItem>
    <reviewItem>
      <errorID>577718d1-0e0c-4af9-b76f-1a2591e9f022</errorID>
      <errorWord>其它</errorWord>
      <group>L1_Word</group>
      <groupName>字词问题</groupName>
      <ability>L2_Alias</ability>
      <abilityName>也作/曾用词</abilityName>
      <candidateList>
        <item>其他</item>
      </candidateList>
      <explain>词汇[其它]为不规范表述或旧称，其规范书面表述为[其他]。</explain>
      <paraID>55F989AA</paraID>
      <start>4</start>
      <end>6</end>
      <status>unmodified</status>
      <modifiedWord/>
      <trackRevisions>false</trackRevisions>
    </reviewItem>
    <reviewItem>
      <errorID>4330b672-58ce-454a-a1f9-f365bbdbdd14</errorID>
      <errorWord>联防联动机制</errorWord>
      <group>L1_Word</group>
      <groupName>字词问题</groupName>
      <ability>L2_Typo</ability>
      <abilityName>字词错误</abilityName>
      <candidateList>
        <item>联防联控机制</item>
      </candidateList>
      <explain/>
      <paraID>64019FCD</paraID>
      <start>65</start>
      <end>77</end>
      <status>modified</status>
      <modifiedWord>联防联控机制</modifiedWord>
      <trackRevisions>true</trackRevisions>
    </reviewItem>
    <reviewItem>
      <errorID>2b24d0dd-ccc5-43d3-8fbc-9bb75dd1767a</errorID>
      <errorWord>新疆自治区级</errorWord>
      <group>L1_Political</group>
      <groupName>政治性问题</groupName>
      <ability>L2_Unpolitical</ability>
      <abilityName>政治敏感错误</abilityName>
      <candidateList>
        <item>新疆维吾尔自治区级</item>
      </candidateList>
      <explain/>
      <paraID>283343E5</paraID>
      <start>5</start>
      <end>20</end>
      <status>modified</status>
      <modifiedWord>新疆维吾尔自治区级</modifiedWord>
      <trackRevisions>true</trackRevisions>
    </reviewItem>
    <reviewItem>
      <errorID>a9a76011-7983-43ae-8e31-0824db73788e</errorID>
      <errorWord>、等</errorWord>
      <group>L1_Word</group>
      <groupName>字词问题</groupName>
      <ability>L2_Typo</ability>
      <abilityName>字词错误</abilityName>
      <candidateList>
        <item>、</item>
      </candidateList>
      <explain/>
      <paraID>720CCC2D</paraID>
      <start>13</start>
      <end>16</end>
      <status>modified</status>
      <modifiedWord>、</modifiedWord>
      <trackRevisions>true</trackRevisions>
    </reviewItem>
    <reviewItem>
      <errorID>324ae868-db39-43a4-81d6-1660a2aac1d8</errorID>
      <errorWord>)</errorWord>
      <group>L1_Format</group>
      <groupName>格式问题</groupName>
      <ability>L2_HalfPunc_CN</ability>
      <abilityName>全半角问题</abilityName>
      <candidateList>
        <item>）</item>
      </candidateList>
      <explain>文本全半角错误。</explain>
      <paraID>1E2DB2C8</paraID>
      <start>34</start>
      <end>36</end>
      <status>modified</status>
      <modifiedWord>）</modifiedWord>
      <trackRevisions>true</trackRevisions>
    </reviewItem>
    <reviewItem>
      <errorID>8d7ab8c4-31da-452f-a128-2f052be35481</errorID>
      <errorWord>～</errorWord>
      <group>L1_Format</group>
      <groupName>格式问题</groupName>
      <ability>L2_HalfPunc_CN</ability>
      <abilityName>全半角问题</abilityName>
      <candidateList>
        <item>~</item>
      </candidateList>
      <explain>文本全半角错误。</explain>
      <paraID>56231BEB</paraID>
      <start>1</start>
      <end>3</end>
      <status>modified</status>
      <modifiedWord>~</modifiedWord>
      <trackRevisions>true</trackRevisions>
    </reviewItem>
    <reviewItem>
      <errorID>37fa8ba6-0cd3-4e87-8e79-e39739ec7051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4401A917</paraID>
      <start>80</start>
      <end>81</end>
      <status>unmodified</status>
      <modifiedWord/>
      <trackRevisions>false</trackRevisions>
    </reviewItem>
    <reviewItem>
      <errorID>1de97050-2f14-46a7-b6f6-0c58c33626dc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52B236DD</paraID>
      <start>0</start>
      <end>2</end>
      <status>unmodified</status>
      <modifiedWord/>
      <trackRevisions>false</trackRevisions>
    </reviewItem>
    <reviewItem>
      <errorID>16b0181e-d2b8-4613-a726-4ee1a3de5412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11F734FA</paraID>
      <start>0</start>
      <end>2</end>
      <status>unmodified</status>
      <modifiedWord/>
      <trackRevisions>false</trackRevisions>
    </reviewItem>
    <reviewItem>
      <errorID>430bfe5b-b67a-49d8-918e-5680f6e0b385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5571BBDB</paraID>
      <start>0</start>
      <end>2</end>
      <status>unmodified</status>
      <modifiedWord/>
      <trackRevisions>false</trackRevisions>
    </reviewItem>
    <reviewItem>
      <errorID>1d6951e8-e375-4257-9841-6ff4f453ddb6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90C2FFC</paraID>
      <start>0</start>
      <end>2</end>
      <status>unmodified</status>
      <modifiedWord/>
      <trackRevisions>false</trackRevisions>
    </reviewItem>
    <reviewItem>
      <errorID>1f36b962-a8b7-4ded-a672-88f67c41a2c2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28BD526B</paraID>
      <start>0</start>
      <end>2</end>
      <status>unmodified</status>
      <modifiedWord/>
      <trackRevisions>false</trackRevisions>
    </reviewItem>
    <reviewItem>
      <errorID>5d5d1855-80d6-4cc7-9742-8809839ce5a1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3F9D207A</paraID>
      <start>0</start>
      <end>2</end>
      <status>unmodified</status>
      <modifiedWord/>
      <trackRevisions>false</trackRevisions>
    </reviewItem>
    <reviewItem>
      <errorID>d0a6eb53-7f14-46f4-8dbc-84922378190b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6BC876A5</paraID>
      <start>0</start>
      <end>2</end>
      <status>unmodified</status>
      <modifiedWord/>
      <trackRevisions>false</trackRevisions>
    </reviewItem>
    <reviewItem>
      <errorID>62ea10b1-79a1-4c55-90bc-6f7ed5d8d132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1A1F248E</paraID>
      <start>0</start>
      <end>2</end>
      <status>unmodified</status>
      <modifiedWord/>
      <trackRevisions>false</trackRevisions>
    </reviewItem>
    <reviewItem>
      <errorID>0c261457-e8ab-4bd0-959f-63f24886a856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53B70ACA</paraID>
      <start>0</start>
      <end>2</end>
      <status>unmodified</status>
      <modifiedWord/>
      <trackRevisions>false</trackRevisions>
    </reviewItem>
    <reviewItem>
      <errorID>00ffa2db-beac-436c-b6b3-68f83ef65c07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3083C5BE</paraID>
      <start>0</start>
      <end>2</end>
      <status>unmodified</status>
      <modifiedWord/>
      <trackRevisions>false</trackRevisions>
    </reviewItem>
    <reviewItem>
      <errorID>dcdd070d-0557-49ec-9f88-94569c884117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40995519</paraID>
      <start>0</start>
      <end>2</end>
      <status>unmodified</status>
      <modifiedWord/>
      <trackRevisions>false</trackRevisions>
    </reviewItem>
    <reviewItem>
      <errorID>b72ba893-9ee7-4d5c-9f0f-1228f9220bcf</errorID>
      <errorWord>，</errorWord>
      <group>L1_Format</group>
      <groupName>格式问题</groupName>
      <ability>L2_HalfPunc_CN</ability>
      <abilityName>全半角问题</abilityName>
      <candidateList>
        <item>,</item>
      </candidateList>
      <explain>文本全半角错误。</explain>
      <paraID>39792ED3</paraID>
      <start>8</start>
      <end>9</end>
      <status>unmodified</status>
      <modifiedWord/>
      <trackRevisions>false</trackRevisions>
    </reviewItem>
    <reviewItem>
      <errorID>14b412e4-ce33-47ec-92e8-6b4be61b3178</errorID>
      <errorWord>（</errorWord>
      <group>L1_Format</group>
      <groupName>格式问题</groupName>
      <ability>L2_HalfPunc_CN</ability>
      <abilityName>全半角问题</abilityName>
      <candidateList>
        <item>(</item>
      </candidateList>
      <explain>文本全半角错误。</explain>
      <paraID>31E574D0</paraID>
      <start>2</start>
      <end>3</end>
      <status>unmodified</status>
      <modifiedWord/>
      <trackRevisions>false</trackRevisions>
    </reviewItem>
    <reviewItem>
      <errorID>f97a874e-4e9b-4b63-a6be-7939bc6705d3</errorID>
      <errorWord>）</errorWord>
      <group>L1_Format</group>
      <groupName>格式问题</groupName>
      <ability>L2_HalfPunc_CN</ability>
      <abilityName>全半角问题</abilityName>
      <candidateList>
        <item>)</item>
      </candidateList>
      <explain>文本全半角错误。</explain>
      <paraID>31E574D0</paraID>
      <start>4</start>
      <end>6</end>
      <status>modified</status>
      <modifiedWord>)</modifiedWord>
      <trackRevisions>true</trackRevisions>
    </reviewItem>
    <reviewItem>
      <errorID>516de60d-125c-4170-994f-e0246b7e4870</errorID>
      <errorWord>～</errorWord>
      <group>L1_Format</group>
      <groupName>格式问题</groupName>
      <ability>L2_HalfPunc_CN</ability>
      <abilityName>全半角问题</abilityName>
      <candidateList>
        <item>~</item>
      </candidateList>
      <explain>文本全半角错误。</explain>
      <paraID>5E002534</paraID>
      <start>3</start>
      <end>5</end>
      <status>modified</status>
      <modifiedWord>~</modifiedWord>
      <trackRevisions>true</trackRevisions>
    </reviewItem>
    <reviewItem>
      <errorID>32e4eb62-269d-4d56-807c-669975928a0f</errorID>
      <errorWord>无不</errorWord>
      <group>L1_Word</group>
      <groupName>字词问题</groupName>
      <ability>L2_Typo</ability>
      <abilityName>字词错误</abilityName>
      <candidateList>
        <item>无比</item>
      </candidateList>
      <explain>存在发音相近字词的误用。</explain>
      <paraID>751E40C0</paraID>
      <start>0</start>
      <end>2</end>
      <status>unmodified</status>
      <modifiedWord/>
      <trackRevisions>false</trackRevisions>
    </reviewItem>
    <reviewItem>
      <errorID>e2a05866-25c4-49a2-b177-4ff3878f9b03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351A50FC</paraID>
      <start>27</start>
      <end>28</end>
      <status>unmodified</status>
      <modifiedWord/>
      <trackRevisions>false</trackRevisions>
    </reviewItem>
    <reviewItem>
      <errorID>3a1ecac0-90c1-4fff-b95f-e894aaf593e4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7FEE3CF4</paraID>
      <start>82</start>
      <end>83</end>
      <status>unmodified</status>
      <modifiedWord/>
      <trackRevisions>false</trackRevisions>
    </reviewItem>
    <reviewItem>
      <errorID>f8bea9cc-2fdd-47cf-84a6-48c7513c9d29</errorID>
      <errorWord>(</errorWord>
      <group>L1_Format</group>
      <groupName>格式问题</groupName>
      <ability>L2_HalfPunc_CN</ability>
      <abilityName>全半角问题</abilityName>
      <candidateList>
        <item>（</item>
      </candidateList>
      <explain>文本全半角错误。</explain>
      <paraID> 9898D77</paraID>
      <start>4</start>
      <end>5</end>
      <status>unmodified</status>
      <modifiedWord/>
      <trackRevisions>false</trackRevisions>
    </reviewItem>
    <reviewItem>
      <errorID>a171e7a3-6753-4352-a437-158726e77aea</errorID>
      <errorWord>)</errorWord>
      <group>L1_Format</group>
      <groupName>格式问题</groupName>
      <ability>L2_HalfPunc_CN</ability>
      <abilityName>全半角问题</abilityName>
      <candidateList>
        <item>）</item>
      </candidateList>
      <explain>文本全半角错误。</explain>
      <paraID> 9898D77</paraID>
      <start>6</start>
      <end>7</end>
      <status>unmodified</status>
      <modifiedWord/>
      <trackRevisions>false</trackRevisions>
    </reviewItem>
    <reviewItem>
      <errorID>cfb01669-9d9d-47d1-839c-15e343e06f12</errorID>
      <errorWord>(</errorWord>
      <group>L1_Format</group>
      <groupName>格式问题</groupName>
      <ability>L2_HalfPunc_CN</ability>
      <abilityName>全半角问题</abilityName>
      <candidateList>
        <item>（</item>
      </candidateList>
      <explain>文本全半角错误。</explain>
      <paraID>7D04BCE8</paraID>
      <start>4</start>
      <end>5</end>
      <status>unmodified</status>
      <modifiedWord/>
      <trackRevisions>false</trackRevisions>
    </reviewItem>
    <reviewItem>
      <errorID>79ac91d9-af6a-4a7f-8c28-099ba480d4da</errorID>
      <errorWord>)</errorWord>
      <group>L1_Format</group>
      <groupName>格式问题</groupName>
      <ability>L2_HalfPunc_CN</ability>
      <abilityName>全半角问题</abilityName>
      <candidateList>
        <item>）</item>
      </candidateList>
      <explain>文本全半角错误。</explain>
      <paraID>7D04BCE8</paraID>
      <start>6</start>
      <end>8</end>
      <status>modified</status>
      <modifiedWord>）</modifiedWord>
      <trackRevisions>true</trackRevisions>
    </reviewItem>
    <reviewItem>
      <errorID>60b23426-023e-488e-8857-4f9548020f65</errorID>
      <errorWord>(</errorWord>
      <group>L1_Format</group>
      <groupName>格式问题</groupName>
      <ability>L2_HalfPunc_CN</ability>
      <abilityName>全半角问题</abilityName>
      <candidateList>
        <item>（</item>
      </candidateList>
      <explain>文本全半角错误。</explain>
      <paraID>39D016B4</paraID>
      <start>4</start>
      <end>6</end>
      <status>modified</status>
      <modifiedWord>（</modifiedWord>
      <trackRevisions>true</trackRevisions>
    </reviewItem>
    <reviewItem>
      <errorID>51018622-3938-4f43-9d24-c67112b98121</errorID>
      <errorWord>)</errorWord>
      <group>L1_Format</group>
      <groupName>格式问题</groupName>
      <ability>L2_HalfPunc_CN</ability>
      <abilityName>全半角问题</abilityName>
      <candidateList>
        <item>）</item>
      </candidateList>
      <explain>文本全半角错误。</explain>
      <paraID>39D016B4</paraID>
      <start>7</start>
      <end>9</end>
      <status>modified</status>
      <modifiedWord>）</modifiedWord>
      <trackRevisions>true</trackRevisions>
    </reviewItem>
    <reviewItem>
      <errorID>a7855b56-4ed1-455e-a935-6905d41f77ff</errorID>
      <errorWord>-</errorWord>
      <group>L1_Format</group>
      <groupName>格式问题</groupName>
      <ability>L2_HalfPunc_CN</ability>
      <abilityName>全半角问题</abilityName>
      <candidateList>
        <item>－</item>
      </candidateList>
      <explain>文本全半角错误。</explain>
      <paraID>79B262F7</paraID>
      <start>30</start>
      <end>32</end>
      <status>modified</status>
      <modifiedWord>－</modifiedWord>
      <trackRevisions>true</trackRevisions>
    </reviewItem>
    <reviewItem>
      <errorID>dc7e8f97-d885-457d-a0b2-a6989e56a69f</errorID>
      <errorWord>-</errorWord>
      <group>L1_Format</group>
      <groupName>格式问题</groupName>
      <ability>L2_HalfPunc_CN</ability>
      <abilityName>全半角问题</abilityName>
      <candidateList>
        <item>－</item>
      </candidateList>
      <explain>文本全半角错误。</explain>
      <paraID>79B262F7</paraID>
      <start>189</start>
      <end>191</end>
      <status>modified</status>
      <modifiedWord>－</modifiedWord>
      <trackRevisions>true</trackRevisions>
    </reviewItem>
    <reviewItem>
      <errorID>fb0cd56c-ad9e-453f-a766-35f70d23bb57</errorID>
      <errorWord>相关的其它</errorWord>
      <group>L1_Word</group>
      <groupName>字词问题</groupName>
      <ability>L2_Alias</ability>
      <abilityName>也作/曾用词</abilityName>
      <candidateList>
        <item>相关的其他</item>
      </candidateList>
      <explain>词汇[相关的其它]为不规范表述或旧称，其规范书面表述为[相关的其他]。</explain>
      <paraID>73C74351</paraID>
      <start>72</start>
      <end>82</end>
      <status>modified</status>
      <modifiedWord>相关的其他</modifiedWord>
      <trackRevisions>true</trackRevisions>
    </reviewItem>
    <reviewItem>
      <errorID>22ae52e7-ea28-4e12-8686-8c6cefb03121</errorID>
      <errorWord>其它未</errorWord>
      <group>L1_Word</group>
      <groupName>字词问题</groupName>
      <ability>L2_Alias</ability>
      <abilityName>也作/曾用词</abilityName>
      <candidateList>
        <item>其他未</item>
      </candidateList>
      <explain>词汇[其它未]为不规范表述或旧称，其规范书面表述为[其他未]。</explain>
      <paraID>39AC85D2</paraID>
      <start>117</start>
      <end>123</end>
      <status>modified</status>
      <modifiedWord>其他未</modifiedWord>
      <trackRevisions>true</trackRevisions>
    </reviewItem>
    <reviewItem>
      <errorID>67de55b5-ed80-494a-9707-5deb00805fc5</errorID>
      <errorWord>-</errorWord>
      <group>L1_Format</group>
      <groupName>格式问题</groupName>
      <ability>L2_HalfPunc_CN</ability>
      <abilityName>全半角问题</abilityName>
      <candidateList>
        <item>－</item>
      </candidateList>
      <explain>文本全半角错误。</explain>
      <paraID> EB49972</paraID>
      <start>3</start>
      <end>5</end>
      <status>modified</status>
      <modifiedWord>－</modifiedWord>
      <trackRevisions>true</trackRevisions>
    </reviewItem>
    <reviewItem>
      <errorID>2df8f65b-187f-4448-8cac-5a3125dd583b</errorID>
      <errorWord>其它专题</errorWord>
      <group>L1_Word</group>
      <groupName>字词问题</groupName>
      <ability>L2_Alias</ability>
      <abilityName>也作/曾用词</abilityName>
      <candidateList>
        <item>其他专题</item>
      </candidateList>
      <explain>词汇[其它专题]为不规范表述或旧称，其规范书面表述为[其他专题]。</explain>
      <paraID>3A364644</paraID>
      <start>99</start>
      <end>107</end>
      <status>modified</status>
      <modifiedWord>其他专题</modifiedWord>
      <trackRevisions>true</trackRevisions>
    </reviewItem>
    <reviewItem>
      <errorID>e525ccbe-6699-493a-adfc-736f57667981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F5B323C</paraID>
      <start>2</start>
      <end>3</end>
      <status>ignored</status>
      <modifiedWord/>
      <trackRevisions>false</trackRevisions>
    </reviewItem>
    <reviewItem>
      <errorID>ed36504f-a1be-4cb3-aee5-cf4dc52bf903</errorID>
      <errorWord>(</errorWord>
      <group>L1_Format</group>
      <groupName>格式问题</groupName>
      <ability>L2_HalfPunc_CN</ability>
      <abilityName>全半角问题</abilityName>
      <candidateList>
        <item>（</item>
      </candidateList>
      <explain>文本全半角错误。</explain>
      <paraID>44CD0009</paraID>
      <start>13</start>
      <end>15</end>
      <status>modified</status>
      <modifiedWord>（</modifiedWord>
      <trackRevisions>true</trackRevisions>
    </reviewItem>
    <reviewItem>
      <errorID>b6e05369-80f9-41cc-8e54-8347edd7c163</errorID>
      <errorWord>(</errorWord>
      <group>L1_Format</group>
      <groupName>格式问题</groupName>
      <ability>L2_HalfPunc_CN</ability>
      <abilityName>全半角问题</abilityName>
      <candidateList>
        <item>（</item>
      </candidateList>
      <explain>文本全半角错误。</explain>
      <paraID>106319C9</paraID>
      <start>13</start>
      <end>14</end>
      <status>modified</status>
      <modifiedWord>（</modifiedWord>
      <trackRevisions>true</trackRevisions>
    </reviewItem>
    <reviewItem>
      <errorID>da76ea1d-d46c-4cdb-8207-aa7a957f1203</errorID>
      <errorWord>有有</errorWord>
      <group>L1_Word</group>
      <groupName>字词问题</groupName>
      <ability>L2_Typo</ability>
      <abilityName>字词错误</abilityName>
      <candidateList>
        <item>有</item>
      </candidateList>
      <explain/>
      <paraID>126A4F20</paraID>
      <start>2</start>
      <end>4</end>
      <status>modified</status>
      <modifiedWord>有</modifiedWord>
      <trackRevisions>true</trackRevisions>
    </reviewItem>
    <reviewItem>
      <errorID>c818ab5e-070f-49a3-8fcb-49b9bab8d726</errorID>
      <errorWord>设</errorWord>
      <group>L1_Word</group>
      <groupName>字词问题</groupName>
      <ability>L2_Typo</ability>
      <abilityName>字词错误</abilityName>
      <candidateList>
        <item>设置</item>
      </candidateList>
      <explain/>
      <paraID> 1869897</paraID>
      <start>52</start>
      <end>55</end>
      <status>modified</status>
      <modifiedWord>设置</modifiedWord>
      <trackRevisions>true</trackRevisions>
    </reviewItem>
    <reviewItem>
      <errorID>75387f08-c713-48f0-9c09-54736b671ca3</errorID>
      <errorWord>)</errorWord>
      <group>L1_Format</group>
      <groupName>格式问题</groupName>
      <ability>L2_HalfPunc_CN</ability>
      <abilityName>全半角问题</abilityName>
      <candidateList>
        <item>）</item>
      </candidateList>
      <explain>文本全半角错误。</explain>
      <paraID>23987E8C</paraID>
      <start>49</start>
      <end>51</end>
      <status>modified</status>
      <modifiedWord>）</modifiedWord>
      <trackRevisions>true</trackRevisions>
    </reviewItem>
    <reviewItem>
      <errorID>5b1e238c-a4a1-444f-9671-7b9ed5f6e38f</errorID>
      <errorWord>)</errorWord>
      <group>L1_Format</group>
      <groupName>格式问题</groupName>
      <ability>L2_HalfPunc_CN</ability>
      <abilityName>全半角问题</abilityName>
      <candidateList>
        <item>）</item>
      </candidateList>
      <explain>文本全半角错误。</explain>
      <paraID>24878E6E</paraID>
      <start>98</start>
      <end>100</end>
      <status>modified</status>
      <modifiedWord>）</modifiedWord>
      <trackRevisions>true</trackRevisions>
    </reviewItem>
    <reviewItem>
      <errorID>20a1c184-33a2-485f-9146-0812b28f3d97</errorID>
      <errorWord>)</errorWord>
      <group>L1_Format</group>
      <groupName>格式问题</groupName>
      <ability>L2_HalfPunc_CN</ability>
      <abilityName>全半角问题</abilityName>
      <candidateList>
        <item>）</item>
      </candidateList>
      <explain>文本全半角错误。</explain>
      <paraID>7F6FC67B</paraID>
      <start>62</start>
      <end>64</end>
      <status>modified</status>
      <modifiedWord>）</modifiedWord>
      <trackRevisions>true</trackRevisions>
    </reviewItem>
    <reviewItem>
      <errorID>d712e0e4-8eee-4821-ae90-1f3d594eb64c</errorID>
      <errorWord>)</errorWord>
      <group>L1_Format</group>
      <groupName>格式问题</groupName>
      <ability>L2_HalfPunc_CN</ability>
      <abilityName>全半角问题</abilityName>
      <candidateList>
        <item>）</item>
      </candidateList>
      <explain>文本全半角错误。</explain>
      <paraID>35466C6D</paraID>
      <start>60</start>
      <end>62</end>
      <status>modified</status>
      <modifiedWord>）</modifiedWord>
      <trackRevisions>true</trackRevisions>
    </reviewItem>
    <reviewItem>
      <errorID>5a841697-6653-40fe-96d9-eec600295f97</errorID>
      <errorWord>)</errorWord>
      <group>L1_Format</group>
      <groupName>格式问题</groupName>
      <ability>L2_HalfPunc_CN</ability>
      <abilityName>全半角问题</abilityName>
      <candidateList>
        <item>）</item>
      </candidateList>
      <explain>文本全半角错误。</explain>
      <paraID>4CA21C97</paraID>
      <start>52</start>
      <end>54</end>
      <status>modified</status>
      <modifiedWord>）</modifiedWord>
      <trackRevisions>true</trackRevisions>
    </reviewItem>
    <reviewItem>
      <errorID>8f640720-bac8-4956-9eb8-602c7b338059</errorID>
      <errorWord>)</errorWord>
      <group>L1_Format</group>
      <groupName>格式问题</groupName>
      <ability>L2_HalfPunc_CN</ability>
      <abilityName>全半角问题</abilityName>
      <candidateList>
        <item>）</item>
      </candidateList>
      <explain>文本全半角错误。</explain>
      <paraID>30A190C4</paraID>
      <start>110</start>
      <end>112</end>
      <status>modified</status>
      <modifiedWord>）</modifiedWord>
      <trackRevisions>true</trackRevisions>
    </reviewItem>
    <reviewItem>
      <errorID>cae6041b-f4d4-4fc0-944a-1e3f9eecb447</errorID>
      <errorWord>)</errorWord>
      <group>L1_Format</group>
      <groupName>格式问题</groupName>
      <ability>L2_HalfPunc_CN</ability>
      <abilityName>全半角问题</abilityName>
      <candidateList>
        <item>）</item>
      </candidateList>
      <explain>文本全半角错误。</explain>
      <paraID>4EA139FA</paraID>
      <start>48</start>
      <end>50</end>
      <status>modified</status>
      <modifiedWord>）</modifiedWord>
      <trackRevisions>true</trackRevisions>
    </reviewItem>
    <reviewItem>
      <errorID>86f716b5-c5b7-4055-9c33-91eb888bac2e</errorID>
      <errorWord>前</errorWord>
      <group>L1_Word</group>
      <groupName>字词问题</groupName>
      <ability>L2_Typo</ability>
      <abilityName>字词错误</abilityName>
      <candidateList>
        <item>前尚</item>
      </candidateList>
      <explain/>
      <paraID>12322036</paraID>
      <start>29</start>
      <end>32</end>
      <status>modified</status>
      <modifiedWord>前尚</modifiedWord>
      <trackRevisions>true</trackRevisions>
    </reviewItem>
    <reviewItem>
      <errorID>e72afdd3-d975-45c3-8938-94508a6450a3</errorID>
      <errorWord>：</errorWord>
      <group>L1_Format</group>
      <groupName>格式问题</groupName>
      <ability>L2_HalfPunc_CN</ability>
      <abilityName>全半角问题</abilityName>
      <candidateList>
        <item>:</item>
      </candidateList>
      <explain>文本全半角错误。</explain>
      <paraID>26196692</paraID>
      <start>30</start>
      <end>32</end>
      <status>modified</status>
      <modifiedWord>:</modifiedWord>
      <trackRevisions>true</trackRevisions>
    </reviewItem>
    <reviewItem>
      <errorID>dea26fa5-07f0-4a2d-b4ea-5d32435687ba</errorID>
      <errorWord>：</errorWord>
      <group>L1_Format</group>
      <groupName>格式问题</groupName>
      <ability>L2_HalfPunc_CN</ability>
      <abilityName>全半角问题</abilityName>
      <candidateList>
        <item>:</item>
      </candidateList>
      <explain>文本全半角错误。</explain>
      <paraID>26196692</paraID>
      <start>42</start>
      <end>44</end>
      <status>modified</status>
      <modifiedWord>:</modifiedWord>
      <trackRevisions>true</trackRevisions>
    </reviewItem>
    <reviewItem>
      <errorID>44b78cd2-59dd-45a0-b798-5947b6752a69</errorID>
      <errorWord>前完成整改</errorWord>
      <group>L1_Word</group>
      <groupName>字词问题</groupName>
      <ability>L2_Typo</ability>
      <abilityName>字词错误</abilityName>
      <candidateList>
        <item>前已完成整改</item>
      </candidateList>
      <explain/>
      <paraID>13DAC0F0</paraID>
      <start>17</start>
      <end>22</end>
      <status>unmodified</status>
      <modifiedWord/>
      <trackRevisions>false</trackRevisions>
    </reviewItem>
    <reviewItem>
      <errorID>bf64ffd1-56f6-4b2b-b5f0-0257d78ccdc3</errorID>
      <errorWord>"</errorWord>
      <group>L1_Format</group>
      <groupName>格式问题</groupName>
      <ability>L2_HalfPunc_CN</ability>
      <abilityName>全半角问题</abilityName>
      <candidateList>
        <item>“</item>
      </candidateList>
      <explain>文本全半角错误。</explain>
      <paraID>2154B211</paraID>
      <start>29</start>
      <end>30</end>
      <status>modified</status>
      <modifiedWord>“</modifiedWord>
      <trackRevisions>true</trackRevisions>
    </reviewItem>
    <reviewItem>
      <errorID>6df220f0-aa50-4658-a343-b6759ec8710e</errorID>
      <errorWord>"</errorWord>
      <group>L1_Format</group>
      <groupName>格式问题</groupName>
      <ability>L2_HalfPunc_CN</ability>
      <abilityName>全半角问题</abilityName>
      <candidateList>
        <item>”</item>
      </candidateList>
      <explain>文本全半角错误。</explain>
      <paraID>2154B211</paraID>
      <start>34</start>
      <end>35</end>
      <status>modified</status>
      <modifiedWord>”</modifiedWord>
      <trackRevisions>true</trackRevisions>
    </reviewItem>
    <reviewItem>
      <errorID>138829ae-f8b6-42d7-b5f4-3d0f1103046c</errorID>
      <errorWord>"</errorWord>
      <group>L1_Format</group>
      <groupName>格式问题</groupName>
      <ability>L2_HalfPunc_CN</ability>
      <abilityName>全半角问题</abilityName>
      <candidateList/>
      <explain>文本全半角错误。</explain>
      <paraID>40721B8F</paraID>
      <start>104</start>
      <end>105</end>
      <status>ignored</status>
      <modifiedWord/>
      <trackRevisions>false</trackRevisions>
    </reviewItem>
    <reviewItem>
      <errorID>baaf23b6-e359-4d5c-9364-fbf3d96edf8a</errorID>
      <errorWord>年</errorWord>
      <group>L1_Word</group>
      <groupName>字词问题</groupName>
      <ability>L2_Typo</ability>
      <abilityName>字词错误</abilityName>
      <candidateList>
        <item>年第</item>
      </candidateList>
      <explain/>
      <paraID>38EDBA21</paraID>
      <start>58</start>
      <end>59</end>
      <status>unmodified</status>
      <modifiedWord/>
      <trackRevisions>false</trackRevisions>
    </reviewItem>
    <reviewItem>
      <errorID>745e0eaf-d4c7-48f5-9949-8d7f8334173b</errorID>
      <errorWord>*</errorWord>
      <group>L1_Punc</group>
      <groupName>标点问题</groupName>
      <ability>L2_Punc_CN</ability>
      <abilityName>标点符号问题</abilityName>
      <candidateList/>
      <explain/>
      <paraID> D0BFBCB</paraID>
      <start>0</start>
      <end>1</end>
      <status>unmodified</status>
      <modifiedWord/>
      <trackRevisions>false</trackRevisions>
    </reviewItem>
    <reviewItem>
      <errorID>05a57c94-4734-43d9-9144-75ea8abd0f80</errorID>
      <errorWord>*</errorWord>
      <group>L1_Punc</group>
      <groupName>标点问题</groupName>
      <ability>L2_Punc_CN</ability>
      <abilityName>标点符号问题</abilityName>
      <candidateList/>
      <explain/>
      <paraID>6E40E5F7</paraID>
      <start>0</start>
      <end>1</end>
      <status>unmodified</status>
      <modifiedWord/>
      <trackRevisions>false</trackRevisions>
    </reviewItem>
    <reviewItem>
      <errorID>fc56d289-1b9a-4d98-90db-83c6762ae9de</errorID>
      <errorWord>*</errorWord>
      <group>L1_Punc</group>
      <groupName>标点问题</groupName>
      <ability>L2_Punc_CN</ability>
      <abilityName>标点符号问题</abilityName>
      <candidateList/>
      <explain/>
      <paraID>1D7F07DB</paraID>
      <start>0</start>
      <end>1</end>
      <status>unmodified</status>
      <modifiedWord/>
      <trackRevisions>false</trackRevisions>
    </reviewItem>
    <reviewItem>
      <errorID>9ea0f6ab-d825-492d-9b21-8b209e636312</errorID>
      <errorWord>*</errorWord>
      <group>L1_Punc</group>
      <groupName>标点问题</groupName>
      <ability>L2_Punc_CN</ability>
      <abilityName>标点符号问题</abilityName>
      <candidateList/>
      <explain/>
      <paraID> E9F00E6</paraID>
      <start>0</start>
      <end>1</end>
      <status>unmodified</status>
      <modifiedWord/>
      <trackRevisions>false</trackRevisions>
    </reviewItem>
    <reviewItem>
      <errorID>ce872887-6dd7-459e-b831-5102a1b70d98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4D386443</paraID>
      <start>9</start>
      <end>10</end>
      <status>unmodified</status>
      <modifiedWord/>
      <trackRevisions>false</trackRevisions>
    </reviewItem>
    <reviewItem>
      <errorID>71a6c885-f8e0-4d0f-99e1-224836f6b394</errorID>
      <errorWord>)</errorWord>
      <group>L1_Format</group>
      <groupName>格式问题</groupName>
      <ability>L2_HalfPunc_CN</ability>
      <abilityName>全半角问题</abilityName>
      <candidateList>
        <item>）</item>
      </candidateList>
      <explain>文本全半角错误。</explain>
      <paraID>1786C0F8</paraID>
      <start>25</start>
      <end>27</end>
      <status>modified</status>
      <modifiedWord>）</modifiedWord>
      <trackRevisions>true</trackRevisions>
    </reviewItem>
    <reviewItem>
      <errorID>0c77d579-259b-4180-8a74-5d79ed3e1f40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65A5FA32</paraID>
      <start>135</start>
      <end>137</end>
      <status>modified</status>
      <modifiedWord>—</modifiedWord>
      <trackRevisions>true</trackRevisions>
    </reviewItem>
    <reviewItem>
      <errorID>12496d85-2e6f-4f50-acf3-98a07b962180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65A5FA32</paraID>
      <start>152</start>
      <end>154</end>
      <status>modified</status>
      <modifiedWord>—</modifiedWord>
      <trackRevisions>true</trackRevisions>
    </reviewItem>
    <reviewItem>
      <errorID>091fa64b-98bd-4dce-8cc5-9dc42f122b04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7702EC0E</paraID>
      <start>7</start>
      <end>9</end>
      <status>modified</status>
      <modifiedWord>—</modifiedWord>
      <trackRevisions>true</trackRevisions>
    </reviewItem>
    <reviewItem>
      <errorID>f40fd698-12a4-42a3-84a9-93fa44091395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682EA717</paraID>
      <start>7</start>
      <end>9</end>
      <status>modified</status>
      <modifiedWord>—</modifiedWord>
      <trackRevisions>true</trackRevisions>
    </reviewItem>
    <reviewItem>
      <errorID>0ff9d6c5-4fe0-4142-a4b5-3125371ce6fd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529805BE</paraID>
      <start>7</start>
      <end>9</end>
      <status>modified</status>
      <modifiedWord>—</modifiedWord>
      <trackRevisions>true</trackRevisions>
    </reviewItem>
    <reviewItem>
      <errorID>fee3c6ab-e0a1-4ccd-882d-f7887b7e83f9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1C5E5837</paraID>
      <start>7</start>
      <end>9</end>
      <status>modified</status>
      <modifiedWord>—</modifiedWord>
      <trackRevisions>true</trackRevisions>
    </reviewItem>
    <reviewItem>
      <errorID>46cddfed-4d9e-4667-ac83-bfcf6753853b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65B68733</paraID>
      <start>7</start>
      <end>9</end>
      <status>modified</status>
      <modifiedWord>—</modifiedWord>
      <trackRevisions>true</trackRevisions>
    </reviewItem>
    <reviewItem>
      <errorID>650910da-9574-453f-9e4e-371b9f76a41f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7D67E292</paraID>
      <start>7</start>
      <end>9</end>
      <status>modified</status>
      <modifiedWord>—</modifiedWord>
      <trackRevisions>true</trackRevisions>
    </reviewItem>
    <reviewItem>
      <errorID>52ab9d95-dc2b-4eeb-a6ba-833bea6d385c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746D6143</paraID>
      <start>7</start>
      <end>9</end>
      <status>modified</status>
      <modifiedWord>—</modifiedWord>
      <trackRevisions>true</trackRevisions>
    </reviewItem>
    <reviewItem>
      <errorID>143aa4cd-bbb9-4416-9894-f1f087551882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C0DA5D5</paraID>
      <start>7</start>
      <end>9</end>
      <status>modified</status>
      <modifiedWord>—</modifiedWord>
      <trackRevisions>true</trackRevisions>
    </reviewItem>
    <reviewItem>
      <errorID>b1e5963d-9642-422c-a3ff-b374a120ac26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37811687</paraID>
      <start>7</start>
      <end>9</end>
      <status>modified</status>
      <modifiedWord>—</modifiedWord>
      <trackRevisions>true</trackRevisions>
    </reviewItem>
    <reviewItem>
      <errorID>19ce5ef4-05e5-46e8-8cc8-1b41355f5a0b</errorID>
      <errorWord>)</errorWord>
      <group>L1_Format</group>
      <groupName>格式问题</groupName>
      <ability>L2_HalfPunc_CN</ability>
      <abilityName>全半角问题</abilityName>
      <candidateList>
        <item>）</item>
      </candidateList>
      <explain>文本全半角错误。</explain>
      <paraID>5C81E72F</paraID>
      <start>77</start>
      <end>79</end>
      <status>modified</status>
      <modifiedWord>）</modifiedWord>
      <trackRevisions>true</trackRevisions>
    </reviewItem>
    <reviewItem>
      <errorID>68454b40-a9a0-4f71-b1bb-5ed7e0c9f945</errorID>
      <errorWord>（</errorWord>
      <group>L1_Format</group>
      <groupName>格式问题</groupName>
      <ability>L2_HalfPunc_CN</ability>
      <abilityName>全半角问题</abilityName>
      <candidateList>
        <item>(</item>
      </candidateList>
      <explain>文本全半角错误。</explain>
      <paraID>54CF8FA8</paraID>
      <start>2</start>
      <end>4</end>
      <status>modified</status>
      <modifiedWord>(</modifiedWord>
      <trackRevisions>true</trackRevisions>
    </reviewItem>
    <reviewItem>
      <errorID>9f3c6307-9360-438b-b089-6e28283c0cd3</errorID>
      <errorWord>）</errorWord>
      <group>L1_Format</group>
      <groupName>格式问题</groupName>
      <ability>L2_HalfPunc_CN</ability>
      <abilityName>全半角问题</abilityName>
      <candidateList>
        <item>)</item>
      </candidateList>
      <explain>文本全半角错误。</explain>
      <paraID>54CF8FA8</paraID>
      <start>5</start>
      <end>7</end>
      <status>modified</status>
      <modifiedWord>)</modifiedWord>
      <trackRevisions>true</trackRevisions>
    </reviewItem>
    <reviewItem>
      <errorID>ae08628d-afd5-414b-8264-b221b518fece</errorID>
      <errorWord>（</errorWord>
      <group>L1_Format</group>
      <groupName>格式问题</groupName>
      <ability>L2_HalfPunc_CN</ability>
      <abilityName>全半角问题</abilityName>
      <candidateList>
        <item>(</item>
      </candidateList>
      <explain>文本全半角错误。</explain>
      <paraID>  B9CAEE</paraID>
      <start>2</start>
      <end>4</end>
      <status>modified</status>
      <modifiedWord>(</modifiedWord>
      <trackRevisions>true</trackRevisions>
    </reviewItem>
    <reviewItem>
      <errorID>e4e1d283-3a29-4347-b0c8-1aa862376065</errorID>
      <errorWord>）</errorWord>
      <group>L1_Format</group>
      <groupName>格式问题</groupName>
      <ability>L2_HalfPunc_CN</ability>
      <abilityName>全半角问题</abilityName>
      <candidateList>
        <item>)</item>
      </candidateList>
      <explain>文本全半角错误。</explain>
      <paraID>  B9CAEE</paraID>
      <start>5</start>
      <end>7</end>
      <status>modified</status>
      <modifiedWord>)</modifiedWord>
      <trackRevisions>true</trackRevisions>
    </reviewItem>
    <reviewItem>
      <errorID>48eda252-4750-404b-b386-842b18e057d0</errorID>
      <errorWord>（</errorWord>
      <group>L1_Format</group>
      <groupName>格式问题</groupName>
      <ability>L2_HalfPunc_CN</ability>
      <abilityName>全半角问题</abilityName>
      <candidateList>
        <item>(</item>
      </candidateList>
      <explain>文本全半角错误。</explain>
      <paraID>2FBB3928</paraID>
      <start>0</start>
      <end>2</end>
      <status>modified</status>
      <modifiedWord>(</modifiedWord>
      <trackRevisions>true</trackRevisions>
    </reviewItem>
    <reviewItem>
      <errorID>2f3e72e0-9eb9-4ec5-880a-489295636f5b</errorID>
      <errorWord>)</errorWord>
      <group>L1_Format</group>
      <groupName>格式问题</groupName>
      <ability>L2_HalfPunc_CN</ability>
      <abilityName>全半角问题</abilityName>
      <candidateList>
        <item>）</item>
      </candidateList>
      <explain>文本全半角错误。</explain>
      <paraID>3A536E29</paraID>
      <start>8</start>
      <end>10</end>
      <status>modified</status>
      <modifiedWord>）</modifiedWord>
      <trackRevisions>true</trackRevisions>
    </reviewItem>
    <reviewItem>
      <errorID>57f4573d-3bd1-499e-9270-86d995bf3775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2AB9CF29</paraID>
      <start>62</start>
      <end>63</end>
      <status>ignored</status>
      <modifiedWord/>
      <trackRevisions>false</trackRevisions>
    </reviewItem>
    <reviewItem>
      <errorID>a2438c22-cb14-46e1-9d53-996bdd4f6db2</errorID>
      <errorWord>，</errorWord>
      <group>L1_Format</group>
      <groupName>格式问题</groupName>
      <ability>L2_HalfPunc_CN</ability>
      <abilityName>全半角问题</abilityName>
      <candidateList>
        <item>, </item>
      </candidateList>
      <explain>文本全半角错误。</explain>
      <paraID>5ACEBD24</paraID>
      <start>8</start>
      <end>11</end>
      <status>modified</status>
      <modifiedWord>, </modifiedWord>
      <trackRevisions>true</trackRevisions>
    </reviewItem>
    <reviewItem>
      <errorID>df62f15e-791f-4681-a826-93ec9275cf27</errorID>
      <errorWord>，</errorWord>
      <group>L1_Format</group>
      <groupName>格式问题</groupName>
      <ability>L2_HalfPunc_CN</ability>
      <abilityName>全半角问题</abilityName>
      <candidateList>
        <item>, </item>
      </candidateList>
      <explain>文本全半角错误。</explain>
      <paraID> BC14F32</paraID>
      <start>8</start>
      <end>11</end>
      <status>modified</status>
      <modifiedWord>, </modifiedWord>
      <trackRevisions>true</trackRevisions>
    </reviewItem>
    <reviewItem>
      <errorID>6c69cfdb-8885-4f97-9e4f-ed3dbe7722e2</errorID>
      <errorWord>，</errorWord>
      <group>L1_Format</group>
      <groupName>格式问题</groupName>
      <ability>L2_HalfPunc_CN</ability>
      <abilityName>全半角问题</abilityName>
      <candidateList>
        <item>,</item>
      </candidateList>
      <explain>文本全半角错误。</explain>
      <paraID>364D476A</paraID>
      <start>8</start>
      <end>10</end>
      <status>modified</status>
      <modifiedWord>,</modifiedWord>
      <trackRevisions>true</trackRevisions>
    </reviewItem>
    <reviewItem>
      <errorID>ecb473ac-3bf6-42b7-9389-6e713bbeb6f1</errorID>
      <errorWord>，</errorWord>
      <group>L1_Format</group>
      <groupName>格式问题</groupName>
      <ability>L2_HalfPunc_CN</ability>
      <abilityName>全半角问题</abilityName>
      <candidateList>
        <item>,</item>
      </candidateList>
      <explain>文本全半角错误。</explain>
      <paraID>3239F2DD</paraID>
      <start>8</start>
      <end>10</end>
      <status>modified</status>
      <modifiedWord>,</modifiedWord>
      <trackRevisions>true</trackRevisions>
    </reviewItem>
    <reviewItem>
      <errorID>96567310-471f-40c7-9397-2c84e198b151</errorID>
      <errorWord>，</errorWord>
      <group>L1_Format</group>
      <groupName>格式问题</groupName>
      <ability>L2_HalfPunc_CN</ability>
      <abilityName>全半角问题</abilityName>
      <candidateList>
        <item>, </item>
      </candidateList>
      <explain>文本全半角错误。</explain>
      <paraID>1109BDAE</paraID>
      <start>8</start>
      <end>11</end>
      <status>modified</status>
      <modifiedWord>, </modifiedWord>
      <trackRevisions>true</trackRevisions>
    </reviewItem>
    <reviewItem>
      <errorID>68843903-5624-459f-bf92-e2d2d1879623</errorID>
      <errorWord>，</errorWord>
      <group>L1_Format</group>
      <groupName>格式问题</groupName>
      <ability>L2_HalfPunc_CN</ability>
      <abilityName>全半角问题</abilityName>
      <candidateList>
        <item>,</item>
      </candidateList>
      <explain>文本全半角错误。</explain>
      <paraID>23C39A3F</paraID>
      <start>8</start>
      <end>10</end>
      <status>modified</status>
      <modifiedWord>,</modifiedWord>
      <trackRevisions>true</trackRevisions>
    </reviewItem>
    <reviewItem>
      <errorID>f432a2e9-afee-4fc0-b0de-73fbc99a8e24</errorID>
      <errorWord>，</errorWord>
      <group>L1_Format</group>
      <groupName>格式问题</groupName>
      <ability>L2_HalfPunc_CN</ability>
      <abilityName>全半角问题</abilityName>
      <candidateList>
        <item>,</item>
      </candidateList>
      <explain>文本全半角错误。</explain>
      <paraID>342DE38C</paraID>
      <start>7</start>
      <end>9</end>
      <status>modified</status>
      <modifiedWord>,</modifiedWord>
      <trackRevisions>true</trackRevisions>
    </reviewItem>
    <reviewItem>
      <errorID>6fcd214d-edcb-4375-b52c-9c58c9cea0a8</errorID>
      <errorWord>，</errorWord>
      <group>L1_Format</group>
      <groupName>格式问题</groupName>
      <ability>L2_HalfPunc_CN</ability>
      <abilityName>全半角问题</abilityName>
      <candidateList>
        <item>, </item>
      </candidateList>
      <explain>文本全半角错误。</explain>
      <paraID> 83EB2E4</paraID>
      <start>10</start>
      <end>13</end>
      <status>modified</status>
      <modifiedWord>, </modifiedWord>
      <trackRevisions>true</trackRevisions>
    </reviewItem>
    <reviewItem>
      <errorID>45465cba-a157-435d-8fad-d4efcbb9830b</errorID>
      <errorWord>，</errorWord>
      <group>L1_Format</group>
      <groupName>格式问题</groupName>
      <ability>L2_HalfPunc_CN</ability>
      <abilityName>全半角问题</abilityName>
      <candidateList>
        <item>, </item>
      </candidateList>
      <explain>文本全半角错误。</explain>
      <paraID>7BBDEAF9</paraID>
      <start>4</start>
      <end>7</end>
      <status>modified</status>
      <modifiedWord>, </modifiedWord>
      <trackRevisions>true</trackRevisions>
    </reviewItem>
    <reviewItem>
      <errorID>f6e29800-9241-47e0-80ac-d64ae2fd0138</errorID>
      <errorWord>，</errorWord>
      <group>L1_Format</group>
      <groupName>格式问题</groupName>
      <ability>L2_HalfPunc_CN</ability>
      <abilityName>全半角问题</abilityName>
      <candidateList>
        <item>, </item>
      </candidateList>
      <explain>文本全半角错误。</explain>
      <paraID>41708F45</paraID>
      <start>4</start>
      <end>7</end>
      <status>modified</status>
      <modifiedWord>, </modifiedWord>
      <trackRevisions>true</trackRevisions>
    </reviewItem>
    <reviewItem>
      <errorID>a39a2cce-e0ee-45d8-afdd-bfb7a824ac1a</errorID>
      <errorWord>，</errorWord>
      <group>L1_Format</group>
      <groupName>格式问题</groupName>
      <ability>L2_HalfPunc_CN</ability>
      <abilityName>全半角问题</abilityName>
      <candidateList>
        <item>, </item>
      </candidateList>
      <explain>文本全半角错误。</explain>
      <paraID>53DD38DD</paraID>
      <start>4</start>
      <end>7</end>
      <status>modified</status>
      <modifiedWord>, </modifiedWord>
      <trackRevisions>true</trackRevisions>
    </reviewItem>
    <reviewItem>
      <errorID>6f57e53c-2d0a-4bf7-a60d-f921a1385043</errorID>
      <errorWord>，</errorWord>
      <group>L1_Format</group>
      <groupName>格式问题</groupName>
      <ability>L2_HalfPunc_CN</ability>
      <abilityName>全半角问题</abilityName>
      <candidateList>
        <item>,</item>
      </candidateList>
      <explain>文本全半角错误。</explain>
      <paraID>51146888</paraID>
      <start>8</start>
      <end>10</end>
      <status>modified</status>
      <modifiedWord>,</modifiedWord>
      <trackRevisions>true</trackRevisions>
    </reviewItem>
    <reviewItem>
      <errorID>b9e6ed74-ed05-4416-afda-03b3c6071752</errorID>
      <errorWord>"</errorWord>
      <group>L1_Format</group>
      <groupName>格式问题</groupName>
      <ability>L2_HalfPunc_CN</ability>
      <abilityName>全半角问题</abilityName>
      <candidateList/>
      <explain>文本全半角错误。</explain>
      <paraID>4CFDD8F0</paraID>
      <start>65</start>
      <end>66</end>
      <status>unmodified</status>
      <modifiedWord/>
      <trackRevisions>false</trackRevisions>
    </reviewItem>
    <reviewItem>
      <errorID>ad187c9b-8dac-439d-a7bf-6492713daa3c</errorID>
      <errorWord>"</errorWord>
      <group>L1_Format</group>
      <groupName>格式问题</groupName>
      <ability>L2_HalfPunc_CN</ability>
      <abilityName>全半角问题</abilityName>
      <candidateList/>
      <explain>文本全半角错误。</explain>
      <paraID>4CFDD8F0</paraID>
      <start>79</start>
      <end>80</end>
      <status>unmodified</status>
      <modifiedWord/>
      <trackRevisions>false</trackRevisions>
    </reviewItem>
    <reviewItem>
      <errorID>d126ea2e-9021-452b-82c1-ecbdc753085d</errorID>
      <errorWord>"</errorWord>
      <group>L1_Format</group>
      <groupName>格式问题</groupName>
      <ability>L2_HalfPunc_CN</ability>
      <abilityName>全半角问题</abilityName>
      <candidateList/>
      <explain>文本全半角错误。</explain>
      <paraID>4CFDD8F0</paraID>
      <start>97</start>
      <end>98</end>
      <status>unmodified</status>
      <modifiedWord/>
      <trackRevisions>false</trackRevisions>
    </reviewItem>
    <reviewItem>
      <errorID>170ab203-12e5-4727-ab48-91c072725495</errorID>
      <errorWord>"</errorWord>
      <group>L1_Format</group>
      <groupName>格式问题</groupName>
      <ability>L2_HalfPunc_CN</ability>
      <abilityName>全半角问题</abilityName>
      <candidateList>
        <item>”</item>
      </candidateList>
      <explain>文本全半角错误。</explain>
      <paraID>4CFDD8F0</paraID>
      <start>112</start>
      <end>113</end>
      <status>unmodified</status>
      <modifiedWord/>
      <trackRevisions>false</trackRevisions>
    </reviewItem>
    <reviewItem>
      <errorID>0862fd30-23dc-4820-92b7-b2fc34618e16</errorID>
      <errorWord>万</errorWord>
      <group>L1_Word</group>
      <groupName>字词问题</groupName>
      <ability>L2_Typo</ability>
      <abilityName>字词错误</abilityName>
      <candidateList>
        <item>为</item>
      </candidateList>
      <explain/>
      <paraID>536EC908</paraID>
      <start>49</start>
      <end>50</end>
      <status>unmodified</status>
      <modifiedWord/>
      <trackRevisions>false</trackRevisions>
    </reviewItem>
    <reviewItem>
      <errorID>e617f32a-e14d-40e3-9b03-d6d5d0cd7f1f</errorID>
      <errorWord>计</errorWord>
      <group>L1_Word</group>
      <groupName>字词问题</groupName>
      <ability>L2_Typo</ability>
      <abilityName>字词错误</abilityName>
      <candidateList>
        <item>计算</item>
      </candidateList>
      <explain/>
      <paraID> 7EE9310</paraID>
      <start>73</start>
      <end>76</end>
      <status>modified</status>
      <modifiedWord>计算</modifiedWord>
      <trackRevisions>true</trackRevisions>
    </reviewItem>
    <reviewItem>
      <errorID>6c37536c-d1c2-414e-ae73-c968d5950951</errorID>
      <errorWord>程</errorWord>
      <group>L1_Word</group>
      <groupName>字词问题</groupName>
      <ability>L2_Typo</ability>
      <abilityName>字词错误</abilityName>
      <candidateList>
        <item>程中</item>
      </candidateList>
      <explain/>
      <paraID>7D10F0CC</paraID>
      <start>6</start>
      <end>9</end>
      <status>modified</status>
      <modifiedWord>程中</modifiedWord>
      <trackRevisions>true</trackRevisions>
    </reviewItem>
    <reviewItem>
      <errorID>601f0af9-b645-46b7-8f91-e0611c79dc6b</errorID>
      <errorWord>-</errorWord>
      <group>L1_Format</group>
      <groupName>格式问题</groupName>
      <ability>L2_HalfPunc_CN</ability>
      <abilityName>全半角问题</abilityName>
      <candidateList>
        <item>－</item>
      </candidateList>
      <explain>文本全半角错误。</explain>
      <paraID>56B17B1F</paraID>
      <start>16</start>
      <end>18</end>
      <status>modified</status>
      <modifiedWord>－</modifiedWord>
      <trackRevisions>true</trackRevisions>
    </reviewItem>
    <reviewItem>
      <errorID>a365e821-1657-4465-8852-700501f591e0</errorID>
      <errorWord>-</errorWord>
      <group>L1_Format</group>
      <groupName>格式问题</groupName>
      <ability>L2_HalfPunc_CN</ability>
      <abilityName>全半角问题</abilityName>
      <candidateList>
        <item>－</item>
      </candidateList>
      <explain>文本全半角错误。</explain>
      <paraID>7F12FC54</paraID>
      <start>62</start>
      <end>64</end>
      <status>modified</status>
      <modifiedWord>－</modifiedWord>
      <trackRevisions>true</trackRevisions>
    </reviewItem>
    <reviewItem>
      <errorID>c39b9774-ac3e-446b-867e-544260f249d5</errorID>
      <errorWord>-</errorWord>
      <group>L1_Format</group>
      <groupName>格式问题</groupName>
      <ability>L2_HalfPunc_CN</ability>
      <abilityName>全半角问题</abilityName>
      <candidateList>
        <item>－</item>
      </candidateList>
      <explain>文本全半角错误。</explain>
      <paraID>163BB5D2</paraID>
      <start>100</start>
      <end>102</end>
      <status>modified</status>
      <modifiedWord>－</modifiedWord>
      <trackRevisions>true</trackRevisions>
    </reviewItem>
    <reviewItem>
      <errorID>2956fe0c-29a7-416b-a897-98a51486fc50</errorID>
      <errorWord>-</errorWord>
      <group>L1_Format</group>
      <groupName>格式问题</groupName>
      <ability>L2_HalfPunc_CN</ability>
      <abilityName>全半角问题</abilityName>
      <candidateList>
        <item>－</item>
      </candidateList>
      <explain>文本全半角错误。</explain>
      <paraID>163BB5D2</paraID>
      <start>126</start>
      <end>128</end>
      <status>modified</status>
      <modifiedWord>－</modifiedWord>
      <trackRevisions>true</trackRevisions>
    </reviewItem>
    <reviewItem>
      <errorID>495b93a2-5235-4586-a850-1e9254ddd31b</errorID>
      <errorWord>-</errorWord>
      <group>L1_Format</group>
      <groupName>格式问题</groupName>
      <ability>L2_HalfPunc_CN</ability>
      <abilityName>全半角问题</abilityName>
      <candidateList>
        <item>－</item>
      </candidateList>
      <explain>文本全半角错误。</explain>
      <paraID>163BB5D2</paraID>
      <start>143</start>
      <end>145</end>
      <status>modified</status>
      <modifiedWord>－</modifiedWord>
      <trackRevisions>true</trackRevisions>
    </reviewItem>
    <reviewItem>
      <errorID>79c17fcf-6529-445a-becd-8193b98a6fba</errorID>
      <errorWord>程</errorWord>
      <group>L1_Word</group>
      <groupName>字词问题</groupName>
      <ability>L2_Typo</ability>
      <abilityName>字词错误</abilityName>
      <candidateList>
        <item>程中</item>
      </candidateList>
      <explain/>
      <paraID>67E0E345</paraID>
      <start>3</start>
      <end>6</end>
      <status>modified</status>
      <modifiedWord>程中</modifiedWord>
      <trackRevisions>true</trackRevisions>
    </reviewItem>
    <reviewItem>
      <errorID>84c7ca22-05b3-4e41-b88d-f06e643b856b</errorID>
      <errorWord>)</errorWord>
      <group>L1_Format</group>
      <groupName>格式问题</groupName>
      <ability>L2_HalfPunc_CN</ability>
      <abilityName>全半角问题</abilityName>
      <candidateList>
        <item>）</item>
      </candidateList>
      <explain>文本全半角错误。</explain>
      <paraID>578DC89E</paraID>
      <start>3</start>
      <end>5</end>
      <status>modified</status>
      <modifiedWord>）</modifiedWord>
      <trackRevisions>true</trackRevisions>
    </reviewItem>
    <reviewItem>
      <errorID>aa638f54-3c39-4f3e-99e0-53a9f451c3af</errorID>
      <errorWord>（</errorWord>
      <group>L1_Format</group>
      <groupName>格式问题</groupName>
      <ability>L2_HalfPunc_CN</ability>
      <abilityName>全半角问题</abilityName>
      <candidateList>
        <item>(</item>
      </candidateList>
      <explain>文本全半角错误。</explain>
      <paraID>7CC718D2</paraID>
      <start>9</start>
      <end>11</end>
      <status>modified</status>
      <modifiedWord>(</modifiedWord>
      <trackRevisions>true</trackRevisions>
    </reviewItem>
    <reviewItem>
      <errorID>f2229c59-f9c0-4112-b555-a9cea2093102</errorID>
      <errorWord>）</errorWord>
      <group>L1_Format</group>
      <groupName>格式问题</groupName>
      <ability>L2_HalfPunc_CN</ability>
      <abilityName>全半角问题</abilityName>
      <candidateList>
        <item>)</item>
      </candidateList>
      <explain>文本全半角错误。</explain>
      <paraID>7CC718D2</paraID>
      <start>14</start>
      <end>16</end>
      <status>modified</status>
      <modifiedWord>)</modifiedWord>
      <trackRevisions>true</trackRevisions>
    </reviewItem>
    <reviewItem>
      <errorID>ed8488c4-13ee-4be0-afd1-471f4385f21c</errorID>
      <errorWord>（</errorWord>
      <group>L1_Format</group>
      <groupName>格式问题</groupName>
      <ability>L2_HalfPunc_CN</ability>
      <abilityName>全半角问题</abilityName>
      <candidateList>
        <item>(</item>
      </candidateList>
      <explain>文本全半角错误。</explain>
      <paraID>7CC718D2</paraID>
      <start>17</start>
      <end>19</end>
      <status>modified</status>
      <modifiedWord>(</modifiedWord>
      <trackRevisions>true</trackRevisions>
    </reviewItem>
    <reviewItem>
      <errorID>48f3b990-fee8-4be2-8dc5-e0db38f494da</errorID>
      <errorWord>）</errorWord>
      <group>L1_Format</group>
      <groupName>格式问题</groupName>
      <ability>L2_HalfPunc_CN</ability>
      <abilityName>全半角问题</abilityName>
      <candidateList>
        <item>)</item>
      </candidateList>
      <explain>文本全半角错误。</explain>
      <paraID>7CC718D2</paraID>
      <start>24</start>
      <end>26</end>
      <status>modified</status>
      <modifiedWord>)</modifiedWord>
      <trackRevisions>true</trackRevisions>
    </reviewItem>
    <reviewItem>
      <errorID>40dffb17-14cb-48c7-8adb-db38703c2aa5</errorID>
      <errorWord>（</errorWord>
      <group>L1_Format</group>
      <groupName>格式问题</groupName>
      <ability>L2_HalfPunc_CN</ability>
      <abilityName>全半角问题</abilityName>
      <candidateList>
        <item>(</item>
      </candidateList>
      <explain>文本全半角错误。</explain>
      <paraID>7CC718D2</paraID>
      <start>31</start>
      <end>33</end>
      <status>modified</status>
      <modifiedWord>(</modifiedWord>
      <trackRevisions>true</trackRevisions>
    </reviewItem>
    <reviewItem>
      <errorID>1c78a276-f30b-41bd-818f-330e5bb87895</errorID>
      <errorWord>）</errorWord>
      <group>L1_Format</group>
      <groupName>格式问题</groupName>
      <ability>L2_HalfPunc_CN</ability>
      <abilityName>全半角问题</abilityName>
      <candidateList>
        <item>)</item>
      </candidateList>
      <explain>文本全半角错误。</explain>
      <paraID>7CC718D2</paraID>
      <start>38</start>
      <end>40</end>
      <status>modified</status>
      <modifiedWord>)</modifiedWord>
      <trackRevisions>true</trackRevisions>
    </reviewItem>
    <reviewItem>
      <errorID>78707f98-3f37-489c-8f85-8d9be02b1aec</errorID>
      <errorWord>（</errorWord>
      <group>L1_Format</group>
      <groupName>格式问题</groupName>
      <ability>L2_HalfPunc_CN</ability>
      <abilityName>全半角问题</abilityName>
      <candidateList>
        <item>(</item>
      </candidateList>
      <explain>文本全半角错误。</explain>
      <paraID> DD0531E</paraID>
      <start>0</start>
      <end>2</end>
      <status>modified</status>
      <modifiedWord>(</modifiedWord>
      <trackRevisions>true</trackRevisions>
    </reviewItem>
    <reviewItem>
      <errorID>837ad7c3-5915-4f70-8f02-6a3dd61a7868</errorID>
      <errorWord>）</errorWord>
      <group>L1_Format</group>
      <groupName>格式问题</groupName>
      <ability>L2_HalfPunc_CN</ability>
      <abilityName>全半角问题</abilityName>
      <candidateList>
        <item>)</item>
      </candidateList>
      <explain>文本全半角错误。</explain>
      <paraID> DD0531E</paraID>
      <start>6</start>
      <end>8</end>
      <status>modified</status>
      <modifiedWord>)</modifiedWord>
      <trackRevisions>true</trackRevisions>
    </reviewItem>
    <reviewItem>
      <errorID>22cc6d2f-eb9a-4948-9cd5-a2e7c243526c</errorID>
      <errorWord>（</errorWord>
      <group>L1_Format</group>
      <groupName>格式问题</groupName>
      <ability>L2_HalfPunc_CN</ability>
      <abilityName>全半角问题</abilityName>
      <candidateList>
        <item>(</item>
      </candidateList>
      <explain>文本全半角错误。</explain>
      <paraID>10F1E5CD</paraID>
      <start>0</start>
      <end>2</end>
      <status>modified</status>
      <modifiedWord>(</modifiedWord>
      <trackRevisions>true</trackRevisions>
    </reviewItem>
    <reviewItem>
      <errorID>24817b01-7b3f-42e1-900d-e8bc3622e0ad</errorID>
      <errorWord>）</errorWord>
      <group>L1_Format</group>
      <groupName>格式问题</groupName>
      <ability>L2_HalfPunc_CN</ability>
      <abilityName>全半角问题</abilityName>
      <candidateList>
        <item>)</item>
      </candidateList>
      <explain>文本全半角错误。</explain>
      <paraID>10F1E5CD</paraID>
      <start>5</start>
      <end>7</end>
      <status>modified</status>
      <modifiedWord>)</modifiedWord>
      <trackRevisions>true</trackRevisions>
    </reviewItem>
    <reviewItem>
      <errorID>e321bc93-64a0-4620-9345-8d88c180be41</errorID>
      <errorWord>（</errorWord>
      <group>L1_Format</group>
      <groupName>格式问题</groupName>
      <ability>L2_HalfPunc_CN</ability>
      <abilityName>全半角问题</abilityName>
      <candidateList>
        <item>(</item>
      </candidateList>
      <explain>文本全半角错误。</explain>
      <paraID>2A1C105B</paraID>
      <start>0</start>
      <end>2</end>
      <status>modified</status>
      <modifiedWord>(</modifiedWord>
      <trackRevisions>true</trackRevisions>
    </reviewItem>
    <reviewItem>
      <errorID>d8bc76a5-4f65-4921-bd46-335a1119e684</errorID>
      <errorWord>）</errorWord>
      <group>L1_Format</group>
      <groupName>格式问题</groupName>
      <ability>L2_HalfPunc_CN</ability>
      <abilityName>全半角问题</abilityName>
      <candidateList>
        <item>)</item>
      </candidateList>
      <explain>文本全半角错误。</explain>
      <paraID>2A1C105B</paraID>
      <start>6</start>
      <end>8</end>
      <status>modified</status>
      <modifiedWord>)</modifiedWord>
      <trackRevisions>true</trackRevisions>
    </reviewItem>
    <reviewItem>
      <errorID>494404c9-0f0a-44fb-bee8-c11de076d389</errorID>
      <errorWord>（</errorWord>
      <group>L1_Format</group>
      <groupName>格式问题</groupName>
      <ability>L2_HalfPunc_CN</ability>
      <abilityName>全半角问题</abilityName>
      <candidateList>
        <item>(</item>
      </candidateList>
      <explain>文本全半角错误。</explain>
      <paraID>19E3C72B</paraID>
      <start>0</start>
      <end>2</end>
      <status>modified</status>
      <modifiedWord>(</modifiedWord>
      <trackRevisions>true</trackRevisions>
    </reviewItem>
    <reviewItem>
      <errorID>cd5b9252-3436-4cbc-86c8-c80185520726</errorID>
      <errorWord>）</errorWord>
      <group>L1_Format</group>
      <groupName>格式问题</groupName>
      <ability>L2_HalfPunc_CN</ability>
      <abilityName>全半角问题</abilityName>
      <candidateList>
        <item>)</item>
      </candidateList>
      <explain>文本全半角错误。</explain>
      <paraID>19E3C72B</paraID>
      <start>7</start>
      <end>9</end>
      <status>modified</status>
      <modifiedWord>)</modifiedWord>
      <trackRevisions>true</trackRevisions>
    </reviewItem>
    <reviewItem>
      <errorID>629151d2-62de-4722-a0f1-66fd34f624c1</errorID>
      <errorWord>（</errorWord>
      <group>L1_Format</group>
      <groupName>格式问题</groupName>
      <ability>L2_HalfPunc_CN</ability>
      <abilityName>全半角问题</abilityName>
      <candidateList>
        <item>(</item>
      </candidateList>
      <explain>文本全半角错误。</explain>
      <paraID>2EAE2257</paraID>
      <start>0</start>
      <end>2</end>
      <status>modified</status>
      <modifiedWord>(</modifiedWord>
      <trackRevisions>true</trackRevisions>
    </reviewItem>
    <reviewItem>
      <errorID>2dbb1fa5-b24c-4004-bc5f-09ab1eaf8224</errorID>
      <errorWord>）</errorWord>
      <group>L1_Format</group>
      <groupName>格式问题</groupName>
      <ability>L2_HalfPunc_CN</ability>
      <abilityName>全半角问题</abilityName>
      <candidateList>
        <item>)</item>
      </candidateList>
      <explain>文本全半角错误。</explain>
      <paraID>2EAE2257</paraID>
      <start>5</start>
      <end>7</end>
      <status>modified</status>
      <modifiedWord>)</modifiedWord>
      <trackRevisions>true</trackRevisions>
    </reviewItem>
    <reviewItem>
      <errorID>a83d3c94-00e7-438e-8f90-fb9b5ca1cfcf</errorID>
      <errorWord>（</errorWord>
      <group>L1_Format</group>
      <groupName>格式问题</groupName>
      <ability>L2_HalfPunc_CN</ability>
      <abilityName>全半角问题</abilityName>
      <candidateList>
        <item>(</item>
      </candidateList>
      <explain>文本全半角错误。</explain>
      <paraID>5BE2546D</paraID>
      <start>0</start>
      <end>1</end>
      <status>unmodified</status>
      <modifiedWord/>
      <trackRevisions>false</trackRevisions>
    </reviewItem>
    <reviewItem>
      <errorID>2379bf0b-de6c-4c60-a9b6-d41188526cb0</errorID>
      <errorWord>）</errorWord>
      <group>L1_Format</group>
      <groupName>格式问题</groupName>
      <ability>L2_HalfPunc_CN</ability>
      <abilityName>全半角问题</abilityName>
      <candidateList>
        <item>)</item>
      </candidateList>
      <explain>文本全半角错误。</explain>
      <paraID>5BE2546D</paraID>
      <start>5</start>
      <end>7</end>
      <status>modified</status>
      <modifiedWord>)</modifiedWord>
      <trackRevisions>true</trackRevisions>
    </reviewItem>
    <reviewItem>
      <errorID>b15b6359-2ef6-473b-9101-d35e14608d3a</errorID>
      <errorWord>（</errorWord>
      <group>L1_Format</group>
      <groupName>格式问题</groupName>
      <ability>L2_HalfPunc_CN</ability>
      <abilityName>全半角问题</abilityName>
      <candidateList>
        <item>(</item>
      </candidateList>
      <explain>文本全半角错误。</explain>
      <paraID>336975DA</paraID>
      <start>0</start>
      <end>2</end>
      <status>modified</status>
      <modifiedWord>(</modifiedWord>
      <trackRevisions>true</trackRevisions>
    </reviewItem>
    <reviewItem>
      <errorID>c08bf5f8-b1b7-4764-bb25-d3967e66d42c</errorID>
      <errorWord>）</errorWord>
      <group>L1_Format</group>
      <groupName>格式问题</groupName>
      <ability>L2_HalfPunc_CN</ability>
      <abilityName>全半角问题</abilityName>
      <candidateList>
        <item>)</item>
      </candidateList>
      <explain>文本全半角错误。</explain>
      <paraID>336975DA</paraID>
      <start>7</start>
      <end>9</end>
      <status>modified</status>
      <modifiedWord>)</modifiedWord>
      <trackRevisions>true</trackRevisions>
    </reviewItem>
    <reviewItem>
      <errorID>0317b023-12ba-4979-80f7-89b0ec450019</errorID>
      <errorWord>(</errorWord>
      <group>L1_Format</group>
      <groupName>格式问题</groupName>
      <ability>L2_HalfPunc_CN</ability>
      <abilityName>全半角问题</abilityName>
      <candidateList>
        <item>（</item>
      </candidateList>
      <explain>文本全半角错误。</explain>
      <paraID>55E209B4</paraID>
      <start>7</start>
      <end>9</end>
      <status>modified</status>
      <modifiedWord>（</modifiedWord>
      <trackRevisions>true</trackRevisions>
    </reviewItem>
    <reviewItem>
      <errorID>e2a2bc07-056f-47a7-8d76-2c30d41817d3</errorID>
      <errorWord>)</errorWord>
      <group>L1_Format</group>
      <groupName>格式问题</groupName>
      <ability>L2_HalfPunc_CN</ability>
      <abilityName>全半角问题</abilityName>
      <candidateList>
        <item>）</item>
      </candidateList>
      <explain>文本全半角错误。</explain>
      <paraID>55E209B4</paraID>
      <start>12</start>
      <end>14</end>
      <status>modified</status>
      <modifiedWord>）</modifiedWord>
      <trackRevisions>true</trackRevisions>
    </reviewItem>
    <reviewItem>
      <errorID>498d9e9b-d060-4fc1-af91-b50af19d79d0</errorID>
      <errorWord>(</errorWord>
      <group>L1_Format</group>
      <groupName>格式问题</groupName>
      <ability>L2_HalfPunc_CN</ability>
      <abilityName>全半角问题</abilityName>
      <candidateList>
        <item>（</item>
      </candidateList>
      <explain>文本全半角错误。</explain>
      <paraID> 871538C</paraID>
      <start>7</start>
      <end>9</end>
      <status>modified</status>
      <modifiedWord>（</modifiedWord>
      <trackRevisions>true</trackRevisions>
    </reviewItem>
    <reviewItem>
      <errorID>6b3e912d-5ec0-47c3-bdc1-1542b3d13a3d</errorID>
      <errorWord>)</errorWord>
      <group>L1_Format</group>
      <groupName>格式问题</groupName>
      <ability>L2_HalfPunc_CN</ability>
      <abilityName>全半角问题</abilityName>
      <candidateList>
        <item>）</item>
      </candidateList>
      <explain>文本全半角错误。</explain>
      <paraID> 871538C</paraID>
      <start>12</start>
      <end>14</end>
      <status>modified</status>
      <modifiedWord>）</modifiedWord>
      <trackRevisions>true</trackRevisions>
    </reviewItem>
    <reviewItem>
      <errorID>7c26abdc-ca58-45d7-8699-9b06e032fbf7</errorID>
      <errorWord>(</errorWord>
      <group>L1_Format</group>
      <groupName>格式问题</groupName>
      <ability>L2_HalfPunc_CN</ability>
      <abilityName>全半角问题</abilityName>
      <candidateList>
        <item>（</item>
      </candidateList>
      <explain>文本全半角错误。</explain>
      <paraID>680F2D32</paraID>
      <start>5</start>
      <end>7</end>
      <status>modified</status>
      <modifiedWord>（</modifiedWord>
      <trackRevisions>true</trackRevisions>
    </reviewItem>
    <reviewItem>
      <errorID>c600c1c7-53ce-4781-a64d-9370e093da0d</errorID>
      <errorWord>)</errorWord>
      <group>L1_Format</group>
      <groupName>格式问题</groupName>
      <ability>L2_HalfPunc_CN</ability>
      <abilityName>全半角问题</abilityName>
      <candidateList>
        <item>）</item>
      </candidateList>
      <explain>文本全半角错误。</explain>
      <paraID>680F2D32</paraID>
      <start>10</start>
      <end>12</end>
      <status>modified</status>
      <modifiedWord>）</modifiedWord>
      <trackRevisions>true</trackRevisions>
    </reviewItem>
    <reviewItem>
      <errorID>115731fd-ae25-4257-b9e8-d75df3b4ca3d</errorID>
      <errorWord>万</errorWord>
      <group>L1_Word</group>
      <groupName>字词问题</groupName>
      <ability>L2_Typo</ability>
      <abilityName>字词错误</abilityName>
      <candidateList>
        <item>万元</item>
      </candidateList>
      <explain/>
      <paraID>365FDB69</paraID>
      <start>6</start>
      <end>9</end>
      <status>modified</status>
      <modifiedWord>万元</modifiedWord>
      <trackRevisions>true</trackRevisions>
    </reviewItem>
    <reviewItem>
      <errorID>9c445506-215f-42dc-a42a-7501b3a2e32f</errorID>
      <errorWord>冲气</errorWord>
      <group>L1_Word</group>
      <groupName>字词问题</groupName>
      <ability>L2_Typo</ability>
      <abilityName>字词错误</abilityName>
      <candidateList>
        <item>充气</item>
      </candidateList>
      <explain>存在发音相同字词的误用。</explain>
      <paraID>24714562</paraID>
      <start>46</start>
      <end>48</end>
      <status>unmodified</status>
      <modifiedWord/>
      <trackRevisions>false</trackRevisions>
    </reviewItem>
    <reviewItem>
      <errorID>87d283ff-69f1-424e-9692-5004ec83baeb</errorID>
      <errorWord>冲气</errorWord>
      <group>L1_Word</group>
      <groupName>字词问题</groupName>
      <ability>L2_Typo</ability>
      <abilityName>字词错误</abilityName>
      <candidateList>
        <item>充气</item>
      </candidateList>
      <explain>存在发音相同字词的误用。</explain>
      <paraID>287F8264</paraID>
      <start>48</start>
      <end>50</end>
      <status>unmodified</status>
      <modifiedWord/>
      <trackRevisions>false</trackRevisions>
    </reviewItem>
    <reviewItem>
      <errorID>e74e27dc-9cb4-41fd-b0e6-cdb6c40aec2f</errorID>
      <errorWord>完善的</errorWord>
      <group>L1_Word</group>
      <groupName>字词问题</groupName>
      <ability>L2_Typo</ability>
      <abilityName>字词错误</abilityName>
      <candidateList>
        <item>完善</item>
      </candidateList>
      <explain/>
      <paraID>39340952</paraID>
      <start>3</start>
      <end>6</end>
      <status>unmodified</status>
      <modifiedWord/>
      <trackRevisions>false</trackRevisions>
    </reviewItem>
    <reviewItem>
      <errorID>b1e28c23-d643-4ea0-a356-992ee404eaed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7B35BB98</paraID>
      <start>32</start>
      <end>33</end>
      <status>unmodified</status>
      <modifiedWord/>
      <trackRevisions>false</trackRevisions>
    </reviewItem>
    <reviewItem>
      <errorID>ba548f78-56db-41a0-acb2-55ff6207c3e2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17479715</paraID>
      <start>115</start>
      <end>116</end>
      <status>unmodified</status>
      <modifiedWord/>
      <trackRevisions>false</trackRevisions>
    </reviewItem>
    <reviewItem>
      <errorID>ee55a16a-7845-42b1-b4a2-95c26f3bcf93</errorID>
      <errorWord>組</errorWord>
      <group>L1_Word</group>
      <groupName>字词问题</groupName>
      <ability>L2_Fanti</ability>
      <abilityName>繁转简</abilityName>
      <candidateList>
        <item>组</item>
      </candidateList>
      <explain/>
      <paraID>1F4ADEB1</paraID>
      <start>41</start>
      <end>43</end>
      <status>modified</status>
      <modifiedWord>组</modifiedWord>
      <trackRevisions>true</trackRevisions>
    </reviewItem>
    <reviewItem>
      <errorID>cfc6661f-acfc-405d-8995-43553f7014af</errorID>
      <errorWord>二叠统</errorWord>
      <group>L1_Word</group>
      <groupName>字词问题</groupName>
      <ability>L2_Typo</ability>
      <abilityName>字词错误</abilityName>
      <candidateList>
        <item>二叠纪</item>
      </candidateList>
      <explain/>
      <paraID>4C79330C</paraID>
      <start>53</start>
      <end>59</end>
      <status>modified</status>
      <modifiedWord>二叠纪</modifiedWord>
      <trackRevisions>true</trackRevisions>
    </reviewItem>
    <reviewItem>
      <errorID>1a7138f7-de2f-43fa-b89b-27252a4182b4</errorID>
      <errorWord>-</errorWord>
      <group>L1_Format</group>
      <groupName>格式问题</groupName>
      <ability>L2_HalfPunc_CN</ability>
      <abilityName>全半角问题</abilityName>
      <candidateList>
        <item>－</item>
      </candidateList>
      <explain>文本全半角错误。</explain>
      <paraID>4C79330C</paraID>
      <start>104</start>
      <end>106</end>
      <status>modified</status>
      <modifiedWord>－</modifiedWord>
      <trackRevisions>true</trackRevisions>
    </reviewItem>
    <reviewItem>
      <errorID>e8135a3c-cf02-47d2-8c32-d654861ce7a1</errorID>
      <errorWord>钛</errorWord>
      <group>L1_Word</group>
      <groupName>字词问题</groupName>
      <ability>L2_Typo</ability>
      <abilityName>字词错误</abilityName>
      <candidateList>
        <item>太</item>
      </candidateList>
      <explain>存在发音相同字词的误用。</explain>
      <paraID>4C79330C</paraID>
      <start>143</start>
      <end>145</end>
      <status>modified</status>
      <modifiedWord>太</modifiedWord>
      <trackRevisions>true</trackRevisions>
    </reviewItem>
    <reviewItem>
      <errorID>9f329f5b-4828-4725-9aa9-f19f59a56a21</errorID>
      <errorWord>組</errorWord>
      <group>L1_Word</group>
      <groupName>字词问题</groupName>
      <ability>L2_Fanti</ability>
      <abilityName>繁转简</abilityName>
      <candidateList>
        <item>组</item>
      </candidateList>
      <explain/>
      <paraID> EBF616A</paraID>
      <start>9</start>
      <end>11</end>
      <status>modified</status>
      <modifiedWord>组</modifiedWord>
      <trackRevisions>true</trackRevisions>
    </reviewItem>
    <reviewItem>
      <errorID>201a0402-e288-4045-bcfa-4db604bf580f</errorID>
      <errorWord>（</errorWord>
      <group>L1_Format</group>
      <groupName>格式问题</groupName>
      <ability>L2_HalfPunc_CN</ability>
      <abilityName>全半角问题</abilityName>
      <candidateList>
        <item>(</item>
      </candidateList>
      <explain>文本全半角错误。</explain>
      <paraID>1E6990F7</paraID>
      <start>0</start>
      <end>2</end>
      <status>modified</status>
      <modifiedWord>(</modifiedWord>
      <trackRevisions>true</trackRevisions>
    </reviewItem>
    <reviewItem>
      <errorID>c48e4f65-eb3a-400f-9e56-04be6213e781</errorID>
      <errorWord>）</errorWord>
      <group>L1_Format</group>
      <groupName>格式问题</groupName>
      <ability>L2_HalfPunc_CN</ability>
      <abilityName>全半角问题</abilityName>
      <candidateList>
        <item>)</item>
      </candidateList>
      <explain>文本全半角错误。</explain>
      <paraID>1E6990F7</paraID>
      <start>7</start>
      <end>9</end>
      <status>modified</status>
      <modifiedWord>)</modifiedWord>
      <trackRevisions>true</trackRevisions>
    </reviewItem>
    <reviewItem>
      <errorID>da36c6a6-21f9-4186-b1a4-47ed26a53a11</errorID>
      <errorWord>。</errorWord>
      <group>L1_Format</group>
      <groupName>格式问题</groupName>
      <ability>L2_HalfPunc_CN</ability>
      <abilityName>全半角问题</abilityName>
      <candidateList>
        <item>.</item>
      </candidateList>
      <explain>文本全半角错误。</explain>
      <paraID>1BAC699D</paraID>
      <start>3</start>
      <end>4</end>
      <status>unmodified</status>
      <modifiedWord/>
      <trackRevisions>false</trackRevisions>
    </reviewItem>
    <reviewItem>
      <errorID>05d5b91a-91f1-4d08-86a9-c1d30b60cd57</errorID>
      <errorWord>（</errorWord>
      <group>L1_Format</group>
      <groupName>格式问题</groupName>
      <ability>L2_HalfPunc_CN</ability>
      <abilityName>全半角问题</abilityName>
      <candidateList>
        <item>(</item>
      </candidateList>
      <explain>文本全半角错误。</explain>
      <paraID>45F77FA8</paraID>
      <start>0</start>
      <end>2</end>
      <status>modified</status>
      <modifiedWord>(</modifiedWord>
      <trackRevisions>true</trackRevisions>
    </reviewItem>
    <reviewItem>
      <errorID>300d8544-ce43-4904-81b5-574f03ed867a</errorID>
      <errorWord>）</errorWord>
      <group>L1_Format</group>
      <groupName>格式问题</groupName>
      <ability>L2_HalfPunc_CN</ability>
      <abilityName>全半角问题</abilityName>
      <candidateList>
        <item>)</item>
      </candidateList>
      <explain>文本全半角错误。</explain>
      <paraID>45F77FA8</paraID>
      <start>13</start>
      <end>15</end>
      <status>modified</status>
      <modifiedWord>)</modifiedWord>
      <trackRevisions>true</trackRevisions>
    </reviewItem>
    <reviewItem>
      <errorID>820985e8-82f5-4f07-a748-cad41303924a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303F4165</paraID>
      <start>10</start>
      <end>12</end>
      <status>modified</status>
      <modifiedWord>—</modifiedWord>
      <trackRevisions>true</trackRevisions>
    </reviewItem>
    <reviewItem>
      <errorID>f6c86e14-7b9c-4258-97b5-cfd67bd98e15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62B28F8B</paraID>
      <start>10</start>
      <end>12</end>
      <status>modified</status>
      <modifiedWord>—</modifiedWord>
      <trackRevisions>true</trackRevisions>
    </reviewItem>
    <reviewItem>
      <errorID>bda094f7-48bb-4ba4-8e6f-907361eddf20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1BF88B81</paraID>
      <start>10</start>
      <end>12</end>
      <status>modified</status>
      <modifiedWord>—</modifiedWord>
      <trackRevisions>true</trackRevisions>
    </reviewItem>
    <reviewItem>
      <errorID>2a5c79e6-ce12-48b7-a49f-c7a11cb374ce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4A77DAC7</paraID>
      <start>10</start>
      <end>12</end>
      <status>modified</status>
      <modifiedWord>—</modifiedWord>
      <trackRevisions>true</trackRevisions>
    </reviewItem>
    <reviewItem>
      <errorID>ead4b74e-e415-44c6-b6a6-a483489d4899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5A1537B4</paraID>
      <start>10</start>
      <end>12</end>
      <status>modified</status>
      <modifiedWord>—</modifiedWord>
      <trackRevisions>true</trackRevisions>
    </reviewItem>
    <reviewItem>
      <errorID>0ccd2f95-37bd-4e89-b003-c3f1e45d7214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5BFDC256</paraID>
      <start>10</start>
      <end>12</end>
      <status>modified</status>
      <modifiedWord>—</modifiedWord>
      <trackRevisions>true</trackRevisions>
    </reviewItem>
    <reviewItem>
      <errorID>9be86b9a-6567-4ae5-9787-2e1435a750b7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584E6FE9</paraID>
      <start>10</start>
      <end>12</end>
      <status>modified</status>
      <modifiedWord>—</modifiedWord>
      <trackRevisions>true</trackRevisions>
    </reviewItem>
    <reviewItem>
      <errorID>c421d171-f2b6-4d9b-9db0-7f04a130d41e</errorID>
      <errorWord>(</errorWord>
      <group>L1_Format</group>
      <groupName>格式问题</groupName>
      <ability>L2_HalfPunc_CN</ability>
      <abilityName>全半角问题</abilityName>
      <candidateList>
        <item>（</item>
      </candidateList>
      <explain>文本全半角错误。</explain>
      <paraID>2611828B</paraID>
      <start>15</start>
      <end>17</end>
      <status>modified</status>
      <modifiedWord>（</modifiedWord>
      <trackRevisions>true</trackRevisions>
    </reviewItem>
    <reviewItem>
      <errorID>ba9ec95c-aff5-4cff-9381-51e0d79c64f2</errorID>
      <errorWord>)</errorWord>
      <group>L1_Format</group>
      <groupName>格式问题</groupName>
      <ability>L2_HalfPunc_CN</ability>
      <abilityName>全半角问题</abilityName>
      <candidateList>
        <item>）</item>
      </candidateList>
      <explain>文本全半角错误。</explain>
      <paraID>2611828B</paraID>
      <start>21</start>
      <end>23</end>
      <status>modified</status>
      <modifiedWord>）</modifiedWord>
      <trackRevisions>true</trackRevisions>
    </reviewItem>
    <reviewItem>
      <errorID>6e4ebf92-1a9a-481f-a95a-0e35907f0a48</errorID>
      <errorWord>(</errorWord>
      <group>L1_Format</group>
      <groupName>格式问题</groupName>
      <ability>L2_HalfPunc_CN</ability>
      <abilityName>全半角问题</abilityName>
      <candidateList>
        <item>（</item>
      </candidateList>
      <explain>文本全半角错误。</explain>
      <paraID> 8C9D35C</paraID>
      <start>14</start>
      <end>16</end>
      <status>modified</status>
      <modifiedWord>（</modifiedWord>
      <trackRevisions>true</trackRevisions>
    </reviewItem>
    <reviewItem>
      <errorID>2a060f6e-a546-4a61-860c-488b2e77bbb0</errorID>
      <errorWord>)</errorWord>
      <group>L1_Format</group>
      <groupName>格式问题</groupName>
      <ability>L2_HalfPunc_CN</ability>
      <abilityName>全半角问题</abilityName>
      <candidateList>
        <item>）</item>
      </candidateList>
      <explain>文本全半角错误。</explain>
      <paraID> 8C9D35C</paraID>
      <start>20</start>
      <end>22</end>
      <status>modified</status>
      <modifiedWord>）</modifiedWord>
      <trackRevisions>true</trackRevisions>
    </reviewItem>
    <reviewItem>
      <errorID>7a67b6da-b5ab-46d1-8a83-3d4556ed9460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324C6D66</paraID>
      <start>4</start>
      <end>7</end>
      <status>unmodified</status>
      <modifiedWord/>
      <trackRevisions>false</trackRevisions>
    </reviewItem>
    <reviewItem>
      <errorID>37fca8d0-4028-459f-a13e-2f6e0d4ee107</errorID>
      <errorWord>(</errorWord>
      <group>L1_Format</group>
      <groupName>格式问题</groupName>
      <ability>L2_HalfPunc_CN</ability>
      <abilityName>全半角问题</abilityName>
      <candidateList>
        <item>（</item>
      </candidateList>
      <explain>文本全半角错误。</explain>
      <paraID>210EF3E8</paraID>
      <start>2</start>
      <end>4</end>
      <status>modified</status>
      <modifiedWord>（</modifiedWord>
      <trackRevisions>true</trackRevisions>
    </reviewItem>
    <reviewItem>
      <errorID>38c3f88f-2bec-4996-be64-bbf2078c5716</errorID>
      <errorWord>)</errorWord>
      <group>L1_Format</group>
      <groupName>格式问题</groupName>
      <ability>L2_HalfPunc_CN</ability>
      <abilityName>全半角问题</abilityName>
      <candidateList>
        <item>）</item>
      </candidateList>
      <explain>文本全半角错误。</explain>
      <paraID>210EF3E8</paraID>
      <start>5</start>
      <end>7</end>
      <status>modified</status>
      <modifiedWord>）</modifiedWord>
      <trackRevisions>true</trackRevisions>
    </reviewItem>
    <reviewItem>
      <errorID>65e0994a-0a46-42aa-9066-f3c56096eb45</errorID>
      <errorWord>(</errorWord>
      <group>L1_Format</group>
      <groupName>格式问题</groupName>
      <ability>L2_HalfPunc_CN</ability>
      <abilityName>全半角问题</abilityName>
      <candidateList>
        <item>（</item>
      </candidateList>
      <explain>文本全半角错误。</explain>
      <paraID>560CFDEB</paraID>
      <start>2</start>
      <end>4</end>
      <status>modified</status>
      <modifiedWord>（</modifiedWord>
      <trackRevisions>true</trackRevisions>
    </reviewItem>
    <reviewItem>
      <errorID>b69396ee-23d3-4e73-ad9e-075bc0fa1360</errorID>
      <errorWord>)</errorWord>
      <group>L1_Format</group>
      <groupName>格式问题</groupName>
      <ability>L2_HalfPunc_CN</ability>
      <abilityName>全半角问题</abilityName>
      <candidateList>
        <item>）</item>
      </candidateList>
      <explain>文本全半角错误。</explain>
      <paraID>560CFDEB</paraID>
      <start>5</start>
      <end>7</end>
      <status>modified</status>
      <modifiedWord>）</modifiedWord>
      <trackRevisions>true</trackRevisions>
    </reviewItem>
    <reviewItem>
      <errorID>7fdea2ee-6236-41db-9256-13de8ad1c423</errorID>
      <errorWord>(</errorWord>
      <group>L1_Format</group>
      <groupName>格式问题</groupName>
      <ability>L2_HalfPunc_CN</ability>
      <abilityName>全半角问题</abilityName>
      <candidateList>
        <item>（</item>
      </candidateList>
      <explain>文本全半角错误。</explain>
      <paraID> 97CAABD</paraID>
      <start>2</start>
      <end>4</end>
      <status>modified</status>
      <modifiedWord>（</modifiedWord>
      <trackRevisions>true</trackRevisions>
    </reviewItem>
    <reviewItem>
      <errorID>5a22d0dd-6105-4d17-bc57-d5246ef2dce8</errorID>
      <errorWord>)</errorWord>
      <group>L1_Format</group>
      <groupName>格式问题</groupName>
      <ability>L2_HalfPunc_CN</ability>
      <abilityName>全半角问题</abilityName>
      <candidateList>
        <item>）</item>
      </candidateList>
      <explain>文本全半角错误。</explain>
      <paraID> 97CAABD</paraID>
      <start>5</start>
      <end>7</end>
      <status>modified</status>
      <modifiedWord>）</modifiedWord>
      <trackRevisions>true</trackRevisions>
    </reviewItem>
    <reviewItem>
      <errorID>1ccf6414-4f73-4668-bbec-10590cb947e6</errorID>
      <errorWord>(</errorWord>
      <group>L1_Format</group>
      <groupName>格式问题</groupName>
      <ability>L2_HalfPunc_CN</ability>
      <abilityName>全半角问题</abilityName>
      <candidateList>
        <item>（</item>
      </candidateList>
      <explain>文本全半角错误。</explain>
      <paraID>639F689B</paraID>
      <start>2</start>
      <end>3</end>
      <status>unmodified</status>
      <modifiedWord/>
      <trackRevisions>false</trackRevisions>
    </reviewItem>
    <reviewItem>
      <errorID>cb2577fb-fa41-4c4a-b19d-acfd39222392</errorID>
      <errorWord>)</errorWord>
      <group>L1_Format</group>
      <groupName>格式问题</groupName>
      <ability>L2_HalfPunc_CN</ability>
      <abilityName>全半角问题</abilityName>
      <candidateList>
        <item>）</item>
      </candidateList>
      <explain>文本全半角错误。</explain>
      <paraID>639F689B</paraID>
      <start>4</start>
      <end>6</end>
      <status>modified</status>
      <modifiedWord>）</modifiedWord>
      <trackRevisions>true</trackRevisions>
    </reviewItem>
    <reviewItem>
      <errorID>84c87918-72d8-49c4-a00c-80ffdec46ff4</errorID>
      <errorWord>(</errorWord>
      <group>L1_Format</group>
      <groupName>格式问题</groupName>
      <ability>L2_HalfPunc_CN</ability>
      <abilityName>全半角问题</abilityName>
      <candidateList>
        <item>（</item>
      </candidateList>
      <explain>文本全半角错误。</explain>
      <paraID>5729B505</paraID>
      <start>2</start>
      <end>4</end>
      <status>modified</status>
      <modifiedWord>（</modifiedWord>
      <trackRevisions>true</trackRevisions>
    </reviewItem>
    <reviewItem>
      <errorID>8b9d35d0-9383-474e-a423-7c3b6b00e648</errorID>
      <errorWord>)</errorWord>
      <group>L1_Format</group>
      <groupName>格式问题</groupName>
      <ability>L2_HalfPunc_CN</ability>
      <abilityName>全半角问题</abilityName>
      <candidateList>
        <item>）</item>
      </candidateList>
      <explain>文本全半角错误。</explain>
      <paraID>5729B505</paraID>
      <start>5</start>
      <end>7</end>
      <status>modified</status>
      <modifiedWord>）</modifiedWord>
      <trackRevisions>true</trackRevisions>
    </reviewItem>
    <reviewItem>
      <errorID>46a17d02-7fad-44d2-b775-90dbcb764455</errorID>
      <errorWord>(</errorWord>
      <group>L1_Format</group>
      <groupName>格式问题</groupName>
      <ability>L2_HalfPunc_CN</ability>
      <abilityName>全半角问题</abilityName>
      <candidateList>
        <item>（</item>
      </candidateList>
      <explain>文本全半角错误。</explain>
      <paraID>3BB093BC</paraID>
      <start>2</start>
      <end>4</end>
      <status>modified</status>
      <modifiedWord>（</modifiedWord>
      <trackRevisions>true</trackRevisions>
    </reviewItem>
    <reviewItem>
      <errorID>79c0ca13-df1d-4a4d-8406-05c2fc5162d0</errorID>
      <errorWord>)</errorWord>
      <group>L1_Format</group>
      <groupName>格式问题</groupName>
      <ability>L2_HalfPunc_CN</ability>
      <abilityName>全半角问题</abilityName>
      <candidateList>
        <item>）</item>
      </candidateList>
      <explain>文本全半角错误。</explain>
      <paraID>3BB093BC</paraID>
      <start>5</start>
      <end>7</end>
      <status>modified</status>
      <modifiedWord>）</modifiedWord>
      <trackRevisions>true</trackRevisions>
    </reviewItem>
    <reviewItem>
      <errorID>46817df2-56f9-4cd3-9bf6-d673e1ecdd00</errorID>
      <errorWord>(</errorWord>
      <group>L1_Format</group>
      <groupName>格式问题</groupName>
      <ability>L2_HalfPunc_CN</ability>
      <abilityName>全半角问题</abilityName>
      <candidateList>
        <item>（</item>
      </candidateList>
      <explain>文本全半角错误。</explain>
      <paraID>76A02E0A</paraID>
      <start>2</start>
      <end>4</end>
      <status>modified</status>
      <modifiedWord>（</modifiedWord>
      <trackRevisions>true</trackRevisions>
    </reviewItem>
    <reviewItem>
      <errorID>4ef7006b-d538-4ddc-8e33-ac9595a3e408</errorID>
      <errorWord>)</errorWord>
      <group>L1_Format</group>
      <groupName>格式问题</groupName>
      <ability>L2_HalfPunc_CN</ability>
      <abilityName>全半角问题</abilityName>
      <candidateList>
        <item>）</item>
      </candidateList>
      <explain>文本全半角错误。</explain>
      <paraID>76A02E0A</paraID>
      <start>5</start>
      <end>7</end>
      <status>modified</status>
      <modifiedWord>）</modifiedWord>
      <trackRevisions>true</trackRevisions>
    </reviewItem>
    <reviewItem>
      <errorID>e9e9b3e4-9337-4df7-a40e-bbc50348eb35</errorID>
      <errorWord>(</errorWord>
      <group>L1_Format</group>
      <groupName>格式问题</groupName>
      <ability>L2_HalfPunc_CN</ability>
      <abilityName>全半角问题</abilityName>
      <candidateList>
        <item>（</item>
      </candidateList>
      <explain>文本全半角错误。</explain>
      <paraID>4D307C72</paraID>
      <start>2</start>
      <end>4</end>
      <status>modified</status>
      <modifiedWord>（</modifiedWord>
      <trackRevisions>true</trackRevisions>
    </reviewItem>
    <reviewItem>
      <errorID>8e1df5e0-c6e3-4b13-88e4-8eea03b40b00</errorID>
      <errorWord>)</errorWord>
      <group>L1_Format</group>
      <groupName>格式问题</groupName>
      <ability>L2_HalfPunc_CN</ability>
      <abilityName>全半角问题</abilityName>
      <candidateList>
        <item>）</item>
      </candidateList>
      <explain>文本全半角错误。</explain>
      <paraID>4D307C72</paraID>
      <start>5</start>
      <end>7</end>
      <status>modified</status>
      <modifiedWord>）</modifiedWord>
      <trackRevisions>true</trackRevisions>
    </reviewItem>
    <reviewItem>
      <errorID>db933f23-338a-4a43-81e4-b90b3e2a4eb0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36EFEDCE</paraID>
      <start>10</start>
      <end>12</end>
      <status>modified</status>
      <modifiedWord>—</modifiedWord>
      <trackRevisions>true</trackRevisions>
    </reviewItem>
    <reviewItem>
      <errorID>52d9e0d9-bb8f-4617-9a21-ad79d5072aa5</errorID>
      <errorWord>(</errorWord>
      <group>L1_Format</group>
      <groupName>格式问题</groupName>
      <ability>L2_HalfPunc_CN</ability>
      <abilityName>全半角问题</abilityName>
      <candidateList>
        <item>（</item>
      </candidateList>
      <explain>文本全半角错误。</explain>
      <paraID> B2F9490</paraID>
      <start>2</start>
      <end>4</end>
      <status>modified</status>
      <modifiedWord>（</modifiedWord>
      <trackRevisions>true</trackRevisions>
    </reviewItem>
    <reviewItem>
      <errorID>bab95666-8881-4687-a614-2dd6badf4491</errorID>
      <errorWord>)</errorWord>
      <group>L1_Format</group>
      <groupName>格式问题</groupName>
      <ability>L2_HalfPunc_CN</ability>
      <abilityName>全半角问题</abilityName>
      <candidateList>
        <item>）</item>
      </candidateList>
      <explain>文本全半角错误。</explain>
      <paraID> B2F9490</paraID>
      <start>6</start>
      <end>8</end>
      <status>modified</status>
      <modifiedWord>）</modifiedWord>
      <trackRevisions>true</trackRevisions>
    </reviewItem>
    <reviewItem>
      <errorID>9476d8c3-f50a-4aa2-9feb-72eff15bc534</errorID>
      <errorWord>(</errorWord>
      <group>L1_Format</group>
      <groupName>格式问题</groupName>
      <ability>L2_HalfPunc_CN</ability>
      <abilityName>全半角问题</abilityName>
      <candidateList>
        <item>（</item>
      </candidateList>
      <explain>文本全半角错误。</explain>
      <paraID>643D99BB</paraID>
      <start>2</start>
      <end>4</end>
      <status>modified</status>
      <modifiedWord>（</modifiedWord>
      <trackRevisions>true</trackRevisions>
    </reviewItem>
    <reviewItem>
      <errorID>d9713f87-ca63-4411-b745-da9cb401a1c7</errorID>
      <errorWord>)</errorWord>
      <group>L1_Format</group>
      <groupName>格式问题</groupName>
      <ability>L2_HalfPunc_CN</ability>
      <abilityName>全半角问题</abilityName>
      <candidateList>
        <item>）</item>
      </candidateList>
      <explain>文本全半角错误。</explain>
      <paraID>643D99BB</paraID>
      <start>6</start>
      <end>8</end>
      <status>modified</status>
      <modifiedWord>）</modifiedWord>
      <trackRevisions>true</trackRevisions>
    </reviewItem>
    <reviewItem>
      <errorID>e35cc9ae-259c-4dee-8308-99a74d853739</errorID>
      <errorWord>.</errorWord>
      <group>L1_Format</group>
      <groupName>格式问题</groupName>
      <ability>L2_HalfPunc_CN</ability>
      <abilityName>全半角问题</abilityName>
      <candidateList>
        <item>。</item>
      </candidateList>
      <explain>文本全半角错误。</explain>
      <paraID>5B2ADF8C</paraID>
      <start>23</start>
      <end>25</end>
      <status>modified</status>
      <modifiedWord>。</modifiedWord>
      <trackRevisions>true</trackRevisions>
    </reviewItem>
    <reviewItem>
      <errorID>ef78621c-4f2e-47d8-8be3-adbba34ae1f2</errorID>
      <errorWord>-</errorWord>
      <group>L1_Format</group>
      <groupName>格式问题</groupName>
      <ability>L2_HalfPunc_CN</ability>
      <abilityName>全半角问题</abilityName>
      <candidateList>
        <item>－</item>
      </candidateList>
      <explain>文本全半角错误。</explain>
      <paraID>5B2ADF8C</paraID>
      <start>69</start>
      <end>71</end>
      <status>modified</status>
      <modifiedWord>－</modifiedWord>
      <trackRevisions>true</trackRevisions>
    </reviewItem>
    <reviewItem>
      <errorID>f3b95a32-f94f-461f-9d77-bd5d45e077dd</errorID>
      <errorWord>-</errorWord>
      <group>L1_Format</group>
      <groupName>格式问题</groupName>
      <ability>L2_HalfPunc_CN</ability>
      <abilityName>全半角问题</abilityName>
      <candidateList>
        <item>－</item>
      </candidateList>
      <explain>文本全半角错误。</explain>
      <paraID>16CEE1BE</paraID>
      <start>30</start>
      <end>32</end>
      <status>modified</status>
      <modifiedWord>－</modifiedWord>
      <trackRevisions>true</trackRevisions>
    </reviewItem>
    <reviewItem>
      <errorID>c7415a94-9083-44c6-a672-1480bb5dd768</errorID>
      <errorWord>(</errorWord>
      <group>L1_Format</group>
      <groupName>格式问题</groupName>
      <ability>L2_HalfPunc_CN</ability>
      <abilityName>全半角问题</abilityName>
      <candidateList>
        <item>（</item>
      </candidateList>
      <explain>文本全半角错误。</explain>
      <paraID>4AE8F879</paraID>
      <start>2</start>
      <end>4</end>
      <status>modified</status>
      <modifiedWord>（</modifiedWord>
      <trackRevisions>true</trackRevisions>
    </reviewItem>
    <reviewItem>
      <errorID>bd3aded4-ebdf-45cb-ab3e-c9dd71c2ffb5</errorID>
      <errorWord>)</errorWord>
      <group>L1_Format</group>
      <groupName>格式问题</groupName>
      <ability>L2_HalfPunc_CN</ability>
      <abilityName>全半角问题</abilityName>
      <candidateList>
        <item>）</item>
      </candidateList>
      <explain>文本全半角错误。</explain>
      <paraID>4AE8F879</paraID>
      <start>6</start>
      <end>8</end>
      <status>modified</status>
      <modifiedWord>）</modifiedWord>
      <trackRevisions>true</trackRevisions>
    </reviewItem>
    <reviewItem>
      <errorID>c7ac3fd3-da89-4281-9189-3f225b1d7251</errorID>
      <errorWord>(</errorWord>
      <group>L1_Format</group>
      <groupName>格式问题</groupName>
      <ability>L2_HalfPunc_CN</ability>
      <abilityName>全半角问题</abilityName>
      <candidateList>
        <item>（</item>
      </candidateList>
      <explain>文本全半角错误。</explain>
      <paraID>6760A2E4</paraID>
      <start>2</start>
      <end>4</end>
      <status>modified</status>
      <modifiedWord>（</modifiedWord>
      <trackRevisions>true</trackRevisions>
    </reviewItem>
    <reviewItem>
      <errorID>239d284a-cdfb-49c3-af81-6b104ed7adf9</errorID>
      <errorWord>)</errorWord>
      <group>L1_Format</group>
      <groupName>格式问题</groupName>
      <ability>L2_HalfPunc_CN</ability>
      <abilityName>全半角问题</abilityName>
      <candidateList>
        <item>）</item>
      </candidateList>
      <explain>文本全半角错误。</explain>
      <paraID>6760A2E4</paraID>
      <start>6</start>
      <end>8</end>
      <status>modified</status>
      <modifiedWord>）</modifiedWord>
      <trackRevisions>true</trackRevisions>
    </reviewItem>
    <reviewItem>
      <errorID>a9b19c36-84a6-41fb-aa1a-97329bef3ec2</errorID>
      <errorWord>-</errorWord>
      <group>L1_Format</group>
      <groupName>格式问题</groupName>
      <ability>L2_HalfPunc_CN</ability>
      <abilityName>全半角问题</abilityName>
      <candidateList>
        <item>－</item>
      </candidateList>
      <explain>文本全半角错误。</explain>
      <paraID>5A17B7A9</paraID>
      <start>21</start>
      <end>22</end>
      <status>unmodified</status>
      <modifiedWord/>
      <trackRevisions>false</trackRevisions>
    </reviewItem>
    <reviewItem>
      <errorID>8cd72425-7a68-4e7d-b38e-c9b0662958aa</errorID>
      <errorWord>-</errorWord>
      <group>L1_Format</group>
      <groupName>格式问题</groupName>
      <ability>L2_HalfPunc_CN</ability>
      <abilityName>全半角问题</abilityName>
      <candidateList>
        <item>－</item>
      </candidateList>
      <explain>文本全半角错误。</explain>
      <paraID>5A17B7A9</paraID>
      <start>26</start>
      <end>27</end>
      <status>unmodified</status>
      <modifiedWord/>
      <trackRevisions>false</trackRevisions>
    </reviewItem>
    <reviewItem>
      <errorID>d4ca2787-fc83-48e4-9546-b7e9a7aabbd9</errorID>
      <errorWord>-</errorWord>
      <group>L1_Format</group>
      <groupName>格式问题</groupName>
      <ability>L2_HalfPunc_CN</ability>
      <abilityName>全半角问题</abilityName>
      <candidateList>
        <item>－</item>
      </candidateList>
      <explain>文本全半角错误。</explain>
      <paraID>5A17B7A9</paraID>
      <start>30</start>
      <end>31</end>
      <status>unmodified</status>
      <modifiedWord/>
      <trackRevisions>false</trackRevisions>
    </reviewItem>
    <reviewItem>
      <errorID>888ac915-96e7-4f42-bb9c-d079056dff26</errorID>
      <errorWord>-</errorWord>
      <group>L1_Format</group>
      <groupName>格式问题</groupName>
      <ability>L2_HalfPunc_CN</ability>
      <abilityName>全半角问题</abilityName>
      <candidateList>
        <item>－</item>
      </candidateList>
      <explain>文本全半角错误。</explain>
      <paraID>5E708F5A</paraID>
      <start>85</start>
      <end>86</end>
      <status>unmodified</status>
      <modifiedWord/>
      <trackRevisions>false</trackRevisions>
    </reviewItem>
    <reviewItem>
      <errorID>0b6647f5-bded-41e1-8bff-85e1dfcd18c8</errorID>
      <errorWord>(</errorWord>
      <group>L1_Format</group>
      <groupName>格式问题</groupName>
      <ability>L2_HalfPunc_CN</ability>
      <abilityName>全半角问题</abilityName>
      <candidateList>
        <item>（</item>
      </candidateList>
      <explain>文本全半角错误。</explain>
      <paraID>424C6919</paraID>
      <start>6</start>
      <end>7</end>
      <status>modified</status>
      <modifiedWord>（</modifiedWord>
      <trackRevisions>true</trackRevisions>
    </reviewItem>
    <reviewItem>
      <errorID>3fec3d38-7d6c-4ae0-89a8-75dc5cadffa5</errorID>
      <errorWord>)</errorWord>
      <group>L1_Format</group>
      <groupName>格式问题</groupName>
      <ability>L2_HalfPunc_CN</ability>
      <abilityName>全半角问题</abilityName>
      <candidateList>
        <item>）</item>
      </candidateList>
      <explain>文本全半角错误。</explain>
      <paraID>424C6919</paraID>
      <start>9</start>
      <end>10</end>
      <status>modified</status>
      <modifiedWord>）</modifiedWord>
      <trackRevisions>true</trackRevisions>
    </reviewItem>
    <reviewItem>
      <errorID>d422e451-3cc9-469d-9be3-81586b44e264</errorID>
      <errorWord>（</errorWord>
      <group>L1_Format</group>
      <groupName>格式问题</groupName>
      <ability>L2_HalfPunc_CN</ability>
      <abilityName>全半角问题</abilityName>
      <candidateList>
        <item>(</item>
      </candidateList>
      <explain>文本全半角错误。</explain>
      <paraID>7549A736</paraID>
      <start>0</start>
      <end>1</end>
      <status>modified</status>
      <modifiedWord>(</modifiedWord>
      <trackRevisions>true</trackRevisions>
    </reviewItem>
    <reviewItem>
      <errorID>88b93249-0e47-45b4-99c1-b5ec0e28b498</errorID>
      <errorWord>cmol＋/kg</errorWord>
      <group>L1_English</group>
      <groupName>英文问题</groupName>
      <ability>L2_Other_Grammar</ability>
      <abilityName>其他语法问题</abilityName>
      <candidateList>
        <item>cmol/kg</item>
      </candidateList>
      <explain>疑似单词/词组使用不当, 建议将cmol＋/kg修改为cmol/kg</explain>
      <paraID>7549A736</paraID>
      <start>1</start>
      <end>9</end>
      <status>unmodified</status>
      <modifiedWord/>
      <trackRevisions>false</trackRevisions>
    </reviewItem>
    <reviewItem>
      <errorID>2c607971-3d37-4fb7-a775-2c646457ea08</errorID>
      <errorWord>）</errorWord>
      <group>L1_Format</group>
      <groupName>格式问题</groupName>
      <ability>L2_HalfPunc_CN</ability>
      <abilityName>全半角问题</abilityName>
      <candidateList>
        <item>)</item>
      </candidateList>
      <explain>文本全半角错误。</explain>
      <paraID>7549A736</paraID>
      <start>9</start>
      <end>10</end>
      <status>modified</status>
      <modifiedWord>)</modifiedWord>
      <trackRevisions>true</trackRevisions>
    </reviewItem>
    <reviewItem>
      <errorID>f5f3ea96-785b-43f7-989e-d2c7da35ebd9</errorID>
      <errorWord>(</errorWord>
      <group>L1_Format</group>
      <groupName>格式问题</groupName>
      <ability>L2_HalfPunc_CN</ability>
      <abilityName>全半角问题</abilityName>
      <candidateList>
        <item>（</item>
      </candidateList>
      <explain>文本全半角错误。</explain>
      <paraID>28DE03B9</paraID>
      <start>3</start>
      <end>4</end>
      <status>modified</status>
      <modifiedWord>（</modifiedWord>
      <trackRevisions>true</trackRevisions>
    </reviewItem>
    <reviewItem>
      <errorID>ffcea07d-e703-4d6d-9ec0-678d84818562</errorID>
      <errorWord>)</errorWord>
      <group>L1_Format</group>
      <groupName>格式问题</groupName>
      <ability>L2_HalfPunc_CN</ability>
      <abilityName>全半角问题</abilityName>
      <candidateList>
        <item>）</item>
      </candidateList>
      <explain>文本全半角错误。</explain>
      <paraID>28DE03B9</paraID>
      <start>10</start>
      <end>11</end>
      <status>modified</status>
      <modifiedWord>）</modifiedWord>
      <trackRevisions>true</trackRevisions>
    </reviewItem>
    <reviewItem>
      <errorID>2c2ce76e-096b-4db0-8cc4-42019ba0ae61</errorID>
      <errorWord>(</errorWord>
      <group>L1_Format</group>
      <groupName>格式问题</groupName>
      <ability>L2_HalfPunc_CN</ability>
      <abilityName>全半角问题</abilityName>
      <candidateList>
        <item>（</item>
      </candidateList>
      <explain>文本全半角错误。</explain>
      <paraID>68CF6570</paraID>
      <start>4</start>
      <end>5</end>
      <status>modified</status>
      <modifiedWord>（</modifiedWord>
      <trackRevisions>true</trackRevisions>
    </reviewItem>
    <reviewItem>
      <errorID>048a9682-eb50-45ef-8be1-191d7e7d46cf</errorID>
      <errorWord>)</errorWord>
      <group>L1_Format</group>
      <groupName>格式问题</groupName>
      <ability>L2_HalfPunc_CN</ability>
      <abilityName>全半角问题</abilityName>
      <candidateList>
        <item>）</item>
      </candidateList>
      <explain>文本全半角错误。</explain>
      <paraID>68CF6570</paraID>
      <start>10</start>
      <end>11</end>
      <status>modified</status>
      <modifiedWord>）</modifiedWord>
      <trackRevisions>true</trackRevisions>
    </reviewItem>
    <reviewItem>
      <errorID>7ff83cac-71fd-4fcc-a26c-fefaeaefbb52</errorID>
      <errorWord>(</errorWord>
      <group>L1_Format</group>
      <groupName>格式问题</groupName>
      <ability>L2_HalfPunc_CN</ability>
      <abilityName>全半角问题</abilityName>
      <candidateList>
        <item>（</item>
      </candidateList>
      <explain>文本全半角错误。</explain>
      <paraID>3300F139</paraID>
      <start>4</start>
      <end>5</end>
      <status>modified</status>
      <modifiedWord>（</modifiedWord>
      <trackRevisions>true</trackRevisions>
    </reviewItem>
    <reviewItem>
      <errorID>0df07709-9abb-43df-9b9a-a27afede0a3b</errorID>
      <errorWord>)</errorWord>
      <group>L1_Format</group>
      <groupName>格式问题</groupName>
      <ability>L2_HalfPunc_CN</ability>
      <abilityName>全半角问题</abilityName>
      <candidateList>
        <item>）</item>
      </candidateList>
      <explain>文本全半角错误。</explain>
      <paraID>3300F139</paraID>
      <start>6</start>
      <end>7</end>
      <status>modified</status>
      <modifiedWord>）</modifiedWord>
      <trackRevisions>true</trackRevisions>
    </reviewItem>
    <reviewItem>
      <errorID>aad23eee-1b94-4f60-9194-851030849571</errorID>
      <errorWord>(</errorWord>
      <group>L1_Format</group>
      <groupName>格式问题</groupName>
      <ability>L2_HalfPunc_CN</ability>
      <abilityName>全半角问题</abilityName>
      <candidateList>
        <item>（</item>
      </candidateList>
      <explain>文本全半角错误。</explain>
      <paraID>7CAA0F68</paraID>
      <start>35</start>
      <end>37</end>
      <status>modified</status>
      <modifiedWord>（</modifiedWord>
      <trackRevisions>true</trackRevisions>
    </reviewItem>
    <reviewItem>
      <errorID>7adf0a76-8e85-460e-848c-a99cce6f1766</errorID>
      <errorWord>)</errorWord>
      <group>L1_Format</group>
      <groupName>格式问题</groupName>
      <ability>L2_HalfPunc_CN</ability>
      <abilityName>全半角问题</abilityName>
      <candidateList>
        <item>）</item>
      </candidateList>
      <explain>文本全半角错误。</explain>
      <paraID>7CAA0F68</paraID>
      <start>42</start>
      <end>44</end>
      <status>modified</status>
      <modifiedWord>）</modifiedWord>
      <trackRevisions>true</trackRevisions>
    </reviewItem>
    <reviewItem>
      <errorID>65e272e1-717e-4559-a579-c3e35720a02a</errorID>
      <errorWord>(</errorWord>
      <group>L1_Format</group>
      <groupName>格式问题</groupName>
      <ability>L2_HalfPunc_CN</ability>
      <abilityName>全半角问题</abilityName>
      <candidateList>
        <item>（</item>
      </candidateList>
      <explain>文本全半角错误。</explain>
      <paraID>7CAA0F68</paraID>
      <start>51</start>
      <end>53</end>
      <status>modified</status>
      <modifiedWord>（</modifiedWord>
      <trackRevisions>true</trackRevisions>
    </reviewItem>
    <reviewItem>
      <errorID>4d08cdb8-35e0-4f1f-830c-c3a60770f278</errorID>
      <errorWord>)</errorWord>
      <group>L1_Format</group>
      <groupName>格式问题</groupName>
      <ability>L2_HalfPunc_CN</ability>
      <abilityName>全半角问题</abilityName>
      <candidateList>
        <item>）</item>
      </candidateList>
      <explain>文本全半角错误。</explain>
      <paraID>7CAA0F68</paraID>
      <start>58</start>
      <end>60</end>
      <status>modified</status>
      <modifiedWord>）</modifiedWord>
      <trackRevisions>true</trackRevisions>
    </reviewItem>
    <reviewItem>
      <errorID>4b89529a-5b4c-4a39-bf33-f60009dd487d</errorID>
      <errorWord>(</errorWord>
      <group>L1_Format</group>
      <groupName>格式问题</groupName>
      <ability>L2_HalfPunc_CN</ability>
      <abilityName>全半角问题</abilityName>
      <candidateList>
        <item>（</item>
      </candidateList>
      <explain>文本全半角错误。</explain>
      <paraID>7CAA0F68</paraID>
      <start>107</start>
      <end>109</end>
      <status>modified</status>
      <modifiedWord>（</modifiedWord>
      <trackRevisions>true</trackRevisions>
    </reviewItem>
    <reviewItem>
      <errorID>9e43a359-8cd8-492d-ae55-3a72109accb6</errorID>
      <errorWord>)</errorWord>
      <group>L1_Format</group>
      <groupName>格式问题</groupName>
      <ability>L2_HalfPunc_CN</ability>
      <abilityName>全半角问题</abilityName>
      <candidateList>
        <item>）</item>
      </candidateList>
      <explain>文本全半角错误。</explain>
      <paraID>7CAA0F68</paraID>
      <start>116</start>
      <end>118</end>
      <status>modified</status>
      <modifiedWord>）</modifiedWord>
      <trackRevisions>true</trackRevisions>
    </reviewItem>
    <reviewItem>
      <errorID>b664fbed-03e8-40f9-ae50-c344d75128ca</errorID>
      <errorWord>(</errorWord>
      <group>L1_Format</group>
      <groupName>格式问题</groupName>
      <ability>L2_HalfPunc_CN</ability>
      <abilityName>全半角问题</abilityName>
      <candidateList>
        <item>（</item>
      </candidateList>
      <explain>文本全半角错误。</explain>
      <paraID>7CAA0F68</paraID>
      <start>125</start>
      <end>127</end>
      <status>modified</status>
      <modifiedWord>（</modifiedWord>
      <trackRevisions>true</trackRevisions>
    </reviewItem>
    <reviewItem>
      <errorID>f906f851-474d-4318-8aad-84918072b66d</errorID>
      <errorWord>)</errorWord>
      <group>L1_Format</group>
      <groupName>格式问题</groupName>
      <ability>L2_HalfPunc_CN</ability>
      <abilityName>全半角问题</abilityName>
      <candidateList>
        <item>）</item>
      </candidateList>
      <explain>文本全半角错误。</explain>
      <paraID>7CAA0F68</paraID>
      <start>134</start>
      <end>136</end>
      <status>modified</status>
      <modifiedWord>）</modifiedWord>
      <trackRevisions>true</trackRevisions>
    </reviewItem>
    <reviewItem>
      <errorID>b272fa56-c988-4332-8c0a-2258d1b0f57e</errorID>
      <errorWord>(</errorWord>
      <group>L1_Format</group>
      <groupName>格式问题</groupName>
      <ability>L2_HalfPunc_CN</ability>
      <abilityName>全半角问题</abilityName>
      <candidateList>
        <item>（</item>
      </candidateList>
      <explain>文本全半角错误。</explain>
      <paraID>7CAA0F68</paraID>
      <start>147</start>
      <end>149</end>
      <status>modified</status>
      <modifiedWord>（</modifiedWord>
      <trackRevisions>true</trackRevisions>
    </reviewItem>
    <reviewItem>
      <errorID>f22c3119-fdc0-4167-bd19-9fb24b8c43ea</errorID>
      <errorWord>：</errorWord>
      <group>L1_Format</group>
      <groupName>格式问题</groupName>
      <ability>L2_HalfPunc_CN</ability>
      <abilityName>全半角问题</abilityName>
      <candidateList>
        <item>:</item>
      </candidateList>
      <explain>文本全半角错误。</explain>
      <paraID>1F058D2C</paraID>
      <start>1</start>
      <end>3</end>
      <status>modified</status>
      <modifiedWord>:</modifiedWord>
      <trackRevisions>true</trackRevisions>
    </reviewItem>
    <reviewItem>
      <errorID>4a0e0e79-f332-4b36-a9e7-3a76dfb620c7</errorID>
      <errorWord>：</errorWord>
      <group>L1_Format</group>
      <groupName>格式问题</groupName>
      <ability>L2_HalfPunc_CN</ability>
      <abilityName>全半角问题</abilityName>
      <candidateList>
        <item>:</item>
      </candidateList>
      <explain>文本全半角错误。</explain>
      <paraID>789A334D</paraID>
      <start>1</start>
      <end>3</end>
      <status>modified</status>
      <modifiedWord>:</modifiedWord>
      <trackRevisions>true</trackRevisions>
    </reviewItem>
    <reviewItem>
      <errorID>e20a0510-491f-4931-9cb7-530c8ac0c916</errorID>
      <errorWord>：</errorWord>
      <group>L1_Format</group>
      <groupName>格式问题</groupName>
      <ability>L2_HalfPunc_CN</ability>
      <abilityName>全半角问题</abilityName>
      <candidateList>
        <item>:</item>
      </candidateList>
      <explain>文本全半角错误。</explain>
      <paraID> 15EE29C</paraID>
      <start>1</start>
      <end>3</end>
      <status>modified</status>
      <modifiedWord>:</modifiedWord>
      <trackRevisions>true</trackRevisions>
    </reviewItem>
    <reviewItem>
      <errorID>adcd6953-9728-48eb-bcf6-2ab37a84646a</errorID>
      <errorWord>：</errorWord>
      <group>L1_Format</group>
      <groupName>格式问题</groupName>
      <ability>L2_HalfPunc_CN</ability>
      <abilityName>全半角问题</abilityName>
      <candidateList>
        <item>:</item>
      </candidateList>
      <explain>文本全半角错误。</explain>
      <paraID>12B85FE0</paraID>
      <start>1</start>
      <end>3</end>
      <status>modified</status>
      <modifiedWord>:</modifiedWord>
      <trackRevisions>true</trackRevisions>
    </reviewItem>
    <reviewItem>
      <errorID>e1f34e8e-b541-4c71-b3cb-58fd330a788b</errorID>
      <errorWord>：</errorWord>
      <group>L1_Format</group>
      <groupName>格式问题</groupName>
      <ability>L2_HalfPunc_CN</ability>
      <abilityName>全半角问题</abilityName>
      <candidateList>
        <item>:</item>
      </candidateList>
      <explain>文本全半角错误。</explain>
      <paraID>431256F6</paraID>
      <start>1</start>
      <end>3</end>
      <status>modified</status>
      <modifiedWord>:</modifiedWord>
      <trackRevisions>true</trackRevisions>
    </reviewItem>
    <reviewItem>
      <errorID>391d9326-ea81-43b9-9dbe-efae3c0b976e</errorID>
      <errorWord>：</errorWord>
      <group>L1_Format</group>
      <groupName>格式问题</groupName>
      <ability>L2_HalfPunc_CN</ability>
      <abilityName>全半角问题</abilityName>
      <candidateList>
        <item>:</item>
      </candidateList>
      <explain>文本全半角错误。</explain>
      <paraID>3B56F6BC</paraID>
      <start>1</start>
      <end>3</end>
      <status>modified</status>
      <modifiedWord>:</modifiedWord>
      <trackRevisions>true</trackRevisions>
    </reviewItem>
    <reviewItem>
      <errorID>13d8d0d3-90e7-4954-94a9-60ece2500a9a</errorID>
      <errorWord>：</errorWord>
      <group>L1_Format</group>
      <groupName>格式问题</groupName>
      <ability>L2_HalfPunc_CN</ability>
      <abilityName>全半角问题</abilityName>
      <candidateList>
        <item>:</item>
      </candidateList>
      <explain>文本全半角错误。</explain>
      <paraID>74F8A19A</paraID>
      <start>1</start>
      <end>3</end>
      <status>modified</status>
      <modifiedWord>:</modifiedWord>
      <trackRevisions>true</trackRevisions>
    </reviewItem>
    <reviewItem>
      <errorID>ad3e14ef-e699-42ef-9975-c21282871379</errorID>
      <errorWord>：</errorWord>
      <group>L1_Format</group>
      <groupName>格式问题</groupName>
      <ability>L2_HalfPunc_CN</ability>
      <abilityName>全半角问题</abilityName>
      <candidateList>
        <item>:</item>
      </candidateList>
      <explain>文本全半角错误。</explain>
      <paraID>56619A2D</paraID>
      <start>1</start>
      <end>3</end>
      <status>modified</status>
      <modifiedWord>:</modifiedWord>
      <trackRevisions>true</trackRevisions>
    </reviewItem>
    <reviewItem>
      <errorID>13c53f42-eb81-425f-9abf-4ff69b6b0426</errorID>
      <errorWord>：</errorWord>
      <group>L1_Format</group>
      <groupName>格式问题</groupName>
      <ability>L2_HalfPunc_CN</ability>
      <abilityName>全半角问题</abilityName>
      <candidateList>
        <item>:</item>
      </candidateList>
      <explain>文本全半角错误。</explain>
      <paraID>53A5CC69</paraID>
      <start>1</start>
      <end>3</end>
      <status>modified</status>
      <modifiedWord>:</modifiedWord>
      <trackRevisions>true</trackRevisions>
    </reviewItem>
    <reviewItem>
      <errorID>1d97c46c-9c22-4520-b76f-66989abb183a</errorID>
      <errorWord>：</errorWord>
      <group>L1_Format</group>
      <groupName>格式问题</groupName>
      <ability>L2_HalfPunc_CN</ability>
      <abilityName>全半角问题</abilityName>
      <candidateList>
        <item>:</item>
      </candidateList>
      <explain>文本全半角错误。</explain>
      <paraID>7A9E8C2C</paraID>
      <start>1</start>
      <end>3</end>
      <status>modified</status>
      <modifiedWord>:</modifiedWord>
      <trackRevisions>true</trackRevisions>
    </reviewItem>
    <reviewItem>
      <errorID>31b5514d-9812-45c8-bdd7-fa93613f7ecc</errorID>
      <errorWord>：</errorWord>
      <group>L1_Format</group>
      <groupName>格式问题</groupName>
      <ability>L2_HalfPunc_CN</ability>
      <abilityName>全半角问题</abilityName>
      <candidateList>
        <item>:</item>
      </candidateList>
      <explain>文本全半角错误。</explain>
      <paraID>7C703A04</paraID>
      <start>1</start>
      <end>3</end>
      <status>modified</status>
      <modifiedWord>:</modifiedWord>
      <trackRevisions>true</trackRevisions>
    </reviewItem>
    <reviewItem>
      <errorID>bbb3a921-e429-4f74-a551-d225f9036211</errorID>
      <errorWord>：</errorWord>
      <group>L1_Format</group>
      <groupName>格式问题</groupName>
      <ability>L2_HalfPunc_CN</ability>
      <abilityName>全半角问题</abilityName>
      <candidateList>
        <item>:</item>
      </candidateList>
      <explain>文本全半角错误。</explain>
      <paraID>48B65E09</paraID>
      <start>1</start>
      <end>3</end>
      <status>modified</status>
      <modifiedWord>:</modifiedWord>
      <trackRevisions>true</trackRevisions>
    </reviewItem>
    <reviewItem>
      <errorID>8803cfb0-e45e-4e15-a74a-85e818f707ee</errorID>
      <errorWord>：</errorWord>
      <group>L1_Format</group>
      <groupName>格式问题</groupName>
      <ability>L2_HalfPunc_CN</ability>
      <abilityName>全半角问题</abilityName>
      <candidateList>
        <item>:</item>
      </candidateList>
      <explain>文本全半角错误。</explain>
      <paraID>67101635</paraID>
      <start>1</start>
      <end>3</end>
      <status>modified</status>
      <modifiedWord>:</modifiedWord>
      <trackRevisions>true</trackRevisions>
    </reviewItem>
    <reviewItem>
      <errorID>75400e57-d618-4318-8a15-cbf5b1355333</errorID>
      <errorWord>：</errorWord>
      <group>L1_Format</group>
      <groupName>格式问题</groupName>
      <ability>L2_HalfPunc_CN</ability>
      <abilityName>全半角问题</abilityName>
      <candidateList>
        <item>:</item>
      </candidateList>
      <explain>文本全半角错误。</explain>
      <paraID>413FE59E</paraID>
      <start>1</start>
      <end>3</end>
      <status>modified</status>
      <modifiedWord>:</modifiedWord>
      <trackRevisions>true</trackRevisions>
    </reviewItem>
    <reviewItem>
      <errorID>034bb740-233d-425e-a259-e34602644b77</errorID>
      <errorWord>：</errorWord>
      <group>L1_Format</group>
      <groupName>格式问题</groupName>
      <ability>L2_HalfPunc_CN</ability>
      <abilityName>全半角问题</abilityName>
      <candidateList>
        <item>:</item>
      </candidateList>
      <explain>文本全半角错误。</explain>
      <paraID>4247495E</paraID>
      <start>1</start>
      <end>3</end>
      <status>modified</status>
      <modifiedWord>:</modifiedWord>
      <trackRevisions>true</trackRevisions>
    </reviewItem>
    <reviewItem>
      <errorID>23543f92-9591-49e2-9499-d3094f6c9acf</errorID>
      <errorWord>：</errorWord>
      <group>L1_Format</group>
      <groupName>格式问题</groupName>
      <ability>L2_HalfPunc_CN</ability>
      <abilityName>全半角问题</abilityName>
      <candidateList>
        <item>:</item>
      </candidateList>
      <explain>文本全半角错误。</explain>
      <paraID>164174DA</paraID>
      <start>1</start>
      <end>3</end>
      <status>modified</status>
      <modifiedWord>:</modifiedWord>
      <trackRevisions>true</trackRevisions>
    </reviewItem>
    <reviewItem>
      <errorID>37f8e62b-7f55-4a5c-9759-6396f0b91ddc</errorID>
      <errorWord>：</errorWord>
      <group>L1_Format</group>
      <groupName>格式问题</groupName>
      <ability>L2_HalfPunc_CN</ability>
      <abilityName>全半角问题</abilityName>
      <candidateList>
        <item>:</item>
      </candidateList>
      <explain>文本全半角错误。</explain>
      <paraID>47C16FE0</paraID>
      <start>1</start>
      <end>3</end>
      <status>modified</status>
      <modifiedWord>:</modifiedWord>
      <trackRevisions>true</trackRevisions>
    </reviewItem>
    <reviewItem>
      <errorID>2344e1f4-5212-443e-9501-f68971ffcd86</errorID>
      <errorWord>：</errorWord>
      <group>L1_Format</group>
      <groupName>格式问题</groupName>
      <ability>L2_HalfPunc_CN</ability>
      <abilityName>全半角问题</abilityName>
      <candidateList>
        <item>:</item>
      </candidateList>
      <explain>文本全半角错误。</explain>
      <paraID>55FD51C6</paraID>
      <start>1</start>
      <end>3</end>
      <status>modified</status>
      <modifiedWord>:</modifiedWord>
      <trackRevisions>true</trackRevisions>
    </reviewItem>
    <reviewItem>
      <errorID>7f310f66-1575-4897-a0f1-991401ca7b71</errorID>
      <errorWord>：</errorWord>
      <group>L1_Format</group>
      <groupName>格式问题</groupName>
      <ability>L2_HalfPunc_CN</ability>
      <abilityName>全半角问题</abilityName>
      <candidateList>
        <item>:</item>
      </candidateList>
      <explain>文本全半角错误。</explain>
      <paraID>5D2DF7D2</paraID>
      <start>1</start>
      <end>3</end>
      <status>modified</status>
      <modifiedWord>:</modifiedWord>
      <trackRevisions>true</trackRevisions>
    </reviewItem>
    <reviewItem>
      <errorID>7ea87940-6930-46c0-8445-63a870add140</errorID>
      <errorWord>：</errorWord>
      <group>L1_Format</group>
      <groupName>格式问题</groupName>
      <ability>L2_HalfPunc_CN</ability>
      <abilityName>全半角问题</abilityName>
      <candidateList>
        <item>:</item>
      </candidateList>
      <explain>文本全半角错误。</explain>
      <paraID>6F25A407</paraID>
      <start>1</start>
      <end>3</end>
      <status>modified</status>
      <modifiedWord>:</modifiedWord>
      <trackRevisions>true</trackRevisions>
    </reviewItem>
    <reviewItem>
      <errorID>59a5491d-1cf7-4f63-a1ad-2e957b0ec7df</errorID>
      <errorWord>：</errorWord>
      <group>L1_Format</group>
      <groupName>格式问题</groupName>
      <ability>L2_HalfPunc_CN</ability>
      <abilityName>全半角问题</abilityName>
      <candidateList>
        <item>:</item>
      </candidateList>
      <explain>文本全半角错误。</explain>
      <paraID>7E50599A</paraID>
      <start>1</start>
      <end>2</end>
      <status>unmodified</status>
      <modifiedWord/>
      <trackRevisions>false</trackRevisions>
    </reviewItem>
    <reviewItem>
      <errorID>8806d3b4-d181-4e58-8fc2-5ed13217210d</errorID>
      <errorWord>：</errorWord>
      <group>L1_Format</group>
      <groupName>格式问题</groupName>
      <ability>L2_HalfPunc_CN</ability>
      <abilityName>全半角问题</abilityName>
      <candidateList>
        <item>:</item>
      </candidateList>
      <explain>文本全半角错误。</explain>
      <paraID>396C177B</paraID>
      <start>1</start>
      <end>3</end>
      <status>modified</status>
      <modifiedWord>:</modifiedWord>
      <trackRevisions>true</trackRevisions>
    </reviewItem>
    <reviewItem>
      <errorID>2c6174e5-d7c2-4de9-ac2c-5c93c72520b6</errorID>
      <errorWord>：</errorWord>
      <group>L1_Format</group>
      <groupName>格式问题</groupName>
      <ability>L2_HalfPunc_CN</ability>
      <abilityName>全半角问题</abilityName>
      <candidateList>
        <item>:</item>
      </candidateList>
      <explain>文本全半角错误。</explain>
      <paraID>40E43786</paraID>
      <start>1</start>
      <end>3</end>
      <status>modified</status>
      <modifiedWord>:</modifiedWord>
      <trackRevisions>true</trackRevisions>
    </reviewItem>
    <reviewItem>
      <errorID>5e07d11d-034d-4885-b952-c987cb2aab09</errorID>
      <errorWord>：</errorWord>
      <group>L1_Format</group>
      <groupName>格式问题</groupName>
      <ability>L2_HalfPunc_CN</ability>
      <abilityName>全半角问题</abilityName>
      <candidateList>
        <item>:</item>
      </candidateList>
      <explain>文本全半角错误。</explain>
      <paraID>53B0D3EB</paraID>
      <start>1</start>
      <end>3</end>
      <status>modified</status>
      <modifiedWord>:</modifiedWord>
      <trackRevisions>true</trackRevisions>
    </reviewItem>
    <reviewItem>
      <errorID>26e9c137-162b-4ffc-9e49-baa7b17153e4</errorID>
      <errorWord>：</errorWord>
      <group>L1_Format</group>
      <groupName>格式问题</groupName>
      <ability>L2_HalfPunc_CN</ability>
      <abilityName>全半角问题</abilityName>
      <candidateList>
        <item>:</item>
      </candidateList>
      <explain>文本全半角错误。</explain>
      <paraID> 9E883FE</paraID>
      <start>1</start>
      <end>3</end>
      <status>modified</status>
      <modifiedWord>:</modifiedWord>
      <trackRevisions>true</trackRevisions>
    </reviewItem>
    <reviewItem>
      <errorID>ece18023-293f-4eeb-9de0-41e4f257b322</errorID>
      <errorWord>：</errorWord>
      <group>L1_Format</group>
      <groupName>格式问题</groupName>
      <ability>L2_HalfPunc_CN</ability>
      <abilityName>全半角问题</abilityName>
      <candidateList>
        <item>:</item>
      </candidateList>
      <explain>文本全半角错误。</explain>
      <paraID>3153FAA0</paraID>
      <start>1</start>
      <end>3</end>
      <status>modified</status>
      <modifiedWord>:</modifiedWord>
      <trackRevisions>true</trackRevisions>
    </reviewItem>
    <reviewItem>
      <errorID>d044d30d-82d6-4545-8d1c-abb25843aa0c</errorID>
      <errorWord>：</errorWord>
      <group>L1_Format</group>
      <groupName>格式问题</groupName>
      <ability>L2_HalfPunc_CN</ability>
      <abilityName>全半角问题</abilityName>
      <candidateList>
        <item>:</item>
      </candidateList>
      <explain>文本全半角错误。</explain>
      <paraID>1E6DC173</paraID>
      <start>1</start>
      <end>3</end>
      <status>modified</status>
      <modifiedWord>:</modifiedWord>
      <trackRevisions>true</trackRevisions>
    </reviewItem>
    <reviewItem>
      <errorID>e7b0a1b9-5e65-448f-b1b7-b6a049041479</errorID>
      <errorWord>：</errorWord>
      <group>L1_Format</group>
      <groupName>格式问题</groupName>
      <ability>L2_HalfPunc_CN</ability>
      <abilityName>全半角问题</abilityName>
      <candidateList>
        <item>:</item>
      </candidateList>
      <explain>文本全半角错误。</explain>
      <paraID>52927A58</paraID>
      <start>1</start>
      <end>3</end>
      <status>modified</status>
      <modifiedWord>:</modifiedWord>
      <trackRevisions>true</trackRevisions>
    </reviewItem>
    <reviewItem>
      <errorID>651b7cf5-2d2a-4cf9-a45e-cee2051b7b73</errorID>
      <errorWord>：</errorWord>
      <group>L1_Format</group>
      <groupName>格式问题</groupName>
      <ability>L2_HalfPunc_CN</ability>
      <abilityName>全半角问题</abilityName>
      <candidateList>
        <item>:</item>
      </candidateList>
      <explain>文本全半角错误。</explain>
      <paraID>359415FF</paraID>
      <start>1</start>
      <end>3</end>
      <status>modified</status>
      <modifiedWord>:</modifiedWord>
      <trackRevisions>true</trackRevisions>
    </reviewItem>
    <reviewItem>
      <errorID>f67eafa7-9c45-48b3-8f32-e61dd42025e4</errorID>
      <errorWord>：</errorWord>
      <group>L1_Format</group>
      <groupName>格式问题</groupName>
      <ability>L2_HalfPunc_CN</ability>
      <abilityName>全半角问题</abilityName>
      <candidateList>
        <item>:</item>
      </candidateList>
      <explain>文本全半角错误。</explain>
      <paraID>1CB83633</paraID>
      <start>1</start>
      <end>3</end>
      <status>modified</status>
      <modifiedWord>:</modifiedWord>
      <trackRevisions>true</trackRevisions>
    </reviewItem>
    <reviewItem>
      <errorID>cc0551d7-0620-4675-878d-316093f95afc</errorID>
      <errorWord>：</errorWord>
      <group>L1_Format</group>
      <groupName>格式问题</groupName>
      <ability>L2_HalfPunc_CN</ability>
      <abilityName>全半角问题</abilityName>
      <candidateList>
        <item>:</item>
      </candidateList>
      <explain>文本全半角错误。</explain>
      <paraID>4916379E</paraID>
      <start>1</start>
      <end>3</end>
      <status>modified</status>
      <modifiedWord>:</modifiedWord>
      <trackRevisions>true</trackRevisions>
    </reviewItem>
    <reviewItem>
      <errorID>86f8c689-4df6-41b3-a0d5-1565dd35fd7f</errorID>
      <errorWord>：</errorWord>
      <group>L1_Format</group>
      <groupName>格式问题</groupName>
      <ability>L2_HalfPunc_CN</ability>
      <abilityName>全半角问题</abilityName>
      <candidateList>
        <item>:</item>
      </candidateList>
      <explain>文本全半角错误。</explain>
      <paraID>339F84C9</paraID>
      <start>1</start>
      <end>3</end>
      <status>modified</status>
      <modifiedWord>:</modifiedWord>
      <trackRevisions>true</trackRevisions>
    </reviewItem>
    <reviewItem>
      <errorID>2bb5975a-bdee-4ceb-8554-69e7d9de3e44</errorID>
      <errorWord>：</errorWord>
      <group>L1_Format</group>
      <groupName>格式问题</groupName>
      <ability>L2_HalfPunc_CN</ability>
      <abilityName>全半角问题</abilityName>
      <candidateList>
        <item>:</item>
      </candidateList>
      <explain>文本全半角错误。</explain>
      <paraID>63DCE3B8</paraID>
      <start>1</start>
      <end>3</end>
      <status>modified</status>
      <modifiedWord>:</modifiedWord>
      <trackRevisions>true</trackRevisions>
    </reviewItem>
    <reviewItem>
      <errorID>bba7f41c-4726-44ae-b7df-1d0a84943d90</errorID>
      <errorWord>：</errorWord>
      <group>L1_Format</group>
      <groupName>格式问题</groupName>
      <ability>L2_HalfPunc_CN</ability>
      <abilityName>全半角问题</abilityName>
      <candidateList>
        <item>:</item>
      </candidateList>
      <explain>文本全半角错误。</explain>
      <paraID>55A0B72E</paraID>
      <start>1</start>
      <end>2</end>
      <status>unmodified</status>
      <modifiedWord/>
      <trackRevisions>false</trackRevisions>
    </reviewItem>
    <reviewItem>
      <errorID>bb4eadfd-408a-4de2-8dcb-f08fed27b198</errorID>
      <errorWord>：</errorWord>
      <group>L1_Format</group>
      <groupName>格式问题</groupName>
      <ability>L2_HalfPunc_CN</ability>
      <abilityName>全半角问题</abilityName>
      <candidateList>
        <item>:</item>
      </candidateList>
      <explain>文本全半角错误。</explain>
      <paraID>78D9BF71</paraID>
      <start>1</start>
      <end>3</end>
      <status>modified</status>
      <modifiedWord>:</modifiedWord>
      <trackRevisions>true</trackRevisions>
    </reviewItem>
    <reviewItem>
      <errorID>cdf6e802-8b54-4204-9023-12fc1e3d7ce5</errorID>
      <errorWord>：</errorWord>
      <group>L1_Format</group>
      <groupName>格式问题</groupName>
      <ability>L2_HalfPunc_CN</ability>
      <abilityName>全半角问题</abilityName>
      <candidateList>
        <item>:</item>
      </candidateList>
      <explain>文本全半角错误。</explain>
      <paraID> B2867D9</paraID>
      <start>1</start>
      <end>3</end>
      <status>modified</status>
      <modifiedWord>:</modifiedWord>
      <trackRevisions>true</trackRevisions>
    </reviewItem>
    <reviewItem>
      <errorID>a15240af-1f08-4802-9d85-c3fca6bee86b</errorID>
      <errorWord>：</errorWord>
      <group>L1_Format</group>
      <groupName>格式问题</groupName>
      <ability>L2_HalfPunc_CN</ability>
      <abilityName>全半角问题</abilityName>
      <candidateList>
        <item>:</item>
      </candidateList>
      <explain>文本全半角错误。</explain>
      <paraID>286FB3A4</paraID>
      <start>1</start>
      <end>3</end>
      <status>modified</status>
      <modifiedWord>:</modifiedWord>
      <trackRevisions>true</trackRevisions>
    </reviewItem>
    <reviewItem>
      <errorID>7fe9e7df-6a44-49ba-bbd1-a7cf681e66ac</errorID>
      <errorWord>：</errorWord>
      <group>L1_Format</group>
      <groupName>格式问题</groupName>
      <ability>L2_HalfPunc_CN</ability>
      <abilityName>全半角问题</abilityName>
      <candidateList>
        <item>:</item>
      </candidateList>
      <explain>文本全半角错误。</explain>
      <paraID>48091233</paraID>
      <start>1</start>
      <end>3</end>
      <status>modified</status>
      <modifiedWord>:</modifiedWord>
      <trackRevisions>true</trackRevisions>
    </reviewItem>
    <reviewItem>
      <errorID>095057a8-6291-4cfc-a453-24ea171d4daa</errorID>
      <errorWord>：</errorWord>
      <group>L1_Format</group>
      <groupName>格式问题</groupName>
      <ability>L2_HalfPunc_CN</ability>
      <abilityName>全半角问题</abilityName>
      <candidateList>
        <item>:</item>
      </candidateList>
      <explain>文本全半角错误。</explain>
      <paraID>752586F7</paraID>
      <start>1</start>
      <end>3</end>
      <status>modified</status>
      <modifiedWord>:</modifiedWord>
      <trackRevisions>true</trackRevisions>
    </reviewItem>
    <reviewItem>
      <errorID>120fce8a-1af5-4bd9-b693-d2a37827d39c</errorID>
      <errorWord>：</errorWord>
      <group>L1_Format</group>
      <groupName>格式问题</groupName>
      <ability>L2_HalfPunc_CN</ability>
      <abilityName>全半角问题</abilityName>
      <candidateList>
        <item>:</item>
      </candidateList>
      <explain>文本全半角错误。</explain>
      <paraID> D0D3F5F</paraID>
      <start>1</start>
      <end>3</end>
      <status>modified</status>
      <modifiedWord>:</modifiedWord>
      <trackRevisions>true</trackRevisions>
    </reviewItem>
    <reviewItem>
      <errorID>a25499ff-5f24-4c1c-92bb-bc1c6bfabfd2</errorID>
      <errorWord>：</errorWord>
      <group>L1_Format</group>
      <groupName>格式问题</groupName>
      <ability>L2_HalfPunc_CN</ability>
      <abilityName>全半角问题</abilityName>
      <candidateList>
        <item>:</item>
      </candidateList>
      <explain>文本全半角错误。</explain>
      <paraID>6005ED10</paraID>
      <start>1</start>
      <end>3</end>
      <status>modified</status>
      <modifiedWord>:</modifiedWord>
      <trackRevisions>true</trackRevisions>
    </reviewItem>
    <reviewItem>
      <errorID>62c234ca-a312-4ebb-b76c-1236e50b4296</errorID>
      <errorWord>：</errorWord>
      <group>L1_Format</group>
      <groupName>格式问题</groupName>
      <ability>L2_HalfPunc_CN</ability>
      <abilityName>全半角问题</abilityName>
      <candidateList>
        <item>:</item>
      </candidateList>
      <explain>文本全半角错误。</explain>
      <paraID>4E642567</paraID>
      <start>1</start>
      <end>3</end>
      <status>modified</status>
      <modifiedWord>:</modifiedWord>
      <trackRevisions>true</trackRevisions>
    </reviewItem>
    <reviewItem>
      <errorID>d63df394-2a77-4cd3-81ad-92b66e457689</errorID>
      <errorWord>：</errorWord>
      <group>L1_Format</group>
      <groupName>格式问题</groupName>
      <ability>L2_HalfPunc_CN</ability>
      <abilityName>全半角问题</abilityName>
      <candidateList>
        <item>:</item>
      </candidateList>
      <explain>文本全半角错误。</explain>
      <paraID>38E32E8C</paraID>
      <start>1</start>
      <end>3</end>
      <status>modified</status>
      <modifiedWord>:</modifiedWord>
      <trackRevisions>true</trackRevisions>
    </reviewItem>
    <reviewItem>
      <errorID>afac047e-541b-4eee-840c-80f94ac5b584</errorID>
      <errorWord>：</errorWord>
      <group>L1_Format</group>
      <groupName>格式问题</groupName>
      <ability>L2_HalfPunc_CN</ability>
      <abilityName>全半角问题</abilityName>
      <candidateList>
        <item>:</item>
      </candidateList>
      <explain>文本全半角错误。</explain>
      <paraID>2D5393D6</paraID>
      <start>1</start>
      <end>3</end>
      <status>modified</status>
      <modifiedWord>:</modifiedWord>
      <trackRevisions>true</trackRevisions>
    </reviewItem>
    <reviewItem>
      <errorID>c4cda75b-663d-4669-b4ca-fb4ff4aa2937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31FDEA93</paraID>
      <start>44</start>
      <end>45</end>
      <status>unmodified</status>
      <modifiedWord/>
      <trackRevisions>false</trackRevisions>
    </reviewItem>
    <reviewItem>
      <errorID>70544c95-0300-4a6d-b00a-0f323bd657b1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31FDEA93</paraID>
      <start>98</start>
      <end>99</end>
      <status>unmodified</status>
      <modifiedWord/>
      <trackRevisions>false</trackRevisions>
    </reviewItem>
    <reviewItem>
      <errorID>d90c4009-2a78-4a07-b3b8-4d67230a6c09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D0F777E</paraID>
      <start>0</start>
      <end>2</end>
      <status>unmodified</status>
      <modifiedWord/>
      <trackRevisions>false</trackRevisions>
    </reviewItem>
    <reviewItem>
      <errorID>4bdb4880-b2d7-44bd-be25-82c206af5e41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39CFB04F</paraID>
      <start>0</start>
      <end>2</end>
      <status>unmodified</status>
      <modifiedWord/>
      <trackRevisions>false</trackRevisions>
    </reviewItem>
    <reviewItem>
      <errorID>30104dae-db70-4a3b-a3ce-cd47899b13ec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450278C4</paraID>
      <start>0</start>
      <end>2</end>
      <status>unmodified</status>
      <modifiedWord/>
      <trackRevisions>false</trackRevisions>
    </reviewItem>
    <reviewItem>
      <errorID>006f050d-1098-45b3-8635-792f19cfa8fd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7EBA7DE4</paraID>
      <start>0</start>
      <end>2</end>
      <status>unmodified</status>
      <modifiedWord/>
      <trackRevisions>false</trackRevisions>
    </reviewItem>
    <reviewItem>
      <errorID>d407244a-cb4a-4ada-8b60-bf727da41a1f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4FEED0F1</paraID>
      <start>0</start>
      <end>2</end>
      <status>unmodified</status>
      <modifiedWord/>
      <trackRevisions>false</trackRevisions>
    </reviewItem>
    <reviewItem>
      <errorID>fdb948c2-9099-4c96-a12d-75ac4529f36f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2481AC59</paraID>
      <start>0</start>
      <end>2</end>
      <status>unmodified</status>
      <modifiedWord/>
      <trackRevisions>false</trackRevisions>
    </reviewItem>
    <reviewItem>
      <errorID>553ccefa-6b95-4f70-b70b-8e7fdfc9ab93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10103306</paraID>
      <start>0</start>
      <end>2</end>
      <status>unmodified</status>
      <modifiedWord/>
      <trackRevisions>false</trackRevisions>
    </reviewItem>
    <reviewItem>
      <errorID>b3ad7380-ee22-43fb-adf4-2df0643bea6f</errorID>
      <errorWord>,</errorWord>
      <group>L1_Format</group>
      <groupName>格式问题</groupName>
      <ability>L2_HalfPunc_CN</ability>
      <abilityName>全半角问题</abilityName>
      <candidateList>
        <item>，</item>
      </candidateList>
      <explain>文本全半角错误。</explain>
      <paraID>1ED68FAF</paraID>
      <start>1</start>
      <end>2</end>
      <status>unmodified</status>
      <modifiedWord/>
      <trackRevisions>false</trackRevisions>
    </reviewItem>
    <reviewItem>
      <errorID>71f89c29-3c99-4813-9cac-f27e80fd94f4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7D800EE7</paraID>
      <start>0</start>
      <end>2</end>
      <status>unmodified</status>
      <modifiedWord/>
      <trackRevisions>false</trackRevisions>
    </reviewItem>
    <reviewItem>
      <errorID>0d2f8dd3-a69b-4791-9e5c-65bc9544c14e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599083D7</paraID>
      <start>0</start>
      <end>2</end>
      <status>unmodified</status>
      <modifiedWord/>
      <trackRevisions>false</trackRevisions>
    </reviewItem>
    <reviewItem>
      <errorID>db1bf3be-1e08-45a7-8415-6c7dbda7a600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426E321A</paraID>
      <start>0</start>
      <end>2</end>
      <status>unmodified</status>
      <modifiedWord/>
      <trackRevisions>false</trackRevisions>
    </reviewItem>
    <reviewItem>
      <errorID>85747029-402c-4b3c-9181-b2aa2112c05a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3AB1C9EF</paraID>
      <start>0</start>
      <end>2</end>
      <status>unmodified</status>
      <modifiedWord/>
      <trackRevisions>false</trackRevisions>
    </reviewItem>
    <reviewItem>
      <errorID>7b61cd2c-63c1-497f-8409-b87891d74d52</errorID>
      <errorWord>（</errorWord>
      <group>L1_Format</group>
      <groupName>格式问题</groupName>
      <ability>L2_HalfPunc_CN</ability>
      <abilityName>全半角问题</abilityName>
      <candidateList>
        <item>(</item>
      </candidateList>
      <explain>文本全半角错误。</explain>
      <paraID>43BFF516</paraID>
      <start>0</start>
      <end>2</end>
      <status>modified</status>
      <modifiedWord>(</modifiedWord>
      <trackRevisions>true</trackRevisions>
    </reviewItem>
    <reviewItem>
      <errorID>97bbffba-52d0-4ea9-8b84-9e7db4c07a94</errorID>
      <errorWord>）</errorWord>
      <group>L1_Format</group>
      <groupName>格式问题</groupName>
      <ability>L2_HalfPunc_CN</ability>
      <abilityName>全半角问题</abilityName>
      <candidateList>
        <item>)</item>
      </candidateList>
      <explain>文本全半角错误。</explain>
      <paraID>43BFF516</paraID>
      <start>4</start>
      <end>6</end>
      <status>modified</status>
      <modifiedWord>)</modifiedWord>
      <trackRevisions>true</trackRevisions>
    </reviewItem>
    <reviewItem>
      <errorID>10aab610-4f78-4f68-aeee-b0df6e634717</errorID>
      <errorWord>&gt;</errorWord>
      <group>L1_Punc</group>
      <groupName>标点问题</groupName>
      <ability>L2_Punc_CN</ability>
      <abilityName>标点符号问题</abilityName>
      <candidateList/>
      <explain/>
      <paraID>3D42AD53</paraID>
      <start>0</start>
      <end>1</end>
      <status>unmodified</status>
      <modifiedWord/>
      <trackRevisions>false</trackRevisions>
    </reviewItem>
    <reviewItem>
      <errorID>0916597b-2b8f-413e-b4de-279df4907696</errorID>
      <errorWord>程</errorWord>
      <group>L1_Word</group>
      <groupName>字词问题</groupName>
      <ability>L2_Typo</ability>
      <abilityName>字词错误</abilityName>
      <candidateList>
        <item>程中</item>
      </candidateList>
      <explain/>
      <paraID>5B4F14B1</paraID>
      <start>22</start>
      <end>25</end>
      <status>modified</status>
      <modifiedWord>程中</modifiedWord>
      <trackRevisions>true</trackRevisions>
    </reviewItem>
    <reviewItem>
      <errorID>080a3df1-feb7-4853-ab51-8943b48d98e0</errorID>
      <errorWord>程</errorWord>
      <group>L1_Word</group>
      <groupName>字词问题</groupName>
      <ability>L2_Typo</ability>
      <abilityName>字词错误</abilityName>
      <candidateList>
        <item>程中</item>
      </candidateList>
      <explain/>
      <paraID>2A64C113</paraID>
      <start>14</start>
      <end>17</end>
      <status>modified</status>
      <modifiedWord>程中</modifiedWord>
      <trackRevisions>true</trackRevisions>
    </reviewItem>
    <reviewItem>
      <errorID>038ebd7e-30a7-41c5-bbbc-94b36a8d6c27</errorID>
      <errorWord>程</errorWord>
      <group>L1_Word</group>
      <groupName>字词问题</groupName>
      <ability>L2_Typo</ability>
      <abilityName>字词错误</abilityName>
      <candidateList>
        <item>程中</item>
      </candidateList>
      <explain/>
      <paraID>6ACC68D1</paraID>
      <start>6</start>
      <end>9</end>
      <status>modified</status>
      <modifiedWord>程中</modifiedWord>
      <trackRevisions>true</trackRevisions>
    </reviewItem>
    <reviewItem>
      <errorID>018ef08d-ddc0-4e75-bf1d-75c814cdeb8b</errorID>
      <errorWord>-</errorWord>
      <group>L1_Format</group>
      <groupName>格式问题</groupName>
      <ability>L2_HalfPunc_CN</ability>
      <abilityName>全半角问题</abilityName>
      <candidateList>
        <item>－</item>
      </candidateList>
      <explain>文本全半角错误。</explain>
      <paraID>7DFAB51D</paraID>
      <start>120</start>
      <end>121</end>
      <status>unmodified</status>
      <modifiedWord/>
      <trackRevisions>false</trackRevisions>
    </reviewItem>
    <reviewItem>
      <errorID>4736fffc-8076-492a-994b-d7b617a25c93</errorID>
      <errorWord>-</errorWord>
      <group>L1_Format</group>
      <groupName>格式问题</groupName>
      <ability>L2_HalfPunc_CN</ability>
      <abilityName>全半角问题</abilityName>
      <candidateList>
        <item>－</item>
      </candidateList>
      <explain>文本全半角错误。</explain>
      <paraID>7DFAB51D</paraID>
      <start>127</start>
      <end>128</end>
      <status>unmodified</status>
      <modifiedWord/>
      <trackRevisions>false</trackRevisions>
    </reviewItem>
    <reviewItem>
      <errorID>59605ba4-104b-4b7d-922a-754e60a99499</errorID>
      <errorWord>(</errorWord>
      <group>L1_Format</group>
      <groupName>格式问题</groupName>
      <ability>L2_HalfPunc_CN</ability>
      <abilityName>全半角问题</abilityName>
      <candidateList>
        <item>（</item>
      </candidateList>
      <explain>文本全半角错误。</explain>
      <paraID>795452A6</paraID>
      <start>2</start>
      <end>3</end>
      <status>unmodified</status>
      <modifiedWord/>
      <trackRevisions>false</trackRevisions>
    </reviewItem>
    <reviewItem>
      <errorID>3bb18841-3d09-42c0-ad2a-1bd2c774fa20</errorID>
      <errorWord>)</errorWord>
      <group>L1_Format</group>
      <groupName>格式问题</groupName>
      <ability>L2_HalfPunc_CN</ability>
      <abilityName>全半角问题</abilityName>
      <candidateList>
        <item>）</item>
      </candidateList>
      <explain>文本全半角错误。</explain>
      <paraID>795452A6</paraID>
      <start>4</start>
      <end>5</end>
      <status>unmodified</status>
      <modifiedWord/>
      <trackRevisions>false</trackRevisions>
    </reviewItem>
    <reviewItem>
      <errorID>6ca1620f-800c-4468-b4b8-00e459e3ff92</errorID>
      <errorWord>(</errorWord>
      <group>L1_Format</group>
      <groupName>格式问题</groupName>
      <ability>L2_HalfPunc_CN</ability>
      <abilityName>全半角问题</abilityName>
      <candidateList>
        <item>（</item>
      </candidateList>
      <explain>文本全半角错误。</explain>
      <paraID>36312BB4</paraID>
      <start>2</start>
      <end>3</end>
      <status>unmodified</status>
      <modifiedWord/>
      <trackRevisions>false</trackRevisions>
    </reviewItem>
    <reviewItem>
      <errorID>1f6c7f10-1ef2-43e8-9323-01a5240cf8ce</errorID>
      <errorWord>)</errorWord>
      <group>L1_Format</group>
      <groupName>格式问题</groupName>
      <ability>L2_HalfPunc_CN</ability>
      <abilityName>全半角问题</abilityName>
      <candidateList>
        <item>）</item>
      </candidateList>
      <explain>文本全半角错误。</explain>
      <paraID>36312BB4</paraID>
      <start>6</start>
      <end>7</end>
      <status>unmodified</status>
      <modifiedWord/>
      <trackRevisions>false</trackRevisions>
    </reviewItem>
    <reviewItem>
      <errorID>1d30f3bd-badd-4893-b6a1-c0afac545812</errorID>
      <errorWord>见</errorWord>
      <group>L1_Word</group>
      <groupName>字词问题</groupName>
      <ability>L2_Typo</ability>
      <abilityName>字词错误</abilityName>
      <candidateList>
        <item>见下</item>
      </candidateList>
      <explain/>
      <paraID>1AD71502</paraID>
      <start>24</start>
      <end>27</end>
      <status>modified</status>
      <modifiedWord>见下</modifiedWord>
      <trackRevisions>true</trackRevisions>
    </reviewItem>
    <reviewItem>
      <errorID>952c3672-1867-43e4-ae07-4183c92ab89d</errorID>
      <errorWord>(</errorWord>
      <group>L1_Format</group>
      <groupName>格式问题</groupName>
      <ability>L2_HalfPunc_CN</ability>
      <abilityName>全半角问题</abilityName>
      <candidateList>
        <item>（</item>
      </candidateList>
      <explain>文本全半角错误。</explain>
      <paraID>6530F96E</paraID>
      <start>2</start>
      <end>4</end>
      <status>modified</status>
      <modifiedWord>（</modifiedWord>
      <trackRevisions>true</trackRevisions>
    </reviewItem>
    <reviewItem>
      <errorID>aeebf72e-88fd-4409-9510-0a3ed18b0d05</errorID>
      <errorWord>)</errorWord>
      <group>L1_Format</group>
      <groupName>格式问题</groupName>
      <ability>L2_HalfPunc_CN</ability>
      <abilityName>全半角问题</abilityName>
      <candidateList>
        <item>）</item>
      </candidateList>
      <explain>文本全半角错误。</explain>
      <paraID>6530F96E</paraID>
      <start>7</start>
      <end>9</end>
      <status>modified</status>
      <modifiedWord>）</modifiedWord>
      <trackRevisions>true</trackRevisions>
    </reviewItem>
    <reviewItem>
      <errorID>bb5437a3-0f3d-49d7-b1fd-10b8e5d5cc71</errorID>
      <errorWord>(</errorWord>
      <group>L1_Format</group>
      <groupName>格式问题</groupName>
      <ability>L2_HalfPunc_CN</ability>
      <abilityName>全半角问题</abilityName>
      <candidateList>
        <item>（</item>
      </candidateList>
      <explain>文本全半角错误。</explain>
      <paraID>6530F96E</paraID>
      <start>11</start>
      <end>13</end>
      <status>modified</status>
      <modifiedWord>（</modifiedWord>
      <trackRevisions>true</trackRevisions>
    </reviewItem>
    <reviewItem>
      <errorID>ca7f2d6e-d573-4567-af96-002552ec90d1</errorID>
      <errorWord>)</errorWord>
      <group>L1_Format</group>
      <groupName>格式问题</groupName>
      <ability>L2_HalfPunc_CN</ability>
      <abilityName>全半角问题</abilityName>
      <candidateList>
        <item>）</item>
      </candidateList>
      <explain>文本全半角错误。</explain>
      <paraID>6530F96E</paraID>
      <start>14</start>
      <end>16</end>
      <status>modified</status>
      <modifiedWord>）</modifiedWord>
      <trackRevisions>true</trackRevisions>
    </reviewItem>
    <reviewItem>
      <errorID>2a4ea19c-6c84-4c80-a53e-14b5119805a0</errorID>
      <errorWord>(</errorWord>
      <group>L1_Format</group>
      <groupName>格式问题</groupName>
      <ability>L2_HalfPunc_CN</ability>
      <abilityName>全半角问题</abilityName>
      <candidateList>
        <item>（</item>
      </candidateList>
      <explain>文本全半角错误。</explain>
      <paraID>23BC218A</paraID>
      <start>2</start>
      <end>4</end>
      <status>modified</status>
      <modifiedWord>（</modifiedWord>
      <trackRevisions>true</trackRevisions>
    </reviewItem>
    <reviewItem>
      <errorID>82437e56-fb14-4b89-aed9-19f6c823ad2d</errorID>
      <errorWord>)</errorWord>
      <group>L1_Format</group>
      <groupName>格式问题</groupName>
      <ability>L2_HalfPunc_CN</ability>
      <abilityName>全半角问题</abilityName>
      <candidateList>
        <item>）</item>
      </candidateList>
      <explain>文本全半角错误。</explain>
      <paraID>23BC218A</paraID>
      <start>7</start>
      <end>9</end>
      <status>modified</status>
      <modifiedWord>）</modifiedWord>
      <trackRevisions>true</trackRevisions>
    </reviewItem>
    <reviewItem>
      <errorID>6c70d612-1eb6-43d0-b070-d4a80b0b3d57</errorID>
      <errorWord>(</errorWord>
      <group>L1_Format</group>
      <groupName>格式问题</groupName>
      <ability>L2_HalfPunc_CN</ability>
      <abilityName>全半角问题</abilityName>
      <candidateList>
        <item>（</item>
      </candidateList>
      <explain>文本全半角错误。</explain>
      <paraID>23BC218A</paraID>
      <start>13</start>
      <end>15</end>
      <status>modified</status>
      <modifiedWord>（</modifiedWord>
      <trackRevisions>true</trackRevisions>
    </reviewItem>
    <reviewItem>
      <errorID>b2d3b485-462f-49e6-ba12-50edf36714ba</errorID>
      <errorWord>)</errorWord>
      <group>L1_Format</group>
      <groupName>格式问题</groupName>
      <ability>L2_HalfPunc_CN</ability>
      <abilityName>全半角问题</abilityName>
      <candidateList>
        <item>）</item>
      </candidateList>
      <explain>文本全半角错误。</explain>
      <paraID>23BC218A</paraID>
      <start>16</start>
      <end>18</end>
      <status>modified</status>
      <modifiedWord>）</modifiedWord>
      <trackRevisions>true</trackRevisions>
    </reviewItem>
    <reviewItem>
      <errorID>da57e581-0b8f-4ece-9495-a94a352af63b</errorID>
      <errorWord>(</errorWord>
      <group>L1_Format</group>
      <groupName>格式问题</groupName>
      <ability>L2_HalfPunc_CN</ability>
      <abilityName>全半角问题</abilityName>
      <candidateList>
        <item>（</item>
      </candidateList>
      <explain>文本全半角错误。</explain>
      <paraID>1C05BF00</paraID>
      <start>2</start>
      <end>4</end>
      <status>modified</status>
      <modifiedWord>（</modifiedWord>
      <trackRevisions>true</trackRevisions>
    </reviewItem>
    <reviewItem>
      <errorID>c9ac2013-7ea3-4d5b-a31b-9c56c8467324</errorID>
      <errorWord>)</errorWord>
      <group>L1_Format</group>
      <groupName>格式问题</groupName>
      <ability>L2_HalfPunc_CN</ability>
      <abilityName>全半角问题</abilityName>
      <candidateList>
        <item>）</item>
      </candidateList>
      <explain>文本全半角错误。</explain>
      <paraID>1C05BF00</paraID>
      <start>5</start>
      <end>7</end>
      <status>modified</status>
      <modifiedWord>）</modifiedWord>
      <trackRevisions>true</trackRevisions>
    </reviewItem>
    <reviewItem>
      <errorID>a20a4f3f-edb9-421b-92bd-84bc41b5c6fd</errorID>
      <errorWord>(</errorWord>
      <group>L1_Format</group>
      <groupName>格式问题</groupName>
      <ability>L2_HalfPunc_CN</ability>
      <abilityName>全半角问题</abilityName>
      <candidateList>
        <item>（</item>
      </candidateList>
      <explain>文本全半角错误。</explain>
      <paraID>6EB2A1D8</paraID>
      <start>2</start>
      <end>4</end>
      <status>modified</status>
      <modifiedWord>（</modifiedWord>
      <trackRevisions>true</trackRevisions>
    </reviewItem>
    <reviewItem>
      <errorID>3230f910-ad5f-4e6a-aa17-b4e85b3acac2</errorID>
      <errorWord>)</errorWord>
      <group>L1_Format</group>
      <groupName>格式问题</groupName>
      <ability>L2_HalfPunc_CN</ability>
      <abilityName>全半角问题</abilityName>
      <candidateList>
        <item>）</item>
      </candidateList>
      <explain>文本全半角错误。</explain>
      <paraID>6EB2A1D8</paraID>
      <start>5</start>
      <end>7</end>
      <status>modified</status>
      <modifiedWord>）</modifiedWord>
      <trackRevisions>true</trackRevisions>
    </reviewItem>
    <reviewItem>
      <errorID>ae2b2314-5e6a-4231-a9e1-9de5d3d92307</errorID>
      <errorWord>(</errorWord>
      <group>L1_Format</group>
      <groupName>格式问题</groupName>
      <ability>L2_HalfPunc_CN</ability>
      <abilityName>全半角问题</abilityName>
      <candidateList>
        <item>（</item>
      </candidateList>
      <explain>文本全半角错误。</explain>
      <paraID>6836B877</paraID>
      <start>4</start>
      <end>5</end>
      <status>modified</status>
      <modifiedWord>（</modifiedWord>
      <trackRevisions>true</trackRevisions>
    </reviewItem>
    <reviewItem>
      <errorID>934b14db-0553-45d8-ae13-87b52cbeb4c3</errorID>
      <errorWord>)</errorWord>
      <group>L1_Format</group>
      <groupName>格式问题</groupName>
      <ability>L2_HalfPunc_CN</ability>
      <abilityName>全半角问题</abilityName>
      <candidateList>
        <item>）</item>
      </candidateList>
      <explain>文本全半角错误。</explain>
      <paraID>6836B877</paraID>
      <start>6</start>
      <end>7</end>
      <status>modified</status>
      <modifiedWord>）</modifiedWord>
      <trackRevisions>true</trackRevisions>
    </reviewItem>
    <reviewItem>
      <errorID>33faabcf-e311-4bb8-bdd0-3d0df2b54ab6</errorID>
      <errorWord>(</errorWord>
      <group>L1_Format</group>
      <groupName>格式问题</groupName>
      <ability>L2_HalfPunc_CN</ability>
      <abilityName>全半角问题</abilityName>
      <candidateList>
        <item>（</item>
      </candidateList>
      <explain>文本全半角错误。</explain>
      <paraID>70A93583</paraID>
      <start>4</start>
      <end>6</end>
      <status>modified</status>
      <modifiedWord>（</modifiedWord>
      <trackRevisions>true</trackRevisions>
    </reviewItem>
    <reviewItem>
      <errorID>4220d12f-e45b-4df1-b386-611645cc2056</errorID>
      <errorWord>)</errorWord>
      <group>L1_Format</group>
      <groupName>格式问题</groupName>
      <ability>L2_HalfPunc_CN</ability>
      <abilityName>全半角问题</abilityName>
      <candidateList>
        <item>）</item>
      </candidateList>
      <explain>文本全半角错误。</explain>
      <paraID>70A93583</paraID>
      <start>7</start>
      <end>9</end>
      <status>modified</status>
      <modifiedWord>）</modifiedWord>
      <trackRevisions>true</trackRevisions>
    </reviewItem>
    <reviewItem>
      <errorID>bb17256b-3ee5-4e7e-8c87-11134460e4ff</errorID>
      <errorWord>(</errorWord>
      <group>L1_Format</group>
      <groupName>格式问题</groupName>
      <ability>L2_HalfPunc_CN</ability>
      <abilityName>全半角问题</abilityName>
      <candidateList>
        <item>（</item>
      </candidateList>
      <explain>文本全半角错误。</explain>
      <paraID>6A182A56</paraID>
      <start>4</start>
      <end>6</end>
      <status>modified</status>
      <modifiedWord>（</modifiedWord>
      <trackRevisions>true</trackRevisions>
    </reviewItem>
    <reviewItem>
      <errorID>c391bfa8-14d1-4743-8cec-26627a17026c</errorID>
      <errorWord>)</errorWord>
      <group>L1_Format</group>
      <groupName>格式问题</groupName>
      <ability>L2_HalfPunc_CN</ability>
      <abilityName>全半角问题</abilityName>
      <candidateList>
        <item>）</item>
      </candidateList>
      <explain>文本全半角错误。</explain>
      <paraID>6A182A56</paraID>
      <start>7</start>
      <end>9</end>
      <status>modified</status>
      <modifiedWord>）</modifiedWord>
      <trackRevisions>true</trackRevisions>
    </reviewItem>
    <reviewItem>
      <errorID>5c06b4ec-cb1c-49ec-81ce-19f6b34deba7</errorID>
      <errorWord>(</errorWord>
      <group>L1_Format</group>
      <groupName>格式问题</groupName>
      <ability>L2_HalfPunc_CN</ability>
      <abilityName>全半角问题</abilityName>
      <candidateList>
        <item>（</item>
      </candidateList>
      <explain>文本全半角错误。</explain>
      <paraID>43670E5A</paraID>
      <start>4</start>
      <end>6</end>
      <status>modified</status>
      <modifiedWord>（</modifiedWord>
      <trackRevisions>true</trackRevisions>
    </reviewItem>
    <reviewItem>
      <errorID>9ae4ec41-9e2b-4b50-b8f3-86e496fb6b3a</errorID>
      <errorWord>)</errorWord>
      <group>L1_Format</group>
      <groupName>格式问题</groupName>
      <ability>L2_HalfPunc_CN</ability>
      <abilityName>全半角问题</abilityName>
      <candidateList>
        <item>）</item>
      </candidateList>
      <explain>文本全半角错误。</explain>
      <paraID>43670E5A</paraID>
      <start>7</start>
      <end>9</end>
      <status>modified</status>
      <modifiedWord>）</modifiedWord>
      <trackRevisions>true</trackRevisions>
    </reviewItem>
    <reviewItem>
      <errorID>643ffdb8-e303-4313-81ee-ccae6d585d6b</errorID>
      <errorWord>(</errorWord>
      <group>L1_Format</group>
      <groupName>格式问题</groupName>
      <ability>L2_HalfPunc_CN</ability>
      <abilityName>全半角问题</abilityName>
      <candidateList>
        <item>（</item>
      </candidateList>
      <explain>文本全半角错误。</explain>
      <paraID>37A3598D</paraID>
      <start>4</start>
      <end>6</end>
      <status>modified</status>
      <modifiedWord>（</modifiedWord>
      <trackRevisions>true</trackRevisions>
    </reviewItem>
    <reviewItem>
      <errorID>91c914a6-50a5-42af-b8b1-0c2986cce1eb</errorID>
      <errorWord>)</errorWord>
      <group>L1_Format</group>
      <groupName>格式问题</groupName>
      <ability>L2_HalfPunc_CN</ability>
      <abilityName>全半角问题</abilityName>
      <candidateList>
        <item>）</item>
      </candidateList>
      <explain>文本全半角错误。</explain>
      <paraID>37A3598D</paraID>
      <start>7</start>
      <end>9</end>
      <status>modified</status>
      <modifiedWord>）</modifiedWord>
      <trackRevisions>true</trackRevisions>
    </reviewItem>
    <reviewItem>
      <errorID>d80a00c8-c4e5-422d-9b0e-d9194b2e7867</errorID>
      <errorWord>作</errorWord>
      <group>L1_Word</group>
      <groupName>字词问题</groupName>
      <ability>L2_Typo</ability>
      <abilityName>字词错误</abilityName>
      <candidateList>
        <item>做</item>
      </candidateList>
      <explain>存在发音相同字词的误用。</explain>
      <paraID>11B527D8</paraID>
      <start>81</start>
      <end>83</end>
      <status>modified</status>
      <modifiedWord>做</modifiedWord>
      <trackRevisions>true</trackRevisions>
    </reviewItem>
    <reviewItem>
      <errorID>5ed8d688-7c76-4cb1-855e-8dfe2c3d4b21</errorID>
      <errorWord>(</errorWord>
      <group>L1_Format</group>
      <groupName>格式问题</groupName>
      <ability>L2_HalfPunc_CN</ability>
      <abilityName>全半角问题</abilityName>
      <candidateList>
        <item>（</item>
      </candidateList>
      <explain>文本全半角错误。</explain>
      <paraID>7EC1118A</paraID>
      <start>4</start>
      <end>5</end>
      <status>modified</status>
      <modifiedWord>（</modifiedWord>
      <trackRevisions>true</trackRevisions>
    </reviewItem>
    <reviewItem>
      <errorID>8617d72a-150b-4d70-a46e-f2ae365991f2</errorID>
      <errorWord>)</errorWord>
      <group>L1_Format</group>
      <groupName>格式问题</groupName>
      <ability>L2_HalfPunc_CN</ability>
      <abilityName>全半角问题</abilityName>
      <candidateList>
        <item>）</item>
      </candidateList>
      <explain>文本全半角错误。</explain>
      <paraID>7EC1118A</paraID>
      <start>6</start>
      <end>7</end>
      <status>modified</status>
      <modifiedWord>）</modifiedWord>
      <trackRevisions>true</trackRevisions>
    </reviewItem>
    <reviewItem>
      <errorID>50550f2b-8930-4e6c-88e0-719dc02bc24a</errorID>
      <errorWord>(</errorWord>
      <group>L1_Format</group>
      <groupName>格式问题</groupName>
      <ability>L2_HalfPunc_CN</ability>
      <abilityName>全半角问题</abilityName>
      <candidateList>
        <item>（</item>
      </candidateList>
      <explain>文本全半角错误。</explain>
      <paraID>7EB0CB07</paraID>
      <start>4</start>
      <end>5</end>
      <status>modified</status>
      <modifiedWord>（</modifiedWord>
      <trackRevisions>true</trackRevisions>
    </reviewItem>
    <reviewItem>
      <errorID>6e5c4ab0-f884-47bb-b1db-4f7f72905703</errorID>
      <errorWord>)</errorWord>
      <group>L1_Format</group>
      <groupName>格式问题</groupName>
      <ability>L2_HalfPunc_CN</ability>
      <abilityName>全半角问题</abilityName>
      <candidateList>
        <item>）</item>
      </candidateList>
      <explain>文本全半角错误。</explain>
      <paraID>7EB0CB07</paraID>
      <start>6</start>
      <end>7</end>
      <status>modified</status>
      <modifiedWord>）</modifiedWord>
      <trackRevisions>true</trackRevisions>
    </reviewItem>
    <reviewItem>
      <errorID>761e740f-d529-4ccc-ab34-1f393eeb0868</errorID>
      <errorWord>(</errorWord>
      <group>L1_Format</group>
      <groupName>格式问题</groupName>
      <ability>L2_HalfPunc_CN</ability>
      <abilityName>全半角问题</abilityName>
      <candidateList>
        <item>（</item>
      </candidateList>
      <explain>文本全半角错误。</explain>
      <paraID>4163C6C8</paraID>
      <start>4</start>
      <end>6</end>
      <status>modified</status>
      <modifiedWord>（</modifiedWord>
      <trackRevisions>true</trackRevisions>
    </reviewItem>
    <reviewItem>
      <errorID>143597df-58bc-4597-8586-85f1edecab6c</errorID>
      <errorWord>)</errorWord>
      <group>L1_Format</group>
      <groupName>格式问题</groupName>
      <ability>L2_HalfPunc_CN</ability>
      <abilityName>全半角问题</abilityName>
      <candidateList>
        <item>）</item>
      </candidateList>
      <explain>文本全半角错误。</explain>
      <paraID>4163C6C8</paraID>
      <start>7</start>
      <end>9</end>
      <status>modified</status>
      <modifiedWord>）</modifiedWord>
      <trackRevisions>true</trackRevisions>
    </reviewItem>
    <reviewItem>
      <errorID>724880cd-11b6-4e41-9301-f204cd7ccbb6</errorID>
      <errorWord>(</errorWord>
      <group>L1_Format</group>
      <groupName>格式问题</groupName>
      <ability>L2_HalfPunc_CN</ability>
      <abilityName>全半角问题</abilityName>
      <candidateList>
        <item>（</item>
      </candidateList>
      <explain>文本全半角错误。</explain>
      <paraID>76D8E23E</paraID>
      <start>4</start>
      <end>6</end>
      <status>modified</status>
      <modifiedWord>（</modifiedWord>
      <trackRevisions>true</trackRevisions>
    </reviewItem>
    <reviewItem>
      <errorID>9afd0c41-f062-45fb-98d4-7ec9f37db19e</errorID>
      <errorWord>)</errorWord>
      <group>L1_Format</group>
      <groupName>格式问题</groupName>
      <ability>L2_HalfPunc_CN</ability>
      <abilityName>全半角问题</abilityName>
      <candidateList>
        <item>）</item>
      </candidateList>
      <explain>文本全半角错误。</explain>
      <paraID>76D8E23E</paraID>
      <start>7</start>
      <end>9</end>
      <status>modified</status>
      <modifiedWord>）</modifiedWord>
      <trackRevisions>true</trackRevisions>
    </reviewItem>
    <reviewItem>
      <errorID>e276b7e8-ad83-4d31-8abe-4066d6ce47ae</errorID>
      <errorWord>～</errorWord>
      <group>L1_Format</group>
      <groupName>格式问题</groupName>
      <ability>L2_HalfPunc_CN</ability>
      <abilityName>全半角问题</abilityName>
      <candidateList>
        <item>~</item>
      </candidateList>
      <explain>文本全半角错误。</explain>
      <paraID>6D044636</paraID>
      <start>3</start>
      <end>4</end>
      <status>modified</status>
      <modifiedWord>~</modifiedWord>
      <trackRevisions>true</trackRevisions>
    </reviewItem>
    <reviewItem>
      <errorID>9a775bbe-cccf-4099-8c6e-a82f967e0cc8</errorID>
      <errorWord>（/</errorWord>
      <group>L1_Punc</group>
      <groupName>标点问题</groupName>
      <ability>L2_Punc_CN</ability>
      <abilityName>标点符号问题</abilityName>
      <candidateList>
        <item>（</item>
      </candidateList>
      <explain/>
      <paraID>626C9575</paraID>
      <start>1</start>
      <end>3</end>
      <status>unmodified</status>
      <modifiedWord/>
      <trackRevisions>false</trackRevisions>
    </reviewItem>
    <reviewItem>
      <errorID>59f5472e-cede-4f3e-bd2a-613e94629cd0</errorID>
      <errorWord>：</errorWord>
      <group>L1_Format</group>
      <groupName>格式问题</groupName>
      <ability>L2_HalfPunc_CN</ability>
      <abilityName>全半角问题</abilityName>
      <candidateList>
        <item>:</item>
      </candidateList>
      <explain>文本全半角错误。</explain>
      <paraID>3B004CBF</paraID>
      <start>3</start>
      <end>4</end>
      <status>modified</status>
      <modifiedWord>:</modifiedWord>
      <trackRevisions>true</trackRevisions>
    </reviewItem>
    <reviewItem>
      <errorID>1c73d659-5198-466c-b539-e6ced0902f13</errorID>
      <errorWord>：</errorWord>
      <group>L1_Format</group>
      <groupName>格式问题</groupName>
      <ability>L2_HalfPunc_CN</ability>
      <abilityName>全半角问题</abilityName>
      <candidateList>
        <item>:</item>
      </candidateList>
      <explain>文本全半角错误。</explain>
      <paraID>7D667163</paraID>
      <start>3</start>
      <end>4</end>
      <status>modified</status>
      <modifiedWord>:</modifiedWord>
      <trackRevisions>true</trackRevisions>
    </reviewItem>
    <reviewItem>
      <errorID>e9e6d451-e6e9-4174-9952-d06756c37074</errorID>
      <errorWord>泄露</errorWord>
      <group>L1_Word</group>
      <groupName>字词问题</groupName>
      <ability>L2_Typo</ability>
      <abilityName>字词错误</abilityName>
      <candidateList>
        <item>泄漏</item>
      </candidateList>
      <explain>存在发音相同字词的误用。</explain>
      <paraID>230369EC</paraID>
      <start>25</start>
      <end>27</end>
      <status>modified</status>
      <modifiedWord>泄漏</modifiedWord>
      <trackRevisions>true</trackRevisions>
    </reviewItem>
    <reviewItem>
      <errorID>2a9ede76-97d9-48a3-b3a0-a38b859005a5</errorID>
      <errorWord>泄露</errorWord>
      <group>L1_Word</group>
      <groupName>字词问题</groupName>
      <ability>L2_Typo</ability>
      <abilityName>字词错误</abilityName>
      <candidateList>
        <item>泄漏</item>
      </candidateList>
      <explain>存在发音相同字词的误用。</explain>
      <paraID>230369EC</paraID>
      <start>40</start>
      <end>42</end>
      <status>modified</status>
      <modifiedWord>泄漏</modifiedWord>
      <trackRevisions>true</trackRevisions>
    </reviewItem>
    <reviewItem>
      <errorID>ee02c13a-b893-4c17-b84b-dda8f08b3f37</errorID>
      <errorWord>防治</errorWord>
      <group>L1_Word</group>
      <groupName>字词问题</groupName>
      <ability>L2_Typo</ability>
      <abilityName>字词错误</abilityName>
      <candidateList>
        <item>防止</item>
      </candidateList>
      <explain/>
      <paraID>685CB69F</paraID>
      <start>118</start>
      <end>120</end>
      <status>modified</status>
      <modifiedWord>防止</modifiedWord>
      <trackRevisions>true</trackRevisions>
    </reviewItem>
    <reviewItem>
      <errorID>a9c7f90c-07fc-41dd-bfcc-e4eac6948a4d</errorID>
      <errorWord>（/</errorWord>
      <group>L1_Punc</group>
      <groupName>标点问题</groupName>
      <ability>L2_Punc_CN</ability>
      <abilityName>标点符号问题</abilityName>
      <candidateList>
        <item>（</item>
      </candidateList>
      <explain/>
      <paraID>6044E7FC</paraID>
      <start>5</start>
      <end>7</end>
      <status>unmodified</status>
      <modifiedWord/>
      <trackRevisions>false</trackRevisions>
    </reviewItem>
    <reviewItem>
      <errorID>cbf577af-b1d1-4135-b88e-fe7e86dc1603</errorID>
      <errorWord>（/</errorWord>
      <group>L1_Punc</group>
      <groupName>标点问题</groupName>
      <ability>L2_Punc_CN</ability>
      <abilityName>标点符号问题</abilityName>
      <candidateList>
        <item>（</item>
      </candidateList>
      <explain/>
      <paraID>6044E7FC</paraID>
      <start>24</start>
      <end>26</end>
      <status>unmodified</status>
      <modifiedWord/>
      <trackRevisions>false</trackRevisions>
    </reviewItem>
    <reviewItem>
      <errorID>d9ff41eb-dc3a-4d2d-b087-a74b98ed6621</errorID>
      <errorWord>（/</errorWord>
      <group>L1_Punc</group>
      <groupName>标点问题</groupName>
      <ability>L2_Punc_CN</ability>
      <abilityName>标点符号问题</abilityName>
      <candidateList>
        <item>（</item>
      </candidateList>
      <explain/>
      <paraID>65061BC8</paraID>
      <start>5</start>
      <end>7</end>
      <status>unmodified</status>
      <modifiedWord/>
      <trackRevisions>false</trackRevisions>
    </reviewItem>
    <reviewItem>
      <errorID>6d1461c2-ba3b-4ab7-899a-81722b9a9ad4</errorID>
      <errorWord>（/</errorWord>
      <group>L1_Punc</group>
      <groupName>标点问题</groupName>
      <ability>L2_Punc_CN</ability>
      <abilityName>标点符号问题</abilityName>
      <candidateList>
        <item>（</item>
      </candidateList>
      <explain/>
      <paraID>65061BC8</paraID>
      <start>24</start>
      <end>26</end>
      <status>unmodified</status>
      <modifiedWord/>
      <trackRevisions>false</trackRevisions>
    </reviewItem>
    <reviewItem>
      <errorID>7a884b77-9d04-4c4e-aada-5df22fe84cfe</errorID>
      <errorWord>（/</errorWord>
      <group>L1_Punc</group>
      <groupName>标点问题</groupName>
      <ability>L2_Punc_CN</ability>
      <abilityName>标点符号问题</abilityName>
      <candidateList>
        <item>（</item>
      </candidateList>
      <explain/>
      <paraID>74B6E81C</paraID>
      <start>0</start>
      <end>2</end>
      <status>unmodified</status>
      <modifiedWord/>
      <trackRevisions>false</trackRevisions>
    </reviewItem>
    <reviewItem>
      <errorID>f62458b6-f603-4bfd-9daf-1d6426396c1d</errorID>
      <errorWord>（/</errorWord>
      <group>L1_Punc</group>
      <groupName>标点问题</groupName>
      <ability>L2_Punc_CN</ability>
      <abilityName>标点符号问题</abilityName>
      <candidateList>
        <item>（</item>
      </candidateList>
      <explain/>
      <paraID>44B6A00A</paraID>
      <start>9</start>
      <end>11</end>
      <status>unmodified</status>
      <modifiedWord/>
      <trackRevisions>false</trackRevisions>
    </reviewItem>
    <reviewItem>
      <errorID>7d5e42d2-5ef3-4df8-a111-b05a79164f0b</errorID>
      <errorWord>（/</errorWord>
      <group>L1_Punc</group>
      <groupName>标点问题</groupName>
      <ability>L2_Punc_CN</ability>
      <abilityName>标点符号问题</abilityName>
      <candidateList>
        <item>（</item>
      </candidateList>
      <explain/>
      <paraID>44B6A00A</paraID>
      <start>22</start>
      <end>24</end>
      <status>unmodified</status>
      <modifiedWord/>
      <trackRevisions>false</trackRevisions>
    </reviewItem>
    <reviewItem>
      <errorID>fcf36b81-6ebd-4c1d-b69e-8ec3b3b241d4</errorID>
      <errorWord>（/</errorWord>
      <group>L1_Punc</group>
      <groupName>标点问题</groupName>
      <ability>L2_Punc_CN</ability>
      <abilityName>标点符号问题</abilityName>
      <candidateList>
        <item>（</item>
      </candidateList>
      <explain/>
      <paraID>44B6A00A</paraID>
      <start>32</start>
      <end>34</end>
      <status>unmodified</status>
      <modifiedWord/>
      <trackRevisions>false</trackRevisions>
    </reviewItem>
    <reviewItem>
      <errorID>25657700-0fb7-4caf-ad09-b52d1f38c12f</errorID>
      <errorWord>（/</errorWord>
      <group>L1_Punc</group>
      <groupName>标点问题</groupName>
      <ability>L2_Punc_CN</ability>
      <abilityName>标点符号问题</abilityName>
      <candidateList>
        <item>（</item>
      </candidateList>
      <explain/>
      <paraID>2D2685D6</paraID>
      <start>9</start>
      <end>11</end>
      <status>unmodified</status>
      <modifiedWord/>
      <trackRevisions>false</trackRevisions>
    </reviewItem>
    <reviewItem>
      <errorID>41d1eb12-a039-42d4-94ca-549df429b086</errorID>
      <errorWord>（/</errorWord>
      <group>L1_Punc</group>
      <groupName>标点问题</groupName>
      <ability>L2_Punc_CN</ability>
      <abilityName>标点符号问题</abilityName>
      <candidateList>
        <item>（</item>
      </candidateList>
      <explain/>
      <paraID>2D2685D6</paraID>
      <start>19</start>
      <end>21</end>
      <status>unmodified</status>
      <modifiedWord/>
      <trackRevisions>false</trackRevisions>
    </reviewItem>
    <reviewItem>
      <errorID>381ea71a-658b-4de6-ad53-8dd47a25fe93</errorID>
      <errorWord>（/</errorWord>
      <group>L1_Punc</group>
      <groupName>标点问题</groupName>
      <ability>L2_Punc_CN</ability>
      <abilityName>标点符号问题</abilityName>
      <candidateList>
        <item>（</item>
      </candidateList>
      <explain/>
      <paraID>2D2685D6</paraID>
      <start>26</start>
      <end>28</end>
      <status>unmodified</status>
      <modifiedWord/>
      <trackRevisions>false</trackRevisions>
    </reviewItem>
    <reviewItem>
      <errorID>7a884a2a-6e96-41e7-b042-e904270a2829</errorID>
      <errorWord>、和</errorWord>
      <group>L1_Word</group>
      <groupName>字词问题</groupName>
      <ability>L2_Typo</ability>
      <abilityName>字词错误</abilityName>
      <candidateList>
        <item>、</item>
      </candidateList>
      <explain/>
      <paraID>493136DE</paraID>
      <start>27</start>
      <end>30</end>
      <status>modified</status>
      <modifiedWord>、</modifiedWord>
      <trackRevisions>true</trackRevisions>
    </reviewItem>
    <reviewItem>
      <errorID>fa7c1ff3-3835-4b73-aa71-978f7fab9274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493136DE</paraID>
      <start>55</start>
      <end>57</end>
      <status>modified</status>
      <modifiedWord>—</modifiedWord>
      <trackRevisions>true</trackRevisions>
    </reviewItem>
    <reviewItem>
      <errorID>52d895fa-5b05-4868-8857-0d193dce7755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6993BC0E</paraID>
      <start>87</start>
      <end>89</end>
      <status>modified</status>
      <modifiedWord>—</modifiedWord>
      <trackRevisions>true</trackRevisions>
    </reviewItem>
    <reviewItem>
      <errorID>056a354d-df85-48d7-9b04-c90de297d25d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6993BC0E</paraID>
      <start>133</start>
      <end>135</end>
      <status>modified</status>
      <modifiedWord>—</modifiedWord>
      <trackRevisions>true</trackRevisions>
    </reviewItem>
    <reviewItem>
      <errorID>479fd33e-3a5f-41ba-ab52-5a7d2bb00e3d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6993BC0E</paraID>
      <start>149</start>
      <end>151</end>
      <status>modified</status>
      <modifiedWord>—</modifiedWord>
      <trackRevisions>true</trackRevisions>
    </reviewItem>
    <reviewItem>
      <errorID>fa90b9f1-355d-40d7-8a41-f431d4014c31</errorID>
      <errorWord>-</errorWord>
      <group>L1_Format</group>
      <groupName>格式问题</groupName>
      <ability>L2_HalfPunc_CN</ability>
      <abilityName>全半角问题</abilityName>
      <candidateList>
        <item>－</item>
      </candidateList>
      <explain>文本全半角错误。</explain>
      <paraID>63A25088</paraID>
      <start>74</start>
      <end>76</end>
      <status>modified</status>
      <modifiedWord>－</modifiedWord>
      <trackRevisions>true</trackRevisions>
    </reviewItem>
    <reviewItem>
      <errorID>2118aff1-f09d-4742-9797-9b01cd5fceba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6B4ED2E3</paraID>
      <start>118</start>
      <end>119</end>
      <status>unmodified</status>
      <modifiedWord/>
      <trackRevisions>false</trackRevisions>
    </reviewItem>
    <reviewItem>
      <errorID>d76b63e7-6de4-4c5e-b05d-0d085e4e0e4f</errorID>
      <errorWord>0.29%-1.13%</errorWord>
      <group>L1_Knowledge</group>
      <groupName>知识性问题</groupName>
      <ability>L2_Knowledge</ability>
      <abilityName>其他知识</abilityName>
      <candidateList>
        <item>0.29%—1.13%</item>
      </candidateList>
      <explain>1. “0.29%-1.13%”中的单位“%”仅出现在后一个数字上，容易引起歧义；根据《现代汉语标点符号数字用法规范手册》，数字表示范围两边需要使用统一的格式。2. 根据标点国标 4.13 中的规则，数字、时间或地域连接符应使用（视觉上更长的）“—”或“～”。</explain>
      <paraID>6B4ED2E3</paraID>
      <start>157</start>
      <end>179</end>
      <status>modified</status>
      <modifiedWord>0.29%—1.13%</modifiedWord>
      <trackRevisions>true</trackRevisions>
    </reviewItem>
    <reviewItem>
      <errorID>0c7052dd-21d9-4670-8117-9f6504160313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1172D954</paraID>
      <start>118</start>
      <end>120</end>
      <status>modified</status>
      <modifiedWord>—</modifiedWord>
      <trackRevisions>true</trackRevisions>
    </reviewItem>
    <reviewItem>
      <errorID>b8f5b397-0d53-4f3d-b225-1937defe877f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195A5F48</paraID>
      <start>58</start>
      <end>60</end>
      <status>modified</status>
      <modifiedWord>—</modifiedWord>
      <trackRevisions>true</trackRevisions>
    </reviewItem>
    <reviewItem>
      <errorID>057a1178-2e39-4b63-aa27-fdcc4efced28</errorID>
      <errorWord>-</errorWord>
      <group>L1_Format</group>
      <groupName>格式问题</groupName>
      <ability>L2_HalfPunc_CN</ability>
      <abilityName>全半角问题</abilityName>
      <candidateList>
        <item>－</item>
      </candidateList>
      <explain>文本全半角错误。</explain>
      <paraID>195A5F48</paraID>
      <start>90</start>
      <end>91</end>
      <status>unmodified</status>
      <modifiedWord/>
      <trackRevisions>false</trackRevisions>
    </reviewItem>
    <reviewItem>
      <errorID>55532ba4-e41f-4a45-a98b-a454967bcce4</errorID>
      <errorWord>10%-15%</errorWord>
      <group>L1_Knowledge</group>
      <groupName>知识性问题</groupName>
      <ability>L2_Knowledge</ability>
      <abilityName>其他知识</abilityName>
      <candidateList>
        <item>10%—15%</item>
      </candidateList>
      <explain>1. “10%-15%”中的单位“%”仅出现在后一个数字上，容易引起歧义；根据《现代汉语标点符号数字用法规范手册》，数字表示范围两边需要使用统一的格式。2. 根据标点国标 4.13 中的规则，数字、时间或地域连接符应使用（视觉上更长的）“—”或“～”。</explain>
      <paraID>195A5F48</paraID>
      <start>214</start>
      <end>228</end>
      <status>modified</status>
      <modifiedWord>10%—15%</modifiedWord>
      <trackRevisions>true</trackRevisions>
    </reviewItem>
    <reviewItem>
      <errorID>608d12c7-4805-4895-a55e-f7cd5905e1eb</errorID>
      <errorWord>相关的其它</errorWord>
      <group>L1_Word</group>
      <groupName>字词问题</groupName>
      <ability>L2_Alias</ability>
      <abilityName>也作/曾用词</abilityName>
      <candidateList>
        <item>相关的其他</item>
      </candidateList>
      <explain>词汇[相关的其它]为不规范表述或旧称，其规范书面表述为[相关的其他]。</explain>
      <paraID> 657012B</paraID>
      <start>90</start>
      <end>100</end>
      <status>modified</status>
      <modifiedWord>相关的其他</modifiedWord>
      <trackRevisions>true</trackRevisions>
    </reviewItem>
    <reviewItem>
      <errorID>76e333fb-d603-4e10-976a-c3be7da2a8c6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7BC77017</paraID>
      <start>89</start>
      <end>91</end>
      <status>modified</status>
      <modifiedWord>—</modifiedWord>
      <trackRevisions>true</trackRevisions>
    </reviewItem>
    <reviewItem>
      <errorID>75e43a41-d020-49fc-8d91-8e7ccc3a7371</errorID>
      <errorWord>(</errorWord>
      <group>L1_Format</group>
      <groupName>格式问题</groupName>
      <ability>L2_HalfPunc_CN</ability>
      <abilityName>全半角问题</abilityName>
      <candidateList>
        <item>（</item>
      </candidateList>
      <explain>文本全半角错误。</explain>
      <paraID>2D240D34</paraID>
      <start>48</start>
      <end>50</end>
      <status>modified</status>
      <modifiedWord>（</modifiedWord>
      <trackRevisions>true</trackRevisions>
    </reviewItem>
    <reviewItem>
      <errorID>776f3530-43eb-4705-af9a-00f5a188dedf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2D240D34</paraID>
      <start>128</start>
      <end>130</end>
      <status>modified</status>
      <modifiedWord>—</modifiedWord>
      <trackRevisions>true</trackRevisions>
    </reviewItem>
    <reviewItem>
      <errorID>4c331df7-3afd-4a8d-8e34-b473cad167ec</errorID>
      <errorWord>相关的其它</errorWord>
      <group>L1_Word</group>
      <groupName>字词问题</groupName>
      <ability>L2_Alias</ability>
      <abilityName>也作/曾用词</abilityName>
      <candidateList>
        <item>相关的其他</item>
      </candidateList>
      <explain>词汇[相关的其它]为不规范表述或旧称，其规范书面表述为[相关的其他]。</explain>
      <paraID>48C72183</paraID>
      <start>42</start>
      <end>52</end>
      <status>modified</status>
      <modifiedWord>相关的其他</modifiedWord>
      <trackRevisions>true</trackRevisions>
    </reviewItem>
    <reviewItem>
      <errorID>6c707a00-fc24-4dfa-8cbf-17b87d38c5d6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665135E0</paraID>
      <start>83</start>
      <end>84</end>
      <status>unmodified</status>
      <modifiedWord/>
      <trackRevisions>false</trackRevisions>
    </reviewItem>
    <reviewItem>
      <errorID>820cdc91-c1a0-48b7-a40b-0955dc0a9b7e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665135E0</paraID>
      <start>98</start>
      <end>99</end>
      <status>unmodified</status>
      <modifiedWord/>
      <trackRevisions>false</trackRevisions>
    </reviewItem>
    <reviewItem>
      <errorID>ea2b613e-854f-4694-b768-85bba401ac6c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665135E0</paraID>
      <start>213</start>
      <end>214</end>
      <status>unmodified</status>
      <modifiedWord/>
      <trackRevisions>false</trackRevisions>
    </reviewItem>
    <reviewItem>
      <errorID>511cfb32-6c53-40b2-ba17-a1dc6dc830f6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665135E0</paraID>
      <start>516</start>
      <end>517</end>
      <status>unmodified</status>
      <modifiedWord/>
      <trackRevisions>false</trackRevisions>
    </reviewItem>
    <reviewItem>
      <errorID>42da30d0-da15-4037-81bd-1ed270e61378</errorID>
      <errorWord>-</errorWord>
      <group>L1_Format</group>
      <groupName>格式问题</groupName>
      <ability>L2_HalfPunc_CN</ability>
      <abilityName>全半角问题</abilityName>
      <candidateList>
        <item>－</item>
      </candidateList>
      <explain>文本全半角错误。</explain>
      <paraID> 9B69450</paraID>
      <start>83</start>
      <end>84</end>
      <status>unmodified</status>
      <modifiedWord/>
      <trackRevisions>false</trackRevisions>
    </reviewItem>
    <reviewItem>
      <errorID>1fda524d-3a29-41cf-9511-af078281c40f</errorID>
      <errorWord>-</errorWord>
      <group>L1_Format</group>
      <groupName>格式问题</groupName>
      <ability>L2_HalfPunc_CN</ability>
      <abilityName>全半角问题</abilityName>
      <candidateList>
        <item>－</item>
      </candidateList>
      <explain>文本全半角错误。</explain>
      <paraID>75675D56</paraID>
      <start>13</start>
      <end>14</end>
      <status>unmodified</status>
      <modifiedWord/>
      <trackRevisions>false</trackRevisions>
    </reviewItem>
    <reviewItem>
      <errorID>1a7895e1-8e16-443e-acdf-a4793bdeedaf</errorID>
      <errorWord>-</errorWord>
      <group>L1_Format</group>
      <groupName>格式问题</groupName>
      <ability>L2_HalfPunc_CN</ability>
      <abilityName>全半角问题</abilityName>
      <candidateList>
        <item>－</item>
      </candidateList>
      <explain>文本全半角错误。</explain>
      <paraID>2178FEAA</paraID>
      <start>27</start>
      <end>28</end>
      <status>unmodified</status>
      <modifiedWord/>
      <trackRevisions>false</trackRevisions>
    </reviewItem>
    <reviewItem>
      <errorID>4b4ef14e-48d5-4663-8f55-0c3ee3d48468</errorID>
      <errorWord>的</errorWord>
      <group>L1_Word</group>
      <groupName>字词问题</groupName>
      <ability>L2_DDD</ability>
      <abilityName>的地得用法</abilityName>
      <candidateList>
        <item>地</item>
      </candidateList>
      <explain/>
      <paraID>7E9AA54D</paraID>
      <start>111</start>
      <end>113</end>
      <status>modified</status>
      <modifiedWord>地</modifiedWord>
      <trackRevisions>true</trackRevisions>
    </reviewItem>
    <reviewItem>
      <errorID>1f858b48-eece-4bd3-8470-9cdb2b4e7977</errorID>
      <errorWord>的</errorWord>
      <group>L1_Word</group>
      <groupName>字词问题</groupName>
      <ability>L2_DDD</ability>
      <abilityName>的地得用法</abilityName>
      <candidateList>
        <item>地</item>
      </candidateList>
      <explain/>
      <paraID>7E9AA54D</paraID>
      <start>155</start>
      <end>157</end>
      <status>modified</status>
      <modifiedWord>地</modifiedWord>
      <trackRevisions>true</trackRevisions>
    </reviewItem>
    <reviewItem>
      <errorID>a9095d8c-cf19-4554-91f2-b88cb1748e87</errorID>
      <errorWord>（</errorWord>
      <group>L1_Punc</group>
      <groupName>标点问题</groupName>
      <ability>L2_Punc_CN</ability>
      <abilityName>标点符号问题</abilityName>
      <candidateList/>
      <explain>同一形式括号套用。</explain>
      <paraID>308CB58B</paraID>
      <start>6</start>
      <end>7</end>
      <status>unmodified</status>
      <modifiedWord/>
      <trackRevisions>false</trackRevisions>
    </reviewItem>
    <reviewItem>
      <errorID>a565fd5d-4d95-49f8-85b6-df6c36e169a3</errorID>
      <errorWord>）</errorWord>
      <group>L1_Punc</group>
      <groupName>标点问题</groupName>
      <ability>L2_Punc_CN</ability>
      <abilityName>标点符号问题</abilityName>
      <candidateList/>
      <explain>同一形式括号套用。</explain>
      <paraID>308CB58B</paraID>
      <start>8</start>
      <end>9</end>
      <status>unmodified</status>
      <modifiedWord/>
      <trackRevisions>false</trackRevisions>
    </reviewItem>
    <reviewItem>
      <errorID>0c384ed6-2373-4422-9d3e-dd1bb9c16213</errorID>
      <errorWord>（</errorWord>
      <group>L1_Punc</group>
      <groupName>标点问题</groupName>
      <ability>L2_Punc_CN</ability>
      <abilityName>标点符号问题</abilityName>
      <candidateList/>
      <explain>同一形式括号套用。</explain>
      <paraID>211D5A35</paraID>
      <start>7</start>
      <end>8</end>
      <status>unmodified</status>
      <modifiedWord/>
      <trackRevisions>false</trackRevisions>
    </reviewItem>
    <reviewItem>
      <errorID>b1a7a91b-64f8-47e7-86c8-8aeea846e15f</errorID>
      <errorWord>）</errorWord>
      <group>L1_Punc</group>
      <groupName>标点问题</groupName>
      <ability>L2_Punc_CN</ability>
      <abilityName>标点符号问题</abilityName>
      <candidateList/>
      <explain>同一形式括号套用。</explain>
      <paraID>211D5A35</paraID>
      <start>9</start>
      <end>10</end>
      <status>unmodified</status>
      <modifiedWord/>
      <trackRevisions>false</trackRevisions>
    </reviewItem>
    <reviewItem>
      <errorID>8a643b57-e007-44ba-8c06-179985314876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5793055C</paraID>
      <start>238</start>
      <end>239</end>
      <status>unmodified</status>
      <modifiedWord/>
      <trackRevisions>false</trackRevisions>
    </reviewItem>
    <reviewItem>
      <errorID>7f794477-8771-4bfe-bf9a-5e02cd6010de</errorID>
      <errorWord>：</errorWord>
      <group>L1_Format</group>
      <groupName>格式问题</groupName>
      <ability>L2_HalfPunc_CN</ability>
      <abilityName>全半角问题</abilityName>
      <candidateList>
        <item>:</item>
      </candidateList>
      <explain>文本全半角错误。</explain>
      <paraID>3E417CCE</paraID>
      <start>88</start>
      <end>89</end>
      <status>unmodified</status>
      <modifiedWord/>
      <trackRevisions>false</trackRevisions>
    </reviewItem>
    <reviewItem>
      <errorID>3afdca7c-6abb-48fa-94f6-1c406de4df47</errorID>
      <errorWord>同时在</errorWord>
      <group>L1_Word</group>
      <groupName>字词问题</groupName>
      <ability>L2_Typo</ability>
      <abilityName>字词错误</abilityName>
      <candidateList>
        <item>同时</item>
      </candidateList>
      <explain/>
      <paraID>4EBF0F1E</paraID>
      <start>22</start>
      <end>27</end>
      <status>modified</status>
      <modifiedWord>同时</modifiedWord>
      <trackRevisions>true</trackRevisions>
    </reviewItem>
    <reviewItem>
      <errorID>084e4fd1-cfd2-4ef2-859d-b466cd59541c</errorID>
      <errorWord>数</errorWord>
      <group>L1_Word</group>
      <groupName>字词问题</groupName>
      <ability>L2_Typo</ability>
      <abilityName>字词错误</abilityName>
      <candidateList>
        <item>数量</item>
      </candidateList>
      <explain/>
      <paraID>6CB0DDB6</paraID>
      <start>290</start>
      <end>293</end>
      <status>modified</status>
      <modifiedWord>数量</modifiedWord>
      <trackRevisions>true</trackRevisions>
    </reviewItem>
    <reviewItem>
      <errorID>d3fe000e-23e1-4744-bc97-d8104b41cef7</errorID>
      <errorWord>受</errorWord>
      <group>L1_Word</group>
      <groupName>字词问题</groupName>
      <ability>L2_Typo</ability>
      <abilityName>字词错误</abilityName>
      <candidateList>
        <item>受到</item>
      </candidateList>
      <explain/>
      <paraID>5499FF3E</paraID>
      <start>12</start>
      <end>15</end>
      <status>modified</status>
      <modifiedWord>受到</modifiedWord>
      <trackRevisions>true</trackRevisions>
    </reviewItem>
    <reviewItem>
      <errorID>94055c70-1ef6-4df2-8a98-3f8771dee26f</errorID>
      <errorWord>覆垦</errorWord>
      <group>L1_Word</group>
      <groupName>字词问题</groupName>
      <ability>L2_Typo</ability>
      <abilityName>字词错误</abilityName>
      <candidateList>
        <item>复垦</item>
      </candidateList>
      <explain/>
      <paraID>4754CB15</paraID>
      <start>109</start>
      <end>113</end>
      <status>modified</status>
      <modifiedWord>复垦</modifiedWord>
      <trackRevisions>true</trackRevisions>
    </reviewItem>
    <reviewItem>
      <errorID>80e1f43f-b175-4db1-b2c7-46ad57cda6f7</errorID>
      <errorWord>；</errorWord>
      <group>L1_Word</group>
      <groupName>字词问题</groupName>
      <ability>L2_Typo</ability>
      <abilityName>字词错误</abilityName>
      <candidateList>
        <item>；在</item>
      </candidateList>
      <explain/>
      <paraID>4754CB15</paraID>
      <start>158</start>
      <end>161</end>
      <status>modified</status>
      <modifiedWord>；在</modifiedWord>
      <trackRevisions>true</trackRevisions>
    </reviewItem>
    <reviewItem>
      <errorID>2c2c1897-598b-47dd-967f-d6054857afac</errorID>
      <errorWord>(</errorWord>
      <group>L1_Format</group>
      <groupName>格式问题</groupName>
      <ability>L2_HalfPunc_CN</ability>
      <abilityName>全半角问题</abilityName>
      <candidateList>
        <item>（</item>
      </candidateList>
      <explain>文本全半角错误。</explain>
      <paraID>  D90E67</paraID>
      <start>3</start>
      <end>5</end>
      <status>modified</status>
      <modifiedWord>（</modifiedWord>
      <trackRevisions>true</trackRevisions>
    </reviewItem>
    <reviewItem>
      <errorID>9ac9175e-66ad-4376-a302-a3e4be486353</errorID>
      <errorWord>(</errorWord>
      <group>L1_Format</group>
      <groupName>格式问题</groupName>
      <ability>L2_HalfPunc_CN</ability>
      <abilityName>全半角问题</abilityName>
      <candidateList>
        <item>（</item>
      </candidateList>
      <explain>文本全半角错误。</explain>
      <paraID>7CB7008D</paraID>
      <start>6</start>
      <end>8</end>
      <status>modified</status>
      <modifiedWord>（</modifiedWord>
      <trackRevisions>true</trackRevisions>
    </reviewItem>
    <reviewItem>
      <errorID>4c56c2db-30ba-4198-bdf4-ca279bf0b84b</errorID>
      <errorWord>(</errorWord>
      <group>L1_Format</group>
      <groupName>格式问题</groupName>
      <ability>L2_HalfPunc_CN</ability>
      <abilityName>全半角问题</abilityName>
      <candidateList>
        <item>（</item>
      </candidateList>
      <explain>文本全半角错误。</explain>
      <paraID>7CB7008D</paraID>
      <start>15</start>
      <end>17</end>
      <status>modified</status>
      <modifiedWord>（</modifiedWord>
      <trackRevisions>true</trackRevisions>
    </reviewItem>
    <reviewItem>
      <errorID>b08c8c1b-68c9-4143-93d4-b30397d85354</errorID>
      <errorWord>(</errorWord>
      <group>L1_Format</group>
      <groupName>格式问题</groupName>
      <ability>L2_HalfPunc_CN</ability>
      <abilityName>全半角问题</abilityName>
      <candidateList>
        <item>（</item>
      </candidateList>
      <explain>文本全半角错误。</explain>
      <paraID>139D21FD</paraID>
      <start>5</start>
      <end>7</end>
      <status>modified</status>
      <modifiedWord>（</modifiedWord>
      <trackRevisions>true</trackRevisions>
    </reviewItem>
    <reviewItem>
      <errorID>c0202048-4f7c-4b68-8ade-a800a8d4dea3</errorID>
      <errorWord>泄露</errorWord>
      <group>L1_Word</group>
      <groupName>字词问题</groupName>
      <ability>L2_Typo</ability>
      <abilityName>字词错误</abilityName>
      <candidateList>
        <item>泄漏</item>
      </candidateList>
      <explain/>
      <paraID>5DFFF499</paraID>
      <start>35</start>
      <end>39</end>
      <status>modified</status>
      <modifiedWord>泄漏</modifiedWord>
      <trackRevisions>true</trackRevisions>
    </reviewItem>
    <reviewItem>
      <errorID>df4692aa-42af-47c1-aeb6-fb914d4a6b21</errorID>
      <errorWord>。</errorWord>
      <group>L1_Punc</group>
      <groupName>标点问题</groupName>
      <ability>L2_Punc_CN</ability>
      <abilityName>标点符号问题</abilityName>
      <candidateList/>
      <explain/>
      <paraID>597F44FE</paraID>
      <start>0</start>
      <end>1</end>
      <status>unmodified</status>
      <modifiedWord/>
      <trackRevisions>false</trackRevisions>
    </reviewItem>
    <reviewItem>
      <errorID>456bf137-721e-4181-9574-477f78e35556</errorID>
      <errorWord>属</errorWord>
      <group>L1_Word</group>
      <groupName>字词问题</groupName>
      <ability>L2_Typo</ability>
      <abilityName>字词错误</abilityName>
      <candidateList>
        <item>属于</item>
      </candidateList>
      <explain/>
      <paraID>5DC6983F</paraID>
      <start>112</start>
      <end>115</end>
      <status>modified</status>
      <modifiedWord>属于</modifiedWord>
      <trackRevisions>true</trackRevisions>
    </reviewItem>
    <reviewItem>
      <errorID>c1f5729c-9009-4d1b-8802-194a9271621f</errorID>
      <errorWord>（</errorWord>
      <group>L1_Format</group>
      <groupName>格式问题</groupName>
      <ability>L2_HalfPunc_CN</ability>
      <abilityName>全半角问题</abilityName>
      <candidateList>
        <item>(</item>
      </candidateList>
      <explain>文本全半角错误。</explain>
      <paraID>372627CA</paraID>
      <start>0</start>
      <end>2</end>
      <status>modified</status>
      <modifiedWord>(</modifiedWord>
      <trackRevisions>true</trackRevisions>
    </reviewItem>
    <reviewItem>
      <errorID>6bb53f43-cebb-4598-a294-179da7fc0e1d</errorID>
      <errorWord>）</errorWord>
      <group>L1_Format</group>
      <groupName>格式问题</groupName>
      <ability>L2_HalfPunc_CN</ability>
      <abilityName>全半角问题</abilityName>
      <candidateList>
        <item>)</item>
      </candidateList>
      <explain>文本全半角错误。</explain>
      <paraID>372627CA</paraID>
      <start>7</start>
      <end>9</end>
      <status>modified</status>
      <modifiedWord>)</modifiedWord>
      <trackRevisions>true</trackRevisions>
    </reviewItem>
    <reviewItem>
      <errorID>8efa0036-1d44-4c5c-baf6-ecacc8830b24</errorID>
      <errorWord>（</errorWord>
      <group>L1_Format</group>
      <groupName>格式问题</groupName>
      <ability>L2_HalfPunc_CN</ability>
      <abilityName>全半角问题</abilityName>
      <candidateList>
        <item>(</item>
      </candidateList>
      <explain>文本全半角错误。</explain>
      <paraID>2093D16B</paraID>
      <start>0</start>
      <end>2</end>
      <status>modified</status>
      <modifiedWord>(</modifiedWord>
      <trackRevisions>true</trackRevisions>
    </reviewItem>
    <reviewItem>
      <errorID>a89b3e39-353b-4edd-9cc1-f5227ddcfbe7</errorID>
      <errorWord>）</errorWord>
      <group>L1_Format</group>
      <groupName>格式问题</groupName>
      <ability>L2_HalfPunc_CN</ability>
      <abilityName>全半角问题</abilityName>
      <candidateList>
        <item>)</item>
      </candidateList>
      <explain>文本全半角错误。</explain>
      <paraID>2093D16B</paraID>
      <start>7</start>
      <end>9</end>
      <status>modified</status>
      <modifiedWord>)</modifiedWord>
      <trackRevisions>true</trackRevisions>
    </reviewItem>
    <reviewItem>
      <errorID>18ad898a-5408-404a-a8ed-747974441194</errorID>
      <errorWord>（</errorWord>
      <group>L1_Format</group>
      <groupName>格式问题</groupName>
      <ability>L2_HalfPunc_CN</ability>
      <abilityName>全半角问题</abilityName>
      <candidateList>
        <item>(</item>
      </candidateList>
      <explain>文本全半角错误。</explain>
      <paraID>30CD77FE</paraID>
      <start>0</start>
      <end>2</end>
      <status>modified</status>
      <modifiedWord>(</modifiedWord>
      <trackRevisions>true</trackRevisions>
    </reviewItem>
    <reviewItem>
      <errorID>f24447b5-394f-430c-a071-ae817ee186be</errorID>
      <errorWord>）</errorWord>
      <group>L1_Format</group>
      <groupName>格式问题</groupName>
      <ability>L2_HalfPunc_CN</ability>
      <abilityName>全半角问题</abilityName>
      <candidateList>
        <item>)</item>
      </candidateList>
      <explain>文本全半角错误。</explain>
      <paraID>30CD77FE</paraID>
      <start>7</start>
      <end>9</end>
      <status>modified</status>
      <modifiedWord>)</modifiedWord>
      <trackRevisions>true</trackRevisions>
    </reviewItem>
    <reviewItem>
      <errorID>4bf479b9-2582-430d-a626-7b7a839266da</errorID>
      <errorWord>(</errorWord>
      <group>L1_Format</group>
      <groupName>格式问题</groupName>
      <ability>L2_HalfPunc_CN</ability>
      <abilityName>全半角问题</abilityName>
      <candidateList>
        <item>（</item>
      </candidateList>
      <explain>文本全半角错误。</explain>
      <paraID>4911BE2D</paraID>
      <start>51</start>
      <end>53</end>
      <status>modified</status>
      <modifiedWord>（</modifiedWord>
      <trackRevisions>true</trackRevisions>
    </reviewItem>
    <reviewItem>
      <errorID>1a68e6aa-c2e8-4037-ba83-a0c63bc301e1</errorID>
      <errorWord>)</errorWord>
      <group>L1_Format</group>
      <groupName>格式问题</groupName>
      <ability>L2_HalfPunc_CN</ability>
      <abilityName>全半角问题</abilityName>
      <candidateList>
        <item>）</item>
      </candidateList>
      <explain>文本全半角错误。</explain>
      <paraID>4911BE2D</paraID>
      <start>65</start>
      <end>67</end>
      <status>modified</status>
      <modifiedWord>）</modifiedWord>
      <trackRevisions>true</trackRevisions>
    </reviewItem>
    <reviewItem>
      <errorID>d9a82d15-10f6-452d-9ebe-a62defc2d84f</errorID>
      <errorWord>(</errorWord>
      <group>L1_Format</group>
      <groupName>格式问题</groupName>
      <ability>L2_HalfPunc_CN</ability>
      <abilityName>全半角问题</abilityName>
      <candidateList>
        <item>（</item>
      </candidateList>
      <explain>文本全半角错误。</explain>
      <paraID>1CE3D5FE</paraID>
      <start>21</start>
      <end>23</end>
      <status>modified</status>
      <modifiedWord>（</modifiedWord>
      <trackRevisions>true</trackRevisions>
    </reviewItem>
    <reviewItem>
      <errorID>85e41027-204b-44bc-afc8-c9ed0ffbbf08</errorID>
      <errorWord>)</errorWord>
      <group>L1_Format</group>
      <groupName>格式问题</groupName>
      <ability>L2_HalfPunc_CN</ability>
      <abilityName>全半角问题</abilityName>
      <candidateList>
        <item>）</item>
      </candidateList>
      <explain>文本全半角错误。</explain>
      <paraID>3E5DFCF7</paraID>
      <start>1</start>
      <end>3</end>
      <status>modified</status>
      <modifiedWord>）</modifiedWord>
      <trackRevisions>true</trackRevisions>
    </reviewItem>
    <reviewItem>
      <errorID>737728d1-3eff-4d39-8a75-901e4e3a5347</errorID>
      <errorWord>；</errorWord>
      <group>L1_Format</group>
      <groupName>格式问题</groupName>
      <ability>L2_HalfPunc_CN</ability>
      <abilityName>全半角问题</abilityName>
      <candidateList>
        <item>; </item>
      </candidateList>
      <explain>文本全半角错误。</explain>
      <paraID>3E5DFCF7</paraID>
      <start>8</start>
      <end>9</end>
      <status>unmodified</status>
      <modifiedWord/>
      <trackRevisions>false</trackRevisions>
    </reviewItem>
    <reviewItem>
      <errorID>9607ede0-8149-4347-95d5-cc1cbf5ad82c</errorID>
      <errorWord>；</errorWord>
      <group>L1_Format</group>
      <groupName>格式问题</groupName>
      <ability>L2_HalfPunc_CN</ability>
      <abilityName>全半角问题</abilityName>
      <candidateList>
        <item>; </item>
      </candidateList>
      <explain>文本全半角错误。</explain>
      <paraID>3E5DFCF7</paraID>
      <start>12</start>
      <end>13</end>
      <status>unmodified</status>
      <modifiedWord/>
      <trackRevisions>false</trackRevisions>
    </reviewItem>
    <reviewItem>
      <errorID>aea64c64-8edf-41df-b804-1081f85c5c0c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4C57CB20</paraID>
      <start>192</start>
      <end>193</end>
      <status>unmodified</status>
      <modifiedWord/>
      <trackRevisions>false</trackRevisions>
    </reviewItem>
    <reviewItem>
      <errorID>d7bb7dd3-71fe-42b7-a82b-448247f2452d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4C57CB20</paraID>
      <start>263</start>
      <end>264</end>
      <status>unmodified</status>
      <modifiedWord/>
      <trackRevisions>false</trackRevisions>
    </reviewItem>
    <reviewItem>
      <errorID>1fca8798-032e-40bd-bc2a-7526c34ebaf1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6393FFD4</paraID>
      <start>83</start>
      <end>84</end>
      <status>unmodified</status>
      <modifiedWord/>
      <trackRevisions>false</trackRevisions>
    </reviewItem>
    <reviewItem>
      <errorID>27ba4b4c-6f16-42dd-8867-be3750cd05a0</errorID>
      <errorWord>期</errorWord>
      <group>L1_Word</group>
      <groupName>字词问题</groupName>
      <ability>L2_Typo</ability>
      <abilityName>字词错误</abilityName>
      <candidateList>
        <item>期间</item>
      </candidateList>
      <explain/>
      <paraID>7406AE4C</paraID>
      <start>42</start>
      <end>45</end>
      <status>modified</status>
      <modifiedWord>期间</modifiedWord>
      <trackRevisions>true</trackRevisions>
    </reviewItem>
    <reviewItem>
      <errorID>9398f8d8-25b9-499b-af71-5b7f745a96ae</errorID>
      <errorWord>噪音</errorWord>
      <group>L1_Word</group>
      <groupName>字词问题</groupName>
      <ability>L2_Alias</ability>
      <abilityName>也作/曾用词</abilityName>
      <candidateList>
        <item>噪声</item>
      </candidateList>
      <explain>词汇[噪音]为不规范表述或旧称，其规范书面表述为[噪声]。</explain>
      <paraID>39975D19</paraID>
      <start>9</start>
      <end>13</end>
      <status>modified</status>
      <modifiedWord>噪声</modifiedWord>
      <trackRevisions>true</trackRevisions>
    </reviewItem>
    <reviewItem>
      <errorID>65c6e3ef-2a17-4b36-b389-7c012cde61b6</errorID>
      <errorWord>～</errorWord>
      <group>L1_Format</group>
      <groupName>格式问题</groupName>
      <ability>L2_HalfPunc_CN</ability>
      <abilityName>全半角问题</abilityName>
      <candidateList>
        <item>~</item>
      </candidateList>
      <explain>文本全半角错误。</explain>
      <paraID> 59A8FAE</paraID>
      <start>3</start>
      <end>4</end>
      <status>unmodified</status>
      <modifiedWord/>
      <trackRevisions>false</trackRevisions>
    </reviewItem>
    <reviewItem>
      <errorID>a08331ef-c39e-47f5-bc93-b0fe50e8bce6</errorID>
      <errorWord>综合症</errorWord>
      <group>L1_Word</group>
      <groupName>字词问题</groupName>
      <ability>L2_Typo</ability>
      <abilityName>字词错误</abilityName>
      <candidateList>
        <item>综合征</item>
      </candidateList>
      <explain/>
      <paraID>15862B40</paraID>
      <start>61</start>
      <end>67</end>
      <status>modified</status>
      <modifiedWord>综合征</modifiedWord>
      <trackRevisions>true</trackRevisions>
    </reviewItem>
    <reviewItem>
      <errorID>5c0185d9-09c1-4ee8-becc-82bdc96e0cd3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15862B40</paraID>
      <start>73</start>
      <end>79</end>
      <status>modified</status>
      <modifiedWord>刺激征</modifiedWord>
      <trackRevisions>true</trackRevisions>
    </reviewItem>
    <reviewItem>
      <errorID>ef5e5595-6762-4aef-a3c7-752305d790b4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751D0D48</paraID>
      <start>4</start>
      <end>6</end>
      <status>modified</status>
      <modifiedWord>—</modifiedWord>
      <trackRevisions>true</trackRevisions>
    </reviewItem>
    <reviewItem>
      <errorID>417524b2-e389-4f6a-9009-8f8046618426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4B5D45DB</paraID>
      <start>0</start>
      <end>4</end>
      <status>modified</status>
      <modifiedWord>1.</modifiedWord>
      <trackRevisions>true</trackRevisions>
    </reviewItem>
    <reviewItem>
      <errorID>c62fbf19-c0fa-4e36-9603-be2af12b6e4d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52BC6CF4</paraID>
      <start>0</start>
      <end>4</end>
      <status>modified</status>
      <modifiedWord>2.</modifiedWord>
      <trackRevisions>true</trackRevisions>
    </reviewItem>
    <reviewItem>
      <errorID>1468e41f-3286-47bb-b005-377069c7ec3b</errorID>
      <errorWord>、…</errorWord>
      <group>L1_Punc</group>
      <groupName>标点问题</groupName>
      <ability>L2_Punc_CN</ability>
      <abilityName>标点符号问题</abilityName>
      <candidateList>
        <item>、</item>
      </candidateList>
      <explain/>
      <paraID>355B607D</paraID>
      <start>8</start>
      <end>10</end>
      <status>unmodified</status>
      <modifiedWord/>
      <trackRevisions>false</trackRevisions>
    </reviewItem>
    <reviewItem>
      <errorID>02f9b9b5-1e8d-4bf4-abf0-acd1c53b0dc6</errorID>
      <errorWord>、…</errorWord>
      <group>L1_Punc</group>
      <groupName>标点问题</groupName>
      <ability>L2_Punc_CN</ability>
      <abilityName>标点符号问题</abilityName>
      <candidateList>
        <item>、</item>
      </candidateList>
      <explain/>
      <paraID> D916A50</paraID>
      <start>5</start>
      <end>7</end>
      <status>unmodified</status>
      <modifiedWord/>
      <trackRevisions>false</trackRevisions>
    </reviewItem>
    <reviewItem>
      <errorID>2660ae34-97fe-45d2-b649-103ccdd7dc56</errorID>
      <errorWord>II类</errorWord>
      <group>L1_Knowledge</group>
      <groupName>知识性问题</groupName>
      <ability>L2_Knowledge</ability>
      <abilityName>其他知识</abilityName>
      <candidateList>
        <item>Ⅱ类</item>
      </candidateList>
      <explain>中文环境下罗马数字格式错误。</explain>
      <paraID> D6CFBCE</paraID>
      <start>146</start>
      <end>151</end>
      <status>modified</status>
      <modifiedWord>Ⅱ类</modifiedWord>
      <trackRevisions>true</trackRevisions>
    </reviewItem>
    <reviewItem>
      <errorID>9dab50c1-4814-4fa3-b01f-dba690b3132b</errorID>
      <errorWord>KW</errorWord>
      <group>L1_Word</group>
      <groupName>字词问题</groupName>
      <ability>L2_Typo</ability>
      <abilityName>字词错误</abilityName>
      <candidateList>
        <item>kW</item>
      </candidateList>
      <explain/>
      <paraID>1869EA07</paraID>
      <start>5</start>
      <end>9</end>
      <status>modified</status>
      <modifiedWord>kW</modifiedWord>
      <trackRevisions>true</trackRevisions>
    </reviewItem>
    <reviewItem>
      <errorID>b366e7f1-d4a7-4a4a-8339-190a2827098a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133F0944</paraID>
      <start>228</start>
      <end>229</end>
      <status>unmodified</status>
      <modifiedWord/>
      <trackRevisions>false</trackRevisions>
    </reviewItem>
    <reviewItem>
      <errorID>8ae12351-8b20-4717-8ffa-f0226fb5b82e</errorID>
      <errorWord>、甚至</errorWord>
      <group>L1_Word</group>
      <groupName>字词问题</groupName>
      <ability>L2_Typo</ability>
      <abilityName>字词错误</abilityName>
      <candidateList>
        <item>，甚至</item>
      </candidateList>
      <explain/>
      <paraID> CEFCEBC</paraID>
      <start>60</start>
      <end>66</end>
      <status>modified</status>
      <modifiedWord>，甚至</modifiedWord>
      <trackRevisions>true</trackRevisions>
    </reviewItem>
    <reviewItem>
      <errorID>30e8e01d-1840-4df7-81c3-888d92832a2b</errorID>
      <errorWord>混水</errorWord>
      <group>L1_Word</group>
      <groupName>字词问题</groupName>
      <ability>L2_Typo</ability>
      <abilityName>字词错误</abilityName>
      <candidateList>
        <item>浑水</item>
      </candidateList>
      <explain/>
      <paraID>6F3BA9E7</paraID>
      <start>14</start>
      <end>18</end>
      <status>modified</status>
      <modifiedWord>浑水</modifiedWord>
      <trackRevisions>true</trackRevisions>
    </reviewItem>
    <reviewItem>
      <errorID>d9e8759e-d884-4ccb-a28c-c0fe01079008</errorID>
      <errorWord>（/</errorWord>
      <group>L1_Punc</group>
      <groupName>标点问题</groupName>
      <ability>L2_Punc_CN</ability>
      <abilityName>标点符号问题</abilityName>
      <candidateList>
        <item>（</item>
      </candidateList>
      <explain/>
      <paraID>4B7FADCA</paraID>
      <start>0</start>
      <end>2</end>
      <status>unmodified</status>
      <modifiedWord/>
      <trackRevisions>false</trackRevisions>
    </reviewItem>
    <reviewItem>
      <errorID>94f2c93a-2812-43be-b858-f2fc957f408d</errorID>
      <errorWord>（/</errorWord>
      <group>L1_Punc</group>
      <groupName>标点问题</groupName>
      <ability>L2_Punc_CN</ability>
      <abilityName>标点符号问题</abilityName>
      <candidateList>
        <item>（</item>
      </candidateList>
      <explain/>
      <paraID>7C3AE988</paraID>
      <start>0</start>
      <end>2</end>
      <status>unmodified</status>
      <modifiedWord/>
      <trackRevisions>false</trackRevisions>
    </reviewItem>
    <reviewItem>
      <errorID>eaaa7332-39ac-42e3-ad1d-28dac52363ff</errorID>
      <errorWord>（/</errorWord>
      <group>L1_Punc</group>
      <groupName>标点问题</groupName>
      <ability>L2_Punc_CN</ability>
      <abilityName>标点符号问题</abilityName>
      <candidateList>
        <item>（</item>
      </candidateList>
      <explain/>
      <paraID>7B1E0DB9</paraID>
      <start>0</start>
      <end>2</end>
      <status>unmodified</status>
      <modifiedWord/>
      <trackRevisions>false</trackRevisions>
    </reviewItem>
    <reviewItem>
      <errorID>14f0291c-1b21-4dd0-811f-af886350d8c1</errorID>
      <errorWord>季</errorWord>
      <group>L1_Word</group>
      <groupName>字词问题</groupName>
      <ability>L2_Typo</ability>
      <abilityName>字词错误</abilityName>
      <candidateList>
        <item>季度</item>
      </candidateList>
      <explain/>
      <paraID>583A7705</paraID>
      <start>44</start>
      <end>47</end>
      <status>modified</status>
      <modifiedWord>季度</modifiedWord>
      <trackRevisions>true</trackRevisions>
    </reviewItem>
    <reviewItem>
      <errorID>098b6146-00cb-442a-82e0-87b4443a5843</errorID>
      <errorWord>的</errorWord>
      <group>L1_Word</group>
      <groupName>字词问题</groupName>
      <ability>L2_DDD</ability>
      <abilityName>的地得用法</abilityName>
      <candidateList>
        <item>地</item>
      </candidateList>
      <explain/>
      <paraID>52A6D04A</paraID>
      <start>65</start>
      <end>67</end>
      <status>modified</status>
      <modifiedWord>地</modifiedWord>
      <trackRevisions>true</trackRevisions>
    </reviewItem>
    <reviewItem>
      <errorID>b897e560-a14c-4c14-b1d8-7aef7e3e0eb0</errorID>
      <errorWord>）</errorWord>
      <group>L1_Word</group>
      <groupName>字词问题</groupName>
      <ability>L2_Typo</ability>
      <abilityName>字词错误</abilityName>
      <candidateList>
        <item>）在</item>
      </candidateList>
      <explain/>
      <paraID>3DE160EC</paraID>
      <start>2</start>
      <end>5</end>
      <status>modified</status>
      <modifiedWord>）在</modifiedWord>
      <trackRevisions>true</trackRevisions>
    </reviewItem>
    <reviewItem>
      <errorID>736e40ea-14b9-4486-9e6d-5766096742fe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3C0466D4</paraID>
      <start>86</start>
      <end>87</end>
      <status>unmodified</status>
      <modifiedWord/>
      <trackRevisions>false</trackRevisions>
    </reviewItem>
    <reviewItem>
      <errorID>0b6721bb-7adf-4a0c-894a-3bf943c3d7ed</errorID>
      <errorWord>其它</errorWord>
      <group>L1_Word</group>
      <groupName>字词问题</groupName>
      <ability>L2_Alias</ability>
      <abilityName>也作/曾用词</abilityName>
      <candidateList>
        <item>其他</item>
      </candidateList>
      <explain>词汇[其它]为不规范表述或旧称，其规范书面表述为[其他]。</explain>
      <paraID>2EE9808C</paraID>
      <start>29</start>
      <end>33</end>
      <status>modified</status>
      <modifiedWord>其他</modifiedWord>
      <trackRevisions>true</trackRevisions>
    </reviewItem>
    <reviewItem>
      <errorID>dcc7aa1b-ce1e-4315-b7d2-d2eb9b098d61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2EE9808C</paraID>
      <start>85</start>
      <end>86</end>
      <status>unmodified</status>
      <modifiedWord/>
      <trackRevisions>false</trackRevisions>
    </reviewItem>
    <reviewItem>
      <errorID>2b17b268-5705-4cf0-a8f8-b4a52bb26b71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6EFA89A</paraID>
      <start>22</start>
      <end>23</end>
      <status>unmodified</status>
      <modifiedWord/>
      <trackRevisions>false</trackRevisions>
    </reviewItem>
    <reviewItem>
      <errorID>e8e10735-aa18-48b9-875b-6a65898d0c4c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514E6156</paraID>
      <start>42</start>
      <end>43</end>
      <status>unmodified</status>
      <modifiedWord/>
      <trackRevisions>false</trackRevisions>
    </reviewItem>
    <reviewItem>
      <errorID>1a6b7019-8b51-4fff-be08-6e32bd7ba22d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361D5455</paraID>
      <start>80</start>
      <end>81</end>
      <status>unmodified</status>
      <modifiedWord/>
      <trackRevisions>false</trackRevisions>
    </reviewItem>
    <reviewItem>
      <errorID>61ec561a-723e-4331-80c9-7cd1415bc426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12462F0B</paraID>
      <start>35</start>
      <end>36</end>
      <status>unmodified</status>
      <modifiedWord/>
      <trackRevisions>false</trackRevisions>
    </reviewItem>
    <reviewItem>
      <errorID>c2437dd7-c073-4e3a-86a7-21c896301eeb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12462F0B</paraID>
      <start>145</start>
      <end>146</end>
      <status>unmodified</status>
      <modifiedWord/>
      <trackRevisions>false</trackRevisions>
    </reviewItem>
    <reviewItem>
      <errorID>552ee1ec-fef5-462c-a42f-2255af14e400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4306B511</paraID>
      <start>99</start>
      <end>100</end>
      <status>unmodified</status>
      <modifiedWord/>
      <trackRevisions>false</trackRevisions>
    </reviewItem>
    <reviewItem>
      <errorID>71f6a9c6-39a1-4906-a224-5c7dc7fa5dfe</errorID>
      <errorWord>泄露</errorWord>
      <group>L1_Word</group>
      <groupName>字词问题</groupName>
      <ability>L2_Typo</ability>
      <abilityName>字词错误</abilityName>
      <candidateList>
        <item>泄漏</item>
      </candidateList>
      <explain/>
      <paraID>735D321A</paraID>
      <start>150</start>
      <end>154</end>
      <status>modified</status>
      <modifiedWord>泄漏</modifiedWord>
      <trackRevisions>true</trackRevisions>
    </reviewItem>
    <reviewItem>
      <errorID>adb28c03-3869-46fd-9a01-243286005dec</errorID>
      <errorWord>覆垦</errorWord>
      <group>L1_Word</group>
      <groupName>字词问题</groupName>
      <ability>L2_Typo</ability>
      <abilityName>字词错误</abilityName>
      <candidateList>
        <item>复垦</item>
      </candidateList>
      <explain/>
      <paraID>2C562F3C</paraID>
      <start>159</start>
      <end>163</end>
      <status>modified</status>
      <modifiedWord>复垦</modifiedWord>
      <trackRevisions>true</trackRevisions>
    </reviewItem>
    <reviewItem>
      <errorID>241c0e01-16ed-4b2d-9973-f9ff62701a1c</errorID>
      <errorWord>；</errorWord>
      <group>L1_Word</group>
      <groupName>字词问题</groupName>
      <ability>L2_Typo</ability>
      <abilityName>字词错误</abilityName>
      <candidateList>
        <item>；在</item>
      </candidateList>
      <explain/>
      <paraID>2C562F3C</paraID>
      <start>208</start>
      <end>211</end>
      <status>modified</status>
      <modifiedWord>；在</modifiedWord>
      <trackRevisions>true</trackRevisions>
    </reviewItem>
    <reviewItem>
      <errorID>8b503590-9e7e-4b4d-ae31-9830a276a124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18E51ED6</paraID>
      <start>87</start>
      <end>88</end>
      <status>unmodified</status>
      <modifiedWord/>
      <trackRevisions>false</trackRevisions>
    </reviewItem>
    <reviewItem>
      <errorID>ce3e3294-c786-48da-b514-039bc06ef0d5</errorID>
      <errorWord>，</errorWord>
      <group>L1_Word</group>
      <groupName>字词问题</groupName>
      <ability>L2_Typo</ability>
      <abilityName>字词错误</abilityName>
      <candidateList>
        <item>，从</item>
      </candidateList>
      <explain/>
      <paraID>36271F7C</paraID>
      <start>32</start>
      <end>35</end>
      <status>modified</status>
      <modifiedWord>，从</modifiedWord>
      <trackRevisions>true</trackRevisions>
    </reviewItem>
    <reviewItem>
      <errorID>bc5f7e50-869c-440c-b14c-a8bd8edfdcea</errorID>
      <errorWord>降低</errorWord>
      <group>L1_Grammar</group>
      <groupName>语法问题</groupName>
      <ability>L2_Grammar</ability>
      <abilityName>语法错误</abilityName>
      <candidateList>
        <item>防止</item>
      </candidateList>
      <explain>“降低～发生”搭配不当，建议修改为“防止～发生”。</explain>
      <paraID>36271F7C</paraID>
      <start>38</start>
      <end>42</end>
      <status>modified</status>
      <modifiedWord>防止</modifiedWord>
      <trackRevisions>true</trackRevisions>
    </reviewItem>
    <reviewItem>
      <errorID>a54b0a3b-e763-4ba0-9fec-e6f1b68afae2</errorID>
      <errorWord>几率</errorWord>
      <group>L1_Word</group>
      <groupName>字词问题</groupName>
      <ability>L2_Typo</ability>
      <abilityName>字词错误</abilityName>
      <candidateList>
        <item>概率</item>
      </candidateList>
      <explain/>
      <paraID>36271F7C</paraID>
      <start>54</start>
      <end>58</end>
      <status>modified</status>
      <modifiedWord>概率</modifiedWord>
      <trackRevisions>true</trackRevisions>
    </reviewItem>
    <reviewItem>
      <errorID>b073662a-bb89-47c0-ac83-dae17d857729</errorID>
      <errorWord>制</errorWord>
      <group>L1_Word</group>
      <groupName>字词问题</groupName>
      <ability>L2_Typo</ability>
      <abilityName>字词错误</abilityName>
      <candidateList>
        <item>制度</item>
      </candidateList>
      <explain/>
      <paraID>4D286ECD</paraID>
      <start>124</start>
      <end>127</end>
      <status>modified</status>
      <modifiedWord>制度</modifiedWord>
      <trackRevisions>true</trackRevisions>
    </reviewItem>
    <reviewItem>
      <errorID>697d6de5-2ea6-4c72-8169-a95a512cedb0</errorID>
      <errorWord>)</errorWord>
      <group>L1_Format</group>
      <groupName>格式问题</groupName>
      <ability>L2_HalfPunc_CN</ability>
      <abilityName>全半角问题</abilityName>
      <candidateList>
        <item>）</item>
      </candidateList>
      <explain>文本全半角错误。</explain>
      <paraID>56E2DA5C</paraID>
      <start>8</start>
      <end>10</end>
      <status>modified</status>
      <modifiedWord>）</modifiedWord>
      <trackRevisions>true</trackRevisions>
    </reviewItem>
    <reviewItem>
      <errorID>6e9b2aed-d9b9-449c-a6e3-9be1c5667165</errorID>
      <errorWord>。。</errorWord>
      <group>L1_Punc</group>
      <groupName>标点问题</groupName>
      <ability>L2_Punc_CN</ability>
      <abilityName>标点符号问题</abilityName>
      <candidateList>
        <item>。</item>
      </candidateList>
      <explain/>
      <paraID> 3185EC3</paraID>
      <start>40</start>
      <end>42</end>
      <status>modified</status>
      <modifiedWord>。</modifiedWord>
      <trackRevisions>true</trackRevisions>
    </reviewItem>
    <reviewItem>
      <errorID>cfd8909d-f551-4644-8aa0-60df1855f482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28BAB44E</paraID>
      <start>58</start>
      <end>63</end>
      <status>modified</status>
      <modifiedWord>》《</modifiedWord>
      <trackRevisions>true</trackRevisions>
    </reviewItem>
    <reviewItem>
      <errorID>1e06561e-b45b-47a5-aeba-235a57498ebb</errorID>
      <errorWord>法律、法规</errorWord>
      <group>L1_Word</group>
      <groupName>字词问题</groupName>
      <ability>L2_Typo</ability>
      <abilityName>字词错误</abilityName>
      <candidateList>
        <item>法律法规</item>
      </candidateList>
      <explain/>
      <paraID>2778D5E0</paraID>
      <start>146</start>
      <end>150</end>
      <status>modified</status>
      <modifiedWord>法律法规</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00fb85-74e5-423d-9b23-8cec023bcc25}">
  <ds:schemaRefs/>
</ds:datastoreItem>
</file>

<file path=docProps/app.xml><?xml version="1.0" encoding="utf-8"?>
<Properties xmlns="http://schemas.openxmlformats.org/officeDocument/2006/extended-properties" xmlns:vt="http://schemas.openxmlformats.org/officeDocument/2006/docPropsVTypes">
  <Template>Normal</Template>
  <Pages>310</Pages>
  <Words>5073</Words>
  <Characters>5586</Characters>
  <Lines>15005</Lines>
  <Paragraphs>17301</Paragraphs>
  <TotalTime>71</TotalTime>
  <ScaleCrop>false</ScaleCrop>
  <LinksUpToDate>false</LinksUpToDate>
  <CharactersWithSpaces>5865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2023-05-05T02:20:00Z</dcterms:created>
  <dc:creator>涂漱漱</dc:creator>
  <cp:lastModifiedBy>WPS_1504112063</cp:lastModifiedBy>
  <dcterms:modified xsi:type="dcterms:W3CDTF">2026-09-08T09:00:24Z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7D2E708977E14E638BA2FFBBACA1270A_13</vt:lpwstr>
  </property>
  <property fmtid="{D5CDD505-2E9C-101B-9397-08002B2CF9AE}" pid="4" name="KSOTemplateDocerSaveRecord">
    <vt:lpwstr>eyJoZGlkIjoiNjBmMmIxYTZlMDlhYTlmZGI0NmQyZGY3ZDhiMTU5MjgiLCJ1c2VySWQiOiIyOTg4NTIyNTUifQ==</vt:lpwstr>
  </property>
</Properties>
</file>